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40449" w:rsidRPr="00640449">
        <w:trPr>
          <w:cantSplit/>
          <w:trHeight w:hRule="exact" w:val="851"/>
        </w:trPr>
        <w:tc>
          <w:tcPr>
            <w:tcW w:w="1276" w:type="dxa"/>
            <w:tcBorders>
              <w:bottom w:val="single" w:sz="4" w:space="0" w:color="auto"/>
            </w:tcBorders>
            <w:vAlign w:val="bottom"/>
          </w:tcPr>
          <w:p w:rsidR="00BE3C14" w:rsidRPr="00640449" w:rsidRDefault="00BE3C14"/>
        </w:tc>
        <w:tc>
          <w:tcPr>
            <w:tcW w:w="2268" w:type="dxa"/>
            <w:tcBorders>
              <w:bottom w:val="single" w:sz="4" w:space="0" w:color="auto"/>
            </w:tcBorders>
            <w:vAlign w:val="bottom"/>
          </w:tcPr>
          <w:p w:rsidR="00BE3C14" w:rsidRPr="00640449" w:rsidRDefault="00B65306">
            <w:pPr>
              <w:spacing w:after="80" w:line="300" w:lineRule="exact"/>
              <w:rPr>
                <w:b/>
                <w:sz w:val="24"/>
                <w:szCs w:val="24"/>
              </w:rPr>
            </w:pPr>
            <w:r w:rsidRPr="00640449">
              <w:rPr>
                <w:sz w:val="28"/>
              </w:rPr>
              <w:t>Nations Unies</w:t>
            </w:r>
          </w:p>
        </w:tc>
        <w:tc>
          <w:tcPr>
            <w:tcW w:w="6095" w:type="dxa"/>
            <w:gridSpan w:val="2"/>
            <w:tcBorders>
              <w:bottom w:val="single" w:sz="4" w:space="0" w:color="auto"/>
            </w:tcBorders>
            <w:vAlign w:val="bottom"/>
          </w:tcPr>
          <w:p w:rsidR="00BE3C14" w:rsidRPr="009821CD" w:rsidRDefault="009821CD" w:rsidP="009821CD">
            <w:pPr>
              <w:suppressAutoHyphens w:val="0"/>
              <w:jc w:val="right"/>
            </w:pPr>
            <w:r w:rsidRPr="009821CD">
              <w:rPr>
                <w:sz w:val="40"/>
              </w:rPr>
              <w:t>CAT</w:t>
            </w:r>
            <w:r>
              <w:t>/C/LUX/8</w:t>
            </w:r>
          </w:p>
        </w:tc>
      </w:tr>
      <w:tr w:rsidR="00640449" w:rsidRPr="00640449">
        <w:trPr>
          <w:cantSplit/>
          <w:trHeight w:hRule="exact" w:val="2835"/>
        </w:trPr>
        <w:tc>
          <w:tcPr>
            <w:tcW w:w="1276" w:type="dxa"/>
            <w:tcBorders>
              <w:top w:val="single" w:sz="4" w:space="0" w:color="auto"/>
              <w:bottom w:val="single" w:sz="12" w:space="0" w:color="auto"/>
            </w:tcBorders>
          </w:tcPr>
          <w:p w:rsidR="00BE3C14" w:rsidRPr="00640449" w:rsidRDefault="00B65306">
            <w:pPr>
              <w:spacing w:before="120"/>
              <w:jc w:val="center"/>
            </w:pPr>
            <w:r w:rsidRPr="00640449">
              <w:rPr>
                <w:noProof/>
                <w:lang w:val="en-GB" w:eastAsia="en-GB"/>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E3C14" w:rsidRPr="00640449" w:rsidRDefault="00B65306">
            <w:pPr>
              <w:spacing w:before="120" w:line="380" w:lineRule="exact"/>
            </w:pPr>
            <w:r w:rsidRPr="00640449">
              <w:rPr>
                <w:b/>
                <w:sz w:val="34"/>
                <w:szCs w:val="34"/>
              </w:rPr>
              <w:t>Convention contre</w:t>
            </w:r>
            <w:r w:rsidRPr="00640449">
              <w:rPr>
                <w:b/>
                <w:sz w:val="34"/>
                <w:szCs w:val="34"/>
              </w:rPr>
              <w:br/>
              <w:t>la torture et autres peines</w:t>
            </w:r>
            <w:r w:rsidRPr="00640449">
              <w:rPr>
                <w:b/>
                <w:sz w:val="34"/>
                <w:szCs w:val="34"/>
              </w:rPr>
              <w:br/>
              <w:t>ou traitements cruels,</w:t>
            </w:r>
            <w:r w:rsidRPr="00640449">
              <w:rPr>
                <w:b/>
                <w:sz w:val="34"/>
                <w:szCs w:val="34"/>
              </w:rPr>
              <w:br/>
              <w:t>inhumains ou dégradants</w:t>
            </w:r>
          </w:p>
        </w:tc>
        <w:tc>
          <w:tcPr>
            <w:tcW w:w="2835" w:type="dxa"/>
            <w:tcBorders>
              <w:top w:val="single" w:sz="4" w:space="0" w:color="auto"/>
              <w:bottom w:val="single" w:sz="12" w:space="0" w:color="auto"/>
            </w:tcBorders>
          </w:tcPr>
          <w:p w:rsidR="00BE3C14" w:rsidRPr="00640449" w:rsidRDefault="00A1609B">
            <w:pPr>
              <w:suppressAutoHyphens w:val="0"/>
              <w:spacing w:before="240" w:line="240" w:lineRule="exact"/>
            </w:pPr>
            <w:proofErr w:type="spellStart"/>
            <w:r w:rsidRPr="00640449">
              <w:t>Distr</w:t>
            </w:r>
            <w:proofErr w:type="spellEnd"/>
            <w:r w:rsidRPr="00640449">
              <w:t>.</w:t>
            </w:r>
            <w:r w:rsidR="00B65306" w:rsidRPr="00640449">
              <w:t xml:space="preserve"> </w:t>
            </w:r>
            <w:r w:rsidR="00BF7869">
              <w:fldChar w:fldCharType="begin"/>
            </w:r>
            <w:r w:rsidR="00BF7869">
              <w:instrText xml:space="preserve"> DOCPROPERTY  dist  \* MERGEFORMAT </w:instrText>
            </w:r>
            <w:r w:rsidR="00BF7869">
              <w:fldChar w:fldCharType="separate"/>
            </w:r>
            <w:r w:rsidR="00B65306" w:rsidRPr="00640449">
              <w:t>générale</w:t>
            </w:r>
            <w:r w:rsidR="00BF7869">
              <w:fldChar w:fldCharType="end"/>
            </w:r>
          </w:p>
          <w:p w:rsidR="00E943E7" w:rsidRPr="00640449" w:rsidRDefault="00316226" w:rsidP="00316226">
            <w:pPr>
              <w:suppressAutoHyphens w:val="0"/>
            </w:pPr>
            <w:r>
              <w:t>1</w:t>
            </w:r>
            <w:r w:rsidR="008D21F9">
              <w:t>6</w:t>
            </w:r>
            <w:r w:rsidR="00E943E7" w:rsidRPr="00640449">
              <w:t xml:space="preserve"> mars 2020</w:t>
            </w:r>
          </w:p>
          <w:p w:rsidR="00BE3C14" w:rsidRPr="00640449" w:rsidRDefault="009F6492">
            <w:pPr>
              <w:suppressAutoHyphens w:val="0"/>
            </w:pPr>
            <w:r w:rsidRPr="00640449">
              <w:fldChar w:fldCharType="begin"/>
            </w:r>
            <w:r w:rsidRPr="00640449">
              <w:instrText xml:space="preserve"> DOCPROPERTY  tlang  \* MERGEFORMAT </w:instrText>
            </w:r>
            <w:r w:rsidRPr="00640449">
              <w:fldChar w:fldCharType="end"/>
            </w:r>
          </w:p>
          <w:p w:rsidR="00BE3C14" w:rsidRPr="00640449" w:rsidRDefault="00E370CE">
            <w:pPr>
              <w:suppressAutoHyphens w:val="0"/>
            </w:pPr>
            <w:r w:rsidRPr="00640449">
              <w:t>Original</w:t>
            </w:r>
            <w:r w:rsidR="00316226">
              <w:t> </w:t>
            </w:r>
            <w:r w:rsidRPr="00640449">
              <w:t>:</w:t>
            </w:r>
            <w:r w:rsidR="00B65306" w:rsidRPr="00640449">
              <w:t xml:space="preserve"> </w:t>
            </w:r>
            <w:r w:rsidR="00BF7869">
              <w:fldChar w:fldCharType="begin"/>
            </w:r>
            <w:r w:rsidR="00BF7869">
              <w:instrText xml:space="preserve"> DOCPROPERTY  olang  \* MERGEFORMAT </w:instrText>
            </w:r>
            <w:r w:rsidR="00BF7869">
              <w:fldChar w:fldCharType="separate"/>
            </w:r>
            <w:r w:rsidR="00B65306" w:rsidRPr="00640449">
              <w:t>français</w:t>
            </w:r>
            <w:r w:rsidR="00BF7869">
              <w:fldChar w:fldCharType="end"/>
            </w:r>
          </w:p>
          <w:p w:rsidR="00BE3C14" w:rsidRPr="00640449" w:rsidRDefault="00BF7869">
            <w:pPr>
              <w:suppressAutoHyphens w:val="0"/>
            </w:pPr>
            <w:r>
              <w:fldChar w:fldCharType="begin"/>
            </w:r>
            <w:r>
              <w:instrText xml:space="preserve"> DOCPROPERTY  virs  \* MERGEFORMAT </w:instrText>
            </w:r>
            <w:r>
              <w:fldChar w:fldCharType="separate"/>
            </w:r>
            <w:r w:rsidR="00B65306" w:rsidRPr="00640449">
              <w:t>Anglais, espagnol et français seulement</w:t>
            </w:r>
            <w:r>
              <w:fldChar w:fldCharType="end"/>
            </w:r>
          </w:p>
        </w:tc>
      </w:tr>
    </w:tbl>
    <w:p w:rsidR="00BE3C14" w:rsidRPr="00640449" w:rsidRDefault="00B65306">
      <w:pPr>
        <w:spacing w:before="120"/>
        <w:rPr>
          <w:b/>
          <w:sz w:val="24"/>
          <w:szCs w:val="24"/>
        </w:rPr>
      </w:pPr>
      <w:r w:rsidRPr="00640449">
        <w:rPr>
          <w:b/>
          <w:sz w:val="24"/>
          <w:szCs w:val="24"/>
        </w:rPr>
        <w:t>Comité contre la torture</w:t>
      </w:r>
    </w:p>
    <w:p w:rsidR="00BE3C14" w:rsidRPr="00640449" w:rsidRDefault="00B65306" w:rsidP="00316226">
      <w:pPr>
        <w:pStyle w:val="HMG"/>
      </w:pPr>
      <w:r w:rsidRPr="00640449">
        <w:tab/>
      </w:r>
      <w:r w:rsidRPr="00640449">
        <w:tab/>
      </w:r>
      <w:r w:rsidR="00BF7869">
        <w:fldChar w:fldCharType="begin"/>
      </w:r>
      <w:r w:rsidR="00BF7869">
        <w:instrText xml:space="preserve"> DOCPROPERTY  prepwc  \* MERGEFORMAT </w:instrText>
      </w:r>
      <w:r w:rsidR="00BF7869">
        <w:fldChar w:fldCharType="separate"/>
      </w:r>
      <w:r w:rsidRPr="00640449">
        <w:t>Huitième rapport périodique</w:t>
      </w:r>
      <w:r w:rsidR="00BF7869">
        <w:fldChar w:fldCharType="end"/>
      </w:r>
      <w:r w:rsidRPr="00640449">
        <w:t xml:space="preserve"> soumis par </w:t>
      </w:r>
      <w:r w:rsidR="00BF7869">
        <w:fldChar w:fldCharType="begin"/>
      </w:r>
      <w:r w:rsidR="00BF7869">
        <w:instrText xml:space="preserve"> DOCPROPERTY  countwd  \* MERGEFORMAT </w:instrText>
      </w:r>
      <w:r w:rsidR="00BF7869">
        <w:fldChar w:fldCharType="separate"/>
      </w:r>
      <w:r w:rsidRPr="00640449">
        <w:t>le Luxembourg</w:t>
      </w:r>
      <w:r w:rsidR="00BF7869">
        <w:fldChar w:fldCharType="end"/>
      </w:r>
      <w:r w:rsidRPr="00640449">
        <w:t xml:space="preserve"> en application de l’article 19 de la Conventio</w:t>
      </w:r>
      <w:bookmarkStart w:id="0" w:name="_GoBack"/>
      <w:bookmarkEnd w:id="0"/>
      <w:r w:rsidRPr="00640449">
        <w:t xml:space="preserve">n </w:t>
      </w:r>
      <w:r w:rsidR="00142570" w:rsidRPr="00640449">
        <w:rPr>
          <w:shd w:val="clear" w:color="auto" w:fill="FFFFFF"/>
        </w:rPr>
        <w:t xml:space="preserve">selon la procédure </w:t>
      </w:r>
      <w:r w:rsidR="00316226">
        <w:rPr>
          <w:shd w:val="clear" w:color="auto" w:fill="FFFFFF"/>
        </w:rPr>
        <w:t>simplifiée</w:t>
      </w:r>
      <w:r w:rsidR="00142570" w:rsidRPr="00640449">
        <w:rPr>
          <w:shd w:val="clear" w:color="auto" w:fill="FFFFFF"/>
        </w:rPr>
        <w:t xml:space="preserve"> d’établissement des rapports, attendu en </w:t>
      </w:r>
      <w:r w:rsidR="00674E9C" w:rsidRPr="00640449">
        <w:t>2019</w:t>
      </w:r>
      <w:r w:rsidRPr="00640449">
        <w:rPr>
          <w:rStyle w:val="Appelnotedebasdep"/>
          <w:b w:val="0"/>
          <w:sz w:val="20"/>
          <w:vertAlign w:val="baseline"/>
        </w:rPr>
        <w:footnoteReference w:customMarkFollows="1" w:id="2"/>
        <w:t>*</w:t>
      </w:r>
    </w:p>
    <w:p w:rsidR="00BE3C14" w:rsidRPr="00640449" w:rsidRDefault="00B65306">
      <w:pPr>
        <w:pStyle w:val="SingleTxtG"/>
        <w:jc w:val="right"/>
      </w:pPr>
      <w:r w:rsidRPr="00640449">
        <w:t>[Date de réception</w:t>
      </w:r>
      <w:r w:rsidR="00316226">
        <w:t> </w:t>
      </w:r>
      <w:r w:rsidRPr="00640449">
        <w:t xml:space="preserve">: </w:t>
      </w:r>
      <w:r w:rsidR="00674E9C" w:rsidRPr="00640449">
        <w:t>16 mai 2019</w:t>
      </w:r>
      <w:r w:rsidRPr="00640449">
        <w:t>]</w:t>
      </w:r>
    </w:p>
    <w:p w:rsidR="00674E9C" w:rsidRPr="00640449" w:rsidRDefault="00674E9C">
      <w:pPr>
        <w:suppressAutoHyphens w:val="0"/>
        <w:kinsoku/>
        <w:overflowPunct/>
        <w:autoSpaceDE/>
        <w:autoSpaceDN/>
        <w:adjustRightInd/>
        <w:snapToGrid/>
        <w:spacing w:after="200" w:line="276" w:lineRule="auto"/>
      </w:pPr>
      <w:r w:rsidRPr="00640449">
        <w:br w:type="page"/>
      </w:r>
    </w:p>
    <w:p w:rsidR="00C35E40" w:rsidRDefault="00C35E40" w:rsidP="00CD494A">
      <w:pPr>
        <w:spacing w:after="120"/>
        <w:rPr>
          <w:sz w:val="28"/>
        </w:rPr>
      </w:pPr>
      <w:bookmarkStart w:id="1" w:name="_Toc8376976"/>
      <w:bookmarkStart w:id="2" w:name="_Toc8396089"/>
      <w:r>
        <w:rPr>
          <w:sz w:val="28"/>
        </w:rPr>
        <w:lastRenderedPageBreak/>
        <w:t>Table des matières</w:t>
      </w:r>
    </w:p>
    <w:p w:rsidR="00C35E40" w:rsidRDefault="00C35E40" w:rsidP="00D20CB5">
      <w:pPr>
        <w:tabs>
          <w:tab w:val="right" w:pos="9638"/>
        </w:tabs>
        <w:spacing w:after="120" w:line="220" w:lineRule="atLeast"/>
        <w:ind w:left="283"/>
        <w:rPr>
          <w:sz w:val="18"/>
        </w:rPr>
      </w:pPr>
      <w:r>
        <w:rPr>
          <w:i/>
          <w:sz w:val="18"/>
        </w:rPr>
        <w:tab/>
        <w:t>Page</w:t>
      </w:r>
    </w:p>
    <w:p w:rsidR="00C35E40" w:rsidRDefault="00C35E40" w:rsidP="00D20CB5">
      <w:pPr>
        <w:tabs>
          <w:tab w:val="right" w:pos="850"/>
          <w:tab w:val="left" w:pos="1134"/>
          <w:tab w:val="left" w:pos="1559"/>
          <w:tab w:val="left" w:pos="1984"/>
          <w:tab w:val="left" w:leader="dot" w:pos="8929"/>
          <w:tab w:val="right" w:pos="9638"/>
        </w:tabs>
        <w:spacing w:after="120" w:line="220" w:lineRule="atLeast"/>
      </w:pPr>
      <w:r>
        <w:tab/>
      </w:r>
      <w:r>
        <w:tab/>
        <w:t>I.</w:t>
      </w:r>
      <w:r>
        <w:tab/>
      </w:r>
      <w:r w:rsidRPr="00640449">
        <w:t>Introduction</w:t>
      </w:r>
      <w:r>
        <w:tab/>
      </w:r>
      <w:r>
        <w:tab/>
      </w:r>
      <w:r w:rsidR="00E13B1E">
        <w:t>4</w:t>
      </w:r>
    </w:p>
    <w:p w:rsidR="00C35E40" w:rsidRDefault="00C35E40" w:rsidP="00D20CB5">
      <w:pPr>
        <w:tabs>
          <w:tab w:val="right" w:pos="850"/>
          <w:tab w:val="left" w:pos="1134"/>
          <w:tab w:val="left" w:pos="1559"/>
          <w:tab w:val="left" w:pos="1984"/>
          <w:tab w:val="left" w:leader="dot" w:pos="8929"/>
          <w:tab w:val="right" w:pos="9638"/>
        </w:tabs>
        <w:spacing w:after="120" w:line="220" w:lineRule="atLeast"/>
      </w:pPr>
      <w:r>
        <w:tab/>
      </w:r>
      <w:r>
        <w:tab/>
        <w:t>II.</w:t>
      </w:r>
      <w:r>
        <w:tab/>
      </w:r>
      <w:r w:rsidRPr="00640449">
        <w:rPr>
          <w:lang w:val="fr-FR"/>
        </w:rPr>
        <w:t xml:space="preserve">Réponses aux questions posées dans la liste de points établie </w:t>
      </w:r>
      <w:r w:rsidR="00821735">
        <w:rPr>
          <w:lang w:val="fr-FR"/>
        </w:rPr>
        <w:br/>
      </w:r>
      <w:r w:rsidR="00821735">
        <w:rPr>
          <w:lang w:val="fr-FR"/>
        </w:rPr>
        <w:tab/>
      </w:r>
      <w:r w:rsidR="00821735">
        <w:rPr>
          <w:lang w:val="fr-FR"/>
        </w:rPr>
        <w:tab/>
      </w:r>
      <w:r w:rsidR="00821735">
        <w:rPr>
          <w:lang w:val="fr-FR"/>
        </w:rPr>
        <w:tab/>
      </w:r>
      <w:r w:rsidRPr="00640449">
        <w:rPr>
          <w:lang w:val="fr-FR"/>
        </w:rPr>
        <w:t>avant la soumission du rapport</w:t>
      </w:r>
      <w:r w:rsidRPr="00640449">
        <w:t xml:space="preserve"> (CAT/C/LUX/QPR/8)</w:t>
      </w:r>
      <w:r>
        <w:tab/>
      </w:r>
      <w:r>
        <w:tab/>
      </w:r>
      <w:r w:rsidR="00E13B1E">
        <w:t>4</w:t>
      </w:r>
    </w:p>
    <w:p w:rsidR="00C35E40" w:rsidRDefault="00C35E40" w:rsidP="00D20CB5">
      <w:pPr>
        <w:tabs>
          <w:tab w:val="right" w:pos="850"/>
          <w:tab w:val="left" w:pos="1134"/>
          <w:tab w:val="left" w:pos="1559"/>
          <w:tab w:val="left" w:pos="1984"/>
          <w:tab w:val="left" w:leader="dot" w:pos="8929"/>
          <w:tab w:val="right" w:pos="9638"/>
        </w:tabs>
        <w:spacing w:after="120" w:line="220" w:lineRule="atLeast"/>
      </w:pPr>
      <w:r>
        <w:tab/>
      </w:r>
      <w:r>
        <w:tab/>
      </w:r>
      <w:r>
        <w:tab/>
        <w:t>A.</w:t>
      </w:r>
      <w:r>
        <w:tab/>
      </w:r>
      <w:r w:rsidRPr="00640449">
        <w:rPr>
          <w:lang w:val="fr-FR"/>
        </w:rPr>
        <w:t xml:space="preserve">Réponse à </w:t>
      </w:r>
      <w:r w:rsidRPr="00640449">
        <w:t>la</w:t>
      </w:r>
      <w:r w:rsidRPr="00640449">
        <w:rPr>
          <w:lang w:val="fr-FR"/>
        </w:rPr>
        <w:t xml:space="preserve"> question posée au paragraphe 2</w:t>
      </w:r>
      <w:r>
        <w:tab/>
      </w:r>
      <w:r>
        <w:tab/>
      </w:r>
      <w:r w:rsidR="00E13B1E">
        <w:t>4</w:t>
      </w:r>
    </w:p>
    <w:p w:rsidR="00C35E40" w:rsidRDefault="00C35E40" w:rsidP="00D20CB5">
      <w:pPr>
        <w:tabs>
          <w:tab w:val="right" w:pos="850"/>
          <w:tab w:val="left" w:pos="1134"/>
          <w:tab w:val="left" w:pos="1559"/>
          <w:tab w:val="left" w:pos="1984"/>
          <w:tab w:val="left" w:leader="dot" w:pos="8929"/>
          <w:tab w:val="right" w:pos="9638"/>
        </w:tabs>
        <w:spacing w:after="120" w:line="220" w:lineRule="atLeast"/>
      </w:pPr>
      <w:r>
        <w:tab/>
      </w:r>
      <w:r>
        <w:tab/>
      </w:r>
      <w:r>
        <w:tab/>
      </w:r>
      <w:r w:rsidR="003D55EC">
        <w:t>B.</w:t>
      </w:r>
      <w:r>
        <w:tab/>
      </w:r>
      <w:r w:rsidR="003D55EC" w:rsidRPr="00640449">
        <w:rPr>
          <w:lang w:val="fr-FR"/>
        </w:rPr>
        <w:t xml:space="preserve">Réponse à </w:t>
      </w:r>
      <w:r w:rsidR="003D55EC" w:rsidRPr="00640449">
        <w:t>la</w:t>
      </w:r>
      <w:r w:rsidR="003D55EC" w:rsidRPr="00640449">
        <w:rPr>
          <w:lang w:val="fr-FR"/>
        </w:rPr>
        <w:t xml:space="preserve"> question posée au paragraphe 2 (a)</w:t>
      </w:r>
      <w:r>
        <w:tab/>
      </w:r>
      <w:r>
        <w:tab/>
      </w:r>
      <w:r w:rsidR="00E13B1E">
        <w:t>4</w:t>
      </w:r>
    </w:p>
    <w:p w:rsidR="00C35E40" w:rsidRDefault="00C35E40" w:rsidP="00D20CB5">
      <w:pPr>
        <w:tabs>
          <w:tab w:val="right" w:pos="850"/>
          <w:tab w:val="left" w:pos="1134"/>
          <w:tab w:val="left" w:pos="1559"/>
          <w:tab w:val="left" w:pos="1984"/>
          <w:tab w:val="left" w:leader="dot" w:pos="8929"/>
          <w:tab w:val="right" w:pos="9638"/>
        </w:tabs>
        <w:spacing w:after="120" w:line="220" w:lineRule="atLeast"/>
      </w:pPr>
      <w:r>
        <w:tab/>
      </w:r>
      <w:r>
        <w:tab/>
      </w:r>
      <w:r>
        <w:tab/>
      </w:r>
      <w:r w:rsidR="003D55EC">
        <w:t>C.</w:t>
      </w:r>
      <w:r>
        <w:tab/>
      </w:r>
      <w:r w:rsidR="003D55EC" w:rsidRPr="00640449">
        <w:rPr>
          <w:lang w:val="fr-FR"/>
        </w:rPr>
        <w:t xml:space="preserve">Réponse à </w:t>
      </w:r>
      <w:r w:rsidR="003D55EC" w:rsidRPr="00640449">
        <w:t>la</w:t>
      </w:r>
      <w:r w:rsidR="003D55EC" w:rsidRPr="00640449">
        <w:rPr>
          <w:lang w:val="fr-FR"/>
        </w:rPr>
        <w:t xml:space="preserve"> question posée au paragraphe 2 (b)</w:t>
      </w:r>
      <w:r>
        <w:tab/>
      </w:r>
      <w:r>
        <w:tab/>
      </w:r>
      <w:r w:rsidR="00E13B1E">
        <w:t>5</w:t>
      </w:r>
    </w:p>
    <w:p w:rsidR="00C35E40" w:rsidRDefault="00C35E40" w:rsidP="00D20CB5">
      <w:pPr>
        <w:tabs>
          <w:tab w:val="right" w:pos="850"/>
          <w:tab w:val="left" w:pos="1134"/>
          <w:tab w:val="left" w:pos="1559"/>
          <w:tab w:val="left" w:pos="1984"/>
          <w:tab w:val="left" w:leader="dot" w:pos="8929"/>
          <w:tab w:val="right" w:pos="9638"/>
        </w:tabs>
        <w:spacing w:after="120" w:line="220" w:lineRule="atLeast"/>
      </w:pPr>
      <w:r>
        <w:tab/>
      </w:r>
      <w:r>
        <w:tab/>
      </w:r>
      <w:r>
        <w:tab/>
      </w:r>
      <w:r w:rsidR="003D55EC">
        <w:t>D.</w:t>
      </w:r>
      <w:r>
        <w:tab/>
      </w:r>
      <w:r w:rsidR="003D55EC" w:rsidRPr="00640449">
        <w:rPr>
          <w:lang w:val="fr-FR"/>
        </w:rPr>
        <w:t xml:space="preserve">Réponse à </w:t>
      </w:r>
      <w:r w:rsidR="003D55EC" w:rsidRPr="00640449">
        <w:t>la</w:t>
      </w:r>
      <w:r w:rsidR="003D55EC" w:rsidRPr="00640449">
        <w:rPr>
          <w:lang w:val="fr-FR"/>
        </w:rPr>
        <w:t xml:space="preserve"> question posée au paragraphe 2 (c)</w:t>
      </w:r>
      <w:r>
        <w:tab/>
      </w:r>
      <w:r>
        <w:tab/>
      </w:r>
      <w:r w:rsidR="00E13B1E">
        <w:t>5</w:t>
      </w:r>
    </w:p>
    <w:p w:rsidR="00C35E40" w:rsidRDefault="00C35E40" w:rsidP="00D20CB5">
      <w:pPr>
        <w:tabs>
          <w:tab w:val="right" w:pos="850"/>
          <w:tab w:val="left" w:pos="1134"/>
          <w:tab w:val="left" w:pos="1559"/>
          <w:tab w:val="left" w:pos="1984"/>
          <w:tab w:val="left" w:leader="dot" w:pos="8929"/>
          <w:tab w:val="right" w:pos="9638"/>
        </w:tabs>
        <w:spacing w:after="120" w:line="220" w:lineRule="atLeast"/>
      </w:pPr>
      <w:r>
        <w:tab/>
      </w:r>
      <w:r>
        <w:tab/>
      </w:r>
      <w:r>
        <w:tab/>
      </w:r>
      <w:r w:rsidR="003D55EC">
        <w:t>E.</w:t>
      </w:r>
      <w:r>
        <w:tab/>
      </w:r>
      <w:r w:rsidR="003D55EC" w:rsidRPr="00640449">
        <w:rPr>
          <w:lang w:val="fr-FR"/>
        </w:rPr>
        <w:t xml:space="preserve">Réponse à </w:t>
      </w:r>
      <w:r w:rsidR="003D55EC" w:rsidRPr="00640449">
        <w:t>la</w:t>
      </w:r>
      <w:r w:rsidR="003D55EC" w:rsidRPr="00640449">
        <w:rPr>
          <w:lang w:val="fr-FR"/>
        </w:rPr>
        <w:t xml:space="preserve"> question posée au paragraphe 2 (d)</w:t>
      </w:r>
      <w:r>
        <w:tab/>
      </w:r>
      <w:r>
        <w:tab/>
      </w:r>
      <w:r w:rsidR="00E13B1E">
        <w:t>6</w:t>
      </w:r>
    </w:p>
    <w:p w:rsidR="00C35E40" w:rsidRDefault="00C35E40" w:rsidP="00D20CB5">
      <w:pPr>
        <w:tabs>
          <w:tab w:val="right" w:pos="850"/>
          <w:tab w:val="left" w:pos="1134"/>
          <w:tab w:val="left" w:pos="1559"/>
          <w:tab w:val="left" w:pos="1984"/>
          <w:tab w:val="left" w:leader="dot" w:pos="8929"/>
          <w:tab w:val="right" w:pos="9638"/>
        </w:tabs>
        <w:spacing w:after="120" w:line="220" w:lineRule="atLeast"/>
      </w:pPr>
      <w:r>
        <w:tab/>
      </w:r>
      <w:r>
        <w:tab/>
      </w:r>
      <w:r>
        <w:tab/>
      </w:r>
      <w:r w:rsidR="003D55EC">
        <w:t>F.</w:t>
      </w:r>
      <w:r>
        <w:tab/>
      </w:r>
      <w:r w:rsidR="003D55EC" w:rsidRPr="00640449">
        <w:rPr>
          <w:lang w:val="fr-FR"/>
        </w:rPr>
        <w:t xml:space="preserve">Réponse à </w:t>
      </w:r>
      <w:r w:rsidR="003D55EC" w:rsidRPr="00640449">
        <w:t>la</w:t>
      </w:r>
      <w:r w:rsidR="003D55EC" w:rsidRPr="00640449">
        <w:rPr>
          <w:lang w:val="fr-FR"/>
        </w:rPr>
        <w:t xml:space="preserve"> question posée au paragraphe 3 (a)</w:t>
      </w:r>
      <w:r>
        <w:tab/>
      </w:r>
      <w:r>
        <w:tab/>
      </w:r>
      <w:r w:rsidR="00E13B1E">
        <w:t>6</w:t>
      </w:r>
    </w:p>
    <w:p w:rsidR="00C35E40" w:rsidRDefault="00C35E40" w:rsidP="00D20CB5">
      <w:pPr>
        <w:tabs>
          <w:tab w:val="right" w:pos="850"/>
          <w:tab w:val="left" w:pos="1134"/>
          <w:tab w:val="left" w:pos="1559"/>
          <w:tab w:val="left" w:pos="1984"/>
          <w:tab w:val="left" w:leader="dot" w:pos="8929"/>
          <w:tab w:val="right" w:pos="9638"/>
        </w:tabs>
        <w:spacing w:after="120" w:line="220" w:lineRule="atLeast"/>
      </w:pPr>
      <w:r>
        <w:tab/>
      </w:r>
      <w:r>
        <w:tab/>
      </w:r>
      <w:r>
        <w:tab/>
      </w:r>
      <w:r w:rsidR="00DF7DC2">
        <w:t>G.</w:t>
      </w:r>
      <w:r>
        <w:tab/>
      </w:r>
      <w:r w:rsidR="00DF7DC2" w:rsidRPr="00640449">
        <w:rPr>
          <w:lang w:val="fr-FR"/>
        </w:rPr>
        <w:t xml:space="preserve">Réponse à </w:t>
      </w:r>
      <w:r w:rsidR="00DF7DC2" w:rsidRPr="00640449">
        <w:t>la</w:t>
      </w:r>
      <w:r w:rsidR="00DF7DC2" w:rsidRPr="00640449">
        <w:rPr>
          <w:lang w:val="fr-FR"/>
        </w:rPr>
        <w:t xml:space="preserve"> question posée au paragraphe 3 (b)</w:t>
      </w:r>
      <w:r>
        <w:tab/>
      </w:r>
      <w:r>
        <w:tab/>
      </w:r>
      <w:r w:rsidR="00767E20">
        <w:t>8</w:t>
      </w:r>
    </w:p>
    <w:p w:rsidR="003D55EC" w:rsidRDefault="003D55EC" w:rsidP="00D20CB5">
      <w:pPr>
        <w:tabs>
          <w:tab w:val="right" w:pos="850"/>
          <w:tab w:val="left" w:pos="1134"/>
          <w:tab w:val="left" w:pos="1559"/>
          <w:tab w:val="left" w:pos="1984"/>
          <w:tab w:val="left" w:leader="dot" w:pos="8929"/>
          <w:tab w:val="right" w:pos="9638"/>
        </w:tabs>
        <w:spacing w:after="120" w:line="220" w:lineRule="atLeast"/>
      </w:pPr>
      <w:r>
        <w:tab/>
      </w:r>
      <w:r>
        <w:tab/>
      </w:r>
      <w:r>
        <w:tab/>
      </w:r>
      <w:r w:rsidR="00DF7DC2">
        <w:t>H.</w:t>
      </w:r>
      <w:r>
        <w:tab/>
      </w:r>
      <w:r w:rsidR="00DF7DC2" w:rsidRPr="00640449">
        <w:rPr>
          <w:lang w:val="fr-FR"/>
        </w:rPr>
        <w:t xml:space="preserve">Réponse à </w:t>
      </w:r>
      <w:r w:rsidR="00DF7DC2" w:rsidRPr="00640449">
        <w:t>la</w:t>
      </w:r>
      <w:r w:rsidR="00DF7DC2" w:rsidRPr="00640449">
        <w:rPr>
          <w:lang w:val="fr-FR"/>
        </w:rPr>
        <w:t xml:space="preserve"> question posée au paragraphe 3 (c)</w:t>
      </w:r>
      <w:r>
        <w:tab/>
      </w:r>
      <w:r>
        <w:tab/>
      </w:r>
      <w:r w:rsidR="00E13B1E">
        <w:t>9</w:t>
      </w:r>
    </w:p>
    <w:p w:rsidR="003D55EC" w:rsidRDefault="003D55EC" w:rsidP="00D20CB5">
      <w:pPr>
        <w:tabs>
          <w:tab w:val="right" w:pos="850"/>
          <w:tab w:val="left" w:pos="1134"/>
          <w:tab w:val="left" w:pos="1559"/>
          <w:tab w:val="left" w:pos="1984"/>
          <w:tab w:val="left" w:leader="dot" w:pos="8929"/>
          <w:tab w:val="right" w:pos="9638"/>
        </w:tabs>
        <w:spacing w:after="120" w:line="220" w:lineRule="atLeast"/>
      </w:pPr>
      <w:r>
        <w:tab/>
      </w:r>
      <w:r>
        <w:tab/>
      </w:r>
      <w:r>
        <w:tab/>
      </w:r>
      <w:r w:rsidR="00886775">
        <w:t>I.</w:t>
      </w:r>
      <w:r>
        <w:tab/>
      </w:r>
      <w:r w:rsidR="00886775" w:rsidRPr="00640449">
        <w:rPr>
          <w:lang w:val="fr-FR"/>
        </w:rPr>
        <w:t xml:space="preserve">Réponse à </w:t>
      </w:r>
      <w:r w:rsidR="00886775" w:rsidRPr="00640449">
        <w:t>la</w:t>
      </w:r>
      <w:r w:rsidR="00886775" w:rsidRPr="00640449">
        <w:rPr>
          <w:lang w:val="fr-FR"/>
        </w:rPr>
        <w:t xml:space="preserve"> question posée au paragraphe 4</w:t>
      </w:r>
      <w:r>
        <w:tab/>
      </w:r>
      <w:r>
        <w:tab/>
      </w:r>
      <w:r w:rsidR="00E13B1E">
        <w:t>10</w:t>
      </w:r>
    </w:p>
    <w:p w:rsidR="003D55EC" w:rsidRDefault="003D55EC" w:rsidP="00D20CB5">
      <w:pPr>
        <w:tabs>
          <w:tab w:val="right" w:pos="850"/>
          <w:tab w:val="left" w:pos="1134"/>
          <w:tab w:val="left" w:pos="1559"/>
          <w:tab w:val="left" w:pos="1984"/>
          <w:tab w:val="left" w:leader="dot" w:pos="8929"/>
          <w:tab w:val="right" w:pos="9638"/>
        </w:tabs>
        <w:spacing w:after="120" w:line="220" w:lineRule="atLeast"/>
      </w:pPr>
      <w:r>
        <w:tab/>
      </w:r>
      <w:r>
        <w:tab/>
      </w:r>
      <w:r>
        <w:tab/>
      </w:r>
      <w:r w:rsidR="00886775">
        <w:t>J.</w:t>
      </w:r>
      <w:r>
        <w:tab/>
      </w:r>
      <w:r w:rsidR="00886775" w:rsidRPr="00640449">
        <w:rPr>
          <w:lang w:val="fr-FR"/>
        </w:rPr>
        <w:t xml:space="preserve">Réponse à </w:t>
      </w:r>
      <w:r w:rsidR="00886775" w:rsidRPr="00640449">
        <w:t>la</w:t>
      </w:r>
      <w:r w:rsidR="00886775" w:rsidRPr="00640449">
        <w:rPr>
          <w:lang w:val="fr-FR"/>
        </w:rPr>
        <w:t xml:space="preserve"> question posée au paragraphe 5 (a)</w:t>
      </w:r>
      <w:r>
        <w:tab/>
      </w:r>
      <w:r>
        <w:tab/>
      </w:r>
      <w:r w:rsidR="00E13B1E">
        <w:t>13</w:t>
      </w:r>
    </w:p>
    <w:p w:rsidR="003D55EC" w:rsidRDefault="003D55EC" w:rsidP="00D20CB5">
      <w:pPr>
        <w:tabs>
          <w:tab w:val="right" w:pos="850"/>
          <w:tab w:val="left" w:pos="1134"/>
          <w:tab w:val="left" w:pos="1559"/>
          <w:tab w:val="left" w:pos="1984"/>
          <w:tab w:val="left" w:leader="dot" w:pos="8929"/>
          <w:tab w:val="right" w:pos="9638"/>
        </w:tabs>
        <w:spacing w:after="120" w:line="220" w:lineRule="atLeast"/>
      </w:pPr>
      <w:r>
        <w:tab/>
      </w:r>
      <w:r>
        <w:tab/>
      </w:r>
      <w:r>
        <w:tab/>
      </w:r>
      <w:r w:rsidR="00886775">
        <w:t>K.</w:t>
      </w:r>
      <w:r>
        <w:tab/>
      </w:r>
      <w:r w:rsidR="00886775" w:rsidRPr="00640449">
        <w:rPr>
          <w:lang w:val="fr-FR"/>
        </w:rPr>
        <w:t xml:space="preserve">Réponse à </w:t>
      </w:r>
      <w:r w:rsidR="00886775" w:rsidRPr="00640449">
        <w:t>la</w:t>
      </w:r>
      <w:r w:rsidR="00886775" w:rsidRPr="00640449">
        <w:rPr>
          <w:lang w:val="fr-FR"/>
        </w:rPr>
        <w:t xml:space="preserve"> question posée au paragraphe 5 (b)</w:t>
      </w:r>
      <w:r>
        <w:tab/>
      </w:r>
      <w:r>
        <w:tab/>
      </w:r>
      <w:r w:rsidR="00E13B1E">
        <w:t>1</w:t>
      </w:r>
      <w:r w:rsidR="00767E20">
        <w:t>4</w:t>
      </w:r>
    </w:p>
    <w:p w:rsidR="00886775" w:rsidRDefault="00886775" w:rsidP="00D20CB5">
      <w:pPr>
        <w:tabs>
          <w:tab w:val="right" w:pos="850"/>
          <w:tab w:val="left" w:pos="1134"/>
          <w:tab w:val="left" w:pos="1559"/>
          <w:tab w:val="left" w:pos="1984"/>
          <w:tab w:val="left" w:leader="dot" w:pos="8929"/>
          <w:tab w:val="right" w:pos="9638"/>
        </w:tabs>
        <w:spacing w:after="120" w:line="220" w:lineRule="atLeast"/>
      </w:pPr>
      <w:r>
        <w:tab/>
      </w:r>
      <w:r>
        <w:tab/>
      </w:r>
      <w:r>
        <w:tab/>
      </w:r>
      <w:r w:rsidR="008F65E6">
        <w:t>L.</w:t>
      </w:r>
      <w:r>
        <w:tab/>
      </w:r>
      <w:r w:rsidR="008F65E6" w:rsidRPr="00640449">
        <w:rPr>
          <w:lang w:val="fr-FR"/>
        </w:rPr>
        <w:t xml:space="preserve">Réponse à </w:t>
      </w:r>
      <w:r w:rsidR="008F65E6" w:rsidRPr="00640449">
        <w:t>la</w:t>
      </w:r>
      <w:r w:rsidR="008F65E6" w:rsidRPr="00640449">
        <w:rPr>
          <w:lang w:val="fr-FR"/>
        </w:rPr>
        <w:t xml:space="preserve"> question posée au paragraphe 5 (c)</w:t>
      </w:r>
      <w:r>
        <w:tab/>
      </w:r>
      <w:r>
        <w:tab/>
      </w:r>
      <w:r w:rsidR="00E13B1E">
        <w:t>15</w:t>
      </w:r>
    </w:p>
    <w:p w:rsidR="00886775" w:rsidRDefault="00886775" w:rsidP="00D20CB5">
      <w:pPr>
        <w:tabs>
          <w:tab w:val="right" w:pos="850"/>
          <w:tab w:val="left" w:pos="1134"/>
          <w:tab w:val="left" w:pos="1559"/>
          <w:tab w:val="left" w:pos="1984"/>
          <w:tab w:val="left" w:leader="dot" w:pos="8929"/>
          <w:tab w:val="right" w:pos="9638"/>
        </w:tabs>
        <w:spacing w:after="120" w:line="220" w:lineRule="atLeast"/>
      </w:pPr>
      <w:r>
        <w:tab/>
      </w:r>
      <w:r>
        <w:tab/>
      </w:r>
      <w:r>
        <w:tab/>
      </w:r>
      <w:r w:rsidR="008F65E6">
        <w:t>M.</w:t>
      </w:r>
      <w:r>
        <w:tab/>
      </w:r>
      <w:r w:rsidR="008F65E6" w:rsidRPr="00640449">
        <w:rPr>
          <w:lang w:val="fr-FR"/>
        </w:rPr>
        <w:t xml:space="preserve">Réponse à </w:t>
      </w:r>
      <w:r w:rsidR="008F65E6" w:rsidRPr="00640449">
        <w:t>la</w:t>
      </w:r>
      <w:r w:rsidR="008F65E6" w:rsidRPr="00640449">
        <w:rPr>
          <w:lang w:val="fr-FR"/>
        </w:rPr>
        <w:t xml:space="preserve"> question posée au paragraphe 5 (d)</w:t>
      </w:r>
      <w:r>
        <w:tab/>
      </w:r>
      <w:r>
        <w:tab/>
      </w:r>
      <w:r w:rsidR="00E13B1E">
        <w:t>1</w:t>
      </w:r>
      <w:r w:rsidR="000C376E">
        <w:t>6</w:t>
      </w:r>
    </w:p>
    <w:p w:rsidR="00886775" w:rsidRDefault="00886775" w:rsidP="00D20CB5">
      <w:pPr>
        <w:tabs>
          <w:tab w:val="right" w:pos="850"/>
          <w:tab w:val="left" w:pos="1134"/>
          <w:tab w:val="left" w:pos="1559"/>
          <w:tab w:val="left" w:pos="1984"/>
          <w:tab w:val="left" w:leader="dot" w:pos="8929"/>
          <w:tab w:val="right" w:pos="9638"/>
        </w:tabs>
        <w:spacing w:after="120" w:line="220" w:lineRule="atLeast"/>
      </w:pPr>
      <w:r>
        <w:tab/>
      </w:r>
      <w:r>
        <w:tab/>
      </w:r>
      <w:r>
        <w:tab/>
      </w:r>
      <w:r w:rsidR="008F65E6">
        <w:t>N.</w:t>
      </w:r>
      <w:r>
        <w:tab/>
      </w:r>
      <w:r w:rsidR="008F65E6" w:rsidRPr="00640449">
        <w:rPr>
          <w:lang w:val="fr-FR"/>
        </w:rPr>
        <w:t xml:space="preserve">Réponse à </w:t>
      </w:r>
      <w:r w:rsidR="008F65E6" w:rsidRPr="00640449">
        <w:t>la</w:t>
      </w:r>
      <w:r w:rsidR="008F65E6" w:rsidRPr="00640449">
        <w:rPr>
          <w:lang w:val="fr-FR"/>
        </w:rPr>
        <w:t xml:space="preserve"> question posée au paragraphe 5 (e)</w:t>
      </w:r>
      <w:r>
        <w:tab/>
      </w:r>
      <w:r>
        <w:tab/>
      </w:r>
      <w:r w:rsidR="00E13B1E">
        <w:t>1</w:t>
      </w:r>
      <w:r w:rsidR="000C376E">
        <w:t>7</w:t>
      </w:r>
    </w:p>
    <w:p w:rsidR="00886775" w:rsidRDefault="00886775" w:rsidP="00D20CB5">
      <w:pPr>
        <w:tabs>
          <w:tab w:val="right" w:pos="850"/>
          <w:tab w:val="left" w:pos="1134"/>
          <w:tab w:val="left" w:pos="1559"/>
          <w:tab w:val="left" w:pos="1984"/>
          <w:tab w:val="left" w:leader="dot" w:pos="8929"/>
          <w:tab w:val="right" w:pos="9638"/>
        </w:tabs>
        <w:spacing w:after="120" w:line="220" w:lineRule="atLeast"/>
      </w:pPr>
      <w:r>
        <w:tab/>
      </w:r>
      <w:r>
        <w:tab/>
      </w:r>
      <w:r>
        <w:tab/>
      </w:r>
      <w:r w:rsidR="008F65E6">
        <w:t>O.</w:t>
      </w:r>
      <w:r>
        <w:tab/>
      </w:r>
      <w:r w:rsidR="008F65E6" w:rsidRPr="00640449">
        <w:rPr>
          <w:lang w:val="fr-FR"/>
        </w:rPr>
        <w:t xml:space="preserve">Réponse à </w:t>
      </w:r>
      <w:r w:rsidR="008F65E6" w:rsidRPr="00640449">
        <w:t>la</w:t>
      </w:r>
      <w:r w:rsidR="008F65E6" w:rsidRPr="00640449">
        <w:rPr>
          <w:lang w:val="fr-FR"/>
        </w:rPr>
        <w:t xml:space="preserve"> question posée au paragraphe 6 (a)</w:t>
      </w:r>
      <w:r>
        <w:tab/>
      </w:r>
      <w:r>
        <w:tab/>
      </w:r>
      <w:r w:rsidR="00E13B1E">
        <w:t>1</w:t>
      </w:r>
      <w:r w:rsidR="000C376E">
        <w:t>7</w:t>
      </w:r>
    </w:p>
    <w:p w:rsidR="00886775" w:rsidRDefault="00886775" w:rsidP="00D20CB5">
      <w:pPr>
        <w:tabs>
          <w:tab w:val="right" w:pos="850"/>
          <w:tab w:val="left" w:pos="1134"/>
          <w:tab w:val="left" w:pos="1559"/>
          <w:tab w:val="left" w:pos="1984"/>
          <w:tab w:val="left" w:leader="dot" w:pos="8929"/>
          <w:tab w:val="right" w:pos="9638"/>
        </w:tabs>
        <w:spacing w:after="120" w:line="220" w:lineRule="atLeast"/>
      </w:pPr>
      <w:r>
        <w:tab/>
      </w:r>
      <w:r>
        <w:tab/>
      </w:r>
      <w:r>
        <w:tab/>
      </w:r>
      <w:r w:rsidR="008F65E6">
        <w:t>P.</w:t>
      </w:r>
      <w:r>
        <w:tab/>
      </w:r>
      <w:r w:rsidR="008F65E6" w:rsidRPr="00640449">
        <w:rPr>
          <w:lang w:val="fr-FR"/>
        </w:rPr>
        <w:t xml:space="preserve">Réponse à </w:t>
      </w:r>
      <w:r w:rsidR="008F65E6" w:rsidRPr="00640449">
        <w:t>la</w:t>
      </w:r>
      <w:r w:rsidR="008F65E6" w:rsidRPr="00640449">
        <w:rPr>
          <w:lang w:val="fr-FR"/>
        </w:rPr>
        <w:t xml:space="preserve"> question posée au paragraphe 6 (b)</w:t>
      </w:r>
      <w:r>
        <w:tab/>
      </w:r>
      <w:r>
        <w:tab/>
      </w:r>
      <w:r w:rsidR="00E13B1E">
        <w:t>1</w:t>
      </w:r>
      <w:r w:rsidR="000C376E">
        <w:t>8</w:t>
      </w:r>
    </w:p>
    <w:p w:rsidR="008F65E6" w:rsidRDefault="008F65E6" w:rsidP="00D20CB5">
      <w:pPr>
        <w:tabs>
          <w:tab w:val="right" w:pos="850"/>
          <w:tab w:val="left" w:pos="1134"/>
          <w:tab w:val="left" w:pos="1559"/>
          <w:tab w:val="left" w:pos="1984"/>
          <w:tab w:val="left" w:leader="dot" w:pos="8929"/>
          <w:tab w:val="right" w:pos="9638"/>
        </w:tabs>
        <w:spacing w:after="120" w:line="220" w:lineRule="atLeast"/>
      </w:pPr>
      <w:r>
        <w:tab/>
      </w:r>
      <w:r>
        <w:tab/>
      </w:r>
      <w:r>
        <w:tab/>
      </w:r>
      <w:r w:rsidR="00714B07">
        <w:t>Q.</w:t>
      </w:r>
      <w:r>
        <w:tab/>
      </w:r>
      <w:r w:rsidR="00714B07" w:rsidRPr="00640449">
        <w:rPr>
          <w:lang w:val="fr-FR"/>
        </w:rPr>
        <w:t xml:space="preserve">Réponse à </w:t>
      </w:r>
      <w:r w:rsidR="00714B07" w:rsidRPr="00640449">
        <w:t>la</w:t>
      </w:r>
      <w:r w:rsidR="00714B07" w:rsidRPr="00640449">
        <w:rPr>
          <w:lang w:val="fr-FR"/>
        </w:rPr>
        <w:t xml:space="preserve"> question posée au paragraphe 6 (c)</w:t>
      </w:r>
      <w:r>
        <w:tab/>
      </w:r>
      <w:r>
        <w:tab/>
      </w:r>
      <w:r w:rsidR="00E13B1E">
        <w:t>18</w:t>
      </w:r>
    </w:p>
    <w:p w:rsidR="008F65E6" w:rsidRDefault="008F65E6" w:rsidP="00D20CB5">
      <w:pPr>
        <w:tabs>
          <w:tab w:val="right" w:pos="850"/>
          <w:tab w:val="left" w:pos="1134"/>
          <w:tab w:val="left" w:pos="1559"/>
          <w:tab w:val="left" w:pos="1984"/>
          <w:tab w:val="left" w:leader="dot" w:pos="8929"/>
          <w:tab w:val="right" w:pos="9638"/>
        </w:tabs>
        <w:spacing w:after="120" w:line="220" w:lineRule="atLeast"/>
      </w:pPr>
      <w:r>
        <w:tab/>
      </w:r>
      <w:r>
        <w:tab/>
      </w:r>
      <w:r>
        <w:tab/>
      </w:r>
      <w:r w:rsidR="00714B07">
        <w:t>R.</w:t>
      </w:r>
      <w:r>
        <w:tab/>
      </w:r>
      <w:r w:rsidR="00714B07" w:rsidRPr="00640449">
        <w:rPr>
          <w:lang w:val="fr-FR"/>
        </w:rPr>
        <w:t xml:space="preserve">Réponse à </w:t>
      </w:r>
      <w:r w:rsidR="00714B07" w:rsidRPr="00640449">
        <w:t>la</w:t>
      </w:r>
      <w:r w:rsidR="00714B07" w:rsidRPr="00640449">
        <w:rPr>
          <w:lang w:val="fr-FR"/>
        </w:rPr>
        <w:t xml:space="preserve"> question posée au paragraphe 6 (d)</w:t>
      </w:r>
      <w:r>
        <w:tab/>
      </w:r>
      <w:r>
        <w:tab/>
      </w:r>
      <w:r w:rsidR="00E13B1E">
        <w:t>1</w:t>
      </w:r>
      <w:r w:rsidR="000C376E">
        <w:t>9</w:t>
      </w:r>
    </w:p>
    <w:p w:rsidR="008F65E6" w:rsidRDefault="008F65E6" w:rsidP="00D20CB5">
      <w:pPr>
        <w:tabs>
          <w:tab w:val="right" w:pos="850"/>
          <w:tab w:val="left" w:pos="1134"/>
          <w:tab w:val="left" w:pos="1559"/>
          <w:tab w:val="left" w:pos="1984"/>
          <w:tab w:val="left" w:leader="dot" w:pos="8929"/>
          <w:tab w:val="right" w:pos="9638"/>
        </w:tabs>
        <w:spacing w:after="120" w:line="220" w:lineRule="atLeast"/>
      </w:pPr>
      <w:r>
        <w:tab/>
      </w:r>
      <w:r>
        <w:tab/>
      </w:r>
      <w:r>
        <w:tab/>
      </w:r>
      <w:r w:rsidR="009F7E25">
        <w:t>S.</w:t>
      </w:r>
      <w:r>
        <w:tab/>
      </w:r>
      <w:r w:rsidR="009F7E25" w:rsidRPr="00640449">
        <w:rPr>
          <w:lang w:val="fr-FR"/>
        </w:rPr>
        <w:t xml:space="preserve">Réponse à </w:t>
      </w:r>
      <w:r w:rsidR="009F7E25" w:rsidRPr="00640449">
        <w:t>la</w:t>
      </w:r>
      <w:r w:rsidR="009F7E25" w:rsidRPr="00640449">
        <w:rPr>
          <w:lang w:val="fr-FR"/>
        </w:rPr>
        <w:t xml:space="preserve"> question posée au paragraphe 7</w:t>
      </w:r>
      <w:r>
        <w:tab/>
      </w:r>
      <w:r>
        <w:tab/>
      </w:r>
      <w:r w:rsidR="00E13B1E">
        <w:t>19</w:t>
      </w:r>
    </w:p>
    <w:p w:rsidR="009F7E25" w:rsidRDefault="009F7E25" w:rsidP="00D20CB5">
      <w:pPr>
        <w:tabs>
          <w:tab w:val="right" w:pos="850"/>
          <w:tab w:val="left" w:pos="1134"/>
          <w:tab w:val="left" w:pos="1559"/>
          <w:tab w:val="left" w:pos="1984"/>
          <w:tab w:val="left" w:leader="dot" w:pos="8929"/>
          <w:tab w:val="right" w:pos="9638"/>
        </w:tabs>
        <w:spacing w:after="120" w:line="220" w:lineRule="atLeast"/>
      </w:pPr>
      <w:r>
        <w:tab/>
      </w:r>
      <w:r>
        <w:tab/>
      </w:r>
      <w:r>
        <w:tab/>
        <w:t>T.</w:t>
      </w:r>
      <w:r>
        <w:tab/>
      </w:r>
      <w:r w:rsidRPr="00640449">
        <w:rPr>
          <w:lang w:val="fr-FR"/>
        </w:rPr>
        <w:t xml:space="preserve">Réponse à </w:t>
      </w:r>
      <w:r w:rsidRPr="00640449">
        <w:t>la</w:t>
      </w:r>
      <w:r w:rsidRPr="00640449">
        <w:rPr>
          <w:lang w:val="fr-FR"/>
        </w:rPr>
        <w:t xml:space="preserve"> question posée au paragraphe 8</w:t>
      </w:r>
      <w:r>
        <w:tab/>
      </w:r>
      <w:r>
        <w:tab/>
      </w:r>
      <w:r w:rsidR="00E13B1E">
        <w:t>19</w:t>
      </w:r>
    </w:p>
    <w:p w:rsidR="009F7E25" w:rsidRDefault="009F7E25" w:rsidP="00D20CB5">
      <w:pPr>
        <w:tabs>
          <w:tab w:val="right" w:pos="850"/>
          <w:tab w:val="left" w:pos="1134"/>
          <w:tab w:val="left" w:pos="1559"/>
          <w:tab w:val="left" w:pos="1984"/>
          <w:tab w:val="left" w:leader="dot" w:pos="8929"/>
          <w:tab w:val="right" w:pos="9638"/>
        </w:tabs>
        <w:spacing w:after="120" w:line="220" w:lineRule="atLeast"/>
      </w:pPr>
      <w:r>
        <w:tab/>
      </w:r>
      <w:r>
        <w:tab/>
      </w:r>
      <w:r>
        <w:tab/>
      </w:r>
      <w:r w:rsidR="00AD3694">
        <w:t>U.</w:t>
      </w:r>
      <w:r>
        <w:tab/>
      </w:r>
      <w:r w:rsidR="00AD3694" w:rsidRPr="00640449">
        <w:rPr>
          <w:lang w:val="fr-FR"/>
        </w:rPr>
        <w:t xml:space="preserve">Réponse à </w:t>
      </w:r>
      <w:r w:rsidR="00AD3694" w:rsidRPr="00640449">
        <w:t>la</w:t>
      </w:r>
      <w:r w:rsidR="00AD3694" w:rsidRPr="00640449">
        <w:rPr>
          <w:lang w:val="fr-FR"/>
        </w:rPr>
        <w:t xml:space="preserve"> question posée au paragraphe 9</w:t>
      </w:r>
      <w:r>
        <w:tab/>
      </w:r>
      <w:r>
        <w:tab/>
      </w:r>
      <w:r w:rsidR="00E13B1E">
        <w:t>2</w:t>
      </w:r>
      <w:r w:rsidR="00767E20">
        <w:t>1</w:t>
      </w:r>
    </w:p>
    <w:p w:rsidR="009F7E25" w:rsidRDefault="009F7E25" w:rsidP="00D20CB5">
      <w:pPr>
        <w:tabs>
          <w:tab w:val="right" w:pos="850"/>
          <w:tab w:val="left" w:pos="1134"/>
          <w:tab w:val="left" w:pos="1559"/>
          <w:tab w:val="left" w:pos="1984"/>
          <w:tab w:val="left" w:leader="dot" w:pos="8929"/>
          <w:tab w:val="right" w:pos="9638"/>
        </w:tabs>
        <w:spacing w:after="120" w:line="220" w:lineRule="atLeast"/>
      </w:pPr>
      <w:r>
        <w:tab/>
      </w:r>
      <w:r>
        <w:tab/>
      </w:r>
      <w:r>
        <w:tab/>
      </w:r>
      <w:r w:rsidR="00AD3694">
        <w:t>V.</w:t>
      </w:r>
      <w:r>
        <w:tab/>
      </w:r>
      <w:r w:rsidR="00AD3694" w:rsidRPr="00640449">
        <w:rPr>
          <w:lang w:val="fr-FR"/>
        </w:rPr>
        <w:t xml:space="preserve">Réponse à </w:t>
      </w:r>
      <w:r w:rsidR="00AD3694" w:rsidRPr="00640449">
        <w:t>la</w:t>
      </w:r>
      <w:r w:rsidR="00AD3694" w:rsidRPr="00640449">
        <w:rPr>
          <w:lang w:val="fr-FR"/>
        </w:rPr>
        <w:t xml:space="preserve"> question posée au paragraphe 10 (a)</w:t>
      </w:r>
      <w:r>
        <w:tab/>
      </w:r>
      <w:r>
        <w:tab/>
      </w:r>
      <w:r w:rsidR="00E13B1E">
        <w:t>2</w:t>
      </w:r>
      <w:r w:rsidR="00767E20">
        <w:t>2</w:t>
      </w:r>
    </w:p>
    <w:p w:rsidR="00AD3694" w:rsidRDefault="00AD3694" w:rsidP="00D20CB5">
      <w:pPr>
        <w:tabs>
          <w:tab w:val="right" w:pos="850"/>
          <w:tab w:val="left" w:pos="1134"/>
          <w:tab w:val="left" w:pos="1559"/>
          <w:tab w:val="left" w:pos="1984"/>
          <w:tab w:val="left" w:leader="dot" w:pos="8929"/>
          <w:tab w:val="right" w:pos="9638"/>
        </w:tabs>
        <w:spacing w:after="120" w:line="220" w:lineRule="atLeast"/>
      </w:pPr>
      <w:r>
        <w:tab/>
      </w:r>
      <w:r>
        <w:tab/>
      </w:r>
      <w:r>
        <w:tab/>
        <w:t>W.</w:t>
      </w:r>
      <w:r>
        <w:tab/>
      </w:r>
      <w:r w:rsidRPr="00640449">
        <w:rPr>
          <w:lang w:val="fr-FR"/>
        </w:rPr>
        <w:t xml:space="preserve">Réponse à </w:t>
      </w:r>
      <w:r w:rsidRPr="00640449">
        <w:t>la</w:t>
      </w:r>
      <w:r w:rsidRPr="00640449">
        <w:rPr>
          <w:lang w:val="fr-FR"/>
        </w:rPr>
        <w:t xml:space="preserve"> question posée au paragraphe 10 (b)</w:t>
      </w:r>
      <w:r>
        <w:tab/>
      </w:r>
      <w:r>
        <w:tab/>
      </w:r>
      <w:r w:rsidR="00E13B1E">
        <w:t>2</w:t>
      </w:r>
      <w:r w:rsidR="000C376E">
        <w:t>2</w:t>
      </w:r>
    </w:p>
    <w:p w:rsidR="00AD3694" w:rsidRDefault="00AD3694" w:rsidP="00D20CB5">
      <w:pPr>
        <w:tabs>
          <w:tab w:val="right" w:pos="850"/>
          <w:tab w:val="left" w:pos="1134"/>
          <w:tab w:val="left" w:pos="1559"/>
          <w:tab w:val="left" w:pos="1984"/>
          <w:tab w:val="left" w:leader="dot" w:pos="8929"/>
          <w:tab w:val="right" w:pos="9638"/>
        </w:tabs>
        <w:spacing w:after="120" w:line="220" w:lineRule="atLeast"/>
      </w:pPr>
      <w:r>
        <w:tab/>
      </w:r>
      <w:r>
        <w:tab/>
      </w:r>
      <w:r>
        <w:tab/>
      </w:r>
      <w:r w:rsidR="00522CD9">
        <w:t>X.</w:t>
      </w:r>
      <w:r>
        <w:tab/>
      </w:r>
      <w:r w:rsidR="00522CD9" w:rsidRPr="00640449">
        <w:rPr>
          <w:lang w:val="fr-FR"/>
        </w:rPr>
        <w:t xml:space="preserve">Réponse à </w:t>
      </w:r>
      <w:r w:rsidR="00522CD9" w:rsidRPr="00640449">
        <w:t>la</w:t>
      </w:r>
      <w:r w:rsidR="00522CD9" w:rsidRPr="00640449">
        <w:rPr>
          <w:lang w:val="fr-FR"/>
        </w:rPr>
        <w:t xml:space="preserve"> question posée au paragraphe 10 (c)</w:t>
      </w:r>
      <w:r>
        <w:tab/>
      </w:r>
      <w:r>
        <w:tab/>
      </w:r>
      <w:r w:rsidR="00E13B1E">
        <w:t>2</w:t>
      </w:r>
      <w:r w:rsidR="00767E20">
        <w:t>5</w:t>
      </w:r>
    </w:p>
    <w:p w:rsidR="00AD3694" w:rsidRDefault="00AD3694" w:rsidP="00D20CB5">
      <w:pPr>
        <w:tabs>
          <w:tab w:val="right" w:pos="850"/>
          <w:tab w:val="left" w:pos="1134"/>
          <w:tab w:val="left" w:pos="1559"/>
          <w:tab w:val="left" w:pos="1984"/>
          <w:tab w:val="left" w:leader="dot" w:pos="8929"/>
          <w:tab w:val="right" w:pos="9638"/>
        </w:tabs>
        <w:spacing w:after="120" w:line="220" w:lineRule="atLeast"/>
      </w:pPr>
      <w:r>
        <w:tab/>
      </w:r>
      <w:r>
        <w:tab/>
      </w:r>
      <w:r>
        <w:tab/>
      </w:r>
      <w:r w:rsidR="00522CD9">
        <w:t>Y.</w:t>
      </w:r>
      <w:r>
        <w:tab/>
      </w:r>
      <w:r w:rsidR="00522CD9" w:rsidRPr="00640449">
        <w:rPr>
          <w:lang w:val="fr-FR"/>
        </w:rPr>
        <w:t xml:space="preserve">Réponse à </w:t>
      </w:r>
      <w:r w:rsidR="00522CD9" w:rsidRPr="00640449">
        <w:t>la</w:t>
      </w:r>
      <w:r w:rsidR="00522CD9" w:rsidRPr="00640449">
        <w:rPr>
          <w:lang w:val="fr-FR"/>
        </w:rPr>
        <w:t xml:space="preserve"> question posée au paragraphe 10 (d)</w:t>
      </w:r>
      <w:r>
        <w:tab/>
      </w:r>
      <w:r>
        <w:tab/>
      </w:r>
      <w:r w:rsidR="00E13B1E">
        <w:t>2</w:t>
      </w:r>
      <w:r w:rsidR="00767E20">
        <w:t>5</w:t>
      </w:r>
    </w:p>
    <w:p w:rsidR="00522CD9" w:rsidRDefault="00522CD9" w:rsidP="00D20CB5">
      <w:pPr>
        <w:tabs>
          <w:tab w:val="right" w:pos="850"/>
          <w:tab w:val="left" w:pos="1134"/>
          <w:tab w:val="left" w:pos="1559"/>
          <w:tab w:val="left" w:pos="1984"/>
          <w:tab w:val="left" w:leader="dot" w:pos="8929"/>
          <w:tab w:val="right" w:pos="9638"/>
        </w:tabs>
        <w:spacing w:after="120" w:line="220" w:lineRule="atLeast"/>
      </w:pPr>
      <w:r>
        <w:tab/>
      </w:r>
      <w:r>
        <w:tab/>
      </w:r>
      <w:r>
        <w:tab/>
        <w:t>Z.</w:t>
      </w:r>
      <w:r>
        <w:tab/>
      </w:r>
      <w:r w:rsidRPr="00640449">
        <w:rPr>
          <w:lang w:val="fr-FR"/>
        </w:rPr>
        <w:t xml:space="preserve">Réponse à </w:t>
      </w:r>
      <w:r w:rsidRPr="00640449">
        <w:t>la</w:t>
      </w:r>
      <w:r w:rsidRPr="00640449">
        <w:rPr>
          <w:lang w:val="fr-FR"/>
        </w:rPr>
        <w:t xml:space="preserve"> question posée au paragraphe 11 (a)</w:t>
      </w:r>
      <w:r>
        <w:tab/>
      </w:r>
      <w:r>
        <w:tab/>
      </w:r>
      <w:r w:rsidR="00E13B1E">
        <w:t>2</w:t>
      </w:r>
      <w:r w:rsidR="00767E20">
        <w:t>5</w:t>
      </w:r>
    </w:p>
    <w:p w:rsidR="00522CD9" w:rsidRDefault="00522CD9" w:rsidP="00D20CB5">
      <w:pPr>
        <w:tabs>
          <w:tab w:val="right" w:pos="850"/>
          <w:tab w:val="left" w:pos="1134"/>
          <w:tab w:val="left" w:pos="1559"/>
          <w:tab w:val="left" w:pos="1984"/>
          <w:tab w:val="left" w:leader="dot" w:pos="8929"/>
          <w:tab w:val="right" w:pos="9638"/>
        </w:tabs>
        <w:spacing w:after="120" w:line="220" w:lineRule="atLeast"/>
      </w:pPr>
      <w:r>
        <w:tab/>
      </w:r>
      <w:r>
        <w:tab/>
      </w:r>
      <w:r>
        <w:tab/>
      </w:r>
      <w:r w:rsidR="007B6760">
        <w:t>AA.</w:t>
      </w:r>
      <w:r>
        <w:tab/>
      </w:r>
      <w:r w:rsidR="007B6760" w:rsidRPr="00640449">
        <w:rPr>
          <w:lang w:val="fr-FR"/>
        </w:rPr>
        <w:t xml:space="preserve">Réponse à </w:t>
      </w:r>
      <w:r w:rsidR="007B6760" w:rsidRPr="00640449">
        <w:t>la</w:t>
      </w:r>
      <w:r w:rsidR="007B6760" w:rsidRPr="00640449">
        <w:rPr>
          <w:lang w:val="fr-FR"/>
        </w:rPr>
        <w:t xml:space="preserve"> question posée au paragraphe 11 (b)</w:t>
      </w:r>
      <w:r>
        <w:tab/>
      </w:r>
      <w:r>
        <w:tab/>
      </w:r>
      <w:r w:rsidR="00E13B1E">
        <w:t>2</w:t>
      </w:r>
      <w:r w:rsidR="00767E20">
        <w:t>6</w:t>
      </w:r>
    </w:p>
    <w:p w:rsidR="00522CD9" w:rsidRDefault="00522CD9" w:rsidP="00D20CB5">
      <w:pPr>
        <w:tabs>
          <w:tab w:val="right" w:pos="850"/>
          <w:tab w:val="left" w:pos="1134"/>
          <w:tab w:val="left" w:pos="1559"/>
          <w:tab w:val="left" w:pos="1984"/>
          <w:tab w:val="left" w:leader="dot" w:pos="8929"/>
          <w:tab w:val="right" w:pos="9638"/>
        </w:tabs>
        <w:spacing w:after="120" w:line="220" w:lineRule="atLeast"/>
      </w:pPr>
      <w:r>
        <w:tab/>
      </w:r>
      <w:r>
        <w:tab/>
      </w:r>
      <w:r>
        <w:tab/>
      </w:r>
      <w:r w:rsidR="007B6760">
        <w:t>AB.</w:t>
      </w:r>
      <w:r>
        <w:tab/>
      </w:r>
      <w:r w:rsidR="007B6760" w:rsidRPr="00640449">
        <w:rPr>
          <w:lang w:val="fr-FR"/>
        </w:rPr>
        <w:t xml:space="preserve">Réponse à </w:t>
      </w:r>
      <w:r w:rsidR="007B6760" w:rsidRPr="00640449">
        <w:t>la</w:t>
      </w:r>
      <w:r w:rsidR="007B6760" w:rsidRPr="00640449">
        <w:rPr>
          <w:lang w:val="fr-FR"/>
        </w:rPr>
        <w:t xml:space="preserve"> question posée au paragraphe 11 (c)</w:t>
      </w:r>
      <w:r>
        <w:tab/>
      </w:r>
      <w:r>
        <w:tab/>
      </w:r>
      <w:r w:rsidR="00E13B1E">
        <w:t>2</w:t>
      </w:r>
      <w:r w:rsidR="00B01876">
        <w:t>6</w:t>
      </w:r>
    </w:p>
    <w:p w:rsidR="007B6760" w:rsidRDefault="007B6760" w:rsidP="00D20CB5">
      <w:pPr>
        <w:tabs>
          <w:tab w:val="right" w:pos="850"/>
          <w:tab w:val="left" w:pos="1134"/>
          <w:tab w:val="left" w:pos="1559"/>
          <w:tab w:val="left" w:pos="1984"/>
          <w:tab w:val="left" w:leader="dot" w:pos="8929"/>
          <w:tab w:val="right" w:pos="9638"/>
        </w:tabs>
        <w:spacing w:after="120" w:line="220" w:lineRule="atLeast"/>
      </w:pPr>
      <w:r>
        <w:tab/>
      </w:r>
      <w:r>
        <w:tab/>
      </w:r>
      <w:r>
        <w:tab/>
        <w:t>AC.</w:t>
      </w:r>
      <w:r>
        <w:tab/>
      </w:r>
      <w:r w:rsidRPr="00640449">
        <w:rPr>
          <w:lang w:val="fr-FR"/>
        </w:rPr>
        <w:t xml:space="preserve">Réponse à </w:t>
      </w:r>
      <w:r w:rsidRPr="00640449">
        <w:t>la</w:t>
      </w:r>
      <w:r w:rsidRPr="00640449">
        <w:rPr>
          <w:lang w:val="fr-FR"/>
        </w:rPr>
        <w:t xml:space="preserve"> question posée au paragraphe 12 (a)</w:t>
      </w:r>
      <w:r>
        <w:tab/>
      </w:r>
      <w:r>
        <w:tab/>
      </w:r>
      <w:r w:rsidR="00E13B1E">
        <w:t>2</w:t>
      </w:r>
      <w:r w:rsidR="00767E20">
        <w:t>7</w:t>
      </w:r>
    </w:p>
    <w:p w:rsidR="007B6760" w:rsidRDefault="007B6760" w:rsidP="00D20CB5">
      <w:pPr>
        <w:tabs>
          <w:tab w:val="right" w:pos="850"/>
          <w:tab w:val="left" w:pos="1134"/>
          <w:tab w:val="left" w:pos="1559"/>
          <w:tab w:val="left" w:pos="1984"/>
          <w:tab w:val="left" w:leader="dot" w:pos="8929"/>
          <w:tab w:val="right" w:pos="9638"/>
        </w:tabs>
        <w:spacing w:after="120" w:line="220" w:lineRule="atLeast"/>
      </w:pPr>
      <w:r>
        <w:tab/>
      </w:r>
      <w:r>
        <w:tab/>
      </w:r>
      <w:r>
        <w:tab/>
        <w:t>AD.</w:t>
      </w:r>
      <w:r>
        <w:tab/>
      </w:r>
      <w:r w:rsidRPr="00640449">
        <w:rPr>
          <w:lang w:val="fr-FR"/>
        </w:rPr>
        <w:t xml:space="preserve">Réponse à </w:t>
      </w:r>
      <w:r w:rsidRPr="00640449">
        <w:t>la</w:t>
      </w:r>
      <w:r w:rsidRPr="00640449">
        <w:rPr>
          <w:lang w:val="fr-FR"/>
        </w:rPr>
        <w:t xml:space="preserve"> question posée au paragraphe 12 (b)</w:t>
      </w:r>
      <w:r>
        <w:tab/>
      </w:r>
      <w:r>
        <w:tab/>
      </w:r>
      <w:r w:rsidR="00E13B1E">
        <w:t>2</w:t>
      </w:r>
      <w:r w:rsidR="00767E20">
        <w:t>7</w:t>
      </w:r>
    </w:p>
    <w:p w:rsidR="007B6760" w:rsidRDefault="007B6760" w:rsidP="00D20CB5">
      <w:pPr>
        <w:tabs>
          <w:tab w:val="right" w:pos="850"/>
          <w:tab w:val="left" w:pos="1134"/>
          <w:tab w:val="left" w:pos="1559"/>
          <w:tab w:val="left" w:pos="1984"/>
          <w:tab w:val="left" w:leader="dot" w:pos="8929"/>
          <w:tab w:val="right" w:pos="9638"/>
        </w:tabs>
        <w:spacing w:after="120" w:line="220" w:lineRule="atLeast"/>
      </w:pPr>
      <w:r>
        <w:tab/>
      </w:r>
      <w:r>
        <w:tab/>
      </w:r>
      <w:r>
        <w:tab/>
        <w:t>AE.</w:t>
      </w:r>
      <w:r>
        <w:tab/>
      </w:r>
      <w:r w:rsidRPr="00640449">
        <w:rPr>
          <w:lang w:val="fr-FR"/>
        </w:rPr>
        <w:t xml:space="preserve">Réponse à </w:t>
      </w:r>
      <w:r w:rsidRPr="00640449">
        <w:t>la</w:t>
      </w:r>
      <w:r w:rsidRPr="00640449">
        <w:rPr>
          <w:lang w:val="fr-FR"/>
        </w:rPr>
        <w:t xml:space="preserve"> question posée au paragraphe 12 (c)</w:t>
      </w:r>
      <w:r>
        <w:tab/>
      </w:r>
      <w:r>
        <w:tab/>
      </w:r>
      <w:r w:rsidR="00E13B1E">
        <w:t>2</w:t>
      </w:r>
      <w:r w:rsidR="00767E20">
        <w:t>7</w:t>
      </w:r>
    </w:p>
    <w:p w:rsidR="007B6760" w:rsidRDefault="007B6760" w:rsidP="00D20CB5">
      <w:pPr>
        <w:tabs>
          <w:tab w:val="right" w:pos="850"/>
          <w:tab w:val="left" w:pos="1134"/>
          <w:tab w:val="left" w:pos="1559"/>
          <w:tab w:val="left" w:pos="1984"/>
          <w:tab w:val="left" w:leader="dot" w:pos="8929"/>
          <w:tab w:val="right" w:pos="9638"/>
        </w:tabs>
        <w:spacing w:after="120" w:line="220" w:lineRule="atLeast"/>
      </w:pPr>
      <w:r>
        <w:tab/>
      </w:r>
      <w:r>
        <w:tab/>
      </w:r>
      <w:r>
        <w:tab/>
      </w:r>
      <w:r w:rsidR="00FE20BA">
        <w:t>AF.</w:t>
      </w:r>
      <w:r>
        <w:tab/>
      </w:r>
      <w:r w:rsidR="00FE20BA" w:rsidRPr="00640449">
        <w:rPr>
          <w:lang w:val="fr-FR"/>
        </w:rPr>
        <w:t xml:space="preserve">Réponse à </w:t>
      </w:r>
      <w:r w:rsidR="00FE20BA" w:rsidRPr="00640449">
        <w:t>la</w:t>
      </w:r>
      <w:r w:rsidR="00FE20BA" w:rsidRPr="00640449">
        <w:rPr>
          <w:lang w:val="fr-FR"/>
        </w:rPr>
        <w:t xml:space="preserve"> question posée au paragraphe 12 (d)</w:t>
      </w:r>
      <w:r>
        <w:tab/>
      </w:r>
      <w:r>
        <w:tab/>
      </w:r>
      <w:r w:rsidR="00E13B1E">
        <w:t>2</w:t>
      </w:r>
      <w:r w:rsidR="00767E20">
        <w:t>7</w:t>
      </w:r>
    </w:p>
    <w:p w:rsidR="007B6760" w:rsidRDefault="007B6760" w:rsidP="00D20CB5">
      <w:pPr>
        <w:tabs>
          <w:tab w:val="right" w:pos="850"/>
          <w:tab w:val="left" w:pos="1134"/>
          <w:tab w:val="left" w:pos="1559"/>
          <w:tab w:val="left" w:pos="1984"/>
          <w:tab w:val="left" w:leader="dot" w:pos="8929"/>
          <w:tab w:val="right" w:pos="9638"/>
        </w:tabs>
        <w:spacing w:after="120" w:line="220" w:lineRule="atLeast"/>
      </w:pPr>
      <w:r>
        <w:tab/>
      </w:r>
      <w:r>
        <w:tab/>
      </w:r>
      <w:r>
        <w:tab/>
      </w:r>
      <w:r w:rsidR="0034047C">
        <w:t>AG.</w:t>
      </w:r>
      <w:r>
        <w:tab/>
      </w:r>
      <w:r w:rsidR="0034047C" w:rsidRPr="00640449">
        <w:rPr>
          <w:lang w:val="fr-FR"/>
        </w:rPr>
        <w:t xml:space="preserve">Réponse à </w:t>
      </w:r>
      <w:r w:rsidR="0034047C" w:rsidRPr="00640449">
        <w:t>la</w:t>
      </w:r>
      <w:r w:rsidR="0034047C" w:rsidRPr="00640449">
        <w:rPr>
          <w:lang w:val="fr-FR"/>
        </w:rPr>
        <w:t xml:space="preserve"> question posée au paragraphe 13 (a)</w:t>
      </w:r>
      <w:r>
        <w:tab/>
      </w:r>
      <w:r>
        <w:tab/>
      </w:r>
      <w:r w:rsidR="00E13B1E">
        <w:t>2</w:t>
      </w:r>
      <w:r w:rsidR="00767E20">
        <w:t>8</w:t>
      </w:r>
    </w:p>
    <w:p w:rsidR="0034047C" w:rsidRDefault="0034047C" w:rsidP="00B01876">
      <w:pPr>
        <w:tabs>
          <w:tab w:val="right" w:pos="850"/>
          <w:tab w:val="left" w:pos="1134"/>
          <w:tab w:val="left" w:pos="1559"/>
          <w:tab w:val="left" w:pos="1984"/>
          <w:tab w:val="left" w:leader="dot" w:pos="8929"/>
          <w:tab w:val="right" w:pos="9638"/>
        </w:tabs>
        <w:spacing w:after="120" w:line="220" w:lineRule="atLeast"/>
      </w:pPr>
      <w:r>
        <w:tab/>
      </w:r>
      <w:r>
        <w:tab/>
      </w:r>
      <w:r>
        <w:tab/>
        <w:t>AH.</w:t>
      </w:r>
      <w:r>
        <w:tab/>
      </w:r>
      <w:r w:rsidRPr="00640449">
        <w:rPr>
          <w:lang w:val="fr-FR"/>
        </w:rPr>
        <w:t>Réponse aux questions posées aux paragraphes 13 (b) et (c)</w:t>
      </w:r>
      <w:r>
        <w:tab/>
      </w:r>
      <w:r>
        <w:tab/>
      </w:r>
      <w:r w:rsidR="00E13B1E">
        <w:t>2</w:t>
      </w:r>
      <w:r w:rsidR="00B01876">
        <w:t>8</w:t>
      </w:r>
    </w:p>
    <w:p w:rsidR="0034047C" w:rsidRDefault="0034047C" w:rsidP="00D20CB5">
      <w:pPr>
        <w:tabs>
          <w:tab w:val="right" w:pos="850"/>
          <w:tab w:val="left" w:pos="1134"/>
          <w:tab w:val="left" w:pos="1559"/>
          <w:tab w:val="left" w:pos="1984"/>
          <w:tab w:val="left" w:leader="dot" w:pos="8929"/>
          <w:tab w:val="right" w:pos="9638"/>
        </w:tabs>
        <w:spacing w:after="120" w:line="220" w:lineRule="atLeast"/>
      </w:pPr>
      <w:r>
        <w:tab/>
      </w:r>
      <w:r>
        <w:tab/>
      </w:r>
      <w:r>
        <w:tab/>
        <w:t>AI.</w:t>
      </w:r>
      <w:r>
        <w:tab/>
      </w:r>
      <w:r w:rsidRPr="00640449">
        <w:rPr>
          <w:lang w:val="fr-FR"/>
        </w:rPr>
        <w:t xml:space="preserve">Réponse à </w:t>
      </w:r>
      <w:r w:rsidRPr="00640449">
        <w:t>la</w:t>
      </w:r>
      <w:r w:rsidRPr="00640449">
        <w:rPr>
          <w:lang w:val="fr-FR"/>
        </w:rPr>
        <w:t xml:space="preserve"> question posée au paragraphe 14</w:t>
      </w:r>
      <w:r>
        <w:tab/>
      </w:r>
      <w:r>
        <w:tab/>
      </w:r>
      <w:r w:rsidR="00E13B1E">
        <w:t>2</w:t>
      </w:r>
      <w:r w:rsidR="00B01876">
        <w:t>9</w:t>
      </w:r>
    </w:p>
    <w:p w:rsidR="00E13B1E" w:rsidRDefault="00E13B1E" w:rsidP="00D20CB5">
      <w:pPr>
        <w:tabs>
          <w:tab w:val="right" w:pos="850"/>
          <w:tab w:val="left" w:pos="1134"/>
          <w:tab w:val="left" w:pos="1559"/>
          <w:tab w:val="left" w:pos="1984"/>
          <w:tab w:val="left" w:leader="dot" w:pos="8929"/>
          <w:tab w:val="right" w:pos="9638"/>
        </w:tabs>
        <w:spacing w:after="120" w:line="220" w:lineRule="atLeast"/>
      </w:pPr>
      <w:r>
        <w:tab/>
      </w:r>
      <w:r>
        <w:tab/>
      </w:r>
      <w:r>
        <w:tab/>
      </w:r>
      <w:r w:rsidR="00A96E2E">
        <w:t>AJ.</w:t>
      </w:r>
      <w:r>
        <w:tab/>
      </w:r>
      <w:r w:rsidR="00A96E2E" w:rsidRPr="00640449">
        <w:rPr>
          <w:lang w:val="fr-FR"/>
        </w:rPr>
        <w:t xml:space="preserve">Réponse à </w:t>
      </w:r>
      <w:r w:rsidR="00A96E2E" w:rsidRPr="00640449">
        <w:t>la</w:t>
      </w:r>
      <w:r w:rsidR="00A96E2E" w:rsidRPr="00640449">
        <w:rPr>
          <w:lang w:val="fr-FR"/>
        </w:rPr>
        <w:t xml:space="preserve"> question posée au paragraphe 15 (a)</w:t>
      </w:r>
      <w:r>
        <w:tab/>
      </w:r>
      <w:r>
        <w:tab/>
      </w:r>
      <w:r w:rsidR="00767E20">
        <w:t>30</w:t>
      </w:r>
    </w:p>
    <w:p w:rsidR="00E13B1E" w:rsidRDefault="00E13B1E" w:rsidP="00D20CB5">
      <w:pPr>
        <w:tabs>
          <w:tab w:val="right" w:pos="850"/>
          <w:tab w:val="left" w:pos="1134"/>
          <w:tab w:val="left" w:pos="1559"/>
          <w:tab w:val="left" w:pos="1984"/>
          <w:tab w:val="left" w:leader="dot" w:pos="8929"/>
          <w:tab w:val="right" w:pos="9638"/>
        </w:tabs>
        <w:spacing w:after="120" w:line="220" w:lineRule="atLeast"/>
      </w:pPr>
      <w:r>
        <w:lastRenderedPageBreak/>
        <w:tab/>
      </w:r>
      <w:r>
        <w:tab/>
      </w:r>
      <w:r>
        <w:tab/>
      </w:r>
      <w:r w:rsidR="00A96E2E">
        <w:t>AK.</w:t>
      </w:r>
      <w:r>
        <w:tab/>
      </w:r>
      <w:r w:rsidR="00A96E2E" w:rsidRPr="00640449">
        <w:rPr>
          <w:lang w:val="fr-FR"/>
        </w:rPr>
        <w:t xml:space="preserve">Réponse à </w:t>
      </w:r>
      <w:r w:rsidR="00A96E2E" w:rsidRPr="00640449">
        <w:t>la</w:t>
      </w:r>
      <w:r w:rsidR="00A96E2E" w:rsidRPr="00640449">
        <w:rPr>
          <w:lang w:val="fr-FR"/>
        </w:rPr>
        <w:t xml:space="preserve"> question posée au paragraphe 15 (b)</w:t>
      </w:r>
      <w:r>
        <w:tab/>
      </w:r>
      <w:r>
        <w:tab/>
      </w:r>
      <w:r w:rsidR="00767E20">
        <w:t>30</w:t>
      </w:r>
    </w:p>
    <w:p w:rsidR="00E13B1E" w:rsidRDefault="00E13B1E" w:rsidP="00D20CB5">
      <w:pPr>
        <w:tabs>
          <w:tab w:val="right" w:pos="850"/>
          <w:tab w:val="left" w:pos="1134"/>
          <w:tab w:val="left" w:pos="1559"/>
          <w:tab w:val="left" w:pos="1984"/>
          <w:tab w:val="left" w:leader="dot" w:pos="8929"/>
          <w:tab w:val="right" w:pos="9638"/>
        </w:tabs>
        <w:spacing w:after="120" w:line="220" w:lineRule="atLeast"/>
      </w:pPr>
      <w:r>
        <w:tab/>
      </w:r>
      <w:r>
        <w:tab/>
      </w:r>
      <w:r>
        <w:tab/>
      </w:r>
      <w:r w:rsidR="00A96E2E">
        <w:t>AL.</w:t>
      </w:r>
      <w:r>
        <w:tab/>
      </w:r>
      <w:r w:rsidR="00A96E2E" w:rsidRPr="00640449">
        <w:rPr>
          <w:lang w:val="fr-FR"/>
        </w:rPr>
        <w:t xml:space="preserve">Réponse à </w:t>
      </w:r>
      <w:r w:rsidR="00A96E2E" w:rsidRPr="00640449">
        <w:t>la</w:t>
      </w:r>
      <w:r w:rsidR="00A96E2E" w:rsidRPr="00640449">
        <w:rPr>
          <w:lang w:val="fr-FR"/>
        </w:rPr>
        <w:t xml:space="preserve"> question posée au paragraphe 15 (c)</w:t>
      </w:r>
      <w:r>
        <w:tab/>
      </w:r>
      <w:r>
        <w:tab/>
      </w:r>
      <w:r w:rsidR="00A96E2E">
        <w:t>3</w:t>
      </w:r>
      <w:r w:rsidR="00767E20">
        <w:t>1</w:t>
      </w:r>
    </w:p>
    <w:p w:rsidR="00E13B1E" w:rsidRDefault="00E13B1E" w:rsidP="00D20CB5">
      <w:pPr>
        <w:tabs>
          <w:tab w:val="right" w:pos="850"/>
          <w:tab w:val="left" w:pos="1134"/>
          <w:tab w:val="left" w:pos="1559"/>
          <w:tab w:val="left" w:pos="1984"/>
          <w:tab w:val="left" w:leader="dot" w:pos="8929"/>
          <w:tab w:val="right" w:pos="9638"/>
        </w:tabs>
        <w:spacing w:after="120" w:line="220" w:lineRule="atLeast"/>
      </w:pPr>
      <w:r>
        <w:tab/>
      </w:r>
      <w:r>
        <w:tab/>
      </w:r>
      <w:r>
        <w:tab/>
      </w:r>
      <w:r w:rsidR="00EB39FF">
        <w:t>AM.</w:t>
      </w:r>
      <w:r>
        <w:tab/>
      </w:r>
      <w:r w:rsidR="00A96E2E" w:rsidRPr="00640449">
        <w:rPr>
          <w:lang w:val="fr-FR"/>
        </w:rPr>
        <w:t xml:space="preserve">Réponse à </w:t>
      </w:r>
      <w:r w:rsidR="00A96E2E" w:rsidRPr="00640449">
        <w:t>la</w:t>
      </w:r>
      <w:r w:rsidR="00A96E2E" w:rsidRPr="00640449">
        <w:rPr>
          <w:lang w:val="fr-FR"/>
        </w:rPr>
        <w:t xml:space="preserve"> question posée au paragraphe 16</w:t>
      </w:r>
      <w:r>
        <w:tab/>
      </w:r>
      <w:r>
        <w:tab/>
      </w:r>
      <w:r w:rsidR="00A96E2E">
        <w:t>3</w:t>
      </w:r>
      <w:r w:rsidR="00767E20">
        <w:t>1</w:t>
      </w:r>
    </w:p>
    <w:p w:rsidR="00E13B1E" w:rsidRDefault="00E13B1E" w:rsidP="00D20CB5">
      <w:pPr>
        <w:tabs>
          <w:tab w:val="right" w:pos="850"/>
          <w:tab w:val="left" w:pos="1134"/>
          <w:tab w:val="left" w:pos="1559"/>
          <w:tab w:val="left" w:pos="1984"/>
          <w:tab w:val="left" w:leader="dot" w:pos="8929"/>
          <w:tab w:val="right" w:pos="9638"/>
        </w:tabs>
        <w:spacing w:after="120" w:line="220" w:lineRule="atLeast"/>
      </w:pPr>
      <w:r>
        <w:tab/>
      </w:r>
      <w:r>
        <w:tab/>
      </w:r>
      <w:r>
        <w:tab/>
      </w:r>
      <w:r w:rsidR="00EB39FF">
        <w:t>AN.</w:t>
      </w:r>
      <w:r>
        <w:tab/>
      </w:r>
      <w:r w:rsidR="00EB39FF" w:rsidRPr="00640449">
        <w:rPr>
          <w:lang w:val="fr-FR"/>
        </w:rPr>
        <w:t xml:space="preserve">Réponse à </w:t>
      </w:r>
      <w:r w:rsidR="00EB39FF" w:rsidRPr="00640449">
        <w:t>la</w:t>
      </w:r>
      <w:r w:rsidR="00EB39FF" w:rsidRPr="00640449">
        <w:rPr>
          <w:lang w:val="fr-FR"/>
        </w:rPr>
        <w:t xml:space="preserve"> question posée au paragraphe 17</w:t>
      </w:r>
      <w:r>
        <w:tab/>
      </w:r>
      <w:r>
        <w:tab/>
      </w:r>
      <w:r w:rsidR="00B01876">
        <w:t>31</w:t>
      </w:r>
    </w:p>
    <w:p w:rsidR="00E13B1E" w:rsidRDefault="00E13B1E" w:rsidP="00D20CB5">
      <w:pPr>
        <w:tabs>
          <w:tab w:val="right" w:pos="850"/>
          <w:tab w:val="left" w:pos="1134"/>
          <w:tab w:val="left" w:pos="1559"/>
          <w:tab w:val="left" w:pos="1984"/>
          <w:tab w:val="left" w:leader="dot" w:pos="8929"/>
          <w:tab w:val="right" w:pos="9638"/>
        </w:tabs>
        <w:spacing w:after="120" w:line="220" w:lineRule="atLeast"/>
      </w:pPr>
      <w:r>
        <w:tab/>
      </w:r>
      <w:r>
        <w:tab/>
      </w:r>
      <w:r>
        <w:tab/>
      </w:r>
      <w:r w:rsidR="005B7F56">
        <w:t>AO.</w:t>
      </w:r>
      <w:r>
        <w:tab/>
      </w:r>
      <w:r w:rsidR="005B7F56" w:rsidRPr="00640449">
        <w:rPr>
          <w:lang w:val="fr-FR"/>
        </w:rPr>
        <w:t xml:space="preserve">Réponse à </w:t>
      </w:r>
      <w:r w:rsidR="005B7F56" w:rsidRPr="00640449">
        <w:t>la</w:t>
      </w:r>
      <w:r w:rsidR="005B7F56" w:rsidRPr="00640449">
        <w:rPr>
          <w:lang w:val="fr-FR"/>
        </w:rPr>
        <w:t xml:space="preserve"> question posée au paragraphe 18 (a)</w:t>
      </w:r>
      <w:r>
        <w:tab/>
      </w:r>
      <w:r>
        <w:tab/>
      </w:r>
      <w:r w:rsidR="00B01876">
        <w:t>32</w:t>
      </w:r>
    </w:p>
    <w:p w:rsidR="00E13B1E" w:rsidRDefault="00E13B1E" w:rsidP="00D20CB5">
      <w:pPr>
        <w:tabs>
          <w:tab w:val="right" w:pos="850"/>
          <w:tab w:val="left" w:pos="1134"/>
          <w:tab w:val="left" w:pos="1559"/>
          <w:tab w:val="left" w:pos="1984"/>
          <w:tab w:val="left" w:leader="dot" w:pos="8929"/>
          <w:tab w:val="right" w:pos="9638"/>
        </w:tabs>
        <w:spacing w:after="120" w:line="220" w:lineRule="atLeast"/>
      </w:pPr>
      <w:r>
        <w:tab/>
      </w:r>
      <w:r>
        <w:tab/>
      </w:r>
      <w:r>
        <w:tab/>
      </w:r>
      <w:r w:rsidR="005B7F56">
        <w:t>AP.</w:t>
      </w:r>
      <w:r>
        <w:tab/>
      </w:r>
      <w:r w:rsidR="005B7F56" w:rsidRPr="00640449">
        <w:rPr>
          <w:lang w:val="fr-FR"/>
        </w:rPr>
        <w:t xml:space="preserve">Réponse à </w:t>
      </w:r>
      <w:r w:rsidR="005B7F56" w:rsidRPr="00640449">
        <w:t>la</w:t>
      </w:r>
      <w:r w:rsidR="005B7F56" w:rsidRPr="00640449">
        <w:rPr>
          <w:lang w:val="fr-FR"/>
        </w:rPr>
        <w:t xml:space="preserve"> question posée au paragraphe 18 (b)</w:t>
      </w:r>
      <w:r>
        <w:tab/>
      </w:r>
      <w:r>
        <w:tab/>
      </w:r>
      <w:r w:rsidR="00B01876">
        <w:t>3</w:t>
      </w:r>
      <w:r w:rsidR="00767E20">
        <w:t>3</w:t>
      </w:r>
    </w:p>
    <w:p w:rsidR="00E13B1E" w:rsidRDefault="00E13B1E" w:rsidP="00D20CB5">
      <w:pPr>
        <w:tabs>
          <w:tab w:val="right" w:pos="850"/>
          <w:tab w:val="left" w:pos="1134"/>
          <w:tab w:val="left" w:pos="1559"/>
          <w:tab w:val="left" w:pos="1984"/>
          <w:tab w:val="left" w:leader="dot" w:pos="8929"/>
          <w:tab w:val="right" w:pos="9638"/>
        </w:tabs>
        <w:spacing w:after="120" w:line="220" w:lineRule="atLeast"/>
      </w:pPr>
      <w:r>
        <w:tab/>
      </w:r>
      <w:r>
        <w:tab/>
      </w:r>
      <w:r>
        <w:tab/>
      </w:r>
      <w:r w:rsidR="005B7F56">
        <w:t>AQ.</w:t>
      </w:r>
      <w:r>
        <w:tab/>
      </w:r>
      <w:r w:rsidR="005B7F56" w:rsidRPr="00640449">
        <w:rPr>
          <w:lang w:val="fr-FR"/>
        </w:rPr>
        <w:t xml:space="preserve">Réponse à </w:t>
      </w:r>
      <w:r w:rsidR="005B7F56" w:rsidRPr="00640449">
        <w:t>la</w:t>
      </w:r>
      <w:r w:rsidR="005B7F56" w:rsidRPr="00640449">
        <w:rPr>
          <w:lang w:val="fr-FR"/>
        </w:rPr>
        <w:t xml:space="preserve"> question posée au paragraphe 19</w:t>
      </w:r>
      <w:r>
        <w:tab/>
      </w:r>
      <w:r>
        <w:tab/>
      </w:r>
      <w:r w:rsidR="005B7F56">
        <w:t>3</w:t>
      </w:r>
      <w:r w:rsidR="00767E20">
        <w:t>3</w:t>
      </w:r>
    </w:p>
    <w:p w:rsidR="00E13B1E" w:rsidRDefault="00E13B1E" w:rsidP="00D20CB5">
      <w:pPr>
        <w:tabs>
          <w:tab w:val="right" w:pos="850"/>
          <w:tab w:val="left" w:pos="1134"/>
          <w:tab w:val="left" w:pos="1559"/>
          <w:tab w:val="left" w:pos="1984"/>
          <w:tab w:val="left" w:leader="dot" w:pos="8929"/>
          <w:tab w:val="right" w:pos="9638"/>
        </w:tabs>
        <w:spacing w:after="120" w:line="220" w:lineRule="atLeast"/>
      </w:pPr>
      <w:r>
        <w:tab/>
      </w:r>
      <w:r>
        <w:tab/>
      </w:r>
      <w:r>
        <w:tab/>
      </w:r>
      <w:r w:rsidR="005B7F56">
        <w:t>AR.</w:t>
      </w:r>
      <w:r>
        <w:tab/>
      </w:r>
      <w:r w:rsidR="005B7F56" w:rsidRPr="00640449">
        <w:rPr>
          <w:lang w:val="fr-FR"/>
        </w:rPr>
        <w:t xml:space="preserve">Réponse à </w:t>
      </w:r>
      <w:r w:rsidR="005B7F56" w:rsidRPr="00640449">
        <w:t>la</w:t>
      </w:r>
      <w:r w:rsidR="005B7F56" w:rsidRPr="00640449">
        <w:rPr>
          <w:lang w:val="fr-FR"/>
        </w:rPr>
        <w:t xml:space="preserve"> question posée au paragraphe 20</w:t>
      </w:r>
      <w:r>
        <w:tab/>
      </w:r>
      <w:r>
        <w:tab/>
      </w:r>
      <w:r w:rsidR="005B7F56">
        <w:t>3</w:t>
      </w:r>
      <w:r w:rsidR="00767E20">
        <w:t>3</w:t>
      </w:r>
    </w:p>
    <w:p w:rsidR="00E13B1E" w:rsidRDefault="00E13B1E" w:rsidP="00D20CB5">
      <w:pPr>
        <w:tabs>
          <w:tab w:val="right" w:pos="850"/>
          <w:tab w:val="left" w:pos="1134"/>
          <w:tab w:val="left" w:pos="1559"/>
          <w:tab w:val="left" w:pos="1984"/>
          <w:tab w:val="left" w:leader="dot" w:pos="8929"/>
          <w:tab w:val="right" w:pos="9638"/>
        </w:tabs>
        <w:spacing w:after="120" w:line="220" w:lineRule="atLeast"/>
      </w:pPr>
      <w:r>
        <w:tab/>
      </w:r>
      <w:r>
        <w:tab/>
      </w:r>
      <w:r>
        <w:tab/>
      </w:r>
      <w:r w:rsidR="005B7F56">
        <w:t>AS.</w:t>
      </w:r>
      <w:r>
        <w:tab/>
      </w:r>
      <w:r w:rsidR="005B7F56" w:rsidRPr="00640449">
        <w:rPr>
          <w:lang w:val="fr-FR"/>
        </w:rPr>
        <w:t xml:space="preserve">Réponse à </w:t>
      </w:r>
      <w:r w:rsidR="005B7F56" w:rsidRPr="00640449">
        <w:t>la</w:t>
      </w:r>
      <w:r w:rsidR="005B7F56" w:rsidRPr="00640449">
        <w:rPr>
          <w:lang w:val="fr-FR"/>
        </w:rPr>
        <w:t xml:space="preserve"> question posée au paragraphe 21</w:t>
      </w:r>
      <w:r>
        <w:tab/>
      </w:r>
      <w:r>
        <w:tab/>
      </w:r>
      <w:r w:rsidR="005B7F56">
        <w:t>3</w:t>
      </w:r>
      <w:r w:rsidR="00767E20">
        <w:t>3</w:t>
      </w:r>
    </w:p>
    <w:p w:rsidR="00CD494A" w:rsidRDefault="007615EC" w:rsidP="00D20CB5">
      <w:pPr>
        <w:tabs>
          <w:tab w:val="right" w:pos="850"/>
          <w:tab w:val="left" w:pos="1134"/>
          <w:tab w:val="left" w:pos="1559"/>
          <w:tab w:val="left" w:pos="1984"/>
          <w:tab w:val="left" w:leader="dot" w:pos="8929"/>
          <w:tab w:val="right" w:pos="9638"/>
        </w:tabs>
        <w:spacing w:after="120" w:line="220" w:lineRule="atLeast"/>
      </w:pPr>
      <w:r>
        <w:tab/>
      </w:r>
      <w:r>
        <w:tab/>
        <w:t>III.</w:t>
      </w:r>
      <w:r>
        <w:tab/>
      </w:r>
      <w:r w:rsidR="00CD494A" w:rsidRPr="00640449">
        <w:t xml:space="preserve">Renseignements d’ordre général sur la situation des droits de l’homme </w:t>
      </w:r>
      <w:r>
        <w:br/>
      </w:r>
      <w:r>
        <w:tab/>
      </w:r>
      <w:r>
        <w:tab/>
      </w:r>
      <w:r>
        <w:tab/>
      </w:r>
      <w:r w:rsidR="00CD494A" w:rsidRPr="00640449">
        <w:t xml:space="preserve">dans le pays, y compris les nouvelles mesures et les faits nouveaux </w:t>
      </w:r>
      <w:r>
        <w:br/>
      </w:r>
      <w:r>
        <w:tab/>
      </w:r>
      <w:r>
        <w:tab/>
      </w:r>
      <w:r>
        <w:tab/>
      </w:r>
      <w:r w:rsidR="00CD494A" w:rsidRPr="00640449">
        <w:t>concernant la mise en œuvre de la Convention</w:t>
      </w:r>
      <w:r w:rsidR="00B01876">
        <w:tab/>
      </w:r>
      <w:r w:rsidR="00B01876">
        <w:tab/>
        <w:t>34</w:t>
      </w:r>
    </w:p>
    <w:p w:rsidR="00CD494A" w:rsidRDefault="00CD494A" w:rsidP="00D20CB5">
      <w:pPr>
        <w:tabs>
          <w:tab w:val="right" w:pos="850"/>
          <w:tab w:val="left" w:pos="1134"/>
          <w:tab w:val="left" w:pos="1559"/>
          <w:tab w:val="left" w:pos="1984"/>
          <w:tab w:val="left" w:leader="dot" w:pos="8929"/>
          <w:tab w:val="right" w:pos="9638"/>
        </w:tabs>
        <w:spacing w:after="120" w:line="220" w:lineRule="atLeast"/>
      </w:pPr>
      <w:r>
        <w:tab/>
      </w:r>
      <w:r>
        <w:tab/>
      </w:r>
      <w:r>
        <w:tab/>
        <w:t>AT.</w:t>
      </w:r>
      <w:r>
        <w:tab/>
      </w:r>
      <w:r w:rsidRPr="00640449">
        <w:rPr>
          <w:lang w:val="fr-FR"/>
        </w:rPr>
        <w:t xml:space="preserve">Réponse à </w:t>
      </w:r>
      <w:r w:rsidRPr="00640449">
        <w:t>la</w:t>
      </w:r>
      <w:r w:rsidRPr="00640449">
        <w:rPr>
          <w:lang w:val="fr-FR"/>
        </w:rPr>
        <w:t xml:space="preserve"> question posée au paragraphe 22</w:t>
      </w:r>
      <w:r w:rsidR="00B01876">
        <w:tab/>
      </w:r>
      <w:r w:rsidR="00B01876">
        <w:tab/>
        <w:t>34</w:t>
      </w:r>
    </w:p>
    <w:p w:rsidR="00C35E40" w:rsidRDefault="007B6760">
      <w:pPr>
        <w:suppressAutoHyphens w:val="0"/>
        <w:kinsoku/>
        <w:overflowPunct/>
        <w:autoSpaceDE/>
        <w:autoSpaceDN/>
        <w:adjustRightInd/>
        <w:snapToGrid/>
        <w:spacing w:after="200" w:line="276" w:lineRule="auto"/>
        <w:rPr>
          <w:b/>
          <w:sz w:val="28"/>
        </w:rPr>
      </w:pPr>
      <w:r>
        <w:tab/>
      </w:r>
      <w:r>
        <w:tab/>
      </w:r>
      <w:r>
        <w:tab/>
      </w:r>
      <w:r>
        <w:tab/>
      </w:r>
      <w:r>
        <w:tab/>
      </w:r>
      <w:r>
        <w:tab/>
      </w:r>
      <w:r w:rsidR="00C35E40">
        <w:br w:type="page"/>
      </w:r>
    </w:p>
    <w:p w:rsidR="00674E9C" w:rsidRPr="00640449" w:rsidRDefault="00C35E40" w:rsidP="00674E9C">
      <w:pPr>
        <w:pStyle w:val="HChG"/>
      </w:pPr>
      <w:r>
        <w:lastRenderedPageBreak/>
        <w:tab/>
      </w:r>
      <w:r w:rsidR="00390D7F" w:rsidRPr="00640449">
        <w:t>I.</w:t>
      </w:r>
      <w:r w:rsidR="00674E9C" w:rsidRPr="00640449">
        <w:tab/>
        <w:t>Introduction</w:t>
      </w:r>
      <w:bookmarkEnd w:id="1"/>
      <w:bookmarkEnd w:id="2"/>
    </w:p>
    <w:p w:rsidR="00674E9C" w:rsidRPr="00640449" w:rsidRDefault="001A7B42" w:rsidP="00D20CB5">
      <w:pPr>
        <w:pStyle w:val="SingleTxtG"/>
        <w:tabs>
          <w:tab w:val="left" w:pos="1134"/>
        </w:tabs>
        <w:rPr>
          <w:lang w:val="fr-FR"/>
        </w:rPr>
      </w:pPr>
      <w:r w:rsidRPr="00640449">
        <w:rPr>
          <w:lang w:val="fr-FR"/>
        </w:rPr>
        <w:t>1.</w:t>
      </w:r>
      <w:r w:rsidRPr="00640449">
        <w:rPr>
          <w:lang w:val="fr-FR"/>
        </w:rPr>
        <w:tab/>
      </w:r>
      <w:r w:rsidR="00674E9C" w:rsidRPr="00640449">
        <w:rPr>
          <w:lang w:val="fr-FR"/>
        </w:rPr>
        <w:t>Le Grand-Duché de Luxembourg a l’honneur de présenter au Comité contre la torture des Nations Unies (ci-après « le Comité ») son huitième rapport périodique au titre de l’article 19 de la Convention contre la torture et autres peines ou traitements cruels, inhumains ou dégradants (ci-après « la Convention »).</w:t>
      </w:r>
      <w:r w:rsidR="00FD7E28">
        <w:rPr>
          <w:lang w:val="fr-FR"/>
        </w:rPr>
        <w:t xml:space="preserve"> </w:t>
      </w:r>
    </w:p>
    <w:p w:rsidR="00674E9C" w:rsidRPr="00640449" w:rsidRDefault="001A7B42" w:rsidP="001A7B42">
      <w:pPr>
        <w:pStyle w:val="SingleTxtG"/>
        <w:tabs>
          <w:tab w:val="left" w:pos="1134"/>
        </w:tabs>
        <w:rPr>
          <w:lang w:val="fr-FR"/>
        </w:rPr>
      </w:pPr>
      <w:r w:rsidRPr="00640449">
        <w:rPr>
          <w:lang w:val="fr-FR"/>
        </w:rPr>
        <w:t>2.</w:t>
      </w:r>
      <w:r w:rsidRPr="00640449">
        <w:rPr>
          <w:lang w:val="fr-FR"/>
        </w:rPr>
        <w:tab/>
      </w:r>
      <w:r w:rsidR="00674E9C" w:rsidRPr="00640449">
        <w:rPr>
          <w:lang w:val="fr-FR"/>
        </w:rPr>
        <w:t xml:space="preserve">Le présent rapport a été préparé en suivant les Directives générales établies concernant la forme et le contenu des rapports périodiques établies par le Comité (CAT/C/14/Rev.1), sur base de la liste de points établie par le Comité dans le document CAT/C/LUX/QPR/8. Un nombre de Ministères et d’Administrations ont contribué à la rédaction du présent rapport. </w:t>
      </w:r>
    </w:p>
    <w:p w:rsidR="00674E9C" w:rsidRPr="00640449" w:rsidRDefault="001A7B42" w:rsidP="001A7B42">
      <w:pPr>
        <w:pStyle w:val="SingleTxtG"/>
        <w:tabs>
          <w:tab w:val="left" w:pos="1134"/>
        </w:tabs>
        <w:rPr>
          <w:lang w:val="fr-FR"/>
        </w:rPr>
      </w:pPr>
      <w:r w:rsidRPr="00640449">
        <w:rPr>
          <w:lang w:val="fr-FR"/>
        </w:rPr>
        <w:t>3.</w:t>
      </w:r>
      <w:r w:rsidRPr="00640449">
        <w:rPr>
          <w:lang w:val="fr-FR"/>
        </w:rPr>
        <w:tab/>
      </w:r>
      <w:r w:rsidR="00674E9C" w:rsidRPr="00640449">
        <w:rPr>
          <w:lang w:val="fr-FR"/>
        </w:rPr>
        <w:t>La Commission consultative des droits de l’homme et l’Ombudsman ont soumis les statistiques de plaintes de torture ou mauvais traitements reçues par leurs services. Les organisations non gouvernementales des droits humains et les institutions nationales des droits de l’homme ont</w:t>
      </w:r>
      <w:r w:rsidR="00674E9C" w:rsidRPr="00640449">
        <w:t xml:space="preserve"> été informées sur le processus de rédaction lors des réuni</w:t>
      </w:r>
      <w:proofErr w:type="spellStart"/>
      <w:r w:rsidR="00674E9C" w:rsidRPr="00640449">
        <w:rPr>
          <w:lang w:val="fr-FR"/>
        </w:rPr>
        <w:t>ons</w:t>
      </w:r>
      <w:proofErr w:type="spellEnd"/>
      <w:r w:rsidR="00674E9C" w:rsidRPr="00640449">
        <w:rPr>
          <w:lang w:val="fr-FR"/>
        </w:rPr>
        <w:t xml:space="preserve"> de consultations successives tenues avec le Comité interministériel des droits de l’homme. </w:t>
      </w:r>
    </w:p>
    <w:p w:rsidR="00390D7F" w:rsidRPr="00640449" w:rsidRDefault="00A06FAA" w:rsidP="00390D7F">
      <w:pPr>
        <w:pStyle w:val="HChG"/>
      </w:pPr>
      <w:bookmarkStart w:id="3" w:name="_Toc8396090"/>
      <w:r w:rsidRPr="00640449">
        <w:tab/>
      </w:r>
      <w:r w:rsidR="00390D7F" w:rsidRPr="00640449">
        <w:t>II.</w:t>
      </w:r>
      <w:r w:rsidRPr="00640449">
        <w:tab/>
      </w:r>
      <w:r w:rsidR="00390D7F" w:rsidRPr="00640449">
        <w:rPr>
          <w:lang w:val="fr-FR"/>
        </w:rPr>
        <w:t>Réponses aux questions posées dans la liste de points établie avant la soumission du rapport</w:t>
      </w:r>
      <w:r w:rsidR="00390D7F" w:rsidRPr="00640449">
        <w:t xml:space="preserve"> (CAT/C/LUX/QPR/8)</w:t>
      </w:r>
    </w:p>
    <w:p w:rsidR="00390D7F" w:rsidRPr="00640449" w:rsidRDefault="00E473E0" w:rsidP="00390D7F">
      <w:pPr>
        <w:pStyle w:val="H1G"/>
        <w:rPr>
          <w:lang w:val="fr-FR"/>
        </w:rPr>
      </w:pPr>
      <w:bookmarkStart w:id="4" w:name="_Toc8396091"/>
      <w:bookmarkEnd w:id="3"/>
      <w:r w:rsidRPr="00640449">
        <w:tab/>
      </w:r>
      <w:r w:rsidR="00390D7F" w:rsidRPr="00640449">
        <w:t>A.</w:t>
      </w:r>
      <w:r w:rsidRPr="00640449">
        <w:tab/>
      </w:r>
      <w:r w:rsidR="00390D7F" w:rsidRPr="00640449">
        <w:rPr>
          <w:lang w:val="fr-FR"/>
        </w:rPr>
        <w:t xml:space="preserve">Réponse à </w:t>
      </w:r>
      <w:r w:rsidR="00390D7F" w:rsidRPr="00640449">
        <w:t>la</w:t>
      </w:r>
      <w:r w:rsidR="00390D7F" w:rsidRPr="00640449">
        <w:rPr>
          <w:lang w:val="fr-FR"/>
        </w:rPr>
        <w:t xml:space="preserve"> question posée au paragraphe 2</w:t>
      </w:r>
    </w:p>
    <w:bookmarkEnd w:id="4"/>
    <w:p w:rsidR="00674E9C" w:rsidRPr="00640449" w:rsidRDefault="001A7B42" w:rsidP="001A7B42">
      <w:pPr>
        <w:pStyle w:val="SingleTxtG"/>
        <w:tabs>
          <w:tab w:val="left" w:pos="1134"/>
        </w:tabs>
        <w:rPr>
          <w:lang w:val="fr-FR"/>
        </w:rPr>
      </w:pPr>
      <w:r w:rsidRPr="00640449">
        <w:rPr>
          <w:lang w:val="fr-FR"/>
        </w:rPr>
        <w:t>4.</w:t>
      </w:r>
      <w:r w:rsidRPr="00640449">
        <w:rPr>
          <w:lang w:val="fr-FR"/>
        </w:rPr>
        <w:tab/>
      </w:r>
      <w:r w:rsidR="00674E9C" w:rsidRPr="00640449">
        <w:rPr>
          <w:lang w:val="fr-FR"/>
        </w:rPr>
        <w:t xml:space="preserve">Le projet de loi 6758 a été adopté par la </w:t>
      </w:r>
      <w:hyperlink r:id="rId9" w:history="1">
        <w:r w:rsidR="00674E9C" w:rsidRPr="00640449">
          <w:rPr>
            <w:rStyle w:val="Lienhypertexte"/>
            <w:color w:val="auto"/>
            <w:lang w:val="fr-FR"/>
          </w:rPr>
          <w:t>loi du 8 mars 2017 renforçant les garanties procédurales en matière pénale</w:t>
        </w:r>
      </w:hyperlink>
      <w:r w:rsidR="00674E9C" w:rsidRPr="00640449">
        <w:rPr>
          <w:rStyle w:val="Appelnotedebasdep"/>
        </w:rPr>
        <w:footnoteReference w:id="3"/>
      </w:r>
      <w:r w:rsidR="00674E9C" w:rsidRPr="00640449">
        <w:rPr>
          <w:lang w:val="fr-FR"/>
        </w:rPr>
        <w:t xml:space="preserve">. </w:t>
      </w:r>
    </w:p>
    <w:p w:rsidR="00390D7F" w:rsidRPr="00640449" w:rsidRDefault="00390D7F" w:rsidP="00390D7F">
      <w:pPr>
        <w:pStyle w:val="H1G"/>
        <w:rPr>
          <w:lang w:val="fr-FR"/>
        </w:rPr>
      </w:pPr>
      <w:r w:rsidRPr="00640449">
        <w:tab/>
        <w:t>B.</w:t>
      </w:r>
      <w:r w:rsidRPr="00640449">
        <w:tab/>
      </w:r>
      <w:r w:rsidRPr="00640449">
        <w:rPr>
          <w:lang w:val="fr-FR"/>
        </w:rPr>
        <w:t xml:space="preserve">Réponse à </w:t>
      </w:r>
      <w:r w:rsidRPr="00640449">
        <w:t>la</w:t>
      </w:r>
      <w:r w:rsidRPr="00640449">
        <w:rPr>
          <w:lang w:val="fr-FR"/>
        </w:rPr>
        <w:t xml:space="preserve"> question posée au paragraphe 2 (a)</w:t>
      </w:r>
    </w:p>
    <w:p w:rsidR="00674E9C" w:rsidRPr="00640449" w:rsidRDefault="001A7B42" w:rsidP="001A7B42">
      <w:pPr>
        <w:pStyle w:val="SingleTxtG"/>
        <w:tabs>
          <w:tab w:val="left" w:pos="1134"/>
        </w:tabs>
        <w:rPr>
          <w:lang w:val="fr-FR"/>
        </w:rPr>
      </w:pPr>
      <w:r w:rsidRPr="00640449">
        <w:rPr>
          <w:lang w:val="fr-FR"/>
        </w:rPr>
        <w:t>5.</w:t>
      </w:r>
      <w:r w:rsidRPr="00640449">
        <w:rPr>
          <w:lang w:val="fr-FR"/>
        </w:rPr>
        <w:tab/>
      </w:r>
      <w:r w:rsidR="00674E9C" w:rsidRPr="00640449">
        <w:rPr>
          <w:lang w:val="fr-FR"/>
        </w:rPr>
        <w:t>Le nouvel article 3-6 du Code de procédure pénale transpose la directive 2013/48/UE du 22 octobre 2013 relative au droit d’accès à un avocat dans le cadre des procédures pénales et des procédures relatives au mandat d’arrêt européen, au droit d’informer un tiers dès la privation de liberté et au droit des personnes privées de liberté de communiquer avec des tiers et avec les autorités consulaires.</w:t>
      </w:r>
    </w:p>
    <w:p w:rsidR="00674E9C" w:rsidRPr="00640449" w:rsidRDefault="001A7B42" w:rsidP="001A7B42">
      <w:pPr>
        <w:pStyle w:val="SingleTxtG"/>
        <w:tabs>
          <w:tab w:val="left" w:pos="1134"/>
        </w:tabs>
        <w:rPr>
          <w:lang w:val="fr-FR"/>
        </w:rPr>
      </w:pPr>
      <w:r w:rsidRPr="00640449">
        <w:rPr>
          <w:lang w:val="fr-FR"/>
        </w:rPr>
        <w:t>6.</w:t>
      </w:r>
      <w:r w:rsidRPr="00640449">
        <w:rPr>
          <w:lang w:val="fr-FR"/>
        </w:rPr>
        <w:tab/>
      </w:r>
      <w:r w:rsidR="00674E9C" w:rsidRPr="00640449">
        <w:rPr>
          <w:lang w:val="fr-FR"/>
        </w:rPr>
        <w:t>L’article 3-6 définit le droit à l’assistance d’un avocat et en détermine, de manière trans</w:t>
      </w:r>
      <w:r w:rsidR="00674E9C" w:rsidRPr="00640449">
        <w:rPr>
          <w:lang w:val="fr-FR"/>
        </w:rPr>
        <w:softHyphen/>
        <w:t>versale et en fonction du stade proc</w:t>
      </w:r>
      <w:r w:rsidR="008D791E" w:rsidRPr="00640449">
        <w:rPr>
          <w:lang w:val="fr-FR"/>
        </w:rPr>
        <w:t>édural respectif, les modalités</w:t>
      </w:r>
      <w:r w:rsidR="00B26C60">
        <w:rPr>
          <w:lang w:val="fr-FR"/>
        </w:rPr>
        <w:t> </w:t>
      </w:r>
      <w:r w:rsidR="00354E3B" w:rsidRPr="00640449">
        <w:rPr>
          <w:lang w:val="fr-FR"/>
        </w:rPr>
        <w:t>:</w:t>
      </w:r>
    </w:p>
    <w:p w:rsidR="00674E9C" w:rsidRPr="00640449" w:rsidRDefault="00354E3B" w:rsidP="00DC4445">
      <w:pPr>
        <w:pStyle w:val="SingleTxtG"/>
        <w:ind w:left="1701"/>
        <w:rPr>
          <w:lang w:val="fr-FR"/>
        </w:rPr>
      </w:pPr>
      <w:r w:rsidRPr="00640449">
        <w:rPr>
          <w:i/>
          <w:lang w:val="fr-FR"/>
        </w:rPr>
        <w:t>«</w:t>
      </w:r>
      <w:r w:rsidR="00B26C60">
        <w:rPr>
          <w:i/>
          <w:lang w:val="fr-FR"/>
        </w:rPr>
        <w:t> </w:t>
      </w:r>
      <w:r w:rsidRPr="00640449">
        <w:rPr>
          <w:lang w:val="fr-FR"/>
        </w:rPr>
        <w:t>Cette</w:t>
      </w:r>
      <w:r w:rsidR="00674E9C" w:rsidRPr="00640449">
        <w:rPr>
          <w:lang w:val="fr-FR"/>
        </w:rPr>
        <w:t xml:space="preserve"> assistance est rendue possible sans retard indu au profit de la personne privée de liberté en cas de rétention sur base de l’article 39 ou d’exécution d’un mandat d’amener ou d’arrêt</w:t>
      </w:r>
      <w:r w:rsidRPr="00640449">
        <w:rPr>
          <w:lang w:val="fr-FR"/>
        </w:rPr>
        <w:t>.</w:t>
      </w:r>
      <w:r w:rsidR="00B26C60">
        <w:rPr>
          <w:lang w:val="fr-FR"/>
        </w:rPr>
        <w:t> </w:t>
      </w:r>
      <w:r w:rsidRPr="00640449">
        <w:rPr>
          <w:lang w:val="fr-FR"/>
        </w:rPr>
        <w:t>»</w:t>
      </w:r>
      <w:r w:rsidR="001137D0">
        <w:rPr>
          <w:lang w:val="fr-FR"/>
        </w:rPr>
        <w:t>.</w:t>
      </w:r>
    </w:p>
    <w:p w:rsidR="00674E9C" w:rsidRPr="00640449" w:rsidRDefault="001A7B42" w:rsidP="001A7B42">
      <w:pPr>
        <w:pStyle w:val="SingleTxtG"/>
        <w:tabs>
          <w:tab w:val="left" w:pos="1134"/>
        </w:tabs>
        <w:rPr>
          <w:lang w:val="fr-FR"/>
        </w:rPr>
      </w:pPr>
      <w:r w:rsidRPr="00640449">
        <w:rPr>
          <w:lang w:val="fr-FR"/>
        </w:rPr>
        <w:t>7.</w:t>
      </w:r>
      <w:r w:rsidRPr="00640449">
        <w:rPr>
          <w:lang w:val="fr-FR"/>
        </w:rPr>
        <w:tab/>
      </w:r>
      <w:r w:rsidR="00674E9C" w:rsidRPr="00640449">
        <w:rPr>
          <w:lang w:val="fr-FR"/>
        </w:rPr>
        <w:t>L’article 3-6 établit, aux paragraphe 2 à 5, le dro</w:t>
      </w:r>
      <w:r w:rsidR="008D791E" w:rsidRPr="00640449">
        <w:rPr>
          <w:lang w:val="fr-FR"/>
        </w:rPr>
        <w:t>it à l’assistance par un avocat</w:t>
      </w:r>
      <w:r w:rsidR="00B26C60">
        <w:rPr>
          <w:lang w:val="fr-FR"/>
        </w:rPr>
        <w:t> </w:t>
      </w:r>
      <w:r w:rsidR="00674E9C" w:rsidRPr="00640449">
        <w:rPr>
          <w:lang w:val="fr-FR"/>
        </w:rPr>
        <w:t>:</w:t>
      </w:r>
    </w:p>
    <w:p w:rsidR="00674E9C" w:rsidRPr="00640449" w:rsidRDefault="00674E9C" w:rsidP="00DC4445">
      <w:pPr>
        <w:pStyle w:val="SingleTxtG"/>
        <w:ind w:left="1701"/>
        <w:rPr>
          <w:lang w:val="fr-FR"/>
        </w:rPr>
      </w:pPr>
      <w:r w:rsidRPr="00640449">
        <w:rPr>
          <w:lang w:val="fr-FR"/>
        </w:rPr>
        <w:t xml:space="preserve">« (2) Si l’avocat désigné par les personnes visées au paragraphe 1 ne peut être contacté ou refuse de les assister ou si elles ne peuvent désigner un avocat, l’avocat est, </w:t>
      </w:r>
      <w:r w:rsidRPr="00640449">
        <w:rPr>
          <w:u w:val="single"/>
          <w:lang w:val="fr-FR"/>
        </w:rPr>
        <w:t>sans retard indu</w:t>
      </w:r>
      <w:r w:rsidRPr="00640449">
        <w:rPr>
          <w:lang w:val="fr-FR"/>
        </w:rPr>
        <w:t>, choisi et désigné d’office par l’officier de police judiciaire, le ministère public, le juge d’instruction ou le président de la juridiction d’instruction ou de fond sur base de listes de permanence établies par le Bâtonnier à disposition des cabinets d’instruction, des Parquets ainsi que de la Police grand-ducale en vertu de l’article 37, paragraphe 4, de la loi modifiée du 10 août 1991 sur la profession d’avocat.</w:t>
      </w:r>
    </w:p>
    <w:p w:rsidR="00674E9C" w:rsidRPr="00640449" w:rsidRDefault="00674E9C" w:rsidP="00DC4445">
      <w:pPr>
        <w:pStyle w:val="SingleTxtG"/>
        <w:ind w:left="1701"/>
        <w:rPr>
          <w:lang w:val="fr-FR"/>
        </w:rPr>
      </w:pPr>
      <w:r w:rsidRPr="00640449">
        <w:rPr>
          <w:lang w:val="fr-FR"/>
        </w:rPr>
        <w:t>(3) Le droit à l’assistance d’un avocat comprend celui de rencontrer en privé l’avocat qui le représente et de communiquer avec lui, y compris avant que la personne ne soit interrogée.</w:t>
      </w:r>
    </w:p>
    <w:p w:rsidR="00674E9C" w:rsidRPr="00640449" w:rsidRDefault="00674E9C" w:rsidP="00DC4445">
      <w:pPr>
        <w:pStyle w:val="SingleTxtG"/>
        <w:ind w:left="1701"/>
        <w:rPr>
          <w:lang w:val="fr-FR"/>
        </w:rPr>
      </w:pPr>
      <w:r w:rsidRPr="00640449">
        <w:rPr>
          <w:lang w:val="fr-FR"/>
        </w:rPr>
        <w:lastRenderedPageBreak/>
        <w:t>(4) Il comprend celui d’assister la personne au cours d’un interrogatoire par un officier ou un agent de police judiciaire ou un juge d’instruction. L’avocat peut, à la fin de l’interrogatoire, poser, par l’intermédiaire de l’officier ou de l’agent de police judiciaire ou du juge d’instruction, des questions à la personne interrogée et faire des observations. L’officier ou l’agent de police judiciaire ou le juge d’instruction ne peut s’opposer aux questions et aux observations que si celles-ci sont de nature à nuire au bon déroulement de l’enquête ou de l’instruction préparatoire. Mention de ce refus et des questions posées ou observations formulées est portée au procès-verbal. </w:t>
      </w:r>
    </w:p>
    <w:p w:rsidR="00674E9C" w:rsidRPr="00640449" w:rsidRDefault="00674E9C" w:rsidP="00DC4445">
      <w:pPr>
        <w:pStyle w:val="SingleTxtG"/>
        <w:ind w:left="1701"/>
        <w:rPr>
          <w:lang w:val="fr-FR"/>
        </w:rPr>
      </w:pPr>
      <w:r w:rsidRPr="00640449">
        <w:rPr>
          <w:lang w:val="fr-FR"/>
        </w:rPr>
        <w:t>(5) Le droit à l’assistance d’un avocat comprend celui de sa présence lors des mesures exécutées au cours de l’enquête ou de l’instruction préparatoire auxquelles la personne est tenue ou autorisée d’assister.</w:t>
      </w:r>
      <w:r w:rsidR="00E67DB1">
        <w:rPr>
          <w:lang w:val="fr-FR"/>
        </w:rPr>
        <w:t> </w:t>
      </w:r>
      <w:r w:rsidRPr="00640449">
        <w:rPr>
          <w:lang w:val="fr-FR"/>
        </w:rPr>
        <w:t>»</w:t>
      </w:r>
      <w:r w:rsidR="001137D0">
        <w:rPr>
          <w:lang w:val="fr-FR"/>
        </w:rPr>
        <w:t>.</w:t>
      </w:r>
    </w:p>
    <w:p w:rsidR="00674E9C" w:rsidRPr="00640449" w:rsidRDefault="001A7B42" w:rsidP="00E35C22">
      <w:pPr>
        <w:pStyle w:val="SingleTxtG"/>
        <w:tabs>
          <w:tab w:val="left" w:pos="1134"/>
        </w:tabs>
        <w:rPr>
          <w:lang w:val="fr-FR"/>
        </w:rPr>
      </w:pPr>
      <w:r w:rsidRPr="00640449">
        <w:rPr>
          <w:lang w:val="fr-FR"/>
        </w:rPr>
        <w:t>8.</w:t>
      </w:r>
      <w:r w:rsidRPr="00640449">
        <w:rPr>
          <w:lang w:val="fr-FR"/>
        </w:rPr>
        <w:tab/>
      </w:r>
      <w:r w:rsidR="00674E9C" w:rsidRPr="00640449">
        <w:rPr>
          <w:lang w:val="fr-FR"/>
        </w:rPr>
        <w:t>A titre subsidiaire, il peut être relevé que l’article 18-1, paragraphe 2, de la loi modifiée du 20 juin 2001 sur l’extradition prévoit désormais que « la personne arrêtée a le droit de prévenir et de communiquer sans retard indu avec les autorités consulaires de l’</w:t>
      </w:r>
      <w:r w:rsidR="00FD7E28">
        <w:rPr>
          <w:lang w:val="fr-FR"/>
        </w:rPr>
        <w:t>État</w:t>
      </w:r>
      <w:r w:rsidR="00674E9C" w:rsidRPr="00640449">
        <w:rPr>
          <w:lang w:val="fr-FR"/>
        </w:rPr>
        <w:t xml:space="preserve"> dont elle est ressortissa</w:t>
      </w:r>
      <w:r w:rsidR="00354E3B" w:rsidRPr="00640449">
        <w:rPr>
          <w:lang w:val="fr-FR"/>
        </w:rPr>
        <w:t>nte.</w:t>
      </w:r>
      <w:r w:rsidR="00E35C22">
        <w:rPr>
          <w:lang w:val="fr-FR"/>
        </w:rPr>
        <w:t> </w:t>
      </w:r>
      <w:r w:rsidR="00354E3B" w:rsidRPr="00640449">
        <w:rPr>
          <w:lang w:val="fr-FR"/>
        </w:rPr>
        <w:t>»</w:t>
      </w:r>
      <w:r w:rsidR="001137D0">
        <w:rPr>
          <w:lang w:val="fr-FR"/>
        </w:rPr>
        <w:t>.</w:t>
      </w:r>
    </w:p>
    <w:p w:rsidR="00674E9C" w:rsidRPr="00640449" w:rsidRDefault="001A7B42" w:rsidP="001A7B42">
      <w:pPr>
        <w:pStyle w:val="SingleTxtG"/>
        <w:tabs>
          <w:tab w:val="left" w:pos="1134"/>
        </w:tabs>
        <w:rPr>
          <w:lang w:val="fr-FR"/>
        </w:rPr>
      </w:pPr>
      <w:r w:rsidRPr="00640449">
        <w:rPr>
          <w:lang w:val="fr-FR"/>
        </w:rPr>
        <w:t>9.</w:t>
      </w:r>
      <w:r w:rsidRPr="00640449">
        <w:rPr>
          <w:lang w:val="fr-FR"/>
        </w:rPr>
        <w:tab/>
      </w:r>
      <w:r w:rsidR="00674E9C" w:rsidRPr="00640449">
        <w:rPr>
          <w:lang w:val="fr-FR"/>
        </w:rPr>
        <w:t>Conformément au paragraphe 3 du même article,</w:t>
      </w:r>
      <w:r w:rsidR="00674E9C" w:rsidRPr="00640449">
        <w:rPr>
          <w:i/>
          <w:lang w:val="fr-FR"/>
        </w:rPr>
        <w:t xml:space="preserve"> </w:t>
      </w:r>
      <w:r w:rsidR="00674E9C" w:rsidRPr="00D20CB5">
        <w:rPr>
          <w:iCs/>
          <w:lang w:val="fr-FR"/>
        </w:rPr>
        <w:t>« </w:t>
      </w:r>
      <w:r w:rsidR="00674E9C" w:rsidRPr="00640449">
        <w:rPr>
          <w:lang w:val="fr-FR"/>
        </w:rPr>
        <w:t>la personne arrêtée a le droit de se faire assister au Luxembourg par un avocat sans retard indu après son arrestation (…) ».</w:t>
      </w:r>
    </w:p>
    <w:p w:rsidR="00390D7F" w:rsidRPr="00640449" w:rsidRDefault="00390D7F" w:rsidP="00390D7F">
      <w:pPr>
        <w:pStyle w:val="H1G"/>
        <w:rPr>
          <w:lang w:val="fr-FR"/>
        </w:rPr>
      </w:pPr>
      <w:r w:rsidRPr="00640449">
        <w:tab/>
      </w:r>
      <w:r w:rsidR="00F03DCF" w:rsidRPr="00640449">
        <w:t>C</w:t>
      </w:r>
      <w:r w:rsidRPr="00640449">
        <w:t>.</w:t>
      </w:r>
      <w:r w:rsidRPr="00640449">
        <w:tab/>
      </w:r>
      <w:r w:rsidRPr="00640449">
        <w:rPr>
          <w:lang w:val="fr-FR"/>
        </w:rPr>
        <w:t xml:space="preserve">Réponse à </w:t>
      </w:r>
      <w:r w:rsidRPr="00640449">
        <w:t>la</w:t>
      </w:r>
      <w:r w:rsidRPr="00640449">
        <w:rPr>
          <w:lang w:val="fr-FR"/>
        </w:rPr>
        <w:t xml:space="preserve"> question posée au paragraphe 2 (b)</w:t>
      </w:r>
    </w:p>
    <w:p w:rsidR="00674E9C" w:rsidRPr="00640449" w:rsidRDefault="001A7B42" w:rsidP="001A7B42">
      <w:pPr>
        <w:pStyle w:val="SingleTxtG"/>
        <w:tabs>
          <w:tab w:val="left" w:pos="1134"/>
        </w:tabs>
        <w:rPr>
          <w:lang w:val="fr-FR"/>
        </w:rPr>
      </w:pPr>
      <w:r w:rsidRPr="00640449">
        <w:rPr>
          <w:lang w:val="fr-FR"/>
        </w:rPr>
        <w:t>10.</w:t>
      </w:r>
      <w:r w:rsidRPr="00640449">
        <w:rPr>
          <w:lang w:val="fr-FR"/>
        </w:rPr>
        <w:tab/>
      </w:r>
      <w:r w:rsidR="00674E9C" w:rsidRPr="00640449">
        <w:rPr>
          <w:lang w:val="fr-FR"/>
        </w:rPr>
        <w:t xml:space="preserve">L’article 52-1, paragraphe 2, du Code de </w:t>
      </w:r>
      <w:r w:rsidR="00FD7E28">
        <w:rPr>
          <w:lang w:val="fr-FR"/>
        </w:rPr>
        <w:t>p</w:t>
      </w:r>
      <w:r w:rsidR="00674E9C" w:rsidRPr="00640449">
        <w:rPr>
          <w:lang w:val="fr-FR"/>
        </w:rPr>
        <w:t>rocédure pénale prévoit, à l’issue de la réforme de la loi du 8 mars 2017, que, « dès sa privation de liberté, la personne a le droit de se faire examiner sans délai par un médecin.</w:t>
      </w:r>
      <w:r w:rsidR="00E67DB1">
        <w:rPr>
          <w:lang w:val="fr-FR"/>
        </w:rPr>
        <w:t xml:space="preserve"> </w:t>
      </w:r>
      <w:r w:rsidR="00674E9C" w:rsidRPr="00640449">
        <w:rPr>
          <w:lang w:val="fr-FR"/>
        </w:rPr>
        <w:t>Par ailleurs, l’officier de police judiciaire peut, à tout moment d’office ou à la requête d’un membre de la famille de la personne retenue, désigner un médecin pour l’examiner. »</w:t>
      </w:r>
      <w:r w:rsidR="001137D0">
        <w:rPr>
          <w:lang w:val="fr-FR"/>
        </w:rPr>
        <w:t>.</w:t>
      </w:r>
    </w:p>
    <w:p w:rsidR="00674E9C" w:rsidRPr="00640449" w:rsidRDefault="001A7B42" w:rsidP="001A7B42">
      <w:pPr>
        <w:pStyle w:val="SingleTxtG"/>
        <w:tabs>
          <w:tab w:val="left" w:pos="1134"/>
        </w:tabs>
        <w:rPr>
          <w:lang w:val="fr-FR"/>
        </w:rPr>
      </w:pPr>
      <w:r w:rsidRPr="00640449">
        <w:rPr>
          <w:lang w:val="fr-FR"/>
        </w:rPr>
        <w:t>11.</w:t>
      </w:r>
      <w:r w:rsidRPr="00640449">
        <w:rPr>
          <w:lang w:val="fr-FR"/>
        </w:rPr>
        <w:tab/>
      </w:r>
      <w:r w:rsidR="00674E9C" w:rsidRPr="00640449">
        <w:rPr>
          <w:lang w:val="fr-FR"/>
        </w:rPr>
        <w:t xml:space="preserve">Le secret professionnel du médecin visé à l’article 458 du Code pénal soumet le médecin à une obligation de confidentialité professionnelle, tel qu’il résulte également de l’article 26 de la </w:t>
      </w:r>
      <w:hyperlink r:id="rId10" w:history="1">
        <w:r w:rsidR="00674E9C" w:rsidRPr="00640449">
          <w:rPr>
            <w:rStyle w:val="Lienhypertexte"/>
            <w:color w:val="auto"/>
            <w:lang w:val="fr-FR"/>
          </w:rPr>
          <w:t>loi 20 juillet 2018 portant réforme de l’administration pénitentiaire</w:t>
        </w:r>
      </w:hyperlink>
      <w:r w:rsidR="00674E9C" w:rsidRPr="00640449">
        <w:rPr>
          <w:rStyle w:val="Appelnotedebasdep"/>
        </w:rPr>
        <w:footnoteReference w:id="4"/>
      </w:r>
      <w:r w:rsidR="00674E9C" w:rsidRPr="00640449">
        <w:rPr>
          <w:lang w:val="fr-FR"/>
        </w:rPr>
        <w:t xml:space="preserve">. </w:t>
      </w:r>
    </w:p>
    <w:p w:rsidR="00674E9C" w:rsidRPr="00640449" w:rsidRDefault="001A7B42" w:rsidP="001A7B42">
      <w:pPr>
        <w:pStyle w:val="SingleTxtG"/>
        <w:tabs>
          <w:tab w:val="left" w:pos="1134"/>
        </w:tabs>
        <w:rPr>
          <w:lang w:val="fr-FR"/>
        </w:rPr>
      </w:pPr>
      <w:r w:rsidRPr="00640449">
        <w:rPr>
          <w:lang w:val="fr-FR"/>
        </w:rPr>
        <w:t>12.</w:t>
      </w:r>
      <w:r w:rsidRPr="00640449">
        <w:rPr>
          <w:lang w:val="fr-FR"/>
        </w:rPr>
        <w:tab/>
      </w:r>
      <w:r w:rsidR="00674E9C" w:rsidRPr="00640449">
        <w:rPr>
          <w:lang w:val="fr-FR"/>
        </w:rPr>
        <w:t xml:space="preserve">L’article 26, paragraphe 4, de la loi de l’administration pénitentiaire, dispose que </w:t>
      </w:r>
      <w:r w:rsidR="00DC4445" w:rsidRPr="00640449">
        <w:rPr>
          <w:lang w:val="fr-FR"/>
        </w:rPr>
        <w:t>«</w:t>
      </w:r>
      <w:r w:rsidR="00674E9C" w:rsidRPr="00640449">
        <w:rPr>
          <w:lang w:val="fr-FR"/>
        </w:rPr>
        <w:t>le médecin traitant du détenu ainsi que tous les autres professionnels le cas échéant tenus à un secret professionnel ou à une obligation de confidentialité peuvent échanger avec l’administration pénitentiaire les informations indispensables lorsqu’il est dans l’intérêt du détenu concerné, des autres détenus, du personnel ou de la sécurité, de la salubrité du centre pénitentiaire ou des autres personnes ayant des contacts physiques avec les détenus, y</w:t>
      </w:r>
      <w:r w:rsidR="00E67DB1">
        <w:rPr>
          <w:lang w:val="fr-FR"/>
        </w:rPr>
        <w:t> </w:t>
      </w:r>
      <w:r w:rsidR="00674E9C" w:rsidRPr="00640449">
        <w:rPr>
          <w:lang w:val="fr-FR"/>
        </w:rPr>
        <w:t>compris en ce qui concerne la lutte contre des maladies contagieuses. »</w:t>
      </w:r>
      <w:r w:rsidR="001137D0">
        <w:rPr>
          <w:lang w:val="fr-FR"/>
        </w:rPr>
        <w:t>.</w:t>
      </w:r>
    </w:p>
    <w:p w:rsidR="00674E9C" w:rsidRPr="00640449" w:rsidRDefault="001A7B42" w:rsidP="001A7B42">
      <w:pPr>
        <w:pStyle w:val="SingleTxtG"/>
        <w:tabs>
          <w:tab w:val="left" w:pos="1134"/>
        </w:tabs>
        <w:rPr>
          <w:lang w:val="fr-FR"/>
        </w:rPr>
      </w:pPr>
      <w:r w:rsidRPr="00640449">
        <w:rPr>
          <w:lang w:val="fr-FR"/>
        </w:rPr>
        <w:t>13.</w:t>
      </w:r>
      <w:r w:rsidRPr="00640449">
        <w:rPr>
          <w:lang w:val="fr-FR"/>
        </w:rPr>
        <w:tab/>
      </w:r>
      <w:r w:rsidR="00674E9C" w:rsidRPr="00640449">
        <w:rPr>
          <w:lang w:val="fr-FR"/>
        </w:rPr>
        <w:t>En pratique, l’examen médical s’effectue à l’abri de tierces personnes.</w:t>
      </w:r>
    </w:p>
    <w:p w:rsidR="00390D7F" w:rsidRPr="00640449" w:rsidRDefault="00393A5E" w:rsidP="00390D7F">
      <w:pPr>
        <w:pStyle w:val="H1G"/>
        <w:rPr>
          <w:lang w:val="fr-FR"/>
        </w:rPr>
      </w:pPr>
      <w:r w:rsidRPr="00640449">
        <w:rPr>
          <w:lang w:val="fr-FR"/>
        </w:rPr>
        <w:tab/>
      </w:r>
      <w:r w:rsidR="00F03DCF" w:rsidRPr="00640449">
        <w:rPr>
          <w:lang w:val="fr-FR"/>
        </w:rPr>
        <w:t>D</w:t>
      </w:r>
      <w:r w:rsidR="00390D7F" w:rsidRPr="00640449">
        <w:t>.</w:t>
      </w:r>
      <w:r w:rsidR="00390D7F" w:rsidRPr="00640449">
        <w:tab/>
      </w:r>
      <w:r w:rsidR="00390D7F" w:rsidRPr="00640449">
        <w:rPr>
          <w:lang w:val="fr-FR"/>
        </w:rPr>
        <w:t xml:space="preserve">Réponse à </w:t>
      </w:r>
      <w:r w:rsidR="00390D7F" w:rsidRPr="00640449">
        <w:t>la</w:t>
      </w:r>
      <w:r w:rsidR="00390D7F" w:rsidRPr="00640449">
        <w:rPr>
          <w:lang w:val="fr-FR"/>
        </w:rPr>
        <w:t xml:space="preserve"> question posée au paragraphe 2 (c)</w:t>
      </w:r>
    </w:p>
    <w:p w:rsidR="00674E9C" w:rsidRPr="00640449" w:rsidRDefault="001A7B42" w:rsidP="001A7B42">
      <w:pPr>
        <w:pStyle w:val="SingleTxtG"/>
        <w:tabs>
          <w:tab w:val="left" w:pos="1134"/>
        </w:tabs>
        <w:rPr>
          <w:lang w:val="fr-FR"/>
        </w:rPr>
      </w:pPr>
      <w:r w:rsidRPr="00640449">
        <w:rPr>
          <w:lang w:val="fr-FR"/>
        </w:rPr>
        <w:t>14.</w:t>
      </w:r>
      <w:r w:rsidRPr="00640449">
        <w:rPr>
          <w:lang w:val="fr-FR"/>
        </w:rPr>
        <w:tab/>
      </w:r>
      <w:r w:rsidR="00674E9C" w:rsidRPr="00640449">
        <w:rPr>
          <w:lang w:val="fr-FR"/>
        </w:rPr>
        <w:t>Les personnes privées de liberté sont informées de leurs droits, ceci dès le début de la privation</w:t>
      </w:r>
      <w:r w:rsidR="00FD7E28">
        <w:rPr>
          <w:lang w:val="fr-FR"/>
        </w:rPr>
        <w:t> </w:t>
      </w:r>
      <w:r w:rsidR="00A61CAB" w:rsidRPr="00640449">
        <w:rPr>
          <w:lang w:val="fr-FR"/>
        </w:rPr>
        <w:t>:</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DC4445" w:rsidRPr="00640449">
        <w:rPr>
          <w:lang w:val="fr-FR"/>
        </w:rPr>
        <w:t xml:space="preserve">En </w:t>
      </w:r>
      <w:r w:rsidR="00674E9C" w:rsidRPr="00640449">
        <w:rPr>
          <w:lang w:val="fr-FR"/>
        </w:rPr>
        <w:t>cas de crime ou délit flagrant, article 39 du Code de procédure pénale, la personne est informée dès sa rétention de tous ses droits résultant des articles 3-2, 3-3 et 3-6 du Code de procédure pénale, ainsi que des voies de recours de l’article 48-2, et de ce « qu’elle ne peut être privée de liberté que pendant un délai maximal de vingt-quatre heures avant d’être présentée à un juge d’instruction, de son droit de faire des déclarations et de répondre aux questions qui lui sont posées ou de se taire et de la nature et de la date présumées de l’infraction en raison de laquelle elle est retenue</w:t>
      </w:r>
      <w:r w:rsidR="006838ED">
        <w:rPr>
          <w:lang w:val="fr-FR"/>
        </w:rPr>
        <w:t> </w:t>
      </w:r>
      <w:r w:rsidR="00674E9C" w:rsidRPr="00640449">
        <w:rPr>
          <w:lang w:val="fr-FR"/>
        </w:rPr>
        <w:t>» etc.</w:t>
      </w:r>
      <w:r w:rsidR="00640449">
        <w:rPr>
          <w:lang w:val="fr-FR"/>
        </w:rPr>
        <w:t xml:space="preserve"> ;</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lastRenderedPageBreak/>
        <w:t>•</w:t>
      </w:r>
      <w:r w:rsidRPr="00640449">
        <w:rPr>
          <w:lang w:val="fr-FR"/>
        </w:rPr>
        <w:tab/>
      </w:r>
      <w:r w:rsidR="00674E9C" w:rsidRPr="00640449">
        <w:rPr>
          <w:lang w:val="fr-FR"/>
        </w:rPr>
        <w:t xml:space="preserve">Dans le cadre de l’enquête préliminaire, article 46 du Code de procédure pénale, la personne interrogée est informée de ses droits, tels que prévus aux articles 3-2, 3-3- et </w:t>
      </w:r>
      <w:r w:rsidR="00142570" w:rsidRPr="00640449">
        <w:rPr>
          <w:lang w:val="fr-FR"/>
        </w:rPr>
        <w:t>3-6 du Code de procédure pénale</w:t>
      </w:r>
      <w:r w:rsidR="00640449">
        <w:rPr>
          <w:lang w:val="fr-FR"/>
        </w:rPr>
        <w:t xml:space="preserve"> ;</w:t>
      </w:r>
    </w:p>
    <w:p w:rsidR="00674E9C" w:rsidRPr="00640449" w:rsidRDefault="001A7B42" w:rsidP="00D20CB5">
      <w:pPr>
        <w:pStyle w:val="Bullet1G"/>
        <w:keepNext/>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Dans le cadre de l’instruction préparatoire, article 52-1 du Code de procédure pénale</w:t>
      </w:r>
      <w:r w:rsidR="006838ED">
        <w:rPr>
          <w:lang w:val="fr-FR"/>
        </w:rPr>
        <w:t> </w:t>
      </w:r>
      <w:r w:rsidR="00674E9C" w:rsidRPr="00640449">
        <w:rPr>
          <w:lang w:val="fr-FR"/>
        </w:rPr>
        <w:t>:</w:t>
      </w:r>
    </w:p>
    <w:p w:rsidR="00674E9C" w:rsidRPr="00640449" w:rsidRDefault="00DC4445" w:rsidP="00DC4445">
      <w:pPr>
        <w:pStyle w:val="SingleTxtG"/>
        <w:ind w:left="1701"/>
        <w:rPr>
          <w:lang w:val="fr-FR"/>
        </w:rPr>
      </w:pPr>
      <w:r w:rsidRPr="00D20CB5">
        <w:rPr>
          <w:iCs/>
          <w:lang w:val="fr-FR"/>
        </w:rPr>
        <w:t>«</w:t>
      </w:r>
      <w:r w:rsidR="006838ED">
        <w:rPr>
          <w:iCs/>
          <w:lang w:val="fr-FR"/>
        </w:rPr>
        <w:t> </w:t>
      </w:r>
      <w:r w:rsidRPr="00D20CB5">
        <w:rPr>
          <w:iCs/>
          <w:lang w:val="fr-FR"/>
        </w:rPr>
        <w:t>(</w:t>
      </w:r>
      <w:r w:rsidR="00674E9C" w:rsidRPr="00640449">
        <w:rPr>
          <w:lang w:val="fr-FR"/>
        </w:rPr>
        <w:t>2) Dès sa privation de liberté, la personne a le droit de se faire examiner sans délai par un médecin.</w:t>
      </w:r>
    </w:p>
    <w:p w:rsidR="00674E9C" w:rsidRPr="00640449" w:rsidRDefault="00674E9C" w:rsidP="00DC4445">
      <w:pPr>
        <w:pStyle w:val="SingleTxtG"/>
        <w:ind w:left="1701"/>
        <w:rPr>
          <w:lang w:val="fr-FR"/>
        </w:rPr>
      </w:pPr>
      <w:r w:rsidRPr="00640449">
        <w:rPr>
          <w:lang w:val="fr-FR"/>
        </w:rPr>
        <w:t>Par ailleurs, l’officier de police judiciaire peut, à tout moment, d’office ou à la requête d’un membre de la famille de la personne retenue, désigner un médecin pour l’examiner.</w:t>
      </w:r>
    </w:p>
    <w:p w:rsidR="00674E9C" w:rsidRPr="00640449" w:rsidRDefault="00674E9C" w:rsidP="00DC4445">
      <w:pPr>
        <w:pStyle w:val="SingleTxtG"/>
        <w:ind w:left="1701"/>
        <w:rPr>
          <w:i/>
          <w:lang w:val="fr-FR"/>
        </w:rPr>
      </w:pPr>
      <w:r w:rsidRPr="00640449">
        <w:rPr>
          <w:lang w:val="fr-FR"/>
        </w:rPr>
        <w:t>(3) La personne a le droit de prévenir sans retard indu une personne de son choix. Un téléphone est mis à sa disposition à cet effet.</w:t>
      </w:r>
      <w:r w:rsidRPr="00640449">
        <w:rPr>
          <w:i/>
          <w:lang w:val="fr-FR"/>
        </w:rPr>
        <w:t> »</w:t>
      </w:r>
      <w:r w:rsidR="00640449" w:rsidRPr="00640449">
        <w:rPr>
          <w:i/>
          <w:lang w:val="fr-FR"/>
        </w:rPr>
        <w:t>.</w:t>
      </w:r>
    </w:p>
    <w:p w:rsidR="00167AA7" w:rsidRPr="00640449" w:rsidRDefault="00393A5E" w:rsidP="00167AA7">
      <w:pPr>
        <w:pStyle w:val="H1G"/>
        <w:rPr>
          <w:lang w:val="fr-FR"/>
        </w:rPr>
      </w:pPr>
      <w:r w:rsidRPr="00640449">
        <w:rPr>
          <w:lang w:val="fr-FR"/>
        </w:rPr>
        <w:tab/>
      </w:r>
      <w:r w:rsidR="00141550" w:rsidRPr="00640449">
        <w:rPr>
          <w:lang w:val="fr-FR"/>
        </w:rPr>
        <w:t>E</w:t>
      </w:r>
      <w:r w:rsidR="00167AA7" w:rsidRPr="00640449">
        <w:t>.</w:t>
      </w:r>
      <w:r w:rsidR="00167AA7" w:rsidRPr="00640449">
        <w:tab/>
      </w:r>
      <w:r w:rsidR="00167AA7" w:rsidRPr="00640449">
        <w:rPr>
          <w:lang w:val="fr-FR"/>
        </w:rPr>
        <w:t xml:space="preserve">Réponse à </w:t>
      </w:r>
      <w:r w:rsidR="00167AA7" w:rsidRPr="00640449">
        <w:t>la</w:t>
      </w:r>
      <w:r w:rsidR="00167AA7" w:rsidRPr="00640449">
        <w:rPr>
          <w:lang w:val="fr-FR"/>
        </w:rPr>
        <w:t xml:space="preserve"> question posée au paragraphe 2 (d)</w:t>
      </w:r>
    </w:p>
    <w:p w:rsidR="00674E9C" w:rsidRPr="00640449" w:rsidRDefault="001A7B42" w:rsidP="001A7B42">
      <w:pPr>
        <w:pStyle w:val="SingleTxtG"/>
        <w:tabs>
          <w:tab w:val="left" w:pos="1134"/>
        </w:tabs>
        <w:rPr>
          <w:lang w:val="fr-FR"/>
        </w:rPr>
      </w:pPr>
      <w:r w:rsidRPr="00640449">
        <w:rPr>
          <w:lang w:val="fr-FR"/>
        </w:rPr>
        <w:t>15.</w:t>
      </w:r>
      <w:r w:rsidRPr="00640449">
        <w:rPr>
          <w:lang w:val="fr-FR"/>
        </w:rPr>
        <w:tab/>
      </w:r>
      <w:r w:rsidR="00674E9C" w:rsidRPr="00640449">
        <w:rPr>
          <w:lang w:val="fr-FR"/>
        </w:rPr>
        <w:t xml:space="preserve">Tout d’abord, il convient de soulever que les mineurs, conformément à la </w:t>
      </w:r>
      <w:hyperlink r:id="rId11" w:history="1">
        <w:r w:rsidR="00674E9C" w:rsidRPr="00640449">
          <w:rPr>
            <w:rStyle w:val="Lienhypertexte"/>
            <w:color w:val="auto"/>
            <w:lang w:val="fr-FR"/>
          </w:rPr>
          <w:t>loi modifiée du 10 août 1992 relative à la protection de la jeunesse</w:t>
        </w:r>
      </w:hyperlink>
      <w:r w:rsidR="00674E9C" w:rsidRPr="00640449">
        <w:rPr>
          <w:rStyle w:val="Appelnotedebasdep"/>
        </w:rPr>
        <w:footnoteReference w:id="5"/>
      </w:r>
      <w:r w:rsidR="00674E9C" w:rsidRPr="00640449">
        <w:rPr>
          <w:lang w:val="fr-FR"/>
        </w:rPr>
        <w:t>, ne sont pas privés de liberté, mais que des mesures de sauvegarde et d’éducation sont prises à leur égard.</w:t>
      </w:r>
    </w:p>
    <w:p w:rsidR="00674E9C" w:rsidRPr="00640449" w:rsidRDefault="001A7B42" w:rsidP="001A7B42">
      <w:pPr>
        <w:pStyle w:val="SingleTxtG"/>
        <w:tabs>
          <w:tab w:val="left" w:pos="1134"/>
        </w:tabs>
        <w:rPr>
          <w:lang w:val="fr-FR"/>
        </w:rPr>
      </w:pPr>
      <w:r w:rsidRPr="00640449">
        <w:rPr>
          <w:lang w:val="fr-FR"/>
        </w:rPr>
        <w:t>16.</w:t>
      </w:r>
      <w:r w:rsidRPr="00640449">
        <w:rPr>
          <w:lang w:val="fr-FR"/>
        </w:rPr>
        <w:tab/>
      </w:r>
      <w:r w:rsidR="00674E9C" w:rsidRPr="00640449">
        <w:rPr>
          <w:lang w:val="fr-FR"/>
        </w:rPr>
        <w:t>Dans les cas exceptionnels, et sous condition d’avoir atteint l’âge de 16 ans, les mineurs sont poursuivis suivant les formes et compétences ordinaires. Tel est le cas lorsque les mesures de sauvegarde, d’éducation et de préservation s’avèrent inadéquates, selon l’article 32 de la loi précitée.</w:t>
      </w:r>
    </w:p>
    <w:p w:rsidR="00674E9C" w:rsidRPr="00640449" w:rsidRDefault="001A7B42" w:rsidP="001A7B42">
      <w:pPr>
        <w:pStyle w:val="SingleTxtG"/>
        <w:tabs>
          <w:tab w:val="left" w:pos="1134"/>
        </w:tabs>
        <w:rPr>
          <w:lang w:val="fr-FR"/>
        </w:rPr>
      </w:pPr>
      <w:r w:rsidRPr="00640449">
        <w:rPr>
          <w:lang w:val="fr-FR"/>
        </w:rPr>
        <w:t>17.</w:t>
      </w:r>
      <w:r w:rsidRPr="00640449">
        <w:rPr>
          <w:lang w:val="fr-FR"/>
        </w:rPr>
        <w:tab/>
      </w:r>
      <w:r w:rsidR="00674E9C" w:rsidRPr="00640449">
        <w:rPr>
          <w:lang w:val="fr-FR"/>
        </w:rPr>
        <w:t>L’article 19 de la loi modifiée du 10 août 1992 précise que les « dispositions concernant les poursuites en matière répressive sont applicables à toutes les procédures visées par la présente loi ». Il en résulte que les articles du Code de procédure pénale, notamment les articles 3-2, 3-3 et 3-6, garantissant tous les droits, sont applicables aux mineurs faisant l’objet d’une des mesures de protection, ou, le cas échéant, d’une privation de liberté.</w:t>
      </w:r>
    </w:p>
    <w:p w:rsidR="00674E9C" w:rsidRPr="00640449" w:rsidRDefault="001A7B42" w:rsidP="001A7B42">
      <w:pPr>
        <w:pStyle w:val="SingleTxtG"/>
        <w:tabs>
          <w:tab w:val="left" w:pos="1134"/>
        </w:tabs>
        <w:rPr>
          <w:lang w:val="fr-FR"/>
        </w:rPr>
      </w:pPr>
      <w:r w:rsidRPr="00640449">
        <w:rPr>
          <w:lang w:val="fr-FR"/>
        </w:rPr>
        <w:t>18.</w:t>
      </w:r>
      <w:r w:rsidRPr="00640449">
        <w:rPr>
          <w:lang w:val="fr-FR"/>
        </w:rPr>
        <w:tab/>
      </w:r>
      <w:r w:rsidR="00674E9C" w:rsidRPr="00640449">
        <w:rPr>
          <w:lang w:val="fr-FR"/>
        </w:rPr>
        <w:t>Le nouveau projet de loi 7276, portant réforme du régime actuel de la protection de la jeunesse, renforce, outre les garanties existantes au Code de procédure pénale, et prévoit la présence d’un avocat à toutes les mesures de protection au profit du mineur. Des nouveaux principes, comme celui du maintien de l’autorité parentale, ou celui d’une nouvelle mesure de garde provisoire, sont intégrés dans le nouveau projet de loi.</w:t>
      </w:r>
    </w:p>
    <w:p w:rsidR="00674E9C" w:rsidRPr="00640449" w:rsidRDefault="001A7B42" w:rsidP="001A7B42">
      <w:pPr>
        <w:pStyle w:val="SingleTxtG"/>
        <w:tabs>
          <w:tab w:val="left" w:pos="1134"/>
        </w:tabs>
        <w:rPr>
          <w:lang w:val="fr-FR"/>
        </w:rPr>
      </w:pPr>
      <w:r w:rsidRPr="00640449">
        <w:rPr>
          <w:lang w:val="fr-FR"/>
        </w:rPr>
        <w:t>19.</w:t>
      </w:r>
      <w:r w:rsidRPr="00640449">
        <w:rPr>
          <w:lang w:val="fr-FR"/>
        </w:rPr>
        <w:tab/>
      </w:r>
      <w:r w:rsidR="00674E9C" w:rsidRPr="00640449">
        <w:rPr>
          <w:lang w:val="fr-FR"/>
        </w:rPr>
        <w:t>Concernant les foyers destinés à abriter les victimes de la traite des êtres humains, il est important de noter qu’il existe deux foyers pour les hommes (Caritas et la Fondation Maison de la Porte ouverte), comportant ensemble 14 lits. En outre, 2 studios, localisés à la frontière luxembourgeoise sur le territoire belge ont été loués afin d’héberger les victimes de la traite. Le service de conseil pour les hommes, dénommé INFOMANN</w:t>
      </w:r>
      <w:r w:rsidR="00674E9C" w:rsidRPr="00640449">
        <w:rPr>
          <w:rStyle w:val="Appelnotedebasdep"/>
        </w:rPr>
        <w:footnoteReference w:id="6"/>
      </w:r>
      <w:r w:rsidR="00674E9C" w:rsidRPr="00640449">
        <w:rPr>
          <w:lang w:val="fr-FR"/>
        </w:rPr>
        <w:t>, dispose d’une certaine quantité de chambres pour protéger les hommes, victimes de la traite.</w:t>
      </w:r>
    </w:p>
    <w:p w:rsidR="00674E9C" w:rsidRPr="00640449" w:rsidRDefault="001A7B42" w:rsidP="001A7B42">
      <w:pPr>
        <w:pStyle w:val="SingleTxtG"/>
        <w:tabs>
          <w:tab w:val="left" w:pos="1134"/>
        </w:tabs>
        <w:rPr>
          <w:lang w:val="fr-FR"/>
        </w:rPr>
      </w:pPr>
      <w:r w:rsidRPr="00640449">
        <w:rPr>
          <w:lang w:val="fr-FR"/>
        </w:rPr>
        <w:t>20.</w:t>
      </w:r>
      <w:r w:rsidRPr="00640449">
        <w:rPr>
          <w:lang w:val="fr-FR"/>
        </w:rPr>
        <w:tab/>
      </w:r>
      <w:r w:rsidR="00674E9C" w:rsidRPr="00640449">
        <w:rPr>
          <w:lang w:val="fr-FR"/>
        </w:rPr>
        <w:t>Par ailleurs, certains foyers bénéficient d’un agrément protégeant les victimes. Le COTEH</w:t>
      </w:r>
      <w:r w:rsidR="00674E9C" w:rsidRPr="00640449">
        <w:rPr>
          <w:rStyle w:val="Appelnotedebasdep"/>
        </w:rPr>
        <w:footnoteReference w:id="7"/>
      </w:r>
      <w:r w:rsidR="00674E9C" w:rsidRPr="00640449">
        <w:rPr>
          <w:lang w:val="fr-FR"/>
        </w:rPr>
        <w:t xml:space="preserve"> (Fondation Maison de la Porte ouverte) et le SAVTEH</w:t>
      </w:r>
      <w:r w:rsidR="00674E9C" w:rsidRPr="00640449">
        <w:rPr>
          <w:rStyle w:val="Appelnotedebasdep"/>
        </w:rPr>
        <w:footnoteReference w:id="8"/>
      </w:r>
      <w:r w:rsidR="00674E9C" w:rsidRPr="00640449">
        <w:rPr>
          <w:lang w:val="fr-FR"/>
        </w:rPr>
        <w:t xml:space="preserve"> (Femmes en détresse) offrent des conseils aux victimes de la traite. Ils coordonnent l’aide et l’assistance à toutes les victimes, indépendamment du sexe.</w:t>
      </w:r>
    </w:p>
    <w:p w:rsidR="00167AA7" w:rsidRPr="00640449" w:rsidRDefault="00370DE7" w:rsidP="00167AA7">
      <w:pPr>
        <w:pStyle w:val="H1G"/>
        <w:rPr>
          <w:lang w:val="fr-FR"/>
        </w:rPr>
      </w:pPr>
      <w:bookmarkStart w:id="5" w:name="_Toc8396093"/>
      <w:r w:rsidRPr="00640449">
        <w:tab/>
      </w:r>
      <w:r w:rsidR="00CF6D6A" w:rsidRPr="00640449">
        <w:t>F</w:t>
      </w:r>
      <w:r w:rsidR="00167AA7" w:rsidRPr="00640449">
        <w:t>.</w:t>
      </w:r>
      <w:r w:rsidR="00167AA7" w:rsidRPr="00640449">
        <w:tab/>
      </w:r>
      <w:r w:rsidR="00167AA7" w:rsidRPr="00640449">
        <w:rPr>
          <w:lang w:val="fr-FR"/>
        </w:rPr>
        <w:t xml:space="preserve">Réponse à </w:t>
      </w:r>
      <w:r w:rsidR="00167AA7" w:rsidRPr="00640449">
        <w:t>la</w:t>
      </w:r>
      <w:r w:rsidR="00167AA7" w:rsidRPr="00640449">
        <w:rPr>
          <w:lang w:val="fr-FR"/>
        </w:rPr>
        <w:t xml:space="preserve"> question posée au paragraphe 3 (a)</w:t>
      </w:r>
    </w:p>
    <w:bookmarkEnd w:id="5"/>
    <w:p w:rsidR="00674E9C" w:rsidRPr="00640449" w:rsidRDefault="001A7B42" w:rsidP="001A7B42">
      <w:pPr>
        <w:pStyle w:val="SingleTxtG"/>
        <w:tabs>
          <w:tab w:val="left" w:pos="1134"/>
        </w:tabs>
        <w:rPr>
          <w:lang w:val="fr-FR"/>
        </w:rPr>
      </w:pPr>
      <w:r w:rsidRPr="00640449">
        <w:rPr>
          <w:lang w:val="fr-FR"/>
        </w:rPr>
        <w:t>21.</w:t>
      </w:r>
      <w:r w:rsidRPr="00640449">
        <w:rPr>
          <w:lang w:val="fr-FR"/>
        </w:rPr>
        <w:tab/>
      </w:r>
      <w:r w:rsidR="00674E9C" w:rsidRPr="00640449">
        <w:rPr>
          <w:lang w:val="fr-FR"/>
        </w:rPr>
        <w:t>Les données statistiques sur le nombre de victimes de la traite et le nombre de plaintes sont les suivantes</w:t>
      </w:r>
      <w:r w:rsidR="007E6D04">
        <w:rPr>
          <w:lang w:val="fr-FR"/>
        </w:rPr>
        <w:t> </w:t>
      </w:r>
      <w:r w:rsidR="00674E9C" w:rsidRPr="00640449">
        <w:rPr>
          <w:lang w:val="fr-FR"/>
        </w:rPr>
        <w:t>:</w:t>
      </w:r>
    </w:p>
    <w:p w:rsidR="005130E6" w:rsidRPr="00640449" w:rsidRDefault="001A7B42" w:rsidP="001A7B42">
      <w:pPr>
        <w:pStyle w:val="Bullet1G"/>
        <w:numPr>
          <w:ilvl w:val="0"/>
          <w:numId w:val="0"/>
        </w:numPr>
        <w:tabs>
          <w:tab w:val="left" w:pos="1701"/>
        </w:tabs>
        <w:ind w:left="1701" w:hanging="170"/>
        <w:rPr>
          <w:lang w:val="fr-FR"/>
        </w:rPr>
      </w:pPr>
      <w:r w:rsidRPr="00640449">
        <w:rPr>
          <w:lang w:val="fr-FR"/>
        </w:rPr>
        <w:lastRenderedPageBreak/>
        <w:t>•</w:t>
      </w:r>
      <w:r w:rsidRPr="00640449">
        <w:rPr>
          <w:lang w:val="fr-FR"/>
        </w:rPr>
        <w:tab/>
      </w:r>
      <w:r w:rsidR="00674E9C" w:rsidRPr="00640449">
        <w:rPr>
          <w:lang w:val="fr-FR"/>
        </w:rPr>
        <w:t>En 2013, 9 plaintes ont été déposées</w:t>
      </w:r>
      <w:r w:rsidR="007E6D04">
        <w:rPr>
          <w:lang w:val="fr-FR"/>
        </w:rPr>
        <w:t> ;</w:t>
      </w:r>
    </w:p>
    <w:p w:rsidR="005130E6"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En 2014, 14 plaintes ont été déposées</w:t>
      </w:r>
      <w:r w:rsidR="007E6D04">
        <w:rPr>
          <w:lang w:val="fr-FR"/>
        </w:rPr>
        <w:t> ;</w:t>
      </w:r>
    </w:p>
    <w:p w:rsidR="005130E6"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En 20</w:t>
      </w:r>
      <w:r w:rsidR="00640449" w:rsidRPr="00640449">
        <w:rPr>
          <w:lang w:val="fr-FR"/>
        </w:rPr>
        <w:t>15, 8 plaintes ont été déposées</w:t>
      </w:r>
      <w:r w:rsidR="007E6D04">
        <w:rPr>
          <w:lang w:val="fr-FR"/>
        </w:rPr>
        <w:t> ;</w:t>
      </w:r>
    </w:p>
    <w:p w:rsidR="005130E6"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En 2016, 22 plaintes ont été déposées</w:t>
      </w:r>
      <w:r w:rsidR="007E6D04">
        <w:rPr>
          <w:lang w:val="fr-FR"/>
        </w:rPr>
        <w:t> ;</w:t>
      </w:r>
    </w:p>
    <w:p w:rsidR="005130E6"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En 2017, 24 plaintes ont été déposées</w:t>
      </w:r>
      <w:r w:rsidR="007E6D04">
        <w:rPr>
          <w:lang w:val="fr-FR"/>
        </w:rPr>
        <w:t> ;</w:t>
      </w:r>
    </w:p>
    <w:p w:rsidR="005130E6"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En 2018, 14 plaintes ont été déposées</w:t>
      </w:r>
      <w:r w:rsidR="00640449" w:rsidRPr="00640449">
        <w:rPr>
          <w:lang w:val="fr-FR"/>
        </w:rPr>
        <w:t>.</w:t>
      </w:r>
    </w:p>
    <w:p w:rsidR="00674E9C" w:rsidRPr="00640449" w:rsidRDefault="001A7B42" w:rsidP="001A7B42">
      <w:pPr>
        <w:pStyle w:val="SingleTxtG"/>
        <w:tabs>
          <w:tab w:val="left" w:pos="1134"/>
        </w:tabs>
        <w:rPr>
          <w:lang w:val="fr-FR"/>
        </w:rPr>
      </w:pPr>
      <w:r w:rsidRPr="00640449">
        <w:rPr>
          <w:lang w:val="fr-FR"/>
        </w:rPr>
        <w:t>22.</w:t>
      </w:r>
      <w:r w:rsidRPr="00640449">
        <w:rPr>
          <w:lang w:val="fr-FR"/>
        </w:rPr>
        <w:tab/>
      </w:r>
      <w:r w:rsidR="00674E9C" w:rsidRPr="00640449">
        <w:rPr>
          <w:lang w:val="fr-FR"/>
        </w:rPr>
        <w:t xml:space="preserve">64 plaintes ont donné lieu à une enquête. </w:t>
      </w:r>
    </w:p>
    <w:p w:rsidR="00674E9C" w:rsidRPr="00640449" w:rsidRDefault="001A7B42" w:rsidP="001A7B42">
      <w:pPr>
        <w:pStyle w:val="SingleTxtG"/>
        <w:tabs>
          <w:tab w:val="left" w:pos="1134"/>
        </w:tabs>
        <w:rPr>
          <w:lang w:val="fr-FR"/>
        </w:rPr>
      </w:pPr>
      <w:r w:rsidRPr="00640449">
        <w:rPr>
          <w:lang w:val="fr-FR"/>
        </w:rPr>
        <w:t>23.</w:t>
      </w:r>
      <w:r w:rsidRPr="00640449">
        <w:rPr>
          <w:lang w:val="fr-FR"/>
        </w:rPr>
        <w:tab/>
      </w:r>
      <w:r w:rsidR="00674E9C" w:rsidRPr="00640449">
        <w:rPr>
          <w:lang w:val="fr-FR"/>
        </w:rPr>
        <w:t>Toutes les plaintes ont été déposées auprès de la Police Grand-Ducale ou auprès de la Direction de l’immigration (Ministère des Affaires étrangères).</w:t>
      </w:r>
    </w:p>
    <w:p w:rsidR="00674E9C" w:rsidRPr="00640449" w:rsidRDefault="001A7B42" w:rsidP="001A7B42">
      <w:pPr>
        <w:pStyle w:val="SingleTxtG"/>
        <w:tabs>
          <w:tab w:val="left" w:pos="1134"/>
        </w:tabs>
        <w:rPr>
          <w:lang w:val="fr-FR"/>
        </w:rPr>
      </w:pPr>
      <w:r w:rsidRPr="00640449">
        <w:rPr>
          <w:lang w:val="fr-FR"/>
        </w:rPr>
        <w:t>24.</w:t>
      </w:r>
      <w:r w:rsidRPr="00640449">
        <w:rPr>
          <w:lang w:val="fr-FR"/>
        </w:rPr>
        <w:tab/>
      </w:r>
      <w:r w:rsidR="00674E9C" w:rsidRPr="00640449">
        <w:rPr>
          <w:lang w:val="fr-FR"/>
        </w:rPr>
        <w:t xml:space="preserve">2/3 des victimes sont des femmes, alors que 1/3 sont des hommes. </w:t>
      </w:r>
    </w:p>
    <w:p w:rsidR="00674E9C" w:rsidRPr="00640449" w:rsidRDefault="001A7B42" w:rsidP="001A7B42">
      <w:pPr>
        <w:pStyle w:val="SingleTxtG"/>
        <w:tabs>
          <w:tab w:val="left" w:pos="1134"/>
        </w:tabs>
        <w:rPr>
          <w:lang w:val="fr-FR"/>
        </w:rPr>
      </w:pPr>
      <w:r w:rsidRPr="00640449">
        <w:rPr>
          <w:lang w:val="fr-FR"/>
        </w:rPr>
        <w:t>25.</w:t>
      </w:r>
      <w:r w:rsidRPr="00640449">
        <w:rPr>
          <w:lang w:val="fr-FR"/>
        </w:rPr>
        <w:tab/>
      </w:r>
      <w:r w:rsidR="00674E9C" w:rsidRPr="00640449">
        <w:rPr>
          <w:lang w:val="fr-FR"/>
        </w:rPr>
        <w:t>Les nationalités représentées, ainsi que le nombre de victimes, sont les suivantes</w:t>
      </w:r>
      <w:r w:rsidR="007E6D04">
        <w:rPr>
          <w:lang w:val="fr-FR"/>
        </w:rPr>
        <w:t> </w:t>
      </w:r>
      <w:r w:rsidR="00674E9C" w:rsidRPr="00640449">
        <w:rPr>
          <w:lang w:val="fr-FR"/>
        </w:rPr>
        <w:t>:</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Roumanie : 14</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Brésil : 11</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Chine : 11</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Albanie : 8</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Moldavie : 6</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Inde : 5</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Hongrie : 3</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Nigéria : 3</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Colombie : 2</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Pakistan : 2</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Portugal : 2</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République Tchèque : 2</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Tunisie : 2</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Bangladesh : 1</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Bulgarie : 1</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Cameroun : 1</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Gambie : 1</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Guinée-Bissau : 1</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Iran : 1</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Maroc : 1</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Mauritanie : 1</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Luxembourg : 1</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Pays-Bas :1</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Philippines :1</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Slovaquie : 1</w:t>
      </w:r>
    </w:p>
    <w:p w:rsidR="005130E6"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Ukraine : 1</w:t>
      </w:r>
    </w:p>
    <w:p w:rsidR="00167AA7" w:rsidRPr="00640449" w:rsidRDefault="00167AA7" w:rsidP="00167AA7">
      <w:pPr>
        <w:pStyle w:val="H1G"/>
        <w:rPr>
          <w:lang w:val="fr-FR"/>
        </w:rPr>
      </w:pPr>
      <w:r w:rsidRPr="00640449">
        <w:lastRenderedPageBreak/>
        <w:tab/>
      </w:r>
      <w:r w:rsidR="00CF6D6A" w:rsidRPr="00640449">
        <w:t>G</w:t>
      </w:r>
      <w:r w:rsidRPr="00640449">
        <w:t>.</w:t>
      </w:r>
      <w:r w:rsidRPr="00640449">
        <w:tab/>
      </w:r>
      <w:r w:rsidRPr="00640449">
        <w:rPr>
          <w:lang w:val="fr-FR"/>
        </w:rPr>
        <w:t xml:space="preserve">Réponse à </w:t>
      </w:r>
      <w:r w:rsidRPr="00640449">
        <w:t>la</w:t>
      </w:r>
      <w:r w:rsidRPr="00640449">
        <w:rPr>
          <w:lang w:val="fr-FR"/>
        </w:rPr>
        <w:t xml:space="preserve"> question posée au paragraphe 3 (b)</w:t>
      </w:r>
    </w:p>
    <w:p w:rsidR="00674E9C" w:rsidRPr="00640449" w:rsidRDefault="001A7B42" w:rsidP="001A7B42">
      <w:pPr>
        <w:pStyle w:val="SingleTxtG"/>
        <w:tabs>
          <w:tab w:val="left" w:pos="1134"/>
        </w:tabs>
        <w:rPr>
          <w:lang w:val="fr-FR"/>
        </w:rPr>
      </w:pPr>
      <w:r w:rsidRPr="00640449">
        <w:rPr>
          <w:lang w:val="fr-FR"/>
        </w:rPr>
        <w:t>26.</w:t>
      </w:r>
      <w:r w:rsidRPr="00640449">
        <w:rPr>
          <w:lang w:val="fr-FR"/>
        </w:rPr>
        <w:tab/>
      </w:r>
      <w:r w:rsidR="00674E9C" w:rsidRPr="00640449">
        <w:rPr>
          <w:lang w:val="fr-FR"/>
        </w:rPr>
        <w:t>La lutte contre la traite des êtres humains est définie à l’article 382-1 du Code pénal</w:t>
      </w:r>
      <w:r w:rsidR="004335EA">
        <w:rPr>
          <w:lang w:val="fr-FR"/>
        </w:rPr>
        <w:t> </w:t>
      </w:r>
      <w:r w:rsidR="00674E9C" w:rsidRPr="00640449">
        <w:rPr>
          <w:lang w:val="fr-FR"/>
        </w:rPr>
        <w:t xml:space="preserve">: </w:t>
      </w:r>
    </w:p>
    <w:p w:rsidR="00674E9C" w:rsidRPr="00640449" w:rsidRDefault="00674E9C" w:rsidP="00170EA7">
      <w:pPr>
        <w:pStyle w:val="SingleTxtG"/>
        <w:ind w:left="1701"/>
        <w:rPr>
          <w:lang w:val="fr-FR"/>
        </w:rPr>
      </w:pPr>
      <w:r w:rsidRPr="00D20CB5">
        <w:rPr>
          <w:iCs/>
          <w:lang w:val="fr-FR"/>
        </w:rPr>
        <w:t>« (1</w:t>
      </w:r>
      <w:r w:rsidRPr="00640449">
        <w:rPr>
          <w:lang w:val="fr-FR"/>
        </w:rPr>
        <w:t>) Constitue l’infraction de traite des êtres humains le fait de recruter, de transporter, de transférer, d’héberger, d’accueillir une personne, de passer ou de transférer le contrôle sur elle, en vue</w:t>
      </w:r>
      <w:r w:rsidR="004335EA">
        <w:rPr>
          <w:lang w:val="fr-FR"/>
        </w:rPr>
        <w:t> </w:t>
      </w:r>
      <w:r w:rsidRPr="00640449">
        <w:rPr>
          <w:lang w:val="fr-FR"/>
        </w:rPr>
        <w:t xml:space="preserve">: </w:t>
      </w:r>
    </w:p>
    <w:p w:rsidR="00674E9C" w:rsidRPr="00640449" w:rsidRDefault="00674E9C" w:rsidP="00170EA7">
      <w:pPr>
        <w:pStyle w:val="SingleTxtG"/>
        <w:ind w:left="1701"/>
        <w:rPr>
          <w:lang w:val="fr-FR"/>
        </w:rPr>
      </w:pPr>
      <w:r w:rsidRPr="00640449">
        <w:rPr>
          <w:lang w:val="fr-FR"/>
        </w:rPr>
        <w:t>1) de la commission contre cette personne des infractions de proxénétisme, d’agression ou d’atteintes sexuelles</w:t>
      </w:r>
      <w:r w:rsidR="00640449">
        <w:rPr>
          <w:lang w:val="fr-FR"/>
        </w:rPr>
        <w:t> ;</w:t>
      </w:r>
      <w:r w:rsidRPr="00640449">
        <w:rPr>
          <w:lang w:val="fr-FR"/>
        </w:rPr>
        <w:t xml:space="preserve"> </w:t>
      </w:r>
    </w:p>
    <w:p w:rsidR="00674E9C" w:rsidRPr="00640449" w:rsidRDefault="00674E9C" w:rsidP="00170EA7">
      <w:pPr>
        <w:pStyle w:val="SingleTxtG"/>
        <w:ind w:left="1701"/>
        <w:rPr>
          <w:lang w:val="fr-FR"/>
        </w:rPr>
      </w:pPr>
      <w:r w:rsidRPr="00640449">
        <w:rPr>
          <w:lang w:val="fr-FR"/>
        </w:rPr>
        <w:t>2) de l’exploitation du travail ou des services de cette personne sous la forme de travail ou de services forcés ou obligatoires, de servitude, d’esclavage ou de pratiques analogues et en général dans des conditions contraires à la dignité humaine</w:t>
      </w:r>
      <w:r w:rsidR="00640449">
        <w:rPr>
          <w:lang w:val="fr-FR"/>
        </w:rPr>
        <w:t> ;</w:t>
      </w:r>
      <w:r w:rsidRPr="00640449">
        <w:rPr>
          <w:lang w:val="fr-FR"/>
        </w:rPr>
        <w:t xml:space="preserve"> </w:t>
      </w:r>
    </w:p>
    <w:p w:rsidR="00674E9C" w:rsidRPr="00640449" w:rsidRDefault="00674E9C" w:rsidP="00170EA7">
      <w:pPr>
        <w:pStyle w:val="SingleTxtG"/>
        <w:ind w:left="1701"/>
        <w:rPr>
          <w:lang w:val="fr-FR"/>
        </w:rPr>
      </w:pPr>
      <w:r w:rsidRPr="00640449">
        <w:rPr>
          <w:lang w:val="fr-FR"/>
        </w:rPr>
        <w:t>3) de la livrer à la mendicité, d’exploiter sa mendicité ou de la mettre à la disposition d’un mendiant afin qu’il s’en serve pour susciter la commisération publique</w:t>
      </w:r>
      <w:r w:rsidR="00640449">
        <w:rPr>
          <w:lang w:val="fr-FR"/>
        </w:rPr>
        <w:t> ;</w:t>
      </w:r>
      <w:r w:rsidRPr="00640449">
        <w:rPr>
          <w:lang w:val="fr-FR"/>
        </w:rPr>
        <w:t xml:space="preserve"> </w:t>
      </w:r>
    </w:p>
    <w:p w:rsidR="00674E9C" w:rsidRPr="00640449" w:rsidRDefault="00674E9C" w:rsidP="00170EA7">
      <w:pPr>
        <w:pStyle w:val="SingleTxtG"/>
        <w:ind w:left="1701"/>
        <w:rPr>
          <w:lang w:val="fr-FR"/>
        </w:rPr>
      </w:pPr>
      <w:r w:rsidRPr="00640449">
        <w:rPr>
          <w:lang w:val="fr-FR"/>
        </w:rPr>
        <w:t>4) du prélèvement d’organes ou de tissus en violation de la législation en la matière</w:t>
      </w:r>
      <w:r w:rsidR="00640449">
        <w:rPr>
          <w:lang w:val="fr-FR"/>
        </w:rPr>
        <w:t> ;</w:t>
      </w:r>
      <w:r w:rsidRPr="00640449">
        <w:rPr>
          <w:lang w:val="fr-FR"/>
        </w:rPr>
        <w:t xml:space="preserve"> </w:t>
      </w:r>
    </w:p>
    <w:p w:rsidR="00674E9C" w:rsidRPr="00640449" w:rsidRDefault="00674E9C" w:rsidP="00170EA7">
      <w:pPr>
        <w:pStyle w:val="SingleTxtG"/>
        <w:ind w:left="1701"/>
        <w:rPr>
          <w:lang w:val="fr-FR"/>
        </w:rPr>
      </w:pPr>
      <w:r w:rsidRPr="00640449">
        <w:rPr>
          <w:lang w:val="fr-FR"/>
        </w:rPr>
        <w:t>5) de faire commettre par cette personne un crime ou un délit, contre son gré.</w:t>
      </w:r>
      <w:r w:rsidRPr="00640449">
        <w:rPr>
          <w:i/>
          <w:lang w:val="fr-FR"/>
        </w:rPr>
        <w:t> </w:t>
      </w:r>
      <w:r w:rsidRPr="00D20CB5">
        <w:rPr>
          <w:iCs/>
          <w:lang w:val="fr-FR"/>
        </w:rPr>
        <w:t>»</w:t>
      </w:r>
      <w:r w:rsidR="00640449" w:rsidRPr="00D20CB5">
        <w:rPr>
          <w:iCs/>
          <w:lang w:val="fr-FR"/>
        </w:rPr>
        <w:t>.</w:t>
      </w:r>
    </w:p>
    <w:p w:rsidR="00674E9C" w:rsidRPr="00640449" w:rsidRDefault="001A7B42" w:rsidP="001A7B42">
      <w:pPr>
        <w:pStyle w:val="SingleTxtG"/>
        <w:rPr>
          <w:lang w:val="fr-FR"/>
        </w:rPr>
      </w:pPr>
      <w:r w:rsidRPr="00640449">
        <w:rPr>
          <w:lang w:val="fr-FR"/>
        </w:rPr>
        <w:t>27.</w:t>
      </w:r>
      <w:r w:rsidRPr="00640449">
        <w:rPr>
          <w:lang w:val="fr-FR"/>
        </w:rPr>
        <w:tab/>
      </w:r>
      <w:r w:rsidR="00674E9C" w:rsidRPr="00640449">
        <w:rPr>
          <w:lang w:val="fr-FR"/>
        </w:rPr>
        <w:t xml:space="preserve">Le </w:t>
      </w:r>
      <w:hyperlink r:id="rId12" w:history="1">
        <w:r w:rsidR="00674E9C" w:rsidRPr="00640449">
          <w:rPr>
            <w:rStyle w:val="Lienhypertexte"/>
            <w:color w:val="auto"/>
            <w:lang w:val="fr-FR"/>
          </w:rPr>
          <w:t>plan d’action national contre la traite des êtres humains</w:t>
        </w:r>
      </w:hyperlink>
      <w:r w:rsidR="00674E9C" w:rsidRPr="00640449">
        <w:rPr>
          <w:rStyle w:val="Appelnotedebasdep"/>
        </w:rPr>
        <w:footnoteReference w:id="9"/>
      </w:r>
      <w:r w:rsidR="00674E9C" w:rsidRPr="00640449">
        <w:rPr>
          <w:lang w:val="fr-FR"/>
        </w:rPr>
        <w:t>, dans sa version du 16</w:t>
      </w:r>
      <w:r w:rsidR="004335EA">
        <w:rPr>
          <w:lang w:val="fr-FR"/>
        </w:rPr>
        <w:t> </w:t>
      </w:r>
      <w:r w:rsidR="00674E9C" w:rsidRPr="00640449">
        <w:rPr>
          <w:lang w:val="fr-FR"/>
        </w:rPr>
        <w:t>novembre 2016, établit une stratégie claire, précise et coordonnée entre les différents acteurs actifs dans la lutte contre la traite des êtres humains.</w:t>
      </w:r>
    </w:p>
    <w:p w:rsidR="00674E9C" w:rsidRPr="00640449" w:rsidRDefault="001A7B42" w:rsidP="001A7B42">
      <w:pPr>
        <w:pStyle w:val="SingleTxtG"/>
        <w:rPr>
          <w:lang w:val="fr-FR"/>
        </w:rPr>
      </w:pPr>
      <w:r w:rsidRPr="00640449">
        <w:rPr>
          <w:lang w:val="fr-FR"/>
        </w:rPr>
        <w:t>28.</w:t>
      </w:r>
      <w:r w:rsidRPr="00640449">
        <w:rPr>
          <w:lang w:val="fr-FR"/>
        </w:rPr>
        <w:tab/>
      </w:r>
      <w:r w:rsidR="00674E9C" w:rsidRPr="00640449">
        <w:rPr>
          <w:lang w:val="fr-FR"/>
        </w:rPr>
        <w:t xml:space="preserve">Un </w:t>
      </w:r>
      <w:r w:rsidR="00674E9C" w:rsidRPr="00D20CB5">
        <w:rPr>
          <w:iCs/>
          <w:lang w:val="fr-FR"/>
        </w:rPr>
        <w:t>« Comité de suivi de la lutte contre la traite des êtres humains » est</w:t>
      </w:r>
      <w:r w:rsidR="00674E9C" w:rsidRPr="00640449">
        <w:rPr>
          <w:lang w:val="fr-FR"/>
        </w:rPr>
        <w:t xml:space="preserve"> chargé de la mise en place du suivi et de la coordination des activités de prévention et de l’évaluation du phénomène de la traite, de l’analyse et de la centralisation des données statistiques qui lui sont transmises, ainsi que de la surveillance et de l’évaluation de la mise en œuvre de la législation pertinente en matière de traite.</w:t>
      </w:r>
    </w:p>
    <w:p w:rsidR="00674E9C" w:rsidRPr="00640449" w:rsidRDefault="001A7B42" w:rsidP="001A7B42">
      <w:pPr>
        <w:pStyle w:val="SingleTxtG"/>
        <w:rPr>
          <w:lang w:val="fr-FR"/>
        </w:rPr>
      </w:pPr>
      <w:r w:rsidRPr="00640449">
        <w:rPr>
          <w:lang w:val="fr-FR"/>
        </w:rPr>
        <w:t>29.</w:t>
      </w:r>
      <w:r w:rsidRPr="00640449">
        <w:rPr>
          <w:lang w:val="fr-FR"/>
        </w:rPr>
        <w:tab/>
      </w:r>
      <w:r w:rsidR="00674E9C" w:rsidRPr="00640449">
        <w:rPr>
          <w:lang w:val="fr-FR"/>
        </w:rPr>
        <w:t>Ce Comité peut soumettre au Gouvernement les propositions qu’il juge utiles. Il est composé de représentants des instances publiques compétentes pour la mise en œuvre de la loi sur l’assistance des victimes de la traite, ainsi que de représentants des services d’assistance agréés et des associations. Un règlement grand-ducal précise sa composition et détermine son organisation, son fonctionnement ainsi que l’indemnité à allouer aux membres du Comité.</w:t>
      </w:r>
    </w:p>
    <w:p w:rsidR="00674E9C" w:rsidRPr="00640449" w:rsidRDefault="001A7B42" w:rsidP="00756838">
      <w:pPr>
        <w:pStyle w:val="SingleTxtG"/>
        <w:rPr>
          <w:lang w:val="fr-FR"/>
        </w:rPr>
      </w:pPr>
      <w:r w:rsidRPr="00640449">
        <w:rPr>
          <w:lang w:val="fr-FR"/>
        </w:rPr>
        <w:t>30.</w:t>
      </w:r>
      <w:r w:rsidRPr="00640449">
        <w:rPr>
          <w:lang w:val="fr-FR"/>
        </w:rPr>
        <w:tab/>
      </w:r>
      <w:r w:rsidR="00674E9C" w:rsidRPr="00640449">
        <w:rPr>
          <w:lang w:val="fr-FR"/>
        </w:rPr>
        <w:t xml:space="preserve">Concernant les professionnels, notamment les services d’assistance, il est prévu, à l’article 9 de la </w:t>
      </w:r>
      <w:hyperlink r:id="rId13" w:history="1">
        <w:r w:rsidR="00674E9C" w:rsidRPr="00640449">
          <w:rPr>
            <w:rStyle w:val="Lienhypertexte"/>
            <w:color w:val="auto"/>
            <w:lang w:val="fr-FR"/>
          </w:rPr>
          <w:t>loi du 8 mai 2009 sur l’assistance</w:t>
        </w:r>
        <w:r w:rsidR="00674E9C" w:rsidRPr="00640449">
          <w:rPr>
            <w:rStyle w:val="Appelnotedebasdep"/>
          </w:rPr>
          <w:footnoteReference w:id="10"/>
        </w:r>
        <w:r w:rsidR="00674E9C" w:rsidRPr="00640449">
          <w:rPr>
            <w:rStyle w:val="Lienhypertexte"/>
            <w:color w:val="auto"/>
            <w:lang w:val="fr-FR"/>
          </w:rPr>
          <w:t>, la protection et la sécurité des victimes de la traite des êtres humains</w:t>
        </w:r>
      </w:hyperlink>
      <w:r w:rsidR="00674E9C" w:rsidRPr="00640449">
        <w:rPr>
          <w:lang w:val="fr-FR"/>
        </w:rPr>
        <w:t>, que « [l]e personnel de la Police spécialisé dans la prévention ou la lutte contre la traite, le personnel des services de l’immigration et des services d’assistance sont tenus de suivre des cours de formation dispensés à leur attention et axés sur l’identification des victimes, les droits de la personne humaine et la protection des victimes contre les trafiquants</w:t>
      </w:r>
      <w:r w:rsidR="004335EA">
        <w:rPr>
          <w:i/>
          <w:lang w:val="fr-FR"/>
        </w:rPr>
        <w:t> </w:t>
      </w:r>
      <w:r w:rsidR="00674E9C" w:rsidRPr="00D20CB5">
        <w:rPr>
          <w:iCs/>
          <w:lang w:val="fr-FR"/>
        </w:rPr>
        <w:t xml:space="preserve">». </w:t>
      </w:r>
    </w:p>
    <w:p w:rsidR="00674E9C" w:rsidRPr="00640449" w:rsidRDefault="001A7B42" w:rsidP="001A7B42">
      <w:pPr>
        <w:pStyle w:val="SingleTxtG"/>
        <w:rPr>
          <w:lang w:val="fr-FR"/>
        </w:rPr>
      </w:pPr>
      <w:r w:rsidRPr="00640449">
        <w:rPr>
          <w:lang w:val="fr-FR"/>
        </w:rPr>
        <w:t>31.</w:t>
      </w:r>
      <w:r w:rsidRPr="00640449">
        <w:rPr>
          <w:lang w:val="fr-FR"/>
        </w:rPr>
        <w:tab/>
      </w:r>
      <w:r w:rsidR="00674E9C" w:rsidRPr="00640449">
        <w:rPr>
          <w:lang w:val="fr-FR"/>
        </w:rPr>
        <w:t>L’Inspection du travail et des mines (ITM) est un organe de contrôle sous l’autorité du Ministère du Travail et de l’Emploi et de l’Economie sociale et solidaire. Il supervise la mise en œuvre correcte et l’évaluation y relative par les employeurs de la législation en matière de droit du travail.</w:t>
      </w:r>
    </w:p>
    <w:p w:rsidR="00674E9C" w:rsidRPr="00640449" w:rsidRDefault="001A7B42" w:rsidP="001A7B42">
      <w:pPr>
        <w:pStyle w:val="SingleTxtG"/>
        <w:rPr>
          <w:lang w:val="fr-FR"/>
        </w:rPr>
      </w:pPr>
      <w:r w:rsidRPr="00640449">
        <w:rPr>
          <w:lang w:val="fr-FR"/>
        </w:rPr>
        <w:t>32.</w:t>
      </w:r>
      <w:r w:rsidRPr="00640449">
        <w:rPr>
          <w:lang w:val="fr-FR"/>
        </w:rPr>
        <w:tab/>
      </w:r>
      <w:r w:rsidR="00674E9C" w:rsidRPr="00640449">
        <w:rPr>
          <w:lang w:val="fr-FR"/>
        </w:rPr>
        <w:t>Les inspecteurs du travail, chargés du processus d’identification des victimes présumées dans le monde du travail, bénéficient d’une formation adéquate afin de pouvoir détecter les victimes présumées de la traite aux fins d’exploitation par le travail.</w:t>
      </w:r>
    </w:p>
    <w:p w:rsidR="00674E9C" w:rsidRPr="00640449" w:rsidRDefault="001A7B42" w:rsidP="001A7B42">
      <w:pPr>
        <w:pStyle w:val="SingleTxtG"/>
        <w:rPr>
          <w:lang w:val="fr-FR"/>
        </w:rPr>
      </w:pPr>
      <w:r w:rsidRPr="00640449">
        <w:rPr>
          <w:lang w:val="fr-FR"/>
        </w:rPr>
        <w:t>33.</w:t>
      </w:r>
      <w:r w:rsidRPr="00640449">
        <w:rPr>
          <w:lang w:val="fr-FR"/>
        </w:rPr>
        <w:tab/>
      </w:r>
      <w:r w:rsidR="00674E9C" w:rsidRPr="00640449">
        <w:rPr>
          <w:lang w:val="fr-FR"/>
        </w:rPr>
        <w:t>Quant à la formation des magistrats (juges et procureurs), ces derniers participent à une formation organisée par l’Ecole Nationale de la Magistrature en France et l’Académie allemande de la magistrature (</w:t>
      </w:r>
      <w:r w:rsidR="00674E9C" w:rsidRPr="00640449">
        <w:rPr>
          <w:i/>
          <w:lang w:val="fr-FR"/>
        </w:rPr>
        <w:t xml:space="preserve">Deutsche </w:t>
      </w:r>
      <w:proofErr w:type="spellStart"/>
      <w:r w:rsidR="00674E9C" w:rsidRPr="00640449">
        <w:rPr>
          <w:i/>
          <w:lang w:val="fr-FR"/>
        </w:rPr>
        <w:t>Richterakademie</w:t>
      </w:r>
      <w:proofErr w:type="spellEnd"/>
      <w:r w:rsidR="00674E9C" w:rsidRPr="00640449">
        <w:rPr>
          <w:lang w:val="fr-FR"/>
        </w:rPr>
        <w:t>). Une partie de leur formation est dédiée au thème de la traite des êtres humains.</w:t>
      </w:r>
    </w:p>
    <w:p w:rsidR="00674E9C" w:rsidRPr="00640449" w:rsidRDefault="001A7B42" w:rsidP="001A7B42">
      <w:pPr>
        <w:pStyle w:val="SingleTxtG"/>
        <w:rPr>
          <w:lang w:val="fr-FR"/>
        </w:rPr>
      </w:pPr>
      <w:r w:rsidRPr="00640449">
        <w:rPr>
          <w:lang w:val="fr-FR"/>
        </w:rPr>
        <w:lastRenderedPageBreak/>
        <w:t>34.</w:t>
      </w:r>
      <w:r w:rsidRPr="00640449">
        <w:rPr>
          <w:lang w:val="fr-FR"/>
        </w:rPr>
        <w:tab/>
      </w:r>
      <w:r w:rsidR="00674E9C" w:rsidRPr="00640449">
        <w:rPr>
          <w:lang w:val="fr-FR"/>
        </w:rPr>
        <w:t xml:space="preserve">Un certain nombre de formations et de conférences portant sur la traite est dispensé aux membres des forces de l’ordre, aux magistrats (juges et procureurs), aux inspecteurs du travail, au personnel des Douanes, aux avocats, au personnel travaillant dans les foyers d’accueil et de consultation pour personnes en situation de détresse, à la population migrante et aux services d’assistance aux victimes de la traite, au personnel impliqué dans l’aide sociale à l’enfance, aux travailleurs sociaux, au personnel travaillant dans les centres d’accueil des réfugiés et le centre de rétention pour migrants en situation irrégulière, au personnel diplomatique et consulaire, aux professionnels de santé, au personnel des organisations syndicales, au personnel des communes, aux professionnels de l’enseignement, de l’éducation formelle et informelle. </w:t>
      </w:r>
    </w:p>
    <w:p w:rsidR="00674E9C" w:rsidRPr="00640449" w:rsidRDefault="001A7B42" w:rsidP="001A7B42">
      <w:pPr>
        <w:pStyle w:val="SingleTxtG"/>
        <w:rPr>
          <w:lang w:val="fr-FR"/>
        </w:rPr>
      </w:pPr>
      <w:r w:rsidRPr="00640449">
        <w:rPr>
          <w:lang w:val="fr-FR"/>
        </w:rPr>
        <w:t>35.</w:t>
      </w:r>
      <w:r w:rsidRPr="00640449">
        <w:rPr>
          <w:lang w:val="fr-FR"/>
        </w:rPr>
        <w:tab/>
      </w:r>
      <w:r w:rsidR="00674E9C" w:rsidRPr="00640449">
        <w:rPr>
          <w:lang w:val="fr-FR"/>
        </w:rPr>
        <w:t xml:space="preserve">Les autorités luxembourgeoises se donnent pour objectif d’assurer des formations harmonisées, qui permettront à l’ensemble des acteurs de disposer d’une base commune de connaissances en la matière. Le développement des sessions communes de formation sur la question de la traite est privilégié. </w:t>
      </w:r>
    </w:p>
    <w:p w:rsidR="00674E9C" w:rsidRPr="00640449" w:rsidRDefault="001A7B42" w:rsidP="001A7B42">
      <w:pPr>
        <w:pStyle w:val="SingleTxtG"/>
        <w:rPr>
          <w:lang w:val="fr-FR"/>
        </w:rPr>
      </w:pPr>
      <w:r w:rsidRPr="00640449">
        <w:rPr>
          <w:lang w:val="fr-FR"/>
        </w:rPr>
        <w:t>36.</w:t>
      </w:r>
      <w:r w:rsidRPr="00640449">
        <w:rPr>
          <w:lang w:val="fr-FR"/>
        </w:rPr>
        <w:tab/>
      </w:r>
      <w:r w:rsidR="00674E9C" w:rsidRPr="00640449">
        <w:rPr>
          <w:lang w:val="fr-FR"/>
        </w:rPr>
        <w:t xml:space="preserve">Une </w:t>
      </w:r>
      <w:hyperlink r:id="rId14" w:history="1">
        <w:r w:rsidR="00674E9C" w:rsidRPr="00640449">
          <w:rPr>
            <w:rStyle w:val="Lienhypertexte"/>
            <w:color w:val="auto"/>
            <w:lang w:val="fr-FR"/>
          </w:rPr>
          <w:t>campagne d’information et de sensibilisation</w:t>
        </w:r>
      </w:hyperlink>
      <w:r w:rsidR="00674E9C" w:rsidRPr="00640449">
        <w:rPr>
          <w:rStyle w:val="Appelnotedebasdep"/>
        </w:rPr>
        <w:footnoteReference w:id="11"/>
      </w:r>
      <w:r w:rsidR="00674E9C" w:rsidRPr="00640449">
        <w:rPr>
          <w:lang w:val="fr-FR"/>
        </w:rPr>
        <w:t xml:space="preserve"> à la traite des êtres humains à l’attention du grand public a été lancée début décembre 2017 par le Comité de suivi de la lutte contre la traite des êtres humains. Elle a pour objectif de sensibiliser le public non seulement au phénomène de la traite, mais aussi à toutes les formes de traite et à les informer sur les instances à contacter, en cas de détection de victimes potentielles.</w:t>
      </w:r>
    </w:p>
    <w:p w:rsidR="007B2352" w:rsidRPr="00640449" w:rsidRDefault="001A7B42" w:rsidP="001A7B42">
      <w:pPr>
        <w:pStyle w:val="SingleTxtG"/>
        <w:rPr>
          <w:i/>
          <w:lang w:val="fr-FR"/>
        </w:rPr>
      </w:pPr>
      <w:r w:rsidRPr="00640449">
        <w:rPr>
          <w:lang w:val="fr-FR"/>
        </w:rPr>
        <w:t>37.</w:t>
      </w:r>
      <w:r w:rsidRPr="00640449">
        <w:rPr>
          <w:lang w:val="fr-FR"/>
        </w:rPr>
        <w:tab/>
      </w:r>
      <w:r w:rsidR="00674E9C" w:rsidRPr="00640449">
        <w:rPr>
          <w:lang w:val="fr-FR"/>
        </w:rPr>
        <w:t>Les mesures d’assistance et de protection des victimes consistent, conformément à l’article 2 de la loi modifiée du 8 mai 2009 sur l’assistance, la protection, et la sécurité des victimes de la traite des êtres h</w:t>
      </w:r>
      <w:r w:rsidR="007B2352" w:rsidRPr="00640449">
        <w:rPr>
          <w:lang w:val="fr-FR"/>
        </w:rPr>
        <w:t>umains, à accorder aux victimes</w:t>
      </w:r>
      <w:r w:rsidR="00FD7E28">
        <w:rPr>
          <w:lang w:val="fr-FR"/>
        </w:rPr>
        <w:t> </w:t>
      </w:r>
      <w:r w:rsidR="007B2352" w:rsidRPr="00640449">
        <w:rPr>
          <w:lang w:val="fr-FR"/>
        </w:rPr>
        <w:t>:</w:t>
      </w:r>
    </w:p>
    <w:p w:rsidR="007B2352" w:rsidRPr="00640449" w:rsidRDefault="007A42A0" w:rsidP="00D20CB5">
      <w:pPr>
        <w:pStyle w:val="SingleTxtG"/>
        <w:ind w:left="1701"/>
        <w:rPr>
          <w:lang w:val="fr-FR"/>
        </w:rPr>
      </w:pPr>
      <w:r w:rsidRPr="00640449">
        <w:rPr>
          <w:lang w:val="fr-FR"/>
        </w:rPr>
        <w:t>«</w:t>
      </w:r>
      <w:r w:rsidR="00C2057B">
        <w:t> </w:t>
      </w:r>
      <w:r w:rsidRPr="00640449">
        <w:t>a</w:t>
      </w:r>
      <w:r w:rsidR="007B2352" w:rsidRPr="00640449">
        <w:t>)</w:t>
      </w:r>
      <w:r w:rsidR="007B2352" w:rsidRPr="00640449">
        <w:tab/>
      </w:r>
      <w:r w:rsidR="007B2352" w:rsidRPr="00640449">
        <w:rPr>
          <w:lang w:val="fr-FR"/>
        </w:rPr>
        <w:t>un hébergement, une assistance sociale et socio-éducative, une assistance matérielle et financière, une assistance médicale, psychologique ou thérapeutique, selon leurs besoins</w:t>
      </w:r>
      <w:r w:rsidR="00640449">
        <w:rPr>
          <w:lang w:val="fr-FR"/>
        </w:rPr>
        <w:t> ;</w:t>
      </w:r>
    </w:p>
    <w:p w:rsidR="007B2352" w:rsidRPr="00640449" w:rsidRDefault="007B2352" w:rsidP="00D20CB5">
      <w:pPr>
        <w:pStyle w:val="SingleTxtG"/>
        <w:ind w:left="1701"/>
        <w:rPr>
          <w:lang w:val="fr-FR"/>
        </w:rPr>
      </w:pPr>
      <w:r w:rsidRPr="00640449">
        <w:t>b)</w:t>
      </w:r>
      <w:r w:rsidRPr="00640449">
        <w:tab/>
      </w:r>
      <w:r w:rsidRPr="00640449">
        <w:rPr>
          <w:lang w:val="fr-FR"/>
        </w:rPr>
        <w:t>une assistance linguistique, le cas échéant</w:t>
      </w:r>
      <w:r w:rsidR="00640449">
        <w:rPr>
          <w:lang w:val="fr-FR"/>
        </w:rPr>
        <w:t> ;</w:t>
      </w:r>
      <w:r w:rsidRPr="00640449">
        <w:rPr>
          <w:lang w:val="fr-FR"/>
        </w:rPr>
        <w:t xml:space="preserve"> </w:t>
      </w:r>
    </w:p>
    <w:p w:rsidR="007B2352" w:rsidRPr="00640449" w:rsidRDefault="007B2352" w:rsidP="00D20CB5">
      <w:pPr>
        <w:pStyle w:val="SingleTxtG"/>
        <w:ind w:left="1701"/>
        <w:rPr>
          <w:lang w:val="fr-FR"/>
        </w:rPr>
      </w:pPr>
      <w:r w:rsidRPr="00640449">
        <w:t>c)</w:t>
      </w:r>
      <w:r w:rsidRPr="00640449">
        <w:tab/>
      </w:r>
      <w:r w:rsidRPr="00640449">
        <w:rPr>
          <w:lang w:val="fr-FR"/>
        </w:rPr>
        <w:t xml:space="preserve">une assistance judiciaire conformément aux conditions de la législation afférente. </w:t>
      </w:r>
    </w:p>
    <w:p w:rsidR="00674E9C" w:rsidRPr="00640449" w:rsidRDefault="00674E9C" w:rsidP="007B2352">
      <w:pPr>
        <w:pStyle w:val="SingleTxtG"/>
        <w:ind w:left="1701"/>
        <w:rPr>
          <w:i/>
          <w:lang w:val="fr-FR"/>
        </w:rPr>
      </w:pPr>
      <w:r w:rsidRPr="00640449">
        <w:rPr>
          <w:lang w:val="fr-FR"/>
        </w:rPr>
        <w:t>(2) L'assistance financière peut être accordée pour des motifs réels et sérieux tenant au rétablissement physique, psychologique ou social de la victime</w:t>
      </w:r>
      <w:r w:rsidRPr="00640449">
        <w:rPr>
          <w:i/>
          <w:lang w:val="fr-FR"/>
        </w:rPr>
        <w:t xml:space="preserve">. </w:t>
      </w:r>
    </w:p>
    <w:p w:rsidR="00674E9C" w:rsidRPr="00640449" w:rsidRDefault="00674E9C" w:rsidP="007B2352">
      <w:pPr>
        <w:pStyle w:val="SingleTxtG"/>
        <w:ind w:left="1701"/>
        <w:rPr>
          <w:i/>
          <w:lang w:val="fr-FR"/>
        </w:rPr>
      </w:pPr>
      <w:r w:rsidRPr="00640449">
        <w:rPr>
          <w:i/>
          <w:lang w:val="fr-FR"/>
        </w:rPr>
        <w:t>(</w:t>
      </w:r>
      <w:r w:rsidRPr="00640449">
        <w:rPr>
          <w:lang w:val="fr-FR"/>
        </w:rPr>
        <w:t>3) La victime citoyenne de l'Union européenne ou assimilée, bénéficiaire d'une assistance financière, est censée remplir la condition visée à l’article 6 (1) point 2 de la loi sur la libre circulation des personnes et l'immigration</w:t>
      </w:r>
      <w:r w:rsidRPr="00640449">
        <w:rPr>
          <w:i/>
          <w:lang w:val="fr-FR"/>
        </w:rPr>
        <w:t>. »</w:t>
      </w:r>
      <w:r w:rsidR="00640449">
        <w:rPr>
          <w:i/>
          <w:lang w:val="fr-FR"/>
        </w:rPr>
        <w:t>.</w:t>
      </w:r>
    </w:p>
    <w:p w:rsidR="00674E9C" w:rsidRPr="00640449" w:rsidRDefault="001A7B42" w:rsidP="001A7B42">
      <w:pPr>
        <w:pStyle w:val="SingleTxtG"/>
        <w:rPr>
          <w:lang w:val="fr-FR"/>
        </w:rPr>
      </w:pPr>
      <w:r w:rsidRPr="00640449">
        <w:rPr>
          <w:lang w:val="fr-FR"/>
        </w:rPr>
        <w:t>38.</w:t>
      </w:r>
      <w:r w:rsidRPr="00640449">
        <w:rPr>
          <w:lang w:val="fr-FR"/>
        </w:rPr>
        <w:tab/>
      </w:r>
      <w:r w:rsidR="00674E9C" w:rsidRPr="00640449">
        <w:rPr>
          <w:lang w:val="fr-FR"/>
        </w:rPr>
        <w:t xml:space="preserve">D’autres mesures d’assistance sont précisées aux articles 3 et suivants de la même loi. </w:t>
      </w:r>
    </w:p>
    <w:p w:rsidR="00167AA7" w:rsidRPr="00640449" w:rsidRDefault="00167AA7" w:rsidP="00167AA7">
      <w:pPr>
        <w:pStyle w:val="H1G"/>
        <w:rPr>
          <w:lang w:val="fr-FR"/>
        </w:rPr>
      </w:pPr>
      <w:r w:rsidRPr="00640449">
        <w:tab/>
      </w:r>
      <w:r w:rsidR="00CF6D6A" w:rsidRPr="00640449">
        <w:t>H</w:t>
      </w:r>
      <w:r w:rsidRPr="00640449">
        <w:t>.</w:t>
      </w:r>
      <w:r w:rsidRPr="00640449">
        <w:tab/>
      </w:r>
      <w:r w:rsidRPr="00640449">
        <w:rPr>
          <w:lang w:val="fr-FR"/>
        </w:rPr>
        <w:t xml:space="preserve">Réponse à </w:t>
      </w:r>
      <w:r w:rsidRPr="00640449">
        <w:t>la</w:t>
      </w:r>
      <w:r w:rsidRPr="00640449">
        <w:rPr>
          <w:lang w:val="fr-FR"/>
        </w:rPr>
        <w:t xml:space="preserve"> question posée au paragraphe 3 (c)</w:t>
      </w:r>
    </w:p>
    <w:p w:rsidR="00674E9C" w:rsidRPr="00640449" w:rsidRDefault="001A7B42" w:rsidP="001A7B42">
      <w:pPr>
        <w:pStyle w:val="SingleTxtG"/>
        <w:rPr>
          <w:lang w:val="fr-FR"/>
        </w:rPr>
      </w:pPr>
      <w:r w:rsidRPr="00640449">
        <w:rPr>
          <w:lang w:val="fr-FR"/>
        </w:rPr>
        <w:t>39.</w:t>
      </w:r>
      <w:r w:rsidRPr="00640449">
        <w:rPr>
          <w:lang w:val="fr-FR"/>
        </w:rPr>
        <w:tab/>
      </w:r>
      <w:r w:rsidR="00674E9C" w:rsidRPr="00640449">
        <w:rPr>
          <w:lang w:val="fr-FR"/>
        </w:rPr>
        <w:t>Les mesures de réparation accessibles aux victimes sont définies dans la loi modifiée et relative à l’assistance, protection et sécurité des victimes de la traite des êtres humains, du 8 mai 2009. (cf. point b) indiqué ci-dessus).</w:t>
      </w:r>
    </w:p>
    <w:p w:rsidR="00674E9C" w:rsidRPr="00640449" w:rsidRDefault="001A7B42" w:rsidP="001A7B42">
      <w:pPr>
        <w:pStyle w:val="SingleTxtG"/>
        <w:rPr>
          <w:lang w:val="fr-FR"/>
        </w:rPr>
      </w:pPr>
      <w:r w:rsidRPr="00640449">
        <w:rPr>
          <w:lang w:val="fr-FR"/>
        </w:rPr>
        <w:t>40.</w:t>
      </w:r>
      <w:r w:rsidRPr="00640449">
        <w:rPr>
          <w:lang w:val="fr-FR"/>
        </w:rPr>
        <w:tab/>
      </w:r>
      <w:r w:rsidR="00674E9C" w:rsidRPr="00640449">
        <w:rPr>
          <w:lang w:val="fr-FR"/>
        </w:rPr>
        <w:t xml:space="preserve">La </w:t>
      </w:r>
      <w:hyperlink r:id="rId15" w:history="1">
        <w:r w:rsidR="00674E9C" w:rsidRPr="00640449">
          <w:t>loi du 9 avril 2014, renforçant le droit des victimes de la traite des êtres humains</w:t>
        </w:r>
      </w:hyperlink>
      <w:r w:rsidR="00674E9C" w:rsidRPr="00640449">
        <w:rPr>
          <w:rStyle w:val="Appelnotedebasdep"/>
        </w:rPr>
        <w:footnoteReference w:id="12"/>
      </w:r>
      <w:r w:rsidR="00674E9C" w:rsidRPr="00640449">
        <w:rPr>
          <w:lang w:val="fr-FR"/>
        </w:rPr>
        <w:t>, a modifié l’article 1 de la loi modifiée du 12 mars 1984 relative à l’indemnisation de certaines victimes de dommages corporels résultant d’une infraction et à la répression. Le libellé est comme suit</w:t>
      </w:r>
      <w:r w:rsidR="00640449">
        <w:rPr>
          <w:lang w:val="fr-FR"/>
        </w:rPr>
        <w:t> </w:t>
      </w:r>
      <w:r w:rsidR="00674E9C" w:rsidRPr="00640449">
        <w:rPr>
          <w:lang w:val="fr-FR"/>
        </w:rPr>
        <w:t xml:space="preserve">: </w:t>
      </w:r>
    </w:p>
    <w:p w:rsidR="00674E9C" w:rsidRPr="00D20CB5" w:rsidRDefault="00674E9C" w:rsidP="00D20CB5">
      <w:pPr>
        <w:pStyle w:val="SingleTxtG"/>
        <w:ind w:left="1701"/>
      </w:pPr>
      <w:r w:rsidRPr="00640449">
        <w:rPr>
          <w:lang w:val="fr-FR"/>
        </w:rPr>
        <w:t>« Toute personne ayant subi au Grand-Duché un préjudice matériel ou moral résultant de faits volontaires qui présentent le caractère matériel d’une infraction a droit à une indemnité à charge de l’</w:t>
      </w:r>
      <w:r w:rsidR="00FD7E28">
        <w:rPr>
          <w:lang w:val="fr-FR"/>
        </w:rPr>
        <w:t>État </w:t>
      </w:r>
      <w:r w:rsidRPr="00640449">
        <w:rPr>
          <w:lang w:val="fr-FR"/>
        </w:rPr>
        <w:t>:</w:t>
      </w:r>
    </w:p>
    <w:p w:rsidR="00241F25" w:rsidRPr="00D20CB5" w:rsidRDefault="00241F25" w:rsidP="00D20CB5">
      <w:pPr>
        <w:pStyle w:val="SingleTxtG"/>
        <w:ind w:left="1701"/>
      </w:pPr>
      <w:r w:rsidRPr="00640449">
        <w:t>1)</w:t>
      </w:r>
      <w:r w:rsidRPr="00640449">
        <w:tab/>
      </w:r>
      <w:r w:rsidR="003B3944" w:rsidRPr="00640449">
        <w:t>S</w:t>
      </w:r>
      <w:r w:rsidRPr="00640449">
        <w:rPr>
          <w:lang w:val="fr-FR"/>
        </w:rPr>
        <w:t>i elle réside régulièrement et habituellement au Grand-Duché</w:t>
      </w:r>
      <w:r w:rsidR="00640449">
        <w:rPr>
          <w:lang w:val="fr-FR"/>
        </w:rPr>
        <w:t> ;</w:t>
      </w:r>
      <w:r w:rsidRPr="00640449">
        <w:rPr>
          <w:lang w:val="fr-FR"/>
        </w:rPr>
        <w:t xml:space="preserve"> ou </w:t>
      </w:r>
    </w:p>
    <w:p w:rsidR="00241F25" w:rsidRPr="00D20CB5" w:rsidRDefault="00241F25" w:rsidP="00D20CB5">
      <w:pPr>
        <w:pStyle w:val="SingleTxtG"/>
        <w:ind w:left="1701"/>
      </w:pPr>
      <w:r w:rsidRPr="00640449">
        <w:rPr>
          <w:lang w:val="fr-FR"/>
        </w:rPr>
        <w:lastRenderedPageBreak/>
        <w:t>2)</w:t>
      </w:r>
      <w:r w:rsidRPr="00640449">
        <w:rPr>
          <w:lang w:val="fr-FR"/>
        </w:rPr>
        <w:tab/>
      </w:r>
      <w:r w:rsidR="003B3944" w:rsidRPr="00640449">
        <w:rPr>
          <w:lang w:val="fr-FR"/>
        </w:rPr>
        <w:t>S</w:t>
      </w:r>
      <w:r w:rsidRPr="00640449">
        <w:rPr>
          <w:lang w:val="fr-FR"/>
        </w:rPr>
        <w:t>i, au moment où elle a été la victime de l’infraction, elle se trouvait en situation régulière au Grand-Duché</w:t>
      </w:r>
      <w:r w:rsidR="00640449">
        <w:rPr>
          <w:lang w:val="fr-FR"/>
        </w:rPr>
        <w:t> ;</w:t>
      </w:r>
      <w:r w:rsidRPr="00640449">
        <w:rPr>
          <w:lang w:val="fr-FR"/>
        </w:rPr>
        <w:t xml:space="preserve"> ou </w:t>
      </w:r>
    </w:p>
    <w:p w:rsidR="00241F25" w:rsidRPr="00D20CB5" w:rsidRDefault="00241F25" w:rsidP="00D20CB5">
      <w:pPr>
        <w:pStyle w:val="SingleTxtG"/>
        <w:ind w:left="1701"/>
      </w:pPr>
      <w:r w:rsidRPr="00640449">
        <w:rPr>
          <w:lang w:val="fr-FR"/>
        </w:rPr>
        <w:t>3)</w:t>
      </w:r>
      <w:r w:rsidRPr="00640449">
        <w:rPr>
          <w:lang w:val="fr-FR"/>
        </w:rPr>
        <w:tab/>
      </w:r>
      <w:r w:rsidR="003B3944" w:rsidRPr="00640449">
        <w:rPr>
          <w:lang w:val="fr-FR"/>
        </w:rPr>
        <w:t>S</w:t>
      </w:r>
      <w:r w:rsidRPr="00640449">
        <w:rPr>
          <w:lang w:val="fr-FR"/>
        </w:rPr>
        <w:t xml:space="preserve">i elle est ressortissant d’un </w:t>
      </w:r>
      <w:r w:rsidR="00FD7E28">
        <w:rPr>
          <w:lang w:val="fr-FR"/>
        </w:rPr>
        <w:t>État</w:t>
      </w:r>
      <w:r w:rsidRPr="00640449">
        <w:rPr>
          <w:lang w:val="fr-FR"/>
        </w:rPr>
        <w:t xml:space="preserve"> membre du Conseil de l’Europe</w:t>
      </w:r>
      <w:r w:rsidR="00640449">
        <w:rPr>
          <w:lang w:val="fr-FR"/>
        </w:rPr>
        <w:t> ;</w:t>
      </w:r>
      <w:r w:rsidRPr="00640449">
        <w:rPr>
          <w:lang w:val="fr-FR"/>
        </w:rPr>
        <w:t xml:space="preserve"> ou </w:t>
      </w:r>
    </w:p>
    <w:p w:rsidR="00241F25" w:rsidRPr="00D20CB5" w:rsidRDefault="00241F25" w:rsidP="00D20CB5">
      <w:pPr>
        <w:pStyle w:val="SingleTxtG"/>
        <w:ind w:left="1701"/>
      </w:pPr>
      <w:r w:rsidRPr="00640449">
        <w:t>4)</w:t>
      </w:r>
      <w:r w:rsidRPr="00640449">
        <w:tab/>
      </w:r>
      <w:r w:rsidR="003B3944" w:rsidRPr="00640449">
        <w:rPr>
          <w:lang w:val="fr-FR"/>
        </w:rPr>
        <w:t>S</w:t>
      </w:r>
      <w:r w:rsidRPr="00640449">
        <w:rPr>
          <w:lang w:val="fr-FR"/>
        </w:rPr>
        <w:t xml:space="preserve">i elle est victime de l’infraction visée à l’article 382-1 du </w:t>
      </w:r>
      <w:hyperlink r:id="rId16" w:history="1">
        <w:r w:rsidRPr="00640449">
          <w:rPr>
            <w:rStyle w:val="Lienhypertexte"/>
            <w:color w:val="auto"/>
            <w:lang w:val="fr-FR"/>
          </w:rPr>
          <w:t>Code pénal</w:t>
        </w:r>
      </w:hyperlink>
      <w:r w:rsidR="00640449">
        <w:rPr>
          <w:lang w:val="fr-FR"/>
        </w:rPr>
        <w:t> ;</w:t>
      </w:r>
    </w:p>
    <w:p w:rsidR="00241F25" w:rsidRPr="00D20CB5" w:rsidRDefault="00241F25" w:rsidP="00D20CB5">
      <w:pPr>
        <w:pStyle w:val="SingleTxtG"/>
        <w:ind w:left="1701"/>
      </w:pPr>
      <w:r w:rsidRPr="00640449">
        <w:rPr>
          <w:lang w:val="fr-FR"/>
        </w:rPr>
        <w:t>et si les conditions suivantes sont réunies</w:t>
      </w:r>
      <w:r w:rsidR="00FD7E28">
        <w:rPr>
          <w:lang w:val="fr-FR"/>
        </w:rPr>
        <w:t> </w:t>
      </w:r>
      <w:r w:rsidRPr="00640449">
        <w:rPr>
          <w:lang w:val="fr-FR"/>
        </w:rPr>
        <w:t>:</w:t>
      </w:r>
    </w:p>
    <w:p w:rsidR="00241F25" w:rsidRPr="00640449" w:rsidRDefault="003B3944" w:rsidP="00D20CB5">
      <w:pPr>
        <w:pStyle w:val="SingleTxtG"/>
        <w:ind w:left="1701"/>
        <w:rPr>
          <w:lang w:val="fr-FR"/>
        </w:rPr>
      </w:pPr>
      <w:r w:rsidRPr="00640449">
        <w:t>1.</w:t>
      </w:r>
      <w:r w:rsidR="00241F25" w:rsidRPr="00640449">
        <w:tab/>
      </w:r>
      <w:r w:rsidR="00241F25" w:rsidRPr="00640449">
        <w:rPr>
          <w:lang w:val="fr-FR"/>
        </w:rPr>
        <w:t xml:space="preserve">ces faits ont ou bien causé un dommage corporel et ont entraîné, soit la mort, soit une incapacité permanente, soit une incapacité totale de travail personnel pendant plus d’un mois ou bien sont punis par les articles 372 à 376 du </w:t>
      </w:r>
      <w:hyperlink r:id="rId17" w:history="1">
        <w:r w:rsidR="00FD7E28">
          <w:rPr>
            <w:rStyle w:val="Lienhypertexte"/>
            <w:color w:val="auto"/>
            <w:lang w:val="fr-FR"/>
          </w:rPr>
          <w:t>C</w:t>
        </w:r>
        <w:r w:rsidR="00FD7E28" w:rsidRPr="00D20CB5">
          <w:rPr>
            <w:rStyle w:val="Lienhypertexte"/>
            <w:color w:val="auto"/>
            <w:lang w:val="fr-FR"/>
          </w:rPr>
          <w:t xml:space="preserve">ode </w:t>
        </w:r>
        <w:r w:rsidR="00241F25" w:rsidRPr="00D20CB5">
          <w:rPr>
            <w:rStyle w:val="Lienhypertexte"/>
            <w:color w:val="auto"/>
            <w:lang w:val="fr-FR"/>
          </w:rPr>
          <w:t>pénal</w:t>
        </w:r>
      </w:hyperlink>
      <w:r w:rsidR="00241F25" w:rsidRPr="00756838">
        <w:rPr>
          <w:lang w:val="fr-FR"/>
        </w:rPr>
        <w:t xml:space="preserve"> e</w:t>
      </w:r>
      <w:r w:rsidR="00241F25" w:rsidRPr="00640449">
        <w:rPr>
          <w:lang w:val="fr-FR"/>
        </w:rPr>
        <w:t xml:space="preserve">t, si la victime est mineure, par l’article 382-1 du </w:t>
      </w:r>
      <w:hyperlink r:id="rId18" w:history="1">
        <w:r w:rsidR="00241F25" w:rsidRPr="00D20CB5">
          <w:rPr>
            <w:rStyle w:val="Lienhypertexte"/>
            <w:color w:val="auto"/>
            <w:lang w:val="fr-FR"/>
          </w:rPr>
          <w:t>Code pénal</w:t>
        </w:r>
      </w:hyperlink>
      <w:r w:rsidR="00640449" w:rsidRPr="00756838">
        <w:rPr>
          <w:lang w:val="fr-FR"/>
        </w:rPr>
        <w:t> ;</w:t>
      </w:r>
      <w:r w:rsidR="00241F25" w:rsidRPr="00640449">
        <w:rPr>
          <w:lang w:val="fr-FR"/>
        </w:rPr>
        <w:t xml:space="preserve"> </w:t>
      </w:r>
    </w:p>
    <w:p w:rsidR="00241F25" w:rsidRPr="00640449" w:rsidRDefault="00241F25" w:rsidP="00D20CB5">
      <w:pPr>
        <w:pStyle w:val="SingleTxtG"/>
        <w:ind w:left="1701"/>
        <w:rPr>
          <w:lang w:val="fr-FR"/>
        </w:rPr>
      </w:pPr>
      <w:r w:rsidRPr="00640449">
        <w:t>2</w:t>
      </w:r>
      <w:r w:rsidR="003B3944" w:rsidRPr="00640449">
        <w:t>.</w:t>
      </w:r>
      <w:r w:rsidRPr="00640449">
        <w:tab/>
      </w:r>
      <w:r w:rsidRPr="00640449">
        <w:rPr>
          <w:lang w:val="fr-FR"/>
        </w:rPr>
        <w:t xml:space="preserve">le préjudice consiste en un trouble grave dans les conditions de vie résultant d’une perte ou d’une diminution de revenus, d’un accroissement de charges ou de dépenses exceptionnelles, d’une inaptitude à exercer une activité professionnelle, d’une perte d’une année de scolarité, d’une atteinte à l’intégrité physique ou mentale ou d’un dommage moral ou esthétique ainsi que des souffrances physiques ou psychiques. La victime d’une infraction aux articles 372 à 376 et la victime mineure d’une infraction à l’article 382-1 du </w:t>
      </w:r>
      <w:hyperlink r:id="rId19" w:history="1">
        <w:r w:rsidRPr="00D20CB5">
          <w:rPr>
            <w:rStyle w:val="Lienhypertexte"/>
            <w:color w:val="auto"/>
            <w:lang w:val="fr-FR"/>
          </w:rPr>
          <w:t>Code pénal</w:t>
        </w:r>
      </w:hyperlink>
      <w:r w:rsidRPr="00756838">
        <w:rPr>
          <w:lang w:val="fr-FR"/>
        </w:rPr>
        <w:t xml:space="preserve"> son</w:t>
      </w:r>
      <w:r w:rsidRPr="00640449">
        <w:rPr>
          <w:lang w:val="fr-FR"/>
        </w:rPr>
        <w:t>t dispensées de rapporter la preuve d’une atteinte à l’intégrité physique ou mentale qui est présumée dans leur chef</w:t>
      </w:r>
      <w:r w:rsidR="00640449">
        <w:rPr>
          <w:lang w:val="fr-FR"/>
        </w:rPr>
        <w:t> ;</w:t>
      </w:r>
      <w:r w:rsidRPr="00640449">
        <w:rPr>
          <w:lang w:val="fr-FR"/>
        </w:rPr>
        <w:t xml:space="preserve"> </w:t>
      </w:r>
    </w:p>
    <w:p w:rsidR="00241F25" w:rsidRPr="00640449" w:rsidRDefault="003B3944" w:rsidP="00D20CB5">
      <w:pPr>
        <w:pStyle w:val="SingleTxtG"/>
        <w:ind w:left="1701"/>
        <w:rPr>
          <w:lang w:val="fr-FR"/>
        </w:rPr>
      </w:pPr>
      <w:r w:rsidRPr="00640449">
        <w:t>3.</w:t>
      </w:r>
      <w:r w:rsidR="00241F25" w:rsidRPr="00640449">
        <w:tab/>
      </w:r>
      <w:r w:rsidR="00241F25" w:rsidRPr="00640449">
        <w:rPr>
          <w:lang w:val="fr-FR"/>
        </w:rPr>
        <w:t xml:space="preserve">la personne lésée ne peut obtenir, à un titre quelconque, une réparation ou une indemnisation effective et suffisante. </w:t>
      </w:r>
    </w:p>
    <w:p w:rsidR="00674E9C" w:rsidRPr="00D20CB5" w:rsidRDefault="00674E9C" w:rsidP="00D20CB5">
      <w:pPr>
        <w:pStyle w:val="SingleTxtG"/>
        <w:ind w:left="1701"/>
        <w:rPr>
          <w:iCs/>
          <w:lang w:val="fr-FR"/>
        </w:rPr>
      </w:pPr>
      <w:r w:rsidRPr="00640449">
        <w:rPr>
          <w:lang w:val="fr-FR"/>
        </w:rPr>
        <w:t>Toutefois, l’indemnité peut être refusée, ou son montant réduit, en raison du comportement de la personne lésée lors des faits ou de ses relations avec l’auteur des faits</w:t>
      </w:r>
      <w:r w:rsidRPr="00640449">
        <w:rPr>
          <w:i/>
          <w:lang w:val="fr-FR"/>
        </w:rPr>
        <w:t>. </w:t>
      </w:r>
      <w:r w:rsidRPr="00D20CB5">
        <w:rPr>
          <w:iCs/>
          <w:lang w:val="fr-FR"/>
        </w:rPr>
        <w:t>»</w:t>
      </w:r>
      <w:r w:rsidR="009D1145">
        <w:rPr>
          <w:iCs/>
          <w:lang w:val="fr-FR"/>
        </w:rPr>
        <w:t>.</w:t>
      </w:r>
    </w:p>
    <w:p w:rsidR="00674E9C" w:rsidRPr="00640449" w:rsidRDefault="001A7B42" w:rsidP="001A7B42">
      <w:pPr>
        <w:pStyle w:val="SingleTxtG"/>
        <w:rPr>
          <w:lang w:val="fr-FR"/>
        </w:rPr>
      </w:pPr>
      <w:r w:rsidRPr="00640449">
        <w:rPr>
          <w:lang w:val="fr-FR"/>
        </w:rPr>
        <w:t>41.</w:t>
      </w:r>
      <w:r w:rsidRPr="00640449">
        <w:rPr>
          <w:lang w:val="fr-FR"/>
        </w:rPr>
        <w:tab/>
      </w:r>
      <w:r w:rsidR="00674E9C" w:rsidRPr="00640449">
        <w:rPr>
          <w:lang w:val="fr-FR"/>
        </w:rPr>
        <w:t>En outre, il convient de soulever que l’article 3-7 du Code de procédure pénale définit en détail les informations communiquées à la victime.</w:t>
      </w:r>
    </w:p>
    <w:p w:rsidR="00674E9C" w:rsidRPr="00640449" w:rsidRDefault="001A7B42" w:rsidP="001A7B42">
      <w:pPr>
        <w:pStyle w:val="SingleTxtG"/>
        <w:rPr>
          <w:lang w:val="fr-FR"/>
        </w:rPr>
      </w:pPr>
      <w:r w:rsidRPr="00640449">
        <w:rPr>
          <w:lang w:val="fr-FR"/>
        </w:rPr>
        <w:t>42.</w:t>
      </w:r>
      <w:r w:rsidRPr="00640449">
        <w:rPr>
          <w:lang w:val="fr-FR"/>
        </w:rPr>
        <w:tab/>
      </w:r>
      <w:r w:rsidR="00674E9C" w:rsidRPr="00640449">
        <w:rPr>
          <w:lang w:val="fr-FR"/>
        </w:rPr>
        <w:t xml:space="preserve">Il s’agit, entre autres, des modalités et conditions d’obtention d’une protection, ainsi que les modalités et les conditions d’obtention d’une indemnisation. </w:t>
      </w:r>
    </w:p>
    <w:p w:rsidR="00674E9C" w:rsidRPr="00640449" w:rsidRDefault="001A7B42" w:rsidP="001A7B42">
      <w:pPr>
        <w:pStyle w:val="SingleTxtG"/>
        <w:rPr>
          <w:lang w:val="fr-FR"/>
        </w:rPr>
      </w:pPr>
      <w:r w:rsidRPr="00640449">
        <w:rPr>
          <w:lang w:val="fr-FR"/>
        </w:rPr>
        <w:t>43.</w:t>
      </w:r>
      <w:r w:rsidRPr="00640449">
        <w:rPr>
          <w:lang w:val="fr-FR"/>
        </w:rPr>
        <w:tab/>
      </w:r>
      <w:r w:rsidR="00674E9C" w:rsidRPr="00640449">
        <w:rPr>
          <w:lang w:val="fr-FR"/>
        </w:rPr>
        <w:t xml:space="preserve">Quant au volet de la protection des victimes et des témoins au niveau national, il est renvoyé à nouveau à la loi du 13 mars 2009 relative à la traite des êtres humains, à la loi du 8 mai 2009 sur l’assistance, la protection, et la sécurité des victimes de la traite des êtres humains, ainsi que la loi du 9 avril 2014 renforçant le droit des victimes de la traite des êtres humains. </w:t>
      </w:r>
    </w:p>
    <w:p w:rsidR="00674E9C" w:rsidRPr="00D20CB5" w:rsidRDefault="001A7B42" w:rsidP="001A7B42">
      <w:pPr>
        <w:pStyle w:val="SingleTxtG"/>
        <w:rPr>
          <w:iCs/>
          <w:lang w:val="fr-FR"/>
        </w:rPr>
      </w:pPr>
      <w:r w:rsidRPr="00640449">
        <w:rPr>
          <w:lang w:val="fr-FR"/>
        </w:rPr>
        <w:t>44.</w:t>
      </w:r>
      <w:r w:rsidRPr="00640449">
        <w:rPr>
          <w:lang w:val="fr-FR"/>
        </w:rPr>
        <w:tab/>
      </w:r>
      <w:r w:rsidR="00674E9C" w:rsidRPr="00640449">
        <w:rPr>
          <w:lang w:val="fr-FR"/>
        </w:rPr>
        <w:t xml:space="preserve">En outre, l’article 1017-13 du Code de procédure civile dédie un titre à </w:t>
      </w:r>
      <w:r w:rsidR="00674E9C" w:rsidRPr="00D20CB5">
        <w:rPr>
          <w:iCs/>
          <w:lang w:val="fr-FR"/>
        </w:rPr>
        <w:t xml:space="preserve">« l’intervention de justice dans certains cas de violence ». </w:t>
      </w:r>
    </w:p>
    <w:p w:rsidR="00674E9C" w:rsidRPr="00640449" w:rsidRDefault="001A7B42" w:rsidP="001A7B42">
      <w:pPr>
        <w:pStyle w:val="SingleTxtG"/>
        <w:rPr>
          <w:lang w:val="fr-FR"/>
        </w:rPr>
      </w:pPr>
      <w:r w:rsidRPr="00640449">
        <w:rPr>
          <w:lang w:val="fr-FR"/>
        </w:rPr>
        <w:t>45.</w:t>
      </w:r>
      <w:r w:rsidRPr="00640449">
        <w:rPr>
          <w:lang w:val="fr-FR"/>
        </w:rPr>
        <w:tab/>
      </w:r>
      <w:r w:rsidR="00674E9C" w:rsidRPr="00640449">
        <w:rPr>
          <w:lang w:val="fr-FR"/>
        </w:rPr>
        <w:t xml:space="preserve">Cet </w:t>
      </w:r>
      <w:r w:rsidR="00674E9C" w:rsidRPr="00640449">
        <w:rPr>
          <w:i/>
          <w:lang w:val="fr-FR"/>
        </w:rPr>
        <w:t>article</w:t>
      </w:r>
      <w:r w:rsidR="00674E9C" w:rsidRPr="00640449">
        <w:rPr>
          <w:lang w:val="fr-FR"/>
        </w:rPr>
        <w:t xml:space="preserve">, instaurant un régime de protection pour les victimes et </w:t>
      </w:r>
      <w:r w:rsidR="00170014" w:rsidRPr="00640449">
        <w:rPr>
          <w:lang w:val="fr-FR"/>
        </w:rPr>
        <w:t>les témoins, dispose comme suit</w:t>
      </w:r>
      <w:r w:rsidR="00A575FA">
        <w:rPr>
          <w:lang w:val="fr-FR"/>
        </w:rPr>
        <w:t> </w:t>
      </w:r>
      <w:r w:rsidR="00674E9C" w:rsidRPr="00640449">
        <w:rPr>
          <w:lang w:val="fr-FR"/>
        </w:rPr>
        <w:t>:</w:t>
      </w:r>
    </w:p>
    <w:p w:rsidR="00674E9C" w:rsidRPr="00640449" w:rsidRDefault="00674E9C" w:rsidP="00F03DCF">
      <w:pPr>
        <w:pStyle w:val="SingleTxtG"/>
        <w:spacing w:after="0"/>
        <w:ind w:left="1701"/>
        <w:rPr>
          <w:i/>
          <w:lang w:val="fr-FR"/>
        </w:rPr>
      </w:pPr>
      <w:r w:rsidRPr="00640449">
        <w:rPr>
          <w:i/>
          <w:lang w:val="fr-FR"/>
        </w:rPr>
        <w:t>« </w:t>
      </w:r>
      <w:r w:rsidRPr="00640449">
        <w:rPr>
          <w:lang w:val="fr-FR"/>
        </w:rPr>
        <w:t>Lorsqu’une personne tente d’intimider une victime de la traite des êtres humains, un témoin, un collaborateur d’un service d’assistance ou d’une association visée à l’article 1er de la loi sur l’assistance, la protection et la sécurité des victimes de la traite des êtres humains, un membre de la famille ou une connaissance des personnes désignées ci-avant ou lorsqu’elle se prépare à commettre un acte de représailles contre l’une de ces personnes, le président du tribunal d’arrondissement prononce à son encontre, à la requête de la personne concernée, l’une ou plusieurs des interdictions et injonction suivante</w:t>
      </w:r>
      <w:r w:rsidRPr="00640449">
        <w:rPr>
          <w:i/>
          <w:lang w:val="fr-FR"/>
        </w:rPr>
        <w:t>s</w:t>
      </w:r>
      <w:r w:rsidR="00A575FA">
        <w:rPr>
          <w:i/>
          <w:lang w:val="fr-FR"/>
        </w:rPr>
        <w:t> </w:t>
      </w:r>
      <w:r w:rsidRPr="00640449">
        <w:rPr>
          <w:lang w:val="fr-FR"/>
        </w:rPr>
        <w:t xml:space="preserve">: </w:t>
      </w:r>
    </w:p>
    <w:p w:rsidR="00674E9C" w:rsidRPr="00640449" w:rsidRDefault="001A7B42" w:rsidP="001A7B42">
      <w:pPr>
        <w:pStyle w:val="Bullet1G"/>
        <w:numPr>
          <w:ilvl w:val="0"/>
          <w:numId w:val="0"/>
        </w:numPr>
        <w:tabs>
          <w:tab w:val="left" w:pos="1701"/>
        </w:tabs>
        <w:spacing w:after="0"/>
        <w:ind w:left="1701" w:firstLine="284"/>
        <w:rPr>
          <w:lang w:val="fr-FR"/>
        </w:rPr>
      </w:pPr>
      <w:r w:rsidRPr="00640449">
        <w:rPr>
          <w:lang w:val="fr-FR"/>
        </w:rPr>
        <w:t>•</w:t>
      </w:r>
      <w:r w:rsidRPr="00640449">
        <w:rPr>
          <w:lang w:val="fr-FR"/>
        </w:rPr>
        <w:tab/>
      </w:r>
      <w:r w:rsidR="00170014" w:rsidRPr="00640449">
        <w:rPr>
          <w:lang w:val="fr-FR"/>
        </w:rPr>
        <w:t>L’interdiction de se rendre en certains lieux</w:t>
      </w:r>
      <w:r w:rsidR="00640449">
        <w:rPr>
          <w:lang w:val="fr-FR"/>
        </w:rPr>
        <w:t> ;</w:t>
      </w:r>
      <w:r w:rsidR="00170014" w:rsidRPr="00640449">
        <w:rPr>
          <w:lang w:val="fr-FR"/>
        </w:rPr>
        <w:t xml:space="preserve"> </w:t>
      </w:r>
    </w:p>
    <w:p w:rsidR="00674E9C" w:rsidRPr="00640449" w:rsidRDefault="001A7B42" w:rsidP="001A7B42">
      <w:pPr>
        <w:pStyle w:val="Bullet1G"/>
        <w:numPr>
          <w:ilvl w:val="0"/>
          <w:numId w:val="0"/>
        </w:numPr>
        <w:tabs>
          <w:tab w:val="left" w:pos="1701"/>
        </w:tabs>
        <w:spacing w:after="0"/>
        <w:ind w:left="1701" w:firstLine="284"/>
        <w:rPr>
          <w:lang w:val="fr-FR"/>
        </w:rPr>
      </w:pPr>
      <w:r w:rsidRPr="00640449">
        <w:rPr>
          <w:lang w:val="fr-FR"/>
        </w:rPr>
        <w:t>•</w:t>
      </w:r>
      <w:r w:rsidRPr="00640449">
        <w:rPr>
          <w:lang w:val="fr-FR"/>
        </w:rPr>
        <w:tab/>
      </w:r>
      <w:r w:rsidR="00170014" w:rsidRPr="00640449">
        <w:rPr>
          <w:lang w:val="fr-FR"/>
        </w:rPr>
        <w:t xml:space="preserve">L’interdiction </w:t>
      </w:r>
      <w:r w:rsidR="00674E9C" w:rsidRPr="00640449">
        <w:rPr>
          <w:lang w:val="fr-FR"/>
        </w:rPr>
        <w:t>de prendre contact, de quelque façon que ce soit, avec la personne à protéger</w:t>
      </w:r>
      <w:r w:rsidR="00640449">
        <w:rPr>
          <w:lang w:val="fr-FR"/>
        </w:rPr>
        <w:t> ;</w:t>
      </w:r>
      <w:r w:rsidR="00674E9C" w:rsidRPr="00640449">
        <w:rPr>
          <w:lang w:val="fr-FR"/>
        </w:rPr>
        <w:t xml:space="preserve"> </w:t>
      </w:r>
    </w:p>
    <w:p w:rsidR="005130E6" w:rsidRPr="00640449" w:rsidRDefault="001A7B42" w:rsidP="001A7B42">
      <w:pPr>
        <w:pStyle w:val="Bullet1G"/>
        <w:numPr>
          <w:ilvl w:val="0"/>
          <w:numId w:val="0"/>
        </w:numPr>
        <w:tabs>
          <w:tab w:val="left" w:pos="1701"/>
        </w:tabs>
        <w:spacing w:after="0"/>
        <w:ind w:left="1701" w:firstLine="284"/>
        <w:rPr>
          <w:lang w:val="fr-FR"/>
        </w:rPr>
      </w:pPr>
      <w:r w:rsidRPr="00640449">
        <w:rPr>
          <w:lang w:val="fr-FR"/>
        </w:rPr>
        <w:t>•</w:t>
      </w:r>
      <w:r w:rsidRPr="00640449">
        <w:rPr>
          <w:lang w:val="fr-FR"/>
        </w:rPr>
        <w:tab/>
      </w:r>
      <w:r w:rsidR="00170014" w:rsidRPr="00640449">
        <w:rPr>
          <w:lang w:val="fr-FR"/>
        </w:rPr>
        <w:t xml:space="preserve">L’interdiction </w:t>
      </w:r>
      <w:r w:rsidR="00674E9C" w:rsidRPr="00640449">
        <w:rPr>
          <w:lang w:val="fr-FR"/>
        </w:rPr>
        <w:t>de détenir ou de porter une arme et l’injonction de remettre contre récépissé les armes éventuelles auprès d’un service de police désigné. »</w:t>
      </w:r>
      <w:r w:rsidR="00640449">
        <w:rPr>
          <w:lang w:val="fr-FR"/>
        </w:rPr>
        <w:t>.</w:t>
      </w:r>
    </w:p>
    <w:p w:rsidR="00167AA7" w:rsidRPr="00640449" w:rsidRDefault="00170014" w:rsidP="00167AA7">
      <w:pPr>
        <w:pStyle w:val="H1G"/>
        <w:rPr>
          <w:lang w:val="fr-FR"/>
        </w:rPr>
      </w:pPr>
      <w:r w:rsidRPr="00640449">
        <w:lastRenderedPageBreak/>
        <w:tab/>
      </w:r>
      <w:r w:rsidR="00CF6D6A" w:rsidRPr="00640449">
        <w:t>I</w:t>
      </w:r>
      <w:r w:rsidR="00167AA7" w:rsidRPr="00640449">
        <w:t>.</w:t>
      </w:r>
      <w:r w:rsidR="00167AA7" w:rsidRPr="00640449">
        <w:tab/>
      </w:r>
      <w:r w:rsidR="00167AA7" w:rsidRPr="00640449">
        <w:rPr>
          <w:lang w:val="fr-FR"/>
        </w:rPr>
        <w:t xml:space="preserve">Réponse à </w:t>
      </w:r>
      <w:r w:rsidR="00167AA7" w:rsidRPr="00640449">
        <w:t>la</w:t>
      </w:r>
      <w:r w:rsidR="00167AA7" w:rsidRPr="00640449">
        <w:rPr>
          <w:lang w:val="fr-FR"/>
        </w:rPr>
        <w:t xml:space="preserve"> question posée au paragraphe 4</w:t>
      </w:r>
    </w:p>
    <w:p w:rsidR="00674E9C" w:rsidRPr="00640449" w:rsidRDefault="001A7B42" w:rsidP="001A7B42">
      <w:pPr>
        <w:pStyle w:val="SingleTxtG"/>
        <w:rPr>
          <w:lang w:val="fr-FR"/>
        </w:rPr>
      </w:pPr>
      <w:r w:rsidRPr="00640449">
        <w:rPr>
          <w:lang w:val="fr-FR"/>
        </w:rPr>
        <w:t>46.</w:t>
      </w:r>
      <w:r w:rsidRPr="00640449">
        <w:rPr>
          <w:lang w:val="fr-FR"/>
        </w:rPr>
        <w:tab/>
      </w:r>
      <w:r w:rsidR="00674E9C" w:rsidRPr="00640449">
        <w:rPr>
          <w:lang w:val="fr-FR"/>
        </w:rPr>
        <w:t>L’Ombudsman reçoit les réclamations en sa qualité de médiateur au sens de la loi du 22 août 2003. Le Service du contrôle externe des lieux privatifs de liberté (CELPL), fonctionnant comme Mécanisme national de prévention (MNP) au sens de l'OPCAT, ne traite en principe pas les réclamations individuelles, alors que sa fonction a une visée préventive et générale. Les réclamations faisant état d'un traitement qui pourrait être qualifié de traitement inhumain, dégradant ou cruel au sens de l’article 3 de la Convention européenne des Droits de l’Homme sont très rares. La majorité des réclamations reçues par l'Ombudsman concernent des problèmes relatifs au fonctionnement administratif de l'institution et peuvent le plus souvent être résolues rapidement.</w:t>
      </w:r>
    </w:p>
    <w:p w:rsidR="00674E9C" w:rsidRPr="00640449" w:rsidRDefault="001A7B42" w:rsidP="001A7B42">
      <w:pPr>
        <w:pStyle w:val="SingleTxtG"/>
        <w:rPr>
          <w:lang w:val="fr-FR"/>
        </w:rPr>
      </w:pPr>
      <w:r w:rsidRPr="00640449">
        <w:rPr>
          <w:lang w:val="fr-FR"/>
        </w:rPr>
        <w:t>47.</w:t>
      </w:r>
      <w:r w:rsidRPr="00640449">
        <w:rPr>
          <w:lang w:val="fr-FR"/>
        </w:rPr>
        <w:tab/>
      </w:r>
      <w:r w:rsidR="00674E9C" w:rsidRPr="00640449">
        <w:rPr>
          <w:lang w:val="fr-FR"/>
        </w:rPr>
        <w:t xml:space="preserve">Néanmoins, le Médiateur souhaite soulever deux cas qui ont demandé </w:t>
      </w:r>
      <w:r w:rsidR="00004A89" w:rsidRPr="00640449">
        <w:rPr>
          <w:lang w:val="fr-FR"/>
        </w:rPr>
        <w:t>des interventions plus poussées</w:t>
      </w:r>
      <w:r w:rsidR="00A575FA">
        <w:rPr>
          <w:lang w:val="fr-FR"/>
        </w:rPr>
        <w:t> </w:t>
      </w:r>
      <w:r w:rsidR="00004A89" w:rsidRPr="00640449">
        <w:rPr>
          <w:lang w:val="fr-FR"/>
        </w:rPr>
        <w:t>:</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 xml:space="preserve">Un détenu incarcéré au Centre pénitentiaire de Luxembourg (CPL) et souffrant de plusieurs pathologies graves a saisi le Médiateur parce qu'il jugeait son suivi médical et les soins infirmiers insuffisants et inadéquats. Comme les reproches formulés étaient très importants, le Médiateur a organisé une consultation médicale avec un expert étranger qui a examiné le patient et consulté le dossier tenu au CPL. Si quelques manquements mineurs ont pu être détectés et redressés, l'expert n'a pas remis en cause les traitements proposés par </w:t>
      </w:r>
      <w:r w:rsidR="00F03DCF" w:rsidRPr="00640449">
        <w:rPr>
          <w:lang w:val="fr-FR"/>
        </w:rPr>
        <w:t>le service médical de la prison</w:t>
      </w:r>
      <w:r w:rsidR="00640449">
        <w:rPr>
          <w:lang w:val="fr-FR"/>
        </w:rPr>
        <w:t> ;</w:t>
      </w:r>
    </w:p>
    <w:p w:rsidR="00674E9C" w:rsidRPr="00640449" w:rsidRDefault="001A7B42" w:rsidP="00D20CB5">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 xml:space="preserve">Lors d'une mission de contrôle sur </w:t>
      </w:r>
      <w:hyperlink r:id="rId20" w:history="1">
        <w:r w:rsidR="00674E9C" w:rsidRPr="00640449">
          <w:rPr>
            <w:rStyle w:val="Lienhypertexte"/>
            <w:color w:val="auto"/>
            <w:lang w:val="fr-FR"/>
          </w:rPr>
          <w:t>la situation des femmes en prison</w:t>
        </w:r>
      </w:hyperlink>
      <w:r w:rsidR="00674E9C" w:rsidRPr="00640449">
        <w:rPr>
          <w:rStyle w:val="Appelnotedebasdep"/>
        </w:rPr>
        <w:footnoteReference w:id="13"/>
      </w:r>
      <w:r w:rsidR="00674E9C" w:rsidRPr="00640449">
        <w:rPr>
          <w:lang w:val="fr-FR"/>
        </w:rPr>
        <w:t xml:space="preserve">, l'équipe de contrôle a eu connaissance d'une situation nécessitant des actions particulières : une femme en détention préventive au CPL (en même temps que son conjoint) a accouché au Centre hospitalier du Luxembourg sous forte supervision policière. </w:t>
      </w:r>
      <w:r w:rsidR="00FD7E28">
        <w:rPr>
          <w:lang w:val="fr-FR"/>
        </w:rPr>
        <w:t>À</w:t>
      </w:r>
      <w:r w:rsidR="00674E9C" w:rsidRPr="00640449">
        <w:rPr>
          <w:lang w:val="fr-FR"/>
        </w:rPr>
        <w:t xml:space="preserve"> la maternité, une garde policière aurait été assurée devant la porte de la salle d'accouchement. En sus, quatre agents de police, dont trois de sexe masculin, auraient été présents pendant le travail et l'accouchement dans la salle d'accouchement. </w:t>
      </w:r>
      <w:r w:rsidR="00FD7E28">
        <w:rPr>
          <w:lang w:val="fr-FR"/>
        </w:rPr>
        <w:t>À</w:t>
      </w:r>
      <w:r w:rsidR="00674E9C" w:rsidRPr="00640449">
        <w:rPr>
          <w:lang w:val="fr-FR"/>
        </w:rPr>
        <w:t xml:space="preserve"> relever également que la femme aurait été fixée au lit par une entrave au pied ce qui est contraire aux règles de Bangkok</w:t>
      </w:r>
      <w:r w:rsidR="00674E9C" w:rsidRPr="00640449">
        <w:rPr>
          <w:rStyle w:val="Appelnotedebasdep"/>
        </w:rPr>
        <w:footnoteReference w:id="14"/>
      </w:r>
      <w:r w:rsidR="00674E9C" w:rsidRPr="00640449">
        <w:rPr>
          <w:lang w:val="fr-FR"/>
        </w:rPr>
        <w:t>. Le père de l'enfant aurait quant à lui été menotté aux mains. Ces menottes ne lui auraient pas été enlevées (et par exemple remplacées par des entraves aux pieds) après la naissance, ce qui lui aurait permis de prendre dans ses bras son nouveau-né. Les registres du greffe renseignent qu'environ trois-quarts d'heure après l'accouchement, le père était de nouveau rentré au CPL. La femme serait restée pendant 5 jours à la maternité, où elle aurait été constamment attachée au lit par une entrave au pied. Elle aurait ainsi été contrainte de faire appel au personnel soignant pour lui amener son bébé en cas de besoin. Le CELPL a thématisé la problématique dans le rapport dressé suite aux visites de contrôle et des réunions avec les autorités policières ont eu lieu afin de prévenir une situation semblable dans le futur.</w:t>
      </w:r>
    </w:p>
    <w:p w:rsidR="005130E6" w:rsidRPr="00640449" w:rsidRDefault="001A7B42" w:rsidP="001A7B42">
      <w:pPr>
        <w:pStyle w:val="SingleTxtG"/>
        <w:rPr>
          <w:lang w:val="fr-FR"/>
        </w:rPr>
      </w:pPr>
      <w:r w:rsidRPr="00640449">
        <w:rPr>
          <w:lang w:val="fr-FR"/>
        </w:rPr>
        <w:t>48.</w:t>
      </w:r>
      <w:r w:rsidRPr="00640449">
        <w:rPr>
          <w:lang w:val="fr-FR"/>
        </w:rPr>
        <w:tab/>
      </w:r>
      <w:r w:rsidR="00674E9C" w:rsidRPr="00640449">
        <w:rPr>
          <w:lang w:val="fr-FR"/>
        </w:rPr>
        <w:t>La Commission consultative des Droits de l’Homme rappelle qu’elle ne dispose pas d’un mandat pour traiter des plaintes ou des cas individuels. Parmi les saisines de la CCDH de la part de particuliers, il n’y a pas eu de cas en relation avec la Convention.</w:t>
      </w:r>
    </w:p>
    <w:p w:rsidR="005130E6" w:rsidRPr="00640449" w:rsidRDefault="001A7B42" w:rsidP="001A7B42">
      <w:pPr>
        <w:pStyle w:val="SingleTxtG"/>
        <w:rPr>
          <w:lang w:val="fr-FR"/>
        </w:rPr>
      </w:pPr>
      <w:r w:rsidRPr="00640449">
        <w:rPr>
          <w:lang w:val="fr-FR"/>
        </w:rPr>
        <w:t>49.</w:t>
      </w:r>
      <w:r w:rsidRPr="00640449">
        <w:rPr>
          <w:lang w:val="fr-FR"/>
        </w:rPr>
        <w:tab/>
      </w:r>
      <w:r w:rsidR="00674E9C" w:rsidRPr="00640449">
        <w:rPr>
          <w:lang w:val="fr-FR"/>
        </w:rPr>
        <w:t>Le CELPL souligne que tous les rapports, y inclus les rapports de suivi et les prises de position des instances compétentes, peuvent être consultés sur son site internet (</w:t>
      </w:r>
      <w:hyperlink r:id="rId21" w:history="1">
        <w:r w:rsidR="00674E9C" w:rsidRPr="00640449">
          <w:rPr>
            <w:rStyle w:val="Lienhypertexte"/>
            <w:color w:val="auto"/>
            <w:lang w:val="fr-FR"/>
          </w:rPr>
          <w:t>www.celpl.lu</w:t>
        </w:r>
      </w:hyperlink>
      <w:r w:rsidR="00674E9C" w:rsidRPr="00640449">
        <w:rPr>
          <w:lang w:val="fr-FR"/>
        </w:rPr>
        <w:t xml:space="preserve">). </w:t>
      </w:r>
    </w:p>
    <w:p w:rsidR="005130E6" w:rsidRPr="00640449" w:rsidRDefault="001A7B42" w:rsidP="001A7B42">
      <w:pPr>
        <w:pStyle w:val="SingleTxtG"/>
        <w:rPr>
          <w:lang w:val="fr-FR"/>
        </w:rPr>
      </w:pPr>
      <w:r w:rsidRPr="00640449">
        <w:rPr>
          <w:lang w:val="fr-FR"/>
        </w:rPr>
        <w:t>50.</w:t>
      </w:r>
      <w:r w:rsidRPr="00640449">
        <w:rPr>
          <w:lang w:val="fr-FR"/>
        </w:rPr>
        <w:tab/>
      </w:r>
      <w:r w:rsidR="00674E9C" w:rsidRPr="00640449">
        <w:rPr>
          <w:lang w:val="fr-FR"/>
        </w:rPr>
        <w:t>Comme les recommandations sont souvent très précises et visent des détails de fonctionnement, le CELPL estime qu'il est plus indiqué de mettre en exergue quelques recommandations particulièrement importantes qui n'ont pas encore été mises en œuvre et qui risquent de ne pas l'être à court terme.</w:t>
      </w:r>
    </w:p>
    <w:p w:rsidR="00674E9C" w:rsidRPr="00640449" w:rsidRDefault="00125B28" w:rsidP="003671F4">
      <w:pPr>
        <w:pStyle w:val="H23G"/>
        <w:rPr>
          <w:lang w:val="fr-FR"/>
        </w:rPr>
      </w:pPr>
      <w:r w:rsidRPr="00640449">
        <w:rPr>
          <w:lang w:val="fr-FR"/>
        </w:rPr>
        <w:lastRenderedPageBreak/>
        <w:tab/>
      </w:r>
      <w:r w:rsidRPr="00640449">
        <w:rPr>
          <w:lang w:val="fr-FR"/>
        </w:rPr>
        <w:tab/>
      </w:r>
      <w:r w:rsidR="00674E9C" w:rsidRPr="00640449">
        <w:rPr>
          <w:lang w:val="fr-FR"/>
        </w:rPr>
        <w:t>Le placement de mineurs en milieu pénitentiaire</w:t>
      </w:r>
    </w:p>
    <w:p w:rsidR="005130E6" w:rsidRPr="00640449" w:rsidRDefault="001A7B42" w:rsidP="001A7B42">
      <w:pPr>
        <w:pStyle w:val="SingleTxtG"/>
        <w:rPr>
          <w:lang w:val="fr-FR"/>
        </w:rPr>
      </w:pPr>
      <w:r w:rsidRPr="00640449">
        <w:rPr>
          <w:lang w:val="fr-FR"/>
        </w:rPr>
        <w:t>51.</w:t>
      </w:r>
      <w:r w:rsidRPr="00640449">
        <w:rPr>
          <w:lang w:val="fr-FR"/>
        </w:rPr>
        <w:tab/>
      </w:r>
      <w:r w:rsidR="00674E9C" w:rsidRPr="00640449">
        <w:rPr>
          <w:lang w:val="fr-FR"/>
        </w:rPr>
        <w:t>La principale recommandation à ne pas avoir été suivie jusqu'à présent concerne le placement de mineurs au centre pénitentiaire pour adultes.</w:t>
      </w:r>
    </w:p>
    <w:p w:rsidR="005130E6" w:rsidRPr="00640449" w:rsidRDefault="001A7B42" w:rsidP="001A7B42">
      <w:pPr>
        <w:pStyle w:val="SingleTxtG"/>
        <w:rPr>
          <w:lang w:val="fr-FR"/>
        </w:rPr>
      </w:pPr>
      <w:r w:rsidRPr="00640449">
        <w:rPr>
          <w:lang w:val="fr-FR"/>
        </w:rPr>
        <w:t>52.</w:t>
      </w:r>
      <w:r w:rsidRPr="00640449">
        <w:rPr>
          <w:lang w:val="fr-FR"/>
        </w:rPr>
        <w:tab/>
      </w:r>
      <w:r w:rsidR="00674E9C" w:rsidRPr="00640449">
        <w:rPr>
          <w:lang w:val="fr-FR"/>
        </w:rPr>
        <w:t>Contrairement aux recommandations du CELPL, et de celles du CPT, il est toujours possible de placer des mineurs en centre pénitentiaire pour adultes.</w:t>
      </w:r>
    </w:p>
    <w:p w:rsidR="00674E9C" w:rsidRPr="00640449" w:rsidRDefault="001A7B42" w:rsidP="001A7B42">
      <w:pPr>
        <w:pStyle w:val="SingleTxtG"/>
        <w:rPr>
          <w:lang w:val="fr-FR"/>
        </w:rPr>
      </w:pPr>
      <w:r w:rsidRPr="00640449">
        <w:rPr>
          <w:lang w:val="fr-FR"/>
        </w:rPr>
        <w:t>53.</w:t>
      </w:r>
      <w:r w:rsidRPr="00640449">
        <w:rPr>
          <w:lang w:val="fr-FR"/>
        </w:rPr>
        <w:tab/>
      </w:r>
      <w:r w:rsidR="00674E9C" w:rsidRPr="00640449">
        <w:rPr>
          <w:lang w:val="fr-FR"/>
        </w:rPr>
        <w:t>Un projet de loi actuellement déposé n'arrête pas le principe de l'interdiction de placer des mineurs au centre pénitentiaire pour adultes. Le projet de loi, qui va certainement encore subir des amendements, pose à l'heure actuelle uniquement trois conditions cumulatives, pour le placement de mineurs au centre pénitentiaire pour adultes, à savoir</w:t>
      </w:r>
      <w:r w:rsidR="00A575FA">
        <w:rPr>
          <w:lang w:val="fr-FR"/>
        </w:rPr>
        <w:t> </w:t>
      </w:r>
      <w:r w:rsidR="00674E9C" w:rsidRPr="00640449">
        <w:rPr>
          <w:lang w:val="fr-FR"/>
        </w:rPr>
        <w:t>:</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125B28" w:rsidRPr="00640449">
        <w:rPr>
          <w:lang w:val="fr-FR"/>
        </w:rPr>
        <w:t>Un cas d'absolue nécessité</w:t>
      </w:r>
      <w:r w:rsidR="00640449">
        <w:rPr>
          <w:lang w:val="fr-FR"/>
        </w:rPr>
        <w:t> ;</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125B28" w:rsidRPr="00640449">
        <w:rPr>
          <w:lang w:val="fr-FR"/>
        </w:rPr>
        <w:t>Le mineur représente un danger pour l'ordre public ou la sécurité publique</w:t>
      </w:r>
      <w:r w:rsidR="00640449">
        <w:rPr>
          <w:lang w:val="fr-FR"/>
        </w:rPr>
        <w:t> ;</w:t>
      </w:r>
    </w:p>
    <w:p w:rsidR="005130E6"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125B28" w:rsidRPr="00640449">
        <w:rPr>
          <w:lang w:val="fr-FR"/>
        </w:rPr>
        <w:t xml:space="preserve">Le mineur a commis ou est soupçonné d'avoir commis un fait qualifié d’infraction pénale punissable d'une peine d'emprisonnement dont </w:t>
      </w:r>
      <w:r w:rsidR="00674E9C" w:rsidRPr="00640449">
        <w:rPr>
          <w:lang w:val="fr-FR"/>
        </w:rPr>
        <w:t>le maximum est supérieur ou égal à deux ans.</w:t>
      </w:r>
    </w:p>
    <w:p w:rsidR="005130E6" w:rsidRPr="00640449" w:rsidRDefault="001A7B42" w:rsidP="001A7B42">
      <w:pPr>
        <w:pStyle w:val="SingleTxtG"/>
        <w:rPr>
          <w:lang w:val="fr-FR"/>
        </w:rPr>
      </w:pPr>
      <w:r w:rsidRPr="00640449">
        <w:rPr>
          <w:lang w:val="fr-FR"/>
        </w:rPr>
        <w:t>54.</w:t>
      </w:r>
      <w:r w:rsidRPr="00640449">
        <w:rPr>
          <w:lang w:val="fr-FR"/>
        </w:rPr>
        <w:tab/>
      </w:r>
      <w:r w:rsidR="00640449">
        <w:rPr>
          <w:lang w:val="fr-FR"/>
        </w:rPr>
        <w:t>À</w:t>
      </w:r>
      <w:r w:rsidR="00674E9C" w:rsidRPr="00640449">
        <w:rPr>
          <w:lang w:val="fr-FR"/>
        </w:rPr>
        <w:t xml:space="preserve"> noter qu'aucune limite d'âge inférieure n'est prévue par le projet de loi.</w:t>
      </w:r>
    </w:p>
    <w:p w:rsidR="00674E9C" w:rsidRPr="00640449" w:rsidRDefault="00125B28" w:rsidP="003671F4">
      <w:pPr>
        <w:pStyle w:val="H23G"/>
        <w:rPr>
          <w:lang w:val="fr-FR"/>
        </w:rPr>
      </w:pPr>
      <w:r w:rsidRPr="00640449">
        <w:rPr>
          <w:lang w:val="fr-FR"/>
        </w:rPr>
        <w:tab/>
      </w:r>
      <w:r w:rsidRPr="00640449">
        <w:rPr>
          <w:lang w:val="fr-FR"/>
        </w:rPr>
        <w:tab/>
      </w:r>
      <w:r w:rsidR="00674E9C" w:rsidRPr="00640449">
        <w:rPr>
          <w:lang w:val="fr-FR"/>
        </w:rPr>
        <w:t>La dispensation de médicaments au Centre socio-éducatif de l'</w:t>
      </w:r>
      <w:r w:rsidR="00FD7E28">
        <w:rPr>
          <w:lang w:val="fr-FR"/>
        </w:rPr>
        <w:t>État</w:t>
      </w:r>
    </w:p>
    <w:p w:rsidR="005130E6" w:rsidRPr="00640449" w:rsidRDefault="001A7B42" w:rsidP="001A7B42">
      <w:pPr>
        <w:pStyle w:val="SingleTxtG"/>
        <w:rPr>
          <w:lang w:val="fr-FR"/>
        </w:rPr>
      </w:pPr>
      <w:r w:rsidRPr="00640449">
        <w:rPr>
          <w:lang w:val="fr-FR"/>
        </w:rPr>
        <w:t>55.</w:t>
      </w:r>
      <w:r w:rsidRPr="00640449">
        <w:rPr>
          <w:lang w:val="fr-FR"/>
        </w:rPr>
        <w:tab/>
      </w:r>
      <w:r w:rsidR="00674E9C" w:rsidRPr="00640449">
        <w:rPr>
          <w:lang w:val="fr-FR"/>
        </w:rPr>
        <w:t>Une recommandation formulée à l'égard des internats du CSEE, mais récemment également de l'UNISEC, concerne la distribution de médicaments.</w:t>
      </w:r>
    </w:p>
    <w:p w:rsidR="005130E6" w:rsidRPr="00640449" w:rsidRDefault="001A7B42" w:rsidP="001A7B42">
      <w:pPr>
        <w:pStyle w:val="SingleTxtG"/>
        <w:rPr>
          <w:lang w:val="fr-FR"/>
        </w:rPr>
      </w:pPr>
      <w:r w:rsidRPr="00640449">
        <w:rPr>
          <w:lang w:val="fr-FR"/>
        </w:rPr>
        <w:t>56.</w:t>
      </w:r>
      <w:r w:rsidRPr="00640449">
        <w:rPr>
          <w:lang w:val="fr-FR"/>
        </w:rPr>
        <w:tab/>
      </w:r>
      <w:r w:rsidR="00674E9C" w:rsidRPr="00640449">
        <w:rPr>
          <w:lang w:val="fr-FR"/>
        </w:rPr>
        <w:t>Dans un souci de protection du secret médical, le Médiateur recommande que la distribution des médicaments se fasse exclusivement par le personnel infirmier. Cette recommandation n'avait, dans un premier temps, pas été suivie par manque de personnel.</w:t>
      </w:r>
    </w:p>
    <w:p w:rsidR="005130E6" w:rsidRPr="00640449" w:rsidRDefault="001A7B42" w:rsidP="001A7B42">
      <w:pPr>
        <w:pStyle w:val="SingleTxtG"/>
        <w:rPr>
          <w:lang w:val="fr-FR"/>
        </w:rPr>
      </w:pPr>
      <w:r w:rsidRPr="00640449">
        <w:rPr>
          <w:lang w:val="fr-FR"/>
        </w:rPr>
        <w:t>57.</w:t>
      </w:r>
      <w:r w:rsidRPr="00640449">
        <w:rPr>
          <w:lang w:val="fr-FR"/>
        </w:rPr>
        <w:tab/>
      </w:r>
      <w:r w:rsidR="00674E9C" w:rsidRPr="00640449">
        <w:rPr>
          <w:lang w:val="fr-FR"/>
        </w:rPr>
        <w:t>Suite au premier rapport du CELPL sur le CSEE, l'effectif en personnel infirmier a été augmenté de 1,5 équivalents temps plein (ETP), passant de 1 à 2,5 ETP.</w:t>
      </w:r>
    </w:p>
    <w:p w:rsidR="005130E6" w:rsidRPr="00640449" w:rsidRDefault="001A7B42" w:rsidP="001A7B42">
      <w:pPr>
        <w:pStyle w:val="SingleTxtG"/>
        <w:rPr>
          <w:lang w:val="fr-FR"/>
        </w:rPr>
      </w:pPr>
      <w:r w:rsidRPr="00640449">
        <w:rPr>
          <w:lang w:val="fr-FR"/>
        </w:rPr>
        <w:t>58.</w:t>
      </w:r>
      <w:r w:rsidRPr="00640449">
        <w:rPr>
          <w:lang w:val="fr-FR"/>
        </w:rPr>
        <w:tab/>
      </w:r>
      <w:r w:rsidR="00674E9C" w:rsidRPr="00640449">
        <w:rPr>
          <w:lang w:val="fr-FR"/>
        </w:rPr>
        <w:t>La Direction du CSEE avait affirmé au CELPL de procéder à la mise en œuvre des recommandations liées à la distribution des médicaments, qui incluaient un contrôle de la prise effective de la médication administrée si les effectifs étaient augmentés de 0,5 ETP.</w:t>
      </w:r>
    </w:p>
    <w:p w:rsidR="005130E6" w:rsidRPr="00640449" w:rsidRDefault="001A7B42" w:rsidP="001A7B42">
      <w:pPr>
        <w:pStyle w:val="SingleTxtG"/>
        <w:rPr>
          <w:lang w:val="fr-FR"/>
        </w:rPr>
      </w:pPr>
      <w:r w:rsidRPr="00640449">
        <w:rPr>
          <w:lang w:val="fr-FR"/>
        </w:rPr>
        <w:t>59.</w:t>
      </w:r>
      <w:r w:rsidRPr="00640449">
        <w:rPr>
          <w:lang w:val="fr-FR"/>
        </w:rPr>
        <w:tab/>
      </w:r>
      <w:r w:rsidR="00674E9C" w:rsidRPr="00640449">
        <w:rPr>
          <w:lang w:val="fr-FR"/>
        </w:rPr>
        <w:t>Actuellement, la Direction affirme suivre le système de « Projet d'Accueil Individualisé » (PAI), développé par le ministère de la santé. Ce projet qui existe depuis 2015 a pour but d'améliorer l'accompagnement et l'intégration des enfants à besoins de santé spécifiques dans les infrastructures d'enseignement (fondamental et secondaire) ou d'accueil. Le CELPL est toutefois d'avis que ce PAI ne peut pas s'appliquer tel quel aux traitements dispensés au CSEE (internats ou UNISEC) et que celui-ci s'applique davantage à des pathologies chroniques, nécessitant une vigilance permanente de la part du personnel éducatif.</w:t>
      </w:r>
    </w:p>
    <w:p w:rsidR="00674E9C" w:rsidRPr="00640449" w:rsidRDefault="00125B28" w:rsidP="003671F4">
      <w:pPr>
        <w:pStyle w:val="H23G"/>
        <w:rPr>
          <w:lang w:val="fr-FR"/>
        </w:rPr>
      </w:pPr>
      <w:r w:rsidRPr="00640449">
        <w:rPr>
          <w:lang w:val="fr-FR"/>
        </w:rPr>
        <w:tab/>
      </w:r>
      <w:r w:rsidRPr="00640449">
        <w:rPr>
          <w:lang w:val="fr-FR"/>
        </w:rPr>
        <w:tab/>
      </w:r>
      <w:r w:rsidR="00674E9C" w:rsidRPr="00640449">
        <w:rPr>
          <w:lang w:val="fr-FR"/>
        </w:rPr>
        <w:t>Les modalités des consultations médicales de détenus en milieu hospitalier</w:t>
      </w:r>
    </w:p>
    <w:p w:rsidR="005130E6" w:rsidRPr="00640449" w:rsidRDefault="001A7B42" w:rsidP="001A7B42">
      <w:pPr>
        <w:pStyle w:val="SingleTxtG"/>
        <w:rPr>
          <w:lang w:val="fr-FR"/>
        </w:rPr>
      </w:pPr>
      <w:r w:rsidRPr="00640449">
        <w:rPr>
          <w:lang w:val="fr-FR"/>
        </w:rPr>
        <w:t>60.</w:t>
      </w:r>
      <w:r w:rsidRPr="00640449">
        <w:rPr>
          <w:lang w:val="fr-FR"/>
        </w:rPr>
        <w:tab/>
      </w:r>
      <w:r w:rsidR="00674E9C" w:rsidRPr="00640449">
        <w:rPr>
          <w:lang w:val="fr-FR"/>
        </w:rPr>
        <w:t>Le CELPL a formulé une recommandation ciblant une adaptation des dispositions internes de la Police grand-ducale dans un sens qui assure que tout examen médical devrait avoir lieu en dehors de la présence d'un agent de police, sauf demande contraire du médecin.</w:t>
      </w:r>
    </w:p>
    <w:p w:rsidR="005130E6" w:rsidRPr="00640449" w:rsidRDefault="001A7B42" w:rsidP="001A7B42">
      <w:pPr>
        <w:pStyle w:val="SingleTxtG"/>
        <w:rPr>
          <w:lang w:val="fr-FR"/>
        </w:rPr>
      </w:pPr>
      <w:r w:rsidRPr="00640449">
        <w:rPr>
          <w:lang w:val="fr-FR"/>
        </w:rPr>
        <w:t>61.</w:t>
      </w:r>
      <w:r w:rsidRPr="00640449">
        <w:rPr>
          <w:lang w:val="fr-FR"/>
        </w:rPr>
        <w:tab/>
      </w:r>
      <w:r w:rsidR="00674E9C" w:rsidRPr="00640449">
        <w:rPr>
          <w:lang w:val="fr-FR"/>
        </w:rPr>
        <w:t>Il demande qu'en principe, le détenu ne soit jamais menotté pendant une visite médicale, sauf sur demande expresse du médecin ou alternativement, s'il existe un risque d'évasion dûment constaté par les agents de police accompagnant le détenu.</w:t>
      </w:r>
    </w:p>
    <w:p w:rsidR="005130E6" w:rsidRPr="00640449" w:rsidRDefault="001A7B42" w:rsidP="001A7B42">
      <w:pPr>
        <w:pStyle w:val="SingleTxtG"/>
        <w:rPr>
          <w:lang w:val="fr-FR"/>
        </w:rPr>
      </w:pPr>
      <w:r w:rsidRPr="00640449">
        <w:rPr>
          <w:lang w:val="fr-FR"/>
        </w:rPr>
        <w:t>62.</w:t>
      </w:r>
      <w:r w:rsidRPr="00640449">
        <w:rPr>
          <w:lang w:val="fr-FR"/>
        </w:rPr>
        <w:tab/>
      </w:r>
      <w:r w:rsidR="00674E9C" w:rsidRPr="00640449">
        <w:rPr>
          <w:lang w:val="fr-FR"/>
        </w:rPr>
        <w:t>Si le détenu est considéré comme représentant une dangerosité particulière, le médecin pourrait en être informé.</w:t>
      </w:r>
    </w:p>
    <w:p w:rsidR="005130E6" w:rsidRPr="00640449" w:rsidRDefault="001A7B42" w:rsidP="001A7B42">
      <w:pPr>
        <w:pStyle w:val="SingleTxtG"/>
        <w:rPr>
          <w:lang w:val="fr-FR"/>
        </w:rPr>
      </w:pPr>
      <w:r w:rsidRPr="00640449">
        <w:rPr>
          <w:lang w:val="fr-FR"/>
        </w:rPr>
        <w:t>63.</w:t>
      </w:r>
      <w:r w:rsidRPr="00640449">
        <w:rPr>
          <w:lang w:val="fr-FR"/>
        </w:rPr>
        <w:tab/>
      </w:r>
      <w:r w:rsidR="00674E9C" w:rsidRPr="00640449">
        <w:rPr>
          <w:lang w:val="fr-FR"/>
        </w:rPr>
        <w:t>Les responsables de la Police grand-ducale avaient marqué leur accord de principe sous réserve que le médecin qui refuse la présence policière et le port de menottes signe une décharge aux agents accompagnant le détenu.</w:t>
      </w:r>
    </w:p>
    <w:p w:rsidR="005130E6" w:rsidRPr="00640449" w:rsidRDefault="001A7B42" w:rsidP="001A7B42">
      <w:pPr>
        <w:pStyle w:val="SingleTxtG"/>
        <w:rPr>
          <w:lang w:val="fr-FR"/>
        </w:rPr>
      </w:pPr>
      <w:r w:rsidRPr="00640449">
        <w:rPr>
          <w:lang w:val="fr-FR"/>
        </w:rPr>
        <w:t>64.</w:t>
      </w:r>
      <w:r w:rsidRPr="00640449">
        <w:rPr>
          <w:lang w:val="fr-FR"/>
        </w:rPr>
        <w:tab/>
      </w:r>
      <w:r w:rsidR="00674E9C" w:rsidRPr="00640449">
        <w:rPr>
          <w:lang w:val="fr-FR"/>
        </w:rPr>
        <w:t xml:space="preserve">Les instructions de service de la Police grand-ducale ont été modifiées, mais prévoient actuellement que la consultation médicale doit avoir lieu en présence d'un agent, </w:t>
      </w:r>
      <w:r w:rsidR="00674E9C" w:rsidRPr="00640449">
        <w:rPr>
          <w:lang w:val="fr-FR"/>
        </w:rPr>
        <w:lastRenderedPageBreak/>
        <w:t>sauf demande contraire du médecin. Dans ce cas, le détenu est alors menotté pendant la réalisation de l'examen médical.</w:t>
      </w:r>
    </w:p>
    <w:p w:rsidR="005130E6" w:rsidRPr="00640449" w:rsidRDefault="001A7B42" w:rsidP="001A7B42">
      <w:pPr>
        <w:pStyle w:val="SingleTxtG"/>
        <w:rPr>
          <w:lang w:val="fr-FR"/>
        </w:rPr>
      </w:pPr>
      <w:r w:rsidRPr="00640449">
        <w:rPr>
          <w:lang w:val="fr-FR"/>
        </w:rPr>
        <w:t>65.</w:t>
      </w:r>
      <w:r w:rsidRPr="00640449">
        <w:rPr>
          <w:lang w:val="fr-FR"/>
        </w:rPr>
        <w:tab/>
      </w:r>
      <w:r w:rsidR="00674E9C" w:rsidRPr="00640449">
        <w:rPr>
          <w:lang w:val="fr-FR"/>
        </w:rPr>
        <w:t>Le Médiateur maintient la recommandation que la présence de l'agent de la Police grand-ducale doit constituer une exception.</w:t>
      </w:r>
    </w:p>
    <w:p w:rsidR="005130E6" w:rsidRPr="00640449" w:rsidRDefault="00B3624A" w:rsidP="003671F4">
      <w:pPr>
        <w:pStyle w:val="H23G"/>
        <w:rPr>
          <w:lang w:val="fr-FR"/>
        </w:rPr>
      </w:pPr>
      <w:r w:rsidRPr="00640449">
        <w:rPr>
          <w:lang w:val="fr-FR"/>
        </w:rPr>
        <w:tab/>
      </w:r>
      <w:r w:rsidRPr="00640449">
        <w:rPr>
          <w:lang w:val="fr-FR"/>
        </w:rPr>
        <w:tab/>
      </w:r>
      <w:r w:rsidR="00674E9C" w:rsidRPr="00640449">
        <w:rPr>
          <w:lang w:val="fr-FR"/>
        </w:rPr>
        <w:t xml:space="preserve">Les critères d'application de la </w:t>
      </w:r>
      <w:r w:rsidR="00A575FA">
        <w:rPr>
          <w:lang w:val="fr-FR"/>
        </w:rPr>
        <w:t>l</w:t>
      </w:r>
      <w:r w:rsidR="00674E9C" w:rsidRPr="00640449">
        <w:rPr>
          <w:lang w:val="fr-FR"/>
        </w:rPr>
        <w:t>oi du 10 décembre 2009 relative à l'hospitalisation sans leur consentement de personnes atteintes de troubles mentaux</w:t>
      </w:r>
    </w:p>
    <w:p w:rsidR="005130E6" w:rsidRPr="00640449" w:rsidRDefault="001A7B42" w:rsidP="001A7B42">
      <w:pPr>
        <w:pStyle w:val="SingleTxtG"/>
        <w:rPr>
          <w:lang w:val="fr-FR"/>
        </w:rPr>
      </w:pPr>
      <w:r w:rsidRPr="00640449">
        <w:rPr>
          <w:lang w:val="fr-FR"/>
        </w:rPr>
        <w:t>66.</w:t>
      </w:r>
      <w:r w:rsidRPr="00640449">
        <w:rPr>
          <w:lang w:val="fr-FR"/>
        </w:rPr>
        <w:tab/>
      </w:r>
      <w:r w:rsidR="00674E9C" w:rsidRPr="00640449">
        <w:rPr>
          <w:lang w:val="fr-FR"/>
        </w:rPr>
        <w:t>Une recommandation importante relative au domaine de la psychiatrie concerne les critères légaux définissant les situations dans lesquelles un placement contre la volonté de la personne souffrant de troubles mentaux peut être prononcé.</w:t>
      </w:r>
    </w:p>
    <w:p w:rsidR="005130E6" w:rsidRPr="00640449" w:rsidRDefault="001A7B42" w:rsidP="001A7B42">
      <w:pPr>
        <w:pStyle w:val="SingleTxtG"/>
        <w:rPr>
          <w:lang w:val="fr-FR"/>
        </w:rPr>
      </w:pPr>
      <w:r w:rsidRPr="00640449">
        <w:rPr>
          <w:lang w:val="fr-FR"/>
        </w:rPr>
        <w:t>67.</w:t>
      </w:r>
      <w:r w:rsidRPr="00640449">
        <w:rPr>
          <w:lang w:val="fr-FR"/>
        </w:rPr>
        <w:tab/>
      </w:r>
      <w:r w:rsidR="00674E9C" w:rsidRPr="00640449">
        <w:rPr>
          <w:lang w:val="fr-FR"/>
        </w:rPr>
        <w:t>Pour qu'un placement puisse être envisagé, la loi de 2009 prévoit que les troubles psychiques graves doivent rendre une personne dangereuse pour elle-même ou pour autrui. Le CELPL est d'avis que cette formulation devrait être interprétée dans un sens plus large, sans se limiter à un aspect de « dangerosité », voire de passage à l'acte.</w:t>
      </w:r>
    </w:p>
    <w:p w:rsidR="005130E6" w:rsidRPr="00640449" w:rsidRDefault="001A7B42" w:rsidP="001A7B42">
      <w:pPr>
        <w:pStyle w:val="SingleTxtG"/>
        <w:rPr>
          <w:lang w:val="fr-FR"/>
        </w:rPr>
      </w:pPr>
      <w:r w:rsidRPr="00640449">
        <w:rPr>
          <w:lang w:val="fr-FR"/>
        </w:rPr>
        <w:t>68.</w:t>
      </w:r>
      <w:r w:rsidRPr="00640449">
        <w:rPr>
          <w:lang w:val="fr-FR"/>
        </w:rPr>
        <w:tab/>
      </w:r>
      <w:r w:rsidR="00674E9C" w:rsidRPr="00640449">
        <w:rPr>
          <w:lang w:val="fr-FR"/>
        </w:rPr>
        <w:t>Il faut néanmoins être conscient du fait que des patients peuvent souffrir de troubles psychiatriques ou mentaux sans qu'il existe un risque de passage à l'acte auto- ou hétéro-agressif de sorte que la personne ne représente pas de danger pour soi ou pour autrui.</w:t>
      </w:r>
    </w:p>
    <w:p w:rsidR="005130E6" w:rsidRPr="00640449" w:rsidRDefault="001A7B42" w:rsidP="001A7B42">
      <w:pPr>
        <w:pStyle w:val="SingleTxtG"/>
        <w:rPr>
          <w:lang w:val="fr-FR"/>
        </w:rPr>
      </w:pPr>
      <w:r w:rsidRPr="00640449">
        <w:rPr>
          <w:lang w:val="fr-FR"/>
        </w:rPr>
        <w:t>69.</w:t>
      </w:r>
      <w:r w:rsidRPr="00640449">
        <w:rPr>
          <w:lang w:val="fr-FR"/>
        </w:rPr>
        <w:tab/>
      </w:r>
      <w:r w:rsidR="00674E9C" w:rsidRPr="00640449">
        <w:rPr>
          <w:lang w:val="fr-FR"/>
        </w:rPr>
        <w:t>Si la levée de l'hospitalisation pourrait avoir des conséquences négatives sur l'état de santé, le CELPL est d'avis que ce constat, dûment établi, devrait être considéré comme «</w:t>
      </w:r>
      <w:r w:rsidR="00A575FA">
        <w:rPr>
          <w:lang w:val="fr-FR"/>
        </w:rPr>
        <w:t> </w:t>
      </w:r>
      <w:r w:rsidR="00674E9C" w:rsidRPr="00640449">
        <w:rPr>
          <w:lang w:val="fr-FR"/>
        </w:rPr>
        <w:t>danger pour soi ».</w:t>
      </w:r>
    </w:p>
    <w:p w:rsidR="00A76014" w:rsidRPr="00640449" w:rsidRDefault="00B3624A" w:rsidP="00A76014">
      <w:pPr>
        <w:pStyle w:val="H1G"/>
        <w:rPr>
          <w:lang w:val="fr-FR"/>
        </w:rPr>
      </w:pPr>
      <w:r w:rsidRPr="00640449">
        <w:tab/>
      </w:r>
      <w:r w:rsidR="00CF6D6A" w:rsidRPr="00640449">
        <w:t>J</w:t>
      </w:r>
      <w:r w:rsidR="00A76014" w:rsidRPr="00640449">
        <w:t>.</w:t>
      </w:r>
      <w:r w:rsidR="00A76014" w:rsidRPr="00640449">
        <w:tab/>
      </w:r>
      <w:r w:rsidR="00A76014" w:rsidRPr="00640449">
        <w:rPr>
          <w:lang w:val="fr-FR"/>
        </w:rPr>
        <w:t xml:space="preserve">Réponse à </w:t>
      </w:r>
      <w:r w:rsidR="00A76014" w:rsidRPr="00640449">
        <w:t>la</w:t>
      </w:r>
      <w:r w:rsidR="00A76014" w:rsidRPr="00640449">
        <w:rPr>
          <w:lang w:val="fr-FR"/>
        </w:rPr>
        <w:t xml:space="preserve"> question posée au paragraphe 5 </w:t>
      </w:r>
      <w:r w:rsidR="003671F4" w:rsidRPr="00640449">
        <w:rPr>
          <w:lang w:val="fr-FR"/>
        </w:rPr>
        <w:t>(</w:t>
      </w:r>
      <w:r w:rsidR="00A76014" w:rsidRPr="00640449">
        <w:rPr>
          <w:lang w:val="fr-FR"/>
        </w:rPr>
        <w:t>a</w:t>
      </w:r>
      <w:r w:rsidR="003671F4" w:rsidRPr="00640449">
        <w:rPr>
          <w:lang w:val="fr-FR"/>
        </w:rPr>
        <w:t>)</w:t>
      </w:r>
    </w:p>
    <w:p w:rsidR="00F03DCF" w:rsidRPr="00640449" w:rsidRDefault="003671F4" w:rsidP="003671F4">
      <w:pPr>
        <w:pStyle w:val="H23G"/>
        <w:rPr>
          <w:lang w:val="fr-FR"/>
        </w:rPr>
      </w:pPr>
      <w:r w:rsidRPr="00640449">
        <w:rPr>
          <w:lang w:val="fr-FR"/>
        </w:rPr>
        <w:tab/>
      </w:r>
      <w:r w:rsidRPr="00640449">
        <w:rPr>
          <w:lang w:val="fr-FR"/>
        </w:rPr>
        <w:tab/>
      </w:r>
      <w:r w:rsidR="00F03DCF" w:rsidRPr="00640449">
        <w:rPr>
          <w:lang w:val="fr-FR"/>
        </w:rPr>
        <w:t>Statistiques</w:t>
      </w:r>
      <w:r w:rsidR="00F03DCF" w:rsidRPr="00640449">
        <w:rPr>
          <w:lang w:val="fr-LU"/>
        </w:rPr>
        <w:t xml:space="preserve"> annuelles depuis 2015 sur les personnes demandant l’asile</w:t>
      </w:r>
    </w:p>
    <w:tbl>
      <w:tblPr>
        <w:tblW w:w="0" w:type="auto"/>
        <w:tblInd w:w="1134" w:type="dxa"/>
        <w:tblLayout w:type="fixed"/>
        <w:tblCellMar>
          <w:left w:w="0" w:type="dxa"/>
          <w:right w:w="0" w:type="dxa"/>
        </w:tblCellMar>
        <w:tblLook w:val="04A0" w:firstRow="1" w:lastRow="0" w:firstColumn="1" w:lastColumn="0" w:noHBand="0" w:noVBand="1"/>
      </w:tblPr>
      <w:tblGrid>
        <w:gridCol w:w="1003"/>
        <w:gridCol w:w="855"/>
        <w:gridCol w:w="970"/>
        <w:gridCol w:w="856"/>
        <w:gridCol w:w="970"/>
        <w:gridCol w:w="856"/>
        <w:gridCol w:w="1004"/>
        <w:gridCol w:w="856"/>
      </w:tblGrid>
      <w:tr w:rsidR="00326449" w:rsidRPr="00D20CB5" w:rsidTr="00D20CB5">
        <w:trPr>
          <w:tblHeader/>
        </w:trPr>
        <w:tc>
          <w:tcPr>
            <w:tcW w:w="7370" w:type="dxa"/>
            <w:gridSpan w:val="8"/>
            <w:tcBorders>
              <w:top w:val="single" w:sz="4" w:space="0" w:color="auto"/>
              <w:bottom w:val="single" w:sz="4" w:space="0" w:color="auto"/>
            </w:tcBorders>
            <w:shd w:val="clear" w:color="auto" w:fill="auto"/>
            <w:noWrap/>
            <w:vAlign w:val="bottom"/>
            <w:hideMark/>
          </w:tcPr>
          <w:p w:rsidR="00674E9C" w:rsidRPr="00D20CB5" w:rsidRDefault="00674E9C" w:rsidP="00D20CB5">
            <w:pPr>
              <w:pStyle w:val="SingleTxtG"/>
              <w:suppressAutoHyphens w:val="0"/>
              <w:spacing w:before="80" w:after="80" w:line="200" w:lineRule="exact"/>
              <w:ind w:left="0" w:right="0"/>
              <w:jc w:val="center"/>
              <w:rPr>
                <w:i/>
                <w:spacing w:val="4"/>
                <w:w w:val="103"/>
                <w:kern w:val="14"/>
                <w:sz w:val="16"/>
                <w:lang w:val="fr-FR"/>
              </w:rPr>
            </w:pPr>
            <w:r w:rsidRPr="00D20CB5">
              <w:rPr>
                <w:i/>
                <w:spacing w:val="4"/>
                <w:w w:val="103"/>
                <w:kern w:val="14"/>
                <w:sz w:val="16"/>
                <w:lang w:val="fr-FR"/>
              </w:rPr>
              <w:t>Demandeurs de protection internationale</w:t>
            </w:r>
          </w:p>
        </w:tc>
      </w:tr>
      <w:tr w:rsidR="00326449" w:rsidRPr="00D20CB5" w:rsidTr="00D20CB5">
        <w:trPr>
          <w:tblHeader/>
        </w:trPr>
        <w:tc>
          <w:tcPr>
            <w:tcW w:w="1858" w:type="dxa"/>
            <w:gridSpan w:val="2"/>
            <w:tcBorders>
              <w:top w:val="single" w:sz="4" w:space="0" w:color="auto"/>
              <w:bottom w:val="single" w:sz="4" w:space="0" w:color="auto"/>
            </w:tcBorders>
            <w:shd w:val="clear" w:color="auto" w:fill="auto"/>
            <w:noWrap/>
            <w:vAlign w:val="bottom"/>
            <w:hideMark/>
          </w:tcPr>
          <w:p w:rsidR="00674E9C" w:rsidRPr="00D20CB5" w:rsidRDefault="00674E9C" w:rsidP="00D20CB5">
            <w:pPr>
              <w:pStyle w:val="SingleTxtG"/>
              <w:suppressAutoHyphens w:val="0"/>
              <w:spacing w:before="80" w:after="80" w:line="200" w:lineRule="exact"/>
              <w:ind w:left="0" w:right="0"/>
              <w:jc w:val="center"/>
              <w:rPr>
                <w:i/>
                <w:spacing w:val="4"/>
                <w:w w:val="103"/>
                <w:kern w:val="14"/>
                <w:sz w:val="16"/>
                <w:lang w:val="fr-FR"/>
              </w:rPr>
            </w:pPr>
            <w:r w:rsidRPr="00D20CB5">
              <w:rPr>
                <w:i/>
                <w:spacing w:val="4"/>
                <w:w w:val="103"/>
                <w:kern w:val="14"/>
                <w:sz w:val="16"/>
                <w:lang w:val="fr-FR"/>
              </w:rPr>
              <w:t>2015</w:t>
            </w:r>
          </w:p>
        </w:tc>
        <w:tc>
          <w:tcPr>
            <w:tcW w:w="1826" w:type="dxa"/>
            <w:gridSpan w:val="2"/>
            <w:tcBorders>
              <w:top w:val="single" w:sz="4" w:space="0" w:color="auto"/>
              <w:bottom w:val="single" w:sz="4" w:space="0" w:color="auto"/>
            </w:tcBorders>
            <w:shd w:val="clear" w:color="auto" w:fill="auto"/>
            <w:noWrap/>
            <w:vAlign w:val="bottom"/>
            <w:hideMark/>
          </w:tcPr>
          <w:p w:rsidR="00674E9C" w:rsidRPr="00D20CB5" w:rsidRDefault="00674E9C" w:rsidP="00D20CB5">
            <w:pPr>
              <w:pStyle w:val="SingleTxtG"/>
              <w:suppressAutoHyphens w:val="0"/>
              <w:spacing w:before="80" w:after="80" w:line="200" w:lineRule="exact"/>
              <w:ind w:left="0" w:right="0"/>
              <w:jc w:val="center"/>
              <w:rPr>
                <w:i/>
                <w:spacing w:val="4"/>
                <w:w w:val="103"/>
                <w:kern w:val="14"/>
                <w:sz w:val="16"/>
                <w:lang w:val="fr-FR"/>
              </w:rPr>
            </w:pPr>
            <w:r w:rsidRPr="00D20CB5">
              <w:rPr>
                <w:i/>
                <w:spacing w:val="4"/>
                <w:w w:val="103"/>
                <w:kern w:val="14"/>
                <w:sz w:val="16"/>
                <w:lang w:val="fr-FR"/>
              </w:rPr>
              <w:t>2016</w:t>
            </w:r>
          </w:p>
        </w:tc>
        <w:tc>
          <w:tcPr>
            <w:tcW w:w="1826" w:type="dxa"/>
            <w:gridSpan w:val="2"/>
            <w:tcBorders>
              <w:top w:val="single" w:sz="4" w:space="0" w:color="auto"/>
              <w:bottom w:val="single" w:sz="4" w:space="0" w:color="auto"/>
            </w:tcBorders>
            <w:shd w:val="clear" w:color="auto" w:fill="auto"/>
            <w:noWrap/>
            <w:vAlign w:val="bottom"/>
            <w:hideMark/>
          </w:tcPr>
          <w:p w:rsidR="00674E9C" w:rsidRPr="00D20CB5" w:rsidRDefault="00674E9C" w:rsidP="00D20CB5">
            <w:pPr>
              <w:pStyle w:val="SingleTxtG"/>
              <w:suppressAutoHyphens w:val="0"/>
              <w:spacing w:before="80" w:after="80" w:line="200" w:lineRule="exact"/>
              <w:ind w:left="0" w:right="0"/>
              <w:jc w:val="center"/>
              <w:rPr>
                <w:i/>
                <w:spacing w:val="4"/>
                <w:w w:val="103"/>
                <w:kern w:val="14"/>
                <w:sz w:val="16"/>
                <w:lang w:val="fr-FR"/>
              </w:rPr>
            </w:pPr>
            <w:r w:rsidRPr="00D20CB5">
              <w:rPr>
                <w:i/>
                <w:spacing w:val="4"/>
                <w:w w:val="103"/>
                <w:kern w:val="14"/>
                <w:sz w:val="16"/>
                <w:lang w:val="fr-FR"/>
              </w:rPr>
              <w:t>2017</w:t>
            </w:r>
          </w:p>
        </w:tc>
        <w:tc>
          <w:tcPr>
            <w:tcW w:w="1860" w:type="dxa"/>
            <w:gridSpan w:val="2"/>
            <w:tcBorders>
              <w:top w:val="single" w:sz="4" w:space="0" w:color="auto"/>
              <w:bottom w:val="single" w:sz="4" w:space="0" w:color="auto"/>
            </w:tcBorders>
            <w:shd w:val="clear" w:color="auto" w:fill="auto"/>
            <w:noWrap/>
            <w:vAlign w:val="bottom"/>
            <w:hideMark/>
          </w:tcPr>
          <w:p w:rsidR="00674E9C" w:rsidRPr="00D20CB5" w:rsidRDefault="00674E9C" w:rsidP="00D20CB5">
            <w:pPr>
              <w:pStyle w:val="SingleTxtG"/>
              <w:suppressAutoHyphens w:val="0"/>
              <w:spacing w:before="80" w:after="80" w:line="200" w:lineRule="exact"/>
              <w:ind w:left="0" w:right="0"/>
              <w:jc w:val="center"/>
              <w:rPr>
                <w:i/>
                <w:spacing w:val="4"/>
                <w:w w:val="103"/>
                <w:kern w:val="14"/>
                <w:sz w:val="16"/>
                <w:lang w:val="fr-FR"/>
              </w:rPr>
            </w:pPr>
            <w:r w:rsidRPr="00D20CB5">
              <w:rPr>
                <w:i/>
                <w:spacing w:val="4"/>
                <w:w w:val="103"/>
                <w:kern w:val="14"/>
                <w:sz w:val="16"/>
                <w:lang w:val="fr-FR"/>
              </w:rPr>
              <w:t>2018</w:t>
            </w:r>
          </w:p>
        </w:tc>
      </w:tr>
      <w:tr w:rsidR="00326449" w:rsidRPr="00D20CB5" w:rsidTr="00D20CB5">
        <w:trPr>
          <w:tblHeader/>
        </w:trPr>
        <w:tc>
          <w:tcPr>
            <w:tcW w:w="1003" w:type="dxa"/>
            <w:tcBorders>
              <w:top w:val="single" w:sz="4" w:space="0" w:color="auto"/>
              <w:bottom w:val="single" w:sz="12" w:space="0" w:color="auto"/>
            </w:tcBorders>
            <w:shd w:val="clear" w:color="auto" w:fill="auto"/>
            <w:noWrap/>
            <w:vAlign w:val="bottom"/>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Pays de nationalité</w:t>
            </w:r>
          </w:p>
        </w:tc>
        <w:tc>
          <w:tcPr>
            <w:tcW w:w="855"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w:t>
            </w:r>
          </w:p>
        </w:tc>
        <w:tc>
          <w:tcPr>
            <w:tcW w:w="970" w:type="dxa"/>
            <w:tcBorders>
              <w:top w:val="single" w:sz="4" w:space="0" w:color="auto"/>
              <w:bottom w:val="single" w:sz="12" w:space="0" w:color="auto"/>
            </w:tcBorders>
            <w:shd w:val="clear" w:color="auto" w:fill="auto"/>
            <w:noWrap/>
            <w:vAlign w:val="bottom"/>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Pays de nationalité</w:t>
            </w:r>
          </w:p>
        </w:tc>
        <w:tc>
          <w:tcPr>
            <w:tcW w:w="856"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w:t>
            </w:r>
          </w:p>
        </w:tc>
        <w:tc>
          <w:tcPr>
            <w:tcW w:w="970" w:type="dxa"/>
            <w:tcBorders>
              <w:top w:val="single" w:sz="4" w:space="0" w:color="auto"/>
              <w:bottom w:val="single" w:sz="12" w:space="0" w:color="auto"/>
            </w:tcBorders>
            <w:shd w:val="clear" w:color="auto" w:fill="auto"/>
            <w:noWrap/>
            <w:vAlign w:val="bottom"/>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Pays de nationalité</w:t>
            </w:r>
          </w:p>
        </w:tc>
        <w:tc>
          <w:tcPr>
            <w:tcW w:w="856"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w:t>
            </w:r>
          </w:p>
        </w:tc>
        <w:tc>
          <w:tcPr>
            <w:tcW w:w="1004" w:type="dxa"/>
            <w:tcBorders>
              <w:top w:val="single" w:sz="4" w:space="0" w:color="auto"/>
              <w:bottom w:val="single" w:sz="12" w:space="0" w:color="auto"/>
            </w:tcBorders>
            <w:shd w:val="clear" w:color="auto" w:fill="auto"/>
            <w:noWrap/>
            <w:vAlign w:val="bottom"/>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Pays de nationalité</w:t>
            </w:r>
          </w:p>
        </w:tc>
        <w:tc>
          <w:tcPr>
            <w:tcW w:w="856"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w:t>
            </w:r>
          </w:p>
        </w:tc>
      </w:tr>
      <w:tr w:rsidR="00640449" w:rsidRPr="00640449" w:rsidTr="00D20CB5">
        <w:tc>
          <w:tcPr>
            <w:tcW w:w="1003" w:type="dxa"/>
            <w:tcBorders>
              <w:top w:val="single" w:sz="12" w:space="0" w:color="auto"/>
            </w:tcBorders>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Syrie</w:t>
            </w:r>
          </w:p>
        </w:tc>
        <w:tc>
          <w:tcPr>
            <w:tcW w:w="855" w:type="dxa"/>
            <w:tcBorders>
              <w:top w:val="single" w:sz="12" w:space="0" w:color="auto"/>
            </w:tcBorders>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632</w:t>
            </w:r>
          </w:p>
        </w:tc>
        <w:tc>
          <w:tcPr>
            <w:tcW w:w="970" w:type="dxa"/>
            <w:tcBorders>
              <w:top w:val="single" w:sz="12" w:space="0" w:color="auto"/>
            </w:tcBorders>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Syrie</w:t>
            </w:r>
          </w:p>
        </w:tc>
        <w:tc>
          <w:tcPr>
            <w:tcW w:w="856" w:type="dxa"/>
            <w:tcBorders>
              <w:top w:val="single" w:sz="12" w:space="0" w:color="auto"/>
            </w:tcBorders>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289</w:t>
            </w:r>
          </w:p>
        </w:tc>
        <w:tc>
          <w:tcPr>
            <w:tcW w:w="970" w:type="dxa"/>
            <w:tcBorders>
              <w:top w:val="single" w:sz="12" w:space="0" w:color="auto"/>
            </w:tcBorders>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Syrie</w:t>
            </w:r>
          </w:p>
        </w:tc>
        <w:tc>
          <w:tcPr>
            <w:tcW w:w="856" w:type="dxa"/>
            <w:tcBorders>
              <w:top w:val="single" w:sz="12" w:space="0" w:color="auto"/>
            </w:tcBorders>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361</w:t>
            </w:r>
          </w:p>
        </w:tc>
        <w:tc>
          <w:tcPr>
            <w:tcW w:w="1004" w:type="dxa"/>
            <w:tcBorders>
              <w:top w:val="single" w:sz="12" w:space="0" w:color="auto"/>
            </w:tcBorders>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Erythrée</w:t>
            </w:r>
          </w:p>
        </w:tc>
        <w:tc>
          <w:tcPr>
            <w:tcW w:w="856" w:type="dxa"/>
            <w:tcBorders>
              <w:top w:val="single" w:sz="12" w:space="0" w:color="auto"/>
            </w:tcBorders>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392</w:t>
            </w:r>
          </w:p>
        </w:tc>
      </w:tr>
      <w:tr w:rsidR="00640449" w:rsidRPr="00640449" w:rsidTr="00D20CB5">
        <w:tc>
          <w:tcPr>
            <w:tcW w:w="1003"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Iraq</w:t>
            </w:r>
          </w:p>
        </w:tc>
        <w:tc>
          <w:tcPr>
            <w:tcW w:w="855"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536</w:t>
            </w:r>
          </w:p>
        </w:tc>
        <w:tc>
          <w:tcPr>
            <w:tcW w:w="970"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Albanie</w:t>
            </w:r>
          </w:p>
        </w:tc>
        <w:tc>
          <w:tcPr>
            <w:tcW w:w="856"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226</w:t>
            </w:r>
          </w:p>
        </w:tc>
        <w:tc>
          <w:tcPr>
            <w:tcW w:w="970"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Erythrée</w:t>
            </w:r>
          </w:p>
        </w:tc>
        <w:tc>
          <w:tcPr>
            <w:tcW w:w="856"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223</w:t>
            </w:r>
          </w:p>
        </w:tc>
        <w:tc>
          <w:tcPr>
            <w:tcW w:w="1004"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Syrie</w:t>
            </w:r>
          </w:p>
        </w:tc>
        <w:tc>
          <w:tcPr>
            <w:tcW w:w="856"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227</w:t>
            </w:r>
          </w:p>
        </w:tc>
      </w:tr>
      <w:tr w:rsidR="00640449" w:rsidRPr="00640449" w:rsidTr="00D20CB5">
        <w:tc>
          <w:tcPr>
            <w:tcW w:w="1003"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Kosovo</w:t>
            </w:r>
          </w:p>
        </w:tc>
        <w:tc>
          <w:tcPr>
            <w:tcW w:w="855"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231</w:t>
            </w:r>
          </w:p>
        </w:tc>
        <w:tc>
          <w:tcPr>
            <w:tcW w:w="970"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Kosovo</w:t>
            </w:r>
          </w:p>
        </w:tc>
        <w:tc>
          <w:tcPr>
            <w:tcW w:w="856"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208</w:t>
            </w:r>
          </w:p>
        </w:tc>
        <w:tc>
          <w:tcPr>
            <w:tcW w:w="970"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Maroc</w:t>
            </w:r>
          </w:p>
        </w:tc>
        <w:tc>
          <w:tcPr>
            <w:tcW w:w="856"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205</w:t>
            </w:r>
          </w:p>
        </w:tc>
        <w:tc>
          <w:tcPr>
            <w:tcW w:w="1004"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Iraq</w:t>
            </w:r>
          </w:p>
        </w:tc>
        <w:tc>
          <w:tcPr>
            <w:tcW w:w="856"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196</w:t>
            </w:r>
          </w:p>
        </w:tc>
      </w:tr>
      <w:tr w:rsidR="00640449" w:rsidRPr="00640449" w:rsidTr="00D20CB5">
        <w:tc>
          <w:tcPr>
            <w:tcW w:w="1003"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Afghanistan</w:t>
            </w:r>
          </w:p>
        </w:tc>
        <w:tc>
          <w:tcPr>
            <w:tcW w:w="855"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218</w:t>
            </w:r>
          </w:p>
        </w:tc>
        <w:tc>
          <w:tcPr>
            <w:tcW w:w="970"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Iraq</w:t>
            </w:r>
          </w:p>
        </w:tc>
        <w:tc>
          <w:tcPr>
            <w:tcW w:w="856"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161</w:t>
            </w:r>
          </w:p>
        </w:tc>
        <w:tc>
          <w:tcPr>
            <w:tcW w:w="970"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Serbie</w:t>
            </w:r>
          </w:p>
        </w:tc>
        <w:tc>
          <w:tcPr>
            <w:tcW w:w="856"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185</w:t>
            </w:r>
          </w:p>
        </w:tc>
        <w:tc>
          <w:tcPr>
            <w:tcW w:w="1004"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Afghanistan</w:t>
            </w:r>
          </w:p>
        </w:tc>
        <w:tc>
          <w:tcPr>
            <w:tcW w:w="856"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176</w:t>
            </w:r>
          </w:p>
        </w:tc>
      </w:tr>
      <w:tr w:rsidR="00640449" w:rsidRPr="00640449" w:rsidTr="00D20CB5">
        <w:tc>
          <w:tcPr>
            <w:tcW w:w="1003"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Albanie</w:t>
            </w:r>
          </w:p>
        </w:tc>
        <w:tc>
          <w:tcPr>
            <w:tcW w:w="855"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153</w:t>
            </w:r>
          </w:p>
        </w:tc>
        <w:tc>
          <w:tcPr>
            <w:tcW w:w="970"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Serbie</w:t>
            </w:r>
          </w:p>
        </w:tc>
        <w:tc>
          <w:tcPr>
            <w:tcW w:w="856"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153</w:t>
            </w:r>
          </w:p>
        </w:tc>
        <w:tc>
          <w:tcPr>
            <w:tcW w:w="970"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Algérie</w:t>
            </w:r>
          </w:p>
        </w:tc>
        <w:tc>
          <w:tcPr>
            <w:tcW w:w="856"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168</w:t>
            </w:r>
          </w:p>
        </w:tc>
        <w:tc>
          <w:tcPr>
            <w:tcW w:w="1004"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Géorgie</w:t>
            </w:r>
          </w:p>
        </w:tc>
        <w:tc>
          <w:tcPr>
            <w:tcW w:w="856" w:type="dxa"/>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141</w:t>
            </w:r>
          </w:p>
        </w:tc>
      </w:tr>
      <w:tr w:rsidR="00640449" w:rsidRPr="00640449" w:rsidTr="00D20CB5">
        <w:tc>
          <w:tcPr>
            <w:tcW w:w="1003" w:type="dxa"/>
            <w:tcBorders>
              <w:bottom w:val="single" w:sz="4" w:space="0" w:color="auto"/>
            </w:tcBorders>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autres</w:t>
            </w:r>
          </w:p>
        </w:tc>
        <w:tc>
          <w:tcPr>
            <w:tcW w:w="855" w:type="dxa"/>
            <w:tcBorders>
              <w:bottom w:val="single" w:sz="4" w:space="0" w:color="auto"/>
            </w:tcBorders>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677</w:t>
            </w:r>
          </w:p>
        </w:tc>
        <w:tc>
          <w:tcPr>
            <w:tcW w:w="970" w:type="dxa"/>
            <w:tcBorders>
              <w:bottom w:val="single" w:sz="4" w:space="0" w:color="auto"/>
            </w:tcBorders>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autres</w:t>
            </w:r>
          </w:p>
        </w:tc>
        <w:tc>
          <w:tcPr>
            <w:tcW w:w="856" w:type="dxa"/>
            <w:tcBorders>
              <w:bottom w:val="single" w:sz="4" w:space="0" w:color="auto"/>
            </w:tcBorders>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999</w:t>
            </w:r>
          </w:p>
        </w:tc>
        <w:tc>
          <w:tcPr>
            <w:tcW w:w="970" w:type="dxa"/>
            <w:tcBorders>
              <w:bottom w:val="single" w:sz="4" w:space="0" w:color="auto"/>
            </w:tcBorders>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autres</w:t>
            </w:r>
          </w:p>
        </w:tc>
        <w:tc>
          <w:tcPr>
            <w:tcW w:w="856" w:type="dxa"/>
            <w:tcBorders>
              <w:bottom w:val="single" w:sz="4" w:space="0" w:color="auto"/>
            </w:tcBorders>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r w:rsidR="007903BB">
              <w:rPr>
                <w:sz w:val="18"/>
                <w:lang w:val="fr-FR"/>
              </w:rPr>
              <w:t xml:space="preserve"> </w:t>
            </w:r>
            <w:r w:rsidRPr="00640449">
              <w:rPr>
                <w:sz w:val="18"/>
                <w:lang w:val="fr-FR"/>
              </w:rPr>
              <w:t>176</w:t>
            </w:r>
          </w:p>
        </w:tc>
        <w:tc>
          <w:tcPr>
            <w:tcW w:w="1004" w:type="dxa"/>
            <w:tcBorders>
              <w:bottom w:val="single" w:sz="4" w:space="0" w:color="auto"/>
            </w:tcBorders>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autres</w:t>
            </w:r>
          </w:p>
        </w:tc>
        <w:tc>
          <w:tcPr>
            <w:tcW w:w="856" w:type="dxa"/>
            <w:tcBorders>
              <w:bottom w:val="single" w:sz="4" w:space="0" w:color="auto"/>
            </w:tcBorders>
            <w:shd w:val="clear" w:color="auto" w:fill="auto"/>
            <w:noWrap/>
            <w:vAlign w:val="bottom"/>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r w:rsidR="007903BB">
              <w:rPr>
                <w:sz w:val="18"/>
                <w:lang w:val="fr-FR"/>
              </w:rPr>
              <w:t xml:space="preserve"> </w:t>
            </w:r>
            <w:r w:rsidRPr="00640449">
              <w:rPr>
                <w:sz w:val="18"/>
                <w:lang w:val="fr-FR"/>
              </w:rPr>
              <w:t>074</w:t>
            </w:r>
          </w:p>
        </w:tc>
      </w:tr>
      <w:tr w:rsidR="00640449" w:rsidRPr="00640449" w:rsidTr="00D20CB5">
        <w:tc>
          <w:tcPr>
            <w:tcW w:w="1003" w:type="dxa"/>
            <w:tcBorders>
              <w:top w:val="single" w:sz="4" w:space="0" w:color="auto"/>
              <w:bottom w:val="single" w:sz="4"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283" w:right="0"/>
              <w:jc w:val="right"/>
              <w:rPr>
                <w:b/>
                <w:sz w:val="18"/>
                <w:lang w:val="fr-FR"/>
              </w:rPr>
            </w:pPr>
            <w:r w:rsidRPr="00640449">
              <w:rPr>
                <w:b/>
                <w:sz w:val="18"/>
                <w:lang w:val="fr-FR"/>
              </w:rPr>
              <w:t>Total</w:t>
            </w:r>
          </w:p>
        </w:tc>
        <w:tc>
          <w:tcPr>
            <w:tcW w:w="855" w:type="dxa"/>
            <w:tcBorders>
              <w:top w:val="single" w:sz="4" w:space="0" w:color="auto"/>
              <w:bottom w:val="single" w:sz="4"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w:t>
            </w:r>
            <w:r w:rsidR="005530C8">
              <w:rPr>
                <w:b/>
                <w:sz w:val="18"/>
                <w:lang w:val="fr-FR"/>
              </w:rPr>
              <w:t xml:space="preserve"> </w:t>
            </w:r>
            <w:r w:rsidRPr="00640449">
              <w:rPr>
                <w:b/>
                <w:sz w:val="18"/>
                <w:lang w:val="fr-FR"/>
              </w:rPr>
              <w:t>447</w:t>
            </w:r>
          </w:p>
        </w:tc>
        <w:tc>
          <w:tcPr>
            <w:tcW w:w="970" w:type="dxa"/>
            <w:tcBorders>
              <w:top w:val="single" w:sz="4" w:space="0" w:color="auto"/>
              <w:bottom w:val="single" w:sz="4"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283" w:right="0"/>
              <w:jc w:val="right"/>
              <w:rPr>
                <w:b/>
                <w:sz w:val="18"/>
                <w:lang w:val="fr-FR"/>
              </w:rPr>
            </w:pPr>
            <w:r w:rsidRPr="00640449">
              <w:rPr>
                <w:b/>
                <w:sz w:val="18"/>
                <w:lang w:val="fr-FR"/>
              </w:rPr>
              <w:t>Total</w:t>
            </w:r>
          </w:p>
        </w:tc>
        <w:tc>
          <w:tcPr>
            <w:tcW w:w="856" w:type="dxa"/>
            <w:tcBorders>
              <w:top w:val="single" w:sz="4" w:space="0" w:color="auto"/>
              <w:bottom w:val="single" w:sz="4"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w:t>
            </w:r>
            <w:r w:rsidR="005530C8">
              <w:rPr>
                <w:b/>
                <w:sz w:val="18"/>
                <w:lang w:val="fr-FR"/>
              </w:rPr>
              <w:t xml:space="preserve"> </w:t>
            </w:r>
            <w:r w:rsidRPr="00640449">
              <w:rPr>
                <w:b/>
                <w:sz w:val="18"/>
                <w:lang w:val="fr-FR"/>
              </w:rPr>
              <w:t>036</w:t>
            </w:r>
          </w:p>
        </w:tc>
        <w:tc>
          <w:tcPr>
            <w:tcW w:w="970" w:type="dxa"/>
            <w:tcBorders>
              <w:top w:val="single" w:sz="4" w:space="0" w:color="auto"/>
              <w:bottom w:val="single" w:sz="4"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283" w:right="0"/>
              <w:jc w:val="right"/>
              <w:rPr>
                <w:b/>
                <w:sz w:val="18"/>
                <w:lang w:val="fr-FR"/>
              </w:rPr>
            </w:pPr>
            <w:r w:rsidRPr="00640449">
              <w:rPr>
                <w:b/>
                <w:sz w:val="18"/>
                <w:lang w:val="fr-FR"/>
              </w:rPr>
              <w:t>Total</w:t>
            </w:r>
          </w:p>
        </w:tc>
        <w:tc>
          <w:tcPr>
            <w:tcW w:w="856" w:type="dxa"/>
            <w:tcBorders>
              <w:top w:val="single" w:sz="4" w:space="0" w:color="auto"/>
              <w:bottom w:val="single" w:sz="4"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w:t>
            </w:r>
            <w:r w:rsidR="005530C8">
              <w:rPr>
                <w:b/>
                <w:sz w:val="18"/>
                <w:lang w:val="fr-FR"/>
              </w:rPr>
              <w:t xml:space="preserve"> </w:t>
            </w:r>
            <w:r w:rsidRPr="00640449">
              <w:rPr>
                <w:b/>
                <w:sz w:val="18"/>
                <w:lang w:val="fr-FR"/>
              </w:rPr>
              <w:t>318</w:t>
            </w:r>
          </w:p>
        </w:tc>
        <w:tc>
          <w:tcPr>
            <w:tcW w:w="1004" w:type="dxa"/>
            <w:tcBorders>
              <w:top w:val="single" w:sz="4" w:space="0" w:color="auto"/>
              <w:bottom w:val="single" w:sz="4"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283" w:right="0"/>
              <w:jc w:val="right"/>
              <w:rPr>
                <w:b/>
                <w:sz w:val="18"/>
                <w:lang w:val="fr-FR"/>
              </w:rPr>
            </w:pPr>
            <w:r w:rsidRPr="00640449">
              <w:rPr>
                <w:b/>
                <w:sz w:val="18"/>
                <w:lang w:val="fr-FR"/>
              </w:rPr>
              <w:t>Total</w:t>
            </w:r>
          </w:p>
        </w:tc>
        <w:tc>
          <w:tcPr>
            <w:tcW w:w="856" w:type="dxa"/>
            <w:tcBorders>
              <w:top w:val="single" w:sz="4" w:space="0" w:color="auto"/>
              <w:bottom w:val="single" w:sz="4"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w:t>
            </w:r>
            <w:r w:rsidR="005530C8">
              <w:rPr>
                <w:b/>
                <w:sz w:val="18"/>
                <w:lang w:val="fr-FR"/>
              </w:rPr>
              <w:t xml:space="preserve"> </w:t>
            </w:r>
            <w:r w:rsidRPr="00640449">
              <w:rPr>
                <w:b/>
                <w:sz w:val="18"/>
                <w:lang w:val="fr-FR"/>
              </w:rPr>
              <w:t>206</w:t>
            </w:r>
          </w:p>
        </w:tc>
      </w:tr>
      <w:tr w:rsidR="000404E8" w:rsidRPr="00D20CB5" w:rsidTr="00D20CB5">
        <w:tc>
          <w:tcPr>
            <w:tcW w:w="1003"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Sexe</w:t>
            </w:r>
          </w:p>
        </w:tc>
        <w:tc>
          <w:tcPr>
            <w:tcW w:w="855"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w:t>
            </w:r>
          </w:p>
        </w:tc>
        <w:tc>
          <w:tcPr>
            <w:tcW w:w="970"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Sexe</w:t>
            </w:r>
          </w:p>
        </w:tc>
        <w:tc>
          <w:tcPr>
            <w:tcW w:w="856"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w:t>
            </w:r>
          </w:p>
        </w:tc>
        <w:tc>
          <w:tcPr>
            <w:tcW w:w="970"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Sexe</w:t>
            </w:r>
          </w:p>
        </w:tc>
        <w:tc>
          <w:tcPr>
            <w:tcW w:w="856"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w:t>
            </w:r>
          </w:p>
        </w:tc>
        <w:tc>
          <w:tcPr>
            <w:tcW w:w="1004"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Sexe</w:t>
            </w:r>
          </w:p>
        </w:tc>
        <w:tc>
          <w:tcPr>
            <w:tcW w:w="856"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w:t>
            </w:r>
          </w:p>
        </w:tc>
      </w:tr>
      <w:tr w:rsidR="00640449" w:rsidRPr="00640449" w:rsidTr="00D20CB5">
        <w:tc>
          <w:tcPr>
            <w:tcW w:w="1003"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féminin</w:t>
            </w:r>
          </w:p>
        </w:tc>
        <w:tc>
          <w:tcPr>
            <w:tcW w:w="855"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737</w:t>
            </w:r>
          </w:p>
        </w:tc>
        <w:tc>
          <w:tcPr>
            <w:tcW w:w="970"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féminin</w:t>
            </w:r>
          </w:p>
        </w:tc>
        <w:tc>
          <w:tcPr>
            <w:tcW w:w="856"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562</w:t>
            </w:r>
          </w:p>
        </w:tc>
        <w:tc>
          <w:tcPr>
            <w:tcW w:w="970"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féminin</w:t>
            </w:r>
          </w:p>
        </w:tc>
        <w:tc>
          <w:tcPr>
            <w:tcW w:w="856"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524</w:t>
            </w:r>
          </w:p>
        </w:tc>
        <w:tc>
          <w:tcPr>
            <w:tcW w:w="1004"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féminin</w:t>
            </w:r>
          </w:p>
        </w:tc>
        <w:tc>
          <w:tcPr>
            <w:tcW w:w="856"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588</w:t>
            </w:r>
          </w:p>
        </w:tc>
      </w:tr>
      <w:tr w:rsidR="00640449" w:rsidRPr="00640449" w:rsidTr="00D20CB5">
        <w:tc>
          <w:tcPr>
            <w:tcW w:w="1003"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masculin</w:t>
            </w:r>
          </w:p>
        </w:tc>
        <w:tc>
          <w:tcPr>
            <w:tcW w:w="855"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r w:rsidR="005530C8">
              <w:rPr>
                <w:sz w:val="18"/>
                <w:lang w:val="fr-FR"/>
              </w:rPr>
              <w:t xml:space="preserve"> </w:t>
            </w:r>
            <w:r w:rsidRPr="00640449">
              <w:rPr>
                <w:sz w:val="18"/>
                <w:lang w:val="fr-FR"/>
              </w:rPr>
              <w:t>710</w:t>
            </w:r>
          </w:p>
        </w:tc>
        <w:tc>
          <w:tcPr>
            <w:tcW w:w="970"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masculin</w:t>
            </w:r>
          </w:p>
        </w:tc>
        <w:tc>
          <w:tcPr>
            <w:tcW w:w="856"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r w:rsidR="005530C8">
              <w:rPr>
                <w:sz w:val="18"/>
                <w:lang w:val="fr-FR"/>
              </w:rPr>
              <w:t xml:space="preserve"> </w:t>
            </w:r>
            <w:r w:rsidRPr="00640449">
              <w:rPr>
                <w:sz w:val="18"/>
                <w:lang w:val="fr-FR"/>
              </w:rPr>
              <w:t>474</w:t>
            </w:r>
          </w:p>
        </w:tc>
        <w:tc>
          <w:tcPr>
            <w:tcW w:w="970"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masculin</w:t>
            </w:r>
          </w:p>
        </w:tc>
        <w:tc>
          <w:tcPr>
            <w:tcW w:w="856"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r w:rsidR="005530C8">
              <w:rPr>
                <w:sz w:val="18"/>
                <w:lang w:val="fr-FR"/>
              </w:rPr>
              <w:t xml:space="preserve"> </w:t>
            </w:r>
            <w:r w:rsidRPr="00640449">
              <w:rPr>
                <w:sz w:val="18"/>
                <w:lang w:val="fr-FR"/>
              </w:rPr>
              <w:t>794</w:t>
            </w:r>
          </w:p>
        </w:tc>
        <w:tc>
          <w:tcPr>
            <w:tcW w:w="1004"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masculin</w:t>
            </w:r>
          </w:p>
        </w:tc>
        <w:tc>
          <w:tcPr>
            <w:tcW w:w="856"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r w:rsidR="005530C8">
              <w:rPr>
                <w:sz w:val="18"/>
                <w:lang w:val="fr-FR"/>
              </w:rPr>
              <w:t xml:space="preserve"> </w:t>
            </w:r>
            <w:r w:rsidRPr="00640449">
              <w:rPr>
                <w:sz w:val="18"/>
                <w:lang w:val="fr-FR"/>
              </w:rPr>
              <w:t>618</w:t>
            </w:r>
          </w:p>
        </w:tc>
      </w:tr>
      <w:tr w:rsidR="00640449" w:rsidRPr="00640449" w:rsidTr="00D20CB5">
        <w:tc>
          <w:tcPr>
            <w:tcW w:w="1003" w:type="dxa"/>
            <w:tcBorders>
              <w:top w:val="single" w:sz="4" w:space="0" w:color="auto"/>
              <w:bottom w:val="single" w:sz="4"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283" w:right="0"/>
              <w:jc w:val="right"/>
              <w:rPr>
                <w:b/>
                <w:sz w:val="18"/>
                <w:lang w:val="fr-FR"/>
              </w:rPr>
            </w:pPr>
            <w:r w:rsidRPr="00640449">
              <w:rPr>
                <w:b/>
                <w:sz w:val="18"/>
                <w:lang w:val="fr-FR"/>
              </w:rPr>
              <w:t>Total</w:t>
            </w:r>
          </w:p>
        </w:tc>
        <w:tc>
          <w:tcPr>
            <w:tcW w:w="855" w:type="dxa"/>
            <w:tcBorders>
              <w:top w:val="single" w:sz="4" w:space="0" w:color="auto"/>
              <w:bottom w:val="single" w:sz="4"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w:t>
            </w:r>
            <w:r w:rsidR="005530C8">
              <w:rPr>
                <w:b/>
                <w:sz w:val="18"/>
                <w:lang w:val="fr-FR"/>
              </w:rPr>
              <w:t xml:space="preserve"> </w:t>
            </w:r>
            <w:r w:rsidRPr="00640449">
              <w:rPr>
                <w:b/>
                <w:sz w:val="18"/>
                <w:lang w:val="fr-FR"/>
              </w:rPr>
              <w:t>447</w:t>
            </w:r>
          </w:p>
        </w:tc>
        <w:tc>
          <w:tcPr>
            <w:tcW w:w="970" w:type="dxa"/>
            <w:tcBorders>
              <w:top w:val="single" w:sz="4" w:space="0" w:color="auto"/>
              <w:bottom w:val="single" w:sz="4"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283" w:right="0"/>
              <w:jc w:val="right"/>
              <w:rPr>
                <w:b/>
                <w:sz w:val="18"/>
                <w:lang w:val="fr-FR"/>
              </w:rPr>
            </w:pPr>
            <w:r w:rsidRPr="00640449">
              <w:rPr>
                <w:b/>
                <w:sz w:val="18"/>
                <w:lang w:val="fr-FR"/>
              </w:rPr>
              <w:t>Total</w:t>
            </w:r>
          </w:p>
        </w:tc>
        <w:tc>
          <w:tcPr>
            <w:tcW w:w="856" w:type="dxa"/>
            <w:tcBorders>
              <w:top w:val="single" w:sz="4" w:space="0" w:color="auto"/>
              <w:bottom w:val="single" w:sz="4"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w:t>
            </w:r>
            <w:r w:rsidR="005530C8">
              <w:rPr>
                <w:b/>
                <w:sz w:val="18"/>
                <w:lang w:val="fr-FR"/>
              </w:rPr>
              <w:t xml:space="preserve"> </w:t>
            </w:r>
            <w:r w:rsidRPr="00640449">
              <w:rPr>
                <w:b/>
                <w:sz w:val="18"/>
                <w:lang w:val="fr-FR"/>
              </w:rPr>
              <w:t>036</w:t>
            </w:r>
          </w:p>
        </w:tc>
        <w:tc>
          <w:tcPr>
            <w:tcW w:w="970" w:type="dxa"/>
            <w:tcBorders>
              <w:top w:val="single" w:sz="4" w:space="0" w:color="auto"/>
              <w:bottom w:val="single" w:sz="4"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283" w:right="0"/>
              <w:jc w:val="right"/>
              <w:rPr>
                <w:b/>
                <w:sz w:val="18"/>
                <w:lang w:val="fr-FR"/>
              </w:rPr>
            </w:pPr>
            <w:r w:rsidRPr="00640449">
              <w:rPr>
                <w:b/>
                <w:sz w:val="18"/>
                <w:lang w:val="fr-FR"/>
              </w:rPr>
              <w:t>Total</w:t>
            </w:r>
          </w:p>
        </w:tc>
        <w:tc>
          <w:tcPr>
            <w:tcW w:w="856" w:type="dxa"/>
            <w:tcBorders>
              <w:top w:val="single" w:sz="4" w:space="0" w:color="auto"/>
              <w:bottom w:val="single" w:sz="4"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w:t>
            </w:r>
            <w:r w:rsidR="005530C8">
              <w:rPr>
                <w:b/>
                <w:sz w:val="18"/>
                <w:lang w:val="fr-FR"/>
              </w:rPr>
              <w:t xml:space="preserve"> </w:t>
            </w:r>
            <w:r w:rsidRPr="00640449">
              <w:rPr>
                <w:b/>
                <w:sz w:val="18"/>
                <w:lang w:val="fr-FR"/>
              </w:rPr>
              <w:t>318</w:t>
            </w:r>
          </w:p>
        </w:tc>
        <w:tc>
          <w:tcPr>
            <w:tcW w:w="1004" w:type="dxa"/>
            <w:tcBorders>
              <w:top w:val="single" w:sz="4" w:space="0" w:color="auto"/>
              <w:bottom w:val="single" w:sz="4"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283" w:right="0"/>
              <w:jc w:val="right"/>
              <w:rPr>
                <w:b/>
                <w:sz w:val="18"/>
                <w:lang w:val="fr-FR"/>
              </w:rPr>
            </w:pPr>
            <w:r w:rsidRPr="00640449">
              <w:rPr>
                <w:b/>
                <w:sz w:val="18"/>
                <w:lang w:val="fr-FR"/>
              </w:rPr>
              <w:t>Total</w:t>
            </w:r>
          </w:p>
        </w:tc>
        <w:tc>
          <w:tcPr>
            <w:tcW w:w="856" w:type="dxa"/>
            <w:tcBorders>
              <w:top w:val="single" w:sz="4" w:space="0" w:color="auto"/>
              <w:bottom w:val="single" w:sz="4"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w:t>
            </w:r>
            <w:r w:rsidR="005530C8">
              <w:rPr>
                <w:b/>
                <w:sz w:val="18"/>
                <w:lang w:val="fr-FR"/>
              </w:rPr>
              <w:t xml:space="preserve"> </w:t>
            </w:r>
            <w:r w:rsidRPr="00640449">
              <w:rPr>
                <w:b/>
                <w:sz w:val="18"/>
                <w:lang w:val="fr-FR"/>
              </w:rPr>
              <w:t>206</w:t>
            </w:r>
          </w:p>
        </w:tc>
      </w:tr>
      <w:tr w:rsidR="000404E8" w:rsidRPr="00D20CB5" w:rsidTr="00D20CB5">
        <w:tc>
          <w:tcPr>
            <w:tcW w:w="1003"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 xml:space="preserve">Tranche </w:t>
            </w:r>
            <w:r w:rsidR="006A7E5D">
              <w:rPr>
                <w:i/>
                <w:spacing w:val="4"/>
                <w:w w:val="103"/>
                <w:kern w:val="14"/>
                <w:sz w:val="16"/>
                <w:lang w:val="fr-FR"/>
              </w:rPr>
              <w:br/>
            </w:r>
            <w:r w:rsidRPr="00D20CB5">
              <w:rPr>
                <w:i/>
                <w:spacing w:val="4"/>
                <w:w w:val="103"/>
                <w:kern w:val="14"/>
                <w:sz w:val="16"/>
                <w:lang w:val="fr-FR"/>
              </w:rPr>
              <w:t>d'âge</w:t>
            </w:r>
          </w:p>
        </w:tc>
        <w:tc>
          <w:tcPr>
            <w:tcW w:w="855"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w:t>
            </w:r>
          </w:p>
        </w:tc>
        <w:tc>
          <w:tcPr>
            <w:tcW w:w="970"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Tranche d'âge</w:t>
            </w:r>
          </w:p>
        </w:tc>
        <w:tc>
          <w:tcPr>
            <w:tcW w:w="856"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w:t>
            </w:r>
          </w:p>
        </w:tc>
        <w:tc>
          <w:tcPr>
            <w:tcW w:w="970"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Tranche d'âge</w:t>
            </w:r>
          </w:p>
        </w:tc>
        <w:tc>
          <w:tcPr>
            <w:tcW w:w="856"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w:t>
            </w:r>
          </w:p>
        </w:tc>
        <w:tc>
          <w:tcPr>
            <w:tcW w:w="1004"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 xml:space="preserve">Tranche </w:t>
            </w:r>
            <w:r w:rsidR="006A7E5D">
              <w:rPr>
                <w:i/>
                <w:spacing w:val="4"/>
                <w:w w:val="103"/>
                <w:kern w:val="14"/>
                <w:sz w:val="16"/>
                <w:lang w:val="fr-FR"/>
              </w:rPr>
              <w:br/>
            </w:r>
            <w:r w:rsidRPr="00D20CB5">
              <w:rPr>
                <w:i/>
                <w:spacing w:val="4"/>
                <w:w w:val="103"/>
                <w:kern w:val="14"/>
                <w:sz w:val="16"/>
                <w:lang w:val="fr-FR"/>
              </w:rPr>
              <w:t>d'âge</w:t>
            </w:r>
          </w:p>
        </w:tc>
        <w:tc>
          <w:tcPr>
            <w:tcW w:w="856"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w:t>
            </w:r>
          </w:p>
        </w:tc>
      </w:tr>
      <w:tr w:rsidR="00640449" w:rsidRPr="00640449" w:rsidTr="00D20CB5">
        <w:tc>
          <w:tcPr>
            <w:tcW w:w="1003"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0-5</w:t>
            </w:r>
          </w:p>
        </w:tc>
        <w:tc>
          <w:tcPr>
            <w:tcW w:w="855"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239</w:t>
            </w:r>
          </w:p>
        </w:tc>
        <w:tc>
          <w:tcPr>
            <w:tcW w:w="970"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56"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193</w:t>
            </w:r>
          </w:p>
        </w:tc>
        <w:tc>
          <w:tcPr>
            <w:tcW w:w="970"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56"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193</w:t>
            </w:r>
          </w:p>
        </w:tc>
        <w:tc>
          <w:tcPr>
            <w:tcW w:w="1004"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56"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191</w:t>
            </w:r>
          </w:p>
        </w:tc>
      </w:tr>
      <w:tr w:rsidR="00640449" w:rsidRPr="00640449" w:rsidTr="00D20CB5">
        <w:tc>
          <w:tcPr>
            <w:tcW w:w="1003"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6-11</w:t>
            </w:r>
          </w:p>
        </w:tc>
        <w:tc>
          <w:tcPr>
            <w:tcW w:w="85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230</w:t>
            </w:r>
          </w:p>
        </w:tc>
        <w:tc>
          <w:tcPr>
            <w:tcW w:w="970"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56"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147</w:t>
            </w:r>
          </w:p>
        </w:tc>
        <w:tc>
          <w:tcPr>
            <w:tcW w:w="970"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56"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178</w:t>
            </w:r>
          </w:p>
        </w:tc>
        <w:tc>
          <w:tcPr>
            <w:tcW w:w="1004"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56"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135</w:t>
            </w:r>
          </w:p>
        </w:tc>
      </w:tr>
      <w:tr w:rsidR="00640449" w:rsidRPr="00640449" w:rsidTr="00D20CB5">
        <w:tc>
          <w:tcPr>
            <w:tcW w:w="1003"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12-17</w:t>
            </w:r>
          </w:p>
        </w:tc>
        <w:tc>
          <w:tcPr>
            <w:tcW w:w="85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255</w:t>
            </w:r>
          </w:p>
        </w:tc>
        <w:tc>
          <w:tcPr>
            <w:tcW w:w="970"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56"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160</w:t>
            </w:r>
          </w:p>
        </w:tc>
        <w:tc>
          <w:tcPr>
            <w:tcW w:w="970"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56"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145</w:t>
            </w:r>
          </w:p>
        </w:tc>
        <w:tc>
          <w:tcPr>
            <w:tcW w:w="1004"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56"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156</w:t>
            </w:r>
          </w:p>
        </w:tc>
      </w:tr>
      <w:tr w:rsidR="00640449" w:rsidRPr="00640449" w:rsidTr="00D20CB5">
        <w:tc>
          <w:tcPr>
            <w:tcW w:w="1003"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18-24</w:t>
            </w:r>
          </w:p>
        </w:tc>
        <w:tc>
          <w:tcPr>
            <w:tcW w:w="85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432</w:t>
            </w:r>
          </w:p>
        </w:tc>
        <w:tc>
          <w:tcPr>
            <w:tcW w:w="970"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56"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436</w:t>
            </w:r>
          </w:p>
        </w:tc>
        <w:tc>
          <w:tcPr>
            <w:tcW w:w="970"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56"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592</w:t>
            </w:r>
          </w:p>
        </w:tc>
        <w:tc>
          <w:tcPr>
            <w:tcW w:w="1004"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56"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502</w:t>
            </w:r>
          </w:p>
        </w:tc>
      </w:tr>
      <w:tr w:rsidR="00640449" w:rsidRPr="00640449" w:rsidTr="00D20CB5">
        <w:tc>
          <w:tcPr>
            <w:tcW w:w="1003"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25-64</w:t>
            </w:r>
          </w:p>
        </w:tc>
        <w:tc>
          <w:tcPr>
            <w:tcW w:w="85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r w:rsidR="007903BB">
              <w:rPr>
                <w:sz w:val="18"/>
                <w:lang w:val="fr-FR"/>
              </w:rPr>
              <w:t xml:space="preserve"> </w:t>
            </w:r>
            <w:r w:rsidRPr="00640449">
              <w:rPr>
                <w:sz w:val="18"/>
                <w:lang w:val="fr-FR"/>
              </w:rPr>
              <w:t>285</w:t>
            </w:r>
          </w:p>
        </w:tc>
        <w:tc>
          <w:tcPr>
            <w:tcW w:w="970"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56"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r w:rsidR="007903BB">
              <w:rPr>
                <w:sz w:val="18"/>
                <w:lang w:val="fr-FR"/>
              </w:rPr>
              <w:t xml:space="preserve"> </w:t>
            </w:r>
            <w:r w:rsidRPr="00640449">
              <w:rPr>
                <w:sz w:val="18"/>
                <w:lang w:val="fr-FR"/>
              </w:rPr>
              <w:t>097</w:t>
            </w:r>
          </w:p>
        </w:tc>
        <w:tc>
          <w:tcPr>
            <w:tcW w:w="970"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56"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r w:rsidR="007903BB">
              <w:rPr>
                <w:sz w:val="18"/>
                <w:lang w:val="fr-FR"/>
              </w:rPr>
              <w:t xml:space="preserve"> </w:t>
            </w:r>
            <w:r w:rsidRPr="00640449">
              <w:rPr>
                <w:sz w:val="18"/>
                <w:lang w:val="fr-FR"/>
              </w:rPr>
              <w:t>200</w:t>
            </w:r>
          </w:p>
        </w:tc>
        <w:tc>
          <w:tcPr>
            <w:tcW w:w="1004"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56"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r w:rsidR="007903BB">
              <w:rPr>
                <w:sz w:val="18"/>
                <w:lang w:val="fr-FR"/>
              </w:rPr>
              <w:t xml:space="preserve"> </w:t>
            </w:r>
            <w:r w:rsidRPr="00640449">
              <w:rPr>
                <w:sz w:val="18"/>
                <w:lang w:val="fr-FR"/>
              </w:rPr>
              <w:t>208</w:t>
            </w:r>
          </w:p>
        </w:tc>
      </w:tr>
      <w:tr w:rsidR="00640449" w:rsidRPr="00640449" w:rsidTr="00D20CB5">
        <w:tc>
          <w:tcPr>
            <w:tcW w:w="1003"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65+</w:t>
            </w:r>
          </w:p>
        </w:tc>
        <w:tc>
          <w:tcPr>
            <w:tcW w:w="855"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6</w:t>
            </w:r>
          </w:p>
        </w:tc>
        <w:tc>
          <w:tcPr>
            <w:tcW w:w="970"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56"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w:t>
            </w:r>
          </w:p>
        </w:tc>
        <w:tc>
          <w:tcPr>
            <w:tcW w:w="970"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56"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10</w:t>
            </w:r>
          </w:p>
        </w:tc>
        <w:tc>
          <w:tcPr>
            <w:tcW w:w="1004"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56"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14</w:t>
            </w:r>
          </w:p>
        </w:tc>
      </w:tr>
      <w:tr w:rsidR="00640449" w:rsidRPr="00640449" w:rsidTr="00D20CB5">
        <w:tc>
          <w:tcPr>
            <w:tcW w:w="1003"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283" w:right="0"/>
              <w:jc w:val="right"/>
              <w:rPr>
                <w:b/>
                <w:sz w:val="18"/>
                <w:lang w:val="fr-FR"/>
              </w:rPr>
            </w:pPr>
            <w:r w:rsidRPr="00640449">
              <w:rPr>
                <w:b/>
                <w:sz w:val="18"/>
                <w:lang w:val="fr-FR"/>
              </w:rPr>
              <w:lastRenderedPageBreak/>
              <w:t>Total</w:t>
            </w:r>
          </w:p>
        </w:tc>
        <w:tc>
          <w:tcPr>
            <w:tcW w:w="855"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w:t>
            </w:r>
            <w:r w:rsidR="005530C8">
              <w:rPr>
                <w:b/>
                <w:sz w:val="18"/>
                <w:lang w:val="fr-FR"/>
              </w:rPr>
              <w:t xml:space="preserve"> </w:t>
            </w:r>
            <w:r w:rsidRPr="00640449">
              <w:rPr>
                <w:b/>
                <w:sz w:val="18"/>
                <w:lang w:val="fr-FR"/>
              </w:rPr>
              <w:t>447</w:t>
            </w:r>
          </w:p>
        </w:tc>
        <w:tc>
          <w:tcPr>
            <w:tcW w:w="970"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Total</w:t>
            </w:r>
          </w:p>
        </w:tc>
        <w:tc>
          <w:tcPr>
            <w:tcW w:w="856"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w:t>
            </w:r>
            <w:r w:rsidR="005530C8">
              <w:rPr>
                <w:b/>
                <w:sz w:val="18"/>
                <w:lang w:val="fr-FR"/>
              </w:rPr>
              <w:t xml:space="preserve"> </w:t>
            </w:r>
            <w:r w:rsidRPr="00640449">
              <w:rPr>
                <w:b/>
                <w:sz w:val="18"/>
                <w:lang w:val="fr-FR"/>
              </w:rPr>
              <w:t>036</w:t>
            </w:r>
          </w:p>
        </w:tc>
        <w:tc>
          <w:tcPr>
            <w:tcW w:w="970"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Total</w:t>
            </w:r>
          </w:p>
        </w:tc>
        <w:tc>
          <w:tcPr>
            <w:tcW w:w="856"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w:t>
            </w:r>
            <w:r w:rsidR="005530C8">
              <w:rPr>
                <w:b/>
                <w:sz w:val="18"/>
                <w:lang w:val="fr-FR"/>
              </w:rPr>
              <w:t xml:space="preserve"> </w:t>
            </w:r>
            <w:r w:rsidRPr="00640449">
              <w:rPr>
                <w:b/>
                <w:sz w:val="18"/>
                <w:lang w:val="fr-FR"/>
              </w:rPr>
              <w:t>318</w:t>
            </w:r>
          </w:p>
        </w:tc>
        <w:tc>
          <w:tcPr>
            <w:tcW w:w="1004"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Total</w:t>
            </w:r>
          </w:p>
        </w:tc>
        <w:tc>
          <w:tcPr>
            <w:tcW w:w="856"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w:t>
            </w:r>
            <w:r w:rsidR="005530C8">
              <w:rPr>
                <w:b/>
                <w:sz w:val="18"/>
                <w:lang w:val="fr-FR"/>
              </w:rPr>
              <w:t xml:space="preserve"> </w:t>
            </w:r>
            <w:r w:rsidRPr="00640449">
              <w:rPr>
                <w:b/>
                <w:sz w:val="18"/>
                <w:lang w:val="fr-FR"/>
              </w:rPr>
              <w:t>206</w:t>
            </w:r>
          </w:p>
        </w:tc>
      </w:tr>
    </w:tbl>
    <w:p w:rsidR="00A76014" w:rsidRPr="00640449" w:rsidRDefault="00B3624A" w:rsidP="00A76014">
      <w:pPr>
        <w:pStyle w:val="H1G"/>
        <w:rPr>
          <w:lang w:val="fr-FR"/>
        </w:rPr>
      </w:pPr>
      <w:r w:rsidRPr="00640449">
        <w:tab/>
      </w:r>
      <w:r w:rsidR="00CF6D6A" w:rsidRPr="00640449">
        <w:t>K</w:t>
      </w:r>
      <w:r w:rsidR="00A76014" w:rsidRPr="00640449">
        <w:t>.</w:t>
      </w:r>
      <w:r w:rsidR="00A76014" w:rsidRPr="00640449">
        <w:tab/>
      </w:r>
      <w:r w:rsidR="00A76014" w:rsidRPr="00640449">
        <w:rPr>
          <w:lang w:val="fr-FR"/>
        </w:rPr>
        <w:t xml:space="preserve">Réponse à </w:t>
      </w:r>
      <w:r w:rsidR="00A76014" w:rsidRPr="00640449">
        <w:t>la</w:t>
      </w:r>
      <w:r w:rsidR="00A76014" w:rsidRPr="00640449">
        <w:rPr>
          <w:lang w:val="fr-FR"/>
        </w:rPr>
        <w:t xml:space="preserve"> question posée au paragraphe 5 (b)</w:t>
      </w:r>
    </w:p>
    <w:tbl>
      <w:tblPr>
        <w:tblW w:w="7371" w:type="dxa"/>
        <w:tblInd w:w="1134" w:type="dxa"/>
        <w:tblLayout w:type="fixed"/>
        <w:tblCellMar>
          <w:left w:w="0" w:type="dxa"/>
          <w:right w:w="0" w:type="dxa"/>
        </w:tblCellMar>
        <w:tblLook w:val="04A0" w:firstRow="1" w:lastRow="0" w:firstColumn="1" w:lastColumn="0" w:noHBand="0" w:noVBand="1"/>
      </w:tblPr>
      <w:tblGrid>
        <w:gridCol w:w="955"/>
        <w:gridCol w:w="678"/>
        <w:gridCol w:w="669"/>
        <w:gridCol w:w="731"/>
        <w:gridCol w:w="688"/>
        <w:gridCol w:w="1040"/>
        <w:gridCol w:w="16"/>
        <w:gridCol w:w="682"/>
        <w:gridCol w:w="683"/>
        <w:gridCol w:w="683"/>
        <w:gridCol w:w="546"/>
      </w:tblGrid>
      <w:tr w:rsidR="00616E6E" w:rsidRPr="00D20CB5" w:rsidTr="00D20CB5">
        <w:trPr>
          <w:tblHeader/>
        </w:trPr>
        <w:tc>
          <w:tcPr>
            <w:tcW w:w="7655" w:type="dxa"/>
            <w:gridSpan w:val="11"/>
            <w:tcBorders>
              <w:top w:val="single" w:sz="4" w:space="0" w:color="auto"/>
              <w:bottom w:val="single" w:sz="4" w:space="0" w:color="auto"/>
            </w:tcBorders>
            <w:shd w:val="clear" w:color="auto" w:fill="auto"/>
            <w:noWrap/>
            <w:vAlign w:val="bottom"/>
            <w:hideMark/>
          </w:tcPr>
          <w:p w:rsidR="00674E9C" w:rsidRPr="00D20CB5" w:rsidRDefault="00674E9C" w:rsidP="00D20CB5">
            <w:pPr>
              <w:pStyle w:val="SingleTxtG"/>
              <w:suppressAutoHyphens w:val="0"/>
              <w:spacing w:before="80" w:after="80" w:line="200" w:lineRule="exact"/>
              <w:ind w:left="0" w:right="0"/>
              <w:jc w:val="center"/>
              <w:rPr>
                <w:i/>
                <w:spacing w:val="4"/>
                <w:w w:val="103"/>
                <w:kern w:val="14"/>
                <w:sz w:val="16"/>
                <w:lang w:val="fr-FR"/>
              </w:rPr>
            </w:pPr>
            <w:r w:rsidRPr="00D20CB5">
              <w:rPr>
                <w:i/>
                <w:spacing w:val="4"/>
                <w:w w:val="103"/>
                <w:kern w:val="14"/>
                <w:sz w:val="16"/>
                <w:lang w:val="fr-FR"/>
              </w:rPr>
              <w:t>Décisions en matière de protection internationale</w:t>
            </w:r>
          </w:p>
        </w:tc>
      </w:tr>
      <w:tr w:rsidR="00616E6E" w:rsidRPr="00D20CB5" w:rsidTr="00D20CB5">
        <w:trPr>
          <w:tblHeader/>
        </w:trPr>
        <w:tc>
          <w:tcPr>
            <w:tcW w:w="3866" w:type="dxa"/>
            <w:gridSpan w:val="5"/>
            <w:tcBorders>
              <w:top w:val="single" w:sz="4" w:space="0" w:color="auto"/>
              <w:bottom w:val="single" w:sz="4"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center"/>
              <w:rPr>
                <w:i/>
                <w:spacing w:val="4"/>
                <w:w w:val="103"/>
                <w:kern w:val="14"/>
                <w:sz w:val="16"/>
                <w:lang w:val="fr-FR"/>
              </w:rPr>
            </w:pPr>
            <w:r w:rsidRPr="00D20CB5">
              <w:rPr>
                <w:i/>
                <w:spacing w:val="4"/>
                <w:w w:val="103"/>
                <w:kern w:val="14"/>
                <w:sz w:val="16"/>
                <w:lang w:val="fr-FR"/>
              </w:rPr>
              <w:t>2015</w:t>
            </w:r>
          </w:p>
        </w:tc>
        <w:tc>
          <w:tcPr>
            <w:tcW w:w="3789" w:type="dxa"/>
            <w:gridSpan w:val="6"/>
            <w:tcBorders>
              <w:top w:val="single" w:sz="4" w:space="0" w:color="auto"/>
              <w:bottom w:val="single" w:sz="4"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center"/>
              <w:rPr>
                <w:i/>
                <w:spacing w:val="4"/>
                <w:w w:val="103"/>
                <w:kern w:val="14"/>
                <w:sz w:val="16"/>
                <w:lang w:val="fr-FR"/>
              </w:rPr>
            </w:pPr>
            <w:r w:rsidRPr="00D20CB5">
              <w:rPr>
                <w:i/>
                <w:spacing w:val="4"/>
                <w:w w:val="103"/>
                <w:kern w:val="14"/>
                <w:sz w:val="16"/>
                <w:lang w:val="fr-FR"/>
              </w:rPr>
              <w:t>2016</w:t>
            </w:r>
          </w:p>
        </w:tc>
      </w:tr>
      <w:tr w:rsidR="00616E6E" w:rsidRPr="00D20CB5" w:rsidTr="00D20CB5">
        <w:trPr>
          <w:tblHeader/>
        </w:trPr>
        <w:tc>
          <w:tcPr>
            <w:tcW w:w="993"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Nationalité</w:t>
            </w:r>
          </w:p>
        </w:tc>
        <w:tc>
          <w:tcPr>
            <w:tcW w:w="705"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PO1</w:t>
            </w:r>
          </w:p>
        </w:tc>
        <w:tc>
          <w:tcPr>
            <w:tcW w:w="695"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PO2</w:t>
            </w:r>
          </w:p>
        </w:tc>
        <w:tc>
          <w:tcPr>
            <w:tcW w:w="759"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négative</w:t>
            </w:r>
          </w:p>
        </w:tc>
        <w:tc>
          <w:tcPr>
            <w:tcW w:w="714"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b/>
                <w:i/>
                <w:spacing w:val="4"/>
                <w:w w:val="103"/>
                <w:kern w:val="14"/>
                <w:sz w:val="16"/>
                <w:lang w:val="fr-FR"/>
              </w:rPr>
            </w:pPr>
            <w:r w:rsidRPr="00D20CB5">
              <w:rPr>
                <w:b/>
                <w:i/>
                <w:spacing w:val="4"/>
                <w:w w:val="103"/>
                <w:kern w:val="14"/>
                <w:sz w:val="16"/>
                <w:lang w:val="fr-FR"/>
              </w:rPr>
              <w:t>Total</w:t>
            </w:r>
          </w:p>
        </w:tc>
        <w:tc>
          <w:tcPr>
            <w:tcW w:w="1096" w:type="dxa"/>
            <w:gridSpan w:val="2"/>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Nationalité</w:t>
            </w:r>
          </w:p>
        </w:tc>
        <w:tc>
          <w:tcPr>
            <w:tcW w:w="708"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PO1</w:t>
            </w:r>
          </w:p>
        </w:tc>
        <w:tc>
          <w:tcPr>
            <w:tcW w:w="709"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PO2</w:t>
            </w:r>
          </w:p>
        </w:tc>
        <w:tc>
          <w:tcPr>
            <w:tcW w:w="709"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négative</w:t>
            </w:r>
          </w:p>
        </w:tc>
        <w:tc>
          <w:tcPr>
            <w:tcW w:w="567"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b/>
                <w:i/>
                <w:spacing w:val="4"/>
                <w:w w:val="103"/>
                <w:kern w:val="14"/>
                <w:sz w:val="16"/>
                <w:lang w:val="fr-FR"/>
              </w:rPr>
            </w:pPr>
            <w:r w:rsidRPr="00D20CB5">
              <w:rPr>
                <w:b/>
                <w:i/>
                <w:spacing w:val="4"/>
                <w:w w:val="103"/>
                <w:kern w:val="14"/>
                <w:sz w:val="16"/>
                <w:lang w:val="fr-FR"/>
              </w:rPr>
              <w:t>Total</w:t>
            </w:r>
          </w:p>
        </w:tc>
      </w:tr>
      <w:tr w:rsidR="00640449" w:rsidRPr="00640449" w:rsidTr="00D20CB5">
        <w:tc>
          <w:tcPr>
            <w:tcW w:w="993" w:type="dxa"/>
            <w:tcBorders>
              <w:top w:val="nil"/>
              <w:bottom w:val="nil"/>
            </w:tcBorders>
            <w:shd w:val="clear" w:color="auto" w:fill="auto"/>
            <w:noWrap/>
            <w:hideMark/>
          </w:tcPr>
          <w:p w:rsidR="00674E9C" w:rsidRPr="00640449" w:rsidRDefault="00210C34" w:rsidP="00D20CB5">
            <w:pPr>
              <w:pStyle w:val="SingleTxtG"/>
              <w:suppressAutoHyphens w:val="0"/>
              <w:spacing w:before="40" w:after="40" w:line="220" w:lineRule="exact"/>
              <w:ind w:left="0" w:right="0"/>
              <w:jc w:val="right"/>
              <w:rPr>
                <w:sz w:val="18"/>
                <w:lang w:val="fr-FR"/>
              </w:rPr>
            </w:pPr>
            <w:r w:rsidRPr="00640449">
              <w:rPr>
                <w:sz w:val="18"/>
                <w:lang w:val="fr-FR"/>
              </w:rPr>
              <w:t>Syrienne</w:t>
            </w:r>
          </w:p>
        </w:tc>
        <w:tc>
          <w:tcPr>
            <w:tcW w:w="705"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81</w:t>
            </w:r>
          </w:p>
        </w:tc>
        <w:tc>
          <w:tcPr>
            <w:tcW w:w="695"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75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20</w:t>
            </w:r>
          </w:p>
        </w:tc>
        <w:tc>
          <w:tcPr>
            <w:tcW w:w="714" w:type="dxa"/>
            <w:tcBorders>
              <w:top w:val="nil"/>
              <w:bottom w:val="nil"/>
            </w:tcBorders>
            <w:shd w:val="clear" w:color="auto" w:fill="auto"/>
            <w:noWrap/>
            <w:vAlign w:val="bottom"/>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101</w:t>
            </w:r>
          </w:p>
        </w:tc>
        <w:tc>
          <w:tcPr>
            <w:tcW w:w="1080" w:type="dxa"/>
            <w:tcBorders>
              <w:top w:val="nil"/>
              <w:bottom w:val="nil"/>
            </w:tcBorders>
            <w:shd w:val="clear" w:color="auto" w:fill="auto"/>
            <w:noWrap/>
            <w:hideMark/>
          </w:tcPr>
          <w:p w:rsidR="00674E9C" w:rsidRPr="00640449" w:rsidRDefault="00210C34" w:rsidP="00D20CB5">
            <w:pPr>
              <w:pStyle w:val="SingleTxtG"/>
              <w:suppressAutoHyphens w:val="0"/>
              <w:spacing w:before="40" w:after="40" w:line="220" w:lineRule="exact"/>
              <w:ind w:left="0" w:right="0"/>
              <w:jc w:val="right"/>
              <w:rPr>
                <w:sz w:val="18"/>
                <w:lang w:val="fr-FR"/>
              </w:rPr>
            </w:pPr>
            <w:r w:rsidRPr="00640449">
              <w:rPr>
                <w:sz w:val="18"/>
                <w:lang w:val="fr-FR"/>
              </w:rPr>
              <w:t>Syrienne</w:t>
            </w:r>
          </w:p>
        </w:tc>
        <w:tc>
          <w:tcPr>
            <w:tcW w:w="724" w:type="dxa"/>
            <w:gridSpan w:val="2"/>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541</w:t>
            </w:r>
          </w:p>
        </w:tc>
        <w:tc>
          <w:tcPr>
            <w:tcW w:w="70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70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61</w:t>
            </w:r>
          </w:p>
        </w:tc>
        <w:tc>
          <w:tcPr>
            <w:tcW w:w="567" w:type="dxa"/>
            <w:tcBorders>
              <w:top w:val="nil"/>
              <w:bottom w:val="nil"/>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602</w:t>
            </w:r>
          </w:p>
        </w:tc>
      </w:tr>
      <w:tr w:rsidR="00640449" w:rsidRPr="00640449" w:rsidTr="00D20CB5">
        <w:tc>
          <w:tcPr>
            <w:tcW w:w="993" w:type="dxa"/>
            <w:tcBorders>
              <w:top w:val="nil"/>
              <w:bottom w:val="nil"/>
            </w:tcBorders>
            <w:shd w:val="clear" w:color="auto" w:fill="auto"/>
            <w:noWrap/>
            <w:hideMark/>
          </w:tcPr>
          <w:p w:rsidR="00674E9C" w:rsidRPr="00640449" w:rsidRDefault="00210C34" w:rsidP="00D20CB5">
            <w:pPr>
              <w:pStyle w:val="SingleTxtG"/>
              <w:suppressAutoHyphens w:val="0"/>
              <w:spacing w:before="40" w:after="40" w:line="220" w:lineRule="exact"/>
              <w:ind w:left="0" w:right="0"/>
              <w:jc w:val="right"/>
              <w:rPr>
                <w:sz w:val="18"/>
                <w:lang w:val="fr-FR"/>
              </w:rPr>
            </w:pPr>
            <w:r w:rsidRPr="00640449">
              <w:rPr>
                <w:sz w:val="18"/>
                <w:lang w:val="fr-FR"/>
              </w:rPr>
              <w:t>Erythréenne</w:t>
            </w:r>
          </w:p>
        </w:tc>
        <w:tc>
          <w:tcPr>
            <w:tcW w:w="705"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27</w:t>
            </w:r>
          </w:p>
        </w:tc>
        <w:tc>
          <w:tcPr>
            <w:tcW w:w="695"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p>
        </w:tc>
        <w:tc>
          <w:tcPr>
            <w:tcW w:w="75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13</w:t>
            </w:r>
          </w:p>
        </w:tc>
        <w:tc>
          <w:tcPr>
            <w:tcW w:w="714" w:type="dxa"/>
            <w:tcBorders>
              <w:top w:val="nil"/>
              <w:bottom w:val="nil"/>
            </w:tcBorders>
            <w:shd w:val="clear" w:color="auto" w:fill="auto"/>
            <w:noWrap/>
            <w:vAlign w:val="bottom"/>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41</w:t>
            </w:r>
          </w:p>
        </w:tc>
        <w:tc>
          <w:tcPr>
            <w:tcW w:w="1080" w:type="dxa"/>
            <w:tcBorders>
              <w:top w:val="nil"/>
              <w:bottom w:val="nil"/>
            </w:tcBorders>
            <w:shd w:val="clear" w:color="auto" w:fill="auto"/>
            <w:noWrap/>
            <w:hideMark/>
          </w:tcPr>
          <w:p w:rsidR="00674E9C" w:rsidRPr="00640449" w:rsidRDefault="00210C34" w:rsidP="00D20CB5">
            <w:pPr>
              <w:pStyle w:val="SingleTxtG"/>
              <w:suppressAutoHyphens w:val="0"/>
              <w:spacing w:before="40" w:after="40" w:line="220" w:lineRule="exact"/>
              <w:ind w:left="0" w:right="0"/>
              <w:jc w:val="right"/>
              <w:rPr>
                <w:sz w:val="18"/>
                <w:lang w:val="fr-FR"/>
              </w:rPr>
            </w:pPr>
            <w:r w:rsidRPr="00640449">
              <w:rPr>
                <w:sz w:val="18"/>
                <w:lang w:val="fr-FR"/>
              </w:rPr>
              <w:t>Iraquienne</w:t>
            </w:r>
          </w:p>
        </w:tc>
        <w:tc>
          <w:tcPr>
            <w:tcW w:w="724" w:type="dxa"/>
            <w:gridSpan w:val="2"/>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95</w:t>
            </w:r>
          </w:p>
        </w:tc>
        <w:tc>
          <w:tcPr>
            <w:tcW w:w="70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8</w:t>
            </w:r>
          </w:p>
        </w:tc>
        <w:tc>
          <w:tcPr>
            <w:tcW w:w="70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94</w:t>
            </w:r>
          </w:p>
        </w:tc>
        <w:tc>
          <w:tcPr>
            <w:tcW w:w="567" w:type="dxa"/>
            <w:tcBorders>
              <w:top w:val="nil"/>
              <w:bottom w:val="nil"/>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197</w:t>
            </w:r>
          </w:p>
        </w:tc>
      </w:tr>
      <w:tr w:rsidR="00640449" w:rsidRPr="00640449" w:rsidTr="00D20CB5">
        <w:tc>
          <w:tcPr>
            <w:tcW w:w="993" w:type="dxa"/>
            <w:tcBorders>
              <w:top w:val="nil"/>
              <w:bottom w:val="nil"/>
            </w:tcBorders>
            <w:shd w:val="clear" w:color="auto" w:fill="auto"/>
            <w:noWrap/>
            <w:hideMark/>
          </w:tcPr>
          <w:p w:rsidR="00674E9C" w:rsidRPr="00640449" w:rsidRDefault="00210C34" w:rsidP="00D20CB5">
            <w:pPr>
              <w:pStyle w:val="SingleTxtG"/>
              <w:suppressAutoHyphens w:val="0"/>
              <w:spacing w:before="40" w:after="40" w:line="220" w:lineRule="exact"/>
              <w:ind w:left="0" w:right="0"/>
              <w:jc w:val="right"/>
              <w:rPr>
                <w:sz w:val="18"/>
                <w:lang w:val="fr-FR"/>
              </w:rPr>
            </w:pPr>
            <w:r w:rsidRPr="00640449">
              <w:rPr>
                <w:sz w:val="18"/>
                <w:lang w:val="fr-FR"/>
              </w:rPr>
              <w:t>Iraquienne</w:t>
            </w:r>
          </w:p>
        </w:tc>
        <w:tc>
          <w:tcPr>
            <w:tcW w:w="705"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14</w:t>
            </w:r>
          </w:p>
        </w:tc>
        <w:tc>
          <w:tcPr>
            <w:tcW w:w="695"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7</w:t>
            </w:r>
          </w:p>
        </w:tc>
        <w:tc>
          <w:tcPr>
            <w:tcW w:w="75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26</w:t>
            </w:r>
          </w:p>
        </w:tc>
        <w:tc>
          <w:tcPr>
            <w:tcW w:w="714" w:type="dxa"/>
            <w:tcBorders>
              <w:top w:val="nil"/>
              <w:bottom w:val="nil"/>
            </w:tcBorders>
            <w:shd w:val="clear" w:color="auto" w:fill="auto"/>
            <w:noWrap/>
            <w:vAlign w:val="bottom"/>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47</w:t>
            </w:r>
          </w:p>
        </w:tc>
        <w:tc>
          <w:tcPr>
            <w:tcW w:w="1080" w:type="dxa"/>
            <w:tcBorders>
              <w:top w:val="nil"/>
              <w:bottom w:val="nil"/>
            </w:tcBorders>
            <w:shd w:val="clear" w:color="auto" w:fill="auto"/>
            <w:noWrap/>
            <w:hideMark/>
          </w:tcPr>
          <w:p w:rsidR="00674E9C" w:rsidRPr="00640449" w:rsidRDefault="00210C34" w:rsidP="00D20CB5">
            <w:pPr>
              <w:pStyle w:val="SingleTxtG"/>
              <w:suppressAutoHyphens w:val="0"/>
              <w:spacing w:before="40" w:after="40" w:line="220" w:lineRule="exact"/>
              <w:ind w:left="0" w:right="0"/>
              <w:jc w:val="right"/>
              <w:rPr>
                <w:sz w:val="18"/>
                <w:lang w:val="fr-FR"/>
              </w:rPr>
            </w:pPr>
            <w:r w:rsidRPr="00640449">
              <w:rPr>
                <w:sz w:val="18"/>
                <w:lang w:val="fr-FR"/>
              </w:rPr>
              <w:t>Erythréenne</w:t>
            </w:r>
          </w:p>
        </w:tc>
        <w:tc>
          <w:tcPr>
            <w:tcW w:w="724" w:type="dxa"/>
            <w:gridSpan w:val="2"/>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23</w:t>
            </w:r>
          </w:p>
        </w:tc>
        <w:tc>
          <w:tcPr>
            <w:tcW w:w="70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w:t>
            </w:r>
          </w:p>
        </w:tc>
        <w:tc>
          <w:tcPr>
            <w:tcW w:w="70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23</w:t>
            </w:r>
          </w:p>
        </w:tc>
        <w:tc>
          <w:tcPr>
            <w:tcW w:w="567" w:type="dxa"/>
            <w:tcBorders>
              <w:top w:val="nil"/>
              <w:bottom w:val="nil"/>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49</w:t>
            </w:r>
          </w:p>
        </w:tc>
      </w:tr>
      <w:tr w:rsidR="00640449" w:rsidRPr="00640449" w:rsidTr="00D20CB5">
        <w:tc>
          <w:tcPr>
            <w:tcW w:w="993" w:type="dxa"/>
            <w:tcBorders>
              <w:top w:val="nil"/>
              <w:bottom w:val="nil"/>
            </w:tcBorders>
            <w:shd w:val="clear" w:color="auto" w:fill="auto"/>
            <w:noWrap/>
            <w:hideMark/>
          </w:tcPr>
          <w:p w:rsidR="00674E9C" w:rsidRPr="00640449" w:rsidRDefault="00210C34" w:rsidP="00D20CB5">
            <w:pPr>
              <w:pStyle w:val="SingleTxtG"/>
              <w:suppressAutoHyphens w:val="0"/>
              <w:spacing w:before="40" w:after="40" w:line="220" w:lineRule="exact"/>
              <w:ind w:left="0" w:right="0"/>
              <w:jc w:val="right"/>
              <w:rPr>
                <w:sz w:val="18"/>
                <w:lang w:val="fr-FR"/>
              </w:rPr>
            </w:pPr>
            <w:r w:rsidRPr="00640449">
              <w:rPr>
                <w:sz w:val="18"/>
                <w:lang w:val="fr-FR"/>
              </w:rPr>
              <w:t>Turque</w:t>
            </w:r>
          </w:p>
        </w:tc>
        <w:tc>
          <w:tcPr>
            <w:tcW w:w="705"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14</w:t>
            </w:r>
          </w:p>
        </w:tc>
        <w:tc>
          <w:tcPr>
            <w:tcW w:w="695"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75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6</w:t>
            </w:r>
          </w:p>
        </w:tc>
        <w:tc>
          <w:tcPr>
            <w:tcW w:w="714" w:type="dxa"/>
            <w:tcBorders>
              <w:top w:val="nil"/>
              <w:bottom w:val="nil"/>
            </w:tcBorders>
            <w:shd w:val="clear" w:color="auto" w:fill="auto"/>
            <w:noWrap/>
            <w:vAlign w:val="bottom"/>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20</w:t>
            </w:r>
          </w:p>
        </w:tc>
        <w:tc>
          <w:tcPr>
            <w:tcW w:w="1080" w:type="dxa"/>
            <w:tcBorders>
              <w:top w:val="nil"/>
              <w:bottom w:val="nil"/>
            </w:tcBorders>
            <w:shd w:val="clear" w:color="auto" w:fill="auto"/>
            <w:noWrap/>
            <w:hideMark/>
          </w:tcPr>
          <w:p w:rsidR="00674E9C" w:rsidRPr="00640449" w:rsidRDefault="00210C34" w:rsidP="00D20CB5">
            <w:pPr>
              <w:pStyle w:val="SingleTxtG"/>
              <w:suppressAutoHyphens w:val="0"/>
              <w:spacing w:before="40" w:after="40" w:line="220" w:lineRule="exact"/>
              <w:ind w:left="0" w:right="0"/>
              <w:jc w:val="right"/>
              <w:rPr>
                <w:sz w:val="18"/>
                <w:lang w:val="fr-FR"/>
              </w:rPr>
            </w:pPr>
            <w:r w:rsidRPr="00640449">
              <w:rPr>
                <w:sz w:val="18"/>
                <w:lang w:val="fr-FR"/>
              </w:rPr>
              <w:t xml:space="preserve">Indéterminée </w:t>
            </w:r>
            <w:r w:rsidR="00674E9C" w:rsidRPr="00640449">
              <w:rPr>
                <w:sz w:val="18"/>
                <w:lang w:val="fr-FR"/>
              </w:rPr>
              <w:t>(Palestine)</w:t>
            </w:r>
          </w:p>
        </w:tc>
        <w:tc>
          <w:tcPr>
            <w:tcW w:w="724" w:type="dxa"/>
            <w:gridSpan w:val="2"/>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19</w:t>
            </w:r>
          </w:p>
        </w:tc>
        <w:tc>
          <w:tcPr>
            <w:tcW w:w="70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70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26</w:t>
            </w:r>
          </w:p>
        </w:tc>
        <w:tc>
          <w:tcPr>
            <w:tcW w:w="567" w:type="dxa"/>
            <w:tcBorders>
              <w:top w:val="nil"/>
              <w:bottom w:val="nil"/>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45</w:t>
            </w:r>
          </w:p>
        </w:tc>
      </w:tr>
      <w:tr w:rsidR="00640449" w:rsidRPr="00640449" w:rsidTr="00D20CB5">
        <w:tc>
          <w:tcPr>
            <w:tcW w:w="993" w:type="dxa"/>
            <w:tcBorders>
              <w:top w:val="nil"/>
              <w:bottom w:val="nil"/>
            </w:tcBorders>
            <w:shd w:val="clear" w:color="auto" w:fill="auto"/>
            <w:noWrap/>
            <w:hideMark/>
          </w:tcPr>
          <w:p w:rsidR="00674E9C" w:rsidRPr="00640449" w:rsidRDefault="00210C34" w:rsidP="00D20CB5">
            <w:pPr>
              <w:pStyle w:val="SingleTxtG"/>
              <w:suppressAutoHyphens w:val="0"/>
              <w:spacing w:before="40" w:after="40" w:line="220" w:lineRule="exact"/>
              <w:ind w:left="0" w:right="0"/>
              <w:jc w:val="right"/>
              <w:rPr>
                <w:sz w:val="18"/>
                <w:lang w:val="fr-FR"/>
              </w:rPr>
            </w:pPr>
            <w:r w:rsidRPr="00640449">
              <w:rPr>
                <w:sz w:val="18"/>
                <w:lang w:val="fr-FR"/>
              </w:rPr>
              <w:t>Apatride</w:t>
            </w:r>
          </w:p>
        </w:tc>
        <w:tc>
          <w:tcPr>
            <w:tcW w:w="705"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11</w:t>
            </w:r>
          </w:p>
        </w:tc>
        <w:tc>
          <w:tcPr>
            <w:tcW w:w="695"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75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714" w:type="dxa"/>
            <w:tcBorders>
              <w:top w:val="nil"/>
              <w:bottom w:val="nil"/>
            </w:tcBorders>
            <w:shd w:val="clear" w:color="auto" w:fill="auto"/>
            <w:noWrap/>
            <w:vAlign w:val="bottom"/>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11</w:t>
            </w:r>
          </w:p>
        </w:tc>
        <w:tc>
          <w:tcPr>
            <w:tcW w:w="1080" w:type="dxa"/>
            <w:tcBorders>
              <w:top w:val="nil"/>
              <w:bottom w:val="nil"/>
            </w:tcBorders>
            <w:shd w:val="clear" w:color="auto" w:fill="auto"/>
            <w:noWrap/>
            <w:hideMark/>
          </w:tcPr>
          <w:p w:rsidR="00674E9C" w:rsidRPr="00640449" w:rsidRDefault="00210C34" w:rsidP="00D20CB5">
            <w:pPr>
              <w:pStyle w:val="SingleTxtG"/>
              <w:suppressAutoHyphens w:val="0"/>
              <w:spacing w:before="40" w:after="40" w:line="220" w:lineRule="exact"/>
              <w:ind w:left="0" w:right="0"/>
              <w:jc w:val="right"/>
              <w:rPr>
                <w:sz w:val="18"/>
                <w:lang w:val="fr-FR"/>
              </w:rPr>
            </w:pPr>
            <w:r w:rsidRPr="00640449">
              <w:rPr>
                <w:sz w:val="18"/>
                <w:lang w:val="fr-FR"/>
              </w:rPr>
              <w:t>Iranienne</w:t>
            </w:r>
          </w:p>
        </w:tc>
        <w:tc>
          <w:tcPr>
            <w:tcW w:w="724" w:type="dxa"/>
            <w:gridSpan w:val="2"/>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15</w:t>
            </w:r>
          </w:p>
        </w:tc>
        <w:tc>
          <w:tcPr>
            <w:tcW w:w="70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w:t>
            </w:r>
          </w:p>
        </w:tc>
        <w:tc>
          <w:tcPr>
            <w:tcW w:w="70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13</w:t>
            </w:r>
          </w:p>
        </w:tc>
        <w:tc>
          <w:tcPr>
            <w:tcW w:w="567" w:type="dxa"/>
            <w:tcBorders>
              <w:top w:val="nil"/>
              <w:bottom w:val="nil"/>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31</w:t>
            </w:r>
          </w:p>
        </w:tc>
      </w:tr>
      <w:tr w:rsidR="00640449" w:rsidRPr="00640449" w:rsidTr="00D20CB5">
        <w:tc>
          <w:tcPr>
            <w:tcW w:w="993" w:type="dxa"/>
            <w:tcBorders>
              <w:top w:val="nil"/>
              <w:bottom w:val="single" w:sz="4" w:space="0" w:color="auto"/>
            </w:tcBorders>
            <w:shd w:val="clear" w:color="auto" w:fill="auto"/>
            <w:noWrap/>
            <w:hideMark/>
          </w:tcPr>
          <w:p w:rsidR="00674E9C" w:rsidRPr="00640449" w:rsidRDefault="00210C34" w:rsidP="00D20CB5">
            <w:pPr>
              <w:pStyle w:val="SingleTxtG"/>
              <w:suppressAutoHyphens w:val="0"/>
              <w:spacing w:before="40" w:after="40" w:line="220" w:lineRule="exact"/>
              <w:ind w:left="0" w:right="0"/>
              <w:jc w:val="right"/>
              <w:rPr>
                <w:sz w:val="18"/>
                <w:lang w:val="fr-FR"/>
              </w:rPr>
            </w:pPr>
            <w:r w:rsidRPr="00640449">
              <w:rPr>
                <w:sz w:val="18"/>
                <w:lang w:val="fr-FR"/>
              </w:rPr>
              <w:t>Autres</w:t>
            </w:r>
          </w:p>
        </w:tc>
        <w:tc>
          <w:tcPr>
            <w:tcW w:w="705" w:type="dxa"/>
            <w:tcBorders>
              <w:top w:val="nil"/>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54</w:t>
            </w:r>
          </w:p>
        </w:tc>
        <w:tc>
          <w:tcPr>
            <w:tcW w:w="695" w:type="dxa"/>
            <w:tcBorders>
              <w:top w:val="nil"/>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21</w:t>
            </w:r>
          </w:p>
        </w:tc>
        <w:tc>
          <w:tcPr>
            <w:tcW w:w="759" w:type="dxa"/>
            <w:tcBorders>
              <w:top w:val="nil"/>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946</w:t>
            </w:r>
          </w:p>
        </w:tc>
        <w:tc>
          <w:tcPr>
            <w:tcW w:w="714" w:type="dxa"/>
            <w:tcBorders>
              <w:top w:val="nil"/>
              <w:bottom w:val="single" w:sz="4" w:space="0" w:color="auto"/>
            </w:tcBorders>
            <w:shd w:val="clear" w:color="auto" w:fill="auto"/>
            <w:noWrap/>
            <w:vAlign w:val="bottom"/>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w:t>
            </w:r>
            <w:r w:rsidR="00472AF5">
              <w:rPr>
                <w:b/>
                <w:bCs/>
                <w:sz w:val="18"/>
                <w:lang w:val="fr-FR"/>
              </w:rPr>
              <w:t xml:space="preserve"> </w:t>
            </w:r>
            <w:r w:rsidRPr="00D20CB5">
              <w:rPr>
                <w:b/>
                <w:bCs/>
                <w:sz w:val="18"/>
                <w:lang w:val="fr-FR"/>
              </w:rPr>
              <w:t>021</w:t>
            </w:r>
          </w:p>
        </w:tc>
        <w:tc>
          <w:tcPr>
            <w:tcW w:w="1080" w:type="dxa"/>
            <w:tcBorders>
              <w:top w:val="nil"/>
              <w:bottom w:val="single" w:sz="4" w:space="0" w:color="auto"/>
            </w:tcBorders>
            <w:shd w:val="clear" w:color="auto" w:fill="auto"/>
            <w:noWrap/>
            <w:hideMark/>
          </w:tcPr>
          <w:p w:rsidR="00674E9C" w:rsidRPr="00640449" w:rsidRDefault="00210C34" w:rsidP="00D20CB5">
            <w:pPr>
              <w:pStyle w:val="SingleTxtG"/>
              <w:suppressAutoHyphens w:val="0"/>
              <w:spacing w:before="40" w:after="40" w:line="220" w:lineRule="exact"/>
              <w:ind w:left="0" w:right="0"/>
              <w:jc w:val="right"/>
              <w:rPr>
                <w:sz w:val="18"/>
                <w:lang w:val="fr-FR"/>
              </w:rPr>
            </w:pPr>
            <w:r w:rsidRPr="00640449">
              <w:rPr>
                <w:sz w:val="18"/>
                <w:lang w:val="fr-FR"/>
              </w:rPr>
              <w:t>Autres</w:t>
            </w:r>
          </w:p>
        </w:tc>
        <w:tc>
          <w:tcPr>
            <w:tcW w:w="724" w:type="dxa"/>
            <w:gridSpan w:val="2"/>
            <w:tcBorders>
              <w:top w:val="nil"/>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76</w:t>
            </w:r>
          </w:p>
        </w:tc>
        <w:tc>
          <w:tcPr>
            <w:tcW w:w="709" w:type="dxa"/>
            <w:tcBorders>
              <w:top w:val="nil"/>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13</w:t>
            </w:r>
          </w:p>
        </w:tc>
        <w:tc>
          <w:tcPr>
            <w:tcW w:w="709" w:type="dxa"/>
            <w:tcBorders>
              <w:top w:val="nil"/>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r w:rsidR="00472AF5">
              <w:rPr>
                <w:sz w:val="18"/>
                <w:lang w:val="fr-FR"/>
              </w:rPr>
              <w:t xml:space="preserve"> </w:t>
            </w:r>
            <w:r w:rsidRPr="00640449">
              <w:rPr>
                <w:sz w:val="18"/>
                <w:lang w:val="fr-FR"/>
              </w:rPr>
              <w:t>331</w:t>
            </w:r>
          </w:p>
        </w:tc>
        <w:tc>
          <w:tcPr>
            <w:tcW w:w="567" w:type="dxa"/>
            <w:tcBorders>
              <w:top w:val="nil"/>
              <w:bottom w:val="single" w:sz="4" w:space="0" w:color="auto"/>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w:t>
            </w:r>
            <w:r w:rsidR="00472AF5">
              <w:rPr>
                <w:b/>
                <w:bCs/>
                <w:sz w:val="18"/>
                <w:lang w:val="fr-FR"/>
              </w:rPr>
              <w:t xml:space="preserve"> </w:t>
            </w:r>
            <w:r w:rsidRPr="00D20CB5">
              <w:rPr>
                <w:b/>
                <w:bCs/>
                <w:sz w:val="18"/>
                <w:lang w:val="fr-FR"/>
              </w:rPr>
              <w:t>420</w:t>
            </w:r>
          </w:p>
        </w:tc>
      </w:tr>
      <w:tr w:rsidR="00640449" w:rsidRPr="00640449" w:rsidTr="00D20CB5">
        <w:tc>
          <w:tcPr>
            <w:tcW w:w="993"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283" w:right="0"/>
              <w:jc w:val="right"/>
              <w:rPr>
                <w:b/>
                <w:sz w:val="18"/>
                <w:lang w:val="fr-FR"/>
              </w:rPr>
            </w:pPr>
            <w:r w:rsidRPr="00640449">
              <w:rPr>
                <w:b/>
                <w:sz w:val="18"/>
                <w:lang w:val="fr-FR"/>
              </w:rPr>
              <w:t>Total</w:t>
            </w:r>
          </w:p>
        </w:tc>
        <w:tc>
          <w:tcPr>
            <w:tcW w:w="705"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201</w:t>
            </w:r>
          </w:p>
        </w:tc>
        <w:tc>
          <w:tcPr>
            <w:tcW w:w="695"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29</w:t>
            </w:r>
          </w:p>
        </w:tc>
        <w:tc>
          <w:tcPr>
            <w:tcW w:w="759"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1011</w:t>
            </w:r>
          </w:p>
        </w:tc>
        <w:tc>
          <w:tcPr>
            <w:tcW w:w="714"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1</w:t>
            </w:r>
            <w:r w:rsidR="00472AF5">
              <w:rPr>
                <w:b/>
                <w:sz w:val="18"/>
                <w:lang w:val="fr-FR"/>
              </w:rPr>
              <w:t xml:space="preserve"> </w:t>
            </w:r>
            <w:r w:rsidRPr="00640449">
              <w:rPr>
                <w:b/>
                <w:sz w:val="18"/>
                <w:lang w:val="fr-FR"/>
              </w:rPr>
              <w:t>241</w:t>
            </w:r>
          </w:p>
        </w:tc>
        <w:tc>
          <w:tcPr>
            <w:tcW w:w="1096" w:type="dxa"/>
            <w:gridSpan w:val="2"/>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Total</w:t>
            </w:r>
          </w:p>
        </w:tc>
        <w:tc>
          <w:tcPr>
            <w:tcW w:w="708"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769</w:t>
            </w:r>
          </w:p>
        </w:tc>
        <w:tc>
          <w:tcPr>
            <w:tcW w:w="709"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27</w:t>
            </w:r>
          </w:p>
        </w:tc>
        <w:tc>
          <w:tcPr>
            <w:tcW w:w="709"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1</w:t>
            </w:r>
            <w:r w:rsidR="00472AF5">
              <w:rPr>
                <w:b/>
                <w:sz w:val="18"/>
                <w:lang w:val="fr-FR"/>
              </w:rPr>
              <w:t xml:space="preserve"> </w:t>
            </w:r>
            <w:r w:rsidRPr="00640449">
              <w:rPr>
                <w:b/>
                <w:sz w:val="18"/>
                <w:lang w:val="fr-FR"/>
              </w:rPr>
              <w:t>548</w:t>
            </w:r>
          </w:p>
        </w:tc>
        <w:tc>
          <w:tcPr>
            <w:tcW w:w="567"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w:t>
            </w:r>
            <w:r w:rsidR="00472AF5">
              <w:rPr>
                <w:b/>
                <w:sz w:val="18"/>
                <w:lang w:val="fr-FR"/>
              </w:rPr>
              <w:t xml:space="preserve"> </w:t>
            </w:r>
            <w:r w:rsidRPr="00640449">
              <w:rPr>
                <w:b/>
                <w:sz w:val="18"/>
                <w:lang w:val="fr-FR"/>
              </w:rPr>
              <w:t>344</w:t>
            </w:r>
          </w:p>
        </w:tc>
      </w:tr>
      <w:tr w:rsidR="00640449" w:rsidRPr="00640449" w:rsidTr="00D20CB5">
        <w:tc>
          <w:tcPr>
            <w:tcW w:w="3866" w:type="dxa"/>
            <w:gridSpan w:val="5"/>
            <w:tcBorders>
              <w:top w:val="single" w:sz="12" w:space="0" w:color="auto"/>
              <w:bottom w:val="single" w:sz="4" w:space="0" w:color="auto"/>
            </w:tcBorders>
            <w:shd w:val="clear" w:color="auto" w:fill="auto"/>
            <w:noWrap/>
            <w:hideMark/>
          </w:tcPr>
          <w:p w:rsidR="00674E9C" w:rsidRPr="00640449" w:rsidRDefault="00674E9C" w:rsidP="00497D2C">
            <w:pPr>
              <w:pStyle w:val="SingleTxtG"/>
              <w:suppressAutoHyphens w:val="0"/>
              <w:spacing w:before="40" w:after="40" w:line="220" w:lineRule="exact"/>
              <w:ind w:left="0" w:right="0"/>
              <w:jc w:val="center"/>
              <w:rPr>
                <w:i/>
                <w:sz w:val="18"/>
                <w:lang w:val="fr-FR"/>
              </w:rPr>
            </w:pPr>
            <w:r w:rsidRPr="00640449">
              <w:rPr>
                <w:i/>
                <w:sz w:val="18"/>
                <w:lang w:val="fr-FR"/>
              </w:rPr>
              <w:t>2017</w:t>
            </w:r>
          </w:p>
        </w:tc>
        <w:tc>
          <w:tcPr>
            <w:tcW w:w="3789" w:type="dxa"/>
            <w:gridSpan w:val="6"/>
            <w:tcBorders>
              <w:top w:val="single" w:sz="12" w:space="0" w:color="auto"/>
              <w:bottom w:val="single" w:sz="4" w:space="0" w:color="auto"/>
            </w:tcBorders>
            <w:shd w:val="clear" w:color="auto" w:fill="auto"/>
            <w:noWrap/>
            <w:hideMark/>
          </w:tcPr>
          <w:p w:rsidR="00674E9C" w:rsidRPr="00640449" w:rsidRDefault="00674E9C" w:rsidP="00497D2C">
            <w:pPr>
              <w:pStyle w:val="SingleTxtG"/>
              <w:suppressAutoHyphens w:val="0"/>
              <w:spacing w:before="40" w:after="40" w:line="220" w:lineRule="exact"/>
              <w:ind w:left="0" w:right="0"/>
              <w:jc w:val="center"/>
              <w:rPr>
                <w:i/>
                <w:sz w:val="18"/>
                <w:lang w:val="fr-FR"/>
              </w:rPr>
            </w:pPr>
            <w:r w:rsidRPr="00640449">
              <w:rPr>
                <w:i/>
                <w:sz w:val="18"/>
                <w:lang w:val="fr-FR"/>
              </w:rPr>
              <w:t>2018</w:t>
            </w:r>
          </w:p>
        </w:tc>
      </w:tr>
      <w:tr w:rsidR="00E41175" w:rsidRPr="00D20CB5" w:rsidTr="00D20CB5">
        <w:tc>
          <w:tcPr>
            <w:tcW w:w="993"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left"/>
              <w:rPr>
                <w:i/>
                <w:spacing w:val="4"/>
                <w:w w:val="103"/>
                <w:kern w:val="14"/>
                <w:sz w:val="16"/>
                <w:lang w:val="fr-FR"/>
              </w:rPr>
            </w:pPr>
            <w:r w:rsidRPr="00D20CB5">
              <w:rPr>
                <w:i/>
                <w:spacing w:val="4"/>
                <w:w w:val="103"/>
                <w:kern w:val="14"/>
                <w:sz w:val="16"/>
                <w:lang w:val="fr-FR"/>
              </w:rPr>
              <w:t>Nationalité</w:t>
            </w:r>
          </w:p>
        </w:tc>
        <w:tc>
          <w:tcPr>
            <w:tcW w:w="705"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PO1</w:t>
            </w:r>
          </w:p>
        </w:tc>
        <w:tc>
          <w:tcPr>
            <w:tcW w:w="695"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PO2</w:t>
            </w:r>
          </w:p>
        </w:tc>
        <w:tc>
          <w:tcPr>
            <w:tcW w:w="759"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négative</w:t>
            </w:r>
          </w:p>
        </w:tc>
        <w:tc>
          <w:tcPr>
            <w:tcW w:w="714"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b/>
                <w:bCs/>
                <w:i/>
                <w:spacing w:val="4"/>
                <w:w w:val="103"/>
                <w:kern w:val="14"/>
                <w:sz w:val="16"/>
                <w:lang w:val="fr-FR"/>
              </w:rPr>
            </w:pPr>
            <w:r w:rsidRPr="00D20CB5">
              <w:rPr>
                <w:b/>
                <w:bCs/>
                <w:i/>
                <w:spacing w:val="4"/>
                <w:w w:val="103"/>
                <w:kern w:val="14"/>
                <w:sz w:val="16"/>
                <w:lang w:val="fr-FR"/>
              </w:rPr>
              <w:t>Total</w:t>
            </w:r>
          </w:p>
        </w:tc>
        <w:tc>
          <w:tcPr>
            <w:tcW w:w="1096" w:type="dxa"/>
            <w:gridSpan w:val="2"/>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Nationalité</w:t>
            </w:r>
          </w:p>
        </w:tc>
        <w:tc>
          <w:tcPr>
            <w:tcW w:w="708"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PO1</w:t>
            </w:r>
          </w:p>
        </w:tc>
        <w:tc>
          <w:tcPr>
            <w:tcW w:w="709"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PO2</w:t>
            </w:r>
          </w:p>
        </w:tc>
        <w:tc>
          <w:tcPr>
            <w:tcW w:w="709"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négative</w:t>
            </w:r>
          </w:p>
        </w:tc>
        <w:tc>
          <w:tcPr>
            <w:tcW w:w="567"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b/>
                <w:bCs/>
                <w:i/>
                <w:spacing w:val="4"/>
                <w:w w:val="103"/>
                <w:kern w:val="14"/>
                <w:sz w:val="16"/>
                <w:lang w:val="fr-FR"/>
              </w:rPr>
            </w:pPr>
            <w:r w:rsidRPr="00D20CB5">
              <w:rPr>
                <w:b/>
                <w:bCs/>
                <w:i/>
                <w:spacing w:val="4"/>
                <w:w w:val="103"/>
                <w:kern w:val="14"/>
                <w:sz w:val="16"/>
                <w:lang w:val="fr-FR"/>
              </w:rPr>
              <w:t>Total</w:t>
            </w:r>
          </w:p>
        </w:tc>
      </w:tr>
      <w:tr w:rsidR="00640449" w:rsidRPr="00640449" w:rsidTr="00D20CB5">
        <w:tc>
          <w:tcPr>
            <w:tcW w:w="993" w:type="dxa"/>
            <w:tcBorders>
              <w:top w:val="single" w:sz="12" w:space="0" w:color="auto"/>
              <w:bottom w:val="nil"/>
            </w:tcBorders>
            <w:shd w:val="clear" w:color="auto" w:fill="auto"/>
            <w:noWrap/>
            <w:hideMark/>
          </w:tcPr>
          <w:p w:rsidR="00674E9C" w:rsidRPr="00640449" w:rsidRDefault="00445732" w:rsidP="002733AE">
            <w:pPr>
              <w:pStyle w:val="SingleTxtG"/>
              <w:suppressAutoHyphens w:val="0"/>
              <w:spacing w:before="40" w:after="40" w:line="220" w:lineRule="exact"/>
              <w:ind w:left="0" w:right="0"/>
              <w:jc w:val="left"/>
              <w:rPr>
                <w:sz w:val="18"/>
                <w:lang w:val="fr-FR"/>
              </w:rPr>
            </w:pPr>
            <w:r w:rsidRPr="00640449">
              <w:rPr>
                <w:sz w:val="18"/>
                <w:lang w:val="fr-FR"/>
              </w:rPr>
              <w:t>Syrienne</w:t>
            </w:r>
          </w:p>
        </w:tc>
        <w:tc>
          <w:tcPr>
            <w:tcW w:w="705" w:type="dxa"/>
            <w:tcBorders>
              <w:top w:val="single" w:sz="12" w:space="0" w:color="auto"/>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466</w:t>
            </w:r>
          </w:p>
        </w:tc>
        <w:tc>
          <w:tcPr>
            <w:tcW w:w="695" w:type="dxa"/>
            <w:tcBorders>
              <w:top w:val="single" w:sz="12" w:space="0" w:color="auto"/>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759" w:type="dxa"/>
            <w:tcBorders>
              <w:top w:val="single" w:sz="12" w:space="0" w:color="auto"/>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41</w:t>
            </w:r>
          </w:p>
        </w:tc>
        <w:tc>
          <w:tcPr>
            <w:tcW w:w="714" w:type="dxa"/>
            <w:tcBorders>
              <w:top w:val="single" w:sz="12" w:space="0" w:color="auto"/>
              <w:bottom w:val="nil"/>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507</w:t>
            </w:r>
          </w:p>
        </w:tc>
        <w:tc>
          <w:tcPr>
            <w:tcW w:w="1096" w:type="dxa"/>
            <w:gridSpan w:val="2"/>
            <w:tcBorders>
              <w:top w:val="single" w:sz="12" w:space="0" w:color="auto"/>
              <w:bottom w:val="nil"/>
            </w:tcBorders>
            <w:shd w:val="clear" w:color="auto" w:fill="auto"/>
            <w:noWrap/>
            <w:hideMark/>
          </w:tcPr>
          <w:p w:rsidR="00674E9C" w:rsidRPr="00640449" w:rsidRDefault="00210C34" w:rsidP="00D20CB5">
            <w:pPr>
              <w:pStyle w:val="SingleTxtG"/>
              <w:suppressAutoHyphens w:val="0"/>
              <w:spacing w:before="40" w:after="40" w:line="220" w:lineRule="exact"/>
              <w:ind w:left="0" w:right="0"/>
              <w:jc w:val="right"/>
              <w:rPr>
                <w:sz w:val="18"/>
                <w:lang w:val="fr-FR"/>
              </w:rPr>
            </w:pPr>
            <w:r w:rsidRPr="00640449">
              <w:rPr>
                <w:sz w:val="18"/>
                <w:lang w:val="fr-FR"/>
              </w:rPr>
              <w:t>Syrienne</w:t>
            </w:r>
          </w:p>
        </w:tc>
        <w:tc>
          <w:tcPr>
            <w:tcW w:w="708" w:type="dxa"/>
            <w:tcBorders>
              <w:top w:val="single" w:sz="12" w:space="0" w:color="auto"/>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313</w:t>
            </w:r>
          </w:p>
        </w:tc>
        <w:tc>
          <w:tcPr>
            <w:tcW w:w="709" w:type="dxa"/>
            <w:tcBorders>
              <w:top w:val="single" w:sz="12" w:space="0" w:color="auto"/>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709" w:type="dxa"/>
            <w:tcBorders>
              <w:top w:val="single" w:sz="12" w:space="0" w:color="auto"/>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33</w:t>
            </w:r>
          </w:p>
        </w:tc>
        <w:tc>
          <w:tcPr>
            <w:tcW w:w="567" w:type="dxa"/>
            <w:tcBorders>
              <w:top w:val="single" w:sz="12" w:space="0" w:color="auto"/>
              <w:bottom w:val="nil"/>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346</w:t>
            </w:r>
          </w:p>
        </w:tc>
      </w:tr>
      <w:tr w:rsidR="00640449" w:rsidRPr="00640449" w:rsidTr="00D20CB5">
        <w:tc>
          <w:tcPr>
            <w:tcW w:w="993" w:type="dxa"/>
            <w:tcBorders>
              <w:top w:val="nil"/>
              <w:bottom w:val="nil"/>
            </w:tcBorders>
            <w:shd w:val="clear" w:color="auto" w:fill="auto"/>
            <w:noWrap/>
            <w:hideMark/>
          </w:tcPr>
          <w:p w:rsidR="00674E9C" w:rsidRPr="00640449" w:rsidRDefault="00445732" w:rsidP="002733AE">
            <w:pPr>
              <w:pStyle w:val="SingleTxtG"/>
              <w:suppressAutoHyphens w:val="0"/>
              <w:spacing w:before="40" w:after="40" w:line="220" w:lineRule="exact"/>
              <w:ind w:left="0" w:right="0"/>
              <w:jc w:val="left"/>
              <w:rPr>
                <w:sz w:val="18"/>
                <w:lang w:val="fr-FR"/>
              </w:rPr>
            </w:pPr>
            <w:r w:rsidRPr="00640449">
              <w:rPr>
                <w:sz w:val="18"/>
                <w:lang w:val="fr-FR"/>
              </w:rPr>
              <w:t>Iraquienne</w:t>
            </w:r>
          </w:p>
        </w:tc>
        <w:tc>
          <w:tcPr>
            <w:tcW w:w="705"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346</w:t>
            </w:r>
          </w:p>
        </w:tc>
        <w:tc>
          <w:tcPr>
            <w:tcW w:w="695"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7</w:t>
            </w:r>
          </w:p>
        </w:tc>
        <w:tc>
          <w:tcPr>
            <w:tcW w:w="75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164</w:t>
            </w:r>
          </w:p>
        </w:tc>
        <w:tc>
          <w:tcPr>
            <w:tcW w:w="714" w:type="dxa"/>
            <w:tcBorders>
              <w:top w:val="nil"/>
              <w:bottom w:val="nil"/>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517</w:t>
            </w:r>
          </w:p>
        </w:tc>
        <w:tc>
          <w:tcPr>
            <w:tcW w:w="1096" w:type="dxa"/>
            <w:gridSpan w:val="2"/>
            <w:tcBorders>
              <w:top w:val="nil"/>
              <w:bottom w:val="nil"/>
            </w:tcBorders>
            <w:shd w:val="clear" w:color="auto" w:fill="auto"/>
            <w:noWrap/>
            <w:hideMark/>
          </w:tcPr>
          <w:p w:rsidR="00674E9C" w:rsidRPr="00640449" w:rsidRDefault="00210C34" w:rsidP="00D20CB5">
            <w:pPr>
              <w:pStyle w:val="SingleTxtG"/>
              <w:suppressAutoHyphens w:val="0"/>
              <w:spacing w:before="40" w:after="40" w:line="220" w:lineRule="exact"/>
              <w:ind w:left="0" w:right="0"/>
              <w:jc w:val="right"/>
              <w:rPr>
                <w:sz w:val="18"/>
                <w:lang w:val="fr-FR"/>
              </w:rPr>
            </w:pPr>
            <w:r w:rsidRPr="00640449">
              <w:rPr>
                <w:sz w:val="18"/>
                <w:lang w:val="fr-FR"/>
              </w:rPr>
              <w:t>Erythréenne</w:t>
            </w:r>
          </w:p>
        </w:tc>
        <w:tc>
          <w:tcPr>
            <w:tcW w:w="708"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310</w:t>
            </w:r>
          </w:p>
        </w:tc>
        <w:tc>
          <w:tcPr>
            <w:tcW w:w="70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7</w:t>
            </w:r>
          </w:p>
        </w:tc>
        <w:tc>
          <w:tcPr>
            <w:tcW w:w="70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56</w:t>
            </w:r>
          </w:p>
        </w:tc>
        <w:tc>
          <w:tcPr>
            <w:tcW w:w="567" w:type="dxa"/>
            <w:tcBorders>
              <w:top w:val="nil"/>
              <w:bottom w:val="nil"/>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373</w:t>
            </w:r>
          </w:p>
        </w:tc>
      </w:tr>
      <w:tr w:rsidR="00640449" w:rsidRPr="00640449" w:rsidTr="00D20CB5">
        <w:tc>
          <w:tcPr>
            <w:tcW w:w="993" w:type="dxa"/>
            <w:tcBorders>
              <w:top w:val="nil"/>
              <w:bottom w:val="nil"/>
            </w:tcBorders>
            <w:shd w:val="clear" w:color="auto" w:fill="auto"/>
            <w:noWrap/>
            <w:hideMark/>
          </w:tcPr>
          <w:p w:rsidR="00674E9C" w:rsidRPr="00640449" w:rsidRDefault="00445732" w:rsidP="002733AE">
            <w:pPr>
              <w:pStyle w:val="SingleTxtG"/>
              <w:suppressAutoHyphens w:val="0"/>
              <w:spacing w:before="40" w:after="40" w:line="220" w:lineRule="exact"/>
              <w:ind w:left="0" w:right="0"/>
              <w:jc w:val="left"/>
              <w:rPr>
                <w:sz w:val="18"/>
                <w:lang w:val="fr-FR"/>
              </w:rPr>
            </w:pPr>
            <w:r w:rsidRPr="00640449">
              <w:rPr>
                <w:sz w:val="18"/>
                <w:lang w:val="fr-FR"/>
              </w:rPr>
              <w:t>Afghane</w:t>
            </w:r>
          </w:p>
        </w:tc>
        <w:tc>
          <w:tcPr>
            <w:tcW w:w="705"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162</w:t>
            </w:r>
          </w:p>
        </w:tc>
        <w:tc>
          <w:tcPr>
            <w:tcW w:w="695"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30</w:t>
            </w:r>
          </w:p>
        </w:tc>
        <w:tc>
          <w:tcPr>
            <w:tcW w:w="75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26</w:t>
            </w:r>
          </w:p>
        </w:tc>
        <w:tc>
          <w:tcPr>
            <w:tcW w:w="714" w:type="dxa"/>
            <w:tcBorders>
              <w:top w:val="nil"/>
              <w:bottom w:val="nil"/>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218</w:t>
            </w:r>
          </w:p>
        </w:tc>
        <w:tc>
          <w:tcPr>
            <w:tcW w:w="1096" w:type="dxa"/>
            <w:gridSpan w:val="2"/>
            <w:tcBorders>
              <w:top w:val="nil"/>
              <w:bottom w:val="nil"/>
            </w:tcBorders>
            <w:shd w:val="clear" w:color="auto" w:fill="auto"/>
            <w:noWrap/>
            <w:hideMark/>
          </w:tcPr>
          <w:p w:rsidR="00674E9C" w:rsidRPr="00640449" w:rsidRDefault="00210C34" w:rsidP="00D20CB5">
            <w:pPr>
              <w:pStyle w:val="SingleTxtG"/>
              <w:suppressAutoHyphens w:val="0"/>
              <w:spacing w:before="40" w:after="40" w:line="220" w:lineRule="exact"/>
              <w:ind w:left="0" w:right="0"/>
              <w:jc w:val="right"/>
              <w:rPr>
                <w:sz w:val="18"/>
                <w:lang w:val="fr-FR"/>
              </w:rPr>
            </w:pPr>
            <w:r w:rsidRPr="00640449">
              <w:rPr>
                <w:sz w:val="18"/>
                <w:lang w:val="fr-FR"/>
              </w:rPr>
              <w:t>Iraquienne</w:t>
            </w:r>
          </w:p>
        </w:tc>
        <w:tc>
          <w:tcPr>
            <w:tcW w:w="708"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164</w:t>
            </w:r>
          </w:p>
        </w:tc>
        <w:tc>
          <w:tcPr>
            <w:tcW w:w="70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10</w:t>
            </w:r>
          </w:p>
        </w:tc>
        <w:tc>
          <w:tcPr>
            <w:tcW w:w="70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82</w:t>
            </w:r>
          </w:p>
        </w:tc>
        <w:tc>
          <w:tcPr>
            <w:tcW w:w="567" w:type="dxa"/>
            <w:tcBorders>
              <w:top w:val="nil"/>
              <w:bottom w:val="nil"/>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256</w:t>
            </w:r>
          </w:p>
        </w:tc>
      </w:tr>
      <w:tr w:rsidR="00640449" w:rsidRPr="00640449" w:rsidTr="00D20CB5">
        <w:tc>
          <w:tcPr>
            <w:tcW w:w="993" w:type="dxa"/>
            <w:tcBorders>
              <w:top w:val="nil"/>
              <w:bottom w:val="nil"/>
            </w:tcBorders>
            <w:shd w:val="clear" w:color="auto" w:fill="auto"/>
            <w:noWrap/>
            <w:hideMark/>
          </w:tcPr>
          <w:p w:rsidR="00674E9C" w:rsidRPr="00640449" w:rsidRDefault="00445732" w:rsidP="002733AE">
            <w:pPr>
              <w:pStyle w:val="SingleTxtG"/>
              <w:suppressAutoHyphens w:val="0"/>
              <w:spacing w:before="40" w:after="40" w:line="220" w:lineRule="exact"/>
              <w:ind w:left="0" w:right="0"/>
              <w:jc w:val="left"/>
              <w:rPr>
                <w:sz w:val="18"/>
                <w:lang w:val="fr-FR"/>
              </w:rPr>
            </w:pPr>
            <w:r w:rsidRPr="00640449">
              <w:rPr>
                <w:sz w:val="18"/>
                <w:lang w:val="fr-FR"/>
              </w:rPr>
              <w:t>Erythréenne</w:t>
            </w:r>
          </w:p>
        </w:tc>
        <w:tc>
          <w:tcPr>
            <w:tcW w:w="705"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99</w:t>
            </w:r>
          </w:p>
        </w:tc>
        <w:tc>
          <w:tcPr>
            <w:tcW w:w="695"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6</w:t>
            </w:r>
          </w:p>
        </w:tc>
        <w:tc>
          <w:tcPr>
            <w:tcW w:w="75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17</w:t>
            </w:r>
          </w:p>
        </w:tc>
        <w:tc>
          <w:tcPr>
            <w:tcW w:w="714" w:type="dxa"/>
            <w:tcBorders>
              <w:top w:val="nil"/>
              <w:bottom w:val="nil"/>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122</w:t>
            </w:r>
          </w:p>
        </w:tc>
        <w:tc>
          <w:tcPr>
            <w:tcW w:w="1096" w:type="dxa"/>
            <w:gridSpan w:val="2"/>
            <w:tcBorders>
              <w:top w:val="nil"/>
              <w:bottom w:val="nil"/>
            </w:tcBorders>
            <w:shd w:val="clear" w:color="auto" w:fill="auto"/>
            <w:noWrap/>
            <w:hideMark/>
          </w:tcPr>
          <w:p w:rsidR="00674E9C" w:rsidRPr="00640449" w:rsidRDefault="00210C34" w:rsidP="00D20CB5">
            <w:pPr>
              <w:pStyle w:val="SingleTxtG"/>
              <w:suppressAutoHyphens w:val="0"/>
              <w:spacing w:before="40" w:after="40" w:line="220" w:lineRule="exact"/>
              <w:ind w:left="0" w:right="0"/>
              <w:jc w:val="right"/>
              <w:rPr>
                <w:sz w:val="18"/>
                <w:lang w:val="fr-FR"/>
              </w:rPr>
            </w:pPr>
            <w:r w:rsidRPr="00640449">
              <w:rPr>
                <w:sz w:val="18"/>
                <w:lang w:val="fr-FR"/>
              </w:rPr>
              <w:t>Iranienne</w:t>
            </w:r>
          </w:p>
        </w:tc>
        <w:tc>
          <w:tcPr>
            <w:tcW w:w="708"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59</w:t>
            </w:r>
          </w:p>
        </w:tc>
        <w:tc>
          <w:tcPr>
            <w:tcW w:w="70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w:t>
            </w:r>
          </w:p>
        </w:tc>
        <w:tc>
          <w:tcPr>
            <w:tcW w:w="70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6</w:t>
            </w:r>
          </w:p>
        </w:tc>
        <w:tc>
          <w:tcPr>
            <w:tcW w:w="567" w:type="dxa"/>
            <w:tcBorders>
              <w:top w:val="nil"/>
              <w:bottom w:val="nil"/>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68</w:t>
            </w:r>
          </w:p>
        </w:tc>
      </w:tr>
      <w:tr w:rsidR="00640449" w:rsidRPr="00640449" w:rsidTr="00D20CB5">
        <w:tc>
          <w:tcPr>
            <w:tcW w:w="993" w:type="dxa"/>
            <w:tcBorders>
              <w:top w:val="nil"/>
              <w:bottom w:val="nil"/>
            </w:tcBorders>
            <w:shd w:val="clear" w:color="auto" w:fill="auto"/>
            <w:noWrap/>
            <w:hideMark/>
          </w:tcPr>
          <w:p w:rsidR="00674E9C" w:rsidRPr="00640449" w:rsidRDefault="00445732" w:rsidP="002733AE">
            <w:pPr>
              <w:pStyle w:val="SingleTxtG"/>
              <w:suppressAutoHyphens w:val="0"/>
              <w:spacing w:before="40" w:after="40" w:line="220" w:lineRule="exact"/>
              <w:ind w:left="0" w:right="0"/>
              <w:jc w:val="left"/>
              <w:rPr>
                <w:sz w:val="18"/>
                <w:lang w:val="fr-FR"/>
              </w:rPr>
            </w:pPr>
            <w:r w:rsidRPr="00640449">
              <w:rPr>
                <w:sz w:val="18"/>
                <w:lang w:val="fr-FR"/>
              </w:rPr>
              <w:t>Iranienne</w:t>
            </w:r>
          </w:p>
        </w:tc>
        <w:tc>
          <w:tcPr>
            <w:tcW w:w="705"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32</w:t>
            </w:r>
          </w:p>
        </w:tc>
        <w:tc>
          <w:tcPr>
            <w:tcW w:w="695"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75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22</w:t>
            </w:r>
          </w:p>
        </w:tc>
        <w:tc>
          <w:tcPr>
            <w:tcW w:w="714" w:type="dxa"/>
            <w:tcBorders>
              <w:top w:val="nil"/>
              <w:bottom w:val="nil"/>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54</w:t>
            </w:r>
          </w:p>
        </w:tc>
        <w:tc>
          <w:tcPr>
            <w:tcW w:w="1096" w:type="dxa"/>
            <w:gridSpan w:val="2"/>
            <w:tcBorders>
              <w:top w:val="nil"/>
              <w:bottom w:val="nil"/>
            </w:tcBorders>
            <w:shd w:val="clear" w:color="auto" w:fill="auto"/>
            <w:noWrap/>
            <w:hideMark/>
          </w:tcPr>
          <w:p w:rsidR="00674E9C" w:rsidRPr="00640449" w:rsidRDefault="00210C34" w:rsidP="00D20CB5">
            <w:pPr>
              <w:pStyle w:val="SingleTxtG"/>
              <w:suppressAutoHyphens w:val="0"/>
              <w:spacing w:before="40" w:after="40" w:line="220" w:lineRule="exact"/>
              <w:ind w:left="0" w:right="0"/>
              <w:jc w:val="right"/>
              <w:rPr>
                <w:sz w:val="18"/>
                <w:lang w:val="fr-FR"/>
              </w:rPr>
            </w:pPr>
            <w:r w:rsidRPr="00640449">
              <w:rPr>
                <w:sz w:val="18"/>
                <w:lang w:val="fr-FR"/>
              </w:rPr>
              <w:t>Afghane</w:t>
            </w:r>
          </w:p>
        </w:tc>
        <w:tc>
          <w:tcPr>
            <w:tcW w:w="708"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55</w:t>
            </w:r>
          </w:p>
        </w:tc>
        <w:tc>
          <w:tcPr>
            <w:tcW w:w="70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40</w:t>
            </w:r>
          </w:p>
        </w:tc>
        <w:tc>
          <w:tcPr>
            <w:tcW w:w="709" w:type="dxa"/>
            <w:tcBorders>
              <w:top w:val="nil"/>
              <w:bottom w:val="nil"/>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61</w:t>
            </w:r>
          </w:p>
        </w:tc>
        <w:tc>
          <w:tcPr>
            <w:tcW w:w="567" w:type="dxa"/>
            <w:tcBorders>
              <w:top w:val="nil"/>
              <w:bottom w:val="nil"/>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156</w:t>
            </w:r>
          </w:p>
        </w:tc>
      </w:tr>
      <w:tr w:rsidR="00640449" w:rsidRPr="00640449" w:rsidTr="00D20CB5">
        <w:tc>
          <w:tcPr>
            <w:tcW w:w="993" w:type="dxa"/>
            <w:tcBorders>
              <w:top w:val="nil"/>
              <w:bottom w:val="single" w:sz="4" w:space="0" w:color="auto"/>
            </w:tcBorders>
            <w:shd w:val="clear" w:color="auto" w:fill="auto"/>
            <w:noWrap/>
            <w:hideMark/>
          </w:tcPr>
          <w:p w:rsidR="00674E9C" w:rsidRPr="00640449" w:rsidRDefault="00445732" w:rsidP="002733AE">
            <w:pPr>
              <w:pStyle w:val="SingleTxtG"/>
              <w:suppressAutoHyphens w:val="0"/>
              <w:spacing w:before="40" w:after="40" w:line="220" w:lineRule="exact"/>
              <w:ind w:left="0" w:right="0"/>
              <w:jc w:val="left"/>
              <w:rPr>
                <w:sz w:val="18"/>
                <w:lang w:val="fr-FR"/>
              </w:rPr>
            </w:pPr>
            <w:r w:rsidRPr="00640449">
              <w:rPr>
                <w:sz w:val="18"/>
                <w:lang w:val="fr-FR"/>
              </w:rPr>
              <w:t>Autres</w:t>
            </w:r>
          </w:p>
        </w:tc>
        <w:tc>
          <w:tcPr>
            <w:tcW w:w="705" w:type="dxa"/>
            <w:tcBorders>
              <w:top w:val="nil"/>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70</w:t>
            </w:r>
          </w:p>
        </w:tc>
        <w:tc>
          <w:tcPr>
            <w:tcW w:w="695" w:type="dxa"/>
            <w:tcBorders>
              <w:top w:val="nil"/>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13</w:t>
            </w:r>
          </w:p>
        </w:tc>
        <w:tc>
          <w:tcPr>
            <w:tcW w:w="759" w:type="dxa"/>
            <w:tcBorders>
              <w:top w:val="nil"/>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r w:rsidR="00E41175">
              <w:rPr>
                <w:sz w:val="18"/>
                <w:lang w:val="fr-FR"/>
              </w:rPr>
              <w:t xml:space="preserve"> </w:t>
            </w:r>
            <w:r w:rsidRPr="00640449">
              <w:rPr>
                <w:sz w:val="18"/>
                <w:lang w:val="fr-FR"/>
              </w:rPr>
              <w:t>711</w:t>
            </w:r>
          </w:p>
        </w:tc>
        <w:tc>
          <w:tcPr>
            <w:tcW w:w="714" w:type="dxa"/>
            <w:tcBorders>
              <w:top w:val="nil"/>
              <w:bottom w:val="single" w:sz="4" w:space="0" w:color="auto"/>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w:t>
            </w:r>
            <w:r w:rsidR="00E41175">
              <w:rPr>
                <w:b/>
                <w:bCs/>
                <w:sz w:val="18"/>
                <w:lang w:val="fr-FR"/>
              </w:rPr>
              <w:t xml:space="preserve"> </w:t>
            </w:r>
            <w:r w:rsidRPr="00D20CB5">
              <w:rPr>
                <w:b/>
                <w:bCs/>
                <w:sz w:val="18"/>
                <w:lang w:val="fr-FR"/>
              </w:rPr>
              <w:t>794</w:t>
            </w:r>
          </w:p>
        </w:tc>
        <w:tc>
          <w:tcPr>
            <w:tcW w:w="1096" w:type="dxa"/>
            <w:gridSpan w:val="2"/>
            <w:tcBorders>
              <w:top w:val="nil"/>
              <w:bottom w:val="single" w:sz="4" w:space="0" w:color="auto"/>
            </w:tcBorders>
            <w:shd w:val="clear" w:color="auto" w:fill="auto"/>
            <w:noWrap/>
            <w:hideMark/>
          </w:tcPr>
          <w:p w:rsidR="00674E9C" w:rsidRPr="00640449" w:rsidRDefault="00210C34" w:rsidP="00D20CB5">
            <w:pPr>
              <w:pStyle w:val="SingleTxtG"/>
              <w:suppressAutoHyphens w:val="0"/>
              <w:spacing w:before="40" w:after="40" w:line="220" w:lineRule="exact"/>
              <w:ind w:left="0" w:right="0"/>
              <w:jc w:val="right"/>
              <w:rPr>
                <w:sz w:val="18"/>
                <w:lang w:val="fr-FR"/>
              </w:rPr>
            </w:pPr>
            <w:r w:rsidRPr="00640449">
              <w:rPr>
                <w:sz w:val="18"/>
                <w:lang w:val="fr-FR"/>
              </w:rPr>
              <w:t>Autres</w:t>
            </w:r>
          </w:p>
        </w:tc>
        <w:tc>
          <w:tcPr>
            <w:tcW w:w="708" w:type="dxa"/>
            <w:tcBorders>
              <w:top w:val="nil"/>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88</w:t>
            </w:r>
          </w:p>
        </w:tc>
        <w:tc>
          <w:tcPr>
            <w:tcW w:w="709" w:type="dxa"/>
            <w:tcBorders>
              <w:top w:val="nil"/>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14</w:t>
            </w:r>
          </w:p>
        </w:tc>
        <w:tc>
          <w:tcPr>
            <w:tcW w:w="709" w:type="dxa"/>
            <w:tcBorders>
              <w:top w:val="nil"/>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r w:rsidR="00E41175">
              <w:rPr>
                <w:sz w:val="18"/>
                <w:lang w:val="fr-FR"/>
              </w:rPr>
              <w:t xml:space="preserve"> </w:t>
            </w:r>
            <w:r w:rsidRPr="00640449">
              <w:rPr>
                <w:sz w:val="18"/>
                <w:lang w:val="fr-FR"/>
              </w:rPr>
              <w:t>082</w:t>
            </w:r>
          </w:p>
        </w:tc>
        <w:tc>
          <w:tcPr>
            <w:tcW w:w="567" w:type="dxa"/>
            <w:tcBorders>
              <w:top w:val="nil"/>
              <w:bottom w:val="single" w:sz="4" w:space="0" w:color="auto"/>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w:t>
            </w:r>
            <w:r w:rsidR="00E41175">
              <w:rPr>
                <w:b/>
                <w:bCs/>
                <w:sz w:val="18"/>
                <w:lang w:val="fr-FR"/>
              </w:rPr>
              <w:t xml:space="preserve"> </w:t>
            </w:r>
            <w:r w:rsidRPr="00D20CB5">
              <w:rPr>
                <w:b/>
                <w:bCs/>
                <w:sz w:val="18"/>
                <w:lang w:val="fr-FR"/>
              </w:rPr>
              <w:t>184</w:t>
            </w:r>
          </w:p>
        </w:tc>
      </w:tr>
      <w:tr w:rsidR="002733AE" w:rsidRPr="00640449" w:rsidTr="00D20CB5">
        <w:tc>
          <w:tcPr>
            <w:tcW w:w="993"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283" w:right="0"/>
              <w:jc w:val="right"/>
              <w:rPr>
                <w:b/>
                <w:sz w:val="18"/>
                <w:lang w:val="fr-FR"/>
              </w:rPr>
            </w:pPr>
            <w:r w:rsidRPr="00640449">
              <w:rPr>
                <w:b/>
                <w:sz w:val="18"/>
                <w:lang w:val="fr-FR"/>
              </w:rPr>
              <w:t>Total</w:t>
            </w:r>
          </w:p>
        </w:tc>
        <w:tc>
          <w:tcPr>
            <w:tcW w:w="705"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1</w:t>
            </w:r>
            <w:r w:rsidR="00E41175">
              <w:rPr>
                <w:b/>
                <w:sz w:val="18"/>
                <w:lang w:val="fr-FR"/>
              </w:rPr>
              <w:t xml:space="preserve"> </w:t>
            </w:r>
            <w:r w:rsidRPr="00640449">
              <w:rPr>
                <w:b/>
                <w:sz w:val="18"/>
                <w:lang w:val="fr-FR"/>
              </w:rPr>
              <w:t>175</w:t>
            </w:r>
          </w:p>
        </w:tc>
        <w:tc>
          <w:tcPr>
            <w:tcW w:w="695"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56</w:t>
            </w:r>
          </w:p>
        </w:tc>
        <w:tc>
          <w:tcPr>
            <w:tcW w:w="759"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1</w:t>
            </w:r>
            <w:r w:rsidR="00E41175">
              <w:rPr>
                <w:b/>
                <w:sz w:val="18"/>
                <w:lang w:val="fr-FR"/>
              </w:rPr>
              <w:t xml:space="preserve"> </w:t>
            </w:r>
            <w:r w:rsidRPr="00640449">
              <w:rPr>
                <w:b/>
                <w:sz w:val="18"/>
                <w:lang w:val="fr-FR"/>
              </w:rPr>
              <w:t>981</w:t>
            </w:r>
          </w:p>
        </w:tc>
        <w:tc>
          <w:tcPr>
            <w:tcW w:w="714"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3</w:t>
            </w:r>
            <w:r w:rsidR="00E41175">
              <w:rPr>
                <w:b/>
                <w:sz w:val="18"/>
                <w:lang w:val="fr-FR"/>
              </w:rPr>
              <w:t xml:space="preserve"> </w:t>
            </w:r>
            <w:r w:rsidRPr="00640449">
              <w:rPr>
                <w:b/>
                <w:sz w:val="18"/>
                <w:lang w:val="fr-FR"/>
              </w:rPr>
              <w:t>212</w:t>
            </w:r>
          </w:p>
        </w:tc>
        <w:tc>
          <w:tcPr>
            <w:tcW w:w="1096" w:type="dxa"/>
            <w:gridSpan w:val="2"/>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Total</w:t>
            </w:r>
          </w:p>
        </w:tc>
        <w:tc>
          <w:tcPr>
            <w:tcW w:w="708"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989</w:t>
            </w:r>
          </w:p>
        </w:tc>
        <w:tc>
          <w:tcPr>
            <w:tcW w:w="709"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74</w:t>
            </w:r>
          </w:p>
        </w:tc>
        <w:tc>
          <w:tcPr>
            <w:tcW w:w="709"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1</w:t>
            </w:r>
            <w:r w:rsidR="00E41175">
              <w:rPr>
                <w:b/>
                <w:sz w:val="18"/>
                <w:lang w:val="fr-FR"/>
              </w:rPr>
              <w:t xml:space="preserve"> </w:t>
            </w:r>
            <w:r w:rsidRPr="00640449">
              <w:rPr>
                <w:b/>
                <w:sz w:val="18"/>
                <w:lang w:val="fr-FR"/>
              </w:rPr>
              <w:t>320</w:t>
            </w:r>
          </w:p>
        </w:tc>
        <w:tc>
          <w:tcPr>
            <w:tcW w:w="567"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w:t>
            </w:r>
            <w:r w:rsidR="00E41175">
              <w:rPr>
                <w:b/>
                <w:sz w:val="18"/>
                <w:lang w:val="fr-FR"/>
              </w:rPr>
              <w:t xml:space="preserve"> </w:t>
            </w:r>
            <w:r w:rsidRPr="00640449">
              <w:rPr>
                <w:b/>
                <w:sz w:val="18"/>
                <w:lang w:val="fr-FR"/>
              </w:rPr>
              <w:t>383</w:t>
            </w:r>
          </w:p>
        </w:tc>
      </w:tr>
    </w:tbl>
    <w:p w:rsidR="00674E9C" w:rsidRPr="00640449" w:rsidRDefault="00674E9C" w:rsidP="00674E9C">
      <w:pPr>
        <w:pStyle w:val="SingleTxtG"/>
        <w:rPr>
          <w:lang w:val="fr-LU"/>
        </w:rPr>
      </w:pPr>
    </w:p>
    <w:tbl>
      <w:tblPr>
        <w:tblW w:w="7370" w:type="dxa"/>
        <w:tblInd w:w="1134" w:type="dxa"/>
        <w:tblLayout w:type="fixed"/>
        <w:tblCellMar>
          <w:left w:w="0" w:type="dxa"/>
          <w:right w:w="0" w:type="dxa"/>
        </w:tblCellMar>
        <w:tblLook w:val="04A0" w:firstRow="1" w:lastRow="0" w:firstColumn="1" w:lastColumn="0" w:noHBand="0" w:noVBand="1"/>
      </w:tblPr>
      <w:tblGrid>
        <w:gridCol w:w="807"/>
        <w:gridCol w:w="901"/>
        <w:gridCol w:w="836"/>
        <w:gridCol w:w="803"/>
        <w:gridCol w:w="742"/>
        <w:gridCol w:w="900"/>
        <w:gridCol w:w="836"/>
        <w:gridCol w:w="803"/>
        <w:gridCol w:w="742"/>
      </w:tblGrid>
      <w:tr w:rsidR="00640449" w:rsidRPr="00640449" w:rsidTr="00D20CB5">
        <w:trPr>
          <w:tblHeader/>
        </w:trPr>
        <w:tc>
          <w:tcPr>
            <w:tcW w:w="8504" w:type="dxa"/>
            <w:gridSpan w:val="9"/>
            <w:tcBorders>
              <w:top w:val="single" w:sz="4" w:space="0" w:color="auto"/>
              <w:bottom w:val="single" w:sz="4" w:space="0" w:color="auto"/>
            </w:tcBorders>
            <w:shd w:val="clear" w:color="auto" w:fill="auto"/>
            <w:noWrap/>
            <w:vAlign w:val="bottom"/>
            <w:hideMark/>
          </w:tcPr>
          <w:p w:rsidR="00674E9C" w:rsidRPr="00640449" w:rsidRDefault="00674E9C" w:rsidP="00007847">
            <w:pPr>
              <w:pStyle w:val="SingleTxtG"/>
              <w:suppressAutoHyphens w:val="0"/>
              <w:spacing w:before="80" w:after="80" w:line="200" w:lineRule="exact"/>
              <w:ind w:left="0" w:right="0"/>
              <w:jc w:val="center"/>
              <w:rPr>
                <w:i/>
                <w:sz w:val="16"/>
                <w:lang w:val="fr-FR"/>
              </w:rPr>
            </w:pPr>
            <w:r w:rsidRPr="00640449">
              <w:rPr>
                <w:i/>
                <w:sz w:val="16"/>
                <w:lang w:val="fr-FR"/>
              </w:rPr>
              <w:t>Décisions en matière de protection internationale</w:t>
            </w:r>
          </w:p>
        </w:tc>
      </w:tr>
      <w:tr w:rsidR="00D56BB0" w:rsidRPr="00D20CB5" w:rsidTr="00D20CB5">
        <w:tc>
          <w:tcPr>
            <w:tcW w:w="930" w:type="dxa"/>
            <w:tcBorders>
              <w:top w:val="single" w:sz="4" w:space="0" w:color="auto"/>
              <w:bottom w:val="single" w:sz="4"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left"/>
              <w:rPr>
                <w:i/>
                <w:spacing w:val="4"/>
                <w:w w:val="103"/>
                <w:kern w:val="14"/>
                <w:sz w:val="16"/>
                <w:lang w:val="fr-FR"/>
              </w:rPr>
            </w:pPr>
          </w:p>
        </w:tc>
        <w:tc>
          <w:tcPr>
            <w:tcW w:w="3787" w:type="dxa"/>
            <w:gridSpan w:val="4"/>
            <w:tcBorders>
              <w:top w:val="single" w:sz="4" w:space="0" w:color="auto"/>
              <w:bottom w:val="single" w:sz="4"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center"/>
              <w:rPr>
                <w:i/>
                <w:spacing w:val="4"/>
                <w:w w:val="103"/>
                <w:kern w:val="14"/>
                <w:sz w:val="16"/>
                <w:lang w:val="fr-FR"/>
              </w:rPr>
            </w:pPr>
            <w:r w:rsidRPr="00D20CB5">
              <w:rPr>
                <w:i/>
                <w:spacing w:val="4"/>
                <w:w w:val="103"/>
                <w:kern w:val="14"/>
                <w:sz w:val="16"/>
                <w:lang w:val="fr-FR"/>
              </w:rPr>
              <w:t>2015</w:t>
            </w:r>
          </w:p>
        </w:tc>
        <w:tc>
          <w:tcPr>
            <w:tcW w:w="3787" w:type="dxa"/>
            <w:gridSpan w:val="4"/>
            <w:tcBorders>
              <w:top w:val="single" w:sz="4" w:space="0" w:color="auto"/>
              <w:bottom w:val="single" w:sz="4"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center"/>
              <w:rPr>
                <w:i/>
                <w:spacing w:val="4"/>
                <w:w w:val="103"/>
                <w:kern w:val="14"/>
                <w:sz w:val="16"/>
                <w:lang w:val="fr-FR"/>
              </w:rPr>
            </w:pPr>
            <w:r w:rsidRPr="00D20CB5">
              <w:rPr>
                <w:i/>
                <w:spacing w:val="4"/>
                <w:w w:val="103"/>
                <w:kern w:val="14"/>
                <w:sz w:val="16"/>
                <w:lang w:val="fr-FR"/>
              </w:rPr>
              <w:t>2016</w:t>
            </w:r>
          </w:p>
        </w:tc>
      </w:tr>
      <w:tr w:rsidR="00D56BB0" w:rsidRPr="00D20CB5" w:rsidTr="00D20CB5">
        <w:tc>
          <w:tcPr>
            <w:tcW w:w="930" w:type="dxa"/>
            <w:tcBorders>
              <w:top w:val="single" w:sz="4" w:space="0" w:color="auto"/>
              <w:bottom w:val="single" w:sz="12" w:space="0" w:color="auto"/>
            </w:tcBorders>
            <w:shd w:val="clear" w:color="auto" w:fill="auto"/>
            <w:noWrap/>
            <w:hideMark/>
          </w:tcPr>
          <w:p w:rsidR="00674E9C" w:rsidRPr="00D20CB5" w:rsidRDefault="00445732" w:rsidP="00D20CB5">
            <w:pPr>
              <w:pStyle w:val="SingleTxtG"/>
              <w:suppressAutoHyphens w:val="0"/>
              <w:spacing w:before="80" w:after="80" w:line="200" w:lineRule="exact"/>
              <w:ind w:left="0" w:right="0"/>
              <w:jc w:val="left"/>
              <w:rPr>
                <w:i/>
                <w:spacing w:val="4"/>
                <w:w w:val="103"/>
                <w:kern w:val="14"/>
                <w:sz w:val="16"/>
                <w:lang w:val="fr-FR"/>
              </w:rPr>
            </w:pPr>
            <w:r w:rsidRPr="00D20CB5">
              <w:rPr>
                <w:i/>
                <w:spacing w:val="4"/>
                <w:w w:val="103"/>
                <w:kern w:val="14"/>
                <w:sz w:val="16"/>
                <w:lang w:val="fr-FR"/>
              </w:rPr>
              <w:t>Sexe</w:t>
            </w:r>
          </w:p>
        </w:tc>
        <w:tc>
          <w:tcPr>
            <w:tcW w:w="1039"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 xml:space="preserve">Protection </w:t>
            </w:r>
            <w:proofErr w:type="spellStart"/>
            <w:r w:rsidRPr="00D20CB5">
              <w:rPr>
                <w:i/>
                <w:spacing w:val="4"/>
                <w:w w:val="103"/>
                <w:kern w:val="14"/>
                <w:sz w:val="16"/>
                <w:lang w:val="fr-FR"/>
              </w:rPr>
              <w:t>inter</w:t>
            </w:r>
            <w:r w:rsidR="00D56BB0">
              <w:rPr>
                <w:i/>
                <w:spacing w:val="4"/>
                <w:w w:val="103"/>
                <w:kern w:val="14"/>
                <w:sz w:val="16"/>
                <w:lang w:val="fr-FR"/>
              </w:rPr>
              <w:t>-</w:t>
            </w:r>
            <w:r w:rsidRPr="00D20CB5">
              <w:rPr>
                <w:i/>
                <w:spacing w:val="4"/>
                <w:w w:val="103"/>
                <w:kern w:val="14"/>
                <w:sz w:val="16"/>
                <w:lang w:val="fr-FR"/>
              </w:rPr>
              <w:t>nationale</w:t>
            </w:r>
            <w:proofErr w:type="spellEnd"/>
            <w:r w:rsidR="00D56BB0">
              <w:rPr>
                <w:i/>
                <w:spacing w:val="4"/>
                <w:w w:val="103"/>
                <w:kern w:val="14"/>
                <w:sz w:val="16"/>
                <w:lang w:val="fr-FR"/>
              </w:rPr>
              <w:t xml:space="preserve"> r</w:t>
            </w:r>
            <w:r w:rsidRPr="00D20CB5">
              <w:rPr>
                <w:i/>
                <w:spacing w:val="4"/>
                <w:w w:val="103"/>
                <w:kern w:val="14"/>
                <w:sz w:val="16"/>
                <w:lang w:val="fr-FR"/>
              </w:rPr>
              <w:t>éfugié</w:t>
            </w:r>
          </w:p>
        </w:tc>
        <w:tc>
          <w:tcPr>
            <w:tcW w:w="965"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Protection subsidiaire</w:t>
            </w:r>
          </w:p>
        </w:tc>
        <w:tc>
          <w:tcPr>
            <w:tcW w:w="927"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Décision négative</w:t>
            </w:r>
          </w:p>
        </w:tc>
        <w:tc>
          <w:tcPr>
            <w:tcW w:w="856"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b/>
                <w:bCs/>
                <w:i/>
                <w:spacing w:val="4"/>
                <w:w w:val="103"/>
                <w:kern w:val="14"/>
                <w:sz w:val="16"/>
                <w:lang w:val="fr-FR"/>
              </w:rPr>
            </w:pPr>
            <w:r w:rsidRPr="00D20CB5">
              <w:rPr>
                <w:b/>
                <w:bCs/>
                <w:i/>
                <w:spacing w:val="4"/>
                <w:w w:val="103"/>
                <w:kern w:val="14"/>
                <w:sz w:val="16"/>
                <w:lang w:val="fr-FR"/>
              </w:rPr>
              <w:t>Total</w:t>
            </w:r>
          </w:p>
        </w:tc>
        <w:tc>
          <w:tcPr>
            <w:tcW w:w="1039"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 xml:space="preserve">Protection </w:t>
            </w:r>
            <w:proofErr w:type="spellStart"/>
            <w:r w:rsidRPr="00D20CB5">
              <w:rPr>
                <w:i/>
                <w:spacing w:val="4"/>
                <w:w w:val="103"/>
                <w:kern w:val="14"/>
                <w:sz w:val="16"/>
                <w:lang w:val="fr-FR"/>
              </w:rPr>
              <w:t>inter</w:t>
            </w:r>
            <w:r w:rsidR="00D56BB0">
              <w:rPr>
                <w:i/>
                <w:spacing w:val="4"/>
                <w:w w:val="103"/>
                <w:kern w:val="14"/>
                <w:sz w:val="16"/>
                <w:lang w:val="fr-FR"/>
              </w:rPr>
              <w:t>-</w:t>
            </w:r>
            <w:r w:rsidRPr="00D20CB5">
              <w:rPr>
                <w:i/>
                <w:spacing w:val="4"/>
                <w:w w:val="103"/>
                <w:kern w:val="14"/>
                <w:sz w:val="16"/>
                <w:lang w:val="fr-FR"/>
              </w:rPr>
              <w:t>nationale</w:t>
            </w:r>
            <w:proofErr w:type="spellEnd"/>
            <w:r w:rsidR="00D56BB0">
              <w:rPr>
                <w:i/>
                <w:spacing w:val="4"/>
                <w:w w:val="103"/>
                <w:kern w:val="14"/>
                <w:sz w:val="16"/>
                <w:lang w:val="fr-FR"/>
              </w:rPr>
              <w:t xml:space="preserve"> r</w:t>
            </w:r>
            <w:r w:rsidRPr="00D20CB5">
              <w:rPr>
                <w:i/>
                <w:spacing w:val="4"/>
                <w:w w:val="103"/>
                <w:kern w:val="14"/>
                <w:sz w:val="16"/>
                <w:lang w:val="fr-FR"/>
              </w:rPr>
              <w:t>éfugié</w:t>
            </w:r>
          </w:p>
        </w:tc>
        <w:tc>
          <w:tcPr>
            <w:tcW w:w="965"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Protection subsidiaire</w:t>
            </w:r>
          </w:p>
        </w:tc>
        <w:tc>
          <w:tcPr>
            <w:tcW w:w="927"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Décision négative</w:t>
            </w:r>
          </w:p>
        </w:tc>
        <w:tc>
          <w:tcPr>
            <w:tcW w:w="856"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b/>
                <w:bCs/>
                <w:i/>
                <w:spacing w:val="4"/>
                <w:w w:val="103"/>
                <w:kern w:val="14"/>
                <w:sz w:val="16"/>
                <w:lang w:val="fr-FR"/>
              </w:rPr>
            </w:pPr>
            <w:r w:rsidRPr="00D20CB5">
              <w:rPr>
                <w:b/>
                <w:bCs/>
                <w:i/>
                <w:spacing w:val="4"/>
                <w:w w:val="103"/>
                <w:kern w:val="14"/>
                <w:sz w:val="16"/>
                <w:lang w:val="fr-FR"/>
              </w:rPr>
              <w:t>Total</w:t>
            </w:r>
          </w:p>
        </w:tc>
      </w:tr>
      <w:tr w:rsidR="00640449" w:rsidRPr="00640449" w:rsidTr="00D20CB5">
        <w:tc>
          <w:tcPr>
            <w:tcW w:w="930" w:type="dxa"/>
            <w:tcBorders>
              <w:top w:val="single" w:sz="12" w:space="0" w:color="auto"/>
            </w:tcBorders>
            <w:shd w:val="clear" w:color="auto" w:fill="auto"/>
            <w:noWrap/>
            <w:hideMark/>
          </w:tcPr>
          <w:p w:rsidR="00674E9C" w:rsidRPr="00640449" w:rsidRDefault="00445732" w:rsidP="009F2395">
            <w:pPr>
              <w:pStyle w:val="SingleTxtG"/>
              <w:suppressAutoHyphens w:val="0"/>
              <w:spacing w:before="40" w:after="40" w:line="220" w:lineRule="exact"/>
              <w:ind w:left="0" w:right="0"/>
              <w:jc w:val="left"/>
              <w:rPr>
                <w:sz w:val="18"/>
                <w:lang w:val="fr-FR"/>
              </w:rPr>
            </w:pPr>
            <w:r w:rsidRPr="00640449">
              <w:rPr>
                <w:sz w:val="18"/>
                <w:lang w:val="fr-FR"/>
              </w:rPr>
              <w:t>Féminin</w:t>
            </w:r>
          </w:p>
        </w:tc>
        <w:tc>
          <w:tcPr>
            <w:tcW w:w="1039"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78</w:t>
            </w:r>
          </w:p>
        </w:tc>
        <w:tc>
          <w:tcPr>
            <w:tcW w:w="965"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15</w:t>
            </w:r>
          </w:p>
        </w:tc>
        <w:tc>
          <w:tcPr>
            <w:tcW w:w="927"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275</w:t>
            </w:r>
          </w:p>
        </w:tc>
        <w:tc>
          <w:tcPr>
            <w:tcW w:w="856" w:type="dxa"/>
            <w:tcBorders>
              <w:top w:val="single" w:sz="12" w:space="0" w:color="auto"/>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368</w:t>
            </w:r>
          </w:p>
        </w:tc>
        <w:tc>
          <w:tcPr>
            <w:tcW w:w="1039"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277</w:t>
            </w:r>
          </w:p>
        </w:tc>
        <w:tc>
          <w:tcPr>
            <w:tcW w:w="965"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10</w:t>
            </w:r>
          </w:p>
        </w:tc>
        <w:tc>
          <w:tcPr>
            <w:tcW w:w="927"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381</w:t>
            </w:r>
          </w:p>
        </w:tc>
        <w:tc>
          <w:tcPr>
            <w:tcW w:w="856" w:type="dxa"/>
            <w:tcBorders>
              <w:top w:val="single" w:sz="12" w:space="0" w:color="auto"/>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668</w:t>
            </w:r>
          </w:p>
        </w:tc>
      </w:tr>
      <w:tr w:rsidR="00640449" w:rsidRPr="00640449" w:rsidTr="009F2395">
        <w:tc>
          <w:tcPr>
            <w:tcW w:w="930" w:type="dxa"/>
            <w:tcBorders>
              <w:bottom w:val="single" w:sz="4" w:space="0" w:color="auto"/>
            </w:tcBorders>
            <w:shd w:val="clear" w:color="auto" w:fill="auto"/>
            <w:noWrap/>
            <w:hideMark/>
          </w:tcPr>
          <w:p w:rsidR="00674E9C" w:rsidRPr="00640449" w:rsidRDefault="00445732" w:rsidP="009F2395">
            <w:pPr>
              <w:pStyle w:val="SingleTxtG"/>
              <w:suppressAutoHyphens w:val="0"/>
              <w:spacing w:before="40" w:after="40" w:line="220" w:lineRule="exact"/>
              <w:ind w:left="0" w:right="0"/>
              <w:jc w:val="left"/>
              <w:rPr>
                <w:sz w:val="18"/>
                <w:lang w:val="fr-FR"/>
              </w:rPr>
            </w:pPr>
            <w:r w:rsidRPr="00640449">
              <w:rPr>
                <w:sz w:val="18"/>
                <w:lang w:val="fr-FR"/>
              </w:rPr>
              <w:t>Masculin</w:t>
            </w:r>
          </w:p>
        </w:tc>
        <w:tc>
          <w:tcPr>
            <w:tcW w:w="1039"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123</w:t>
            </w:r>
          </w:p>
        </w:tc>
        <w:tc>
          <w:tcPr>
            <w:tcW w:w="965"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14</w:t>
            </w:r>
          </w:p>
        </w:tc>
        <w:tc>
          <w:tcPr>
            <w:tcW w:w="927"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736</w:t>
            </w:r>
          </w:p>
        </w:tc>
        <w:tc>
          <w:tcPr>
            <w:tcW w:w="856" w:type="dxa"/>
            <w:tcBorders>
              <w:bottom w:val="single" w:sz="4" w:space="0" w:color="auto"/>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873</w:t>
            </w:r>
          </w:p>
        </w:tc>
        <w:tc>
          <w:tcPr>
            <w:tcW w:w="1039"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492</w:t>
            </w:r>
          </w:p>
        </w:tc>
        <w:tc>
          <w:tcPr>
            <w:tcW w:w="965"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17</w:t>
            </w:r>
          </w:p>
        </w:tc>
        <w:tc>
          <w:tcPr>
            <w:tcW w:w="927"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r w:rsidR="00D56BB0">
              <w:rPr>
                <w:sz w:val="18"/>
                <w:lang w:val="fr-FR"/>
              </w:rPr>
              <w:t xml:space="preserve"> </w:t>
            </w:r>
            <w:r w:rsidRPr="00640449">
              <w:rPr>
                <w:sz w:val="18"/>
                <w:lang w:val="fr-FR"/>
              </w:rPr>
              <w:t>167</w:t>
            </w:r>
          </w:p>
        </w:tc>
        <w:tc>
          <w:tcPr>
            <w:tcW w:w="856" w:type="dxa"/>
            <w:tcBorders>
              <w:bottom w:val="single" w:sz="4" w:space="0" w:color="auto"/>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w:t>
            </w:r>
            <w:r w:rsidR="00D56BB0" w:rsidRPr="00D20CB5">
              <w:rPr>
                <w:b/>
                <w:bCs/>
                <w:sz w:val="18"/>
                <w:lang w:val="fr-FR"/>
              </w:rPr>
              <w:t xml:space="preserve"> </w:t>
            </w:r>
            <w:r w:rsidRPr="00D20CB5">
              <w:rPr>
                <w:b/>
                <w:bCs/>
                <w:sz w:val="18"/>
                <w:lang w:val="fr-FR"/>
              </w:rPr>
              <w:t>676</w:t>
            </w:r>
          </w:p>
        </w:tc>
      </w:tr>
      <w:tr w:rsidR="00640449" w:rsidRPr="00640449" w:rsidTr="009F2395">
        <w:tc>
          <w:tcPr>
            <w:tcW w:w="930"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283" w:right="0"/>
              <w:jc w:val="right"/>
              <w:rPr>
                <w:b/>
                <w:sz w:val="18"/>
                <w:lang w:val="fr-FR"/>
              </w:rPr>
            </w:pPr>
            <w:r w:rsidRPr="00640449">
              <w:rPr>
                <w:b/>
                <w:sz w:val="18"/>
                <w:lang w:val="fr-FR"/>
              </w:rPr>
              <w:t>Total</w:t>
            </w:r>
          </w:p>
        </w:tc>
        <w:tc>
          <w:tcPr>
            <w:tcW w:w="1039"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201</w:t>
            </w:r>
          </w:p>
        </w:tc>
        <w:tc>
          <w:tcPr>
            <w:tcW w:w="965"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29</w:t>
            </w:r>
          </w:p>
        </w:tc>
        <w:tc>
          <w:tcPr>
            <w:tcW w:w="927"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1</w:t>
            </w:r>
            <w:r w:rsidR="00D56BB0">
              <w:rPr>
                <w:b/>
                <w:sz w:val="18"/>
                <w:lang w:val="fr-FR"/>
              </w:rPr>
              <w:t xml:space="preserve"> </w:t>
            </w:r>
            <w:r w:rsidRPr="00640449">
              <w:rPr>
                <w:b/>
                <w:sz w:val="18"/>
                <w:lang w:val="fr-FR"/>
              </w:rPr>
              <w:t>011</w:t>
            </w:r>
          </w:p>
        </w:tc>
        <w:tc>
          <w:tcPr>
            <w:tcW w:w="856"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1241</w:t>
            </w:r>
          </w:p>
        </w:tc>
        <w:tc>
          <w:tcPr>
            <w:tcW w:w="1039"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769</w:t>
            </w:r>
          </w:p>
        </w:tc>
        <w:tc>
          <w:tcPr>
            <w:tcW w:w="965"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27</w:t>
            </w:r>
          </w:p>
        </w:tc>
        <w:tc>
          <w:tcPr>
            <w:tcW w:w="927"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1</w:t>
            </w:r>
            <w:r w:rsidR="00D56BB0">
              <w:rPr>
                <w:b/>
                <w:sz w:val="18"/>
                <w:lang w:val="fr-FR"/>
              </w:rPr>
              <w:t xml:space="preserve"> </w:t>
            </w:r>
            <w:r w:rsidRPr="00640449">
              <w:rPr>
                <w:b/>
                <w:sz w:val="18"/>
                <w:lang w:val="fr-FR"/>
              </w:rPr>
              <w:t>548</w:t>
            </w:r>
          </w:p>
        </w:tc>
        <w:tc>
          <w:tcPr>
            <w:tcW w:w="856"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w:t>
            </w:r>
            <w:r w:rsidR="00D56BB0">
              <w:rPr>
                <w:b/>
                <w:sz w:val="18"/>
                <w:lang w:val="fr-FR"/>
              </w:rPr>
              <w:t xml:space="preserve"> </w:t>
            </w:r>
            <w:r w:rsidRPr="00640449">
              <w:rPr>
                <w:b/>
                <w:sz w:val="18"/>
                <w:lang w:val="fr-FR"/>
              </w:rPr>
              <w:t>344</w:t>
            </w:r>
          </w:p>
        </w:tc>
      </w:tr>
      <w:tr w:rsidR="00640449" w:rsidRPr="00640449" w:rsidTr="00D20CB5">
        <w:tc>
          <w:tcPr>
            <w:tcW w:w="930" w:type="dxa"/>
            <w:tcBorders>
              <w:top w:val="single" w:sz="12" w:space="0" w:color="auto"/>
              <w:bottom w:val="single" w:sz="4" w:space="0" w:color="auto"/>
            </w:tcBorders>
            <w:shd w:val="clear" w:color="auto" w:fill="auto"/>
            <w:noWrap/>
            <w:hideMark/>
          </w:tcPr>
          <w:p w:rsidR="00674E9C" w:rsidRPr="00640449" w:rsidRDefault="00674E9C" w:rsidP="009F2395">
            <w:pPr>
              <w:pStyle w:val="SingleTxtG"/>
              <w:suppressAutoHyphens w:val="0"/>
              <w:spacing w:before="40" w:after="40" w:line="220" w:lineRule="exact"/>
              <w:ind w:left="0" w:right="0"/>
              <w:jc w:val="left"/>
              <w:rPr>
                <w:i/>
                <w:sz w:val="18"/>
                <w:lang w:val="fr-FR"/>
              </w:rPr>
            </w:pPr>
          </w:p>
        </w:tc>
        <w:tc>
          <w:tcPr>
            <w:tcW w:w="3787" w:type="dxa"/>
            <w:gridSpan w:val="4"/>
            <w:tcBorders>
              <w:top w:val="single" w:sz="12" w:space="0" w:color="auto"/>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center"/>
              <w:rPr>
                <w:i/>
                <w:sz w:val="18"/>
                <w:lang w:val="fr-FR"/>
              </w:rPr>
            </w:pPr>
            <w:r w:rsidRPr="00640449">
              <w:rPr>
                <w:i/>
                <w:sz w:val="18"/>
                <w:lang w:val="fr-FR"/>
              </w:rPr>
              <w:t>2017</w:t>
            </w:r>
          </w:p>
        </w:tc>
        <w:tc>
          <w:tcPr>
            <w:tcW w:w="3787" w:type="dxa"/>
            <w:gridSpan w:val="4"/>
            <w:tcBorders>
              <w:top w:val="single" w:sz="12" w:space="0" w:color="auto"/>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center"/>
              <w:rPr>
                <w:i/>
                <w:sz w:val="18"/>
                <w:lang w:val="fr-FR"/>
              </w:rPr>
            </w:pPr>
            <w:r w:rsidRPr="00640449">
              <w:rPr>
                <w:i/>
                <w:sz w:val="18"/>
                <w:lang w:val="fr-FR"/>
              </w:rPr>
              <w:t>2018</w:t>
            </w:r>
          </w:p>
        </w:tc>
      </w:tr>
      <w:tr w:rsidR="00D56BB0" w:rsidRPr="00D20CB5" w:rsidTr="00D20CB5">
        <w:tc>
          <w:tcPr>
            <w:tcW w:w="930" w:type="dxa"/>
            <w:tcBorders>
              <w:top w:val="single" w:sz="4" w:space="0" w:color="auto"/>
              <w:bottom w:val="single" w:sz="12" w:space="0" w:color="auto"/>
            </w:tcBorders>
            <w:shd w:val="clear" w:color="auto" w:fill="auto"/>
            <w:noWrap/>
            <w:hideMark/>
          </w:tcPr>
          <w:p w:rsidR="00674E9C" w:rsidRPr="00D20CB5" w:rsidRDefault="00210C34" w:rsidP="00D20CB5">
            <w:pPr>
              <w:pStyle w:val="SingleTxtG"/>
              <w:suppressAutoHyphens w:val="0"/>
              <w:spacing w:before="80" w:after="80" w:line="200" w:lineRule="exact"/>
              <w:ind w:left="0" w:right="0"/>
              <w:jc w:val="left"/>
              <w:rPr>
                <w:i/>
                <w:spacing w:val="4"/>
                <w:w w:val="103"/>
                <w:kern w:val="14"/>
                <w:sz w:val="16"/>
                <w:lang w:val="fr-FR"/>
              </w:rPr>
            </w:pPr>
            <w:r w:rsidRPr="00D20CB5">
              <w:rPr>
                <w:i/>
                <w:spacing w:val="4"/>
                <w:w w:val="103"/>
                <w:kern w:val="14"/>
                <w:sz w:val="16"/>
                <w:lang w:val="fr-FR"/>
              </w:rPr>
              <w:t>Sexe</w:t>
            </w:r>
          </w:p>
        </w:tc>
        <w:tc>
          <w:tcPr>
            <w:tcW w:w="1039"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 xml:space="preserve">Protection </w:t>
            </w:r>
            <w:proofErr w:type="spellStart"/>
            <w:r w:rsidRPr="00D20CB5">
              <w:rPr>
                <w:i/>
                <w:spacing w:val="4"/>
                <w:w w:val="103"/>
                <w:kern w:val="14"/>
                <w:sz w:val="16"/>
                <w:lang w:val="fr-FR"/>
              </w:rPr>
              <w:t>inter</w:t>
            </w:r>
            <w:r w:rsidR="00693A62">
              <w:rPr>
                <w:i/>
                <w:spacing w:val="4"/>
                <w:w w:val="103"/>
                <w:kern w:val="14"/>
                <w:sz w:val="16"/>
                <w:lang w:val="fr-FR"/>
              </w:rPr>
              <w:t>-</w:t>
            </w:r>
            <w:r w:rsidRPr="00D20CB5">
              <w:rPr>
                <w:i/>
                <w:spacing w:val="4"/>
                <w:w w:val="103"/>
                <w:kern w:val="14"/>
                <w:sz w:val="16"/>
                <w:lang w:val="fr-FR"/>
              </w:rPr>
              <w:t>nationale</w:t>
            </w:r>
            <w:proofErr w:type="spellEnd"/>
            <w:r w:rsidR="00693A62">
              <w:rPr>
                <w:i/>
                <w:spacing w:val="4"/>
                <w:w w:val="103"/>
                <w:kern w:val="14"/>
                <w:sz w:val="16"/>
                <w:lang w:val="fr-FR"/>
              </w:rPr>
              <w:t xml:space="preserve"> r</w:t>
            </w:r>
            <w:r w:rsidRPr="00D20CB5">
              <w:rPr>
                <w:i/>
                <w:spacing w:val="4"/>
                <w:w w:val="103"/>
                <w:kern w:val="14"/>
                <w:sz w:val="16"/>
                <w:lang w:val="fr-FR"/>
              </w:rPr>
              <w:t>éfugié</w:t>
            </w:r>
          </w:p>
        </w:tc>
        <w:tc>
          <w:tcPr>
            <w:tcW w:w="965"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Protection subsidiaire</w:t>
            </w:r>
          </w:p>
        </w:tc>
        <w:tc>
          <w:tcPr>
            <w:tcW w:w="927"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Décision négative</w:t>
            </w:r>
          </w:p>
        </w:tc>
        <w:tc>
          <w:tcPr>
            <w:tcW w:w="856"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b/>
                <w:bCs/>
                <w:i/>
                <w:spacing w:val="4"/>
                <w:w w:val="103"/>
                <w:kern w:val="14"/>
                <w:sz w:val="16"/>
                <w:lang w:val="fr-FR"/>
              </w:rPr>
            </w:pPr>
            <w:r w:rsidRPr="00D20CB5">
              <w:rPr>
                <w:b/>
                <w:bCs/>
                <w:i/>
                <w:spacing w:val="4"/>
                <w:w w:val="103"/>
                <w:kern w:val="14"/>
                <w:sz w:val="16"/>
                <w:lang w:val="fr-FR"/>
              </w:rPr>
              <w:t>Total</w:t>
            </w:r>
          </w:p>
        </w:tc>
        <w:tc>
          <w:tcPr>
            <w:tcW w:w="1039"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 xml:space="preserve">Protection </w:t>
            </w:r>
            <w:proofErr w:type="spellStart"/>
            <w:r w:rsidRPr="00D20CB5">
              <w:rPr>
                <w:i/>
                <w:spacing w:val="4"/>
                <w:w w:val="103"/>
                <w:kern w:val="14"/>
                <w:sz w:val="16"/>
                <w:lang w:val="fr-FR"/>
              </w:rPr>
              <w:t>inter</w:t>
            </w:r>
            <w:r w:rsidR="00693A62">
              <w:rPr>
                <w:i/>
                <w:spacing w:val="4"/>
                <w:w w:val="103"/>
                <w:kern w:val="14"/>
                <w:sz w:val="16"/>
                <w:lang w:val="fr-FR"/>
              </w:rPr>
              <w:t>-</w:t>
            </w:r>
            <w:r w:rsidRPr="00D20CB5">
              <w:rPr>
                <w:i/>
                <w:spacing w:val="4"/>
                <w:w w:val="103"/>
                <w:kern w:val="14"/>
                <w:sz w:val="16"/>
                <w:lang w:val="fr-FR"/>
              </w:rPr>
              <w:t>nationale</w:t>
            </w:r>
            <w:proofErr w:type="spellEnd"/>
            <w:r w:rsidR="00693A62">
              <w:rPr>
                <w:i/>
                <w:spacing w:val="4"/>
                <w:w w:val="103"/>
                <w:kern w:val="14"/>
                <w:sz w:val="16"/>
                <w:lang w:val="fr-FR"/>
              </w:rPr>
              <w:t xml:space="preserve"> r</w:t>
            </w:r>
            <w:r w:rsidRPr="00D20CB5">
              <w:rPr>
                <w:i/>
                <w:spacing w:val="4"/>
                <w:w w:val="103"/>
                <w:kern w:val="14"/>
                <w:sz w:val="16"/>
                <w:lang w:val="fr-FR"/>
              </w:rPr>
              <w:t>éfugié</w:t>
            </w:r>
          </w:p>
        </w:tc>
        <w:tc>
          <w:tcPr>
            <w:tcW w:w="965"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Protection subsidiaire</w:t>
            </w:r>
          </w:p>
        </w:tc>
        <w:tc>
          <w:tcPr>
            <w:tcW w:w="927"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Décision négative</w:t>
            </w:r>
          </w:p>
        </w:tc>
        <w:tc>
          <w:tcPr>
            <w:tcW w:w="856"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b/>
                <w:bCs/>
                <w:i/>
                <w:spacing w:val="4"/>
                <w:w w:val="103"/>
                <w:kern w:val="14"/>
                <w:sz w:val="16"/>
                <w:lang w:val="fr-FR"/>
              </w:rPr>
            </w:pPr>
            <w:r w:rsidRPr="00D20CB5">
              <w:rPr>
                <w:b/>
                <w:bCs/>
                <w:i/>
                <w:spacing w:val="4"/>
                <w:w w:val="103"/>
                <w:kern w:val="14"/>
                <w:sz w:val="16"/>
                <w:lang w:val="fr-FR"/>
              </w:rPr>
              <w:t>Total</w:t>
            </w:r>
          </w:p>
        </w:tc>
      </w:tr>
      <w:tr w:rsidR="00640449" w:rsidRPr="00640449" w:rsidTr="00D20CB5">
        <w:tc>
          <w:tcPr>
            <w:tcW w:w="930" w:type="dxa"/>
            <w:tcBorders>
              <w:top w:val="single" w:sz="12" w:space="0" w:color="auto"/>
            </w:tcBorders>
            <w:shd w:val="clear" w:color="auto" w:fill="auto"/>
            <w:noWrap/>
            <w:hideMark/>
          </w:tcPr>
          <w:p w:rsidR="00674E9C" w:rsidRPr="00640449" w:rsidRDefault="00210C34" w:rsidP="009F2395">
            <w:pPr>
              <w:pStyle w:val="SingleTxtG"/>
              <w:suppressAutoHyphens w:val="0"/>
              <w:spacing w:before="40" w:after="40" w:line="220" w:lineRule="exact"/>
              <w:ind w:left="0" w:right="0"/>
              <w:jc w:val="left"/>
              <w:rPr>
                <w:sz w:val="18"/>
                <w:lang w:val="fr-FR"/>
              </w:rPr>
            </w:pPr>
            <w:r w:rsidRPr="00640449">
              <w:rPr>
                <w:sz w:val="18"/>
                <w:lang w:val="fr-FR"/>
              </w:rPr>
              <w:t>Féminin</w:t>
            </w:r>
          </w:p>
        </w:tc>
        <w:tc>
          <w:tcPr>
            <w:tcW w:w="1039"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452</w:t>
            </w:r>
          </w:p>
        </w:tc>
        <w:tc>
          <w:tcPr>
            <w:tcW w:w="965"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12</w:t>
            </w:r>
          </w:p>
        </w:tc>
        <w:tc>
          <w:tcPr>
            <w:tcW w:w="927"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375</w:t>
            </w:r>
          </w:p>
        </w:tc>
        <w:tc>
          <w:tcPr>
            <w:tcW w:w="856" w:type="dxa"/>
            <w:tcBorders>
              <w:top w:val="single" w:sz="12" w:space="0" w:color="auto"/>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839</w:t>
            </w:r>
          </w:p>
        </w:tc>
        <w:tc>
          <w:tcPr>
            <w:tcW w:w="1039"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369</w:t>
            </w:r>
          </w:p>
        </w:tc>
        <w:tc>
          <w:tcPr>
            <w:tcW w:w="965"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17</w:t>
            </w:r>
          </w:p>
        </w:tc>
        <w:tc>
          <w:tcPr>
            <w:tcW w:w="927"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220</w:t>
            </w:r>
          </w:p>
        </w:tc>
        <w:tc>
          <w:tcPr>
            <w:tcW w:w="856" w:type="dxa"/>
            <w:tcBorders>
              <w:top w:val="single" w:sz="12" w:space="0" w:color="auto"/>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606</w:t>
            </w:r>
          </w:p>
        </w:tc>
      </w:tr>
      <w:tr w:rsidR="00640449" w:rsidRPr="00640449" w:rsidTr="009F2395">
        <w:tc>
          <w:tcPr>
            <w:tcW w:w="930" w:type="dxa"/>
            <w:tcBorders>
              <w:bottom w:val="single" w:sz="4" w:space="0" w:color="auto"/>
            </w:tcBorders>
            <w:shd w:val="clear" w:color="auto" w:fill="auto"/>
            <w:noWrap/>
            <w:hideMark/>
          </w:tcPr>
          <w:p w:rsidR="00674E9C" w:rsidRPr="00640449" w:rsidRDefault="00210C34" w:rsidP="009F2395">
            <w:pPr>
              <w:pStyle w:val="SingleTxtG"/>
              <w:suppressAutoHyphens w:val="0"/>
              <w:spacing w:before="40" w:after="40" w:line="220" w:lineRule="exact"/>
              <w:ind w:left="0" w:right="0"/>
              <w:jc w:val="left"/>
              <w:rPr>
                <w:sz w:val="18"/>
                <w:lang w:val="fr-FR"/>
              </w:rPr>
            </w:pPr>
            <w:r w:rsidRPr="00640449">
              <w:rPr>
                <w:sz w:val="18"/>
                <w:lang w:val="fr-FR"/>
              </w:rPr>
              <w:t>Masculin</w:t>
            </w:r>
          </w:p>
        </w:tc>
        <w:tc>
          <w:tcPr>
            <w:tcW w:w="1039"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723</w:t>
            </w:r>
          </w:p>
        </w:tc>
        <w:tc>
          <w:tcPr>
            <w:tcW w:w="965"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44</w:t>
            </w:r>
          </w:p>
        </w:tc>
        <w:tc>
          <w:tcPr>
            <w:tcW w:w="927"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r w:rsidR="00D56BB0">
              <w:rPr>
                <w:sz w:val="18"/>
                <w:lang w:val="fr-FR"/>
              </w:rPr>
              <w:t xml:space="preserve"> </w:t>
            </w:r>
            <w:r w:rsidRPr="00640449">
              <w:rPr>
                <w:sz w:val="18"/>
                <w:lang w:val="fr-FR"/>
              </w:rPr>
              <w:t>606</w:t>
            </w:r>
          </w:p>
        </w:tc>
        <w:tc>
          <w:tcPr>
            <w:tcW w:w="856" w:type="dxa"/>
            <w:tcBorders>
              <w:bottom w:val="single" w:sz="4" w:space="0" w:color="auto"/>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2</w:t>
            </w:r>
            <w:r w:rsidR="00D56BB0" w:rsidRPr="00D20CB5">
              <w:rPr>
                <w:b/>
                <w:bCs/>
                <w:sz w:val="18"/>
                <w:lang w:val="fr-FR"/>
              </w:rPr>
              <w:t xml:space="preserve"> </w:t>
            </w:r>
            <w:r w:rsidRPr="00D20CB5">
              <w:rPr>
                <w:b/>
                <w:bCs/>
                <w:sz w:val="18"/>
                <w:lang w:val="fr-FR"/>
              </w:rPr>
              <w:t>373</w:t>
            </w:r>
          </w:p>
        </w:tc>
        <w:tc>
          <w:tcPr>
            <w:tcW w:w="1039"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620</w:t>
            </w:r>
          </w:p>
        </w:tc>
        <w:tc>
          <w:tcPr>
            <w:tcW w:w="965"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57</w:t>
            </w:r>
          </w:p>
        </w:tc>
        <w:tc>
          <w:tcPr>
            <w:tcW w:w="927"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r w:rsidR="00D56BB0">
              <w:rPr>
                <w:sz w:val="18"/>
                <w:lang w:val="fr-FR"/>
              </w:rPr>
              <w:t xml:space="preserve"> </w:t>
            </w:r>
            <w:r w:rsidRPr="00640449">
              <w:rPr>
                <w:sz w:val="18"/>
                <w:lang w:val="fr-FR"/>
              </w:rPr>
              <w:t>100</w:t>
            </w:r>
          </w:p>
        </w:tc>
        <w:tc>
          <w:tcPr>
            <w:tcW w:w="856" w:type="dxa"/>
            <w:tcBorders>
              <w:bottom w:val="single" w:sz="4" w:space="0" w:color="auto"/>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w:t>
            </w:r>
            <w:r w:rsidR="00D56BB0" w:rsidRPr="00D20CB5">
              <w:rPr>
                <w:b/>
                <w:bCs/>
                <w:sz w:val="18"/>
                <w:lang w:val="fr-FR"/>
              </w:rPr>
              <w:t xml:space="preserve"> </w:t>
            </w:r>
            <w:r w:rsidRPr="00D20CB5">
              <w:rPr>
                <w:b/>
                <w:bCs/>
                <w:sz w:val="18"/>
                <w:lang w:val="fr-FR"/>
              </w:rPr>
              <w:t>777</w:t>
            </w:r>
          </w:p>
        </w:tc>
      </w:tr>
      <w:tr w:rsidR="002733AE" w:rsidRPr="00640449" w:rsidTr="009F2395">
        <w:tc>
          <w:tcPr>
            <w:tcW w:w="930"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283" w:right="0"/>
              <w:jc w:val="right"/>
              <w:rPr>
                <w:b/>
                <w:sz w:val="18"/>
                <w:lang w:val="fr-FR"/>
              </w:rPr>
            </w:pPr>
            <w:r w:rsidRPr="00640449">
              <w:rPr>
                <w:b/>
                <w:sz w:val="18"/>
                <w:lang w:val="fr-FR"/>
              </w:rPr>
              <w:lastRenderedPageBreak/>
              <w:t>Total</w:t>
            </w:r>
          </w:p>
        </w:tc>
        <w:tc>
          <w:tcPr>
            <w:tcW w:w="1039"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1</w:t>
            </w:r>
            <w:r w:rsidR="00D56BB0">
              <w:rPr>
                <w:b/>
                <w:sz w:val="18"/>
                <w:lang w:val="fr-FR"/>
              </w:rPr>
              <w:t xml:space="preserve"> </w:t>
            </w:r>
            <w:r w:rsidRPr="00640449">
              <w:rPr>
                <w:b/>
                <w:sz w:val="18"/>
                <w:lang w:val="fr-FR"/>
              </w:rPr>
              <w:t>175</w:t>
            </w:r>
          </w:p>
        </w:tc>
        <w:tc>
          <w:tcPr>
            <w:tcW w:w="965"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56</w:t>
            </w:r>
          </w:p>
        </w:tc>
        <w:tc>
          <w:tcPr>
            <w:tcW w:w="927"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1</w:t>
            </w:r>
            <w:r w:rsidR="00D56BB0">
              <w:rPr>
                <w:b/>
                <w:sz w:val="18"/>
                <w:lang w:val="fr-FR"/>
              </w:rPr>
              <w:t xml:space="preserve"> </w:t>
            </w:r>
            <w:r w:rsidRPr="00640449">
              <w:rPr>
                <w:b/>
                <w:sz w:val="18"/>
                <w:lang w:val="fr-FR"/>
              </w:rPr>
              <w:t>981</w:t>
            </w:r>
          </w:p>
        </w:tc>
        <w:tc>
          <w:tcPr>
            <w:tcW w:w="856"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3</w:t>
            </w:r>
            <w:r w:rsidR="00D56BB0">
              <w:rPr>
                <w:b/>
                <w:sz w:val="18"/>
                <w:lang w:val="fr-FR"/>
              </w:rPr>
              <w:t xml:space="preserve"> </w:t>
            </w:r>
            <w:r w:rsidRPr="00640449">
              <w:rPr>
                <w:b/>
                <w:sz w:val="18"/>
                <w:lang w:val="fr-FR"/>
              </w:rPr>
              <w:t>212</w:t>
            </w:r>
          </w:p>
        </w:tc>
        <w:tc>
          <w:tcPr>
            <w:tcW w:w="1039"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989</w:t>
            </w:r>
          </w:p>
        </w:tc>
        <w:tc>
          <w:tcPr>
            <w:tcW w:w="965"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74</w:t>
            </w:r>
          </w:p>
        </w:tc>
        <w:tc>
          <w:tcPr>
            <w:tcW w:w="927"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1</w:t>
            </w:r>
            <w:r w:rsidR="00D56BB0">
              <w:rPr>
                <w:b/>
                <w:sz w:val="18"/>
                <w:lang w:val="fr-FR"/>
              </w:rPr>
              <w:t xml:space="preserve"> </w:t>
            </w:r>
            <w:r w:rsidRPr="00640449">
              <w:rPr>
                <w:b/>
                <w:sz w:val="18"/>
                <w:lang w:val="fr-FR"/>
              </w:rPr>
              <w:t>320</w:t>
            </w:r>
          </w:p>
        </w:tc>
        <w:tc>
          <w:tcPr>
            <w:tcW w:w="856"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w:t>
            </w:r>
            <w:r w:rsidR="00D56BB0">
              <w:rPr>
                <w:b/>
                <w:sz w:val="18"/>
                <w:lang w:val="fr-FR"/>
              </w:rPr>
              <w:t xml:space="preserve"> </w:t>
            </w:r>
            <w:r w:rsidRPr="00640449">
              <w:rPr>
                <w:b/>
                <w:sz w:val="18"/>
                <w:lang w:val="fr-FR"/>
              </w:rPr>
              <w:t>383</w:t>
            </w:r>
          </w:p>
        </w:tc>
      </w:tr>
    </w:tbl>
    <w:p w:rsidR="00674E9C" w:rsidRPr="00640449" w:rsidRDefault="00674E9C" w:rsidP="00674E9C">
      <w:pPr>
        <w:pStyle w:val="SingleTxtG"/>
        <w:rPr>
          <w:lang w:val="fr-LU"/>
        </w:rPr>
      </w:pPr>
    </w:p>
    <w:tbl>
      <w:tblPr>
        <w:tblW w:w="7370" w:type="dxa"/>
        <w:tblInd w:w="1134" w:type="dxa"/>
        <w:tblLayout w:type="fixed"/>
        <w:tblCellMar>
          <w:left w:w="0" w:type="dxa"/>
          <w:right w:w="0" w:type="dxa"/>
        </w:tblCellMar>
        <w:tblLook w:val="04A0" w:firstRow="1" w:lastRow="0" w:firstColumn="1" w:lastColumn="0" w:noHBand="0" w:noVBand="1"/>
      </w:tblPr>
      <w:tblGrid>
        <w:gridCol w:w="745"/>
        <w:gridCol w:w="1122"/>
        <w:gridCol w:w="934"/>
        <w:gridCol w:w="758"/>
        <w:gridCol w:w="701"/>
        <w:gridCol w:w="12"/>
        <w:gridCol w:w="838"/>
        <w:gridCol w:w="789"/>
        <w:gridCol w:w="758"/>
        <w:gridCol w:w="701"/>
        <w:gridCol w:w="12"/>
      </w:tblGrid>
      <w:tr w:rsidR="00640449" w:rsidRPr="00640449" w:rsidTr="00D20CB5">
        <w:trPr>
          <w:tblHeader/>
        </w:trPr>
        <w:tc>
          <w:tcPr>
            <w:tcW w:w="7827" w:type="dxa"/>
            <w:gridSpan w:val="11"/>
            <w:tcBorders>
              <w:top w:val="single" w:sz="4" w:space="0" w:color="auto"/>
              <w:bottom w:val="single" w:sz="4" w:space="0" w:color="auto"/>
            </w:tcBorders>
            <w:shd w:val="clear" w:color="auto" w:fill="auto"/>
            <w:noWrap/>
            <w:vAlign w:val="bottom"/>
            <w:hideMark/>
          </w:tcPr>
          <w:p w:rsidR="00674E9C" w:rsidRPr="00640449" w:rsidRDefault="00674E9C" w:rsidP="00D20CB5">
            <w:pPr>
              <w:pStyle w:val="SingleTxtG"/>
              <w:suppressAutoHyphens w:val="0"/>
              <w:spacing w:before="80" w:after="80" w:line="200" w:lineRule="exact"/>
              <w:ind w:left="0" w:right="0"/>
              <w:jc w:val="center"/>
              <w:rPr>
                <w:i/>
                <w:sz w:val="16"/>
                <w:lang w:val="fr-FR"/>
              </w:rPr>
            </w:pPr>
            <w:r w:rsidRPr="00640449">
              <w:rPr>
                <w:i/>
                <w:sz w:val="16"/>
                <w:lang w:val="fr-FR"/>
              </w:rPr>
              <w:t>Décisions en matière de protection internationale</w:t>
            </w:r>
          </w:p>
        </w:tc>
      </w:tr>
      <w:tr w:rsidR="005D6EBA" w:rsidRPr="00D20CB5" w:rsidTr="00D20CB5">
        <w:trPr>
          <w:tblHeader/>
        </w:trPr>
        <w:tc>
          <w:tcPr>
            <w:tcW w:w="792" w:type="dxa"/>
            <w:tcBorders>
              <w:top w:val="single" w:sz="4"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left"/>
              <w:rPr>
                <w:i/>
                <w:spacing w:val="4"/>
                <w:w w:val="103"/>
                <w:kern w:val="14"/>
                <w:sz w:val="16"/>
                <w:lang w:val="fr-FR"/>
              </w:rPr>
            </w:pPr>
          </w:p>
        </w:tc>
        <w:tc>
          <w:tcPr>
            <w:tcW w:w="3746" w:type="dxa"/>
            <w:gridSpan w:val="5"/>
            <w:tcBorders>
              <w:top w:val="single" w:sz="4"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center"/>
              <w:rPr>
                <w:i/>
                <w:spacing w:val="4"/>
                <w:w w:val="103"/>
                <w:kern w:val="14"/>
                <w:sz w:val="16"/>
                <w:lang w:val="fr-FR"/>
              </w:rPr>
            </w:pPr>
            <w:r w:rsidRPr="00D20CB5">
              <w:rPr>
                <w:i/>
                <w:spacing w:val="4"/>
                <w:w w:val="103"/>
                <w:kern w:val="14"/>
                <w:sz w:val="16"/>
                <w:lang w:val="fr-FR"/>
              </w:rPr>
              <w:t>2015</w:t>
            </w:r>
          </w:p>
        </w:tc>
        <w:tc>
          <w:tcPr>
            <w:tcW w:w="3289" w:type="dxa"/>
            <w:gridSpan w:val="5"/>
            <w:tcBorders>
              <w:top w:val="single" w:sz="4"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center"/>
              <w:rPr>
                <w:i/>
                <w:spacing w:val="4"/>
                <w:w w:val="103"/>
                <w:kern w:val="14"/>
                <w:sz w:val="16"/>
                <w:lang w:val="fr-FR"/>
              </w:rPr>
            </w:pPr>
            <w:r w:rsidRPr="00D20CB5">
              <w:rPr>
                <w:i/>
                <w:spacing w:val="4"/>
                <w:w w:val="103"/>
                <w:kern w:val="14"/>
                <w:sz w:val="16"/>
                <w:lang w:val="fr-FR"/>
              </w:rPr>
              <w:t>2016</w:t>
            </w:r>
          </w:p>
        </w:tc>
      </w:tr>
      <w:tr w:rsidR="005D6EBA" w:rsidRPr="00D20CB5" w:rsidTr="00D20CB5">
        <w:trPr>
          <w:gridAfter w:val="1"/>
          <w:wAfter w:w="12" w:type="dxa"/>
          <w:tblHeader/>
        </w:trPr>
        <w:tc>
          <w:tcPr>
            <w:tcW w:w="792"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left"/>
              <w:rPr>
                <w:i/>
                <w:spacing w:val="4"/>
                <w:w w:val="103"/>
                <w:kern w:val="14"/>
                <w:sz w:val="16"/>
                <w:lang w:val="fr-FR"/>
              </w:rPr>
            </w:pPr>
            <w:r w:rsidRPr="00D20CB5">
              <w:rPr>
                <w:i/>
                <w:spacing w:val="4"/>
                <w:w w:val="103"/>
                <w:kern w:val="14"/>
                <w:sz w:val="16"/>
                <w:lang w:val="fr-FR"/>
              </w:rPr>
              <w:t>Tranche d'âge</w:t>
            </w:r>
          </w:p>
        </w:tc>
        <w:tc>
          <w:tcPr>
            <w:tcW w:w="1193"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Protection internationale</w:t>
            </w:r>
            <w:r w:rsidR="005D6EBA">
              <w:rPr>
                <w:i/>
                <w:spacing w:val="4"/>
                <w:w w:val="103"/>
                <w:kern w:val="14"/>
                <w:sz w:val="16"/>
                <w:lang w:val="fr-FR"/>
              </w:rPr>
              <w:t xml:space="preserve"> </w:t>
            </w:r>
            <w:r w:rsidR="00285C30">
              <w:rPr>
                <w:i/>
                <w:spacing w:val="4"/>
                <w:w w:val="103"/>
                <w:kern w:val="14"/>
                <w:sz w:val="16"/>
                <w:lang w:val="fr-FR"/>
              </w:rPr>
              <w:t>r</w:t>
            </w:r>
            <w:r w:rsidRPr="00D20CB5">
              <w:rPr>
                <w:i/>
                <w:spacing w:val="4"/>
                <w:w w:val="103"/>
                <w:kern w:val="14"/>
                <w:sz w:val="16"/>
                <w:lang w:val="fr-FR"/>
              </w:rPr>
              <w:t>éfugié</w:t>
            </w:r>
          </w:p>
        </w:tc>
        <w:tc>
          <w:tcPr>
            <w:tcW w:w="992"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Protection subsidiaire</w:t>
            </w:r>
          </w:p>
        </w:tc>
        <w:tc>
          <w:tcPr>
            <w:tcW w:w="805"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Décision négative</w:t>
            </w:r>
          </w:p>
        </w:tc>
        <w:tc>
          <w:tcPr>
            <w:tcW w:w="744"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b/>
                <w:bCs/>
                <w:i/>
                <w:spacing w:val="4"/>
                <w:w w:val="103"/>
                <w:kern w:val="14"/>
                <w:sz w:val="16"/>
                <w:lang w:val="fr-FR"/>
              </w:rPr>
            </w:pPr>
            <w:r w:rsidRPr="00D20CB5">
              <w:rPr>
                <w:b/>
                <w:bCs/>
                <w:i/>
                <w:spacing w:val="4"/>
                <w:w w:val="103"/>
                <w:kern w:val="14"/>
                <w:sz w:val="16"/>
                <w:lang w:val="fr-FR"/>
              </w:rPr>
              <w:t>Total</w:t>
            </w:r>
          </w:p>
        </w:tc>
        <w:tc>
          <w:tcPr>
            <w:tcW w:w="902" w:type="dxa"/>
            <w:gridSpan w:val="2"/>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 xml:space="preserve">Protection </w:t>
            </w:r>
            <w:proofErr w:type="spellStart"/>
            <w:r w:rsidRPr="00D20CB5">
              <w:rPr>
                <w:i/>
                <w:spacing w:val="4"/>
                <w:w w:val="103"/>
                <w:kern w:val="14"/>
                <w:sz w:val="16"/>
                <w:lang w:val="fr-FR"/>
              </w:rPr>
              <w:t>inter</w:t>
            </w:r>
            <w:r w:rsidR="005D6EBA">
              <w:rPr>
                <w:i/>
                <w:spacing w:val="4"/>
                <w:w w:val="103"/>
                <w:kern w:val="14"/>
                <w:sz w:val="16"/>
                <w:lang w:val="fr-FR"/>
              </w:rPr>
              <w:t>-</w:t>
            </w:r>
            <w:r w:rsidRPr="00D20CB5">
              <w:rPr>
                <w:i/>
                <w:spacing w:val="4"/>
                <w:w w:val="103"/>
                <w:kern w:val="14"/>
                <w:sz w:val="16"/>
                <w:lang w:val="fr-FR"/>
              </w:rPr>
              <w:t>nationale</w:t>
            </w:r>
            <w:proofErr w:type="spellEnd"/>
            <w:r w:rsidR="005D6EBA">
              <w:rPr>
                <w:i/>
                <w:spacing w:val="4"/>
                <w:w w:val="103"/>
                <w:kern w:val="14"/>
                <w:sz w:val="16"/>
                <w:lang w:val="fr-FR"/>
              </w:rPr>
              <w:t xml:space="preserve"> </w:t>
            </w:r>
            <w:r w:rsidR="00285C30">
              <w:rPr>
                <w:i/>
                <w:spacing w:val="4"/>
                <w:w w:val="103"/>
                <w:kern w:val="14"/>
                <w:sz w:val="16"/>
                <w:lang w:val="fr-FR"/>
              </w:rPr>
              <w:t>r</w:t>
            </w:r>
            <w:r w:rsidRPr="00D20CB5">
              <w:rPr>
                <w:i/>
                <w:spacing w:val="4"/>
                <w:w w:val="103"/>
                <w:kern w:val="14"/>
                <w:sz w:val="16"/>
                <w:lang w:val="fr-FR"/>
              </w:rPr>
              <w:t>éfugié</w:t>
            </w:r>
          </w:p>
        </w:tc>
        <w:tc>
          <w:tcPr>
            <w:tcW w:w="838"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Protection subsidiaire</w:t>
            </w:r>
          </w:p>
        </w:tc>
        <w:tc>
          <w:tcPr>
            <w:tcW w:w="805"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Décision négative</w:t>
            </w:r>
          </w:p>
        </w:tc>
        <w:tc>
          <w:tcPr>
            <w:tcW w:w="744"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b/>
                <w:bCs/>
                <w:i/>
                <w:spacing w:val="4"/>
                <w:w w:val="103"/>
                <w:kern w:val="14"/>
                <w:sz w:val="16"/>
                <w:lang w:val="fr-FR"/>
              </w:rPr>
            </w:pPr>
            <w:r w:rsidRPr="00D20CB5">
              <w:rPr>
                <w:b/>
                <w:bCs/>
                <w:i/>
                <w:spacing w:val="4"/>
                <w:w w:val="103"/>
                <w:kern w:val="14"/>
                <w:sz w:val="16"/>
                <w:lang w:val="fr-FR"/>
              </w:rPr>
              <w:t>Total</w:t>
            </w:r>
          </w:p>
        </w:tc>
      </w:tr>
      <w:tr w:rsidR="00640449" w:rsidRPr="00640449" w:rsidTr="00D20CB5">
        <w:trPr>
          <w:gridAfter w:val="1"/>
          <w:wAfter w:w="12" w:type="dxa"/>
        </w:trPr>
        <w:tc>
          <w:tcPr>
            <w:tcW w:w="792" w:type="dxa"/>
            <w:tcBorders>
              <w:top w:val="single" w:sz="12" w:space="0" w:color="auto"/>
            </w:tcBorders>
            <w:shd w:val="clear" w:color="auto" w:fill="auto"/>
            <w:noWrap/>
            <w:hideMark/>
          </w:tcPr>
          <w:p w:rsidR="00674E9C" w:rsidRPr="00640449" w:rsidRDefault="00674E9C" w:rsidP="009F2395">
            <w:pPr>
              <w:pStyle w:val="SingleTxtG"/>
              <w:suppressAutoHyphens w:val="0"/>
              <w:spacing w:before="40" w:after="40" w:line="220" w:lineRule="exact"/>
              <w:ind w:left="0" w:right="0"/>
              <w:jc w:val="left"/>
              <w:rPr>
                <w:sz w:val="18"/>
                <w:lang w:val="fr-FR"/>
              </w:rPr>
            </w:pPr>
            <w:r w:rsidRPr="00640449">
              <w:rPr>
                <w:sz w:val="18"/>
                <w:lang w:val="fr-FR"/>
              </w:rPr>
              <w:t>0-5</w:t>
            </w:r>
          </w:p>
        </w:tc>
        <w:tc>
          <w:tcPr>
            <w:tcW w:w="1193"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51</w:t>
            </w:r>
          </w:p>
        </w:tc>
        <w:tc>
          <w:tcPr>
            <w:tcW w:w="992"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w:t>
            </w:r>
          </w:p>
        </w:tc>
        <w:tc>
          <w:tcPr>
            <w:tcW w:w="805"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96</w:t>
            </w:r>
          </w:p>
        </w:tc>
        <w:tc>
          <w:tcPr>
            <w:tcW w:w="744" w:type="dxa"/>
            <w:tcBorders>
              <w:top w:val="single" w:sz="12" w:space="0" w:color="auto"/>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150</w:t>
            </w:r>
          </w:p>
        </w:tc>
        <w:tc>
          <w:tcPr>
            <w:tcW w:w="902" w:type="dxa"/>
            <w:gridSpan w:val="2"/>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128</w:t>
            </w:r>
          </w:p>
        </w:tc>
        <w:tc>
          <w:tcPr>
            <w:tcW w:w="838"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w:t>
            </w:r>
          </w:p>
        </w:tc>
        <w:tc>
          <w:tcPr>
            <w:tcW w:w="805"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120</w:t>
            </w:r>
          </w:p>
        </w:tc>
        <w:tc>
          <w:tcPr>
            <w:tcW w:w="744" w:type="dxa"/>
            <w:tcBorders>
              <w:top w:val="single" w:sz="12" w:space="0" w:color="auto"/>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250</w:t>
            </w:r>
          </w:p>
        </w:tc>
      </w:tr>
      <w:tr w:rsidR="00640449" w:rsidRPr="00640449" w:rsidTr="009F2395">
        <w:trPr>
          <w:gridAfter w:val="1"/>
          <w:wAfter w:w="12" w:type="dxa"/>
        </w:trPr>
        <w:tc>
          <w:tcPr>
            <w:tcW w:w="792" w:type="dxa"/>
            <w:shd w:val="clear" w:color="auto" w:fill="auto"/>
            <w:noWrap/>
            <w:hideMark/>
          </w:tcPr>
          <w:p w:rsidR="00674E9C" w:rsidRPr="00640449" w:rsidRDefault="00674E9C" w:rsidP="009F2395">
            <w:pPr>
              <w:pStyle w:val="SingleTxtG"/>
              <w:suppressAutoHyphens w:val="0"/>
              <w:spacing w:before="40" w:after="40" w:line="220" w:lineRule="exact"/>
              <w:ind w:left="0" w:right="0"/>
              <w:jc w:val="left"/>
              <w:rPr>
                <w:sz w:val="18"/>
                <w:lang w:val="fr-FR"/>
              </w:rPr>
            </w:pPr>
            <w:r w:rsidRPr="00640449">
              <w:rPr>
                <w:sz w:val="18"/>
                <w:lang w:val="fr-FR"/>
              </w:rPr>
              <w:t>6-11</w:t>
            </w:r>
          </w:p>
        </w:tc>
        <w:tc>
          <w:tcPr>
            <w:tcW w:w="1193"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22</w:t>
            </w:r>
          </w:p>
        </w:tc>
        <w:tc>
          <w:tcPr>
            <w:tcW w:w="992"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w:t>
            </w: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67</w:t>
            </w:r>
          </w:p>
        </w:tc>
        <w:tc>
          <w:tcPr>
            <w:tcW w:w="744" w:type="dxa"/>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92</w:t>
            </w:r>
          </w:p>
        </w:tc>
        <w:tc>
          <w:tcPr>
            <w:tcW w:w="902" w:type="dxa"/>
            <w:gridSpan w:val="2"/>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91</w:t>
            </w:r>
          </w:p>
        </w:tc>
        <w:tc>
          <w:tcPr>
            <w:tcW w:w="838"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w:t>
            </w: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77</w:t>
            </w:r>
          </w:p>
        </w:tc>
        <w:tc>
          <w:tcPr>
            <w:tcW w:w="744" w:type="dxa"/>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173</w:t>
            </w:r>
          </w:p>
        </w:tc>
      </w:tr>
      <w:tr w:rsidR="00640449" w:rsidRPr="00640449" w:rsidTr="009F2395">
        <w:trPr>
          <w:gridAfter w:val="1"/>
          <w:wAfter w:w="12" w:type="dxa"/>
        </w:trPr>
        <w:tc>
          <w:tcPr>
            <w:tcW w:w="792" w:type="dxa"/>
            <w:shd w:val="clear" w:color="auto" w:fill="auto"/>
            <w:noWrap/>
            <w:hideMark/>
          </w:tcPr>
          <w:p w:rsidR="00674E9C" w:rsidRPr="00640449" w:rsidRDefault="00674E9C" w:rsidP="009F2395">
            <w:pPr>
              <w:pStyle w:val="SingleTxtG"/>
              <w:suppressAutoHyphens w:val="0"/>
              <w:spacing w:before="40" w:after="40" w:line="220" w:lineRule="exact"/>
              <w:ind w:left="0" w:right="0"/>
              <w:jc w:val="left"/>
              <w:rPr>
                <w:sz w:val="18"/>
                <w:lang w:val="fr-FR"/>
              </w:rPr>
            </w:pPr>
            <w:r w:rsidRPr="00640449">
              <w:rPr>
                <w:sz w:val="18"/>
                <w:lang w:val="fr-FR"/>
              </w:rPr>
              <w:t>12-17</w:t>
            </w:r>
          </w:p>
        </w:tc>
        <w:tc>
          <w:tcPr>
            <w:tcW w:w="1193"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11</w:t>
            </w:r>
          </w:p>
        </w:tc>
        <w:tc>
          <w:tcPr>
            <w:tcW w:w="992"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w:t>
            </w: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65</w:t>
            </w:r>
          </w:p>
        </w:tc>
        <w:tc>
          <w:tcPr>
            <w:tcW w:w="744" w:type="dxa"/>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78</w:t>
            </w:r>
          </w:p>
        </w:tc>
        <w:tc>
          <w:tcPr>
            <w:tcW w:w="902" w:type="dxa"/>
            <w:gridSpan w:val="2"/>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64</w:t>
            </w:r>
          </w:p>
        </w:tc>
        <w:tc>
          <w:tcPr>
            <w:tcW w:w="838"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w:t>
            </w: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93</w:t>
            </w:r>
          </w:p>
        </w:tc>
        <w:tc>
          <w:tcPr>
            <w:tcW w:w="744" w:type="dxa"/>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162</w:t>
            </w:r>
          </w:p>
        </w:tc>
      </w:tr>
      <w:tr w:rsidR="00640449" w:rsidRPr="00640449" w:rsidTr="009F2395">
        <w:trPr>
          <w:gridAfter w:val="1"/>
          <w:wAfter w:w="12" w:type="dxa"/>
        </w:trPr>
        <w:tc>
          <w:tcPr>
            <w:tcW w:w="792" w:type="dxa"/>
            <w:shd w:val="clear" w:color="auto" w:fill="auto"/>
            <w:noWrap/>
            <w:hideMark/>
          </w:tcPr>
          <w:p w:rsidR="00674E9C" w:rsidRPr="00640449" w:rsidRDefault="00674E9C" w:rsidP="009F2395">
            <w:pPr>
              <w:pStyle w:val="SingleTxtG"/>
              <w:suppressAutoHyphens w:val="0"/>
              <w:spacing w:before="40" w:after="40" w:line="220" w:lineRule="exact"/>
              <w:ind w:left="0" w:right="0"/>
              <w:jc w:val="left"/>
              <w:rPr>
                <w:sz w:val="18"/>
                <w:lang w:val="fr-FR"/>
              </w:rPr>
            </w:pPr>
            <w:r w:rsidRPr="00640449">
              <w:rPr>
                <w:sz w:val="18"/>
                <w:lang w:val="fr-FR"/>
              </w:rPr>
              <w:t>18-24</w:t>
            </w:r>
          </w:p>
        </w:tc>
        <w:tc>
          <w:tcPr>
            <w:tcW w:w="1193"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15</w:t>
            </w:r>
          </w:p>
        </w:tc>
        <w:tc>
          <w:tcPr>
            <w:tcW w:w="992"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6</w:t>
            </w: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197</w:t>
            </w:r>
          </w:p>
        </w:tc>
        <w:tc>
          <w:tcPr>
            <w:tcW w:w="744" w:type="dxa"/>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218</w:t>
            </w:r>
          </w:p>
        </w:tc>
        <w:tc>
          <w:tcPr>
            <w:tcW w:w="902" w:type="dxa"/>
            <w:gridSpan w:val="2"/>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69</w:t>
            </w:r>
          </w:p>
        </w:tc>
        <w:tc>
          <w:tcPr>
            <w:tcW w:w="838"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4</w:t>
            </w: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331</w:t>
            </w:r>
          </w:p>
        </w:tc>
        <w:tc>
          <w:tcPr>
            <w:tcW w:w="744" w:type="dxa"/>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404</w:t>
            </w:r>
          </w:p>
        </w:tc>
      </w:tr>
      <w:tr w:rsidR="00640449" w:rsidRPr="00640449" w:rsidTr="009F2395">
        <w:trPr>
          <w:gridAfter w:val="1"/>
          <w:wAfter w:w="12" w:type="dxa"/>
        </w:trPr>
        <w:tc>
          <w:tcPr>
            <w:tcW w:w="792" w:type="dxa"/>
            <w:shd w:val="clear" w:color="auto" w:fill="auto"/>
            <w:noWrap/>
            <w:hideMark/>
          </w:tcPr>
          <w:p w:rsidR="00674E9C" w:rsidRPr="00640449" w:rsidRDefault="00674E9C" w:rsidP="009F2395">
            <w:pPr>
              <w:pStyle w:val="SingleTxtG"/>
              <w:suppressAutoHyphens w:val="0"/>
              <w:spacing w:before="40" w:after="40" w:line="220" w:lineRule="exact"/>
              <w:ind w:left="0" w:right="0"/>
              <w:jc w:val="left"/>
              <w:rPr>
                <w:sz w:val="18"/>
                <w:lang w:val="fr-FR"/>
              </w:rPr>
            </w:pPr>
            <w:r w:rsidRPr="00640449">
              <w:rPr>
                <w:sz w:val="18"/>
                <w:lang w:val="fr-FR"/>
              </w:rPr>
              <w:t>25-64</w:t>
            </w:r>
          </w:p>
        </w:tc>
        <w:tc>
          <w:tcPr>
            <w:tcW w:w="1193"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10</w:t>
            </w:r>
          </w:p>
        </w:tc>
        <w:tc>
          <w:tcPr>
            <w:tcW w:w="992"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15</w:t>
            </w: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584</w:t>
            </w:r>
          </w:p>
        </w:tc>
        <w:tc>
          <w:tcPr>
            <w:tcW w:w="744" w:type="dxa"/>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701</w:t>
            </w:r>
          </w:p>
        </w:tc>
        <w:tc>
          <w:tcPr>
            <w:tcW w:w="902" w:type="dxa"/>
            <w:gridSpan w:val="2"/>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414</w:t>
            </w:r>
          </w:p>
        </w:tc>
        <w:tc>
          <w:tcPr>
            <w:tcW w:w="838"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11</w:t>
            </w: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919</w:t>
            </w:r>
          </w:p>
        </w:tc>
        <w:tc>
          <w:tcPr>
            <w:tcW w:w="744" w:type="dxa"/>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w:t>
            </w:r>
            <w:r w:rsidR="00004F68">
              <w:rPr>
                <w:b/>
                <w:bCs/>
                <w:sz w:val="18"/>
                <w:lang w:val="fr-FR"/>
              </w:rPr>
              <w:t xml:space="preserve"> </w:t>
            </w:r>
            <w:r w:rsidRPr="00D20CB5">
              <w:rPr>
                <w:b/>
                <w:bCs/>
                <w:sz w:val="18"/>
                <w:lang w:val="fr-FR"/>
              </w:rPr>
              <w:t>344</w:t>
            </w:r>
          </w:p>
        </w:tc>
      </w:tr>
      <w:tr w:rsidR="00640449" w:rsidRPr="00640449" w:rsidTr="009F2395">
        <w:trPr>
          <w:gridAfter w:val="1"/>
          <w:wAfter w:w="12" w:type="dxa"/>
        </w:trPr>
        <w:tc>
          <w:tcPr>
            <w:tcW w:w="792" w:type="dxa"/>
            <w:shd w:val="clear" w:color="auto" w:fill="auto"/>
            <w:noWrap/>
            <w:hideMark/>
          </w:tcPr>
          <w:p w:rsidR="00674E9C" w:rsidRPr="00640449" w:rsidRDefault="00674E9C" w:rsidP="009F2395">
            <w:pPr>
              <w:pStyle w:val="SingleTxtG"/>
              <w:suppressAutoHyphens w:val="0"/>
              <w:spacing w:before="40" w:after="40" w:line="220" w:lineRule="exact"/>
              <w:ind w:left="0" w:right="0"/>
              <w:jc w:val="left"/>
              <w:rPr>
                <w:sz w:val="18"/>
                <w:lang w:val="fr-FR"/>
              </w:rPr>
            </w:pPr>
            <w:r w:rsidRPr="00640449">
              <w:rPr>
                <w:sz w:val="18"/>
                <w:lang w:val="fr-FR"/>
              </w:rPr>
              <w:t>65+</w:t>
            </w:r>
          </w:p>
        </w:tc>
        <w:tc>
          <w:tcPr>
            <w:tcW w:w="1193"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992"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w:t>
            </w:r>
          </w:p>
        </w:tc>
        <w:tc>
          <w:tcPr>
            <w:tcW w:w="744" w:type="dxa"/>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2</w:t>
            </w:r>
          </w:p>
        </w:tc>
        <w:tc>
          <w:tcPr>
            <w:tcW w:w="902" w:type="dxa"/>
            <w:gridSpan w:val="2"/>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w:t>
            </w:r>
          </w:p>
        </w:tc>
        <w:tc>
          <w:tcPr>
            <w:tcW w:w="838"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8</w:t>
            </w:r>
          </w:p>
        </w:tc>
        <w:tc>
          <w:tcPr>
            <w:tcW w:w="744" w:type="dxa"/>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11</w:t>
            </w:r>
          </w:p>
        </w:tc>
      </w:tr>
      <w:tr w:rsidR="00640449" w:rsidRPr="00640449" w:rsidTr="009F2395">
        <w:trPr>
          <w:gridAfter w:val="1"/>
          <w:wAfter w:w="12" w:type="dxa"/>
        </w:trPr>
        <w:tc>
          <w:tcPr>
            <w:tcW w:w="792" w:type="dxa"/>
            <w:shd w:val="clear" w:color="auto" w:fill="auto"/>
            <w:noWrap/>
            <w:hideMark/>
          </w:tcPr>
          <w:p w:rsidR="00674E9C" w:rsidRPr="00640449" w:rsidRDefault="00674E9C" w:rsidP="009F2395">
            <w:pPr>
              <w:pStyle w:val="SingleTxtG"/>
              <w:suppressAutoHyphens w:val="0"/>
              <w:spacing w:before="40" w:after="40" w:line="220" w:lineRule="exact"/>
              <w:ind w:left="0" w:right="0"/>
              <w:jc w:val="left"/>
              <w:rPr>
                <w:b/>
                <w:sz w:val="18"/>
                <w:lang w:val="fr-FR"/>
              </w:rPr>
            </w:pPr>
            <w:r w:rsidRPr="00640449">
              <w:rPr>
                <w:b/>
                <w:sz w:val="18"/>
                <w:lang w:val="fr-FR"/>
              </w:rPr>
              <w:t>Total</w:t>
            </w:r>
          </w:p>
        </w:tc>
        <w:tc>
          <w:tcPr>
            <w:tcW w:w="1193"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b/>
                <w:sz w:val="18"/>
                <w:lang w:val="fr-FR"/>
              </w:rPr>
            </w:pPr>
            <w:r w:rsidRPr="00640449">
              <w:rPr>
                <w:b/>
                <w:sz w:val="18"/>
                <w:lang w:val="fr-FR"/>
              </w:rPr>
              <w:t>201</w:t>
            </w:r>
          </w:p>
        </w:tc>
        <w:tc>
          <w:tcPr>
            <w:tcW w:w="992"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b/>
                <w:sz w:val="18"/>
                <w:lang w:val="fr-FR"/>
              </w:rPr>
            </w:pPr>
            <w:r w:rsidRPr="00640449">
              <w:rPr>
                <w:b/>
                <w:sz w:val="18"/>
                <w:lang w:val="fr-FR"/>
              </w:rPr>
              <w:t>29</w:t>
            </w: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b/>
                <w:sz w:val="18"/>
                <w:lang w:val="fr-FR"/>
              </w:rPr>
            </w:pPr>
            <w:r w:rsidRPr="00640449">
              <w:rPr>
                <w:b/>
                <w:sz w:val="18"/>
                <w:lang w:val="fr-FR"/>
              </w:rPr>
              <w:t>1</w:t>
            </w:r>
            <w:r w:rsidR="00004F68">
              <w:rPr>
                <w:b/>
                <w:sz w:val="18"/>
                <w:lang w:val="fr-FR"/>
              </w:rPr>
              <w:t xml:space="preserve"> </w:t>
            </w:r>
            <w:r w:rsidRPr="00640449">
              <w:rPr>
                <w:b/>
                <w:sz w:val="18"/>
                <w:lang w:val="fr-FR"/>
              </w:rPr>
              <w:t>011</w:t>
            </w:r>
          </w:p>
        </w:tc>
        <w:tc>
          <w:tcPr>
            <w:tcW w:w="744"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b/>
                <w:sz w:val="18"/>
                <w:lang w:val="fr-FR"/>
              </w:rPr>
            </w:pPr>
            <w:r w:rsidRPr="00640449">
              <w:rPr>
                <w:b/>
                <w:sz w:val="18"/>
                <w:lang w:val="fr-FR"/>
              </w:rPr>
              <w:t>1</w:t>
            </w:r>
            <w:r w:rsidR="00004F68">
              <w:rPr>
                <w:b/>
                <w:sz w:val="18"/>
                <w:lang w:val="fr-FR"/>
              </w:rPr>
              <w:t xml:space="preserve"> </w:t>
            </w:r>
            <w:r w:rsidRPr="00640449">
              <w:rPr>
                <w:b/>
                <w:sz w:val="18"/>
                <w:lang w:val="fr-FR"/>
              </w:rPr>
              <w:t>241</w:t>
            </w:r>
          </w:p>
        </w:tc>
        <w:tc>
          <w:tcPr>
            <w:tcW w:w="902" w:type="dxa"/>
            <w:gridSpan w:val="2"/>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b/>
                <w:sz w:val="18"/>
                <w:lang w:val="fr-FR"/>
              </w:rPr>
            </w:pPr>
            <w:r w:rsidRPr="00640449">
              <w:rPr>
                <w:b/>
                <w:sz w:val="18"/>
                <w:lang w:val="fr-FR"/>
              </w:rPr>
              <w:t>769</w:t>
            </w:r>
          </w:p>
        </w:tc>
        <w:tc>
          <w:tcPr>
            <w:tcW w:w="838"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b/>
                <w:sz w:val="18"/>
                <w:lang w:val="fr-FR"/>
              </w:rPr>
            </w:pPr>
            <w:r w:rsidRPr="00640449">
              <w:rPr>
                <w:b/>
                <w:sz w:val="18"/>
                <w:lang w:val="fr-FR"/>
              </w:rPr>
              <w:t>27</w:t>
            </w: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b/>
                <w:sz w:val="18"/>
                <w:lang w:val="fr-FR"/>
              </w:rPr>
            </w:pPr>
            <w:r w:rsidRPr="00640449">
              <w:rPr>
                <w:b/>
                <w:sz w:val="18"/>
                <w:lang w:val="fr-FR"/>
              </w:rPr>
              <w:t>1</w:t>
            </w:r>
            <w:r w:rsidR="00004F68">
              <w:rPr>
                <w:b/>
                <w:sz w:val="18"/>
                <w:lang w:val="fr-FR"/>
              </w:rPr>
              <w:t xml:space="preserve"> </w:t>
            </w:r>
            <w:r w:rsidRPr="00640449">
              <w:rPr>
                <w:b/>
                <w:sz w:val="18"/>
                <w:lang w:val="fr-FR"/>
              </w:rPr>
              <w:t>548</w:t>
            </w:r>
          </w:p>
        </w:tc>
        <w:tc>
          <w:tcPr>
            <w:tcW w:w="744"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b/>
                <w:sz w:val="18"/>
                <w:lang w:val="fr-FR"/>
              </w:rPr>
            </w:pPr>
            <w:r w:rsidRPr="00640449">
              <w:rPr>
                <w:b/>
                <w:sz w:val="18"/>
                <w:lang w:val="fr-FR"/>
              </w:rPr>
              <w:t>2</w:t>
            </w:r>
            <w:r w:rsidR="00004F68">
              <w:rPr>
                <w:b/>
                <w:sz w:val="18"/>
                <w:lang w:val="fr-FR"/>
              </w:rPr>
              <w:t xml:space="preserve"> </w:t>
            </w:r>
            <w:r w:rsidRPr="00640449">
              <w:rPr>
                <w:b/>
                <w:sz w:val="18"/>
                <w:lang w:val="fr-FR"/>
              </w:rPr>
              <w:t>344</w:t>
            </w:r>
          </w:p>
        </w:tc>
      </w:tr>
      <w:tr w:rsidR="00285C30" w:rsidRPr="00D20CB5" w:rsidTr="00285C30">
        <w:tc>
          <w:tcPr>
            <w:tcW w:w="792" w:type="dxa"/>
            <w:tcBorders>
              <w:top w:val="single" w:sz="4"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center"/>
              <w:rPr>
                <w:i/>
                <w:spacing w:val="4"/>
                <w:w w:val="103"/>
                <w:kern w:val="14"/>
                <w:sz w:val="16"/>
                <w:lang w:val="fr-FR"/>
              </w:rPr>
            </w:pPr>
          </w:p>
        </w:tc>
        <w:tc>
          <w:tcPr>
            <w:tcW w:w="3746" w:type="dxa"/>
            <w:gridSpan w:val="5"/>
            <w:tcBorders>
              <w:top w:val="single" w:sz="4"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center"/>
              <w:rPr>
                <w:i/>
                <w:spacing w:val="4"/>
                <w:w w:val="103"/>
                <w:kern w:val="14"/>
                <w:sz w:val="16"/>
                <w:lang w:val="fr-FR"/>
              </w:rPr>
            </w:pPr>
            <w:r w:rsidRPr="00D20CB5">
              <w:rPr>
                <w:i/>
                <w:spacing w:val="4"/>
                <w:w w:val="103"/>
                <w:kern w:val="14"/>
                <w:sz w:val="16"/>
                <w:lang w:val="fr-FR"/>
              </w:rPr>
              <w:t>2017</w:t>
            </w:r>
          </w:p>
        </w:tc>
        <w:tc>
          <w:tcPr>
            <w:tcW w:w="3289" w:type="dxa"/>
            <w:gridSpan w:val="5"/>
            <w:tcBorders>
              <w:top w:val="single" w:sz="4"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center"/>
              <w:rPr>
                <w:i/>
                <w:spacing w:val="4"/>
                <w:w w:val="103"/>
                <w:kern w:val="14"/>
                <w:sz w:val="16"/>
                <w:lang w:val="fr-FR"/>
              </w:rPr>
            </w:pPr>
            <w:r w:rsidRPr="00D20CB5">
              <w:rPr>
                <w:i/>
                <w:spacing w:val="4"/>
                <w:w w:val="103"/>
                <w:kern w:val="14"/>
                <w:sz w:val="16"/>
                <w:lang w:val="fr-FR"/>
              </w:rPr>
              <w:t>2018</w:t>
            </w:r>
          </w:p>
        </w:tc>
      </w:tr>
      <w:tr w:rsidR="00285C30" w:rsidRPr="00D20CB5" w:rsidTr="00D20CB5">
        <w:trPr>
          <w:gridAfter w:val="1"/>
          <w:wAfter w:w="12" w:type="dxa"/>
        </w:trPr>
        <w:tc>
          <w:tcPr>
            <w:tcW w:w="792"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left"/>
              <w:rPr>
                <w:i/>
                <w:spacing w:val="4"/>
                <w:w w:val="103"/>
                <w:kern w:val="14"/>
                <w:sz w:val="16"/>
                <w:lang w:val="fr-FR"/>
              </w:rPr>
            </w:pPr>
            <w:r w:rsidRPr="00D20CB5">
              <w:rPr>
                <w:i/>
                <w:spacing w:val="4"/>
                <w:w w:val="103"/>
                <w:kern w:val="14"/>
                <w:sz w:val="16"/>
                <w:lang w:val="fr-FR"/>
              </w:rPr>
              <w:t>Tranche d'âge</w:t>
            </w:r>
          </w:p>
        </w:tc>
        <w:tc>
          <w:tcPr>
            <w:tcW w:w="1193"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Protection internationale</w:t>
            </w:r>
            <w:r w:rsidR="00285C30">
              <w:rPr>
                <w:i/>
                <w:spacing w:val="4"/>
                <w:w w:val="103"/>
                <w:kern w:val="14"/>
                <w:sz w:val="16"/>
                <w:lang w:val="fr-FR"/>
              </w:rPr>
              <w:t xml:space="preserve"> r</w:t>
            </w:r>
            <w:r w:rsidRPr="00D20CB5">
              <w:rPr>
                <w:i/>
                <w:spacing w:val="4"/>
                <w:w w:val="103"/>
                <w:kern w:val="14"/>
                <w:sz w:val="16"/>
                <w:lang w:val="fr-FR"/>
              </w:rPr>
              <w:t>éfugié</w:t>
            </w:r>
          </w:p>
        </w:tc>
        <w:tc>
          <w:tcPr>
            <w:tcW w:w="992"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Protection subsidiaire</w:t>
            </w:r>
          </w:p>
        </w:tc>
        <w:tc>
          <w:tcPr>
            <w:tcW w:w="805"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Décision négative</w:t>
            </w:r>
          </w:p>
        </w:tc>
        <w:tc>
          <w:tcPr>
            <w:tcW w:w="744"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b/>
                <w:bCs/>
                <w:i/>
                <w:spacing w:val="4"/>
                <w:w w:val="103"/>
                <w:kern w:val="14"/>
                <w:sz w:val="16"/>
                <w:lang w:val="fr-FR"/>
              </w:rPr>
            </w:pPr>
            <w:r w:rsidRPr="00D20CB5">
              <w:rPr>
                <w:b/>
                <w:bCs/>
                <w:i/>
                <w:spacing w:val="4"/>
                <w:w w:val="103"/>
                <w:kern w:val="14"/>
                <w:sz w:val="16"/>
                <w:lang w:val="fr-FR"/>
              </w:rPr>
              <w:t>Total</w:t>
            </w:r>
          </w:p>
        </w:tc>
        <w:tc>
          <w:tcPr>
            <w:tcW w:w="902" w:type="dxa"/>
            <w:gridSpan w:val="2"/>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 xml:space="preserve">Protection </w:t>
            </w:r>
            <w:proofErr w:type="spellStart"/>
            <w:r w:rsidRPr="00D20CB5">
              <w:rPr>
                <w:i/>
                <w:spacing w:val="4"/>
                <w:w w:val="103"/>
                <w:kern w:val="14"/>
                <w:sz w:val="16"/>
                <w:lang w:val="fr-FR"/>
              </w:rPr>
              <w:t>inter</w:t>
            </w:r>
            <w:r w:rsidR="00285C30">
              <w:rPr>
                <w:i/>
                <w:spacing w:val="4"/>
                <w:w w:val="103"/>
                <w:kern w:val="14"/>
                <w:sz w:val="16"/>
                <w:lang w:val="fr-FR"/>
              </w:rPr>
              <w:t>-</w:t>
            </w:r>
            <w:r w:rsidRPr="00D20CB5">
              <w:rPr>
                <w:i/>
                <w:spacing w:val="4"/>
                <w:w w:val="103"/>
                <w:kern w:val="14"/>
                <w:sz w:val="16"/>
                <w:lang w:val="fr-FR"/>
              </w:rPr>
              <w:t>nationale</w:t>
            </w:r>
            <w:proofErr w:type="spellEnd"/>
            <w:r w:rsidR="00285C30">
              <w:rPr>
                <w:i/>
                <w:spacing w:val="4"/>
                <w:w w:val="103"/>
                <w:kern w:val="14"/>
                <w:sz w:val="16"/>
                <w:lang w:val="fr-FR"/>
              </w:rPr>
              <w:t xml:space="preserve"> r</w:t>
            </w:r>
            <w:r w:rsidRPr="00D20CB5">
              <w:rPr>
                <w:i/>
                <w:spacing w:val="4"/>
                <w:w w:val="103"/>
                <w:kern w:val="14"/>
                <w:sz w:val="16"/>
                <w:lang w:val="fr-FR"/>
              </w:rPr>
              <w:t>éfugié</w:t>
            </w:r>
          </w:p>
        </w:tc>
        <w:tc>
          <w:tcPr>
            <w:tcW w:w="838"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Protection subsidiaire</w:t>
            </w:r>
          </w:p>
        </w:tc>
        <w:tc>
          <w:tcPr>
            <w:tcW w:w="805"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i/>
                <w:spacing w:val="4"/>
                <w:w w:val="103"/>
                <w:kern w:val="14"/>
                <w:sz w:val="16"/>
                <w:lang w:val="fr-FR"/>
              </w:rPr>
            </w:pPr>
            <w:r w:rsidRPr="00D20CB5">
              <w:rPr>
                <w:i/>
                <w:spacing w:val="4"/>
                <w:w w:val="103"/>
                <w:kern w:val="14"/>
                <w:sz w:val="16"/>
                <w:lang w:val="fr-FR"/>
              </w:rPr>
              <w:t>Décision négative</w:t>
            </w:r>
          </w:p>
        </w:tc>
        <w:tc>
          <w:tcPr>
            <w:tcW w:w="744" w:type="dxa"/>
            <w:tcBorders>
              <w:top w:val="single" w:sz="4" w:space="0" w:color="auto"/>
              <w:bottom w:val="single" w:sz="12" w:space="0" w:color="auto"/>
            </w:tcBorders>
            <w:shd w:val="clear" w:color="auto" w:fill="auto"/>
            <w:noWrap/>
            <w:hideMark/>
          </w:tcPr>
          <w:p w:rsidR="00674E9C" w:rsidRPr="00D20CB5" w:rsidRDefault="00674E9C" w:rsidP="00D20CB5">
            <w:pPr>
              <w:pStyle w:val="SingleTxtG"/>
              <w:suppressAutoHyphens w:val="0"/>
              <w:spacing w:before="80" w:after="80" w:line="200" w:lineRule="exact"/>
              <w:ind w:left="0" w:right="0"/>
              <w:jc w:val="right"/>
              <w:rPr>
                <w:b/>
                <w:bCs/>
                <w:i/>
                <w:spacing w:val="4"/>
                <w:w w:val="103"/>
                <w:kern w:val="14"/>
                <w:sz w:val="16"/>
                <w:lang w:val="fr-FR"/>
              </w:rPr>
            </w:pPr>
            <w:r w:rsidRPr="00D20CB5">
              <w:rPr>
                <w:b/>
                <w:bCs/>
                <w:i/>
                <w:spacing w:val="4"/>
                <w:w w:val="103"/>
                <w:kern w:val="14"/>
                <w:sz w:val="16"/>
                <w:lang w:val="fr-FR"/>
              </w:rPr>
              <w:t>Total</w:t>
            </w:r>
          </w:p>
        </w:tc>
      </w:tr>
      <w:tr w:rsidR="00640449" w:rsidRPr="00640449" w:rsidTr="00D20CB5">
        <w:trPr>
          <w:gridAfter w:val="1"/>
          <w:wAfter w:w="12" w:type="dxa"/>
        </w:trPr>
        <w:tc>
          <w:tcPr>
            <w:tcW w:w="792" w:type="dxa"/>
            <w:tcBorders>
              <w:top w:val="single" w:sz="12" w:space="0" w:color="auto"/>
            </w:tcBorders>
            <w:shd w:val="clear" w:color="auto" w:fill="auto"/>
            <w:noWrap/>
            <w:hideMark/>
          </w:tcPr>
          <w:p w:rsidR="00674E9C" w:rsidRPr="00640449" w:rsidRDefault="00674E9C" w:rsidP="009F2395">
            <w:pPr>
              <w:pStyle w:val="SingleTxtG"/>
              <w:suppressAutoHyphens w:val="0"/>
              <w:spacing w:before="40" w:after="40" w:line="220" w:lineRule="exact"/>
              <w:ind w:left="0" w:right="0"/>
              <w:jc w:val="left"/>
              <w:rPr>
                <w:sz w:val="18"/>
                <w:lang w:val="fr-FR"/>
              </w:rPr>
            </w:pPr>
            <w:r w:rsidRPr="00640449">
              <w:rPr>
                <w:sz w:val="18"/>
                <w:lang w:val="fr-FR"/>
              </w:rPr>
              <w:t>0-5</w:t>
            </w:r>
          </w:p>
        </w:tc>
        <w:tc>
          <w:tcPr>
            <w:tcW w:w="1193"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225</w:t>
            </w:r>
          </w:p>
        </w:tc>
        <w:tc>
          <w:tcPr>
            <w:tcW w:w="992"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w:t>
            </w:r>
          </w:p>
        </w:tc>
        <w:tc>
          <w:tcPr>
            <w:tcW w:w="805"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143</w:t>
            </w:r>
          </w:p>
        </w:tc>
        <w:tc>
          <w:tcPr>
            <w:tcW w:w="744" w:type="dxa"/>
            <w:tcBorders>
              <w:top w:val="single" w:sz="12" w:space="0" w:color="auto"/>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373</w:t>
            </w:r>
          </w:p>
        </w:tc>
        <w:tc>
          <w:tcPr>
            <w:tcW w:w="902" w:type="dxa"/>
            <w:gridSpan w:val="2"/>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195</w:t>
            </w:r>
          </w:p>
        </w:tc>
        <w:tc>
          <w:tcPr>
            <w:tcW w:w="838"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9</w:t>
            </w:r>
          </w:p>
        </w:tc>
        <w:tc>
          <w:tcPr>
            <w:tcW w:w="805" w:type="dxa"/>
            <w:tcBorders>
              <w:top w:val="single" w:sz="12"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91</w:t>
            </w:r>
          </w:p>
        </w:tc>
        <w:tc>
          <w:tcPr>
            <w:tcW w:w="744" w:type="dxa"/>
            <w:tcBorders>
              <w:top w:val="single" w:sz="12" w:space="0" w:color="auto"/>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295</w:t>
            </w:r>
          </w:p>
        </w:tc>
      </w:tr>
      <w:tr w:rsidR="00640449" w:rsidRPr="00640449" w:rsidTr="009F2395">
        <w:trPr>
          <w:gridAfter w:val="1"/>
          <w:wAfter w:w="12" w:type="dxa"/>
        </w:trPr>
        <w:tc>
          <w:tcPr>
            <w:tcW w:w="792" w:type="dxa"/>
            <w:shd w:val="clear" w:color="auto" w:fill="auto"/>
            <w:noWrap/>
            <w:hideMark/>
          </w:tcPr>
          <w:p w:rsidR="00674E9C" w:rsidRPr="00640449" w:rsidRDefault="00674E9C" w:rsidP="009F2395">
            <w:pPr>
              <w:pStyle w:val="SingleTxtG"/>
              <w:suppressAutoHyphens w:val="0"/>
              <w:spacing w:before="40" w:after="40" w:line="220" w:lineRule="exact"/>
              <w:ind w:left="0" w:right="0"/>
              <w:jc w:val="left"/>
              <w:rPr>
                <w:sz w:val="18"/>
                <w:lang w:val="fr-FR"/>
              </w:rPr>
            </w:pPr>
            <w:r w:rsidRPr="00640449">
              <w:rPr>
                <w:sz w:val="18"/>
                <w:lang w:val="fr-FR"/>
              </w:rPr>
              <w:t>6-11</w:t>
            </w:r>
          </w:p>
        </w:tc>
        <w:tc>
          <w:tcPr>
            <w:tcW w:w="1193"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154</w:t>
            </w:r>
          </w:p>
        </w:tc>
        <w:tc>
          <w:tcPr>
            <w:tcW w:w="992"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w:t>
            </w: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115</w:t>
            </w:r>
          </w:p>
        </w:tc>
        <w:tc>
          <w:tcPr>
            <w:tcW w:w="744" w:type="dxa"/>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271</w:t>
            </w:r>
          </w:p>
        </w:tc>
        <w:tc>
          <w:tcPr>
            <w:tcW w:w="902" w:type="dxa"/>
            <w:gridSpan w:val="2"/>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98</w:t>
            </w:r>
          </w:p>
        </w:tc>
        <w:tc>
          <w:tcPr>
            <w:tcW w:w="838"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w:t>
            </w: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67</w:t>
            </w:r>
          </w:p>
        </w:tc>
        <w:tc>
          <w:tcPr>
            <w:tcW w:w="744" w:type="dxa"/>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168</w:t>
            </w:r>
          </w:p>
        </w:tc>
      </w:tr>
      <w:tr w:rsidR="00640449" w:rsidRPr="00640449" w:rsidTr="009F2395">
        <w:trPr>
          <w:gridAfter w:val="1"/>
          <w:wAfter w:w="12" w:type="dxa"/>
        </w:trPr>
        <w:tc>
          <w:tcPr>
            <w:tcW w:w="792" w:type="dxa"/>
            <w:shd w:val="clear" w:color="auto" w:fill="auto"/>
            <w:noWrap/>
            <w:hideMark/>
          </w:tcPr>
          <w:p w:rsidR="00674E9C" w:rsidRPr="00640449" w:rsidRDefault="00674E9C" w:rsidP="009F2395">
            <w:pPr>
              <w:pStyle w:val="SingleTxtG"/>
              <w:suppressAutoHyphens w:val="0"/>
              <w:spacing w:before="40" w:after="40" w:line="220" w:lineRule="exact"/>
              <w:ind w:left="0" w:right="0"/>
              <w:jc w:val="left"/>
              <w:rPr>
                <w:sz w:val="18"/>
                <w:lang w:val="fr-FR"/>
              </w:rPr>
            </w:pPr>
            <w:r w:rsidRPr="00640449">
              <w:rPr>
                <w:sz w:val="18"/>
                <w:lang w:val="fr-FR"/>
              </w:rPr>
              <w:t>12-17</w:t>
            </w:r>
          </w:p>
        </w:tc>
        <w:tc>
          <w:tcPr>
            <w:tcW w:w="1193"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117</w:t>
            </w:r>
          </w:p>
        </w:tc>
        <w:tc>
          <w:tcPr>
            <w:tcW w:w="992"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w:t>
            </w: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100</w:t>
            </w:r>
          </w:p>
        </w:tc>
        <w:tc>
          <w:tcPr>
            <w:tcW w:w="744" w:type="dxa"/>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222</w:t>
            </w:r>
          </w:p>
        </w:tc>
        <w:tc>
          <w:tcPr>
            <w:tcW w:w="902" w:type="dxa"/>
            <w:gridSpan w:val="2"/>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71</w:t>
            </w:r>
          </w:p>
        </w:tc>
        <w:tc>
          <w:tcPr>
            <w:tcW w:w="838"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6</w:t>
            </w: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49</w:t>
            </w:r>
          </w:p>
        </w:tc>
        <w:tc>
          <w:tcPr>
            <w:tcW w:w="744" w:type="dxa"/>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126</w:t>
            </w:r>
          </w:p>
        </w:tc>
      </w:tr>
      <w:tr w:rsidR="00640449" w:rsidRPr="00640449" w:rsidTr="009F2395">
        <w:trPr>
          <w:gridAfter w:val="1"/>
          <w:wAfter w:w="12" w:type="dxa"/>
        </w:trPr>
        <w:tc>
          <w:tcPr>
            <w:tcW w:w="792" w:type="dxa"/>
            <w:shd w:val="clear" w:color="auto" w:fill="auto"/>
            <w:noWrap/>
            <w:hideMark/>
          </w:tcPr>
          <w:p w:rsidR="00674E9C" w:rsidRPr="00640449" w:rsidRDefault="00674E9C" w:rsidP="009F2395">
            <w:pPr>
              <w:pStyle w:val="SingleTxtG"/>
              <w:suppressAutoHyphens w:val="0"/>
              <w:spacing w:before="40" w:after="40" w:line="220" w:lineRule="exact"/>
              <w:ind w:left="0" w:right="0"/>
              <w:jc w:val="left"/>
              <w:rPr>
                <w:sz w:val="18"/>
                <w:lang w:val="fr-FR"/>
              </w:rPr>
            </w:pPr>
            <w:r w:rsidRPr="00640449">
              <w:rPr>
                <w:sz w:val="18"/>
                <w:lang w:val="fr-FR"/>
              </w:rPr>
              <w:t>18-24</w:t>
            </w:r>
          </w:p>
        </w:tc>
        <w:tc>
          <w:tcPr>
            <w:tcW w:w="1193"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167</w:t>
            </w:r>
          </w:p>
        </w:tc>
        <w:tc>
          <w:tcPr>
            <w:tcW w:w="992"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23</w:t>
            </w: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490</w:t>
            </w:r>
          </w:p>
        </w:tc>
        <w:tc>
          <w:tcPr>
            <w:tcW w:w="744" w:type="dxa"/>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680</w:t>
            </w:r>
          </w:p>
        </w:tc>
        <w:tc>
          <w:tcPr>
            <w:tcW w:w="902" w:type="dxa"/>
            <w:gridSpan w:val="2"/>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161</w:t>
            </w:r>
          </w:p>
        </w:tc>
        <w:tc>
          <w:tcPr>
            <w:tcW w:w="838"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27</w:t>
            </w: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342</w:t>
            </w:r>
          </w:p>
        </w:tc>
        <w:tc>
          <w:tcPr>
            <w:tcW w:w="744" w:type="dxa"/>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530</w:t>
            </w:r>
          </w:p>
        </w:tc>
      </w:tr>
      <w:tr w:rsidR="00640449" w:rsidRPr="00640449" w:rsidTr="009F2395">
        <w:trPr>
          <w:gridAfter w:val="1"/>
          <w:wAfter w:w="12" w:type="dxa"/>
        </w:trPr>
        <w:tc>
          <w:tcPr>
            <w:tcW w:w="792" w:type="dxa"/>
            <w:shd w:val="clear" w:color="auto" w:fill="auto"/>
            <w:noWrap/>
            <w:hideMark/>
          </w:tcPr>
          <w:p w:rsidR="00674E9C" w:rsidRPr="00640449" w:rsidRDefault="00674E9C" w:rsidP="009F2395">
            <w:pPr>
              <w:pStyle w:val="SingleTxtG"/>
              <w:suppressAutoHyphens w:val="0"/>
              <w:spacing w:before="40" w:after="40" w:line="220" w:lineRule="exact"/>
              <w:ind w:left="0" w:right="0"/>
              <w:jc w:val="left"/>
              <w:rPr>
                <w:sz w:val="18"/>
                <w:lang w:val="fr-FR"/>
              </w:rPr>
            </w:pPr>
            <w:r w:rsidRPr="00640449">
              <w:rPr>
                <w:sz w:val="18"/>
                <w:lang w:val="fr-FR"/>
              </w:rPr>
              <w:t>25-64</w:t>
            </w:r>
          </w:p>
        </w:tc>
        <w:tc>
          <w:tcPr>
            <w:tcW w:w="1193"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504</w:t>
            </w:r>
          </w:p>
        </w:tc>
        <w:tc>
          <w:tcPr>
            <w:tcW w:w="992"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20</w:t>
            </w: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r w:rsidR="005D4507">
              <w:rPr>
                <w:sz w:val="18"/>
                <w:lang w:val="fr-FR"/>
              </w:rPr>
              <w:t xml:space="preserve"> </w:t>
            </w:r>
            <w:r w:rsidRPr="00640449">
              <w:rPr>
                <w:sz w:val="18"/>
                <w:lang w:val="fr-FR"/>
              </w:rPr>
              <w:t>131</w:t>
            </w:r>
          </w:p>
        </w:tc>
        <w:tc>
          <w:tcPr>
            <w:tcW w:w="744" w:type="dxa"/>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w:t>
            </w:r>
            <w:r w:rsidR="005D4507" w:rsidRPr="00D20CB5">
              <w:rPr>
                <w:b/>
                <w:bCs/>
                <w:sz w:val="18"/>
                <w:lang w:val="fr-FR"/>
              </w:rPr>
              <w:t xml:space="preserve"> </w:t>
            </w:r>
            <w:r w:rsidRPr="00D20CB5">
              <w:rPr>
                <w:b/>
                <w:bCs/>
                <w:sz w:val="18"/>
                <w:lang w:val="fr-FR"/>
              </w:rPr>
              <w:t>655</w:t>
            </w:r>
          </w:p>
        </w:tc>
        <w:tc>
          <w:tcPr>
            <w:tcW w:w="902" w:type="dxa"/>
            <w:gridSpan w:val="2"/>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457</w:t>
            </w:r>
          </w:p>
        </w:tc>
        <w:tc>
          <w:tcPr>
            <w:tcW w:w="838"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29</w:t>
            </w:r>
          </w:p>
        </w:tc>
        <w:tc>
          <w:tcPr>
            <w:tcW w:w="805" w:type="dxa"/>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769</w:t>
            </w:r>
          </w:p>
        </w:tc>
        <w:tc>
          <w:tcPr>
            <w:tcW w:w="744" w:type="dxa"/>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w:t>
            </w:r>
            <w:r w:rsidR="005D4507" w:rsidRPr="00D20CB5">
              <w:rPr>
                <w:b/>
                <w:bCs/>
                <w:sz w:val="18"/>
                <w:lang w:val="fr-FR"/>
              </w:rPr>
              <w:t xml:space="preserve"> </w:t>
            </w:r>
            <w:r w:rsidRPr="00D20CB5">
              <w:rPr>
                <w:b/>
                <w:bCs/>
                <w:sz w:val="18"/>
                <w:lang w:val="fr-FR"/>
              </w:rPr>
              <w:t>255</w:t>
            </w:r>
          </w:p>
        </w:tc>
      </w:tr>
      <w:tr w:rsidR="00640449" w:rsidRPr="00640449" w:rsidTr="009F2395">
        <w:trPr>
          <w:gridAfter w:val="1"/>
          <w:wAfter w:w="12" w:type="dxa"/>
        </w:trPr>
        <w:tc>
          <w:tcPr>
            <w:tcW w:w="792" w:type="dxa"/>
            <w:tcBorders>
              <w:bottom w:val="single" w:sz="4" w:space="0" w:color="auto"/>
            </w:tcBorders>
            <w:shd w:val="clear" w:color="auto" w:fill="auto"/>
            <w:noWrap/>
            <w:hideMark/>
          </w:tcPr>
          <w:p w:rsidR="00674E9C" w:rsidRPr="00640449" w:rsidRDefault="00674E9C" w:rsidP="009F2395">
            <w:pPr>
              <w:pStyle w:val="SingleTxtG"/>
              <w:suppressAutoHyphens w:val="0"/>
              <w:spacing w:before="40" w:after="40" w:line="220" w:lineRule="exact"/>
              <w:ind w:left="0" w:right="0"/>
              <w:jc w:val="left"/>
              <w:rPr>
                <w:sz w:val="18"/>
                <w:lang w:val="fr-FR"/>
              </w:rPr>
            </w:pPr>
            <w:r w:rsidRPr="00640449">
              <w:rPr>
                <w:sz w:val="18"/>
                <w:lang w:val="fr-FR"/>
              </w:rPr>
              <w:t>65+</w:t>
            </w:r>
          </w:p>
        </w:tc>
        <w:tc>
          <w:tcPr>
            <w:tcW w:w="1193"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8</w:t>
            </w:r>
          </w:p>
        </w:tc>
        <w:tc>
          <w:tcPr>
            <w:tcW w:w="992"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1</w:t>
            </w:r>
          </w:p>
        </w:tc>
        <w:tc>
          <w:tcPr>
            <w:tcW w:w="805"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w:t>
            </w:r>
          </w:p>
        </w:tc>
        <w:tc>
          <w:tcPr>
            <w:tcW w:w="744" w:type="dxa"/>
            <w:tcBorders>
              <w:bottom w:val="single" w:sz="4" w:space="0" w:color="auto"/>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11</w:t>
            </w:r>
          </w:p>
        </w:tc>
        <w:tc>
          <w:tcPr>
            <w:tcW w:w="902" w:type="dxa"/>
            <w:gridSpan w:val="2"/>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7</w:t>
            </w:r>
          </w:p>
        </w:tc>
        <w:tc>
          <w:tcPr>
            <w:tcW w:w="838"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p>
        </w:tc>
        <w:tc>
          <w:tcPr>
            <w:tcW w:w="805" w:type="dxa"/>
            <w:tcBorders>
              <w:bottom w:val="single" w:sz="4" w:space="0" w:color="auto"/>
            </w:tcBorders>
            <w:shd w:val="clear" w:color="auto" w:fill="auto"/>
            <w:noWrap/>
            <w:hideMark/>
          </w:tcPr>
          <w:p w:rsidR="00674E9C" w:rsidRPr="00640449" w:rsidRDefault="00674E9C" w:rsidP="00D20CB5">
            <w:pPr>
              <w:pStyle w:val="SingleTxtG"/>
              <w:suppressAutoHyphens w:val="0"/>
              <w:spacing w:before="40" w:after="40" w:line="220" w:lineRule="exact"/>
              <w:ind w:left="0" w:right="0"/>
              <w:jc w:val="right"/>
              <w:rPr>
                <w:sz w:val="18"/>
                <w:lang w:val="fr-FR"/>
              </w:rPr>
            </w:pPr>
            <w:r w:rsidRPr="00640449">
              <w:rPr>
                <w:sz w:val="18"/>
                <w:lang w:val="fr-FR"/>
              </w:rPr>
              <w:t>2</w:t>
            </w:r>
          </w:p>
        </w:tc>
        <w:tc>
          <w:tcPr>
            <w:tcW w:w="744" w:type="dxa"/>
            <w:tcBorders>
              <w:bottom w:val="single" w:sz="4" w:space="0" w:color="auto"/>
            </w:tcBorders>
            <w:shd w:val="clear" w:color="auto" w:fill="auto"/>
            <w:noWrap/>
            <w:hideMark/>
          </w:tcPr>
          <w:p w:rsidR="00674E9C" w:rsidRPr="00D20CB5" w:rsidRDefault="00674E9C" w:rsidP="00D20CB5">
            <w:pPr>
              <w:pStyle w:val="SingleTxtG"/>
              <w:suppressAutoHyphens w:val="0"/>
              <w:spacing w:before="40" w:after="40" w:line="220" w:lineRule="exact"/>
              <w:ind w:left="0" w:right="0"/>
              <w:jc w:val="right"/>
              <w:rPr>
                <w:b/>
                <w:bCs/>
                <w:sz w:val="18"/>
                <w:lang w:val="fr-FR"/>
              </w:rPr>
            </w:pPr>
            <w:r w:rsidRPr="00D20CB5">
              <w:rPr>
                <w:b/>
                <w:bCs/>
                <w:sz w:val="18"/>
                <w:lang w:val="fr-FR"/>
              </w:rPr>
              <w:t>9</w:t>
            </w:r>
          </w:p>
        </w:tc>
      </w:tr>
      <w:tr w:rsidR="00640449" w:rsidRPr="00640449" w:rsidTr="009F2395">
        <w:trPr>
          <w:gridAfter w:val="1"/>
          <w:wAfter w:w="12" w:type="dxa"/>
        </w:trPr>
        <w:tc>
          <w:tcPr>
            <w:tcW w:w="792" w:type="dxa"/>
            <w:tcBorders>
              <w:top w:val="single" w:sz="4" w:space="0" w:color="auto"/>
              <w:bottom w:val="single" w:sz="12" w:space="0" w:color="auto"/>
            </w:tcBorders>
            <w:shd w:val="clear" w:color="auto" w:fill="auto"/>
            <w:noWrap/>
            <w:hideMark/>
          </w:tcPr>
          <w:p w:rsidR="00674E9C" w:rsidRPr="00640449" w:rsidRDefault="00674E9C" w:rsidP="009F2395">
            <w:pPr>
              <w:pStyle w:val="SingleTxtG"/>
              <w:suppressAutoHyphens w:val="0"/>
              <w:spacing w:before="80" w:after="80" w:line="220" w:lineRule="exact"/>
              <w:ind w:left="283" w:right="0"/>
              <w:jc w:val="left"/>
              <w:rPr>
                <w:b/>
                <w:sz w:val="18"/>
                <w:lang w:val="fr-FR"/>
              </w:rPr>
            </w:pPr>
            <w:r w:rsidRPr="00640449">
              <w:rPr>
                <w:b/>
                <w:sz w:val="18"/>
                <w:lang w:val="fr-FR"/>
              </w:rPr>
              <w:t>Total</w:t>
            </w:r>
          </w:p>
        </w:tc>
        <w:tc>
          <w:tcPr>
            <w:tcW w:w="1193"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1</w:t>
            </w:r>
            <w:r w:rsidR="005D4507">
              <w:rPr>
                <w:b/>
                <w:sz w:val="18"/>
                <w:lang w:val="fr-FR"/>
              </w:rPr>
              <w:t xml:space="preserve"> </w:t>
            </w:r>
            <w:r w:rsidRPr="00640449">
              <w:rPr>
                <w:b/>
                <w:sz w:val="18"/>
                <w:lang w:val="fr-FR"/>
              </w:rPr>
              <w:t>175</w:t>
            </w:r>
          </w:p>
        </w:tc>
        <w:tc>
          <w:tcPr>
            <w:tcW w:w="992"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56</w:t>
            </w:r>
          </w:p>
        </w:tc>
        <w:tc>
          <w:tcPr>
            <w:tcW w:w="805"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1</w:t>
            </w:r>
            <w:r w:rsidR="005D4507">
              <w:rPr>
                <w:b/>
                <w:sz w:val="18"/>
                <w:lang w:val="fr-FR"/>
              </w:rPr>
              <w:t xml:space="preserve"> </w:t>
            </w:r>
            <w:r w:rsidRPr="00640449">
              <w:rPr>
                <w:b/>
                <w:sz w:val="18"/>
                <w:lang w:val="fr-FR"/>
              </w:rPr>
              <w:t>981</w:t>
            </w:r>
          </w:p>
        </w:tc>
        <w:tc>
          <w:tcPr>
            <w:tcW w:w="744"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3</w:t>
            </w:r>
            <w:r w:rsidR="005D4507">
              <w:rPr>
                <w:b/>
                <w:sz w:val="18"/>
                <w:lang w:val="fr-FR"/>
              </w:rPr>
              <w:t xml:space="preserve"> </w:t>
            </w:r>
            <w:r w:rsidRPr="00640449">
              <w:rPr>
                <w:b/>
                <w:sz w:val="18"/>
                <w:lang w:val="fr-FR"/>
              </w:rPr>
              <w:t>212</w:t>
            </w:r>
          </w:p>
        </w:tc>
        <w:tc>
          <w:tcPr>
            <w:tcW w:w="902" w:type="dxa"/>
            <w:gridSpan w:val="2"/>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989</w:t>
            </w:r>
          </w:p>
        </w:tc>
        <w:tc>
          <w:tcPr>
            <w:tcW w:w="838"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74</w:t>
            </w:r>
          </w:p>
        </w:tc>
        <w:tc>
          <w:tcPr>
            <w:tcW w:w="805"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1320</w:t>
            </w:r>
          </w:p>
        </w:tc>
        <w:tc>
          <w:tcPr>
            <w:tcW w:w="744" w:type="dxa"/>
            <w:tcBorders>
              <w:top w:val="single" w:sz="4" w:space="0" w:color="auto"/>
              <w:bottom w:val="single" w:sz="12" w:space="0" w:color="auto"/>
            </w:tcBorders>
            <w:shd w:val="clear" w:color="auto" w:fill="auto"/>
            <w:noWrap/>
            <w:hideMark/>
          </w:tcPr>
          <w:p w:rsidR="00674E9C" w:rsidRPr="00640449" w:rsidRDefault="00674E9C" w:rsidP="00D20CB5">
            <w:pPr>
              <w:pStyle w:val="SingleTxtG"/>
              <w:suppressAutoHyphens w:val="0"/>
              <w:spacing w:before="80" w:after="80" w:line="220" w:lineRule="exact"/>
              <w:ind w:left="0" w:right="0"/>
              <w:jc w:val="right"/>
              <w:rPr>
                <w:b/>
                <w:sz w:val="18"/>
                <w:lang w:val="fr-FR"/>
              </w:rPr>
            </w:pPr>
            <w:r w:rsidRPr="00640449">
              <w:rPr>
                <w:b/>
                <w:sz w:val="18"/>
                <w:lang w:val="fr-FR"/>
              </w:rPr>
              <w:t>2</w:t>
            </w:r>
            <w:r w:rsidR="005D4507">
              <w:rPr>
                <w:b/>
                <w:sz w:val="18"/>
                <w:lang w:val="fr-FR"/>
              </w:rPr>
              <w:t xml:space="preserve"> </w:t>
            </w:r>
            <w:r w:rsidRPr="00640449">
              <w:rPr>
                <w:b/>
                <w:sz w:val="18"/>
                <w:lang w:val="fr-FR"/>
              </w:rPr>
              <w:t>383</w:t>
            </w:r>
          </w:p>
        </w:tc>
      </w:tr>
    </w:tbl>
    <w:p w:rsidR="00A76014" w:rsidRPr="00640449" w:rsidRDefault="00497D2C" w:rsidP="00A76014">
      <w:pPr>
        <w:pStyle w:val="H1G"/>
        <w:rPr>
          <w:lang w:val="fr-FR"/>
        </w:rPr>
      </w:pPr>
      <w:r w:rsidRPr="00640449">
        <w:tab/>
      </w:r>
      <w:r w:rsidR="00CF6D6A" w:rsidRPr="00640449">
        <w:t>L</w:t>
      </w:r>
      <w:r w:rsidR="00A76014" w:rsidRPr="00640449">
        <w:t>.</w:t>
      </w:r>
      <w:r w:rsidR="00A76014" w:rsidRPr="00640449">
        <w:tab/>
      </w:r>
      <w:r w:rsidR="00A76014" w:rsidRPr="00640449">
        <w:rPr>
          <w:lang w:val="fr-FR"/>
        </w:rPr>
        <w:t xml:space="preserve">Réponse à </w:t>
      </w:r>
      <w:r w:rsidR="00A76014" w:rsidRPr="00640449">
        <w:t>la</w:t>
      </w:r>
      <w:r w:rsidR="00A76014" w:rsidRPr="00640449">
        <w:rPr>
          <w:lang w:val="fr-FR"/>
        </w:rPr>
        <w:t xml:space="preserve"> question posée au paragraphe 5 (c)</w:t>
      </w:r>
    </w:p>
    <w:p w:rsidR="00674E9C" w:rsidRPr="00640449" w:rsidRDefault="001A7B42" w:rsidP="001A7B42">
      <w:pPr>
        <w:pStyle w:val="SingleTxtG"/>
        <w:rPr>
          <w:lang w:val="fr-FR"/>
        </w:rPr>
      </w:pPr>
      <w:r w:rsidRPr="00640449">
        <w:rPr>
          <w:lang w:val="fr-FR"/>
        </w:rPr>
        <w:t>70.</w:t>
      </w:r>
      <w:r w:rsidRPr="00640449">
        <w:rPr>
          <w:lang w:val="fr-FR"/>
        </w:rPr>
        <w:tab/>
      </w:r>
      <w:r w:rsidR="00674E9C" w:rsidRPr="00640449">
        <w:rPr>
          <w:lang w:val="fr-FR"/>
        </w:rPr>
        <w:t>L’examen médical</w:t>
      </w:r>
      <w:r w:rsidR="00756838">
        <w:rPr>
          <w:lang w:val="fr-FR"/>
        </w:rPr>
        <w:t xml:space="preserve"> </w:t>
      </w:r>
      <w:r w:rsidR="00674E9C" w:rsidRPr="00640449">
        <w:rPr>
          <w:lang w:val="fr-FR"/>
        </w:rPr>
        <w:t xml:space="preserve">général prévu par l’article 4 de la </w:t>
      </w:r>
      <w:hyperlink r:id="rId22" w:history="1">
        <w:r w:rsidR="00674E9C" w:rsidRPr="00640449">
          <w:rPr>
            <w:rStyle w:val="Lienhypertexte"/>
            <w:color w:val="auto"/>
            <w:lang w:val="fr-FR"/>
          </w:rPr>
          <w:t>loi du 18 décembre 2015 sur l’accueil des demandeurs de protection internationale et de protection temporaire</w:t>
        </w:r>
      </w:hyperlink>
      <w:r w:rsidR="00674E9C" w:rsidRPr="00640449">
        <w:rPr>
          <w:rStyle w:val="Appelnotedebasdep"/>
        </w:rPr>
        <w:footnoteReference w:id="15"/>
      </w:r>
      <w:r w:rsidR="00674E9C" w:rsidRPr="00640449">
        <w:rPr>
          <w:lang w:val="fr-FR"/>
        </w:rPr>
        <w:t xml:space="preserve"> est opéré par un médecin de la Direction de la Santé délégué à cet effet par le ministre ayant la santé dans ses attributions. Cet examen peut comprendre un examen portant sur des signes de persécutions ou d’atteintes graves que le demandeur aurait subi dans le passé.</w:t>
      </w:r>
    </w:p>
    <w:p w:rsidR="00674E9C" w:rsidRPr="00640449" w:rsidRDefault="001A7B42" w:rsidP="001A7B42">
      <w:pPr>
        <w:pStyle w:val="SingleTxtG"/>
        <w:rPr>
          <w:lang w:val="fr-FR"/>
        </w:rPr>
      </w:pPr>
      <w:r w:rsidRPr="00640449">
        <w:rPr>
          <w:lang w:val="fr-FR"/>
        </w:rPr>
        <w:t>71.</w:t>
      </w:r>
      <w:r w:rsidRPr="00640449">
        <w:rPr>
          <w:lang w:val="fr-FR"/>
        </w:rPr>
        <w:tab/>
      </w:r>
      <w:r w:rsidR="00674E9C" w:rsidRPr="00640449">
        <w:rPr>
          <w:lang w:val="fr-FR"/>
        </w:rPr>
        <w:t>Au sein de la Direction de la Santé, la division de l’Inspection sanitaire est chargée des missions de</w:t>
      </w:r>
      <w:r w:rsidR="00756838">
        <w:rPr>
          <w:lang w:val="fr-FR"/>
        </w:rPr>
        <w:t> </w:t>
      </w:r>
      <w:r w:rsidR="00674E9C" w:rsidRPr="00640449">
        <w:rPr>
          <w:lang w:val="fr-FR"/>
        </w:rPr>
        <w:t>:</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Contrôle sanitaire à l’entrée des demandeurs de protection internationale (DPI)</w:t>
      </w:r>
      <w:r w:rsidR="00756838">
        <w:rPr>
          <w:lang w:val="fr-FR"/>
        </w:rPr>
        <w:t> </w:t>
      </w:r>
      <w:r w:rsidR="00674E9C" w:rsidRPr="00640449">
        <w:rPr>
          <w:lang w:val="fr-FR"/>
        </w:rPr>
        <w:t>: un contrôle médical à visée de santé publique servant à détecter surtout des problèmes infectieux, mais aussi d’autres situations de santé graves (1</w:t>
      </w:r>
      <w:r w:rsidR="00756838">
        <w:rPr>
          <w:lang w:val="fr-FR"/>
        </w:rPr>
        <w:t> </w:t>
      </w:r>
      <w:r w:rsidR="00674E9C" w:rsidRPr="00640449">
        <w:rPr>
          <w:lang w:val="fr-FR"/>
        </w:rPr>
        <w:t>650 examens en 2018)</w:t>
      </w:r>
      <w:r w:rsidR="00640449">
        <w:rPr>
          <w:lang w:val="fr-FR"/>
        </w:rPr>
        <w:t xml:space="preserve"> ;</w:t>
      </w:r>
      <w:r w:rsidR="00674E9C" w:rsidRPr="00640449">
        <w:rPr>
          <w:lang w:val="fr-FR"/>
        </w:rPr>
        <w:t xml:space="preserve"> ceci se fait da</w:t>
      </w:r>
      <w:r w:rsidR="005F2FA1" w:rsidRPr="00640449">
        <w:rPr>
          <w:lang w:val="fr-FR"/>
        </w:rPr>
        <w:t>ns les 10 jours après l’arrivée</w:t>
      </w:r>
      <w:r w:rsidR="00640449">
        <w:rPr>
          <w:lang w:val="fr-FR"/>
        </w:rPr>
        <w:t xml:space="preserve"> ;</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Offre de consultations pour les demandeurs de protection internationale (DPI) non affiliés à une caisse de maladie (tous les DPI durant les 3 premiers mois et tous les DPI sous statut Dublin) (5</w:t>
      </w:r>
      <w:r w:rsidR="00756838">
        <w:rPr>
          <w:lang w:val="fr-FR"/>
        </w:rPr>
        <w:t> </w:t>
      </w:r>
      <w:r w:rsidR="00674E9C" w:rsidRPr="00640449">
        <w:rPr>
          <w:lang w:val="fr-FR"/>
        </w:rPr>
        <w:t>215 consultations en 2018).</w:t>
      </w:r>
    </w:p>
    <w:p w:rsidR="00674E9C" w:rsidRPr="00640449" w:rsidRDefault="001A7B42" w:rsidP="001A7B42">
      <w:pPr>
        <w:pStyle w:val="SingleTxtG"/>
        <w:rPr>
          <w:lang w:val="fr-FR"/>
        </w:rPr>
      </w:pPr>
      <w:r w:rsidRPr="00640449">
        <w:rPr>
          <w:lang w:val="fr-FR"/>
        </w:rPr>
        <w:lastRenderedPageBreak/>
        <w:t>72.</w:t>
      </w:r>
      <w:r w:rsidRPr="00640449">
        <w:rPr>
          <w:lang w:val="fr-FR"/>
        </w:rPr>
        <w:tab/>
      </w:r>
      <w:r w:rsidR="00674E9C" w:rsidRPr="00640449">
        <w:rPr>
          <w:lang w:val="fr-FR"/>
        </w:rPr>
        <w:t xml:space="preserve">Lors de ces deux activités, il se peut que le médecin soit confronté à des personnes présentant par exemple de cicatrices pouvant résulter de maltraitances. D’autres personnes se manifestent pour problèmes psychiatriques qu’elles auraient eu suite à des agressions. En fonction de la demande du concerné, le médecin peut établir un certificat constatant une lésion spécifique par exemple, ou bien une prise en charge psychiatrique ou autre peut être proposée. </w:t>
      </w:r>
      <w:r w:rsidR="00FD7E28">
        <w:rPr>
          <w:lang w:val="fr-FR"/>
        </w:rPr>
        <w:t>À</w:t>
      </w:r>
      <w:r w:rsidR="00674E9C" w:rsidRPr="00640449">
        <w:rPr>
          <w:lang w:val="fr-FR"/>
        </w:rPr>
        <w:t xml:space="preserve"> souligner que toute action ne se fait que suite à une demande ou un accord du concerné.</w:t>
      </w:r>
    </w:p>
    <w:p w:rsidR="005130E6" w:rsidRPr="00D20CB5" w:rsidRDefault="001A7B42" w:rsidP="001A7B42">
      <w:pPr>
        <w:pStyle w:val="SingleTxtG"/>
        <w:rPr>
          <w:bCs/>
          <w:lang w:val="fr-FR"/>
        </w:rPr>
      </w:pPr>
      <w:r w:rsidRPr="00640449">
        <w:rPr>
          <w:lang w:val="fr-FR"/>
        </w:rPr>
        <w:t>73.</w:t>
      </w:r>
      <w:r w:rsidRPr="00640449">
        <w:rPr>
          <w:lang w:val="fr-FR"/>
        </w:rPr>
        <w:tab/>
      </w:r>
      <w:r w:rsidR="00674E9C" w:rsidRPr="00640449">
        <w:rPr>
          <w:lang w:val="fr-FR"/>
        </w:rPr>
        <w:t>Un système d’investigation générale systématique chez tous l</w:t>
      </w:r>
      <w:r w:rsidR="009C39D0" w:rsidRPr="00640449">
        <w:rPr>
          <w:lang w:val="fr-FR"/>
        </w:rPr>
        <w:t>es arrivants n’est pas appliqué</w:t>
      </w:r>
      <w:r w:rsidR="00640449">
        <w:rPr>
          <w:lang w:val="fr-FR"/>
        </w:rPr>
        <w:t> ;</w:t>
      </w:r>
      <w:r w:rsidR="00674E9C" w:rsidRPr="00640449">
        <w:rPr>
          <w:lang w:val="fr-FR"/>
        </w:rPr>
        <w:t xml:space="preserve"> de même il n’existe pas de statistiques ciblées sur ce volet sanitaire. Des orientations ou recommandations de la part du Comité en la matière seraient les bienvenues, de même que le partage d’expériences de pays ayant mis en place un tel système avec succès.</w:t>
      </w:r>
    </w:p>
    <w:p w:rsidR="00A76014" w:rsidRPr="00640449" w:rsidRDefault="00497D2C" w:rsidP="00A76014">
      <w:pPr>
        <w:pStyle w:val="H1G"/>
        <w:rPr>
          <w:lang w:val="fr-FR"/>
        </w:rPr>
      </w:pPr>
      <w:r w:rsidRPr="00640449">
        <w:tab/>
      </w:r>
      <w:r w:rsidR="00CF6D6A" w:rsidRPr="00640449">
        <w:t>M</w:t>
      </w:r>
      <w:r w:rsidR="00A76014" w:rsidRPr="00640449">
        <w:t>.</w:t>
      </w:r>
      <w:r w:rsidR="00A76014" w:rsidRPr="00640449">
        <w:tab/>
      </w:r>
      <w:r w:rsidR="00A76014" w:rsidRPr="00640449">
        <w:rPr>
          <w:lang w:val="fr-FR"/>
        </w:rPr>
        <w:t xml:space="preserve">Réponse à </w:t>
      </w:r>
      <w:r w:rsidR="00A76014" w:rsidRPr="00640449">
        <w:t>la</w:t>
      </w:r>
      <w:r w:rsidR="00A76014" w:rsidRPr="00640449">
        <w:rPr>
          <w:lang w:val="fr-FR"/>
        </w:rPr>
        <w:t xml:space="preserve"> question posée au paragraphe 5 (d)</w:t>
      </w:r>
    </w:p>
    <w:tbl>
      <w:tblPr>
        <w:tblW w:w="7370" w:type="dxa"/>
        <w:tblInd w:w="1134" w:type="dxa"/>
        <w:tblLayout w:type="fixed"/>
        <w:tblCellMar>
          <w:left w:w="0" w:type="dxa"/>
          <w:right w:w="0" w:type="dxa"/>
        </w:tblCellMar>
        <w:tblLook w:val="04A0" w:firstRow="1" w:lastRow="0" w:firstColumn="1" w:lastColumn="0" w:noHBand="0" w:noVBand="1"/>
      </w:tblPr>
      <w:tblGrid>
        <w:gridCol w:w="1945"/>
        <w:gridCol w:w="1575"/>
        <w:gridCol w:w="2009"/>
        <w:gridCol w:w="1841"/>
      </w:tblGrid>
      <w:tr w:rsidR="00640449" w:rsidRPr="00640449" w:rsidTr="00007847">
        <w:trPr>
          <w:tblHeader/>
        </w:trPr>
        <w:tc>
          <w:tcPr>
            <w:tcW w:w="1945" w:type="dxa"/>
            <w:tcBorders>
              <w:top w:val="single" w:sz="4" w:space="0" w:color="auto"/>
              <w:bottom w:val="single" w:sz="12" w:space="0" w:color="auto"/>
            </w:tcBorders>
            <w:shd w:val="clear" w:color="auto" w:fill="auto"/>
            <w:noWrap/>
            <w:vAlign w:val="bottom"/>
          </w:tcPr>
          <w:p w:rsidR="00674E9C" w:rsidRPr="00640449" w:rsidRDefault="00674E9C" w:rsidP="00497D2C">
            <w:pPr>
              <w:pStyle w:val="SingleTxtG"/>
              <w:suppressAutoHyphens w:val="0"/>
              <w:spacing w:before="80" w:after="80" w:line="200" w:lineRule="exact"/>
              <w:ind w:left="0" w:right="0"/>
              <w:jc w:val="left"/>
              <w:rPr>
                <w:bCs/>
                <w:i/>
                <w:sz w:val="16"/>
                <w:lang w:val="fr-FR"/>
              </w:rPr>
            </w:pPr>
            <w:r w:rsidRPr="00640449">
              <w:rPr>
                <w:bCs/>
                <w:i/>
                <w:sz w:val="16"/>
                <w:lang w:val="fr-FR"/>
              </w:rPr>
              <w:t>Retours par nationalité</w:t>
            </w:r>
          </w:p>
        </w:tc>
        <w:tc>
          <w:tcPr>
            <w:tcW w:w="1575" w:type="dxa"/>
            <w:tcBorders>
              <w:top w:val="single" w:sz="4" w:space="0" w:color="auto"/>
              <w:bottom w:val="single" w:sz="12" w:space="0" w:color="auto"/>
            </w:tcBorders>
            <w:shd w:val="clear" w:color="auto" w:fill="auto"/>
            <w:noWrap/>
            <w:vAlign w:val="bottom"/>
          </w:tcPr>
          <w:p w:rsidR="00674E9C" w:rsidRPr="00640449" w:rsidRDefault="00674E9C" w:rsidP="00497D2C">
            <w:pPr>
              <w:pStyle w:val="SingleTxtG"/>
              <w:suppressAutoHyphens w:val="0"/>
              <w:spacing w:before="80" w:after="80" w:line="200" w:lineRule="exact"/>
              <w:ind w:left="0" w:right="0"/>
              <w:jc w:val="right"/>
              <w:rPr>
                <w:bCs/>
                <w:i/>
                <w:sz w:val="16"/>
                <w:lang w:val="fr-FR"/>
              </w:rPr>
            </w:pPr>
            <w:r w:rsidRPr="00640449">
              <w:rPr>
                <w:bCs/>
                <w:i/>
                <w:sz w:val="16"/>
                <w:lang w:val="fr-FR"/>
              </w:rPr>
              <w:t>2017</w:t>
            </w:r>
          </w:p>
        </w:tc>
        <w:tc>
          <w:tcPr>
            <w:tcW w:w="2009" w:type="dxa"/>
            <w:tcBorders>
              <w:top w:val="single" w:sz="4" w:space="0" w:color="auto"/>
              <w:bottom w:val="single" w:sz="12" w:space="0" w:color="auto"/>
            </w:tcBorders>
            <w:shd w:val="clear" w:color="auto" w:fill="auto"/>
            <w:vAlign w:val="bottom"/>
          </w:tcPr>
          <w:p w:rsidR="00674E9C" w:rsidRPr="00640449" w:rsidRDefault="00674E9C" w:rsidP="00497D2C">
            <w:pPr>
              <w:pStyle w:val="SingleTxtG"/>
              <w:suppressAutoHyphens w:val="0"/>
              <w:spacing w:before="80" w:after="80" w:line="200" w:lineRule="exact"/>
              <w:ind w:left="0" w:right="0"/>
              <w:jc w:val="right"/>
              <w:rPr>
                <w:bCs/>
                <w:i/>
                <w:sz w:val="16"/>
                <w:lang w:val="fr-FR"/>
              </w:rPr>
            </w:pPr>
            <w:r w:rsidRPr="00640449">
              <w:rPr>
                <w:bCs/>
                <w:i/>
                <w:sz w:val="16"/>
                <w:lang w:val="fr-FR"/>
              </w:rPr>
              <w:t>Retours par nationalité</w:t>
            </w:r>
          </w:p>
        </w:tc>
        <w:tc>
          <w:tcPr>
            <w:tcW w:w="1841" w:type="dxa"/>
            <w:tcBorders>
              <w:top w:val="single" w:sz="4" w:space="0" w:color="auto"/>
              <w:bottom w:val="single" w:sz="12" w:space="0" w:color="auto"/>
            </w:tcBorders>
            <w:shd w:val="clear" w:color="auto" w:fill="auto"/>
            <w:vAlign w:val="bottom"/>
          </w:tcPr>
          <w:p w:rsidR="00674E9C" w:rsidRPr="00640449" w:rsidRDefault="00674E9C" w:rsidP="00497D2C">
            <w:pPr>
              <w:pStyle w:val="SingleTxtG"/>
              <w:suppressAutoHyphens w:val="0"/>
              <w:spacing w:before="80" w:after="80" w:line="200" w:lineRule="exact"/>
              <w:ind w:left="0" w:right="0"/>
              <w:jc w:val="right"/>
              <w:rPr>
                <w:bCs/>
                <w:i/>
                <w:sz w:val="16"/>
                <w:lang w:val="fr-FR"/>
              </w:rPr>
            </w:pPr>
            <w:r w:rsidRPr="00640449">
              <w:rPr>
                <w:bCs/>
                <w:i/>
                <w:sz w:val="16"/>
                <w:lang w:val="fr-FR"/>
              </w:rPr>
              <w:t>2018</w:t>
            </w:r>
          </w:p>
        </w:tc>
      </w:tr>
      <w:tr w:rsidR="00640449" w:rsidRPr="00640449" w:rsidTr="00007847">
        <w:tc>
          <w:tcPr>
            <w:tcW w:w="1945" w:type="dxa"/>
            <w:tcBorders>
              <w:top w:val="single" w:sz="12" w:space="0" w:color="auto"/>
            </w:tcBorders>
            <w:shd w:val="clear" w:color="auto" w:fill="auto"/>
            <w:noWrap/>
            <w:hideMark/>
          </w:tcPr>
          <w:p w:rsidR="00674E9C" w:rsidRPr="00640449" w:rsidRDefault="00210C34" w:rsidP="00497D2C">
            <w:pPr>
              <w:pStyle w:val="SingleTxtG"/>
              <w:suppressAutoHyphens w:val="0"/>
              <w:spacing w:before="40" w:after="40" w:line="220" w:lineRule="exact"/>
              <w:ind w:left="0" w:right="0"/>
              <w:jc w:val="left"/>
              <w:rPr>
                <w:sz w:val="18"/>
                <w:lang w:val="fr-FR"/>
              </w:rPr>
            </w:pPr>
            <w:r w:rsidRPr="00640449">
              <w:rPr>
                <w:sz w:val="18"/>
                <w:lang w:val="fr-FR"/>
              </w:rPr>
              <w:t>Albanaise</w:t>
            </w:r>
          </w:p>
        </w:tc>
        <w:tc>
          <w:tcPr>
            <w:tcW w:w="1575" w:type="dxa"/>
            <w:tcBorders>
              <w:top w:val="single" w:sz="12" w:space="0" w:color="auto"/>
            </w:tcBorders>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114</w:t>
            </w:r>
          </w:p>
        </w:tc>
        <w:tc>
          <w:tcPr>
            <w:tcW w:w="2009" w:type="dxa"/>
            <w:tcBorders>
              <w:top w:val="single" w:sz="12" w:space="0" w:color="auto"/>
            </w:tcBorders>
            <w:shd w:val="clear" w:color="auto" w:fill="auto"/>
            <w:vAlign w:val="bottom"/>
          </w:tcPr>
          <w:p w:rsidR="00674E9C" w:rsidRPr="00640449" w:rsidRDefault="00210C34" w:rsidP="00497D2C">
            <w:pPr>
              <w:pStyle w:val="SingleTxtG"/>
              <w:suppressAutoHyphens w:val="0"/>
              <w:spacing w:before="40" w:after="40" w:line="220" w:lineRule="exact"/>
              <w:ind w:left="0" w:right="0"/>
              <w:jc w:val="right"/>
              <w:rPr>
                <w:sz w:val="18"/>
                <w:lang w:val="fr-FR"/>
              </w:rPr>
            </w:pPr>
            <w:r w:rsidRPr="00640449">
              <w:rPr>
                <w:sz w:val="18"/>
                <w:lang w:val="fr-FR"/>
              </w:rPr>
              <w:t>Géorgienne</w:t>
            </w:r>
          </w:p>
        </w:tc>
        <w:tc>
          <w:tcPr>
            <w:tcW w:w="1841" w:type="dxa"/>
            <w:tcBorders>
              <w:top w:val="single" w:sz="12" w:space="0" w:color="auto"/>
            </w:tcBorders>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49</w:t>
            </w:r>
          </w:p>
        </w:tc>
      </w:tr>
      <w:tr w:rsidR="00640449" w:rsidRPr="00640449" w:rsidTr="00007847">
        <w:tc>
          <w:tcPr>
            <w:tcW w:w="1945" w:type="dxa"/>
            <w:shd w:val="clear" w:color="auto" w:fill="auto"/>
            <w:noWrap/>
            <w:hideMark/>
          </w:tcPr>
          <w:p w:rsidR="00674E9C" w:rsidRPr="00640449" w:rsidRDefault="00210C34" w:rsidP="00497D2C">
            <w:pPr>
              <w:pStyle w:val="SingleTxtG"/>
              <w:suppressAutoHyphens w:val="0"/>
              <w:spacing w:before="40" w:after="40" w:line="220" w:lineRule="exact"/>
              <w:ind w:left="0" w:right="0"/>
              <w:jc w:val="left"/>
              <w:rPr>
                <w:sz w:val="18"/>
                <w:lang w:val="fr-FR"/>
              </w:rPr>
            </w:pPr>
            <w:r w:rsidRPr="00640449">
              <w:rPr>
                <w:sz w:val="18"/>
                <w:lang w:val="fr-FR"/>
              </w:rPr>
              <w:t>Kosovare</w:t>
            </w:r>
          </w:p>
        </w:tc>
        <w:tc>
          <w:tcPr>
            <w:tcW w:w="1575" w:type="dxa"/>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106</w:t>
            </w:r>
          </w:p>
        </w:tc>
        <w:tc>
          <w:tcPr>
            <w:tcW w:w="2009" w:type="dxa"/>
            <w:shd w:val="clear" w:color="auto" w:fill="auto"/>
            <w:vAlign w:val="bottom"/>
          </w:tcPr>
          <w:p w:rsidR="00674E9C" w:rsidRPr="00640449" w:rsidRDefault="00210C34" w:rsidP="00497D2C">
            <w:pPr>
              <w:pStyle w:val="SingleTxtG"/>
              <w:suppressAutoHyphens w:val="0"/>
              <w:spacing w:before="40" w:after="40" w:line="220" w:lineRule="exact"/>
              <w:ind w:left="0" w:right="0"/>
              <w:jc w:val="right"/>
              <w:rPr>
                <w:sz w:val="18"/>
                <w:lang w:val="fr-FR"/>
              </w:rPr>
            </w:pPr>
            <w:r w:rsidRPr="00640449">
              <w:rPr>
                <w:sz w:val="18"/>
                <w:lang w:val="fr-FR"/>
              </w:rPr>
              <w:t>Kosovare</w:t>
            </w:r>
          </w:p>
        </w:tc>
        <w:tc>
          <w:tcPr>
            <w:tcW w:w="1841"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45</w:t>
            </w:r>
          </w:p>
        </w:tc>
      </w:tr>
      <w:tr w:rsidR="00640449" w:rsidRPr="00640449" w:rsidTr="00007847">
        <w:tc>
          <w:tcPr>
            <w:tcW w:w="1945" w:type="dxa"/>
            <w:shd w:val="clear" w:color="auto" w:fill="auto"/>
            <w:noWrap/>
            <w:hideMark/>
          </w:tcPr>
          <w:p w:rsidR="00674E9C" w:rsidRPr="00640449" w:rsidRDefault="00210C34" w:rsidP="00497D2C">
            <w:pPr>
              <w:pStyle w:val="SingleTxtG"/>
              <w:suppressAutoHyphens w:val="0"/>
              <w:spacing w:before="40" w:after="40" w:line="220" w:lineRule="exact"/>
              <w:ind w:left="0" w:right="0"/>
              <w:jc w:val="left"/>
              <w:rPr>
                <w:sz w:val="18"/>
                <w:lang w:val="fr-FR"/>
              </w:rPr>
            </w:pPr>
            <w:r w:rsidRPr="00640449">
              <w:rPr>
                <w:sz w:val="18"/>
                <w:lang w:val="fr-FR"/>
              </w:rPr>
              <w:t>Serbe</w:t>
            </w:r>
          </w:p>
        </w:tc>
        <w:tc>
          <w:tcPr>
            <w:tcW w:w="1575" w:type="dxa"/>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64</w:t>
            </w:r>
          </w:p>
        </w:tc>
        <w:tc>
          <w:tcPr>
            <w:tcW w:w="2009" w:type="dxa"/>
            <w:shd w:val="clear" w:color="auto" w:fill="auto"/>
            <w:vAlign w:val="bottom"/>
          </w:tcPr>
          <w:p w:rsidR="00674E9C" w:rsidRPr="00640449" w:rsidRDefault="00210C34" w:rsidP="00497D2C">
            <w:pPr>
              <w:pStyle w:val="SingleTxtG"/>
              <w:suppressAutoHyphens w:val="0"/>
              <w:spacing w:before="40" w:after="40" w:line="220" w:lineRule="exact"/>
              <w:ind w:left="0" w:right="0"/>
              <w:jc w:val="right"/>
              <w:rPr>
                <w:sz w:val="18"/>
                <w:lang w:val="fr-FR"/>
              </w:rPr>
            </w:pPr>
            <w:r w:rsidRPr="00640449">
              <w:rPr>
                <w:sz w:val="18"/>
                <w:lang w:val="fr-FR"/>
              </w:rPr>
              <w:t>Serbe</w:t>
            </w:r>
          </w:p>
        </w:tc>
        <w:tc>
          <w:tcPr>
            <w:tcW w:w="1841"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43</w:t>
            </w:r>
          </w:p>
        </w:tc>
      </w:tr>
      <w:tr w:rsidR="00640449" w:rsidRPr="00640449" w:rsidTr="00007847">
        <w:tc>
          <w:tcPr>
            <w:tcW w:w="1945" w:type="dxa"/>
            <w:shd w:val="clear" w:color="auto" w:fill="auto"/>
            <w:noWrap/>
            <w:hideMark/>
          </w:tcPr>
          <w:p w:rsidR="00674E9C" w:rsidRPr="00640449" w:rsidRDefault="00210C34" w:rsidP="00497D2C">
            <w:pPr>
              <w:pStyle w:val="SingleTxtG"/>
              <w:suppressAutoHyphens w:val="0"/>
              <w:spacing w:before="40" w:after="40" w:line="220" w:lineRule="exact"/>
              <w:ind w:left="0" w:right="0"/>
              <w:jc w:val="left"/>
              <w:rPr>
                <w:sz w:val="18"/>
                <w:lang w:val="fr-FR"/>
              </w:rPr>
            </w:pPr>
            <w:proofErr w:type="spellStart"/>
            <w:r w:rsidRPr="00640449">
              <w:rPr>
                <w:sz w:val="18"/>
                <w:lang w:val="fr-FR"/>
              </w:rPr>
              <w:t>Bosnie-herzégovine</w:t>
            </w:r>
            <w:proofErr w:type="spellEnd"/>
          </w:p>
        </w:tc>
        <w:tc>
          <w:tcPr>
            <w:tcW w:w="1575" w:type="dxa"/>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55</w:t>
            </w:r>
          </w:p>
        </w:tc>
        <w:tc>
          <w:tcPr>
            <w:tcW w:w="2009" w:type="dxa"/>
            <w:shd w:val="clear" w:color="auto" w:fill="auto"/>
            <w:vAlign w:val="bottom"/>
          </w:tcPr>
          <w:p w:rsidR="00674E9C" w:rsidRPr="00640449" w:rsidRDefault="00210C34" w:rsidP="00497D2C">
            <w:pPr>
              <w:pStyle w:val="SingleTxtG"/>
              <w:suppressAutoHyphens w:val="0"/>
              <w:spacing w:before="40" w:after="40" w:line="220" w:lineRule="exact"/>
              <w:ind w:left="0" w:right="0"/>
              <w:jc w:val="right"/>
              <w:rPr>
                <w:sz w:val="18"/>
                <w:lang w:val="fr-FR"/>
              </w:rPr>
            </w:pPr>
            <w:r w:rsidRPr="00640449">
              <w:rPr>
                <w:sz w:val="18"/>
                <w:lang w:val="fr-FR"/>
              </w:rPr>
              <w:t>Albanaise</w:t>
            </w:r>
          </w:p>
        </w:tc>
        <w:tc>
          <w:tcPr>
            <w:tcW w:w="1841"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30</w:t>
            </w:r>
          </w:p>
        </w:tc>
      </w:tr>
      <w:tr w:rsidR="00640449" w:rsidRPr="00640449" w:rsidTr="00007847">
        <w:tc>
          <w:tcPr>
            <w:tcW w:w="1945" w:type="dxa"/>
            <w:shd w:val="clear" w:color="auto" w:fill="auto"/>
            <w:noWrap/>
            <w:hideMark/>
          </w:tcPr>
          <w:p w:rsidR="00674E9C" w:rsidRPr="00640449" w:rsidRDefault="00210C34" w:rsidP="00497D2C">
            <w:pPr>
              <w:pStyle w:val="SingleTxtG"/>
              <w:suppressAutoHyphens w:val="0"/>
              <w:spacing w:before="40" w:after="40" w:line="220" w:lineRule="exact"/>
              <w:ind w:left="0" w:right="0"/>
              <w:jc w:val="left"/>
              <w:rPr>
                <w:sz w:val="18"/>
                <w:lang w:val="fr-FR"/>
              </w:rPr>
            </w:pPr>
            <w:r w:rsidRPr="00640449">
              <w:rPr>
                <w:sz w:val="18"/>
                <w:lang w:val="fr-FR"/>
              </w:rPr>
              <w:t>Monténégrine</w:t>
            </w:r>
          </w:p>
        </w:tc>
        <w:tc>
          <w:tcPr>
            <w:tcW w:w="1575" w:type="dxa"/>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32</w:t>
            </w:r>
          </w:p>
        </w:tc>
        <w:tc>
          <w:tcPr>
            <w:tcW w:w="2009" w:type="dxa"/>
            <w:shd w:val="clear" w:color="auto" w:fill="auto"/>
            <w:vAlign w:val="bottom"/>
          </w:tcPr>
          <w:p w:rsidR="00674E9C" w:rsidRPr="00640449" w:rsidRDefault="00210C34" w:rsidP="00497D2C">
            <w:pPr>
              <w:pStyle w:val="SingleTxtG"/>
              <w:suppressAutoHyphens w:val="0"/>
              <w:spacing w:before="40" w:after="40" w:line="220" w:lineRule="exact"/>
              <w:ind w:left="0" w:right="0"/>
              <w:jc w:val="right"/>
              <w:rPr>
                <w:sz w:val="18"/>
                <w:lang w:val="fr-FR"/>
              </w:rPr>
            </w:pPr>
            <w:proofErr w:type="spellStart"/>
            <w:r w:rsidRPr="00640449">
              <w:rPr>
                <w:sz w:val="18"/>
                <w:lang w:val="fr-FR"/>
              </w:rPr>
              <w:t>Bosnie-herzégovine</w:t>
            </w:r>
            <w:proofErr w:type="spellEnd"/>
          </w:p>
        </w:tc>
        <w:tc>
          <w:tcPr>
            <w:tcW w:w="1841"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27</w:t>
            </w:r>
          </w:p>
        </w:tc>
      </w:tr>
      <w:tr w:rsidR="00640449" w:rsidRPr="00640449" w:rsidTr="00007847">
        <w:tc>
          <w:tcPr>
            <w:tcW w:w="1945" w:type="dxa"/>
            <w:tcBorders>
              <w:bottom w:val="single" w:sz="4" w:space="0" w:color="auto"/>
            </w:tcBorders>
            <w:shd w:val="clear" w:color="auto" w:fill="auto"/>
            <w:noWrap/>
            <w:hideMark/>
          </w:tcPr>
          <w:p w:rsidR="00674E9C" w:rsidRPr="00640449" w:rsidRDefault="00210C34" w:rsidP="00497D2C">
            <w:pPr>
              <w:pStyle w:val="SingleTxtG"/>
              <w:suppressAutoHyphens w:val="0"/>
              <w:spacing w:before="40" w:after="40" w:line="220" w:lineRule="exact"/>
              <w:ind w:left="0" w:right="0"/>
              <w:jc w:val="left"/>
              <w:rPr>
                <w:sz w:val="18"/>
                <w:lang w:val="fr-FR"/>
              </w:rPr>
            </w:pPr>
            <w:r w:rsidRPr="00640449">
              <w:rPr>
                <w:sz w:val="18"/>
                <w:lang w:val="fr-FR"/>
              </w:rPr>
              <w:t>Autres</w:t>
            </w:r>
          </w:p>
        </w:tc>
        <w:tc>
          <w:tcPr>
            <w:tcW w:w="1575" w:type="dxa"/>
            <w:tcBorders>
              <w:bottom w:val="single" w:sz="4" w:space="0" w:color="auto"/>
            </w:tcBorders>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152</w:t>
            </w:r>
          </w:p>
        </w:tc>
        <w:tc>
          <w:tcPr>
            <w:tcW w:w="2009" w:type="dxa"/>
            <w:tcBorders>
              <w:bottom w:val="single" w:sz="4" w:space="0" w:color="auto"/>
            </w:tcBorders>
            <w:shd w:val="clear" w:color="auto" w:fill="auto"/>
            <w:vAlign w:val="bottom"/>
          </w:tcPr>
          <w:p w:rsidR="00674E9C" w:rsidRPr="00640449" w:rsidRDefault="00210C34" w:rsidP="00497D2C">
            <w:pPr>
              <w:pStyle w:val="SingleTxtG"/>
              <w:suppressAutoHyphens w:val="0"/>
              <w:spacing w:before="40" w:after="40" w:line="220" w:lineRule="exact"/>
              <w:ind w:left="0" w:right="0"/>
              <w:jc w:val="right"/>
              <w:rPr>
                <w:sz w:val="18"/>
                <w:lang w:val="fr-FR"/>
              </w:rPr>
            </w:pPr>
            <w:r w:rsidRPr="00640449">
              <w:rPr>
                <w:sz w:val="18"/>
                <w:lang w:val="fr-FR"/>
              </w:rPr>
              <w:t>Autres</w:t>
            </w:r>
          </w:p>
        </w:tc>
        <w:tc>
          <w:tcPr>
            <w:tcW w:w="1841" w:type="dxa"/>
            <w:tcBorders>
              <w:bottom w:val="single" w:sz="4" w:space="0" w:color="auto"/>
            </w:tcBorders>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164</w:t>
            </w:r>
          </w:p>
        </w:tc>
      </w:tr>
      <w:tr w:rsidR="00674E9C" w:rsidRPr="00640449" w:rsidTr="00007847">
        <w:tc>
          <w:tcPr>
            <w:tcW w:w="1945" w:type="dxa"/>
            <w:tcBorders>
              <w:top w:val="single" w:sz="4" w:space="0" w:color="auto"/>
              <w:bottom w:val="single" w:sz="12" w:space="0" w:color="auto"/>
            </w:tcBorders>
            <w:shd w:val="clear" w:color="auto" w:fill="auto"/>
            <w:noWrap/>
          </w:tcPr>
          <w:p w:rsidR="00674E9C" w:rsidRPr="00640449" w:rsidRDefault="00674E9C" w:rsidP="00C466EE">
            <w:pPr>
              <w:pStyle w:val="SingleTxtG"/>
              <w:suppressAutoHyphens w:val="0"/>
              <w:spacing w:before="80" w:after="80" w:line="220" w:lineRule="exact"/>
              <w:ind w:left="283" w:right="0"/>
              <w:jc w:val="left"/>
              <w:rPr>
                <w:b/>
                <w:sz w:val="18"/>
                <w:lang w:val="fr-FR"/>
              </w:rPr>
            </w:pPr>
            <w:r w:rsidRPr="00640449">
              <w:rPr>
                <w:b/>
                <w:sz w:val="18"/>
                <w:lang w:val="fr-FR"/>
              </w:rPr>
              <w:t>Total</w:t>
            </w:r>
          </w:p>
        </w:tc>
        <w:tc>
          <w:tcPr>
            <w:tcW w:w="1575" w:type="dxa"/>
            <w:tcBorders>
              <w:top w:val="single" w:sz="4" w:space="0" w:color="auto"/>
              <w:bottom w:val="single" w:sz="12" w:space="0" w:color="auto"/>
            </w:tcBorders>
            <w:shd w:val="clear" w:color="auto" w:fill="auto"/>
            <w:noWrap/>
            <w:vAlign w:val="bottom"/>
          </w:tcPr>
          <w:p w:rsidR="00674E9C" w:rsidRPr="00640449" w:rsidRDefault="00674E9C" w:rsidP="00C466EE">
            <w:pPr>
              <w:pStyle w:val="SingleTxtG"/>
              <w:suppressAutoHyphens w:val="0"/>
              <w:spacing w:before="80" w:after="80" w:line="220" w:lineRule="exact"/>
              <w:ind w:left="0" w:right="0"/>
              <w:jc w:val="right"/>
              <w:rPr>
                <w:b/>
                <w:sz w:val="18"/>
                <w:lang w:val="fr-FR"/>
              </w:rPr>
            </w:pPr>
            <w:r w:rsidRPr="00640449">
              <w:rPr>
                <w:b/>
                <w:sz w:val="18"/>
                <w:lang w:val="fr-FR"/>
              </w:rPr>
              <w:t>523</w:t>
            </w:r>
          </w:p>
        </w:tc>
        <w:tc>
          <w:tcPr>
            <w:tcW w:w="2009" w:type="dxa"/>
            <w:tcBorders>
              <w:top w:val="single" w:sz="4" w:space="0" w:color="auto"/>
              <w:bottom w:val="single" w:sz="12" w:space="0" w:color="auto"/>
            </w:tcBorders>
            <w:shd w:val="clear" w:color="auto" w:fill="auto"/>
            <w:vAlign w:val="bottom"/>
          </w:tcPr>
          <w:p w:rsidR="00674E9C" w:rsidRPr="00640449" w:rsidRDefault="00674E9C" w:rsidP="00C466EE">
            <w:pPr>
              <w:pStyle w:val="SingleTxtG"/>
              <w:suppressAutoHyphens w:val="0"/>
              <w:spacing w:before="80" w:after="80" w:line="220" w:lineRule="exact"/>
              <w:ind w:left="0" w:right="0"/>
              <w:jc w:val="right"/>
              <w:rPr>
                <w:b/>
                <w:sz w:val="18"/>
                <w:lang w:val="fr-FR"/>
              </w:rPr>
            </w:pPr>
            <w:r w:rsidRPr="00640449">
              <w:rPr>
                <w:b/>
                <w:sz w:val="18"/>
                <w:lang w:val="fr-FR"/>
              </w:rPr>
              <w:t>Total</w:t>
            </w:r>
          </w:p>
        </w:tc>
        <w:tc>
          <w:tcPr>
            <w:tcW w:w="1841" w:type="dxa"/>
            <w:tcBorders>
              <w:top w:val="single" w:sz="4" w:space="0" w:color="auto"/>
              <w:bottom w:val="single" w:sz="12" w:space="0" w:color="auto"/>
            </w:tcBorders>
            <w:shd w:val="clear" w:color="auto" w:fill="auto"/>
            <w:vAlign w:val="bottom"/>
          </w:tcPr>
          <w:p w:rsidR="00674E9C" w:rsidRPr="00640449" w:rsidRDefault="00674E9C" w:rsidP="00C466EE">
            <w:pPr>
              <w:pStyle w:val="SingleTxtG"/>
              <w:suppressAutoHyphens w:val="0"/>
              <w:spacing w:before="80" w:after="80" w:line="220" w:lineRule="exact"/>
              <w:ind w:left="0" w:right="0"/>
              <w:jc w:val="right"/>
              <w:rPr>
                <w:b/>
                <w:sz w:val="18"/>
                <w:lang w:val="fr-FR"/>
              </w:rPr>
            </w:pPr>
            <w:r w:rsidRPr="00640449">
              <w:rPr>
                <w:b/>
                <w:sz w:val="18"/>
                <w:lang w:val="fr-FR"/>
              </w:rPr>
              <w:t>358</w:t>
            </w:r>
          </w:p>
        </w:tc>
      </w:tr>
    </w:tbl>
    <w:p w:rsidR="00674E9C" w:rsidRPr="00640449" w:rsidRDefault="00674E9C" w:rsidP="009F2395">
      <w:pPr>
        <w:pStyle w:val="SingleTxtG"/>
        <w:rPr>
          <w:sz w:val="24"/>
          <w:szCs w:val="24"/>
          <w:lang w:val="en-US"/>
        </w:rPr>
      </w:pPr>
    </w:p>
    <w:tbl>
      <w:tblPr>
        <w:tblW w:w="7370" w:type="dxa"/>
        <w:tblInd w:w="1134" w:type="dxa"/>
        <w:tblLayout w:type="fixed"/>
        <w:tblCellMar>
          <w:left w:w="0" w:type="dxa"/>
          <w:right w:w="0" w:type="dxa"/>
        </w:tblCellMar>
        <w:tblLook w:val="04A0" w:firstRow="1" w:lastRow="0" w:firstColumn="1" w:lastColumn="0" w:noHBand="0" w:noVBand="1"/>
      </w:tblPr>
      <w:tblGrid>
        <w:gridCol w:w="2610"/>
        <w:gridCol w:w="2380"/>
        <w:gridCol w:w="2380"/>
      </w:tblGrid>
      <w:tr w:rsidR="00640449" w:rsidRPr="00640449" w:rsidTr="00497D2C">
        <w:trPr>
          <w:tblHeader/>
        </w:trPr>
        <w:tc>
          <w:tcPr>
            <w:tcW w:w="3162" w:type="dxa"/>
            <w:tcBorders>
              <w:top w:val="single" w:sz="4" w:space="0" w:color="auto"/>
              <w:bottom w:val="single" w:sz="12" w:space="0" w:color="auto"/>
            </w:tcBorders>
            <w:shd w:val="clear" w:color="auto" w:fill="auto"/>
            <w:noWrap/>
            <w:vAlign w:val="bottom"/>
            <w:hideMark/>
          </w:tcPr>
          <w:p w:rsidR="00674E9C" w:rsidRPr="00640449" w:rsidRDefault="00674E9C" w:rsidP="00497D2C">
            <w:pPr>
              <w:pStyle w:val="SingleTxtG"/>
              <w:suppressAutoHyphens w:val="0"/>
              <w:spacing w:before="80" w:after="80" w:line="200" w:lineRule="exact"/>
              <w:ind w:left="0" w:right="0"/>
              <w:jc w:val="left"/>
              <w:rPr>
                <w:bCs/>
                <w:i/>
                <w:sz w:val="16"/>
              </w:rPr>
            </w:pPr>
            <w:r w:rsidRPr="00640449">
              <w:rPr>
                <w:bCs/>
                <w:i/>
                <w:sz w:val="16"/>
              </w:rPr>
              <w:t>Retours par sexe</w:t>
            </w:r>
          </w:p>
        </w:tc>
        <w:tc>
          <w:tcPr>
            <w:tcW w:w="2884" w:type="dxa"/>
            <w:tcBorders>
              <w:top w:val="single" w:sz="4" w:space="0" w:color="auto"/>
              <w:bottom w:val="single" w:sz="12" w:space="0" w:color="auto"/>
            </w:tcBorders>
            <w:shd w:val="clear" w:color="auto" w:fill="auto"/>
            <w:noWrap/>
            <w:vAlign w:val="bottom"/>
            <w:hideMark/>
          </w:tcPr>
          <w:p w:rsidR="00674E9C" w:rsidRPr="00640449" w:rsidRDefault="00674E9C" w:rsidP="00497D2C">
            <w:pPr>
              <w:pStyle w:val="SingleTxtG"/>
              <w:suppressAutoHyphens w:val="0"/>
              <w:spacing w:before="80" w:after="80" w:line="200" w:lineRule="exact"/>
              <w:ind w:left="0" w:right="0"/>
              <w:jc w:val="right"/>
              <w:rPr>
                <w:bCs/>
                <w:i/>
                <w:sz w:val="16"/>
              </w:rPr>
            </w:pPr>
            <w:r w:rsidRPr="00640449">
              <w:rPr>
                <w:bCs/>
                <w:i/>
                <w:sz w:val="16"/>
              </w:rPr>
              <w:t>2017</w:t>
            </w:r>
          </w:p>
        </w:tc>
        <w:tc>
          <w:tcPr>
            <w:tcW w:w="2884" w:type="dxa"/>
            <w:tcBorders>
              <w:top w:val="single" w:sz="4" w:space="0" w:color="auto"/>
              <w:bottom w:val="single" w:sz="12" w:space="0" w:color="auto"/>
            </w:tcBorders>
            <w:shd w:val="clear" w:color="auto" w:fill="auto"/>
            <w:noWrap/>
            <w:vAlign w:val="bottom"/>
            <w:hideMark/>
          </w:tcPr>
          <w:p w:rsidR="00674E9C" w:rsidRPr="00640449" w:rsidRDefault="00674E9C" w:rsidP="00497D2C">
            <w:pPr>
              <w:pStyle w:val="SingleTxtG"/>
              <w:suppressAutoHyphens w:val="0"/>
              <w:spacing w:before="80" w:after="80" w:line="200" w:lineRule="exact"/>
              <w:ind w:left="0" w:right="0"/>
              <w:jc w:val="right"/>
              <w:rPr>
                <w:bCs/>
                <w:i/>
                <w:sz w:val="16"/>
              </w:rPr>
            </w:pPr>
            <w:r w:rsidRPr="00640449">
              <w:rPr>
                <w:bCs/>
                <w:i/>
                <w:sz w:val="16"/>
              </w:rPr>
              <w:t>2018</w:t>
            </w:r>
          </w:p>
        </w:tc>
      </w:tr>
      <w:tr w:rsidR="00640449" w:rsidRPr="00640449" w:rsidTr="00497D2C">
        <w:tc>
          <w:tcPr>
            <w:tcW w:w="3162" w:type="dxa"/>
            <w:tcBorders>
              <w:top w:val="single" w:sz="12" w:space="0" w:color="auto"/>
            </w:tcBorders>
            <w:shd w:val="clear" w:color="auto" w:fill="auto"/>
            <w:noWrap/>
            <w:hideMark/>
          </w:tcPr>
          <w:p w:rsidR="00674E9C" w:rsidRPr="00640449" w:rsidRDefault="00674E9C" w:rsidP="00497D2C">
            <w:pPr>
              <w:pStyle w:val="SingleTxtG"/>
              <w:suppressAutoHyphens w:val="0"/>
              <w:spacing w:before="40" w:after="40" w:line="220" w:lineRule="exact"/>
              <w:ind w:left="0" w:right="0"/>
              <w:jc w:val="left"/>
              <w:rPr>
                <w:sz w:val="18"/>
              </w:rPr>
            </w:pPr>
            <w:r w:rsidRPr="00640449">
              <w:rPr>
                <w:sz w:val="18"/>
              </w:rPr>
              <w:t>F</w:t>
            </w:r>
          </w:p>
        </w:tc>
        <w:tc>
          <w:tcPr>
            <w:tcW w:w="2884" w:type="dxa"/>
            <w:tcBorders>
              <w:top w:val="single" w:sz="12" w:space="0" w:color="auto"/>
            </w:tcBorders>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rPr>
            </w:pPr>
            <w:r w:rsidRPr="00640449">
              <w:rPr>
                <w:sz w:val="18"/>
              </w:rPr>
              <w:t>162</w:t>
            </w:r>
          </w:p>
        </w:tc>
        <w:tc>
          <w:tcPr>
            <w:tcW w:w="2884" w:type="dxa"/>
            <w:tcBorders>
              <w:top w:val="single" w:sz="12" w:space="0" w:color="auto"/>
            </w:tcBorders>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rPr>
            </w:pPr>
            <w:r w:rsidRPr="00640449">
              <w:rPr>
                <w:sz w:val="18"/>
              </w:rPr>
              <w:t>95</w:t>
            </w:r>
          </w:p>
        </w:tc>
      </w:tr>
      <w:tr w:rsidR="00640449" w:rsidRPr="00640449" w:rsidTr="00C466EE">
        <w:tc>
          <w:tcPr>
            <w:tcW w:w="3162" w:type="dxa"/>
            <w:tcBorders>
              <w:bottom w:val="single" w:sz="4" w:space="0" w:color="auto"/>
            </w:tcBorders>
            <w:shd w:val="clear" w:color="auto" w:fill="auto"/>
            <w:noWrap/>
            <w:hideMark/>
          </w:tcPr>
          <w:p w:rsidR="00674E9C" w:rsidRPr="00640449" w:rsidRDefault="00674E9C" w:rsidP="00497D2C">
            <w:pPr>
              <w:pStyle w:val="SingleTxtG"/>
              <w:suppressAutoHyphens w:val="0"/>
              <w:spacing w:before="40" w:after="40" w:line="220" w:lineRule="exact"/>
              <w:ind w:left="0" w:right="0"/>
              <w:jc w:val="left"/>
              <w:rPr>
                <w:sz w:val="18"/>
              </w:rPr>
            </w:pPr>
            <w:r w:rsidRPr="00640449">
              <w:rPr>
                <w:sz w:val="18"/>
              </w:rPr>
              <w:t>M</w:t>
            </w:r>
          </w:p>
        </w:tc>
        <w:tc>
          <w:tcPr>
            <w:tcW w:w="2884" w:type="dxa"/>
            <w:tcBorders>
              <w:bottom w:val="single" w:sz="4" w:space="0" w:color="auto"/>
            </w:tcBorders>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rPr>
            </w:pPr>
            <w:r w:rsidRPr="00640449">
              <w:rPr>
                <w:sz w:val="18"/>
              </w:rPr>
              <w:t>361</w:t>
            </w:r>
          </w:p>
        </w:tc>
        <w:tc>
          <w:tcPr>
            <w:tcW w:w="2884" w:type="dxa"/>
            <w:tcBorders>
              <w:bottom w:val="single" w:sz="4" w:space="0" w:color="auto"/>
            </w:tcBorders>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rPr>
            </w:pPr>
            <w:r w:rsidRPr="00640449">
              <w:rPr>
                <w:sz w:val="18"/>
              </w:rPr>
              <w:t>263</w:t>
            </w:r>
          </w:p>
        </w:tc>
      </w:tr>
      <w:tr w:rsidR="00674E9C" w:rsidRPr="00640449" w:rsidTr="00C466EE">
        <w:tc>
          <w:tcPr>
            <w:tcW w:w="3162" w:type="dxa"/>
            <w:tcBorders>
              <w:top w:val="single" w:sz="4" w:space="0" w:color="auto"/>
              <w:bottom w:val="single" w:sz="12" w:space="0" w:color="auto"/>
            </w:tcBorders>
            <w:shd w:val="clear" w:color="auto" w:fill="auto"/>
            <w:noWrap/>
            <w:hideMark/>
          </w:tcPr>
          <w:p w:rsidR="00674E9C" w:rsidRPr="00640449" w:rsidRDefault="00674E9C" w:rsidP="00C466EE">
            <w:pPr>
              <w:pStyle w:val="SingleTxtG"/>
              <w:suppressAutoHyphens w:val="0"/>
              <w:spacing w:before="80" w:after="80" w:line="220" w:lineRule="exact"/>
              <w:ind w:left="283" w:right="0"/>
              <w:jc w:val="left"/>
              <w:rPr>
                <w:b/>
                <w:bCs/>
                <w:sz w:val="18"/>
              </w:rPr>
            </w:pPr>
            <w:r w:rsidRPr="00640449">
              <w:rPr>
                <w:b/>
                <w:bCs/>
                <w:sz w:val="18"/>
              </w:rPr>
              <w:t>Total</w:t>
            </w:r>
          </w:p>
        </w:tc>
        <w:tc>
          <w:tcPr>
            <w:tcW w:w="2884" w:type="dxa"/>
            <w:tcBorders>
              <w:top w:val="single" w:sz="4" w:space="0" w:color="auto"/>
              <w:bottom w:val="single" w:sz="12" w:space="0" w:color="auto"/>
            </w:tcBorders>
            <w:shd w:val="clear" w:color="auto" w:fill="auto"/>
            <w:noWrap/>
            <w:vAlign w:val="bottom"/>
            <w:hideMark/>
          </w:tcPr>
          <w:p w:rsidR="00674E9C" w:rsidRPr="00640449" w:rsidRDefault="00674E9C" w:rsidP="00C466EE">
            <w:pPr>
              <w:pStyle w:val="SingleTxtG"/>
              <w:suppressAutoHyphens w:val="0"/>
              <w:spacing w:before="80" w:after="80" w:line="220" w:lineRule="exact"/>
              <w:ind w:left="0" w:right="0"/>
              <w:jc w:val="right"/>
              <w:rPr>
                <w:b/>
                <w:bCs/>
                <w:sz w:val="18"/>
              </w:rPr>
            </w:pPr>
            <w:r w:rsidRPr="00640449">
              <w:rPr>
                <w:b/>
                <w:bCs/>
                <w:sz w:val="18"/>
              </w:rPr>
              <w:t>523</w:t>
            </w:r>
          </w:p>
        </w:tc>
        <w:tc>
          <w:tcPr>
            <w:tcW w:w="2884" w:type="dxa"/>
            <w:tcBorders>
              <w:top w:val="single" w:sz="4" w:space="0" w:color="auto"/>
              <w:bottom w:val="single" w:sz="12" w:space="0" w:color="auto"/>
            </w:tcBorders>
            <w:shd w:val="clear" w:color="auto" w:fill="auto"/>
            <w:noWrap/>
            <w:vAlign w:val="bottom"/>
            <w:hideMark/>
          </w:tcPr>
          <w:p w:rsidR="00674E9C" w:rsidRPr="00640449" w:rsidRDefault="00674E9C" w:rsidP="00C466EE">
            <w:pPr>
              <w:pStyle w:val="SingleTxtG"/>
              <w:suppressAutoHyphens w:val="0"/>
              <w:spacing w:before="80" w:after="80" w:line="220" w:lineRule="exact"/>
              <w:ind w:left="0" w:right="0"/>
              <w:jc w:val="right"/>
              <w:rPr>
                <w:b/>
                <w:bCs/>
                <w:sz w:val="18"/>
              </w:rPr>
            </w:pPr>
            <w:r w:rsidRPr="00640449">
              <w:rPr>
                <w:b/>
                <w:bCs/>
                <w:sz w:val="18"/>
              </w:rPr>
              <w:t>358</w:t>
            </w:r>
          </w:p>
        </w:tc>
      </w:tr>
    </w:tbl>
    <w:p w:rsidR="009F2395" w:rsidRPr="00640449" w:rsidRDefault="009F2395" w:rsidP="00674E9C">
      <w:pPr>
        <w:pStyle w:val="SingleTxtG"/>
        <w:rPr>
          <w:lang w:val="en-US"/>
        </w:rPr>
      </w:pPr>
    </w:p>
    <w:tbl>
      <w:tblPr>
        <w:tblW w:w="7370" w:type="dxa"/>
        <w:tblInd w:w="1134" w:type="dxa"/>
        <w:tblLayout w:type="fixed"/>
        <w:tblCellMar>
          <w:left w:w="0" w:type="dxa"/>
          <w:right w:w="0" w:type="dxa"/>
        </w:tblCellMar>
        <w:tblLook w:val="04A0" w:firstRow="1" w:lastRow="0" w:firstColumn="1" w:lastColumn="0" w:noHBand="0" w:noVBand="1"/>
      </w:tblPr>
      <w:tblGrid>
        <w:gridCol w:w="1800"/>
        <w:gridCol w:w="1744"/>
        <w:gridCol w:w="1997"/>
        <w:gridCol w:w="1829"/>
      </w:tblGrid>
      <w:tr w:rsidR="00640449" w:rsidRPr="00640449" w:rsidTr="00007847">
        <w:trPr>
          <w:tblHeader/>
        </w:trPr>
        <w:tc>
          <w:tcPr>
            <w:tcW w:w="1800" w:type="dxa"/>
            <w:tcBorders>
              <w:top w:val="single" w:sz="4" w:space="0" w:color="auto"/>
              <w:bottom w:val="single" w:sz="12" w:space="0" w:color="auto"/>
            </w:tcBorders>
            <w:shd w:val="clear" w:color="auto" w:fill="auto"/>
            <w:noWrap/>
            <w:vAlign w:val="bottom"/>
            <w:hideMark/>
          </w:tcPr>
          <w:p w:rsidR="00674E9C" w:rsidRPr="00640449" w:rsidRDefault="00674E9C" w:rsidP="00497D2C">
            <w:pPr>
              <w:pStyle w:val="SingleTxtG"/>
              <w:suppressAutoHyphens w:val="0"/>
              <w:spacing w:before="80" w:after="80" w:line="200" w:lineRule="exact"/>
              <w:ind w:left="0" w:right="0"/>
              <w:jc w:val="left"/>
              <w:rPr>
                <w:i/>
                <w:sz w:val="16"/>
                <w:lang w:val="fr-FR"/>
              </w:rPr>
            </w:pPr>
            <w:r w:rsidRPr="00640449">
              <w:rPr>
                <w:i/>
                <w:sz w:val="16"/>
                <w:lang w:val="fr-FR"/>
              </w:rPr>
              <w:t>Retours par pays de retour</w:t>
            </w:r>
          </w:p>
        </w:tc>
        <w:tc>
          <w:tcPr>
            <w:tcW w:w="1744" w:type="dxa"/>
            <w:tcBorders>
              <w:top w:val="single" w:sz="4" w:space="0" w:color="auto"/>
              <w:bottom w:val="single" w:sz="12" w:space="0" w:color="auto"/>
            </w:tcBorders>
            <w:shd w:val="clear" w:color="auto" w:fill="auto"/>
            <w:noWrap/>
            <w:vAlign w:val="bottom"/>
            <w:hideMark/>
          </w:tcPr>
          <w:p w:rsidR="00674E9C" w:rsidRPr="00640449" w:rsidRDefault="00674E9C" w:rsidP="00497D2C">
            <w:pPr>
              <w:pStyle w:val="SingleTxtG"/>
              <w:suppressAutoHyphens w:val="0"/>
              <w:spacing w:before="80" w:after="80" w:line="200" w:lineRule="exact"/>
              <w:ind w:left="0" w:right="0"/>
              <w:jc w:val="right"/>
              <w:rPr>
                <w:i/>
                <w:sz w:val="16"/>
                <w:lang w:val="fr-FR"/>
              </w:rPr>
            </w:pPr>
            <w:r w:rsidRPr="00640449">
              <w:rPr>
                <w:i/>
                <w:sz w:val="16"/>
                <w:lang w:val="fr-FR"/>
              </w:rPr>
              <w:t>2017</w:t>
            </w:r>
          </w:p>
        </w:tc>
        <w:tc>
          <w:tcPr>
            <w:tcW w:w="1997" w:type="dxa"/>
            <w:tcBorders>
              <w:top w:val="single" w:sz="4" w:space="0" w:color="auto"/>
              <w:bottom w:val="single" w:sz="12" w:space="0" w:color="auto"/>
            </w:tcBorders>
            <w:shd w:val="clear" w:color="auto" w:fill="auto"/>
            <w:vAlign w:val="bottom"/>
          </w:tcPr>
          <w:p w:rsidR="00674E9C" w:rsidRPr="00640449" w:rsidRDefault="00674E9C" w:rsidP="00497D2C">
            <w:pPr>
              <w:pStyle w:val="SingleTxtG"/>
              <w:suppressAutoHyphens w:val="0"/>
              <w:spacing w:before="80" w:after="80" w:line="200" w:lineRule="exact"/>
              <w:ind w:left="0" w:right="0"/>
              <w:jc w:val="right"/>
              <w:rPr>
                <w:i/>
                <w:sz w:val="16"/>
                <w:lang w:val="fr-FR"/>
              </w:rPr>
            </w:pPr>
            <w:r w:rsidRPr="00640449">
              <w:rPr>
                <w:i/>
                <w:sz w:val="16"/>
                <w:lang w:val="fr-FR"/>
              </w:rPr>
              <w:t>Retours par pays de retour</w:t>
            </w:r>
          </w:p>
        </w:tc>
        <w:tc>
          <w:tcPr>
            <w:tcW w:w="1829" w:type="dxa"/>
            <w:tcBorders>
              <w:top w:val="single" w:sz="4" w:space="0" w:color="auto"/>
              <w:bottom w:val="single" w:sz="12" w:space="0" w:color="auto"/>
            </w:tcBorders>
            <w:shd w:val="clear" w:color="auto" w:fill="auto"/>
            <w:vAlign w:val="bottom"/>
          </w:tcPr>
          <w:p w:rsidR="00674E9C" w:rsidRPr="00640449" w:rsidRDefault="00674E9C" w:rsidP="00497D2C">
            <w:pPr>
              <w:pStyle w:val="SingleTxtG"/>
              <w:suppressAutoHyphens w:val="0"/>
              <w:spacing w:before="80" w:after="80" w:line="200" w:lineRule="exact"/>
              <w:ind w:left="0" w:right="0"/>
              <w:jc w:val="right"/>
              <w:rPr>
                <w:i/>
                <w:sz w:val="16"/>
                <w:lang w:val="fr-FR"/>
              </w:rPr>
            </w:pPr>
            <w:r w:rsidRPr="00640449">
              <w:rPr>
                <w:i/>
                <w:sz w:val="16"/>
                <w:lang w:val="fr-FR"/>
              </w:rPr>
              <w:t>2018</w:t>
            </w:r>
          </w:p>
        </w:tc>
      </w:tr>
      <w:tr w:rsidR="00640449" w:rsidRPr="00640449" w:rsidTr="00007847">
        <w:tc>
          <w:tcPr>
            <w:tcW w:w="1800" w:type="dxa"/>
            <w:tcBorders>
              <w:top w:val="single" w:sz="12" w:space="0" w:color="auto"/>
            </w:tcBorders>
            <w:shd w:val="clear" w:color="auto" w:fill="auto"/>
            <w:noWrap/>
            <w:hideMark/>
          </w:tcPr>
          <w:p w:rsidR="00674E9C" w:rsidRPr="00640449" w:rsidRDefault="00674E9C" w:rsidP="00497D2C">
            <w:pPr>
              <w:pStyle w:val="SingleTxtG"/>
              <w:suppressAutoHyphens w:val="0"/>
              <w:spacing w:before="40" w:after="40" w:line="220" w:lineRule="exact"/>
              <w:ind w:left="0" w:right="0"/>
              <w:jc w:val="left"/>
              <w:rPr>
                <w:sz w:val="18"/>
                <w:lang w:val="fr-FR"/>
              </w:rPr>
            </w:pPr>
            <w:r w:rsidRPr="00640449">
              <w:rPr>
                <w:sz w:val="18"/>
                <w:lang w:val="fr-FR"/>
              </w:rPr>
              <w:t>Albanie</w:t>
            </w:r>
          </w:p>
        </w:tc>
        <w:tc>
          <w:tcPr>
            <w:tcW w:w="1744" w:type="dxa"/>
            <w:tcBorders>
              <w:top w:val="single" w:sz="12" w:space="0" w:color="auto"/>
            </w:tcBorders>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118</w:t>
            </w:r>
          </w:p>
        </w:tc>
        <w:tc>
          <w:tcPr>
            <w:tcW w:w="1997" w:type="dxa"/>
            <w:tcBorders>
              <w:top w:val="single" w:sz="12" w:space="0" w:color="auto"/>
            </w:tcBorders>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Géorgie</w:t>
            </w:r>
          </w:p>
        </w:tc>
        <w:tc>
          <w:tcPr>
            <w:tcW w:w="1829" w:type="dxa"/>
            <w:tcBorders>
              <w:top w:val="single" w:sz="12" w:space="0" w:color="auto"/>
            </w:tcBorders>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50</w:t>
            </w:r>
          </w:p>
        </w:tc>
      </w:tr>
      <w:tr w:rsidR="00640449" w:rsidRPr="00640449" w:rsidTr="00007847">
        <w:tc>
          <w:tcPr>
            <w:tcW w:w="1800" w:type="dxa"/>
            <w:shd w:val="clear" w:color="auto" w:fill="auto"/>
            <w:noWrap/>
            <w:hideMark/>
          </w:tcPr>
          <w:p w:rsidR="00674E9C" w:rsidRPr="00640449" w:rsidRDefault="00674E9C" w:rsidP="00497D2C">
            <w:pPr>
              <w:pStyle w:val="SingleTxtG"/>
              <w:suppressAutoHyphens w:val="0"/>
              <w:spacing w:before="40" w:after="40" w:line="220" w:lineRule="exact"/>
              <w:ind w:left="0" w:right="0"/>
              <w:jc w:val="left"/>
              <w:rPr>
                <w:sz w:val="18"/>
                <w:lang w:val="fr-FR"/>
              </w:rPr>
            </w:pPr>
            <w:r w:rsidRPr="00640449">
              <w:rPr>
                <w:sz w:val="18"/>
                <w:lang w:val="fr-FR"/>
              </w:rPr>
              <w:t>Kosovo</w:t>
            </w:r>
          </w:p>
        </w:tc>
        <w:tc>
          <w:tcPr>
            <w:tcW w:w="1744" w:type="dxa"/>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113</w:t>
            </w:r>
          </w:p>
        </w:tc>
        <w:tc>
          <w:tcPr>
            <w:tcW w:w="1997"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Kosovo</w:t>
            </w:r>
          </w:p>
        </w:tc>
        <w:tc>
          <w:tcPr>
            <w:tcW w:w="1829"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45</w:t>
            </w:r>
          </w:p>
        </w:tc>
      </w:tr>
      <w:tr w:rsidR="00640449" w:rsidRPr="00640449" w:rsidTr="00007847">
        <w:tc>
          <w:tcPr>
            <w:tcW w:w="1800" w:type="dxa"/>
            <w:shd w:val="clear" w:color="auto" w:fill="auto"/>
            <w:noWrap/>
            <w:hideMark/>
          </w:tcPr>
          <w:p w:rsidR="00674E9C" w:rsidRPr="00640449" w:rsidRDefault="00674E9C" w:rsidP="00497D2C">
            <w:pPr>
              <w:pStyle w:val="SingleTxtG"/>
              <w:suppressAutoHyphens w:val="0"/>
              <w:spacing w:before="40" w:after="40" w:line="220" w:lineRule="exact"/>
              <w:ind w:left="0" w:right="0"/>
              <w:jc w:val="left"/>
              <w:rPr>
                <w:sz w:val="18"/>
                <w:lang w:val="fr-FR"/>
              </w:rPr>
            </w:pPr>
            <w:r w:rsidRPr="00640449">
              <w:rPr>
                <w:sz w:val="18"/>
                <w:lang w:val="fr-FR"/>
              </w:rPr>
              <w:t>République de Serbie</w:t>
            </w:r>
          </w:p>
        </w:tc>
        <w:tc>
          <w:tcPr>
            <w:tcW w:w="1744" w:type="dxa"/>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58</w:t>
            </w:r>
          </w:p>
        </w:tc>
        <w:tc>
          <w:tcPr>
            <w:tcW w:w="1997"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République de Serbie</w:t>
            </w:r>
          </w:p>
        </w:tc>
        <w:tc>
          <w:tcPr>
            <w:tcW w:w="1829"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44</w:t>
            </w:r>
          </w:p>
        </w:tc>
      </w:tr>
      <w:tr w:rsidR="00640449" w:rsidRPr="00640449" w:rsidTr="00007847">
        <w:tc>
          <w:tcPr>
            <w:tcW w:w="1800" w:type="dxa"/>
            <w:shd w:val="clear" w:color="auto" w:fill="auto"/>
            <w:noWrap/>
            <w:hideMark/>
          </w:tcPr>
          <w:p w:rsidR="00674E9C" w:rsidRPr="00640449" w:rsidRDefault="00674E9C" w:rsidP="00497D2C">
            <w:pPr>
              <w:pStyle w:val="SingleTxtG"/>
              <w:suppressAutoHyphens w:val="0"/>
              <w:spacing w:before="40" w:after="40" w:line="220" w:lineRule="exact"/>
              <w:ind w:left="0" w:right="0"/>
              <w:jc w:val="left"/>
              <w:rPr>
                <w:sz w:val="18"/>
                <w:lang w:val="fr-FR"/>
              </w:rPr>
            </w:pPr>
            <w:r w:rsidRPr="00640449">
              <w:rPr>
                <w:sz w:val="18"/>
                <w:lang w:val="fr-FR"/>
              </w:rPr>
              <w:t>Bosnie-Herzégovine</w:t>
            </w:r>
          </w:p>
        </w:tc>
        <w:tc>
          <w:tcPr>
            <w:tcW w:w="1744" w:type="dxa"/>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55</w:t>
            </w:r>
          </w:p>
        </w:tc>
        <w:tc>
          <w:tcPr>
            <w:tcW w:w="1997"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Albanie</w:t>
            </w:r>
          </w:p>
        </w:tc>
        <w:tc>
          <w:tcPr>
            <w:tcW w:w="1829"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29</w:t>
            </w:r>
          </w:p>
        </w:tc>
      </w:tr>
      <w:tr w:rsidR="00640449" w:rsidRPr="00640449" w:rsidTr="00007847">
        <w:tc>
          <w:tcPr>
            <w:tcW w:w="1800" w:type="dxa"/>
            <w:shd w:val="clear" w:color="auto" w:fill="auto"/>
            <w:noWrap/>
            <w:hideMark/>
          </w:tcPr>
          <w:p w:rsidR="00674E9C" w:rsidRPr="00640449" w:rsidRDefault="00674E9C" w:rsidP="00497D2C">
            <w:pPr>
              <w:pStyle w:val="SingleTxtG"/>
              <w:suppressAutoHyphens w:val="0"/>
              <w:spacing w:before="40" w:after="40" w:line="220" w:lineRule="exact"/>
              <w:ind w:left="0" w:right="0"/>
              <w:jc w:val="left"/>
              <w:rPr>
                <w:sz w:val="18"/>
                <w:lang w:val="fr-FR"/>
              </w:rPr>
            </w:pPr>
            <w:r w:rsidRPr="00640449">
              <w:rPr>
                <w:sz w:val="18"/>
                <w:lang w:val="fr-FR"/>
              </w:rPr>
              <w:t>Monténégro</w:t>
            </w:r>
          </w:p>
        </w:tc>
        <w:tc>
          <w:tcPr>
            <w:tcW w:w="1744" w:type="dxa"/>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32</w:t>
            </w:r>
          </w:p>
        </w:tc>
        <w:tc>
          <w:tcPr>
            <w:tcW w:w="1997" w:type="dxa"/>
            <w:shd w:val="clear" w:color="auto" w:fill="auto"/>
            <w:vAlign w:val="bottom"/>
          </w:tcPr>
          <w:p w:rsidR="00674E9C" w:rsidRPr="00640449" w:rsidRDefault="00210C34" w:rsidP="00497D2C">
            <w:pPr>
              <w:pStyle w:val="SingleTxtG"/>
              <w:suppressAutoHyphens w:val="0"/>
              <w:spacing w:before="40" w:after="40" w:line="220" w:lineRule="exact"/>
              <w:ind w:left="0" w:right="0"/>
              <w:jc w:val="right"/>
              <w:rPr>
                <w:sz w:val="18"/>
                <w:lang w:val="fr-FR"/>
              </w:rPr>
            </w:pPr>
            <w:proofErr w:type="spellStart"/>
            <w:r w:rsidRPr="00640449">
              <w:rPr>
                <w:sz w:val="18"/>
                <w:lang w:val="fr-FR"/>
              </w:rPr>
              <w:t>Bosnie-herzégovine</w:t>
            </w:r>
            <w:proofErr w:type="spellEnd"/>
          </w:p>
        </w:tc>
        <w:tc>
          <w:tcPr>
            <w:tcW w:w="1829"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27</w:t>
            </w:r>
          </w:p>
        </w:tc>
      </w:tr>
      <w:tr w:rsidR="00640449" w:rsidRPr="00640449" w:rsidTr="00007847">
        <w:tc>
          <w:tcPr>
            <w:tcW w:w="1800" w:type="dxa"/>
            <w:tcBorders>
              <w:bottom w:val="single" w:sz="4" w:space="0" w:color="auto"/>
            </w:tcBorders>
            <w:shd w:val="clear" w:color="auto" w:fill="auto"/>
            <w:noWrap/>
            <w:hideMark/>
          </w:tcPr>
          <w:p w:rsidR="00674E9C" w:rsidRPr="00640449" w:rsidRDefault="00210C34" w:rsidP="00497D2C">
            <w:pPr>
              <w:pStyle w:val="SingleTxtG"/>
              <w:suppressAutoHyphens w:val="0"/>
              <w:spacing w:before="40" w:after="40" w:line="220" w:lineRule="exact"/>
              <w:ind w:left="0" w:right="0"/>
              <w:jc w:val="left"/>
              <w:rPr>
                <w:sz w:val="18"/>
                <w:lang w:val="fr-FR"/>
              </w:rPr>
            </w:pPr>
            <w:r w:rsidRPr="00640449">
              <w:rPr>
                <w:sz w:val="18"/>
                <w:lang w:val="fr-FR"/>
              </w:rPr>
              <w:t>Autres</w:t>
            </w:r>
          </w:p>
        </w:tc>
        <w:tc>
          <w:tcPr>
            <w:tcW w:w="1744" w:type="dxa"/>
            <w:tcBorders>
              <w:bottom w:val="single" w:sz="4" w:space="0" w:color="auto"/>
            </w:tcBorders>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147</w:t>
            </w:r>
          </w:p>
        </w:tc>
        <w:tc>
          <w:tcPr>
            <w:tcW w:w="1997" w:type="dxa"/>
            <w:tcBorders>
              <w:bottom w:val="single" w:sz="4" w:space="0" w:color="auto"/>
            </w:tcBorders>
            <w:shd w:val="clear" w:color="auto" w:fill="auto"/>
            <w:vAlign w:val="bottom"/>
          </w:tcPr>
          <w:p w:rsidR="00674E9C" w:rsidRPr="00640449" w:rsidRDefault="00210C34" w:rsidP="00497D2C">
            <w:pPr>
              <w:pStyle w:val="SingleTxtG"/>
              <w:suppressAutoHyphens w:val="0"/>
              <w:spacing w:before="40" w:after="40" w:line="220" w:lineRule="exact"/>
              <w:ind w:left="0" w:right="0"/>
              <w:jc w:val="right"/>
              <w:rPr>
                <w:sz w:val="18"/>
                <w:lang w:val="fr-FR"/>
              </w:rPr>
            </w:pPr>
            <w:r w:rsidRPr="00640449">
              <w:rPr>
                <w:sz w:val="18"/>
                <w:lang w:val="fr-FR"/>
              </w:rPr>
              <w:t>Autres</w:t>
            </w:r>
          </w:p>
        </w:tc>
        <w:tc>
          <w:tcPr>
            <w:tcW w:w="1829" w:type="dxa"/>
            <w:tcBorders>
              <w:bottom w:val="single" w:sz="4" w:space="0" w:color="auto"/>
            </w:tcBorders>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163</w:t>
            </w:r>
          </w:p>
        </w:tc>
      </w:tr>
      <w:tr w:rsidR="00674E9C" w:rsidRPr="00640449" w:rsidTr="00007847">
        <w:tc>
          <w:tcPr>
            <w:tcW w:w="1800" w:type="dxa"/>
            <w:tcBorders>
              <w:top w:val="single" w:sz="4" w:space="0" w:color="auto"/>
              <w:bottom w:val="single" w:sz="12" w:space="0" w:color="auto"/>
            </w:tcBorders>
            <w:shd w:val="clear" w:color="auto" w:fill="auto"/>
            <w:noWrap/>
            <w:hideMark/>
          </w:tcPr>
          <w:p w:rsidR="00674E9C" w:rsidRPr="00640449" w:rsidRDefault="00674E9C" w:rsidP="00C466EE">
            <w:pPr>
              <w:pStyle w:val="SingleTxtG"/>
              <w:suppressAutoHyphens w:val="0"/>
              <w:spacing w:before="80" w:after="80" w:line="220" w:lineRule="exact"/>
              <w:ind w:left="283" w:right="0"/>
              <w:jc w:val="left"/>
              <w:rPr>
                <w:b/>
                <w:sz w:val="18"/>
                <w:lang w:val="fr-FR"/>
              </w:rPr>
            </w:pPr>
            <w:r w:rsidRPr="00640449">
              <w:rPr>
                <w:b/>
                <w:sz w:val="18"/>
                <w:lang w:val="fr-FR"/>
              </w:rPr>
              <w:t>Total</w:t>
            </w:r>
          </w:p>
        </w:tc>
        <w:tc>
          <w:tcPr>
            <w:tcW w:w="1744" w:type="dxa"/>
            <w:tcBorders>
              <w:top w:val="single" w:sz="4" w:space="0" w:color="auto"/>
              <w:bottom w:val="single" w:sz="12" w:space="0" w:color="auto"/>
            </w:tcBorders>
            <w:shd w:val="clear" w:color="auto" w:fill="auto"/>
            <w:noWrap/>
            <w:vAlign w:val="bottom"/>
            <w:hideMark/>
          </w:tcPr>
          <w:p w:rsidR="00674E9C" w:rsidRPr="00640449" w:rsidRDefault="00674E9C" w:rsidP="00C466EE">
            <w:pPr>
              <w:pStyle w:val="SingleTxtG"/>
              <w:suppressAutoHyphens w:val="0"/>
              <w:spacing w:before="80" w:after="80" w:line="220" w:lineRule="exact"/>
              <w:ind w:left="0" w:right="0"/>
              <w:jc w:val="right"/>
              <w:rPr>
                <w:b/>
                <w:sz w:val="18"/>
                <w:lang w:val="fr-FR"/>
              </w:rPr>
            </w:pPr>
            <w:r w:rsidRPr="00640449">
              <w:rPr>
                <w:b/>
                <w:sz w:val="18"/>
                <w:lang w:val="fr-FR"/>
              </w:rPr>
              <w:t>523</w:t>
            </w:r>
          </w:p>
        </w:tc>
        <w:tc>
          <w:tcPr>
            <w:tcW w:w="1997" w:type="dxa"/>
            <w:tcBorders>
              <w:top w:val="single" w:sz="4" w:space="0" w:color="auto"/>
              <w:bottom w:val="single" w:sz="12" w:space="0" w:color="auto"/>
            </w:tcBorders>
            <w:shd w:val="clear" w:color="auto" w:fill="auto"/>
            <w:vAlign w:val="bottom"/>
          </w:tcPr>
          <w:p w:rsidR="00674E9C" w:rsidRPr="00640449" w:rsidRDefault="00674E9C" w:rsidP="00C466EE">
            <w:pPr>
              <w:pStyle w:val="SingleTxtG"/>
              <w:suppressAutoHyphens w:val="0"/>
              <w:spacing w:before="80" w:after="80" w:line="220" w:lineRule="exact"/>
              <w:ind w:left="0" w:right="0"/>
              <w:jc w:val="right"/>
              <w:rPr>
                <w:b/>
                <w:sz w:val="18"/>
                <w:lang w:val="fr-FR"/>
              </w:rPr>
            </w:pPr>
            <w:r w:rsidRPr="00640449">
              <w:rPr>
                <w:b/>
                <w:sz w:val="18"/>
                <w:lang w:val="fr-FR"/>
              </w:rPr>
              <w:t>Total</w:t>
            </w:r>
          </w:p>
        </w:tc>
        <w:tc>
          <w:tcPr>
            <w:tcW w:w="1829" w:type="dxa"/>
            <w:tcBorders>
              <w:top w:val="single" w:sz="4" w:space="0" w:color="auto"/>
              <w:bottom w:val="single" w:sz="12" w:space="0" w:color="auto"/>
            </w:tcBorders>
            <w:shd w:val="clear" w:color="auto" w:fill="auto"/>
            <w:vAlign w:val="bottom"/>
          </w:tcPr>
          <w:p w:rsidR="00674E9C" w:rsidRPr="00640449" w:rsidRDefault="00674E9C" w:rsidP="00C466EE">
            <w:pPr>
              <w:pStyle w:val="SingleTxtG"/>
              <w:suppressAutoHyphens w:val="0"/>
              <w:spacing w:before="80" w:after="80" w:line="220" w:lineRule="exact"/>
              <w:ind w:left="0" w:right="0"/>
              <w:jc w:val="right"/>
              <w:rPr>
                <w:b/>
                <w:sz w:val="18"/>
                <w:lang w:val="fr-FR"/>
              </w:rPr>
            </w:pPr>
            <w:r w:rsidRPr="00640449">
              <w:rPr>
                <w:b/>
                <w:sz w:val="18"/>
                <w:lang w:val="fr-FR"/>
              </w:rPr>
              <w:t>358</w:t>
            </w:r>
          </w:p>
        </w:tc>
      </w:tr>
    </w:tbl>
    <w:p w:rsidR="00674E9C" w:rsidRPr="00640449" w:rsidRDefault="00674E9C" w:rsidP="00674E9C">
      <w:pPr>
        <w:pStyle w:val="SingleTxtG"/>
        <w:rPr>
          <w:lang w:val="en-US"/>
        </w:rPr>
      </w:pPr>
    </w:p>
    <w:tbl>
      <w:tblPr>
        <w:tblW w:w="7370" w:type="dxa"/>
        <w:tblInd w:w="1134" w:type="dxa"/>
        <w:tblLayout w:type="fixed"/>
        <w:tblCellMar>
          <w:left w:w="0" w:type="dxa"/>
          <w:right w:w="0" w:type="dxa"/>
        </w:tblCellMar>
        <w:tblLook w:val="04A0" w:firstRow="1" w:lastRow="0" w:firstColumn="1" w:lastColumn="0" w:noHBand="0" w:noVBand="1"/>
      </w:tblPr>
      <w:tblGrid>
        <w:gridCol w:w="2003"/>
        <w:gridCol w:w="1541"/>
        <w:gridCol w:w="1985"/>
        <w:gridCol w:w="1841"/>
      </w:tblGrid>
      <w:tr w:rsidR="00640449" w:rsidRPr="00640449" w:rsidTr="00007847">
        <w:trPr>
          <w:tblHeader/>
        </w:trPr>
        <w:tc>
          <w:tcPr>
            <w:tcW w:w="2003" w:type="dxa"/>
            <w:tcBorders>
              <w:top w:val="single" w:sz="4" w:space="0" w:color="auto"/>
              <w:bottom w:val="single" w:sz="12" w:space="0" w:color="auto"/>
            </w:tcBorders>
            <w:shd w:val="clear" w:color="auto" w:fill="auto"/>
            <w:vAlign w:val="bottom"/>
          </w:tcPr>
          <w:p w:rsidR="00674E9C" w:rsidRPr="00640449" w:rsidRDefault="00674E9C" w:rsidP="00497D2C">
            <w:pPr>
              <w:pStyle w:val="SingleTxtG"/>
              <w:suppressAutoHyphens w:val="0"/>
              <w:spacing w:before="80" w:after="80" w:line="200" w:lineRule="exact"/>
              <w:ind w:left="0" w:right="0"/>
              <w:jc w:val="left"/>
              <w:rPr>
                <w:bCs/>
                <w:i/>
                <w:sz w:val="16"/>
                <w:lang w:val="fr-FR"/>
              </w:rPr>
            </w:pPr>
            <w:r w:rsidRPr="00640449">
              <w:rPr>
                <w:bCs/>
                <w:i/>
                <w:sz w:val="16"/>
                <w:lang w:val="fr-FR"/>
              </w:rPr>
              <w:t xml:space="preserve">Transferts Dublin </w:t>
            </w:r>
            <w:r w:rsidR="00756838">
              <w:rPr>
                <w:bCs/>
                <w:i/>
                <w:sz w:val="16"/>
                <w:lang w:val="fr-FR"/>
              </w:rPr>
              <w:br/>
            </w:r>
            <w:r w:rsidRPr="00640449">
              <w:rPr>
                <w:bCs/>
                <w:i/>
                <w:sz w:val="16"/>
                <w:lang w:val="fr-FR"/>
              </w:rPr>
              <w:t>par nationalité</w:t>
            </w:r>
          </w:p>
        </w:tc>
        <w:tc>
          <w:tcPr>
            <w:tcW w:w="1541" w:type="dxa"/>
            <w:tcBorders>
              <w:top w:val="single" w:sz="4" w:space="0" w:color="auto"/>
              <w:bottom w:val="single" w:sz="12" w:space="0" w:color="auto"/>
            </w:tcBorders>
            <w:shd w:val="clear" w:color="auto" w:fill="auto"/>
            <w:vAlign w:val="bottom"/>
          </w:tcPr>
          <w:p w:rsidR="00674E9C" w:rsidRPr="00640449" w:rsidRDefault="00674E9C" w:rsidP="00497D2C">
            <w:pPr>
              <w:pStyle w:val="SingleTxtG"/>
              <w:suppressAutoHyphens w:val="0"/>
              <w:spacing w:before="80" w:after="80" w:line="200" w:lineRule="exact"/>
              <w:ind w:left="0" w:right="0"/>
              <w:jc w:val="right"/>
              <w:rPr>
                <w:bCs/>
                <w:i/>
                <w:sz w:val="16"/>
                <w:lang w:val="fr-FR"/>
              </w:rPr>
            </w:pPr>
            <w:r w:rsidRPr="00640449">
              <w:rPr>
                <w:bCs/>
                <w:i/>
                <w:sz w:val="16"/>
                <w:lang w:val="fr-FR"/>
              </w:rPr>
              <w:t>2017</w:t>
            </w:r>
          </w:p>
        </w:tc>
        <w:tc>
          <w:tcPr>
            <w:tcW w:w="1985" w:type="dxa"/>
            <w:tcBorders>
              <w:top w:val="single" w:sz="4" w:space="0" w:color="auto"/>
              <w:bottom w:val="single" w:sz="12" w:space="0" w:color="auto"/>
            </w:tcBorders>
            <w:shd w:val="clear" w:color="auto" w:fill="auto"/>
            <w:vAlign w:val="bottom"/>
          </w:tcPr>
          <w:p w:rsidR="00674E9C" w:rsidRPr="00640449" w:rsidRDefault="00674E9C" w:rsidP="00497D2C">
            <w:pPr>
              <w:pStyle w:val="SingleTxtG"/>
              <w:suppressAutoHyphens w:val="0"/>
              <w:spacing w:before="80" w:after="80" w:line="200" w:lineRule="exact"/>
              <w:ind w:left="0" w:right="0"/>
              <w:jc w:val="right"/>
              <w:rPr>
                <w:bCs/>
                <w:i/>
                <w:sz w:val="16"/>
                <w:lang w:val="fr-FR"/>
              </w:rPr>
            </w:pPr>
            <w:r w:rsidRPr="00640449">
              <w:rPr>
                <w:bCs/>
                <w:i/>
                <w:sz w:val="16"/>
                <w:lang w:val="fr-FR"/>
              </w:rPr>
              <w:t xml:space="preserve">Transferts Dublin </w:t>
            </w:r>
            <w:r w:rsidR="00756838">
              <w:rPr>
                <w:bCs/>
                <w:i/>
                <w:sz w:val="16"/>
                <w:lang w:val="fr-FR"/>
              </w:rPr>
              <w:br/>
            </w:r>
            <w:r w:rsidRPr="00640449">
              <w:rPr>
                <w:bCs/>
                <w:i/>
                <w:sz w:val="16"/>
                <w:lang w:val="fr-FR"/>
              </w:rPr>
              <w:t>par nationalité</w:t>
            </w:r>
          </w:p>
        </w:tc>
        <w:tc>
          <w:tcPr>
            <w:tcW w:w="1841" w:type="dxa"/>
            <w:tcBorders>
              <w:top w:val="single" w:sz="4" w:space="0" w:color="auto"/>
              <w:bottom w:val="single" w:sz="12" w:space="0" w:color="auto"/>
            </w:tcBorders>
            <w:shd w:val="clear" w:color="auto" w:fill="auto"/>
            <w:vAlign w:val="bottom"/>
          </w:tcPr>
          <w:p w:rsidR="00674E9C" w:rsidRPr="00640449" w:rsidRDefault="00674E9C" w:rsidP="00497D2C">
            <w:pPr>
              <w:pStyle w:val="SingleTxtG"/>
              <w:suppressAutoHyphens w:val="0"/>
              <w:spacing w:before="80" w:after="80" w:line="200" w:lineRule="exact"/>
              <w:ind w:left="0" w:right="0"/>
              <w:jc w:val="right"/>
              <w:rPr>
                <w:bCs/>
                <w:i/>
                <w:sz w:val="16"/>
                <w:lang w:val="fr-FR"/>
              </w:rPr>
            </w:pPr>
            <w:r w:rsidRPr="00640449">
              <w:rPr>
                <w:bCs/>
                <w:i/>
                <w:sz w:val="16"/>
                <w:lang w:val="fr-FR"/>
              </w:rPr>
              <w:t>2018</w:t>
            </w:r>
          </w:p>
        </w:tc>
      </w:tr>
      <w:tr w:rsidR="00640449" w:rsidRPr="00640449" w:rsidTr="00007847">
        <w:tc>
          <w:tcPr>
            <w:tcW w:w="2003" w:type="dxa"/>
            <w:tcBorders>
              <w:top w:val="single" w:sz="12" w:space="0" w:color="auto"/>
            </w:tcBorders>
            <w:shd w:val="clear" w:color="auto" w:fill="auto"/>
          </w:tcPr>
          <w:p w:rsidR="00674E9C" w:rsidRPr="00640449" w:rsidRDefault="00210C34" w:rsidP="00497D2C">
            <w:pPr>
              <w:pStyle w:val="SingleTxtG"/>
              <w:suppressAutoHyphens w:val="0"/>
              <w:spacing w:before="40" w:after="40" w:line="220" w:lineRule="exact"/>
              <w:ind w:left="0" w:right="0"/>
              <w:jc w:val="left"/>
              <w:rPr>
                <w:sz w:val="18"/>
                <w:lang w:val="fr-FR"/>
              </w:rPr>
            </w:pPr>
            <w:r w:rsidRPr="00640449">
              <w:rPr>
                <w:sz w:val="18"/>
                <w:lang w:val="fr-FR"/>
              </w:rPr>
              <w:t>Marocaine</w:t>
            </w:r>
          </w:p>
        </w:tc>
        <w:tc>
          <w:tcPr>
            <w:tcW w:w="1541" w:type="dxa"/>
            <w:tcBorders>
              <w:top w:val="single" w:sz="12" w:space="0" w:color="auto"/>
            </w:tcBorders>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40</w:t>
            </w:r>
          </w:p>
        </w:tc>
        <w:tc>
          <w:tcPr>
            <w:tcW w:w="1985" w:type="dxa"/>
            <w:tcBorders>
              <w:top w:val="single" w:sz="12" w:space="0" w:color="auto"/>
            </w:tcBorders>
            <w:shd w:val="clear" w:color="auto" w:fill="auto"/>
            <w:vAlign w:val="bottom"/>
          </w:tcPr>
          <w:p w:rsidR="00674E9C" w:rsidRPr="00640449" w:rsidRDefault="00210C34" w:rsidP="00497D2C">
            <w:pPr>
              <w:pStyle w:val="SingleTxtG"/>
              <w:suppressAutoHyphens w:val="0"/>
              <w:spacing w:before="40" w:after="40" w:line="220" w:lineRule="exact"/>
              <w:ind w:left="0" w:right="0"/>
              <w:jc w:val="right"/>
              <w:rPr>
                <w:sz w:val="18"/>
                <w:lang w:val="fr-FR"/>
              </w:rPr>
            </w:pPr>
            <w:r w:rsidRPr="00640449">
              <w:rPr>
                <w:sz w:val="18"/>
                <w:lang w:val="fr-FR"/>
              </w:rPr>
              <w:t>Iraquienne</w:t>
            </w:r>
          </w:p>
        </w:tc>
        <w:tc>
          <w:tcPr>
            <w:tcW w:w="1841" w:type="dxa"/>
            <w:tcBorders>
              <w:top w:val="single" w:sz="12" w:space="0" w:color="auto"/>
            </w:tcBorders>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39</w:t>
            </w:r>
          </w:p>
        </w:tc>
      </w:tr>
      <w:tr w:rsidR="00640449" w:rsidRPr="00640449" w:rsidTr="00007847">
        <w:tc>
          <w:tcPr>
            <w:tcW w:w="2003" w:type="dxa"/>
            <w:shd w:val="clear" w:color="auto" w:fill="auto"/>
          </w:tcPr>
          <w:p w:rsidR="00674E9C" w:rsidRPr="00640449" w:rsidRDefault="00210C34" w:rsidP="00497D2C">
            <w:pPr>
              <w:pStyle w:val="SingleTxtG"/>
              <w:suppressAutoHyphens w:val="0"/>
              <w:spacing w:before="40" w:after="40" w:line="220" w:lineRule="exact"/>
              <w:ind w:left="0" w:right="0"/>
              <w:jc w:val="left"/>
              <w:rPr>
                <w:sz w:val="18"/>
                <w:lang w:val="fr-FR"/>
              </w:rPr>
            </w:pPr>
            <w:r w:rsidRPr="00640449">
              <w:rPr>
                <w:sz w:val="18"/>
                <w:lang w:val="fr-FR"/>
              </w:rPr>
              <w:t>Kosovare</w:t>
            </w:r>
          </w:p>
        </w:tc>
        <w:tc>
          <w:tcPr>
            <w:tcW w:w="1541"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39</w:t>
            </w:r>
          </w:p>
        </w:tc>
        <w:tc>
          <w:tcPr>
            <w:tcW w:w="1985" w:type="dxa"/>
            <w:shd w:val="clear" w:color="auto" w:fill="auto"/>
            <w:vAlign w:val="bottom"/>
          </w:tcPr>
          <w:p w:rsidR="00674E9C" w:rsidRPr="00640449" w:rsidRDefault="00210C34" w:rsidP="00497D2C">
            <w:pPr>
              <w:pStyle w:val="SingleTxtG"/>
              <w:suppressAutoHyphens w:val="0"/>
              <w:spacing w:before="40" w:after="40" w:line="220" w:lineRule="exact"/>
              <w:ind w:left="0" w:right="0"/>
              <w:jc w:val="right"/>
              <w:rPr>
                <w:sz w:val="18"/>
                <w:lang w:val="fr-FR"/>
              </w:rPr>
            </w:pPr>
            <w:r w:rsidRPr="00640449">
              <w:rPr>
                <w:sz w:val="18"/>
                <w:lang w:val="fr-FR"/>
              </w:rPr>
              <w:t>Marocaine</w:t>
            </w:r>
          </w:p>
        </w:tc>
        <w:tc>
          <w:tcPr>
            <w:tcW w:w="1841"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28</w:t>
            </w:r>
          </w:p>
        </w:tc>
      </w:tr>
      <w:tr w:rsidR="00640449" w:rsidRPr="00640449" w:rsidTr="00007847">
        <w:tc>
          <w:tcPr>
            <w:tcW w:w="2003" w:type="dxa"/>
            <w:shd w:val="clear" w:color="auto" w:fill="auto"/>
          </w:tcPr>
          <w:p w:rsidR="00674E9C" w:rsidRPr="00640449" w:rsidRDefault="00210C34" w:rsidP="00497D2C">
            <w:pPr>
              <w:pStyle w:val="SingleTxtG"/>
              <w:suppressAutoHyphens w:val="0"/>
              <w:spacing w:before="40" w:after="40" w:line="220" w:lineRule="exact"/>
              <w:ind w:left="0" w:right="0"/>
              <w:jc w:val="left"/>
              <w:rPr>
                <w:sz w:val="18"/>
                <w:lang w:val="fr-FR"/>
              </w:rPr>
            </w:pPr>
            <w:r w:rsidRPr="00640449">
              <w:rPr>
                <w:sz w:val="18"/>
                <w:lang w:val="fr-FR"/>
              </w:rPr>
              <w:t>Serbe</w:t>
            </w:r>
          </w:p>
        </w:tc>
        <w:tc>
          <w:tcPr>
            <w:tcW w:w="1541"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34</w:t>
            </w:r>
          </w:p>
        </w:tc>
        <w:tc>
          <w:tcPr>
            <w:tcW w:w="1985" w:type="dxa"/>
            <w:shd w:val="clear" w:color="auto" w:fill="auto"/>
            <w:vAlign w:val="bottom"/>
          </w:tcPr>
          <w:p w:rsidR="00674E9C" w:rsidRPr="00640449" w:rsidRDefault="00210C34" w:rsidP="00497D2C">
            <w:pPr>
              <w:pStyle w:val="SingleTxtG"/>
              <w:suppressAutoHyphens w:val="0"/>
              <w:spacing w:before="40" w:after="40" w:line="220" w:lineRule="exact"/>
              <w:ind w:left="0" w:right="0"/>
              <w:jc w:val="right"/>
              <w:rPr>
                <w:sz w:val="18"/>
                <w:lang w:val="fr-FR"/>
              </w:rPr>
            </w:pPr>
            <w:r w:rsidRPr="00640449">
              <w:rPr>
                <w:sz w:val="18"/>
                <w:lang w:val="fr-FR"/>
              </w:rPr>
              <w:t>Algérienne</w:t>
            </w:r>
          </w:p>
        </w:tc>
        <w:tc>
          <w:tcPr>
            <w:tcW w:w="1841"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26</w:t>
            </w:r>
          </w:p>
        </w:tc>
      </w:tr>
      <w:tr w:rsidR="00640449" w:rsidRPr="00640449" w:rsidTr="00007847">
        <w:tc>
          <w:tcPr>
            <w:tcW w:w="2003" w:type="dxa"/>
            <w:shd w:val="clear" w:color="auto" w:fill="auto"/>
          </w:tcPr>
          <w:p w:rsidR="00674E9C" w:rsidRPr="00640449" w:rsidRDefault="00210C34" w:rsidP="00497D2C">
            <w:pPr>
              <w:pStyle w:val="SingleTxtG"/>
              <w:suppressAutoHyphens w:val="0"/>
              <w:spacing w:before="40" w:after="40" w:line="220" w:lineRule="exact"/>
              <w:ind w:left="0" w:right="0"/>
              <w:jc w:val="left"/>
              <w:rPr>
                <w:sz w:val="18"/>
                <w:lang w:val="fr-FR"/>
              </w:rPr>
            </w:pPr>
            <w:r w:rsidRPr="00640449">
              <w:rPr>
                <w:sz w:val="18"/>
                <w:lang w:val="fr-FR"/>
              </w:rPr>
              <w:t>Algérienne</w:t>
            </w:r>
          </w:p>
        </w:tc>
        <w:tc>
          <w:tcPr>
            <w:tcW w:w="1541"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33</w:t>
            </w:r>
          </w:p>
        </w:tc>
        <w:tc>
          <w:tcPr>
            <w:tcW w:w="1985" w:type="dxa"/>
            <w:shd w:val="clear" w:color="auto" w:fill="auto"/>
            <w:vAlign w:val="bottom"/>
          </w:tcPr>
          <w:p w:rsidR="00674E9C" w:rsidRPr="00640449" w:rsidRDefault="00210C34" w:rsidP="00497D2C">
            <w:pPr>
              <w:pStyle w:val="SingleTxtG"/>
              <w:suppressAutoHyphens w:val="0"/>
              <w:spacing w:before="40" w:after="40" w:line="220" w:lineRule="exact"/>
              <w:ind w:left="0" w:right="0"/>
              <w:jc w:val="right"/>
              <w:rPr>
                <w:sz w:val="18"/>
                <w:lang w:val="fr-FR"/>
              </w:rPr>
            </w:pPr>
            <w:r w:rsidRPr="00640449">
              <w:rPr>
                <w:sz w:val="18"/>
                <w:lang w:val="fr-FR"/>
              </w:rPr>
              <w:t>Tunisienne</w:t>
            </w:r>
          </w:p>
        </w:tc>
        <w:tc>
          <w:tcPr>
            <w:tcW w:w="1841"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22</w:t>
            </w:r>
          </w:p>
        </w:tc>
      </w:tr>
      <w:tr w:rsidR="00640449" w:rsidRPr="00640449" w:rsidTr="00007847">
        <w:tc>
          <w:tcPr>
            <w:tcW w:w="2003" w:type="dxa"/>
            <w:shd w:val="clear" w:color="auto" w:fill="auto"/>
          </w:tcPr>
          <w:p w:rsidR="00674E9C" w:rsidRPr="00640449" w:rsidRDefault="00210C34" w:rsidP="00497D2C">
            <w:pPr>
              <w:pStyle w:val="SingleTxtG"/>
              <w:suppressAutoHyphens w:val="0"/>
              <w:spacing w:before="40" w:after="40" w:line="220" w:lineRule="exact"/>
              <w:ind w:left="0" w:right="0"/>
              <w:jc w:val="left"/>
              <w:rPr>
                <w:sz w:val="18"/>
                <w:lang w:val="fr-FR"/>
              </w:rPr>
            </w:pPr>
            <w:r w:rsidRPr="00640449">
              <w:rPr>
                <w:sz w:val="18"/>
                <w:lang w:val="fr-FR"/>
              </w:rPr>
              <w:t>Géorgienne</w:t>
            </w:r>
          </w:p>
        </w:tc>
        <w:tc>
          <w:tcPr>
            <w:tcW w:w="1541"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25</w:t>
            </w:r>
          </w:p>
        </w:tc>
        <w:tc>
          <w:tcPr>
            <w:tcW w:w="1985" w:type="dxa"/>
            <w:shd w:val="clear" w:color="auto" w:fill="auto"/>
            <w:vAlign w:val="bottom"/>
          </w:tcPr>
          <w:p w:rsidR="00674E9C" w:rsidRPr="00640449" w:rsidRDefault="00210C34" w:rsidP="00497D2C">
            <w:pPr>
              <w:pStyle w:val="SingleTxtG"/>
              <w:suppressAutoHyphens w:val="0"/>
              <w:spacing w:before="40" w:after="40" w:line="220" w:lineRule="exact"/>
              <w:ind w:left="0" w:right="0"/>
              <w:jc w:val="right"/>
              <w:rPr>
                <w:sz w:val="18"/>
                <w:lang w:val="fr-FR"/>
              </w:rPr>
            </w:pPr>
            <w:r w:rsidRPr="00640449">
              <w:rPr>
                <w:sz w:val="18"/>
                <w:lang w:val="fr-FR"/>
              </w:rPr>
              <w:t>Géorgienne</w:t>
            </w:r>
          </w:p>
        </w:tc>
        <w:tc>
          <w:tcPr>
            <w:tcW w:w="1841"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20</w:t>
            </w:r>
          </w:p>
        </w:tc>
      </w:tr>
      <w:tr w:rsidR="00640449" w:rsidRPr="00640449" w:rsidTr="00007847">
        <w:tc>
          <w:tcPr>
            <w:tcW w:w="2003" w:type="dxa"/>
            <w:tcBorders>
              <w:bottom w:val="single" w:sz="4" w:space="0" w:color="auto"/>
            </w:tcBorders>
            <w:shd w:val="clear" w:color="auto" w:fill="auto"/>
          </w:tcPr>
          <w:p w:rsidR="00674E9C" w:rsidRPr="00640449" w:rsidRDefault="00210C34" w:rsidP="00497D2C">
            <w:pPr>
              <w:pStyle w:val="SingleTxtG"/>
              <w:suppressAutoHyphens w:val="0"/>
              <w:spacing w:before="40" w:after="40" w:line="220" w:lineRule="exact"/>
              <w:ind w:left="0" w:right="0"/>
              <w:jc w:val="left"/>
              <w:rPr>
                <w:sz w:val="18"/>
                <w:lang w:val="fr-FR"/>
              </w:rPr>
            </w:pPr>
            <w:r w:rsidRPr="00640449">
              <w:rPr>
                <w:sz w:val="18"/>
                <w:lang w:val="fr-FR"/>
              </w:rPr>
              <w:t>Autres</w:t>
            </w:r>
          </w:p>
        </w:tc>
        <w:tc>
          <w:tcPr>
            <w:tcW w:w="1541" w:type="dxa"/>
            <w:tcBorders>
              <w:bottom w:val="single" w:sz="4" w:space="0" w:color="auto"/>
            </w:tcBorders>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215</w:t>
            </w:r>
          </w:p>
        </w:tc>
        <w:tc>
          <w:tcPr>
            <w:tcW w:w="1985" w:type="dxa"/>
            <w:tcBorders>
              <w:bottom w:val="single" w:sz="4" w:space="0" w:color="auto"/>
            </w:tcBorders>
            <w:shd w:val="clear" w:color="auto" w:fill="auto"/>
            <w:vAlign w:val="bottom"/>
          </w:tcPr>
          <w:p w:rsidR="00674E9C" w:rsidRPr="00640449" w:rsidRDefault="00210C34" w:rsidP="00497D2C">
            <w:pPr>
              <w:pStyle w:val="SingleTxtG"/>
              <w:suppressAutoHyphens w:val="0"/>
              <w:spacing w:before="40" w:after="40" w:line="220" w:lineRule="exact"/>
              <w:ind w:left="0" w:right="0"/>
              <w:jc w:val="right"/>
              <w:rPr>
                <w:sz w:val="18"/>
                <w:lang w:val="fr-FR"/>
              </w:rPr>
            </w:pPr>
            <w:r w:rsidRPr="00640449">
              <w:rPr>
                <w:sz w:val="18"/>
                <w:lang w:val="fr-FR"/>
              </w:rPr>
              <w:t>Autres</w:t>
            </w:r>
          </w:p>
        </w:tc>
        <w:tc>
          <w:tcPr>
            <w:tcW w:w="1841" w:type="dxa"/>
            <w:tcBorders>
              <w:bottom w:val="single" w:sz="4" w:space="0" w:color="auto"/>
            </w:tcBorders>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156</w:t>
            </w:r>
          </w:p>
        </w:tc>
      </w:tr>
      <w:tr w:rsidR="00674E9C" w:rsidRPr="00640449" w:rsidTr="00007847">
        <w:tc>
          <w:tcPr>
            <w:tcW w:w="2003" w:type="dxa"/>
            <w:tcBorders>
              <w:top w:val="single" w:sz="4" w:space="0" w:color="auto"/>
              <w:bottom w:val="single" w:sz="12" w:space="0" w:color="auto"/>
            </w:tcBorders>
            <w:shd w:val="clear" w:color="auto" w:fill="auto"/>
          </w:tcPr>
          <w:p w:rsidR="00674E9C" w:rsidRPr="00640449" w:rsidRDefault="00674E9C" w:rsidP="00C466EE">
            <w:pPr>
              <w:pStyle w:val="SingleTxtG"/>
              <w:suppressAutoHyphens w:val="0"/>
              <w:spacing w:before="80" w:after="80" w:line="220" w:lineRule="exact"/>
              <w:ind w:left="283" w:right="0"/>
              <w:jc w:val="left"/>
              <w:rPr>
                <w:b/>
                <w:sz w:val="18"/>
                <w:lang w:val="fr-FR"/>
              </w:rPr>
            </w:pPr>
            <w:r w:rsidRPr="00640449">
              <w:rPr>
                <w:b/>
                <w:sz w:val="18"/>
                <w:lang w:val="fr-FR"/>
              </w:rPr>
              <w:lastRenderedPageBreak/>
              <w:t>Total</w:t>
            </w:r>
          </w:p>
        </w:tc>
        <w:tc>
          <w:tcPr>
            <w:tcW w:w="1541" w:type="dxa"/>
            <w:tcBorders>
              <w:top w:val="single" w:sz="4" w:space="0" w:color="auto"/>
              <w:bottom w:val="single" w:sz="12" w:space="0" w:color="auto"/>
            </w:tcBorders>
            <w:shd w:val="clear" w:color="auto" w:fill="auto"/>
            <w:vAlign w:val="bottom"/>
          </w:tcPr>
          <w:p w:rsidR="00674E9C" w:rsidRPr="00640449" w:rsidRDefault="00674E9C" w:rsidP="00C466EE">
            <w:pPr>
              <w:pStyle w:val="SingleTxtG"/>
              <w:suppressAutoHyphens w:val="0"/>
              <w:spacing w:before="80" w:after="80" w:line="220" w:lineRule="exact"/>
              <w:ind w:left="0" w:right="0"/>
              <w:jc w:val="right"/>
              <w:rPr>
                <w:b/>
                <w:sz w:val="18"/>
                <w:lang w:val="fr-FR"/>
              </w:rPr>
            </w:pPr>
            <w:r w:rsidRPr="00640449">
              <w:rPr>
                <w:b/>
                <w:sz w:val="18"/>
                <w:lang w:val="fr-FR"/>
              </w:rPr>
              <w:t>386</w:t>
            </w:r>
          </w:p>
        </w:tc>
        <w:tc>
          <w:tcPr>
            <w:tcW w:w="1985" w:type="dxa"/>
            <w:tcBorders>
              <w:top w:val="single" w:sz="4" w:space="0" w:color="auto"/>
              <w:bottom w:val="single" w:sz="12" w:space="0" w:color="auto"/>
            </w:tcBorders>
            <w:shd w:val="clear" w:color="auto" w:fill="auto"/>
            <w:vAlign w:val="bottom"/>
          </w:tcPr>
          <w:p w:rsidR="00674E9C" w:rsidRPr="00640449" w:rsidRDefault="00674E9C" w:rsidP="00C466EE">
            <w:pPr>
              <w:pStyle w:val="SingleTxtG"/>
              <w:suppressAutoHyphens w:val="0"/>
              <w:spacing w:before="80" w:after="80" w:line="220" w:lineRule="exact"/>
              <w:ind w:left="0" w:right="0"/>
              <w:jc w:val="right"/>
              <w:rPr>
                <w:b/>
                <w:sz w:val="18"/>
                <w:lang w:val="fr-FR"/>
              </w:rPr>
            </w:pPr>
            <w:r w:rsidRPr="00640449">
              <w:rPr>
                <w:b/>
                <w:sz w:val="18"/>
                <w:lang w:val="fr-FR"/>
              </w:rPr>
              <w:t>Total</w:t>
            </w:r>
          </w:p>
        </w:tc>
        <w:tc>
          <w:tcPr>
            <w:tcW w:w="1841" w:type="dxa"/>
            <w:tcBorders>
              <w:top w:val="single" w:sz="4" w:space="0" w:color="auto"/>
              <w:bottom w:val="single" w:sz="12" w:space="0" w:color="auto"/>
            </w:tcBorders>
            <w:shd w:val="clear" w:color="auto" w:fill="auto"/>
            <w:vAlign w:val="bottom"/>
          </w:tcPr>
          <w:p w:rsidR="00674E9C" w:rsidRPr="00640449" w:rsidRDefault="00674E9C" w:rsidP="00C466EE">
            <w:pPr>
              <w:pStyle w:val="SingleTxtG"/>
              <w:suppressAutoHyphens w:val="0"/>
              <w:spacing w:before="80" w:after="80" w:line="220" w:lineRule="exact"/>
              <w:ind w:left="0" w:right="0"/>
              <w:jc w:val="right"/>
              <w:rPr>
                <w:b/>
                <w:sz w:val="18"/>
                <w:lang w:val="fr-FR"/>
              </w:rPr>
            </w:pPr>
            <w:r w:rsidRPr="00640449">
              <w:rPr>
                <w:b/>
                <w:sz w:val="18"/>
                <w:lang w:val="fr-FR"/>
              </w:rPr>
              <w:t>291</w:t>
            </w:r>
          </w:p>
        </w:tc>
      </w:tr>
    </w:tbl>
    <w:p w:rsidR="00674E9C" w:rsidRPr="00640449" w:rsidRDefault="00674E9C" w:rsidP="00674E9C">
      <w:pPr>
        <w:pStyle w:val="SingleTxtG"/>
        <w:rPr>
          <w:lang w:val="en-US"/>
        </w:rPr>
      </w:pPr>
    </w:p>
    <w:tbl>
      <w:tblPr>
        <w:tblW w:w="7370" w:type="dxa"/>
        <w:tblInd w:w="1134" w:type="dxa"/>
        <w:tblLayout w:type="fixed"/>
        <w:tblCellMar>
          <w:left w:w="0" w:type="dxa"/>
          <w:right w:w="0" w:type="dxa"/>
        </w:tblCellMar>
        <w:tblLook w:val="04A0" w:firstRow="1" w:lastRow="0" w:firstColumn="1" w:lastColumn="0" w:noHBand="0" w:noVBand="1"/>
      </w:tblPr>
      <w:tblGrid>
        <w:gridCol w:w="1986"/>
        <w:gridCol w:w="1558"/>
        <w:gridCol w:w="1985"/>
        <w:gridCol w:w="1841"/>
      </w:tblGrid>
      <w:tr w:rsidR="00640449" w:rsidRPr="00640449" w:rsidTr="00007847">
        <w:trPr>
          <w:tblHeader/>
        </w:trPr>
        <w:tc>
          <w:tcPr>
            <w:tcW w:w="1986" w:type="dxa"/>
            <w:tcBorders>
              <w:top w:val="single" w:sz="4" w:space="0" w:color="auto"/>
              <w:bottom w:val="single" w:sz="12" w:space="0" w:color="auto"/>
            </w:tcBorders>
            <w:shd w:val="clear" w:color="auto" w:fill="auto"/>
            <w:vAlign w:val="bottom"/>
          </w:tcPr>
          <w:p w:rsidR="00674E9C" w:rsidRPr="00640449" w:rsidRDefault="00674E9C" w:rsidP="00497D2C">
            <w:pPr>
              <w:pStyle w:val="SingleTxtG"/>
              <w:suppressAutoHyphens w:val="0"/>
              <w:spacing w:before="80" w:after="80" w:line="200" w:lineRule="exact"/>
              <w:ind w:left="0" w:right="0"/>
              <w:jc w:val="left"/>
              <w:rPr>
                <w:bCs/>
                <w:i/>
                <w:sz w:val="16"/>
                <w:lang w:val="fr-FR"/>
              </w:rPr>
            </w:pPr>
            <w:r w:rsidRPr="00640449">
              <w:rPr>
                <w:bCs/>
                <w:i/>
                <w:sz w:val="16"/>
                <w:lang w:val="fr-FR"/>
              </w:rPr>
              <w:t xml:space="preserve">Transferts Dublin </w:t>
            </w:r>
            <w:r w:rsidR="00756838">
              <w:rPr>
                <w:bCs/>
                <w:i/>
                <w:sz w:val="16"/>
                <w:lang w:val="fr-FR"/>
              </w:rPr>
              <w:br/>
            </w:r>
            <w:r w:rsidRPr="00640449">
              <w:rPr>
                <w:bCs/>
                <w:i/>
                <w:sz w:val="16"/>
                <w:lang w:val="fr-FR"/>
              </w:rPr>
              <w:t>par sexe</w:t>
            </w:r>
          </w:p>
        </w:tc>
        <w:tc>
          <w:tcPr>
            <w:tcW w:w="1558" w:type="dxa"/>
            <w:tcBorders>
              <w:top w:val="single" w:sz="4" w:space="0" w:color="auto"/>
              <w:bottom w:val="single" w:sz="12" w:space="0" w:color="auto"/>
            </w:tcBorders>
            <w:shd w:val="clear" w:color="auto" w:fill="auto"/>
            <w:vAlign w:val="bottom"/>
          </w:tcPr>
          <w:p w:rsidR="00674E9C" w:rsidRPr="00640449" w:rsidRDefault="00674E9C" w:rsidP="00497D2C">
            <w:pPr>
              <w:pStyle w:val="SingleTxtG"/>
              <w:suppressAutoHyphens w:val="0"/>
              <w:spacing w:before="80" w:after="80" w:line="200" w:lineRule="exact"/>
              <w:ind w:left="0" w:right="0"/>
              <w:jc w:val="right"/>
              <w:rPr>
                <w:bCs/>
                <w:i/>
                <w:sz w:val="16"/>
              </w:rPr>
            </w:pPr>
            <w:r w:rsidRPr="00640449">
              <w:rPr>
                <w:bCs/>
                <w:i/>
                <w:sz w:val="16"/>
              </w:rPr>
              <w:t>2017</w:t>
            </w:r>
          </w:p>
        </w:tc>
        <w:tc>
          <w:tcPr>
            <w:tcW w:w="1985" w:type="dxa"/>
            <w:tcBorders>
              <w:top w:val="single" w:sz="4" w:space="0" w:color="auto"/>
              <w:bottom w:val="single" w:sz="12" w:space="0" w:color="auto"/>
            </w:tcBorders>
            <w:shd w:val="clear" w:color="auto" w:fill="auto"/>
            <w:noWrap/>
            <w:vAlign w:val="bottom"/>
            <w:hideMark/>
          </w:tcPr>
          <w:p w:rsidR="00674E9C" w:rsidRPr="00640449" w:rsidRDefault="00674E9C" w:rsidP="00497D2C">
            <w:pPr>
              <w:pStyle w:val="SingleTxtG"/>
              <w:suppressAutoHyphens w:val="0"/>
              <w:spacing w:before="80" w:after="80" w:line="200" w:lineRule="exact"/>
              <w:ind w:left="0" w:right="0"/>
              <w:jc w:val="right"/>
              <w:rPr>
                <w:bCs/>
                <w:i/>
                <w:sz w:val="16"/>
                <w:lang w:val="fr-FR"/>
              </w:rPr>
            </w:pPr>
            <w:r w:rsidRPr="00640449">
              <w:rPr>
                <w:bCs/>
                <w:i/>
                <w:sz w:val="16"/>
                <w:lang w:val="fr-FR"/>
              </w:rPr>
              <w:t xml:space="preserve">Transferts Dublin </w:t>
            </w:r>
            <w:r w:rsidR="00756838">
              <w:rPr>
                <w:bCs/>
                <w:i/>
                <w:sz w:val="16"/>
                <w:lang w:val="fr-FR"/>
              </w:rPr>
              <w:br/>
            </w:r>
            <w:r w:rsidRPr="00640449">
              <w:rPr>
                <w:bCs/>
                <w:i/>
                <w:sz w:val="16"/>
                <w:lang w:val="fr-FR"/>
              </w:rPr>
              <w:t>par sexe</w:t>
            </w:r>
          </w:p>
        </w:tc>
        <w:tc>
          <w:tcPr>
            <w:tcW w:w="1841" w:type="dxa"/>
            <w:tcBorders>
              <w:top w:val="single" w:sz="4" w:space="0" w:color="auto"/>
              <w:bottom w:val="single" w:sz="12" w:space="0" w:color="auto"/>
            </w:tcBorders>
            <w:shd w:val="clear" w:color="auto" w:fill="auto"/>
            <w:noWrap/>
            <w:vAlign w:val="bottom"/>
            <w:hideMark/>
          </w:tcPr>
          <w:p w:rsidR="00674E9C" w:rsidRPr="00640449" w:rsidRDefault="00674E9C" w:rsidP="00497D2C">
            <w:pPr>
              <w:pStyle w:val="SingleTxtG"/>
              <w:suppressAutoHyphens w:val="0"/>
              <w:spacing w:before="80" w:after="80" w:line="200" w:lineRule="exact"/>
              <w:ind w:left="0" w:right="0"/>
              <w:jc w:val="right"/>
              <w:rPr>
                <w:bCs/>
                <w:i/>
                <w:sz w:val="16"/>
              </w:rPr>
            </w:pPr>
            <w:r w:rsidRPr="00640449">
              <w:rPr>
                <w:bCs/>
                <w:i/>
                <w:sz w:val="16"/>
              </w:rPr>
              <w:t>2018</w:t>
            </w:r>
          </w:p>
        </w:tc>
      </w:tr>
      <w:tr w:rsidR="00640449" w:rsidRPr="00640449" w:rsidTr="00007847">
        <w:tc>
          <w:tcPr>
            <w:tcW w:w="1986" w:type="dxa"/>
            <w:tcBorders>
              <w:top w:val="single" w:sz="12" w:space="0" w:color="auto"/>
            </w:tcBorders>
            <w:shd w:val="clear" w:color="auto" w:fill="auto"/>
          </w:tcPr>
          <w:p w:rsidR="00674E9C" w:rsidRPr="00640449" w:rsidRDefault="00674E9C" w:rsidP="00497D2C">
            <w:pPr>
              <w:pStyle w:val="SingleTxtG"/>
              <w:suppressAutoHyphens w:val="0"/>
              <w:spacing w:before="40" w:after="40" w:line="220" w:lineRule="exact"/>
              <w:ind w:left="0" w:right="0"/>
              <w:jc w:val="left"/>
              <w:rPr>
                <w:sz w:val="18"/>
              </w:rPr>
            </w:pPr>
            <w:r w:rsidRPr="00640449">
              <w:rPr>
                <w:sz w:val="18"/>
              </w:rPr>
              <w:t>F</w:t>
            </w:r>
          </w:p>
        </w:tc>
        <w:tc>
          <w:tcPr>
            <w:tcW w:w="1558" w:type="dxa"/>
            <w:tcBorders>
              <w:top w:val="single" w:sz="12" w:space="0" w:color="auto"/>
            </w:tcBorders>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rPr>
            </w:pPr>
            <w:r w:rsidRPr="00640449">
              <w:rPr>
                <w:sz w:val="18"/>
              </w:rPr>
              <w:t>52</w:t>
            </w:r>
          </w:p>
        </w:tc>
        <w:tc>
          <w:tcPr>
            <w:tcW w:w="1985" w:type="dxa"/>
            <w:tcBorders>
              <w:top w:val="single" w:sz="12" w:space="0" w:color="auto"/>
            </w:tcBorders>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rPr>
            </w:pPr>
            <w:r w:rsidRPr="00640449">
              <w:rPr>
                <w:sz w:val="18"/>
              </w:rPr>
              <w:t>F</w:t>
            </w:r>
          </w:p>
        </w:tc>
        <w:tc>
          <w:tcPr>
            <w:tcW w:w="1841" w:type="dxa"/>
            <w:tcBorders>
              <w:top w:val="single" w:sz="12" w:space="0" w:color="auto"/>
            </w:tcBorders>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rPr>
            </w:pPr>
            <w:r w:rsidRPr="00640449">
              <w:rPr>
                <w:sz w:val="18"/>
              </w:rPr>
              <w:t>29</w:t>
            </w:r>
          </w:p>
        </w:tc>
      </w:tr>
      <w:tr w:rsidR="00640449" w:rsidRPr="00640449" w:rsidTr="00007847">
        <w:tc>
          <w:tcPr>
            <w:tcW w:w="1986" w:type="dxa"/>
            <w:tcBorders>
              <w:bottom w:val="single" w:sz="4" w:space="0" w:color="auto"/>
            </w:tcBorders>
            <w:shd w:val="clear" w:color="auto" w:fill="auto"/>
          </w:tcPr>
          <w:p w:rsidR="00674E9C" w:rsidRPr="00640449" w:rsidRDefault="00674E9C" w:rsidP="00497D2C">
            <w:pPr>
              <w:pStyle w:val="SingleTxtG"/>
              <w:suppressAutoHyphens w:val="0"/>
              <w:spacing w:before="40" w:after="40" w:line="220" w:lineRule="exact"/>
              <w:ind w:left="0" w:right="0"/>
              <w:jc w:val="left"/>
              <w:rPr>
                <w:sz w:val="18"/>
              </w:rPr>
            </w:pPr>
            <w:r w:rsidRPr="00640449">
              <w:rPr>
                <w:sz w:val="18"/>
              </w:rPr>
              <w:t>M</w:t>
            </w:r>
          </w:p>
        </w:tc>
        <w:tc>
          <w:tcPr>
            <w:tcW w:w="1558" w:type="dxa"/>
            <w:tcBorders>
              <w:bottom w:val="single" w:sz="4" w:space="0" w:color="auto"/>
            </w:tcBorders>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rPr>
            </w:pPr>
            <w:r w:rsidRPr="00640449">
              <w:rPr>
                <w:sz w:val="18"/>
              </w:rPr>
              <w:t>334</w:t>
            </w:r>
          </w:p>
        </w:tc>
        <w:tc>
          <w:tcPr>
            <w:tcW w:w="1985" w:type="dxa"/>
            <w:tcBorders>
              <w:bottom w:val="single" w:sz="4" w:space="0" w:color="auto"/>
            </w:tcBorders>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rPr>
            </w:pPr>
            <w:r w:rsidRPr="00640449">
              <w:rPr>
                <w:sz w:val="18"/>
              </w:rPr>
              <w:t>M</w:t>
            </w:r>
          </w:p>
        </w:tc>
        <w:tc>
          <w:tcPr>
            <w:tcW w:w="1841" w:type="dxa"/>
            <w:tcBorders>
              <w:bottom w:val="single" w:sz="4" w:space="0" w:color="auto"/>
            </w:tcBorders>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rPr>
            </w:pPr>
            <w:r w:rsidRPr="00640449">
              <w:rPr>
                <w:sz w:val="18"/>
              </w:rPr>
              <w:t>262</w:t>
            </w:r>
          </w:p>
        </w:tc>
      </w:tr>
      <w:tr w:rsidR="00674E9C" w:rsidRPr="00640449" w:rsidTr="00007847">
        <w:tc>
          <w:tcPr>
            <w:tcW w:w="1986" w:type="dxa"/>
            <w:tcBorders>
              <w:top w:val="single" w:sz="4" w:space="0" w:color="auto"/>
              <w:bottom w:val="single" w:sz="12" w:space="0" w:color="auto"/>
            </w:tcBorders>
            <w:shd w:val="clear" w:color="auto" w:fill="auto"/>
          </w:tcPr>
          <w:p w:rsidR="00674E9C" w:rsidRPr="00640449" w:rsidRDefault="00674E9C" w:rsidP="009F2395">
            <w:pPr>
              <w:pStyle w:val="SingleTxtG"/>
              <w:suppressAutoHyphens w:val="0"/>
              <w:spacing w:before="80" w:after="80" w:line="220" w:lineRule="exact"/>
              <w:ind w:left="283" w:right="0"/>
              <w:jc w:val="left"/>
              <w:rPr>
                <w:b/>
                <w:bCs/>
                <w:sz w:val="18"/>
              </w:rPr>
            </w:pPr>
            <w:r w:rsidRPr="00640449">
              <w:rPr>
                <w:b/>
                <w:bCs/>
                <w:sz w:val="18"/>
              </w:rPr>
              <w:t>Grand Total</w:t>
            </w:r>
          </w:p>
        </w:tc>
        <w:tc>
          <w:tcPr>
            <w:tcW w:w="1558" w:type="dxa"/>
            <w:tcBorders>
              <w:top w:val="single" w:sz="4" w:space="0" w:color="auto"/>
              <w:bottom w:val="single" w:sz="12" w:space="0" w:color="auto"/>
            </w:tcBorders>
            <w:shd w:val="clear" w:color="auto" w:fill="auto"/>
            <w:vAlign w:val="bottom"/>
          </w:tcPr>
          <w:p w:rsidR="00674E9C" w:rsidRPr="00640449" w:rsidRDefault="00674E9C" w:rsidP="009F2395">
            <w:pPr>
              <w:pStyle w:val="SingleTxtG"/>
              <w:suppressAutoHyphens w:val="0"/>
              <w:spacing w:before="80" w:after="80" w:line="220" w:lineRule="exact"/>
              <w:ind w:left="0" w:right="0"/>
              <w:jc w:val="right"/>
              <w:rPr>
                <w:b/>
                <w:bCs/>
                <w:sz w:val="18"/>
              </w:rPr>
            </w:pPr>
            <w:r w:rsidRPr="00640449">
              <w:rPr>
                <w:b/>
                <w:bCs/>
                <w:sz w:val="18"/>
              </w:rPr>
              <w:t>386</w:t>
            </w:r>
          </w:p>
        </w:tc>
        <w:tc>
          <w:tcPr>
            <w:tcW w:w="1985" w:type="dxa"/>
            <w:tcBorders>
              <w:top w:val="single" w:sz="4" w:space="0" w:color="auto"/>
              <w:bottom w:val="single" w:sz="12" w:space="0" w:color="auto"/>
            </w:tcBorders>
            <w:shd w:val="clear" w:color="auto" w:fill="auto"/>
            <w:noWrap/>
            <w:vAlign w:val="bottom"/>
            <w:hideMark/>
          </w:tcPr>
          <w:p w:rsidR="00674E9C" w:rsidRPr="00640449" w:rsidRDefault="00674E9C" w:rsidP="009F2395">
            <w:pPr>
              <w:pStyle w:val="SingleTxtG"/>
              <w:suppressAutoHyphens w:val="0"/>
              <w:spacing w:before="80" w:after="80" w:line="220" w:lineRule="exact"/>
              <w:ind w:left="0" w:right="0"/>
              <w:jc w:val="right"/>
              <w:rPr>
                <w:b/>
                <w:bCs/>
                <w:sz w:val="18"/>
              </w:rPr>
            </w:pPr>
            <w:r w:rsidRPr="00640449">
              <w:rPr>
                <w:b/>
                <w:bCs/>
                <w:sz w:val="18"/>
              </w:rPr>
              <w:t>Total</w:t>
            </w:r>
          </w:p>
        </w:tc>
        <w:tc>
          <w:tcPr>
            <w:tcW w:w="1841" w:type="dxa"/>
            <w:tcBorders>
              <w:top w:val="single" w:sz="4" w:space="0" w:color="auto"/>
              <w:bottom w:val="single" w:sz="12" w:space="0" w:color="auto"/>
            </w:tcBorders>
            <w:shd w:val="clear" w:color="auto" w:fill="auto"/>
            <w:noWrap/>
            <w:vAlign w:val="bottom"/>
            <w:hideMark/>
          </w:tcPr>
          <w:p w:rsidR="00674E9C" w:rsidRPr="00640449" w:rsidRDefault="00674E9C" w:rsidP="009F2395">
            <w:pPr>
              <w:pStyle w:val="SingleTxtG"/>
              <w:suppressAutoHyphens w:val="0"/>
              <w:spacing w:before="80" w:after="80" w:line="220" w:lineRule="exact"/>
              <w:ind w:left="0" w:right="0"/>
              <w:jc w:val="right"/>
              <w:rPr>
                <w:b/>
                <w:bCs/>
                <w:sz w:val="18"/>
              </w:rPr>
            </w:pPr>
            <w:r w:rsidRPr="00640449">
              <w:rPr>
                <w:b/>
                <w:bCs/>
                <w:sz w:val="18"/>
              </w:rPr>
              <w:t>291</w:t>
            </w:r>
          </w:p>
        </w:tc>
      </w:tr>
    </w:tbl>
    <w:p w:rsidR="00674E9C" w:rsidRPr="00640449" w:rsidRDefault="00674E9C" w:rsidP="00674E9C">
      <w:pPr>
        <w:pStyle w:val="SingleTxtG"/>
        <w:rPr>
          <w:lang w:val="en-US"/>
        </w:rPr>
      </w:pPr>
    </w:p>
    <w:tbl>
      <w:tblPr>
        <w:tblW w:w="7370" w:type="dxa"/>
        <w:tblInd w:w="1134" w:type="dxa"/>
        <w:tblLayout w:type="fixed"/>
        <w:tblCellMar>
          <w:left w:w="0" w:type="dxa"/>
          <w:right w:w="0" w:type="dxa"/>
        </w:tblCellMar>
        <w:tblLook w:val="04A0" w:firstRow="1" w:lastRow="0" w:firstColumn="1" w:lastColumn="0" w:noHBand="0" w:noVBand="1"/>
      </w:tblPr>
      <w:tblGrid>
        <w:gridCol w:w="1896"/>
        <w:gridCol w:w="1622"/>
        <w:gridCol w:w="1896"/>
        <w:gridCol w:w="1956"/>
      </w:tblGrid>
      <w:tr w:rsidR="00640449" w:rsidRPr="00640449" w:rsidTr="0008671C">
        <w:trPr>
          <w:tblHeader/>
        </w:trPr>
        <w:tc>
          <w:tcPr>
            <w:tcW w:w="1896" w:type="dxa"/>
            <w:tcBorders>
              <w:top w:val="single" w:sz="4" w:space="0" w:color="auto"/>
              <w:bottom w:val="single" w:sz="12" w:space="0" w:color="auto"/>
            </w:tcBorders>
            <w:shd w:val="clear" w:color="auto" w:fill="auto"/>
            <w:noWrap/>
            <w:vAlign w:val="bottom"/>
            <w:hideMark/>
          </w:tcPr>
          <w:p w:rsidR="00674E9C" w:rsidRPr="00640449" w:rsidRDefault="00674E9C" w:rsidP="00497D2C">
            <w:pPr>
              <w:pStyle w:val="SingleTxtG"/>
              <w:suppressAutoHyphens w:val="0"/>
              <w:spacing w:before="80" w:after="80" w:line="200" w:lineRule="exact"/>
              <w:ind w:left="0" w:right="0"/>
              <w:jc w:val="left"/>
              <w:rPr>
                <w:bCs/>
                <w:i/>
                <w:sz w:val="16"/>
                <w:lang w:val="fr-FR"/>
              </w:rPr>
            </w:pPr>
            <w:r w:rsidRPr="00640449">
              <w:rPr>
                <w:bCs/>
                <w:i/>
                <w:sz w:val="16"/>
                <w:lang w:val="fr-FR"/>
              </w:rPr>
              <w:t xml:space="preserve">Transferts Dublin </w:t>
            </w:r>
            <w:r w:rsidR="00756838">
              <w:rPr>
                <w:bCs/>
                <w:i/>
                <w:sz w:val="16"/>
                <w:lang w:val="fr-FR"/>
              </w:rPr>
              <w:br/>
            </w:r>
            <w:r w:rsidRPr="00640449">
              <w:rPr>
                <w:bCs/>
                <w:i/>
                <w:sz w:val="16"/>
                <w:lang w:val="fr-FR"/>
              </w:rPr>
              <w:t xml:space="preserve">par </w:t>
            </w:r>
            <w:r w:rsidR="00FD7E28">
              <w:rPr>
                <w:bCs/>
                <w:i/>
                <w:sz w:val="16"/>
                <w:lang w:val="fr-FR"/>
              </w:rPr>
              <w:t>État</w:t>
            </w:r>
            <w:r w:rsidRPr="00640449">
              <w:rPr>
                <w:bCs/>
                <w:i/>
                <w:sz w:val="16"/>
                <w:lang w:val="fr-FR"/>
              </w:rPr>
              <w:t xml:space="preserve"> membre</w:t>
            </w:r>
          </w:p>
        </w:tc>
        <w:tc>
          <w:tcPr>
            <w:tcW w:w="1622" w:type="dxa"/>
            <w:tcBorders>
              <w:top w:val="single" w:sz="4" w:space="0" w:color="auto"/>
              <w:bottom w:val="single" w:sz="12" w:space="0" w:color="auto"/>
            </w:tcBorders>
            <w:shd w:val="clear" w:color="auto" w:fill="auto"/>
            <w:noWrap/>
            <w:vAlign w:val="bottom"/>
            <w:hideMark/>
          </w:tcPr>
          <w:p w:rsidR="00674E9C" w:rsidRPr="00640449" w:rsidRDefault="00674E9C" w:rsidP="00497D2C">
            <w:pPr>
              <w:pStyle w:val="SingleTxtG"/>
              <w:suppressAutoHyphens w:val="0"/>
              <w:spacing w:before="80" w:after="80" w:line="200" w:lineRule="exact"/>
              <w:ind w:left="0" w:right="0"/>
              <w:jc w:val="right"/>
              <w:rPr>
                <w:bCs/>
                <w:i/>
                <w:sz w:val="16"/>
              </w:rPr>
            </w:pPr>
            <w:r w:rsidRPr="00640449">
              <w:rPr>
                <w:bCs/>
                <w:i/>
                <w:sz w:val="16"/>
              </w:rPr>
              <w:t>2018</w:t>
            </w:r>
          </w:p>
        </w:tc>
        <w:tc>
          <w:tcPr>
            <w:tcW w:w="1896" w:type="dxa"/>
            <w:tcBorders>
              <w:top w:val="single" w:sz="4" w:space="0" w:color="auto"/>
              <w:bottom w:val="single" w:sz="12" w:space="0" w:color="auto"/>
            </w:tcBorders>
            <w:shd w:val="clear" w:color="auto" w:fill="auto"/>
            <w:vAlign w:val="bottom"/>
          </w:tcPr>
          <w:p w:rsidR="00674E9C" w:rsidRPr="00640449" w:rsidRDefault="00674E9C" w:rsidP="00497D2C">
            <w:pPr>
              <w:pStyle w:val="SingleTxtG"/>
              <w:suppressAutoHyphens w:val="0"/>
              <w:spacing w:before="80" w:after="80" w:line="200" w:lineRule="exact"/>
              <w:ind w:left="0" w:right="0"/>
              <w:jc w:val="right"/>
              <w:rPr>
                <w:bCs/>
                <w:i/>
                <w:sz w:val="16"/>
                <w:lang w:val="fr-FR"/>
              </w:rPr>
            </w:pPr>
            <w:r w:rsidRPr="00640449">
              <w:rPr>
                <w:bCs/>
                <w:i/>
                <w:sz w:val="16"/>
                <w:lang w:val="fr-FR"/>
              </w:rPr>
              <w:t xml:space="preserve">Transferts Dublin </w:t>
            </w:r>
            <w:r w:rsidR="00756838">
              <w:rPr>
                <w:bCs/>
                <w:i/>
                <w:sz w:val="16"/>
                <w:lang w:val="fr-FR"/>
              </w:rPr>
              <w:br/>
            </w:r>
            <w:r w:rsidRPr="00640449">
              <w:rPr>
                <w:bCs/>
                <w:i/>
                <w:sz w:val="16"/>
                <w:lang w:val="fr-FR"/>
              </w:rPr>
              <w:t xml:space="preserve">par </w:t>
            </w:r>
            <w:r w:rsidR="00FD7E28">
              <w:rPr>
                <w:bCs/>
                <w:i/>
                <w:sz w:val="16"/>
                <w:lang w:val="fr-FR"/>
              </w:rPr>
              <w:t>État</w:t>
            </w:r>
            <w:r w:rsidRPr="00640449">
              <w:rPr>
                <w:bCs/>
                <w:i/>
                <w:sz w:val="16"/>
                <w:lang w:val="fr-FR"/>
              </w:rPr>
              <w:t xml:space="preserve"> membre</w:t>
            </w:r>
          </w:p>
        </w:tc>
        <w:tc>
          <w:tcPr>
            <w:tcW w:w="1956" w:type="dxa"/>
            <w:tcBorders>
              <w:top w:val="single" w:sz="4" w:space="0" w:color="auto"/>
              <w:bottom w:val="single" w:sz="12" w:space="0" w:color="auto"/>
            </w:tcBorders>
            <w:shd w:val="clear" w:color="auto" w:fill="auto"/>
            <w:vAlign w:val="bottom"/>
          </w:tcPr>
          <w:p w:rsidR="00674E9C" w:rsidRPr="00640449" w:rsidRDefault="00674E9C" w:rsidP="00497D2C">
            <w:pPr>
              <w:pStyle w:val="SingleTxtG"/>
              <w:suppressAutoHyphens w:val="0"/>
              <w:spacing w:before="80" w:after="80" w:line="200" w:lineRule="exact"/>
              <w:ind w:left="0" w:right="0"/>
              <w:jc w:val="right"/>
              <w:rPr>
                <w:bCs/>
                <w:i/>
                <w:sz w:val="16"/>
                <w:lang w:val="fr-FR"/>
              </w:rPr>
            </w:pPr>
            <w:r w:rsidRPr="00640449">
              <w:rPr>
                <w:bCs/>
                <w:i/>
                <w:sz w:val="16"/>
                <w:lang w:val="fr-FR"/>
              </w:rPr>
              <w:t>2017</w:t>
            </w:r>
          </w:p>
        </w:tc>
      </w:tr>
      <w:tr w:rsidR="00640449" w:rsidRPr="00640449" w:rsidTr="0008671C">
        <w:tc>
          <w:tcPr>
            <w:tcW w:w="1896" w:type="dxa"/>
            <w:tcBorders>
              <w:top w:val="single" w:sz="12" w:space="0" w:color="auto"/>
            </w:tcBorders>
            <w:shd w:val="clear" w:color="auto" w:fill="auto"/>
            <w:noWrap/>
            <w:hideMark/>
          </w:tcPr>
          <w:p w:rsidR="00674E9C" w:rsidRPr="00640449" w:rsidRDefault="00674E9C" w:rsidP="00497D2C">
            <w:pPr>
              <w:pStyle w:val="SingleTxtG"/>
              <w:suppressAutoHyphens w:val="0"/>
              <w:spacing w:before="40" w:after="40" w:line="220" w:lineRule="exact"/>
              <w:ind w:left="0" w:right="0"/>
              <w:jc w:val="left"/>
              <w:rPr>
                <w:sz w:val="18"/>
                <w:lang w:val="fr-FR"/>
              </w:rPr>
            </w:pPr>
            <w:r w:rsidRPr="00640449">
              <w:rPr>
                <w:sz w:val="18"/>
                <w:lang w:val="fr-FR"/>
              </w:rPr>
              <w:t>Allemagne</w:t>
            </w:r>
          </w:p>
        </w:tc>
        <w:tc>
          <w:tcPr>
            <w:tcW w:w="1622" w:type="dxa"/>
            <w:tcBorders>
              <w:top w:val="single" w:sz="12" w:space="0" w:color="auto"/>
            </w:tcBorders>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109</w:t>
            </w:r>
          </w:p>
        </w:tc>
        <w:tc>
          <w:tcPr>
            <w:tcW w:w="1896" w:type="dxa"/>
            <w:tcBorders>
              <w:top w:val="single" w:sz="12" w:space="0" w:color="auto"/>
            </w:tcBorders>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Allemagne</w:t>
            </w:r>
          </w:p>
        </w:tc>
        <w:tc>
          <w:tcPr>
            <w:tcW w:w="1956" w:type="dxa"/>
            <w:tcBorders>
              <w:top w:val="single" w:sz="12" w:space="0" w:color="auto"/>
            </w:tcBorders>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155</w:t>
            </w:r>
          </w:p>
        </w:tc>
      </w:tr>
      <w:tr w:rsidR="00640449" w:rsidRPr="00640449" w:rsidTr="0008671C">
        <w:tc>
          <w:tcPr>
            <w:tcW w:w="1896" w:type="dxa"/>
            <w:shd w:val="clear" w:color="auto" w:fill="auto"/>
            <w:noWrap/>
            <w:hideMark/>
          </w:tcPr>
          <w:p w:rsidR="00674E9C" w:rsidRPr="00640449" w:rsidRDefault="00674E9C" w:rsidP="00497D2C">
            <w:pPr>
              <w:pStyle w:val="SingleTxtG"/>
              <w:suppressAutoHyphens w:val="0"/>
              <w:spacing w:before="40" w:after="40" w:line="220" w:lineRule="exact"/>
              <w:ind w:left="0" w:right="0"/>
              <w:jc w:val="left"/>
              <w:rPr>
                <w:sz w:val="18"/>
                <w:lang w:val="fr-FR"/>
              </w:rPr>
            </w:pPr>
            <w:r w:rsidRPr="00640449">
              <w:rPr>
                <w:sz w:val="18"/>
                <w:lang w:val="fr-FR"/>
              </w:rPr>
              <w:t>France</w:t>
            </w:r>
          </w:p>
        </w:tc>
        <w:tc>
          <w:tcPr>
            <w:tcW w:w="1622" w:type="dxa"/>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50</w:t>
            </w:r>
          </w:p>
        </w:tc>
        <w:tc>
          <w:tcPr>
            <w:tcW w:w="1896"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Pays-Bas</w:t>
            </w:r>
          </w:p>
        </w:tc>
        <w:tc>
          <w:tcPr>
            <w:tcW w:w="1956"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65</w:t>
            </w:r>
          </w:p>
        </w:tc>
      </w:tr>
      <w:tr w:rsidR="00640449" w:rsidRPr="00640449" w:rsidTr="0008671C">
        <w:tc>
          <w:tcPr>
            <w:tcW w:w="1896" w:type="dxa"/>
            <w:shd w:val="clear" w:color="auto" w:fill="auto"/>
            <w:noWrap/>
            <w:hideMark/>
          </w:tcPr>
          <w:p w:rsidR="00674E9C" w:rsidRPr="00640449" w:rsidRDefault="00674E9C" w:rsidP="00497D2C">
            <w:pPr>
              <w:pStyle w:val="SingleTxtG"/>
              <w:suppressAutoHyphens w:val="0"/>
              <w:spacing w:before="40" w:after="40" w:line="220" w:lineRule="exact"/>
              <w:ind w:left="0" w:right="0"/>
              <w:jc w:val="left"/>
              <w:rPr>
                <w:sz w:val="18"/>
                <w:lang w:val="fr-FR"/>
              </w:rPr>
            </w:pPr>
            <w:r w:rsidRPr="00640449">
              <w:rPr>
                <w:sz w:val="18"/>
                <w:lang w:val="fr-FR"/>
              </w:rPr>
              <w:t>Italie</w:t>
            </w:r>
          </w:p>
        </w:tc>
        <w:tc>
          <w:tcPr>
            <w:tcW w:w="1622" w:type="dxa"/>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40</w:t>
            </w:r>
          </w:p>
        </w:tc>
        <w:tc>
          <w:tcPr>
            <w:tcW w:w="1896"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Italie</w:t>
            </w:r>
          </w:p>
        </w:tc>
        <w:tc>
          <w:tcPr>
            <w:tcW w:w="1956"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35</w:t>
            </w:r>
          </w:p>
        </w:tc>
      </w:tr>
      <w:tr w:rsidR="00640449" w:rsidRPr="00640449" w:rsidTr="0008671C">
        <w:tc>
          <w:tcPr>
            <w:tcW w:w="1896" w:type="dxa"/>
            <w:shd w:val="clear" w:color="auto" w:fill="auto"/>
            <w:noWrap/>
            <w:hideMark/>
          </w:tcPr>
          <w:p w:rsidR="00674E9C" w:rsidRPr="00640449" w:rsidRDefault="00674E9C" w:rsidP="00497D2C">
            <w:pPr>
              <w:pStyle w:val="SingleTxtG"/>
              <w:suppressAutoHyphens w:val="0"/>
              <w:spacing w:before="40" w:after="40" w:line="220" w:lineRule="exact"/>
              <w:ind w:left="0" w:right="0"/>
              <w:jc w:val="left"/>
              <w:rPr>
                <w:sz w:val="18"/>
                <w:lang w:val="fr-FR"/>
              </w:rPr>
            </w:pPr>
            <w:r w:rsidRPr="00640449">
              <w:rPr>
                <w:sz w:val="18"/>
                <w:lang w:val="fr-FR"/>
              </w:rPr>
              <w:t>Suisse</w:t>
            </w:r>
          </w:p>
        </w:tc>
        <w:tc>
          <w:tcPr>
            <w:tcW w:w="1622" w:type="dxa"/>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21</w:t>
            </w:r>
          </w:p>
        </w:tc>
        <w:tc>
          <w:tcPr>
            <w:tcW w:w="1896"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France</w:t>
            </w:r>
          </w:p>
        </w:tc>
        <w:tc>
          <w:tcPr>
            <w:tcW w:w="1956"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26</w:t>
            </w:r>
          </w:p>
        </w:tc>
      </w:tr>
      <w:tr w:rsidR="00640449" w:rsidRPr="00640449" w:rsidTr="0008671C">
        <w:tc>
          <w:tcPr>
            <w:tcW w:w="1896" w:type="dxa"/>
            <w:shd w:val="clear" w:color="auto" w:fill="auto"/>
            <w:noWrap/>
            <w:hideMark/>
          </w:tcPr>
          <w:p w:rsidR="00674E9C" w:rsidRPr="00640449" w:rsidRDefault="00674E9C" w:rsidP="00497D2C">
            <w:pPr>
              <w:pStyle w:val="SingleTxtG"/>
              <w:suppressAutoHyphens w:val="0"/>
              <w:spacing w:before="40" w:after="40" w:line="220" w:lineRule="exact"/>
              <w:ind w:left="0" w:right="0"/>
              <w:jc w:val="left"/>
              <w:rPr>
                <w:sz w:val="18"/>
                <w:lang w:val="fr-FR"/>
              </w:rPr>
            </w:pPr>
            <w:r w:rsidRPr="00640449">
              <w:rPr>
                <w:sz w:val="18"/>
                <w:lang w:val="fr-FR"/>
              </w:rPr>
              <w:t>Belgique</w:t>
            </w:r>
          </w:p>
        </w:tc>
        <w:tc>
          <w:tcPr>
            <w:tcW w:w="1622" w:type="dxa"/>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19</w:t>
            </w:r>
          </w:p>
        </w:tc>
        <w:tc>
          <w:tcPr>
            <w:tcW w:w="1896"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Belgique</w:t>
            </w:r>
          </w:p>
        </w:tc>
        <w:tc>
          <w:tcPr>
            <w:tcW w:w="1956" w:type="dxa"/>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26</w:t>
            </w:r>
          </w:p>
        </w:tc>
      </w:tr>
      <w:tr w:rsidR="00640449" w:rsidRPr="00640449" w:rsidTr="009F2395">
        <w:tc>
          <w:tcPr>
            <w:tcW w:w="1896" w:type="dxa"/>
            <w:tcBorders>
              <w:bottom w:val="single" w:sz="4" w:space="0" w:color="auto"/>
            </w:tcBorders>
            <w:shd w:val="clear" w:color="auto" w:fill="auto"/>
            <w:noWrap/>
            <w:hideMark/>
          </w:tcPr>
          <w:p w:rsidR="00674E9C" w:rsidRPr="00640449" w:rsidRDefault="00210C34" w:rsidP="00497D2C">
            <w:pPr>
              <w:pStyle w:val="SingleTxtG"/>
              <w:suppressAutoHyphens w:val="0"/>
              <w:spacing w:before="40" w:after="40" w:line="220" w:lineRule="exact"/>
              <w:ind w:left="0" w:right="0"/>
              <w:jc w:val="left"/>
              <w:rPr>
                <w:sz w:val="18"/>
                <w:lang w:val="fr-FR"/>
              </w:rPr>
            </w:pPr>
            <w:r w:rsidRPr="00640449">
              <w:rPr>
                <w:sz w:val="18"/>
                <w:lang w:val="fr-FR"/>
              </w:rPr>
              <w:t>Autres</w:t>
            </w:r>
          </w:p>
        </w:tc>
        <w:tc>
          <w:tcPr>
            <w:tcW w:w="1622" w:type="dxa"/>
            <w:tcBorders>
              <w:bottom w:val="single" w:sz="4" w:space="0" w:color="auto"/>
            </w:tcBorders>
            <w:shd w:val="clear" w:color="auto" w:fill="auto"/>
            <w:noWrap/>
            <w:vAlign w:val="bottom"/>
            <w:hideMark/>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52</w:t>
            </w:r>
          </w:p>
        </w:tc>
        <w:tc>
          <w:tcPr>
            <w:tcW w:w="1896" w:type="dxa"/>
            <w:tcBorders>
              <w:bottom w:val="single" w:sz="4" w:space="0" w:color="auto"/>
            </w:tcBorders>
            <w:shd w:val="clear" w:color="auto" w:fill="auto"/>
            <w:vAlign w:val="bottom"/>
          </w:tcPr>
          <w:p w:rsidR="00674E9C" w:rsidRPr="00640449" w:rsidRDefault="00210C34" w:rsidP="00497D2C">
            <w:pPr>
              <w:pStyle w:val="SingleTxtG"/>
              <w:suppressAutoHyphens w:val="0"/>
              <w:spacing w:before="40" w:after="40" w:line="220" w:lineRule="exact"/>
              <w:ind w:left="0" w:right="0"/>
              <w:jc w:val="right"/>
              <w:rPr>
                <w:sz w:val="18"/>
                <w:lang w:val="fr-FR"/>
              </w:rPr>
            </w:pPr>
            <w:r w:rsidRPr="00640449">
              <w:rPr>
                <w:sz w:val="18"/>
                <w:lang w:val="fr-FR"/>
              </w:rPr>
              <w:t>Autres</w:t>
            </w:r>
          </w:p>
        </w:tc>
        <w:tc>
          <w:tcPr>
            <w:tcW w:w="1956" w:type="dxa"/>
            <w:tcBorders>
              <w:bottom w:val="single" w:sz="4" w:space="0" w:color="auto"/>
            </w:tcBorders>
            <w:shd w:val="clear" w:color="auto" w:fill="auto"/>
            <w:vAlign w:val="bottom"/>
          </w:tcPr>
          <w:p w:rsidR="00674E9C" w:rsidRPr="00640449" w:rsidRDefault="00674E9C" w:rsidP="00497D2C">
            <w:pPr>
              <w:pStyle w:val="SingleTxtG"/>
              <w:suppressAutoHyphens w:val="0"/>
              <w:spacing w:before="40" w:after="40" w:line="220" w:lineRule="exact"/>
              <w:ind w:left="0" w:right="0"/>
              <w:jc w:val="right"/>
              <w:rPr>
                <w:sz w:val="18"/>
                <w:lang w:val="fr-FR"/>
              </w:rPr>
            </w:pPr>
            <w:r w:rsidRPr="00640449">
              <w:rPr>
                <w:sz w:val="18"/>
                <w:lang w:val="fr-FR"/>
              </w:rPr>
              <w:t>79</w:t>
            </w:r>
          </w:p>
        </w:tc>
      </w:tr>
      <w:tr w:rsidR="00640449" w:rsidRPr="00640449" w:rsidTr="009F2395">
        <w:tc>
          <w:tcPr>
            <w:tcW w:w="1896" w:type="dxa"/>
            <w:tcBorders>
              <w:top w:val="single" w:sz="4" w:space="0" w:color="auto"/>
              <w:bottom w:val="single" w:sz="12" w:space="0" w:color="auto"/>
            </w:tcBorders>
            <w:shd w:val="clear" w:color="auto" w:fill="auto"/>
            <w:noWrap/>
          </w:tcPr>
          <w:p w:rsidR="00674E9C" w:rsidRPr="00640449" w:rsidRDefault="00674E9C" w:rsidP="009F2395">
            <w:pPr>
              <w:pStyle w:val="SingleTxtG"/>
              <w:suppressAutoHyphens w:val="0"/>
              <w:spacing w:before="80" w:after="80" w:line="220" w:lineRule="exact"/>
              <w:ind w:left="283" w:right="0"/>
              <w:jc w:val="left"/>
              <w:rPr>
                <w:b/>
                <w:bCs/>
                <w:sz w:val="18"/>
                <w:lang w:val="fr-FR"/>
              </w:rPr>
            </w:pPr>
            <w:r w:rsidRPr="00640449">
              <w:rPr>
                <w:b/>
                <w:bCs/>
                <w:sz w:val="18"/>
                <w:lang w:val="fr-FR"/>
              </w:rPr>
              <w:t>Total</w:t>
            </w:r>
          </w:p>
        </w:tc>
        <w:tc>
          <w:tcPr>
            <w:tcW w:w="1622" w:type="dxa"/>
            <w:tcBorders>
              <w:top w:val="single" w:sz="4" w:space="0" w:color="auto"/>
              <w:bottom w:val="single" w:sz="12" w:space="0" w:color="auto"/>
            </w:tcBorders>
            <w:shd w:val="clear" w:color="auto" w:fill="auto"/>
            <w:noWrap/>
            <w:vAlign w:val="bottom"/>
          </w:tcPr>
          <w:p w:rsidR="00674E9C" w:rsidRPr="00640449" w:rsidRDefault="00674E9C" w:rsidP="009F2395">
            <w:pPr>
              <w:pStyle w:val="SingleTxtG"/>
              <w:suppressAutoHyphens w:val="0"/>
              <w:spacing w:before="80" w:after="80" w:line="220" w:lineRule="exact"/>
              <w:ind w:left="0" w:right="0"/>
              <w:jc w:val="right"/>
              <w:rPr>
                <w:b/>
                <w:bCs/>
                <w:sz w:val="18"/>
                <w:lang w:val="fr-FR"/>
              </w:rPr>
            </w:pPr>
            <w:r w:rsidRPr="00640449">
              <w:rPr>
                <w:b/>
                <w:bCs/>
                <w:sz w:val="18"/>
                <w:lang w:val="fr-FR"/>
              </w:rPr>
              <w:t>291</w:t>
            </w:r>
          </w:p>
        </w:tc>
        <w:tc>
          <w:tcPr>
            <w:tcW w:w="1896" w:type="dxa"/>
            <w:tcBorders>
              <w:top w:val="single" w:sz="4" w:space="0" w:color="auto"/>
              <w:bottom w:val="single" w:sz="12" w:space="0" w:color="auto"/>
            </w:tcBorders>
            <w:shd w:val="clear" w:color="auto" w:fill="auto"/>
            <w:vAlign w:val="bottom"/>
          </w:tcPr>
          <w:p w:rsidR="00674E9C" w:rsidRPr="00640449" w:rsidRDefault="00674E9C" w:rsidP="009F2395">
            <w:pPr>
              <w:pStyle w:val="SingleTxtG"/>
              <w:suppressAutoHyphens w:val="0"/>
              <w:spacing w:before="80" w:after="80" w:line="220" w:lineRule="exact"/>
              <w:ind w:left="0" w:right="0"/>
              <w:jc w:val="right"/>
              <w:rPr>
                <w:b/>
                <w:bCs/>
                <w:sz w:val="18"/>
                <w:lang w:val="fr-FR"/>
              </w:rPr>
            </w:pPr>
            <w:r w:rsidRPr="00640449">
              <w:rPr>
                <w:b/>
                <w:bCs/>
                <w:sz w:val="18"/>
                <w:lang w:val="fr-FR"/>
              </w:rPr>
              <w:t>Total</w:t>
            </w:r>
          </w:p>
        </w:tc>
        <w:tc>
          <w:tcPr>
            <w:tcW w:w="1956" w:type="dxa"/>
            <w:tcBorders>
              <w:top w:val="single" w:sz="4" w:space="0" w:color="auto"/>
              <w:bottom w:val="single" w:sz="12" w:space="0" w:color="auto"/>
            </w:tcBorders>
            <w:shd w:val="clear" w:color="auto" w:fill="auto"/>
            <w:vAlign w:val="bottom"/>
          </w:tcPr>
          <w:p w:rsidR="00674E9C" w:rsidRPr="00640449" w:rsidRDefault="00674E9C" w:rsidP="009F2395">
            <w:pPr>
              <w:pStyle w:val="SingleTxtG"/>
              <w:suppressAutoHyphens w:val="0"/>
              <w:spacing w:before="80" w:after="80" w:line="220" w:lineRule="exact"/>
              <w:ind w:left="0" w:right="0"/>
              <w:jc w:val="right"/>
              <w:rPr>
                <w:b/>
                <w:sz w:val="18"/>
                <w:lang w:val="fr-FR"/>
              </w:rPr>
            </w:pPr>
            <w:r w:rsidRPr="00640449">
              <w:rPr>
                <w:b/>
                <w:sz w:val="18"/>
                <w:lang w:val="fr-FR"/>
              </w:rPr>
              <w:t>386</w:t>
            </w:r>
          </w:p>
        </w:tc>
      </w:tr>
    </w:tbl>
    <w:p w:rsidR="00A76014" w:rsidRPr="00640449" w:rsidRDefault="0008671C" w:rsidP="00A76014">
      <w:pPr>
        <w:pStyle w:val="H1G"/>
        <w:rPr>
          <w:lang w:val="fr-FR"/>
        </w:rPr>
      </w:pPr>
      <w:r w:rsidRPr="00640449">
        <w:tab/>
      </w:r>
      <w:r w:rsidR="00CF6D6A" w:rsidRPr="00640449">
        <w:t>N</w:t>
      </w:r>
      <w:r w:rsidR="00A76014" w:rsidRPr="00640449">
        <w:t>.</w:t>
      </w:r>
      <w:r w:rsidR="00A76014" w:rsidRPr="00640449">
        <w:tab/>
      </w:r>
      <w:r w:rsidR="00A76014" w:rsidRPr="00640449">
        <w:rPr>
          <w:lang w:val="fr-FR"/>
        </w:rPr>
        <w:t xml:space="preserve">Réponse à </w:t>
      </w:r>
      <w:r w:rsidR="00A76014" w:rsidRPr="00640449">
        <w:t>la</w:t>
      </w:r>
      <w:r w:rsidR="00A76014" w:rsidRPr="00640449">
        <w:rPr>
          <w:lang w:val="fr-FR"/>
        </w:rPr>
        <w:t xml:space="preserve"> question posée au paragraphe 5 </w:t>
      </w:r>
      <w:r w:rsidR="00CF6D6A" w:rsidRPr="00640449">
        <w:rPr>
          <w:lang w:val="fr-FR"/>
        </w:rPr>
        <w:t>(</w:t>
      </w:r>
      <w:r w:rsidR="00A76014" w:rsidRPr="00640449">
        <w:rPr>
          <w:lang w:val="fr-FR"/>
        </w:rPr>
        <w:t>e</w:t>
      </w:r>
      <w:r w:rsidR="00CF6D6A" w:rsidRPr="00640449">
        <w:rPr>
          <w:lang w:val="fr-FR"/>
        </w:rPr>
        <w:t>)</w:t>
      </w:r>
    </w:p>
    <w:p w:rsidR="005130E6" w:rsidRPr="00640449" w:rsidRDefault="001A7B42" w:rsidP="001A7B42">
      <w:pPr>
        <w:pStyle w:val="SingleTxtG"/>
        <w:rPr>
          <w:lang w:val="fr-FR"/>
        </w:rPr>
      </w:pPr>
      <w:r w:rsidRPr="00640449">
        <w:rPr>
          <w:lang w:val="fr-FR"/>
        </w:rPr>
        <w:t>74.</w:t>
      </w:r>
      <w:r w:rsidRPr="00640449">
        <w:rPr>
          <w:lang w:val="fr-FR"/>
        </w:rPr>
        <w:tab/>
      </w:r>
      <w:r w:rsidR="00674E9C" w:rsidRPr="00640449">
        <w:rPr>
          <w:lang w:val="fr-FR"/>
        </w:rPr>
        <w:t>La direction de l’immigration n’a pour l’instant pas de données à ce sujet mais se donnera les moyens pour pouvoir fournir des statistiques à ce sujet pour le prochain rapport au Comité.</w:t>
      </w:r>
    </w:p>
    <w:p w:rsidR="00A76014" w:rsidRPr="00640449" w:rsidRDefault="00CF6D6A" w:rsidP="00A76014">
      <w:pPr>
        <w:pStyle w:val="H1G"/>
        <w:rPr>
          <w:lang w:val="fr-FR"/>
        </w:rPr>
      </w:pPr>
      <w:bookmarkStart w:id="6" w:name="_Toc8396097"/>
      <w:r w:rsidRPr="00640449">
        <w:tab/>
        <w:t>O</w:t>
      </w:r>
      <w:r w:rsidR="00A76014" w:rsidRPr="00640449">
        <w:t>.</w:t>
      </w:r>
      <w:r w:rsidR="00A76014" w:rsidRPr="00640449">
        <w:tab/>
      </w:r>
      <w:r w:rsidR="00A76014" w:rsidRPr="00640449">
        <w:rPr>
          <w:lang w:val="fr-FR"/>
        </w:rPr>
        <w:t xml:space="preserve">Réponse à </w:t>
      </w:r>
      <w:r w:rsidR="00A76014" w:rsidRPr="00640449">
        <w:t>la</w:t>
      </w:r>
      <w:r w:rsidR="00A76014" w:rsidRPr="00640449">
        <w:rPr>
          <w:lang w:val="fr-FR"/>
        </w:rPr>
        <w:t xml:space="preserve"> question posée au paragraphe 6</w:t>
      </w:r>
      <w:r w:rsidR="008C30FA" w:rsidRPr="00640449">
        <w:rPr>
          <w:lang w:val="fr-FR"/>
        </w:rPr>
        <w:t xml:space="preserve"> </w:t>
      </w:r>
      <w:r w:rsidRPr="00640449">
        <w:rPr>
          <w:lang w:val="fr-FR"/>
        </w:rPr>
        <w:t>(</w:t>
      </w:r>
      <w:r w:rsidR="008C30FA" w:rsidRPr="00640449">
        <w:rPr>
          <w:lang w:val="fr-FR"/>
        </w:rPr>
        <w:t>a</w:t>
      </w:r>
      <w:r w:rsidRPr="00640449">
        <w:rPr>
          <w:lang w:val="fr-FR"/>
        </w:rPr>
        <w:t>)</w:t>
      </w:r>
    </w:p>
    <w:bookmarkEnd w:id="6"/>
    <w:p w:rsidR="00674E9C" w:rsidRPr="00640449" w:rsidRDefault="001A7B42" w:rsidP="001A7B42">
      <w:pPr>
        <w:pStyle w:val="SingleTxtG"/>
        <w:rPr>
          <w:lang w:val="fr-FR"/>
        </w:rPr>
      </w:pPr>
      <w:r w:rsidRPr="00640449">
        <w:rPr>
          <w:lang w:val="fr-FR"/>
        </w:rPr>
        <w:t>75.</w:t>
      </w:r>
      <w:r w:rsidRPr="00640449">
        <w:rPr>
          <w:lang w:val="fr-FR"/>
        </w:rPr>
        <w:tab/>
      </w:r>
      <w:r w:rsidR="00674E9C" w:rsidRPr="00640449">
        <w:rPr>
          <w:lang w:val="fr-FR"/>
        </w:rPr>
        <w:t xml:space="preserve">L’article 17, paragraphe 1, de la loi du 18 décembre 2015, dispose que le </w:t>
      </w:r>
      <w:r w:rsidR="00674E9C" w:rsidRPr="00640449">
        <w:rPr>
          <w:i/>
          <w:lang w:val="fr-FR"/>
        </w:rPr>
        <w:t>« </w:t>
      </w:r>
      <w:r w:rsidR="00674E9C" w:rsidRPr="00640449">
        <w:rPr>
          <w:lang w:val="fr-FR"/>
        </w:rPr>
        <w:t>demandeur a le droit de se faire assister sur demande, et dans les procédures de recours de se faire représenter, à titre gratuit par un avocat désigné par le Bâtonnier de l’Ordre des avocats dans les conditions et selon les modalités prévues à l’article 37-1 de la loi modifiée du 10 août 1991 sur la profession d’avocat, sauf si le recours du demandeur est considéré comme n’ayant pas de perspectives tangibles de succès</w:t>
      </w:r>
      <w:r w:rsidR="00674E9C" w:rsidRPr="00640449">
        <w:rPr>
          <w:i/>
          <w:lang w:val="fr-FR"/>
        </w:rPr>
        <w:t>. »</w:t>
      </w:r>
    </w:p>
    <w:p w:rsidR="00674E9C" w:rsidRPr="00640449" w:rsidRDefault="001A7B42" w:rsidP="001A7B42">
      <w:pPr>
        <w:pStyle w:val="SingleTxtG"/>
        <w:rPr>
          <w:lang w:val="fr-FR"/>
        </w:rPr>
      </w:pPr>
      <w:r w:rsidRPr="00640449">
        <w:rPr>
          <w:lang w:val="fr-FR"/>
        </w:rPr>
        <w:t>76.</w:t>
      </w:r>
      <w:r w:rsidRPr="00640449">
        <w:rPr>
          <w:lang w:val="fr-FR"/>
        </w:rPr>
        <w:tab/>
      </w:r>
      <w:r w:rsidR="00674E9C" w:rsidRPr="00640449">
        <w:rPr>
          <w:lang w:val="fr-FR"/>
        </w:rPr>
        <w:t xml:space="preserve">L’article 37-1, de la loi précitée, accorde le bénéfice de l’assistance judiciaire à tout ressortissant étranger dont les ressources sont insuffisantes, ceci dans les limites de l’article 17 de la loi du 18 décembre 2015. </w:t>
      </w:r>
    </w:p>
    <w:p w:rsidR="00674E9C" w:rsidRPr="00D20CB5" w:rsidRDefault="001A7B42" w:rsidP="001A7B42">
      <w:pPr>
        <w:pStyle w:val="SingleTxtG"/>
        <w:rPr>
          <w:iCs/>
          <w:lang w:val="fr-FR"/>
        </w:rPr>
      </w:pPr>
      <w:r w:rsidRPr="00640449">
        <w:rPr>
          <w:lang w:val="fr-FR"/>
        </w:rPr>
        <w:t>77.</w:t>
      </w:r>
      <w:r w:rsidRPr="00640449">
        <w:rPr>
          <w:lang w:val="fr-FR"/>
        </w:rPr>
        <w:tab/>
      </w:r>
      <w:r w:rsidR="00674E9C" w:rsidRPr="00640449">
        <w:rPr>
          <w:lang w:val="fr-FR"/>
        </w:rPr>
        <w:t>L’article 37-1 fournit des précisions quant aux critères d’appréciation</w:t>
      </w:r>
      <w:r w:rsidR="00F675F5">
        <w:rPr>
          <w:lang w:val="fr-FR"/>
        </w:rPr>
        <w:t> </w:t>
      </w:r>
      <w:r w:rsidR="00674E9C" w:rsidRPr="00640449">
        <w:rPr>
          <w:lang w:val="fr-FR"/>
        </w:rPr>
        <w:t xml:space="preserve">: </w:t>
      </w:r>
      <w:r w:rsidR="00674E9C" w:rsidRPr="00D20CB5">
        <w:rPr>
          <w:iCs/>
          <w:lang w:val="fr-FR"/>
        </w:rPr>
        <w:t>«</w:t>
      </w:r>
      <w:r w:rsidR="00F675F5">
        <w:rPr>
          <w:lang w:val="fr-FR"/>
        </w:rPr>
        <w:t> </w:t>
      </w:r>
      <w:r w:rsidR="00674E9C" w:rsidRPr="00640449">
        <w:rPr>
          <w:lang w:val="fr-FR"/>
        </w:rPr>
        <w:t>L’insuffisance des ressources des personnes physiques demandant à bénéficier de l’assistance judiciaire s’apprécie par rapport au revenu brut intégral et à la fortune du requérant ainsi que des personnes qui vivent avec lui en communauté domestique, suivant les dispositions des articles 9 et 10 de la loi du 28 juillet 2018 relative au revenu d'inclusion sociale et dans la limite des montants fixés à l’article 5 de la loi précitée. Toutefois, les</w:t>
      </w:r>
      <w:r w:rsidR="00674E9C" w:rsidRPr="00640449">
        <w:rPr>
          <w:i/>
          <w:lang w:val="fr-FR"/>
        </w:rPr>
        <w:t xml:space="preserve"> </w:t>
      </w:r>
      <w:r w:rsidR="00674E9C" w:rsidRPr="00640449">
        <w:rPr>
          <w:lang w:val="fr-FR"/>
        </w:rPr>
        <w:t>ressources des personnes vivant en communauté domestique avec le requérant ne sont pas prises en considération, si la procédure oppose entre eux les conjoints ou les personnes vivant habituellement au même foyer, ou s’il existe entre eux, eu égard à l’objet du litige, une divergence d’intérêts rendant nécessaire une appréciation distincte des ressources</w:t>
      </w:r>
      <w:r w:rsidR="00674E9C" w:rsidRPr="00640449">
        <w:rPr>
          <w:i/>
          <w:lang w:val="fr-FR"/>
        </w:rPr>
        <w:t>. </w:t>
      </w:r>
      <w:r w:rsidR="00674E9C" w:rsidRPr="00D20CB5">
        <w:rPr>
          <w:iCs/>
          <w:lang w:val="fr-FR"/>
        </w:rPr>
        <w:t>»</w:t>
      </w:r>
    </w:p>
    <w:p w:rsidR="00674E9C" w:rsidRPr="00640449" w:rsidRDefault="001A7B42" w:rsidP="001A7B42">
      <w:pPr>
        <w:pStyle w:val="SingleTxtG"/>
        <w:rPr>
          <w:lang w:val="fr-FR"/>
        </w:rPr>
      </w:pPr>
      <w:r w:rsidRPr="00640449">
        <w:rPr>
          <w:lang w:val="fr-FR"/>
        </w:rPr>
        <w:t>78.</w:t>
      </w:r>
      <w:r w:rsidRPr="00640449">
        <w:rPr>
          <w:lang w:val="fr-FR"/>
        </w:rPr>
        <w:tab/>
      </w:r>
      <w:r w:rsidR="00674E9C" w:rsidRPr="00640449">
        <w:rPr>
          <w:lang w:val="fr-FR"/>
        </w:rPr>
        <w:t>L’autorité compétente pour octroyer l’assistance judiciaire est le Bâtonnier de l’Ordre des avocats, ou le membre du Conseil de l’ordre, tel que prévu à l’article 37-1, paragraphe 5, de la loi modifié</w:t>
      </w:r>
      <w:r w:rsidR="00FB4202" w:rsidRPr="00640449">
        <w:rPr>
          <w:lang w:val="fr-FR"/>
        </w:rPr>
        <w:t>e sur la profession de l’avocat</w:t>
      </w:r>
      <w:r w:rsidR="00F675F5">
        <w:rPr>
          <w:lang w:val="fr-FR"/>
        </w:rPr>
        <w:t> </w:t>
      </w:r>
      <w:r w:rsidR="00674E9C" w:rsidRPr="00640449">
        <w:rPr>
          <w:lang w:val="fr-FR"/>
        </w:rPr>
        <w:t xml:space="preserve">: </w:t>
      </w:r>
    </w:p>
    <w:p w:rsidR="00674E9C" w:rsidRPr="00640449" w:rsidRDefault="00674E9C" w:rsidP="00D84A2C">
      <w:pPr>
        <w:pStyle w:val="SingleTxtG"/>
        <w:spacing w:after="0"/>
        <w:ind w:left="1701"/>
        <w:rPr>
          <w:lang w:val="fr-FR"/>
        </w:rPr>
      </w:pPr>
      <w:r w:rsidRPr="00640449">
        <w:rPr>
          <w:lang w:val="fr-FR"/>
        </w:rPr>
        <w:lastRenderedPageBreak/>
        <w:t xml:space="preserve">« (5) (L. 21 juin 2007) Le Bâtonnier de l’Ordre des avocats ou le membre du Conseil de l’ordre par lui délégué à ces fins de l’arrondissement du lieu de résidence du requérant décide de l’attribution du bénéfice de l’assistance judiciaire. </w:t>
      </w:r>
      <w:r w:rsidR="00FD7E28">
        <w:rPr>
          <w:lang w:val="fr-FR"/>
        </w:rPr>
        <w:t>À</w:t>
      </w:r>
      <w:r w:rsidRPr="00640449">
        <w:rPr>
          <w:lang w:val="fr-FR"/>
        </w:rPr>
        <w:t xml:space="preserve"> défaut de résidence, le Bâtonnier du Conseil de l’ordre de Luxembourg ou le membre du Conseil de l’ordre par lui délégué à ces fins est compétent.</w:t>
      </w:r>
    </w:p>
    <w:p w:rsidR="00674E9C" w:rsidRPr="00640449" w:rsidRDefault="00674E9C" w:rsidP="00D84A2C">
      <w:pPr>
        <w:pStyle w:val="SingleTxtG"/>
        <w:spacing w:after="0"/>
        <w:ind w:left="1701"/>
        <w:rPr>
          <w:lang w:val="fr-FR"/>
        </w:rPr>
      </w:pPr>
      <w:r w:rsidRPr="00640449">
        <w:rPr>
          <w:lang w:val="fr-FR"/>
        </w:rPr>
        <w:t>Les personnes dont les ressources sont insuffisantes s’adressent au Bâtonnier soit à ses audiences, soit par écrit.</w:t>
      </w:r>
    </w:p>
    <w:p w:rsidR="00674E9C" w:rsidRPr="00640449" w:rsidRDefault="00674E9C" w:rsidP="00D84A2C">
      <w:pPr>
        <w:pStyle w:val="SingleTxtG"/>
        <w:spacing w:after="0"/>
        <w:ind w:left="1701"/>
        <w:rPr>
          <w:lang w:val="fr-FR"/>
        </w:rPr>
      </w:pPr>
      <w:r w:rsidRPr="00640449">
        <w:rPr>
          <w:lang w:val="fr-FR"/>
        </w:rPr>
        <w:t>Si une personne retenue par la police affirme être en droit de bénéficier de l’assistance judiciaire et en fait la demande, l’avocat qui l’assiste durant sa rétention transmet la demande au Bâtonnier.</w:t>
      </w:r>
    </w:p>
    <w:p w:rsidR="00674E9C" w:rsidRPr="00640449" w:rsidRDefault="00674E9C" w:rsidP="00D84A2C">
      <w:pPr>
        <w:pStyle w:val="SingleTxtG"/>
        <w:spacing w:after="0"/>
        <w:ind w:left="1701"/>
        <w:rPr>
          <w:lang w:val="fr-FR"/>
        </w:rPr>
      </w:pPr>
      <w:r w:rsidRPr="00640449">
        <w:rPr>
          <w:lang w:val="fr-FR"/>
        </w:rPr>
        <w:t>Si le juge d’instruction désigne un défenseur au prévenu qui affirme être en droit de bénéficier de l’assistance judiciaire et qui en fait la demande, le juge d’instruction transmet la demande au Bâtonnier.</w:t>
      </w:r>
    </w:p>
    <w:p w:rsidR="00674E9C" w:rsidRPr="00640449" w:rsidRDefault="00674E9C" w:rsidP="00D84A2C">
      <w:pPr>
        <w:pStyle w:val="SingleTxtG"/>
        <w:spacing w:after="0"/>
        <w:ind w:left="1701"/>
        <w:rPr>
          <w:lang w:val="fr-FR"/>
        </w:rPr>
      </w:pPr>
      <w:r w:rsidRPr="00640449">
        <w:rPr>
          <w:lang w:val="fr-FR"/>
        </w:rPr>
        <w:t>Le Bâtonnier vérifie l’insuffisance des ressources et, si elle est établie, admet le requérant à l’assistance judiciaire et commet l’avocat que le requérant a choisi librement ou, à défaut de choix ou lorsque le Bâtonnier estime le choix inapproprié, l’avocat qu’il désigne. L’avocat est, sauf empêchement ou conflit d’intérêt, tenu d’assumer le mandat qui lui a été ainsi conféré. »</w:t>
      </w:r>
      <w:r w:rsidR="005B3589">
        <w:rPr>
          <w:lang w:val="fr-FR"/>
        </w:rPr>
        <w:t>.</w:t>
      </w:r>
    </w:p>
    <w:p w:rsidR="008C30FA" w:rsidRPr="00640449" w:rsidRDefault="0008671C" w:rsidP="008C30FA">
      <w:pPr>
        <w:pStyle w:val="H1G"/>
        <w:rPr>
          <w:lang w:val="fr-FR"/>
        </w:rPr>
      </w:pPr>
      <w:r w:rsidRPr="00640449">
        <w:tab/>
      </w:r>
      <w:r w:rsidR="00CF6D6A" w:rsidRPr="00640449">
        <w:t>P</w:t>
      </w:r>
      <w:r w:rsidR="008C30FA" w:rsidRPr="00640449">
        <w:t>.</w:t>
      </w:r>
      <w:r w:rsidR="008C30FA" w:rsidRPr="00640449">
        <w:tab/>
      </w:r>
      <w:r w:rsidR="008C30FA" w:rsidRPr="00640449">
        <w:rPr>
          <w:lang w:val="fr-FR"/>
        </w:rPr>
        <w:t xml:space="preserve">Réponse à </w:t>
      </w:r>
      <w:r w:rsidR="008C30FA" w:rsidRPr="00640449">
        <w:t>la</w:t>
      </w:r>
      <w:r w:rsidR="008C30FA" w:rsidRPr="00640449">
        <w:rPr>
          <w:lang w:val="fr-FR"/>
        </w:rPr>
        <w:t xml:space="preserve"> question posée au paragraphe 6</w:t>
      </w:r>
      <w:r w:rsidR="00CF6D6A" w:rsidRPr="00640449">
        <w:rPr>
          <w:lang w:val="fr-FR"/>
        </w:rPr>
        <w:t xml:space="preserve"> (</w:t>
      </w:r>
      <w:r w:rsidR="008C30FA" w:rsidRPr="00640449">
        <w:rPr>
          <w:lang w:val="fr-FR"/>
        </w:rPr>
        <w:t>b</w:t>
      </w:r>
      <w:r w:rsidR="00CF6D6A" w:rsidRPr="00640449">
        <w:rPr>
          <w:lang w:val="fr-FR"/>
        </w:rPr>
        <w:t>)</w:t>
      </w:r>
    </w:p>
    <w:p w:rsidR="009F2395" w:rsidRPr="00640449" w:rsidRDefault="001A7B42" w:rsidP="001A7B42">
      <w:pPr>
        <w:pStyle w:val="SingleTxtG"/>
        <w:rPr>
          <w:i/>
          <w:lang w:val="fr-FR"/>
        </w:rPr>
      </w:pPr>
      <w:r w:rsidRPr="00640449">
        <w:rPr>
          <w:lang w:val="fr-FR"/>
        </w:rPr>
        <w:t>79.</w:t>
      </w:r>
      <w:r w:rsidRPr="00640449">
        <w:rPr>
          <w:lang w:val="fr-FR"/>
        </w:rPr>
        <w:tab/>
      </w:r>
      <w:r w:rsidR="00674E9C" w:rsidRPr="00640449">
        <w:rPr>
          <w:lang w:val="fr-FR"/>
        </w:rPr>
        <w:t>L’article 35 de la loi du 18 décembre 2015</w:t>
      </w:r>
      <w:r w:rsidR="00D84A2C" w:rsidRPr="00640449">
        <w:rPr>
          <w:lang w:val="fr-FR"/>
        </w:rPr>
        <w:t xml:space="preserve"> prévoit</w:t>
      </w:r>
      <w:r w:rsidR="00F675F5">
        <w:rPr>
          <w:lang w:val="fr-FR"/>
        </w:rPr>
        <w:t> </w:t>
      </w:r>
      <w:r w:rsidR="00674E9C" w:rsidRPr="00640449">
        <w:rPr>
          <w:lang w:val="fr-FR"/>
        </w:rPr>
        <w:t>:</w:t>
      </w:r>
    </w:p>
    <w:p w:rsidR="00674E9C" w:rsidRPr="00640449" w:rsidRDefault="00674E9C" w:rsidP="009F2395">
      <w:pPr>
        <w:pStyle w:val="SingleTxtG"/>
        <w:ind w:left="1701"/>
      </w:pPr>
      <w:r w:rsidRPr="00640449">
        <w:t>« contre les décisions de refus ou de retrait de la demande de protection internationale et contre l’ordre de quitter le territoire, un recours en réformation est ouvert devant le tribunal administratif. (…) Contre la décision du tribunal administratif, appel peut être interjeté devant la Cour administrative. L’appel doit être interjeté dans le délai d’un mois à partir de la notification par les soins du greffe. (…)</w:t>
      </w:r>
    </w:p>
    <w:p w:rsidR="00674E9C" w:rsidRPr="00640449" w:rsidRDefault="00674E9C" w:rsidP="009F2395">
      <w:pPr>
        <w:pStyle w:val="SingleTxtG"/>
        <w:ind w:left="1701"/>
        <w:rPr>
          <w:lang w:val="fr-FR"/>
        </w:rPr>
      </w:pPr>
      <w:r w:rsidRPr="00640449">
        <w:t>(2) Contre la décision du ministre de statuer sur le bien-fondé de la demande de protection internationale dans le cadre d’une procédure accélérée et de la décision de refus de la demande de protection internationale prise dans ce cadre, de même que contre l’ordre de quitter le territoire, un recours en réformation est ouvert devant le tribunal administratif. Le recours contre ces trois décisions doit faire l’objet d’une seule requête introductive, sous peine d’irrecevabilité du recours séparé. Il doit être introduit dans un délai de quinze jours à partir de la notification. (…)</w:t>
      </w:r>
      <w:r w:rsidRPr="00640449">
        <w:rPr>
          <w:lang w:val="fr-FR"/>
        </w:rPr>
        <w:t xml:space="preserve"> La décision du président de chambre ou du juge qui le remplace n’est pas susceptible d’appel</w:t>
      </w:r>
      <w:r w:rsidRPr="00640449">
        <w:rPr>
          <w:i/>
          <w:lang w:val="fr-FR"/>
        </w:rPr>
        <w:t>.</w:t>
      </w:r>
      <w:r w:rsidR="00640449">
        <w:rPr>
          <w:i/>
          <w:lang w:val="fr-FR"/>
        </w:rPr>
        <w:t> </w:t>
      </w:r>
      <w:r w:rsidRPr="00D20CB5">
        <w:rPr>
          <w:iCs/>
          <w:lang w:val="fr-FR"/>
        </w:rPr>
        <w:t>»</w:t>
      </w:r>
      <w:r w:rsidR="00640449" w:rsidRPr="00D20CB5">
        <w:rPr>
          <w:iCs/>
          <w:lang w:val="fr-FR"/>
        </w:rPr>
        <w:t>.</w:t>
      </w:r>
    </w:p>
    <w:p w:rsidR="00674E9C" w:rsidRPr="00640449" w:rsidRDefault="001A7B42" w:rsidP="001A7B42">
      <w:pPr>
        <w:pStyle w:val="SingleTxtG"/>
        <w:rPr>
          <w:lang w:val="fr-FR"/>
        </w:rPr>
      </w:pPr>
      <w:r w:rsidRPr="00640449">
        <w:rPr>
          <w:lang w:val="fr-FR"/>
        </w:rPr>
        <w:t>80.</w:t>
      </w:r>
      <w:r w:rsidRPr="00640449">
        <w:rPr>
          <w:lang w:val="fr-FR"/>
        </w:rPr>
        <w:tab/>
      </w:r>
      <w:r w:rsidR="00674E9C" w:rsidRPr="00640449">
        <w:rPr>
          <w:lang w:val="fr-FR"/>
        </w:rPr>
        <w:t>L’article 36 (1) précise que les recours prévus à l’article 35 paragraphe 1 et 2 ont un effet suspensif. Le ministre autorise le demandeur à rester sur le territoire jusqu’à l’expiration des délais fixés pour l’exercice des recours et, s’il constate que ce droit a été exercé dans le délai prévu, dans l’attente de l’issue du recours.</w:t>
      </w:r>
    </w:p>
    <w:p w:rsidR="00674E9C" w:rsidRPr="00640449" w:rsidRDefault="001A7B42" w:rsidP="001A7B42">
      <w:pPr>
        <w:pStyle w:val="SingleTxtG"/>
        <w:rPr>
          <w:lang w:val="fr-FR"/>
        </w:rPr>
      </w:pPr>
      <w:r w:rsidRPr="00640449">
        <w:rPr>
          <w:lang w:val="fr-FR"/>
        </w:rPr>
        <w:t>81.</w:t>
      </w:r>
      <w:r w:rsidRPr="00640449">
        <w:rPr>
          <w:lang w:val="fr-FR"/>
        </w:rPr>
        <w:tab/>
      </w:r>
      <w:r w:rsidR="00674E9C" w:rsidRPr="00640449">
        <w:rPr>
          <w:lang w:val="fr-FR"/>
        </w:rPr>
        <w:t>Il convient d’ajouter que le demandeur qui tombe sous l’effet de l’article 36(2) s’agissant des recours prévus à l’article 35, paragraphe(3), à l’exception du recours contre une décision d’irrecevabilité prise en vertu de l’article 28, paragraphe (2) ne bénéficiant pas d’un recours avec effet suspensif, peut déposer une requête en référé devant le président du tribunal administratif afin d’obtenir le sursis à l’exécution ou une mesure de sauvegarde et la décision du ministre n’est pas exécutée tant que l’ordonnance de référé n’a pas été prononcée.</w:t>
      </w:r>
    </w:p>
    <w:p w:rsidR="008C30FA" w:rsidRPr="00640449" w:rsidRDefault="0008671C" w:rsidP="008C30FA">
      <w:pPr>
        <w:pStyle w:val="H1G"/>
        <w:rPr>
          <w:lang w:val="fr-FR"/>
        </w:rPr>
      </w:pPr>
      <w:r w:rsidRPr="00640449">
        <w:tab/>
      </w:r>
      <w:r w:rsidR="00CF6D6A" w:rsidRPr="00640449">
        <w:t>Q</w:t>
      </w:r>
      <w:r w:rsidR="008C30FA" w:rsidRPr="00640449">
        <w:t>.</w:t>
      </w:r>
      <w:r w:rsidR="008C30FA" w:rsidRPr="00640449">
        <w:tab/>
      </w:r>
      <w:r w:rsidR="008C30FA" w:rsidRPr="00640449">
        <w:rPr>
          <w:lang w:val="fr-FR"/>
        </w:rPr>
        <w:t xml:space="preserve">Réponse à </w:t>
      </w:r>
      <w:r w:rsidR="008C30FA" w:rsidRPr="00640449">
        <w:t>la</w:t>
      </w:r>
      <w:r w:rsidR="008C30FA" w:rsidRPr="00640449">
        <w:rPr>
          <w:lang w:val="fr-FR"/>
        </w:rPr>
        <w:t xml:space="preserve"> question posée au paragraphe 6</w:t>
      </w:r>
      <w:r w:rsidR="001A7B42" w:rsidRPr="00640449">
        <w:rPr>
          <w:lang w:val="fr-FR"/>
        </w:rPr>
        <w:t xml:space="preserve"> (</w:t>
      </w:r>
      <w:r w:rsidR="008C30FA" w:rsidRPr="00640449">
        <w:rPr>
          <w:lang w:val="fr-FR"/>
        </w:rPr>
        <w:t>c</w:t>
      </w:r>
      <w:r w:rsidR="001A7B42" w:rsidRPr="00640449">
        <w:rPr>
          <w:lang w:val="fr-FR"/>
        </w:rPr>
        <w:t>)</w:t>
      </w:r>
    </w:p>
    <w:p w:rsidR="00674E9C" w:rsidRPr="00640449" w:rsidRDefault="001A7B42" w:rsidP="001A7B42">
      <w:pPr>
        <w:pStyle w:val="SingleTxtG"/>
        <w:rPr>
          <w:b/>
          <w:lang w:val="fr-FR"/>
        </w:rPr>
      </w:pPr>
      <w:r w:rsidRPr="00640449">
        <w:rPr>
          <w:lang w:val="fr-FR"/>
        </w:rPr>
        <w:t>82.</w:t>
      </w:r>
      <w:r w:rsidRPr="00640449">
        <w:rPr>
          <w:lang w:val="fr-FR"/>
        </w:rPr>
        <w:tab/>
      </w:r>
      <w:r w:rsidR="00674E9C" w:rsidRPr="00640449">
        <w:rPr>
          <w:lang w:val="fr-FR"/>
        </w:rPr>
        <w:t xml:space="preserve">Des mesures ont été prises pour qu’un accès simple et rapide à la procédure de protection internationale ait lieu. En effet, les personnes souhaitant présenter une demande de protection internationale sont centralisées dans un foyer pour primo arrivants. Chaque matin, une navette amène tous les primo arrivants arrivés la veille à la Direction de l’Immigration et la présentation, l’enregistrement et l’introduction de la demande se font en une seule journée. Concrètement, si la personne exprime le souhait de présenter une </w:t>
      </w:r>
      <w:r w:rsidR="00674E9C" w:rsidRPr="00640449">
        <w:rPr>
          <w:lang w:val="fr-FR"/>
        </w:rPr>
        <w:lastRenderedPageBreak/>
        <w:t xml:space="preserve">demande, celle-ci est directement enregistrée sur place avec l’aide d’un interprète et l’ouverture du dossier avec l’introduction de la demande se fait directement après que le demandeur ait rempli le formulaire à cet effet. </w:t>
      </w:r>
    </w:p>
    <w:p w:rsidR="00674E9C" w:rsidRPr="00640449" w:rsidRDefault="001A7B42" w:rsidP="001A7B42">
      <w:pPr>
        <w:pStyle w:val="SingleTxtG"/>
        <w:rPr>
          <w:lang w:val="fr-FR"/>
        </w:rPr>
      </w:pPr>
      <w:r w:rsidRPr="00640449">
        <w:rPr>
          <w:lang w:val="fr-FR"/>
        </w:rPr>
        <w:t>83.</w:t>
      </w:r>
      <w:r w:rsidRPr="00640449">
        <w:rPr>
          <w:lang w:val="fr-FR"/>
        </w:rPr>
        <w:tab/>
      </w:r>
      <w:r w:rsidR="00674E9C" w:rsidRPr="00640449">
        <w:rPr>
          <w:lang w:val="fr-FR"/>
        </w:rPr>
        <w:t>Deux exceptions en raison desquelles les trois étapes ne peuvent pas to</w:t>
      </w:r>
      <w:r w:rsidR="00FB4202" w:rsidRPr="00640449">
        <w:rPr>
          <w:lang w:val="fr-FR"/>
        </w:rPr>
        <w:t>ujours se faire en un seul jour</w:t>
      </w:r>
      <w:r w:rsidR="00F675F5">
        <w:rPr>
          <w:lang w:val="fr-FR"/>
        </w:rPr>
        <w:t> </w:t>
      </w:r>
      <w:r w:rsidR="00674E9C" w:rsidRPr="00640449">
        <w:rPr>
          <w:lang w:val="fr-FR"/>
        </w:rPr>
        <w:t>:</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08671C" w:rsidRPr="00640449">
        <w:rPr>
          <w:lang w:val="fr-FR"/>
        </w:rPr>
        <w:t>L</w:t>
      </w:r>
      <w:r w:rsidR="00674E9C" w:rsidRPr="00640449">
        <w:rPr>
          <w:lang w:val="fr-FR"/>
        </w:rPr>
        <w:t>orsque l’interprète correspondant à la langue de la personne n’est pas présent. Dans ce cas, un rendez-vous est fixé et une convocation est remise au demandeur pour qu’il/elle revienne le lendemain ou un des jours suivants en fonction de la disponibilité de l’interpr</w:t>
      </w:r>
      <w:r w:rsidR="00FB4202" w:rsidRPr="00640449">
        <w:rPr>
          <w:lang w:val="fr-FR"/>
        </w:rPr>
        <w:t>ète</w:t>
      </w:r>
      <w:r w:rsidR="00640449">
        <w:rPr>
          <w:lang w:val="fr-FR"/>
        </w:rPr>
        <w:t> ;</w:t>
      </w:r>
      <w:r w:rsidR="00674E9C" w:rsidRPr="00640449">
        <w:rPr>
          <w:lang w:val="fr-FR"/>
        </w:rPr>
        <w:t xml:space="preserve"> </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08671C" w:rsidRPr="00640449">
        <w:rPr>
          <w:lang w:val="fr-FR"/>
        </w:rPr>
        <w:t>P</w:t>
      </w:r>
      <w:r w:rsidR="00674E9C" w:rsidRPr="00640449">
        <w:rPr>
          <w:lang w:val="fr-FR"/>
        </w:rPr>
        <w:t xml:space="preserve">our les mineurs non accompagnés pour lesquels la présentation et l’enregistrement de la demande ont lieu, mais il convient d’attendre la nomination d’un administrateur ad hoc pour pouvoir procéder à l’introduction de la demande, étant donné que le mineur n’a pas la capacité juridique pour signer et donc pour introduire sa demande </w:t>
      </w:r>
      <w:r w:rsidR="0008671C" w:rsidRPr="00640449">
        <w:rPr>
          <w:lang w:val="fr-FR"/>
        </w:rPr>
        <w:t xml:space="preserve">sans représentant légal. La juge aux affaires familiales est saisie directement par la direction de l’immigration et elle nomme dans </w:t>
      </w:r>
      <w:r w:rsidR="00674E9C" w:rsidRPr="00640449">
        <w:rPr>
          <w:lang w:val="fr-FR"/>
        </w:rPr>
        <w:t>les jours qui suivent, au plus tard endéans 2 semaines, un administrateur ad hoc. Entre l’enregistrement de la demande du mineur et l’introduction de celle-ci, le mineur est logé dans un foyer pour mineurs, foyer adapté à son âge.</w:t>
      </w:r>
    </w:p>
    <w:p w:rsidR="00674E9C" w:rsidRPr="00640449" w:rsidRDefault="001A7B42" w:rsidP="001A7B42">
      <w:pPr>
        <w:pStyle w:val="SingleTxtG"/>
        <w:rPr>
          <w:lang w:val="fr-FR"/>
        </w:rPr>
      </w:pPr>
      <w:r w:rsidRPr="00640449">
        <w:rPr>
          <w:lang w:val="fr-FR"/>
        </w:rPr>
        <w:t>84.</w:t>
      </w:r>
      <w:r w:rsidRPr="00640449">
        <w:rPr>
          <w:lang w:val="fr-FR"/>
        </w:rPr>
        <w:tab/>
      </w:r>
      <w:r w:rsidR="00674E9C" w:rsidRPr="00640449">
        <w:rPr>
          <w:lang w:val="fr-FR"/>
        </w:rPr>
        <w:t xml:space="preserve">Quant au demandeur adulte qui doit revenir dans les jours qui suivent pour que l’interprète soit présent, il est logé en attendant dans le foyer pour les primo arrivants. </w:t>
      </w:r>
    </w:p>
    <w:p w:rsidR="00674E9C" w:rsidRPr="00640449" w:rsidRDefault="001A7B42" w:rsidP="001A7B42">
      <w:pPr>
        <w:pStyle w:val="SingleTxtG"/>
        <w:rPr>
          <w:lang w:val="fr-FR"/>
        </w:rPr>
      </w:pPr>
      <w:r w:rsidRPr="00640449">
        <w:rPr>
          <w:lang w:val="fr-FR"/>
        </w:rPr>
        <w:t>85.</w:t>
      </w:r>
      <w:r w:rsidRPr="00640449">
        <w:rPr>
          <w:lang w:val="fr-FR"/>
        </w:rPr>
        <w:tab/>
      </w:r>
      <w:r w:rsidR="00674E9C" w:rsidRPr="00640449">
        <w:rPr>
          <w:lang w:val="fr-FR"/>
        </w:rPr>
        <w:t xml:space="preserve">La Direction de l’Immigration a mis en place un pool d’interprètes maîtrisant les langues principales des demandeurs, présent tous les jours à la Direction, permettant de procéder aux trois étapes en une seule fois. </w:t>
      </w:r>
    </w:p>
    <w:p w:rsidR="008C30FA" w:rsidRPr="00640449" w:rsidRDefault="006763D3" w:rsidP="008C30FA">
      <w:pPr>
        <w:pStyle w:val="H1G"/>
        <w:rPr>
          <w:lang w:val="fr-FR"/>
        </w:rPr>
      </w:pPr>
      <w:r w:rsidRPr="00640449">
        <w:tab/>
      </w:r>
      <w:r w:rsidR="00CF6D6A" w:rsidRPr="00640449">
        <w:t>R</w:t>
      </w:r>
      <w:r w:rsidR="008C30FA" w:rsidRPr="00640449">
        <w:t>.</w:t>
      </w:r>
      <w:r w:rsidR="008C30FA" w:rsidRPr="00640449">
        <w:tab/>
      </w:r>
      <w:r w:rsidR="008C30FA" w:rsidRPr="00640449">
        <w:rPr>
          <w:lang w:val="fr-FR"/>
        </w:rPr>
        <w:t xml:space="preserve">Réponse à </w:t>
      </w:r>
      <w:r w:rsidR="008C30FA" w:rsidRPr="00640449">
        <w:t>la</w:t>
      </w:r>
      <w:r w:rsidR="008C30FA" w:rsidRPr="00640449">
        <w:rPr>
          <w:lang w:val="fr-FR"/>
        </w:rPr>
        <w:t xml:space="preserve"> question posée au paragraphe 6 </w:t>
      </w:r>
      <w:r w:rsidR="009F2395" w:rsidRPr="00640449">
        <w:rPr>
          <w:lang w:val="fr-FR"/>
        </w:rPr>
        <w:t>(</w:t>
      </w:r>
      <w:r w:rsidR="008C30FA" w:rsidRPr="00640449">
        <w:rPr>
          <w:lang w:val="fr-FR"/>
        </w:rPr>
        <w:t>d</w:t>
      </w:r>
      <w:r w:rsidR="009F2395" w:rsidRPr="00640449">
        <w:rPr>
          <w:lang w:val="fr-FR"/>
        </w:rPr>
        <w:t>)</w:t>
      </w:r>
    </w:p>
    <w:p w:rsidR="00674E9C" w:rsidRPr="00640449" w:rsidRDefault="001A7B42" w:rsidP="001A7B42">
      <w:pPr>
        <w:pStyle w:val="SingleTxtG"/>
        <w:rPr>
          <w:lang w:val="fr-FR"/>
        </w:rPr>
      </w:pPr>
      <w:r w:rsidRPr="00640449">
        <w:rPr>
          <w:lang w:val="fr-FR"/>
        </w:rPr>
        <w:t>86.</w:t>
      </w:r>
      <w:r w:rsidRPr="00640449">
        <w:rPr>
          <w:lang w:val="fr-FR"/>
        </w:rPr>
        <w:tab/>
      </w:r>
      <w:r w:rsidR="00674E9C" w:rsidRPr="00640449">
        <w:rPr>
          <w:lang w:val="fr-FR"/>
        </w:rPr>
        <w:t xml:space="preserve">L’évaluation des risques se fait déjà dans le cadre de l’analyse de la demande de protection internationale, le pays de destination étant dans cette hypothèse le pays d’origine. </w:t>
      </w:r>
    </w:p>
    <w:p w:rsidR="005130E6" w:rsidRPr="00640449" w:rsidRDefault="001A7B42" w:rsidP="001A7B42">
      <w:pPr>
        <w:pStyle w:val="SingleTxtG"/>
        <w:rPr>
          <w:lang w:val="fr-FR"/>
        </w:rPr>
      </w:pPr>
      <w:r w:rsidRPr="00640449">
        <w:rPr>
          <w:lang w:val="fr-FR"/>
        </w:rPr>
        <w:t>87.</w:t>
      </w:r>
      <w:r w:rsidRPr="00640449">
        <w:rPr>
          <w:lang w:val="fr-FR"/>
        </w:rPr>
        <w:tab/>
      </w:r>
      <w:r w:rsidR="00674E9C" w:rsidRPr="00640449">
        <w:rPr>
          <w:lang w:val="fr-FR"/>
        </w:rPr>
        <w:t>En ce qui concerne les personnes en séjour irrégulier, l’article 129 prévoit un report de la procédure d’éloignement du concerné si celui-ci établit que sa vie ou sa liberté sont gravement menacées dans le pays de destination où qu’il y est exposé à des traitements contraires à l’article 3 de la CEDH ou à des traitements au sens des articles 1</w:t>
      </w:r>
      <w:r w:rsidR="00674E9C" w:rsidRPr="00640449">
        <w:rPr>
          <w:vertAlign w:val="superscript"/>
          <w:lang w:val="fr-FR"/>
        </w:rPr>
        <w:t>er</w:t>
      </w:r>
      <w:r w:rsidR="00674E9C" w:rsidRPr="00640449">
        <w:rPr>
          <w:lang w:val="fr-FR"/>
        </w:rPr>
        <w:t xml:space="preserve"> et 3 de la Convention contre la torture et autres peines ou traitements cruels, inhumains et dégradants. Il en va de même pour la personne à transférer dans le cadre du règlement Dublin III. Dans le contexte des transferts Dublin, d’après la jurisprudence nationale et</w:t>
      </w:r>
      <w:r w:rsidR="005B3589">
        <w:rPr>
          <w:lang w:val="fr-FR"/>
        </w:rPr>
        <w:t xml:space="preserve"> européenne, il </w:t>
      </w:r>
      <w:r w:rsidR="00674E9C" w:rsidRPr="00640449">
        <w:rPr>
          <w:lang w:val="fr-FR"/>
        </w:rPr>
        <w:t xml:space="preserve">n’appartient pas aux </w:t>
      </w:r>
      <w:r w:rsidR="00FD7E28">
        <w:rPr>
          <w:lang w:val="fr-FR"/>
        </w:rPr>
        <w:t>État</w:t>
      </w:r>
      <w:r w:rsidR="00674E9C" w:rsidRPr="00640449">
        <w:rPr>
          <w:lang w:val="fr-FR"/>
        </w:rPr>
        <w:t>s membres procédant au transfert de s’immiscer dans les procédures de l’</w:t>
      </w:r>
      <w:r w:rsidR="00FD7E28">
        <w:rPr>
          <w:lang w:val="fr-FR"/>
        </w:rPr>
        <w:t>État</w:t>
      </w:r>
      <w:r w:rsidR="00674E9C" w:rsidRPr="00640449">
        <w:rPr>
          <w:lang w:val="fr-FR"/>
        </w:rPr>
        <w:t xml:space="preserve"> dans l</w:t>
      </w:r>
      <w:r w:rsidR="008C30FA" w:rsidRPr="00640449">
        <w:rPr>
          <w:lang w:val="fr-FR"/>
        </w:rPr>
        <w:t>equel le concerné est transféré</w:t>
      </w:r>
      <w:r w:rsidR="00FD7E28">
        <w:rPr>
          <w:lang w:val="fr-FR"/>
        </w:rPr>
        <w:t> </w:t>
      </w:r>
      <w:r w:rsidR="00674E9C" w:rsidRPr="00640449">
        <w:rPr>
          <w:lang w:val="fr-FR"/>
        </w:rPr>
        <w:t xml:space="preserve">: ces derniers sont des </w:t>
      </w:r>
      <w:r w:rsidR="00FD7E28">
        <w:rPr>
          <w:lang w:val="fr-FR"/>
        </w:rPr>
        <w:t>État</w:t>
      </w:r>
      <w:r w:rsidR="00674E9C" w:rsidRPr="00640449">
        <w:rPr>
          <w:lang w:val="fr-FR"/>
        </w:rPr>
        <w:t>s ayant ratifié les conventions en matière des droits de l’homme précitées et sont censés les appliquer.</w:t>
      </w:r>
    </w:p>
    <w:p w:rsidR="008C30FA" w:rsidRPr="00640449" w:rsidRDefault="008C30FA" w:rsidP="008C30FA">
      <w:pPr>
        <w:pStyle w:val="H1G"/>
        <w:rPr>
          <w:lang w:val="fr-FR"/>
        </w:rPr>
      </w:pPr>
      <w:bookmarkStart w:id="7" w:name="_Toc8396099"/>
      <w:r w:rsidRPr="00640449">
        <w:tab/>
      </w:r>
      <w:r w:rsidR="00CF6D6A" w:rsidRPr="00640449">
        <w:t>S</w:t>
      </w:r>
      <w:r w:rsidRPr="00640449">
        <w:t>.</w:t>
      </w:r>
      <w:r w:rsidRPr="00640449">
        <w:tab/>
      </w:r>
      <w:r w:rsidRPr="00640449">
        <w:rPr>
          <w:lang w:val="fr-FR"/>
        </w:rPr>
        <w:t xml:space="preserve">Réponse à </w:t>
      </w:r>
      <w:r w:rsidRPr="00640449">
        <w:t>la</w:t>
      </w:r>
      <w:r w:rsidRPr="00640449">
        <w:rPr>
          <w:lang w:val="fr-FR"/>
        </w:rPr>
        <w:t xml:space="preserve"> question posée au paragraphe 7</w:t>
      </w:r>
    </w:p>
    <w:bookmarkEnd w:id="7"/>
    <w:p w:rsidR="005130E6" w:rsidRPr="00640449" w:rsidRDefault="001A7B42" w:rsidP="001A7B42">
      <w:pPr>
        <w:pStyle w:val="SingleTxtG"/>
      </w:pPr>
      <w:r w:rsidRPr="00640449">
        <w:t>88.</w:t>
      </w:r>
      <w:r w:rsidRPr="00640449">
        <w:tab/>
      </w:r>
      <w:r w:rsidR="00674E9C" w:rsidRPr="00640449">
        <w:t>Le Luxembourg n’a rejeté aucune demande en ce sens.</w:t>
      </w:r>
    </w:p>
    <w:p w:rsidR="008C30FA" w:rsidRPr="00640449" w:rsidRDefault="00CF6D6A" w:rsidP="008C30FA">
      <w:pPr>
        <w:pStyle w:val="H1G"/>
        <w:rPr>
          <w:lang w:val="fr-FR"/>
        </w:rPr>
      </w:pPr>
      <w:bookmarkStart w:id="8" w:name="_Toc8396101"/>
      <w:r w:rsidRPr="00640449">
        <w:tab/>
        <w:t>T</w:t>
      </w:r>
      <w:r w:rsidR="008C30FA" w:rsidRPr="00640449">
        <w:t>.</w:t>
      </w:r>
      <w:r w:rsidR="008C30FA" w:rsidRPr="00640449">
        <w:tab/>
      </w:r>
      <w:r w:rsidR="008C30FA" w:rsidRPr="00640449">
        <w:rPr>
          <w:lang w:val="fr-FR"/>
        </w:rPr>
        <w:t xml:space="preserve">Réponse à </w:t>
      </w:r>
      <w:r w:rsidR="008C30FA" w:rsidRPr="00640449">
        <w:t>la</w:t>
      </w:r>
      <w:r w:rsidR="008C30FA" w:rsidRPr="00640449">
        <w:rPr>
          <w:lang w:val="fr-FR"/>
        </w:rPr>
        <w:t xml:space="preserve"> question posée au paragraphe 8</w:t>
      </w:r>
    </w:p>
    <w:bookmarkEnd w:id="8"/>
    <w:p w:rsidR="00674E9C" w:rsidRPr="00640449" w:rsidRDefault="001A7B42" w:rsidP="001A7B42">
      <w:pPr>
        <w:pStyle w:val="SingleTxtG"/>
        <w:rPr>
          <w:b/>
          <w:u w:val="single"/>
          <w:lang w:val="fr-FR"/>
        </w:rPr>
      </w:pPr>
      <w:r w:rsidRPr="00640449">
        <w:rPr>
          <w:lang w:val="fr-FR"/>
        </w:rPr>
        <w:t>89.</w:t>
      </w:r>
      <w:r w:rsidRPr="00640449">
        <w:rPr>
          <w:lang w:val="fr-FR"/>
        </w:rPr>
        <w:tab/>
      </w:r>
      <w:r w:rsidR="00674E9C" w:rsidRPr="00640449">
        <w:rPr>
          <w:lang w:val="fr-FR"/>
        </w:rPr>
        <w:t xml:space="preserve">Des prescriptions de service internes de la Police décrivent en détail les obligations qui incombent aux policiers dans le cadre de </w:t>
      </w:r>
      <w:r w:rsidR="00674E9C" w:rsidRPr="00640449">
        <w:t>mesures</w:t>
      </w:r>
      <w:r w:rsidR="00674E9C" w:rsidRPr="00640449">
        <w:rPr>
          <w:lang w:val="fr-FR"/>
        </w:rPr>
        <w:t xml:space="preserve"> privatives de liberté. Ces prescriptions stipulent notamment que tout mauvais traitement envers une personne détenue entraîne des poursuites pénales et disciplinaires.</w:t>
      </w:r>
    </w:p>
    <w:p w:rsidR="00674E9C" w:rsidRPr="00640449" w:rsidRDefault="006763D3" w:rsidP="009F2395">
      <w:pPr>
        <w:pStyle w:val="H23G"/>
        <w:rPr>
          <w:lang w:val="fr-LU"/>
        </w:rPr>
      </w:pPr>
      <w:r w:rsidRPr="00640449">
        <w:rPr>
          <w:lang w:val="fr-LU"/>
        </w:rPr>
        <w:lastRenderedPageBreak/>
        <w:tab/>
      </w:r>
      <w:r w:rsidRPr="00640449">
        <w:rPr>
          <w:lang w:val="fr-LU"/>
        </w:rPr>
        <w:tab/>
      </w:r>
      <w:r w:rsidR="00674E9C" w:rsidRPr="00640449">
        <w:rPr>
          <w:lang w:val="fr-LU"/>
        </w:rPr>
        <w:t>Formati</w:t>
      </w:r>
      <w:r w:rsidR="00012DE3" w:rsidRPr="00640449">
        <w:rPr>
          <w:lang w:val="fr-LU"/>
        </w:rPr>
        <w:t>on de base des policiers</w:t>
      </w:r>
    </w:p>
    <w:p w:rsidR="00674E9C" w:rsidRPr="00640449" w:rsidRDefault="001A7B42" w:rsidP="001A7B42">
      <w:pPr>
        <w:pStyle w:val="SingleTxtG"/>
        <w:rPr>
          <w:lang w:val="fr-FR"/>
        </w:rPr>
      </w:pPr>
      <w:r w:rsidRPr="00640449">
        <w:rPr>
          <w:lang w:val="fr-FR"/>
        </w:rPr>
        <w:t>90.</w:t>
      </w:r>
      <w:r w:rsidRPr="00640449">
        <w:rPr>
          <w:lang w:val="fr-FR"/>
        </w:rPr>
        <w:tab/>
      </w:r>
      <w:r w:rsidR="00674E9C" w:rsidRPr="00640449">
        <w:rPr>
          <w:lang w:val="fr-FR"/>
        </w:rPr>
        <w:t>La formation de base des fonctionnaires stagiaires du cadre policier B1, C1 &amp; C2 a été réformée en 2018. Le module dénommé « Police et société » fait toujours partie de la matière enseignée. Il comprend principalement l’étude des relations de la Police avec le citoyen tant au niveau légal et réglementaire (droits de l’homme et libertés individuelles), qu’au niveau de la déontologie et de la sensibilité interculturelle. Actuellement, le module comprend notamment les cours suivants</w:t>
      </w:r>
      <w:r w:rsidR="00F675F5">
        <w:rPr>
          <w:lang w:val="fr-FR"/>
        </w:rPr>
        <w:t> </w:t>
      </w:r>
      <w:r w:rsidR="00674E9C" w:rsidRPr="00640449">
        <w:rPr>
          <w:lang w:val="fr-FR"/>
        </w:rPr>
        <w:t>:</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Droits de l’homme (10 heures)</w:t>
      </w:r>
      <w:r w:rsidR="00640449">
        <w:rPr>
          <w:lang w:val="fr-FR"/>
        </w:rPr>
        <w:t> ;</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Constitution et libertés publiques (18 heures)</w:t>
      </w:r>
      <w:r w:rsidR="00640449">
        <w:rPr>
          <w:lang w:val="fr-FR"/>
        </w:rPr>
        <w:t> ;</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Principes constitutionnels, droits fondamentaux et libertés publiques (12 heures)</w:t>
      </w:r>
      <w:r w:rsidR="00640449">
        <w:rPr>
          <w:lang w:val="fr-FR"/>
        </w:rPr>
        <w:t> ;</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Droits et devoirs</w:t>
      </w:r>
      <w:r w:rsidR="009F2395" w:rsidRPr="00640449">
        <w:rPr>
          <w:lang w:val="fr-FR"/>
        </w:rPr>
        <w:t xml:space="preserve"> des fonctionnaires (14 heures)</w:t>
      </w:r>
      <w:r w:rsidR="00640449">
        <w:rPr>
          <w:lang w:val="fr-FR"/>
        </w:rPr>
        <w:t> ;</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Déontologie policière et lutte contre les extrémismes/fanatismes (14 heures)</w:t>
      </w:r>
      <w:r w:rsidR="009F2395" w:rsidRPr="00640449">
        <w:rPr>
          <w:lang w:val="fr-FR"/>
        </w:rPr>
        <w:t>.</w:t>
      </w:r>
    </w:p>
    <w:p w:rsidR="00674E9C" w:rsidRPr="00640449" w:rsidRDefault="001A7B42" w:rsidP="001A7B42">
      <w:pPr>
        <w:pStyle w:val="SingleTxtG"/>
        <w:rPr>
          <w:lang w:val="fr-FR"/>
        </w:rPr>
      </w:pPr>
      <w:r w:rsidRPr="00640449">
        <w:rPr>
          <w:lang w:val="fr-FR"/>
        </w:rPr>
        <w:t>91.</w:t>
      </w:r>
      <w:r w:rsidRPr="00640449">
        <w:rPr>
          <w:lang w:val="fr-FR"/>
        </w:rPr>
        <w:tab/>
      </w:r>
      <w:r w:rsidR="00674E9C" w:rsidRPr="00640449">
        <w:rPr>
          <w:lang w:val="fr-LU"/>
        </w:rPr>
        <w:t>La formation de base comporte par ailleurs des cours de procédure pénale, des cours consacrés aux techniques d’audition, au transport et au traitement des personnes privées de liberté et à la gestion de conflit.</w:t>
      </w:r>
    </w:p>
    <w:p w:rsidR="00674E9C" w:rsidRPr="00640449" w:rsidRDefault="001A7B42" w:rsidP="001A7B42">
      <w:pPr>
        <w:pStyle w:val="SingleTxtG"/>
        <w:rPr>
          <w:lang w:val="fr-FR"/>
        </w:rPr>
      </w:pPr>
      <w:r w:rsidRPr="00640449">
        <w:rPr>
          <w:lang w:val="fr-FR"/>
        </w:rPr>
        <w:t>92.</w:t>
      </w:r>
      <w:r w:rsidRPr="00640449">
        <w:rPr>
          <w:lang w:val="fr-FR"/>
        </w:rPr>
        <w:tab/>
      </w:r>
      <w:r w:rsidR="00674E9C" w:rsidRPr="00640449">
        <w:rPr>
          <w:lang w:val="fr-FR"/>
        </w:rPr>
        <w:t>Afin de sensibiliser les stagiaires fonctionnaires policiers aux droits des femmes et des enfants, et afin de poursuivre les stratégies de la lutte contre la prostitution, l’exploitation sexuelle des enfants, etc., les cours suivants sont dispensés à l’école de police</w:t>
      </w:r>
      <w:r w:rsidR="00F675F5">
        <w:rPr>
          <w:lang w:val="fr-FR"/>
        </w:rPr>
        <w:t> </w:t>
      </w:r>
      <w:r w:rsidR="00674E9C" w:rsidRPr="00640449">
        <w:rPr>
          <w:lang w:val="fr-FR"/>
        </w:rPr>
        <w:t>:</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Un cours de 12 heures en matière d</w:t>
      </w:r>
      <w:r w:rsidR="009F2395" w:rsidRPr="00640449">
        <w:rPr>
          <w:lang w:val="fr-FR"/>
        </w:rPr>
        <w:t>e « protection de la jeunesse »</w:t>
      </w:r>
      <w:r w:rsidR="00640449">
        <w:rPr>
          <w:lang w:val="fr-FR"/>
        </w:rPr>
        <w:t> ;</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Un cours de 14 heures en matière de « violences domestiques » qui comprend une intervention du Ministère de l’Egalité entre les femmes et les hommes</w:t>
      </w:r>
      <w:r w:rsidR="00640449">
        <w:rPr>
          <w:lang w:val="fr-FR"/>
        </w:rPr>
        <w:t> ;</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Des cours de droit pénal traitant des diverses infractions en la matière (racisme, discrimination, infractions sexuelles, etc.)</w:t>
      </w:r>
      <w:r w:rsidR="00640449">
        <w:rPr>
          <w:lang w:val="fr-FR"/>
        </w:rPr>
        <w:t> ;</w:t>
      </w:r>
    </w:p>
    <w:p w:rsidR="005130E6"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Une conférence de l’ORK (</w:t>
      </w:r>
      <w:proofErr w:type="spellStart"/>
      <w:r w:rsidR="00674E9C" w:rsidRPr="00640449">
        <w:rPr>
          <w:lang w:val="fr-FR"/>
        </w:rPr>
        <w:t>Ombuds</w:t>
      </w:r>
      <w:proofErr w:type="spellEnd"/>
      <w:r w:rsidR="00674E9C" w:rsidRPr="00640449">
        <w:rPr>
          <w:lang w:val="fr-FR"/>
        </w:rPr>
        <w:t xml:space="preserve">-Comité </w:t>
      </w:r>
      <w:proofErr w:type="spellStart"/>
      <w:r w:rsidR="00674E9C" w:rsidRPr="00640449">
        <w:rPr>
          <w:lang w:val="fr-FR"/>
        </w:rPr>
        <w:t>fir</w:t>
      </w:r>
      <w:proofErr w:type="spellEnd"/>
      <w:r w:rsidR="00674E9C" w:rsidRPr="00640449">
        <w:rPr>
          <w:lang w:val="fr-FR"/>
        </w:rPr>
        <w:t xml:space="preserve"> d’</w:t>
      </w:r>
      <w:proofErr w:type="spellStart"/>
      <w:r w:rsidR="00674E9C" w:rsidRPr="00640449">
        <w:rPr>
          <w:lang w:val="fr-FR"/>
        </w:rPr>
        <w:t>Rechter</w:t>
      </w:r>
      <w:proofErr w:type="spellEnd"/>
      <w:r w:rsidR="00674E9C" w:rsidRPr="00640449">
        <w:rPr>
          <w:lang w:val="fr-FR"/>
        </w:rPr>
        <w:t xml:space="preserve"> </w:t>
      </w:r>
      <w:proofErr w:type="spellStart"/>
      <w:r w:rsidR="00674E9C" w:rsidRPr="00640449">
        <w:rPr>
          <w:lang w:val="fr-FR"/>
        </w:rPr>
        <w:t>vum</w:t>
      </w:r>
      <w:proofErr w:type="spellEnd"/>
      <w:r w:rsidR="00674E9C" w:rsidRPr="00640449">
        <w:rPr>
          <w:lang w:val="fr-FR"/>
        </w:rPr>
        <w:t xml:space="preserve"> </w:t>
      </w:r>
      <w:proofErr w:type="spellStart"/>
      <w:r w:rsidR="00674E9C" w:rsidRPr="00640449">
        <w:rPr>
          <w:lang w:val="fr-FR"/>
        </w:rPr>
        <w:t>Kand</w:t>
      </w:r>
      <w:proofErr w:type="spellEnd"/>
      <w:r w:rsidR="00674E9C" w:rsidRPr="00640449">
        <w:rPr>
          <w:lang w:val="fr-FR"/>
        </w:rPr>
        <w:t>) dans le cadre du cours « droits de l’Homme ».</w:t>
      </w:r>
    </w:p>
    <w:p w:rsidR="00674E9C" w:rsidRPr="00640449" w:rsidRDefault="006763D3" w:rsidP="009F2395">
      <w:pPr>
        <w:pStyle w:val="H23G"/>
        <w:rPr>
          <w:lang w:val="fr-LU"/>
        </w:rPr>
      </w:pPr>
      <w:r w:rsidRPr="00640449">
        <w:rPr>
          <w:lang w:val="fr-LU"/>
        </w:rPr>
        <w:tab/>
      </w:r>
      <w:r w:rsidRPr="00640449">
        <w:rPr>
          <w:lang w:val="fr-LU"/>
        </w:rPr>
        <w:tab/>
      </w:r>
      <w:r w:rsidR="00674E9C" w:rsidRPr="00640449">
        <w:rPr>
          <w:lang w:val="fr-LU"/>
        </w:rPr>
        <w:t>F</w:t>
      </w:r>
      <w:r w:rsidR="00D84A2C" w:rsidRPr="00640449">
        <w:rPr>
          <w:lang w:val="fr-LU"/>
        </w:rPr>
        <w:t>ormation continue des policiers</w:t>
      </w:r>
    </w:p>
    <w:p w:rsidR="00674E9C" w:rsidRPr="00640449" w:rsidRDefault="001A7B42" w:rsidP="001A7B42">
      <w:pPr>
        <w:pStyle w:val="SingleTxtG"/>
        <w:rPr>
          <w:lang w:val="fr-LU"/>
        </w:rPr>
      </w:pPr>
      <w:r w:rsidRPr="00640449">
        <w:rPr>
          <w:lang w:val="fr-LU"/>
        </w:rPr>
        <w:t>93.</w:t>
      </w:r>
      <w:r w:rsidRPr="00640449">
        <w:rPr>
          <w:lang w:val="fr-LU"/>
        </w:rPr>
        <w:tab/>
      </w:r>
      <w:r w:rsidR="00674E9C" w:rsidRPr="00640449">
        <w:rPr>
          <w:lang w:val="fr-FR"/>
        </w:rPr>
        <w:t>La</w:t>
      </w:r>
      <w:r w:rsidR="00674E9C" w:rsidRPr="00640449">
        <w:rPr>
          <w:lang w:val="fr-LU"/>
        </w:rPr>
        <w:t xml:space="preserve"> formation continue vise à mettre à jour et à compléter les connaissances professionnelles et le savoir-faire du policier. Chaque policier suit une formation continue adaptée à ses besoins spécifiques. </w:t>
      </w:r>
    </w:p>
    <w:p w:rsidR="00674E9C" w:rsidRPr="00640449" w:rsidRDefault="001A7B42" w:rsidP="001A7B42">
      <w:pPr>
        <w:pStyle w:val="SingleTxtG"/>
        <w:rPr>
          <w:iCs/>
          <w:lang w:val="fr-FR"/>
        </w:rPr>
      </w:pPr>
      <w:r w:rsidRPr="00640449">
        <w:rPr>
          <w:iCs/>
          <w:lang w:val="fr-FR"/>
        </w:rPr>
        <w:t>94.</w:t>
      </w:r>
      <w:r w:rsidRPr="00640449">
        <w:rPr>
          <w:iCs/>
          <w:lang w:val="fr-FR"/>
        </w:rPr>
        <w:tab/>
      </w:r>
      <w:r w:rsidR="00674E9C" w:rsidRPr="00640449">
        <w:rPr>
          <w:iCs/>
          <w:lang w:val="fr-FR"/>
        </w:rPr>
        <w:t xml:space="preserve">Il y a lieu de mentionner que les policiers chargés de l’exécution des mesures d’éloignement par voie aérienne suivent une formation spécifique supplémentaire de quatre heures visant à </w:t>
      </w:r>
      <w:r w:rsidR="006763D3" w:rsidRPr="00640449">
        <w:rPr>
          <w:iCs/>
          <w:lang w:val="fr-FR"/>
        </w:rPr>
        <w:t>les sensibiliser à la nécessité</w:t>
      </w:r>
      <w:r w:rsidR="00F675F5">
        <w:rPr>
          <w:iCs/>
          <w:lang w:val="fr-FR"/>
        </w:rPr>
        <w:t> </w:t>
      </w:r>
      <w:r w:rsidR="00674E9C" w:rsidRPr="00640449">
        <w:rPr>
          <w:iCs/>
          <w:lang w:val="fr-FR"/>
        </w:rPr>
        <w:t>:</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De veiller au respect, à la dignité et à l’intégrité de la personne s</w:t>
      </w:r>
      <w:r w:rsidR="006763D3" w:rsidRPr="00640449">
        <w:rPr>
          <w:lang w:val="fr-FR"/>
        </w:rPr>
        <w:t>oumise à une fouille corporelle</w:t>
      </w:r>
      <w:r w:rsidR="00640449">
        <w:rPr>
          <w:lang w:val="fr-FR"/>
        </w:rPr>
        <w:t> ;</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De veiller au respect de la dignité de la personne à éloigner pendant toute la dur</w:t>
      </w:r>
      <w:r w:rsidR="006763D3" w:rsidRPr="00640449">
        <w:rPr>
          <w:lang w:val="fr-FR"/>
        </w:rPr>
        <w:t>ée de l’opération d’éloignement</w:t>
      </w:r>
      <w:r w:rsidR="00640449">
        <w:rPr>
          <w:lang w:val="fr-FR"/>
        </w:rPr>
        <w:t> ;</w:t>
      </w:r>
    </w:p>
    <w:p w:rsidR="005130E6"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De veiller à ce que le menu proposé lors du vol soit compatible avec les convictions religieuses de la personne.</w:t>
      </w:r>
    </w:p>
    <w:p w:rsidR="00674E9C" w:rsidRPr="00640449" w:rsidRDefault="006763D3" w:rsidP="009F2395">
      <w:pPr>
        <w:pStyle w:val="H23G"/>
        <w:rPr>
          <w:lang w:val="fr-FR"/>
        </w:rPr>
      </w:pPr>
      <w:r w:rsidRPr="00640449">
        <w:rPr>
          <w:lang w:val="fr-FR"/>
        </w:rPr>
        <w:tab/>
      </w:r>
      <w:r w:rsidRPr="00640449">
        <w:rPr>
          <w:lang w:val="fr-FR"/>
        </w:rPr>
        <w:tab/>
      </w:r>
      <w:r w:rsidR="00674E9C" w:rsidRPr="00640449">
        <w:rPr>
          <w:lang w:val="fr-FR"/>
        </w:rPr>
        <w:t>Rôle de l’Inspection générale de la Police</w:t>
      </w:r>
    </w:p>
    <w:p w:rsidR="00674E9C" w:rsidRPr="00640449" w:rsidRDefault="001A7B42" w:rsidP="001A7B42">
      <w:pPr>
        <w:pStyle w:val="SingleTxtG"/>
        <w:rPr>
          <w:iCs/>
          <w:lang w:val="fr-FR"/>
        </w:rPr>
      </w:pPr>
      <w:r w:rsidRPr="00640449">
        <w:rPr>
          <w:iCs/>
          <w:lang w:val="fr-FR"/>
        </w:rPr>
        <w:t>95.</w:t>
      </w:r>
      <w:r w:rsidRPr="00640449">
        <w:rPr>
          <w:iCs/>
          <w:lang w:val="fr-FR"/>
        </w:rPr>
        <w:tab/>
      </w:r>
      <w:r w:rsidR="00674E9C" w:rsidRPr="00640449">
        <w:rPr>
          <w:iCs/>
          <w:lang w:val="fr-FR"/>
        </w:rPr>
        <w:t xml:space="preserve">L’Inspection générale de la Police (IGP) procède à des contrôles réguliers des lieux de détention et rétention policières au niveau national. </w:t>
      </w:r>
    </w:p>
    <w:p w:rsidR="005130E6" w:rsidRPr="00640449" w:rsidRDefault="001A7B42" w:rsidP="001A7B42">
      <w:pPr>
        <w:pStyle w:val="SingleTxtG"/>
        <w:rPr>
          <w:lang w:val="fr-LU"/>
        </w:rPr>
      </w:pPr>
      <w:r w:rsidRPr="00640449">
        <w:rPr>
          <w:lang w:val="fr-LU"/>
        </w:rPr>
        <w:t>96.</w:t>
      </w:r>
      <w:r w:rsidRPr="00640449">
        <w:rPr>
          <w:lang w:val="fr-LU"/>
        </w:rPr>
        <w:tab/>
      </w:r>
      <w:r w:rsidR="00674E9C" w:rsidRPr="00640449">
        <w:rPr>
          <w:iCs/>
          <w:lang w:val="fr-FR"/>
        </w:rPr>
        <w:t>Elle traite les réclamations et plaintes relatives à un éventuel traitement inhumain ou de torture</w:t>
      </w:r>
      <w:r w:rsidR="00674E9C" w:rsidRPr="00640449">
        <w:rPr>
          <w:lang w:val="fr-LU"/>
        </w:rPr>
        <w:t xml:space="preserve"> par un policier.</w:t>
      </w:r>
    </w:p>
    <w:p w:rsidR="00674E9C" w:rsidRPr="00640449" w:rsidRDefault="006763D3" w:rsidP="009F2395">
      <w:pPr>
        <w:pStyle w:val="H23G"/>
        <w:rPr>
          <w:lang w:val="fr-LU"/>
        </w:rPr>
      </w:pPr>
      <w:r w:rsidRPr="00640449">
        <w:rPr>
          <w:lang w:val="fr-LU"/>
        </w:rPr>
        <w:lastRenderedPageBreak/>
        <w:tab/>
      </w:r>
      <w:r w:rsidRPr="00640449">
        <w:rPr>
          <w:lang w:val="fr-LU"/>
        </w:rPr>
        <w:tab/>
      </w:r>
      <w:r w:rsidR="00674E9C" w:rsidRPr="00640449">
        <w:rPr>
          <w:lang w:val="fr-LU"/>
        </w:rPr>
        <w:t>Identification des victimes de la traite</w:t>
      </w:r>
    </w:p>
    <w:p w:rsidR="00674E9C" w:rsidRPr="00640449" w:rsidRDefault="001A7B42" w:rsidP="001A7B42">
      <w:pPr>
        <w:pStyle w:val="SingleTxtG"/>
        <w:rPr>
          <w:iCs/>
          <w:lang w:val="fr-FR"/>
        </w:rPr>
      </w:pPr>
      <w:r w:rsidRPr="00640449">
        <w:rPr>
          <w:iCs/>
          <w:lang w:val="fr-FR"/>
        </w:rPr>
        <w:t>97.</w:t>
      </w:r>
      <w:r w:rsidRPr="00640449">
        <w:rPr>
          <w:iCs/>
          <w:lang w:val="fr-FR"/>
        </w:rPr>
        <w:tab/>
      </w:r>
      <w:r w:rsidR="00674E9C" w:rsidRPr="00640449">
        <w:rPr>
          <w:iCs/>
          <w:lang w:val="fr-FR"/>
        </w:rPr>
        <w:t>Le personnel de la Police, spécialisé dans la prévention et la lutte contre la traite, suit un cours spécifique. Le cours porte sur le cadre légal, le mode opératoire, les actions à mettre en œuvre par la Police, l’identification des victimes, ainsi que le traitement des victimes (accueil, information, accompagnement etc.).</w:t>
      </w:r>
    </w:p>
    <w:p w:rsidR="005130E6" w:rsidRPr="00640449" w:rsidRDefault="001A7B42" w:rsidP="001A7B42">
      <w:pPr>
        <w:pStyle w:val="SingleTxtG"/>
        <w:rPr>
          <w:lang w:val="fr-FR"/>
        </w:rPr>
      </w:pPr>
      <w:r w:rsidRPr="00640449">
        <w:rPr>
          <w:lang w:val="fr-FR"/>
        </w:rPr>
        <w:t>98.</w:t>
      </w:r>
      <w:r w:rsidRPr="00640449">
        <w:rPr>
          <w:lang w:val="fr-FR"/>
        </w:rPr>
        <w:tab/>
      </w:r>
      <w:r w:rsidR="00674E9C" w:rsidRPr="00640449">
        <w:rPr>
          <w:iCs/>
          <w:lang w:val="fr-FR"/>
        </w:rPr>
        <w:t>Des cours</w:t>
      </w:r>
      <w:r w:rsidR="00674E9C" w:rsidRPr="00640449">
        <w:rPr>
          <w:lang w:val="fr-FR"/>
        </w:rPr>
        <w:t xml:space="preserve"> de formations continues sont régulièrement dispensés aux policiers. Les enquêteurs du Service de Police Judiciaire ont, de par le passé, déjà suivi de nombreux cours et séminaires en la matière.</w:t>
      </w:r>
    </w:p>
    <w:p w:rsidR="008C30FA" w:rsidRPr="00640449" w:rsidRDefault="006763D3" w:rsidP="008C30FA">
      <w:pPr>
        <w:pStyle w:val="H1G"/>
        <w:rPr>
          <w:lang w:val="fr-FR"/>
        </w:rPr>
      </w:pPr>
      <w:r w:rsidRPr="00640449">
        <w:tab/>
      </w:r>
      <w:r w:rsidR="00CF6D6A" w:rsidRPr="00640449">
        <w:t>U</w:t>
      </w:r>
      <w:r w:rsidR="008C30FA" w:rsidRPr="00640449">
        <w:t>.</w:t>
      </w:r>
      <w:r w:rsidR="008C30FA" w:rsidRPr="00640449">
        <w:tab/>
      </w:r>
      <w:r w:rsidR="008C30FA" w:rsidRPr="00640449">
        <w:rPr>
          <w:lang w:val="fr-FR"/>
        </w:rPr>
        <w:t xml:space="preserve">Réponse à </w:t>
      </w:r>
      <w:r w:rsidR="008C30FA" w:rsidRPr="00640449">
        <w:t>la</w:t>
      </w:r>
      <w:r w:rsidR="008C30FA" w:rsidRPr="00640449">
        <w:rPr>
          <w:lang w:val="fr-FR"/>
        </w:rPr>
        <w:t xml:space="preserve"> question posée au paragraphe 9</w:t>
      </w:r>
    </w:p>
    <w:p w:rsidR="00674E9C" w:rsidRPr="00640449" w:rsidRDefault="006763D3" w:rsidP="009F2395">
      <w:pPr>
        <w:pStyle w:val="H23G"/>
        <w:rPr>
          <w:lang w:val="lb-LU"/>
        </w:rPr>
      </w:pPr>
      <w:r w:rsidRPr="00640449">
        <w:rPr>
          <w:lang w:val="lb-LU"/>
        </w:rPr>
        <w:tab/>
      </w:r>
      <w:r w:rsidRPr="00640449">
        <w:rPr>
          <w:lang w:val="lb-LU"/>
        </w:rPr>
        <w:tab/>
      </w:r>
      <w:r w:rsidR="00674E9C" w:rsidRPr="00640449">
        <w:rPr>
          <w:lang w:val="lb-LU"/>
        </w:rPr>
        <w:t xml:space="preserve">Formation </w:t>
      </w:r>
    </w:p>
    <w:p w:rsidR="005130E6" w:rsidRPr="00640449" w:rsidRDefault="001A7B42" w:rsidP="001A7B42">
      <w:pPr>
        <w:pStyle w:val="SingleTxtG"/>
        <w:rPr>
          <w:iCs/>
          <w:lang w:val="fr-FR"/>
        </w:rPr>
      </w:pPr>
      <w:r w:rsidRPr="00640449">
        <w:rPr>
          <w:iCs/>
          <w:lang w:val="fr-FR"/>
        </w:rPr>
        <w:t>99.</w:t>
      </w:r>
      <w:r w:rsidRPr="00640449">
        <w:rPr>
          <w:iCs/>
          <w:lang w:val="fr-FR"/>
        </w:rPr>
        <w:tab/>
      </w:r>
      <w:r w:rsidR="00674E9C" w:rsidRPr="00640449">
        <w:rPr>
          <w:iCs/>
          <w:lang w:val="fr-FR"/>
        </w:rPr>
        <w:t xml:space="preserve">La formation des professionnels, tant initiale que continue, est indispensable pour assurer une meilleure identification et un accompagnement adéquat des victimes. Elle constitue également une mesure clé pour sensibiliser au phénomène de la traite des êtres humains et pour mener une politique efficace de lutte. </w:t>
      </w:r>
    </w:p>
    <w:p w:rsidR="005130E6" w:rsidRPr="00640449" w:rsidRDefault="001A7B42" w:rsidP="001A7B42">
      <w:pPr>
        <w:pStyle w:val="SingleTxtG"/>
        <w:rPr>
          <w:iCs/>
          <w:lang w:val="fr-FR"/>
        </w:rPr>
      </w:pPr>
      <w:r w:rsidRPr="00640449">
        <w:rPr>
          <w:iCs/>
          <w:lang w:val="fr-FR"/>
        </w:rPr>
        <w:t>100.</w:t>
      </w:r>
      <w:r w:rsidRPr="00640449">
        <w:rPr>
          <w:iCs/>
          <w:lang w:val="fr-FR"/>
        </w:rPr>
        <w:tab/>
      </w:r>
      <w:r w:rsidR="00674E9C" w:rsidRPr="00640449">
        <w:rPr>
          <w:iCs/>
          <w:lang w:val="fr-FR"/>
        </w:rPr>
        <w:t xml:space="preserve">L’article 9 de la loi du 8 mai 2009 sur l’assistance, la protection et la sécurité des victimes de la traite des êtres humains, dispose que « [l]e personnel de la Police spécialisé dans la prévention ou la lutte contre la traite, le personnel des services de l’immigration et des services d’assistance sont tenus de suivre des cours de formation dispensés à leur attention et axés sur l’identification des victimes, les droits de la personne humaine et la protection des victimes contre les trafiquants ». </w:t>
      </w:r>
    </w:p>
    <w:p w:rsidR="005130E6" w:rsidRPr="00640449" w:rsidRDefault="001A7B42" w:rsidP="001A7B42">
      <w:pPr>
        <w:pStyle w:val="SingleTxtG"/>
        <w:rPr>
          <w:bCs/>
          <w:lang w:val="fr-FR"/>
        </w:rPr>
      </w:pPr>
      <w:r w:rsidRPr="00640449">
        <w:rPr>
          <w:bCs/>
          <w:lang w:val="fr-FR"/>
        </w:rPr>
        <w:t>101.</w:t>
      </w:r>
      <w:r w:rsidRPr="00640449">
        <w:rPr>
          <w:bCs/>
          <w:lang w:val="fr-FR"/>
        </w:rPr>
        <w:tab/>
      </w:r>
      <w:r w:rsidR="00674E9C" w:rsidRPr="00640449">
        <w:rPr>
          <w:iCs/>
          <w:lang w:val="fr-FR"/>
        </w:rPr>
        <w:t>Les inspecteurs</w:t>
      </w:r>
      <w:r w:rsidR="00674E9C" w:rsidRPr="00640449">
        <w:rPr>
          <w:bCs/>
          <w:lang w:val="fr-FR"/>
        </w:rPr>
        <w:t xml:space="preserve"> de travail, inclus dans le processus d’identification des victimes présumées dans le monde du travail, doivent bénéficier également d’une formation adéquate afin de pouvoir détecter les victimes présumées de la traite aux fins d’exploitation par le travail. </w:t>
      </w:r>
    </w:p>
    <w:p w:rsidR="00674E9C" w:rsidRPr="00640449" w:rsidRDefault="006763D3" w:rsidP="00CF6D6A">
      <w:pPr>
        <w:pStyle w:val="H23G"/>
        <w:rPr>
          <w:lang w:val="lb-LU"/>
        </w:rPr>
      </w:pPr>
      <w:r w:rsidRPr="00640449">
        <w:rPr>
          <w:lang w:val="fr-FR"/>
        </w:rPr>
        <w:tab/>
      </w:r>
      <w:r w:rsidRPr="00640449">
        <w:rPr>
          <w:lang w:val="fr-FR"/>
        </w:rPr>
        <w:tab/>
      </w:r>
      <w:r w:rsidR="00674E9C" w:rsidRPr="00640449">
        <w:rPr>
          <w:lang w:val="fr-FR"/>
        </w:rPr>
        <w:t>Prévention</w:t>
      </w:r>
    </w:p>
    <w:p w:rsidR="005130E6" w:rsidRPr="00640449" w:rsidRDefault="001A7B42" w:rsidP="001A7B42">
      <w:pPr>
        <w:pStyle w:val="SingleTxtG"/>
        <w:rPr>
          <w:bCs/>
          <w:lang w:val="fr-FR"/>
        </w:rPr>
      </w:pPr>
      <w:r w:rsidRPr="00640449">
        <w:rPr>
          <w:bCs/>
          <w:lang w:val="fr-FR"/>
        </w:rPr>
        <w:t>102.</w:t>
      </w:r>
      <w:r w:rsidRPr="00640449">
        <w:rPr>
          <w:bCs/>
          <w:lang w:val="fr-FR"/>
        </w:rPr>
        <w:tab/>
      </w:r>
      <w:r w:rsidR="00674E9C" w:rsidRPr="00640449">
        <w:rPr>
          <w:bCs/>
          <w:lang w:val="fr-FR"/>
        </w:rPr>
        <w:t xml:space="preserve">L’article 11 de la loi modifiée du 8 mai 2009 sur l’assistance, la protection et la sécurité des </w:t>
      </w:r>
      <w:r w:rsidR="00674E9C" w:rsidRPr="00640449">
        <w:rPr>
          <w:iCs/>
          <w:lang w:val="fr-FR"/>
        </w:rPr>
        <w:t>victimes</w:t>
      </w:r>
      <w:r w:rsidR="00674E9C" w:rsidRPr="00640449">
        <w:rPr>
          <w:bCs/>
          <w:lang w:val="fr-FR"/>
        </w:rPr>
        <w:t xml:space="preserve"> de la traite des êtres humains dispose que « [l]a Police, le ministère public, les juridictions répressives, les services d’assistance et les associations agréées en vertu de l’article 1er de la loi sur l’assistance, la protection et la sécurité des victimes de la traite des êtres humains, ainsi que les instances étatiques impliquées dans la prévention et la lutte contre la traite des êtres humains établissent chaque année des statistiques ventilées par sexe, âge, </w:t>
      </w:r>
      <w:r w:rsidR="00FD7E28">
        <w:rPr>
          <w:bCs/>
          <w:lang w:val="fr-FR"/>
        </w:rPr>
        <w:t>État</w:t>
      </w:r>
      <w:r w:rsidR="00674E9C" w:rsidRPr="00640449">
        <w:rPr>
          <w:bCs/>
          <w:lang w:val="fr-FR"/>
        </w:rPr>
        <w:t xml:space="preserve"> de provenance, mécanisme de traite et d’exploitation utilisé concernant les cas de traite des êtres humains. Les statistiques visées comprennent, notamment le nombre de plaintes, de poursuites, de condamnations, de mesures de protection des victimes et de mesures d’assistance aux victimes. Les données statistiques sont continuées au comité de suivi de la lutte contre la traite des êtres humains, créé en application de l’article 10.</w:t>
      </w:r>
      <w:r w:rsidR="00F675F5">
        <w:rPr>
          <w:bCs/>
          <w:lang w:val="fr-FR"/>
        </w:rPr>
        <w:t> </w:t>
      </w:r>
      <w:r w:rsidR="00674E9C" w:rsidRPr="00640449">
        <w:rPr>
          <w:bCs/>
          <w:lang w:val="fr-FR"/>
        </w:rPr>
        <w:t>»</w:t>
      </w:r>
      <w:r w:rsidR="00F675F5">
        <w:rPr>
          <w:bCs/>
          <w:lang w:val="fr-FR"/>
        </w:rPr>
        <w:t>.</w:t>
      </w:r>
      <w:r w:rsidR="00674E9C" w:rsidRPr="00640449">
        <w:rPr>
          <w:bCs/>
          <w:i/>
          <w:lang w:val="fr-FR"/>
        </w:rPr>
        <w:t xml:space="preserve"> </w:t>
      </w:r>
    </w:p>
    <w:p w:rsidR="005130E6" w:rsidRPr="00640449" w:rsidRDefault="001A7B42" w:rsidP="001A7B42">
      <w:pPr>
        <w:pStyle w:val="SingleTxtG"/>
        <w:rPr>
          <w:bCs/>
          <w:lang w:val="fr-FR"/>
        </w:rPr>
      </w:pPr>
      <w:r w:rsidRPr="00640449">
        <w:rPr>
          <w:bCs/>
          <w:lang w:val="fr-FR"/>
        </w:rPr>
        <w:t>103.</w:t>
      </w:r>
      <w:r w:rsidRPr="00640449">
        <w:rPr>
          <w:bCs/>
          <w:lang w:val="fr-FR"/>
        </w:rPr>
        <w:tab/>
      </w:r>
      <w:r w:rsidR="00674E9C" w:rsidRPr="00640449">
        <w:rPr>
          <w:bCs/>
          <w:lang w:val="fr-FR"/>
        </w:rPr>
        <w:t>La loi du 9 avril 2014, renforçant le droit des victimes de la traite des êtres humains, désigne la Commission consultative des Droits de l’homme comme rapporteur national au sens de l’article 19 de la directive 2011/36/UE du 5 avril 2011 concernant la prévention de la traite des êtres humains et la lutte contre ce phénomène. L’article 1 de la prédite loi dispose ainsi que « le rapporteur national détermine les tendances en matière de traite des êtres humains, il évalue les résultats des actions engagées pour lutter contre ce phénomène, y compris la collecte de statistiques en étroite collaboration avec les organisations pertinentes de la société civile qui sont actives dans ce domaine, et établit au moins tous les deux ans des rapports à l’intention de la Chambre des députés. »</w:t>
      </w:r>
      <w:r w:rsidR="001137D0">
        <w:rPr>
          <w:bCs/>
          <w:lang w:val="fr-FR"/>
        </w:rPr>
        <w:t>.</w:t>
      </w:r>
      <w:r w:rsidR="00674E9C" w:rsidRPr="00640449">
        <w:rPr>
          <w:bCs/>
          <w:lang w:val="fr-FR"/>
        </w:rPr>
        <w:t xml:space="preserve"> </w:t>
      </w:r>
    </w:p>
    <w:p w:rsidR="005130E6" w:rsidRPr="00640449" w:rsidRDefault="001A7B42" w:rsidP="001A7B42">
      <w:pPr>
        <w:pStyle w:val="SingleTxtG"/>
        <w:rPr>
          <w:bCs/>
          <w:lang w:val="fr-FR"/>
        </w:rPr>
      </w:pPr>
      <w:r w:rsidRPr="00640449">
        <w:rPr>
          <w:bCs/>
          <w:lang w:val="fr-FR"/>
        </w:rPr>
        <w:t>104.</w:t>
      </w:r>
      <w:r w:rsidRPr="00640449">
        <w:rPr>
          <w:bCs/>
          <w:lang w:val="fr-FR"/>
        </w:rPr>
        <w:tab/>
      </w:r>
      <w:r w:rsidR="00674E9C" w:rsidRPr="00640449">
        <w:rPr>
          <w:bCs/>
          <w:lang w:val="fr-FR"/>
        </w:rPr>
        <w:t xml:space="preserve">Un règlement grand-ducal relatif à la composition, à l’organisation et au fonctionnement du Comité de suivi de la lutte contre la traite des êtres humains, du 10 mars 2014 sur base de l’article 10 de la loi du 8 mai 2009 sur l’assistance, la protection et la sécurité des victimes de la traite des êtres humains, dispose qu’ « il est créé un comité de suivi de la lutte contre la traite des êtres humains, chargé de la mise en place du suivi et de </w:t>
      </w:r>
      <w:r w:rsidR="00674E9C" w:rsidRPr="00640449">
        <w:rPr>
          <w:bCs/>
          <w:lang w:val="fr-FR"/>
        </w:rPr>
        <w:lastRenderedPageBreak/>
        <w:t>la coordination des activités de prévention et de l’évaluation du phénomène de la traite. Le comité centralise et analyse les données statistiques qui lui sont transmises, surveille et évalue la mise en œuvre de la législation pertinente en matière de traite. »</w:t>
      </w:r>
      <w:r w:rsidR="001137D0">
        <w:rPr>
          <w:bCs/>
          <w:lang w:val="fr-FR"/>
        </w:rPr>
        <w:t>.</w:t>
      </w:r>
      <w:r w:rsidR="00674E9C" w:rsidRPr="00640449">
        <w:rPr>
          <w:bCs/>
          <w:lang w:val="fr-FR"/>
        </w:rPr>
        <w:t xml:space="preserve"> </w:t>
      </w:r>
    </w:p>
    <w:p w:rsidR="005130E6" w:rsidRPr="00640449" w:rsidRDefault="001A7B42" w:rsidP="001A7B42">
      <w:pPr>
        <w:pStyle w:val="SingleTxtG"/>
      </w:pPr>
      <w:r w:rsidRPr="00640449">
        <w:t>105.</w:t>
      </w:r>
      <w:r w:rsidRPr="00640449">
        <w:tab/>
      </w:r>
      <w:r w:rsidR="00674E9C" w:rsidRPr="00640449">
        <w:rPr>
          <w:bCs/>
          <w:lang w:val="fr-FR"/>
        </w:rPr>
        <w:t>Le Gouvernement s’est donné des moyens pour mener des recherches aux fins de prévention et devrait continuer à appuyer les activités de recherche en matière de prévention de la traite de personnes dès lors que le développement d’initiatives préventives demeure un aspect important de la lutte contre toutes les formes de criminalité.</w:t>
      </w:r>
    </w:p>
    <w:p w:rsidR="008C30FA" w:rsidRPr="00640449" w:rsidRDefault="008C30FA" w:rsidP="008C30FA">
      <w:pPr>
        <w:pStyle w:val="H1G"/>
        <w:rPr>
          <w:lang w:val="fr-FR"/>
        </w:rPr>
      </w:pPr>
      <w:r w:rsidRPr="00640449">
        <w:tab/>
      </w:r>
      <w:r w:rsidR="00CF6D6A" w:rsidRPr="00640449">
        <w:t>V</w:t>
      </w:r>
      <w:r w:rsidRPr="00640449">
        <w:t>.</w:t>
      </w:r>
      <w:r w:rsidRPr="00640449">
        <w:tab/>
      </w:r>
      <w:r w:rsidRPr="00640449">
        <w:rPr>
          <w:lang w:val="fr-FR"/>
        </w:rPr>
        <w:t xml:space="preserve">Réponse à </w:t>
      </w:r>
      <w:r w:rsidRPr="00640449">
        <w:t>la</w:t>
      </w:r>
      <w:r w:rsidRPr="00640449">
        <w:rPr>
          <w:lang w:val="fr-FR"/>
        </w:rPr>
        <w:t xml:space="preserve"> question posée au paragraphe 10 </w:t>
      </w:r>
      <w:r w:rsidR="009F2395" w:rsidRPr="00640449">
        <w:rPr>
          <w:lang w:val="fr-FR"/>
        </w:rPr>
        <w:t>(</w:t>
      </w:r>
      <w:r w:rsidRPr="00640449">
        <w:rPr>
          <w:lang w:val="fr-FR"/>
        </w:rPr>
        <w:t>a</w:t>
      </w:r>
      <w:r w:rsidR="009F2395" w:rsidRPr="00640449">
        <w:rPr>
          <w:lang w:val="fr-FR"/>
        </w:rPr>
        <w:t>)</w:t>
      </w:r>
    </w:p>
    <w:p w:rsidR="00D84A2C" w:rsidRPr="00640449" w:rsidRDefault="001A7B42" w:rsidP="001A7B42">
      <w:pPr>
        <w:pStyle w:val="SingleTxtG"/>
        <w:rPr>
          <w:lang w:val="fr-FR"/>
        </w:rPr>
      </w:pPr>
      <w:r w:rsidRPr="00640449">
        <w:rPr>
          <w:lang w:val="fr-FR"/>
        </w:rPr>
        <w:t>106.</w:t>
      </w:r>
      <w:r w:rsidRPr="00640449">
        <w:rPr>
          <w:lang w:val="fr-FR"/>
        </w:rPr>
        <w:tab/>
      </w:r>
      <w:r w:rsidR="00674E9C" w:rsidRPr="00640449">
        <w:rPr>
          <w:lang w:val="fr-FR"/>
        </w:rPr>
        <w:t xml:space="preserve">Le taux d’occupation de tous les lieux </w:t>
      </w:r>
      <w:r w:rsidR="00674E9C" w:rsidRPr="00640449">
        <w:t>de</w:t>
      </w:r>
      <w:r w:rsidR="00674E9C" w:rsidRPr="00640449">
        <w:rPr>
          <w:lang w:val="fr-FR"/>
        </w:rPr>
        <w:t xml:space="preserve"> détention,</w:t>
      </w:r>
      <w:r w:rsidR="00012DE3" w:rsidRPr="00640449">
        <w:rPr>
          <w:lang w:val="fr-FR"/>
        </w:rPr>
        <w:t xml:space="preserve"> y compris les postes de police</w:t>
      </w:r>
      <w:r w:rsidR="00F675F5">
        <w:rPr>
          <w:lang w:val="fr-FR"/>
        </w:rPr>
        <w:t> </w:t>
      </w:r>
      <w:r w:rsidR="00D84A2C" w:rsidRPr="00640449">
        <w:rPr>
          <w:lang w:val="fr-FR"/>
        </w:rPr>
        <w:t>:</w:t>
      </w:r>
    </w:p>
    <w:p w:rsidR="00D84A2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CPL (Centre pénitentiaire de Luxembourg) au 01/01/19 : 584/597 = 97,82 %</w:t>
      </w:r>
      <w:r w:rsidR="00640449">
        <w:rPr>
          <w:lang w:val="fr-FR"/>
        </w:rPr>
        <w:t> ;</w:t>
      </w:r>
    </w:p>
    <w:p w:rsidR="00D84A2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 xml:space="preserve">CPG (Centre pénitentiaire de </w:t>
      </w:r>
      <w:proofErr w:type="spellStart"/>
      <w:r w:rsidR="00674E9C" w:rsidRPr="00640449">
        <w:rPr>
          <w:lang w:val="fr-FR"/>
        </w:rPr>
        <w:t>Givenich</w:t>
      </w:r>
      <w:proofErr w:type="spellEnd"/>
      <w:r w:rsidR="00674E9C" w:rsidRPr="00640449">
        <w:rPr>
          <w:lang w:val="fr-FR"/>
        </w:rPr>
        <w:t>) au 01/01/19 : 72/113 = 63,72 %</w:t>
      </w:r>
      <w:r w:rsidR="00012DE3" w:rsidRPr="00640449">
        <w:rPr>
          <w:lang w:val="fr-FR"/>
        </w:rPr>
        <w:t>.</w:t>
      </w:r>
    </w:p>
    <w:p w:rsidR="00674E9C" w:rsidRPr="00640449" w:rsidRDefault="001A7B42" w:rsidP="001A7B42">
      <w:pPr>
        <w:pStyle w:val="SingleTxtG"/>
        <w:rPr>
          <w:lang w:val="fr-FR"/>
        </w:rPr>
      </w:pPr>
      <w:r w:rsidRPr="00640449">
        <w:rPr>
          <w:lang w:val="fr-FR"/>
        </w:rPr>
        <w:t>107.</w:t>
      </w:r>
      <w:r w:rsidRPr="00640449">
        <w:rPr>
          <w:lang w:val="fr-FR"/>
        </w:rPr>
        <w:tab/>
      </w:r>
      <w:r w:rsidR="00674E9C" w:rsidRPr="00640449">
        <w:rPr>
          <w:lang w:val="fr-FR"/>
        </w:rPr>
        <w:t>Dans les locaux de police, les cellules d’arrêt</w:t>
      </w:r>
      <w:r w:rsidR="00F675F5">
        <w:rPr>
          <w:lang w:val="fr-FR"/>
        </w:rPr>
        <w:t> </w:t>
      </w:r>
      <w:r w:rsidR="00674E9C" w:rsidRPr="00640449">
        <w:rPr>
          <w:lang w:val="fr-FR"/>
        </w:rPr>
        <w:t xml:space="preserve">: </w:t>
      </w:r>
    </w:p>
    <w:p w:rsidR="00674E9C" w:rsidRPr="00640449" w:rsidRDefault="001A7B42" w:rsidP="001A7B42">
      <w:pPr>
        <w:pStyle w:val="Bullet1G"/>
        <w:numPr>
          <w:ilvl w:val="0"/>
          <w:numId w:val="0"/>
        </w:numPr>
        <w:tabs>
          <w:tab w:val="left" w:pos="1701"/>
        </w:tabs>
        <w:ind w:left="1701" w:hanging="170"/>
      </w:pPr>
      <w:r w:rsidRPr="00640449">
        <w:t>•</w:t>
      </w:r>
      <w:r w:rsidRPr="00640449">
        <w:tab/>
      </w:r>
      <w:r w:rsidR="00154097" w:rsidRPr="00640449">
        <w:t>Sont oc</w:t>
      </w:r>
      <w:r w:rsidR="008F43CE" w:rsidRPr="00640449">
        <w:t>cupées par une seule personne</w:t>
      </w:r>
      <w:r w:rsidR="00640449">
        <w:t> ;</w:t>
      </w:r>
    </w:p>
    <w:p w:rsidR="00674E9C" w:rsidRPr="00640449" w:rsidRDefault="001A7B42" w:rsidP="001A7B42">
      <w:pPr>
        <w:pStyle w:val="Bullet1G"/>
        <w:numPr>
          <w:ilvl w:val="0"/>
          <w:numId w:val="0"/>
        </w:numPr>
        <w:tabs>
          <w:tab w:val="left" w:pos="1701"/>
        </w:tabs>
        <w:ind w:left="1701" w:hanging="170"/>
      </w:pPr>
      <w:r w:rsidRPr="00640449">
        <w:t>•</w:t>
      </w:r>
      <w:r w:rsidRPr="00640449">
        <w:tab/>
      </w:r>
      <w:r w:rsidR="00154097" w:rsidRPr="00640449">
        <w:t>Sont occupées que pendant quelques heures (surtout pendant les weekends en tant que lieu de dégrisement</w:t>
      </w:r>
      <w:r w:rsidR="00674E9C" w:rsidRPr="00640449">
        <w:t>).</w:t>
      </w:r>
    </w:p>
    <w:p w:rsidR="00674E9C" w:rsidRPr="00640449" w:rsidRDefault="001A7B42" w:rsidP="001A7B42">
      <w:pPr>
        <w:pStyle w:val="SingleTxtG"/>
        <w:rPr>
          <w:lang w:val="fr-FR"/>
        </w:rPr>
      </w:pPr>
      <w:r w:rsidRPr="00640449">
        <w:rPr>
          <w:lang w:val="fr-FR"/>
        </w:rPr>
        <w:t>108.</w:t>
      </w:r>
      <w:r w:rsidRPr="00640449">
        <w:rPr>
          <w:lang w:val="fr-FR"/>
        </w:rPr>
        <w:tab/>
      </w:r>
      <w:r w:rsidR="00674E9C" w:rsidRPr="00640449">
        <w:rPr>
          <w:lang w:val="fr-FR"/>
        </w:rPr>
        <w:t>Par conséquence, il n’est pas possible de déterminer un taux d’occupation précis. Pourtant il est clair qu’il est toujours inférieur ou égal à 100</w:t>
      </w:r>
      <w:r w:rsidR="00F675F5">
        <w:rPr>
          <w:lang w:val="fr-FR"/>
        </w:rPr>
        <w:t> </w:t>
      </w:r>
      <w:r w:rsidR="00674E9C" w:rsidRPr="00640449">
        <w:rPr>
          <w:lang w:val="fr-FR"/>
        </w:rPr>
        <w:t>%.</w:t>
      </w:r>
    </w:p>
    <w:p w:rsidR="008C30FA" w:rsidRPr="00640449" w:rsidRDefault="008C30FA" w:rsidP="008C30FA">
      <w:pPr>
        <w:pStyle w:val="H1G"/>
        <w:rPr>
          <w:lang w:val="fr-FR"/>
        </w:rPr>
      </w:pPr>
      <w:r w:rsidRPr="00640449">
        <w:tab/>
      </w:r>
      <w:r w:rsidR="00CF6D6A" w:rsidRPr="00640449">
        <w:t>W</w:t>
      </w:r>
      <w:r w:rsidRPr="00640449">
        <w:t>.</w:t>
      </w:r>
      <w:r w:rsidRPr="00640449">
        <w:tab/>
      </w:r>
      <w:r w:rsidRPr="00640449">
        <w:rPr>
          <w:lang w:val="fr-FR"/>
        </w:rPr>
        <w:t xml:space="preserve">Réponse à </w:t>
      </w:r>
      <w:r w:rsidRPr="00640449">
        <w:t>la</w:t>
      </w:r>
      <w:r w:rsidRPr="00640449">
        <w:rPr>
          <w:lang w:val="fr-FR"/>
        </w:rPr>
        <w:t xml:space="preserve"> question posée au paragraphe 10 </w:t>
      </w:r>
      <w:r w:rsidR="008F43CE" w:rsidRPr="00640449">
        <w:rPr>
          <w:lang w:val="fr-FR"/>
        </w:rPr>
        <w:t>(</w:t>
      </w:r>
      <w:r w:rsidRPr="00640449">
        <w:rPr>
          <w:lang w:val="fr-FR"/>
        </w:rPr>
        <w:t>b</w:t>
      </w:r>
      <w:r w:rsidR="008F43CE" w:rsidRPr="00640449">
        <w:rPr>
          <w:lang w:val="fr-FR"/>
        </w:rPr>
        <w:t>)</w:t>
      </w:r>
    </w:p>
    <w:p w:rsidR="005130E6" w:rsidRPr="00640449" w:rsidRDefault="001A7B42" w:rsidP="001A7B42">
      <w:pPr>
        <w:pStyle w:val="SingleTxtG"/>
        <w:rPr>
          <w:lang w:val="fr-FR"/>
        </w:rPr>
      </w:pPr>
      <w:r w:rsidRPr="00640449">
        <w:rPr>
          <w:lang w:val="fr-FR"/>
        </w:rPr>
        <w:t>109.</w:t>
      </w:r>
      <w:r w:rsidRPr="00640449">
        <w:rPr>
          <w:lang w:val="fr-FR"/>
        </w:rPr>
        <w:tab/>
      </w:r>
      <w:r w:rsidR="00674E9C" w:rsidRPr="00640449">
        <w:rPr>
          <w:lang w:val="fr-FR"/>
        </w:rPr>
        <w:t xml:space="preserve">Le nombre de personnes (données ventilées par sexe, tranche d’âge et origine ethnique ou nationalité) placées en </w:t>
      </w:r>
      <w:r w:rsidR="00674E9C" w:rsidRPr="00640449">
        <w:t>détention</w:t>
      </w:r>
      <w:r w:rsidR="00674E9C" w:rsidRPr="00640449">
        <w:rPr>
          <w:lang w:val="fr-FR"/>
        </w:rPr>
        <w:t xml:space="preserve"> préventive, par rapport au nombre total de détenus, ainsi que la durée moyenne et maximale de la détention préventive</w:t>
      </w:r>
      <w:r w:rsidR="00FD7E28">
        <w:rPr>
          <w:lang w:val="fr-FR"/>
        </w:rPr>
        <w:t> </w:t>
      </w:r>
      <w:r w:rsidR="00674E9C" w:rsidRPr="00640449">
        <w:rPr>
          <w:lang w:val="fr-FR"/>
        </w:rPr>
        <w:t>:</w:t>
      </w:r>
    </w:p>
    <w:p w:rsidR="00674E9C" w:rsidRPr="00640449" w:rsidRDefault="00D84A2C" w:rsidP="00D84A2C">
      <w:pPr>
        <w:pStyle w:val="H23G"/>
        <w:rPr>
          <w:lang w:val="fr-FR"/>
        </w:rPr>
      </w:pPr>
      <w:r w:rsidRPr="00640449">
        <w:rPr>
          <w:lang w:val="fr-FR"/>
        </w:rPr>
        <w:tab/>
      </w:r>
      <w:r w:rsidRPr="00640449">
        <w:rPr>
          <w:lang w:val="fr-FR"/>
        </w:rPr>
        <w:tab/>
      </w:r>
      <w:r w:rsidR="00674E9C" w:rsidRPr="00640449">
        <w:rPr>
          <w:lang w:val="fr-FR"/>
        </w:rPr>
        <w:t>R n° 10 b par sexe – au 01/01/19</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2480"/>
        <w:gridCol w:w="2468"/>
        <w:gridCol w:w="2422"/>
      </w:tblGrid>
      <w:tr w:rsidR="00640449" w:rsidRPr="00640449" w:rsidTr="00154097">
        <w:trPr>
          <w:tblHeader/>
        </w:trPr>
        <w:tc>
          <w:tcPr>
            <w:tcW w:w="3005" w:type="dxa"/>
            <w:tcBorders>
              <w:top w:val="single" w:sz="4" w:space="0" w:color="auto"/>
              <w:bottom w:val="single" w:sz="12" w:space="0" w:color="auto"/>
            </w:tcBorders>
            <w:shd w:val="clear" w:color="auto" w:fill="auto"/>
            <w:vAlign w:val="bottom"/>
          </w:tcPr>
          <w:p w:rsidR="00674E9C" w:rsidRPr="00640449" w:rsidRDefault="00674E9C" w:rsidP="00154097">
            <w:pPr>
              <w:pStyle w:val="SingleTxtG"/>
              <w:suppressAutoHyphens w:val="0"/>
              <w:spacing w:before="80" w:after="80" w:line="200" w:lineRule="exact"/>
              <w:ind w:left="0" w:right="0"/>
              <w:jc w:val="left"/>
              <w:rPr>
                <w:i/>
                <w:sz w:val="16"/>
                <w:lang w:val="fr-FR"/>
              </w:rPr>
            </w:pPr>
          </w:p>
        </w:tc>
        <w:tc>
          <w:tcPr>
            <w:tcW w:w="2990" w:type="dxa"/>
            <w:tcBorders>
              <w:top w:val="single" w:sz="4" w:space="0" w:color="auto"/>
              <w:bottom w:val="single" w:sz="12" w:space="0" w:color="auto"/>
            </w:tcBorders>
            <w:shd w:val="clear" w:color="auto" w:fill="auto"/>
            <w:vAlign w:val="bottom"/>
          </w:tcPr>
          <w:p w:rsidR="00674E9C" w:rsidRPr="00640449" w:rsidRDefault="00210C34" w:rsidP="00154097">
            <w:pPr>
              <w:pStyle w:val="SingleTxtG"/>
              <w:suppressAutoHyphens w:val="0"/>
              <w:spacing w:before="80" w:after="80" w:line="200" w:lineRule="exact"/>
              <w:ind w:left="0" w:right="0"/>
              <w:jc w:val="right"/>
              <w:rPr>
                <w:i/>
                <w:sz w:val="16"/>
                <w:lang w:val="fr-FR"/>
              </w:rPr>
            </w:pPr>
            <w:r w:rsidRPr="00640449">
              <w:rPr>
                <w:i/>
                <w:sz w:val="16"/>
                <w:lang w:val="fr-FR"/>
              </w:rPr>
              <w:t>Hommes</w:t>
            </w:r>
          </w:p>
        </w:tc>
        <w:tc>
          <w:tcPr>
            <w:tcW w:w="2934" w:type="dxa"/>
            <w:tcBorders>
              <w:top w:val="single" w:sz="4" w:space="0" w:color="auto"/>
              <w:bottom w:val="single" w:sz="12" w:space="0" w:color="auto"/>
            </w:tcBorders>
            <w:shd w:val="clear" w:color="auto" w:fill="auto"/>
            <w:vAlign w:val="bottom"/>
          </w:tcPr>
          <w:p w:rsidR="00674E9C" w:rsidRPr="00640449" w:rsidRDefault="00210C34" w:rsidP="00154097">
            <w:pPr>
              <w:pStyle w:val="SingleTxtG"/>
              <w:suppressAutoHyphens w:val="0"/>
              <w:spacing w:before="80" w:after="80" w:line="200" w:lineRule="exact"/>
              <w:ind w:left="0" w:right="0"/>
              <w:jc w:val="right"/>
              <w:rPr>
                <w:i/>
                <w:sz w:val="16"/>
                <w:lang w:val="fr-FR"/>
              </w:rPr>
            </w:pPr>
            <w:r w:rsidRPr="00640449">
              <w:rPr>
                <w:i/>
                <w:sz w:val="16"/>
                <w:lang w:val="fr-FR"/>
              </w:rPr>
              <w:t>Femmes</w:t>
            </w:r>
          </w:p>
        </w:tc>
      </w:tr>
      <w:tr w:rsidR="00640449" w:rsidRPr="00640449" w:rsidTr="00154097">
        <w:tc>
          <w:tcPr>
            <w:tcW w:w="3005" w:type="dxa"/>
            <w:tcBorders>
              <w:top w:val="single" w:sz="12" w:space="0" w:color="auto"/>
            </w:tcBorders>
            <w:shd w:val="clear" w:color="auto" w:fill="auto"/>
          </w:tcPr>
          <w:p w:rsidR="00674E9C" w:rsidRPr="00640449" w:rsidRDefault="00674E9C" w:rsidP="00154097">
            <w:pPr>
              <w:pStyle w:val="SingleTxtG"/>
              <w:suppressAutoHyphens w:val="0"/>
              <w:spacing w:before="40" w:after="40" w:line="220" w:lineRule="exact"/>
              <w:ind w:left="0" w:right="0"/>
              <w:jc w:val="left"/>
              <w:rPr>
                <w:sz w:val="18"/>
                <w:lang w:val="fr-FR"/>
              </w:rPr>
            </w:pPr>
            <w:r w:rsidRPr="00640449">
              <w:rPr>
                <w:sz w:val="18"/>
                <w:lang w:val="fr-FR"/>
              </w:rPr>
              <w:t>CPL</w:t>
            </w:r>
          </w:p>
        </w:tc>
        <w:tc>
          <w:tcPr>
            <w:tcW w:w="2990" w:type="dxa"/>
            <w:tcBorders>
              <w:top w:val="single" w:sz="12" w:space="0" w:color="auto"/>
            </w:tcBorders>
            <w:shd w:val="clear" w:color="auto" w:fill="auto"/>
            <w:vAlign w:val="bottom"/>
          </w:tcPr>
          <w:p w:rsidR="00674E9C" w:rsidRPr="00640449" w:rsidRDefault="00674E9C" w:rsidP="00154097">
            <w:pPr>
              <w:pStyle w:val="SingleTxtG"/>
              <w:suppressAutoHyphens w:val="0"/>
              <w:spacing w:before="40" w:after="40" w:line="220" w:lineRule="exact"/>
              <w:ind w:left="0" w:right="0"/>
              <w:jc w:val="right"/>
              <w:rPr>
                <w:sz w:val="18"/>
                <w:lang w:val="fr-FR"/>
              </w:rPr>
            </w:pPr>
            <w:r w:rsidRPr="00640449">
              <w:rPr>
                <w:sz w:val="18"/>
                <w:lang w:val="fr-FR"/>
              </w:rPr>
              <w:t xml:space="preserve">557 </w:t>
            </w:r>
          </w:p>
        </w:tc>
        <w:tc>
          <w:tcPr>
            <w:tcW w:w="2934" w:type="dxa"/>
            <w:tcBorders>
              <w:top w:val="single" w:sz="12" w:space="0" w:color="auto"/>
            </w:tcBorders>
            <w:shd w:val="clear" w:color="auto" w:fill="auto"/>
            <w:vAlign w:val="bottom"/>
          </w:tcPr>
          <w:p w:rsidR="00674E9C" w:rsidRPr="00640449" w:rsidRDefault="00674E9C" w:rsidP="00154097">
            <w:pPr>
              <w:pStyle w:val="SingleTxtG"/>
              <w:suppressAutoHyphens w:val="0"/>
              <w:spacing w:before="40" w:after="40" w:line="220" w:lineRule="exact"/>
              <w:ind w:left="0" w:right="0"/>
              <w:jc w:val="right"/>
              <w:rPr>
                <w:sz w:val="18"/>
                <w:lang w:val="fr-FR"/>
              </w:rPr>
            </w:pPr>
            <w:r w:rsidRPr="00640449">
              <w:rPr>
                <w:sz w:val="18"/>
                <w:lang w:val="fr-FR"/>
              </w:rPr>
              <w:t xml:space="preserve">27 </w:t>
            </w:r>
          </w:p>
        </w:tc>
      </w:tr>
      <w:tr w:rsidR="00640449" w:rsidRPr="00640449" w:rsidTr="008F43CE">
        <w:tc>
          <w:tcPr>
            <w:tcW w:w="3005" w:type="dxa"/>
            <w:tcBorders>
              <w:bottom w:val="single" w:sz="4" w:space="0" w:color="auto"/>
            </w:tcBorders>
            <w:shd w:val="clear" w:color="auto" w:fill="auto"/>
          </w:tcPr>
          <w:p w:rsidR="00674E9C" w:rsidRPr="00640449" w:rsidRDefault="00674E9C" w:rsidP="00154097">
            <w:pPr>
              <w:pStyle w:val="SingleTxtG"/>
              <w:suppressAutoHyphens w:val="0"/>
              <w:spacing w:before="40" w:after="40" w:line="220" w:lineRule="exact"/>
              <w:ind w:left="0" w:right="0"/>
              <w:jc w:val="left"/>
              <w:rPr>
                <w:sz w:val="18"/>
                <w:lang w:val="fr-FR"/>
              </w:rPr>
            </w:pPr>
            <w:r w:rsidRPr="00640449">
              <w:rPr>
                <w:sz w:val="18"/>
                <w:lang w:val="fr-FR"/>
              </w:rPr>
              <w:t>CPG</w:t>
            </w:r>
          </w:p>
        </w:tc>
        <w:tc>
          <w:tcPr>
            <w:tcW w:w="2990" w:type="dxa"/>
            <w:tcBorders>
              <w:bottom w:val="single" w:sz="4" w:space="0" w:color="auto"/>
            </w:tcBorders>
            <w:shd w:val="clear" w:color="auto" w:fill="auto"/>
            <w:vAlign w:val="bottom"/>
          </w:tcPr>
          <w:p w:rsidR="00674E9C" w:rsidRPr="00640449" w:rsidRDefault="00674E9C" w:rsidP="00154097">
            <w:pPr>
              <w:pStyle w:val="SingleTxtG"/>
              <w:suppressAutoHyphens w:val="0"/>
              <w:spacing w:before="40" w:after="40" w:line="220" w:lineRule="exact"/>
              <w:ind w:left="0" w:right="0"/>
              <w:jc w:val="right"/>
              <w:rPr>
                <w:sz w:val="18"/>
                <w:lang w:val="fr-FR"/>
              </w:rPr>
            </w:pPr>
            <w:r w:rsidRPr="00640449">
              <w:rPr>
                <w:sz w:val="18"/>
                <w:lang w:val="fr-FR"/>
              </w:rPr>
              <w:t>66</w:t>
            </w:r>
          </w:p>
        </w:tc>
        <w:tc>
          <w:tcPr>
            <w:tcW w:w="2934" w:type="dxa"/>
            <w:tcBorders>
              <w:bottom w:val="single" w:sz="4" w:space="0" w:color="auto"/>
            </w:tcBorders>
            <w:shd w:val="clear" w:color="auto" w:fill="auto"/>
            <w:vAlign w:val="bottom"/>
          </w:tcPr>
          <w:p w:rsidR="00674E9C" w:rsidRPr="00640449" w:rsidRDefault="00674E9C" w:rsidP="00154097">
            <w:pPr>
              <w:pStyle w:val="SingleTxtG"/>
              <w:suppressAutoHyphens w:val="0"/>
              <w:spacing w:before="40" w:after="40" w:line="220" w:lineRule="exact"/>
              <w:ind w:left="0" w:right="0"/>
              <w:jc w:val="right"/>
              <w:rPr>
                <w:sz w:val="18"/>
                <w:lang w:val="fr-FR"/>
              </w:rPr>
            </w:pPr>
            <w:r w:rsidRPr="00640449">
              <w:rPr>
                <w:sz w:val="18"/>
                <w:lang w:val="fr-FR"/>
              </w:rPr>
              <w:t>6</w:t>
            </w:r>
          </w:p>
        </w:tc>
      </w:tr>
      <w:tr w:rsidR="00640449" w:rsidRPr="00640449" w:rsidTr="008F43CE">
        <w:tc>
          <w:tcPr>
            <w:tcW w:w="3005" w:type="dxa"/>
            <w:tcBorders>
              <w:top w:val="single" w:sz="4" w:space="0" w:color="auto"/>
              <w:bottom w:val="single" w:sz="12" w:space="0" w:color="auto"/>
            </w:tcBorders>
            <w:shd w:val="clear" w:color="auto" w:fill="auto"/>
          </w:tcPr>
          <w:p w:rsidR="00674E9C" w:rsidRPr="00640449" w:rsidRDefault="00674E9C" w:rsidP="008F43CE">
            <w:pPr>
              <w:pStyle w:val="SingleTxtG"/>
              <w:suppressAutoHyphens w:val="0"/>
              <w:spacing w:before="80" w:after="80" w:line="220" w:lineRule="exact"/>
              <w:ind w:left="283" w:right="0"/>
              <w:jc w:val="left"/>
              <w:rPr>
                <w:b/>
                <w:sz w:val="18"/>
                <w:lang w:val="fr-FR"/>
              </w:rPr>
            </w:pPr>
            <w:r w:rsidRPr="00640449">
              <w:rPr>
                <w:b/>
                <w:sz w:val="18"/>
                <w:lang w:val="fr-FR"/>
              </w:rPr>
              <w:t>Total</w:t>
            </w:r>
          </w:p>
        </w:tc>
        <w:tc>
          <w:tcPr>
            <w:tcW w:w="2990" w:type="dxa"/>
            <w:tcBorders>
              <w:top w:val="single" w:sz="4" w:space="0" w:color="auto"/>
              <w:bottom w:val="single" w:sz="12" w:space="0" w:color="auto"/>
            </w:tcBorders>
            <w:shd w:val="clear" w:color="auto" w:fill="auto"/>
            <w:vAlign w:val="bottom"/>
          </w:tcPr>
          <w:p w:rsidR="00674E9C" w:rsidRPr="00640449" w:rsidRDefault="00674E9C" w:rsidP="008F43CE">
            <w:pPr>
              <w:pStyle w:val="SingleTxtG"/>
              <w:suppressAutoHyphens w:val="0"/>
              <w:spacing w:before="80" w:after="80" w:line="220" w:lineRule="exact"/>
              <w:ind w:left="0" w:right="0"/>
              <w:jc w:val="right"/>
              <w:rPr>
                <w:b/>
                <w:sz w:val="18"/>
                <w:lang w:val="fr-FR"/>
              </w:rPr>
            </w:pPr>
            <w:r w:rsidRPr="00640449">
              <w:rPr>
                <w:b/>
                <w:sz w:val="18"/>
                <w:lang w:val="fr-FR"/>
              </w:rPr>
              <w:t xml:space="preserve">623 </w:t>
            </w:r>
          </w:p>
        </w:tc>
        <w:tc>
          <w:tcPr>
            <w:tcW w:w="2934" w:type="dxa"/>
            <w:tcBorders>
              <w:top w:val="single" w:sz="4" w:space="0" w:color="auto"/>
              <w:bottom w:val="single" w:sz="12" w:space="0" w:color="auto"/>
            </w:tcBorders>
            <w:shd w:val="clear" w:color="auto" w:fill="auto"/>
            <w:vAlign w:val="bottom"/>
          </w:tcPr>
          <w:p w:rsidR="00674E9C" w:rsidRPr="00640449" w:rsidRDefault="00674E9C" w:rsidP="008F43CE">
            <w:pPr>
              <w:pStyle w:val="SingleTxtG"/>
              <w:suppressAutoHyphens w:val="0"/>
              <w:spacing w:before="80" w:after="80" w:line="220" w:lineRule="exact"/>
              <w:ind w:left="0" w:right="0"/>
              <w:jc w:val="right"/>
              <w:rPr>
                <w:b/>
                <w:sz w:val="18"/>
                <w:lang w:val="fr-FR"/>
              </w:rPr>
            </w:pPr>
            <w:r w:rsidRPr="00640449">
              <w:rPr>
                <w:b/>
                <w:sz w:val="18"/>
                <w:lang w:val="fr-FR"/>
              </w:rPr>
              <w:t xml:space="preserve">33 </w:t>
            </w:r>
          </w:p>
        </w:tc>
      </w:tr>
    </w:tbl>
    <w:p w:rsidR="00674E9C" w:rsidRPr="00640449" w:rsidRDefault="00D84A2C" w:rsidP="00D84A2C">
      <w:pPr>
        <w:pStyle w:val="H23G"/>
        <w:rPr>
          <w:lang w:val="fr-FR"/>
        </w:rPr>
      </w:pPr>
      <w:r w:rsidRPr="00640449">
        <w:rPr>
          <w:lang w:val="fr-FR"/>
        </w:rPr>
        <w:lastRenderedPageBreak/>
        <w:tab/>
      </w:r>
      <w:r w:rsidRPr="00640449">
        <w:rPr>
          <w:lang w:val="fr-FR"/>
        </w:rPr>
        <w:tab/>
      </w:r>
      <w:r w:rsidR="00674E9C" w:rsidRPr="00640449">
        <w:rPr>
          <w:lang w:val="fr-FR"/>
        </w:rPr>
        <w:t>R n°10 b par groupe d’âge – au 01/01/19</w:t>
      </w:r>
    </w:p>
    <w:p w:rsidR="005130E6" w:rsidRPr="00640449" w:rsidRDefault="00674E9C" w:rsidP="00674E9C">
      <w:pPr>
        <w:pStyle w:val="SingleTxtG"/>
        <w:rPr>
          <w:lang w:val="fr-FR"/>
        </w:rPr>
      </w:pPr>
      <w:r w:rsidRPr="00640449">
        <w:rPr>
          <w:lang w:val="fr-FR"/>
        </w:rPr>
        <w:tab/>
      </w:r>
      <w:r w:rsidRPr="00640449">
        <w:rPr>
          <w:noProof/>
          <w:lang w:val="en-GB" w:eastAsia="en-GB"/>
        </w:rPr>
        <w:drawing>
          <wp:inline distT="0" distB="0" distL="0" distR="0" wp14:anchorId="5BB28FFB" wp14:editId="6C4A7D34">
            <wp:extent cx="4683125" cy="3111500"/>
            <wp:effectExtent l="0" t="0" r="3175" b="1270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4E9C" w:rsidRPr="00640449" w:rsidRDefault="00D84A2C" w:rsidP="00D84A2C">
      <w:pPr>
        <w:pStyle w:val="H23G"/>
        <w:rPr>
          <w:lang w:val="fr-FR"/>
        </w:rPr>
      </w:pPr>
      <w:r w:rsidRPr="00640449">
        <w:rPr>
          <w:lang w:val="fr-FR"/>
        </w:rPr>
        <w:tab/>
      </w:r>
      <w:r w:rsidRPr="00640449">
        <w:rPr>
          <w:lang w:val="fr-FR"/>
        </w:rPr>
        <w:tab/>
      </w:r>
      <w:r w:rsidR="00674E9C" w:rsidRPr="00640449">
        <w:rPr>
          <w:lang w:val="fr-FR"/>
        </w:rPr>
        <w:t>R n°10 b par nationalité – au 01/01/19</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68"/>
        <w:gridCol w:w="2863"/>
        <w:gridCol w:w="2139"/>
      </w:tblGrid>
      <w:tr w:rsidR="00640449" w:rsidRPr="00640449" w:rsidTr="00154097">
        <w:trPr>
          <w:tblHeader/>
        </w:trPr>
        <w:tc>
          <w:tcPr>
            <w:tcW w:w="4801" w:type="dxa"/>
            <w:tcBorders>
              <w:top w:val="single" w:sz="4" w:space="0" w:color="auto"/>
              <w:bottom w:val="single" w:sz="12" w:space="0" w:color="auto"/>
            </w:tcBorders>
            <w:shd w:val="clear" w:color="auto" w:fill="auto"/>
            <w:noWrap/>
            <w:vAlign w:val="bottom"/>
            <w:hideMark/>
          </w:tcPr>
          <w:p w:rsidR="00674E9C" w:rsidRPr="00640449" w:rsidRDefault="00347A10" w:rsidP="00347A10">
            <w:pPr>
              <w:pStyle w:val="SingleTxtG"/>
              <w:suppressAutoHyphens w:val="0"/>
              <w:spacing w:before="80" w:after="80" w:line="200" w:lineRule="exact"/>
              <w:ind w:left="0" w:right="0"/>
              <w:jc w:val="left"/>
              <w:rPr>
                <w:bCs/>
                <w:i/>
                <w:sz w:val="16"/>
                <w:lang w:val="fr-FR"/>
              </w:rPr>
            </w:pPr>
            <w:r w:rsidRPr="00640449">
              <w:rPr>
                <w:bCs/>
                <w:i/>
                <w:sz w:val="16"/>
                <w:lang w:val="fr-FR"/>
              </w:rPr>
              <w:t>Natio</w:t>
            </w:r>
            <w:r w:rsidR="00674E9C" w:rsidRPr="00640449">
              <w:rPr>
                <w:bCs/>
                <w:i/>
                <w:sz w:val="16"/>
                <w:lang w:val="fr-FR"/>
              </w:rPr>
              <w:t>nalité</w:t>
            </w:r>
          </w:p>
        </w:tc>
        <w:tc>
          <w:tcPr>
            <w:tcW w:w="5810" w:type="dxa"/>
            <w:tcBorders>
              <w:top w:val="single" w:sz="4" w:space="0" w:color="auto"/>
              <w:bottom w:val="single" w:sz="12" w:space="0" w:color="auto"/>
            </w:tcBorders>
            <w:shd w:val="clear" w:color="auto" w:fill="auto"/>
            <w:noWrap/>
            <w:vAlign w:val="bottom"/>
            <w:hideMark/>
          </w:tcPr>
          <w:p w:rsidR="00674E9C" w:rsidRPr="00640449" w:rsidRDefault="00674E9C" w:rsidP="00347A10">
            <w:pPr>
              <w:pStyle w:val="SingleTxtG"/>
              <w:suppressAutoHyphens w:val="0"/>
              <w:spacing w:before="80" w:after="80" w:line="200" w:lineRule="exact"/>
              <w:ind w:left="0" w:right="0"/>
              <w:jc w:val="right"/>
              <w:rPr>
                <w:bCs/>
                <w:i/>
                <w:sz w:val="16"/>
                <w:lang w:val="fr-FR"/>
              </w:rPr>
            </w:pPr>
            <w:r w:rsidRPr="00640449">
              <w:rPr>
                <w:bCs/>
                <w:i/>
                <w:sz w:val="16"/>
                <w:lang w:val="fr-FR"/>
              </w:rPr>
              <w:t>Nb au 01/01/19 (CPL+CPG)</w:t>
            </w:r>
          </w:p>
        </w:tc>
        <w:tc>
          <w:tcPr>
            <w:tcW w:w="4335" w:type="dxa"/>
            <w:tcBorders>
              <w:top w:val="single" w:sz="4" w:space="0" w:color="auto"/>
              <w:bottom w:val="single" w:sz="12" w:space="0" w:color="auto"/>
            </w:tcBorders>
            <w:shd w:val="clear" w:color="auto" w:fill="auto"/>
            <w:vAlign w:val="bottom"/>
          </w:tcPr>
          <w:p w:rsidR="00674E9C" w:rsidRPr="00640449" w:rsidRDefault="00674E9C" w:rsidP="00347A10">
            <w:pPr>
              <w:pStyle w:val="SingleTxtG"/>
              <w:suppressAutoHyphens w:val="0"/>
              <w:spacing w:before="80" w:after="80" w:line="200" w:lineRule="exact"/>
              <w:ind w:left="0" w:right="0"/>
              <w:jc w:val="right"/>
              <w:rPr>
                <w:bCs/>
                <w:i/>
                <w:sz w:val="16"/>
                <w:lang w:val="fr-FR"/>
              </w:rPr>
            </w:pPr>
            <w:r w:rsidRPr="00640449">
              <w:rPr>
                <w:bCs/>
                <w:i/>
                <w:sz w:val="16"/>
                <w:lang w:val="fr-FR"/>
              </w:rPr>
              <w:t>% de la population totale</w:t>
            </w:r>
          </w:p>
        </w:tc>
      </w:tr>
      <w:tr w:rsidR="00640449" w:rsidRPr="00640449" w:rsidTr="00154097">
        <w:tc>
          <w:tcPr>
            <w:tcW w:w="4801" w:type="dxa"/>
            <w:tcBorders>
              <w:top w:val="single" w:sz="12" w:space="0" w:color="auto"/>
            </w:tcBorders>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Luxembourgeoise</w:t>
            </w:r>
          </w:p>
        </w:tc>
        <w:tc>
          <w:tcPr>
            <w:tcW w:w="5810" w:type="dxa"/>
            <w:tcBorders>
              <w:top w:val="single" w:sz="12" w:space="0" w:color="auto"/>
            </w:tcBorders>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165</w:t>
            </w:r>
          </w:p>
        </w:tc>
        <w:tc>
          <w:tcPr>
            <w:tcW w:w="4335" w:type="dxa"/>
            <w:tcBorders>
              <w:top w:val="single" w:sz="12" w:space="0" w:color="auto"/>
            </w:tcBorders>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rPr>
            </w:pPr>
            <w:r w:rsidRPr="00640449">
              <w:rPr>
                <w:sz w:val="18"/>
              </w:rPr>
              <w:t>25,15%</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Portugaise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94</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rPr>
            </w:pPr>
            <w:r w:rsidRPr="00640449">
              <w:rPr>
                <w:sz w:val="18"/>
              </w:rPr>
              <w:t>14,33%</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Nigériane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63</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rPr>
            </w:pPr>
            <w:r w:rsidRPr="00640449">
              <w:rPr>
                <w:sz w:val="18"/>
              </w:rPr>
              <w:t>9,60%</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Française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50</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rPr>
            </w:pPr>
            <w:r w:rsidRPr="00640449">
              <w:rPr>
                <w:sz w:val="18"/>
              </w:rPr>
              <w:t>7,62%</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Roumaine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37</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rPr>
            </w:pPr>
            <w:r w:rsidRPr="00640449">
              <w:rPr>
                <w:sz w:val="18"/>
              </w:rPr>
              <w:t>5,64%</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Algérienne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21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rPr>
            </w:pPr>
            <w:r w:rsidRPr="00640449">
              <w:rPr>
                <w:sz w:val="18"/>
              </w:rPr>
              <w:t>3,20%</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Cap-verdienne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16</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rPr>
            </w:pPr>
            <w:r w:rsidRPr="00640449">
              <w:rPr>
                <w:sz w:val="18"/>
              </w:rPr>
              <w:t>2,44%</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Italienne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15</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rPr>
            </w:pPr>
            <w:r w:rsidRPr="00640449">
              <w:rPr>
                <w:sz w:val="18"/>
              </w:rPr>
              <w:t>2,29%</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Géorgienne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13</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rPr>
            </w:pPr>
            <w:r w:rsidRPr="00640449">
              <w:rPr>
                <w:sz w:val="18"/>
              </w:rPr>
              <w:t>1,98%</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Marocaine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13</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rPr>
            </w:pPr>
            <w:r w:rsidRPr="00640449">
              <w:rPr>
                <w:sz w:val="18"/>
              </w:rPr>
              <w:t>1,98%</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Tunisienne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13</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1,98%</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Camerounaise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12</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1,83%</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Lituanienne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12</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1,83%</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Néerlandaise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1,68%</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Belge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10</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1,52%</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Serbe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10</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1,52%</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Bissau-guinéenne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8</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1,22%</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Libyenne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8</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1,22%</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Monténégrine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7</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1,07%</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Lettone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6</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0,91%</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Polonaise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6</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0,91%</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Allemande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5</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0,76%</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Gambienne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4</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0,61%</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Bosnienne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3</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0,46%</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Brésilienne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3</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0,46%</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lastRenderedPageBreak/>
              <w:t>Croate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3</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0,46%</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Espagnole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3</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0,46%</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Irakienne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3</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0,46%</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Iranienne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3</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0,46%</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Kosovare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3</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0,46%</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Albanaise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2</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0,30%</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Angolaise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2</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0,30%</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Bulgare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2</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0,30%</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Egyptienne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2</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0,30%</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Macédonienne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2</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0,30%</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Russe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2</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0,30%</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Sénégalaise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2</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0,30%</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Slovaque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2</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0,30%</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Turque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2</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0,30%</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Américaine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0,15%</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Anglaise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0,15%</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Arménienne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0,15%</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Burundaise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0,15%</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Chinoise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0,15%</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Dominicaine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0,15%</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Estonienne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0,15%</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Gab</w:t>
            </w:r>
            <w:r w:rsidR="00674E9C" w:rsidRPr="00640449">
              <w:rPr>
                <w:sz w:val="18"/>
                <w:lang w:val="fr-FR"/>
              </w:rPr>
              <w:t>onaise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0,15%</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Ghanéenne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0,15%</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Grecque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0,15%</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Ivoirienne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0,15%</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Kenyane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0,15%</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Libérienne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0,15%</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Moldave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0,15%</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Sierra-léonaise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0,15%</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Sud-soudanaise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0,15%</w:t>
            </w:r>
          </w:p>
        </w:tc>
      </w:tr>
      <w:tr w:rsidR="00640449" w:rsidRPr="00640449" w:rsidTr="00154097">
        <w:tc>
          <w:tcPr>
            <w:tcW w:w="4801" w:type="dxa"/>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Syrienne</w:t>
            </w:r>
          </w:p>
        </w:tc>
        <w:tc>
          <w:tcPr>
            <w:tcW w:w="5810" w:type="dxa"/>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w:t>
            </w:r>
          </w:p>
        </w:tc>
        <w:tc>
          <w:tcPr>
            <w:tcW w:w="4335" w:type="dxa"/>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0,15%</w:t>
            </w:r>
          </w:p>
        </w:tc>
      </w:tr>
      <w:tr w:rsidR="00640449" w:rsidRPr="00640449" w:rsidTr="00154097">
        <w:tc>
          <w:tcPr>
            <w:tcW w:w="4801" w:type="dxa"/>
            <w:tcBorders>
              <w:bottom w:val="single" w:sz="12" w:space="0" w:color="auto"/>
            </w:tcBorders>
            <w:shd w:val="clear" w:color="auto" w:fill="auto"/>
            <w:noWrap/>
            <w:hideMark/>
          </w:tcPr>
          <w:p w:rsidR="00674E9C" w:rsidRPr="00640449" w:rsidRDefault="00210C34" w:rsidP="00347A10">
            <w:pPr>
              <w:pStyle w:val="SingleTxtG"/>
              <w:suppressAutoHyphens w:val="0"/>
              <w:spacing w:before="40" w:after="40" w:line="220" w:lineRule="exact"/>
              <w:ind w:left="0" w:right="0"/>
              <w:jc w:val="left"/>
              <w:rPr>
                <w:sz w:val="18"/>
                <w:lang w:val="fr-FR"/>
              </w:rPr>
            </w:pPr>
            <w:r w:rsidRPr="00640449">
              <w:rPr>
                <w:sz w:val="18"/>
                <w:lang w:val="fr-FR"/>
              </w:rPr>
              <w:t>Apatride</w:t>
            </w:r>
          </w:p>
        </w:tc>
        <w:tc>
          <w:tcPr>
            <w:tcW w:w="5810" w:type="dxa"/>
            <w:tcBorders>
              <w:bottom w:val="single" w:sz="12" w:space="0" w:color="auto"/>
            </w:tcBorders>
            <w:shd w:val="clear" w:color="auto" w:fill="auto"/>
            <w:noWrap/>
            <w:vAlign w:val="bottom"/>
            <w:hideMark/>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1</w:t>
            </w:r>
          </w:p>
        </w:tc>
        <w:tc>
          <w:tcPr>
            <w:tcW w:w="4335" w:type="dxa"/>
            <w:tcBorders>
              <w:bottom w:val="single" w:sz="12" w:space="0" w:color="auto"/>
            </w:tcBorders>
            <w:shd w:val="clear" w:color="auto" w:fill="auto"/>
            <w:vAlign w:val="bottom"/>
          </w:tcPr>
          <w:p w:rsidR="00674E9C" w:rsidRPr="00640449" w:rsidRDefault="00674E9C" w:rsidP="00347A10">
            <w:pPr>
              <w:pStyle w:val="SingleTxtG"/>
              <w:suppressAutoHyphens w:val="0"/>
              <w:spacing w:before="40" w:after="40" w:line="220" w:lineRule="exact"/>
              <w:ind w:left="0" w:right="0"/>
              <w:jc w:val="right"/>
              <w:rPr>
                <w:sz w:val="18"/>
                <w:lang w:val="fr-FR"/>
              </w:rPr>
            </w:pPr>
            <w:r w:rsidRPr="00640449">
              <w:rPr>
                <w:sz w:val="18"/>
                <w:lang w:val="fr-FR"/>
              </w:rPr>
              <w:t>0,15%</w:t>
            </w:r>
          </w:p>
        </w:tc>
      </w:tr>
    </w:tbl>
    <w:p w:rsidR="005130E6" w:rsidRPr="00640449" w:rsidRDefault="00D84A2C" w:rsidP="00D20CB5">
      <w:pPr>
        <w:pStyle w:val="H23G"/>
        <w:rPr>
          <w:lang w:val="fr-FR"/>
        </w:rPr>
      </w:pPr>
      <w:r w:rsidRPr="00640449">
        <w:rPr>
          <w:lang w:val="fr-FR"/>
        </w:rPr>
        <w:tab/>
      </w:r>
      <w:r w:rsidRPr="00640449">
        <w:rPr>
          <w:lang w:val="fr-FR"/>
        </w:rPr>
        <w:tab/>
      </w:r>
      <w:r w:rsidR="00674E9C" w:rsidRPr="00640449">
        <w:rPr>
          <w:lang w:val="fr-FR"/>
        </w:rPr>
        <w:t>R n°10 b détention préventive – au 02/04/19</w:t>
      </w:r>
    </w:p>
    <w:p w:rsidR="00347A10" w:rsidRPr="00640449" w:rsidRDefault="001A7B42" w:rsidP="00D20CB5">
      <w:pPr>
        <w:pStyle w:val="SingleTxtG"/>
        <w:keepNext/>
        <w:keepLines/>
        <w:rPr>
          <w:lang w:val="fr-FR"/>
        </w:rPr>
      </w:pPr>
      <w:r w:rsidRPr="00640449">
        <w:rPr>
          <w:lang w:val="fr-FR"/>
        </w:rPr>
        <w:t>110.</w:t>
      </w:r>
      <w:r w:rsidRPr="00640449">
        <w:rPr>
          <w:lang w:val="fr-FR"/>
        </w:rPr>
        <w:tab/>
      </w:r>
      <w:r w:rsidR="00674E9C" w:rsidRPr="00640449">
        <w:rPr>
          <w:lang w:val="fr-FR"/>
        </w:rPr>
        <w:t>CPL sit</w:t>
      </w:r>
      <w:r w:rsidR="00C24012" w:rsidRPr="00640449">
        <w:rPr>
          <w:lang w:val="fr-FR"/>
        </w:rPr>
        <w:t>uation au 02/04/19</w:t>
      </w:r>
      <w:r w:rsidR="00F97B1E">
        <w:rPr>
          <w:lang w:val="fr-FR"/>
        </w:rPr>
        <w:t> </w:t>
      </w:r>
      <w:r w:rsidR="00674E9C" w:rsidRPr="00640449">
        <w:rPr>
          <w:lang w:val="fr-FR"/>
        </w:rPr>
        <w:t>:</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ab/>
        <w:t>334 personnes (309 hommes et 12 femmes)</w:t>
      </w:r>
      <w:r w:rsidR="00640449">
        <w:rPr>
          <w:lang w:val="fr-FR"/>
        </w:rPr>
        <w:t> ;</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ab/>
        <w:t>334/584 = 57,19 % de la population au CPL</w:t>
      </w:r>
      <w:r w:rsidR="00640449">
        <w:rPr>
          <w:lang w:val="fr-FR"/>
        </w:rPr>
        <w:t> ;</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ab/>
        <w:t>334/656 = 50,91 % de la population CPL et CPG</w:t>
      </w:r>
      <w:r w:rsidR="005F2FA1" w:rsidRPr="00640449">
        <w:rPr>
          <w:lang w:val="fr-FR"/>
        </w:rPr>
        <w:t>.</w:t>
      </w:r>
    </w:p>
    <w:p w:rsidR="00674E9C" w:rsidRPr="00640449" w:rsidRDefault="001A7B42" w:rsidP="001A7B42">
      <w:pPr>
        <w:pStyle w:val="SingleTxtG"/>
        <w:rPr>
          <w:lang w:val="fr-FR"/>
        </w:rPr>
      </w:pPr>
      <w:r w:rsidRPr="00640449">
        <w:rPr>
          <w:lang w:val="fr-FR"/>
        </w:rPr>
        <w:t>111.</w:t>
      </w:r>
      <w:r w:rsidRPr="00640449">
        <w:rPr>
          <w:lang w:val="fr-FR"/>
        </w:rPr>
        <w:tab/>
      </w:r>
      <w:r w:rsidR="00674E9C" w:rsidRPr="00640449">
        <w:rPr>
          <w:lang w:val="fr-FR"/>
        </w:rPr>
        <w:t>La durée moyenne de la détention préventive des prévenus incarcérés au 02/04/2019 : 180 jours</w:t>
      </w:r>
      <w:r w:rsidR="00C24012" w:rsidRPr="00640449">
        <w:rPr>
          <w:lang w:val="fr-FR"/>
        </w:rPr>
        <w:t>.</w:t>
      </w:r>
    </w:p>
    <w:p w:rsidR="005130E6" w:rsidRPr="00640449" w:rsidRDefault="001A7B42" w:rsidP="001A7B42">
      <w:pPr>
        <w:pStyle w:val="SingleTxtG"/>
        <w:rPr>
          <w:lang w:val="fr-FR"/>
        </w:rPr>
      </w:pPr>
      <w:r w:rsidRPr="00640449">
        <w:rPr>
          <w:lang w:val="fr-FR"/>
        </w:rPr>
        <w:t>112.</w:t>
      </w:r>
      <w:r w:rsidRPr="00640449">
        <w:rPr>
          <w:lang w:val="fr-FR"/>
        </w:rPr>
        <w:tab/>
      </w:r>
      <w:r w:rsidR="00674E9C" w:rsidRPr="00640449">
        <w:rPr>
          <w:lang w:val="fr-FR"/>
        </w:rPr>
        <w:t>La durée maximale de la détention préventive des prévenus incarcérés au 02/04/2019 : 1251 jours</w:t>
      </w:r>
      <w:r w:rsidR="00C24012" w:rsidRPr="00640449">
        <w:rPr>
          <w:lang w:val="fr-FR"/>
        </w:rPr>
        <w:t>.</w:t>
      </w:r>
    </w:p>
    <w:p w:rsidR="008C30FA" w:rsidRPr="00640449" w:rsidRDefault="008C30FA" w:rsidP="008C30FA">
      <w:pPr>
        <w:pStyle w:val="H1G"/>
        <w:rPr>
          <w:lang w:val="fr-FR"/>
        </w:rPr>
      </w:pPr>
      <w:r w:rsidRPr="00640449">
        <w:lastRenderedPageBreak/>
        <w:tab/>
      </w:r>
      <w:r w:rsidR="00CF6D6A" w:rsidRPr="00640449">
        <w:t>X</w:t>
      </w:r>
      <w:r w:rsidRPr="00640449">
        <w:t>.</w:t>
      </w:r>
      <w:r w:rsidRPr="00640449">
        <w:tab/>
      </w:r>
      <w:r w:rsidRPr="00640449">
        <w:rPr>
          <w:lang w:val="fr-FR"/>
        </w:rPr>
        <w:t xml:space="preserve">Réponse à </w:t>
      </w:r>
      <w:r w:rsidRPr="00640449">
        <w:t>la</w:t>
      </w:r>
      <w:r w:rsidRPr="00640449">
        <w:rPr>
          <w:lang w:val="fr-FR"/>
        </w:rPr>
        <w:t xml:space="preserve"> question posée au paragraphe 10 </w:t>
      </w:r>
      <w:r w:rsidR="001A7B42" w:rsidRPr="00640449">
        <w:rPr>
          <w:lang w:val="fr-FR"/>
        </w:rPr>
        <w:t>(</w:t>
      </w:r>
      <w:r w:rsidRPr="00640449">
        <w:rPr>
          <w:lang w:val="fr-FR"/>
        </w:rPr>
        <w:t>c</w:t>
      </w:r>
      <w:r w:rsidR="001A7B42" w:rsidRPr="00640449">
        <w:rPr>
          <w:lang w:val="fr-FR"/>
        </w:rPr>
        <w:t>)</w:t>
      </w:r>
    </w:p>
    <w:p w:rsidR="00674E9C" w:rsidRPr="00640449" w:rsidRDefault="001A7B42" w:rsidP="001A7B42">
      <w:pPr>
        <w:pStyle w:val="SingleTxtG"/>
        <w:rPr>
          <w:lang w:val="fr-FR"/>
        </w:rPr>
      </w:pPr>
      <w:r w:rsidRPr="00640449">
        <w:rPr>
          <w:lang w:val="fr-FR"/>
        </w:rPr>
        <w:t>113.</w:t>
      </w:r>
      <w:r w:rsidRPr="00640449">
        <w:rPr>
          <w:lang w:val="fr-FR"/>
        </w:rPr>
        <w:tab/>
      </w:r>
      <w:r w:rsidR="00674E9C" w:rsidRPr="00640449">
        <w:rPr>
          <w:lang w:val="fr-FR"/>
        </w:rPr>
        <w:t xml:space="preserve">Les cloisonnements des parties sanitaires sont successivement aménagés dans toutes les cellules du CPL. </w:t>
      </w:r>
      <w:r w:rsidR="00FD7E28">
        <w:rPr>
          <w:lang w:val="fr-FR"/>
        </w:rPr>
        <w:t>À</w:t>
      </w:r>
      <w:r w:rsidR="00674E9C" w:rsidRPr="00640449">
        <w:rPr>
          <w:lang w:val="fr-FR"/>
        </w:rPr>
        <w:t xml:space="preserve"> la fin des travaux de réaménagement du CPL, toutes les cellules répondront aux standards. Au CPU (Centre pénitentiaire </w:t>
      </w:r>
      <w:proofErr w:type="spellStart"/>
      <w:r w:rsidR="00674E9C" w:rsidRPr="00640449">
        <w:rPr>
          <w:lang w:val="fr-FR"/>
        </w:rPr>
        <w:t>Uerschterhaff</w:t>
      </w:r>
      <w:proofErr w:type="spellEnd"/>
      <w:r w:rsidR="00674E9C" w:rsidRPr="00640449">
        <w:rPr>
          <w:lang w:val="fr-FR"/>
        </w:rPr>
        <w:t>), un cloisonnement sera prévu pour toutes les cellules à occupation double.</w:t>
      </w:r>
    </w:p>
    <w:p w:rsidR="00674E9C" w:rsidRPr="00640449" w:rsidRDefault="001A7B42" w:rsidP="001A7B42">
      <w:pPr>
        <w:pStyle w:val="SingleTxtG"/>
        <w:rPr>
          <w:lang w:val="fr-FR"/>
        </w:rPr>
      </w:pPr>
      <w:r w:rsidRPr="00640449">
        <w:rPr>
          <w:lang w:val="fr-FR"/>
        </w:rPr>
        <w:t>114.</w:t>
      </w:r>
      <w:r w:rsidRPr="00640449">
        <w:rPr>
          <w:lang w:val="fr-FR"/>
        </w:rPr>
        <w:tab/>
      </w:r>
      <w:r w:rsidR="00674E9C" w:rsidRPr="00640449">
        <w:rPr>
          <w:lang w:val="fr-FR"/>
        </w:rPr>
        <w:t>Les cellules d’arrêt des commissariats sont cloisonnées en soi et il s’agit de cellules individuelles. Un cloisonnement supplémentaire n’apportera pas de plus-value.</w:t>
      </w:r>
    </w:p>
    <w:p w:rsidR="005130E6" w:rsidRPr="00640449" w:rsidRDefault="001A7B42" w:rsidP="001A7B42">
      <w:pPr>
        <w:pStyle w:val="SingleTxtG"/>
        <w:rPr>
          <w:lang w:val="fr-FR"/>
        </w:rPr>
      </w:pPr>
      <w:r w:rsidRPr="00640449">
        <w:rPr>
          <w:lang w:val="fr-FR"/>
        </w:rPr>
        <w:t>115.</w:t>
      </w:r>
      <w:r w:rsidRPr="00640449">
        <w:rPr>
          <w:lang w:val="fr-FR"/>
        </w:rPr>
        <w:tab/>
      </w:r>
      <w:r w:rsidR="00674E9C" w:rsidRPr="00640449">
        <w:rPr>
          <w:lang w:val="fr-FR"/>
        </w:rPr>
        <w:t>Au sujet des matelas dans les cellules d’arrêt de la Police, deux projets pilote sont en cours de réalisation.</w:t>
      </w:r>
    </w:p>
    <w:p w:rsidR="008C30FA" w:rsidRPr="00640449" w:rsidRDefault="008C30FA" w:rsidP="008C30FA">
      <w:pPr>
        <w:pStyle w:val="H1G"/>
        <w:rPr>
          <w:lang w:val="fr-FR"/>
        </w:rPr>
      </w:pPr>
      <w:r w:rsidRPr="00640449">
        <w:tab/>
      </w:r>
      <w:r w:rsidR="00CF6D6A" w:rsidRPr="00640449">
        <w:t>Y</w:t>
      </w:r>
      <w:r w:rsidRPr="00640449">
        <w:t>.</w:t>
      </w:r>
      <w:r w:rsidRPr="00640449">
        <w:tab/>
      </w:r>
      <w:r w:rsidRPr="00640449">
        <w:rPr>
          <w:lang w:val="fr-FR"/>
        </w:rPr>
        <w:t xml:space="preserve">Réponse à </w:t>
      </w:r>
      <w:r w:rsidRPr="00640449">
        <w:t>la</w:t>
      </w:r>
      <w:r w:rsidRPr="00640449">
        <w:rPr>
          <w:lang w:val="fr-FR"/>
        </w:rPr>
        <w:t xml:space="preserve"> question posée au paragraphe 10</w:t>
      </w:r>
      <w:r w:rsidR="001A7B42" w:rsidRPr="00640449">
        <w:rPr>
          <w:lang w:val="fr-FR"/>
        </w:rPr>
        <w:t xml:space="preserve"> (</w:t>
      </w:r>
      <w:r w:rsidRPr="00640449">
        <w:rPr>
          <w:lang w:val="fr-FR"/>
        </w:rPr>
        <w:t>d</w:t>
      </w:r>
      <w:r w:rsidR="001A7B42" w:rsidRPr="00640449">
        <w:rPr>
          <w:lang w:val="fr-FR"/>
        </w:rPr>
        <w:t>)</w:t>
      </w:r>
    </w:p>
    <w:p w:rsidR="00674E9C" w:rsidRPr="00640449" w:rsidRDefault="001A7B42" w:rsidP="001A7B42">
      <w:pPr>
        <w:pStyle w:val="SingleTxtG"/>
        <w:rPr>
          <w:lang w:val="fr-FR"/>
        </w:rPr>
      </w:pPr>
      <w:r w:rsidRPr="00640449">
        <w:rPr>
          <w:lang w:val="fr-FR"/>
        </w:rPr>
        <w:t>116.</w:t>
      </w:r>
      <w:r w:rsidRPr="00640449">
        <w:rPr>
          <w:lang w:val="fr-FR"/>
        </w:rPr>
        <w:tab/>
      </w:r>
      <w:r w:rsidR="00674E9C" w:rsidRPr="00640449">
        <w:rPr>
          <w:lang w:val="fr-FR"/>
        </w:rPr>
        <w:t xml:space="preserve">De telles pratiques n’ont jamais été exercées aux Centres pénitentiaires. </w:t>
      </w:r>
    </w:p>
    <w:p w:rsidR="00674E9C" w:rsidRPr="00640449" w:rsidRDefault="001A7B42" w:rsidP="001A7B42">
      <w:pPr>
        <w:pStyle w:val="SingleTxtG"/>
        <w:rPr>
          <w:lang w:val="fr-FR"/>
        </w:rPr>
      </w:pPr>
      <w:r w:rsidRPr="00640449">
        <w:rPr>
          <w:lang w:val="fr-FR"/>
        </w:rPr>
        <w:t>117.</w:t>
      </w:r>
      <w:r w:rsidRPr="00640449">
        <w:rPr>
          <w:lang w:val="fr-FR"/>
        </w:rPr>
        <w:tab/>
      </w:r>
      <w:r w:rsidR="00674E9C" w:rsidRPr="00640449">
        <w:rPr>
          <w:lang w:val="fr-FR"/>
        </w:rPr>
        <w:t xml:space="preserve">Le CPT du Conseil de l’Europe avait relevé dans son rapport de septembre 2015 les très bonnes conditions matérielles des cellules d’arrêt. </w:t>
      </w:r>
    </w:p>
    <w:p w:rsidR="00674E9C" w:rsidRPr="00640449" w:rsidRDefault="001A7B42" w:rsidP="001A7B42">
      <w:pPr>
        <w:pStyle w:val="SingleTxtG"/>
        <w:rPr>
          <w:lang w:val="fr-FR"/>
        </w:rPr>
      </w:pPr>
      <w:r w:rsidRPr="00640449">
        <w:rPr>
          <w:lang w:val="fr-FR"/>
        </w:rPr>
        <w:t>118.</w:t>
      </w:r>
      <w:r w:rsidRPr="00640449">
        <w:rPr>
          <w:lang w:val="fr-FR"/>
        </w:rPr>
        <w:tab/>
      </w:r>
      <w:r w:rsidR="00674E9C" w:rsidRPr="00640449">
        <w:rPr>
          <w:lang w:val="fr-FR"/>
        </w:rPr>
        <w:t>La question du CAT semble donc viser plutôt les cellules de sécurité qui sont plus petites que les cellules d’arrêt et qui sont situées dans les postes de police. Les cellules de sécurité ne sont utilisées que pour des privations de liberté de très courte durée (attente de l’avocat, de l’interprète).</w:t>
      </w:r>
    </w:p>
    <w:p w:rsidR="005130E6" w:rsidRPr="00640449" w:rsidRDefault="001A7B42" w:rsidP="001A7B42">
      <w:pPr>
        <w:pStyle w:val="SingleTxtG"/>
        <w:rPr>
          <w:lang w:val="fr-FR"/>
        </w:rPr>
      </w:pPr>
      <w:r w:rsidRPr="00640449">
        <w:rPr>
          <w:lang w:val="fr-FR"/>
        </w:rPr>
        <w:t>119.</w:t>
      </w:r>
      <w:r w:rsidRPr="00640449">
        <w:rPr>
          <w:lang w:val="fr-FR"/>
        </w:rPr>
        <w:tab/>
      </w:r>
      <w:r w:rsidR="00674E9C" w:rsidRPr="00640449">
        <w:rPr>
          <w:lang w:val="fr-FR"/>
        </w:rPr>
        <w:t>Par ailleurs, les chaises avec arceaux ont été enlevées du commissariat de police à la gare de Luxembourg.</w:t>
      </w:r>
    </w:p>
    <w:p w:rsidR="008C30FA" w:rsidRPr="00640449" w:rsidRDefault="008C30FA" w:rsidP="008C30FA">
      <w:pPr>
        <w:pStyle w:val="H1G"/>
        <w:rPr>
          <w:lang w:val="fr-FR"/>
        </w:rPr>
      </w:pPr>
      <w:r w:rsidRPr="00640449">
        <w:tab/>
      </w:r>
      <w:r w:rsidR="00CF6D6A" w:rsidRPr="00640449">
        <w:t>Z</w:t>
      </w:r>
      <w:r w:rsidRPr="00640449">
        <w:t>.</w:t>
      </w:r>
      <w:r w:rsidRPr="00640449">
        <w:tab/>
      </w:r>
      <w:r w:rsidRPr="00640449">
        <w:rPr>
          <w:lang w:val="fr-FR"/>
        </w:rPr>
        <w:t xml:space="preserve">Réponse à </w:t>
      </w:r>
      <w:r w:rsidRPr="00640449">
        <w:t>la</w:t>
      </w:r>
      <w:r w:rsidRPr="00640449">
        <w:rPr>
          <w:lang w:val="fr-FR"/>
        </w:rPr>
        <w:t xml:space="preserve"> question posée au paragraphe 11</w:t>
      </w:r>
      <w:r w:rsidR="00AA4763" w:rsidRPr="00640449">
        <w:rPr>
          <w:lang w:val="fr-FR"/>
        </w:rPr>
        <w:t xml:space="preserve"> (</w:t>
      </w:r>
      <w:r w:rsidRPr="00640449">
        <w:rPr>
          <w:lang w:val="fr-FR"/>
        </w:rPr>
        <w:t>a</w:t>
      </w:r>
      <w:r w:rsidR="00AA4763" w:rsidRPr="00640449">
        <w:rPr>
          <w:lang w:val="fr-FR"/>
        </w:rPr>
        <w:t>)</w:t>
      </w:r>
    </w:p>
    <w:p w:rsidR="00674E9C" w:rsidRPr="00640449" w:rsidRDefault="001A7B42" w:rsidP="001A7B42">
      <w:pPr>
        <w:pStyle w:val="SingleTxtG"/>
        <w:rPr>
          <w:lang w:val="fr-FR"/>
        </w:rPr>
      </w:pPr>
      <w:r w:rsidRPr="00640449">
        <w:rPr>
          <w:lang w:val="fr-FR"/>
        </w:rPr>
        <w:t>120.</w:t>
      </w:r>
      <w:r w:rsidRPr="00640449">
        <w:rPr>
          <w:lang w:val="fr-FR"/>
        </w:rPr>
        <w:tab/>
      </w:r>
      <w:r w:rsidR="00674E9C" w:rsidRPr="00640449">
        <w:rPr>
          <w:lang w:val="fr-FR"/>
        </w:rPr>
        <w:t>Chaque détenu a droit au traitement médical selon le principe de l’équivalence des soins. Le traitement est gratuit, de même que toutes les médications et les traitements adjuvants et les moyens diagnostiques.</w:t>
      </w:r>
    </w:p>
    <w:p w:rsidR="00674E9C" w:rsidRPr="00640449" w:rsidRDefault="001A7B42" w:rsidP="001A7B42">
      <w:pPr>
        <w:pStyle w:val="SingleTxtG"/>
        <w:rPr>
          <w:lang w:val="fr-FR"/>
        </w:rPr>
      </w:pPr>
      <w:r w:rsidRPr="00640449">
        <w:rPr>
          <w:lang w:val="fr-FR"/>
        </w:rPr>
        <w:t>121.</w:t>
      </w:r>
      <w:r w:rsidRPr="00640449">
        <w:rPr>
          <w:lang w:val="fr-FR"/>
        </w:rPr>
        <w:tab/>
      </w:r>
      <w:r w:rsidR="00674E9C" w:rsidRPr="00640449">
        <w:rPr>
          <w:lang w:val="fr-FR"/>
        </w:rPr>
        <w:t xml:space="preserve">Tous les examens et interventions qui ne peuvent être réalisés au CPL sont effectués au CHL (Centre hospitalier de Luxembourg) selon les mêmes conditions que celles réservées au grand public. Deux cellules spécialement aménagées à cette fin permettent l’hospitalisation de détenus au CHL. </w:t>
      </w:r>
    </w:p>
    <w:p w:rsidR="00674E9C" w:rsidRPr="00640449" w:rsidRDefault="001A7B42" w:rsidP="001A7B42">
      <w:pPr>
        <w:pStyle w:val="SingleTxtG"/>
        <w:rPr>
          <w:lang w:val="fr-FR"/>
        </w:rPr>
      </w:pPr>
      <w:r w:rsidRPr="00640449">
        <w:rPr>
          <w:lang w:val="fr-FR"/>
        </w:rPr>
        <w:t>122.</w:t>
      </w:r>
      <w:r w:rsidRPr="00640449">
        <w:rPr>
          <w:lang w:val="fr-FR"/>
        </w:rPr>
        <w:tab/>
      </w:r>
      <w:r w:rsidR="00674E9C" w:rsidRPr="00640449">
        <w:rPr>
          <w:lang w:val="fr-FR"/>
        </w:rPr>
        <w:t>Le régime est défini à l’article 26 de la loi de</w:t>
      </w:r>
      <w:r w:rsidR="00C24012" w:rsidRPr="00640449">
        <w:rPr>
          <w:lang w:val="fr-FR"/>
        </w:rPr>
        <w:t xml:space="preserve"> l’administration pénitentiaire</w:t>
      </w:r>
      <w:r w:rsidR="00F97B1E">
        <w:rPr>
          <w:lang w:val="fr-FR"/>
        </w:rPr>
        <w:t> </w:t>
      </w:r>
      <w:r w:rsidR="00674E9C" w:rsidRPr="00640449">
        <w:rPr>
          <w:lang w:val="fr-FR"/>
        </w:rPr>
        <w:t>:</w:t>
      </w:r>
    </w:p>
    <w:p w:rsidR="00674E9C" w:rsidRPr="00640449" w:rsidRDefault="00674E9C" w:rsidP="00D84A2C">
      <w:pPr>
        <w:pStyle w:val="SingleTxtG"/>
        <w:spacing w:after="0"/>
        <w:ind w:left="1701"/>
        <w:rPr>
          <w:lang w:val="fr-FR"/>
        </w:rPr>
      </w:pPr>
      <w:r w:rsidRPr="00640449">
        <w:rPr>
          <w:lang w:val="fr-FR"/>
        </w:rPr>
        <w:t>« (1) Chaque détenu a droit dans une mesure suffisante et appropriée aux soins correspondant au mieux à son état de santé. L’administration pénitentiaire veille à l’équivalence des prestations de soins de santé fournis à chaque détenu par rapport auxquels il pourrait prétendre en l’absence de son incarcération. Les prestations ne peuvent dépasser l’utile et le nécessaire et doivent être faites dans la plus stricte économie compatible avec l’efficacité du traitement et être conforme aux données acquises par la science et la déontologie médicale. L’administration pénitentiaire organise l’accès aux soins et prend en charge les coûts et frais y afférents. En fonction des soins requis, ceux-ci peuvent être prestés à l’intérieur ou à l’extérieur du centre pénitentiaire.</w:t>
      </w:r>
    </w:p>
    <w:p w:rsidR="00674E9C" w:rsidRPr="00640449" w:rsidRDefault="00674E9C" w:rsidP="00D84A2C">
      <w:pPr>
        <w:pStyle w:val="SingleTxtG"/>
        <w:spacing w:after="0"/>
        <w:ind w:left="1701"/>
        <w:rPr>
          <w:lang w:val="fr-FR"/>
        </w:rPr>
      </w:pPr>
      <w:r w:rsidRPr="00640449">
        <w:rPr>
          <w:lang w:val="fr-FR"/>
        </w:rPr>
        <w:t>(2) Sans préjudice des soins visés au paragraphe 1er, chaque détenu peut se faire soigner dans les locaux du centre pénitentiaire par le médecin de son choix conformément aux dispositions légales et réglementaires du droit commun applicables en matières de santé et de sécurité sociale.</w:t>
      </w:r>
    </w:p>
    <w:p w:rsidR="00674E9C" w:rsidRPr="00640449" w:rsidRDefault="00674E9C" w:rsidP="00D84A2C">
      <w:pPr>
        <w:pStyle w:val="SingleTxtG"/>
        <w:spacing w:after="0"/>
        <w:ind w:left="1701"/>
        <w:rPr>
          <w:lang w:val="fr-FR"/>
        </w:rPr>
      </w:pPr>
      <w:r w:rsidRPr="00640449">
        <w:rPr>
          <w:lang w:val="fr-FR"/>
        </w:rPr>
        <w:t xml:space="preserve">(3) Pour assurer la prise en charge des soins visés au paragraphe 1er, y compris ceux qui requièrent un transfert vers un hôpital, l’administration pénitentiaire peut avoir recours aux prestations des professionnels de santé du secteur hospitalier et extrahospitalier. À l’extérieur, les tarifs des prestations sont déterminés conformément au Code de la sécurité sociale. À l’intérieur, le ministre règle l’organisation des soins de santé dispensés aux détenus par le biais de conventions à négocier avec les prestataires. </w:t>
      </w:r>
    </w:p>
    <w:p w:rsidR="00674E9C" w:rsidRPr="00640449" w:rsidRDefault="00674E9C" w:rsidP="00D84A2C">
      <w:pPr>
        <w:pStyle w:val="SingleTxtG"/>
        <w:spacing w:after="0"/>
        <w:ind w:left="1701"/>
        <w:rPr>
          <w:lang w:val="fr-FR"/>
        </w:rPr>
      </w:pPr>
      <w:r w:rsidRPr="00640449">
        <w:rPr>
          <w:lang w:val="fr-FR"/>
        </w:rPr>
        <w:lastRenderedPageBreak/>
        <w:t xml:space="preserve">(4) Les prestations de soins de santé sont documentées par le médecin traitant du détenu dans un dossier médical. Sans préjudice du secret professionnel visé à l’article 458 du Code pénal ou de toute autre obligation de confidentialité professionnelle, le médecin traitant du détenu ainsi que tous les autres professionnels le cas échéant tenus à un secret professionnel ou à une obligation de confidentialité peuvent échanger avec l’administration pénitentiaire les informations indispensables lorsqu’il est dans l’intérêt du détenu concerné, des autres détenus, du personnel ou de la sécurité, de la salubrité du centre pénitentiaire ou des autres personnes ayant des contacts physiques avec les détenus, y compris en ce qui concerne la lutte contre des maladies contagieuses. </w:t>
      </w:r>
    </w:p>
    <w:p w:rsidR="005130E6" w:rsidRPr="00640449" w:rsidRDefault="00674E9C" w:rsidP="00942E34">
      <w:pPr>
        <w:pStyle w:val="SingleTxtG"/>
        <w:ind w:left="1701"/>
        <w:rPr>
          <w:i/>
          <w:lang w:val="fr-FR"/>
        </w:rPr>
      </w:pPr>
      <w:r w:rsidRPr="00640449">
        <w:rPr>
          <w:lang w:val="fr-FR"/>
        </w:rPr>
        <w:t>(5) Les dispositions de droit commun relatives aux droits des patients s’appliquent aux détenus, sauf les exceptions prévues par la présente loi.</w:t>
      </w:r>
      <w:r w:rsidRPr="00640449">
        <w:rPr>
          <w:i/>
          <w:lang w:val="fr-FR"/>
        </w:rPr>
        <w:t> </w:t>
      </w:r>
      <w:r w:rsidRPr="00D20CB5">
        <w:rPr>
          <w:iCs/>
          <w:lang w:val="fr-FR"/>
        </w:rPr>
        <w:t>»</w:t>
      </w:r>
      <w:r w:rsidR="001B21FC">
        <w:rPr>
          <w:iCs/>
          <w:lang w:val="fr-FR"/>
        </w:rPr>
        <w:t>.</w:t>
      </w:r>
    </w:p>
    <w:p w:rsidR="00674E9C" w:rsidRPr="00640449" w:rsidRDefault="001A7B42" w:rsidP="001A7B42">
      <w:pPr>
        <w:pStyle w:val="SingleTxtG"/>
        <w:rPr>
          <w:lang w:val="fr-FR"/>
        </w:rPr>
      </w:pPr>
      <w:r w:rsidRPr="00640449">
        <w:rPr>
          <w:lang w:val="fr-FR"/>
        </w:rPr>
        <w:t>123.</w:t>
      </w:r>
      <w:r w:rsidRPr="00640449">
        <w:rPr>
          <w:lang w:val="fr-FR"/>
        </w:rPr>
        <w:tab/>
      </w:r>
      <w:r w:rsidR="00674E9C" w:rsidRPr="00640449">
        <w:rPr>
          <w:lang w:val="fr-FR"/>
        </w:rPr>
        <w:t xml:space="preserve">Dans le domaine de la </w:t>
      </w:r>
      <w:r w:rsidR="00F97B1E">
        <w:rPr>
          <w:lang w:val="fr-FR"/>
        </w:rPr>
        <w:t>s</w:t>
      </w:r>
      <w:r w:rsidR="00674E9C" w:rsidRPr="00640449">
        <w:rPr>
          <w:lang w:val="fr-FR"/>
        </w:rPr>
        <w:t>anté, la loi modifiée du 10 décembre 2009 règle le traitement in</w:t>
      </w:r>
      <w:r w:rsidR="00AA4763" w:rsidRPr="00640449">
        <w:rPr>
          <w:lang w:val="fr-FR"/>
        </w:rPr>
        <w:t>volontaire et l’accès aux soins.</w:t>
      </w:r>
    </w:p>
    <w:p w:rsidR="00D84A2C" w:rsidRPr="00640449" w:rsidRDefault="001B21FC" w:rsidP="008B5C35">
      <w:pPr>
        <w:pStyle w:val="SingleTxtG"/>
        <w:spacing w:after="0"/>
        <w:ind w:left="1701"/>
        <w:rPr>
          <w:lang w:val="fr-FR"/>
        </w:rPr>
      </w:pPr>
      <w:r>
        <w:rPr>
          <w:lang w:val="fr-FR"/>
        </w:rPr>
        <w:t>« </w:t>
      </w:r>
      <w:r w:rsidR="00D84A2C" w:rsidRPr="00640449">
        <w:rPr>
          <w:lang w:val="fr-FR"/>
        </w:rPr>
        <w:t>Loi modifiée du 10 décembre 2009</w:t>
      </w:r>
      <w:r w:rsidR="00F97B1E">
        <w:rPr>
          <w:lang w:val="fr-FR"/>
        </w:rPr>
        <w:t> </w:t>
      </w:r>
      <w:r w:rsidR="005F2FA1" w:rsidRPr="00640449">
        <w:rPr>
          <w:lang w:val="fr-FR"/>
        </w:rPr>
        <w:t>:</w:t>
      </w:r>
    </w:p>
    <w:p w:rsidR="00D84A2C" w:rsidRPr="00640449" w:rsidRDefault="001A7B42" w:rsidP="001A7B42">
      <w:pPr>
        <w:pStyle w:val="SingleTxtG"/>
        <w:spacing w:after="0"/>
        <w:ind w:left="1701" w:firstLine="567"/>
        <w:rPr>
          <w:lang w:val="fr-FR"/>
        </w:rPr>
      </w:pPr>
      <w:r w:rsidRPr="00640449">
        <w:rPr>
          <w:lang w:val="fr-FR"/>
        </w:rPr>
        <w:t>a)</w:t>
      </w:r>
      <w:r w:rsidRPr="00640449">
        <w:rPr>
          <w:lang w:val="fr-FR"/>
        </w:rPr>
        <w:tab/>
      </w:r>
      <w:r w:rsidR="00AA4763" w:rsidRPr="00640449">
        <w:rPr>
          <w:lang w:val="fr-FR"/>
        </w:rPr>
        <w:t>Relative à l’hospitalisation sans leur consentement de personnes atteintes de troubles mentaux</w:t>
      </w:r>
      <w:r w:rsidR="00640449">
        <w:rPr>
          <w:lang w:val="fr-FR"/>
        </w:rPr>
        <w:t> ;</w:t>
      </w:r>
      <w:r w:rsidR="00674E9C" w:rsidRPr="00640449">
        <w:rPr>
          <w:lang w:val="fr-FR"/>
        </w:rPr>
        <w:t xml:space="preserve"> </w:t>
      </w:r>
    </w:p>
    <w:p w:rsidR="00D84A2C" w:rsidRPr="00640449" w:rsidRDefault="001A7B42" w:rsidP="001A7B42">
      <w:pPr>
        <w:pStyle w:val="SingleTxtG"/>
        <w:spacing w:after="0"/>
        <w:ind w:left="1701" w:firstLine="567"/>
        <w:rPr>
          <w:lang w:val="fr-FR"/>
        </w:rPr>
      </w:pPr>
      <w:r w:rsidRPr="00640449">
        <w:rPr>
          <w:lang w:val="fr-FR"/>
        </w:rPr>
        <w:t>b)</w:t>
      </w:r>
      <w:r w:rsidRPr="00640449">
        <w:rPr>
          <w:lang w:val="fr-FR"/>
        </w:rPr>
        <w:tab/>
      </w:r>
      <w:r w:rsidR="00AA4763" w:rsidRPr="00640449">
        <w:rPr>
          <w:lang w:val="fr-FR"/>
        </w:rPr>
        <w:t>Modifiant la loi modifiée du 31 mai 1999 sur la police et l’inspection générale de la police et</w:t>
      </w:r>
    </w:p>
    <w:p w:rsidR="005130E6" w:rsidRPr="00640449" w:rsidRDefault="001A7B42" w:rsidP="001A7B42">
      <w:pPr>
        <w:pStyle w:val="SingleTxtG"/>
        <w:spacing w:after="0"/>
        <w:ind w:left="1701" w:firstLine="567"/>
        <w:rPr>
          <w:lang w:val="fr-FR"/>
        </w:rPr>
      </w:pPr>
      <w:r w:rsidRPr="00640449">
        <w:rPr>
          <w:lang w:val="fr-FR"/>
        </w:rPr>
        <w:t>c)</w:t>
      </w:r>
      <w:r w:rsidRPr="00640449">
        <w:rPr>
          <w:lang w:val="fr-FR"/>
        </w:rPr>
        <w:tab/>
      </w:r>
      <w:r w:rsidR="00AA4763" w:rsidRPr="00640449">
        <w:rPr>
          <w:lang w:val="fr-FR"/>
        </w:rPr>
        <w:t xml:space="preserve">Modifiant </w:t>
      </w:r>
      <w:r w:rsidR="00674E9C" w:rsidRPr="00640449">
        <w:rPr>
          <w:lang w:val="fr-FR"/>
        </w:rPr>
        <w:t>l’article 73 de la loi communale modifiée du 13 décembre 1988, porte sur le traitement involontaire et l’accès aux soins.</w:t>
      </w:r>
      <w:r w:rsidR="009D2131">
        <w:rPr>
          <w:lang w:val="fr-FR"/>
        </w:rPr>
        <w:t> ».</w:t>
      </w:r>
    </w:p>
    <w:p w:rsidR="00674E9C" w:rsidRPr="00640449" w:rsidRDefault="001B21FC" w:rsidP="008B5C35">
      <w:pPr>
        <w:pStyle w:val="SingleTxtG"/>
        <w:spacing w:after="0"/>
        <w:ind w:left="1701"/>
        <w:rPr>
          <w:lang w:val="fr-FR"/>
        </w:rPr>
      </w:pPr>
      <w:r>
        <w:rPr>
          <w:lang w:val="fr-FR"/>
        </w:rPr>
        <w:t>« </w:t>
      </w:r>
      <w:r w:rsidR="00674E9C" w:rsidRPr="00640449">
        <w:rPr>
          <w:lang w:val="fr-FR"/>
        </w:rPr>
        <w:t>Art. 6.</w:t>
      </w:r>
      <w:r w:rsidR="00D84A2C" w:rsidRPr="00640449">
        <w:rPr>
          <w:lang w:val="fr-FR"/>
        </w:rPr>
        <w:t xml:space="preserve"> </w:t>
      </w:r>
      <w:r w:rsidR="00674E9C" w:rsidRPr="00640449">
        <w:rPr>
          <w:lang w:val="fr-FR"/>
        </w:rPr>
        <w:t>Pendant son hospitalisation tout patient a droit à un traitement médical approprié à son état. Le traitement doit être basé sur un plan de traitement personnalisé, appliqué par un personnel médical et de soins qualifié. Il doit être orienté vers la réintégration du patient dans la société.</w:t>
      </w:r>
      <w:r w:rsidR="008B5C35" w:rsidRPr="00640449">
        <w:rPr>
          <w:lang w:val="fr-FR"/>
        </w:rPr>
        <w:t xml:space="preserve"> </w:t>
      </w:r>
      <w:r w:rsidR="00674E9C" w:rsidRPr="00640449">
        <w:rPr>
          <w:lang w:val="fr-FR"/>
        </w:rPr>
        <w:t>Sans préjudice des dispositions des articles 43 et 44 ci-après, le traitement doit être appliqué dans le respect de la liberté d’opinion du patient ainsi que de ses convictions religieuses ou philosophiques. Il doit favoriser la santé physique du patient tout comme ses contacts familiaux et sociaux ainsi que son épanouissement culturel.</w:t>
      </w:r>
    </w:p>
    <w:p w:rsidR="00674E9C" w:rsidRPr="00640449" w:rsidRDefault="00674E9C" w:rsidP="008B5C35">
      <w:pPr>
        <w:pStyle w:val="SingleTxtG"/>
        <w:spacing w:after="0"/>
        <w:ind w:left="1701"/>
        <w:rPr>
          <w:lang w:val="fr-FR"/>
        </w:rPr>
      </w:pPr>
      <w:r w:rsidRPr="00640449">
        <w:rPr>
          <w:lang w:val="fr-FR"/>
        </w:rPr>
        <w:t>Loi modifiée du 17 avril 1998 portant création d’un établissement public dénommé « centre hospitalier neuropsychiatrique »</w:t>
      </w:r>
    </w:p>
    <w:p w:rsidR="00674E9C" w:rsidRPr="00640449" w:rsidRDefault="00674E9C" w:rsidP="008B5C35">
      <w:pPr>
        <w:pStyle w:val="SingleTxtG"/>
        <w:spacing w:after="0"/>
        <w:ind w:left="1701"/>
        <w:rPr>
          <w:lang w:val="fr-FR"/>
        </w:rPr>
      </w:pPr>
      <w:r w:rsidRPr="00640449">
        <w:rPr>
          <w:lang w:val="fr-FR"/>
        </w:rPr>
        <w:t>Loi du 20 juillet 2018 - administration pénitentiaire)</w:t>
      </w:r>
      <w:r w:rsidR="001B21FC">
        <w:rPr>
          <w:lang w:val="fr-FR"/>
        </w:rPr>
        <w:t> :</w:t>
      </w:r>
    </w:p>
    <w:p w:rsidR="00674E9C" w:rsidRPr="00640449" w:rsidRDefault="00674E9C" w:rsidP="008B5C35">
      <w:pPr>
        <w:pStyle w:val="SingleTxtG"/>
        <w:spacing w:after="0"/>
        <w:ind w:left="1701"/>
        <w:rPr>
          <w:lang w:val="fr-FR"/>
        </w:rPr>
      </w:pPr>
      <w:r w:rsidRPr="00640449">
        <w:rPr>
          <w:lang w:val="fr-FR"/>
        </w:rPr>
        <w:t>«</w:t>
      </w:r>
      <w:r w:rsidR="00F97B1E">
        <w:rPr>
          <w:lang w:val="fr-FR"/>
        </w:rPr>
        <w:t> </w:t>
      </w:r>
      <w:r w:rsidRPr="00640449">
        <w:rPr>
          <w:lang w:val="fr-FR"/>
        </w:rPr>
        <w:t>Art. 2-1.</w:t>
      </w:r>
    </w:p>
    <w:p w:rsidR="00154097" w:rsidRPr="00640449" w:rsidRDefault="00674E9C" w:rsidP="008B5C35">
      <w:pPr>
        <w:pStyle w:val="SingleTxtG"/>
        <w:spacing w:after="0"/>
        <w:ind w:left="1701"/>
        <w:rPr>
          <w:lang w:val="fr-FR"/>
        </w:rPr>
      </w:pPr>
      <w:r w:rsidRPr="00640449">
        <w:rPr>
          <w:lang w:val="fr-FR"/>
        </w:rPr>
        <w:t>L’établissement gère une unité de psychiatrie socio-judiciaire qui est implantée sur le site du centre pénitentiaire de Luxembourg. L’unité est gérée de façon indépendante par rapport au cen</w:t>
      </w:r>
      <w:r w:rsidR="00AA4763" w:rsidRPr="00640449">
        <w:rPr>
          <w:lang w:val="fr-FR"/>
        </w:rPr>
        <w:t xml:space="preserve">tre pénitentiaire de </w:t>
      </w:r>
      <w:r w:rsidR="009B705A">
        <w:rPr>
          <w:lang w:val="fr-FR"/>
        </w:rPr>
        <w:t>Luxembourg.</w:t>
      </w:r>
      <w:r w:rsidR="005B3589">
        <w:rPr>
          <w:lang w:val="fr-FR"/>
        </w:rPr>
        <w:t> »</w:t>
      </w:r>
      <w:r w:rsidR="001B21FC">
        <w:rPr>
          <w:lang w:val="fr-FR"/>
        </w:rPr>
        <w:t>.</w:t>
      </w:r>
    </w:p>
    <w:p w:rsidR="008C30FA" w:rsidRPr="00640449" w:rsidRDefault="008C30FA" w:rsidP="008C30FA">
      <w:pPr>
        <w:pStyle w:val="H1G"/>
        <w:rPr>
          <w:lang w:val="fr-FR"/>
        </w:rPr>
      </w:pPr>
      <w:r w:rsidRPr="00640449">
        <w:tab/>
      </w:r>
      <w:r w:rsidR="00CF6D6A" w:rsidRPr="00640449">
        <w:t>A</w:t>
      </w:r>
      <w:r w:rsidRPr="00640449">
        <w:t>A.</w:t>
      </w:r>
      <w:r w:rsidRPr="00640449">
        <w:tab/>
      </w:r>
      <w:r w:rsidRPr="00640449">
        <w:rPr>
          <w:lang w:val="fr-FR"/>
        </w:rPr>
        <w:t xml:space="preserve">Réponse à </w:t>
      </w:r>
      <w:r w:rsidRPr="00640449">
        <w:t>la</w:t>
      </w:r>
      <w:r w:rsidRPr="00640449">
        <w:rPr>
          <w:lang w:val="fr-FR"/>
        </w:rPr>
        <w:t xml:space="preserve"> question posée au paragraphe 11 </w:t>
      </w:r>
      <w:r w:rsidR="001A7B42" w:rsidRPr="00640449">
        <w:rPr>
          <w:lang w:val="fr-FR"/>
        </w:rPr>
        <w:t>(</w:t>
      </w:r>
      <w:r w:rsidRPr="00640449">
        <w:rPr>
          <w:lang w:val="fr-FR"/>
        </w:rPr>
        <w:t>b</w:t>
      </w:r>
      <w:r w:rsidR="001A7B42" w:rsidRPr="00640449">
        <w:rPr>
          <w:lang w:val="fr-FR"/>
        </w:rPr>
        <w:t>)</w:t>
      </w:r>
    </w:p>
    <w:p w:rsidR="00674E9C" w:rsidRPr="00640449" w:rsidRDefault="001A7B42" w:rsidP="001A7B42">
      <w:pPr>
        <w:pStyle w:val="SingleTxtG"/>
        <w:rPr>
          <w:lang w:val="fr-FR"/>
        </w:rPr>
      </w:pPr>
      <w:r w:rsidRPr="00640449">
        <w:rPr>
          <w:lang w:val="fr-FR"/>
        </w:rPr>
        <w:t>124.</w:t>
      </w:r>
      <w:r w:rsidRPr="00640449">
        <w:rPr>
          <w:lang w:val="fr-FR"/>
        </w:rPr>
        <w:tab/>
      </w:r>
      <w:r w:rsidR="00674E9C" w:rsidRPr="00640449">
        <w:rPr>
          <w:lang w:val="fr-FR"/>
        </w:rPr>
        <w:t>Le CHNP (Centre hospitalier neuropsychiatrique) vient de reformuler ses besoins en ce qui concerne l’UPSJ (l’Unité psycho-socio-judiciaire) à construire de sorte que le projet a souffert un certain retard. La mise en service de l’UPSJ n’est pas envisageable avant 5 ans. Jusqu’à la mise en service de l’UPSJ, tous les patients psychiatriques détenus peuvent être soignés au CHNP/BU6.</w:t>
      </w:r>
    </w:p>
    <w:p w:rsidR="008C30FA" w:rsidRPr="00640449" w:rsidRDefault="008C30FA" w:rsidP="008C30FA">
      <w:pPr>
        <w:pStyle w:val="H1G"/>
        <w:rPr>
          <w:lang w:val="fr-FR"/>
        </w:rPr>
      </w:pPr>
      <w:r w:rsidRPr="00640449">
        <w:tab/>
        <w:t>A</w:t>
      </w:r>
      <w:r w:rsidR="00CF6D6A" w:rsidRPr="00640449">
        <w:t>B</w:t>
      </w:r>
      <w:r w:rsidRPr="00640449">
        <w:t>.</w:t>
      </w:r>
      <w:r w:rsidRPr="00640449">
        <w:tab/>
      </w:r>
      <w:r w:rsidRPr="00640449">
        <w:rPr>
          <w:lang w:val="fr-FR"/>
        </w:rPr>
        <w:t xml:space="preserve">Réponse à </w:t>
      </w:r>
      <w:r w:rsidRPr="00640449">
        <w:t>la</w:t>
      </w:r>
      <w:r w:rsidRPr="00640449">
        <w:rPr>
          <w:lang w:val="fr-FR"/>
        </w:rPr>
        <w:t xml:space="preserve"> question posée au paragraphe 11 </w:t>
      </w:r>
      <w:r w:rsidR="001A7B42" w:rsidRPr="00640449">
        <w:rPr>
          <w:lang w:val="fr-FR"/>
        </w:rPr>
        <w:t>(</w:t>
      </w:r>
      <w:r w:rsidRPr="00640449">
        <w:rPr>
          <w:lang w:val="fr-FR"/>
        </w:rPr>
        <w:t>c</w:t>
      </w:r>
      <w:r w:rsidR="001A7B42" w:rsidRPr="00640449">
        <w:rPr>
          <w:lang w:val="fr-FR"/>
        </w:rPr>
        <w:t>)</w:t>
      </w:r>
    </w:p>
    <w:p w:rsidR="00674E9C" w:rsidRPr="00640449" w:rsidRDefault="001A7B42" w:rsidP="001A7B42">
      <w:pPr>
        <w:pStyle w:val="SingleTxtG"/>
        <w:rPr>
          <w:lang w:val="fr-FR"/>
        </w:rPr>
      </w:pPr>
      <w:r w:rsidRPr="00640449">
        <w:rPr>
          <w:lang w:val="fr-FR"/>
        </w:rPr>
        <w:t>125.</w:t>
      </w:r>
      <w:r w:rsidRPr="00640449">
        <w:rPr>
          <w:lang w:val="fr-FR"/>
        </w:rPr>
        <w:tab/>
      </w:r>
      <w:r w:rsidR="00674E9C" w:rsidRPr="00640449">
        <w:rPr>
          <w:lang w:val="fr-FR"/>
        </w:rPr>
        <w:t>Au CPL, un examen médical dans les 24 heures de l’admission constitue le standard toujours appliqué. La direction de l’Administration pénitentiaire ignore l’étendue des examens médicaux et le contenu des rapports pour des raisons de respect du secret médical.</w:t>
      </w:r>
    </w:p>
    <w:p w:rsidR="005130E6" w:rsidRPr="00640449" w:rsidRDefault="001A7B42" w:rsidP="001A7B42">
      <w:pPr>
        <w:pStyle w:val="SingleTxtG"/>
        <w:rPr>
          <w:lang w:val="fr-FR"/>
        </w:rPr>
      </w:pPr>
      <w:r w:rsidRPr="00640449">
        <w:rPr>
          <w:lang w:val="fr-FR"/>
        </w:rPr>
        <w:t>126.</w:t>
      </w:r>
      <w:r w:rsidRPr="00640449">
        <w:rPr>
          <w:lang w:val="fr-FR"/>
        </w:rPr>
        <w:tab/>
      </w:r>
      <w:r w:rsidR="00674E9C" w:rsidRPr="00640449">
        <w:rPr>
          <w:lang w:val="fr-FR"/>
        </w:rPr>
        <w:t xml:space="preserve">Les nouveaux arrivants au Centre de rétention sont soumis sans exceptions dans les 24 heures de leur arrivée à un examen médical complet par les médecins mandatés à cette fin. (Cf. article 9 de la </w:t>
      </w:r>
      <w:hyperlink r:id="rId24" w:history="1">
        <w:r w:rsidR="00674E9C" w:rsidRPr="00640449">
          <w:rPr>
            <w:rStyle w:val="Lienhypertexte"/>
            <w:color w:val="auto"/>
            <w:lang w:val="fr-FR"/>
          </w:rPr>
          <w:t>loi modifiée du 28 mai 2009 concernant le Centre de rétention</w:t>
        </w:r>
      </w:hyperlink>
      <w:r w:rsidR="00674E9C" w:rsidRPr="00640449">
        <w:rPr>
          <w:rStyle w:val="Appelnotedebasdep"/>
        </w:rPr>
        <w:footnoteReference w:id="16"/>
      </w:r>
      <w:r w:rsidR="00674E9C" w:rsidRPr="00640449">
        <w:rPr>
          <w:lang w:val="fr-FR"/>
        </w:rPr>
        <w:t xml:space="preserve">). Les constatations du personnel médical sont consignées dans le dossier médical individuel </w:t>
      </w:r>
      <w:r w:rsidR="00674E9C" w:rsidRPr="00640449">
        <w:rPr>
          <w:lang w:val="fr-FR"/>
        </w:rPr>
        <w:lastRenderedPageBreak/>
        <w:t>du retenu concerné. Y sont entre autres documentées d’éventuelles blessures ou lésions décelées lors de l’examen d’entrée ainsi que toutes les allégations du retenu quant à son état de santé, d’éventuels maltraitances, de mauvais traitements et autres.</w:t>
      </w:r>
    </w:p>
    <w:p w:rsidR="008C30FA" w:rsidRPr="00640449" w:rsidRDefault="008C30FA" w:rsidP="008C30FA">
      <w:pPr>
        <w:pStyle w:val="H1G"/>
        <w:rPr>
          <w:lang w:val="fr-FR"/>
        </w:rPr>
      </w:pPr>
      <w:r w:rsidRPr="00640449">
        <w:tab/>
        <w:t>A</w:t>
      </w:r>
      <w:r w:rsidR="00CF6D6A" w:rsidRPr="00640449">
        <w:t>C</w:t>
      </w:r>
      <w:r w:rsidRPr="00640449">
        <w:t>.</w:t>
      </w:r>
      <w:r w:rsidRPr="00640449">
        <w:tab/>
      </w:r>
      <w:r w:rsidRPr="00640449">
        <w:rPr>
          <w:lang w:val="fr-FR"/>
        </w:rPr>
        <w:t xml:space="preserve">Réponse à </w:t>
      </w:r>
      <w:r w:rsidRPr="00640449">
        <w:t>la</w:t>
      </w:r>
      <w:r w:rsidRPr="00640449">
        <w:rPr>
          <w:lang w:val="fr-FR"/>
        </w:rPr>
        <w:t xml:space="preserve"> question posée au paragraphe 12 </w:t>
      </w:r>
      <w:r w:rsidR="001A7B42" w:rsidRPr="00640449">
        <w:rPr>
          <w:lang w:val="fr-FR"/>
        </w:rPr>
        <w:t>(</w:t>
      </w:r>
      <w:r w:rsidRPr="00640449">
        <w:rPr>
          <w:lang w:val="fr-FR"/>
        </w:rPr>
        <w:t>a</w:t>
      </w:r>
      <w:r w:rsidR="001A7B42" w:rsidRPr="00640449">
        <w:rPr>
          <w:lang w:val="fr-FR"/>
        </w:rPr>
        <w:t>)</w:t>
      </w:r>
    </w:p>
    <w:p w:rsidR="00674E9C" w:rsidRPr="00640449" w:rsidRDefault="001A7B42" w:rsidP="001A7B42">
      <w:pPr>
        <w:pStyle w:val="SingleTxtG"/>
        <w:rPr>
          <w:lang w:val="fr-FR"/>
        </w:rPr>
      </w:pPr>
      <w:r w:rsidRPr="00640449">
        <w:rPr>
          <w:lang w:val="fr-FR"/>
        </w:rPr>
        <w:t>127.</w:t>
      </w:r>
      <w:r w:rsidRPr="00640449">
        <w:rPr>
          <w:lang w:val="fr-FR"/>
        </w:rPr>
        <w:tab/>
      </w:r>
      <w:r w:rsidR="00674E9C" w:rsidRPr="00640449">
        <w:rPr>
          <w:lang w:val="fr-FR"/>
        </w:rPr>
        <w:t xml:space="preserve">La </w:t>
      </w:r>
      <w:hyperlink r:id="rId25" w:history="1">
        <w:r w:rsidR="00674E9C" w:rsidRPr="00640449">
          <w:rPr>
            <w:rStyle w:val="Lienhypertexte"/>
            <w:color w:val="auto"/>
            <w:lang w:val="fr-FR"/>
          </w:rPr>
          <w:t>loi du 20 juillet 2018</w:t>
        </w:r>
      </w:hyperlink>
      <w:r w:rsidR="00674E9C" w:rsidRPr="00640449">
        <w:rPr>
          <w:rStyle w:val="Appelnotedebasdep"/>
        </w:rPr>
        <w:footnoteReference w:id="17"/>
      </w:r>
      <w:r w:rsidR="00674E9C" w:rsidRPr="00640449">
        <w:rPr>
          <w:lang w:val="fr-FR"/>
        </w:rPr>
        <w:t xml:space="preserve"> portant réforme de l’administration pénitentiaire a aboli le régime cellulaire strict.</w:t>
      </w:r>
    </w:p>
    <w:p w:rsidR="00674E9C" w:rsidRPr="00640449" w:rsidRDefault="001A7B42" w:rsidP="001A7B42">
      <w:pPr>
        <w:pStyle w:val="SingleTxtG"/>
        <w:rPr>
          <w:lang w:val="fr-FR"/>
        </w:rPr>
      </w:pPr>
      <w:r w:rsidRPr="00640449">
        <w:rPr>
          <w:lang w:val="fr-FR"/>
        </w:rPr>
        <w:t>128.</w:t>
      </w:r>
      <w:r w:rsidRPr="00640449">
        <w:rPr>
          <w:lang w:val="fr-FR"/>
        </w:rPr>
        <w:tab/>
      </w:r>
      <w:r w:rsidR="00674E9C" w:rsidRPr="00640449">
        <w:rPr>
          <w:lang w:val="fr-FR"/>
        </w:rPr>
        <w:t>Il a été remplacé par le régime cellulaire nettement plus souple et permettant un contact avec des codétenus sauf si le détenu constitue un danger pour autrui.</w:t>
      </w:r>
    </w:p>
    <w:p w:rsidR="00674E9C" w:rsidRPr="00640449" w:rsidRDefault="001A7B42" w:rsidP="001A7B42">
      <w:pPr>
        <w:pStyle w:val="SingleTxtG"/>
        <w:rPr>
          <w:lang w:val="fr-FR"/>
        </w:rPr>
      </w:pPr>
      <w:r w:rsidRPr="00640449">
        <w:rPr>
          <w:lang w:val="fr-FR"/>
        </w:rPr>
        <w:t>129.</w:t>
      </w:r>
      <w:r w:rsidRPr="00640449">
        <w:rPr>
          <w:lang w:val="fr-FR"/>
        </w:rPr>
        <w:tab/>
      </w:r>
      <w:r w:rsidR="00674E9C" w:rsidRPr="00640449">
        <w:rPr>
          <w:lang w:val="fr-FR"/>
        </w:rPr>
        <w:t>Le régime cellulaire autorise les visites et garantit également les autres droits des détenus.</w:t>
      </w:r>
    </w:p>
    <w:p w:rsidR="00154097" w:rsidRPr="00640449" w:rsidRDefault="00154097" w:rsidP="008C30FA">
      <w:pPr>
        <w:pStyle w:val="H1G"/>
        <w:rPr>
          <w:lang w:val="fr-FR"/>
        </w:rPr>
      </w:pPr>
      <w:r w:rsidRPr="00640449">
        <w:tab/>
      </w:r>
      <w:r w:rsidR="008C30FA" w:rsidRPr="00640449">
        <w:t>A</w:t>
      </w:r>
      <w:r w:rsidR="00CF6D6A" w:rsidRPr="00640449">
        <w:t>D</w:t>
      </w:r>
      <w:r w:rsidR="008C30FA" w:rsidRPr="00640449">
        <w:t>.</w:t>
      </w:r>
      <w:r w:rsidR="008C30FA" w:rsidRPr="00640449">
        <w:tab/>
      </w:r>
      <w:r w:rsidR="008C30FA" w:rsidRPr="00640449">
        <w:rPr>
          <w:lang w:val="fr-FR"/>
        </w:rPr>
        <w:t xml:space="preserve">Réponse à </w:t>
      </w:r>
      <w:r w:rsidR="008C30FA" w:rsidRPr="00640449">
        <w:t>la</w:t>
      </w:r>
      <w:r w:rsidR="008C30FA" w:rsidRPr="00640449">
        <w:rPr>
          <w:lang w:val="fr-FR"/>
        </w:rPr>
        <w:t xml:space="preserve"> question posée au paragraphe 12 </w:t>
      </w:r>
      <w:r w:rsidR="001A7B42" w:rsidRPr="00640449">
        <w:rPr>
          <w:lang w:val="fr-FR"/>
        </w:rPr>
        <w:t>(</w:t>
      </w:r>
      <w:r w:rsidR="008C30FA" w:rsidRPr="00640449">
        <w:rPr>
          <w:lang w:val="fr-FR"/>
        </w:rPr>
        <w:t>b</w:t>
      </w:r>
      <w:r w:rsidR="001A7B42" w:rsidRPr="00640449">
        <w:rPr>
          <w:lang w:val="fr-FR"/>
        </w:rPr>
        <w:t>)</w:t>
      </w:r>
    </w:p>
    <w:p w:rsidR="00674E9C" w:rsidRPr="00640449" w:rsidRDefault="001A7B42" w:rsidP="001A7B42">
      <w:pPr>
        <w:pStyle w:val="SingleTxtG"/>
        <w:rPr>
          <w:lang w:val="fr-FR"/>
        </w:rPr>
      </w:pPr>
      <w:r w:rsidRPr="00640449">
        <w:rPr>
          <w:lang w:val="fr-FR"/>
        </w:rPr>
        <w:t>130.</w:t>
      </w:r>
      <w:r w:rsidRPr="00640449">
        <w:rPr>
          <w:lang w:val="fr-FR"/>
        </w:rPr>
        <w:tab/>
      </w:r>
      <w:r w:rsidR="00674E9C" w:rsidRPr="00640449">
        <w:rPr>
          <w:lang w:val="fr-FR"/>
        </w:rPr>
        <w:t>Cette procédure est définie aux articles 32 et 33 de la loi précitée du 20 juillet 2018.</w:t>
      </w:r>
    </w:p>
    <w:p w:rsidR="008C30FA" w:rsidRPr="00640449" w:rsidRDefault="008C30FA" w:rsidP="008C30FA">
      <w:pPr>
        <w:pStyle w:val="H1G"/>
        <w:rPr>
          <w:lang w:val="fr-FR"/>
        </w:rPr>
      </w:pPr>
      <w:r w:rsidRPr="00640449">
        <w:tab/>
        <w:t>A</w:t>
      </w:r>
      <w:r w:rsidR="00CF6D6A" w:rsidRPr="00640449">
        <w:t>E</w:t>
      </w:r>
      <w:r w:rsidRPr="00640449">
        <w:t>.</w:t>
      </w:r>
      <w:r w:rsidRPr="00640449">
        <w:tab/>
      </w:r>
      <w:r w:rsidRPr="00640449">
        <w:rPr>
          <w:lang w:val="fr-FR"/>
        </w:rPr>
        <w:t xml:space="preserve">Réponse à </w:t>
      </w:r>
      <w:r w:rsidRPr="00640449">
        <w:t>la</w:t>
      </w:r>
      <w:r w:rsidRPr="00640449">
        <w:rPr>
          <w:lang w:val="fr-FR"/>
        </w:rPr>
        <w:t xml:space="preserve"> question posée au paragraphe 12 </w:t>
      </w:r>
      <w:r w:rsidR="001A7B42" w:rsidRPr="00640449">
        <w:rPr>
          <w:lang w:val="fr-FR"/>
        </w:rPr>
        <w:t>(</w:t>
      </w:r>
      <w:r w:rsidRPr="00640449">
        <w:rPr>
          <w:lang w:val="fr-FR"/>
        </w:rPr>
        <w:t>c</w:t>
      </w:r>
      <w:r w:rsidR="00DF6BF0" w:rsidRPr="00640449">
        <w:rPr>
          <w:lang w:val="fr-FR"/>
        </w:rPr>
        <w:t>)</w:t>
      </w:r>
    </w:p>
    <w:p w:rsidR="00674E9C" w:rsidRPr="00640449" w:rsidRDefault="001A7B42" w:rsidP="001A7B42">
      <w:pPr>
        <w:pStyle w:val="SingleTxtG"/>
        <w:rPr>
          <w:lang w:val="fr-FR"/>
        </w:rPr>
      </w:pPr>
      <w:r w:rsidRPr="00640449">
        <w:rPr>
          <w:lang w:val="fr-FR"/>
        </w:rPr>
        <w:t>131.</w:t>
      </w:r>
      <w:r w:rsidRPr="00640449">
        <w:rPr>
          <w:lang w:val="fr-FR"/>
        </w:rPr>
        <w:tab/>
      </w:r>
      <w:r w:rsidR="00674E9C" w:rsidRPr="00640449">
        <w:rPr>
          <w:lang w:val="fr-FR"/>
        </w:rPr>
        <w:t xml:space="preserve">Il s’agit, selon la nouvelle loi, articles 34 et 35, d’une mesure administrative, susceptible de recours devant le directeur de l’administration judiciaire et d’un recours judiciaire devant la Chambre de l’application des peines. </w:t>
      </w:r>
    </w:p>
    <w:p w:rsidR="008C30FA" w:rsidRPr="00640449" w:rsidRDefault="008C30FA" w:rsidP="008C30FA">
      <w:pPr>
        <w:pStyle w:val="H1G"/>
        <w:rPr>
          <w:lang w:val="fr-FR"/>
        </w:rPr>
      </w:pPr>
      <w:r w:rsidRPr="00640449">
        <w:tab/>
        <w:t>A</w:t>
      </w:r>
      <w:r w:rsidR="00CF6D6A" w:rsidRPr="00640449">
        <w:t>F</w:t>
      </w:r>
      <w:r w:rsidRPr="00640449">
        <w:t>.</w:t>
      </w:r>
      <w:r w:rsidRPr="00640449">
        <w:tab/>
      </w:r>
      <w:r w:rsidRPr="00640449">
        <w:rPr>
          <w:lang w:val="fr-FR"/>
        </w:rPr>
        <w:t xml:space="preserve">Réponse à </w:t>
      </w:r>
      <w:r w:rsidRPr="00640449">
        <w:t>la</w:t>
      </w:r>
      <w:r w:rsidRPr="00640449">
        <w:rPr>
          <w:lang w:val="fr-FR"/>
        </w:rPr>
        <w:t xml:space="preserve"> question posée au paragraphe 12</w:t>
      </w:r>
      <w:r w:rsidR="00DF6BF0" w:rsidRPr="00640449">
        <w:rPr>
          <w:lang w:val="fr-FR"/>
        </w:rPr>
        <w:t xml:space="preserve"> (</w:t>
      </w:r>
      <w:r w:rsidRPr="00640449">
        <w:rPr>
          <w:lang w:val="fr-FR"/>
        </w:rPr>
        <w:t>d</w:t>
      </w:r>
      <w:r w:rsidR="00DF6BF0" w:rsidRPr="00640449">
        <w:rPr>
          <w:lang w:val="fr-FR"/>
        </w:rPr>
        <w:t>)</w:t>
      </w:r>
    </w:p>
    <w:p w:rsidR="00674E9C" w:rsidRPr="00640449" w:rsidRDefault="008A2EDB" w:rsidP="00AA4763">
      <w:pPr>
        <w:pStyle w:val="H23G"/>
        <w:rPr>
          <w:lang w:val="fr-FR"/>
        </w:rPr>
      </w:pPr>
      <w:r w:rsidRPr="00640449">
        <w:rPr>
          <w:lang w:val="fr-FR"/>
        </w:rPr>
        <w:tab/>
      </w:r>
      <w:r w:rsidRPr="00640449">
        <w:rPr>
          <w:lang w:val="fr-FR"/>
        </w:rPr>
        <w:tab/>
      </w:r>
      <w:r w:rsidR="00674E9C" w:rsidRPr="00640449">
        <w:rPr>
          <w:lang w:val="fr-FR"/>
        </w:rPr>
        <w:t>Administration pénitentiaire</w:t>
      </w:r>
    </w:p>
    <w:p w:rsidR="00674E9C" w:rsidRPr="00640449" w:rsidRDefault="001A7B42" w:rsidP="001A7B42">
      <w:pPr>
        <w:pStyle w:val="SingleTxtG"/>
        <w:rPr>
          <w:lang w:val="fr-FR"/>
        </w:rPr>
      </w:pPr>
      <w:r w:rsidRPr="00640449">
        <w:rPr>
          <w:lang w:val="fr-FR"/>
        </w:rPr>
        <w:t>132.</w:t>
      </w:r>
      <w:r w:rsidRPr="00640449">
        <w:rPr>
          <w:lang w:val="fr-FR"/>
        </w:rPr>
        <w:tab/>
      </w:r>
      <w:r w:rsidR="00674E9C" w:rsidRPr="00640449">
        <w:rPr>
          <w:lang w:val="fr-FR"/>
        </w:rPr>
        <w:t>Toutes les plaintes sont enregistrées dans un répertoire.</w:t>
      </w:r>
    </w:p>
    <w:p w:rsidR="00674E9C" w:rsidRPr="00640449" w:rsidRDefault="008A2EDB" w:rsidP="00AA4763">
      <w:pPr>
        <w:pStyle w:val="H23G"/>
        <w:rPr>
          <w:lang w:val="fr-FR"/>
        </w:rPr>
      </w:pPr>
      <w:r w:rsidRPr="00640449">
        <w:rPr>
          <w:lang w:val="fr-FR"/>
        </w:rPr>
        <w:tab/>
      </w:r>
      <w:r w:rsidRPr="00640449">
        <w:rPr>
          <w:lang w:val="fr-FR"/>
        </w:rPr>
        <w:tab/>
      </w:r>
      <w:r w:rsidR="00674E9C" w:rsidRPr="00640449">
        <w:rPr>
          <w:lang w:val="fr-FR"/>
        </w:rPr>
        <w:t>Centre de rétention</w:t>
      </w:r>
    </w:p>
    <w:p w:rsidR="00674E9C" w:rsidRPr="00640449" w:rsidRDefault="001A7B42" w:rsidP="001A7B42">
      <w:pPr>
        <w:pStyle w:val="SingleTxtG"/>
        <w:rPr>
          <w:lang w:val="fr-FR"/>
        </w:rPr>
      </w:pPr>
      <w:r w:rsidRPr="00640449">
        <w:rPr>
          <w:lang w:val="fr-FR"/>
        </w:rPr>
        <w:t>133.</w:t>
      </w:r>
      <w:r w:rsidRPr="00640449">
        <w:rPr>
          <w:lang w:val="fr-FR"/>
        </w:rPr>
        <w:tab/>
      </w:r>
      <w:r w:rsidR="00674E9C" w:rsidRPr="00640449">
        <w:rPr>
          <w:lang w:val="fr-FR"/>
        </w:rPr>
        <w:t xml:space="preserve">La loi modifiée du 28 mai 2009 concernant le Centre de rétention prévoit en son article 20 les sanctions disciplinaires qu’un retenu majeur est susceptible de se voir appliquer. Parmi celles-ci figure l’isolement qui ne peut perdurer plus de 5 jours consécutifs. L’article 19 de la loi précitée dispose que les sanctions doivent en tout état de cause être proportionnelles à la nature et à la gravité de l’infraction et faire l’objet d’une décision écrite. Avant la prononciation d’une sanction, le retenu, qui peut se faire assister par un conseil, est entendu par le directeur ou par la personne par lui déléguée à cette fin, sur les faits qui lui sont reprochés en ayant recours, si nécessaire, aux services d’un interprète. Le retenu peut exercer son droit d’être entendu oralement ou par écrit. Les faits et, le cas échéant la déposition du retenu, sont consignés dans un rapport écrit. La sanction est notifiée par écrit au retenu concerné qui peut recourir contre celle-ci devant le tribunal administratif qui statue d’urgence comme juge du fond et en tout cas dans les trois jours de l’introduction de la requête. </w:t>
      </w:r>
    </w:p>
    <w:p w:rsidR="00674E9C" w:rsidRPr="00640449" w:rsidRDefault="001A7B42" w:rsidP="001A7B42">
      <w:pPr>
        <w:pStyle w:val="SingleTxtG"/>
        <w:rPr>
          <w:lang w:val="fr-FR"/>
        </w:rPr>
      </w:pPr>
      <w:r w:rsidRPr="00640449">
        <w:rPr>
          <w:lang w:val="fr-FR"/>
        </w:rPr>
        <w:t>134.</w:t>
      </w:r>
      <w:r w:rsidRPr="00640449">
        <w:rPr>
          <w:lang w:val="fr-FR"/>
        </w:rPr>
        <w:tab/>
      </w:r>
      <w:r w:rsidR="00674E9C" w:rsidRPr="00640449">
        <w:rPr>
          <w:lang w:val="fr-FR"/>
        </w:rPr>
        <w:t xml:space="preserve">Un retenu placé en isolement bénéficie d’un suivi médical quotidien. L’isolement est suspendu s’il est de nature à compromettre la santé physique ou mentale du retenu. Il est à noter que le directeur peut en tout état de cause suspendre ou fractionner l’exécution de l’isolement. </w:t>
      </w:r>
    </w:p>
    <w:p w:rsidR="00674E9C" w:rsidRPr="00640449" w:rsidRDefault="001A7B42" w:rsidP="001A7B42">
      <w:pPr>
        <w:pStyle w:val="SingleTxtG"/>
        <w:rPr>
          <w:lang w:val="fr-FR"/>
        </w:rPr>
      </w:pPr>
      <w:r w:rsidRPr="00640449">
        <w:rPr>
          <w:lang w:val="fr-FR"/>
        </w:rPr>
        <w:t>135.</w:t>
      </w:r>
      <w:r w:rsidRPr="00640449">
        <w:rPr>
          <w:lang w:val="fr-FR"/>
        </w:rPr>
        <w:tab/>
      </w:r>
      <w:r w:rsidR="00674E9C" w:rsidRPr="00640449">
        <w:rPr>
          <w:lang w:val="fr-FR"/>
        </w:rPr>
        <w:t xml:space="preserve">En principe, un retenu placé en isolement ne peut recevoir de visites en dehors de celles de son avocat, de représentants des cultes, de l’Ombudsman et des instances de contrôle internationales. Toutefois, aux fins de ne pas lui couper tout contact avec sa famille ou ses proches, le retenu concerné est autorisé à les contacter par téléphone après 21.30 heures, si toutefois son comportement le permet. </w:t>
      </w:r>
    </w:p>
    <w:p w:rsidR="00674E9C" w:rsidRPr="00640449" w:rsidRDefault="001A7B42" w:rsidP="001A7B42">
      <w:pPr>
        <w:pStyle w:val="SingleTxtG"/>
        <w:rPr>
          <w:lang w:val="fr-FR"/>
        </w:rPr>
      </w:pPr>
      <w:r w:rsidRPr="00640449">
        <w:rPr>
          <w:lang w:val="fr-FR"/>
        </w:rPr>
        <w:lastRenderedPageBreak/>
        <w:t>136.</w:t>
      </w:r>
      <w:r w:rsidRPr="00640449">
        <w:rPr>
          <w:lang w:val="fr-FR"/>
        </w:rPr>
        <w:tab/>
      </w:r>
      <w:r w:rsidR="00674E9C" w:rsidRPr="00640449">
        <w:rPr>
          <w:lang w:val="fr-FR"/>
        </w:rPr>
        <w:t>Il est finalement à signaler que toutes les sanctions disciplinaires prononcées par le directeur sont consignées dans un registre spécial.</w:t>
      </w:r>
    </w:p>
    <w:p w:rsidR="00674E9C" w:rsidRPr="00640449" w:rsidRDefault="001A7B42" w:rsidP="001A7B42">
      <w:pPr>
        <w:pStyle w:val="SingleTxtG"/>
        <w:rPr>
          <w:lang w:val="fr-FR"/>
        </w:rPr>
      </w:pPr>
      <w:r w:rsidRPr="00640449">
        <w:rPr>
          <w:lang w:val="fr-FR"/>
        </w:rPr>
        <w:t>137.</w:t>
      </w:r>
      <w:r w:rsidRPr="00640449">
        <w:rPr>
          <w:lang w:val="fr-FR"/>
        </w:rPr>
        <w:tab/>
      </w:r>
      <w:r w:rsidR="00674E9C" w:rsidRPr="00640449">
        <w:rPr>
          <w:lang w:val="fr-FR"/>
        </w:rPr>
        <w:t>Les retenus peuvent en tout temps obtenir un entretien avec la direction moyennant une demande préalable écrite. De même peuvent-ils en tout temps formuler une plainte au sujet des conditions de rétention ou des mesures restrictives dont ils font l’objet. Ces plaintes peuvent être adressées à toute autorité compétente.</w:t>
      </w:r>
    </w:p>
    <w:p w:rsidR="00674E9C" w:rsidRPr="00640449" w:rsidRDefault="001A7B42" w:rsidP="001A7B42">
      <w:pPr>
        <w:pStyle w:val="SingleTxtG"/>
        <w:rPr>
          <w:lang w:val="fr-FR"/>
        </w:rPr>
      </w:pPr>
      <w:r w:rsidRPr="00640449">
        <w:rPr>
          <w:lang w:val="fr-FR"/>
        </w:rPr>
        <w:t>138.</w:t>
      </w:r>
      <w:r w:rsidRPr="00640449">
        <w:rPr>
          <w:lang w:val="fr-FR"/>
        </w:rPr>
        <w:tab/>
      </w:r>
      <w:r w:rsidR="00674E9C" w:rsidRPr="00640449">
        <w:rPr>
          <w:lang w:val="fr-FR"/>
        </w:rPr>
        <w:t>En 2015, 8 personnes ont été placées en isolement pour une durée moyenne de 3,5 jours.</w:t>
      </w:r>
    </w:p>
    <w:p w:rsidR="00674E9C" w:rsidRPr="00640449" w:rsidRDefault="001A7B42" w:rsidP="001A7B42">
      <w:pPr>
        <w:pStyle w:val="SingleTxtG"/>
        <w:rPr>
          <w:lang w:val="fr-FR"/>
        </w:rPr>
      </w:pPr>
      <w:r w:rsidRPr="00640449">
        <w:rPr>
          <w:lang w:val="fr-FR"/>
        </w:rPr>
        <w:t>139.</w:t>
      </w:r>
      <w:r w:rsidRPr="00640449">
        <w:rPr>
          <w:lang w:val="fr-FR"/>
        </w:rPr>
        <w:tab/>
      </w:r>
      <w:r w:rsidR="00674E9C" w:rsidRPr="00640449">
        <w:rPr>
          <w:lang w:val="fr-FR"/>
        </w:rPr>
        <w:t>En 2016, 10 personnes ont été placées en isolement pour une durée moyenne de 2 jours.</w:t>
      </w:r>
    </w:p>
    <w:p w:rsidR="00674E9C" w:rsidRPr="00640449" w:rsidRDefault="001A7B42" w:rsidP="001A7B42">
      <w:pPr>
        <w:pStyle w:val="SingleTxtG"/>
        <w:rPr>
          <w:lang w:val="fr-FR"/>
        </w:rPr>
      </w:pPr>
      <w:r w:rsidRPr="00640449">
        <w:rPr>
          <w:lang w:val="fr-FR"/>
        </w:rPr>
        <w:t>140.</w:t>
      </w:r>
      <w:r w:rsidRPr="00640449">
        <w:rPr>
          <w:lang w:val="fr-FR"/>
        </w:rPr>
        <w:tab/>
      </w:r>
      <w:r w:rsidR="00674E9C" w:rsidRPr="00640449">
        <w:rPr>
          <w:lang w:val="fr-FR"/>
        </w:rPr>
        <w:t>En 2017, 8 personnes ont été placées en isolement pour une durée moyenne de 3 jours.</w:t>
      </w:r>
    </w:p>
    <w:p w:rsidR="005130E6" w:rsidRPr="00640449" w:rsidRDefault="001A7B42" w:rsidP="001A7B42">
      <w:pPr>
        <w:pStyle w:val="SingleTxtG"/>
      </w:pPr>
      <w:r w:rsidRPr="00640449">
        <w:t>141.</w:t>
      </w:r>
      <w:r w:rsidRPr="00640449">
        <w:tab/>
      </w:r>
      <w:r w:rsidR="00674E9C" w:rsidRPr="00640449">
        <w:rPr>
          <w:lang w:val="fr-FR"/>
        </w:rPr>
        <w:t>En 2018, 8 personnes ont été placées en isolement pour une durée moyenne de 3 jours.</w:t>
      </w:r>
    </w:p>
    <w:p w:rsidR="008C30FA" w:rsidRPr="00640449" w:rsidRDefault="008A2EDB" w:rsidP="008C30FA">
      <w:pPr>
        <w:pStyle w:val="H1G"/>
        <w:rPr>
          <w:lang w:val="fr-FR"/>
        </w:rPr>
      </w:pPr>
      <w:bookmarkStart w:id="9" w:name="_Toc8396107"/>
      <w:r w:rsidRPr="00640449">
        <w:tab/>
      </w:r>
      <w:r w:rsidR="008C30FA" w:rsidRPr="00640449">
        <w:t>A</w:t>
      </w:r>
      <w:r w:rsidR="00CF6D6A" w:rsidRPr="00640449">
        <w:t>G</w:t>
      </w:r>
      <w:r w:rsidR="008C30FA" w:rsidRPr="00640449">
        <w:t>.</w:t>
      </w:r>
      <w:r w:rsidR="008C30FA" w:rsidRPr="00640449">
        <w:tab/>
      </w:r>
      <w:r w:rsidR="008C30FA" w:rsidRPr="00640449">
        <w:rPr>
          <w:lang w:val="fr-FR"/>
        </w:rPr>
        <w:t xml:space="preserve">Réponse à </w:t>
      </w:r>
      <w:r w:rsidR="008C30FA" w:rsidRPr="00640449">
        <w:t>la</w:t>
      </w:r>
      <w:r w:rsidR="008C30FA" w:rsidRPr="00640449">
        <w:rPr>
          <w:lang w:val="fr-FR"/>
        </w:rPr>
        <w:t xml:space="preserve"> question posée au paragraphe 13</w:t>
      </w:r>
      <w:r w:rsidR="00DF6BF0" w:rsidRPr="00640449">
        <w:rPr>
          <w:lang w:val="fr-FR"/>
        </w:rPr>
        <w:t xml:space="preserve"> (</w:t>
      </w:r>
      <w:r w:rsidR="008C30FA" w:rsidRPr="00640449">
        <w:rPr>
          <w:lang w:val="fr-FR"/>
        </w:rPr>
        <w:t>a</w:t>
      </w:r>
      <w:r w:rsidR="00DF6BF0" w:rsidRPr="00640449">
        <w:rPr>
          <w:lang w:val="fr-FR"/>
        </w:rPr>
        <w:t>)</w:t>
      </w:r>
    </w:p>
    <w:bookmarkEnd w:id="9"/>
    <w:p w:rsidR="00674E9C" w:rsidRPr="00640449" w:rsidRDefault="006D00B8" w:rsidP="006D00B8">
      <w:pPr>
        <w:pStyle w:val="H23G"/>
        <w:rPr>
          <w:lang w:val="fr-FR"/>
        </w:rPr>
      </w:pPr>
      <w:r w:rsidRPr="00640449">
        <w:rPr>
          <w:lang w:val="fr-FR"/>
        </w:rPr>
        <w:tab/>
      </w:r>
      <w:r w:rsidRPr="00640449">
        <w:rPr>
          <w:lang w:val="fr-FR"/>
        </w:rPr>
        <w:tab/>
        <w:t>N</w:t>
      </w:r>
      <w:r w:rsidR="00674E9C" w:rsidRPr="00640449">
        <w:rPr>
          <w:lang w:val="fr-FR"/>
        </w:rPr>
        <w:t>ombre de décès en détention en indiquant la cause du</w:t>
      </w:r>
      <w:r w:rsidRPr="00640449">
        <w:rPr>
          <w:lang w:val="fr-FR"/>
        </w:rPr>
        <w:t xml:space="preserve"> décès</w:t>
      </w:r>
    </w:p>
    <w:p w:rsidR="00674E9C" w:rsidRPr="00640449" w:rsidRDefault="00B76B37" w:rsidP="00D20CB5">
      <w:pPr>
        <w:pStyle w:val="H23G"/>
        <w:rPr>
          <w:lang w:val="fr-FR"/>
        </w:rPr>
      </w:pPr>
      <w:r>
        <w:rPr>
          <w:lang w:val="fr-FR"/>
        </w:rPr>
        <w:tab/>
      </w:r>
      <w:r>
        <w:rPr>
          <w:lang w:val="fr-FR"/>
        </w:rPr>
        <w:tab/>
      </w:r>
      <w:r w:rsidR="00674E9C" w:rsidRPr="00640449">
        <w:rPr>
          <w:lang w:val="fr-FR"/>
        </w:rPr>
        <w:t>R n°13 i au CPL de 2015 à 2018</w:t>
      </w:r>
    </w:p>
    <w:tbl>
      <w:tblPr>
        <w:tblStyle w:val="TableGrid1"/>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9"/>
        <w:gridCol w:w="674"/>
        <w:gridCol w:w="437"/>
        <w:gridCol w:w="557"/>
        <w:gridCol w:w="1857"/>
        <w:gridCol w:w="1403"/>
        <w:gridCol w:w="1984"/>
      </w:tblGrid>
      <w:tr w:rsidR="00640449" w:rsidRPr="00640449" w:rsidTr="00D20CB5">
        <w:trPr>
          <w:tblHeader/>
          <w:jc w:val="center"/>
        </w:trPr>
        <w:tc>
          <w:tcPr>
            <w:tcW w:w="459" w:type="dxa"/>
            <w:tcBorders>
              <w:top w:val="single" w:sz="4" w:space="0" w:color="auto"/>
              <w:bottom w:val="single" w:sz="12" w:space="0" w:color="auto"/>
            </w:tcBorders>
            <w:shd w:val="clear" w:color="auto" w:fill="auto"/>
            <w:vAlign w:val="bottom"/>
          </w:tcPr>
          <w:p w:rsidR="00674E9C" w:rsidRPr="00640449" w:rsidRDefault="00674E9C" w:rsidP="00AA4763">
            <w:pPr>
              <w:spacing w:before="80" w:after="80" w:line="200" w:lineRule="exact"/>
              <w:ind w:left="74" w:right="113"/>
              <w:rPr>
                <w:i/>
                <w:sz w:val="16"/>
                <w:lang w:val="fr-FR"/>
              </w:rPr>
            </w:pPr>
            <w:r w:rsidRPr="00640449">
              <w:rPr>
                <w:i/>
                <w:sz w:val="16"/>
                <w:lang w:val="fr-FR"/>
              </w:rPr>
              <w:t>Nb</w:t>
            </w:r>
          </w:p>
        </w:tc>
        <w:tc>
          <w:tcPr>
            <w:tcW w:w="674" w:type="dxa"/>
            <w:tcBorders>
              <w:top w:val="single" w:sz="4" w:space="0" w:color="auto"/>
              <w:bottom w:val="single" w:sz="12" w:space="0" w:color="auto"/>
            </w:tcBorders>
            <w:shd w:val="clear" w:color="auto" w:fill="auto"/>
            <w:vAlign w:val="bottom"/>
          </w:tcPr>
          <w:p w:rsidR="00674E9C" w:rsidRPr="00640449" w:rsidRDefault="00674E9C" w:rsidP="00AA4763">
            <w:pPr>
              <w:spacing w:before="80" w:after="80" w:line="200" w:lineRule="exact"/>
              <w:ind w:left="74" w:right="113"/>
              <w:rPr>
                <w:i/>
                <w:sz w:val="16"/>
                <w:lang w:val="fr-FR"/>
              </w:rPr>
            </w:pPr>
            <w:r w:rsidRPr="00640449">
              <w:rPr>
                <w:i/>
                <w:sz w:val="16"/>
                <w:lang w:val="fr-FR"/>
              </w:rPr>
              <w:t>Année</w:t>
            </w:r>
          </w:p>
        </w:tc>
        <w:tc>
          <w:tcPr>
            <w:tcW w:w="437" w:type="dxa"/>
            <w:tcBorders>
              <w:top w:val="single" w:sz="4" w:space="0" w:color="auto"/>
              <w:bottom w:val="single" w:sz="12" w:space="0" w:color="auto"/>
            </w:tcBorders>
            <w:shd w:val="clear" w:color="auto" w:fill="auto"/>
            <w:vAlign w:val="bottom"/>
          </w:tcPr>
          <w:p w:rsidR="00674E9C" w:rsidRPr="00640449" w:rsidRDefault="00674E9C" w:rsidP="00AA4763">
            <w:pPr>
              <w:spacing w:before="80" w:after="80" w:line="200" w:lineRule="exact"/>
              <w:ind w:left="74" w:right="113"/>
              <w:rPr>
                <w:i/>
                <w:sz w:val="16"/>
                <w:lang w:val="fr-FR"/>
              </w:rPr>
            </w:pPr>
            <w:r w:rsidRPr="00640449">
              <w:rPr>
                <w:i/>
                <w:sz w:val="16"/>
                <w:lang w:val="fr-FR"/>
              </w:rPr>
              <w:t>Age</w:t>
            </w:r>
          </w:p>
        </w:tc>
        <w:tc>
          <w:tcPr>
            <w:tcW w:w="557" w:type="dxa"/>
            <w:tcBorders>
              <w:top w:val="single" w:sz="4" w:space="0" w:color="auto"/>
              <w:bottom w:val="single" w:sz="12" w:space="0" w:color="auto"/>
            </w:tcBorders>
            <w:shd w:val="clear" w:color="auto" w:fill="auto"/>
            <w:vAlign w:val="bottom"/>
          </w:tcPr>
          <w:p w:rsidR="00674E9C" w:rsidRPr="00640449" w:rsidRDefault="00674E9C" w:rsidP="00AA4763">
            <w:pPr>
              <w:spacing w:before="80" w:after="80" w:line="200" w:lineRule="exact"/>
              <w:ind w:left="74" w:right="113"/>
              <w:rPr>
                <w:i/>
                <w:sz w:val="16"/>
                <w:lang w:val="fr-FR"/>
              </w:rPr>
            </w:pPr>
            <w:r w:rsidRPr="00640449">
              <w:rPr>
                <w:i/>
                <w:sz w:val="16"/>
                <w:lang w:val="fr-FR"/>
              </w:rPr>
              <w:t>Sexe</w:t>
            </w:r>
          </w:p>
        </w:tc>
        <w:tc>
          <w:tcPr>
            <w:tcW w:w="1857" w:type="dxa"/>
            <w:tcBorders>
              <w:top w:val="single" w:sz="4" w:space="0" w:color="auto"/>
              <w:bottom w:val="single" w:sz="12" w:space="0" w:color="auto"/>
            </w:tcBorders>
            <w:shd w:val="clear" w:color="auto" w:fill="auto"/>
            <w:vAlign w:val="bottom"/>
          </w:tcPr>
          <w:p w:rsidR="00674E9C" w:rsidRPr="00640449" w:rsidRDefault="00674E9C" w:rsidP="00AA4763">
            <w:pPr>
              <w:spacing w:before="80" w:after="80" w:line="200" w:lineRule="exact"/>
              <w:ind w:left="285" w:right="113"/>
              <w:rPr>
                <w:i/>
                <w:sz w:val="16"/>
                <w:lang w:val="fr-FR"/>
              </w:rPr>
            </w:pPr>
            <w:r w:rsidRPr="00640449">
              <w:rPr>
                <w:i/>
                <w:sz w:val="16"/>
                <w:lang w:val="fr-FR"/>
              </w:rPr>
              <w:t>Nationalité</w:t>
            </w:r>
          </w:p>
        </w:tc>
        <w:tc>
          <w:tcPr>
            <w:tcW w:w="1403" w:type="dxa"/>
            <w:tcBorders>
              <w:top w:val="single" w:sz="4" w:space="0" w:color="auto"/>
              <w:bottom w:val="single" w:sz="12" w:space="0" w:color="auto"/>
            </w:tcBorders>
            <w:shd w:val="clear" w:color="auto" w:fill="auto"/>
            <w:vAlign w:val="bottom"/>
          </w:tcPr>
          <w:p w:rsidR="00674E9C" w:rsidRPr="00640449" w:rsidRDefault="00674E9C" w:rsidP="00AA4763">
            <w:pPr>
              <w:spacing w:before="80" w:after="80" w:line="200" w:lineRule="exact"/>
              <w:ind w:left="74" w:right="113"/>
              <w:rPr>
                <w:i/>
                <w:sz w:val="16"/>
                <w:lang w:val="fr-FR"/>
              </w:rPr>
            </w:pPr>
            <w:r w:rsidRPr="00640449">
              <w:rPr>
                <w:i/>
                <w:sz w:val="16"/>
                <w:lang w:val="fr-FR"/>
              </w:rPr>
              <w:t>Cause</w:t>
            </w:r>
          </w:p>
        </w:tc>
        <w:tc>
          <w:tcPr>
            <w:tcW w:w="1984" w:type="dxa"/>
            <w:tcBorders>
              <w:top w:val="single" w:sz="4" w:space="0" w:color="auto"/>
              <w:bottom w:val="single" w:sz="12" w:space="0" w:color="auto"/>
            </w:tcBorders>
            <w:shd w:val="clear" w:color="auto" w:fill="auto"/>
            <w:vAlign w:val="bottom"/>
          </w:tcPr>
          <w:p w:rsidR="00674E9C" w:rsidRPr="00640449" w:rsidRDefault="00674E9C" w:rsidP="00AA4763">
            <w:pPr>
              <w:spacing w:before="80" w:after="80" w:line="200" w:lineRule="exact"/>
              <w:ind w:left="74" w:right="113"/>
              <w:rPr>
                <w:i/>
                <w:sz w:val="16"/>
                <w:lang w:val="fr-FR"/>
              </w:rPr>
            </w:pPr>
            <w:r w:rsidRPr="00640449">
              <w:rPr>
                <w:i/>
                <w:sz w:val="16"/>
                <w:lang w:val="fr-FR"/>
              </w:rPr>
              <w:t>Observation</w:t>
            </w:r>
          </w:p>
        </w:tc>
      </w:tr>
      <w:tr w:rsidR="00640449" w:rsidRPr="00640449" w:rsidTr="00D20CB5">
        <w:trPr>
          <w:jc w:val="center"/>
        </w:trPr>
        <w:tc>
          <w:tcPr>
            <w:tcW w:w="459" w:type="dxa"/>
            <w:shd w:val="clear" w:color="auto" w:fill="auto"/>
          </w:tcPr>
          <w:p w:rsidR="00674E9C" w:rsidRPr="00640449" w:rsidRDefault="00674E9C" w:rsidP="00AA4763">
            <w:pPr>
              <w:spacing w:before="40" w:after="120"/>
              <w:ind w:right="113"/>
              <w:rPr>
                <w:lang w:val="fr-FR"/>
              </w:rPr>
            </w:pPr>
            <w:r w:rsidRPr="00640449">
              <w:rPr>
                <w:lang w:val="fr-FR"/>
              </w:rPr>
              <w:t>1</w:t>
            </w:r>
          </w:p>
        </w:tc>
        <w:tc>
          <w:tcPr>
            <w:tcW w:w="674" w:type="dxa"/>
            <w:shd w:val="clear" w:color="auto" w:fill="auto"/>
          </w:tcPr>
          <w:p w:rsidR="00674E9C" w:rsidRPr="00640449" w:rsidRDefault="00674E9C" w:rsidP="00AA4763">
            <w:pPr>
              <w:spacing w:before="40" w:after="120"/>
              <w:ind w:right="113"/>
              <w:rPr>
                <w:lang w:val="fr-FR"/>
              </w:rPr>
            </w:pPr>
            <w:r w:rsidRPr="00640449">
              <w:rPr>
                <w:lang w:val="fr-FR"/>
              </w:rPr>
              <w:t>2015</w:t>
            </w:r>
          </w:p>
        </w:tc>
        <w:tc>
          <w:tcPr>
            <w:tcW w:w="437" w:type="dxa"/>
            <w:shd w:val="clear" w:color="auto" w:fill="auto"/>
          </w:tcPr>
          <w:p w:rsidR="00674E9C" w:rsidRPr="00640449" w:rsidRDefault="00674E9C" w:rsidP="00AA4763">
            <w:pPr>
              <w:spacing w:before="40" w:after="120"/>
              <w:ind w:right="113"/>
              <w:rPr>
                <w:lang w:val="fr-FR"/>
              </w:rPr>
            </w:pPr>
            <w:r w:rsidRPr="00640449">
              <w:rPr>
                <w:lang w:val="fr-FR"/>
              </w:rPr>
              <w:t>43</w:t>
            </w:r>
          </w:p>
        </w:tc>
        <w:tc>
          <w:tcPr>
            <w:tcW w:w="557" w:type="dxa"/>
            <w:shd w:val="clear" w:color="auto" w:fill="auto"/>
          </w:tcPr>
          <w:p w:rsidR="00674E9C" w:rsidRPr="00640449" w:rsidRDefault="00674E9C" w:rsidP="00AA4763">
            <w:pPr>
              <w:spacing w:before="40" w:after="120"/>
              <w:ind w:right="113"/>
              <w:rPr>
                <w:lang w:val="fr-FR"/>
              </w:rPr>
            </w:pPr>
            <w:r w:rsidRPr="00640449">
              <w:rPr>
                <w:lang w:val="fr-FR"/>
              </w:rPr>
              <w:t>M</w:t>
            </w:r>
          </w:p>
        </w:tc>
        <w:tc>
          <w:tcPr>
            <w:tcW w:w="1857" w:type="dxa"/>
            <w:shd w:val="clear" w:color="auto" w:fill="auto"/>
          </w:tcPr>
          <w:p w:rsidR="00674E9C" w:rsidRPr="00640449" w:rsidRDefault="00674E9C" w:rsidP="00AA4763">
            <w:pPr>
              <w:spacing w:before="40" w:after="120"/>
              <w:ind w:right="113"/>
              <w:rPr>
                <w:lang w:val="fr-FR"/>
              </w:rPr>
            </w:pPr>
            <w:r w:rsidRPr="00640449">
              <w:rPr>
                <w:lang w:val="fr-FR"/>
              </w:rPr>
              <w:t>Portugaise</w:t>
            </w:r>
          </w:p>
        </w:tc>
        <w:tc>
          <w:tcPr>
            <w:tcW w:w="1403" w:type="dxa"/>
            <w:shd w:val="clear" w:color="auto" w:fill="auto"/>
          </w:tcPr>
          <w:p w:rsidR="00674E9C" w:rsidRPr="00640449" w:rsidRDefault="00674E9C" w:rsidP="00AA4763">
            <w:pPr>
              <w:spacing w:before="40" w:after="120"/>
              <w:ind w:right="113"/>
              <w:rPr>
                <w:lang w:val="fr-FR"/>
              </w:rPr>
            </w:pPr>
            <w:r w:rsidRPr="00640449">
              <w:rPr>
                <w:lang w:val="fr-FR"/>
              </w:rPr>
              <w:t>mort naturelle</w:t>
            </w:r>
          </w:p>
        </w:tc>
        <w:tc>
          <w:tcPr>
            <w:tcW w:w="1984" w:type="dxa"/>
            <w:shd w:val="clear" w:color="auto" w:fill="auto"/>
          </w:tcPr>
          <w:p w:rsidR="00674E9C" w:rsidRPr="00640449" w:rsidRDefault="00AA4763" w:rsidP="00AA4763">
            <w:pPr>
              <w:spacing w:before="40" w:after="120"/>
              <w:rPr>
                <w:lang w:val="fr-FR"/>
              </w:rPr>
            </w:pPr>
            <w:r w:rsidRPr="00640449">
              <w:rPr>
                <w:lang w:val="fr-FR"/>
              </w:rPr>
              <w:t xml:space="preserve">décédé en clinique </w:t>
            </w:r>
            <w:r w:rsidR="00B76B37">
              <w:rPr>
                <w:lang w:val="fr-FR"/>
              </w:rPr>
              <w:br/>
            </w:r>
            <w:r w:rsidRPr="00640449">
              <w:rPr>
                <w:lang w:val="fr-FR"/>
              </w:rPr>
              <w:t>sous surveillance</w:t>
            </w:r>
          </w:p>
        </w:tc>
      </w:tr>
      <w:tr w:rsidR="00640449" w:rsidRPr="00640449" w:rsidTr="00D20CB5">
        <w:trPr>
          <w:jc w:val="center"/>
        </w:trPr>
        <w:tc>
          <w:tcPr>
            <w:tcW w:w="459" w:type="dxa"/>
            <w:shd w:val="clear" w:color="auto" w:fill="auto"/>
          </w:tcPr>
          <w:p w:rsidR="00674E9C" w:rsidRPr="00640449" w:rsidRDefault="00674E9C" w:rsidP="00AA4763">
            <w:pPr>
              <w:spacing w:before="40" w:after="120"/>
              <w:ind w:right="113"/>
              <w:rPr>
                <w:lang w:val="fr-FR"/>
              </w:rPr>
            </w:pPr>
            <w:r w:rsidRPr="00640449">
              <w:rPr>
                <w:lang w:val="fr-FR"/>
              </w:rPr>
              <w:t>2</w:t>
            </w:r>
          </w:p>
        </w:tc>
        <w:tc>
          <w:tcPr>
            <w:tcW w:w="674" w:type="dxa"/>
            <w:shd w:val="clear" w:color="auto" w:fill="auto"/>
          </w:tcPr>
          <w:p w:rsidR="00674E9C" w:rsidRPr="00640449" w:rsidRDefault="00674E9C" w:rsidP="00AA4763">
            <w:pPr>
              <w:spacing w:before="40" w:after="120"/>
              <w:ind w:right="113"/>
              <w:rPr>
                <w:lang w:val="fr-FR"/>
              </w:rPr>
            </w:pPr>
            <w:r w:rsidRPr="00640449">
              <w:rPr>
                <w:lang w:val="fr-FR"/>
              </w:rPr>
              <w:t>2015</w:t>
            </w:r>
          </w:p>
        </w:tc>
        <w:tc>
          <w:tcPr>
            <w:tcW w:w="437" w:type="dxa"/>
            <w:shd w:val="clear" w:color="auto" w:fill="auto"/>
          </w:tcPr>
          <w:p w:rsidR="00674E9C" w:rsidRPr="00640449" w:rsidRDefault="00674E9C" w:rsidP="00AA4763">
            <w:pPr>
              <w:spacing w:before="40" w:after="120"/>
              <w:ind w:right="113"/>
              <w:rPr>
                <w:lang w:val="fr-FR"/>
              </w:rPr>
            </w:pPr>
            <w:r w:rsidRPr="00640449">
              <w:rPr>
                <w:lang w:val="fr-FR"/>
              </w:rPr>
              <w:t>60</w:t>
            </w:r>
          </w:p>
        </w:tc>
        <w:tc>
          <w:tcPr>
            <w:tcW w:w="557" w:type="dxa"/>
            <w:shd w:val="clear" w:color="auto" w:fill="auto"/>
          </w:tcPr>
          <w:p w:rsidR="00674E9C" w:rsidRPr="00640449" w:rsidRDefault="00674E9C" w:rsidP="00AA4763">
            <w:pPr>
              <w:spacing w:before="40" w:after="120"/>
              <w:ind w:right="113"/>
              <w:rPr>
                <w:lang w:val="fr-FR"/>
              </w:rPr>
            </w:pPr>
            <w:r w:rsidRPr="00640449">
              <w:rPr>
                <w:lang w:val="fr-FR"/>
              </w:rPr>
              <w:t>F</w:t>
            </w:r>
          </w:p>
        </w:tc>
        <w:tc>
          <w:tcPr>
            <w:tcW w:w="1857" w:type="dxa"/>
            <w:shd w:val="clear" w:color="auto" w:fill="auto"/>
          </w:tcPr>
          <w:p w:rsidR="00674E9C" w:rsidRPr="00640449" w:rsidRDefault="00674E9C" w:rsidP="00AA4763">
            <w:pPr>
              <w:spacing w:before="40" w:after="120"/>
              <w:ind w:right="113"/>
              <w:rPr>
                <w:lang w:val="fr-FR"/>
              </w:rPr>
            </w:pPr>
            <w:r w:rsidRPr="00640449">
              <w:rPr>
                <w:lang w:val="fr-FR"/>
              </w:rPr>
              <w:t>Luxembourgeoise</w:t>
            </w:r>
          </w:p>
        </w:tc>
        <w:tc>
          <w:tcPr>
            <w:tcW w:w="1403" w:type="dxa"/>
            <w:shd w:val="clear" w:color="auto" w:fill="auto"/>
          </w:tcPr>
          <w:p w:rsidR="00674E9C" w:rsidRPr="00640449" w:rsidRDefault="00674E9C" w:rsidP="00AA4763">
            <w:pPr>
              <w:spacing w:before="40" w:after="120"/>
              <w:ind w:right="113"/>
              <w:rPr>
                <w:lang w:val="fr-FR"/>
              </w:rPr>
            </w:pPr>
            <w:r w:rsidRPr="00640449">
              <w:rPr>
                <w:lang w:val="fr-FR"/>
              </w:rPr>
              <w:t>mort naturelle</w:t>
            </w:r>
          </w:p>
        </w:tc>
        <w:tc>
          <w:tcPr>
            <w:tcW w:w="1984" w:type="dxa"/>
            <w:shd w:val="clear" w:color="auto" w:fill="auto"/>
          </w:tcPr>
          <w:p w:rsidR="00674E9C" w:rsidRPr="00640449" w:rsidRDefault="00674E9C" w:rsidP="00AA4763">
            <w:pPr>
              <w:spacing w:before="40" w:after="120"/>
              <w:ind w:right="6"/>
              <w:rPr>
                <w:lang w:val="fr-FR"/>
              </w:rPr>
            </w:pPr>
            <w:r w:rsidRPr="00640449">
              <w:rPr>
                <w:lang w:val="fr-FR"/>
              </w:rPr>
              <w:t>électronique</w:t>
            </w:r>
          </w:p>
        </w:tc>
      </w:tr>
      <w:tr w:rsidR="00640449" w:rsidRPr="00640449" w:rsidTr="00D20CB5">
        <w:trPr>
          <w:jc w:val="center"/>
        </w:trPr>
        <w:tc>
          <w:tcPr>
            <w:tcW w:w="459" w:type="dxa"/>
            <w:shd w:val="clear" w:color="auto" w:fill="auto"/>
          </w:tcPr>
          <w:p w:rsidR="00674E9C" w:rsidRPr="00640449" w:rsidRDefault="00674E9C" w:rsidP="00AA4763">
            <w:pPr>
              <w:spacing w:before="40" w:after="120"/>
              <w:ind w:right="113"/>
              <w:rPr>
                <w:lang w:val="fr-FR"/>
              </w:rPr>
            </w:pPr>
            <w:r w:rsidRPr="00640449">
              <w:rPr>
                <w:lang w:val="fr-FR"/>
              </w:rPr>
              <w:t>3</w:t>
            </w:r>
          </w:p>
        </w:tc>
        <w:tc>
          <w:tcPr>
            <w:tcW w:w="674" w:type="dxa"/>
            <w:shd w:val="clear" w:color="auto" w:fill="auto"/>
          </w:tcPr>
          <w:p w:rsidR="00674E9C" w:rsidRPr="00640449" w:rsidRDefault="00674E9C" w:rsidP="00AA4763">
            <w:pPr>
              <w:spacing w:before="40" w:after="120"/>
              <w:ind w:right="113"/>
              <w:rPr>
                <w:lang w:val="fr-FR"/>
              </w:rPr>
            </w:pPr>
            <w:r w:rsidRPr="00640449">
              <w:rPr>
                <w:lang w:val="fr-FR"/>
              </w:rPr>
              <w:t>2016</w:t>
            </w:r>
          </w:p>
        </w:tc>
        <w:tc>
          <w:tcPr>
            <w:tcW w:w="437" w:type="dxa"/>
            <w:shd w:val="clear" w:color="auto" w:fill="auto"/>
          </w:tcPr>
          <w:p w:rsidR="00674E9C" w:rsidRPr="00640449" w:rsidRDefault="00674E9C" w:rsidP="00AA4763">
            <w:pPr>
              <w:spacing w:before="40" w:after="120"/>
              <w:ind w:right="113"/>
              <w:rPr>
                <w:lang w:val="fr-FR"/>
              </w:rPr>
            </w:pPr>
            <w:r w:rsidRPr="00640449">
              <w:rPr>
                <w:lang w:val="fr-FR"/>
              </w:rPr>
              <w:t>37</w:t>
            </w:r>
          </w:p>
        </w:tc>
        <w:tc>
          <w:tcPr>
            <w:tcW w:w="557" w:type="dxa"/>
            <w:shd w:val="clear" w:color="auto" w:fill="auto"/>
          </w:tcPr>
          <w:p w:rsidR="00674E9C" w:rsidRPr="00640449" w:rsidRDefault="00674E9C" w:rsidP="00AA4763">
            <w:pPr>
              <w:spacing w:before="40" w:after="120"/>
              <w:ind w:right="113"/>
              <w:rPr>
                <w:lang w:val="fr-FR"/>
              </w:rPr>
            </w:pPr>
            <w:r w:rsidRPr="00640449">
              <w:rPr>
                <w:lang w:val="fr-FR"/>
              </w:rPr>
              <w:t>M</w:t>
            </w:r>
          </w:p>
        </w:tc>
        <w:tc>
          <w:tcPr>
            <w:tcW w:w="1857" w:type="dxa"/>
            <w:shd w:val="clear" w:color="auto" w:fill="auto"/>
          </w:tcPr>
          <w:p w:rsidR="00674E9C" w:rsidRPr="00640449" w:rsidRDefault="00674E9C" w:rsidP="00AA4763">
            <w:pPr>
              <w:spacing w:before="40" w:after="120"/>
              <w:ind w:right="113"/>
              <w:rPr>
                <w:lang w:val="fr-FR"/>
              </w:rPr>
            </w:pPr>
            <w:r w:rsidRPr="00640449">
              <w:rPr>
                <w:lang w:val="fr-FR"/>
              </w:rPr>
              <w:t>Algérienne</w:t>
            </w:r>
          </w:p>
        </w:tc>
        <w:tc>
          <w:tcPr>
            <w:tcW w:w="1403" w:type="dxa"/>
            <w:shd w:val="clear" w:color="auto" w:fill="auto"/>
          </w:tcPr>
          <w:p w:rsidR="00674E9C" w:rsidRPr="00640449" w:rsidRDefault="00674E9C" w:rsidP="00AA4763">
            <w:pPr>
              <w:spacing w:before="40" w:after="120"/>
              <w:ind w:right="113"/>
              <w:rPr>
                <w:lang w:val="fr-FR"/>
              </w:rPr>
            </w:pPr>
            <w:r w:rsidRPr="00640449">
              <w:rPr>
                <w:lang w:val="fr-FR"/>
              </w:rPr>
              <w:t>mort naturelle</w:t>
            </w:r>
          </w:p>
        </w:tc>
        <w:tc>
          <w:tcPr>
            <w:tcW w:w="1984" w:type="dxa"/>
            <w:shd w:val="clear" w:color="auto" w:fill="auto"/>
          </w:tcPr>
          <w:p w:rsidR="00674E9C" w:rsidRPr="00640449" w:rsidRDefault="00674E9C" w:rsidP="00AA4763">
            <w:pPr>
              <w:spacing w:before="40" w:after="120"/>
              <w:ind w:right="6"/>
              <w:rPr>
                <w:lang w:val="fr-FR"/>
              </w:rPr>
            </w:pPr>
            <w:r w:rsidRPr="00640449">
              <w:rPr>
                <w:lang w:val="fr-FR"/>
              </w:rPr>
              <w:t>décédé en clinique</w:t>
            </w:r>
          </w:p>
        </w:tc>
      </w:tr>
      <w:tr w:rsidR="00640449" w:rsidRPr="00640449" w:rsidTr="00D20CB5">
        <w:trPr>
          <w:jc w:val="center"/>
        </w:trPr>
        <w:tc>
          <w:tcPr>
            <w:tcW w:w="459" w:type="dxa"/>
            <w:shd w:val="clear" w:color="auto" w:fill="auto"/>
          </w:tcPr>
          <w:p w:rsidR="00674E9C" w:rsidRPr="00640449" w:rsidRDefault="00674E9C" w:rsidP="00AA4763">
            <w:pPr>
              <w:spacing w:before="40" w:after="120"/>
              <w:ind w:right="113"/>
              <w:rPr>
                <w:lang w:val="fr-FR"/>
              </w:rPr>
            </w:pPr>
            <w:r w:rsidRPr="00640449">
              <w:rPr>
                <w:lang w:val="fr-FR"/>
              </w:rPr>
              <w:t>4</w:t>
            </w:r>
          </w:p>
        </w:tc>
        <w:tc>
          <w:tcPr>
            <w:tcW w:w="674" w:type="dxa"/>
            <w:shd w:val="clear" w:color="auto" w:fill="auto"/>
          </w:tcPr>
          <w:p w:rsidR="00674E9C" w:rsidRPr="00640449" w:rsidRDefault="00674E9C" w:rsidP="00AA4763">
            <w:pPr>
              <w:spacing w:before="40" w:after="120"/>
              <w:ind w:right="113"/>
              <w:rPr>
                <w:lang w:val="fr-FR"/>
              </w:rPr>
            </w:pPr>
            <w:r w:rsidRPr="00640449">
              <w:rPr>
                <w:lang w:val="fr-FR"/>
              </w:rPr>
              <w:t>2016</w:t>
            </w:r>
          </w:p>
        </w:tc>
        <w:tc>
          <w:tcPr>
            <w:tcW w:w="437" w:type="dxa"/>
            <w:shd w:val="clear" w:color="auto" w:fill="auto"/>
          </w:tcPr>
          <w:p w:rsidR="00674E9C" w:rsidRPr="00640449" w:rsidRDefault="00674E9C" w:rsidP="00AA4763">
            <w:pPr>
              <w:spacing w:before="40" w:after="120"/>
              <w:ind w:right="113"/>
              <w:rPr>
                <w:lang w:val="fr-FR"/>
              </w:rPr>
            </w:pPr>
            <w:r w:rsidRPr="00640449">
              <w:rPr>
                <w:lang w:val="fr-FR"/>
              </w:rPr>
              <w:t>62</w:t>
            </w:r>
          </w:p>
        </w:tc>
        <w:tc>
          <w:tcPr>
            <w:tcW w:w="557" w:type="dxa"/>
            <w:shd w:val="clear" w:color="auto" w:fill="auto"/>
          </w:tcPr>
          <w:p w:rsidR="00674E9C" w:rsidRPr="00640449" w:rsidRDefault="00674E9C" w:rsidP="00AA4763">
            <w:pPr>
              <w:spacing w:before="40" w:after="120"/>
              <w:ind w:right="113"/>
              <w:rPr>
                <w:lang w:val="fr-FR"/>
              </w:rPr>
            </w:pPr>
            <w:r w:rsidRPr="00640449">
              <w:rPr>
                <w:lang w:val="fr-FR"/>
              </w:rPr>
              <w:t>M</w:t>
            </w:r>
          </w:p>
        </w:tc>
        <w:tc>
          <w:tcPr>
            <w:tcW w:w="1857" w:type="dxa"/>
            <w:shd w:val="clear" w:color="auto" w:fill="auto"/>
          </w:tcPr>
          <w:p w:rsidR="00674E9C" w:rsidRPr="00640449" w:rsidRDefault="00674E9C" w:rsidP="00AA4763">
            <w:pPr>
              <w:spacing w:before="40" w:after="120"/>
              <w:ind w:right="113"/>
              <w:rPr>
                <w:lang w:val="fr-FR"/>
              </w:rPr>
            </w:pPr>
            <w:r w:rsidRPr="00640449">
              <w:rPr>
                <w:lang w:val="fr-FR"/>
              </w:rPr>
              <w:t>Luxembourgeoise</w:t>
            </w:r>
          </w:p>
        </w:tc>
        <w:tc>
          <w:tcPr>
            <w:tcW w:w="1403" w:type="dxa"/>
            <w:shd w:val="clear" w:color="auto" w:fill="auto"/>
          </w:tcPr>
          <w:p w:rsidR="00674E9C" w:rsidRPr="00640449" w:rsidRDefault="00674E9C" w:rsidP="00AA4763">
            <w:pPr>
              <w:spacing w:before="40" w:after="120"/>
              <w:ind w:right="113"/>
              <w:rPr>
                <w:lang w:val="fr-FR"/>
              </w:rPr>
            </w:pPr>
            <w:r w:rsidRPr="00640449">
              <w:rPr>
                <w:lang w:val="fr-FR"/>
              </w:rPr>
              <w:t>mort naturelle</w:t>
            </w:r>
          </w:p>
        </w:tc>
        <w:tc>
          <w:tcPr>
            <w:tcW w:w="1984" w:type="dxa"/>
            <w:shd w:val="clear" w:color="auto" w:fill="auto"/>
          </w:tcPr>
          <w:p w:rsidR="00674E9C" w:rsidRPr="00640449" w:rsidRDefault="00674E9C" w:rsidP="00AA4763">
            <w:pPr>
              <w:spacing w:before="40" w:after="120"/>
              <w:ind w:right="6"/>
              <w:rPr>
                <w:lang w:val="fr-FR"/>
              </w:rPr>
            </w:pPr>
            <w:r w:rsidRPr="00640449">
              <w:rPr>
                <w:lang w:val="fr-FR"/>
              </w:rPr>
              <w:t>décédé en clinique</w:t>
            </w:r>
          </w:p>
        </w:tc>
      </w:tr>
      <w:tr w:rsidR="00640449" w:rsidRPr="00640449" w:rsidTr="00D20CB5">
        <w:trPr>
          <w:jc w:val="center"/>
        </w:trPr>
        <w:tc>
          <w:tcPr>
            <w:tcW w:w="459" w:type="dxa"/>
            <w:shd w:val="clear" w:color="auto" w:fill="auto"/>
          </w:tcPr>
          <w:p w:rsidR="00674E9C" w:rsidRPr="00640449" w:rsidRDefault="00674E9C" w:rsidP="00AA4763">
            <w:pPr>
              <w:spacing w:before="40" w:after="120"/>
              <w:ind w:right="113"/>
              <w:rPr>
                <w:lang w:val="fr-FR"/>
              </w:rPr>
            </w:pPr>
            <w:r w:rsidRPr="00640449">
              <w:rPr>
                <w:lang w:val="fr-FR"/>
              </w:rPr>
              <w:t>5</w:t>
            </w:r>
          </w:p>
        </w:tc>
        <w:tc>
          <w:tcPr>
            <w:tcW w:w="674" w:type="dxa"/>
            <w:shd w:val="clear" w:color="auto" w:fill="auto"/>
          </w:tcPr>
          <w:p w:rsidR="00674E9C" w:rsidRPr="00640449" w:rsidRDefault="00674E9C" w:rsidP="00AA4763">
            <w:pPr>
              <w:spacing w:before="40" w:after="120"/>
              <w:ind w:right="113"/>
              <w:rPr>
                <w:lang w:val="fr-FR"/>
              </w:rPr>
            </w:pPr>
            <w:r w:rsidRPr="00640449">
              <w:rPr>
                <w:lang w:val="fr-FR"/>
              </w:rPr>
              <w:t>2017</w:t>
            </w:r>
          </w:p>
        </w:tc>
        <w:tc>
          <w:tcPr>
            <w:tcW w:w="437" w:type="dxa"/>
            <w:shd w:val="clear" w:color="auto" w:fill="auto"/>
          </w:tcPr>
          <w:p w:rsidR="00674E9C" w:rsidRPr="00640449" w:rsidRDefault="00674E9C" w:rsidP="00AA4763">
            <w:pPr>
              <w:spacing w:before="40" w:after="120"/>
              <w:ind w:right="113"/>
              <w:rPr>
                <w:lang w:val="fr-FR"/>
              </w:rPr>
            </w:pPr>
            <w:r w:rsidRPr="00640449">
              <w:rPr>
                <w:lang w:val="fr-FR"/>
              </w:rPr>
              <w:t>57</w:t>
            </w:r>
          </w:p>
        </w:tc>
        <w:tc>
          <w:tcPr>
            <w:tcW w:w="557" w:type="dxa"/>
            <w:shd w:val="clear" w:color="auto" w:fill="auto"/>
          </w:tcPr>
          <w:p w:rsidR="00674E9C" w:rsidRPr="00640449" w:rsidRDefault="00674E9C" w:rsidP="00AA4763">
            <w:pPr>
              <w:spacing w:before="40" w:after="120"/>
              <w:ind w:right="113"/>
              <w:rPr>
                <w:lang w:val="fr-FR"/>
              </w:rPr>
            </w:pPr>
            <w:r w:rsidRPr="00640449">
              <w:rPr>
                <w:lang w:val="fr-FR"/>
              </w:rPr>
              <w:t>M</w:t>
            </w:r>
          </w:p>
        </w:tc>
        <w:tc>
          <w:tcPr>
            <w:tcW w:w="1857" w:type="dxa"/>
            <w:shd w:val="clear" w:color="auto" w:fill="auto"/>
          </w:tcPr>
          <w:p w:rsidR="00674E9C" w:rsidRPr="00640449" w:rsidRDefault="00674E9C" w:rsidP="00AA4763">
            <w:pPr>
              <w:spacing w:before="40" w:after="120"/>
              <w:ind w:right="113"/>
              <w:rPr>
                <w:lang w:val="fr-FR"/>
              </w:rPr>
            </w:pPr>
            <w:r w:rsidRPr="00640449">
              <w:rPr>
                <w:lang w:val="fr-FR"/>
              </w:rPr>
              <w:t>Allemande</w:t>
            </w:r>
          </w:p>
        </w:tc>
        <w:tc>
          <w:tcPr>
            <w:tcW w:w="1403" w:type="dxa"/>
            <w:shd w:val="clear" w:color="auto" w:fill="auto"/>
          </w:tcPr>
          <w:p w:rsidR="00674E9C" w:rsidRPr="00640449" w:rsidRDefault="00674E9C" w:rsidP="00AA4763">
            <w:pPr>
              <w:spacing w:before="40" w:after="120"/>
              <w:ind w:right="113"/>
              <w:rPr>
                <w:lang w:val="fr-FR"/>
              </w:rPr>
            </w:pPr>
            <w:r w:rsidRPr="00640449">
              <w:rPr>
                <w:lang w:val="fr-FR"/>
              </w:rPr>
              <w:t>mort naturelle</w:t>
            </w:r>
          </w:p>
        </w:tc>
        <w:tc>
          <w:tcPr>
            <w:tcW w:w="1984" w:type="dxa"/>
            <w:shd w:val="clear" w:color="auto" w:fill="auto"/>
          </w:tcPr>
          <w:p w:rsidR="00674E9C" w:rsidRPr="00640449" w:rsidRDefault="00674E9C" w:rsidP="00AA4763">
            <w:pPr>
              <w:spacing w:before="40" w:after="120"/>
              <w:ind w:right="113"/>
              <w:rPr>
                <w:lang w:val="fr-FR"/>
              </w:rPr>
            </w:pPr>
          </w:p>
        </w:tc>
      </w:tr>
      <w:tr w:rsidR="00640449" w:rsidRPr="00640449" w:rsidTr="00D20CB5">
        <w:trPr>
          <w:jc w:val="center"/>
        </w:trPr>
        <w:tc>
          <w:tcPr>
            <w:tcW w:w="459" w:type="dxa"/>
            <w:shd w:val="clear" w:color="auto" w:fill="auto"/>
          </w:tcPr>
          <w:p w:rsidR="00674E9C" w:rsidRPr="00640449" w:rsidRDefault="00674E9C" w:rsidP="00AA4763">
            <w:pPr>
              <w:spacing w:before="40" w:after="120"/>
              <w:ind w:right="113"/>
              <w:rPr>
                <w:lang w:val="fr-FR"/>
              </w:rPr>
            </w:pPr>
            <w:r w:rsidRPr="00640449">
              <w:rPr>
                <w:lang w:val="fr-FR"/>
              </w:rPr>
              <w:t>6</w:t>
            </w:r>
          </w:p>
        </w:tc>
        <w:tc>
          <w:tcPr>
            <w:tcW w:w="674" w:type="dxa"/>
            <w:shd w:val="clear" w:color="auto" w:fill="auto"/>
          </w:tcPr>
          <w:p w:rsidR="00674E9C" w:rsidRPr="00640449" w:rsidRDefault="00674E9C" w:rsidP="00AA4763">
            <w:pPr>
              <w:spacing w:before="40" w:after="120"/>
              <w:ind w:right="113"/>
              <w:rPr>
                <w:lang w:val="fr-FR"/>
              </w:rPr>
            </w:pPr>
            <w:r w:rsidRPr="00640449">
              <w:rPr>
                <w:lang w:val="fr-FR"/>
              </w:rPr>
              <w:t>2017</w:t>
            </w:r>
          </w:p>
        </w:tc>
        <w:tc>
          <w:tcPr>
            <w:tcW w:w="437" w:type="dxa"/>
            <w:shd w:val="clear" w:color="auto" w:fill="auto"/>
          </w:tcPr>
          <w:p w:rsidR="00674E9C" w:rsidRPr="00640449" w:rsidRDefault="00674E9C" w:rsidP="00AA4763">
            <w:pPr>
              <w:spacing w:before="40" w:after="120"/>
              <w:ind w:right="113"/>
              <w:rPr>
                <w:lang w:val="fr-FR"/>
              </w:rPr>
            </w:pPr>
            <w:r w:rsidRPr="00640449">
              <w:rPr>
                <w:lang w:val="fr-FR"/>
              </w:rPr>
              <w:t>75</w:t>
            </w:r>
          </w:p>
        </w:tc>
        <w:tc>
          <w:tcPr>
            <w:tcW w:w="557" w:type="dxa"/>
            <w:shd w:val="clear" w:color="auto" w:fill="auto"/>
          </w:tcPr>
          <w:p w:rsidR="00674E9C" w:rsidRPr="00640449" w:rsidRDefault="00674E9C" w:rsidP="00AA4763">
            <w:pPr>
              <w:spacing w:before="40" w:after="120"/>
              <w:ind w:right="113"/>
              <w:rPr>
                <w:lang w:val="fr-FR"/>
              </w:rPr>
            </w:pPr>
            <w:r w:rsidRPr="00640449">
              <w:rPr>
                <w:lang w:val="fr-FR"/>
              </w:rPr>
              <w:t>M</w:t>
            </w:r>
          </w:p>
        </w:tc>
        <w:tc>
          <w:tcPr>
            <w:tcW w:w="1857" w:type="dxa"/>
            <w:shd w:val="clear" w:color="auto" w:fill="auto"/>
          </w:tcPr>
          <w:p w:rsidR="00674E9C" w:rsidRPr="00640449" w:rsidRDefault="00674E9C" w:rsidP="00AA4763">
            <w:pPr>
              <w:spacing w:before="40" w:after="120"/>
              <w:ind w:right="113"/>
              <w:rPr>
                <w:lang w:val="fr-FR"/>
              </w:rPr>
            </w:pPr>
            <w:r w:rsidRPr="00640449">
              <w:rPr>
                <w:lang w:val="fr-FR"/>
              </w:rPr>
              <w:t>Luxembourgeoise</w:t>
            </w:r>
          </w:p>
        </w:tc>
        <w:tc>
          <w:tcPr>
            <w:tcW w:w="1403" w:type="dxa"/>
            <w:shd w:val="clear" w:color="auto" w:fill="auto"/>
          </w:tcPr>
          <w:p w:rsidR="00674E9C" w:rsidRPr="00640449" w:rsidRDefault="00674E9C" w:rsidP="00AA4763">
            <w:pPr>
              <w:spacing w:before="40" w:after="120"/>
              <w:ind w:right="113"/>
              <w:rPr>
                <w:lang w:val="fr-FR"/>
              </w:rPr>
            </w:pPr>
            <w:r w:rsidRPr="00640449">
              <w:rPr>
                <w:lang w:val="fr-FR"/>
              </w:rPr>
              <w:t>mort naturelle</w:t>
            </w:r>
          </w:p>
        </w:tc>
        <w:tc>
          <w:tcPr>
            <w:tcW w:w="1984" w:type="dxa"/>
            <w:shd w:val="clear" w:color="auto" w:fill="auto"/>
          </w:tcPr>
          <w:p w:rsidR="00674E9C" w:rsidRPr="00640449" w:rsidRDefault="00674E9C" w:rsidP="00AA4763">
            <w:pPr>
              <w:spacing w:before="40" w:after="120"/>
              <w:ind w:right="113"/>
              <w:rPr>
                <w:lang w:val="fr-FR"/>
              </w:rPr>
            </w:pPr>
          </w:p>
        </w:tc>
      </w:tr>
      <w:tr w:rsidR="00640449" w:rsidRPr="00640449" w:rsidTr="00D20CB5">
        <w:trPr>
          <w:jc w:val="center"/>
        </w:trPr>
        <w:tc>
          <w:tcPr>
            <w:tcW w:w="459" w:type="dxa"/>
            <w:shd w:val="clear" w:color="auto" w:fill="auto"/>
          </w:tcPr>
          <w:p w:rsidR="00674E9C" w:rsidRPr="00640449" w:rsidRDefault="00674E9C" w:rsidP="00AA4763">
            <w:pPr>
              <w:spacing w:before="40" w:after="120"/>
              <w:ind w:right="113"/>
              <w:rPr>
                <w:lang w:val="fr-FR"/>
              </w:rPr>
            </w:pPr>
            <w:r w:rsidRPr="00640449">
              <w:rPr>
                <w:lang w:val="fr-FR"/>
              </w:rPr>
              <w:t>7</w:t>
            </w:r>
          </w:p>
        </w:tc>
        <w:tc>
          <w:tcPr>
            <w:tcW w:w="674" w:type="dxa"/>
            <w:shd w:val="clear" w:color="auto" w:fill="auto"/>
          </w:tcPr>
          <w:p w:rsidR="00674E9C" w:rsidRPr="00640449" w:rsidRDefault="00674E9C" w:rsidP="00AA4763">
            <w:pPr>
              <w:spacing w:before="40" w:after="120"/>
              <w:ind w:right="113"/>
              <w:rPr>
                <w:lang w:val="fr-FR"/>
              </w:rPr>
            </w:pPr>
            <w:r w:rsidRPr="00640449">
              <w:rPr>
                <w:lang w:val="fr-FR"/>
              </w:rPr>
              <w:t>2017</w:t>
            </w:r>
          </w:p>
        </w:tc>
        <w:tc>
          <w:tcPr>
            <w:tcW w:w="437" w:type="dxa"/>
            <w:shd w:val="clear" w:color="auto" w:fill="auto"/>
          </w:tcPr>
          <w:p w:rsidR="00674E9C" w:rsidRPr="00640449" w:rsidRDefault="00674E9C" w:rsidP="00AA4763">
            <w:pPr>
              <w:spacing w:before="40" w:after="120"/>
              <w:ind w:right="113"/>
              <w:rPr>
                <w:lang w:val="fr-FR"/>
              </w:rPr>
            </w:pPr>
            <w:r w:rsidRPr="00640449">
              <w:rPr>
                <w:lang w:val="fr-FR"/>
              </w:rPr>
              <w:t>57</w:t>
            </w:r>
          </w:p>
        </w:tc>
        <w:tc>
          <w:tcPr>
            <w:tcW w:w="557" w:type="dxa"/>
            <w:shd w:val="clear" w:color="auto" w:fill="auto"/>
          </w:tcPr>
          <w:p w:rsidR="00674E9C" w:rsidRPr="00640449" w:rsidRDefault="00674E9C" w:rsidP="00AA4763">
            <w:pPr>
              <w:spacing w:before="40" w:after="120"/>
              <w:ind w:right="113"/>
              <w:rPr>
                <w:lang w:val="fr-FR"/>
              </w:rPr>
            </w:pPr>
            <w:r w:rsidRPr="00640449">
              <w:rPr>
                <w:lang w:val="fr-FR"/>
              </w:rPr>
              <w:t>M</w:t>
            </w:r>
          </w:p>
        </w:tc>
        <w:tc>
          <w:tcPr>
            <w:tcW w:w="1857" w:type="dxa"/>
            <w:shd w:val="clear" w:color="auto" w:fill="auto"/>
          </w:tcPr>
          <w:p w:rsidR="00674E9C" w:rsidRPr="00640449" w:rsidRDefault="00674E9C" w:rsidP="00AA4763">
            <w:pPr>
              <w:spacing w:before="40" w:after="120"/>
              <w:ind w:right="113"/>
              <w:rPr>
                <w:lang w:val="fr-FR"/>
              </w:rPr>
            </w:pPr>
            <w:r w:rsidRPr="00640449">
              <w:rPr>
                <w:lang w:val="fr-FR"/>
              </w:rPr>
              <w:t>Macédonienne</w:t>
            </w:r>
          </w:p>
        </w:tc>
        <w:tc>
          <w:tcPr>
            <w:tcW w:w="1403" w:type="dxa"/>
            <w:shd w:val="clear" w:color="auto" w:fill="auto"/>
          </w:tcPr>
          <w:p w:rsidR="00674E9C" w:rsidRPr="00640449" w:rsidRDefault="00674E9C" w:rsidP="00AA4763">
            <w:pPr>
              <w:spacing w:before="40" w:after="120"/>
              <w:ind w:right="113"/>
              <w:rPr>
                <w:lang w:val="fr-FR"/>
              </w:rPr>
            </w:pPr>
            <w:r w:rsidRPr="00640449">
              <w:rPr>
                <w:lang w:val="fr-FR"/>
              </w:rPr>
              <w:t>mort naturelle</w:t>
            </w:r>
          </w:p>
        </w:tc>
        <w:tc>
          <w:tcPr>
            <w:tcW w:w="1984" w:type="dxa"/>
            <w:shd w:val="clear" w:color="auto" w:fill="auto"/>
          </w:tcPr>
          <w:p w:rsidR="00674E9C" w:rsidRPr="00640449" w:rsidRDefault="00674E9C" w:rsidP="00AA4763">
            <w:pPr>
              <w:spacing w:before="40" w:after="120"/>
              <w:ind w:right="6"/>
              <w:rPr>
                <w:lang w:val="fr-FR"/>
              </w:rPr>
            </w:pPr>
            <w:r w:rsidRPr="00640449">
              <w:rPr>
                <w:lang w:val="fr-FR"/>
              </w:rPr>
              <w:t>décédé en clinique</w:t>
            </w:r>
          </w:p>
        </w:tc>
      </w:tr>
      <w:tr w:rsidR="00640449" w:rsidRPr="00640449" w:rsidTr="00D20CB5">
        <w:trPr>
          <w:jc w:val="center"/>
        </w:trPr>
        <w:tc>
          <w:tcPr>
            <w:tcW w:w="459" w:type="dxa"/>
            <w:shd w:val="clear" w:color="auto" w:fill="auto"/>
          </w:tcPr>
          <w:p w:rsidR="00674E9C" w:rsidRPr="00640449" w:rsidRDefault="00674E9C" w:rsidP="00AA4763">
            <w:pPr>
              <w:spacing w:before="40" w:after="120"/>
              <w:ind w:right="113"/>
              <w:rPr>
                <w:lang w:val="fr-FR"/>
              </w:rPr>
            </w:pPr>
            <w:r w:rsidRPr="00640449">
              <w:rPr>
                <w:lang w:val="fr-FR"/>
              </w:rPr>
              <w:t>8</w:t>
            </w:r>
          </w:p>
        </w:tc>
        <w:tc>
          <w:tcPr>
            <w:tcW w:w="674" w:type="dxa"/>
            <w:shd w:val="clear" w:color="auto" w:fill="auto"/>
          </w:tcPr>
          <w:p w:rsidR="00674E9C" w:rsidRPr="00640449" w:rsidRDefault="00674E9C" w:rsidP="00AA4763">
            <w:pPr>
              <w:spacing w:before="40" w:after="120"/>
              <w:ind w:right="113"/>
              <w:rPr>
                <w:lang w:val="fr-FR"/>
              </w:rPr>
            </w:pPr>
            <w:r w:rsidRPr="00640449">
              <w:rPr>
                <w:lang w:val="fr-FR"/>
              </w:rPr>
              <w:t>2018</w:t>
            </w:r>
          </w:p>
        </w:tc>
        <w:tc>
          <w:tcPr>
            <w:tcW w:w="437" w:type="dxa"/>
            <w:shd w:val="clear" w:color="auto" w:fill="auto"/>
          </w:tcPr>
          <w:p w:rsidR="00674E9C" w:rsidRPr="00640449" w:rsidRDefault="00674E9C" w:rsidP="00AA4763">
            <w:pPr>
              <w:spacing w:before="40" w:after="120"/>
              <w:ind w:right="113"/>
              <w:rPr>
                <w:lang w:val="fr-FR"/>
              </w:rPr>
            </w:pPr>
            <w:r w:rsidRPr="00640449">
              <w:rPr>
                <w:lang w:val="fr-FR"/>
              </w:rPr>
              <w:t>50</w:t>
            </w:r>
          </w:p>
        </w:tc>
        <w:tc>
          <w:tcPr>
            <w:tcW w:w="557" w:type="dxa"/>
            <w:shd w:val="clear" w:color="auto" w:fill="auto"/>
          </w:tcPr>
          <w:p w:rsidR="00674E9C" w:rsidRPr="00640449" w:rsidRDefault="00674E9C" w:rsidP="00AA4763">
            <w:pPr>
              <w:spacing w:before="40" w:after="120"/>
              <w:ind w:right="113"/>
              <w:rPr>
                <w:lang w:val="fr-FR"/>
              </w:rPr>
            </w:pPr>
            <w:r w:rsidRPr="00640449">
              <w:rPr>
                <w:lang w:val="fr-FR"/>
              </w:rPr>
              <w:t>M</w:t>
            </w:r>
          </w:p>
        </w:tc>
        <w:tc>
          <w:tcPr>
            <w:tcW w:w="1857" w:type="dxa"/>
            <w:shd w:val="clear" w:color="auto" w:fill="auto"/>
          </w:tcPr>
          <w:p w:rsidR="00674E9C" w:rsidRPr="00640449" w:rsidRDefault="00674E9C" w:rsidP="00AA4763">
            <w:pPr>
              <w:spacing w:before="40" w:after="120"/>
              <w:ind w:right="113"/>
              <w:rPr>
                <w:lang w:val="fr-FR"/>
              </w:rPr>
            </w:pPr>
            <w:r w:rsidRPr="00640449">
              <w:rPr>
                <w:lang w:val="fr-FR"/>
              </w:rPr>
              <w:t>Luxembourgeoise</w:t>
            </w:r>
          </w:p>
        </w:tc>
        <w:tc>
          <w:tcPr>
            <w:tcW w:w="1403" w:type="dxa"/>
            <w:shd w:val="clear" w:color="auto" w:fill="auto"/>
          </w:tcPr>
          <w:p w:rsidR="00674E9C" w:rsidRPr="00640449" w:rsidRDefault="00674E9C" w:rsidP="00AA4763">
            <w:pPr>
              <w:spacing w:before="40" w:after="120"/>
              <w:ind w:right="113"/>
              <w:rPr>
                <w:lang w:val="fr-FR"/>
              </w:rPr>
            </w:pPr>
            <w:r w:rsidRPr="00640449">
              <w:rPr>
                <w:lang w:val="fr-FR"/>
              </w:rPr>
              <w:t>mort naturelle</w:t>
            </w:r>
          </w:p>
        </w:tc>
        <w:tc>
          <w:tcPr>
            <w:tcW w:w="1984" w:type="dxa"/>
            <w:shd w:val="clear" w:color="auto" w:fill="auto"/>
          </w:tcPr>
          <w:p w:rsidR="00674E9C" w:rsidRPr="00640449" w:rsidRDefault="00674E9C" w:rsidP="00AA4763">
            <w:pPr>
              <w:spacing w:before="40" w:after="120"/>
              <w:ind w:right="113"/>
              <w:rPr>
                <w:lang w:val="fr-FR"/>
              </w:rPr>
            </w:pPr>
          </w:p>
        </w:tc>
      </w:tr>
      <w:tr w:rsidR="00640449" w:rsidRPr="00640449" w:rsidTr="00D20CB5">
        <w:trPr>
          <w:jc w:val="center"/>
        </w:trPr>
        <w:tc>
          <w:tcPr>
            <w:tcW w:w="459" w:type="dxa"/>
            <w:tcBorders>
              <w:bottom w:val="single" w:sz="12" w:space="0" w:color="auto"/>
            </w:tcBorders>
            <w:shd w:val="clear" w:color="auto" w:fill="auto"/>
          </w:tcPr>
          <w:p w:rsidR="00674E9C" w:rsidRPr="00640449" w:rsidRDefault="00674E9C" w:rsidP="00AA4763">
            <w:pPr>
              <w:spacing w:before="40" w:after="120"/>
              <w:ind w:right="113"/>
              <w:rPr>
                <w:lang w:val="fr-FR"/>
              </w:rPr>
            </w:pPr>
            <w:r w:rsidRPr="00640449">
              <w:rPr>
                <w:lang w:val="fr-FR"/>
              </w:rPr>
              <w:t>9</w:t>
            </w:r>
          </w:p>
        </w:tc>
        <w:tc>
          <w:tcPr>
            <w:tcW w:w="674" w:type="dxa"/>
            <w:tcBorders>
              <w:bottom w:val="single" w:sz="12" w:space="0" w:color="auto"/>
            </w:tcBorders>
            <w:shd w:val="clear" w:color="auto" w:fill="auto"/>
          </w:tcPr>
          <w:p w:rsidR="00674E9C" w:rsidRPr="00640449" w:rsidRDefault="00674E9C" w:rsidP="00AA4763">
            <w:pPr>
              <w:spacing w:before="40" w:after="120"/>
              <w:ind w:right="113"/>
              <w:rPr>
                <w:lang w:val="fr-FR"/>
              </w:rPr>
            </w:pPr>
            <w:r w:rsidRPr="00640449">
              <w:rPr>
                <w:lang w:val="fr-FR"/>
              </w:rPr>
              <w:t>2018</w:t>
            </w:r>
          </w:p>
        </w:tc>
        <w:tc>
          <w:tcPr>
            <w:tcW w:w="437" w:type="dxa"/>
            <w:tcBorders>
              <w:bottom w:val="single" w:sz="12" w:space="0" w:color="auto"/>
            </w:tcBorders>
            <w:shd w:val="clear" w:color="auto" w:fill="auto"/>
          </w:tcPr>
          <w:p w:rsidR="00674E9C" w:rsidRPr="00640449" w:rsidRDefault="00674E9C" w:rsidP="00AA4763">
            <w:pPr>
              <w:spacing w:before="40" w:after="120"/>
              <w:ind w:right="113"/>
              <w:rPr>
                <w:lang w:val="fr-FR"/>
              </w:rPr>
            </w:pPr>
            <w:r w:rsidRPr="00640449">
              <w:rPr>
                <w:lang w:val="fr-FR"/>
              </w:rPr>
              <w:t>43</w:t>
            </w:r>
          </w:p>
        </w:tc>
        <w:tc>
          <w:tcPr>
            <w:tcW w:w="557" w:type="dxa"/>
            <w:tcBorders>
              <w:bottom w:val="single" w:sz="12" w:space="0" w:color="auto"/>
            </w:tcBorders>
            <w:shd w:val="clear" w:color="auto" w:fill="auto"/>
          </w:tcPr>
          <w:p w:rsidR="00674E9C" w:rsidRPr="00640449" w:rsidRDefault="00674E9C" w:rsidP="00AA4763">
            <w:pPr>
              <w:spacing w:before="40" w:after="120"/>
              <w:ind w:right="113"/>
              <w:rPr>
                <w:lang w:val="fr-FR"/>
              </w:rPr>
            </w:pPr>
            <w:r w:rsidRPr="00640449">
              <w:rPr>
                <w:lang w:val="fr-FR"/>
              </w:rPr>
              <w:t>F</w:t>
            </w:r>
          </w:p>
        </w:tc>
        <w:tc>
          <w:tcPr>
            <w:tcW w:w="1857" w:type="dxa"/>
            <w:tcBorders>
              <w:bottom w:val="single" w:sz="12" w:space="0" w:color="auto"/>
            </w:tcBorders>
            <w:shd w:val="clear" w:color="auto" w:fill="auto"/>
          </w:tcPr>
          <w:p w:rsidR="00674E9C" w:rsidRPr="00640449" w:rsidRDefault="00674E9C" w:rsidP="00AA4763">
            <w:pPr>
              <w:spacing w:before="40" w:after="120"/>
              <w:ind w:right="113"/>
              <w:rPr>
                <w:lang w:val="fr-FR"/>
              </w:rPr>
            </w:pPr>
            <w:r w:rsidRPr="00640449">
              <w:rPr>
                <w:lang w:val="fr-FR"/>
              </w:rPr>
              <w:t>Rwandaise</w:t>
            </w:r>
          </w:p>
        </w:tc>
        <w:tc>
          <w:tcPr>
            <w:tcW w:w="1403" w:type="dxa"/>
            <w:tcBorders>
              <w:bottom w:val="single" w:sz="12" w:space="0" w:color="auto"/>
            </w:tcBorders>
            <w:shd w:val="clear" w:color="auto" w:fill="auto"/>
          </w:tcPr>
          <w:p w:rsidR="00674E9C" w:rsidRPr="00640449" w:rsidRDefault="00674E9C" w:rsidP="00AA4763">
            <w:pPr>
              <w:spacing w:before="40" w:after="120"/>
              <w:ind w:right="113"/>
              <w:rPr>
                <w:lang w:val="fr-FR"/>
              </w:rPr>
            </w:pPr>
            <w:r w:rsidRPr="00640449">
              <w:rPr>
                <w:lang w:val="fr-FR"/>
              </w:rPr>
              <w:t>overdose</w:t>
            </w:r>
          </w:p>
        </w:tc>
        <w:tc>
          <w:tcPr>
            <w:tcW w:w="1984" w:type="dxa"/>
            <w:tcBorders>
              <w:bottom w:val="single" w:sz="12" w:space="0" w:color="auto"/>
            </w:tcBorders>
            <w:shd w:val="clear" w:color="auto" w:fill="auto"/>
          </w:tcPr>
          <w:p w:rsidR="00674E9C" w:rsidRPr="00640449" w:rsidRDefault="00674E9C" w:rsidP="00AA4763">
            <w:pPr>
              <w:spacing w:before="40" w:after="120"/>
              <w:ind w:right="113"/>
              <w:rPr>
                <w:lang w:val="fr-FR"/>
              </w:rPr>
            </w:pPr>
          </w:p>
        </w:tc>
      </w:tr>
    </w:tbl>
    <w:p w:rsidR="00674E9C" w:rsidRPr="00640449" w:rsidRDefault="00B76B37" w:rsidP="00D20CB5">
      <w:pPr>
        <w:pStyle w:val="H23G"/>
        <w:rPr>
          <w:lang w:val="fr-FR"/>
        </w:rPr>
      </w:pPr>
      <w:r>
        <w:rPr>
          <w:lang w:val="fr-FR"/>
        </w:rPr>
        <w:tab/>
      </w:r>
      <w:r>
        <w:rPr>
          <w:lang w:val="fr-FR"/>
        </w:rPr>
        <w:tab/>
      </w:r>
      <w:r w:rsidR="00674E9C" w:rsidRPr="00640449">
        <w:rPr>
          <w:lang w:val="fr-FR"/>
        </w:rPr>
        <w:t>R n°13 i CPG</w:t>
      </w:r>
    </w:p>
    <w:p w:rsidR="00674E9C" w:rsidRPr="00640449" w:rsidRDefault="001A7B42" w:rsidP="001A7B42">
      <w:pPr>
        <w:pStyle w:val="SingleTxtG"/>
        <w:rPr>
          <w:lang w:val="fr-FR"/>
        </w:rPr>
      </w:pPr>
      <w:r w:rsidRPr="00640449">
        <w:rPr>
          <w:lang w:val="fr-FR"/>
        </w:rPr>
        <w:t>142.</w:t>
      </w:r>
      <w:r w:rsidRPr="00640449">
        <w:rPr>
          <w:lang w:val="fr-FR"/>
        </w:rPr>
        <w:tab/>
      </w:r>
      <w:r w:rsidR="00674E9C" w:rsidRPr="00640449">
        <w:rPr>
          <w:lang w:val="fr-FR"/>
        </w:rPr>
        <w:t>Aucun décès n’est intervenu pendant la période de 2004 à 2018.</w:t>
      </w:r>
    </w:p>
    <w:p w:rsidR="006D00B8" w:rsidRPr="00640449" w:rsidRDefault="000A79CD" w:rsidP="006D00B8">
      <w:pPr>
        <w:pStyle w:val="H23G"/>
        <w:rPr>
          <w:w w:val="103"/>
          <w:lang w:val="fr-FR"/>
        </w:rPr>
      </w:pPr>
      <w:r w:rsidRPr="00640449">
        <w:tab/>
      </w:r>
      <w:r w:rsidRPr="00640449">
        <w:tab/>
      </w:r>
      <w:r w:rsidR="006D00B8" w:rsidRPr="00640449">
        <w:t>N</w:t>
      </w:r>
      <w:r w:rsidR="006D00B8" w:rsidRPr="00640449">
        <w:rPr>
          <w:w w:val="103"/>
          <w:lang w:val="fr-FR"/>
        </w:rPr>
        <w:t>ombre de personnes blessées à la suite d’actes de violence commis dans les lieux de</w:t>
      </w:r>
      <w:r w:rsidR="00E24F18">
        <w:rPr>
          <w:w w:val="103"/>
          <w:lang w:val="fr-FR"/>
        </w:rPr>
        <w:t> </w:t>
      </w:r>
      <w:r w:rsidR="006D00B8" w:rsidRPr="00640449">
        <w:rPr>
          <w:w w:val="103"/>
          <w:lang w:val="fr-FR"/>
        </w:rPr>
        <w:t xml:space="preserve">détention </w:t>
      </w:r>
    </w:p>
    <w:p w:rsidR="00674E9C" w:rsidRPr="00640449" w:rsidRDefault="001A7B42" w:rsidP="001A7B42">
      <w:pPr>
        <w:pStyle w:val="SingleTxtG"/>
        <w:rPr>
          <w:lang w:val="fr-FR"/>
        </w:rPr>
      </w:pPr>
      <w:r w:rsidRPr="00640449">
        <w:rPr>
          <w:lang w:val="fr-FR"/>
        </w:rPr>
        <w:t>143.</w:t>
      </w:r>
      <w:r w:rsidRPr="00640449">
        <w:rPr>
          <w:lang w:val="fr-FR"/>
        </w:rPr>
        <w:tab/>
      </w:r>
      <w:r w:rsidR="00674E9C" w:rsidRPr="00640449">
        <w:rPr>
          <w:lang w:val="fr-FR"/>
        </w:rPr>
        <w:t xml:space="preserve">De tels cas ne sont jamais survenus. </w:t>
      </w:r>
    </w:p>
    <w:p w:rsidR="00154097" w:rsidRPr="00640449" w:rsidRDefault="00154097" w:rsidP="006D00B8">
      <w:pPr>
        <w:pStyle w:val="H1G"/>
        <w:rPr>
          <w:lang w:val="fr-FR"/>
        </w:rPr>
      </w:pPr>
      <w:r w:rsidRPr="00640449">
        <w:tab/>
      </w:r>
      <w:r w:rsidR="006D00B8" w:rsidRPr="00640449">
        <w:t>A</w:t>
      </w:r>
      <w:r w:rsidR="00CF6D6A" w:rsidRPr="00640449">
        <w:t>H</w:t>
      </w:r>
      <w:r w:rsidR="006D00B8" w:rsidRPr="00640449">
        <w:t>.</w:t>
      </w:r>
      <w:r w:rsidR="006D00B8" w:rsidRPr="00640449">
        <w:tab/>
      </w:r>
      <w:r w:rsidR="006D00B8" w:rsidRPr="00640449">
        <w:rPr>
          <w:lang w:val="fr-FR"/>
        </w:rPr>
        <w:t xml:space="preserve">Réponse </w:t>
      </w:r>
      <w:r w:rsidR="00DF6BF0" w:rsidRPr="00640449">
        <w:rPr>
          <w:lang w:val="fr-FR"/>
        </w:rPr>
        <w:t>aux</w:t>
      </w:r>
      <w:r w:rsidR="006D00B8" w:rsidRPr="00640449">
        <w:rPr>
          <w:lang w:val="fr-FR"/>
        </w:rPr>
        <w:t xml:space="preserve"> </w:t>
      </w:r>
      <w:r w:rsidR="00DF6BF0" w:rsidRPr="00640449">
        <w:rPr>
          <w:lang w:val="fr-FR"/>
        </w:rPr>
        <w:t>questions</w:t>
      </w:r>
      <w:r w:rsidR="006D00B8" w:rsidRPr="00640449">
        <w:rPr>
          <w:lang w:val="fr-FR"/>
        </w:rPr>
        <w:t xml:space="preserve"> posée</w:t>
      </w:r>
      <w:r w:rsidR="00DF6BF0" w:rsidRPr="00640449">
        <w:rPr>
          <w:lang w:val="fr-FR"/>
        </w:rPr>
        <w:t>s</w:t>
      </w:r>
      <w:r w:rsidR="006D00B8" w:rsidRPr="00640449">
        <w:rPr>
          <w:lang w:val="fr-FR"/>
        </w:rPr>
        <w:t xml:space="preserve"> </w:t>
      </w:r>
      <w:r w:rsidR="00DF6BF0" w:rsidRPr="00640449">
        <w:rPr>
          <w:lang w:val="fr-FR"/>
        </w:rPr>
        <w:t>aux</w:t>
      </w:r>
      <w:r w:rsidR="006D00B8" w:rsidRPr="00640449">
        <w:rPr>
          <w:lang w:val="fr-FR"/>
        </w:rPr>
        <w:t xml:space="preserve"> paragraphe</w:t>
      </w:r>
      <w:r w:rsidR="00DF6BF0" w:rsidRPr="00640449">
        <w:rPr>
          <w:lang w:val="fr-FR"/>
        </w:rPr>
        <w:t>s</w:t>
      </w:r>
      <w:r w:rsidR="006D00B8" w:rsidRPr="00640449">
        <w:rPr>
          <w:lang w:val="fr-FR"/>
        </w:rPr>
        <w:t xml:space="preserve"> 13 </w:t>
      </w:r>
      <w:r w:rsidR="00DF6BF0" w:rsidRPr="00640449">
        <w:rPr>
          <w:lang w:val="fr-FR"/>
        </w:rPr>
        <w:t>(</w:t>
      </w:r>
      <w:r w:rsidR="006D00B8" w:rsidRPr="00640449">
        <w:rPr>
          <w:lang w:val="fr-FR"/>
        </w:rPr>
        <w:t>b</w:t>
      </w:r>
      <w:r w:rsidR="00DF6BF0" w:rsidRPr="00640449">
        <w:rPr>
          <w:lang w:val="fr-FR"/>
        </w:rPr>
        <w:t>)</w:t>
      </w:r>
      <w:r w:rsidR="006D00B8" w:rsidRPr="00640449">
        <w:rPr>
          <w:lang w:val="fr-FR"/>
        </w:rPr>
        <w:t xml:space="preserve"> et </w:t>
      </w:r>
      <w:r w:rsidR="00DF6BF0" w:rsidRPr="00640449">
        <w:rPr>
          <w:lang w:val="fr-FR"/>
        </w:rPr>
        <w:t>(</w:t>
      </w:r>
      <w:r w:rsidR="006D00B8" w:rsidRPr="00640449">
        <w:rPr>
          <w:lang w:val="fr-FR"/>
        </w:rPr>
        <w:t>c</w:t>
      </w:r>
      <w:r w:rsidR="00DF6BF0" w:rsidRPr="00640449">
        <w:rPr>
          <w:lang w:val="fr-FR"/>
        </w:rPr>
        <w:t>)</w:t>
      </w:r>
    </w:p>
    <w:p w:rsidR="00674E9C" w:rsidRPr="00640449" w:rsidRDefault="008A2EDB" w:rsidP="00AA4763">
      <w:pPr>
        <w:pStyle w:val="H23G"/>
        <w:rPr>
          <w:lang w:val="fr-FR"/>
        </w:rPr>
      </w:pPr>
      <w:r w:rsidRPr="00640449">
        <w:rPr>
          <w:lang w:val="fr-FR"/>
        </w:rPr>
        <w:tab/>
      </w:r>
      <w:r w:rsidRPr="00640449">
        <w:rPr>
          <w:lang w:val="fr-FR"/>
        </w:rPr>
        <w:tab/>
      </w:r>
      <w:r w:rsidR="00674E9C" w:rsidRPr="00640449">
        <w:rPr>
          <w:lang w:val="fr-FR"/>
        </w:rPr>
        <w:t>Administration pénitentiaire</w:t>
      </w:r>
    </w:p>
    <w:p w:rsidR="00674E9C" w:rsidRPr="00640449" w:rsidRDefault="001A7B42" w:rsidP="001A7B42">
      <w:pPr>
        <w:pStyle w:val="SingleTxtG"/>
        <w:rPr>
          <w:lang w:val="fr-FR"/>
        </w:rPr>
      </w:pPr>
      <w:r w:rsidRPr="00640449">
        <w:rPr>
          <w:lang w:val="fr-FR"/>
        </w:rPr>
        <w:t>144.</w:t>
      </w:r>
      <w:r w:rsidRPr="00640449">
        <w:rPr>
          <w:lang w:val="fr-FR"/>
        </w:rPr>
        <w:tab/>
      </w:r>
      <w:r w:rsidR="00674E9C" w:rsidRPr="00640449">
        <w:rPr>
          <w:lang w:val="fr-FR"/>
        </w:rPr>
        <w:t xml:space="preserve">Régulièrement, des formations dont bénéficient les gardiens de l’administration pénitentiaire, sont organisées. </w:t>
      </w:r>
    </w:p>
    <w:p w:rsidR="00674E9C" w:rsidRPr="00640449" w:rsidRDefault="001A7B42" w:rsidP="001A7B42">
      <w:pPr>
        <w:pStyle w:val="SingleTxtG"/>
        <w:rPr>
          <w:lang w:val="fr-FR"/>
        </w:rPr>
      </w:pPr>
      <w:r w:rsidRPr="00640449">
        <w:rPr>
          <w:lang w:val="fr-FR"/>
        </w:rPr>
        <w:t>145.</w:t>
      </w:r>
      <w:r w:rsidRPr="00640449">
        <w:rPr>
          <w:lang w:val="fr-FR"/>
        </w:rPr>
        <w:tab/>
      </w:r>
      <w:r w:rsidR="00674E9C" w:rsidRPr="00640449">
        <w:rPr>
          <w:lang w:val="fr-FR"/>
        </w:rPr>
        <w:t xml:space="preserve">Les détenus à risque sont généralement séparés et font l’objet d’un transfert dans une autre unité. Le service médical psychiatrique pénitentiaire œuvre en matière de </w:t>
      </w:r>
      <w:r w:rsidR="00674E9C" w:rsidRPr="00640449">
        <w:rPr>
          <w:lang w:val="fr-FR"/>
        </w:rPr>
        <w:lastRenderedPageBreak/>
        <w:t xml:space="preserve">détection de la </w:t>
      </w:r>
      <w:proofErr w:type="spellStart"/>
      <w:r w:rsidR="00674E9C" w:rsidRPr="00640449">
        <w:rPr>
          <w:lang w:val="fr-FR"/>
        </w:rPr>
        <w:t>suicidalité</w:t>
      </w:r>
      <w:proofErr w:type="spellEnd"/>
      <w:r w:rsidR="00674E9C" w:rsidRPr="00640449">
        <w:rPr>
          <w:lang w:val="fr-FR"/>
        </w:rPr>
        <w:t xml:space="preserve"> et en matière de prévention du suicide par l’accompagnement psychiatrique adapté.</w:t>
      </w:r>
    </w:p>
    <w:p w:rsidR="00674E9C" w:rsidRPr="00640449" w:rsidRDefault="001A7B42" w:rsidP="001A7B42">
      <w:pPr>
        <w:pStyle w:val="SingleTxtG"/>
        <w:rPr>
          <w:lang w:val="fr-FR"/>
        </w:rPr>
      </w:pPr>
      <w:r w:rsidRPr="00640449">
        <w:rPr>
          <w:lang w:val="fr-FR"/>
        </w:rPr>
        <w:t>146.</w:t>
      </w:r>
      <w:r w:rsidRPr="00640449">
        <w:rPr>
          <w:lang w:val="fr-FR"/>
        </w:rPr>
        <w:tab/>
      </w:r>
      <w:r w:rsidR="00674E9C" w:rsidRPr="00640449">
        <w:rPr>
          <w:lang w:val="fr-FR"/>
        </w:rPr>
        <w:t>L’évaluation de ces actions débutera cette année, elle n’a été rendue possible que par la nouvelle législation de la réforme pénitentiaire.</w:t>
      </w:r>
    </w:p>
    <w:p w:rsidR="00674E9C" w:rsidRPr="00640449" w:rsidRDefault="008A2EDB" w:rsidP="00AA4763">
      <w:pPr>
        <w:pStyle w:val="H23G"/>
        <w:rPr>
          <w:lang w:val="fr-FR"/>
        </w:rPr>
      </w:pPr>
      <w:r w:rsidRPr="00640449">
        <w:rPr>
          <w:lang w:val="fr-FR"/>
        </w:rPr>
        <w:tab/>
      </w:r>
      <w:r w:rsidRPr="00640449">
        <w:rPr>
          <w:lang w:val="fr-FR"/>
        </w:rPr>
        <w:tab/>
      </w:r>
      <w:r w:rsidR="00674E9C" w:rsidRPr="00640449">
        <w:rPr>
          <w:lang w:val="fr-FR"/>
        </w:rPr>
        <w:t>Centre de rétention</w:t>
      </w:r>
    </w:p>
    <w:p w:rsidR="00674E9C" w:rsidRPr="00640449" w:rsidRDefault="001A7B42" w:rsidP="001A7B42">
      <w:pPr>
        <w:pStyle w:val="SingleTxtG"/>
        <w:rPr>
          <w:lang w:val="fr-FR"/>
        </w:rPr>
      </w:pPr>
      <w:r w:rsidRPr="00640449">
        <w:rPr>
          <w:lang w:val="fr-FR"/>
        </w:rPr>
        <w:t>147.</w:t>
      </w:r>
      <w:r w:rsidRPr="00640449">
        <w:rPr>
          <w:lang w:val="fr-FR"/>
        </w:rPr>
        <w:tab/>
      </w:r>
      <w:r w:rsidR="00674E9C" w:rsidRPr="00640449">
        <w:rPr>
          <w:lang w:val="fr-FR"/>
        </w:rPr>
        <w:t xml:space="preserve">Aucun retenu n’est décédé en rétention depuis la mise en service du Centre de rétention en août 2011. </w:t>
      </w:r>
    </w:p>
    <w:p w:rsidR="00674E9C" w:rsidRPr="00640449" w:rsidRDefault="001A7B42" w:rsidP="001A7B42">
      <w:pPr>
        <w:pStyle w:val="SingleTxtG"/>
        <w:rPr>
          <w:lang w:val="fr-FR"/>
        </w:rPr>
      </w:pPr>
      <w:r w:rsidRPr="00640449">
        <w:rPr>
          <w:lang w:val="fr-FR"/>
        </w:rPr>
        <w:t>148.</w:t>
      </w:r>
      <w:r w:rsidRPr="00640449">
        <w:rPr>
          <w:lang w:val="fr-FR"/>
        </w:rPr>
        <w:tab/>
      </w:r>
      <w:r w:rsidR="00674E9C" w:rsidRPr="00640449">
        <w:rPr>
          <w:lang w:val="fr-FR"/>
        </w:rPr>
        <w:t>En 2017, un agent de rétention stagiaire a fait un usage disproportionné de la force à l’encontre d’un retenu qui lui avait craché au visage. L’agent concerné a été suspendu avec effet immédiat à la suite de son acte et il a été mis fin de façon définitive à son stage le lendemain.</w:t>
      </w:r>
    </w:p>
    <w:p w:rsidR="00674E9C" w:rsidRPr="00640449" w:rsidRDefault="001A7B42" w:rsidP="001A7B42">
      <w:pPr>
        <w:pStyle w:val="SingleTxtG"/>
        <w:rPr>
          <w:lang w:val="fr-FR"/>
        </w:rPr>
      </w:pPr>
      <w:r w:rsidRPr="00640449">
        <w:rPr>
          <w:lang w:val="fr-FR"/>
        </w:rPr>
        <w:t>149.</w:t>
      </w:r>
      <w:r w:rsidRPr="00640449">
        <w:rPr>
          <w:lang w:val="fr-FR"/>
        </w:rPr>
        <w:tab/>
      </w:r>
      <w:r w:rsidR="00674E9C" w:rsidRPr="00640449">
        <w:rPr>
          <w:lang w:val="fr-FR"/>
        </w:rPr>
        <w:t xml:space="preserve">En 2015, 2 agents du Centre de rétention âgés de 32 et 39 ans ont été blessés par des retenus. En 2016, 4 agents de rétention ont été blessés par des retenus. Les victimes étaient âgées de 48, 22, 30 et 46 ans. En 2017, 2 agents ont été blessés par des retenus. Ces agents étaient âgés de 23 et 47 ans. Cette même année un retenu âgé de 34 ans a été blessé par un </w:t>
      </w:r>
      <w:proofErr w:type="spellStart"/>
      <w:r w:rsidR="00674E9C" w:rsidRPr="00640449">
        <w:rPr>
          <w:lang w:val="fr-FR"/>
        </w:rPr>
        <w:t>co</w:t>
      </w:r>
      <w:proofErr w:type="spellEnd"/>
      <w:r w:rsidR="00674E9C" w:rsidRPr="00640449">
        <w:rPr>
          <w:lang w:val="fr-FR"/>
        </w:rPr>
        <w:t xml:space="preserve">-retenu. En 2018, 1 retenu âgé de 31 ans a été blessé par un </w:t>
      </w:r>
      <w:proofErr w:type="spellStart"/>
      <w:r w:rsidR="00674E9C" w:rsidRPr="00640449">
        <w:rPr>
          <w:lang w:val="fr-FR"/>
        </w:rPr>
        <w:t>co</w:t>
      </w:r>
      <w:proofErr w:type="spellEnd"/>
      <w:r w:rsidR="00674E9C" w:rsidRPr="00640449">
        <w:rPr>
          <w:lang w:val="fr-FR"/>
        </w:rPr>
        <w:t>-retenu.</w:t>
      </w:r>
    </w:p>
    <w:p w:rsidR="00674E9C" w:rsidRPr="00640449" w:rsidRDefault="001A7B42" w:rsidP="001A7B42">
      <w:pPr>
        <w:pStyle w:val="SingleTxtG"/>
        <w:rPr>
          <w:lang w:val="fr-FR"/>
        </w:rPr>
      </w:pPr>
      <w:r w:rsidRPr="00640449">
        <w:rPr>
          <w:lang w:val="fr-FR"/>
        </w:rPr>
        <w:t>150.</w:t>
      </w:r>
      <w:r w:rsidRPr="00640449">
        <w:rPr>
          <w:lang w:val="fr-FR"/>
        </w:rPr>
        <w:tab/>
      </w:r>
      <w:r w:rsidR="00674E9C" w:rsidRPr="00640449">
        <w:rPr>
          <w:lang w:val="fr-FR"/>
        </w:rPr>
        <w:t>En cas de survenance de cas de violence, les victimes, qu’elles soient des agents du Centre ou des retenus, sont systématiquement informées de leurs droits et incitées à porter plainte au pénal contre leur agresseur. Une procédure disciplinaire est systématiquement entamée à l’encontre des auteurs de violences, la sanction étant proportionnée aux faits et susceptible de recours (cf. ci-avant). Les sanctions pénales prononcées le cas échéant à l’encontre des auteurs de faits de violence ne sont pas communiquées au Centre de rétention. Pour ce qui est de la réparation d’éventuelles violences subies, elles ne sont pas du ressort du Centre de rétention mais relèvent du droit commun.</w:t>
      </w:r>
    </w:p>
    <w:p w:rsidR="005130E6" w:rsidRPr="00640449" w:rsidRDefault="001A7B42" w:rsidP="001A7B42">
      <w:pPr>
        <w:pStyle w:val="SingleTxtG"/>
        <w:rPr>
          <w:lang w:val="fr-FR"/>
        </w:rPr>
      </w:pPr>
      <w:r w:rsidRPr="00640449">
        <w:rPr>
          <w:lang w:val="fr-FR"/>
        </w:rPr>
        <w:t>151.</w:t>
      </w:r>
      <w:r w:rsidRPr="00640449">
        <w:rPr>
          <w:lang w:val="fr-FR"/>
        </w:rPr>
        <w:tab/>
      </w:r>
      <w:r w:rsidR="00674E9C" w:rsidRPr="00640449">
        <w:rPr>
          <w:lang w:val="fr-FR"/>
        </w:rPr>
        <w:t>La prévention de la violence entre retenus fait partie intégrante de la philosophe du Centre qui mise sur un encadrement psychosocial individuel de chaque retenu. Cet encadrement incombe en première ligne aux agents de rétention qui sont en contact permanent avec les retenus et décèlent donc très rapidement tout comportement déviant ou à risque. Le deuxième volet de prise en charge est assuré par le staff psychosocial composé de 5 agents à temps plein expérimentés et spécifiquement formés à cette fin (psychologues, assistants-sociaux, éducateurs gradués) qui gèrent chacun au quotidien une dizaine de retenus chacun. Ces agents étant à l’écoute permanente de leurs clients et donc dans une interaction poussée avec eux, et désamorcent la plupart des conflits avant même qu’ils éclosent. Il est à relever que les retenus bénéficient également de soins psychiatriques en fonction de leurs besoins, un psychiatre étant présent au moins une fois par semaine (0,1 EPT) pour des consultations tandis qu’un infirmier psychiatrique assure une présence quotidienne au Centre du lundi au vendredi (0,5 EPT). Le Centre n’ayant à ce jour connu aucun suicide ni de tentative de suicide qualifiée comme telle, les mesures de prévention en place semblent adéquates et suffisantes, même s’il est envisagé d’encore augmenter l’équivalent à temps plein du psychiatre dans un avenir proche.</w:t>
      </w:r>
    </w:p>
    <w:p w:rsidR="007A13FD" w:rsidRPr="00640449" w:rsidRDefault="00154097" w:rsidP="007A13FD">
      <w:pPr>
        <w:pStyle w:val="H1G"/>
        <w:rPr>
          <w:lang w:val="fr-FR"/>
        </w:rPr>
      </w:pPr>
      <w:r w:rsidRPr="00640449">
        <w:tab/>
      </w:r>
      <w:r w:rsidR="007A13FD" w:rsidRPr="00640449">
        <w:t>A</w:t>
      </w:r>
      <w:r w:rsidR="00CF6D6A" w:rsidRPr="00640449">
        <w:t>I</w:t>
      </w:r>
      <w:r w:rsidR="007A13FD" w:rsidRPr="00640449">
        <w:t>.</w:t>
      </w:r>
      <w:r w:rsidR="007A13FD" w:rsidRPr="00640449">
        <w:tab/>
      </w:r>
      <w:r w:rsidR="007A13FD" w:rsidRPr="00640449">
        <w:rPr>
          <w:lang w:val="fr-FR"/>
        </w:rPr>
        <w:t xml:space="preserve">Réponse à </w:t>
      </w:r>
      <w:r w:rsidR="007A13FD" w:rsidRPr="00640449">
        <w:t>la</w:t>
      </w:r>
      <w:r w:rsidR="007A13FD" w:rsidRPr="00640449">
        <w:rPr>
          <w:lang w:val="fr-FR"/>
        </w:rPr>
        <w:t xml:space="preserve"> question posée au paragraphe 14</w:t>
      </w:r>
    </w:p>
    <w:p w:rsidR="00674E9C" w:rsidRPr="00640449" w:rsidRDefault="001A7B42" w:rsidP="001A7B42">
      <w:pPr>
        <w:pStyle w:val="SingleTxtG"/>
        <w:rPr>
          <w:lang w:val="fr-FR"/>
        </w:rPr>
      </w:pPr>
      <w:r w:rsidRPr="00640449">
        <w:rPr>
          <w:lang w:val="fr-FR"/>
        </w:rPr>
        <w:t>152.</w:t>
      </w:r>
      <w:r w:rsidRPr="00640449">
        <w:rPr>
          <w:lang w:val="fr-FR"/>
        </w:rPr>
        <w:tab/>
      </w:r>
      <w:r w:rsidR="00674E9C" w:rsidRPr="00640449">
        <w:rPr>
          <w:lang w:val="fr-FR"/>
        </w:rPr>
        <w:t xml:space="preserve">Concernant d’abord les personnes en séjour irrégulier, il n’y a pas de directives mais les décisions sont prises au cas par cas en analysant les circonstances précises du dossier en vertu des dispositions des articles 111,116 à 118,120 et 125 de la </w:t>
      </w:r>
      <w:hyperlink r:id="rId26" w:history="1">
        <w:r w:rsidR="00674E9C" w:rsidRPr="00640449">
          <w:rPr>
            <w:rStyle w:val="Lienhypertexte"/>
            <w:color w:val="auto"/>
            <w:lang w:val="fr-FR"/>
          </w:rPr>
          <w:t>loi modifiée du 29 août 2008 portant sur la libre circulation des personnes et l’immigration</w:t>
        </w:r>
      </w:hyperlink>
      <w:r w:rsidR="00674E9C" w:rsidRPr="00640449">
        <w:rPr>
          <w:rStyle w:val="Appelnotedebasdep"/>
        </w:rPr>
        <w:footnoteReference w:id="18"/>
      </w:r>
      <w:r w:rsidR="00674E9C" w:rsidRPr="00640449">
        <w:rPr>
          <w:lang w:val="fr-FR"/>
        </w:rPr>
        <w:t xml:space="preserve"> stipulant que l’intéressé peut être placé en rétention sur décision du ministre dans une structure fermée, à moins que d’autres mesures moins coercitives ne puissent être efficacement appliquées.</w:t>
      </w:r>
    </w:p>
    <w:p w:rsidR="00674E9C" w:rsidRPr="00640449" w:rsidRDefault="001A7B42" w:rsidP="001A7B42">
      <w:pPr>
        <w:pStyle w:val="SingleTxtG"/>
        <w:rPr>
          <w:lang w:val="fr-FR"/>
        </w:rPr>
      </w:pPr>
      <w:r w:rsidRPr="00640449">
        <w:rPr>
          <w:lang w:val="fr-FR"/>
        </w:rPr>
        <w:t>153.</w:t>
      </w:r>
      <w:r w:rsidRPr="00640449">
        <w:rPr>
          <w:lang w:val="fr-FR"/>
        </w:rPr>
        <w:tab/>
      </w:r>
      <w:r w:rsidR="00674E9C" w:rsidRPr="00640449">
        <w:rPr>
          <w:lang w:val="fr-FR"/>
        </w:rPr>
        <w:t xml:space="preserve">La durée de la rétention est fixée à un mois. Elle ne peut être maintenue qu’aussi longtemps que le dispositif d’éloignement est en cours et exécuté avec toute la diligence requise. Elle peut être reconduite par le ministre à trois reprises, chaque fois pour la durée </w:t>
      </w:r>
      <w:r w:rsidR="00674E9C" w:rsidRPr="00640449">
        <w:rPr>
          <w:lang w:val="fr-FR"/>
        </w:rPr>
        <w:lastRenderedPageBreak/>
        <w:t>d’un mois si les conditions sont toujours données et qu’il est nécessaire de garantir que l’éloignement puisse être mené à bien. Si, malgré les efforts employés, il est probable que l’opération d’éloignement dure plus longtemps en raison du manque de coopération de l’intéressé ou des retards subis pour obtenir de pays tiers les documents nécessaires, la durée de la rétention peut être prolongée à deux reprises, à chaque fois pour un mois supplémentaire. L’article 123 de ladite loi prévoit un recours devant le tribunal administratif statuant comme juge du fond à introduire dans le délai d’un mois à partir de la notification sur lequel le tribunal statue dans l’urgence dans les dix jours de l’introduction de la requête. Un appel peut être interjeté devant la Cour administrative endéans trois jours depuis la notification du jugement de première instance. La Cour statue dans l’urgence dans les dix jours de l’introduction de l’appel.</w:t>
      </w:r>
    </w:p>
    <w:p w:rsidR="005130E6" w:rsidRPr="00640449" w:rsidRDefault="001A7B42" w:rsidP="001A7B42">
      <w:pPr>
        <w:pStyle w:val="SingleTxtG"/>
      </w:pPr>
      <w:r w:rsidRPr="00640449">
        <w:t>154.</w:t>
      </w:r>
      <w:r w:rsidRPr="00640449">
        <w:tab/>
      </w:r>
      <w:r w:rsidR="00674E9C" w:rsidRPr="00640449">
        <w:rPr>
          <w:lang w:val="fr-FR"/>
        </w:rPr>
        <w:t>Le ministre a la possibilité d’ordonner une mesure de placement en rétention pour des demandeurs de protection internationale dans 5 cas spécifiques (article 22 (2) de la loi du 18</w:t>
      </w:r>
      <w:r w:rsidR="00E24F18">
        <w:rPr>
          <w:lang w:val="fr-FR"/>
        </w:rPr>
        <w:t> </w:t>
      </w:r>
      <w:r w:rsidR="00674E9C" w:rsidRPr="00640449">
        <w:rPr>
          <w:lang w:val="fr-FR"/>
        </w:rPr>
        <w:t>décembre 2015 relative à la protection internationale et à la protection temporaire). Contre la décision de placement ou contre la décision ordonnant une mesure moins coercitive telle que visée au paragraphe 3, un recours est ouvert devant le tribunal administratif qui statue comme juge du fond. Ce recours doit être introduit dans le délai de 3 mois à partir de la notification. L’article 123 paragraphes 4 et 5 est applicable. Il est prévu en ce sens qu’un appel peut être interjeté dans un délai de 3 jours à partir de la notification de la décision du tribunal administratif. La Cour administrative statue d’urgence et en tous cas dans les 10 jours de l’introduction de la requête. Pendant le délai et l’instance d’appel il sera sursis à l’exécution du jugement ayant annulé ou réformé la décision attaquée.</w:t>
      </w:r>
    </w:p>
    <w:p w:rsidR="007A13FD" w:rsidRPr="00640449" w:rsidRDefault="00154097" w:rsidP="007A13FD">
      <w:pPr>
        <w:pStyle w:val="H1G"/>
        <w:rPr>
          <w:lang w:val="fr-FR"/>
        </w:rPr>
      </w:pPr>
      <w:bookmarkStart w:id="10" w:name="_Toc8396109"/>
      <w:r w:rsidRPr="00640449">
        <w:tab/>
      </w:r>
      <w:r w:rsidR="007A13FD" w:rsidRPr="00640449">
        <w:t>A</w:t>
      </w:r>
      <w:r w:rsidR="00CF6D6A" w:rsidRPr="00640449">
        <w:t>J</w:t>
      </w:r>
      <w:r w:rsidR="007A13FD" w:rsidRPr="00640449">
        <w:t>.</w:t>
      </w:r>
      <w:r w:rsidR="007A13FD" w:rsidRPr="00640449">
        <w:tab/>
      </w:r>
      <w:r w:rsidR="007A13FD" w:rsidRPr="00640449">
        <w:rPr>
          <w:lang w:val="fr-FR"/>
        </w:rPr>
        <w:t xml:space="preserve">Réponse à </w:t>
      </w:r>
      <w:r w:rsidR="007A13FD" w:rsidRPr="00640449">
        <w:t>la</w:t>
      </w:r>
      <w:r w:rsidR="007A13FD" w:rsidRPr="00640449">
        <w:rPr>
          <w:lang w:val="fr-FR"/>
        </w:rPr>
        <w:t xml:space="preserve"> question posée au paragraphe 15 </w:t>
      </w:r>
      <w:r w:rsidR="009B6666" w:rsidRPr="00640449">
        <w:rPr>
          <w:lang w:val="fr-FR"/>
        </w:rPr>
        <w:t>(</w:t>
      </w:r>
      <w:r w:rsidR="007A13FD" w:rsidRPr="00640449">
        <w:rPr>
          <w:lang w:val="fr-FR"/>
        </w:rPr>
        <w:t>a</w:t>
      </w:r>
      <w:r w:rsidR="009B6666" w:rsidRPr="00640449">
        <w:rPr>
          <w:lang w:val="fr-FR"/>
        </w:rPr>
        <w:t>)</w:t>
      </w:r>
    </w:p>
    <w:bookmarkEnd w:id="10"/>
    <w:p w:rsidR="00674E9C" w:rsidRPr="00640449" w:rsidRDefault="001A7B42" w:rsidP="001A7B42">
      <w:pPr>
        <w:pStyle w:val="SingleTxtG"/>
        <w:rPr>
          <w:lang w:val="fr-FR"/>
        </w:rPr>
      </w:pPr>
      <w:r w:rsidRPr="00640449">
        <w:rPr>
          <w:lang w:val="fr-FR"/>
        </w:rPr>
        <w:t>155.</w:t>
      </w:r>
      <w:r w:rsidRPr="00640449">
        <w:rPr>
          <w:lang w:val="fr-FR"/>
        </w:rPr>
        <w:tab/>
      </w:r>
      <w:r w:rsidR="00674E9C" w:rsidRPr="00640449">
        <w:rPr>
          <w:lang w:val="fr-FR"/>
        </w:rPr>
        <w:t xml:space="preserve">En 2015, 71 personnes ont été placées en rétention administrative sur base respectivement de la </w:t>
      </w:r>
      <w:hyperlink r:id="rId27" w:history="1">
        <w:r w:rsidR="00674E9C" w:rsidRPr="00640449">
          <w:rPr>
            <w:rStyle w:val="Lienhypertexte"/>
            <w:color w:val="auto"/>
            <w:lang w:val="fr-FR"/>
          </w:rPr>
          <w:t>loi modifiée du 5 mai 2006 relative au droit d’asile et à des formes complémentaires de protection</w:t>
        </w:r>
      </w:hyperlink>
      <w:r w:rsidR="00674E9C" w:rsidRPr="00640449">
        <w:rPr>
          <w:rStyle w:val="Appelnotedebasdep"/>
        </w:rPr>
        <w:footnoteReference w:id="19"/>
      </w:r>
      <w:r w:rsidR="00674E9C" w:rsidRPr="00640449">
        <w:rPr>
          <w:lang w:val="fr-FR"/>
        </w:rPr>
        <w:t xml:space="preserve"> et de la </w:t>
      </w:r>
      <w:hyperlink r:id="rId28" w:history="1">
        <w:r w:rsidR="00674E9C" w:rsidRPr="00640449">
          <w:rPr>
            <w:rStyle w:val="Lienhypertexte"/>
            <w:color w:val="auto"/>
            <w:lang w:val="fr-FR"/>
          </w:rPr>
          <w:t>loi du 18 décembre 2015 relative à la protection internationale et à la protection temporaire</w:t>
        </w:r>
      </w:hyperlink>
      <w:r w:rsidR="00674E9C" w:rsidRPr="00640449">
        <w:rPr>
          <w:rStyle w:val="Appelnotedebasdep"/>
        </w:rPr>
        <w:footnoteReference w:id="20"/>
      </w:r>
      <w:r w:rsidR="00674E9C" w:rsidRPr="00640449">
        <w:rPr>
          <w:lang w:val="fr-FR"/>
        </w:rPr>
        <w:t xml:space="preserve"> pour une durée moyenne de 18 jours. </w:t>
      </w:r>
    </w:p>
    <w:p w:rsidR="00674E9C" w:rsidRPr="00640449" w:rsidRDefault="001A7B42" w:rsidP="001A7B42">
      <w:pPr>
        <w:pStyle w:val="SingleTxtG"/>
        <w:rPr>
          <w:lang w:val="fr-FR"/>
        </w:rPr>
      </w:pPr>
      <w:r w:rsidRPr="00640449">
        <w:rPr>
          <w:lang w:val="fr-FR"/>
        </w:rPr>
        <w:t>156.</w:t>
      </w:r>
      <w:r w:rsidRPr="00640449">
        <w:rPr>
          <w:lang w:val="fr-FR"/>
        </w:rPr>
        <w:tab/>
      </w:r>
      <w:r w:rsidR="00674E9C" w:rsidRPr="00640449">
        <w:rPr>
          <w:lang w:val="fr-FR"/>
        </w:rPr>
        <w:t xml:space="preserve">En 2016, 74 personnes ont été placées en rétention sur base de la loi du 18 décembre 2015 relative à la protection internationale et à la protection temporaire pour une durée moyenne de rétention de 20 jours. </w:t>
      </w:r>
    </w:p>
    <w:p w:rsidR="00674E9C" w:rsidRPr="00640449" w:rsidRDefault="001A7B42" w:rsidP="001A7B42">
      <w:pPr>
        <w:pStyle w:val="SingleTxtG"/>
        <w:rPr>
          <w:lang w:val="fr-FR"/>
        </w:rPr>
      </w:pPr>
      <w:r w:rsidRPr="00640449">
        <w:rPr>
          <w:lang w:val="fr-FR"/>
        </w:rPr>
        <w:t>157.</w:t>
      </w:r>
      <w:r w:rsidRPr="00640449">
        <w:rPr>
          <w:lang w:val="fr-FR"/>
        </w:rPr>
        <w:tab/>
      </w:r>
      <w:r w:rsidR="00674E9C" w:rsidRPr="00640449">
        <w:rPr>
          <w:lang w:val="fr-FR"/>
        </w:rPr>
        <w:t xml:space="preserve">En 2017 et 2018, 188 et 102 personnes ont été placées en rétention sur base de la prédite loi de 2015 pour une durée moyenne de rétention respectivement de 22 et 28 jours. </w:t>
      </w:r>
    </w:p>
    <w:p w:rsidR="007A13FD" w:rsidRPr="00640449" w:rsidRDefault="00154097" w:rsidP="007A13FD">
      <w:pPr>
        <w:pStyle w:val="H1G"/>
        <w:rPr>
          <w:lang w:val="fr-FR"/>
        </w:rPr>
      </w:pPr>
      <w:r w:rsidRPr="00640449">
        <w:tab/>
      </w:r>
      <w:r w:rsidR="007A13FD" w:rsidRPr="00640449">
        <w:t>A</w:t>
      </w:r>
      <w:r w:rsidR="00CF6D6A" w:rsidRPr="00640449">
        <w:t>K</w:t>
      </w:r>
      <w:r w:rsidR="007A13FD" w:rsidRPr="00640449">
        <w:t>.</w:t>
      </w:r>
      <w:r w:rsidR="007A13FD" w:rsidRPr="00640449">
        <w:tab/>
      </w:r>
      <w:r w:rsidR="007A13FD" w:rsidRPr="00640449">
        <w:rPr>
          <w:lang w:val="fr-FR"/>
        </w:rPr>
        <w:t xml:space="preserve">Réponse à </w:t>
      </w:r>
      <w:r w:rsidR="007A13FD" w:rsidRPr="00640449">
        <w:t>la</w:t>
      </w:r>
      <w:r w:rsidR="007A13FD" w:rsidRPr="00640449">
        <w:rPr>
          <w:lang w:val="fr-FR"/>
        </w:rPr>
        <w:t xml:space="preserve"> question posée au paragraphe 15</w:t>
      </w:r>
      <w:r w:rsidR="009B6666" w:rsidRPr="00640449">
        <w:rPr>
          <w:lang w:val="fr-FR"/>
        </w:rPr>
        <w:t xml:space="preserve"> (</w:t>
      </w:r>
      <w:r w:rsidR="007A13FD" w:rsidRPr="00640449">
        <w:rPr>
          <w:lang w:val="fr-FR"/>
        </w:rPr>
        <w:t>b</w:t>
      </w:r>
      <w:r w:rsidR="009B6666" w:rsidRPr="00640449">
        <w:rPr>
          <w:lang w:val="fr-FR"/>
        </w:rPr>
        <w:t>)</w:t>
      </w:r>
    </w:p>
    <w:p w:rsidR="00674E9C" w:rsidRPr="00640449" w:rsidRDefault="001A7B42" w:rsidP="001A7B42">
      <w:pPr>
        <w:pStyle w:val="SingleTxtG"/>
        <w:rPr>
          <w:lang w:val="fr-FR"/>
        </w:rPr>
      </w:pPr>
      <w:r w:rsidRPr="00640449">
        <w:rPr>
          <w:lang w:val="fr-FR"/>
        </w:rPr>
        <w:t>158.</w:t>
      </w:r>
      <w:r w:rsidRPr="00640449">
        <w:rPr>
          <w:lang w:val="fr-FR"/>
        </w:rPr>
        <w:tab/>
      </w:r>
      <w:r w:rsidR="00674E9C" w:rsidRPr="00640449">
        <w:rPr>
          <w:lang w:val="fr-FR"/>
        </w:rPr>
        <w:t>Aucun mineur non accompagné (MNA) n’a été placé en rétention administrative au Centre de rétention entre début 2015 et fin 2018. Toutefois, le Centre a accueilli pendant cette même période 84 familles (représentant un total de 306 personnes). Les durées moyennes de rétention s’établissent pour 2015 et 2016 à 1 journée, pour 2017 à un peu moins de 3 jours et pour 2018 à 2 jours. Il est à relever dans ce contexte que depuis la loi du 8 mars 2017 modifiant entre autres la loi modifiée du 28 mai 2009 concernant le Centre de rétention, la durée de rétention maximale pour familles accompagnées d’enfants, et donc a fortiori pour les MNA, est passée de 72 heures à 7 jours. Alors même que la durée maximale a été prolongée, on se doit de constater que la durée moyenne de rétention est restée quasi stable.</w:t>
      </w:r>
    </w:p>
    <w:p w:rsidR="00674E9C" w:rsidRPr="00640449" w:rsidRDefault="001A7B42" w:rsidP="001A7B42">
      <w:pPr>
        <w:pStyle w:val="SingleTxtG"/>
        <w:rPr>
          <w:lang w:val="fr-FR"/>
        </w:rPr>
      </w:pPr>
      <w:r w:rsidRPr="00640449">
        <w:rPr>
          <w:lang w:val="fr-FR"/>
        </w:rPr>
        <w:t>159.</w:t>
      </w:r>
      <w:r w:rsidRPr="00640449">
        <w:rPr>
          <w:lang w:val="fr-FR"/>
        </w:rPr>
        <w:tab/>
      </w:r>
      <w:r w:rsidR="00674E9C" w:rsidRPr="00640449">
        <w:rPr>
          <w:lang w:val="fr-FR"/>
        </w:rPr>
        <w:t>Les familles placées en rétention le sont dans une unité séparée comportant 14</w:t>
      </w:r>
      <w:r w:rsidR="00E24F18">
        <w:rPr>
          <w:lang w:val="fr-FR"/>
        </w:rPr>
        <w:t> </w:t>
      </w:r>
      <w:r w:rsidR="00674E9C" w:rsidRPr="00640449">
        <w:rPr>
          <w:lang w:val="fr-FR"/>
        </w:rPr>
        <w:t xml:space="preserve">chambres communicantes et disposant d’une aire de jeux aménagée dans la cour extérieure pour les enfants. Les familles bénéficient dès leur arrivée au Centre d’un régime allégé par rapport aux retenus majeurs célibataires. Ainsi les contrôles d’entrée sont-ils limités au strict minimum (simple palpation des parents, pas de contrôle des enfants). Les familles sont logées dans des chambres communicantes (2 personnes par chambre avec la </w:t>
      </w:r>
      <w:r w:rsidR="00674E9C" w:rsidRPr="00640449">
        <w:rPr>
          <w:lang w:val="fr-FR"/>
        </w:rPr>
        <w:lastRenderedPageBreak/>
        <w:t xml:space="preserve">possibilité d’y installer un lit d’appoint si nécessaire). Contrairement à ce qui se pratique pour les hommes et femmes célibataires, les portes des chambres ne sont pas fermées à clé entre 21.30 heures et 7.00 heures, de sorte que les personnes concernées circulent librement dans l’unité et la cour extérieure attenante (sauf pendant les repas et la nuit). La durée moyenne de séjour étant très brève, les familles en rétention sont traitées en priorité pour tout ce qui a trait aux visites et aux activités. Ainsi par exemple pour ce qui est des visites, contrairement aux règles normalement d’application, les rendez-vous peuvent se prendre le jour même et si la demande en est faite, il est dérogé aux horaires de visite usuels. Des jeux et jouets adaptés à l’âge des enfants sont mis à leur disposition pendant leur séjour. Chaque chambre est équipée d’un téléviseur et une console de jeux est installée dans le réfectoire de l’unité quand des enfants y séjournent. </w:t>
      </w:r>
    </w:p>
    <w:p w:rsidR="005130E6" w:rsidRPr="00640449" w:rsidRDefault="001A7B42" w:rsidP="001A7B42">
      <w:pPr>
        <w:pStyle w:val="SingleTxtG"/>
        <w:rPr>
          <w:lang w:val="fr-FR"/>
        </w:rPr>
      </w:pPr>
      <w:r w:rsidRPr="00640449">
        <w:rPr>
          <w:lang w:val="fr-FR"/>
        </w:rPr>
        <w:t>160.</w:t>
      </w:r>
      <w:r w:rsidRPr="00640449">
        <w:rPr>
          <w:lang w:val="fr-FR"/>
        </w:rPr>
        <w:tab/>
      </w:r>
      <w:r w:rsidR="00674E9C" w:rsidRPr="00640449">
        <w:rPr>
          <w:lang w:val="fr-FR"/>
        </w:rPr>
        <w:t>Le service psychosocial porte une attention particulière aux familles qui bénéficient d’un encadrement très attentif de leur part. Il va par ailleurs de soi que les enfants bénéficient d’une nourriture adaptée à leur âge et à leurs besoins. Il est également veillé à fournir aux parents tous les articles d’hygiène nécessaires pour les soins de leurs enfants.</w:t>
      </w:r>
    </w:p>
    <w:p w:rsidR="007A13FD" w:rsidRPr="00640449" w:rsidRDefault="00154097" w:rsidP="007A13FD">
      <w:pPr>
        <w:pStyle w:val="H1G"/>
        <w:rPr>
          <w:lang w:val="fr-FR"/>
        </w:rPr>
      </w:pPr>
      <w:r w:rsidRPr="00640449">
        <w:tab/>
      </w:r>
      <w:r w:rsidR="007A13FD" w:rsidRPr="00640449">
        <w:t>A</w:t>
      </w:r>
      <w:r w:rsidR="00CF6D6A" w:rsidRPr="00640449">
        <w:t>L</w:t>
      </w:r>
      <w:r w:rsidR="007A13FD" w:rsidRPr="00640449">
        <w:t>.</w:t>
      </w:r>
      <w:r w:rsidR="007A13FD" w:rsidRPr="00640449">
        <w:tab/>
      </w:r>
      <w:r w:rsidR="007A13FD" w:rsidRPr="00640449">
        <w:rPr>
          <w:lang w:val="fr-FR"/>
        </w:rPr>
        <w:t xml:space="preserve">Réponse à </w:t>
      </w:r>
      <w:r w:rsidR="007A13FD" w:rsidRPr="00640449">
        <w:t>la</w:t>
      </w:r>
      <w:r w:rsidR="007A13FD" w:rsidRPr="00640449">
        <w:rPr>
          <w:lang w:val="fr-FR"/>
        </w:rPr>
        <w:t xml:space="preserve"> question posée au paragraphe 15 </w:t>
      </w:r>
      <w:r w:rsidR="009B6666" w:rsidRPr="00640449">
        <w:rPr>
          <w:lang w:val="fr-FR"/>
        </w:rPr>
        <w:t>(</w:t>
      </w:r>
      <w:r w:rsidR="007A13FD" w:rsidRPr="00640449">
        <w:rPr>
          <w:lang w:val="fr-FR"/>
        </w:rPr>
        <w:t>c</w:t>
      </w:r>
      <w:r w:rsidR="009B6666" w:rsidRPr="00640449">
        <w:rPr>
          <w:lang w:val="fr-FR"/>
        </w:rPr>
        <w:t>)</w:t>
      </w:r>
    </w:p>
    <w:p w:rsidR="00674E9C" w:rsidRPr="00640449" w:rsidRDefault="001A7B42" w:rsidP="001A7B42">
      <w:pPr>
        <w:pStyle w:val="SingleTxtG"/>
        <w:rPr>
          <w:lang w:val="fr-FR"/>
        </w:rPr>
      </w:pPr>
      <w:r w:rsidRPr="00640449">
        <w:rPr>
          <w:lang w:val="fr-FR"/>
        </w:rPr>
        <w:t>161.</w:t>
      </w:r>
      <w:r w:rsidRPr="00640449">
        <w:rPr>
          <w:lang w:val="fr-FR"/>
        </w:rPr>
        <w:tab/>
      </w:r>
      <w:r w:rsidR="00674E9C" w:rsidRPr="00640449">
        <w:rPr>
          <w:lang w:val="fr-FR"/>
        </w:rPr>
        <w:t>Le tableau ci-après renseigne le nombre par année de retenus placés en rétention administrative au Centre de rétention sur base de la loi modifiée du 29 août 2008 sur la libre circulation des personnes et l’immigration ainsi que la durée moyenne de rétention.</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8"/>
        <w:gridCol w:w="2365"/>
        <w:gridCol w:w="2427"/>
      </w:tblGrid>
      <w:tr w:rsidR="00640449" w:rsidRPr="00640449" w:rsidTr="008612F3">
        <w:trPr>
          <w:tblHeader/>
        </w:trPr>
        <w:tc>
          <w:tcPr>
            <w:tcW w:w="2578" w:type="dxa"/>
            <w:tcBorders>
              <w:top w:val="single" w:sz="4" w:space="0" w:color="auto"/>
              <w:bottom w:val="single" w:sz="12" w:space="0" w:color="auto"/>
            </w:tcBorders>
            <w:shd w:val="clear" w:color="auto" w:fill="auto"/>
            <w:vAlign w:val="bottom"/>
          </w:tcPr>
          <w:p w:rsidR="00674E9C" w:rsidRPr="00640449" w:rsidRDefault="00674E9C" w:rsidP="008612F3">
            <w:pPr>
              <w:pStyle w:val="SingleTxtG"/>
              <w:suppressAutoHyphens w:val="0"/>
              <w:spacing w:before="80" w:after="80" w:line="200" w:lineRule="exact"/>
              <w:ind w:left="0" w:right="0"/>
              <w:jc w:val="left"/>
              <w:rPr>
                <w:i/>
                <w:sz w:val="16"/>
                <w:lang w:val="fr-FR"/>
              </w:rPr>
            </w:pPr>
            <w:r w:rsidRPr="00640449">
              <w:rPr>
                <w:i/>
                <w:sz w:val="16"/>
                <w:lang w:val="fr-FR"/>
              </w:rPr>
              <w:t>Année</w:t>
            </w:r>
          </w:p>
        </w:tc>
        <w:tc>
          <w:tcPr>
            <w:tcW w:w="2365" w:type="dxa"/>
            <w:tcBorders>
              <w:top w:val="single" w:sz="4" w:space="0" w:color="auto"/>
              <w:bottom w:val="single" w:sz="12" w:space="0" w:color="auto"/>
            </w:tcBorders>
            <w:shd w:val="clear" w:color="auto" w:fill="auto"/>
            <w:vAlign w:val="bottom"/>
          </w:tcPr>
          <w:p w:rsidR="00674E9C" w:rsidRPr="00640449" w:rsidRDefault="00674E9C" w:rsidP="008612F3">
            <w:pPr>
              <w:pStyle w:val="SingleTxtG"/>
              <w:suppressAutoHyphens w:val="0"/>
              <w:spacing w:before="80" w:after="80" w:line="200" w:lineRule="exact"/>
              <w:ind w:left="0" w:right="0"/>
              <w:jc w:val="right"/>
              <w:rPr>
                <w:i/>
                <w:sz w:val="16"/>
                <w:lang w:val="fr-FR"/>
              </w:rPr>
            </w:pPr>
            <w:r w:rsidRPr="00640449">
              <w:rPr>
                <w:i/>
                <w:sz w:val="16"/>
                <w:lang w:val="fr-FR"/>
              </w:rPr>
              <w:t>Nombre de retenus</w:t>
            </w:r>
          </w:p>
        </w:tc>
        <w:tc>
          <w:tcPr>
            <w:tcW w:w="2427" w:type="dxa"/>
            <w:tcBorders>
              <w:top w:val="single" w:sz="4" w:space="0" w:color="auto"/>
              <w:bottom w:val="single" w:sz="12" w:space="0" w:color="auto"/>
            </w:tcBorders>
            <w:shd w:val="clear" w:color="auto" w:fill="auto"/>
            <w:vAlign w:val="bottom"/>
          </w:tcPr>
          <w:p w:rsidR="00674E9C" w:rsidRPr="00640449" w:rsidRDefault="00674E9C" w:rsidP="008612F3">
            <w:pPr>
              <w:pStyle w:val="SingleTxtG"/>
              <w:suppressAutoHyphens w:val="0"/>
              <w:spacing w:before="80" w:after="80" w:line="200" w:lineRule="exact"/>
              <w:ind w:left="0" w:right="0"/>
              <w:jc w:val="right"/>
              <w:rPr>
                <w:i/>
                <w:sz w:val="16"/>
                <w:lang w:val="fr-FR"/>
              </w:rPr>
            </w:pPr>
            <w:r w:rsidRPr="00640449">
              <w:rPr>
                <w:i/>
                <w:sz w:val="16"/>
                <w:lang w:val="fr-FR"/>
              </w:rPr>
              <w:t>Durée moyenne de rétention</w:t>
            </w:r>
          </w:p>
        </w:tc>
      </w:tr>
      <w:tr w:rsidR="00640449" w:rsidRPr="00640449" w:rsidTr="008612F3">
        <w:tc>
          <w:tcPr>
            <w:tcW w:w="2578" w:type="dxa"/>
            <w:tcBorders>
              <w:top w:val="single" w:sz="12" w:space="0" w:color="auto"/>
            </w:tcBorders>
            <w:shd w:val="clear" w:color="auto" w:fill="auto"/>
          </w:tcPr>
          <w:p w:rsidR="00674E9C" w:rsidRPr="00640449" w:rsidRDefault="00674E9C" w:rsidP="008612F3">
            <w:pPr>
              <w:pStyle w:val="SingleTxtG"/>
              <w:suppressAutoHyphens w:val="0"/>
              <w:spacing w:before="40" w:after="40" w:line="220" w:lineRule="exact"/>
              <w:ind w:left="0" w:right="0"/>
              <w:jc w:val="left"/>
              <w:rPr>
                <w:sz w:val="18"/>
                <w:lang w:val="fr-FR"/>
              </w:rPr>
            </w:pPr>
            <w:r w:rsidRPr="00640449">
              <w:rPr>
                <w:sz w:val="18"/>
                <w:lang w:val="fr-FR"/>
              </w:rPr>
              <w:t>2015</w:t>
            </w:r>
          </w:p>
        </w:tc>
        <w:tc>
          <w:tcPr>
            <w:tcW w:w="2365" w:type="dxa"/>
            <w:tcBorders>
              <w:top w:val="single" w:sz="12" w:space="0" w:color="auto"/>
            </w:tcBorders>
            <w:shd w:val="clear" w:color="auto" w:fill="auto"/>
            <w:vAlign w:val="bottom"/>
          </w:tcPr>
          <w:p w:rsidR="00674E9C" w:rsidRPr="00640449" w:rsidRDefault="00674E9C" w:rsidP="008612F3">
            <w:pPr>
              <w:pStyle w:val="SingleTxtG"/>
              <w:suppressAutoHyphens w:val="0"/>
              <w:spacing w:before="40" w:after="40" w:line="220" w:lineRule="exact"/>
              <w:ind w:left="0" w:right="0"/>
              <w:jc w:val="right"/>
              <w:rPr>
                <w:sz w:val="18"/>
                <w:lang w:val="fr-FR"/>
              </w:rPr>
            </w:pPr>
            <w:r w:rsidRPr="00640449">
              <w:rPr>
                <w:sz w:val="18"/>
                <w:lang w:val="fr-FR"/>
              </w:rPr>
              <w:t>190</w:t>
            </w:r>
          </w:p>
        </w:tc>
        <w:tc>
          <w:tcPr>
            <w:tcW w:w="2427" w:type="dxa"/>
            <w:tcBorders>
              <w:top w:val="single" w:sz="12" w:space="0" w:color="auto"/>
            </w:tcBorders>
            <w:shd w:val="clear" w:color="auto" w:fill="auto"/>
            <w:vAlign w:val="bottom"/>
          </w:tcPr>
          <w:p w:rsidR="00674E9C" w:rsidRPr="00640449" w:rsidRDefault="00674E9C" w:rsidP="008612F3">
            <w:pPr>
              <w:pStyle w:val="SingleTxtG"/>
              <w:suppressAutoHyphens w:val="0"/>
              <w:spacing w:before="40" w:after="40" w:line="220" w:lineRule="exact"/>
              <w:ind w:left="0" w:right="0"/>
              <w:jc w:val="right"/>
              <w:rPr>
                <w:sz w:val="18"/>
                <w:lang w:val="fr-FR"/>
              </w:rPr>
            </w:pPr>
            <w:r w:rsidRPr="00640449">
              <w:rPr>
                <w:sz w:val="18"/>
                <w:lang w:val="fr-FR"/>
              </w:rPr>
              <w:t>48</w:t>
            </w:r>
          </w:p>
        </w:tc>
      </w:tr>
      <w:tr w:rsidR="00640449" w:rsidRPr="00640449" w:rsidTr="008612F3">
        <w:tc>
          <w:tcPr>
            <w:tcW w:w="2578" w:type="dxa"/>
            <w:shd w:val="clear" w:color="auto" w:fill="auto"/>
          </w:tcPr>
          <w:p w:rsidR="00674E9C" w:rsidRPr="00640449" w:rsidRDefault="00674E9C" w:rsidP="008612F3">
            <w:pPr>
              <w:pStyle w:val="SingleTxtG"/>
              <w:suppressAutoHyphens w:val="0"/>
              <w:spacing w:before="40" w:after="40" w:line="220" w:lineRule="exact"/>
              <w:ind w:left="0" w:right="0"/>
              <w:jc w:val="left"/>
              <w:rPr>
                <w:sz w:val="18"/>
                <w:lang w:val="fr-FR"/>
              </w:rPr>
            </w:pPr>
            <w:r w:rsidRPr="00640449">
              <w:rPr>
                <w:sz w:val="18"/>
                <w:lang w:val="fr-FR"/>
              </w:rPr>
              <w:t>2016</w:t>
            </w:r>
          </w:p>
        </w:tc>
        <w:tc>
          <w:tcPr>
            <w:tcW w:w="2365" w:type="dxa"/>
            <w:shd w:val="clear" w:color="auto" w:fill="auto"/>
            <w:vAlign w:val="bottom"/>
          </w:tcPr>
          <w:p w:rsidR="00674E9C" w:rsidRPr="00640449" w:rsidRDefault="00674E9C" w:rsidP="008612F3">
            <w:pPr>
              <w:pStyle w:val="SingleTxtG"/>
              <w:suppressAutoHyphens w:val="0"/>
              <w:spacing w:before="40" w:after="40" w:line="220" w:lineRule="exact"/>
              <w:ind w:left="0" w:right="0"/>
              <w:jc w:val="right"/>
              <w:rPr>
                <w:sz w:val="18"/>
                <w:lang w:val="fr-FR"/>
              </w:rPr>
            </w:pPr>
            <w:r w:rsidRPr="00640449">
              <w:rPr>
                <w:sz w:val="18"/>
                <w:lang w:val="fr-FR"/>
              </w:rPr>
              <w:t>210</w:t>
            </w:r>
          </w:p>
        </w:tc>
        <w:tc>
          <w:tcPr>
            <w:tcW w:w="2427" w:type="dxa"/>
            <w:shd w:val="clear" w:color="auto" w:fill="auto"/>
            <w:vAlign w:val="bottom"/>
          </w:tcPr>
          <w:p w:rsidR="00674E9C" w:rsidRPr="00640449" w:rsidRDefault="00674E9C" w:rsidP="008612F3">
            <w:pPr>
              <w:pStyle w:val="SingleTxtG"/>
              <w:suppressAutoHyphens w:val="0"/>
              <w:spacing w:before="40" w:after="40" w:line="220" w:lineRule="exact"/>
              <w:ind w:left="0" w:right="0"/>
              <w:jc w:val="right"/>
              <w:rPr>
                <w:sz w:val="18"/>
                <w:lang w:val="fr-FR"/>
              </w:rPr>
            </w:pPr>
            <w:r w:rsidRPr="00640449">
              <w:rPr>
                <w:sz w:val="18"/>
                <w:lang w:val="fr-FR"/>
              </w:rPr>
              <w:t>60</w:t>
            </w:r>
          </w:p>
        </w:tc>
      </w:tr>
      <w:tr w:rsidR="00640449" w:rsidRPr="00640449" w:rsidTr="008612F3">
        <w:tc>
          <w:tcPr>
            <w:tcW w:w="2578" w:type="dxa"/>
            <w:shd w:val="clear" w:color="auto" w:fill="auto"/>
          </w:tcPr>
          <w:p w:rsidR="00674E9C" w:rsidRPr="00640449" w:rsidRDefault="00674E9C" w:rsidP="008612F3">
            <w:pPr>
              <w:pStyle w:val="SingleTxtG"/>
              <w:suppressAutoHyphens w:val="0"/>
              <w:spacing w:before="40" w:after="40" w:line="220" w:lineRule="exact"/>
              <w:ind w:left="0" w:right="0"/>
              <w:jc w:val="left"/>
              <w:rPr>
                <w:sz w:val="18"/>
                <w:lang w:val="fr-FR"/>
              </w:rPr>
            </w:pPr>
            <w:r w:rsidRPr="00640449">
              <w:rPr>
                <w:sz w:val="18"/>
                <w:lang w:val="fr-FR"/>
              </w:rPr>
              <w:t>2017</w:t>
            </w:r>
          </w:p>
        </w:tc>
        <w:tc>
          <w:tcPr>
            <w:tcW w:w="2365" w:type="dxa"/>
            <w:shd w:val="clear" w:color="auto" w:fill="auto"/>
            <w:vAlign w:val="bottom"/>
          </w:tcPr>
          <w:p w:rsidR="00674E9C" w:rsidRPr="00640449" w:rsidRDefault="00674E9C" w:rsidP="008612F3">
            <w:pPr>
              <w:pStyle w:val="SingleTxtG"/>
              <w:suppressAutoHyphens w:val="0"/>
              <w:spacing w:before="40" w:after="40" w:line="220" w:lineRule="exact"/>
              <w:ind w:left="0" w:right="0"/>
              <w:jc w:val="right"/>
              <w:rPr>
                <w:sz w:val="18"/>
                <w:lang w:val="fr-FR"/>
              </w:rPr>
            </w:pPr>
            <w:r w:rsidRPr="00640449">
              <w:rPr>
                <w:sz w:val="18"/>
                <w:lang w:val="fr-FR"/>
              </w:rPr>
              <w:t>206</w:t>
            </w:r>
          </w:p>
        </w:tc>
        <w:tc>
          <w:tcPr>
            <w:tcW w:w="2427" w:type="dxa"/>
            <w:shd w:val="clear" w:color="auto" w:fill="auto"/>
            <w:vAlign w:val="bottom"/>
          </w:tcPr>
          <w:p w:rsidR="00674E9C" w:rsidRPr="00640449" w:rsidRDefault="00674E9C" w:rsidP="008612F3">
            <w:pPr>
              <w:pStyle w:val="SingleTxtG"/>
              <w:suppressAutoHyphens w:val="0"/>
              <w:spacing w:before="40" w:after="40" w:line="220" w:lineRule="exact"/>
              <w:ind w:left="0" w:right="0"/>
              <w:jc w:val="right"/>
              <w:rPr>
                <w:sz w:val="18"/>
                <w:lang w:val="fr-FR"/>
              </w:rPr>
            </w:pPr>
            <w:r w:rsidRPr="00640449">
              <w:rPr>
                <w:sz w:val="18"/>
                <w:lang w:val="fr-FR"/>
              </w:rPr>
              <w:t>54</w:t>
            </w:r>
          </w:p>
        </w:tc>
      </w:tr>
      <w:tr w:rsidR="00640449" w:rsidRPr="00640449" w:rsidTr="008612F3">
        <w:tc>
          <w:tcPr>
            <w:tcW w:w="2578" w:type="dxa"/>
            <w:tcBorders>
              <w:bottom w:val="single" w:sz="12" w:space="0" w:color="auto"/>
            </w:tcBorders>
            <w:shd w:val="clear" w:color="auto" w:fill="auto"/>
          </w:tcPr>
          <w:p w:rsidR="00674E9C" w:rsidRPr="00640449" w:rsidRDefault="00674E9C" w:rsidP="008612F3">
            <w:pPr>
              <w:pStyle w:val="SingleTxtG"/>
              <w:suppressAutoHyphens w:val="0"/>
              <w:spacing w:before="40" w:after="40" w:line="220" w:lineRule="exact"/>
              <w:ind w:left="0" w:right="0"/>
              <w:jc w:val="left"/>
              <w:rPr>
                <w:sz w:val="18"/>
                <w:lang w:val="fr-FR"/>
              </w:rPr>
            </w:pPr>
            <w:r w:rsidRPr="00640449">
              <w:rPr>
                <w:sz w:val="18"/>
                <w:lang w:val="fr-FR"/>
              </w:rPr>
              <w:t>2018</w:t>
            </w:r>
          </w:p>
        </w:tc>
        <w:tc>
          <w:tcPr>
            <w:tcW w:w="2365" w:type="dxa"/>
            <w:tcBorders>
              <w:bottom w:val="single" w:sz="12" w:space="0" w:color="auto"/>
            </w:tcBorders>
            <w:shd w:val="clear" w:color="auto" w:fill="auto"/>
            <w:vAlign w:val="bottom"/>
          </w:tcPr>
          <w:p w:rsidR="00674E9C" w:rsidRPr="00640449" w:rsidRDefault="00674E9C" w:rsidP="008612F3">
            <w:pPr>
              <w:pStyle w:val="SingleTxtG"/>
              <w:suppressAutoHyphens w:val="0"/>
              <w:spacing w:before="40" w:after="40" w:line="220" w:lineRule="exact"/>
              <w:ind w:left="0" w:right="0"/>
              <w:jc w:val="right"/>
              <w:rPr>
                <w:sz w:val="18"/>
                <w:lang w:val="fr-FR"/>
              </w:rPr>
            </w:pPr>
            <w:r w:rsidRPr="00640449">
              <w:rPr>
                <w:sz w:val="18"/>
                <w:lang w:val="fr-FR"/>
              </w:rPr>
              <w:t>245</w:t>
            </w:r>
          </w:p>
        </w:tc>
        <w:tc>
          <w:tcPr>
            <w:tcW w:w="2427" w:type="dxa"/>
            <w:tcBorders>
              <w:bottom w:val="single" w:sz="12" w:space="0" w:color="auto"/>
            </w:tcBorders>
            <w:shd w:val="clear" w:color="auto" w:fill="auto"/>
            <w:vAlign w:val="bottom"/>
          </w:tcPr>
          <w:p w:rsidR="00674E9C" w:rsidRPr="00640449" w:rsidRDefault="00674E9C" w:rsidP="008612F3">
            <w:pPr>
              <w:pStyle w:val="SingleTxtG"/>
              <w:suppressAutoHyphens w:val="0"/>
              <w:spacing w:before="40" w:after="40" w:line="220" w:lineRule="exact"/>
              <w:ind w:left="0" w:right="0"/>
              <w:jc w:val="right"/>
              <w:rPr>
                <w:sz w:val="18"/>
                <w:lang w:val="fr-FR"/>
              </w:rPr>
            </w:pPr>
            <w:r w:rsidRPr="00640449">
              <w:rPr>
                <w:sz w:val="18"/>
                <w:lang w:val="fr-FR"/>
              </w:rPr>
              <w:t>52</w:t>
            </w:r>
          </w:p>
        </w:tc>
      </w:tr>
    </w:tbl>
    <w:p w:rsidR="007A13FD" w:rsidRPr="00640449" w:rsidRDefault="007A13FD" w:rsidP="007A13FD">
      <w:pPr>
        <w:pStyle w:val="H1G"/>
        <w:rPr>
          <w:lang w:val="fr-FR"/>
        </w:rPr>
      </w:pPr>
      <w:r w:rsidRPr="00640449">
        <w:tab/>
        <w:t>A</w:t>
      </w:r>
      <w:r w:rsidR="00CF6D6A" w:rsidRPr="00640449">
        <w:t>M</w:t>
      </w:r>
      <w:r w:rsidRPr="00640449">
        <w:t>.</w:t>
      </w:r>
      <w:r w:rsidRPr="00640449">
        <w:tab/>
      </w:r>
      <w:r w:rsidRPr="00640449">
        <w:rPr>
          <w:lang w:val="fr-FR"/>
        </w:rPr>
        <w:t xml:space="preserve">Réponse à </w:t>
      </w:r>
      <w:r w:rsidRPr="00640449">
        <w:t>la</w:t>
      </w:r>
      <w:r w:rsidRPr="00640449">
        <w:rPr>
          <w:lang w:val="fr-FR"/>
        </w:rPr>
        <w:t xml:space="preserve"> question posée au paragraphe 16</w:t>
      </w:r>
    </w:p>
    <w:p w:rsidR="00674E9C" w:rsidRPr="00640449" w:rsidRDefault="001A7B42" w:rsidP="001A7B42">
      <w:pPr>
        <w:pStyle w:val="SingleTxtG"/>
        <w:rPr>
          <w:b/>
          <w:lang w:val="fr-FR"/>
        </w:rPr>
      </w:pPr>
      <w:r w:rsidRPr="00640449">
        <w:rPr>
          <w:lang w:val="fr-FR"/>
        </w:rPr>
        <w:t>162.</w:t>
      </w:r>
      <w:r w:rsidRPr="00640449">
        <w:rPr>
          <w:lang w:val="fr-FR"/>
        </w:rPr>
        <w:tab/>
      </w:r>
      <w:r w:rsidR="00674E9C" w:rsidRPr="00640449">
        <w:rPr>
          <w:lang w:val="fr-FR"/>
        </w:rPr>
        <w:t>Statistiques des plaintes/rapports de police pour torture ou mauvais traitements</w:t>
      </w:r>
      <w:r w:rsidR="00640449">
        <w:rPr>
          <w:lang w:val="fr-FR"/>
        </w:rPr>
        <w:t xml:space="preserve"> ;</w:t>
      </w:r>
      <w:r w:rsidR="00674E9C" w:rsidRPr="00640449">
        <w:rPr>
          <w:lang w:val="fr-FR"/>
        </w:rPr>
        <w:t xml:space="preserve"> nombres d’enquêtes, poursuites et sanctions</w:t>
      </w:r>
      <w:r w:rsidR="00674E9C" w:rsidRPr="00640449" w:rsidDel="00142956">
        <w:rPr>
          <w:lang w:val="fr-FR"/>
        </w:rPr>
        <w:t xml:space="preserve"> </w:t>
      </w:r>
      <w:r w:rsidR="00674E9C" w:rsidRPr="00640449">
        <w:rPr>
          <w:lang w:val="fr-FR"/>
        </w:rPr>
        <w:t>fournies par l’Inspection générale de la Police</w:t>
      </w:r>
      <w:r w:rsidR="00E24F18">
        <w:rPr>
          <w:lang w:val="fr-FR"/>
        </w:rPr>
        <w:t> </w:t>
      </w:r>
      <w:r w:rsidR="00674E9C" w:rsidRPr="00640449">
        <w:rPr>
          <w:lang w:val="fr-FR"/>
        </w:rPr>
        <w: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054"/>
        <w:gridCol w:w="1239"/>
        <w:gridCol w:w="891"/>
        <w:gridCol w:w="1069"/>
        <w:gridCol w:w="883"/>
        <w:gridCol w:w="958"/>
      </w:tblGrid>
      <w:tr w:rsidR="00E24F18" w:rsidRPr="00D20CB5" w:rsidTr="00D20CB5">
        <w:trPr>
          <w:tblHeader/>
        </w:trPr>
        <w:tc>
          <w:tcPr>
            <w:tcW w:w="1276" w:type="dxa"/>
            <w:tcBorders>
              <w:top w:val="single" w:sz="4" w:space="0" w:color="auto"/>
              <w:bottom w:val="single" w:sz="12" w:space="0" w:color="auto"/>
            </w:tcBorders>
            <w:shd w:val="clear" w:color="auto" w:fill="auto"/>
            <w:vAlign w:val="bottom"/>
          </w:tcPr>
          <w:p w:rsidR="00674E9C" w:rsidRPr="00D20CB5" w:rsidRDefault="00674E9C" w:rsidP="00D20CB5">
            <w:pPr>
              <w:spacing w:before="80" w:after="80" w:line="200" w:lineRule="exact"/>
              <w:ind w:right="113"/>
              <w:rPr>
                <w:i/>
                <w:sz w:val="16"/>
                <w:lang w:val="fr-FR"/>
              </w:rPr>
            </w:pPr>
          </w:p>
        </w:tc>
        <w:tc>
          <w:tcPr>
            <w:tcW w:w="2293" w:type="dxa"/>
            <w:gridSpan w:val="2"/>
            <w:tcBorders>
              <w:top w:val="single" w:sz="4" w:space="0" w:color="auto"/>
              <w:bottom w:val="single" w:sz="12" w:space="0" w:color="auto"/>
            </w:tcBorders>
            <w:shd w:val="clear" w:color="auto" w:fill="auto"/>
            <w:vAlign w:val="bottom"/>
          </w:tcPr>
          <w:p w:rsidR="00674E9C" w:rsidRPr="00D20CB5" w:rsidRDefault="00674E9C" w:rsidP="00D20CB5">
            <w:pPr>
              <w:spacing w:before="80" w:after="80" w:line="200" w:lineRule="exact"/>
              <w:ind w:right="113"/>
              <w:jc w:val="center"/>
              <w:rPr>
                <w:i/>
                <w:sz w:val="16"/>
                <w:lang w:val="fr-FR"/>
              </w:rPr>
            </w:pPr>
            <w:r w:rsidRPr="00D20CB5">
              <w:rPr>
                <w:i/>
                <w:sz w:val="16"/>
                <w:lang w:val="fr-FR"/>
              </w:rPr>
              <w:t>2016</w:t>
            </w:r>
          </w:p>
        </w:tc>
        <w:tc>
          <w:tcPr>
            <w:tcW w:w="1960" w:type="dxa"/>
            <w:gridSpan w:val="2"/>
            <w:tcBorders>
              <w:top w:val="single" w:sz="4" w:space="0" w:color="auto"/>
              <w:bottom w:val="single" w:sz="12" w:space="0" w:color="auto"/>
            </w:tcBorders>
            <w:shd w:val="clear" w:color="auto" w:fill="auto"/>
            <w:vAlign w:val="bottom"/>
          </w:tcPr>
          <w:p w:rsidR="00674E9C" w:rsidRPr="00D20CB5" w:rsidRDefault="00674E9C" w:rsidP="00D20CB5">
            <w:pPr>
              <w:spacing w:before="80" w:after="80" w:line="200" w:lineRule="exact"/>
              <w:ind w:right="113"/>
              <w:jc w:val="center"/>
              <w:rPr>
                <w:i/>
                <w:sz w:val="16"/>
                <w:lang w:val="fr-FR"/>
              </w:rPr>
            </w:pPr>
            <w:r w:rsidRPr="00D20CB5">
              <w:rPr>
                <w:i/>
                <w:sz w:val="16"/>
                <w:lang w:val="fr-FR"/>
              </w:rPr>
              <w:t>2017</w:t>
            </w:r>
          </w:p>
        </w:tc>
        <w:tc>
          <w:tcPr>
            <w:tcW w:w="1841" w:type="dxa"/>
            <w:gridSpan w:val="2"/>
            <w:tcBorders>
              <w:top w:val="single" w:sz="4" w:space="0" w:color="auto"/>
              <w:bottom w:val="single" w:sz="12" w:space="0" w:color="auto"/>
            </w:tcBorders>
            <w:shd w:val="clear" w:color="auto" w:fill="auto"/>
            <w:vAlign w:val="bottom"/>
          </w:tcPr>
          <w:p w:rsidR="00674E9C" w:rsidRPr="00D20CB5" w:rsidRDefault="00674E9C" w:rsidP="00D20CB5">
            <w:pPr>
              <w:spacing w:before="80" w:after="80" w:line="200" w:lineRule="exact"/>
              <w:ind w:right="113"/>
              <w:jc w:val="center"/>
              <w:rPr>
                <w:i/>
                <w:sz w:val="16"/>
                <w:lang w:val="fr-FR"/>
              </w:rPr>
            </w:pPr>
            <w:r w:rsidRPr="00D20CB5">
              <w:rPr>
                <w:i/>
                <w:sz w:val="16"/>
                <w:lang w:val="fr-FR"/>
              </w:rPr>
              <w:t>2018</w:t>
            </w:r>
          </w:p>
        </w:tc>
      </w:tr>
      <w:tr w:rsidR="00E24F18" w:rsidRPr="00D20CB5" w:rsidTr="00E24F18">
        <w:trPr>
          <w:trHeight w:hRule="exact" w:val="113"/>
          <w:tblHeader/>
        </w:trPr>
        <w:tc>
          <w:tcPr>
            <w:tcW w:w="1276" w:type="dxa"/>
            <w:tcBorders>
              <w:top w:val="single" w:sz="12" w:space="0" w:color="auto"/>
            </w:tcBorders>
            <w:shd w:val="clear" w:color="auto" w:fill="auto"/>
          </w:tcPr>
          <w:p w:rsidR="00E24F18" w:rsidRPr="00D20CB5" w:rsidRDefault="00E24F18" w:rsidP="00D20CB5">
            <w:pPr>
              <w:spacing w:before="40" w:after="120"/>
              <w:ind w:right="113"/>
              <w:rPr>
                <w:lang w:val="fr-FR"/>
              </w:rPr>
            </w:pPr>
          </w:p>
        </w:tc>
        <w:tc>
          <w:tcPr>
            <w:tcW w:w="2293" w:type="dxa"/>
            <w:gridSpan w:val="2"/>
            <w:tcBorders>
              <w:top w:val="single" w:sz="12" w:space="0" w:color="auto"/>
            </w:tcBorders>
            <w:shd w:val="clear" w:color="auto" w:fill="auto"/>
          </w:tcPr>
          <w:p w:rsidR="00E24F18" w:rsidRPr="00D20CB5" w:rsidRDefault="00E24F18" w:rsidP="00D20CB5">
            <w:pPr>
              <w:spacing w:before="40" w:after="120"/>
              <w:ind w:right="113"/>
              <w:rPr>
                <w:lang w:val="fr-FR"/>
              </w:rPr>
            </w:pPr>
          </w:p>
        </w:tc>
        <w:tc>
          <w:tcPr>
            <w:tcW w:w="1960" w:type="dxa"/>
            <w:gridSpan w:val="2"/>
            <w:tcBorders>
              <w:top w:val="single" w:sz="12" w:space="0" w:color="auto"/>
            </w:tcBorders>
            <w:shd w:val="clear" w:color="auto" w:fill="auto"/>
          </w:tcPr>
          <w:p w:rsidR="00E24F18" w:rsidRPr="00D20CB5" w:rsidRDefault="00E24F18" w:rsidP="00D20CB5">
            <w:pPr>
              <w:spacing w:before="40" w:after="120"/>
              <w:ind w:right="113"/>
              <w:rPr>
                <w:lang w:val="fr-FR"/>
              </w:rPr>
            </w:pPr>
          </w:p>
        </w:tc>
        <w:tc>
          <w:tcPr>
            <w:tcW w:w="1841" w:type="dxa"/>
            <w:gridSpan w:val="2"/>
            <w:tcBorders>
              <w:top w:val="single" w:sz="12" w:space="0" w:color="auto"/>
            </w:tcBorders>
            <w:shd w:val="clear" w:color="auto" w:fill="auto"/>
          </w:tcPr>
          <w:p w:rsidR="00E24F18" w:rsidRPr="00D20CB5" w:rsidRDefault="00E24F18" w:rsidP="00D20CB5">
            <w:pPr>
              <w:spacing w:before="40" w:after="120"/>
              <w:ind w:right="113"/>
              <w:rPr>
                <w:lang w:val="fr-FR"/>
              </w:rPr>
            </w:pPr>
          </w:p>
        </w:tc>
      </w:tr>
      <w:tr w:rsidR="00E24F18" w:rsidRPr="00D20CB5" w:rsidTr="00D20CB5">
        <w:tc>
          <w:tcPr>
            <w:tcW w:w="1276" w:type="dxa"/>
            <w:shd w:val="clear" w:color="auto" w:fill="auto"/>
          </w:tcPr>
          <w:p w:rsidR="00674E9C" w:rsidRPr="00D20CB5" w:rsidRDefault="00674E9C" w:rsidP="00D20CB5">
            <w:pPr>
              <w:spacing w:before="40" w:after="120"/>
              <w:ind w:right="113"/>
              <w:rPr>
                <w:lang w:val="fr-FR"/>
              </w:rPr>
            </w:pPr>
          </w:p>
        </w:tc>
        <w:tc>
          <w:tcPr>
            <w:tcW w:w="1054" w:type="dxa"/>
            <w:shd w:val="clear" w:color="auto" w:fill="auto"/>
          </w:tcPr>
          <w:p w:rsidR="00674E9C" w:rsidRPr="00D20CB5" w:rsidRDefault="00674E9C" w:rsidP="00D20CB5">
            <w:pPr>
              <w:spacing w:before="40" w:after="120"/>
              <w:ind w:right="113"/>
              <w:rPr>
                <w:lang w:val="fr-FR"/>
              </w:rPr>
            </w:pPr>
            <w:proofErr w:type="spellStart"/>
            <w:r w:rsidRPr="00D20CB5">
              <w:rPr>
                <w:lang w:val="en-US"/>
              </w:rPr>
              <w:t>Nombre</w:t>
            </w:r>
            <w:proofErr w:type="spellEnd"/>
            <w:r w:rsidRPr="00D20CB5">
              <w:rPr>
                <w:lang w:val="en-US"/>
              </w:rPr>
              <w:t xml:space="preserve"> </w:t>
            </w:r>
            <w:proofErr w:type="spellStart"/>
            <w:r w:rsidRPr="00D20CB5">
              <w:rPr>
                <w:lang w:val="en-US"/>
              </w:rPr>
              <w:t>d’affaires</w:t>
            </w:r>
            <w:proofErr w:type="spellEnd"/>
          </w:p>
        </w:tc>
        <w:tc>
          <w:tcPr>
            <w:tcW w:w="1239" w:type="dxa"/>
            <w:shd w:val="clear" w:color="auto" w:fill="auto"/>
          </w:tcPr>
          <w:p w:rsidR="00674E9C" w:rsidRPr="00D20CB5" w:rsidRDefault="00674E9C" w:rsidP="00D20CB5">
            <w:pPr>
              <w:spacing w:before="40" w:after="120"/>
              <w:ind w:right="113"/>
              <w:rPr>
                <w:lang w:val="fr-FR"/>
              </w:rPr>
            </w:pPr>
            <w:r w:rsidRPr="00D20CB5">
              <w:rPr>
                <w:lang w:val="en-US"/>
              </w:rPr>
              <w:t xml:space="preserve">Suite </w:t>
            </w:r>
            <w:proofErr w:type="spellStart"/>
            <w:r w:rsidRPr="00D20CB5">
              <w:rPr>
                <w:lang w:val="en-US"/>
              </w:rPr>
              <w:t>judiciaire</w:t>
            </w:r>
            <w:proofErr w:type="spellEnd"/>
          </w:p>
        </w:tc>
        <w:tc>
          <w:tcPr>
            <w:tcW w:w="891" w:type="dxa"/>
            <w:shd w:val="clear" w:color="auto" w:fill="auto"/>
          </w:tcPr>
          <w:p w:rsidR="00674E9C" w:rsidRPr="00D20CB5" w:rsidRDefault="00674E9C" w:rsidP="00D20CB5">
            <w:pPr>
              <w:spacing w:before="40" w:after="120"/>
              <w:ind w:right="113"/>
              <w:rPr>
                <w:lang w:val="fr-FR"/>
              </w:rPr>
            </w:pPr>
            <w:proofErr w:type="spellStart"/>
            <w:r w:rsidRPr="00D20CB5">
              <w:rPr>
                <w:lang w:val="en-US"/>
              </w:rPr>
              <w:t>Nombre</w:t>
            </w:r>
            <w:proofErr w:type="spellEnd"/>
            <w:r w:rsidRPr="00D20CB5">
              <w:rPr>
                <w:lang w:val="en-US"/>
              </w:rPr>
              <w:t xml:space="preserve"> </w:t>
            </w:r>
            <w:proofErr w:type="spellStart"/>
            <w:r w:rsidRPr="00D20CB5">
              <w:rPr>
                <w:lang w:val="en-US"/>
              </w:rPr>
              <w:t>d’affaires</w:t>
            </w:r>
            <w:proofErr w:type="spellEnd"/>
          </w:p>
        </w:tc>
        <w:tc>
          <w:tcPr>
            <w:tcW w:w="1069" w:type="dxa"/>
            <w:shd w:val="clear" w:color="auto" w:fill="auto"/>
          </w:tcPr>
          <w:p w:rsidR="00674E9C" w:rsidRPr="00D20CB5" w:rsidRDefault="00674E9C" w:rsidP="00D20CB5">
            <w:pPr>
              <w:spacing w:before="40" w:after="120"/>
              <w:ind w:right="113"/>
              <w:rPr>
                <w:lang w:val="fr-FR"/>
              </w:rPr>
            </w:pPr>
            <w:r w:rsidRPr="00D20CB5">
              <w:rPr>
                <w:lang w:val="en-US"/>
              </w:rPr>
              <w:t xml:space="preserve">Suite </w:t>
            </w:r>
            <w:proofErr w:type="spellStart"/>
            <w:r w:rsidRPr="00D20CB5">
              <w:rPr>
                <w:lang w:val="en-US"/>
              </w:rPr>
              <w:t>judiciaire</w:t>
            </w:r>
            <w:proofErr w:type="spellEnd"/>
          </w:p>
        </w:tc>
        <w:tc>
          <w:tcPr>
            <w:tcW w:w="883" w:type="dxa"/>
            <w:shd w:val="clear" w:color="auto" w:fill="auto"/>
          </w:tcPr>
          <w:p w:rsidR="00674E9C" w:rsidRPr="00D20CB5" w:rsidRDefault="00674E9C" w:rsidP="00D20CB5">
            <w:pPr>
              <w:spacing w:before="40" w:after="120"/>
              <w:ind w:right="113"/>
              <w:rPr>
                <w:lang w:val="fr-FR"/>
              </w:rPr>
            </w:pPr>
            <w:proofErr w:type="spellStart"/>
            <w:r w:rsidRPr="00D20CB5">
              <w:rPr>
                <w:lang w:val="en-US"/>
              </w:rPr>
              <w:t>Nombre</w:t>
            </w:r>
            <w:proofErr w:type="spellEnd"/>
            <w:r w:rsidRPr="00D20CB5">
              <w:rPr>
                <w:lang w:val="en-US"/>
              </w:rPr>
              <w:t xml:space="preserve"> </w:t>
            </w:r>
            <w:proofErr w:type="spellStart"/>
            <w:r w:rsidRPr="00D20CB5">
              <w:rPr>
                <w:lang w:val="en-US"/>
              </w:rPr>
              <w:t>d’affaires</w:t>
            </w:r>
            <w:proofErr w:type="spellEnd"/>
          </w:p>
        </w:tc>
        <w:tc>
          <w:tcPr>
            <w:tcW w:w="958" w:type="dxa"/>
            <w:shd w:val="clear" w:color="auto" w:fill="auto"/>
          </w:tcPr>
          <w:p w:rsidR="00674E9C" w:rsidRPr="00D20CB5" w:rsidRDefault="00674E9C" w:rsidP="00D20CB5">
            <w:pPr>
              <w:spacing w:before="40" w:after="120"/>
              <w:ind w:right="113"/>
              <w:rPr>
                <w:lang w:val="fr-FR"/>
              </w:rPr>
            </w:pPr>
            <w:r w:rsidRPr="00D20CB5">
              <w:rPr>
                <w:lang w:val="en-US"/>
              </w:rPr>
              <w:t xml:space="preserve">Suite </w:t>
            </w:r>
            <w:proofErr w:type="spellStart"/>
            <w:r w:rsidRPr="00D20CB5">
              <w:rPr>
                <w:lang w:val="en-US"/>
              </w:rPr>
              <w:t>judiciaire</w:t>
            </w:r>
            <w:proofErr w:type="spellEnd"/>
          </w:p>
        </w:tc>
      </w:tr>
      <w:tr w:rsidR="00E24F18" w:rsidRPr="00D20CB5" w:rsidTr="00D20CB5">
        <w:tc>
          <w:tcPr>
            <w:tcW w:w="1276" w:type="dxa"/>
            <w:shd w:val="clear" w:color="auto" w:fill="auto"/>
          </w:tcPr>
          <w:p w:rsidR="00674E9C" w:rsidRPr="00D20CB5" w:rsidRDefault="00674E9C" w:rsidP="00D20CB5">
            <w:pPr>
              <w:spacing w:before="40" w:after="120"/>
              <w:ind w:right="113"/>
              <w:rPr>
                <w:lang w:val="fr-FR"/>
              </w:rPr>
            </w:pPr>
            <w:r w:rsidRPr="00D20CB5">
              <w:rPr>
                <w:lang w:val="en-US"/>
              </w:rPr>
              <w:t>Torture</w:t>
            </w:r>
          </w:p>
        </w:tc>
        <w:tc>
          <w:tcPr>
            <w:tcW w:w="1054" w:type="dxa"/>
            <w:shd w:val="clear" w:color="auto" w:fill="auto"/>
          </w:tcPr>
          <w:p w:rsidR="00674E9C" w:rsidRPr="00D20CB5" w:rsidRDefault="00674E9C" w:rsidP="00D20CB5">
            <w:pPr>
              <w:spacing w:before="40" w:after="120"/>
              <w:ind w:right="113"/>
              <w:rPr>
                <w:lang w:val="fr-FR"/>
              </w:rPr>
            </w:pPr>
            <w:r w:rsidRPr="00D20CB5">
              <w:rPr>
                <w:lang w:val="fr-FR"/>
              </w:rPr>
              <w:t>0</w:t>
            </w:r>
          </w:p>
        </w:tc>
        <w:tc>
          <w:tcPr>
            <w:tcW w:w="1239" w:type="dxa"/>
            <w:shd w:val="clear" w:color="auto" w:fill="auto"/>
          </w:tcPr>
          <w:p w:rsidR="00674E9C" w:rsidRPr="00D20CB5" w:rsidRDefault="00674E9C" w:rsidP="00D20CB5">
            <w:pPr>
              <w:spacing w:before="40" w:after="120"/>
              <w:ind w:right="113"/>
              <w:rPr>
                <w:lang w:val="fr-FR"/>
              </w:rPr>
            </w:pPr>
            <w:r w:rsidRPr="00D20CB5">
              <w:rPr>
                <w:lang w:val="fr-FR"/>
              </w:rPr>
              <w:t>0</w:t>
            </w:r>
          </w:p>
        </w:tc>
        <w:tc>
          <w:tcPr>
            <w:tcW w:w="891" w:type="dxa"/>
            <w:shd w:val="clear" w:color="auto" w:fill="auto"/>
          </w:tcPr>
          <w:p w:rsidR="00674E9C" w:rsidRPr="00D20CB5" w:rsidRDefault="00674E9C" w:rsidP="00D20CB5">
            <w:pPr>
              <w:spacing w:before="40" w:after="120"/>
              <w:ind w:right="113"/>
              <w:rPr>
                <w:lang w:val="fr-FR"/>
              </w:rPr>
            </w:pPr>
            <w:r w:rsidRPr="00D20CB5">
              <w:rPr>
                <w:lang w:val="fr-FR"/>
              </w:rPr>
              <w:t>0</w:t>
            </w:r>
          </w:p>
        </w:tc>
        <w:tc>
          <w:tcPr>
            <w:tcW w:w="1069" w:type="dxa"/>
            <w:shd w:val="clear" w:color="auto" w:fill="auto"/>
          </w:tcPr>
          <w:p w:rsidR="00674E9C" w:rsidRPr="00D20CB5" w:rsidRDefault="00674E9C" w:rsidP="00D20CB5">
            <w:pPr>
              <w:spacing w:before="40" w:after="120"/>
              <w:ind w:right="113"/>
              <w:rPr>
                <w:lang w:val="fr-FR"/>
              </w:rPr>
            </w:pPr>
            <w:r w:rsidRPr="00D20CB5">
              <w:rPr>
                <w:lang w:val="fr-FR"/>
              </w:rPr>
              <w:t>0</w:t>
            </w:r>
          </w:p>
        </w:tc>
        <w:tc>
          <w:tcPr>
            <w:tcW w:w="883" w:type="dxa"/>
            <w:shd w:val="clear" w:color="auto" w:fill="auto"/>
          </w:tcPr>
          <w:p w:rsidR="00674E9C" w:rsidRPr="00D20CB5" w:rsidRDefault="00674E9C" w:rsidP="00D20CB5">
            <w:pPr>
              <w:spacing w:before="40" w:after="120"/>
              <w:ind w:right="113"/>
              <w:rPr>
                <w:lang w:val="fr-FR"/>
              </w:rPr>
            </w:pPr>
            <w:r w:rsidRPr="00D20CB5">
              <w:rPr>
                <w:lang w:val="fr-FR"/>
              </w:rPr>
              <w:t>0</w:t>
            </w:r>
          </w:p>
        </w:tc>
        <w:tc>
          <w:tcPr>
            <w:tcW w:w="958" w:type="dxa"/>
            <w:shd w:val="clear" w:color="auto" w:fill="auto"/>
          </w:tcPr>
          <w:p w:rsidR="00674E9C" w:rsidRPr="00D20CB5" w:rsidRDefault="00674E9C" w:rsidP="00D20CB5">
            <w:pPr>
              <w:spacing w:before="40" w:after="120"/>
              <w:ind w:right="113"/>
              <w:rPr>
                <w:lang w:val="fr-FR"/>
              </w:rPr>
            </w:pPr>
            <w:r w:rsidRPr="00D20CB5">
              <w:rPr>
                <w:lang w:val="fr-FR"/>
              </w:rPr>
              <w:t>0</w:t>
            </w:r>
          </w:p>
        </w:tc>
      </w:tr>
      <w:tr w:rsidR="00E24F18" w:rsidRPr="00D20CB5" w:rsidTr="00D20CB5">
        <w:tc>
          <w:tcPr>
            <w:tcW w:w="1276" w:type="dxa"/>
            <w:shd w:val="clear" w:color="auto" w:fill="auto"/>
          </w:tcPr>
          <w:p w:rsidR="00674E9C" w:rsidRPr="00D20CB5" w:rsidRDefault="00674E9C" w:rsidP="00D20CB5">
            <w:pPr>
              <w:spacing w:before="40" w:after="120"/>
              <w:ind w:right="113"/>
              <w:rPr>
                <w:lang w:val="fr-FR"/>
              </w:rPr>
            </w:pPr>
            <w:proofErr w:type="spellStart"/>
            <w:r w:rsidRPr="00D20CB5">
              <w:rPr>
                <w:lang w:val="en-US"/>
              </w:rPr>
              <w:t>Mauvais</w:t>
            </w:r>
            <w:proofErr w:type="spellEnd"/>
            <w:r w:rsidRPr="00D20CB5">
              <w:rPr>
                <w:lang w:val="en-US"/>
              </w:rPr>
              <w:t xml:space="preserve"> </w:t>
            </w:r>
            <w:proofErr w:type="spellStart"/>
            <w:r w:rsidRPr="00D20CB5">
              <w:rPr>
                <w:lang w:val="en-US"/>
              </w:rPr>
              <w:t>traitement</w:t>
            </w:r>
            <w:proofErr w:type="spellEnd"/>
            <w:r w:rsidRPr="00D20CB5">
              <w:rPr>
                <w:lang w:val="en-US"/>
              </w:rPr>
              <w:t>/</w:t>
            </w:r>
            <w:r w:rsidR="005F2FA1" w:rsidRPr="00D20CB5">
              <w:rPr>
                <w:lang w:val="en-US"/>
              </w:rPr>
              <w:br/>
            </w:r>
            <w:proofErr w:type="spellStart"/>
            <w:r w:rsidRPr="00D20CB5">
              <w:rPr>
                <w:lang w:val="en-US"/>
              </w:rPr>
              <w:t>Violences</w:t>
            </w:r>
            <w:proofErr w:type="spellEnd"/>
          </w:p>
        </w:tc>
        <w:tc>
          <w:tcPr>
            <w:tcW w:w="1054" w:type="dxa"/>
            <w:shd w:val="clear" w:color="auto" w:fill="auto"/>
          </w:tcPr>
          <w:p w:rsidR="00674E9C" w:rsidRPr="00D20CB5" w:rsidRDefault="00674E9C" w:rsidP="00D20CB5">
            <w:pPr>
              <w:spacing w:before="40" w:after="120"/>
              <w:ind w:right="113"/>
              <w:rPr>
                <w:lang w:val="fr-FR"/>
              </w:rPr>
            </w:pPr>
            <w:r w:rsidRPr="00D20CB5">
              <w:rPr>
                <w:lang w:val="fr-FR"/>
              </w:rPr>
              <w:t>10</w:t>
            </w:r>
          </w:p>
        </w:tc>
        <w:tc>
          <w:tcPr>
            <w:tcW w:w="1239" w:type="dxa"/>
            <w:shd w:val="clear" w:color="auto" w:fill="auto"/>
          </w:tcPr>
          <w:p w:rsidR="00674E9C" w:rsidRPr="00D20CB5" w:rsidRDefault="00674E9C" w:rsidP="00D20CB5">
            <w:pPr>
              <w:spacing w:before="40" w:after="120"/>
              <w:ind w:right="113"/>
              <w:rPr>
                <w:lang w:val="fr-FR"/>
              </w:rPr>
            </w:pPr>
            <w:r w:rsidRPr="00D20CB5">
              <w:rPr>
                <w:lang w:val="fr-FR"/>
              </w:rPr>
              <w:t>8 affaires classées sans suite</w:t>
            </w:r>
            <w:r w:rsidR="006D00B8" w:rsidRPr="00D20CB5">
              <w:rPr>
                <w:lang w:val="fr-FR"/>
              </w:rPr>
              <w:t xml:space="preserve"> </w:t>
            </w:r>
            <w:r w:rsidRPr="00D20CB5">
              <w:rPr>
                <w:lang w:val="fr-FR"/>
              </w:rPr>
              <w:t>2 en cours</w:t>
            </w:r>
          </w:p>
        </w:tc>
        <w:tc>
          <w:tcPr>
            <w:tcW w:w="891" w:type="dxa"/>
            <w:shd w:val="clear" w:color="auto" w:fill="auto"/>
          </w:tcPr>
          <w:p w:rsidR="00674E9C" w:rsidRPr="00D20CB5" w:rsidRDefault="00674E9C" w:rsidP="00D20CB5">
            <w:pPr>
              <w:spacing w:before="40" w:after="120"/>
              <w:ind w:right="113"/>
              <w:rPr>
                <w:lang w:val="fr-FR"/>
              </w:rPr>
            </w:pPr>
            <w:r w:rsidRPr="00D20CB5">
              <w:rPr>
                <w:lang w:val="fr-FR"/>
              </w:rPr>
              <w:t>7</w:t>
            </w:r>
          </w:p>
        </w:tc>
        <w:tc>
          <w:tcPr>
            <w:tcW w:w="1069" w:type="dxa"/>
            <w:shd w:val="clear" w:color="auto" w:fill="auto"/>
          </w:tcPr>
          <w:p w:rsidR="00674E9C" w:rsidRPr="00D20CB5" w:rsidRDefault="00674E9C" w:rsidP="00D20CB5">
            <w:pPr>
              <w:spacing w:before="40" w:after="120"/>
              <w:ind w:right="113"/>
              <w:rPr>
                <w:lang w:val="fr-FR"/>
              </w:rPr>
            </w:pPr>
            <w:r w:rsidRPr="00D20CB5">
              <w:rPr>
                <w:lang w:val="fr-FR"/>
              </w:rPr>
              <w:t>5 affaires classées sans suite</w:t>
            </w:r>
            <w:r w:rsidR="006D00B8" w:rsidRPr="00D20CB5">
              <w:rPr>
                <w:lang w:val="fr-FR"/>
              </w:rPr>
              <w:t xml:space="preserve"> </w:t>
            </w:r>
            <w:r w:rsidRPr="00D20CB5">
              <w:rPr>
                <w:lang w:val="fr-FR"/>
              </w:rPr>
              <w:t>2 en cours</w:t>
            </w:r>
          </w:p>
        </w:tc>
        <w:tc>
          <w:tcPr>
            <w:tcW w:w="883" w:type="dxa"/>
            <w:shd w:val="clear" w:color="auto" w:fill="auto"/>
          </w:tcPr>
          <w:p w:rsidR="00674E9C" w:rsidRPr="00D20CB5" w:rsidRDefault="00674E9C" w:rsidP="00D20CB5">
            <w:pPr>
              <w:spacing w:before="40" w:after="120"/>
              <w:ind w:right="113"/>
              <w:rPr>
                <w:lang w:val="fr-FR"/>
              </w:rPr>
            </w:pPr>
            <w:r w:rsidRPr="00D20CB5">
              <w:rPr>
                <w:lang w:val="fr-FR"/>
              </w:rPr>
              <w:t>7</w:t>
            </w:r>
          </w:p>
        </w:tc>
        <w:tc>
          <w:tcPr>
            <w:tcW w:w="958" w:type="dxa"/>
            <w:shd w:val="clear" w:color="auto" w:fill="auto"/>
          </w:tcPr>
          <w:p w:rsidR="00674E9C" w:rsidRPr="00D20CB5" w:rsidRDefault="00674E9C" w:rsidP="00D20CB5">
            <w:pPr>
              <w:spacing w:before="40" w:after="120"/>
              <w:ind w:right="113"/>
              <w:rPr>
                <w:lang w:val="fr-FR"/>
              </w:rPr>
            </w:pPr>
            <w:r w:rsidRPr="00D20CB5">
              <w:rPr>
                <w:lang w:val="fr-FR"/>
              </w:rPr>
              <w:t>3 affaires classées sans suite</w:t>
            </w:r>
            <w:r w:rsidR="006D00B8" w:rsidRPr="00D20CB5">
              <w:rPr>
                <w:lang w:val="fr-FR"/>
              </w:rPr>
              <w:t xml:space="preserve"> </w:t>
            </w:r>
            <w:r w:rsidRPr="00D20CB5">
              <w:rPr>
                <w:lang w:val="fr-FR"/>
              </w:rPr>
              <w:t>4 en cours</w:t>
            </w:r>
          </w:p>
        </w:tc>
      </w:tr>
      <w:tr w:rsidR="00E24F18" w:rsidRPr="00D20CB5" w:rsidTr="00D20CB5">
        <w:tc>
          <w:tcPr>
            <w:tcW w:w="1276" w:type="dxa"/>
            <w:tcBorders>
              <w:bottom w:val="single" w:sz="12" w:space="0" w:color="auto"/>
            </w:tcBorders>
            <w:shd w:val="clear" w:color="auto" w:fill="auto"/>
          </w:tcPr>
          <w:p w:rsidR="00674E9C" w:rsidRPr="00D20CB5" w:rsidRDefault="00674E9C" w:rsidP="00D20CB5">
            <w:pPr>
              <w:spacing w:before="40" w:after="120"/>
              <w:ind w:right="113"/>
              <w:rPr>
                <w:lang w:val="fr-FR"/>
              </w:rPr>
            </w:pPr>
            <w:proofErr w:type="spellStart"/>
            <w:r w:rsidRPr="00D20CB5">
              <w:rPr>
                <w:lang w:val="en-US"/>
              </w:rPr>
              <w:t>Racisme</w:t>
            </w:r>
            <w:proofErr w:type="spellEnd"/>
            <w:r w:rsidRPr="00D20CB5">
              <w:rPr>
                <w:lang w:val="en-US"/>
              </w:rPr>
              <w:t>/</w:t>
            </w:r>
            <w:r w:rsidR="005F2FA1" w:rsidRPr="00D20CB5">
              <w:rPr>
                <w:lang w:val="en-US"/>
              </w:rPr>
              <w:br/>
            </w:r>
            <w:proofErr w:type="spellStart"/>
            <w:r w:rsidRPr="00D20CB5">
              <w:rPr>
                <w:lang w:val="en-US"/>
              </w:rPr>
              <w:t>Xénophobie</w:t>
            </w:r>
            <w:proofErr w:type="spellEnd"/>
          </w:p>
        </w:tc>
        <w:tc>
          <w:tcPr>
            <w:tcW w:w="1054" w:type="dxa"/>
            <w:tcBorders>
              <w:bottom w:val="single" w:sz="12" w:space="0" w:color="auto"/>
            </w:tcBorders>
            <w:shd w:val="clear" w:color="auto" w:fill="auto"/>
          </w:tcPr>
          <w:p w:rsidR="00674E9C" w:rsidRPr="00D20CB5" w:rsidRDefault="00674E9C" w:rsidP="00D20CB5">
            <w:pPr>
              <w:spacing w:before="40" w:after="120"/>
              <w:ind w:right="113"/>
              <w:rPr>
                <w:lang w:val="fr-FR"/>
              </w:rPr>
            </w:pPr>
            <w:r w:rsidRPr="00D20CB5">
              <w:rPr>
                <w:lang w:val="fr-FR"/>
              </w:rPr>
              <w:t>1</w:t>
            </w:r>
          </w:p>
        </w:tc>
        <w:tc>
          <w:tcPr>
            <w:tcW w:w="1239" w:type="dxa"/>
            <w:tcBorders>
              <w:bottom w:val="single" w:sz="12" w:space="0" w:color="auto"/>
            </w:tcBorders>
            <w:shd w:val="clear" w:color="auto" w:fill="auto"/>
          </w:tcPr>
          <w:p w:rsidR="00674E9C" w:rsidRPr="00D20CB5" w:rsidRDefault="00674E9C" w:rsidP="00D20CB5">
            <w:pPr>
              <w:spacing w:before="40" w:after="120"/>
              <w:ind w:right="113"/>
              <w:rPr>
                <w:lang w:val="fr-FR"/>
              </w:rPr>
            </w:pPr>
            <w:r w:rsidRPr="00D20CB5">
              <w:rPr>
                <w:lang w:val="fr-FR"/>
              </w:rPr>
              <w:t>Affaire classée sans suite</w:t>
            </w:r>
          </w:p>
        </w:tc>
        <w:tc>
          <w:tcPr>
            <w:tcW w:w="891" w:type="dxa"/>
            <w:tcBorders>
              <w:bottom w:val="single" w:sz="12" w:space="0" w:color="auto"/>
            </w:tcBorders>
            <w:shd w:val="clear" w:color="auto" w:fill="auto"/>
          </w:tcPr>
          <w:p w:rsidR="00674E9C" w:rsidRPr="00D20CB5" w:rsidRDefault="00674E9C" w:rsidP="00D20CB5">
            <w:pPr>
              <w:spacing w:before="40" w:after="120"/>
              <w:ind w:right="113"/>
              <w:rPr>
                <w:lang w:val="fr-FR"/>
              </w:rPr>
            </w:pPr>
            <w:r w:rsidRPr="00D20CB5">
              <w:rPr>
                <w:lang w:val="fr-FR"/>
              </w:rPr>
              <w:t>1</w:t>
            </w:r>
          </w:p>
        </w:tc>
        <w:tc>
          <w:tcPr>
            <w:tcW w:w="1069" w:type="dxa"/>
            <w:tcBorders>
              <w:bottom w:val="single" w:sz="12" w:space="0" w:color="auto"/>
            </w:tcBorders>
            <w:shd w:val="clear" w:color="auto" w:fill="auto"/>
          </w:tcPr>
          <w:p w:rsidR="00674E9C" w:rsidRPr="00D20CB5" w:rsidRDefault="00674E9C" w:rsidP="00D20CB5">
            <w:pPr>
              <w:spacing w:before="40" w:after="120"/>
              <w:ind w:right="113"/>
              <w:rPr>
                <w:lang w:val="fr-FR"/>
              </w:rPr>
            </w:pPr>
            <w:r w:rsidRPr="00D20CB5">
              <w:rPr>
                <w:lang w:val="fr-FR"/>
              </w:rPr>
              <w:t>En cours</w:t>
            </w:r>
          </w:p>
        </w:tc>
        <w:tc>
          <w:tcPr>
            <w:tcW w:w="883" w:type="dxa"/>
            <w:tcBorders>
              <w:bottom w:val="single" w:sz="12" w:space="0" w:color="auto"/>
            </w:tcBorders>
            <w:shd w:val="clear" w:color="auto" w:fill="auto"/>
          </w:tcPr>
          <w:p w:rsidR="00674E9C" w:rsidRPr="00D20CB5" w:rsidRDefault="00674E9C" w:rsidP="00D20CB5">
            <w:pPr>
              <w:spacing w:before="40" w:after="120"/>
              <w:ind w:right="113"/>
              <w:rPr>
                <w:lang w:val="fr-FR"/>
              </w:rPr>
            </w:pPr>
            <w:r w:rsidRPr="00D20CB5">
              <w:rPr>
                <w:lang w:val="fr-FR"/>
              </w:rPr>
              <w:t>3</w:t>
            </w:r>
          </w:p>
        </w:tc>
        <w:tc>
          <w:tcPr>
            <w:tcW w:w="958" w:type="dxa"/>
            <w:tcBorders>
              <w:bottom w:val="single" w:sz="12" w:space="0" w:color="auto"/>
            </w:tcBorders>
            <w:shd w:val="clear" w:color="auto" w:fill="auto"/>
          </w:tcPr>
          <w:p w:rsidR="00674E9C" w:rsidRPr="00D20CB5" w:rsidRDefault="00674E9C" w:rsidP="00D20CB5">
            <w:pPr>
              <w:spacing w:before="40" w:after="120"/>
              <w:ind w:right="113"/>
              <w:rPr>
                <w:lang w:val="fr-FR"/>
              </w:rPr>
            </w:pPr>
            <w:r w:rsidRPr="00D20CB5">
              <w:rPr>
                <w:lang w:val="fr-FR"/>
              </w:rPr>
              <w:t>1 affaire classée sans suite</w:t>
            </w:r>
            <w:r w:rsidR="006D00B8" w:rsidRPr="00D20CB5">
              <w:rPr>
                <w:lang w:val="fr-FR"/>
              </w:rPr>
              <w:t xml:space="preserve"> </w:t>
            </w:r>
            <w:r w:rsidRPr="00D20CB5">
              <w:rPr>
                <w:lang w:val="fr-FR"/>
              </w:rPr>
              <w:t>2 en cours</w:t>
            </w:r>
          </w:p>
        </w:tc>
      </w:tr>
    </w:tbl>
    <w:p w:rsidR="007A13FD" w:rsidRPr="00640449" w:rsidRDefault="007A13FD" w:rsidP="007A13FD">
      <w:pPr>
        <w:pStyle w:val="H1G"/>
        <w:rPr>
          <w:lang w:val="fr-FR"/>
        </w:rPr>
      </w:pPr>
      <w:r w:rsidRPr="00640449">
        <w:tab/>
        <w:t>A</w:t>
      </w:r>
      <w:r w:rsidR="00CF6D6A" w:rsidRPr="00640449">
        <w:t>N</w:t>
      </w:r>
      <w:r w:rsidRPr="00640449">
        <w:t>.</w:t>
      </w:r>
      <w:r w:rsidRPr="00640449">
        <w:tab/>
      </w:r>
      <w:r w:rsidRPr="00640449">
        <w:rPr>
          <w:lang w:val="fr-FR"/>
        </w:rPr>
        <w:t xml:space="preserve">Réponse à </w:t>
      </w:r>
      <w:r w:rsidRPr="00640449">
        <w:t>la</w:t>
      </w:r>
      <w:r w:rsidRPr="00640449">
        <w:rPr>
          <w:lang w:val="fr-FR"/>
        </w:rPr>
        <w:t xml:space="preserve"> question posée au paragraphe 17</w:t>
      </w:r>
    </w:p>
    <w:p w:rsidR="00674E9C" w:rsidRPr="00640449" w:rsidRDefault="001A7B42" w:rsidP="001A7B42">
      <w:pPr>
        <w:pStyle w:val="SingleTxtG"/>
        <w:rPr>
          <w:lang w:val="fr-FR"/>
        </w:rPr>
      </w:pPr>
      <w:r w:rsidRPr="00640449">
        <w:rPr>
          <w:lang w:val="fr-FR"/>
        </w:rPr>
        <w:t>163.</w:t>
      </w:r>
      <w:r w:rsidRPr="00640449">
        <w:rPr>
          <w:lang w:val="fr-FR"/>
        </w:rPr>
        <w:tab/>
      </w:r>
      <w:r w:rsidR="00674E9C" w:rsidRPr="00640449">
        <w:rPr>
          <w:lang w:val="fr-FR"/>
        </w:rPr>
        <w:t>Aux termes des articles 3-4 et 4-1 du Code de procédure pénale, toute victime doit être informée d’office du classement sans suites et sur demande de la mise à l’instruction, ainsi que des actes de fixation devant les juridictions de jugement.</w:t>
      </w:r>
    </w:p>
    <w:p w:rsidR="00674E9C" w:rsidRPr="00640449" w:rsidRDefault="001A7B42" w:rsidP="001A7B42">
      <w:pPr>
        <w:pStyle w:val="SingleTxtG"/>
        <w:rPr>
          <w:lang w:val="fr-FR"/>
        </w:rPr>
      </w:pPr>
      <w:r w:rsidRPr="00640449">
        <w:rPr>
          <w:lang w:val="fr-FR"/>
        </w:rPr>
        <w:lastRenderedPageBreak/>
        <w:t>164.</w:t>
      </w:r>
      <w:r w:rsidRPr="00640449">
        <w:rPr>
          <w:lang w:val="fr-FR"/>
        </w:rPr>
        <w:tab/>
      </w:r>
      <w:r w:rsidR="00674E9C" w:rsidRPr="00640449">
        <w:rPr>
          <w:lang w:val="fr-FR"/>
        </w:rPr>
        <w:t>D’autre part, le procureur d’État ou le juge d’instruction doivent donner d’office une information détaillée à la victime quant au classement éventuel d’une affaire ayant trait à des mauvais traitements ou actes de torture.</w:t>
      </w:r>
    </w:p>
    <w:p w:rsidR="00674E9C" w:rsidRPr="00640449" w:rsidRDefault="001A7B42" w:rsidP="001A7B42">
      <w:pPr>
        <w:pStyle w:val="SingleTxtG"/>
        <w:rPr>
          <w:lang w:val="fr-FR"/>
        </w:rPr>
      </w:pPr>
      <w:r w:rsidRPr="00640449">
        <w:rPr>
          <w:lang w:val="fr-FR"/>
        </w:rPr>
        <w:t>165.</w:t>
      </w:r>
      <w:r w:rsidRPr="00640449">
        <w:rPr>
          <w:lang w:val="fr-FR"/>
        </w:rPr>
        <w:tab/>
      </w:r>
      <w:r w:rsidR="00674E9C" w:rsidRPr="00640449">
        <w:rPr>
          <w:lang w:val="fr-FR"/>
        </w:rPr>
        <w:t>Il importe d’ajouter que l’information donnée à la victime doit contenir les conditions dans lesquelles la victime peut engager des poursuites par voie de citation directe ou de plainte avec partie civile</w:t>
      </w:r>
      <w:r w:rsidR="00640449">
        <w:rPr>
          <w:lang w:val="fr-FR"/>
        </w:rPr>
        <w:t> ;</w:t>
      </w:r>
      <w:r w:rsidR="00674E9C" w:rsidRPr="00640449">
        <w:rPr>
          <w:lang w:val="fr-FR"/>
        </w:rPr>
        <w:t xml:space="preserve"> il s’y ajoute que l’avis doit comporter l’information que la victime peut s’adresser au procureur général d’État qui a le droit d’enjoindre au procureur d’État d’engager des poursuites. Il s’agit donc en l’espèce d’une sorte d’appel contre la décision initiale du procureur d’État.</w:t>
      </w:r>
    </w:p>
    <w:p w:rsidR="00674E9C" w:rsidRPr="00640449" w:rsidRDefault="001A7B42" w:rsidP="001A7B42">
      <w:pPr>
        <w:pStyle w:val="SingleTxtG"/>
        <w:rPr>
          <w:lang w:val="fr-FR"/>
        </w:rPr>
      </w:pPr>
      <w:r w:rsidRPr="00640449">
        <w:rPr>
          <w:lang w:val="fr-FR"/>
        </w:rPr>
        <w:t>166.</w:t>
      </w:r>
      <w:r w:rsidRPr="00640449">
        <w:rPr>
          <w:lang w:val="fr-FR"/>
        </w:rPr>
        <w:tab/>
      </w:r>
      <w:r w:rsidR="00674E9C" w:rsidRPr="00640449">
        <w:rPr>
          <w:lang w:val="fr-FR"/>
        </w:rPr>
        <w:t>Il importe de préciser que la loi du 8 mars 2017 a amplifié le droit d’information accordé aux victimes. (cf. ad paragraphe 2).</w:t>
      </w:r>
    </w:p>
    <w:p w:rsidR="00674E9C" w:rsidRPr="00640449" w:rsidRDefault="001A7B42" w:rsidP="001A7B42">
      <w:pPr>
        <w:pStyle w:val="SingleTxtG"/>
        <w:rPr>
          <w:lang w:val="fr-FR"/>
        </w:rPr>
      </w:pPr>
      <w:r w:rsidRPr="00640449">
        <w:rPr>
          <w:lang w:val="fr-FR"/>
        </w:rPr>
        <w:t>167.</w:t>
      </w:r>
      <w:r w:rsidRPr="00640449">
        <w:rPr>
          <w:lang w:val="fr-FR"/>
        </w:rPr>
        <w:tab/>
      </w:r>
      <w:r w:rsidR="00674E9C" w:rsidRPr="00640449">
        <w:rPr>
          <w:lang w:val="fr-FR"/>
        </w:rPr>
        <w:t>Il s’y ajoute qu’au sein de chaque parquet et au parquet général, seul les procureurs, le procureur général et les procureurs adjoints respectifs traitent ces affaires. Il s’en dégage que les affaires sont traitées par des magistrats ayant une certaine expérience et ne sont guère mêlés aux affaires courantes.</w:t>
      </w:r>
    </w:p>
    <w:p w:rsidR="00674E9C" w:rsidRPr="00640449" w:rsidRDefault="001A7B42" w:rsidP="001A7B42">
      <w:pPr>
        <w:pStyle w:val="SingleTxtG"/>
        <w:rPr>
          <w:lang w:val="fr-FR"/>
        </w:rPr>
      </w:pPr>
      <w:r w:rsidRPr="00640449">
        <w:rPr>
          <w:lang w:val="fr-FR"/>
        </w:rPr>
        <w:t>168.</w:t>
      </w:r>
      <w:r w:rsidRPr="00640449">
        <w:rPr>
          <w:lang w:val="fr-FR"/>
        </w:rPr>
        <w:tab/>
      </w:r>
      <w:r w:rsidR="00674E9C" w:rsidRPr="00640449">
        <w:rPr>
          <w:lang w:val="fr-FR"/>
        </w:rPr>
        <w:t>De tous ces éléments se dégage qu’au Grand-Duché, on ne peut guère parler d’une opportunité des poursuites sans autre contrôle, ni de recours contre une décision de classement.</w:t>
      </w:r>
    </w:p>
    <w:p w:rsidR="00674E9C" w:rsidRPr="00640449" w:rsidRDefault="001A7B42" w:rsidP="001A7B42">
      <w:pPr>
        <w:pStyle w:val="SingleTxtG"/>
      </w:pPr>
      <w:r w:rsidRPr="00640449">
        <w:t>169.</w:t>
      </w:r>
      <w:r w:rsidRPr="00640449">
        <w:tab/>
      </w:r>
      <w:r w:rsidR="00674E9C" w:rsidRPr="00640449">
        <w:rPr>
          <w:lang w:val="fr-FR"/>
        </w:rPr>
        <w:t xml:space="preserve">Il est de principe que </w:t>
      </w:r>
      <w:r w:rsidR="00674E9C" w:rsidRPr="00640449">
        <w:t>le Procureur d’</w:t>
      </w:r>
      <w:r w:rsidR="00FD7E28">
        <w:t>État</w:t>
      </w:r>
      <w:r w:rsidR="00674E9C" w:rsidRPr="00640449">
        <w:t xml:space="preserve"> exerce l’opportunité des poursuites sous les modalités prévues au Code de procédure pénale et notamment aux paragraphes 4 et 5 de l’article 23 du Code de procédure pénale (indication des voies de recours etc..).</w:t>
      </w:r>
    </w:p>
    <w:p w:rsidR="00674E9C" w:rsidRPr="00640449" w:rsidRDefault="001A7B42" w:rsidP="001A7B42">
      <w:pPr>
        <w:pStyle w:val="SingleTxtG"/>
        <w:rPr>
          <w:lang w:val="fr-FR"/>
        </w:rPr>
      </w:pPr>
      <w:r w:rsidRPr="00640449">
        <w:rPr>
          <w:lang w:val="fr-FR"/>
        </w:rPr>
        <w:t>170.</w:t>
      </w:r>
      <w:r w:rsidRPr="00640449">
        <w:rPr>
          <w:lang w:val="fr-FR"/>
        </w:rPr>
        <w:tab/>
      </w:r>
      <w:r w:rsidR="00674E9C" w:rsidRPr="00640449">
        <w:rPr>
          <w:lang w:val="fr-FR"/>
        </w:rPr>
        <w:t>Concernant les statistiques annuelles, le nombre d’enquêtes sur des cas de torture, les statistiques sont les suivantes</w:t>
      </w:r>
      <w:r w:rsidR="00AB48B5">
        <w:rPr>
          <w:lang w:val="fr-FR"/>
        </w:rPr>
        <w:t> </w:t>
      </w:r>
      <w:r w:rsidR="00674E9C" w:rsidRPr="00640449">
        <w:rPr>
          <w:lang w:val="fr-FR"/>
        </w:rPr>
        <w:t xml:space="preserve">: </w:t>
      </w:r>
    </w:p>
    <w:p w:rsidR="00674E9C" w:rsidRPr="00640449" w:rsidRDefault="001A7B42" w:rsidP="001A7B42">
      <w:pPr>
        <w:pStyle w:val="Bullet1G"/>
        <w:numPr>
          <w:ilvl w:val="0"/>
          <w:numId w:val="0"/>
        </w:numPr>
        <w:tabs>
          <w:tab w:val="left" w:pos="1701"/>
        </w:tabs>
        <w:ind w:left="1701" w:hanging="170"/>
      </w:pPr>
      <w:r w:rsidRPr="00640449">
        <w:t>•</w:t>
      </w:r>
      <w:r w:rsidRPr="00640449">
        <w:tab/>
      </w:r>
      <w:r w:rsidR="00674E9C" w:rsidRPr="00640449">
        <w:t>En 2013, une plainte a été déposée auprès du Procureur d’</w:t>
      </w:r>
      <w:r w:rsidR="00FD7E28">
        <w:t>État</w:t>
      </w:r>
      <w:r w:rsidR="00674E9C" w:rsidRPr="00640449">
        <w:t xml:space="preserve"> de Luxembourg pour actes de torture. Après instruction, une ordonnance de non-lieu a été </w:t>
      </w:r>
      <w:r w:rsidR="00CF6D6A" w:rsidRPr="00640449">
        <w:t>prise par la chambre du conseil</w:t>
      </w:r>
      <w:r w:rsidR="00640449">
        <w:t> ;</w:t>
      </w:r>
    </w:p>
    <w:p w:rsidR="00674E9C" w:rsidRPr="00640449" w:rsidRDefault="001A7B42" w:rsidP="001A7B42">
      <w:pPr>
        <w:pStyle w:val="Bullet1G"/>
        <w:numPr>
          <w:ilvl w:val="0"/>
          <w:numId w:val="0"/>
        </w:numPr>
        <w:tabs>
          <w:tab w:val="left" w:pos="1701"/>
        </w:tabs>
        <w:ind w:left="1701" w:hanging="170"/>
      </w:pPr>
      <w:r w:rsidRPr="00640449">
        <w:t>•</w:t>
      </w:r>
      <w:r w:rsidRPr="00640449">
        <w:tab/>
      </w:r>
      <w:r w:rsidR="00674E9C" w:rsidRPr="00640449">
        <w:t>En 2015, un procès-verbal a été dressé pour actes de torture. Après enquête, le dossier a</w:t>
      </w:r>
      <w:r w:rsidR="00CF6D6A" w:rsidRPr="00640449">
        <w:t xml:space="preserve"> été classé sans suites pénales</w:t>
      </w:r>
      <w:r w:rsidR="00640449">
        <w:t> ;</w:t>
      </w:r>
    </w:p>
    <w:p w:rsidR="00674E9C" w:rsidRPr="00640449" w:rsidRDefault="001A7B42" w:rsidP="001A7B42">
      <w:pPr>
        <w:pStyle w:val="Bullet1G"/>
        <w:numPr>
          <w:ilvl w:val="0"/>
          <w:numId w:val="0"/>
        </w:numPr>
        <w:tabs>
          <w:tab w:val="left" w:pos="1701"/>
        </w:tabs>
        <w:ind w:left="1701" w:hanging="170"/>
      </w:pPr>
      <w:r w:rsidRPr="00640449">
        <w:t>•</w:t>
      </w:r>
      <w:r w:rsidRPr="00640449">
        <w:tab/>
      </w:r>
      <w:r w:rsidR="00674E9C" w:rsidRPr="00640449">
        <w:t>En 2016, une plainte avec constitution de partie civile a été déposée auprès de Monsieur le juge d’instruction directeur pour actes de torture. Après instruction, un non-lieu a été pro</w:t>
      </w:r>
      <w:r w:rsidR="00CF6D6A" w:rsidRPr="00640449">
        <w:t>noncé par la chambre du conseil</w:t>
      </w:r>
      <w:r w:rsidR="00640449">
        <w:t> ;</w:t>
      </w:r>
    </w:p>
    <w:p w:rsidR="005130E6" w:rsidRPr="00640449" w:rsidRDefault="001A7B42" w:rsidP="001A7B42">
      <w:pPr>
        <w:pStyle w:val="Bullet1G"/>
        <w:numPr>
          <w:ilvl w:val="0"/>
          <w:numId w:val="0"/>
        </w:numPr>
        <w:tabs>
          <w:tab w:val="left" w:pos="1701"/>
        </w:tabs>
        <w:ind w:left="1701" w:hanging="170"/>
      </w:pPr>
      <w:r w:rsidRPr="00640449">
        <w:t>•</w:t>
      </w:r>
      <w:r w:rsidRPr="00640449">
        <w:tab/>
      </w:r>
      <w:r w:rsidR="00F8425C" w:rsidRPr="00640449">
        <w:tab/>
      </w:r>
      <w:r w:rsidR="00674E9C" w:rsidRPr="00640449">
        <w:t>Aucun cas de torture ou de mauvais traitement n’a été signalé par des médecins après des examens cliniques de détenus.</w:t>
      </w:r>
    </w:p>
    <w:p w:rsidR="007A13FD" w:rsidRPr="00640449" w:rsidRDefault="007A13FD" w:rsidP="007A13FD">
      <w:pPr>
        <w:pStyle w:val="H1G"/>
        <w:rPr>
          <w:lang w:val="fr-FR"/>
        </w:rPr>
      </w:pPr>
      <w:r w:rsidRPr="00640449">
        <w:tab/>
        <w:t>A</w:t>
      </w:r>
      <w:r w:rsidR="001A7B42" w:rsidRPr="00640449">
        <w:t>O</w:t>
      </w:r>
      <w:r w:rsidRPr="00640449">
        <w:t>.</w:t>
      </w:r>
      <w:r w:rsidRPr="00640449">
        <w:tab/>
      </w:r>
      <w:r w:rsidRPr="00640449">
        <w:rPr>
          <w:lang w:val="fr-FR"/>
        </w:rPr>
        <w:t xml:space="preserve">Réponse à </w:t>
      </w:r>
      <w:r w:rsidRPr="00640449">
        <w:t>la</w:t>
      </w:r>
      <w:r w:rsidRPr="00640449">
        <w:rPr>
          <w:lang w:val="fr-FR"/>
        </w:rPr>
        <w:t xml:space="preserve"> question posée au paragraphe 18 </w:t>
      </w:r>
      <w:r w:rsidR="005F2FA1" w:rsidRPr="00640449">
        <w:rPr>
          <w:lang w:val="fr-FR"/>
        </w:rPr>
        <w:t>(</w:t>
      </w:r>
      <w:r w:rsidRPr="00640449">
        <w:rPr>
          <w:lang w:val="fr-FR"/>
        </w:rPr>
        <w:t>a</w:t>
      </w:r>
      <w:r w:rsidR="005F2FA1" w:rsidRPr="00640449">
        <w:rPr>
          <w:lang w:val="fr-FR"/>
        </w:rPr>
        <w:t>)</w:t>
      </w:r>
    </w:p>
    <w:p w:rsidR="00674E9C" w:rsidRPr="00640449" w:rsidRDefault="001A7B42" w:rsidP="001A7B42">
      <w:pPr>
        <w:pStyle w:val="SingleTxtG"/>
        <w:rPr>
          <w:lang w:val="fr-FR"/>
        </w:rPr>
      </w:pPr>
      <w:r w:rsidRPr="00640449">
        <w:rPr>
          <w:lang w:val="fr-FR"/>
        </w:rPr>
        <w:t>171.</w:t>
      </w:r>
      <w:r w:rsidRPr="00640449">
        <w:rPr>
          <w:lang w:val="fr-FR"/>
        </w:rPr>
        <w:tab/>
      </w:r>
      <w:r w:rsidR="00674E9C" w:rsidRPr="00640449">
        <w:rPr>
          <w:lang w:val="fr-FR"/>
        </w:rPr>
        <w:t xml:space="preserve">L’IGP a été réformée par la </w:t>
      </w:r>
      <w:hyperlink r:id="rId29" w:history="1">
        <w:r w:rsidR="00674E9C" w:rsidRPr="00640449">
          <w:t>loi du 18 juillet 2018 sur l’Inspection générale de la Police</w:t>
        </w:r>
      </w:hyperlink>
      <w:r w:rsidR="00674E9C" w:rsidRPr="00640449">
        <w:rPr>
          <w:rStyle w:val="Appelnotedebasdep"/>
        </w:rPr>
        <w:footnoteReference w:id="21"/>
      </w:r>
      <w:r w:rsidR="00674E9C" w:rsidRPr="00640449">
        <w:rPr>
          <w:lang w:val="fr-FR"/>
        </w:rPr>
        <w:t>.</w:t>
      </w:r>
    </w:p>
    <w:p w:rsidR="00674E9C" w:rsidRPr="00640449" w:rsidRDefault="001A7B42" w:rsidP="001A7B42">
      <w:pPr>
        <w:pStyle w:val="SingleTxtG"/>
        <w:rPr>
          <w:lang w:val="fr-FR"/>
        </w:rPr>
      </w:pPr>
      <w:r w:rsidRPr="00640449">
        <w:rPr>
          <w:lang w:val="fr-FR"/>
        </w:rPr>
        <w:t>172.</w:t>
      </w:r>
      <w:r w:rsidRPr="00640449">
        <w:rPr>
          <w:lang w:val="fr-FR"/>
        </w:rPr>
        <w:tab/>
      </w:r>
      <w:r w:rsidR="00674E9C" w:rsidRPr="00640449">
        <w:rPr>
          <w:lang w:val="fr-FR"/>
        </w:rPr>
        <w:t>Le renforcement de l’indépendance de l’IGP a été le point clé de cette réforme.</w:t>
      </w:r>
    </w:p>
    <w:p w:rsidR="00674E9C" w:rsidRPr="00640449" w:rsidRDefault="001A7B42" w:rsidP="001A7B42">
      <w:pPr>
        <w:pStyle w:val="SingleTxtG"/>
        <w:rPr>
          <w:lang w:val="fr-FR"/>
        </w:rPr>
      </w:pPr>
      <w:r w:rsidRPr="00640449">
        <w:rPr>
          <w:lang w:val="fr-FR"/>
        </w:rPr>
        <w:t>173.</w:t>
      </w:r>
      <w:r w:rsidRPr="00640449">
        <w:rPr>
          <w:lang w:val="fr-FR"/>
        </w:rPr>
        <w:tab/>
      </w:r>
      <w:r w:rsidR="00674E9C" w:rsidRPr="00640449">
        <w:rPr>
          <w:lang w:val="fr-FR"/>
        </w:rPr>
        <w:t>Les mesures visant à renforcer l’indépendance et l’impartialité de l’IGP s</w:t>
      </w:r>
      <w:r w:rsidR="00F8425C" w:rsidRPr="00640449">
        <w:rPr>
          <w:lang w:val="fr-FR"/>
        </w:rPr>
        <w:t>ont les suivantes</w:t>
      </w:r>
      <w:r w:rsidR="00AB48B5">
        <w:rPr>
          <w:lang w:val="fr-FR"/>
        </w:rPr>
        <w:t> </w:t>
      </w:r>
      <w:r w:rsidR="00674E9C" w:rsidRPr="00640449">
        <w:rPr>
          <w:lang w:val="fr-FR"/>
        </w:rPr>
        <w:t>:</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L’Inspecteur général de la Police est obligatoirement issu de la magistrature</w:t>
      </w:r>
      <w:r w:rsidR="00640449">
        <w:rPr>
          <w:lang w:val="fr-FR"/>
        </w:rPr>
        <w:t> ;</w:t>
      </w:r>
    </w:p>
    <w:p w:rsidR="00674E9C"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L’IGP n’est plus composée de personnel policier et civil détaché de la Police, mais dispose d’un cadre du personnel propre lui permettant de fonctionner comme une véritable administration</w:t>
      </w:r>
      <w:r w:rsidR="00640449">
        <w:rPr>
          <w:lang w:val="fr-FR"/>
        </w:rPr>
        <w:t> ;</w:t>
      </w:r>
    </w:p>
    <w:p w:rsidR="005130E6" w:rsidRPr="00640449" w:rsidRDefault="001A7B42" w:rsidP="001A7B42">
      <w:pPr>
        <w:pStyle w:val="Bullet1G"/>
        <w:numPr>
          <w:ilvl w:val="0"/>
          <w:numId w:val="0"/>
        </w:numPr>
        <w:tabs>
          <w:tab w:val="left" w:pos="1701"/>
        </w:tabs>
        <w:ind w:left="1701" w:hanging="170"/>
        <w:rPr>
          <w:lang w:val="fr-FR"/>
        </w:rPr>
      </w:pPr>
      <w:r w:rsidRPr="00640449">
        <w:rPr>
          <w:lang w:val="fr-FR"/>
        </w:rPr>
        <w:t>•</w:t>
      </w:r>
      <w:r w:rsidRPr="00640449">
        <w:rPr>
          <w:lang w:val="fr-FR"/>
        </w:rPr>
        <w:tab/>
      </w:r>
      <w:r w:rsidR="00674E9C" w:rsidRPr="00640449">
        <w:rPr>
          <w:lang w:val="fr-FR"/>
        </w:rPr>
        <w:t xml:space="preserve">La loi a consacré le principe du « non-retour » du personnel civil et policier dans la Police. </w:t>
      </w:r>
    </w:p>
    <w:p w:rsidR="007A13FD" w:rsidRPr="00640449" w:rsidRDefault="007A13FD" w:rsidP="007A13FD">
      <w:pPr>
        <w:pStyle w:val="H1G"/>
        <w:rPr>
          <w:lang w:val="fr-FR"/>
        </w:rPr>
      </w:pPr>
      <w:r w:rsidRPr="00640449">
        <w:lastRenderedPageBreak/>
        <w:tab/>
        <w:t>A</w:t>
      </w:r>
      <w:r w:rsidR="001A7B42" w:rsidRPr="00640449">
        <w:t>P</w:t>
      </w:r>
      <w:r w:rsidRPr="00640449">
        <w:t>.</w:t>
      </w:r>
      <w:r w:rsidRPr="00640449">
        <w:tab/>
      </w:r>
      <w:r w:rsidRPr="00640449">
        <w:rPr>
          <w:lang w:val="fr-FR"/>
        </w:rPr>
        <w:t xml:space="preserve">Réponse à </w:t>
      </w:r>
      <w:r w:rsidRPr="00640449">
        <w:t>la</w:t>
      </w:r>
      <w:r w:rsidRPr="00640449">
        <w:rPr>
          <w:lang w:val="fr-FR"/>
        </w:rPr>
        <w:t xml:space="preserve"> question posée au paragraphe 18 </w:t>
      </w:r>
      <w:r w:rsidR="005F2FA1" w:rsidRPr="00640449">
        <w:rPr>
          <w:lang w:val="fr-FR"/>
        </w:rPr>
        <w:t>(</w:t>
      </w:r>
      <w:r w:rsidRPr="00640449">
        <w:rPr>
          <w:lang w:val="fr-FR"/>
        </w:rPr>
        <w:t>b</w:t>
      </w:r>
      <w:r w:rsidR="005F2FA1" w:rsidRPr="00640449">
        <w:rPr>
          <w:lang w:val="fr-FR"/>
        </w:rPr>
        <w:t>)</w:t>
      </w:r>
    </w:p>
    <w:p w:rsidR="00674E9C" w:rsidRPr="00640449" w:rsidRDefault="001A7B42" w:rsidP="001A7B42">
      <w:pPr>
        <w:pStyle w:val="SingleTxtG"/>
        <w:rPr>
          <w:lang w:val="fr-FR"/>
        </w:rPr>
      </w:pPr>
      <w:r w:rsidRPr="00640449">
        <w:rPr>
          <w:lang w:val="fr-FR"/>
        </w:rPr>
        <w:t>174.</w:t>
      </w:r>
      <w:r w:rsidRPr="00640449">
        <w:rPr>
          <w:lang w:val="fr-FR"/>
        </w:rPr>
        <w:tab/>
      </w:r>
      <w:r w:rsidR="00674E9C" w:rsidRPr="00640449">
        <w:rPr>
          <w:lang w:val="fr-FR"/>
        </w:rPr>
        <w:t>Les policiers peuvent être mutés ou suspendus de l’exercice de leurs fonctions dans les cas visés aux articles 14 et 15 de la loi du 18 juillet 2018 relative au statut disciplinaire du personnel du cadre policier de la Police grand-ducale.</w:t>
      </w:r>
    </w:p>
    <w:p w:rsidR="00674E9C" w:rsidRPr="00640449" w:rsidRDefault="00674E9C" w:rsidP="00F8425C">
      <w:pPr>
        <w:pStyle w:val="SingleTxtG"/>
        <w:ind w:left="1701"/>
        <w:rPr>
          <w:lang w:val="fr-FR"/>
        </w:rPr>
      </w:pPr>
      <w:r w:rsidRPr="00640449">
        <w:rPr>
          <w:lang w:val="fr-FR"/>
        </w:rPr>
        <w:t>Art. 14. « Le policier qui fait l’objet d’une enquête ou d’une instruction préparatoire en application des dispositions du Code de procédure pénale ou d’une procédure disciplinaire et dont le maintien sur son lieu de travail est incompatible avec le bon déroulement de l’enquête préliminaire, de l’instruction préparatoire ou de la procédure disciplinaire peut être affecté temporairement à un autre service de la Police. »</w:t>
      </w:r>
    </w:p>
    <w:p w:rsidR="005130E6" w:rsidRPr="00640449" w:rsidRDefault="00674E9C" w:rsidP="00F8425C">
      <w:pPr>
        <w:pStyle w:val="SingleTxtG"/>
        <w:ind w:left="1701"/>
        <w:rPr>
          <w:lang w:val="fr-FR"/>
        </w:rPr>
      </w:pPr>
      <w:r w:rsidRPr="00640449">
        <w:rPr>
          <w:lang w:val="fr-FR"/>
        </w:rPr>
        <w:t>Art. 15. 1) « Le policier qui fait l’objet d’une enquête ou d’une instruction préparatoire en application des dispositions du Code de procédure pénale ou d’une</w:t>
      </w:r>
      <w:r w:rsidRPr="00640449">
        <w:rPr>
          <w:i/>
          <w:lang w:val="fr-FR"/>
        </w:rPr>
        <w:t xml:space="preserve"> </w:t>
      </w:r>
      <w:r w:rsidRPr="00640449">
        <w:rPr>
          <w:lang w:val="fr-FR"/>
        </w:rPr>
        <w:t>procédure disciplinaire et dont le maintien au sein de la Police est incompatible avec l’intérêt du service ou le bon déroulement de l’enquête préliminaire, de l’instruction préparatoire ou de la procédure disciplinaire peut être suspendu de l’exercice de ses fonctions. »</w:t>
      </w:r>
    </w:p>
    <w:p w:rsidR="007A13FD" w:rsidRPr="00640449" w:rsidRDefault="007A13FD" w:rsidP="007A13FD">
      <w:pPr>
        <w:pStyle w:val="H1G"/>
        <w:rPr>
          <w:lang w:val="fr-FR"/>
        </w:rPr>
      </w:pPr>
      <w:r w:rsidRPr="00640449">
        <w:tab/>
        <w:t>A</w:t>
      </w:r>
      <w:r w:rsidR="001A7B42" w:rsidRPr="00640449">
        <w:t>Q</w:t>
      </w:r>
      <w:r w:rsidRPr="00640449">
        <w:t>.</w:t>
      </w:r>
      <w:r w:rsidRPr="00640449">
        <w:tab/>
      </w:r>
      <w:r w:rsidRPr="00640449">
        <w:rPr>
          <w:lang w:val="fr-FR"/>
        </w:rPr>
        <w:t xml:space="preserve">Réponse à </w:t>
      </w:r>
      <w:r w:rsidRPr="00640449">
        <w:t>la</w:t>
      </w:r>
      <w:r w:rsidRPr="00640449">
        <w:rPr>
          <w:lang w:val="fr-FR"/>
        </w:rPr>
        <w:t xml:space="preserve"> question posée au paragraphe 19</w:t>
      </w:r>
    </w:p>
    <w:p w:rsidR="005130E6" w:rsidRPr="00640449" w:rsidRDefault="001A7B42" w:rsidP="001A7B42">
      <w:pPr>
        <w:pStyle w:val="SingleTxtG"/>
      </w:pPr>
      <w:r w:rsidRPr="00640449">
        <w:t>175.</w:t>
      </w:r>
      <w:r w:rsidRPr="00640449">
        <w:tab/>
      </w:r>
      <w:r w:rsidR="00674E9C" w:rsidRPr="00640449">
        <w:rPr>
          <w:lang w:val="fr-FR"/>
        </w:rPr>
        <w:t>Aucune</w:t>
      </w:r>
      <w:r w:rsidR="00674E9C" w:rsidRPr="00640449">
        <w:t xml:space="preserve"> demande d’indemnisation n’a été présentée devant les juridictions luxembourgeoises siégeant en matière pénale ou civile et en conséquence, aucune mesure de réparation et d’indemnisation n’a été accordée par les juridictions luxembourgeoises siégeant en matière pénale ou civile.</w:t>
      </w:r>
    </w:p>
    <w:p w:rsidR="007A13FD" w:rsidRPr="00640449" w:rsidRDefault="007A13FD" w:rsidP="007A13FD">
      <w:pPr>
        <w:pStyle w:val="H1G"/>
        <w:rPr>
          <w:lang w:val="fr-FR"/>
        </w:rPr>
      </w:pPr>
      <w:r w:rsidRPr="00640449">
        <w:tab/>
        <w:t>A</w:t>
      </w:r>
      <w:r w:rsidR="001A7B42" w:rsidRPr="00640449">
        <w:t>R</w:t>
      </w:r>
      <w:r w:rsidRPr="00640449">
        <w:t>.</w:t>
      </w:r>
      <w:r w:rsidRPr="00640449">
        <w:tab/>
      </w:r>
      <w:r w:rsidRPr="00640449">
        <w:rPr>
          <w:lang w:val="fr-FR"/>
        </w:rPr>
        <w:t xml:space="preserve">Réponse à </w:t>
      </w:r>
      <w:r w:rsidRPr="00640449">
        <w:t>la</w:t>
      </w:r>
      <w:r w:rsidRPr="00640449">
        <w:rPr>
          <w:lang w:val="fr-FR"/>
        </w:rPr>
        <w:t xml:space="preserve"> question posée au paragraphe 20</w:t>
      </w:r>
    </w:p>
    <w:p w:rsidR="005130E6" w:rsidRPr="00640449" w:rsidRDefault="001A7B42" w:rsidP="001A7B42">
      <w:pPr>
        <w:pStyle w:val="SingleTxtG"/>
      </w:pPr>
      <w:r w:rsidRPr="00640449">
        <w:t>176.</w:t>
      </w:r>
      <w:r w:rsidRPr="00640449">
        <w:tab/>
      </w:r>
      <w:r w:rsidR="00674E9C" w:rsidRPr="00640449">
        <w:rPr>
          <w:lang w:val="fr-FR"/>
        </w:rPr>
        <w:t>Voir</w:t>
      </w:r>
      <w:r w:rsidR="00674E9C" w:rsidRPr="00640449">
        <w:t xml:space="preserve"> réponse sous </w:t>
      </w:r>
      <w:r w:rsidRPr="00640449">
        <w:t>l’Article 10, paragraphes 8 et 9.</w:t>
      </w:r>
    </w:p>
    <w:p w:rsidR="007A13FD" w:rsidRPr="00640449" w:rsidRDefault="007A13FD" w:rsidP="007A13FD">
      <w:pPr>
        <w:pStyle w:val="H1G"/>
        <w:rPr>
          <w:lang w:val="fr-FR"/>
        </w:rPr>
      </w:pPr>
      <w:r w:rsidRPr="00640449">
        <w:tab/>
        <w:t>A</w:t>
      </w:r>
      <w:r w:rsidR="001A7B42" w:rsidRPr="00640449">
        <w:t>S</w:t>
      </w:r>
      <w:r w:rsidRPr="00640449">
        <w:t>.</w:t>
      </w:r>
      <w:r w:rsidRPr="00640449">
        <w:tab/>
      </w:r>
      <w:r w:rsidRPr="00640449">
        <w:rPr>
          <w:lang w:val="fr-FR"/>
        </w:rPr>
        <w:t xml:space="preserve">Réponse à </w:t>
      </w:r>
      <w:r w:rsidRPr="00640449">
        <w:t>la</w:t>
      </w:r>
      <w:r w:rsidRPr="00640449">
        <w:rPr>
          <w:lang w:val="fr-FR"/>
        </w:rPr>
        <w:t xml:space="preserve"> question posée au paragraphe 21</w:t>
      </w:r>
    </w:p>
    <w:p w:rsidR="00674E9C" w:rsidRPr="00640449" w:rsidRDefault="001A7B42" w:rsidP="001A7B42">
      <w:pPr>
        <w:pStyle w:val="SingleTxtG"/>
        <w:rPr>
          <w:lang w:val="fr-FR"/>
        </w:rPr>
      </w:pPr>
      <w:r w:rsidRPr="00640449">
        <w:rPr>
          <w:lang w:val="fr-FR"/>
        </w:rPr>
        <w:t>177.</w:t>
      </w:r>
      <w:r w:rsidRPr="00640449">
        <w:rPr>
          <w:lang w:val="fr-FR"/>
        </w:rPr>
        <w:tab/>
      </w:r>
      <w:r w:rsidR="00674E9C" w:rsidRPr="00640449">
        <w:rPr>
          <w:lang w:val="fr-FR"/>
        </w:rPr>
        <w:t>L’Unité de sécurité au sein du Centre socio-éducatif de l’</w:t>
      </w:r>
      <w:r w:rsidR="00FD7E28">
        <w:rPr>
          <w:lang w:val="fr-FR"/>
        </w:rPr>
        <w:t>État</w:t>
      </w:r>
      <w:r w:rsidR="00674E9C" w:rsidRPr="00640449">
        <w:rPr>
          <w:lang w:val="fr-FR"/>
        </w:rPr>
        <w:t xml:space="preserve"> sur le site de </w:t>
      </w:r>
      <w:proofErr w:type="spellStart"/>
      <w:r w:rsidR="00674E9C" w:rsidRPr="00640449">
        <w:rPr>
          <w:lang w:val="fr-FR"/>
        </w:rPr>
        <w:t>Dreiborn</w:t>
      </w:r>
      <w:proofErr w:type="spellEnd"/>
      <w:r w:rsidR="00674E9C" w:rsidRPr="00640449">
        <w:rPr>
          <w:lang w:val="fr-FR"/>
        </w:rPr>
        <w:t xml:space="preserve"> est opérationnelle depuis le 1er novembre 2017. Elle per</w:t>
      </w:r>
      <w:r w:rsidR="00CE1F3D">
        <w:rPr>
          <w:lang w:val="fr-FR"/>
        </w:rPr>
        <w:t>met depuis lors d’accueillir 12 </w:t>
      </w:r>
      <w:r w:rsidR="00674E9C" w:rsidRPr="00640449">
        <w:rPr>
          <w:lang w:val="fr-FR"/>
        </w:rPr>
        <w:t>mineurs sur décision du juge de la jeunesse.</w:t>
      </w:r>
    </w:p>
    <w:p w:rsidR="00674E9C" w:rsidRPr="00640449" w:rsidRDefault="001A7B42" w:rsidP="001A7B42">
      <w:pPr>
        <w:pStyle w:val="SingleTxtG"/>
        <w:rPr>
          <w:lang w:val="fr-FR"/>
        </w:rPr>
      </w:pPr>
      <w:r w:rsidRPr="00640449">
        <w:rPr>
          <w:lang w:val="fr-FR"/>
        </w:rPr>
        <w:t>178.</w:t>
      </w:r>
      <w:r w:rsidRPr="00640449">
        <w:rPr>
          <w:lang w:val="fr-FR"/>
        </w:rPr>
        <w:tab/>
      </w:r>
      <w:r w:rsidR="00674E9C" w:rsidRPr="00640449">
        <w:rPr>
          <w:lang w:val="fr-FR"/>
        </w:rPr>
        <w:t>En vertu des articles 2 et 7 de la loi modifiée du 10 août 1992 relative à la protection de la jeunesse, un mineur d’âge est irresponsable sur le plan pénal.</w:t>
      </w:r>
    </w:p>
    <w:p w:rsidR="00674E9C" w:rsidRPr="00640449" w:rsidRDefault="001A7B42" w:rsidP="001A7B42">
      <w:pPr>
        <w:pStyle w:val="SingleTxtG"/>
        <w:rPr>
          <w:lang w:val="fr-FR"/>
        </w:rPr>
      </w:pPr>
      <w:r w:rsidRPr="00640449">
        <w:rPr>
          <w:lang w:val="fr-FR"/>
        </w:rPr>
        <w:t>179.</w:t>
      </w:r>
      <w:r w:rsidRPr="00640449">
        <w:rPr>
          <w:lang w:val="fr-FR"/>
        </w:rPr>
        <w:tab/>
      </w:r>
      <w:r w:rsidR="00674E9C" w:rsidRPr="00640449">
        <w:rPr>
          <w:lang w:val="fr-FR"/>
        </w:rPr>
        <w:t>Lorsqu’il commet un fait qualifié d’infraction pénale, il n’est pas déféré à une juridiction répressive, mais devant le tribunal de la jeunesse, juridiction spécialisée pour les mineurs d’âge.</w:t>
      </w:r>
    </w:p>
    <w:p w:rsidR="00674E9C" w:rsidRPr="00640449" w:rsidRDefault="001A7B42" w:rsidP="001A7B42">
      <w:pPr>
        <w:pStyle w:val="SingleTxtG"/>
        <w:rPr>
          <w:lang w:val="fr-FR"/>
        </w:rPr>
      </w:pPr>
      <w:r w:rsidRPr="00640449">
        <w:rPr>
          <w:lang w:val="fr-FR"/>
        </w:rPr>
        <w:t>180.</w:t>
      </w:r>
      <w:r w:rsidRPr="00640449">
        <w:rPr>
          <w:lang w:val="fr-FR"/>
        </w:rPr>
        <w:tab/>
      </w:r>
      <w:r w:rsidR="00674E9C" w:rsidRPr="00640449">
        <w:rPr>
          <w:lang w:val="fr-FR"/>
        </w:rPr>
        <w:t>Le mineur ne s’y voit pas infliger de sanction de nature pénale, mais une mesure de garde, d’éducation et de préservation, au sens de l’article 1er de la loi précitée.</w:t>
      </w:r>
    </w:p>
    <w:p w:rsidR="00674E9C" w:rsidRPr="00640449" w:rsidRDefault="001A7B42" w:rsidP="001A7B42">
      <w:pPr>
        <w:pStyle w:val="SingleTxtG"/>
        <w:rPr>
          <w:lang w:val="fr-FR"/>
        </w:rPr>
      </w:pPr>
      <w:r w:rsidRPr="00640449">
        <w:rPr>
          <w:lang w:val="fr-FR"/>
        </w:rPr>
        <w:t>181.</w:t>
      </w:r>
      <w:r w:rsidRPr="00640449">
        <w:rPr>
          <w:lang w:val="fr-FR"/>
        </w:rPr>
        <w:tab/>
      </w:r>
      <w:r w:rsidR="00674E9C" w:rsidRPr="00640449">
        <w:rPr>
          <w:lang w:val="fr-FR"/>
        </w:rPr>
        <w:t>Ces mesures, qui sont prononcées à titre de conséquence vis-à-vis d’un mineur qui a commis une infraction pénale, sont notamment la réprimande et la prestation philanthropique.</w:t>
      </w:r>
    </w:p>
    <w:p w:rsidR="00674E9C" w:rsidRPr="00640449" w:rsidRDefault="001A7B42" w:rsidP="001A7B42">
      <w:pPr>
        <w:pStyle w:val="SingleTxtG"/>
        <w:rPr>
          <w:lang w:val="fr-FR"/>
        </w:rPr>
      </w:pPr>
      <w:r w:rsidRPr="00640449">
        <w:rPr>
          <w:lang w:val="fr-FR"/>
        </w:rPr>
        <w:t>182.</w:t>
      </w:r>
      <w:r w:rsidRPr="00640449">
        <w:rPr>
          <w:lang w:val="fr-FR"/>
        </w:rPr>
        <w:tab/>
      </w:r>
      <w:r w:rsidR="00674E9C" w:rsidRPr="00640449">
        <w:rPr>
          <w:lang w:val="fr-FR"/>
        </w:rPr>
        <w:t>Cette dernière mesure consiste en un nombre déterminé d’heures de travail non rémunérées pour une institution caritative, dans l’intérêt de la société.</w:t>
      </w:r>
    </w:p>
    <w:p w:rsidR="00674E9C" w:rsidRPr="00640449" w:rsidRDefault="001A7B42" w:rsidP="001A7B42">
      <w:pPr>
        <w:pStyle w:val="SingleTxtG"/>
        <w:rPr>
          <w:lang w:val="fr-FR"/>
        </w:rPr>
      </w:pPr>
      <w:r w:rsidRPr="00640449">
        <w:rPr>
          <w:lang w:val="fr-FR"/>
        </w:rPr>
        <w:t>183.</w:t>
      </w:r>
      <w:r w:rsidRPr="00640449">
        <w:rPr>
          <w:lang w:val="fr-FR"/>
        </w:rPr>
        <w:tab/>
      </w:r>
      <w:r w:rsidR="00674E9C" w:rsidRPr="00640449">
        <w:rPr>
          <w:lang w:val="fr-FR"/>
        </w:rPr>
        <w:t>Le mineur accomplit ces heures avec l’assistance et sous le contrôle du Service Central d’Assistance Sociale (SCAS).</w:t>
      </w:r>
    </w:p>
    <w:p w:rsidR="00674E9C" w:rsidRPr="00640449" w:rsidRDefault="001A7B42" w:rsidP="001A7B42">
      <w:pPr>
        <w:pStyle w:val="SingleTxtG"/>
        <w:rPr>
          <w:lang w:val="fr-FR"/>
        </w:rPr>
      </w:pPr>
      <w:r w:rsidRPr="00640449">
        <w:rPr>
          <w:lang w:val="fr-FR"/>
        </w:rPr>
        <w:t>184.</w:t>
      </w:r>
      <w:r w:rsidRPr="00640449">
        <w:rPr>
          <w:lang w:val="fr-FR"/>
        </w:rPr>
        <w:tab/>
      </w:r>
      <w:r w:rsidR="00674E9C" w:rsidRPr="00640449">
        <w:rPr>
          <w:lang w:val="fr-FR"/>
        </w:rPr>
        <w:t>Le mineur peut aussi se voir placer auprès d’un membre de leur famille, auprès d’une famille d’accueil, d’un foyer d’accueil ou bien auprès d’un centre socio-éducatif de l’</w:t>
      </w:r>
      <w:r w:rsidR="00FD7E28">
        <w:rPr>
          <w:lang w:val="fr-FR"/>
        </w:rPr>
        <w:t>État</w:t>
      </w:r>
      <w:r w:rsidR="00674E9C" w:rsidRPr="00640449">
        <w:rPr>
          <w:lang w:val="fr-FR"/>
        </w:rPr>
        <w:t xml:space="preserve"> (institution ouverte). </w:t>
      </w:r>
    </w:p>
    <w:p w:rsidR="00674E9C" w:rsidRPr="00640449" w:rsidRDefault="001A7B42" w:rsidP="001A7B42">
      <w:pPr>
        <w:pStyle w:val="SingleTxtG"/>
        <w:rPr>
          <w:lang w:val="fr-FR"/>
        </w:rPr>
      </w:pPr>
      <w:r w:rsidRPr="00640449">
        <w:rPr>
          <w:lang w:val="fr-FR"/>
        </w:rPr>
        <w:lastRenderedPageBreak/>
        <w:t>185.</w:t>
      </w:r>
      <w:r w:rsidRPr="00640449">
        <w:rPr>
          <w:lang w:val="fr-FR"/>
        </w:rPr>
        <w:tab/>
      </w:r>
      <w:r w:rsidR="00674E9C" w:rsidRPr="00640449">
        <w:rPr>
          <w:lang w:val="fr-FR"/>
        </w:rPr>
        <w:t>Au niveau du parquet, une médiation peut être ordonnée, ce qui évite au mineur d’être déféré devant le tribunal de la jeunesse. C’est une mesure de justice réparatrice.</w:t>
      </w:r>
    </w:p>
    <w:p w:rsidR="00674E9C" w:rsidRPr="00640449" w:rsidRDefault="001A7B42" w:rsidP="001A7B42">
      <w:pPr>
        <w:pStyle w:val="SingleTxtG"/>
        <w:rPr>
          <w:lang w:val="fr-FR"/>
        </w:rPr>
      </w:pPr>
      <w:r w:rsidRPr="00640449">
        <w:rPr>
          <w:lang w:val="fr-FR"/>
        </w:rPr>
        <w:t>186.</w:t>
      </w:r>
      <w:r w:rsidRPr="00640449">
        <w:rPr>
          <w:lang w:val="fr-FR"/>
        </w:rPr>
        <w:tab/>
      </w:r>
      <w:r w:rsidR="00674E9C" w:rsidRPr="00640449">
        <w:rPr>
          <w:lang w:val="fr-FR"/>
        </w:rPr>
        <w:t>Ce n’est que si un enfermement est incontournable, au vu de la gravité des faits commis par le mineur en cause, ainsi qu’au vu de son attitude, sa personnalité et son comportement, qu’une telle mesure est décidée.</w:t>
      </w:r>
    </w:p>
    <w:p w:rsidR="00674E9C" w:rsidRPr="00640449" w:rsidRDefault="001A7B42" w:rsidP="001A7B42">
      <w:pPr>
        <w:pStyle w:val="SingleTxtG"/>
        <w:rPr>
          <w:lang w:val="fr-FR"/>
        </w:rPr>
      </w:pPr>
      <w:r w:rsidRPr="00640449">
        <w:rPr>
          <w:lang w:val="fr-FR"/>
        </w:rPr>
        <w:t>187.</w:t>
      </w:r>
      <w:r w:rsidRPr="00640449">
        <w:rPr>
          <w:lang w:val="fr-FR"/>
        </w:rPr>
        <w:tab/>
      </w:r>
      <w:r w:rsidR="00674E9C" w:rsidRPr="00640449">
        <w:rPr>
          <w:lang w:val="fr-FR"/>
        </w:rPr>
        <w:t>Depuis l’ouverture de l’Unité de Sécurité du Centre Socio-Educatif de l’</w:t>
      </w:r>
      <w:r w:rsidR="00FD7E28">
        <w:rPr>
          <w:lang w:val="fr-FR"/>
        </w:rPr>
        <w:t>État</w:t>
      </w:r>
      <w:r w:rsidR="00674E9C" w:rsidRPr="00640449">
        <w:rPr>
          <w:lang w:val="fr-FR"/>
        </w:rPr>
        <w:t xml:space="preserve"> (UNISEC), le 1</w:t>
      </w:r>
      <w:r w:rsidR="00674E9C" w:rsidRPr="00640449">
        <w:rPr>
          <w:vertAlign w:val="superscript"/>
          <w:lang w:val="fr-FR"/>
        </w:rPr>
        <w:t>er</w:t>
      </w:r>
      <w:r w:rsidR="00674E9C" w:rsidRPr="00640449">
        <w:rPr>
          <w:lang w:val="fr-FR"/>
        </w:rPr>
        <w:t xml:space="preserve"> novembre 2017, l’enfermement des mineurs se fait en principe à ladite structure.</w:t>
      </w:r>
    </w:p>
    <w:p w:rsidR="00674E9C" w:rsidRPr="00640449" w:rsidRDefault="001A7B42" w:rsidP="001A7B42">
      <w:pPr>
        <w:pStyle w:val="SingleTxtG"/>
        <w:rPr>
          <w:lang w:val="fr-FR"/>
        </w:rPr>
      </w:pPr>
      <w:r w:rsidRPr="00640449">
        <w:rPr>
          <w:lang w:val="fr-FR"/>
        </w:rPr>
        <w:t>188.</w:t>
      </w:r>
      <w:r w:rsidRPr="00640449">
        <w:rPr>
          <w:lang w:val="fr-FR"/>
        </w:rPr>
        <w:tab/>
      </w:r>
      <w:r w:rsidR="00674E9C" w:rsidRPr="00640449">
        <w:rPr>
          <w:lang w:val="fr-FR"/>
        </w:rPr>
        <w:t xml:space="preserve">Même si la loi prévoit toujours la possibilité d’un placement à la prison, les parquets ont émis une circulaire, prévoyant des conditions très restrictives pour un tel placement. </w:t>
      </w:r>
    </w:p>
    <w:p w:rsidR="00674E9C" w:rsidRPr="00640449" w:rsidRDefault="001A7B42" w:rsidP="001A7B42">
      <w:pPr>
        <w:pStyle w:val="SingleTxtG"/>
        <w:rPr>
          <w:lang w:val="fr-FR"/>
        </w:rPr>
      </w:pPr>
      <w:r w:rsidRPr="00640449">
        <w:rPr>
          <w:lang w:val="fr-FR"/>
        </w:rPr>
        <w:t>189.</w:t>
      </w:r>
      <w:r w:rsidRPr="00640449">
        <w:rPr>
          <w:lang w:val="fr-FR"/>
        </w:rPr>
        <w:tab/>
      </w:r>
      <w:r w:rsidR="00674E9C" w:rsidRPr="00640449">
        <w:rPr>
          <w:lang w:val="fr-FR"/>
        </w:rPr>
        <w:t>Au total, cinq mineurs ont été placés au Centre pénitentiaire au cours de l’année 2018. Trois mineurs ont été placés par mesure de garde provisoire pour des durées respectives de 19, 25 et 31 jours. Un quatrième mineur, qui avait déjà fait l’objet d’un placement au CPL en 2017 et qui avait bénéficié d’un sursis, s’est vu révoquer ce sursis, de sorte qu’il s’est trouvé au CPL du 10.01.2018 au 27.04.2018, date à laquelle il a été transféré à l’UNISEC. Un cinquième mineur s’est vu placer en prison au cours de l’année 2018 pour une demi-journée étant donné qu’il n’y avait pas de place disponible à l’UNISEC. Il a ensuite été transféré dans une structure ouverte. Au moment de la rédaction du présent rapport, aucun mineur n’a été placé en prison au cours de l’année 2019.</w:t>
      </w:r>
    </w:p>
    <w:p w:rsidR="00674E9C" w:rsidRPr="00D20CB5" w:rsidRDefault="001A7B42" w:rsidP="001A7B42">
      <w:pPr>
        <w:pStyle w:val="SingleTxtG"/>
        <w:rPr>
          <w:iCs/>
          <w:lang w:val="fr-FR"/>
        </w:rPr>
      </w:pPr>
      <w:r w:rsidRPr="00640449">
        <w:rPr>
          <w:lang w:val="fr-FR"/>
        </w:rPr>
        <w:t>190.</w:t>
      </w:r>
      <w:r w:rsidRPr="00640449">
        <w:rPr>
          <w:lang w:val="fr-FR"/>
        </w:rPr>
        <w:tab/>
      </w:r>
      <w:r w:rsidR="00674E9C" w:rsidRPr="00640449">
        <w:rPr>
          <w:lang w:val="fr-FR"/>
        </w:rPr>
        <w:t>L’article 32 de la loi modifiée relative à la protection de la jeunesse prévoit une exception au principe d’irresponsabilité pénale du mineur. C’est le cas du mineur qui a atteint, au moment de la commission d’un fait qualifié d’infraction pénale, au moins l’âge de 16 ans accomplis et qui, au vu de la gravité des faits, de sa maturité personnelle ainsi que de l’</w:t>
      </w:r>
      <w:proofErr w:type="spellStart"/>
      <w:r w:rsidR="00674E9C" w:rsidRPr="00640449">
        <w:rPr>
          <w:lang w:val="fr-FR"/>
        </w:rPr>
        <w:t>inopérance</w:t>
      </w:r>
      <w:proofErr w:type="spellEnd"/>
      <w:r w:rsidR="00674E9C" w:rsidRPr="00640449">
        <w:rPr>
          <w:lang w:val="fr-FR"/>
        </w:rPr>
        <w:t xml:space="preserve"> d’une éventuelle mesure de garde, d’éducation et de préservation, se voit déférer devant une juridiction répressive ordinaire. C’est la procédure dite du </w:t>
      </w:r>
      <w:r w:rsidR="00674E9C" w:rsidRPr="00D20CB5">
        <w:rPr>
          <w:iCs/>
          <w:lang w:val="fr-FR"/>
        </w:rPr>
        <w:t>« renvoi selon les formes et compétences ordinaires ».</w:t>
      </w:r>
    </w:p>
    <w:p w:rsidR="00674E9C" w:rsidRPr="00640449" w:rsidRDefault="001A7B42" w:rsidP="001A7B42">
      <w:pPr>
        <w:pStyle w:val="SingleTxtG"/>
        <w:rPr>
          <w:lang w:val="fr-FR"/>
        </w:rPr>
      </w:pPr>
      <w:r w:rsidRPr="00640449">
        <w:rPr>
          <w:lang w:val="fr-FR"/>
        </w:rPr>
        <w:t>191.</w:t>
      </w:r>
      <w:r w:rsidRPr="00640449">
        <w:rPr>
          <w:lang w:val="fr-FR"/>
        </w:rPr>
        <w:tab/>
      </w:r>
      <w:r w:rsidR="00674E9C" w:rsidRPr="00640449">
        <w:rPr>
          <w:lang w:val="fr-FR"/>
        </w:rPr>
        <w:t>Il s’agit d’une procédure exceptionnelle et formaliste, dès lors qu’elle exige une requête écrite du parquet ainsi qu’une décision écrite et spécialement motivée du juge de la jeunesse ou bien du tribunal de la jeunesse.</w:t>
      </w:r>
    </w:p>
    <w:p w:rsidR="00674E9C" w:rsidRPr="00640449" w:rsidRDefault="001A7B42" w:rsidP="001A7B42">
      <w:pPr>
        <w:pStyle w:val="SingleTxtG"/>
        <w:rPr>
          <w:lang w:val="fr-FR"/>
        </w:rPr>
      </w:pPr>
      <w:r w:rsidRPr="00640449">
        <w:rPr>
          <w:lang w:val="fr-FR"/>
        </w:rPr>
        <w:t>192.</w:t>
      </w:r>
      <w:r w:rsidRPr="00640449">
        <w:rPr>
          <w:lang w:val="fr-FR"/>
        </w:rPr>
        <w:tab/>
      </w:r>
      <w:r w:rsidR="00674E9C" w:rsidRPr="00640449">
        <w:rPr>
          <w:lang w:val="fr-FR"/>
        </w:rPr>
        <w:t>Le mineur lui-même, ses parents ou autres titulaires de l’autorité parentale peuvent interjeter appel contre une telle décision.</w:t>
      </w:r>
    </w:p>
    <w:p w:rsidR="00674E9C" w:rsidRPr="00640449" w:rsidRDefault="001A7B42" w:rsidP="001A7B42">
      <w:pPr>
        <w:pStyle w:val="SingleTxtG"/>
        <w:rPr>
          <w:lang w:val="fr-FR"/>
        </w:rPr>
      </w:pPr>
      <w:r w:rsidRPr="00640449">
        <w:rPr>
          <w:lang w:val="fr-FR"/>
        </w:rPr>
        <w:t>193.</w:t>
      </w:r>
      <w:r w:rsidRPr="00640449">
        <w:rPr>
          <w:lang w:val="fr-FR"/>
        </w:rPr>
        <w:tab/>
      </w:r>
      <w:r w:rsidR="00674E9C" w:rsidRPr="00640449">
        <w:rPr>
          <w:lang w:val="fr-FR"/>
        </w:rPr>
        <w:t>Pour décider qu’un mineur soit jugé selon la procédure pénale ordinaire, le juge de la jeunesse doit analyser spécialement si le mineur en cause dispose de la maturité nécessaire pour suivre une telle procédure et pour être accessible à une sanction pénale. De plus, il doit arriver à la conclusion qu’une mesure de garde, d’éducation et de préservation sur base de la législation relative à la protection de la jeunesse est inadéquate et vouée à l’échec, au vu de la gravité et/ou répétitivité des infractions commises ainsi qu’au vu des mesures de protection prises antérieurement à son égard.</w:t>
      </w:r>
    </w:p>
    <w:p w:rsidR="00674E9C" w:rsidRPr="00640449" w:rsidRDefault="001A7B42" w:rsidP="001A7B42">
      <w:pPr>
        <w:pStyle w:val="SingleTxtG"/>
        <w:rPr>
          <w:b/>
        </w:rPr>
      </w:pPr>
      <w:r w:rsidRPr="00640449">
        <w:t>194.</w:t>
      </w:r>
      <w:r w:rsidRPr="00640449">
        <w:tab/>
      </w:r>
      <w:r w:rsidR="00674E9C" w:rsidRPr="00640449">
        <w:rPr>
          <w:lang w:val="fr-FR"/>
        </w:rPr>
        <w:t>L’application de cette procédure est assez rare, comme les chiffres qui seront fournis par notre service des statistiques le confirmeront.</w:t>
      </w:r>
    </w:p>
    <w:p w:rsidR="00674E9C" w:rsidRPr="00640449" w:rsidRDefault="00AB66CD" w:rsidP="00D20CB5">
      <w:pPr>
        <w:pStyle w:val="HChG"/>
      </w:pPr>
      <w:bookmarkStart w:id="11" w:name="_Toc8396119"/>
      <w:r w:rsidRPr="00640449">
        <w:tab/>
      </w:r>
      <w:r w:rsidR="0012253B">
        <w:t>III.</w:t>
      </w:r>
      <w:r w:rsidRPr="00640449">
        <w:tab/>
      </w:r>
      <w:r w:rsidR="00674E9C" w:rsidRPr="00640449">
        <w:t>Renseignements d’ordre général sur la situation des droits de l’homme dans le pays, y compris les nouvelles mesures et les faits nouveaux concernant la mise en œuvre de la Convention</w:t>
      </w:r>
      <w:bookmarkEnd w:id="11"/>
    </w:p>
    <w:p w:rsidR="007A13FD" w:rsidRPr="00640449" w:rsidRDefault="007A13FD" w:rsidP="007A13FD">
      <w:pPr>
        <w:pStyle w:val="H1G"/>
        <w:rPr>
          <w:lang w:val="fr-FR"/>
        </w:rPr>
      </w:pPr>
      <w:r w:rsidRPr="00640449">
        <w:tab/>
        <w:t>A</w:t>
      </w:r>
      <w:r w:rsidR="001A7B42" w:rsidRPr="00640449">
        <w:t>T</w:t>
      </w:r>
      <w:r w:rsidRPr="00640449">
        <w:t>.</w:t>
      </w:r>
      <w:r w:rsidRPr="00640449">
        <w:tab/>
      </w:r>
      <w:r w:rsidRPr="00640449">
        <w:rPr>
          <w:lang w:val="fr-FR"/>
        </w:rPr>
        <w:t xml:space="preserve">Réponse à </w:t>
      </w:r>
      <w:r w:rsidRPr="00640449">
        <w:t>la</w:t>
      </w:r>
      <w:r w:rsidRPr="00640449">
        <w:rPr>
          <w:lang w:val="fr-FR"/>
        </w:rPr>
        <w:t xml:space="preserve"> question posée au paragraphe 22</w:t>
      </w:r>
    </w:p>
    <w:p w:rsidR="00674E9C" w:rsidRPr="00640449" w:rsidRDefault="001A7B42" w:rsidP="001A7B42">
      <w:pPr>
        <w:pStyle w:val="SingleTxtG"/>
        <w:rPr>
          <w:lang w:val="fr-FR"/>
        </w:rPr>
      </w:pPr>
      <w:r w:rsidRPr="00640449">
        <w:rPr>
          <w:lang w:val="fr-FR"/>
        </w:rPr>
        <w:t>195.</w:t>
      </w:r>
      <w:r w:rsidRPr="00640449">
        <w:rPr>
          <w:lang w:val="fr-FR"/>
        </w:rPr>
        <w:tab/>
      </w:r>
      <w:r w:rsidR="00674E9C" w:rsidRPr="00640449">
        <w:rPr>
          <w:lang w:val="fr-FR"/>
        </w:rPr>
        <w:t xml:space="preserve">En juin 2015, le Gouvernement en conseil a pris la décision de mettre en place un Comité interministériel des droits de l’homme (CIDH), chargé e. a. de coordonner en continu les travaux du gouvernement en matière de suivi de l’application du droit international des droits de l’homme au Luxembourg, notamment en fournissant des rapports réguliers aux organes conventionnels du système des Nations Unies. </w:t>
      </w:r>
    </w:p>
    <w:p w:rsidR="00674E9C" w:rsidRPr="00640449" w:rsidRDefault="001A7B42" w:rsidP="001A7B42">
      <w:pPr>
        <w:pStyle w:val="SingleTxtG"/>
        <w:rPr>
          <w:lang w:val="fr-FR"/>
        </w:rPr>
      </w:pPr>
      <w:r w:rsidRPr="00640449">
        <w:rPr>
          <w:lang w:val="fr-FR"/>
        </w:rPr>
        <w:lastRenderedPageBreak/>
        <w:t>196.</w:t>
      </w:r>
      <w:r w:rsidRPr="00640449">
        <w:rPr>
          <w:lang w:val="fr-FR"/>
        </w:rPr>
        <w:tab/>
      </w:r>
      <w:r w:rsidR="00674E9C" w:rsidRPr="00640449">
        <w:rPr>
          <w:lang w:val="fr-FR"/>
        </w:rPr>
        <w:t xml:space="preserve">Une nouvelle version du document de base commun est également en cours d’élaboration et sera prête au moment de la présentation des prochains rapports sur le Pacte international des droits civils et politiques et le Pacte international sur les droits économiques, sociaux et culturels. </w:t>
      </w:r>
    </w:p>
    <w:p w:rsidR="00674E9C" w:rsidRPr="00640449" w:rsidRDefault="001A7B42" w:rsidP="001A7B42">
      <w:pPr>
        <w:pStyle w:val="SingleTxtG"/>
      </w:pPr>
      <w:r w:rsidRPr="00640449">
        <w:t>197.</w:t>
      </w:r>
      <w:r w:rsidRPr="00640449">
        <w:tab/>
      </w:r>
      <w:r w:rsidR="00674E9C" w:rsidRPr="00640449">
        <w:rPr>
          <w:lang w:val="fr-FR"/>
        </w:rPr>
        <w:t>Chaque session de travail du CIDH, qui réunit toutes les 6 à 8 semaines des représentants de tous les Ministères et administrations concernées par les droits humains, est suivie d’une</w:t>
      </w:r>
      <w:r w:rsidR="00674E9C" w:rsidRPr="00640449">
        <w:t xml:space="preserve"> réunion de consultations avec la société civile et les institutions nationales des droits de l’homme. </w:t>
      </w:r>
    </w:p>
    <w:p w:rsidR="00BE3C14" w:rsidRPr="00640449" w:rsidRDefault="001A7B42" w:rsidP="00623E7F">
      <w:pPr>
        <w:pStyle w:val="SingleTxtG"/>
      </w:pPr>
      <w:r w:rsidRPr="00640449">
        <w:t>198.</w:t>
      </w:r>
      <w:r w:rsidRPr="00640449">
        <w:tab/>
      </w:r>
      <w:r w:rsidR="00674E9C" w:rsidRPr="00640449">
        <w:t>Le CIDH surveille également le suivi de la mise en œuvre des recommandations de l’examen périodique universel du Conseil des droits de l’homme (le dernier examen du Luxembourg a eu lieu le 18 janvier 2018 et le Luxembourg a signalé son intention pour se soumettre prochainement à un examen à mi-parcours). Les travaux du CIDH sont coordonnés par le Ministère des Affaires étrangères et européennes : ses réunions</w:t>
      </w:r>
      <w:r w:rsidR="00623E7F">
        <w:t xml:space="preserve"> </w:t>
      </w:r>
      <w:r w:rsidR="00623E7F" w:rsidRPr="008D21F9">
        <w:rPr>
          <w:lang w:val="fr-FR"/>
        </w:rPr>
        <w:t>sont présidées par l’Ambassadeur itinérant pour les droits de l’homme.</w:t>
      </w:r>
    </w:p>
    <w:p w:rsidR="00AB66CD" w:rsidRPr="00767E20" w:rsidRDefault="00767E20" w:rsidP="00767E20">
      <w:pPr>
        <w:pStyle w:val="SingleTxtG"/>
        <w:spacing w:before="240" w:after="0"/>
        <w:jc w:val="center"/>
        <w:rPr>
          <w:u w:val="single"/>
        </w:rPr>
      </w:pPr>
      <w:r>
        <w:rPr>
          <w:u w:val="single"/>
        </w:rPr>
        <w:tab/>
      </w:r>
      <w:r>
        <w:rPr>
          <w:u w:val="single"/>
        </w:rPr>
        <w:tab/>
      </w:r>
      <w:r>
        <w:rPr>
          <w:u w:val="single"/>
        </w:rPr>
        <w:tab/>
      </w:r>
    </w:p>
    <w:sectPr w:rsidR="00AB66CD" w:rsidRPr="00767E20" w:rsidSect="000C376E">
      <w:headerReference w:type="even" r:id="rId30"/>
      <w:headerReference w:type="default" r:id="rId31"/>
      <w:footerReference w:type="even" r:id="rId32"/>
      <w:footerReference w:type="default" r:id="rId33"/>
      <w:footerReference w:type="first" r:id="rId3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94A" w:rsidRDefault="00CD494A">
      <w:pPr>
        <w:spacing w:line="240" w:lineRule="auto"/>
      </w:pPr>
    </w:p>
  </w:endnote>
  <w:endnote w:type="continuationSeparator" w:id="0">
    <w:p w:rsidR="00CD494A" w:rsidRDefault="00CD494A">
      <w:pPr>
        <w:pStyle w:val="Pieddepage"/>
      </w:pPr>
    </w:p>
  </w:endnote>
  <w:endnote w:type="continuationNotice" w:id="1">
    <w:p w:rsidR="00CD494A" w:rsidRDefault="00CD49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94A" w:rsidRDefault="00CD494A">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8D21F9">
      <w:rPr>
        <w:b/>
        <w:noProof/>
        <w:sz w:val="18"/>
      </w:rPr>
      <w:t>20</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94A" w:rsidRDefault="00CD494A">
    <w:pPr>
      <w:pStyle w:val="Pieddepage"/>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8D21F9">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94A" w:rsidRPr="009821CD" w:rsidRDefault="009821CD" w:rsidP="009821CD">
    <w:pPr>
      <w:pStyle w:val="Pieddepage"/>
      <w:spacing w:before="120"/>
      <w:rPr>
        <w:sz w:val="20"/>
      </w:rPr>
    </w:pPr>
    <w:r w:rsidRPr="009821CD">
      <w:rPr>
        <w:rFonts w:ascii="C39T30Lfz" w:hAnsi="C39T30Lfz"/>
        <w:noProof/>
        <w:sz w:val="56"/>
        <w:lang w:eastAsia="fr-CH"/>
      </w:rPr>
      <w:drawing>
        <wp:anchor distT="0" distB="0" distL="114300" distR="114300" simplePos="0" relativeHeight="251660288" behindDoc="0" locked="0" layoutInCell="1" allowOverlap="0">
          <wp:simplePos x="0" y="0"/>
          <wp:positionH relativeFrom="margin">
            <wp:posOffset>4320540</wp:posOffset>
          </wp:positionH>
          <wp:positionV relativeFrom="margin">
            <wp:posOffset>9155096</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GE.20-04001  (F)</w:t>
    </w:r>
    <w:r>
      <w:rPr>
        <w:sz w:val="20"/>
      </w:rPr>
      <w:br/>
    </w:r>
    <w:r w:rsidRPr="009821CD">
      <w:rPr>
        <w:rFonts w:ascii="C39T30Lfz" w:hAnsi="C39T30Lfz"/>
        <w:sz w:val="56"/>
      </w:rPr>
      <w:t></w:t>
    </w:r>
    <w:r w:rsidRPr="009821CD">
      <w:rPr>
        <w:rFonts w:ascii="C39T30Lfz" w:hAnsi="C39T30Lfz"/>
        <w:sz w:val="56"/>
      </w:rPr>
      <w:t></w:t>
    </w:r>
    <w:r w:rsidRPr="009821CD">
      <w:rPr>
        <w:rFonts w:ascii="C39T30Lfz" w:hAnsi="C39T30Lfz"/>
        <w:sz w:val="56"/>
      </w:rPr>
      <w:t></w:t>
    </w:r>
    <w:r w:rsidRPr="009821CD">
      <w:rPr>
        <w:rFonts w:ascii="C39T30Lfz" w:hAnsi="C39T30Lfz"/>
        <w:sz w:val="56"/>
      </w:rPr>
      <w:t></w:t>
    </w:r>
    <w:r w:rsidRPr="009821CD">
      <w:rPr>
        <w:rFonts w:ascii="C39T30Lfz" w:hAnsi="C39T30Lfz"/>
        <w:sz w:val="56"/>
      </w:rPr>
      <w:t></w:t>
    </w:r>
    <w:r w:rsidRPr="009821CD">
      <w:rPr>
        <w:rFonts w:ascii="C39T30Lfz" w:hAnsi="C39T30Lfz"/>
        <w:sz w:val="56"/>
      </w:rPr>
      <w:t></w:t>
    </w:r>
    <w:r w:rsidRPr="009821CD">
      <w:rPr>
        <w:rFonts w:ascii="C39T30Lfz" w:hAnsi="C39T30Lfz"/>
        <w:sz w:val="56"/>
      </w:rPr>
      <w:t></w:t>
    </w:r>
    <w:r w:rsidRPr="009821CD">
      <w:rPr>
        <w:rFonts w:ascii="C39T30Lfz" w:hAnsi="C39T30Lfz"/>
        <w:sz w:val="56"/>
      </w:rPr>
      <w:t></w:t>
    </w:r>
    <w:r w:rsidRPr="009821C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LUX/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LUX/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94A" w:rsidRDefault="00CD494A">
      <w:pPr>
        <w:pStyle w:val="Pieddepage"/>
        <w:tabs>
          <w:tab w:val="right" w:pos="2155"/>
        </w:tabs>
        <w:spacing w:after="80" w:line="240" w:lineRule="atLeast"/>
        <w:ind w:left="680"/>
        <w:rPr>
          <w:u w:val="single"/>
        </w:rPr>
      </w:pPr>
      <w:r>
        <w:rPr>
          <w:u w:val="single"/>
        </w:rPr>
        <w:tab/>
      </w:r>
    </w:p>
  </w:footnote>
  <w:footnote w:type="continuationSeparator" w:id="0">
    <w:p w:rsidR="00CD494A" w:rsidRDefault="00CD494A">
      <w:pPr>
        <w:pStyle w:val="Pieddepage"/>
        <w:tabs>
          <w:tab w:val="right" w:pos="2155"/>
        </w:tabs>
        <w:spacing w:after="80" w:line="240" w:lineRule="atLeast"/>
        <w:ind w:left="680"/>
        <w:rPr>
          <w:u w:val="single"/>
        </w:rPr>
      </w:pPr>
      <w:r>
        <w:rPr>
          <w:u w:val="single"/>
        </w:rPr>
        <w:tab/>
      </w:r>
    </w:p>
  </w:footnote>
  <w:footnote w:type="continuationNotice" w:id="1">
    <w:p w:rsidR="00CD494A" w:rsidRDefault="00CD494A">
      <w:pPr>
        <w:spacing w:line="240" w:lineRule="auto"/>
        <w:rPr>
          <w:sz w:val="2"/>
          <w:szCs w:val="2"/>
        </w:rPr>
      </w:pPr>
    </w:p>
  </w:footnote>
  <w:footnote w:id="2">
    <w:p w:rsidR="00CD494A" w:rsidRDefault="00CD494A" w:rsidP="00316226">
      <w:pPr>
        <w:pStyle w:val="Notedebasdepage"/>
      </w:pPr>
      <w:r>
        <w:tab/>
      </w:r>
      <w:r>
        <w:rPr>
          <w:rStyle w:val="Appelnotedebasdep"/>
          <w:sz w:val="20"/>
          <w:vertAlign w:val="baseline"/>
        </w:rPr>
        <w:t>*</w:t>
      </w:r>
      <w:r>
        <w:rPr>
          <w:sz w:val="20"/>
        </w:rPr>
        <w:tab/>
      </w:r>
      <w:r>
        <w:t>Le présent document n’a pas été revu par les services d’édition.</w:t>
      </w:r>
    </w:p>
  </w:footnote>
  <w:footnote w:id="3">
    <w:p w:rsidR="00CD494A" w:rsidRPr="00E473E0" w:rsidRDefault="00CD494A" w:rsidP="00E473E0">
      <w:pPr>
        <w:pStyle w:val="Notedebasdepage"/>
      </w:pPr>
      <w:r>
        <w:rPr>
          <w:rStyle w:val="Lienhypertexte"/>
          <w:color w:val="auto"/>
        </w:rPr>
        <w:tab/>
      </w:r>
      <w:r w:rsidRPr="005F2FA1">
        <w:rPr>
          <w:rStyle w:val="Appelnotedebasdep"/>
        </w:rPr>
        <w:footnoteRef/>
      </w:r>
      <w:r>
        <w:rPr>
          <w:rStyle w:val="Lienhypertexte"/>
          <w:color w:val="auto"/>
        </w:rPr>
        <w:tab/>
      </w:r>
      <w:hyperlink r:id="rId1" w:history="1">
        <w:r w:rsidRPr="00E473E0">
          <w:rPr>
            <w:rStyle w:val="Lienhypertexte"/>
            <w:color w:val="auto"/>
          </w:rPr>
          <w:t>http://data.legilux.public.lu/eli/etat/leg/loi/2017/03/08/a346/jo</w:t>
        </w:r>
      </w:hyperlink>
      <w:r>
        <w:rPr>
          <w:rStyle w:val="Lienhypertexte"/>
          <w:color w:val="auto"/>
        </w:rPr>
        <w:t>.</w:t>
      </w:r>
    </w:p>
  </w:footnote>
  <w:footnote w:id="4">
    <w:p w:rsidR="00CD494A" w:rsidRPr="008D791E" w:rsidRDefault="00CD494A" w:rsidP="008D791E">
      <w:pPr>
        <w:pStyle w:val="Notedebasdepage"/>
      </w:pPr>
      <w:r>
        <w:rPr>
          <w:rStyle w:val="Lienhypertexte"/>
          <w:color w:val="auto"/>
        </w:rPr>
        <w:tab/>
      </w:r>
      <w:r w:rsidRPr="005F2FA1">
        <w:rPr>
          <w:rStyle w:val="Appelnotedebasdep"/>
        </w:rPr>
        <w:footnoteRef/>
      </w:r>
      <w:r>
        <w:rPr>
          <w:rStyle w:val="Lienhypertexte"/>
          <w:color w:val="auto"/>
        </w:rPr>
        <w:tab/>
      </w:r>
      <w:hyperlink r:id="rId2" w:history="1">
        <w:r w:rsidRPr="008D791E">
          <w:rPr>
            <w:rStyle w:val="Lienhypertexte"/>
            <w:color w:val="auto"/>
          </w:rPr>
          <w:t>http://data.legilux.public.lu/eli/etat/leg/loi/2018/07/20/a626/jo</w:t>
        </w:r>
      </w:hyperlink>
      <w:r>
        <w:rPr>
          <w:rStyle w:val="Lienhypertexte"/>
          <w:color w:val="auto"/>
        </w:rPr>
        <w:t>.</w:t>
      </w:r>
      <w:r w:rsidRPr="008D791E">
        <w:t xml:space="preserve"> </w:t>
      </w:r>
    </w:p>
  </w:footnote>
  <w:footnote w:id="5">
    <w:p w:rsidR="00CD494A" w:rsidRPr="00370DE7" w:rsidRDefault="00CD494A" w:rsidP="00370DE7">
      <w:pPr>
        <w:pStyle w:val="Notedebasdepage"/>
      </w:pPr>
      <w:r>
        <w:rPr>
          <w:rStyle w:val="Lienhypertexte"/>
          <w:color w:val="auto"/>
        </w:rPr>
        <w:tab/>
      </w:r>
      <w:r w:rsidRPr="005F2FA1">
        <w:rPr>
          <w:rStyle w:val="Appelnotedebasdep"/>
        </w:rPr>
        <w:footnoteRef/>
      </w:r>
      <w:r>
        <w:rPr>
          <w:rStyle w:val="Lienhypertexte"/>
          <w:color w:val="auto"/>
        </w:rPr>
        <w:tab/>
      </w:r>
      <w:hyperlink r:id="rId3" w:history="1">
        <w:r w:rsidRPr="00370DE7">
          <w:rPr>
            <w:rStyle w:val="Lienhypertexte"/>
            <w:color w:val="auto"/>
          </w:rPr>
          <w:t>http://data.legilux.public.lu/eli/etat/leg/loi/1992/08/10/n3/jo</w:t>
        </w:r>
      </w:hyperlink>
      <w:r>
        <w:t>.</w:t>
      </w:r>
    </w:p>
  </w:footnote>
  <w:footnote w:id="6">
    <w:p w:rsidR="00CD494A" w:rsidRPr="00370DE7" w:rsidRDefault="00CD494A" w:rsidP="00370DE7">
      <w:pPr>
        <w:pStyle w:val="Notedebasdepage"/>
      </w:pPr>
      <w:r>
        <w:rPr>
          <w:rStyle w:val="Lienhypertexte"/>
          <w:color w:val="auto"/>
        </w:rPr>
        <w:tab/>
      </w:r>
      <w:r w:rsidRPr="005F2FA1">
        <w:rPr>
          <w:rStyle w:val="Appelnotedebasdep"/>
        </w:rPr>
        <w:footnoteRef/>
      </w:r>
      <w:r>
        <w:rPr>
          <w:rStyle w:val="Lienhypertexte"/>
          <w:color w:val="auto"/>
        </w:rPr>
        <w:tab/>
      </w:r>
      <w:hyperlink r:id="rId4" w:history="1">
        <w:r w:rsidRPr="00370DE7">
          <w:rPr>
            <w:rStyle w:val="Lienhypertexte"/>
            <w:color w:val="auto"/>
          </w:rPr>
          <w:t>http://www.infomann.lu/index.php/infomann-home</w:t>
        </w:r>
      </w:hyperlink>
      <w:r>
        <w:rPr>
          <w:rStyle w:val="Lienhypertexte"/>
          <w:color w:val="auto"/>
        </w:rPr>
        <w:t>.</w:t>
      </w:r>
      <w:r w:rsidRPr="00370DE7">
        <w:t xml:space="preserve"> </w:t>
      </w:r>
    </w:p>
  </w:footnote>
  <w:footnote w:id="7">
    <w:p w:rsidR="00CD494A" w:rsidRPr="00370DE7" w:rsidRDefault="00CD494A" w:rsidP="00370DE7">
      <w:pPr>
        <w:pStyle w:val="Notedebasdepage"/>
      </w:pPr>
      <w:r>
        <w:rPr>
          <w:rStyle w:val="Lienhypertexte"/>
          <w:color w:val="auto"/>
        </w:rPr>
        <w:tab/>
      </w:r>
      <w:r w:rsidRPr="005F2FA1">
        <w:rPr>
          <w:rStyle w:val="Appelnotedebasdep"/>
        </w:rPr>
        <w:footnoteRef/>
      </w:r>
      <w:r>
        <w:rPr>
          <w:rStyle w:val="Lienhypertexte"/>
          <w:color w:val="auto"/>
        </w:rPr>
        <w:tab/>
      </w:r>
      <w:hyperlink r:id="rId5" w:history="1">
        <w:r w:rsidRPr="00370DE7">
          <w:rPr>
            <w:rStyle w:val="Lienhypertexte"/>
            <w:color w:val="auto"/>
          </w:rPr>
          <w:t>http://fmpo.lu/services/service-dassistance-aux-victimes-de-la-traite-des-etres-humains/</w:t>
        </w:r>
      </w:hyperlink>
      <w:r>
        <w:rPr>
          <w:rStyle w:val="Lienhypertexte"/>
          <w:color w:val="auto"/>
        </w:rPr>
        <w:t>.</w:t>
      </w:r>
      <w:r w:rsidRPr="00370DE7">
        <w:t xml:space="preserve"> </w:t>
      </w:r>
    </w:p>
  </w:footnote>
  <w:footnote w:id="8">
    <w:p w:rsidR="00CD494A" w:rsidRPr="00370DE7" w:rsidRDefault="00CD494A" w:rsidP="00370DE7">
      <w:pPr>
        <w:pStyle w:val="Notedebasdepage"/>
      </w:pPr>
      <w:r>
        <w:rPr>
          <w:rStyle w:val="Lienhypertexte"/>
          <w:color w:val="auto"/>
        </w:rPr>
        <w:tab/>
      </w:r>
      <w:r w:rsidRPr="005F2FA1">
        <w:rPr>
          <w:rStyle w:val="Appelnotedebasdep"/>
        </w:rPr>
        <w:footnoteRef/>
      </w:r>
      <w:r>
        <w:rPr>
          <w:rStyle w:val="Lienhypertexte"/>
          <w:color w:val="auto"/>
        </w:rPr>
        <w:tab/>
      </w:r>
      <w:hyperlink r:id="rId6" w:history="1">
        <w:r w:rsidRPr="00370DE7">
          <w:rPr>
            <w:rStyle w:val="Lienhypertexte"/>
            <w:color w:val="auto"/>
          </w:rPr>
          <w:t>https://fed.lu/wp/services/savteh/</w:t>
        </w:r>
      </w:hyperlink>
      <w:r>
        <w:rPr>
          <w:rStyle w:val="Lienhypertexte"/>
          <w:color w:val="auto"/>
        </w:rPr>
        <w:t>.</w:t>
      </w:r>
      <w:r w:rsidRPr="00370DE7">
        <w:t xml:space="preserve"> </w:t>
      </w:r>
    </w:p>
  </w:footnote>
  <w:footnote w:id="9">
    <w:p w:rsidR="00CD494A" w:rsidRPr="00170014" w:rsidRDefault="00CD494A" w:rsidP="00170EA7">
      <w:pPr>
        <w:pStyle w:val="Notedebasdepage"/>
        <w:rPr>
          <w:rStyle w:val="Lienhypertexte"/>
        </w:rPr>
      </w:pPr>
      <w:r>
        <w:tab/>
      </w:r>
      <w:r w:rsidRPr="005F2FA1">
        <w:rPr>
          <w:rStyle w:val="Appelnotedebasdep"/>
        </w:rPr>
        <w:footnoteRef/>
      </w:r>
      <w:r>
        <w:tab/>
      </w:r>
      <w:hyperlink r:id="rId7" w:history="1">
        <w:r w:rsidRPr="00170014">
          <w:rPr>
            <w:rStyle w:val="Lienhypertexte"/>
          </w:rPr>
          <w:t>http://mj.public.lu/services_citoyens/stop_traite/Plan_action_national_traite.pdf</w:t>
        </w:r>
      </w:hyperlink>
      <w:r>
        <w:rPr>
          <w:rStyle w:val="Lienhypertexte"/>
        </w:rPr>
        <w:t>.</w:t>
      </w:r>
      <w:r w:rsidRPr="00170014">
        <w:rPr>
          <w:rStyle w:val="Lienhypertexte"/>
        </w:rPr>
        <w:t xml:space="preserve"> </w:t>
      </w:r>
    </w:p>
  </w:footnote>
  <w:footnote w:id="10">
    <w:p w:rsidR="00CD494A" w:rsidRPr="00E74C4D" w:rsidRDefault="00CD494A" w:rsidP="00E74C4D">
      <w:pPr>
        <w:pStyle w:val="Notedebasdepage"/>
        <w:rPr>
          <w:rStyle w:val="Lienhypertexte"/>
          <w:lang w:val="fr-FR"/>
        </w:rPr>
      </w:pPr>
      <w:r>
        <w:rPr>
          <w:rStyle w:val="Lienhypertexte"/>
          <w:lang w:val="fr-FR"/>
        </w:rPr>
        <w:tab/>
      </w:r>
      <w:r w:rsidRPr="005F2FA1">
        <w:rPr>
          <w:rStyle w:val="Appelnotedebasdep"/>
        </w:rPr>
        <w:footnoteRef/>
      </w:r>
      <w:r>
        <w:rPr>
          <w:rStyle w:val="Lienhypertexte"/>
          <w:lang w:val="fr-FR"/>
        </w:rPr>
        <w:tab/>
      </w:r>
      <w:hyperlink r:id="rId8" w:history="1">
        <w:r w:rsidRPr="00E74C4D">
          <w:rPr>
            <w:rStyle w:val="Lienhypertexte"/>
            <w:lang w:val="fr-FR"/>
          </w:rPr>
          <w:t>http://data.legilux.public.lu/eli/etat/leg/loi/2009/05/08/n1/jo</w:t>
        </w:r>
      </w:hyperlink>
      <w:r>
        <w:rPr>
          <w:rStyle w:val="Lienhypertexte"/>
          <w:lang w:val="fr-FR"/>
        </w:rPr>
        <w:t>.</w:t>
      </w:r>
      <w:r w:rsidRPr="00E74C4D">
        <w:rPr>
          <w:rStyle w:val="Lienhypertexte"/>
          <w:lang w:val="fr-FR"/>
        </w:rPr>
        <w:t xml:space="preserve"> </w:t>
      </w:r>
    </w:p>
  </w:footnote>
  <w:footnote w:id="11">
    <w:p w:rsidR="00CD494A" w:rsidRPr="007D5F9D" w:rsidRDefault="00CD494A" w:rsidP="00E74C4D">
      <w:pPr>
        <w:pStyle w:val="Notedebasdepage"/>
      </w:pPr>
      <w:r>
        <w:rPr>
          <w:rStyle w:val="Lienhypertexte"/>
          <w:lang w:val="fr-FR"/>
        </w:rPr>
        <w:tab/>
      </w:r>
      <w:r w:rsidRPr="005F2FA1">
        <w:rPr>
          <w:rStyle w:val="Appelnotedebasdep"/>
        </w:rPr>
        <w:footnoteRef/>
      </w:r>
      <w:r>
        <w:rPr>
          <w:rStyle w:val="Lienhypertexte"/>
          <w:lang w:val="fr-FR"/>
        </w:rPr>
        <w:tab/>
      </w:r>
      <w:hyperlink r:id="rId9" w:history="1">
        <w:r w:rsidRPr="00E74C4D">
          <w:rPr>
            <w:rStyle w:val="Lienhypertexte"/>
            <w:lang w:val="fr-FR"/>
          </w:rPr>
          <w:t>https://www.stoptraite.lu</w:t>
        </w:r>
      </w:hyperlink>
      <w:r>
        <w:rPr>
          <w:rStyle w:val="Lienhypertexte"/>
          <w:lang w:val="fr-FR"/>
        </w:rPr>
        <w:t>.</w:t>
      </w:r>
      <w:r>
        <w:t xml:space="preserve"> </w:t>
      </w:r>
    </w:p>
  </w:footnote>
  <w:footnote w:id="12">
    <w:p w:rsidR="00CD494A" w:rsidRPr="00D27DA6" w:rsidRDefault="00CD494A" w:rsidP="00674E9C">
      <w:pPr>
        <w:pStyle w:val="Notedebasdepage"/>
      </w:pPr>
      <w:r>
        <w:tab/>
      </w:r>
      <w:r w:rsidRPr="005F2FA1">
        <w:rPr>
          <w:rStyle w:val="Appelnotedebasdep"/>
        </w:rPr>
        <w:footnoteRef/>
      </w:r>
      <w:r>
        <w:tab/>
      </w:r>
      <w:hyperlink r:id="rId10" w:history="1">
        <w:r w:rsidRPr="00241F25">
          <w:rPr>
            <w:rStyle w:val="Lienhypertexte"/>
          </w:rPr>
          <w:t>http://data.legilux.public.lu/eli/etat/leg/loi/2014/04/09/n1/jo</w:t>
        </w:r>
      </w:hyperlink>
      <w:r>
        <w:rPr>
          <w:rStyle w:val="Lienhypertexte"/>
        </w:rPr>
        <w:t>.</w:t>
      </w:r>
      <w:r w:rsidRPr="00D27DA6">
        <w:t xml:space="preserve"> </w:t>
      </w:r>
    </w:p>
  </w:footnote>
  <w:footnote w:id="13">
    <w:p w:rsidR="00CD494A" w:rsidRPr="001F34B0" w:rsidRDefault="00CD494A" w:rsidP="00674E9C">
      <w:pPr>
        <w:pStyle w:val="Notedebasdepage"/>
        <w:rPr>
          <w:lang w:val="fr-FR"/>
        </w:rPr>
      </w:pPr>
      <w:r>
        <w:rPr>
          <w:rStyle w:val="Lienhypertexte"/>
          <w:lang w:val="fr-FR"/>
        </w:rPr>
        <w:tab/>
      </w:r>
      <w:r w:rsidRPr="005F2FA1">
        <w:rPr>
          <w:rStyle w:val="Appelnotedebasdep"/>
        </w:rPr>
        <w:footnoteRef/>
      </w:r>
      <w:r>
        <w:rPr>
          <w:rStyle w:val="Lienhypertexte"/>
          <w:lang w:val="fr-FR"/>
        </w:rPr>
        <w:tab/>
      </w:r>
      <w:hyperlink r:id="rId11" w:history="1">
        <w:r w:rsidRPr="001F34B0">
          <w:rPr>
            <w:rStyle w:val="Lienhypertexte"/>
            <w:lang w:val="fr-FR"/>
          </w:rPr>
          <w:t>http://celpl.lu/uploads/RV/RV16.zip</w:t>
        </w:r>
      </w:hyperlink>
      <w:r w:rsidRPr="001F34B0">
        <w:rPr>
          <w:lang w:val="fr-FR"/>
        </w:rPr>
        <w:t xml:space="preserve"> - la situation en question est documentée aux pp.</w:t>
      </w:r>
      <w:r w:rsidR="00A575FA">
        <w:rPr>
          <w:lang w:val="fr-FR"/>
        </w:rPr>
        <w:t> </w:t>
      </w:r>
      <w:r w:rsidRPr="001F34B0">
        <w:rPr>
          <w:lang w:val="fr-FR"/>
        </w:rPr>
        <w:t>21-26 du</w:t>
      </w:r>
      <w:r w:rsidR="00A575FA">
        <w:rPr>
          <w:lang w:val="fr-FR"/>
        </w:rPr>
        <w:t> </w:t>
      </w:r>
      <w:r w:rsidRPr="001F34B0">
        <w:rPr>
          <w:lang w:val="fr-FR"/>
        </w:rPr>
        <w:t>rapport</w:t>
      </w:r>
      <w:r>
        <w:rPr>
          <w:lang w:val="fr-FR"/>
        </w:rPr>
        <w:t>.</w:t>
      </w:r>
    </w:p>
  </w:footnote>
  <w:footnote w:id="14">
    <w:p w:rsidR="00CD494A" w:rsidRPr="001F34B0" w:rsidRDefault="00CD494A" w:rsidP="00674E9C">
      <w:pPr>
        <w:pStyle w:val="Notedebasdepage"/>
        <w:rPr>
          <w:lang w:val="fr-FR"/>
        </w:rPr>
      </w:pPr>
      <w:r>
        <w:rPr>
          <w:lang w:val="fr-FR"/>
        </w:rPr>
        <w:tab/>
      </w:r>
      <w:r w:rsidRPr="005F2FA1">
        <w:rPr>
          <w:rStyle w:val="Appelnotedebasdep"/>
        </w:rPr>
        <w:footnoteRef/>
      </w:r>
      <w:r>
        <w:rPr>
          <w:lang w:val="fr-FR"/>
        </w:rPr>
        <w:tab/>
      </w:r>
      <w:r w:rsidRPr="001F34B0">
        <w:rPr>
          <w:lang w:val="fr-FR"/>
        </w:rPr>
        <w:t>Règles des Nations Unies concernant le traitement des détenues et l'imposition de mesures non privatives de liberté aux</w:t>
      </w:r>
      <w:r>
        <w:rPr>
          <w:lang w:val="fr-FR"/>
        </w:rPr>
        <w:t xml:space="preserve"> </w:t>
      </w:r>
      <w:r w:rsidRPr="001F34B0">
        <w:rPr>
          <w:lang w:val="fr-FR"/>
        </w:rPr>
        <w:t>délinquantes (</w:t>
      </w:r>
      <w:hyperlink r:id="rId12" w:history="1">
        <w:r w:rsidRPr="001F34B0">
          <w:rPr>
            <w:rStyle w:val="Lienhypertexte"/>
            <w:lang w:val="fr-FR"/>
          </w:rPr>
          <w:t>A/RES/65/229</w:t>
        </w:r>
      </w:hyperlink>
      <w:r w:rsidRPr="001F34B0">
        <w:rPr>
          <w:lang w:val="fr-FR"/>
        </w:rPr>
        <w:t>)</w:t>
      </w:r>
      <w:r>
        <w:rPr>
          <w:lang w:val="fr-FR"/>
        </w:rPr>
        <w:t>.</w:t>
      </w:r>
    </w:p>
  </w:footnote>
  <w:footnote w:id="15">
    <w:p w:rsidR="00CD494A" w:rsidRPr="001F34B0" w:rsidRDefault="00CD494A" w:rsidP="00674E9C">
      <w:pPr>
        <w:pStyle w:val="Notedebasdepage"/>
        <w:rPr>
          <w:lang w:val="fr-FR"/>
        </w:rPr>
      </w:pPr>
      <w:r>
        <w:rPr>
          <w:rStyle w:val="Lienhypertexte"/>
          <w:lang w:val="fr-FR"/>
        </w:rPr>
        <w:tab/>
      </w:r>
      <w:r w:rsidRPr="005F2FA1">
        <w:rPr>
          <w:rStyle w:val="Appelnotedebasdep"/>
        </w:rPr>
        <w:footnoteRef/>
      </w:r>
      <w:r>
        <w:rPr>
          <w:rStyle w:val="Lienhypertexte"/>
          <w:lang w:val="fr-FR"/>
        </w:rPr>
        <w:tab/>
      </w:r>
      <w:hyperlink r:id="rId13" w:history="1">
        <w:r w:rsidRPr="001F34B0">
          <w:rPr>
            <w:rStyle w:val="Lienhypertexte"/>
            <w:lang w:val="fr-FR"/>
          </w:rPr>
          <w:t>http://data.legilux.public.lu/eli/etat/leg/loi/2015/12/18/n16/jo</w:t>
        </w:r>
      </w:hyperlink>
      <w:r>
        <w:rPr>
          <w:rStyle w:val="Lienhypertexte"/>
          <w:lang w:val="fr-FR"/>
        </w:rPr>
        <w:t>.</w:t>
      </w:r>
      <w:r w:rsidRPr="001F34B0">
        <w:rPr>
          <w:lang w:val="fr-FR"/>
        </w:rPr>
        <w:t xml:space="preserve"> </w:t>
      </w:r>
    </w:p>
  </w:footnote>
  <w:footnote w:id="16">
    <w:p w:rsidR="00CD494A" w:rsidRPr="00942E34" w:rsidRDefault="00CD494A" w:rsidP="00674E9C">
      <w:pPr>
        <w:pStyle w:val="Notedebasdepage"/>
        <w:rPr>
          <w:rStyle w:val="Lienhypertexte"/>
        </w:rPr>
      </w:pPr>
      <w:r>
        <w:rPr>
          <w:rStyle w:val="Lienhypertexte"/>
          <w:lang w:val="fr-FR"/>
        </w:rPr>
        <w:tab/>
      </w:r>
      <w:r w:rsidRPr="005F2FA1">
        <w:rPr>
          <w:rStyle w:val="Appelnotedebasdep"/>
        </w:rPr>
        <w:footnoteRef/>
      </w:r>
      <w:r>
        <w:rPr>
          <w:rStyle w:val="Lienhypertexte"/>
          <w:lang w:val="fr-FR"/>
        </w:rPr>
        <w:tab/>
      </w:r>
      <w:hyperlink r:id="rId14" w:history="1">
        <w:r w:rsidRPr="00942E34">
          <w:rPr>
            <w:rStyle w:val="Lienhypertexte"/>
          </w:rPr>
          <w:t>http://data.legilux.public.lu/eli/etat/leg/loi/2009/05/28/n1/jo</w:t>
        </w:r>
      </w:hyperlink>
      <w:r>
        <w:rPr>
          <w:rStyle w:val="Lienhypertexte"/>
        </w:rPr>
        <w:t>.</w:t>
      </w:r>
      <w:r w:rsidRPr="00942E34">
        <w:rPr>
          <w:rStyle w:val="Lienhypertexte"/>
        </w:rPr>
        <w:t xml:space="preserve"> </w:t>
      </w:r>
    </w:p>
  </w:footnote>
  <w:footnote w:id="17">
    <w:p w:rsidR="00CD494A" w:rsidRPr="00280129" w:rsidRDefault="00CD494A" w:rsidP="00674E9C">
      <w:pPr>
        <w:pStyle w:val="Notedebasdepage"/>
        <w:rPr>
          <w:lang w:val="fr-FR"/>
        </w:rPr>
      </w:pPr>
      <w:r>
        <w:rPr>
          <w:rStyle w:val="Lienhypertexte"/>
          <w:lang w:val="fr-FR"/>
        </w:rPr>
        <w:tab/>
      </w:r>
      <w:r w:rsidRPr="005F2FA1">
        <w:rPr>
          <w:rStyle w:val="Appelnotedebasdep"/>
        </w:rPr>
        <w:footnoteRef/>
      </w:r>
      <w:r>
        <w:rPr>
          <w:rStyle w:val="Lienhypertexte"/>
          <w:lang w:val="fr-FR"/>
        </w:rPr>
        <w:tab/>
      </w:r>
      <w:hyperlink r:id="rId15" w:history="1">
        <w:r w:rsidRPr="00280129">
          <w:rPr>
            <w:rStyle w:val="Lienhypertexte"/>
            <w:lang w:val="fr-FR"/>
          </w:rPr>
          <w:t>http://data.legilux.public.lu/eli/etat/leg/loi/2018/07/20/a626/jo</w:t>
        </w:r>
      </w:hyperlink>
      <w:r>
        <w:rPr>
          <w:rStyle w:val="Lienhypertexte"/>
          <w:lang w:val="fr-FR"/>
        </w:rPr>
        <w:t>.</w:t>
      </w:r>
      <w:r w:rsidRPr="00280129">
        <w:rPr>
          <w:lang w:val="fr-FR"/>
        </w:rPr>
        <w:t xml:space="preserve"> </w:t>
      </w:r>
    </w:p>
  </w:footnote>
  <w:footnote w:id="18">
    <w:p w:rsidR="00CD494A" w:rsidRPr="00D27DA6" w:rsidRDefault="00CD494A" w:rsidP="00674E9C">
      <w:pPr>
        <w:pStyle w:val="Notedebasdepage"/>
        <w:rPr>
          <w:lang w:val="fr-FR"/>
        </w:rPr>
      </w:pPr>
      <w:r>
        <w:tab/>
      </w:r>
      <w:r w:rsidRPr="005F2FA1">
        <w:rPr>
          <w:rStyle w:val="Appelnotedebasdep"/>
        </w:rPr>
        <w:footnoteRef/>
      </w:r>
      <w:r w:rsidRPr="008A2EDB">
        <w:rPr>
          <w:rStyle w:val="Lienhypertexte"/>
        </w:rPr>
        <w:tab/>
      </w:r>
      <w:hyperlink w:history="1"/>
      <w:hyperlink r:id="rId16" w:history="1">
        <w:r w:rsidRPr="008A2EDB">
          <w:rPr>
            <w:rStyle w:val="Lienhypertexte"/>
          </w:rPr>
          <w:t>http://data.legilux.public.lu/eli/etat/leg/tc/2013/07/03/n2/jo</w:t>
        </w:r>
      </w:hyperlink>
      <w:r>
        <w:rPr>
          <w:rStyle w:val="Lienhypertexte"/>
        </w:rPr>
        <w:t>.</w:t>
      </w:r>
      <w:r>
        <w:rPr>
          <w:lang w:val="fr-FR"/>
        </w:rPr>
        <w:t xml:space="preserve"> </w:t>
      </w:r>
    </w:p>
  </w:footnote>
  <w:footnote w:id="19">
    <w:p w:rsidR="00CD494A" w:rsidRPr="00D27DA6" w:rsidRDefault="00CD494A" w:rsidP="00674E9C">
      <w:pPr>
        <w:pStyle w:val="Notedebasdepage"/>
        <w:rPr>
          <w:lang w:val="fr-FR"/>
        </w:rPr>
      </w:pPr>
      <w:r>
        <w:rPr>
          <w:rStyle w:val="Lienhypertexte"/>
          <w:lang w:val="fr-FR"/>
        </w:rPr>
        <w:tab/>
      </w:r>
      <w:r w:rsidRPr="005F2FA1">
        <w:rPr>
          <w:rStyle w:val="Appelnotedebasdep"/>
        </w:rPr>
        <w:footnoteRef/>
      </w:r>
      <w:r>
        <w:rPr>
          <w:rStyle w:val="Lienhypertexte"/>
          <w:lang w:val="fr-FR"/>
        </w:rPr>
        <w:tab/>
      </w:r>
      <w:hyperlink r:id="rId17" w:history="1">
        <w:r w:rsidRPr="00D27DA6">
          <w:rPr>
            <w:rStyle w:val="Lienhypertexte"/>
            <w:lang w:val="fr-FR"/>
          </w:rPr>
          <w:t>http://data.legilux.public.lu/eli/etat/leg/tc/2013/07/03/n1/jo</w:t>
        </w:r>
      </w:hyperlink>
      <w:r>
        <w:rPr>
          <w:rStyle w:val="Lienhypertexte"/>
          <w:lang w:val="fr-FR"/>
        </w:rPr>
        <w:t>.</w:t>
      </w:r>
      <w:r w:rsidRPr="00D27DA6">
        <w:rPr>
          <w:lang w:val="fr-FR"/>
        </w:rPr>
        <w:t xml:space="preserve"> </w:t>
      </w:r>
    </w:p>
  </w:footnote>
  <w:footnote w:id="20">
    <w:p w:rsidR="00CD494A" w:rsidRPr="00D27DA6" w:rsidRDefault="00CD494A" w:rsidP="00674E9C">
      <w:pPr>
        <w:pStyle w:val="Notedebasdepage"/>
        <w:rPr>
          <w:lang w:val="fr-FR"/>
        </w:rPr>
      </w:pPr>
      <w:r>
        <w:rPr>
          <w:rStyle w:val="Lienhypertexte"/>
          <w:lang w:val="fr-FR"/>
        </w:rPr>
        <w:tab/>
      </w:r>
      <w:r w:rsidRPr="005F2FA1">
        <w:rPr>
          <w:rStyle w:val="Appelnotedebasdep"/>
        </w:rPr>
        <w:footnoteRef/>
      </w:r>
      <w:r>
        <w:rPr>
          <w:rStyle w:val="Lienhypertexte"/>
          <w:lang w:val="fr-FR"/>
        </w:rPr>
        <w:tab/>
      </w:r>
      <w:hyperlink r:id="rId18" w:history="1">
        <w:r w:rsidRPr="00D27DA6">
          <w:rPr>
            <w:rStyle w:val="Lienhypertexte"/>
            <w:lang w:val="fr-FR"/>
          </w:rPr>
          <w:t>http://data.legilux.public.lu/eli/etat/leg/loi/2015/12/18/n15/jo</w:t>
        </w:r>
      </w:hyperlink>
      <w:r>
        <w:rPr>
          <w:rStyle w:val="Lienhypertexte"/>
          <w:lang w:val="fr-FR"/>
        </w:rPr>
        <w:t>.</w:t>
      </w:r>
      <w:r w:rsidRPr="00D27DA6">
        <w:rPr>
          <w:lang w:val="fr-FR"/>
        </w:rPr>
        <w:t xml:space="preserve"> </w:t>
      </w:r>
    </w:p>
  </w:footnote>
  <w:footnote w:id="21">
    <w:p w:rsidR="00CD494A" w:rsidRPr="00F8425C" w:rsidRDefault="00CD494A" w:rsidP="00674E9C">
      <w:pPr>
        <w:pStyle w:val="Notedebasdepage"/>
        <w:rPr>
          <w:rStyle w:val="Lienhypertexte"/>
        </w:rPr>
      </w:pPr>
      <w:r>
        <w:rPr>
          <w:lang w:val="fr-FR"/>
        </w:rPr>
        <w:tab/>
      </w:r>
      <w:r w:rsidRPr="005F2FA1">
        <w:rPr>
          <w:rStyle w:val="Appelnotedebasdep"/>
        </w:rPr>
        <w:footnoteRef/>
      </w:r>
      <w:r>
        <w:rPr>
          <w:lang w:val="fr-FR"/>
        </w:rPr>
        <w:tab/>
      </w:r>
      <w:r w:rsidRPr="00F8425C">
        <w:rPr>
          <w:rStyle w:val="Lienhypertexte"/>
        </w:rPr>
        <w:t>http://data.legilux.public.lu/eli/etat/leg/loi/2018/07/18/a623/jo</w:t>
      </w:r>
      <w:r>
        <w:rPr>
          <w:rStyle w:val="Lienhypertext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94A" w:rsidRDefault="00BF7869">
    <w:pPr>
      <w:pStyle w:val="En-tte"/>
    </w:pPr>
    <w:r>
      <w:fldChar w:fldCharType="begin"/>
    </w:r>
    <w:r>
      <w:instrText xml:space="preserve"> DOCPROPERTY  symh  \* MERGEFORMAT </w:instrText>
    </w:r>
    <w:r>
      <w:fldChar w:fldCharType="separate"/>
    </w:r>
    <w:r w:rsidR="000C376E">
      <w:t>CAT/C/LUX/8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94A" w:rsidRDefault="00BF7869">
    <w:pPr>
      <w:pStyle w:val="En-tte"/>
      <w:jc w:val="right"/>
    </w:pPr>
    <w:r>
      <w:fldChar w:fldCharType="begin"/>
    </w:r>
    <w:r>
      <w:instrText xml:space="preserve"> DOCPROPERTY  symh  \* MERGEFORMAT </w:instrText>
    </w:r>
    <w:r>
      <w:fldChar w:fldCharType="separate"/>
    </w:r>
    <w:r w:rsidR="000C376E">
      <w:t>CAT/C/LUX/8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17DE0"/>
    <w:multiLevelType w:val="hybridMultilevel"/>
    <w:tmpl w:val="4BB4A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8172E0"/>
    <w:multiLevelType w:val="hybridMultilevel"/>
    <w:tmpl w:val="93664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4945A3"/>
    <w:multiLevelType w:val="hybridMultilevel"/>
    <w:tmpl w:val="99D88DCE"/>
    <w:lvl w:ilvl="0" w:tplc="47F4DFD0">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A6621A5"/>
    <w:multiLevelType w:val="hybridMultilevel"/>
    <w:tmpl w:val="EC38E40C"/>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0B5729FC"/>
    <w:multiLevelType w:val="hybridMultilevel"/>
    <w:tmpl w:val="7580218E"/>
    <w:lvl w:ilvl="0" w:tplc="83F4C7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0D954887"/>
    <w:multiLevelType w:val="hybridMultilevel"/>
    <w:tmpl w:val="12F6C24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E102824"/>
    <w:multiLevelType w:val="hybridMultilevel"/>
    <w:tmpl w:val="259298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F81462C"/>
    <w:multiLevelType w:val="hybridMultilevel"/>
    <w:tmpl w:val="50902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8AD293A"/>
    <w:multiLevelType w:val="hybridMultilevel"/>
    <w:tmpl w:val="C26C39AA"/>
    <w:lvl w:ilvl="0" w:tplc="47F4DFD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35358"/>
    <w:multiLevelType w:val="hybridMultilevel"/>
    <w:tmpl w:val="B62651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348F00E7"/>
    <w:multiLevelType w:val="hybridMultilevel"/>
    <w:tmpl w:val="3E28F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93626"/>
    <w:multiLevelType w:val="hybridMultilevel"/>
    <w:tmpl w:val="6AE439E8"/>
    <w:lvl w:ilvl="0" w:tplc="E088578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ACF4EB2"/>
    <w:multiLevelType w:val="hybridMultilevel"/>
    <w:tmpl w:val="3662999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7F41B8E"/>
    <w:multiLevelType w:val="hybridMultilevel"/>
    <w:tmpl w:val="B1F6DFE6"/>
    <w:lvl w:ilvl="0" w:tplc="06BCAF5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A7D6857"/>
    <w:multiLevelType w:val="hybridMultilevel"/>
    <w:tmpl w:val="53E84452"/>
    <w:lvl w:ilvl="0" w:tplc="47F4DFD0">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52640A"/>
    <w:multiLevelType w:val="hybridMultilevel"/>
    <w:tmpl w:val="527E1DC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F905123"/>
    <w:multiLevelType w:val="hybridMultilevel"/>
    <w:tmpl w:val="A04E7F88"/>
    <w:lvl w:ilvl="0" w:tplc="640228B2">
      <w:start w:val="1"/>
      <w:numFmt w:val="decimal"/>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1B06DE3"/>
    <w:multiLevelType w:val="hybridMultilevel"/>
    <w:tmpl w:val="DFBCD5B6"/>
    <w:lvl w:ilvl="0" w:tplc="47F4DFD0">
      <w:start w:val="3"/>
      <w:numFmt w:val="bullet"/>
      <w:lvlText w:val="-"/>
      <w:lvlJc w:val="left"/>
      <w:pPr>
        <w:ind w:left="765" w:hanging="360"/>
      </w:pPr>
      <w:rPr>
        <w:rFonts w:ascii="Calibri" w:eastAsiaTheme="minorHAnsi" w:hAnsi="Calibri" w:cs="Calibri"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28" w15:restartNumberingAfterBreak="0">
    <w:nsid w:val="61BF2B7C"/>
    <w:multiLevelType w:val="hybridMultilevel"/>
    <w:tmpl w:val="F3A6B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68F3627"/>
    <w:multiLevelType w:val="hybridMultilevel"/>
    <w:tmpl w:val="59348194"/>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30" w15:restartNumberingAfterBreak="0">
    <w:nsid w:val="66AC1CCF"/>
    <w:multiLevelType w:val="hybridMultilevel"/>
    <w:tmpl w:val="8B7ECB38"/>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8607E3D"/>
    <w:multiLevelType w:val="hybridMultilevel"/>
    <w:tmpl w:val="D994B250"/>
    <w:lvl w:ilvl="0" w:tplc="40B4CCE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D07B2"/>
    <w:multiLevelType w:val="hybridMultilevel"/>
    <w:tmpl w:val="5D1450C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626716D"/>
    <w:multiLevelType w:val="hybridMultilevel"/>
    <w:tmpl w:val="409C2162"/>
    <w:lvl w:ilvl="0" w:tplc="47F4DFD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AB452E"/>
    <w:multiLevelType w:val="hybridMultilevel"/>
    <w:tmpl w:val="9542B3A4"/>
    <w:lvl w:ilvl="0" w:tplc="47F4DFD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840BE"/>
    <w:multiLevelType w:val="hybridMultilevel"/>
    <w:tmpl w:val="D77E7AEC"/>
    <w:lvl w:ilvl="0" w:tplc="6284E24E">
      <w:start w:val="26"/>
      <w:numFmt w:val="bullet"/>
      <w:lvlText w:val="-"/>
      <w:lvlJc w:val="left"/>
      <w:pPr>
        <w:ind w:left="360" w:hanging="360"/>
      </w:pPr>
      <w:rPr>
        <w:rFonts w:ascii="Times New Roman" w:eastAsia="Times New Roman" w:hAnsi="Times New Roman" w:cs="Times New Roma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36" w15:restartNumberingAfterBreak="0">
    <w:nsid w:val="7B803860"/>
    <w:multiLevelType w:val="hybridMultilevel"/>
    <w:tmpl w:val="F522D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2"/>
  </w:num>
  <w:num w:numId="15">
    <w:abstractNumId w:val="22"/>
  </w:num>
  <w:num w:numId="16">
    <w:abstractNumId w:val="15"/>
  </w:num>
  <w:num w:numId="17">
    <w:abstractNumId w:val="18"/>
  </w:num>
  <w:num w:numId="18">
    <w:abstractNumId w:val="20"/>
  </w:num>
  <w:num w:numId="19">
    <w:abstractNumId w:val="31"/>
  </w:num>
  <w:num w:numId="20">
    <w:abstractNumId w:val="16"/>
  </w:num>
  <w:num w:numId="21">
    <w:abstractNumId w:val="10"/>
  </w:num>
  <w:num w:numId="22">
    <w:abstractNumId w:val="17"/>
  </w:num>
  <w:num w:numId="23">
    <w:abstractNumId w:val="28"/>
  </w:num>
  <w:num w:numId="24">
    <w:abstractNumId w:val="29"/>
  </w:num>
  <w:num w:numId="25">
    <w:abstractNumId w:val="35"/>
  </w:num>
  <w:num w:numId="26">
    <w:abstractNumId w:val="11"/>
  </w:num>
  <w:num w:numId="27">
    <w:abstractNumId w:val="24"/>
  </w:num>
  <w:num w:numId="28">
    <w:abstractNumId w:val="12"/>
  </w:num>
  <w:num w:numId="29">
    <w:abstractNumId w:val="27"/>
  </w:num>
  <w:num w:numId="30">
    <w:abstractNumId w:val="34"/>
  </w:num>
  <w:num w:numId="31">
    <w:abstractNumId w:val="3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3"/>
  </w:num>
  <w:num w:numId="35">
    <w:abstractNumId w:val="25"/>
  </w:num>
  <w:num w:numId="36">
    <w:abstractNumId w:val="23"/>
  </w:num>
  <w:num w:numId="37">
    <w:abstractNumId w:val="21"/>
  </w:num>
  <w:num w:numId="38">
    <w:abstractNumId w:val="32"/>
  </w:num>
  <w:num w:numId="39">
    <w:abstractNumId w:val="32"/>
  </w:num>
  <w:num w:numId="40">
    <w:abstractNumId w:val="32"/>
  </w:num>
  <w:num w:numId="41">
    <w:abstractNumId w:val="32"/>
  </w:num>
  <w:num w:numId="42">
    <w:abstractNumId w:val="14"/>
  </w:num>
  <w:num w:numId="43">
    <w:abstractNumId w:val="32"/>
  </w:num>
  <w:num w:numId="44">
    <w:abstractNumId w:val="32"/>
  </w:num>
  <w:num w:numId="45">
    <w:abstractNumId w:val="22"/>
  </w:num>
  <w:num w:numId="46">
    <w:abstractNumId w:val="22"/>
  </w:num>
  <w:num w:numId="47">
    <w:abstractNumId w:val="22"/>
  </w:num>
  <w:num w:numId="48">
    <w:abstractNumId w:val="13"/>
  </w:num>
  <w:num w:numId="49">
    <w:abstractNumId w:val="3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fr-LU" w:vendorID="64" w:dllVersion="6" w:nlCheck="1" w:checkStyle="0"/>
  <w:proofState w:spelling="clean"/>
  <w:defaultTabStop w:val="567"/>
  <w:hyphenationZone w:val="425"/>
  <w:evenAndOddHeaders/>
  <w:characterSpacingControl w:val="doNotCompress"/>
  <w:hdrShapeDefaults>
    <o:shapedefaults v:ext="edit" spidmax="9216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14"/>
    <w:rsid w:val="00004A89"/>
    <w:rsid w:val="00004F68"/>
    <w:rsid w:val="00007847"/>
    <w:rsid w:val="00012DE3"/>
    <w:rsid w:val="00035304"/>
    <w:rsid w:val="000404E8"/>
    <w:rsid w:val="0008671C"/>
    <w:rsid w:val="000A79CD"/>
    <w:rsid w:val="000C376E"/>
    <w:rsid w:val="000F1836"/>
    <w:rsid w:val="001137D0"/>
    <w:rsid w:val="0012253B"/>
    <w:rsid w:val="00125B28"/>
    <w:rsid w:val="00141550"/>
    <w:rsid w:val="00142570"/>
    <w:rsid w:val="00154097"/>
    <w:rsid w:val="00167AA7"/>
    <w:rsid w:val="00170014"/>
    <w:rsid w:val="00170EA7"/>
    <w:rsid w:val="00174031"/>
    <w:rsid w:val="0019671F"/>
    <w:rsid w:val="001A7B42"/>
    <w:rsid w:val="001B21FC"/>
    <w:rsid w:val="001C2A86"/>
    <w:rsid w:val="00210C34"/>
    <w:rsid w:val="00225346"/>
    <w:rsid w:val="00241F25"/>
    <w:rsid w:val="00264B75"/>
    <w:rsid w:val="002733AE"/>
    <w:rsid w:val="00285C30"/>
    <w:rsid w:val="002A6B83"/>
    <w:rsid w:val="002D0055"/>
    <w:rsid w:val="002F13A8"/>
    <w:rsid w:val="00304D46"/>
    <w:rsid w:val="00316226"/>
    <w:rsid w:val="0032378D"/>
    <w:rsid w:val="00326449"/>
    <w:rsid w:val="0034047C"/>
    <w:rsid w:val="00347A10"/>
    <w:rsid w:val="00354E3B"/>
    <w:rsid w:val="00360B24"/>
    <w:rsid w:val="003671F4"/>
    <w:rsid w:val="00370DE7"/>
    <w:rsid w:val="00380BED"/>
    <w:rsid w:val="00390D7F"/>
    <w:rsid w:val="00393A5E"/>
    <w:rsid w:val="003B3944"/>
    <w:rsid w:val="003D1E0E"/>
    <w:rsid w:val="003D5369"/>
    <w:rsid w:val="003D55EC"/>
    <w:rsid w:val="004335EA"/>
    <w:rsid w:val="00445732"/>
    <w:rsid w:val="00472AF5"/>
    <w:rsid w:val="004838A3"/>
    <w:rsid w:val="00492DF8"/>
    <w:rsid w:val="00497D2C"/>
    <w:rsid w:val="004D3B46"/>
    <w:rsid w:val="004F0FBB"/>
    <w:rsid w:val="005130E6"/>
    <w:rsid w:val="00522CD9"/>
    <w:rsid w:val="005530C8"/>
    <w:rsid w:val="005B3589"/>
    <w:rsid w:val="005B7F56"/>
    <w:rsid w:val="005D4507"/>
    <w:rsid w:val="005D6EBA"/>
    <w:rsid w:val="005F2FA1"/>
    <w:rsid w:val="00616E6E"/>
    <w:rsid w:val="00623E7F"/>
    <w:rsid w:val="00640449"/>
    <w:rsid w:val="00657723"/>
    <w:rsid w:val="0066200C"/>
    <w:rsid w:val="00674E9C"/>
    <w:rsid w:val="006763D3"/>
    <w:rsid w:val="006838ED"/>
    <w:rsid w:val="00693A62"/>
    <w:rsid w:val="006A7E5D"/>
    <w:rsid w:val="006B41B7"/>
    <w:rsid w:val="006D00B8"/>
    <w:rsid w:val="006F6BBF"/>
    <w:rsid w:val="00714B07"/>
    <w:rsid w:val="00756838"/>
    <w:rsid w:val="007615EC"/>
    <w:rsid w:val="00762397"/>
    <w:rsid w:val="00767E20"/>
    <w:rsid w:val="007903BB"/>
    <w:rsid w:val="007A13FD"/>
    <w:rsid w:val="007A42A0"/>
    <w:rsid w:val="007B2352"/>
    <w:rsid w:val="007B6760"/>
    <w:rsid w:val="007C3D27"/>
    <w:rsid w:val="007E6D04"/>
    <w:rsid w:val="008145F2"/>
    <w:rsid w:val="00821735"/>
    <w:rsid w:val="008612F3"/>
    <w:rsid w:val="00864EB6"/>
    <w:rsid w:val="00886775"/>
    <w:rsid w:val="008A2EDB"/>
    <w:rsid w:val="008B5C35"/>
    <w:rsid w:val="008C30FA"/>
    <w:rsid w:val="008D21F9"/>
    <w:rsid w:val="008D791E"/>
    <w:rsid w:val="008F43CE"/>
    <w:rsid w:val="008F65E6"/>
    <w:rsid w:val="00910C0B"/>
    <w:rsid w:val="00942E34"/>
    <w:rsid w:val="00966526"/>
    <w:rsid w:val="009776F2"/>
    <w:rsid w:val="009821CD"/>
    <w:rsid w:val="009B6666"/>
    <w:rsid w:val="009B68B4"/>
    <w:rsid w:val="009B705A"/>
    <w:rsid w:val="009C17DE"/>
    <w:rsid w:val="009C39D0"/>
    <w:rsid w:val="009D1145"/>
    <w:rsid w:val="009D2131"/>
    <w:rsid w:val="009E6467"/>
    <w:rsid w:val="009F2395"/>
    <w:rsid w:val="009F6492"/>
    <w:rsid w:val="009F7E25"/>
    <w:rsid w:val="00A06B57"/>
    <w:rsid w:val="00A06FAA"/>
    <w:rsid w:val="00A14562"/>
    <w:rsid w:val="00A15093"/>
    <w:rsid w:val="00A1609B"/>
    <w:rsid w:val="00A2006C"/>
    <w:rsid w:val="00A251FA"/>
    <w:rsid w:val="00A575FA"/>
    <w:rsid w:val="00A61CAB"/>
    <w:rsid w:val="00A76014"/>
    <w:rsid w:val="00A96E2E"/>
    <w:rsid w:val="00AA4763"/>
    <w:rsid w:val="00AB48B5"/>
    <w:rsid w:val="00AB66CD"/>
    <w:rsid w:val="00AD3694"/>
    <w:rsid w:val="00AE2D60"/>
    <w:rsid w:val="00B01876"/>
    <w:rsid w:val="00B04586"/>
    <w:rsid w:val="00B26C60"/>
    <w:rsid w:val="00B3624A"/>
    <w:rsid w:val="00B65306"/>
    <w:rsid w:val="00B665C3"/>
    <w:rsid w:val="00B76B37"/>
    <w:rsid w:val="00BA45BA"/>
    <w:rsid w:val="00BE3C14"/>
    <w:rsid w:val="00C2057B"/>
    <w:rsid w:val="00C24012"/>
    <w:rsid w:val="00C35E40"/>
    <w:rsid w:val="00C466EE"/>
    <w:rsid w:val="00CD494A"/>
    <w:rsid w:val="00CE1F3D"/>
    <w:rsid w:val="00CE5D4D"/>
    <w:rsid w:val="00CF25BC"/>
    <w:rsid w:val="00CF6D6A"/>
    <w:rsid w:val="00D20CB5"/>
    <w:rsid w:val="00D34183"/>
    <w:rsid w:val="00D35338"/>
    <w:rsid w:val="00D56BB0"/>
    <w:rsid w:val="00D84A2C"/>
    <w:rsid w:val="00D93235"/>
    <w:rsid w:val="00DC4445"/>
    <w:rsid w:val="00DC4CAC"/>
    <w:rsid w:val="00DE737B"/>
    <w:rsid w:val="00DF6BF0"/>
    <w:rsid w:val="00DF7DC2"/>
    <w:rsid w:val="00E13B1E"/>
    <w:rsid w:val="00E24F18"/>
    <w:rsid w:val="00E323FA"/>
    <w:rsid w:val="00E35C22"/>
    <w:rsid w:val="00E370CE"/>
    <w:rsid w:val="00E41175"/>
    <w:rsid w:val="00E46AA7"/>
    <w:rsid w:val="00E473E0"/>
    <w:rsid w:val="00E55951"/>
    <w:rsid w:val="00E56733"/>
    <w:rsid w:val="00E67DB1"/>
    <w:rsid w:val="00E74C4D"/>
    <w:rsid w:val="00E82785"/>
    <w:rsid w:val="00E943E7"/>
    <w:rsid w:val="00EB39FF"/>
    <w:rsid w:val="00ED7845"/>
    <w:rsid w:val="00EE0BEB"/>
    <w:rsid w:val="00EE3CE2"/>
    <w:rsid w:val="00F03DCF"/>
    <w:rsid w:val="00F34885"/>
    <w:rsid w:val="00F675F5"/>
    <w:rsid w:val="00F8425C"/>
    <w:rsid w:val="00F97B1E"/>
    <w:rsid w:val="00FB4202"/>
    <w:rsid w:val="00FD7E28"/>
    <w:rsid w:val="00FE20B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14:docId w14:val="70E387E0"/>
  <w15:docId w15:val="{33A15405-6717-4C07-94B6-3B6D9D6B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pPr>
      <w:spacing w:line="240" w:lineRule="auto"/>
    </w:pPr>
    <w:rPr>
      <w:sz w:val="16"/>
    </w:rPr>
  </w:style>
  <w:style w:type="character" w:customStyle="1" w:styleId="PieddepageCar">
    <w:name w:val="Pied de page Car"/>
    <w:aliases w:val="3_G Car"/>
    <w:basedOn w:val="Policepardfaut"/>
    <w:link w:val="Pieddepage"/>
    <w:uiPriority w:val="99"/>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ingleTxtG">
    <w:name w:val="_ Single Txt_G"/>
    <w:basedOn w:val="Normal"/>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clear" w:pos="1701"/>
      </w:tabs>
      <w:spacing w:after="120"/>
      <w:ind w:right="1134"/>
      <w:jc w:val="both"/>
    </w:pPr>
  </w:style>
  <w:style w:type="character" w:styleId="Appelnotedebasdep">
    <w:name w:val="footnote reference"/>
    <w:aliases w:val="4_G"/>
    <w:basedOn w:val="Policepardfaut"/>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uiPriority w:val="3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Pr>
      <w:color w:val="0000FF"/>
      <w:u w:val="none"/>
    </w:rPr>
  </w:style>
  <w:style w:type="character" w:styleId="Lienhypertextesuivivisit">
    <w:name w:val="FollowedHyperlink"/>
    <w:basedOn w:val="Policepardfaut"/>
    <w:uiPriority w:val="99"/>
    <w:unhideWhenUsed/>
    <w:rPr>
      <w:color w:val="0000FF"/>
      <w:u w:val="none"/>
    </w:rPr>
  </w:style>
  <w:style w:type="paragraph" w:styleId="Notedebasdepage">
    <w:name w:val="footnote text"/>
    <w:aliases w:val="5_G"/>
    <w:basedOn w:val="Normal"/>
    <w:link w:val="NotedebasdepageCar"/>
    <w:uiPriority w:val="99"/>
    <w:qFormat/>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uiPriority w:val="9"/>
    <w:rPr>
      <w:rFonts w:ascii="Times New Roman" w:hAnsi="Times New Roman" w:cs="Times New Roman"/>
      <w:sz w:val="20"/>
      <w:szCs w:val="20"/>
    </w:rPr>
  </w:style>
  <w:style w:type="character" w:customStyle="1" w:styleId="Titre2Car">
    <w:name w:val="Titre 2 Car"/>
    <w:basedOn w:val="Policepardfaut"/>
    <w:link w:val="Titre2"/>
    <w:uiPriority w:val="9"/>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paragraph" w:styleId="TM2">
    <w:name w:val="toc 2"/>
    <w:basedOn w:val="Normal"/>
    <w:next w:val="Normal"/>
    <w:autoRedefine/>
    <w:uiPriority w:val="39"/>
    <w:unhideWhenUsed/>
    <w:rsid w:val="00674E9C"/>
    <w:pPr>
      <w:spacing w:after="100"/>
      <w:ind w:left="200"/>
    </w:pPr>
  </w:style>
  <w:style w:type="paragraph" w:styleId="TM1">
    <w:name w:val="toc 1"/>
    <w:basedOn w:val="Normal"/>
    <w:next w:val="Normal"/>
    <w:autoRedefine/>
    <w:uiPriority w:val="39"/>
    <w:unhideWhenUsed/>
    <w:rsid w:val="00674E9C"/>
    <w:pPr>
      <w:spacing w:after="100"/>
    </w:pPr>
  </w:style>
  <w:style w:type="paragraph" w:styleId="Paragraphedeliste">
    <w:name w:val="List Paragraph"/>
    <w:basedOn w:val="Normal"/>
    <w:uiPriority w:val="34"/>
    <w:qFormat/>
    <w:rsid w:val="00674E9C"/>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en-US"/>
    </w:rPr>
  </w:style>
  <w:style w:type="numbering" w:customStyle="1" w:styleId="NoList1">
    <w:name w:val="No List1"/>
    <w:next w:val="Aucuneliste"/>
    <w:uiPriority w:val="99"/>
    <w:semiHidden/>
    <w:unhideWhenUsed/>
    <w:rsid w:val="00674E9C"/>
  </w:style>
  <w:style w:type="table" w:customStyle="1" w:styleId="TableGrid1">
    <w:name w:val="Table Grid1"/>
    <w:basedOn w:val="TableauNormal"/>
    <w:next w:val="Grilledutableau"/>
    <w:uiPriority w:val="39"/>
    <w:rsid w:val="00674E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674E9C"/>
    <w:pPr>
      <w:suppressAutoHyphens w:val="0"/>
      <w:kinsoku/>
      <w:overflowPunct/>
      <w:autoSpaceDE/>
      <w:autoSpaceDN/>
      <w:adjustRightInd/>
      <w:snapToGrid/>
      <w:spacing w:after="160" w:line="240" w:lineRule="auto"/>
    </w:pPr>
    <w:rPr>
      <w:rFonts w:asciiTheme="minorHAnsi" w:hAnsiTheme="minorHAnsi" w:cstheme="minorBidi"/>
      <w:lang w:val="en-US"/>
    </w:rPr>
  </w:style>
  <w:style w:type="character" w:customStyle="1" w:styleId="CommentaireCar">
    <w:name w:val="Commentaire Car"/>
    <w:basedOn w:val="Policepardfaut"/>
    <w:link w:val="Commentaire"/>
    <w:uiPriority w:val="99"/>
    <w:semiHidden/>
    <w:rsid w:val="00674E9C"/>
    <w:rPr>
      <w:sz w:val="20"/>
      <w:szCs w:val="20"/>
      <w:lang w:val="en-US"/>
    </w:rPr>
  </w:style>
  <w:style w:type="paragraph" w:styleId="Objetducommentaire">
    <w:name w:val="annotation subject"/>
    <w:basedOn w:val="Commentaire"/>
    <w:next w:val="Commentaire"/>
    <w:link w:val="ObjetducommentaireCar"/>
    <w:uiPriority w:val="99"/>
    <w:semiHidden/>
    <w:unhideWhenUsed/>
    <w:rsid w:val="00674E9C"/>
    <w:rPr>
      <w:b/>
      <w:bCs/>
    </w:rPr>
  </w:style>
  <w:style w:type="character" w:customStyle="1" w:styleId="ObjetducommentaireCar">
    <w:name w:val="Objet du commentaire Car"/>
    <w:basedOn w:val="CommentaireCar"/>
    <w:link w:val="Objetducommentaire"/>
    <w:uiPriority w:val="99"/>
    <w:semiHidden/>
    <w:rsid w:val="00674E9C"/>
    <w:rPr>
      <w:b/>
      <w:bCs/>
      <w:sz w:val="20"/>
      <w:szCs w:val="20"/>
      <w:lang w:val="en-US"/>
    </w:rPr>
  </w:style>
  <w:style w:type="paragraph" w:customStyle="1" w:styleId="Default">
    <w:name w:val="Default"/>
    <w:basedOn w:val="Normal"/>
    <w:rsid w:val="00674E9C"/>
    <w:pPr>
      <w:suppressAutoHyphens w:val="0"/>
      <w:kinsoku/>
      <w:overflowPunct/>
      <w:adjustRightInd/>
      <w:snapToGrid/>
      <w:spacing w:line="240" w:lineRule="auto"/>
    </w:pPr>
    <w:rPr>
      <w:rFonts w:ascii="Calibri" w:hAnsi="Calibri" w:cs="Calibri"/>
      <w:color w:val="000000"/>
      <w:sz w:val="24"/>
      <w:szCs w:val="24"/>
      <w:lang w:val="en-US"/>
    </w:rPr>
  </w:style>
  <w:style w:type="paragraph" w:styleId="En-ttedetabledesmatires">
    <w:name w:val="TOC Heading"/>
    <w:basedOn w:val="Titre1"/>
    <w:next w:val="Normal"/>
    <w:uiPriority w:val="39"/>
    <w:unhideWhenUsed/>
    <w:qFormat/>
    <w:rsid w:val="00674E9C"/>
    <w:pPr>
      <w:tabs>
        <w:tab w:val="right" w:pos="851"/>
      </w:tabs>
      <w:kinsoku/>
      <w:overflowPunct/>
      <w:autoSpaceDE/>
      <w:autoSpaceDN/>
      <w:adjustRightInd/>
      <w:snapToGrid/>
      <w:spacing w:before="360" w:after="240" w:line="270" w:lineRule="exact"/>
      <w:ind w:left="0" w:right="4"/>
      <w:jc w:val="both"/>
      <w:outlineLvl w:val="9"/>
    </w:pPr>
    <w:rPr>
      <w:rFonts w:eastAsia="Times New Roman"/>
      <w:b/>
      <w:sz w:val="24"/>
    </w:rPr>
  </w:style>
  <w:style w:type="paragraph" w:styleId="Titre">
    <w:name w:val="Title"/>
    <w:basedOn w:val="H1G"/>
    <w:next w:val="Normal"/>
    <w:link w:val="TitreCar"/>
    <w:uiPriority w:val="10"/>
    <w:qFormat/>
    <w:rsid w:val="00674E9C"/>
    <w:pPr>
      <w:kinsoku/>
      <w:overflowPunct/>
      <w:autoSpaceDE/>
      <w:autoSpaceDN/>
      <w:adjustRightInd/>
      <w:snapToGrid/>
      <w:ind w:left="0" w:right="4" w:firstLine="0"/>
      <w:jc w:val="both"/>
    </w:pPr>
    <w:rPr>
      <w:rFonts w:eastAsia="Times New Roman"/>
    </w:rPr>
  </w:style>
  <w:style w:type="character" w:customStyle="1" w:styleId="TitreCar">
    <w:name w:val="Titre Car"/>
    <w:basedOn w:val="Policepardfaut"/>
    <w:link w:val="Titre"/>
    <w:uiPriority w:val="10"/>
    <w:rsid w:val="00674E9C"/>
    <w:rPr>
      <w:rFonts w:ascii="Times New Roman" w:eastAsia="Times New Roman" w:hAnsi="Times New Roman" w:cs="Times New Roman"/>
      <w:b/>
      <w:sz w:val="24"/>
      <w:szCs w:val="20"/>
    </w:rPr>
  </w:style>
  <w:style w:type="paragraph" w:styleId="TM3">
    <w:name w:val="toc 3"/>
    <w:basedOn w:val="Normal"/>
    <w:next w:val="Normal"/>
    <w:autoRedefine/>
    <w:uiPriority w:val="39"/>
    <w:unhideWhenUsed/>
    <w:rsid w:val="00674E9C"/>
    <w:pPr>
      <w:suppressAutoHyphens w:val="0"/>
      <w:kinsoku/>
      <w:overflowPunct/>
      <w:autoSpaceDE/>
      <w:autoSpaceDN/>
      <w:adjustRightInd/>
      <w:snapToGrid/>
      <w:spacing w:after="100" w:line="259" w:lineRule="auto"/>
      <w:ind w:left="440"/>
    </w:pPr>
    <w:rPr>
      <w:rFonts w:asciiTheme="minorHAnsi" w:eastAsiaTheme="minorEastAsia" w:hAnsiTheme="minorHAnsi"/>
      <w:sz w:val="22"/>
      <w:szCs w:val="22"/>
      <w:lang w:val="en-US"/>
    </w:rPr>
  </w:style>
  <w:style w:type="character" w:styleId="Marquedecommentaire">
    <w:name w:val="annotation reference"/>
    <w:basedOn w:val="Policepardfaut"/>
    <w:uiPriority w:val="99"/>
    <w:semiHidden/>
    <w:unhideWhenUsed/>
    <w:rsid w:val="00674E9C"/>
    <w:rPr>
      <w:sz w:val="16"/>
      <w:szCs w:val="16"/>
    </w:rPr>
  </w:style>
  <w:style w:type="paragraph" w:styleId="Rvision">
    <w:name w:val="Revision"/>
    <w:hidden/>
    <w:uiPriority w:val="99"/>
    <w:semiHidden/>
    <w:rsid w:val="00674E9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ata.legilux.public.lu/eli/etat/leg/loi/2009/05/08/n1/jo" TargetMode="External"/><Relationship Id="rId18" Type="http://schemas.openxmlformats.org/officeDocument/2006/relationships/hyperlink" Target="http://legilux.public.lu/eli/etat/leg/code/penal" TargetMode="External"/><Relationship Id="rId26" Type="http://schemas.openxmlformats.org/officeDocument/2006/relationships/hyperlink" Target="http://data.legilux.public.lu/eli/etat/leg/tc/2013/07/03/n2/jo" TargetMode="External"/><Relationship Id="rId3" Type="http://schemas.openxmlformats.org/officeDocument/2006/relationships/styles" Target="styles.xml"/><Relationship Id="rId21" Type="http://schemas.openxmlformats.org/officeDocument/2006/relationships/hyperlink" Target="http://www.celpl.lu"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mj.public.lu/services_citoyens/stop_traite/Plan_action_national_traite.pdf" TargetMode="External"/><Relationship Id="rId17" Type="http://schemas.openxmlformats.org/officeDocument/2006/relationships/hyperlink" Target="http://legilux.public.lu/eli/etat/leg/code/penal" TargetMode="External"/><Relationship Id="rId25" Type="http://schemas.openxmlformats.org/officeDocument/2006/relationships/hyperlink" Target="http://data.legilux.public.lu/eli/etat/leg/loi/2018/07/20/a626/j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egilux.public.lu/eli/etat/leg/code/penal" TargetMode="External"/><Relationship Id="rId20" Type="http://schemas.openxmlformats.org/officeDocument/2006/relationships/hyperlink" Target="http://celpl.lu/uploads/RV/RV16.zip" TargetMode="External"/><Relationship Id="rId29" Type="http://schemas.openxmlformats.org/officeDocument/2006/relationships/hyperlink" Target="http://data.legilux.public.lu/eli/etat/leg/loi/2018/07/18/a623/j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legilux.public.lu/eli/etat/leg/loi/1992/08/10/n3/jo" TargetMode="External"/><Relationship Id="rId24" Type="http://schemas.openxmlformats.org/officeDocument/2006/relationships/hyperlink" Target="http://data.legilux.public.lu/eli/etat/leg/loi/2009/05/28/n1/j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ata.legilux.public.lu/eli/etat/leg/loi/2014/04/09/n1/jo" TargetMode="External"/><Relationship Id="rId23" Type="http://schemas.openxmlformats.org/officeDocument/2006/relationships/chart" Target="charts/chart1.xml"/><Relationship Id="rId28" Type="http://schemas.openxmlformats.org/officeDocument/2006/relationships/hyperlink" Target="http://data.legilux.public.lu/eli/etat/leg/loi/2015/12/18/n15/jo" TargetMode="External"/><Relationship Id="rId36" Type="http://schemas.openxmlformats.org/officeDocument/2006/relationships/theme" Target="theme/theme1.xml"/><Relationship Id="rId10" Type="http://schemas.openxmlformats.org/officeDocument/2006/relationships/hyperlink" Target="http://data.legilux.public.lu/eli/etat/leg/loi/2018/07/20/a626/jo" TargetMode="External"/><Relationship Id="rId19" Type="http://schemas.openxmlformats.org/officeDocument/2006/relationships/hyperlink" Target="http://legilux.public.lu/eli/etat/leg/code/pena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ata.legilux.public.lu/eli/etat/leg/loi/2017/03/08/a346/jo" TargetMode="External"/><Relationship Id="rId14" Type="http://schemas.openxmlformats.org/officeDocument/2006/relationships/hyperlink" Target="https://www.stoptraite.lu" TargetMode="External"/><Relationship Id="rId22" Type="http://schemas.openxmlformats.org/officeDocument/2006/relationships/hyperlink" Target="http://data.legilux.public.lu/eli/etat/leg/loi/2015/12/18/n16/jo" TargetMode="External"/><Relationship Id="rId27" Type="http://schemas.openxmlformats.org/officeDocument/2006/relationships/hyperlink" Target="http://data.legilux.public.lu/eli/etat/leg/tc/2013/07/03/n1/jo" TargetMode="External"/><Relationship Id="rId30" Type="http://schemas.openxmlformats.org/officeDocument/2006/relationships/header" Target="header1.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data.legilux.public.lu/eli/etat/leg/loi/2009/05/08/n1/jo" TargetMode="External"/><Relationship Id="rId13" Type="http://schemas.openxmlformats.org/officeDocument/2006/relationships/hyperlink" Target="http://data.legilux.public.lu/eli/etat/leg/loi/2015/12/18/n16/jo" TargetMode="External"/><Relationship Id="rId18" Type="http://schemas.openxmlformats.org/officeDocument/2006/relationships/hyperlink" Target="http://data.legilux.public.lu/eli/etat/leg/loi/2015/12/18/n15/jo" TargetMode="External"/><Relationship Id="rId3" Type="http://schemas.openxmlformats.org/officeDocument/2006/relationships/hyperlink" Target="http://data.legilux.public.lu/eli/etat/leg/loi/1992/08/10/n3/jo" TargetMode="External"/><Relationship Id="rId7" Type="http://schemas.openxmlformats.org/officeDocument/2006/relationships/hyperlink" Target="http://mj.public.lu/services_citoyens/stop_traite/Plan_action_national_traite.pdf" TargetMode="External"/><Relationship Id="rId12" Type="http://schemas.openxmlformats.org/officeDocument/2006/relationships/hyperlink" Target="https://undocs.org/fr/A/RES/65/229" TargetMode="External"/><Relationship Id="rId17" Type="http://schemas.openxmlformats.org/officeDocument/2006/relationships/hyperlink" Target="http://data.legilux.public.lu/eli/etat/leg/tc/2013/07/03/n1/jo" TargetMode="External"/><Relationship Id="rId2" Type="http://schemas.openxmlformats.org/officeDocument/2006/relationships/hyperlink" Target="http://data.legilux.public.lu/eli/etat/leg/loi/2018/07/20/a626/jo" TargetMode="External"/><Relationship Id="rId16" Type="http://schemas.openxmlformats.org/officeDocument/2006/relationships/hyperlink" Target="http://data.legilux.public.lu/eli/etat/leg/tc/2013/07/03/n2/jo" TargetMode="External"/><Relationship Id="rId1" Type="http://schemas.openxmlformats.org/officeDocument/2006/relationships/hyperlink" Target="http://data.legilux.public.lu/eli/etat/leg/loi/2017/03/08/a346/jo" TargetMode="External"/><Relationship Id="rId6" Type="http://schemas.openxmlformats.org/officeDocument/2006/relationships/hyperlink" Target="https://fed.lu/wp/services/savteh/" TargetMode="External"/><Relationship Id="rId11" Type="http://schemas.openxmlformats.org/officeDocument/2006/relationships/hyperlink" Target="http://celpl.lu/uploads/RV/RV16.zip" TargetMode="External"/><Relationship Id="rId5" Type="http://schemas.openxmlformats.org/officeDocument/2006/relationships/hyperlink" Target="http://fmpo.lu/services/service-dassistance-aux-victimes-de-la-traite-des-etres-humains/" TargetMode="External"/><Relationship Id="rId15" Type="http://schemas.openxmlformats.org/officeDocument/2006/relationships/hyperlink" Target="http://data.legilux.public.lu/eli/etat/leg/loi/2018/07/20/a626/jo" TargetMode="External"/><Relationship Id="rId10" Type="http://schemas.openxmlformats.org/officeDocument/2006/relationships/hyperlink" Target="http://data.legilux.public.lu/eli/etat/leg/loi/2014/04/09/n1/jo" TargetMode="External"/><Relationship Id="rId4" Type="http://schemas.openxmlformats.org/officeDocument/2006/relationships/hyperlink" Target="http://www.infomann.lu/index.php/infomann-home" TargetMode="External"/><Relationship Id="rId9" Type="http://schemas.openxmlformats.org/officeDocument/2006/relationships/hyperlink" Target="https://www.stoptraite.lu" TargetMode="External"/><Relationship Id="rId14" Type="http://schemas.openxmlformats.org/officeDocument/2006/relationships/hyperlink" Target="http://data.legilux.public.lu/eli/etat/leg/loi/2009/05/28/n1/jo"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fr-FR"/>
              <a:t>Detenus par groupe d'age</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fr-FR"/>
        </a:p>
      </c:txPr>
    </c:title>
    <c:autoTitleDeleted val="0"/>
    <c:plotArea>
      <c:layout/>
      <c:areaChart>
        <c:grouping val="stacked"/>
        <c:varyColors val="0"/>
        <c:ser>
          <c:idx val="0"/>
          <c:order val="0"/>
          <c:tx>
            <c:strRef>
              <c:f>'groupe age'!$A$11</c:f>
              <c:strCache>
                <c:ptCount val="1"/>
                <c:pt idx="0">
                  <c:v>01.01.18</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'groupe age'!$B$10:$I$10</c:f>
              <c:strCache>
                <c:ptCount val="8"/>
                <c:pt idx="0">
                  <c:v>&lt; 18</c:v>
                </c:pt>
                <c:pt idx="1">
                  <c:v>18 ≤ x &lt; 21</c:v>
                </c:pt>
                <c:pt idx="2">
                  <c:v>21 ≤ x &lt; 25</c:v>
                </c:pt>
                <c:pt idx="3">
                  <c:v>25 ≤ x &lt; 30</c:v>
                </c:pt>
                <c:pt idx="4">
                  <c:v>30 ≤ x &lt; 40</c:v>
                </c:pt>
                <c:pt idx="5">
                  <c:v>40 ≤ x &lt; 50</c:v>
                </c:pt>
                <c:pt idx="6">
                  <c:v>50 ≤ x &lt; 60</c:v>
                </c:pt>
                <c:pt idx="7">
                  <c:v>60 ≤ x </c:v>
                </c:pt>
              </c:strCache>
            </c:strRef>
          </c:cat>
          <c:val>
            <c:numRef>
              <c:f>'groupe age'!$B$11:$I$11</c:f>
              <c:numCache>
                <c:formatCode>0.0%</c:formatCode>
                <c:ptCount val="8"/>
                <c:pt idx="0">
                  <c:v>5.8479532163742687E-3</c:v>
                </c:pt>
                <c:pt idx="1">
                  <c:v>3.6549707602339179E-2</c:v>
                </c:pt>
                <c:pt idx="2">
                  <c:v>7.8947368421052627E-2</c:v>
                </c:pt>
                <c:pt idx="3">
                  <c:v>0.16081871345029239</c:v>
                </c:pt>
                <c:pt idx="4">
                  <c:v>0.36257309941520466</c:v>
                </c:pt>
                <c:pt idx="5">
                  <c:v>0.2412280701754386</c:v>
                </c:pt>
                <c:pt idx="6">
                  <c:v>8.3333333333333329E-2</c:v>
                </c:pt>
                <c:pt idx="7">
                  <c:v>3.0701754385964911E-2</c:v>
                </c:pt>
              </c:numCache>
            </c:numRef>
          </c:val>
          <c:extLst>
            <c:ext xmlns:c16="http://schemas.microsoft.com/office/drawing/2014/chart" uri="{C3380CC4-5D6E-409C-BE32-E72D297353CC}">
              <c16:uniqueId val="{00000000-7048-4F35-AEBA-C37EA69E2666}"/>
            </c:ext>
          </c:extLst>
        </c:ser>
        <c:dLbls>
          <c:showLegendKey val="0"/>
          <c:showVal val="0"/>
          <c:showCatName val="0"/>
          <c:showSerName val="0"/>
          <c:showPercent val="0"/>
          <c:showBubbleSize val="0"/>
        </c:dLbls>
        <c:axId val="707400064"/>
        <c:axId val="707401048"/>
      </c:areaChart>
      <c:barChart>
        <c:barDir val="col"/>
        <c:grouping val="clustered"/>
        <c:varyColors val="0"/>
        <c:ser>
          <c:idx val="1"/>
          <c:order val="1"/>
          <c:tx>
            <c:strRef>
              <c:f>'groupe age'!$A$12</c:f>
              <c:strCache>
                <c:ptCount val="1"/>
                <c:pt idx="0">
                  <c:v>01.01.19</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'groupe age'!$B$10:$I$10</c:f>
              <c:strCache>
                <c:ptCount val="8"/>
                <c:pt idx="0">
                  <c:v>&lt; 18</c:v>
                </c:pt>
                <c:pt idx="1">
                  <c:v>18 ≤ x &lt; 21</c:v>
                </c:pt>
                <c:pt idx="2">
                  <c:v>21 ≤ x &lt; 25</c:v>
                </c:pt>
                <c:pt idx="3">
                  <c:v>25 ≤ x &lt; 30</c:v>
                </c:pt>
                <c:pt idx="4">
                  <c:v>30 ≤ x &lt; 40</c:v>
                </c:pt>
                <c:pt idx="5">
                  <c:v>40 ≤ x &lt; 50</c:v>
                </c:pt>
                <c:pt idx="6">
                  <c:v>50 ≤ x &lt; 60</c:v>
                </c:pt>
                <c:pt idx="7">
                  <c:v>60 ≤ x </c:v>
                </c:pt>
              </c:strCache>
            </c:strRef>
          </c:cat>
          <c:val>
            <c:numRef>
              <c:f>'groupe age'!$B$12:$I$12</c:f>
              <c:numCache>
                <c:formatCode>0.0%</c:formatCode>
                <c:ptCount val="8"/>
                <c:pt idx="0">
                  <c:v>4.5731707317073168E-3</c:v>
                </c:pt>
                <c:pt idx="1">
                  <c:v>3.048780487804878E-2</c:v>
                </c:pt>
                <c:pt idx="2">
                  <c:v>9.7560975609756101E-2</c:v>
                </c:pt>
                <c:pt idx="3">
                  <c:v>0.14939024390243902</c:v>
                </c:pt>
                <c:pt idx="4">
                  <c:v>0.34756097560975607</c:v>
                </c:pt>
                <c:pt idx="5">
                  <c:v>0.23780487804878048</c:v>
                </c:pt>
                <c:pt idx="6">
                  <c:v>0.10060975609756098</c:v>
                </c:pt>
                <c:pt idx="7">
                  <c:v>3.201219512195122E-2</c:v>
                </c:pt>
              </c:numCache>
            </c:numRef>
          </c:val>
          <c:extLst>
            <c:ext xmlns:c16="http://schemas.microsoft.com/office/drawing/2014/chart" uri="{C3380CC4-5D6E-409C-BE32-E72D297353CC}">
              <c16:uniqueId val="{00000001-7048-4F35-AEBA-C37EA69E2666}"/>
            </c:ext>
          </c:extLst>
        </c:ser>
        <c:dLbls>
          <c:showLegendKey val="0"/>
          <c:showVal val="0"/>
          <c:showCatName val="0"/>
          <c:showSerName val="0"/>
          <c:showPercent val="0"/>
          <c:showBubbleSize val="0"/>
        </c:dLbls>
        <c:gapWidth val="300"/>
        <c:overlap val="-27"/>
        <c:axId val="707400064"/>
        <c:axId val="707401048"/>
      </c:barChart>
      <c:catAx>
        <c:axId val="70740006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707401048"/>
        <c:crosses val="autoZero"/>
        <c:auto val="1"/>
        <c:lblAlgn val="ctr"/>
        <c:lblOffset val="100"/>
        <c:noMultiLvlLbl val="0"/>
      </c:catAx>
      <c:valAx>
        <c:axId val="707401048"/>
        <c:scaling>
          <c:orientation val="minMax"/>
        </c:scaling>
        <c:delete val="0"/>
        <c:axPos val="l"/>
        <c:majorGridlines>
          <c:spPr>
            <a:ln>
              <a:solidFill>
                <a:schemeClr val="tx1">
                  <a:lumMod val="15000"/>
                  <a:lumOff val="85000"/>
                </a:schemeClr>
              </a:solidFill>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70740006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0B213-B4CA-4402-A0C4-A5D62E6D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15963</Words>
  <Characters>80777</Characters>
  <Application>Microsoft Office Word</Application>
  <DocSecurity>0</DocSecurity>
  <Lines>2447</Lines>
  <Paragraphs>1758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CAT/C/LUX/8</vt:lpstr>
      <vt:lpstr>CAT/C/LUX/8</vt:lpstr>
      <vt:lpstr>a/hthhhh</vt:lpstr>
    </vt:vector>
  </TitlesOfParts>
  <Company>DCM</Company>
  <LinksUpToDate>false</LinksUpToDate>
  <CharactersWithSpaces>94982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CAT/C/LUX/8</dc:title>
  <dc:subject/>
  <dc:creator>Gloria</dc:creator>
  <cp:keywords/>
  <dc:description/>
  <cp:lastModifiedBy>Maud Dariche</cp:lastModifiedBy>
  <cp:revision>2</cp:revision>
  <cp:lastPrinted>2017-02-27T14:31:00Z</cp:lastPrinted>
  <dcterms:created xsi:type="dcterms:W3CDTF">2020-03-16T12:07:00Z</dcterms:created>
  <dcterms:modified xsi:type="dcterms:W3CDTF">2020-03-16T12:07:00Z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C/LUX/8</vt:lpwstr>
  </property>
  <property fmtid="{D5CDD505-2E9C-101B-9397-08002B2CF9AE}" pid="3" name="symh">
    <vt:lpwstr>CAT/C/LUX/8</vt:lpwstr>
  </property>
  <property fmtid="{D5CDD505-2E9C-101B-9397-08002B2CF9AE}" pid="4" name="dist">
    <vt:lpwstr>générale</vt:lpwstr>
  </property>
  <property fmtid="{D5CDD505-2E9C-101B-9397-08002B2CF9AE}" pid="5" name="date">
    <vt:lpwstr>20 mai 2019</vt:lpwstr>
  </property>
  <property fmtid="{D5CDD505-2E9C-101B-9397-08002B2CF9AE}" pid="6" name="sdate">
    <vt:lpwstr>[Start-End Dates]</vt:lpwstr>
  </property>
  <property fmtid="{D5CDD505-2E9C-101B-9397-08002B2CF9AE}" pid="7" name="virs">
    <vt:lpwstr>Anglais, espagnol et français seulement</vt:lpwstr>
  </property>
  <property fmtid="{D5CDD505-2E9C-101B-9397-08002B2CF9AE}" pid="8" name="snum">
    <vt:lpwstr>[NUMBER]</vt:lpwstr>
  </property>
  <property fmtid="{D5CDD505-2E9C-101B-9397-08002B2CF9AE}" pid="9" name="anum">
    <vt:lpwstr>[NUMBER]</vt:lpwstr>
  </property>
  <property fmtid="{D5CDD505-2E9C-101B-9397-08002B2CF9AE}" pid="10" name="count">
    <vt:lpwstr>du Luxembourg </vt:lpwstr>
  </property>
  <property fmtid="{D5CDD505-2E9C-101B-9397-08002B2CF9AE}" pid="11" name="countw">
    <vt:lpwstr>Luxembourg </vt:lpwstr>
  </property>
  <property fmtid="{D5CDD505-2E9C-101B-9397-08002B2CF9AE}" pid="12" name="countwd">
    <vt:lpwstr>le Luxembourg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huitième rapport périodique du Luxembourg </vt:lpwstr>
  </property>
  <property fmtid="{D5CDD505-2E9C-101B-9397-08002B2CF9AE}" pid="19" name="preps">
    <vt:lpwstr>huitième rapport périodique du Luxembourg </vt:lpwstr>
  </property>
  <property fmtid="{D5CDD505-2E9C-101B-9397-08002B2CF9AE}" pid="20" name="prepw">
    <vt:lpwstr>huitième rapport périodique</vt:lpwstr>
  </property>
  <property fmtid="{D5CDD505-2E9C-101B-9397-08002B2CF9AE}" pid="21" name="prepws">
    <vt:lpwstr>huitième rapport périodique</vt:lpwstr>
  </property>
  <property fmtid="{D5CDD505-2E9C-101B-9397-08002B2CF9AE}" pid="22" name="prepwc">
    <vt:lpwstr>Huitième rapport périodique </vt:lpwstr>
  </property>
  <property fmtid="{D5CDD505-2E9C-101B-9397-08002B2CF9AE}" pid="23" name="olang">
    <vt:lpwstr>français</vt:lpwstr>
  </property>
  <property fmtid="{D5CDD505-2E9C-101B-9397-08002B2CF9AE}" pid="24" name="Author">
    <vt:lpwstr/>
  </property>
  <property fmtid="{D5CDD505-2E9C-101B-9397-08002B2CF9AE}" pid="25" name="bar">
    <vt:lpwstr/>
  </property>
  <property fmtid="{D5CDD505-2E9C-101B-9397-08002B2CF9AE}" pid="26" name="Date-Generated">
    <vt:filetime>2019-05-20T13:32:32Z</vt:filetime>
  </property>
  <property fmtid="{D5CDD505-2E9C-101B-9397-08002B2CF9AE}" pid="27" name="Title">
    <vt:lpwstr>CAT/C/LUX/8</vt:lpwstr>
  </property>
  <property fmtid="{D5CDD505-2E9C-101B-9397-08002B2CF9AE}" pid="28" name="Org">
    <vt:lpwstr>OHCHR</vt:lpwstr>
  </property>
  <property fmtid="{D5CDD505-2E9C-101B-9397-08002B2CF9AE}" pid="29" name="Entity">
    <vt:lpwstr>Country Report</vt:lpwstr>
  </property>
  <property fmtid="{D5CDD505-2E9C-101B-9397-08002B2CF9AE}" pid="30" name="doctype">
    <vt:lpwstr>Final</vt:lpwstr>
  </property>
  <property fmtid="{D5CDD505-2E9C-101B-9397-08002B2CF9AE}" pid="31" name="category">
    <vt:lpwstr>CAT</vt:lpwstr>
  </property>
</Properties>
</file>