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20B5C" w:rsidP="00B20B5C">
            <w:pPr>
              <w:bidi w:val="0"/>
              <w:spacing w:after="20"/>
              <w:jc w:val="left"/>
              <w:rPr>
                <w:szCs w:val="20"/>
              </w:rPr>
            </w:pPr>
            <w:r w:rsidRPr="00B20B5C">
              <w:rPr>
                <w:sz w:val="40"/>
                <w:szCs w:val="20"/>
              </w:rPr>
              <w:t>CAT</w:t>
            </w:r>
            <w:r>
              <w:rPr>
                <w:szCs w:val="20"/>
              </w:rPr>
              <w:t>/C/51/D/429/2010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20B5C" w:rsidRDefault="00B20B5C" w:rsidP="00B20B5C">
            <w:pPr>
              <w:bidi w:val="0"/>
              <w:spacing w:before="240"/>
              <w:jc w:val="left"/>
            </w:pPr>
            <w:r>
              <w:t>Distr.: General</w:t>
            </w:r>
          </w:p>
          <w:p w:rsidR="00B20B5C" w:rsidRDefault="00B20B5C" w:rsidP="00B20B5C">
            <w:pPr>
              <w:bidi w:val="0"/>
              <w:jc w:val="left"/>
            </w:pPr>
            <w:r>
              <w:t>16 December 2013</w:t>
            </w:r>
          </w:p>
          <w:p w:rsidR="00B20B5C" w:rsidRDefault="00B20B5C" w:rsidP="00B20B5C">
            <w:pPr>
              <w:bidi w:val="0"/>
              <w:jc w:val="left"/>
            </w:pPr>
            <w:r>
              <w:t>Arabic</w:t>
            </w:r>
          </w:p>
          <w:p w:rsidR="00257225" w:rsidRPr="008B4BC6" w:rsidRDefault="00B20B5C" w:rsidP="00B20B5C">
            <w:pPr>
              <w:bidi w:val="0"/>
              <w:jc w:val="left"/>
            </w:pPr>
            <w:r>
              <w:t>Original: English</w:t>
            </w:r>
          </w:p>
        </w:tc>
      </w:tr>
    </w:tbl>
    <w:p w:rsidR="00406AA6" w:rsidRPr="00406AA6" w:rsidRDefault="00406AA6" w:rsidP="00406AA6">
      <w:pPr>
        <w:spacing w:before="120" w:line="380" w:lineRule="exact"/>
        <w:rPr>
          <w:rFonts w:hint="cs"/>
          <w:b/>
          <w:bCs/>
          <w:sz w:val="26"/>
          <w:szCs w:val="36"/>
          <w:rtl/>
          <w:lang w:val="fr-CH"/>
        </w:rPr>
      </w:pPr>
      <w:r w:rsidRPr="00406AA6">
        <w:rPr>
          <w:rFonts w:hint="cs"/>
          <w:b/>
          <w:bCs/>
          <w:sz w:val="26"/>
          <w:szCs w:val="36"/>
          <w:rtl/>
          <w:lang w:val="fr-CH"/>
        </w:rPr>
        <w:t>لجنة مناهضة التعذيب</w:t>
      </w:r>
    </w:p>
    <w:p w:rsidR="00406AA6" w:rsidRDefault="00406AA6" w:rsidP="00406AA6">
      <w:pPr>
        <w:pStyle w:val="HChGA"/>
        <w:rPr>
          <w:rFonts w:hint="cs"/>
          <w:rtl/>
          <w:lang w:val="fr-CH"/>
        </w:rPr>
      </w:pPr>
      <w:r>
        <w:rPr>
          <w:rtl/>
          <w:lang w:val="fr-CH"/>
        </w:rPr>
        <w:tab/>
      </w:r>
      <w:r>
        <w:rPr>
          <w:rFonts w:hint="cs"/>
          <w:rtl/>
          <w:lang w:val="fr-CH"/>
        </w:rPr>
        <w:tab/>
        <w:t>البلاغ رقم 429/2010</w:t>
      </w:r>
    </w:p>
    <w:p w:rsidR="00406AA6" w:rsidRDefault="00406AA6" w:rsidP="00406AA6">
      <w:pPr>
        <w:pStyle w:val="H1GA"/>
        <w:rPr>
          <w:rFonts w:hint="cs"/>
          <w:rtl/>
          <w:lang w:val="fr-CH"/>
        </w:rPr>
      </w:pPr>
      <w:r>
        <w:rPr>
          <w:rtl/>
          <w:lang w:val="fr-CH"/>
        </w:rPr>
        <w:tab/>
      </w:r>
      <w:r>
        <w:rPr>
          <w:rFonts w:hint="cs"/>
          <w:rtl/>
          <w:lang w:val="fr-CH"/>
        </w:rPr>
        <w:tab/>
        <w:t>قرار اعتمدته اللجنة في دورتها الحادية والخمسين، المعقودة في الفترة من 28 تشرين الأول/أكتوبر إلى 22 تشرين الثاني/نوفمبر 2013</w:t>
      </w:r>
    </w:p>
    <w:p w:rsidR="00406AA6" w:rsidRDefault="00406AA6" w:rsidP="00406AA6">
      <w:pPr>
        <w:pStyle w:val="SingleTxtGA"/>
        <w:ind w:left="4649" w:hanging="2721"/>
        <w:rPr>
          <w:rFonts w:hint="cs"/>
          <w:rtl/>
          <w:lang w:val="fr-CH"/>
        </w:rPr>
      </w:pPr>
      <w:r w:rsidRPr="005469E8">
        <w:rPr>
          <w:rFonts w:hint="cs"/>
          <w:i/>
          <w:iCs/>
          <w:rtl/>
          <w:lang w:val="fr-CH"/>
        </w:rPr>
        <w:t>مقدِّم البلاغ:</w:t>
      </w:r>
      <w:r>
        <w:rPr>
          <w:i/>
          <w:iCs/>
          <w:rtl/>
          <w:lang w:val="fr-CH"/>
        </w:rPr>
        <w:tab/>
      </w:r>
      <w:r>
        <w:rPr>
          <w:rFonts w:hint="cs"/>
          <w:i/>
          <w:iCs/>
          <w:rtl/>
          <w:lang w:val="fr-CH"/>
        </w:rPr>
        <w:tab/>
      </w:r>
      <w:r>
        <w:rPr>
          <w:rFonts w:hint="cs"/>
          <w:rtl/>
          <w:lang w:val="fr-CH"/>
        </w:rPr>
        <w:tab/>
      </w:r>
      <w:proofErr w:type="spellStart"/>
      <w:r>
        <w:rPr>
          <w:rFonts w:hint="cs"/>
          <w:rtl/>
          <w:lang w:val="fr-CH"/>
        </w:rPr>
        <w:t>مليكتيفي</w:t>
      </w:r>
      <w:proofErr w:type="spellEnd"/>
      <w:r>
        <w:rPr>
          <w:rFonts w:hint="cs"/>
          <w:rtl/>
          <w:lang w:val="fr-CH"/>
        </w:rPr>
        <w:t xml:space="preserve"> </w:t>
      </w:r>
      <w:proofErr w:type="spellStart"/>
      <w:r>
        <w:rPr>
          <w:rFonts w:hint="cs"/>
          <w:rtl/>
          <w:lang w:val="fr-CH"/>
        </w:rPr>
        <w:t>سيفاغناناراتنام</w:t>
      </w:r>
      <w:proofErr w:type="spellEnd"/>
      <w:r>
        <w:rPr>
          <w:rFonts w:hint="cs"/>
          <w:rtl/>
          <w:lang w:val="fr-CH"/>
        </w:rPr>
        <w:t xml:space="preserve"> (يمثِّلها المحامي </w:t>
      </w:r>
      <w:proofErr w:type="spellStart"/>
      <w:r>
        <w:rPr>
          <w:rFonts w:hint="cs"/>
          <w:rtl/>
          <w:lang w:val="fr-CH"/>
        </w:rPr>
        <w:t>نيلز</w:t>
      </w:r>
      <w:proofErr w:type="spellEnd"/>
      <w:r w:rsidR="00E63051">
        <w:rPr>
          <w:rFonts w:hint="cs"/>
          <w:rtl/>
          <w:lang w:val="fr-CH"/>
        </w:rPr>
        <w:t xml:space="preserve"> </w:t>
      </w:r>
      <w:r>
        <w:rPr>
          <w:rFonts w:hint="cs"/>
          <w:rtl/>
          <w:lang w:val="fr-CH"/>
        </w:rPr>
        <w:t>-</w:t>
      </w:r>
      <w:r w:rsidR="00E63051">
        <w:rPr>
          <w:rFonts w:hint="cs"/>
          <w:rtl/>
          <w:lang w:val="fr-CH"/>
        </w:rPr>
        <w:t xml:space="preserve"> </w:t>
      </w:r>
      <w:r>
        <w:rPr>
          <w:rFonts w:hint="cs"/>
          <w:rtl/>
          <w:lang w:val="fr-CH"/>
        </w:rPr>
        <w:t xml:space="preserve">إيريك </w:t>
      </w:r>
      <w:proofErr w:type="spellStart"/>
      <w:r>
        <w:rPr>
          <w:rFonts w:hint="cs"/>
          <w:rtl/>
          <w:lang w:val="fr-CH"/>
        </w:rPr>
        <w:t>هانسن</w:t>
      </w:r>
      <w:proofErr w:type="spellEnd"/>
      <w:r>
        <w:rPr>
          <w:rFonts w:hint="cs"/>
          <w:rtl/>
          <w:lang w:val="fr-CH"/>
        </w:rPr>
        <w:t>)</w:t>
      </w:r>
    </w:p>
    <w:p w:rsidR="00406AA6" w:rsidRDefault="00406AA6" w:rsidP="00406AA6">
      <w:pPr>
        <w:pStyle w:val="SingleTxtGA"/>
        <w:ind w:left="4649" w:hanging="2721"/>
        <w:rPr>
          <w:rFonts w:hint="cs"/>
          <w:rtl/>
          <w:lang w:val="fr-CH"/>
        </w:rPr>
      </w:pPr>
      <w:r w:rsidRPr="00CB0180">
        <w:rPr>
          <w:rFonts w:hint="cs"/>
          <w:i/>
          <w:iCs/>
          <w:rtl/>
          <w:lang w:val="fr-CH"/>
        </w:rPr>
        <w:t>الشخص المدّعى أنه ضحية:</w:t>
      </w:r>
      <w:r>
        <w:rPr>
          <w:rFonts w:hint="cs"/>
          <w:rtl/>
          <w:lang w:val="fr-CH"/>
        </w:rPr>
        <w:tab/>
        <w:t>صاحبة الشكوى</w:t>
      </w:r>
    </w:p>
    <w:p w:rsidR="00406AA6" w:rsidRDefault="00406AA6" w:rsidP="00406AA6">
      <w:pPr>
        <w:pStyle w:val="SingleTxtGA"/>
        <w:ind w:left="4649" w:hanging="2721"/>
        <w:rPr>
          <w:rFonts w:hint="cs"/>
          <w:rtl/>
          <w:lang w:val="fr-CH"/>
        </w:rPr>
      </w:pPr>
      <w:r w:rsidRPr="00CB0180">
        <w:rPr>
          <w:rFonts w:hint="cs"/>
          <w:i/>
          <w:iCs/>
          <w:rtl/>
          <w:lang w:val="fr-CH"/>
        </w:rPr>
        <w:t>الدولة الطرف:</w:t>
      </w:r>
      <w:r w:rsidRPr="00CB0180">
        <w:rPr>
          <w:rFonts w:hint="cs"/>
          <w:i/>
          <w:iCs/>
          <w:rtl/>
          <w:lang w:val="fr-CH"/>
        </w:rPr>
        <w:tab/>
      </w:r>
      <w:r>
        <w:rPr>
          <w:rtl/>
          <w:lang w:val="fr-CH"/>
        </w:rPr>
        <w:tab/>
      </w:r>
      <w:r>
        <w:rPr>
          <w:rFonts w:hint="cs"/>
          <w:rtl/>
          <w:lang w:val="fr-CH"/>
        </w:rPr>
        <w:tab/>
        <w:t>الدانمرك</w:t>
      </w:r>
    </w:p>
    <w:p w:rsidR="00406AA6" w:rsidRDefault="00406AA6" w:rsidP="00406AA6">
      <w:pPr>
        <w:pStyle w:val="SingleTxtGA"/>
        <w:ind w:left="4649" w:hanging="2721"/>
        <w:rPr>
          <w:rFonts w:hint="cs"/>
          <w:rtl/>
          <w:lang w:val="fr-CH"/>
        </w:rPr>
      </w:pPr>
      <w:r w:rsidRPr="005469E8">
        <w:rPr>
          <w:rFonts w:hint="cs"/>
          <w:i/>
          <w:iCs/>
          <w:rtl/>
          <w:lang w:val="fr-CH"/>
        </w:rPr>
        <w:t>تاريخ تقديم الشكوى:</w:t>
      </w:r>
      <w:r>
        <w:rPr>
          <w:rFonts w:hint="cs"/>
          <w:rtl/>
          <w:lang w:val="fr-CH"/>
        </w:rPr>
        <w:tab/>
      </w:r>
      <w:r>
        <w:rPr>
          <w:rtl/>
          <w:lang w:val="fr-CH"/>
        </w:rPr>
        <w:tab/>
      </w:r>
      <w:r>
        <w:rPr>
          <w:rFonts w:hint="cs"/>
          <w:rtl/>
          <w:lang w:val="fr-CH"/>
        </w:rPr>
        <w:t>18 آب/أغسطس 2010 (تاريخ الرسالة الأولى)</w:t>
      </w:r>
    </w:p>
    <w:p w:rsidR="00406AA6" w:rsidRDefault="00406AA6" w:rsidP="00406AA6">
      <w:pPr>
        <w:pStyle w:val="SingleTxtGA"/>
        <w:ind w:left="4649" w:hanging="2721"/>
        <w:rPr>
          <w:rFonts w:hint="cs"/>
          <w:rtl/>
          <w:lang w:val="fr-CH"/>
        </w:rPr>
      </w:pPr>
      <w:r w:rsidRPr="005469E8">
        <w:rPr>
          <w:rFonts w:hint="cs"/>
          <w:i/>
          <w:iCs/>
          <w:rtl/>
          <w:lang w:val="fr-CH"/>
        </w:rPr>
        <w:t>تاريخ صدور القرار:</w:t>
      </w:r>
      <w:r>
        <w:rPr>
          <w:i/>
          <w:iCs/>
          <w:rtl/>
          <w:lang w:val="fr-CH"/>
        </w:rPr>
        <w:tab/>
      </w:r>
      <w:r>
        <w:rPr>
          <w:rFonts w:hint="cs"/>
          <w:rtl/>
          <w:lang w:val="fr-CH"/>
        </w:rPr>
        <w:tab/>
        <w:t xml:space="preserve">11 تشرين الثاني/نوفمبر 2013 </w:t>
      </w:r>
    </w:p>
    <w:p w:rsidR="00406AA6" w:rsidRDefault="00406AA6" w:rsidP="00406AA6">
      <w:pPr>
        <w:pStyle w:val="SingleTxtGA"/>
        <w:ind w:left="4649" w:hanging="2721"/>
        <w:rPr>
          <w:rFonts w:hint="cs"/>
          <w:rtl/>
          <w:lang w:val="fr-CH"/>
        </w:rPr>
      </w:pPr>
      <w:r w:rsidRPr="005469E8">
        <w:rPr>
          <w:rFonts w:hint="cs"/>
          <w:i/>
          <w:iCs/>
          <w:rtl/>
          <w:lang w:val="fr-CH"/>
        </w:rPr>
        <w:t>الموضوع:</w:t>
      </w:r>
      <w:r>
        <w:rPr>
          <w:rFonts w:hint="cs"/>
          <w:rtl/>
          <w:lang w:val="fr-CH"/>
        </w:rPr>
        <w:tab/>
      </w:r>
      <w:r>
        <w:rPr>
          <w:rtl/>
          <w:lang w:val="fr-CH"/>
        </w:rPr>
        <w:tab/>
      </w:r>
      <w:r>
        <w:rPr>
          <w:rFonts w:hint="cs"/>
          <w:rtl/>
          <w:lang w:val="fr-CH"/>
        </w:rPr>
        <w:tab/>
        <w:t>طرد صاحبة الشكوى إلى سري لانكا</w:t>
      </w:r>
    </w:p>
    <w:p w:rsidR="00406AA6" w:rsidRDefault="00406AA6" w:rsidP="00406AA6">
      <w:pPr>
        <w:pStyle w:val="SingleTxtGA"/>
        <w:ind w:left="4649" w:hanging="2721"/>
        <w:rPr>
          <w:rFonts w:hint="cs"/>
          <w:rtl/>
          <w:lang w:val="fr-CH"/>
        </w:rPr>
      </w:pPr>
      <w:r w:rsidRPr="00CB0180">
        <w:rPr>
          <w:rFonts w:hint="cs"/>
          <w:i/>
          <w:iCs/>
          <w:rtl/>
          <w:lang w:val="fr-CH"/>
        </w:rPr>
        <w:t>المسائل الإجرائية:</w:t>
      </w:r>
      <w:r>
        <w:rPr>
          <w:rFonts w:hint="cs"/>
          <w:rtl/>
          <w:lang w:val="fr-CH"/>
        </w:rPr>
        <w:tab/>
      </w:r>
      <w:r>
        <w:rPr>
          <w:rtl/>
          <w:lang w:val="fr-CH"/>
        </w:rPr>
        <w:tab/>
      </w:r>
      <w:r>
        <w:rPr>
          <w:rFonts w:hint="cs"/>
          <w:rtl/>
          <w:lang w:val="fr-CH"/>
        </w:rPr>
        <w:tab/>
        <w:t>عدم تقديم أدلة</w:t>
      </w:r>
    </w:p>
    <w:p w:rsidR="00406AA6" w:rsidRDefault="00406AA6" w:rsidP="00406AA6">
      <w:pPr>
        <w:pStyle w:val="SingleTxtGA"/>
        <w:ind w:left="4649" w:hanging="2721"/>
        <w:rPr>
          <w:rFonts w:hint="cs"/>
          <w:rtl/>
          <w:lang w:val="fr-CH"/>
        </w:rPr>
      </w:pPr>
      <w:r w:rsidRPr="005469E8">
        <w:rPr>
          <w:rFonts w:hint="cs"/>
          <w:i/>
          <w:iCs/>
          <w:rtl/>
          <w:lang w:val="fr-CH"/>
        </w:rPr>
        <w:t>المشاكل الموضوعية:</w:t>
      </w:r>
      <w:r>
        <w:rPr>
          <w:rFonts w:hint="cs"/>
          <w:rtl/>
          <w:lang w:val="fr-CH"/>
        </w:rPr>
        <w:tab/>
      </w:r>
      <w:r>
        <w:rPr>
          <w:rtl/>
          <w:lang w:val="fr-CH"/>
        </w:rPr>
        <w:tab/>
      </w:r>
      <w:r>
        <w:rPr>
          <w:rFonts w:hint="cs"/>
          <w:rtl/>
          <w:lang/>
        </w:rPr>
        <w:t>ترحيل شخص إلى دولة حيث توجد أسباب وجيهة تحمل على الاعتقاد بأنه قد يتعرض للتعذيب</w:t>
      </w:r>
    </w:p>
    <w:p w:rsidR="00406AA6" w:rsidRDefault="00406AA6" w:rsidP="00406AA6">
      <w:pPr>
        <w:pStyle w:val="SingleTxtGA"/>
        <w:ind w:left="4649" w:hanging="2721"/>
        <w:rPr>
          <w:rFonts w:hint="cs"/>
          <w:rtl/>
          <w:lang w:val="fr-CH"/>
        </w:rPr>
      </w:pPr>
      <w:r w:rsidRPr="00CB0180">
        <w:rPr>
          <w:rFonts w:hint="cs"/>
          <w:i/>
          <w:iCs/>
          <w:rtl/>
          <w:lang w:val="fr-CH"/>
        </w:rPr>
        <w:t>مادة الاتفاقية:</w:t>
      </w:r>
      <w:r>
        <w:rPr>
          <w:rFonts w:hint="cs"/>
          <w:rtl/>
          <w:lang w:val="fr-CH"/>
        </w:rPr>
        <w:tab/>
      </w:r>
      <w:r>
        <w:rPr>
          <w:rtl/>
          <w:lang w:val="fr-CH"/>
        </w:rPr>
        <w:tab/>
      </w:r>
      <w:r>
        <w:rPr>
          <w:rFonts w:hint="cs"/>
          <w:rtl/>
          <w:lang w:val="fr-CH"/>
        </w:rPr>
        <w:tab/>
        <w:t>المادة 3</w:t>
      </w:r>
    </w:p>
    <w:p w:rsidR="00406AA6" w:rsidRPr="00CB0180" w:rsidRDefault="00406AA6" w:rsidP="00CB0180">
      <w:pPr>
        <w:pStyle w:val="HChGA"/>
        <w:spacing w:before="120"/>
      </w:pPr>
      <w:r>
        <w:rPr>
          <w:rtl/>
          <w:lang w:val="fr-CH"/>
        </w:rPr>
        <w:br w:type="page"/>
      </w:r>
      <w:r w:rsidRPr="005469E8">
        <w:rPr>
          <w:rFonts w:hint="cs"/>
          <w:rtl/>
          <w:lang w:val="fr-CH"/>
        </w:rPr>
        <w:t>المرفق</w:t>
      </w:r>
    </w:p>
    <w:p w:rsidR="00406AA6" w:rsidRPr="00CB0180" w:rsidRDefault="00406AA6" w:rsidP="00CB0180">
      <w:pPr>
        <w:pStyle w:val="HChGA"/>
        <w:rPr>
          <w:rFonts w:hint="cs"/>
          <w:b w:val="0"/>
          <w:bCs w:val="0"/>
          <w:rtl/>
          <w:lang w:val="fr-CH"/>
        </w:rPr>
      </w:pPr>
      <w:r>
        <w:rPr>
          <w:rtl/>
          <w:lang w:val="fr-CH"/>
        </w:rPr>
        <w:tab/>
      </w:r>
      <w:r>
        <w:rPr>
          <w:rFonts w:hint="cs"/>
          <w:rtl/>
          <w:lang w:val="fr-CH"/>
        </w:rPr>
        <w:tab/>
        <w:t xml:space="preserve">قرار لجنة مناهضة التعذيب بموجب المادة 22 من اتفاقية مناهضة التعذيب وغيره من ضروب المعاملة أو العقوبة القاسية أو اللاإنسانية أو المهينة </w:t>
      </w:r>
      <w:r w:rsidRPr="00CB0180">
        <w:rPr>
          <w:rFonts w:hint="cs"/>
          <w:b w:val="0"/>
          <w:bCs w:val="0"/>
          <w:rtl/>
          <w:lang w:val="fr-CH"/>
        </w:rPr>
        <w:t>(الدورة الحادية والخمسون)</w:t>
      </w:r>
    </w:p>
    <w:p w:rsidR="00406AA6" w:rsidRDefault="00406AA6" w:rsidP="00CB0180">
      <w:pPr>
        <w:pStyle w:val="SingleTxtGA"/>
        <w:rPr>
          <w:rFonts w:hint="cs"/>
          <w:rtl/>
          <w:lang w:val="fr-CH"/>
        </w:rPr>
      </w:pPr>
      <w:r>
        <w:rPr>
          <w:rFonts w:hint="cs"/>
          <w:rtl/>
          <w:lang w:val="fr-CH"/>
        </w:rPr>
        <w:t>بشأن</w:t>
      </w:r>
    </w:p>
    <w:p w:rsidR="00406AA6" w:rsidRDefault="00406AA6" w:rsidP="00CB0180">
      <w:pPr>
        <w:pStyle w:val="H1GA"/>
        <w:rPr>
          <w:rFonts w:hint="cs"/>
          <w:rtl/>
          <w:lang w:val="fr-CH"/>
        </w:rPr>
      </w:pPr>
      <w:r>
        <w:rPr>
          <w:rtl/>
          <w:lang w:val="fr-CH"/>
        </w:rPr>
        <w:tab/>
      </w:r>
      <w:r>
        <w:rPr>
          <w:rFonts w:hint="cs"/>
          <w:rtl/>
          <w:lang w:val="fr-CH"/>
        </w:rPr>
        <w:tab/>
        <w:t>البلاغ رقم 429/2010</w:t>
      </w:r>
      <w:r>
        <w:rPr>
          <w:rFonts w:hint="cs"/>
          <w:rtl/>
          <w:lang w:val="fr-CH"/>
        </w:rPr>
        <w:tab/>
      </w:r>
    </w:p>
    <w:p w:rsidR="00406AA6" w:rsidRDefault="005B0E4C" w:rsidP="005B0E4C">
      <w:pPr>
        <w:pStyle w:val="SingleTxtGA"/>
        <w:ind w:left="4649" w:hanging="3402"/>
        <w:rPr>
          <w:rFonts w:hint="cs"/>
          <w:rtl/>
          <w:lang w:val="fr-CH"/>
        </w:rPr>
      </w:pPr>
      <w:r>
        <w:rPr>
          <w:rFonts w:hint="cs"/>
          <w:i/>
          <w:iCs/>
          <w:rtl/>
          <w:lang w:val="fr-CH"/>
        </w:rPr>
        <w:tab/>
      </w:r>
      <w:r w:rsidR="00406AA6" w:rsidRPr="005469E8">
        <w:rPr>
          <w:rFonts w:hint="cs"/>
          <w:i/>
          <w:iCs/>
          <w:rtl/>
          <w:lang w:val="fr-CH"/>
        </w:rPr>
        <w:t>مقدِّم البلاغ:</w:t>
      </w:r>
      <w:r w:rsidR="0099307B">
        <w:rPr>
          <w:i/>
          <w:iCs/>
          <w:rtl/>
          <w:lang w:val="fr-CH"/>
        </w:rPr>
        <w:tab/>
      </w:r>
      <w:r w:rsidR="0099307B">
        <w:rPr>
          <w:rFonts w:hint="cs"/>
          <w:i/>
          <w:iCs/>
          <w:rtl/>
          <w:lang w:val="fr-CH"/>
        </w:rPr>
        <w:tab/>
      </w:r>
      <w:r w:rsidR="00406AA6">
        <w:rPr>
          <w:rFonts w:hint="cs"/>
          <w:rtl/>
          <w:lang w:val="fr-CH"/>
        </w:rPr>
        <w:tab/>
      </w:r>
      <w:proofErr w:type="spellStart"/>
      <w:r w:rsidR="00406AA6">
        <w:rPr>
          <w:rFonts w:hint="cs"/>
          <w:rtl/>
          <w:lang w:val="fr-CH"/>
        </w:rPr>
        <w:t>مليكتيفي</w:t>
      </w:r>
      <w:proofErr w:type="spellEnd"/>
      <w:r w:rsidR="00406AA6">
        <w:rPr>
          <w:rFonts w:hint="cs"/>
          <w:rtl/>
          <w:lang w:val="fr-CH"/>
        </w:rPr>
        <w:t xml:space="preserve"> </w:t>
      </w:r>
      <w:proofErr w:type="spellStart"/>
      <w:r w:rsidR="00406AA6">
        <w:rPr>
          <w:rFonts w:hint="cs"/>
          <w:rtl/>
          <w:lang w:val="fr-CH"/>
        </w:rPr>
        <w:t>سيفاغناناراتنام</w:t>
      </w:r>
      <w:proofErr w:type="spellEnd"/>
      <w:r w:rsidR="00406AA6">
        <w:rPr>
          <w:rFonts w:hint="cs"/>
          <w:rtl/>
          <w:lang w:val="fr-CH"/>
        </w:rPr>
        <w:t xml:space="preserve"> (يمثِّلها المحامي </w:t>
      </w:r>
      <w:proofErr w:type="spellStart"/>
      <w:r w:rsidR="00406AA6">
        <w:rPr>
          <w:rFonts w:hint="cs"/>
          <w:rtl/>
          <w:lang w:val="fr-CH"/>
        </w:rPr>
        <w:t>نيلز</w:t>
      </w:r>
      <w:proofErr w:type="spellEnd"/>
      <w:r w:rsidR="00E63051">
        <w:rPr>
          <w:rFonts w:hint="cs"/>
          <w:rtl/>
          <w:lang w:val="fr-CH"/>
        </w:rPr>
        <w:t xml:space="preserve"> </w:t>
      </w:r>
      <w:r w:rsidR="00406AA6">
        <w:rPr>
          <w:rFonts w:hint="cs"/>
          <w:rtl/>
          <w:lang w:val="fr-CH"/>
        </w:rPr>
        <w:t>-</w:t>
      </w:r>
      <w:r w:rsidR="00E63051">
        <w:rPr>
          <w:rFonts w:hint="cs"/>
          <w:rtl/>
          <w:lang w:val="fr-CH"/>
        </w:rPr>
        <w:t xml:space="preserve"> </w:t>
      </w:r>
      <w:r w:rsidR="00406AA6">
        <w:rPr>
          <w:rFonts w:hint="cs"/>
          <w:rtl/>
          <w:lang w:val="fr-CH"/>
        </w:rPr>
        <w:t xml:space="preserve">إيريك </w:t>
      </w:r>
      <w:proofErr w:type="spellStart"/>
      <w:r w:rsidR="00406AA6">
        <w:rPr>
          <w:rFonts w:hint="cs"/>
          <w:rtl/>
          <w:lang w:val="fr-CH"/>
        </w:rPr>
        <w:t>هانسن</w:t>
      </w:r>
      <w:proofErr w:type="spellEnd"/>
      <w:r w:rsidR="00406AA6">
        <w:rPr>
          <w:rFonts w:hint="cs"/>
          <w:rtl/>
          <w:lang w:val="fr-CH"/>
        </w:rPr>
        <w:t>)</w:t>
      </w:r>
    </w:p>
    <w:p w:rsidR="00406AA6" w:rsidRDefault="005B0E4C" w:rsidP="005B0E4C">
      <w:pPr>
        <w:pStyle w:val="SingleTxtGA"/>
        <w:ind w:left="4649" w:hanging="3402"/>
        <w:rPr>
          <w:rFonts w:hint="cs"/>
          <w:rtl/>
          <w:lang w:val="fr-CH"/>
        </w:rPr>
      </w:pPr>
      <w:r>
        <w:rPr>
          <w:rFonts w:hint="cs"/>
          <w:i/>
          <w:iCs/>
          <w:rtl/>
          <w:lang w:val="fr-CH"/>
        </w:rPr>
        <w:tab/>
      </w:r>
      <w:r w:rsidR="00406AA6" w:rsidRPr="0099307B">
        <w:rPr>
          <w:rFonts w:hint="cs"/>
          <w:i/>
          <w:iCs/>
          <w:rtl/>
          <w:lang w:val="fr-CH"/>
        </w:rPr>
        <w:t>الشخص المدّعى أنه ضحية:</w:t>
      </w:r>
      <w:r w:rsidR="00406AA6">
        <w:rPr>
          <w:rFonts w:hint="cs"/>
          <w:rtl/>
          <w:lang w:val="fr-CH"/>
        </w:rPr>
        <w:tab/>
        <w:t>صاحبة الشكوى</w:t>
      </w:r>
    </w:p>
    <w:p w:rsidR="00406AA6" w:rsidRDefault="005B0E4C" w:rsidP="005B0E4C">
      <w:pPr>
        <w:pStyle w:val="SingleTxtGA"/>
        <w:ind w:left="4649" w:hanging="3402"/>
        <w:rPr>
          <w:rFonts w:hint="cs"/>
          <w:rtl/>
          <w:lang w:val="fr-CH"/>
        </w:rPr>
      </w:pPr>
      <w:r>
        <w:rPr>
          <w:rFonts w:hint="cs"/>
          <w:i/>
          <w:iCs/>
          <w:rtl/>
          <w:lang w:val="fr-CH"/>
        </w:rPr>
        <w:tab/>
      </w:r>
      <w:r w:rsidR="00406AA6" w:rsidRPr="0099307B">
        <w:rPr>
          <w:rFonts w:hint="cs"/>
          <w:i/>
          <w:iCs/>
          <w:rtl/>
          <w:lang w:val="fr-CH"/>
        </w:rPr>
        <w:t>الدولة الطرف:</w:t>
      </w:r>
      <w:r w:rsidR="0099307B">
        <w:rPr>
          <w:rtl/>
          <w:lang w:val="fr-CH"/>
        </w:rPr>
        <w:tab/>
      </w:r>
      <w:r w:rsidR="0099307B">
        <w:rPr>
          <w:rFonts w:hint="cs"/>
          <w:rtl/>
          <w:lang w:val="fr-CH"/>
        </w:rPr>
        <w:tab/>
      </w:r>
      <w:r w:rsidR="00406AA6">
        <w:rPr>
          <w:rFonts w:hint="cs"/>
          <w:rtl/>
          <w:lang w:val="fr-CH"/>
        </w:rPr>
        <w:tab/>
        <w:t>الدانمرك</w:t>
      </w:r>
    </w:p>
    <w:p w:rsidR="00406AA6" w:rsidRDefault="005B0E4C" w:rsidP="005B0E4C">
      <w:pPr>
        <w:pStyle w:val="SingleTxtGA"/>
        <w:ind w:left="4649" w:hanging="3402"/>
        <w:rPr>
          <w:rFonts w:hint="cs"/>
          <w:sz w:val="22"/>
          <w:rtl/>
        </w:rPr>
      </w:pPr>
      <w:r>
        <w:rPr>
          <w:rFonts w:hint="cs"/>
          <w:i/>
          <w:iCs/>
          <w:rtl/>
          <w:lang w:val="fr-CH"/>
        </w:rPr>
        <w:tab/>
      </w:r>
      <w:r w:rsidR="00406AA6" w:rsidRPr="005469E8">
        <w:rPr>
          <w:rFonts w:hint="cs"/>
          <w:i/>
          <w:iCs/>
          <w:rtl/>
          <w:lang w:val="fr-CH"/>
        </w:rPr>
        <w:t>تاريخ تقديم الشكوى:</w:t>
      </w:r>
      <w:r w:rsidR="0099307B">
        <w:rPr>
          <w:i/>
          <w:iCs/>
          <w:rtl/>
          <w:lang w:val="fr-CH"/>
        </w:rPr>
        <w:tab/>
      </w:r>
      <w:r w:rsidR="00406AA6">
        <w:rPr>
          <w:rFonts w:hint="cs"/>
          <w:rtl/>
          <w:lang w:val="fr-CH"/>
        </w:rPr>
        <w:tab/>
        <w:t>18 آب/أغسطس 2010 (تاريخ الرسالة الأولى)</w:t>
      </w:r>
    </w:p>
    <w:p w:rsidR="00406AA6" w:rsidRDefault="0099307B" w:rsidP="0099307B">
      <w:pPr>
        <w:pStyle w:val="SingleTxtGA"/>
        <w:rPr>
          <w:rFonts w:hint="cs"/>
          <w:sz w:val="22"/>
          <w:rtl/>
        </w:rPr>
      </w:pPr>
      <w:r>
        <w:rPr>
          <w:rFonts w:hint="cs"/>
          <w:i/>
          <w:iCs/>
          <w:rtl/>
          <w:lang w:val="fr-CH"/>
        </w:rPr>
        <w:tab/>
      </w:r>
      <w:r w:rsidR="00406AA6">
        <w:rPr>
          <w:rFonts w:hint="cs"/>
          <w:i/>
          <w:iCs/>
          <w:rtl/>
          <w:lang w:val="fr-CH"/>
        </w:rPr>
        <w:t>إن لجنة مناهضة التعذيب</w:t>
      </w:r>
      <w:r w:rsidR="00406AA6">
        <w:rPr>
          <w:rFonts w:hint="cs"/>
          <w:rtl/>
          <w:lang w:val="fr-CH"/>
        </w:rPr>
        <w:t>، المنشأة بموجب المادة 17 من اتفاقية مناهضة التعذيب وغيره من ضروب المعاملة أو العقوبة القاسية أو اللاإنسانية أو المهينة،</w:t>
      </w:r>
    </w:p>
    <w:p w:rsidR="00406AA6" w:rsidRDefault="0099307B" w:rsidP="0099307B">
      <w:pPr>
        <w:pStyle w:val="SingleTxtGA"/>
        <w:rPr>
          <w:rFonts w:hint="cs"/>
          <w:sz w:val="22"/>
          <w:rtl/>
        </w:rPr>
      </w:pPr>
      <w:r>
        <w:rPr>
          <w:rFonts w:hint="cs"/>
          <w:i/>
          <w:iCs/>
          <w:rtl/>
          <w:lang w:val="fr-CH"/>
        </w:rPr>
        <w:tab/>
      </w:r>
      <w:r w:rsidR="00406AA6">
        <w:rPr>
          <w:rFonts w:hint="cs"/>
          <w:i/>
          <w:iCs/>
          <w:rtl/>
          <w:lang w:val="fr-CH"/>
        </w:rPr>
        <w:t>وقد اجتمعت</w:t>
      </w:r>
      <w:r w:rsidR="00406AA6">
        <w:rPr>
          <w:rFonts w:hint="cs"/>
          <w:rtl/>
          <w:lang w:val="fr-CH"/>
        </w:rPr>
        <w:t xml:space="preserve"> في 11 تشرين الثاني/نوفمبر 2013،</w:t>
      </w:r>
    </w:p>
    <w:p w:rsidR="00406AA6" w:rsidRDefault="0099307B" w:rsidP="005B0E4C">
      <w:pPr>
        <w:pStyle w:val="SingleTxtGA"/>
        <w:rPr>
          <w:rFonts w:hint="cs"/>
          <w:sz w:val="22"/>
          <w:rtl/>
        </w:rPr>
      </w:pPr>
      <w:r>
        <w:rPr>
          <w:rFonts w:hint="cs"/>
          <w:i/>
          <w:iCs/>
          <w:rtl/>
          <w:lang w:val="fr-CH"/>
        </w:rPr>
        <w:tab/>
      </w:r>
      <w:r w:rsidR="00406AA6" w:rsidRPr="00781023">
        <w:rPr>
          <w:rFonts w:hint="cs"/>
          <w:i/>
          <w:iCs/>
          <w:rtl/>
          <w:lang w:val="fr-CH"/>
        </w:rPr>
        <w:t xml:space="preserve">وقد فرغت </w:t>
      </w:r>
      <w:r w:rsidR="00406AA6" w:rsidRPr="00781023">
        <w:rPr>
          <w:rFonts w:hint="cs"/>
          <w:rtl/>
          <w:lang w:val="fr-CH"/>
        </w:rPr>
        <w:t>من النظر</w:t>
      </w:r>
      <w:r w:rsidR="00406AA6">
        <w:rPr>
          <w:rFonts w:hint="cs"/>
          <w:rtl/>
          <w:lang w:val="fr-CH"/>
        </w:rPr>
        <w:t xml:space="preserve"> في الشكوى رقم 429/</w:t>
      </w:r>
      <w:r w:rsidR="005B0E4C">
        <w:rPr>
          <w:rFonts w:hint="cs"/>
          <w:rtl/>
          <w:lang w:val="fr-CH"/>
        </w:rPr>
        <w:t>2010</w:t>
      </w:r>
      <w:r w:rsidR="00406AA6">
        <w:rPr>
          <w:rFonts w:hint="cs"/>
          <w:rtl/>
          <w:lang w:val="fr-CH"/>
        </w:rPr>
        <w:t xml:space="preserve"> المقدَّمة إلى لجنة مناهضة التعذيب من </w:t>
      </w:r>
      <w:proofErr w:type="spellStart"/>
      <w:r w:rsidR="00406AA6">
        <w:rPr>
          <w:rFonts w:hint="cs"/>
          <w:rtl/>
          <w:lang w:val="fr-CH"/>
        </w:rPr>
        <w:t>مليكتيفي</w:t>
      </w:r>
      <w:proofErr w:type="spellEnd"/>
      <w:r w:rsidR="00406AA6">
        <w:rPr>
          <w:rFonts w:hint="cs"/>
          <w:rtl/>
          <w:lang w:val="fr-CH"/>
        </w:rPr>
        <w:t xml:space="preserve"> </w:t>
      </w:r>
      <w:proofErr w:type="spellStart"/>
      <w:r w:rsidR="00406AA6">
        <w:rPr>
          <w:rFonts w:hint="cs"/>
          <w:rtl/>
          <w:lang w:val="fr-CH"/>
        </w:rPr>
        <w:t>سيفاغناناراتنام</w:t>
      </w:r>
      <w:proofErr w:type="spellEnd"/>
      <w:r w:rsidR="00406AA6">
        <w:rPr>
          <w:rFonts w:hint="cs"/>
          <w:rtl/>
          <w:lang w:val="fr-CH"/>
        </w:rPr>
        <w:t xml:space="preserve"> بموجب المادة 22 من اتفاقية مناهضة التعذيب وغيره من ضروب المعاملة أو العقوبة القاسية أو اللاإنسانية أو المهينة،</w:t>
      </w:r>
    </w:p>
    <w:p w:rsidR="00406AA6" w:rsidRDefault="0099307B" w:rsidP="005B0E4C">
      <w:pPr>
        <w:pStyle w:val="SingleTxtGA"/>
        <w:rPr>
          <w:rFonts w:hint="cs"/>
          <w:sz w:val="22"/>
          <w:rtl/>
        </w:rPr>
      </w:pPr>
      <w:r>
        <w:rPr>
          <w:rFonts w:hint="cs"/>
          <w:i/>
          <w:iCs/>
          <w:rtl/>
          <w:lang w:val="fr-CH"/>
        </w:rPr>
        <w:tab/>
      </w:r>
      <w:r w:rsidR="00406AA6" w:rsidRPr="0063738A">
        <w:rPr>
          <w:rFonts w:hint="cs"/>
          <w:i/>
          <w:iCs/>
          <w:rtl/>
          <w:lang w:val="fr-CH"/>
        </w:rPr>
        <w:t>وقد وضعت في اعتبارها</w:t>
      </w:r>
      <w:r w:rsidR="00406AA6">
        <w:rPr>
          <w:rFonts w:hint="cs"/>
          <w:rtl/>
          <w:lang w:val="fr-CH"/>
        </w:rPr>
        <w:t xml:space="preserve"> جميع المعلومات التي أتاحتها لها صاحبة الشكوى والدولة الطرف،</w:t>
      </w:r>
    </w:p>
    <w:p w:rsidR="00406AA6" w:rsidRDefault="0099307B" w:rsidP="0099307B">
      <w:pPr>
        <w:pStyle w:val="SingleTxtGA"/>
        <w:rPr>
          <w:rFonts w:hint="cs"/>
          <w:sz w:val="22"/>
          <w:rtl/>
        </w:rPr>
      </w:pPr>
      <w:r>
        <w:rPr>
          <w:rFonts w:hint="cs"/>
          <w:i/>
          <w:iCs/>
          <w:rtl/>
          <w:lang w:val="fr-CH"/>
        </w:rPr>
        <w:tab/>
      </w:r>
      <w:r w:rsidR="00406AA6">
        <w:rPr>
          <w:rFonts w:hint="cs"/>
          <w:i/>
          <w:iCs/>
          <w:rtl/>
          <w:lang w:val="fr-CH"/>
        </w:rPr>
        <w:t xml:space="preserve">تعتمد </w:t>
      </w:r>
      <w:r w:rsidR="00406AA6" w:rsidRPr="005469E8">
        <w:rPr>
          <w:rFonts w:hint="cs"/>
          <w:rtl/>
          <w:lang w:val="fr-CH"/>
        </w:rPr>
        <w:t>ما يلي:</w:t>
      </w:r>
    </w:p>
    <w:p w:rsidR="00406AA6" w:rsidRPr="00380605" w:rsidRDefault="0099307B" w:rsidP="005B0E4C">
      <w:pPr>
        <w:pStyle w:val="H1GA"/>
        <w:rPr>
          <w:rFonts w:hint="cs"/>
          <w:sz w:val="22"/>
          <w:rtl/>
        </w:rPr>
      </w:pPr>
      <w:r>
        <w:rPr>
          <w:rFonts w:hint="cs"/>
          <w:rtl/>
          <w:lang w:val="fr-CH"/>
        </w:rPr>
        <w:tab/>
      </w:r>
      <w:r>
        <w:rPr>
          <w:rFonts w:hint="cs"/>
          <w:rtl/>
          <w:lang w:val="fr-CH"/>
        </w:rPr>
        <w:tab/>
      </w:r>
      <w:r w:rsidR="00406AA6" w:rsidRPr="00380605">
        <w:rPr>
          <w:rFonts w:hint="cs"/>
          <w:rtl/>
          <w:lang w:val="fr-CH"/>
        </w:rPr>
        <w:t xml:space="preserve">قرار </w:t>
      </w:r>
      <w:r w:rsidR="00215CFF">
        <w:rPr>
          <w:rFonts w:hint="cs"/>
          <w:rtl/>
          <w:lang w:val="fr-CH"/>
        </w:rPr>
        <w:t xml:space="preserve">اتخذ </w:t>
      </w:r>
      <w:r w:rsidR="00406AA6" w:rsidRPr="00380605">
        <w:rPr>
          <w:rFonts w:hint="cs"/>
          <w:rtl/>
          <w:lang w:val="fr-CH"/>
        </w:rPr>
        <w:t>بموجب الفقرة 7 من المادة 22</w:t>
      </w:r>
      <w:r w:rsidR="005B0E4C">
        <w:rPr>
          <w:rFonts w:hint="cs"/>
          <w:rtl/>
          <w:lang w:val="fr-CH"/>
        </w:rPr>
        <w:t xml:space="preserve">، </w:t>
      </w:r>
      <w:r w:rsidR="00406AA6" w:rsidRPr="00380605">
        <w:rPr>
          <w:rFonts w:hint="cs"/>
          <w:rtl/>
          <w:lang w:val="fr-CH"/>
        </w:rPr>
        <w:t>من اتفاقية مناهضة التعذيب</w:t>
      </w:r>
    </w:p>
    <w:p w:rsidR="00406AA6" w:rsidRDefault="00406AA6" w:rsidP="00215CFF">
      <w:pPr>
        <w:pStyle w:val="SingleTxtGA"/>
        <w:rPr>
          <w:rFonts w:hint="cs"/>
          <w:sz w:val="22"/>
          <w:rtl/>
        </w:rPr>
      </w:pPr>
      <w:r>
        <w:rPr>
          <w:rFonts w:hint="cs"/>
          <w:sz w:val="22"/>
          <w:rtl/>
        </w:rPr>
        <w:t>1-1</w:t>
      </w:r>
      <w:r>
        <w:rPr>
          <w:rFonts w:hint="cs"/>
          <w:sz w:val="22"/>
          <w:rtl/>
        </w:rPr>
        <w:tab/>
      </w:r>
      <w:r>
        <w:rPr>
          <w:rFonts w:hint="cs"/>
          <w:rtl/>
        </w:rPr>
        <w:t xml:space="preserve">صاحبة الشكوى هي </w:t>
      </w:r>
      <w:proofErr w:type="spellStart"/>
      <w:r>
        <w:rPr>
          <w:rFonts w:hint="cs"/>
          <w:rtl/>
          <w:lang w:val="fr-CH"/>
        </w:rPr>
        <w:t>مليكتيفي</w:t>
      </w:r>
      <w:proofErr w:type="spellEnd"/>
      <w:r>
        <w:rPr>
          <w:rFonts w:hint="cs"/>
          <w:rtl/>
          <w:lang w:val="fr-CH"/>
        </w:rPr>
        <w:t xml:space="preserve"> </w:t>
      </w:r>
      <w:proofErr w:type="spellStart"/>
      <w:r>
        <w:rPr>
          <w:rFonts w:hint="cs"/>
          <w:rtl/>
          <w:lang w:val="fr-CH"/>
        </w:rPr>
        <w:t>سيفاغناناراتنام</w:t>
      </w:r>
      <w:proofErr w:type="spellEnd"/>
      <w:r>
        <w:rPr>
          <w:rFonts w:hint="cs"/>
          <w:rtl/>
          <w:lang w:val="fr-CH"/>
        </w:rPr>
        <w:t xml:space="preserve">، وهي مواطنة من سري لانكا من مواليد 1 شباط/فبراير 1957 كانت تنتظر ترحيلها من الدانمرك وقت تقديم البلاغ. وتدعي أن </w:t>
      </w:r>
      <w:r w:rsidR="00215CFF">
        <w:rPr>
          <w:rFonts w:hint="cs"/>
          <w:rtl/>
          <w:lang w:val="fr-CH"/>
        </w:rPr>
        <w:t xml:space="preserve">في </w:t>
      </w:r>
      <w:r>
        <w:rPr>
          <w:rFonts w:hint="cs"/>
          <w:rtl/>
          <w:lang w:val="fr-CH"/>
        </w:rPr>
        <w:t xml:space="preserve">ترحيل الدولة الطرف إياها انتهاك </w:t>
      </w:r>
      <w:r w:rsidR="00215CFF">
        <w:rPr>
          <w:rFonts w:hint="cs"/>
          <w:rtl/>
          <w:lang w:val="fr-CH"/>
        </w:rPr>
        <w:t>ل</w:t>
      </w:r>
      <w:r>
        <w:rPr>
          <w:rFonts w:hint="cs"/>
          <w:rtl/>
          <w:lang w:val="fr-CH"/>
        </w:rPr>
        <w:t>لمادة 3 من اتفاقية مناهضة التعذيب وغيره من ضروب المعاملة أو العقوبة القاسية أو اللاإنسانية أو المهينة</w:t>
      </w:r>
      <w:r>
        <w:rPr>
          <w:rFonts w:hint="cs"/>
          <w:rtl/>
        </w:rPr>
        <w:t>. ويمثلها المحامي</w:t>
      </w:r>
      <w:r w:rsidRPr="00FA4C5E">
        <w:rPr>
          <w:rFonts w:hint="cs"/>
          <w:rtl/>
          <w:lang w:val="fr-CH"/>
        </w:rPr>
        <w:t xml:space="preserve"> </w:t>
      </w:r>
      <w:proofErr w:type="spellStart"/>
      <w:r>
        <w:rPr>
          <w:rFonts w:hint="cs"/>
          <w:rtl/>
          <w:lang w:val="fr-CH"/>
        </w:rPr>
        <w:t>نيلز</w:t>
      </w:r>
      <w:proofErr w:type="spellEnd"/>
      <w:r w:rsidR="00B3466E">
        <w:rPr>
          <w:rFonts w:hint="cs"/>
          <w:rtl/>
          <w:lang w:val="fr-CH"/>
        </w:rPr>
        <w:t xml:space="preserve"> </w:t>
      </w:r>
      <w:r>
        <w:rPr>
          <w:rFonts w:hint="cs"/>
          <w:rtl/>
          <w:lang w:val="fr-CH"/>
        </w:rPr>
        <w:t>-</w:t>
      </w:r>
      <w:r w:rsidR="00B3466E">
        <w:rPr>
          <w:rFonts w:hint="cs"/>
          <w:rtl/>
          <w:lang w:val="fr-CH"/>
        </w:rPr>
        <w:t xml:space="preserve"> </w:t>
      </w:r>
      <w:r>
        <w:rPr>
          <w:rFonts w:hint="cs"/>
          <w:rtl/>
          <w:lang w:val="fr-CH"/>
        </w:rPr>
        <w:t xml:space="preserve">إيريك </w:t>
      </w:r>
      <w:proofErr w:type="spellStart"/>
      <w:r>
        <w:rPr>
          <w:rFonts w:hint="cs"/>
          <w:rtl/>
          <w:lang w:val="fr-CH"/>
        </w:rPr>
        <w:t>هانسن</w:t>
      </w:r>
      <w:proofErr w:type="spellEnd"/>
      <w:r>
        <w:rPr>
          <w:rFonts w:hint="cs"/>
          <w:rtl/>
        </w:rPr>
        <w:t>.</w:t>
      </w:r>
    </w:p>
    <w:p w:rsidR="00406AA6" w:rsidRDefault="00406AA6" w:rsidP="007C3160">
      <w:pPr>
        <w:pStyle w:val="SingleTxtGA"/>
        <w:rPr>
          <w:rFonts w:hint="cs"/>
          <w:rtl/>
        </w:rPr>
      </w:pPr>
      <w:r>
        <w:rPr>
          <w:rFonts w:hint="cs"/>
          <w:rtl/>
        </w:rPr>
        <w:t>1-2</w:t>
      </w:r>
      <w:r>
        <w:rPr>
          <w:rFonts w:hint="cs"/>
          <w:rtl/>
        </w:rPr>
        <w:tab/>
        <w:t>وفي 19 آب/أغسطس 2010، طلبت اللجنة إلى الدولة الطرف، عملا</w:t>
      </w:r>
      <w:r w:rsidR="00D86FFD">
        <w:rPr>
          <w:rFonts w:hint="cs"/>
          <w:rtl/>
        </w:rPr>
        <w:t>ً</w:t>
      </w:r>
      <w:r>
        <w:rPr>
          <w:rFonts w:hint="cs"/>
          <w:rtl/>
        </w:rPr>
        <w:t xml:space="preserve"> بالفقرة 1 من المادة 108 من </w:t>
      </w:r>
      <w:r w:rsidR="00215CFF">
        <w:rPr>
          <w:rFonts w:hint="cs"/>
          <w:rtl/>
        </w:rPr>
        <w:t xml:space="preserve">نظامها </w:t>
      </w:r>
      <w:r>
        <w:rPr>
          <w:rFonts w:hint="cs"/>
          <w:rtl/>
        </w:rPr>
        <w:t>الداخلي</w:t>
      </w:r>
      <w:r>
        <w:rPr>
          <w:vertAlign w:val="superscript"/>
          <w:rtl/>
        </w:rPr>
        <w:t>(</w:t>
      </w:r>
      <w:r>
        <w:rPr>
          <w:rStyle w:val="FootnoteReference"/>
          <w:sz w:val="22"/>
          <w:rtl/>
        </w:rPr>
        <w:footnoteReference w:id="1"/>
      </w:r>
      <w:r w:rsidRPr="00210C85">
        <w:rPr>
          <w:vertAlign w:val="superscript"/>
          <w:rtl/>
        </w:rPr>
        <w:t>)</w:t>
      </w:r>
      <w:r>
        <w:rPr>
          <w:rFonts w:hint="cs"/>
          <w:rtl/>
        </w:rPr>
        <w:t>، عدم طرد صاحبة الشكوى إلى سري لانكا وشكواها</w:t>
      </w:r>
      <w:r w:rsidR="00747ED4">
        <w:rPr>
          <w:rFonts w:hint="cs"/>
          <w:rtl/>
        </w:rPr>
        <w:t xml:space="preserve"> لا </w:t>
      </w:r>
      <w:r>
        <w:rPr>
          <w:rFonts w:hint="cs"/>
          <w:rtl/>
        </w:rPr>
        <w:t>تزال قيد النظر.</w:t>
      </w:r>
    </w:p>
    <w:p w:rsidR="00406AA6" w:rsidRPr="00F2738F" w:rsidRDefault="004F3B9A" w:rsidP="004F3B9A">
      <w:pPr>
        <w:pStyle w:val="H23GA"/>
        <w:rPr>
          <w:rFonts w:hint="cs"/>
          <w:rtl/>
        </w:rPr>
      </w:pPr>
      <w:r>
        <w:rPr>
          <w:rFonts w:hint="cs"/>
          <w:rtl/>
        </w:rPr>
        <w:tab/>
      </w:r>
      <w:r>
        <w:rPr>
          <w:rFonts w:hint="cs"/>
          <w:rtl/>
        </w:rPr>
        <w:tab/>
      </w:r>
      <w:r w:rsidR="00406AA6" w:rsidRPr="00F2738F">
        <w:rPr>
          <w:rFonts w:hint="cs"/>
          <w:rtl/>
        </w:rPr>
        <w:t>الوقائع كما عرض</w:t>
      </w:r>
      <w:r w:rsidR="00406AA6">
        <w:rPr>
          <w:rFonts w:hint="cs"/>
          <w:rtl/>
        </w:rPr>
        <w:t>ت</w:t>
      </w:r>
      <w:r w:rsidR="00406AA6" w:rsidRPr="00F2738F">
        <w:rPr>
          <w:rFonts w:hint="cs"/>
          <w:rtl/>
        </w:rPr>
        <w:t>ها صاحب</w:t>
      </w:r>
      <w:r w:rsidR="00406AA6">
        <w:rPr>
          <w:rFonts w:hint="cs"/>
          <w:rtl/>
        </w:rPr>
        <w:t>ة</w:t>
      </w:r>
      <w:r w:rsidR="00406AA6" w:rsidRPr="00F2738F">
        <w:rPr>
          <w:rFonts w:hint="cs"/>
          <w:rtl/>
        </w:rPr>
        <w:t xml:space="preserve"> الشكوى</w:t>
      </w:r>
    </w:p>
    <w:p w:rsidR="00406AA6" w:rsidRDefault="00406AA6" w:rsidP="00A33CE1">
      <w:pPr>
        <w:pStyle w:val="SingleTxtGA"/>
        <w:rPr>
          <w:rFonts w:hint="cs"/>
          <w:rtl/>
        </w:rPr>
      </w:pPr>
      <w:r>
        <w:rPr>
          <w:rFonts w:hint="cs"/>
          <w:rtl/>
        </w:rPr>
        <w:t>2-1</w:t>
      </w:r>
      <w:r>
        <w:rPr>
          <w:rFonts w:hint="cs"/>
          <w:rtl/>
        </w:rPr>
        <w:tab/>
        <w:t xml:space="preserve">تدفع صاحبة الشكوى بأنها سوف تتعرض للتعذيب إن هي أعيدت إلى سري لانكا بسبب ارتباطها بنمور </w:t>
      </w:r>
      <w:proofErr w:type="spellStart"/>
      <w:r>
        <w:rPr>
          <w:rFonts w:hint="cs"/>
          <w:rtl/>
        </w:rPr>
        <w:t>تاميل</w:t>
      </w:r>
      <w:proofErr w:type="spellEnd"/>
      <w:r>
        <w:rPr>
          <w:rFonts w:hint="cs"/>
          <w:rtl/>
        </w:rPr>
        <w:t xml:space="preserve"> إيلام للتحرير، علما</w:t>
      </w:r>
      <w:r w:rsidR="00D86FFD">
        <w:rPr>
          <w:rFonts w:hint="cs"/>
          <w:rtl/>
        </w:rPr>
        <w:t>ً</w:t>
      </w:r>
      <w:r>
        <w:rPr>
          <w:rFonts w:hint="cs"/>
          <w:rtl/>
        </w:rPr>
        <w:t xml:space="preserve"> بأنها هي نفسها من </w:t>
      </w:r>
      <w:proofErr w:type="spellStart"/>
      <w:r>
        <w:rPr>
          <w:rFonts w:hint="cs"/>
          <w:rtl/>
        </w:rPr>
        <w:t>التاميل</w:t>
      </w:r>
      <w:proofErr w:type="spellEnd"/>
      <w:r>
        <w:rPr>
          <w:rFonts w:hint="cs"/>
          <w:rtl/>
        </w:rPr>
        <w:t xml:space="preserve">. ومع أنها لم تكن قط من نمور </w:t>
      </w:r>
      <w:proofErr w:type="spellStart"/>
      <w:r>
        <w:rPr>
          <w:rFonts w:hint="cs"/>
          <w:rtl/>
        </w:rPr>
        <w:t>التاميل</w:t>
      </w:r>
      <w:proofErr w:type="spellEnd"/>
      <w:r>
        <w:rPr>
          <w:rFonts w:hint="cs"/>
          <w:rtl/>
        </w:rPr>
        <w:t>، فإن ابن أخيها (أو أختها) كان مناضلا</w:t>
      </w:r>
      <w:r w:rsidR="00D86FFD">
        <w:rPr>
          <w:rFonts w:hint="cs"/>
          <w:rtl/>
        </w:rPr>
        <w:t>ً</w:t>
      </w:r>
      <w:r>
        <w:rPr>
          <w:rFonts w:hint="cs"/>
          <w:rtl/>
        </w:rPr>
        <w:t xml:space="preserve"> بارزا</w:t>
      </w:r>
      <w:r w:rsidR="00D86FFD">
        <w:rPr>
          <w:rFonts w:hint="cs"/>
          <w:rtl/>
        </w:rPr>
        <w:t>ً</w:t>
      </w:r>
      <w:r>
        <w:rPr>
          <w:rFonts w:hint="cs"/>
          <w:rtl/>
        </w:rPr>
        <w:t xml:space="preserve"> في نمور </w:t>
      </w:r>
      <w:proofErr w:type="spellStart"/>
      <w:r>
        <w:rPr>
          <w:rFonts w:hint="cs"/>
          <w:rtl/>
        </w:rPr>
        <w:t>التاميل</w:t>
      </w:r>
      <w:proofErr w:type="spellEnd"/>
      <w:r>
        <w:rPr>
          <w:rFonts w:hint="cs"/>
          <w:rtl/>
        </w:rPr>
        <w:t xml:space="preserve">. وقد قتل في عام 1999، ونظمت صاحبة الشكوى مراسيم جنازته وما اقترن بها من مناسبات في مدينة فانّي التي كانت تخضع آنذاك لنمور </w:t>
      </w:r>
      <w:proofErr w:type="spellStart"/>
      <w:r>
        <w:rPr>
          <w:rFonts w:hint="cs"/>
          <w:rtl/>
        </w:rPr>
        <w:t>التاميل</w:t>
      </w:r>
      <w:proofErr w:type="spellEnd"/>
      <w:r>
        <w:rPr>
          <w:rFonts w:hint="cs"/>
          <w:rtl/>
        </w:rPr>
        <w:t xml:space="preserve">. ووُصف ابن أخ (أو أخت) صاحبة الشكوى بأنه "شهيد"، وحضر جنازته كثيرون من نمور </w:t>
      </w:r>
      <w:proofErr w:type="spellStart"/>
      <w:r>
        <w:rPr>
          <w:rFonts w:hint="cs"/>
          <w:rtl/>
        </w:rPr>
        <w:t>التاميل</w:t>
      </w:r>
      <w:proofErr w:type="spellEnd"/>
      <w:r>
        <w:rPr>
          <w:rFonts w:hint="cs"/>
          <w:rtl/>
        </w:rPr>
        <w:t xml:space="preserve">. وأُعلن عن الجنازة على نطاق واسع بوسائل منها </w:t>
      </w:r>
      <w:r w:rsidR="00A33CE1">
        <w:rPr>
          <w:rFonts w:hint="cs"/>
          <w:rtl/>
        </w:rPr>
        <w:t>توزيع رسائل إعلامية</w:t>
      </w:r>
      <w:r>
        <w:rPr>
          <w:rFonts w:hint="cs"/>
          <w:rtl/>
        </w:rPr>
        <w:t>.</w:t>
      </w:r>
    </w:p>
    <w:p w:rsidR="00406AA6" w:rsidRDefault="00406AA6" w:rsidP="004F3B9A">
      <w:pPr>
        <w:pStyle w:val="SingleTxtGA"/>
        <w:rPr>
          <w:rFonts w:hint="cs"/>
          <w:rtl/>
        </w:rPr>
      </w:pPr>
      <w:r>
        <w:rPr>
          <w:rFonts w:hint="cs"/>
          <w:rtl/>
        </w:rPr>
        <w:t>2-2</w:t>
      </w:r>
      <w:r>
        <w:rPr>
          <w:rFonts w:hint="cs"/>
          <w:rtl/>
        </w:rPr>
        <w:tab/>
        <w:t xml:space="preserve">وتدفع بأن سلطات سري لانكا سوف تستهدفها إن هي أعيدت إليها لأن زوجها أجّر قارب صيد لنمور </w:t>
      </w:r>
      <w:proofErr w:type="spellStart"/>
      <w:r>
        <w:rPr>
          <w:rFonts w:hint="cs"/>
          <w:rtl/>
        </w:rPr>
        <w:t>التاميل</w:t>
      </w:r>
      <w:proofErr w:type="spellEnd"/>
      <w:r>
        <w:rPr>
          <w:rFonts w:hint="cs"/>
          <w:rtl/>
        </w:rPr>
        <w:t>، وآوت هي وزوجها مناضلين في بيتهما وقدما إليهم الطعام في مناسبات عد</w:t>
      </w:r>
      <w:r w:rsidR="00A33CE1">
        <w:rPr>
          <w:rFonts w:hint="cs"/>
          <w:rtl/>
        </w:rPr>
        <w:t>يد</w:t>
      </w:r>
      <w:r>
        <w:rPr>
          <w:rFonts w:hint="cs"/>
          <w:rtl/>
        </w:rPr>
        <w:t>ة.</w:t>
      </w:r>
    </w:p>
    <w:p w:rsidR="00406AA6" w:rsidRDefault="00406AA6" w:rsidP="004F3B9A">
      <w:pPr>
        <w:pStyle w:val="SingleTxtGA"/>
        <w:rPr>
          <w:rFonts w:hint="cs"/>
          <w:sz w:val="22"/>
          <w:rtl/>
        </w:rPr>
      </w:pPr>
      <w:r>
        <w:rPr>
          <w:rFonts w:hint="cs"/>
          <w:rtl/>
        </w:rPr>
        <w:t>2-3</w:t>
      </w:r>
      <w:r>
        <w:rPr>
          <w:rFonts w:hint="cs"/>
          <w:rtl/>
        </w:rPr>
        <w:tab/>
        <w:t xml:space="preserve">وتدفع بأن الشرطة </w:t>
      </w:r>
      <w:r w:rsidR="00A33CE1">
        <w:rPr>
          <w:rFonts w:hint="cs"/>
          <w:rtl/>
        </w:rPr>
        <w:t xml:space="preserve">سبق أن </w:t>
      </w:r>
      <w:r>
        <w:rPr>
          <w:rFonts w:hint="cs"/>
          <w:rtl/>
        </w:rPr>
        <w:t xml:space="preserve">قبضت عليها في أكثر من مناسبة وضربتها. ففي إحدى تلك المناسبات في عام 2003، بعد أن رحلت إلى </w:t>
      </w:r>
      <w:proofErr w:type="spellStart"/>
      <w:r>
        <w:rPr>
          <w:rFonts w:hint="cs"/>
          <w:rtl/>
        </w:rPr>
        <w:t>كارافيدّي</w:t>
      </w:r>
      <w:proofErr w:type="spellEnd"/>
      <w:r>
        <w:rPr>
          <w:rFonts w:hint="cs"/>
          <w:rtl/>
        </w:rPr>
        <w:t xml:space="preserve"> التي كانت تخضع لسيطرة الحكومة، احتجزت ثلاثة أيام وضربت حتى </w:t>
      </w:r>
      <w:r>
        <w:rPr>
          <w:rFonts w:hint="cs"/>
          <w:sz w:val="22"/>
          <w:rtl/>
        </w:rPr>
        <w:t>فقدت أسنانها. وتدعي أن السلطات استهدفت أيضا</w:t>
      </w:r>
      <w:r w:rsidR="00D86FFD">
        <w:rPr>
          <w:rFonts w:hint="cs"/>
          <w:sz w:val="22"/>
          <w:rtl/>
        </w:rPr>
        <w:t>ً</w:t>
      </w:r>
      <w:r>
        <w:rPr>
          <w:rFonts w:hint="cs"/>
          <w:sz w:val="22"/>
          <w:rtl/>
        </w:rPr>
        <w:t xml:space="preserve"> أفرادا</w:t>
      </w:r>
      <w:r w:rsidR="00D86FFD">
        <w:rPr>
          <w:rFonts w:hint="cs"/>
          <w:sz w:val="22"/>
          <w:rtl/>
        </w:rPr>
        <w:t>ً</w:t>
      </w:r>
      <w:r>
        <w:rPr>
          <w:rFonts w:hint="cs"/>
          <w:sz w:val="22"/>
          <w:rtl/>
        </w:rPr>
        <w:t xml:space="preserve"> آخرين من أسرتها وأن ابنة أخيها (أو أختها) قتلت في عام 2009.</w:t>
      </w:r>
    </w:p>
    <w:p w:rsidR="00406AA6" w:rsidRDefault="00406AA6" w:rsidP="004F3B9A">
      <w:pPr>
        <w:pStyle w:val="SingleTxtGA"/>
        <w:rPr>
          <w:rFonts w:hint="cs"/>
          <w:rtl/>
        </w:rPr>
      </w:pPr>
      <w:r>
        <w:rPr>
          <w:rFonts w:hint="cs"/>
          <w:rtl/>
        </w:rPr>
        <w:t>2-4</w:t>
      </w:r>
      <w:r>
        <w:rPr>
          <w:rFonts w:hint="cs"/>
          <w:rtl/>
        </w:rPr>
        <w:tab/>
        <w:t>وتدف</w:t>
      </w:r>
      <w:r w:rsidR="00A33CE1">
        <w:rPr>
          <w:rFonts w:hint="cs"/>
          <w:rtl/>
        </w:rPr>
        <w:t>ع بأنها حصلت على جواز سفر بدفع</w:t>
      </w:r>
      <w:r>
        <w:rPr>
          <w:rFonts w:hint="cs"/>
          <w:rtl/>
        </w:rPr>
        <w:t xml:space="preserve"> رشوة واستطاعت في نهاية المطاف الفرار إلى الدانمرك بمساعدة أقارب لها كانوا يعيشون في الخارج وأصدقاء في كولومبو.</w:t>
      </w:r>
    </w:p>
    <w:p w:rsidR="00406AA6" w:rsidRDefault="00406AA6" w:rsidP="00824974">
      <w:pPr>
        <w:pStyle w:val="SingleTxtGA"/>
        <w:rPr>
          <w:rFonts w:hint="cs"/>
          <w:rtl/>
        </w:rPr>
      </w:pPr>
      <w:r>
        <w:rPr>
          <w:rFonts w:hint="cs"/>
          <w:rtl/>
        </w:rPr>
        <w:t>2-5</w:t>
      </w:r>
      <w:r>
        <w:rPr>
          <w:rFonts w:hint="cs"/>
          <w:rtl/>
        </w:rPr>
        <w:tab/>
        <w:t xml:space="preserve">ووصلت صاحبة الشكوى إلى الدانمرك في 11 تشرين الأول/أكتوبر 2008 والتمست اللجوء في 25 شباط/فبراير 2009. ورفضت إدارة الهجرة طلبها في </w:t>
      </w:r>
      <w:r w:rsidR="00A71BE0">
        <w:rPr>
          <w:rFonts w:hint="cs"/>
          <w:rtl/>
        </w:rPr>
        <w:t xml:space="preserve">19 </w:t>
      </w:r>
      <w:r>
        <w:rPr>
          <w:rFonts w:hint="cs"/>
          <w:rtl/>
        </w:rPr>
        <w:t xml:space="preserve">كانون الثاني/يناير 2010 لأنها </w:t>
      </w:r>
      <w:r w:rsidR="00A71BE0">
        <w:rPr>
          <w:rFonts w:hint="cs"/>
          <w:rtl/>
        </w:rPr>
        <w:t xml:space="preserve">وجدت </w:t>
      </w:r>
      <w:r>
        <w:rPr>
          <w:rFonts w:hint="cs"/>
          <w:rtl/>
        </w:rPr>
        <w:t xml:space="preserve">روايتها للأحداث التي أدت بها إلى التماس اللجوء </w:t>
      </w:r>
      <w:r w:rsidR="00A71BE0">
        <w:rPr>
          <w:rFonts w:hint="cs"/>
          <w:rtl/>
        </w:rPr>
        <w:t xml:space="preserve">غير </w:t>
      </w:r>
      <w:r>
        <w:rPr>
          <w:rFonts w:hint="cs"/>
          <w:rtl/>
        </w:rPr>
        <w:t>مترابطة و</w:t>
      </w:r>
      <w:r w:rsidR="00A71BE0">
        <w:rPr>
          <w:rFonts w:hint="cs"/>
          <w:rtl/>
        </w:rPr>
        <w:t xml:space="preserve">غير </w:t>
      </w:r>
      <w:r>
        <w:rPr>
          <w:rFonts w:hint="cs"/>
          <w:rtl/>
        </w:rPr>
        <w:t xml:space="preserve">معقولة. وأيد مجلس طعون اللاجئين قرار إدارة الهجرة في 19 أيار/مايو 2010 </w:t>
      </w:r>
      <w:r w:rsidR="000A054B">
        <w:rPr>
          <w:rFonts w:hint="cs"/>
          <w:rtl/>
        </w:rPr>
        <w:t xml:space="preserve">إثر </w:t>
      </w:r>
      <w:r>
        <w:rPr>
          <w:rFonts w:hint="cs"/>
          <w:rtl/>
        </w:rPr>
        <w:t>تقديم استئناف، وأ</w:t>
      </w:r>
      <w:r w:rsidR="00EA34C6">
        <w:rPr>
          <w:rFonts w:hint="cs"/>
          <w:rtl/>
        </w:rPr>
        <w:t>ُ</w:t>
      </w:r>
      <w:r>
        <w:rPr>
          <w:rFonts w:hint="cs"/>
          <w:rtl/>
        </w:rPr>
        <w:t>مِرت صاحبة الشكوى بمغادرة الدانمرك فورا</w:t>
      </w:r>
      <w:r w:rsidR="00B15850">
        <w:rPr>
          <w:rFonts w:hint="cs"/>
          <w:rtl/>
        </w:rPr>
        <w:t>ً</w:t>
      </w:r>
      <w:r>
        <w:rPr>
          <w:rFonts w:hint="cs"/>
          <w:rtl/>
        </w:rPr>
        <w:t>. وفي يوم غير معلوم من آب/أغسطس 2010، احتجزت الشرطة الدانمركية صاحبة الشكوى من أجل ترحيلها إلى سري لانكا في 20 آب/أغسطس 2010. وتدعي صاحبة الشكوى أنها استنفدت سبل الانتصاف المحلية.</w:t>
      </w:r>
    </w:p>
    <w:p w:rsidR="00406AA6" w:rsidRPr="00C235B6" w:rsidRDefault="004F3B9A" w:rsidP="004F3B9A">
      <w:pPr>
        <w:pStyle w:val="H23GA"/>
        <w:rPr>
          <w:rFonts w:hint="cs"/>
          <w:rtl/>
        </w:rPr>
      </w:pPr>
      <w:r>
        <w:rPr>
          <w:rFonts w:hint="cs"/>
          <w:rtl/>
        </w:rPr>
        <w:tab/>
      </w:r>
      <w:r>
        <w:rPr>
          <w:rFonts w:hint="cs"/>
          <w:rtl/>
        </w:rPr>
        <w:tab/>
      </w:r>
      <w:r w:rsidR="00406AA6" w:rsidRPr="00C235B6">
        <w:rPr>
          <w:rFonts w:hint="cs"/>
          <w:rtl/>
        </w:rPr>
        <w:t>الشكوى</w:t>
      </w:r>
    </w:p>
    <w:p w:rsidR="00406AA6" w:rsidRDefault="00406AA6" w:rsidP="004F3B9A">
      <w:pPr>
        <w:pStyle w:val="SingleTxtGA"/>
        <w:rPr>
          <w:rFonts w:hint="cs"/>
          <w:rtl/>
        </w:rPr>
      </w:pPr>
      <w:r>
        <w:rPr>
          <w:rFonts w:hint="cs"/>
          <w:rtl/>
        </w:rPr>
        <w:t>3-</w:t>
      </w:r>
      <w:r>
        <w:rPr>
          <w:rFonts w:hint="cs"/>
          <w:rtl/>
        </w:rPr>
        <w:tab/>
        <w:t>تدعي صاحبة الشكوى أنها سوف تحتجز وتعذب إن هي رُحلت إلى سري لانكا، الأمر الذي ينتهك المادة 3 من الاتفاقية.</w:t>
      </w:r>
    </w:p>
    <w:p w:rsidR="00406AA6" w:rsidRPr="00C235B6" w:rsidRDefault="004F3B9A" w:rsidP="004F3B9A">
      <w:pPr>
        <w:pStyle w:val="H23GA"/>
        <w:rPr>
          <w:rFonts w:hint="cs"/>
          <w:rtl/>
        </w:rPr>
      </w:pPr>
      <w:r>
        <w:rPr>
          <w:rFonts w:hint="cs"/>
          <w:rtl/>
        </w:rPr>
        <w:tab/>
      </w:r>
      <w:r>
        <w:rPr>
          <w:rFonts w:hint="cs"/>
          <w:rtl/>
        </w:rPr>
        <w:tab/>
      </w:r>
      <w:r w:rsidR="00406AA6" w:rsidRPr="00C235B6">
        <w:rPr>
          <w:rFonts w:hint="cs"/>
          <w:rtl/>
        </w:rPr>
        <w:t xml:space="preserve">ملاحظات الدولة الطرف على </w:t>
      </w:r>
      <w:proofErr w:type="spellStart"/>
      <w:r w:rsidR="00406AA6" w:rsidRPr="00C235B6">
        <w:rPr>
          <w:rFonts w:hint="cs"/>
          <w:rtl/>
        </w:rPr>
        <w:t>المقبولية</w:t>
      </w:r>
      <w:proofErr w:type="spellEnd"/>
      <w:r w:rsidR="00406AA6" w:rsidRPr="00C235B6">
        <w:rPr>
          <w:rFonts w:hint="cs"/>
          <w:rtl/>
        </w:rPr>
        <w:t xml:space="preserve"> والأسس الموضوعية</w:t>
      </w:r>
    </w:p>
    <w:p w:rsidR="00406AA6" w:rsidRDefault="00406AA6" w:rsidP="004F3B9A">
      <w:pPr>
        <w:pStyle w:val="SingleTxtGA"/>
        <w:rPr>
          <w:rFonts w:hint="cs"/>
          <w:rtl/>
        </w:rPr>
      </w:pPr>
      <w:r>
        <w:rPr>
          <w:rFonts w:hint="cs"/>
          <w:rtl/>
        </w:rPr>
        <w:t>4-1</w:t>
      </w:r>
      <w:r>
        <w:rPr>
          <w:rFonts w:hint="cs"/>
          <w:rtl/>
        </w:rPr>
        <w:tab/>
        <w:t>في 20 آب/أغسطس 2010، أبلغت الدولة الطرف اللجنة بتعليق الموعد النهائي للمغادرة ريثما تنظر اللجنة في الشكوى.</w:t>
      </w:r>
    </w:p>
    <w:p w:rsidR="00406AA6" w:rsidRDefault="00406AA6" w:rsidP="001A4487">
      <w:pPr>
        <w:pStyle w:val="SingleTxtGA"/>
        <w:rPr>
          <w:rFonts w:hint="cs"/>
          <w:rtl/>
        </w:rPr>
      </w:pPr>
      <w:r>
        <w:rPr>
          <w:rFonts w:hint="cs"/>
          <w:rtl/>
        </w:rPr>
        <w:t>4-2</w:t>
      </w:r>
      <w:r>
        <w:rPr>
          <w:rFonts w:hint="cs"/>
          <w:rtl/>
        </w:rPr>
        <w:tab/>
        <w:t xml:space="preserve">وفي 15 تشرين الأول/أكتوبر 2010، </w:t>
      </w:r>
      <w:r w:rsidR="00FF3516">
        <w:rPr>
          <w:rFonts w:hint="cs"/>
          <w:rtl/>
        </w:rPr>
        <w:t xml:space="preserve">أفادت </w:t>
      </w:r>
      <w:r>
        <w:rPr>
          <w:rFonts w:hint="cs"/>
          <w:rtl/>
        </w:rPr>
        <w:t>الدولة الطرف أن صاحبة الشكوى دخلت البلد في 11 تشرين الأول/أكتوبر 2008 بتأشيرة زائر تنقضي صلاحيتها في 4 كانون الثاني/يناير 2009، وكانت مُنحت لها لزيارة أختها وأقارب آخرين يعيشون في الدانمرك. وفي 10 شباط/فبراير 2009، رفضت إدارة الهجرة الدانمركية طلبا</w:t>
      </w:r>
      <w:r w:rsidR="00F60688">
        <w:rPr>
          <w:rFonts w:hint="cs"/>
          <w:rtl/>
        </w:rPr>
        <w:t>ً</w:t>
      </w:r>
      <w:r>
        <w:rPr>
          <w:rFonts w:hint="cs"/>
          <w:rtl/>
        </w:rPr>
        <w:t xml:space="preserve"> لم شمل العائلة. وفي 25 شباط/فبراير 2009، طلبت صاحبة الشكوى اللجوء. وفي 29 كانون الثاني/</w:t>
      </w:r>
      <w:r w:rsidR="001A4487">
        <w:rPr>
          <w:rFonts w:hint="cs"/>
          <w:rtl/>
        </w:rPr>
        <w:t xml:space="preserve"> </w:t>
      </w:r>
      <w:r>
        <w:rPr>
          <w:rFonts w:hint="cs"/>
          <w:rtl/>
        </w:rPr>
        <w:t>يناير</w:t>
      </w:r>
      <w:r w:rsidR="001A4487">
        <w:rPr>
          <w:rFonts w:hint="eastAsia"/>
          <w:rtl/>
        </w:rPr>
        <w:t> </w:t>
      </w:r>
      <w:r>
        <w:rPr>
          <w:rFonts w:hint="cs"/>
          <w:rtl/>
        </w:rPr>
        <w:t>2010، رفضت إدارة الهجرة الطلب. وفي 19 أيار/مايو 2010، أيد مجلس اللاجئين قرار إدارة الهجرة.</w:t>
      </w:r>
    </w:p>
    <w:p w:rsidR="00406AA6" w:rsidRDefault="00406AA6" w:rsidP="004E5518">
      <w:pPr>
        <w:pStyle w:val="SingleTxtGA"/>
        <w:rPr>
          <w:rFonts w:hint="cs"/>
          <w:rtl/>
        </w:rPr>
      </w:pPr>
      <w:r>
        <w:rPr>
          <w:rFonts w:hint="cs"/>
          <w:rtl/>
        </w:rPr>
        <w:t>4-3</w:t>
      </w:r>
      <w:r>
        <w:rPr>
          <w:rFonts w:hint="cs"/>
          <w:rtl/>
        </w:rPr>
        <w:tab/>
        <w:t xml:space="preserve">وتدفع الدولة الطرف بأن ما دعا صاحبة الشكوى إلى طلب اللجوء هو أن زوجها ساعد نمور </w:t>
      </w:r>
      <w:proofErr w:type="spellStart"/>
      <w:r>
        <w:rPr>
          <w:rFonts w:hint="cs"/>
          <w:rtl/>
        </w:rPr>
        <w:t>التاميل</w:t>
      </w:r>
      <w:proofErr w:type="spellEnd"/>
      <w:r>
        <w:rPr>
          <w:rFonts w:hint="cs"/>
          <w:rtl/>
        </w:rPr>
        <w:t xml:space="preserve"> بتأجيره قوارب ومحركات، وأنها نظمت مراسيم جنازة ابن أخيها (أو أختها)، وهو عضو نشط في نمور </w:t>
      </w:r>
      <w:proofErr w:type="spellStart"/>
      <w:r>
        <w:rPr>
          <w:rFonts w:hint="cs"/>
          <w:rtl/>
        </w:rPr>
        <w:t>التاميل</w:t>
      </w:r>
      <w:proofErr w:type="spellEnd"/>
      <w:r>
        <w:rPr>
          <w:rFonts w:hint="cs"/>
          <w:rtl/>
        </w:rPr>
        <w:t>، قتل في عام 1999 ووُصف بأنه "شهيد". وادعت صاحبة الشكوى أيضا</w:t>
      </w:r>
      <w:r w:rsidR="00D86FFD">
        <w:rPr>
          <w:rFonts w:hint="cs"/>
          <w:rtl/>
        </w:rPr>
        <w:t>ً</w:t>
      </w:r>
      <w:r>
        <w:rPr>
          <w:rFonts w:hint="cs"/>
          <w:rtl/>
        </w:rPr>
        <w:t xml:space="preserve"> أن أزواج بنات أخيها (أو أختها) أعضاء في نمور </w:t>
      </w:r>
      <w:proofErr w:type="spellStart"/>
      <w:r>
        <w:rPr>
          <w:rFonts w:hint="cs"/>
          <w:rtl/>
        </w:rPr>
        <w:t>التاميل</w:t>
      </w:r>
      <w:proofErr w:type="spellEnd"/>
      <w:r>
        <w:rPr>
          <w:rFonts w:hint="cs"/>
          <w:rtl/>
        </w:rPr>
        <w:t xml:space="preserve">، وأن الجيش قتل إحدى بنات أخيها (أو أختها) وأنه على علم بارتباطات أسرتها وبتنظيمها مراسيم الجنازة التي كانت مناسبة عظيمة لنمور </w:t>
      </w:r>
      <w:proofErr w:type="spellStart"/>
      <w:r>
        <w:rPr>
          <w:rFonts w:hint="cs"/>
          <w:rtl/>
        </w:rPr>
        <w:t>التاميل</w:t>
      </w:r>
      <w:proofErr w:type="spellEnd"/>
      <w:r>
        <w:rPr>
          <w:rFonts w:hint="cs"/>
          <w:rtl/>
        </w:rPr>
        <w:t>. وادعت أيضا</w:t>
      </w:r>
      <w:r w:rsidR="00D86FFD">
        <w:rPr>
          <w:rFonts w:hint="cs"/>
          <w:rtl/>
        </w:rPr>
        <w:t>ً</w:t>
      </w:r>
      <w:r>
        <w:rPr>
          <w:rFonts w:hint="cs"/>
          <w:rtl/>
        </w:rPr>
        <w:t xml:space="preserve"> أن الجيش كان يبحث بهمّة عن زوجها وعن أفراد آخرين من أسرتها في عام 2009 وأنه اكتشف أنها غادرت البلد وأن الوقائع أعلاه حملته على الاعتقاد بأنها عضو في نمور </w:t>
      </w:r>
      <w:proofErr w:type="spellStart"/>
      <w:r>
        <w:rPr>
          <w:rFonts w:hint="cs"/>
          <w:rtl/>
        </w:rPr>
        <w:t>التاميل</w:t>
      </w:r>
      <w:proofErr w:type="spellEnd"/>
      <w:r>
        <w:rPr>
          <w:rFonts w:hint="cs"/>
          <w:rtl/>
        </w:rPr>
        <w:t>. وتدفع الدولة الطرف بأن صاحبة الشكوى قدمت تصريحات متناقضة بشأن احتجاز السلطات إياها وتعذيبها في عام</w:t>
      </w:r>
      <w:r w:rsidR="004E5518">
        <w:rPr>
          <w:rFonts w:hint="eastAsia"/>
          <w:rtl/>
        </w:rPr>
        <w:t> </w:t>
      </w:r>
      <w:r>
        <w:rPr>
          <w:rFonts w:hint="cs"/>
          <w:rtl/>
        </w:rPr>
        <w:t>2003</w:t>
      </w:r>
      <w:r>
        <w:rPr>
          <w:vertAlign w:val="superscript"/>
          <w:rtl/>
        </w:rPr>
        <w:t>(</w:t>
      </w:r>
      <w:r>
        <w:rPr>
          <w:rStyle w:val="FootnoteReference"/>
          <w:sz w:val="22"/>
          <w:rtl/>
        </w:rPr>
        <w:footnoteReference w:id="2"/>
      </w:r>
      <w:r w:rsidRPr="00484B0C">
        <w:rPr>
          <w:vertAlign w:val="superscript"/>
          <w:rtl/>
        </w:rPr>
        <w:t>)</w:t>
      </w:r>
      <w:r>
        <w:rPr>
          <w:rFonts w:hint="cs"/>
          <w:rtl/>
        </w:rPr>
        <w:t>. وتُلفت الدولة الطرف النظر إلى أن صاحبة الشكوى لم تبلِّغ بأنه كانت لديها مشكلات مع السلطات في كولومبو إلا في تشرين الثاني/نوفمبر 2009، علما</w:t>
      </w:r>
      <w:r w:rsidR="00D86FFD">
        <w:rPr>
          <w:rFonts w:hint="cs"/>
          <w:rtl/>
        </w:rPr>
        <w:t>ً</w:t>
      </w:r>
      <w:r>
        <w:rPr>
          <w:rFonts w:hint="cs"/>
          <w:rtl/>
        </w:rPr>
        <w:t xml:space="preserve"> بأن طلب اللجوء الأولي الذي قدمته يعود إلى أيار/مايو 2009 وأنها ذكرت أنها لم تكن مستهدفة بمفردها وإنما لأن السلطات تضطهد جميع </w:t>
      </w:r>
      <w:proofErr w:type="spellStart"/>
      <w:r>
        <w:rPr>
          <w:rFonts w:hint="cs"/>
          <w:rtl/>
        </w:rPr>
        <w:t>التاميل</w:t>
      </w:r>
      <w:proofErr w:type="spellEnd"/>
      <w:r>
        <w:rPr>
          <w:rFonts w:hint="cs"/>
          <w:rtl/>
        </w:rPr>
        <w:t>. وتلفت الدولة الطرف النظر أيضا</w:t>
      </w:r>
      <w:r w:rsidR="00D86FFD">
        <w:rPr>
          <w:rFonts w:hint="cs"/>
          <w:rtl/>
        </w:rPr>
        <w:t>ً</w:t>
      </w:r>
      <w:r>
        <w:rPr>
          <w:rFonts w:hint="cs"/>
          <w:rtl/>
        </w:rPr>
        <w:t xml:space="preserve"> إلى كثير من التناقضات في تصريحاتها بشأن المشاكل التي كانت لديها مع السلطات عندما كانت في كولومبو، الأمر الذي سمح لها بمغادرة البلد إلى كندا في عام 2007 وجعلها تخشى العودة إلى سري لانكا في عام 2009.</w:t>
      </w:r>
    </w:p>
    <w:p w:rsidR="00406AA6" w:rsidRDefault="00406AA6" w:rsidP="00B9366F">
      <w:pPr>
        <w:pStyle w:val="SingleTxtGA"/>
        <w:rPr>
          <w:rFonts w:hint="cs"/>
          <w:rtl/>
        </w:rPr>
      </w:pPr>
      <w:r>
        <w:rPr>
          <w:rFonts w:hint="cs"/>
          <w:rtl/>
        </w:rPr>
        <w:t>4-4</w:t>
      </w:r>
      <w:r>
        <w:rPr>
          <w:rFonts w:hint="cs"/>
          <w:rtl/>
        </w:rPr>
        <w:tab/>
        <w:t xml:space="preserve">وتكرر الدولة الطرف ما جاء في قرار مجلس طعون اللاجئين ودواعي رفضه طلب اللجوء الذي قدمته صاحبة الشكوى، وهي أن أنشطتها في سري لانكا كانت محدودة </w:t>
      </w:r>
      <w:r w:rsidR="006F5E19">
        <w:rPr>
          <w:rFonts w:hint="cs"/>
          <w:rtl/>
        </w:rPr>
        <w:t xml:space="preserve">منذ </w:t>
      </w:r>
      <w:r>
        <w:rPr>
          <w:rFonts w:hint="cs"/>
          <w:rtl/>
        </w:rPr>
        <w:t>سنوات عدة؛ و"المعلومات المستفيضة" التي قدمتها في شتى تصريحاتها المتعلقة بملابسات احتجازها وتعذيبها؛ وقدرتها على مغادرة البلد والعودة إليه بحرية تامة؛ وعدم طلبها اللجوء عندما زارت كندا في عام 2007؛ وعدم طلبها اللجوء في الدانمرك إلا بعد أن رُفض طلب لم</w:t>
      </w:r>
      <w:r w:rsidR="00B9366F">
        <w:rPr>
          <w:rFonts w:hint="eastAsia"/>
          <w:rtl/>
        </w:rPr>
        <w:t> </w:t>
      </w:r>
      <w:r>
        <w:rPr>
          <w:rFonts w:hint="cs"/>
          <w:rtl/>
        </w:rPr>
        <w:t>شمل العائلة. وعليه، خلص المجلس إلى أن إعادتها إلى سري لانكا</w:t>
      </w:r>
      <w:r w:rsidR="00747ED4">
        <w:rPr>
          <w:rFonts w:hint="cs"/>
          <w:rtl/>
        </w:rPr>
        <w:t xml:space="preserve"> لا </w:t>
      </w:r>
      <w:r>
        <w:rPr>
          <w:rFonts w:hint="cs"/>
          <w:rtl/>
        </w:rPr>
        <w:t>ينطوي على أي تهديد باضطهادها.</w:t>
      </w:r>
    </w:p>
    <w:p w:rsidR="00406AA6" w:rsidRDefault="00406AA6" w:rsidP="007F6E6F">
      <w:pPr>
        <w:pStyle w:val="SingleTxtGA"/>
        <w:rPr>
          <w:rFonts w:hint="cs"/>
          <w:rtl/>
        </w:rPr>
      </w:pPr>
      <w:r>
        <w:rPr>
          <w:rFonts w:hint="cs"/>
          <w:rtl/>
        </w:rPr>
        <w:t>4-5</w:t>
      </w:r>
      <w:r>
        <w:rPr>
          <w:rFonts w:hint="cs"/>
          <w:rtl/>
        </w:rPr>
        <w:tab/>
        <w:t>ومضت الدولة الطرف تصف بِنية مجلس طعون اللاجئين وسير عمله، وبالتحديد أنه يتألف من رئيس ومن نواب للرئيس، وهم قضاة، و</w:t>
      </w:r>
      <w:r w:rsidR="001A5B9E">
        <w:rPr>
          <w:rFonts w:hint="cs"/>
          <w:rtl/>
        </w:rPr>
        <w:t xml:space="preserve">من </w:t>
      </w:r>
      <w:r>
        <w:rPr>
          <w:rFonts w:hint="cs"/>
          <w:rtl/>
        </w:rPr>
        <w:t>أعضاء آخرين يجب أن يكونوا محامين أو عاملين في وزارة الشؤون الاجتماعية والطفولة والاندماج، وأن اللجنة التنفيذية للمجلس هي التي تعينهم. وجاء في قانون الأجانب أن الأعضاء مستقلون وأنه</w:t>
      </w:r>
      <w:r w:rsidR="00747ED4">
        <w:rPr>
          <w:rFonts w:hint="cs"/>
          <w:rtl/>
        </w:rPr>
        <w:t xml:space="preserve"> لا </w:t>
      </w:r>
      <w:r>
        <w:rPr>
          <w:rFonts w:hint="cs"/>
          <w:rtl/>
        </w:rPr>
        <w:t>يجوز لهم تلقي تعليمات من السلطة التي تعينهم أو ترشحهم. ومن المعتاد أن يعيّن المجلس محاميا</w:t>
      </w:r>
      <w:r w:rsidR="00D86FFD">
        <w:rPr>
          <w:rFonts w:hint="cs"/>
          <w:rtl/>
        </w:rPr>
        <w:t>ً</w:t>
      </w:r>
      <w:r>
        <w:rPr>
          <w:rFonts w:hint="cs"/>
          <w:rtl/>
        </w:rPr>
        <w:t xml:space="preserve"> لمقدم الطلب، ويحق للمحامي أن يلتقي مقدم الطلب </w:t>
      </w:r>
      <w:r w:rsidR="003A0091">
        <w:rPr>
          <w:rFonts w:hint="cs"/>
          <w:rtl/>
        </w:rPr>
        <w:t xml:space="preserve">وينظر </w:t>
      </w:r>
      <w:r>
        <w:rPr>
          <w:rFonts w:hint="cs"/>
          <w:rtl/>
        </w:rPr>
        <w:t>في ملف قضيته. و</w:t>
      </w:r>
      <w:r w:rsidR="003A0091">
        <w:rPr>
          <w:rFonts w:hint="cs"/>
          <w:rtl/>
        </w:rPr>
        <w:t xml:space="preserve">تكون </w:t>
      </w:r>
      <w:r>
        <w:rPr>
          <w:rFonts w:hint="cs"/>
          <w:rtl/>
        </w:rPr>
        <w:t xml:space="preserve">الإجراءات المعروضة على المجلس شفوية؛ ويحضر الجلسات مترجم فوري وممثل لإدارة الهجرة. ويحق لمقدم الطلب أن يدلي بتصريحات ويجيب عن الأسئلة؛ ويجوز للمحامي وممثل إدارة الهجرة أن يقدما تعليقات ختامية ولمقدم الطلب أن يقدم </w:t>
      </w:r>
      <w:r w:rsidR="00C7445D">
        <w:rPr>
          <w:rFonts w:hint="cs"/>
          <w:rtl/>
        </w:rPr>
        <w:t xml:space="preserve">إفادة </w:t>
      </w:r>
      <w:r>
        <w:rPr>
          <w:rFonts w:hint="cs"/>
          <w:rtl/>
        </w:rPr>
        <w:t>نهائي</w:t>
      </w:r>
      <w:r w:rsidR="00C7445D">
        <w:rPr>
          <w:rFonts w:hint="cs"/>
          <w:rtl/>
        </w:rPr>
        <w:t>ة</w:t>
      </w:r>
      <w:r>
        <w:rPr>
          <w:rFonts w:hint="cs"/>
          <w:rtl/>
        </w:rPr>
        <w:t>. ويصدر المجلس قرارا</w:t>
      </w:r>
      <w:r w:rsidR="00D86FFD">
        <w:rPr>
          <w:rFonts w:hint="cs"/>
          <w:rtl/>
        </w:rPr>
        <w:t>ً</w:t>
      </w:r>
      <w:r>
        <w:rPr>
          <w:rFonts w:hint="cs"/>
          <w:rtl/>
        </w:rPr>
        <w:t xml:space="preserve"> خطيا</w:t>
      </w:r>
      <w:r w:rsidR="00D86FFD">
        <w:rPr>
          <w:rFonts w:hint="cs"/>
          <w:rtl/>
        </w:rPr>
        <w:t>ً</w:t>
      </w:r>
      <w:r w:rsidR="00747ED4">
        <w:rPr>
          <w:rFonts w:hint="cs"/>
          <w:rtl/>
        </w:rPr>
        <w:t xml:space="preserve"> لا </w:t>
      </w:r>
      <w:r w:rsidR="007F6E6F">
        <w:rPr>
          <w:rFonts w:hint="cs"/>
          <w:rtl/>
        </w:rPr>
        <w:t>ت</w:t>
      </w:r>
      <w:r>
        <w:rPr>
          <w:rFonts w:hint="cs"/>
          <w:rtl/>
        </w:rPr>
        <w:t>جوز مراجعته قضائيا</w:t>
      </w:r>
      <w:r w:rsidR="00B15850">
        <w:rPr>
          <w:rFonts w:hint="cs"/>
          <w:rtl/>
        </w:rPr>
        <w:t>ً</w:t>
      </w:r>
      <w:r>
        <w:rPr>
          <w:rFonts w:hint="cs"/>
          <w:rtl/>
        </w:rPr>
        <w:t xml:space="preserve">. وتُعرض قرارات إدارة الهجرة </w:t>
      </w:r>
      <w:r w:rsidR="007F6E6F">
        <w:rPr>
          <w:rFonts w:hint="cs"/>
          <w:rtl/>
        </w:rPr>
        <w:t xml:space="preserve">برفض طلبات </w:t>
      </w:r>
      <w:r w:rsidR="00B9366F">
        <w:rPr>
          <w:rFonts w:hint="cs"/>
          <w:rtl/>
        </w:rPr>
        <w:t>ال</w:t>
      </w:r>
      <w:r>
        <w:rPr>
          <w:rFonts w:hint="cs"/>
          <w:rtl/>
        </w:rPr>
        <w:t xml:space="preserve">لجوء على المجلس، ويعلّق </w:t>
      </w:r>
      <w:r w:rsidR="007F6E6F">
        <w:rPr>
          <w:rFonts w:hint="cs"/>
          <w:rtl/>
        </w:rPr>
        <w:t xml:space="preserve">طلب </w:t>
      </w:r>
      <w:r>
        <w:rPr>
          <w:rFonts w:hint="cs"/>
          <w:rtl/>
        </w:rPr>
        <w:t xml:space="preserve">الطعنُ </w:t>
      </w:r>
      <w:r w:rsidR="007F6E6F">
        <w:rPr>
          <w:rFonts w:hint="cs"/>
          <w:rtl/>
        </w:rPr>
        <w:t xml:space="preserve">عملية </w:t>
      </w:r>
      <w:r>
        <w:rPr>
          <w:rFonts w:hint="cs"/>
          <w:rtl/>
        </w:rPr>
        <w:t>إعادة الشخص إلى بلده.</w:t>
      </w:r>
    </w:p>
    <w:p w:rsidR="00406AA6" w:rsidRDefault="00406AA6" w:rsidP="004F3B9A">
      <w:pPr>
        <w:pStyle w:val="SingleTxtGA"/>
        <w:rPr>
          <w:rFonts w:hint="cs"/>
          <w:sz w:val="22"/>
          <w:rtl/>
        </w:rPr>
      </w:pPr>
      <w:r>
        <w:rPr>
          <w:rFonts w:hint="cs"/>
          <w:sz w:val="22"/>
          <w:rtl/>
        </w:rPr>
        <w:t>4-6</w:t>
      </w:r>
      <w:r>
        <w:rPr>
          <w:rFonts w:hint="cs"/>
          <w:sz w:val="22"/>
          <w:rtl/>
        </w:rPr>
        <w:tab/>
      </w:r>
      <w:r w:rsidR="000D627A">
        <w:rPr>
          <w:rFonts w:hint="cs"/>
          <w:rtl/>
          <w:lang w:val="fr-CH"/>
        </w:rPr>
        <w:t>وتفيد الدولة الطرف بأن</w:t>
      </w:r>
      <w:r>
        <w:rPr>
          <w:rFonts w:hint="cs"/>
          <w:rtl/>
          <w:lang w:val="fr-CH"/>
        </w:rPr>
        <w:t xml:space="preserve"> الفقرة 1 من المادة 7 من قانون الأجانب تبيح منح الأجانب تصريح إقامة إذا كان الشخص المعني مشمولاً بأحكام الاتفاقية الخاصة بوضع اللاجئين. لذا، أُدرجت المادة 1(أ) من تلك الاتفاقية في القانون الدانمركي. ورغم أن هذه المادة</w:t>
      </w:r>
      <w:r w:rsidR="00747ED4">
        <w:rPr>
          <w:rFonts w:hint="cs"/>
          <w:rtl/>
          <w:lang w:val="fr-CH"/>
        </w:rPr>
        <w:t xml:space="preserve"> لا </w:t>
      </w:r>
      <w:r>
        <w:rPr>
          <w:rFonts w:hint="cs"/>
          <w:rtl/>
          <w:lang w:val="fr-CH"/>
        </w:rPr>
        <w:t>تذكر التعذيب من بين مبررات اللجوء، فإنه يمكن اعتبار التعذيب عنصراً من عناصر الاضطهاد.</w:t>
      </w:r>
      <w:r w:rsidRPr="00B90395">
        <w:rPr>
          <w:rFonts w:hint="cs"/>
          <w:rtl/>
          <w:lang w:val="fr-CH"/>
        </w:rPr>
        <w:t xml:space="preserve"> </w:t>
      </w:r>
      <w:r>
        <w:rPr>
          <w:rFonts w:hint="cs"/>
          <w:rtl/>
          <w:lang w:val="fr-CH"/>
        </w:rPr>
        <w:t>وبناءً عليه، يمكن منح تصريح إقامة في الحالات التي يُستنتج فيها أن ملتمس اللجوء تعرض للتعذيب قبل دخول الدولة الطرف وحيثما اعتُبر خوفه الشديد الناتج عما تعرض له من تعديات خوفاً مسوغاً.</w:t>
      </w:r>
      <w:r w:rsidRPr="00B90395">
        <w:rPr>
          <w:rFonts w:hint="cs"/>
          <w:rtl/>
          <w:lang w:val="fr-CH"/>
        </w:rPr>
        <w:t xml:space="preserve"> </w:t>
      </w:r>
      <w:r>
        <w:rPr>
          <w:rFonts w:hint="cs"/>
          <w:rtl/>
          <w:lang w:val="fr-CH"/>
        </w:rPr>
        <w:t>ويُمنح هذا التصريح حتى عندما</w:t>
      </w:r>
      <w:r w:rsidR="00747ED4">
        <w:rPr>
          <w:rFonts w:hint="cs"/>
          <w:rtl/>
          <w:lang w:val="fr-CH"/>
        </w:rPr>
        <w:t xml:space="preserve"> لا </w:t>
      </w:r>
      <w:r>
        <w:rPr>
          <w:rFonts w:hint="cs"/>
          <w:rtl/>
          <w:lang w:val="fr-CH"/>
        </w:rPr>
        <w:t>تعتبر الإعادة الممكنة مصدراً محتملاً للمزيد من الاضطهاد. وبالمثل، تنص الفقرة 2 من المادة 7 من قانون الأجانب على إمكانية منح تصريح إقامة لملتمس لجوء أجنبي يُحتمل أن يعاقب بالإعدام أو يتعرض للتعذيب أو غيره من ضروب المعاملة أو العقوبة اللاإنسانية أو المهينة في حال عودته إلى بلده. وفي الواقع، يعتبر مجلس طعون اللاجئين أن هذه الشروط تكون مستوفاة عندما تتوفر عوامل محددة وفردية ترجح تعرض الشخص لخطر حقيقي.</w:t>
      </w:r>
    </w:p>
    <w:p w:rsidR="00406AA6" w:rsidRDefault="00406AA6" w:rsidP="00AB5429">
      <w:pPr>
        <w:pStyle w:val="SingleTxtGA"/>
        <w:rPr>
          <w:rFonts w:hint="cs"/>
          <w:sz w:val="22"/>
          <w:rtl/>
        </w:rPr>
      </w:pPr>
      <w:r>
        <w:rPr>
          <w:rFonts w:hint="cs"/>
          <w:sz w:val="22"/>
          <w:rtl/>
        </w:rPr>
        <w:t>4-7</w:t>
      </w:r>
      <w:r>
        <w:rPr>
          <w:rFonts w:hint="cs"/>
          <w:sz w:val="22"/>
          <w:rtl/>
        </w:rPr>
        <w:tab/>
      </w:r>
      <w:r>
        <w:rPr>
          <w:rFonts w:hint="cs"/>
          <w:rtl/>
          <w:lang w:val="fr-CH"/>
        </w:rPr>
        <w:t xml:space="preserve">وتستند قرارات مجلس طعون اللاجئين إلى تقييم فردي ومحدد لكل حالة. وتُقيّم تصريحات ملتمسي اللجوء عن أسباب اللجوء في ضوء جميع القرائن الوجيهة، بما فيها المعلومات الأساسية العامة المتعلقة بحالة الوطن وظروفه، ويُنظر بالتحديد فيما إذا كانت تحدث في الوطن انتهاكات جسيمة أو سافرة أو جماعية </w:t>
      </w:r>
      <w:proofErr w:type="spellStart"/>
      <w:r>
        <w:rPr>
          <w:rFonts w:hint="cs"/>
          <w:rtl/>
          <w:lang w:val="fr-CH"/>
        </w:rPr>
        <w:t>ممنهجة</w:t>
      </w:r>
      <w:proofErr w:type="spellEnd"/>
      <w:r>
        <w:rPr>
          <w:rFonts w:hint="cs"/>
          <w:rtl/>
          <w:lang w:val="fr-CH"/>
        </w:rPr>
        <w:t xml:space="preserve"> لحقوق الإنسان. وتُستمد المعلومات الأساسية من مصادر شتى، منها التقارير القطرية التي تعدها حكومات أخرى إلى جانب المعلومات المتاحة من مفوضية الأمم المتحدة لشؤون اللاجئين والمنظمات غير الحكومية البارزة.</w:t>
      </w:r>
      <w:r>
        <w:rPr>
          <w:rFonts w:hint="cs"/>
          <w:sz w:val="22"/>
          <w:rtl/>
        </w:rPr>
        <w:t xml:space="preserve"> وتشير الدولة الطرف تحديدا</w:t>
      </w:r>
      <w:r w:rsidR="00D86FFD">
        <w:rPr>
          <w:rFonts w:hint="cs"/>
          <w:sz w:val="22"/>
          <w:rtl/>
        </w:rPr>
        <w:t>ً</w:t>
      </w:r>
      <w:r>
        <w:rPr>
          <w:rFonts w:hint="cs"/>
          <w:sz w:val="22"/>
          <w:rtl/>
        </w:rPr>
        <w:t xml:space="preserve"> إلى تقرير مفوضية شؤون اللاجئين المؤرخ 5 تموز/</w:t>
      </w:r>
      <w:r w:rsidR="00AB5429">
        <w:rPr>
          <w:rFonts w:hint="cs"/>
          <w:sz w:val="22"/>
          <w:rtl/>
        </w:rPr>
        <w:t xml:space="preserve"> </w:t>
      </w:r>
      <w:r>
        <w:rPr>
          <w:rFonts w:hint="cs"/>
          <w:sz w:val="22"/>
          <w:rtl/>
        </w:rPr>
        <w:t>يوليه</w:t>
      </w:r>
      <w:r w:rsidR="00AB5429">
        <w:rPr>
          <w:rFonts w:hint="eastAsia"/>
          <w:sz w:val="22"/>
          <w:rtl/>
        </w:rPr>
        <w:t> </w:t>
      </w:r>
      <w:r>
        <w:rPr>
          <w:rFonts w:hint="cs"/>
          <w:sz w:val="22"/>
          <w:rtl/>
        </w:rPr>
        <w:t>2010</w:t>
      </w:r>
      <w:r w:rsidR="009F5114">
        <w:rPr>
          <w:rFonts w:hint="cs"/>
          <w:sz w:val="22"/>
          <w:rtl/>
        </w:rPr>
        <w:t>،</w:t>
      </w:r>
      <w:r>
        <w:rPr>
          <w:rFonts w:hint="cs"/>
          <w:sz w:val="22"/>
          <w:rtl/>
        </w:rPr>
        <w:t xml:space="preserve"> الذي ورد فيه أن مواطني سري لانكا المنحدرين من شمال البلاد لم يعودوا يحتاجون إلى حماية دولية في إطار معايير اللجوء الأوسع نطاقا</w:t>
      </w:r>
      <w:r w:rsidR="00D86FFD">
        <w:rPr>
          <w:rFonts w:hint="cs"/>
          <w:sz w:val="22"/>
          <w:rtl/>
        </w:rPr>
        <w:t>ً</w:t>
      </w:r>
      <w:r>
        <w:rPr>
          <w:rFonts w:hint="cs"/>
          <w:sz w:val="22"/>
          <w:rtl/>
        </w:rPr>
        <w:t xml:space="preserve"> أو الأشكال التكميلية للحماية لمجرد احتمال حدوث ضرر بدافع التمييز، وأن الحاجة لم تعد تدعو إلى آليات حماية جماعية أو افتراض أهلية مواطني سري لانكا من إثنية </w:t>
      </w:r>
      <w:proofErr w:type="spellStart"/>
      <w:r>
        <w:rPr>
          <w:rFonts w:hint="cs"/>
          <w:sz w:val="22"/>
          <w:rtl/>
        </w:rPr>
        <w:t>التاميل</w:t>
      </w:r>
      <w:proofErr w:type="spellEnd"/>
      <w:r>
        <w:rPr>
          <w:rFonts w:hint="cs"/>
          <w:sz w:val="22"/>
          <w:rtl/>
        </w:rPr>
        <w:t xml:space="preserve"> المنحدرين من شمال البلاد. ويخلص التقرير إلى أن "الوضع في سري لانكا في تحسّن مستمر وقت كتابة التقرير".</w:t>
      </w:r>
    </w:p>
    <w:p w:rsidR="00406AA6" w:rsidRDefault="00406AA6" w:rsidP="004F3B9A">
      <w:pPr>
        <w:pStyle w:val="SingleTxtGA"/>
        <w:rPr>
          <w:rFonts w:hint="cs"/>
          <w:sz w:val="22"/>
          <w:rtl/>
        </w:rPr>
      </w:pPr>
      <w:r>
        <w:rPr>
          <w:rFonts w:hint="cs"/>
          <w:sz w:val="22"/>
          <w:rtl/>
        </w:rPr>
        <w:t>4-8</w:t>
      </w:r>
      <w:r>
        <w:rPr>
          <w:rFonts w:hint="cs"/>
          <w:sz w:val="22"/>
          <w:rtl/>
        </w:rPr>
        <w:tab/>
      </w:r>
      <w:r>
        <w:rPr>
          <w:rFonts w:hint="cs"/>
          <w:rtl/>
          <w:lang w:val="fr-CH"/>
        </w:rPr>
        <w:t>وفي الحالات التي يُتذرع فيها بالتعذيب بوصفه أساسا</w:t>
      </w:r>
      <w:r w:rsidR="002A76A2">
        <w:rPr>
          <w:rFonts w:hint="cs"/>
          <w:rtl/>
          <w:lang w:val="fr-CH"/>
        </w:rPr>
        <w:t>ً</w:t>
      </w:r>
      <w:r>
        <w:rPr>
          <w:rFonts w:hint="cs"/>
          <w:rtl/>
          <w:lang w:val="fr-CH"/>
        </w:rPr>
        <w:t xml:space="preserve"> من أسس التماس اللجوء، يمكن لمجلس طعون اللاجئين أن يطلب من ملتمس اللجوء الخضوع لفحص طبي بغية الكشف عن أمارات التعذيب. وقرار ما إذا كان من اللازم إجراء الفحص الطبي يُتخذ في جلسة من جلسات المجلس ويتوقف على ملابسات الحالة المحددة وعلى مصداقية أقوال ملتمس اللجوء عن التعذيب.</w:t>
      </w:r>
    </w:p>
    <w:p w:rsidR="00406AA6" w:rsidRDefault="009F5114" w:rsidP="0098378F">
      <w:pPr>
        <w:pStyle w:val="SingleTxtGA"/>
        <w:rPr>
          <w:rFonts w:hint="cs"/>
          <w:sz w:val="22"/>
          <w:rtl/>
        </w:rPr>
      </w:pPr>
      <w:r>
        <w:rPr>
          <w:rFonts w:hint="cs"/>
          <w:sz w:val="22"/>
          <w:rtl/>
        </w:rPr>
        <w:t>4</w:t>
      </w:r>
      <w:r w:rsidR="00406AA6">
        <w:rPr>
          <w:rFonts w:hint="cs"/>
          <w:sz w:val="22"/>
          <w:rtl/>
        </w:rPr>
        <w:t>-9</w:t>
      </w:r>
      <w:r w:rsidR="00406AA6">
        <w:rPr>
          <w:rFonts w:hint="cs"/>
          <w:sz w:val="22"/>
          <w:rtl/>
        </w:rPr>
        <w:tab/>
      </w:r>
      <w:r w:rsidR="00406AA6">
        <w:rPr>
          <w:rFonts w:hint="cs"/>
          <w:rtl/>
          <w:lang w:val="fr-CH"/>
        </w:rPr>
        <w:t xml:space="preserve">وتدفع الدولة الطرف بأن صاحبة الشكوى مسؤولة عن إثبات وجاهة قضيتها بوضوح </w:t>
      </w:r>
      <w:r w:rsidR="0098378F">
        <w:rPr>
          <w:rFonts w:hint="cs"/>
          <w:rtl/>
          <w:lang w:val="fr-CH"/>
        </w:rPr>
        <w:t xml:space="preserve">من أجل </w:t>
      </w:r>
      <w:r w:rsidR="00406AA6">
        <w:rPr>
          <w:rFonts w:hint="cs"/>
          <w:rtl/>
          <w:lang w:val="fr-CH"/>
        </w:rPr>
        <w:t>قبول الشكوى بموجب المادة 22 من الاتفاقية، ولم يثبت في هذه الشكوى وجود أسباب قوية تحمل على الاعتقاد بأن صاحبة الشكوى ستتعرض للتعذيب في حال إعادتها إلى سري لانكا. ويُستنتج بوضوح أن الشكوى بلا أساس وينبغي من ثم اعتبارها غير مقبولة.</w:t>
      </w:r>
    </w:p>
    <w:p w:rsidR="00406AA6" w:rsidRDefault="00406AA6" w:rsidP="00D1411D">
      <w:pPr>
        <w:pStyle w:val="SingleTxtGA"/>
        <w:rPr>
          <w:rFonts w:hint="cs"/>
          <w:sz w:val="22"/>
          <w:rtl/>
        </w:rPr>
      </w:pPr>
      <w:r>
        <w:rPr>
          <w:rFonts w:hint="cs"/>
          <w:sz w:val="22"/>
          <w:rtl/>
        </w:rPr>
        <w:t>4-10</w:t>
      </w:r>
      <w:r>
        <w:rPr>
          <w:rFonts w:hint="cs"/>
          <w:sz w:val="22"/>
          <w:rtl/>
        </w:rPr>
        <w:tab/>
      </w:r>
      <w:r>
        <w:rPr>
          <w:rFonts w:hint="cs"/>
          <w:rtl/>
          <w:lang w:val="fr-CH"/>
        </w:rPr>
        <w:t xml:space="preserve">والغرض من هذه الشكوى هو استخدام اللجنة </w:t>
      </w:r>
      <w:r w:rsidR="0098378F">
        <w:rPr>
          <w:rFonts w:hint="cs"/>
          <w:rtl/>
          <w:lang w:val="fr-CH"/>
        </w:rPr>
        <w:t xml:space="preserve">بمثابة </w:t>
      </w:r>
      <w:r>
        <w:rPr>
          <w:rFonts w:hint="cs"/>
          <w:rtl/>
          <w:lang w:val="fr-CH"/>
        </w:rPr>
        <w:t xml:space="preserve">هيئةَ استئناف </w:t>
      </w:r>
      <w:r w:rsidR="009F5114">
        <w:rPr>
          <w:rFonts w:hint="cs"/>
          <w:rtl/>
          <w:lang w:val="fr-CH"/>
        </w:rPr>
        <w:t>ل</w:t>
      </w:r>
      <w:r>
        <w:rPr>
          <w:rFonts w:hint="cs"/>
          <w:rtl/>
          <w:lang w:val="fr-CH"/>
        </w:rPr>
        <w:t xml:space="preserve">تعيد تقييم الملابسات المدفوع بها لدعم طلب اللجوء. </w:t>
      </w:r>
      <w:r w:rsidR="008309E9">
        <w:rPr>
          <w:rFonts w:hint="cs"/>
          <w:rtl/>
          <w:lang w:val="fr-CH"/>
        </w:rPr>
        <w:t xml:space="preserve">وتشير </w:t>
      </w:r>
      <w:r>
        <w:rPr>
          <w:rFonts w:hint="cs"/>
          <w:rtl/>
          <w:lang w:val="fr-CH"/>
        </w:rPr>
        <w:t xml:space="preserve">الدولة الطرف </w:t>
      </w:r>
      <w:r w:rsidR="008309E9">
        <w:rPr>
          <w:rFonts w:hint="cs"/>
          <w:rtl/>
          <w:lang w:val="fr-CH"/>
        </w:rPr>
        <w:t xml:space="preserve">إلى </w:t>
      </w:r>
      <w:r>
        <w:rPr>
          <w:rFonts w:hint="cs"/>
          <w:rtl/>
          <w:lang w:val="fr-CH"/>
        </w:rPr>
        <w:t>تعليق اللجنة العام رقم</w:t>
      </w:r>
      <w:r w:rsidR="00D1411D">
        <w:rPr>
          <w:rFonts w:hint="eastAsia"/>
          <w:rtl/>
          <w:lang w:val="fr-CH"/>
        </w:rPr>
        <w:t> </w:t>
      </w:r>
      <w:r>
        <w:rPr>
          <w:rFonts w:hint="cs"/>
          <w:rtl/>
          <w:lang w:val="fr-CH"/>
        </w:rPr>
        <w:t>1(1997) بشأن تنفيذ المادة 3 من الاتفاقية</w:t>
      </w:r>
      <w:r>
        <w:rPr>
          <w:vertAlign w:val="superscript"/>
          <w:rtl/>
          <w:lang w:val="fr-CH"/>
        </w:rPr>
        <w:t>(</w:t>
      </w:r>
      <w:r>
        <w:rPr>
          <w:rStyle w:val="FootnoteReference"/>
          <w:rtl/>
          <w:lang w:val="fr-CH"/>
        </w:rPr>
        <w:footnoteReference w:id="3"/>
      </w:r>
      <w:r w:rsidRPr="00EE77C2">
        <w:rPr>
          <w:vertAlign w:val="superscript"/>
          <w:rtl/>
          <w:lang w:val="fr-CH"/>
        </w:rPr>
        <w:t>)</w:t>
      </w:r>
      <w:r>
        <w:rPr>
          <w:rFonts w:hint="cs"/>
          <w:rtl/>
          <w:lang w:val="fr-CH"/>
        </w:rPr>
        <w:t>، وترى أن اللجنة ينبغي أن تعطي وزناً كبيراً لتقارير الوقائع التي تقدمها الدولة الطرف المعنية. وقد أُتيحت لصاحبة الشكوى في هذه القضية فرصة تقديم آرائها كتابياً وشفوياً بمساعدة محام. ثم أجرى مجلس طعون اللاجئين فحصا</w:t>
      </w:r>
      <w:r w:rsidR="002A76A2">
        <w:rPr>
          <w:rFonts w:hint="cs"/>
          <w:rtl/>
          <w:lang w:val="fr-CH"/>
        </w:rPr>
        <w:t>ً</w:t>
      </w:r>
      <w:r>
        <w:rPr>
          <w:rFonts w:hint="cs"/>
          <w:rtl/>
          <w:lang w:val="fr-CH"/>
        </w:rPr>
        <w:t xml:space="preserve"> وافيا</w:t>
      </w:r>
      <w:r w:rsidR="002A76A2">
        <w:rPr>
          <w:rFonts w:hint="cs"/>
          <w:rtl/>
          <w:lang w:val="fr-CH"/>
        </w:rPr>
        <w:t>ً</w:t>
      </w:r>
      <w:r>
        <w:rPr>
          <w:rFonts w:hint="cs"/>
          <w:rtl/>
          <w:lang w:val="fr-CH"/>
        </w:rPr>
        <w:t xml:space="preserve"> وشاملا</w:t>
      </w:r>
      <w:r w:rsidR="002A76A2">
        <w:rPr>
          <w:rFonts w:hint="cs"/>
          <w:rtl/>
          <w:lang w:val="fr-CH"/>
        </w:rPr>
        <w:t>ً</w:t>
      </w:r>
      <w:r>
        <w:rPr>
          <w:rFonts w:hint="cs"/>
          <w:rtl/>
          <w:lang w:val="fr-CH"/>
        </w:rPr>
        <w:t xml:space="preserve"> للقرائن </w:t>
      </w:r>
      <w:r w:rsidR="003971A5">
        <w:rPr>
          <w:rFonts w:hint="cs"/>
          <w:rtl/>
          <w:lang w:val="fr-CH"/>
        </w:rPr>
        <w:t>المعروضة في القضية. وبناءً عليه</w:t>
      </w:r>
      <w:r>
        <w:rPr>
          <w:rFonts w:hint="cs"/>
          <w:rtl/>
          <w:lang w:val="fr-CH"/>
        </w:rPr>
        <w:t>،</w:t>
      </w:r>
      <w:r w:rsidR="003971A5">
        <w:rPr>
          <w:rFonts w:hint="cs"/>
          <w:rtl/>
          <w:lang w:val="fr-CH"/>
        </w:rPr>
        <w:t xml:space="preserve"> </w:t>
      </w:r>
      <w:r>
        <w:rPr>
          <w:rFonts w:hint="cs"/>
          <w:rtl/>
          <w:lang w:val="fr-CH"/>
        </w:rPr>
        <w:t>تدفع الدولة الطرف بأن من واجب اللجنة أن تعطي وزناً كبيراً لاستنتاجات المجلس.</w:t>
      </w:r>
    </w:p>
    <w:p w:rsidR="00406AA6" w:rsidRDefault="00406AA6" w:rsidP="002D52E9">
      <w:pPr>
        <w:pStyle w:val="SingleTxtGA"/>
        <w:rPr>
          <w:rFonts w:hint="cs"/>
          <w:sz w:val="22"/>
          <w:rtl/>
        </w:rPr>
      </w:pPr>
      <w:r>
        <w:rPr>
          <w:rFonts w:hint="cs"/>
          <w:sz w:val="22"/>
          <w:rtl/>
        </w:rPr>
        <w:t>4-11</w:t>
      </w:r>
      <w:r>
        <w:rPr>
          <w:rFonts w:hint="cs"/>
          <w:sz w:val="22"/>
          <w:rtl/>
        </w:rPr>
        <w:tab/>
      </w:r>
      <w:r>
        <w:rPr>
          <w:rFonts w:hint="cs"/>
          <w:rtl/>
          <w:lang w:val="fr-CH"/>
        </w:rPr>
        <w:t xml:space="preserve">وتدفع الدولة الطرف بأنه لم يكن من اللازم إخضاع صاحبة الشكوى لفحص يكشف عن أمارات التعذيب </w:t>
      </w:r>
      <w:r w:rsidR="007D16EE">
        <w:rPr>
          <w:rFonts w:hint="cs"/>
          <w:rtl/>
          <w:lang w:val="fr-CH"/>
        </w:rPr>
        <w:t>ل</w:t>
      </w:r>
      <w:r>
        <w:rPr>
          <w:rFonts w:hint="cs"/>
          <w:rtl/>
          <w:lang w:val="fr-CH"/>
        </w:rPr>
        <w:t xml:space="preserve">أن أقوالها كانت بلا مصداقية. </w:t>
      </w:r>
      <w:r w:rsidR="007D16EE">
        <w:rPr>
          <w:rFonts w:hint="cs"/>
          <w:rtl/>
          <w:lang w:val="fr-CH"/>
        </w:rPr>
        <w:t>و</w:t>
      </w:r>
      <w:r>
        <w:rPr>
          <w:rFonts w:hint="cs"/>
          <w:rtl/>
          <w:lang w:val="fr-CH"/>
        </w:rPr>
        <w:t>تفيد أيضاً بأن الفقرة 1 من المادة 3 من الاتفاقية تشترط أن يكون المعني بالأمر معرضاً شخصياً وفعليا</w:t>
      </w:r>
      <w:r w:rsidR="002A76A2">
        <w:rPr>
          <w:rFonts w:hint="cs"/>
          <w:rtl/>
          <w:lang w:val="fr-CH"/>
        </w:rPr>
        <w:t>ً</w:t>
      </w:r>
      <w:r>
        <w:rPr>
          <w:rFonts w:hint="cs"/>
          <w:rtl/>
          <w:lang w:val="fr-CH"/>
        </w:rPr>
        <w:t xml:space="preserve"> للتعذيب في البلد الذي سيعاد إليه، وأن يكون ذلك متوقعا</w:t>
      </w:r>
      <w:r w:rsidR="00B15850">
        <w:rPr>
          <w:rFonts w:hint="cs"/>
          <w:rtl/>
          <w:lang w:val="fr-CH"/>
        </w:rPr>
        <w:t>ً</w:t>
      </w:r>
      <w:r>
        <w:rPr>
          <w:rFonts w:hint="cs"/>
          <w:rtl/>
          <w:lang w:val="fr-CH"/>
        </w:rPr>
        <w:t>، وأن يقيّم احتمال التعرض للتعذيب على أسس تتجاوز مجرد الافتراض أو الشك، وإن كان</w:t>
      </w:r>
      <w:r w:rsidR="00747ED4">
        <w:rPr>
          <w:rFonts w:hint="cs"/>
          <w:rtl/>
          <w:lang w:val="fr-CH"/>
        </w:rPr>
        <w:t xml:space="preserve"> لا </w:t>
      </w:r>
      <w:r>
        <w:rPr>
          <w:rFonts w:hint="cs"/>
          <w:rtl/>
          <w:lang w:val="fr-CH"/>
        </w:rPr>
        <w:t>يُشترط أن يكون احتمال الخطر كبيرا</w:t>
      </w:r>
      <w:r w:rsidR="00B15850">
        <w:rPr>
          <w:rFonts w:hint="cs"/>
          <w:rtl/>
          <w:lang w:val="fr-CH"/>
        </w:rPr>
        <w:t>ً</w:t>
      </w:r>
      <w:r>
        <w:rPr>
          <w:vertAlign w:val="superscript"/>
          <w:rtl/>
          <w:lang w:val="fr-CH"/>
        </w:rPr>
        <w:t>(</w:t>
      </w:r>
      <w:r>
        <w:rPr>
          <w:rStyle w:val="FootnoteReference"/>
          <w:rtl/>
          <w:lang w:val="fr-CH"/>
        </w:rPr>
        <w:footnoteReference w:id="4"/>
      </w:r>
      <w:r w:rsidRPr="00ED4F9F">
        <w:rPr>
          <w:vertAlign w:val="superscript"/>
          <w:rtl/>
          <w:lang w:val="fr-CH"/>
        </w:rPr>
        <w:t>)</w:t>
      </w:r>
      <w:r>
        <w:rPr>
          <w:rFonts w:hint="cs"/>
          <w:rtl/>
          <w:lang w:val="fr-CH"/>
        </w:rPr>
        <w:t>.</w:t>
      </w:r>
      <w:r w:rsidR="00B26288">
        <w:rPr>
          <w:rFonts w:hint="cs"/>
          <w:rtl/>
          <w:lang w:val="fr-CH"/>
        </w:rPr>
        <w:t xml:space="preserve"> </w:t>
      </w:r>
      <w:r>
        <w:rPr>
          <w:rFonts w:hint="cs"/>
          <w:rtl/>
          <w:lang w:val="fr-CH"/>
        </w:rPr>
        <w:t>و</w:t>
      </w:r>
      <w:r w:rsidR="00B26288">
        <w:rPr>
          <w:rFonts w:hint="cs"/>
          <w:rtl/>
          <w:lang w:val="fr-CH"/>
        </w:rPr>
        <w:t>لا</w:t>
      </w:r>
      <w:r w:rsidR="00B26288">
        <w:rPr>
          <w:rFonts w:hint="eastAsia"/>
          <w:rtl/>
          <w:lang w:val="fr-CH"/>
        </w:rPr>
        <w:t> </w:t>
      </w:r>
      <w:r w:rsidR="00B26288">
        <w:rPr>
          <w:rFonts w:hint="cs"/>
          <w:rtl/>
          <w:lang w:val="fr-CH"/>
        </w:rPr>
        <w:t xml:space="preserve">يكون </w:t>
      </w:r>
      <w:r>
        <w:rPr>
          <w:rFonts w:hint="cs"/>
          <w:rtl/>
          <w:lang w:val="fr-CH"/>
        </w:rPr>
        <w:t>وجود نمط ثابت من الانتهاكات الفادحة أو الصارخة أو الجماعية لحقوق الإنسان في بلد ما في حد ذاته سبباً كافياً للجزم بأن شخصاً معيناً قد يتعرض للتعذيب عند إعادته إلى ذلك البلد</w:t>
      </w:r>
      <w:r>
        <w:rPr>
          <w:vertAlign w:val="superscript"/>
          <w:rtl/>
          <w:lang w:val="fr-CH"/>
        </w:rPr>
        <w:t>(</w:t>
      </w:r>
      <w:r>
        <w:rPr>
          <w:rStyle w:val="FootnoteReference"/>
          <w:rtl/>
          <w:lang w:val="fr-CH"/>
        </w:rPr>
        <w:footnoteReference w:id="5"/>
      </w:r>
      <w:r w:rsidRPr="00340A93">
        <w:rPr>
          <w:vertAlign w:val="superscript"/>
          <w:rtl/>
          <w:lang w:val="fr-CH"/>
        </w:rPr>
        <w:t>)</w:t>
      </w:r>
      <w:r>
        <w:rPr>
          <w:rFonts w:hint="cs"/>
          <w:rtl/>
          <w:lang w:val="fr-CH"/>
        </w:rPr>
        <w:t>.</w:t>
      </w:r>
    </w:p>
    <w:p w:rsidR="00406AA6" w:rsidRDefault="00406AA6" w:rsidP="00ED4216">
      <w:pPr>
        <w:pStyle w:val="SingleTxtGA"/>
        <w:rPr>
          <w:rFonts w:hint="cs"/>
          <w:sz w:val="22"/>
          <w:rtl/>
        </w:rPr>
      </w:pPr>
      <w:r>
        <w:rPr>
          <w:rFonts w:hint="cs"/>
          <w:sz w:val="22"/>
          <w:rtl/>
        </w:rPr>
        <w:t>4-12</w:t>
      </w:r>
      <w:r>
        <w:rPr>
          <w:rFonts w:hint="cs"/>
          <w:sz w:val="22"/>
          <w:rtl/>
        </w:rPr>
        <w:tab/>
      </w:r>
      <w:r>
        <w:rPr>
          <w:rFonts w:hint="cs"/>
          <w:rtl/>
          <w:lang w:val="fr-CH"/>
        </w:rPr>
        <w:t xml:space="preserve">وتدفع الدولة الطرف بأن مقدمة الطلب لم تثبت وجاهة قضيتها </w:t>
      </w:r>
      <w:r w:rsidR="002D52E9">
        <w:rPr>
          <w:rFonts w:hint="cs"/>
          <w:rtl/>
          <w:lang w:val="fr-CH"/>
        </w:rPr>
        <w:t xml:space="preserve">من أجل </w:t>
      </w:r>
      <w:r>
        <w:rPr>
          <w:rFonts w:hint="cs"/>
          <w:rtl/>
          <w:lang w:val="fr-CH"/>
        </w:rPr>
        <w:t>قبول بلاغها بموجب المادة 22 من الاتفاقية</w:t>
      </w:r>
      <w:r>
        <w:rPr>
          <w:rFonts w:hint="cs"/>
          <w:sz w:val="22"/>
          <w:rtl/>
        </w:rPr>
        <w:t xml:space="preserve"> وبأن</w:t>
      </w:r>
      <w:r w:rsidR="00ED4216">
        <w:rPr>
          <w:rFonts w:hint="cs"/>
          <w:sz w:val="22"/>
          <w:rtl/>
        </w:rPr>
        <w:t>ه</w:t>
      </w:r>
      <w:r>
        <w:rPr>
          <w:rFonts w:hint="cs"/>
          <w:sz w:val="22"/>
          <w:rtl/>
        </w:rPr>
        <w:t xml:space="preserve"> </w:t>
      </w:r>
      <w:r w:rsidR="00ED4216">
        <w:rPr>
          <w:rFonts w:hint="cs"/>
          <w:sz w:val="22"/>
          <w:rtl/>
        </w:rPr>
        <w:t xml:space="preserve">يتضح </w:t>
      </w:r>
      <w:r>
        <w:rPr>
          <w:rFonts w:hint="cs"/>
          <w:sz w:val="22"/>
          <w:rtl/>
        </w:rPr>
        <w:t>من ثم أن البلاغ</w:t>
      </w:r>
      <w:r w:rsidR="00747ED4">
        <w:rPr>
          <w:rFonts w:hint="cs"/>
          <w:sz w:val="22"/>
          <w:rtl/>
        </w:rPr>
        <w:t xml:space="preserve"> لا </w:t>
      </w:r>
      <w:r>
        <w:rPr>
          <w:rFonts w:hint="cs"/>
          <w:sz w:val="22"/>
          <w:rtl/>
        </w:rPr>
        <w:t>أساس له وينبغي اعتباره غير مقبول.</w:t>
      </w:r>
    </w:p>
    <w:p w:rsidR="00406AA6" w:rsidRDefault="00406AA6" w:rsidP="003F2EDA">
      <w:pPr>
        <w:pStyle w:val="SingleTxtGA"/>
        <w:rPr>
          <w:rFonts w:hint="cs"/>
          <w:rtl/>
          <w:lang w:val="fr-CH"/>
        </w:rPr>
      </w:pPr>
      <w:r>
        <w:rPr>
          <w:rFonts w:hint="cs"/>
          <w:sz w:val="22"/>
          <w:rtl/>
        </w:rPr>
        <w:t>4-13</w:t>
      </w:r>
      <w:r>
        <w:rPr>
          <w:rFonts w:hint="cs"/>
          <w:sz w:val="22"/>
          <w:rtl/>
        </w:rPr>
        <w:tab/>
      </w:r>
      <w:r>
        <w:rPr>
          <w:rFonts w:hint="cs"/>
          <w:rtl/>
          <w:lang w:val="fr-CH"/>
        </w:rPr>
        <w:t xml:space="preserve">وعلى افتراض أن اللجنة خلصت إلى أن الشكوى مقبولة، </w:t>
      </w:r>
      <w:r w:rsidR="003F2EDA">
        <w:rPr>
          <w:rFonts w:hint="cs"/>
          <w:rtl/>
          <w:lang w:val="fr-CH"/>
        </w:rPr>
        <w:t xml:space="preserve">تقول </w:t>
      </w:r>
      <w:r>
        <w:rPr>
          <w:rFonts w:hint="cs"/>
          <w:rtl/>
          <w:lang w:val="fr-CH"/>
        </w:rPr>
        <w:t xml:space="preserve">الدولة الطرف </w:t>
      </w:r>
      <w:r w:rsidR="003F2EDA">
        <w:rPr>
          <w:rFonts w:hint="cs"/>
          <w:rtl/>
          <w:lang w:val="fr-CH"/>
        </w:rPr>
        <w:t xml:space="preserve">إن </w:t>
      </w:r>
      <w:r>
        <w:rPr>
          <w:rFonts w:hint="cs"/>
          <w:rtl/>
          <w:lang w:val="fr-CH"/>
        </w:rPr>
        <w:t>صاحبة الشكوى لم تثبت أن إعادتها إلى سري لانكا سوف تنتهك المادة 3 من الاتفاقية.</w:t>
      </w:r>
    </w:p>
    <w:p w:rsidR="00406AA6" w:rsidRPr="006E0363" w:rsidRDefault="004F3B9A" w:rsidP="004F3B9A">
      <w:pPr>
        <w:pStyle w:val="H23GA"/>
        <w:rPr>
          <w:rFonts w:hint="cs"/>
          <w:rtl/>
          <w:lang w:val="fr-CH"/>
        </w:rPr>
      </w:pPr>
      <w:r>
        <w:rPr>
          <w:rFonts w:hint="cs"/>
          <w:rtl/>
          <w:lang w:val="fr-CH"/>
        </w:rPr>
        <w:tab/>
      </w:r>
      <w:r>
        <w:rPr>
          <w:rFonts w:hint="cs"/>
          <w:rtl/>
          <w:lang w:val="fr-CH"/>
        </w:rPr>
        <w:tab/>
      </w:r>
      <w:r w:rsidR="00406AA6" w:rsidRPr="006E0363">
        <w:rPr>
          <w:rFonts w:hint="cs"/>
          <w:rtl/>
          <w:lang w:val="fr-CH"/>
        </w:rPr>
        <w:t>تعليقات صاحبة الشكوى على ملاحظات الدولة الطرف</w:t>
      </w:r>
    </w:p>
    <w:p w:rsidR="00406AA6" w:rsidRDefault="00406AA6" w:rsidP="00964820">
      <w:pPr>
        <w:pStyle w:val="SingleTxtGA"/>
        <w:rPr>
          <w:rFonts w:hint="cs"/>
          <w:rtl/>
          <w:lang w:val="fr-CH"/>
        </w:rPr>
      </w:pPr>
      <w:r>
        <w:rPr>
          <w:rFonts w:hint="cs"/>
          <w:rtl/>
          <w:lang w:val="fr-CH"/>
        </w:rPr>
        <w:t>5-1</w:t>
      </w:r>
      <w:r>
        <w:rPr>
          <w:rFonts w:hint="cs"/>
          <w:rtl/>
          <w:lang w:val="fr-CH"/>
        </w:rPr>
        <w:tab/>
        <w:t xml:space="preserve">في 3 كانون الثاني/يناير 2011، دفعت صاحبة الشكوى بأن المعلومات عن التعذيب في بلد العودة كان أبرز </w:t>
      </w:r>
      <w:r w:rsidR="00272D46">
        <w:rPr>
          <w:rFonts w:hint="cs"/>
          <w:rtl/>
          <w:lang w:val="fr-CH"/>
        </w:rPr>
        <w:t xml:space="preserve">العناصر </w:t>
      </w:r>
      <w:r>
        <w:rPr>
          <w:rFonts w:hint="cs"/>
          <w:rtl/>
          <w:lang w:val="fr-CH"/>
        </w:rPr>
        <w:t>في تلك المرحلة</w:t>
      </w:r>
      <w:r w:rsidRPr="008D0FAB">
        <w:rPr>
          <w:rFonts w:hint="cs"/>
          <w:rtl/>
          <w:lang w:val="fr-CH"/>
        </w:rPr>
        <w:t xml:space="preserve"> </w:t>
      </w:r>
      <w:r>
        <w:rPr>
          <w:rFonts w:hint="cs"/>
          <w:rtl/>
          <w:lang w:val="fr-CH"/>
        </w:rPr>
        <w:t xml:space="preserve">وأهمها. وتجادل </w:t>
      </w:r>
      <w:r w:rsidR="00272D46">
        <w:rPr>
          <w:rFonts w:hint="cs"/>
          <w:rtl/>
          <w:lang w:val="fr-CH"/>
        </w:rPr>
        <w:t>ب</w:t>
      </w:r>
      <w:r w:rsidR="00964820">
        <w:rPr>
          <w:rFonts w:hint="cs"/>
          <w:rtl/>
          <w:lang w:val="fr-CH"/>
        </w:rPr>
        <w:t>أ</w:t>
      </w:r>
      <w:r>
        <w:rPr>
          <w:rFonts w:hint="cs"/>
          <w:rtl/>
          <w:lang w:val="fr-CH"/>
        </w:rPr>
        <w:t>ن من واجب الدولة الطرف جمع المعلومات عن التعذيب. بيد أنها ذكرت أن الدولة الطرف أشارت في ملاحظاتها إلى تقرير صدر في تموز/يوليه 2010</w:t>
      </w:r>
      <w:r>
        <w:rPr>
          <w:vertAlign w:val="superscript"/>
          <w:rtl/>
          <w:lang w:val="fr-CH"/>
        </w:rPr>
        <w:t>(</w:t>
      </w:r>
      <w:r>
        <w:rPr>
          <w:rStyle w:val="FootnoteReference"/>
          <w:rtl/>
          <w:lang w:val="fr-CH"/>
        </w:rPr>
        <w:footnoteReference w:id="6"/>
      </w:r>
      <w:r w:rsidRPr="00F23E2A">
        <w:rPr>
          <w:vertAlign w:val="superscript"/>
          <w:rtl/>
          <w:lang w:val="fr-CH"/>
        </w:rPr>
        <w:t>)</w:t>
      </w:r>
      <w:r>
        <w:rPr>
          <w:rFonts w:hint="cs"/>
          <w:rtl/>
          <w:lang w:val="fr-CH"/>
        </w:rPr>
        <w:t>، لكن تقييم السلطات لملفها جرى في عام</w:t>
      </w:r>
      <w:r w:rsidR="00272D46">
        <w:rPr>
          <w:rFonts w:hint="eastAsia"/>
          <w:rtl/>
          <w:lang w:val="fr-CH"/>
        </w:rPr>
        <w:t> </w:t>
      </w:r>
      <w:r>
        <w:rPr>
          <w:rFonts w:hint="cs"/>
          <w:rtl/>
          <w:lang w:val="fr-CH"/>
        </w:rPr>
        <w:t xml:space="preserve">2009 واتخذ مجلس طعون اللاجئين القرار النهائي في أيار/مايو 2010، أي قبل شهرين من صدور التقرير المذكور. وتؤكد حدوث انتهاكات </w:t>
      </w:r>
      <w:proofErr w:type="spellStart"/>
      <w:r>
        <w:rPr>
          <w:rFonts w:hint="cs"/>
          <w:rtl/>
          <w:lang w:val="fr-CH"/>
        </w:rPr>
        <w:t>ممنهجة</w:t>
      </w:r>
      <w:proofErr w:type="spellEnd"/>
      <w:r>
        <w:rPr>
          <w:rFonts w:hint="cs"/>
          <w:rtl/>
          <w:lang w:val="fr-CH"/>
        </w:rPr>
        <w:t xml:space="preserve"> وفادحة وصارخة وجماعية لحقوق الإنسان في سري لانكا في حق </w:t>
      </w:r>
      <w:proofErr w:type="spellStart"/>
      <w:r>
        <w:rPr>
          <w:rFonts w:hint="cs"/>
          <w:rtl/>
          <w:lang w:val="fr-CH"/>
        </w:rPr>
        <w:t>التاميل</w:t>
      </w:r>
      <w:proofErr w:type="spellEnd"/>
      <w:r>
        <w:rPr>
          <w:rFonts w:hint="cs"/>
          <w:rtl/>
          <w:lang w:val="fr-CH"/>
        </w:rPr>
        <w:t xml:space="preserve"> </w:t>
      </w:r>
      <w:r w:rsidR="00B66F83">
        <w:rPr>
          <w:rFonts w:hint="cs"/>
          <w:rtl/>
          <w:lang w:val="fr-CH"/>
        </w:rPr>
        <w:t xml:space="preserve">ذوي الأصول </w:t>
      </w:r>
      <w:r>
        <w:rPr>
          <w:rFonts w:hint="cs"/>
          <w:rtl/>
          <w:lang w:val="fr-CH"/>
        </w:rPr>
        <w:t>الشمال</w:t>
      </w:r>
      <w:r w:rsidR="00B66F83">
        <w:rPr>
          <w:rFonts w:hint="cs"/>
          <w:rtl/>
          <w:lang w:val="fr-CH"/>
        </w:rPr>
        <w:t>ية</w:t>
      </w:r>
      <w:r>
        <w:rPr>
          <w:rFonts w:hint="cs"/>
          <w:rtl/>
          <w:lang w:val="fr-CH"/>
        </w:rPr>
        <w:t xml:space="preserve"> وقت اتخاذ القرار وأن المبادئ التوجيهية لمفوضية شؤون اللاجئين أوصت بعدم إعادتهم. وتدفع بأن قرار المجلس كان من ثم انتهاكا</w:t>
      </w:r>
      <w:r w:rsidR="002A76A2">
        <w:rPr>
          <w:rFonts w:hint="cs"/>
          <w:rtl/>
          <w:lang w:val="fr-CH"/>
        </w:rPr>
        <w:t>ً</w:t>
      </w:r>
      <w:r>
        <w:rPr>
          <w:rFonts w:hint="cs"/>
          <w:rtl/>
          <w:lang w:val="fr-CH"/>
        </w:rPr>
        <w:t xml:space="preserve"> واضحا</w:t>
      </w:r>
      <w:r w:rsidR="002A76A2">
        <w:rPr>
          <w:rFonts w:hint="cs"/>
          <w:rtl/>
          <w:lang w:val="fr-CH"/>
        </w:rPr>
        <w:t>ً</w:t>
      </w:r>
      <w:r>
        <w:rPr>
          <w:rFonts w:hint="cs"/>
          <w:rtl/>
          <w:lang w:val="fr-CH"/>
        </w:rPr>
        <w:t xml:space="preserve"> للاتفاقية لأن احتمال التعرض للتعذيب كان كبيرا</w:t>
      </w:r>
      <w:r w:rsidR="00B15850">
        <w:rPr>
          <w:rFonts w:hint="cs"/>
          <w:rtl/>
          <w:lang w:val="fr-CH"/>
        </w:rPr>
        <w:t>ً</w:t>
      </w:r>
      <w:r>
        <w:rPr>
          <w:rFonts w:hint="cs"/>
          <w:rtl/>
          <w:lang w:val="fr-CH"/>
        </w:rPr>
        <w:t>، وفق ما ذكرته المفوضية. وتدفع أيضا</w:t>
      </w:r>
      <w:r w:rsidR="002A76A2">
        <w:rPr>
          <w:rFonts w:hint="cs"/>
          <w:rtl/>
          <w:lang w:val="fr-CH"/>
        </w:rPr>
        <w:t>ً</w:t>
      </w:r>
      <w:r>
        <w:rPr>
          <w:rFonts w:hint="cs"/>
          <w:rtl/>
          <w:lang w:val="fr-CH"/>
        </w:rPr>
        <w:t xml:space="preserve"> بأن التعذيب وانتهاكات حقوق الإنسان</w:t>
      </w:r>
      <w:r w:rsidR="004B71B0" w:rsidRPr="004B71B0">
        <w:rPr>
          <w:rFonts w:hint="cs"/>
          <w:rtl/>
          <w:lang w:val="fr-CH"/>
        </w:rPr>
        <w:t xml:space="preserve"> </w:t>
      </w:r>
      <w:r w:rsidR="004B71B0">
        <w:rPr>
          <w:rFonts w:hint="cs"/>
          <w:rtl/>
          <w:lang w:val="fr-CH"/>
        </w:rPr>
        <w:t xml:space="preserve">استمرت في حق </w:t>
      </w:r>
      <w:proofErr w:type="spellStart"/>
      <w:r w:rsidR="004B71B0">
        <w:rPr>
          <w:rFonts w:hint="cs"/>
          <w:rtl/>
          <w:lang w:val="fr-CH"/>
        </w:rPr>
        <w:t>التاميل</w:t>
      </w:r>
      <w:proofErr w:type="spellEnd"/>
      <w:r>
        <w:rPr>
          <w:rFonts w:hint="cs"/>
          <w:rtl/>
          <w:lang w:val="fr-CH"/>
        </w:rPr>
        <w:t xml:space="preserve">، رغم ما قد يكون </w:t>
      </w:r>
      <w:r w:rsidR="004B71B0">
        <w:rPr>
          <w:rFonts w:hint="cs"/>
          <w:rtl/>
          <w:lang w:val="fr-CH"/>
        </w:rPr>
        <w:t xml:space="preserve">قد </w:t>
      </w:r>
      <w:r>
        <w:rPr>
          <w:rFonts w:hint="cs"/>
          <w:rtl/>
          <w:lang w:val="fr-CH"/>
        </w:rPr>
        <w:t>حدث من تحسّن في الأوضاع وقت ا</w:t>
      </w:r>
      <w:r w:rsidR="00F03A9B">
        <w:rPr>
          <w:rFonts w:hint="cs"/>
          <w:rtl/>
          <w:lang w:val="fr-CH"/>
        </w:rPr>
        <w:t>تخاذ السلطات الدانمركية القرار</w:t>
      </w:r>
      <w:r>
        <w:rPr>
          <w:rFonts w:hint="cs"/>
          <w:rtl/>
          <w:lang w:val="fr-CH"/>
        </w:rPr>
        <w:t>، وتشير في هذا الصدد إلى تقرير لمنظمة العفو الدولية</w:t>
      </w:r>
      <w:r>
        <w:rPr>
          <w:vertAlign w:val="superscript"/>
          <w:rtl/>
          <w:lang w:val="fr-CH"/>
        </w:rPr>
        <w:t>(</w:t>
      </w:r>
      <w:r>
        <w:rPr>
          <w:rStyle w:val="FootnoteReference"/>
          <w:rtl/>
          <w:lang w:val="fr-CH"/>
        </w:rPr>
        <w:footnoteReference w:id="7"/>
      </w:r>
      <w:r w:rsidRPr="00190E58">
        <w:rPr>
          <w:vertAlign w:val="superscript"/>
          <w:rtl/>
          <w:lang w:val="fr-CH"/>
        </w:rPr>
        <w:t>)</w:t>
      </w:r>
      <w:r>
        <w:rPr>
          <w:rFonts w:hint="cs"/>
          <w:rtl/>
          <w:lang w:val="fr-CH"/>
        </w:rPr>
        <w:t>. وتؤكد أن الدولة الطرف لو اقتدت بالمبادئ التوجيهية لمفوضية شؤون اللاجئين لكانت منحتها وضع الحماية في عام 2009 ولكانت أعادت تقييم ملف قضيتها على أساس فردي في عام 2010.</w:t>
      </w:r>
    </w:p>
    <w:p w:rsidR="00406AA6" w:rsidRDefault="00406AA6" w:rsidP="00964820">
      <w:pPr>
        <w:pStyle w:val="SingleTxtGA"/>
        <w:rPr>
          <w:rFonts w:hint="cs"/>
          <w:rtl/>
        </w:rPr>
      </w:pPr>
      <w:r>
        <w:rPr>
          <w:rFonts w:hint="cs"/>
          <w:rtl/>
          <w:lang w:val="fr-CH"/>
        </w:rPr>
        <w:t>5-2</w:t>
      </w:r>
      <w:r>
        <w:rPr>
          <w:rFonts w:hint="cs"/>
          <w:rtl/>
          <w:lang w:val="fr-CH"/>
        </w:rPr>
        <w:tab/>
      </w:r>
      <w:r>
        <w:rPr>
          <w:rFonts w:hint="cs"/>
          <w:rtl/>
        </w:rPr>
        <w:t>وتدفع صاحبة الشكوى أيضا</w:t>
      </w:r>
      <w:r w:rsidR="002A76A2">
        <w:rPr>
          <w:rFonts w:hint="cs"/>
          <w:rtl/>
        </w:rPr>
        <w:t>ً</w:t>
      </w:r>
      <w:r>
        <w:rPr>
          <w:rFonts w:hint="cs"/>
          <w:rtl/>
        </w:rPr>
        <w:t xml:space="preserve"> بأن المادة 7(1) من قانون الأجانب </w:t>
      </w:r>
      <w:proofErr w:type="spellStart"/>
      <w:r w:rsidR="00964820">
        <w:rPr>
          <w:rFonts w:hint="cs"/>
          <w:rtl/>
        </w:rPr>
        <w:t>ت</w:t>
      </w:r>
      <w:r>
        <w:rPr>
          <w:rFonts w:hint="cs"/>
          <w:rtl/>
        </w:rPr>
        <w:t>نص</w:t>
      </w:r>
      <w:proofErr w:type="spellEnd"/>
      <w:r>
        <w:rPr>
          <w:rFonts w:hint="cs"/>
          <w:rtl/>
        </w:rPr>
        <w:t xml:space="preserve"> على أن صفة اللاجئ تمنح عندما يكون فرد من الأفراد </w:t>
      </w:r>
      <w:r w:rsidR="000F3712">
        <w:rPr>
          <w:rFonts w:hint="cs"/>
          <w:rtl/>
        </w:rPr>
        <w:t xml:space="preserve">قد </w:t>
      </w:r>
      <w:r>
        <w:rPr>
          <w:rFonts w:hint="cs"/>
          <w:rtl/>
        </w:rPr>
        <w:t>عُذب أو يُحتمل أن يعذب في المستقبل. فإن عُذب، لكن يُحتمل ألا يعذب في المستقبل، مُنح رغم ذلك رخصة إقامة. وتدفع صاحبة الشكوى أيضا</w:t>
      </w:r>
      <w:r w:rsidR="002A76A2">
        <w:rPr>
          <w:rFonts w:hint="cs"/>
          <w:rtl/>
        </w:rPr>
        <w:t>ً</w:t>
      </w:r>
      <w:r>
        <w:rPr>
          <w:rFonts w:hint="cs"/>
          <w:rtl/>
        </w:rPr>
        <w:t xml:space="preserve"> بأن من واجب الدولة الطرف أن تثبت أنها عُذبت في الماضي، وأن تقيّم أدلتها تقييما</w:t>
      </w:r>
      <w:r w:rsidR="002A76A2">
        <w:rPr>
          <w:rFonts w:hint="cs"/>
          <w:rtl/>
        </w:rPr>
        <w:t>ً</w:t>
      </w:r>
      <w:r>
        <w:rPr>
          <w:rFonts w:hint="cs"/>
          <w:rtl/>
        </w:rPr>
        <w:t xml:space="preserve"> سليما</w:t>
      </w:r>
      <w:r w:rsidR="002A76A2">
        <w:rPr>
          <w:rFonts w:hint="cs"/>
          <w:rtl/>
        </w:rPr>
        <w:t>ً</w:t>
      </w:r>
      <w:r>
        <w:rPr>
          <w:rFonts w:hint="cs"/>
          <w:rtl/>
        </w:rPr>
        <w:t xml:space="preserve"> لأن ضحايا التعذيب غالبا</w:t>
      </w:r>
      <w:r w:rsidR="002A76A2">
        <w:rPr>
          <w:rFonts w:hint="cs"/>
          <w:rtl/>
        </w:rPr>
        <w:t>ً</w:t>
      </w:r>
      <w:r>
        <w:rPr>
          <w:rFonts w:hint="cs"/>
          <w:rtl/>
        </w:rPr>
        <w:t xml:space="preserve"> ما </w:t>
      </w:r>
      <w:r w:rsidR="00964820">
        <w:rPr>
          <w:rFonts w:hint="cs"/>
          <w:rtl/>
        </w:rPr>
        <w:t>ي</w:t>
      </w:r>
      <w:r w:rsidR="000F3712">
        <w:rPr>
          <w:rFonts w:hint="cs"/>
          <w:rtl/>
        </w:rPr>
        <w:t xml:space="preserve">صعب عليهم </w:t>
      </w:r>
      <w:r>
        <w:rPr>
          <w:rFonts w:hint="cs"/>
          <w:rtl/>
        </w:rPr>
        <w:t xml:space="preserve">الحديث عما قاسَوه، ولا </w:t>
      </w:r>
      <w:r w:rsidR="000F3712">
        <w:rPr>
          <w:rFonts w:hint="cs"/>
          <w:rtl/>
        </w:rPr>
        <w:t xml:space="preserve">يستطيعون </w:t>
      </w:r>
      <w:r>
        <w:rPr>
          <w:rFonts w:hint="cs"/>
          <w:rtl/>
        </w:rPr>
        <w:t>ذلك إلا بعد أن يشعروا بالأمان. وتدفع بأنه ينبغي عدم التشكيك في مصداقيتها لأنها لم ترو ما عانته من تعذيب إلا بعد المقابلة التي جرت مع إدارة الهجرة. وتدعي أنها في ذلك المقام لم تكتف بإبلاغ السلطات بأنها عذبت، بل أظهرت لها ندوبا</w:t>
      </w:r>
      <w:r w:rsidR="002A76A2">
        <w:rPr>
          <w:rFonts w:hint="cs"/>
          <w:rtl/>
        </w:rPr>
        <w:t>ً</w:t>
      </w:r>
      <w:r>
        <w:rPr>
          <w:rFonts w:hint="cs"/>
          <w:rtl/>
        </w:rPr>
        <w:t xml:space="preserve"> على جسدها وأثبتت أنه لم يعد لديها أسنان. وتجادل بأنه كان ينبغي في تلك المرحلة أن تقدَّم لها استمارة توقّعها كي تخضع لفحص طبي، وهو الأمر الذي تدعي أنها كانت مستعدة له. واختارت السلطات، بدلا</w:t>
      </w:r>
      <w:r w:rsidR="002A76A2">
        <w:rPr>
          <w:rFonts w:hint="cs"/>
          <w:rtl/>
        </w:rPr>
        <w:t>ً</w:t>
      </w:r>
      <w:r>
        <w:rPr>
          <w:rFonts w:hint="cs"/>
          <w:rtl/>
        </w:rPr>
        <w:t xml:space="preserve"> من ذلك، أن تبني قرارها على "اختبار مصداقية" يقوم على </w:t>
      </w:r>
      <w:r w:rsidR="00D17C36">
        <w:rPr>
          <w:rFonts w:hint="cs"/>
          <w:rtl/>
        </w:rPr>
        <w:t>ال</w:t>
      </w:r>
      <w:r>
        <w:rPr>
          <w:rFonts w:hint="cs"/>
          <w:rtl/>
        </w:rPr>
        <w:t xml:space="preserve">مستندات </w:t>
      </w:r>
      <w:r w:rsidR="00D17C36">
        <w:rPr>
          <w:rFonts w:hint="cs"/>
          <w:rtl/>
        </w:rPr>
        <w:t>ال</w:t>
      </w:r>
      <w:r>
        <w:rPr>
          <w:rFonts w:hint="cs"/>
          <w:rtl/>
        </w:rPr>
        <w:t xml:space="preserve">خطية </w:t>
      </w:r>
      <w:r w:rsidR="00D17C36">
        <w:rPr>
          <w:rFonts w:hint="cs"/>
          <w:rtl/>
        </w:rPr>
        <w:t>و</w:t>
      </w:r>
      <w:r>
        <w:rPr>
          <w:rFonts w:hint="cs"/>
          <w:rtl/>
        </w:rPr>
        <w:t>المقابلة</w:t>
      </w:r>
      <w:r w:rsidR="00D17C36">
        <w:rPr>
          <w:rFonts w:hint="cs"/>
          <w:rtl/>
        </w:rPr>
        <w:t xml:space="preserve"> الشخصية</w:t>
      </w:r>
      <w:r>
        <w:rPr>
          <w:rFonts w:hint="cs"/>
          <w:rtl/>
        </w:rPr>
        <w:t>.</w:t>
      </w:r>
    </w:p>
    <w:p w:rsidR="00406AA6" w:rsidRDefault="00406AA6" w:rsidP="00D17C36">
      <w:pPr>
        <w:pStyle w:val="SingleTxtGA"/>
        <w:rPr>
          <w:rFonts w:hint="cs"/>
          <w:rtl/>
        </w:rPr>
      </w:pPr>
      <w:r>
        <w:rPr>
          <w:rFonts w:hint="cs"/>
          <w:rtl/>
        </w:rPr>
        <w:t>5-3</w:t>
      </w:r>
      <w:r>
        <w:rPr>
          <w:rFonts w:hint="cs"/>
          <w:rtl/>
        </w:rPr>
        <w:tab/>
        <w:t>وتجادل صاحبة الشكوى أيضا</w:t>
      </w:r>
      <w:r w:rsidR="002A76A2">
        <w:rPr>
          <w:rFonts w:hint="cs"/>
          <w:rtl/>
        </w:rPr>
        <w:t>ً</w:t>
      </w:r>
      <w:r>
        <w:rPr>
          <w:rFonts w:hint="cs"/>
          <w:rtl/>
        </w:rPr>
        <w:t xml:space="preserve"> بأن مجلس طعون اللاجئين لم يطلب إجراء فحص طبي </w:t>
      </w:r>
      <w:r w:rsidR="00D17C36">
        <w:rPr>
          <w:rFonts w:hint="cs"/>
          <w:rtl/>
        </w:rPr>
        <w:t xml:space="preserve">مستنداً إلى </w:t>
      </w:r>
      <w:r>
        <w:rPr>
          <w:rFonts w:hint="cs"/>
          <w:rtl/>
        </w:rPr>
        <w:t>نفس الحجج التي قدمتها إدارة الهجرة. لكنها تدفع بأن السلطات، لدى تقييمها مصداقية ملتمسي اللجوء، تعتمد على الاستمارات التي يملؤها هؤلاء عندما يقدمون طلباتهم وعلى تصريحاتهم أثناء المقابلة مع إدارة الهجرة. وتدعي أنها ملأت الاستمارة بلغتها الأم وأنها تُرجمت لاحقا</w:t>
      </w:r>
      <w:r w:rsidR="00B15850">
        <w:rPr>
          <w:rFonts w:hint="cs"/>
          <w:rtl/>
        </w:rPr>
        <w:t>ً</w:t>
      </w:r>
      <w:r>
        <w:rPr>
          <w:rFonts w:hint="cs"/>
          <w:rtl/>
        </w:rPr>
        <w:t>، لكنها أشارت إلى اكتشاف خطأ واحد في الترجمة على الأقل أثناء المقابلة مع المجلس، وربما وقع أكثر من خطأ. وتؤكد أن ضحايا التعذيب غالبا</w:t>
      </w:r>
      <w:r w:rsidR="002A76A2">
        <w:rPr>
          <w:rFonts w:hint="cs"/>
          <w:rtl/>
        </w:rPr>
        <w:t>ً</w:t>
      </w:r>
      <w:r>
        <w:rPr>
          <w:rFonts w:hint="cs"/>
          <w:rtl/>
        </w:rPr>
        <w:t xml:space="preserve"> ما يجدون صعوبات في رواية ما حدث لهم. وتدعي أن إدارة الهجرة ومجلس اللاجئين ملزمان بإجراء فحص طبي للتحقق من روايات ملتمسي اللجوء عن التعذيب. وتدفع أيضا</w:t>
      </w:r>
      <w:r w:rsidR="002A76A2">
        <w:rPr>
          <w:rFonts w:hint="cs"/>
          <w:rtl/>
        </w:rPr>
        <w:t>ً</w:t>
      </w:r>
      <w:r>
        <w:rPr>
          <w:rFonts w:hint="cs"/>
          <w:rtl/>
        </w:rPr>
        <w:t xml:space="preserve"> بأن تصريحاتها كانت متسقة أثناء العملية برمتها وأن عدم إجراء أي فحص طبي للندوب التي كانت على جسدها ولحالتها الصحية حرمها فرصة إثبات أنها عذبت.</w:t>
      </w:r>
    </w:p>
    <w:p w:rsidR="00406AA6" w:rsidRDefault="00406AA6" w:rsidP="007F68B2">
      <w:pPr>
        <w:pStyle w:val="SingleTxtGA"/>
        <w:rPr>
          <w:rFonts w:hint="cs"/>
          <w:rtl/>
        </w:rPr>
      </w:pPr>
      <w:r>
        <w:rPr>
          <w:rFonts w:hint="cs"/>
          <w:rtl/>
        </w:rPr>
        <w:t>5-4</w:t>
      </w:r>
      <w:r>
        <w:rPr>
          <w:rFonts w:hint="cs"/>
          <w:rtl/>
        </w:rPr>
        <w:tab/>
        <w:t xml:space="preserve">وتشير صاحبة الشكوى إلى قضية نظرت فيها المحكمة الأوروبية لحقوق الإنسان </w:t>
      </w:r>
      <w:r w:rsidR="00D17C36">
        <w:rPr>
          <w:rFonts w:hint="cs"/>
          <w:rtl/>
        </w:rPr>
        <w:t>وقضت ب</w:t>
      </w:r>
      <w:r>
        <w:rPr>
          <w:rFonts w:hint="cs"/>
          <w:rtl/>
        </w:rPr>
        <w:t xml:space="preserve">أن طالب لجوء كانت على بدنه ندوب قد يتعرض للتعذيب بعد عودته </w:t>
      </w:r>
      <w:r w:rsidR="005E137D">
        <w:rPr>
          <w:rFonts w:hint="cs"/>
          <w:rtl/>
        </w:rPr>
        <w:t xml:space="preserve">لأنه </w:t>
      </w:r>
      <w:r>
        <w:rPr>
          <w:rFonts w:hint="cs"/>
          <w:rtl/>
        </w:rPr>
        <w:t>من المرجح أن تحتجزه سلطات المطار وتفتشه بعد تجريده من ملابسه و</w:t>
      </w:r>
      <w:r w:rsidR="007F68B2">
        <w:rPr>
          <w:rFonts w:hint="cs"/>
          <w:rtl/>
        </w:rPr>
        <w:t xml:space="preserve">من ثم </w:t>
      </w:r>
      <w:r>
        <w:rPr>
          <w:rFonts w:hint="cs"/>
          <w:rtl/>
        </w:rPr>
        <w:t xml:space="preserve">تكتشف الندوب </w:t>
      </w:r>
      <w:r w:rsidR="007F68B2">
        <w:rPr>
          <w:rFonts w:hint="cs"/>
          <w:rtl/>
        </w:rPr>
        <w:t xml:space="preserve">وتستنتج </w:t>
      </w:r>
      <w:r>
        <w:rPr>
          <w:rFonts w:hint="cs"/>
          <w:rtl/>
        </w:rPr>
        <w:t xml:space="preserve">أنه من نمور </w:t>
      </w:r>
      <w:proofErr w:type="spellStart"/>
      <w:r>
        <w:rPr>
          <w:rFonts w:hint="cs"/>
          <w:rtl/>
        </w:rPr>
        <w:t>التاميل</w:t>
      </w:r>
      <w:proofErr w:type="spellEnd"/>
      <w:r>
        <w:rPr>
          <w:vertAlign w:val="superscript"/>
          <w:rtl/>
        </w:rPr>
        <w:t>(</w:t>
      </w:r>
      <w:r>
        <w:rPr>
          <w:rStyle w:val="FootnoteReference"/>
          <w:sz w:val="22"/>
          <w:rtl/>
        </w:rPr>
        <w:footnoteReference w:id="8"/>
      </w:r>
      <w:r w:rsidRPr="00D60967">
        <w:rPr>
          <w:vertAlign w:val="superscript"/>
          <w:rtl/>
        </w:rPr>
        <w:t>)</w:t>
      </w:r>
      <w:r>
        <w:rPr>
          <w:rFonts w:hint="cs"/>
          <w:rtl/>
        </w:rPr>
        <w:t>. وتدفع صاحبة الشكوى بأنها وصفت بوضوح، في الطعن الذي قدمته إلى مجلس اللاجئين، ما جرى لها عندما كانت محتجزة وأنها ضربت حتى فقدت أسنانها، لكن قرار المجلس لم يشر إلى ذلك.</w:t>
      </w:r>
    </w:p>
    <w:p w:rsidR="00406AA6" w:rsidRDefault="00406AA6" w:rsidP="002277FC">
      <w:pPr>
        <w:pStyle w:val="SingleTxtGA"/>
        <w:rPr>
          <w:rFonts w:hint="cs"/>
          <w:rtl/>
        </w:rPr>
      </w:pPr>
      <w:r>
        <w:rPr>
          <w:rFonts w:hint="cs"/>
          <w:rtl/>
        </w:rPr>
        <w:t>5-5</w:t>
      </w:r>
      <w:r>
        <w:rPr>
          <w:rFonts w:hint="cs"/>
          <w:rtl/>
        </w:rPr>
        <w:tab/>
        <w:t xml:space="preserve">وتؤكد صاحبة الشكوى أن السلطات الدانمركية سوف تنتهك الفقرة 1 من المادة 3 من الاتفاقية إن هي أرغمتها على العودة إلى سري لانكا لأنها </w:t>
      </w:r>
      <w:r w:rsidR="002277FC">
        <w:rPr>
          <w:rFonts w:hint="cs"/>
          <w:rtl/>
        </w:rPr>
        <w:t xml:space="preserve">ستتعرض </w:t>
      </w:r>
      <w:r>
        <w:rPr>
          <w:rFonts w:hint="cs"/>
          <w:rtl/>
        </w:rPr>
        <w:t>للتعذيب</w:t>
      </w:r>
      <w:r w:rsidR="002277FC">
        <w:rPr>
          <w:rFonts w:hint="cs"/>
          <w:rtl/>
        </w:rPr>
        <w:t>،</w:t>
      </w:r>
      <w:r>
        <w:rPr>
          <w:rFonts w:hint="cs"/>
          <w:rtl/>
        </w:rPr>
        <w:t xml:space="preserve"> والفقرة 2 من المادة 3 من الاتفاقية لأن السلطات لم تحقق فيما إذا كانت </w:t>
      </w:r>
      <w:r w:rsidR="002277FC">
        <w:rPr>
          <w:rFonts w:hint="cs"/>
          <w:rtl/>
        </w:rPr>
        <w:t xml:space="preserve">قد </w:t>
      </w:r>
      <w:r>
        <w:rPr>
          <w:rFonts w:hint="cs"/>
          <w:rtl/>
        </w:rPr>
        <w:t>عذبت أم لا.</w:t>
      </w:r>
    </w:p>
    <w:p w:rsidR="00406AA6" w:rsidRDefault="00406AA6" w:rsidP="00B37D2A">
      <w:pPr>
        <w:pStyle w:val="SingleTxtGA"/>
        <w:rPr>
          <w:rFonts w:hint="cs"/>
          <w:rtl/>
        </w:rPr>
      </w:pPr>
      <w:r>
        <w:rPr>
          <w:rFonts w:hint="cs"/>
          <w:rtl/>
        </w:rPr>
        <w:t>5-6</w:t>
      </w:r>
      <w:r>
        <w:rPr>
          <w:rFonts w:hint="cs"/>
          <w:rtl/>
        </w:rPr>
        <w:tab/>
        <w:t xml:space="preserve">وتدفع صاحبة الشكوى بأنها أثبتت وجاهة قضيتها </w:t>
      </w:r>
      <w:r w:rsidR="00B37D2A">
        <w:rPr>
          <w:rFonts w:hint="cs"/>
          <w:rtl/>
        </w:rPr>
        <w:t xml:space="preserve">من أجل </w:t>
      </w:r>
      <w:r>
        <w:rPr>
          <w:rFonts w:hint="cs"/>
          <w:rtl/>
        </w:rPr>
        <w:t>قبول بلاغها في إطار المادة 22 من الاتفاقية. وتدفع أيضا</w:t>
      </w:r>
      <w:r w:rsidR="002A76A2">
        <w:rPr>
          <w:rFonts w:hint="cs"/>
          <w:rtl/>
        </w:rPr>
        <w:t>ً</w:t>
      </w:r>
      <w:r>
        <w:rPr>
          <w:rFonts w:hint="cs"/>
          <w:rtl/>
        </w:rPr>
        <w:t xml:space="preserve"> بأن قرار ترحيلها ينتهك المادة 3 من الاتفاقية، أولا</w:t>
      </w:r>
      <w:r w:rsidR="002A76A2">
        <w:rPr>
          <w:rFonts w:hint="cs"/>
          <w:rtl/>
        </w:rPr>
        <w:t>ً</w:t>
      </w:r>
      <w:r>
        <w:rPr>
          <w:rFonts w:hint="cs"/>
          <w:rtl/>
        </w:rPr>
        <w:t xml:space="preserve"> لأن المعلومات العامة عن حقوق الإنسان في سري لانكا والمبادئ التوجيهية لمفوضية الأمم المتحدة لشؤون اللاجئين وسوابق المحكمة الأوروبية لحقوق الإنسان تثبت صراحة أنه ينبغي عدم إرغام </w:t>
      </w:r>
      <w:proofErr w:type="spellStart"/>
      <w:r>
        <w:rPr>
          <w:rFonts w:hint="cs"/>
          <w:rtl/>
        </w:rPr>
        <w:t>التاميل</w:t>
      </w:r>
      <w:proofErr w:type="spellEnd"/>
      <w:r>
        <w:rPr>
          <w:rFonts w:hint="cs"/>
          <w:rtl/>
        </w:rPr>
        <w:t xml:space="preserve"> المنحدرين من شمال سري لانكا على العودة بسبب احتمال اضطهادهم أو تعذيبهم؛ وثانيا</w:t>
      </w:r>
      <w:r w:rsidR="002A76A2">
        <w:rPr>
          <w:rFonts w:hint="cs"/>
          <w:rtl/>
        </w:rPr>
        <w:t>ً</w:t>
      </w:r>
      <w:r>
        <w:rPr>
          <w:rFonts w:hint="cs"/>
          <w:rtl/>
        </w:rPr>
        <w:t xml:space="preserve"> لأنه كان ينبغي للسلطات أن تفحص صاحبة الشكوى للتأكد من وجود أسباب وجيهة تدعو إلى الخوف من تعرض</w:t>
      </w:r>
      <w:r w:rsidR="00B37D2A">
        <w:rPr>
          <w:rFonts w:hint="cs"/>
          <w:rtl/>
        </w:rPr>
        <w:t>ها</w:t>
      </w:r>
      <w:r>
        <w:rPr>
          <w:rFonts w:hint="cs"/>
          <w:rtl/>
        </w:rPr>
        <w:t xml:space="preserve"> للتعذيب، </w:t>
      </w:r>
      <w:r w:rsidR="00B37D2A">
        <w:rPr>
          <w:rFonts w:hint="cs"/>
          <w:rtl/>
        </w:rPr>
        <w:t xml:space="preserve">وفق ما يقتضيه </w:t>
      </w:r>
      <w:r>
        <w:rPr>
          <w:rFonts w:hint="cs"/>
          <w:rtl/>
        </w:rPr>
        <w:t>تقييم الشكوى على أساس فردي.</w:t>
      </w:r>
    </w:p>
    <w:p w:rsidR="00406AA6" w:rsidRPr="00CB6EC6" w:rsidRDefault="004F3B9A" w:rsidP="004F3B9A">
      <w:pPr>
        <w:pStyle w:val="H23GA"/>
        <w:rPr>
          <w:rFonts w:hint="cs"/>
          <w:rtl/>
        </w:rPr>
      </w:pPr>
      <w:r>
        <w:rPr>
          <w:rFonts w:hint="cs"/>
          <w:rtl/>
        </w:rPr>
        <w:tab/>
      </w:r>
      <w:r>
        <w:rPr>
          <w:rFonts w:hint="cs"/>
          <w:rtl/>
        </w:rPr>
        <w:tab/>
      </w:r>
      <w:r w:rsidR="00406AA6" w:rsidRPr="00CB6EC6">
        <w:rPr>
          <w:rFonts w:hint="cs"/>
          <w:rtl/>
        </w:rPr>
        <w:t>الملاحظات الإضافية التي قدمتها الدولة الطرف</w:t>
      </w:r>
    </w:p>
    <w:p w:rsidR="00406AA6" w:rsidRDefault="00406AA6" w:rsidP="00FC1CF9">
      <w:pPr>
        <w:pStyle w:val="SingleTxtGA"/>
        <w:rPr>
          <w:rFonts w:hint="cs"/>
          <w:rtl/>
        </w:rPr>
      </w:pPr>
      <w:r>
        <w:rPr>
          <w:rFonts w:hint="cs"/>
          <w:rtl/>
        </w:rPr>
        <w:t>6-1</w:t>
      </w:r>
      <w:r>
        <w:rPr>
          <w:rFonts w:hint="cs"/>
          <w:rtl/>
        </w:rPr>
        <w:tab/>
        <w:t>في 30 أيار/مايو 2011، دفعت الدولة الطرف، في معرض حديثها عن المبادئ التوجيهية لمفوضية شؤون اللاجئين بخصوص الأهلية، بأن هذه المبادئ ذات صبغة عامة ولا</w:t>
      </w:r>
      <w:r w:rsidR="008F3E2F">
        <w:rPr>
          <w:rFonts w:hint="eastAsia"/>
          <w:rtl/>
        </w:rPr>
        <w:t> </w:t>
      </w:r>
      <w:r>
        <w:rPr>
          <w:rFonts w:hint="cs"/>
          <w:rtl/>
        </w:rPr>
        <w:t xml:space="preserve">تحتوي على تقييم محدد للظروف الشخصية لملتمسي اللجوء، في حين أن مجلس طعون اللاجئين يتخذ قراراته في حالات فردية. فهو يطبق الاتفاقية وغيرها من المعاهدات الدولية لحقوق الإنسان بناء على الظروف الشخصية لكل ملتمس، إضافة إلى المعلومات الأساسية المتاحة عن أوضاع البلد. وعلى هذا، فليس للمبادئ التوجيهية لمفوضية شؤون اللاجئين تأثير حاسم في حد ذاتها. بيد أنها تؤكد أن توصيات المفوضية والمعلومات الأساسية </w:t>
      </w:r>
      <w:r w:rsidR="001C1FFB">
        <w:rPr>
          <w:rFonts w:hint="cs"/>
          <w:rtl/>
        </w:rPr>
        <w:t xml:space="preserve">التي ترد </w:t>
      </w:r>
      <w:r>
        <w:rPr>
          <w:rFonts w:hint="cs"/>
          <w:rtl/>
        </w:rPr>
        <w:t xml:space="preserve">منها </w:t>
      </w:r>
      <w:r w:rsidR="001C1FFB">
        <w:rPr>
          <w:rFonts w:hint="cs"/>
          <w:rtl/>
        </w:rPr>
        <w:t xml:space="preserve">تشكل </w:t>
      </w:r>
      <w:r>
        <w:rPr>
          <w:rFonts w:hint="cs"/>
          <w:rtl/>
        </w:rPr>
        <w:t>عنصر</w:t>
      </w:r>
      <w:r w:rsidR="001C1FFB">
        <w:rPr>
          <w:rFonts w:hint="cs"/>
          <w:rtl/>
        </w:rPr>
        <w:t>اً</w:t>
      </w:r>
      <w:r>
        <w:rPr>
          <w:rFonts w:hint="cs"/>
          <w:rtl/>
        </w:rPr>
        <w:t xml:space="preserve"> رئيس</w:t>
      </w:r>
      <w:r w:rsidR="00964820">
        <w:rPr>
          <w:rFonts w:hint="cs"/>
          <w:rtl/>
        </w:rPr>
        <w:t>ي</w:t>
      </w:r>
      <w:r w:rsidR="001C1FFB">
        <w:rPr>
          <w:rFonts w:hint="cs"/>
          <w:rtl/>
        </w:rPr>
        <w:t>اً</w:t>
      </w:r>
      <w:r>
        <w:rPr>
          <w:rFonts w:hint="cs"/>
          <w:rtl/>
        </w:rPr>
        <w:t xml:space="preserve"> في معالجة المجلس للقضايا وتُولَى له أهمية كبيرة. وتؤكد أيضا</w:t>
      </w:r>
      <w:r w:rsidR="002A76A2">
        <w:rPr>
          <w:rFonts w:hint="cs"/>
          <w:rtl/>
        </w:rPr>
        <w:t>ً</w:t>
      </w:r>
      <w:r>
        <w:rPr>
          <w:rFonts w:hint="cs"/>
          <w:rtl/>
        </w:rPr>
        <w:t xml:space="preserve"> أن هذا الإدراك يتوافق مع آراء المحكمة الأوروبية</w:t>
      </w:r>
      <w:r>
        <w:rPr>
          <w:vertAlign w:val="superscript"/>
          <w:rtl/>
        </w:rPr>
        <w:t>(</w:t>
      </w:r>
      <w:r>
        <w:rPr>
          <w:rStyle w:val="FootnoteReference"/>
          <w:sz w:val="22"/>
          <w:rtl/>
        </w:rPr>
        <w:footnoteReference w:id="9"/>
      </w:r>
      <w:r w:rsidRPr="00345719">
        <w:rPr>
          <w:vertAlign w:val="superscript"/>
          <w:rtl/>
        </w:rPr>
        <w:t>)</w:t>
      </w:r>
      <w:r>
        <w:rPr>
          <w:rFonts w:hint="cs"/>
          <w:rtl/>
        </w:rPr>
        <w:t xml:space="preserve">. وتشير </w:t>
      </w:r>
      <w:r w:rsidR="001C1FFB">
        <w:rPr>
          <w:rFonts w:hint="cs"/>
          <w:rtl/>
        </w:rPr>
        <w:t xml:space="preserve">كذلك إلى ما درجت عليه </w:t>
      </w:r>
      <w:r>
        <w:rPr>
          <w:rFonts w:hint="cs"/>
          <w:rtl/>
        </w:rPr>
        <w:t xml:space="preserve">اللجنة نفسها </w:t>
      </w:r>
      <w:r w:rsidR="001C1FFB">
        <w:rPr>
          <w:rFonts w:hint="cs"/>
          <w:rtl/>
        </w:rPr>
        <w:t xml:space="preserve">من </w:t>
      </w:r>
      <w:r w:rsidRPr="00A4799F">
        <w:rPr>
          <w:rtl/>
          <w:lang w:val="fr-CH"/>
        </w:rPr>
        <w:t>أن وجود نمط من الانتهاكات الفادحة أو الصارخة أو الجماعية لحقوق الإنسان في بلد ما</w:t>
      </w:r>
      <w:r>
        <w:rPr>
          <w:rFonts w:hint="cs"/>
          <w:rtl/>
          <w:lang w:val="fr-CH"/>
        </w:rPr>
        <w:t xml:space="preserve"> </w:t>
      </w:r>
      <w:r>
        <w:rPr>
          <w:rtl/>
          <w:lang w:val="fr-CH"/>
        </w:rPr>
        <w:t>ل</w:t>
      </w:r>
      <w:r>
        <w:rPr>
          <w:rFonts w:hint="cs"/>
          <w:rtl/>
          <w:lang w:val="fr-CH"/>
        </w:rPr>
        <w:t xml:space="preserve">يس </w:t>
      </w:r>
      <w:r w:rsidRPr="00A4799F">
        <w:rPr>
          <w:rtl/>
          <w:lang w:val="fr-CH"/>
        </w:rPr>
        <w:t>في حد ذاته سبباً كافياً لأن تقرر الل</w:t>
      </w:r>
      <w:r>
        <w:rPr>
          <w:rtl/>
          <w:lang w:val="fr-CH"/>
        </w:rPr>
        <w:t>جنة أن شخصاً بعينه سيتعرض ل</w:t>
      </w:r>
      <w:r w:rsidRPr="00A4799F">
        <w:rPr>
          <w:rtl/>
          <w:lang w:val="fr-CH"/>
        </w:rPr>
        <w:t xml:space="preserve">لتعذيب لدى عودته </w:t>
      </w:r>
      <w:r>
        <w:rPr>
          <w:rtl/>
          <w:lang w:val="fr-CH"/>
        </w:rPr>
        <w:t>إلى ذلك البلد؛ ويجب أن ت</w:t>
      </w:r>
      <w:r>
        <w:rPr>
          <w:rFonts w:hint="cs"/>
          <w:rtl/>
          <w:lang w:val="fr-CH"/>
        </w:rPr>
        <w:t>توافر</w:t>
      </w:r>
      <w:r w:rsidRPr="00A4799F">
        <w:rPr>
          <w:rtl/>
          <w:lang w:val="fr-CH"/>
        </w:rPr>
        <w:t xml:space="preserve"> أسباب إضافية تبين أن الفرد المع</w:t>
      </w:r>
      <w:r>
        <w:rPr>
          <w:rtl/>
          <w:lang w:val="fr-CH"/>
        </w:rPr>
        <w:t xml:space="preserve">ني سيواجه شخصياً هذا الخطر. </w:t>
      </w:r>
      <w:r>
        <w:rPr>
          <w:rFonts w:hint="cs"/>
          <w:rtl/>
          <w:lang w:val="fr-CH"/>
        </w:rPr>
        <w:t>وبالمثل</w:t>
      </w:r>
      <w:r w:rsidRPr="00A4799F">
        <w:rPr>
          <w:rtl/>
          <w:lang w:val="fr-CH"/>
        </w:rPr>
        <w:t>، فإن عدم وجود نمط ثابت من الانتهاكات الصارخة لحقوق الإنسان</w:t>
      </w:r>
      <w:r w:rsidR="00747ED4">
        <w:rPr>
          <w:rtl/>
          <w:lang w:val="fr-CH"/>
        </w:rPr>
        <w:t xml:space="preserve"> لا </w:t>
      </w:r>
      <w:r w:rsidRPr="00A4799F">
        <w:rPr>
          <w:rtl/>
          <w:lang w:val="fr-CH"/>
        </w:rPr>
        <w:t xml:space="preserve">يعني أن </w:t>
      </w:r>
      <w:r>
        <w:rPr>
          <w:rFonts w:hint="cs"/>
          <w:rtl/>
          <w:lang w:val="fr-CH"/>
        </w:rPr>
        <w:t>ال</w:t>
      </w:r>
      <w:r>
        <w:rPr>
          <w:rtl/>
          <w:lang w:val="fr-CH"/>
        </w:rPr>
        <w:t>شخص</w:t>
      </w:r>
      <w:r w:rsidR="00747ED4">
        <w:rPr>
          <w:rtl/>
          <w:lang w:val="fr-CH"/>
        </w:rPr>
        <w:t xml:space="preserve"> لا </w:t>
      </w:r>
      <w:r>
        <w:rPr>
          <w:rtl/>
          <w:lang w:val="fr-CH"/>
        </w:rPr>
        <w:t xml:space="preserve">يمكن </w:t>
      </w:r>
      <w:r>
        <w:rPr>
          <w:rFonts w:hint="cs"/>
          <w:rtl/>
          <w:lang w:val="fr-CH"/>
        </w:rPr>
        <w:t>أن</w:t>
      </w:r>
      <w:r w:rsidRPr="00A4799F">
        <w:rPr>
          <w:rtl/>
          <w:lang w:val="fr-CH"/>
        </w:rPr>
        <w:t xml:space="preserve"> يتعرض للتعذيب بحكم ظروفه الخاصة.</w:t>
      </w:r>
      <w:r>
        <w:rPr>
          <w:rFonts w:hint="cs"/>
          <w:rtl/>
        </w:rPr>
        <w:t xml:space="preserve"> وتلفت النظر في هذا المقام إلى أن المحكمة الأوروبية، في قضية </w:t>
      </w:r>
      <w:r w:rsidRPr="00E52EFA">
        <w:rPr>
          <w:rFonts w:hint="cs"/>
          <w:i/>
          <w:iCs/>
          <w:rtl/>
        </w:rPr>
        <w:t>ن. أ. ضد المملكة المتحدة لبريطانيا العظمى و</w:t>
      </w:r>
      <w:r w:rsidR="00090161">
        <w:rPr>
          <w:rFonts w:hint="cs"/>
          <w:i/>
          <w:iCs/>
          <w:rtl/>
        </w:rPr>
        <w:t>أ</w:t>
      </w:r>
      <w:r w:rsidRPr="00E52EFA">
        <w:rPr>
          <w:rFonts w:hint="cs"/>
          <w:i/>
          <w:iCs/>
          <w:rtl/>
        </w:rPr>
        <w:t>يرلندا الشمالية</w:t>
      </w:r>
      <w:r>
        <w:rPr>
          <w:rFonts w:hint="cs"/>
          <w:rtl/>
        </w:rPr>
        <w:t xml:space="preserve">، أثبتت عدم وجود خطر عام يفضي إلى معاملة جميع </w:t>
      </w:r>
      <w:proofErr w:type="spellStart"/>
      <w:r>
        <w:rPr>
          <w:rFonts w:hint="cs"/>
          <w:rtl/>
        </w:rPr>
        <w:t>التاميل</w:t>
      </w:r>
      <w:proofErr w:type="spellEnd"/>
      <w:r>
        <w:rPr>
          <w:rFonts w:hint="cs"/>
          <w:rtl/>
        </w:rPr>
        <w:t xml:space="preserve"> العائدين إلى سري</w:t>
      </w:r>
      <w:r w:rsidR="00FC1CF9">
        <w:rPr>
          <w:rFonts w:hint="eastAsia"/>
          <w:rtl/>
        </w:rPr>
        <w:t> </w:t>
      </w:r>
      <w:proofErr w:type="spellStart"/>
      <w:r>
        <w:rPr>
          <w:rFonts w:hint="cs"/>
          <w:rtl/>
        </w:rPr>
        <w:t>لانكا</w:t>
      </w:r>
      <w:proofErr w:type="spellEnd"/>
      <w:r>
        <w:rPr>
          <w:rFonts w:hint="cs"/>
          <w:rtl/>
        </w:rPr>
        <w:t xml:space="preserve"> معاملة تتعارض مع المادة 3</w:t>
      </w:r>
      <w:r>
        <w:rPr>
          <w:vertAlign w:val="superscript"/>
          <w:rtl/>
        </w:rPr>
        <w:t>(</w:t>
      </w:r>
      <w:r>
        <w:rPr>
          <w:rStyle w:val="FootnoteReference"/>
          <w:sz w:val="22"/>
          <w:rtl/>
        </w:rPr>
        <w:footnoteReference w:id="10"/>
      </w:r>
      <w:r w:rsidRPr="00643777">
        <w:rPr>
          <w:vertAlign w:val="superscript"/>
          <w:rtl/>
        </w:rPr>
        <w:t>)</w:t>
      </w:r>
      <w:r>
        <w:rPr>
          <w:rFonts w:hint="cs"/>
          <w:rtl/>
        </w:rPr>
        <w:t>، وتشير إلى أن القرار أعلاه اتخذ قبل قرار المجلس الصادر في 19 أيار/</w:t>
      </w:r>
      <w:r w:rsidR="004F3B9A">
        <w:rPr>
          <w:rFonts w:hint="cs"/>
          <w:rtl/>
        </w:rPr>
        <w:t xml:space="preserve"> </w:t>
      </w:r>
      <w:r>
        <w:rPr>
          <w:rFonts w:hint="cs"/>
          <w:rtl/>
        </w:rPr>
        <w:t>مايو</w:t>
      </w:r>
      <w:r w:rsidR="004F3B9A">
        <w:rPr>
          <w:rFonts w:hint="eastAsia"/>
          <w:rtl/>
        </w:rPr>
        <w:t> </w:t>
      </w:r>
      <w:r>
        <w:rPr>
          <w:rFonts w:hint="cs"/>
          <w:rtl/>
        </w:rPr>
        <w:t>2010 في قضية صاحبة الشكوى.</w:t>
      </w:r>
    </w:p>
    <w:p w:rsidR="00406AA6" w:rsidRDefault="00406AA6" w:rsidP="001C1FFB">
      <w:pPr>
        <w:pStyle w:val="SingleTxtGA"/>
        <w:rPr>
          <w:rFonts w:hint="cs"/>
          <w:rtl/>
        </w:rPr>
      </w:pPr>
      <w:r>
        <w:rPr>
          <w:rFonts w:hint="cs"/>
          <w:rtl/>
        </w:rPr>
        <w:t>6-2</w:t>
      </w:r>
      <w:r>
        <w:rPr>
          <w:rFonts w:hint="cs"/>
          <w:rtl/>
        </w:rPr>
        <w:tab/>
        <w:t xml:space="preserve">وتؤكد الدولة الطرف أن على صاحبة الشكوى أن تثبت وجود أسباب وجيهة تحمل على الاعتقاد بأنها قد تتعرض للتعذيب إن طُردت </w:t>
      </w:r>
      <w:r w:rsidR="001C1FFB">
        <w:rPr>
          <w:rFonts w:hint="cs"/>
          <w:rtl/>
        </w:rPr>
        <w:t>في ذلك الحين</w:t>
      </w:r>
      <w:r>
        <w:rPr>
          <w:rFonts w:hint="cs"/>
          <w:rtl/>
        </w:rPr>
        <w:t>، أي وقت تقييم اللجنة قضيتها. وتؤكد أيضا</w:t>
      </w:r>
      <w:r w:rsidR="002A76A2">
        <w:rPr>
          <w:rFonts w:hint="cs"/>
          <w:rtl/>
        </w:rPr>
        <w:t>ً</w:t>
      </w:r>
      <w:r>
        <w:rPr>
          <w:rFonts w:hint="cs"/>
          <w:rtl/>
        </w:rPr>
        <w:t xml:space="preserve"> أن القضية موضع النظر تختلف اختلافا</w:t>
      </w:r>
      <w:r w:rsidR="002A76A2">
        <w:rPr>
          <w:rFonts w:hint="cs"/>
          <w:rtl/>
        </w:rPr>
        <w:t>ً</w:t>
      </w:r>
      <w:r>
        <w:rPr>
          <w:rFonts w:hint="cs"/>
          <w:rtl/>
        </w:rPr>
        <w:t xml:space="preserve"> كبيرا</w:t>
      </w:r>
      <w:r w:rsidR="002A76A2">
        <w:rPr>
          <w:rFonts w:hint="cs"/>
          <w:rtl/>
        </w:rPr>
        <w:t>ً</w:t>
      </w:r>
      <w:r>
        <w:rPr>
          <w:rFonts w:hint="cs"/>
          <w:rtl/>
        </w:rPr>
        <w:t xml:space="preserve"> عن قضية </w:t>
      </w:r>
      <w:r w:rsidRPr="00AA0E65">
        <w:rPr>
          <w:rFonts w:hint="cs"/>
          <w:i/>
          <w:iCs/>
          <w:rtl/>
        </w:rPr>
        <w:t>ن. أ. ضد المملكة المتحدة</w:t>
      </w:r>
      <w:r>
        <w:rPr>
          <w:rFonts w:hint="cs"/>
          <w:rtl/>
        </w:rPr>
        <w:t xml:space="preserve"> لأن مقدم الطلب في هذه القضية كان </w:t>
      </w:r>
      <w:r w:rsidR="001C1FFB">
        <w:rPr>
          <w:rFonts w:hint="cs"/>
          <w:rtl/>
        </w:rPr>
        <w:t xml:space="preserve">قد </w:t>
      </w:r>
      <w:r>
        <w:rPr>
          <w:rFonts w:hint="cs"/>
          <w:rtl/>
        </w:rPr>
        <w:t>غادر سري لانكا سرا</w:t>
      </w:r>
      <w:r w:rsidR="002A76A2">
        <w:rPr>
          <w:rFonts w:hint="cs"/>
          <w:rtl/>
        </w:rPr>
        <w:t>ً</w:t>
      </w:r>
      <w:r>
        <w:rPr>
          <w:rFonts w:hint="cs"/>
          <w:rtl/>
        </w:rPr>
        <w:t xml:space="preserve"> بعد أن قبض عليه الجيش واحتجزه في ست مناسبات مختلفة، </w:t>
      </w:r>
      <w:proofErr w:type="spellStart"/>
      <w:r w:rsidR="001C1FFB">
        <w:rPr>
          <w:rFonts w:hint="cs"/>
          <w:rtl/>
        </w:rPr>
        <w:t>و</w:t>
      </w:r>
      <w:r>
        <w:rPr>
          <w:rFonts w:hint="cs"/>
          <w:rtl/>
        </w:rPr>
        <w:t>عومل</w:t>
      </w:r>
      <w:proofErr w:type="spellEnd"/>
      <w:r>
        <w:rPr>
          <w:rFonts w:hint="cs"/>
          <w:rtl/>
        </w:rPr>
        <w:t xml:space="preserve"> في إحداها عل</w:t>
      </w:r>
      <w:r w:rsidR="001C1FFB">
        <w:rPr>
          <w:rFonts w:hint="cs"/>
          <w:rtl/>
        </w:rPr>
        <w:t xml:space="preserve">ى الأقل معاملة سيئة وأصيب بجروح، </w:t>
      </w:r>
      <w:r>
        <w:rPr>
          <w:rFonts w:hint="cs"/>
          <w:rtl/>
        </w:rPr>
        <w:t xml:space="preserve">وأخِذت </w:t>
      </w:r>
      <w:r w:rsidR="001C1FFB">
        <w:rPr>
          <w:rFonts w:hint="cs"/>
          <w:rtl/>
        </w:rPr>
        <w:t>صوره و</w:t>
      </w:r>
      <w:r>
        <w:rPr>
          <w:rFonts w:hint="cs"/>
          <w:rtl/>
        </w:rPr>
        <w:t>بصماته.</w:t>
      </w:r>
    </w:p>
    <w:p w:rsidR="00406AA6" w:rsidRDefault="00406AA6" w:rsidP="001C1FFB">
      <w:pPr>
        <w:pStyle w:val="SingleTxtGA"/>
        <w:rPr>
          <w:rFonts w:hint="cs"/>
          <w:rtl/>
        </w:rPr>
      </w:pPr>
      <w:r>
        <w:rPr>
          <w:rFonts w:hint="cs"/>
          <w:rtl/>
        </w:rPr>
        <w:t>6-3</w:t>
      </w:r>
      <w:r>
        <w:rPr>
          <w:rFonts w:hint="cs"/>
          <w:rtl/>
        </w:rPr>
        <w:tab/>
        <w:t xml:space="preserve">وعن ادعاء صاحبة الشكوى حدوث أخطاء في ترجمة استمارة الطلب، </w:t>
      </w:r>
      <w:r w:rsidR="001C1FFB">
        <w:rPr>
          <w:rFonts w:hint="cs"/>
          <w:rtl/>
        </w:rPr>
        <w:t xml:space="preserve">أفادت </w:t>
      </w:r>
      <w:r>
        <w:rPr>
          <w:rFonts w:hint="cs"/>
          <w:rtl/>
        </w:rPr>
        <w:t>السلطاتِ سابقا</w:t>
      </w:r>
      <w:r w:rsidR="002A76A2">
        <w:rPr>
          <w:rFonts w:hint="cs"/>
          <w:rtl/>
        </w:rPr>
        <w:t>ً</w:t>
      </w:r>
      <w:r>
        <w:rPr>
          <w:rFonts w:hint="cs"/>
          <w:rtl/>
        </w:rPr>
        <w:t xml:space="preserve"> </w:t>
      </w:r>
      <w:r w:rsidR="001C1FFB">
        <w:rPr>
          <w:rFonts w:hint="cs"/>
          <w:rtl/>
        </w:rPr>
        <w:t>ب</w:t>
      </w:r>
      <w:r>
        <w:rPr>
          <w:rFonts w:hint="cs"/>
          <w:rtl/>
        </w:rPr>
        <w:t xml:space="preserve">أن خطأ </w:t>
      </w:r>
      <w:r w:rsidR="001C1FFB">
        <w:rPr>
          <w:rFonts w:hint="cs"/>
          <w:rtl/>
        </w:rPr>
        <w:t xml:space="preserve">قد حدث </w:t>
      </w:r>
      <w:r>
        <w:rPr>
          <w:rFonts w:hint="cs"/>
          <w:rtl/>
        </w:rPr>
        <w:t xml:space="preserve">في عمر ابن أخيها (أو أختها). وقد أخذ المجلس ذلك في الحسبان. ولم تُكتشف أي أخطاء مطبعية أو </w:t>
      </w:r>
      <w:proofErr w:type="spellStart"/>
      <w:r>
        <w:rPr>
          <w:rFonts w:hint="cs"/>
          <w:rtl/>
        </w:rPr>
        <w:t>ترجمية</w:t>
      </w:r>
      <w:proofErr w:type="spellEnd"/>
      <w:r>
        <w:rPr>
          <w:rFonts w:hint="cs"/>
          <w:rtl/>
        </w:rPr>
        <w:t xml:space="preserve">. أضف إلى ذلك أن صاحبة الشكوى كانت </w:t>
      </w:r>
      <w:r w:rsidR="001C1FFB">
        <w:rPr>
          <w:rFonts w:hint="cs"/>
          <w:rtl/>
        </w:rPr>
        <w:t xml:space="preserve">قد </w:t>
      </w:r>
      <w:r>
        <w:rPr>
          <w:rFonts w:hint="cs"/>
          <w:rtl/>
        </w:rPr>
        <w:t>بعثت رسالة من أربع صفحات إلى إدارة الهجرة الدانمركية تروي فيها كل ما له علاقة بدواعي طلب اللجوء، وعليه تستبعد الدولة الطرف أن تكون صاحبة الشكوى حاولت حذف معلومات، لكنها سعت إلى إضافة معلومات إلى قضيتها.</w:t>
      </w:r>
    </w:p>
    <w:p w:rsidR="00406AA6" w:rsidRDefault="00406AA6" w:rsidP="00EE7763">
      <w:pPr>
        <w:pStyle w:val="SingleTxtGA"/>
        <w:rPr>
          <w:rFonts w:hint="cs"/>
          <w:rtl/>
        </w:rPr>
      </w:pPr>
      <w:r>
        <w:rPr>
          <w:rFonts w:hint="cs"/>
          <w:rtl/>
        </w:rPr>
        <w:t>6-4</w:t>
      </w:r>
      <w:r>
        <w:rPr>
          <w:rFonts w:hint="cs"/>
          <w:rtl/>
        </w:rPr>
        <w:tab/>
        <w:t xml:space="preserve">وعن الفحص </w:t>
      </w:r>
      <w:r w:rsidR="00157336">
        <w:rPr>
          <w:rFonts w:hint="cs"/>
          <w:rtl/>
        </w:rPr>
        <w:t xml:space="preserve">من أجل الكشف عن </w:t>
      </w:r>
      <w:r>
        <w:rPr>
          <w:rFonts w:hint="cs"/>
          <w:rtl/>
        </w:rPr>
        <w:t xml:space="preserve">آثار التعذيب، تشير الدولة الطرف إلى ملاحظاتها السابقة التي جاء فيها أن الحادث المتعلق باحتجازها وضربها وفقدانها أسنانها عنصر جوهري في طلبها وأن السلطات استبعدت أن تكون صاحبة الشكوى نسيت الإشارة إليه في طلبها الأولي، لكنها لم تتذكره إلا في تشرين الثاني/نوفمبر 2009، أي بعد مضي أكثر من ستة أشهر. وتكرر الدولة الطرف </w:t>
      </w:r>
      <w:r w:rsidR="00EE7763">
        <w:rPr>
          <w:rFonts w:hint="cs"/>
          <w:rtl/>
        </w:rPr>
        <w:t xml:space="preserve">ذكر أسباب رفض </w:t>
      </w:r>
      <w:r>
        <w:rPr>
          <w:rFonts w:hint="cs"/>
          <w:rtl/>
        </w:rPr>
        <w:t>المجلس طلب صاحبة الشكوى (انظر الفقرة</w:t>
      </w:r>
      <w:r w:rsidR="00157336">
        <w:rPr>
          <w:rFonts w:hint="eastAsia"/>
          <w:rtl/>
        </w:rPr>
        <w:t> </w:t>
      </w:r>
      <w:r>
        <w:rPr>
          <w:rFonts w:hint="cs"/>
          <w:rtl/>
        </w:rPr>
        <w:t>4-4 أعلاه).</w:t>
      </w:r>
    </w:p>
    <w:p w:rsidR="00406AA6" w:rsidRPr="003C4F77" w:rsidRDefault="007B43F7" w:rsidP="007B43F7">
      <w:pPr>
        <w:pStyle w:val="H23GA"/>
        <w:rPr>
          <w:rFonts w:hint="cs"/>
          <w:rtl/>
        </w:rPr>
      </w:pPr>
      <w:r>
        <w:rPr>
          <w:rFonts w:hint="cs"/>
          <w:rtl/>
        </w:rPr>
        <w:tab/>
      </w:r>
      <w:r>
        <w:rPr>
          <w:rFonts w:hint="cs"/>
          <w:rtl/>
        </w:rPr>
        <w:tab/>
      </w:r>
      <w:r w:rsidR="00406AA6" w:rsidRPr="003C4F77">
        <w:rPr>
          <w:rFonts w:hint="cs"/>
          <w:rtl/>
        </w:rPr>
        <w:t>المعلومات الإضافية التي قدمتها صاحبة الشكوى</w:t>
      </w:r>
    </w:p>
    <w:p w:rsidR="00406AA6" w:rsidRDefault="00406AA6" w:rsidP="008E2067">
      <w:pPr>
        <w:pStyle w:val="SingleTxtGA"/>
        <w:rPr>
          <w:rFonts w:hint="cs"/>
          <w:rtl/>
        </w:rPr>
      </w:pPr>
      <w:r>
        <w:rPr>
          <w:rFonts w:hint="cs"/>
          <w:rtl/>
        </w:rPr>
        <w:t>7-</w:t>
      </w:r>
      <w:r>
        <w:rPr>
          <w:rFonts w:hint="cs"/>
          <w:rtl/>
        </w:rPr>
        <w:tab/>
        <w:t xml:space="preserve">في 20 تموز/يوليه 2011، أشارت صاحبة الشكوى إلى </w:t>
      </w:r>
      <w:r w:rsidR="004C584A">
        <w:rPr>
          <w:rFonts w:hint="cs"/>
          <w:rtl/>
        </w:rPr>
        <w:t xml:space="preserve">إحدى السوابق في عمل </w:t>
      </w:r>
      <w:r>
        <w:rPr>
          <w:rFonts w:hint="cs"/>
          <w:rtl/>
        </w:rPr>
        <w:t xml:space="preserve">اللجنة </w:t>
      </w:r>
      <w:r w:rsidR="004C584A">
        <w:rPr>
          <w:rFonts w:hint="cs"/>
          <w:rtl/>
        </w:rPr>
        <w:t xml:space="preserve">وهي </w:t>
      </w:r>
      <w:r>
        <w:rPr>
          <w:rFonts w:hint="cs"/>
          <w:rtl/>
        </w:rPr>
        <w:t xml:space="preserve">البلاغ رقم 91/1997، </w:t>
      </w:r>
      <w:r w:rsidRPr="008C7B68">
        <w:rPr>
          <w:rFonts w:hint="cs"/>
          <w:i/>
          <w:iCs/>
          <w:rtl/>
        </w:rPr>
        <w:t>أ. ضد هولندا</w:t>
      </w:r>
      <w:r>
        <w:rPr>
          <w:rFonts w:hint="cs"/>
          <w:rtl/>
        </w:rPr>
        <w:t>، الذي ورد فيه أنه كان على جسد صاحب الشكوى ندوب أيضا</w:t>
      </w:r>
      <w:r w:rsidR="002A76A2">
        <w:rPr>
          <w:rFonts w:hint="cs"/>
          <w:rtl/>
        </w:rPr>
        <w:t>ً</w:t>
      </w:r>
      <w:r>
        <w:rPr>
          <w:rFonts w:hint="cs"/>
          <w:rtl/>
        </w:rPr>
        <w:t xml:space="preserve"> من تعذيب سابق ورأت اللجنة أن الدولة الطرف لم توضح الأسباب التي أدت إلى اعتبار ادعاءات مقدم البلاغ غير مدعمة بما يكفي بحيث تستدعي فحصا</w:t>
      </w:r>
      <w:r w:rsidR="002A76A2">
        <w:rPr>
          <w:rFonts w:hint="cs"/>
          <w:rtl/>
        </w:rPr>
        <w:t>ً</w:t>
      </w:r>
      <w:r>
        <w:rPr>
          <w:rFonts w:hint="cs"/>
          <w:rtl/>
        </w:rPr>
        <w:t xml:space="preserve"> طبيا</w:t>
      </w:r>
      <w:r w:rsidR="002A76A2">
        <w:rPr>
          <w:rFonts w:hint="cs"/>
          <w:rtl/>
        </w:rPr>
        <w:t>ً</w:t>
      </w:r>
      <w:r>
        <w:rPr>
          <w:vertAlign w:val="superscript"/>
          <w:rtl/>
        </w:rPr>
        <w:t>(</w:t>
      </w:r>
      <w:r>
        <w:rPr>
          <w:rStyle w:val="FootnoteReference"/>
          <w:sz w:val="22"/>
          <w:rtl/>
        </w:rPr>
        <w:footnoteReference w:id="11"/>
      </w:r>
      <w:r w:rsidRPr="00923BB9">
        <w:rPr>
          <w:vertAlign w:val="superscript"/>
          <w:rtl/>
        </w:rPr>
        <w:t>)</w:t>
      </w:r>
      <w:r>
        <w:rPr>
          <w:rFonts w:hint="cs"/>
          <w:rtl/>
        </w:rPr>
        <w:t>. وبالمثل، لم يكن مقدم الشكوى في تلك القضية عضوا</w:t>
      </w:r>
      <w:r w:rsidR="002A76A2">
        <w:rPr>
          <w:rFonts w:hint="cs"/>
          <w:rtl/>
        </w:rPr>
        <w:t>ً</w:t>
      </w:r>
      <w:r>
        <w:rPr>
          <w:rFonts w:hint="cs"/>
          <w:rtl/>
        </w:rPr>
        <w:t xml:space="preserve"> في حزب مضطهد وإنما أحد مؤيديه، ورأت اللجنة أنه قد يعذب ثانية </w:t>
      </w:r>
      <w:r w:rsidR="008E2067">
        <w:rPr>
          <w:rFonts w:hint="cs"/>
          <w:rtl/>
        </w:rPr>
        <w:t>في ضوء تاريخ احتجازه السابق</w:t>
      </w:r>
      <w:r>
        <w:rPr>
          <w:vertAlign w:val="superscript"/>
          <w:rtl/>
        </w:rPr>
        <w:t>(</w:t>
      </w:r>
      <w:r>
        <w:rPr>
          <w:rStyle w:val="FootnoteReference"/>
          <w:sz w:val="22"/>
          <w:rtl/>
        </w:rPr>
        <w:footnoteReference w:id="12"/>
      </w:r>
      <w:r w:rsidRPr="00B04398">
        <w:rPr>
          <w:vertAlign w:val="superscript"/>
          <w:rtl/>
        </w:rPr>
        <w:t>)</w:t>
      </w:r>
      <w:r>
        <w:rPr>
          <w:rFonts w:hint="cs"/>
          <w:rtl/>
        </w:rPr>
        <w:t>. وتكرر صاحبة الشكوى مجددا</w:t>
      </w:r>
      <w:r w:rsidR="002A76A2">
        <w:rPr>
          <w:rFonts w:hint="cs"/>
          <w:rtl/>
        </w:rPr>
        <w:t>ً</w:t>
      </w:r>
      <w:r>
        <w:rPr>
          <w:rFonts w:hint="cs"/>
          <w:rtl/>
        </w:rPr>
        <w:t xml:space="preserve"> حجتها القائلة إنه كان ينبغي </w:t>
      </w:r>
      <w:r w:rsidR="008E2067">
        <w:rPr>
          <w:rFonts w:hint="cs"/>
          <w:rtl/>
        </w:rPr>
        <w:t xml:space="preserve">أن يطلب </w:t>
      </w:r>
      <w:r>
        <w:rPr>
          <w:rFonts w:hint="cs"/>
          <w:rtl/>
        </w:rPr>
        <w:t>مجلس طعون اللاجئين فحصا</w:t>
      </w:r>
      <w:r w:rsidR="002A76A2">
        <w:rPr>
          <w:rFonts w:hint="cs"/>
          <w:rtl/>
        </w:rPr>
        <w:t>ً</w:t>
      </w:r>
      <w:r>
        <w:rPr>
          <w:rFonts w:hint="cs"/>
          <w:rtl/>
        </w:rPr>
        <w:t xml:space="preserve"> طبيا</w:t>
      </w:r>
      <w:r w:rsidR="00B15850">
        <w:rPr>
          <w:rFonts w:hint="cs"/>
          <w:rtl/>
        </w:rPr>
        <w:t>ً</w:t>
      </w:r>
      <w:r>
        <w:rPr>
          <w:rFonts w:hint="cs"/>
          <w:rtl/>
        </w:rPr>
        <w:t>. وتؤكد أنه لم يكن لديها ما يكفي لدفع تكاليف فحص طبي لأن ملتمسي اللجوء في الدانمرك</w:t>
      </w:r>
      <w:r w:rsidR="00747ED4">
        <w:rPr>
          <w:rFonts w:hint="cs"/>
          <w:rtl/>
        </w:rPr>
        <w:t xml:space="preserve"> لا </w:t>
      </w:r>
      <w:r>
        <w:rPr>
          <w:rFonts w:hint="cs"/>
          <w:rtl/>
        </w:rPr>
        <w:t>يحق لهم العمل.</w:t>
      </w:r>
    </w:p>
    <w:p w:rsidR="00406AA6" w:rsidRPr="001A2F03" w:rsidRDefault="002D00FE" w:rsidP="007B43F7">
      <w:pPr>
        <w:pStyle w:val="H23GA"/>
        <w:rPr>
          <w:rFonts w:hint="cs"/>
          <w:rtl/>
        </w:rPr>
      </w:pPr>
      <w:r>
        <w:rPr>
          <w:rFonts w:hint="cs"/>
          <w:rtl/>
        </w:rPr>
        <w:tab/>
      </w:r>
      <w:r>
        <w:rPr>
          <w:rFonts w:hint="cs"/>
          <w:rtl/>
        </w:rPr>
        <w:tab/>
      </w:r>
      <w:r w:rsidR="00406AA6" w:rsidRPr="001A2F03">
        <w:rPr>
          <w:rFonts w:hint="cs"/>
          <w:rtl/>
        </w:rPr>
        <w:t>الملاحظات الإضافية المقدمة من الدولة الطرف</w:t>
      </w:r>
    </w:p>
    <w:p w:rsidR="00406AA6" w:rsidRDefault="00406AA6" w:rsidP="007A5160">
      <w:pPr>
        <w:pStyle w:val="SingleTxtGA"/>
        <w:rPr>
          <w:rFonts w:hint="cs"/>
          <w:rtl/>
        </w:rPr>
      </w:pPr>
      <w:r>
        <w:rPr>
          <w:rFonts w:hint="cs"/>
          <w:rtl/>
        </w:rPr>
        <w:t>8-</w:t>
      </w:r>
      <w:r>
        <w:rPr>
          <w:rFonts w:hint="cs"/>
          <w:rtl/>
        </w:rPr>
        <w:tab/>
        <w:t xml:space="preserve">في 21 تشرين الأول/أكتوبر 2011، دفعت الدولة الطرف بأن القضية التي أشارت إليها صاحبة الشكوى، أي </w:t>
      </w:r>
      <w:r w:rsidRPr="00EB307F">
        <w:rPr>
          <w:rFonts w:hint="cs"/>
          <w:i/>
          <w:iCs/>
          <w:rtl/>
        </w:rPr>
        <w:t>أ. ضد هولندا</w:t>
      </w:r>
      <w:r>
        <w:rPr>
          <w:rFonts w:hint="cs"/>
          <w:rtl/>
        </w:rPr>
        <w:t>، تختلف كثيرا</w:t>
      </w:r>
      <w:r w:rsidR="002A76A2">
        <w:rPr>
          <w:rFonts w:hint="cs"/>
          <w:rtl/>
        </w:rPr>
        <w:t>ً</w:t>
      </w:r>
      <w:r>
        <w:rPr>
          <w:rFonts w:hint="cs"/>
          <w:rtl/>
        </w:rPr>
        <w:t xml:space="preserve"> عن قضيتها لأن السلطات في تلك القضية لم </w:t>
      </w:r>
      <w:r w:rsidR="009B21AA">
        <w:rPr>
          <w:rFonts w:hint="cs"/>
          <w:rtl/>
        </w:rPr>
        <w:t xml:space="preserve">تطعن </w:t>
      </w:r>
      <w:r>
        <w:rPr>
          <w:rFonts w:hint="cs"/>
          <w:rtl/>
        </w:rPr>
        <w:t xml:space="preserve">في أن صاحب الشكوى عذب في الماضي. أما في القضية محل النظر، فلم </w:t>
      </w:r>
      <w:r w:rsidR="007A5160">
        <w:rPr>
          <w:rFonts w:hint="cs"/>
          <w:rtl/>
        </w:rPr>
        <w:t xml:space="preserve">يقر </w:t>
      </w:r>
      <w:r>
        <w:rPr>
          <w:rFonts w:hint="cs"/>
          <w:rtl/>
        </w:rPr>
        <w:t xml:space="preserve">مجلس طعون اللاجئين </w:t>
      </w:r>
      <w:r w:rsidR="007A5160">
        <w:rPr>
          <w:rFonts w:hint="cs"/>
          <w:rtl/>
        </w:rPr>
        <w:t xml:space="preserve">واقعة </w:t>
      </w:r>
      <w:r>
        <w:rPr>
          <w:rFonts w:hint="cs"/>
          <w:rtl/>
        </w:rPr>
        <w:t xml:space="preserve">أن صاحبة الشكوى </w:t>
      </w:r>
      <w:r w:rsidR="007A5160">
        <w:rPr>
          <w:rFonts w:hint="cs"/>
          <w:rtl/>
        </w:rPr>
        <w:t xml:space="preserve">قد </w:t>
      </w:r>
      <w:r>
        <w:rPr>
          <w:rFonts w:hint="cs"/>
          <w:rtl/>
        </w:rPr>
        <w:t>تعرضت للتعذيب في وطنها، استنادا</w:t>
      </w:r>
      <w:r w:rsidR="002A76A2">
        <w:rPr>
          <w:rFonts w:hint="cs"/>
          <w:rtl/>
        </w:rPr>
        <w:t>ً</w:t>
      </w:r>
      <w:r>
        <w:rPr>
          <w:rFonts w:hint="cs"/>
          <w:rtl/>
        </w:rPr>
        <w:t xml:space="preserve"> إلى تصريحها هي نفسها. وتؤكد الدولة الطرف أن ترحيل صاحبة الشكوى إلى سري لانكا لن يخل بالمادة 3 من الاتفاقية.</w:t>
      </w:r>
    </w:p>
    <w:p w:rsidR="00406AA6" w:rsidRPr="001A2F03" w:rsidRDefault="002D00FE" w:rsidP="002D00FE">
      <w:pPr>
        <w:pStyle w:val="H23GA"/>
        <w:keepNext/>
        <w:keepLines/>
        <w:rPr>
          <w:rFonts w:hint="cs"/>
          <w:rtl/>
        </w:rPr>
      </w:pPr>
      <w:r>
        <w:rPr>
          <w:rFonts w:hint="cs"/>
          <w:rtl/>
        </w:rPr>
        <w:tab/>
      </w:r>
      <w:r>
        <w:rPr>
          <w:rFonts w:hint="cs"/>
          <w:rtl/>
        </w:rPr>
        <w:tab/>
      </w:r>
      <w:r w:rsidR="00406AA6" w:rsidRPr="001A2F03">
        <w:rPr>
          <w:rFonts w:hint="cs"/>
          <w:rtl/>
        </w:rPr>
        <w:t>المسائل والإجراءات المعروضة على اللجنة</w:t>
      </w:r>
    </w:p>
    <w:p w:rsidR="00406AA6" w:rsidRPr="001A2F03" w:rsidRDefault="002D00FE" w:rsidP="002D00FE">
      <w:pPr>
        <w:pStyle w:val="H4GA"/>
        <w:rPr>
          <w:rFonts w:hint="cs"/>
          <w:rtl/>
        </w:rPr>
      </w:pPr>
      <w:r>
        <w:rPr>
          <w:rFonts w:hint="cs"/>
          <w:rtl/>
        </w:rPr>
        <w:tab/>
      </w:r>
      <w:r>
        <w:rPr>
          <w:rFonts w:hint="cs"/>
          <w:rtl/>
        </w:rPr>
        <w:tab/>
      </w:r>
      <w:r w:rsidR="00406AA6" w:rsidRPr="001A2F03">
        <w:rPr>
          <w:rFonts w:hint="cs"/>
          <w:rtl/>
        </w:rPr>
        <w:t xml:space="preserve">النظر في </w:t>
      </w:r>
      <w:proofErr w:type="spellStart"/>
      <w:r w:rsidR="00406AA6" w:rsidRPr="001A2F03">
        <w:rPr>
          <w:rFonts w:hint="cs"/>
          <w:rtl/>
        </w:rPr>
        <w:t>المقبولية</w:t>
      </w:r>
      <w:proofErr w:type="spellEnd"/>
    </w:p>
    <w:p w:rsidR="00406AA6" w:rsidRDefault="00406AA6" w:rsidP="00E627E8">
      <w:pPr>
        <w:pStyle w:val="SingleTxtGA"/>
        <w:rPr>
          <w:rFonts w:hint="cs"/>
          <w:sz w:val="22"/>
          <w:rtl/>
        </w:rPr>
      </w:pPr>
      <w:r>
        <w:rPr>
          <w:rFonts w:hint="cs"/>
          <w:sz w:val="22"/>
          <w:rtl/>
        </w:rPr>
        <w:t>9-1</w:t>
      </w:r>
      <w:r>
        <w:rPr>
          <w:rFonts w:hint="cs"/>
          <w:sz w:val="22"/>
          <w:rtl/>
        </w:rPr>
        <w:tab/>
      </w:r>
      <w:r w:rsidRPr="00A4799F">
        <w:rPr>
          <w:rtl/>
          <w:lang w:val="fr-CH"/>
        </w:rPr>
        <w:t xml:space="preserve">قبل النظر في أي ادعاءات ترد في </w:t>
      </w:r>
      <w:r>
        <w:rPr>
          <w:rFonts w:hint="cs"/>
          <w:rtl/>
          <w:lang w:val="fr-CH"/>
        </w:rPr>
        <w:t>بلاغ</w:t>
      </w:r>
      <w:r w:rsidRPr="00A4799F">
        <w:rPr>
          <w:rtl/>
          <w:lang w:val="fr-CH"/>
        </w:rPr>
        <w:t xml:space="preserve"> ما، يتعين ع</w:t>
      </w:r>
      <w:r>
        <w:rPr>
          <w:rtl/>
          <w:lang w:val="fr-CH"/>
        </w:rPr>
        <w:t>لى لجنة مناهضة التعذيب أن ت</w:t>
      </w:r>
      <w:r>
        <w:rPr>
          <w:rFonts w:hint="cs"/>
          <w:rtl/>
          <w:lang w:val="fr-CH"/>
        </w:rPr>
        <w:t xml:space="preserve">قرر </w:t>
      </w:r>
      <w:r w:rsidRPr="00A4799F">
        <w:rPr>
          <w:rtl/>
          <w:lang w:val="fr-CH"/>
        </w:rPr>
        <w:t>ما إذا كان البلاغ مقبولاً أم</w:t>
      </w:r>
      <w:r w:rsidR="00747ED4">
        <w:rPr>
          <w:rtl/>
          <w:lang w:val="fr-CH"/>
        </w:rPr>
        <w:t xml:space="preserve"> لا </w:t>
      </w:r>
      <w:r w:rsidRPr="00A4799F">
        <w:rPr>
          <w:rtl/>
          <w:lang w:val="fr-CH"/>
        </w:rPr>
        <w:t xml:space="preserve">بموجب المادة 22 من الاتفاقية. وقد تأكدت اللجنة، </w:t>
      </w:r>
      <w:r>
        <w:rPr>
          <w:rFonts w:hint="cs"/>
          <w:rtl/>
          <w:lang w:val="fr-CH"/>
        </w:rPr>
        <w:t>وفقا</w:t>
      </w:r>
      <w:r w:rsidR="002A76A2">
        <w:rPr>
          <w:rFonts w:hint="cs"/>
          <w:rtl/>
          <w:lang w:val="fr-CH"/>
        </w:rPr>
        <w:t>ً</w:t>
      </w:r>
      <w:r>
        <w:rPr>
          <w:rFonts w:hint="cs"/>
          <w:rtl/>
          <w:lang w:val="fr-CH"/>
        </w:rPr>
        <w:t xml:space="preserve"> لمقتضيات</w:t>
      </w:r>
      <w:r w:rsidRPr="00A4799F">
        <w:rPr>
          <w:rtl/>
          <w:lang w:val="fr-CH"/>
        </w:rPr>
        <w:t xml:space="preserve"> الفقرة 5(أ) من المادة 22</w:t>
      </w:r>
      <w:r>
        <w:rPr>
          <w:rtl/>
          <w:lang w:val="fr-CH"/>
        </w:rPr>
        <w:t xml:space="preserve"> من الاتفاقية، من أن المسألة </w:t>
      </w:r>
      <w:r>
        <w:rPr>
          <w:rFonts w:hint="cs"/>
          <w:rtl/>
          <w:lang w:val="fr-CH"/>
        </w:rPr>
        <w:t>ذات</w:t>
      </w:r>
      <w:r>
        <w:rPr>
          <w:rtl/>
          <w:lang w:val="fr-CH"/>
        </w:rPr>
        <w:t>ها لم تُبحث</w:t>
      </w:r>
      <w:r w:rsidR="003971A5">
        <w:rPr>
          <w:rtl/>
          <w:lang w:val="fr-CH"/>
        </w:rPr>
        <w:t xml:space="preserve"> </w:t>
      </w:r>
      <w:r>
        <w:rPr>
          <w:rtl/>
          <w:lang w:val="fr-CH"/>
        </w:rPr>
        <w:t>ولا</w:t>
      </w:r>
      <w:r>
        <w:rPr>
          <w:rFonts w:hint="cs"/>
          <w:rtl/>
          <w:lang w:val="fr-CH"/>
        </w:rPr>
        <w:t> </w:t>
      </w:r>
      <w:r w:rsidRPr="00A4799F">
        <w:rPr>
          <w:rtl/>
          <w:lang w:val="fr-CH"/>
        </w:rPr>
        <w:t>يجري بحثها في إطار أي إجراء آخر من إجراءات التحقيق الدولي أو التسوية الدولية.</w:t>
      </w:r>
    </w:p>
    <w:p w:rsidR="00406AA6" w:rsidRDefault="00406AA6" w:rsidP="00E627E8">
      <w:pPr>
        <w:pStyle w:val="SingleTxtGA"/>
        <w:rPr>
          <w:rFonts w:hint="cs"/>
          <w:rtl/>
        </w:rPr>
      </w:pPr>
      <w:r>
        <w:rPr>
          <w:rFonts w:hint="cs"/>
          <w:rtl/>
        </w:rPr>
        <w:t>9-2</w:t>
      </w:r>
      <w:r>
        <w:rPr>
          <w:rFonts w:hint="cs"/>
          <w:rtl/>
        </w:rPr>
        <w:tab/>
        <w:t>وترى اللجنة أن البلاغ د</w:t>
      </w:r>
      <w:r w:rsidR="00FC1CF9">
        <w:rPr>
          <w:rFonts w:hint="cs"/>
          <w:rtl/>
        </w:rPr>
        <w:t>ُ</w:t>
      </w:r>
      <w:r>
        <w:rPr>
          <w:rFonts w:hint="cs"/>
          <w:rtl/>
        </w:rPr>
        <w:t xml:space="preserve">عم بالأدلة </w:t>
      </w:r>
      <w:r w:rsidR="007A5160">
        <w:rPr>
          <w:rFonts w:hint="cs"/>
          <w:rtl/>
        </w:rPr>
        <w:t xml:space="preserve">اللازمة </w:t>
      </w:r>
      <w:r>
        <w:rPr>
          <w:rFonts w:hint="cs"/>
          <w:rtl/>
        </w:rPr>
        <w:t>لاعتباره مقبولا</w:t>
      </w:r>
      <w:r w:rsidR="00B15850">
        <w:rPr>
          <w:rFonts w:hint="cs"/>
          <w:rtl/>
        </w:rPr>
        <w:t>ً</w:t>
      </w:r>
      <w:r>
        <w:rPr>
          <w:rFonts w:hint="cs"/>
          <w:rtl/>
        </w:rPr>
        <w:t>، لأن صاحبة الشكوى استفاضت بما يكفي في سرد الوقائع و</w:t>
      </w:r>
      <w:r w:rsidR="007A5160">
        <w:rPr>
          <w:rFonts w:hint="cs"/>
          <w:rtl/>
        </w:rPr>
        <w:t xml:space="preserve">شرح </w:t>
      </w:r>
      <w:r>
        <w:rPr>
          <w:rFonts w:hint="cs"/>
          <w:rtl/>
        </w:rPr>
        <w:t xml:space="preserve">أساس الدعوى </w:t>
      </w:r>
      <w:r w:rsidR="007A5160">
        <w:rPr>
          <w:rFonts w:hint="cs"/>
          <w:rtl/>
        </w:rPr>
        <w:t xml:space="preserve">بما يكفي </w:t>
      </w:r>
      <w:r>
        <w:rPr>
          <w:rFonts w:hint="cs"/>
          <w:rtl/>
        </w:rPr>
        <w:t>لاتخاذ اللجنة قرارا</w:t>
      </w:r>
      <w:r w:rsidR="002A76A2">
        <w:rPr>
          <w:rFonts w:hint="cs"/>
          <w:rtl/>
        </w:rPr>
        <w:t>ً</w:t>
      </w:r>
      <w:r>
        <w:rPr>
          <w:rFonts w:hint="cs"/>
          <w:rtl/>
        </w:rPr>
        <w:t xml:space="preserve"> بشأنه. وبناء على ذلك، ترى اللجنة أنه</w:t>
      </w:r>
      <w:r w:rsidR="00747ED4">
        <w:rPr>
          <w:rFonts w:hint="cs"/>
          <w:rtl/>
        </w:rPr>
        <w:t xml:space="preserve"> لا </w:t>
      </w:r>
      <w:r>
        <w:rPr>
          <w:rFonts w:hint="cs"/>
          <w:rtl/>
        </w:rPr>
        <w:t>توجد عوائق أمام مقبولية البلاغ وتعلن مقبوليته من ثم.</w:t>
      </w:r>
    </w:p>
    <w:p w:rsidR="00406AA6" w:rsidRPr="001A2F03" w:rsidRDefault="00E627E8" w:rsidP="00E627E8">
      <w:pPr>
        <w:pStyle w:val="H4GA"/>
        <w:rPr>
          <w:rFonts w:hint="cs"/>
          <w:rtl/>
        </w:rPr>
      </w:pPr>
      <w:r>
        <w:rPr>
          <w:rFonts w:hint="cs"/>
          <w:rtl/>
        </w:rPr>
        <w:tab/>
      </w:r>
      <w:r>
        <w:rPr>
          <w:rFonts w:hint="cs"/>
          <w:rtl/>
        </w:rPr>
        <w:tab/>
      </w:r>
      <w:r w:rsidR="00406AA6" w:rsidRPr="001A2F03">
        <w:rPr>
          <w:rFonts w:hint="cs"/>
          <w:rtl/>
        </w:rPr>
        <w:t>النظر في الأسس الموضوعية</w:t>
      </w:r>
    </w:p>
    <w:p w:rsidR="00406AA6" w:rsidRDefault="00406AA6" w:rsidP="00E627E8">
      <w:pPr>
        <w:pStyle w:val="SingleTxtGA"/>
        <w:rPr>
          <w:rFonts w:hint="cs"/>
          <w:rtl/>
        </w:rPr>
      </w:pPr>
      <w:r>
        <w:rPr>
          <w:rFonts w:hint="cs"/>
          <w:rtl/>
        </w:rPr>
        <w:t>10-1</w:t>
      </w:r>
      <w:r>
        <w:rPr>
          <w:rFonts w:hint="cs"/>
          <w:rtl/>
        </w:rPr>
        <w:tab/>
        <w:t>نظرت اللجنة في البلاغ في ضوء جميع المعلومات التي أتاحتها لها الأطراف المعنية، وفقا</w:t>
      </w:r>
      <w:r w:rsidR="002A76A2">
        <w:rPr>
          <w:rFonts w:hint="cs"/>
          <w:rtl/>
        </w:rPr>
        <w:t>ً</w:t>
      </w:r>
      <w:r>
        <w:rPr>
          <w:rFonts w:hint="cs"/>
          <w:rtl/>
        </w:rPr>
        <w:t xml:space="preserve"> للفقرة 4 من المادة 22 من الاتفاقية.</w:t>
      </w:r>
    </w:p>
    <w:p w:rsidR="00406AA6" w:rsidRDefault="00406AA6" w:rsidP="007A5160">
      <w:pPr>
        <w:pStyle w:val="SingleTxtGA"/>
        <w:rPr>
          <w:rFonts w:hint="cs"/>
          <w:sz w:val="22"/>
          <w:rtl/>
        </w:rPr>
      </w:pPr>
      <w:r>
        <w:rPr>
          <w:rFonts w:hint="cs"/>
          <w:sz w:val="22"/>
          <w:rtl/>
        </w:rPr>
        <w:t>10-2</w:t>
      </w:r>
      <w:r>
        <w:rPr>
          <w:rFonts w:hint="cs"/>
          <w:sz w:val="22"/>
          <w:rtl/>
        </w:rPr>
        <w:tab/>
      </w:r>
      <w:r>
        <w:rPr>
          <w:rFonts w:hint="cs"/>
          <w:rtl/>
          <w:lang/>
        </w:rPr>
        <w:t>والمسألة المعروضة أمام اللجنة هي ما إذا كان طرد صاحبة الشكوى إلى سري لانكا يخل بالتزام الدولة الطرف بمقتضى المادة 3 من الاتفاقية</w:t>
      </w:r>
      <w:r w:rsidR="007A5160">
        <w:rPr>
          <w:rFonts w:hint="cs"/>
          <w:rtl/>
          <w:lang/>
        </w:rPr>
        <w:t>،</w:t>
      </w:r>
      <w:r>
        <w:rPr>
          <w:rFonts w:hint="cs"/>
          <w:rtl/>
          <w:lang/>
        </w:rPr>
        <w:t xml:space="preserve"> التي تنص على عدم جواز طرد أي شخص أو إعادته إلى دولة أخرى إذا توافرت لدى اللجنة أسباب وجيهة تحمل على الاعتقاد بأنه قد يتعرض للتعذيب.</w:t>
      </w:r>
    </w:p>
    <w:p w:rsidR="00406AA6" w:rsidRDefault="00406AA6" w:rsidP="007A5160">
      <w:pPr>
        <w:pStyle w:val="SingleTxtGA"/>
        <w:rPr>
          <w:rFonts w:hint="cs"/>
          <w:sz w:val="22"/>
          <w:rtl/>
        </w:rPr>
      </w:pPr>
      <w:r>
        <w:rPr>
          <w:rFonts w:hint="cs"/>
          <w:sz w:val="22"/>
          <w:rtl/>
        </w:rPr>
        <w:t>10-3</w:t>
      </w:r>
      <w:r>
        <w:rPr>
          <w:rFonts w:hint="cs"/>
          <w:sz w:val="22"/>
          <w:rtl/>
        </w:rPr>
        <w:tab/>
      </w:r>
      <w:r>
        <w:rPr>
          <w:rFonts w:hint="cs"/>
          <w:rtl/>
          <w:lang/>
        </w:rPr>
        <w:t>وعلى اللجنة أن تقيّم ما إذا كانت هناك أسباب وجيهة تحمل على الاعتقاد بأن صاحبة الشكوى قد تتعرض شخصياً للتعذيب لدى إعادتها إلى سري لانكا</w:t>
      </w:r>
      <w:r>
        <w:rPr>
          <w:rFonts w:hint="cs"/>
          <w:sz w:val="22"/>
          <w:rtl/>
          <w:lang/>
        </w:rPr>
        <w:t xml:space="preserve">. </w:t>
      </w:r>
      <w:r>
        <w:rPr>
          <w:rFonts w:hint="cs"/>
          <w:rtl/>
          <w:lang/>
        </w:rPr>
        <w:t>ولتقييم هذا الاحتمال، يجب على اللجنة أن تراعي جميع الاعتبارات ذات الصلة، عملاً بالفقرة 2 من المادة 3 من الاتفاقية، بما في ذلك مدى وجود نمط ثابت من الانتهاكات الجسيمة أو الصارخة أو الجماعية لحقوق الإنسان</w:t>
      </w:r>
      <w:r>
        <w:rPr>
          <w:rFonts w:hint="cs"/>
          <w:sz w:val="22"/>
          <w:rtl/>
          <w:lang/>
        </w:rPr>
        <w:t>. و</w:t>
      </w:r>
      <w:r>
        <w:rPr>
          <w:rtl/>
        </w:rPr>
        <w:t xml:space="preserve">ما زالت اللجنة تشعر بقلق بالغ إزاء الادعاءات المتواصلة والمتسقة التي تتعلق بانتشار التعذيب وغيره من ضروب المعاملة القاسية أو اللاإنسانية أو المهينة </w:t>
      </w:r>
      <w:r>
        <w:rPr>
          <w:rFonts w:hint="cs"/>
          <w:rtl/>
        </w:rPr>
        <w:t>على يد</w:t>
      </w:r>
      <w:r>
        <w:rPr>
          <w:rtl/>
        </w:rPr>
        <w:t xml:space="preserve"> جهات حكومية</w:t>
      </w:r>
      <w:r w:rsidRPr="00355703">
        <w:rPr>
          <w:rtl/>
        </w:rPr>
        <w:t xml:space="preserve"> </w:t>
      </w:r>
      <w:r>
        <w:rPr>
          <w:rtl/>
        </w:rPr>
        <w:t>فاعلة، وهي الجيش والشرطة،</w:t>
      </w:r>
      <w:r>
        <w:rPr>
          <w:rFonts w:hint="cs"/>
          <w:rtl/>
        </w:rPr>
        <w:t xml:space="preserve"> واستمرار ذلك</w:t>
      </w:r>
      <w:r>
        <w:rPr>
          <w:rtl/>
        </w:rPr>
        <w:t xml:space="preserve"> في </w:t>
      </w:r>
      <w:r>
        <w:rPr>
          <w:rFonts w:hint="cs"/>
          <w:rtl/>
        </w:rPr>
        <w:t>أنحاء</w:t>
      </w:r>
      <w:r>
        <w:rPr>
          <w:rtl/>
        </w:rPr>
        <w:t xml:space="preserve"> عديدة من البلد بعد انتهاء النزاع في أيار/مايو 2009</w:t>
      </w:r>
      <w:r>
        <w:rPr>
          <w:vertAlign w:val="superscript"/>
          <w:rtl/>
        </w:rPr>
        <w:t>(</w:t>
      </w:r>
      <w:r>
        <w:rPr>
          <w:rStyle w:val="FootnoteReference"/>
          <w:rtl/>
        </w:rPr>
        <w:footnoteReference w:id="13"/>
      </w:r>
      <w:r w:rsidRPr="007D6A05">
        <w:rPr>
          <w:vertAlign w:val="superscript"/>
          <w:rtl/>
        </w:rPr>
        <w:t>)</w:t>
      </w:r>
      <w:r>
        <w:rPr>
          <w:rFonts w:hint="cs"/>
          <w:rtl/>
        </w:rPr>
        <w:t xml:space="preserve">. </w:t>
      </w:r>
      <w:r>
        <w:rPr>
          <w:rtl/>
        </w:rPr>
        <w:t>بيد أن اللجنة تذ</w:t>
      </w:r>
      <w:r w:rsidRPr="00A74B3E">
        <w:rPr>
          <w:rtl/>
        </w:rPr>
        <w:t>ك</w:t>
      </w:r>
      <w:r>
        <w:rPr>
          <w:rFonts w:hint="cs"/>
          <w:rtl/>
        </w:rPr>
        <w:t>ِّ</w:t>
      </w:r>
      <w:r w:rsidRPr="00A74B3E">
        <w:rPr>
          <w:rtl/>
        </w:rPr>
        <w:t xml:space="preserve">ر بأن الهدف من ذلك هو </w:t>
      </w:r>
      <w:r>
        <w:rPr>
          <w:rFonts w:hint="cs"/>
          <w:rtl/>
        </w:rPr>
        <w:t>تحديد ما إذا كان</w:t>
      </w:r>
      <w:r w:rsidRPr="00A74B3E">
        <w:rPr>
          <w:rtl/>
        </w:rPr>
        <w:t xml:space="preserve"> </w:t>
      </w:r>
      <w:r>
        <w:rPr>
          <w:rFonts w:hint="cs"/>
          <w:rtl/>
        </w:rPr>
        <w:t>الشخص</w:t>
      </w:r>
      <w:r w:rsidRPr="00A74B3E">
        <w:rPr>
          <w:rtl/>
        </w:rPr>
        <w:t xml:space="preserve"> المعني </w:t>
      </w:r>
      <w:r>
        <w:rPr>
          <w:rFonts w:hint="cs"/>
          <w:rtl/>
        </w:rPr>
        <w:t>سيتعرض</w:t>
      </w:r>
      <w:r w:rsidRPr="00A74B3E">
        <w:rPr>
          <w:rtl/>
        </w:rPr>
        <w:t xml:space="preserve"> شخصياً </w:t>
      </w:r>
      <w:r>
        <w:rPr>
          <w:rFonts w:hint="cs"/>
          <w:rtl/>
        </w:rPr>
        <w:t>لتعذيب</w:t>
      </w:r>
      <w:r w:rsidRPr="0071111F">
        <w:rPr>
          <w:rtl/>
        </w:rPr>
        <w:t xml:space="preserve"> </w:t>
      </w:r>
      <w:r>
        <w:rPr>
          <w:rFonts w:hint="cs"/>
          <w:rtl/>
        </w:rPr>
        <w:t xml:space="preserve">فعلي والتنبؤ به </w:t>
      </w:r>
      <w:r w:rsidRPr="00A74B3E">
        <w:rPr>
          <w:rtl/>
        </w:rPr>
        <w:t>في البلد الذي سيعود إليه</w:t>
      </w:r>
      <w:r>
        <w:rPr>
          <w:rtl/>
          <w:lang w:val="fr-CH"/>
        </w:rPr>
        <w:t>؛ ويجب أن ت</w:t>
      </w:r>
      <w:r>
        <w:rPr>
          <w:rFonts w:hint="cs"/>
          <w:rtl/>
          <w:lang w:val="fr-CH"/>
        </w:rPr>
        <w:t>توافر</w:t>
      </w:r>
      <w:r w:rsidRPr="00A4799F">
        <w:rPr>
          <w:rtl/>
          <w:lang w:val="fr-CH"/>
        </w:rPr>
        <w:t xml:space="preserve"> أسباب إضافية تبين أن الفرد المع</w:t>
      </w:r>
      <w:r>
        <w:rPr>
          <w:rtl/>
          <w:lang w:val="fr-CH"/>
        </w:rPr>
        <w:t xml:space="preserve">ني سيواجه شخصياً </w:t>
      </w:r>
      <w:r w:rsidR="007A5160">
        <w:rPr>
          <w:rFonts w:hint="cs"/>
          <w:rtl/>
          <w:lang w:val="fr-CH"/>
        </w:rPr>
        <w:t xml:space="preserve">ذلك </w:t>
      </w:r>
      <w:r>
        <w:rPr>
          <w:rtl/>
          <w:lang w:val="fr-CH"/>
        </w:rPr>
        <w:t>الخطر</w:t>
      </w:r>
      <w:r>
        <w:rPr>
          <w:vertAlign w:val="superscript"/>
          <w:rtl/>
          <w:lang w:val="fr-CH"/>
        </w:rPr>
        <w:t>(</w:t>
      </w:r>
      <w:r>
        <w:rPr>
          <w:rStyle w:val="FootnoteReference"/>
          <w:rtl/>
          <w:lang w:val="fr-CH"/>
        </w:rPr>
        <w:footnoteReference w:id="14"/>
      </w:r>
      <w:r w:rsidRPr="00FC6F24">
        <w:rPr>
          <w:vertAlign w:val="superscript"/>
          <w:rtl/>
          <w:lang w:val="fr-CH"/>
        </w:rPr>
        <w:t>)</w:t>
      </w:r>
      <w:r>
        <w:rPr>
          <w:rtl/>
          <w:lang w:val="fr-CH"/>
        </w:rPr>
        <w:t>.</w:t>
      </w:r>
    </w:p>
    <w:p w:rsidR="00406AA6" w:rsidRDefault="00406AA6" w:rsidP="004A1F7B">
      <w:pPr>
        <w:pStyle w:val="SingleTxtGA"/>
        <w:rPr>
          <w:rFonts w:hint="cs"/>
          <w:sz w:val="22"/>
          <w:rtl/>
        </w:rPr>
      </w:pPr>
      <w:r>
        <w:rPr>
          <w:rFonts w:hint="cs"/>
          <w:sz w:val="22"/>
          <w:rtl/>
        </w:rPr>
        <w:t>10-4</w:t>
      </w:r>
      <w:r>
        <w:rPr>
          <w:rFonts w:hint="cs"/>
          <w:sz w:val="22"/>
          <w:rtl/>
        </w:rPr>
        <w:tab/>
      </w:r>
      <w:r w:rsidRPr="00771B2A">
        <w:rPr>
          <w:rtl/>
        </w:rPr>
        <w:t>وتذك</w:t>
      </w:r>
      <w:r>
        <w:rPr>
          <w:rFonts w:hint="cs"/>
          <w:rtl/>
        </w:rPr>
        <w:t>ِّ</w:t>
      </w:r>
      <w:r w:rsidRPr="00771B2A">
        <w:rPr>
          <w:rtl/>
        </w:rPr>
        <w:t>ر اللجنة بتعلي</w:t>
      </w:r>
      <w:r>
        <w:rPr>
          <w:rtl/>
        </w:rPr>
        <w:t>قها العام رقم 1</w:t>
      </w:r>
      <w:r>
        <w:rPr>
          <w:rFonts w:hint="cs"/>
          <w:rtl/>
        </w:rPr>
        <w:t xml:space="preserve">(1997) بشأن تنفيذ المادة 3 من الاتفاقية </w:t>
      </w:r>
      <w:r>
        <w:rPr>
          <w:rtl/>
        </w:rPr>
        <w:t>الذي جاء فيه أن</w:t>
      </w:r>
      <w:r>
        <w:rPr>
          <w:rFonts w:hint="cs"/>
          <w:rtl/>
        </w:rPr>
        <w:t xml:space="preserve">ه </w:t>
      </w:r>
      <w:r w:rsidR="00DC5FAA">
        <w:rPr>
          <w:rFonts w:hint="cs"/>
          <w:rtl/>
        </w:rPr>
        <w:t>"</w:t>
      </w:r>
      <w:r>
        <w:rPr>
          <w:rFonts w:hint="cs"/>
          <w:rtl/>
        </w:rPr>
        <w:t>يجب أن يقدر</w:t>
      </w:r>
      <w:r w:rsidRPr="00771B2A">
        <w:rPr>
          <w:rtl/>
        </w:rPr>
        <w:t xml:space="preserve"> خطر التعذيب </w:t>
      </w:r>
      <w:r>
        <w:rPr>
          <w:rtl/>
        </w:rPr>
        <w:t>على أسس تتجاوز مجرد ال</w:t>
      </w:r>
      <w:r>
        <w:rPr>
          <w:rFonts w:hint="cs"/>
          <w:rtl/>
        </w:rPr>
        <w:t>نظرية</w:t>
      </w:r>
      <w:r w:rsidRPr="00771B2A">
        <w:rPr>
          <w:rtl/>
        </w:rPr>
        <w:t xml:space="preserve"> أو الشك</w:t>
      </w:r>
      <w:r>
        <w:rPr>
          <w:rFonts w:hint="cs"/>
          <w:rtl/>
        </w:rPr>
        <w:t xml:space="preserve">. </w:t>
      </w:r>
      <w:r w:rsidRPr="001A7437">
        <w:rPr>
          <w:rtl/>
        </w:rPr>
        <w:t>غير أنه</w:t>
      </w:r>
      <w:r w:rsidR="00747ED4">
        <w:rPr>
          <w:rtl/>
        </w:rPr>
        <w:t xml:space="preserve"> لا </w:t>
      </w:r>
      <w:r>
        <w:rPr>
          <w:rFonts w:hint="cs"/>
          <w:rtl/>
        </w:rPr>
        <w:t>يتحتم أن يكون</w:t>
      </w:r>
      <w:r w:rsidRPr="001A7437">
        <w:rPr>
          <w:rtl/>
        </w:rPr>
        <w:t xml:space="preserve"> هذا الخطر </w:t>
      </w:r>
      <w:r>
        <w:rPr>
          <w:rFonts w:hint="cs"/>
          <w:rtl/>
        </w:rPr>
        <w:t>موافقاً لمعيار الاحتمال الكبير</w:t>
      </w:r>
      <w:r>
        <w:rPr>
          <w:rtl/>
        </w:rPr>
        <w:t>"</w:t>
      </w:r>
      <w:r w:rsidRPr="00771B2A">
        <w:rPr>
          <w:rtl/>
        </w:rPr>
        <w:t xml:space="preserve">، </w:t>
      </w:r>
      <w:r w:rsidRPr="00D60FD0">
        <w:rPr>
          <w:rtl/>
        </w:rPr>
        <w:t xml:space="preserve">بل يجب أن يكون </w:t>
      </w:r>
      <w:r>
        <w:rPr>
          <w:rFonts w:hint="cs"/>
          <w:rtl/>
        </w:rPr>
        <w:t xml:space="preserve">خطراً </w:t>
      </w:r>
      <w:r w:rsidRPr="00D60FD0">
        <w:rPr>
          <w:rtl/>
        </w:rPr>
        <w:t>شخصياً ومحدقاً</w:t>
      </w:r>
      <w:r>
        <w:rPr>
          <w:rFonts w:hint="cs"/>
          <w:rtl/>
        </w:rPr>
        <w:t xml:space="preserve">. </w:t>
      </w:r>
      <w:r>
        <w:rPr>
          <w:rtl/>
        </w:rPr>
        <w:t xml:space="preserve">وفي هذا الصدد، </w:t>
      </w:r>
      <w:r>
        <w:rPr>
          <w:rFonts w:hint="cs"/>
          <w:rtl/>
        </w:rPr>
        <w:t>حدَّدت</w:t>
      </w:r>
      <w:r w:rsidRPr="00FF67F6">
        <w:rPr>
          <w:rtl/>
        </w:rPr>
        <w:t xml:space="preserve"> اللجنة في قرارات سابقة أن </w:t>
      </w:r>
      <w:r>
        <w:rPr>
          <w:rFonts w:hint="cs"/>
          <w:rtl/>
        </w:rPr>
        <w:t>احتمال</w:t>
      </w:r>
      <w:r w:rsidRPr="00FF67F6">
        <w:rPr>
          <w:rtl/>
        </w:rPr>
        <w:t xml:space="preserve"> التعرض للتعذيب يجب أن يكون متوقعاً وحقيقياً وشخصياً</w:t>
      </w:r>
      <w:r>
        <w:rPr>
          <w:rFonts w:hint="cs"/>
          <w:rtl/>
        </w:rPr>
        <w:t xml:space="preserve">. </w:t>
      </w:r>
      <w:r w:rsidR="00DC5FAA">
        <w:rPr>
          <w:rFonts w:hint="cs"/>
          <w:rtl/>
          <w:lang w:val="en-GB"/>
        </w:rPr>
        <w:t xml:space="preserve">وتشير إلى </w:t>
      </w:r>
      <w:r>
        <w:rPr>
          <w:rFonts w:hint="cs"/>
          <w:rtl/>
          <w:lang w:val="en-GB"/>
        </w:rPr>
        <w:t xml:space="preserve">أنها </w:t>
      </w:r>
      <w:r w:rsidRPr="00912A4D">
        <w:rPr>
          <w:rtl/>
          <w:lang w:val="en-GB"/>
        </w:rPr>
        <w:t>تولي</w:t>
      </w:r>
      <w:r>
        <w:rPr>
          <w:rFonts w:hint="cs"/>
          <w:rtl/>
          <w:lang w:val="en-GB"/>
        </w:rPr>
        <w:t xml:space="preserve"> </w:t>
      </w:r>
      <w:r>
        <w:rPr>
          <w:rtl/>
          <w:lang w:val="en-GB"/>
        </w:rPr>
        <w:t>أهمية كبيرة</w:t>
      </w:r>
      <w:r>
        <w:rPr>
          <w:rFonts w:hint="cs"/>
          <w:rtl/>
          <w:lang w:val="en-GB"/>
        </w:rPr>
        <w:t xml:space="preserve">، بمقتضى ما جاء في </w:t>
      </w:r>
      <w:r w:rsidRPr="00912A4D">
        <w:rPr>
          <w:rtl/>
          <w:lang w:val="en-GB"/>
        </w:rPr>
        <w:t xml:space="preserve">تعليقها </w:t>
      </w:r>
      <w:r>
        <w:rPr>
          <w:rtl/>
          <w:lang w:val="en-GB"/>
        </w:rPr>
        <w:t xml:space="preserve">العام رقم 1، </w:t>
      </w:r>
      <w:r w:rsidR="00DC5FAA">
        <w:rPr>
          <w:rFonts w:hint="cs"/>
          <w:rtl/>
          <w:lang w:val="en-GB"/>
        </w:rPr>
        <w:t xml:space="preserve">لعمليات التحقق من الوقائع من قبل </w:t>
      </w:r>
      <w:r w:rsidRPr="00912A4D">
        <w:rPr>
          <w:rtl/>
          <w:lang w:val="en-GB"/>
        </w:rPr>
        <w:t>أجهزة الدولة الطرف المعنية، لكنها في الوقت نفسه</w:t>
      </w:r>
      <w:r w:rsidR="00747ED4">
        <w:rPr>
          <w:rtl/>
          <w:lang w:val="en-GB"/>
        </w:rPr>
        <w:t xml:space="preserve"> لا </w:t>
      </w:r>
      <w:r>
        <w:rPr>
          <w:rFonts w:hint="cs"/>
          <w:rtl/>
          <w:lang w:val="en-GB"/>
        </w:rPr>
        <w:t>تت</w:t>
      </w:r>
      <w:r w:rsidRPr="00912A4D">
        <w:rPr>
          <w:rtl/>
          <w:lang w:val="en-GB"/>
        </w:rPr>
        <w:t xml:space="preserve">قيد </w:t>
      </w:r>
      <w:r w:rsidR="00DC5FAA">
        <w:rPr>
          <w:rFonts w:hint="cs"/>
          <w:rtl/>
          <w:lang w:val="en-GB"/>
        </w:rPr>
        <w:t>بنتائجها، فهي تملك</w:t>
      </w:r>
      <w:r>
        <w:rPr>
          <w:rFonts w:hint="cs"/>
          <w:rtl/>
          <w:lang w:val="en-GB"/>
        </w:rPr>
        <w:t xml:space="preserve">، بموجب </w:t>
      </w:r>
      <w:r w:rsidRPr="00912A4D">
        <w:rPr>
          <w:rtl/>
          <w:lang w:val="en-GB"/>
        </w:rPr>
        <w:t>الفقرة 4 من المادة 22 من الات</w:t>
      </w:r>
      <w:r>
        <w:rPr>
          <w:rtl/>
          <w:lang w:val="en-GB"/>
        </w:rPr>
        <w:t>فاقية، سلطة تقييم الوقائع بحرية</w:t>
      </w:r>
      <w:r w:rsidRPr="00912A4D">
        <w:rPr>
          <w:rtl/>
          <w:lang w:val="en-GB"/>
        </w:rPr>
        <w:t xml:space="preserve"> استناداً إلى مجمل ملابسات كل قضية</w:t>
      </w:r>
      <w:r>
        <w:rPr>
          <w:rFonts w:hint="cs"/>
          <w:rtl/>
          <w:lang w:val="en-GB"/>
        </w:rPr>
        <w:t>.</w:t>
      </w:r>
      <w:r w:rsidR="003971A5">
        <w:rPr>
          <w:rFonts w:hint="cs"/>
          <w:sz w:val="22"/>
          <w:rtl/>
        </w:rPr>
        <w:t xml:space="preserve"> </w:t>
      </w:r>
    </w:p>
    <w:p w:rsidR="00406AA6" w:rsidRDefault="00406AA6" w:rsidP="00B4073A">
      <w:pPr>
        <w:pStyle w:val="SingleTxtGA"/>
        <w:rPr>
          <w:rFonts w:hint="cs"/>
          <w:sz w:val="30"/>
          <w:rtl/>
        </w:rPr>
      </w:pPr>
      <w:r>
        <w:rPr>
          <w:rFonts w:hint="cs"/>
          <w:rtl/>
        </w:rPr>
        <w:t>10-5</w:t>
      </w:r>
      <w:r>
        <w:rPr>
          <w:rFonts w:hint="cs"/>
          <w:rtl/>
        </w:rPr>
        <w:tab/>
        <w:t xml:space="preserve">وتشير اللجنة إلى أن صاحبة الشكوى تدعي أنها تعرضت للتعذيب فيما مضى وأنه كان ينبغي </w:t>
      </w:r>
      <w:r w:rsidR="000E125E">
        <w:rPr>
          <w:rFonts w:hint="cs"/>
          <w:rtl/>
        </w:rPr>
        <w:t>أن تطلب ا</w:t>
      </w:r>
      <w:r>
        <w:rPr>
          <w:rFonts w:hint="cs"/>
          <w:rtl/>
        </w:rPr>
        <w:t>لدولة الطرف إجراء فحص طبي لإثبات ما ادعته أو نفيه. لكنها تشير إلى أن الأجهزة المسؤولة في الدولة الطرف قيمت جميع الأدلة التي قدمتها صاحبة الشكوى</w:t>
      </w:r>
      <w:r w:rsidRPr="00486078">
        <w:rPr>
          <w:rFonts w:hint="cs"/>
          <w:rtl/>
        </w:rPr>
        <w:t xml:space="preserve"> </w:t>
      </w:r>
      <w:r>
        <w:rPr>
          <w:rFonts w:hint="cs"/>
          <w:rtl/>
        </w:rPr>
        <w:t>تقييما</w:t>
      </w:r>
      <w:r w:rsidR="002A76A2">
        <w:rPr>
          <w:rFonts w:hint="cs"/>
          <w:rtl/>
        </w:rPr>
        <w:t>ً</w:t>
      </w:r>
      <w:r>
        <w:rPr>
          <w:rFonts w:hint="cs"/>
          <w:rtl/>
        </w:rPr>
        <w:t xml:space="preserve"> شاملا</w:t>
      </w:r>
      <w:r w:rsidR="002A76A2">
        <w:rPr>
          <w:rFonts w:hint="cs"/>
          <w:rtl/>
        </w:rPr>
        <w:t>ً</w:t>
      </w:r>
      <w:r>
        <w:rPr>
          <w:rFonts w:hint="cs"/>
          <w:rtl/>
        </w:rPr>
        <w:t xml:space="preserve"> ووجدت أنها تعوزها المصداقية ولم تر داعيا</w:t>
      </w:r>
      <w:r w:rsidR="00E82CC0">
        <w:rPr>
          <w:rFonts w:hint="cs"/>
          <w:rtl/>
        </w:rPr>
        <w:t>ً</w:t>
      </w:r>
      <w:r>
        <w:rPr>
          <w:rFonts w:hint="cs"/>
          <w:rtl/>
        </w:rPr>
        <w:t xml:space="preserve"> إلى طلب فحص طبي. </w:t>
      </w:r>
      <w:r w:rsidRPr="00F25F51">
        <w:rPr>
          <w:rFonts w:hint="cs"/>
          <w:spacing w:val="2"/>
          <w:sz w:val="30"/>
          <w:rtl/>
        </w:rPr>
        <w:t>و</w:t>
      </w:r>
      <w:r>
        <w:rPr>
          <w:rFonts w:hint="cs"/>
          <w:spacing w:val="2"/>
          <w:sz w:val="30"/>
          <w:rtl/>
        </w:rPr>
        <w:t>تشير أيضا</w:t>
      </w:r>
      <w:r w:rsidR="00E82CC0">
        <w:rPr>
          <w:rFonts w:hint="cs"/>
          <w:spacing w:val="2"/>
          <w:sz w:val="30"/>
          <w:rtl/>
        </w:rPr>
        <w:t>ً</w:t>
      </w:r>
      <w:r>
        <w:rPr>
          <w:rFonts w:hint="cs"/>
          <w:spacing w:val="2"/>
          <w:sz w:val="30"/>
          <w:rtl/>
        </w:rPr>
        <w:t xml:space="preserve"> إلى أنه </w:t>
      </w:r>
      <w:r w:rsidRPr="00F25F51">
        <w:rPr>
          <w:rFonts w:hint="cs"/>
          <w:spacing w:val="2"/>
          <w:sz w:val="30"/>
          <w:rtl/>
        </w:rPr>
        <w:t xml:space="preserve">حتى </w:t>
      </w:r>
      <w:r w:rsidR="00B4073A">
        <w:rPr>
          <w:rFonts w:hint="cs"/>
          <w:spacing w:val="2"/>
          <w:sz w:val="30"/>
          <w:rtl/>
        </w:rPr>
        <w:t xml:space="preserve">في حالة قبول </w:t>
      </w:r>
      <w:r w:rsidRPr="00F25F51">
        <w:rPr>
          <w:rFonts w:hint="cs"/>
          <w:spacing w:val="2"/>
          <w:sz w:val="30"/>
          <w:rtl/>
        </w:rPr>
        <w:t>ادعاء صاحب</w:t>
      </w:r>
      <w:r>
        <w:rPr>
          <w:rFonts w:hint="cs"/>
          <w:spacing w:val="2"/>
          <w:sz w:val="30"/>
          <w:rtl/>
        </w:rPr>
        <w:t>ة الشكوى</w:t>
      </w:r>
      <w:r w:rsidRPr="00F25F51">
        <w:rPr>
          <w:rFonts w:hint="cs"/>
          <w:spacing w:val="2"/>
          <w:sz w:val="30"/>
          <w:rtl/>
        </w:rPr>
        <w:t xml:space="preserve"> تعرض</w:t>
      </w:r>
      <w:r>
        <w:rPr>
          <w:rFonts w:hint="cs"/>
          <w:spacing w:val="2"/>
          <w:sz w:val="30"/>
          <w:rtl/>
        </w:rPr>
        <w:t>ها</w:t>
      </w:r>
      <w:r w:rsidRPr="00F25F51">
        <w:rPr>
          <w:rFonts w:hint="cs"/>
          <w:spacing w:val="2"/>
          <w:sz w:val="30"/>
          <w:rtl/>
        </w:rPr>
        <w:t xml:space="preserve"> للتعذيب في الماضي، فالسؤال هو ما إذا كان</w:t>
      </w:r>
      <w:r>
        <w:rPr>
          <w:rFonts w:hint="cs"/>
          <w:spacing w:val="2"/>
          <w:sz w:val="30"/>
          <w:rtl/>
        </w:rPr>
        <w:t xml:space="preserve"> من المحتمل أن تتعرض للتعذيب </w:t>
      </w:r>
      <w:r w:rsidRPr="00F25F51">
        <w:rPr>
          <w:rFonts w:hint="cs"/>
          <w:spacing w:val="2"/>
          <w:sz w:val="30"/>
          <w:rtl/>
        </w:rPr>
        <w:t>حالياً</w:t>
      </w:r>
      <w:r>
        <w:rPr>
          <w:rFonts w:hint="cs"/>
          <w:spacing w:val="2"/>
          <w:sz w:val="30"/>
          <w:rtl/>
        </w:rPr>
        <w:t xml:space="preserve"> لدى إعادتها إلى سري لانكا</w:t>
      </w:r>
      <w:r w:rsidRPr="00F25F51">
        <w:rPr>
          <w:rFonts w:hint="cs"/>
          <w:spacing w:val="2"/>
          <w:sz w:val="30"/>
          <w:rtl/>
        </w:rPr>
        <w:t xml:space="preserve">. ولا يعني ذلك بالضرورة </w:t>
      </w:r>
      <w:r>
        <w:rPr>
          <w:rFonts w:hint="cs"/>
          <w:spacing w:val="2"/>
          <w:sz w:val="30"/>
          <w:rtl/>
        </w:rPr>
        <w:t>أنها</w:t>
      </w:r>
      <w:r w:rsidR="00747ED4">
        <w:rPr>
          <w:rFonts w:hint="cs"/>
          <w:spacing w:val="2"/>
          <w:sz w:val="30"/>
          <w:rtl/>
        </w:rPr>
        <w:t xml:space="preserve"> لا </w:t>
      </w:r>
      <w:r>
        <w:rPr>
          <w:rFonts w:hint="cs"/>
          <w:spacing w:val="2"/>
          <w:sz w:val="30"/>
          <w:rtl/>
        </w:rPr>
        <w:t>تزال عرضة للتعذيب في الوقت الراهن بعد عدة سنوات من وقوع ما تدعيه من أحداث إن هي أعيدت إلى بلدها</w:t>
      </w:r>
      <w:r w:rsidRPr="00F25F51">
        <w:rPr>
          <w:rFonts w:hint="cs"/>
          <w:spacing w:val="2"/>
          <w:sz w:val="30"/>
          <w:rtl/>
        </w:rPr>
        <w:t>.</w:t>
      </w:r>
      <w:r>
        <w:rPr>
          <w:rFonts w:hint="cs"/>
          <w:spacing w:val="2"/>
          <w:sz w:val="30"/>
          <w:rtl/>
        </w:rPr>
        <w:t xml:space="preserve"> </w:t>
      </w:r>
      <w:r>
        <w:rPr>
          <w:rFonts w:hint="cs"/>
          <w:sz w:val="30"/>
          <w:rtl/>
        </w:rPr>
        <w:t>وتشير أيضا</w:t>
      </w:r>
      <w:r w:rsidR="00E82CC0">
        <w:rPr>
          <w:rFonts w:hint="cs"/>
          <w:sz w:val="30"/>
          <w:rtl/>
        </w:rPr>
        <w:t>ً</w:t>
      </w:r>
      <w:r w:rsidRPr="00F25F51">
        <w:rPr>
          <w:rFonts w:hint="cs"/>
          <w:sz w:val="30"/>
          <w:rtl/>
        </w:rPr>
        <w:t xml:space="preserve"> إلى ادعاء صاحب</w:t>
      </w:r>
      <w:r>
        <w:rPr>
          <w:rFonts w:hint="cs"/>
          <w:sz w:val="30"/>
          <w:rtl/>
        </w:rPr>
        <w:t>ة الشكوى</w:t>
      </w:r>
      <w:r w:rsidRPr="00F25F51">
        <w:rPr>
          <w:rFonts w:hint="cs"/>
          <w:sz w:val="30"/>
          <w:rtl/>
        </w:rPr>
        <w:t xml:space="preserve"> أنه</w:t>
      </w:r>
      <w:r>
        <w:rPr>
          <w:rFonts w:hint="cs"/>
          <w:sz w:val="30"/>
          <w:rtl/>
        </w:rPr>
        <w:t>ا سوف تتعرض</w:t>
      </w:r>
      <w:r w:rsidRPr="00F25F51">
        <w:rPr>
          <w:rFonts w:hint="cs"/>
          <w:sz w:val="30"/>
          <w:rtl/>
        </w:rPr>
        <w:t xml:space="preserve"> للتعذيب </w:t>
      </w:r>
      <w:r>
        <w:rPr>
          <w:rFonts w:hint="cs"/>
          <w:sz w:val="30"/>
          <w:rtl/>
        </w:rPr>
        <w:t xml:space="preserve">إن رُحلت إلى سري لانكا بسبب ارتباطها المتصوّر </w:t>
      </w:r>
      <w:r w:rsidR="00B4073A">
        <w:rPr>
          <w:rFonts w:hint="cs"/>
          <w:sz w:val="30"/>
          <w:rtl/>
        </w:rPr>
        <w:t>ب</w:t>
      </w:r>
      <w:r>
        <w:rPr>
          <w:rFonts w:hint="cs"/>
          <w:sz w:val="30"/>
          <w:rtl/>
        </w:rPr>
        <w:t xml:space="preserve">نمور </w:t>
      </w:r>
      <w:proofErr w:type="spellStart"/>
      <w:r>
        <w:rPr>
          <w:rFonts w:hint="cs"/>
          <w:sz w:val="30"/>
          <w:rtl/>
        </w:rPr>
        <w:t>التاميل</w:t>
      </w:r>
      <w:proofErr w:type="spellEnd"/>
      <w:r>
        <w:rPr>
          <w:rFonts w:hint="cs"/>
          <w:sz w:val="30"/>
          <w:rtl/>
        </w:rPr>
        <w:t>. لكن صاحبة الشكوى لم تقنع اللجنة بأن سلطات الدولة الطرف، التي نظرت في القضية، لم تجر تحقيقا</w:t>
      </w:r>
      <w:r w:rsidR="00E82CC0">
        <w:rPr>
          <w:rFonts w:hint="cs"/>
          <w:sz w:val="30"/>
          <w:rtl/>
        </w:rPr>
        <w:t>ً</w:t>
      </w:r>
      <w:r>
        <w:rPr>
          <w:rFonts w:hint="cs"/>
          <w:sz w:val="30"/>
          <w:rtl/>
        </w:rPr>
        <w:t xml:space="preserve"> سليما</w:t>
      </w:r>
      <w:r w:rsidR="00B15850">
        <w:rPr>
          <w:rFonts w:hint="cs"/>
          <w:sz w:val="30"/>
          <w:rtl/>
        </w:rPr>
        <w:t>ً</w:t>
      </w:r>
      <w:r>
        <w:rPr>
          <w:rFonts w:hint="cs"/>
          <w:sz w:val="30"/>
          <w:rtl/>
        </w:rPr>
        <w:t>. أضف إلى ذلك أنها لم تقدم أي دليل على أن سلطات سري لانكا كانت تبحث عنها أو كان لديها أي مصلحة في معرفة مكان وجودها في الماضي القريب.</w:t>
      </w:r>
    </w:p>
    <w:p w:rsidR="00406AA6" w:rsidRDefault="00406AA6" w:rsidP="00E0619C">
      <w:pPr>
        <w:pStyle w:val="SingleTxtGA"/>
        <w:rPr>
          <w:rFonts w:hint="cs"/>
          <w:spacing w:val="4"/>
          <w:rtl/>
        </w:rPr>
      </w:pPr>
      <w:r>
        <w:rPr>
          <w:rFonts w:hint="cs"/>
          <w:rtl/>
        </w:rPr>
        <w:t>10-6</w:t>
      </w:r>
      <w:r>
        <w:rPr>
          <w:rFonts w:hint="cs"/>
          <w:rtl/>
        </w:rPr>
        <w:tab/>
        <w:t>وعن أنشطة صاحبة الشكوى السابقة، التي تعود أساسا</w:t>
      </w:r>
      <w:r w:rsidR="00E82CC0">
        <w:rPr>
          <w:rFonts w:hint="cs"/>
          <w:rtl/>
        </w:rPr>
        <w:t>ً</w:t>
      </w:r>
      <w:r>
        <w:rPr>
          <w:rFonts w:hint="cs"/>
          <w:rtl/>
        </w:rPr>
        <w:t xml:space="preserve"> إلى عام 1999، ليس واضحا</w:t>
      </w:r>
      <w:r w:rsidR="00E82CC0">
        <w:rPr>
          <w:rFonts w:hint="cs"/>
          <w:rtl/>
        </w:rPr>
        <w:t>ً</w:t>
      </w:r>
      <w:r>
        <w:rPr>
          <w:rFonts w:hint="cs"/>
          <w:rtl/>
        </w:rPr>
        <w:t xml:space="preserve"> أنها من الأهمية بحيث تستدعي اهتمام السلطات إن هي عادت إلى سري لانكا في عام</w:t>
      </w:r>
      <w:r w:rsidR="00E0619C">
        <w:rPr>
          <w:rFonts w:hint="eastAsia"/>
          <w:rtl/>
        </w:rPr>
        <w:t> </w:t>
      </w:r>
      <w:r>
        <w:rPr>
          <w:rFonts w:hint="cs"/>
          <w:rtl/>
        </w:rPr>
        <w:t xml:space="preserve">2010. </w:t>
      </w:r>
      <w:r w:rsidR="00E0619C">
        <w:rPr>
          <w:rFonts w:hint="cs"/>
          <w:spacing w:val="4"/>
          <w:rtl/>
        </w:rPr>
        <w:t xml:space="preserve">وتشير </w:t>
      </w:r>
      <w:r w:rsidRPr="00F25F51">
        <w:rPr>
          <w:rFonts w:hint="cs"/>
          <w:spacing w:val="4"/>
          <w:rtl/>
        </w:rPr>
        <w:t xml:space="preserve">اللجنة </w:t>
      </w:r>
      <w:r w:rsidR="00E0619C">
        <w:rPr>
          <w:rFonts w:hint="cs"/>
          <w:spacing w:val="4"/>
          <w:rtl/>
        </w:rPr>
        <w:t xml:space="preserve">إلى </w:t>
      </w:r>
      <w:r>
        <w:rPr>
          <w:rFonts w:hint="cs"/>
          <w:spacing w:val="4"/>
          <w:rtl/>
        </w:rPr>
        <w:t xml:space="preserve">الفقرة 5 من تعليقها العام رقم 1 </w:t>
      </w:r>
      <w:r w:rsidR="00E0619C">
        <w:rPr>
          <w:rFonts w:hint="cs"/>
          <w:spacing w:val="4"/>
          <w:rtl/>
        </w:rPr>
        <w:t xml:space="preserve">التي </w:t>
      </w:r>
      <w:r>
        <w:rPr>
          <w:rFonts w:hint="cs"/>
          <w:spacing w:val="4"/>
          <w:rtl/>
        </w:rPr>
        <w:t>جاء فيه</w:t>
      </w:r>
      <w:r w:rsidR="00E0619C">
        <w:rPr>
          <w:rFonts w:hint="cs"/>
          <w:spacing w:val="4"/>
          <w:rtl/>
        </w:rPr>
        <w:t>ا</w:t>
      </w:r>
      <w:r>
        <w:rPr>
          <w:rFonts w:hint="cs"/>
          <w:spacing w:val="4"/>
          <w:rtl/>
        </w:rPr>
        <w:t xml:space="preserve"> أن </w:t>
      </w:r>
      <w:r w:rsidRPr="00F25F51">
        <w:rPr>
          <w:rFonts w:hint="cs"/>
          <w:spacing w:val="4"/>
          <w:rtl/>
        </w:rPr>
        <w:t>عبء عرض قضية ذات حجية</w:t>
      </w:r>
      <w:r>
        <w:rPr>
          <w:rFonts w:hint="cs"/>
          <w:spacing w:val="4"/>
          <w:rtl/>
        </w:rPr>
        <w:t xml:space="preserve"> يقع على عاتق صاحب البلاغ، و</w:t>
      </w:r>
      <w:r w:rsidRPr="00F25F51">
        <w:rPr>
          <w:rFonts w:hint="cs"/>
          <w:spacing w:val="4"/>
          <w:rtl/>
        </w:rPr>
        <w:t>ترى أن صاحب</w:t>
      </w:r>
      <w:r>
        <w:rPr>
          <w:rFonts w:hint="cs"/>
          <w:spacing w:val="4"/>
          <w:rtl/>
        </w:rPr>
        <w:t xml:space="preserve">ة الشكوى </w:t>
      </w:r>
      <w:r w:rsidRPr="00F25F51">
        <w:rPr>
          <w:rFonts w:hint="cs"/>
          <w:spacing w:val="4"/>
          <w:rtl/>
        </w:rPr>
        <w:t xml:space="preserve">لم </w:t>
      </w:r>
      <w:r>
        <w:rPr>
          <w:rFonts w:hint="cs"/>
          <w:spacing w:val="4"/>
          <w:rtl/>
        </w:rPr>
        <w:t>تتحمل</w:t>
      </w:r>
      <w:r w:rsidRPr="00F25F51">
        <w:rPr>
          <w:rFonts w:hint="cs"/>
          <w:spacing w:val="4"/>
          <w:rtl/>
        </w:rPr>
        <w:t xml:space="preserve"> عبء تقديم الأدلة</w:t>
      </w:r>
      <w:r>
        <w:rPr>
          <w:rFonts w:hint="cs"/>
          <w:spacing w:val="4"/>
          <w:rtl/>
        </w:rPr>
        <w:t xml:space="preserve"> هذا</w:t>
      </w:r>
      <w:r w:rsidRPr="00F25F51">
        <w:rPr>
          <w:rFonts w:hint="cs"/>
          <w:spacing w:val="4"/>
          <w:rtl/>
        </w:rPr>
        <w:t>.</w:t>
      </w:r>
    </w:p>
    <w:p w:rsidR="00406AA6" w:rsidRDefault="00406AA6" w:rsidP="00E627E8">
      <w:pPr>
        <w:pStyle w:val="SingleTxtGA"/>
        <w:rPr>
          <w:rFonts w:hint="cs"/>
          <w:sz w:val="22"/>
          <w:rtl/>
        </w:rPr>
      </w:pPr>
      <w:r>
        <w:rPr>
          <w:rFonts w:hint="cs"/>
          <w:spacing w:val="4"/>
          <w:rtl/>
        </w:rPr>
        <w:t>11-</w:t>
      </w:r>
      <w:r>
        <w:rPr>
          <w:rFonts w:hint="cs"/>
          <w:spacing w:val="4"/>
          <w:rtl/>
        </w:rPr>
        <w:tab/>
      </w:r>
      <w:r w:rsidRPr="00F25F51">
        <w:rPr>
          <w:rFonts w:hint="cs"/>
          <w:rtl/>
        </w:rPr>
        <w:t xml:space="preserve">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w:t>
      </w:r>
      <w:r>
        <w:rPr>
          <w:rFonts w:hint="cs"/>
          <w:rtl/>
        </w:rPr>
        <w:t>قرار</w:t>
      </w:r>
      <w:r w:rsidRPr="00F25F51">
        <w:rPr>
          <w:rFonts w:hint="cs"/>
          <w:rtl/>
        </w:rPr>
        <w:t xml:space="preserve"> الدولة الطرف ترحيل </w:t>
      </w:r>
      <w:r>
        <w:rPr>
          <w:rFonts w:hint="cs"/>
          <w:rtl/>
        </w:rPr>
        <w:t xml:space="preserve">صاحبة الشكوى </w:t>
      </w:r>
      <w:r w:rsidRPr="00F25F51">
        <w:rPr>
          <w:rFonts w:hint="cs"/>
          <w:rtl/>
        </w:rPr>
        <w:t xml:space="preserve">إلى </w:t>
      </w:r>
      <w:r>
        <w:rPr>
          <w:rFonts w:hint="cs"/>
          <w:rtl/>
        </w:rPr>
        <w:t>سري لانكا</w:t>
      </w:r>
      <w:r w:rsidR="00747ED4">
        <w:rPr>
          <w:rFonts w:hint="cs"/>
          <w:rtl/>
        </w:rPr>
        <w:t xml:space="preserve"> لا </w:t>
      </w:r>
      <w:r>
        <w:rPr>
          <w:rFonts w:hint="cs"/>
          <w:rtl/>
        </w:rPr>
        <w:t>يخل</w:t>
      </w:r>
      <w:r w:rsidRPr="00F25F51">
        <w:rPr>
          <w:rFonts w:hint="cs"/>
          <w:rtl/>
        </w:rPr>
        <w:t xml:space="preserve"> </w:t>
      </w:r>
      <w:r>
        <w:rPr>
          <w:rFonts w:hint="cs"/>
          <w:rtl/>
        </w:rPr>
        <w:t>با</w:t>
      </w:r>
      <w:r w:rsidRPr="00F25F51">
        <w:rPr>
          <w:rFonts w:hint="cs"/>
          <w:rtl/>
        </w:rPr>
        <w:t>لمادة 3 من الاتفاقية.</w:t>
      </w:r>
    </w:p>
    <w:p w:rsidR="00406AA6" w:rsidRDefault="00406AA6" w:rsidP="00E627E8">
      <w:pPr>
        <w:pStyle w:val="SingleTxtGA"/>
        <w:rPr>
          <w:rFonts w:hint="cs"/>
          <w:sz w:val="22"/>
          <w:rtl/>
        </w:rPr>
      </w:pPr>
      <w:r w:rsidRPr="00F25F51">
        <w:rPr>
          <w:rFonts w:hint="cs"/>
          <w:rtl/>
        </w:rPr>
        <w:t>[اعتُمد بالإسبانية والإنكليزية والفرنسية</w:t>
      </w:r>
      <w:r>
        <w:rPr>
          <w:rFonts w:hint="cs"/>
          <w:rtl/>
        </w:rPr>
        <w:t>،</w:t>
      </w:r>
      <w:r w:rsidRPr="00F25F51">
        <w:rPr>
          <w:rFonts w:hint="cs"/>
          <w:rtl/>
        </w:rPr>
        <w:t xml:space="preserve"> علماً بأن النص الإنكليزي هو النص الأصلي. وسيصدر لاحقاً أيضاً </w:t>
      </w:r>
      <w:r>
        <w:rPr>
          <w:rFonts w:hint="cs"/>
          <w:rtl/>
        </w:rPr>
        <w:t>بالروسية والصينية</w:t>
      </w:r>
      <w:r w:rsidRPr="00F25F51">
        <w:rPr>
          <w:rFonts w:hint="cs"/>
          <w:rtl/>
        </w:rPr>
        <w:t xml:space="preserve"> والعربية كجزء من تقرير</w:t>
      </w:r>
      <w:r>
        <w:rPr>
          <w:rFonts w:hint="cs"/>
          <w:rtl/>
        </w:rPr>
        <w:t xml:space="preserve"> اللجنة</w:t>
      </w:r>
      <w:r w:rsidRPr="00F25F51">
        <w:rPr>
          <w:rFonts w:hint="cs"/>
          <w:rtl/>
        </w:rPr>
        <w:t xml:space="preserve"> السنوي المقدم </w:t>
      </w:r>
      <w:r>
        <w:rPr>
          <w:rFonts w:hint="cs"/>
          <w:rtl/>
        </w:rPr>
        <w:t xml:space="preserve">إلى </w:t>
      </w:r>
      <w:r w:rsidRPr="00F25F51">
        <w:rPr>
          <w:rFonts w:hint="cs"/>
          <w:rtl/>
        </w:rPr>
        <w:t>الجمعية العام</w:t>
      </w:r>
      <w:r>
        <w:rPr>
          <w:rFonts w:hint="cs"/>
          <w:rtl/>
        </w:rPr>
        <w:t>ة.]</w:t>
      </w:r>
    </w:p>
    <w:p w:rsidR="00E627E8" w:rsidRPr="00E627E8" w:rsidRDefault="00E627E8" w:rsidP="00E627E8">
      <w:pPr>
        <w:spacing w:before="120"/>
        <w:jc w:val="center"/>
        <w:rPr>
          <w:rFonts w:hint="cs"/>
          <w:u w:val="single"/>
          <w:rtl/>
        </w:rPr>
      </w:pPr>
      <w:r>
        <w:rPr>
          <w:u w:val="single"/>
          <w:rtl/>
        </w:rPr>
        <w:tab/>
      </w:r>
      <w:r>
        <w:rPr>
          <w:u w:val="single"/>
          <w:rtl/>
        </w:rPr>
        <w:tab/>
      </w:r>
      <w:r>
        <w:rPr>
          <w:u w:val="single"/>
          <w:rtl/>
        </w:rPr>
        <w:tab/>
      </w:r>
    </w:p>
    <w:sectPr w:rsidR="00E627E8" w:rsidRPr="00E627E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BE" w:rsidRPr="00FE6865" w:rsidRDefault="00C87FBE" w:rsidP="00FE6865">
      <w:pPr>
        <w:pStyle w:val="Footer"/>
      </w:pPr>
    </w:p>
  </w:endnote>
  <w:endnote w:type="continuationSeparator" w:id="0">
    <w:p w:rsidR="00C87FBE" w:rsidRDefault="00C87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Pr="00B20B5C" w:rsidRDefault="00E627E8" w:rsidP="00B20B5C">
    <w:pPr>
      <w:pStyle w:val="Footer"/>
      <w:tabs>
        <w:tab w:val="right" w:pos="9598"/>
      </w:tabs>
    </w:pPr>
    <w:r>
      <w:t>GE.13-49644</w:t>
    </w:r>
    <w:r>
      <w:tab/>
    </w:r>
    <w:r w:rsidRPr="00B20B5C">
      <w:rPr>
        <w:b/>
        <w:sz w:val="18"/>
      </w:rPr>
      <w:fldChar w:fldCharType="begin"/>
    </w:r>
    <w:r w:rsidRPr="00B20B5C">
      <w:rPr>
        <w:b/>
        <w:sz w:val="18"/>
      </w:rPr>
      <w:instrText xml:space="preserve"> PAGE  \* MERGEFORMAT </w:instrText>
    </w:r>
    <w:r w:rsidRPr="00B20B5C">
      <w:rPr>
        <w:b/>
        <w:sz w:val="18"/>
      </w:rPr>
      <w:fldChar w:fldCharType="separate"/>
    </w:r>
    <w:r w:rsidR="00014BB6">
      <w:rPr>
        <w:b/>
        <w:noProof/>
        <w:sz w:val="18"/>
      </w:rPr>
      <w:t>2</w:t>
    </w:r>
    <w:r w:rsidRPr="00B20B5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Pr="00B20B5C" w:rsidRDefault="00E627E8" w:rsidP="00B20B5C">
    <w:pPr>
      <w:pStyle w:val="Footer"/>
      <w:tabs>
        <w:tab w:val="right" w:pos="9598"/>
      </w:tabs>
      <w:rPr>
        <w:b/>
        <w:sz w:val="18"/>
      </w:rPr>
    </w:pPr>
    <w:r w:rsidRPr="00B20B5C">
      <w:rPr>
        <w:b/>
        <w:sz w:val="18"/>
      </w:rPr>
      <w:fldChar w:fldCharType="begin"/>
    </w:r>
    <w:r w:rsidRPr="00B20B5C">
      <w:rPr>
        <w:b/>
        <w:sz w:val="18"/>
      </w:rPr>
      <w:instrText xml:space="preserve"> PAGE  \* MERGEFORMAT </w:instrText>
    </w:r>
    <w:r w:rsidRPr="00B20B5C">
      <w:rPr>
        <w:b/>
        <w:sz w:val="18"/>
      </w:rPr>
      <w:fldChar w:fldCharType="separate"/>
    </w:r>
    <w:r w:rsidR="00014BB6">
      <w:rPr>
        <w:b/>
        <w:noProof/>
        <w:sz w:val="18"/>
      </w:rPr>
      <w:t>13</w:t>
    </w:r>
    <w:r w:rsidRPr="00B20B5C">
      <w:rPr>
        <w:b/>
        <w:sz w:val="18"/>
      </w:rPr>
      <w:fldChar w:fldCharType="end"/>
    </w:r>
    <w:r>
      <w:rPr>
        <w:b/>
        <w:sz w:val="18"/>
      </w:rPr>
      <w:tab/>
    </w:r>
    <w:r>
      <w:t>GE.13-49644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Pr="00CB0180" w:rsidRDefault="00E627E8" w:rsidP="005B0E4C">
    <w:pPr>
      <w:pStyle w:val="Footer"/>
      <w:jc w:val="right"/>
      <w:rPr>
        <w:rFonts w:hint="cs"/>
        <w:lang w:val="en-US"/>
      </w:rPr>
    </w:pPr>
    <w:r>
      <w:rPr>
        <w:sz w:val="20"/>
      </w:rPr>
      <w:t>(A)   GE.13-49644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230114    </w:t>
    </w:r>
    <w:r w:rsidR="005B0E4C">
      <w:rPr>
        <w:sz w:val="20"/>
      </w:rPr>
      <w:t>27</w:t>
    </w:r>
    <w:r>
      <w:rPr>
        <w:sz w:val="20"/>
      </w:rPr>
      <w:t>0114</w:t>
    </w:r>
    <w:r w:rsidR="00014BB6">
      <w:rPr>
        <w:lang w:val="en-US"/>
      </w:rPr>
      <w:br/>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sidRPr="00014BB6">
      <w:rPr>
        <w:rFonts w:ascii="C39T30Lfz" w:hAnsi="C39T30Lfz"/>
        <w:sz w:val="56"/>
        <w:lang w:val="en-US"/>
      </w:rPr>
      <w:t></w:t>
    </w:r>
    <w:r w:rsidR="00014BB6">
      <w:rPr>
        <w:noProof/>
        <w:lang w:val="en-US"/>
      </w:rPr>
      <w:pict>
        <v:shape id="_x0000_s2054" type="#_x0000_t75" style="position:absolute;left:0;text-align:left;margin-left:.05pt;margin-top:0;width:50.25pt;height:50.25pt;z-index:3;mso-position-horizontal-relative:text;mso-position-vertical-relative:text" o:allowincell="f">
          <v:imagedata r:id="rId2" o:title="2010&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BE" w:rsidRDefault="00C87FBE" w:rsidP="00834FF4">
      <w:pPr>
        <w:pStyle w:val="Footer"/>
        <w:bidi/>
        <w:spacing w:after="80" w:line="200" w:lineRule="exact"/>
        <w:ind w:left="680"/>
      </w:pPr>
      <w:r>
        <w:rPr>
          <w:rFonts w:hint="cs"/>
          <w:rtl/>
        </w:rPr>
        <w:t>__________</w:t>
      </w:r>
    </w:p>
  </w:footnote>
  <w:footnote w:type="continuationSeparator" w:id="0">
    <w:p w:rsidR="00C87FBE" w:rsidRDefault="00C87FBE" w:rsidP="00834FF4">
      <w:pPr>
        <w:pStyle w:val="Footer"/>
        <w:bidi/>
        <w:spacing w:after="80" w:line="200" w:lineRule="exact"/>
        <w:ind w:left="680"/>
      </w:pPr>
      <w:r>
        <w:rPr>
          <w:rFonts w:hint="cs"/>
          <w:rtl/>
        </w:rPr>
        <w:t>__________</w:t>
      </w:r>
    </w:p>
  </w:footnote>
  <w:footnote w:id="1">
    <w:p w:rsidR="00E627E8" w:rsidRPr="00621C97" w:rsidRDefault="00E627E8" w:rsidP="00D874E5">
      <w:pPr>
        <w:pStyle w:val="FootnoteText"/>
        <w:numPr>
          <w:ilvl w:val="0"/>
          <w:numId w:val="40"/>
        </w:numPr>
        <w:tabs>
          <w:tab w:val="clear" w:pos="1292"/>
        </w:tabs>
        <w:spacing w:after="60" w:line="300" w:lineRule="exact"/>
        <w:ind w:left="1247" w:right="1247"/>
        <w:rPr>
          <w:rFonts w:hint="cs"/>
          <w:sz w:val="18"/>
          <w:szCs w:val="26"/>
        </w:rPr>
      </w:pPr>
      <w:r w:rsidRPr="00621C97">
        <w:rPr>
          <w:rFonts w:hint="cs"/>
          <w:sz w:val="18"/>
          <w:szCs w:val="26"/>
          <w:rtl/>
        </w:rPr>
        <w:t xml:space="preserve">ترد هذه المادة الآن بوصفها الفقرة 1 من المادة 114 من النظام الداخلي المنقح للجنة. </w:t>
      </w:r>
    </w:p>
  </w:footnote>
  <w:footnote w:id="2">
    <w:p w:rsidR="00E627E8" w:rsidRPr="00621C97" w:rsidRDefault="00E627E8" w:rsidP="00392EEA">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تلفت الدولة الطرف النظر إلى أن صاحبة الشكوى أغفلت الحادث في طلب اللجوء الأولي الذي قدمته، وأنها قالت في وقت لاحق إنها نسيت الكتابة عنه وعدلت </w:t>
      </w:r>
      <w:r w:rsidR="00392EEA">
        <w:rPr>
          <w:rFonts w:hint="cs"/>
          <w:sz w:val="18"/>
          <w:szCs w:val="26"/>
          <w:rtl/>
        </w:rPr>
        <w:t xml:space="preserve">إفادتها </w:t>
      </w:r>
      <w:r w:rsidRPr="00621C97">
        <w:rPr>
          <w:rFonts w:hint="cs"/>
          <w:sz w:val="18"/>
          <w:szCs w:val="26"/>
          <w:rtl/>
        </w:rPr>
        <w:t>المتعلقة بمكان وجودها عندما قبض عليها وبأسباب الإفراج عنها وتفاصيل أخرى.</w:t>
      </w:r>
    </w:p>
  </w:footnote>
  <w:footnote w:id="3">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912985">
        <w:rPr>
          <w:rFonts w:hint="cs"/>
          <w:i/>
          <w:iCs/>
          <w:sz w:val="18"/>
          <w:szCs w:val="26"/>
          <w:rtl/>
        </w:rPr>
        <w:t>الوثائق الرسمية للجمعية العامة، الدورة الثالثة والخمسون، الملحق رقم 44</w:t>
      </w:r>
      <w:r w:rsidRPr="00621C97">
        <w:rPr>
          <w:rFonts w:hint="cs"/>
          <w:sz w:val="18"/>
          <w:szCs w:val="26"/>
          <w:rtl/>
        </w:rPr>
        <w:t xml:space="preserve"> (</w:t>
      </w:r>
      <w:r w:rsidRPr="00621C97">
        <w:rPr>
          <w:sz w:val="18"/>
          <w:szCs w:val="26"/>
        </w:rPr>
        <w:t>A/53/44</w:t>
      </w:r>
      <w:r w:rsidRPr="00621C97">
        <w:rPr>
          <w:rFonts w:hint="cs"/>
          <w:sz w:val="18"/>
          <w:szCs w:val="26"/>
          <w:rtl/>
        </w:rPr>
        <w:t xml:space="preserve"> و</w:t>
      </w:r>
      <w:r w:rsidRPr="00621C97">
        <w:rPr>
          <w:sz w:val="18"/>
          <w:szCs w:val="26"/>
        </w:rPr>
        <w:t>Corr.1</w:t>
      </w:r>
      <w:r w:rsidRPr="00621C97">
        <w:rPr>
          <w:rFonts w:hint="cs"/>
          <w:sz w:val="18"/>
          <w:szCs w:val="26"/>
          <w:rtl/>
        </w:rPr>
        <w:t>)، المرفق التاسع.</w:t>
      </w:r>
    </w:p>
  </w:footnote>
  <w:footnote w:id="4">
    <w:p w:rsidR="00E627E8" w:rsidRPr="00CC2809" w:rsidRDefault="00E627E8" w:rsidP="00964820">
      <w:pPr>
        <w:pStyle w:val="FootnoteText"/>
        <w:numPr>
          <w:ilvl w:val="0"/>
          <w:numId w:val="40"/>
        </w:numPr>
        <w:tabs>
          <w:tab w:val="clear" w:pos="1292"/>
        </w:tabs>
        <w:spacing w:after="60" w:line="300" w:lineRule="exact"/>
        <w:ind w:left="1247" w:right="1247"/>
        <w:rPr>
          <w:spacing w:val="-1"/>
          <w:sz w:val="18"/>
          <w:szCs w:val="26"/>
        </w:rPr>
      </w:pPr>
      <w:r w:rsidRPr="00CC2809">
        <w:rPr>
          <w:rFonts w:hint="cs"/>
          <w:spacing w:val="-1"/>
          <w:sz w:val="18"/>
          <w:szCs w:val="26"/>
          <w:rtl/>
        </w:rPr>
        <w:t xml:space="preserve">تشير الدولة الطرف، في جملة ما تشير، إلى البلاغين رقم 270/2005 ورقم 271/2005، </w:t>
      </w:r>
      <w:r w:rsidRPr="00CC2809">
        <w:rPr>
          <w:rFonts w:hint="cs"/>
          <w:i/>
          <w:iCs/>
          <w:spacing w:val="-1"/>
          <w:sz w:val="18"/>
          <w:szCs w:val="26"/>
          <w:rtl/>
        </w:rPr>
        <w:t>إ. ر. ك. وإ.</w:t>
      </w:r>
      <w:r w:rsidR="00964820">
        <w:rPr>
          <w:rFonts w:hint="eastAsia"/>
          <w:i/>
          <w:iCs/>
          <w:spacing w:val="-1"/>
          <w:sz w:val="18"/>
          <w:szCs w:val="26"/>
          <w:rtl/>
        </w:rPr>
        <w:t> </w:t>
      </w:r>
      <w:r w:rsidRPr="00CC2809">
        <w:rPr>
          <w:rFonts w:hint="cs"/>
          <w:i/>
          <w:iCs/>
          <w:spacing w:val="-1"/>
          <w:sz w:val="18"/>
          <w:szCs w:val="26"/>
          <w:rtl/>
        </w:rPr>
        <w:t>ك. ضد السويد</w:t>
      </w:r>
      <w:r w:rsidRPr="00CC2809">
        <w:rPr>
          <w:rFonts w:hint="cs"/>
          <w:spacing w:val="-1"/>
          <w:sz w:val="18"/>
          <w:szCs w:val="26"/>
          <w:rtl/>
        </w:rPr>
        <w:t>، القرار المعتمد في 30 نيسان/أبريل 2007، الفقرتان 7-2 و7-3؛ والبلاغ رقم</w:t>
      </w:r>
      <w:r w:rsidR="00912985" w:rsidRPr="00CC2809">
        <w:rPr>
          <w:rFonts w:hint="eastAsia"/>
          <w:spacing w:val="-1"/>
          <w:sz w:val="18"/>
          <w:szCs w:val="26"/>
          <w:rtl/>
        </w:rPr>
        <w:t> </w:t>
      </w:r>
      <w:r w:rsidRPr="00CC2809">
        <w:rPr>
          <w:rFonts w:hint="cs"/>
          <w:spacing w:val="-1"/>
          <w:sz w:val="18"/>
          <w:szCs w:val="26"/>
          <w:rtl/>
        </w:rPr>
        <w:t xml:space="preserve">282/2005، </w:t>
      </w:r>
      <w:r w:rsidRPr="00CC2809">
        <w:rPr>
          <w:rFonts w:hint="cs"/>
          <w:i/>
          <w:iCs/>
          <w:spacing w:val="-1"/>
          <w:sz w:val="18"/>
          <w:szCs w:val="26"/>
          <w:rtl/>
        </w:rPr>
        <w:t>س. ب. أ. ضد كندا</w:t>
      </w:r>
      <w:r w:rsidRPr="00CC2809">
        <w:rPr>
          <w:rFonts w:hint="cs"/>
          <w:spacing w:val="-1"/>
          <w:sz w:val="18"/>
          <w:szCs w:val="26"/>
          <w:rtl/>
        </w:rPr>
        <w:t xml:space="preserve">، القرار المعتمد في 7 تشرين الثاني/نوفمبر 2006، الفقرتان 7-1 و7-2؛ والبلاغ رقم 180/2001، </w:t>
      </w:r>
      <w:r w:rsidRPr="00CC2809">
        <w:rPr>
          <w:rFonts w:hint="cs"/>
          <w:i/>
          <w:iCs/>
          <w:spacing w:val="-1"/>
          <w:sz w:val="18"/>
          <w:szCs w:val="26"/>
          <w:rtl/>
        </w:rPr>
        <w:t>ف. ف. ز. ضد الدانمرك</w:t>
      </w:r>
      <w:r w:rsidRPr="00CC2809">
        <w:rPr>
          <w:rFonts w:hint="cs"/>
          <w:spacing w:val="-1"/>
          <w:sz w:val="18"/>
          <w:szCs w:val="26"/>
          <w:rtl/>
        </w:rPr>
        <w:t>، الآراء المعتمدة في 30 نيسان/</w:t>
      </w:r>
      <w:r w:rsidR="00912985" w:rsidRPr="00CC2809">
        <w:rPr>
          <w:rFonts w:hint="cs"/>
          <w:spacing w:val="-1"/>
          <w:sz w:val="18"/>
          <w:szCs w:val="26"/>
          <w:rtl/>
        </w:rPr>
        <w:t xml:space="preserve"> </w:t>
      </w:r>
      <w:r w:rsidRPr="00CC2809">
        <w:rPr>
          <w:rFonts w:hint="cs"/>
          <w:spacing w:val="-1"/>
          <w:sz w:val="18"/>
          <w:szCs w:val="26"/>
          <w:rtl/>
        </w:rPr>
        <w:t>أبريل</w:t>
      </w:r>
      <w:r w:rsidR="00912985" w:rsidRPr="00CC2809">
        <w:rPr>
          <w:rFonts w:hint="eastAsia"/>
          <w:spacing w:val="-1"/>
          <w:sz w:val="18"/>
          <w:szCs w:val="26"/>
          <w:rtl/>
        </w:rPr>
        <w:t> </w:t>
      </w:r>
      <w:r w:rsidRPr="00CC2809">
        <w:rPr>
          <w:rFonts w:hint="cs"/>
          <w:spacing w:val="-1"/>
          <w:sz w:val="18"/>
          <w:szCs w:val="26"/>
          <w:rtl/>
        </w:rPr>
        <w:t xml:space="preserve">2002، الفقرتان 9 و10؛ والبلاغ رقم 143/1999، </w:t>
      </w:r>
      <w:r w:rsidRPr="00CC2809">
        <w:rPr>
          <w:rFonts w:hint="cs"/>
          <w:i/>
          <w:iCs/>
          <w:spacing w:val="-1"/>
          <w:sz w:val="18"/>
          <w:szCs w:val="26"/>
          <w:rtl/>
        </w:rPr>
        <w:t>س. ك. ضد الدانمرك</w:t>
      </w:r>
      <w:r w:rsidRPr="00CC2809">
        <w:rPr>
          <w:rFonts w:hint="cs"/>
          <w:spacing w:val="-1"/>
          <w:sz w:val="18"/>
          <w:szCs w:val="26"/>
          <w:rtl/>
        </w:rPr>
        <w:t>، الآراء المعتمدة في 10 أيار/مايو 2000، الفقرتان 6-4 و6-6. وتشير أيضاً إلى تعليق اللجنة العام رقم 1.</w:t>
      </w:r>
    </w:p>
  </w:footnote>
  <w:footnote w:id="5">
    <w:p w:rsidR="00E627E8" w:rsidRPr="00621C97" w:rsidRDefault="00E627E8" w:rsidP="005043C8">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تشير الدولة الطرف إلى البلاغات رقم 220/2002، </w:t>
      </w:r>
      <w:r w:rsidRPr="008D21C4">
        <w:rPr>
          <w:rFonts w:hint="cs"/>
          <w:i/>
          <w:iCs/>
          <w:sz w:val="18"/>
          <w:szCs w:val="26"/>
          <w:rtl/>
        </w:rPr>
        <w:t>ر. د. ضد السويد</w:t>
      </w:r>
      <w:r w:rsidRPr="00621C97">
        <w:rPr>
          <w:rFonts w:hint="cs"/>
          <w:sz w:val="18"/>
          <w:szCs w:val="26"/>
          <w:rtl/>
        </w:rPr>
        <w:t>، الآراء المعتمدة في 2 أيار/</w:t>
      </w:r>
      <w:r w:rsidR="005043C8">
        <w:rPr>
          <w:rFonts w:hint="cs"/>
          <w:sz w:val="18"/>
          <w:szCs w:val="26"/>
          <w:rtl/>
        </w:rPr>
        <w:t xml:space="preserve"> </w:t>
      </w:r>
      <w:r w:rsidRPr="00621C97">
        <w:rPr>
          <w:rFonts w:hint="cs"/>
          <w:sz w:val="18"/>
          <w:szCs w:val="26"/>
          <w:rtl/>
        </w:rPr>
        <w:t>مايو</w:t>
      </w:r>
      <w:r w:rsidR="005043C8">
        <w:rPr>
          <w:rFonts w:hint="eastAsia"/>
          <w:sz w:val="18"/>
          <w:szCs w:val="26"/>
          <w:rtl/>
        </w:rPr>
        <w:t> </w:t>
      </w:r>
      <w:r w:rsidRPr="00621C97">
        <w:rPr>
          <w:rFonts w:hint="cs"/>
          <w:sz w:val="18"/>
          <w:szCs w:val="26"/>
          <w:rtl/>
        </w:rPr>
        <w:t xml:space="preserve">2005، الفقرة 8-2؛ ورقم 245/2004، </w:t>
      </w:r>
      <w:r w:rsidRPr="008D21C4">
        <w:rPr>
          <w:rFonts w:hint="cs"/>
          <w:i/>
          <w:iCs/>
          <w:sz w:val="18"/>
          <w:szCs w:val="26"/>
          <w:rtl/>
        </w:rPr>
        <w:t>س. س. س. ضد كندا</w:t>
      </w:r>
      <w:r w:rsidRPr="00621C97">
        <w:rPr>
          <w:rFonts w:hint="cs"/>
          <w:sz w:val="18"/>
          <w:szCs w:val="26"/>
          <w:rtl/>
        </w:rPr>
        <w:t xml:space="preserve">، القرار المعتمد في 16 تشرين الثاني/نوفمبر 2005، الفقرة 8-3؛ </w:t>
      </w:r>
      <w:r w:rsidRPr="008D21C4">
        <w:rPr>
          <w:rFonts w:hint="cs"/>
          <w:i/>
          <w:iCs/>
          <w:sz w:val="18"/>
          <w:szCs w:val="26"/>
          <w:rtl/>
        </w:rPr>
        <w:t>وإ. ر. ك. وإ. ك. ضد السويد</w:t>
      </w:r>
      <w:r w:rsidRPr="00621C97">
        <w:rPr>
          <w:rFonts w:hint="cs"/>
          <w:sz w:val="18"/>
          <w:szCs w:val="26"/>
          <w:rtl/>
        </w:rPr>
        <w:t xml:space="preserve">، الفقرة 7-2؛ ورقم 286/2006، </w:t>
      </w:r>
      <w:r w:rsidRPr="008D21C4">
        <w:rPr>
          <w:rFonts w:hint="cs"/>
          <w:i/>
          <w:iCs/>
          <w:sz w:val="18"/>
          <w:szCs w:val="26"/>
          <w:rtl/>
        </w:rPr>
        <w:t>م. ر. أ. ضد السويد</w:t>
      </w:r>
      <w:r w:rsidRPr="00621C97">
        <w:rPr>
          <w:rFonts w:hint="cs"/>
          <w:sz w:val="18"/>
          <w:szCs w:val="26"/>
          <w:rtl/>
        </w:rPr>
        <w:t>، القرار المعتمد في 17 تشرين الثاني/نوفمبر 2006، الفقرة 7-3.</w:t>
      </w:r>
    </w:p>
  </w:footnote>
  <w:footnote w:id="6">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انظر الفقرة 4-7 أعلاه.</w:t>
      </w:r>
    </w:p>
  </w:footnote>
  <w:footnote w:id="7">
    <w:p w:rsidR="00E627E8" w:rsidRPr="00621C97" w:rsidRDefault="00E627E8" w:rsidP="008D21C4">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أشارت صاحبة الشكوى إلى تقرير منظمة العفو الدولية السنوي لعام 2010، الفقرات 301-303.</w:t>
      </w:r>
    </w:p>
  </w:footnote>
  <w:footnote w:id="8">
    <w:p w:rsidR="00E627E8" w:rsidRPr="00621C97" w:rsidRDefault="00E627E8" w:rsidP="00190273">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تشير صاحبة الشكوى إلى قضية </w:t>
      </w:r>
      <w:r w:rsidRPr="008D21C4">
        <w:rPr>
          <w:rFonts w:hint="cs"/>
          <w:i/>
          <w:iCs/>
          <w:sz w:val="18"/>
          <w:szCs w:val="26"/>
          <w:rtl/>
        </w:rPr>
        <w:t>ن. أ. ضد المملكة المتحدة</w:t>
      </w:r>
      <w:r w:rsidRPr="00621C97">
        <w:rPr>
          <w:rFonts w:hint="cs"/>
          <w:sz w:val="18"/>
          <w:szCs w:val="26"/>
          <w:rtl/>
        </w:rPr>
        <w:t xml:space="preserve"> التي نظرت فيها المحكمة الأوروبية لحقوق الإنسان، الطلب رقم 25904/07، الحكم الصادر في 17 تموز/يوليه 2008. وتشير أيضا</w:t>
      </w:r>
      <w:r w:rsidR="00422F58">
        <w:rPr>
          <w:rFonts w:hint="cs"/>
          <w:sz w:val="18"/>
          <w:szCs w:val="26"/>
          <w:rtl/>
        </w:rPr>
        <w:t>ً</w:t>
      </w:r>
      <w:r w:rsidRPr="00621C97">
        <w:rPr>
          <w:rFonts w:hint="cs"/>
          <w:sz w:val="18"/>
          <w:szCs w:val="26"/>
          <w:rtl/>
        </w:rPr>
        <w:t xml:space="preserve"> إلى قضايا أخرى تبيّن أن تاميلا</w:t>
      </w:r>
      <w:r w:rsidR="00422F58">
        <w:rPr>
          <w:rFonts w:hint="cs"/>
          <w:sz w:val="18"/>
          <w:szCs w:val="26"/>
          <w:rtl/>
        </w:rPr>
        <w:t>ً</w:t>
      </w:r>
      <w:r w:rsidRPr="00621C97">
        <w:rPr>
          <w:rFonts w:hint="cs"/>
          <w:sz w:val="18"/>
          <w:szCs w:val="26"/>
          <w:rtl/>
        </w:rPr>
        <w:t xml:space="preserve"> آخرين معرضون للتعذيب: </w:t>
      </w:r>
      <w:r w:rsidRPr="008D21C4">
        <w:rPr>
          <w:rFonts w:hint="cs"/>
          <w:i/>
          <w:iCs/>
          <w:sz w:val="18"/>
          <w:szCs w:val="26"/>
          <w:rtl/>
        </w:rPr>
        <w:t>ت. ن. ضد الدانمرك</w:t>
      </w:r>
      <w:r w:rsidRPr="00621C97">
        <w:rPr>
          <w:rFonts w:hint="cs"/>
          <w:sz w:val="18"/>
          <w:szCs w:val="26"/>
          <w:rtl/>
        </w:rPr>
        <w:t xml:space="preserve">، الطلب رقم 20594/08؛ </w:t>
      </w:r>
      <w:r w:rsidRPr="008D21C4">
        <w:rPr>
          <w:rFonts w:hint="cs"/>
          <w:i/>
          <w:iCs/>
          <w:sz w:val="18"/>
          <w:szCs w:val="26"/>
          <w:rtl/>
        </w:rPr>
        <w:t>وت.</w:t>
      </w:r>
      <w:r w:rsidR="00190273">
        <w:rPr>
          <w:rFonts w:hint="eastAsia"/>
          <w:i/>
          <w:iCs/>
          <w:sz w:val="18"/>
          <w:szCs w:val="26"/>
          <w:rtl/>
        </w:rPr>
        <w:t> </w:t>
      </w:r>
      <w:r w:rsidRPr="008D21C4">
        <w:rPr>
          <w:rFonts w:hint="cs"/>
          <w:i/>
          <w:iCs/>
          <w:sz w:val="18"/>
          <w:szCs w:val="26"/>
          <w:rtl/>
        </w:rPr>
        <w:t>ن. وس. ن. ضد الدانمرك</w:t>
      </w:r>
      <w:r w:rsidRPr="00621C97">
        <w:rPr>
          <w:rFonts w:hint="cs"/>
          <w:sz w:val="18"/>
          <w:szCs w:val="26"/>
          <w:rtl/>
        </w:rPr>
        <w:t xml:space="preserve">، الطلب رقم 36517/08؛ </w:t>
      </w:r>
      <w:r w:rsidRPr="008D21C4">
        <w:rPr>
          <w:rFonts w:hint="cs"/>
          <w:i/>
          <w:iCs/>
          <w:sz w:val="18"/>
          <w:szCs w:val="26"/>
          <w:rtl/>
        </w:rPr>
        <w:t>وس. س. وآخرون ضد الدانمرك</w:t>
      </w:r>
      <w:r w:rsidRPr="00621C97">
        <w:rPr>
          <w:rFonts w:hint="cs"/>
          <w:sz w:val="18"/>
          <w:szCs w:val="26"/>
          <w:rtl/>
        </w:rPr>
        <w:t>، الطلب رقم</w:t>
      </w:r>
      <w:r w:rsidR="008D21C4">
        <w:rPr>
          <w:rFonts w:hint="eastAsia"/>
          <w:sz w:val="18"/>
          <w:szCs w:val="26"/>
          <w:rtl/>
        </w:rPr>
        <w:t> </w:t>
      </w:r>
      <w:r w:rsidRPr="00621C97">
        <w:rPr>
          <w:rFonts w:hint="cs"/>
          <w:sz w:val="18"/>
          <w:szCs w:val="26"/>
          <w:rtl/>
        </w:rPr>
        <w:t xml:space="preserve">54703/08؛ </w:t>
      </w:r>
      <w:r w:rsidRPr="008D21C4">
        <w:rPr>
          <w:rFonts w:hint="cs"/>
          <w:i/>
          <w:iCs/>
          <w:sz w:val="18"/>
          <w:szCs w:val="26"/>
          <w:rtl/>
        </w:rPr>
        <w:t>وب. ك. ضد الدانمرك</w:t>
      </w:r>
      <w:r w:rsidRPr="00621C97">
        <w:rPr>
          <w:rFonts w:hint="cs"/>
          <w:sz w:val="18"/>
          <w:szCs w:val="26"/>
          <w:rtl/>
        </w:rPr>
        <w:t xml:space="preserve">، الطلب رقم 54705/08؛ </w:t>
      </w:r>
      <w:r w:rsidRPr="008D21C4">
        <w:rPr>
          <w:rFonts w:hint="cs"/>
          <w:i/>
          <w:iCs/>
          <w:sz w:val="18"/>
          <w:szCs w:val="26"/>
          <w:rtl/>
        </w:rPr>
        <w:t>ون. س. ضد الدانمرك</w:t>
      </w:r>
      <w:r w:rsidRPr="00621C97">
        <w:rPr>
          <w:rFonts w:hint="cs"/>
          <w:sz w:val="18"/>
          <w:szCs w:val="26"/>
          <w:rtl/>
        </w:rPr>
        <w:t>، الطلب رقم 58359/08.</w:t>
      </w:r>
    </w:p>
  </w:footnote>
  <w:footnote w:id="9">
    <w:p w:rsidR="00E627E8" w:rsidRPr="00621C97" w:rsidRDefault="00E627E8" w:rsidP="006E563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أشارت الدولة الطرف إلى قضيتين نظرت فيهما المحكمة الأوروبية: </w:t>
      </w:r>
      <w:r w:rsidRPr="006B33A5">
        <w:rPr>
          <w:rFonts w:hint="cs"/>
          <w:i/>
          <w:iCs/>
          <w:sz w:val="18"/>
          <w:szCs w:val="26"/>
          <w:rtl/>
        </w:rPr>
        <w:t>ن. أ. ضد المملكة المتحدة</w:t>
      </w:r>
      <w:r w:rsidRPr="00621C97">
        <w:rPr>
          <w:rFonts w:hint="cs"/>
          <w:sz w:val="18"/>
          <w:szCs w:val="26"/>
          <w:rtl/>
        </w:rPr>
        <w:t xml:space="preserve">، الحكم الصادر في 17 تموز/يوليه 2008، </w:t>
      </w:r>
      <w:r w:rsidRPr="006B33A5">
        <w:rPr>
          <w:rFonts w:hint="cs"/>
          <w:i/>
          <w:iCs/>
          <w:sz w:val="18"/>
          <w:szCs w:val="26"/>
          <w:rtl/>
        </w:rPr>
        <w:t>و</w:t>
      </w:r>
      <w:r w:rsidR="006B33A5">
        <w:rPr>
          <w:rFonts w:hint="cs"/>
          <w:i/>
          <w:iCs/>
          <w:sz w:val="18"/>
          <w:szCs w:val="26"/>
          <w:rtl/>
        </w:rPr>
        <w:t>ف. ه‍</w:t>
      </w:r>
      <w:r w:rsidRPr="006B33A5">
        <w:rPr>
          <w:rFonts w:hint="cs"/>
          <w:i/>
          <w:iCs/>
          <w:sz w:val="18"/>
          <w:szCs w:val="26"/>
          <w:rtl/>
        </w:rPr>
        <w:t>. ضد السويد</w:t>
      </w:r>
      <w:r w:rsidRPr="00621C97">
        <w:rPr>
          <w:rFonts w:hint="cs"/>
          <w:sz w:val="18"/>
          <w:szCs w:val="26"/>
          <w:rtl/>
        </w:rPr>
        <w:t>، الطلب رقم 32621/06، الحكم الصادر في</w:t>
      </w:r>
      <w:r w:rsidR="006E5635">
        <w:rPr>
          <w:rFonts w:hint="eastAsia"/>
          <w:sz w:val="18"/>
          <w:szCs w:val="26"/>
          <w:rtl/>
        </w:rPr>
        <w:t> </w:t>
      </w:r>
      <w:r w:rsidRPr="00621C97">
        <w:rPr>
          <w:rFonts w:hint="cs"/>
          <w:sz w:val="18"/>
          <w:szCs w:val="26"/>
          <w:rtl/>
        </w:rPr>
        <w:t>20 كانون الثاني/يناير 2009.</w:t>
      </w:r>
    </w:p>
  </w:footnote>
  <w:footnote w:id="10">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المرجع نفسه.</w:t>
      </w:r>
    </w:p>
  </w:footnote>
  <w:footnote w:id="11">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البلاغ رقم 91/1997، </w:t>
      </w:r>
      <w:r w:rsidRPr="006E5635">
        <w:rPr>
          <w:rFonts w:hint="cs"/>
          <w:i/>
          <w:iCs/>
          <w:sz w:val="18"/>
          <w:szCs w:val="26"/>
          <w:rtl/>
        </w:rPr>
        <w:t>أ. ضد هولندا</w:t>
      </w:r>
      <w:r w:rsidRPr="00621C97">
        <w:rPr>
          <w:rFonts w:hint="cs"/>
          <w:sz w:val="18"/>
          <w:szCs w:val="26"/>
          <w:rtl/>
        </w:rPr>
        <w:t>، الآراء المؤرخة 13 تشرين الثاني/نوفمبر 1998، الفقرة 6-6.</w:t>
      </w:r>
    </w:p>
  </w:footnote>
  <w:footnote w:id="12">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المرجع نفسه، الفقرة 6-7.</w:t>
      </w:r>
    </w:p>
  </w:footnote>
  <w:footnote w:id="13">
    <w:p w:rsidR="00E627E8" w:rsidRPr="00621C97" w:rsidRDefault="00E627E8" w:rsidP="00D874E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انظر </w:t>
      </w:r>
      <w:r w:rsidRPr="00621C97">
        <w:rPr>
          <w:sz w:val="18"/>
          <w:szCs w:val="26"/>
        </w:rPr>
        <w:t>CAT/C/LKA/CO/3-4</w:t>
      </w:r>
      <w:r w:rsidRPr="00621C97">
        <w:rPr>
          <w:rFonts w:hint="cs"/>
          <w:sz w:val="18"/>
          <w:szCs w:val="26"/>
          <w:rtl/>
        </w:rPr>
        <w:t>، الفقرة 6.</w:t>
      </w:r>
    </w:p>
  </w:footnote>
  <w:footnote w:id="14">
    <w:p w:rsidR="00E627E8" w:rsidRPr="00621C97" w:rsidRDefault="00E627E8" w:rsidP="006E5635">
      <w:pPr>
        <w:pStyle w:val="FootnoteText"/>
        <w:numPr>
          <w:ilvl w:val="0"/>
          <w:numId w:val="40"/>
        </w:numPr>
        <w:tabs>
          <w:tab w:val="clear" w:pos="1292"/>
        </w:tabs>
        <w:spacing w:after="60" w:line="300" w:lineRule="exact"/>
        <w:ind w:left="1247" w:right="1247"/>
        <w:rPr>
          <w:sz w:val="18"/>
          <w:szCs w:val="26"/>
        </w:rPr>
      </w:pPr>
      <w:r w:rsidRPr="00621C97">
        <w:rPr>
          <w:rFonts w:hint="cs"/>
          <w:sz w:val="18"/>
          <w:szCs w:val="26"/>
          <w:rtl/>
        </w:rPr>
        <w:t xml:space="preserve">انظر البلاغات رقم 282/2005، </w:t>
      </w:r>
      <w:r w:rsidRPr="006E5635">
        <w:rPr>
          <w:rFonts w:hint="cs"/>
          <w:i/>
          <w:iCs/>
          <w:sz w:val="18"/>
          <w:szCs w:val="26"/>
          <w:rtl/>
        </w:rPr>
        <w:t>س. ب. أ. ضد كندا</w:t>
      </w:r>
      <w:r w:rsidRPr="00621C97">
        <w:rPr>
          <w:rFonts w:hint="cs"/>
          <w:sz w:val="18"/>
          <w:szCs w:val="26"/>
          <w:rtl/>
        </w:rPr>
        <w:t xml:space="preserve">، القرار المعتمد في 7 تشرين الثاني/نوفمبر 2006؛ ورقم 333/2007، </w:t>
      </w:r>
      <w:r w:rsidRPr="006E5635">
        <w:rPr>
          <w:rFonts w:hint="cs"/>
          <w:i/>
          <w:iCs/>
          <w:sz w:val="18"/>
          <w:szCs w:val="26"/>
          <w:rtl/>
        </w:rPr>
        <w:t>ت. إ ضد كندا</w:t>
      </w:r>
      <w:r w:rsidRPr="00621C97">
        <w:rPr>
          <w:rFonts w:hint="cs"/>
          <w:sz w:val="18"/>
          <w:szCs w:val="26"/>
          <w:rtl/>
        </w:rPr>
        <w:t>، القرار المعتمد في 15 تشرين الثاني/نوفمبر 2010؛ ورقم</w:t>
      </w:r>
      <w:r w:rsidR="006E5635">
        <w:rPr>
          <w:rFonts w:hint="eastAsia"/>
          <w:sz w:val="18"/>
          <w:szCs w:val="26"/>
          <w:rtl/>
        </w:rPr>
        <w:t> </w:t>
      </w:r>
      <w:r w:rsidRPr="00621C97">
        <w:rPr>
          <w:rFonts w:hint="cs"/>
          <w:sz w:val="18"/>
          <w:szCs w:val="26"/>
          <w:rtl/>
        </w:rPr>
        <w:t xml:space="preserve">344/2008، </w:t>
      </w:r>
      <w:r w:rsidRPr="006E5635">
        <w:rPr>
          <w:rFonts w:hint="cs"/>
          <w:i/>
          <w:iCs/>
          <w:sz w:val="18"/>
          <w:szCs w:val="26"/>
          <w:rtl/>
        </w:rPr>
        <w:t>أ. م. أ. ضد سويسرا</w:t>
      </w:r>
      <w:r w:rsidRPr="00621C97">
        <w:rPr>
          <w:rFonts w:hint="cs"/>
          <w:sz w:val="18"/>
          <w:szCs w:val="26"/>
          <w:rtl/>
        </w:rPr>
        <w:t>، القرار المعتمد في 12 تشرين الثاني/نوفمبر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Pr="00B20B5C" w:rsidRDefault="00E627E8" w:rsidP="00B20B5C">
    <w:pPr>
      <w:pStyle w:val="Header"/>
      <w:jc w:val="right"/>
    </w:pPr>
    <w:r w:rsidRPr="00B20B5C">
      <w:t>CAT/C/51/D/429/2010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Pr="00B20B5C" w:rsidRDefault="00E627E8" w:rsidP="00B20B5C">
    <w:pPr>
      <w:pStyle w:val="Header"/>
      <w:jc w:val="left"/>
    </w:pPr>
    <w:r w:rsidRPr="00B20B5C">
      <w:t>CAT/C/51/D/429/2010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E8" w:rsidRDefault="00E627E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E627E8" w:rsidRPr="002B399E" w:rsidRDefault="00E627E8"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E627E8" w:rsidRPr="002B399E" w:rsidRDefault="00E627E8"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E627E8" w:rsidRDefault="00E627E8"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1FC87B03"/>
    <w:multiLevelType w:val="hybridMultilevel"/>
    <w:tmpl w:val="12DE3A68"/>
    <w:lvl w:ilvl="0" w:tplc="DBE2181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355C"/>
    <w:rsid w:val="00014BB6"/>
    <w:rsid w:val="00034E10"/>
    <w:rsid w:val="00040E25"/>
    <w:rsid w:val="00042149"/>
    <w:rsid w:val="000648EA"/>
    <w:rsid w:val="00090161"/>
    <w:rsid w:val="00094E15"/>
    <w:rsid w:val="000957C8"/>
    <w:rsid w:val="00097049"/>
    <w:rsid w:val="000A04D5"/>
    <w:rsid w:val="000A054B"/>
    <w:rsid w:val="000B52F2"/>
    <w:rsid w:val="000D0EAE"/>
    <w:rsid w:val="000D5380"/>
    <w:rsid w:val="000D627A"/>
    <w:rsid w:val="000D6654"/>
    <w:rsid w:val="000E103D"/>
    <w:rsid w:val="000E125E"/>
    <w:rsid w:val="000F0264"/>
    <w:rsid w:val="000F2EBF"/>
    <w:rsid w:val="000F3712"/>
    <w:rsid w:val="000F3A9F"/>
    <w:rsid w:val="000F5FF6"/>
    <w:rsid w:val="001022B5"/>
    <w:rsid w:val="00113FA5"/>
    <w:rsid w:val="001455A0"/>
    <w:rsid w:val="00157336"/>
    <w:rsid w:val="001602A3"/>
    <w:rsid w:val="00190273"/>
    <w:rsid w:val="001A4487"/>
    <w:rsid w:val="001A5161"/>
    <w:rsid w:val="001A5B9E"/>
    <w:rsid w:val="001A60BD"/>
    <w:rsid w:val="001B1B59"/>
    <w:rsid w:val="001B76AA"/>
    <w:rsid w:val="001C1FFB"/>
    <w:rsid w:val="00215CFF"/>
    <w:rsid w:val="002244FB"/>
    <w:rsid w:val="002277FC"/>
    <w:rsid w:val="00232277"/>
    <w:rsid w:val="0023736D"/>
    <w:rsid w:val="0024268C"/>
    <w:rsid w:val="00256C27"/>
    <w:rsid w:val="00257225"/>
    <w:rsid w:val="00270BE7"/>
    <w:rsid w:val="00272D46"/>
    <w:rsid w:val="002A76A2"/>
    <w:rsid w:val="002D00FE"/>
    <w:rsid w:val="002D52E9"/>
    <w:rsid w:val="00310160"/>
    <w:rsid w:val="00341A8C"/>
    <w:rsid w:val="00346198"/>
    <w:rsid w:val="003519E6"/>
    <w:rsid w:val="00392EEA"/>
    <w:rsid w:val="003971A5"/>
    <w:rsid w:val="003A0091"/>
    <w:rsid w:val="003B4356"/>
    <w:rsid w:val="003F08A8"/>
    <w:rsid w:val="003F2EDA"/>
    <w:rsid w:val="00406AA6"/>
    <w:rsid w:val="00422F58"/>
    <w:rsid w:val="004250E3"/>
    <w:rsid w:val="00472A81"/>
    <w:rsid w:val="004A1F7B"/>
    <w:rsid w:val="004A20A6"/>
    <w:rsid w:val="004B2C92"/>
    <w:rsid w:val="004B71B0"/>
    <w:rsid w:val="004C584A"/>
    <w:rsid w:val="004D6A3A"/>
    <w:rsid w:val="004E5518"/>
    <w:rsid w:val="004F3B9A"/>
    <w:rsid w:val="004F4AD7"/>
    <w:rsid w:val="005043C8"/>
    <w:rsid w:val="00557CD3"/>
    <w:rsid w:val="00571432"/>
    <w:rsid w:val="005732A2"/>
    <w:rsid w:val="005762A5"/>
    <w:rsid w:val="00590BA3"/>
    <w:rsid w:val="005B0E4C"/>
    <w:rsid w:val="005B46D9"/>
    <w:rsid w:val="005B7AE0"/>
    <w:rsid w:val="005E137D"/>
    <w:rsid w:val="005F146F"/>
    <w:rsid w:val="005F71B6"/>
    <w:rsid w:val="00621C97"/>
    <w:rsid w:val="00651312"/>
    <w:rsid w:val="00654786"/>
    <w:rsid w:val="00660FD4"/>
    <w:rsid w:val="006A4425"/>
    <w:rsid w:val="006B00A4"/>
    <w:rsid w:val="006B33A5"/>
    <w:rsid w:val="006B4669"/>
    <w:rsid w:val="006E5635"/>
    <w:rsid w:val="006F5E19"/>
    <w:rsid w:val="006F6BF8"/>
    <w:rsid w:val="00707BDF"/>
    <w:rsid w:val="00710727"/>
    <w:rsid w:val="00715F45"/>
    <w:rsid w:val="00731815"/>
    <w:rsid w:val="00731B84"/>
    <w:rsid w:val="00734AE7"/>
    <w:rsid w:val="00747ED4"/>
    <w:rsid w:val="00781023"/>
    <w:rsid w:val="0079344E"/>
    <w:rsid w:val="007A5160"/>
    <w:rsid w:val="007B43F7"/>
    <w:rsid w:val="007C3160"/>
    <w:rsid w:val="007C4C41"/>
    <w:rsid w:val="007D16EE"/>
    <w:rsid w:val="007E197F"/>
    <w:rsid w:val="007F68B2"/>
    <w:rsid w:val="007F68C4"/>
    <w:rsid w:val="007F6E6F"/>
    <w:rsid w:val="008153DE"/>
    <w:rsid w:val="00824974"/>
    <w:rsid w:val="008309E9"/>
    <w:rsid w:val="00834FF4"/>
    <w:rsid w:val="00852A10"/>
    <w:rsid w:val="00862634"/>
    <w:rsid w:val="00866C59"/>
    <w:rsid w:val="00877306"/>
    <w:rsid w:val="00883AAE"/>
    <w:rsid w:val="008A6242"/>
    <w:rsid w:val="008B4BC6"/>
    <w:rsid w:val="008D21C4"/>
    <w:rsid w:val="008E2067"/>
    <w:rsid w:val="008F3E2F"/>
    <w:rsid w:val="00901E57"/>
    <w:rsid w:val="009070DF"/>
    <w:rsid w:val="00912985"/>
    <w:rsid w:val="00935F0E"/>
    <w:rsid w:val="009433BE"/>
    <w:rsid w:val="0095208F"/>
    <w:rsid w:val="00964820"/>
    <w:rsid w:val="00977B3F"/>
    <w:rsid w:val="009814AE"/>
    <w:rsid w:val="0098378F"/>
    <w:rsid w:val="009901D3"/>
    <w:rsid w:val="0099307B"/>
    <w:rsid w:val="00996BBE"/>
    <w:rsid w:val="009B21AA"/>
    <w:rsid w:val="009B2C03"/>
    <w:rsid w:val="009D1DD5"/>
    <w:rsid w:val="009D3989"/>
    <w:rsid w:val="009F5114"/>
    <w:rsid w:val="009F722C"/>
    <w:rsid w:val="00A26157"/>
    <w:rsid w:val="00A265C3"/>
    <w:rsid w:val="00A33CE1"/>
    <w:rsid w:val="00A43F9A"/>
    <w:rsid w:val="00A53F38"/>
    <w:rsid w:val="00A543D4"/>
    <w:rsid w:val="00A71BE0"/>
    <w:rsid w:val="00A7418B"/>
    <w:rsid w:val="00AB5429"/>
    <w:rsid w:val="00AD0014"/>
    <w:rsid w:val="00AD4CF2"/>
    <w:rsid w:val="00AE1131"/>
    <w:rsid w:val="00AF0BBA"/>
    <w:rsid w:val="00B15850"/>
    <w:rsid w:val="00B20B5C"/>
    <w:rsid w:val="00B23A4B"/>
    <w:rsid w:val="00B25BBD"/>
    <w:rsid w:val="00B26288"/>
    <w:rsid w:val="00B30468"/>
    <w:rsid w:val="00B3466E"/>
    <w:rsid w:val="00B37D2A"/>
    <w:rsid w:val="00B4073A"/>
    <w:rsid w:val="00B44E31"/>
    <w:rsid w:val="00B56D9E"/>
    <w:rsid w:val="00B66F83"/>
    <w:rsid w:val="00B9249D"/>
    <w:rsid w:val="00B9366F"/>
    <w:rsid w:val="00BA0A09"/>
    <w:rsid w:val="00BA4F7E"/>
    <w:rsid w:val="00BB2C41"/>
    <w:rsid w:val="00BC55C8"/>
    <w:rsid w:val="00BC5C10"/>
    <w:rsid w:val="00BE2964"/>
    <w:rsid w:val="00C1742C"/>
    <w:rsid w:val="00C21623"/>
    <w:rsid w:val="00C24FBD"/>
    <w:rsid w:val="00C473BA"/>
    <w:rsid w:val="00C511D5"/>
    <w:rsid w:val="00C611ED"/>
    <w:rsid w:val="00C6490A"/>
    <w:rsid w:val="00C64FE1"/>
    <w:rsid w:val="00C74296"/>
    <w:rsid w:val="00C7445D"/>
    <w:rsid w:val="00C8345E"/>
    <w:rsid w:val="00C87FBE"/>
    <w:rsid w:val="00CA5F7C"/>
    <w:rsid w:val="00CB0180"/>
    <w:rsid w:val="00CC2809"/>
    <w:rsid w:val="00D1411D"/>
    <w:rsid w:val="00D17C36"/>
    <w:rsid w:val="00D51067"/>
    <w:rsid w:val="00D518DF"/>
    <w:rsid w:val="00D75657"/>
    <w:rsid w:val="00D86FFD"/>
    <w:rsid w:val="00D874E5"/>
    <w:rsid w:val="00D960AD"/>
    <w:rsid w:val="00DA0E0E"/>
    <w:rsid w:val="00DB0C39"/>
    <w:rsid w:val="00DB7679"/>
    <w:rsid w:val="00DC5FAA"/>
    <w:rsid w:val="00DE39E7"/>
    <w:rsid w:val="00DF1702"/>
    <w:rsid w:val="00DF4DD8"/>
    <w:rsid w:val="00DF668E"/>
    <w:rsid w:val="00E04826"/>
    <w:rsid w:val="00E0619C"/>
    <w:rsid w:val="00E14D2B"/>
    <w:rsid w:val="00E20DBA"/>
    <w:rsid w:val="00E52A2C"/>
    <w:rsid w:val="00E627E8"/>
    <w:rsid w:val="00E63051"/>
    <w:rsid w:val="00E63CB0"/>
    <w:rsid w:val="00E6524A"/>
    <w:rsid w:val="00E660D6"/>
    <w:rsid w:val="00E771AB"/>
    <w:rsid w:val="00E82CC0"/>
    <w:rsid w:val="00EA34C6"/>
    <w:rsid w:val="00EA796F"/>
    <w:rsid w:val="00EB077B"/>
    <w:rsid w:val="00EC50B9"/>
    <w:rsid w:val="00ED26A0"/>
    <w:rsid w:val="00ED4216"/>
    <w:rsid w:val="00EE1F7D"/>
    <w:rsid w:val="00EE7763"/>
    <w:rsid w:val="00F03A9B"/>
    <w:rsid w:val="00F1727A"/>
    <w:rsid w:val="00F34764"/>
    <w:rsid w:val="00F54E3C"/>
    <w:rsid w:val="00F60688"/>
    <w:rsid w:val="00F7225E"/>
    <w:rsid w:val="00F8355C"/>
    <w:rsid w:val="00F874BD"/>
    <w:rsid w:val="00FB1D0B"/>
    <w:rsid w:val="00FC1CF9"/>
    <w:rsid w:val="00FE264E"/>
    <w:rsid w:val="00FE55A3"/>
    <w:rsid w:val="00FE6865"/>
    <w:rsid w:val="00FF3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13</Pages>
  <Words>4106</Words>
  <Characters>19381</Characters>
  <Application>Microsoft Office Outlook</Application>
  <DocSecurity>4</DocSecurity>
  <Lines>352</Lines>
  <Paragraphs>103</Paragraphs>
  <ScaleCrop>false</ScaleCrop>
  <HeadingPairs>
    <vt:vector size="2" baseType="variant">
      <vt:variant>
        <vt:lpstr>العنوان</vt:lpstr>
      </vt:variant>
      <vt:variant>
        <vt:i4>1</vt:i4>
      </vt:variant>
    </vt:vector>
  </HeadingPairs>
  <TitlesOfParts>
    <vt:vector size="1" baseType="lpstr">
      <vt:lpstr>CAT/C/51/D/429/2010</vt:lpstr>
    </vt:vector>
  </TitlesOfParts>
  <Company>CSD</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CAT/C/51/D/429/2010</dc:title>
  <dc:subject>GANNAMI, SALIH</dc:subject>
  <dc:creator>SAYED</dc:creator>
  <cp:keywords/>
  <dc:description/>
  <cp:lastModifiedBy>TPS</cp:lastModifiedBy>
  <cp:revision>2</cp:revision>
  <cp:lastPrinted>2014-01-24T07:44:00Z</cp:lastPrinted>
  <dcterms:created xsi:type="dcterms:W3CDTF">2014-01-27T08:22:00Z</dcterms:created>
  <dcterms:modified xsi:type="dcterms:W3CDTF">2014-01-27T08:22:00Z</dcterms:modified>
</cp:coreProperties>
</file>