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7794B7E" w14:textId="77777777" w:rsidTr="00A704A8">
        <w:trPr>
          <w:trHeight w:hRule="exact" w:val="851"/>
        </w:trPr>
        <w:tc>
          <w:tcPr>
            <w:tcW w:w="1276" w:type="dxa"/>
            <w:tcBorders>
              <w:bottom w:val="single" w:sz="4" w:space="0" w:color="auto"/>
            </w:tcBorders>
          </w:tcPr>
          <w:p w14:paraId="4768CAA0" w14:textId="77777777" w:rsidR="00807D21" w:rsidRPr="00DB58B5" w:rsidRDefault="00807D21" w:rsidP="00154559"/>
        </w:tc>
        <w:tc>
          <w:tcPr>
            <w:tcW w:w="2268" w:type="dxa"/>
            <w:tcBorders>
              <w:bottom w:val="single" w:sz="4" w:space="0" w:color="auto"/>
            </w:tcBorders>
            <w:vAlign w:val="bottom"/>
          </w:tcPr>
          <w:p w14:paraId="1A322D46"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FFA568" w14:textId="162DE286" w:rsidR="00807D21" w:rsidRPr="00177D7C" w:rsidRDefault="00177D7C" w:rsidP="00177D7C">
            <w:pPr>
              <w:jc w:val="right"/>
            </w:pPr>
            <w:r w:rsidRPr="00177D7C">
              <w:rPr>
                <w:sz w:val="40"/>
              </w:rPr>
              <w:t>CAT</w:t>
            </w:r>
            <w:r>
              <w:t>/C/COD/QPR/3</w:t>
            </w:r>
          </w:p>
        </w:tc>
      </w:tr>
      <w:tr w:rsidR="00807D21" w:rsidRPr="00DB58B5" w14:paraId="1E7EEB74" w14:textId="77777777" w:rsidTr="00A704A8">
        <w:trPr>
          <w:trHeight w:hRule="exact" w:val="2835"/>
        </w:trPr>
        <w:tc>
          <w:tcPr>
            <w:tcW w:w="1276" w:type="dxa"/>
            <w:tcBorders>
              <w:top w:val="single" w:sz="4" w:space="0" w:color="auto"/>
              <w:bottom w:val="single" w:sz="12" w:space="0" w:color="auto"/>
            </w:tcBorders>
          </w:tcPr>
          <w:p w14:paraId="2351E9E8" w14:textId="77777777" w:rsidR="00807D21" w:rsidRPr="00DB58B5" w:rsidRDefault="00807D21" w:rsidP="00A704A8">
            <w:pPr>
              <w:spacing w:before="120"/>
              <w:jc w:val="center"/>
            </w:pPr>
            <w:r>
              <w:rPr>
                <w:noProof/>
                <w:lang w:val="en-GB" w:eastAsia="en-GB"/>
              </w:rPr>
              <w:drawing>
                <wp:inline distT="0" distB="0" distL="0" distR="0" wp14:anchorId="3AB6AC3F" wp14:editId="0CFACD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87278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10D19E6" w14:textId="77777777" w:rsidR="00807D21" w:rsidRDefault="00154559" w:rsidP="00A704A8">
            <w:pPr>
              <w:spacing w:before="240"/>
            </w:pPr>
            <w:r>
              <w:t>Distr. générale</w:t>
            </w:r>
          </w:p>
          <w:p w14:paraId="56584FFA" w14:textId="2C365746" w:rsidR="00154559" w:rsidRDefault="007F010F" w:rsidP="00154559">
            <w:pPr>
              <w:spacing w:line="240" w:lineRule="exact"/>
            </w:pPr>
            <w:r>
              <w:t>2</w:t>
            </w:r>
            <w:r w:rsidR="00CF7B7B">
              <w:t>4</w:t>
            </w:r>
            <w:r>
              <w:t xml:space="preserve"> février 2023</w:t>
            </w:r>
          </w:p>
          <w:p w14:paraId="61B5F877" w14:textId="749E470A" w:rsidR="00154559" w:rsidRDefault="00154559" w:rsidP="00154559">
            <w:pPr>
              <w:spacing w:line="240" w:lineRule="exact"/>
            </w:pPr>
          </w:p>
          <w:p w14:paraId="0DCAF895" w14:textId="77777777" w:rsidR="00154559" w:rsidRDefault="00154559" w:rsidP="00154559">
            <w:pPr>
              <w:spacing w:line="240" w:lineRule="exact"/>
            </w:pPr>
            <w:r>
              <w:t>Original : français</w:t>
            </w:r>
          </w:p>
          <w:p w14:paraId="1404FD87" w14:textId="6D6AB9AA" w:rsidR="00154559" w:rsidRPr="00DB58B5" w:rsidRDefault="00154559" w:rsidP="00154559">
            <w:pPr>
              <w:spacing w:line="240" w:lineRule="exact"/>
            </w:pPr>
            <w:r>
              <w:t>Anglais, espagnol et français seulement</w:t>
            </w:r>
          </w:p>
        </w:tc>
      </w:tr>
    </w:tbl>
    <w:p w14:paraId="061B789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71AC61D" w14:textId="77777777" w:rsidR="005A08D7" w:rsidRDefault="005A08D7" w:rsidP="00EF4994">
      <w:pPr>
        <w:pStyle w:val="HChG"/>
      </w:pPr>
      <w:r>
        <w:tab/>
      </w:r>
      <w:r>
        <w:tab/>
        <w:t xml:space="preserve">Liste de points établie avant la soumission du troisième rapport périodique de la République démocratique </w:t>
      </w:r>
      <w:r>
        <w:br/>
        <w:t>du Congo</w:t>
      </w:r>
      <w:r w:rsidRPr="005B53C4">
        <w:rPr>
          <w:rStyle w:val="Appelnotedebasdep"/>
          <w:b w:val="0"/>
          <w:sz w:val="20"/>
          <w:vertAlign w:val="baseline"/>
        </w:rPr>
        <w:footnoteReference w:customMarkFollows="1" w:id="2"/>
        <w:t>*</w:t>
      </w:r>
    </w:p>
    <w:p w14:paraId="592F35BA" w14:textId="5059F97E" w:rsidR="005A08D7" w:rsidRDefault="005A08D7" w:rsidP="00EF4994">
      <w:pPr>
        <w:pStyle w:val="H1G"/>
      </w:pPr>
      <w:r>
        <w:tab/>
      </w:r>
      <w:r>
        <w:tab/>
        <w:t xml:space="preserve">Renseignements concernant spécifiquement la mise en œuvre </w:t>
      </w:r>
      <w:r w:rsidR="00D64B96">
        <w:br/>
        <w:t xml:space="preserve">des </w:t>
      </w:r>
      <w:r>
        <w:t>articles 1</w:t>
      </w:r>
      <w:r>
        <w:rPr>
          <w:vertAlign w:val="superscript"/>
        </w:rPr>
        <w:t>er</w:t>
      </w:r>
      <w:r>
        <w:t xml:space="preserve"> à 16 de la Convention, notamment au regard </w:t>
      </w:r>
      <w:r w:rsidR="00D64B96">
        <w:br/>
        <w:t xml:space="preserve">des </w:t>
      </w:r>
      <w:r>
        <w:t>précédentes recommandations du Comité</w:t>
      </w:r>
    </w:p>
    <w:p w14:paraId="032D0FB1" w14:textId="77777777" w:rsidR="005A08D7" w:rsidRPr="008A5A99" w:rsidRDefault="005A08D7" w:rsidP="00EF4994">
      <w:pPr>
        <w:pStyle w:val="H23G"/>
        <w:rPr>
          <w:lang w:val="fr-FR"/>
        </w:rPr>
      </w:pPr>
      <w:r>
        <w:tab/>
      </w:r>
      <w:r>
        <w:tab/>
      </w:r>
      <w:r w:rsidRPr="008A5A99">
        <w:rPr>
          <w:lang w:val="fr-FR"/>
        </w:rPr>
        <w:t xml:space="preserve">Questions retenues aux fins du suivi dans les </w:t>
      </w:r>
      <w:r w:rsidRPr="008A5A99">
        <w:t>précédentes</w:t>
      </w:r>
      <w:r w:rsidRPr="008A5A99">
        <w:rPr>
          <w:lang w:val="fr-FR"/>
        </w:rPr>
        <w:t xml:space="preserve"> observations finales</w:t>
      </w:r>
    </w:p>
    <w:p w14:paraId="72BFBB16" w14:textId="57842C04" w:rsidR="005A08D7" w:rsidRPr="008A5A99" w:rsidRDefault="005A08D7" w:rsidP="00EF4994">
      <w:pPr>
        <w:pStyle w:val="SingleTxtG"/>
        <w:rPr>
          <w:lang w:val="fr-FR"/>
        </w:rPr>
      </w:pPr>
      <w:r w:rsidRPr="008A5A99">
        <w:rPr>
          <w:lang w:val="fr-FR"/>
        </w:rPr>
        <w:t>1.</w:t>
      </w:r>
      <w:r w:rsidRPr="008A5A99">
        <w:rPr>
          <w:lang w:val="fr-FR"/>
        </w:rPr>
        <w:tab/>
        <w:t>Dans ses précédentes observations finales</w:t>
      </w:r>
      <w:r w:rsidRPr="00C73F82">
        <w:rPr>
          <w:rStyle w:val="Appelnotedebasdep"/>
        </w:rPr>
        <w:footnoteReference w:id="3"/>
      </w:r>
      <w:r w:rsidRPr="008A5A99">
        <w:rPr>
          <w:lang w:val="fr-FR"/>
        </w:rPr>
        <w:t>, le Comité a demandé à l</w:t>
      </w:r>
      <w:r>
        <w:rPr>
          <w:lang w:val="fr-FR"/>
        </w:rPr>
        <w:t>’</w:t>
      </w:r>
      <w:r w:rsidRPr="008A5A99">
        <w:rPr>
          <w:lang w:val="fr-FR"/>
        </w:rPr>
        <w:t>État partie de lui faire parvenir des renseignements sur la suite donnée aux recommandations concernant : a) les garanties juridiques fondamentales</w:t>
      </w:r>
      <w:r>
        <w:rPr>
          <w:lang w:val="fr-FR"/>
        </w:rPr>
        <w:t xml:space="preserve"> (par. 13 c)) </w:t>
      </w:r>
      <w:r w:rsidRPr="008A5A99">
        <w:rPr>
          <w:lang w:val="fr-FR"/>
        </w:rPr>
        <w:t>; b</w:t>
      </w:r>
      <w:r w:rsidR="00D64B96" w:rsidRPr="008A5A99">
        <w:rPr>
          <w:lang w:val="fr-FR"/>
        </w:rPr>
        <w:t>)</w:t>
      </w:r>
      <w:r w:rsidR="00D64B96">
        <w:rPr>
          <w:lang w:val="fr-FR"/>
        </w:rPr>
        <w:t> </w:t>
      </w:r>
      <w:r w:rsidRPr="008A5A99">
        <w:rPr>
          <w:rFonts w:cs="Calibri"/>
          <w:shd w:val="clear" w:color="auto" w:fill="FFFFFF"/>
          <w:lang w:val="fr-FR"/>
        </w:rPr>
        <w:t>l</w:t>
      </w:r>
      <w:r>
        <w:rPr>
          <w:rFonts w:cs="Calibri"/>
          <w:shd w:val="clear" w:color="auto" w:fill="FFFFFF"/>
          <w:lang w:val="fr-FR"/>
        </w:rPr>
        <w:t>’</w:t>
      </w:r>
      <w:r w:rsidRPr="008A5A99">
        <w:rPr>
          <w:rFonts w:cs="Calibri"/>
          <w:shd w:val="clear" w:color="auto" w:fill="FFFFFF"/>
          <w:lang w:val="fr-FR"/>
        </w:rPr>
        <w:t>établissement d</w:t>
      </w:r>
      <w:r>
        <w:rPr>
          <w:rFonts w:cs="Calibri"/>
          <w:shd w:val="clear" w:color="auto" w:fill="FFFFFF"/>
          <w:lang w:val="fr-FR"/>
        </w:rPr>
        <w:t>’</w:t>
      </w:r>
      <w:r w:rsidRPr="008A5A99">
        <w:rPr>
          <w:rFonts w:cs="Calibri"/>
          <w:shd w:val="clear" w:color="auto" w:fill="FFFFFF"/>
          <w:lang w:val="fr-FR"/>
        </w:rPr>
        <w:t>u</w:t>
      </w:r>
      <w:r>
        <w:rPr>
          <w:rFonts w:cs="Calibri"/>
          <w:shd w:val="clear" w:color="auto" w:fill="FFFFFF"/>
          <w:lang w:val="fr-FR"/>
        </w:rPr>
        <w:t>n</w:t>
      </w:r>
      <w:r w:rsidRPr="008A5A99">
        <w:rPr>
          <w:rFonts w:cs="Calibri"/>
          <w:shd w:val="clear" w:color="auto" w:fill="FFFFFF"/>
          <w:lang w:val="fr-FR"/>
        </w:rPr>
        <w:t xml:space="preserve"> mécanisme national de prévention de la torture indépendant et effectif</w:t>
      </w:r>
      <w:r>
        <w:rPr>
          <w:rFonts w:cs="Calibri"/>
          <w:shd w:val="clear" w:color="auto" w:fill="FFFFFF"/>
          <w:lang w:val="fr-FR"/>
        </w:rPr>
        <w:t xml:space="preserve"> (par. 25)</w:t>
      </w:r>
      <w:r w:rsidRPr="008A5A99">
        <w:rPr>
          <w:rFonts w:cs="Calibri"/>
          <w:shd w:val="clear" w:color="auto" w:fill="FFFFFF"/>
          <w:lang w:val="fr-FR"/>
        </w:rPr>
        <w:t> ; c</w:t>
      </w:r>
      <w:r w:rsidR="00D64B96" w:rsidRPr="008A5A99">
        <w:rPr>
          <w:rFonts w:cs="Calibri"/>
          <w:shd w:val="clear" w:color="auto" w:fill="FFFFFF"/>
          <w:lang w:val="fr-FR"/>
        </w:rPr>
        <w:t>)</w:t>
      </w:r>
      <w:r w:rsidR="00D64B96">
        <w:rPr>
          <w:rFonts w:cs="Calibri"/>
          <w:shd w:val="clear" w:color="auto" w:fill="FFFFFF"/>
          <w:lang w:val="fr-FR"/>
        </w:rPr>
        <w:t> </w:t>
      </w:r>
      <w:r w:rsidRPr="008A5A99">
        <w:rPr>
          <w:rFonts w:cs="Calibri"/>
          <w:shd w:val="clear" w:color="auto" w:fill="FFFFFF"/>
          <w:lang w:val="fr-FR"/>
        </w:rPr>
        <w:t xml:space="preserve">les enquêtes et poursuites </w:t>
      </w:r>
      <w:r>
        <w:rPr>
          <w:rFonts w:cs="Calibri"/>
          <w:shd w:val="clear" w:color="auto" w:fill="FFFFFF"/>
          <w:lang w:val="fr-FR"/>
        </w:rPr>
        <w:t xml:space="preserve">menées </w:t>
      </w:r>
      <w:r w:rsidRPr="008A5A99">
        <w:rPr>
          <w:rFonts w:cs="Calibri"/>
          <w:shd w:val="clear" w:color="auto" w:fill="FFFFFF"/>
          <w:lang w:val="fr-FR"/>
        </w:rPr>
        <w:t>dans les cas de violence sexuelle et les réparations accordées aux victimes</w:t>
      </w:r>
      <w:r>
        <w:rPr>
          <w:rFonts w:cs="Calibri"/>
          <w:shd w:val="clear" w:color="auto" w:fill="FFFFFF"/>
          <w:lang w:val="fr-FR"/>
        </w:rPr>
        <w:t xml:space="preserve"> (par. 33 a) et b))</w:t>
      </w:r>
      <w:r w:rsidRPr="008A5A99">
        <w:rPr>
          <w:rFonts w:cs="Calibri"/>
          <w:shd w:val="clear" w:color="auto" w:fill="FFFFFF"/>
          <w:lang w:val="fr-FR"/>
        </w:rPr>
        <w:t> ; et d)</w:t>
      </w:r>
      <w:r w:rsidR="00961148">
        <w:rPr>
          <w:rFonts w:cs="Calibri"/>
          <w:shd w:val="clear" w:color="auto" w:fill="FFFFFF"/>
          <w:lang w:val="fr-FR"/>
        </w:rPr>
        <w:t> </w:t>
      </w:r>
      <w:r w:rsidRPr="008A5A99">
        <w:rPr>
          <w:rFonts w:cs="Calibri"/>
          <w:shd w:val="clear" w:color="auto" w:fill="FFFFFF"/>
          <w:lang w:val="fr-FR"/>
        </w:rPr>
        <w:t xml:space="preserve">les enquêtes et poursuites </w:t>
      </w:r>
      <w:r>
        <w:rPr>
          <w:rFonts w:cs="Calibri"/>
          <w:shd w:val="clear" w:color="auto" w:fill="FFFFFF"/>
          <w:lang w:val="fr-FR"/>
        </w:rPr>
        <w:t xml:space="preserve">menées </w:t>
      </w:r>
      <w:r w:rsidRPr="008A5A99">
        <w:rPr>
          <w:rFonts w:cs="Calibri"/>
          <w:shd w:val="clear" w:color="auto" w:fill="FFFFFF"/>
          <w:lang w:val="fr-FR"/>
        </w:rPr>
        <w:t>dans les cas de violence à l</w:t>
      </w:r>
      <w:r>
        <w:rPr>
          <w:rFonts w:cs="Calibri"/>
          <w:shd w:val="clear" w:color="auto" w:fill="FFFFFF"/>
          <w:lang w:val="fr-FR"/>
        </w:rPr>
        <w:t>’</w:t>
      </w:r>
      <w:r w:rsidRPr="008A5A99">
        <w:rPr>
          <w:rFonts w:cs="Calibri"/>
          <w:shd w:val="clear" w:color="auto" w:fill="FFFFFF"/>
          <w:lang w:val="fr-FR"/>
        </w:rPr>
        <w:t xml:space="preserve">égard des enfants, les réparations accordées aux victimes, la séparation </w:t>
      </w:r>
      <w:r>
        <w:rPr>
          <w:rFonts w:cs="Calibri"/>
          <w:shd w:val="clear" w:color="auto" w:fill="FFFFFF"/>
          <w:lang w:val="fr-FR"/>
        </w:rPr>
        <w:t>entre</w:t>
      </w:r>
      <w:r w:rsidRPr="008A5A99">
        <w:rPr>
          <w:rFonts w:cs="Calibri"/>
          <w:shd w:val="clear" w:color="auto" w:fill="FFFFFF"/>
          <w:lang w:val="fr-FR"/>
        </w:rPr>
        <w:t xml:space="preserve"> adultes et mineurs dans </w:t>
      </w:r>
      <w:r>
        <w:rPr>
          <w:rFonts w:cs="Calibri"/>
          <w:shd w:val="clear" w:color="auto" w:fill="FFFFFF"/>
          <w:lang w:val="fr-FR"/>
        </w:rPr>
        <w:t>les</w:t>
      </w:r>
      <w:r w:rsidRPr="008A5A99">
        <w:rPr>
          <w:rFonts w:cs="Calibri"/>
          <w:shd w:val="clear" w:color="auto" w:fill="FFFFFF"/>
          <w:lang w:val="fr-FR"/>
        </w:rPr>
        <w:t xml:space="preserve"> prisons ainsi que l</w:t>
      </w:r>
      <w:r>
        <w:rPr>
          <w:rFonts w:cs="Calibri"/>
          <w:shd w:val="clear" w:color="auto" w:fill="FFFFFF"/>
          <w:lang w:val="fr-FR"/>
        </w:rPr>
        <w:t>’adaptation d</w:t>
      </w:r>
      <w:r w:rsidRPr="008A5A99">
        <w:rPr>
          <w:rFonts w:cs="Calibri"/>
          <w:shd w:val="clear" w:color="auto" w:fill="FFFFFF"/>
          <w:lang w:val="fr-FR"/>
        </w:rPr>
        <w:t xml:space="preserve">es conditions de détention </w:t>
      </w:r>
      <w:r>
        <w:rPr>
          <w:rFonts w:cs="Calibri"/>
          <w:shd w:val="clear" w:color="auto" w:fill="FFFFFF"/>
          <w:lang w:val="fr-FR"/>
        </w:rPr>
        <w:t xml:space="preserve">des mineurs </w:t>
      </w:r>
      <w:r w:rsidRPr="008A5A99">
        <w:rPr>
          <w:rFonts w:cs="Calibri"/>
          <w:shd w:val="clear" w:color="auto" w:fill="FFFFFF"/>
          <w:lang w:val="fr-FR"/>
        </w:rPr>
        <w:t>à le</w:t>
      </w:r>
      <w:r>
        <w:rPr>
          <w:rFonts w:cs="Calibri"/>
          <w:shd w:val="clear" w:color="auto" w:fill="FFFFFF"/>
          <w:lang w:val="fr-FR"/>
        </w:rPr>
        <w:t>ur</w:t>
      </w:r>
      <w:r w:rsidRPr="008A5A99">
        <w:rPr>
          <w:rFonts w:cs="Calibri"/>
          <w:shd w:val="clear" w:color="auto" w:fill="FFFFFF"/>
          <w:lang w:val="fr-FR"/>
        </w:rPr>
        <w:t xml:space="preserve"> statut de mineurs (</w:t>
      </w:r>
      <w:r>
        <w:rPr>
          <w:rFonts w:cs="Calibri"/>
          <w:shd w:val="clear" w:color="auto" w:fill="FFFFFF"/>
          <w:lang w:val="fr-FR"/>
        </w:rPr>
        <w:t>par. </w:t>
      </w:r>
      <w:r w:rsidR="00D64B96" w:rsidRPr="008A5A99">
        <w:rPr>
          <w:rFonts w:cs="Calibri"/>
          <w:shd w:val="clear" w:color="auto" w:fill="FFFFFF"/>
          <w:lang w:val="fr-FR"/>
        </w:rPr>
        <w:t>35</w:t>
      </w:r>
      <w:r w:rsidR="00D64B96">
        <w:rPr>
          <w:rFonts w:cs="Calibri"/>
          <w:shd w:val="clear" w:color="auto" w:fill="FFFFFF"/>
          <w:lang w:val="fr-FR"/>
        </w:rPr>
        <w:t> </w:t>
      </w:r>
      <w:r w:rsidRPr="008A5A99">
        <w:rPr>
          <w:rFonts w:cs="Calibri"/>
          <w:shd w:val="clear" w:color="auto" w:fill="FFFFFF"/>
          <w:lang w:val="fr-FR"/>
        </w:rPr>
        <w:t>a) et c)). Au</w:t>
      </w:r>
      <w:r w:rsidRPr="008A5A99">
        <w:rPr>
          <w:lang w:val="fr-FR"/>
        </w:rPr>
        <w:t xml:space="preserve"> vu </w:t>
      </w:r>
      <w:r>
        <w:rPr>
          <w:lang w:val="fr-FR"/>
        </w:rPr>
        <w:t>des renseignements</w:t>
      </w:r>
      <w:r w:rsidRPr="008A5A99">
        <w:rPr>
          <w:lang w:val="fr-FR"/>
        </w:rPr>
        <w:t xml:space="preserve"> reçu</w:t>
      </w:r>
      <w:r>
        <w:rPr>
          <w:lang w:val="fr-FR"/>
        </w:rPr>
        <w:t>s</w:t>
      </w:r>
      <w:r w:rsidRPr="008A5A99">
        <w:rPr>
          <w:lang w:val="fr-FR"/>
        </w:rPr>
        <w:t xml:space="preserve"> de l</w:t>
      </w:r>
      <w:r>
        <w:rPr>
          <w:lang w:val="fr-FR"/>
        </w:rPr>
        <w:t>’</w:t>
      </w:r>
      <w:r w:rsidRPr="008A5A99">
        <w:rPr>
          <w:lang w:val="fr-FR"/>
        </w:rPr>
        <w:t>État partie le 18</w:t>
      </w:r>
      <w:r w:rsidR="00961148">
        <w:rPr>
          <w:lang w:val="fr-FR"/>
        </w:rPr>
        <w:t> </w:t>
      </w:r>
      <w:r>
        <w:rPr>
          <w:lang w:val="fr-FR"/>
        </w:rPr>
        <w:t>s</w:t>
      </w:r>
      <w:r w:rsidRPr="008A5A99">
        <w:rPr>
          <w:lang w:val="fr-FR"/>
        </w:rPr>
        <w:t>eptembre 2020</w:t>
      </w:r>
      <w:r w:rsidRPr="00C73F82">
        <w:rPr>
          <w:rStyle w:val="Appelnotedebasdep"/>
        </w:rPr>
        <w:footnoteReference w:id="4"/>
      </w:r>
      <w:r w:rsidRPr="008A5A99">
        <w:rPr>
          <w:lang w:val="fr-FR"/>
        </w:rPr>
        <w:t xml:space="preserve"> et de la lettre du Rapporteur </w:t>
      </w:r>
      <w:r>
        <w:rPr>
          <w:lang w:val="fr-FR"/>
        </w:rPr>
        <w:t>pour le</w:t>
      </w:r>
      <w:r w:rsidRPr="008A5A99">
        <w:rPr>
          <w:lang w:val="fr-FR"/>
        </w:rPr>
        <w:t xml:space="preserve"> suivi des observations finales </w:t>
      </w:r>
      <w:r>
        <w:rPr>
          <w:lang w:val="fr-FR"/>
        </w:rPr>
        <w:t xml:space="preserve">du Comité </w:t>
      </w:r>
      <w:r w:rsidRPr="008A5A99">
        <w:rPr>
          <w:lang w:val="fr-FR"/>
        </w:rPr>
        <w:t>en date du 4</w:t>
      </w:r>
      <w:r w:rsidR="00961148">
        <w:rPr>
          <w:lang w:val="fr-FR"/>
        </w:rPr>
        <w:t> </w:t>
      </w:r>
      <w:r w:rsidRPr="008A5A99">
        <w:rPr>
          <w:lang w:val="fr-FR"/>
        </w:rPr>
        <w:t>novembre 2020, le Comité considère qu</w:t>
      </w:r>
      <w:r>
        <w:rPr>
          <w:lang w:val="fr-FR"/>
        </w:rPr>
        <w:t>’</w:t>
      </w:r>
      <w:r w:rsidRPr="008A5A99">
        <w:rPr>
          <w:lang w:val="fr-FR"/>
        </w:rPr>
        <w:t>il n</w:t>
      </w:r>
      <w:r>
        <w:rPr>
          <w:lang w:val="fr-FR"/>
        </w:rPr>
        <w:t>’</w:t>
      </w:r>
      <w:r w:rsidRPr="008A5A99">
        <w:rPr>
          <w:lang w:val="fr-FR"/>
        </w:rPr>
        <w:t xml:space="preserve">a pas été donné suite aux recommandations figurant aux paragraphes 25 et </w:t>
      </w:r>
      <w:r w:rsidR="00D64B96" w:rsidRPr="008A5A99">
        <w:rPr>
          <w:lang w:val="fr-FR"/>
        </w:rPr>
        <w:t>35</w:t>
      </w:r>
      <w:r w:rsidR="00D64B96">
        <w:rPr>
          <w:rFonts w:cs="Calibri"/>
          <w:shd w:val="clear" w:color="auto" w:fill="FFFFFF"/>
          <w:lang w:val="fr-FR"/>
        </w:rPr>
        <w:t> </w:t>
      </w:r>
      <w:r w:rsidRPr="008A5A99">
        <w:rPr>
          <w:rFonts w:cs="Calibri"/>
          <w:shd w:val="clear" w:color="auto" w:fill="FFFFFF"/>
          <w:lang w:val="fr-FR"/>
        </w:rPr>
        <w:t>a) et c)</w:t>
      </w:r>
      <w:r w:rsidR="00961148">
        <w:rPr>
          <w:rFonts w:cs="Calibri"/>
          <w:shd w:val="clear" w:color="auto" w:fill="FFFFFF"/>
          <w:lang w:val="fr-FR"/>
        </w:rPr>
        <w:t xml:space="preserve"> </w:t>
      </w:r>
      <w:r w:rsidRPr="008A5A99">
        <w:rPr>
          <w:lang w:val="fr-FR"/>
        </w:rPr>
        <w:t>des précédentes observations finales. En outre, il estime que les renseignements communiqués au sujet des recommandations figurant au</w:t>
      </w:r>
      <w:r>
        <w:rPr>
          <w:lang w:val="fr-FR"/>
        </w:rPr>
        <w:t>x</w:t>
      </w:r>
      <w:r w:rsidRPr="008A5A99">
        <w:rPr>
          <w:lang w:val="fr-FR"/>
        </w:rPr>
        <w:t xml:space="preserve"> paragraphe</w:t>
      </w:r>
      <w:r>
        <w:rPr>
          <w:lang w:val="fr-FR"/>
        </w:rPr>
        <w:t>s</w:t>
      </w:r>
      <w:r w:rsidRPr="008A5A99">
        <w:rPr>
          <w:lang w:val="fr-FR"/>
        </w:rPr>
        <w:t> </w:t>
      </w:r>
      <w:r w:rsidR="00D64B96" w:rsidRPr="008A5A99">
        <w:rPr>
          <w:lang w:val="fr-FR"/>
        </w:rPr>
        <w:t>13</w:t>
      </w:r>
      <w:r w:rsidR="00D64B96">
        <w:rPr>
          <w:lang w:val="fr-FR"/>
        </w:rPr>
        <w:t> </w:t>
      </w:r>
      <w:r w:rsidRPr="008A5A99">
        <w:rPr>
          <w:lang w:val="fr-FR"/>
        </w:rPr>
        <w:t xml:space="preserve">c) et </w:t>
      </w:r>
      <w:r w:rsidR="00D64B96" w:rsidRPr="008A5A99">
        <w:rPr>
          <w:rFonts w:cs="Calibri"/>
          <w:shd w:val="clear" w:color="auto" w:fill="FFFFFF"/>
          <w:lang w:val="fr-FR"/>
        </w:rPr>
        <w:t>33</w:t>
      </w:r>
      <w:r w:rsidR="00D64B96">
        <w:rPr>
          <w:rFonts w:cs="Calibri"/>
          <w:shd w:val="clear" w:color="auto" w:fill="FFFFFF"/>
          <w:lang w:val="fr-FR"/>
        </w:rPr>
        <w:t> </w:t>
      </w:r>
      <w:r w:rsidRPr="008A5A99">
        <w:rPr>
          <w:rFonts w:cs="Calibri"/>
          <w:shd w:val="clear" w:color="auto" w:fill="FFFFFF"/>
          <w:lang w:val="fr-FR"/>
        </w:rPr>
        <w:t>a) et b)</w:t>
      </w:r>
      <w:r w:rsidRPr="008A5A99">
        <w:rPr>
          <w:lang w:val="fr-FR"/>
        </w:rPr>
        <w:t xml:space="preserve"> des précédentes observations finales ne sont pas suffisants pour une évaluation du suivi.</w:t>
      </w:r>
    </w:p>
    <w:p w14:paraId="40792744" w14:textId="77777777" w:rsidR="005A08D7" w:rsidRPr="008A5A99" w:rsidRDefault="005A08D7" w:rsidP="00EF4994">
      <w:pPr>
        <w:pStyle w:val="H23G"/>
        <w:rPr>
          <w:lang w:val="fr-FR"/>
        </w:rPr>
      </w:pPr>
      <w:r>
        <w:rPr>
          <w:lang w:val="fr-FR"/>
        </w:rPr>
        <w:tab/>
      </w:r>
      <w:r>
        <w:rPr>
          <w:lang w:val="fr-FR"/>
        </w:rPr>
        <w:tab/>
      </w:r>
      <w:r w:rsidRPr="008A5A99">
        <w:rPr>
          <w:lang w:val="fr-FR"/>
        </w:rPr>
        <w:t>Articles 1</w:t>
      </w:r>
      <w:r w:rsidRPr="008A5A99">
        <w:rPr>
          <w:vertAlign w:val="superscript"/>
          <w:lang w:val="fr-FR"/>
        </w:rPr>
        <w:t>er</w:t>
      </w:r>
      <w:r w:rsidRPr="008A5A99">
        <w:rPr>
          <w:lang w:val="fr-FR"/>
        </w:rPr>
        <w:t xml:space="preserve"> et 4</w:t>
      </w:r>
    </w:p>
    <w:p w14:paraId="02E4383E" w14:textId="05FD574C" w:rsidR="005A08D7" w:rsidRPr="008A5A99" w:rsidRDefault="005A08D7" w:rsidP="00EF4994">
      <w:pPr>
        <w:pStyle w:val="SingleTxtG"/>
        <w:rPr>
          <w:lang w:val="fr-FR"/>
        </w:rPr>
      </w:pPr>
      <w:r w:rsidRPr="008A5A99">
        <w:rPr>
          <w:lang w:val="fr-FR"/>
        </w:rPr>
        <w:t>2.</w:t>
      </w:r>
      <w:r w:rsidRPr="008A5A99">
        <w:rPr>
          <w:lang w:val="fr-FR"/>
        </w:rPr>
        <w:tab/>
        <w:t>Eu égard aux précédentes observations finales du Comité</w:t>
      </w:r>
      <w:r w:rsidRPr="00C73F82">
        <w:rPr>
          <w:rStyle w:val="Appelnotedebasdep"/>
        </w:rPr>
        <w:footnoteReference w:id="5"/>
      </w:r>
      <w:r w:rsidRPr="008A5A99">
        <w:rPr>
          <w:lang w:val="fr-FR"/>
        </w:rPr>
        <w:t xml:space="preserve">, </w:t>
      </w:r>
      <w:r w:rsidRPr="008A5A99">
        <w:rPr>
          <w:lang w:val="fr-FR" w:eastAsia="es-ES"/>
        </w:rPr>
        <w:t>préciser si l</w:t>
      </w:r>
      <w:r>
        <w:rPr>
          <w:lang w:val="fr-FR" w:eastAsia="es-ES"/>
        </w:rPr>
        <w:t>’</w:t>
      </w:r>
      <w:r w:rsidRPr="008A5A99">
        <w:rPr>
          <w:lang w:val="fr-FR"/>
        </w:rPr>
        <w:t>É</w:t>
      </w:r>
      <w:r w:rsidRPr="008A5A99">
        <w:rPr>
          <w:lang w:val="fr-FR" w:eastAsia="es-ES"/>
        </w:rPr>
        <w:t xml:space="preserve">tat partie envisage de </w:t>
      </w:r>
      <w:r w:rsidRPr="008A5A99">
        <w:rPr>
          <w:lang w:val="fr-FR"/>
        </w:rPr>
        <w:t xml:space="preserve">modifier la définition de la torture intégrée par la loi </w:t>
      </w:r>
      <w:r w:rsidR="00D64B96" w:rsidRPr="008A5A99">
        <w:rPr>
          <w:lang w:val="fr-FR"/>
        </w:rPr>
        <w:t>n</w:t>
      </w:r>
      <w:r w:rsidR="00D64B96" w:rsidRPr="008A310C">
        <w:rPr>
          <w:vertAlign w:val="superscript"/>
          <w:lang w:val="fr-FR"/>
        </w:rPr>
        <w:t>o</w:t>
      </w:r>
      <w:r w:rsidR="00D64B96">
        <w:rPr>
          <w:lang w:val="fr-FR"/>
        </w:rPr>
        <w:t> </w:t>
      </w:r>
      <w:r w:rsidRPr="008A5A99">
        <w:rPr>
          <w:lang w:val="fr-FR"/>
        </w:rPr>
        <w:t>11/008</w:t>
      </w:r>
      <w:r>
        <w:rPr>
          <w:lang w:val="fr-FR"/>
        </w:rPr>
        <w:t xml:space="preserve"> du 9 </w:t>
      </w:r>
      <w:r w:rsidR="00D64B96">
        <w:rPr>
          <w:lang w:val="fr-FR"/>
        </w:rPr>
        <w:t xml:space="preserve">juillet </w:t>
      </w:r>
      <w:r>
        <w:rPr>
          <w:lang w:val="fr-FR"/>
        </w:rPr>
        <w:t>2011 portant criminalisation de la torture</w:t>
      </w:r>
      <w:r w:rsidRPr="008A5A99">
        <w:rPr>
          <w:lang w:val="fr-FR"/>
        </w:rPr>
        <w:t xml:space="preserve">, ou </w:t>
      </w:r>
      <w:r>
        <w:rPr>
          <w:lang w:val="fr-FR"/>
        </w:rPr>
        <w:t>d’</w:t>
      </w:r>
      <w:r w:rsidRPr="008A5A99">
        <w:rPr>
          <w:lang w:val="fr-FR"/>
        </w:rPr>
        <w:t>adopter d</w:t>
      </w:r>
      <w:r>
        <w:rPr>
          <w:lang w:val="fr-FR"/>
        </w:rPr>
        <w:t>’</w:t>
      </w:r>
      <w:r w:rsidRPr="008A5A99">
        <w:rPr>
          <w:lang w:val="fr-FR"/>
        </w:rPr>
        <w:t>autres mesures d</w:t>
      </w:r>
      <w:r>
        <w:rPr>
          <w:lang w:val="fr-FR"/>
        </w:rPr>
        <w:t>’</w:t>
      </w:r>
      <w:r w:rsidRPr="008A5A99">
        <w:rPr>
          <w:lang w:val="fr-FR"/>
        </w:rPr>
        <w:t xml:space="preserve">ordre législatif, </w:t>
      </w:r>
      <w:r>
        <w:rPr>
          <w:lang w:val="fr-FR"/>
        </w:rPr>
        <w:t xml:space="preserve">afin de la rendre </w:t>
      </w:r>
      <w:r w:rsidRPr="008A5A99">
        <w:rPr>
          <w:lang w:val="fr-FR"/>
        </w:rPr>
        <w:t>conforme à l</w:t>
      </w:r>
      <w:r>
        <w:rPr>
          <w:lang w:val="fr-FR"/>
        </w:rPr>
        <w:t>’</w:t>
      </w:r>
      <w:r w:rsidRPr="008A5A99">
        <w:rPr>
          <w:lang w:val="fr-FR"/>
        </w:rPr>
        <w:t xml:space="preserve">article premier de la Convention </w:t>
      </w:r>
      <w:r>
        <w:rPr>
          <w:lang w:val="fr-FR"/>
        </w:rPr>
        <w:t>en y incluant</w:t>
      </w:r>
      <w:r w:rsidRPr="008A5A99">
        <w:rPr>
          <w:lang w:val="fr-FR"/>
        </w:rPr>
        <w:t xml:space="preserve"> la responsabilité hiérarchique des supérieurs et une référence explicite à l</w:t>
      </w:r>
      <w:r>
        <w:rPr>
          <w:lang w:val="fr-FR"/>
        </w:rPr>
        <w:t>’</w:t>
      </w:r>
      <w:r w:rsidRPr="008A5A99">
        <w:rPr>
          <w:lang w:val="fr-FR"/>
        </w:rPr>
        <w:t>exclusion de toute circonstance exceptionnelle pour justifier la torture.</w:t>
      </w:r>
      <w:r>
        <w:rPr>
          <w:lang w:val="fr-FR"/>
        </w:rPr>
        <w:t xml:space="preserve"> </w:t>
      </w:r>
      <w:r w:rsidRPr="008A5A99">
        <w:rPr>
          <w:lang w:val="fr-FR"/>
        </w:rPr>
        <w:t>Dans l</w:t>
      </w:r>
      <w:r>
        <w:rPr>
          <w:lang w:val="fr-FR"/>
        </w:rPr>
        <w:t>’</w:t>
      </w:r>
      <w:r w:rsidRPr="008A5A99">
        <w:rPr>
          <w:lang w:val="fr-FR"/>
        </w:rPr>
        <w:t xml:space="preserve">affirmative, </w:t>
      </w:r>
      <w:r w:rsidRPr="008A5A99">
        <w:rPr>
          <w:lang w:val="fr-FR" w:eastAsia="es-ES"/>
        </w:rPr>
        <w:t xml:space="preserve">indiquer si un calendrier a été arrêté pour cette réforme. </w:t>
      </w:r>
    </w:p>
    <w:p w14:paraId="084E6284" w14:textId="77777777" w:rsidR="005A08D7" w:rsidRPr="008A5A99" w:rsidRDefault="005A08D7" w:rsidP="00EF4994">
      <w:pPr>
        <w:pStyle w:val="H23G"/>
        <w:rPr>
          <w:lang w:val="fr-FR"/>
        </w:rPr>
      </w:pPr>
      <w:r>
        <w:rPr>
          <w:lang w:val="fr-FR"/>
        </w:rPr>
        <w:lastRenderedPageBreak/>
        <w:tab/>
      </w:r>
      <w:r>
        <w:rPr>
          <w:lang w:val="fr-FR"/>
        </w:rPr>
        <w:tab/>
      </w:r>
      <w:r w:rsidRPr="008A5A99">
        <w:rPr>
          <w:lang w:val="fr-FR"/>
        </w:rPr>
        <w:t>Article 2</w:t>
      </w:r>
      <w:r w:rsidRPr="00EF4994">
        <w:rPr>
          <w:rStyle w:val="Appelnotedebasdep"/>
          <w:b w:val="0"/>
          <w:bCs/>
        </w:rPr>
        <w:footnoteReference w:id="6"/>
      </w:r>
      <w:r w:rsidRPr="00EF4994">
        <w:rPr>
          <w:b w:val="0"/>
          <w:bCs/>
          <w:lang w:val="fr-FR"/>
        </w:rPr>
        <w:t> </w:t>
      </w:r>
    </w:p>
    <w:p w14:paraId="42261A14" w14:textId="77777777" w:rsidR="005A08D7" w:rsidRPr="008A5A99" w:rsidRDefault="005A08D7" w:rsidP="00EF4994">
      <w:pPr>
        <w:pStyle w:val="SingleTxtG"/>
        <w:keepNext/>
        <w:rPr>
          <w:lang w:val="fr-FR"/>
        </w:rPr>
      </w:pPr>
      <w:r w:rsidRPr="008A5A99">
        <w:rPr>
          <w:lang w:val="fr-FR"/>
        </w:rPr>
        <w:t>3.</w:t>
      </w:r>
      <w:r w:rsidRPr="008A5A99">
        <w:rPr>
          <w:lang w:val="fr-FR"/>
        </w:rPr>
        <w:tab/>
        <w:t>À la lumière des précédentes observations finales du Comité</w:t>
      </w:r>
      <w:r w:rsidRPr="00C73F82">
        <w:rPr>
          <w:rStyle w:val="Appelnotedebasdep"/>
        </w:rPr>
        <w:footnoteReference w:id="7"/>
      </w:r>
      <w:r w:rsidRPr="008A5A99">
        <w:rPr>
          <w:lang w:val="fr-FR"/>
        </w:rPr>
        <w:t xml:space="preserve"> et des informations fournies par l</w:t>
      </w:r>
      <w:r>
        <w:rPr>
          <w:lang w:val="fr-FR"/>
        </w:rPr>
        <w:t>’</w:t>
      </w:r>
      <w:r w:rsidRPr="008A5A99">
        <w:rPr>
          <w:lang w:val="fr-FR"/>
        </w:rPr>
        <w:t>État partie dans son rapport de suivi</w:t>
      </w:r>
      <w:r w:rsidRPr="00C73F82">
        <w:rPr>
          <w:rStyle w:val="Appelnotedebasdep"/>
        </w:rPr>
        <w:footnoteReference w:id="8"/>
      </w:r>
      <w:r w:rsidRPr="008A5A99">
        <w:rPr>
          <w:lang w:val="fr-FR"/>
        </w:rPr>
        <w:t>, donner des informations sur les mesures prises par l</w:t>
      </w:r>
      <w:r>
        <w:rPr>
          <w:lang w:val="fr-FR"/>
        </w:rPr>
        <w:t>’</w:t>
      </w:r>
      <w:r w:rsidRPr="008A5A99">
        <w:rPr>
          <w:lang w:val="fr-FR"/>
        </w:rPr>
        <w:t>État partie et les procédures mises en place pour que :</w:t>
      </w:r>
    </w:p>
    <w:p w14:paraId="4AC33D9C" w14:textId="630AA0A0" w:rsidR="005A08D7" w:rsidRPr="008A5A99" w:rsidRDefault="005A08D7" w:rsidP="00EF4994">
      <w:pPr>
        <w:pStyle w:val="SingleTxtG"/>
        <w:ind w:firstLine="567"/>
        <w:rPr>
          <w:lang w:val="fr-FR"/>
        </w:rPr>
      </w:pPr>
      <w:r w:rsidRPr="008A5A99">
        <w:rPr>
          <w:lang w:val="fr-FR"/>
        </w:rPr>
        <w:t>a)</w:t>
      </w:r>
      <w:r w:rsidRPr="008A5A99">
        <w:rPr>
          <w:lang w:val="fr-FR"/>
        </w:rPr>
        <w:tab/>
        <w:t>Tou</w:t>
      </w:r>
      <w:r>
        <w:rPr>
          <w:lang w:val="fr-FR"/>
        </w:rPr>
        <w:t>te</w:t>
      </w:r>
      <w:r w:rsidRPr="008A5A99">
        <w:rPr>
          <w:lang w:val="fr-FR"/>
        </w:rPr>
        <w:t xml:space="preserve">s les </w:t>
      </w:r>
      <w:r>
        <w:rPr>
          <w:lang w:val="fr-FR"/>
        </w:rPr>
        <w:t xml:space="preserve">personnes </w:t>
      </w:r>
      <w:r w:rsidRPr="008A5A99">
        <w:rPr>
          <w:lang w:val="fr-FR"/>
        </w:rPr>
        <w:t>détenu</w:t>
      </w:r>
      <w:r>
        <w:rPr>
          <w:lang w:val="fr-FR"/>
        </w:rPr>
        <w:t>e</w:t>
      </w:r>
      <w:r w:rsidRPr="008A5A99">
        <w:rPr>
          <w:lang w:val="fr-FR"/>
        </w:rPr>
        <w:t>s jouissent, en droit et en pratique, de toutes les garanties juridiques dès le début de la privation de liberté, en particulier du droit d</w:t>
      </w:r>
      <w:r>
        <w:rPr>
          <w:lang w:val="fr-FR"/>
        </w:rPr>
        <w:t>’</w:t>
      </w:r>
      <w:r w:rsidRPr="008A5A99">
        <w:rPr>
          <w:lang w:val="fr-FR"/>
        </w:rPr>
        <w:t>accéder à un avocat, d</w:t>
      </w:r>
      <w:r>
        <w:rPr>
          <w:lang w:val="fr-FR"/>
        </w:rPr>
        <w:t>’</w:t>
      </w:r>
      <w:r w:rsidRPr="008A5A99">
        <w:rPr>
          <w:lang w:val="fr-FR"/>
        </w:rPr>
        <w:t>être informé</w:t>
      </w:r>
      <w:r>
        <w:rPr>
          <w:lang w:val="fr-FR"/>
        </w:rPr>
        <w:t>es</w:t>
      </w:r>
      <w:r w:rsidRPr="008A5A99">
        <w:rPr>
          <w:lang w:val="fr-FR"/>
        </w:rPr>
        <w:t xml:space="preserve"> de </w:t>
      </w:r>
      <w:r>
        <w:rPr>
          <w:lang w:val="fr-FR"/>
        </w:rPr>
        <w:t>leurs</w:t>
      </w:r>
      <w:r w:rsidRPr="008A5A99">
        <w:rPr>
          <w:lang w:val="fr-FR"/>
        </w:rPr>
        <w:t xml:space="preserve"> droits et des charges retenues contre </w:t>
      </w:r>
      <w:r>
        <w:rPr>
          <w:lang w:val="fr-FR"/>
        </w:rPr>
        <w:t>elles</w:t>
      </w:r>
      <w:r w:rsidRPr="008A5A99">
        <w:rPr>
          <w:lang w:val="fr-FR"/>
        </w:rPr>
        <w:t>, d</w:t>
      </w:r>
      <w:r>
        <w:rPr>
          <w:lang w:val="fr-FR"/>
        </w:rPr>
        <w:t>’</w:t>
      </w:r>
      <w:r w:rsidRPr="008A5A99">
        <w:rPr>
          <w:lang w:val="fr-FR"/>
        </w:rPr>
        <w:t xml:space="preserve">informer un proche ou toute autre personne de </w:t>
      </w:r>
      <w:r>
        <w:rPr>
          <w:lang w:val="fr-FR"/>
        </w:rPr>
        <w:t>leur</w:t>
      </w:r>
      <w:r w:rsidRPr="008A5A99">
        <w:rPr>
          <w:lang w:val="fr-FR"/>
        </w:rPr>
        <w:t xml:space="preserve"> choix de </w:t>
      </w:r>
      <w:r>
        <w:rPr>
          <w:lang w:val="fr-FR"/>
        </w:rPr>
        <w:t>leur</w:t>
      </w:r>
      <w:r w:rsidRPr="008A5A99">
        <w:rPr>
          <w:lang w:val="fr-FR"/>
        </w:rPr>
        <w:t xml:space="preserve"> arrestation</w:t>
      </w:r>
      <w:r>
        <w:rPr>
          <w:lang w:val="fr-FR"/>
        </w:rPr>
        <w:t>,</w:t>
      </w:r>
      <w:r w:rsidRPr="008A5A99">
        <w:rPr>
          <w:lang w:val="fr-FR"/>
        </w:rPr>
        <w:t xml:space="preserve"> de demander à être examiné</w:t>
      </w:r>
      <w:r>
        <w:rPr>
          <w:lang w:val="fr-FR"/>
        </w:rPr>
        <w:t>es</w:t>
      </w:r>
      <w:r w:rsidRPr="008A5A99">
        <w:rPr>
          <w:lang w:val="fr-FR"/>
        </w:rPr>
        <w:t xml:space="preserve"> par un médecin indépendant de </w:t>
      </w:r>
      <w:r>
        <w:rPr>
          <w:lang w:val="fr-FR"/>
        </w:rPr>
        <w:t>leur</w:t>
      </w:r>
      <w:r w:rsidRPr="008A5A99">
        <w:rPr>
          <w:lang w:val="fr-FR"/>
        </w:rPr>
        <w:t xml:space="preserve"> choix et de faire l</w:t>
      </w:r>
      <w:r>
        <w:rPr>
          <w:lang w:val="fr-FR"/>
        </w:rPr>
        <w:t>’</w:t>
      </w:r>
      <w:r w:rsidRPr="008A5A99">
        <w:rPr>
          <w:lang w:val="fr-FR"/>
        </w:rPr>
        <w:t>objet d</w:t>
      </w:r>
      <w:r>
        <w:rPr>
          <w:lang w:val="fr-FR"/>
        </w:rPr>
        <w:t>’</w:t>
      </w:r>
      <w:r w:rsidRPr="008A5A99">
        <w:rPr>
          <w:lang w:val="fr-FR"/>
        </w:rPr>
        <w:t>un tel examen</w:t>
      </w:r>
      <w:r>
        <w:rPr>
          <w:lang w:val="fr-FR"/>
        </w:rPr>
        <w:t>,</w:t>
      </w:r>
      <w:r w:rsidRPr="008A5A99">
        <w:rPr>
          <w:lang w:val="fr-FR"/>
        </w:rPr>
        <w:t xml:space="preserve"> et d</w:t>
      </w:r>
      <w:r>
        <w:rPr>
          <w:lang w:val="fr-FR"/>
        </w:rPr>
        <w:t>’</w:t>
      </w:r>
      <w:r w:rsidRPr="008A5A99">
        <w:rPr>
          <w:lang w:val="fr-FR"/>
        </w:rPr>
        <w:t>être présenté</w:t>
      </w:r>
      <w:r>
        <w:rPr>
          <w:lang w:val="fr-FR"/>
        </w:rPr>
        <w:t>es</w:t>
      </w:r>
      <w:r w:rsidRPr="008A5A99">
        <w:rPr>
          <w:lang w:val="fr-FR"/>
        </w:rPr>
        <w:t xml:space="preserve"> rapidement à un juge, quel que soit le motif de </w:t>
      </w:r>
      <w:r>
        <w:rPr>
          <w:lang w:val="fr-FR"/>
        </w:rPr>
        <w:t>leur</w:t>
      </w:r>
      <w:r w:rsidRPr="008A5A99">
        <w:rPr>
          <w:lang w:val="fr-FR"/>
        </w:rPr>
        <w:t xml:space="preserve"> arrestation ;</w:t>
      </w:r>
    </w:p>
    <w:p w14:paraId="3F1F57BF" w14:textId="29C105CC" w:rsidR="005A08D7" w:rsidRPr="008A5A99" w:rsidRDefault="005A08D7" w:rsidP="00EF4994">
      <w:pPr>
        <w:pStyle w:val="SingleTxtG"/>
        <w:ind w:firstLine="567"/>
        <w:rPr>
          <w:lang w:val="fr-FR"/>
        </w:rPr>
      </w:pPr>
      <w:r w:rsidRPr="008A5A99">
        <w:rPr>
          <w:lang w:val="fr-FR"/>
        </w:rPr>
        <w:t>b)</w:t>
      </w:r>
      <w:r w:rsidRPr="008A5A99">
        <w:rPr>
          <w:lang w:val="fr-FR"/>
        </w:rPr>
        <w:tab/>
        <w:t>Les registres soient scrupuleusement tenus à jour ;</w:t>
      </w:r>
    </w:p>
    <w:p w14:paraId="30761E91" w14:textId="6D083D9F" w:rsidR="005A08D7" w:rsidRPr="008A5A99" w:rsidRDefault="005A08D7" w:rsidP="00EF4994">
      <w:pPr>
        <w:pStyle w:val="SingleTxtG"/>
        <w:ind w:firstLine="567"/>
        <w:rPr>
          <w:lang w:val="fr-FR"/>
        </w:rPr>
      </w:pPr>
      <w:r w:rsidRPr="008A5A99">
        <w:rPr>
          <w:lang w:val="fr-FR"/>
        </w:rPr>
        <w:t>c)</w:t>
      </w:r>
      <w:r w:rsidRPr="008A5A99">
        <w:rPr>
          <w:lang w:val="fr-FR"/>
        </w:rPr>
        <w:tab/>
        <w:t>La durée de garde à vue n</w:t>
      </w:r>
      <w:r>
        <w:rPr>
          <w:lang w:val="fr-FR"/>
        </w:rPr>
        <w:t>’</w:t>
      </w:r>
      <w:r w:rsidRPr="008A5A99">
        <w:rPr>
          <w:lang w:val="fr-FR"/>
        </w:rPr>
        <w:t>excède jamais quarante-huit heures, durée maximale prévue par la loi, indépendamment du motif et dans toutes les juridictions ;</w:t>
      </w:r>
    </w:p>
    <w:p w14:paraId="3E7F74E5" w14:textId="7030E6C8" w:rsidR="005A08D7" w:rsidRPr="008A5A99" w:rsidRDefault="005A08D7" w:rsidP="00EF4994">
      <w:pPr>
        <w:pStyle w:val="SingleTxtG"/>
        <w:ind w:firstLine="567"/>
        <w:rPr>
          <w:lang w:val="fr-FR"/>
        </w:rPr>
      </w:pPr>
      <w:r w:rsidRPr="008A5A99">
        <w:rPr>
          <w:lang w:val="fr-FR"/>
        </w:rPr>
        <w:t>d)</w:t>
      </w:r>
      <w:r w:rsidRPr="008A5A99">
        <w:rPr>
          <w:lang w:val="fr-FR"/>
        </w:rPr>
        <w:tab/>
        <w:t>Les personnes détenues aient le droit de contester leur détention devant un juge ou de se prévaloir d</w:t>
      </w:r>
      <w:r>
        <w:rPr>
          <w:lang w:val="fr-FR"/>
        </w:rPr>
        <w:t>’</w:t>
      </w:r>
      <w:r w:rsidRPr="008A5A99">
        <w:rPr>
          <w:lang w:val="fr-FR"/>
        </w:rPr>
        <w:t xml:space="preserve">une autre procédure </w:t>
      </w:r>
      <w:r w:rsidRPr="008A310C">
        <w:rPr>
          <w:iCs/>
          <w:lang w:val="fr-FR"/>
        </w:rPr>
        <w:t>d</w:t>
      </w:r>
      <w:r>
        <w:rPr>
          <w:iCs/>
          <w:lang w:val="fr-FR"/>
        </w:rPr>
        <w:t>’</w:t>
      </w:r>
      <w:r w:rsidRPr="008A5A99">
        <w:rPr>
          <w:i/>
          <w:iCs/>
          <w:lang w:val="fr-FR"/>
        </w:rPr>
        <w:t>habeas corpus </w:t>
      </w:r>
      <w:r w:rsidRPr="008A5A99">
        <w:rPr>
          <w:lang w:val="fr-FR"/>
        </w:rPr>
        <w:t>;</w:t>
      </w:r>
    </w:p>
    <w:p w14:paraId="3AB45553" w14:textId="1F1287C3" w:rsidR="005A08D7" w:rsidRPr="008A5A99" w:rsidRDefault="005A08D7" w:rsidP="00EF4994">
      <w:pPr>
        <w:pStyle w:val="SingleTxtG"/>
        <w:ind w:firstLine="567"/>
        <w:rPr>
          <w:lang w:val="fr-FR"/>
        </w:rPr>
      </w:pPr>
      <w:r w:rsidRPr="008A5A99">
        <w:rPr>
          <w:lang w:val="fr-FR"/>
        </w:rPr>
        <w:t>e)</w:t>
      </w:r>
      <w:r w:rsidRPr="008A5A99">
        <w:rPr>
          <w:lang w:val="fr-FR"/>
        </w:rPr>
        <w:tab/>
        <w:t>Les personnes détenues privées de l</w:t>
      </w:r>
      <w:r>
        <w:rPr>
          <w:lang w:val="fr-FR"/>
        </w:rPr>
        <w:t>’</w:t>
      </w:r>
      <w:r w:rsidRPr="008A5A99">
        <w:rPr>
          <w:lang w:val="fr-FR"/>
        </w:rPr>
        <w:t>exercice des garanties juridiques fondamentales aient accès à une procédure de plainte, et que les agents de l</w:t>
      </w:r>
      <w:r>
        <w:rPr>
          <w:lang w:val="fr-FR"/>
        </w:rPr>
        <w:t>’</w:t>
      </w:r>
      <w:r w:rsidRPr="008A5A99">
        <w:rPr>
          <w:lang w:val="fr-FR"/>
        </w:rPr>
        <w:t xml:space="preserve">État qui ne respectent pas les garanties juridiques fondamentales auxquelles ont droit les personnes privées de liberté soient sanctionnés en conséquence. Fournir des données statistiques à ce sujet. </w:t>
      </w:r>
    </w:p>
    <w:p w14:paraId="333A2CB7" w14:textId="7E64B22A" w:rsidR="005A08D7" w:rsidRPr="008A5A99" w:rsidRDefault="005A08D7" w:rsidP="00EF4994">
      <w:pPr>
        <w:pStyle w:val="SingleTxtG"/>
      </w:pPr>
      <w:r w:rsidRPr="008A5A99">
        <w:rPr>
          <w:lang w:val="fr-FR" w:eastAsia="es-ES"/>
        </w:rPr>
        <w:t>4.</w:t>
      </w:r>
      <w:r w:rsidRPr="008A5A99">
        <w:rPr>
          <w:lang w:val="fr-FR" w:eastAsia="es-ES"/>
        </w:rPr>
        <w:tab/>
      </w:r>
      <w:r>
        <w:rPr>
          <w:lang w:val="fr-FR"/>
        </w:rPr>
        <w:t>Par suite de</w:t>
      </w:r>
      <w:r w:rsidRPr="008A5A99">
        <w:rPr>
          <w:lang w:val="fr-FR"/>
        </w:rPr>
        <w:t xml:space="preserve"> l</w:t>
      </w:r>
      <w:r>
        <w:rPr>
          <w:lang w:val="fr-FR"/>
        </w:rPr>
        <w:t>’</w:t>
      </w:r>
      <w:r w:rsidRPr="008A5A99">
        <w:rPr>
          <w:lang w:val="fr-FR"/>
        </w:rPr>
        <w:t xml:space="preserve">état de siège décrété par le Président de la République le </w:t>
      </w:r>
      <w:r w:rsidR="00D64B96" w:rsidRPr="008A5A99">
        <w:rPr>
          <w:lang w:val="fr-FR"/>
        </w:rPr>
        <w:t>30</w:t>
      </w:r>
      <w:r w:rsidR="00D64B96">
        <w:rPr>
          <w:lang w:val="fr-FR"/>
        </w:rPr>
        <w:t> </w:t>
      </w:r>
      <w:r w:rsidRPr="008A5A99">
        <w:rPr>
          <w:lang w:val="fr-FR"/>
        </w:rPr>
        <w:t>avril 2021 dans les provinces du Nord-Kivu et de l</w:t>
      </w:r>
      <w:r>
        <w:rPr>
          <w:lang w:val="fr-FR"/>
        </w:rPr>
        <w:t>’</w:t>
      </w:r>
      <w:r w:rsidRPr="008A5A99">
        <w:rPr>
          <w:lang w:val="fr-FR"/>
        </w:rPr>
        <w:t>Ituri</w:t>
      </w:r>
      <w:r>
        <w:rPr>
          <w:lang w:val="fr-FR"/>
        </w:rPr>
        <w:t>,</w:t>
      </w:r>
      <w:r w:rsidRPr="008A5A99">
        <w:rPr>
          <w:lang w:val="fr-FR"/>
        </w:rPr>
        <w:t xml:space="preserve"> et </w:t>
      </w:r>
      <w:r>
        <w:rPr>
          <w:lang w:val="fr-FR"/>
        </w:rPr>
        <w:t xml:space="preserve">de </w:t>
      </w:r>
      <w:r w:rsidRPr="008A5A99">
        <w:rPr>
          <w:lang w:val="fr-FR"/>
        </w:rPr>
        <w:t>l</w:t>
      </w:r>
      <w:r>
        <w:rPr>
          <w:lang w:val="fr-FR"/>
        </w:rPr>
        <w:t>’</w:t>
      </w:r>
      <w:r w:rsidRPr="008A5A99">
        <w:rPr>
          <w:lang w:val="fr-FR"/>
        </w:rPr>
        <w:t>impact qu</w:t>
      </w:r>
      <w:r>
        <w:rPr>
          <w:lang w:val="fr-FR"/>
        </w:rPr>
        <w:t>’</w:t>
      </w:r>
      <w:r w:rsidRPr="008A5A99">
        <w:rPr>
          <w:lang w:val="fr-FR"/>
        </w:rPr>
        <w:t>il a eu sur l</w:t>
      </w:r>
      <w:r>
        <w:rPr>
          <w:lang w:val="fr-FR"/>
        </w:rPr>
        <w:t>’</w:t>
      </w:r>
      <w:r w:rsidRPr="008A5A99">
        <w:rPr>
          <w:lang w:val="fr-FR"/>
        </w:rPr>
        <w:t xml:space="preserve">administration de la justice à partir du </w:t>
      </w:r>
      <w:r w:rsidR="00D64B96" w:rsidRPr="008A5A99">
        <w:rPr>
          <w:lang w:val="fr-FR"/>
        </w:rPr>
        <w:t>6</w:t>
      </w:r>
      <w:r w:rsidR="00D64B96">
        <w:rPr>
          <w:lang w:val="fr-FR"/>
        </w:rPr>
        <w:t> </w:t>
      </w:r>
      <w:r w:rsidRPr="008A5A99">
        <w:rPr>
          <w:lang w:val="fr-FR"/>
        </w:rPr>
        <w:t xml:space="preserve">mai 2021, donner des renseignements sur les affaires pénales </w:t>
      </w:r>
      <w:r>
        <w:rPr>
          <w:lang w:val="fr-FR"/>
        </w:rPr>
        <w:t>traitées au sein</w:t>
      </w:r>
      <w:r w:rsidRPr="008A5A99">
        <w:rPr>
          <w:lang w:val="fr-FR"/>
        </w:rPr>
        <w:t xml:space="preserve"> du système de justice militaire</w:t>
      </w:r>
      <w:r>
        <w:rPr>
          <w:lang w:val="fr-FR"/>
        </w:rPr>
        <w:t>,</w:t>
      </w:r>
      <w:r w:rsidRPr="008A5A99">
        <w:rPr>
          <w:lang w:val="fr-FR"/>
        </w:rPr>
        <w:t xml:space="preserve"> qui a pris le relais des juridictions civiles dans le cadre des procédures pénales. </w:t>
      </w:r>
      <w:r>
        <w:rPr>
          <w:lang w:val="fr-FR"/>
        </w:rPr>
        <w:t>Préciser</w:t>
      </w:r>
      <w:r w:rsidRPr="008A5A99">
        <w:rPr>
          <w:lang w:val="fr-FR"/>
        </w:rPr>
        <w:t xml:space="preserve"> si ces affaires concernent des civils ou </w:t>
      </w:r>
      <w:r>
        <w:rPr>
          <w:lang w:val="fr-FR"/>
        </w:rPr>
        <w:t xml:space="preserve">des </w:t>
      </w:r>
      <w:r w:rsidRPr="008A5A99">
        <w:rPr>
          <w:lang w:val="fr-FR"/>
        </w:rPr>
        <w:t xml:space="preserve">crimes commis par des militaires contre des civils. </w:t>
      </w:r>
      <w:r>
        <w:rPr>
          <w:lang w:val="fr-FR"/>
        </w:rPr>
        <w:t>Exposer</w:t>
      </w:r>
      <w:r w:rsidRPr="008A5A99">
        <w:rPr>
          <w:lang w:val="fr-FR"/>
        </w:rPr>
        <w:t xml:space="preserve"> les garanties fondamentales fournies aux personnes poursuivies ainsi que les droits des victimes garantis dans </w:t>
      </w:r>
      <w:r>
        <w:rPr>
          <w:lang w:val="fr-FR"/>
        </w:rPr>
        <w:t>le</w:t>
      </w:r>
      <w:r w:rsidRPr="008A5A99">
        <w:rPr>
          <w:lang w:val="fr-FR"/>
        </w:rPr>
        <w:t xml:space="preserve"> cadre des procédures pénales</w:t>
      </w:r>
      <w:r w:rsidRPr="00C73F82">
        <w:rPr>
          <w:rStyle w:val="Appelnotedebasdep"/>
        </w:rPr>
        <w:footnoteReference w:id="9"/>
      </w:r>
      <w:r w:rsidRPr="008A5A99">
        <w:t xml:space="preserve">. </w:t>
      </w:r>
    </w:p>
    <w:p w14:paraId="59D240F8" w14:textId="77777777" w:rsidR="005A08D7" w:rsidRPr="008A5A99" w:rsidRDefault="005A08D7" w:rsidP="00EF4994">
      <w:pPr>
        <w:pStyle w:val="SingleTxtG"/>
        <w:rPr>
          <w:lang w:val="fr-FR"/>
        </w:rPr>
      </w:pPr>
      <w:r w:rsidRPr="008A5A99">
        <w:rPr>
          <w:lang w:val="fr-FR"/>
        </w:rPr>
        <w:t>5.</w:t>
      </w:r>
      <w:r w:rsidRPr="008A5A99">
        <w:rPr>
          <w:lang w:val="fr-FR"/>
        </w:rPr>
        <w:tab/>
        <w:t>À la lumière des précédentes observations finales du Comité</w:t>
      </w:r>
      <w:r w:rsidRPr="00C73F82">
        <w:rPr>
          <w:rStyle w:val="Appelnotedebasdep"/>
        </w:rPr>
        <w:footnoteReference w:id="10"/>
      </w:r>
      <w:r w:rsidRPr="008A5A99">
        <w:rPr>
          <w:lang w:val="fr-FR"/>
        </w:rPr>
        <w:t xml:space="preserve"> et</w:t>
      </w:r>
      <w:r>
        <w:rPr>
          <w:lang w:val="fr-FR"/>
        </w:rPr>
        <w:t xml:space="preserve"> </w:t>
      </w:r>
      <w:r w:rsidRPr="008A5A99">
        <w:rPr>
          <w:lang w:val="fr-FR"/>
        </w:rPr>
        <w:t>des informations fournies par l</w:t>
      </w:r>
      <w:r>
        <w:rPr>
          <w:lang w:val="fr-FR"/>
        </w:rPr>
        <w:t>’</w:t>
      </w:r>
      <w:r w:rsidRPr="008A5A99">
        <w:rPr>
          <w:lang w:val="fr-FR"/>
        </w:rPr>
        <w:t>État partie dans son rapport de suivi</w:t>
      </w:r>
      <w:r w:rsidRPr="00C73F82">
        <w:rPr>
          <w:rStyle w:val="Appelnotedebasdep"/>
        </w:rPr>
        <w:footnoteReference w:id="11"/>
      </w:r>
      <w:r w:rsidRPr="008A5A99">
        <w:rPr>
          <w:lang w:val="fr-FR"/>
        </w:rPr>
        <w:t>, fournir des détail</w:t>
      </w:r>
      <w:r>
        <w:rPr>
          <w:lang w:val="fr-FR"/>
        </w:rPr>
        <w:t>s</w:t>
      </w:r>
      <w:r w:rsidRPr="008A5A99">
        <w:rPr>
          <w:lang w:val="fr-FR"/>
        </w:rPr>
        <w:t xml:space="preserve"> sur les mesures prises ou envisagées pour mettre en place le mécanisme national de prévention de la torture au sein de l</w:t>
      </w:r>
      <w:r>
        <w:rPr>
          <w:lang w:val="fr-FR"/>
        </w:rPr>
        <w:t>’</w:t>
      </w:r>
      <w:r w:rsidRPr="008A5A99">
        <w:rPr>
          <w:lang w:val="fr-FR"/>
        </w:rPr>
        <w:t>actuelle Commission nationale des droits de l</w:t>
      </w:r>
      <w:r>
        <w:rPr>
          <w:lang w:val="fr-FR"/>
        </w:rPr>
        <w:t>’</w:t>
      </w:r>
      <w:r w:rsidRPr="008A5A99">
        <w:rPr>
          <w:lang w:val="fr-FR"/>
        </w:rPr>
        <w:t>homme</w:t>
      </w:r>
      <w:r>
        <w:rPr>
          <w:lang w:val="fr-FR"/>
        </w:rPr>
        <w:t>,</w:t>
      </w:r>
      <w:r w:rsidRPr="008A5A99">
        <w:rPr>
          <w:lang w:val="fr-FR"/>
        </w:rPr>
        <w:t xml:space="preserve"> et donner des précisions sur sa base législative, </w:t>
      </w:r>
      <w:r>
        <w:rPr>
          <w:lang w:val="fr-FR"/>
        </w:rPr>
        <w:t>les</w:t>
      </w:r>
      <w:r w:rsidRPr="008A5A99">
        <w:rPr>
          <w:lang w:val="fr-FR"/>
        </w:rPr>
        <w:t xml:space="preserve"> ressources humaines et financières </w:t>
      </w:r>
      <w:r>
        <w:rPr>
          <w:lang w:val="fr-FR"/>
        </w:rPr>
        <w:t xml:space="preserve">qui y sont </w:t>
      </w:r>
      <w:r w:rsidRPr="008A5A99">
        <w:rPr>
          <w:lang w:val="fr-FR"/>
        </w:rPr>
        <w:t xml:space="preserve">allouées, y compris </w:t>
      </w:r>
      <w:r>
        <w:rPr>
          <w:lang w:val="fr-FR"/>
        </w:rPr>
        <w:t>un</w:t>
      </w:r>
      <w:r w:rsidRPr="008A5A99">
        <w:rPr>
          <w:lang w:val="fr-FR"/>
        </w:rPr>
        <w:t xml:space="preserve"> </w:t>
      </w:r>
      <w:r w:rsidRPr="008A5A99">
        <w:rPr>
          <w:bCs/>
          <w:lang w:val="fr-FR"/>
        </w:rPr>
        <w:t>budget distinct et suffisant pour</w:t>
      </w:r>
      <w:r w:rsidRPr="008A5A99">
        <w:rPr>
          <w:lang w:val="fr-FR"/>
        </w:rPr>
        <w:t xml:space="preserve"> </w:t>
      </w:r>
      <w:r>
        <w:rPr>
          <w:lang w:val="fr-FR"/>
        </w:rPr>
        <w:t xml:space="preserve">qu’elle </w:t>
      </w:r>
      <w:r w:rsidRPr="008A5A99">
        <w:rPr>
          <w:lang w:val="fr-FR"/>
        </w:rPr>
        <w:t>s</w:t>
      </w:r>
      <w:r>
        <w:rPr>
          <w:lang w:val="fr-FR"/>
        </w:rPr>
        <w:t>’</w:t>
      </w:r>
      <w:r w:rsidRPr="008A5A99">
        <w:rPr>
          <w:lang w:val="fr-FR"/>
        </w:rPr>
        <w:t xml:space="preserve">acquitte efficacement de son mandat, et </w:t>
      </w:r>
      <w:r>
        <w:rPr>
          <w:lang w:val="fr-FR"/>
        </w:rPr>
        <w:t>présenter les</w:t>
      </w:r>
      <w:r w:rsidRPr="008A5A99">
        <w:rPr>
          <w:lang w:val="fr-FR"/>
        </w:rPr>
        <w:t xml:space="preserve"> garanties d</w:t>
      </w:r>
      <w:r>
        <w:rPr>
          <w:lang w:val="fr-FR"/>
        </w:rPr>
        <w:t>’</w:t>
      </w:r>
      <w:r w:rsidRPr="008A5A99">
        <w:rPr>
          <w:lang w:val="fr-FR"/>
        </w:rPr>
        <w:t>indépendance institutionnelle qui lui sont accordées conformément aux directives du Sous-Comité pour la prévention de la torture et autres peines ou traitements cruels, inhumains ou dégradants</w:t>
      </w:r>
      <w:r w:rsidRPr="00C73F82">
        <w:rPr>
          <w:rStyle w:val="Appelnotedebasdep"/>
        </w:rPr>
        <w:footnoteReference w:id="12"/>
      </w:r>
      <w:r w:rsidRPr="008A5A99">
        <w:t>.</w:t>
      </w:r>
      <w:r w:rsidRPr="008A5A99">
        <w:rPr>
          <w:lang w:val="fr-FR"/>
        </w:rPr>
        <w:t xml:space="preserve"> </w:t>
      </w:r>
      <w:r>
        <w:rPr>
          <w:lang w:val="fr-FR" w:eastAsia="es-ES"/>
        </w:rPr>
        <w:t>I</w:t>
      </w:r>
      <w:r w:rsidRPr="008A5A99">
        <w:rPr>
          <w:lang w:val="fr-FR" w:eastAsia="es-ES"/>
        </w:rPr>
        <w:t xml:space="preserve">ndiquer si un calendrier a été arrêté à cet égard. </w:t>
      </w:r>
      <w:r>
        <w:rPr>
          <w:lang w:val="fr-FR"/>
        </w:rPr>
        <w:t>Préciser</w:t>
      </w:r>
      <w:r w:rsidRPr="008A5A99">
        <w:rPr>
          <w:lang w:val="fr-FR"/>
        </w:rPr>
        <w:t xml:space="preserve"> si le mécanisme national de prévention de la torture envisage de mener des visites inopinées </w:t>
      </w:r>
      <w:r w:rsidRPr="008A5A99">
        <w:rPr>
          <w:lang w:val="fr-FR"/>
        </w:rPr>
        <w:lastRenderedPageBreak/>
        <w:t xml:space="preserve">dans tous les lieux de privation de liberté, y compris </w:t>
      </w:r>
      <w:r w:rsidRPr="008A5A99">
        <w:rPr>
          <w:lang w:val="fr-SN"/>
        </w:rPr>
        <w:t>dans des cachots de la police, de la gendarmerie et de l</w:t>
      </w:r>
      <w:r>
        <w:rPr>
          <w:lang w:val="fr-SN"/>
        </w:rPr>
        <w:t>’</w:t>
      </w:r>
      <w:r w:rsidRPr="008A5A99">
        <w:rPr>
          <w:lang w:val="fr-SN"/>
        </w:rPr>
        <w:t>armée</w:t>
      </w:r>
      <w:r>
        <w:rPr>
          <w:lang w:val="fr-SN"/>
        </w:rPr>
        <w:t>,</w:t>
      </w:r>
      <w:r w:rsidRPr="008A5A99">
        <w:rPr>
          <w:lang w:val="fr-FR"/>
        </w:rPr>
        <w:t xml:space="preserve"> et si les organisations de la société civile seront autorisées à effectuer des visites répétées et inopinées dans tous les lieux de privation de liberté</w:t>
      </w:r>
      <w:r w:rsidRPr="00C73F82">
        <w:rPr>
          <w:rStyle w:val="Appelnotedebasdep"/>
        </w:rPr>
        <w:footnoteReference w:id="13"/>
      </w:r>
      <w:r>
        <w:rPr>
          <w:lang w:val="fr-FR"/>
        </w:rPr>
        <w:t>.</w:t>
      </w:r>
    </w:p>
    <w:p w14:paraId="721357C9" w14:textId="77777777" w:rsidR="005A08D7" w:rsidRPr="00A26A2E" w:rsidRDefault="005A08D7" w:rsidP="00EF4994">
      <w:pPr>
        <w:pStyle w:val="SingleTxtG"/>
        <w:rPr>
          <w:lang w:val="fr-FR"/>
        </w:rPr>
      </w:pPr>
      <w:r w:rsidRPr="008A5A99">
        <w:rPr>
          <w:lang w:val="fr-FR"/>
        </w:rPr>
        <w:t>6.</w:t>
      </w:r>
      <w:r w:rsidRPr="008A5A99">
        <w:rPr>
          <w:lang w:val="fr-FR"/>
        </w:rPr>
        <w:tab/>
        <w:t>Donner des renseignements à jour sur les mesures d</w:t>
      </w:r>
      <w:r>
        <w:rPr>
          <w:lang w:val="fr-FR"/>
        </w:rPr>
        <w:t>’</w:t>
      </w:r>
      <w:r w:rsidRPr="008A5A99">
        <w:rPr>
          <w:lang w:val="fr-FR"/>
        </w:rPr>
        <w:t>ordre législatif ou autre prises pendant la période considérée pour lutter contre toutes les formes de violence à l</w:t>
      </w:r>
      <w:r>
        <w:rPr>
          <w:lang w:val="fr-FR"/>
        </w:rPr>
        <w:t>’</w:t>
      </w:r>
      <w:r w:rsidRPr="008A5A99">
        <w:rPr>
          <w:lang w:val="fr-FR"/>
        </w:rPr>
        <w:t>égard des femmes, en particulier dans les cas où les pouvoirs publics ou d</w:t>
      </w:r>
      <w:r>
        <w:rPr>
          <w:lang w:val="fr-FR"/>
        </w:rPr>
        <w:t>’</w:t>
      </w:r>
      <w:r w:rsidRPr="008A5A99">
        <w:rPr>
          <w:lang w:val="fr-FR"/>
        </w:rPr>
        <w:t>autres entités auraient commis des actes ou des omissions qui engagent la responsabilité internationale de l</w:t>
      </w:r>
      <w:r>
        <w:rPr>
          <w:lang w:val="fr-FR"/>
        </w:rPr>
        <w:t>’</w:t>
      </w:r>
      <w:r w:rsidRPr="008A5A99">
        <w:rPr>
          <w:lang w:val="fr-FR"/>
        </w:rPr>
        <w:t>État partie au titre de la Convention. Donner aussi des renseignements à jour sur les services de protection et de soutien offerts aux victimes de violence fondée sur le genre dans l</w:t>
      </w:r>
      <w:r>
        <w:rPr>
          <w:lang w:val="fr-FR"/>
        </w:rPr>
        <w:t>’</w:t>
      </w:r>
      <w:r w:rsidRPr="008A5A99">
        <w:rPr>
          <w:lang w:val="fr-FR"/>
        </w:rPr>
        <w:t>État partie. Fournir des données statistiques, ventilées par âge</w:t>
      </w:r>
      <w:r>
        <w:rPr>
          <w:lang w:val="fr-FR"/>
        </w:rPr>
        <w:t xml:space="preserve"> et</w:t>
      </w:r>
      <w:r w:rsidRPr="008A5A99">
        <w:rPr>
          <w:lang w:val="fr-FR"/>
        </w:rPr>
        <w:t xml:space="preserve"> origine ethnique ou nationalité de la victime, sur le nombre de plaintes déposées, d</w:t>
      </w:r>
      <w:r>
        <w:rPr>
          <w:lang w:val="fr-FR"/>
        </w:rPr>
        <w:t>’</w:t>
      </w:r>
      <w:r w:rsidRPr="008A5A99">
        <w:rPr>
          <w:lang w:val="fr-FR"/>
        </w:rPr>
        <w:t>enquêtes menées, de poursuites engagées, de déclarations de culpabilité prononcées et de peines imposées dans des affaires de violence fondée sur le genre depuis l</w:t>
      </w:r>
      <w:r>
        <w:rPr>
          <w:lang w:val="fr-FR"/>
        </w:rPr>
        <w:t>’</w:t>
      </w:r>
      <w:r w:rsidRPr="008A5A99">
        <w:rPr>
          <w:lang w:val="fr-FR"/>
        </w:rPr>
        <w:t xml:space="preserve">examen du </w:t>
      </w:r>
      <w:r>
        <w:rPr>
          <w:lang w:val="fr-FR"/>
        </w:rPr>
        <w:t xml:space="preserve">deuxième </w:t>
      </w:r>
      <w:r w:rsidRPr="008A5A99">
        <w:rPr>
          <w:lang w:val="fr-FR"/>
        </w:rPr>
        <w:t>rapport périodique de l</w:t>
      </w:r>
      <w:r>
        <w:rPr>
          <w:lang w:val="fr-FR"/>
        </w:rPr>
        <w:t>’</w:t>
      </w:r>
      <w:r w:rsidRPr="008A5A99">
        <w:rPr>
          <w:lang w:val="fr-FR"/>
        </w:rPr>
        <w:t>État partie</w:t>
      </w:r>
      <w:r w:rsidRPr="00C73F82">
        <w:rPr>
          <w:rStyle w:val="Appelnotedebasdep"/>
        </w:rPr>
        <w:footnoteReference w:id="14"/>
      </w:r>
      <w:r w:rsidRPr="008A5A99">
        <w:rPr>
          <w:lang w:val="fr-FR"/>
        </w:rPr>
        <w:t>.</w:t>
      </w:r>
      <w:r w:rsidRPr="008A5A99">
        <w:rPr>
          <w:bCs/>
          <w:lang w:val="fr-FR" w:eastAsia="fr-FR"/>
        </w:rPr>
        <w:t xml:space="preserve"> </w:t>
      </w:r>
      <w:r>
        <w:rPr>
          <w:bCs/>
          <w:lang w:val="fr-FR" w:eastAsia="fr-FR"/>
        </w:rPr>
        <w:t>F</w:t>
      </w:r>
      <w:r w:rsidRPr="008A5A99">
        <w:rPr>
          <w:bCs/>
          <w:lang w:val="fr-FR" w:eastAsia="fr-FR"/>
        </w:rPr>
        <w:t xml:space="preserve">ournir des renseignements sur les mesures que </w:t>
      </w:r>
      <w:r w:rsidRPr="008A5A99">
        <w:rPr>
          <w:lang w:val="fr-FR"/>
        </w:rPr>
        <w:t>l</w:t>
      </w:r>
      <w:r>
        <w:rPr>
          <w:lang w:val="fr-FR"/>
        </w:rPr>
        <w:t>’</w:t>
      </w:r>
      <w:r w:rsidRPr="008A5A99">
        <w:rPr>
          <w:lang w:val="fr-FR"/>
        </w:rPr>
        <w:t xml:space="preserve">État </w:t>
      </w:r>
      <w:r w:rsidRPr="008A5A99">
        <w:rPr>
          <w:bCs/>
          <w:lang w:val="fr-FR" w:eastAsia="fr-FR"/>
        </w:rPr>
        <w:t xml:space="preserve">partie a prises pour renforcer la prévention des pratiques traditionnelles préjudiciables, notamment les mutilations génitales féminines, </w:t>
      </w:r>
      <w:r w:rsidRPr="008A5A99">
        <w:rPr>
          <w:lang w:val="fr-FR"/>
        </w:rPr>
        <w:t xml:space="preserve">le mariage précoce et forcé et les accusations de sorcellerie, ainsi que </w:t>
      </w:r>
      <w:r>
        <w:rPr>
          <w:lang w:val="fr-FR"/>
        </w:rPr>
        <w:t>les</w:t>
      </w:r>
      <w:r w:rsidRPr="008A5A99">
        <w:rPr>
          <w:lang w:val="fr-FR"/>
        </w:rPr>
        <w:t xml:space="preserve"> mesures </w:t>
      </w:r>
      <w:r>
        <w:rPr>
          <w:lang w:val="fr-FR"/>
        </w:rPr>
        <w:t xml:space="preserve">mises en œuvre </w:t>
      </w:r>
      <w:r w:rsidRPr="008A5A99">
        <w:rPr>
          <w:lang w:val="fr-FR"/>
        </w:rPr>
        <w:t>pour réprimer</w:t>
      </w:r>
      <w:r w:rsidRPr="00A433A5">
        <w:rPr>
          <w:lang w:val="fr-FR"/>
        </w:rPr>
        <w:t xml:space="preserve"> </w:t>
      </w:r>
      <w:r>
        <w:rPr>
          <w:lang w:val="fr-FR"/>
        </w:rPr>
        <w:t>ces pratiques</w:t>
      </w:r>
      <w:r w:rsidRPr="008A5A99">
        <w:rPr>
          <w:lang w:val="fr-FR"/>
        </w:rPr>
        <w:t>. En particulier, donner des renseignements sur les mesures législatives qui ont été adoptées afin d</w:t>
      </w:r>
      <w:r>
        <w:rPr>
          <w:lang w:val="fr-FR"/>
        </w:rPr>
        <w:t>’</w:t>
      </w:r>
      <w:r w:rsidRPr="008A5A99">
        <w:rPr>
          <w:lang w:val="fr-FR"/>
        </w:rPr>
        <w:t xml:space="preserve">incriminer la pratique des mutilations génitales dans tout le territoire, </w:t>
      </w:r>
      <w:r>
        <w:rPr>
          <w:lang w:val="fr-FR"/>
        </w:rPr>
        <w:t xml:space="preserve">par </w:t>
      </w:r>
      <w:r w:rsidRPr="008A5A99">
        <w:rPr>
          <w:lang w:val="fr-FR"/>
        </w:rPr>
        <w:t xml:space="preserve">suite </w:t>
      </w:r>
      <w:r>
        <w:rPr>
          <w:lang w:val="fr-FR"/>
        </w:rPr>
        <w:t>de</w:t>
      </w:r>
      <w:r w:rsidRPr="008A5A99">
        <w:rPr>
          <w:lang w:val="fr-FR"/>
        </w:rPr>
        <w:t xml:space="preserve"> la </w:t>
      </w:r>
      <w:r w:rsidRPr="00A26A2E">
        <w:rPr>
          <w:lang w:val="fr-FR"/>
        </w:rPr>
        <w:t>recommandation du Comité dans ses précédentes observations finales</w:t>
      </w:r>
      <w:r w:rsidRPr="00C73F82">
        <w:rPr>
          <w:rStyle w:val="Appelnotedebasdep"/>
        </w:rPr>
        <w:footnoteReference w:id="15"/>
      </w:r>
      <w:r w:rsidRPr="00A26A2E">
        <w:rPr>
          <w:lang w:val="fr-FR"/>
        </w:rPr>
        <w:t xml:space="preserve">. </w:t>
      </w:r>
    </w:p>
    <w:p w14:paraId="6B1BB739" w14:textId="77777777" w:rsidR="005A08D7" w:rsidRPr="00A26A2E" w:rsidRDefault="005A08D7" w:rsidP="00EF4994">
      <w:pPr>
        <w:pStyle w:val="H23G"/>
        <w:rPr>
          <w:lang w:val="fr-FR"/>
        </w:rPr>
      </w:pPr>
      <w:r w:rsidRPr="00A26A2E">
        <w:rPr>
          <w:lang w:val="fr-FR"/>
        </w:rPr>
        <w:tab/>
      </w:r>
      <w:r w:rsidRPr="00A26A2E">
        <w:rPr>
          <w:lang w:val="fr-FR"/>
        </w:rPr>
        <w:tab/>
        <w:t>Article 3</w:t>
      </w:r>
    </w:p>
    <w:p w14:paraId="2150F3A1" w14:textId="2D8338DF" w:rsidR="005A08D7" w:rsidRPr="008A5A99" w:rsidRDefault="005A08D7" w:rsidP="00EF4994">
      <w:pPr>
        <w:pStyle w:val="SingleTxtG"/>
        <w:rPr>
          <w:lang w:val="fr-FR"/>
        </w:rPr>
      </w:pPr>
      <w:r w:rsidRPr="00A26A2E">
        <w:rPr>
          <w:lang w:val="fr-FR"/>
        </w:rPr>
        <w:t>7.</w:t>
      </w:r>
      <w:r w:rsidRPr="00A26A2E">
        <w:rPr>
          <w:lang w:val="fr-FR"/>
        </w:rPr>
        <w:tab/>
        <w:t xml:space="preserve">Indiquer les mesures </w:t>
      </w:r>
      <w:r w:rsidRPr="008A5A99">
        <w:rPr>
          <w:lang w:val="fr-FR"/>
        </w:rPr>
        <w:t>prises pour garantir que nul ne soit renvoyé dans un pays où il risquerait d</w:t>
      </w:r>
      <w:r>
        <w:rPr>
          <w:lang w:val="fr-FR"/>
        </w:rPr>
        <w:t>’</w:t>
      </w:r>
      <w:r w:rsidRPr="008A5A99">
        <w:rPr>
          <w:lang w:val="fr-FR"/>
        </w:rPr>
        <w:t>être victime de torture. Indiquer la procédure suivie lorsqu</w:t>
      </w:r>
      <w:r>
        <w:rPr>
          <w:lang w:val="fr-FR"/>
        </w:rPr>
        <w:t>’</w:t>
      </w:r>
      <w:r w:rsidRPr="008A5A99">
        <w:rPr>
          <w:lang w:val="fr-FR"/>
        </w:rPr>
        <w:t xml:space="preserve">une personne invoque les droits garantis par </w:t>
      </w:r>
      <w:r w:rsidR="00D64B96" w:rsidRPr="008A5A99">
        <w:rPr>
          <w:lang w:val="fr-FR"/>
        </w:rPr>
        <w:t>l</w:t>
      </w:r>
      <w:r w:rsidR="00D64B96">
        <w:rPr>
          <w:lang w:val="fr-FR"/>
        </w:rPr>
        <w:t>’</w:t>
      </w:r>
      <w:r w:rsidR="00D64B96" w:rsidRPr="008A5A99">
        <w:rPr>
          <w:lang w:val="fr-FR"/>
        </w:rPr>
        <w:t>article</w:t>
      </w:r>
      <w:r w:rsidR="00D64B96">
        <w:rPr>
          <w:lang w:val="fr-FR"/>
        </w:rPr>
        <w:t> </w:t>
      </w:r>
      <w:r w:rsidRPr="008A5A99">
        <w:rPr>
          <w:lang w:val="fr-FR"/>
        </w:rPr>
        <w:t>3 de la Convention. Décrire les mesures qui sont prises pour garantir un accès effectif à la procédure de détermination du statut de réfugié. Présenter les mesures qui ont été prises pour faire en sorte que des garanties procédurales contre le refoulement soient en place et que des recours utiles soient disponibles dans le cadre des procédures de renvoi, notamment l</w:t>
      </w:r>
      <w:r>
        <w:rPr>
          <w:lang w:val="fr-FR"/>
        </w:rPr>
        <w:t>’</w:t>
      </w:r>
      <w:r w:rsidRPr="008A5A99">
        <w:rPr>
          <w:lang w:val="fr-FR"/>
        </w:rPr>
        <w:t>examen par un organe judiciaire indépendant, en particulier en appel. Préciser si les personnes en attente d</w:t>
      </w:r>
      <w:r>
        <w:rPr>
          <w:lang w:val="fr-FR"/>
        </w:rPr>
        <w:t>’</w:t>
      </w:r>
      <w:r w:rsidRPr="008A5A99">
        <w:rPr>
          <w:lang w:val="fr-FR"/>
        </w:rPr>
        <w:t>expulsion, de renvoi ou d</w:t>
      </w:r>
      <w:r>
        <w:rPr>
          <w:lang w:val="fr-FR"/>
        </w:rPr>
        <w:t>’</w:t>
      </w:r>
      <w:r w:rsidRPr="008A5A99">
        <w:rPr>
          <w:lang w:val="fr-FR"/>
        </w:rPr>
        <w:t>extradition sont informées de leur droit de demander l</w:t>
      </w:r>
      <w:r>
        <w:rPr>
          <w:lang w:val="fr-FR"/>
        </w:rPr>
        <w:t>’</w:t>
      </w:r>
      <w:r w:rsidRPr="008A5A99">
        <w:rPr>
          <w:lang w:val="fr-FR"/>
        </w:rPr>
        <w:t>asile et de former un recours contre une décision d</w:t>
      </w:r>
      <w:r>
        <w:rPr>
          <w:lang w:val="fr-FR"/>
        </w:rPr>
        <w:t>’</w:t>
      </w:r>
      <w:r w:rsidRPr="008A5A99">
        <w:rPr>
          <w:lang w:val="fr-FR"/>
        </w:rPr>
        <w:t>expulsion. Si tel est le cas, préciser si un tel recours a un effet suspensif.</w:t>
      </w:r>
    </w:p>
    <w:p w14:paraId="399F2CF3" w14:textId="77777777" w:rsidR="005A08D7" w:rsidRPr="008A5A99" w:rsidRDefault="005A08D7" w:rsidP="00EF4994">
      <w:pPr>
        <w:pStyle w:val="SingleTxtG"/>
        <w:rPr>
          <w:lang w:val="fr-FR"/>
        </w:rPr>
      </w:pPr>
      <w:r w:rsidRPr="008A5A99">
        <w:rPr>
          <w:spacing w:val="-2"/>
          <w:lang w:val="fr-FR"/>
        </w:rPr>
        <w:t>8.</w:t>
      </w:r>
      <w:r w:rsidRPr="008A5A99">
        <w:rPr>
          <w:spacing w:val="-2"/>
          <w:lang w:val="fr-FR"/>
        </w:rPr>
        <w:tab/>
        <w:t>Donner des renseignements à jour sur</w:t>
      </w:r>
      <w:r w:rsidRPr="008A5A99">
        <w:rPr>
          <w:lang w:val="fr-FR"/>
        </w:rPr>
        <w:t xml:space="preserve"> le nombre de demandes d</w:t>
      </w:r>
      <w:r>
        <w:rPr>
          <w:lang w:val="fr-FR"/>
        </w:rPr>
        <w:t>’</w:t>
      </w:r>
      <w:r w:rsidRPr="008A5A99">
        <w:rPr>
          <w:lang w:val="fr-FR"/>
        </w:rPr>
        <w:t>asile reçues au cours de la période considérée</w:t>
      </w:r>
      <w:r w:rsidRPr="008A5A99">
        <w:t>,</w:t>
      </w:r>
      <w:r w:rsidRPr="008A5A99">
        <w:rPr>
          <w:lang w:val="fr-FR"/>
        </w:rPr>
        <w:t xml:space="preserve"> le nombre de demandes auxquelles il a été fait droit et le nombre de personnes dont la demande a été acceptée parce qu</w:t>
      </w:r>
      <w:r>
        <w:rPr>
          <w:lang w:val="fr-FR"/>
        </w:rPr>
        <w:t>’</w:t>
      </w:r>
      <w:r w:rsidRPr="008A5A99">
        <w:rPr>
          <w:lang w:val="fr-FR"/>
        </w:rPr>
        <w:t>elles avaient été torturées ou risquaient de l</w:t>
      </w:r>
      <w:r>
        <w:rPr>
          <w:lang w:val="fr-FR"/>
        </w:rPr>
        <w:t>’</w:t>
      </w:r>
      <w:r w:rsidRPr="008A5A99">
        <w:rPr>
          <w:lang w:val="fr-FR"/>
        </w:rPr>
        <w:t>être en cas de renvoi dans leur pays d</w:t>
      </w:r>
      <w:r>
        <w:rPr>
          <w:lang w:val="fr-FR"/>
        </w:rPr>
        <w:t>’</w:t>
      </w:r>
      <w:r w:rsidRPr="008A5A99">
        <w:rPr>
          <w:lang w:val="fr-FR"/>
        </w:rPr>
        <w:t>origine. Indiquer les mesures prises par l</w:t>
      </w:r>
      <w:r>
        <w:rPr>
          <w:lang w:val="fr-FR"/>
        </w:rPr>
        <w:t>’</w:t>
      </w:r>
      <w:r w:rsidRPr="008A5A99">
        <w:rPr>
          <w:lang w:val="fr-FR"/>
        </w:rPr>
        <w:t>État partie pour résorber l</w:t>
      </w:r>
      <w:r>
        <w:rPr>
          <w:lang w:val="fr-FR"/>
        </w:rPr>
        <w:t>’</w:t>
      </w:r>
      <w:r w:rsidRPr="008A5A99">
        <w:rPr>
          <w:lang w:val="fr-FR"/>
        </w:rPr>
        <w:t>éventuel arriéré de demandes d</w:t>
      </w:r>
      <w:r>
        <w:rPr>
          <w:lang w:val="fr-FR"/>
        </w:rPr>
        <w:t>’</w:t>
      </w:r>
      <w:r w:rsidRPr="008A5A99">
        <w:rPr>
          <w:lang w:val="fr-FR"/>
        </w:rPr>
        <w:t>asile. Donner également des renseignements, ventilés par sexe, âge et pays d</w:t>
      </w:r>
      <w:r>
        <w:rPr>
          <w:lang w:val="fr-FR"/>
        </w:rPr>
        <w:t>’</w:t>
      </w:r>
      <w:r w:rsidRPr="008A5A99">
        <w:rPr>
          <w:lang w:val="fr-FR"/>
        </w:rPr>
        <w:t>origine, sur le nombre de personnes renvoyées, extradées ou expulsées pendant la période considérée, des informations actualisées sur les voies de recours disponibles, et une liste des pays de renvoi. Indiquer également le nombre de renvois, d</w:t>
      </w:r>
      <w:r>
        <w:rPr>
          <w:lang w:val="fr-FR"/>
        </w:rPr>
        <w:t>’</w:t>
      </w:r>
      <w:r w:rsidRPr="008A5A99">
        <w:rPr>
          <w:lang w:val="fr-FR"/>
        </w:rPr>
        <w:t>extraditions et d</w:t>
      </w:r>
      <w:r>
        <w:rPr>
          <w:lang w:val="fr-FR"/>
        </w:rPr>
        <w:t>’</w:t>
      </w:r>
      <w:r w:rsidRPr="008A5A99">
        <w:rPr>
          <w:lang w:val="fr-FR"/>
        </w:rPr>
        <w:t>expulsions auxquels l</w:t>
      </w:r>
      <w:r>
        <w:rPr>
          <w:lang w:val="fr-FR"/>
        </w:rPr>
        <w:t>’</w:t>
      </w:r>
      <w:r w:rsidRPr="008A5A99">
        <w:rPr>
          <w:lang w:val="fr-FR"/>
        </w:rPr>
        <w:t>État partie a procédé pendant la période considérée sur la foi d</w:t>
      </w:r>
      <w:r>
        <w:rPr>
          <w:lang w:val="fr-FR"/>
        </w:rPr>
        <w:t>’</w:t>
      </w:r>
      <w:r w:rsidRPr="008A5A99">
        <w:rPr>
          <w:lang w:val="fr-FR"/>
        </w:rPr>
        <w:t>assurances diplomatiques ou de leur équivalent. Préciser quelles sont les assurances ou garanties minimales exigées et expliquer ce qui a été fait pour contrôler le respect des assurances ou garanties données.</w:t>
      </w:r>
    </w:p>
    <w:p w14:paraId="2A8C285E" w14:textId="77777777" w:rsidR="005A08D7" w:rsidRPr="008A5A99" w:rsidRDefault="005A08D7" w:rsidP="00EF4994">
      <w:pPr>
        <w:pStyle w:val="H23G"/>
        <w:rPr>
          <w:lang w:val="fr-FR"/>
        </w:rPr>
      </w:pPr>
      <w:r w:rsidRPr="008A5A99">
        <w:rPr>
          <w:color w:val="C00000"/>
          <w:lang w:val="fr-FR"/>
        </w:rPr>
        <w:tab/>
      </w:r>
      <w:r w:rsidRPr="008A5A99">
        <w:rPr>
          <w:lang w:val="fr-FR"/>
        </w:rPr>
        <w:tab/>
        <w:t>Articles 5 à 9</w:t>
      </w:r>
    </w:p>
    <w:p w14:paraId="5DF55991" w14:textId="1A4ECEDB" w:rsidR="005A08D7" w:rsidRPr="00A26A2E" w:rsidRDefault="005A08D7" w:rsidP="00EF4994">
      <w:pPr>
        <w:pStyle w:val="SingleTxtG"/>
        <w:rPr>
          <w:lang w:val="fr-FR"/>
        </w:rPr>
      </w:pPr>
      <w:r w:rsidRPr="008A5A99">
        <w:rPr>
          <w:lang w:val="fr-FR"/>
        </w:rPr>
        <w:t>9.</w:t>
      </w:r>
      <w:r w:rsidRPr="008A5A99">
        <w:rPr>
          <w:lang w:val="fr-FR"/>
        </w:rPr>
        <w:tab/>
      </w:r>
      <w:r>
        <w:rPr>
          <w:lang w:val="fr-FR"/>
        </w:rPr>
        <w:t>F</w:t>
      </w:r>
      <w:r w:rsidRPr="008A5A99">
        <w:rPr>
          <w:lang w:val="fr-FR"/>
        </w:rPr>
        <w:t>ournir des renseignements sur toute nouvelle loi ou mesure adoptée pour appliquer l</w:t>
      </w:r>
      <w:r>
        <w:rPr>
          <w:lang w:val="fr-FR"/>
        </w:rPr>
        <w:t>’</w:t>
      </w:r>
      <w:r w:rsidRPr="008A5A99">
        <w:rPr>
          <w:lang w:val="fr-FR"/>
        </w:rPr>
        <w:t xml:space="preserve">article 5 de la Convention. </w:t>
      </w:r>
      <w:r w:rsidRPr="00E026C8">
        <w:t>Donner des informations sur</w:t>
      </w:r>
      <w:r w:rsidRPr="008A5A99">
        <w:rPr>
          <w:lang w:val="fr-FR"/>
        </w:rPr>
        <w:t xml:space="preserve"> tout accord d</w:t>
      </w:r>
      <w:r>
        <w:rPr>
          <w:lang w:val="fr-FR"/>
        </w:rPr>
        <w:t>’</w:t>
      </w:r>
      <w:r w:rsidRPr="008A5A99">
        <w:rPr>
          <w:lang w:val="fr-FR"/>
        </w:rPr>
        <w:t>extradition conclu avec un autre État, depuis l</w:t>
      </w:r>
      <w:r>
        <w:rPr>
          <w:lang w:val="fr-FR"/>
        </w:rPr>
        <w:t>’</w:t>
      </w:r>
      <w:r w:rsidRPr="008A5A99">
        <w:rPr>
          <w:lang w:val="fr-FR"/>
        </w:rPr>
        <w:t xml:space="preserve">examen du </w:t>
      </w:r>
      <w:r>
        <w:rPr>
          <w:lang w:val="fr-FR"/>
        </w:rPr>
        <w:t xml:space="preserve">deuxième </w:t>
      </w:r>
      <w:r w:rsidRPr="008A5A99">
        <w:rPr>
          <w:lang w:val="fr-FR"/>
        </w:rPr>
        <w:t xml:space="preserve">rapport </w:t>
      </w:r>
      <w:r>
        <w:rPr>
          <w:lang w:val="fr-FR"/>
        </w:rPr>
        <w:t>périodique de l’État partie</w:t>
      </w:r>
      <w:r w:rsidRPr="008A5A99">
        <w:rPr>
          <w:lang w:val="fr-FR"/>
        </w:rPr>
        <w:t xml:space="preserve">, et préciser si les infractions mentionnées à </w:t>
      </w:r>
      <w:r w:rsidR="00D64B96" w:rsidRPr="008A5A99">
        <w:rPr>
          <w:lang w:val="fr-FR"/>
        </w:rPr>
        <w:t>l</w:t>
      </w:r>
      <w:r w:rsidR="00D64B96">
        <w:rPr>
          <w:lang w:val="fr-FR"/>
        </w:rPr>
        <w:t>’</w:t>
      </w:r>
      <w:r w:rsidR="00D64B96" w:rsidRPr="008A5A99">
        <w:rPr>
          <w:lang w:val="fr-FR"/>
        </w:rPr>
        <w:t>article</w:t>
      </w:r>
      <w:r w:rsidR="00D64B96">
        <w:rPr>
          <w:lang w:val="fr-FR"/>
        </w:rPr>
        <w:t> </w:t>
      </w:r>
      <w:r w:rsidRPr="008A5A99">
        <w:rPr>
          <w:lang w:val="fr-FR"/>
        </w:rPr>
        <w:t>4 de la Convention figurent parmi les infractions pouvant donner lieu à extradition dans le cadre de ces accords. Indiquer quelles mesures l</w:t>
      </w:r>
      <w:r>
        <w:rPr>
          <w:lang w:val="fr-FR"/>
        </w:rPr>
        <w:t>’</w:t>
      </w:r>
      <w:r w:rsidRPr="008A5A99">
        <w:rPr>
          <w:lang w:val="fr-FR"/>
        </w:rPr>
        <w:t>État partie a prises pour se conformer à son obligation d</w:t>
      </w:r>
      <w:r>
        <w:rPr>
          <w:lang w:val="fr-FR"/>
        </w:rPr>
        <w:t>’</w:t>
      </w:r>
      <w:r w:rsidRPr="008A5A99">
        <w:rPr>
          <w:lang w:val="fr-FR"/>
        </w:rPr>
        <w:t>extrader ou de poursuivre (</w:t>
      </w:r>
      <w:r w:rsidRPr="008A5A99">
        <w:rPr>
          <w:i/>
          <w:iCs/>
          <w:lang w:val="fr-FR"/>
        </w:rPr>
        <w:t>aut dedere aut judicare</w:t>
      </w:r>
      <w:r w:rsidRPr="008A5A99">
        <w:rPr>
          <w:lang w:val="fr-FR"/>
        </w:rPr>
        <w:t>). Préciser si l</w:t>
      </w:r>
      <w:r>
        <w:rPr>
          <w:lang w:val="fr-FR"/>
        </w:rPr>
        <w:t>’</w:t>
      </w:r>
      <w:r w:rsidRPr="008A5A99">
        <w:rPr>
          <w:lang w:val="fr-FR"/>
        </w:rPr>
        <w:t>État partie a conclu des traités ou accords d</w:t>
      </w:r>
      <w:r>
        <w:rPr>
          <w:lang w:val="fr-FR"/>
        </w:rPr>
        <w:t>’</w:t>
      </w:r>
      <w:r w:rsidRPr="008A5A99">
        <w:rPr>
          <w:lang w:val="fr-FR"/>
        </w:rPr>
        <w:t xml:space="preserve">entraide </w:t>
      </w:r>
      <w:r w:rsidRPr="008A5A99">
        <w:rPr>
          <w:lang w:val="fr-FR"/>
        </w:rPr>
        <w:lastRenderedPageBreak/>
        <w:t xml:space="preserve">judiciaire et si ces traités ou accords ont </w:t>
      </w:r>
      <w:r w:rsidRPr="00A26A2E">
        <w:rPr>
          <w:lang w:val="fr-FR"/>
        </w:rPr>
        <w:t>donné lieu, en pratique, à la communication des éléments de preuve dans le cadre de poursuites pour torture ou mauvais traitements. Donner des exemples.</w:t>
      </w:r>
    </w:p>
    <w:p w14:paraId="2879EB17" w14:textId="77777777" w:rsidR="005A08D7" w:rsidRPr="00A26A2E" w:rsidRDefault="005A08D7" w:rsidP="00EF4994">
      <w:pPr>
        <w:pStyle w:val="H23G"/>
        <w:rPr>
          <w:lang w:val="fr-FR"/>
        </w:rPr>
      </w:pPr>
      <w:r w:rsidRPr="00A26A2E">
        <w:rPr>
          <w:lang w:val="fr-FR"/>
        </w:rPr>
        <w:tab/>
      </w:r>
      <w:r w:rsidRPr="00A26A2E">
        <w:rPr>
          <w:lang w:val="fr-FR"/>
        </w:rPr>
        <w:tab/>
        <w:t>Article 10</w:t>
      </w:r>
    </w:p>
    <w:p w14:paraId="683C9BE8" w14:textId="77777777" w:rsidR="005A08D7" w:rsidRPr="008A5A99" w:rsidRDefault="005A08D7" w:rsidP="00EF4994">
      <w:pPr>
        <w:pStyle w:val="SingleTxtG"/>
        <w:keepNext/>
        <w:rPr>
          <w:lang w:val="fr-FR" w:eastAsia="es-ES"/>
        </w:rPr>
      </w:pPr>
      <w:r w:rsidRPr="00A26A2E">
        <w:rPr>
          <w:lang w:val="fr-FR"/>
        </w:rPr>
        <w:t>10.</w:t>
      </w:r>
      <w:r w:rsidRPr="00A26A2E">
        <w:rPr>
          <w:lang w:val="fr-FR"/>
        </w:rPr>
        <w:tab/>
      </w:r>
      <w:r>
        <w:rPr>
          <w:lang w:val="fr-FR"/>
        </w:rPr>
        <w:t>Eu</w:t>
      </w:r>
      <w:r w:rsidRPr="00A26A2E">
        <w:rPr>
          <w:lang w:val="fr-FR"/>
        </w:rPr>
        <w:t xml:space="preserve"> égard aux précédentes observations finales du Comité</w:t>
      </w:r>
      <w:r w:rsidRPr="00C73F82">
        <w:rPr>
          <w:rStyle w:val="Appelnotedebasdep"/>
        </w:rPr>
        <w:footnoteReference w:id="16"/>
      </w:r>
      <w:r w:rsidRPr="00A26A2E">
        <w:rPr>
          <w:lang w:val="fr-FR"/>
        </w:rPr>
        <w:t>, d</w:t>
      </w:r>
      <w:r w:rsidRPr="00A26A2E">
        <w:rPr>
          <w:lang w:val="fr-FR" w:eastAsia="es-ES"/>
        </w:rPr>
        <w:t xml:space="preserve">onner des renseignements </w:t>
      </w:r>
      <w:r w:rsidRPr="008A5A99">
        <w:rPr>
          <w:lang w:val="fr-FR" w:eastAsia="es-ES"/>
        </w:rPr>
        <w:t xml:space="preserve">sur les programmes de formation </w:t>
      </w:r>
      <w:r>
        <w:rPr>
          <w:lang w:val="fr-FR" w:eastAsia="es-ES"/>
        </w:rPr>
        <w:t>mis en œuvre</w:t>
      </w:r>
      <w:r w:rsidRPr="008A5A99">
        <w:rPr>
          <w:lang w:val="fr-FR" w:eastAsia="es-ES"/>
        </w:rPr>
        <w:t xml:space="preserve"> depuis 2019 et indiquer si ces formations sont obligatoires ou facultatives. En particulier, donner des détails sur les programmes </w:t>
      </w:r>
      <w:r>
        <w:rPr>
          <w:lang w:val="fr-FR" w:eastAsia="es-ES"/>
        </w:rPr>
        <w:t xml:space="preserve">mis en place </w:t>
      </w:r>
      <w:r w:rsidRPr="008A5A99">
        <w:rPr>
          <w:lang w:val="fr-FR" w:eastAsia="es-ES"/>
        </w:rPr>
        <w:t xml:space="preserve">pour </w:t>
      </w:r>
      <w:r>
        <w:rPr>
          <w:lang w:val="fr-FR" w:eastAsia="es-ES"/>
        </w:rPr>
        <w:t>faire en sorte</w:t>
      </w:r>
      <w:r w:rsidRPr="008A5A99">
        <w:rPr>
          <w:lang w:val="fr-FR" w:eastAsia="es-ES"/>
        </w:rPr>
        <w:t xml:space="preserve"> que</w:t>
      </w:r>
      <w:r>
        <w:rPr>
          <w:lang w:val="fr-FR" w:eastAsia="es-ES"/>
        </w:rPr>
        <w:t> </w:t>
      </w:r>
      <w:r w:rsidRPr="008A5A99">
        <w:rPr>
          <w:lang w:val="fr-FR" w:eastAsia="es-ES"/>
        </w:rPr>
        <w:t>:</w:t>
      </w:r>
    </w:p>
    <w:p w14:paraId="78360937" w14:textId="4E51C71E" w:rsidR="005A08D7" w:rsidRPr="008A5A99" w:rsidRDefault="005A08D7" w:rsidP="00EF4994">
      <w:pPr>
        <w:pStyle w:val="SingleTxtG"/>
        <w:ind w:firstLine="567"/>
        <w:rPr>
          <w:lang w:eastAsia="es-ES"/>
        </w:rPr>
      </w:pPr>
      <w:r w:rsidRPr="008A5A99">
        <w:rPr>
          <w:lang w:val="fr-FR" w:eastAsia="es-ES"/>
        </w:rPr>
        <w:t>a)</w:t>
      </w:r>
      <w:r w:rsidRPr="008A5A99">
        <w:rPr>
          <w:lang w:val="fr-FR" w:eastAsia="es-ES"/>
        </w:rPr>
        <w:tab/>
        <w:t>Tous les agents de l</w:t>
      </w:r>
      <w:r>
        <w:rPr>
          <w:lang w:val="fr-FR" w:eastAsia="es-ES"/>
        </w:rPr>
        <w:t>’</w:t>
      </w:r>
      <w:r w:rsidRPr="008A5A99">
        <w:rPr>
          <w:lang w:val="fr-FR" w:eastAsia="es-ES"/>
        </w:rPr>
        <w:t>État, et particulièrement</w:t>
      </w:r>
      <w:r w:rsidR="00596DC8">
        <w:rPr>
          <w:lang w:val="fr-FR" w:eastAsia="es-ES"/>
        </w:rPr>
        <w:t xml:space="preserve"> </w:t>
      </w:r>
      <w:r w:rsidRPr="008A5A99">
        <w:rPr>
          <w:lang w:val="fr-FR" w:eastAsia="es-ES"/>
        </w:rPr>
        <w:t>les membres des forces armées, de la police et le personnel pénitentiaire</w:t>
      </w:r>
      <w:r>
        <w:rPr>
          <w:lang w:val="fr-FR" w:eastAsia="es-ES"/>
        </w:rPr>
        <w:t xml:space="preserve">, </w:t>
      </w:r>
      <w:r w:rsidRPr="008A5A99">
        <w:rPr>
          <w:lang w:val="fr-FR" w:eastAsia="es-ES"/>
        </w:rPr>
        <w:t>connaissent bien les dispositions de la Convention et la loi n</w:t>
      </w:r>
      <w:r w:rsidR="00D64B96" w:rsidRPr="00EF4994">
        <w:rPr>
          <w:vertAlign w:val="superscript"/>
          <w:lang w:val="fr-FR" w:eastAsia="es-ES"/>
        </w:rPr>
        <w:t>o</w:t>
      </w:r>
      <w:r w:rsidR="00D64B96">
        <w:rPr>
          <w:lang w:val="fr-FR" w:eastAsia="es-ES"/>
        </w:rPr>
        <w:t> </w:t>
      </w:r>
      <w:r w:rsidRPr="008A5A99">
        <w:rPr>
          <w:lang w:val="fr-FR" w:eastAsia="es-ES"/>
        </w:rPr>
        <w:t>11/008, notamment l</w:t>
      </w:r>
      <w:r>
        <w:rPr>
          <w:lang w:val="fr-FR" w:eastAsia="es-ES"/>
        </w:rPr>
        <w:t>’</w:t>
      </w:r>
      <w:r w:rsidRPr="008A5A99">
        <w:rPr>
          <w:lang w:val="fr-FR" w:eastAsia="es-ES"/>
        </w:rPr>
        <w:t>interdiction absolue de la torture</w:t>
      </w:r>
      <w:r>
        <w:rPr>
          <w:lang w:val="fr-FR" w:eastAsia="es-ES"/>
        </w:rPr>
        <w:t xml:space="preserve"> et</w:t>
      </w:r>
      <w:r w:rsidRPr="008A5A99">
        <w:rPr>
          <w:lang w:val="fr-FR" w:eastAsia="es-ES"/>
        </w:rPr>
        <w:t xml:space="preserve"> </w:t>
      </w:r>
      <w:r w:rsidRPr="008A5A99">
        <w:rPr>
          <w:lang w:val="fr-FR"/>
        </w:rPr>
        <w:t>les méthodes d</w:t>
      </w:r>
      <w:r>
        <w:rPr>
          <w:lang w:val="fr-FR"/>
        </w:rPr>
        <w:t>’interrogatoire</w:t>
      </w:r>
      <w:r w:rsidRPr="008A5A99">
        <w:rPr>
          <w:lang w:val="fr-FR"/>
        </w:rPr>
        <w:t xml:space="preserve"> non coercitive</w:t>
      </w:r>
      <w:r>
        <w:rPr>
          <w:lang w:val="fr-FR"/>
        </w:rPr>
        <w:t xml:space="preserve">s, </w:t>
      </w:r>
      <w:r w:rsidRPr="008A5A99">
        <w:rPr>
          <w:lang w:val="fr-FR"/>
        </w:rPr>
        <w:t>et</w:t>
      </w:r>
      <w:r w:rsidRPr="008A5A99">
        <w:rPr>
          <w:lang w:val="fr-FR" w:eastAsia="es-ES"/>
        </w:rPr>
        <w:t xml:space="preserve"> réservent un traitement approprié aux personnes appartenant à des groupes en situation de vulnérabilité,</w:t>
      </w:r>
      <w:r w:rsidRPr="008A5A99">
        <w:rPr>
          <w:lang w:val="fr-FR"/>
        </w:rPr>
        <w:t xml:space="preserve"> spécifiquement</w:t>
      </w:r>
      <w:r w:rsidRPr="008A5A99">
        <w:rPr>
          <w:lang w:val="fr-FR" w:eastAsia="es-ES"/>
        </w:rPr>
        <w:t xml:space="preserve"> dans le cadre d</w:t>
      </w:r>
      <w:r>
        <w:rPr>
          <w:lang w:val="fr-FR" w:eastAsia="es-ES"/>
        </w:rPr>
        <w:t>’</w:t>
      </w:r>
      <w:r w:rsidRPr="008A5A99">
        <w:rPr>
          <w:lang w:val="fr-FR" w:eastAsia="es-ES"/>
        </w:rPr>
        <w:t xml:space="preserve">enquêtes et de poursuites </w:t>
      </w:r>
      <w:r>
        <w:rPr>
          <w:lang w:val="fr-FR" w:eastAsia="es-ES"/>
        </w:rPr>
        <w:t xml:space="preserve">liées à </w:t>
      </w:r>
      <w:r w:rsidRPr="008A5A99">
        <w:rPr>
          <w:lang w:val="fr-FR"/>
        </w:rPr>
        <w:t>des crimes de violence sexuelle</w:t>
      </w:r>
      <w:r>
        <w:rPr>
          <w:lang w:val="fr-FR"/>
        </w:rPr>
        <w:t xml:space="preserve"> et</w:t>
      </w:r>
      <w:r w:rsidRPr="008A5A99">
        <w:rPr>
          <w:lang w:val="fr-FR"/>
        </w:rPr>
        <w:t xml:space="preserve"> </w:t>
      </w:r>
      <w:r>
        <w:rPr>
          <w:lang w:val="fr-FR"/>
        </w:rPr>
        <w:t xml:space="preserve">à </w:t>
      </w:r>
      <w:r w:rsidRPr="008A5A99">
        <w:rPr>
          <w:lang w:val="fr-FR"/>
        </w:rPr>
        <w:t>ceux impliquant des mineurs</w:t>
      </w:r>
      <w:r w:rsidRPr="00C73F82">
        <w:rPr>
          <w:rStyle w:val="Appelnotedebasdep"/>
        </w:rPr>
        <w:footnoteReference w:id="17"/>
      </w:r>
      <w:r>
        <w:rPr>
          <w:lang w:val="fr-FR"/>
        </w:rPr>
        <w:t>,</w:t>
      </w:r>
      <w:r>
        <w:rPr>
          <w:lang w:val="fr-FR" w:eastAsia="es-ES"/>
        </w:rPr>
        <w:t xml:space="preserve"> ainsi qu’aux personnes</w:t>
      </w:r>
      <w:r w:rsidRPr="008A5A99">
        <w:rPr>
          <w:lang w:val="fr-FR" w:eastAsia="es-ES"/>
        </w:rPr>
        <w:t xml:space="preserve"> </w:t>
      </w:r>
      <w:r w:rsidRPr="008A5A99">
        <w:rPr>
          <w:lang w:val="fr-FR"/>
        </w:rPr>
        <w:t xml:space="preserve">présentant </w:t>
      </w:r>
      <w:r w:rsidR="00D64B96" w:rsidRPr="008A5A99">
        <w:rPr>
          <w:lang w:val="fr-FR"/>
        </w:rPr>
        <w:t>un</w:t>
      </w:r>
      <w:r w:rsidR="00D64B96">
        <w:rPr>
          <w:lang w:val="fr-FR"/>
        </w:rPr>
        <w:t xml:space="preserve"> </w:t>
      </w:r>
      <w:r w:rsidRPr="008A5A99">
        <w:rPr>
          <w:lang w:val="fr-FR"/>
        </w:rPr>
        <w:t>handicap intellectuel ou</w:t>
      </w:r>
      <w:r>
        <w:rPr>
          <w:lang w:val="fr-FR"/>
        </w:rPr>
        <w:t xml:space="preserve"> </w:t>
      </w:r>
      <w:r w:rsidRPr="008A5A99">
        <w:rPr>
          <w:lang w:val="fr-FR"/>
        </w:rPr>
        <w:t>psychosocial</w:t>
      </w:r>
      <w:r>
        <w:rPr>
          <w:lang w:val="fr-FR"/>
        </w:rPr>
        <w:t>,</w:t>
      </w:r>
      <w:r w:rsidRPr="008A5A99">
        <w:rPr>
          <w:lang w:val="fr-FR"/>
        </w:rPr>
        <w:t xml:space="preserve"> </w:t>
      </w:r>
      <w:r>
        <w:rPr>
          <w:lang w:val="fr-FR"/>
        </w:rPr>
        <w:t>et e</w:t>
      </w:r>
      <w:r w:rsidRPr="008A5A99">
        <w:rPr>
          <w:lang w:val="fr-FR" w:eastAsia="es-ES"/>
        </w:rPr>
        <w:t>xpliquer si l</w:t>
      </w:r>
      <w:r>
        <w:rPr>
          <w:lang w:val="fr-FR" w:eastAsia="es-ES"/>
        </w:rPr>
        <w:t>’</w:t>
      </w:r>
      <w:r w:rsidRPr="008A5A99">
        <w:rPr>
          <w:lang w:val="fr-FR" w:eastAsia="es-ES"/>
        </w:rPr>
        <w:t>État partie a mis au point une méthode visant à évaluer les résultats de ces programmes et leur efficacité pour réduire le nombre de cas de torture et de mauvais traitements</w:t>
      </w:r>
      <w:r>
        <w:rPr>
          <w:lang w:val="fr-FR" w:eastAsia="es-ES"/>
        </w:rPr>
        <w:t>, en donnant, le cas échéant,</w:t>
      </w:r>
      <w:r w:rsidRPr="008A5A99">
        <w:rPr>
          <w:lang w:val="fr-FR" w:eastAsia="es-ES"/>
        </w:rPr>
        <w:t xml:space="preserve"> des renseignements sur le contenu de cette méthode et son application </w:t>
      </w:r>
      <w:r w:rsidRPr="008A5A99">
        <w:rPr>
          <w:lang w:eastAsia="es-ES"/>
        </w:rPr>
        <w:t>;</w:t>
      </w:r>
    </w:p>
    <w:p w14:paraId="4C0C7F70" w14:textId="74D002B3" w:rsidR="005A08D7" w:rsidRPr="008A5A99" w:rsidRDefault="005A08D7" w:rsidP="00EF4994">
      <w:pPr>
        <w:pStyle w:val="SingleTxtG"/>
        <w:ind w:firstLine="567"/>
        <w:rPr>
          <w:lang w:val="fr-FR" w:eastAsia="es-ES"/>
        </w:rPr>
      </w:pPr>
      <w:r>
        <w:rPr>
          <w:lang w:val="fr-FR" w:eastAsia="es-ES"/>
        </w:rPr>
        <w:t>b</w:t>
      </w:r>
      <w:r w:rsidRPr="008A5A99">
        <w:rPr>
          <w:lang w:val="fr-FR" w:eastAsia="es-ES"/>
        </w:rPr>
        <w:t>)</w:t>
      </w:r>
      <w:r w:rsidRPr="008A5A99">
        <w:rPr>
          <w:lang w:val="fr-FR" w:eastAsia="es-ES"/>
        </w:rPr>
        <w:tab/>
      </w:r>
      <w:r w:rsidRPr="008A5A99">
        <w:rPr>
          <w:lang w:val="fr-FR"/>
        </w:rPr>
        <w:t>Les membres des forces de l</w:t>
      </w:r>
      <w:r>
        <w:rPr>
          <w:lang w:val="fr-FR"/>
        </w:rPr>
        <w:t>’</w:t>
      </w:r>
      <w:r w:rsidRPr="008A5A99">
        <w:rPr>
          <w:lang w:val="fr-FR"/>
        </w:rPr>
        <w:t xml:space="preserve">ordre, en particulier ceux qui participent au contrôle des manifestations, connaissent et respectent </w:t>
      </w:r>
      <w:r>
        <w:rPr>
          <w:lang w:val="fr-FR"/>
        </w:rPr>
        <w:t>les</w:t>
      </w:r>
      <w:r w:rsidRPr="008A5A99">
        <w:rPr>
          <w:lang w:val="fr-FR"/>
        </w:rPr>
        <w:t xml:space="preserve"> Principes de base sur le recours à la force et l</w:t>
      </w:r>
      <w:r>
        <w:rPr>
          <w:lang w:val="fr-FR"/>
        </w:rPr>
        <w:t>’</w:t>
      </w:r>
      <w:r w:rsidRPr="008A5A99">
        <w:rPr>
          <w:lang w:val="fr-FR"/>
        </w:rPr>
        <w:t>utilisation des armes à feu par les responsables de l</w:t>
      </w:r>
      <w:r>
        <w:rPr>
          <w:lang w:val="fr-FR"/>
        </w:rPr>
        <w:t>’</w:t>
      </w:r>
      <w:r w:rsidRPr="008A5A99">
        <w:rPr>
          <w:lang w:val="fr-FR"/>
        </w:rPr>
        <w:t>application des lois ;</w:t>
      </w:r>
    </w:p>
    <w:p w14:paraId="1681BA4A" w14:textId="6B048596" w:rsidR="005A08D7" w:rsidRPr="008A5A99" w:rsidRDefault="005A08D7" w:rsidP="00EF4994">
      <w:pPr>
        <w:pStyle w:val="SingleTxtG"/>
        <w:ind w:firstLine="567"/>
        <w:rPr>
          <w:lang w:val="fr-FR" w:eastAsia="es-ES"/>
        </w:rPr>
      </w:pPr>
      <w:r>
        <w:rPr>
          <w:lang w:val="fr-FR" w:eastAsia="es-ES"/>
        </w:rPr>
        <w:t>c</w:t>
      </w:r>
      <w:r w:rsidRPr="008A5A99">
        <w:rPr>
          <w:lang w:val="fr-FR" w:eastAsia="es-ES"/>
        </w:rPr>
        <w:t>)</w:t>
      </w:r>
      <w:r w:rsidRPr="008A5A99">
        <w:rPr>
          <w:lang w:val="fr-FR" w:eastAsia="es-ES"/>
        </w:rPr>
        <w:tab/>
        <w:t>Les juges, les procureurs ainsi que les médecins légistes et les professionnels de la santé qui s</w:t>
      </w:r>
      <w:r>
        <w:rPr>
          <w:lang w:val="fr-FR" w:eastAsia="es-ES"/>
        </w:rPr>
        <w:t>’</w:t>
      </w:r>
      <w:r w:rsidRPr="008A5A99">
        <w:rPr>
          <w:lang w:val="fr-FR" w:eastAsia="es-ES"/>
        </w:rPr>
        <w:t xml:space="preserve">occupent des personnes privées de liberté puissent détecter les séquelles physiques et psychologiques de la torture, établir la réalité des faits de torture et </w:t>
      </w:r>
      <w:r w:rsidRPr="008A5A99">
        <w:rPr>
          <w:lang w:val="fr-FR"/>
        </w:rPr>
        <w:t>vérifier la recevabilité des aveux</w:t>
      </w:r>
      <w:r>
        <w:rPr>
          <w:lang w:val="fr-FR" w:eastAsia="es-ES"/>
        </w:rPr>
        <w:t>, en précisant</w:t>
      </w:r>
      <w:r w:rsidRPr="008A5A99">
        <w:rPr>
          <w:lang w:val="fr-FR" w:eastAsia="es-ES"/>
        </w:rPr>
        <w:t xml:space="preserve"> si ces programmes prévoient une formation spécifique concernant le Manuel pour enquêter efficacement sur la torture et autres peines ou traitements cruels, inhumains ou dégradants (Protocole d</w:t>
      </w:r>
      <w:r>
        <w:rPr>
          <w:lang w:val="fr-FR" w:eastAsia="es-ES"/>
        </w:rPr>
        <w:t>’</w:t>
      </w:r>
      <w:r w:rsidRPr="008A5A99">
        <w:rPr>
          <w:lang w:val="fr-FR" w:eastAsia="es-ES"/>
        </w:rPr>
        <w:t xml:space="preserve">Istanbul). </w:t>
      </w:r>
    </w:p>
    <w:p w14:paraId="09D4711E" w14:textId="77777777" w:rsidR="005A08D7" w:rsidRPr="008A310C" w:rsidRDefault="005A08D7" w:rsidP="00EF4994">
      <w:pPr>
        <w:pStyle w:val="H23G"/>
        <w:rPr>
          <w:rFonts w:eastAsiaTheme="minorEastAsia"/>
          <w:lang w:val="fr-FR" w:eastAsia="zh-CN"/>
        </w:rPr>
      </w:pPr>
      <w:r w:rsidRPr="008A310C">
        <w:rPr>
          <w:rFonts w:eastAsiaTheme="minorEastAsia"/>
          <w:lang w:val="fr-FR" w:eastAsia="zh-CN"/>
        </w:rPr>
        <w:tab/>
      </w:r>
      <w:r w:rsidRPr="008A310C">
        <w:rPr>
          <w:rFonts w:eastAsiaTheme="minorEastAsia"/>
          <w:lang w:val="fr-FR" w:eastAsia="zh-CN"/>
        </w:rPr>
        <w:tab/>
      </w:r>
      <w:r w:rsidRPr="001A3A47">
        <w:rPr>
          <w:lang w:val="fr-FR"/>
        </w:rPr>
        <w:t>Article 11</w:t>
      </w:r>
    </w:p>
    <w:p w14:paraId="36044345" w14:textId="77777777" w:rsidR="005A08D7" w:rsidRPr="008A5A99" w:rsidRDefault="005A08D7" w:rsidP="00EF4994">
      <w:pPr>
        <w:pStyle w:val="SingleTxtG"/>
        <w:rPr>
          <w:lang w:val="fr-FR"/>
        </w:rPr>
      </w:pPr>
      <w:r w:rsidRPr="008A5A99">
        <w:rPr>
          <w:lang w:val="fr-FR"/>
        </w:rPr>
        <w:t>11.</w:t>
      </w:r>
      <w:r w:rsidRPr="008A5A99">
        <w:rPr>
          <w:lang w:val="fr-FR"/>
        </w:rPr>
        <w:tab/>
        <w:t>Décrire les procédures mises en place pour garantir le respect de l</w:t>
      </w:r>
      <w:r>
        <w:rPr>
          <w:lang w:val="fr-FR"/>
        </w:rPr>
        <w:t>’</w:t>
      </w:r>
      <w:r w:rsidRPr="008A5A99">
        <w:rPr>
          <w:lang w:val="fr-FR"/>
        </w:rPr>
        <w:t>article 11 de la Convention et donner des renseignements sur les règles, instructions, méthodes et pratiques d</w:t>
      </w:r>
      <w:r>
        <w:rPr>
          <w:lang w:val="fr-FR"/>
        </w:rPr>
        <w:t>’</w:t>
      </w:r>
      <w:r w:rsidRPr="008A5A99">
        <w:rPr>
          <w:lang w:val="fr-FR"/>
        </w:rPr>
        <w:t>interrogatoire et les dispositions concernant la garde à vue qui ont été adoptées depuis l</w:t>
      </w:r>
      <w:r>
        <w:rPr>
          <w:lang w:val="fr-FR"/>
        </w:rPr>
        <w:t>’</w:t>
      </w:r>
      <w:r w:rsidRPr="008A5A99">
        <w:rPr>
          <w:lang w:val="fr-FR"/>
        </w:rPr>
        <w:t xml:space="preserve">examen du </w:t>
      </w:r>
      <w:r>
        <w:rPr>
          <w:lang w:val="fr-FR"/>
        </w:rPr>
        <w:t xml:space="preserve">deuxième </w:t>
      </w:r>
      <w:r w:rsidRPr="008A5A99">
        <w:rPr>
          <w:lang w:val="fr-FR"/>
        </w:rPr>
        <w:t xml:space="preserve">rapport périodique </w:t>
      </w:r>
      <w:r>
        <w:rPr>
          <w:lang w:val="fr-FR"/>
        </w:rPr>
        <w:t>de l’État partie</w:t>
      </w:r>
      <w:r w:rsidRPr="008A5A99">
        <w:rPr>
          <w:lang w:val="fr-FR"/>
        </w:rPr>
        <w:t xml:space="preserve">. Indiquer la fréquence à laquelle celles-ci sont révisées. À </w:t>
      </w:r>
      <w:r w:rsidRPr="008A5A99">
        <w:rPr>
          <w:lang w:val="fr-FR" w:eastAsia="es-ES"/>
        </w:rPr>
        <w:t>la lumière des précédentes observations finales du Comité</w:t>
      </w:r>
      <w:r w:rsidRPr="00C73F82">
        <w:rPr>
          <w:rStyle w:val="Appelnotedebasdep"/>
        </w:rPr>
        <w:footnoteReference w:id="18"/>
      </w:r>
      <w:r w:rsidRPr="008A5A99">
        <w:rPr>
          <w:lang w:val="fr-FR" w:eastAsia="es-ES"/>
        </w:rPr>
        <w:t xml:space="preserve">, fournir des informations sur </w:t>
      </w:r>
      <w:r>
        <w:rPr>
          <w:lang w:val="fr-FR" w:eastAsia="es-ES"/>
        </w:rPr>
        <w:t>les</w:t>
      </w:r>
      <w:r w:rsidRPr="008A5A99">
        <w:rPr>
          <w:lang w:val="fr-FR" w:eastAsia="es-ES"/>
        </w:rPr>
        <w:t xml:space="preserve"> mesures prises pour réviser le cadre législatif et le mettre en œuvre dans la pratique, afin que toutes les arrestations et détentions soient soumises au contrôle de l</w:t>
      </w:r>
      <w:r>
        <w:rPr>
          <w:lang w:val="fr-FR" w:eastAsia="es-ES"/>
        </w:rPr>
        <w:t>’</w:t>
      </w:r>
      <w:r w:rsidRPr="008A5A99">
        <w:rPr>
          <w:lang w:val="fr-FR" w:eastAsia="es-ES"/>
        </w:rPr>
        <w:t>autorité judiciaire, y compris celles qui sont sous la responsabilité de l</w:t>
      </w:r>
      <w:r>
        <w:rPr>
          <w:lang w:val="fr-FR" w:eastAsia="es-ES"/>
        </w:rPr>
        <w:t>’</w:t>
      </w:r>
      <w:r w:rsidRPr="008A5A99">
        <w:rPr>
          <w:lang w:val="fr-FR" w:eastAsia="es-ES"/>
        </w:rPr>
        <w:t>Agence nationale de renseignements. En particulier, indiquer les mesures prises pour que la détention effectuée dans l</w:t>
      </w:r>
      <w:r>
        <w:rPr>
          <w:lang w:val="fr-FR" w:eastAsia="es-ES"/>
        </w:rPr>
        <w:t>’</w:t>
      </w:r>
      <w:r w:rsidRPr="008A5A99">
        <w:rPr>
          <w:lang w:val="fr-FR" w:eastAsia="es-ES"/>
        </w:rPr>
        <w:t xml:space="preserve">affaire </w:t>
      </w:r>
      <w:r>
        <w:rPr>
          <w:lang w:val="fr-FR" w:eastAsia="es-ES"/>
        </w:rPr>
        <w:t xml:space="preserve">de l’assassinat de Simba </w:t>
      </w:r>
      <w:r w:rsidRPr="008A5A99">
        <w:rPr>
          <w:lang w:val="fr-FR" w:eastAsia="es-ES"/>
        </w:rPr>
        <w:t>Ngezayo fasse l</w:t>
      </w:r>
      <w:r>
        <w:rPr>
          <w:lang w:val="fr-FR" w:eastAsia="es-ES"/>
        </w:rPr>
        <w:t>’</w:t>
      </w:r>
      <w:r w:rsidRPr="008A5A99">
        <w:rPr>
          <w:lang w:val="fr-FR" w:eastAsia="es-ES"/>
        </w:rPr>
        <w:t>objet d</w:t>
      </w:r>
      <w:r>
        <w:rPr>
          <w:lang w:val="fr-FR" w:eastAsia="es-ES"/>
        </w:rPr>
        <w:t>’</w:t>
      </w:r>
      <w:r w:rsidRPr="008A5A99">
        <w:rPr>
          <w:lang w:val="fr-FR" w:eastAsia="es-ES"/>
        </w:rPr>
        <w:t xml:space="preserve">un contrôle judiciaire. </w:t>
      </w:r>
      <w:r w:rsidRPr="008A5A99">
        <w:rPr>
          <w:lang w:val="fr-FR"/>
        </w:rPr>
        <w:t>Donner des informations sur les mesures spécifiques prises par l</w:t>
      </w:r>
      <w:r>
        <w:rPr>
          <w:lang w:val="fr-FR"/>
        </w:rPr>
        <w:t>’</w:t>
      </w:r>
      <w:r w:rsidRPr="008A5A99">
        <w:rPr>
          <w:lang w:val="fr-FR"/>
        </w:rPr>
        <w:t>État partie pour mettre fin à la pratique des arrestations et détentions arbitraires par des militaires des Forces armées de la République démocratique du Congo et des agents de la Police nationale congolaise. Fournir une liste exhaustive de tous les lieux de détention, y compris les lieux de détention fermés et les lieux de détention accessibles et sous contrôle de l</w:t>
      </w:r>
      <w:r>
        <w:rPr>
          <w:lang w:val="fr-FR"/>
        </w:rPr>
        <w:t>’</w:t>
      </w:r>
      <w:r w:rsidRPr="008A5A99">
        <w:rPr>
          <w:lang w:val="fr-FR"/>
        </w:rPr>
        <w:t>autorité judiciaire.</w:t>
      </w:r>
      <w:r w:rsidRPr="008A5A99">
        <w:rPr>
          <w:sz w:val="22"/>
          <w:szCs w:val="22"/>
          <w:lang w:val="fr-FR"/>
        </w:rPr>
        <w:t xml:space="preserve"> </w:t>
      </w:r>
    </w:p>
    <w:p w14:paraId="5C9590D2" w14:textId="13008394" w:rsidR="005A08D7" w:rsidRPr="008A5A99" w:rsidRDefault="005A08D7" w:rsidP="00EF4994">
      <w:pPr>
        <w:pStyle w:val="SingleTxtG"/>
      </w:pPr>
      <w:r w:rsidRPr="008A5A99">
        <w:rPr>
          <w:lang w:val="fr-FR"/>
        </w:rPr>
        <w:t>12.</w:t>
      </w:r>
      <w:r w:rsidRPr="008A5A99">
        <w:rPr>
          <w:lang w:val="fr-FR"/>
        </w:rPr>
        <w:tab/>
        <w:t>Décrire les mesures qui ont été prises pour réduire dans la pratique le recours à la détention préventive</w:t>
      </w:r>
      <w:r w:rsidR="00596DC8">
        <w:rPr>
          <w:lang w:val="fr-FR"/>
        </w:rPr>
        <w:t xml:space="preserve"> </w:t>
      </w:r>
      <w:r w:rsidRPr="008A5A99">
        <w:rPr>
          <w:lang w:val="fr-FR"/>
        </w:rPr>
        <w:t xml:space="preserve">et sa durée. Fournir des informations sur les ressources humaines et financières allouées </w:t>
      </w:r>
      <w:r>
        <w:rPr>
          <w:lang w:val="fr-FR"/>
        </w:rPr>
        <w:t>au renforcement de</w:t>
      </w:r>
      <w:r w:rsidRPr="008A5A99">
        <w:rPr>
          <w:lang w:val="fr-FR"/>
        </w:rPr>
        <w:t xml:space="preserve"> la fonctionnalité et </w:t>
      </w:r>
      <w:r>
        <w:rPr>
          <w:lang w:val="fr-FR"/>
        </w:rPr>
        <w:t xml:space="preserve">de </w:t>
      </w:r>
      <w:r w:rsidRPr="008A5A99">
        <w:rPr>
          <w:lang w:val="fr-FR"/>
        </w:rPr>
        <w:t>l</w:t>
      </w:r>
      <w:r>
        <w:rPr>
          <w:lang w:val="fr-FR"/>
        </w:rPr>
        <w:t>’</w:t>
      </w:r>
      <w:r w:rsidRPr="008A5A99">
        <w:rPr>
          <w:lang w:val="fr-FR"/>
        </w:rPr>
        <w:t>efficacité du système judiciaire</w:t>
      </w:r>
      <w:r>
        <w:rPr>
          <w:lang w:val="fr-FR"/>
        </w:rPr>
        <w:t>,</w:t>
      </w:r>
      <w:r w:rsidRPr="008A5A99">
        <w:rPr>
          <w:lang w:val="fr-FR"/>
        </w:rPr>
        <w:t xml:space="preserve"> afin </w:t>
      </w:r>
      <w:r>
        <w:rPr>
          <w:lang w:val="fr-FR"/>
        </w:rPr>
        <w:t>que ce dernier</w:t>
      </w:r>
      <w:r w:rsidRPr="008A5A99">
        <w:rPr>
          <w:lang w:val="fr-FR"/>
        </w:rPr>
        <w:t xml:space="preserve"> puisse traiter les détenus en attente de jugement</w:t>
      </w:r>
      <w:r w:rsidRPr="00C73F82">
        <w:rPr>
          <w:rStyle w:val="Appelnotedebasdep"/>
        </w:rPr>
        <w:footnoteReference w:id="19"/>
      </w:r>
      <w:r w:rsidRPr="008A5A99">
        <w:rPr>
          <w:lang w:val="fr-FR"/>
        </w:rPr>
        <w:t xml:space="preserve">. </w:t>
      </w:r>
      <w:r w:rsidRPr="008A5A99">
        <w:rPr>
          <w:lang w:val="fr-FR" w:eastAsia="es-ES"/>
        </w:rPr>
        <w:t xml:space="preserve">Indiquer aussi les mesures </w:t>
      </w:r>
      <w:r w:rsidRPr="008A5A99">
        <w:rPr>
          <w:lang w:val="fr-FR"/>
        </w:rPr>
        <w:t xml:space="preserve">de contrôle qui ont été prises, y compris les sanctions </w:t>
      </w:r>
      <w:r w:rsidRPr="008A5A99">
        <w:rPr>
          <w:lang w:val="fr-FR" w:eastAsia="es-ES"/>
        </w:rPr>
        <w:t xml:space="preserve">disciplinaires, </w:t>
      </w:r>
      <w:r w:rsidRPr="008A5A99">
        <w:rPr>
          <w:lang w:val="fr-FR"/>
        </w:rPr>
        <w:t xml:space="preserve">pour </w:t>
      </w:r>
      <w:r w:rsidRPr="008A5A99">
        <w:rPr>
          <w:lang w:val="fr-FR"/>
        </w:rPr>
        <w:lastRenderedPageBreak/>
        <w:t>garantir que les</w:t>
      </w:r>
      <w:r w:rsidRPr="008A5A99">
        <w:rPr>
          <w:b/>
          <w:lang w:val="fr-FR"/>
        </w:rPr>
        <w:t xml:space="preserve"> </w:t>
      </w:r>
      <w:r w:rsidRPr="008A5A99">
        <w:rPr>
          <w:lang w:val="fr-FR"/>
        </w:rPr>
        <w:t xml:space="preserve">personnes détenues ne restent pas en détention </w:t>
      </w:r>
      <w:r>
        <w:rPr>
          <w:lang w:val="fr-FR"/>
        </w:rPr>
        <w:t>préventive</w:t>
      </w:r>
      <w:r w:rsidRPr="008A5A99">
        <w:rPr>
          <w:lang w:val="fr-FR"/>
        </w:rPr>
        <w:t xml:space="preserve"> au-delà de la peine </w:t>
      </w:r>
      <w:r>
        <w:rPr>
          <w:lang w:val="fr-FR"/>
        </w:rPr>
        <w:t xml:space="preserve">maximale </w:t>
      </w:r>
      <w:r w:rsidRPr="008A5A99">
        <w:rPr>
          <w:lang w:val="fr-FR"/>
        </w:rPr>
        <w:t xml:space="preserve">susceptible </w:t>
      </w:r>
      <w:r>
        <w:rPr>
          <w:lang w:val="fr-FR"/>
        </w:rPr>
        <w:t>d’</w:t>
      </w:r>
      <w:r w:rsidRPr="008A5A99">
        <w:rPr>
          <w:lang w:val="fr-FR"/>
        </w:rPr>
        <w:t>être prononcée</w:t>
      </w:r>
      <w:r w:rsidRPr="008A5A99">
        <w:t xml:space="preserve">. </w:t>
      </w:r>
    </w:p>
    <w:p w14:paraId="70E1B190" w14:textId="2785AF60" w:rsidR="005A08D7" w:rsidRPr="00A26A2E" w:rsidRDefault="005A08D7" w:rsidP="00EF4994">
      <w:pPr>
        <w:pStyle w:val="SingleTxtG"/>
        <w:rPr>
          <w:lang w:eastAsia="es-ES"/>
        </w:rPr>
      </w:pPr>
      <w:r w:rsidRPr="008A5A99">
        <w:rPr>
          <w:lang w:val="fr-FR"/>
        </w:rPr>
        <w:t>13.</w:t>
      </w:r>
      <w:r w:rsidRPr="008A5A99">
        <w:rPr>
          <w:lang w:val="fr-FR"/>
        </w:rPr>
        <w:tab/>
        <w:t>Fournir des informations sur l</w:t>
      </w:r>
      <w:r>
        <w:rPr>
          <w:lang w:val="fr-FR"/>
        </w:rPr>
        <w:t>’</w:t>
      </w:r>
      <w:r w:rsidRPr="008A5A99">
        <w:rPr>
          <w:lang w:val="fr-FR"/>
        </w:rPr>
        <w:t>avancement de la réforme en cours du système pénitentiaire</w:t>
      </w:r>
      <w:r w:rsidRPr="00C73F82">
        <w:rPr>
          <w:rStyle w:val="Appelnotedebasdep"/>
        </w:rPr>
        <w:footnoteReference w:id="20"/>
      </w:r>
      <w:r>
        <w:rPr>
          <w:lang w:val="fr-FR"/>
        </w:rPr>
        <w:t>,</w:t>
      </w:r>
      <w:r w:rsidRPr="008A5A99">
        <w:rPr>
          <w:lang w:val="fr-FR"/>
        </w:rPr>
        <w:t xml:space="preserve"> et sur </w:t>
      </w:r>
      <w:r>
        <w:rPr>
          <w:lang w:val="fr-FR"/>
        </w:rPr>
        <w:t>les</w:t>
      </w:r>
      <w:r w:rsidRPr="008A5A99">
        <w:rPr>
          <w:lang w:val="fr-FR"/>
        </w:rPr>
        <w:t xml:space="preserve"> mesures prises ou prévues pour </w:t>
      </w:r>
      <w:r w:rsidRPr="008A5A99">
        <w:rPr>
          <w:lang w:val="fr-FR" w:eastAsia="es-ES"/>
        </w:rPr>
        <w:t xml:space="preserve">éviter la surpopulation carcérale </w:t>
      </w:r>
      <w:r>
        <w:rPr>
          <w:lang w:val="fr-FR" w:eastAsia="es-ES"/>
        </w:rPr>
        <w:t xml:space="preserve">et la réduire </w:t>
      </w:r>
      <w:r w:rsidRPr="008A5A99">
        <w:rPr>
          <w:lang w:val="fr-FR"/>
        </w:rPr>
        <w:t>sur l</w:t>
      </w:r>
      <w:r>
        <w:rPr>
          <w:lang w:val="fr-FR"/>
        </w:rPr>
        <w:t>’</w:t>
      </w:r>
      <w:r w:rsidRPr="008A5A99">
        <w:rPr>
          <w:lang w:val="fr-FR"/>
        </w:rPr>
        <w:t>ensemble du territoire de l</w:t>
      </w:r>
      <w:r>
        <w:rPr>
          <w:lang w:val="fr-FR"/>
        </w:rPr>
        <w:t>’</w:t>
      </w:r>
      <w:r w:rsidRPr="008A5A99">
        <w:rPr>
          <w:lang w:val="fr-FR"/>
        </w:rPr>
        <w:t>État partie</w:t>
      </w:r>
      <w:r w:rsidRPr="00C73F82">
        <w:rPr>
          <w:rStyle w:val="Appelnotedebasdep"/>
        </w:rPr>
        <w:footnoteReference w:id="21"/>
      </w:r>
      <w:r w:rsidRPr="008A5A99">
        <w:t>.</w:t>
      </w:r>
      <w:r w:rsidRPr="008A5A99">
        <w:rPr>
          <w:lang w:val="fr-FR"/>
        </w:rPr>
        <w:t xml:space="preserve"> En outre, </w:t>
      </w:r>
      <w:r w:rsidRPr="008A5A99">
        <w:rPr>
          <w:lang w:val="fr-FR" w:eastAsia="es-ES"/>
        </w:rPr>
        <w:t>expliquer quelles mesures ont été prises pour assurer la séparation entre prévenus et condamnés, entre hommes et femmes</w:t>
      </w:r>
      <w:r>
        <w:rPr>
          <w:lang w:val="fr-FR" w:eastAsia="es-ES"/>
        </w:rPr>
        <w:t>,</w:t>
      </w:r>
      <w:r w:rsidRPr="008A5A99">
        <w:rPr>
          <w:lang w:val="fr-FR" w:eastAsia="es-ES"/>
        </w:rPr>
        <w:t xml:space="preserve"> et entre mineurs et adultes </w:t>
      </w:r>
      <w:r w:rsidRPr="008A5A99">
        <w:rPr>
          <w:lang w:val="fr-FR"/>
        </w:rPr>
        <w:t>dans les prisons et postes de police,</w:t>
      </w:r>
      <w:r w:rsidRPr="008A5A99">
        <w:rPr>
          <w:lang w:val="fr-FR" w:eastAsia="es-ES"/>
        </w:rPr>
        <w:t xml:space="preserve"> et indiquer dans quels lieux de détention cette sépara</w:t>
      </w:r>
      <w:r>
        <w:rPr>
          <w:lang w:val="fr-FR" w:eastAsia="es-ES"/>
        </w:rPr>
        <w:t>tion n’est pas encore effective.</w:t>
      </w:r>
      <w:r w:rsidRPr="008A5A99">
        <w:rPr>
          <w:lang w:val="fr-FR"/>
        </w:rPr>
        <w:t xml:space="preserve"> F</w:t>
      </w:r>
      <w:r w:rsidRPr="008A5A99">
        <w:rPr>
          <w:lang w:val="fr-FR" w:eastAsia="es-ES"/>
        </w:rPr>
        <w:t xml:space="preserve">ournir </w:t>
      </w:r>
      <w:r w:rsidRPr="008A5A99">
        <w:rPr>
          <w:lang w:val="fr-FR"/>
        </w:rPr>
        <w:t xml:space="preserve">des données chiffrées pour chaque année depuis 2019 </w:t>
      </w:r>
      <w:r w:rsidR="00D64B96" w:rsidRPr="008A5A99">
        <w:rPr>
          <w:lang w:val="fr-FR"/>
        </w:rPr>
        <w:t>sur</w:t>
      </w:r>
      <w:r w:rsidR="00D64B96">
        <w:rPr>
          <w:lang w:val="fr-FR"/>
        </w:rPr>
        <w:t xml:space="preserve"> </w:t>
      </w:r>
      <w:r w:rsidRPr="008A5A99">
        <w:rPr>
          <w:lang w:val="fr-FR"/>
        </w:rPr>
        <w:t>le nombre de personnes en détention préventive et le nombre de personnes condamnées, ainsi que sur le taux d</w:t>
      </w:r>
      <w:r>
        <w:rPr>
          <w:lang w:val="fr-FR"/>
        </w:rPr>
        <w:t>’</w:t>
      </w:r>
      <w:r w:rsidRPr="008A5A99">
        <w:rPr>
          <w:lang w:val="fr-FR"/>
        </w:rPr>
        <w:t xml:space="preserve">occupation de chaque centre de détention, </w:t>
      </w:r>
      <w:r w:rsidRPr="008A5A99">
        <w:rPr>
          <w:lang w:val="fr-FR" w:eastAsia="es-ES"/>
        </w:rPr>
        <w:t xml:space="preserve">y compris dans les lieux de détention clandestine présumés, tel </w:t>
      </w:r>
      <w:r>
        <w:rPr>
          <w:lang w:val="fr-FR" w:eastAsia="es-ES"/>
        </w:rPr>
        <w:t>le</w:t>
      </w:r>
      <w:r w:rsidRPr="008A5A99">
        <w:rPr>
          <w:lang w:val="fr-FR" w:eastAsia="es-ES"/>
        </w:rPr>
        <w:t xml:space="preserve"> cachot clandestin dans l</w:t>
      </w:r>
      <w:r>
        <w:rPr>
          <w:lang w:val="fr-FR" w:eastAsia="es-ES"/>
        </w:rPr>
        <w:t>’</w:t>
      </w:r>
      <w:r w:rsidRPr="008A5A99">
        <w:rPr>
          <w:lang w:val="fr-FR" w:eastAsia="es-ES"/>
        </w:rPr>
        <w:t>enceinte d</w:t>
      </w:r>
      <w:r>
        <w:rPr>
          <w:lang w:val="fr-FR" w:eastAsia="es-ES"/>
        </w:rPr>
        <w:t>’</w:t>
      </w:r>
      <w:r w:rsidRPr="008A5A99">
        <w:rPr>
          <w:lang w:val="fr-FR" w:eastAsia="es-ES"/>
        </w:rPr>
        <w:t>un camp des Forces armées de la République démocratique du Congo</w:t>
      </w:r>
      <w:r w:rsidRPr="00C73F82">
        <w:rPr>
          <w:rStyle w:val="Appelnotedebasdep"/>
        </w:rPr>
        <w:footnoteReference w:id="22"/>
      </w:r>
      <w:r w:rsidRPr="008A5A99">
        <w:rPr>
          <w:lang w:val="fr-FR" w:eastAsia="es-ES"/>
        </w:rPr>
        <w:t xml:space="preserve">, </w:t>
      </w:r>
      <w:r w:rsidRPr="008A5A99">
        <w:rPr>
          <w:lang w:val="fr-FR"/>
        </w:rPr>
        <w:t>ventilées par sexe, groupe d</w:t>
      </w:r>
      <w:r>
        <w:rPr>
          <w:lang w:val="fr-FR"/>
        </w:rPr>
        <w:t>’</w:t>
      </w:r>
      <w:r w:rsidRPr="008A5A99">
        <w:rPr>
          <w:lang w:val="fr-FR"/>
        </w:rPr>
        <w:t xml:space="preserve">âge (mineur/adulte) et nationalité des personnes détenues (congolaise/étrangère). Donner des renseignements sur </w:t>
      </w:r>
      <w:r w:rsidRPr="008A5A99">
        <w:rPr>
          <w:lang w:val="fr-FR" w:eastAsia="es-ES"/>
        </w:rPr>
        <w:t>ce qui est fait pour</w:t>
      </w:r>
      <w:r>
        <w:rPr>
          <w:lang w:val="fr-FR" w:eastAsia="es-ES"/>
        </w:rPr>
        <w:t>, d’une part,</w:t>
      </w:r>
      <w:r w:rsidRPr="008A5A99">
        <w:rPr>
          <w:lang w:val="fr-FR" w:eastAsia="es-ES"/>
        </w:rPr>
        <w:t xml:space="preserve"> promouvoir l</w:t>
      </w:r>
      <w:r>
        <w:rPr>
          <w:lang w:val="fr-FR" w:eastAsia="es-ES"/>
        </w:rPr>
        <w:t>’</w:t>
      </w:r>
      <w:r w:rsidRPr="008A5A99">
        <w:rPr>
          <w:lang w:val="fr-FR" w:eastAsia="es-ES"/>
        </w:rPr>
        <w:t xml:space="preserve">application de mesures autres que la détention </w:t>
      </w:r>
      <w:r>
        <w:rPr>
          <w:lang w:val="fr-FR" w:eastAsia="es-ES"/>
        </w:rPr>
        <w:t>préventive</w:t>
      </w:r>
      <w:r w:rsidRPr="008A5A99">
        <w:rPr>
          <w:lang w:val="fr-FR" w:eastAsia="es-ES"/>
        </w:rPr>
        <w:t xml:space="preserve"> et l</w:t>
      </w:r>
      <w:r>
        <w:rPr>
          <w:lang w:val="fr-FR" w:eastAsia="es-ES"/>
        </w:rPr>
        <w:t>’</w:t>
      </w:r>
      <w:r w:rsidRPr="008A5A99">
        <w:rPr>
          <w:lang w:val="fr-FR" w:eastAsia="es-ES"/>
        </w:rPr>
        <w:t>emprisonnement</w:t>
      </w:r>
      <w:r>
        <w:rPr>
          <w:lang w:val="fr-FR" w:eastAsia="es-ES"/>
        </w:rPr>
        <w:t>,</w:t>
      </w:r>
      <w:r w:rsidRPr="008A5A99">
        <w:rPr>
          <w:lang w:val="fr-FR" w:eastAsia="es-ES"/>
        </w:rPr>
        <w:t xml:space="preserve"> et </w:t>
      </w:r>
      <w:r>
        <w:rPr>
          <w:lang w:val="fr-FR" w:eastAsia="es-ES"/>
        </w:rPr>
        <w:t>d’autre part,</w:t>
      </w:r>
      <w:r w:rsidRPr="008A5A99">
        <w:rPr>
          <w:lang w:val="fr-FR" w:eastAsia="es-ES"/>
        </w:rPr>
        <w:t xml:space="preserve"> </w:t>
      </w:r>
      <w:r w:rsidRPr="008A5A99">
        <w:rPr>
          <w:spacing w:val="-2"/>
          <w:lang w:val="fr-FR" w:eastAsia="es-ES"/>
        </w:rPr>
        <w:t>répondre aux besoins spéciaux des enfants en conflit avec la loi</w:t>
      </w:r>
      <w:r w:rsidRPr="008A5A99">
        <w:rPr>
          <w:lang w:val="fr-FR" w:eastAsia="es-ES"/>
        </w:rPr>
        <w:t xml:space="preserve"> pénale, notamment en ce qui concerne les services de </w:t>
      </w:r>
      <w:r w:rsidRPr="008A5A99">
        <w:rPr>
          <w:lang w:val="fr-FR"/>
        </w:rPr>
        <w:t>réadaptation</w:t>
      </w:r>
      <w:r w:rsidRPr="008A5A99">
        <w:rPr>
          <w:lang w:val="fr-FR" w:eastAsia="es-ES"/>
        </w:rPr>
        <w:t xml:space="preserve"> et d</w:t>
      </w:r>
      <w:r>
        <w:rPr>
          <w:lang w:val="fr-FR" w:eastAsia="es-ES"/>
        </w:rPr>
        <w:t>’</w:t>
      </w:r>
      <w:r w:rsidRPr="008A5A99">
        <w:rPr>
          <w:lang w:val="fr-FR" w:eastAsia="es-ES"/>
        </w:rPr>
        <w:t xml:space="preserve">éducation. </w:t>
      </w:r>
      <w:r w:rsidRPr="00A26A2E">
        <w:rPr>
          <w:lang w:val="fr-FR"/>
        </w:rPr>
        <w:t xml:space="preserve">Expliquer </w:t>
      </w:r>
      <w:r w:rsidRPr="00A26A2E">
        <w:rPr>
          <w:lang w:val="fr-FR" w:eastAsia="es-ES"/>
        </w:rPr>
        <w:t xml:space="preserve">quelles mesures ont été prises </w:t>
      </w:r>
      <w:r w:rsidRPr="00A26A2E">
        <w:rPr>
          <w:lang w:val="fr-FR"/>
        </w:rPr>
        <w:t xml:space="preserve">pour fournir des soins médicaux et une alimentation adéquate dans les prisons. </w:t>
      </w:r>
      <w:r>
        <w:rPr>
          <w:lang w:val="fr-FR"/>
        </w:rPr>
        <w:t>Détailler</w:t>
      </w:r>
      <w:r w:rsidRPr="00A26A2E">
        <w:rPr>
          <w:lang w:val="fr-FR"/>
        </w:rPr>
        <w:t xml:space="preserve"> également les mesures visant à prévenir les décès dans les prisons</w:t>
      </w:r>
      <w:r>
        <w:rPr>
          <w:lang w:val="fr-FR"/>
        </w:rPr>
        <w:t xml:space="preserve"> et à enquêter sur de tels décès</w:t>
      </w:r>
      <w:r w:rsidRPr="00A26A2E">
        <w:rPr>
          <w:lang w:val="fr-FR"/>
        </w:rPr>
        <w:t xml:space="preserve"> là où ils se produisent, y compris les décès causés par la famine et l</w:t>
      </w:r>
      <w:r>
        <w:rPr>
          <w:lang w:val="fr-FR"/>
        </w:rPr>
        <w:t>’</w:t>
      </w:r>
      <w:r w:rsidRPr="00A26A2E">
        <w:rPr>
          <w:lang w:val="fr-FR"/>
        </w:rPr>
        <w:t>absence d</w:t>
      </w:r>
      <w:r>
        <w:rPr>
          <w:lang w:val="fr-FR"/>
        </w:rPr>
        <w:t>’</w:t>
      </w:r>
      <w:r w:rsidRPr="00A26A2E">
        <w:rPr>
          <w:lang w:val="fr-FR"/>
        </w:rPr>
        <w:t xml:space="preserve">hygiène, notamment pendant la période de la pandémie de </w:t>
      </w:r>
      <w:r w:rsidRPr="008A5A99">
        <w:rPr>
          <w:lang w:val="fr-FR"/>
        </w:rPr>
        <w:t xml:space="preserve">maladie à coronavirus </w:t>
      </w:r>
      <w:r>
        <w:rPr>
          <w:lang w:val="fr-FR"/>
        </w:rPr>
        <w:t>(</w:t>
      </w:r>
      <w:r w:rsidRPr="00A26A2E">
        <w:rPr>
          <w:lang w:val="fr-FR"/>
        </w:rPr>
        <w:t>COVID</w:t>
      </w:r>
      <w:r>
        <w:rPr>
          <w:lang w:val="fr-FR"/>
        </w:rPr>
        <w:t>-19)</w:t>
      </w:r>
      <w:r w:rsidRPr="00C73F82">
        <w:rPr>
          <w:rStyle w:val="Appelnotedebasdep"/>
        </w:rPr>
        <w:footnoteReference w:id="23"/>
      </w:r>
      <w:r w:rsidRPr="00A26A2E">
        <w:rPr>
          <w:lang w:val="fr-FR"/>
        </w:rPr>
        <w:t xml:space="preserve">. </w:t>
      </w:r>
    </w:p>
    <w:p w14:paraId="1D65C305" w14:textId="4EA5AE4C" w:rsidR="005A08D7" w:rsidRPr="00A26A2E" w:rsidRDefault="005A08D7" w:rsidP="00EF4994">
      <w:pPr>
        <w:pStyle w:val="SingleTxtG"/>
        <w:rPr>
          <w:lang w:val="fr-FR"/>
        </w:rPr>
      </w:pPr>
      <w:r w:rsidRPr="008A5A99">
        <w:rPr>
          <w:lang w:val="fr-FR"/>
        </w:rPr>
        <w:t>14.</w:t>
      </w:r>
      <w:r w:rsidRPr="008A5A99">
        <w:rPr>
          <w:lang w:val="fr-FR"/>
        </w:rPr>
        <w:tab/>
        <w:t xml:space="preserve">Fournir des données statistiques sur les morts en détention, y compris en garde à vue et en milieu carcéral, survenues au cours de la période considérée, </w:t>
      </w:r>
      <w:r>
        <w:rPr>
          <w:lang w:val="fr-FR"/>
        </w:rPr>
        <w:t>ventilées</w:t>
      </w:r>
      <w:r w:rsidRPr="008A5A99">
        <w:rPr>
          <w:lang w:val="fr-FR"/>
        </w:rPr>
        <w:t xml:space="preserve"> par lieu de détention, sexe, groupe d</w:t>
      </w:r>
      <w:r>
        <w:rPr>
          <w:lang w:val="fr-FR"/>
        </w:rPr>
        <w:t>’</w:t>
      </w:r>
      <w:r w:rsidRPr="008A5A99">
        <w:rPr>
          <w:lang w:val="fr-FR"/>
        </w:rPr>
        <w:t xml:space="preserve">âge (mineur/adulte), origine ethnique ou nationalité du défunt et cause du décès </w:t>
      </w:r>
      <w:r w:rsidRPr="008A5A99">
        <w:rPr>
          <w:lang w:val="fr-FR" w:eastAsia="es-ES"/>
        </w:rPr>
        <w:t>(</w:t>
      </w:r>
      <w:r w:rsidRPr="008A5A99">
        <w:rPr>
          <w:lang w:val="fr-FR"/>
        </w:rPr>
        <w:t>mort des suites de violences entre ou contre les personnes privées de liberté</w:t>
      </w:r>
      <w:r w:rsidRPr="008A5A99">
        <w:rPr>
          <w:lang w:val="fr-FR" w:eastAsia="es-ES"/>
        </w:rPr>
        <w:t>, agressions commises ou tolérées par des agents de l</w:t>
      </w:r>
      <w:r>
        <w:rPr>
          <w:lang w:val="fr-FR" w:eastAsia="es-ES"/>
        </w:rPr>
        <w:t>’</w:t>
      </w:r>
      <w:r w:rsidRPr="008A5A99">
        <w:rPr>
          <w:lang w:val="fr-FR" w:eastAsia="es-ES"/>
        </w:rPr>
        <w:t xml:space="preserve">État, </w:t>
      </w:r>
      <w:r>
        <w:rPr>
          <w:lang w:val="fr-FR" w:eastAsia="es-ES"/>
        </w:rPr>
        <w:t xml:space="preserve">utilisation excessive </w:t>
      </w:r>
      <w:r w:rsidRPr="008A5A99">
        <w:rPr>
          <w:lang w:val="fr-FR" w:eastAsia="es-ES"/>
        </w:rPr>
        <w:t>de la force, suicide, mort naturelle</w:t>
      </w:r>
      <w:r w:rsidRPr="008A5A99">
        <w:rPr>
          <w:lang w:val="fr-FR" w:eastAsia="en-GB"/>
        </w:rPr>
        <w:t>, maladie ou absence de</w:t>
      </w:r>
      <w:r w:rsidRPr="008A5A99">
        <w:rPr>
          <w:lang w:val="fr-FR" w:eastAsia="es-ES"/>
        </w:rPr>
        <w:t xml:space="preserve"> soins médicaux </w:t>
      </w:r>
      <w:r>
        <w:rPr>
          <w:lang w:val="fr-FR" w:eastAsia="es-ES"/>
        </w:rPr>
        <w:t xml:space="preserve">prodigués </w:t>
      </w:r>
      <w:r w:rsidRPr="008A5A99">
        <w:rPr>
          <w:lang w:val="fr-FR" w:eastAsia="es-ES"/>
        </w:rPr>
        <w:t>à temps</w:t>
      </w:r>
      <w:r w:rsidRPr="008A5A99">
        <w:rPr>
          <w:lang w:val="fr-FR" w:eastAsia="en-GB"/>
        </w:rPr>
        <w:t>)</w:t>
      </w:r>
      <w:r w:rsidRPr="008A5A99">
        <w:rPr>
          <w:lang w:val="fr-FR"/>
        </w:rPr>
        <w:t xml:space="preserve">. </w:t>
      </w:r>
      <w:r w:rsidRPr="008A5A99">
        <w:rPr>
          <w:lang w:val="fr-FR" w:eastAsia="es-ES"/>
        </w:rPr>
        <w:t>Donner des renseignements détaillés sur le nombre et l</w:t>
      </w:r>
      <w:r>
        <w:rPr>
          <w:lang w:val="fr-FR" w:eastAsia="es-ES"/>
        </w:rPr>
        <w:t>’</w:t>
      </w:r>
      <w:r w:rsidRPr="008A5A99">
        <w:rPr>
          <w:lang w:val="fr-FR" w:eastAsia="es-ES"/>
        </w:rPr>
        <w:t>issue des enquêtes menées dans ces affaires.</w:t>
      </w:r>
      <w:r w:rsidRPr="008A5A99">
        <w:rPr>
          <w:lang w:val="fr-FR" w:eastAsia="en-GB"/>
        </w:rPr>
        <w:t xml:space="preserve"> </w:t>
      </w:r>
      <w:r w:rsidRPr="008A5A99">
        <w:rPr>
          <w:lang w:val="fr-FR"/>
        </w:rPr>
        <w:t xml:space="preserve">Fournir aussi des détails sur les mesures prises pour enquêter sur les allégations de viol et </w:t>
      </w:r>
      <w:r>
        <w:rPr>
          <w:lang w:val="fr-FR"/>
        </w:rPr>
        <w:t>d’</w:t>
      </w:r>
      <w:r w:rsidRPr="008A5A99">
        <w:rPr>
          <w:lang w:val="fr-FR"/>
        </w:rPr>
        <w:t>agression sexuelle</w:t>
      </w:r>
      <w:r>
        <w:rPr>
          <w:lang w:val="fr-FR"/>
        </w:rPr>
        <w:t xml:space="preserve"> </w:t>
      </w:r>
      <w:r w:rsidRPr="008A5A99">
        <w:rPr>
          <w:lang w:val="fr-FR"/>
        </w:rPr>
        <w:t xml:space="preserve">de femmes, dont une adolescente, </w:t>
      </w:r>
      <w:r>
        <w:rPr>
          <w:lang w:val="fr-FR"/>
        </w:rPr>
        <w:t xml:space="preserve">survenus lors d’une émeute </w:t>
      </w:r>
      <w:r w:rsidRPr="008A5A99">
        <w:rPr>
          <w:lang w:val="fr-FR"/>
        </w:rPr>
        <w:t>dans la prison de Kasapa</w:t>
      </w:r>
      <w:r>
        <w:rPr>
          <w:lang w:val="fr-FR"/>
        </w:rPr>
        <w:t>,</w:t>
      </w:r>
      <w:r w:rsidRPr="008A5A99">
        <w:rPr>
          <w:lang w:val="fr-FR"/>
        </w:rPr>
        <w:t xml:space="preserve"> à Lubumbashi, </w:t>
      </w:r>
      <w:r>
        <w:rPr>
          <w:lang w:val="fr-FR"/>
        </w:rPr>
        <w:t>entre le</w:t>
      </w:r>
      <w:r w:rsidRPr="008A5A99">
        <w:rPr>
          <w:lang w:val="fr-FR"/>
        </w:rPr>
        <w:t xml:space="preserve"> 25 </w:t>
      </w:r>
      <w:r>
        <w:rPr>
          <w:lang w:val="fr-FR"/>
        </w:rPr>
        <w:t>et le</w:t>
      </w:r>
      <w:r w:rsidRPr="008A5A99">
        <w:rPr>
          <w:lang w:val="fr-FR"/>
        </w:rPr>
        <w:t xml:space="preserve"> </w:t>
      </w:r>
      <w:r w:rsidR="00D64B96" w:rsidRPr="008A5A99">
        <w:rPr>
          <w:lang w:val="fr-FR"/>
        </w:rPr>
        <w:t>28</w:t>
      </w:r>
      <w:r w:rsidR="00D64B96">
        <w:rPr>
          <w:lang w:val="fr-FR"/>
        </w:rPr>
        <w:t> </w:t>
      </w:r>
      <w:r w:rsidRPr="008A5A99">
        <w:rPr>
          <w:lang w:val="fr-FR"/>
        </w:rPr>
        <w:t xml:space="preserve">septembre 2020, sur les résultats de cette enquête et sur toute assistance fournie à ces femmes, notamment un soutien médical </w:t>
      </w:r>
      <w:r w:rsidRPr="00A26A2E">
        <w:rPr>
          <w:lang w:val="fr-FR"/>
        </w:rPr>
        <w:t>et psychologique</w:t>
      </w:r>
      <w:r w:rsidRPr="00C73F82">
        <w:rPr>
          <w:rStyle w:val="Appelnotedebasdep"/>
        </w:rPr>
        <w:footnoteReference w:id="24"/>
      </w:r>
      <w:r w:rsidRPr="00A26A2E">
        <w:t>.</w:t>
      </w:r>
      <w:r w:rsidRPr="00A26A2E">
        <w:rPr>
          <w:lang w:val="fr-FR"/>
        </w:rPr>
        <w:t xml:space="preserve"> </w:t>
      </w:r>
    </w:p>
    <w:p w14:paraId="63F76B42" w14:textId="77777777" w:rsidR="005A08D7" w:rsidRPr="00A26A2E" w:rsidRDefault="005A08D7" w:rsidP="00EF4994">
      <w:pPr>
        <w:pStyle w:val="SingleTxtG"/>
        <w:rPr>
          <w:b/>
          <w:lang w:val="fr-FR" w:eastAsia="en-GB"/>
        </w:rPr>
      </w:pPr>
      <w:r w:rsidRPr="00A26A2E">
        <w:rPr>
          <w:lang w:val="fr-FR"/>
        </w:rPr>
        <w:t>15.</w:t>
      </w:r>
      <w:r w:rsidRPr="00A26A2E">
        <w:rPr>
          <w:lang w:val="fr-FR"/>
        </w:rPr>
        <w:tab/>
        <w:t>Fournir des informations sur le nombre de personnes privées de liberté dans des hôpitaux psychiatriques et d</w:t>
      </w:r>
      <w:r>
        <w:rPr>
          <w:lang w:val="fr-FR"/>
        </w:rPr>
        <w:t>’</w:t>
      </w:r>
      <w:r w:rsidRPr="00A26A2E">
        <w:rPr>
          <w:lang w:val="fr-FR"/>
        </w:rPr>
        <w:t>autres établissements accueillant des personnes ayant un handicap intellectuel ou psychosocial. Indiquer ce qui est fait en vue d</w:t>
      </w:r>
      <w:r>
        <w:rPr>
          <w:lang w:val="fr-FR"/>
        </w:rPr>
        <w:t>’</w:t>
      </w:r>
      <w:r w:rsidRPr="00A26A2E">
        <w:rPr>
          <w:lang w:val="fr-FR"/>
        </w:rPr>
        <w:t>abandonner le placement des personnes handicapées en milieu fermé et préciser si d</w:t>
      </w:r>
      <w:r>
        <w:rPr>
          <w:lang w:val="fr-FR"/>
        </w:rPr>
        <w:t>’</w:t>
      </w:r>
      <w:r w:rsidRPr="00A26A2E">
        <w:rPr>
          <w:lang w:val="fr-FR"/>
        </w:rPr>
        <w:t>autres formes de prise en charge sont utilisées, comme les services de réadaptation à base communautaire et les programmes de soins ambulatoires</w:t>
      </w:r>
      <w:r w:rsidRPr="00A26A2E">
        <w:t>.</w:t>
      </w:r>
    </w:p>
    <w:p w14:paraId="25DAB804" w14:textId="77777777" w:rsidR="005A08D7" w:rsidRPr="00A26A2E" w:rsidRDefault="005A08D7" w:rsidP="00EF4994">
      <w:pPr>
        <w:pStyle w:val="H23G"/>
        <w:rPr>
          <w:lang w:val="fr-FR" w:eastAsia="en-GB"/>
        </w:rPr>
      </w:pPr>
      <w:r w:rsidRPr="00A26A2E">
        <w:rPr>
          <w:lang w:val="fr-FR" w:eastAsia="en-GB"/>
        </w:rPr>
        <w:tab/>
      </w:r>
      <w:r w:rsidRPr="00A26A2E">
        <w:rPr>
          <w:lang w:val="fr-FR" w:eastAsia="en-GB"/>
        </w:rPr>
        <w:tab/>
        <w:t>Articles 12 et 13</w:t>
      </w:r>
    </w:p>
    <w:p w14:paraId="52D240A7" w14:textId="77777777" w:rsidR="005A08D7" w:rsidRPr="008A5A99" w:rsidRDefault="005A08D7" w:rsidP="00EF4994">
      <w:pPr>
        <w:pStyle w:val="SingleTxtG"/>
        <w:rPr>
          <w:lang w:val="fr-FR" w:eastAsia="es-ES"/>
        </w:rPr>
      </w:pPr>
      <w:r w:rsidRPr="008A5A99">
        <w:rPr>
          <w:lang w:val="fr-FR"/>
        </w:rPr>
        <w:t>16.</w:t>
      </w:r>
      <w:r w:rsidRPr="008A5A99">
        <w:rPr>
          <w:lang w:val="fr-FR"/>
        </w:rPr>
        <w:tab/>
      </w:r>
      <w:r w:rsidRPr="008A5A99">
        <w:rPr>
          <w:lang w:val="fr-FR" w:eastAsia="es-ES"/>
        </w:rPr>
        <w:t>Compte tenu des précédentes observations finales du Comité</w:t>
      </w:r>
      <w:r w:rsidRPr="00C73F82">
        <w:rPr>
          <w:rStyle w:val="Appelnotedebasdep"/>
        </w:rPr>
        <w:footnoteReference w:id="25"/>
      </w:r>
      <w:r w:rsidRPr="008A5A99">
        <w:rPr>
          <w:lang w:val="fr-FR" w:eastAsia="es-ES"/>
        </w:rPr>
        <w:t xml:space="preserve">, fournir des données statistiques sur les plaintes déposées </w:t>
      </w:r>
      <w:r>
        <w:rPr>
          <w:lang w:val="fr-FR" w:eastAsia="es-ES"/>
        </w:rPr>
        <w:t xml:space="preserve">concernant des actes </w:t>
      </w:r>
      <w:r w:rsidRPr="008A5A99">
        <w:rPr>
          <w:lang w:val="fr-FR" w:eastAsia="es-ES"/>
        </w:rPr>
        <w:t xml:space="preserve">de torture et des mauvais traitements pour la période écoulée depuis 2019, </w:t>
      </w:r>
      <w:r>
        <w:rPr>
          <w:lang w:val="fr-FR" w:eastAsia="es-ES"/>
        </w:rPr>
        <w:t xml:space="preserve">en </w:t>
      </w:r>
      <w:r w:rsidRPr="008A5A99">
        <w:rPr>
          <w:lang w:val="fr-FR" w:eastAsia="es-ES"/>
        </w:rPr>
        <w:t>indiquant le service dont relèvent les personnes accusées d</w:t>
      </w:r>
      <w:r>
        <w:rPr>
          <w:lang w:val="fr-FR" w:eastAsia="es-ES"/>
        </w:rPr>
        <w:t>’</w:t>
      </w:r>
      <w:r w:rsidRPr="008A5A99">
        <w:rPr>
          <w:lang w:val="fr-FR" w:eastAsia="es-ES"/>
        </w:rPr>
        <w:t>avoir commis ces actes. Indiquer le nombre d</w:t>
      </w:r>
      <w:r>
        <w:rPr>
          <w:lang w:val="fr-FR" w:eastAsia="es-ES"/>
        </w:rPr>
        <w:t>’</w:t>
      </w:r>
      <w:r w:rsidRPr="008A5A99">
        <w:rPr>
          <w:lang w:val="fr-FR" w:eastAsia="es-ES"/>
        </w:rPr>
        <w:t>enquêtes ouvertes d</w:t>
      </w:r>
      <w:r>
        <w:rPr>
          <w:lang w:val="fr-FR" w:eastAsia="es-ES"/>
        </w:rPr>
        <w:t>’</w:t>
      </w:r>
      <w:r w:rsidRPr="008A5A99">
        <w:rPr>
          <w:lang w:val="fr-FR" w:eastAsia="es-ES"/>
        </w:rPr>
        <w:t>office sur des infractions de cette nature. Donner des renseignements sur les actions judiciaires et disciplinaires engagées, en précisant si elles ont abouti à une condamnation, à un non-lieu ou au classement de l</w:t>
      </w:r>
      <w:r>
        <w:rPr>
          <w:lang w:val="fr-FR" w:eastAsia="es-ES"/>
        </w:rPr>
        <w:t>’</w:t>
      </w:r>
      <w:r w:rsidRPr="008A5A99">
        <w:rPr>
          <w:lang w:val="fr-FR" w:eastAsia="es-ES"/>
        </w:rPr>
        <w:t xml:space="preserve">affaire, ainsi que sur les sanctions pénales et les mesures disciplinaires qui ont été prononcées. Préciser </w:t>
      </w:r>
      <w:r>
        <w:rPr>
          <w:lang w:val="fr-FR" w:eastAsia="es-ES"/>
        </w:rPr>
        <w:t>les</w:t>
      </w:r>
      <w:r w:rsidRPr="008A5A99">
        <w:rPr>
          <w:lang w:val="fr-FR" w:eastAsia="es-ES"/>
        </w:rPr>
        <w:t xml:space="preserve"> mesures qui ont été adoptées afin de mettre </w:t>
      </w:r>
      <w:r w:rsidRPr="008A5A99">
        <w:rPr>
          <w:lang w:val="fr-FR" w:eastAsia="es-ES"/>
        </w:rPr>
        <w:lastRenderedPageBreak/>
        <w:t xml:space="preserve">en place </w:t>
      </w:r>
      <w:r>
        <w:rPr>
          <w:lang w:val="fr-FR" w:eastAsia="es-ES"/>
        </w:rPr>
        <w:t>un</w:t>
      </w:r>
      <w:r w:rsidRPr="008A5A99">
        <w:rPr>
          <w:lang w:val="fr-FR" w:eastAsia="es-ES"/>
        </w:rPr>
        <w:t xml:space="preserve"> mécanisme de plainte indépendant, efficace, confidentiel et accessible dans tous les lieux de garde à vue et les prisons.</w:t>
      </w:r>
      <w:r w:rsidRPr="008A5A99">
        <w:rPr>
          <w:sz w:val="18"/>
          <w:vertAlign w:val="superscript"/>
          <w:lang w:val="fr-FR" w:eastAsia="es-ES"/>
        </w:rPr>
        <w:t xml:space="preserve"> </w:t>
      </w:r>
    </w:p>
    <w:p w14:paraId="67072048" w14:textId="77777777" w:rsidR="005A08D7" w:rsidRPr="008A5A99" w:rsidRDefault="005A08D7" w:rsidP="00EF4994">
      <w:pPr>
        <w:pStyle w:val="SingleTxtG"/>
        <w:keepNext/>
        <w:rPr>
          <w:lang w:val="fr-FR"/>
        </w:rPr>
      </w:pPr>
      <w:r w:rsidRPr="008A5A99">
        <w:rPr>
          <w:lang w:val="fr-FR"/>
        </w:rPr>
        <w:t>17.</w:t>
      </w:r>
      <w:r w:rsidRPr="008A5A99">
        <w:rPr>
          <w:lang w:val="fr-FR"/>
        </w:rPr>
        <w:tab/>
      </w:r>
      <w:r>
        <w:rPr>
          <w:lang w:val="fr-FR"/>
        </w:rPr>
        <w:t>D</w:t>
      </w:r>
      <w:r w:rsidRPr="008A5A99">
        <w:rPr>
          <w:lang w:val="fr-FR"/>
        </w:rPr>
        <w:t>onner des renseignements sur :</w:t>
      </w:r>
    </w:p>
    <w:p w14:paraId="176E4D4A" w14:textId="451C6AD5" w:rsidR="005A08D7" w:rsidRPr="008A5A99" w:rsidRDefault="005A08D7" w:rsidP="00EF4994">
      <w:pPr>
        <w:pStyle w:val="SingleTxtG"/>
        <w:ind w:firstLine="567"/>
        <w:rPr>
          <w:lang w:val="fr-FR" w:eastAsia="es-ES"/>
        </w:rPr>
      </w:pPr>
      <w:r w:rsidRPr="008A5A99">
        <w:rPr>
          <w:lang w:val="fr-FR"/>
        </w:rPr>
        <w:t>a)</w:t>
      </w:r>
      <w:r>
        <w:rPr>
          <w:lang w:val="fr-FR"/>
        </w:rPr>
        <w:tab/>
        <w:t>L</w:t>
      </w:r>
      <w:r w:rsidRPr="008A5A99">
        <w:rPr>
          <w:lang w:val="fr-FR"/>
        </w:rPr>
        <w:t>es mesures d</w:t>
      </w:r>
      <w:r w:rsidRPr="008A5A99">
        <w:rPr>
          <w:w w:val="103"/>
          <w:lang w:val="fr-FR"/>
        </w:rPr>
        <w:t xml:space="preserve">e protection des civils </w:t>
      </w:r>
      <w:r w:rsidRPr="008A5A99">
        <w:rPr>
          <w:lang w:val="fr-FR"/>
        </w:rPr>
        <w:t>dans les zones de conflit armé</w:t>
      </w:r>
      <w:r>
        <w:rPr>
          <w:lang w:val="fr-FR"/>
        </w:rPr>
        <w:t xml:space="preserve"> </w:t>
      </w:r>
      <w:r w:rsidRPr="008A5A99">
        <w:rPr>
          <w:lang w:val="fr-FR"/>
        </w:rPr>
        <w:t xml:space="preserve">et </w:t>
      </w:r>
      <w:r>
        <w:rPr>
          <w:lang w:val="fr-FR"/>
        </w:rPr>
        <w:t>des</w:t>
      </w:r>
      <w:r w:rsidRPr="008A5A99">
        <w:rPr>
          <w:lang w:val="fr-FR"/>
        </w:rPr>
        <w:t xml:space="preserve"> personnes déplacées à l</w:t>
      </w:r>
      <w:r>
        <w:rPr>
          <w:lang w:val="fr-FR"/>
        </w:rPr>
        <w:t>’</w:t>
      </w:r>
      <w:r w:rsidRPr="008A5A99">
        <w:rPr>
          <w:lang w:val="fr-FR"/>
        </w:rPr>
        <w:t>intérieur du pays</w:t>
      </w:r>
      <w:r>
        <w:rPr>
          <w:lang w:val="fr-FR"/>
        </w:rPr>
        <w:t>,</w:t>
      </w:r>
      <w:r w:rsidRPr="008A5A99">
        <w:rPr>
          <w:w w:val="103"/>
          <w:lang w:val="fr-FR"/>
        </w:rPr>
        <w:t xml:space="preserve"> et </w:t>
      </w:r>
      <w:r>
        <w:rPr>
          <w:w w:val="103"/>
          <w:lang w:val="fr-FR"/>
        </w:rPr>
        <w:t xml:space="preserve">les mesures </w:t>
      </w:r>
      <w:r w:rsidRPr="008A5A99">
        <w:rPr>
          <w:w w:val="103"/>
          <w:lang w:val="fr-FR"/>
        </w:rPr>
        <w:t xml:space="preserve">de </w:t>
      </w:r>
      <w:r w:rsidRPr="008A5A99">
        <w:rPr>
          <w:w w:val="103"/>
          <w:lang w:val="fr-CA"/>
        </w:rPr>
        <w:t xml:space="preserve">contrôle </w:t>
      </w:r>
      <w:r>
        <w:rPr>
          <w:w w:val="103"/>
          <w:lang w:val="fr-CA"/>
        </w:rPr>
        <w:t xml:space="preserve">prises </w:t>
      </w:r>
      <w:r w:rsidRPr="008A5A99">
        <w:rPr>
          <w:lang w:val="fr-FR"/>
        </w:rPr>
        <w:t>pour</w:t>
      </w:r>
      <w:r w:rsidRPr="008A5A99">
        <w:rPr>
          <w:lang w:val="fr-FR" w:eastAsia="es-ES"/>
        </w:rPr>
        <w:t xml:space="preserve"> empêcher que de</w:t>
      </w:r>
      <w:r>
        <w:rPr>
          <w:lang w:val="fr-FR" w:eastAsia="es-ES"/>
        </w:rPr>
        <w:t>s</w:t>
      </w:r>
      <w:r w:rsidRPr="008A5A99">
        <w:rPr>
          <w:lang w:val="fr-FR" w:eastAsia="es-ES"/>
        </w:rPr>
        <w:t xml:space="preserve"> actes </w:t>
      </w:r>
      <w:r>
        <w:rPr>
          <w:lang w:val="fr-FR" w:eastAsia="es-ES"/>
        </w:rPr>
        <w:t xml:space="preserve">de violence </w:t>
      </w:r>
      <w:r w:rsidRPr="008A5A99">
        <w:rPr>
          <w:lang w:val="fr-FR" w:eastAsia="es-ES"/>
        </w:rPr>
        <w:t xml:space="preserve">se reproduisent ; </w:t>
      </w:r>
    </w:p>
    <w:p w14:paraId="7D97CF45" w14:textId="729287BD" w:rsidR="005A08D7" w:rsidRPr="008A5A99" w:rsidRDefault="005A08D7" w:rsidP="00EF4994">
      <w:pPr>
        <w:pStyle w:val="SingleTxtG"/>
        <w:ind w:firstLine="567"/>
        <w:rPr>
          <w:lang w:val="fr-FR"/>
        </w:rPr>
      </w:pPr>
      <w:r w:rsidRPr="008A5A99">
        <w:rPr>
          <w:lang w:val="fr-FR" w:eastAsia="es-ES"/>
        </w:rPr>
        <w:t>b)</w:t>
      </w:r>
      <w:r>
        <w:rPr>
          <w:lang w:val="fr-FR"/>
        </w:rPr>
        <w:tab/>
        <w:t>L</w:t>
      </w:r>
      <w:r w:rsidRPr="008A5A99">
        <w:rPr>
          <w:lang w:val="fr-FR"/>
        </w:rPr>
        <w:t xml:space="preserve">es mesures de protection des civils touchés par la recrudescence des violences interethniques et intercommunautaires, notamment dans </w:t>
      </w:r>
      <w:r>
        <w:rPr>
          <w:lang w:val="fr-FR"/>
        </w:rPr>
        <w:t>les</w:t>
      </w:r>
      <w:r w:rsidRPr="008A5A99">
        <w:rPr>
          <w:lang w:val="fr-FR"/>
        </w:rPr>
        <w:t xml:space="preserve"> province</w:t>
      </w:r>
      <w:r>
        <w:rPr>
          <w:lang w:val="fr-FR"/>
        </w:rPr>
        <w:t>s</w:t>
      </w:r>
      <w:r w:rsidRPr="008A5A99">
        <w:rPr>
          <w:lang w:val="fr-FR"/>
        </w:rPr>
        <w:t xml:space="preserve"> de Tanganyika</w:t>
      </w:r>
      <w:r w:rsidRPr="00C73F82">
        <w:rPr>
          <w:rStyle w:val="Appelnotedebasdep"/>
        </w:rPr>
        <w:footnoteReference w:id="26"/>
      </w:r>
      <w:r w:rsidRPr="008A5A99">
        <w:rPr>
          <w:lang w:val="fr-FR"/>
        </w:rPr>
        <w:t>, du Sud-Kivu</w:t>
      </w:r>
      <w:r w:rsidRPr="00C73F82">
        <w:rPr>
          <w:rStyle w:val="Appelnotedebasdep"/>
        </w:rPr>
        <w:footnoteReference w:id="27"/>
      </w:r>
      <w:r w:rsidRPr="008A5A99">
        <w:rPr>
          <w:lang w:val="fr-FR"/>
        </w:rPr>
        <w:t>, du Nord-Kivu, d</w:t>
      </w:r>
      <w:r>
        <w:rPr>
          <w:lang w:val="fr-FR"/>
        </w:rPr>
        <w:t>e l’</w:t>
      </w:r>
      <w:r w:rsidRPr="008A5A99">
        <w:rPr>
          <w:lang w:val="fr-FR"/>
        </w:rPr>
        <w:t>Ituri</w:t>
      </w:r>
      <w:r w:rsidRPr="00C73F82">
        <w:rPr>
          <w:rStyle w:val="Appelnotedebasdep"/>
        </w:rPr>
        <w:footnoteReference w:id="28"/>
      </w:r>
      <w:r w:rsidRPr="008A5A99">
        <w:rPr>
          <w:lang w:val="fr-FR"/>
        </w:rPr>
        <w:t xml:space="preserve"> et du Kasaï</w:t>
      </w:r>
      <w:r w:rsidRPr="00C73F82">
        <w:rPr>
          <w:rStyle w:val="Appelnotedebasdep"/>
        </w:rPr>
        <w:footnoteReference w:id="29"/>
      </w:r>
      <w:r w:rsidRPr="008A5A99">
        <w:rPr>
          <w:lang w:val="fr-FR"/>
        </w:rPr>
        <w:t xml:space="preserve"> ; </w:t>
      </w:r>
    </w:p>
    <w:p w14:paraId="43F77D88" w14:textId="7A6E4DAD" w:rsidR="005A08D7" w:rsidRPr="008A5A99" w:rsidRDefault="005A08D7" w:rsidP="00EF4994">
      <w:pPr>
        <w:pStyle w:val="SingleTxtG"/>
        <w:ind w:firstLine="567"/>
        <w:rPr>
          <w:rFonts w:eastAsia="Calibri"/>
          <w:lang w:val="fr-FR"/>
        </w:rPr>
      </w:pPr>
      <w:r w:rsidRPr="008A5A99">
        <w:rPr>
          <w:lang w:val="fr-FR"/>
        </w:rPr>
        <w:t>c)</w:t>
      </w:r>
      <w:r>
        <w:rPr>
          <w:lang w:val="fr-FR"/>
        </w:rPr>
        <w:tab/>
        <w:t>L</w:t>
      </w:r>
      <w:r w:rsidRPr="008A5A99">
        <w:rPr>
          <w:lang w:val="fr-FR"/>
        </w:rPr>
        <w:t xml:space="preserve">es mesures visant à veiller à ce que tous les </w:t>
      </w:r>
      <w:r>
        <w:rPr>
          <w:lang w:val="fr-FR"/>
        </w:rPr>
        <w:t>acteurs</w:t>
      </w:r>
      <w:r w:rsidRPr="008A5A99">
        <w:rPr>
          <w:lang w:val="fr-FR"/>
        </w:rPr>
        <w:t xml:space="preserve"> étatiques, y compris les agents des services de sécurité, et non</w:t>
      </w:r>
      <w:r>
        <w:rPr>
          <w:lang w:val="fr-FR"/>
        </w:rPr>
        <w:t xml:space="preserve"> </w:t>
      </w:r>
      <w:r w:rsidRPr="008A5A99">
        <w:rPr>
          <w:lang w:val="fr-FR"/>
        </w:rPr>
        <w:t>étatiques</w:t>
      </w:r>
      <w:r w:rsidRPr="00C73F82">
        <w:rPr>
          <w:rStyle w:val="Appelnotedebasdep"/>
        </w:rPr>
        <w:footnoteReference w:id="30"/>
      </w:r>
      <w:r w:rsidRPr="008A5A99">
        <w:rPr>
          <w:lang w:val="fr-FR"/>
        </w:rPr>
        <w:t xml:space="preserve"> </w:t>
      </w:r>
      <w:r>
        <w:rPr>
          <w:lang w:val="fr-FR"/>
        </w:rPr>
        <w:t>accusés</w:t>
      </w:r>
      <w:r w:rsidRPr="008A5A99">
        <w:rPr>
          <w:lang w:val="fr-FR"/>
        </w:rPr>
        <w:t xml:space="preserve"> de crimes de guerre, de crimes contre l</w:t>
      </w:r>
      <w:r>
        <w:rPr>
          <w:lang w:val="fr-FR"/>
        </w:rPr>
        <w:t>’</w:t>
      </w:r>
      <w:r w:rsidRPr="008A5A99">
        <w:rPr>
          <w:lang w:val="fr-FR"/>
        </w:rPr>
        <w:t>humanité et d</w:t>
      </w:r>
      <w:r>
        <w:rPr>
          <w:lang w:val="fr-FR"/>
        </w:rPr>
        <w:t>’</w:t>
      </w:r>
      <w:r w:rsidRPr="008A5A99">
        <w:rPr>
          <w:lang w:val="fr-FR"/>
        </w:rPr>
        <w:t xml:space="preserve">autres crimes, y compris </w:t>
      </w:r>
      <w:r>
        <w:rPr>
          <w:lang w:val="fr-FR"/>
        </w:rPr>
        <w:t>des exécutions extrajudiciaires,</w:t>
      </w:r>
      <w:r w:rsidRPr="008A5A99">
        <w:rPr>
          <w:lang w:val="fr-FR"/>
        </w:rPr>
        <w:t xml:space="preserve"> sommaires ou arbitraires</w:t>
      </w:r>
      <w:r>
        <w:rPr>
          <w:lang w:val="fr-FR"/>
        </w:rPr>
        <w:t xml:space="preserve"> et</w:t>
      </w:r>
      <w:r w:rsidRPr="008A5A99">
        <w:rPr>
          <w:lang w:val="fr-FR"/>
        </w:rPr>
        <w:t xml:space="preserve"> des traitements cruels, inhumains </w:t>
      </w:r>
      <w:r>
        <w:rPr>
          <w:lang w:val="fr-FR"/>
        </w:rPr>
        <w:t>ou</w:t>
      </w:r>
      <w:r w:rsidRPr="008A5A99">
        <w:rPr>
          <w:lang w:val="fr-FR"/>
        </w:rPr>
        <w:t xml:space="preserve"> dégradants, ou de complicité de tels faits, soient poursuivis et que les victimes obtiennent justice</w:t>
      </w:r>
      <w:r>
        <w:rPr>
          <w:lang w:val="fr-FR"/>
        </w:rPr>
        <w:t>, et préciser</w:t>
      </w:r>
      <w:r w:rsidRPr="008A5A99">
        <w:rPr>
          <w:lang w:val="fr-FR"/>
        </w:rPr>
        <w:t xml:space="preserve"> si des enquêtes ont été ouvertes et si des poursuites ont été engagées, ainsi que les résultats de ces enquêtes. </w:t>
      </w:r>
    </w:p>
    <w:p w14:paraId="0897A0CD" w14:textId="74A6D4F7" w:rsidR="005A08D7" w:rsidRDefault="005A08D7" w:rsidP="00EF4994">
      <w:pPr>
        <w:pStyle w:val="SingleTxtG"/>
        <w:rPr>
          <w:lang w:val="fr-FR"/>
        </w:rPr>
      </w:pPr>
      <w:r w:rsidRPr="008A5A99">
        <w:rPr>
          <w:lang w:val="fr-FR"/>
        </w:rPr>
        <w:t>18.</w:t>
      </w:r>
      <w:r w:rsidRPr="008A5A99">
        <w:rPr>
          <w:lang w:val="fr-FR"/>
        </w:rPr>
        <w:tab/>
        <w:t>À la lumière des précédentes observations finales du Comité</w:t>
      </w:r>
      <w:r w:rsidRPr="00C73F82">
        <w:rPr>
          <w:rStyle w:val="Appelnotedebasdep"/>
        </w:rPr>
        <w:footnoteReference w:id="31"/>
      </w:r>
      <w:r w:rsidRPr="008A5A99">
        <w:rPr>
          <w:lang w:val="fr-FR"/>
        </w:rPr>
        <w:t xml:space="preserve">, </w:t>
      </w:r>
      <w:r>
        <w:rPr>
          <w:lang w:val="fr-FR"/>
        </w:rPr>
        <w:t xml:space="preserve">de </w:t>
      </w:r>
      <w:r w:rsidRPr="008A5A99">
        <w:rPr>
          <w:lang w:val="fr-FR"/>
        </w:rPr>
        <w:t>l</w:t>
      </w:r>
      <w:r>
        <w:rPr>
          <w:lang w:val="fr-FR"/>
        </w:rPr>
        <w:t>’</w:t>
      </w:r>
      <w:r w:rsidRPr="008A5A99">
        <w:rPr>
          <w:lang w:val="fr-FR"/>
        </w:rPr>
        <w:t>absence d</w:t>
      </w:r>
      <w:r>
        <w:rPr>
          <w:lang w:val="fr-FR"/>
        </w:rPr>
        <w:t>’</w:t>
      </w:r>
      <w:r w:rsidRPr="008A5A99">
        <w:rPr>
          <w:lang w:val="fr-FR"/>
        </w:rPr>
        <w:t>informations pertinentes fournies par l</w:t>
      </w:r>
      <w:r>
        <w:rPr>
          <w:lang w:val="fr-FR"/>
        </w:rPr>
        <w:t>’</w:t>
      </w:r>
      <w:r w:rsidRPr="008A5A99">
        <w:rPr>
          <w:lang w:val="fr-FR"/>
        </w:rPr>
        <w:t>État partie dans son rapport de suivi</w:t>
      </w:r>
      <w:r w:rsidRPr="00C73F82">
        <w:rPr>
          <w:rStyle w:val="Appelnotedebasdep"/>
        </w:rPr>
        <w:footnoteReference w:id="32"/>
      </w:r>
      <w:r>
        <w:rPr>
          <w:lang w:val="fr-FR"/>
        </w:rPr>
        <w:t xml:space="preserve"> et</w:t>
      </w:r>
      <w:r w:rsidRPr="008A5A99">
        <w:rPr>
          <w:lang w:val="fr-FR"/>
        </w:rPr>
        <w:t xml:space="preserve"> des informations </w:t>
      </w:r>
      <w:r>
        <w:rPr>
          <w:lang w:val="fr-FR"/>
        </w:rPr>
        <w:t>contenues</w:t>
      </w:r>
      <w:r w:rsidRPr="008A5A99">
        <w:rPr>
          <w:lang w:val="fr-FR"/>
        </w:rPr>
        <w:t xml:space="preserve"> dans des rapports du Bureau conjoint des Nations Unies pour les droits de l</w:t>
      </w:r>
      <w:r>
        <w:rPr>
          <w:lang w:val="fr-FR"/>
        </w:rPr>
        <w:t>’</w:t>
      </w:r>
      <w:r w:rsidRPr="008A5A99">
        <w:rPr>
          <w:lang w:val="fr-FR"/>
        </w:rPr>
        <w:t xml:space="preserve">homme </w:t>
      </w:r>
      <w:r>
        <w:rPr>
          <w:lang w:val="fr-FR"/>
        </w:rPr>
        <w:t xml:space="preserve">en République démocratique du Congo </w:t>
      </w:r>
      <w:r w:rsidRPr="008A5A99">
        <w:rPr>
          <w:lang w:val="fr-FR"/>
        </w:rPr>
        <w:t xml:space="preserve">en 2020 et </w:t>
      </w:r>
      <w:r w:rsidR="00D64B96">
        <w:rPr>
          <w:lang w:val="fr-FR"/>
        </w:rPr>
        <w:t xml:space="preserve">en </w:t>
      </w:r>
      <w:r w:rsidRPr="008A5A99">
        <w:rPr>
          <w:lang w:val="fr-FR"/>
        </w:rPr>
        <w:t>2021</w:t>
      </w:r>
      <w:r w:rsidRPr="00C73F82">
        <w:rPr>
          <w:rStyle w:val="Appelnotedebasdep"/>
        </w:rPr>
        <w:footnoteReference w:id="33"/>
      </w:r>
      <w:r w:rsidRPr="008A5A99">
        <w:rPr>
          <w:lang w:val="fr-FR"/>
        </w:rPr>
        <w:t xml:space="preserve">, fournir des données statistiques, pour la période écoulée depuis 2019 </w:t>
      </w:r>
      <w:r>
        <w:rPr>
          <w:lang w:val="fr-FR"/>
        </w:rPr>
        <w:t>pour les</w:t>
      </w:r>
      <w:r w:rsidRPr="008A5A99">
        <w:rPr>
          <w:lang w:val="fr-FR"/>
        </w:rPr>
        <w:t xml:space="preserve"> forces étatiques (Forces armées de la République démocratique </w:t>
      </w:r>
      <w:r>
        <w:rPr>
          <w:lang w:val="fr-FR"/>
        </w:rPr>
        <w:t>du Congo et Police nationale)</w:t>
      </w:r>
      <w:r w:rsidRPr="008A5A99">
        <w:rPr>
          <w:lang w:val="fr-FR"/>
        </w:rPr>
        <w:t xml:space="preserve"> </w:t>
      </w:r>
      <w:r>
        <w:rPr>
          <w:lang w:val="fr-FR"/>
        </w:rPr>
        <w:t>comme pour les</w:t>
      </w:r>
      <w:r w:rsidRPr="008A5A99">
        <w:rPr>
          <w:lang w:val="fr-FR"/>
        </w:rPr>
        <w:t xml:space="preserve"> groupes armés non étatiques, </w:t>
      </w:r>
      <w:r>
        <w:rPr>
          <w:lang w:val="fr-FR"/>
        </w:rPr>
        <w:t xml:space="preserve">ventilées par type d’infraction, </w:t>
      </w:r>
      <w:r w:rsidRPr="008A5A99">
        <w:rPr>
          <w:lang w:val="fr-FR"/>
        </w:rPr>
        <w:t>groupe d</w:t>
      </w:r>
      <w:r>
        <w:rPr>
          <w:lang w:val="fr-FR"/>
        </w:rPr>
        <w:t>’</w:t>
      </w:r>
      <w:r w:rsidRPr="008A5A99">
        <w:rPr>
          <w:lang w:val="fr-FR"/>
        </w:rPr>
        <w:t>âge (mineur/adulte) et sexe</w:t>
      </w:r>
      <w:r>
        <w:rPr>
          <w:lang w:val="fr-FR"/>
        </w:rPr>
        <w:t xml:space="preserve"> des victimes</w:t>
      </w:r>
      <w:r w:rsidRPr="008A5A99">
        <w:rPr>
          <w:lang w:val="fr-FR"/>
        </w:rPr>
        <w:t>, sur les violences fondées sur le genre, y compris la violence sexuelle, dans les zones de conflit</w:t>
      </w:r>
      <w:r>
        <w:rPr>
          <w:lang w:val="fr-FR"/>
        </w:rPr>
        <w:t>,</w:t>
      </w:r>
      <w:r w:rsidRPr="008A5A99">
        <w:rPr>
          <w:lang w:val="fr-FR"/>
        </w:rPr>
        <w:t xml:space="preserve"> </w:t>
      </w:r>
      <w:r>
        <w:rPr>
          <w:lang w:val="fr-FR"/>
        </w:rPr>
        <w:t>en indiquant</w:t>
      </w:r>
      <w:r w:rsidRPr="008A5A99">
        <w:rPr>
          <w:lang w:val="fr-FR"/>
        </w:rPr>
        <w:t xml:space="preserve"> le nombre de cas enregistrés, de plaintes déposées, d</w:t>
      </w:r>
      <w:r>
        <w:rPr>
          <w:lang w:val="fr-FR"/>
        </w:rPr>
        <w:t>’</w:t>
      </w:r>
      <w:r w:rsidRPr="008A5A99">
        <w:rPr>
          <w:lang w:val="fr-FR"/>
        </w:rPr>
        <w:t xml:space="preserve">enquêtes et de poursuites engagées, </w:t>
      </w:r>
      <w:r>
        <w:rPr>
          <w:lang w:val="fr-FR"/>
        </w:rPr>
        <w:t xml:space="preserve">et </w:t>
      </w:r>
      <w:r w:rsidRPr="008A5A99">
        <w:rPr>
          <w:lang w:val="fr-FR"/>
        </w:rPr>
        <w:t>de jugements et de condamnations prononcés. Fournir des détails sur les mesures de ré</w:t>
      </w:r>
      <w:r>
        <w:rPr>
          <w:lang w:val="fr-FR"/>
        </w:rPr>
        <w:t>paration accordées aux victimes,</w:t>
      </w:r>
      <w:r w:rsidRPr="008A5A99">
        <w:rPr>
          <w:lang w:val="fr-FR"/>
        </w:rPr>
        <w:t xml:space="preserve"> y compris des services spécialisés de réadaptation appropriés, dans tout le territoire. </w:t>
      </w:r>
      <w:r w:rsidRPr="008A5A99">
        <w:t xml:space="preserve">Donner des informations sur les mesures concrètes visant à réaliser le </w:t>
      </w:r>
      <w:r w:rsidRPr="008A5A99">
        <w:rPr>
          <w:lang w:val="fr-FR"/>
        </w:rPr>
        <w:t xml:space="preserve">plan triennal (2020-2023) de mise en œuvre du Communiqué conjoint entre </w:t>
      </w:r>
      <w:r>
        <w:rPr>
          <w:lang w:val="fr-FR"/>
        </w:rPr>
        <w:t>le Gouvernement de la République démocratique du Congo</w:t>
      </w:r>
      <w:r w:rsidRPr="008A5A99">
        <w:rPr>
          <w:lang w:val="fr-FR"/>
        </w:rPr>
        <w:t xml:space="preserve"> et les Nations Unies sur la lutte contre les violences sexuelles en conflit</w:t>
      </w:r>
      <w:r w:rsidRPr="008557A9">
        <w:rPr>
          <w:lang w:val="fr-FR"/>
        </w:rPr>
        <w:t xml:space="preserve"> </w:t>
      </w:r>
      <w:r w:rsidRPr="008A5A99">
        <w:rPr>
          <w:lang w:val="fr-FR"/>
        </w:rPr>
        <w:t xml:space="preserve">et de son addendum, notamment dans le domaine de la prise en charge </w:t>
      </w:r>
      <w:r>
        <w:rPr>
          <w:lang w:val="fr-FR"/>
        </w:rPr>
        <w:t>globale</w:t>
      </w:r>
      <w:r w:rsidRPr="008A5A99">
        <w:rPr>
          <w:lang w:val="fr-FR"/>
        </w:rPr>
        <w:t xml:space="preserve"> des victimes</w:t>
      </w:r>
      <w:r w:rsidRPr="00C73F82">
        <w:rPr>
          <w:rStyle w:val="Appelnotedebasdep"/>
        </w:rPr>
        <w:footnoteReference w:id="34"/>
      </w:r>
      <w:r w:rsidRPr="008A5A99">
        <w:t>.</w:t>
      </w:r>
      <w:r w:rsidRPr="008A5A99">
        <w:rPr>
          <w:lang w:val="fr-FR"/>
        </w:rPr>
        <w:t xml:space="preserve"> Indiquer en outre les mesures prises pour lutter contre la maltraitance des enfants, y compris leur enrôlement de force dans des groupes armés</w:t>
      </w:r>
      <w:r>
        <w:rPr>
          <w:lang w:val="fr-FR"/>
        </w:rPr>
        <w:t xml:space="preserve"> et</w:t>
      </w:r>
      <w:r w:rsidRPr="008A5A99">
        <w:rPr>
          <w:lang w:val="fr-FR"/>
        </w:rPr>
        <w:t xml:space="preserve"> l</w:t>
      </w:r>
      <w:r>
        <w:rPr>
          <w:lang w:val="fr-FR"/>
        </w:rPr>
        <w:t>’</w:t>
      </w:r>
      <w:r w:rsidRPr="008A5A99">
        <w:rPr>
          <w:lang w:val="fr-FR"/>
        </w:rPr>
        <w:t xml:space="preserve">exploitation sexuelle en zone de conflit. </w:t>
      </w:r>
      <w:r>
        <w:rPr>
          <w:lang w:val="fr-FR"/>
        </w:rPr>
        <w:t>Préciser</w:t>
      </w:r>
      <w:r w:rsidRPr="008A5A99">
        <w:rPr>
          <w:lang w:val="fr-FR"/>
        </w:rPr>
        <w:t xml:space="preserve"> si des enquêtes ont été ouvertes et si des poursuites ont été engagées, </w:t>
      </w:r>
      <w:r>
        <w:rPr>
          <w:lang w:val="fr-FR"/>
        </w:rPr>
        <w:t xml:space="preserve">et le cas échéant, indiquer </w:t>
      </w:r>
      <w:r w:rsidRPr="008A5A99">
        <w:rPr>
          <w:lang w:val="fr-FR"/>
        </w:rPr>
        <w:t>les résultats de ces enquêtes ainsi que les réparations accordées aux victimes.</w:t>
      </w:r>
    </w:p>
    <w:p w14:paraId="3C009C82" w14:textId="77777777" w:rsidR="005A08D7" w:rsidRDefault="005A08D7" w:rsidP="00EF4994">
      <w:pPr>
        <w:pStyle w:val="SingleTxtG"/>
        <w:keepNext/>
        <w:rPr>
          <w:lang w:val="fr-FR"/>
        </w:rPr>
      </w:pPr>
      <w:r w:rsidRPr="008A5A99">
        <w:t>19.</w:t>
      </w:r>
      <w:r w:rsidRPr="008A5A99">
        <w:tab/>
      </w:r>
      <w:r w:rsidRPr="008A5A99">
        <w:rPr>
          <w:lang w:val="fr-FR"/>
        </w:rPr>
        <w:t xml:space="preserve">Eu égard aux conclusions et </w:t>
      </w:r>
      <w:r>
        <w:rPr>
          <w:lang w:val="fr-FR"/>
        </w:rPr>
        <w:t xml:space="preserve">aux </w:t>
      </w:r>
      <w:r w:rsidRPr="008A5A99">
        <w:rPr>
          <w:lang w:val="fr-FR"/>
        </w:rPr>
        <w:t xml:space="preserve">recommandations </w:t>
      </w:r>
      <w:r>
        <w:rPr>
          <w:lang w:val="fr-FR"/>
        </w:rPr>
        <w:t>de l’Équipe d’</w:t>
      </w:r>
      <w:r w:rsidRPr="008A5A99">
        <w:rPr>
          <w:lang w:val="fr-FR"/>
        </w:rPr>
        <w:t>experts internationaux sur la situation au Kasaï</w:t>
      </w:r>
      <w:r w:rsidRPr="008A5A99">
        <w:t>,</w:t>
      </w:r>
      <w:r w:rsidRPr="008A5A99">
        <w:rPr>
          <w:lang w:val="fr-FR"/>
        </w:rPr>
        <w:t xml:space="preserve"> fournir des informations</w:t>
      </w:r>
      <w:r>
        <w:rPr>
          <w:lang w:val="fr-FR"/>
        </w:rPr>
        <w:t xml:space="preserve"> sur </w:t>
      </w:r>
      <w:r w:rsidRPr="008A5A99">
        <w:rPr>
          <w:lang w:val="fr-FR"/>
        </w:rPr>
        <w:t xml:space="preserve">: </w:t>
      </w:r>
    </w:p>
    <w:p w14:paraId="7E80FE5D" w14:textId="3F44EFF5" w:rsidR="005A08D7" w:rsidRPr="008A5A99" w:rsidRDefault="005A08D7" w:rsidP="00EF4994">
      <w:pPr>
        <w:pStyle w:val="SingleTxtG"/>
        <w:ind w:firstLine="567"/>
      </w:pPr>
      <w:r w:rsidRPr="008A5A99">
        <w:rPr>
          <w:lang w:val="fr-FR"/>
        </w:rPr>
        <w:t>a)</w:t>
      </w:r>
      <w:r w:rsidRPr="008A5A99">
        <w:rPr>
          <w:lang w:val="fr-FR"/>
        </w:rPr>
        <w:tab/>
      </w:r>
      <w:r>
        <w:rPr>
          <w:lang w:val="fr-FR"/>
        </w:rPr>
        <w:t>L</w:t>
      </w:r>
      <w:r w:rsidRPr="008A5A99">
        <w:rPr>
          <w:lang w:val="fr-FR"/>
        </w:rPr>
        <w:t xml:space="preserve">es efforts </w:t>
      </w:r>
      <w:r>
        <w:rPr>
          <w:lang w:val="fr-FR"/>
        </w:rPr>
        <w:t>fournis</w:t>
      </w:r>
      <w:r w:rsidRPr="008A5A99">
        <w:rPr>
          <w:lang w:val="fr-FR"/>
        </w:rPr>
        <w:t xml:space="preserve"> pour libérer les femmes réduites en esclavage par les miliciens Bana Mura, encore asservies</w:t>
      </w:r>
      <w:r w:rsidRPr="00C73F82">
        <w:rPr>
          <w:rStyle w:val="Appelnotedebasdep"/>
        </w:rPr>
        <w:footnoteReference w:id="35"/>
      </w:r>
      <w:r>
        <w:rPr>
          <w:lang w:val="fr-FR"/>
        </w:rPr>
        <w:t>,</w:t>
      </w:r>
      <w:r w:rsidRPr="008A5A99">
        <w:rPr>
          <w:lang w:val="fr-FR"/>
        </w:rPr>
        <w:t xml:space="preserve"> </w:t>
      </w:r>
      <w:r>
        <w:rPr>
          <w:lang w:val="fr-FR"/>
        </w:rPr>
        <w:t>en détaillant</w:t>
      </w:r>
      <w:r w:rsidRPr="008A5A99">
        <w:rPr>
          <w:lang w:val="fr-FR"/>
        </w:rPr>
        <w:t xml:space="preserve"> les mesures prises pour accélérer l</w:t>
      </w:r>
      <w:r>
        <w:rPr>
          <w:lang w:val="fr-FR"/>
        </w:rPr>
        <w:t>’</w:t>
      </w:r>
      <w:r w:rsidRPr="008A5A99">
        <w:rPr>
          <w:lang w:val="fr-FR"/>
        </w:rPr>
        <w:t>instruction par la justice militaire des plaintes des femmes qui ont pu s</w:t>
      </w:r>
      <w:r>
        <w:rPr>
          <w:lang w:val="fr-FR"/>
        </w:rPr>
        <w:t>’</w:t>
      </w:r>
      <w:r w:rsidRPr="008A5A99">
        <w:rPr>
          <w:lang w:val="fr-FR"/>
        </w:rPr>
        <w:t>échapper ou ont été libérées, pour aboutir rapidement à la traduction en justice des auteurs et complice</w:t>
      </w:r>
      <w:r>
        <w:rPr>
          <w:lang w:val="fr-FR"/>
        </w:rPr>
        <w:t>s</w:t>
      </w:r>
      <w:r w:rsidRPr="008A5A99">
        <w:rPr>
          <w:lang w:val="fr-FR"/>
        </w:rPr>
        <w:t xml:space="preserve"> de ces crimes</w:t>
      </w:r>
      <w:r>
        <w:rPr>
          <w:lang w:val="fr-FR"/>
        </w:rPr>
        <w:t>,</w:t>
      </w:r>
      <w:r w:rsidRPr="008A5A99">
        <w:rPr>
          <w:lang w:val="fr-FR"/>
        </w:rPr>
        <w:t xml:space="preserve"> et pour leur garantir l</w:t>
      </w:r>
      <w:r>
        <w:rPr>
          <w:lang w:val="fr-FR"/>
        </w:rPr>
        <w:t>’</w:t>
      </w:r>
      <w:r w:rsidRPr="008A5A99">
        <w:rPr>
          <w:lang w:val="fr-FR"/>
        </w:rPr>
        <w:t xml:space="preserve">accès </w:t>
      </w:r>
      <w:r w:rsidRPr="008A5A99">
        <w:t xml:space="preserve">à des voies de recours, </w:t>
      </w:r>
      <w:r>
        <w:t xml:space="preserve">à une </w:t>
      </w:r>
      <w:r w:rsidRPr="008A5A99">
        <w:t xml:space="preserve">indemnisation et </w:t>
      </w:r>
      <w:r>
        <w:t xml:space="preserve">à </w:t>
      </w:r>
      <w:r w:rsidRPr="008A5A99">
        <w:t>des services spécialisés de réadaptation médico-psychologique ;</w:t>
      </w:r>
      <w:r>
        <w:t xml:space="preserve"> </w:t>
      </w:r>
    </w:p>
    <w:p w14:paraId="35AB3F81" w14:textId="52B656F4" w:rsidR="005A08D7" w:rsidRPr="008A5A99" w:rsidRDefault="005A08D7" w:rsidP="00EF4994">
      <w:pPr>
        <w:pStyle w:val="SingleTxtG"/>
        <w:ind w:firstLine="567"/>
      </w:pPr>
      <w:r w:rsidRPr="008A5A99">
        <w:lastRenderedPageBreak/>
        <w:t>b)</w:t>
      </w:r>
      <w:r w:rsidRPr="008A5A99">
        <w:tab/>
      </w:r>
      <w:r>
        <w:rPr>
          <w:lang w:val="fr-FR"/>
        </w:rPr>
        <w:t>L</w:t>
      </w:r>
      <w:r w:rsidRPr="008A5A99">
        <w:rPr>
          <w:lang w:val="fr-FR"/>
        </w:rPr>
        <w:t xml:space="preserve">es mesures prises dans le cadre des poursuites contre les auteurs présumés des violations des droits </w:t>
      </w:r>
      <w:r>
        <w:rPr>
          <w:lang w:val="fr-FR"/>
        </w:rPr>
        <w:t>humains</w:t>
      </w:r>
      <w:r w:rsidRPr="008A5A99">
        <w:rPr>
          <w:lang w:val="fr-FR"/>
        </w:rPr>
        <w:t xml:space="preserve"> commises lors de la crise liée à la milice Kamuina Nsapu</w:t>
      </w:r>
      <w:r w:rsidRPr="00C73F82">
        <w:rPr>
          <w:rStyle w:val="Appelnotedebasdep"/>
        </w:rPr>
        <w:footnoteReference w:id="36"/>
      </w:r>
      <w:r w:rsidRPr="008A5A99">
        <w:rPr>
          <w:lang w:val="fr-FR"/>
        </w:rPr>
        <w:t>.</w:t>
      </w:r>
    </w:p>
    <w:p w14:paraId="05B00C50" w14:textId="0D984447" w:rsidR="005A08D7" w:rsidRPr="008A5A99" w:rsidRDefault="005A08D7" w:rsidP="00EF4994">
      <w:pPr>
        <w:pStyle w:val="SingleTxtG"/>
        <w:rPr>
          <w:lang w:val="fr-FR" w:eastAsia="es-ES"/>
        </w:rPr>
      </w:pPr>
      <w:r w:rsidRPr="008A5A99">
        <w:rPr>
          <w:lang w:val="fr-FR"/>
        </w:rPr>
        <w:t>20.</w:t>
      </w:r>
      <w:r w:rsidRPr="008A5A99">
        <w:rPr>
          <w:lang w:val="fr-FR"/>
        </w:rPr>
        <w:tab/>
        <w:t>Eu égard aux précédentes observations finales du Comité</w:t>
      </w:r>
      <w:r w:rsidRPr="00C73F82">
        <w:rPr>
          <w:rStyle w:val="Appelnotedebasdep"/>
        </w:rPr>
        <w:footnoteReference w:id="37"/>
      </w:r>
      <w:r w:rsidRPr="008A5A99">
        <w:rPr>
          <w:lang w:val="fr-FR"/>
        </w:rPr>
        <w:t xml:space="preserve"> et à la lumière des rapports faisant état d</w:t>
      </w:r>
      <w:r>
        <w:rPr>
          <w:lang w:val="fr-FR"/>
        </w:rPr>
        <w:t>’</w:t>
      </w:r>
      <w:r w:rsidRPr="008A5A99">
        <w:rPr>
          <w:lang w:val="fr-FR"/>
        </w:rPr>
        <w:t>un usage excessif de la force, d</w:t>
      </w:r>
      <w:r>
        <w:rPr>
          <w:lang w:val="fr-FR"/>
        </w:rPr>
        <w:t>’</w:t>
      </w:r>
      <w:r w:rsidRPr="008A5A99">
        <w:rPr>
          <w:lang w:val="fr-FR"/>
        </w:rPr>
        <w:t>exécutions extrajudiciaires</w:t>
      </w:r>
      <w:r>
        <w:rPr>
          <w:lang w:val="fr-FR"/>
        </w:rPr>
        <w:t>,</w:t>
      </w:r>
      <w:r w:rsidRPr="008A5A99">
        <w:rPr>
          <w:lang w:val="fr-FR"/>
        </w:rPr>
        <w:t xml:space="preserve"> de torture,</w:t>
      </w:r>
      <w:r>
        <w:rPr>
          <w:lang w:val="fr-FR"/>
        </w:rPr>
        <w:t xml:space="preserve"> et de</w:t>
      </w:r>
      <w:r w:rsidRPr="008A5A99">
        <w:rPr>
          <w:lang w:val="fr-FR"/>
        </w:rPr>
        <w:t xml:space="preserve"> l</w:t>
      </w:r>
      <w:r>
        <w:rPr>
          <w:lang w:val="fr-FR"/>
        </w:rPr>
        <w:t>’</w:t>
      </w:r>
      <w:r w:rsidRPr="008A5A99">
        <w:rPr>
          <w:lang w:val="fr-FR"/>
        </w:rPr>
        <w:t xml:space="preserve">utilisation de balles réelles pour réprimer des rassemblements et </w:t>
      </w:r>
      <w:r>
        <w:rPr>
          <w:lang w:val="fr-FR"/>
        </w:rPr>
        <w:t xml:space="preserve">des </w:t>
      </w:r>
      <w:r w:rsidRPr="008A5A99">
        <w:rPr>
          <w:lang w:val="fr-FR"/>
        </w:rPr>
        <w:t>manifestations à but politique</w:t>
      </w:r>
      <w:r w:rsidRPr="00C73F82">
        <w:rPr>
          <w:rStyle w:val="Appelnotedebasdep"/>
        </w:rPr>
        <w:footnoteReference w:id="38"/>
      </w:r>
      <w:r w:rsidRPr="008A5A99">
        <w:rPr>
          <w:lang w:val="fr-FR"/>
        </w:rPr>
        <w:t xml:space="preserve">, indiquer les mesures de contrôle </w:t>
      </w:r>
      <w:r>
        <w:rPr>
          <w:lang w:val="fr-FR"/>
        </w:rPr>
        <w:t xml:space="preserve">mises </w:t>
      </w:r>
      <w:r w:rsidRPr="008A5A99">
        <w:rPr>
          <w:lang w:val="fr-FR"/>
        </w:rPr>
        <w:t>en place pour assurer que les forces de défense et de sécurité appliquent des mesures non violentes avant d</w:t>
      </w:r>
      <w:r>
        <w:rPr>
          <w:lang w:val="fr-FR"/>
        </w:rPr>
        <w:t>’</w:t>
      </w:r>
      <w:r w:rsidRPr="008A5A99">
        <w:rPr>
          <w:lang w:val="fr-FR"/>
        </w:rPr>
        <w:t>employer la force lors du contrôle de manifestations. Fournir également des données, pour la période écoulée depuis 2019, ventilées par type d</w:t>
      </w:r>
      <w:r>
        <w:rPr>
          <w:lang w:val="fr-FR"/>
        </w:rPr>
        <w:t>’</w:t>
      </w:r>
      <w:r w:rsidRPr="008A5A99">
        <w:rPr>
          <w:lang w:val="fr-FR"/>
        </w:rPr>
        <w:t>infraction et par sexe, tranche d</w:t>
      </w:r>
      <w:r>
        <w:rPr>
          <w:lang w:val="fr-FR"/>
        </w:rPr>
        <w:t>’</w:t>
      </w:r>
      <w:r w:rsidRPr="008A5A99">
        <w:rPr>
          <w:lang w:val="fr-FR"/>
        </w:rPr>
        <w:t xml:space="preserve">âge et appartenance ethnique de la victime, sur </w:t>
      </w:r>
      <w:r>
        <w:rPr>
          <w:lang w:val="fr-FR"/>
        </w:rPr>
        <w:t>les</w:t>
      </w:r>
      <w:r w:rsidRPr="008A5A99">
        <w:rPr>
          <w:lang w:val="fr-FR"/>
        </w:rPr>
        <w:t xml:space="preserve"> allégations d</w:t>
      </w:r>
      <w:r>
        <w:rPr>
          <w:lang w:val="fr-FR"/>
        </w:rPr>
        <w:t>’</w:t>
      </w:r>
      <w:r w:rsidRPr="008A5A99">
        <w:rPr>
          <w:lang w:val="fr-FR"/>
        </w:rPr>
        <w:t>usage excessif de la force par des agents de l</w:t>
      </w:r>
      <w:r>
        <w:rPr>
          <w:lang w:val="fr-FR"/>
        </w:rPr>
        <w:t>’</w:t>
      </w:r>
      <w:r w:rsidRPr="008A5A99">
        <w:rPr>
          <w:lang w:val="fr-FR"/>
        </w:rPr>
        <w:t xml:space="preserve">État. </w:t>
      </w:r>
      <w:r w:rsidRPr="008A5A99">
        <w:rPr>
          <w:lang w:val="fr-FR" w:eastAsia="es-ES"/>
        </w:rPr>
        <w:t>Indiquer les résultats des enquêtes et des actions engagées, les jugements rendus et les peines prononcées. Donner des informations sur la mise en œuvre des recommandations de la Commission d</w:t>
      </w:r>
      <w:r>
        <w:rPr>
          <w:lang w:val="fr-FR" w:eastAsia="es-ES"/>
        </w:rPr>
        <w:t>’</w:t>
      </w:r>
      <w:r w:rsidRPr="008A5A99">
        <w:rPr>
          <w:lang w:val="fr-FR" w:eastAsia="es-ES"/>
        </w:rPr>
        <w:t xml:space="preserve">enquête mixte et </w:t>
      </w:r>
      <w:r>
        <w:rPr>
          <w:lang w:val="fr-FR" w:eastAsia="es-ES"/>
        </w:rPr>
        <w:t>sur les</w:t>
      </w:r>
      <w:r w:rsidRPr="008A5A99">
        <w:rPr>
          <w:lang w:val="fr-FR" w:eastAsia="es-ES"/>
        </w:rPr>
        <w:t xml:space="preserve"> enquêtes judiciaires </w:t>
      </w:r>
      <w:r>
        <w:rPr>
          <w:lang w:val="fr-FR" w:eastAsia="es-ES"/>
        </w:rPr>
        <w:t xml:space="preserve">menées </w:t>
      </w:r>
      <w:r w:rsidRPr="008A5A99">
        <w:rPr>
          <w:lang w:val="fr-FR" w:eastAsia="es-ES"/>
        </w:rPr>
        <w:t xml:space="preserve">sur les manifestations de décembre 2017 et janvier 2018, </w:t>
      </w:r>
      <w:r>
        <w:rPr>
          <w:lang w:val="fr-FR" w:eastAsia="es-ES"/>
        </w:rPr>
        <w:t xml:space="preserve">par </w:t>
      </w:r>
      <w:r w:rsidRPr="008A5A99">
        <w:rPr>
          <w:lang w:val="fr-FR"/>
        </w:rPr>
        <w:t xml:space="preserve">suite </w:t>
      </w:r>
      <w:r>
        <w:rPr>
          <w:lang w:val="fr-FR"/>
        </w:rPr>
        <w:t>de</w:t>
      </w:r>
      <w:r w:rsidRPr="008A5A99">
        <w:rPr>
          <w:lang w:val="fr-FR"/>
        </w:rPr>
        <w:t xml:space="preserve"> la recommandation du Comité dans ses précédentes observations finales</w:t>
      </w:r>
      <w:r w:rsidRPr="00C73F82">
        <w:rPr>
          <w:rStyle w:val="Appelnotedebasdep"/>
        </w:rPr>
        <w:footnoteReference w:id="39"/>
      </w:r>
      <w:r w:rsidRPr="008A5A99">
        <w:rPr>
          <w:lang w:val="fr-FR"/>
        </w:rPr>
        <w:t xml:space="preserve">. </w:t>
      </w:r>
      <w:r w:rsidRPr="008A5A99">
        <w:rPr>
          <w:lang w:val="fr-FR" w:eastAsia="es-ES"/>
        </w:rPr>
        <w:t>En outre, i</w:t>
      </w:r>
      <w:r w:rsidRPr="008A5A99">
        <w:rPr>
          <w:lang w:val="fr-FR"/>
        </w:rPr>
        <w:t>ndiquer si des enquêtes ont été ouvertes concernant l</w:t>
      </w:r>
      <w:r>
        <w:rPr>
          <w:lang w:val="fr-FR"/>
        </w:rPr>
        <w:t>’</w:t>
      </w:r>
      <w:r w:rsidRPr="008A5A99">
        <w:rPr>
          <w:lang w:val="fr-FR"/>
        </w:rPr>
        <w:t xml:space="preserve">usage de la force par les forces de sécurité, </w:t>
      </w:r>
      <w:r w:rsidR="00D64B96" w:rsidRPr="008A5A99">
        <w:rPr>
          <w:lang w:val="fr-FR"/>
        </w:rPr>
        <w:t>notamment</w:t>
      </w:r>
      <w:r w:rsidR="00D64B96">
        <w:rPr>
          <w:lang w:val="fr-FR"/>
        </w:rPr>
        <w:t xml:space="preserve"> </w:t>
      </w:r>
      <w:r w:rsidRPr="008A5A99">
        <w:rPr>
          <w:lang w:val="fr-FR"/>
        </w:rPr>
        <w:t>à l</w:t>
      </w:r>
      <w:r>
        <w:rPr>
          <w:lang w:val="fr-FR"/>
        </w:rPr>
        <w:t>’</w:t>
      </w:r>
      <w:r w:rsidRPr="008A5A99">
        <w:rPr>
          <w:lang w:val="fr-FR"/>
        </w:rPr>
        <w:t>encontre des personnes qui ne respectaient pas les mesures de protection imposées pendant l</w:t>
      </w:r>
      <w:r>
        <w:rPr>
          <w:lang w:val="fr-FR"/>
        </w:rPr>
        <w:t>’</w:t>
      </w:r>
      <w:r w:rsidRPr="008A5A99">
        <w:rPr>
          <w:lang w:val="fr-FR"/>
        </w:rPr>
        <w:t>état d</w:t>
      </w:r>
      <w:r>
        <w:rPr>
          <w:lang w:val="fr-FR"/>
        </w:rPr>
        <w:t>’</w:t>
      </w:r>
      <w:r w:rsidRPr="008A5A99">
        <w:rPr>
          <w:lang w:val="fr-FR"/>
        </w:rPr>
        <w:t xml:space="preserve">urgence sanitaire décrété par ordonnance du </w:t>
      </w:r>
      <w:r w:rsidR="00D64B96" w:rsidRPr="008A5A99">
        <w:rPr>
          <w:lang w:val="fr-FR"/>
        </w:rPr>
        <w:t>24</w:t>
      </w:r>
      <w:r w:rsidR="00D64B96">
        <w:rPr>
          <w:lang w:val="fr-FR"/>
        </w:rPr>
        <w:t> </w:t>
      </w:r>
      <w:r w:rsidRPr="008A5A99">
        <w:rPr>
          <w:lang w:val="fr-FR"/>
        </w:rPr>
        <w:t>mars 2020 pour faire face à la pandémie</w:t>
      </w:r>
      <w:r>
        <w:rPr>
          <w:lang w:val="fr-FR"/>
        </w:rPr>
        <w:t xml:space="preserve"> de COVID-19</w:t>
      </w:r>
      <w:r w:rsidRPr="008A5A99">
        <w:t>.</w:t>
      </w:r>
      <w:r w:rsidRPr="008A5A99">
        <w:rPr>
          <w:lang w:val="fr-FR"/>
        </w:rPr>
        <w:t xml:space="preserve"> </w:t>
      </w:r>
    </w:p>
    <w:p w14:paraId="4DD50160" w14:textId="77777777" w:rsidR="005A08D7" w:rsidRPr="008A5A99" w:rsidRDefault="005A08D7" w:rsidP="00EF4994">
      <w:pPr>
        <w:pStyle w:val="H23G"/>
        <w:rPr>
          <w:lang w:val="fr-FR"/>
        </w:rPr>
      </w:pPr>
      <w:r w:rsidRPr="008A5A99">
        <w:rPr>
          <w:lang w:val="fr-FR"/>
        </w:rPr>
        <w:tab/>
      </w:r>
      <w:r w:rsidRPr="008A5A99">
        <w:rPr>
          <w:lang w:val="fr-FR"/>
        </w:rPr>
        <w:tab/>
        <w:t>Article 14</w:t>
      </w:r>
    </w:p>
    <w:p w14:paraId="7FA28F12" w14:textId="25800BF2" w:rsidR="005A08D7" w:rsidRPr="008A5A99" w:rsidRDefault="005A08D7" w:rsidP="00EF4994">
      <w:pPr>
        <w:pStyle w:val="SingleTxtG"/>
        <w:rPr>
          <w:lang w:val="fr-FR"/>
        </w:rPr>
      </w:pPr>
      <w:r w:rsidRPr="008A5A99">
        <w:rPr>
          <w:lang w:val="fr-FR"/>
        </w:rPr>
        <w:t>21.</w:t>
      </w:r>
      <w:r w:rsidRPr="008A5A99">
        <w:rPr>
          <w:lang w:val="fr-FR"/>
        </w:rPr>
        <w:tab/>
        <w:t>Eu égard aux précédentes observations finales du Comité</w:t>
      </w:r>
      <w:r w:rsidRPr="00C73F82">
        <w:rPr>
          <w:rStyle w:val="Appelnotedebasdep"/>
        </w:rPr>
        <w:footnoteReference w:id="40"/>
      </w:r>
      <w:r w:rsidRPr="008A5A99">
        <w:rPr>
          <w:lang w:val="fr-FR"/>
        </w:rPr>
        <w:t xml:space="preserve">, </w:t>
      </w:r>
      <w:r>
        <w:rPr>
          <w:lang w:val="fr-FR"/>
        </w:rPr>
        <w:t>indiquer</w:t>
      </w:r>
      <w:r w:rsidRPr="008A5A99">
        <w:rPr>
          <w:lang w:val="fr-FR"/>
        </w:rPr>
        <w:t xml:space="preserve"> si l</w:t>
      </w:r>
      <w:r>
        <w:rPr>
          <w:lang w:val="fr-FR"/>
        </w:rPr>
        <w:t>’</w:t>
      </w:r>
      <w:r w:rsidRPr="008A5A99">
        <w:rPr>
          <w:lang w:val="fr-FR"/>
        </w:rPr>
        <w:t>État partie a pris ou envisage de prendre des</w:t>
      </w:r>
      <w:r w:rsidRPr="008A310C">
        <w:rPr>
          <w:bCs/>
          <w:lang w:val="fr-FR"/>
        </w:rPr>
        <w:t xml:space="preserve"> </w:t>
      </w:r>
      <w:r w:rsidRPr="008A5A99">
        <w:rPr>
          <w:lang w:val="fr-FR"/>
        </w:rPr>
        <w:t>mesures pour garantir que les victimes d</w:t>
      </w:r>
      <w:r>
        <w:rPr>
          <w:lang w:val="fr-FR"/>
        </w:rPr>
        <w:t>’</w:t>
      </w:r>
      <w:r w:rsidRPr="008A5A99">
        <w:rPr>
          <w:lang w:val="fr-FR"/>
        </w:rPr>
        <w:t xml:space="preserve">actes de torture et de mauvais traitements </w:t>
      </w:r>
      <w:r>
        <w:rPr>
          <w:lang w:val="fr-FR"/>
        </w:rPr>
        <w:t>ont</w:t>
      </w:r>
      <w:r w:rsidRPr="008A5A99">
        <w:rPr>
          <w:lang w:val="fr-FR"/>
        </w:rPr>
        <w:t xml:space="preserve"> accès à des recours utiles et </w:t>
      </w:r>
      <w:r>
        <w:rPr>
          <w:lang w:val="fr-FR"/>
        </w:rPr>
        <w:t>peuvent</w:t>
      </w:r>
      <w:r w:rsidRPr="008A5A99">
        <w:rPr>
          <w:lang w:val="fr-FR"/>
        </w:rPr>
        <w:t xml:space="preserve"> obtenir réparation</w:t>
      </w:r>
      <w:r w:rsidRPr="00C73F82">
        <w:rPr>
          <w:rStyle w:val="Appelnotedebasdep"/>
        </w:rPr>
        <w:footnoteReference w:id="41"/>
      </w:r>
      <w:r w:rsidRPr="008A5A99">
        <w:rPr>
          <w:lang w:val="fr-FR"/>
        </w:rPr>
        <w:t xml:space="preserve">, </w:t>
      </w:r>
      <w:r w:rsidR="00D64B96" w:rsidRPr="008A5A99">
        <w:rPr>
          <w:lang w:val="fr-FR"/>
        </w:rPr>
        <w:t>y</w:t>
      </w:r>
      <w:r w:rsidR="00D64B96">
        <w:rPr>
          <w:lang w:val="fr-FR"/>
        </w:rPr>
        <w:t> </w:t>
      </w:r>
      <w:r w:rsidRPr="008A5A99">
        <w:rPr>
          <w:lang w:val="fr-FR"/>
        </w:rPr>
        <w:t>compris dans les cas où l</w:t>
      </w:r>
      <w:r>
        <w:rPr>
          <w:lang w:val="fr-FR"/>
        </w:rPr>
        <w:t>’</w:t>
      </w:r>
      <w:r w:rsidRPr="008A5A99">
        <w:rPr>
          <w:lang w:val="fr-FR"/>
        </w:rPr>
        <w:t>auteur de</w:t>
      </w:r>
      <w:r>
        <w:rPr>
          <w:lang w:val="fr-FR"/>
        </w:rPr>
        <w:t xml:space="preserve"> tel</w:t>
      </w:r>
      <w:r w:rsidRPr="008A5A99">
        <w:rPr>
          <w:lang w:val="fr-FR"/>
        </w:rPr>
        <w:t>s actes n</w:t>
      </w:r>
      <w:r>
        <w:rPr>
          <w:lang w:val="fr-FR"/>
        </w:rPr>
        <w:t>’</w:t>
      </w:r>
      <w:r w:rsidRPr="008A5A99">
        <w:rPr>
          <w:lang w:val="fr-FR"/>
        </w:rPr>
        <w:t>a pas été identifié. Donner des renseignements sur les mesures de réparation et d</w:t>
      </w:r>
      <w:r>
        <w:rPr>
          <w:lang w:val="fr-FR"/>
        </w:rPr>
        <w:t>’</w:t>
      </w:r>
      <w:r w:rsidRPr="008A5A99">
        <w:rPr>
          <w:lang w:val="fr-FR"/>
        </w:rPr>
        <w:t>indemnisation, y compris de réadaptation, qui ont été ordonnées par les tribunaux et dont les victimes d</w:t>
      </w:r>
      <w:r>
        <w:rPr>
          <w:lang w:val="fr-FR"/>
        </w:rPr>
        <w:t>’</w:t>
      </w:r>
      <w:r w:rsidRPr="008A5A99">
        <w:rPr>
          <w:lang w:val="fr-FR"/>
        </w:rPr>
        <w:t>actes de torture ou leur famille ont effectivement bénéficié depuis l</w:t>
      </w:r>
      <w:r>
        <w:rPr>
          <w:lang w:val="fr-FR"/>
        </w:rPr>
        <w:t>’</w:t>
      </w:r>
      <w:r w:rsidRPr="008A5A99">
        <w:rPr>
          <w:lang w:val="fr-FR"/>
        </w:rPr>
        <w:t xml:space="preserve">examen du </w:t>
      </w:r>
      <w:r>
        <w:rPr>
          <w:lang w:val="fr-FR"/>
        </w:rPr>
        <w:t>deuxième</w:t>
      </w:r>
      <w:r w:rsidRPr="008A5A99">
        <w:rPr>
          <w:lang w:val="fr-FR"/>
        </w:rPr>
        <w:t xml:space="preserve"> rapport périodique</w:t>
      </w:r>
      <w:r>
        <w:rPr>
          <w:lang w:val="fr-FR"/>
        </w:rPr>
        <w:t xml:space="preserve"> de l’État partie</w:t>
      </w:r>
      <w:r w:rsidRPr="008A5A99">
        <w:rPr>
          <w:lang w:val="fr-FR"/>
        </w:rPr>
        <w:t>. Indiquer notamment le nombre de demandes qui ont été présentées, le nombre de demandes auxquelles il a été fait droit, le montant de l</w:t>
      </w:r>
      <w:r>
        <w:rPr>
          <w:lang w:val="fr-FR"/>
        </w:rPr>
        <w:t>’</w:t>
      </w:r>
      <w:r w:rsidRPr="008A5A99">
        <w:rPr>
          <w:lang w:val="fr-FR"/>
        </w:rPr>
        <w:t xml:space="preserve">indemnisation ordonnée et les sommes effectivement versées dans chaque cas. </w:t>
      </w:r>
    </w:p>
    <w:p w14:paraId="1A57A585" w14:textId="77777777" w:rsidR="005A08D7" w:rsidRPr="008A5A99" w:rsidRDefault="005A08D7" w:rsidP="00EF4994">
      <w:pPr>
        <w:pStyle w:val="SingleTxtG"/>
      </w:pPr>
      <w:r w:rsidRPr="008A5A99">
        <w:rPr>
          <w:lang w:val="fr-FR"/>
        </w:rPr>
        <w:t>22.</w:t>
      </w:r>
      <w:r w:rsidRPr="008A5A99">
        <w:rPr>
          <w:lang w:val="fr-FR"/>
        </w:rPr>
        <w:tab/>
      </w:r>
      <w:r>
        <w:rPr>
          <w:lang w:val="fr-FR"/>
        </w:rPr>
        <w:t>Préciser</w:t>
      </w:r>
      <w:r w:rsidRPr="008A5A99">
        <w:rPr>
          <w:lang w:val="fr-FR"/>
        </w:rPr>
        <w:t xml:space="preserve"> également si l</w:t>
      </w:r>
      <w:r>
        <w:rPr>
          <w:lang w:val="fr-FR"/>
        </w:rPr>
        <w:t>’</w:t>
      </w:r>
      <w:r w:rsidRPr="008A5A99">
        <w:rPr>
          <w:lang w:val="fr-FR"/>
        </w:rPr>
        <w:t>État partie a évalué les besoins des victimes d</w:t>
      </w:r>
      <w:r>
        <w:rPr>
          <w:lang w:val="fr-FR"/>
        </w:rPr>
        <w:t>’</w:t>
      </w:r>
      <w:r w:rsidRPr="008A5A99">
        <w:rPr>
          <w:lang w:val="fr-FR"/>
        </w:rPr>
        <w:t>actes de torture et de mauvais traitements afin de mettre en place des services spécialisés de réadaptation étatiques ou de financer d</w:t>
      </w:r>
      <w:r>
        <w:rPr>
          <w:lang w:val="fr-FR"/>
        </w:rPr>
        <w:t>’</w:t>
      </w:r>
      <w:r w:rsidRPr="008A5A99">
        <w:rPr>
          <w:lang w:val="fr-FR"/>
        </w:rPr>
        <w:t xml:space="preserve">autres services gérés par des organisations non gouvernementales. Le cas échéant, préciser les ressources </w:t>
      </w:r>
      <w:r>
        <w:rPr>
          <w:lang w:val="fr-FR"/>
        </w:rPr>
        <w:t xml:space="preserve">qui y ont été </w:t>
      </w:r>
      <w:r w:rsidRPr="008A5A99">
        <w:rPr>
          <w:lang w:val="fr-FR"/>
        </w:rPr>
        <w:t xml:space="preserve">allouées. </w:t>
      </w:r>
      <w:r>
        <w:rPr>
          <w:lang w:val="fr-FR"/>
        </w:rPr>
        <w:t>En outre, indiquer</w:t>
      </w:r>
      <w:r w:rsidRPr="008A5A99">
        <w:rPr>
          <w:lang w:val="fr-FR"/>
        </w:rPr>
        <w:t xml:space="preserve"> si l</w:t>
      </w:r>
      <w:r>
        <w:rPr>
          <w:lang w:val="fr-FR"/>
        </w:rPr>
        <w:t>’</w:t>
      </w:r>
      <w:r w:rsidRPr="008A5A99">
        <w:rPr>
          <w:lang w:val="fr-FR"/>
        </w:rPr>
        <w:t xml:space="preserve">État partie envisage de mettre en place un fonds national de réparation, y compris pour les victimes de violences sexuelles et sexistes, et </w:t>
      </w:r>
      <w:r>
        <w:rPr>
          <w:lang w:val="fr-FR"/>
        </w:rPr>
        <w:t>donner</w:t>
      </w:r>
      <w:r w:rsidRPr="008A5A99">
        <w:rPr>
          <w:lang w:val="fr-FR"/>
        </w:rPr>
        <w:t xml:space="preserve"> des détails sur les démarches législatives et politiques </w:t>
      </w:r>
      <w:r>
        <w:rPr>
          <w:lang w:val="fr-FR"/>
        </w:rPr>
        <w:t xml:space="preserve">entreprises </w:t>
      </w:r>
      <w:r w:rsidRPr="008A5A99">
        <w:rPr>
          <w:lang w:val="fr-FR"/>
        </w:rPr>
        <w:t>à cet égard</w:t>
      </w:r>
      <w:r w:rsidRPr="00C73F82">
        <w:rPr>
          <w:rStyle w:val="Appelnotedebasdep"/>
        </w:rPr>
        <w:footnoteReference w:id="42"/>
      </w:r>
      <w:r>
        <w:rPr>
          <w:lang w:val="fr-FR"/>
        </w:rPr>
        <w:t>.</w:t>
      </w:r>
    </w:p>
    <w:p w14:paraId="2F759C16" w14:textId="77777777" w:rsidR="005A08D7" w:rsidRPr="008A5A99" w:rsidRDefault="005A08D7" w:rsidP="00EF4994">
      <w:pPr>
        <w:pStyle w:val="H23G"/>
        <w:rPr>
          <w:lang w:val="fr-FR"/>
        </w:rPr>
      </w:pPr>
      <w:r w:rsidRPr="009C1738">
        <w:rPr>
          <w:lang w:val="fr-FR"/>
        </w:rPr>
        <w:tab/>
      </w:r>
      <w:r w:rsidRPr="009C1738">
        <w:rPr>
          <w:lang w:val="fr-FR"/>
        </w:rPr>
        <w:tab/>
      </w:r>
      <w:r w:rsidRPr="008A5A99">
        <w:rPr>
          <w:lang w:val="fr-FR"/>
        </w:rPr>
        <w:t>Article 15</w:t>
      </w:r>
    </w:p>
    <w:p w14:paraId="4DF1B762" w14:textId="3C570693" w:rsidR="005A08D7" w:rsidRPr="008A5A99" w:rsidRDefault="005A08D7" w:rsidP="00EF4994">
      <w:pPr>
        <w:pStyle w:val="SingleTxtG"/>
        <w:rPr>
          <w:b/>
          <w:lang w:val="fr-FR"/>
        </w:rPr>
      </w:pPr>
      <w:r w:rsidRPr="008A5A99">
        <w:rPr>
          <w:lang w:val="fr-FR"/>
        </w:rPr>
        <w:t>23.</w:t>
      </w:r>
      <w:r w:rsidRPr="008A5A99">
        <w:rPr>
          <w:lang w:val="fr-FR"/>
        </w:rPr>
        <w:tab/>
        <w:t>Compte tenu des précédentes observations finales du Comité</w:t>
      </w:r>
      <w:r w:rsidRPr="00C73F82">
        <w:rPr>
          <w:rStyle w:val="Appelnotedebasdep"/>
        </w:rPr>
        <w:footnoteReference w:id="43"/>
      </w:r>
      <w:r w:rsidRPr="008A5A99">
        <w:rPr>
          <w:lang w:val="fr-FR"/>
        </w:rPr>
        <w:t>, indiquer si l</w:t>
      </w:r>
      <w:r>
        <w:rPr>
          <w:lang w:val="fr-FR"/>
        </w:rPr>
        <w:t>’</w:t>
      </w:r>
      <w:r w:rsidRPr="008A5A99">
        <w:rPr>
          <w:lang w:val="fr-FR"/>
        </w:rPr>
        <w:t>État partie a pris</w:t>
      </w:r>
      <w:r w:rsidRPr="00596DC8">
        <w:rPr>
          <w:bCs/>
          <w:lang w:val="fr-FR"/>
        </w:rPr>
        <w:t xml:space="preserve"> </w:t>
      </w:r>
      <w:r w:rsidRPr="008A5A99">
        <w:rPr>
          <w:lang w:val="fr-FR"/>
        </w:rPr>
        <w:t>des mesures législatives pour que soit mentionnée explicitement dans sa législation l</w:t>
      </w:r>
      <w:r>
        <w:rPr>
          <w:lang w:val="fr-FR"/>
        </w:rPr>
        <w:t>’</w:t>
      </w:r>
      <w:r w:rsidRPr="008A5A99">
        <w:rPr>
          <w:lang w:val="fr-FR"/>
        </w:rPr>
        <w:t>irrecevabilité d</w:t>
      </w:r>
      <w:r>
        <w:rPr>
          <w:lang w:val="fr-FR"/>
        </w:rPr>
        <w:t>’</w:t>
      </w:r>
      <w:r w:rsidRPr="008A5A99">
        <w:rPr>
          <w:lang w:val="fr-FR"/>
        </w:rPr>
        <w:t xml:space="preserve">aveux ou de déclarations extorqués </w:t>
      </w:r>
      <w:r>
        <w:rPr>
          <w:lang w:val="fr-FR"/>
        </w:rPr>
        <w:t>au moyen de</w:t>
      </w:r>
      <w:r w:rsidRPr="008A5A99">
        <w:rPr>
          <w:lang w:val="fr-FR"/>
        </w:rPr>
        <w:t xml:space="preserve"> la torture. Fournir des statistiques actualisées depuis 2019 </w:t>
      </w:r>
      <w:r w:rsidR="00D64B96" w:rsidRPr="008A5A99">
        <w:rPr>
          <w:lang w:val="fr-FR"/>
        </w:rPr>
        <w:t>sur</w:t>
      </w:r>
      <w:r w:rsidR="00D64B96">
        <w:rPr>
          <w:lang w:val="fr-FR"/>
        </w:rPr>
        <w:t xml:space="preserve"> </w:t>
      </w:r>
      <w:r w:rsidRPr="008A5A99">
        <w:rPr>
          <w:lang w:val="fr-FR"/>
        </w:rPr>
        <w:t>le nombre d</w:t>
      </w:r>
      <w:r>
        <w:rPr>
          <w:lang w:val="fr-FR"/>
        </w:rPr>
        <w:t>’</w:t>
      </w:r>
      <w:r w:rsidRPr="008A5A99">
        <w:rPr>
          <w:lang w:val="fr-FR"/>
        </w:rPr>
        <w:t xml:space="preserve">affaires dans lesquelles des détenus ont affirmé que leurs aveux avaient été extorqués </w:t>
      </w:r>
      <w:r>
        <w:rPr>
          <w:lang w:val="fr-FR"/>
        </w:rPr>
        <w:t>par</w:t>
      </w:r>
      <w:r w:rsidRPr="008A5A99">
        <w:rPr>
          <w:lang w:val="fr-FR"/>
        </w:rPr>
        <w:t xml:space="preserve"> la torture, le nombre </w:t>
      </w:r>
      <w:r>
        <w:rPr>
          <w:lang w:val="fr-FR"/>
        </w:rPr>
        <w:t>d’</w:t>
      </w:r>
      <w:r w:rsidRPr="008A5A99">
        <w:rPr>
          <w:lang w:val="fr-FR"/>
        </w:rPr>
        <w:t xml:space="preserve">affaires dans lesquelles des aveux ont été déclarés irrecevables et le nombre </w:t>
      </w:r>
      <w:r>
        <w:rPr>
          <w:lang w:val="fr-FR"/>
        </w:rPr>
        <w:t>d’</w:t>
      </w:r>
      <w:r w:rsidRPr="008A5A99">
        <w:rPr>
          <w:lang w:val="fr-FR"/>
        </w:rPr>
        <w:t>affaires qui ont donné lieu à des enquêtes ainsi que leurs résultats.</w:t>
      </w:r>
    </w:p>
    <w:p w14:paraId="4D14F7B4" w14:textId="77777777" w:rsidR="005A08D7" w:rsidRPr="009C1738" w:rsidRDefault="005A08D7" w:rsidP="00EF4994">
      <w:pPr>
        <w:pStyle w:val="H23G"/>
        <w:rPr>
          <w:lang w:val="fr-FR"/>
        </w:rPr>
      </w:pPr>
      <w:r w:rsidRPr="009C1738">
        <w:rPr>
          <w:lang w:val="fr-FR"/>
        </w:rPr>
        <w:lastRenderedPageBreak/>
        <w:tab/>
      </w:r>
      <w:r w:rsidRPr="009C1738">
        <w:rPr>
          <w:lang w:val="fr-FR"/>
        </w:rPr>
        <w:tab/>
        <w:t>Article 16</w:t>
      </w:r>
    </w:p>
    <w:p w14:paraId="386F8AB5" w14:textId="012DD76E" w:rsidR="005A08D7" w:rsidRPr="008A5A99" w:rsidRDefault="005A08D7" w:rsidP="00EF4994">
      <w:pPr>
        <w:pStyle w:val="SingleTxtG"/>
        <w:rPr>
          <w:lang w:val="fr-FR"/>
        </w:rPr>
      </w:pPr>
      <w:r w:rsidRPr="008A5A99">
        <w:rPr>
          <w:lang w:val="fr-FR"/>
        </w:rPr>
        <w:t>24.</w:t>
      </w:r>
      <w:r w:rsidRPr="008A5A99">
        <w:rPr>
          <w:lang w:val="fr-FR"/>
        </w:rPr>
        <w:tab/>
        <w:t>Eu égard aux précédentes observations finales du Comité</w:t>
      </w:r>
      <w:r w:rsidRPr="00C73F82">
        <w:rPr>
          <w:rStyle w:val="Appelnotedebasdep"/>
        </w:rPr>
        <w:footnoteReference w:id="44"/>
      </w:r>
      <w:r w:rsidRPr="008A5A99">
        <w:rPr>
          <w:lang w:val="fr-FR"/>
        </w:rPr>
        <w:t>, préciser si l</w:t>
      </w:r>
      <w:r>
        <w:rPr>
          <w:lang w:val="fr-FR"/>
        </w:rPr>
        <w:t>’</w:t>
      </w:r>
      <w:r w:rsidRPr="008A5A99">
        <w:rPr>
          <w:lang w:val="fr-FR"/>
        </w:rPr>
        <w:t>État partie a l</w:t>
      </w:r>
      <w:r>
        <w:rPr>
          <w:lang w:val="fr-FR"/>
        </w:rPr>
        <w:t>’</w:t>
      </w:r>
      <w:r w:rsidRPr="008A5A99">
        <w:rPr>
          <w:lang w:val="fr-FR"/>
        </w:rPr>
        <w:t>intention d</w:t>
      </w:r>
      <w:r>
        <w:rPr>
          <w:lang w:val="fr-FR"/>
        </w:rPr>
        <w:t>’</w:t>
      </w:r>
      <w:r w:rsidRPr="008A5A99">
        <w:rPr>
          <w:lang w:val="fr-FR"/>
        </w:rPr>
        <w:t>abolir la peine de mort en droit et, à titre de mesure provisoire, de déclarer un moratoire officiel sur les exécutions, de commuer toutes les condamnations à mort existantes en peines d</w:t>
      </w:r>
      <w:r>
        <w:rPr>
          <w:lang w:val="fr-FR"/>
        </w:rPr>
        <w:t>’</w:t>
      </w:r>
      <w:r w:rsidRPr="008A5A99">
        <w:rPr>
          <w:lang w:val="fr-FR"/>
        </w:rPr>
        <w:t xml:space="preserve">emprisonnement, et de devenir partie au </w:t>
      </w:r>
      <w:r>
        <w:rPr>
          <w:lang w:val="fr-FR"/>
        </w:rPr>
        <w:t>D</w:t>
      </w:r>
      <w:r w:rsidRPr="008A5A99">
        <w:rPr>
          <w:lang w:val="fr-FR"/>
        </w:rPr>
        <w:t>euxième Protocole facultatif se rapportant au Pacte international relatif aux droits civils et politiques, visant à abolir la peine de mort. Donner des informations sur les mesure</w:t>
      </w:r>
      <w:r>
        <w:rPr>
          <w:lang w:val="fr-FR"/>
        </w:rPr>
        <w:t>s</w:t>
      </w:r>
      <w:r w:rsidRPr="008A5A99">
        <w:rPr>
          <w:lang w:val="fr-FR"/>
        </w:rPr>
        <w:t xml:space="preserve"> prises pour que la loi n</w:t>
      </w:r>
      <w:r w:rsidR="00DB3664" w:rsidRPr="00EF4994">
        <w:rPr>
          <w:vertAlign w:val="superscript"/>
          <w:lang w:val="fr-FR"/>
        </w:rPr>
        <w:t>o</w:t>
      </w:r>
      <w:r w:rsidR="00DB3664">
        <w:rPr>
          <w:lang w:val="fr-FR"/>
        </w:rPr>
        <w:t> </w:t>
      </w:r>
      <w:r w:rsidRPr="008A5A99">
        <w:rPr>
          <w:lang w:val="fr-FR"/>
        </w:rPr>
        <w:t xml:space="preserve">09/001 </w:t>
      </w:r>
      <w:r>
        <w:rPr>
          <w:lang w:val="fr-FR"/>
        </w:rPr>
        <w:t>du 10 </w:t>
      </w:r>
      <w:r w:rsidR="00DB3664">
        <w:rPr>
          <w:lang w:val="fr-FR"/>
        </w:rPr>
        <w:t xml:space="preserve">janvier </w:t>
      </w:r>
      <w:r>
        <w:rPr>
          <w:lang w:val="fr-FR"/>
        </w:rPr>
        <w:t xml:space="preserve">2009 portant protection de l’enfant </w:t>
      </w:r>
      <w:r w:rsidRPr="008A5A99">
        <w:rPr>
          <w:lang w:val="fr-FR"/>
        </w:rPr>
        <w:t xml:space="preserve">soit appliquée </w:t>
      </w:r>
      <w:r>
        <w:rPr>
          <w:lang w:val="fr-FR"/>
        </w:rPr>
        <w:t xml:space="preserve">de façon </w:t>
      </w:r>
      <w:r w:rsidRPr="008A5A99">
        <w:rPr>
          <w:lang w:val="fr-FR"/>
        </w:rPr>
        <w:t>à ce qu</w:t>
      </w:r>
      <w:r>
        <w:rPr>
          <w:lang w:val="fr-FR"/>
        </w:rPr>
        <w:t>’</w:t>
      </w:r>
      <w:r w:rsidRPr="008A5A99">
        <w:rPr>
          <w:lang w:val="fr-FR"/>
        </w:rPr>
        <w:t xml:space="preserve">aucun mineur de moins de </w:t>
      </w:r>
      <w:r w:rsidR="00DB3664" w:rsidRPr="008A5A99">
        <w:rPr>
          <w:lang w:val="fr-FR"/>
        </w:rPr>
        <w:t>18</w:t>
      </w:r>
      <w:r w:rsidR="00DB3664">
        <w:rPr>
          <w:lang w:val="fr-FR"/>
        </w:rPr>
        <w:t> </w:t>
      </w:r>
      <w:r w:rsidRPr="008A5A99">
        <w:rPr>
          <w:lang w:val="fr-FR"/>
        </w:rPr>
        <w:t>ans ne soit condamné à mort. Fournir également des données statistiques sur le nombre d</w:t>
      </w:r>
      <w:r>
        <w:rPr>
          <w:lang w:val="fr-FR"/>
        </w:rPr>
        <w:t>’</w:t>
      </w:r>
      <w:r w:rsidRPr="008A5A99">
        <w:rPr>
          <w:lang w:val="fr-FR"/>
        </w:rPr>
        <w:t>individus se trouvant dans le couloir de la mort</w:t>
      </w:r>
      <w:r>
        <w:rPr>
          <w:lang w:val="fr-FR"/>
        </w:rPr>
        <w:t xml:space="preserve"> et sur</w:t>
      </w:r>
      <w:r w:rsidRPr="008A5A99">
        <w:rPr>
          <w:lang w:val="fr-FR"/>
        </w:rPr>
        <w:t xml:space="preserve"> le nombre d</w:t>
      </w:r>
      <w:r>
        <w:rPr>
          <w:lang w:val="fr-FR"/>
        </w:rPr>
        <w:t>’</w:t>
      </w:r>
      <w:r w:rsidRPr="008A5A99">
        <w:rPr>
          <w:lang w:val="fr-FR"/>
        </w:rPr>
        <w:t xml:space="preserve">exécutions </w:t>
      </w:r>
      <w:r>
        <w:rPr>
          <w:lang w:val="fr-FR"/>
        </w:rPr>
        <w:t xml:space="preserve">réalisées </w:t>
      </w:r>
      <w:r w:rsidRPr="008A5A99">
        <w:rPr>
          <w:lang w:val="fr-FR"/>
        </w:rPr>
        <w:t xml:space="preserve">par an </w:t>
      </w:r>
      <w:r>
        <w:rPr>
          <w:lang w:val="fr-FR"/>
        </w:rPr>
        <w:t xml:space="preserve">pour la période écoulée </w:t>
      </w:r>
      <w:r w:rsidRPr="008A5A99">
        <w:rPr>
          <w:lang w:val="fr-FR"/>
        </w:rPr>
        <w:t>depuis 2019</w:t>
      </w:r>
      <w:r w:rsidRPr="00C73F82">
        <w:rPr>
          <w:rStyle w:val="Appelnotedebasdep"/>
        </w:rPr>
        <w:footnoteReference w:id="45"/>
      </w:r>
      <w:r w:rsidRPr="008A5A99">
        <w:t>,</w:t>
      </w:r>
      <w:r w:rsidRPr="008A5A99">
        <w:rPr>
          <w:lang w:val="fr-FR"/>
        </w:rPr>
        <w:t xml:space="preserve"> en détaillant les crimes</w:t>
      </w:r>
      <w:r>
        <w:rPr>
          <w:lang w:val="fr-FR"/>
        </w:rPr>
        <w:t xml:space="preserve"> et</w:t>
      </w:r>
      <w:r w:rsidRPr="008A5A99">
        <w:rPr>
          <w:lang w:val="fr-FR"/>
        </w:rPr>
        <w:t xml:space="preserve"> le nombre de </w:t>
      </w:r>
      <w:r>
        <w:rPr>
          <w:lang w:val="fr-FR"/>
        </w:rPr>
        <w:t>peines commuées</w:t>
      </w:r>
      <w:r w:rsidRPr="008A5A99">
        <w:rPr>
          <w:lang w:val="fr-FR"/>
        </w:rPr>
        <w:t xml:space="preserve">, et </w:t>
      </w:r>
      <w:r>
        <w:rPr>
          <w:lang w:val="fr-FR"/>
        </w:rPr>
        <w:t xml:space="preserve">en indiquant </w:t>
      </w:r>
      <w:r w:rsidRPr="008A5A99">
        <w:rPr>
          <w:lang w:val="fr-FR"/>
        </w:rPr>
        <w:t xml:space="preserve">si des mineurs ou des personnes présentant un handicap intellectuel ou psychosocial ont été condamnés à mort et/ou exécutés depuis 2019. </w:t>
      </w:r>
    </w:p>
    <w:p w14:paraId="2A29252F" w14:textId="56AE49E9" w:rsidR="005A08D7" w:rsidRPr="00871039" w:rsidRDefault="005A08D7" w:rsidP="00EF4994">
      <w:pPr>
        <w:pStyle w:val="SingleTxtG"/>
        <w:rPr>
          <w:lang w:val="fr-FR"/>
        </w:rPr>
      </w:pPr>
      <w:r w:rsidRPr="008A5A99">
        <w:rPr>
          <w:lang w:val="fr-FR"/>
        </w:rPr>
        <w:t>25.</w:t>
      </w:r>
      <w:r w:rsidRPr="008A5A99">
        <w:rPr>
          <w:lang w:val="fr-FR"/>
        </w:rPr>
        <w:tab/>
        <w:t>Donner des renseignements sur les mesures qui ont été prises, y compris d</w:t>
      </w:r>
      <w:r>
        <w:rPr>
          <w:lang w:val="fr-FR"/>
        </w:rPr>
        <w:t>’</w:t>
      </w:r>
      <w:r w:rsidRPr="008A5A99">
        <w:rPr>
          <w:lang w:val="fr-FR"/>
        </w:rPr>
        <w:t xml:space="preserve">ordre législatif, afin de protéger les défenseurs des droits </w:t>
      </w:r>
      <w:r>
        <w:rPr>
          <w:lang w:val="fr-FR"/>
        </w:rPr>
        <w:t>humains</w:t>
      </w:r>
      <w:r w:rsidRPr="008A5A99">
        <w:rPr>
          <w:lang w:val="fr-FR"/>
        </w:rPr>
        <w:t>, les journalistes, les lanceurs d</w:t>
      </w:r>
      <w:r>
        <w:rPr>
          <w:lang w:val="fr-FR"/>
        </w:rPr>
        <w:t>’</w:t>
      </w:r>
      <w:r w:rsidRPr="008A5A99">
        <w:rPr>
          <w:lang w:val="fr-FR"/>
        </w:rPr>
        <w:t>alerte</w:t>
      </w:r>
      <w:r>
        <w:rPr>
          <w:lang w:val="fr-FR"/>
        </w:rPr>
        <w:t xml:space="preserve"> et</w:t>
      </w:r>
      <w:r w:rsidRPr="008A5A99">
        <w:rPr>
          <w:lang w:val="fr-FR"/>
        </w:rPr>
        <w:t xml:space="preserve"> les membres de partis politiques</w:t>
      </w:r>
      <w:r w:rsidRPr="00C73F82">
        <w:rPr>
          <w:rStyle w:val="Appelnotedebasdep"/>
        </w:rPr>
        <w:footnoteReference w:id="46"/>
      </w:r>
      <w:r>
        <w:rPr>
          <w:lang w:val="fr-FR"/>
        </w:rPr>
        <w:t>,</w:t>
      </w:r>
      <w:r w:rsidRPr="008A5A99">
        <w:rPr>
          <w:lang w:val="fr-FR"/>
        </w:rPr>
        <w:t xml:space="preserve"> et de sanctionner les auteurs des actes de violence, y compris des arrestations et détentions </w:t>
      </w:r>
      <w:r>
        <w:rPr>
          <w:lang w:val="fr-FR"/>
        </w:rPr>
        <w:t>arbitraires,</w:t>
      </w:r>
      <w:r w:rsidRPr="008A5A99">
        <w:rPr>
          <w:lang w:val="fr-FR"/>
        </w:rPr>
        <w:t xml:space="preserve"> de torture, de mauvais traitement</w:t>
      </w:r>
      <w:r>
        <w:rPr>
          <w:lang w:val="fr-FR"/>
        </w:rPr>
        <w:t xml:space="preserve"> ou</w:t>
      </w:r>
      <w:r w:rsidRPr="008A5A99">
        <w:rPr>
          <w:lang w:val="fr-FR"/>
        </w:rPr>
        <w:t xml:space="preserve"> d</w:t>
      </w:r>
      <w:r>
        <w:rPr>
          <w:lang w:val="fr-FR"/>
        </w:rPr>
        <w:t>’</w:t>
      </w:r>
      <w:r w:rsidRPr="008A5A99">
        <w:rPr>
          <w:lang w:val="fr-FR"/>
        </w:rPr>
        <w:t>intimidation dont ils font l</w:t>
      </w:r>
      <w:r>
        <w:rPr>
          <w:lang w:val="fr-FR"/>
        </w:rPr>
        <w:t>’</w:t>
      </w:r>
      <w:r w:rsidRPr="008A5A99">
        <w:rPr>
          <w:lang w:val="fr-FR"/>
        </w:rPr>
        <w:t>objet, des menaces de mort et des enlèvements</w:t>
      </w:r>
      <w:r w:rsidRPr="00C73F82">
        <w:rPr>
          <w:rStyle w:val="Appelnotedebasdep"/>
        </w:rPr>
        <w:footnoteReference w:id="47"/>
      </w:r>
      <w:r w:rsidRPr="008A5A99">
        <w:rPr>
          <w:lang w:val="fr-FR"/>
        </w:rPr>
        <w:t xml:space="preserve"> depuis 2019</w:t>
      </w:r>
      <w:r w:rsidRPr="008A5A99">
        <w:t>.</w:t>
      </w:r>
      <w:r>
        <w:t xml:space="preserve"> </w:t>
      </w:r>
      <w:r w:rsidRPr="00871039">
        <w:t>En outre,</w:t>
      </w:r>
      <w:r>
        <w:t xml:space="preserve"> indiquer</w:t>
      </w:r>
      <w:r w:rsidRPr="00871039">
        <w:t xml:space="preserve"> </w:t>
      </w:r>
      <w:r>
        <w:t>les</w:t>
      </w:r>
      <w:r w:rsidRPr="00871039">
        <w:t xml:space="preserve"> mesures prises </w:t>
      </w:r>
      <w:r w:rsidRPr="00871039">
        <w:rPr>
          <w:lang w:val="fr-FR"/>
        </w:rPr>
        <w:t xml:space="preserve">pour rendre le projet de loi sur la protection des défenseurs des droits </w:t>
      </w:r>
      <w:r>
        <w:rPr>
          <w:lang w:val="fr-FR"/>
        </w:rPr>
        <w:t>humains</w:t>
      </w:r>
      <w:r w:rsidRPr="00871039">
        <w:rPr>
          <w:lang w:val="fr-FR"/>
        </w:rPr>
        <w:t xml:space="preserve"> conforme aux normes internationales, notamment </w:t>
      </w:r>
      <w:r>
        <w:rPr>
          <w:lang w:val="fr-FR"/>
        </w:rPr>
        <w:t xml:space="preserve">à </w:t>
      </w:r>
      <w:r w:rsidRPr="00871039">
        <w:rPr>
          <w:lang w:val="fr-FR"/>
        </w:rPr>
        <w:t>la Déclaration sur le droit et la responsabilité des individus, groupes et</w:t>
      </w:r>
      <w:r>
        <w:rPr>
          <w:lang w:val="fr-FR"/>
        </w:rPr>
        <w:t xml:space="preserve"> </w:t>
      </w:r>
      <w:r w:rsidRPr="00871039">
        <w:rPr>
          <w:lang w:val="fr-FR"/>
        </w:rPr>
        <w:t>organes de la société de promouvoir et protéger les droits de l</w:t>
      </w:r>
      <w:r>
        <w:rPr>
          <w:lang w:val="fr-FR"/>
        </w:rPr>
        <w:t>’</w:t>
      </w:r>
      <w:r w:rsidRPr="00871039">
        <w:rPr>
          <w:lang w:val="fr-FR"/>
        </w:rPr>
        <w:t>homme</w:t>
      </w:r>
      <w:r>
        <w:rPr>
          <w:lang w:val="fr-FR"/>
        </w:rPr>
        <w:t xml:space="preserve"> </w:t>
      </w:r>
      <w:r w:rsidRPr="00871039">
        <w:rPr>
          <w:lang w:val="fr-FR"/>
        </w:rPr>
        <w:t>et les libertés fondamentales universellement reconnus</w:t>
      </w:r>
      <w:r>
        <w:rPr>
          <w:lang w:val="fr-FR"/>
        </w:rPr>
        <w:t xml:space="preserve">. </w:t>
      </w:r>
      <w:r>
        <w:t>I</w:t>
      </w:r>
      <w:r w:rsidRPr="00871039">
        <w:t>ndiquer le calendrier d</w:t>
      </w:r>
      <w:r>
        <w:t>’</w:t>
      </w:r>
      <w:r w:rsidRPr="00871039">
        <w:t>adoption du</w:t>
      </w:r>
      <w:r>
        <w:t>dit</w:t>
      </w:r>
      <w:r w:rsidRPr="00871039">
        <w:t xml:space="preserve"> projet de loi.</w:t>
      </w:r>
    </w:p>
    <w:p w14:paraId="07845757" w14:textId="77565D43" w:rsidR="005A08D7" w:rsidRPr="008A5A99" w:rsidRDefault="005A08D7" w:rsidP="00EF4994">
      <w:pPr>
        <w:pStyle w:val="SingleTxtG"/>
        <w:rPr>
          <w:lang w:val="fr-FR" w:eastAsia="es-ES"/>
        </w:rPr>
      </w:pPr>
      <w:r w:rsidRPr="008A5A99">
        <w:rPr>
          <w:lang w:val="fr-FR"/>
        </w:rPr>
        <w:t>26.</w:t>
      </w:r>
      <w:r w:rsidRPr="008A5A99">
        <w:rPr>
          <w:lang w:val="fr-FR"/>
        </w:rPr>
        <w:tab/>
        <w:t>Indiquer les mesures prises en matière de prévention et de protection, d</w:t>
      </w:r>
      <w:r>
        <w:rPr>
          <w:lang w:val="fr-FR"/>
        </w:rPr>
        <w:t>’</w:t>
      </w:r>
      <w:r w:rsidRPr="008A5A99">
        <w:rPr>
          <w:lang w:val="fr-FR"/>
        </w:rPr>
        <w:t xml:space="preserve">enquêtes, de poursuites et de condamnations concernant la violence </w:t>
      </w:r>
      <w:r>
        <w:rPr>
          <w:lang w:val="fr-FR"/>
        </w:rPr>
        <w:t>fondée sur</w:t>
      </w:r>
      <w:r w:rsidRPr="008A5A99">
        <w:rPr>
          <w:lang w:val="fr-FR"/>
        </w:rPr>
        <w:t xml:space="preserve"> l</w:t>
      </w:r>
      <w:r>
        <w:rPr>
          <w:lang w:val="fr-FR"/>
        </w:rPr>
        <w:t>’</w:t>
      </w:r>
      <w:r w:rsidRPr="008A5A99">
        <w:rPr>
          <w:lang w:val="fr-FR"/>
        </w:rPr>
        <w:t xml:space="preserve">orientation sexuelle </w:t>
      </w:r>
      <w:r>
        <w:rPr>
          <w:lang w:val="fr-FR"/>
        </w:rPr>
        <w:t>ou</w:t>
      </w:r>
      <w:r w:rsidRPr="008A5A99">
        <w:rPr>
          <w:lang w:val="fr-FR"/>
        </w:rPr>
        <w:t xml:space="preserve"> l</w:t>
      </w:r>
      <w:r>
        <w:rPr>
          <w:lang w:val="fr-FR"/>
        </w:rPr>
        <w:t>’</w:t>
      </w:r>
      <w:r w:rsidRPr="008A5A99">
        <w:rPr>
          <w:lang w:val="fr-FR"/>
        </w:rPr>
        <w:t>identité de genre</w:t>
      </w:r>
      <w:r w:rsidRPr="00C73F82">
        <w:rPr>
          <w:rStyle w:val="Appelnotedebasdep"/>
        </w:rPr>
        <w:footnoteReference w:id="48"/>
      </w:r>
      <w:r w:rsidRPr="008A5A99">
        <w:rPr>
          <w:lang w:val="fr-FR"/>
        </w:rPr>
        <w:t xml:space="preserve"> réelle ou supposée de la victime, et </w:t>
      </w:r>
      <w:r>
        <w:rPr>
          <w:lang w:val="fr-FR"/>
        </w:rPr>
        <w:t>les mesures destinées à</w:t>
      </w:r>
      <w:r w:rsidRPr="008A5A99">
        <w:rPr>
          <w:lang w:val="fr-FR"/>
        </w:rPr>
        <w:t xml:space="preserve"> encourager les victimes à dénoncer ces cas.</w:t>
      </w:r>
      <w:r w:rsidRPr="008A5A99">
        <w:rPr>
          <w:lang w:val="fr-FR" w:eastAsia="es-ES"/>
        </w:rPr>
        <w:t xml:space="preserve"> Fournir, pour la période écoulée depuis 2019, des données statistiques sur les crimes de haine, ventilées en fonction du motif</w:t>
      </w:r>
      <w:r w:rsidR="00DB3664">
        <w:rPr>
          <w:lang w:val="fr-FR" w:eastAsia="es-ES"/>
        </w:rPr>
        <w:t xml:space="preserve"> </w:t>
      </w:r>
      <w:r w:rsidRPr="008A5A99">
        <w:rPr>
          <w:lang w:val="fr-FR" w:eastAsia="es-ES"/>
        </w:rPr>
        <w:t xml:space="preserve">ou de la forme de discrimination, y compris sur la base de </w:t>
      </w:r>
      <w:r w:rsidRPr="008A5A99">
        <w:rPr>
          <w:lang w:val="fr-FR"/>
        </w:rPr>
        <w:t>l</w:t>
      </w:r>
      <w:r>
        <w:rPr>
          <w:lang w:val="fr-FR"/>
        </w:rPr>
        <w:t>’</w:t>
      </w:r>
      <w:r w:rsidRPr="008A5A99">
        <w:rPr>
          <w:lang w:val="fr-FR"/>
        </w:rPr>
        <w:t>orientation sexuelle, de l</w:t>
      </w:r>
      <w:r>
        <w:rPr>
          <w:lang w:val="fr-FR"/>
        </w:rPr>
        <w:t>’</w:t>
      </w:r>
      <w:r w:rsidRPr="008A5A99">
        <w:rPr>
          <w:lang w:val="fr-FR"/>
        </w:rPr>
        <w:t xml:space="preserve">identité de genre, </w:t>
      </w:r>
      <w:r w:rsidRPr="008A5A99">
        <w:rPr>
          <w:lang w:val="fr-FR" w:eastAsia="es-ES"/>
        </w:rPr>
        <w:t>du groupe d</w:t>
      </w:r>
      <w:r>
        <w:rPr>
          <w:lang w:val="fr-FR" w:eastAsia="es-ES"/>
        </w:rPr>
        <w:t>’</w:t>
      </w:r>
      <w:r w:rsidRPr="008A5A99">
        <w:rPr>
          <w:lang w:val="fr-FR" w:eastAsia="es-ES"/>
        </w:rPr>
        <w:t>âge, du sexe et de l</w:t>
      </w:r>
      <w:r>
        <w:rPr>
          <w:lang w:val="fr-FR" w:eastAsia="es-ES"/>
        </w:rPr>
        <w:t>’</w:t>
      </w:r>
      <w:r w:rsidRPr="008A5A99">
        <w:rPr>
          <w:lang w:val="fr-FR" w:eastAsia="es-ES"/>
        </w:rPr>
        <w:t>origine ethnique ou de la nationalité de la victime, en précisant si l</w:t>
      </w:r>
      <w:r>
        <w:rPr>
          <w:lang w:val="fr-FR" w:eastAsia="es-ES"/>
        </w:rPr>
        <w:t>’</w:t>
      </w:r>
      <w:r w:rsidRPr="008A5A99">
        <w:rPr>
          <w:lang w:val="fr-FR" w:eastAsia="es-ES"/>
        </w:rPr>
        <w:t>auteur des faits est un agent de l</w:t>
      </w:r>
      <w:r>
        <w:rPr>
          <w:lang w:val="fr-FR" w:eastAsia="es-ES"/>
        </w:rPr>
        <w:t>’</w:t>
      </w:r>
      <w:r w:rsidRPr="008A5A99">
        <w:rPr>
          <w:lang w:val="fr-FR" w:eastAsia="es-ES"/>
        </w:rPr>
        <w:t xml:space="preserve">État. Indiquer les résultats des enquêtes et des actions engagées, les jugements rendus et les peines prononcées. </w:t>
      </w:r>
    </w:p>
    <w:p w14:paraId="7B176138" w14:textId="77777777" w:rsidR="005A08D7" w:rsidRPr="008A5A99" w:rsidRDefault="005A08D7" w:rsidP="00EF4994">
      <w:pPr>
        <w:pStyle w:val="SingleTxtG"/>
        <w:rPr>
          <w:lang w:val="fr-FR"/>
        </w:rPr>
      </w:pPr>
      <w:r w:rsidRPr="008A5A99">
        <w:rPr>
          <w:lang w:val="fr-FR"/>
        </w:rPr>
        <w:t>27.</w:t>
      </w:r>
      <w:r w:rsidRPr="008A5A99">
        <w:rPr>
          <w:lang w:val="fr-FR"/>
        </w:rPr>
        <w:tab/>
      </w:r>
      <w:r>
        <w:rPr>
          <w:lang w:val="fr-FR"/>
        </w:rPr>
        <w:t>I</w:t>
      </w:r>
      <w:r w:rsidRPr="008A5A99">
        <w:rPr>
          <w:lang w:val="fr-FR"/>
        </w:rPr>
        <w:t xml:space="preserve">ndiquer les mesures prises pour prévenir </w:t>
      </w:r>
      <w:r>
        <w:rPr>
          <w:lang w:val="fr-FR"/>
        </w:rPr>
        <w:t>les</w:t>
      </w:r>
      <w:r w:rsidRPr="008A5A99">
        <w:rPr>
          <w:lang w:val="fr-FR"/>
        </w:rPr>
        <w:t xml:space="preserve"> agressions contre les personnes atteintes d</w:t>
      </w:r>
      <w:r>
        <w:rPr>
          <w:lang w:val="fr-FR"/>
        </w:rPr>
        <w:t>’</w:t>
      </w:r>
      <w:r w:rsidRPr="008A5A99">
        <w:rPr>
          <w:lang w:val="fr-FR"/>
        </w:rPr>
        <w:t>albinisme</w:t>
      </w:r>
      <w:r>
        <w:rPr>
          <w:lang w:val="fr-FR"/>
        </w:rPr>
        <w:t xml:space="preserve"> et lutter contre ces agressions</w:t>
      </w:r>
      <w:r w:rsidRPr="00C73F82">
        <w:rPr>
          <w:rStyle w:val="Appelnotedebasdep"/>
        </w:rPr>
        <w:footnoteReference w:id="49"/>
      </w:r>
      <w:r w:rsidRPr="008A5A99">
        <w:rPr>
          <w:lang w:val="fr-FR"/>
        </w:rPr>
        <w:t>.</w:t>
      </w:r>
    </w:p>
    <w:p w14:paraId="4AF99F86" w14:textId="77777777" w:rsidR="005A08D7" w:rsidRPr="008A5A99" w:rsidRDefault="005A08D7" w:rsidP="00EF4994">
      <w:pPr>
        <w:pStyle w:val="H1G"/>
        <w:rPr>
          <w:lang w:val="fr-FR"/>
        </w:rPr>
      </w:pPr>
      <w:r w:rsidRPr="00EF4994">
        <w:rPr>
          <w:lang w:val="fr-FR"/>
        </w:rPr>
        <w:tab/>
      </w:r>
      <w:r w:rsidRPr="008A5A99">
        <w:rPr>
          <w:lang w:val="fr-FR"/>
        </w:rPr>
        <w:tab/>
        <w:t>Autres questions</w:t>
      </w:r>
    </w:p>
    <w:p w14:paraId="6569AD05" w14:textId="77777777" w:rsidR="005A08D7" w:rsidRPr="008A5A99" w:rsidRDefault="005A08D7" w:rsidP="00EF4994">
      <w:pPr>
        <w:pStyle w:val="SingleTxtG"/>
        <w:rPr>
          <w:lang w:val="fr-FR"/>
        </w:rPr>
      </w:pPr>
      <w:r w:rsidRPr="008A5A99">
        <w:rPr>
          <w:lang w:val="fr-FR"/>
        </w:rPr>
        <w:t>28.</w:t>
      </w:r>
      <w:r w:rsidRPr="008A5A99">
        <w:rPr>
          <w:lang w:val="fr-FR"/>
        </w:rPr>
        <w:tab/>
      </w:r>
      <w:r>
        <w:rPr>
          <w:lang w:val="fr-FR"/>
        </w:rPr>
        <w:t>D</w:t>
      </w:r>
      <w:r w:rsidRPr="008A5A99">
        <w:rPr>
          <w:lang w:val="fr-FR"/>
        </w:rPr>
        <w:t>onner des renseignements à jour sur les mesures que l</w:t>
      </w:r>
      <w:r>
        <w:rPr>
          <w:lang w:val="fr-FR"/>
        </w:rPr>
        <w:t>’</w:t>
      </w:r>
      <w:r w:rsidRPr="008A5A99">
        <w:rPr>
          <w:lang w:val="fr-FR"/>
        </w:rPr>
        <w:t>État partie a prises pour répondre à la menace d</w:t>
      </w:r>
      <w:r>
        <w:rPr>
          <w:lang w:val="fr-FR"/>
        </w:rPr>
        <w:t>’</w:t>
      </w:r>
      <w:r w:rsidRPr="008A5A99">
        <w:rPr>
          <w:lang w:val="fr-FR"/>
        </w:rPr>
        <w:t xml:space="preserve">actes terroristes. Indiquer si elles ont porté atteinte aux garanties relatives aux droits </w:t>
      </w:r>
      <w:r>
        <w:rPr>
          <w:lang w:val="fr-FR"/>
        </w:rPr>
        <w:t>humains</w:t>
      </w:r>
      <w:r w:rsidRPr="008A5A99">
        <w:rPr>
          <w:lang w:val="fr-FR"/>
        </w:rPr>
        <w:t xml:space="preserve"> en droit et dans la pratique et, si tel est le cas, de quelle manière. Indiquer comment l</w:t>
      </w:r>
      <w:r>
        <w:rPr>
          <w:lang w:val="fr-FR"/>
        </w:rPr>
        <w:t>’</w:t>
      </w:r>
      <w:r w:rsidRPr="008A5A99">
        <w:rPr>
          <w:lang w:val="fr-FR"/>
        </w:rPr>
        <w:t xml:space="preserve">État partie assure la compatibilité de ces mesures avec toutes les obligations mises à sa charge par le droit international, en particulier </w:t>
      </w:r>
      <w:r>
        <w:rPr>
          <w:lang w:val="fr-FR"/>
        </w:rPr>
        <w:t xml:space="preserve">au regard </w:t>
      </w:r>
      <w:r w:rsidRPr="008A5A99">
        <w:rPr>
          <w:lang w:val="fr-FR"/>
        </w:rPr>
        <w:t xml:space="preserve">de la Convention. </w:t>
      </w:r>
      <w:r>
        <w:t>Donner des informations sur la</w:t>
      </w:r>
      <w:r w:rsidRPr="008A5A99">
        <w:rPr>
          <w:lang w:val="fr-FR"/>
        </w:rPr>
        <w:t xml:space="preserve"> formation </w:t>
      </w:r>
      <w:r>
        <w:rPr>
          <w:lang w:val="fr-FR"/>
        </w:rPr>
        <w:t>dont bénéficient les</w:t>
      </w:r>
      <w:r w:rsidRPr="008A5A99">
        <w:rPr>
          <w:lang w:val="fr-FR"/>
        </w:rPr>
        <w:t xml:space="preserve"> agents de la force publique dans ce domaine, le nombre de personnes condamnées en application de la législation adoptée pour lutter contre le terrorisme, les garanties juridiques assurées et les voies de recours ouvertes, en droit et dans la pratique, aux personnes visées par des mesures antiterroristes. Préciser si des plaintes pour non-respect des règles internationales dans l</w:t>
      </w:r>
      <w:r>
        <w:rPr>
          <w:lang w:val="fr-FR"/>
        </w:rPr>
        <w:t>’</w:t>
      </w:r>
      <w:r w:rsidRPr="008A5A99">
        <w:rPr>
          <w:lang w:val="fr-FR"/>
        </w:rPr>
        <w:t>application des mesures de lutte contre le terrorisme ont été déposées et, dans l</w:t>
      </w:r>
      <w:r>
        <w:rPr>
          <w:lang w:val="fr-FR"/>
        </w:rPr>
        <w:t>’</w:t>
      </w:r>
      <w:r w:rsidRPr="008A5A99">
        <w:rPr>
          <w:lang w:val="fr-FR"/>
        </w:rPr>
        <w:t>affirmative, indiquer quelle en a été l</w:t>
      </w:r>
      <w:r>
        <w:rPr>
          <w:lang w:val="fr-FR"/>
        </w:rPr>
        <w:t>’</w:t>
      </w:r>
      <w:r w:rsidRPr="008A5A99">
        <w:rPr>
          <w:lang w:val="fr-FR"/>
        </w:rPr>
        <w:t>issue.</w:t>
      </w:r>
    </w:p>
    <w:p w14:paraId="221F94C0" w14:textId="77777777" w:rsidR="005A08D7" w:rsidRPr="008A5A99" w:rsidRDefault="005A08D7" w:rsidP="00EF4994">
      <w:pPr>
        <w:pStyle w:val="SingleTxtG"/>
        <w:rPr>
          <w:lang w:val="fr-FR"/>
        </w:rPr>
      </w:pPr>
      <w:r w:rsidRPr="008A5A99">
        <w:rPr>
          <w:lang w:val="fr-FR"/>
        </w:rPr>
        <w:lastRenderedPageBreak/>
        <w:t>29.</w:t>
      </w:r>
      <w:r w:rsidRPr="008A5A99">
        <w:rPr>
          <w:lang w:val="fr-FR"/>
        </w:rPr>
        <w:tab/>
        <w:t>Étant donné que l</w:t>
      </w:r>
      <w:r>
        <w:rPr>
          <w:lang w:val="fr-FR"/>
        </w:rPr>
        <w:t>’</w:t>
      </w:r>
      <w:r w:rsidRPr="008A5A99">
        <w:rPr>
          <w:lang w:val="fr-FR"/>
        </w:rPr>
        <w:t>interdiction de la torture est absolue et qu</w:t>
      </w:r>
      <w:r>
        <w:rPr>
          <w:lang w:val="fr-FR"/>
        </w:rPr>
        <w:t>’</w:t>
      </w:r>
      <w:r w:rsidRPr="008A5A99">
        <w:rPr>
          <w:lang w:val="fr-FR"/>
        </w:rPr>
        <w:t>il ne peut y être dérogé, même dans le cadre de mesures liées à l</w:t>
      </w:r>
      <w:r>
        <w:rPr>
          <w:lang w:val="fr-FR"/>
        </w:rPr>
        <w:t>’</w:t>
      </w:r>
      <w:r w:rsidRPr="008A5A99">
        <w:rPr>
          <w:lang w:val="fr-FR"/>
        </w:rPr>
        <w:t>état d</w:t>
      </w:r>
      <w:r>
        <w:rPr>
          <w:lang w:val="fr-FR"/>
        </w:rPr>
        <w:t>’</w:t>
      </w:r>
      <w:r w:rsidRPr="008A5A99">
        <w:rPr>
          <w:lang w:val="fr-FR"/>
        </w:rPr>
        <w:t>urgence et à d</w:t>
      </w:r>
      <w:r>
        <w:rPr>
          <w:lang w:val="fr-FR"/>
        </w:rPr>
        <w:t>’</w:t>
      </w:r>
      <w:r w:rsidRPr="008A5A99">
        <w:rPr>
          <w:lang w:val="fr-FR"/>
        </w:rPr>
        <w:t>autres circonstances exceptionnelles, donner des informations sur les dispositions que l</w:t>
      </w:r>
      <w:r>
        <w:rPr>
          <w:lang w:val="fr-FR"/>
        </w:rPr>
        <w:t>’</w:t>
      </w:r>
      <w:r w:rsidRPr="008A5A99">
        <w:rPr>
          <w:lang w:val="fr-FR"/>
        </w:rPr>
        <w:t>État partie a prises pendant la pandémie de COVID-19 pour faire en sorte que ses politiques et actions soient conformes aux obligations mises à sa charge par la Convention. Donner en outre des précisions sur les mesures prises à l</w:t>
      </w:r>
      <w:r>
        <w:rPr>
          <w:lang w:val="fr-FR"/>
        </w:rPr>
        <w:t>’</w:t>
      </w:r>
      <w:r w:rsidRPr="008A5A99">
        <w:rPr>
          <w:lang w:val="fr-FR"/>
        </w:rPr>
        <w:t>égard des personnes privées de liberté, y compris dans des lieux tels que les foyers pour personnes âgées, les hôpitaux ou les établissements pour personnes présentant un handicap intellectuel ou psychosocial.</w:t>
      </w:r>
    </w:p>
    <w:p w14:paraId="309A4DDC" w14:textId="4744D50A" w:rsidR="005A08D7" w:rsidRPr="009C1738" w:rsidRDefault="005A08D7" w:rsidP="00EF4994">
      <w:pPr>
        <w:pStyle w:val="H1G"/>
        <w:rPr>
          <w:lang w:val="fr-FR"/>
        </w:rPr>
      </w:pPr>
      <w:r w:rsidRPr="009C1738">
        <w:rPr>
          <w:lang w:val="fr-FR"/>
        </w:rPr>
        <w:tab/>
      </w:r>
      <w:r w:rsidRPr="009C1738">
        <w:rPr>
          <w:lang w:val="fr-FR"/>
        </w:rPr>
        <w:tab/>
        <w:t>Renseignements d</w:t>
      </w:r>
      <w:r>
        <w:rPr>
          <w:lang w:val="fr-FR"/>
        </w:rPr>
        <w:t>’</w:t>
      </w:r>
      <w:r w:rsidRPr="009C1738">
        <w:rPr>
          <w:lang w:val="fr-FR"/>
        </w:rPr>
        <w:t xml:space="preserve">ordre général sur les autres mesures </w:t>
      </w:r>
      <w:r w:rsidR="00DB3664">
        <w:rPr>
          <w:lang w:val="fr-FR"/>
        </w:rPr>
        <w:br/>
      </w:r>
      <w:r w:rsidRPr="009C1738">
        <w:rPr>
          <w:lang w:val="fr-FR"/>
        </w:rPr>
        <w:t xml:space="preserve">et faits nouveaux concernant la mise en œuvre </w:t>
      </w:r>
      <w:r w:rsidR="00DB3664">
        <w:rPr>
          <w:lang w:val="fr-FR"/>
        </w:rPr>
        <w:br/>
      </w:r>
      <w:r w:rsidRPr="009C1738">
        <w:rPr>
          <w:lang w:val="fr-FR"/>
        </w:rPr>
        <w:t>de la Convention</w:t>
      </w:r>
      <w:r w:rsidRPr="009C1738">
        <w:rPr>
          <w:sz w:val="28"/>
          <w:szCs w:val="28"/>
          <w:lang w:val="fr-FR"/>
        </w:rPr>
        <w:t xml:space="preserve"> </w:t>
      </w:r>
      <w:r w:rsidRPr="009C1738">
        <w:rPr>
          <w:lang w:val="fr-FR"/>
        </w:rPr>
        <w:t>dans l</w:t>
      </w:r>
      <w:r>
        <w:rPr>
          <w:lang w:val="fr-FR"/>
        </w:rPr>
        <w:t>’</w:t>
      </w:r>
      <w:r w:rsidRPr="009C1738">
        <w:rPr>
          <w:lang w:val="fr-FR"/>
        </w:rPr>
        <w:t>État partie</w:t>
      </w:r>
    </w:p>
    <w:p w14:paraId="2AA9CF09" w14:textId="77777777" w:rsidR="005A08D7" w:rsidRPr="009C1738" w:rsidRDefault="005A08D7" w:rsidP="00EF4994">
      <w:pPr>
        <w:pStyle w:val="SingleTxtG"/>
        <w:rPr>
          <w:rFonts w:eastAsia="Malgun Gothic"/>
          <w:lang w:eastAsia="es-ES"/>
        </w:rPr>
      </w:pPr>
      <w:r w:rsidRPr="009C1738">
        <w:rPr>
          <w:lang w:val="fr-FR" w:eastAsia="es-ES"/>
        </w:rPr>
        <w:t>30.</w:t>
      </w:r>
      <w:r w:rsidRPr="009C1738">
        <w:rPr>
          <w:lang w:val="fr-FR" w:eastAsia="es-ES"/>
        </w:rPr>
        <w:tab/>
        <w:t>Donner des informations détaillées sur toute mesure pertinente d</w:t>
      </w:r>
      <w:r>
        <w:rPr>
          <w:lang w:val="fr-FR" w:eastAsia="es-ES"/>
        </w:rPr>
        <w:t>’</w:t>
      </w:r>
      <w:r w:rsidRPr="009C1738">
        <w:rPr>
          <w:lang w:val="fr-FR" w:eastAsia="es-ES"/>
        </w:rPr>
        <w:t>ordre législatif, administratif, judiciaire ou autre qui a été prise depuis la ratification de la Convention pour mettre en œuvre les dispositions de cet instrument, y compris les réformes, plans ou programmes institutionnels. Préciser les ressources affectées aux mesures en question et fournir des données statistiques. Fournir également tout autre renseignement que l</w:t>
      </w:r>
      <w:r>
        <w:rPr>
          <w:lang w:val="fr-FR" w:eastAsia="es-ES"/>
        </w:rPr>
        <w:t>’</w:t>
      </w:r>
      <w:r w:rsidRPr="009C1738">
        <w:rPr>
          <w:lang w:val="fr-FR" w:eastAsia="es-ES"/>
        </w:rPr>
        <w:t>État partie juge utile.</w:t>
      </w:r>
    </w:p>
    <w:p w14:paraId="27CBDE18" w14:textId="0675ED4B" w:rsidR="000A27A5" w:rsidRPr="00EF4994" w:rsidRDefault="00D64B96" w:rsidP="00EF4994">
      <w:pPr>
        <w:pStyle w:val="SingleTxtG"/>
        <w:spacing w:before="240" w:after="0"/>
        <w:jc w:val="center"/>
        <w:rPr>
          <w:u w:val="single"/>
        </w:rPr>
      </w:pPr>
      <w:r>
        <w:rPr>
          <w:u w:val="single"/>
        </w:rPr>
        <w:tab/>
      </w:r>
      <w:r>
        <w:rPr>
          <w:u w:val="single"/>
        </w:rPr>
        <w:tab/>
      </w:r>
      <w:r>
        <w:rPr>
          <w:u w:val="single"/>
        </w:rPr>
        <w:tab/>
      </w:r>
    </w:p>
    <w:sectPr w:rsidR="000A27A5" w:rsidRPr="00EF4994" w:rsidSect="001545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FE1A" w14:textId="77777777" w:rsidR="00DD31FE" w:rsidRPr="009C4D45" w:rsidRDefault="00DD31FE" w:rsidP="009C4D45">
      <w:pPr>
        <w:pStyle w:val="Pieddepage"/>
      </w:pPr>
    </w:p>
  </w:endnote>
  <w:endnote w:type="continuationSeparator" w:id="0">
    <w:p w14:paraId="01211E01" w14:textId="77777777" w:rsidR="00DD31FE" w:rsidRPr="009C4D45" w:rsidRDefault="00DD31FE" w:rsidP="009C4D45">
      <w:pPr>
        <w:pStyle w:val="Pieddepage"/>
      </w:pPr>
    </w:p>
  </w:endnote>
  <w:endnote w:type="continuationNotice" w:id="1">
    <w:p w14:paraId="0C96AAEA" w14:textId="77777777" w:rsidR="00DD31FE" w:rsidRDefault="00DD31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9AB6" w14:textId="6F9FF9C0" w:rsidR="00154559" w:rsidRPr="00154559" w:rsidRDefault="00154559" w:rsidP="00154559">
    <w:pPr>
      <w:pStyle w:val="Pieddepage"/>
      <w:tabs>
        <w:tab w:val="right" w:pos="9638"/>
      </w:tabs>
    </w:pPr>
    <w:r w:rsidRPr="00154559">
      <w:rPr>
        <w:b/>
        <w:sz w:val="18"/>
      </w:rPr>
      <w:fldChar w:fldCharType="begin"/>
    </w:r>
    <w:r w:rsidRPr="00154559">
      <w:rPr>
        <w:b/>
        <w:sz w:val="18"/>
      </w:rPr>
      <w:instrText xml:space="preserve"> PAGE  \* MERGEFORMAT </w:instrText>
    </w:r>
    <w:r w:rsidRPr="00154559">
      <w:rPr>
        <w:b/>
        <w:sz w:val="18"/>
      </w:rPr>
      <w:fldChar w:fldCharType="separate"/>
    </w:r>
    <w:r w:rsidR="00CF7B7B">
      <w:rPr>
        <w:b/>
        <w:noProof/>
        <w:sz w:val="18"/>
      </w:rPr>
      <w:t>8</w:t>
    </w:r>
    <w:r w:rsidRPr="0015455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7DFD" w14:textId="32C9574A" w:rsidR="00154559" w:rsidRPr="00154559" w:rsidRDefault="00154559" w:rsidP="00154559">
    <w:pPr>
      <w:pStyle w:val="Pieddepage"/>
      <w:tabs>
        <w:tab w:val="right" w:pos="9638"/>
      </w:tabs>
      <w:rPr>
        <w:b/>
        <w:sz w:val="18"/>
      </w:rPr>
    </w:pPr>
    <w:r>
      <w:tab/>
    </w:r>
    <w:r w:rsidRPr="00154559">
      <w:rPr>
        <w:b/>
        <w:sz w:val="18"/>
      </w:rPr>
      <w:fldChar w:fldCharType="begin"/>
    </w:r>
    <w:r w:rsidRPr="00154559">
      <w:rPr>
        <w:b/>
        <w:sz w:val="18"/>
      </w:rPr>
      <w:instrText xml:space="preserve"> PAGE  \* MERGEFORMAT </w:instrText>
    </w:r>
    <w:r w:rsidRPr="00154559">
      <w:rPr>
        <w:b/>
        <w:sz w:val="18"/>
      </w:rPr>
      <w:fldChar w:fldCharType="separate"/>
    </w:r>
    <w:r w:rsidR="00CF7B7B">
      <w:rPr>
        <w:b/>
        <w:noProof/>
        <w:sz w:val="18"/>
      </w:rPr>
      <w:t>9</w:t>
    </w:r>
    <w:r w:rsidRPr="001545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B4FA" w14:textId="0A6FD5BB" w:rsidR="00177D7C" w:rsidRPr="00177D7C" w:rsidRDefault="00177D7C" w:rsidP="00177D7C">
    <w:pPr>
      <w:pStyle w:val="Pieddepage"/>
      <w:tabs>
        <w:tab w:val="left" w:pos="6520"/>
        <w:tab w:val="right" w:pos="9638"/>
      </w:tabs>
      <w:spacing w:before="120"/>
      <w:rPr>
        <w:sz w:val="20"/>
      </w:rPr>
    </w:pPr>
    <w:r>
      <w:rPr>
        <w:sz w:val="20"/>
      </w:rPr>
      <w:t>GE.23-03428  (F)</w:t>
    </w:r>
    <w:bookmarkStart w:id="0" w:name="_GoBack"/>
    <w:bookmarkEnd w:id="0"/>
    <w:r>
      <w:rPr>
        <w:sz w:val="20"/>
      </w:rPr>
      <w:tab/>
    </w:r>
    <w:r w:rsidRPr="00177D7C">
      <w:rPr>
        <w:noProof/>
        <w:sz w:val="20"/>
        <w:lang w:eastAsia="fr-CH"/>
      </w:rPr>
      <w:drawing>
        <wp:inline distT="0" distB="0" distL="0" distR="0" wp14:anchorId="55C0FDF5" wp14:editId="67DB90EB">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97FDB58" wp14:editId="7307B7CE">
          <wp:extent cx="559435" cy="5594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4508" w14:textId="77777777" w:rsidR="00DD31FE" w:rsidRPr="009C4D45" w:rsidRDefault="00DD31FE" w:rsidP="009C4D45">
      <w:pPr>
        <w:pStyle w:val="Pieddepage"/>
        <w:tabs>
          <w:tab w:val="right" w:pos="2155"/>
        </w:tabs>
        <w:spacing w:after="80" w:line="240" w:lineRule="atLeast"/>
        <w:ind w:left="680"/>
        <w:rPr>
          <w:u w:val="single"/>
        </w:rPr>
      </w:pPr>
      <w:r>
        <w:rPr>
          <w:u w:val="single"/>
        </w:rPr>
        <w:tab/>
      </w:r>
    </w:p>
  </w:footnote>
  <w:footnote w:type="continuationSeparator" w:id="0">
    <w:p w14:paraId="15F8BCCB" w14:textId="77777777" w:rsidR="00DD31FE" w:rsidRPr="00035AE4" w:rsidRDefault="00DD31FE" w:rsidP="00035AE4">
      <w:pPr>
        <w:pStyle w:val="Pieddepage"/>
        <w:tabs>
          <w:tab w:val="right" w:pos="2155"/>
        </w:tabs>
        <w:spacing w:after="80" w:line="240" w:lineRule="atLeast"/>
        <w:ind w:left="680"/>
        <w:rPr>
          <w:u w:val="single"/>
        </w:rPr>
      </w:pPr>
      <w:r>
        <w:rPr>
          <w:u w:val="single"/>
        </w:rPr>
        <w:tab/>
      </w:r>
    </w:p>
  </w:footnote>
  <w:footnote w:type="continuationNotice" w:id="1">
    <w:p w14:paraId="09D85FB5" w14:textId="77777777" w:rsidR="00DD31FE" w:rsidRPr="00035AE4" w:rsidRDefault="00DD31FE">
      <w:pPr>
        <w:spacing w:line="240" w:lineRule="auto"/>
        <w:rPr>
          <w:sz w:val="2"/>
          <w:szCs w:val="2"/>
        </w:rPr>
      </w:pPr>
    </w:p>
  </w:footnote>
  <w:footnote w:id="2">
    <w:p w14:paraId="509D64F7" w14:textId="77777777" w:rsidR="005A08D7" w:rsidRPr="00594DF3" w:rsidRDefault="005A08D7" w:rsidP="005A08D7">
      <w:pPr>
        <w:pStyle w:val="Notedebasdepage"/>
      </w:pPr>
      <w:r>
        <w:rPr>
          <w:rStyle w:val="Appelnotedebasdep"/>
        </w:rPr>
        <w:tab/>
      </w:r>
      <w:r w:rsidRPr="005B53C4">
        <w:rPr>
          <w:rStyle w:val="Appelnotedebasdep"/>
          <w:sz w:val="20"/>
          <w:vertAlign w:val="baseline"/>
        </w:rPr>
        <w:t>*</w:t>
      </w:r>
      <w:r>
        <w:rPr>
          <w:rStyle w:val="Appelnotedebasdep"/>
          <w:sz w:val="20"/>
          <w:vertAlign w:val="baseline"/>
        </w:rPr>
        <w:tab/>
      </w:r>
      <w:r>
        <w:t xml:space="preserve">Adoptée par le Comité à sa </w:t>
      </w:r>
      <w:r w:rsidRPr="00396F21">
        <w:t>soixante-treizième session (19 avril-13 mai 2022)</w:t>
      </w:r>
      <w:r>
        <w:t>.</w:t>
      </w:r>
    </w:p>
  </w:footnote>
  <w:footnote w:id="3">
    <w:p w14:paraId="413740EE" w14:textId="4996169A" w:rsidR="005A08D7" w:rsidRPr="008A310C" w:rsidRDefault="005A08D7" w:rsidP="005A08D7">
      <w:pPr>
        <w:pStyle w:val="Notedebasdepage"/>
        <w:rPr>
          <w:lang w:val="en-US"/>
        </w:rPr>
      </w:pPr>
      <w:r>
        <w:tab/>
      </w:r>
      <w:r w:rsidRPr="00C73F82">
        <w:rPr>
          <w:rStyle w:val="Appelnotedebasdep"/>
        </w:rPr>
        <w:footnoteRef/>
      </w:r>
      <w:r w:rsidRPr="008A310C">
        <w:rPr>
          <w:lang w:val="en-US"/>
        </w:rPr>
        <w:tab/>
      </w:r>
      <w:hyperlink r:id="rId1" w:history="1">
        <w:r w:rsidRPr="00D64B96">
          <w:rPr>
            <w:rStyle w:val="Lienhypertexte"/>
            <w:lang w:val="en-US"/>
          </w:rPr>
          <w:t>CAT/C/COD/CO/2</w:t>
        </w:r>
      </w:hyperlink>
      <w:r w:rsidRPr="008A310C">
        <w:rPr>
          <w:lang w:val="en-US"/>
        </w:rPr>
        <w:t>, par. 42.</w:t>
      </w:r>
    </w:p>
  </w:footnote>
  <w:footnote w:id="4">
    <w:p w14:paraId="7FC2C532" w14:textId="475F13C3" w:rsidR="005A08D7" w:rsidRPr="008A310C" w:rsidRDefault="005A08D7" w:rsidP="005A08D7">
      <w:pPr>
        <w:pStyle w:val="Notedebasdepage"/>
        <w:rPr>
          <w:lang w:val="en-US"/>
        </w:rPr>
      </w:pPr>
      <w:r w:rsidRPr="008A310C">
        <w:rPr>
          <w:lang w:val="en-US"/>
        </w:rPr>
        <w:tab/>
      </w:r>
      <w:r w:rsidRPr="00C73F82">
        <w:rPr>
          <w:rStyle w:val="Appelnotedebasdep"/>
        </w:rPr>
        <w:footnoteRef/>
      </w:r>
      <w:r w:rsidRPr="008A310C">
        <w:rPr>
          <w:lang w:val="en-US"/>
        </w:rPr>
        <w:tab/>
      </w:r>
      <w:r w:rsidRPr="008A310C">
        <w:rPr>
          <w:lang w:val="en-US"/>
        </w:rPr>
        <w:tab/>
      </w:r>
      <w:hyperlink r:id="rId2" w:history="1">
        <w:r w:rsidRPr="00D64B96">
          <w:rPr>
            <w:rStyle w:val="Lienhypertexte"/>
            <w:lang w:val="en-US"/>
          </w:rPr>
          <w:t>CAT/C/COD/FCO/2</w:t>
        </w:r>
      </w:hyperlink>
      <w:r w:rsidRPr="008A310C">
        <w:rPr>
          <w:lang w:val="en-US"/>
        </w:rPr>
        <w:t>.</w:t>
      </w:r>
    </w:p>
  </w:footnote>
  <w:footnote w:id="5">
    <w:p w14:paraId="6E140E17" w14:textId="47CB658B" w:rsidR="005A08D7" w:rsidRPr="008A310C" w:rsidRDefault="005A08D7" w:rsidP="005A08D7">
      <w:pPr>
        <w:pStyle w:val="Notedebasdepage"/>
        <w:rPr>
          <w:lang w:val="en-US"/>
        </w:rPr>
      </w:pPr>
      <w:r w:rsidRPr="008A310C">
        <w:rPr>
          <w:lang w:val="en-US"/>
        </w:rPr>
        <w:tab/>
      </w:r>
      <w:r w:rsidRPr="00C73F82">
        <w:rPr>
          <w:rStyle w:val="Appelnotedebasdep"/>
        </w:rPr>
        <w:footnoteRef/>
      </w:r>
      <w:r w:rsidRPr="008A310C">
        <w:rPr>
          <w:lang w:val="en-US"/>
        </w:rPr>
        <w:tab/>
      </w:r>
      <w:hyperlink r:id="rId3" w:history="1">
        <w:r w:rsidRPr="00D64B96">
          <w:rPr>
            <w:rStyle w:val="Lienhypertexte"/>
            <w:lang w:val="en-US"/>
          </w:rPr>
          <w:t>CAT/C/COD/CO/</w:t>
        </w:r>
      </w:hyperlink>
      <w:r w:rsidRPr="008A310C">
        <w:rPr>
          <w:lang w:val="en-US"/>
        </w:rPr>
        <w:t>2, par. 9.</w:t>
      </w:r>
    </w:p>
  </w:footnote>
  <w:footnote w:id="6">
    <w:p w14:paraId="126D7D2C" w14:textId="77777777" w:rsidR="005A08D7" w:rsidRDefault="005A08D7" w:rsidP="005A08D7">
      <w:pPr>
        <w:pStyle w:val="Notedebasdepage"/>
      </w:pPr>
      <w:r w:rsidRPr="008A310C">
        <w:rPr>
          <w:lang w:val="en-US"/>
        </w:rPr>
        <w:tab/>
      </w:r>
      <w:r w:rsidRPr="00C73F82">
        <w:rPr>
          <w:rStyle w:val="Appelnotedebasdep"/>
        </w:rPr>
        <w:footnoteRef/>
      </w:r>
      <w:r>
        <w:tab/>
      </w:r>
      <w:r w:rsidRPr="00451580">
        <w:t xml:space="preserve">Les </w:t>
      </w:r>
      <w:r>
        <w:t>questions</w:t>
      </w:r>
      <w:r w:rsidRPr="00451580">
        <w:t xml:space="preserve"> soulevé</w:t>
      </w:r>
      <w:r>
        <w:t>e</w:t>
      </w:r>
      <w:r w:rsidRPr="00451580">
        <w:t>s au titre de l’article</w:t>
      </w:r>
      <w:r>
        <w:t> </w:t>
      </w:r>
      <w:r w:rsidRPr="00451580">
        <w:t>2 peuvent également l’être au titre d’autres articles de la</w:t>
      </w:r>
      <w:r>
        <w:t> </w:t>
      </w:r>
      <w:r w:rsidRPr="00451580">
        <w:t>Convention, notamment de l’article</w:t>
      </w:r>
      <w:r>
        <w:t> </w:t>
      </w:r>
      <w:r w:rsidRPr="00451580">
        <w:t>16. Comme il est indiqué au paragraphe</w:t>
      </w:r>
      <w:r>
        <w:t> </w:t>
      </w:r>
      <w:r w:rsidRPr="00451580">
        <w:t>3 de l’observation générale n</w:t>
      </w:r>
      <w:r w:rsidRPr="005570BA">
        <w:rPr>
          <w:vertAlign w:val="superscript"/>
        </w:rPr>
        <w:t>o</w:t>
      </w:r>
      <w:r>
        <w:t> </w:t>
      </w:r>
      <w:r w:rsidRPr="00451580">
        <w:t>2 (2007) du Comité sur l’application de l’article</w:t>
      </w:r>
      <w:r>
        <w:t> </w:t>
      </w:r>
      <w:r w:rsidRPr="00451580">
        <w:t>2, l’obligation de prévenir la torture consacrée à l’article</w:t>
      </w:r>
      <w:r>
        <w:t> </w:t>
      </w:r>
      <w:r w:rsidRPr="00451580">
        <w:t xml:space="preserve">2 est de portée large. Cette obligation et celle de prévenir les peines ou traitements cruels, inhumains ou dégradants, énoncée </w:t>
      </w:r>
      <w:r>
        <w:t>à</w:t>
      </w:r>
      <w:r w:rsidRPr="00451580">
        <w:t xml:space="preserve"> l’article</w:t>
      </w:r>
      <w:r>
        <w:t> </w:t>
      </w:r>
      <w:r w:rsidRPr="00451580">
        <w:t>16</w:t>
      </w:r>
      <w:r>
        <w:t xml:space="preserve"> (par. 1)</w:t>
      </w:r>
      <w:r w:rsidRPr="00451580">
        <w:t>,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w:t>
      </w:r>
      <w:r>
        <w:t> </w:t>
      </w:r>
      <w:r w:rsidRPr="00451580">
        <w:t>V de cette même observation générale.</w:t>
      </w:r>
    </w:p>
  </w:footnote>
  <w:footnote w:id="7">
    <w:p w14:paraId="0D67BB5B" w14:textId="2585F230" w:rsidR="005A08D7" w:rsidRPr="008A310C" w:rsidRDefault="005A08D7" w:rsidP="005A08D7">
      <w:pPr>
        <w:pStyle w:val="Notedebasdepage"/>
        <w:rPr>
          <w:lang w:val="fr-CA"/>
        </w:rPr>
      </w:pPr>
      <w:r>
        <w:tab/>
      </w:r>
      <w:r w:rsidRPr="00C73F82">
        <w:rPr>
          <w:rStyle w:val="Appelnotedebasdep"/>
        </w:rPr>
        <w:footnoteRef/>
      </w:r>
      <w:r>
        <w:tab/>
      </w:r>
      <w:hyperlink r:id="rId4" w:history="1">
        <w:r w:rsidRPr="007C0353">
          <w:rPr>
            <w:rStyle w:val="Lienhypertexte"/>
            <w:lang w:val="fr-FR"/>
          </w:rPr>
          <w:t>CAT/C/COD/CO/2</w:t>
        </w:r>
      </w:hyperlink>
      <w:r w:rsidRPr="008A5A99">
        <w:rPr>
          <w:lang w:val="fr-FR"/>
        </w:rPr>
        <w:t xml:space="preserve">, </w:t>
      </w:r>
      <w:r>
        <w:rPr>
          <w:lang w:val="fr-FR"/>
        </w:rPr>
        <w:t xml:space="preserve">par. 12 </w:t>
      </w:r>
      <w:r w:rsidR="00D64B96">
        <w:rPr>
          <w:lang w:val="fr-FR"/>
        </w:rPr>
        <w:t xml:space="preserve">et </w:t>
      </w:r>
      <w:r>
        <w:rPr>
          <w:lang w:val="fr-FR"/>
        </w:rPr>
        <w:t>13.</w:t>
      </w:r>
    </w:p>
  </w:footnote>
  <w:footnote w:id="8">
    <w:p w14:paraId="5F8B58A4" w14:textId="1EA8E6D1" w:rsidR="005A08D7" w:rsidRPr="007A5747" w:rsidRDefault="005A08D7" w:rsidP="005A08D7">
      <w:pPr>
        <w:pStyle w:val="Notedebasdepage"/>
      </w:pPr>
      <w:r w:rsidRPr="008F1A9B">
        <w:rPr>
          <w:lang w:val="fr-BE"/>
        </w:rPr>
        <w:tab/>
      </w:r>
      <w:r w:rsidRPr="00C73F82">
        <w:rPr>
          <w:rStyle w:val="Appelnotedebasdep"/>
        </w:rPr>
        <w:footnoteRef/>
      </w:r>
      <w:r w:rsidRPr="007A5747">
        <w:tab/>
      </w:r>
      <w:hyperlink r:id="rId5" w:history="1">
        <w:r w:rsidRPr="007C0353">
          <w:rPr>
            <w:rStyle w:val="Lienhypertexte"/>
          </w:rPr>
          <w:t>CAT/C/COD/FCO/2</w:t>
        </w:r>
      </w:hyperlink>
      <w:r>
        <w:t xml:space="preserve">. Voir aussi la lettre du Rapporteur pour le suivi des observations finales adressée à l’État partie en date du </w:t>
      </w:r>
      <w:r w:rsidR="00D64B96">
        <w:t>4 </w:t>
      </w:r>
      <w:r>
        <w:t>novembre 2020.</w:t>
      </w:r>
    </w:p>
  </w:footnote>
  <w:footnote w:id="9">
    <w:p w14:paraId="7FD46976" w14:textId="6575B7B8" w:rsidR="005A08D7" w:rsidRPr="007A5747" w:rsidRDefault="005A08D7" w:rsidP="005A08D7">
      <w:pPr>
        <w:pStyle w:val="Notedebasdepage"/>
      </w:pPr>
      <w:r>
        <w:tab/>
      </w:r>
      <w:r w:rsidRPr="00C73F82">
        <w:rPr>
          <w:rStyle w:val="Appelnotedebasdep"/>
        </w:rPr>
        <w:footnoteRef/>
      </w:r>
      <w:r w:rsidRPr="007A5747">
        <w:tab/>
      </w:r>
      <w:hyperlink r:id="rId6" w:history="1">
        <w:r w:rsidRPr="007C0353">
          <w:rPr>
            <w:rStyle w:val="Lienhypertexte"/>
          </w:rPr>
          <w:tab/>
          <w:t>A/HRC/48/47</w:t>
        </w:r>
      </w:hyperlink>
      <w:r w:rsidRPr="004818F3">
        <w:t>, par</w:t>
      </w:r>
      <w:r w:rsidR="00D64B96" w:rsidRPr="004818F3">
        <w:t>.</w:t>
      </w:r>
      <w:r w:rsidR="00D64B96">
        <w:t> </w:t>
      </w:r>
      <w:r w:rsidRPr="004818F3">
        <w:t>4 et 21</w:t>
      </w:r>
      <w:r>
        <w:t>.</w:t>
      </w:r>
    </w:p>
  </w:footnote>
  <w:footnote w:id="10">
    <w:p w14:paraId="12DEC490" w14:textId="71E630E6" w:rsidR="005A08D7" w:rsidRPr="008A310C" w:rsidRDefault="005A08D7" w:rsidP="005A08D7">
      <w:pPr>
        <w:pStyle w:val="Notedebasdepage"/>
        <w:rPr>
          <w:lang w:val="fr-CA"/>
        </w:rPr>
      </w:pPr>
      <w:r>
        <w:tab/>
      </w:r>
      <w:r w:rsidRPr="00C73F82">
        <w:rPr>
          <w:rStyle w:val="Appelnotedebasdep"/>
        </w:rPr>
        <w:footnoteRef/>
      </w:r>
      <w:r>
        <w:tab/>
      </w:r>
      <w:hyperlink r:id="rId7" w:history="1">
        <w:r w:rsidRPr="007C0353">
          <w:rPr>
            <w:rStyle w:val="Lienhypertexte"/>
            <w:lang w:val="fr-FR"/>
          </w:rPr>
          <w:t>CAT/C/COD/CO/2</w:t>
        </w:r>
      </w:hyperlink>
      <w:r w:rsidRPr="008A5A99">
        <w:rPr>
          <w:lang w:val="fr-FR"/>
        </w:rPr>
        <w:t xml:space="preserve">, </w:t>
      </w:r>
      <w:r>
        <w:rPr>
          <w:lang w:val="fr-FR"/>
        </w:rPr>
        <w:t>par. 24 et 25.</w:t>
      </w:r>
    </w:p>
  </w:footnote>
  <w:footnote w:id="11">
    <w:p w14:paraId="072782FC" w14:textId="701606DA" w:rsidR="005A08D7" w:rsidRPr="007A5747" w:rsidRDefault="005A08D7" w:rsidP="005A08D7">
      <w:pPr>
        <w:pStyle w:val="Notedebasdepage"/>
      </w:pPr>
      <w:r w:rsidRPr="007A5747">
        <w:tab/>
      </w:r>
      <w:r w:rsidRPr="00C73F82">
        <w:rPr>
          <w:rStyle w:val="Appelnotedebasdep"/>
        </w:rPr>
        <w:footnoteRef/>
      </w:r>
      <w:r w:rsidRPr="007A5747">
        <w:tab/>
      </w:r>
      <w:hyperlink r:id="rId8" w:history="1">
        <w:r w:rsidRPr="007C0353">
          <w:rPr>
            <w:rStyle w:val="Lienhypertexte"/>
          </w:rPr>
          <w:t>CAT/C/COD/FCO/2</w:t>
        </w:r>
      </w:hyperlink>
      <w:r>
        <w:t>.</w:t>
      </w:r>
      <w:r w:rsidRPr="007A5747">
        <w:t xml:space="preserve"> </w:t>
      </w:r>
      <w:r>
        <w:t xml:space="preserve">Voir aussi la lettre du Rapporteur pour le suivi des observations finales adressée à l’État partie en date du </w:t>
      </w:r>
      <w:r w:rsidR="00D64B96">
        <w:t>4 </w:t>
      </w:r>
      <w:r>
        <w:t>novembre 2020.</w:t>
      </w:r>
    </w:p>
  </w:footnote>
  <w:footnote w:id="12">
    <w:p w14:paraId="11D8B9A4" w14:textId="5AB6AF5C" w:rsidR="005A08D7" w:rsidRPr="006F496A" w:rsidRDefault="005A08D7" w:rsidP="005A08D7">
      <w:pPr>
        <w:pStyle w:val="Notedebasdepage"/>
      </w:pPr>
      <w:r w:rsidRPr="00A40A8A">
        <w:tab/>
      </w:r>
      <w:r w:rsidRPr="00C73F82">
        <w:rPr>
          <w:rStyle w:val="Appelnotedebasdep"/>
        </w:rPr>
        <w:footnoteRef/>
      </w:r>
      <w:r>
        <w:tab/>
      </w:r>
      <w:r>
        <w:tab/>
      </w:r>
      <w:hyperlink r:id="rId9" w:history="1">
        <w:r w:rsidRPr="00961148">
          <w:rPr>
            <w:rStyle w:val="Lienhypertexte"/>
          </w:rPr>
          <w:t>A/HRC/42/5</w:t>
        </w:r>
      </w:hyperlink>
      <w:r>
        <w:t>, par</w:t>
      </w:r>
      <w:r w:rsidR="00D64B96">
        <w:t>. </w:t>
      </w:r>
      <w:r>
        <w:t>119.47 à 119.53 et 119.55.</w:t>
      </w:r>
    </w:p>
  </w:footnote>
  <w:footnote w:id="13">
    <w:p w14:paraId="425695FB" w14:textId="27A69B1C" w:rsidR="005A08D7" w:rsidRPr="006D78CD" w:rsidRDefault="005A08D7" w:rsidP="005A08D7">
      <w:pPr>
        <w:pStyle w:val="Notedebasdepage"/>
      </w:pPr>
      <w:r>
        <w:tab/>
      </w:r>
      <w:r w:rsidRPr="00C73F82">
        <w:rPr>
          <w:rStyle w:val="Appelnotedebasdep"/>
        </w:rPr>
        <w:footnoteRef/>
      </w:r>
      <w:r>
        <w:tab/>
      </w:r>
      <w:r>
        <w:tab/>
      </w:r>
      <w:hyperlink r:id="rId10" w:history="1">
        <w:r w:rsidRPr="007C0353">
          <w:rPr>
            <w:rStyle w:val="Lienhypertexte"/>
          </w:rPr>
          <w:t>A/HRC/45/49</w:t>
        </w:r>
      </w:hyperlink>
      <w:r w:rsidRPr="00A40A8A">
        <w:t>, par</w:t>
      </w:r>
      <w:r w:rsidR="00D64B96" w:rsidRPr="00A40A8A">
        <w:t>.</w:t>
      </w:r>
      <w:r w:rsidR="00D64B96">
        <w:t> </w:t>
      </w:r>
      <w:r w:rsidRPr="00A40A8A">
        <w:t>65</w:t>
      </w:r>
      <w:r>
        <w:t> ;</w:t>
      </w:r>
      <w:r w:rsidRPr="00A40A8A">
        <w:t xml:space="preserve"> et </w:t>
      </w:r>
      <w:hyperlink r:id="rId11" w:history="1">
        <w:r w:rsidRPr="007C0353">
          <w:rPr>
            <w:rStyle w:val="Lienhypertexte"/>
          </w:rPr>
          <w:t>A/HRC/48/47</w:t>
        </w:r>
      </w:hyperlink>
      <w:r w:rsidRPr="00A40A8A">
        <w:t>, par</w:t>
      </w:r>
      <w:r w:rsidR="00D64B96" w:rsidRPr="00A40A8A">
        <w:t>.</w:t>
      </w:r>
      <w:r w:rsidR="00D64B96">
        <w:t> </w:t>
      </w:r>
      <w:r w:rsidRPr="00A40A8A">
        <w:t>60</w:t>
      </w:r>
      <w:r>
        <w:t>.</w:t>
      </w:r>
    </w:p>
  </w:footnote>
  <w:footnote w:id="14">
    <w:p w14:paraId="0EC48A04" w14:textId="5D104160" w:rsidR="005A08D7" w:rsidRPr="008A310C" w:rsidRDefault="005A08D7" w:rsidP="005A08D7">
      <w:pPr>
        <w:pStyle w:val="Notedebasdepage"/>
        <w:rPr>
          <w:lang w:val="en-US"/>
        </w:rPr>
      </w:pPr>
      <w:r>
        <w:tab/>
      </w:r>
      <w:r w:rsidRPr="00C73F82">
        <w:rPr>
          <w:rStyle w:val="Appelnotedebasdep"/>
        </w:rPr>
        <w:footnoteRef/>
      </w:r>
      <w:r w:rsidRPr="008A310C">
        <w:rPr>
          <w:lang w:val="en-US"/>
        </w:rPr>
        <w:tab/>
      </w:r>
      <w:hyperlink r:id="rId12" w:history="1">
        <w:r w:rsidRPr="007C0353">
          <w:rPr>
            <w:rStyle w:val="Lienhypertexte"/>
            <w:lang w:val="en-US"/>
          </w:rPr>
          <w:t>CAT/C/COD/2</w:t>
        </w:r>
      </w:hyperlink>
      <w:r w:rsidRPr="008A310C">
        <w:rPr>
          <w:lang w:val="en-US"/>
        </w:rPr>
        <w:t>.</w:t>
      </w:r>
    </w:p>
  </w:footnote>
  <w:footnote w:id="15">
    <w:p w14:paraId="24EF680A" w14:textId="3155430A" w:rsidR="005A08D7" w:rsidRPr="008A310C" w:rsidRDefault="005A08D7" w:rsidP="005A08D7">
      <w:pPr>
        <w:pStyle w:val="Notedebasdepage"/>
        <w:rPr>
          <w:lang w:val="en-US"/>
        </w:rPr>
      </w:pPr>
      <w:r w:rsidRPr="008A310C">
        <w:rPr>
          <w:lang w:val="en-US"/>
        </w:rPr>
        <w:tab/>
      </w:r>
      <w:r w:rsidRPr="00C73F82">
        <w:rPr>
          <w:rStyle w:val="Appelnotedebasdep"/>
        </w:rPr>
        <w:footnoteRef/>
      </w:r>
      <w:r w:rsidRPr="008A310C">
        <w:rPr>
          <w:lang w:val="en-US"/>
        </w:rPr>
        <w:tab/>
      </w:r>
      <w:hyperlink r:id="rId13" w:history="1">
        <w:r w:rsidRPr="007C0353">
          <w:rPr>
            <w:rStyle w:val="Lienhypertexte"/>
            <w:lang w:val="en-US"/>
          </w:rPr>
          <w:t>CAT/C/COD/CO/2</w:t>
        </w:r>
      </w:hyperlink>
      <w:r w:rsidRPr="008A310C">
        <w:rPr>
          <w:lang w:val="en-US"/>
        </w:rPr>
        <w:t>, par. 35 b).</w:t>
      </w:r>
    </w:p>
  </w:footnote>
  <w:footnote w:id="16">
    <w:p w14:paraId="0F76FE09" w14:textId="3D9955FE" w:rsidR="005A08D7" w:rsidRPr="008A310C" w:rsidRDefault="005A08D7" w:rsidP="005A08D7">
      <w:pPr>
        <w:pStyle w:val="Notedebasdepage"/>
        <w:rPr>
          <w:lang w:val="fr-CA"/>
        </w:rPr>
      </w:pPr>
      <w:r w:rsidRPr="008A310C">
        <w:rPr>
          <w:lang w:val="en-US"/>
        </w:rPr>
        <w:tab/>
      </w:r>
      <w:r w:rsidRPr="00C73F82">
        <w:rPr>
          <w:rStyle w:val="Appelnotedebasdep"/>
        </w:rPr>
        <w:footnoteRef/>
      </w:r>
      <w:r>
        <w:tab/>
        <w:t xml:space="preserve">Ibid., par. 38 </w:t>
      </w:r>
      <w:r w:rsidR="00D64B96">
        <w:t xml:space="preserve">et </w:t>
      </w:r>
      <w:r>
        <w:t>39.</w:t>
      </w:r>
    </w:p>
  </w:footnote>
  <w:footnote w:id="17">
    <w:p w14:paraId="62FC4DCC" w14:textId="053D828F" w:rsidR="005A08D7" w:rsidRPr="00BD6DF4" w:rsidRDefault="005A08D7" w:rsidP="005A08D7">
      <w:pPr>
        <w:pStyle w:val="Notedebasdepage"/>
      </w:pPr>
      <w:r>
        <w:tab/>
      </w:r>
      <w:r w:rsidRPr="00C73F82">
        <w:rPr>
          <w:rStyle w:val="Appelnotedebasdep"/>
        </w:rPr>
        <w:footnoteRef/>
      </w:r>
      <w:r>
        <w:tab/>
      </w:r>
      <w:r>
        <w:tab/>
      </w:r>
      <w:hyperlink r:id="rId14" w:history="1">
        <w:r w:rsidRPr="007C0353">
          <w:rPr>
            <w:rStyle w:val="Lienhypertexte"/>
          </w:rPr>
          <w:t>A/HRC/48/82</w:t>
        </w:r>
      </w:hyperlink>
      <w:r w:rsidRPr="00BD6DF4">
        <w:t>, par</w:t>
      </w:r>
      <w:r w:rsidR="00D64B96" w:rsidRPr="00BD6DF4">
        <w:t>.</w:t>
      </w:r>
      <w:r w:rsidR="00D64B96">
        <w:t> </w:t>
      </w:r>
      <w:r w:rsidRPr="00BD6DF4">
        <w:t>78</w:t>
      </w:r>
      <w:r>
        <w:t> </w:t>
      </w:r>
      <w:r w:rsidRPr="00BD6DF4">
        <w:t>e)</w:t>
      </w:r>
      <w:r>
        <w:t>.</w:t>
      </w:r>
    </w:p>
  </w:footnote>
  <w:footnote w:id="18">
    <w:p w14:paraId="04418399" w14:textId="7C7E1C69" w:rsidR="005A08D7" w:rsidRPr="00EF4994" w:rsidRDefault="005A08D7" w:rsidP="005A08D7">
      <w:pPr>
        <w:pStyle w:val="Notedebasdepage"/>
        <w:rPr>
          <w:lang w:val="en-US"/>
        </w:rPr>
      </w:pPr>
      <w:r>
        <w:tab/>
      </w:r>
      <w:r w:rsidRPr="00C73F82">
        <w:rPr>
          <w:rStyle w:val="Appelnotedebasdep"/>
        </w:rPr>
        <w:footnoteRef/>
      </w:r>
      <w:r w:rsidRPr="00EF4994">
        <w:rPr>
          <w:lang w:val="en-US"/>
        </w:rPr>
        <w:tab/>
      </w:r>
      <w:hyperlink r:id="rId15" w:history="1">
        <w:r w:rsidRPr="00EF4994">
          <w:rPr>
            <w:rStyle w:val="Lienhypertexte"/>
            <w:lang w:val="en-US"/>
          </w:rPr>
          <w:t>CAT/C/COD/CO/2</w:t>
        </w:r>
      </w:hyperlink>
      <w:r w:rsidRPr="00EF4994">
        <w:rPr>
          <w:lang w:val="en-US"/>
        </w:rPr>
        <w:t>, par. 15.</w:t>
      </w:r>
    </w:p>
  </w:footnote>
  <w:footnote w:id="19">
    <w:p w14:paraId="60623B0E" w14:textId="0BED736E" w:rsidR="005A08D7" w:rsidRPr="00BD6DF4" w:rsidRDefault="005A08D7" w:rsidP="005A08D7">
      <w:pPr>
        <w:pStyle w:val="Notedebasdepage"/>
      </w:pPr>
      <w:r w:rsidRPr="00EF4994">
        <w:rPr>
          <w:lang w:val="en-US"/>
        </w:rPr>
        <w:tab/>
      </w:r>
      <w:r w:rsidRPr="00C73F82">
        <w:rPr>
          <w:rStyle w:val="Appelnotedebasdep"/>
        </w:rPr>
        <w:footnoteRef/>
      </w:r>
      <w:r w:rsidRPr="00BD6DF4">
        <w:tab/>
      </w:r>
      <w:r w:rsidRPr="00BD6DF4">
        <w:tab/>
      </w:r>
      <w:hyperlink r:id="rId16" w:history="1">
        <w:r w:rsidRPr="007C0353">
          <w:rPr>
            <w:rStyle w:val="Lienhypertexte"/>
          </w:rPr>
          <w:t>A/HRC/48/47</w:t>
        </w:r>
      </w:hyperlink>
      <w:r w:rsidRPr="00BD6DF4">
        <w:t>, par</w:t>
      </w:r>
      <w:r w:rsidR="00D64B96" w:rsidRPr="00BD6DF4">
        <w:t>.</w:t>
      </w:r>
      <w:r w:rsidR="00D64B96">
        <w:t> </w:t>
      </w:r>
      <w:r w:rsidRPr="00BD6DF4">
        <w:t>49</w:t>
      </w:r>
      <w:r>
        <w:t>.</w:t>
      </w:r>
    </w:p>
  </w:footnote>
  <w:footnote w:id="20">
    <w:p w14:paraId="338063F3" w14:textId="3FE01131" w:rsidR="005A08D7" w:rsidRPr="00CC7179" w:rsidRDefault="005A08D7" w:rsidP="005A08D7">
      <w:pPr>
        <w:pStyle w:val="Notedebasdepage"/>
      </w:pPr>
      <w:r w:rsidRPr="007A5747">
        <w:tab/>
      </w:r>
      <w:r w:rsidRPr="00C73F82">
        <w:rPr>
          <w:rStyle w:val="Appelnotedebasdep"/>
        </w:rPr>
        <w:footnoteRef/>
      </w:r>
      <w:r>
        <w:tab/>
      </w:r>
      <w:r>
        <w:tab/>
      </w:r>
      <w:hyperlink r:id="rId17" w:history="1">
        <w:r w:rsidRPr="007C0353">
          <w:rPr>
            <w:rStyle w:val="Lienhypertexte"/>
          </w:rPr>
          <w:t>A/HRC/45/49</w:t>
        </w:r>
      </w:hyperlink>
      <w:r>
        <w:t>, par</w:t>
      </w:r>
      <w:r w:rsidR="00D64B96">
        <w:t>. </w:t>
      </w:r>
      <w:r>
        <w:t>57.</w:t>
      </w:r>
    </w:p>
  </w:footnote>
  <w:footnote w:id="21">
    <w:p w14:paraId="5F872F47" w14:textId="43E4094A" w:rsidR="005A08D7" w:rsidRPr="00A11D32" w:rsidRDefault="005A08D7" w:rsidP="005A08D7">
      <w:pPr>
        <w:pStyle w:val="Notedebasdepage"/>
      </w:pPr>
      <w:r>
        <w:tab/>
      </w:r>
      <w:r w:rsidRPr="00C73F82">
        <w:rPr>
          <w:rStyle w:val="Appelnotedebasdep"/>
        </w:rPr>
        <w:footnoteRef/>
      </w:r>
      <w:r>
        <w:tab/>
        <w:t>Ibid.</w:t>
      </w:r>
      <w:r w:rsidRPr="00B91A51">
        <w:t xml:space="preserve">, </w:t>
      </w:r>
      <w:r>
        <w:t>par</w:t>
      </w:r>
      <w:r w:rsidR="00D64B96">
        <w:t>. </w:t>
      </w:r>
      <w:r>
        <w:t xml:space="preserve">53 ; et </w:t>
      </w:r>
      <w:hyperlink r:id="rId18" w:history="1">
        <w:r w:rsidRPr="007C0353">
          <w:rPr>
            <w:rStyle w:val="Lienhypertexte"/>
          </w:rPr>
          <w:t>A/HRC/48/47</w:t>
        </w:r>
      </w:hyperlink>
      <w:r>
        <w:t>, par</w:t>
      </w:r>
      <w:r w:rsidR="00D64B96">
        <w:t>. </w:t>
      </w:r>
      <w:r>
        <w:t xml:space="preserve">49. </w:t>
      </w:r>
    </w:p>
  </w:footnote>
  <w:footnote w:id="22">
    <w:p w14:paraId="602D9401" w14:textId="5ECEFB87" w:rsidR="005A08D7" w:rsidRPr="0094435C" w:rsidRDefault="005A08D7" w:rsidP="005A08D7">
      <w:pPr>
        <w:pStyle w:val="Notedebasdepage"/>
      </w:pPr>
      <w:r w:rsidRPr="00BD6DF4">
        <w:tab/>
      </w:r>
      <w:r w:rsidRPr="00C73F82">
        <w:rPr>
          <w:rStyle w:val="Appelnotedebasdep"/>
        </w:rPr>
        <w:footnoteRef/>
      </w:r>
      <w:r w:rsidRPr="00BD6DF4">
        <w:tab/>
      </w:r>
      <w:r w:rsidRPr="00BD6DF4">
        <w:tab/>
      </w:r>
      <w:hyperlink r:id="rId19" w:history="1">
        <w:r w:rsidRPr="007C0353">
          <w:rPr>
            <w:rStyle w:val="Lienhypertexte"/>
          </w:rPr>
          <w:t>A/HRC/48/47</w:t>
        </w:r>
      </w:hyperlink>
      <w:r w:rsidRPr="00BD6DF4">
        <w:t>, par</w:t>
      </w:r>
      <w:r w:rsidR="00D64B96" w:rsidRPr="00BD6DF4">
        <w:t>.</w:t>
      </w:r>
      <w:r w:rsidR="00D64B96">
        <w:t> </w:t>
      </w:r>
      <w:r w:rsidRPr="00BD6DF4">
        <w:t>10</w:t>
      </w:r>
      <w:r>
        <w:t>.</w:t>
      </w:r>
    </w:p>
  </w:footnote>
  <w:footnote w:id="23">
    <w:p w14:paraId="4F93C2B4" w14:textId="790CCE15" w:rsidR="005A08D7" w:rsidRPr="005B6AC4" w:rsidRDefault="005A08D7" w:rsidP="005A08D7">
      <w:pPr>
        <w:pStyle w:val="Notedebasdepage"/>
      </w:pPr>
      <w:r w:rsidRPr="005B6AC4">
        <w:tab/>
      </w:r>
      <w:r w:rsidRPr="00C73F82">
        <w:rPr>
          <w:rStyle w:val="Appelnotedebasdep"/>
        </w:rPr>
        <w:footnoteRef/>
      </w:r>
      <w:r w:rsidRPr="005B6AC4">
        <w:tab/>
      </w:r>
      <w:r w:rsidRPr="005B6AC4">
        <w:tab/>
      </w:r>
      <w:hyperlink r:id="rId20" w:history="1">
        <w:r w:rsidRPr="007C0353">
          <w:rPr>
            <w:rStyle w:val="Lienhypertexte"/>
          </w:rPr>
          <w:t>A/HRC/45/49</w:t>
        </w:r>
      </w:hyperlink>
      <w:r w:rsidRPr="005B6AC4">
        <w:t>, par</w:t>
      </w:r>
      <w:r w:rsidR="00D64B96" w:rsidRPr="005B6AC4">
        <w:t>.</w:t>
      </w:r>
      <w:r w:rsidR="00D64B96">
        <w:t> </w:t>
      </w:r>
      <w:r w:rsidRPr="005B6AC4">
        <w:t>53</w:t>
      </w:r>
      <w:r>
        <w:t xml:space="preserve"> ; et </w:t>
      </w:r>
      <w:hyperlink r:id="rId21" w:history="1">
        <w:r w:rsidRPr="007C0353">
          <w:rPr>
            <w:rStyle w:val="Lienhypertexte"/>
          </w:rPr>
          <w:t>A/HRC/48/47</w:t>
        </w:r>
      </w:hyperlink>
      <w:r w:rsidRPr="005B6AC4">
        <w:t>, par</w:t>
      </w:r>
      <w:r w:rsidR="00D64B96" w:rsidRPr="005B6AC4">
        <w:t>.</w:t>
      </w:r>
      <w:r w:rsidR="00D64B96">
        <w:t> </w:t>
      </w:r>
      <w:r w:rsidRPr="005B6AC4">
        <w:t>49</w:t>
      </w:r>
      <w:r>
        <w:t>.</w:t>
      </w:r>
    </w:p>
  </w:footnote>
  <w:footnote w:id="24">
    <w:p w14:paraId="72A15325" w14:textId="0489C4B4" w:rsidR="005A08D7" w:rsidRPr="005B6AC4" w:rsidRDefault="005A08D7" w:rsidP="005A08D7">
      <w:pPr>
        <w:pStyle w:val="Notedebasdepage"/>
      </w:pPr>
      <w:r w:rsidRPr="005B6AC4">
        <w:tab/>
      </w:r>
      <w:r w:rsidRPr="00C73F82">
        <w:rPr>
          <w:rStyle w:val="Appelnotedebasdep"/>
        </w:rPr>
        <w:footnoteRef/>
      </w:r>
      <w:r w:rsidRPr="005B6AC4">
        <w:tab/>
      </w:r>
      <w:r w:rsidRPr="005B6AC4">
        <w:tab/>
      </w:r>
      <w:hyperlink r:id="rId22" w:history="1">
        <w:r w:rsidRPr="007C0353">
          <w:rPr>
            <w:rStyle w:val="Lienhypertexte"/>
          </w:rPr>
          <w:t>A/HRC/48/47</w:t>
        </w:r>
      </w:hyperlink>
      <w:r w:rsidRPr="005B6AC4">
        <w:t>, par</w:t>
      </w:r>
      <w:r w:rsidR="00D64B96" w:rsidRPr="005B6AC4">
        <w:t>.</w:t>
      </w:r>
      <w:r w:rsidR="00D64B96">
        <w:t> </w:t>
      </w:r>
      <w:r w:rsidRPr="005B6AC4">
        <w:t>38</w:t>
      </w:r>
      <w:r>
        <w:rPr>
          <w:szCs w:val="18"/>
        </w:rPr>
        <w:t>.</w:t>
      </w:r>
    </w:p>
  </w:footnote>
  <w:footnote w:id="25">
    <w:p w14:paraId="31FFB7E4" w14:textId="344BD0D5" w:rsidR="005A08D7" w:rsidRPr="008A310C" w:rsidRDefault="005A08D7" w:rsidP="005A08D7">
      <w:pPr>
        <w:pStyle w:val="Notedebasdepage"/>
        <w:rPr>
          <w:lang w:val="fr-CA"/>
        </w:rPr>
      </w:pPr>
      <w:r>
        <w:tab/>
      </w:r>
      <w:r w:rsidRPr="00C73F82">
        <w:rPr>
          <w:rStyle w:val="Appelnotedebasdep"/>
        </w:rPr>
        <w:footnoteRef/>
      </w:r>
      <w:r>
        <w:tab/>
      </w:r>
      <w:hyperlink r:id="rId23" w:history="1">
        <w:r w:rsidRPr="007C0353">
          <w:rPr>
            <w:rStyle w:val="Lienhypertexte"/>
            <w:lang w:val="fr-FR"/>
          </w:rPr>
          <w:t>CAT/C/COD/CO/2</w:t>
        </w:r>
      </w:hyperlink>
      <w:r w:rsidRPr="008A5A99">
        <w:rPr>
          <w:lang w:val="fr-FR"/>
        </w:rPr>
        <w:t xml:space="preserve">, </w:t>
      </w:r>
      <w:r>
        <w:rPr>
          <w:lang w:val="fr-FR"/>
        </w:rPr>
        <w:t xml:space="preserve">par. 22 </w:t>
      </w:r>
      <w:r w:rsidR="00D64B96">
        <w:rPr>
          <w:lang w:val="fr-FR"/>
        </w:rPr>
        <w:t xml:space="preserve">et </w:t>
      </w:r>
      <w:r>
        <w:rPr>
          <w:lang w:val="fr-FR"/>
        </w:rPr>
        <w:t>23.</w:t>
      </w:r>
    </w:p>
  </w:footnote>
  <w:footnote w:id="26">
    <w:p w14:paraId="3A3E6CA3" w14:textId="5B9751FF" w:rsidR="005A08D7" w:rsidRPr="00E7622B" w:rsidRDefault="005A08D7" w:rsidP="005A08D7">
      <w:pPr>
        <w:pStyle w:val="Notedebasdepage"/>
      </w:pPr>
      <w:r w:rsidRPr="005B6AC4">
        <w:tab/>
      </w:r>
      <w:r w:rsidRPr="00C73F82">
        <w:rPr>
          <w:rStyle w:val="Appelnotedebasdep"/>
        </w:rPr>
        <w:footnoteRef/>
      </w:r>
      <w:r w:rsidRPr="005B6AC4">
        <w:t xml:space="preserve"> </w:t>
      </w:r>
      <w:r w:rsidRPr="005B6AC4">
        <w:tab/>
      </w:r>
      <w:r w:rsidRPr="005B6AC4">
        <w:tab/>
      </w:r>
      <w:hyperlink r:id="rId24" w:history="1">
        <w:r w:rsidRPr="007C0353">
          <w:rPr>
            <w:rStyle w:val="Lienhypertexte"/>
          </w:rPr>
          <w:t>A/HRC/48/47</w:t>
        </w:r>
      </w:hyperlink>
      <w:r w:rsidRPr="005B6AC4">
        <w:t>, par</w:t>
      </w:r>
      <w:r w:rsidR="00D64B96" w:rsidRPr="005B6AC4">
        <w:t>.</w:t>
      </w:r>
      <w:r w:rsidR="00D64B96">
        <w:t> </w:t>
      </w:r>
      <w:r w:rsidRPr="005B6AC4">
        <w:t>25</w:t>
      </w:r>
      <w:r>
        <w:t>.</w:t>
      </w:r>
    </w:p>
  </w:footnote>
  <w:footnote w:id="27">
    <w:p w14:paraId="07DA75A5" w14:textId="57317C93" w:rsidR="005A08D7" w:rsidRPr="001A098E" w:rsidRDefault="005A08D7" w:rsidP="005A08D7">
      <w:pPr>
        <w:pStyle w:val="Notedebasdepage"/>
      </w:pPr>
      <w:r w:rsidRPr="00801688">
        <w:tab/>
      </w:r>
      <w:r w:rsidRPr="00C73F82">
        <w:rPr>
          <w:rStyle w:val="Appelnotedebasdep"/>
        </w:rPr>
        <w:footnoteRef/>
      </w:r>
      <w:r w:rsidRPr="001A098E">
        <w:t xml:space="preserve"> </w:t>
      </w:r>
      <w:r w:rsidRPr="001A098E">
        <w:tab/>
      </w:r>
      <w:r w:rsidRPr="001A098E">
        <w:tab/>
      </w:r>
      <w:r>
        <w:t>Ibid.</w:t>
      </w:r>
      <w:r w:rsidRPr="001A098E">
        <w:t>, par</w:t>
      </w:r>
      <w:r w:rsidR="00D64B96" w:rsidRPr="001A098E">
        <w:t>.</w:t>
      </w:r>
      <w:r w:rsidR="00D64B96">
        <w:t> </w:t>
      </w:r>
      <w:r w:rsidRPr="001A098E">
        <w:t>24</w:t>
      </w:r>
      <w:r>
        <w:t>.</w:t>
      </w:r>
    </w:p>
  </w:footnote>
  <w:footnote w:id="28">
    <w:p w14:paraId="62DFF8E8" w14:textId="2085048C" w:rsidR="005A08D7" w:rsidRPr="00733834" w:rsidRDefault="005A08D7" w:rsidP="005A08D7">
      <w:pPr>
        <w:pStyle w:val="Notedebasdepage"/>
        <w:rPr>
          <w:lang w:val="fr-FR"/>
        </w:rPr>
      </w:pPr>
      <w:r w:rsidRPr="008A310C">
        <w:rPr>
          <w:lang w:val="fr-FR"/>
        </w:rPr>
        <w:tab/>
      </w:r>
      <w:r w:rsidRPr="00C73F82">
        <w:rPr>
          <w:rStyle w:val="Appelnotedebasdep"/>
        </w:rPr>
        <w:footnoteRef/>
      </w:r>
      <w:r w:rsidRPr="00733834">
        <w:rPr>
          <w:lang w:val="fr-FR"/>
        </w:rPr>
        <w:t xml:space="preserve"> </w:t>
      </w:r>
      <w:r w:rsidRPr="00733834">
        <w:rPr>
          <w:lang w:val="fr-FR"/>
        </w:rPr>
        <w:tab/>
      </w:r>
      <w:hyperlink r:id="rId25" w:history="1">
        <w:r w:rsidRPr="007C0353">
          <w:rPr>
            <w:rStyle w:val="Lienhypertexte"/>
            <w:lang w:val="fr-FR"/>
          </w:rPr>
          <w:t>A/HRC/WG.6/33/COD/2</w:t>
        </w:r>
      </w:hyperlink>
      <w:r w:rsidRPr="00733834">
        <w:rPr>
          <w:lang w:val="fr-FR"/>
        </w:rPr>
        <w:t>, par</w:t>
      </w:r>
      <w:r w:rsidR="00D64B96" w:rsidRPr="00733834">
        <w:rPr>
          <w:lang w:val="fr-FR"/>
        </w:rPr>
        <w:t>.</w:t>
      </w:r>
      <w:r w:rsidR="00D64B96">
        <w:rPr>
          <w:lang w:val="fr-FR"/>
        </w:rPr>
        <w:t> </w:t>
      </w:r>
      <w:r w:rsidRPr="00733834">
        <w:rPr>
          <w:lang w:val="fr-FR"/>
        </w:rPr>
        <w:t>16</w:t>
      </w:r>
      <w:r>
        <w:rPr>
          <w:lang w:val="fr-FR"/>
        </w:rPr>
        <w:t>.</w:t>
      </w:r>
    </w:p>
  </w:footnote>
  <w:footnote w:id="29">
    <w:p w14:paraId="455CBE70" w14:textId="2A0C2CFA" w:rsidR="005A08D7" w:rsidRPr="006368C7" w:rsidRDefault="005A08D7" w:rsidP="005A08D7">
      <w:pPr>
        <w:pStyle w:val="Notedebasdepage"/>
      </w:pPr>
      <w:r w:rsidRPr="00733834">
        <w:rPr>
          <w:lang w:val="fr-FR"/>
        </w:rPr>
        <w:tab/>
      </w:r>
      <w:r w:rsidRPr="00C73F82">
        <w:rPr>
          <w:rStyle w:val="Appelnotedebasdep"/>
        </w:rPr>
        <w:footnoteRef/>
      </w:r>
      <w:r w:rsidRPr="006368C7">
        <w:t xml:space="preserve"> </w:t>
      </w:r>
      <w:r w:rsidRPr="006368C7">
        <w:tab/>
      </w:r>
      <w:r w:rsidRPr="006368C7">
        <w:tab/>
      </w:r>
      <w:r>
        <w:t xml:space="preserve">Ibid., par. 17 ; et </w:t>
      </w:r>
      <w:hyperlink r:id="rId26" w:history="1">
        <w:r w:rsidRPr="007C0353">
          <w:rPr>
            <w:rStyle w:val="Lienhypertexte"/>
          </w:rPr>
          <w:t>A/HRC/48/82</w:t>
        </w:r>
      </w:hyperlink>
      <w:r w:rsidRPr="006368C7">
        <w:t>, par</w:t>
      </w:r>
      <w:r w:rsidR="00D64B96" w:rsidRPr="006368C7">
        <w:t>.</w:t>
      </w:r>
      <w:r w:rsidR="00D64B96">
        <w:t> </w:t>
      </w:r>
      <w:r w:rsidRPr="006368C7">
        <w:t>18</w:t>
      </w:r>
      <w:r>
        <w:t>.</w:t>
      </w:r>
    </w:p>
  </w:footnote>
  <w:footnote w:id="30">
    <w:p w14:paraId="1202A695" w14:textId="4C739412" w:rsidR="005A08D7" w:rsidRPr="001A098E" w:rsidRDefault="005A08D7" w:rsidP="005A08D7">
      <w:pPr>
        <w:pStyle w:val="Notedebasdepage"/>
      </w:pPr>
      <w:r w:rsidRPr="006368C7">
        <w:tab/>
      </w:r>
      <w:r w:rsidRPr="00C73F82">
        <w:rPr>
          <w:rStyle w:val="Appelnotedebasdep"/>
        </w:rPr>
        <w:footnoteRef/>
      </w:r>
      <w:r w:rsidRPr="001A098E">
        <w:t xml:space="preserve"> </w:t>
      </w:r>
      <w:r w:rsidRPr="001A098E">
        <w:tab/>
      </w:r>
      <w:hyperlink r:id="rId27" w:history="1">
        <w:r w:rsidRPr="007C0353">
          <w:rPr>
            <w:rStyle w:val="Lienhypertexte"/>
          </w:rPr>
          <w:t>A/HRC/48/47</w:t>
        </w:r>
      </w:hyperlink>
      <w:r w:rsidRPr="001A098E">
        <w:t>, par</w:t>
      </w:r>
      <w:r w:rsidR="00D64B96" w:rsidRPr="001A098E">
        <w:t>.</w:t>
      </w:r>
      <w:r w:rsidR="00D64B96">
        <w:t> </w:t>
      </w:r>
      <w:r w:rsidRPr="001A098E">
        <w:t>18</w:t>
      </w:r>
      <w:r>
        <w:t xml:space="preserve"> </w:t>
      </w:r>
      <w:r w:rsidR="00D64B96">
        <w:t xml:space="preserve">à </w:t>
      </w:r>
      <w:r w:rsidRPr="001A098E">
        <w:t>20</w:t>
      </w:r>
      <w:r>
        <w:t>.</w:t>
      </w:r>
    </w:p>
  </w:footnote>
  <w:footnote w:id="31">
    <w:p w14:paraId="0ABD5815" w14:textId="0904674F" w:rsidR="005A08D7" w:rsidRPr="008A310C" w:rsidRDefault="005A08D7" w:rsidP="005A08D7">
      <w:pPr>
        <w:pStyle w:val="Notedebasdepage"/>
        <w:rPr>
          <w:lang w:val="fr-CA"/>
        </w:rPr>
      </w:pPr>
      <w:r>
        <w:tab/>
      </w:r>
      <w:r w:rsidRPr="00C73F82">
        <w:rPr>
          <w:rStyle w:val="Appelnotedebasdep"/>
        </w:rPr>
        <w:footnoteRef/>
      </w:r>
      <w:r>
        <w:tab/>
      </w:r>
      <w:hyperlink r:id="rId28" w:history="1">
        <w:r w:rsidRPr="007C0353">
          <w:rPr>
            <w:rStyle w:val="Lienhypertexte"/>
            <w:lang w:val="fr-FR"/>
          </w:rPr>
          <w:t>CAT/C/COD/CO/2</w:t>
        </w:r>
      </w:hyperlink>
      <w:r w:rsidRPr="008A5A99">
        <w:rPr>
          <w:lang w:val="fr-FR"/>
        </w:rPr>
        <w:t xml:space="preserve">, </w:t>
      </w:r>
      <w:r>
        <w:rPr>
          <w:lang w:val="fr-FR"/>
        </w:rPr>
        <w:t xml:space="preserve">par. 32 </w:t>
      </w:r>
      <w:r w:rsidR="00D64B96">
        <w:rPr>
          <w:lang w:val="fr-FR"/>
        </w:rPr>
        <w:t xml:space="preserve">et </w:t>
      </w:r>
      <w:r>
        <w:rPr>
          <w:lang w:val="fr-FR"/>
        </w:rPr>
        <w:t>33.</w:t>
      </w:r>
    </w:p>
  </w:footnote>
  <w:footnote w:id="32">
    <w:p w14:paraId="1CE8C8B7" w14:textId="4718D894" w:rsidR="005A08D7" w:rsidRPr="006368C7" w:rsidRDefault="005A08D7" w:rsidP="005A08D7">
      <w:pPr>
        <w:pStyle w:val="Notedebasdepage"/>
      </w:pPr>
      <w:r w:rsidRPr="006368C7">
        <w:tab/>
      </w:r>
      <w:r w:rsidRPr="00C73F82">
        <w:rPr>
          <w:rStyle w:val="Appelnotedebasdep"/>
        </w:rPr>
        <w:footnoteRef/>
      </w:r>
      <w:r w:rsidRPr="006368C7">
        <w:t xml:space="preserve"> </w:t>
      </w:r>
      <w:r w:rsidRPr="006368C7">
        <w:tab/>
      </w:r>
      <w:hyperlink r:id="rId29" w:history="1">
        <w:r w:rsidRPr="007C0353">
          <w:rPr>
            <w:rStyle w:val="Lienhypertexte"/>
          </w:rPr>
          <w:tab/>
          <w:t>CAT/C/COD/FCO/2</w:t>
        </w:r>
      </w:hyperlink>
      <w:r w:rsidRPr="006368C7">
        <w:t>, par</w:t>
      </w:r>
      <w:r w:rsidR="00D64B96" w:rsidRPr="006368C7">
        <w:t>.</w:t>
      </w:r>
      <w:r w:rsidR="00D64B96">
        <w:t> </w:t>
      </w:r>
      <w:r w:rsidRPr="006368C7">
        <w:t>13</w:t>
      </w:r>
      <w:r>
        <w:t xml:space="preserve"> </w:t>
      </w:r>
      <w:r w:rsidR="00D64B96">
        <w:t xml:space="preserve">et </w:t>
      </w:r>
      <w:r w:rsidRPr="006368C7">
        <w:t>14</w:t>
      </w:r>
      <w:r>
        <w:t>.</w:t>
      </w:r>
    </w:p>
  </w:footnote>
  <w:footnote w:id="33">
    <w:p w14:paraId="2968D8F7" w14:textId="3BC060FC" w:rsidR="005A08D7" w:rsidRPr="00A5075A" w:rsidRDefault="005A08D7" w:rsidP="005A08D7">
      <w:pPr>
        <w:pStyle w:val="Notedebasdepage"/>
      </w:pPr>
      <w:r>
        <w:tab/>
      </w:r>
      <w:r w:rsidRPr="00C73F82">
        <w:rPr>
          <w:rStyle w:val="Appelnotedebasdep"/>
        </w:rPr>
        <w:footnoteRef/>
      </w:r>
      <w:r>
        <w:t xml:space="preserve"> </w:t>
      </w:r>
      <w:r>
        <w:tab/>
      </w:r>
      <w:r>
        <w:tab/>
      </w:r>
      <w:hyperlink r:id="rId30" w:history="1">
        <w:r w:rsidRPr="007C0353">
          <w:rPr>
            <w:rStyle w:val="Lienhypertexte"/>
          </w:rPr>
          <w:t>A/HRC/45/49</w:t>
        </w:r>
      </w:hyperlink>
      <w:r>
        <w:t>,</w:t>
      </w:r>
      <w:r w:rsidRPr="008F793B">
        <w:t xml:space="preserve"> par</w:t>
      </w:r>
      <w:r w:rsidR="00D64B96" w:rsidRPr="008F793B">
        <w:t>.</w:t>
      </w:r>
      <w:r w:rsidR="00D64B96">
        <w:t> </w:t>
      </w:r>
      <w:r>
        <w:t>33 à</w:t>
      </w:r>
      <w:r w:rsidR="00D64B96">
        <w:t xml:space="preserve"> </w:t>
      </w:r>
      <w:r>
        <w:t xml:space="preserve">44 ; et </w:t>
      </w:r>
      <w:hyperlink r:id="rId31" w:history="1">
        <w:r w:rsidRPr="007C0353">
          <w:rPr>
            <w:rStyle w:val="Lienhypertexte"/>
          </w:rPr>
          <w:t>A/HRC/48/47</w:t>
        </w:r>
      </w:hyperlink>
      <w:r>
        <w:t>, par</w:t>
      </w:r>
      <w:r w:rsidR="00D64B96">
        <w:t>. </w:t>
      </w:r>
      <w:r>
        <w:t xml:space="preserve">34 </w:t>
      </w:r>
      <w:r w:rsidR="00D64B96">
        <w:t xml:space="preserve">à </w:t>
      </w:r>
      <w:r>
        <w:t>42.</w:t>
      </w:r>
    </w:p>
  </w:footnote>
  <w:footnote w:id="34">
    <w:p w14:paraId="36585652" w14:textId="0D56D791" w:rsidR="005A08D7" w:rsidRPr="006368C7" w:rsidRDefault="005A08D7" w:rsidP="005A08D7">
      <w:pPr>
        <w:pStyle w:val="Notedebasdepage"/>
      </w:pPr>
      <w:r w:rsidRPr="006368C7">
        <w:tab/>
      </w:r>
      <w:r w:rsidRPr="00C73F82">
        <w:rPr>
          <w:rStyle w:val="Appelnotedebasdep"/>
        </w:rPr>
        <w:footnoteRef/>
      </w:r>
      <w:r w:rsidRPr="006368C7">
        <w:t xml:space="preserve"> </w:t>
      </w:r>
      <w:r w:rsidRPr="006368C7">
        <w:tab/>
      </w:r>
      <w:r w:rsidRPr="006368C7">
        <w:tab/>
      </w:r>
      <w:hyperlink r:id="rId32" w:history="1">
        <w:r w:rsidRPr="007C0353">
          <w:rPr>
            <w:rStyle w:val="Lienhypertexte"/>
          </w:rPr>
          <w:t>A/HRC/45/49</w:t>
        </w:r>
      </w:hyperlink>
      <w:r w:rsidRPr="006368C7">
        <w:t>, par</w:t>
      </w:r>
      <w:r w:rsidR="00D64B96" w:rsidRPr="006368C7">
        <w:t>.</w:t>
      </w:r>
      <w:r w:rsidR="00D64B96">
        <w:t> </w:t>
      </w:r>
      <w:r w:rsidRPr="006368C7">
        <w:t>39</w:t>
      </w:r>
      <w:r>
        <w:t> ;</w:t>
      </w:r>
      <w:r w:rsidRPr="006368C7">
        <w:t xml:space="preserve"> et </w:t>
      </w:r>
      <w:hyperlink r:id="rId33" w:history="1">
        <w:r w:rsidRPr="007C0353">
          <w:rPr>
            <w:rStyle w:val="Lienhypertexte"/>
          </w:rPr>
          <w:t>A/HRC/48/47</w:t>
        </w:r>
      </w:hyperlink>
      <w:r w:rsidRPr="006368C7">
        <w:t>, par</w:t>
      </w:r>
      <w:r w:rsidR="00D64B96" w:rsidRPr="006368C7">
        <w:t>.</w:t>
      </w:r>
      <w:r w:rsidR="00D64B96">
        <w:t> </w:t>
      </w:r>
      <w:r w:rsidRPr="006368C7">
        <w:t>40</w:t>
      </w:r>
      <w:r>
        <w:t>.</w:t>
      </w:r>
    </w:p>
  </w:footnote>
  <w:footnote w:id="35">
    <w:p w14:paraId="75F4526A" w14:textId="57989583" w:rsidR="005A08D7" w:rsidRPr="0036059D" w:rsidRDefault="005A08D7" w:rsidP="005A08D7">
      <w:pPr>
        <w:pStyle w:val="Notedebasdepage"/>
      </w:pPr>
      <w:r w:rsidRPr="004450A4">
        <w:tab/>
      </w:r>
      <w:r w:rsidRPr="00C73F82">
        <w:rPr>
          <w:rStyle w:val="Appelnotedebasdep"/>
        </w:rPr>
        <w:footnoteRef/>
      </w:r>
      <w:r>
        <w:t xml:space="preserve"> </w:t>
      </w:r>
      <w:r>
        <w:tab/>
      </w:r>
      <w:r>
        <w:tab/>
      </w:r>
      <w:hyperlink r:id="rId34" w:history="1">
        <w:r w:rsidRPr="007C0353">
          <w:rPr>
            <w:rStyle w:val="Lienhypertexte"/>
          </w:rPr>
          <w:t>A/HRC/48/82</w:t>
        </w:r>
      </w:hyperlink>
      <w:r w:rsidRPr="0036059D">
        <w:t>, par</w:t>
      </w:r>
      <w:r w:rsidR="00D64B96" w:rsidRPr="0036059D">
        <w:t>.</w:t>
      </w:r>
      <w:r w:rsidR="00D64B96">
        <w:t> </w:t>
      </w:r>
      <w:r w:rsidRPr="0036059D">
        <w:t>32 et 81</w:t>
      </w:r>
      <w:r>
        <w:t>.</w:t>
      </w:r>
    </w:p>
  </w:footnote>
  <w:footnote w:id="36">
    <w:p w14:paraId="390AA96A" w14:textId="36A312D2" w:rsidR="005A08D7" w:rsidRPr="006368C7" w:rsidRDefault="005A08D7" w:rsidP="005A08D7">
      <w:pPr>
        <w:pStyle w:val="Notedebasdepage"/>
      </w:pPr>
      <w:r w:rsidRPr="006368C7">
        <w:tab/>
      </w:r>
      <w:r w:rsidRPr="00C73F82">
        <w:rPr>
          <w:rStyle w:val="Appelnotedebasdep"/>
        </w:rPr>
        <w:footnoteRef/>
      </w:r>
      <w:r w:rsidRPr="006368C7">
        <w:t xml:space="preserve"> </w:t>
      </w:r>
      <w:r w:rsidRPr="006368C7">
        <w:tab/>
      </w:r>
      <w:r w:rsidRPr="006368C7">
        <w:tab/>
      </w:r>
      <w:r>
        <w:t>Ibid.</w:t>
      </w:r>
      <w:r w:rsidRPr="006368C7">
        <w:t>, par</w:t>
      </w:r>
      <w:r w:rsidR="00D64B96" w:rsidRPr="006368C7">
        <w:t>.</w:t>
      </w:r>
      <w:r w:rsidR="00D64B96">
        <w:t> </w:t>
      </w:r>
      <w:r>
        <w:t xml:space="preserve">13, 25, 26, 40, 42, 44, 76 et 85. Voir également </w:t>
      </w:r>
      <w:hyperlink r:id="rId35" w:history="1">
        <w:r w:rsidRPr="00437747">
          <w:rPr>
            <w:rStyle w:val="Lienhypertexte"/>
          </w:rPr>
          <w:t>A/HRC/45/50</w:t>
        </w:r>
      </w:hyperlink>
      <w:r>
        <w:t>.</w:t>
      </w:r>
    </w:p>
  </w:footnote>
  <w:footnote w:id="37">
    <w:p w14:paraId="6912198D" w14:textId="2915C86C" w:rsidR="005A08D7" w:rsidRPr="008A310C" w:rsidRDefault="005A08D7" w:rsidP="005A08D7">
      <w:pPr>
        <w:pStyle w:val="Notedebasdepage"/>
        <w:rPr>
          <w:lang w:val="fr-CA"/>
        </w:rPr>
      </w:pPr>
      <w:r>
        <w:tab/>
      </w:r>
      <w:r w:rsidRPr="00C73F82">
        <w:rPr>
          <w:rStyle w:val="Appelnotedebasdep"/>
        </w:rPr>
        <w:footnoteRef/>
      </w:r>
      <w:r>
        <w:tab/>
      </w:r>
      <w:hyperlink r:id="rId36" w:history="1">
        <w:r w:rsidRPr="00437747">
          <w:rPr>
            <w:rStyle w:val="Lienhypertexte"/>
            <w:lang w:val="fr-FR"/>
          </w:rPr>
          <w:t>CAT/C/COD/CO/2</w:t>
        </w:r>
      </w:hyperlink>
      <w:r w:rsidRPr="008A5A99">
        <w:rPr>
          <w:lang w:val="fr-FR"/>
        </w:rPr>
        <w:t xml:space="preserve">, </w:t>
      </w:r>
      <w:r>
        <w:rPr>
          <w:lang w:val="fr-FR"/>
        </w:rPr>
        <w:t xml:space="preserve">par. 28 </w:t>
      </w:r>
      <w:r w:rsidR="00D64B96">
        <w:rPr>
          <w:lang w:val="fr-FR"/>
        </w:rPr>
        <w:t xml:space="preserve">et </w:t>
      </w:r>
      <w:r>
        <w:rPr>
          <w:lang w:val="fr-FR"/>
        </w:rPr>
        <w:t>29.</w:t>
      </w:r>
    </w:p>
  </w:footnote>
  <w:footnote w:id="38">
    <w:p w14:paraId="766B3273" w14:textId="43B6B1AC" w:rsidR="005A08D7" w:rsidRPr="00EF4994" w:rsidRDefault="005A08D7" w:rsidP="005A08D7">
      <w:pPr>
        <w:pStyle w:val="Notedebasdepage"/>
        <w:rPr>
          <w:lang w:val="fr-FR"/>
        </w:rPr>
      </w:pPr>
      <w:r w:rsidRPr="00FF72C8">
        <w:tab/>
      </w:r>
      <w:r w:rsidRPr="00C73F82">
        <w:rPr>
          <w:rStyle w:val="Appelnotedebasdep"/>
        </w:rPr>
        <w:footnoteRef/>
      </w:r>
      <w:r w:rsidRPr="0009513B">
        <w:rPr>
          <w:lang w:val="fr-FR"/>
        </w:rPr>
        <w:t xml:space="preserve"> </w:t>
      </w:r>
      <w:r w:rsidRPr="0009513B">
        <w:rPr>
          <w:lang w:val="fr-FR"/>
        </w:rPr>
        <w:tab/>
      </w:r>
      <w:r w:rsidRPr="0009513B">
        <w:rPr>
          <w:lang w:val="fr-FR"/>
        </w:rPr>
        <w:tab/>
      </w:r>
      <w:hyperlink r:id="rId37" w:history="1">
        <w:r w:rsidRPr="00437747">
          <w:rPr>
            <w:rStyle w:val="Lienhypertexte"/>
            <w:lang w:val="fr-FR"/>
          </w:rPr>
          <w:t>A/HRC/48/47</w:t>
        </w:r>
      </w:hyperlink>
      <w:r w:rsidRPr="0009513B">
        <w:rPr>
          <w:lang w:val="fr-FR"/>
        </w:rPr>
        <w:t>, par</w:t>
      </w:r>
      <w:r w:rsidR="00D64B96" w:rsidRPr="0009513B">
        <w:rPr>
          <w:lang w:val="fr-FR"/>
        </w:rPr>
        <w:t>.</w:t>
      </w:r>
      <w:r w:rsidR="00D64B96">
        <w:rPr>
          <w:lang w:val="fr-FR"/>
        </w:rPr>
        <w:t xml:space="preserve"> </w:t>
      </w:r>
      <w:r w:rsidRPr="0009513B">
        <w:rPr>
          <w:lang w:val="fr-FR"/>
        </w:rPr>
        <w:t>9</w:t>
      </w:r>
      <w:r>
        <w:rPr>
          <w:lang w:val="fr-FR"/>
        </w:rPr>
        <w:t> </w:t>
      </w:r>
      <w:r w:rsidRPr="0009513B">
        <w:rPr>
          <w:lang w:val="fr-FR"/>
        </w:rPr>
        <w:t>;</w:t>
      </w:r>
      <w:r>
        <w:rPr>
          <w:lang w:val="fr-FR"/>
        </w:rPr>
        <w:t xml:space="preserve"> et</w:t>
      </w:r>
      <w:r w:rsidRPr="0009513B">
        <w:rPr>
          <w:lang w:val="fr-FR"/>
        </w:rPr>
        <w:t xml:space="preserve"> </w:t>
      </w:r>
      <w:hyperlink r:id="rId38" w:history="1">
        <w:r w:rsidRPr="00437747">
          <w:rPr>
            <w:rStyle w:val="Lienhypertexte"/>
            <w:lang w:val="fr-FR"/>
          </w:rPr>
          <w:t>A/HRC/45/49</w:t>
        </w:r>
      </w:hyperlink>
      <w:r w:rsidRPr="0009513B">
        <w:rPr>
          <w:lang w:val="fr-FR"/>
        </w:rPr>
        <w:t>, par.</w:t>
      </w:r>
      <w:r>
        <w:rPr>
          <w:lang w:val="fr-FR"/>
        </w:rPr>
        <w:t> </w:t>
      </w:r>
      <w:r w:rsidRPr="0009513B">
        <w:rPr>
          <w:lang w:val="fr-FR"/>
        </w:rPr>
        <w:t>10</w:t>
      </w:r>
      <w:r>
        <w:rPr>
          <w:lang w:val="fr-FR"/>
        </w:rPr>
        <w:t>.</w:t>
      </w:r>
    </w:p>
  </w:footnote>
  <w:footnote w:id="39">
    <w:p w14:paraId="097B6C21" w14:textId="7E4963F7" w:rsidR="005A08D7" w:rsidRPr="008A310C" w:rsidRDefault="005A08D7" w:rsidP="005A08D7">
      <w:pPr>
        <w:pStyle w:val="Notedebasdepage"/>
        <w:rPr>
          <w:lang w:val="en-US"/>
        </w:rPr>
      </w:pPr>
      <w:r>
        <w:tab/>
      </w:r>
      <w:r w:rsidRPr="00C73F82">
        <w:rPr>
          <w:rStyle w:val="Appelnotedebasdep"/>
        </w:rPr>
        <w:footnoteRef/>
      </w:r>
      <w:r w:rsidRPr="008A310C">
        <w:rPr>
          <w:lang w:val="en-US"/>
        </w:rPr>
        <w:tab/>
      </w:r>
      <w:hyperlink r:id="rId39" w:history="1">
        <w:r w:rsidRPr="00437747">
          <w:rPr>
            <w:rStyle w:val="Lienhypertexte"/>
            <w:lang w:val="en-US"/>
          </w:rPr>
          <w:t>CAT/C/COD/CO/2</w:t>
        </w:r>
      </w:hyperlink>
      <w:r w:rsidRPr="008A310C">
        <w:rPr>
          <w:lang w:val="en-US"/>
        </w:rPr>
        <w:t>, par. 29 c).</w:t>
      </w:r>
    </w:p>
  </w:footnote>
  <w:footnote w:id="40">
    <w:p w14:paraId="5EEFD553" w14:textId="52CAF68A" w:rsidR="005A08D7" w:rsidRPr="008A310C" w:rsidRDefault="005A08D7" w:rsidP="005A08D7">
      <w:pPr>
        <w:pStyle w:val="Notedebasdepage"/>
        <w:rPr>
          <w:lang w:val="fr-CA"/>
        </w:rPr>
      </w:pPr>
      <w:r w:rsidRPr="008A310C">
        <w:rPr>
          <w:lang w:val="en-US"/>
        </w:rPr>
        <w:tab/>
      </w:r>
      <w:r w:rsidRPr="00C73F82">
        <w:rPr>
          <w:rStyle w:val="Appelnotedebasdep"/>
        </w:rPr>
        <w:footnoteRef/>
      </w:r>
      <w:r>
        <w:tab/>
        <w:t xml:space="preserve">Ibid., par. 40 </w:t>
      </w:r>
      <w:r w:rsidR="00DB3664">
        <w:t xml:space="preserve">et </w:t>
      </w:r>
      <w:r>
        <w:t>41.</w:t>
      </w:r>
    </w:p>
  </w:footnote>
  <w:footnote w:id="41">
    <w:p w14:paraId="31D7B8DB" w14:textId="4F60EAEB" w:rsidR="005A08D7" w:rsidRPr="0023578F" w:rsidRDefault="005A08D7" w:rsidP="005A08D7">
      <w:pPr>
        <w:pStyle w:val="Notedebasdepage"/>
      </w:pPr>
      <w:r>
        <w:tab/>
      </w:r>
      <w:r w:rsidRPr="00C73F82">
        <w:rPr>
          <w:rStyle w:val="Appelnotedebasdep"/>
        </w:rPr>
        <w:footnoteRef/>
      </w:r>
      <w:r>
        <w:tab/>
      </w:r>
      <w:hyperlink r:id="rId40" w:history="1">
        <w:r w:rsidRPr="00437747">
          <w:rPr>
            <w:rStyle w:val="Lienhypertexte"/>
          </w:rPr>
          <w:t>A/HRC/42/5</w:t>
        </w:r>
      </w:hyperlink>
      <w:r>
        <w:t>, par.</w:t>
      </w:r>
      <w:r w:rsidR="00DB3664">
        <w:t> </w:t>
      </w:r>
      <w:r>
        <w:t>119.113, 119.141 et</w:t>
      </w:r>
      <w:r w:rsidRPr="0023578F">
        <w:t xml:space="preserve"> </w:t>
      </w:r>
      <w:r>
        <w:t>119.192.</w:t>
      </w:r>
    </w:p>
  </w:footnote>
  <w:footnote w:id="42">
    <w:p w14:paraId="3BDB6C05" w14:textId="28A3EED9" w:rsidR="005A08D7" w:rsidRPr="006368C7" w:rsidRDefault="005A08D7" w:rsidP="005A08D7">
      <w:pPr>
        <w:pStyle w:val="Notedebasdepage"/>
      </w:pPr>
      <w:r w:rsidRPr="006368C7">
        <w:tab/>
      </w:r>
      <w:r w:rsidRPr="00C73F82">
        <w:rPr>
          <w:rStyle w:val="Appelnotedebasdep"/>
        </w:rPr>
        <w:footnoteRef/>
      </w:r>
      <w:r w:rsidRPr="006368C7">
        <w:tab/>
      </w:r>
      <w:r w:rsidRPr="006368C7">
        <w:tab/>
      </w:r>
      <w:hyperlink r:id="rId41" w:history="1">
        <w:r w:rsidRPr="00437747">
          <w:rPr>
            <w:rStyle w:val="Lienhypertexte"/>
          </w:rPr>
          <w:t>A/HRC/48/82</w:t>
        </w:r>
      </w:hyperlink>
      <w:r w:rsidRPr="006368C7">
        <w:t>, par</w:t>
      </w:r>
      <w:r w:rsidR="00DB3664" w:rsidRPr="006368C7">
        <w:t>.</w:t>
      </w:r>
      <w:r w:rsidR="00DB3664">
        <w:t> </w:t>
      </w:r>
      <w:r w:rsidRPr="006368C7">
        <w:t>45</w:t>
      </w:r>
      <w:r>
        <w:t> </w:t>
      </w:r>
      <w:r w:rsidRPr="006368C7">
        <w:t>;</w:t>
      </w:r>
      <w:r>
        <w:t xml:space="preserve"> et</w:t>
      </w:r>
      <w:r w:rsidRPr="006368C7">
        <w:t xml:space="preserve"> </w:t>
      </w:r>
      <w:hyperlink r:id="rId42" w:history="1">
        <w:r w:rsidRPr="00437747">
          <w:rPr>
            <w:rStyle w:val="Lienhypertexte"/>
          </w:rPr>
          <w:t>A/HRC/45/50</w:t>
        </w:r>
      </w:hyperlink>
      <w:r w:rsidRPr="006368C7">
        <w:t>, par</w:t>
      </w:r>
      <w:r w:rsidR="00DB3664" w:rsidRPr="006368C7">
        <w:t>.</w:t>
      </w:r>
      <w:r w:rsidR="00DB3664">
        <w:t> </w:t>
      </w:r>
      <w:r w:rsidRPr="006368C7">
        <w:t>51</w:t>
      </w:r>
      <w:r>
        <w:t xml:space="preserve">. </w:t>
      </w:r>
    </w:p>
  </w:footnote>
  <w:footnote w:id="43">
    <w:p w14:paraId="6BCBDA13" w14:textId="340EC456" w:rsidR="005A08D7" w:rsidRPr="008A310C" w:rsidRDefault="005A08D7" w:rsidP="005A08D7">
      <w:pPr>
        <w:pStyle w:val="Notedebasdepage"/>
        <w:rPr>
          <w:lang w:val="fr-CA"/>
        </w:rPr>
      </w:pPr>
      <w:r>
        <w:tab/>
      </w:r>
      <w:r w:rsidRPr="00C73F82">
        <w:rPr>
          <w:rStyle w:val="Appelnotedebasdep"/>
        </w:rPr>
        <w:footnoteRef/>
      </w:r>
      <w:r>
        <w:tab/>
      </w:r>
      <w:hyperlink r:id="rId43" w:history="1">
        <w:r w:rsidRPr="00437747">
          <w:rPr>
            <w:rStyle w:val="Lienhypertexte"/>
            <w:lang w:val="fr-FR"/>
          </w:rPr>
          <w:t>CAT/C/COD/CO/2</w:t>
        </w:r>
      </w:hyperlink>
      <w:r w:rsidRPr="008A5A99">
        <w:rPr>
          <w:lang w:val="fr-FR"/>
        </w:rPr>
        <w:t xml:space="preserve">, </w:t>
      </w:r>
      <w:r>
        <w:rPr>
          <w:lang w:val="fr-FR"/>
        </w:rPr>
        <w:t xml:space="preserve">par. 10 </w:t>
      </w:r>
      <w:r w:rsidR="00DB3664">
        <w:rPr>
          <w:lang w:val="fr-FR"/>
        </w:rPr>
        <w:t xml:space="preserve">et </w:t>
      </w:r>
      <w:r>
        <w:rPr>
          <w:lang w:val="fr-FR"/>
        </w:rPr>
        <w:t>11.</w:t>
      </w:r>
    </w:p>
  </w:footnote>
  <w:footnote w:id="44">
    <w:p w14:paraId="0679F814" w14:textId="358EF85A" w:rsidR="005A08D7" w:rsidRPr="008A310C" w:rsidRDefault="005A08D7" w:rsidP="005A08D7">
      <w:pPr>
        <w:pStyle w:val="Notedebasdepage"/>
        <w:rPr>
          <w:lang w:val="fr-CA"/>
        </w:rPr>
      </w:pPr>
      <w:r>
        <w:tab/>
      </w:r>
      <w:r w:rsidRPr="00C73F82">
        <w:rPr>
          <w:rStyle w:val="Appelnotedebasdep"/>
        </w:rPr>
        <w:footnoteRef/>
      </w:r>
      <w:r>
        <w:tab/>
        <w:t>Ibid., par. 36 et</w:t>
      </w:r>
      <w:r w:rsidR="00DB3664">
        <w:t xml:space="preserve"> </w:t>
      </w:r>
      <w:r>
        <w:t>37.</w:t>
      </w:r>
    </w:p>
  </w:footnote>
  <w:footnote w:id="45">
    <w:p w14:paraId="102EBD68" w14:textId="48DA57C2" w:rsidR="005A08D7" w:rsidRPr="00FF72C8" w:rsidRDefault="005A08D7" w:rsidP="005A08D7">
      <w:pPr>
        <w:pStyle w:val="Notedebasdepage"/>
      </w:pPr>
      <w:r>
        <w:tab/>
      </w:r>
      <w:r w:rsidRPr="00C73F82">
        <w:rPr>
          <w:rStyle w:val="Appelnotedebasdep"/>
        </w:rPr>
        <w:footnoteRef/>
      </w:r>
      <w:r w:rsidRPr="00FF72C8">
        <w:t xml:space="preserve"> </w:t>
      </w:r>
      <w:r w:rsidRPr="00FF72C8">
        <w:tab/>
      </w:r>
      <w:hyperlink r:id="rId44" w:history="1">
        <w:r w:rsidRPr="00D96D2F">
          <w:rPr>
            <w:rStyle w:val="Lienhypertexte"/>
          </w:rPr>
          <w:tab/>
          <w:t>A/HRC/48/47</w:t>
        </w:r>
      </w:hyperlink>
      <w:r w:rsidRPr="00FF72C8">
        <w:t>, par</w:t>
      </w:r>
      <w:r w:rsidR="00DB3664" w:rsidRPr="00FF72C8">
        <w:t>.</w:t>
      </w:r>
      <w:r w:rsidR="00DB3664">
        <w:t> </w:t>
      </w:r>
      <w:r w:rsidRPr="00FF72C8">
        <w:t>47 et 51.</w:t>
      </w:r>
    </w:p>
  </w:footnote>
  <w:footnote w:id="46">
    <w:p w14:paraId="6C2503B7" w14:textId="7B6576C1" w:rsidR="005A08D7" w:rsidRPr="00F754E4" w:rsidRDefault="005A08D7" w:rsidP="005A08D7">
      <w:pPr>
        <w:pStyle w:val="Notedebasdepage"/>
      </w:pPr>
      <w:r>
        <w:tab/>
      </w:r>
      <w:r w:rsidRPr="00C73F82">
        <w:rPr>
          <w:rStyle w:val="Appelnotedebasdep"/>
        </w:rPr>
        <w:footnoteRef/>
      </w:r>
      <w:r>
        <w:t xml:space="preserve"> </w:t>
      </w:r>
      <w:r>
        <w:tab/>
        <w:t xml:space="preserve">Voir, entre autres, </w:t>
      </w:r>
      <w:hyperlink r:id="rId45" w:history="1">
        <w:r w:rsidRPr="00D96D2F">
          <w:rPr>
            <w:rStyle w:val="Lienhypertexte"/>
          </w:rPr>
          <w:t>A/HRC/42/5</w:t>
        </w:r>
      </w:hyperlink>
      <w:r>
        <w:t>, par</w:t>
      </w:r>
      <w:r w:rsidR="00DB3664">
        <w:t>. </w:t>
      </w:r>
      <w:r>
        <w:t xml:space="preserve">119.90, 119.91, 119.96, 119.97, 119.100, 119.126 et 119.138. </w:t>
      </w:r>
    </w:p>
  </w:footnote>
  <w:footnote w:id="47">
    <w:p w14:paraId="630C6183" w14:textId="05182EB7" w:rsidR="005A08D7" w:rsidRPr="0030504F" w:rsidRDefault="005A08D7" w:rsidP="005A08D7">
      <w:pPr>
        <w:pStyle w:val="Notedebasdepage"/>
      </w:pPr>
      <w:r>
        <w:tab/>
      </w:r>
      <w:r w:rsidRPr="00C73F82">
        <w:rPr>
          <w:rStyle w:val="Appelnotedebasdep"/>
        </w:rPr>
        <w:footnoteRef/>
      </w:r>
      <w:r>
        <w:t xml:space="preserve"> </w:t>
      </w:r>
      <w:r>
        <w:tab/>
      </w:r>
      <w:r>
        <w:tab/>
      </w:r>
      <w:hyperlink r:id="rId46" w:history="1">
        <w:r w:rsidRPr="00D96D2F">
          <w:rPr>
            <w:rStyle w:val="Lienhypertexte"/>
          </w:rPr>
          <w:t>A/HRC/48/28</w:t>
        </w:r>
      </w:hyperlink>
      <w:r>
        <w:t xml:space="preserve">, par. 61, et annexe I, par. 31 </w:t>
      </w:r>
      <w:r w:rsidR="00DB3664">
        <w:t xml:space="preserve">et </w:t>
      </w:r>
      <w:r>
        <w:t xml:space="preserve">32 ; et </w:t>
      </w:r>
      <w:hyperlink r:id="rId47" w:history="1">
        <w:r w:rsidRPr="00D96D2F">
          <w:rPr>
            <w:rStyle w:val="Lienhypertexte"/>
          </w:rPr>
          <w:t>A/HRC/45/36</w:t>
        </w:r>
      </w:hyperlink>
      <w:r>
        <w:t xml:space="preserve">, par. 64, et annexe I, par. 36 </w:t>
      </w:r>
      <w:r w:rsidR="00DB3664">
        <w:t xml:space="preserve">à </w:t>
      </w:r>
      <w:r>
        <w:t>38.</w:t>
      </w:r>
    </w:p>
  </w:footnote>
  <w:footnote w:id="48">
    <w:p w14:paraId="6D05DD4B" w14:textId="0BC4CB52" w:rsidR="005A08D7" w:rsidRPr="00FF72C8" w:rsidRDefault="005A08D7" w:rsidP="005A08D7">
      <w:pPr>
        <w:pStyle w:val="Notedebasdepage"/>
      </w:pPr>
      <w:r w:rsidRPr="00FD231D">
        <w:tab/>
      </w:r>
      <w:r w:rsidRPr="00C73F82">
        <w:rPr>
          <w:rStyle w:val="Appelnotedebasdep"/>
        </w:rPr>
        <w:footnoteRef/>
      </w:r>
      <w:r w:rsidRPr="00FF72C8">
        <w:t xml:space="preserve"> </w:t>
      </w:r>
      <w:r w:rsidRPr="00FF72C8">
        <w:tab/>
      </w:r>
      <w:r w:rsidRPr="00FF72C8">
        <w:tab/>
      </w:r>
      <w:hyperlink r:id="rId48" w:history="1">
        <w:r w:rsidRPr="00D96D2F">
          <w:rPr>
            <w:rStyle w:val="Lienhypertexte"/>
          </w:rPr>
          <w:t>A/HRC/WG.6/33/COD/2</w:t>
        </w:r>
      </w:hyperlink>
      <w:r w:rsidRPr="00FF72C8">
        <w:t>, par</w:t>
      </w:r>
      <w:r w:rsidR="00DB3664" w:rsidRPr="00FF72C8">
        <w:t>.</w:t>
      </w:r>
      <w:r w:rsidR="00DB3664">
        <w:t> </w:t>
      </w:r>
      <w:r w:rsidRPr="00FF72C8">
        <w:t>12</w:t>
      </w:r>
      <w:r>
        <w:t>.</w:t>
      </w:r>
    </w:p>
  </w:footnote>
  <w:footnote w:id="49">
    <w:p w14:paraId="15076602" w14:textId="2512AEC4" w:rsidR="005A08D7" w:rsidRPr="0023578F" w:rsidRDefault="005A08D7" w:rsidP="005A08D7">
      <w:pPr>
        <w:pStyle w:val="Notedebasdepage"/>
      </w:pPr>
      <w:r w:rsidRPr="000F3B8C">
        <w:tab/>
      </w:r>
      <w:r w:rsidRPr="00C73F82">
        <w:rPr>
          <w:rStyle w:val="Appelnotedebasdep"/>
        </w:rPr>
        <w:footnoteRef/>
      </w:r>
      <w:r w:rsidRPr="00FD231D">
        <w:tab/>
      </w:r>
      <w:r>
        <w:t>Ibid.</w:t>
      </w:r>
      <w:r w:rsidRPr="00FD231D">
        <w:t>, par</w:t>
      </w:r>
      <w:r w:rsidR="00DB3664" w:rsidRPr="00FD231D">
        <w:t>.</w:t>
      </w:r>
      <w:r w:rsidR="00DB3664">
        <w:t> </w:t>
      </w:r>
      <w:r w:rsidRPr="00FD231D">
        <w:t>11 et 12</w:t>
      </w:r>
      <w:r>
        <w:t>.</w:t>
      </w:r>
      <w:r w:rsidRPr="00FD23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90F8" w14:textId="79C8442D" w:rsidR="00154559" w:rsidRPr="00154559" w:rsidRDefault="00CF7B7B">
    <w:pPr>
      <w:pStyle w:val="En-tte"/>
    </w:pPr>
    <w:fldSimple w:instr=" TITLE  \* MERGEFORMAT ">
      <w:r w:rsidR="005F16D1">
        <w:t>CAT/C/COD/QPR/3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5886" w14:textId="13B41FD1" w:rsidR="00154559" w:rsidRPr="00154559" w:rsidRDefault="00CF7B7B" w:rsidP="00154559">
    <w:pPr>
      <w:pStyle w:val="En-tte"/>
      <w:jc w:val="right"/>
    </w:pPr>
    <w:fldSimple w:instr=" TITLE  \* MERGEFORMAT ">
      <w:r w:rsidR="005F16D1">
        <w:t>CAT/C/COD/QPR/3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43237071">
    <w:abstractNumId w:val="12"/>
  </w:num>
  <w:num w:numId="2" w16cid:durableId="1064371951">
    <w:abstractNumId w:val="11"/>
  </w:num>
  <w:num w:numId="3" w16cid:durableId="667557247">
    <w:abstractNumId w:val="10"/>
  </w:num>
  <w:num w:numId="4" w16cid:durableId="370961561">
    <w:abstractNumId w:val="8"/>
  </w:num>
  <w:num w:numId="5" w16cid:durableId="586890169">
    <w:abstractNumId w:val="3"/>
  </w:num>
  <w:num w:numId="6" w16cid:durableId="1459757992">
    <w:abstractNumId w:val="2"/>
  </w:num>
  <w:num w:numId="7" w16cid:durableId="1390808601">
    <w:abstractNumId w:val="1"/>
  </w:num>
  <w:num w:numId="8" w16cid:durableId="204568084">
    <w:abstractNumId w:val="0"/>
  </w:num>
  <w:num w:numId="9" w16cid:durableId="320625466">
    <w:abstractNumId w:val="9"/>
  </w:num>
  <w:num w:numId="10" w16cid:durableId="47605881">
    <w:abstractNumId w:val="7"/>
  </w:num>
  <w:num w:numId="11" w16cid:durableId="853612233">
    <w:abstractNumId w:val="6"/>
  </w:num>
  <w:num w:numId="12" w16cid:durableId="1574856444">
    <w:abstractNumId w:val="5"/>
  </w:num>
  <w:num w:numId="13" w16cid:durableId="235164720">
    <w:abstractNumId w:val="4"/>
  </w:num>
  <w:num w:numId="14" w16cid:durableId="2057846502">
    <w:abstractNumId w:val="12"/>
  </w:num>
  <w:num w:numId="15" w16cid:durableId="1901403280">
    <w:abstractNumId w:val="11"/>
  </w:num>
  <w:num w:numId="16" w16cid:durableId="869270315">
    <w:abstractNumId w:val="10"/>
  </w:num>
  <w:num w:numId="17" w16cid:durableId="2088530603">
    <w:abstractNumId w:val="12"/>
  </w:num>
  <w:num w:numId="18" w16cid:durableId="59209882">
    <w:abstractNumId w:val="11"/>
  </w:num>
  <w:num w:numId="19" w16cid:durableId="1444033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25"/>
    <w:rsid w:val="00023842"/>
    <w:rsid w:val="00035AE4"/>
    <w:rsid w:val="00037DF1"/>
    <w:rsid w:val="0007796D"/>
    <w:rsid w:val="000A27A5"/>
    <w:rsid w:val="00101756"/>
    <w:rsid w:val="00111F2F"/>
    <w:rsid w:val="0014365E"/>
    <w:rsid w:val="00154559"/>
    <w:rsid w:val="00176178"/>
    <w:rsid w:val="00177D7C"/>
    <w:rsid w:val="001D14FC"/>
    <w:rsid w:val="001F525A"/>
    <w:rsid w:val="00270225"/>
    <w:rsid w:val="00287416"/>
    <w:rsid w:val="002C1DA5"/>
    <w:rsid w:val="00343BF0"/>
    <w:rsid w:val="00371BB5"/>
    <w:rsid w:val="003E0AEE"/>
    <w:rsid w:val="00405E99"/>
    <w:rsid w:val="00437747"/>
    <w:rsid w:val="00446FE5"/>
    <w:rsid w:val="004D6539"/>
    <w:rsid w:val="004F046A"/>
    <w:rsid w:val="00553A1F"/>
    <w:rsid w:val="00573BE5"/>
    <w:rsid w:val="00586ED3"/>
    <w:rsid w:val="00587A52"/>
    <w:rsid w:val="00596DC8"/>
    <w:rsid w:val="005970D5"/>
    <w:rsid w:val="005A08D7"/>
    <w:rsid w:val="005A51D3"/>
    <w:rsid w:val="005B4E23"/>
    <w:rsid w:val="005C105A"/>
    <w:rsid w:val="005F16D1"/>
    <w:rsid w:val="00616CB0"/>
    <w:rsid w:val="00621144"/>
    <w:rsid w:val="0071601D"/>
    <w:rsid w:val="007432FB"/>
    <w:rsid w:val="007C0353"/>
    <w:rsid w:val="007F010F"/>
    <w:rsid w:val="0080684C"/>
    <w:rsid w:val="00807D21"/>
    <w:rsid w:val="00840C6C"/>
    <w:rsid w:val="00853AFA"/>
    <w:rsid w:val="00871C75"/>
    <w:rsid w:val="008776DC"/>
    <w:rsid w:val="00945222"/>
    <w:rsid w:val="00961148"/>
    <w:rsid w:val="009705C8"/>
    <w:rsid w:val="009C4D45"/>
    <w:rsid w:val="009F531E"/>
    <w:rsid w:val="009F7572"/>
    <w:rsid w:val="00A05770"/>
    <w:rsid w:val="00A37C92"/>
    <w:rsid w:val="00A40848"/>
    <w:rsid w:val="00A704A8"/>
    <w:rsid w:val="00AA0CD3"/>
    <w:rsid w:val="00AB1B55"/>
    <w:rsid w:val="00AE323C"/>
    <w:rsid w:val="00B469A6"/>
    <w:rsid w:val="00BA13A6"/>
    <w:rsid w:val="00BA1735"/>
    <w:rsid w:val="00BA41F4"/>
    <w:rsid w:val="00C02897"/>
    <w:rsid w:val="00C26921"/>
    <w:rsid w:val="00CA5CE1"/>
    <w:rsid w:val="00CD326D"/>
    <w:rsid w:val="00CF7B7B"/>
    <w:rsid w:val="00D21E12"/>
    <w:rsid w:val="00D64B96"/>
    <w:rsid w:val="00D96D2F"/>
    <w:rsid w:val="00DB1831"/>
    <w:rsid w:val="00DB3664"/>
    <w:rsid w:val="00DD31FE"/>
    <w:rsid w:val="00DD3BFD"/>
    <w:rsid w:val="00DF7D38"/>
    <w:rsid w:val="00E554A4"/>
    <w:rsid w:val="00EA0D23"/>
    <w:rsid w:val="00EA3F83"/>
    <w:rsid w:val="00EE6EA3"/>
    <w:rsid w:val="00EF4994"/>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5FE1"/>
  <w15:docId w15:val="{883D5127-86F8-4A5B-BC6C-6A051BF2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Mentionnonrsolue1">
    <w:name w:val="Mention non résolue1"/>
    <w:basedOn w:val="Policepardfaut"/>
    <w:uiPriority w:val="99"/>
    <w:semiHidden/>
    <w:unhideWhenUsed/>
    <w:rsid w:val="00D64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AT/C/COD/FCO/2" TargetMode="External"/><Relationship Id="rId13" Type="http://schemas.openxmlformats.org/officeDocument/2006/relationships/hyperlink" Target="https://undocs.org/fr/CAT/C/COD/CO/2" TargetMode="External"/><Relationship Id="rId18" Type="http://schemas.openxmlformats.org/officeDocument/2006/relationships/hyperlink" Target="https://undocs.org/fr/A/HRC/48/47" TargetMode="External"/><Relationship Id="rId26" Type="http://schemas.openxmlformats.org/officeDocument/2006/relationships/hyperlink" Target="https://undocs.org/fr/A/HRC/48/82" TargetMode="External"/><Relationship Id="rId39" Type="http://schemas.openxmlformats.org/officeDocument/2006/relationships/hyperlink" Target="https://undocs.org/fr/CAT/C/COD/CO/2" TargetMode="External"/><Relationship Id="rId3" Type="http://schemas.openxmlformats.org/officeDocument/2006/relationships/hyperlink" Target="https://undocs.org/fr/CAT/C/COD/CO/" TargetMode="External"/><Relationship Id="rId21" Type="http://schemas.openxmlformats.org/officeDocument/2006/relationships/hyperlink" Target="https://undocs.org/fr/A/HRC/48/47" TargetMode="External"/><Relationship Id="rId34" Type="http://schemas.openxmlformats.org/officeDocument/2006/relationships/hyperlink" Target="https://undocs.org/fr/A/HRC/48/82" TargetMode="External"/><Relationship Id="rId42" Type="http://schemas.openxmlformats.org/officeDocument/2006/relationships/hyperlink" Target="https://undocs.org/fr/A/HRC/45/50" TargetMode="External"/><Relationship Id="rId47" Type="http://schemas.openxmlformats.org/officeDocument/2006/relationships/hyperlink" Target="https://undocs.org/fr/A/HRC/45/36" TargetMode="External"/><Relationship Id="rId7" Type="http://schemas.openxmlformats.org/officeDocument/2006/relationships/hyperlink" Target="https://undocs.org/fr/CAT/C/COD/CO/2" TargetMode="External"/><Relationship Id="rId12" Type="http://schemas.openxmlformats.org/officeDocument/2006/relationships/hyperlink" Target="https://undocs.org/fr/CAT/C/COD/2" TargetMode="External"/><Relationship Id="rId17" Type="http://schemas.openxmlformats.org/officeDocument/2006/relationships/hyperlink" Target="https://undocs.org/fr/A/HRC/45/49" TargetMode="External"/><Relationship Id="rId25" Type="http://schemas.openxmlformats.org/officeDocument/2006/relationships/hyperlink" Target="https://undocs.org/fr/A/HRC/WG.6/33/COD/2" TargetMode="External"/><Relationship Id="rId33" Type="http://schemas.openxmlformats.org/officeDocument/2006/relationships/hyperlink" Target="https://undocs.org/fr/A/HRC/48/47" TargetMode="External"/><Relationship Id="rId38" Type="http://schemas.openxmlformats.org/officeDocument/2006/relationships/hyperlink" Target="https://undocs.org/fr/A/HRC/45/49" TargetMode="External"/><Relationship Id="rId46" Type="http://schemas.openxmlformats.org/officeDocument/2006/relationships/hyperlink" Target="https://undocs.org/fr/A/HRC/48/28" TargetMode="External"/><Relationship Id="rId2" Type="http://schemas.openxmlformats.org/officeDocument/2006/relationships/hyperlink" Target="https://undocs.org/fr/CAT/C/COD/FCO/2" TargetMode="External"/><Relationship Id="rId16" Type="http://schemas.openxmlformats.org/officeDocument/2006/relationships/hyperlink" Target="https://undocs.org/fr/A/HRC/48/47" TargetMode="External"/><Relationship Id="rId20" Type="http://schemas.openxmlformats.org/officeDocument/2006/relationships/hyperlink" Target="https://undocs.org/fr/A/HRC/45/49" TargetMode="External"/><Relationship Id="rId29" Type="http://schemas.openxmlformats.org/officeDocument/2006/relationships/hyperlink" Target="https://undocs.org/fr/%09CAT/C/COD/FCO/2" TargetMode="External"/><Relationship Id="rId41" Type="http://schemas.openxmlformats.org/officeDocument/2006/relationships/hyperlink" Target="https://undocs.org/fr/A/HRC/48/82" TargetMode="External"/><Relationship Id="rId1" Type="http://schemas.openxmlformats.org/officeDocument/2006/relationships/hyperlink" Target="https://undocs.org/fr/CAT/C/COD/CO/2" TargetMode="External"/><Relationship Id="rId6" Type="http://schemas.openxmlformats.org/officeDocument/2006/relationships/hyperlink" Target="https://undocs.org/fr/%09A/HRC/48/47" TargetMode="External"/><Relationship Id="rId11" Type="http://schemas.openxmlformats.org/officeDocument/2006/relationships/hyperlink" Target="https://undocs.org/fr/A/HRC/48/47" TargetMode="External"/><Relationship Id="rId24" Type="http://schemas.openxmlformats.org/officeDocument/2006/relationships/hyperlink" Target="https://undocs.org/fr/A/HRC/48/47" TargetMode="External"/><Relationship Id="rId32" Type="http://schemas.openxmlformats.org/officeDocument/2006/relationships/hyperlink" Target="https://undocs.org/fr/A/HRC/45/49" TargetMode="External"/><Relationship Id="rId37" Type="http://schemas.openxmlformats.org/officeDocument/2006/relationships/hyperlink" Target="https://undocs.org/fr/A/HRC/48/47" TargetMode="External"/><Relationship Id="rId40" Type="http://schemas.openxmlformats.org/officeDocument/2006/relationships/hyperlink" Target="https://undocs.org/fr/A/HRC/42/5" TargetMode="External"/><Relationship Id="rId45" Type="http://schemas.openxmlformats.org/officeDocument/2006/relationships/hyperlink" Target="https://undocs.org/fr/A/HRC/42/5" TargetMode="External"/><Relationship Id="rId5" Type="http://schemas.openxmlformats.org/officeDocument/2006/relationships/hyperlink" Target="https://undocs.org/fr/CAT/C/COD/FCO/2" TargetMode="External"/><Relationship Id="rId15" Type="http://schemas.openxmlformats.org/officeDocument/2006/relationships/hyperlink" Target="https://undocs.org/fr/CAT/C/COD/CO/2" TargetMode="External"/><Relationship Id="rId23" Type="http://schemas.openxmlformats.org/officeDocument/2006/relationships/hyperlink" Target="https://undocs.org/fr/CAT/C/COD/CO/2" TargetMode="External"/><Relationship Id="rId28" Type="http://schemas.openxmlformats.org/officeDocument/2006/relationships/hyperlink" Target="https://undocs.org/fr/CAT/C/COD/CO/2" TargetMode="External"/><Relationship Id="rId36" Type="http://schemas.openxmlformats.org/officeDocument/2006/relationships/hyperlink" Target="https://undocs.org/fr/CAT/C/COD/CO/2" TargetMode="External"/><Relationship Id="rId10" Type="http://schemas.openxmlformats.org/officeDocument/2006/relationships/hyperlink" Target="https://undocs.org/fr/A/HRC/45/49" TargetMode="External"/><Relationship Id="rId19" Type="http://schemas.openxmlformats.org/officeDocument/2006/relationships/hyperlink" Target="https://undocs.org/fr/A/HRC/48/47" TargetMode="External"/><Relationship Id="rId31" Type="http://schemas.openxmlformats.org/officeDocument/2006/relationships/hyperlink" Target="https://undocs.org/fr/A/HRC/48/47" TargetMode="External"/><Relationship Id="rId44" Type="http://schemas.openxmlformats.org/officeDocument/2006/relationships/hyperlink" Target="https://undocs.org/fr/%09A/HRC/48/47" TargetMode="External"/><Relationship Id="rId4" Type="http://schemas.openxmlformats.org/officeDocument/2006/relationships/hyperlink" Target="https://undocs.org/fr/CAT/C/COD/CO/2" TargetMode="External"/><Relationship Id="rId9" Type="http://schemas.openxmlformats.org/officeDocument/2006/relationships/hyperlink" Target="https://undocs.org/fr/A/HRC/42/5" TargetMode="External"/><Relationship Id="rId14" Type="http://schemas.openxmlformats.org/officeDocument/2006/relationships/hyperlink" Target="https://undocs.org/fr/A/HRC/48/82" TargetMode="External"/><Relationship Id="rId22" Type="http://schemas.openxmlformats.org/officeDocument/2006/relationships/hyperlink" Target="https://undocs.org/fr/A/HRC/48/47" TargetMode="External"/><Relationship Id="rId27" Type="http://schemas.openxmlformats.org/officeDocument/2006/relationships/hyperlink" Target="https://undocs.org/fr/A/HRC/48/47" TargetMode="External"/><Relationship Id="rId30" Type="http://schemas.openxmlformats.org/officeDocument/2006/relationships/hyperlink" Target="https://undocs.org/fr/A/HRC/45/49" TargetMode="External"/><Relationship Id="rId35" Type="http://schemas.openxmlformats.org/officeDocument/2006/relationships/hyperlink" Target="https://undocs.org/fr/A/HRC/45/50" TargetMode="External"/><Relationship Id="rId43" Type="http://schemas.openxmlformats.org/officeDocument/2006/relationships/hyperlink" Target="https://undocs.org/fr/CAT/C/COD/CO/2" TargetMode="External"/><Relationship Id="rId48" Type="http://schemas.openxmlformats.org/officeDocument/2006/relationships/hyperlink" Target="https://undocs.org/fr/A/HRC/WG.6/33/CO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4802</Words>
  <Characters>25866</Characters>
  <Application>Microsoft Office Word</Application>
  <DocSecurity>0</DocSecurity>
  <Lines>386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CAT/C/COD/QPR/3</vt:lpstr>
      <vt:lpstr>CAT/C/COD/QPR/3</vt:lpstr>
    </vt:vector>
  </TitlesOfParts>
  <Company>DCM</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CAT/C/COD/QPR/3</dc:title>
  <dc:subject/>
  <dc:creator>Christine CHAUTAGNAT</dc:creator>
  <cp:keywords/>
  <cp:lastModifiedBy>Christine CHAUTAGNAT</cp:lastModifiedBy>
  <cp:revision>3</cp:revision>
  <cp:lastPrinted>2023-02-24T10:09:00Z</cp:lastPrinted>
  <dcterms:created xsi:type="dcterms:W3CDTF">2023-02-24T10:09:00Z</dcterms:created>
  <dcterms:modified xsi:type="dcterms:W3CDTF">2023-02-24T10:10:00Z</dcterms:modified>
</cp:coreProperties>
</file>