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5E6804E4" w14:textId="77777777" w:rsidTr="00A704A8">
        <w:trPr>
          <w:trHeight w:hRule="exact" w:val="851"/>
        </w:trPr>
        <w:tc>
          <w:tcPr>
            <w:tcW w:w="1276" w:type="dxa"/>
            <w:tcBorders>
              <w:bottom w:val="single" w:sz="4" w:space="0" w:color="auto"/>
            </w:tcBorders>
          </w:tcPr>
          <w:p w14:paraId="68F7F05E" w14:textId="77777777" w:rsidR="00807D21" w:rsidRPr="00DB58B5" w:rsidRDefault="00807D21" w:rsidP="00C35C59"/>
        </w:tc>
        <w:tc>
          <w:tcPr>
            <w:tcW w:w="2268" w:type="dxa"/>
            <w:tcBorders>
              <w:bottom w:val="single" w:sz="4" w:space="0" w:color="auto"/>
            </w:tcBorders>
            <w:vAlign w:val="bottom"/>
          </w:tcPr>
          <w:p w14:paraId="0ACD3918"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E13F341" w14:textId="573E9363" w:rsidR="00807D21" w:rsidRPr="00DE581F" w:rsidRDefault="00DE581F" w:rsidP="00DE581F">
            <w:pPr>
              <w:jc w:val="right"/>
            </w:pPr>
            <w:r w:rsidRPr="00DE581F">
              <w:rPr>
                <w:sz w:val="40"/>
              </w:rPr>
              <w:t>CAT</w:t>
            </w:r>
            <w:r>
              <w:t>/C/74/D/795/2017</w:t>
            </w:r>
          </w:p>
        </w:tc>
      </w:tr>
      <w:tr w:rsidR="00807D21" w:rsidRPr="00DB58B5" w14:paraId="2E712BB2" w14:textId="77777777" w:rsidTr="00A704A8">
        <w:trPr>
          <w:trHeight w:hRule="exact" w:val="2835"/>
        </w:trPr>
        <w:tc>
          <w:tcPr>
            <w:tcW w:w="1276" w:type="dxa"/>
            <w:tcBorders>
              <w:top w:val="single" w:sz="4" w:space="0" w:color="auto"/>
              <w:bottom w:val="single" w:sz="12" w:space="0" w:color="auto"/>
            </w:tcBorders>
          </w:tcPr>
          <w:p w14:paraId="57907778" w14:textId="77777777" w:rsidR="00807D21" w:rsidRPr="00DB58B5" w:rsidRDefault="00807D21" w:rsidP="00A704A8">
            <w:pPr>
              <w:spacing w:before="120"/>
              <w:jc w:val="center"/>
            </w:pPr>
            <w:r>
              <w:rPr>
                <w:noProof/>
                <w:lang w:val="en-GB" w:eastAsia="en-GB"/>
              </w:rPr>
              <w:drawing>
                <wp:inline distT="0" distB="0" distL="0" distR="0" wp14:anchorId="085E7314" wp14:editId="2A716A7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440BDC"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5D90A513" w14:textId="5C27C71C" w:rsidR="00807D21" w:rsidRDefault="00C35C59" w:rsidP="00A704A8">
            <w:pPr>
              <w:spacing w:before="240"/>
            </w:pPr>
            <w:proofErr w:type="spellStart"/>
            <w:r>
              <w:t>Distr</w:t>
            </w:r>
            <w:proofErr w:type="spellEnd"/>
            <w:r w:rsidR="00E80A5E" w:rsidRPr="00E80A5E">
              <w:t>.</w:t>
            </w:r>
            <w:r>
              <w:t xml:space="preserve"> générale</w:t>
            </w:r>
          </w:p>
          <w:p w14:paraId="24812E96" w14:textId="76A648D6" w:rsidR="00C35C59" w:rsidRDefault="00C35C59" w:rsidP="00C35C59">
            <w:pPr>
              <w:spacing w:line="240" w:lineRule="exact"/>
            </w:pPr>
            <w:r>
              <w:t>1</w:t>
            </w:r>
            <w:r w:rsidR="00051F7B">
              <w:t>9</w:t>
            </w:r>
            <w:r>
              <w:t xml:space="preserve"> octobre 2022</w:t>
            </w:r>
          </w:p>
          <w:p w14:paraId="41412724" w14:textId="5D4BF76A" w:rsidR="00C35C59" w:rsidRDefault="00C35C59" w:rsidP="00C35C59">
            <w:pPr>
              <w:spacing w:line="240" w:lineRule="exact"/>
            </w:pPr>
          </w:p>
          <w:p w14:paraId="3987EBE3" w14:textId="14985250" w:rsidR="00C35C59" w:rsidRPr="00DB58B5" w:rsidRDefault="00C35C59" w:rsidP="00C35C59">
            <w:pPr>
              <w:spacing w:line="240" w:lineRule="exact"/>
            </w:pPr>
            <w:r>
              <w:t>Original : français</w:t>
            </w:r>
          </w:p>
        </w:tc>
      </w:tr>
    </w:tbl>
    <w:p w14:paraId="46A62966"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3800AFBC" w14:textId="77777777" w:rsidR="00C35C59" w:rsidRPr="00656A54" w:rsidRDefault="00C35C59" w:rsidP="00C35C59">
      <w:pPr>
        <w:pStyle w:val="HChG"/>
        <w:rPr>
          <w:rFonts w:eastAsia="SimSun"/>
          <w:lang w:eastAsia="zh-CN"/>
        </w:rPr>
      </w:pPr>
      <w:r>
        <w:rPr>
          <w:szCs w:val="28"/>
        </w:rPr>
        <w:tab/>
      </w:r>
      <w:r>
        <w:rPr>
          <w:szCs w:val="28"/>
        </w:rPr>
        <w:tab/>
      </w:r>
      <w:r w:rsidRPr="000F003C">
        <w:t>Décision adoptée par le Comité au titre de l</w:t>
      </w:r>
      <w:r>
        <w:t>’</w:t>
      </w:r>
      <w:r w:rsidRPr="000F003C">
        <w:t xml:space="preserve">article 22 </w:t>
      </w:r>
      <w:r>
        <w:br/>
      </w:r>
      <w:r w:rsidRPr="000F003C">
        <w:t xml:space="preserve">de la Convention, concernant la communication </w:t>
      </w:r>
      <w:r>
        <w:br/>
      </w:r>
      <w:r w:rsidRPr="000F003C">
        <w:t>n</w:t>
      </w:r>
      <w:r w:rsidRPr="000F003C">
        <w:rPr>
          <w:vertAlign w:val="superscript"/>
        </w:rPr>
        <w:t>o</w:t>
      </w:r>
      <w:r w:rsidRPr="000F003C">
        <w:t> </w:t>
      </w:r>
      <w:r>
        <w:t>795/2017</w:t>
      </w:r>
      <w:r w:rsidRPr="001237E3">
        <w:rPr>
          <w:b w:val="0"/>
          <w:sz w:val="20"/>
        </w:rPr>
        <w:footnoteReference w:customMarkFollows="1" w:id="2"/>
        <w:t>*</w:t>
      </w:r>
      <w:r w:rsidRPr="001237E3">
        <w:rPr>
          <w:b w:val="0"/>
          <w:position w:val="6"/>
          <w:sz w:val="18"/>
          <w:szCs w:val="18"/>
        </w:rPr>
        <w:t>,</w:t>
      </w:r>
      <w:r w:rsidRPr="001237E3">
        <w:rPr>
          <w:b w:val="0"/>
          <w:sz w:val="20"/>
        </w:rPr>
        <w:t xml:space="preserve"> </w:t>
      </w:r>
      <w:r w:rsidRPr="001237E3">
        <w:rPr>
          <w:b w:val="0"/>
          <w:sz w:val="20"/>
        </w:rPr>
        <w:footnoteReference w:customMarkFollows="1" w:id="3"/>
        <w:t>**</w:t>
      </w:r>
    </w:p>
    <w:p w14:paraId="0D62892E" w14:textId="3FA9BC72" w:rsidR="00C35C59" w:rsidRPr="00704389" w:rsidRDefault="00C35C59" w:rsidP="00E80A5E">
      <w:pPr>
        <w:pStyle w:val="SingleTxtG"/>
        <w:tabs>
          <w:tab w:val="clear" w:pos="1701"/>
          <w:tab w:val="clear" w:pos="2268"/>
          <w:tab w:val="clear" w:pos="2835"/>
          <w:tab w:val="left" w:pos="4536"/>
        </w:tabs>
        <w:ind w:left="4536" w:hanging="2835"/>
        <w:rPr>
          <w:rFonts w:eastAsia="SimSun"/>
        </w:rPr>
      </w:pPr>
      <w:r w:rsidRPr="004623A9">
        <w:rPr>
          <w:rFonts w:eastAsia="SimSun"/>
          <w:i/>
          <w:lang w:eastAsia="zh-CN"/>
        </w:rPr>
        <w:t>Communication présentée par</w:t>
      </w:r>
      <w:r w:rsidRPr="00B22444">
        <w:rPr>
          <w:rFonts w:eastAsia="SimSun"/>
          <w:lang w:eastAsia="zh-CN"/>
        </w:rPr>
        <w:t> :</w:t>
      </w:r>
      <w:r w:rsidRPr="00B22444">
        <w:rPr>
          <w:rFonts w:eastAsia="SimSun"/>
          <w:lang w:eastAsia="zh-CN"/>
        </w:rPr>
        <w:tab/>
      </w:r>
      <w:r>
        <w:rPr>
          <w:rFonts w:eastAsia="SimSun"/>
          <w:lang w:eastAsia="zh-CN"/>
        </w:rPr>
        <w:t>N</w:t>
      </w:r>
      <w:r w:rsidR="00E80A5E" w:rsidRPr="00E80A5E">
        <w:rPr>
          <w:rFonts w:eastAsia="SimSun"/>
          <w:lang w:eastAsia="zh-CN"/>
        </w:rPr>
        <w:t>.</w:t>
      </w:r>
      <w:r>
        <w:rPr>
          <w:rFonts w:eastAsia="SimSun"/>
          <w:lang w:eastAsia="zh-CN"/>
        </w:rPr>
        <w:t> N</w:t>
      </w:r>
      <w:r w:rsidR="00E80A5E" w:rsidRPr="00E80A5E">
        <w:rPr>
          <w:rFonts w:eastAsia="SimSun"/>
          <w:lang w:eastAsia="zh-CN"/>
        </w:rPr>
        <w:t>.</w:t>
      </w:r>
      <w:r>
        <w:rPr>
          <w:rFonts w:eastAsia="SimSun"/>
          <w:lang w:eastAsia="zh-CN"/>
        </w:rPr>
        <w:t xml:space="preserve"> </w:t>
      </w:r>
      <w:r>
        <w:t>(</w:t>
      </w:r>
      <w:r w:rsidRPr="00173A33">
        <w:rPr>
          <w:rFonts w:eastAsia="SimSun"/>
        </w:rPr>
        <w:t>représenté par un conseil, de TRIAL International</w:t>
      </w:r>
      <w:r w:rsidRPr="00704389">
        <w:rPr>
          <w:rFonts w:eastAsia="SimSun"/>
        </w:rPr>
        <w:t>)</w:t>
      </w:r>
    </w:p>
    <w:p w14:paraId="183560F0" w14:textId="1509E2F9" w:rsidR="00C35C59" w:rsidRPr="00B22444" w:rsidRDefault="00C35C59" w:rsidP="00E80A5E">
      <w:pPr>
        <w:pStyle w:val="SingleTxtG"/>
        <w:tabs>
          <w:tab w:val="clear" w:pos="1701"/>
          <w:tab w:val="clear" w:pos="2268"/>
          <w:tab w:val="clear" w:pos="2835"/>
          <w:tab w:val="left" w:pos="4550"/>
        </w:tabs>
        <w:ind w:left="4536" w:hanging="2835"/>
        <w:rPr>
          <w:rFonts w:eastAsia="SimSun"/>
          <w:lang w:eastAsia="zh-CN"/>
        </w:rPr>
      </w:pPr>
      <w:r>
        <w:rPr>
          <w:rFonts w:eastAsia="SimSun"/>
          <w:i/>
          <w:lang w:eastAsia="zh-CN"/>
        </w:rPr>
        <w:t>Victime(s) présumée(s)</w:t>
      </w:r>
      <w:r w:rsidRPr="00B22444">
        <w:rPr>
          <w:rFonts w:eastAsia="SimSun"/>
          <w:lang w:eastAsia="zh-CN"/>
        </w:rPr>
        <w:t> :</w:t>
      </w:r>
      <w:r w:rsidRPr="00B22444">
        <w:rPr>
          <w:rFonts w:eastAsia="SimSun"/>
          <w:lang w:eastAsia="zh-CN"/>
        </w:rPr>
        <w:tab/>
      </w:r>
      <w:r>
        <w:rPr>
          <w:rFonts w:eastAsia="SimSun"/>
          <w:lang w:eastAsia="zh-CN"/>
        </w:rPr>
        <w:t>Le requérant</w:t>
      </w:r>
    </w:p>
    <w:p w14:paraId="52D485A4" w14:textId="645C7E71" w:rsidR="00C35C59" w:rsidRPr="00B22444" w:rsidRDefault="00C35C59" w:rsidP="00E80A5E">
      <w:pPr>
        <w:pStyle w:val="SingleTxtG"/>
        <w:tabs>
          <w:tab w:val="clear" w:pos="1701"/>
          <w:tab w:val="clear" w:pos="2268"/>
          <w:tab w:val="clear" w:pos="2835"/>
          <w:tab w:val="left" w:pos="4550"/>
        </w:tabs>
        <w:ind w:left="4536" w:hanging="2835"/>
        <w:rPr>
          <w:rFonts w:eastAsia="SimSun"/>
          <w:lang w:eastAsia="zh-CN"/>
        </w:rPr>
      </w:pPr>
      <w:r w:rsidRPr="00B22444">
        <w:rPr>
          <w:rFonts w:eastAsia="SimSun"/>
          <w:i/>
          <w:lang w:eastAsia="zh-CN"/>
        </w:rPr>
        <w:t>État partie</w:t>
      </w:r>
      <w:r w:rsidRPr="00B22444">
        <w:rPr>
          <w:rFonts w:eastAsia="SimSun"/>
          <w:lang w:eastAsia="zh-CN"/>
        </w:rPr>
        <w:t> :</w:t>
      </w:r>
      <w:r w:rsidRPr="00B22444">
        <w:rPr>
          <w:rFonts w:eastAsia="SimSun"/>
          <w:lang w:eastAsia="zh-CN"/>
        </w:rPr>
        <w:tab/>
      </w:r>
      <w:r>
        <w:rPr>
          <w:rFonts w:eastAsia="SimSun"/>
          <w:lang w:eastAsia="zh-CN"/>
        </w:rPr>
        <w:t>Burundi</w:t>
      </w:r>
    </w:p>
    <w:p w14:paraId="3E17D618" w14:textId="7B9CECBC" w:rsidR="00C35C59" w:rsidRDefault="00C35C59" w:rsidP="00E80A5E">
      <w:pPr>
        <w:pStyle w:val="SingleTxtG"/>
        <w:tabs>
          <w:tab w:val="clear" w:pos="1701"/>
          <w:tab w:val="clear" w:pos="2268"/>
          <w:tab w:val="clear" w:pos="2835"/>
          <w:tab w:val="left" w:pos="4536"/>
        </w:tabs>
        <w:ind w:left="4536" w:hanging="2835"/>
        <w:rPr>
          <w:rFonts w:eastAsia="SimSun"/>
          <w:lang w:eastAsia="zh-CN"/>
        </w:rPr>
      </w:pPr>
      <w:r w:rsidRPr="00B22444">
        <w:rPr>
          <w:rFonts w:eastAsia="SimSun"/>
          <w:i/>
          <w:lang w:eastAsia="zh-CN"/>
        </w:rPr>
        <w:t>Date de la requête</w:t>
      </w:r>
      <w:r w:rsidRPr="00B22444">
        <w:rPr>
          <w:rFonts w:eastAsia="SimSun"/>
          <w:lang w:eastAsia="zh-CN"/>
        </w:rPr>
        <w:t> :</w:t>
      </w:r>
      <w:r w:rsidRPr="00B22444">
        <w:rPr>
          <w:rFonts w:eastAsia="SimSun"/>
          <w:lang w:eastAsia="zh-CN"/>
        </w:rPr>
        <w:tab/>
      </w:r>
      <w:r>
        <w:rPr>
          <w:rFonts w:eastAsia="SimSun"/>
          <w:lang w:eastAsia="zh-CN"/>
        </w:rPr>
        <w:t xml:space="preserve">19 décembre 2016 </w:t>
      </w:r>
      <w:r w:rsidRPr="00B22444">
        <w:rPr>
          <w:rFonts w:eastAsia="SimSun"/>
          <w:lang w:eastAsia="zh-CN"/>
        </w:rPr>
        <w:t>(</w:t>
      </w:r>
      <w:r>
        <w:rPr>
          <w:rFonts w:eastAsia="SimSun"/>
          <w:lang w:eastAsia="zh-CN"/>
        </w:rPr>
        <w:t xml:space="preserve">date de la </w:t>
      </w:r>
      <w:r w:rsidRPr="00B22444">
        <w:rPr>
          <w:rFonts w:eastAsia="SimSun"/>
          <w:lang w:eastAsia="zh-CN"/>
        </w:rPr>
        <w:t>lettre initiale)</w:t>
      </w:r>
    </w:p>
    <w:p w14:paraId="337D37AD" w14:textId="14BD8036" w:rsidR="00C35C59" w:rsidRPr="00B22444" w:rsidRDefault="00C35C59" w:rsidP="00E80A5E">
      <w:pPr>
        <w:pStyle w:val="SingleTxtG"/>
        <w:tabs>
          <w:tab w:val="clear" w:pos="1701"/>
          <w:tab w:val="clear" w:pos="2268"/>
          <w:tab w:val="clear" w:pos="2835"/>
          <w:tab w:val="left" w:pos="4550"/>
        </w:tabs>
        <w:ind w:left="4536" w:hanging="2835"/>
        <w:rPr>
          <w:rFonts w:eastAsia="SimSun"/>
          <w:lang w:eastAsia="zh-CN"/>
        </w:rPr>
      </w:pPr>
      <w:r>
        <w:rPr>
          <w:i/>
        </w:rPr>
        <w:t>Références </w:t>
      </w:r>
      <w:r w:rsidRPr="00015B48">
        <w:rPr>
          <w:iCs/>
        </w:rPr>
        <w:t>:</w:t>
      </w:r>
      <w:r>
        <w:rPr>
          <w:i/>
        </w:rPr>
        <w:tab/>
      </w:r>
      <w:r>
        <w:t>Décision prise en application des articles</w:t>
      </w:r>
      <w:r w:rsidR="00E80A5E">
        <w:t> </w:t>
      </w:r>
      <w:r>
        <w:t>114 et</w:t>
      </w:r>
      <w:r w:rsidR="00015B48">
        <w:t> </w:t>
      </w:r>
      <w:r>
        <w:t>115 du Règlement intérieur du Comité, transmise à l’État partie le 10 janvier 2017 (non publiée sous forme de document)</w:t>
      </w:r>
    </w:p>
    <w:p w14:paraId="65CDC355" w14:textId="77777777" w:rsidR="00C35C59" w:rsidRPr="00EC100D" w:rsidRDefault="00C35C59" w:rsidP="00E80A5E">
      <w:pPr>
        <w:pStyle w:val="SingleTxtG"/>
        <w:tabs>
          <w:tab w:val="clear" w:pos="1701"/>
          <w:tab w:val="clear" w:pos="2268"/>
          <w:tab w:val="clear" w:pos="2835"/>
          <w:tab w:val="left" w:pos="4536"/>
        </w:tabs>
        <w:ind w:left="4536" w:hanging="2835"/>
        <w:rPr>
          <w:rFonts w:eastAsia="SimSun"/>
        </w:rPr>
      </w:pPr>
      <w:r w:rsidRPr="00B22444">
        <w:rPr>
          <w:rFonts w:eastAsia="SimSun"/>
          <w:i/>
          <w:lang w:eastAsia="zh-CN"/>
        </w:rPr>
        <w:t>Date de la présente décision</w:t>
      </w:r>
      <w:r w:rsidRPr="00A213D5">
        <w:rPr>
          <w:rFonts w:eastAsia="SimSun"/>
          <w:lang w:eastAsia="zh-CN"/>
        </w:rPr>
        <w:t> </w:t>
      </w:r>
      <w:r w:rsidRPr="0076453B">
        <w:rPr>
          <w:rFonts w:eastAsia="SimSun"/>
          <w:lang w:eastAsia="zh-CN"/>
        </w:rPr>
        <w:t>:</w:t>
      </w:r>
      <w:r w:rsidRPr="00B22444">
        <w:rPr>
          <w:rFonts w:eastAsia="SimSun"/>
          <w:lang w:eastAsia="zh-CN"/>
        </w:rPr>
        <w:tab/>
      </w:r>
      <w:r>
        <w:rPr>
          <w:rFonts w:eastAsia="SimSun"/>
          <w:lang w:eastAsia="zh-CN"/>
        </w:rPr>
        <w:t>15 juillet</w:t>
      </w:r>
      <w:r>
        <w:rPr>
          <w:rFonts w:eastAsia="SimSun"/>
        </w:rPr>
        <w:t xml:space="preserve"> 2022</w:t>
      </w:r>
    </w:p>
    <w:p w14:paraId="21CB8BC4" w14:textId="1557D883" w:rsidR="00C35C59" w:rsidRDefault="00C35C59" w:rsidP="00E80A5E">
      <w:pPr>
        <w:pStyle w:val="SingleTxtG"/>
        <w:tabs>
          <w:tab w:val="clear" w:pos="1701"/>
          <w:tab w:val="clear" w:pos="2268"/>
          <w:tab w:val="clear" w:pos="2835"/>
          <w:tab w:val="left" w:pos="4550"/>
        </w:tabs>
        <w:ind w:left="4536" w:hanging="2835"/>
        <w:rPr>
          <w:rFonts w:eastAsia="SimSun"/>
          <w:lang w:eastAsia="zh-CN"/>
        </w:rPr>
      </w:pPr>
      <w:r w:rsidRPr="00B22444">
        <w:rPr>
          <w:rFonts w:eastAsia="SimSun"/>
          <w:i/>
          <w:iCs/>
          <w:lang w:eastAsia="zh-CN"/>
        </w:rPr>
        <w:t>Objet</w:t>
      </w:r>
      <w:r w:rsidRPr="00A213D5">
        <w:rPr>
          <w:rFonts w:eastAsia="SimSun"/>
          <w:lang w:eastAsia="zh-CN"/>
        </w:rPr>
        <w:t> :</w:t>
      </w:r>
      <w:r w:rsidRPr="00B22444">
        <w:rPr>
          <w:rFonts w:eastAsia="SimSun"/>
          <w:lang w:eastAsia="zh-CN"/>
        </w:rPr>
        <w:tab/>
      </w:r>
      <w:r>
        <w:rPr>
          <w:rFonts w:eastAsia="SimSun"/>
          <w:lang w:eastAsia="zh-CN"/>
        </w:rPr>
        <w:t>T</w:t>
      </w:r>
      <w:r w:rsidRPr="009900E7">
        <w:rPr>
          <w:rFonts w:eastAsia="SimSun"/>
          <w:lang w:eastAsia="zh-CN"/>
        </w:rPr>
        <w:t>orture ou autres peines ou traitements cruels, inhumains ou dégradants</w:t>
      </w:r>
      <w:r>
        <w:rPr>
          <w:rFonts w:eastAsia="SimSun"/>
          <w:lang w:eastAsia="zh-CN"/>
        </w:rPr>
        <w:t> ;</w:t>
      </w:r>
      <w:r w:rsidRPr="003145CC">
        <w:rPr>
          <w:rFonts w:eastAsia="SimSun"/>
          <w:lang w:eastAsia="zh-CN"/>
        </w:rPr>
        <w:t xml:space="preserve"> </w:t>
      </w:r>
      <w:r w:rsidRPr="009900E7">
        <w:rPr>
          <w:rFonts w:eastAsia="SimSun"/>
          <w:lang w:eastAsia="zh-CN"/>
        </w:rPr>
        <w:t>absence d</w:t>
      </w:r>
      <w:r>
        <w:rPr>
          <w:rFonts w:eastAsia="SimSun"/>
          <w:lang w:eastAsia="zh-CN"/>
        </w:rPr>
        <w:t>’</w:t>
      </w:r>
      <w:r w:rsidRPr="009900E7">
        <w:rPr>
          <w:rFonts w:eastAsia="SimSun"/>
          <w:lang w:eastAsia="zh-CN"/>
        </w:rPr>
        <w:t>enquête effective et de réparation</w:t>
      </w:r>
    </w:p>
    <w:p w14:paraId="18BDA9A9" w14:textId="4AAD81EB" w:rsidR="00C35C59" w:rsidRPr="00B22444" w:rsidRDefault="00C35C59" w:rsidP="00E80A5E">
      <w:pPr>
        <w:pStyle w:val="SingleTxtG"/>
        <w:tabs>
          <w:tab w:val="clear" w:pos="1701"/>
          <w:tab w:val="clear" w:pos="2268"/>
          <w:tab w:val="clear" w:pos="2835"/>
          <w:tab w:val="left" w:pos="4550"/>
        </w:tabs>
        <w:ind w:left="4536" w:hanging="2835"/>
        <w:rPr>
          <w:rFonts w:eastAsia="SimSun"/>
          <w:lang w:eastAsia="zh-CN"/>
        </w:rPr>
      </w:pPr>
      <w:r w:rsidRPr="00B22444">
        <w:rPr>
          <w:rFonts w:eastAsia="SimSun"/>
          <w:i/>
          <w:iCs/>
          <w:lang w:eastAsia="zh-CN"/>
        </w:rPr>
        <w:t>Question</w:t>
      </w:r>
      <w:r>
        <w:rPr>
          <w:rFonts w:eastAsia="SimSun"/>
          <w:i/>
          <w:iCs/>
          <w:lang w:eastAsia="zh-CN"/>
        </w:rPr>
        <w:t>(</w:t>
      </w:r>
      <w:r w:rsidRPr="00B22444">
        <w:rPr>
          <w:rFonts w:eastAsia="SimSun"/>
          <w:i/>
          <w:iCs/>
          <w:lang w:eastAsia="zh-CN"/>
        </w:rPr>
        <w:t>s</w:t>
      </w:r>
      <w:r>
        <w:rPr>
          <w:rFonts w:eastAsia="SimSun"/>
          <w:i/>
          <w:iCs/>
          <w:lang w:eastAsia="zh-CN"/>
        </w:rPr>
        <w:t>)</w:t>
      </w:r>
      <w:r w:rsidRPr="00B22444">
        <w:rPr>
          <w:rFonts w:eastAsia="SimSun"/>
          <w:i/>
          <w:iCs/>
          <w:lang w:eastAsia="zh-CN"/>
        </w:rPr>
        <w:t xml:space="preserve"> de procédure</w:t>
      </w:r>
      <w:r w:rsidRPr="00B22444">
        <w:rPr>
          <w:rFonts w:eastAsia="SimSun"/>
          <w:lang w:eastAsia="zh-CN"/>
        </w:rPr>
        <w:t> :</w:t>
      </w:r>
      <w:r w:rsidRPr="00B22444">
        <w:rPr>
          <w:rFonts w:eastAsia="SimSun"/>
          <w:lang w:eastAsia="zh-CN"/>
        </w:rPr>
        <w:tab/>
      </w:r>
      <w:r>
        <w:rPr>
          <w:rFonts w:eastAsia="SimSun"/>
          <w:lang w:eastAsia="zh-CN"/>
        </w:rPr>
        <w:t>É</w:t>
      </w:r>
      <w:r w:rsidRPr="009900E7">
        <w:rPr>
          <w:rFonts w:eastAsia="SimSun"/>
          <w:lang w:eastAsia="zh-CN"/>
        </w:rPr>
        <w:t>puisement des recours internes</w:t>
      </w:r>
    </w:p>
    <w:p w14:paraId="3F226880" w14:textId="77777777" w:rsidR="00C35C59" w:rsidRPr="009900E7" w:rsidRDefault="00C35C59" w:rsidP="00E80A5E">
      <w:pPr>
        <w:pStyle w:val="SingleTxtG"/>
        <w:tabs>
          <w:tab w:val="clear" w:pos="1701"/>
          <w:tab w:val="clear" w:pos="2268"/>
          <w:tab w:val="clear" w:pos="2835"/>
          <w:tab w:val="left" w:pos="4536"/>
        </w:tabs>
        <w:ind w:left="4536" w:hanging="2835"/>
        <w:rPr>
          <w:rFonts w:eastAsia="SimSun"/>
          <w:highlight w:val="yellow"/>
          <w:lang w:eastAsia="zh-CN"/>
        </w:rPr>
      </w:pPr>
      <w:r w:rsidRPr="00B22444">
        <w:rPr>
          <w:rFonts w:eastAsia="SimSun"/>
          <w:i/>
          <w:iCs/>
          <w:lang w:eastAsia="zh-CN"/>
        </w:rPr>
        <w:t>Question</w:t>
      </w:r>
      <w:r>
        <w:rPr>
          <w:rFonts w:eastAsia="SimSun"/>
          <w:i/>
          <w:iCs/>
          <w:lang w:eastAsia="zh-CN"/>
        </w:rPr>
        <w:t>(</w:t>
      </w:r>
      <w:r w:rsidRPr="00B22444">
        <w:rPr>
          <w:rFonts w:eastAsia="SimSun"/>
          <w:i/>
          <w:iCs/>
          <w:lang w:eastAsia="zh-CN"/>
        </w:rPr>
        <w:t>s</w:t>
      </w:r>
      <w:r>
        <w:rPr>
          <w:rFonts w:eastAsia="SimSun"/>
          <w:i/>
          <w:iCs/>
          <w:lang w:eastAsia="zh-CN"/>
        </w:rPr>
        <w:t>)</w:t>
      </w:r>
      <w:r w:rsidRPr="00B22444">
        <w:rPr>
          <w:rFonts w:eastAsia="SimSun"/>
          <w:i/>
          <w:iCs/>
          <w:lang w:eastAsia="zh-CN"/>
        </w:rPr>
        <w:t xml:space="preserve"> de fond</w:t>
      </w:r>
      <w:r w:rsidRPr="00B22444">
        <w:rPr>
          <w:rFonts w:eastAsia="SimSun"/>
          <w:lang w:eastAsia="zh-CN"/>
        </w:rPr>
        <w:t> :</w:t>
      </w:r>
      <w:r w:rsidRPr="00B22444">
        <w:rPr>
          <w:rFonts w:eastAsia="SimSun"/>
          <w:lang w:eastAsia="zh-CN"/>
        </w:rPr>
        <w:tab/>
      </w:r>
      <w:r w:rsidRPr="009900E7">
        <w:rPr>
          <w:rFonts w:eastAsia="SimSun"/>
          <w:lang w:eastAsia="zh-CN"/>
        </w:rPr>
        <w:t xml:space="preserve">Torture ; </w:t>
      </w:r>
      <w:r w:rsidRPr="00ED6352">
        <w:rPr>
          <w:rFonts w:eastAsia="SimSun"/>
          <w:lang w:eastAsia="zh-CN"/>
        </w:rPr>
        <w:t>peines ou traitements cruels, inhumains ou dégradants</w:t>
      </w:r>
      <w:r>
        <w:rPr>
          <w:rFonts w:eastAsia="SimSun"/>
          <w:lang w:eastAsia="zh-CN"/>
        </w:rPr>
        <w:t xml:space="preserve"> ; </w:t>
      </w:r>
      <w:r w:rsidRPr="00555FCC">
        <w:rPr>
          <w:rFonts w:eastAsia="SimSun"/>
          <w:lang w:eastAsia="zh-CN"/>
        </w:rPr>
        <w:t>prévention de la torture</w:t>
      </w:r>
      <w:r>
        <w:rPr>
          <w:rFonts w:eastAsia="SimSun"/>
          <w:lang w:eastAsia="zh-CN"/>
        </w:rPr>
        <w:t xml:space="preserve"> ; </w:t>
      </w:r>
      <w:r w:rsidRPr="00555FCC">
        <w:rPr>
          <w:rFonts w:eastAsia="SimSun"/>
          <w:lang w:eastAsia="zh-CN"/>
        </w:rPr>
        <w:t>investigation rapide et impartiale</w:t>
      </w:r>
      <w:r>
        <w:rPr>
          <w:rFonts w:eastAsia="SimSun"/>
          <w:lang w:eastAsia="zh-CN"/>
        </w:rPr>
        <w:t xml:space="preserve"> ; </w:t>
      </w:r>
      <w:r w:rsidRPr="00555FCC">
        <w:rPr>
          <w:rFonts w:eastAsia="SimSun"/>
          <w:lang w:eastAsia="zh-CN"/>
        </w:rPr>
        <w:t>traitement des prisonniers</w:t>
      </w:r>
      <w:r>
        <w:rPr>
          <w:rFonts w:eastAsia="SimSun"/>
          <w:lang w:eastAsia="zh-CN"/>
        </w:rPr>
        <w:t xml:space="preserve"> ; </w:t>
      </w:r>
      <w:r w:rsidRPr="00555FCC">
        <w:rPr>
          <w:rFonts w:eastAsia="SimSun"/>
          <w:lang w:eastAsia="zh-CN"/>
        </w:rPr>
        <w:t>réparation</w:t>
      </w:r>
    </w:p>
    <w:p w14:paraId="260FC181" w14:textId="258F08E2" w:rsidR="00C35C59" w:rsidRDefault="00C35C59" w:rsidP="00E80A5E">
      <w:pPr>
        <w:pStyle w:val="SingleTxtG"/>
        <w:tabs>
          <w:tab w:val="clear" w:pos="1701"/>
          <w:tab w:val="clear" w:pos="2268"/>
          <w:tab w:val="clear" w:pos="2835"/>
          <w:tab w:val="left" w:pos="4536"/>
        </w:tabs>
        <w:ind w:left="4536" w:hanging="2835"/>
        <w:rPr>
          <w:rFonts w:eastAsia="MS Mincho"/>
          <w:lang w:val="fr-FR" w:eastAsia="zh-CN"/>
        </w:rPr>
      </w:pPr>
      <w:r w:rsidRPr="006C27E9">
        <w:rPr>
          <w:rFonts w:eastAsia="SimSun"/>
          <w:i/>
          <w:iCs/>
          <w:lang w:eastAsia="zh-CN"/>
        </w:rPr>
        <w:t>Article</w:t>
      </w:r>
      <w:r>
        <w:rPr>
          <w:rFonts w:eastAsia="SimSun"/>
          <w:i/>
          <w:iCs/>
          <w:lang w:eastAsia="zh-CN"/>
        </w:rPr>
        <w:t>(</w:t>
      </w:r>
      <w:r w:rsidRPr="006C27E9">
        <w:rPr>
          <w:rFonts w:eastAsia="SimSun"/>
          <w:i/>
          <w:iCs/>
          <w:lang w:eastAsia="zh-CN"/>
        </w:rPr>
        <w:t>s</w:t>
      </w:r>
      <w:r>
        <w:rPr>
          <w:rFonts w:eastAsia="SimSun"/>
          <w:i/>
          <w:iCs/>
          <w:lang w:eastAsia="zh-CN"/>
        </w:rPr>
        <w:t>)</w:t>
      </w:r>
      <w:r w:rsidRPr="006C27E9">
        <w:rPr>
          <w:rFonts w:eastAsia="SimSun"/>
          <w:i/>
          <w:iCs/>
          <w:lang w:eastAsia="zh-CN"/>
        </w:rPr>
        <w:t xml:space="preserve"> de la Convention</w:t>
      </w:r>
      <w:r w:rsidRPr="006C27E9">
        <w:rPr>
          <w:rFonts w:eastAsia="SimSun"/>
          <w:lang w:eastAsia="zh-CN"/>
        </w:rPr>
        <w:t> :</w:t>
      </w:r>
      <w:r w:rsidRPr="006C27E9">
        <w:rPr>
          <w:rFonts w:eastAsia="SimSun"/>
          <w:lang w:eastAsia="zh-CN"/>
        </w:rPr>
        <w:tab/>
      </w:r>
      <w:r w:rsidRPr="006C27E9">
        <w:rPr>
          <w:rFonts w:eastAsia="SimSun"/>
          <w:lang w:eastAsia="zh-CN"/>
        </w:rPr>
        <w:tab/>
      </w:r>
      <w:r>
        <w:rPr>
          <w:rFonts w:eastAsia="MS Mincho"/>
          <w:lang w:val="fr-FR" w:eastAsia="zh-CN"/>
        </w:rPr>
        <w:t>2</w:t>
      </w:r>
      <w:r w:rsidRPr="006C27E9">
        <w:rPr>
          <w:rFonts w:eastAsia="MS Mincho"/>
          <w:lang w:val="fr-FR" w:eastAsia="zh-CN"/>
        </w:rPr>
        <w:t xml:space="preserve"> </w:t>
      </w:r>
      <w:r>
        <w:rPr>
          <w:rFonts w:eastAsia="MS Mincho"/>
          <w:lang w:val="fr-FR" w:eastAsia="zh-CN"/>
        </w:rPr>
        <w:t>(par</w:t>
      </w:r>
      <w:r w:rsidR="00E80A5E" w:rsidRPr="00E80A5E">
        <w:rPr>
          <w:rFonts w:eastAsia="MS Mincho"/>
          <w:lang w:val="fr-FR" w:eastAsia="zh-CN"/>
        </w:rPr>
        <w:t>.</w:t>
      </w:r>
      <w:r w:rsidR="000F4638">
        <w:rPr>
          <w:rFonts w:eastAsia="MS Mincho"/>
          <w:lang w:val="fr-FR" w:eastAsia="zh-CN"/>
        </w:rPr>
        <w:t> </w:t>
      </w:r>
      <w:r w:rsidRPr="006C27E9">
        <w:rPr>
          <w:rFonts w:eastAsia="MS Mincho"/>
          <w:lang w:val="fr-FR" w:eastAsia="zh-CN"/>
        </w:rPr>
        <w:t>1</w:t>
      </w:r>
      <w:r>
        <w:rPr>
          <w:rFonts w:eastAsia="MS Mincho"/>
          <w:lang w:val="fr-FR" w:eastAsia="zh-CN"/>
        </w:rPr>
        <w:t>)</w:t>
      </w:r>
      <w:r w:rsidRPr="006C27E9">
        <w:rPr>
          <w:rFonts w:eastAsia="MS Mincho"/>
          <w:lang w:val="fr-FR" w:eastAsia="zh-CN"/>
        </w:rPr>
        <w:t xml:space="preserve">, </w:t>
      </w:r>
      <w:r>
        <w:rPr>
          <w:rFonts w:eastAsia="MS Mincho"/>
          <w:lang w:val="fr-FR" w:eastAsia="zh-CN"/>
        </w:rPr>
        <w:t xml:space="preserve">11, </w:t>
      </w:r>
      <w:r w:rsidRPr="006C27E9">
        <w:rPr>
          <w:rFonts w:eastAsia="MS Mincho"/>
          <w:lang w:val="fr-FR" w:eastAsia="zh-CN"/>
        </w:rPr>
        <w:t>12, 13 et 14, lus conjointement avec les articles</w:t>
      </w:r>
      <w:r w:rsidR="000F4638">
        <w:rPr>
          <w:rFonts w:eastAsia="MS Mincho"/>
          <w:lang w:val="fr-FR" w:eastAsia="zh-CN"/>
        </w:rPr>
        <w:t> </w:t>
      </w:r>
      <w:r w:rsidRPr="001E7D8C">
        <w:rPr>
          <w:rFonts w:eastAsia="MS Mincho"/>
          <w:lang w:val="fr-FR" w:eastAsia="zh-CN"/>
        </w:rPr>
        <w:t>1</w:t>
      </w:r>
      <w:r w:rsidRPr="005F1273">
        <w:rPr>
          <w:rFonts w:eastAsia="MS Mincho"/>
          <w:vertAlign w:val="superscript"/>
          <w:lang w:val="fr-FR" w:eastAsia="zh-CN"/>
        </w:rPr>
        <w:t>er</w:t>
      </w:r>
      <w:r w:rsidRPr="006C27E9">
        <w:rPr>
          <w:rFonts w:eastAsia="MS Mincho"/>
          <w:lang w:val="fr-FR" w:eastAsia="zh-CN"/>
        </w:rPr>
        <w:t xml:space="preserve"> et 16</w:t>
      </w:r>
      <w:r>
        <w:rPr>
          <w:rFonts w:eastAsia="MS Mincho"/>
          <w:lang w:val="fr-FR" w:eastAsia="zh-CN"/>
        </w:rPr>
        <w:t>, et 16</w:t>
      </w:r>
    </w:p>
    <w:p w14:paraId="457F44E2" w14:textId="5C3A0B97" w:rsidR="00C35C59" w:rsidRDefault="00C35C59" w:rsidP="00C35C59">
      <w:pPr>
        <w:pStyle w:val="SingleTxtG"/>
        <w:spacing w:before="240"/>
        <w:rPr>
          <w:rFonts w:eastAsia="MS Mincho"/>
        </w:rPr>
      </w:pPr>
      <w:r>
        <w:rPr>
          <w:rFonts w:eastAsia="MS Mincho"/>
        </w:rPr>
        <w:t>1</w:t>
      </w:r>
      <w:r w:rsidR="00E80A5E" w:rsidRPr="00E80A5E">
        <w:rPr>
          <w:rFonts w:eastAsia="MS Mincho"/>
        </w:rPr>
        <w:t>.</w:t>
      </w:r>
      <w:r>
        <w:rPr>
          <w:rFonts w:eastAsia="MS Mincho"/>
        </w:rPr>
        <w:t>1</w:t>
      </w:r>
      <w:r w:rsidRPr="0024485F">
        <w:rPr>
          <w:rFonts w:eastAsia="MS Mincho"/>
        </w:rPr>
        <w:tab/>
        <w:t>L</w:t>
      </w:r>
      <w:r>
        <w:rPr>
          <w:rFonts w:eastAsia="MS Mincho"/>
        </w:rPr>
        <w:t>e</w:t>
      </w:r>
      <w:r w:rsidRPr="0024485F">
        <w:rPr>
          <w:rFonts w:eastAsia="MS Mincho"/>
        </w:rPr>
        <w:t xml:space="preserve"> requérant est </w:t>
      </w:r>
      <w:r>
        <w:rPr>
          <w:rFonts w:eastAsia="MS Mincho"/>
        </w:rPr>
        <w:t>N</w:t>
      </w:r>
      <w:r w:rsidR="00E80A5E" w:rsidRPr="00E80A5E">
        <w:rPr>
          <w:rFonts w:eastAsia="MS Mincho"/>
        </w:rPr>
        <w:t>.</w:t>
      </w:r>
      <w:r>
        <w:rPr>
          <w:rFonts w:eastAsia="MS Mincho"/>
        </w:rPr>
        <w:t> N</w:t>
      </w:r>
      <w:r w:rsidR="00E80A5E" w:rsidRPr="00E80A5E">
        <w:rPr>
          <w:rFonts w:eastAsia="MS Mincho"/>
        </w:rPr>
        <w:t>.</w:t>
      </w:r>
      <w:r w:rsidRPr="0024485F">
        <w:rPr>
          <w:rFonts w:eastAsia="MS Mincho"/>
        </w:rPr>
        <w:t xml:space="preserve">, </w:t>
      </w:r>
      <w:r>
        <w:rPr>
          <w:rFonts w:eastAsia="MS Mincho"/>
        </w:rPr>
        <w:t>de nationalité burundaise, né en 1970</w:t>
      </w:r>
      <w:r w:rsidR="00E80A5E" w:rsidRPr="00E80A5E">
        <w:rPr>
          <w:rFonts w:eastAsia="MS Mincho"/>
        </w:rPr>
        <w:t>.</w:t>
      </w:r>
      <w:r w:rsidRPr="0024485F">
        <w:rPr>
          <w:rFonts w:eastAsia="MS Mincho"/>
        </w:rPr>
        <w:t xml:space="preserve"> </w:t>
      </w:r>
      <w:r>
        <w:rPr>
          <w:rFonts w:eastAsia="MS Mincho"/>
        </w:rPr>
        <w:t>Il affirme</w:t>
      </w:r>
      <w:r w:rsidRPr="0024485F">
        <w:rPr>
          <w:rFonts w:eastAsia="MS Mincho"/>
        </w:rPr>
        <w:t xml:space="preserve"> être victime de violations par </w:t>
      </w:r>
      <w:r>
        <w:rPr>
          <w:rFonts w:eastAsia="MS Mincho"/>
        </w:rPr>
        <w:t>l’État partie</w:t>
      </w:r>
      <w:r w:rsidRPr="0024485F">
        <w:rPr>
          <w:rFonts w:eastAsia="MS Mincho"/>
        </w:rPr>
        <w:t xml:space="preserve"> de ses droits protégés au titre des articles</w:t>
      </w:r>
      <w:r w:rsidR="000F4638">
        <w:rPr>
          <w:rFonts w:eastAsia="MS Mincho"/>
        </w:rPr>
        <w:t> </w:t>
      </w:r>
      <w:r w:rsidRPr="0024485F">
        <w:rPr>
          <w:rFonts w:eastAsia="MS Mincho"/>
        </w:rPr>
        <w:t>2 (</w:t>
      </w:r>
      <w:r>
        <w:rPr>
          <w:rFonts w:eastAsia="MS Mincho"/>
        </w:rPr>
        <w:t>par</w:t>
      </w:r>
      <w:r w:rsidR="00E80A5E" w:rsidRPr="00E80A5E">
        <w:rPr>
          <w:rFonts w:eastAsia="MS Mincho"/>
        </w:rPr>
        <w:t>.</w:t>
      </w:r>
      <w:r w:rsidR="000F4638">
        <w:rPr>
          <w:rFonts w:eastAsia="MS Mincho"/>
        </w:rPr>
        <w:t> </w:t>
      </w:r>
      <w:r w:rsidRPr="0024485F">
        <w:rPr>
          <w:rFonts w:eastAsia="MS Mincho"/>
        </w:rPr>
        <w:t>1)</w:t>
      </w:r>
      <w:r>
        <w:rPr>
          <w:rFonts w:eastAsia="MS Mincho"/>
        </w:rPr>
        <w:t>, 11, 12, 13 et</w:t>
      </w:r>
      <w:r w:rsidRPr="0024485F">
        <w:rPr>
          <w:rFonts w:eastAsia="MS Mincho"/>
        </w:rPr>
        <w:t xml:space="preserve"> 14</w:t>
      </w:r>
      <w:r>
        <w:rPr>
          <w:rFonts w:eastAsia="MS Mincho"/>
        </w:rPr>
        <w:t xml:space="preserve"> de la Convention</w:t>
      </w:r>
      <w:r w:rsidRPr="0024485F">
        <w:rPr>
          <w:rFonts w:eastAsia="MS Mincho"/>
        </w:rPr>
        <w:t xml:space="preserve">, lus </w:t>
      </w:r>
      <w:r>
        <w:rPr>
          <w:rFonts w:eastAsia="MS Mincho"/>
        </w:rPr>
        <w:t xml:space="preserve">conjointement </w:t>
      </w:r>
      <w:r w:rsidRPr="0024485F">
        <w:rPr>
          <w:rFonts w:eastAsia="MS Mincho"/>
        </w:rPr>
        <w:t>avec l</w:t>
      </w:r>
      <w:r>
        <w:rPr>
          <w:rFonts w:eastAsia="MS Mincho"/>
        </w:rPr>
        <w:t>’</w:t>
      </w:r>
      <w:r w:rsidRPr="0024485F">
        <w:rPr>
          <w:rFonts w:eastAsia="MS Mincho"/>
        </w:rPr>
        <w:t>article 1</w:t>
      </w:r>
      <w:r w:rsidRPr="008C116C">
        <w:rPr>
          <w:rFonts w:eastAsia="MS Mincho"/>
          <w:vertAlign w:val="superscript"/>
        </w:rPr>
        <w:t>er</w:t>
      </w:r>
      <w:r w:rsidRPr="0024485F">
        <w:rPr>
          <w:rFonts w:eastAsia="MS Mincho"/>
        </w:rPr>
        <w:t xml:space="preserve"> et, subsidiairement, avec l</w:t>
      </w:r>
      <w:r>
        <w:rPr>
          <w:rFonts w:eastAsia="MS Mincho"/>
        </w:rPr>
        <w:t>’</w:t>
      </w:r>
      <w:r w:rsidRPr="0024485F">
        <w:rPr>
          <w:rFonts w:eastAsia="MS Mincho"/>
        </w:rPr>
        <w:t>article</w:t>
      </w:r>
      <w:r w:rsidR="00015B48">
        <w:rPr>
          <w:rFonts w:eastAsia="MS Mincho"/>
        </w:rPr>
        <w:t> </w:t>
      </w:r>
      <w:r w:rsidRPr="0024485F">
        <w:rPr>
          <w:rFonts w:eastAsia="MS Mincho"/>
        </w:rPr>
        <w:t>16</w:t>
      </w:r>
      <w:r>
        <w:rPr>
          <w:rFonts w:eastAsia="MS Mincho"/>
        </w:rPr>
        <w:t>, ainsi que de l’article 16 de la Convention lu seul</w:t>
      </w:r>
      <w:r w:rsidR="00E80A5E" w:rsidRPr="00E80A5E">
        <w:rPr>
          <w:rFonts w:eastAsia="MS Mincho"/>
        </w:rPr>
        <w:t>.</w:t>
      </w:r>
      <w:r w:rsidRPr="0024485F">
        <w:rPr>
          <w:rFonts w:eastAsia="MS Mincho"/>
        </w:rPr>
        <w:t xml:space="preserve"> </w:t>
      </w:r>
      <w:r>
        <w:rPr>
          <w:rFonts w:eastAsia="MS Mincho"/>
        </w:rPr>
        <w:t>L’État partie</w:t>
      </w:r>
      <w:r w:rsidRPr="00CF29F5">
        <w:rPr>
          <w:rFonts w:eastAsia="MS Mincho"/>
        </w:rPr>
        <w:t xml:space="preserve"> a fait la déclaration prévue </w:t>
      </w:r>
      <w:r>
        <w:rPr>
          <w:rFonts w:eastAsia="MS Mincho"/>
        </w:rPr>
        <w:t>à</w:t>
      </w:r>
      <w:r w:rsidRPr="00CF29F5">
        <w:rPr>
          <w:rFonts w:eastAsia="MS Mincho"/>
        </w:rPr>
        <w:t xml:space="preserve"> l</w:t>
      </w:r>
      <w:r>
        <w:rPr>
          <w:rFonts w:eastAsia="MS Mincho"/>
        </w:rPr>
        <w:t>’</w:t>
      </w:r>
      <w:r w:rsidRPr="00CF29F5">
        <w:rPr>
          <w:rFonts w:eastAsia="MS Mincho"/>
        </w:rPr>
        <w:t>a</w:t>
      </w:r>
      <w:r>
        <w:rPr>
          <w:rFonts w:eastAsia="MS Mincho"/>
        </w:rPr>
        <w:t>rticle</w:t>
      </w:r>
      <w:r w:rsidR="000F4638">
        <w:rPr>
          <w:rFonts w:eastAsia="MS Mincho"/>
        </w:rPr>
        <w:t> </w:t>
      </w:r>
      <w:r>
        <w:rPr>
          <w:rFonts w:eastAsia="MS Mincho"/>
        </w:rPr>
        <w:t>22 (par</w:t>
      </w:r>
      <w:r w:rsidR="00E80A5E" w:rsidRPr="00E80A5E">
        <w:rPr>
          <w:rFonts w:eastAsia="MS Mincho"/>
        </w:rPr>
        <w:t>.</w:t>
      </w:r>
      <w:r w:rsidR="000F4638">
        <w:rPr>
          <w:rFonts w:eastAsia="MS Mincho"/>
        </w:rPr>
        <w:t> </w:t>
      </w:r>
      <w:r>
        <w:rPr>
          <w:rFonts w:eastAsia="MS Mincho"/>
        </w:rPr>
        <w:t>1) de la Convention le 10</w:t>
      </w:r>
      <w:r w:rsidR="000F4638">
        <w:rPr>
          <w:rFonts w:eastAsia="MS Mincho"/>
        </w:rPr>
        <w:t> </w:t>
      </w:r>
      <w:r>
        <w:rPr>
          <w:rFonts w:eastAsia="MS Mincho"/>
        </w:rPr>
        <w:t>juin</w:t>
      </w:r>
      <w:r w:rsidRPr="00CF29F5">
        <w:rPr>
          <w:rFonts w:eastAsia="MS Mincho"/>
        </w:rPr>
        <w:t xml:space="preserve"> 200</w:t>
      </w:r>
      <w:r>
        <w:rPr>
          <w:rFonts w:eastAsia="MS Mincho"/>
        </w:rPr>
        <w:t>3</w:t>
      </w:r>
      <w:r w:rsidR="00E80A5E" w:rsidRPr="00E80A5E">
        <w:rPr>
          <w:rFonts w:eastAsia="MS Mincho"/>
        </w:rPr>
        <w:t>.</w:t>
      </w:r>
      <w:r>
        <w:rPr>
          <w:rFonts w:eastAsia="MS Mincho"/>
        </w:rPr>
        <w:t xml:space="preserve"> Le requérant </w:t>
      </w:r>
      <w:r w:rsidRPr="0024485F">
        <w:rPr>
          <w:rFonts w:eastAsia="MS Mincho"/>
        </w:rPr>
        <w:t>est</w:t>
      </w:r>
      <w:r w:rsidRPr="00173A33">
        <w:rPr>
          <w:rFonts w:eastAsia="MS Mincho"/>
        </w:rPr>
        <w:t xml:space="preserve"> représenté par un conseil de l</w:t>
      </w:r>
      <w:r>
        <w:rPr>
          <w:rFonts w:eastAsia="MS Mincho"/>
        </w:rPr>
        <w:t>’</w:t>
      </w:r>
      <w:r w:rsidRPr="00173A33">
        <w:rPr>
          <w:rFonts w:eastAsia="MS Mincho"/>
        </w:rPr>
        <w:t>organisation TRIAL International</w:t>
      </w:r>
      <w:r w:rsidR="00E80A5E" w:rsidRPr="00E80A5E">
        <w:rPr>
          <w:rFonts w:eastAsia="MS Mincho"/>
        </w:rPr>
        <w:t>.</w:t>
      </w:r>
    </w:p>
    <w:p w14:paraId="3E8275D5" w14:textId="383C60C5" w:rsidR="00C35C59" w:rsidRPr="0024485F" w:rsidRDefault="00C35C59" w:rsidP="00C35C59">
      <w:pPr>
        <w:pStyle w:val="SingleTxtG"/>
        <w:rPr>
          <w:rFonts w:eastAsia="MS Mincho"/>
        </w:rPr>
      </w:pPr>
      <w:r>
        <w:rPr>
          <w:rFonts w:eastAsia="MS Mincho"/>
        </w:rPr>
        <w:lastRenderedPageBreak/>
        <w:t>1</w:t>
      </w:r>
      <w:r w:rsidR="00E80A5E" w:rsidRPr="00E80A5E">
        <w:rPr>
          <w:rFonts w:eastAsia="MS Mincho"/>
        </w:rPr>
        <w:t>.</w:t>
      </w:r>
      <w:r>
        <w:rPr>
          <w:rFonts w:eastAsia="MS Mincho"/>
        </w:rPr>
        <w:t>2</w:t>
      </w:r>
      <w:r>
        <w:rPr>
          <w:rFonts w:eastAsia="MS Mincho"/>
        </w:rPr>
        <w:tab/>
      </w:r>
      <w:r w:rsidRPr="001250D0">
        <w:rPr>
          <w:rFonts w:eastAsia="MS Mincho"/>
        </w:rPr>
        <w:t xml:space="preserve">Le </w:t>
      </w:r>
      <w:r>
        <w:rPr>
          <w:rFonts w:eastAsia="MS Mincho"/>
        </w:rPr>
        <w:t>10 janvier</w:t>
      </w:r>
      <w:r w:rsidRPr="001250D0">
        <w:rPr>
          <w:rFonts w:eastAsia="MS Mincho"/>
        </w:rPr>
        <w:t xml:space="preserve"> 201</w:t>
      </w:r>
      <w:r>
        <w:rPr>
          <w:rFonts w:eastAsia="MS Mincho"/>
        </w:rPr>
        <w:t>7</w:t>
      </w:r>
      <w:r w:rsidRPr="001250D0">
        <w:rPr>
          <w:rFonts w:eastAsia="MS Mincho"/>
        </w:rPr>
        <w:t xml:space="preserve">, </w:t>
      </w:r>
      <w:r w:rsidRPr="00AA061A">
        <w:rPr>
          <w:rFonts w:eastAsia="MS Mincho"/>
        </w:rPr>
        <w:t>en application de l</w:t>
      </w:r>
      <w:r>
        <w:rPr>
          <w:rFonts w:eastAsia="MS Mincho"/>
        </w:rPr>
        <w:t>’</w:t>
      </w:r>
      <w:r w:rsidRPr="00AA061A">
        <w:rPr>
          <w:rFonts w:eastAsia="MS Mincho"/>
        </w:rPr>
        <w:t>article</w:t>
      </w:r>
      <w:r w:rsidR="000F4638">
        <w:rPr>
          <w:rFonts w:eastAsia="MS Mincho"/>
        </w:rPr>
        <w:t> </w:t>
      </w:r>
      <w:r w:rsidRPr="00AA061A">
        <w:rPr>
          <w:rFonts w:eastAsia="MS Mincho"/>
        </w:rPr>
        <w:t>114</w:t>
      </w:r>
      <w:r>
        <w:rPr>
          <w:rFonts w:eastAsia="MS Mincho"/>
        </w:rPr>
        <w:t xml:space="preserve"> (par</w:t>
      </w:r>
      <w:r w:rsidR="00E80A5E" w:rsidRPr="00E80A5E">
        <w:rPr>
          <w:rFonts w:eastAsia="MS Mincho"/>
        </w:rPr>
        <w:t>.</w:t>
      </w:r>
      <w:r>
        <w:rPr>
          <w:rFonts w:eastAsia="MS Mincho"/>
        </w:rPr>
        <w:t> 1)</w:t>
      </w:r>
      <w:r w:rsidRPr="00AA061A">
        <w:rPr>
          <w:rFonts w:eastAsia="MS Mincho"/>
        </w:rPr>
        <w:t xml:space="preserve"> de son règlement intérieur, le Comité a demandé </w:t>
      </w:r>
      <w:r>
        <w:rPr>
          <w:rFonts w:eastAsia="MS Mincho"/>
        </w:rPr>
        <w:t xml:space="preserve">à </w:t>
      </w:r>
      <w:r w:rsidRPr="00AA061A">
        <w:rPr>
          <w:rFonts w:eastAsia="MS Mincho"/>
        </w:rPr>
        <w:t>l</w:t>
      </w:r>
      <w:r>
        <w:rPr>
          <w:rFonts w:eastAsia="MS Mincho"/>
        </w:rPr>
        <w:t>’</w:t>
      </w:r>
      <w:r w:rsidRPr="00AA061A">
        <w:rPr>
          <w:rFonts w:eastAsia="MS Mincho"/>
        </w:rPr>
        <w:t>État partie de prévenir efficacement, tant que l</w:t>
      </w:r>
      <w:r>
        <w:rPr>
          <w:rFonts w:eastAsia="MS Mincho"/>
        </w:rPr>
        <w:t>’</w:t>
      </w:r>
      <w:r w:rsidRPr="00AA061A">
        <w:rPr>
          <w:rFonts w:eastAsia="MS Mincho"/>
        </w:rPr>
        <w:t>affaire serait à l</w:t>
      </w:r>
      <w:r>
        <w:rPr>
          <w:rFonts w:eastAsia="MS Mincho"/>
        </w:rPr>
        <w:t>’</w:t>
      </w:r>
      <w:r w:rsidRPr="00AA061A">
        <w:rPr>
          <w:rFonts w:eastAsia="MS Mincho"/>
        </w:rPr>
        <w:t xml:space="preserve">examen, toute menace ou </w:t>
      </w:r>
      <w:r>
        <w:rPr>
          <w:rFonts w:eastAsia="MS Mincho"/>
        </w:rPr>
        <w:t xml:space="preserve">tout </w:t>
      </w:r>
      <w:r w:rsidRPr="00AA061A">
        <w:rPr>
          <w:rFonts w:eastAsia="MS Mincho"/>
        </w:rPr>
        <w:t>acte de violence au</w:t>
      </w:r>
      <w:r>
        <w:rPr>
          <w:rFonts w:eastAsia="MS Mincho"/>
        </w:rPr>
        <w:t>x</w:t>
      </w:r>
      <w:r w:rsidRPr="00AA061A">
        <w:rPr>
          <w:rFonts w:eastAsia="MS Mincho"/>
        </w:rPr>
        <w:t>quel</w:t>
      </w:r>
      <w:r>
        <w:rPr>
          <w:rFonts w:eastAsia="MS Mincho"/>
        </w:rPr>
        <w:t>s</w:t>
      </w:r>
      <w:r w:rsidRPr="00AA061A">
        <w:rPr>
          <w:rFonts w:eastAsia="MS Mincho"/>
        </w:rPr>
        <w:t xml:space="preserve"> l</w:t>
      </w:r>
      <w:r>
        <w:rPr>
          <w:rFonts w:eastAsia="MS Mincho"/>
        </w:rPr>
        <w:t>e</w:t>
      </w:r>
      <w:r w:rsidRPr="00AA061A">
        <w:rPr>
          <w:rFonts w:eastAsia="MS Mincho"/>
        </w:rPr>
        <w:t xml:space="preserve"> requérant et sa famille pourraient être exposés, en particulier du fait de la présentation de la présente requête, et de tenir le Comité informé des mesures adoptées à cet effet</w:t>
      </w:r>
      <w:r w:rsidR="00E80A5E" w:rsidRPr="00E80A5E">
        <w:rPr>
          <w:rFonts w:eastAsia="MS Mincho"/>
        </w:rPr>
        <w:t>.</w:t>
      </w:r>
    </w:p>
    <w:p w14:paraId="2DEF3D27" w14:textId="77777777" w:rsidR="00C35C59" w:rsidRPr="005727A9" w:rsidRDefault="00C35C59" w:rsidP="00C35C59">
      <w:pPr>
        <w:pStyle w:val="H23G"/>
        <w:rPr>
          <w:rFonts w:eastAsia="MS Mincho"/>
        </w:rPr>
      </w:pPr>
      <w:r>
        <w:rPr>
          <w:rFonts w:eastAsia="MS Mincho"/>
          <w:lang w:val="fr-FR" w:eastAsia="zh-CN"/>
        </w:rPr>
        <w:tab/>
      </w:r>
      <w:r>
        <w:rPr>
          <w:rFonts w:eastAsia="MS Mincho"/>
          <w:lang w:val="fr-FR" w:eastAsia="zh-CN"/>
        </w:rPr>
        <w:tab/>
      </w:r>
      <w:r w:rsidRPr="005727A9">
        <w:rPr>
          <w:rFonts w:eastAsia="MS Mincho"/>
        </w:rPr>
        <w:t>Rappel des faits présentés par l</w:t>
      </w:r>
      <w:r>
        <w:rPr>
          <w:rFonts w:eastAsia="MS Mincho"/>
        </w:rPr>
        <w:t>e</w:t>
      </w:r>
      <w:r w:rsidRPr="005727A9">
        <w:rPr>
          <w:rFonts w:eastAsia="MS Mincho"/>
        </w:rPr>
        <w:t xml:space="preserve"> requérant</w:t>
      </w:r>
    </w:p>
    <w:p w14:paraId="4E09D3AA" w14:textId="484496AB" w:rsidR="00C35C59" w:rsidRDefault="00C35C59" w:rsidP="00C35C59">
      <w:pPr>
        <w:pStyle w:val="SingleTxtG"/>
        <w:rPr>
          <w:rFonts w:eastAsia="MS Mincho"/>
        </w:rPr>
      </w:pPr>
      <w:r w:rsidRPr="00C84F9F">
        <w:rPr>
          <w:rFonts w:eastAsia="MS Mincho"/>
        </w:rPr>
        <w:t>2</w:t>
      </w:r>
      <w:r w:rsidR="00E80A5E" w:rsidRPr="00E80A5E">
        <w:rPr>
          <w:rFonts w:eastAsia="MS Mincho"/>
        </w:rPr>
        <w:t>.</w:t>
      </w:r>
      <w:r w:rsidRPr="00C84F9F">
        <w:rPr>
          <w:rFonts w:eastAsia="MS Mincho"/>
        </w:rPr>
        <w:t>1</w:t>
      </w:r>
      <w:r w:rsidRPr="00C84F9F">
        <w:rPr>
          <w:rFonts w:eastAsia="MS Mincho"/>
        </w:rPr>
        <w:tab/>
      </w:r>
      <w:r w:rsidRPr="00C558C4">
        <w:rPr>
          <w:rFonts w:eastAsia="MS Mincho"/>
        </w:rPr>
        <w:t xml:space="preserve">Le 8 mars 2014, </w:t>
      </w:r>
      <w:r>
        <w:rPr>
          <w:rFonts w:eastAsia="MS Mincho"/>
        </w:rPr>
        <w:t>le requérant</w:t>
      </w:r>
      <w:r w:rsidRPr="00C558C4">
        <w:rPr>
          <w:rFonts w:eastAsia="MS Mincho"/>
        </w:rPr>
        <w:t xml:space="preserve"> a été arrêté </w:t>
      </w:r>
      <w:r>
        <w:rPr>
          <w:rFonts w:eastAsia="MS Mincho"/>
        </w:rPr>
        <w:t>a</w:t>
      </w:r>
      <w:r w:rsidRPr="00C558C4">
        <w:rPr>
          <w:rFonts w:eastAsia="MS Mincho"/>
        </w:rPr>
        <w:t>lors</w:t>
      </w:r>
      <w:r>
        <w:rPr>
          <w:rFonts w:eastAsia="MS Mincho"/>
        </w:rPr>
        <w:t xml:space="preserve"> </w:t>
      </w:r>
      <w:r w:rsidRPr="00C558C4">
        <w:rPr>
          <w:rFonts w:eastAsia="MS Mincho"/>
        </w:rPr>
        <w:t>qu</w:t>
      </w:r>
      <w:r>
        <w:rPr>
          <w:rFonts w:eastAsia="MS Mincho"/>
        </w:rPr>
        <w:t>’il</w:t>
      </w:r>
      <w:r w:rsidRPr="00C558C4">
        <w:rPr>
          <w:rFonts w:eastAsia="MS Mincho"/>
        </w:rPr>
        <w:t xml:space="preserve"> tentait d</w:t>
      </w:r>
      <w:r>
        <w:rPr>
          <w:rFonts w:eastAsia="MS Mincho"/>
        </w:rPr>
        <w:t>’</w:t>
      </w:r>
      <w:r w:rsidRPr="00C558C4">
        <w:rPr>
          <w:rFonts w:eastAsia="MS Mincho"/>
        </w:rPr>
        <w:t xml:space="preserve">échapper </w:t>
      </w:r>
      <w:r>
        <w:rPr>
          <w:rFonts w:eastAsia="MS Mincho"/>
        </w:rPr>
        <w:t xml:space="preserve">à un </w:t>
      </w:r>
      <w:r w:rsidRPr="00C558C4">
        <w:rPr>
          <w:rFonts w:eastAsia="MS Mincho"/>
        </w:rPr>
        <w:t xml:space="preserve">assaut de policiers à la </w:t>
      </w:r>
      <w:r>
        <w:rPr>
          <w:rFonts w:eastAsia="MS Mincho"/>
        </w:rPr>
        <w:t>p</w:t>
      </w:r>
      <w:r w:rsidRPr="00C558C4">
        <w:rPr>
          <w:rFonts w:eastAsia="MS Mincho"/>
        </w:rPr>
        <w:t xml:space="preserve">ermanence de son parti, le Mouvement pour la </w:t>
      </w:r>
      <w:r>
        <w:rPr>
          <w:rFonts w:eastAsia="MS Mincho"/>
        </w:rPr>
        <w:t>solidarité et la démocratie</w:t>
      </w:r>
      <w:r w:rsidRPr="00E73881">
        <w:rPr>
          <w:rStyle w:val="Appelnotedebasdep"/>
        </w:rPr>
        <w:footnoteReference w:id="4"/>
      </w:r>
      <w:r w:rsidR="00E80A5E" w:rsidRPr="00E80A5E">
        <w:rPr>
          <w:rFonts w:eastAsia="MS Mincho"/>
        </w:rPr>
        <w:t>.</w:t>
      </w:r>
      <w:r w:rsidRPr="00C558C4">
        <w:rPr>
          <w:rFonts w:eastAsia="MS Mincho"/>
        </w:rPr>
        <w:t xml:space="preserve"> </w:t>
      </w:r>
      <w:r>
        <w:rPr>
          <w:rFonts w:eastAsia="MS Mincho"/>
        </w:rPr>
        <w:t xml:space="preserve">Il </w:t>
      </w:r>
      <w:r w:rsidRPr="00C558C4">
        <w:rPr>
          <w:rFonts w:eastAsia="MS Mincho"/>
        </w:rPr>
        <w:t>s</w:t>
      </w:r>
      <w:r>
        <w:rPr>
          <w:rFonts w:eastAsia="MS Mincho"/>
        </w:rPr>
        <w:t>’</w:t>
      </w:r>
      <w:r w:rsidRPr="00C558C4">
        <w:rPr>
          <w:rFonts w:eastAsia="MS Mincho"/>
        </w:rPr>
        <w:t>y trouvait pour participer à une réunion avec d</w:t>
      </w:r>
      <w:r>
        <w:rPr>
          <w:rFonts w:eastAsia="MS Mincho"/>
        </w:rPr>
        <w:t>’</w:t>
      </w:r>
      <w:r w:rsidRPr="00C558C4">
        <w:rPr>
          <w:rFonts w:eastAsia="MS Mincho"/>
        </w:rPr>
        <w:t>autres membres du parti</w:t>
      </w:r>
      <w:r>
        <w:rPr>
          <w:rFonts w:eastAsia="MS Mincho"/>
        </w:rPr>
        <w:t xml:space="preserve"> à </w:t>
      </w:r>
      <w:r w:rsidRPr="008E4051">
        <w:rPr>
          <w:rFonts w:eastAsia="MS Mincho"/>
        </w:rPr>
        <w:t>Bujumbura</w:t>
      </w:r>
      <w:r w:rsidR="00E80A5E" w:rsidRPr="00E80A5E">
        <w:rPr>
          <w:rFonts w:eastAsia="MS Mincho"/>
        </w:rPr>
        <w:t>.</w:t>
      </w:r>
      <w:r w:rsidRPr="00DF72D4">
        <w:t xml:space="preserve"> </w:t>
      </w:r>
      <w:r w:rsidRPr="00DF72D4">
        <w:rPr>
          <w:rFonts w:eastAsia="MS Mincho"/>
        </w:rPr>
        <w:t>Ce jour-là, de nombreux policiers lourdement armés se sont présentés au siège du parti</w:t>
      </w:r>
      <w:r w:rsidR="00E80A5E" w:rsidRPr="00E80A5E">
        <w:rPr>
          <w:rFonts w:eastAsia="MS Mincho"/>
        </w:rPr>
        <w:t>.</w:t>
      </w:r>
      <w:r w:rsidRPr="00DF72D4">
        <w:rPr>
          <w:rFonts w:eastAsia="MS Mincho"/>
        </w:rPr>
        <w:t xml:space="preserve"> Deux agents de police ont réussi à s</w:t>
      </w:r>
      <w:r>
        <w:rPr>
          <w:rFonts w:eastAsia="MS Mincho"/>
        </w:rPr>
        <w:t>’</w:t>
      </w:r>
      <w:r w:rsidRPr="00DF72D4">
        <w:rPr>
          <w:rFonts w:eastAsia="MS Mincho"/>
        </w:rPr>
        <w:t xml:space="preserve">infiltrer dans les locaux de la </w:t>
      </w:r>
      <w:r>
        <w:rPr>
          <w:rFonts w:eastAsia="MS Mincho"/>
        </w:rPr>
        <w:t>p</w:t>
      </w:r>
      <w:r w:rsidRPr="00DF72D4">
        <w:rPr>
          <w:rFonts w:eastAsia="MS Mincho"/>
        </w:rPr>
        <w:t>ermanence sans mandat</w:t>
      </w:r>
      <w:r>
        <w:rPr>
          <w:rFonts w:eastAsia="MS Mincho"/>
        </w:rPr>
        <w:t>, mais</w:t>
      </w:r>
      <w:r w:rsidRPr="00DF72D4">
        <w:rPr>
          <w:rFonts w:eastAsia="MS Mincho"/>
        </w:rPr>
        <w:t xml:space="preserve"> ont été désarmés </w:t>
      </w:r>
      <w:r>
        <w:rPr>
          <w:rFonts w:eastAsia="MS Mincho"/>
        </w:rPr>
        <w:t xml:space="preserve">et neutralisés </w:t>
      </w:r>
      <w:r w:rsidRPr="00DF72D4">
        <w:rPr>
          <w:rFonts w:eastAsia="MS Mincho"/>
        </w:rPr>
        <w:t>par les militants</w:t>
      </w:r>
      <w:r w:rsidR="00E80A5E" w:rsidRPr="00E80A5E">
        <w:rPr>
          <w:rFonts w:eastAsia="MS Mincho"/>
        </w:rPr>
        <w:t>.</w:t>
      </w:r>
      <w:r w:rsidRPr="00DF72D4">
        <w:rPr>
          <w:rFonts w:eastAsia="MS Mincho"/>
        </w:rPr>
        <w:t xml:space="preserve"> Ensuite, les </w:t>
      </w:r>
      <w:r>
        <w:rPr>
          <w:rFonts w:eastAsia="MS Mincho"/>
        </w:rPr>
        <w:t xml:space="preserve">autres </w:t>
      </w:r>
      <w:r w:rsidRPr="00DF72D4">
        <w:rPr>
          <w:rFonts w:eastAsia="MS Mincho"/>
        </w:rPr>
        <w:t xml:space="preserve">policiers ont </w:t>
      </w:r>
      <w:r>
        <w:rPr>
          <w:rFonts w:eastAsia="MS Mincho"/>
        </w:rPr>
        <w:t>lancé</w:t>
      </w:r>
      <w:r w:rsidRPr="00DF72D4">
        <w:rPr>
          <w:rFonts w:eastAsia="MS Mincho"/>
        </w:rPr>
        <w:t xml:space="preserve"> des </w:t>
      </w:r>
      <w:r>
        <w:rPr>
          <w:rFonts w:eastAsia="MS Mincho"/>
        </w:rPr>
        <w:t>grenades lacrymogènes</w:t>
      </w:r>
      <w:r w:rsidR="00E80A5E" w:rsidRPr="00E80A5E">
        <w:rPr>
          <w:rFonts w:eastAsia="MS Mincho"/>
        </w:rPr>
        <w:t>.</w:t>
      </w:r>
      <w:r w:rsidRPr="00DF72D4">
        <w:rPr>
          <w:rFonts w:eastAsia="MS Mincho"/>
        </w:rPr>
        <w:t xml:space="preserve"> </w:t>
      </w:r>
      <w:r>
        <w:rPr>
          <w:rFonts w:eastAsia="MS Mincho"/>
        </w:rPr>
        <w:t>Étant asthmatique, le requérant s’est vite enfermé dans un bureau pour éviter le contact avec le gaz</w:t>
      </w:r>
      <w:r w:rsidR="00E80A5E" w:rsidRPr="00E80A5E">
        <w:rPr>
          <w:rFonts w:eastAsia="MS Mincho"/>
        </w:rPr>
        <w:t>.</w:t>
      </w:r>
      <w:r w:rsidRPr="00DF72D4">
        <w:rPr>
          <w:rFonts w:eastAsia="MS Mincho"/>
        </w:rPr>
        <w:t xml:space="preserve"> </w:t>
      </w:r>
      <w:r w:rsidRPr="00374655">
        <w:rPr>
          <w:rFonts w:eastAsia="MS Mincho"/>
        </w:rPr>
        <w:t xml:space="preserve">Plusieurs tentatives de médiation ont été menées par </w:t>
      </w:r>
      <w:r>
        <w:rPr>
          <w:rFonts w:eastAsia="MS Mincho"/>
        </w:rPr>
        <w:t>d</w:t>
      </w:r>
      <w:r w:rsidRPr="00374655">
        <w:rPr>
          <w:rFonts w:eastAsia="MS Mincho"/>
        </w:rPr>
        <w:t>es représentants de la société civile afin d</w:t>
      </w:r>
      <w:r>
        <w:rPr>
          <w:rFonts w:eastAsia="MS Mincho"/>
        </w:rPr>
        <w:t>’</w:t>
      </w:r>
      <w:r w:rsidRPr="00374655">
        <w:rPr>
          <w:rFonts w:eastAsia="MS Mincho"/>
        </w:rPr>
        <w:t>obtenir la libération des deux policiers, mais les négociations entre le</w:t>
      </w:r>
      <w:r>
        <w:rPr>
          <w:rFonts w:eastAsia="MS Mincho"/>
        </w:rPr>
        <w:t>s membres du</w:t>
      </w:r>
      <w:r w:rsidRPr="00374655">
        <w:rPr>
          <w:rFonts w:eastAsia="MS Mincho"/>
        </w:rPr>
        <w:t xml:space="preserve"> parti et la police ont échoué</w:t>
      </w:r>
      <w:r w:rsidR="00E80A5E" w:rsidRPr="00E80A5E">
        <w:rPr>
          <w:rFonts w:eastAsia="MS Mincho"/>
        </w:rPr>
        <w:t>.</w:t>
      </w:r>
      <w:r w:rsidRPr="00374655">
        <w:rPr>
          <w:rFonts w:eastAsia="MS Mincho"/>
        </w:rPr>
        <w:t xml:space="preserve"> Les policiers ont donc lancé l</w:t>
      </w:r>
      <w:r>
        <w:rPr>
          <w:rFonts w:eastAsia="MS Mincho"/>
        </w:rPr>
        <w:t>’</w:t>
      </w:r>
      <w:r w:rsidRPr="00374655">
        <w:rPr>
          <w:rFonts w:eastAsia="MS Mincho"/>
        </w:rPr>
        <w:t>assaut contre la permanence</w:t>
      </w:r>
      <w:r>
        <w:rPr>
          <w:rFonts w:eastAsia="MS Mincho"/>
        </w:rPr>
        <w:t>,</w:t>
      </w:r>
      <w:r w:rsidRPr="00374655">
        <w:rPr>
          <w:rFonts w:eastAsia="MS Mincho"/>
        </w:rPr>
        <w:t xml:space="preserve"> </w:t>
      </w:r>
      <w:r>
        <w:rPr>
          <w:rFonts w:eastAsia="MS Mincho"/>
        </w:rPr>
        <w:t xml:space="preserve">et </w:t>
      </w:r>
      <w:r w:rsidRPr="00DF72D4">
        <w:rPr>
          <w:rFonts w:eastAsia="MS Mincho"/>
        </w:rPr>
        <w:t>les membres du parti ont commencé à courir dans tous l</w:t>
      </w:r>
      <w:r>
        <w:rPr>
          <w:rFonts w:eastAsia="MS Mincho"/>
        </w:rPr>
        <w:t>es sens</w:t>
      </w:r>
      <w:r w:rsidR="00E80A5E" w:rsidRPr="00E80A5E">
        <w:rPr>
          <w:rFonts w:eastAsia="MS Mincho"/>
        </w:rPr>
        <w:t>.</w:t>
      </w:r>
    </w:p>
    <w:p w14:paraId="6A09FA12" w14:textId="6E03C5E3" w:rsidR="00C35C59" w:rsidRDefault="00C35C59" w:rsidP="00C35C59">
      <w:pPr>
        <w:pStyle w:val="SingleTxtG"/>
        <w:rPr>
          <w:rFonts w:eastAsia="MS Mincho"/>
        </w:rPr>
      </w:pPr>
      <w:r>
        <w:rPr>
          <w:rFonts w:eastAsia="MS Mincho"/>
        </w:rPr>
        <w:t>2</w:t>
      </w:r>
      <w:r w:rsidR="00E80A5E" w:rsidRPr="00E80A5E">
        <w:rPr>
          <w:rFonts w:eastAsia="MS Mincho"/>
        </w:rPr>
        <w:t>.</w:t>
      </w:r>
      <w:r>
        <w:rPr>
          <w:rFonts w:eastAsia="MS Mincho"/>
        </w:rPr>
        <w:t>2</w:t>
      </w:r>
      <w:r>
        <w:rPr>
          <w:rFonts w:eastAsia="MS Mincho"/>
        </w:rPr>
        <w:tab/>
      </w:r>
      <w:r w:rsidRPr="009A3A63">
        <w:rPr>
          <w:rFonts w:eastAsia="MS Mincho"/>
        </w:rPr>
        <w:t>Le requérant</w:t>
      </w:r>
      <w:r>
        <w:rPr>
          <w:rFonts w:eastAsia="MS Mincho"/>
        </w:rPr>
        <w:t xml:space="preserve"> est sorti vers une terrasse et a remarqué que les policiers étaient partout dans la permanence</w:t>
      </w:r>
      <w:r w:rsidR="00E80A5E" w:rsidRPr="00E80A5E">
        <w:rPr>
          <w:rFonts w:eastAsia="MS Mincho"/>
        </w:rPr>
        <w:t>.</w:t>
      </w:r>
      <w:r>
        <w:rPr>
          <w:rFonts w:eastAsia="MS Mincho"/>
        </w:rPr>
        <w:t xml:space="preserve"> Il a alors levé les mains en l’air et supplié trois policiers qui le visaient de ne pas le tuer</w:t>
      </w:r>
      <w:r w:rsidR="00E80A5E" w:rsidRPr="00E80A5E">
        <w:rPr>
          <w:rFonts w:eastAsia="MS Mincho"/>
        </w:rPr>
        <w:t>.</w:t>
      </w:r>
      <w:r>
        <w:rPr>
          <w:rFonts w:eastAsia="MS Mincho"/>
        </w:rPr>
        <w:t xml:space="preserve"> Un des trois policiers l’a reconnu en tant que porte-parole du parti et lui a </w:t>
      </w:r>
      <w:r w:rsidRPr="009A3A63">
        <w:rPr>
          <w:rFonts w:eastAsia="MS Mincho"/>
        </w:rPr>
        <w:t>tiré dessus</w:t>
      </w:r>
      <w:r w:rsidR="00E80A5E" w:rsidRPr="00E80A5E">
        <w:rPr>
          <w:rFonts w:eastAsia="MS Mincho"/>
        </w:rPr>
        <w:t>.</w:t>
      </w:r>
      <w:r w:rsidRPr="009A3A63">
        <w:rPr>
          <w:rFonts w:eastAsia="MS Mincho"/>
        </w:rPr>
        <w:t xml:space="preserve"> </w:t>
      </w:r>
      <w:r>
        <w:rPr>
          <w:rFonts w:eastAsia="MS Mincho"/>
        </w:rPr>
        <w:t>Le requérant est tombé à terre et a commencé à saigner, puisque la balle l’avait atteint à la main gauche, entre le pouce et l’index</w:t>
      </w:r>
      <w:r w:rsidR="00E80A5E" w:rsidRPr="00E80A5E">
        <w:rPr>
          <w:rFonts w:eastAsia="MS Mincho"/>
        </w:rPr>
        <w:t>.</w:t>
      </w:r>
      <w:r>
        <w:rPr>
          <w:rFonts w:eastAsia="MS Mincho"/>
        </w:rPr>
        <w:t xml:space="preserve"> Ensuite, le policier qui avait tiré sur lui s’est éloigné, tandis que les deux autres policiers ont commencé à le rouer de coups, lui portant des coups de crosse et de canon de leurs fusils sur tout le corps</w:t>
      </w:r>
      <w:r w:rsidR="00E80A5E" w:rsidRPr="00E80A5E">
        <w:rPr>
          <w:rFonts w:eastAsia="MS Mincho"/>
        </w:rPr>
        <w:t>.</w:t>
      </w:r>
      <w:r>
        <w:rPr>
          <w:rFonts w:eastAsia="MS Mincho"/>
        </w:rPr>
        <w:t xml:space="preserve"> Lorsqu’ils ont constaté que le sang coulait partout, les deux policiers se sont éloignés, croyant probablement qu’il était mort</w:t>
      </w:r>
      <w:r w:rsidR="00E80A5E" w:rsidRPr="00E80A5E">
        <w:rPr>
          <w:rFonts w:eastAsia="MS Mincho"/>
        </w:rPr>
        <w:t>.</w:t>
      </w:r>
      <w:r>
        <w:rPr>
          <w:rFonts w:eastAsia="MS Mincho"/>
        </w:rPr>
        <w:t xml:space="preserve"> Le requérant s’est donc dirigé lentement vers l’entrée de la permanence, pour chercher secours, quand un des policiers qui l’avait précédemment frappé a remarqué qu’il n’était pas mort et a alerté les autres policiers</w:t>
      </w:r>
      <w:r w:rsidR="00E80A5E" w:rsidRPr="00E80A5E">
        <w:rPr>
          <w:rFonts w:eastAsia="MS Mincho"/>
        </w:rPr>
        <w:t>.</w:t>
      </w:r>
      <w:r>
        <w:rPr>
          <w:rFonts w:eastAsia="MS Mincho"/>
        </w:rPr>
        <w:t xml:space="preserve"> D</w:t>
      </w:r>
      <w:r w:rsidRPr="009A3A63">
        <w:rPr>
          <w:rFonts w:eastAsia="MS Mincho"/>
        </w:rPr>
        <w:t xml:space="preserve">eux autres policiers </w:t>
      </w:r>
      <w:r>
        <w:rPr>
          <w:rFonts w:eastAsia="MS Mincho"/>
        </w:rPr>
        <w:t>lui ont alors</w:t>
      </w:r>
      <w:r w:rsidRPr="009A3A63">
        <w:rPr>
          <w:rFonts w:eastAsia="MS Mincho"/>
        </w:rPr>
        <w:t xml:space="preserve"> infligé des coups de chico</w:t>
      </w:r>
      <w:r>
        <w:rPr>
          <w:rFonts w:eastAsia="MS Mincho"/>
        </w:rPr>
        <w:t>t</w:t>
      </w:r>
      <w:r w:rsidRPr="009A3A63">
        <w:rPr>
          <w:rFonts w:eastAsia="MS Mincho"/>
        </w:rPr>
        <w:t>te sur tout le corps</w:t>
      </w:r>
      <w:r w:rsidR="00E80A5E" w:rsidRPr="00E80A5E">
        <w:rPr>
          <w:rFonts w:eastAsia="MS Mincho"/>
        </w:rPr>
        <w:t>.</w:t>
      </w:r>
      <w:r w:rsidRPr="009A3A63">
        <w:rPr>
          <w:rFonts w:eastAsia="MS Mincho"/>
        </w:rPr>
        <w:t xml:space="preserve"> </w:t>
      </w:r>
      <w:r w:rsidRPr="004E1DF7">
        <w:rPr>
          <w:rFonts w:eastAsia="MS Mincho"/>
        </w:rPr>
        <w:t>Le</w:t>
      </w:r>
      <w:r>
        <w:rPr>
          <w:rFonts w:eastAsia="MS Mincho"/>
        </w:rPr>
        <w:t>s policiers ont empêché le</w:t>
      </w:r>
      <w:r w:rsidRPr="004E1DF7">
        <w:rPr>
          <w:rFonts w:eastAsia="MS Mincho"/>
        </w:rPr>
        <w:t xml:space="preserve"> personnel de la Croix-Rouge du Burundi</w:t>
      </w:r>
      <w:r w:rsidRPr="009A3A63">
        <w:rPr>
          <w:rFonts w:eastAsia="MS Mincho"/>
        </w:rPr>
        <w:t xml:space="preserve"> </w:t>
      </w:r>
      <w:r>
        <w:rPr>
          <w:rFonts w:eastAsia="MS Mincho"/>
        </w:rPr>
        <w:t>présent sur place</w:t>
      </w:r>
      <w:r w:rsidRPr="009A3A63">
        <w:rPr>
          <w:rFonts w:eastAsia="MS Mincho"/>
        </w:rPr>
        <w:t xml:space="preserve"> de </w:t>
      </w:r>
      <w:r w:rsidRPr="004E1DF7">
        <w:rPr>
          <w:rFonts w:eastAsia="MS Mincho"/>
        </w:rPr>
        <w:t>prodiguer des soins</w:t>
      </w:r>
      <w:r>
        <w:rPr>
          <w:rFonts w:eastAsia="MS Mincho"/>
        </w:rPr>
        <w:t xml:space="preserve"> au requérant</w:t>
      </w:r>
      <w:r w:rsidRPr="009A3A63">
        <w:rPr>
          <w:rFonts w:eastAsia="MS Mincho"/>
        </w:rPr>
        <w:t xml:space="preserve"> lorsqu</w:t>
      </w:r>
      <w:r>
        <w:rPr>
          <w:rFonts w:eastAsia="MS Mincho"/>
        </w:rPr>
        <w:t>’</w:t>
      </w:r>
      <w:r w:rsidRPr="009A3A63">
        <w:rPr>
          <w:rFonts w:eastAsia="MS Mincho"/>
        </w:rPr>
        <w:t>il était dans la permanence du parti</w:t>
      </w:r>
      <w:r w:rsidR="00E80A5E" w:rsidRPr="00E80A5E">
        <w:rPr>
          <w:rFonts w:eastAsia="MS Mincho"/>
        </w:rPr>
        <w:t>.</w:t>
      </w:r>
    </w:p>
    <w:p w14:paraId="1BCB7229" w14:textId="56BC8424" w:rsidR="00C35C59" w:rsidRDefault="00C35C59" w:rsidP="00C35C59">
      <w:pPr>
        <w:pStyle w:val="SingleTxtG"/>
        <w:rPr>
          <w:rFonts w:eastAsia="MS Mincho"/>
        </w:rPr>
      </w:pPr>
      <w:r>
        <w:rPr>
          <w:rFonts w:eastAsia="MS Mincho"/>
        </w:rPr>
        <w:t>2</w:t>
      </w:r>
      <w:r w:rsidR="00E80A5E" w:rsidRPr="00E80A5E">
        <w:rPr>
          <w:rFonts w:eastAsia="MS Mincho"/>
        </w:rPr>
        <w:t>.</w:t>
      </w:r>
      <w:r>
        <w:rPr>
          <w:rFonts w:eastAsia="MS Mincho"/>
        </w:rPr>
        <w:t>3</w:t>
      </w:r>
      <w:r>
        <w:rPr>
          <w:rFonts w:eastAsia="MS Mincho"/>
        </w:rPr>
        <w:tab/>
        <w:t>En sang, le requérant</w:t>
      </w:r>
      <w:r w:rsidRPr="00A32C9C">
        <w:rPr>
          <w:rFonts w:eastAsia="MS Mincho"/>
        </w:rPr>
        <w:t xml:space="preserve"> a été ensuite arrêté et</w:t>
      </w:r>
      <w:r>
        <w:rPr>
          <w:rFonts w:eastAsia="MS Mincho"/>
        </w:rPr>
        <w:t>, au lieu d’être amené au service de soins médicaux, il a été conduit avec trois autres blessés</w:t>
      </w:r>
      <w:r w:rsidRPr="00A32C9C">
        <w:rPr>
          <w:rFonts w:eastAsia="MS Mincho"/>
        </w:rPr>
        <w:t xml:space="preserve"> au Service</w:t>
      </w:r>
      <w:r>
        <w:rPr>
          <w:rFonts w:eastAsia="MS Mincho"/>
        </w:rPr>
        <w:t xml:space="preserve"> national de renseignement,</w:t>
      </w:r>
      <w:r w:rsidRPr="00A32C9C">
        <w:rPr>
          <w:rFonts w:eastAsia="MS Mincho"/>
        </w:rPr>
        <w:t xml:space="preserve"> où il a été </w:t>
      </w:r>
      <w:r>
        <w:rPr>
          <w:rFonts w:eastAsia="MS Mincho"/>
        </w:rPr>
        <w:t>forcé</w:t>
      </w:r>
      <w:r w:rsidRPr="00A32C9C">
        <w:rPr>
          <w:rFonts w:eastAsia="MS Mincho"/>
        </w:rPr>
        <w:t xml:space="preserve"> à s</w:t>
      </w:r>
      <w:r>
        <w:rPr>
          <w:rFonts w:eastAsia="MS Mincho"/>
        </w:rPr>
        <w:t>’</w:t>
      </w:r>
      <w:r w:rsidRPr="00A32C9C">
        <w:rPr>
          <w:rFonts w:eastAsia="MS Mincho"/>
        </w:rPr>
        <w:t>étendre par terre, interrogé et insulté</w:t>
      </w:r>
      <w:r w:rsidR="00E80A5E" w:rsidRPr="00E80A5E">
        <w:rPr>
          <w:rFonts w:eastAsia="MS Mincho"/>
        </w:rPr>
        <w:t>.</w:t>
      </w:r>
      <w:r w:rsidRPr="00A32C9C">
        <w:rPr>
          <w:rFonts w:eastAsia="MS Mincho"/>
        </w:rPr>
        <w:t xml:space="preserve"> </w:t>
      </w:r>
      <w:r>
        <w:rPr>
          <w:rFonts w:eastAsia="MS Mincho"/>
        </w:rPr>
        <w:t xml:space="preserve">Il </w:t>
      </w:r>
      <w:r w:rsidRPr="00A32C9C">
        <w:rPr>
          <w:rFonts w:eastAsia="MS Mincho"/>
        </w:rPr>
        <w:t xml:space="preserve">y est resté plus de </w:t>
      </w:r>
      <w:r>
        <w:rPr>
          <w:rFonts w:eastAsia="MS Mincho"/>
        </w:rPr>
        <w:t>quatre</w:t>
      </w:r>
      <w:r w:rsidRPr="00A32C9C">
        <w:rPr>
          <w:rFonts w:eastAsia="MS Mincho"/>
        </w:rPr>
        <w:t xml:space="preserve"> heures sans assistance médicale, malgré le fait qu</w:t>
      </w:r>
      <w:r>
        <w:rPr>
          <w:rFonts w:eastAsia="MS Mincho"/>
        </w:rPr>
        <w:t>’</w:t>
      </w:r>
      <w:r w:rsidRPr="00A32C9C">
        <w:rPr>
          <w:rFonts w:eastAsia="MS Mincho"/>
        </w:rPr>
        <w:t>il avait été blessé par balle et violemment</w:t>
      </w:r>
      <w:r>
        <w:rPr>
          <w:rFonts w:eastAsia="MS Mincho"/>
        </w:rPr>
        <w:t xml:space="preserve"> battu</w:t>
      </w:r>
      <w:r w:rsidR="00E80A5E" w:rsidRPr="00E80A5E">
        <w:rPr>
          <w:rFonts w:eastAsia="MS Mincho"/>
        </w:rPr>
        <w:t>.</w:t>
      </w:r>
      <w:r w:rsidRPr="00A32C9C">
        <w:rPr>
          <w:rFonts w:eastAsia="MS Mincho"/>
        </w:rPr>
        <w:t xml:space="preserve"> </w:t>
      </w:r>
      <w:r w:rsidRPr="00BB3A2A">
        <w:rPr>
          <w:rFonts w:eastAsia="MS Mincho"/>
        </w:rPr>
        <w:t>Vers 22</w:t>
      </w:r>
      <w:r w:rsidR="000F4638">
        <w:rPr>
          <w:rFonts w:eastAsia="MS Mincho"/>
        </w:rPr>
        <w:t> </w:t>
      </w:r>
      <w:r w:rsidRPr="00BB3A2A">
        <w:rPr>
          <w:rFonts w:eastAsia="MS Mincho"/>
        </w:rPr>
        <w:t xml:space="preserve">heures, par suite des pressions exercées par </w:t>
      </w:r>
      <w:r>
        <w:rPr>
          <w:rFonts w:eastAsia="MS Mincho"/>
        </w:rPr>
        <w:t>certains défenseurs des droits humains, le requérant</w:t>
      </w:r>
      <w:r w:rsidRPr="00BB3A2A">
        <w:rPr>
          <w:rFonts w:eastAsia="MS Mincho"/>
        </w:rPr>
        <w:t xml:space="preserve"> a enfin été conduit à la </w:t>
      </w:r>
      <w:r>
        <w:rPr>
          <w:rFonts w:eastAsia="MS Mincho"/>
        </w:rPr>
        <w:t>clinique Prince-Louis-</w:t>
      </w:r>
      <w:proofErr w:type="spellStart"/>
      <w:r>
        <w:rPr>
          <w:rFonts w:eastAsia="MS Mincho"/>
        </w:rPr>
        <w:t>Rwagasore</w:t>
      </w:r>
      <w:proofErr w:type="spellEnd"/>
      <w:r w:rsidR="00E80A5E" w:rsidRPr="00E80A5E">
        <w:rPr>
          <w:rFonts w:eastAsia="MS Mincho"/>
        </w:rPr>
        <w:t>.</w:t>
      </w:r>
      <w:r>
        <w:rPr>
          <w:rFonts w:eastAsia="MS Mincho"/>
        </w:rPr>
        <w:t xml:space="preserve"> </w:t>
      </w:r>
      <w:r>
        <w:t>Le 9</w:t>
      </w:r>
      <w:r w:rsidR="000F4638">
        <w:t> </w:t>
      </w:r>
      <w:r>
        <w:t>mars 2014, vers 10</w:t>
      </w:r>
      <w:r w:rsidR="00051F7B">
        <w:t> </w:t>
      </w:r>
      <w:r>
        <w:t>heures, les policiers ont permis aux membres de la famille des personnes blessées de voir leurs proches pour une courte durée, sous la surveillance d’un commissaire de police</w:t>
      </w:r>
      <w:r w:rsidR="00E80A5E" w:rsidRPr="00E80A5E">
        <w:t>.</w:t>
      </w:r>
      <w:r>
        <w:t xml:space="preserve"> Le 10</w:t>
      </w:r>
      <w:r w:rsidR="00051F7B">
        <w:t> </w:t>
      </w:r>
      <w:r>
        <w:t>mars 2014, le requérant a été amené au service de radiologie pour des radiographies, sous la surveillance des policiers</w:t>
      </w:r>
      <w:r w:rsidR="00E80A5E" w:rsidRPr="00E80A5E">
        <w:t>.</w:t>
      </w:r>
      <w:r w:rsidRPr="00EC7F5B">
        <w:t xml:space="preserve"> </w:t>
      </w:r>
      <w:r>
        <w:t>Les soins dispensés par les infirmiers ont été insuffisants, car ceux-ci avaient peur des policiers</w:t>
      </w:r>
      <w:r w:rsidR="00E80A5E" w:rsidRPr="00E80A5E">
        <w:t>.</w:t>
      </w:r>
      <w:r>
        <w:t xml:space="preserve"> Seules la main gauche du requérant ainsi que deux plaies à la jambe droite qui avaient été causées par des coups de canon de fusil ont été soignées</w:t>
      </w:r>
      <w:r w:rsidRPr="00E73881">
        <w:rPr>
          <w:rStyle w:val="Appelnotedebasdep"/>
        </w:rPr>
        <w:footnoteReference w:id="5"/>
      </w:r>
      <w:r w:rsidR="00E80A5E" w:rsidRPr="00E80A5E">
        <w:t>.</w:t>
      </w:r>
      <w:r>
        <w:t xml:space="preserve"> Le requérant a aussi reçu des antidouleurs</w:t>
      </w:r>
      <w:r w:rsidR="00E80A5E" w:rsidRPr="00E80A5E">
        <w:t>.</w:t>
      </w:r>
      <w:r w:rsidRPr="0094388F">
        <w:rPr>
          <w:rFonts w:eastAsia="MS Mincho"/>
        </w:rPr>
        <w:t xml:space="preserve"> </w:t>
      </w:r>
      <w:r w:rsidRPr="009E7D26">
        <w:rPr>
          <w:rFonts w:eastAsia="MS Mincho"/>
        </w:rPr>
        <w:t>Malgré les demandes qu</w:t>
      </w:r>
      <w:r>
        <w:rPr>
          <w:rFonts w:eastAsia="MS Mincho"/>
        </w:rPr>
        <w:t>’</w:t>
      </w:r>
      <w:r w:rsidRPr="009E7D26">
        <w:rPr>
          <w:rFonts w:eastAsia="MS Mincho"/>
        </w:rPr>
        <w:t>il a présentées le</w:t>
      </w:r>
      <w:r>
        <w:rPr>
          <w:rFonts w:eastAsia="MS Mincho"/>
        </w:rPr>
        <w:t>s</w:t>
      </w:r>
      <w:r w:rsidRPr="009E7D26">
        <w:rPr>
          <w:rFonts w:eastAsia="MS Mincho"/>
        </w:rPr>
        <w:t xml:space="preserve"> 30</w:t>
      </w:r>
      <w:r w:rsidR="00051F7B">
        <w:rPr>
          <w:rFonts w:eastAsia="MS Mincho"/>
        </w:rPr>
        <w:t> </w:t>
      </w:r>
      <w:r w:rsidRPr="009E7D26">
        <w:rPr>
          <w:rFonts w:eastAsia="MS Mincho"/>
        </w:rPr>
        <w:t xml:space="preserve">mars et </w:t>
      </w:r>
      <w:r>
        <w:rPr>
          <w:rFonts w:eastAsia="MS Mincho"/>
        </w:rPr>
        <w:t>15</w:t>
      </w:r>
      <w:r w:rsidR="000F4638">
        <w:rPr>
          <w:rFonts w:eastAsia="MS Mincho"/>
        </w:rPr>
        <w:t> </w:t>
      </w:r>
      <w:r>
        <w:rPr>
          <w:rFonts w:eastAsia="MS Mincho"/>
        </w:rPr>
        <w:t>décembre 2015, le</w:t>
      </w:r>
      <w:r w:rsidRPr="009E7D26">
        <w:rPr>
          <w:rFonts w:eastAsia="MS Mincho"/>
        </w:rPr>
        <w:t xml:space="preserve"> requérant n</w:t>
      </w:r>
      <w:r>
        <w:rPr>
          <w:rFonts w:eastAsia="MS Mincho"/>
        </w:rPr>
        <w:t>’</w:t>
      </w:r>
      <w:r w:rsidRPr="009E7D26">
        <w:rPr>
          <w:rFonts w:eastAsia="MS Mincho"/>
        </w:rPr>
        <w:t>a jamais reçu copie des éléments de son dossier médical</w:t>
      </w:r>
      <w:r w:rsidR="00E80A5E" w:rsidRPr="00E80A5E">
        <w:rPr>
          <w:rFonts w:eastAsia="MS Mincho"/>
        </w:rPr>
        <w:t>.</w:t>
      </w:r>
    </w:p>
    <w:p w14:paraId="66E75EC4" w14:textId="6DCC0161" w:rsidR="00C35C59" w:rsidRDefault="00C35C59" w:rsidP="00C35C59">
      <w:pPr>
        <w:pStyle w:val="SingleTxtG"/>
        <w:rPr>
          <w:rFonts w:eastAsia="MS Mincho"/>
        </w:rPr>
      </w:pPr>
      <w:r>
        <w:rPr>
          <w:rFonts w:eastAsia="MS Mincho"/>
        </w:rPr>
        <w:t>2</w:t>
      </w:r>
      <w:r w:rsidR="00E80A5E" w:rsidRPr="00E80A5E">
        <w:rPr>
          <w:rFonts w:eastAsia="MS Mincho"/>
        </w:rPr>
        <w:t>.</w:t>
      </w:r>
      <w:r>
        <w:rPr>
          <w:rFonts w:eastAsia="MS Mincho"/>
        </w:rPr>
        <w:t>4</w:t>
      </w:r>
      <w:r>
        <w:rPr>
          <w:rFonts w:eastAsia="MS Mincho"/>
        </w:rPr>
        <w:tab/>
        <w:t xml:space="preserve">Le </w:t>
      </w:r>
      <w:r w:rsidRPr="00A32C9C">
        <w:rPr>
          <w:rFonts w:eastAsia="MS Mincho"/>
        </w:rPr>
        <w:t xml:space="preserve">15 avril 2014, </w:t>
      </w:r>
      <w:r>
        <w:rPr>
          <w:rFonts w:eastAsia="MS Mincho"/>
        </w:rPr>
        <w:t xml:space="preserve">le requérant </w:t>
      </w:r>
      <w:r w:rsidRPr="00A32C9C">
        <w:rPr>
          <w:rFonts w:eastAsia="MS Mincho"/>
        </w:rPr>
        <w:t xml:space="preserve">a été amené au </w:t>
      </w:r>
      <w:r w:rsidRPr="00BB3A2A">
        <w:rPr>
          <w:rFonts w:eastAsia="MS Mincho"/>
        </w:rPr>
        <w:t>Parquet de la République de Bujumbura</w:t>
      </w:r>
      <w:r>
        <w:rPr>
          <w:rFonts w:eastAsia="MS Mincho"/>
        </w:rPr>
        <w:t xml:space="preserve"> sur la base d’un mandat d’arrêt délivré le même jour</w:t>
      </w:r>
      <w:r w:rsidR="00E80A5E" w:rsidRPr="00E80A5E">
        <w:rPr>
          <w:rFonts w:eastAsia="MS Mincho"/>
        </w:rPr>
        <w:t>.</w:t>
      </w:r>
      <w:r w:rsidRPr="00A32C9C">
        <w:rPr>
          <w:rFonts w:eastAsia="MS Mincho"/>
        </w:rPr>
        <w:t xml:space="preserve"> </w:t>
      </w:r>
      <w:r>
        <w:rPr>
          <w:rFonts w:eastAsia="MS Mincho"/>
        </w:rPr>
        <w:t xml:space="preserve">Il y a été interrogé en présence de ses </w:t>
      </w:r>
      <w:r>
        <w:rPr>
          <w:rFonts w:eastAsia="MS Mincho"/>
        </w:rPr>
        <w:lastRenderedPageBreak/>
        <w:t>avocats</w:t>
      </w:r>
      <w:r w:rsidR="00E80A5E" w:rsidRPr="00E80A5E">
        <w:rPr>
          <w:rFonts w:eastAsia="MS Mincho"/>
        </w:rPr>
        <w:t>.</w:t>
      </w:r>
      <w:r>
        <w:rPr>
          <w:rFonts w:eastAsia="MS Mincho"/>
        </w:rPr>
        <w:t xml:space="preserve"> E</w:t>
      </w:r>
      <w:r w:rsidRPr="00A32C9C">
        <w:rPr>
          <w:rFonts w:eastAsia="MS Mincho"/>
        </w:rPr>
        <w:t>n</w:t>
      </w:r>
      <w:r>
        <w:rPr>
          <w:rFonts w:eastAsia="MS Mincho"/>
        </w:rPr>
        <w:t>suite, en</w:t>
      </w:r>
      <w:r w:rsidRPr="00A32C9C">
        <w:rPr>
          <w:rFonts w:eastAsia="MS Mincho"/>
        </w:rPr>
        <w:t xml:space="preserve"> dépit de </w:t>
      </w:r>
      <w:r>
        <w:rPr>
          <w:rFonts w:eastAsia="MS Mincho"/>
        </w:rPr>
        <w:t>son mauvais état</w:t>
      </w:r>
      <w:r w:rsidRPr="00A32C9C">
        <w:rPr>
          <w:rFonts w:eastAsia="MS Mincho"/>
        </w:rPr>
        <w:t xml:space="preserve"> de santé, il a été détenu pendant </w:t>
      </w:r>
      <w:r>
        <w:rPr>
          <w:rFonts w:eastAsia="MS Mincho"/>
        </w:rPr>
        <w:t>cinq</w:t>
      </w:r>
      <w:r w:rsidRPr="00A32C9C">
        <w:rPr>
          <w:rFonts w:eastAsia="MS Mincho"/>
        </w:rPr>
        <w:t xml:space="preserve"> heures dans u</w:t>
      </w:r>
      <w:r>
        <w:rPr>
          <w:rFonts w:eastAsia="MS Mincho"/>
        </w:rPr>
        <w:t>ne cave sans fenêtre de 4</w:t>
      </w:r>
      <w:r w:rsidR="000F4638">
        <w:rPr>
          <w:rFonts w:eastAsia="MS Mincho"/>
        </w:rPr>
        <w:t> </w:t>
      </w:r>
      <w:r>
        <w:rPr>
          <w:rFonts w:eastAsia="MS Mincho"/>
        </w:rPr>
        <w:t>mètres sur 6 mètres,</w:t>
      </w:r>
      <w:r w:rsidRPr="00A32C9C">
        <w:rPr>
          <w:rFonts w:eastAsia="MS Mincho"/>
        </w:rPr>
        <w:t xml:space="preserve"> avec une vingtaine de personnes</w:t>
      </w:r>
      <w:r w:rsidR="00E80A5E" w:rsidRPr="00E80A5E">
        <w:rPr>
          <w:rFonts w:eastAsia="MS Mincho"/>
        </w:rPr>
        <w:t>.</w:t>
      </w:r>
      <w:r w:rsidRPr="00A32C9C">
        <w:rPr>
          <w:rFonts w:eastAsia="MS Mincho"/>
        </w:rPr>
        <w:t xml:space="preserve"> Il n</w:t>
      </w:r>
      <w:r>
        <w:rPr>
          <w:rFonts w:eastAsia="MS Mincho"/>
        </w:rPr>
        <w:t>’</w:t>
      </w:r>
      <w:r w:rsidRPr="00A32C9C">
        <w:rPr>
          <w:rFonts w:eastAsia="MS Mincho"/>
        </w:rPr>
        <w:t>a pas eu de nourritur</w:t>
      </w:r>
      <w:r>
        <w:rPr>
          <w:rFonts w:eastAsia="MS Mincho"/>
        </w:rPr>
        <w:t>e et n’a pu entrer en contact avec personne</w:t>
      </w:r>
      <w:r w:rsidR="00E80A5E" w:rsidRPr="00E80A5E">
        <w:rPr>
          <w:rFonts w:eastAsia="MS Mincho"/>
        </w:rPr>
        <w:t>.</w:t>
      </w:r>
    </w:p>
    <w:p w14:paraId="552B772B" w14:textId="7D634BDD" w:rsidR="00C35C59" w:rsidRDefault="00C35C59" w:rsidP="00C35C59">
      <w:pPr>
        <w:pStyle w:val="SingleTxtG"/>
        <w:rPr>
          <w:rFonts w:eastAsia="MS Mincho"/>
        </w:rPr>
      </w:pPr>
      <w:r>
        <w:rPr>
          <w:rFonts w:eastAsia="MS Mincho"/>
        </w:rPr>
        <w:t>2</w:t>
      </w:r>
      <w:r w:rsidR="00E80A5E" w:rsidRPr="00E80A5E">
        <w:rPr>
          <w:rFonts w:eastAsia="MS Mincho"/>
        </w:rPr>
        <w:t>.</w:t>
      </w:r>
      <w:r>
        <w:rPr>
          <w:rFonts w:eastAsia="MS Mincho"/>
        </w:rPr>
        <w:t>5</w:t>
      </w:r>
      <w:r>
        <w:rPr>
          <w:rFonts w:eastAsia="MS Mincho"/>
        </w:rPr>
        <w:tab/>
        <w:t>Le requérant</w:t>
      </w:r>
      <w:r w:rsidRPr="00A32C9C">
        <w:rPr>
          <w:rFonts w:eastAsia="MS Mincho"/>
        </w:rPr>
        <w:t xml:space="preserve"> a ensuite été incarcéré à la prison centrale de </w:t>
      </w:r>
      <w:proofErr w:type="spellStart"/>
      <w:r w:rsidRPr="00A32C9C">
        <w:rPr>
          <w:rFonts w:eastAsia="MS Mincho"/>
        </w:rPr>
        <w:t>Mpim</w:t>
      </w:r>
      <w:r>
        <w:rPr>
          <w:rFonts w:eastAsia="MS Mincho"/>
        </w:rPr>
        <w:t>b</w:t>
      </w:r>
      <w:r w:rsidRPr="00A32C9C">
        <w:rPr>
          <w:rFonts w:eastAsia="MS Mincho"/>
        </w:rPr>
        <w:t>a</w:t>
      </w:r>
      <w:proofErr w:type="spellEnd"/>
      <w:r w:rsidRPr="00A32C9C">
        <w:rPr>
          <w:rFonts w:eastAsia="MS Mincho"/>
        </w:rPr>
        <w:t xml:space="preserve">, </w:t>
      </w:r>
      <w:r>
        <w:rPr>
          <w:rFonts w:eastAsia="MS Mincho"/>
        </w:rPr>
        <w:t xml:space="preserve">où </w:t>
      </w:r>
      <w:r w:rsidRPr="00A32C9C">
        <w:rPr>
          <w:rFonts w:eastAsia="MS Mincho"/>
        </w:rPr>
        <w:t>il n</w:t>
      </w:r>
      <w:r>
        <w:rPr>
          <w:rFonts w:eastAsia="MS Mincho"/>
        </w:rPr>
        <w:t>’</w:t>
      </w:r>
      <w:r w:rsidRPr="00A32C9C">
        <w:rPr>
          <w:rFonts w:eastAsia="MS Mincho"/>
        </w:rPr>
        <w:t>a reçu aucun soin médical</w:t>
      </w:r>
      <w:r w:rsidR="00E80A5E" w:rsidRPr="00E80A5E">
        <w:rPr>
          <w:rFonts w:eastAsia="MS Mincho"/>
        </w:rPr>
        <w:t>.</w:t>
      </w:r>
      <w:r>
        <w:rPr>
          <w:rFonts w:eastAsia="MS Mincho"/>
        </w:rPr>
        <w:t xml:space="preserve"> À l’occasion de visites quelquefois autorisées, sa famille a cependant essayé de lui apporter des médicaments</w:t>
      </w:r>
      <w:r w:rsidR="00E80A5E" w:rsidRPr="00E80A5E">
        <w:rPr>
          <w:rFonts w:eastAsia="MS Mincho"/>
        </w:rPr>
        <w:t>.</w:t>
      </w:r>
      <w:r>
        <w:rPr>
          <w:rFonts w:eastAsia="MS Mincho"/>
        </w:rPr>
        <w:t xml:space="preserve"> Il a demandé à plusieurs reprises la permission de bénéficier de séances de kinésithérapie, ce qui lui a été refusé malgré l’ordonnance du médecin de la prison pour le suivi post-traumatique de sa main, visant l’appréciation de la mobilité du poignet et de l’aspect de la cicatrice</w:t>
      </w:r>
      <w:r w:rsidR="00E80A5E" w:rsidRPr="00E80A5E">
        <w:rPr>
          <w:rFonts w:eastAsia="MS Mincho"/>
        </w:rPr>
        <w:t>.</w:t>
      </w:r>
      <w:r>
        <w:rPr>
          <w:rFonts w:eastAsia="MS Mincho"/>
        </w:rPr>
        <w:t xml:space="preserve"> Le requérant a finalement pu en bénéficier une seule fois</w:t>
      </w:r>
      <w:r w:rsidR="00E80A5E" w:rsidRPr="00E80A5E">
        <w:rPr>
          <w:rFonts w:eastAsia="MS Mincho"/>
        </w:rPr>
        <w:t>.</w:t>
      </w:r>
      <w:r>
        <w:rPr>
          <w:rFonts w:eastAsia="MS Mincho"/>
        </w:rPr>
        <w:t xml:space="preserve"> Par ailleurs, l</w:t>
      </w:r>
      <w:r w:rsidRPr="008F5BCF">
        <w:rPr>
          <w:rFonts w:eastAsia="MS Mincho"/>
        </w:rPr>
        <w:t xml:space="preserve">es conditions de détention du </w:t>
      </w:r>
      <w:r>
        <w:rPr>
          <w:rFonts w:eastAsia="MS Mincho"/>
        </w:rPr>
        <w:t xml:space="preserve">requérant </w:t>
      </w:r>
      <w:r w:rsidRPr="008F5BCF">
        <w:rPr>
          <w:rFonts w:eastAsia="MS Mincho"/>
        </w:rPr>
        <w:t xml:space="preserve">à </w:t>
      </w:r>
      <w:r>
        <w:rPr>
          <w:rFonts w:eastAsia="MS Mincho"/>
        </w:rPr>
        <w:t xml:space="preserve">la prison de </w:t>
      </w:r>
      <w:proofErr w:type="spellStart"/>
      <w:r>
        <w:rPr>
          <w:rFonts w:eastAsia="MS Mincho"/>
        </w:rPr>
        <w:t>Mpimba</w:t>
      </w:r>
      <w:proofErr w:type="spellEnd"/>
      <w:r>
        <w:rPr>
          <w:rFonts w:eastAsia="MS Mincho"/>
        </w:rPr>
        <w:t xml:space="preserve"> étaient</w:t>
      </w:r>
      <w:r w:rsidRPr="008F5BCF">
        <w:rPr>
          <w:rFonts w:eastAsia="MS Mincho"/>
        </w:rPr>
        <w:t xml:space="preserve"> déplorables</w:t>
      </w:r>
      <w:r w:rsidR="00E80A5E" w:rsidRPr="00E80A5E">
        <w:rPr>
          <w:rFonts w:eastAsia="MS Mincho"/>
        </w:rPr>
        <w:t>.</w:t>
      </w:r>
      <w:r w:rsidRPr="008F5BCF">
        <w:rPr>
          <w:rFonts w:eastAsia="MS Mincho"/>
        </w:rPr>
        <w:t xml:space="preserve"> </w:t>
      </w:r>
      <w:r w:rsidRPr="000B4B7F">
        <w:rPr>
          <w:rFonts w:eastAsia="MS Mincho"/>
        </w:rPr>
        <w:t>La nourriture était insuffisante et de qualité médiocre, ce qui, associé à la surpopulation carcérale, favorisait la propagation</w:t>
      </w:r>
      <w:r>
        <w:rPr>
          <w:rFonts w:eastAsia="MS Mincho"/>
        </w:rPr>
        <w:t xml:space="preserve"> de maladies</w:t>
      </w:r>
      <w:r w:rsidR="00E80A5E" w:rsidRPr="00E80A5E">
        <w:rPr>
          <w:rFonts w:eastAsia="MS Mincho"/>
        </w:rPr>
        <w:t>.</w:t>
      </w:r>
    </w:p>
    <w:p w14:paraId="7F879105" w14:textId="72EB6E83" w:rsidR="00C35C59" w:rsidRDefault="00C35C59" w:rsidP="00C35C59">
      <w:pPr>
        <w:pStyle w:val="SingleTxtG"/>
        <w:rPr>
          <w:rFonts w:eastAsia="MS Mincho"/>
        </w:rPr>
      </w:pPr>
      <w:r>
        <w:rPr>
          <w:rFonts w:eastAsia="MS Mincho"/>
        </w:rPr>
        <w:t>2</w:t>
      </w:r>
      <w:r w:rsidR="00E80A5E" w:rsidRPr="00E80A5E">
        <w:rPr>
          <w:rFonts w:eastAsia="MS Mincho"/>
        </w:rPr>
        <w:t>.</w:t>
      </w:r>
      <w:r>
        <w:rPr>
          <w:rFonts w:eastAsia="MS Mincho"/>
        </w:rPr>
        <w:t>6</w:t>
      </w:r>
      <w:r>
        <w:rPr>
          <w:rFonts w:eastAsia="MS Mincho"/>
        </w:rPr>
        <w:tab/>
      </w:r>
      <w:r w:rsidRPr="008F5BCF">
        <w:rPr>
          <w:rFonts w:eastAsia="MS Mincho"/>
        </w:rPr>
        <w:t xml:space="preserve">Le 11 mars 2016, le </w:t>
      </w:r>
      <w:r>
        <w:rPr>
          <w:rFonts w:eastAsia="MS Mincho"/>
        </w:rPr>
        <w:t>t</w:t>
      </w:r>
      <w:r w:rsidRPr="008F5BCF">
        <w:rPr>
          <w:rFonts w:eastAsia="MS Mincho"/>
        </w:rPr>
        <w:t>ribunal de gran</w:t>
      </w:r>
      <w:r>
        <w:rPr>
          <w:rFonts w:eastAsia="MS Mincho"/>
        </w:rPr>
        <w:t xml:space="preserve">de instance </w:t>
      </w:r>
      <w:r w:rsidRPr="008F5BCF">
        <w:rPr>
          <w:rFonts w:eastAsia="MS Mincho"/>
        </w:rPr>
        <w:t xml:space="preserve">de Bujumbura </w:t>
      </w:r>
      <w:r>
        <w:rPr>
          <w:rFonts w:eastAsia="MS Mincho"/>
        </w:rPr>
        <w:t>a condamné le requérant à six</w:t>
      </w:r>
      <w:r w:rsidRPr="008F5BCF">
        <w:rPr>
          <w:rFonts w:eastAsia="MS Mincho"/>
        </w:rPr>
        <w:t xml:space="preserve"> ans et </w:t>
      </w:r>
      <w:r>
        <w:rPr>
          <w:rFonts w:eastAsia="MS Mincho"/>
        </w:rPr>
        <w:t>quatre mois de détention</w:t>
      </w:r>
      <w:r w:rsidRPr="008F5BCF">
        <w:rPr>
          <w:rFonts w:eastAsia="MS Mincho"/>
        </w:rPr>
        <w:t xml:space="preserve"> pour rébellion, outrages et violences envers la police</w:t>
      </w:r>
      <w:r>
        <w:rPr>
          <w:rFonts w:eastAsia="MS Mincho"/>
        </w:rPr>
        <w:t>,</w:t>
      </w:r>
      <w:r w:rsidRPr="008F5BCF">
        <w:rPr>
          <w:rFonts w:eastAsia="MS Mincho"/>
        </w:rPr>
        <w:t xml:space="preserve"> et lésions corporelles volontaires</w:t>
      </w:r>
      <w:r>
        <w:rPr>
          <w:rFonts w:eastAsia="MS Mincho"/>
        </w:rPr>
        <w:t xml:space="preserve"> graves</w:t>
      </w:r>
      <w:r w:rsidR="00E80A5E" w:rsidRPr="00E80A5E">
        <w:rPr>
          <w:rFonts w:eastAsia="MS Mincho"/>
        </w:rPr>
        <w:t>.</w:t>
      </w:r>
    </w:p>
    <w:p w14:paraId="0ED37C4F" w14:textId="6A6D1986" w:rsidR="00C35C59" w:rsidRDefault="00C35C59" w:rsidP="00C35C59">
      <w:pPr>
        <w:pStyle w:val="SingleTxtG"/>
      </w:pPr>
      <w:r>
        <w:rPr>
          <w:rFonts w:eastAsia="MS Mincho"/>
        </w:rPr>
        <w:t>2</w:t>
      </w:r>
      <w:r w:rsidR="00E80A5E" w:rsidRPr="00E80A5E">
        <w:rPr>
          <w:rFonts w:eastAsia="MS Mincho"/>
        </w:rPr>
        <w:t>.</w:t>
      </w:r>
      <w:r>
        <w:rPr>
          <w:rFonts w:eastAsia="MS Mincho"/>
        </w:rPr>
        <w:t>7</w:t>
      </w:r>
      <w:r>
        <w:rPr>
          <w:rFonts w:eastAsia="MS Mincho"/>
        </w:rPr>
        <w:tab/>
      </w:r>
      <w:r w:rsidRPr="00C07FED">
        <w:t>L</w:t>
      </w:r>
      <w:r>
        <w:t xml:space="preserve">e </w:t>
      </w:r>
      <w:r w:rsidRPr="00C07FED">
        <w:t xml:space="preserve">5 septembre 2016, </w:t>
      </w:r>
      <w:r>
        <w:t>le requérant a été transféré avec 13</w:t>
      </w:r>
      <w:r w:rsidR="000F4638">
        <w:t> </w:t>
      </w:r>
      <w:r>
        <w:t xml:space="preserve">autres détenus à la prison de </w:t>
      </w:r>
      <w:proofErr w:type="spellStart"/>
      <w:r>
        <w:t>Rumonge</w:t>
      </w:r>
      <w:proofErr w:type="spellEnd"/>
      <w:r w:rsidR="00E80A5E" w:rsidRPr="00E80A5E">
        <w:t>.</w:t>
      </w:r>
      <w:r>
        <w:t xml:space="preserve"> Tous ont été retirés de la prison de </w:t>
      </w:r>
      <w:proofErr w:type="spellStart"/>
      <w:r>
        <w:t>Mpimba</w:t>
      </w:r>
      <w:proofErr w:type="spellEnd"/>
      <w:r>
        <w:t xml:space="preserve"> par des policiers qui, sur la base d’une liste qu’ils avaient sur eux</w:t>
      </w:r>
      <w:r w:rsidRPr="00E73881">
        <w:rPr>
          <w:rStyle w:val="Appelnotedebasdep"/>
        </w:rPr>
        <w:footnoteReference w:id="6"/>
      </w:r>
      <w:r>
        <w:t xml:space="preserve">, ont trié les détenus et les ont conduits à </w:t>
      </w:r>
      <w:proofErr w:type="spellStart"/>
      <w:r>
        <w:t>Rumonge</w:t>
      </w:r>
      <w:proofErr w:type="spellEnd"/>
      <w:r>
        <w:t xml:space="preserve"> sans en informer qui que ce soit</w:t>
      </w:r>
      <w:r w:rsidR="00E80A5E" w:rsidRPr="00E80A5E">
        <w:t>.</w:t>
      </w:r>
      <w:r>
        <w:t xml:space="preserve"> La plupart des détenus transférés étaient des membres du </w:t>
      </w:r>
      <w:r w:rsidRPr="00F36010">
        <w:t>Mouvement pour la solidarité et la démocratie</w:t>
      </w:r>
      <w:r>
        <w:t xml:space="preserve"> qui avait été arrêtés lors des manifestations du 8</w:t>
      </w:r>
      <w:r w:rsidR="00051F7B">
        <w:t> </w:t>
      </w:r>
      <w:r>
        <w:t>mars 2014</w:t>
      </w:r>
      <w:r w:rsidR="00E80A5E" w:rsidRPr="00E80A5E">
        <w:t>.</w:t>
      </w:r>
      <w:r>
        <w:t xml:space="preserve"> En outre, l’épouse du requérant, également membre du Mouvement, a été arrêtée le 13</w:t>
      </w:r>
      <w:r w:rsidR="000F4638">
        <w:t> </w:t>
      </w:r>
      <w:r>
        <w:t xml:space="preserve">décembre 2015 et détenue à la prison de </w:t>
      </w:r>
      <w:proofErr w:type="spellStart"/>
      <w:r>
        <w:t>Mpimba</w:t>
      </w:r>
      <w:proofErr w:type="spellEnd"/>
      <w:r>
        <w:t xml:space="preserve"> car elle avait refusé d’accuser son mari</w:t>
      </w:r>
      <w:r w:rsidRPr="00E73881">
        <w:rPr>
          <w:rStyle w:val="Appelnotedebasdep"/>
        </w:rPr>
        <w:footnoteReference w:id="7"/>
      </w:r>
      <w:r w:rsidR="00E80A5E" w:rsidRPr="00E80A5E">
        <w:t>.</w:t>
      </w:r>
    </w:p>
    <w:p w14:paraId="6254902E" w14:textId="1DDA3E51" w:rsidR="00C35C59" w:rsidRDefault="00C35C59" w:rsidP="00C35C59">
      <w:pPr>
        <w:pStyle w:val="SingleTxtG"/>
      </w:pPr>
      <w:r>
        <w:t>2</w:t>
      </w:r>
      <w:r w:rsidR="00E80A5E" w:rsidRPr="00E80A5E">
        <w:t>.</w:t>
      </w:r>
      <w:r>
        <w:t>8</w:t>
      </w:r>
      <w:r>
        <w:tab/>
        <w:t xml:space="preserve">Le requérant est resté dans la prison de </w:t>
      </w:r>
      <w:proofErr w:type="spellStart"/>
      <w:r>
        <w:t>Rumonge</w:t>
      </w:r>
      <w:proofErr w:type="spellEnd"/>
      <w:r>
        <w:t xml:space="preserve"> jusqu’au 5</w:t>
      </w:r>
      <w:r w:rsidR="000F4638">
        <w:t> </w:t>
      </w:r>
      <w:r>
        <w:t xml:space="preserve">août 2017, date à laquelle il a été transféré de nouveau à la prison centrale de </w:t>
      </w:r>
      <w:proofErr w:type="spellStart"/>
      <w:r>
        <w:t>Mpimba</w:t>
      </w:r>
      <w:proofErr w:type="spellEnd"/>
      <w:r w:rsidR="00E80A5E" w:rsidRPr="00E80A5E">
        <w:t>.</w:t>
      </w:r>
      <w:r>
        <w:t xml:space="preserve"> La veille, avec d’autres détenus à la prison de </w:t>
      </w:r>
      <w:proofErr w:type="spellStart"/>
      <w:r>
        <w:t>Rumonge</w:t>
      </w:r>
      <w:proofErr w:type="spellEnd"/>
      <w:r>
        <w:t>, le requérant avait fait l’objet d’un violent passage à tabac aux mains de policiers et d’</w:t>
      </w:r>
      <w:proofErr w:type="spellStart"/>
      <w:r>
        <w:t>Imbonerakure</w:t>
      </w:r>
      <w:proofErr w:type="spellEnd"/>
      <w:r w:rsidR="00E80A5E" w:rsidRPr="00E80A5E">
        <w:t>.</w:t>
      </w:r>
      <w:r>
        <w:t xml:space="preserve"> En janvier 2018, le requérant a été gracié, et sa libération a été fixée au 16</w:t>
      </w:r>
      <w:r w:rsidR="000F4638">
        <w:t> </w:t>
      </w:r>
      <w:r>
        <w:t>mars 2018</w:t>
      </w:r>
      <w:r w:rsidR="00E80A5E" w:rsidRPr="00E80A5E">
        <w:t>.</w:t>
      </w:r>
      <w:r>
        <w:t xml:space="preserve"> Pourtant, lors de la cérémonie de libération, le requérant a été arrêté par des gardes, qui l’ont empêché d’y participer, lui ont confisqué le billet d’élargissement et l’ont réincarcéré</w:t>
      </w:r>
      <w:r w:rsidR="00E80A5E" w:rsidRPr="00E80A5E">
        <w:t>.</w:t>
      </w:r>
      <w:r>
        <w:t xml:space="preserve"> Il se trouve donc à ce jour toujours dans la prison centrale de </w:t>
      </w:r>
      <w:proofErr w:type="spellStart"/>
      <w:r>
        <w:t>Mpimba</w:t>
      </w:r>
      <w:proofErr w:type="spellEnd"/>
      <w:r w:rsidR="00E80A5E" w:rsidRPr="00E80A5E">
        <w:t>.</w:t>
      </w:r>
    </w:p>
    <w:p w14:paraId="612C185D" w14:textId="773C0304" w:rsidR="00C35C59" w:rsidRDefault="00C35C59" w:rsidP="00C35C59">
      <w:pPr>
        <w:pStyle w:val="SingleTxtG"/>
      </w:pPr>
      <w:r>
        <w:t>2</w:t>
      </w:r>
      <w:r w:rsidR="00E80A5E" w:rsidRPr="00E80A5E">
        <w:t>.</w:t>
      </w:r>
      <w:r>
        <w:t>9</w:t>
      </w:r>
      <w:r>
        <w:tab/>
        <w:t>Le requérant</w:t>
      </w:r>
      <w:r w:rsidRPr="009E7D26">
        <w:t xml:space="preserve"> a dénoncé les tortures subies au cours de la p</w:t>
      </w:r>
      <w:r>
        <w:t>rocédure engagée contre lui</w:t>
      </w:r>
      <w:r w:rsidRPr="00E73881">
        <w:rPr>
          <w:rStyle w:val="Appelnotedebasdep"/>
        </w:rPr>
        <w:footnoteReference w:id="8"/>
      </w:r>
      <w:r>
        <w:t>,</w:t>
      </w:r>
      <w:r w:rsidRPr="009E7D26">
        <w:t xml:space="preserve"> </w:t>
      </w:r>
      <w:r>
        <w:t>et</w:t>
      </w:r>
      <w:r w:rsidRPr="009E7D26">
        <w:t xml:space="preserve"> par </w:t>
      </w:r>
      <w:r>
        <w:t>l’intermédiaire</w:t>
      </w:r>
      <w:r w:rsidRPr="009E7D26">
        <w:t xml:space="preserve"> d</w:t>
      </w:r>
      <w:r>
        <w:t>’</w:t>
      </w:r>
      <w:r w:rsidRPr="009E7D26">
        <w:t xml:space="preserve">une plainte formelle déposée </w:t>
      </w:r>
      <w:r>
        <w:t>le 14</w:t>
      </w:r>
      <w:r w:rsidR="000F4638">
        <w:t> </w:t>
      </w:r>
      <w:r>
        <w:t>mars 2014 au Parquet g</w:t>
      </w:r>
      <w:r w:rsidRPr="009E7D26">
        <w:t xml:space="preserve">énéral de la République </w:t>
      </w:r>
      <w:r>
        <w:t xml:space="preserve">à </w:t>
      </w:r>
      <w:r w:rsidRPr="001B4AB2">
        <w:t>Bujumbura</w:t>
      </w:r>
      <w:r>
        <w:t>,</w:t>
      </w:r>
      <w:r w:rsidRPr="001B4AB2">
        <w:t xml:space="preserve"> </w:t>
      </w:r>
      <w:r w:rsidRPr="009E7D26">
        <w:t>au nom d</w:t>
      </w:r>
      <w:r>
        <w:t>u</w:t>
      </w:r>
      <w:r w:rsidRPr="009E7D26">
        <w:t xml:space="preserve"> requérant et d</w:t>
      </w:r>
      <w:r>
        <w:t>’</w:t>
      </w:r>
      <w:r w:rsidRPr="009E7D26">
        <w:t xml:space="preserve">autres membres du </w:t>
      </w:r>
      <w:r w:rsidRPr="00C558C4">
        <w:rPr>
          <w:rFonts w:eastAsia="MS Mincho"/>
        </w:rPr>
        <w:t xml:space="preserve">Mouvement pour la </w:t>
      </w:r>
      <w:r>
        <w:rPr>
          <w:rFonts w:eastAsia="MS Mincho"/>
        </w:rPr>
        <w:t>solidarité et la démocratie</w:t>
      </w:r>
      <w:r w:rsidRPr="009E7D26">
        <w:t xml:space="preserve"> qui </w:t>
      </w:r>
      <w:r>
        <w:t>avaient</w:t>
      </w:r>
      <w:r w:rsidRPr="009E7D26">
        <w:t xml:space="preserve"> subi le même traitement</w:t>
      </w:r>
      <w:r w:rsidR="00E80A5E" w:rsidRPr="00E80A5E">
        <w:t>.</w:t>
      </w:r>
      <w:r w:rsidRPr="009E7D26">
        <w:t xml:space="preserve"> Malgré de nombreuses démarches, les autorités n</w:t>
      </w:r>
      <w:r>
        <w:t>’</w:t>
      </w:r>
      <w:r w:rsidRPr="009E7D26">
        <w:t xml:space="preserve">ont donné aucune suite aux dénonciations </w:t>
      </w:r>
      <w:r>
        <w:t>présentées</w:t>
      </w:r>
      <w:r w:rsidR="00E80A5E" w:rsidRPr="00E80A5E">
        <w:t>.</w:t>
      </w:r>
      <w:r>
        <w:t xml:space="preserve"> Aucune enquête n’a été menée par les autorités burundaises, et le</w:t>
      </w:r>
      <w:r w:rsidRPr="00C033E8">
        <w:t xml:space="preserve"> requérant n</w:t>
      </w:r>
      <w:r>
        <w:t>’</w:t>
      </w:r>
      <w:r w:rsidRPr="00C033E8">
        <w:t>a jamais été entendu</w:t>
      </w:r>
      <w:r>
        <w:t xml:space="preserve"> ou même appelé</w:t>
      </w:r>
      <w:r w:rsidRPr="00C033E8">
        <w:t xml:space="preserve"> au sujet des actes de torture qu</w:t>
      </w:r>
      <w:r>
        <w:t>’il</w:t>
      </w:r>
      <w:r w:rsidRPr="00C033E8">
        <w:t xml:space="preserve"> a subis et qui étaient pourtant largement connus</w:t>
      </w:r>
      <w:r w:rsidR="00E80A5E" w:rsidRPr="00E80A5E">
        <w:t>.</w:t>
      </w:r>
      <w:r>
        <w:t xml:space="preserve"> </w:t>
      </w:r>
      <w:r w:rsidRPr="009E7D26">
        <w:t>L</w:t>
      </w:r>
      <w:r>
        <w:t>’</w:t>
      </w:r>
      <w:r w:rsidRPr="009E7D26">
        <w:t>affaire dans laquelle l</w:t>
      </w:r>
      <w:r>
        <w:t xml:space="preserve">e requérant </w:t>
      </w:r>
      <w:r w:rsidRPr="009E7D26">
        <w:t xml:space="preserve">a été impliqué a </w:t>
      </w:r>
      <w:r>
        <w:t>eu</w:t>
      </w:r>
      <w:r w:rsidRPr="009E7D26">
        <w:t xml:space="preserve"> un très fort retentisseme</w:t>
      </w:r>
      <w:r>
        <w:t>nt médiatique, au niveau tant national</w:t>
      </w:r>
      <w:r w:rsidRPr="00E73881">
        <w:rPr>
          <w:rStyle w:val="Appelnotedebasdep"/>
        </w:rPr>
        <w:footnoteReference w:id="9"/>
      </w:r>
      <w:r w:rsidRPr="009E7D26">
        <w:t xml:space="preserve"> </w:t>
      </w:r>
      <w:r>
        <w:t>qu’</w:t>
      </w:r>
      <w:r w:rsidRPr="009E7D26">
        <w:t>international</w:t>
      </w:r>
      <w:r w:rsidRPr="00E73881">
        <w:rPr>
          <w:rStyle w:val="Appelnotedebasdep"/>
        </w:rPr>
        <w:footnoteReference w:id="10"/>
      </w:r>
      <w:r w:rsidR="00E80A5E" w:rsidRPr="00E80A5E">
        <w:t>.</w:t>
      </w:r>
      <w:r>
        <w:t xml:space="preserve"> De plus, les responsables de ces </w:t>
      </w:r>
      <w:r>
        <w:lastRenderedPageBreak/>
        <w:t>violations, bien qu’ils soient identifiés expressément dans la plainte, n’ont jamais été sanctionnés par l’État partie</w:t>
      </w:r>
      <w:r w:rsidR="00E80A5E" w:rsidRPr="00E80A5E">
        <w:t>.</w:t>
      </w:r>
    </w:p>
    <w:p w14:paraId="73AF97F3" w14:textId="25B3101C" w:rsidR="00C35C59" w:rsidRDefault="00C35C59" w:rsidP="000F4638">
      <w:pPr>
        <w:pStyle w:val="SingleTxtG"/>
        <w:keepNext/>
        <w:keepLines/>
      </w:pPr>
      <w:r>
        <w:t>2</w:t>
      </w:r>
      <w:r w:rsidR="00E80A5E" w:rsidRPr="00E80A5E">
        <w:t>.</w:t>
      </w:r>
      <w:r>
        <w:t>10</w:t>
      </w:r>
      <w:r>
        <w:tab/>
      </w:r>
      <w:r w:rsidRPr="00751FB0">
        <w:t>Outre le refus manifeste des autorités d</w:t>
      </w:r>
      <w:r>
        <w:t>’</w:t>
      </w:r>
      <w:r w:rsidRPr="00751FB0">
        <w:t>établir les responsabilités dans cette affaire, l</w:t>
      </w:r>
      <w:r>
        <w:t>e</w:t>
      </w:r>
      <w:r w:rsidRPr="00751FB0">
        <w:t xml:space="preserve"> requérant relève le climat général d</w:t>
      </w:r>
      <w:r>
        <w:t>’</w:t>
      </w:r>
      <w:r w:rsidRPr="00751FB0">
        <w:t xml:space="preserve">impunité au Burundi, notamment pour les actes de torture, </w:t>
      </w:r>
      <w:r>
        <w:t>lequel</w:t>
      </w:r>
      <w:r w:rsidRPr="00751FB0">
        <w:t xml:space="preserve"> a fait l</w:t>
      </w:r>
      <w:r>
        <w:t>’</w:t>
      </w:r>
      <w:r w:rsidRPr="00751FB0">
        <w:t>objet de nombreux rapports d</w:t>
      </w:r>
      <w:r>
        <w:t>’</w:t>
      </w:r>
      <w:r w:rsidRPr="00751FB0">
        <w:t xml:space="preserve">organismes </w:t>
      </w:r>
      <w:r>
        <w:t>des Nations Unies</w:t>
      </w:r>
      <w:r w:rsidRPr="00E73881">
        <w:rPr>
          <w:rStyle w:val="Appelnotedebasdep"/>
        </w:rPr>
        <w:footnoteReference w:id="11"/>
      </w:r>
      <w:r w:rsidR="00E80A5E" w:rsidRPr="00E80A5E">
        <w:t>.</w:t>
      </w:r>
      <w:r w:rsidRPr="00751FB0">
        <w:t xml:space="preserve"> </w:t>
      </w:r>
      <w:r>
        <w:t>En outre, dans ses c</w:t>
      </w:r>
      <w:r w:rsidRPr="001E21CD">
        <w:t xml:space="preserve">onclusions </w:t>
      </w:r>
      <w:r>
        <w:t>sur</w:t>
      </w:r>
      <w:r w:rsidRPr="001E21CD">
        <w:t xml:space="preserve"> le rapport initial du Burundi adoptées le 20</w:t>
      </w:r>
      <w:r w:rsidR="000F4638">
        <w:t> </w:t>
      </w:r>
      <w:r w:rsidRPr="001E21CD">
        <w:t>novembre 2006</w:t>
      </w:r>
      <w:r>
        <w:t xml:space="preserve">, </w:t>
      </w:r>
      <w:r w:rsidRPr="00751FB0">
        <w:t xml:space="preserve">le Comité a exprimé </w:t>
      </w:r>
      <w:r>
        <w:t>ses</w:t>
      </w:r>
      <w:r w:rsidRPr="00751FB0">
        <w:t xml:space="preserve"> préoccupation</w:t>
      </w:r>
      <w:r>
        <w:t>s</w:t>
      </w:r>
      <w:r w:rsidRPr="00751FB0">
        <w:t xml:space="preserve"> quant à </w:t>
      </w:r>
      <w:r w:rsidRPr="00892B9B">
        <w:t>la situation de dépendance de fait du pouvoir judiciaire au pouvoir exécutif</w:t>
      </w:r>
      <w:r w:rsidRPr="00E73881">
        <w:rPr>
          <w:rStyle w:val="Appelnotedebasdep"/>
        </w:rPr>
        <w:footnoteReference w:id="12"/>
      </w:r>
      <w:r w:rsidR="00E80A5E" w:rsidRPr="00E80A5E">
        <w:t>.</w:t>
      </w:r>
      <w:r>
        <w:t xml:space="preserve"> Ensuite, dans ses o</w:t>
      </w:r>
      <w:r w:rsidRPr="00A42E6C">
        <w:t>bservations finales concernant le deuxième rapport périodique du Burundi</w:t>
      </w:r>
      <w:r>
        <w:t xml:space="preserve">, en novembre 2014, le Comité s’est dit </w:t>
      </w:r>
      <w:r w:rsidRPr="00DC4BF7">
        <w:t>préoccupé par la faiblesse et la lenteur des enquêtes ouvertes et des poursuites engagées corroborant ainsi des allégations d</w:t>
      </w:r>
      <w:r>
        <w:t>’</w:t>
      </w:r>
      <w:r w:rsidRPr="00DC4BF7">
        <w:t>impunité prévalant à l</w:t>
      </w:r>
      <w:r>
        <w:t>’</w:t>
      </w:r>
      <w:r w:rsidRPr="00DC4BF7">
        <w:t>égard des responsables</w:t>
      </w:r>
      <w:r>
        <w:t xml:space="preserve"> d’actes de torture et d’exécutions extrajudiciaires impliquant notamment la Police nationale du Burundi et le Service national de renseignement</w:t>
      </w:r>
      <w:r w:rsidRPr="00E73881">
        <w:rPr>
          <w:rStyle w:val="Appelnotedebasdep"/>
        </w:rPr>
        <w:footnoteReference w:id="13"/>
      </w:r>
      <w:r w:rsidR="00E80A5E" w:rsidRPr="00E80A5E">
        <w:t>.</w:t>
      </w:r>
      <w:r>
        <w:t xml:space="preserve"> Enfin, dans ses observations finales d’août 2016</w:t>
      </w:r>
      <w:r w:rsidRPr="00E406F6">
        <w:t xml:space="preserve"> concernant le rapport spécial du Burundi</w:t>
      </w:r>
      <w:r>
        <w:t>, le Comité a de nouveau exprimé sa préoccupation sur l’</w:t>
      </w:r>
      <w:r w:rsidRPr="00987EF1">
        <w:t>augmentation des cas de torture</w:t>
      </w:r>
      <w:r>
        <w:t>, et a demandé</w:t>
      </w:r>
      <w:r w:rsidRPr="00DE02E9">
        <w:t xml:space="preserve"> instamment </w:t>
      </w:r>
      <w:r>
        <w:t xml:space="preserve">au Burundi de mettre un terme à l’impunité et de </w:t>
      </w:r>
      <w:r w:rsidRPr="00E406F6">
        <w:t>veiller à ce que tous les cas et allégations de torture et de mauvais traitements</w:t>
      </w:r>
      <w:r>
        <w:t>, y compris ceux commis par des personnes qui occupent des postes de commandement,</w:t>
      </w:r>
      <w:r w:rsidRPr="00E406F6">
        <w:t xml:space="preserve"> donnent rapidement lieu à une e</w:t>
      </w:r>
      <w:r>
        <w:t>nquête efficace et impartiale</w:t>
      </w:r>
      <w:r w:rsidRPr="00E73881">
        <w:rPr>
          <w:rStyle w:val="Appelnotedebasdep"/>
        </w:rPr>
        <w:footnoteReference w:id="14"/>
      </w:r>
      <w:r w:rsidR="00E80A5E" w:rsidRPr="00E80A5E">
        <w:t>.</w:t>
      </w:r>
    </w:p>
    <w:p w14:paraId="32654242" w14:textId="6DB804FF" w:rsidR="00C35C59" w:rsidRDefault="00C35C59" w:rsidP="00C35C59">
      <w:pPr>
        <w:pStyle w:val="SingleTxtG"/>
        <w:rPr>
          <w:rFonts w:eastAsia="MS Mincho"/>
        </w:rPr>
      </w:pPr>
      <w:r>
        <w:t>2</w:t>
      </w:r>
      <w:r w:rsidR="00E80A5E" w:rsidRPr="00E80A5E">
        <w:t>.</w:t>
      </w:r>
      <w:r>
        <w:t>11</w:t>
      </w:r>
      <w:r w:rsidRPr="00715153">
        <w:tab/>
      </w:r>
      <w:r>
        <w:t>Le</w:t>
      </w:r>
      <w:r w:rsidRPr="00715153">
        <w:t xml:space="preserve"> requérant fait en conséquence valoir </w:t>
      </w:r>
      <w:r>
        <w:t xml:space="preserve">que </w:t>
      </w:r>
      <w:r w:rsidRPr="00715153">
        <w:t>les voies de recours internes disponibles ne lui ont donné aucune satisfaction</w:t>
      </w:r>
      <w:r>
        <w:t>,</w:t>
      </w:r>
      <w:r w:rsidRPr="00715153">
        <w:t xml:space="preserve"> </w:t>
      </w:r>
      <w:r>
        <w:t xml:space="preserve">puisque </w:t>
      </w:r>
      <w:r w:rsidRPr="00715153">
        <w:t xml:space="preserve">les autorités </w:t>
      </w:r>
      <w:r>
        <w:t>n’ont pas ouvert d’enquête rapide et impartiale sur ses allégations et qu’il était dangereux pour lui</w:t>
      </w:r>
      <w:r w:rsidRPr="00D57A8B">
        <w:t xml:space="preserve"> </w:t>
      </w:r>
      <w:r w:rsidRPr="00715153">
        <w:t>d</w:t>
      </w:r>
      <w:r>
        <w:t>’</w:t>
      </w:r>
      <w:r w:rsidRPr="00715153">
        <w:t>entreprendre d</w:t>
      </w:r>
      <w:r>
        <w:t>’</w:t>
      </w:r>
      <w:r w:rsidRPr="00715153">
        <w:t>autres démarches</w:t>
      </w:r>
      <w:r>
        <w:t>, car il</w:t>
      </w:r>
      <w:r w:rsidRPr="00131EF2">
        <w:t xml:space="preserve"> risquai</w:t>
      </w:r>
      <w:r>
        <w:t xml:space="preserve">t des représailles du fait de son transfert depuis la </w:t>
      </w:r>
      <w:r w:rsidRPr="00131EF2">
        <w:t xml:space="preserve">prison de </w:t>
      </w:r>
      <w:proofErr w:type="spellStart"/>
      <w:r w:rsidRPr="00131EF2">
        <w:t>Mpimba</w:t>
      </w:r>
      <w:proofErr w:type="spellEnd"/>
      <w:r w:rsidRPr="00131EF2">
        <w:t xml:space="preserve"> </w:t>
      </w:r>
      <w:r>
        <w:t xml:space="preserve">vers la prison de </w:t>
      </w:r>
      <w:proofErr w:type="spellStart"/>
      <w:r>
        <w:t>Rumonge</w:t>
      </w:r>
      <w:proofErr w:type="spellEnd"/>
      <w:r>
        <w:t xml:space="preserve">, où il risque une élimination physique, </w:t>
      </w:r>
      <w:r w:rsidRPr="00131EF2">
        <w:t>et aussi du f</w:t>
      </w:r>
      <w:r>
        <w:t>ait de la détention de son épouse et des menaces reçues par ses avocats</w:t>
      </w:r>
      <w:r w:rsidRPr="00E73881">
        <w:rPr>
          <w:rStyle w:val="Appelnotedebasdep"/>
        </w:rPr>
        <w:footnoteReference w:id="15"/>
      </w:r>
      <w:r w:rsidR="00E80A5E" w:rsidRPr="00E80A5E">
        <w:t>.</w:t>
      </w:r>
    </w:p>
    <w:p w14:paraId="71ABB6EA" w14:textId="77777777" w:rsidR="00C35C59" w:rsidRDefault="00C35C59" w:rsidP="00C35C59">
      <w:pPr>
        <w:pStyle w:val="H23G"/>
        <w:rPr>
          <w:rFonts w:eastAsia="MS Mincho"/>
          <w:lang w:val="fr-FR" w:eastAsia="zh-CN"/>
        </w:rPr>
      </w:pPr>
      <w:r>
        <w:rPr>
          <w:rFonts w:eastAsia="MS Mincho"/>
          <w:lang w:val="fr-FR" w:eastAsia="zh-CN"/>
        </w:rPr>
        <w:tab/>
      </w:r>
      <w:r>
        <w:rPr>
          <w:rFonts w:eastAsia="MS Mincho"/>
          <w:lang w:val="fr-FR" w:eastAsia="zh-CN"/>
        </w:rPr>
        <w:tab/>
      </w:r>
      <w:r w:rsidRPr="002E3753">
        <w:rPr>
          <w:rFonts w:eastAsia="MS Mincho"/>
          <w:lang w:val="fr-FR" w:eastAsia="zh-CN"/>
        </w:rPr>
        <w:t>Teneur de la plainte</w:t>
      </w:r>
    </w:p>
    <w:p w14:paraId="63952026" w14:textId="356E587F" w:rsidR="00C35C59" w:rsidRPr="00C84F9F" w:rsidRDefault="00C35C59" w:rsidP="00C35C59">
      <w:pPr>
        <w:pStyle w:val="SingleTxtG"/>
        <w:rPr>
          <w:rFonts w:eastAsia="MS Mincho"/>
        </w:rPr>
      </w:pPr>
      <w:r w:rsidRPr="00C84F9F">
        <w:rPr>
          <w:rFonts w:eastAsia="MS Mincho"/>
        </w:rPr>
        <w:t>3</w:t>
      </w:r>
      <w:r w:rsidR="00E80A5E" w:rsidRPr="00E80A5E">
        <w:rPr>
          <w:rFonts w:eastAsia="MS Mincho"/>
        </w:rPr>
        <w:t>.</w:t>
      </w:r>
      <w:r w:rsidRPr="00C84F9F">
        <w:rPr>
          <w:rFonts w:eastAsia="MS Mincho"/>
        </w:rPr>
        <w:t>1</w:t>
      </w:r>
      <w:r w:rsidRPr="00C84F9F">
        <w:rPr>
          <w:rFonts w:eastAsia="MS Mincho"/>
        </w:rPr>
        <w:tab/>
      </w:r>
      <w:r w:rsidRPr="00F3263E">
        <w:rPr>
          <w:rFonts w:eastAsia="MS Mincho"/>
        </w:rPr>
        <w:t>L</w:t>
      </w:r>
      <w:r>
        <w:rPr>
          <w:rFonts w:eastAsia="MS Mincho"/>
        </w:rPr>
        <w:t>e</w:t>
      </w:r>
      <w:r w:rsidRPr="00F3263E">
        <w:rPr>
          <w:rFonts w:eastAsia="MS Mincho"/>
        </w:rPr>
        <w:t xml:space="preserve"> requérant prétend être victime d</w:t>
      </w:r>
      <w:r>
        <w:rPr>
          <w:rFonts w:eastAsia="MS Mincho"/>
        </w:rPr>
        <w:t xml:space="preserve">’une </w:t>
      </w:r>
      <w:r w:rsidRPr="00F3263E">
        <w:rPr>
          <w:rFonts w:eastAsia="MS Mincho"/>
        </w:rPr>
        <w:t xml:space="preserve">violation par </w:t>
      </w:r>
      <w:r>
        <w:rPr>
          <w:rFonts w:eastAsia="MS Mincho"/>
        </w:rPr>
        <w:t>l’État partie</w:t>
      </w:r>
      <w:r w:rsidRPr="00F3263E">
        <w:rPr>
          <w:rFonts w:eastAsia="MS Mincho"/>
        </w:rPr>
        <w:t xml:space="preserve"> de ses droits protégés par</w:t>
      </w:r>
      <w:r>
        <w:rPr>
          <w:rFonts w:eastAsia="MS Mincho"/>
        </w:rPr>
        <w:t xml:space="preserve"> les articles</w:t>
      </w:r>
      <w:r w:rsidR="000F4638">
        <w:rPr>
          <w:rFonts w:eastAsia="MS Mincho"/>
        </w:rPr>
        <w:t> </w:t>
      </w:r>
      <w:r>
        <w:rPr>
          <w:rFonts w:eastAsia="MS Mincho"/>
        </w:rPr>
        <w:t>2 (par</w:t>
      </w:r>
      <w:r w:rsidR="00E80A5E" w:rsidRPr="00E80A5E">
        <w:rPr>
          <w:rFonts w:eastAsia="MS Mincho"/>
        </w:rPr>
        <w:t>.</w:t>
      </w:r>
      <w:r w:rsidR="000F4638">
        <w:rPr>
          <w:rFonts w:eastAsia="MS Mincho"/>
        </w:rPr>
        <w:t> </w:t>
      </w:r>
      <w:r>
        <w:rPr>
          <w:rFonts w:eastAsia="MS Mincho"/>
        </w:rPr>
        <w:t>1) et</w:t>
      </w:r>
      <w:r w:rsidRPr="00F3263E">
        <w:rPr>
          <w:rFonts w:eastAsia="MS Mincho"/>
        </w:rPr>
        <w:t xml:space="preserve"> </w:t>
      </w:r>
      <w:r>
        <w:rPr>
          <w:rFonts w:eastAsia="MS Mincho"/>
        </w:rPr>
        <w:t>11 à</w:t>
      </w:r>
      <w:r w:rsidRPr="00F3263E">
        <w:rPr>
          <w:rFonts w:eastAsia="MS Mincho"/>
        </w:rPr>
        <w:t xml:space="preserve"> 14, lus conjointement avec l</w:t>
      </w:r>
      <w:r>
        <w:rPr>
          <w:rFonts w:eastAsia="MS Mincho"/>
        </w:rPr>
        <w:t>’</w:t>
      </w:r>
      <w:r w:rsidRPr="00F3263E">
        <w:rPr>
          <w:rFonts w:eastAsia="MS Mincho"/>
        </w:rPr>
        <w:t>article</w:t>
      </w:r>
      <w:r w:rsidR="000F4638">
        <w:rPr>
          <w:rFonts w:eastAsia="MS Mincho"/>
        </w:rPr>
        <w:t> </w:t>
      </w:r>
      <w:r w:rsidRPr="00F3263E">
        <w:rPr>
          <w:rFonts w:eastAsia="MS Mincho"/>
        </w:rPr>
        <w:t>1</w:t>
      </w:r>
      <w:r w:rsidRPr="007905B0">
        <w:rPr>
          <w:rFonts w:eastAsia="MS Mincho"/>
          <w:vertAlign w:val="superscript"/>
        </w:rPr>
        <w:t>er</w:t>
      </w:r>
      <w:r w:rsidRPr="00F3263E">
        <w:rPr>
          <w:rFonts w:eastAsia="MS Mincho"/>
        </w:rPr>
        <w:t xml:space="preserve"> et, subsidiairement, avec l</w:t>
      </w:r>
      <w:r>
        <w:rPr>
          <w:rFonts w:eastAsia="MS Mincho"/>
        </w:rPr>
        <w:t>’</w:t>
      </w:r>
      <w:r w:rsidRPr="00F3263E">
        <w:rPr>
          <w:rFonts w:eastAsia="MS Mincho"/>
        </w:rPr>
        <w:t>article</w:t>
      </w:r>
      <w:r w:rsidR="000F4638">
        <w:rPr>
          <w:rFonts w:eastAsia="MS Mincho"/>
        </w:rPr>
        <w:t> </w:t>
      </w:r>
      <w:r w:rsidRPr="00F3263E">
        <w:rPr>
          <w:rFonts w:eastAsia="MS Mincho"/>
        </w:rPr>
        <w:t>16 de la Convention</w:t>
      </w:r>
      <w:r>
        <w:rPr>
          <w:rFonts w:eastAsia="MS Mincho"/>
        </w:rPr>
        <w:t>, ainsi que de l’article 16 de la Convention lu seul</w:t>
      </w:r>
      <w:r w:rsidR="00E80A5E" w:rsidRPr="00E80A5E">
        <w:rPr>
          <w:rFonts w:eastAsia="MS Mincho"/>
        </w:rPr>
        <w:t>.</w:t>
      </w:r>
    </w:p>
    <w:p w14:paraId="6AFF366E" w14:textId="5598FA4B" w:rsidR="00C35C59" w:rsidRDefault="00C35C59" w:rsidP="00C35C59">
      <w:pPr>
        <w:pStyle w:val="SingleTxtG"/>
      </w:pPr>
      <w:r w:rsidRPr="00C84F9F">
        <w:rPr>
          <w:rFonts w:eastAsia="MS Mincho"/>
        </w:rPr>
        <w:t>3</w:t>
      </w:r>
      <w:r w:rsidR="00E80A5E" w:rsidRPr="00E80A5E">
        <w:rPr>
          <w:rFonts w:eastAsia="MS Mincho"/>
        </w:rPr>
        <w:t>.</w:t>
      </w:r>
      <w:r w:rsidRPr="00C84F9F">
        <w:rPr>
          <w:rFonts w:eastAsia="MS Mincho"/>
        </w:rPr>
        <w:t>2</w:t>
      </w:r>
      <w:r w:rsidRPr="00C84F9F">
        <w:rPr>
          <w:rFonts w:eastAsia="MS Mincho"/>
        </w:rPr>
        <w:tab/>
      </w:r>
      <w:r w:rsidRPr="00C033E8">
        <w:rPr>
          <w:rFonts w:eastAsia="MS Mincho"/>
        </w:rPr>
        <w:t>Selon l</w:t>
      </w:r>
      <w:r>
        <w:rPr>
          <w:rFonts w:eastAsia="MS Mincho"/>
        </w:rPr>
        <w:t>e requérant</w:t>
      </w:r>
      <w:r w:rsidRPr="00C033E8">
        <w:rPr>
          <w:rFonts w:eastAsia="MS Mincho"/>
        </w:rPr>
        <w:t>, les sévices qui lui ont été infligés ont provoqué des douleurs et des souffrances aiguës, qui ont encore un impact aujourd</w:t>
      </w:r>
      <w:r>
        <w:rPr>
          <w:rFonts w:eastAsia="MS Mincho"/>
        </w:rPr>
        <w:t>’</w:t>
      </w:r>
      <w:r w:rsidRPr="00C033E8">
        <w:rPr>
          <w:rFonts w:eastAsia="MS Mincho"/>
        </w:rPr>
        <w:t>hui sur sa santé tant physique que psychologique</w:t>
      </w:r>
      <w:r w:rsidR="00E80A5E" w:rsidRPr="00E80A5E">
        <w:rPr>
          <w:rFonts w:eastAsia="MS Mincho"/>
        </w:rPr>
        <w:t>.</w:t>
      </w:r>
      <w:r w:rsidRPr="00C033E8">
        <w:rPr>
          <w:rFonts w:eastAsia="MS Mincho"/>
        </w:rPr>
        <w:t xml:space="preserve"> Parmi les séquelles des actes de torture subis en mars 2014, </w:t>
      </w:r>
      <w:r>
        <w:rPr>
          <w:rFonts w:eastAsia="MS Mincho"/>
        </w:rPr>
        <w:t>sa main gauche reste insensible entre le pouce et l’index, à l’endroit où il a été atteint par balle, il</w:t>
      </w:r>
      <w:r w:rsidRPr="00C033E8">
        <w:rPr>
          <w:rFonts w:eastAsia="MS Mincho"/>
        </w:rPr>
        <w:t xml:space="preserve"> souffre de douleurs </w:t>
      </w:r>
      <w:r>
        <w:rPr>
          <w:rFonts w:eastAsia="MS Mincho"/>
        </w:rPr>
        <w:t>aux jambes et au dos, et doit faire beaucoup d’efforts pour se tenir correctement debout</w:t>
      </w:r>
      <w:r w:rsidR="00E80A5E" w:rsidRPr="00E80A5E">
        <w:rPr>
          <w:rFonts w:eastAsia="MS Mincho"/>
        </w:rPr>
        <w:t>.</w:t>
      </w:r>
      <w:r>
        <w:rPr>
          <w:rFonts w:eastAsia="MS Mincho"/>
        </w:rPr>
        <w:t xml:space="preserve"> Beaucoup de cicatrices sont toujours visibles sur ses jambes et son dos</w:t>
      </w:r>
      <w:r w:rsidR="00E80A5E" w:rsidRPr="00E80A5E">
        <w:rPr>
          <w:rFonts w:eastAsia="MS Mincho"/>
        </w:rPr>
        <w:t>.</w:t>
      </w:r>
      <w:r w:rsidRPr="00C033E8">
        <w:rPr>
          <w:rFonts w:eastAsia="MS Mincho"/>
        </w:rPr>
        <w:t xml:space="preserve"> Le but des policiers qui </w:t>
      </w:r>
      <w:r>
        <w:rPr>
          <w:rFonts w:eastAsia="MS Mincho"/>
        </w:rPr>
        <w:t xml:space="preserve">lui ont tiré dessus et </w:t>
      </w:r>
      <w:r w:rsidRPr="00C033E8">
        <w:rPr>
          <w:rFonts w:eastAsia="MS Mincho"/>
        </w:rPr>
        <w:t>l</w:t>
      </w:r>
      <w:r>
        <w:rPr>
          <w:rFonts w:eastAsia="MS Mincho"/>
        </w:rPr>
        <w:t>’</w:t>
      </w:r>
      <w:r w:rsidRPr="00C033E8">
        <w:rPr>
          <w:rFonts w:eastAsia="MS Mincho"/>
        </w:rPr>
        <w:t>ont violemment battu était bien de prov</w:t>
      </w:r>
      <w:r>
        <w:rPr>
          <w:rFonts w:eastAsia="MS Mincho"/>
        </w:rPr>
        <w:t>oquer une telle souffrance</w:t>
      </w:r>
      <w:r w:rsidR="00E80A5E" w:rsidRPr="00E80A5E">
        <w:rPr>
          <w:rFonts w:eastAsia="MS Mincho"/>
        </w:rPr>
        <w:t>.</w:t>
      </w:r>
      <w:r w:rsidRPr="00C033E8">
        <w:rPr>
          <w:rFonts w:eastAsia="MS Mincho"/>
        </w:rPr>
        <w:t xml:space="preserve"> De plus, </w:t>
      </w:r>
      <w:r>
        <w:rPr>
          <w:rFonts w:eastAsia="MS Mincho"/>
        </w:rPr>
        <w:t>il</w:t>
      </w:r>
      <w:r w:rsidRPr="00C033E8">
        <w:rPr>
          <w:rFonts w:eastAsia="MS Mincho"/>
        </w:rPr>
        <w:t xml:space="preserve"> s</w:t>
      </w:r>
      <w:r>
        <w:rPr>
          <w:rFonts w:eastAsia="MS Mincho"/>
        </w:rPr>
        <w:t>’</w:t>
      </w:r>
      <w:r w:rsidRPr="00C033E8">
        <w:rPr>
          <w:rFonts w:eastAsia="MS Mincho"/>
        </w:rPr>
        <w:t>est vu refuser l</w:t>
      </w:r>
      <w:r>
        <w:rPr>
          <w:rFonts w:eastAsia="MS Mincho"/>
        </w:rPr>
        <w:t>’</w:t>
      </w:r>
      <w:r w:rsidRPr="00C033E8">
        <w:rPr>
          <w:rFonts w:eastAsia="MS Mincho"/>
        </w:rPr>
        <w:t>accès aux soins du personnel de la Croix-Rouge se trouvant sur</w:t>
      </w:r>
      <w:r>
        <w:rPr>
          <w:rFonts w:eastAsia="MS Mincho"/>
        </w:rPr>
        <w:t xml:space="preserve"> place, et au lieu d’être amené</w:t>
      </w:r>
      <w:r w:rsidRPr="00C033E8">
        <w:rPr>
          <w:rFonts w:eastAsia="MS Mincho"/>
        </w:rPr>
        <w:t xml:space="preserve"> d</w:t>
      </w:r>
      <w:r>
        <w:rPr>
          <w:rFonts w:eastAsia="MS Mincho"/>
        </w:rPr>
        <w:t>’</w:t>
      </w:r>
      <w:r w:rsidRPr="00C033E8">
        <w:rPr>
          <w:rFonts w:eastAsia="MS Mincho"/>
        </w:rPr>
        <w:t>urgence à l</w:t>
      </w:r>
      <w:r>
        <w:rPr>
          <w:rFonts w:eastAsia="MS Mincho"/>
        </w:rPr>
        <w:t>’</w:t>
      </w:r>
      <w:r w:rsidRPr="00C033E8">
        <w:rPr>
          <w:rFonts w:eastAsia="MS Mincho"/>
        </w:rPr>
        <w:t xml:space="preserve">hôpital pour recevoir le traitement médical dont </w:t>
      </w:r>
      <w:r>
        <w:rPr>
          <w:rFonts w:eastAsia="MS Mincho"/>
        </w:rPr>
        <w:t>il</w:t>
      </w:r>
      <w:r w:rsidRPr="00C033E8">
        <w:rPr>
          <w:rFonts w:eastAsia="MS Mincho"/>
        </w:rPr>
        <w:t xml:space="preserve"> avait visiblement besoin, </w:t>
      </w:r>
      <w:r>
        <w:rPr>
          <w:rFonts w:eastAsia="MS Mincho"/>
        </w:rPr>
        <w:t>il a été conduit</w:t>
      </w:r>
      <w:r w:rsidRPr="00C033E8">
        <w:rPr>
          <w:rFonts w:eastAsia="MS Mincho"/>
        </w:rPr>
        <w:t xml:space="preserve"> au Service national de renseignement</w:t>
      </w:r>
      <w:r>
        <w:rPr>
          <w:rFonts w:eastAsia="MS Mincho"/>
        </w:rPr>
        <w:t xml:space="preserve"> pour être interrogé</w:t>
      </w:r>
      <w:r w:rsidR="00E80A5E" w:rsidRPr="00E80A5E">
        <w:rPr>
          <w:rFonts w:eastAsia="MS Mincho"/>
        </w:rPr>
        <w:t>.</w:t>
      </w:r>
      <w:r w:rsidRPr="00C033E8">
        <w:rPr>
          <w:rFonts w:eastAsia="MS Mincho"/>
        </w:rPr>
        <w:t xml:space="preserve"> Ces actes de torture infligés par les membres de la Police nationale visaient à l</w:t>
      </w:r>
      <w:r>
        <w:rPr>
          <w:rFonts w:eastAsia="MS Mincho"/>
        </w:rPr>
        <w:t>’</w:t>
      </w:r>
      <w:r w:rsidRPr="00C033E8">
        <w:rPr>
          <w:rFonts w:eastAsia="MS Mincho"/>
        </w:rPr>
        <w:t xml:space="preserve">intimider, à </w:t>
      </w:r>
      <w:r>
        <w:rPr>
          <w:rFonts w:eastAsia="MS Mincho"/>
        </w:rPr>
        <w:t>le</w:t>
      </w:r>
      <w:r w:rsidRPr="00C033E8">
        <w:rPr>
          <w:rFonts w:eastAsia="MS Mincho"/>
        </w:rPr>
        <w:t xml:space="preserve"> punir et à faire pression sur </w:t>
      </w:r>
      <w:r>
        <w:rPr>
          <w:rFonts w:eastAsia="MS Mincho"/>
        </w:rPr>
        <w:t>lui</w:t>
      </w:r>
      <w:r w:rsidRPr="00C033E8">
        <w:rPr>
          <w:rFonts w:eastAsia="MS Mincho"/>
        </w:rPr>
        <w:t xml:space="preserve"> en raison d</w:t>
      </w:r>
      <w:r>
        <w:rPr>
          <w:rFonts w:eastAsia="MS Mincho"/>
        </w:rPr>
        <w:t>e son appartenance politique</w:t>
      </w:r>
      <w:r w:rsidR="00E80A5E" w:rsidRPr="00E80A5E">
        <w:rPr>
          <w:rFonts w:eastAsia="MS Mincho"/>
        </w:rPr>
        <w:t>.</w:t>
      </w:r>
      <w:r>
        <w:rPr>
          <w:rFonts w:eastAsia="MS Mincho"/>
        </w:rPr>
        <w:t xml:space="preserve"> Le</w:t>
      </w:r>
      <w:r w:rsidRPr="00C033E8">
        <w:rPr>
          <w:rFonts w:eastAsia="MS Mincho"/>
        </w:rPr>
        <w:t xml:space="preserve"> requérant maintient donc que ces sévices constituent des actes de torture au sens de l</w:t>
      </w:r>
      <w:r>
        <w:rPr>
          <w:rFonts w:eastAsia="MS Mincho"/>
        </w:rPr>
        <w:t>’</w:t>
      </w:r>
      <w:r w:rsidRPr="00C033E8">
        <w:rPr>
          <w:rFonts w:eastAsia="MS Mincho"/>
        </w:rPr>
        <w:t>article</w:t>
      </w:r>
      <w:r w:rsidR="000F4638">
        <w:rPr>
          <w:rFonts w:eastAsia="MS Mincho"/>
        </w:rPr>
        <w:t> </w:t>
      </w:r>
      <w:r w:rsidRPr="00C033E8">
        <w:rPr>
          <w:rFonts w:eastAsia="MS Mincho"/>
        </w:rPr>
        <w:t>1</w:t>
      </w:r>
      <w:r w:rsidRPr="000751F1">
        <w:rPr>
          <w:rFonts w:eastAsia="MS Mincho"/>
          <w:vertAlign w:val="superscript"/>
        </w:rPr>
        <w:t>er</w:t>
      </w:r>
      <w:r>
        <w:rPr>
          <w:rFonts w:eastAsia="MS Mincho"/>
        </w:rPr>
        <w:t xml:space="preserve"> </w:t>
      </w:r>
      <w:r w:rsidRPr="00C033E8">
        <w:rPr>
          <w:rFonts w:eastAsia="MS Mincho"/>
        </w:rPr>
        <w:t>de la Convention</w:t>
      </w:r>
      <w:r w:rsidR="00E80A5E" w:rsidRPr="00E80A5E">
        <w:rPr>
          <w:rFonts w:eastAsia="MS Mincho"/>
        </w:rPr>
        <w:t>.</w:t>
      </w:r>
    </w:p>
    <w:p w14:paraId="5BD817FD" w14:textId="5232694A" w:rsidR="00C35C59" w:rsidRDefault="00C35C59" w:rsidP="00C35C59">
      <w:pPr>
        <w:pStyle w:val="SingleTxtG"/>
        <w:rPr>
          <w:rFonts w:eastAsia="MS Mincho"/>
        </w:rPr>
      </w:pPr>
      <w:r>
        <w:rPr>
          <w:rFonts w:eastAsia="MS Mincho"/>
        </w:rPr>
        <w:t>3</w:t>
      </w:r>
      <w:r w:rsidR="00E80A5E" w:rsidRPr="00E80A5E">
        <w:rPr>
          <w:rFonts w:eastAsia="MS Mincho"/>
        </w:rPr>
        <w:t>.</w:t>
      </w:r>
      <w:r>
        <w:rPr>
          <w:rFonts w:eastAsia="MS Mincho"/>
        </w:rPr>
        <w:t>3</w:t>
      </w:r>
      <w:r>
        <w:rPr>
          <w:rFonts w:eastAsia="MS Mincho"/>
        </w:rPr>
        <w:tab/>
      </w:r>
      <w:r w:rsidRPr="000525BC">
        <w:rPr>
          <w:rFonts w:eastAsia="MS Mincho"/>
        </w:rPr>
        <w:t>Au titre de l</w:t>
      </w:r>
      <w:r>
        <w:rPr>
          <w:rFonts w:eastAsia="MS Mincho"/>
        </w:rPr>
        <w:t>’</w:t>
      </w:r>
      <w:r w:rsidRPr="000525BC">
        <w:rPr>
          <w:rFonts w:eastAsia="MS Mincho"/>
        </w:rPr>
        <w:t>article</w:t>
      </w:r>
      <w:r w:rsidR="000F4638">
        <w:rPr>
          <w:rFonts w:eastAsia="MS Mincho"/>
        </w:rPr>
        <w:t> </w:t>
      </w:r>
      <w:r w:rsidRPr="000525BC">
        <w:rPr>
          <w:rFonts w:eastAsia="MS Mincho"/>
        </w:rPr>
        <w:t>2 (</w:t>
      </w:r>
      <w:r>
        <w:rPr>
          <w:rFonts w:eastAsia="MS Mincho"/>
        </w:rPr>
        <w:t>par</w:t>
      </w:r>
      <w:r w:rsidR="00E80A5E" w:rsidRPr="00E80A5E">
        <w:rPr>
          <w:rFonts w:eastAsia="MS Mincho"/>
        </w:rPr>
        <w:t>.</w:t>
      </w:r>
      <w:r w:rsidR="000F4638">
        <w:rPr>
          <w:rFonts w:eastAsia="MS Mincho"/>
        </w:rPr>
        <w:t> </w:t>
      </w:r>
      <w:r w:rsidRPr="000525BC">
        <w:rPr>
          <w:rFonts w:eastAsia="MS Mincho"/>
        </w:rPr>
        <w:t>1) de la Convention, l</w:t>
      </w:r>
      <w:r>
        <w:rPr>
          <w:rFonts w:eastAsia="MS Mincho"/>
        </w:rPr>
        <w:t>e</w:t>
      </w:r>
      <w:r w:rsidRPr="000525BC">
        <w:rPr>
          <w:rFonts w:eastAsia="MS Mincho"/>
        </w:rPr>
        <w:t xml:space="preserve"> requérant fait valoir que l</w:t>
      </w:r>
      <w:r>
        <w:rPr>
          <w:rFonts w:eastAsia="MS Mincho"/>
        </w:rPr>
        <w:t>’</w:t>
      </w:r>
      <w:r w:rsidRPr="000525BC">
        <w:rPr>
          <w:rFonts w:eastAsia="MS Mincho"/>
        </w:rPr>
        <w:t>É</w:t>
      </w:r>
      <w:r>
        <w:rPr>
          <w:rFonts w:eastAsia="MS Mincho"/>
        </w:rPr>
        <w:t>t</w:t>
      </w:r>
      <w:r w:rsidRPr="000525BC">
        <w:rPr>
          <w:rFonts w:eastAsia="MS Mincho"/>
        </w:rPr>
        <w:t>at partie n</w:t>
      </w:r>
      <w:r>
        <w:rPr>
          <w:rFonts w:eastAsia="MS Mincho"/>
        </w:rPr>
        <w:t>’</w:t>
      </w:r>
      <w:r w:rsidRPr="000525BC">
        <w:rPr>
          <w:rFonts w:eastAsia="MS Mincho"/>
        </w:rPr>
        <w:t>a pas pris de mesures efficaces pour prévenir la commission d</w:t>
      </w:r>
      <w:r>
        <w:rPr>
          <w:rFonts w:eastAsia="MS Mincho"/>
        </w:rPr>
        <w:t>’</w:t>
      </w:r>
      <w:r w:rsidRPr="000525BC">
        <w:rPr>
          <w:rFonts w:eastAsia="MS Mincho"/>
        </w:rPr>
        <w:t>actes de torture sous sa juridiction</w:t>
      </w:r>
      <w:r w:rsidR="00E80A5E" w:rsidRPr="00E80A5E">
        <w:rPr>
          <w:rFonts w:eastAsia="MS Mincho"/>
        </w:rPr>
        <w:t>.</w:t>
      </w:r>
      <w:r w:rsidRPr="000525BC">
        <w:rPr>
          <w:rFonts w:eastAsia="MS Mincho"/>
        </w:rPr>
        <w:t xml:space="preserve"> En particulier, </w:t>
      </w:r>
      <w:r>
        <w:rPr>
          <w:rFonts w:eastAsia="MS Mincho"/>
        </w:rPr>
        <w:t>des acteurs étatiques tels que des policiers et des officiers d</w:t>
      </w:r>
      <w:r w:rsidRPr="00A32C9C">
        <w:rPr>
          <w:rFonts w:eastAsia="MS Mincho"/>
        </w:rPr>
        <w:t>u Service</w:t>
      </w:r>
      <w:r>
        <w:rPr>
          <w:rFonts w:eastAsia="MS Mincho"/>
        </w:rPr>
        <w:t xml:space="preserve"> national de renseignement ont directement participé à la commission des actes constitutifs de torture</w:t>
      </w:r>
      <w:r w:rsidR="00E80A5E" w:rsidRPr="00E80A5E">
        <w:rPr>
          <w:rFonts w:eastAsia="MS Mincho"/>
        </w:rPr>
        <w:t>.</w:t>
      </w:r>
      <w:r>
        <w:rPr>
          <w:rFonts w:eastAsia="MS Mincho"/>
        </w:rPr>
        <w:t xml:space="preserve"> En outre, le 8 mars 2014 et tout au long de sa détention</w:t>
      </w:r>
      <w:r w:rsidRPr="000525BC">
        <w:rPr>
          <w:rFonts w:eastAsia="MS Mincho"/>
        </w:rPr>
        <w:t>, l</w:t>
      </w:r>
      <w:r>
        <w:rPr>
          <w:rFonts w:eastAsia="MS Mincho"/>
        </w:rPr>
        <w:t>e</w:t>
      </w:r>
      <w:r w:rsidRPr="000525BC">
        <w:rPr>
          <w:rFonts w:eastAsia="MS Mincho"/>
        </w:rPr>
        <w:t xml:space="preserve"> requérant </w:t>
      </w:r>
      <w:r w:rsidRPr="000525BC">
        <w:rPr>
          <w:rFonts w:eastAsia="MS Mincho"/>
        </w:rPr>
        <w:lastRenderedPageBreak/>
        <w:t>n</w:t>
      </w:r>
      <w:r>
        <w:rPr>
          <w:rFonts w:eastAsia="MS Mincho"/>
        </w:rPr>
        <w:t>’</w:t>
      </w:r>
      <w:r w:rsidRPr="000525BC">
        <w:rPr>
          <w:rFonts w:eastAsia="MS Mincho"/>
        </w:rPr>
        <w:t>a pas reçu de soins appropriés</w:t>
      </w:r>
      <w:r w:rsidR="00E80A5E" w:rsidRPr="00E80A5E">
        <w:rPr>
          <w:rFonts w:eastAsia="MS Mincho"/>
        </w:rPr>
        <w:t>.</w:t>
      </w:r>
      <w:r w:rsidRPr="000525BC">
        <w:rPr>
          <w:rFonts w:eastAsia="MS Mincho"/>
        </w:rPr>
        <w:t xml:space="preserve"> </w:t>
      </w:r>
      <w:r>
        <w:rPr>
          <w:rFonts w:eastAsia="MS Mincho"/>
        </w:rPr>
        <w:t>Ensuite</w:t>
      </w:r>
      <w:r w:rsidRPr="000525BC">
        <w:rPr>
          <w:rFonts w:eastAsia="MS Mincho"/>
        </w:rPr>
        <w:t>, malgré les dénonciations et une plainte formelle présentées par l</w:t>
      </w:r>
      <w:r>
        <w:rPr>
          <w:rFonts w:eastAsia="MS Mincho"/>
        </w:rPr>
        <w:t>e</w:t>
      </w:r>
      <w:r w:rsidRPr="000525BC">
        <w:rPr>
          <w:rFonts w:eastAsia="MS Mincho"/>
        </w:rPr>
        <w:t xml:space="preserve"> requérant, l</w:t>
      </w:r>
      <w:r>
        <w:rPr>
          <w:rFonts w:eastAsia="MS Mincho"/>
        </w:rPr>
        <w:t>’</w:t>
      </w:r>
      <w:r w:rsidRPr="000525BC">
        <w:rPr>
          <w:rFonts w:eastAsia="MS Mincho"/>
        </w:rPr>
        <w:t>É</w:t>
      </w:r>
      <w:r>
        <w:rPr>
          <w:rFonts w:eastAsia="MS Mincho"/>
        </w:rPr>
        <w:t>t</w:t>
      </w:r>
      <w:r w:rsidRPr="000525BC">
        <w:rPr>
          <w:rFonts w:eastAsia="MS Mincho"/>
        </w:rPr>
        <w:t>at partie ne s</w:t>
      </w:r>
      <w:r>
        <w:rPr>
          <w:rFonts w:eastAsia="MS Mincho"/>
        </w:rPr>
        <w:t>’</w:t>
      </w:r>
      <w:r w:rsidRPr="000525BC">
        <w:rPr>
          <w:rFonts w:eastAsia="MS Mincho"/>
        </w:rPr>
        <w:t>est pas acquitté de ses obligations d</w:t>
      </w:r>
      <w:r>
        <w:rPr>
          <w:rFonts w:eastAsia="MS Mincho"/>
        </w:rPr>
        <w:t>’</w:t>
      </w:r>
      <w:r w:rsidRPr="000525BC">
        <w:rPr>
          <w:rFonts w:eastAsia="MS Mincho"/>
        </w:rPr>
        <w:t>enquêter sur les tortures infligées et de traduire en justice les responsables</w:t>
      </w:r>
      <w:r>
        <w:rPr>
          <w:rFonts w:eastAsia="MS Mincho"/>
        </w:rPr>
        <w:t xml:space="preserve"> de ces actes</w:t>
      </w:r>
      <w:r w:rsidR="00E80A5E" w:rsidRPr="00E80A5E">
        <w:rPr>
          <w:rFonts w:eastAsia="MS Mincho"/>
        </w:rPr>
        <w:t>.</w:t>
      </w:r>
      <w:r w:rsidRPr="00C87FD8">
        <w:t xml:space="preserve"> </w:t>
      </w:r>
      <w:r>
        <w:rPr>
          <w:rFonts w:eastAsia="MS Mincho"/>
        </w:rPr>
        <w:t>En conséquence, le</w:t>
      </w:r>
      <w:r w:rsidRPr="000D77CE">
        <w:rPr>
          <w:rFonts w:eastAsia="MS Mincho"/>
        </w:rPr>
        <w:t xml:space="preserve"> requérant soutient que l</w:t>
      </w:r>
      <w:r>
        <w:rPr>
          <w:rFonts w:eastAsia="MS Mincho"/>
        </w:rPr>
        <w:t>’</w:t>
      </w:r>
      <w:r w:rsidRPr="000D77CE">
        <w:rPr>
          <w:rFonts w:eastAsia="MS Mincho"/>
        </w:rPr>
        <w:t>État partie n</w:t>
      </w:r>
      <w:r>
        <w:rPr>
          <w:rFonts w:eastAsia="MS Mincho"/>
        </w:rPr>
        <w:t>’</w:t>
      </w:r>
      <w:r w:rsidRPr="000D77CE">
        <w:rPr>
          <w:rFonts w:eastAsia="MS Mincho"/>
        </w:rPr>
        <w:t>a pas adopté les mesures</w:t>
      </w:r>
      <w:r>
        <w:rPr>
          <w:rFonts w:eastAsia="MS Mincho"/>
        </w:rPr>
        <w:t>, notamment législatives,</w:t>
      </w:r>
      <w:r w:rsidRPr="000D77CE">
        <w:rPr>
          <w:rFonts w:eastAsia="MS Mincho"/>
        </w:rPr>
        <w:t xml:space="preserve"> qui s</w:t>
      </w:r>
      <w:r>
        <w:rPr>
          <w:rFonts w:eastAsia="MS Mincho"/>
        </w:rPr>
        <w:t>’</w:t>
      </w:r>
      <w:r w:rsidRPr="000D77CE">
        <w:rPr>
          <w:rFonts w:eastAsia="MS Mincho"/>
        </w:rPr>
        <w:t>impos</w:t>
      </w:r>
      <w:r>
        <w:rPr>
          <w:rFonts w:eastAsia="MS Mincho"/>
        </w:rPr>
        <w:t>ai</w:t>
      </w:r>
      <w:r w:rsidRPr="000D77CE">
        <w:rPr>
          <w:rFonts w:eastAsia="MS Mincho"/>
        </w:rPr>
        <w:t>en</w:t>
      </w:r>
      <w:r>
        <w:rPr>
          <w:rFonts w:eastAsia="MS Mincho"/>
        </w:rPr>
        <w:t>t au titre de l’article</w:t>
      </w:r>
      <w:r w:rsidR="000F4638">
        <w:rPr>
          <w:rFonts w:eastAsia="MS Mincho"/>
        </w:rPr>
        <w:t> </w:t>
      </w:r>
      <w:r>
        <w:rPr>
          <w:rFonts w:eastAsia="MS Mincho"/>
        </w:rPr>
        <w:t>2 (par</w:t>
      </w:r>
      <w:r w:rsidR="00E80A5E" w:rsidRPr="00E80A5E">
        <w:rPr>
          <w:rFonts w:eastAsia="MS Mincho"/>
        </w:rPr>
        <w:t>.</w:t>
      </w:r>
      <w:r w:rsidR="000F4638">
        <w:rPr>
          <w:rFonts w:eastAsia="MS Mincho"/>
        </w:rPr>
        <w:t> </w:t>
      </w:r>
      <w:r w:rsidRPr="000D77CE">
        <w:rPr>
          <w:rFonts w:eastAsia="MS Mincho"/>
        </w:rPr>
        <w:t>1) de la Convention</w:t>
      </w:r>
      <w:r w:rsidR="00E80A5E" w:rsidRPr="00E80A5E">
        <w:rPr>
          <w:rFonts w:eastAsia="MS Mincho"/>
        </w:rPr>
        <w:t>.</w:t>
      </w:r>
    </w:p>
    <w:p w14:paraId="0C1D32D5" w14:textId="1B574C11" w:rsidR="00C35C59" w:rsidRDefault="00C35C59" w:rsidP="00C35C59">
      <w:pPr>
        <w:pStyle w:val="SingleTxtG"/>
        <w:rPr>
          <w:rFonts w:eastAsia="MS Mincho"/>
        </w:rPr>
      </w:pPr>
      <w:r>
        <w:rPr>
          <w:rFonts w:eastAsia="MS Mincho"/>
        </w:rPr>
        <w:t>3</w:t>
      </w:r>
      <w:r w:rsidR="00E80A5E" w:rsidRPr="00E80A5E">
        <w:rPr>
          <w:rFonts w:eastAsia="MS Mincho"/>
        </w:rPr>
        <w:t>.</w:t>
      </w:r>
      <w:r>
        <w:rPr>
          <w:rFonts w:eastAsia="MS Mincho"/>
        </w:rPr>
        <w:t>4</w:t>
      </w:r>
      <w:r>
        <w:rPr>
          <w:rFonts w:eastAsia="MS Mincho"/>
        </w:rPr>
        <w:tab/>
      </w:r>
      <w:r w:rsidRPr="000525BC">
        <w:rPr>
          <w:rFonts w:eastAsia="MS Mincho"/>
        </w:rPr>
        <w:t>Invoquant l</w:t>
      </w:r>
      <w:r>
        <w:rPr>
          <w:rFonts w:eastAsia="MS Mincho"/>
        </w:rPr>
        <w:t>’</w:t>
      </w:r>
      <w:r w:rsidRPr="000525BC">
        <w:rPr>
          <w:rFonts w:eastAsia="MS Mincho"/>
        </w:rPr>
        <w:t>article</w:t>
      </w:r>
      <w:r w:rsidR="000F4638">
        <w:rPr>
          <w:rFonts w:eastAsia="MS Mincho"/>
        </w:rPr>
        <w:t> </w:t>
      </w:r>
      <w:r w:rsidRPr="000525BC">
        <w:rPr>
          <w:rFonts w:eastAsia="MS Mincho"/>
        </w:rPr>
        <w:t>11 de la Conv</w:t>
      </w:r>
      <w:r>
        <w:rPr>
          <w:rFonts w:eastAsia="MS Mincho"/>
        </w:rPr>
        <w:t xml:space="preserve">ention et faisant référence </w:t>
      </w:r>
      <w:r w:rsidRPr="00FF2378">
        <w:t>à l</w:t>
      </w:r>
      <w:r>
        <w:t>’</w:t>
      </w:r>
      <w:r w:rsidRPr="00FF2378">
        <w:t xml:space="preserve">Ensemble de règles minima </w:t>
      </w:r>
      <w:r>
        <w:t xml:space="preserve">des Nations Unies </w:t>
      </w:r>
      <w:r w:rsidRPr="00FF2378">
        <w:t xml:space="preserve">pour le traitement des détenus et </w:t>
      </w:r>
      <w:r>
        <w:t xml:space="preserve">à </w:t>
      </w:r>
      <w:r w:rsidRPr="00FF2378">
        <w:t>l</w:t>
      </w:r>
      <w:r>
        <w:t>’</w:t>
      </w:r>
      <w:r w:rsidRPr="00FF2378">
        <w:t>Ensemble de principes pour la protection de toute</w:t>
      </w:r>
      <w:r>
        <w:t>s</w:t>
      </w:r>
      <w:r w:rsidRPr="00FF2378">
        <w:t xml:space="preserve"> les personnes soumises à une forme quelconque de détentio</w:t>
      </w:r>
      <w:r>
        <w:t>n ou d’emprisonnement</w:t>
      </w:r>
      <w:r>
        <w:rPr>
          <w:rFonts w:eastAsia="MS Mincho"/>
        </w:rPr>
        <w:t>, le requérant fait valoir</w:t>
      </w:r>
      <w:r w:rsidRPr="006D294D">
        <w:rPr>
          <w:rFonts w:eastAsia="MS Mincho"/>
        </w:rPr>
        <w:t xml:space="preserve"> </w:t>
      </w:r>
      <w:r>
        <w:rPr>
          <w:rFonts w:eastAsia="MS Mincho"/>
        </w:rPr>
        <w:t xml:space="preserve">qu’il est évident que l’État partie a failli à son obligation d’exercer </w:t>
      </w:r>
      <w:r w:rsidRPr="009D1918">
        <w:rPr>
          <w:rFonts w:eastAsia="MS Mincho"/>
        </w:rPr>
        <w:t>une surveillance systématique sur les règles, instru</w:t>
      </w:r>
      <w:r>
        <w:rPr>
          <w:rFonts w:eastAsia="MS Mincho"/>
        </w:rPr>
        <w:t>ctions, méthodes et pratiques d’</w:t>
      </w:r>
      <w:r w:rsidRPr="009D1918">
        <w:rPr>
          <w:rFonts w:eastAsia="MS Mincho"/>
        </w:rPr>
        <w:t>interrogatoire et sur les dispositions concernant la garde et le traitement des personnes arrêtées, détenues ou emprisonnées</w:t>
      </w:r>
      <w:r w:rsidR="00E80A5E" w:rsidRPr="00E80A5E">
        <w:rPr>
          <w:rFonts w:eastAsia="MS Mincho"/>
        </w:rPr>
        <w:t>.</w:t>
      </w:r>
      <w:r>
        <w:rPr>
          <w:rFonts w:eastAsia="MS Mincho"/>
        </w:rPr>
        <w:t xml:space="preserve"> Entre autres, </w:t>
      </w:r>
      <w:r w:rsidRPr="009D1918">
        <w:rPr>
          <w:rFonts w:eastAsia="MS Mincho"/>
        </w:rPr>
        <w:t xml:space="preserve">cela se reflète dans le </w:t>
      </w:r>
      <w:r>
        <w:rPr>
          <w:rFonts w:eastAsia="MS Mincho"/>
        </w:rPr>
        <w:t xml:space="preserve">fait </w:t>
      </w:r>
      <w:r w:rsidRPr="006D294D">
        <w:rPr>
          <w:rFonts w:eastAsia="MS Mincho"/>
        </w:rPr>
        <w:t>que malgré son état critique au moment de l</w:t>
      </w:r>
      <w:r>
        <w:rPr>
          <w:rFonts w:eastAsia="MS Mincho"/>
        </w:rPr>
        <w:t>’</w:t>
      </w:r>
      <w:r w:rsidRPr="006D294D">
        <w:rPr>
          <w:rFonts w:eastAsia="MS Mincho"/>
        </w:rPr>
        <w:t xml:space="preserve">arrestation, </w:t>
      </w:r>
      <w:r>
        <w:rPr>
          <w:rFonts w:eastAsia="MS Mincho"/>
        </w:rPr>
        <w:t>aucune mesure n’était en place pour garantir son accès prompt à l’assistance médicale,</w:t>
      </w:r>
      <w:r w:rsidRPr="006D294D">
        <w:rPr>
          <w:rFonts w:eastAsia="MS Mincho"/>
        </w:rPr>
        <w:t xml:space="preserve"> </w:t>
      </w:r>
      <w:r>
        <w:rPr>
          <w:rFonts w:eastAsia="MS Mincho"/>
        </w:rPr>
        <w:t>qu’il n’a pas été</w:t>
      </w:r>
      <w:r w:rsidRPr="006D294D">
        <w:rPr>
          <w:rFonts w:eastAsia="MS Mincho"/>
        </w:rPr>
        <w:t xml:space="preserve"> informé </w:t>
      </w:r>
      <w:r>
        <w:rPr>
          <w:rFonts w:eastAsia="MS Mincho"/>
        </w:rPr>
        <w:t xml:space="preserve">immédiatement </w:t>
      </w:r>
      <w:r w:rsidRPr="006D294D">
        <w:rPr>
          <w:rFonts w:eastAsia="MS Mincho"/>
        </w:rPr>
        <w:t>des chefs d</w:t>
      </w:r>
      <w:r>
        <w:rPr>
          <w:rFonts w:eastAsia="MS Mincho"/>
        </w:rPr>
        <w:t>’</w:t>
      </w:r>
      <w:r w:rsidRPr="006D294D">
        <w:rPr>
          <w:rFonts w:eastAsia="MS Mincho"/>
        </w:rPr>
        <w:t xml:space="preserve">accusation retenus contre </w:t>
      </w:r>
      <w:r>
        <w:rPr>
          <w:rFonts w:eastAsia="MS Mincho"/>
        </w:rPr>
        <w:t>lui, qu’il n’a pas pu bénéficier</w:t>
      </w:r>
      <w:r w:rsidRPr="006D294D">
        <w:rPr>
          <w:rFonts w:eastAsia="MS Mincho"/>
        </w:rPr>
        <w:t xml:space="preserve"> de voies de recours efficaces pour </w:t>
      </w:r>
      <w:r>
        <w:rPr>
          <w:rFonts w:eastAsia="MS Mincho"/>
        </w:rPr>
        <w:t>contester le traitement subi, et qu’i</w:t>
      </w:r>
      <w:r w:rsidRPr="006D294D">
        <w:rPr>
          <w:rFonts w:eastAsia="MS Mincho"/>
        </w:rPr>
        <w:t xml:space="preserve">l a été détenu dans des conditions déplorables à la prison de </w:t>
      </w:r>
      <w:proofErr w:type="spellStart"/>
      <w:r w:rsidRPr="006D294D">
        <w:rPr>
          <w:rFonts w:eastAsia="MS Mincho"/>
        </w:rPr>
        <w:t>Mpimba</w:t>
      </w:r>
      <w:proofErr w:type="spellEnd"/>
      <w:r>
        <w:rPr>
          <w:rFonts w:eastAsia="MS Mincho"/>
        </w:rPr>
        <w:t xml:space="preserve"> et ensuite à celle de </w:t>
      </w:r>
      <w:proofErr w:type="spellStart"/>
      <w:r>
        <w:rPr>
          <w:rFonts w:eastAsia="MS Mincho"/>
        </w:rPr>
        <w:t>Rumonge</w:t>
      </w:r>
      <w:proofErr w:type="spellEnd"/>
      <w:r w:rsidRPr="006D294D">
        <w:rPr>
          <w:rFonts w:eastAsia="MS Mincho"/>
        </w:rPr>
        <w:t>, malgr</w:t>
      </w:r>
      <w:r>
        <w:rPr>
          <w:rFonts w:eastAsia="MS Mincho"/>
        </w:rPr>
        <w:t>é son état de santé critique et l’absence de soins appropriés</w:t>
      </w:r>
      <w:r w:rsidR="00E80A5E" w:rsidRPr="00E80A5E">
        <w:rPr>
          <w:rFonts w:eastAsia="MS Mincho"/>
        </w:rPr>
        <w:t>.</w:t>
      </w:r>
    </w:p>
    <w:p w14:paraId="5733DAC3" w14:textId="56A4D812" w:rsidR="00C35C59" w:rsidRDefault="00C35C59" w:rsidP="00C35C59">
      <w:pPr>
        <w:pStyle w:val="SingleTxtG"/>
        <w:rPr>
          <w:lang w:eastAsia="en-GB"/>
        </w:rPr>
      </w:pPr>
      <w:r>
        <w:rPr>
          <w:rFonts w:eastAsia="MS Mincho"/>
        </w:rPr>
        <w:t>3</w:t>
      </w:r>
      <w:r w:rsidR="00E80A5E" w:rsidRPr="00E80A5E">
        <w:rPr>
          <w:rFonts w:eastAsia="MS Mincho"/>
        </w:rPr>
        <w:t>.</w:t>
      </w:r>
      <w:r>
        <w:rPr>
          <w:rFonts w:eastAsia="MS Mincho"/>
        </w:rPr>
        <w:t>5</w:t>
      </w:r>
      <w:r>
        <w:rPr>
          <w:rFonts w:eastAsia="MS Mincho"/>
        </w:rPr>
        <w:tab/>
      </w:r>
      <w:r w:rsidRPr="006D294D">
        <w:rPr>
          <w:lang w:eastAsia="en-GB"/>
        </w:rPr>
        <w:t>Par ailleurs, l</w:t>
      </w:r>
      <w:r>
        <w:rPr>
          <w:lang w:eastAsia="en-GB"/>
        </w:rPr>
        <w:t>e</w:t>
      </w:r>
      <w:r w:rsidRPr="006D294D">
        <w:rPr>
          <w:lang w:eastAsia="en-GB"/>
        </w:rPr>
        <w:t xml:space="preserve"> requérant fait valoir qu</w:t>
      </w:r>
      <w:r>
        <w:rPr>
          <w:lang w:eastAsia="en-GB"/>
        </w:rPr>
        <w:t>’</w:t>
      </w:r>
      <w:r w:rsidRPr="006D294D">
        <w:rPr>
          <w:lang w:eastAsia="en-GB"/>
        </w:rPr>
        <w:t>alors qu</w:t>
      </w:r>
      <w:r>
        <w:rPr>
          <w:lang w:eastAsia="en-GB"/>
        </w:rPr>
        <w:t>’</w:t>
      </w:r>
      <w:r w:rsidRPr="006D294D">
        <w:rPr>
          <w:lang w:eastAsia="en-GB"/>
        </w:rPr>
        <w:t>elles étaient informées des tortures qu</w:t>
      </w:r>
      <w:r>
        <w:rPr>
          <w:lang w:eastAsia="en-GB"/>
        </w:rPr>
        <w:t>’il</w:t>
      </w:r>
      <w:r w:rsidRPr="006D294D">
        <w:rPr>
          <w:lang w:eastAsia="en-GB"/>
        </w:rPr>
        <w:t xml:space="preserve"> avait subies par l</w:t>
      </w:r>
      <w:r>
        <w:rPr>
          <w:lang w:eastAsia="en-GB"/>
        </w:rPr>
        <w:t>’</w:t>
      </w:r>
      <w:r w:rsidRPr="006D294D">
        <w:rPr>
          <w:lang w:eastAsia="en-GB"/>
        </w:rPr>
        <w:t>intermédiaire d</w:t>
      </w:r>
      <w:r>
        <w:rPr>
          <w:lang w:eastAsia="en-GB"/>
        </w:rPr>
        <w:t>’</w:t>
      </w:r>
      <w:r w:rsidRPr="006D294D">
        <w:rPr>
          <w:lang w:eastAsia="en-GB"/>
        </w:rPr>
        <w:t>une plaint</w:t>
      </w:r>
      <w:r>
        <w:rPr>
          <w:lang w:eastAsia="en-GB"/>
        </w:rPr>
        <w:t>e déposée le 14</w:t>
      </w:r>
      <w:r w:rsidR="000F4638">
        <w:rPr>
          <w:lang w:eastAsia="en-GB"/>
        </w:rPr>
        <w:t> </w:t>
      </w:r>
      <w:r>
        <w:rPr>
          <w:lang w:eastAsia="en-GB"/>
        </w:rPr>
        <w:t>mars 2014</w:t>
      </w:r>
      <w:r w:rsidRPr="006D294D">
        <w:rPr>
          <w:lang w:eastAsia="en-GB"/>
        </w:rPr>
        <w:t>, les autorités burundaises n</w:t>
      </w:r>
      <w:r>
        <w:rPr>
          <w:lang w:eastAsia="en-GB"/>
        </w:rPr>
        <w:t>’</w:t>
      </w:r>
      <w:r w:rsidRPr="006D294D">
        <w:rPr>
          <w:lang w:eastAsia="en-GB"/>
        </w:rPr>
        <w:t>ont pas effectué d</w:t>
      </w:r>
      <w:r>
        <w:rPr>
          <w:lang w:eastAsia="en-GB"/>
        </w:rPr>
        <w:t>’</w:t>
      </w:r>
      <w:r w:rsidRPr="006D294D">
        <w:rPr>
          <w:lang w:eastAsia="en-GB"/>
        </w:rPr>
        <w:t>enquête prompte et effective sur les allégations de torture, en violation de</w:t>
      </w:r>
      <w:r>
        <w:rPr>
          <w:lang w:eastAsia="en-GB"/>
        </w:rPr>
        <w:t>s</w:t>
      </w:r>
      <w:r w:rsidRPr="006D294D">
        <w:rPr>
          <w:lang w:eastAsia="en-GB"/>
        </w:rPr>
        <w:t xml:space="preserve"> obligation</w:t>
      </w:r>
      <w:r>
        <w:rPr>
          <w:lang w:eastAsia="en-GB"/>
        </w:rPr>
        <w:t>s</w:t>
      </w:r>
      <w:r w:rsidRPr="006D294D">
        <w:rPr>
          <w:lang w:eastAsia="en-GB"/>
        </w:rPr>
        <w:t xml:space="preserve"> imposée</w:t>
      </w:r>
      <w:r>
        <w:rPr>
          <w:lang w:eastAsia="en-GB"/>
        </w:rPr>
        <w:t>s à l’État partie</w:t>
      </w:r>
      <w:r w:rsidRPr="006D294D">
        <w:rPr>
          <w:lang w:eastAsia="en-GB"/>
        </w:rPr>
        <w:t xml:space="preserve"> par l</w:t>
      </w:r>
      <w:r>
        <w:rPr>
          <w:lang w:eastAsia="en-GB"/>
        </w:rPr>
        <w:t>’</w:t>
      </w:r>
      <w:r w:rsidRPr="006D294D">
        <w:rPr>
          <w:lang w:eastAsia="en-GB"/>
        </w:rPr>
        <w:t>article</w:t>
      </w:r>
      <w:r w:rsidR="000F4638">
        <w:rPr>
          <w:lang w:eastAsia="en-GB"/>
        </w:rPr>
        <w:t> </w:t>
      </w:r>
      <w:r w:rsidRPr="006D294D">
        <w:rPr>
          <w:lang w:eastAsia="en-GB"/>
        </w:rPr>
        <w:t>12 de la Convention</w:t>
      </w:r>
      <w:r w:rsidR="00E80A5E" w:rsidRPr="00E80A5E">
        <w:rPr>
          <w:lang w:eastAsia="en-GB"/>
        </w:rPr>
        <w:t>.</w:t>
      </w:r>
      <w:r w:rsidRPr="006D294D">
        <w:rPr>
          <w:lang w:eastAsia="en-GB"/>
        </w:rPr>
        <w:t xml:space="preserve"> </w:t>
      </w:r>
      <w:r>
        <w:rPr>
          <w:lang w:eastAsia="en-GB"/>
        </w:rPr>
        <w:t xml:space="preserve">Il </w:t>
      </w:r>
      <w:r w:rsidRPr="006D294D">
        <w:rPr>
          <w:lang w:eastAsia="en-GB"/>
        </w:rPr>
        <w:t>allègue également que l</w:t>
      </w:r>
      <w:r>
        <w:rPr>
          <w:lang w:eastAsia="en-GB"/>
        </w:rPr>
        <w:t>’</w:t>
      </w:r>
      <w:r w:rsidRPr="006D294D">
        <w:rPr>
          <w:lang w:eastAsia="en-GB"/>
        </w:rPr>
        <w:t>État partie n</w:t>
      </w:r>
      <w:r>
        <w:rPr>
          <w:lang w:eastAsia="en-GB"/>
        </w:rPr>
        <w:t>’</w:t>
      </w:r>
      <w:r w:rsidRPr="006D294D">
        <w:rPr>
          <w:lang w:eastAsia="en-GB"/>
        </w:rPr>
        <w:t xml:space="preserve">a pas respecté son droit de porter plainte </w:t>
      </w:r>
      <w:r>
        <w:rPr>
          <w:lang w:eastAsia="en-GB"/>
        </w:rPr>
        <w:t xml:space="preserve">pour faire examiner son cas par les autorités compétentes d’une manière </w:t>
      </w:r>
      <w:r w:rsidRPr="006D294D">
        <w:rPr>
          <w:lang w:eastAsia="en-GB"/>
        </w:rPr>
        <w:t>immédiat</w:t>
      </w:r>
      <w:r>
        <w:rPr>
          <w:lang w:eastAsia="en-GB"/>
        </w:rPr>
        <w:t>e</w:t>
      </w:r>
      <w:r w:rsidRPr="006D294D">
        <w:rPr>
          <w:lang w:eastAsia="en-GB"/>
        </w:rPr>
        <w:t xml:space="preserve"> et impartial</w:t>
      </w:r>
      <w:r>
        <w:rPr>
          <w:lang w:eastAsia="en-GB"/>
        </w:rPr>
        <w:t>e</w:t>
      </w:r>
      <w:r w:rsidRPr="006D294D">
        <w:rPr>
          <w:lang w:eastAsia="en-GB"/>
        </w:rPr>
        <w:t xml:space="preserve">, contrevenant ainsi </w:t>
      </w:r>
      <w:r>
        <w:rPr>
          <w:lang w:eastAsia="en-GB"/>
        </w:rPr>
        <w:t>à ses obligations au titre de l’article</w:t>
      </w:r>
      <w:r w:rsidR="000F4638">
        <w:rPr>
          <w:lang w:eastAsia="en-GB"/>
        </w:rPr>
        <w:t> </w:t>
      </w:r>
      <w:r>
        <w:rPr>
          <w:lang w:eastAsia="en-GB"/>
        </w:rPr>
        <w:t>13 de la Convention</w:t>
      </w:r>
      <w:r w:rsidR="00E80A5E" w:rsidRPr="00E80A5E">
        <w:rPr>
          <w:lang w:eastAsia="en-GB"/>
        </w:rPr>
        <w:t>.</w:t>
      </w:r>
    </w:p>
    <w:p w14:paraId="7B5C4C51" w14:textId="21CACAC6" w:rsidR="00C35C59" w:rsidRDefault="00C35C59" w:rsidP="00C35C59">
      <w:pPr>
        <w:pStyle w:val="SingleTxtG"/>
        <w:rPr>
          <w:rFonts w:eastAsia="SimSun"/>
        </w:rPr>
      </w:pPr>
      <w:r>
        <w:rPr>
          <w:lang w:eastAsia="en-GB"/>
        </w:rPr>
        <w:t>3</w:t>
      </w:r>
      <w:r w:rsidR="00E80A5E" w:rsidRPr="00E80A5E">
        <w:rPr>
          <w:lang w:eastAsia="en-GB"/>
        </w:rPr>
        <w:t>.</w:t>
      </w:r>
      <w:r>
        <w:rPr>
          <w:lang w:eastAsia="en-GB"/>
        </w:rPr>
        <w:t>6</w:t>
      </w:r>
      <w:r>
        <w:rPr>
          <w:lang w:eastAsia="en-GB"/>
        </w:rPr>
        <w:tab/>
        <w:t>En ce qui concerne l’article</w:t>
      </w:r>
      <w:r w:rsidR="000F4638">
        <w:rPr>
          <w:lang w:eastAsia="en-GB"/>
        </w:rPr>
        <w:t> </w:t>
      </w:r>
      <w:r>
        <w:rPr>
          <w:lang w:eastAsia="en-GB"/>
        </w:rPr>
        <w:t xml:space="preserve">14 de la Convention, le requérant considère qu’en s’abstenant de poursuivre une enquête </w:t>
      </w:r>
      <w:r w:rsidRPr="000525BC">
        <w:t>pénale, l</w:t>
      </w:r>
      <w:r>
        <w:t>’</w:t>
      </w:r>
      <w:r w:rsidRPr="000525BC">
        <w:t>É</w:t>
      </w:r>
      <w:r>
        <w:t>t</w:t>
      </w:r>
      <w:r w:rsidRPr="000525BC">
        <w:t xml:space="preserve">at </w:t>
      </w:r>
      <w:r>
        <w:t>partie l’a privé</w:t>
      </w:r>
      <w:r w:rsidRPr="000525BC">
        <w:t xml:space="preserve"> par la même occasion </w:t>
      </w:r>
      <w:r>
        <w:t xml:space="preserve">de </w:t>
      </w:r>
      <w:r w:rsidRPr="001A526F">
        <w:t>son droit d</w:t>
      </w:r>
      <w:r>
        <w:t>’</w:t>
      </w:r>
      <w:r w:rsidRPr="001A526F">
        <w:t>obtenir réparation et de son droit à une indemnisation juste et adéquate</w:t>
      </w:r>
      <w:r w:rsidR="00E80A5E" w:rsidRPr="00E80A5E">
        <w:t>.</w:t>
      </w:r>
      <w:r w:rsidRPr="000525BC">
        <w:t xml:space="preserve"> </w:t>
      </w:r>
      <w:r>
        <w:t>À cet égard</w:t>
      </w:r>
      <w:r w:rsidRPr="000525BC">
        <w:t xml:space="preserve">, </w:t>
      </w:r>
      <w:r>
        <w:t>il</w:t>
      </w:r>
      <w:r w:rsidRPr="000525BC">
        <w:t xml:space="preserve"> n</w:t>
      </w:r>
      <w:r>
        <w:t>’</w:t>
      </w:r>
      <w:r w:rsidRPr="000525BC">
        <w:t>a bénéficié d</w:t>
      </w:r>
      <w:r>
        <w:t>’</w:t>
      </w:r>
      <w:r w:rsidRPr="000525BC">
        <w:t xml:space="preserve">aucune mesure de réhabilitation </w:t>
      </w:r>
      <w:r>
        <w:t>après les</w:t>
      </w:r>
      <w:r w:rsidRPr="000525BC">
        <w:t xml:space="preserve"> tortures subies </w:t>
      </w:r>
      <w:r>
        <w:t>ni d</w:t>
      </w:r>
      <w:r w:rsidRPr="009F29FE">
        <w:t>es moyens nécessaires à sa réadaptation la plus complète possible</w:t>
      </w:r>
      <w:r>
        <w:t>, comme le prévoit l’article</w:t>
      </w:r>
      <w:r w:rsidR="00515ECE">
        <w:t> </w:t>
      </w:r>
      <w:r>
        <w:t>14</w:t>
      </w:r>
      <w:r w:rsidR="00E80A5E" w:rsidRPr="00E80A5E">
        <w:t>.</w:t>
      </w:r>
      <w:r w:rsidRPr="000525BC">
        <w:t xml:space="preserve"> </w:t>
      </w:r>
      <w:r w:rsidRPr="00C31785">
        <w:t>Au regard de la passivité des autorités judiciaires, d</w:t>
      </w:r>
      <w:r>
        <w:t>’</w:t>
      </w:r>
      <w:r w:rsidRPr="00C31785">
        <w:t xml:space="preserve">autres recours, notamment pour obtenir réparation </w:t>
      </w:r>
      <w:r>
        <w:t>au moyen</w:t>
      </w:r>
      <w:r w:rsidRPr="00C31785">
        <w:t xml:space="preserve"> d</w:t>
      </w:r>
      <w:r>
        <w:t>’</w:t>
      </w:r>
      <w:r w:rsidRPr="00C31785">
        <w:t>une action civile en dommages et intérêts, n</w:t>
      </w:r>
      <w:r>
        <w:t>’</w:t>
      </w:r>
      <w:r w:rsidRPr="00C31785">
        <w:t>ont objectivement aucune chance de succès</w:t>
      </w:r>
      <w:r w:rsidR="00E80A5E" w:rsidRPr="00E80A5E">
        <w:t>.</w:t>
      </w:r>
      <w:r w:rsidRPr="00C31785">
        <w:t xml:space="preserve"> </w:t>
      </w:r>
      <w:r>
        <w:t xml:space="preserve">En effet, en 2014, le Comité a précisément exprimé sa préoccupation sur le manque d’application des dispositions du </w:t>
      </w:r>
      <w:r w:rsidRPr="009F29FE">
        <w:t>Code de procédur</w:t>
      </w:r>
      <w:r>
        <w:t>e pénale burundais prévoyan</w:t>
      </w:r>
      <w:r w:rsidRPr="009F29FE">
        <w:t>t une indemnisation pour les victimes de tortures</w:t>
      </w:r>
      <w:r>
        <w:t>, en violation de l’article</w:t>
      </w:r>
      <w:r w:rsidR="00515ECE">
        <w:t> </w:t>
      </w:r>
      <w:r>
        <w:t>14 de la Convention</w:t>
      </w:r>
      <w:r w:rsidRPr="00E73881">
        <w:rPr>
          <w:rStyle w:val="Appelnotedebasdep"/>
        </w:rPr>
        <w:footnoteReference w:id="16"/>
      </w:r>
      <w:r>
        <w:t xml:space="preserve">, et en 2016, il </w:t>
      </w:r>
      <w:r w:rsidRPr="00465B6C">
        <w:t>a réitéré ses préoccupations quant à la nécessité de garantir une compens</w:t>
      </w:r>
      <w:r>
        <w:t>ation adéquate conformément à l’</w:t>
      </w:r>
      <w:r w:rsidRPr="00465B6C">
        <w:t>article 14</w:t>
      </w:r>
      <w:r w:rsidRPr="00E73881">
        <w:rPr>
          <w:rStyle w:val="Appelnotedebasdep"/>
        </w:rPr>
        <w:footnoteReference w:id="17"/>
      </w:r>
      <w:r w:rsidR="00E80A5E" w:rsidRPr="00E80A5E">
        <w:t>.</w:t>
      </w:r>
    </w:p>
    <w:p w14:paraId="1EE8CBB2" w14:textId="40447C8F" w:rsidR="00C35C59" w:rsidRDefault="00C35C59" w:rsidP="00C35C59">
      <w:pPr>
        <w:pStyle w:val="SingleTxtG"/>
      </w:pPr>
      <w:r>
        <w:rPr>
          <w:lang w:eastAsia="en-GB"/>
        </w:rPr>
        <w:t>3</w:t>
      </w:r>
      <w:r w:rsidR="00E80A5E" w:rsidRPr="00E80A5E">
        <w:rPr>
          <w:lang w:eastAsia="en-GB"/>
        </w:rPr>
        <w:t>.</w:t>
      </w:r>
      <w:r>
        <w:rPr>
          <w:lang w:eastAsia="en-GB"/>
        </w:rPr>
        <w:t>7</w:t>
      </w:r>
      <w:r>
        <w:rPr>
          <w:lang w:eastAsia="en-GB"/>
        </w:rPr>
        <w:tab/>
      </w:r>
      <w:r w:rsidRPr="00540154">
        <w:t>L</w:t>
      </w:r>
      <w:r>
        <w:t>e</w:t>
      </w:r>
      <w:r w:rsidRPr="00540154">
        <w:t xml:space="preserve"> requérant réitère que les violences qui lui ont été infligées sont des actes de torture, conformément à la définition de l</w:t>
      </w:r>
      <w:r>
        <w:t>’</w:t>
      </w:r>
      <w:r w:rsidRPr="00540154">
        <w:t xml:space="preserve">article </w:t>
      </w:r>
      <w:r>
        <w:t>1</w:t>
      </w:r>
      <w:r w:rsidRPr="005F1273">
        <w:rPr>
          <w:vertAlign w:val="superscript"/>
        </w:rPr>
        <w:t>er</w:t>
      </w:r>
      <w:r w:rsidRPr="00540154">
        <w:t xml:space="preserve"> de la Convention</w:t>
      </w:r>
      <w:r w:rsidR="00E80A5E" w:rsidRPr="00E80A5E">
        <w:t>.</w:t>
      </w:r>
      <w:r w:rsidRPr="00540154">
        <w:t xml:space="preserve"> </w:t>
      </w:r>
      <w:r>
        <w:t>S</w:t>
      </w:r>
      <w:r w:rsidRPr="00540154">
        <w:t>i le Comité ne devait pas</w:t>
      </w:r>
      <w:r>
        <w:t xml:space="preserve"> retenir cette qualification, il maintient que les </w:t>
      </w:r>
      <w:r w:rsidRPr="000F4638">
        <w:t>sévices</w:t>
      </w:r>
      <w:r>
        <w:t xml:space="preserve"> qu’il</w:t>
      </w:r>
      <w:r w:rsidRPr="00540154">
        <w:t xml:space="preserve"> a endurés constituent des traitements cruels, inhumains ou dégradants et que, à ce titre, l</w:t>
      </w:r>
      <w:r>
        <w:t>’</w:t>
      </w:r>
      <w:r w:rsidRPr="00540154">
        <w:t xml:space="preserve">État partie était également tenu de prévenir et </w:t>
      </w:r>
      <w:r>
        <w:t xml:space="preserve">de </w:t>
      </w:r>
      <w:r w:rsidRPr="00540154">
        <w:t xml:space="preserve">réprimer leur commission, </w:t>
      </w:r>
      <w:r>
        <w:t xml:space="preserve">leur </w:t>
      </w:r>
      <w:r w:rsidRPr="00540154">
        <w:t xml:space="preserve">instigation ou </w:t>
      </w:r>
      <w:r>
        <w:t xml:space="preserve">leur </w:t>
      </w:r>
      <w:r w:rsidRPr="00540154">
        <w:t>tolérance par des agents étatiques, en vertu de l</w:t>
      </w:r>
      <w:r>
        <w:t>’</w:t>
      </w:r>
      <w:r w:rsidRPr="00540154">
        <w:t xml:space="preserve">article 16 de </w:t>
      </w:r>
      <w:r>
        <w:t>la Convention</w:t>
      </w:r>
      <w:r w:rsidR="00E80A5E" w:rsidRPr="00E80A5E">
        <w:t>.</w:t>
      </w:r>
      <w:r>
        <w:t xml:space="preserve"> En outre, il</w:t>
      </w:r>
      <w:r w:rsidRPr="00C96339">
        <w:t xml:space="preserve"> rappelle les conditions de détention qui lui ont été </w:t>
      </w:r>
      <w:r>
        <w:t xml:space="preserve">imposées </w:t>
      </w:r>
      <w:r w:rsidRPr="00C96339">
        <w:t>dans les cachots du Service national de renseignement</w:t>
      </w:r>
      <w:r>
        <w:t xml:space="preserve">, </w:t>
      </w:r>
      <w:r w:rsidRPr="00A32C9C">
        <w:rPr>
          <w:rFonts w:eastAsia="MS Mincho"/>
        </w:rPr>
        <w:t xml:space="preserve">au </w:t>
      </w:r>
      <w:r w:rsidRPr="00BB3A2A">
        <w:rPr>
          <w:rFonts w:eastAsia="MS Mincho"/>
        </w:rPr>
        <w:t>Parquet de la République de Bujumbura</w:t>
      </w:r>
      <w:r>
        <w:rPr>
          <w:rFonts w:eastAsia="MS Mincho"/>
        </w:rPr>
        <w:t>,</w:t>
      </w:r>
      <w:r>
        <w:t xml:space="preserve"> et </w:t>
      </w:r>
      <w:r w:rsidRPr="00C96339">
        <w:t xml:space="preserve">au sein </w:t>
      </w:r>
      <w:r>
        <w:t>de la prison centrale</w:t>
      </w:r>
      <w:r w:rsidRPr="00C96339">
        <w:t xml:space="preserve"> de </w:t>
      </w:r>
      <w:proofErr w:type="spellStart"/>
      <w:r w:rsidRPr="00C96339">
        <w:t>Mpimba</w:t>
      </w:r>
      <w:proofErr w:type="spellEnd"/>
      <w:r>
        <w:t xml:space="preserve"> et de la prison de </w:t>
      </w:r>
      <w:proofErr w:type="spellStart"/>
      <w:r>
        <w:t>Rumonge</w:t>
      </w:r>
      <w:proofErr w:type="spellEnd"/>
      <w:r w:rsidR="00E80A5E" w:rsidRPr="00E80A5E">
        <w:t>.</w:t>
      </w:r>
      <w:r>
        <w:t xml:space="preserve"> Le</w:t>
      </w:r>
      <w:r w:rsidRPr="00C96339">
        <w:t xml:space="preserve"> requérant se réfère de nouveau aux observations finales du Comité</w:t>
      </w:r>
      <w:r w:rsidRPr="00DE2886">
        <w:t xml:space="preserve"> </w:t>
      </w:r>
      <w:r>
        <w:t>concernant les rapports soumis par le Burundi au titre de l’article 19 de la Convention</w:t>
      </w:r>
      <w:r w:rsidRPr="00C96339">
        <w:t xml:space="preserve">, </w:t>
      </w:r>
      <w:r>
        <w:t>dans lesquelles celui-ci</w:t>
      </w:r>
      <w:r w:rsidRPr="00C96339">
        <w:t xml:space="preserve"> avait considéré les conditions de détention au Burundi comme assimilables à un traite</w:t>
      </w:r>
      <w:r>
        <w:t>ment inhumain et dégradant</w:t>
      </w:r>
      <w:r w:rsidRPr="00E73881">
        <w:rPr>
          <w:rStyle w:val="Appelnotedebasdep"/>
        </w:rPr>
        <w:footnoteReference w:id="18"/>
      </w:r>
      <w:r w:rsidR="00E80A5E" w:rsidRPr="00E80A5E">
        <w:t>.</w:t>
      </w:r>
      <w:r w:rsidRPr="008600CA">
        <w:t xml:space="preserve"> </w:t>
      </w:r>
      <w:r>
        <w:t>Enfin, le requérant rappelle qu’il</w:t>
      </w:r>
      <w:r w:rsidRPr="00C96339">
        <w:t xml:space="preserve"> n</w:t>
      </w:r>
      <w:r>
        <w:t>’</w:t>
      </w:r>
      <w:r w:rsidRPr="00C96339">
        <w:t>a reçu aucun soin médi</w:t>
      </w:r>
      <w:r>
        <w:t>cal durant sa détention</w:t>
      </w:r>
      <w:r w:rsidRPr="00C96339">
        <w:t>, malgré son état critique, et conclut que les cond</w:t>
      </w:r>
      <w:r>
        <w:t>itions de détention auxquelles il</w:t>
      </w:r>
      <w:r w:rsidRPr="00C96339">
        <w:t xml:space="preserve"> a été exposé sont constitutives d</w:t>
      </w:r>
      <w:r>
        <w:t>’</w:t>
      </w:r>
      <w:r w:rsidRPr="00C96339">
        <w:t>une violation de l</w:t>
      </w:r>
      <w:r>
        <w:t>’</w:t>
      </w:r>
      <w:r w:rsidRPr="00C96339">
        <w:t>article 16 de la Convention</w:t>
      </w:r>
      <w:r w:rsidR="00E80A5E" w:rsidRPr="00E80A5E">
        <w:t>.</w:t>
      </w:r>
    </w:p>
    <w:p w14:paraId="63DB2056" w14:textId="77777777" w:rsidR="00C35C59" w:rsidRPr="00757BE2" w:rsidRDefault="00C35C59" w:rsidP="00C35C59">
      <w:pPr>
        <w:pStyle w:val="H23G"/>
        <w:spacing w:after="40"/>
        <w:ind w:left="0" w:firstLine="0"/>
        <w:rPr>
          <w:rFonts w:eastAsia="MS Mincho"/>
          <w:lang w:val="fr-FR" w:eastAsia="zh-CN"/>
        </w:rPr>
      </w:pPr>
      <w:r>
        <w:rPr>
          <w:rFonts w:eastAsia="MS Mincho"/>
          <w:lang w:val="fr-FR" w:eastAsia="zh-CN"/>
        </w:rPr>
        <w:lastRenderedPageBreak/>
        <w:tab/>
      </w:r>
      <w:r>
        <w:rPr>
          <w:rFonts w:eastAsia="MS Mincho"/>
          <w:lang w:val="fr-FR" w:eastAsia="zh-CN"/>
        </w:rPr>
        <w:tab/>
      </w:r>
      <w:r w:rsidRPr="003946D2">
        <w:rPr>
          <w:rFonts w:eastAsia="MS Mincho"/>
          <w:lang w:val="fr-FR" w:eastAsia="zh-CN"/>
        </w:rPr>
        <w:t>Délibérations du Comité</w:t>
      </w:r>
    </w:p>
    <w:p w14:paraId="687477AE" w14:textId="77777777" w:rsidR="00C35C59" w:rsidRPr="001278AF" w:rsidRDefault="00C35C59" w:rsidP="00C35C59">
      <w:pPr>
        <w:pStyle w:val="H4G"/>
      </w:pPr>
      <w:r>
        <w:tab/>
      </w:r>
      <w:r>
        <w:tab/>
      </w:r>
      <w:r w:rsidRPr="001278AF">
        <w:t xml:space="preserve">Défaut </w:t>
      </w:r>
      <w:r>
        <w:t>de coopération de l’État partie</w:t>
      </w:r>
    </w:p>
    <w:p w14:paraId="57203264" w14:textId="40D82FE7" w:rsidR="00C35C59" w:rsidRDefault="00C35C59" w:rsidP="00C35C59">
      <w:pPr>
        <w:pStyle w:val="SingleTxtG"/>
      </w:pPr>
      <w:r>
        <w:t>4</w:t>
      </w:r>
      <w:r w:rsidR="00E80A5E" w:rsidRPr="00E80A5E">
        <w:t>.</w:t>
      </w:r>
      <w:r w:rsidRPr="001278AF">
        <w:tab/>
      </w:r>
      <w:r w:rsidRPr="00F047C0">
        <w:t xml:space="preserve">Le </w:t>
      </w:r>
      <w:r>
        <w:t>10 janvier 2017 ainsi que les 10 juillet 2019, 17 décembre 2020 et 19 janvier et 28 avril 2022</w:t>
      </w:r>
      <w:r w:rsidRPr="00F047C0">
        <w:t>, l</w:t>
      </w:r>
      <w:r>
        <w:t>’</w:t>
      </w:r>
      <w:r w:rsidRPr="00F047C0">
        <w:t>État partie a été invité à présenter ses observations concernant la recevabilité et le fond de la communication</w:t>
      </w:r>
      <w:r w:rsidR="00E80A5E" w:rsidRPr="00E80A5E">
        <w:t>.</w:t>
      </w:r>
      <w:r w:rsidRPr="00F047C0">
        <w:t xml:space="preserve"> Le Comité note qu</w:t>
      </w:r>
      <w:r>
        <w:t>’</w:t>
      </w:r>
      <w:r w:rsidRPr="00F047C0">
        <w:t>il n</w:t>
      </w:r>
      <w:r>
        <w:t>’</w:t>
      </w:r>
      <w:r w:rsidRPr="00F047C0">
        <w:t xml:space="preserve">a reçu aucune réponse et regrette </w:t>
      </w:r>
      <w:r>
        <w:t xml:space="preserve">l’absence de collaboration </w:t>
      </w:r>
      <w:r w:rsidRPr="00F047C0">
        <w:t>de l</w:t>
      </w:r>
      <w:r>
        <w:t>’</w:t>
      </w:r>
      <w:r w:rsidRPr="00F047C0">
        <w:t>État partie</w:t>
      </w:r>
      <w:r>
        <w:t xml:space="preserve"> pour partager ses observations sur la présente plainte</w:t>
      </w:r>
      <w:r w:rsidRPr="00E73881">
        <w:rPr>
          <w:rStyle w:val="Appelnotedebasdep"/>
        </w:rPr>
        <w:footnoteReference w:id="19"/>
      </w:r>
      <w:r w:rsidR="00E80A5E" w:rsidRPr="00E80A5E">
        <w:t>.</w:t>
      </w:r>
      <w:r w:rsidRPr="00F047C0">
        <w:t xml:space="preserve"> </w:t>
      </w:r>
      <w:r w:rsidRPr="00A45A6D">
        <w:t>Il rappelle que l</w:t>
      </w:r>
      <w:r>
        <w:t>’</w:t>
      </w:r>
      <w:r w:rsidRPr="00A45A6D">
        <w:t>État partie concerné est tenu, en vertu de la Convention, de soumettre par écrit au Comité des explications ou déclarations éclaircissant la question et indiquant, le cas échéant, les mesures qu</w:t>
      </w:r>
      <w:r>
        <w:t>’</w:t>
      </w:r>
      <w:r w:rsidRPr="00A45A6D">
        <w:t>il pourrait avoir prises pour remédier à la situation</w:t>
      </w:r>
      <w:r w:rsidR="00E80A5E" w:rsidRPr="00E80A5E">
        <w:t>.</w:t>
      </w:r>
    </w:p>
    <w:p w14:paraId="0939FA8D" w14:textId="77777777" w:rsidR="00C35C59" w:rsidRDefault="00C35C59" w:rsidP="00C35C59">
      <w:pPr>
        <w:pStyle w:val="H4G"/>
      </w:pPr>
      <w:r>
        <w:tab/>
      </w:r>
      <w:r>
        <w:tab/>
      </w:r>
      <w:r w:rsidRPr="00757BE2">
        <w:t>Examen de la recevabilité</w:t>
      </w:r>
    </w:p>
    <w:p w14:paraId="104DACFF" w14:textId="4B40DD2A" w:rsidR="00C35C59" w:rsidRDefault="00C35C59" w:rsidP="00C35C59">
      <w:pPr>
        <w:pStyle w:val="SingleTxtG"/>
        <w:rPr>
          <w:rFonts w:eastAsia="MS Mincho"/>
          <w:lang w:val="fr-FR" w:eastAsia="zh-CN"/>
        </w:rPr>
      </w:pPr>
      <w:r>
        <w:rPr>
          <w:rFonts w:eastAsia="MS Mincho"/>
          <w:lang w:eastAsia="zh-CN"/>
        </w:rPr>
        <w:t>5</w:t>
      </w:r>
      <w:r w:rsidR="00E80A5E" w:rsidRPr="00E80A5E">
        <w:rPr>
          <w:rFonts w:eastAsia="MS Mincho"/>
          <w:lang w:val="fr-FR" w:eastAsia="zh-CN"/>
        </w:rPr>
        <w:t>.</w:t>
      </w:r>
      <w:r w:rsidRPr="00757BE2">
        <w:rPr>
          <w:rFonts w:eastAsia="MS Mincho"/>
          <w:lang w:val="fr-FR" w:eastAsia="zh-CN"/>
        </w:rPr>
        <w:t>1</w:t>
      </w:r>
      <w:r w:rsidRPr="00757BE2">
        <w:rPr>
          <w:rFonts w:eastAsia="MS Mincho"/>
          <w:lang w:val="fr-FR" w:eastAsia="zh-CN"/>
        </w:rPr>
        <w:tab/>
      </w:r>
      <w:r w:rsidRPr="003D2C31">
        <w:rPr>
          <w:lang w:val="fr-FR"/>
        </w:rPr>
        <w:t>Avant d</w:t>
      </w:r>
      <w:r>
        <w:rPr>
          <w:lang w:val="fr-FR"/>
        </w:rPr>
        <w:t>’</w:t>
      </w:r>
      <w:r w:rsidRPr="003D2C31">
        <w:rPr>
          <w:lang w:val="fr-FR"/>
        </w:rPr>
        <w:t>examiner tout grief soumis dans une communication, le Comité doit déterminer s</w:t>
      </w:r>
      <w:r>
        <w:rPr>
          <w:lang w:val="fr-FR"/>
        </w:rPr>
        <w:t>’</w:t>
      </w:r>
      <w:r w:rsidRPr="003D2C31">
        <w:rPr>
          <w:lang w:val="fr-FR"/>
        </w:rPr>
        <w:t>il est r</w:t>
      </w:r>
      <w:r>
        <w:rPr>
          <w:lang w:val="fr-FR"/>
        </w:rPr>
        <w:t xml:space="preserve">ecevable au regard de l’article </w:t>
      </w:r>
      <w:r w:rsidRPr="003D2C31">
        <w:rPr>
          <w:lang w:val="fr-FR"/>
        </w:rPr>
        <w:t>22 de la Convention</w:t>
      </w:r>
      <w:r w:rsidR="00E80A5E" w:rsidRPr="00E80A5E">
        <w:rPr>
          <w:lang w:val="fr-FR"/>
        </w:rPr>
        <w:t>.</w:t>
      </w:r>
      <w:r w:rsidRPr="00124612">
        <w:rPr>
          <w:lang w:val="fr-FR"/>
        </w:rPr>
        <w:t xml:space="preserve"> </w:t>
      </w:r>
      <w:r w:rsidRPr="00E1455C">
        <w:rPr>
          <w:rFonts w:eastAsia="MS Mincho"/>
          <w:lang w:val="fr-FR" w:eastAsia="zh-CN"/>
        </w:rPr>
        <w:t>Le Comité s</w:t>
      </w:r>
      <w:r>
        <w:rPr>
          <w:rFonts w:eastAsia="MS Mincho"/>
          <w:lang w:val="fr-FR" w:eastAsia="zh-CN"/>
        </w:rPr>
        <w:t>’</w:t>
      </w:r>
      <w:r w:rsidRPr="00E1455C">
        <w:rPr>
          <w:rFonts w:eastAsia="MS Mincho"/>
          <w:lang w:val="fr-FR" w:eastAsia="zh-CN"/>
        </w:rPr>
        <w:t xml:space="preserve">est assuré, comme il est tenu de le faire conformément </w:t>
      </w:r>
      <w:r>
        <w:rPr>
          <w:rFonts w:eastAsia="MS Mincho"/>
          <w:lang w:val="fr-FR" w:eastAsia="zh-CN"/>
        </w:rPr>
        <w:t xml:space="preserve">à l’article </w:t>
      </w:r>
      <w:r w:rsidRPr="001D74C4">
        <w:rPr>
          <w:rFonts w:eastAsia="MS Mincho"/>
          <w:lang w:val="fr-FR" w:eastAsia="zh-CN"/>
        </w:rPr>
        <w:t>22</w:t>
      </w:r>
      <w:r>
        <w:rPr>
          <w:rFonts w:eastAsia="MS Mincho"/>
          <w:lang w:val="fr-FR" w:eastAsia="zh-CN"/>
        </w:rPr>
        <w:t xml:space="preserve"> (par</w:t>
      </w:r>
      <w:r w:rsidR="00E80A5E" w:rsidRPr="00E80A5E">
        <w:rPr>
          <w:rFonts w:eastAsia="MS Mincho"/>
          <w:lang w:val="fr-FR" w:eastAsia="zh-CN"/>
        </w:rPr>
        <w:t>.</w:t>
      </w:r>
      <w:r w:rsidR="00F72FDB">
        <w:rPr>
          <w:rFonts w:eastAsia="MS Mincho"/>
          <w:lang w:val="fr-FR" w:eastAsia="zh-CN"/>
        </w:rPr>
        <w:t> </w:t>
      </w:r>
      <w:r>
        <w:rPr>
          <w:rFonts w:eastAsia="MS Mincho"/>
          <w:lang w:val="fr-FR" w:eastAsia="zh-CN"/>
        </w:rPr>
        <w:t>5</w:t>
      </w:r>
      <w:r w:rsidR="00F72FDB">
        <w:rPr>
          <w:rFonts w:eastAsia="MS Mincho"/>
          <w:lang w:val="fr-FR" w:eastAsia="zh-CN"/>
        </w:rPr>
        <w:t> </w:t>
      </w:r>
      <w:r>
        <w:rPr>
          <w:rFonts w:eastAsia="MS Mincho"/>
          <w:lang w:val="fr-FR" w:eastAsia="zh-CN"/>
        </w:rPr>
        <w:t>a))</w:t>
      </w:r>
      <w:r w:rsidRPr="001D74C4">
        <w:rPr>
          <w:rFonts w:eastAsia="MS Mincho"/>
          <w:lang w:val="fr-FR" w:eastAsia="zh-CN"/>
        </w:rPr>
        <w:t xml:space="preserve"> de la Convention, que la même question n</w:t>
      </w:r>
      <w:r>
        <w:rPr>
          <w:rFonts w:eastAsia="MS Mincho"/>
          <w:lang w:val="fr-FR" w:eastAsia="zh-CN"/>
        </w:rPr>
        <w:t>’</w:t>
      </w:r>
      <w:r w:rsidRPr="001D74C4">
        <w:rPr>
          <w:rFonts w:eastAsia="MS Mincho"/>
          <w:lang w:val="fr-FR" w:eastAsia="zh-CN"/>
        </w:rPr>
        <w:t>a pas été et n</w:t>
      </w:r>
      <w:r>
        <w:rPr>
          <w:rFonts w:eastAsia="MS Mincho"/>
          <w:lang w:val="fr-FR" w:eastAsia="zh-CN"/>
        </w:rPr>
        <w:t>’</w:t>
      </w:r>
      <w:r w:rsidRPr="001D74C4">
        <w:rPr>
          <w:rFonts w:eastAsia="MS Mincho"/>
          <w:lang w:val="fr-FR" w:eastAsia="zh-CN"/>
        </w:rPr>
        <w:t xml:space="preserve">est pas </w:t>
      </w:r>
      <w:r>
        <w:rPr>
          <w:rFonts w:eastAsia="MS Mincho"/>
          <w:lang w:val="fr-FR" w:eastAsia="zh-CN"/>
        </w:rPr>
        <w:t>actuellement examinée par</w:t>
      </w:r>
      <w:r w:rsidRPr="001D74C4">
        <w:rPr>
          <w:rFonts w:eastAsia="MS Mincho"/>
          <w:lang w:val="fr-FR" w:eastAsia="zh-CN"/>
        </w:rPr>
        <w:t xml:space="preserve"> </w:t>
      </w:r>
      <w:r w:rsidRPr="00E1455C">
        <w:rPr>
          <w:rFonts w:eastAsia="MS Mincho"/>
          <w:lang w:val="fr-FR" w:eastAsia="zh-CN"/>
        </w:rPr>
        <w:t>une autre instance internationale d</w:t>
      </w:r>
      <w:r>
        <w:rPr>
          <w:rFonts w:eastAsia="MS Mincho"/>
          <w:lang w:val="fr-FR" w:eastAsia="zh-CN"/>
        </w:rPr>
        <w:t>’</w:t>
      </w:r>
      <w:r w:rsidRPr="00E1455C">
        <w:rPr>
          <w:rFonts w:eastAsia="MS Mincho"/>
          <w:lang w:val="fr-FR" w:eastAsia="zh-CN"/>
        </w:rPr>
        <w:t>enquête ou de règlement</w:t>
      </w:r>
      <w:r w:rsidR="00E80A5E" w:rsidRPr="00E80A5E">
        <w:rPr>
          <w:rFonts w:eastAsia="MS Mincho"/>
          <w:lang w:val="fr-FR" w:eastAsia="zh-CN"/>
        </w:rPr>
        <w:t>.</w:t>
      </w:r>
    </w:p>
    <w:p w14:paraId="0EF267D7" w14:textId="269386FF" w:rsidR="00C35C59" w:rsidRPr="008B5996" w:rsidRDefault="00C35C59" w:rsidP="00C35C59">
      <w:pPr>
        <w:pStyle w:val="SingleTxtG"/>
        <w:rPr>
          <w:rFonts w:eastAsia="MS Mincho"/>
          <w:lang w:val="fr-FR" w:eastAsia="zh-CN"/>
        </w:rPr>
      </w:pPr>
      <w:r>
        <w:rPr>
          <w:lang w:val="fr-FR"/>
        </w:rPr>
        <w:t>5</w:t>
      </w:r>
      <w:r w:rsidR="00E80A5E" w:rsidRPr="00E80A5E">
        <w:rPr>
          <w:lang w:val="fr-FR"/>
        </w:rPr>
        <w:t>.</w:t>
      </w:r>
      <w:r>
        <w:rPr>
          <w:lang w:val="fr-FR"/>
        </w:rPr>
        <w:t>2</w:t>
      </w:r>
      <w:r>
        <w:rPr>
          <w:lang w:val="fr-FR"/>
        </w:rPr>
        <w:tab/>
      </w:r>
      <w:r w:rsidRPr="00802A2F">
        <w:rPr>
          <w:lang w:val="fr-FR"/>
        </w:rPr>
        <w:t xml:space="preserve">Le Comité rappelle que, conformément </w:t>
      </w:r>
      <w:r>
        <w:rPr>
          <w:lang w:val="fr-FR"/>
        </w:rPr>
        <w:t>à</w:t>
      </w:r>
      <w:r w:rsidRPr="00802A2F">
        <w:rPr>
          <w:lang w:val="fr-FR"/>
        </w:rPr>
        <w:t xml:space="preserve"> l</w:t>
      </w:r>
      <w:r>
        <w:rPr>
          <w:lang w:val="fr-FR"/>
        </w:rPr>
        <w:t>’</w:t>
      </w:r>
      <w:r w:rsidRPr="00802A2F">
        <w:rPr>
          <w:lang w:val="fr-FR"/>
        </w:rPr>
        <w:t xml:space="preserve">article 22 </w:t>
      </w:r>
      <w:r>
        <w:rPr>
          <w:lang w:val="fr-FR"/>
        </w:rPr>
        <w:t>(par</w:t>
      </w:r>
      <w:r w:rsidR="00E80A5E" w:rsidRPr="00E80A5E">
        <w:rPr>
          <w:lang w:val="fr-FR"/>
        </w:rPr>
        <w:t>.</w:t>
      </w:r>
      <w:r w:rsidR="00F72FDB">
        <w:rPr>
          <w:lang w:val="fr-FR"/>
        </w:rPr>
        <w:t> </w:t>
      </w:r>
      <w:r>
        <w:rPr>
          <w:lang w:val="fr-FR"/>
        </w:rPr>
        <w:t xml:space="preserve">5 b)) </w:t>
      </w:r>
      <w:r w:rsidRPr="00802A2F">
        <w:rPr>
          <w:lang w:val="fr-FR"/>
        </w:rPr>
        <w:t>de la Convention, il n</w:t>
      </w:r>
      <w:r>
        <w:rPr>
          <w:lang w:val="fr-FR"/>
        </w:rPr>
        <w:t>’</w:t>
      </w:r>
      <w:r w:rsidRPr="00802A2F">
        <w:rPr>
          <w:lang w:val="fr-FR"/>
        </w:rPr>
        <w:t>examine aucune communication d</w:t>
      </w:r>
      <w:r>
        <w:rPr>
          <w:lang w:val="fr-FR"/>
        </w:rPr>
        <w:t>’</w:t>
      </w:r>
      <w:r w:rsidRPr="00802A2F">
        <w:rPr>
          <w:lang w:val="fr-FR"/>
        </w:rPr>
        <w:t>un particulier sans s</w:t>
      </w:r>
      <w:r>
        <w:rPr>
          <w:lang w:val="fr-FR"/>
        </w:rPr>
        <w:t>’</w:t>
      </w:r>
      <w:r w:rsidRPr="00802A2F">
        <w:rPr>
          <w:lang w:val="fr-FR"/>
        </w:rPr>
        <w:t>être assuré que celui-ci a épuisé tous les recours internes disponibles</w:t>
      </w:r>
      <w:r w:rsidR="00E80A5E" w:rsidRPr="00E80A5E">
        <w:rPr>
          <w:lang w:val="fr-FR"/>
        </w:rPr>
        <w:t>.</w:t>
      </w:r>
      <w:r w:rsidRPr="00802A2F">
        <w:rPr>
          <w:lang w:val="fr-FR"/>
        </w:rPr>
        <w:t xml:space="preserve"> Il note qu</w:t>
      </w:r>
      <w:r>
        <w:rPr>
          <w:lang w:val="fr-FR"/>
        </w:rPr>
        <w:t>’</w:t>
      </w:r>
      <w:r w:rsidRPr="00802A2F">
        <w:rPr>
          <w:lang w:val="fr-FR"/>
        </w:rPr>
        <w:t>en l</w:t>
      </w:r>
      <w:r>
        <w:rPr>
          <w:lang w:val="fr-FR"/>
        </w:rPr>
        <w:t>’</w:t>
      </w:r>
      <w:r w:rsidRPr="00802A2F">
        <w:rPr>
          <w:lang w:val="fr-FR"/>
        </w:rPr>
        <w:t>espèce, l</w:t>
      </w:r>
      <w:r>
        <w:rPr>
          <w:lang w:val="fr-FR"/>
        </w:rPr>
        <w:t>’</w:t>
      </w:r>
      <w:r w:rsidRPr="00802A2F">
        <w:rPr>
          <w:lang w:val="fr-FR"/>
        </w:rPr>
        <w:t>État partie n</w:t>
      </w:r>
      <w:r>
        <w:rPr>
          <w:lang w:val="fr-FR"/>
        </w:rPr>
        <w:t>’</w:t>
      </w:r>
      <w:r w:rsidRPr="00802A2F">
        <w:rPr>
          <w:lang w:val="fr-FR"/>
        </w:rPr>
        <w:t>a pas contesté que le requérant avait épuisé tous les recours internes disponibles</w:t>
      </w:r>
      <w:r w:rsidR="00E80A5E" w:rsidRPr="00E80A5E">
        <w:rPr>
          <w:lang w:val="fr-FR"/>
        </w:rPr>
        <w:t>.</w:t>
      </w:r>
      <w:r w:rsidRPr="00802A2F">
        <w:rPr>
          <w:lang w:val="fr-FR"/>
        </w:rPr>
        <w:t xml:space="preserve"> Le Comité conclut donc qu</w:t>
      </w:r>
      <w:r>
        <w:rPr>
          <w:lang w:val="fr-FR"/>
        </w:rPr>
        <w:t>’</w:t>
      </w:r>
      <w:r w:rsidRPr="00802A2F">
        <w:rPr>
          <w:lang w:val="fr-FR"/>
        </w:rPr>
        <w:t>il n</w:t>
      </w:r>
      <w:r>
        <w:rPr>
          <w:lang w:val="fr-FR"/>
        </w:rPr>
        <w:t>’</w:t>
      </w:r>
      <w:r w:rsidRPr="00802A2F">
        <w:rPr>
          <w:lang w:val="fr-FR"/>
        </w:rPr>
        <w:t>est pas empêché par l</w:t>
      </w:r>
      <w:r>
        <w:rPr>
          <w:lang w:val="fr-FR"/>
        </w:rPr>
        <w:t>’</w:t>
      </w:r>
      <w:r w:rsidRPr="00802A2F">
        <w:rPr>
          <w:lang w:val="fr-FR"/>
        </w:rPr>
        <w:t xml:space="preserve">article 22 </w:t>
      </w:r>
      <w:r>
        <w:rPr>
          <w:lang w:val="fr-FR"/>
        </w:rPr>
        <w:t>(par</w:t>
      </w:r>
      <w:r w:rsidR="00E80A5E" w:rsidRPr="00E80A5E">
        <w:rPr>
          <w:lang w:val="fr-FR"/>
        </w:rPr>
        <w:t>.</w:t>
      </w:r>
      <w:r w:rsidR="00F72FDB">
        <w:rPr>
          <w:lang w:val="fr-FR"/>
        </w:rPr>
        <w:t> </w:t>
      </w:r>
      <w:r>
        <w:rPr>
          <w:lang w:val="fr-FR"/>
        </w:rPr>
        <w:t xml:space="preserve">5 b)) </w:t>
      </w:r>
      <w:r w:rsidRPr="00802A2F">
        <w:rPr>
          <w:lang w:val="fr-FR"/>
        </w:rPr>
        <w:t>de la Convention d</w:t>
      </w:r>
      <w:r>
        <w:rPr>
          <w:lang w:val="fr-FR"/>
        </w:rPr>
        <w:t>’</w:t>
      </w:r>
      <w:r w:rsidRPr="00802A2F">
        <w:rPr>
          <w:lang w:val="fr-FR"/>
        </w:rPr>
        <w:t>examiner la communication</w:t>
      </w:r>
      <w:r w:rsidR="00E80A5E" w:rsidRPr="00E80A5E">
        <w:rPr>
          <w:lang w:val="fr-FR"/>
        </w:rPr>
        <w:t>.</w:t>
      </w:r>
    </w:p>
    <w:p w14:paraId="0486553D" w14:textId="3DEB0A36" w:rsidR="00C35C59" w:rsidRDefault="00C35C59" w:rsidP="00C35C59">
      <w:pPr>
        <w:pStyle w:val="SingleTxtG"/>
        <w:rPr>
          <w:rFonts w:eastAsia="MS Mincho"/>
        </w:rPr>
      </w:pPr>
      <w:r>
        <w:rPr>
          <w:rFonts w:eastAsia="SimSun"/>
          <w:lang w:val="fr-FR" w:eastAsia="zh-CN"/>
        </w:rPr>
        <w:t>5</w:t>
      </w:r>
      <w:r w:rsidR="00E80A5E" w:rsidRPr="00E80A5E">
        <w:rPr>
          <w:rFonts w:eastAsia="SimSun"/>
        </w:rPr>
        <w:t>.</w:t>
      </w:r>
      <w:r>
        <w:rPr>
          <w:rFonts w:eastAsia="SimSun"/>
        </w:rPr>
        <w:t>3</w:t>
      </w:r>
      <w:r w:rsidRPr="001D74C4">
        <w:rPr>
          <w:rFonts w:eastAsia="SimSun"/>
        </w:rPr>
        <w:tab/>
      </w:r>
      <w:r w:rsidRPr="00240E98">
        <w:t>En l</w:t>
      </w:r>
      <w:r>
        <w:t>’</w:t>
      </w:r>
      <w:r w:rsidRPr="00240E98">
        <w:t>absence d</w:t>
      </w:r>
      <w:r>
        <w:t>’</w:t>
      </w:r>
      <w:r w:rsidRPr="00240E98">
        <w:t>autres obstacles à la recevabilité de la communication, le Comité procède à l</w:t>
      </w:r>
      <w:r>
        <w:t>’</w:t>
      </w:r>
      <w:r w:rsidRPr="00240E98">
        <w:t xml:space="preserve">examen quant au </w:t>
      </w:r>
      <w:r>
        <w:t>fond des griefs présentés par le</w:t>
      </w:r>
      <w:r w:rsidRPr="00240E98">
        <w:t xml:space="preserve"> requérant au titre des articles</w:t>
      </w:r>
      <w:r w:rsidR="00F72FDB">
        <w:t> </w:t>
      </w:r>
      <w:r w:rsidRPr="00240E98">
        <w:t>2 (par</w:t>
      </w:r>
      <w:r w:rsidR="00E80A5E" w:rsidRPr="00E80A5E">
        <w:t>.</w:t>
      </w:r>
      <w:r w:rsidR="00F72FDB">
        <w:t> </w:t>
      </w:r>
      <w:r w:rsidRPr="00240E98">
        <w:t>1), 11 à 14 et 16 de la Convention</w:t>
      </w:r>
      <w:r w:rsidR="00E80A5E" w:rsidRPr="00E80A5E">
        <w:t>.</w:t>
      </w:r>
    </w:p>
    <w:p w14:paraId="3080A621" w14:textId="77777777" w:rsidR="00C35C59" w:rsidRPr="002B4B23" w:rsidRDefault="00C35C59" w:rsidP="00C35C59">
      <w:pPr>
        <w:pStyle w:val="H4G"/>
      </w:pPr>
      <w:r>
        <w:tab/>
      </w:r>
      <w:r>
        <w:tab/>
      </w:r>
      <w:r>
        <w:tab/>
      </w:r>
      <w:r w:rsidRPr="002B4B23">
        <w:t>Examen au fond</w:t>
      </w:r>
    </w:p>
    <w:p w14:paraId="527216D4" w14:textId="246783F7" w:rsidR="00C35C59" w:rsidRDefault="00C35C59" w:rsidP="00C35C59">
      <w:pPr>
        <w:pStyle w:val="SingleTxtG"/>
        <w:rPr>
          <w:rFonts w:eastAsia="SimSun"/>
          <w:lang w:val="fr-FR" w:eastAsia="zh-CN"/>
        </w:rPr>
      </w:pPr>
      <w:r>
        <w:rPr>
          <w:rFonts w:eastAsia="SimSun"/>
          <w:lang w:eastAsia="zh-CN"/>
        </w:rPr>
        <w:t>6</w:t>
      </w:r>
      <w:r w:rsidR="00E80A5E" w:rsidRPr="00E80A5E">
        <w:rPr>
          <w:rFonts w:eastAsia="SimSun"/>
          <w:lang w:val="fr-FR" w:eastAsia="zh-CN"/>
        </w:rPr>
        <w:t>.</w:t>
      </w:r>
      <w:r w:rsidRPr="002B4B23">
        <w:rPr>
          <w:rFonts w:eastAsia="SimSun"/>
          <w:lang w:val="fr-FR" w:eastAsia="zh-CN"/>
        </w:rPr>
        <w:t>1</w:t>
      </w:r>
      <w:r w:rsidRPr="002B4B23">
        <w:rPr>
          <w:rFonts w:eastAsia="SimSun"/>
          <w:lang w:val="fr-FR" w:eastAsia="zh-CN"/>
        </w:rPr>
        <w:tab/>
      </w:r>
      <w:r w:rsidRPr="00124612">
        <w:rPr>
          <w:lang w:val="fr-FR"/>
        </w:rPr>
        <w:t xml:space="preserve">Conformément </w:t>
      </w:r>
      <w:r>
        <w:rPr>
          <w:lang w:val="fr-FR"/>
        </w:rPr>
        <w:t>à</w:t>
      </w:r>
      <w:r w:rsidRPr="00124612">
        <w:rPr>
          <w:lang w:val="fr-FR"/>
        </w:rPr>
        <w:t xml:space="preserve"> l</w:t>
      </w:r>
      <w:r>
        <w:rPr>
          <w:lang w:val="fr-FR"/>
        </w:rPr>
        <w:t>’</w:t>
      </w:r>
      <w:r w:rsidRPr="00124612">
        <w:rPr>
          <w:lang w:val="fr-FR"/>
        </w:rPr>
        <w:t>article</w:t>
      </w:r>
      <w:r w:rsidR="00F72FDB">
        <w:rPr>
          <w:lang w:val="fr-FR"/>
        </w:rPr>
        <w:t> </w:t>
      </w:r>
      <w:r w:rsidRPr="00124612">
        <w:rPr>
          <w:lang w:val="fr-FR"/>
        </w:rPr>
        <w:t xml:space="preserve">22 </w:t>
      </w:r>
      <w:r>
        <w:rPr>
          <w:lang w:val="fr-FR"/>
        </w:rPr>
        <w:t>(par</w:t>
      </w:r>
      <w:r w:rsidR="00E80A5E" w:rsidRPr="00E80A5E">
        <w:rPr>
          <w:lang w:val="fr-FR"/>
        </w:rPr>
        <w:t>.</w:t>
      </w:r>
      <w:r w:rsidR="00F72FDB">
        <w:rPr>
          <w:lang w:val="fr-FR"/>
        </w:rPr>
        <w:t> </w:t>
      </w:r>
      <w:r>
        <w:rPr>
          <w:lang w:val="fr-FR"/>
        </w:rPr>
        <w:t xml:space="preserve">4) </w:t>
      </w:r>
      <w:r w:rsidRPr="00124612">
        <w:rPr>
          <w:lang w:val="fr-FR"/>
        </w:rPr>
        <w:t>de la Convention</w:t>
      </w:r>
      <w:r>
        <w:rPr>
          <w:rFonts w:eastAsia="SimSun"/>
          <w:lang w:val="fr-FR" w:eastAsia="zh-CN"/>
        </w:rPr>
        <w:t>, le</w:t>
      </w:r>
      <w:r w:rsidRPr="009C2678">
        <w:rPr>
          <w:rFonts w:eastAsia="SimSun"/>
          <w:lang w:val="fr-FR" w:eastAsia="zh-CN"/>
        </w:rPr>
        <w:t xml:space="preserve"> Comité a examiné la </w:t>
      </w:r>
      <w:r>
        <w:rPr>
          <w:rFonts w:eastAsia="SimSun"/>
          <w:lang w:val="fr-FR" w:eastAsia="zh-CN"/>
        </w:rPr>
        <w:t>présente communication</w:t>
      </w:r>
      <w:r w:rsidRPr="009C2678">
        <w:rPr>
          <w:rFonts w:eastAsia="SimSun"/>
          <w:lang w:val="fr-FR" w:eastAsia="zh-CN"/>
        </w:rPr>
        <w:t xml:space="preserve"> en tenant compte de toutes les informations </w:t>
      </w:r>
      <w:r>
        <w:rPr>
          <w:rFonts w:eastAsia="SimSun"/>
          <w:lang w:val="fr-FR" w:eastAsia="zh-CN"/>
        </w:rPr>
        <w:t>que</w:t>
      </w:r>
      <w:r w:rsidRPr="009C2678">
        <w:rPr>
          <w:rFonts w:eastAsia="SimSun"/>
          <w:lang w:val="fr-FR" w:eastAsia="zh-CN"/>
        </w:rPr>
        <w:t xml:space="preserve"> lui ont </w:t>
      </w:r>
      <w:r>
        <w:rPr>
          <w:rFonts w:eastAsia="SimSun"/>
          <w:lang w:val="fr-FR" w:eastAsia="zh-CN"/>
        </w:rPr>
        <w:t>communiquées</w:t>
      </w:r>
      <w:r w:rsidRPr="009C2678">
        <w:rPr>
          <w:rFonts w:eastAsia="SimSun"/>
          <w:lang w:val="fr-FR" w:eastAsia="zh-CN"/>
        </w:rPr>
        <w:t xml:space="preserve"> les parties</w:t>
      </w:r>
      <w:r w:rsidR="00E80A5E" w:rsidRPr="00E80A5E">
        <w:rPr>
          <w:rFonts w:eastAsia="SimSun"/>
          <w:lang w:val="fr-FR" w:eastAsia="zh-CN"/>
        </w:rPr>
        <w:t>.</w:t>
      </w:r>
      <w:r w:rsidRPr="009C2678">
        <w:rPr>
          <w:rFonts w:eastAsia="SimSun"/>
          <w:lang w:val="fr-FR" w:eastAsia="zh-CN"/>
        </w:rPr>
        <w:t xml:space="preserve"> L</w:t>
      </w:r>
      <w:r>
        <w:rPr>
          <w:rFonts w:eastAsia="SimSun"/>
          <w:lang w:val="fr-FR" w:eastAsia="zh-CN"/>
        </w:rPr>
        <w:t>’</w:t>
      </w:r>
      <w:r w:rsidRPr="009C2678">
        <w:rPr>
          <w:rFonts w:eastAsia="SimSun"/>
          <w:lang w:val="fr-FR" w:eastAsia="zh-CN"/>
        </w:rPr>
        <w:t>État partie n</w:t>
      </w:r>
      <w:r>
        <w:rPr>
          <w:rFonts w:eastAsia="SimSun"/>
          <w:lang w:val="fr-FR" w:eastAsia="zh-CN"/>
        </w:rPr>
        <w:t>’</w:t>
      </w:r>
      <w:r w:rsidRPr="009C2678">
        <w:rPr>
          <w:rFonts w:eastAsia="SimSun"/>
          <w:lang w:val="fr-FR" w:eastAsia="zh-CN"/>
        </w:rPr>
        <w:t>ayant fourni aucune observation sur le fond, il convient d</w:t>
      </w:r>
      <w:r>
        <w:rPr>
          <w:rFonts w:eastAsia="SimSun"/>
          <w:lang w:val="fr-FR" w:eastAsia="zh-CN"/>
        </w:rPr>
        <w:t>’</w:t>
      </w:r>
      <w:r w:rsidRPr="009C2678">
        <w:rPr>
          <w:rFonts w:eastAsia="SimSun"/>
          <w:lang w:val="fr-FR" w:eastAsia="zh-CN"/>
        </w:rPr>
        <w:t>accorder le</w:t>
      </w:r>
      <w:r>
        <w:rPr>
          <w:rFonts w:eastAsia="SimSun"/>
          <w:lang w:val="fr-FR" w:eastAsia="zh-CN"/>
        </w:rPr>
        <w:t xml:space="preserve"> crédit voulu aux allégations du</w:t>
      </w:r>
      <w:r w:rsidRPr="009C2678">
        <w:rPr>
          <w:rFonts w:eastAsia="SimSun"/>
          <w:lang w:val="fr-FR" w:eastAsia="zh-CN"/>
        </w:rPr>
        <w:t xml:space="preserve"> requérant</w:t>
      </w:r>
      <w:r>
        <w:rPr>
          <w:rFonts w:eastAsia="SimSun"/>
          <w:lang w:val="fr-FR" w:eastAsia="zh-CN"/>
        </w:rPr>
        <w:t xml:space="preserve"> qui ont été dûment étayées</w:t>
      </w:r>
      <w:r w:rsidR="00E80A5E" w:rsidRPr="00E80A5E">
        <w:rPr>
          <w:rFonts w:eastAsia="SimSun"/>
          <w:lang w:val="fr-FR" w:eastAsia="zh-CN"/>
        </w:rPr>
        <w:t>.</w:t>
      </w:r>
    </w:p>
    <w:p w14:paraId="7DE2B0DB" w14:textId="51076C7E" w:rsidR="00C35C59" w:rsidRDefault="00C35C59" w:rsidP="00C35C59">
      <w:pPr>
        <w:pStyle w:val="SingleTxtG"/>
        <w:rPr>
          <w:rFonts w:eastAsia="SimSun"/>
          <w:lang w:eastAsia="zh-CN"/>
        </w:rPr>
      </w:pPr>
      <w:r>
        <w:rPr>
          <w:rFonts w:eastAsia="SimSun"/>
          <w:lang w:val="fr-FR" w:eastAsia="zh-CN"/>
        </w:rPr>
        <w:t>6</w:t>
      </w:r>
      <w:r w:rsidR="00E80A5E" w:rsidRPr="00E80A5E">
        <w:rPr>
          <w:rFonts w:eastAsia="SimSun"/>
          <w:lang w:val="fr-FR" w:eastAsia="zh-CN"/>
        </w:rPr>
        <w:t>.</w:t>
      </w:r>
      <w:r>
        <w:rPr>
          <w:rFonts w:eastAsia="SimSun"/>
          <w:lang w:val="fr-FR" w:eastAsia="zh-CN"/>
        </w:rPr>
        <w:t>2</w:t>
      </w:r>
      <w:r>
        <w:rPr>
          <w:rFonts w:eastAsia="SimSun"/>
          <w:lang w:val="fr-FR" w:eastAsia="zh-CN"/>
        </w:rPr>
        <w:tab/>
        <w:t xml:space="preserve">Le Comité note l’allégation du </w:t>
      </w:r>
      <w:r w:rsidRPr="00EC1197">
        <w:rPr>
          <w:rFonts w:eastAsia="SimSun"/>
          <w:lang w:val="fr-FR" w:eastAsia="zh-CN"/>
        </w:rPr>
        <w:t>requérant</w:t>
      </w:r>
      <w:r>
        <w:rPr>
          <w:rFonts w:eastAsia="SimSun"/>
          <w:lang w:val="fr-FR" w:eastAsia="zh-CN"/>
        </w:rPr>
        <w:t xml:space="preserve"> selon laquelle il</w:t>
      </w:r>
      <w:r w:rsidRPr="00EC1197">
        <w:rPr>
          <w:rFonts w:eastAsia="SimSun"/>
          <w:lang w:val="fr-FR" w:eastAsia="zh-CN"/>
        </w:rPr>
        <w:t xml:space="preserve"> a été </w:t>
      </w:r>
      <w:r w:rsidRPr="004C4505">
        <w:rPr>
          <w:rFonts w:eastAsia="SimSun"/>
          <w:lang w:val="fr-FR" w:eastAsia="zh-CN"/>
        </w:rPr>
        <w:t>blessé par</w:t>
      </w:r>
      <w:r>
        <w:rPr>
          <w:rFonts w:eastAsia="SimSun"/>
          <w:lang w:val="fr-FR" w:eastAsia="zh-CN"/>
        </w:rPr>
        <w:t xml:space="preserve"> une</w:t>
      </w:r>
      <w:r w:rsidRPr="004C4505">
        <w:rPr>
          <w:rFonts w:eastAsia="SimSun"/>
          <w:lang w:val="fr-FR" w:eastAsia="zh-CN"/>
        </w:rPr>
        <w:t xml:space="preserve"> balle </w:t>
      </w:r>
      <w:r>
        <w:rPr>
          <w:rFonts w:eastAsia="SimSun"/>
          <w:lang w:val="fr-FR" w:eastAsia="zh-CN"/>
        </w:rPr>
        <w:t>tirée</w:t>
      </w:r>
      <w:r w:rsidRPr="004C4505">
        <w:rPr>
          <w:rFonts w:eastAsia="SimSun"/>
          <w:lang w:val="fr-FR" w:eastAsia="zh-CN"/>
        </w:rPr>
        <w:t xml:space="preserve"> par la police</w:t>
      </w:r>
      <w:r>
        <w:rPr>
          <w:rFonts w:eastAsia="SimSun"/>
          <w:lang w:val="fr-FR" w:eastAsia="zh-CN"/>
        </w:rPr>
        <w:t xml:space="preserve"> et ensuite </w:t>
      </w:r>
      <w:r w:rsidRPr="00EC1197">
        <w:rPr>
          <w:rFonts w:eastAsia="SimSun"/>
          <w:lang w:val="fr-FR" w:eastAsia="zh-CN"/>
        </w:rPr>
        <w:t xml:space="preserve">battu par </w:t>
      </w:r>
      <w:r>
        <w:rPr>
          <w:rFonts w:eastAsia="SimSun"/>
          <w:lang w:val="fr-FR" w:eastAsia="zh-CN"/>
        </w:rPr>
        <w:t>d</w:t>
      </w:r>
      <w:r w:rsidRPr="00EC1197">
        <w:rPr>
          <w:rFonts w:eastAsia="SimSun"/>
          <w:lang w:val="fr-FR" w:eastAsia="zh-CN"/>
        </w:rPr>
        <w:t>es policiers, qui lui ont administré de</w:t>
      </w:r>
      <w:r>
        <w:rPr>
          <w:rFonts w:eastAsia="SimSun"/>
          <w:lang w:val="fr-FR" w:eastAsia="zh-CN"/>
        </w:rPr>
        <w:t>s</w:t>
      </w:r>
      <w:r w:rsidRPr="00EC1197">
        <w:rPr>
          <w:rFonts w:eastAsia="SimSun"/>
          <w:lang w:val="fr-FR" w:eastAsia="zh-CN"/>
        </w:rPr>
        <w:t xml:space="preserve"> coups violents sur tout le corps avec les crosses de leurs fusils et leurs </w:t>
      </w:r>
      <w:r>
        <w:rPr>
          <w:rFonts w:eastAsia="SimSun"/>
          <w:lang w:val="fr-FR" w:eastAsia="zh-CN"/>
        </w:rPr>
        <w:t>chicottes</w:t>
      </w:r>
      <w:r w:rsidR="00E80A5E" w:rsidRPr="00E80A5E">
        <w:rPr>
          <w:rFonts w:eastAsia="SimSun"/>
          <w:lang w:val="fr-FR" w:eastAsia="zh-CN"/>
        </w:rPr>
        <w:t>.</w:t>
      </w:r>
      <w:r>
        <w:rPr>
          <w:rFonts w:eastAsia="SimSun"/>
          <w:lang w:val="fr-FR" w:eastAsia="zh-CN"/>
        </w:rPr>
        <w:t xml:space="preserve"> Le Comité note également : a)</w:t>
      </w:r>
      <w:r w:rsidR="00F72FDB">
        <w:rPr>
          <w:rFonts w:eastAsia="SimSun"/>
          <w:lang w:val="fr-FR" w:eastAsia="zh-CN"/>
        </w:rPr>
        <w:t> </w:t>
      </w:r>
      <w:r>
        <w:rPr>
          <w:rFonts w:eastAsia="SimSun"/>
          <w:lang w:val="fr-FR" w:eastAsia="zh-CN"/>
        </w:rPr>
        <w:t>que</w:t>
      </w:r>
      <w:r w:rsidRPr="00EC1197">
        <w:rPr>
          <w:rFonts w:eastAsia="SimSun"/>
          <w:lang w:val="fr-FR" w:eastAsia="zh-CN"/>
        </w:rPr>
        <w:t xml:space="preserve"> les policiers ont </w:t>
      </w:r>
      <w:r>
        <w:rPr>
          <w:rFonts w:eastAsia="SimSun"/>
          <w:lang w:val="fr-FR" w:eastAsia="zh-CN"/>
        </w:rPr>
        <w:t xml:space="preserve">gardé le requérant devant la permanence du </w:t>
      </w:r>
      <w:r w:rsidRPr="00C558C4">
        <w:rPr>
          <w:rFonts w:eastAsia="MS Mincho"/>
        </w:rPr>
        <w:t xml:space="preserve">Mouvement pour la </w:t>
      </w:r>
      <w:r>
        <w:rPr>
          <w:rFonts w:eastAsia="MS Mincho"/>
        </w:rPr>
        <w:t>solidarité et la démocratie</w:t>
      </w:r>
      <w:r>
        <w:rPr>
          <w:rFonts w:eastAsia="SimSun"/>
          <w:lang w:val="fr-FR" w:eastAsia="zh-CN"/>
        </w:rPr>
        <w:t xml:space="preserve"> alors qu’il saignait de la main et d’autres parties du corps qui avaient été atteintes par les coups des policiers ;</w:t>
      </w:r>
      <w:r w:rsidRPr="00EC1197">
        <w:rPr>
          <w:rFonts w:eastAsia="SimSun"/>
          <w:lang w:val="fr-FR" w:eastAsia="zh-CN"/>
        </w:rPr>
        <w:t xml:space="preserve"> </w:t>
      </w:r>
      <w:r>
        <w:rPr>
          <w:rFonts w:eastAsia="SimSun"/>
          <w:lang w:val="fr-FR" w:eastAsia="zh-CN"/>
        </w:rPr>
        <w:t>b)</w:t>
      </w:r>
      <w:r w:rsidR="00F72FDB">
        <w:rPr>
          <w:rFonts w:eastAsia="SimSun"/>
          <w:lang w:val="fr-FR" w:eastAsia="zh-CN"/>
        </w:rPr>
        <w:t> </w:t>
      </w:r>
      <w:r>
        <w:rPr>
          <w:rFonts w:eastAsia="SimSun"/>
          <w:lang w:val="fr-FR" w:eastAsia="zh-CN"/>
        </w:rPr>
        <w:t>que les policiers n’ont pas permis au personnel de la Croix-Rouge du Burundi de s’occuper du requérant pour lui prodiguer des soins ; c)</w:t>
      </w:r>
      <w:r w:rsidR="00F72FDB">
        <w:rPr>
          <w:rFonts w:eastAsia="SimSun"/>
          <w:lang w:val="fr-FR" w:eastAsia="zh-CN"/>
        </w:rPr>
        <w:t> </w:t>
      </w:r>
      <w:r>
        <w:rPr>
          <w:rFonts w:eastAsia="SimSun"/>
          <w:lang w:val="fr-FR" w:eastAsia="zh-CN"/>
        </w:rPr>
        <w:t>qu’au lieu d’être conduit à l’hôpital, le requérant a été conduit au Service national de renseignement, où il a été forcé</w:t>
      </w:r>
      <w:r w:rsidRPr="00694A24">
        <w:rPr>
          <w:rFonts w:eastAsia="SimSun"/>
          <w:lang w:val="fr-FR" w:eastAsia="zh-CN"/>
        </w:rPr>
        <w:t xml:space="preserve"> à s</w:t>
      </w:r>
      <w:r>
        <w:rPr>
          <w:rFonts w:eastAsia="SimSun"/>
          <w:lang w:val="fr-FR" w:eastAsia="zh-CN"/>
        </w:rPr>
        <w:t>’</w:t>
      </w:r>
      <w:r w:rsidRPr="00694A24">
        <w:rPr>
          <w:rFonts w:eastAsia="SimSun"/>
          <w:lang w:val="fr-FR" w:eastAsia="zh-CN"/>
        </w:rPr>
        <w:t>étendre par terre, interrogé et insulté</w:t>
      </w:r>
      <w:r>
        <w:rPr>
          <w:rFonts w:eastAsia="SimSun"/>
          <w:lang w:val="fr-FR" w:eastAsia="zh-CN"/>
        </w:rPr>
        <w:t> ; et d)</w:t>
      </w:r>
      <w:r w:rsidR="00F72FDB">
        <w:rPr>
          <w:rFonts w:eastAsia="SimSun"/>
          <w:lang w:val="fr-FR" w:eastAsia="zh-CN"/>
        </w:rPr>
        <w:t> </w:t>
      </w:r>
      <w:r>
        <w:rPr>
          <w:rFonts w:eastAsia="SimSun"/>
          <w:lang w:val="fr-FR" w:eastAsia="zh-CN"/>
        </w:rPr>
        <w:t>que ce n’est que par suite de pressions exercées par des défenseurs des droits humains que le requérant a été conduit à l’hôpital</w:t>
      </w:r>
      <w:r w:rsidR="00E80A5E" w:rsidRPr="00E80A5E">
        <w:rPr>
          <w:rFonts w:eastAsia="SimSun"/>
          <w:lang w:val="fr-FR" w:eastAsia="zh-CN"/>
        </w:rPr>
        <w:t>.</w:t>
      </w:r>
      <w:r>
        <w:rPr>
          <w:rFonts w:eastAsia="SimSun"/>
          <w:lang w:val="fr-FR" w:eastAsia="zh-CN"/>
        </w:rPr>
        <w:t xml:space="preserve"> </w:t>
      </w:r>
      <w:r w:rsidRPr="00CA5A60">
        <w:rPr>
          <w:rFonts w:eastAsia="SimSun"/>
          <w:lang w:val="fr-FR" w:eastAsia="zh-CN"/>
        </w:rPr>
        <w:t xml:space="preserve">Le Comité </w:t>
      </w:r>
      <w:r>
        <w:rPr>
          <w:rFonts w:eastAsia="SimSun"/>
          <w:lang w:val="fr-FR" w:eastAsia="zh-CN"/>
        </w:rPr>
        <w:t>prend également note des allégations du</w:t>
      </w:r>
      <w:r w:rsidRPr="00CA5A60">
        <w:rPr>
          <w:rFonts w:eastAsia="SimSun"/>
          <w:lang w:val="fr-FR" w:eastAsia="zh-CN"/>
        </w:rPr>
        <w:t xml:space="preserve"> requérant selon lesquelles les coups </w:t>
      </w:r>
      <w:r>
        <w:rPr>
          <w:rFonts w:eastAsia="SimSun"/>
          <w:lang w:val="fr-FR" w:eastAsia="zh-CN"/>
        </w:rPr>
        <w:t>reçus lui</w:t>
      </w:r>
      <w:r w:rsidRPr="00CA5A60">
        <w:rPr>
          <w:rFonts w:eastAsia="SimSun"/>
          <w:lang w:val="fr-FR" w:eastAsia="zh-CN"/>
        </w:rPr>
        <w:t xml:space="preserve"> ont occasionné des douleurs et </w:t>
      </w:r>
      <w:r>
        <w:rPr>
          <w:rFonts w:eastAsia="SimSun"/>
          <w:lang w:val="fr-FR" w:eastAsia="zh-CN"/>
        </w:rPr>
        <w:t xml:space="preserve">des </w:t>
      </w:r>
      <w:r w:rsidRPr="00CA5A60">
        <w:rPr>
          <w:rFonts w:eastAsia="SimSun"/>
          <w:lang w:val="fr-FR" w:eastAsia="zh-CN"/>
        </w:rPr>
        <w:t xml:space="preserve">souffrances aiguës, </w:t>
      </w:r>
      <w:r>
        <w:rPr>
          <w:rFonts w:eastAsia="SimSun"/>
          <w:lang w:val="fr-FR" w:eastAsia="zh-CN"/>
        </w:rPr>
        <w:t>y compris des souffrances physiques et psychologiques</w:t>
      </w:r>
      <w:r w:rsidRPr="00CA5A60">
        <w:rPr>
          <w:rFonts w:eastAsia="SimSun"/>
          <w:lang w:val="fr-FR" w:eastAsia="zh-CN"/>
        </w:rPr>
        <w:t>, et lui auraient été infligés intentionnellement par des agents étatiques</w:t>
      </w:r>
      <w:r w:rsidRPr="00CA5A60" w:rsidDel="00D7374D">
        <w:rPr>
          <w:rFonts w:eastAsia="SimSun"/>
          <w:lang w:val="fr-FR" w:eastAsia="zh-CN"/>
        </w:rPr>
        <w:t xml:space="preserve"> </w:t>
      </w:r>
      <w:r w:rsidRPr="00CA5A60">
        <w:rPr>
          <w:rFonts w:eastAsia="SimSun"/>
          <w:lang w:val="fr-FR" w:eastAsia="zh-CN"/>
        </w:rPr>
        <w:t>dans le but de l</w:t>
      </w:r>
      <w:r>
        <w:rPr>
          <w:rFonts w:eastAsia="SimSun"/>
          <w:lang w:val="fr-FR" w:eastAsia="zh-CN"/>
        </w:rPr>
        <w:t>e</w:t>
      </w:r>
      <w:r w:rsidRPr="00CA5A60">
        <w:rPr>
          <w:rFonts w:eastAsia="SimSun"/>
          <w:lang w:val="fr-FR" w:eastAsia="zh-CN"/>
        </w:rPr>
        <w:t xml:space="preserve"> punir et de l</w:t>
      </w:r>
      <w:r>
        <w:rPr>
          <w:rFonts w:eastAsia="SimSun"/>
          <w:lang w:val="fr-FR" w:eastAsia="zh-CN"/>
        </w:rPr>
        <w:t>’</w:t>
      </w:r>
      <w:r w:rsidRPr="00CA5A60">
        <w:rPr>
          <w:rFonts w:eastAsia="SimSun"/>
          <w:lang w:val="fr-FR" w:eastAsia="zh-CN"/>
        </w:rPr>
        <w:t>intimider</w:t>
      </w:r>
      <w:r w:rsidR="00E80A5E" w:rsidRPr="00E80A5E">
        <w:rPr>
          <w:rFonts w:eastAsia="SimSun"/>
          <w:lang w:val="fr-FR" w:eastAsia="zh-CN"/>
        </w:rPr>
        <w:t>.</w:t>
      </w:r>
      <w:r>
        <w:rPr>
          <w:rFonts w:eastAsia="SimSun"/>
          <w:lang w:val="fr-FR" w:eastAsia="zh-CN"/>
        </w:rPr>
        <w:t xml:space="preserve"> </w:t>
      </w:r>
      <w:r w:rsidRPr="00EC1197">
        <w:rPr>
          <w:rFonts w:eastAsia="SimSun"/>
          <w:lang w:val="fr-FR" w:eastAsia="zh-CN"/>
        </w:rPr>
        <w:t>Le Comité note aussi que</w:t>
      </w:r>
      <w:r>
        <w:rPr>
          <w:rFonts w:eastAsia="SimSun"/>
          <w:lang w:val="fr-FR" w:eastAsia="zh-CN"/>
        </w:rPr>
        <w:t xml:space="preserve"> ces faits n’ont été contestés à aucun moment par</w:t>
      </w:r>
      <w:r w:rsidRPr="00EC1197">
        <w:rPr>
          <w:rFonts w:eastAsia="SimSun"/>
          <w:lang w:val="fr-FR" w:eastAsia="zh-CN"/>
        </w:rPr>
        <w:t xml:space="preserve"> l</w:t>
      </w:r>
      <w:r>
        <w:rPr>
          <w:rFonts w:eastAsia="SimSun"/>
          <w:lang w:val="fr-FR" w:eastAsia="zh-CN"/>
        </w:rPr>
        <w:t>’</w:t>
      </w:r>
      <w:r w:rsidRPr="00EC1197">
        <w:rPr>
          <w:rFonts w:eastAsia="SimSun"/>
          <w:lang w:val="fr-FR" w:eastAsia="zh-CN"/>
        </w:rPr>
        <w:t>État partie</w:t>
      </w:r>
      <w:r w:rsidR="00E80A5E" w:rsidRPr="00E80A5E">
        <w:rPr>
          <w:rFonts w:eastAsia="SimSun"/>
          <w:lang w:val="fr-FR" w:eastAsia="zh-CN"/>
        </w:rPr>
        <w:t>.</w:t>
      </w:r>
      <w:r w:rsidRPr="00EC1197">
        <w:rPr>
          <w:rFonts w:eastAsia="SimSun"/>
          <w:lang w:val="fr-FR" w:eastAsia="zh-CN"/>
        </w:rPr>
        <w:t xml:space="preserve"> Dans ces circonstances, le Comit</w:t>
      </w:r>
      <w:r>
        <w:rPr>
          <w:rFonts w:eastAsia="SimSun"/>
          <w:lang w:val="fr-FR" w:eastAsia="zh-CN"/>
        </w:rPr>
        <w:t xml:space="preserve">é conclut que </w:t>
      </w:r>
      <w:r w:rsidRPr="00EC1197">
        <w:rPr>
          <w:rFonts w:eastAsia="SimSun"/>
          <w:lang w:val="fr-FR" w:eastAsia="zh-CN"/>
        </w:rPr>
        <w:t xml:space="preserve">les faits, tels </w:t>
      </w:r>
      <w:r>
        <w:rPr>
          <w:rFonts w:eastAsia="SimSun"/>
          <w:lang w:val="fr-FR" w:eastAsia="zh-CN"/>
        </w:rPr>
        <w:t>qu’ils sont</w:t>
      </w:r>
      <w:r w:rsidRPr="00EC1197">
        <w:rPr>
          <w:rFonts w:eastAsia="SimSun"/>
          <w:lang w:val="fr-FR" w:eastAsia="zh-CN"/>
        </w:rPr>
        <w:t xml:space="preserve"> présentés</w:t>
      </w:r>
      <w:r>
        <w:rPr>
          <w:rFonts w:eastAsia="SimSun"/>
          <w:lang w:val="fr-FR" w:eastAsia="zh-CN"/>
        </w:rPr>
        <w:t xml:space="preserve"> par le requérant</w:t>
      </w:r>
      <w:r w:rsidRPr="00EC1197">
        <w:rPr>
          <w:rFonts w:eastAsia="SimSun"/>
          <w:lang w:val="fr-FR" w:eastAsia="zh-CN"/>
        </w:rPr>
        <w:t>,</w:t>
      </w:r>
      <w:r>
        <w:rPr>
          <w:rFonts w:eastAsia="SimSun"/>
          <w:lang w:val="fr-FR" w:eastAsia="zh-CN"/>
        </w:rPr>
        <w:t xml:space="preserve"> sont</w:t>
      </w:r>
      <w:r w:rsidRPr="00EC1197">
        <w:rPr>
          <w:rFonts w:eastAsia="SimSun"/>
          <w:lang w:val="fr-FR" w:eastAsia="zh-CN"/>
        </w:rPr>
        <w:t xml:space="preserve"> constitutifs de torture au sens </w:t>
      </w:r>
      <w:r>
        <w:rPr>
          <w:rFonts w:eastAsia="SimSun"/>
          <w:lang w:val="fr-FR" w:eastAsia="zh-CN"/>
        </w:rPr>
        <w:t>de l’article</w:t>
      </w:r>
      <w:r w:rsidR="00F72FDB">
        <w:rPr>
          <w:rFonts w:eastAsia="SimSun"/>
          <w:lang w:val="fr-FR" w:eastAsia="zh-CN"/>
        </w:rPr>
        <w:t> </w:t>
      </w:r>
      <w:r>
        <w:rPr>
          <w:rFonts w:eastAsia="SimSun"/>
          <w:lang w:val="fr-FR" w:eastAsia="zh-CN"/>
        </w:rPr>
        <w:t>1</w:t>
      </w:r>
      <w:r w:rsidRPr="005F1273">
        <w:rPr>
          <w:rFonts w:eastAsia="SimSun"/>
          <w:vertAlign w:val="superscript"/>
          <w:lang w:val="fr-FR" w:eastAsia="zh-CN"/>
        </w:rPr>
        <w:t>er</w:t>
      </w:r>
      <w:r>
        <w:rPr>
          <w:rFonts w:eastAsia="SimSun"/>
          <w:lang w:val="fr-FR" w:eastAsia="zh-CN"/>
        </w:rPr>
        <w:t xml:space="preserve"> de la Convention</w:t>
      </w:r>
      <w:r w:rsidRPr="00E73881">
        <w:rPr>
          <w:rStyle w:val="Appelnotedebasdep"/>
        </w:rPr>
        <w:footnoteReference w:id="20"/>
      </w:r>
      <w:r w:rsidR="00E80A5E" w:rsidRPr="00E80A5E">
        <w:rPr>
          <w:rFonts w:eastAsia="SimSun"/>
          <w:lang w:eastAsia="zh-CN"/>
        </w:rPr>
        <w:t>.</w:t>
      </w:r>
    </w:p>
    <w:p w14:paraId="7CA7CCB2" w14:textId="0C3EC4FA" w:rsidR="00C35C59" w:rsidRDefault="00C35C59" w:rsidP="00F72FDB">
      <w:pPr>
        <w:pStyle w:val="SingleTxtG"/>
        <w:keepNext/>
        <w:keepLines/>
        <w:rPr>
          <w:lang w:val="fr-FR"/>
        </w:rPr>
      </w:pPr>
      <w:r>
        <w:lastRenderedPageBreak/>
        <w:t>6</w:t>
      </w:r>
      <w:r w:rsidR="00E80A5E" w:rsidRPr="00E80A5E">
        <w:t>.</w:t>
      </w:r>
      <w:r>
        <w:t>3</w:t>
      </w:r>
      <w:r>
        <w:tab/>
        <w:t>Le Comité prend note des allégations du requérant basées sur l’article</w:t>
      </w:r>
      <w:r w:rsidR="00F72FDB">
        <w:t> </w:t>
      </w:r>
      <w:r w:rsidRPr="001D74C4">
        <w:t>2</w:t>
      </w:r>
      <w:r>
        <w:t xml:space="preserve"> (par</w:t>
      </w:r>
      <w:r w:rsidR="00E80A5E" w:rsidRPr="00E80A5E">
        <w:t>.</w:t>
      </w:r>
      <w:r w:rsidR="00F72FDB">
        <w:t> </w:t>
      </w:r>
      <w:r w:rsidRPr="001D74C4">
        <w:t>1</w:t>
      </w:r>
      <w:r>
        <w:t>)</w:t>
      </w:r>
      <w:r w:rsidRPr="001D74C4">
        <w:t xml:space="preserve"> de la Convention</w:t>
      </w:r>
      <w:r>
        <w:t xml:space="preserve"> et</w:t>
      </w:r>
      <w:r w:rsidRPr="001D74C4">
        <w:t xml:space="preserve"> </w:t>
      </w:r>
      <w:r w:rsidRPr="00183A14">
        <w:rPr>
          <w:lang w:val="fr-FR"/>
        </w:rPr>
        <w:t>rappelle ses conclusions et recommandations</w:t>
      </w:r>
      <w:r w:rsidRPr="007808C1">
        <w:t xml:space="preserve"> </w:t>
      </w:r>
      <w:r>
        <w:t>concernant les rapports du Burundi soumis au titre de l’article</w:t>
      </w:r>
      <w:r w:rsidR="00F72FDB">
        <w:t> </w:t>
      </w:r>
      <w:r>
        <w:t>19 de la Convention</w:t>
      </w:r>
      <w:r w:rsidRPr="00183A14">
        <w:rPr>
          <w:lang w:val="fr-FR"/>
        </w:rPr>
        <w:t>, dans lesquelles il a exhorté l</w:t>
      </w:r>
      <w:r>
        <w:rPr>
          <w:lang w:val="fr-FR"/>
        </w:rPr>
        <w:t>’</w:t>
      </w:r>
      <w:r w:rsidRPr="00183A14">
        <w:rPr>
          <w:lang w:val="fr-FR"/>
        </w:rPr>
        <w:t>État partie à prendre des mesures législatives, administratives et judiciaires effectives pour prévenir tout acte de torture et tout mauvais traitement, et à prendre des mesures urgentes pour que tout lieu de détention soit sous autorité judiciaire afin d</w:t>
      </w:r>
      <w:r>
        <w:rPr>
          <w:lang w:val="fr-FR"/>
        </w:rPr>
        <w:t>’</w:t>
      </w:r>
      <w:r w:rsidRPr="00183A14">
        <w:rPr>
          <w:lang w:val="fr-FR"/>
        </w:rPr>
        <w:t>empêcher ses agents de procéder à des détentions arbitrai</w:t>
      </w:r>
      <w:r>
        <w:rPr>
          <w:lang w:val="fr-FR"/>
        </w:rPr>
        <w:t>res et de pratiquer la torture</w:t>
      </w:r>
      <w:r w:rsidRPr="00E73881">
        <w:rPr>
          <w:rStyle w:val="Appelnotedebasdep"/>
        </w:rPr>
        <w:footnoteReference w:id="21"/>
      </w:r>
      <w:r w:rsidR="00E80A5E" w:rsidRPr="00E80A5E">
        <w:rPr>
          <w:lang w:val="fr-FR"/>
        </w:rPr>
        <w:t>.</w:t>
      </w:r>
      <w:r w:rsidRPr="00183A14">
        <w:rPr>
          <w:lang w:val="fr-FR"/>
        </w:rPr>
        <w:t xml:space="preserve"> </w:t>
      </w:r>
      <w:r>
        <w:rPr>
          <w:lang w:val="fr-FR"/>
        </w:rPr>
        <w:t xml:space="preserve">Dans le cas présent, </w:t>
      </w:r>
      <w:r>
        <w:rPr>
          <w:rFonts w:eastAsia="SimSun"/>
          <w:lang w:eastAsia="zh-CN"/>
        </w:rPr>
        <w:t>l</w:t>
      </w:r>
      <w:r w:rsidRPr="001D74C4">
        <w:rPr>
          <w:lang w:val="fr-FR"/>
        </w:rPr>
        <w:t>e Com</w:t>
      </w:r>
      <w:r>
        <w:rPr>
          <w:lang w:val="fr-FR"/>
        </w:rPr>
        <w:t xml:space="preserve">ité prend note des allégations du </w:t>
      </w:r>
      <w:r w:rsidRPr="001D74C4">
        <w:rPr>
          <w:lang w:val="fr-FR"/>
        </w:rPr>
        <w:t xml:space="preserve">requérant </w:t>
      </w:r>
      <w:r>
        <w:rPr>
          <w:lang w:val="fr-FR"/>
        </w:rPr>
        <w:t xml:space="preserve">selon lesquelles il </w:t>
      </w:r>
      <w:r w:rsidRPr="001D74C4">
        <w:rPr>
          <w:lang w:val="fr-FR"/>
        </w:rPr>
        <w:t xml:space="preserve">a été </w:t>
      </w:r>
      <w:r w:rsidRPr="004C4505">
        <w:rPr>
          <w:rFonts w:eastAsia="SimSun"/>
          <w:lang w:val="fr-FR" w:eastAsia="zh-CN"/>
        </w:rPr>
        <w:t>blessé par</w:t>
      </w:r>
      <w:r>
        <w:rPr>
          <w:rFonts w:eastAsia="SimSun"/>
          <w:lang w:val="fr-FR" w:eastAsia="zh-CN"/>
        </w:rPr>
        <w:t xml:space="preserve"> </w:t>
      </w:r>
      <w:r w:rsidRPr="004C4505">
        <w:rPr>
          <w:rFonts w:eastAsia="SimSun"/>
          <w:lang w:val="fr-FR" w:eastAsia="zh-CN"/>
        </w:rPr>
        <w:t>balle</w:t>
      </w:r>
      <w:r>
        <w:rPr>
          <w:rFonts w:eastAsia="SimSun"/>
          <w:lang w:val="fr-FR" w:eastAsia="zh-CN"/>
        </w:rPr>
        <w:t xml:space="preserve"> et</w:t>
      </w:r>
      <w:r>
        <w:rPr>
          <w:lang w:val="fr-FR"/>
        </w:rPr>
        <w:t xml:space="preserve"> battu par des policiers, </w:t>
      </w:r>
      <w:r w:rsidRPr="00183A14">
        <w:rPr>
          <w:lang w:val="fr-FR"/>
        </w:rPr>
        <w:t xml:space="preserve">puis détenu sans </w:t>
      </w:r>
      <w:r>
        <w:rPr>
          <w:lang w:val="fr-FR"/>
        </w:rPr>
        <w:t xml:space="preserve">mandat d’arrêt, sans </w:t>
      </w:r>
      <w:r w:rsidRPr="00183A14">
        <w:rPr>
          <w:lang w:val="fr-FR"/>
        </w:rPr>
        <w:t>base légale</w:t>
      </w:r>
      <w:r>
        <w:rPr>
          <w:lang w:val="fr-FR"/>
        </w:rPr>
        <w:t>,</w:t>
      </w:r>
      <w:r w:rsidRPr="00183A14">
        <w:rPr>
          <w:lang w:val="fr-FR"/>
        </w:rPr>
        <w:t xml:space="preserve"> et sans</w:t>
      </w:r>
      <w:r>
        <w:rPr>
          <w:lang w:val="fr-FR"/>
        </w:rPr>
        <w:t xml:space="preserve"> avoir la possibilité d’entrer en</w:t>
      </w:r>
      <w:r w:rsidRPr="00183A14">
        <w:rPr>
          <w:lang w:val="fr-FR"/>
        </w:rPr>
        <w:t xml:space="preserve"> contact avec un défenseur</w:t>
      </w:r>
      <w:r>
        <w:rPr>
          <w:lang w:val="fr-FR"/>
        </w:rPr>
        <w:t xml:space="preserve"> pendant plus d’un mois, demeurant effectivement soustrait à la protection de la loi</w:t>
      </w:r>
      <w:r w:rsidR="00E80A5E" w:rsidRPr="00E80A5E">
        <w:rPr>
          <w:lang w:val="fr-FR"/>
        </w:rPr>
        <w:t>.</w:t>
      </w:r>
      <w:r>
        <w:rPr>
          <w:lang w:val="fr-FR"/>
        </w:rPr>
        <w:t xml:space="preserve"> Le Comité note également que l’État partie n’a pris aucune mesure pour protéger le requérant jusqu’à ce que des défenseurs des droits humains interviennent pour le soutenir</w:t>
      </w:r>
      <w:r w:rsidR="00E80A5E" w:rsidRPr="00E80A5E">
        <w:rPr>
          <w:lang w:val="fr-FR"/>
        </w:rPr>
        <w:t>.</w:t>
      </w:r>
      <w:r>
        <w:rPr>
          <w:lang w:val="fr-FR"/>
        </w:rPr>
        <w:t xml:space="preserve"> </w:t>
      </w:r>
      <w:r w:rsidRPr="00183A14">
        <w:rPr>
          <w:lang w:val="fr-FR"/>
        </w:rPr>
        <w:t>Au vu de ce qui précède, le Comité conclut à une violation de l</w:t>
      </w:r>
      <w:r>
        <w:rPr>
          <w:lang w:val="fr-FR"/>
        </w:rPr>
        <w:t>’</w:t>
      </w:r>
      <w:r w:rsidRPr="00183A14">
        <w:rPr>
          <w:lang w:val="fr-FR"/>
        </w:rPr>
        <w:t>article</w:t>
      </w:r>
      <w:r w:rsidR="00F72FDB">
        <w:rPr>
          <w:lang w:val="fr-FR"/>
        </w:rPr>
        <w:t> </w:t>
      </w:r>
      <w:r w:rsidRPr="00183A14">
        <w:rPr>
          <w:lang w:val="fr-FR"/>
        </w:rPr>
        <w:t>2 (par</w:t>
      </w:r>
      <w:r w:rsidR="00E80A5E" w:rsidRPr="00E80A5E">
        <w:rPr>
          <w:lang w:val="fr-FR"/>
        </w:rPr>
        <w:t>.</w:t>
      </w:r>
      <w:r w:rsidR="00F72FDB">
        <w:rPr>
          <w:lang w:val="fr-FR"/>
        </w:rPr>
        <w:t> </w:t>
      </w:r>
      <w:r w:rsidRPr="00183A14">
        <w:rPr>
          <w:lang w:val="fr-FR"/>
        </w:rPr>
        <w:t>1), lu conjointement avec l</w:t>
      </w:r>
      <w:r>
        <w:rPr>
          <w:lang w:val="fr-FR"/>
        </w:rPr>
        <w:t>’</w:t>
      </w:r>
      <w:r w:rsidRPr="00183A14">
        <w:rPr>
          <w:lang w:val="fr-FR"/>
        </w:rPr>
        <w:t>article</w:t>
      </w:r>
      <w:r w:rsidR="00F72FDB">
        <w:rPr>
          <w:lang w:val="fr-FR"/>
        </w:rPr>
        <w:t> </w:t>
      </w:r>
      <w:r w:rsidRPr="00183A14">
        <w:rPr>
          <w:lang w:val="fr-FR"/>
        </w:rPr>
        <w:t>1</w:t>
      </w:r>
      <w:r w:rsidRPr="005F1273">
        <w:rPr>
          <w:vertAlign w:val="superscript"/>
          <w:lang w:val="fr-FR"/>
        </w:rPr>
        <w:t>er</w:t>
      </w:r>
      <w:r w:rsidRPr="00183A14">
        <w:rPr>
          <w:lang w:val="fr-FR"/>
        </w:rPr>
        <w:t xml:space="preserve"> de la Convention</w:t>
      </w:r>
      <w:r w:rsidRPr="00E73881">
        <w:rPr>
          <w:rStyle w:val="Appelnotedebasdep"/>
        </w:rPr>
        <w:footnoteReference w:id="22"/>
      </w:r>
      <w:r w:rsidR="00E80A5E" w:rsidRPr="00E80A5E">
        <w:rPr>
          <w:lang w:val="fr-FR"/>
        </w:rPr>
        <w:t>.</w:t>
      </w:r>
    </w:p>
    <w:p w14:paraId="4C64D4B4" w14:textId="6DD2A989" w:rsidR="00C35C59" w:rsidRPr="00C94BD2" w:rsidRDefault="00C35C59" w:rsidP="00C35C59">
      <w:pPr>
        <w:pStyle w:val="SingleTxtG"/>
      </w:pPr>
      <w:r>
        <w:t>6</w:t>
      </w:r>
      <w:r w:rsidR="00E80A5E" w:rsidRPr="00E80A5E">
        <w:t>.</w:t>
      </w:r>
      <w:r>
        <w:t>4</w:t>
      </w:r>
      <w:r>
        <w:tab/>
      </w:r>
      <w:r w:rsidRPr="00004DD3">
        <w:t>Le Com</w:t>
      </w:r>
      <w:r>
        <w:t xml:space="preserve">ité note également l’argument du </w:t>
      </w:r>
      <w:r w:rsidRPr="00004DD3">
        <w:t>requérant selon lequel l</w:t>
      </w:r>
      <w:r>
        <w:t>’</w:t>
      </w:r>
      <w:r w:rsidRPr="00004DD3">
        <w:t>article</w:t>
      </w:r>
      <w:r w:rsidR="00F72FDB">
        <w:t> </w:t>
      </w:r>
      <w:r w:rsidRPr="00004DD3">
        <w:t xml:space="preserve">11 </w:t>
      </w:r>
      <w:r>
        <w:t xml:space="preserve">de la Convention </w:t>
      </w:r>
      <w:r w:rsidR="00F72FDB">
        <w:t>− </w:t>
      </w:r>
      <w:r>
        <w:t xml:space="preserve">qui demande à l’État partie d’exercer une surveillance systématique sur </w:t>
      </w:r>
      <w:r w:rsidRPr="00233DAA">
        <w:t>les dispositions concernant la garde et le traitement des personnes arrêtées, détenues ou emprisonnées de quelque façon que ce soit sur tout territoire sous sa juridiction, en vue d</w:t>
      </w:r>
      <w:r>
        <w:t>’</w:t>
      </w:r>
      <w:r w:rsidRPr="00233DAA">
        <w:t>éviter tout cas de torture</w:t>
      </w:r>
      <w:r w:rsidR="00F72FDB">
        <w:t> −</w:t>
      </w:r>
      <w:r>
        <w:t xml:space="preserve"> </w:t>
      </w:r>
      <w:r w:rsidRPr="00004DD3">
        <w:t>aurait été violé</w:t>
      </w:r>
      <w:r w:rsidR="00E80A5E" w:rsidRPr="00E80A5E">
        <w:t>.</w:t>
      </w:r>
      <w:r>
        <w:t xml:space="preserve"> Le requérant allègue, en particulier, ce qui suit : a)</w:t>
      </w:r>
      <w:r w:rsidR="00F72FDB">
        <w:t> </w:t>
      </w:r>
      <w:r w:rsidRPr="00165538">
        <w:t xml:space="preserve">malgré </w:t>
      </w:r>
      <w:r>
        <w:t>son état</w:t>
      </w:r>
      <w:r w:rsidRPr="00165538">
        <w:t xml:space="preserve"> critique au moment de l</w:t>
      </w:r>
      <w:r>
        <w:t>’</w:t>
      </w:r>
      <w:r w:rsidRPr="00165538">
        <w:t xml:space="preserve">arrestation, </w:t>
      </w:r>
      <w:r>
        <w:t>il</w:t>
      </w:r>
      <w:r w:rsidRPr="00165538">
        <w:t xml:space="preserve"> n</w:t>
      </w:r>
      <w:r>
        <w:t>’</w:t>
      </w:r>
      <w:r w:rsidRPr="00165538">
        <w:t>a pas reçu de soins</w:t>
      </w:r>
      <w:r>
        <w:t xml:space="preserve"> médicaux</w:t>
      </w:r>
      <w:r w:rsidRPr="00165538">
        <w:t xml:space="preserve"> appropriés</w:t>
      </w:r>
      <w:r>
        <w:t> ; b)</w:t>
      </w:r>
      <w:r w:rsidR="00F72FDB">
        <w:t> </w:t>
      </w:r>
      <w:r>
        <w:t xml:space="preserve">il </w:t>
      </w:r>
      <w:r w:rsidRPr="00165538">
        <w:t>n</w:t>
      </w:r>
      <w:r>
        <w:t>’</w:t>
      </w:r>
      <w:r w:rsidRPr="00165538">
        <w:t xml:space="preserve">a </w:t>
      </w:r>
      <w:r>
        <w:t xml:space="preserve">pas </w:t>
      </w:r>
      <w:r w:rsidRPr="00165538">
        <w:t>eu accès à un avocat</w:t>
      </w:r>
      <w:r>
        <w:t xml:space="preserve"> pendant plus d’</w:t>
      </w:r>
      <w:r w:rsidRPr="00165538">
        <w:t>un mois après son a</w:t>
      </w:r>
      <w:r>
        <w:t xml:space="preserve">rrestation, y compris </w:t>
      </w:r>
      <w:r w:rsidRPr="00165538">
        <w:t>lors de l</w:t>
      </w:r>
      <w:r>
        <w:t>’</w:t>
      </w:r>
      <w:r w:rsidRPr="00165538">
        <w:t xml:space="preserve">interrogatoire </w:t>
      </w:r>
      <w:r w:rsidRPr="000861C6">
        <w:t xml:space="preserve">au Service national de renseignement en date du </w:t>
      </w:r>
      <w:r>
        <w:t>8</w:t>
      </w:r>
      <w:r w:rsidR="00F72FDB">
        <w:t> </w:t>
      </w:r>
      <w:r>
        <w:t>mars</w:t>
      </w:r>
      <w:r w:rsidRPr="000861C6">
        <w:t xml:space="preserve"> 201</w:t>
      </w:r>
      <w:r>
        <w:t>4 ;</w:t>
      </w:r>
      <w:r w:rsidRPr="00165538">
        <w:t xml:space="preserve"> </w:t>
      </w:r>
      <w:r>
        <w:t>c)</w:t>
      </w:r>
      <w:r w:rsidR="00F72FDB">
        <w:t> </w:t>
      </w:r>
      <w:r>
        <w:t>il</w:t>
      </w:r>
      <w:r w:rsidRPr="00165538">
        <w:t xml:space="preserve"> </w:t>
      </w:r>
      <w:r>
        <w:t>a été arrêté sans être informé</w:t>
      </w:r>
      <w:r w:rsidRPr="00165538">
        <w:t xml:space="preserve"> des che</w:t>
      </w:r>
      <w:r>
        <w:t>fs d’accusation retenus contre lui ;</w:t>
      </w:r>
      <w:r w:rsidRPr="00165538">
        <w:t xml:space="preserve"> </w:t>
      </w:r>
      <w:r>
        <w:t>d)</w:t>
      </w:r>
      <w:r w:rsidR="00F72FDB">
        <w:t> </w:t>
      </w:r>
      <w:r>
        <w:t>il</w:t>
      </w:r>
      <w:r w:rsidRPr="00165538">
        <w:t xml:space="preserve"> n</w:t>
      </w:r>
      <w:r>
        <w:t>’</w:t>
      </w:r>
      <w:r w:rsidRPr="00165538">
        <w:t xml:space="preserve">a pas bénéficié de voies de recours efficaces pour </w:t>
      </w:r>
      <w:r>
        <w:t>contester les actes de torture ;</w:t>
      </w:r>
      <w:r w:rsidRPr="00165538">
        <w:t xml:space="preserve"> et </w:t>
      </w:r>
      <w:r>
        <w:t>e)</w:t>
      </w:r>
      <w:r w:rsidR="00F72FDB">
        <w:t> </w:t>
      </w:r>
      <w:r>
        <w:t>il</w:t>
      </w:r>
      <w:r w:rsidRPr="00165538">
        <w:t xml:space="preserve"> a été détenu dans des </w:t>
      </w:r>
      <w:r>
        <w:t>« </w:t>
      </w:r>
      <w:r w:rsidRPr="00165538">
        <w:t>conditions déplorables</w:t>
      </w:r>
      <w:r>
        <w:t> »</w:t>
      </w:r>
      <w:r w:rsidRPr="00165538">
        <w:t xml:space="preserve"> à la prison de </w:t>
      </w:r>
      <w:proofErr w:type="spellStart"/>
      <w:r w:rsidRPr="00165538">
        <w:t>Mpimba</w:t>
      </w:r>
      <w:proofErr w:type="spellEnd"/>
      <w:r>
        <w:t xml:space="preserve"> et à celle de </w:t>
      </w:r>
      <w:proofErr w:type="spellStart"/>
      <w:r>
        <w:t>Rumonge</w:t>
      </w:r>
      <w:proofErr w:type="spellEnd"/>
      <w:r w:rsidRPr="00165538">
        <w:t>, malgré son état de santé critique</w:t>
      </w:r>
      <w:r w:rsidR="00E80A5E" w:rsidRPr="00E80A5E">
        <w:t>.</w:t>
      </w:r>
      <w:r>
        <w:t xml:space="preserve"> </w:t>
      </w:r>
      <w:r w:rsidRPr="00165538">
        <w:t>Le Comité rappelle ses observations finales concernant le deuxième rapport périodique du Burundi</w:t>
      </w:r>
      <w:r>
        <w:t>,</w:t>
      </w:r>
      <w:r w:rsidRPr="00165538">
        <w:t xml:space="preserve"> dans lesquelles il s</w:t>
      </w:r>
      <w:r>
        <w:t>’</w:t>
      </w:r>
      <w:r w:rsidRPr="00165538">
        <w:t xml:space="preserve">est </w:t>
      </w:r>
      <w:r w:rsidRPr="00165538">
        <w:rPr>
          <w:lang w:val="fr-FR"/>
        </w:rPr>
        <w:t>dit préoccupé par la durée excessive de la garde à vue</w:t>
      </w:r>
      <w:r>
        <w:rPr>
          <w:lang w:val="fr-FR"/>
        </w:rPr>
        <w:t>,</w:t>
      </w:r>
      <w:r w:rsidRPr="00165538">
        <w:rPr>
          <w:lang w:val="fr-FR"/>
        </w:rPr>
        <w:t xml:space="preserve"> les nombreux cas de dépassement du délai de garde à vue</w:t>
      </w:r>
      <w:r>
        <w:rPr>
          <w:lang w:val="fr-FR"/>
        </w:rPr>
        <w:t>,</w:t>
      </w:r>
      <w:r w:rsidRPr="00165538">
        <w:rPr>
          <w:lang w:val="fr-FR"/>
        </w:rPr>
        <w:t xml:space="preserve"> la non-tenue et tenue incomplète des registres d</w:t>
      </w:r>
      <w:r>
        <w:rPr>
          <w:lang w:val="fr-FR"/>
        </w:rPr>
        <w:t>’</w:t>
      </w:r>
      <w:r w:rsidRPr="00165538">
        <w:rPr>
          <w:lang w:val="fr-FR"/>
        </w:rPr>
        <w:t>écrou</w:t>
      </w:r>
      <w:r>
        <w:rPr>
          <w:lang w:val="fr-FR"/>
        </w:rPr>
        <w:t>,</w:t>
      </w:r>
      <w:r w:rsidRPr="00165538">
        <w:rPr>
          <w:lang w:val="fr-FR"/>
        </w:rPr>
        <w:t xml:space="preserve"> le non-respect des garanties juridiques fondamentales des personnes privées de liberté</w:t>
      </w:r>
      <w:r>
        <w:rPr>
          <w:lang w:val="fr-FR"/>
        </w:rPr>
        <w:t>,</w:t>
      </w:r>
      <w:r w:rsidRPr="00165538">
        <w:rPr>
          <w:lang w:val="fr-FR"/>
        </w:rPr>
        <w:t xml:space="preserve"> l</w:t>
      </w:r>
      <w:r>
        <w:rPr>
          <w:lang w:val="fr-FR"/>
        </w:rPr>
        <w:t>’</w:t>
      </w:r>
      <w:r w:rsidRPr="00165538">
        <w:rPr>
          <w:lang w:val="fr-FR"/>
        </w:rPr>
        <w:t>absence de dispositions prévoyant l</w:t>
      </w:r>
      <w:r>
        <w:rPr>
          <w:lang w:val="fr-FR"/>
        </w:rPr>
        <w:t>’</w:t>
      </w:r>
      <w:r w:rsidRPr="00165538">
        <w:rPr>
          <w:lang w:val="fr-FR"/>
        </w:rPr>
        <w:t>accès à un médecin et à l</w:t>
      </w:r>
      <w:r>
        <w:rPr>
          <w:lang w:val="fr-FR"/>
        </w:rPr>
        <w:t>’</w:t>
      </w:r>
      <w:r w:rsidRPr="00165538">
        <w:rPr>
          <w:lang w:val="fr-FR"/>
        </w:rPr>
        <w:t>aide juridictionnelle pour les personnes démunies</w:t>
      </w:r>
      <w:r>
        <w:rPr>
          <w:lang w:val="fr-FR"/>
        </w:rPr>
        <w:t>,</w:t>
      </w:r>
      <w:r w:rsidRPr="00165538">
        <w:rPr>
          <w:lang w:val="fr-FR"/>
        </w:rPr>
        <w:t xml:space="preserve"> et le recours abusif à la détention préventive en l</w:t>
      </w:r>
      <w:r>
        <w:rPr>
          <w:lang w:val="fr-FR"/>
        </w:rPr>
        <w:t>’</w:t>
      </w:r>
      <w:r w:rsidRPr="00165538">
        <w:rPr>
          <w:lang w:val="fr-FR"/>
        </w:rPr>
        <w:t>absence d</w:t>
      </w:r>
      <w:r>
        <w:rPr>
          <w:lang w:val="fr-FR"/>
        </w:rPr>
        <w:t>’</w:t>
      </w:r>
      <w:r w:rsidRPr="00165538">
        <w:rPr>
          <w:lang w:val="fr-FR"/>
        </w:rPr>
        <w:t>un contrôle régulier de sa légalité et d</w:t>
      </w:r>
      <w:r>
        <w:rPr>
          <w:lang w:val="fr-FR"/>
        </w:rPr>
        <w:t>’</w:t>
      </w:r>
      <w:r w:rsidRPr="00165538">
        <w:rPr>
          <w:lang w:val="fr-FR"/>
        </w:rPr>
        <w:t>une limite à sa durée totale</w:t>
      </w:r>
      <w:r w:rsidRPr="00E73881">
        <w:rPr>
          <w:rStyle w:val="Appelnotedebasdep"/>
        </w:rPr>
        <w:footnoteReference w:id="23"/>
      </w:r>
      <w:r w:rsidR="00E80A5E" w:rsidRPr="00E80A5E">
        <w:t>.</w:t>
      </w:r>
      <w:r>
        <w:t xml:space="preserve"> En l’espèce, le</w:t>
      </w:r>
      <w:r w:rsidRPr="00165538">
        <w:t xml:space="preserve"> requérant semble avoir </w:t>
      </w:r>
      <w:r>
        <w:t>été privé de tout contrôle judiciaire</w:t>
      </w:r>
      <w:r w:rsidR="00E80A5E" w:rsidRPr="00E80A5E">
        <w:t>.</w:t>
      </w:r>
      <w:r w:rsidRPr="00233DAA">
        <w:t xml:space="preserve"> </w:t>
      </w:r>
      <w:r>
        <w:t xml:space="preserve">En l’absence de toute information pertinente contraire de la part de l’État partie, l’existence de ces conditions et traitements déplorables suffit à établir que l’État partie a failli à son obligation d’exercer une surveillance systématique sur </w:t>
      </w:r>
      <w:r w:rsidRPr="00233DAA">
        <w:t>les dispositions concernant la garde et le traitement des personnes arrêtées, détenues ou emprisonnées de quelque façon que ce soit sur tout territoire sous sa juridiction, en vue d</w:t>
      </w:r>
      <w:r>
        <w:t>’</w:t>
      </w:r>
      <w:r w:rsidRPr="00233DAA">
        <w:t>éviter tout cas de torture</w:t>
      </w:r>
      <w:r>
        <w:t>, et que ce manquement a entraîné un préjudice pour le requérant</w:t>
      </w:r>
      <w:r w:rsidR="00E80A5E" w:rsidRPr="00E80A5E">
        <w:t>.</w:t>
      </w:r>
      <w:r>
        <w:t xml:space="preserve"> L</w:t>
      </w:r>
      <w:r w:rsidRPr="00165538">
        <w:t xml:space="preserve">e Comité conclut </w:t>
      </w:r>
      <w:r>
        <w:t>donc à une violation de l’article</w:t>
      </w:r>
      <w:r w:rsidR="00F72FDB">
        <w:t> </w:t>
      </w:r>
      <w:r w:rsidRPr="00165538">
        <w:t>11 de la Convention</w:t>
      </w:r>
      <w:r w:rsidRPr="00E73881">
        <w:rPr>
          <w:rStyle w:val="Appelnotedebasdep"/>
        </w:rPr>
        <w:footnoteReference w:id="24"/>
      </w:r>
      <w:r w:rsidR="00E80A5E" w:rsidRPr="00E80A5E">
        <w:t>.</w:t>
      </w:r>
    </w:p>
    <w:p w14:paraId="5340E9F6" w14:textId="56B545B4" w:rsidR="00C35C59" w:rsidRPr="005C6F76" w:rsidRDefault="00C35C59" w:rsidP="00C35C59">
      <w:pPr>
        <w:pStyle w:val="SingleTxtG"/>
        <w:rPr>
          <w:rFonts w:eastAsia="SimSun"/>
        </w:rPr>
      </w:pPr>
      <w:r>
        <w:rPr>
          <w:lang w:eastAsia="zh-CN"/>
        </w:rPr>
        <w:t>6</w:t>
      </w:r>
      <w:r w:rsidR="00E80A5E" w:rsidRPr="00E80A5E">
        <w:rPr>
          <w:lang w:eastAsia="zh-CN"/>
        </w:rPr>
        <w:t>.</w:t>
      </w:r>
      <w:r>
        <w:rPr>
          <w:lang w:eastAsia="zh-CN"/>
        </w:rPr>
        <w:t>5</w:t>
      </w:r>
      <w:r>
        <w:rPr>
          <w:lang w:eastAsia="zh-CN"/>
        </w:rPr>
        <w:tab/>
      </w:r>
      <w:r w:rsidRPr="005C6F76">
        <w:rPr>
          <w:rFonts w:eastAsia="SimSun"/>
        </w:rPr>
        <w:t>S</w:t>
      </w:r>
      <w:r>
        <w:rPr>
          <w:rFonts w:eastAsia="SimSun"/>
        </w:rPr>
        <w:t>’</w:t>
      </w:r>
      <w:r w:rsidRPr="005C6F76">
        <w:rPr>
          <w:rFonts w:eastAsia="SimSun"/>
        </w:rPr>
        <w:t xml:space="preserve">agissant des </w:t>
      </w:r>
      <w:r>
        <w:rPr>
          <w:rFonts w:eastAsia="SimSun"/>
        </w:rPr>
        <w:t>articles</w:t>
      </w:r>
      <w:r w:rsidR="00F72FDB">
        <w:rPr>
          <w:rFonts w:eastAsia="SimSun"/>
        </w:rPr>
        <w:t> </w:t>
      </w:r>
      <w:r w:rsidRPr="005C6F76">
        <w:rPr>
          <w:rFonts w:eastAsia="SimSun"/>
        </w:rPr>
        <w:t>12 et 13 de la Convention, le Comité</w:t>
      </w:r>
      <w:r>
        <w:rPr>
          <w:rFonts w:eastAsia="SimSun"/>
        </w:rPr>
        <w:t xml:space="preserve"> prend note des allégations du</w:t>
      </w:r>
      <w:r w:rsidRPr="005C6F76">
        <w:rPr>
          <w:rFonts w:eastAsia="SimSun"/>
        </w:rPr>
        <w:t xml:space="preserve"> requérant selon lesquelles</w:t>
      </w:r>
      <w:r>
        <w:rPr>
          <w:rFonts w:eastAsia="SimSun"/>
        </w:rPr>
        <w:t>,</w:t>
      </w:r>
      <w:r>
        <w:t xml:space="preserve"> bien qu’il ait déposé une plainte le 14</w:t>
      </w:r>
      <w:r w:rsidR="00F72FDB">
        <w:t> </w:t>
      </w:r>
      <w:r>
        <w:t>mars 2014 devant le Procureur général de la République à Bujumbura pour les actes de torture subis le 8</w:t>
      </w:r>
      <w:r w:rsidR="00F72FDB">
        <w:t> </w:t>
      </w:r>
      <w:r>
        <w:t>mars 2014,</w:t>
      </w:r>
      <w:r w:rsidRPr="005C6F76">
        <w:rPr>
          <w:rFonts w:eastAsia="SimSun"/>
        </w:rPr>
        <w:t xml:space="preserve"> </w:t>
      </w:r>
      <w:r w:rsidRPr="005C6F76">
        <w:rPr>
          <w:rFonts w:eastAsia="MS Mincho"/>
        </w:rPr>
        <w:t>aucune enq</w:t>
      </w:r>
      <w:r>
        <w:rPr>
          <w:rFonts w:eastAsia="MS Mincho"/>
        </w:rPr>
        <w:t>uête n’a été menée</w:t>
      </w:r>
      <w:r w:rsidR="00E80A5E" w:rsidRPr="00E80A5E">
        <w:rPr>
          <w:rFonts w:eastAsia="MS Mincho"/>
        </w:rPr>
        <w:t>.</w:t>
      </w:r>
      <w:r w:rsidRPr="005C6F76">
        <w:rPr>
          <w:rFonts w:eastAsia="SimSun"/>
        </w:rPr>
        <w:t xml:space="preserve"> </w:t>
      </w:r>
      <w:r>
        <w:rPr>
          <w:rFonts w:eastAsia="SimSun"/>
        </w:rPr>
        <w:t>À cet égard, il</w:t>
      </w:r>
      <w:r w:rsidRPr="005C6F76">
        <w:rPr>
          <w:rFonts w:eastAsia="SimSun"/>
        </w:rPr>
        <w:t xml:space="preserve"> rappelle l</w:t>
      </w:r>
      <w:r>
        <w:rPr>
          <w:rFonts w:eastAsia="SimSun"/>
        </w:rPr>
        <w:t>’</w:t>
      </w:r>
      <w:r w:rsidRPr="005C6F76">
        <w:rPr>
          <w:rFonts w:eastAsia="SimSun"/>
        </w:rPr>
        <w:t>obligation qui incombe à l</w:t>
      </w:r>
      <w:r>
        <w:rPr>
          <w:rFonts w:eastAsia="SimSun"/>
        </w:rPr>
        <w:t>’É</w:t>
      </w:r>
      <w:r w:rsidRPr="005C6F76">
        <w:rPr>
          <w:rFonts w:eastAsia="SimSun"/>
        </w:rPr>
        <w:t>tat partie</w:t>
      </w:r>
      <w:r>
        <w:rPr>
          <w:rFonts w:eastAsia="SimSun"/>
        </w:rPr>
        <w:t>,</w:t>
      </w:r>
      <w:r w:rsidRPr="005C6F76">
        <w:rPr>
          <w:rFonts w:eastAsia="SimSun"/>
        </w:rPr>
        <w:t xml:space="preserve"> au titre de l</w:t>
      </w:r>
      <w:r>
        <w:rPr>
          <w:rFonts w:eastAsia="SimSun"/>
        </w:rPr>
        <w:t>’article</w:t>
      </w:r>
      <w:r w:rsidR="00F72FDB">
        <w:rPr>
          <w:rFonts w:eastAsia="SimSun"/>
        </w:rPr>
        <w:t> </w:t>
      </w:r>
      <w:r w:rsidRPr="005C6F76">
        <w:rPr>
          <w:rFonts w:eastAsia="SimSun"/>
        </w:rPr>
        <w:t>12 de la Convention, qu</w:t>
      </w:r>
      <w:r>
        <w:rPr>
          <w:rFonts w:eastAsia="SimSun"/>
        </w:rPr>
        <w:t>’</w:t>
      </w:r>
      <w:r w:rsidRPr="005C6F76">
        <w:rPr>
          <w:rFonts w:eastAsia="SimSun"/>
        </w:rPr>
        <w:t xml:space="preserve">il soit immédiatement procédé à une enquête impartiale </w:t>
      </w:r>
      <w:r>
        <w:rPr>
          <w:rFonts w:eastAsia="SimSun"/>
        </w:rPr>
        <w:t>d’office</w:t>
      </w:r>
      <w:r w:rsidRPr="005C6F76">
        <w:rPr>
          <w:rFonts w:eastAsia="SimSun"/>
        </w:rPr>
        <w:t xml:space="preserve"> chaque fois qu</w:t>
      </w:r>
      <w:r>
        <w:rPr>
          <w:rFonts w:eastAsia="SimSun"/>
        </w:rPr>
        <w:t>’</w:t>
      </w:r>
      <w:r w:rsidRPr="005C6F76">
        <w:rPr>
          <w:rFonts w:eastAsia="SimSun"/>
        </w:rPr>
        <w:t>il y a des motifs raisonnables de croire qu</w:t>
      </w:r>
      <w:r>
        <w:rPr>
          <w:rFonts w:eastAsia="SimSun"/>
        </w:rPr>
        <w:t>’</w:t>
      </w:r>
      <w:r w:rsidRPr="005C6F76">
        <w:rPr>
          <w:rFonts w:eastAsia="SimSun"/>
        </w:rPr>
        <w:t xml:space="preserve">un acte de </w:t>
      </w:r>
      <w:r w:rsidRPr="008A3D67">
        <w:rPr>
          <w:rFonts w:eastAsia="SimSun"/>
        </w:rPr>
        <w:t xml:space="preserve">torture </w:t>
      </w:r>
      <w:r w:rsidRPr="005C6F76">
        <w:rPr>
          <w:rFonts w:eastAsia="SimSun"/>
        </w:rPr>
        <w:t>a été commis</w:t>
      </w:r>
      <w:r w:rsidRPr="00E73881">
        <w:rPr>
          <w:rStyle w:val="Appelnotedebasdep"/>
        </w:rPr>
        <w:footnoteReference w:id="25"/>
      </w:r>
      <w:r w:rsidR="00E80A5E" w:rsidRPr="00E80A5E">
        <w:rPr>
          <w:rFonts w:eastAsia="SimSun"/>
        </w:rPr>
        <w:t>.</w:t>
      </w:r>
      <w:r w:rsidRPr="005C6F76">
        <w:rPr>
          <w:rFonts w:eastAsia="SimSun"/>
        </w:rPr>
        <w:t xml:space="preserve"> En l</w:t>
      </w:r>
      <w:r>
        <w:rPr>
          <w:rFonts w:eastAsia="SimSun"/>
        </w:rPr>
        <w:t>’</w:t>
      </w:r>
      <w:r w:rsidRPr="005C6F76">
        <w:rPr>
          <w:rFonts w:eastAsia="SimSun"/>
        </w:rPr>
        <w:t>espèce, le Comité constate</w:t>
      </w:r>
      <w:r>
        <w:rPr>
          <w:rFonts w:eastAsia="SimSun"/>
        </w:rPr>
        <w:t xml:space="preserve"> donc</w:t>
      </w:r>
      <w:r w:rsidRPr="005C6F76">
        <w:rPr>
          <w:rFonts w:eastAsia="SimSun"/>
        </w:rPr>
        <w:t xml:space="preserve"> une violation de l</w:t>
      </w:r>
      <w:r>
        <w:rPr>
          <w:rFonts w:eastAsia="SimSun"/>
        </w:rPr>
        <w:t>’article</w:t>
      </w:r>
      <w:r w:rsidR="00F72FDB">
        <w:rPr>
          <w:rFonts w:eastAsia="SimSun"/>
        </w:rPr>
        <w:t> </w:t>
      </w:r>
      <w:r w:rsidRPr="005C6F76">
        <w:rPr>
          <w:rFonts w:eastAsia="SimSun"/>
        </w:rPr>
        <w:t>12 de la Convention</w:t>
      </w:r>
      <w:r w:rsidR="00E80A5E" w:rsidRPr="00E80A5E">
        <w:rPr>
          <w:rFonts w:eastAsia="SimSun"/>
        </w:rPr>
        <w:t>.</w:t>
      </w:r>
    </w:p>
    <w:p w14:paraId="7C5C63C5" w14:textId="43847BDD" w:rsidR="00C35C59" w:rsidRPr="001D74C4" w:rsidRDefault="00C35C59" w:rsidP="00F72FDB">
      <w:pPr>
        <w:pStyle w:val="SingleTxtG"/>
        <w:keepNext/>
        <w:keepLines/>
        <w:rPr>
          <w:lang w:eastAsia="zh-CN"/>
        </w:rPr>
      </w:pPr>
      <w:r>
        <w:rPr>
          <w:rFonts w:eastAsia="SimSun"/>
        </w:rPr>
        <w:lastRenderedPageBreak/>
        <w:t>6</w:t>
      </w:r>
      <w:r w:rsidR="00E80A5E" w:rsidRPr="00E80A5E">
        <w:rPr>
          <w:rFonts w:eastAsia="SimSun"/>
        </w:rPr>
        <w:t>.</w:t>
      </w:r>
      <w:r>
        <w:rPr>
          <w:rFonts w:eastAsia="SimSun"/>
        </w:rPr>
        <w:t>6</w:t>
      </w:r>
      <w:r w:rsidRPr="005C6F76">
        <w:rPr>
          <w:rFonts w:eastAsia="SimSun"/>
        </w:rPr>
        <w:tab/>
      </w:r>
      <w:r>
        <w:rPr>
          <w:rFonts w:eastAsia="SimSun"/>
        </w:rPr>
        <w:t>De la même façon,</w:t>
      </w:r>
      <w:r w:rsidRPr="005C6F76">
        <w:rPr>
          <w:rFonts w:eastAsia="SimSun"/>
        </w:rPr>
        <w:t xml:space="preserve"> l</w:t>
      </w:r>
      <w:r>
        <w:rPr>
          <w:rFonts w:eastAsia="SimSun"/>
        </w:rPr>
        <w:t>’</w:t>
      </w:r>
      <w:r w:rsidRPr="005C6F76">
        <w:rPr>
          <w:rFonts w:eastAsia="SimSun"/>
        </w:rPr>
        <w:t>État partie a manqué à l</w:t>
      </w:r>
      <w:r>
        <w:rPr>
          <w:rFonts w:eastAsia="SimSun"/>
        </w:rPr>
        <w:t>’obligation</w:t>
      </w:r>
      <w:r w:rsidRPr="005C6F76">
        <w:rPr>
          <w:rFonts w:eastAsia="SimSun"/>
        </w:rPr>
        <w:t xml:space="preserve"> qui lui </w:t>
      </w:r>
      <w:r>
        <w:rPr>
          <w:rFonts w:eastAsia="SimSun"/>
        </w:rPr>
        <w:t>incombait,</w:t>
      </w:r>
      <w:r w:rsidRPr="005C6F76">
        <w:rPr>
          <w:rFonts w:eastAsia="SimSun"/>
        </w:rPr>
        <w:t xml:space="preserve"> au titre de l</w:t>
      </w:r>
      <w:r>
        <w:rPr>
          <w:rFonts w:eastAsia="SimSun"/>
        </w:rPr>
        <w:t>’article</w:t>
      </w:r>
      <w:r w:rsidR="00F72FDB">
        <w:rPr>
          <w:rFonts w:eastAsia="SimSun"/>
        </w:rPr>
        <w:t> </w:t>
      </w:r>
      <w:r w:rsidRPr="005C6F76">
        <w:rPr>
          <w:rFonts w:eastAsia="SimSun"/>
        </w:rPr>
        <w:t xml:space="preserve">13 </w:t>
      </w:r>
      <w:r>
        <w:rPr>
          <w:rFonts w:eastAsia="SimSun"/>
        </w:rPr>
        <w:t xml:space="preserve">de la Convention, de garantir au </w:t>
      </w:r>
      <w:r w:rsidRPr="005C6F76">
        <w:rPr>
          <w:rFonts w:eastAsia="SimSun"/>
        </w:rPr>
        <w:t>requérant le droit de porter plainte</w:t>
      </w:r>
      <w:r>
        <w:rPr>
          <w:rFonts w:eastAsia="SimSun"/>
        </w:rPr>
        <w:t xml:space="preserve"> et de voir sa plainte examinée par les autorités compétentes d’une manière prompte et impartiale</w:t>
      </w:r>
      <w:r w:rsidRPr="00E73881">
        <w:rPr>
          <w:rStyle w:val="Appelnotedebasdep"/>
        </w:rPr>
        <w:footnoteReference w:id="26"/>
      </w:r>
      <w:r w:rsidR="00E80A5E" w:rsidRPr="00E80A5E">
        <w:rPr>
          <w:rFonts w:eastAsia="SimSun"/>
        </w:rPr>
        <w:t>.</w:t>
      </w:r>
      <w:r>
        <w:rPr>
          <w:rFonts w:eastAsia="SimSun"/>
        </w:rPr>
        <w:t xml:space="preserve"> </w:t>
      </w:r>
      <w:r w:rsidRPr="00644BA8">
        <w:rPr>
          <w:rFonts w:eastAsia="SimSun"/>
        </w:rPr>
        <w:t xml:space="preserve">Le Comité conclut </w:t>
      </w:r>
      <w:r>
        <w:rPr>
          <w:rFonts w:eastAsia="SimSun"/>
        </w:rPr>
        <w:t xml:space="preserve">donc </w:t>
      </w:r>
      <w:r w:rsidRPr="00644BA8">
        <w:rPr>
          <w:rFonts w:eastAsia="SimSun"/>
        </w:rPr>
        <w:t>que l</w:t>
      </w:r>
      <w:r>
        <w:rPr>
          <w:rFonts w:eastAsia="SimSun"/>
        </w:rPr>
        <w:t>’</w:t>
      </w:r>
      <w:r w:rsidRPr="00644BA8">
        <w:rPr>
          <w:rFonts w:eastAsia="SimSun"/>
        </w:rPr>
        <w:t>article</w:t>
      </w:r>
      <w:r w:rsidR="00F72FDB">
        <w:rPr>
          <w:rFonts w:eastAsia="SimSun"/>
        </w:rPr>
        <w:t> </w:t>
      </w:r>
      <w:r w:rsidRPr="00644BA8">
        <w:rPr>
          <w:rFonts w:eastAsia="SimSun"/>
        </w:rPr>
        <w:t>13 de la Convention a également été violé</w:t>
      </w:r>
      <w:r w:rsidR="00E80A5E" w:rsidRPr="00E80A5E">
        <w:rPr>
          <w:rFonts w:eastAsia="SimSun"/>
        </w:rPr>
        <w:t>.</w:t>
      </w:r>
    </w:p>
    <w:p w14:paraId="7F6C81DC" w14:textId="2BF2D61B" w:rsidR="00C35C59" w:rsidRDefault="00C35C59" w:rsidP="00C35C59">
      <w:pPr>
        <w:pStyle w:val="SingleTxtG"/>
        <w:rPr>
          <w:rFonts w:eastAsia="SimSun"/>
          <w:lang w:eastAsia="zh-CN"/>
        </w:rPr>
      </w:pPr>
      <w:r>
        <w:rPr>
          <w:lang w:eastAsia="zh-CN"/>
        </w:rPr>
        <w:t>6</w:t>
      </w:r>
      <w:r w:rsidR="00E80A5E" w:rsidRPr="00E80A5E">
        <w:rPr>
          <w:lang w:eastAsia="zh-CN"/>
        </w:rPr>
        <w:t>.</w:t>
      </w:r>
      <w:r>
        <w:rPr>
          <w:lang w:eastAsia="zh-CN"/>
        </w:rPr>
        <w:t>7</w:t>
      </w:r>
      <w:r w:rsidRPr="001D74C4">
        <w:rPr>
          <w:lang w:eastAsia="zh-CN"/>
        </w:rPr>
        <w:tab/>
      </w:r>
      <w:r>
        <w:rPr>
          <w:rFonts w:eastAsia="SimSun"/>
          <w:lang w:eastAsia="zh-CN"/>
        </w:rPr>
        <w:t>S’agissant des allégations du</w:t>
      </w:r>
      <w:r w:rsidRPr="005A630B">
        <w:rPr>
          <w:rFonts w:eastAsia="SimSun"/>
          <w:lang w:eastAsia="zh-CN"/>
        </w:rPr>
        <w:t xml:space="preserve"> requérant au titre de l</w:t>
      </w:r>
      <w:r>
        <w:rPr>
          <w:rFonts w:eastAsia="SimSun"/>
          <w:lang w:eastAsia="zh-CN"/>
        </w:rPr>
        <w:t>’</w:t>
      </w:r>
      <w:r w:rsidRPr="005A630B">
        <w:rPr>
          <w:rFonts w:eastAsia="SimSun"/>
          <w:lang w:eastAsia="zh-CN"/>
        </w:rPr>
        <w:t>article</w:t>
      </w:r>
      <w:r w:rsidR="00F72FDB">
        <w:rPr>
          <w:rFonts w:eastAsia="SimSun"/>
          <w:lang w:eastAsia="zh-CN"/>
        </w:rPr>
        <w:t> </w:t>
      </w:r>
      <w:r w:rsidRPr="005A630B">
        <w:rPr>
          <w:rFonts w:eastAsia="SimSun"/>
          <w:lang w:eastAsia="zh-CN"/>
        </w:rPr>
        <w:t>14 de la Convention, le Comité rappelle que cette disposition reconnaît le droit d</w:t>
      </w:r>
      <w:r>
        <w:rPr>
          <w:rFonts w:eastAsia="SimSun"/>
          <w:lang w:eastAsia="zh-CN"/>
        </w:rPr>
        <w:t>’</w:t>
      </w:r>
      <w:r w:rsidRPr="005A630B">
        <w:rPr>
          <w:rFonts w:eastAsia="SimSun"/>
          <w:lang w:eastAsia="zh-CN"/>
        </w:rPr>
        <w:t>être indemnisé équitablement et de manière adéquate,</w:t>
      </w:r>
      <w:r>
        <w:rPr>
          <w:rFonts w:eastAsia="SimSun"/>
          <w:lang w:eastAsia="zh-CN"/>
        </w:rPr>
        <w:t xml:space="preserve"> ce qui inclut</w:t>
      </w:r>
      <w:r w:rsidRPr="00B31D1E">
        <w:rPr>
          <w:rFonts w:eastAsia="SimSun"/>
          <w:lang w:eastAsia="zh-CN"/>
        </w:rPr>
        <w:t xml:space="preserve"> les moyens nécessaires à </w:t>
      </w:r>
      <w:r>
        <w:rPr>
          <w:rFonts w:eastAsia="SimSun"/>
          <w:lang w:eastAsia="zh-CN"/>
        </w:rPr>
        <w:t>une</w:t>
      </w:r>
      <w:r w:rsidRPr="00B31D1E">
        <w:rPr>
          <w:rFonts w:eastAsia="SimSun"/>
          <w:lang w:eastAsia="zh-CN"/>
        </w:rPr>
        <w:t xml:space="preserve"> réadaptation la plus complète possible</w:t>
      </w:r>
      <w:r w:rsidR="00E80A5E" w:rsidRPr="00E80A5E">
        <w:rPr>
          <w:rFonts w:eastAsia="SimSun"/>
          <w:lang w:eastAsia="zh-CN"/>
        </w:rPr>
        <w:t>.</w:t>
      </w:r>
      <w:r w:rsidRPr="005A630B">
        <w:rPr>
          <w:rFonts w:eastAsia="SimSun"/>
          <w:lang w:eastAsia="zh-CN"/>
        </w:rPr>
        <w:t xml:space="preserve"> Le Comité rappelle que la réparation doit couvrir l</w:t>
      </w:r>
      <w:r>
        <w:rPr>
          <w:rFonts w:eastAsia="SimSun"/>
          <w:lang w:eastAsia="zh-CN"/>
        </w:rPr>
        <w:t>’</w:t>
      </w:r>
      <w:r w:rsidRPr="005A630B">
        <w:rPr>
          <w:rFonts w:eastAsia="SimSun"/>
          <w:lang w:eastAsia="zh-CN"/>
        </w:rPr>
        <w:t>ensemble des dommages subis par la victime et englobe, entre autres mesures, la restitution, l</w:t>
      </w:r>
      <w:r>
        <w:rPr>
          <w:rFonts w:eastAsia="SimSun"/>
          <w:lang w:eastAsia="zh-CN"/>
        </w:rPr>
        <w:t>’</w:t>
      </w:r>
      <w:r w:rsidRPr="005A630B">
        <w:rPr>
          <w:rFonts w:eastAsia="SimSun"/>
          <w:lang w:eastAsia="zh-CN"/>
        </w:rPr>
        <w:t>indemnisation ainsi que des mesures propres à garantir la non-répétition des violations, en tenant toujours compte des circonstances de chaque affaire</w:t>
      </w:r>
      <w:r w:rsidRPr="00E73881">
        <w:rPr>
          <w:rStyle w:val="Appelnotedebasdep"/>
        </w:rPr>
        <w:footnoteReference w:id="27"/>
      </w:r>
      <w:r w:rsidR="00E80A5E" w:rsidRPr="00E80A5E">
        <w:rPr>
          <w:rFonts w:eastAsia="SimSun"/>
          <w:lang w:eastAsia="zh-CN"/>
        </w:rPr>
        <w:t>.</w:t>
      </w:r>
      <w:r w:rsidRPr="005A630B">
        <w:rPr>
          <w:rFonts w:eastAsia="SimSun"/>
          <w:lang w:eastAsia="zh-CN"/>
        </w:rPr>
        <w:t xml:space="preserve"> </w:t>
      </w:r>
      <w:r w:rsidRPr="00BE134F">
        <w:rPr>
          <w:rFonts w:eastAsia="SimSun"/>
          <w:lang w:eastAsia="zh-CN"/>
        </w:rPr>
        <w:t>En l</w:t>
      </w:r>
      <w:r>
        <w:rPr>
          <w:rFonts w:eastAsia="SimSun"/>
          <w:lang w:eastAsia="zh-CN"/>
        </w:rPr>
        <w:t>’</w:t>
      </w:r>
      <w:r w:rsidRPr="00BE134F">
        <w:rPr>
          <w:rFonts w:eastAsia="SimSun"/>
          <w:lang w:eastAsia="zh-CN"/>
        </w:rPr>
        <w:t>espèce, en l</w:t>
      </w:r>
      <w:r>
        <w:rPr>
          <w:rFonts w:eastAsia="SimSun"/>
          <w:lang w:eastAsia="zh-CN"/>
        </w:rPr>
        <w:t>’</w:t>
      </w:r>
      <w:r w:rsidRPr="00BE134F">
        <w:rPr>
          <w:rFonts w:eastAsia="SimSun"/>
          <w:lang w:eastAsia="zh-CN"/>
        </w:rPr>
        <w:t>absence d</w:t>
      </w:r>
      <w:r>
        <w:rPr>
          <w:rFonts w:eastAsia="SimSun"/>
          <w:lang w:eastAsia="zh-CN"/>
        </w:rPr>
        <w:t>’</w:t>
      </w:r>
      <w:r w:rsidRPr="00BE134F">
        <w:rPr>
          <w:rFonts w:eastAsia="SimSun"/>
          <w:lang w:eastAsia="zh-CN"/>
        </w:rPr>
        <w:t>enquête diligentée de manière prompte et impartiale malgré l</w:t>
      </w:r>
      <w:r>
        <w:rPr>
          <w:rFonts w:eastAsia="SimSun"/>
          <w:lang w:eastAsia="zh-CN"/>
        </w:rPr>
        <w:t>’</w:t>
      </w:r>
      <w:r w:rsidRPr="00BE134F">
        <w:rPr>
          <w:rFonts w:eastAsia="SimSun"/>
          <w:lang w:eastAsia="zh-CN"/>
        </w:rPr>
        <w:t>existence de preuves matérielles manife</w:t>
      </w:r>
      <w:r>
        <w:rPr>
          <w:rFonts w:eastAsia="SimSun"/>
          <w:lang w:eastAsia="zh-CN"/>
        </w:rPr>
        <w:t>stes indiquant que le</w:t>
      </w:r>
      <w:r w:rsidRPr="00BE134F">
        <w:rPr>
          <w:rFonts w:eastAsia="SimSun"/>
          <w:lang w:eastAsia="zh-CN"/>
        </w:rPr>
        <w:t xml:space="preserve"> requérant a été victime d</w:t>
      </w:r>
      <w:r>
        <w:rPr>
          <w:rFonts w:eastAsia="SimSun"/>
          <w:lang w:eastAsia="zh-CN"/>
        </w:rPr>
        <w:t>’</w:t>
      </w:r>
      <w:r w:rsidRPr="00BE134F">
        <w:rPr>
          <w:rFonts w:eastAsia="SimSun"/>
          <w:lang w:eastAsia="zh-CN"/>
        </w:rPr>
        <w:t>actes de torture</w:t>
      </w:r>
      <w:r>
        <w:rPr>
          <w:rFonts w:eastAsia="SimSun"/>
          <w:lang w:eastAsia="zh-CN"/>
        </w:rPr>
        <w:t xml:space="preserve"> qui </w:t>
      </w:r>
      <w:r w:rsidRPr="00BE134F">
        <w:rPr>
          <w:rFonts w:eastAsia="SimSun"/>
          <w:lang w:eastAsia="zh-CN"/>
        </w:rPr>
        <w:t>rest</w:t>
      </w:r>
      <w:r>
        <w:rPr>
          <w:rFonts w:eastAsia="SimSun"/>
          <w:lang w:eastAsia="zh-CN"/>
        </w:rPr>
        <w:t>ent</w:t>
      </w:r>
      <w:r w:rsidRPr="00BE134F">
        <w:rPr>
          <w:rFonts w:eastAsia="SimSun"/>
          <w:lang w:eastAsia="zh-CN"/>
        </w:rPr>
        <w:t xml:space="preserve"> impunis</w:t>
      </w:r>
      <w:r>
        <w:rPr>
          <w:rFonts w:eastAsia="SimSun"/>
          <w:lang w:eastAsia="zh-CN"/>
        </w:rPr>
        <w:t>, et du fait que toute tentative d’</w:t>
      </w:r>
      <w:r w:rsidRPr="00437F5C">
        <w:rPr>
          <w:rFonts w:eastAsia="SimSun"/>
          <w:lang w:eastAsia="zh-CN"/>
        </w:rPr>
        <w:t xml:space="preserve">obtenir réparation </w:t>
      </w:r>
      <w:r>
        <w:rPr>
          <w:rFonts w:eastAsia="SimSun"/>
          <w:lang w:eastAsia="zh-CN"/>
        </w:rPr>
        <w:t>au moyen</w:t>
      </w:r>
      <w:r w:rsidRPr="00437F5C">
        <w:rPr>
          <w:rFonts w:eastAsia="SimSun"/>
          <w:lang w:eastAsia="zh-CN"/>
        </w:rPr>
        <w:t xml:space="preserve"> d</w:t>
      </w:r>
      <w:r>
        <w:rPr>
          <w:rFonts w:eastAsia="SimSun"/>
          <w:lang w:eastAsia="zh-CN"/>
        </w:rPr>
        <w:t>’</w:t>
      </w:r>
      <w:r w:rsidRPr="00437F5C">
        <w:rPr>
          <w:rFonts w:eastAsia="SimSun"/>
          <w:lang w:eastAsia="zh-CN"/>
        </w:rPr>
        <w:t>une action c</w:t>
      </w:r>
      <w:r>
        <w:rPr>
          <w:rFonts w:eastAsia="SimSun"/>
          <w:lang w:eastAsia="zh-CN"/>
        </w:rPr>
        <w:t>ivile en dommages et intérêts n’</w:t>
      </w:r>
      <w:r w:rsidRPr="00437F5C">
        <w:rPr>
          <w:rFonts w:eastAsia="SimSun"/>
          <w:lang w:eastAsia="zh-CN"/>
        </w:rPr>
        <w:t>aurait objectivement aucune chance de succès</w:t>
      </w:r>
      <w:r>
        <w:rPr>
          <w:rFonts w:eastAsia="SimSun"/>
          <w:lang w:eastAsia="zh-CN"/>
        </w:rPr>
        <w:t>,</w:t>
      </w:r>
      <w:r w:rsidRPr="00BE134F">
        <w:rPr>
          <w:rFonts w:eastAsia="SimSun"/>
          <w:lang w:eastAsia="zh-CN"/>
        </w:rPr>
        <w:t xml:space="preserve"> le Comité conclut que l</w:t>
      </w:r>
      <w:r>
        <w:rPr>
          <w:rFonts w:eastAsia="SimSun"/>
          <w:lang w:eastAsia="zh-CN"/>
        </w:rPr>
        <w:t>’</w:t>
      </w:r>
      <w:r w:rsidRPr="00BE134F">
        <w:rPr>
          <w:rFonts w:eastAsia="SimSun"/>
          <w:lang w:eastAsia="zh-CN"/>
        </w:rPr>
        <w:t xml:space="preserve">État partie a manqué aux obligations qui lui incombent </w:t>
      </w:r>
      <w:r>
        <w:rPr>
          <w:rFonts w:eastAsia="SimSun"/>
          <w:lang w:eastAsia="zh-CN"/>
        </w:rPr>
        <w:t>au titre</w:t>
      </w:r>
      <w:r w:rsidRPr="00BE134F">
        <w:rPr>
          <w:rFonts w:eastAsia="SimSun"/>
          <w:lang w:eastAsia="zh-CN"/>
        </w:rPr>
        <w:t xml:space="preserve"> de l</w:t>
      </w:r>
      <w:r>
        <w:rPr>
          <w:rFonts w:eastAsia="SimSun"/>
          <w:lang w:eastAsia="zh-CN"/>
        </w:rPr>
        <w:t>’</w:t>
      </w:r>
      <w:r w:rsidRPr="00BE134F">
        <w:rPr>
          <w:rFonts w:eastAsia="SimSun"/>
          <w:lang w:eastAsia="zh-CN"/>
        </w:rPr>
        <w:t>article</w:t>
      </w:r>
      <w:r w:rsidR="00F72FDB">
        <w:rPr>
          <w:rFonts w:eastAsia="SimSun"/>
          <w:lang w:eastAsia="zh-CN"/>
        </w:rPr>
        <w:t> </w:t>
      </w:r>
      <w:r w:rsidRPr="00BE134F">
        <w:rPr>
          <w:rFonts w:eastAsia="SimSun"/>
          <w:lang w:eastAsia="zh-CN"/>
        </w:rPr>
        <w:t>14 de la Convention</w:t>
      </w:r>
      <w:r w:rsidRPr="00E73881">
        <w:rPr>
          <w:rStyle w:val="Appelnotedebasdep"/>
        </w:rPr>
        <w:footnoteReference w:id="28"/>
      </w:r>
      <w:r w:rsidR="00E80A5E" w:rsidRPr="00E80A5E">
        <w:rPr>
          <w:rFonts w:eastAsia="SimSun"/>
          <w:lang w:eastAsia="zh-CN"/>
        </w:rPr>
        <w:t>.</w:t>
      </w:r>
    </w:p>
    <w:p w14:paraId="00BEDA86" w14:textId="761A60C3" w:rsidR="00C35C59" w:rsidRDefault="00C35C59" w:rsidP="00C35C59">
      <w:pPr>
        <w:pStyle w:val="SingleTxtG"/>
        <w:rPr>
          <w:rFonts w:eastAsia="SimSun"/>
          <w:lang w:eastAsia="zh-CN"/>
        </w:rPr>
      </w:pPr>
      <w:r>
        <w:rPr>
          <w:lang w:eastAsia="zh-CN"/>
        </w:rPr>
        <w:t>6</w:t>
      </w:r>
      <w:r w:rsidR="00E80A5E" w:rsidRPr="00E80A5E">
        <w:rPr>
          <w:lang w:eastAsia="zh-CN"/>
        </w:rPr>
        <w:t>.</w:t>
      </w:r>
      <w:r>
        <w:rPr>
          <w:lang w:eastAsia="zh-CN"/>
        </w:rPr>
        <w:t>8</w:t>
      </w:r>
      <w:r>
        <w:rPr>
          <w:lang w:eastAsia="zh-CN"/>
        </w:rPr>
        <w:tab/>
      </w:r>
      <w:r w:rsidRPr="004F1C59">
        <w:rPr>
          <w:lang w:eastAsia="zh-CN"/>
        </w:rPr>
        <w:t>Pour ce qui est du grief tiré de l</w:t>
      </w:r>
      <w:r>
        <w:rPr>
          <w:lang w:eastAsia="zh-CN"/>
        </w:rPr>
        <w:t>’</w:t>
      </w:r>
      <w:r w:rsidRPr="004F1C59">
        <w:rPr>
          <w:lang w:eastAsia="zh-CN"/>
        </w:rPr>
        <w:t>article</w:t>
      </w:r>
      <w:r w:rsidR="00F72FDB">
        <w:rPr>
          <w:lang w:eastAsia="zh-CN"/>
        </w:rPr>
        <w:t> </w:t>
      </w:r>
      <w:r w:rsidRPr="004F1C59">
        <w:rPr>
          <w:lang w:eastAsia="zh-CN"/>
        </w:rPr>
        <w:t>16</w:t>
      </w:r>
      <w:r>
        <w:rPr>
          <w:lang w:eastAsia="zh-CN"/>
        </w:rPr>
        <w:t xml:space="preserve"> de la Convention</w:t>
      </w:r>
      <w:r w:rsidRPr="004F1C59">
        <w:rPr>
          <w:lang w:eastAsia="zh-CN"/>
        </w:rPr>
        <w:t>, le Comit</w:t>
      </w:r>
      <w:r>
        <w:rPr>
          <w:lang w:eastAsia="zh-CN"/>
        </w:rPr>
        <w:t>é a pris note des allégations du</w:t>
      </w:r>
      <w:r w:rsidRPr="004F1C59">
        <w:rPr>
          <w:lang w:eastAsia="zh-CN"/>
        </w:rPr>
        <w:t xml:space="preserve"> requérant </w:t>
      </w:r>
      <w:r>
        <w:rPr>
          <w:lang w:eastAsia="zh-CN"/>
        </w:rPr>
        <w:t>quant aux conditions de détention</w:t>
      </w:r>
      <w:r w:rsidRPr="004F1C59">
        <w:rPr>
          <w:lang w:eastAsia="zh-CN"/>
        </w:rPr>
        <w:t xml:space="preserve"> </w:t>
      </w:r>
      <w:r>
        <w:rPr>
          <w:lang w:eastAsia="zh-CN"/>
        </w:rPr>
        <w:t>à la prison centrale</w:t>
      </w:r>
      <w:r w:rsidRPr="004F1C59">
        <w:rPr>
          <w:lang w:eastAsia="zh-CN"/>
        </w:rPr>
        <w:t xml:space="preserve"> de </w:t>
      </w:r>
      <w:proofErr w:type="spellStart"/>
      <w:r w:rsidRPr="004F1C59">
        <w:rPr>
          <w:lang w:eastAsia="zh-CN"/>
        </w:rPr>
        <w:t>Mpimba</w:t>
      </w:r>
      <w:proofErr w:type="spellEnd"/>
      <w:r>
        <w:rPr>
          <w:lang w:eastAsia="zh-CN"/>
        </w:rPr>
        <w:t xml:space="preserve"> et à celle de </w:t>
      </w:r>
      <w:proofErr w:type="spellStart"/>
      <w:r>
        <w:rPr>
          <w:lang w:eastAsia="zh-CN"/>
        </w:rPr>
        <w:t>Rumonge</w:t>
      </w:r>
      <w:proofErr w:type="spellEnd"/>
      <w:r w:rsidR="00E80A5E" w:rsidRPr="00E80A5E">
        <w:rPr>
          <w:lang w:eastAsia="zh-CN"/>
        </w:rPr>
        <w:t>.</w:t>
      </w:r>
      <w:r w:rsidRPr="004F1C59">
        <w:rPr>
          <w:lang w:eastAsia="zh-CN"/>
        </w:rPr>
        <w:t xml:space="preserve"> </w:t>
      </w:r>
      <w:r w:rsidRPr="004F1C59">
        <w:rPr>
          <w:lang w:val="fr-FR" w:eastAsia="zh-CN"/>
        </w:rPr>
        <w:t>En l</w:t>
      </w:r>
      <w:r>
        <w:rPr>
          <w:lang w:val="fr-FR" w:eastAsia="zh-CN"/>
        </w:rPr>
        <w:t>’</w:t>
      </w:r>
      <w:r w:rsidRPr="004F1C59">
        <w:rPr>
          <w:lang w:val="fr-FR" w:eastAsia="zh-CN"/>
        </w:rPr>
        <w:t>absence de toute information pertinente de la part de l</w:t>
      </w:r>
      <w:r>
        <w:rPr>
          <w:lang w:val="fr-FR" w:eastAsia="zh-CN"/>
        </w:rPr>
        <w:t>’</w:t>
      </w:r>
      <w:r w:rsidRPr="004F1C59">
        <w:rPr>
          <w:lang w:val="fr-FR" w:eastAsia="zh-CN"/>
        </w:rPr>
        <w:t xml:space="preserve">État partie à ce sujet, le Comité conclut que </w:t>
      </w:r>
      <w:r w:rsidRPr="00437F5C">
        <w:rPr>
          <w:lang w:val="fr-FR" w:eastAsia="zh-CN"/>
        </w:rPr>
        <w:t xml:space="preserve">les informations fournies démontrent que ces conditions constituaient un traitement inhumain et dégradant </w:t>
      </w:r>
      <w:r>
        <w:rPr>
          <w:lang w:val="fr-FR" w:eastAsia="zh-CN"/>
        </w:rPr>
        <w:t>et</w:t>
      </w:r>
      <w:r w:rsidRPr="004F1C59">
        <w:rPr>
          <w:lang w:val="fr-FR" w:eastAsia="zh-CN"/>
        </w:rPr>
        <w:t xml:space="preserve"> révèlent une violation par l</w:t>
      </w:r>
      <w:r>
        <w:rPr>
          <w:lang w:val="fr-FR" w:eastAsia="zh-CN"/>
        </w:rPr>
        <w:t>’</w:t>
      </w:r>
      <w:r w:rsidRPr="004F1C59">
        <w:rPr>
          <w:lang w:val="fr-FR" w:eastAsia="zh-CN"/>
        </w:rPr>
        <w:t xml:space="preserve">État partie de ses obligations au titre de </w:t>
      </w:r>
      <w:r w:rsidRPr="004F1C59">
        <w:rPr>
          <w:lang w:eastAsia="zh-CN"/>
        </w:rPr>
        <w:t>l</w:t>
      </w:r>
      <w:r>
        <w:rPr>
          <w:lang w:eastAsia="zh-CN"/>
        </w:rPr>
        <w:t>’</w:t>
      </w:r>
      <w:r w:rsidRPr="004F1C59">
        <w:rPr>
          <w:lang w:eastAsia="zh-CN"/>
        </w:rPr>
        <w:t>article</w:t>
      </w:r>
      <w:r w:rsidR="00F72FDB">
        <w:rPr>
          <w:lang w:eastAsia="zh-CN"/>
        </w:rPr>
        <w:t> </w:t>
      </w:r>
      <w:r w:rsidRPr="004F1C59">
        <w:rPr>
          <w:lang w:eastAsia="zh-CN"/>
        </w:rPr>
        <w:t>16</w:t>
      </w:r>
      <w:r w:rsidRPr="004F1C59">
        <w:rPr>
          <w:lang w:val="fr-FR" w:eastAsia="zh-CN"/>
        </w:rPr>
        <w:t xml:space="preserve"> de la Convention</w:t>
      </w:r>
      <w:r w:rsidRPr="00E73881">
        <w:rPr>
          <w:rStyle w:val="Appelnotedebasdep"/>
        </w:rPr>
        <w:footnoteReference w:id="29"/>
      </w:r>
      <w:r w:rsidR="00E80A5E" w:rsidRPr="00E80A5E">
        <w:rPr>
          <w:lang w:eastAsia="zh-CN"/>
        </w:rPr>
        <w:t>.</w:t>
      </w:r>
    </w:p>
    <w:p w14:paraId="34D1F510" w14:textId="7A158D97" w:rsidR="00C35C59" w:rsidRDefault="00C35C59" w:rsidP="00C35C59">
      <w:pPr>
        <w:pStyle w:val="SingleTxtG"/>
        <w:rPr>
          <w:rFonts w:eastAsia="SimSun"/>
          <w:lang w:val="fr-FR" w:eastAsia="zh-CN"/>
        </w:rPr>
      </w:pPr>
      <w:r>
        <w:rPr>
          <w:rFonts w:eastAsia="SimSun"/>
          <w:lang w:val="fr-FR" w:eastAsia="zh-CN"/>
        </w:rPr>
        <w:t>7</w:t>
      </w:r>
      <w:r w:rsidR="00E80A5E" w:rsidRPr="00E80A5E">
        <w:rPr>
          <w:rFonts w:eastAsia="SimSun"/>
          <w:lang w:val="fr-FR" w:eastAsia="zh-CN"/>
        </w:rPr>
        <w:t>.</w:t>
      </w:r>
      <w:r w:rsidRPr="001D74C4">
        <w:rPr>
          <w:rFonts w:eastAsia="SimSun"/>
          <w:lang w:val="fr-FR" w:eastAsia="zh-CN"/>
        </w:rPr>
        <w:tab/>
      </w:r>
      <w:r w:rsidRPr="00D4751A">
        <w:rPr>
          <w:rFonts w:eastAsia="SimSun"/>
          <w:lang w:val="fr-FR" w:eastAsia="zh-CN"/>
        </w:rPr>
        <w:t xml:space="preserve">Le </w:t>
      </w:r>
      <w:r w:rsidRPr="00D4751A">
        <w:rPr>
          <w:rFonts w:eastAsia="SimSun"/>
          <w:lang w:eastAsia="zh-CN"/>
        </w:rPr>
        <w:t>Comité</w:t>
      </w:r>
      <w:r w:rsidRPr="00D4751A">
        <w:rPr>
          <w:rFonts w:eastAsia="SimSun"/>
          <w:lang w:val="fr-FR" w:eastAsia="zh-CN"/>
        </w:rPr>
        <w:t>, agissant en vertu de l</w:t>
      </w:r>
      <w:r>
        <w:rPr>
          <w:rFonts w:eastAsia="SimSun"/>
          <w:lang w:val="fr-FR" w:eastAsia="zh-CN"/>
        </w:rPr>
        <w:t>’</w:t>
      </w:r>
      <w:r w:rsidRPr="00D4751A">
        <w:rPr>
          <w:rFonts w:eastAsia="SimSun"/>
          <w:lang w:val="fr-FR" w:eastAsia="zh-CN"/>
        </w:rPr>
        <w:t>article</w:t>
      </w:r>
      <w:r w:rsidR="00F72FDB">
        <w:rPr>
          <w:rFonts w:eastAsia="SimSun"/>
          <w:lang w:val="fr-FR" w:eastAsia="zh-CN"/>
        </w:rPr>
        <w:t> </w:t>
      </w:r>
      <w:r w:rsidRPr="00D4751A">
        <w:rPr>
          <w:rFonts w:eastAsia="SimSun"/>
          <w:lang w:val="fr-FR" w:eastAsia="zh-CN"/>
        </w:rPr>
        <w:t>22</w:t>
      </w:r>
      <w:r>
        <w:rPr>
          <w:rFonts w:eastAsia="SimSun"/>
          <w:lang w:val="fr-FR" w:eastAsia="zh-CN"/>
        </w:rPr>
        <w:t xml:space="preserve"> (par</w:t>
      </w:r>
      <w:r w:rsidR="00E80A5E" w:rsidRPr="00E80A5E">
        <w:rPr>
          <w:rFonts w:eastAsia="SimSun"/>
          <w:lang w:val="fr-FR" w:eastAsia="zh-CN"/>
        </w:rPr>
        <w:t>.</w:t>
      </w:r>
      <w:r w:rsidR="00F72FDB">
        <w:rPr>
          <w:rFonts w:eastAsia="SimSun"/>
          <w:lang w:val="fr-FR" w:eastAsia="zh-CN"/>
        </w:rPr>
        <w:t> </w:t>
      </w:r>
      <w:r>
        <w:rPr>
          <w:rFonts w:eastAsia="SimSun"/>
          <w:lang w:val="fr-FR" w:eastAsia="zh-CN"/>
        </w:rPr>
        <w:t>7)</w:t>
      </w:r>
      <w:r w:rsidRPr="00D4751A">
        <w:rPr>
          <w:rFonts w:eastAsia="SimSun"/>
          <w:lang w:val="fr-FR" w:eastAsia="zh-CN"/>
        </w:rPr>
        <w:t xml:space="preserve"> de la Convention, conclut que les faits dont il </w:t>
      </w:r>
      <w:r>
        <w:rPr>
          <w:rFonts w:eastAsia="SimSun"/>
          <w:lang w:val="fr-FR" w:eastAsia="zh-CN"/>
        </w:rPr>
        <w:t>est</w:t>
      </w:r>
      <w:r w:rsidRPr="00D4751A">
        <w:rPr>
          <w:rFonts w:eastAsia="SimSun"/>
          <w:lang w:val="fr-FR" w:eastAsia="zh-CN"/>
        </w:rPr>
        <w:t xml:space="preserve"> saisi font apparaître une violation </w:t>
      </w:r>
      <w:r>
        <w:rPr>
          <w:rFonts w:eastAsia="SimSun"/>
          <w:lang w:val="fr-FR" w:eastAsia="zh-CN"/>
        </w:rPr>
        <w:t xml:space="preserve">par l’État partie </w:t>
      </w:r>
      <w:r w:rsidRPr="00D4751A">
        <w:rPr>
          <w:rFonts w:eastAsia="SimSun"/>
          <w:lang w:val="fr-FR" w:eastAsia="zh-CN"/>
        </w:rPr>
        <w:t>de</w:t>
      </w:r>
      <w:r>
        <w:rPr>
          <w:rFonts w:eastAsia="SimSun"/>
          <w:lang w:val="fr-FR" w:eastAsia="zh-CN"/>
        </w:rPr>
        <w:t>s</w:t>
      </w:r>
      <w:r w:rsidRPr="00D4751A">
        <w:rPr>
          <w:rFonts w:eastAsia="SimSun"/>
          <w:lang w:val="fr-FR" w:eastAsia="zh-CN"/>
        </w:rPr>
        <w:t xml:space="preserve"> article</w:t>
      </w:r>
      <w:r>
        <w:rPr>
          <w:rFonts w:eastAsia="SimSun"/>
          <w:lang w:val="fr-FR" w:eastAsia="zh-CN"/>
        </w:rPr>
        <w:t>s</w:t>
      </w:r>
      <w:r w:rsidR="00F72FDB">
        <w:rPr>
          <w:rFonts w:eastAsia="SimSun"/>
          <w:lang w:val="fr-FR" w:eastAsia="zh-CN"/>
        </w:rPr>
        <w:t> </w:t>
      </w:r>
      <w:r w:rsidRPr="00D4751A">
        <w:rPr>
          <w:rFonts w:eastAsia="SimSun"/>
          <w:lang w:val="fr-FR" w:eastAsia="zh-CN"/>
        </w:rPr>
        <w:t>2 (par</w:t>
      </w:r>
      <w:r w:rsidR="00E80A5E" w:rsidRPr="00E80A5E">
        <w:rPr>
          <w:rFonts w:eastAsia="SimSun"/>
          <w:lang w:val="fr-FR" w:eastAsia="zh-CN"/>
        </w:rPr>
        <w:t>.</w:t>
      </w:r>
      <w:r w:rsidR="00F72FDB">
        <w:rPr>
          <w:rFonts w:eastAsia="SimSun"/>
          <w:lang w:val="fr-FR" w:eastAsia="zh-CN"/>
        </w:rPr>
        <w:t> </w:t>
      </w:r>
      <w:r w:rsidRPr="00D4751A">
        <w:rPr>
          <w:rFonts w:eastAsia="SimSun"/>
          <w:lang w:val="fr-FR" w:eastAsia="zh-CN"/>
        </w:rPr>
        <w:t>1)</w:t>
      </w:r>
      <w:r>
        <w:rPr>
          <w:rFonts w:eastAsia="SimSun"/>
          <w:lang w:val="fr-FR" w:eastAsia="zh-CN"/>
        </w:rPr>
        <w:t xml:space="preserve"> et</w:t>
      </w:r>
      <w:r w:rsidRPr="00D4751A">
        <w:rPr>
          <w:rFonts w:eastAsia="SimSun"/>
          <w:lang w:val="fr-FR" w:eastAsia="zh-CN"/>
        </w:rPr>
        <w:t xml:space="preserve"> </w:t>
      </w:r>
      <w:r>
        <w:rPr>
          <w:rFonts w:eastAsia="SimSun"/>
          <w:lang w:val="fr-FR" w:eastAsia="zh-CN"/>
        </w:rPr>
        <w:t xml:space="preserve">11 à 14, </w:t>
      </w:r>
      <w:r w:rsidRPr="00D4751A">
        <w:rPr>
          <w:rFonts w:eastAsia="SimSun"/>
          <w:lang w:val="fr-FR" w:eastAsia="zh-CN"/>
        </w:rPr>
        <w:t>lu</w:t>
      </w:r>
      <w:r>
        <w:rPr>
          <w:rFonts w:eastAsia="SimSun"/>
          <w:lang w:val="fr-FR" w:eastAsia="zh-CN"/>
        </w:rPr>
        <w:t>s</w:t>
      </w:r>
      <w:r w:rsidRPr="00D4751A">
        <w:rPr>
          <w:rFonts w:eastAsia="SimSun"/>
          <w:lang w:val="fr-FR" w:eastAsia="zh-CN"/>
        </w:rPr>
        <w:t xml:space="preserve"> conjointement avec l</w:t>
      </w:r>
      <w:r>
        <w:rPr>
          <w:rFonts w:eastAsia="SimSun"/>
          <w:lang w:val="fr-FR" w:eastAsia="zh-CN"/>
        </w:rPr>
        <w:t>’</w:t>
      </w:r>
      <w:r w:rsidRPr="00D4751A">
        <w:rPr>
          <w:rFonts w:eastAsia="SimSun"/>
          <w:lang w:val="fr-FR" w:eastAsia="zh-CN"/>
        </w:rPr>
        <w:t xml:space="preserve">article </w:t>
      </w:r>
      <w:r w:rsidRPr="00EC42DD">
        <w:rPr>
          <w:rFonts w:eastAsia="SimSun"/>
          <w:lang w:val="fr-FR" w:eastAsia="zh-CN"/>
        </w:rPr>
        <w:t>1</w:t>
      </w:r>
      <w:r w:rsidRPr="00EC42DD">
        <w:rPr>
          <w:rFonts w:eastAsia="SimSun"/>
          <w:vertAlign w:val="superscript"/>
          <w:lang w:val="fr-FR" w:eastAsia="zh-CN"/>
        </w:rPr>
        <w:t>er</w:t>
      </w:r>
      <w:r>
        <w:rPr>
          <w:rFonts w:eastAsia="SimSun"/>
          <w:lang w:val="fr-FR" w:eastAsia="zh-CN"/>
        </w:rPr>
        <w:t xml:space="preserve">, </w:t>
      </w:r>
      <w:r w:rsidRPr="004D7EA3">
        <w:rPr>
          <w:rFonts w:eastAsia="SimSun"/>
          <w:lang w:val="fr-FR" w:eastAsia="zh-CN"/>
        </w:rPr>
        <w:t>et de l</w:t>
      </w:r>
      <w:r>
        <w:rPr>
          <w:rFonts w:eastAsia="SimSun"/>
          <w:lang w:val="fr-FR" w:eastAsia="zh-CN"/>
        </w:rPr>
        <w:t>’</w:t>
      </w:r>
      <w:r w:rsidRPr="004D7EA3">
        <w:rPr>
          <w:rFonts w:eastAsia="SimSun"/>
          <w:lang w:val="fr-FR" w:eastAsia="zh-CN"/>
        </w:rPr>
        <w:t>article</w:t>
      </w:r>
      <w:r w:rsidR="00F72FDB">
        <w:rPr>
          <w:rFonts w:eastAsia="SimSun"/>
          <w:lang w:val="fr-FR" w:eastAsia="zh-CN"/>
        </w:rPr>
        <w:t> </w:t>
      </w:r>
      <w:r w:rsidRPr="004D7EA3">
        <w:rPr>
          <w:rFonts w:eastAsia="SimSun"/>
          <w:lang w:val="fr-FR" w:eastAsia="zh-CN"/>
        </w:rPr>
        <w:t>16 de la Convention</w:t>
      </w:r>
      <w:r w:rsidR="00E80A5E" w:rsidRPr="00E80A5E">
        <w:rPr>
          <w:rFonts w:eastAsia="SimSun"/>
          <w:lang w:val="fr-FR" w:eastAsia="zh-CN"/>
        </w:rPr>
        <w:t>.</w:t>
      </w:r>
    </w:p>
    <w:p w14:paraId="75B32AFF" w14:textId="033FE356" w:rsidR="00C35C59" w:rsidRDefault="00C35C59" w:rsidP="00C35C59">
      <w:pPr>
        <w:pStyle w:val="SingleTxtG"/>
        <w:rPr>
          <w:lang w:eastAsia="zh-CN"/>
        </w:rPr>
      </w:pPr>
      <w:r>
        <w:rPr>
          <w:rFonts w:eastAsia="SimSun"/>
          <w:lang w:val="fr-FR" w:eastAsia="zh-CN"/>
        </w:rPr>
        <w:t>8</w:t>
      </w:r>
      <w:r w:rsidR="00E80A5E" w:rsidRPr="00E80A5E">
        <w:rPr>
          <w:rFonts w:eastAsia="SimSun"/>
          <w:lang w:val="fr-FR" w:eastAsia="zh-CN"/>
        </w:rPr>
        <w:t>.</w:t>
      </w:r>
      <w:r>
        <w:rPr>
          <w:rFonts w:eastAsia="SimSun"/>
          <w:lang w:val="fr-FR" w:eastAsia="zh-CN"/>
        </w:rPr>
        <w:tab/>
      </w:r>
      <w:r>
        <w:rPr>
          <w:lang w:eastAsia="zh-CN"/>
        </w:rPr>
        <w:t xml:space="preserve">Dans la mesure où l’État partie n’a pas répondu aux demandes du Comité de soumettre </w:t>
      </w:r>
      <w:r>
        <w:t>des observations sur la présente plainte</w:t>
      </w:r>
      <w:r w:rsidRPr="00692060">
        <w:rPr>
          <w:lang w:eastAsia="zh-CN"/>
        </w:rPr>
        <w:t xml:space="preserve">, </w:t>
      </w:r>
      <w:r>
        <w:rPr>
          <w:lang w:eastAsia="zh-CN"/>
        </w:rPr>
        <w:t xml:space="preserve">refusant par là même de coopérer avec </w:t>
      </w:r>
      <w:r w:rsidRPr="00692060">
        <w:rPr>
          <w:lang w:eastAsia="zh-CN"/>
        </w:rPr>
        <w:t>le Comité</w:t>
      </w:r>
      <w:r>
        <w:rPr>
          <w:lang w:eastAsia="zh-CN"/>
        </w:rPr>
        <w:t xml:space="preserve"> et l’e</w:t>
      </w:r>
      <w:r w:rsidRPr="00692060">
        <w:rPr>
          <w:lang w:eastAsia="zh-CN"/>
        </w:rPr>
        <w:t>mpêchant d</w:t>
      </w:r>
      <w:r>
        <w:rPr>
          <w:lang w:eastAsia="zh-CN"/>
        </w:rPr>
        <w:t>’</w:t>
      </w:r>
      <w:r w:rsidRPr="00692060">
        <w:rPr>
          <w:lang w:eastAsia="zh-CN"/>
        </w:rPr>
        <w:t>examiner effectivement</w:t>
      </w:r>
      <w:r>
        <w:rPr>
          <w:lang w:eastAsia="zh-CN"/>
        </w:rPr>
        <w:t xml:space="preserve"> les éléments de la plainte</w:t>
      </w:r>
      <w:r w:rsidRPr="00692060">
        <w:rPr>
          <w:lang w:eastAsia="zh-CN"/>
        </w:rPr>
        <w:t xml:space="preserve">, </w:t>
      </w:r>
      <w:r>
        <w:rPr>
          <w:lang w:eastAsia="zh-CN"/>
        </w:rPr>
        <w:t xml:space="preserve">le Comité, </w:t>
      </w:r>
      <w:r w:rsidRPr="00692060">
        <w:rPr>
          <w:lang w:eastAsia="zh-CN"/>
        </w:rPr>
        <w:t>agissant en vertu de l</w:t>
      </w:r>
      <w:r>
        <w:rPr>
          <w:lang w:eastAsia="zh-CN"/>
        </w:rPr>
        <w:t>’</w:t>
      </w:r>
      <w:r w:rsidRPr="00692060">
        <w:rPr>
          <w:lang w:eastAsia="zh-CN"/>
        </w:rPr>
        <w:t>article 22</w:t>
      </w:r>
      <w:r>
        <w:rPr>
          <w:lang w:eastAsia="zh-CN"/>
        </w:rPr>
        <w:t xml:space="preserve"> (par</w:t>
      </w:r>
      <w:r w:rsidR="00E80A5E" w:rsidRPr="00E80A5E">
        <w:rPr>
          <w:lang w:eastAsia="zh-CN"/>
        </w:rPr>
        <w:t>.</w:t>
      </w:r>
      <w:r w:rsidR="00F72FDB">
        <w:rPr>
          <w:lang w:eastAsia="zh-CN"/>
        </w:rPr>
        <w:t> </w:t>
      </w:r>
      <w:r>
        <w:rPr>
          <w:lang w:eastAsia="zh-CN"/>
        </w:rPr>
        <w:t>7)</w:t>
      </w:r>
      <w:r w:rsidRPr="00692060">
        <w:rPr>
          <w:lang w:eastAsia="zh-CN"/>
        </w:rPr>
        <w:t xml:space="preserve"> de la Convention, décide que </w:t>
      </w:r>
      <w:r>
        <w:rPr>
          <w:lang w:eastAsia="zh-CN"/>
        </w:rPr>
        <w:t>la décision de l’</w:t>
      </w:r>
      <w:r w:rsidRPr="00437F5C">
        <w:rPr>
          <w:lang w:eastAsia="zh-CN"/>
        </w:rPr>
        <w:t xml:space="preserve">État partie </w:t>
      </w:r>
      <w:r>
        <w:rPr>
          <w:lang w:eastAsia="zh-CN"/>
        </w:rPr>
        <w:t>de refuser de coopérer avec le Comité et d’</w:t>
      </w:r>
      <w:r w:rsidRPr="00437F5C">
        <w:rPr>
          <w:lang w:eastAsia="zh-CN"/>
        </w:rPr>
        <w:t>entraver ainsi sa capacité à examiner effica</w:t>
      </w:r>
      <w:r>
        <w:rPr>
          <w:lang w:eastAsia="zh-CN"/>
        </w:rPr>
        <w:t>cement les éléments de la communication</w:t>
      </w:r>
      <w:r w:rsidRPr="00437F5C">
        <w:rPr>
          <w:lang w:eastAsia="zh-CN"/>
        </w:rPr>
        <w:t xml:space="preserve"> </w:t>
      </w:r>
      <w:r w:rsidRPr="00692060">
        <w:rPr>
          <w:lang w:eastAsia="zh-CN"/>
        </w:rPr>
        <w:t>constitue une violation par l</w:t>
      </w:r>
      <w:r>
        <w:rPr>
          <w:lang w:eastAsia="zh-CN"/>
        </w:rPr>
        <w:t>’</w:t>
      </w:r>
      <w:r w:rsidRPr="00692060">
        <w:rPr>
          <w:lang w:eastAsia="zh-CN"/>
        </w:rPr>
        <w:t>État partie de l</w:t>
      </w:r>
      <w:r>
        <w:rPr>
          <w:lang w:eastAsia="zh-CN"/>
        </w:rPr>
        <w:t>’</w:t>
      </w:r>
      <w:r w:rsidRPr="00692060">
        <w:rPr>
          <w:lang w:eastAsia="zh-CN"/>
        </w:rPr>
        <w:t>article 22 de la Convention</w:t>
      </w:r>
      <w:r w:rsidR="00E80A5E" w:rsidRPr="00E80A5E">
        <w:rPr>
          <w:lang w:eastAsia="zh-CN"/>
        </w:rPr>
        <w:t>.</w:t>
      </w:r>
      <w:r w:rsidRPr="0026187C">
        <w:t xml:space="preserve"> </w:t>
      </w:r>
      <w:r>
        <w:rPr>
          <w:lang w:eastAsia="zh-CN"/>
        </w:rPr>
        <w:t>Le Comité regrette profondément que l’État partie n’ait pas répondu aux demandes répétées du Comité de présenter des observations sur la présente communication, ce qui a entravé l’examen de l’affaire par le Comité et la résolution des questions soulevées par la communication au titre de la Convention</w:t>
      </w:r>
      <w:r w:rsidR="00E80A5E" w:rsidRPr="00E80A5E">
        <w:rPr>
          <w:lang w:eastAsia="zh-CN"/>
        </w:rPr>
        <w:t>.</w:t>
      </w:r>
      <w:r>
        <w:rPr>
          <w:lang w:eastAsia="zh-CN"/>
        </w:rPr>
        <w:t xml:space="preserve"> Le Comité regrette en outre que l’absence de réponse aux demandes du Comité dans cette affaire s’inscrive dans le cadre d’un manque systématique de coopération avec le Comité dans d’autres affaires</w:t>
      </w:r>
      <w:r w:rsidRPr="00E73881">
        <w:rPr>
          <w:rStyle w:val="Appelnotedebasdep"/>
        </w:rPr>
        <w:footnoteReference w:id="30"/>
      </w:r>
      <w:r w:rsidR="00E80A5E" w:rsidRPr="00E80A5E">
        <w:rPr>
          <w:lang w:eastAsia="zh-CN"/>
        </w:rPr>
        <w:t>.</w:t>
      </w:r>
      <w:r>
        <w:rPr>
          <w:lang w:eastAsia="zh-CN"/>
        </w:rPr>
        <w:t xml:space="preserve"> Le manque de réponse dans cette affaire et dans d’autres affaires interfère avec la capacité du Comité à s’acquitter de ses responsabilités en matière d’examen des communications individuelles et constitue une violation manifeste, répétée et flagrante des obligations de l’État partie au titre de l’article</w:t>
      </w:r>
      <w:r w:rsidR="00E80A5E">
        <w:rPr>
          <w:lang w:eastAsia="zh-CN"/>
        </w:rPr>
        <w:t> </w:t>
      </w:r>
      <w:r>
        <w:rPr>
          <w:lang w:eastAsia="zh-CN"/>
        </w:rPr>
        <w:t>22 de la Convention</w:t>
      </w:r>
      <w:r w:rsidR="00E80A5E" w:rsidRPr="00E80A5E">
        <w:rPr>
          <w:lang w:eastAsia="zh-CN"/>
        </w:rPr>
        <w:t>.</w:t>
      </w:r>
    </w:p>
    <w:p w14:paraId="75856937" w14:textId="36F86DDD" w:rsidR="00C35C59" w:rsidRPr="0027241C" w:rsidRDefault="00C35C59" w:rsidP="00C35C59">
      <w:pPr>
        <w:pStyle w:val="SingleTxtG"/>
        <w:rPr>
          <w:rFonts w:eastAsia="SimSun"/>
          <w:lang w:eastAsia="zh-CN"/>
        </w:rPr>
      </w:pPr>
      <w:r>
        <w:rPr>
          <w:rFonts w:eastAsia="SimSun"/>
          <w:lang w:eastAsia="zh-CN"/>
        </w:rPr>
        <w:t>9</w:t>
      </w:r>
      <w:r w:rsidR="00E80A5E" w:rsidRPr="00E80A5E">
        <w:rPr>
          <w:rFonts w:eastAsia="SimSun"/>
          <w:lang w:eastAsia="zh-CN"/>
        </w:rPr>
        <w:t>.</w:t>
      </w:r>
      <w:r w:rsidRPr="0027241C">
        <w:rPr>
          <w:rFonts w:eastAsia="SimSun"/>
          <w:lang w:eastAsia="zh-CN"/>
        </w:rPr>
        <w:tab/>
        <w:t>Le Comité i</w:t>
      </w:r>
      <w:r>
        <w:rPr>
          <w:rFonts w:eastAsia="SimSun"/>
          <w:lang w:eastAsia="zh-CN"/>
        </w:rPr>
        <w:t>nvite instamment l’État partie :</w:t>
      </w:r>
      <w:r w:rsidRPr="0027241C">
        <w:rPr>
          <w:rFonts w:eastAsia="SimSun"/>
          <w:lang w:eastAsia="zh-CN"/>
        </w:rPr>
        <w:t xml:space="preserve"> a)</w:t>
      </w:r>
      <w:r>
        <w:rPr>
          <w:rFonts w:eastAsia="SimSun"/>
          <w:lang w:eastAsia="zh-CN"/>
        </w:rPr>
        <w:t> </w:t>
      </w:r>
      <w:r w:rsidRPr="0027241C">
        <w:rPr>
          <w:rFonts w:eastAsia="SimSun"/>
          <w:lang w:eastAsia="zh-CN"/>
        </w:rPr>
        <w:t xml:space="preserve">à ouvrir une enquête impartiale et approfondie sur les événements en question, en pleine conformité avec les directives du </w:t>
      </w:r>
      <w:r w:rsidRPr="00096346">
        <w:rPr>
          <w:rFonts w:eastAsia="SimSun"/>
          <w:lang w:eastAsia="zh-CN"/>
        </w:rPr>
        <w:t>Manuel pour enquêter efficacement sur la torture et autres peines ou traitements cruels, inhumains ou dégradants</w:t>
      </w:r>
      <w:r w:rsidRPr="0027241C">
        <w:rPr>
          <w:rFonts w:eastAsia="SimSun"/>
          <w:lang w:eastAsia="zh-CN"/>
        </w:rPr>
        <w:t xml:space="preserve"> </w:t>
      </w:r>
      <w:r>
        <w:rPr>
          <w:rFonts w:eastAsia="SimSun"/>
          <w:lang w:eastAsia="zh-CN"/>
        </w:rPr>
        <w:t>(</w:t>
      </w:r>
      <w:r w:rsidRPr="0027241C">
        <w:rPr>
          <w:rFonts w:eastAsia="SimSun"/>
          <w:lang w:eastAsia="zh-CN"/>
        </w:rPr>
        <w:t>Protocole d</w:t>
      </w:r>
      <w:r>
        <w:rPr>
          <w:rFonts w:eastAsia="SimSun"/>
          <w:lang w:eastAsia="zh-CN"/>
        </w:rPr>
        <w:t>’</w:t>
      </w:r>
      <w:r w:rsidRPr="0027241C">
        <w:rPr>
          <w:rFonts w:eastAsia="SimSun"/>
          <w:lang w:eastAsia="zh-CN"/>
        </w:rPr>
        <w:t>Istanbul</w:t>
      </w:r>
      <w:r>
        <w:rPr>
          <w:rFonts w:eastAsia="SimSun"/>
          <w:lang w:eastAsia="zh-CN"/>
        </w:rPr>
        <w:t>)</w:t>
      </w:r>
      <w:r w:rsidRPr="0027241C">
        <w:rPr>
          <w:rFonts w:eastAsia="SimSun"/>
          <w:lang w:eastAsia="zh-CN"/>
        </w:rPr>
        <w:t>, dans le but de poursuivre en justice les personnes qui pourraient être responsables du t</w:t>
      </w:r>
      <w:r>
        <w:rPr>
          <w:rFonts w:eastAsia="SimSun"/>
          <w:lang w:eastAsia="zh-CN"/>
        </w:rPr>
        <w:t>raitement infligé au requérant;</w:t>
      </w:r>
      <w:r w:rsidRPr="0027241C">
        <w:rPr>
          <w:rFonts w:eastAsia="SimSun"/>
          <w:lang w:eastAsia="zh-CN"/>
        </w:rPr>
        <w:t xml:space="preserve"> b)</w:t>
      </w:r>
      <w:r>
        <w:rPr>
          <w:rFonts w:eastAsia="SimSun"/>
          <w:lang w:eastAsia="zh-CN"/>
        </w:rPr>
        <w:t> </w:t>
      </w:r>
      <w:r w:rsidRPr="0027241C">
        <w:rPr>
          <w:rFonts w:eastAsia="SimSun"/>
          <w:lang w:eastAsia="zh-CN"/>
        </w:rPr>
        <w:t>à indemniser le requérant de façon adéquate et équitable, y compris avec les moyens nécessaires à une réadapta</w:t>
      </w:r>
      <w:r>
        <w:rPr>
          <w:rFonts w:eastAsia="SimSun"/>
          <w:lang w:eastAsia="zh-CN"/>
        </w:rPr>
        <w:t>tion la plus complète possible ;</w:t>
      </w:r>
      <w:r w:rsidRPr="0027241C">
        <w:rPr>
          <w:rFonts w:eastAsia="SimSun"/>
          <w:lang w:eastAsia="zh-CN"/>
        </w:rPr>
        <w:t xml:space="preserve"> </w:t>
      </w:r>
      <w:r>
        <w:rPr>
          <w:rFonts w:eastAsia="SimSun"/>
          <w:lang w:eastAsia="zh-CN"/>
        </w:rPr>
        <w:t>c</w:t>
      </w:r>
      <w:r w:rsidRPr="0027241C">
        <w:rPr>
          <w:rFonts w:eastAsia="SimSun"/>
          <w:lang w:eastAsia="zh-CN"/>
        </w:rPr>
        <w:t>) à permettre au requérant</w:t>
      </w:r>
      <w:r w:rsidRPr="0027241C">
        <w:rPr>
          <w:rFonts w:eastAsia="MS Mincho"/>
        </w:rPr>
        <w:t xml:space="preserve"> </w:t>
      </w:r>
      <w:r w:rsidRPr="00331286">
        <w:rPr>
          <w:rFonts w:eastAsia="MS Mincho"/>
        </w:rPr>
        <w:t>de bénéficier d</w:t>
      </w:r>
      <w:r>
        <w:rPr>
          <w:rFonts w:eastAsia="MS Mincho"/>
        </w:rPr>
        <w:t>’</w:t>
      </w:r>
      <w:r w:rsidRPr="00331286">
        <w:rPr>
          <w:rFonts w:eastAsia="MS Mincho"/>
        </w:rPr>
        <w:t xml:space="preserve">une </w:t>
      </w:r>
      <w:r w:rsidRPr="00331286">
        <w:rPr>
          <w:rFonts w:eastAsia="MS Mincho"/>
        </w:rPr>
        <w:lastRenderedPageBreak/>
        <w:t>assistance juridique en ayant</w:t>
      </w:r>
      <w:r>
        <w:rPr>
          <w:rFonts w:eastAsia="MS Mincho"/>
        </w:rPr>
        <w:t xml:space="preserve"> accès à l’avocat de son choix</w:t>
      </w:r>
      <w:r>
        <w:rPr>
          <w:rFonts w:eastAsia="SimSun"/>
          <w:lang w:eastAsia="zh-CN"/>
        </w:rPr>
        <w:t> ; d</w:t>
      </w:r>
      <w:r w:rsidRPr="0027241C">
        <w:rPr>
          <w:rFonts w:eastAsia="SimSun"/>
          <w:lang w:eastAsia="zh-CN"/>
        </w:rPr>
        <w:t xml:space="preserve">) à permettre au requérant </w:t>
      </w:r>
      <w:r w:rsidRPr="00331286">
        <w:rPr>
          <w:rFonts w:eastAsia="MS Mincho"/>
        </w:rPr>
        <w:t>d</w:t>
      </w:r>
      <w:r>
        <w:rPr>
          <w:rFonts w:eastAsia="MS Mincho"/>
        </w:rPr>
        <w:t>’</w:t>
      </w:r>
      <w:r w:rsidRPr="00331286">
        <w:rPr>
          <w:rFonts w:eastAsia="MS Mincho"/>
        </w:rPr>
        <w:t>être exami</w:t>
      </w:r>
      <w:r>
        <w:rPr>
          <w:rFonts w:eastAsia="MS Mincho"/>
        </w:rPr>
        <w:t xml:space="preserve">né par un médecin de son choix ; e) </w:t>
      </w:r>
      <w:r w:rsidRPr="0027241C">
        <w:rPr>
          <w:rFonts w:eastAsia="SimSun"/>
          <w:lang w:eastAsia="zh-CN"/>
        </w:rPr>
        <w:t>à permettre au requérant</w:t>
      </w:r>
      <w:r>
        <w:rPr>
          <w:rFonts w:eastAsia="MS Mincho"/>
        </w:rPr>
        <w:t xml:space="preserve"> </w:t>
      </w:r>
      <w:r w:rsidRPr="00331286">
        <w:rPr>
          <w:rFonts w:eastAsia="MS Mincho"/>
        </w:rPr>
        <w:t>d</w:t>
      </w:r>
      <w:r>
        <w:rPr>
          <w:rFonts w:eastAsia="MS Mincho"/>
        </w:rPr>
        <w:t>’</w:t>
      </w:r>
      <w:r w:rsidRPr="00331286">
        <w:rPr>
          <w:rFonts w:eastAsia="MS Mincho"/>
        </w:rPr>
        <w:t>avoir accès aux soins app</w:t>
      </w:r>
      <w:r>
        <w:rPr>
          <w:rFonts w:eastAsia="MS Mincho"/>
        </w:rPr>
        <w:t xml:space="preserve">ropriés pour son état de santé ; f) </w:t>
      </w:r>
      <w:r w:rsidRPr="0027241C">
        <w:rPr>
          <w:rFonts w:eastAsia="SimSun"/>
          <w:lang w:eastAsia="zh-CN"/>
        </w:rPr>
        <w:t>à permettre au requérant</w:t>
      </w:r>
      <w:r>
        <w:rPr>
          <w:rFonts w:eastAsia="MS Mincho"/>
        </w:rPr>
        <w:t xml:space="preserve"> et à son représentant d’avoir </w:t>
      </w:r>
      <w:r w:rsidRPr="00331286">
        <w:rPr>
          <w:rFonts w:eastAsia="MS Mincho"/>
        </w:rPr>
        <w:t xml:space="preserve">accès à tous les documents de la procédure judiciaire tenue à son égard, notamment toutes les décisions </w:t>
      </w:r>
      <w:r>
        <w:rPr>
          <w:rFonts w:eastAsia="MS Mincho"/>
        </w:rPr>
        <w:t>de justice précédemment rendues ; et g) à</w:t>
      </w:r>
      <w:r w:rsidRPr="00B07BFC">
        <w:rPr>
          <w:rFonts w:eastAsia="MS Mincho"/>
        </w:rPr>
        <w:t xml:space="preserve"> s</w:t>
      </w:r>
      <w:r>
        <w:rPr>
          <w:rFonts w:eastAsia="MS Mincho"/>
        </w:rPr>
        <w:t>’</w:t>
      </w:r>
      <w:r w:rsidRPr="00B07BFC">
        <w:rPr>
          <w:rFonts w:eastAsia="MS Mincho"/>
        </w:rPr>
        <w:t>assurer que des violations similaires ne se reproduisent pas à l</w:t>
      </w:r>
      <w:r>
        <w:rPr>
          <w:rFonts w:eastAsia="MS Mincho"/>
        </w:rPr>
        <w:t>’</w:t>
      </w:r>
      <w:r w:rsidRPr="00B07BFC">
        <w:rPr>
          <w:rFonts w:eastAsia="MS Mincho"/>
        </w:rPr>
        <w:t>avenir</w:t>
      </w:r>
      <w:r w:rsidR="00E80A5E" w:rsidRPr="00E80A5E">
        <w:rPr>
          <w:rFonts w:eastAsia="MS Mincho"/>
        </w:rPr>
        <w:t>.</w:t>
      </w:r>
    </w:p>
    <w:p w14:paraId="5B8702DB" w14:textId="3A9BFBFA" w:rsidR="001D14FC" w:rsidRDefault="00C35C59" w:rsidP="00C35C59">
      <w:pPr>
        <w:pStyle w:val="SingleTxtG"/>
        <w:rPr>
          <w:lang w:eastAsia="zh-CN"/>
        </w:rPr>
      </w:pPr>
      <w:r>
        <w:rPr>
          <w:lang w:eastAsia="zh-CN"/>
        </w:rPr>
        <w:t>10</w:t>
      </w:r>
      <w:r w:rsidR="00E80A5E" w:rsidRPr="00E80A5E">
        <w:rPr>
          <w:lang w:eastAsia="zh-CN"/>
        </w:rPr>
        <w:t>.</w:t>
      </w:r>
      <w:r w:rsidRPr="0027241C">
        <w:rPr>
          <w:lang w:eastAsia="zh-CN"/>
        </w:rPr>
        <w:tab/>
        <w:t>Conformément à l</w:t>
      </w:r>
      <w:r>
        <w:rPr>
          <w:lang w:eastAsia="zh-CN"/>
        </w:rPr>
        <w:t>’</w:t>
      </w:r>
      <w:r w:rsidRPr="0027241C">
        <w:rPr>
          <w:lang w:eastAsia="zh-CN"/>
        </w:rPr>
        <w:t>article</w:t>
      </w:r>
      <w:r w:rsidR="00E80A5E">
        <w:rPr>
          <w:lang w:eastAsia="zh-CN"/>
        </w:rPr>
        <w:t> </w:t>
      </w:r>
      <w:r w:rsidRPr="0027241C">
        <w:rPr>
          <w:lang w:eastAsia="zh-CN"/>
        </w:rPr>
        <w:t>118 (par</w:t>
      </w:r>
      <w:r w:rsidR="00E80A5E" w:rsidRPr="00E80A5E">
        <w:rPr>
          <w:lang w:eastAsia="zh-CN"/>
        </w:rPr>
        <w:t>.</w:t>
      </w:r>
      <w:r w:rsidR="00E80A5E">
        <w:rPr>
          <w:lang w:eastAsia="zh-CN"/>
        </w:rPr>
        <w:t> </w:t>
      </w:r>
      <w:r w:rsidRPr="0027241C">
        <w:rPr>
          <w:lang w:eastAsia="zh-CN"/>
        </w:rPr>
        <w:t>5) de son règlement intérieur, le Comité invite l</w:t>
      </w:r>
      <w:r>
        <w:rPr>
          <w:lang w:eastAsia="zh-CN"/>
        </w:rPr>
        <w:t>’</w:t>
      </w:r>
      <w:r w:rsidRPr="0027241C">
        <w:rPr>
          <w:lang w:eastAsia="zh-CN"/>
        </w:rPr>
        <w:t>État partie à l</w:t>
      </w:r>
      <w:r>
        <w:rPr>
          <w:lang w:eastAsia="zh-CN"/>
        </w:rPr>
        <w:t>’</w:t>
      </w:r>
      <w:r w:rsidRPr="0027241C">
        <w:rPr>
          <w:lang w:eastAsia="zh-CN"/>
        </w:rPr>
        <w:t>informer, dans un délai de quatre-vingt-dix jours à compter de la date de transmission de la présente décision, des mesures qu</w:t>
      </w:r>
      <w:r>
        <w:rPr>
          <w:lang w:eastAsia="zh-CN"/>
        </w:rPr>
        <w:t>’</w:t>
      </w:r>
      <w:r w:rsidRPr="0027241C">
        <w:rPr>
          <w:lang w:eastAsia="zh-CN"/>
        </w:rPr>
        <w:t>il aura prises pour donner suite aux observations ci-dessus</w:t>
      </w:r>
      <w:r w:rsidR="00E80A5E" w:rsidRPr="00E80A5E">
        <w:rPr>
          <w:lang w:eastAsia="zh-CN"/>
        </w:rPr>
        <w:t>.</w:t>
      </w:r>
    </w:p>
    <w:p w14:paraId="0EEBF7CE" w14:textId="0D8E4167" w:rsidR="00C35C59" w:rsidRPr="00C35C59" w:rsidRDefault="00C35C59" w:rsidP="00C35C59">
      <w:pPr>
        <w:pStyle w:val="SingleTxtG"/>
        <w:spacing w:before="240" w:after="0"/>
        <w:jc w:val="center"/>
        <w:rPr>
          <w:u w:val="single"/>
        </w:rPr>
      </w:pPr>
      <w:r>
        <w:rPr>
          <w:u w:val="single"/>
        </w:rPr>
        <w:tab/>
      </w:r>
      <w:r>
        <w:rPr>
          <w:u w:val="single"/>
        </w:rPr>
        <w:tab/>
      </w:r>
      <w:r>
        <w:rPr>
          <w:u w:val="single"/>
        </w:rPr>
        <w:tab/>
      </w:r>
    </w:p>
    <w:sectPr w:rsidR="00C35C59" w:rsidRPr="00C35C59" w:rsidSect="00C35C5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5504" w14:textId="77777777" w:rsidR="004530F6" w:rsidRPr="009C4D45" w:rsidRDefault="004530F6" w:rsidP="009C4D45">
      <w:pPr>
        <w:pStyle w:val="Pieddepage"/>
      </w:pPr>
    </w:p>
  </w:endnote>
  <w:endnote w:type="continuationSeparator" w:id="0">
    <w:p w14:paraId="2DB84739" w14:textId="77777777" w:rsidR="004530F6" w:rsidRPr="009C4D45" w:rsidRDefault="004530F6" w:rsidP="009C4D45">
      <w:pPr>
        <w:pStyle w:val="Pieddepage"/>
      </w:pPr>
    </w:p>
  </w:endnote>
  <w:endnote w:type="continuationNotice" w:id="1">
    <w:p w14:paraId="0905291B" w14:textId="77777777" w:rsidR="004530F6" w:rsidRDefault="004530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33A5" w14:textId="6A5B63B1" w:rsidR="00C35C59" w:rsidRPr="00C35C59" w:rsidRDefault="00C35C59" w:rsidP="00C35C59">
    <w:pPr>
      <w:pStyle w:val="Pieddepage"/>
      <w:tabs>
        <w:tab w:val="right" w:pos="9638"/>
      </w:tabs>
    </w:pPr>
    <w:r w:rsidRPr="00C35C59">
      <w:rPr>
        <w:b/>
        <w:sz w:val="18"/>
      </w:rPr>
      <w:fldChar w:fldCharType="begin"/>
    </w:r>
    <w:r w:rsidRPr="00C35C59">
      <w:rPr>
        <w:b/>
        <w:sz w:val="18"/>
      </w:rPr>
      <w:instrText xml:space="preserve"> PAGE  \* MERGEFORMAT </w:instrText>
    </w:r>
    <w:r w:rsidRPr="00C35C59">
      <w:rPr>
        <w:b/>
        <w:sz w:val="18"/>
      </w:rPr>
      <w:fldChar w:fldCharType="separate"/>
    </w:r>
    <w:r w:rsidR="00501E96">
      <w:rPr>
        <w:b/>
        <w:noProof/>
        <w:sz w:val="18"/>
      </w:rPr>
      <w:t>8</w:t>
    </w:r>
    <w:r w:rsidRPr="00C35C59">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4439" w14:textId="2C9F3664" w:rsidR="00C35C59" w:rsidRPr="00C35C59" w:rsidRDefault="00C35C59" w:rsidP="00C35C59">
    <w:pPr>
      <w:pStyle w:val="Pieddepage"/>
      <w:tabs>
        <w:tab w:val="right" w:pos="9638"/>
      </w:tabs>
      <w:rPr>
        <w:b/>
        <w:sz w:val="18"/>
      </w:rPr>
    </w:pPr>
    <w:r>
      <w:tab/>
    </w:r>
    <w:r w:rsidRPr="00C35C59">
      <w:rPr>
        <w:b/>
        <w:sz w:val="18"/>
      </w:rPr>
      <w:fldChar w:fldCharType="begin"/>
    </w:r>
    <w:r w:rsidRPr="00C35C59">
      <w:rPr>
        <w:b/>
        <w:sz w:val="18"/>
      </w:rPr>
      <w:instrText xml:space="preserve"> PAGE  \* MERGEFORMAT </w:instrText>
    </w:r>
    <w:r w:rsidRPr="00C35C59">
      <w:rPr>
        <w:b/>
        <w:sz w:val="18"/>
      </w:rPr>
      <w:fldChar w:fldCharType="separate"/>
    </w:r>
    <w:r w:rsidR="00501E96">
      <w:rPr>
        <w:b/>
        <w:noProof/>
        <w:sz w:val="18"/>
      </w:rPr>
      <w:t>9</w:t>
    </w:r>
    <w:r w:rsidRPr="00C35C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AEED" w14:textId="4EF9B2E7" w:rsidR="00DE581F" w:rsidRPr="00DE581F" w:rsidRDefault="00DE581F" w:rsidP="00DE581F">
    <w:pPr>
      <w:pStyle w:val="Pieddepage"/>
      <w:tabs>
        <w:tab w:val="left" w:pos="6520"/>
        <w:tab w:val="right" w:pos="9638"/>
      </w:tabs>
      <w:spacing w:before="120"/>
      <w:rPr>
        <w:sz w:val="20"/>
      </w:rPr>
    </w:pPr>
    <w:r>
      <w:rPr>
        <w:sz w:val="20"/>
      </w:rPr>
      <w:t>GE.22-17095  (F)</w:t>
    </w:r>
    <w:bookmarkStart w:id="0" w:name="_GoBack"/>
    <w:bookmarkEnd w:id="0"/>
    <w:r>
      <w:rPr>
        <w:sz w:val="20"/>
      </w:rPr>
      <w:tab/>
    </w:r>
    <w:r w:rsidRPr="00DE581F">
      <w:rPr>
        <w:noProof/>
        <w:sz w:val="20"/>
        <w:lang w:eastAsia="fr-CH"/>
      </w:rPr>
      <w:drawing>
        <wp:inline distT="0" distB="0" distL="0" distR="0" wp14:anchorId="29500B90" wp14:editId="7ED86AD3">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A97FEF2" wp14:editId="0F607CE6">
          <wp:extent cx="563245" cy="563245"/>
          <wp:effectExtent l="0" t="0" r="825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CF02" w14:textId="77777777" w:rsidR="004530F6" w:rsidRPr="009C4D45" w:rsidRDefault="004530F6" w:rsidP="009C4D45">
      <w:pPr>
        <w:pStyle w:val="Pieddepage"/>
        <w:tabs>
          <w:tab w:val="right" w:pos="2155"/>
        </w:tabs>
        <w:spacing w:after="80" w:line="240" w:lineRule="atLeast"/>
        <w:ind w:left="680"/>
        <w:rPr>
          <w:u w:val="single"/>
        </w:rPr>
      </w:pPr>
      <w:r>
        <w:rPr>
          <w:u w:val="single"/>
        </w:rPr>
        <w:tab/>
      </w:r>
    </w:p>
  </w:footnote>
  <w:footnote w:type="continuationSeparator" w:id="0">
    <w:p w14:paraId="4834C32D" w14:textId="77777777" w:rsidR="004530F6" w:rsidRPr="00035AE4" w:rsidRDefault="004530F6" w:rsidP="00035AE4">
      <w:pPr>
        <w:pStyle w:val="Pieddepage"/>
        <w:tabs>
          <w:tab w:val="right" w:pos="2155"/>
        </w:tabs>
        <w:spacing w:after="80" w:line="240" w:lineRule="atLeast"/>
        <w:ind w:left="680"/>
        <w:rPr>
          <w:u w:val="single"/>
        </w:rPr>
      </w:pPr>
      <w:r>
        <w:rPr>
          <w:u w:val="single"/>
        </w:rPr>
        <w:tab/>
      </w:r>
    </w:p>
  </w:footnote>
  <w:footnote w:type="continuationNotice" w:id="1">
    <w:p w14:paraId="7A3ACC39" w14:textId="77777777" w:rsidR="004530F6" w:rsidRPr="00035AE4" w:rsidRDefault="004530F6">
      <w:pPr>
        <w:spacing w:line="240" w:lineRule="auto"/>
        <w:rPr>
          <w:sz w:val="2"/>
          <w:szCs w:val="2"/>
        </w:rPr>
      </w:pPr>
    </w:p>
  </w:footnote>
  <w:footnote w:id="2">
    <w:p w14:paraId="30EB3A5D" w14:textId="2F77C8B1" w:rsidR="00C35C59" w:rsidRPr="003C6B88" w:rsidRDefault="00C35C59" w:rsidP="00C35C59">
      <w:pPr>
        <w:pStyle w:val="Notedebasdepage"/>
        <w:rPr>
          <w:lang w:val="fr-FR"/>
        </w:rPr>
      </w:pPr>
      <w:r w:rsidRPr="00BB74E1">
        <w:rPr>
          <w:rStyle w:val="Appelnotedebasdep"/>
          <w:sz w:val="20"/>
        </w:rPr>
        <w:tab/>
      </w:r>
      <w:r w:rsidRPr="00BB74E1">
        <w:rPr>
          <w:sz w:val="20"/>
        </w:rPr>
        <w:t>*</w:t>
      </w:r>
      <w:r w:rsidRPr="00BB74E1">
        <w:rPr>
          <w:rStyle w:val="Appelnotedebasdep"/>
          <w:sz w:val="20"/>
          <w:vertAlign w:val="baseline"/>
        </w:rPr>
        <w:tab/>
      </w:r>
      <w:r w:rsidRPr="004623A9">
        <w:t xml:space="preserve">Adoptée par le Comité à sa </w:t>
      </w:r>
      <w:r w:rsidRPr="00442303">
        <w:t>soixante</w:t>
      </w:r>
      <w:r>
        <w:t>-</w:t>
      </w:r>
      <w:r w:rsidRPr="000A456D">
        <w:t>quatorzième</w:t>
      </w:r>
      <w:r w:rsidRPr="00442303">
        <w:t xml:space="preserve"> session (1</w:t>
      </w:r>
      <w:r>
        <w:t>2-29 juillet</w:t>
      </w:r>
      <w:r w:rsidRPr="00442303">
        <w:t xml:space="preserve"> 2022)</w:t>
      </w:r>
      <w:r w:rsidR="00E80A5E" w:rsidRPr="00E80A5E">
        <w:t>.</w:t>
      </w:r>
    </w:p>
  </w:footnote>
  <w:footnote w:id="3">
    <w:p w14:paraId="4B2ABC3B" w14:textId="37ED5172" w:rsidR="00C35C59" w:rsidRPr="004623A9" w:rsidRDefault="00C35C59" w:rsidP="00C35C59">
      <w:pPr>
        <w:pStyle w:val="Notedebasdepage"/>
        <w:rPr>
          <w:lang w:val="fr-FR"/>
        </w:rPr>
      </w:pPr>
      <w:r w:rsidRPr="00BB74E1">
        <w:rPr>
          <w:sz w:val="20"/>
        </w:rPr>
        <w:tab/>
        <w:t>**</w:t>
      </w:r>
      <w:r w:rsidRPr="00BB74E1">
        <w:tab/>
      </w:r>
      <w:r w:rsidRPr="004623A9">
        <w:rPr>
          <w:lang w:val="fr-FR"/>
        </w:rPr>
        <w:t>Les membres du Comité dont le nom suit ont participé à l</w:t>
      </w:r>
      <w:r>
        <w:rPr>
          <w:lang w:val="fr-FR"/>
        </w:rPr>
        <w:t>’</w:t>
      </w:r>
      <w:r w:rsidRPr="004623A9">
        <w:rPr>
          <w:lang w:val="fr-FR"/>
        </w:rPr>
        <w:t>examen de la communication :</w:t>
      </w:r>
      <w:r w:rsidRPr="00BB7513">
        <w:rPr>
          <w:color w:val="000000"/>
          <w:szCs w:val="24"/>
          <w:lang w:val="fr-FR"/>
        </w:rPr>
        <w:t xml:space="preserve"> </w:t>
      </w:r>
      <w:r>
        <w:rPr>
          <w:color w:val="000000"/>
          <w:szCs w:val="24"/>
          <w:lang w:val="fr-FR"/>
        </w:rPr>
        <w:t xml:space="preserve">Todd </w:t>
      </w:r>
      <w:proofErr w:type="spellStart"/>
      <w:r>
        <w:rPr>
          <w:color w:val="000000"/>
          <w:szCs w:val="24"/>
          <w:lang w:val="fr-FR"/>
        </w:rPr>
        <w:t>Buchwald</w:t>
      </w:r>
      <w:proofErr w:type="spellEnd"/>
      <w:r w:rsidRPr="00442303">
        <w:rPr>
          <w:color w:val="000000"/>
          <w:szCs w:val="24"/>
          <w:lang w:val="fr-FR"/>
        </w:rPr>
        <w:t xml:space="preserve">, </w:t>
      </w:r>
      <w:r w:rsidRPr="0073414B">
        <w:rPr>
          <w:color w:val="000000"/>
          <w:szCs w:val="24"/>
          <w:lang w:val="fr-FR"/>
        </w:rPr>
        <w:t>Claude Heller</w:t>
      </w:r>
      <w:r>
        <w:rPr>
          <w:color w:val="000000"/>
          <w:szCs w:val="24"/>
          <w:lang w:val="fr-FR"/>
        </w:rPr>
        <w:t>,</w:t>
      </w:r>
      <w:r w:rsidRPr="0073414B">
        <w:rPr>
          <w:color w:val="000000"/>
          <w:szCs w:val="24"/>
          <w:lang w:val="fr-FR"/>
        </w:rPr>
        <w:t xml:space="preserve"> </w:t>
      </w:r>
      <w:r w:rsidRPr="00442303">
        <w:rPr>
          <w:color w:val="000000"/>
          <w:szCs w:val="24"/>
          <w:lang w:val="fr-FR"/>
        </w:rPr>
        <w:t>Erdo</w:t>
      </w:r>
      <w:r>
        <w:rPr>
          <w:color w:val="000000"/>
          <w:szCs w:val="24"/>
          <w:lang w:val="fr-FR"/>
        </w:rPr>
        <w:t>g</w:t>
      </w:r>
      <w:r w:rsidRPr="00442303">
        <w:rPr>
          <w:color w:val="000000"/>
          <w:szCs w:val="24"/>
          <w:lang w:val="fr-FR"/>
        </w:rPr>
        <w:t xml:space="preserve">an </w:t>
      </w:r>
      <w:proofErr w:type="spellStart"/>
      <w:r>
        <w:rPr>
          <w:color w:val="000000"/>
          <w:szCs w:val="24"/>
          <w:lang w:val="fr-FR"/>
        </w:rPr>
        <w:t>Iscan</w:t>
      </w:r>
      <w:proofErr w:type="spellEnd"/>
      <w:r w:rsidRPr="00442303">
        <w:rPr>
          <w:color w:val="000000"/>
          <w:szCs w:val="24"/>
          <w:lang w:val="fr-FR"/>
        </w:rPr>
        <w:t>, Mae</w:t>
      </w:r>
      <w:r>
        <w:rPr>
          <w:color w:val="000000"/>
          <w:szCs w:val="24"/>
          <w:lang w:val="fr-FR"/>
        </w:rPr>
        <w:t xml:space="preserve">da Naoko, </w:t>
      </w:r>
      <w:proofErr w:type="spellStart"/>
      <w:r>
        <w:rPr>
          <w:color w:val="000000"/>
          <w:szCs w:val="24"/>
          <w:lang w:val="fr-FR"/>
        </w:rPr>
        <w:t>Ilvija</w:t>
      </w:r>
      <w:proofErr w:type="spellEnd"/>
      <w:r>
        <w:rPr>
          <w:color w:val="000000"/>
          <w:szCs w:val="24"/>
          <w:lang w:val="fr-FR"/>
        </w:rPr>
        <w:t xml:space="preserve"> </w:t>
      </w:r>
      <w:proofErr w:type="spellStart"/>
      <w:r>
        <w:rPr>
          <w:color w:val="000000"/>
          <w:szCs w:val="24"/>
          <w:lang w:val="fr-FR"/>
        </w:rPr>
        <w:t>P‎ūce</w:t>
      </w:r>
      <w:proofErr w:type="spellEnd"/>
      <w:r w:rsidRPr="00442303">
        <w:rPr>
          <w:color w:val="000000"/>
          <w:szCs w:val="24"/>
          <w:lang w:val="fr-FR"/>
        </w:rPr>
        <w:t xml:space="preserve">, </w:t>
      </w:r>
      <w:r w:rsidRPr="006F306D">
        <w:rPr>
          <w:color w:val="000000"/>
          <w:szCs w:val="24"/>
          <w:lang w:val="fr-FR"/>
        </w:rPr>
        <w:t xml:space="preserve">Abderrazak </w:t>
      </w:r>
      <w:proofErr w:type="spellStart"/>
      <w:r w:rsidRPr="006F306D">
        <w:rPr>
          <w:color w:val="000000"/>
          <w:szCs w:val="24"/>
          <w:lang w:val="fr-FR"/>
        </w:rPr>
        <w:t>Rouwane</w:t>
      </w:r>
      <w:proofErr w:type="spellEnd"/>
      <w:r>
        <w:rPr>
          <w:color w:val="000000"/>
          <w:szCs w:val="24"/>
          <w:lang w:val="fr-FR"/>
        </w:rPr>
        <w:t xml:space="preserve">, </w:t>
      </w:r>
      <w:r w:rsidRPr="00442303">
        <w:rPr>
          <w:color w:val="000000"/>
          <w:szCs w:val="24"/>
          <w:lang w:val="fr-FR"/>
        </w:rPr>
        <w:t xml:space="preserve">Sébastien </w:t>
      </w:r>
      <w:proofErr w:type="spellStart"/>
      <w:r w:rsidRPr="00442303">
        <w:rPr>
          <w:color w:val="000000"/>
          <w:szCs w:val="24"/>
          <w:lang w:val="fr-FR"/>
        </w:rPr>
        <w:t>Touzé</w:t>
      </w:r>
      <w:proofErr w:type="spellEnd"/>
      <w:r w:rsidRPr="00442303">
        <w:rPr>
          <w:color w:val="000000"/>
          <w:szCs w:val="24"/>
          <w:lang w:val="fr-FR"/>
        </w:rPr>
        <w:t xml:space="preserve"> </w:t>
      </w:r>
      <w:r>
        <w:rPr>
          <w:color w:val="000000"/>
          <w:szCs w:val="24"/>
          <w:lang w:val="fr-FR"/>
        </w:rPr>
        <w:t xml:space="preserve">et </w:t>
      </w:r>
      <w:proofErr w:type="spellStart"/>
      <w:r w:rsidRPr="00442303">
        <w:rPr>
          <w:color w:val="000000"/>
          <w:szCs w:val="24"/>
          <w:lang w:val="fr-FR"/>
        </w:rPr>
        <w:t>Bakhtiyar</w:t>
      </w:r>
      <w:proofErr w:type="spellEnd"/>
      <w:r w:rsidRPr="00442303">
        <w:rPr>
          <w:color w:val="000000"/>
          <w:szCs w:val="24"/>
          <w:lang w:val="fr-FR"/>
        </w:rPr>
        <w:t xml:space="preserve"> </w:t>
      </w:r>
      <w:proofErr w:type="spellStart"/>
      <w:r w:rsidRPr="00442303">
        <w:rPr>
          <w:color w:val="000000"/>
          <w:szCs w:val="24"/>
          <w:lang w:val="fr-FR"/>
        </w:rPr>
        <w:t>Tuzmukhamedov</w:t>
      </w:r>
      <w:proofErr w:type="spellEnd"/>
      <w:r w:rsidR="00E80A5E" w:rsidRPr="00E80A5E">
        <w:rPr>
          <w:lang w:val="fr-FR"/>
        </w:rPr>
        <w:t>.</w:t>
      </w:r>
    </w:p>
  </w:footnote>
  <w:footnote w:id="4">
    <w:p w14:paraId="4183F0FC" w14:textId="1B026B44" w:rsidR="00C35C59" w:rsidRPr="00FF2378" w:rsidRDefault="00C35C59" w:rsidP="00C35C59">
      <w:pPr>
        <w:pStyle w:val="Notedebasdepage"/>
      </w:pPr>
      <w:r>
        <w:tab/>
      </w:r>
      <w:r w:rsidRPr="00E73881">
        <w:rPr>
          <w:rStyle w:val="Appelnotedebasdep"/>
        </w:rPr>
        <w:footnoteRef/>
      </w:r>
      <w:r>
        <w:tab/>
      </w:r>
      <w:r w:rsidRPr="00FF2378">
        <w:t xml:space="preserve">Le Mouvement pour la </w:t>
      </w:r>
      <w:r>
        <w:t>solidarité et la d</w:t>
      </w:r>
      <w:r w:rsidRPr="00FF2378">
        <w:t>émocratie est un parti politique de l</w:t>
      </w:r>
      <w:r>
        <w:t>’</w:t>
      </w:r>
      <w:r w:rsidRPr="00FF2378">
        <w:t>opposition</w:t>
      </w:r>
      <w:r w:rsidR="00E80A5E" w:rsidRPr="00E80A5E">
        <w:t>.</w:t>
      </w:r>
      <w:r w:rsidRPr="00FF2378">
        <w:t xml:space="preserve"> Après la crise postélectorale de 2010 au Burundi, l</w:t>
      </w:r>
      <w:r>
        <w:t>’</w:t>
      </w:r>
      <w:r w:rsidRPr="00FF2378">
        <w:t xml:space="preserve">opposition politique a été particulièrement visée par la répression mise en place par le </w:t>
      </w:r>
      <w:r>
        <w:t>G</w:t>
      </w:r>
      <w:r w:rsidRPr="00FF2378">
        <w:t>ouvernement</w:t>
      </w:r>
      <w:r w:rsidR="00E80A5E" w:rsidRPr="00E80A5E">
        <w:t>.</w:t>
      </w:r>
      <w:r w:rsidRPr="00FF2378">
        <w:t xml:space="preserve"> </w:t>
      </w:r>
      <w:r w:rsidRPr="00B7507F">
        <w:t>Au sein du parti, l</w:t>
      </w:r>
      <w:r>
        <w:t>e</w:t>
      </w:r>
      <w:r w:rsidRPr="00B7507F">
        <w:t xml:space="preserve"> requérant était </w:t>
      </w:r>
      <w:r>
        <w:t xml:space="preserve">porte-parole </w:t>
      </w:r>
      <w:r w:rsidRPr="00B7507F">
        <w:rPr>
          <w:i/>
        </w:rPr>
        <w:t xml:space="preserve">ad </w:t>
      </w:r>
      <w:proofErr w:type="spellStart"/>
      <w:r w:rsidRPr="00B7507F">
        <w:rPr>
          <w:i/>
        </w:rPr>
        <w:t>interim</w:t>
      </w:r>
      <w:proofErr w:type="spellEnd"/>
      <w:r>
        <w:t xml:space="preserve"> du bureau politique</w:t>
      </w:r>
      <w:r w:rsidR="00E80A5E" w:rsidRPr="00E80A5E">
        <w:t>.</w:t>
      </w:r>
      <w:r w:rsidRPr="00131EF2">
        <w:t xml:space="preserve"> Avant son arrestation, il était fonctionnaire de l</w:t>
      </w:r>
      <w:r>
        <w:t>’</w:t>
      </w:r>
      <w:r w:rsidRPr="00131EF2">
        <w:t xml:space="preserve">État </w:t>
      </w:r>
      <w:r>
        <w:t>en</w:t>
      </w:r>
      <w:r w:rsidRPr="00131EF2">
        <w:t xml:space="preserve"> Mairie de Bujumbura, dans le Service de coordination des questions relatives à l</w:t>
      </w:r>
      <w:r>
        <w:t>’</w:t>
      </w:r>
      <w:r w:rsidRPr="00131EF2">
        <w:t>éducation, à la santé et à l</w:t>
      </w:r>
      <w:r>
        <w:t>’</w:t>
      </w:r>
      <w:r w:rsidRPr="00131EF2">
        <w:t>assistance sociale</w:t>
      </w:r>
      <w:r w:rsidR="00E80A5E" w:rsidRPr="00E80A5E">
        <w:t>.</w:t>
      </w:r>
    </w:p>
  </w:footnote>
  <w:footnote w:id="5">
    <w:p w14:paraId="7DC0CD4F" w14:textId="2F0420A3" w:rsidR="00C35C59" w:rsidRPr="002E3A4F" w:rsidRDefault="00C35C59" w:rsidP="00C35C59">
      <w:pPr>
        <w:pStyle w:val="Notedebasdepage"/>
      </w:pPr>
      <w:r>
        <w:tab/>
      </w:r>
      <w:r w:rsidRPr="00E73881">
        <w:rPr>
          <w:rStyle w:val="Appelnotedebasdep"/>
        </w:rPr>
        <w:footnoteRef/>
      </w:r>
      <w:r>
        <w:tab/>
        <w:t>Des photos sont jointes au dossier</w:t>
      </w:r>
      <w:r w:rsidR="00E80A5E" w:rsidRPr="00E80A5E">
        <w:t>.</w:t>
      </w:r>
    </w:p>
  </w:footnote>
  <w:footnote w:id="6">
    <w:p w14:paraId="689140C4" w14:textId="54F861A8" w:rsidR="00C35C59" w:rsidRPr="00F36010" w:rsidRDefault="00C35C59" w:rsidP="00C35C59">
      <w:pPr>
        <w:pStyle w:val="Notedebasdepage"/>
      </w:pPr>
      <w:r>
        <w:tab/>
      </w:r>
      <w:r w:rsidRPr="00E73881">
        <w:rPr>
          <w:rStyle w:val="Appelnotedebasdep"/>
        </w:rPr>
        <w:footnoteRef/>
      </w:r>
      <w:r>
        <w:tab/>
        <w:t>Le requérant</w:t>
      </w:r>
      <w:r w:rsidRPr="00F36010">
        <w:t xml:space="preserve"> fourni</w:t>
      </w:r>
      <w:r>
        <w:t>t</w:t>
      </w:r>
      <w:r w:rsidRPr="00F36010">
        <w:t xml:space="preserve"> une copie de la</w:t>
      </w:r>
      <w:r>
        <w:t>dite</w:t>
      </w:r>
      <w:r w:rsidRPr="00F36010">
        <w:t xml:space="preserve"> liste</w:t>
      </w:r>
      <w:r w:rsidR="00E80A5E" w:rsidRPr="00E80A5E">
        <w:t>.</w:t>
      </w:r>
    </w:p>
  </w:footnote>
  <w:footnote w:id="7">
    <w:p w14:paraId="276E7CCA" w14:textId="48ACFED0" w:rsidR="00C35C59" w:rsidRPr="00301EE9" w:rsidRDefault="00C35C59" w:rsidP="00C35C59">
      <w:pPr>
        <w:pStyle w:val="Notedebasdepage"/>
      </w:pPr>
      <w:r>
        <w:tab/>
      </w:r>
      <w:r w:rsidRPr="00E73881">
        <w:rPr>
          <w:rStyle w:val="Appelnotedebasdep"/>
        </w:rPr>
        <w:footnoteRef/>
      </w:r>
      <w:r>
        <w:tab/>
        <w:t xml:space="preserve">L’épouse du requérant a elle </w:t>
      </w:r>
      <w:r w:rsidRPr="00301EE9">
        <w:t xml:space="preserve">aussi </w:t>
      </w:r>
      <w:r>
        <w:t xml:space="preserve">été </w:t>
      </w:r>
      <w:r w:rsidRPr="00301EE9">
        <w:t>victime de torture du fait de son affi</w:t>
      </w:r>
      <w:r>
        <w:t>liation politique, et a soumis au Comité</w:t>
      </w:r>
      <w:r w:rsidRPr="00301EE9">
        <w:t xml:space="preserve"> une communication </w:t>
      </w:r>
      <w:r>
        <w:t xml:space="preserve">qui </w:t>
      </w:r>
      <w:r w:rsidRPr="00301EE9">
        <w:t xml:space="preserve">a </w:t>
      </w:r>
      <w:r>
        <w:t xml:space="preserve">déjà été examinée : </w:t>
      </w:r>
      <w:r w:rsidRPr="00301EE9">
        <w:rPr>
          <w:i/>
        </w:rPr>
        <w:t>M</w:t>
      </w:r>
      <w:r w:rsidR="00E80A5E" w:rsidRPr="00E80A5E">
        <w:rPr>
          <w:i/>
        </w:rPr>
        <w:t>.</w:t>
      </w:r>
      <w:r>
        <w:rPr>
          <w:i/>
        </w:rPr>
        <w:t> </w:t>
      </w:r>
      <w:r w:rsidRPr="00301EE9">
        <w:rPr>
          <w:i/>
        </w:rPr>
        <w:t>D</w:t>
      </w:r>
      <w:r w:rsidR="00E80A5E" w:rsidRPr="00E80A5E">
        <w:rPr>
          <w:i/>
        </w:rPr>
        <w:t>.</w:t>
      </w:r>
      <w:r w:rsidRPr="00301EE9">
        <w:rPr>
          <w:i/>
        </w:rPr>
        <w:t xml:space="preserve"> c</w:t>
      </w:r>
      <w:r w:rsidR="00E80A5E" w:rsidRPr="00E80A5E">
        <w:rPr>
          <w:i/>
        </w:rPr>
        <w:t>.</w:t>
      </w:r>
      <w:r w:rsidRPr="00301EE9">
        <w:rPr>
          <w:i/>
        </w:rPr>
        <w:t xml:space="preserve"> Burundi</w:t>
      </w:r>
      <w:r>
        <w:t xml:space="preserve"> (</w:t>
      </w:r>
      <w:hyperlink r:id="rId1" w:history="1">
        <w:r w:rsidRPr="00015B48">
          <w:rPr>
            <w:rStyle w:val="Lienhypertexte"/>
          </w:rPr>
          <w:t>CAT/C/73/D/921/2019</w:t>
        </w:r>
      </w:hyperlink>
      <w:r>
        <w:t>)</w:t>
      </w:r>
      <w:r w:rsidR="00E80A5E" w:rsidRPr="00E80A5E">
        <w:t>.</w:t>
      </w:r>
    </w:p>
  </w:footnote>
  <w:footnote w:id="8">
    <w:p w14:paraId="54B62633" w14:textId="3521227D" w:rsidR="00C35C59" w:rsidRPr="00FF2378" w:rsidRDefault="00C35C59" w:rsidP="00C35C59">
      <w:pPr>
        <w:pStyle w:val="Notedebasdepage"/>
      </w:pPr>
      <w:r>
        <w:tab/>
      </w:r>
      <w:r w:rsidRPr="00E73881">
        <w:rPr>
          <w:rStyle w:val="Appelnotedebasdep"/>
        </w:rPr>
        <w:footnoteRef/>
      </w:r>
      <w:r>
        <w:tab/>
        <w:t xml:space="preserve">Notamment lors d’une </w:t>
      </w:r>
      <w:r w:rsidRPr="00FF2378">
        <w:t xml:space="preserve">audience </w:t>
      </w:r>
      <w:r>
        <w:t xml:space="preserve">publique </w:t>
      </w:r>
      <w:r w:rsidRPr="00FF2378">
        <w:t>qui s</w:t>
      </w:r>
      <w:r>
        <w:t>’</w:t>
      </w:r>
      <w:r w:rsidRPr="00FF2378">
        <w:t xml:space="preserve">est </w:t>
      </w:r>
      <w:r>
        <w:t>tenue le 30 décembre 2014</w:t>
      </w:r>
      <w:r w:rsidR="00E80A5E" w:rsidRPr="00E80A5E">
        <w:t>.</w:t>
      </w:r>
      <w:r>
        <w:t xml:space="preserve"> Le requérant et ses codétenus ont demandé que le dossier contre leurs tortionnaires soit joint au dossier pénal pour lequel le ministère public les poursuit, mais</w:t>
      </w:r>
      <w:r w:rsidRPr="00FF2378">
        <w:t xml:space="preserve"> </w:t>
      </w:r>
      <w:r>
        <w:t>l</w:t>
      </w:r>
      <w:r w:rsidRPr="00FF2378">
        <w:t>e juge n</w:t>
      </w:r>
      <w:r>
        <w:t>’</w:t>
      </w:r>
      <w:r w:rsidRPr="00FF2378">
        <w:t xml:space="preserve">a </w:t>
      </w:r>
      <w:r>
        <w:t>donné</w:t>
      </w:r>
      <w:r w:rsidRPr="00FF2378">
        <w:t xml:space="preserve"> </w:t>
      </w:r>
      <w:r>
        <w:t>aucune suite à cette</w:t>
      </w:r>
      <w:r w:rsidRPr="00FF2378">
        <w:t xml:space="preserve"> demande</w:t>
      </w:r>
      <w:r w:rsidR="00E80A5E" w:rsidRPr="00E80A5E">
        <w:t>.</w:t>
      </w:r>
    </w:p>
  </w:footnote>
  <w:footnote w:id="9">
    <w:p w14:paraId="6AE4640B" w14:textId="6B174275" w:rsidR="00C35C59" w:rsidRPr="00FF2378" w:rsidRDefault="00C35C59" w:rsidP="00C35C59">
      <w:pPr>
        <w:pStyle w:val="Notedebasdepage"/>
      </w:pPr>
      <w:r>
        <w:tab/>
      </w:r>
      <w:r w:rsidRPr="00E73881">
        <w:rPr>
          <w:rStyle w:val="Appelnotedebasdep"/>
        </w:rPr>
        <w:footnoteRef/>
      </w:r>
      <w:r>
        <w:tab/>
        <w:t xml:space="preserve">Voir, par exemple, </w:t>
      </w:r>
      <w:proofErr w:type="spellStart"/>
      <w:r>
        <w:t>Iwacu</w:t>
      </w:r>
      <w:proofErr w:type="spellEnd"/>
      <w:r>
        <w:t>, « </w:t>
      </w:r>
      <w:r w:rsidRPr="005F1273">
        <w:rPr>
          <w:iCs/>
        </w:rPr>
        <w:t>8 mars 2014 : une manifestation qui a dégénéré</w:t>
      </w:r>
      <w:r>
        <w:rPr>
          <w:iCs/>
        </w:rPr>
        <w:t> »</w:t>
      </w:r>
      <w:r w:rsidRPr="00FF2378">
        <w:t xml:space="preserve">, </w:t>
      </w:r>
      <w:r>
        <w:t>17</w:t>
      </w:r>
      <w:r w:rsidR="000F4638">
        <w:t> </w:t>
      </w:r>
      <w:r>
        <w:t>mars 2014, disponible à l’adresse suivante :</w:t>
      </w:r>
      <w:r w:rsidR="001A09BC">
        <w:fldChar w:fldCharType="begin"/>
      </w:r>
      <w:r w:rsidR="001A09BC">
        <w:instrText xml:space="preserve"> HYPERLINK </w:instrText>
      </w:r>
      <w:r w:rsidR="001A09BC">
        <w:fldChar w:fldCharType="separate"/>
      </w:r>
      <w:r w:rsidR="001A09BC">
        <w:rPr>
          <w:b/>
          <w:bCs/>
          <w:lang w:val="fr-FR"/>
        </w:rPr>
        <w:t>Erreur ! Référence de lien hypertexte non valide.</w:t>
      </w:r>
      <w:r w:rsidR="001A09BC">
        <w:fldChar w:fldCharType="end"/>
      </w:r>
      <w:r>
        <w:t xml:space="preserve"> </w:t>
      </w:r>
      <w:hyperlink r:id="rId2" w:history="1">
        <w:r w:rsidRPr="008435F1">
          <w:rPr>
            <w:rStyle w:val="Lienhypertexte"/>
          </w:rPr>
          <w:t>www</w:t>
        </w:r>
        <w:r w:rsidR="00E80A5E" w:rsidRPr="00E80A5E">
          <w:rPr>
            <w:rStyle w:val="Lienhypertexte"/>
          </w:rPr>
          <w:t>.</w:t>
        </w:r>
        <w:r w:rsidRPr="008435F1">
          <w:rPr>
            <w:rStyle w:val="Lienhypertexte"/>
          </w:rPr>
          <w:t>iwacu-burundi</w:t>
        </w:r>
        <w:r w:rsidR="00E80A5E" w:rsidRPr="00E80A5E">
          <w:rPr>
            <w:rStyle w:val="Lienhypertexte"/>
          </w:rPr>
          <w:t>.</w:t>
        </w:r>
        <w:r w:rsidRPr="008435F1">
          <w:rPr>
            <w:rStyle w:val="Lienhypertexte"/>
          </w:rPr>
          <w:t>org/8-mars-2014-une-manifestation-qui-a-degenere/</w:t>
        </w:r>
      </w:hyperlink>
      <w:r w:rsidR="00E80A5E" w:rsidRPr="00E80A5E">
        <w:t>.</w:t>
      </w:r>
    </w:p>
  </w:footnote>
  <w:footnote w:id="10">
    <w:p w14:paraId="56DEDAF4" w14:textId="7AEDDCC6" w:rsidR="00C35C59" w:rsidRPr="007E6316" w:rsidRDefault="00C35C59" w:rsidP="00C35C59">
      <w:pPr>
        <w:pStyle w:val="Notedebasdepage"/>
      </w:pPr>
      <w:r>
        <w:tab/>
      </w:r>
      <w:r w:rsidRPr="00E73881">
        <w:rPr>
          <w:rStyle w:val="Appelnotedebasdep"/>
        </w:rPr>
        <w:footnoteRef/>
      </w:r>
      <w:r>
        <w:tab/>
        <w:t>Voir, par exemple, RFI, « </w:t>
      </w:r>
      <w:r w:rsidRPr="005F1273">
        <w:rPr>
          <w:iCs/>
        </w:rPr>
        <w:t>Une manifestation de l</w:t>
      </w:r>
      <w:r>
        <w:rPr>
          <w:iCs/>
        </w:rPr>
        <w:t>’</w:t>
      </w:r>
      <w:r w:rsidRPr="005F1273">
        <w:rPr>
          <w:iCs/>
        </w:rPr>
        <w:t>opposition burundaise dégénère</w:t>
      </w:r>
      <w:r>
        <w:rPr>
          <w:iCs/>
        </w:rPr>
        <w:t> »</w:t>
      </w:r>
      <w:r>
        <w:t>, 9</w:t>
      </w:r>
      <w:r w:rsidR="000F4638">
        <w:t> </w:t>
      </w:r>
      <w:r>
        <w:t xml:space="preserve">mars 2014, disponible à l’adresse suivante : </w:t>
      </w:r>
      <w:hyperlink r:id="rId3" w:history="1">
        <w:r>
          <w:rPr>
            <w:rStyle w:val="Lienhypertexte"/>
          </w:rPr>
          <w:t>www</w:t>
        </w:r>
        <w:r w:rsidR="00E80A5E" w:rsidRPr="00E80A5E">
          <w:rPr>
            <w:rStyle w:val="Lienhypertexte"/>
          </w:rPr>
          <w:t>.</w:t>
        </w:r>
        <w:r>
          <w:rPr>
            <w:rStyle w:val="Lienhypertexte"/>
          </w:rPr>
          <w:t>rfi</w:t>
        </w:r>
        <w:r w:rsidR="00E80A5E" w:rsidRPr="00E80A5E">
          <w:rPr>
            <w:rStyle w:val="Lienhypertexte"/>
          </w:rPr>
          <w:t>.</w:t>
        </w:r>
        <w:r>
          <w:rPr>
            <w:rStyle w:val="Lienhypertexte"/>
          </w:rPr>
          <w:t>fr/fr/afrique/20140309-burundi-manifestation-opposition-msd-degenere</w:t>
        </w:r>
      </w:hyperlink>
      <w:r>
        <w:t> ; et France 24, « </w:t>
      </w:r>
      <w:r w:rsidRPr="005F1273">
        <w:rPr>
          <w:iCs/>
        </w:rPr>
        <w:t>Des violences menacent le fragile équilibre du Burundi</w:t>
      </w:r>
      <w:r>
        <w:rPr>
          <w:iCs/>
        </w:rPr>
        <w:t> »</w:t>
      </w:r>
      <w:r>
        <w:t>, 10</w:t>
      </w:r>
      <w:r w:rsidR="000F4638">
        <w:t> </w:t>
      </w:r>
      <w:r>
        <w:t xml:space="preserve">mars 2014, disponible à l’adresse suivante : </w:t>
      </w:r>
      <w:hyperlink r:id="rId4" w:history="1">
        <w:r w:rsidRPr="00051F7B">
          <w:rPr>
            <w:rStyle w:val="Lienhypertexte"/>
          </w:rPr>
          <w:t>https://observers</w:t>
        </w:r>
        <w:r w:rsidR="00E80A5E" w:rsidRPr="00E80A5E">
          <w:rPr>
            <w:rStyle w:val="Lienhypertexte"/>
          </w:rPr>
          <w:t>.</w:t>
        </w:r>
        <w:r w:rsidRPr="00051F7B">
          <w:rPr>
            <w:rStyle w:val="Lienhypertexte"/>
          </w:rPr>
          <w:t>france24</w:t>
        </w:r>
        <w:r w:rsidR="00E80A5E" w:rsidRPr="00E80A5E">
          <w:rPr>
            <w:rStyle w:val="Lienhypertexte"/>
          </w:rPr>
          <w:t>.</w:t>
        </w:r>
        <w:r w:rsidRPr="00051F7B">
          <w:rPr>
            <w:rStyle w:val="Lienhypertexte"/>
          </w:rPr>
          <w:t>com/fr/20140310-violences-menacent-fragile-equilibre-burundi</w:t>
        </w:r>
      </w:hyperlink>
      <w:r w:rsidR="00E80A5E" w:rsidRPr="00E80A5E">
        <w:t>.</w:t>
      </w:r>
    </w:p>
  </w:footnote>
  <w:footnote w:id="11">
    <w:p w14:paraId="3E829E47" w14:textId="0EB4DD90" w:rsidR="00C35C59" w:rsidRPr="001B2F35" w:rsidRDefault="00C35C59" w:rsidP="00C35C59">
      <w:pPr>
        <w:pStyle w:val="Notedebasdepage"/>
      </w:pPr>
      <w:r>
        <w:tab/>
      </w:r>
      <w:r w:rsidRPr="00E73881">
        <w:rPr>
          <w:rStyle w:val="Appelnotedebasdep"/>
        </w:rPr>
        <w:footnoteRef/>
      </w:r>
      <w:r>
        <w:tab/>
      </w:r>
      <w:hyperlink r:id="rId5" w:history="1">
        <w:r w:rsidRPr="00015B48">
          <w:rPr>
            <w:rStyle w:val="Lienhypertexte"/>
          </w:rPr>
          <w:t>CAT/C/BDI/CO/1</w:t>
        </w:r>
      </w:hyperlink>
      <w:r>
        <w:t>, par</w:t>
      </w:r>
      <w:r w:rsidR="00E80A5E" w:rsidRPr="00E80A5E">
        <w:t>.</w:t>
      </w:r>
      <w:r>
        <w:t xml:space="preserve"> 21 ; et </w:t>
      </w:r>
      <w:hyperlink r:id="rId6" w:history="1">
        <w:r w:rsidRPr="00015B48">
          <w:rPr>
            <w:rStyle w:val="Lienhypertexte"/>
          </w:rPr>
          <w:t>CAT/C/BDI/CO/2/Add</w:t>
        </w:r>
        <w:r w:rsidR="00E80A5E" w:rsidRPr="00E80A5E">
          <w:rPr>
            <w:rStyle w:val="Lienhypertexte"/>
          </w:rPr>
          <w:t>.</w:t>
        </w:r>
        <w:r w:rsidRPr="00015B48">
          <w:rPr>
            <w:rStyle w:val="Lienhypertexte"/>
          </w:rPr>
          <w:t>1</w:t>
        </w:r>
      </w:hyperlink>
      <w:r>
        <w:t>, par</w:t>
      </w:r>
      <w:r w:rsidR="00E80A5E" w:rsidRPr="00E80A5E">
        <w:t>.</w:t>
      </w:r>
      <w:r w:rsidR="000F4638">
        <w:t> </w:t>
      </w:r>
      <w:r>
        <w:t>26</w:t>
      </w:r>
      <w:r w:rsidR="00E80A5E" w:rsidRPr="00E80A5E">
        <w:t>.</w:t>
      </w:r>
      <w:r>
        <w:t xml:space="preserve"> Voir également </w:t>
      </w:r>
      <w:hyperlink r:id="rId7" w:history="1">
        <w:r w:rsidRPr="00015B48">
          <w:rPr>
            <w:rStyle w:val="Lienhypertexte"/>
          </w:rPr>
          <w:t>A/HRC/23/9</w:t>
        </w:r>
      </w:hyperlink>
      <w:r>
        <w:t>, par</w:t>
      </w:r>
      <w:r w:rsidR="00E80A5E" w:rsidRPr="00E80A5E">
        <w:t>.</w:t>
      </w:r>
      <w:r w:rsidR="00515ECE">
        <w:t> </w:t>
      </w:r>
      <w:r>
        <w:t>51, 86, 96, 97, 100 et 111</w:t>
      </w:r>
      <w:r w:rsidR="00E80A5E" w:rsidRPr="00E80A5E">
        <w:t>.</w:t>
      </w:r>
    </w:p>
  </w:footnote>
  <w:footnote w:id="12">
    <w:p w14:paraId="33FEE941" w14:textId="4BA488D8" w:rsidR="00C35C59" w:rsidRPr="001A09BC" w:rsidRDefault="00C35C59" w:rsidP="00C35C59">
      <w:pPr>
        <w:pStyle w:val="Notedebasdepage"/>
      </w:pPr>
      <w:r>
        <w:tab/>
      </w:r>
      <w:r w:rsidRPr="00E73881">
        <w:rPr>
          <w:rStyle w:val="Appelnotedebasdep"/>
        </w:rPr>
        <w:footnoteRef/>
      </w:r>
      <w:r w:rsidRPr="001A09BC">
        <w:tab/>
      </w:r>
      <w:r w:rsidR="001A09BC">
        <w:fldChar w:fldCharType="begin"/>
      </w:r>
      <w:r w:rsidR="001A09BC">
        <w:instrText xml:space="preserve"> HYPERLINK "http://undocs.org/fr/CAT/C/BDI/CO/1" </w:instrText>
      </w:r>
      <w:r w:rsidR="001A09BC">
        <w:fldChar w:fldCharType="separate"/>
      </w:r>
      <w:r w:rsidRPr="001A09BC">
        <w:rPr>
          <w:rStyle w:val="Lienhypertexte"/>
        </w:rPr>
        <w:t>CAT/C/BDI/CO/1</w:t>
      </w:r>
      <w:r w:rsidR="001A09BC">
        <w:rPr>
          <w:rStyle w:val="Lienhypertexte"/>
          <w:lang w:val="en-GB"/>
        </w:rPr>
        <w:fldChar w:fldCharType="end"/>
      </w:r>
      <w:r w:rsidRPr="001A09BC">
        <w:t>, par</w:t>
      </w:r>
      <w:r w:rsidR="00E80A5E" w:rsidRPr="001A09BC">
        <w:t>.</w:t>
      </w:r>
      <w:r w:rsidR="000F4638" w:rsidRPr="001A09BC">
        <w:t> </w:t>
      </w:r>
      <w:r w:rsidRPr="001A09BC">
        <w:t>12</w:t>
      </w:r>
      <w:r w:rsidR="00E80A5E" w:rsidRPr="001A09BC">
        <w:t>.</w:t>
      </w:r>
    </w:p>
  </w:footnote>
  <w:footnote w:id="13">
    <w:p w14:paraId="554725D3" w14:textId="0222B4C4" w:rsidR="00C35C59" w:rsidRPr="00DC4BF7" w:rsidRDefault="00C35C59" w:rsidP="00C35C59">
      <w:pPr>
        <w:pStyle w:val="Notedebasdepage"/>
        <w:rPr>
          <w:lang w:val="en-GB"/>
        </w:rPr>
      </w:pPr>
      <w:r w:rsidRPr="001A09BC">
        <w:tab/>
      </w:r>
      <w:r w:rsidRPr="00E73881">
        <w:rPr>
          <w:rStyle w:val="Appelnotedebasdep"/>
        </w:rPr>
        <w:footnoteRef/>
      </w:r>
      <w:r w:rsidRPr="00DC4BF7">
        <w:rPr>
          <w:lang w:val="en-GB"/>
        </w:rPr>
        <w:tab/>
      </w:r>
      <w:r w:rsidR="001A09BC">
        <w:fldChar w:fldCharType="begin"/>
      </w:r>
      <w:r w:rsidR="001A09BC" w:rsidRPr="001A09BC">
        <w:rPr>
          <w:lang w:val="en-US"/>
        </w:rPr>
        <w:instrText xml:space="preserve"> HYPERLINK "http://undocs.org/fr/CAT/C/BDI/CO/2" </w:instrText>
      </w:r>
      <w:r w:rsidR="001A09BC">
        <w:fldChar w:fldCharType="separate"/>
      </w:r>
      <w:r w:rsidRPr="00015B48">
        <w:rPr>
          <w:rStyle w:val="Lienhypertexte"/>
          <w:lang w:val="en-GB"/>
        </w:rPr>
        <w:t>CAT/C/BDI/CO/2</w:t>
      </w:r>
      <w:r w:rsidR="001A09BC">
        <w:rPr>
          <w:rStyle w:val="Lienhypertexte"/>
          <w:lang w:val="en-GB"/>
        </w:rPr>
        <w:fldChar w:fldCharType="end"/>
      </w:r>
      <w:r w:rsidRPr="00DC4BF7">
        <w:rPr>
          <w:lang w:val="en-GB"/>
        </w:rPr>
        <w:t>, par</w:t>
      </w:r>
      <w:r w:rsidR="00E80A5E" w:rsidRPr="00E80A5E">
        <w:rPr>
          <w:lang w:val="en-GB"/>
        </w:rPr>
        <w:t>.</w:t>
      </w:r>
      <w:r w:rsidR="000F4638">
        <w:rPr>
          <w:lang w:val="en-GB"/>
        </w:rPr>
        <w:t> </w:t>
      </w:r>
      <w:r>
        <w:rPr>
          <w:lang w:val="en-GB"/>
        </w:rPr>
        <w:t>11</w:t>
      </w:r>
      <w:r w:rsidR="00E80A5E" w:rsidRPr="00E80A5E">
        <w:rPr>
          <w:lang w:val="en-GB"/>
        </w:rPr>
        <w:t>.</w:t>
      </w:r>
    </w:p>
  </w:footnote>
  <w:footnote w:id="14">
    <w:p w14:paraId="2582E6DF" w14:textId="087D8512" w:rsidR="00C35C59" w:rsidRPr="00177A25" w:rsidRDefault="00C35C59" w:rsidP="00C35C59">
      <w:pPr>
        <w:pStyle w:val="Notedebasdepage"/>
        <w:rPr>
          <w:lang w:val="fr-BE"/>
        </w:rPr>
      </w:pPr>
      <w:r w:rsidRPr="00DF72D4">
        <w:rPr>
          <w:lang w:val="en-GB"/>
        </w:rPr>
        <w:tab/>
      </w:r>
      <w:r w:rsidRPr="00E73881">
        <w:rPr>
          <w:rStyle w:val="Appelnotedebasdep"/>
        </w:rPr>
        <w:footnoteRef/>
      </w:r>
      <w:r w:rsidRPr="00E73881">
        <w:tab/>
      </w:r>
      <w:hyperlink r:id="rId8" w:history="1">
        <w:r w:rsidRPr="00015B48">
          <w:rPr>
            <w:rStyle w:val="Lienhypertexte"/>
          </w:rPr>
          <w:t>CAT/C/BDI/CO/2/Add</w:t>
        </w:r>
        <w:r w:rsidR="00E80A5E" w:rsidRPr="00E80A5E">
          <w:rPr>
            <w:rStyle w:val="Lienhypertexte"/>
          </w:rPr>
          <w:t>.</w:t>
        </w:r>
        <w:r w:rsidRPr="00015B48">
          <w:rPr>
            <w:rStyle w:val="Lienhypertexte"/>
          </w:rPr>
          <w:t>1</w:t>
        </w:r>
      </w:hyperlink>
      <w:r w:rsidRPr="00E73881">
        <w:t>, par</w:t>
      </w:r>
      <w:r w:rsidR="00E80A5E" w:rsidRPr="00E80A5E">
        <w:t>.</w:t>
      </w:r>
      <w:r w:rsidR="000F4638">
        <w:t> </w:t>
      </w:r>
      <w:r w:rsidRPr="00177A25">
        <w:rPr>
          <w:lang w:val="fr-BE"/>
        </w:rPr>
        <w:t>12</w:t>
      </w:r>
      <w:r>
        <w:rPr>
          <w:lang w:val="fr-BE"/>
        </w:rPr>
        <w:t xml:space="preserve"> et</w:t>
      </w:r>
      <w:r w:rsidR="000F4638">
        <w:rPr>
          <w:lang w:val="fr-BE"/>
        </w:rPr>
        <w:t xml:space="preserve"> </w:t>
      </w:r>
      <w:r w:rsidRPr="00177A25">
        <w:rPr>
          <w:lang w:val="fr-BE"/>
        </w:rPr>
        <w:t>13</w:t>
      </w:r>
      <w:r w:rsidR="00E80A5E" w:rsidRPr="00E80A5E">
        <w:rPr>
          <w:lang w:val="fr-BE"/>
        </w:rPr>
        <w:t>.</w:t>
      </w:r>
    </w:p>
  </w:footnote>
  <w:footnote w:id="15">
    <w:p w14:paraId="29DFBCF9" w14:textId="4FCE4210" w:rsidR="00C35C59" w:rsidRPr="00994F50" w:rsidRDefault="00C35C59" w:rsidP="00C35C59">
      <w:pPr>
        <w:pStyle w:val="Notedebasdepage"/>
      </w:pPr>
      <w:r w:rsidRPr="00177A25">
        <w:rPr>
          <w:lang w:val="fr-BE"/>
        </w:rPr>
        <w:tab/>
      </w:r>
      <w:r w:rsidRPr="00E73881">
        <w:rPr>
          <w:rStyle w:val="Appelnotedebasdep"/>
        </w:rPr>
        <w:footnoteRef/>
      </w:r>
      <w:r>
        <w:tab/>
        <w:t xml:space="preserve">Ses avocats ont reçu des menaces par appels anonymes et subi des filatures par des personnes non identifiées, mais soupçonnées d’être des agents du </w:t>
      </w:r>
      <w:r w:rsidRPr="00994F50">
        <w:t>Service national de renseignement</w:t>
      </w:r>
      <w:r w:rsidR="00E80A5E" w:rsidRPr="00E80A5E">
        <w:t>.</w:t>
      </w:r>
    </w:p>
  </w:footnote>
  <w:footnote w:id="16">
    <w:p w14:paraId="07616CA2" w14:textId="5266AA0E" w:rsidR="00C35C59" w:rsidRPr="00C31785" w:rsidRDefault="00C35C59" w:rsidP="00C35C59">
      <w:pPr>
        <w:pStyle w:val="Notedebasdepage"/>
        <w:rPr>
          <w:lang w:val="en-GB"/>
        </w:rPr>
      </w:pPr>
      <w:r w:rsidRPr="00E73881">
        <w:tab/>
      </w:r>
      <w:r w:rsidRPr="00E73881">
        <w:rPr>
          <w:rStyle w:val="Appelnotedebasdep"/>
        </w:rPr>
        <w:footnoteRef/>
      </w:r>
      <w:r w:rsidRPr="00C31785">
        <w:rPr>
          <w:lang w:val="en-GB"/>
        </w:rPr>
        <w:tab/>
      </w:r>
      <w:r w:rsidR="001A09BC">
        <w:fldChar w:fldCharType="begin"/>
      </w:r>
      <w:r w:rsidR="001A09BC" w:rsidRPr="001A09BC">
        <w:rPr>
          <w:lang w:val="en-US"/>
        </w:rPr>
        <w:instrText xml:space="preserve"> HYPERLINK "http://undocs.org/fr/CAT/C/BDI/CO/2" </w:instrText>
      </w:r>
      <w:r w:rsidR="001A09BC">
        <w:fldChar w:fldCharType="separate"/>
      </w:r>
      <w:r w:rsidRPr="00015B48">
        <w:rPr>
          <w:rStyle w:val="Lienhypertexte"/>
          <w:lang w:val="en-GB"/>
        </w:rPr>
        <w:t>CAT/C/BDI/CO/2</w:t>
      </w:r>
      <w:r w:rsidR="001A09BC">
        <w:rPr>
          <w:rStyle w:val="Lienhypertexte"/>
          <w:lang w:val="en-GB"/>
        </w:rPr>
        <w:fldChar w:fldCharType="end"/>
      </w:r>
      <w:r w:rsidRPr="00DC4BF7">
        <w:rPr>
          <w:lang w:val="en-GB"/>
        </w:rPr>
        <w:t>, par</w:t>
      </w:r>
      <w:r w:rsidR="00E80A5E" w:rsidRPr="00E80A5E">
        <w:rPr>
          <w:lang w:val="en-GB"/>
        </w:rPr>
        <w:t>.</w:t>
      </w:r>
      <w:r w:rsidRPr="00DC4BF7">
        <w:rPr>
          <w:lang w:val="en-GB"/>
        </w:rPr>
        <w:t xml:space="preserve"> </w:t>
      </w:r>
      <w:r>
        <w:rPr>
          <w:lang w:val="en-GB"/>
        </w:rPr>
        <w:t>18</w:t>
      </w:r>
      <w:r w:rsidR="00E80A5E" w:rsidRPr="00E80A5E">
        <w:rPr>
          <w:lang w:val="en-GB"/>
        </w:rPr>
        <w:t>.</w:t>
      </w:r>
    </w:p>
  </w:footnote>
  <w:footnote w:id="17">
    <w:p w14:paraId="3F9143F7" w14:textId="4796B37E" w:rsidR="00C35C59" w:rsidRPr="00D62CC2" w:rsidRDefault="00C35C59" w:rsidP="00C35C59">
      <w:pPr>
        <w:pStyle w:val="Notedebasdepage"/>
        <w:rPr>
          <w:lang w:val="en-GB"/>
        </w:rPr>
      </w:pPr>
      <w:r w:rsidRPr="00A45A6D">
        <w:rPr>
          <w:lang w:val="en-GB"/>
        </w:rPr>
        <w:tab/>
      </w:r>
      <w:r w:rsidRPr="00E73881">
        <w:rPr>
          <w:rStyle w:val="Appelnotedebasdep"/>
        </w:rPr>
        <w:footnoteRef/>
      </w:r>
      <w:r w:rsidRPr="00D62CC2">
        <w:rPr>
          <w:lang w:val="en-GB"/>
        </w:rPr>
        <w:tab/>
      </w:r>
      <w:r w:rsidR="001A09BC">
        <w:fldChar w:fldCharType="begin"/>
      </w:r>
      <w:r w:rsidR="001A09BC" w:rsidRPr="001A09BC">
        <w:rPr>
          <w:lang w:val="en-US"/>
        </w:rPr>
        <w:instrText xml:space="preserve"> HYPERLINK "http://undocs.org/fr/CAT/C/BDI/CO/2/Add.1" </w:instrText>
      </w:r>
      <w:r w:rsidR="001A09BC">
        <w:fldChar w:fldCharType="separate"/>
      </w:r>
      <w:r w:rsidRPr="00015B48">
        <w:rPr>
          <w:rStyle w:val="Lienhypertexte"/>
          <w:lang w:val="en-GB"/>
        </w:rPr>
        <w:t>CAT/C/BDI/CO/2/Add</w:t>
      </w:r>
      <w:r w:rsidR="00E80A5E" w:rsidRPr="00E80A5E">
        <w:rPr>
          <w:rStyle w:val="Lienhypertexte"/>
          <w:lang w:val="en-GB"/>
        </w:rPr>
        <w:t>.</w:t>
      </w:r>
      <w:r w:rsidRPr="00015B48">
        <w:rPr>
          <w:rStyle w:val="Lienhypertexte"/>
          <w:lang w:val="en-GB"/>
        </w:rPr>
        <w:t>1</w:t>
      </w:r>
      <w:r w:rsidR="001A09BC">
        <w:rPr>
          <w:rStyle w:val="Lienhypertexte"/>
          <w:lang w:val="en-GB"/>
        </w:rPr>
        <w:fldChar w:fldCharType="end"/>
      </w:r>
      <w:r>
        <w:rPr>
          <w:lang w:val="en-GB"/>
        </w:rPr>
        <w:t>, par</w:t>
      </w:r>
      <w:r w:rsidR="00E80A5E" w:rsidRPr="00E80A5E">
        <w:rPr>
          <w:lang w:val="en-GB"/>
        </w:rPr>
        <w:t>.</w:t>
      </w:r>
      <w:r>
        <w:rPr>
          <w:lang w:val="en-GB"/>
        </w:rPr>
        <w:t xml:space="preserve"> 27 d)</w:t>
      </w:r>
      <w:r w:rsidR="00E80A5E" w:rsidRPr="00E80A5E">
        <w:rPr>
          <w:lang w:val="en-GB"/>
        </w:rPr>
        <w:t>.</w:t>
      </w:r>
    </w:p>
  </w:footnote>
  <w:footnote w:id="18">
    <w:p w14:paraId="42E92EA6" w14:textId="2F8AD6D9" w:rsidR="00C35C59" w:rsidRPr="00C96339" w:rsidRDefault="00C35C59" w:rsidP="00C35C59">
      <w:pPr>
        <w:pStyle w:val="Notedebasdepage"/>
      </w:pPr>
      <w:r w:rsidRPr="00A45A6D">
        <w:rPr>
          <w:lang w:val="en-GB"/>
        </w:rPr>
        <w:tab/>
      </w:r>
      <w:r w:rsidRPr="00E73881">
        <w:rPr>
          <w:rStyle w:val="Appelnotedebasdep"/>
        </w:rPr>
        <w:footnoteRef/>
      </w:r>
      <w:r w:rsidRPr="00B07BFC">
        <w:tab/>
      </w:r>
      <w:hyperlink r:id="rId9" w:history="1">
        <w:r w:rsidRPr="00015B48">
          <w:rPr>
            <w:rStyle w:val="Lienhypertexte"/>
          </w:rPr>
          <w:t>CAT/C/BDI/CO/1</w:t>
        </w:r>
      </w:hyperlink>
      <w:r w:rsidRPr="00B07BFC">
        <w:t>, par</w:t>
      </w:r>
      <w:r w:rsidR="00E80A5E" w:rsidRPr="00E80A5E">
        <w:t>.</w:t>
      </w:r>
      <w:r w:rsidRPr="00B07BFC">
        <w:t xml:space="preserve"> 17</w:t>
      </w:r>
      <w:r>
        <w:t> ; et</w:t>
      </w:r>
      <w:r w:rsidRPr="00B07BFC">
        <w:t xml:space="preserve"> </w:t>
      </w:r>
      <w:hyperlink r:id="rId10" w:history="1">
        <w:r w:rsidRPr="00015B48">
          <w:rPr>
            <w:rStyle w:val="Lienhypertexte"/>
          </w:rPr>
          <w:t>CAT/C/BDI/CO/2</w:t>
        </w:r>
      </w:hyperlink>
      <w:r>
        <w:t>, par</w:t>
      </w:r>
      <w:r w:rsidR="00E80A5E" w:rsidRPr="00E80A5E">
        <w:t>.</w:t>
      </w:r>
      <w:r>
        <w:t xml:space="preserve"> 15</w:t>
      </w:r>
      <w:r w:rsidR="00E80A5E" w:rsidRPr="00E80A5E">
        <w:t>.</w:t>
      </w:r>
    </w:p>
  </w:footnote>
  <w:footnote w:id="19">
    <w:p w14:paraId="06AF80EE" w14:textId="16BD1728" w:rsidR="00C35C59" w:rsidRPr="00544218" w:rsidRDefault="00C35C59" w:rsidP="00C35C59">
      <w:pPr>
        <w:pStyle w:val="Notedebasdepage"/>
      </w:pPr>
      <w:r>
        <w:tab/>
      </w:r>
      <w:r w:rsidRPr="00E73881">
        <w:rPr>
          <w:rStyle w:val="Appelnotedebasdep"/>
        </w:rPr>
        <w:footnoteRef/>
      </w:r>
      <w:r>
        <w:tab/>
      </w:r>
      <w:proofErr w:type="spellStart"/>
      <w:r w:rsidRPr="00544218">
        <w:rPr>
          <w:i/>
        </w:rPr>
        <w:t>Ndagijimana</w:t>
      </w:r>
      <w:proofErr w:type="spellEnd"/>
      <w:r w:rsidRPr="00544218">
        <w:rPr>
          <w:i/>
        </w:rPr>
        <w:t xml:space="preserve"> c</w:t>
      </w:r>
      <w:r w:rsidR="00E80A5E" w:rsidRPr="00E80A5E">
        <w:rPr>
          <w:i/>
        </w:rPr>
        <w:t>.</w:t>
      </w:r>
      <w:r w:rsidRPr="00544218">
        <w:rPr>
          <w:i/>
        </w:rPr>
        <w:t xml:space="preserve"> Burundi</w:t>
      </w:r>
      <w:r>
        <w:t xml:space="preserve"> (</w:t>
      </w:r>
      <w:hyperlink r:id="rId11" w:history="1">
        <w:r w:rsidRPr="00015B48">
          <w:rPr>
            <w:rStyle w:val="Lienhypertexte"/>
          </w:rPr>
          <w:t>CAT/C/62/D/496/2012</w:t>
        </w:r>
      </w:hyperlink>
      <w:r>
        <w:t xml:space="preserve"> et </w:t>
      </w:r>
      <w:hyperlink r:id="rId12" w:history="1">
        <w:r w:rsidRPr="00015B48">
          <w:rPr>
            <w:rStyle w:val="Lienhypertexte"/>
          </w:rPr>
          <w:t>CAT/C/62/D/496/2012/Corr</w:t>
        </w:r>
        <w:r w:rsidR="00E80A5E" w:rsidRPr="00E80A5E">
          <w:rPr>
            <w:rStyle w:val="Lienhypertexte"/>
          </w:rPr>
          <w:t>.</w:t>
        </w:r>
        <w:r w:rsidRPr="00015B48">
          <w:rPr>
            <w:rStyle w:val="Lienhypertexte"/>
          </w:rPr>
          <w:t>1</w:t>
        </w:r>
      </w:hyperlink>
      <w:r>
        <w:t>), par</w:t>
      </w:r>
      <w:r w:rsidR="00E80A5E" w:rsidRPr="00E80A5E">
        <w:t>.</w:t>
      </w:r>
      <w:r>
        <w:t xml:space="preserve"> 7 ; </w:t>
      </w:r>
      <w:proofErr w:type="spellStart"/>
      <w:r w:rsidRPr="00544218">
        <w:rPr>
          <w:i/>
        </w:rPr>
        <w:t>Ndarisigaranye</w:t>
      </w:r>
      <w:proofErr w:type="spellEnd"/>
      <w:r w:rsidRPr="00544218">
        <w:rPr>
          <w:i/>
        </w:rPr>
        <w:t xml:space="preserve"> c</w:t>
      </w:r>
      <w:r w:rsidR="00E80A5E" w:rsidRPr="00E80A5E">
        <w:rPr>
          <w:i/>
        </w:rPr>
        <w:t>.</w:t>
      </w:r>
      <w:r w:rsidRPr="00544218">
        <w:rPr>
          <w:i/>
        </w:rPr>
        <w:t xml:space="preserve"> Burundi</w:t>
      </w:r>
      <w:r>
        <w:t xml:space="preserve"> (</w:t>
      </w:r>
      <w:hyperlink r:id="rId13" w:history="1">
        <w:r w:rsidRPr="00015B48">
          <w:rPr>
            <w:rStyle w:val="Lienhypertexte"/>
          </w:rPr>
          <w:t>CAT/C/62/D/493/2012</w:t>
        </w:r>
      </w:hyperlink>
      <w:r>
        <w:t xml:space="preserve"> et </w:t>
      </w:r>
      <w:hyperlink r:id="rId14" w:history="1">
        <w:r w:rsidRPr="00015B48">
          <w:rPr>
            <w:rStyle w:val="Lienhypertexte"/>
          </w:rPr>
          <w:t>CAT/C/62/D/493/2012/Corr</w:t>
        </w:r>
        <w:r w:rsidR="00E80A5E" w:rsidRPr="00E80A5E">
          <w:rPr>
            <w:rStyle w:val="Lienhypertexte"/>
          </w:rPr>
          <w:t>.</w:t>
        </w:r>
        <w:r w:rsidRPr="00015B48">
          <w:rPr>
            <w:rStyle w:val="Lienhypertexte"/>
          </w:rPr>
          <w:t>1</w:t>
        </w:r>
      </w:hyperlink>
      <w:r>
        <w:t>), par</w:t>
      </w:r>
      <w:r w:rsidR="00E80A5E" w:rsidRPr="00E80A5E">
        <w:t>.</w:t>
      </w:r>
      <w:r>
        <w:t xml:space="preserve"> 7 ; et </w:t>
      </w:r>
      <w:proofErr w:type="spellStart"/>
      <w:r w:rsidRPr="00544218">
        <w:rPr>
          <w:i/>
        </w:rPr>
        <w:t>Ntikarahera</w:t>
      </w:r>
      <w:proofErr w:type="spellEnd"/>
      <w:r w:rsidRPr="00544218">
        <w:rPr>
          <w:i/>
        </w:rPr>
        <w:t xml:space="preserve"> c</w:t>
      </w:r>
      <w:r w:rsidR="00E80A5E" w:rsidRPr="00E80A5E">
        <w:rPr>
          <w:i/>
        </w:rPr>
        <w:t>.</w:t>
      </w:r>
      <w:r w:rsidRPr="00544218">
        <w:rPr>
          <w:i/>
        </w:rPr>
        <w:t xml:space="preserve"> Burundi</w:t>
      </w:r>
      <w:r>
        <w:t xml:space="preserve"> (</w:t>
      </w:r>
      <w:hyperlink r:id="rId15" w:history="1">
        <w:r w:rsidRPr="00015B48">
          <w:rPr>
            <w:rStyle w:val="Lienhypertexte"/>
          </w:rPr>
          <w:t>CAT/C/52/D/503/2012</w:t>
        </w:r>
      </w:hyperlink>
      <w:r>
        <w:t>), par</w:t>
      </w:r>
      <w:r w:rsidR="00E80A5E" w:rsidRPr="00E80A5E">
        <w:t>.</w:t>
      </w:r>
      <w:r>
        <w:t xml:space="preserve"> 4</w:t>
      </w:r>
      <w:r w:rsidR="00E80A5E" w:rsidRPr="00E80A5E">
        <w:t>.</w:t>
      </w:r>
    </w:p>
  </w:footnote>
  <w:footnote w:id="20">
    <w:p w14:paraId="15F1F026" w14:textId="578D16AE" w:rsidR="00C35C59" w:rsidRPr="00FB55A3" w:rsidRDefault="00C35C59" w:rsidP="00C35C59">
      <w:pPr>
        <w:pStyle w:val="Notedebasdepage"/>
      </w:pPr>
      <w:r>
        <w:tab/>
      </w:r>
      <w:r w:rsidRPr="00E73881">
        <w:rPr>
          <w:rStyle w:val="Appelnotedebasdep"/>
        </w:rPr>
        <w:footnoteRef/>
      </w:r>
      <w:r>
        <w:tab/>
      </w:r>
      <w:proofErr w:type="spellStart"/>
      <w:r w:rsidRPr="00544218">
        <w:rPr>
          <w:i/>
        </w:rPr>
        <w:t>Ndagijimana</w:t>
      </w:r>
      <w:proofErr w:type="spellEnd"/>
      <w:r w:rsidRPr="00544218">
        <w:rPr>
          <w:i/>
        </w:rPr>
        <w:t xml:space="preserve"> c</w:t>
      </w:r>
      <w:r w:rsidR="00E80A5E" w:rsidRPr="00E80A5E">
        <w:rPr>
          <w:i/>
        </w:rPr>
        <w:t>.</w:t>
      </w:r>
      <w:r w:rsidRPr="00544218">
        <w:rPr>
          <w:i/>
        </w:rPr>
        <w:t xml:space="preserve"> Burundi</w:t>
      </w:r>
      <w:r>
        <w:t>, par</w:t>
      </w:r>
      <w:r w:rsidR="00E80A5E" w:rsidRPr="00E80A5E">
        <w:t>.</w:t>
      </w:r>
      <w:r w:rsidR="00F72FDB">
        <w:t> </w:t>
      </w:r>
      <w:r>
        <w:t>8</w:t>
      </w:r>
      <w:r w:rsidR="00E80A5E" w:rsidRPr="00E80A5E">
        <w:t>.</w:t>
      </w:r>
      <w:r>
        <w:t xml:space="preserve">2 ; </w:t>
      </w:r>
      <w:proofErr w:type="spellStart"/>
      <w:r w:rsidRPr="00544218">
        <w:rPr>
          <w:i/>
        </w:rPr>
        <w:t>Ndarisigaranye</w:t>
      </w:r>
      <w:proofErr w:type="spellEnd"/>
      <w:r w:rsidRPr="00544218">
        <w:rPr>
          <w:i/>
        </w:rPr>
        <w:t xml:space="preserve"> c</w:t>
      </w:r>
      <w:r w:rsidR="00E80A5E" w:rsidRPr="00E80A5E">
        <w:rPr>
          <w:i/>
        </w:rPr>
        <w:t>.</w:t>
      </w:r>
      <w:r w:rsidRPr="00544218">
        <w:rPr>
          <w:i/>
        </w:rPr>
        <w:t xml:space="preserve"> Burundi</w:t>
      </w:r>
      <w:r>
        <w:t>, par</w:t>
      </w:r>
      <w:r w:rsidR="00E80A5E" w:rsidRPr="00E80A5E">
        <w:t>.</w:t>
      </w:r>
      <w:r>
        <w:t xml:space="preserve"> 8</w:t>
      </w:r>
      <w:r w:rsidR="00E80A5E" w:rsidRPr="00E80A5E">
        <w:t>.</w:t>
      </w:r>
      <w:r>
        <w:t>2 ;</w:t>
      </w:r>
      <w:r w:rsidRPr="00FB55A3">
        <w:rPr>
          <w:i/>
        </w:rPr>
        <w:t xml:space="preserve"> </w:t>
      </w:r>
      <w:proofErr w:type="spellStart"/>
      <w:r w:rsidRPr="003145CC">
        <w:rPr>
          <w:i/>
        </w:rPr>
        <w:t>Kabura</w:t>
      </w:r>
      <w:proofErr w:type="spellEnd"/>
      <w:r w:rsidRPr="003145CC">
        <w:rPr>
          <w:i/>
        </w:rPr>
        <w:t xml:space="preserve"> c</w:t>
      </w:r>
      <w:r w:rsidR="00E80A5E" w:rsidRPr="00E80A5E">
        <w:rPr>
          <w:i/>
        </w:rPr>
        <w:t>.</w:t>
      </w:r>
      <w:r w:rsidRPr="003145CC">
        <w:rPr>
          <w:i/>
        </w:rPr>
        <w:t xml:space="preserve"> Burundi</w:t>
      </w:r>
      <w:r>
        <w:t xml:space="preserve"> (</w:t>
      </w:r>
      <w:hyperlink r:id="rId16" w:history="1">
        <w:r w:rsidRPr="00015B48">
          <w:rPr>
            <w:rStyle w:val="Lienhypertexte"/>
          </w:rPr>
          <w:t>CAT/C/59/D/549/2013</w:t>
        </w:r>
      </w:hyperlink>
      <w:r>
        <w:t>)</w:t>
      </w:r>
      <w:r w:rsidRPr="00FB55A3">
        <w:t>, par</w:t>
      </w:r>
      <w:r w:rsidR="00E80A5E" w:rsidRPr="00E80A5E">
        <w:t>.</w:t>
      </w:r>
      <w:r w:rsidR="00F72FDB">
        <w:t> </w:t>
      </w:r>
      <w:r>
        <w:t>7</w:t>
      </w:r>
      <w:r w:rsidR="00E80A5E" w:rsidRPr="00E80A5E">
        <w:t>.</w:t>
      </w:r>
      <w:r w:rsidRPr="00FB55A3">
        <w:t>2</w:t>
      </w:r>
      <w:r>
        <w:t xml:space="preserve"> ; et </w:t>
      </w:r>
      <w:proofErr w:type="spellStart"/>
      <w:r w:rsidRPr="00FB55A3">
        <w:rPr>
          <w:i/>
        </w:rPr>
        <w:t>Niyonzima</w:t>
      </w:r>
      <w:proofErr w:type="spellEnd"/>
      <w:r w:rsidRPr="00FB55A3">
        <w:rPr>
          <w:i/>
        </w:rPr>
        <w:t xml:space="preserve"> c</w:t>
      </w:r>
      <w:r w:rsidR="00E80A5E" w:rsidRPr="00E80A5E">
        <w:rPr>
          <w:i/>
        </w:rPr>
        <w:t>.</w:t>
      </w:r>
      <w:r w:rsidRPr="00FB55A3">
        <w:rPr>
          <w:i/>
        </w:rPr>
        <w:t xml:space="preserve"> Burundi</w:t>
      </w:r>
      <w:r w:rsidRPr="00FB55A3">
        <w:t xml:space="preserve"> </w:t>
      </w:r>
      <w:r>
        <w:t>(</w:t>
      </w:r>
      <w:hyperlink r:id="rId17" w:history="1">
        <w:r w:rsidRPr="00015B48">
          <w:rPr>
            <w:rStyle w:val="Lienhypertexte"/>
          </w:rPr>
          <w:t>CAT/C/53/D/514/2012</w:t>
        </w:r>
      </w:hyperlink>
      <w:r>
        <w:t>)</w:t>
      </w:r>
      <w:r w:rsidRPr="00FB55A3">
        <w:t>,</w:t>
      </w:r>
      <w:r>
        <w:t xml:space="preserve"> par</w:t>
      </w:r>
      <w:r w:rsidR="00E80A5E" w:rsidRPr="00E80A5E">
        <w:t>.</w:t>
      </w:r>
      <w:r w:rsidR="00F72FDB">
        <w:t> </w:t>
      </w:r>
      <w:r>
        <w:t>8</w:t>
      </w:r>
      <w:r w:rsidR="00E80A5E" w:rsidRPr="00E80A5E">
        <w:t>.</w:t>
      </w:r>
      <w:r>
        <w:t>2</w:t>
      </w:r>
      <w:r w:rsidR="00E80A5E" w:rsidRPr="00E80A5E">
        <w:t>.</w:t>
      </w:r>
    </w:p>
  </w:footnote>
  <w:footnote w:id="21">
    <w:p w14:paraId="7D96926E" w14:textId="0F512FD0" w:rsidR="00C35C59" w:rsidRPr="00B07BFC" w:rsidRDefault="00C35C59" w:rsidP="00C35C59">
      <w:pPr>
        <w:pStyle w:val="Notedebasdepage"/>
      </w:pPr>
      <w:r>
        <w:tab/>
      </w:r>
      <w:r w:rsidRPr="00E73881">
        <w:rPr>
          <w:rStyle w:val="Appelnotedebasdep"/>
        </w:rPr>
        <w:footnoteRef/>
      </w:r>
      <w:r w:rsidRPr="00B07BFC">
        <w:tab/>
      </w:r>
      <w:hyperlink r:id="rId18" w:history="1">
        <w:r w:rsidRPr="00015B48">
          <w:rPr>
            <w:rStyle w:val="Lienhypertexte"/>
          </w:rPr>
          <w:t>CAT/C/BDI/CO/1</w:t>
        </w:r>
      </w:hyperlink>
      <w:r w:rsidRPr="00B07BFC">
        <w:t>, par</w:t>
      </w:r>
      <w:r w:rsidR="00E80A5E" w:rsidRPr="00E80A5E">
        <w:t>.</w:t>
      </w:r>
      <w:r w:rsidRPr="00B07BFC">
        <w:t xml:space="preserve"> 10</w:t>
      </w:r>
      <w:r>
        <w:t xml:space="preserve"> ; et </w:t>
      </w:r>
      <w:hyperlink r:id="rId19" w:history="1">
        <w:r w:rsidRPr="00015B48">
          <w:rPr>
            <w:rStyle w:val="Lienhypertexte"/>
          </w:rPr>
          <w:t>CAT/C/BDI/CO/2</w:t>
        </w:r>
      </w:hyperlink>
      <w:r>
        <w:t>, par</w:t>
      </w:r>
      <w:r w:rsidR="00E80A5E" w:rsidRPr="00E80A5E">
        <w:t>.</w:t>
      </w:r>
      <w:r w:rsidR="00F72FDB">
        <w:t> </w:t>
      </w:r>
      <w:r>
        <w:t xml:space="preserve">8 et </w:t>
      </w:r>
      <w:proofErr w:type="spellStart"/>
      <w:r>
        <w:t>suiv</w:t>
      </w:r>
      <w:proofErr w:type="spellEnd"/>
      <w:r w:rsidR="00E80A5E" w:rsidRPr="00E80A5E">
        <w:t>.</w:t>
      </w:r>
    </w:p>
  </w:footnote>
  <w:footnote w:id="22">
    <w:p w14:paraId="147C81BF" w14:textId="38A3FD94" w:rsidR="00C35C59" w:rsidRPr="005F1273" w:rsidRDefault="00C35C59" w:rsidP="00C35C59">
      <w:pPr>
        <w:pStyle w:val="Notedebasdepage"/>
      </w:pPr>
      <w:r w:rsidRPr="00B07BFC">
        <w:tab/>
      </w:r>
      <w:r w:rsidRPr="00E73881">
        <w:rPr>
          <w:rStyle w:val="Appelnotedebasdep"/>
        </w:rPr>
        <w:footnoteRef/>
      </w:r>
      <w:r w:rsidRPr="005F1273">
        <w:tab/>
      </w:r>
      <w:proofErr w:type="spellStart"/>
      <w:r w:rsidRPr="005F1273">
        <w:rPr>
          <w:i/>
        </w:rPr>
        <w:t>Ndagijimana</w:t>
      </w:r>
      <w:proofErr w:type="spellEnd"/>
      <w:r w:rsidRPr="005F1273">
        <w:rPr>
          <w:i/>
        </w:rPr>
        <w:t xml:space="preserve"> c</w:t>
      </w:r>
      <w:r w:rsidR="00E80A5E" w:rsidRPr="00E80A5E">
        <w:rPr>
          <w:i/>
        </w:rPr>
        <w:t>.</w:t>
      </w:r>
      <w:r w:rsidRPr="005F1273">
        <w:rPr>
          <w:i/>
        </w:rPr>
        <w:t xml:space="preserve"> Burundi</w:t>
      </w:r>
      <w:r w:rsidRPr="005F1273">
        <w:t>, par</w:t>
      </w:r>
      <w:r w:rsidR="00E80A5E" w:rsidRPr="00E80A5E">
        <w:t>.</w:t>
      </w:r>
      <w:r w:rsidRPr="005F1273">
        <w:t xml:space="preserve"> 8</w:t>
      </w:r>
      <w:r w:rsidR="00E80A5E" w:rsidRPr="00E80A5E">
        <w:t>.</w:t>
      </w:r>
      <w:r w:rsidRPr="005F1273">
        <w:t xml:space="preserve">4 ; </w:t>
      </w:r>
      <w:proofErr w:type="spellStart"/>
      <w:r w:rsidRPr="005F1273">
        <w:rPr>
          <w:i/>
        </w:rPr>
        <w:t>Ndarisigaranye</w:t>
      </w:r>
      <w:proofErr w:type="spellEnd"/>
      <w:r w:rsidRPr="005F1273">
        <w:rPr>
          <w:i/>
        </w:rPr>
        <w:t xml:space="preserve"> c</w:t>
      </w:r>
      <w:r w:rsidR="00E80A5E" w:rsidRPr="00E80A5E">
        <w:rPr>
          <w:i/>
        </w:rPr>
        <w:t>.</w:t>
      </w:r>
      <w:r w:rsidRPr="005F1273">
        <w:rPr>
          <w:i/>
        </w:rPr>
        <w:t xml:space="preserve"> Burundi</w:t>
      </w:r>
      <w:r w:rsidRPr="005F1273">
        <w:t>, par</w:t>
      </w:r>
      <w:r w:rsidR="00E80A5E" w:rsidRPr="00E80A5E">
        <w:t>.</w:t>
      </w:r>
      <w:r w:rsidR="00F72FDB">
        <w:t> </w:t>
      </w:r>
      <w:r w:rsidRPr="005F1273">
        <w:t>8</w:t>
      </w:r>
      <w:r w:rsidR="00E80A5E" w:rsidRPr="00E80A5E">
        <w:t>.</w:t>
      </w:r>
      <w:r w:rsidRPr="005F1273">
        <w:t xml:space="preserve">3 ; </w:t>
      </w:r>
      <w:proofErr w:type="spellStart"/>
      <w:r w:rsidRPr="005F1273">
        <w:rPr>
          <w:i/>
        </w:rPr>
        <w:t>Niyonzima</w:t>
      </w:r>
      <w:proofErr w:type="spellEnd"/>
      <w:r w:rsidRPr="005F1273">
        <w:rPr>
          <w:i/>
        </w:rPr>
        <w:t xml:space="preserve"> c</w:t>
      </w:r>
      <w:r w:rsidR="00E80A5E" w:rsidRPr="00E80A5E">
        <w:rPr>
          <w:i/>
        </w:rPr>
        <w:t>.</w:t>
      </w:r>
      <w:r w:rsidRPr="005F1273">
        <w:rPr>
          <w:i/>
        </w:rPr>
        <w:t xml:space="preserve"> Burundi</w:t>
      </w:r>
      <w:r w:rsidRPr="005F1273">
        <w:t>, par</w:t>
      </w:r>
      <w:r w:rsidR="00E80A5E" w:rsidRPr="00E80A5E">
        <w:t>.</w:t>
      </w:r>
      <w:r w:rsidRPr="005F1273">
        <w:t> 8</w:t>
      </w:r>
      <w:r w:rsidR="00E80A5E" w:rsidRPr="00E80A5E">
        <w:t>.</w:t>
      </w:r>
      <w:r w:rsidRPr="005F1273">
        <w:t xml:space="preserve">4 ; et </w:t>
      </w:r>
      <w:r w:rsidRPr="005F1273">
        <w:rPr>
          <w:i/>
        </w:rPr>
        <w:t>E</w:t>
      </w:r>
      <w:r w:rsidR="00E80A5E" w:rsidRPr="00E80A5E">
        <w:rPr>
          <w:i/>
        </w:rPr>
        <w:t>.</w:t>
      </w:r>
      <w:r w:rsidRPr="005F1273">
        <w:rPr>
          <w:i/>
        </w:rPr>
        <w:t> N</w:t>
      </w:r>
      <w:r w:rsidR="00E80A5E" w:rsidRPr="00E80A5E">
        <w:rPr>
          <w:i/>
        </w:rPr>
        <w:t>.</w:t>
      </w:r>
      <w:r w:rsidRPr="005F1273">
        <w:rPr>
          <w:i/>
        </w:rPr>
        <w:t xml:space="preserve"> c</w:t>
      </w:r>
      <w:r w:rsidR="00E80A5E" w:rsidRPr="00E80A5E">
        <w:rPr>
          <w:i/>
        </w:rPr>
        <w:t>.</w:t>
      </w:r>
      <w:r w:rsidRPr="005F1273">
        <w:rPr>
          <w:i/>
        </w:rPr>
        <w:t xml:space="preserve"> Burundi</w:t>
      </w:r>
      <w:r w:rsidRPr="005F1273">
        <w:t xml:space="preserve"> (</w:t>
      </w:r>
      <w:hyperlink r:id="rId20" w:history="1">
        <w:r w:rsidRPr="00015B48">
          <w:rPr>
            <w:rStyle w:val="Lienhypertexte"/>
          </w:rPr>
          <w:t>CAT/C/56/D/578/2013</w:t>
        </w:r>
      </w:hyperlink>
      <w:r w:rsidRPr="005F1273">
        <w:t>), par</w:t>
      </w:r>
      <w:r w:rsidR="00E80A5E" w:rsidRPr="00E80A5E">
        <w:t>.</w:t>
      </w:r>
      <w:r w:rsidR="00F72FDB">
        <w:t> </w:t>
      </w:r>
      <w:r w:rsidRPr="005F1273">
        <w:t>7</w:t>
      </w:r>
      <w:r w:rsidR="00E80A5E" w:rsidRPr="00E80A5E">
        <w:t>.</w:t>
      </w:r>
      <w:r w:rsidRPr="005F1273">
        <w:t>5</w:t>
      </w:r>
      <w:r w:rsidR="00E80A5E" w:rsidRPr="00E80A5E">
        <w:t>.</w:t>
      </w:r>
    </w:p>
  </w:footnote>
  <w:footnote w:id="23">
    <w:p w14:paraId="078A3290" w14:textId="0643E764" w:rsidR="00C35C59" w:rsidRPr="005B5F80" w:rsidRDefault="00C35C59" w:rsidP="00C35C59">
      <w:pPr>
        <w:pStyle w:val="Notedebasdepage"/>
        <w:rPr>
          <w:lang w:val="en-GB"/>
        </w:rPr>
      </w:pPr>
      <w:r w:rsidRPr="005F1273">
        <w:tab/>
      </w:r>
      <w:r w:rsidRPr="00E73881">
        <w:rPr>
          <w:rStyle w:val="Appelnotedebasdep"/>
        </w:rPr>
        <w:footnoteRef/>
      </w:r>
      <w:r>
        <w:rPr>
          <w:lang w:val="en-GB"/>
        </w:rPr>
        <w:tab/>
      </w:r>
      <w:r w:rsidR="001A09BC">
        <w:fldChar w:fldCharType="begin"/>
      </w:r>
      <w:r w:rsidR="001A09BC" w:rsidRPr="001A09BC">
        <w:rPr>
          <w:lang w:val="en-US"/>
        </w:rPr>
        <w:instrText xml:space="preserve"> HYPERLINK "http://undocs.org/fr/CAT/C/BDI/CO/2" </w:instrText>
      </w:r>
      <w:r w:rsidR="001A09BC">
        <w:fldChar w:fldCharType="separate"/>
      </w:r>
      <w:r w:rsidRPr="00015B48">
        <w:rPr>
          <w:rStyle w:val="Lienhypertexte"/>
          <w:lang w:val="en-GB"/>
        </w:rPr>
        <w:t>CAT/C/BDI/CO/2</w:t>
      </w:r>
      <w:r w:rsidR="001A09BC">
        <w:rPr>
          <w:rStyle w:val="Lienhypertexte"/>
          <w:lang w:val="en-GB"/>
        </w:rPr>
        <w:fldChar w:fldCharType="end"/>
      </w:r>
      <w:r>
        <w:rPr>
          <w:lang w:val="en-GB"/>
        </w:rPr>
        <w:t>, par</w:t>
      </w:r>
      <w:r w:rsidR="00E80A5E" w:rsidRPr="00E80A5E">
        <w:rPr>
          <w:lang w:val="en-GB"/>
        </w:rPr>
        <w:t>.</w:t>
      </w:r>
      <w:r w:rsidR="00F72FDB">
        <w:rPr>
          <w:lang w:val="en-GB"/>
        </w:rPr>
        <w:t> </w:t>
      </w:r>
      <w:r w:rsidRPr="005B5F80">
        <w:rPr>
          <w:lang w:val="en-GB"/>
        </w:rPr>
        <w:t>10</w:t>
      </w:r>
      <w:r w:rsidR="00E80A5E" w:rsidRPr="00E80A5E">
        <w:rPr>
          <w:lang w:val="en-GB"/>
        </w:rPr>
        <w:t>.</w:t>
      </w:r>
    </w:p>
  </w:footnote>
  <w:footnote w:id="24">
    <w:p w14:paraId="5BC27E4D" w14:textId="6C770D41" w:rsidR="00C35C59" w:rsidRPr="009D383B" w:rsidRDefault="00C35C59" w:rsidP="00C35C59">
      <w:pPr>
        <w:pStyle w:val="Notedebasdepage"/>
      </w:pPr>
      <w:r w:rsidRPr="005B5F80">
        <w:rPr>
          <w:lang w:val="en-GB"/>
        </w:rPr>
        <w:tab/>
      </w:r>
      <w:r w:rsidRPr="00E73881">
        <w:rPr>
          <w:rStyle w:val="Appelnotedebasdep"/>
        </w:rPr>
        <w:footnoteRef/>
      </w:r>
      <w:r>
        <w:tab/>
      </w:r>
      <w:r w:rsidRPr="006843CD">
        <w:rPr>
          <w:i/>
        </w:rPr>
        <w:t>E</w:t>
      </w:r>
      <w:r w:rsidR="00E80A5E" w:rsidRPr="00E80A5E">
        <w:rPr>
          <w:i/>
        </w:rPr>
        <w:t>.</w:t>
      </w:r>
      <w:r>
        <w:rPr>
          <w:i/>
        </w:rPr>
        <w:t> </w:t>
      </w:r>
      <w:r w:rsidRPr="006843CD">
        <w:rPr>
          <w:i/>
        </w:rPr>
        <w:t>N</w:t>
      </w:r>
      <w:r w:rsidR="00E80A5E" w:rsidRPr="00E80A5E">
        <w:rPr>
          <w:i/>
        </w:rPr>
        <w:t>.</w:t>
      </w:r>
      <w:r w:rsidRPr="006843CD">
        <w:rPr>
          <w:i/>
        </w:rPr>
        <w:t xml:space="preserve"> c</w:t>
      </w:r>
      <w:r w:rsidR="00E80A5E" w:rsidRPr="00E80A5E">
        <w:rPr>
          <w:i/>
        </w:rPr>
        <w:t>.</w:t>
      </w:r>
      <w:r w:rsidRPr="006843CD">
        <w:rPr>
          <w:i/>
        </w:rPr>
        <w:t xml:space="preserve"> Burundi</w:t>
      </w:r>
      <w:r>
        <w:t>, par</w:t>
      </w:r>
      <w:r w:rsidR="00E80A5E" w:rsidRPr="00E80A5E">
        <w:t>.</w:t>
      </w:r>
      <w:r w:rsidR="00F72FDB">
        <w:t> </w:t>
      </w:r>
      <w:r>
        <w:t>7</w:t>
      </w:r>
      <w:r w:rsidR="00E80A5E" w:rsidRPr="00E80A5E">
        <w:t>.</w:t>
      </w:r>
      <w:r>
        <w:t>6</w:t>
      </w:r>
      <w:r w:rsidR="00E80A5E" w:rsidRPr="00E80A5E">
        <w:t>.</w:t>
      </w:r>
    </w:p>
  </w:footnote>
  <w:footnote w:id="25">
    <w:p w14:paraId="4F742E75" w14:textId="30C30F53" w:rsidR="00C35C59" w:rsidRPr="006024D5" w:rsidRDefault="00C35C59" w:rsidP="00C35C59">
      <w:pPr>
        <w:pStyle w:val="Notedebasdepage"/>
      </w:pPr>
      <w:r>
        <w:tab/>
      </w:r>
      <w:r w:rsidRPr="00E73881">
        <w:rPr>
          <w:rStyle w:val="Appelnotedebasdep"/>
        </w:rPr>
        <w:footnoteRef/>
      </w:r>
      <w:r>
        <w:tab/>
      </w:r>
      <w:proofErr w:type="spellStart"/>
      <w:r w:rsidRPr="00656691">
        <w:rPr>
          <w:i/>
        </w:rPr>
        <w:t>Ndagijimana</w:t>
      </w:r>
      <w:proofErr w:type="spellEnd"/>
      <w:r w:rsidRPr="00656691">
        <w:rPr>
          <w:i/>
        </w:rPr>
        <w:t xml:space="preserve"> c</w:t>
      </w:r>
      <w:r w:rsidR="00E80A5E" w:rsidRPr="00E80A5E">
        <w:rPr>
          <w:i/>
        </w:rPr>
        <w:t>.</w:t>
      </w:r>
      <w:r w:rsidRPr="00656691">
        <w:rPr>
          <w:i/>
        </w:rPr>
        <w:t xml:space="preserve"> Burundi</w:t>
      </w:r>
      <w:r w:rsidRPr="00656691">
        <w:t>, par</w:t>
      </w:r>
      <w:r w:rsidR="00E80A5E" w:rsidRPr="00E80A5E">
        <w:t>.</w:t>
      </w:r>
      <w:r w:rsidR="00F72FDB">
        <w:t> </w:t>
      </w:r>
      <w:r w:rsidRPr="00656691">
        <w:t>8</w:t>
      </w:r>
      <w:r w:rsidR="00E80A5E" w:rsidRPr="00E80A5E">
        <w:t>.</w:t>
      </w:r>
      <w:r>
        <w:t>5</w:t>
      </w:r>
      <w:r w:rsidRPr="00656691">
        <w:t xml:space="preserve"> ; </w:t>
      </w:r>
      <w:proofErr w:type="spellStart"/>
      <w:r w:rsidRPr="00656691">
        <w:rPr>
          <w:i/>
        </w:rPr>
        <w:t>Ndarisigaranye</w:t>
      </w:r>
      <w:proofErr w:type="spellEnd"/>
      <w:r w:rsidRPr="00656691">
        <w:rPr>
          <w:i/>
        </w:rPr>
        <w:t xml:space="preserve"> c</w:t>
      </w:r>
      <w:r w:rsidR="00E80A5E" w:rsidRPr="00E80A5E">
        <w:rPr>
          <w:i/>
        </w:rPr>
        <w:t>.</w:t>
      </w:r>
      <w:r w:rsidRPr="00656691">
        <w:rPr>
          <w:i/>
        </w:rPr>
        <w:t xml:space="preserve"> Burundi</w:t>
      </w:r>
      <w:r w:rsidRPr="00656691">
        <w:t>, par</w:t>
      </w:r>
      <w:r w:rsidR="00E80A5E" w:rsidRPr="00E80A5E">
        <w:t>.</w:t>
      </w:r>
      <w:r w:rsidRPr="00656691">
        <w:t xml:space="preserve"> 8</w:t>
      </w:r>
      <w:r w:rsidR="00E80A5E" w:rsidRPr="00E80A5E">
        <w:t>.</w:t>
      </w:r>
      <w:r>
        <w:t>5 ;</w:t>
      </w:r>
      <w:r w:rsidRPr="006024D5">
        <w:rPr>
          <w:i/>
        </w:rPr>
        <w:t xml:space="preserve"> </w:t>
      </w:r>
      <w:proofErr w:type="spellStart"/>
      <w:r w:rsidRPr="006024D5">
        <w:rPr>
          <w:i/>
        </w:rPr>
        <w:t>Kabura</w:t>
      </w:r>
      <w:proofErr w:type="spellEnd"/>
      <w:r w:rsidRPr="006024D5">
        <w:rPr>
          <w:i/>
        </w:rPr>
        <w:t xml:space="preserve"> c</w:t>
      </w:r>
      <w:r w:rsidR="00E80A5E" w:rsidRPr="00E80A5E">
        <w:rPr>
          <w:i/>
        </w:rPr>
        <w:t>.</w:t>
      </w:r>
      <w:r w:rsidRPr="006024D5">
        <w:rPr>
          <w:i/>
        </w:rPr>
        <w:t xml:space="preserve"> Burundi</w:t>
      </w:r>
      <w:r w:rsidRPr="006024D5">
        <w:t>, par</w:t>
      </w:r>
      <w:r w:rsidR="00E80A5E" w:rsidRPr="00E80A5E">
        <w:t>.</w:t>
      </w:r>
      <w:r w:rsidR="00F72FDB">
        <w:t> </w:t>
      </w:r>
      <w:r w:rsidRPr="006024D5">
        <w:t>7</w:t>
      </w:r>
      <w:r w:rsidR="00E80A5E" w:rsidRPr="00E80A5E">
        <w:t>.</w:t>
      </w:r>
      <w:r w:rsidRPr="006024D5">
        <w:t>4</w:t>
      </w:r>
      <w:r>
        <w:t xml:space="preserve"> ; et </w:t>
      </w:r>
      <w:proofErr w:type="spellStart"/>
      <w:r w:rsidRPr="006024D5">
        <w:rPr>
          <w:i/>
        </w:rPr>
        <w:t>Niyonzima</w:t>
      </w:r>
      <w:proofErr w:type="spellEnd"/>
      <w:r w:rsidRPr="006024D5">
        <w:rPr>
          <w:i/>
        </w:rPr>
        <w:t xml:space="preserve"> c</w:t>
      </w:r>
      <w:r w:rsidR="00E80A5E" w:rsidRPr="00E80A5E">
        <w:rPr>
          <w:i/>
        </w:rPr>
        <w:t>.</w:t>
      </w:r>
      <w:r w:rsidRPr="006024D5">
        <w:rPr>
          <w:i/>
        </w:rPr>
        <w:t xml:space="preserve"> Burundi</w:t>
      </w:r>
      <w:r w:rsidRPr="006024D5">
        <w:t>, par</w:t>
      </w:r>
      <w:r w:rsidR="00E80A5E" w:rsidRPr="00E80A5E">
        <w:t>.</w:t>
      </w:r>
      <w:r w:rsidR="00F72FDB">
        <w:t> </w:t>
      </w:r>
      <w:r w:rsidRPr="006024D5">
        <w:t>8</w:t>
      </w:r>
      <w:r w:rsidR="00E80A5E" w:rsidRPr="00E80A5E">
        <w:t>.</w:t>
      </w:r>
      <w:r w:rsidRPr="006024D5">
        <w:t>4</w:t>
      </w:r>
      <w:r w:rsidR="00E80A5E" w:rsidRPr="00E80A5E">
        <w:t>.</w:t>
      </w:r>
    </w:p>
  </w:footnote>
  <w:footnote w:id="26">
    <w:p w14:paraId="37271A38" w14:textId="3094E8DA" w:rsidR="00C35C59" w:rsidRPr="006024D5" w:rsidRDefault="00C35C59" w:rsidP="00C35C59">
      <w:pPr>
        <w:pStyle w:val="Notedebasdepage"/>
      </w:pPr>
      <w:r>
        <w:tab/>
      </w:r>
      <w:r w:rsidRPr="00E73881">
        <w:rPr>
          <w:rStyle w:val="Appelnotedebasdep"/>
        </w:rPr>
        <w:footnoteRef/>
      </w:r>
      <w:r>
        <w:tab/>
      </w:r>
      <w:proofErr w:type="spellStart"/>
      <w:r w:rsidRPr="006024D5">
        <w:rPr>
          <w:i/>
        </w:rPr>
        <w:t>Niyonzima</w:t>
      </w:r>
      <w:proofErr w:type="spellEnd"/>
      <w:r w:rsidRPr="006024D5">
        <w:rPr>
          <w:i/>
        </w:rPr>
        <w:t xml:space="preserve"> c</w:t>
      </w:r>
      <w:r w:rsidR="00E80A5E" w:rsidRPr="00E80A5E">
        <w:rPr>
          <w:i/>
        </w:rPr>
        <w:t>.</w:t>
      </w:r>
      <w:r w:rsidRPr="006024D5">
        <w:rPr>
          <w:i/>
        </w:rPr>
        <w:t xml:space="preserve"> Burundi</w:t>
      </w:r>
      <w:r w:rsidRPr="006024D5">
        <w:t>, par</w:t>
      </w:r>
      <w:r w:rsidR="00E80A5E" w:rsidRPr="00E80A5E">
        <w:t>.</w:t>
      </w:r>
      <w:r w:rsidR="00E80A5E">
        <w:t> </w:t>
      </w:r>
      <w:r w:rsidRPr="006024D5">
        <w:t>8</w:t>
      </w:r>
      <w:r w:rsidR="00E80A5E" w:rsidRPr="00E80A5E">
        <w:t>.</w:t>
      </w:r>
      <w:r w:rsidRPr="006024D5">
        <w:t>5</w:t>
      </w:r>
      <w:r w:rsidR="00E80A5E" w:rsidRPr="00E80A5E">
        <w:t>.</w:t>
      </w:r>
    </w:p>
  </w:footnote>
  <w:footnote w:id="27">
    <w:p w14:paraId="72259668" w14:textId="0634DF04" w:rsidR="00C35C59" w:rsidRPr="006024D5" w:rsidRDefault="00C35C59" w:rsidP="00C35C59">
      <w:pPr>
        <w:pStyle w:val="Notedebasdepage"/>
      </w:pPr>
      <w:r>
        <w:tab/>
      </w:r>
      <w:r w:rsidRPr="00E73881">
        <w:rPr>
          <w:rStyle w:val="Appelnotedebasdep"/>
        </w:rPr>
        <w:footnoteRef/>
      </w:r>
      <w:r>
        <w:tab/>
      </w:r>
      <w:r w:rsidRPr="00A213D5">
        <w:rPr>
          <w:iCs/>
        </w:rPr>
        <w:t>Ibid</w:t>
      </w:r>
      <w:r w:rsidR="00E80A5E" w:rsidRPr="00E80A5E">
        <w:rPr>
          <w:iCs/>
        </w:rPr>
        <w:t>.</w:t>
      </w:r>
      <w:r w:rsidRPr="00302D44">
        <w:rPr>
          <w:iCs/>
        </w:rPr>
        <w:t>,</w:t>
      </w:r>
      <w:r w:rsidRPr="006024D5">
        <w:t xml:space="preserve"> par</w:t>
      </w:r>
      <w:r w:rsidR="00E80A5E" w:rsidRPr="00E80A5E">
        <w:t>.</w:t>
      </w:r>
      <w:r w:rsidR="00E80A5E">
        <w:t> </w:t>
      </w:r>
      <w:r w:rsidRPr="006024D5">
        <w:t>8</w:t>
      </w:r>
      <w:r w:rsidR="00E80A5E" w:rsidRPr="00E80A5E">
        <w:t>.</w:t>
      </w:r>
      <w:r w:rsidRPr="006024D5">
        <w:t>6</w:t>
      </w:r>
      <w:r w:rsidR="00E80A5E" w:rsidRPr="00E80A5E">
        <w:t>.</w:t>
      </w:r>
      <w:r w:rsidRPr="006024D5">
        <w:t xml:space="preserve"> Voir également </w:t>
      </w:r>
      <w:proofErr w:type="spellStart"/>
      <w:r w:rsidRPr="006024D5">
        <w:rPr>
          <w:i/>
        </w:rPr>
        <w:t>Ntikarahera</w:t>
      </w:r>
      <w:proofErr w:type="spellEnd"/>
      <w:r w:rsidRPr="006024D5">
        <w:rPr>
          <w:i/>
        </w:rPr>
        <w:t xml:space="preserve"> c</w:t>
      </w:r>
      <w:r w:rsidR="00E80A5E" w:rsidRPr="00E80A5E">
        <w:rPr>
          <w:i/>
        </w:rPr>
        <w:t>.</w:t>
      </w:r>
      <w:r w:rsidRPr="006024D5">
        <w:rPr>
          <w:i/>
        </w:rPr>
        <w:t xml:space="preserve"> Burundi</w:t>
      </w:r>
      <w:r w:rsidRPr="006024D5">
        <w:t>, par</w:t>
      </w:r>
      <w:r w:rsidR="00E80A5E" w:rsidRPr="00E80A5E">
        <w:t>.</w:t>
      </w:r>
      <w:r w:rsidR="00E80A5E">
        <w:t> </w:t>
      </w:r>
      <w:r w:rsidRPr="006024D5">
        <w:t>6</w:t>
      </w:r>
      <w:r w:rsidR="00E80A5E" w:rsidRPr="00E80A5E">
        <w:t>.</w:t>
      </w:r>
      <w:r w:rsidRPr="006024D5">
        <w:t>5</w:t>
      </w:r>
      <w:r w:rsidR="00E80A5E" w:rsidRPr="00E80A5E">
        <w:t>.</w:t>
      </w:r>
    </w:p>
  </w:footnote>
  <w:footnote w:id="28">
    <w:p w14:paraId="2707F93C" w14:textId="45F877C5" w:rsidR="00C35C59" w:rsidRPr="003946D2" w:rsidRDefault="00C35C59" w:rsidP="00C35C59">
      <w:pPr>
        <w:pStyle w:val="Notedebasdepage"/>
      </w:pPr>
      <w:r>
        <w:tab/>
      </w:r>
      <w:r w:rsidRPr="00E73881">
        <w:rPr>
          <w:rStyle w:val="Appelnotedebasdep"/>
        </w:rPr>
        <w:footnoteRef/>
      </w:r>
      <w:r>
        <w:tab/>
      </w:r>
      <w:proofErr w:type="spellStart"/>
      <w:r w:rsidRPr="00BE134F">
        <w:rPr>
          <w:i/>
        </w:rPr>
        <w:t>Ndarisigaranye</w:t>
      </w:r>
      <w:proofErr w:type="spellEnd"/>
      <w:r w:rsidRPr="00BE134F">
        <w:rPr>
          <w:i/>
        </w:rPr>
        <w:t xml:space="preserve"> c</w:t>
      </w:r>
      <w:r w:rsidR="00E80A5E" w:rsidRPr="00E80A5E">
        <w:rPr>
          <w:i/>
        </w:rPr>
        <w:t>.</w:t>
      </w:r>
      <w:r w:rsidRPr="00BE134F">
        <w:rPr>
          <w:i/>
        </w:rPr>
        <w:t xml:space="preserve"> Burundi</w:t>
      </w:r>
      <w:r>
        <w:t>, par</w:t>
      </w:r>
      <w:r w:rsidR="00E80A5E" w:rsidRPr="00E80A5E">
        <w:t>.</w:t>
      </w:r>
      <w:r w:rsidR="00E80A5E">
        <w:t> </w:t>
      </w:r>
      <w:r>
        <w:t>8</w:t>
      </w:r>
      <w:r w:rsidR="00E80A5E" w:rsidRPr="00E80A5E">
        <w:t>.</w:t>
      </w:r>
      <w:r>
        <w:t>7</w:t>
      </w:r>
      <w:r w:rsidR="00E80A5E" w:rsidRPr="00E80A5E">
        <w:t>.</w:t>
      </w:r>
    </w:p>
  </w:footnote>
  <w:footnote w:id="29">
    <w:p w14:paraId="77F14A89" w14:textId="7FABB529" w:rsidR="00C35C59" w:rsidRPr="00EF07A5" w:rsidRDefault="00C35C59" w:rsidP="00C35C59">
      <w:pPr>
        <w:pStyle w:val="Notedebasdepage"/>
      </w:pPr>
      <w:r>
        <w:tab/>
      </w:r>
      <w:r w:rsidRPr="00E73881">
        <w:rPr>
          <w:rStyle w:val="Appelnotedebasdep"/>
        </w:rPr>
        <w:footnoteRef/>
      </w:r>
      <w:r>
        <w:tab/>
      </w:r>
      <w:r w:rsidRPr="00191E87">
        <w:rPr>
          <w:iCs/>
        </w:rPr>
        <w:t>Ibid</w:t>
      </w:r>
      <w:r w:rsidR="00E80A5E" w:rsidRPr="00E80A5E">
        <w:rPr>
          <w:iCs/>
        </w:rPr>
        <w:t>.</w:t>
      </w:r>
      <w:r>
        <w:t>, par</w:t>
      </w:r>
      <w:r w:rsidR="00E80A5E" w:rsidRPr="00E80A5E">
        <w:t>.</w:t>
      </w:r>
      <w:r w:rsidR="00E80A5E">
        <w:t> </w:t>
      </w:r>
      <w:r>
        <w:t>8</w:t>
      </w:r>
      <w:r w:rsidR="00E80A5E" w:rsidRPr="00E80A5E">
        <w:t>.</w:t>
      </w:r>
      <w:r>
        <w:t>8 ;</w:t>
      </w:r>
      <w:r w:rsidRPr="009D383B">
        <w:t xml:space="preserve"> </w:t>
      </w:r>
      <w:proofErr w:type="spellStart"/>
      <w:r w:rsidRPr="009D383B">
        <w:rPr>
          <w:i/>
        </w:rPr>
        <w:t>Niyonzima</w:t>
      </w:r>
      <w:proofErr w:type="spellEnd"/>
      <w:r w:rsidRPr="009D383B">
        <w:rPr>
          <w:i/>
        </w:rPr>
        <w:t xml:space="preserve"> c</w:t>
      </w:r>
      <w:r w:rsidR="00E80A5E" w:rsidRPr="00E80A5E">
        <w:rPr>
          <w:i/>
        </w:rPr>
        <w:t>.</w:t>
      </w:r>
      <w:r w:rsidRPr="009D383B">
        <w:rPr>
          <w:i/>
        </w:rPr>
        <w:t xml:space="preserve"> Burundi</w:t>
      </w:r>
      <w:r w:rsidRPr="009D383B">
        <w:t>, par</w:t>
      </w:r>
      <w:r w:rsidR="00E80A5E" w:rsidRPr="00E80A5E">
        <w:t>.</w:t>
      </w:r>
      <w:r w:rsidR="00E80A5E">
        <w:t> </w:t>
      </w:r>
      <w:r w:rsidRPr="009D383B">
        <w:t>8</w:t>
      </w:r>
      <w:r w:rsidR="00E80A5E" w:rsidRPr="00E80A5E">
        <w:t>.</w:t>
      </w:r>
      <w:r w:rsidRPr="009D383B">
        <w:t>8</w:t>
      </w:r>
      <w:r>
        <w:t> ;</w:t>
      </w:r>
      <w:r w:rsidRPr="009D383B">
        <w:t xml:space="preserve"> </w:t>
      </w:r>
      <w:proofErr w:type="spellStart"/>
      <w:r w:rsidRPr="009D383B">
        <w:rPr>
          <w:i/>
        </w:rPr>
        <w:t>Ntikarahera</w:t>
      </w:r>
      <w:proofErr w:type="spellEnd"/>
      <w:r w:rsidRPr="009D383B">
        <w:rPr>
          <w:i/>
        </w:rPr>
        <w:t xml:space="preserve"> c</w:t>
      </w:r>
      <w:r w:rsidR="00E80A5E" w:rsidRPr="00E80A5E">
        <w:rPr>
          <w:i/>
        </w:rPr>
        <w:t>.</w:t>
      </w:r>
      <w:r>
        <w:rPr>
          <w:i/>
        </w:rPr>
        <w:t xml:space="preserve"> </w:t>
      </w:r>
      <w:r w:rsidRPr="009D383B">
        <w:rPr>
          <w:i/>
        </w:rPr>
        <w:t>Burundi</w:t>
      </w:r>
      <w:r>
        <w:t>, par</w:t>
      </w:r>
      <w:r w:rsidR="00E80A5E" w:rsidRPr="00E80A5E">
        <w:t>.</w:t>
      </w:r>
      <w:r>
        <w:t> 6</w:t>
      </w:r>
      <w:r w:rsidR="00E80A5E" w:rsidRPr="00E80A5E">
        <w:t>.</w:t>
      </w:r>
      <w:r>
        <w:t xml:space="preserve">6 ; et </w:t>
      </w:r>
      <w:r w:rsidRPr="00301EE9">
        <w:rPr>
          <w:i/>
        </w:rPr>
        <w:t>M</w:t>
      </w:r>
      <w:r w:rsidR="00E80A5E" w:rsidRPr="00E80A5E">
        <w:rPr>
          <w:i/>
        </w:rPr>
        <w:t>.</w:t>
      </w:r>
      <w:r>
        <w:rPr>
          <w:i/>
        </w:rPr>
        <w:t> </w:t>
      </w:r>
      <w:r w:rsidRPr="00301EE9">
        <w:rPr>
          <w:i/>
        </w:rPr>
        <w:t>D</w:t>
      </w:r>
      <w:r w:rsidR="00E80A5E" w:rsidRPr="00E80A5E">
        <w:rPr>
          <w:i/>
        </w:rPr>
        <w:t>.</w:t>
      </w:r>
      <w:r w:rsidRPr="00301EE9">
        <w:rPr>
          <w:i/>
        </w:rPr>
        <w:t xml:space="preserve"> c</w:t>
      </w:r>
      <w:r w:rsidR="00E80A5E" w:rsidRPr="00E80A5E">
        <w:rPr>
          <w:i/>
        </w:rPr>
        <w:t>.</w:t>
      </w:r>
      <w:r w:rsidRPr="00301EE9">
        <w:rPr>
          <w:i/>
        </w:rPr>
        <w:t xml:space="preserve"> Burundi</w:t>
      </w:r>
      <w:r>
        <w:t>, par</w:t>
      </w:r>
      <w:r w:rsidR="00E80A5E" w:rsidRPr="00E80A5E">
        <w:t>.</w:t>
      </w:r>
      <w:r w:rsidR="00E80A5E">
        <w:t> </w:t>
      </w:r>
      <w:r>
        <w:t>6</w:t>
      </w:r>
      <w:r w:rsidR="00E80A5E" w:rsidRPr="00E80A5E">
        <w:t>.</w:t>
      </w:r>
      <w:r>
        <w:t>8</w:t>
      </w:r>
      <w:r w:rsidR="00E80A5E" w:rsidRPr="00E80A5E">
        <w:t>.</w:t>
      </w:r>
    </w:p>
  </w:footnote>
  <w:footnote w:id="30">
    <w:p w14:paraId="7EC55E81" w14:textId="07907DD7" w:rsidR="00C35C59" w:rsidRPr="00477E16" w:rsidRDefault="00C35C59" w:rsidP="00C35C59">
      <w:pPr>
        <w:pStyle w:val="Notedebasdepage"/>
      </w:pPr>
      <w:r>
        <w:tab/>
      </w:r>
      <w:r w:rsidRPr="00E73881">
        <w:rPr>
          <w:rStyle w:val="Appelnotedebasdep"/>
        </w:rPr>
        <w:footnoteRef/>
      </w:r>
      <w:r w:rsidRPr="00477E16">
        <w:tab/>
      </w:r>
      <w:proofErr w:type="spellStart"/>
      <w:r w:rsidRPr="00544218">
        <w:rPr>
          <w:i/>
        </w:rPr>
        <w:t>Ndarisigaranye</w:t>
      </w:r>
      <w:proofErr w:type="spellEnd"/>
      <w:r w:rsidRPr="00544218">
        <w:rPr>
          <w:i/>
        </w:rPr>
        <w:t xml:space="preserve"> c</w:t>
      </w:r>
      <w:r w:rsidR="00E80A5E" w:rsidRPr="00E80A5E">
        <w:rPr>
          <w:i/>
        </w:rPr>
        <w:t>.</w:t>
      </w:r>
      <w:r w:rsidRPr="00544218">
        <w:rPr>
          <w:i/>
        </w:rPr>
        <w:t xml:space="preserve"> Burundi</w:t>
      </w:r>
      <w:r>
        <w:t>, par</w:t>
      </w:r>
      <w:r w:rsidR="00E80A5E" w:rsidRPr="00E80A5E">
        <w:t>.</w:t>
      </w:r>
      <w:r>
        <w:t xml:space="preserve"> 7 ;</w:t>
      </w:r>
      <w:r w:rsidRPr="00477E16">
        <w:rPr>
          <w:i/>
        </w:rPr>
        <w:t xml:space="preserve"> </w:t>
      </w:r>
      <w:proofErr w:type="spellStart"/>
      <w:r w:rsidRPr="00544218">
        <w:rPr>
          <w:i/>
        </w:rPr>
        <w:t>Ndagijimana</w:t>
      </w:r>
      <w:proofErr w:type="spellEnd"/>
      <w:r w:rsidRPr="00544218">
        <w:rPr>
          <w:i/>
        </w:rPr>
        <w:t xml:space="preserve"> c</w:t>
      </w:r>
      <w:r w:rsidR="00E80A5E" w:rsidRPr="00E80A5E">
        <w:rPr>
          <w:i/>
        </w:rPr>
        <w:t>.</w:t>
      </w:r>
      <w:r w:rsidRPr="00544218">
        <w:rPr>
          <w:i/>
        </w:rPr>
        <w:t xml:space="preserve"> Burundi</w:t>
      </w:r>
      <w:r>
        <w:t>, par</w:t>
      </w:r>
      <w:r w:rsidR="00E80A5E" w:rsidRPr="00E80A5E">
        <w:t>.</w:t>
      </w:r>
      <w:r w:rsidR="00E80A5E">
        <w:t> </w:t>
      </w:r>
      <w:r>
        <w:t>7 ;</w:t>
      </w:r>
      <w:r w:rsidRPr="00477E16">
        <w:rPr>
          <w:i/>
        </w:rPr>
        <w:t xml:space="preserve"> </w:t>
      </w:r>
      <w:proofErr w:type="spellStart"/>
      <w:r w:rsidRPr="00544218">
        <w:rPr>
          <w:i/>
        </w:rPr>
        <w:t>Ntikarahera</w:t>
      </w:r>
      <w:proofErr w:type="spellEnd"/>
      <w:r w:rsidRPr="00544218">
        <w:rPr>
          <w:i/>
        </w:rPr>
        <w:t xml:space="preserve"> c</w:t>
      </w:r>
      <w:r w:rsidR="00E80A5E" w:rsidRPr="00E80A5E">
        <w:rPr>
          <w:i/>
        </w:rPr>
        <w:t>.</w:t>
      </w:r>
      <w:r w:rsidRPr="00544218">
        <w:rPr>
          <w:i/>
        </w:rPr>
        <w:t xml:space="preserve"> Burundi</w:t>
      </w:r>
      <w:r>
        <w:t>, par</w:t>
      </w:r>
      <w:r w:rsidR="00E80A5E" w:rsidRPr="00E80A5E">
        <w:t>.</w:t>
      </w:r>
      <w:r w:rsidR="00E80A5E">
        <w:t> </w:t>
      </w:r>
      <w:r>
        <w:t>4</w:t>
      </w:r>
      <w:r w:rsidR="00E80A5E" w:rsidRPr="00E80A5E">
        <w:t>.</w:t>
      </w:r>
      <w:r>
        <w:t xml:space="preserve"> ; </w:t>
      </w:r>
      <w:r w:rsidRPr="00477E16">
        <w:rPr>
          <w:i/>
        </w:rPr>
        <w:t>O</w:t>
      </w:r>
      <w:r w:rsidR="00E80A5E" w:rsidRPr="00E80A5E">
        <w:rPr>
          <w:i/>
        </w:rPr>
        <w:t>.</w:t>
      </w:r>
      <w:r>
        <w:rPr>
          <w:i/>
        </w:rPr>
        <w:t> </w:t>
      </w:r>
      <w:r w:rsidRPr="00477E16">
        <w:rPr>
          <w:i/>
        </w:rPr>
        <w:t>N</w:t>
      </w:r>
      <w:r w:rsidR="00E80A5E" w:rsidRPr="00E80A5E">
        <w:rPr>
          <w:i/>
        </w:rPr>
        <w:t>.</w:t>
      </w:r>
      <w:r w:rsidRPr="00477E16">
        <w:rPr>
          <w:i/>
        </w:rPr>
        <w:t xml:space="preserve"> c</w:t>
      </w:r>
      <w:r w:rsidR="00E80A5E" w:rsidRPr="00E80A5E">
        <w:rPr>
          <w:i/>
        </w:rPr>
        <w:t>.</w:t>
      </w:r>
      <w:r w:rsidRPr="00477E16">
        <w:rPr>
          <w:i/>
        </w:rPr>
        <w:t xml:space="preserve"> Burundi</w:t>
      </w:r>
      <w:r w:rsidRPr="00477E16">
        <w:t xml:space="preserve"> (</w:t>
      </w:r>
      <w:hyperlink r:id="rId21" w:history="1">
        <w:r w:rsidRPr="00015B48">
          <w:rPr>
            <w:rStyle w:val="Lienhypertexte"/>
          </w:rPr>
          <w:t>CAT/C/71/D/843/2017</w:t>
        </w:r>
      </w:hyperlink>
      <w:r w:rsidRPr="00477E16">
        <w:t>), par</w:t>
      </w:r>
      <w:r w:rsidR="00E80A5E" w:rsidRPr="00E80A5E">
        <w:t>.</w:t>
      </w:r>
      <w:r w:rsidR="00E80A5E">
        <w:t> </w:t>
      </w:r>
      <w:r>
        <w:t xml:space="preserve">4 ; </w:t>
      </w:r>
      <w:r w:rsidRPr="004B3F64">
        <w:rPr>
          <w:i/>
        </w:rPr>
        <w:t>R</w:t>
      </w:r>
      <w:r w:rsidR="00E80A5E" w:rsidRPr="00E80A5E">
        <w:rPr>
          <w:i/>
        </w:rPr>
        <w:t>.</w:t>
      </w:r>
      <w:r>
        <w:rPr>
          <w:i/>
        </w:rPr>
        <w:t> </w:t>
      </w:r>
      <w:r w:rsidRPr="004B3F64">
        <w:rPr>
          <w:i/>
        </w:rPr>
        <w:t>M</w:t>
      </w:r>
      <w:r w:rsidR="00E80A5E" w:rsidRPr="00E80A5E">
        <w:rPr>
          <w:i/>
        </w:rPr>
        <w:t>.</w:t>
      </w:r>
      <w:r w:rsidRPr="004B3F64">
        <w:rPr>
          <w:i/>
        </w:rPr>
        <w:t xml:space="preserve"> c</w:t>
      </w:r>
      <w:r w:rsidR="00E80A5E" w:rsidRPr="00E80A5E">
        <w:rPr>
          <w:i/>
        </w:rPr>
        <w:t>.</w:t>
      </w:r>
      <w:r w:rsidRPr="004B3F64">
        <w:rPr>
          <w:i/>
        </w:rPr>
        <w:t xml:space="preserve"> Burundi</w:t>
      </w:r>
      <w:r>
        <w:t xml:space="preserve"> (</w:t>
      </w:r>
      <w:hyperlink r:id="rId22" w:history="1">
        <w:r w:rsidRPr="00015B48">
          <w:rPr>
            <w:rStyle w:val="Lienhypertexte"/>
          </w:rPr>
          <w:t>CAT/C/72/D/793/2017</w:t>
        </w:r>
      </w:hyperlink>
      <w:r>
        <w:t>), par</w:t>
      </w:r>
      <w:r w:rsidR="00E80A5E" w:rsidRPr="00E80A5E">
        <w:t>.</w:t>
      </w:r>
      <w:r w:rsidR="00E80A5E">
        <w:t> </w:t>
      </w:r>
      <w:r>
        <w:t xml:space="preserve">4 ; </w:t>
      </w:r>
      <w:proofErr w:type="spellStart"/>
      <w:r w:rsidRPr="004B3F64">
        <w:rPr>
          <w:i/>
        </w:rPr>
        <w:t>Ndayirukiye</w:t>
      </w:r>
      <w:proofErr w:type="spellEnd"/>
      <w:r w:rsidRPr="004B3F64">
        <w:rPr>
          <w:i/>
        </w:rPr>
        <w:t xml:space="preserve"> c</w:t>
      </w:r>
      <w:r w:rsidR="00E80A5E" w:rsidRPr="00E80A5E">
        <w:rPr>
          <w:i/>
        </w:rPr>
        <w:t>.</w:t>
      </w:r>
      <w:r w:rsidRPr="004B3F64">
        <w:rPr>
          <w:i/>
        </w:rPr>
        <w:t xml:space="preserve"> Burundi</w:t>
      </w:r>
      <w:r>
        <w:t xml:space="preserve"> (</w:t>
      </w:r>
      <w:hyperlink r:id="rId23" w:history="1">
        <w:r w:rsidRPr="00015B48">
          <w:rPr>
            <w:rStyle w:val="Lienhypertexte"/>
          </w:rPr>
          <w:t>CAT/C/73/D/952/2019</w:t>
        </w:r>
      </w:hyperlink>
      <w:r>
        <w:t>), par</w:t>
      </w:r>
      <w:r w:rsidR="00E80A5E" w:rsidRPr="00E80A5E">
        <w:t>.</w:t>
      </w:r>
      <w:r w:rsidR="00E80A5E">
        <w:t> </w:t>
      </w:r>
      <w:r>
        <w:t xml:space="preserve">7 ; et </w:t>
      </w:r>
      <w:r w:rsidRPr="00477E16">
        <w:rPr>
          <w:i/>
        </w:rPr>
        <w:t>M</w:t>
      </w:r>
      <w:r w:rsidR="00E80A5E" w:rsidRPr="00E80A5E">
        <w:rPr>
          <w:i/>
        </w:rPr>
        <w:t>.</w:t>
      </w:r>
      <w:r>
        <w:rPr>
          <w:i/>
        </w:rPr>
        <w:t> </w:t>
      </w:r>
      <w:r w:rsidRPr="00477E16">
        <w:rPr>
          <w:i/>
        </w:rPr>
        <w:t>D</w:t>
      </w:r>
      <w:r w:rsidR="00E80A5E" w:rsidRPr="00E80A5E">
        <w:rPr>
          <w:i/>
        </w:rPr>
        <w:t>.</w:t>
      </w:r>
      <w:r w:rsidRPr="00477E16">
        <w:rPr>
          <w:i/>
        </w:rPr>
        <w:t xml:space="preserve"> c</w:t>
      </w:r>
      <w:r w:rsidR="00E80A5E" w:rsidRPr="00E80A5E">
        <w:rPr>
          <w:i/>
        </w:rPr>
        <w:t>.</w:t>
      </w:r>
      <w:r w:rsidRPr="00477E16">
        <w:rPr>
          <w:i/>
        </w:rPr>
        <w:t xml:space="preserve"> Burundi</w:t>
      </w:r>
      <w:r>
        <w:t>, par</w:t>
      </w:r>
      <w:r w:rsidR="00E80A5E" w:rsidRPr="00E80A5E">
        <w:t>.</w:t>
      </w:r>
      <w:r w:rsidR="00E80A5E">
        <w:t> </w:t>
      </w:r>
      <w:r>
        <w:t>4</w:t>
      </w:r>
      <w:r w:rsidR="00E80A5E" w:rsidRPr="00E80A5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5084" w14:textId="79DE57F7" w:rsidR="00C35C59" w:rsidRPr="00C35C59" w:rsidRDefault="00501E96">
    <w:pPr>
      <w:pStyle w:val="En-tte"/>
    </w:pPr>
    <w:fldSimple w:instr=" TITLE  \* MERGEFORMAT ">
      <w:r w:rsidR="001A09BC">
        <w:t>CAT/C/74/D/795/2017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8228" w14:textId="26D4B192" w:rsidR="00C35C59" w:rsidRPr="00C35C59" w:rsidRDefault="00501E96" w:rsidP="00C35C59">
    <w:pPr>
      <w:pStyle w:val="En-tte"/>
      <w:jc w:val="right"/>
    </w:pPr>
    <w:fldSimple w:instr=" TITLE  \* MERGEFORMAT ">
      <w:r w:rsidR="001A09BC">
        <w:t>CAT/C/74/D/795/2017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4"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7" w15:restartNumberingAfterBreak="0">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0"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1"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15:restartNumberingAfterBreak="0">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26"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27" w15:restartNumberingAfterBreak="0">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15:restartNumberingAfterBreak="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3" w15:restartNumberingAfterBreak="0">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5" w15:restartNumberingAfterBreak="0">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36"/>
  </w:num>
  <w:num w:numId="2">
    <w:abstractNumId w:val="22"/>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6"/>
  </w:num>
  <w:num w:numId="15">
    <w:abstractNumId w:val="22"/>
  </w:num>
  <w:num w:numId="16">
    <w:abstractNumId w:val="15"/>
  </w:num>
  <w:num w:numId="17">
    <w:abstractNumId w:val="36"/>
  </w:num>
  <w:num w:numId="18">
    <w:abstractNumId w:val="22"/>
  </w:num>
  <w:num w:numId="19">
    <w:abstractNumId w:val="15"/>
  </w:num>
  <w:num w:numId="20">
    <w:abstractNumId w:val="40"/>
  </w:num>
  <w:num w:numId="21">
    <w:abstractNumId w:val="19"/>
  </w:num>
  <w:num w:numId="22">
    <w:abstractNumId w:val="12"/>
  </w:num>
  <w:num w:numId="23">
    <w:abstractNumId w:val="21"/>
  </w:num>
  <w:num w:numId="24">
    <w:abstractNumId w:val="25"/>
  </w:num>
  <w:num w:numId="25">
    <w:abstractNumId w:val="38"/>
  </w:num>
  <w:num w:numId="26">
    <w:abstractNumId w:val="31"/>
  </w:num>
  <w:num w:numId="27">
    <w:abstractNumId w:val="41"/>
  </w:num>
  <w:num w:numId="28">
    <w:abstractNumId w:val="29"/>
  </w:num>
  <w:num w:numId="29">
    <w:abstractNumId w:val="34"/>
  </w:num>
  <w:num w:numId="30">
    <w:abstractNumId w:val="23"/>
  </w:num>
  <w:num w:numId="31">
    <w:abstractNumId w:val="20"/>
  </w:num>
  <w:num w:numId="32">
    <w:abstractNumId w:val="11"/>
  </w:num>
  <w:num w:numId="33">
    <w:abstractNumId w:val="16"/>
  </w:num>
  <w:num w:numId="34">
    <w:abstractNumId w:val="13"/>
  </w:num>
  <w:num w:numId="35">
    <w:abstractNumId w:val="26"/>
  </w:num>
  <w:num w:numId="36">
    <w:abstractNumId w:val="32"/>
  </w:num>
  <w:num w:numId="37">
    <w:abstractNumId w:val="14"/>
  </w:num>
  <w:num w:numId="38">
    <w:abstractNumId w:val="39"/>
  </w:num>
  <w:num w:numId="39">
    <w:abstractNumId w:val="28"/>
  </w:num>
  <w:num w:numId="40">
    <w:abstractNumId w:val="37"/>
  </w:num>
  <w:num w:numId="41">
    <w:abstractNumId w:val="17"/>
  </w:num>
  <w:num w:numId="42">
    <w:abstractNumId w:val="10"/>
  </w:num>
  <w:num w:numId="43">
    <w:abstractNumId w:val="35"/>
  </w:num>
  <w:num w:numId="44">
    <w:abstractNumId w:val="24"/>
  </w:num>
  <w:num w:numId="45">
    <w:abstractNumId w:val="33"/>
  </w:num>
  <w:num w:numId="46">
    <w:abstractNumId w:val="30"/>
  </w:num>
  <w:num w:numId="47">
    <w:abstractNumId w:val="27"/>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BD6"/>
    <w:rsid w:val="00005235"/>
    <w:rsid w:val="00015B48"/>
    <w:rsid w:val="00023842"/>
    <w:rsid w:val="00035AE4"/>
    <w:rsid w:val="00037DF1"/>
    <w:rsid w:val="00051F7B"/>
    <w:rsid w:val="0007796D"/>
    <w:rsid w:val="000F4638"/>
    <w:rsid w:val="00101756"/>
    <w:rsid w:val="00111F2F"/>
    <w:rsid w:val="0014365E"/>
    <w:rsid w:val="00176178"/>
    <w:rsid w:val="001A09BC"/>
    <w:rsid w:val="001B7B61"/>
    <w:rsid w:val="001D14FC"/>
    <w:rsid w:val="001F525A"/>
    <w:rsid w:val="00287416"/>
    <w:rsid w:val="002C1DA5"/>
    <w:rsid w:val="003141B3"/>
    <w:rsid w:val="003A3BD6"/>
    <w:rsid w:val="003B4D76"/>
    <w:rsid w:val="00446FE5"/>
    <w:rsid w:val="004530F6"/>
    <w:rsid w:val="004D6539"/>
    <w:rsid w:val="004F046A"/>
    <w:rsid w:val="00501E96"/>
    <w:rsid w:val="00515ECE"/>
    <w:rsid w:val="00553A1F"/>
    <w:rsid w:val="00573BE5"/>
    <w:rsid w:val="00586ED3"/>
    <w:rsid w:val="00587A52"/>
    <w:rsid w:val="005970D5"/>
    <w:rsid w:val="005A51D3"/>
    <w:rsid w:val="005B4E23"/>
    <w:rsid w:val="00616CB0"/>
    <w:rsid w:val="00621144"/>
    <w:rsid w:val="00660A7F"/>
    <w:rsid w:val="0071601D"/>
    <w:rsid w:val="007432FB"/>
    <w:rsid w:val="0080684C"/>
    <w:rsid w:val="00807D21"/>
    <w:rsid w:val="00812D71"/>
    <w:rsid w:val="00840C6C"/>
    <w:rsid w:val="00853AFA"/>
    <w:rsid w:val="00871C75"/>
    <w:rsid w:val="008776DC"/>
    <w:rsid w:val="00911071"/>
    <w:rsid w:val="00945222"/>
    <w:rsid w:val="009705C8"/>
    <w:rsid w:val="009C4D45"/>
    <w:rsid w:val="009F531E"/>
    <w:rsid w:val="00A05770"/>
    <w:rsid w:val="00A37C92"/>
    <w:rsid w:val="00A40848"/>
    <w:rsid w:val="00A704A8"/>
    <w:rsid w:val="00AA0CD3"/>
    <w:rsid w:val="00AB1B55"/>
    <w:rsid w:val="00AE323C"/>
    <w:rsid w:val="00BA13A6"/>
    <w:rsid w:val="00BA41F4"/>
    <w:rsid w:val="00BB74E1"/>
    <w:rsid w:val="00C02897"/>
    <w:rsid w:val="00C26921"/>
    <w:rsid w:val="00C35C59"/>
    <w:rsid w:val="00CA5CE1"/>
    <w:rsid w:val="00CD326D"/>
    <w:rsid w:val="00D21E12"/>
    <w:rsid w:val="00DB1831"/>
    <w:rsid w:val="00DD3BFD"/>
    <w:rsid w:val="00DE581F"/>
    <w:rsid w:val="00DF7D38"/>
    <w:rsid w:val="00E526B6"/>
    <w:rsid w:val="00E554A4"/>
    <w:rsid w:val="00E80A5E"/>
    <w:rsid w:val="00EA0D23"/>
    <w:rsid w:val="00EA3F83"/>
    <w:rsid w:val="00EE6EA3"/>
    <w:rsid w:val="00F660DF"/>
    <w:rsid w:val="00F72FDB"/>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0BA94"/>
  <w15:docId w15:val="{043B055C-30AE-4DFD-B019-9C3278E1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tgc">
    <w:name w:val="_tgc"/>
    <w:rsid w:val="00C35C59"/>
  </w:style>
  <w:style w:type="character" w:styleId="Marquedecommentaire">
    <w:name w:val="annotation reference"/>
    <w:rsid w:val="00C35C59"/>
    <w:rPr>
      <w:sz w:val="16"/>
      <w:szCs w:val="16"/>
    </w:rPr>
  </w:style>
  <w:style w:type="paragraph" w:styleId="Commentaire">
    <w:name w:val="annotation text"/>
    <w:basedOn w:val="Normal"/>
    <w:link w:val="CommentaireCar"/>
    <w:rsid w:val="00C35C59"/>
    <w:pPr>
      <w:kinsoku/>
      <w:overflowPunct/>
      <w:autoSpaceDE/>
      <w:autoSpaceDN/>
      <w:adjustRightInd/>
      <w:snapToGrid/>
    </w:pPr>
    <w:rPr>
      <w:rFonts w:eastAsia="Times New Roman"/>
    </w:rPr>
  </w:style>
  <w:style w:type="character" w:customStyle="1" w:styleId="CommentaireCar">
    <w:name w:val="Commentaire Car"/>
    <w:basedOn w:val="Policepardfaut"/>
    <w:link w:val="Commentaire"/>
    <w:rsid w:val="00C35C59"/>
    <w:rPr>
      <w:rFonts w:ascii="Times New Roman" w:eastAsia="Times New Roman" w:hAnsi="Times New Roman" w:cs="Times New Roman"/>
      <w:sz w:val="20"/>
      <w:szCs w:val="20"/>
      <w:lang w:eastAsia="en-US"/>
    </w:rPr>
  </w:style>
  <w:style w:type="paragraph" w:styleId="Objetducommentaire">
    <w:name w:val="annotation subject"/>
    <w:basedOn w:val="Commentaire"/>
    <w:next w:val="Commentaire"/>
    <w:link w:val="ObjetducommentaireCar"/>
    <w:rsid w:val="00C35C59"/>
    <w:rPr>
      <w:b/>
      <w:bCs/>
    </w:rPr>
  </w:style>
  <w:style w:type="character" w:customStyle="1" w:styleId="ObjetducommentaireCar">
    <w:name w:val="Objet du commentaire Car"/>
    <w:basedOn w:val="CommentaireCar"/>
    <w:link w:val="Objetducommentaire"/>
    <w:rsid w:val="00C35C59"/>
    <w:rPr>
      <w:rFonts w:ascii="Times New Roman" w:eastAsia="Times New Roman" w:hAnsi="Times New Roman" w:cs="Times New Roman"/>
      <w:b/>
      <w:bCs/>
      <w:sz w:val="20"/>
      <w:szCs w:val="20"/>
      <w:lang w:eastAsia="en-US"/>
    </w:rPr>
  </w:style>
  <w:style w:type="character" w:customStyle="1" w:styleId="Mentionnonrsolue1">
    <w:name w:val="Mention non résolue1"/>
    <w:basedOn w:val="Policepardfaut"/>
    <w:uiPriority w:val="99"/>
    <w:semiHidden/>
    <w:unhideWhenUsed/>
    <w:rsid w:val="00C35C59"/>
    <w:rPr>
      <w:color w:val="605E5C"/>
      <w:shd w:val="clear" w:color="auto" w:fill="E1DFDD"/>
    </w:rPr>
  </w:style>
  <w:style w:type="character" w:customStyle="1" w:styleId="Mentionnonrsolue2">
    <w:name w:val="Mention non résolue2"/>
    <w:basedOn w:val="Policepardfaut"/>
    <w:uiPriority w:val="99"/>
    <w:semiHidden/>
    <w:unhideWhenUsed/>
    <w:rsid w:val="00015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AT/C/BDI/CO/2/Add.1" TargetMode="External"/><Relationship Id="rId13" Type="http://schemas.openxmlformats.org/officeDocument/2006/relationships/hyperlink" Target="http://undocs.org/fr/CAT/C/62/D/493/2012" TargetMode="External"/><Relationship Id="rId18" Type="http://schemas.openxmlformats.org/officeDocument/2006/relationships/hyperlink" Target="http://undocs.org/fr/CAT/C/BDI/CO/1" TargetMode="External"/><Relationship Id="rId3" Type="http://schemas.openxmlformats.org/officeDocument/2006/relationships/hyperlink" Target="http://www.rfi.fr/fr/afrique/20140309-burundi-manifestation-opposition-msd-degenere" TargetMode="External"/><Relationship Id="rId21" Type="http://schemas.openxmlformats.org/officeDocument/2006/relationships/hyperlink" Target="http://undocs.org/fr/CAT/C/71/D/843/2017" TargetMode="External"/><Relationship Id="rId7" Type="http://schemas.openxmlformats.org/officeDocument/2006/relationships/hyperlink" Target="http://undocs.org/fr/A/HRC/23/9" TargetMode="External"/><Relationship Id="rId12" Type="http://schemas.openxmlformats.org/officeDocument/2006/relationships/hyperlink" Target="http://undocs.org/fr/CAT/C/62/D/496/2012/Corr.1" TargetMode="External"/><Relationship Id="rId17" Type="http://schemas.openxmlformats.org/officeDocument/2006/relationships/hyperlink" Target="http://undocs.org/fr/CAT/C/53/D/514/2012" TargetMode="External"/><Relationship Id="rId2" Type="http://schemas.openxmlformats.org/officeDocument/2006/relationships/hyperlink" Target="http://www.iwacu-burundi.org/8-mars-2014-une-manifestation-qui-a-degenere/" TargetMode="External"/><Relationship Id="rId16" Type="http://schemas.openxmlformats.org/officeDocument/2006/relationships/hyperlink" Target="http://undocs.org/fr/CAT/C/59/D/549/2013" TargetMode="External"/><Relationship Id="rId20" Type="http://schemas.openxmlformats.org/officeDocument/2006/relationships/hyperlink" Target="http://undocs.org/fr/CAT/C/56/D/578/2013" TargetMode="External"/><Relationship Id="rId1" Type="http://schemas.openxmlformats.org/officeDocument/2006/relationships/hyperlink" Target="http://undocs.org/fr/CAT/C/73/D/921/2019" TargetMode="External"/><Relationship Id="rId6" Type="http://schemas.openxmlformats.org/officeDocument/2006/relationships/hyperlink" Target="http://undocs.org/fr/CAT/C/BDI/CO/2/Add.1" TargetMode="External"/><Relationship Id="rId11" Type="http://schemas.openxmlformats.org/officeDocument/2006/relationships/hyperlink" Target="http://undocs.org/fr/CAT/C/62/D/496/2012" TargetMode="External"/><Relationship Id="rId5" Type="http://schemas.openxmlformats.org/officeDocument/2006/relationships/hyperlink" Target="http://undocs.org/fr/CAT/C/BDI/CO/1" TargetMode="External"/><Relationship Id="rId15" Type="http://schemas.openxmlformats.org/officeDocument/2006/relationships/hyperlink" Target="http://undocs.org/fr/CAT/C/52/D/503/2012" TargetMode="External"/><Relationship Id="rId23" Type="http://schemas.openxmlformats.org/officeDocument/2006/relationships/hyperlink" Target="http://undocs.org/fr/CAT/C/73/D/952/2019" TargetMode="External"/><Relationship Id="rId10" Type="http://schemas.openxmlformats.org/officeDocument/2006/relationships/hyperlink" Target="http://undocs.org/fr/CAT/C/BDI/CO/2" TargetMode="External"/><Relationship Id="rId19" Type="http://schemas.openxmlformats.org/officeDocument/2006/relationships/hyperlink" Target="http://undocs.org/fr/CAT/C/BDI/CO/2" TargetMode="External"/><Relationship Id="rId4" Type="http://schemas.openxmlformats.org/officeDocument/2006/relationships/hyperlink" Target="https://observers.france24.com/fr/20140310-violences-menacent-fragile-equilibre-burundi" TargetMode="External"/><Relationship Id="rId9" Type="http://schemas.openxmlformats.org/officeDocument/2006/relationships/hyperlink" Target="http://undocs.org/fr/CAT/C/BDI/CO/1" TargetMode="External"/><Relationship Id="rId14" Type="http://schemas.openxmlformats.org/officeDocument/2006/relationships/hyperlink" Target="http://undocs.org/fr/CAT/C/62/D/493/2012/Corr.1" TargetMode="External"/><Relationship Id="rId22" Type="http://schemas.openxmlformats.org/officeDocument/2006/relationships/hyperlink" Target="http://undocs.org/fr/CAT/C/72/D/793/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9</Pages>
  <Words>5107</Words>
  <Characters>25999</Characters>
  <Application>Microsoft Office Word</Application>
  <DocSecurity>0</DocSecurity>
  <Lines>388</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CAT/C/74/D/795/2017</vt:lpstr>
      <vt:lpstr>CAT/C/74/D/795/2017</vt:lpstr>
    </vt:vector>
  </TitlesOfParts>
  <Company>DCM</Company>
  <LinksUpToDate>false</LinksUpToDate>
  <CharactersWithSpaces>31035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CAT/C/74/D/795/2017</dc:title>
  <dc:subject/>
  <dc:creator>Maud DARICHE</dc:creator>
  <cp:keywords/>
  <cp:lastModifiedBy>Nathalie Vittoz</cp:lastModifiedBy>
  <cp:revision>3</cp:revision>
  <cp:lastPrinted>2022-10-20T06:16:00Z</cp:lastPrinted>
  <dcterms:created xsi:type="dcterms:W3CDTF">2022-10-20T06:16:00Z</dcterms:created>
  <dcterms:modified xsi:type="dcterms:W3CDTF">2022-10-20T06:17:00Z</dcterms:modified>
</cp:coreProperties>
</file>