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C8C64E6" w14:textId="77777777" w:rsidTr="00A704A8">
        <w:trPr>
          <w:trHeight w:hRule="exact" w:val="851"/>
        </w:trPr>
        <w:tc>
          <w:tcPr>
            <w:tcW w:w="1276" w:type="dxa"/>
            <w:tcBorders>
              <w:bottom w:val="single" w:sz="4" w:space="0" w:color="auto"/>
            </w:tcBorders>
          </w:tcPr>
          <w:p w14:paraId="232BD73B" w14:textId="77777777" w:rsidR="00807D21" w:rsidRPr="00DB58B5" w:rsidRDefault="00807D21" w:rsidP="00417D49"/>
        </w:tc>
        <w:tc>
          <w:tcPr>
            <w:tcW w:w="2268" w:type="dxa"/>
            <w:tcBorders>
              <w:bottom w:val="single" w:sz="4" w:space="0" w:color="auto"/>
            </w:tcBorders>
            <w:vAlign w:val="bottom"/>
          </w:tcPr>
          <w:p w14:paraId="63ECB2DF"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96F6F2" w14:textId="76A93465" w:rsidR="00807D21" w:rsidRPr="006E3573" w:rsidRDefault="006E3573" w:rsidP="006E3573">
            <w:pPr>
              <w:jc w:val="right"/>
            </w:pPr>
            <w:r w:rsidRPr="006E3573">
              <w:rPr>
                <w:sz w:val="40"/>
              </w:rPr>
              <w:t>CAT</w:t>
            </w:r>
            <w:r>
              <w:t>/C/74/D/868/2018</w:t>
            </w:r>
          </w:p>
        </w:tc>
      </w:tr>
      <w:tr w:rsidR="00807D21" w:rsidRPr="00DB58B5" w14:paraId="3FCF66CC" w14:textId="77777777" w:rsidTr="00A704A8">
        <w:trPr>
          <w:trHeight w:hRule="exact" w:val="2835"/>
        </w:trPr>
        <w:tc>
          <w:tcPr>
            <w:tcW w:w="1276" w:type="dxa"/>
            <w:tcBorders>
              <w:top w:val="single" w:sz="4" w:space="0" w:color="auto"/>
              <w:bottom w:val="single" w:sz="12" w:space="0" w:color="auto"/>
            </w:tcBorders>
          </w:tcPr>
          <w:p w14:paraId="1107B43C" w14:textId="77777777" w:rsidR="00807D21" w:rsidRPr="00DB58B5" w:rsidRDefault="00807D21" w:rsidP="00A704A8">
            <w:pPr>
              <w:spacing w:before="120"/>
              <w:jc w:val="center"/>
            </w:pPr>
            <w:r>
              <w:rPr>
                <w:noProof/>
                <w:lang w:val="en-GB" w:eastAsia="en-GB"/>
              </w:rPr>
              <w:drawing>
                <wp:inline distT="0" distB="0" distL="0" distR="0" wp14:anchorId="72C3FFD1" wp14:editId="6439F5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9A0BC1"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963BD74" w14:textId="77777777" w:rsidR="00807D21" w:rsidRDefault="00417D49" w:rsidP="00A704A8">
            <w:pPr>
              <w:spacing w:before="240"/>
            </w:pPr>
            <w:r>
              <w:t>Distr. générale</w:t>
            </w:r>
          </w:p>
          <w:p w14:paraId="268625D5" w14:textId="757674CF" w:rsidR="00417D49" w:rsidRDefault="00CE6BBA" w:rsidP="00417D49">
            <w:pPr>
              <w:spacing w:line="240" w:lineRule="exact"/>
            </w:pPr>
            <w:r>
              <w:t>21</w:t>
            </w:r>
            <w:r w:rsidR="00A53215">
              <w:t xml:space="preserve"> </w:t>
            </w:r>
            <w:r w:rsidR="00D372F4">
              <w:t>novembre 2022</w:t>
            </w:r>
          </w:p>
          <w:p w14:paraId="30B3E321" w14:textId="3E08719F" w:rsidR="00417D49" w:rsidRDefault="00417D49" w:rsidP="00417D49">
            <w:pPr>
              <w:spacing w:line="240" w:lineRule="exact"/>
            </w:pPr>
          </w:p>
          <w:p w14:paraId="03C1E088" w14:textId="69FCFAC5" w:rsidR="00417D49" w:rsidRPr="00DB58B5" w:rsidRDefault="00417D49" w:rsidP="00417D49">
            <w:pPr>
              <w:spacing w:line="240" w:lineRule="exact"/>
            </w:pPr>
            <w:r>
              <w:t xml:space="preserve">Original : </w:t>
            </w:r>
            <w:r w:rsidR="00D372F4">
              <w:t>français</w:t>
            </w:r>
          </w:p>
        </w:tc>
      </w:tr>
    </w:tbl>
    <w:p w14:paraId="12A76C1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4C9D8F6" w14:textId="77777777" w:rsidR="007767F9" w:rsidRDefault="007767F9" w:rsidP="007767F9">
      <w:pPr>
        <w:pStyle w:val="HChG"/>
        <w:tabs>
          <w:tab w:val="clear" w:pos="851"/>
        </w:tabs>
        <w:rPr>
          <w:rFonts w:eastAsia="MS Mincho"/>
          <w:b w:val="0"/>
          <w:bCs/>
          <w:sz w:val="20"/>
          <w:lang w:val="fr-FR"/>
        </w:rPr>
      </w:pPr>
      <w:r>
        <w:rPr>
          <w:lang w:val="fr-FR"/>
        </w:rPr>
        <w:tab/>
      </w:r>
      <w:r>
        <w:rPr>
          <w:lang w:val="fr-FR"/>
        </w:rPr>
        <w:tab/>
      </w:r>
      <w:r w:rsidRPr="000F003C">
        <w:t>Décision adoptée par le Comité au titre de l</w:t>
      </w:r>
      <w:r>
        <w:t>’</w:t>
      </w:r>
      <w:r w:rsidRPr="000F003C">
        <w:t xml:space="preserve">article 22 </w:t>
      </w:r>
      <w:r>
        <w:br/>
      </w:r>
      <w:r w:rsidRPr="000F003C">
        <w:t xml:space="preserve">de la Convention, concernant la communication </w:t>
      </w:r>
      <w:r>
        <w:br/>
      </w:r>
      <w:r w:rsidRPr="000F003C">
        <w:t>n</w:t>
      </w:r>
      <w:r w:rsidRPr="000F003C">
        <w:rPr>
          <w:vertAlign w:val="superscript"/>
        </w:rPr>
        <w:t>o</w:t>
      </w:r>
      <w:r w:rsidRPr="000F003C">
        <w:t> </w:t>
      </w:r>
      <w:r>
        <w:t>868/2018</w:t>
      </w:r>
      <w:r w:rsidRPr="001237E3">
        <w:rPr>
          <w:b w:val="0"/>
          <w:sz w:val="20"/>
        </w:rPr>
        <w:footnoteReference w:customMarkFollows="1" w:id="2"/>
        <w:t>*</w:t>
      </w:r>
      <w:r w:rsidRPr="001237E3">
        <w:rPr>
          <w:b w:val="0"/>
          <w:position w:val="6"/>
          <w:sz w:val="18"/>
          <w:szCs w:val="18"/>
        </w:rPr>
        <w:t>,</w:t>
      </w:r>
      <w:r w:rsidRPr="001237E3">
        <w:rPr>
          <w:b w:val="0"/>
          <w:sz w:val="20"/>
        </w:rPr>
        <w:t xml:space="preserve"> </w:t>
      </w:r>
      <w:r w:rsidRPr="001237E3">
        <w:rPr>
          <w:b w:val="0"/>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7767F9" w14:paraId="123A72E1" w14:textId="77777777" w:rsidTr="008C32B2">
        <w:tc>
          <w:tcPr>
            <w:tcW w:w="2835" w:type="dxa"/>
          </w:tcPr>
          <w:p w14:paraId="5E952816" w14:textId="77777777" w:rsidR="007767F9" w:rsidRDefault="007767F9" w:rsidP="008C32B2">
            <w:pPr>
              <w:pStyle w:val="SingleTxtG"/>
              <w:ind w:left="0" w:right="0"/>
              <w:jc w:val="left"/>
              <w:rPr>
                <w:i/>
              </w:rPr>
            </w:pPr>
            <w:r>
              <w:rPr>
                <w:i/>
              </w:rPr>
              <w:t>Communication présentée par</w:t>
            </w:r>
            <w:r>
              <w:t> :</w:t>
            </w:r>
          </w:p>
        </w:tc>
        <w:tc>
          <w:tcPr>
            <w:tcW w:w="3969" w:type="dxa"/>
          </w:tcPr>
          <w:p w14:paraId="1B2FC237" w14:textId="77777777" w:rsidR="007767F9" w:rsidRDefault="007767F9" w:rsidP="008C32B2">
            <w:pPr>
              <w:pStyle w:val="SingleTxtG"/>
              <w:ind w:left="0" w:right="0"/>
              <w:jc w:val="left"/>
            </w:pPr>
            <w:r>
              <w:rPr>
                <w:lang w:val="fr-FR"/>
              </w:rPr>
              <w:t>A. R. (représenté par un conseil, Jacques Emery)</w:t>
            </w:r>
          </w:p>
        </w:tc>
      </w:tr>
      <w:tr w:rsidR="007767F9" w14:paraId="2936C0F6" w14:textId="77777777" w:rsidTr="008C32B2">
        <w:tc>
          <w:tcPr>
            <w:tcW w:w="2835" w:type="dxa"/>
          </w:tcPr>
          <w:p w14:paraId="6755CC5F" w14:textId="77777777" w:rsidR="007767F9" w:rsidRDefault="007767F9" w:rsidP="008C32B2">
            <w:pPr>
              <w:pStyle w:val="SingleTxtG"/>
              <w:ind w:left="0" w:right="0"/>
              <w:jc w:val="left"/>
              <w:rPr>
                <w:i/>
              </w:rPr>
            </w:pPr>
            <w:r>
              <w:rPr>
                <w:i/>
                <w:iCs/>
                <w:lang w:val="fr-FR"/>
              </w:rPr>
              <w:t>Victime(s) présumée(s)</w:t>
            </w:r>
            <w:r>
              <w:t> :</w:t>
            </w:r>
          </w:p>
        </w:tc>
        <w:tc>
          <w:tcPr>
            <w:tcW w:w="3969" w:type="dxa"/>
          </w:tcPr>
          <w:p w14:paraId="618E3FE9" w14:textId="77777777" w:rsidR="007767F9" w:rsidRDefault="007767F9" w:rsidP="008C32B2">
            <w:pPr>
              <w:pStyle w:val="SingleTxtG"/>
              <w:ind w:left="0" w:right="0"/>
              <w:jc w:val="left"/>
            </w:pPr>
            <w:r>
              <w:rPr>
                <w:lang w:val="fr-FR"/>
              </w:rPr>
              <w:t>Le requérant</w:t>
            </w:r>
          </w:p>
        </w:tc>
      </w:tr>
      <w:tr w:rsidR="007767F9" w14:paraId="13A5E5F7" w14:textId="77777777" w:rsidTr="008C32B2">
        <w:tc>
          <w:tcPr>
            <w:tcW w:w="2835" w:type="dxa"/>
          </w:tcPr>
          <w:p w14:paraId="349565C0" w14:textId="77777777" w:rsidR="007767F9" w:rsidRDefault="007767F9" w:rsidP="008C32B2">
            <w:pPr>
              <w:pStyle w:val="SingleTxtG"/>
              <w:ind w:left="0" w:right="0"/>
              <w:jc w:val="left"/>
              <w:rPr>
                <w:i/>
              </w:rPr>
            </w:pPr>
            <w:r>
              <w:rPr>
                <w:i/>
              </w:rPr>
              <w:t>État partie</w:t>
            </w:r>
            <w:r>
              <w:t> :</w:t>
            </w:r>
          </w:p>
        </w:tc>
        <w:tc>
          <w:tcPr>
            <w:tcW w:w="3969" w:type="dxa"/>
          </w:tcPr>
          <w:p w14:paraId="626D3C0F" w14:textId="77777777" w:rsidR="007767F9" w:rsidRDefault="007767F9" w:rsidP="008C32B2">
            <w:pPr>
              <w:pStyle w:val="SingleTxtG"/>
              <w:ind w:left="0" w:right="0"/>
              <w:jc w:val="left"/>
            </w:pPr>
            <w:r>
              <w:rPr>
                <w:lang w:val="fr-FR"/>
              </w:rPr>
              <w:t>Suisse</w:t>
            </w:r>
          </w:p>
        </w:tc>
      </w:tr>
      <w:tr w:rsidR="007767F9" w14:paraId="653957DE" w14:textId="77777777" w:rsidTr="008C32B2">
        <w:tc>
          <w:tcPr>
            <w:tcW w:w="2835" w:type="dxa"/>
          </w:tcPr>
          <w:p w14:paraId="5E73F864" w14:textId="77777777" w:rsidR="007767F9" w:rsidRDefault="007767F9" w:rsidP="008C32B2">
            <w:pPr>
              <w:pStyle w:val="SingleTxtG"/>
              <w:ind w:left="0" w:right="0"/>
              <w:jc w:val="left"/>
              <w:rPr>
                <w:i/>
              </w:rPr>
            </w:pPr>
            <w:r>
              <w:rPr>
                <w:i/>
              </w:rPr>
              <w:t>Date de la requête</w:t>
            </w:r>
            <w:r>
              <w:t> :</w:t>
            </w:r>
          </w:p>
        </w:tc>
        <w:tc>
          <w:tcPr>
            <w:tcW w:w="3969" w:type="dxa"/>
          </w:tcPr>
          <w:p w14:paraId="220CEEFE" w14:textId="77777777" w:rsidR="007767F9" w:rsidRPr="008E238F" w:rsidRDefault="007767F9" w:rsidP="008C32B2">
            <w:pPr>
              <w:pStyle w:val="SingleTxtG"/>
              <w:ind w:left="0" w:right="0"/>
              <w:jc w:val="left"/>
              <w:rPr>
                <w:lang w:val="fr-FR"/>
              </w:rPr>
            </w:pPr>
            <w:r>
              <w:rPr>
                <w:lang w:val="fr-FR"/>
              </w:rPr>
              <w:t>26 avril 2018 (date de la lettre initiale)</w:t>
            </w:r>
          </w:p>
        </w:tc>
      </w:tr>
      <w:tr w:rsidR="007767F9" w14:paraId="4C7F4DDD" w14:textId="77777777" w:rsidTr="008C32B2">
        <w:tc>
          <w:tcPr>
            <w:tcW w:w="2835" w:type="dxa"/>
          </w:tcPr>
          <w:p w14:paraId="63ECD86E" w14:textId="77777777" w:rsidR="007767F9" w:rsidRDefault="007767F9" w:rsidP="008C32B2">
            <w:pPr>
              <w:pStyle w:val="SingleTxtG"/>
              <w:ind w:left="0" w:right="0"/>
              <w:jc w:val="left"/>
            </w:pPr>
            <w:r w:rsidRPr="000F4C88">
              <w:rPr>
                <w:i/>
              </w:rPr>
              <w:t>Références </w:t>
            </w:r>
            <w:r w:rsidRPr="000F4C88">
              <w:rPr>
                <w:iCs/>
              </w:rPr>
              <w:t>:</w:t>
            </w:r>
          </w:p>
        </w:tc>
        <w:tc>
          <w:tcPr>
            <w:tcW w:w="3969" w:type="dxa"/>
          </w:tcPr>
          <w:p w14:paraId="1037ECAC" w14:textId="30319B3B" w:rsidR="007767F9" w:rsidRDefault="007767F9" w:rsidP="00331637">
            <w:pPr>
              <w:pStyle w:val="SingleTxtG"/>
              <w:ind w:left="0" w:right="0"/>
              <w:jc w:val="left"/>
            </w:pPr>
            <w:r w:rsidRPr="000F4C88">
              <w:t>Décision prise en application de</w:t>
            </w:r>
            <w:r>
              <w:t>s</w:t>
            </w:r>
            <w:r w:rsidRPr="000F4C88">
              <w:t xml:space="preserve"> article</w:t>
            </w:r>
            <w:r>
              <w:t>s</w:t>
            </w:r>
            <w:r w:rsidR="00DB316B">
              <w:t> </w:t>
            </w:r>
            <w:r>
              <w:t>114 et</w:t>
            </w:r>
            <w:r w:rsidR="00DB316B">
              <w:t> </w:t>
            </w:r>
            <w:r w:rsidRPr="000F4C88">
              <w:t>115 du Règlement intérieur du Comité, transmise à l</w:t>
            </w:r>
            <w:r>
              <w:t>’</w:t>
            </w:r>
            <w:r w:rsidRPr="000F4C88">
              <w:t xml:space="preserve">État partie le </w:t>
            </w:r>
            <w:r>
              <w:t>3</w:t>
            </w:r>
            <w:r w:rsidR="00DB316B">
              <w:t> </w:t>
            </w:r>
            <w:r>
              <w:t>mai</w:t>
            </w:r>
            <w:r w:rsidRPr="000F4C88">
              <w:t xml:space="preserve"> 201</w:t>
            </w:r>
            <w:r>
              <w:t>8</w:t>
            </w:r>
            <w:r w:rsidRPr="000F4C88">
              <w:t xml:space="preserve"> </w:t>
            </w:r>
            <w:r w:rsidR="00422A0B">
              <w:br/>
            </w:r>
            <w:r w:rsidRPr="000F4C88">
              <w:t>(non publiée sous forme de document)</w:t>
            </w:r>
          </w:p>
        </w:tc>
      </w:tr>
      <w:tr w:rsidR="007767F9" w:rsidRPr="000F4C88" w14:paraId="54AB6A16" w14:textId="77777777" w:rsidTr="008C32B2">
        <w:tc>
          <w:tcPr>
            <w:tcW w:w="2835" w:type="dxa"/>
          </w:tcPr>
          <w:p w14:paraId="4ADAE6C9" w14:textId="77777777" w:rsidR="007767F9" w:rsidRPr="000F4C88" w:rsidRDefault="007767F9" w:rsidP="008C32B2">
            <w:pPr>
              <w:pStyle w:val="SingleTxtG"/>
              <w:ind w:left="0" w:right="0"/>
              <w:jc w:val="left"/>
              <w:rPr>
                <w:i/>
              </w:rPr>
            </w:pPr>
            <w:r w:rsidRPr="000F4C88">
              <w:rPr>
                <w:i/>
              </w:rPr>
              <w:t>Date de la présente décision</w:t>
            </w:r>
            <w:r w:rsidRPr="000F4C88">
              <w:t> :</w:t>
            </w:r>
          </w:p>
        </w:tc>
        <w:tc>
          <w:tcPr>
            <w:tcW w:w="3969" w:type="dxa"/>
            <w:vAlign w:val="bottom"/>
          </w:tcPr>
          <w:p w14:paraId="4AD47C25" w14:textId="77777777" w:rsidR="007767F9" w:rsidRPr="000F4C88" w:rsidRDefault="007767F9" w:rsidP="008C32B2">
            <w:pPr>
              <w:pStyle w:val="SingleTxtG"/>
              <w:ind w:left="0" w:right="0"/>
              <w:jc w:val="left"/>
            </w:pPr>
            <w:r>
              <w:rPr>
                <w:rFonts w:eastAsia="SimSun"/>
                <w:lang w:eastAsia="zh-CN"/>
              </w:rPr>
              <w:t>21</w:t>
            </w:r>
            <w:r w:rsidRPr="000F4C88">
              <w:rPr>
                <w:rFonts w:eastAsia="SimSun"/>
                <w:lang w:eastAsia="zh-CN"/>
              </w:rPr>
              <w:t xml:space="preserve"> </w:t>
            </w:r>
            <w:r>
              <w:rPr>
                <w:rFonts w:eastAsia="SimSun"/>
                <w:lang w:eastAsia="zh-CN"/>
              </w:rPr>
              <w:t>juillet</w:t>
            </w:r>
            <w:r w:rsidRPr="000F4C88">
              <w:rPr>
                <w:rFonts w:eastAsia="SimSun"/>
              </w:rPr>
              <w:t xml:space="preserve"> 2022</w:t>
            </w:r>
          </w:p>
        </w:tc>
      </w:tr>
      <w:tr w:rsidR="007767F9" w:rsidRPr="000F4C88" w14:paraId="6FC09E8A" w14:textId="77777777" w:rsidTr="008C32B2">
        <w:tc>
          <w:tcPr>
            <w:tcW w:w="2835" w:type="dxa"/>
          </w:tcPr>
          <w:p w14:paraId="4F11B53E" w14:textId="77777777" w:rsidR="007767F9" w:rsidRPr="000F4C88" w:rsidRDefault="007767F9" w:rsidP="008C32B2">
            <w:pPr>
              <w:pStyle w:val="SingleTxtG"/>
              <w:ind w:left="0" w:right="0"/>
              <w:jc w:val="left"/>
            </w:pPr>
            <w:r w:rsidRPr="000F4C88">
              <w:rPr>
                <w:i/>
              </w:rPr>
              <w:t>Objet</w:t>
            </w:r>
            <w:r w:rsidRPr="000F4C88">
              <w:t> :</w:t>
            </w:r>
          </w:p>
        </w:tc>
        <w:tc>
          <w:tcPr>
            <w:tcW w:w="3969" w:type="dxa"/>
            <w:vAlign w:val="bottom"/>
          </w:tcPr>
          <w:p w14:paraId="7562F0E6" w14:textId="77777777" w:rsidR="007767F9" w:rsidRPr="000F4C88" w:rsidRDefault="007767F9" w:rsidP="008C32B2">
            <w:pPr>
              <w:pStyle w:val="SingleTxtG"/>
              <w:ind w:left="0" w:right="0"/>
              <w:jc w:val="left"/>
            </w:pPr>
            <w:r w:rsidRPr="008E238F">
              <w:rPr>
                <w:rFonts w:eastAsia="SimSun"/>
                <w:lang w:eastAsia="zh-CN"/>
              </w:rPr>
              <w:t>Expulsion vers la République islamique d</w:t>
            </w:r>
            <w:r>
              <w:rPr>
                <w:rFonts w:eastAsia="SimSun"/>
                <w:lang w:eastAsia="zh-CN"/>
              </w:rPr>
              <w:t>’</w:t>
            </w:r>
            <w:r w:rsidRPr="008E238F">
              <w:rPr>
                <w:rFonts w:eastAsia="SimSun"/>
                <w:lang w:eastAsia="zh-CN"/>
              </w:rPr>
              <w:t>Iran</w:t>
            </w:r>
          </w:p>
        </w:tc>
      </w:tr>
      <w:tr w:rsidR="007767F9" w:rsidRPr="000F4C88" w14:paraId="4F3E6952" w14:textId="77777777" w:rsidTr="008C32B2">
        <w:tc>
          <w:tcPr>
            <w:tcW w:w="2835" w:type="dxa"/>
          </w:tcPr>
          <w:p w14:paraId="4B8EFF0E" w14:textId="77777777" w:rsidR="007767F9" w:rsidRPr="000F4C88" w:rsidRDefault="007767F9" w:rsidP="008C32B2">
            <w:pPr>
              <w:pStyle w:val="SingleTxtG"/>
              <w:ind w:left="0" w:right="0"/>
              <w:jc w:val="left"/>
            </w:pPr>
            <w:r w:rsidRPr="000F4C88">
              <w:rPr>
                <w:rFonts w:eastAsia="SimSun"/>
                <w:i/>
                <w:iCs/>
                <w:lang w:eastAsia="zh-CN"/>
              </w:rPr>
              <w:t>Question(s) de procédure</w:t>
            </w:r>
            <w:r w:rsidRPr="000F4C88">
              <w:rPr>
                <w:rFonts w:eastAsia="SimSun"/>
                <w:lang w:eastAsia="zh-CN"/>
              </w:rPr>
              <w:t> :</w:t>
            </w:r>
          </w:p>
        </w:tc>
        <w:tc>
          <w:tcPr>
            <w:tcW w:w="3969" w:type="dxa"/>
            <w:vAlign w:val="bottom"/>
          </w:tcPr>
          <w:p w14:paraId="47DB9DB8" w14:textId="77777777" w:rsidR="007767F9" w:rsidRPr="000F4C88" w:rsidRDefault="007767F9" w:rsidP="008C32B2">
            <w:pPr>
              <w:pStyle w:val="SingleTxtG"/>
              <w:ind w:left="0" w:right="0"/>
            </w:pPr>
            <w:r w:rsidRPr="000F4C88">
              <w:rPr>
                <w:rFonts w:eastAsia="SimSun"/>
                <w:lang w:eastAsia="zh-CN"/>
              </w:rPr>
              <w:t>Épuiseme</w:t>
            </w:r>
            <w:r>
              <w:rPr>
                <w:rFonts w:eastAsia="SimSun"/>
                <w:lang w:eastAsia="zh-CN"/>
              </w:rPr>
              <w:t>nt des recours internes</w:t>
            </w:r>
          </w:p>
        </w:tc>
      </w:tr>
      <w:tr w:rsidR="007767F9" w14:paraId="41638E90" w14:textId="77777777" w:rsidTr="008C32B2">
        <w:tc>
          <w:tcPr>
            <w:tcW w:w="2835" w:type="dxa"/>
          </w:tcPr>
          <w:p w14:paraId="285B4196" w14:textId="77777777" w:rsidR="007767F9" w:rsidRPr="008C0D1A" w:rsidRDefault="007767F9" w:rsidP="008C32B2">
            <w:pPr>
              <w:pStyle w:val="SingleTxtG"/>
              <w:ind w:left="0" w:right="0"/>
              <w:jc w:val="left"/>
            </w:pPr>
            <w:r w:rsidRPr="008C0D1A">
              <w:rPr>
                <w:i/>
              </w:rPr>
              <w:t>Question</w:t>
            </w:r>
            <w:r>
              <w:rPr>
                <w:i/>
              </w:rPr>
              <w:t>(</w:t>
            </w:r>
            <w:r w:rsidRPr="008C0D1A">
              <w:rPr>
                <w:i/>
              </w:rPr>
              <w:t>s</w:t>
            </w:r>
            <w:r>
              <w:rPr>
                <w:i/>
              </w:rPr>
              <w:t>)</w:t>
            </w:r>
            <w:r w:rsidRPr="008C0D1A">
              <w:rPr>
                <w:i/>
              </w:rPr>
              <w:t xml:space="preserve"> de fond</w:t>
            </w:r>
            <w:r w:rsidRPr="008C0D1A">
              <w:t> :</w:t>
            </w:r>
          </w:p>
        </w:tc>
        <w:tc>
          <w:tcPr>
            <w:tcW w:w="3969" w:type="dxa"/>
            <w:vAlign w:val="bottom"/>
          </w:tcPr>
          <w:p w14:paraId="4FEFE651" w14:textId="344F5056" w:rsidR="007767F9" w:rsidRPr="006E15C3" w:rsidRDefault="007767F9" w:rsidP="008C32B2">
            <w:pPr>
              <w:pStyle w:val="SingleTxtG"/>
              <w:ind w:left="0" w:right="0"/>
              <w:jc w:val="left"/>
            </w:pPr>
            <w:r w:rsidRPr="009C05C0">
              <w:rPr>
                <w:lang w:val="fr-FR"/>
              </w:rPr>
              <w:t>Non-refoulement</w:t>
            </w:r>
            <w:r w:rsidR="00627D27">
              <w:rPr>
                <w:lang w:val="fr-FR"/>
              </w:rPr>
              <w:t> ;</w:t>
            </w:r>
            <w:r w:rsidRPr="006E15C3">
              <w:rPr>
                <w:lang w:val="fr-FR"/>
              </w:rPr>
              <w:t xml:space="preserve"> risque de torture en cas de renvoi dans le pays d</w:t>
            </w:r>
            <w:r>
              <w:rPr>
                <w:lang w:val="fr-FR"/>
              </w:rPr>
              <w:t>’</w:t>
            </w:r>
            <w:r w:rsidRPr="006E15C3">
              <w:rPr>
                <w:lang w:val="fr-FR"/>
              </w:rPr>
              <w:t>origine</w:t>
            </w:r>
          </w:p>
        </w:tc>
      </w:tr>
      <w:tr w:rsidR="007767F9" w14:paraId="6C15DCD9" w14:textId="77777777" w:rsidTr="008C32B2">
        <w:tc>
          <w:tcPr>
            <w:tcW w:w="2835" w:type="dxa"/>
          </w:tcPr>
          <w:p w14:paraId="2360FBB0" w14:textId="77777777" w:rsidR="007767F9" w:rsidRDefault="007767F9" w:rsidP="008C32B2">
            <w:pPr>
              <w:pStyle w:val="SingleTxtG"/>
              <w:ind w:left="0" w:right="0"/>
              <w:jc w:val="left"/>
            </w:pPr>
            <w:r>
              <w:rPr>
                <w:i/>
              </w:rPr>
              <w:t>Article(s) de la Convention</w:t>
            </w:r>
            <w:r>
              <w:t> :</w:t>
            </w:r>
          </w:p>
        </w:tc>
        <w:tc>
          <w:tcPr>
            <w:tcW w:w="3969" w:type="dxa"/>
            <w:vAlign w:val="bottom"/>
          </w:tcPr>
          <w:p w14:paraId="5AA44C74" w14:textId="77777777" w:rsidR="007767F9" w:rsidRDefault="007767F9" w:rsidP="008C32B2">
            <w:pPr>
              <w:pStyle w:val="SingleTxtG"/>
              <w:ind w:left="0" w:right="0"/>
              <w:jc w:val="left"/>
            </w:pPr>
            <w:r>
              <w:t>3</w:t>
            </w:r>
          </w:p>
        </w:tc>
      </w:tr>
    </w:tbl>
    <w:p w14:paraId="1DC66174" w14:textId="4316AC54" w:rsidR="007767F9" w:rsidRPr="00A934F4" w:rsidRDefault="007767F9" w:rsidP="007767F9">
      <w:pPr>
        <w:pStyle w:val="SingleTxtG"/>
        <w:spacing w:before="120"/>
        <w:rPr>
          <w:lang w:val="fr-FR"/>
        </w:rPr>
      </w:pPr>
      <w:r w:rsidRPr="00A934F4">
        <w:rPr>
          <w:lang w:val="fr-FR"/>
        </w:rPr>
        <w:t>1.1</w:t>
      </w:r>
      <w:r w:rsidRPr="00A934F4">
        <w:rPr>
          <w:lang w:val="fr-FR"/>
        </w:rPr>
        <w:tab/>
      </w:r>
      <w:r w:rsidRPr="008C0D1A">
        <w:rPr>
          <w:lang w:val="fr-FR"/>
        </w:rPr>
        <w:t>Le requérant est A</w:t>
      </w:r>
      <w:r>
        <w:rPr>
          <w:lang w:val="fr-FR"/>
        </w:rPr>
        <w:t>.</w:t>
      </w:r>
      <w:r w:rsidRPr="008C0D1A">
        <w:rPr>
          <w:lang w:val="fr-FR"/>
        </w:rPr>
        <w:t xml:space="preserve"> R</w:t>
      </w:r>
      <w:r>
        <w:rPr>
          <w:lang w:val="fr-FR"/>
        </w:rPr>
        <w:t>.</w:t>
      </w:r>
      <w:r w:rsidRPr="008C0D1A">
        <w:rPr>
          <w:lang w:val="fr-FR"/>
        </w:rPr>
        <w:t>, de nationalité iranienne, né</w:t>
      </w:r>
      <w:r w:rsidRPr="00CC69D9">
        <w:rPr>
          <w:lang w:val="fr-FR"/>
        </w:rPr>
        <w:t xml:space="preserve"> en 1990</w:t>
      </w:r>
      <w:r w:rsidRPr="009C05C0">
        <w:rPr>
          <w:lang w:val="fr-FR"/>
        </w:rPr>
        <w:t>. Ayant été débouté</w:t>
      </w:r>
      <w:r w:rsidRPr="006E15C3">
        <w:rPr>
          <w:lang w:val="fr-FR"/>
        </w:rPr>
        <w:t xml:space="preserve"> de sa demande d</w:t>
      </w:r>
      <w:r>
        <w:rPr>
          <w:lang w:val="fr-FR"/>
        </w:rPr>
        <w:t>’</w:t>
      </w:r>
      <w:r w:rsidRPr="006E15C3">
        <w:rPr>
          <w:lang w:val="fr-FR"/>
        </w:rPr>
        <w:t>asile en Suisse</w:t>
      </w:r>
      <w:r w:rsidRPr="004A5EFE">
        <w:rPr>
          <w:lang w:val="fr-FR"/>
        </w:rPr>
        <w:t xml:space="preserve">, </w:t>
      </w:r>
      <w:r w:rsidRPr="008C0D1A">
        <w:rPr>
          <w:lang w:val="fr-FR"/>
        </w:rPr>
        <w:t xml:space="preserve">il </w:t>
      </w:r>
      <w:r>
        <w:rPr>
          <w:lang w:val="fr-FR"/>
        </w:rPr>
        <w:t>fait l’objet</w:t>
      </w:r>
      <w:r w:rsidRPr="008C0D1A">
        <w:rPr>
          <w:lang w:val="fr-FR"/>
        </w:rPr>
        <w:t xml:space="preserve"> d</w:t>
      </w:r>
      <w:r>
        <w:rPr>
          <w:lang w:val="fr-FR"/>
        </w:rPr>
        <w:t>’</w:t>
      </w:r>
      <w:r w:rsidRPr="008C0D1A">
        <w:rPr>
          <w:lang w:val="fr-FR"/>
        </w:rPr>
        <w:t>un arrêté d</w:t>
      </w:r>
      <w:r>
        <w:rPr>
          <w:lang w:val="fr-FR"/>
        </w:rPr>
        <w:t>’</w:t>
      </w:r>
      <w:r w:rsidRPr="008C0D1A">
        <w:rPr>
          <w:lang w:val="fr-FR"/>
        </w:rPr>
        <w:t>expulsion vers l</w:t>
      </w:r>
      <w:r>
        <w:rPr>
          <w:lang w:val="fr-FR"/>
        </w:rPr>
        <w:t>a République islamique d’</w:t>
      </w:r>
      <w:r w:rsidRPr="008C0D1A">
        <w:rPr>
          <w:lang w:val="fr-FR"/>
        </w:rPr>
        <w:t xml:space="preserve">Iran. Il affirme que son renvoi constituerait une violation </w:t>
      </w:r>
      <w:r>
        <w:rPr>
          <w:lang w:val="fr-FR"/>
        </w:rPr>
        <w:t xml:space="preserve">par l’État partie </w:t>
      </w:r>
      <w:r w:rsidRPr="008C0D1A">
        <w:rPr>
          <w:lang w:val="fr-FR"/>
        </w:rPr>
        <w:t>de l</w:t>
      </w:r>
      <w:r>
        <w:rPr>
          <w:lang w:val="fr-FR"/>
        </w:rPr>
        <w:t>’</w:t>
      </w:r>
      <w:r w:rsidRPr="008C0D1A">
        <w:rPr>
          <w:lang w:val="fr-FR"/>
        </w:rPr>
        <w:t>article</w:t>
      </w:r>
      <w:r w:rsidR="005B105D">
        <w:rPr>
          <w:lang w:val="fr-FR"/>
        </w:rPr>
        <w:t> </w:t>
      </w:r>
      <w:r w:rsidRPr="008C0D1A">
        <w:rPr>
          <w:lang w:val="fr-FR"/>
        </w:rPr>
        <w:t>3 de la</w:t>
      </w:r>
      <w:r>
        <w:rPr>
          <w:lang w:val="fr-FR"/>
        </w:rPr>
        <w:t xml:space="preserve"> Convention</w:t>
      </w:r>
      <w:r w:rsidRPr="00A934F4">
        <w:rPr>
          <w:lang w:val="fr-FR"/>
        </w:rPr>
        <w:t xml:space="preserve">. </w:t>
      </w:r>
      <w:r w:rsidRPr="005641E0">
        <w:t>L</w:t>
      </w:r>
      <w:r>
        <w:t>’</w:t>
      </w:r>
      <w:r w:rsidRPr="005641E0">
        <w:t xml:space="preserve">État partie a fait la déclaration prévue </w:t>
      </w:r>
      <w:r>
        <w:t>à</w:t>
      </w:r>
      <w:r w:rsidRPr="005641E0">
        <w:t xml:space="preserve"> l</w:t>
      </w:r>
      <w:r>
        <w:t>’</w:t>
      </w:r>
      <w:r w:rsidRPr="005641E0">
        <w:t>article </w:t>
      </w:r>
      <w:r w:rsidRPr="007221E3">
        <w:t>22</w:t>
      </w:r>
      <w:r>
        <w:t xml:space="preserve"> (par. 1)</w:t>
      </w:r>
      <w:r w:rsidRPr="007221E3">
        <w:t xml:space="preserve"> de la Convention le 2 décembre</w:t>
      </w:r>
      <w:r w:rsidR="005B105D">
        <w:t xml:space="preserve"> </w:t>
      </w:r>
      <w:r w:rsidRPr="007221E3">
        <w:t>1986.</w:t>
      </w:r>
      <w:r>
        <w:t xml:space="preserve"> </w:t>
      </w:r>
      <w:r w:rsidRPr="00A934F4">
        <w:rPr>
          <w:lang w:val="fr-FR"/>
        </w:rPr>
        <w:t>L</w:t>
      </w:r>
      <w:r>
        <w:rPr>
          <w:lang w:val="fr-FR"/>
        </w:rPr>
        <w:t>e</w:t>
      </w:r>
      <w:r w:rsidRPr="00A934F4">
        <w:rPr>
          <w:lang w:val="fr-FR"/>
        </w:rPr>
        <w:t xml:space="preserve"> requérant est représenté par un conseil.</w:t>
      </w:r>
    </w:p>
    <w:p w14:paraId="5E9552EA" w14:textId="77777777" w:rsidR="007767F9" w:rsidRDefault="007767F9" w:rsidP="007767F9">
      <w:pPr>
        <w:pStyle w:val="SingleTxtG"/>
        <w:rPr>
          <w:lang w:val="fr-FR"/>
        </w:rPr>
      </w:pPr>
      <w:r w:rsidRPr="00A934F4">
        <w:rPr>
          <w:lang w:val="fr-FR"/>
        </w:rPr>
        <w:t>1</w:t>
      </w:r>
      <w:r w:rsidRPr="00DE4732">
        <w:rPr>
          <w:lang w:val="fr-FR"/>
        </w:rPr>
        <w:t>.2</w:t>
      </w:r>
      <w:r w:rsidRPr="00DE4732">
        <w:rPr>
          <w:lang w:val="fr-FR"/>
        </w:rPr>
        <w:tab/>
        <w:t xml:space="preserve">Le </w:t>
      </w:r>
      <w:r w:rsidRPr="005864B9">
        <w:rPr>
          <w:lang w:val="fr-FR"/>
        </w:rPr>
        <w:t>3 mai 2018</w:t>
      </w:r>
      <w:r w:rsidRPr="00DE4732">
        <w:rPr>
          <w:lang w:val="fr-FR"/>
        </w:rPr>
        <w:t>, en application de l</w:t>
      </w:r>
      <w:r>
        <w:rPr>
          <w:lang w:val="fr-FR"/>
        </w:rPr>
        <w:t>’</w:t>
      </w:r>
      <w:r w:rsidRPr="00DE4732">
        <w:rPr>
          <w:lang w:val="fr-FR"/>
        </w:rPr>
        <w:t>article 114 de son règlement intérieur, le Comité, agiss</w:t>
      </w:r>
      <w:r>
        <w:rPr>
          <w:lang w:val="fr-FR"/>
        </w:rPr>
        <w:t>ant par l’intermédiaire de son R</w:t>
      </w:r>
      <w:r w:rsidRPr="00DE4732">
        <w:rPr>
          <w:lang w:val="fr-FR"/>
        </w:rPr>
        <w:t>apporteur chargé des nouvelles requêtes et des mesures provisoires</w:t>
      </w:r>
      <w:r>
        <w:rPr>
          <w:lang w:val="fr-FR"/>
        </w:rPr>
        <w:t xml:space="preserve"> de protection</w:t>
      </w:r>
      <w:r w:rsidRPr="00DE4732">
        <w:rPr>
          <w:lang w:val="fr-FR"/>
        </w:rPr>
        <w:t>, a prié l</w:t>
      </w:r>
      <w:r>
        <w:rPr>
          <w:lang w:val="fr-FR"/>
        </w:rPr>
        <w:t>’</w:t>
      </w:r>
      <w:r w:rsidRPr="00DE4732">
        <w:rPr>
          <w:lang w:val="fr-FR"/>
        </w:rPr>
        <w:t>État partie de ne pas expulser l</w:t>
      </w:r>
      <w:r>
        <w:rPr>
          <w:lang w:val="fr-FR"/>
        </w:rPr>
        <w:t>e</w:t>
      </w:r>
      <w:r w:rsidRPr="00DE4732">
        <w:rPr>
          <w:lang w:val="fr-FR"/>
        </w:rPr>
        <w:t xml:space="preserve"> requérant tant que </w:t>
      </w:r>
      <w:r>
        <w:rPr>
          <w:lang w:val="fr-FR"/>
        </w:rPr>
        <w:t>sa requête</w:t>
      </w:r>
      <w:r w:rsidRPr="00DE4732">
        <w:rPr>
          <w:lang w:val="fr-FR"/>
        </w:rPr>
        <w:t xml:space="preserve"> serait à l</w:t>
      </w:r>
      <w:r>
        <w:rPr>
          <w:lang w:val="fr-FR"/>
        </w:rPr>
        <w:t>’</w:t>
      </w:r>
      <w:r w:rsidRPr="00DE4732">
        <w:rPr>
          <w:lang w:val="fr-FR"/>
        </w:rPr>
        <w:t>examen. L</w:t>
      </w:r>
      <w:r>
        <w:rPr>
          <w:lang w:val="fr-FR"/>
        </w:rPr>
        <w:t>’</w:t>
      </w:r>
      <w:r w:rsidRPr="00DE4732">
        <w:rPr>
          <w:lang w:val="fr-FR"/>
        </w:rPr>
        <w:t>État partie a donné suite à la demande de mesures provisoires et décidé de surseoir au renvoi d</w:t>
      </w:r>
      <w:r>
        <w:rPr>
          <w:lang w:val="fr-FR"/>
        </w:rPr>
        <w:t>u</w:t>
      </w:r>
      <w:r w:rsidRPr="00DE4732">
        <w:rPr>
          <w:lang w:val="fr-FR"/>
        </w:rPr>
        <w:t xml:space="preserve"> requérant tant que le Comité serait saisi de la </w:t>
      </w:r>
      <w:r>
        <w:rPr>
          <w:lang w:val="fr-FR"/>
        </w:rPr>
        <w:t>requête</w:t>
      </w:r>
      <w:r w:rsidRPr="00DE4732">
        <w:rPr>
          <w:lang w:val="fr-FR"/>
        </w:rPr>
        <w:t>.</w:t>
      </w:r>
    </w:p>
    <w:p w14:paraId="219AC88E" w14:textId="77777777" w:rsidR="007767F9" w:rsidRPr="00A934F4" w:rsidRDefault="007767F9" w:rsidP="007767F9">
      <w:pPr>
        <w:pStyle w:val="SingleTxtG"/>
        <w:rPr>
          <w:lang w:val="fr-FR"/>
        </w:rPr>
      </w:pPr>
      <w:r>
        <w:rPr>
          <w:lang w:val="fr-FR"/>
        </w:rPr>
        <w:t>1.3</w:t>
      </w:r>
      <w:r>
        <w:rPr>
          <w:lang w:val="fr-FR"/>
        </w:rPr>
        <w:tab/>
      </w:r>
      <w:r w:rsidRPr="00B55AFA">
        <w:rPr>
          <w:lang w:val="fr-FR"/>
        </w:rPr>
        <w:t xml:space="preserve">Le </w:t>
      </w:r>
      <w:r>
        <w:rPr>
          <w:lang w:val="fr-FR"/>
        </w:rPr>
        <w:t>18 février 2020</w:t>
      </w:r>
      <w:r w:rsidRPr="00B55AFA">
        <w:rPr>
          <w:lang w:val="fr-FR"/>
        </w:rPr>
        <w:t xml:space="preserve">, conformément </w:t>
      </w:r>
      <w:r>
        <w:rPr>
          <w:lang w:val="fr-FR"/>
        </w:rPr>
        <w:t>à</w:t>
      </w:r>
      <w:r w:rsidRPr="00B55AFA">
        <w:rPr>
          <w:lang w:val="fr-FR"/>
        </w:rPr>
        <w:t xml:space="preserve"> l</w:t>
      </w:r>
      <w:r>
        <w:rPr>
          <w:lang w:val="fr-FR"/>
        </w:rPr>
        <w:t>’</w:t>
      </w:r>
      <w:r w:rsidRPr="00B55AFA">
        <w:rPr>
          <w:lang w:val="fr-FR"/>
        </w:rPr>
        <w:t>article 115</w:t>
      </w:r>
      <w:r>
        <w:rPr>
          <w:lang w:val="fr-FR"/>
        </w:rPr>
        <w:t xml:space="preserve"> (par. 3)</w:t>
      </w:r>
      <w:r w:rsidRPr="00B55AFA">
        <w:rPr>
          <w:lang w:val="fr-FR"/>
        </w:rPr>
        <w:t xml:space="preserve"> </w:t>
      </w:r>
      <w:r>
        <w:rPr>
          <w:lang w:val="fr-FR"/>
        </w:rPr>
        <w:t>de son</w:t>
      </w:r>
      <w:r w:rsidRPr="00B55AFA">
        <w:rPr>
          <w:lang w:val="fr-FR"/>
        </w:rPr>
        <w:t xml:space="preserve"> </w:t>
      </w:r>
      <w:r>
        <w:rPr>
          <w:lang w:val="fr-FR"/>
        </w:rPr>
        <w:t>r</w:t>
      </w:r>
      <w:r w:rsidRPr="00B55AFA">
        <w:rPr>
          <w:lang w:val="fr-FR"/>
        </w:rPr>
        <w:t>èglement intérieur</w:t>
      </w:r>
      <w:r>
        <w:rPr>
          <w:lang w:val="fr-FR"/>
        </w:rPr>
        <w:t>,</w:t>
      </w:r>
      <w:r w:rsidRPr="00B55AFA">
        <w:rPr>
          <w:lang w:val="fr-FR"/>
        </w:rPr>
        <w:t xml:space="preserve"> </w:t>
      </w:r>
      <w:r>
        <w:rPr>
          <w:lang w:val="fr-FR"/>
        </w:rPr>
        <w:t>le</w:t>
      </w:r>
      <w:r w:rsidRPr="00B55AFA">
        <w:rPr>
          <w:lang w:val="fr-FR"/>
        </w:rPr>
        <w:t xml:space="preserve"> Comité, agissant par l</w:t>
      </w:r>
      <w:r>
        <w:rPr>
          <w:lang w:val="fr-FR"/>
        </w:rPr>
        <w:t>’</w:t>
      </w:r>
      <w:r w:rsidRPr="00B55AFA">
        <w:rPr>
          <w:lang w:val="fr-FR"/>
        </w:rPr>
        <w:t xml:space="preserve">intermédiaire de son </w:t>
      </w:r>
      <w:r>
        <w:rPr>
          <w:lang w:val="fr-FR"/>
        </w:rPr>
        <w:t>R</w:t>
      </w:r>
      <w:r w:rsidRPr="001E4619">
        <w:rPr>
          <w:lang w:val="fr-FR"/>
        </w:rPr>
        <w:t>apporteur chargé des nouvelles requêtes et des mesures provisoires</w:t>
      </w:r>
      <w:r>
        <w:rPr>
          <w:lang w:val="fr-FR"/>
        </w:rPr>
        <w:t xml:space="preserve"> de protection</w:t>
      </w:r>
      <w:r w:rsidRPr="00B55AFA">
        <w:rPr>
          <w:lang w:val="fr-FR"/>
        </w:rPr>
        <w:t>, a rejeté la demande de l</w:t>
      </w:r>
      <w:r>
        <w:rPr>
          <w:lang w:val="fr-FR"/>
        </w:rPr>
        <w:t>’</w:t>
      </w:r>
      <w:r w:rsidRPr="00B55AFA">
        <w:rPr>
          <w:lang w:val="fr-FR"/>
        </w:rPr>
        <w:t xml:space="preserve">État partie tendant à ce que la </w:t>
      </w:r>
      <w:r w:rsidRPr="00B55AFA">
        <w:rPr>
          <w:lang w:val="fr-FR"/>
        </w:rPr>
        <w:lastRenderedPageBreak/>
        <w:t>recevabilité de la communication soit examinée séparément du fond</w:t>
      </w:r>
      <w:r>
        <w:rPr>
          <w:lang w:val="fr-FR"/>
        </w:rPr>
        <w:t>, et a refusé les demandes de l’État partie, datées des 18 juin et 22 octobre 2018, de lever les mesures provisoires.</w:t>
      </w:r>
    </w:p>
    <w:p w14:paraId="4A0CB87E" w14:textId="77777777" w:rsidR="007767F9" w:rsidRPr="00A934F4" w:rsidRDefault="007767F9" w:rsidP="007767F9">
      <w:pPr>
        <w:pStyle w:val="H23G"/>
        <w:rPr>
          <w:lang w:val="fr-FR"/>
        </w:rPr>
      </w:pPr>
      <w:r w:rsidRPr="00A934F4">
        <w:rPr>
          <w:lang w:val="fr-FR"/>
        </w:rPr>
        <w:tab/>
      </w:r>
      <w:r w:rsidRPr="00A934F4">
        <w:rPr>
          <w:lang w:val="fr-FR"/>
        </w:rPr>
        <w:tab/>
        <w:t>Rappel des faits présentés par l</w:t>
      </w:r>
      <w:r>
        <w:rPr>
          <w:lang w:val="fr-FR"/>
        </w:rPr>
        <w:t>e</w:t>
      </w:r>
      <w:r w:rsidRPr="00A934F4">
        <w:rPr>
          <w:lang w:val="fr-FR"/>
        </w:rPr>
        <w:t xml:space="preserve"> requérant</w:t>
      </w:r>
    </w:p>
    <w:p w14:paraId="650E897F" w14:textId="77777777" w:rsidR="007767F9" w:rsidRPr="00560891" w:rsidRDefault="007767F9" w:rsidP="007767F9">
      <w:pPr>
        <w:pStyle w:val="SingleTxtG"/>
        <w:rPr>
          <w:lang w:val="fr-FR"/>
        </w:rPr>
      </w:pPr>
      <w:r w:rsidRPr="00A934F4">
        <w:rPr>
          <w:lang w:val="fr-FR"/>
        </w:rPr>
        <w:t>2.1</w:t>
      </w:r>
      <w:r>
        <w:rPr>
          <w:lang w:val="fr-FR"/>
        </w:rPr>
        <w:tab/>
        <w:t>Le requérant appartient à</w:t>
      </w:r>
      <w:r w:rsidRPr="00DE292B">
        <w:rPr>
          <w:lang w:val="fr-FR"/>
        </w:rPr>
        <w:t xml:space="preserve"> une famille de musulmans modérés, non pratiquants, qui ne se sont jamais </w:t>
      </w:r>
      <w:r>
        <w:rPr>
          <w:lang w:val="fr-FR"/>
        </w:rPr>
        <w:t>intéressés à la politique. Il était étudiant à l’</w:t>
      </w:r>
      <w:r w:rsidRPr="00DE292B">
        <w:rPr>
          <w:lang w:val="fr-FR"/>
        </w:rPr>
        <w:t>Université l</w:t>
      </w:r>
      <w:r>
        <w:rPr>
          <w:lang w:val="fr-FR"/>
        </w:rPr>
        <w:t xml:space="preserve">ibre de </w:t>
      </w:r>
      <w:proofErr w:type="spellStart"/>
      <w:r>
        <w:rPr>
          <w:lang w:val="fr-FR"/>
        </w:rPr>
        <w:t>Damavand</w:t>
      </w:r>
      <w:proofErr w:type="spellEnd"/>
      <w:r>
        <w:rPr>
          <w:lang w:val="fr-FR"/>
        </w:rPr>
        <w:t xml:space="preserve">, où il a commencé un diplôme de premier cycle en </w:t>
      </w:r>
      <w:r w:rsidRPr="00DE292B">
        <w:rPr>
          <w:lang w:val="fr-FR"/>
        </w:rPr>
        <w:t>management indu</w:t>
      </w:r>
      <w:r>
        <w:rPr>
          <w:lang w:val="fr-FR"/>
        </w:rPr>
        <w:t>striel, en septembre 2010. Au cours</w:t>
      </w:r>
      <w:r w:rsidRPr="00DE292B">
        <w:rPr>
          <w:lang w:val="fr-FR"/>
        </w:rPr>
        <w:t xml:space="preserve"> de l</w:t>
      </w:r>
      <w:r>
        <w:rPr>
          <w:lang w:val="fr-FR"/>
        </w:rPr>
        <w:t>’</w:t>
      </w:r>
      <w:r w:rsidRPr="00DE292B">
        <w:rPr>
          <w:lang w:val="fr-FR"/>
        </w:rPr>
        <w:t xml:space="preserve">année 2013, </w:t>
      </w:r>
      <w:r>
        <w:rPr>
          <w:lang w:val="fr-FR"/>
        </w:rPr>
        <w:t>il</w:t>
      </w:r>
      <w:r w:rsidRPr="00DE292B">
        <w:rPr>
          <w:lang w:val="fr-FR"/>
        </w:rPr>
        <w:t xml:space="preserve"> a </w:t>
      </w:r>
      <w:r>
        <w:rPr>
          <w:lang w:val="fr-FR"/>
        </w:rPr>
        <w:t>dispensé</w:t>
      </w:r>
      <w:r w:rsidRPr="00DE292B">
        <w:rPr>
          <w:lang w:val="fr-FR"/>
        </w:rPr>
        <w:t xml:space="preserve"> des cours privés en physique et en mathématiques à des </w:t>
      </w:r>
      <w:r>
        <w:rPr>
          <w:lang w:val="fr-FR"/>
        </w:rPr>
        <w:t>élèves d’</w:t>
      </w:r>
      <w:r w:rsidRPr="00DE292B">
        <w:rPr>
          <w:lang w:val="fr-FR"/>
        </w:rPr>
        <w:t xml:space="preserve">école secondaire, en parallèle </w:t>
      </w:r>
      <w:r>
        <w:rPr>
          <w:lang w:val="fr-FR"/>
        </w:rPr>
        <w:t>de ses</w:t>
      </w:r>
      <w:r w:rsidRPr="00DE292B">
        <w:rPr>
          <w:lang w:val="fr-FR"/>
        </w:rPr>
        <w:t xml:space="preserve"> études.</w:t>
      </w:r>
      <w:r>
        <w:rPr>
          <w:lang w:val="fr-FR"/>
        </w:rPr>
        <w:t xml:space="preserve"> </w:t>
      </w:r>
      <w:r w:rsidRPr="007A5B03">
        <w:rPr>
          <w:lang w:val="fr-FR"/>
        </w:rPr>
        <w:t>Il ne savait rien de la pratique religieuse de ses élèves.</w:t>
      </w:r>
    </w:p>
    <w:p w14:paraId="79BDB12A" w14:textId="77777777" w:rsidR="007767F9" w:rsidRPr="00560891" w:rsidRDefault="007767F9" w:rsidP="007767F9">
      <w:pPr>
        <w:pStyle w:val="SingleTxtG"/>
        <w:rPr>
          <w:lang w:val="fr-FR"/>
        </w:rPr>
      </w:pPr>
      <w:r>
        <w:rPr>
          <w:lang w:val="fr-FR"/>
        </w:rPr>
        <w:t>2.2</w:t>
      </w:r>
      <w:r w:rsidRPr="00560891">
        <w:rPr>
          <w:lang w:val="fr-FR"/>
        </w:rPr>
        <w:tab/>
        <w:t>En avril 2014, le requérant a voyagé en Suisse</w:t>
      </w:r>
      <w:r>
        <w:rPr>
          <w:lang w:val="fr-FR"/>
        </w:rPr>
        <w:t>, à Berne,</w:t>
      </w:r>
      <w:r w:rsidRPr="00560891">
        <w:rPr>
          <w:lang w:val="fr-FR"/>
        </w:rPr>
        <w:t xml:space="preserve"> e</w:t>
      </w:r>
      <w:r>
        <w:rPr>
          <w:lang w:val="fr-FR"/>
        </w:rPr>
        <w:t>n compagnie de son père, afin d’</w:t>
      </w:r>
      <w:r w:rsidRPr="00560891">
        <w:rPr>
          <w:lang w:val="fr-FR"/>
        </w:rPr>
        <w:t>y passer des vacances</w:t>
      </w:r>
      <w:r>
        <w:rPr>
          <w:lang w:val="fr-FR"/>
        </w:rPr>
        <w:t xml:space="preserve"> et de rendre visite à sa tante.</w:t>
      </w:r>
      <w:r w:rsidRPr="00560891">
        <w:rPr>
          <w:lang w:val="fr-FR"/>
        </w:rPr>
        <w:t xml:space="preserve"> Après un peu plus de deux semaines</w:t>
      </w:r>
      <w:r>
        <w:rPr>
          <w:lang w:val="fr-FR"/>
        </w:rPr>
        <w:t xml:space="preserve"> de voyage</w:t>
      </w:r>
      <w:r w:rsidRPr="00560891">
        <w:rPr>
          <w:lang w:val="fr-FR"/>
        </w:rPr>
        <w:t xml:space="preserve">, le requérant est rentré en </w:t>
      </w:r>
      <w:r>
        <w:rPr>
          <w:lang w:val="fr-FR"/>
        </w:rPr>
        <w:t>République islamique d’</w:t>
      </w:r>
      <w:r w:rsidRPr="00560891">
        <w:rPr>
          <w:lang w:val="fr-FR"/>
        </w:rPr>
        <w:t xml:space="preserve">Iran, accompagné de son père. </w:t>
      </w:r>
      <w:r>
        <w:rPr>
          <w:lang w:val="fr-FR"/>
        </w:rPr>
        <w:t>Il a mis en ligne des photos de ses vacances en Suisse sur l’un de ses</w:t>
      </w:r>
      <w:r w:rsidRPr="0005519A">
        <w:rPr>
          <w:lang w:val="fr-FR"/>
        </w:rPr>
        <w:t xml:space="preserve"> compte</w:t>
      </w:r>
      <w:r>
        <w:rPr>
          <w:lang w:val="fr-FR"/>
        </w:rPr>
        <w:t>s de réseaux sociaux</w:t>
      </w:r>
      <w:r w:rsidRPr="0005519A">
        <w:rPr>
          <w:lang w:val="fr-FR"/>
        </w:rPr>
        <w:t>.</w:t>
      </w:r>
    </w:p>
    <w:p w14:paraId="7D4284E7" w14:textId="77777777" w:rsidR="007767F9" w:rsidRPr="00DE292B" w:rsidRDefault="007767F9" w:rsidP="007767F9">
      <w:pPr>
        <w:pStyle w:val="SingleTxtG"/>
        <w:rPr>
          <w:lang w:val="fr-FR"/>
        </w:rPr>
      </w:pPr>
      <w:r>
        <w:rPr>
          <w:lang w:val="fr-FR"/>
        </w:rPr>
        <w:t>2.3</w:t>
      </w:r>
      <w:r>
        <w:rPr>
          <w:lang w:val="fr-FR"/>
        </w:rPr>
        <w:tab/>
        <w:t>En novembre 2014, lors d’un cours obligatoire sur la pensée islamique, le requérant et deux de ses amis ont donné leur point de vue sur l’i</w:t>
      </w:r>
      <w:r w:rsidRPr="00560891">
        <w:rPr>
          <w:lang w:val="fr-FR"/>
        </w:rPr>
        <w:t>slam, le radicalisme musulman, les incroyants et les infidèles</w:t>
      </w:r>
      <w:r>
        <w:rPr>
          <w:lang w:val="fr-FR"/>
        </w:rPr>
        <w:t xml:space="preserve">. Des </w:t>
      </w:r>
      <w:r w:rsidRPr="00BF3682">
        <w:rPr>
          <w:lang w:val="fr-FR"/>
        </w:rPr>
        <w:t>membre</w:t>
      </w:r>
      <w:r>
        <w:rPr>
          <w:lang w:val="fr-FR"/>
        </w:rPr>
        <w:t>s d’</w:t>
      </w:r>
      <w:r w:rsidRPr="00BF3682">
        <w:rPr>
          <w:lang w:val="fr-FR"/>
        </w:rPr>
        <w:t xml:space="preserve">une association islamique </w:t>
      </w:r>
      <w:r>
        <w:rPr>
          <w:lang w:val="fr-FR"/>
        </w:rPr>
        <w:t>d’étudiants ont répondu par des insultes et des menaces. La dispute a dégénéré en confrontation physique après le cours. Le requérant a tenté en vain d’intervenir</w:t>
      </w:r>
      <w:r w:rsidRPr="00560891">
        <w:rPr>
          <w:lang w:val="fr-FR"/>
        </w:rPr>
        <w:t xml:space="preserve"> afin de séparer deux de ses amis qui en venaient aux mains a</w:t>
      </w:r>
      <w:r>
        <w:rPr>
          <w:lang w:val="fr-FR"/>
        </w:rPr>
        <w:t>vec quatre ou cinq membres de l’association islamique d’</w:t>
      </w:r>
      <w:r w:rsidRPr="00560891">
        <w:rPr>
          <w:lang w:val="fr-FR"/>
        </w:rPr>
        <w:t>é</w:t>
      </w:r>
      <w:r>
        <w:rPr>
          <w:lang w:val="fr-FR"/>
        </w:rPr>
        <w:t>tudiants.</w:t>
      </w:r>
    </w:p>
    <w:p w14:paraId="7BF17A71" w14:textId="77777777" w:rsidR="007767F9" w:rsidRPr="004E40E8" w:rsidRDefault="007767F9" w:rsidP="007767F9">
      <w:pPr>
        <w:pStyle w:val="SingleTxtG"/>
        <w:rPr>
          <w:lang w:val="fr-FR"/>
        </w:rPr>
      </w:pPr>
      <w:r>
        <w:rPr>
          <w:lang w:val="fr-FR"/>
        </w:rPr>
        <w:t>2</w:t>
      </w:r>
      <w:r w:rsidRPr="0005519A">
        <w:rPr>
          <w:lang w:val="fr-FR"/>
        </w:rPr>
        <w:t>.</w:t>
      </w:r>
      <w:r>
        <w:rPr>
          <w:lang w:val="fr-FR"/>
        </w:rPr>
        <w:t>4</w:t>
      </w:r>
      <w:r>
        <w:rPr>
          <w:lang w:val="fr-FR"/>
        </w:rPr>
        <w:tab/>
      </w:r>
      <w:r w:rsidRPr="0005519A">
        <w:rPr>
          <w:lang w:val="fr-FR"/>
        </w:rPr>
        <w:t>Le</w:t>
      </w:r>
      <w:r>
        <w:rPr>
          <w:lang w:val="fr-FR"/>
        </w:rPr>
        <w:t>s membres du service de protection de l’</w:t>
      </w:r>
      <w:r w:rsidRPr="0005519A">
        <w:rPr>
          <w:lang w:val="fr-FR"/>
        </w:rPr>
        <w:t>Université (</w:t>
      </w:r>
      <w:proofErr w:type="spellStart"/>
      <w:r w:rsidRPr="0005519A">
        <w:rPr>
          <w:lang w:val="fr-FR"/>
        </w:rPr>
        <w:t>Heressat</w:t>
      </w:r>
      <w:proofErr w:type="spellEnd"/>
      <w:r w:rsidRPr="0005519A">
        <w:rPr>
          <w:lang w:val="fr-FR"/>
        </w:rPr>
        <w:t xml:space="preserve">) </w:t>
      </w:r>
      <w:r>
        <w:rPr>
          <w:lang w:val="fr-FR"/>
        </w:rPr>
        <w:t>sont</w:t>
      </w:r>
      <w:r w:rsidRPr="0005519A">
        <w:rPr>
          <w:lang w:val="fr-FR"/>
        </w:rPr>
        <w:t xml:space="preserve"> intervenu</w:t>
      </w:r>
      <w:r>
        <w:rPr>
          <w:lang w:val="fr-FR"/>
        </w:rPr>
        <w:t>s</w:t>
      </w:r>
      <w:r w:rsidRPr="0005519A">
        <w:rPr>
          <w:lang w:val="fr-FR"/>
        </w:rPr>
        <w:t xml:space="preserve"> et </w:t>
      </w:r>
      <w:r>
        <w:rPr>
          <w:lang w:val="fr-FR"/>
        </w:rPr>
        <w:t>ont</w:t>
      </w:r>
      <w:r w:rsidRPr="0005519A">
        <w:rPr>
          <w:lang w:val="fr-FR"/>
        </w:rPr>
        <w:t xml:space="preserve"> emmené </w:t>
      </w:r>
      <w:r>
        <w:rPr>
          <w:lang w:val="fr-FR"/>
        </w:rPr>
        <w:t>le requérant</w:t>
      </w:r>
      <w:r w:rsidRPr="0005519A">
        <w:rPr>
          <w:lang w:val="fr-FR"/>
        </w:rPr>
        <w:t xml:space="preserve"> </w:t>
      </w:r>
      <w:r>
        <w:rPr>
          <w:lang w:val="fr-FR"/>
        </w:rPr>
        <w:t>et</w:t>
      </w:r>
      <w:r w:rsidRPr="0005519A">
        <w:rPr>
          <w:lang w:val="fr-FR"/>
        </w:rPr>
        <w:t xml:space="preserve"> ses deux amis dans </w:t>
      </w:r>
      <w:r>
        <w:rPr>
          <w:lang w:val="fr-FR"/>
        </w:rPr>
        <w:t>leurs</w:t>
      </w:r>
      <w:r w:rsidRPr="0005519A">
        <w:rPr>
          <w:lang w:val="fr-FR"/>
        </w:rPr>
        <w:t xml:space="preserve"> bureaux. I</w:t>
      </w:r>
      <w:r>
        <w:rPr>
          <w:lang w:val="fr-FR"/>
        </w:rPr>
        <w:t>ls</w:t>
      </w:r>
      <w:r w:rsidRPr="0005519A">
        <w:rPr>
          <w:lang w:val="fr-FR"/>
        </w:rPr>
        <w:t xml:space="preserve"> </w:t>
      </w:r>
      <w:r>
        <w:rPr>
          <w:lang w:val="fr-FR"/>
        </w:rPr>
        <w:t>ont</w:t>
      </w:r>
      <w:r w:rsidRPr="0005519A">
        <w:rPr>
          <w:lang w:val="fr-FR"/>
        </w:rPr>
        <w:t xml:space="preserve"> également </w:t>
      </w:r>
      <w:r>
        <w:rPr>
          <w:lang w:val="fr-FR"/>
        </w:rPr>
        <w:t>joint</w:t>
      </w:r>
      <w:r w:rsidRPr="0005519A">
        <w:rPr>
          <w:lang w:val="fr-FR"/>
        </w:rPr>
        <w:t xml:space="preserve"> la </w:t>
      </w:r>
      <w:r>
        <w:rPr>
          <w:lang w:val="fr-FR"/>
        </w:rPr>
        <w:t>p</w:t>
      </w:r>
      <w:r w:rsidRPr="0005519A">
        <w:rPr>
          <w:lang w:val="fr-FR"/>
        </w:rPr>
        <w:t>olice</w:t>
      </w:r>
      <w:r>
        <w:rPr>
          <w:lang w:val="fr-FR"/>
        </w:rPr>
        <w:t xml:space="preserve">, </w:t>
      </w:r>
      <w:r w:rsidRPr="0005519A">
        <w:rPr>
          <w:lang w:val="fr-FR"/>
        </w:rPr>
        <w:t>qui les a</w:t>
      </w:r>
      <w:r>
        <w:rPr>
          <w:lang w:val="fr-FR"/>
        </w:rPr>
        <w:t xml:space="preserve"> ensuite</w:t>
      </w:r>
      <w:r w:rsidRPr="0005519A">
        <w:rPr>
          <w:lang w:val="fr-FR"/>
        </w:rPr>
        <w:t xml:space="preserve"> emmenés au commissariat</w:t>
      </w:r>
      <w:r>
        <w:rPr>
          <w:lang w:val="fr-FR"/>
        </w:rPr>
        <w:t>,</w:t>
      </w:r>
      <w:r w:rsidRPr="0005519A">
        <w:rPr>
          <w:lang w:val="fr-FR"/>
        </w:rPr>
        <w:t xml:space="preserve"> où ils ont été dét</w:t>
      </w:r>
      <w:r>
        <w:rPr>
          <w:lang w:val="fr-FR"/>
        </w:rPr>
        <w:t>en</w:t>
      </w:r>
      <w:r w:rsidRPr="0005519A">
        <w:rPr>
          <w:lang w:val="fr-FR"/>
        </w:rPr>
        <w:t>u</w:t>
      </w:r>
      <w:r>
        <w:rPr>
          <w:lang w:val="fr-FR"/>
        </w:rPr>
        <w:t>s</w:t>
      </w:r>
      <w:r w:rsidRPr="0005519A">
        <w:rPr>
          <w:lang w:val="fr-FR"/>
        </w:rPr>
        <w:t xml:space="preserve"> pen</w:t>
      </w:r>
      <w:r>
        <w:rPr>
          <w:lang w:val="fr-FR"/>
        </w:rPr>
        <w:t>d</w:t>
      </w:r>
      <w:r w:rsidRPr="0005519A">
        <w:rPr>
          <w:lang w:val="fr-FR"/>
        </w:rPr>
        <w:t>ant deux jours. Les membr</w:t>
      </w:r>
      <w:r>
        <w:rPr>
          <w:lang w:val="fr-FR"/>
        </w:rPr>
        <w:t>es de l’association islamique d’étudiants n’</w:t>
      </w:r>
      <w:r w:rsidRPr="0005519A">
        <w:rPr>
          <w:lang w:val="fr-FR"/>
        </w:rPr>
        <w:t xml:space="preserve">ont pas été </w:t>
      </w:r>
      <w:r>
        <w:rPr>
          <w:lang w:val="fr-FR"/>
        </w:rPr>
        <w:t>arrêtés</w:t>
      </w:r>
      <w:r w:rsidRPr="0005519A">
        <w:rPr>
          <w:lang w:val="fr-FR"/>
        </w:rPr>
        <w:t>. Il a</w:t>
      </w:r>
      <w:r>
        <w:rPr>
          <w:lang w:val="fr-FR"/>
        </w:rPr>
        <w:t xml:space="preserve"> été</w:t>
      </w:r>
      <w:r w:rsidRPr="0005519A">
        <w:rPr>
          <w:lang w:val="fr-FR"/>
        </w:rPr>
        <w:t xml:space="preserve"> reproché </w:t>
      </w:r>
      <w:r>
        <w:rPr>
          <w:lang w:val="fr-FR"/>
        </w:rPr>
        <w:t>au requérant et à ses amis d’</w:t>
      </w:r>
      <w:r w:rsidRPr="0005519A">
        <w:rPr>
          <w:lang w:val="fr-FR"/>
        </w:rPr>
        <w:t>avoir troublé l</w:t>
      </w:r>
      <w:r>
        <w:rPr>
          <w:lang w:val="fr-FR"/>
        </w:rPr>
        <w:t>’</w:t>
      </w:r>
      <w:r w:rsidRPr="0005519A">
        <w:rPr>
          <w:lang w:val="fr-FR"/>
        </w:rPr>
        <w:t xml:space="preserve">ordre de </w:t>
      </w:r>
      <w:r>
        <w:rPr>
          <w:lang w:val="fr-FR"/>
        </w:rPr>
        <w:t>l’</w:t>
      </w:r>
      <w:r w:rsidRPr="0005519A">
        <w:rPr>
          <w:lang w:val="fr-FR"/>
        </w:rPr>
        <w:t>Université et de s</w:t>
      </w:r>
      <w:r>
        <w:rPr>
          <w:lang w:val="fr-FR"/>
        </w:rPr>
        <w:t>’</w:t>
      </w:r>
      <w:r w:rsidRPr="0005519A">
        <w:rPr>
          <w:lang w:val="fr-FR"/>
        </w:rPr>
        <w:t>être engagés dans des discussions re</w:t>
      </w:r>
      <w:r>
        <w:rPr>
          <w:lang w:val="fr-FR"/>
        </w:rPr>
        <w:t>ligieuses sans rapport avec les</w:t>
      </w:r>
      <w:r w:rsidRPr="0005519A">
        <w:rPr>
          <w:lang w:val="fr-FR"/>
        </w:rPr>
        <w:t xml:space="preserve"> cours. Avant d</w:t>
      </w:r>
      <w:r>
        <w:rPr>
          <w:lang w:val="fr-FR"/>
        </w:rPr>
        <w:t>’</w:t>
      </w:r>
      <w:r w:rsidRPr="0005519A">
        <w:rPr>
          <w:lang w:val="fr-FR"/>
        </w:rPr>
        <w:t xml:space="preserve">être libérés, ils ont dû </w:t>
      </w:r>
      <w:r>
        <w:rPr>
          <w:lang w:val="fr-FR"/>
        </w:rPr>
        <w:t>s’engager par écrit auprès de l’</w:t>
      </w:r>
      <w:r w:rsidRPr="0005519A">
        <w:rPr>
          <w:lang w:val="fr-FR"/>
        </w:rPr>
        <w:t xml:space="preserve">Université </w:t>
      </w:r>
      <w:r>
        <w:rPr>
          <w:lang w:val="fr-FR"/>
        </w:rPr>
        <w:t>à</w:t>
      </w:r>
      <w:r w:rsidRPr="0005519A">
        <w:rPr>
          <w:lang w:val="fr-FR"/>
        </w:rPr>
        <w:t xml:space="preserve"> ne plus être mêlés à une dispute, faute de quoi ils </w:t>
      </w:r>
      <w:r>
        <w:rPr>
          <w:lang w:val="fr-FR"/>
        </w:rPr>
        <w:t>ne pourraient</w:t>
      </w:r>
      <w:r w:rsidRPr="0005519A">
        <w:rPr>
          <w:lang w:val="fr-FR"/>
        </w:rPr>
        <w:t xml:space="preserve"> terminer leur cursus </w:t>
      </w:r>
      <w:r>
        <w:rPr>
          <w:lang w:val="fr-FR"/>
        </w:rPr>
        <w:t>universitaire</w:t>
      </w:r>
      <w:r w:rsidRPr="0005519A">
        <w:rPr>
          <w:lang w:val="fr-FR"/>
        </w:rPr>
        <w:t>.</w:t>
      </w:r>
    </w:p>
    <w:p w14:paraId="79F329DF" w14:textId="77777777" w:rsidR="007767F9" w:rsidRPr="004E40E8" w:rsidRDefault="007767F9" w:rsidP="007767F9">
      <w:pPr>
        <w:pStyle w:val="SingleTxtG"/>
        <w:rPr>
          <w:lang w:val="fr-FR"/>
        </w:rPr>
      </w:pPr>
      <w:r>
        <w:rPr>
          <w:lang w:val="fr-FR"/>
        </w:rPr>
        <w:t>2.5</w:t>
      </w:r>
      <w:r>
        <w:rPr>
          <w:lang w:val="fr-FR"/>
        </w:rPr>
        <w:tab/>
      </w:r>
      <w:r w:rsidRPr="004E40E8">
        <w:rPr>
          <w:lang w:val="fr-FR"/>
        </w:rPr>
        <w:t>Autour du</w:t>
      </w:r>
      <w:r>
        <w:rPr>
          <w:lang w:val="fr-FR"/>
        </w:rPr>
        <w:t xml:space="preserve"> 18</w:t>
      </w:r>
      <w:r w:rsidRPr="004E40E8">
        <w:rPr>
          <w:lang w:val="fr-FR"/>
        </w:rPr>
        <w:t xml:space="preserve"> janvier 2015, des hommes en civil se présentant comme des agents du </w:t>
      </w:r>
      <w:proofErr w:type="spellStart"/>
      <w:r w:rsidRPr="004E40E8">
        <w:rPr>
          <w:lang w:val="fr-FR"/>
        </w:rPr>
        <w:t>S</w:t>
      </w:r>
      <w:r w:rsidRPr="005864B9">
        <w:rPr>
          <w:lang w:val="fr-FR"/>
        </w:rPr>
        <w:t>epah</w:t>
      </w:r>
      <w:proofErr w:type="spellEnd"/>
      <w:r>
        <w:rPr>
          <w:lang w:val="fr-FR"/>
        </w:rPr>
        <w:t xml:space="preserve">, connu aussi sous le nom de </w:t>
      </w:r>
      <w:r w:rsidRPr="004E40E8">
        <w:rPr>
          <w:lang w:val="fr-FR"/>
        </w:rPr>
        <w:t xml:space="preserve">Corps des </w:t>
      </w:r>
      <w:r>
        <w:rPr>
          <w:lang w:val="fr-FR"/>
        </w:rPr>
        <w:t xml:space="preserve">gardiens de la révolution islamique ou </w:t>
      </w:r>
      <w:r w:rsidRPr="004E40E8">
        <w:rPr>
          <w:lang w:val="fr-FR"/>
        </w:rPr>
        <w:t>Pasda</w:t>
      </w:r>
      <w:r>
        <w:rPr>
          <w:lang w:val="fr-FR"/>
        </w:rPr>
        <w:t>ran</w:t>
      </w:r>
      <w:r w:rsidRPr="004E40E8">
        <w:rPr>
          <w:lang w:val="fr-FR"/>
        </w:rPr>
        <w:t>, ont contraint</w:t>
      </w:r>
      <w:r>
        <w:rPr>
          <w:lang w:val="fr-FR"/>
        </w:rPr>
        <w:t xml:space="preserve"> le requérant</w:t>
      </w:r>
      <w:r w:rsidRPr="004E40E8">
        <w:rPr>
          <w:lang w:val="fr-FR"/>
        </w:rPr>
        <w:t xml:space="preserve"> à monter dans leur véhicule banalisé. Ils lui ont montré </w:t>
      </w:r>
      <w:r>
        <w:rPr>
          <w:lang w:val="fr-FR"/>
        </w:rPr>
        <w:t>un mandat d’</w:t>
      </w:r>
      <w:r w:rsidRPr="004E40E8">
        <w:rPr>
          <w:lang w:val="fr-FR"/>
        </w:rPr>
        <w:t>amener établi par les huissiers du tribunal de la juridiction. La feuille ne portait ni référence ni date</w:t>
      </w:r>
      <w:r>
        <w:rPr>
          <w:lang w:val="fr-FR"/>
        </w:rPr>
        <w:t>,</w:t>
      </w:r>
      <w:r w:rsidRPr="004E40E8">
        <w:rPr>
          <w:lang w:val="fr-FR"/>
        </w:rPr>
        <w:t xml:space="preserve"> les motifs de l</w:t>
      </w:r>
      <w:r>
        <w:rPr>
          <w:lang w:val="fr-FR"/>
        </w:rPr>
        <w:t>’</w:t>
      </w:r>
      <w:r w:rsidRPr="004E40E8">
        <w:rPr>
          <w:lang w:val="fr-FR"/>
        </w:rPr>
        <w:t>interpella</w:t>
      </w:r>
      <w:r>
        <w:rPr>
          <w:lang w:val="fr-FR"/>
        </w:rPr>
        <w:t xml:space="preserve">tion étaient absents, et seuls y figuraient le </w:t>
      </w:r>
      <w:r w:rsidRPr="004E40E8">
        <w:rPr>
          <w:lang w:val="fr-FR"/>
        </w:rPr>
        <w:t>nom du requérant</w:t>
      </w:r>
      <w:r>
        <w:rPr>
          <w:lang w:val="fr-FR"/>
        </w:rPr>
        <w:t>,</w:t>
      </w:r>
      <w:r w:rsidRPr="004E40E8">
        <w:rPr>
          <w:lang w:val="fr-FR"/>
        </w:rPr>
        <w:t xml:space="preserve"> de façon manuscrite</w:t>
      </w:r>
      <w:r>
        <w:rPr>
          <w:lang w:val="fr-FR"/>
        </w:rPr>
        <w:t>,</w:t>
      </w:r>
      <w:r w:rsidRPr="004E40E8">
        <w:rPr>
          <w:lang w:val="fr-FR"/>
        </w:rPr>
        <w:t xml:space="preserve"> </w:t>
      </w:r>
      <w:r>
        <w:rPr>
          <w:lang w:val="fr-FR"/>
        </w:rPr>
        <w:t>ainsi qu’</w:t>
      </w:r>
      <w:r w:rsidRPr="004E40E8">
        <w:rPr>
          <w:lang w:val="fr-FR"/>
        </w:rPr>
        <w:t xml:space="preserve">une signature. Pendant le trajet, les agents du </w:t>
      </w:r>
      <w:proofErr w:type="spellStart"/>
      <w:r w:rsidRPr="004E40E8">
        <w:rPr>
          <w:lang w:val="fr-FR"/>
        </w:rPr>
        <w:t>S</w:t>
      </w:r>
      <w:r w:rsidRPr="005864B9">
        <w:rPr>
          <w:lang w:val="fr-FR"/>
        </w:rPr>
        <w:t>epah</w:t>
      </w:r>
      <w:proofErr w:type="spellEnd"/>
      <w:r w:rsidRPr="004E40E8">
        <w:rPr>
          <w:lang w:val="fr-FR"/>
        </w:rPr>
        <w:t xml:space="preserve"> ont lié les mains du requérant dans son dos, lui ont couvert la tête d</w:t>
      </w:r>
      <w:r>
        <w:rPr>
          <w:lang w:val="fr-FR"/>
        </w:rPr>
        <w:t>’un bandeau et l’</w:t>
      </w:r>
      <w:r w:rsidRPr="004E40E8">
        <w:rPr>
          <w:lang w:val="fr-FR"/>
        </w:rPr>
        <w:t xml:space="preserve">ont contraint à </w:t>
      </w:r>
      <w:r>
        <w:rPr>
          <w:lang w:val="fr-FR"/>
        </w:rPr>
        <w:t>placer</w:t>
      </w:r>
      <w:r w:rsidRPr="004E40E8">
        <w:rPr>
          <w:lang w:val="fr-FR"/>
        </w:rPr>
        <w:t xml:space="preserve"> la tête entre </w:t>
      </w:r>
      <w:r>
        <w:rPr>
          <w:lang w:val="fr-FR"/>
        </w:rPr>
        <w:t>ses</w:t>
      </w:r>
      <w:r w:rsidRPr="004E40E8">
        <w:rPr>
          <w:lang w:val="fr-FR"/>
        </w:rPr>
        <w:t xml:space="preserve"> genoux.</w:t>
      </w:r>
    </w:p>
    <w:p w14:paraId="009A54B7" w14:textId="2E8E82ED" w:rsidR="007767F9" w:rsidRPr="0030363C" w:rsidRDefault="007767F9" w:rsidP="007767F9">
      <w:pPr>
        <w:pStyle w:val="SingleTxtG"/>
        <w:rPr>
          <w:lang w:val="fr-FR"/>
        </w:rPr>
      </w:pPr>
      <w:r>
        <w:rPr>
          <w:lang w:val="fr-FR"/>
        </w:rPr>
        <w:t>2.6</w:t>
      </w:r>
      <w:r>
        <w:rPr>
          <w:lang w:val="fr-FR"/>
        </w:rPr>
        <w:tab/>
        <w:t>À l’arrivée du requérant dans le lieu de détention, l</w:t>
      </w:r>
      <w:r w:rsidRPr="00DE292B">
        <w:rPr>
          <w:lang w:val="fr-FR"/>
        </w:rPr>
        <w:t xml:space="preserve">es menottes et le bandeau </w:t>
      </w:r>
      <w:r w:rsidRPr="004E40E8">
        <w:rPr>
          <w:lang w:val="fr-FR"/>
        </w:rPr>
        <w:t xml:space="preserve">qui lui couvrait la tête ont été ôtés. </w:t>
      </w:r>
      <w:r>
        <w:rPr>
          <w:lang w:val="fr-FR"/>
        </w:rPr>
        <w:t>Il</w:t>
      </w:r>
      <w:r w:rsidRPr="004E40E8">
        <w:rPr>
          <w:lang w:val="fr-FR"/>
        </w:rPr>
        <w:t xml:space="preserve"> a été placé dans </w:t>
      </w:r>
      <w:r>
        <w:rPr>
          <w:lang w:val="fr-FR"/>
        </w:rPr>
        <w:t>une cellule insalubre</w:t>
      </w:r>
      <w:r w:rsidRPr="009C05C0">
        <w:rPr>
          <w:lang w:val="fr-FR"/>
        </w:rPr>
        <w:t xml:space="preserve"> située au sous-sol, où il est resté seul, sans lumière, pendant </w:t>
      </w:r>
      <w:r w:rsidRPr="000D698E">
        <w:rPr>
          <w:lang w:val="fr-FR"/>
        </w:rPr>
        <w:t>environ quatre jours.</w:t>
      </w:r>
      <w:r w:rsidRPr="005864B9">
        <w:rPr>
          <w:lang w:val="fr-FR"/>
        </w:rPr>
        <w:t xml:space="preserve"> </w:t>
      </w:r>
      <w:r w:rsidRPr="004E40E8">
        <w:rPr>
          <w:lang w:val="fr-FR"/>
        </w:rPr>
        <w:t>Puis</w:t>
      </w:r>
      <w:r>
        <w:rPr>
          <w:lang w:val="fr-FR"/>
        </w:rPr>
        <w:t>,</w:t>
      </w:r>
      <w:r w:rsidRPr="004E40E8">
        <w:rPr>
          <w:lang w:val="fr-FR"/>
        </w:rPr>
        <w:t xml:space="preserve"> il a subi plusieurs inter</w:t>
      </w:r>
      <w:r w:rsidRPr="005864B9">
        <w:rPr>
          <w:lang w:val="fr-FR"/>
        </w:rPr>
        <w:t>r</w:t>
      </w:r>
      <w:r w:rsidRPr="004E40E8">
        <w:rPr>
          <w:lang w:val="fr-FR"/>
        </w:rPr>
        <w:t>ogatoire</w:t>
      </w:r>
      <w:r w:rsidRPr="005864B9">
        <w:rPr>
          <w:lang w:val="fr-FR"/>
        </w:rPr>
        <w:t>s</w:t>
      </w:r>
      <w:r w:rsidRPr="004E40E8">
        <w:rPr>
          <w:lang w:val="fr-FR"/>
        </w:rPr>
        <w:t xml:space="preserve"> </w:t>
      </w:r>
      <w:r>
        <w:rPr>
          <w:lang w:val="fr-FR"/>
        </w:rPr>
        <w:t xml:space="preserve">menés </w:t>
      </w:r>
      <w:r w:rsidRPr="004E40E8">
        <w:rPr>
          <w:lang w:val="fr-FR"/>
        </w:rPr>
        <w:t>par des hommes le plus souvent cagoulés, pendant lesquels il subissait des pressions psychologiques et des actes de torture physique.</w:t>
      </w:r>
      <w:r>
        <w:rPr>
          <w:lang w:val="fr-FR"/>
        </w:rPr>
        <w:t xml:space="preserve"> </w:t>
      </w:r>
      <w:r w:rsidRPr="0030363C">
        <w:rPr>
          <w:lang w:val="fr-FR"/>
        </w:rPr>
        <w:t xml:space="preserve">Il a été roué de coups de bâtons, de tuyaux en plastique, de câbles </w:t>
      </w:r>
      <w:r>
        <w:rPr>
          <w:lang w:val="fr-FR"/>
        </w:rPr>
        <w:t xml:space="preserve">ou de cordelettes ainsi que de </w:t>
      </w:r>
      <w:r w:rsidRPr="0030363C">
        <w:rPr>
          <w:lang w:val="fr-FR"/>
        </w:rPr>
        <w:t>coups de pied</w:t>
      </w:r>
      <w:r>
        <w:rPr>
          <w:lang w:val="fr-FR"/>
        </w:rPr>
        <w:t>s</w:t>
      </w:r>
      <w:r w:rsidRPr="0030363C">
        <w:rPr>
          <w:lang w:val="fr-FR"/>
        </w:rPr>
        <w:t xml:space="preserve"> bottés sur</w:t>
      </w:r>
      <w:r>
        <w:rPr>
          <w:lang w:val="fr-FR"/>
        </w:rPr>
        <w:t xml:space="preserve"> les tibias</w:t>
      </w:r>
      <w:r w:rsidR="00627D27">
        <w:rPr>
          <w:lang w:val="fr-FR"/>
        </w:rPr>
        <w:t> ;</w:t>
      </w:r>
      <w:r>
        <w:rPr>
          <w:lang w:val="fr-FR"/>
        </w:rPr>
        <w:t xml:space="preserve"> un crayon a été placé entre ses doigts et</w:t>
      </w:r>
      <w:r w:rsidRPr="0030363C">
        <w:rPr>
          <w:lang w:val="fr-FR"/>
        </w:rPr>
        <w:t xml:space="preserve"> les phalanges de ses mains ont été écrasées</w:t>
      </w:r>
      <w:r w:rsidR="00627D27">
        <w:rPr>
          <w:lang w:val="fr-FR"/>
        </w:rPr>
        <w:t> ;</w:t>
      </w:r>
      <w:r>
        <w:rPr>
          <w:lang w:val="fr-FR"/>
        </w:rPr>
        <w:t xml:space="preserve"> d</w:t>
      </w:r>
      <w:r w:rsidRPr="0030363C">
        <w:rPr>
          <w:lang w:val="fr-FR"/>
        </w:rPr>
        <w:t>es chiffons humides ont été placés sur s</w:t>
      </w:r>
      <w:r>
        <w:rPr>
          <w:lang w:val="fr-FR"/>
        </w:rPr>
        <w:t>on visage jusqu’à étouffement</w:t>
      </w:r>
      <w:r w:rsidR="00627D27">
        <w:rPr>
          <w:lang w:val="fr-FR"/>
        </w:rPr>
        <w:t> ;</w:t>
      </w:r>
      <w:r>
        <w:rPr>
          <w:lang w:val="fr-FR"/>
        </w:rPr>
        <w:t xml:space="preserve"> s</w:t>
      </w:r>
      <w:r w:rsidRPr="0030363C">
        <w:rPr>
          <w:lang w:val="fr-FR"/>
        </w:rPr>
        <w:t>a tête a été plongée dans des seaux d</w:t>
      </w:r>
      <w:r>
        <w:rPr>
          <w:lang w:val="fr-FR"/>
        </w:rPr>
        <w:t>’</w:t>
      </w:r>
      <w:r w:rsidRPr="0030363C">
        <w:rPr>
          <w:lang w:val="fr-FR"/>
        </w:rPr>
        <w:t>eau souillée</w:t>
      </w:r>
      <w:r w:rsidR="00627D27">
        <w:rPr>
          <w:lang w:val="fr-FR"/>
        </w:rPr>
        <w:t> ;</w:t>
      </w:r>
      <w:r>
        <w:rPr>
          <w:lang w:val="fr-FR"/>
        </w:rPr>
        <w:t xml:space="preserve"> i</w:t>
      </w:r>
      <w:r w:rsidRPr="0030363C">
        <w:rPr>
          <w:lang w:val="fr-FR"/>
        </w:rPr>
        <w:t>l a été suspendu par les épaules</w:t>
      </w:r>
      <w:r w:rsidR="00627D27">
        <w:rPr>
          <w:lang w:val="fr-FR"/>
        </w:rPr>
        <w:t> ;</w:t>
      </w:r>
      <w:r>
        <w:rPr>
          <w:lang w:val="fr-FR"/>
        </w:rPr>
        <w:t xml:space="preserve"> il</w:t>
      </w:r>
      <w:r w:rsidRPr="0030363C">
        <w:rPr>
          <w:lang w:val="fr-FR"/>
        </w:rPr>
        <w:t xml:space="preserve"> a été</w:t>
      </w:r>
      <w:r>
        <w:rPr>
          <w:lang w:val="fr-FR"/>
        </w:rPr>
        <w:t xml:space="preserve"> frappé sur la plante des pieds</w:t>
      </w:r>
      <w:r w:rsidR="00627D27">
        <w:rPr>
          <w:lang w:val="fr-FR"/>
        </w:rPr>
        <w:t> ;</w:t>
      </w:r>
      <w:r>
        <w:rPr>
          <w:lang w:val="fr-FR"/>
        </w:rPr>
        <w:t xml:space="preserve"> des décharges électriques</w:t>
      </w:r>
      <w:r w:rsidRPr="0030363C">
        <w:rPr>
          <w:lang w:val="fr-FR"/>
        </w:rPr>
        <w:t xml:space="preserve"> lui </w:t>
      </w:r>
      <w:r>
        <w:rPr>
          <w:lang w:val="fr-FR"/>
        </w:rPr>
        <w:t>ont</w:t>
      </w:r>
      <w:r w:rsidRPr="0030363C">
        <w:rPr>
          <w:lang w:val="fr-FR"/>
        </w:rPr>
        <w:t xml:space="preserve"> été administrée</w:t>
      </w:r>
      <w:r>
        <w:rPr>
          <w:lang w:val="fr-FR"/>
        </w:rPr>
        <w:t>s</w:t>
      </w:r>
      <w:r w:rsidRPr="0030363C">
        <w:rPr>
          <w:lang w:val="fr-FR"/>
        </w:rPr>
        <w:t xml:space="preserve"> au moyen de pinces fixées sur ses pouces, lui écrasant les ongles</w:t>
      </w:r>
      <w:r w:rsidR="00627D27">
        <w:rPr>
          <w:lang w:val="fr-FR"/>
        </w:rPr>
        <w:t> ;</w:t>
      </w:r>
      <w:r>
        <w:rPr>
          <w:lang w:val="fr-FR"/>
        </w:rPr>
        <w:t xml:space="preserve"> il a été d</w:t>
      </w:r>
      <w:r w:rsidRPr="0030363C">
        <w:rPr>
          <w:lang w:val="fr-FR"/>
        </w:rPr>
        <w:t>énudé</w:t>
      </w:r>
      <w:r>
        <w:rPr>
          <w:lang w:val="fr-FR"/>
        </w:rPr>
        <w:t xml:space="preserve"> et</w:t>
      </w:r>
      <w:r w:rsidRPr="0030363C">
        <w:rPr>
          <w:lang w:val="fr-FR"/>
        </w:rPr>
        <w:t xml:space="preserve"> menacé de violences sexuelles</w:t>
      </w:r>
      <w:r w:rsidR="00627D27">
        <w:rPr>
          <w:lang w:val="fr-FR"/>
        </w:rPr>
        <w:t> ;</w:t>
      </w:r>
      <w:r>
        <w:rPr>
          <w:lang w:val="fr-FR"/>
        </w:rPr>
        <w:t xml:space="preserve"> il a</w:t>
      </w:r>
      <w:r w:rsidRPr="0030363C">
        <w:rPr>
          <w:lang w:val="fr-FR"/>
        </w:rPr>
        <w:t xml:space="preserve"> subi des simu</w:t>
      </w:r>
      <w:r>
        <w:rPr>
          <w:lang w:val="fr-FR"/>
        </w:rPr>
        <w:t>lacres de sodomie par matraque</w:t>
      </w:r>
      <w:r w:rsidR="00627D27">
        <w:rPr>
          <w:lang w:val="fr-FR"/>
        </w:rPr>
        <w:t> ;</w:t>
      </w:r>
      <w:r>
        <w:rPr>
          <w:lang w:val="fr-FR"/>
        </w:rPr>
        <w:t xml:space="preserve"> et i</w:t>
      </w:r>
      <w:r w:rsidRPr="0030363C">
        <w:rPr>
          <w:lang w:val="fr-FR"/>
        </w:rPr>
        <w:t xml:space="preserve">l </w:t>
      </w:r>
      <w:r>
        <w:rPr>
          <w:lang w:val="fr-FR"/>
        </w:rPr>
        <w:t>a subi un simulacre d’exécution. Le requérant</w:t>
      </w:r>
      <w:r w:rsidRPr="0030363C">
        <w:rPr>
          <w:lang w:val="fr-FR"/>
        </w:rPr>
        <w:t xml:space="preserve"> conserve encore des séquelles de ces mauvais traitements</w:t>
      </w:r>
      <w:r w:rsidRPr="002074C3">
        <w:rPr>
          <w:rStyle w:val="Appelnotedebasdep"/>
        </w:rPr>
        <w:footnoteReference w:id="4"/>
      </w:r>
      <w:r>
        <w:rPr>
          <w:lang w:val="fr-FR"/>
        </w:rPr>
        <w:t>,</w:t>
      </w:r>
      <w:r w:rsidRPr="0030363C">
        <w:rPr>
          <w:lang w:val="fr-FR"/>
        </w:rPr>
        <w:t xml:space="preserve"> d</w:t>
      </w:r>
      <w:r>
        <w:rPr>
          <w:lang w:val="fr-FR"/>
        </w:rPr>
        <w:t>ont certaines demeurent visibles</w:t>
      </w:r>
      <w:r w:rsidRPr="002074C3">
        <w:rPr>
          <w:rStyle w:val="Appelnotedebasdep"/>
        </w:rPr>
        <w:footnoteReference w:id="5"/>
      </w:r>
      <w:r w:rsidRPr="005864B9">
        <w:rPr>
          <w:lang w:val="fr-FR"/>
        </w:rPr>
        <w:t>.</w:t>
      </w:r>
    </w:p>
    <w:p w14:paraId="3BB097F8" w14:textId="79481F24" w:rsidR="007767F9" w:rsidRPr="007A5B03" w:rsidRDefault="007767F9" w:rsidP="007767F9">
      <w:pPr>
        <w:pStyle w:val="SingleTxtG"/>
        <w:rPr>
          <w:lang w:val="fr-FR"/>
        </w:rPr>
      </w:pPr>
      <w:r w:rsidRPr="007F7498">
        <w:rPr>
          <w:lang w:val="fr-FR"/>
        </w:rPr>
        <w:lastRenderedPageBreak/>
        <w:t>2.7</w:t>
      </w:r>
      <w:r w:rsidRPr="007F7498">
        <w:rPr>
          <w:lang w:val="fr-FR"/>
        </w:rPr>
        <w:tab/>
        <w:t>Entre les interrogat</w:t>
      </w:r>
      <w:r>
        <w:rPr>
          <w:lang w:val="fr-FR"/>
        </w:rPr>
        <w:t>oires</w:t>
      </w:r>
      <w:r w:rsidRPr="007F7498">
        <w:rPr>
          <w:lang w:val="fr-FR"/>
        </w:rPr>
        <w:t xml:space="preserve">, </w:t>
      </w:r>
      <w:r>
        <w:rPr>
          <w:lang w:val="fr-FR"/>
        </w:rPr>
        <w:t>le requérant</w:t>
      </w:r>
      <w:r w:rsidRPr="007F7498">
        <w:rPr>
          <w:lang w:val="fr-FR"/>
        </w:rPr>
        <w:t xml:space="preserve"> retournait dans </w:t>
      </w:r>
      <w:r>
        <w:rPr>
          <w:lang w:val="fr-FR"/>
        </w:rPr>
        <w:t>un minuscule cachot</w:t>
      </w:r>
      <w:r w:rsidRPr="007A5B03">
        <w:rPr>
          <w:lang w:val="fr-FR"/>
        </w:rPr>
        <w:t xml:space="preserve"> humide, sans fenêtre, mais avec une lumière forte et constante</w:t>
      </w:r>
      <w:r>
        <w:rPr>
          <w:lang w:val="fr-FR"/>
        </w:rPr>
        <w:t xml:space="preserve">, </w:t>
      </w:r>
      <w:r w:rsidRPr="007F7498">
        <w:rPr>
          <w:lang w:val="fr-FR"/>
        </w:rPr>
        <w:t>où la puanteur était extrême</w:t>
      </w:r>
      <w:r w:rsidRPr="007A5B03">
        <w:t xml:space="preserve"> </w:t>
      </w:r>
      <w:r w:rsidRPr="007F7498">
        <w:rPr>
          <w:lang w:val="fr-FR"/>
        </w:rPr>
        <w:t>et les cris des codétenus interrogés étaient constants.</w:t>
      </w:r>
      <w:r w:rsidRPr="007A5B03">
        <w:rPr>
          <w:lang w:val="fr-FR"/>
        </w:rPr>
        <w:t xml:space="preserve"> </w:t>
      </w:r>
      <w:r w:rsidRPr="007F7498">
        <w:rPr>
          <w:lang w:val="fr-FR"/>
        </w:rPr>
        <w:t>On lui a posé des questions sur sa connaissance de la religion et sur son niveau de pratique religieuse, ainsi que sur celui des membres de sa famille. Il a été accusé d</w:t>
      </w:r>
      <w:r>
        <w:rPr>
          <w:lang w:val="fr-FR"/>
        </w:rPr>
        <w:t>’apostasie envers</w:t>
      </w:r>
      <w:r w:rsidRPr="007F7498">
        <w:rPr>
          <w:lang w:val="fr-FR"/>
        </w:rPr>
        <w:t xml:space="preserve"> la religion musulmane</w:t>
      </w:r>
      <w:r>
        <w:rPr>
          <w:lang w:val="fr-FR"/>
        </w:rPr>
        <w:t xml:space="preserve"> </w:t>
      </w:r>
      <w:r w:rsidR="00C850AB">
        <w:rPr>
          <w:lang w:val="fr-FR"/>
        </w:rPr>
        <w:t>−</w:t>
      </w:r>
      <w:r w:rsidRPr="007F7498">
        <w:rPr>
          <w:lang w:val="fr-FR"/>
        </w:rPr>
        <w:t xml:space="preserve"> ce qui est proscrit et peut être passible de la peine de mort selon la loi islamique</w:t>
      </w:r>
      <w:r>
        <w:rPr>
          <w:lang w:val="fr-FR"/>
        </w:rPr>
        <w:t xml:space="preserve"> </w:t>
      </w:r>
      <w:r w:rsidR="00C850AB">
        <w:rPr>
          <w:lang w:val="fr-FR"/>
        </w:rPr>
        <w:t>−</w:t>
      </w:r>
      <w:r>
        <w:rPr>
          <w:lang w:val="fr-FR"/>
        </w:rPr>
        <w:t>, d’</w:t>
      </w:r>
      <w:r w:rsidRPr="007F7498">
        <w:rPr>
          <w:lang w:val="fr-FR"/>
        </w:rPr>
        <w:t xml:space="preserve">avoir enseigné à des membres de la communauté </w:t>
      </w:r>
      <w:r>
        <w:rPr>
          <w:lang w:val="fr-FR"/>
        </w:rPr>
        <w:t>b</w:t>
      </w:r>
      <w:r w:rsidRPr="007F7498">
        <w:rPr>
          <w:lang w:val="fr-FR"/>
        </w:rPr>
        <w:t>ahaï</w:t>
      </w:r>
      <w:r>
        <w:rPr>
          <w:lang w:val="fr-FR"/>
        </w:rPr>
        <w:t>e</w:t>
      </w:r>
      <w:r w:rsidRPr="007F7498">
        <w:rPr>
          <w:lang w:val="fr-FR"/>
        </w:rPr>
        <w:t xml:space="preserve">, ce qui est interdit par la loi iranienne, </w:t>
      </w:r>
      <w:r>
        <w:rPr>
          <w:lang w:val="fr-FR"/>
        </w:rPr>
        <w:t>ainsi que</w:t>
      </w:r>
      <w:r w:rsidRPr="007F7498">
        <w:rPr>
          <w:lang w:val="fr-FR"/>
        </w:rPr>
        <w:t xml:space="preserve"> d</w:t>
      </w:r>
      <w:r>
        <w:rPr>
          <w:lang w:val="fr-FR"/>
        </w:rPr>
        <w:t>’</w:t>
      </w:r>
      <w:r w:rsidRPr="007F7498">
        <w:rPr>
          <w:lang w:val="fr-FR"/>
        </w:rPr>
        <w:t>être lui-même devenu membre de cette communauté</w:t>
      </w:r>
      <w:r>
        <w:rPr>
          <w:lang w:val="fr-FR"/>
        </w:rPr>
        <w:t xml:space="preserve"> et de s’être rendu au Secrétariat des bahaïs de Suisse, dont le </w:t>
      </w:r>
      <w:r w:rsidRPr="00A83109">
        <w:rPr>
          <w:lang w:val="fr-FR"/>
        </w:rPr>
        <w:t>siège se trouve à Berne</w:t>
      </w:r>
      <w:r w:rsidRPr="007F7498">
        <w:rPr>
          <w:lang w:val="fr-FR"/>
        </w:rPr>
        <w:t>. Il a également été accusé d</w:t>
      </w:r>
      <w:r>
        <w:rPr>
          <w:lang w:val="fr-FR"/>
        </w:rPr>
        <w:t>’</w:t>
      </w:r>
      <w:r w:rsidRPr="007F7498">
        <w:rPr>
          <w:lang w:val="fr-FR"/>
        </w:rPr>
        <w:t xml:space="preserve">être un espion à la </w:t>
      </w:r>
      <w:r>
        <w:rPr>
          <w:lang w:val="fr-FR"/>
        </w:rPr>
        <w:t>solde d’</w:t>
      </w:r>
      <w:r w:rsidRPr="007F7498">
        <w:rPr>
          <w:lang w:val="fr-FR"/>
        </w:rPr>
        <w:t>Israël</w:t>
      </w:r>
      <w:r>
        <w:rPr>
          <w:lang w:val="fr-FR"/>
        </w:rPr>
        <w:t xml:space="preserve">, </w:t>
      </w:r>
      <w:r w:rsidRPr="007F7498">
        <w:rPr>
          <w:lang w:val="fr-FR"/>
        </w:rPr>
        <w:t xml:space="preserve">les membres de la communauté </w:t>
      </w:r>
      <w:r>
        <w:rPr>
          <w:lang w:val="fr-FR"/>
        </w:rPr>
        <w:t>b</w:t>
      </w:r>
      <w:r w:rsidRPr="007F7498">
        <w:rPr>
          <w:lang w:val="fr-FR"/>
        </w:rPr>
        <w:t>ahaï</w:t>
      </w:r>
      <w:r>
        <w:rPr>
          <w:lang w:val="fr-FR"/>
        </w:rPr>
        <w:t>e</w:t>
      </w:r>
      <w:r w:rsidRPr="007F7498">
        <w:rPr>
          <w:lang w:val="fr-FR"/>
        </w:rPr>
        <w:t xml:space="preserve"> </w:t>
      </w:r>
      <w:r>
        <w:rPr>
          <w:lang w:val="fr-FR"/>
        </w:rPr>
        <w:t xml:space="preserve">étant </w:t>
      </w:r>
      <w:r w:rsidRPr="007A5B03">
        <w:rPr>
          <w:lang w:val="fr-FR"/>
        </w:rPr>
        <w:t>soupçonnés en République islamique d</w:t>
      </w:r>
      <w:r>
        <w:rPr>
          <w:lang w:val="fr-FR"/>
        </w:rPr>
        <w:t>’</w:t>
      </w:r>
      <w:r w:rsidRPr="007A5B03">
        <w:rPr>
          <w:lang w:val="fr-FR"/>
        </w:rPr>
        <w:t>Iran de travailler pour le compte d</w:t>
      </w:r>
      <w:r>
        <w:rPr>
          <w:lang w:val="fr-FR"/>
        </w:rPr>
        <w:t>’</w:t>
      </w:r>
      <w:r w:rsidRPr="007A5B03">
        <w:rPr>
          <w:lang w:val="fr-FR"/>
        </w:rPr>
        <w:t>Israël</w:t>
      </w:r>
      <w:r w:rsidRPr="007F7498">
        <w:rPr>
          <w:lang w:val="fr-FR"/>
        </w:rPr>
        <w:t xml:space="preserve">. </w:t>
      </w:r>
      <w:r>
        <w:rPr>
          <w:lang w:val="fr-FR"/>
        </w:rPr>
        <w:t>Enfin, il</w:t>
      </w:r>
      <w:r w:rsidRPr="007F7498">
        <w:rPr>
          <w:lang w:val="fr-FR"/>
        </w:rPr>
        <w:t xml:space="preserve"> a été informé du fait que certains de ses élèves qui </w:t>
      </w:r>
      <w:r>
        <w:rPr>
          <w:lang w:val="fr-FR"/>
        </w:rPr>
        <w:t>avaient</w:t>
      </w:r>
      <w:r w:rsidRPr="007F7498">
        <w:rPr>
          <w:lang w:val="fr-FR"/>
        </w:rPr>
        <w:t xml:space="preserve"> été arrêtés l</w:t>
      </w:r>
      <w:r>
        <w:rPr>
          <w:lang w:val="fr-FR"/>
        </w:rPr>
        <w:t>’</w:t>
      </w:r>
      <w:r w:rsidRPr="007F7498">
        <w:rPr>
          <w:lang w:val="fr-FR"/>
        </w:rPr>
        <w:t>auraient dénoncé.</w:t>
      </w:r>
    </w:p>
    <w:p w14:paraId="00C2D460" w14:textId="41B58D07" w:rsidR="007767F9" w:rsidRDefault="007767F9" w:rsidP="007767F9">
      <w:pPr>
        <w:pStyle w:val="SingleTxtG"/>
        <w:rPr>
          <w:lang w:val="fr-FR"/>
        </w:rPr>
      </w:pPr>
      <w:r w:rsidRPr="006443BA">
        <w:rPr>
          <w:lang w:val="fr-FR"/>
        </w:rPr>
        <w:t>2.8</w:t>
      </w:r>
      <w:r w:rsidRPr="006443BA">
        <w:rPr>
          <w:lang w:val="fr-FR"/>
        </w:rPr>
        <w:tab/>
        <w:t xml:space="preserve">Pendant </w:t>
      </w:r>
      <w:r>
        <w:rPr>
          <w:lang w:val="fr-FR"/>
        </w:rPr>
        <w:t>la</w:t>
      </w:r>
      <w:r w:rsidRPr="006443BA">
        <w:rPr>
          <w:lang w:val="fr-FR"/>
        </w:rPr>
        <w:t xml:space="preserve"> détention</w:t>
      </w:r>
      <w:r>
        <w:rPr>
          <w:lang w:val="fr-FR"/>
        </w:rPr>
        <w:t xml:space="preserve"> du requérant</w:t>
      </w:r>
      <w:r w:rsidRPr="006443BA">
        <w:rPr>
          <w:lang w:val="fr-FR"/>
        </w:rPr>
        <w:t>, ses p</w:t>
      </w:r>
      <w:r w:rsidRPr="00DE292B">
        <w:rPr>
          <w:lang w:val="fr-FR"/>
        </w:rPr>
        <w:t>arents et de</w:t>
      </w:r>
      <w:r>
        <w:rPr>
          <w:lang w:val="fr-FR"/>
        </w:rPr>
        <w:t>s amis ont utilisé leurs relations pour</w:t>
      </w:r>
      <w:r w:rsidRPr="0005292B">
        <w:rPr>
          <w:lang w:val="fr-FR"/>
        </w:rPr>
        <w:t xml:space="preserve"> entrer en contact avec des personnes influentes </w:t>
      </w:r>
      <w:r>
        <w:rPr>
          <w:lang w:val="fr-FR"/>
        </w:rPr>
        <w:t>qui pouvaient organiser son évasion, en soudoyant des gardes</w:t>
      </w:r>
      <w:r w:rsidRPr="0005292B">
        <w:rPr>
          <w:lang w:val="fr-FR"/>
        </w:rPr>
        <w:t xml:space="preserve"> contre </w:t>
      </w:r>
      <w:r>
        <w:rPr>
          <w:lang w:val="fr-FR"/>
        </w:rPr>
        <w:t>une</w:t>
      </w:r>
      <w:r w:rsidRPr="0005292B">
        <w:rPr>
          <w:lang w:val="fr-FR"/>
        </w:rPr>
        <w:t xml:space="preserve"> somme </w:t>
      </w:r>
      <w:r>
        <w:rPr>
          <w:lang w:val="fr-FR"/>
        </w:rPr>
        <w:t>équivalant à</w:t>
      </w:r>
      <w:r w:rsidRPr="0005292B">
        <w:rPr>
          <w:lang w:val="fr-FR"/>
        </w:rPr>
        <w:t xml:space="preserve"> 20</w:t>
      </w:r>
      <w:r w:rsidR="00835611">
        <w:rPr>
          <w:lang w:val="fr-FR"/>
        </w:rPr>
        <w:t> </w:t>
      </w:r>
      <w:r w:rsidRPr="0005292B">
        <w:rPr>
          <w:lang w:val="fr-FR"/>
        </w:rPr>
        <w:t>000</w:t>
      </w:r>
      <w:r w:rsidR="00835611">
        <w:rPr>
          <w:lang w:val="fr-FR"/>
        </w:rPr>
        <w:t> </w:t>
      </w:r>
      <w:r>
        <w:rPr>
          <w:lang w:val="fr-FR"/>
        </w:rPr>
        <w:t>francs suisses. L’évasion a eu lieu le 25 février 2015, alors que le requérant était au tribunal révolutionnaire de Téhéran et devait assister à son audience.</w:t>
      </w:r>
    </w:p>
    <w:p w14:paraId="4D5A0632" w14:textId="77777777" w:rsidR="007767F9" w:rsidRPr="00CA4103" w:rsidRDefault="007767F9" w:rsidP="007767F9">
      <w:pPr>
        <w:pStyle w:val="SingleTxtG"/>
        <w:rPr>
          <w:lang w:val="fr-FR"/>
        </w:rPr>
      </w:pPr>
      <w:r>
        <w:rPr>
          <w:lang w:val="fr-FR"/>
        </w:rPr>
        <w:t>2.9</w:t>
      </w:r>
      <w:r>
        <w:rPr>
          <w:lang w:val="fr-FR"/>
        </w:rPr>
        <w:tab/>
        <w:t>Le requérant a été emmené dans la ville d’Ourmia, où</w:t>
      </w:r>
      <w:r w:rsidRPr="00DE292B">
        <w:rPr>
          <w:lang w:val="fr-FR"/>
        </w:rPr>
        <w:t xml:space="preserve"> il est resté quelques jours clo</w:t>
      </w:r>
      <w:r>
        <w:rPr>
          <w:lang w:val="fr-FR"/>
        </w:rPr>
        <w:t>î</w:t>
      </w:r>
      <w:r w:rsidRPr="00DE292B">
        <w:rPr>
          <w:lang w:val="fr-FR"/>
        </w:rPr>
        <w:t>t</w:t>
      </w:r>
      <w:r>
        <w:rPr>
          <w:lang w:val="fr-FR"/>
        </w:rPr>
        <w:t xml:space="preserve">ré à l’intérieur d’une maison, puis dans la ville de </w:t>
      </w:r>
      <w:proofErr w:type="spellStart"/>
      <w:r>
        <w:rPr>
          <w:lang w:val="fr-FR"/>
        </w:rPr>
        <w:t>Salmas</w:t>
      </w:r>
      <w:proofErr w:type="spellEnd"/>
      <w:r>
        <w:rPr>
          <w:lang w:val="fr-FR"/>
        </w:rPr>
        <w:t>, où il</w:t>
      </w:r>
      <w:r w:rsidRPr="00DE292B">
        <w:rPr>
          <w:lang w:val="fr-FR"/>
        </w:rPr>
        <w:t xml:space="preserve"> est resté q</w:t>
      </w:r>
      <w:r>
        <w:rPr>
          <w:lang w:val="fr-FR"/>
        </w:rPr>
        <w:t xml:space="preserve">uelques jours supplémentaires, et ensuite dans un </w:t>
      </w:r>
      <w:r w:rsidRPr="00DE292B">
        <w:rPr>
          <w:lang w:val="fr-FR"/>
        </w:rPr>
        <w:t xml:space="preserve">village </w:t>
      </w:r>
      <w:r>
        <w:rPr>
          <w:lang w:val="fr-FR"/>
        </w:rPr>
        <w:t xml:space="preserve">situé </w:t>
      </w:r>
      <w:r w:rsidRPr="00DE292B">
        <w:rPr>
          <w:lang w:val="fr-FR"/>
        </w:rPr>
        <w:t xml:space="preserve">près de la frontière avec la </w:t>
      </w:r>
      <w:r>
        <w:rPr>
          <w:lang w:val="fr-FR"/>
        </w:rPr>
        <w:t>Türkiye,</w:t>
      </w:r>
      <w:r w:rsidRPr="00DE292B">
        <w:rPr>
          <w:lang w:val="fr-FR"/>
        </w:rPr>
        <w:t xml:space="preserve"> où il est resté </w:t>
      </w:r>
      <w:r>
        <w:rPr>
          <w:lang w:val="fr-FR"/>
        </w:rPr>
        <w:t xml:space="preserve">encore </w:t>
      </w:r>
      <w:r w:rsidRPr="00DE292B">
        <w:rPr>
          <w:lang w:val="fr-FR"/>
        </w:rPr>
        <w:t>six ou sept</w:t>
      </w:r>
      <w:r>
        <w:rPr>
          <w:lang w:val="fr-FR"/>
        </w:rPr>
        <w:t xml:space="preserve"> </w:t>
      </w:r>
      <w:r w:rsidRPr="00DE292B">
        <w:rPr>
          <w:lang w:val="fr-FR"/>
        </w:rPr>
        <w:t xml:space="preserve">jours </w:t>
      </w:r>
      <w:r>
        <w:rPr>
          <w:lang w:val="fr-FR"/>
        </w:rPr>
        <w:t xml:space="preserve">supplémentaires. Il </w:t>
      </w:r>
      <w:r w:rsidRPr="00DE292B">
        <w:rPr>
          <w:lang w:val="fr-FR"/>
        </w:rPr>
        <w:t>a ensuite p</w:t>
      </w:r>
      <w:r>
        <w:rPr>
          <w:lang w:val="fr-FR"/>
        </w:rPr>
        <w:t>assé près d’un mois en Türkiye. À</w:t>
      </w:r>
      <w:r w:rsidRPr="00DE292B">
        <w:rPr>
          <w:lang w:val="fr-FR"/>
        </w:rPr>
        <w:t xml:space="preserve"> cette occasion, il a pu renouer des contacts avec ses parents </w:t>
      </w:r>
      <w:r>
        <w:rPr>
          <w:lang w:val="fr-FR"/>
        </w:rPr>
        <w:t>par</w:t>
      </w:r>
      <w:r w:rsidRPr="00DE292B">
        <w:rPr>
          <w:lang w:val="fr-FR"/>
        </w:rPr>
        <w:t xml:space="preserve"> </w:t>
      </w:r>
      <w:r>
        <w:rPr>
          <w:lang w:val="fr-FR"/>
        </w:rPr>
        <w:t>I</w:t>
      </w:r>
      <w:r w:rsidRPr="00DE292B">
        <w:rPr>
          <w:lang w:val="fr-FR"/>
        </w:rPr>
        <w:t>nternet.</w:t>
      </w:r>
      <w:r>
        <w:rPr>
          <w:lang w:val="fr-FR"/>
        </w:rPr>
        <w:t xml:space="preserve"> Le requérant</w:t>
      </w:r>
      <w:r w:rsidRPr="00DE292B">
        <w:rPr>
          <w:lang w:val="fr-FR"/>
        </w:rPr>
        <w:t xml:space="preserve"> a finalement </w:t>
      </w:r>
      <w:r>
        <w:rPr>
          <w:lang w:val="fr-FR"/>
        </w:rPr>
        <w:t>quitté la Türkiye en camion</w:t>
      </w:r>
      <w:r w:rsidRPr="00DE292B">
        <w:rPr>
          <w:lang w:val="fr-FR"/>
        </w:rPr>
        <w:t xml:space="preserve"> et a été déposé</w:t>
      </w:r>
      <w:r>
        <w:rPr>
          <w:lang w:val="fr-FR"/>
        </w:rPr>
        <w:t xml:space="preserve"> près de la frontière suisse, qu’</w:t>
      </w:r>
      <w:r w:rsidRPr="00DE292B">
        <w:rPr>
          <w:lang w:val="fr-FR"/>
        </w:rPr>
        <w:t xml:space="preserve">il a </w:t>
      </w:r>
      <w:r>
        <w:rPr>
          <w:lang w:val="fr-FR"/>
        </w:rPr>
        <w:t>traversée</w:t>
      </w:r>
      <w:r w:rsidRPr="00DE292B">
        <w:rPr>
          <w:lang w:val="fr-FR"/>
        </w:rPr>
        <w:t xml:space="preserve"> à pied</w:t>
      </w:r>
      <w:r w:rsidRPr="00CA4103">
        <w:rPr>
          <w:lang w:val="fr-FR"/>
        </w:rPr>
        <w:t xml:space="preserve"> le 15 avril 2015.</w:t>
      </w:r>
    </w:p>
    <w:p w14:paraId="11AC8329" w14:textId="77777777" w:rsidR="007767F9" w:rsidRPr="007F7498" w:rsidRDefault="007767F9" w:rsidP="007767F9">
      <w:pPr>
        <w:pStyle w:val="SingleTxtG"/>
        <w:rPr>
          <w:lang w:val="fr-FR"/>
        </w:rPr>
      </w:pPr>
      <w:r w:rsidRPr="007F7498">
        <w:rPr>
          <w:lang w:val="fr-FR"/>
        </w:rPr>
        <w:t>2.10</w:t>
      </w:r>
      <w:r w:rsidRPr="007F7498">
        <w:rPr>
          <w:lang w:val="fr-FR"/>
        </w:rPr>
        <w:tab/>
        <w:t>Le 22 avril 2015, le requérant a déposé une demande d</w:t>
      </w:r>
      <w:r>
        <w:rPr>
          <w:lang w:val="fr-FR"/>
        </w:rPr>
        <w:t>’</w:t>
      </w:r>
      <w:r w:rsidRPr="007F7498">
        <w:rPr>
          <w:lang w:val="fr-FR"/>
        </w:rPr>
        <w:t>asile politique au</w:t>
      </w:r>
      <w:r>
        <w:rPr>
          <w:lang w:val="fr-FR"/>
        </w:rPr>
        <w:t>près du</w:t>
      </w:r>
      <w:r w:rsidRPr="007F7498">
        <w:rPr>
          <w:lang w:val="fr-FR"/>
        </w:rPr>
        <w:t xml:space="preserve"> 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 xml:space="preserve">igrations. </w:t>
      </w:r>
      <w:r>
        <w:rPr>
          <w:lang w:val="fr-FR"/>
        </w:rPr>
        <w:t>À</w:t>
      </w:r>
      <w:r w:rsidRPr="007F7498">
        <w:rPr>
          <w:lang w:val="fr-FR"/>
        </w:rPr>
        <w:t xml:space="preserve"> cette occasion, plusieurs questions de nature gén</w:t>
      </w:r>
      <w:r>
        <w:rPr>
          <w:lang w:val="fr-FR"/>
        </w:rPr>
        <w:t>érale lui ont été posées lors d’</w:t>
      </w:r>
      <w:r w:rsidRPr="007F7498">
        <w:rPr>
          <w:lang w:val="fr-FR"/>
        </w:rPr>
        <w:t xml:space="preserve">une audition assez </w:t>
      </w:r>
      <w:r>
        <w:rPr>
          <w:lang w:val="fr-FR"/>
        </w:rPr>
        <w:t>brève</w:t>
      </w:r>
      <w:r w:rsidRPr="007F7498">
        <w:rPr>
          <w:lang w:val="fr-FR"/>
        </w:rPr>
        <w:t>. Cette audition a été menée en allemand, sans que le requérant ait pu vérifier la qualité de la traduction.</w:t>
      </w:r>
    </w:p>
    <w:p w14:paraId="2230766A" w14:textId="4622726B" w:rsidR="007767F9" w:rsidRPr="00DE292B" w:rsidRDefault="007767F9" w:rsidP="007767F9">
      <w:pPr>
        <w:pStyle w:val="SingleTxtG"/>
        <w:rPr>
          <w:lang w:val="fr-FR"/>
        </w:rPr>
      </w:pPr>
      <w:r w:rsidRPr="007F7498">
        <w:rPr>
          <w:lang w:val="fr-FR"/>
        </w:rPr>
        <w:t>2.11</w:t>
      </w:r>
      <w:r w:rsidRPr="007F7498">
        <w:rPr>
          <w:lang w:val="fr-FR"/>
        </w:rPr>
        <w:tab/>
      </w:r>
      <w:r>
        <w:rPr>
          <w:lang w:val="fr-FR"/>
        </w:rPr>
        <w:t>Le requérant souffre d’</w:t>
      </w:r>
      <w:r w:rsidRPr="007F7498">
        <w:rPr>
          <w:lang w:val="fr-FR"/>
        </w:rPr>
        <w:t xml:space="preserve">un état </w:t>
      </w:r>
      <w:r>
        <w:rPr>
          <w:lang w:val="fr-FR"/>
        </w:rPr>
        <w:t>de stress post-traumatique et d’</w:t>
      </w:r>
      <w:r w:rsidRPr="007F7498">
        <w:rPr>
          <w:lang w:val="fr-FR"/>
        </w:rPr>
        <w:t>un état dépressi</w:t>
      </w:r>
      <w:r>
        <w:rPr>
          <w:lang w:val="fr-FR"/>
        </w:rPr>
        <w:t>f consécutifs aux événements qu’il a subis dans son pays d’</w:t>
      </w:r>
      <w:r w:rsidRPr="007F7498">
        <w:rPr>
          <w:lang w:val="fr-FR"/>
        </w:rPr>
        <w:t xml:space="preserve">origine, </w:t>
      </w:r>
      <w:r>
        <w:rPr>
          <w:lang w:val="fr-FR"/>
        </w:rPr>
        <w:t>comme l’ont indiqué un médecin spécialisé dans l’</w:t>
      </w:r>
      <w:r w:rsidRPr="007F7498">
        <w:rPr>
          <w:lang w:val="fr-FR"/>
        </w:rPr>
        <w:t>aide aux victimes de violences organisées</w:t>
      </w:r>
      <w:r w:rsidRPr="00CA4103">
        <w:rPr>
          <w:lang w:val="fr-FR"/>
        </w:rPr>
        <w:t xml:space="preserve"> dans </w:t>
      </w:r>
      <w:r w:rsidRPr="00B31AA9">
        <w:rPr>
          <w:lang w:val="fr-FR"/>
        </w:rPr>
        <w:t xml:space="preserve">une </w:t>
      </w:r>
      <w:r w:rsidRPr="00B31AA9">
        <w:t xml:space="preserve">attestation médicale datée du 3 février 2016, et une psychiatre et </w:t>
      </w:r>
      <w:r w:rsidRPr="00C22534">
        <w:t>psychanalyste</w:t>
      </w:r>
      <w:r w:rsidRPr="00B31AA9">
        <w:t xml:space="preserve"> parlant le farsi</w:t>
      </w:r>
      <w:r w:rsidRPr="00B31AA9" w:rsidDel="00CA4103">
        <w:t xml:space="preserve"> </w:t>
      </w:r>
      <w:r w:rsidRPr="00B31AA9">
        <w:rPr>
          <w:lang w:val="fr-FR"/>
        </w:rPr>
        <w:t xml:space="preserve">dans </w:t>
      </w:r>
      <w:r w:rsidRPr="00B31AA9">
        <w:t xml:space="preserve">un certificat </w:t>
      </w:r>
      <w:r>
        <w:t xml:space="preserve">daté </w:t>
      </w:r>
      <w:r w:rsidRPr="00B31AA9">
        <w:t xml:space="preserve">du 12 décembre 2016, </w:t>
      </w:r>
      <w:r>
        <w:rPr>
          <w:lang w:val="fr-FR"/>
        </w:rPr>
        <w:t>lesquels</w:t>
      </w:r>
      <w:r w:rsidRPr="00B31AA9">
        <w:rPr>
          <w:lang w:val="fr-FR"/>
        </w:rPr>
        <w:t xml:space="preserve"> l</w:t>
      </w:r>
      <w:r>
        <w:rPr>
          <w:lang w:val="fr-FR"/>
        </w:rPr>
        <w:t>’</w:t>
      </w:r>
      <w:r w:rsidRPr="00B31AA9">
        <w:rPr>
          <w:lang w:val="fr-FR"/>
        </w:rPr>
        <w:t>ont suivi depuis son arrivée dans l</w:t>
      </w:r>
      <w:r>
        <w:rPr>
          <w:lang w:val="fr-FR"/>
        </w:rPr>
        <w:t>’</w:t>
      </w:r>
      <w:r w:rsidRPr="00B31AA9">
        <w:rPr>
          <w:lang w:val="fr-FR"/>
        </w:rPr>
        <w:t>É</w:t>
      </w:r>
      <w:r>
        <w:rPr>
          <w:lang w:val="fr-FR"/>
        </w:rPr>
        <w:t>t</w:t>
      </w:r>
      <w:r w:rsidRPr="00B31AA9">
        <w:rPr>
          <w:lang w:val="fr-FR"/>
        </w:rPr>
        <w:t>at partie en 2015</w:t>
      </w:r>
      <w:r w:rsidRPr="002074C3">
        <w:rPr>
          <w:rStyle w:val="Appelnotedebasdep"/>
        </w:rPr>
        <w:footnoteReference w:id="6"/>
      </w:r>
      <w:r>
        <w:rPr>
          <w:lang w:val="fr-FR"/>
        </w:rPr>
        <w:t>.</w:t>
      </w:r>
      <w:r w:rsidRPr="00CA4103">
        <w:rPr>
          <w:lang w:val="fr-FR"/>
        </w:rPr>
        <w:t xml:space="preserve"> </w:t>
      </w:r>
      <w:r w:rsidRPr="007F7498">
        <w:rPr>
          <w:lang w:val="fr-FR"/>
        </w:rPr>
        <w:t>La psychiatre a mentionné qu</w:t>
      </w:r>
      <w:r>
        <w:rPr>
          <w:lang w:val="fr-FR"/>
        </w:rPr>
        <w:t>’</w:t>
      </w:r>
      <w:r w:rsidRPr="007F7498">
        <w:rPr>
          <w:lang w:val="fr-FR"/>
        </w:rPr>
        <w:t xml:space="preserve">il était préférable de tenir compte de cet état clinique dans le cas </w:t>
      </w:r>
      <w:r>
        <w:rPr>
          <w:lang w:val="fr-FR"/>
        </w:rPr>
        <w:t>d’un éventuel entretien</w:t>
      </w:r>
      <w:r w:rsidRPr="007F7498">
        <w:rPr>
          <w:lang w:val="fr-FR"/>
        </w:rPr>
        <w:t>.</w:t>
      </w:r>
      <w:r w:rsidRPr="00DE292B">
        <w:rPr>
          <w:lang w:val="fr-FR"/>
        </w:rPr>
        <w:t xml:space="preserve"> </w:t>
      </w:r>
      <w:r>
        <w:rPr>
          <w:lang w:val="fr-FR"/>
        </w:rPr>
        <w:t>Le requérant indique que le niveau de l’</w:t>
      </w:r>
      <w:r w:rsidRPr="00510D63">
        <w:rPr>
          <w:lang w:val="fr-FR"/>
        </w:rPr>
        <w:t xml:space="preserve">interprète présent lors </w:t>
      </w:r>
      <w:r>
        <w:rPr>
          <w:lang w:val="fr-FR"/>
        </w:rPr>
        <w:t>de cette audition</w:t>
      </w:r>
      <w:r w:rsidRPr="00510D63">
        <w:rPr>
          <w:lang w:val="fr-FR"/>
        </w:rPr>
        <w:t xml:space="preserve"> était si lacunaire et se</w:t>
      </w:r>
      <w:r>
        <w:rPr>
          <w:lang w:val="fr-FR"/>
        </w:rPr>
        <w:t xml:space="preserve">s approximations si nombreuses </w:t>
      </w:r>
      <w:r w:rsidR="00C22534">
        <w:rPr>
          <w:lang w:val="fr-FR"/>
        </w:rPr>
        <w:t>− </w:t>
      </w:r>
      <w:r>
        <w:rPr>
          <w:lang w:val="fr-FR"/>
        </w:rPr>
        <w:t>ce dont le requérant a pu se rendre compte</w:t>
      </w:r>
      <w:r w:rsidRPr="00510D63">
        <w:rPr>
          <w:lang w:val="fr-FR"/>
        </w:rPr>
        <w:t xml:space="preserve"> </w:t>
      </w:r>
      <w:r>
        <w:rPr>
          <w:lang w:val="fr-FR"/>
        </w:rPr>
        <w:t>car il a atteint un bon niveau de</w:t>
      </w:r>
      <w:r w:rsidRPr="00510D63">
        <w:rPr>
          <w:lang w:val="fr-FR"/>
        </w:rPr>
        <w:t xml:space="preserve"> français </w:t>
      </w:r>
      <w:r>
        <w:rPr>
          <w:lang w:val="fr-FR"/>
        </w:rPr>
        <w:t>depuis son arrivée en Suisse</w:t>
      </w:r>
      <w:r w:rsidR="00DC5623">
        <w:rPr>
          <w:lang w:val="fr-FR"/>
        </w:rPr>
        <w:t> −</w:t>
      </w:r>
      <w:r>
        <w:rPr>
          <w:lang w:val="fr-FR"/>
        </w:rPr>
        <w:t xml:space="preserve"> que cela a o</w:t>
      </w:r>
      <w:r w:rsidRPr="00510D63">
        <w:rPr>
          <w:lang w:val="fr-FR"/>
        </w:rPr>
        <w:t>bligé l</w:t>
      </w:r>
      <w:r>
        <w:rPr>
          <w:lang w:val="fr-FR"/>
        </w:rPr>
        <w:t xml:space="preserve">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Pr>
          <w:lang w:val="fr-FR"/>
        </w:rPr>
        <w:t xml:space="preserve"> à interrompre l’entretien</w:t>
      </w:r>
      <w:r w:rsidRPr="00510D63">
        <w:rPr>
          <w:lang w:val="fr-FR"/>
        </w:rPr>
        <w:t xml:space="preserve"> et à convoquer </w:t>
      </w:r>
      <w:r>
        <w:rPr>
          <w:lang w:val="fr-FR"/>
        </w:rPr>
        <w:t>le requérant</w:t>
      </w:r>
      <w:r w:rsidRPr="00510D63">
        <w:rPr>
          <w:lang w:val="fr-FR"/>
        </w:rPr>
        <w:t xml:space="preserve"> pour une audition complémentaire</w:t>
      </w:r>
      <w:r>
        <w:rPr>
          <w:lang w:val="fr-FR"/>
        </w:rPr>
        <w:t>. C’est en raison d’</w:t>
      </w:r>
      <w:r w:rsidRPr="00510D63">
        <w:rPr>
          <w:lang w:val="fr-FR"/>
        </w:rPr>
        <w:t>un problème de traduction lié aux temps verbaux</w:t>
      </w:r>
      <w:r>
        <w:rPr>
          <w:lang w:val="fr-FR"/>
        </w:rPr>
        <w:t>, erreur qui faussait le sens d’une phrase, que l’</w:t>
      </w:r>
      <w:r w:rsidRPr="00510D63">
        <w:rPr>
          <w:lang w:val="fr-FR"/>
        </w:rPr>
        <w:t xml:space="preserve">enquêtrice a décidé de mettre fin </w:t>
      </w:r>
      <w:r>
        <w:rPr>
          <w:lang w:val="fr-FR"/>
        </w:rPr>
        <w:t>à cette audition. Le requérant a fait lui-même la correction en français pendant l’entretien. Une seconde audition a eu lieu le 15 mars 2017.</w:t>
      </w:r>
    </w:p>
    <w:p w14:paraId="383B9507" w14:textId="77777777" w:rsidR="007767F9" w:rsidRPr="00DE292B" w:rsidRDefault="007767F9" w:rsidP="007767F9">
      <w:pPr>
        <w:pStyle w:val="SingleTxtG"/>
        <w:rPr>
          <w:lang w:val="fr-FR"/>
        </w:rPr>
      </w:pPr>
      <w:r>
        <w:rPr>
          <w:lang w:val="fr-FR"/>
        </w:rPr>
        <w:t>2.12</w:t>
      </w:r>
      <w:r>
        <w:rPr>
          <w:lang w:val="fr-FR"/>
        </w:rPr>
        <w:tab/>
        <w:t>Le</w:t>
      </w:r>
      <w:r w:rsidRPr="00DE292B">
        <w:rPr>
          <w:lang w:val="fr-FR"/>
        </w:rPr>
        <w:t xml:space="preserve"> </w:t>
      </w:r>
      <w:r>
        <w:rPr>
          <w:lang w:val="fr-FR"/>
        </w:rPr>
        <w:t xml:space="preserve">16 juin 2017,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Pr>
          <w:lang w:val="fr-FR"/>
        </w:rPr>
        <w:t xml:space="preserve"> a rejeté la demande d’a</w:t>
      </w:r>
      <w:r w:rsidRPr="00DE292B">
        <w:rPr>
          <w:lang w:val="fr-FR"/>
        </w:rPr>
        <w:t>sile</w:t>
      </w:r>
      <w:r>
        <w:rPr>
          <w:lang w:val="fr-FR"/>
        </w:rPr>
        <w:t xml:space="preserve"> du requérant,</w:t>
      </w:r>
      <w:r w:rsidRPr="00DE292B">
        <w:rPr>
          <w:lang w:val="fr-FR"/>
        </w:rPr>
        <w:t xml:space="preserve"> </w:t>
      </w:r>
      <w:r>
        <w:rPr>
          <w:lang w:val="fr-FR"/>
        </w:rPr>
        <w:t>ayant considéré</w:t>
      </w:r>
      <w:r w:rsidRPr="00DE292B">
        <w:rPr>
          <w:lang w:val="fr-FR"/>
        </w:rPr>
        <w:t xml:space="preserve"> que les déclarations </w:t>
      </w:r>
      <w:r>
        <w:rPr>
          <w:lang w:val="fr-FR"/>
        </w:rPr>
        <w:t>de ce dernier</w:t>
      </w:r>
      <w:r w:rsidRPr="00DE292B">
        <w:rPr>
          <w:lang w:val="fr-FR"/>
        </w:rPr>
        <w:t xml:space="preserve"> </w:t>
      </w:r>
      <w:r>
        <w:rPr>
          <w:lang w:val="fr-FR"/>
        </w:rPr>
        <w:t xml:space="preserve">contenaient des contradictions, notamment </w:t>
      </w:r>
      <w:r w:rsidRPr="00DE292B">
        <w:rPr>
          <w:lang w:val="fr-FR"/>
        </w:rPr>
        <w:t xml:space="preserve">concernant les motifs ayant mené à son arrestation. Le </w:t>
      </w:r>
      <w:r w:rsidRPr="007F7498">
        <w:rPr>
          <w:lang w:val="fr-FR"/>
        </w:rPr>
        <w:t>Sec</w:t>
      </w:r>
      <w:r>
        <w:rPr>
          <w:lang w:val="fr-FR"/>
        </w:rPr>
        <w:t>rétariat d’</w:t>
      </w:r>
      <w:r w:rsidRPr="007F7498">
        <w:rPr>
          <w:lang w:val="fr-FR"/>
        </w:rPr>
        <w:t>É</w:t>
      </w:r>
      <w:r>
        <w:rPr>
          <w:lang w:val="fr-FR"/>
        </w:rPr>
        <w:t>t</w:t>
      </w:r>
      <w:r w:rsidRPr="007F7498">
        <w:rPr>
          <w:lang w:val="fr-FR"/>
        </w:rPr>
        <w:t>at</w:t>
      </w:r>
      <w:r w:rsidRPr="00DE292B">
        <w:rPr>
          <w:lang w:val="fr-FR"/>
        </w:rPr>
        <w:t xml:space="preserve"> </w:t>
      </w:r>
      <w:r>
        <w:rPr>
          <w:lang w:val="fr-FR"/>
        </w:rPr>
        <w:t>a également noté</w:t>
      </w:r>
      <w:r w:rsidRPr="00DE292B">
        <w:rPr>
          <w:lang w:val="fr-FR"/>
        </w:rPr>
        <w:t xml:space="preserve"> </w:t>
      </w:r>
      <w:r>
        <w:rPr>
          <w:lang w:val="fr-FR"/>
        </w:rPr>
        <w:t>que le requérant n’avait pas été en mesure de produire s</w:t>
      </w:r>
      <w:r w:rsidRPr="00DE292B">
        <w:rPr>
          <w:lang w:val="fr-FR"/>
        </w:rPr>
        <w:t xml:space="preserve">es </w:t>
      </w:r>
      <w:r>
        <w:rPr>
          <w:lang w:val="fr-FR"/>
        </w:rPr>
        <w:t>documents d’identité.</w:t>
      </w:r>
    </w:p>
    <w:p w14:paraId="60D1032F" w14:textId="77777777" w:rsidR="007767F9" w:rsidRDefault="007767F9" w:rsidP="007767F9">
      <w:pPr>
        <w:pStyle w:val="SingleTxtG"/>
        <w:rPr>
          <w:lang w:val="fr-FR"/>
        </w:rPr>
      </w:pPr>
      <w:r>
        <w:rPr>
          <w:lang w:val="fr-FR"/>
        </w:rPr>
        <w:t>2.13</w:t>
      </w:r>
      <w:r>
        <w:rPr>
          <w:lang w:val="fr-FR"/>
        </w:rPr>
        <w:tab/>
        <w:t>Le 21 aoû</w:t>
      </w:r>
      <w:r w:rsidRPr="00DE292B">
        <w:rPr>
          <w:lang w:val="fr-FR"/>
        </w:rPr>
        <w:t xml:space="preserve">t 2017, </w:t>
      </w:r>
      <w:r>
        <w:rPr>
          <w:lang w:val="fr-FR"/>
        </w:rPr>
        <w:t>le requérant a déposé un</w:t>
      </w:r>
      <w:r w:rsidRPr="00DE292B">
        <w:rPr>
          <w:lang w:val="fr-FR"/>
        </w:rPr>
        <w:t xml:space="preserve"> recours </w:t>
      </w:r>
      <w:r>
        <w:rPr>
          <w:lang w:val="fr-FR"/>
        </w:rPr>
        <w:t xml:space="preserve">contre cette décision </w:t>
      </w:r>
      <w:r w:rsidRPr="00DE292B">
        <w:rPr>
          <w:lang w:val="fr-FR"/>
        </w:rPr>
        <w:t>au</w:t>
      </w:r>
      <w:r>
        <w:rPr>
          <w:lang w:val="fr-FR"/>
        </w:rPr>
        <w:t>près du</w:t>
      </w:r>
      <w:r w:rsidRPr="00DE292B">
        <w:rPr>
          <w:lang w:val="fr-FR"/>
        </w:rPr>
        <w:t xml:space="preserve"> Tribunal administratif fédéra</w:t>
      </w:r>
      <w:r>
        <w:rPr>
          <w:lang w:val="fr-FR"/>
        </w:rPr>
        <w:t>l. À l’appui de sa demande, il a présenté</w:t>
      </w:r>
      <w:r w:rsidRPr="00DE292B">
        <w:rPr>
          <w:lang w:val="fr-FR"/>
        </w:rPr>
        <w:t xml:space="preserve"> notamm</w:t>
      </w:r>
      <w:r>
        <w:rPr>
          <w:lang w:val="fr-FR"/>
        </w:rPr>
        <w:t>ent un nouveau certificat de sa psychiatre, daté du 7 juillet 2017</w:t>
      </w:r>
      <w:r w:rsidRPr="00DE292B">
        <w:rPr>
          <w:lang w:val="fr-FR"/>
        </w:rPr>
        <w:t>, qui attestait que</w:t>
      </w:r>
      <w:r>
        <w:rPr>
          <w:lang w:val="fr-FR"/>
        </w:rPr>
        <w:t xml:space="preserve"> son état le faisait souffrir d’</w:t>
      </w:r>
      <w:r w:rsidRPr="00DE292B">
        <w:rPr>
          <w:lang w:val="fr-FR"/>
        </w:rPr>
        <w:t>amnésie dissociative</w:t>
      </w:r>
      <w:r>
        <w:rPr>
          <w:lang w:val="fr-FR"/>
        </w:rPr>
        <w:t xml:space="preserve"> et de difficulté de concentration.</w:t>
      </w:r>
    </w:p>
    <w:p w14:paraId="4D741384" w14:textId="48B2F2F5" w:rsidR="007767F9" w:rsidRDefault="007767F9" w:rsidP="007767F9">
      <w:pPr>
        <w:pStyle w:val="SingleTxtG"/>
        <w:rPr>
          <w:lang w:val="fr-FR"/>
        </w:rPr>
      </w:pPr>
      <w:r>
        <w:rPr>
          <w:lang w:val="fr-FR"/>
        </w:rPr>
        <w:t>2.14</w:t>
      </w:r>
      <w:r>
        <w:rPr>
          <w:lang w:val="fr-FR"/>
        </w:rPr>
        <w:tab/>
      </w:r>
      <w:r w:rsidRPr="00277270">
        <w:rPr>
          <w:lang w:val="fr-FR"/>
        </w:rPr>
        <w:t xml:space="preserve">Le </w:t>
      </w:r>
      <w:r w:rsidRPr="00B31AA9">
        <w:rPr>
          <w:lang w:val="fr-FR"/>
        </w:rPr>
        <w:t xml:space="preserve">recours a été déclaré irrecevable par le </w:t>
      </w:r>
      <w:r w:rsidRPr="00DE292B">
        <w:rPr>
          <w:lang w:val="fr-FR"/>
        </w:rPr>
        <w:t>Tribunal administratif fédéra</w:t>
      </w:r>
      <w:r>
        <w:rPr>
          <w:lang w:val="fr-FR"/>
        </w:rPr>
        <w:t>l</w:t>
      </w:r>
      <w:r w:rsidRPr="00B31AA9">
        <w:rPr>
          <w:lang w:val="fr-FR"/>
        </w:rPr>
        <w:t xml:space="preserve"> pour cause de tardiveté</w:t>
      </w:r>
      <w:r w:rsidRPr="00277270">
        <w:rPr>
          <w:lang w:val="fr-FR"/>
        </w:rPr>
        <w:t xml:space="preserve"> dans un arrêt du 25 ao</w:t>
      </w:r>
      <w:r>
        <w:rPr>
          <w:lang w:val="fr-FR"/>
        </w:rPr>
        <w:t>û</w:t>
      </w:r>
      <w:r w:rsidRPr="00277270">
        <w:rPr>
          <w:lang w:val="fr-FR"/>
        </w:rPr>
        <w:t xml:space="preserve">t 2017. Le </w:t>
      </w:r>
      <w:r>
        <w:rPr>
          <w:lang w:val="fr-FR"/>
        </w:rPr>
        <w:t>requérant</w:t>
      </w:r>
      <w:r w:rsidRPr="00277270">
        <w:rPr>
          <w:lang w:val="fr-FR"/>
        </w:rPr>
        <w:t xml:space="preserve"> indique que ce retard</w:t>
      </w:r>
      <w:r>
        <w:rPr>
          <w:lang w:val="fr-FR"/>
        </w:rPr>
        <w:t xml:space="preserve"> ne lui était pas </w:t>
      </w:r>
      <w:r>
        <w:rPr>
          <w:lang w:val="fr-FR"/>
        </w:rPr>
        <w:lastRenderedPageBreak/>
        <w:t>imputable, mais</w:t>
      </w:r>
      <w:r w:rsidRPr="00277270">
        <w:rPr>
          <w:lang w:val="fr-FR"/>
        </w:rPr>
        <w:t xml:space="preserve"> </w:t>
      </w:r>
      <w:r>
        <w:rPr>
          <w:lang w:val="fr-FR"/>
        </w:rPr>
        <w:t>plutôt</w:t>
      </w:r>
      <w:r w:rsidRPr="00277270">
        <w:rPr>
          <w:lang w:val="fr-FR"/>
        </w:rPr>
        <w:t xml:space="preserve"> à un</w:t>
      </w:r>
      <w:r>
        <w:rPr>
          <w:lang w:val="fr-FR"/>
        </w:rPr>
        <w:t xml:space="preserve"> collaborateur de son conseil</w:t>
      </w:r>
      <w:r w:rsidRPr="00277270">
        <w:rPr>
          <w:lang w:val="fr-FR"/>
        </w:rPr>
        <w:t xml:space="preserve">. </w:t>
      </w:r>
      <w:r>
        <w:rPr>
          <w:lang w:val="fr-FR"/>
        </w:rPr>
        <w:t>Il a alors déposé une demande de</w:t>
      </w:r>
      <w:r w:rsidRPr="00277270">
        <w:rPr>
          <w:lang w:val="fr-FR"/>
        </w:rPr>
        <w:t xml:space="preserve"> restitution de délai et un recours au</w:t>
      </w:r>
      <w:r>
        <w:rPr>
          <w:lang w:val="fr-FR"/>
        </w:rPr>
        <w:t>près du</w:t>
      </w:r>
      <w:r w:rsidRPr="00277270">
        <w:rPr>
          <w:lang w:val="fr-FR"/>
        </w:rPr>
        <w:t xml:space="preserve"> </w:t>
      </w:r>
      <w:r>
        <w:rPr>
          <w:lang w:val="fr-FR"/>
        </w:rPr>
        <w:t>Tribunal</w:t>
      </w:r>
      <w:r w:rsidRPr="00277270">
        <w:rPr>
          <w:lang w:val="fr-FR"/>
        </w:rPr>
        <w:t xml:space="preserve"> le 30 ao</w:t>
      </w:r>
      <w:r>
        <w:rPr>
          <w:lang w:val="fr-FR"/>
        </w:rPr>
        <w:t>û</w:t>
      </w:r>
      <w:r w:rsidRPr="00277270">
        <w:rPr>
          <w:lang w:val="fr-FR"/>
        </w:rPr>
        <w:t>t 2017, recours qui a été rejeté le 19 septembre 2017</w:t>
      </w:r>
      <w:r>
        <w:rPr>
          <w:lang w:val="fr-FR"/>
        </w:rPr>
        <w:t>,</w:t>
      </w:r>
      <w:r w:rsidRPr="00277270">
        <w:rPr>
          <w:lang w:val="fr-FR"/>
        </w:rPr>
        <w:t xml:space="preserve"> </w:t>
      </w:r>
      <w:r>
        <w:rPr>
          <w:lang w:val="fr-FR"/>
        </w:rPr>
        <w:t xml:space="preserve">le Tribunal </w:t>
      </w:r>
      <w:r w:rsidRPr="00277270">
        <w:rPr>
          <w:lang w:val="fr-FR"/>
        </w:rPr>
        <w:t xml:space="preserve">considérant que </w:t>
      </w:r>
      <w:r>
        <w:rPr>
          <w:lang w:val="fr-FR"/>
        </w:rPr>
        <w:t>la négligence du mandataire n’</w:t>
      </w:r>
      <w:r w:rsidRPr="00B31AA9">
        <w:rPr>
          <w:lang w:val="fr-FR"/>
        </w:rPr>
        <w:t>était pas suffisante pour justifier d</w:t>
      </w:r>
      <w:r>
        <w:rPr>
          <w:lang w:val="fr-FR"/>
        </w:rPr>
        <w:t>’</w:t>
      </w:r>
      <w:r w:rsidRPr="00B31AA9">
        <w:rPr>
          <w:lang w:val="fr-FR"/>
        </w:rPr>
        <w:t>une demande de restitution de délai</w:t>
      </w:r>
      <w:r w:rsidRPr="00277270">
        <w:rPr>
          <w:lang w:val="fr-FR"/>
        </w:rPr>
        <w:t xml:space="preserve">. Simultanément, </w:t>
      </w:r>
      <w:r>
        <w:rPr>
          <w:lang w:val="fr-FR"/>
        </w:rPr>
        <w:t>le requérant</w:t>
      </w:r>
      <w:r w:rsidRPr="00277270">
        <w:rPr>
          <w:lang w:val="fr-FR"/>
        </w:rPr>
        <w:t xml:space="preserve"> a déposé une demande de réexamen au</w:t>
      </w:r>
      <w:r>
        <w:rPr>
          <w:lang w:val="fr-FR"/>
        </w:rPr>
        <w:t>près du</w:t>
      </w:r>
      <w:r w:rsidRPr="00277270">
        <w:rPr>
          <w:lang w:val="fr-FR"/>
        </w:rPr>
        <w:t xml:space="preserv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277270">
        <w:rPr>
          <w:lang w:val="fr-FR"/>
        </w:rPr>
        <w:t xml:space="preserve"> le 31</w:t>
      </w:r>
      <w:r w:rsidR="00C53208">
        <w:rPr>
          <w:lang w:val="fr-FR"/>
        </w:rPr>
        <w:t> </w:t>
      </w:r>
      <w:r w:rsidRPr="00277270">
        <w:rPr>
          <w:lang w:val="fr-FR"/>
        </w:rPr>
        <w:t xml:space="preserve">août 2017, à laquelle il </w:t>
      </w:r>
      <w:r>
        <w:rPr>
          <w:lang w:val="fr-FR"/>
        </w:rPr>
        <w:t xml:space="preserve">a </w:t>
      </w:r>
      <w:r w:rsidRPr="00277270">
        <w:rPr>
          <w:lang w:val="fr-FR"/>
        </w:rPr>
        <w:t>a</w:t>
      </w:r>
      <w:r>
        <w:rPr>
          <w:lang w:val="fr-FR"/>
        </w:rPr>
        <w:t>d</w:t>
      </w:r>
      <w:r w:rsidRPr="00277270">
        <w:rPr>
          <w:lang w:val="fr-FR"/>
        </w:rPr>
        <w:t>joint de nouveau</w:t>
      </w:r>
      <w:r>
        <w:rPr>
          <w:lang w:val="fr-FR"/>
        </w:rPr>
        <w:t>x</w:t>
      </w:r>
      <w:r w:rsidRPr="00277270">
        <w:rPr>
          <w:lang w:val="fr-FR"/>
        </w:rPr>
        <w:t xml:space="preserve"> moyen</w:t>
      </w:r>
      <w:r>
        <w:rPr>
          <w:lang w:val="fr-FR"/>
        </w:rPr>
        <w:t>s</w:t>
      </w:r>
      <w:r w:rsidRPr="00277270">
        <w:rPr>
          <w:lang w:val="fr-FR"/>
        </w:rPr>
        <w:t xml:space="preserve"> de preuve</w:t>
      </w:r>
      <w:r>
        <w:rPr>
          <w:lang w:val="fr-FR"/>
        </w:rPr>
        <w:t xml:space="preserve">. </w:t>
      </w:r>
      <w:r w:rsidRPr="00277270">
        <w:rPr>
          <w:lang w:val="fr-FR"/>
        </w:rPr>
        <w:t>Cette demande a été rejetée le 23</w:t>
      </w:r>
      <w:r w:rsidR="00C53208">
        <w:rPr>
          <w:lang w:val="fr-FR"/>
        </w:rPr>
        <w:t> </w:t>
      </w:r>
      <w:r w:rsidRPr="00277270">
        <w:rPr>
          <w:lang w:val="fr-FR"/>
        </w:rPr>
        <w:t xml:space="preserve">octobre 2017, </w:t>
      </w:r>
      <w:r>
        <w:rPr>
          <w:lang w:val="fr-FR"/>
        </w:rPr>
        <w:t xml:space="preserve">le </w:t>
      </w:r>
      <w:r w:rsidRPr="007F7498">
        <w:rPr>
          <w:lang w:val="fr-FR"/>
        </w:rPr>
        <w:t>Sec</w:t>
      </w:r>
      <w:r>
        <w:rPr>
          <w:lang w:val="fr-FR"/>
        </w:rPr>
        <w:t>rétariat d’</w:t>
      </w:r>
      <w:r w:rsidRPr="007F7498">
        <w:rPr>
          <w:lang w:val="fr-FR"/>
        </w:rPr>
        <w:t>É</w:t>
      </w:r>
      <w:r>
        <w:rPr>
          <w:lang w:val="fr-FR"/>
        </w:rPr>
        <w:t>t</w:t>
      </w:r>
      <w:r w:rsidRPr="007F7498">
        <w:rPr>
          <w:lang w:val="fr-FR"/>
        </w:rPr>
        <w:t xml:space="preserve">at </w:t>
      </w:r>
      <w:r w:rsidRPr="00277270">
        <w:rPr>
          <w:lang w:val="fr-FR"/>
        </w:rPr>
        <w:t>considérant que les pièces nouvelles apportée</w:t>
      </w:r>
      <w:r>
        <w:rPr>
          <w:lang w:val="fr-FR"/>
        </w:rPr>
        <w:t>s au dossier ne contenaient auc</w:t>
      </w:r>
      <w:r w:rsidRPr="00277270">
        <w:rPr>
          <w:lang w:val="fr-FR"/>
        </w:rPr>
        <w:t xml:space="preserve">un élément ou indice susceptible de modifier </w:t>
      </w:r>
      <w:r>
        <w:rPr>
          <w:lang w:val="fr-FR"/>
        </w:rPr>
        <w:t>ses</w:t>
      </w:r>
      <w:r w:rsidRPr="00277270">
        <w:rPr>
          <w:lang w:val="fr-FR"/>
        </w:rPr>
        <w:t xml:space="preserve"> conclusions préalables. Le 7 </w:t>
      </w:r>
      <w:r>
        <w:rPr>
          <w:lang w:val="fr-FR"/>
        </w:rPr>
        <w:t>n</w:t>
      </w:r>
      <w:r w:rsidRPr="00277270">
        <w:rPr>
          <w:lang w:val="fr-FR"/>
        </w:rPr>
        <w:t>ovembre 2017, le requérant a déposé un recours au</w:t>
      </w:r>
      <w:r>
        <w:rPr>
          <w:lang w:val="fr-FR"/>
        </w:rPr>
        <w:t>près du</w:t>
      </w:r>
      <w:r w:rsidRPr="00277270">
        <w:rPr>
          <w:lang w:val="fr-FR"/>
        </w:rPr>
        <w:t xml:space="preserve"> </w:t>
      </w:r>
      <w:r w:rsidRPr="00DE292B">
        <w:rPr>
          <w:lang w:val="fr-FR"/>
        </w:rPr>
        <w:t>Tribunal administratif fédéra</w:t>
      </w:r>
      <w:r>
        <w:rPr>
          <w:lang w:val="fr-FR"/>
        </w:rPr>
        <w:t>l</w:t>
      </w:r>
      <w:r w:rsidRPr="00277270">
        <w:rPr>
          <w:lang w:val="fr-FR"/>
        </w:rPr>
        <w:t xml:space="preserve"> contre cette dernière décision.</w:t>
      </w:r>
      <w:r>
        <w:rPr>
          <w:lang w:val="fr-FR"/>
        </w:rPr>
        <w:t xml:space="preserve"> À l’appui de son recours, il a présenté un rapport médical rédigé par le même médecin spécialisé dans l’aide aux victimes de violences organisées, daté du 19 septembre 2017, relevant notamment de multiples fines cicatrices au niveau du dos et des déformations des ongles des deux pouces, et indiquant que ces cicatrices étaient compatibles avec des séquelles de coups de fouet ou de cordelettes et de pinces sur les pouces. </w:t>
      </w:r>
      <w:r w:rsidRPr="00277270">
        <w:rPr>
          <w:lang w:val="fr-FR"/>
        </w:rPr>
        <w:t>Le 21 février 2018</w:t>
      </w:r>
      <w:r>
        <w:rPr>
          <w:lang w:val="fr-FR"/>
        </w:rPr>
        <w:t>,</w:t>
      </w:r>
      <w:r w:rsidRPr="00277270">
        <w:rPr>
          <w:lang w:val="fr-FR"/>
        </w:rPr>
        <w:t xml:space="preserve"> le </w:t>
      </w:r>
      <w:r>
        <w:rPr>
          <w:lang w:val="fr-FR"/>
        </w:rPr>
        <w:t>Tribunal</w:t>
      </w:r>
      <w:r w:rsidRPr="00277270">
        <w:rPr>
          <w:lang w:val="fr-FR"/>
        </w:rPr>
        <w:t xml:space="preserve"> a rejeté le reco</w:t>
      </w:r>
      <w:r>
        <w:rPr>
          <w:lang w:val="fr-FR"/>
        </w:rPr>
        <w:t>urs du requérant, considérant qu’</w:t>
      </w:r>
      <w:r w:rsidRPr="00277270">
        <w:rPr>
          <w:lang w:val="fr-FR"/>
        </w:rPr>
        <w:t>il était mal</w:t>
      </w:r>
      <w:r>
        <w:rPr>
          <w:lang w:val="fr-FR"/>
        </w:rPr>
        <w:t xml:space="preserve"> </w:t>
      </w:r>
      <w:r w:rsidRPr="00277270">
        <w:rPr>
          <w:lang w:val="fr-FR"/>
        </w:rPr>
        <w:t xml:space="preserve">fondé, notamment en ce que </w:t>
      </w:r>
      <w:r>
        <w:rPr>
          <w:lang w:val="fr-FR"/>
        </w:rPr>
        <w:t>les nouveaux moyens de preuve n’</w:t>
      </w:r>
      <w:r w:rsidRPr="00277270">
        <w:rPr>
          <w:lang w:val="fr-FR"/>
        </w:rPr>
        <w:t>étaient p</w:t>
      </w:r>
      <w:r>
        <w:rPr>
          <w:lang w:val="fr-FR"/>
        </w:rPr>
        <w:t>as décisifs. En effet, le Tribunal a</w:t>
      </w:r>
      <w:r w:rsidRPr="00277270">
        <w:rPr>
          <w:lang w:val="fr-FR"/>
        </w:rPr>
        <w:t xml:space="preserve"> considéré </w:t>
      </w:r>
      <w:r>
        <w:rPr>
          <w:lang w:val="fr-FR"/>
        </w:rPr>
        <w:t xml:space="preserve">que </w:t>
      </w:r>
      <w:r w:rsidRPr="00277270">
        <w:rPr>
          <w:lang w:val="fr-FR"/>
        </w:rPr>
        <w:t>le certificat médic</w:t>
      </w:r>
      <w:r>
        <w:rPr>
          <w:lang w:val="fr-FR"/>
        </w:rPr>
        <w:t>al du 19 septembre 2017 n’avait</w:t>
      </w:r>
      <w:r w:rsidRPr="00277270">
        <w:rPr>
          <w:lang w:val="fr-FR"/>
        </w:rPr>
        <w:t xml:space="preserve"> aucune valeur probante</w:t>
      </w:r>
      <w:r>
        <w:rPr>
          <w:lang w:val="fr-FR"/>
        </w:rPr>
        <w:t>,</w:t>
      </w:r>
      <w:r w:rsidRPr="00277270">
        <w:rPr>
          <w:lang w:val="fr-FR"/>
        </w:rPr>
        <w:t xml:space="preserve"> puisque le diagnostic se fondait uniquement sur le récit du requéran</w:t>
      </w:r>
      <w:r>
        <w:rPr>
          <w:lang w:val="fr-FR"/>
        </w:rPr>
        <w:t>t et se limitait à estimer que</w:t>
      </w:r>
      <w:r w:rsidRPr="00277270">
        <w:rPr>
          <w:lang w:val="fr-FR"/>
        </w:rPr>
        <w:t xml:space="preserve"> les lésions et troubles relevés étaient compatibles avec les sévices allégués, sans pour autant le démontrer.</w:t>
      </w:r>
    </w:p>
    <w:p w14:paraId="791D88F0" w14:textId="77777777" w:rsidR="007767F9" w:rsidRPr="00A934F4" w:rsidRDefault="007767F9" w:rsidP="007767F9">
      <w:pPr>
        <w:pStyle w:val="H23G"/>
        <w:rPr>
          <w:lang w:val="fr-FR"/>
        </w:rPr>
      </w:pPr>
      <w:r w:rsidRPr="00A934F4">
        <w:rPr>
          <w:lang w:val="fr-FR"/>
        </w:rPr>
        <w:tab/>
      </w:r>
      <w:r w:rsidRPr="00A934F4">
        <w:rPr>
          <w:lang w:val="fr-FR"/>
        </w:rPr>
        <w:tab/>
        <w:t>Teneur de la plainte</w:t>
      </w:r>
    </w:p>
    <w:p w14:paraId="7D1B6528" w14:textId="1C11695C" w:rsidR="007767F9" w:rsidRDefault="007767F9" w:rsidP="007767F9">
      <w:pPr>
        <w:pStyle w:val="SingleTxtG"/>
        <w:rPr>
          <w:lang w:val="fr-FR"/>
        </w:rPr>
      </w:pPr>
      <w:r>
        <w:rPr>
          <w:lang w:val="fr-FR"/>
        </w:rPr>
        <w:t>3.1</w:t>
      </w:r>
      <w:r>
        <w:rPr>
          <w:lang w:val="fr-FR"/>
        </w:rPr>
        <w:tab/>
      </w:r>
      <w:r w:rsidRPr="0052161A">
        <w:rPr>
          <w:lang w:val="fr-FR"/>
        </w:rPr>
        <w:t>Le requé</w:t>
      </w:r>
      <w:r>
        <w:rPr>
          <w:lang w:val="fr-FR"/>
        </w:rPr>
        <w:t>rant invoque une violation par l’État partie de l’</w:t>
      </w:r>
      <w:r w:rsidRPr="0052161A">
        <w:rPr>
          <w:lang w:val="fr-FR"/>
        </w:rPr>
        <w:t>article 3 de la Convention</w:t>
      </w:r>
      <w:r>
        <w:rPr>
          <w:lang w:val="fr-FR"/>
        </w:rPr>
        <w:t>,</w:t>
      </w:r>
      <w:r w:rsidRPr="0052161A">
        <w:rPr>
          <w:lang w:val="fr-FR"/>
        </w:rPr>
        <w:t xml:space="preserve"> </w:t>
      </w:r>
      <w:r>
        <w:rPr>
          <w:lang w:val="fr-FR"/>
        </w:rPr>
        <w:t xml:space="preserve">car un retour vers la </w:t>
      </w:r>
      <w:r w:rsidRPr="009E47E5">
        <w:rPr>
          <w:lang w:val="fr-FR"/>
        </w:rPr>
        <w:t>République islamique d</w:t>
      </w:r>
      <w:r>
        <w:rPr>
          <w:lang w:val="fr-FR"/>
        </w:rPr>
        <w:t>’</w:t>
      </w:r>
      <w:r w:rsidRPr="009E47E5">
        <w:rPr>
          <w:lang w:val="fr-FR"/>
        </w:rPr>
        <w:t>Iran</w:t>
      </w:r>
      <w:r>
        <w:rPr>
          <w:lang w:val="fr-FR"/>
        </w:rPr>
        <w:t xml:space="preserve"> mènerait à son arrestation immédiate, impliquant un risque de torture ou</w:t>
      </w:r>
      <w:r w:rsidRPr="0052161A">
        <w:rPr>
          <w:lang w:val="fr-FR"/>
        </w:rPr>
        <w:t xml:space="preserve"> </w:t>
      </w:r>
      <w:r>
        <w:rPr>
          <w:lang w:val="fr-FR"/>
        </w:rPr>
        <w:t>de traitements cruels, inhumains ou</w:t>
      </w:r>
      <w:r w:rsidRPr="0052161A">
        <w:rPr>
          <w:lang w:val="fr-FR"/>
        </w:rPr>
        <w:t xml:space="preserve"> dégradants</w:t>
      </w:r>
      <w:r>
        <w:rPr>
          <w:lang w:val="fr-FR"/>
        </w:rPr>
        <w:t>, dans la mesure où : a)</w:t>
      </w:r>
      <w:r w:rsidR="00ED1E97">
        <w:rPr>
          <w:lang w:val="fr-FR"/>
        </w:rPr>
        <w:t> </w:t>
      </w:r>
      <w:r>
        <w:rPr>
          <w:lang w:val="fr-FR"/>
        </w:rPr>
        <w:t>il a été accusé d’apostasie, ce qui est passible de la peine de mort, d’</w:t>
      </w:r>
      <w:r w:rsidRPr="00400E73">
        <w:rPr>
          <w:lang w:val="fr-FR"/>
        </w:rPr>
        <w:t xml:space="preserve">avoir enseigné à des membres de la communauté </w:t>
      </w:r>
      <w:r>
        <w:rPr>
          <w:lang w:val="fr-FR"/>
        </w:rPr>
        <w:t>b</w:t>
      </w:r>
      <w:r w:rsidRPr="00400E73">
        <w:rPr>
          <w:lang w:val="fr-FR"/>
        </w:rPr>
        <w:t>ahaï</w:t>
      </w:r>
      <w:r>
        <w:rPr>
          <w:lang w:val="fr-FR"/>
        </w:rPr>
        <w:t>e</w:t>
      </w:r>
      <w:r w:rsidRPr="00400E73">
        <w:rPr>
          <w:lang w:val="fr-FR"/>
        </w:rPr>
        <w:t>, ce qui est i</w:t>
      </w:r>
      <w:r>
        <w:rPr>
          <w:lang w:val="fr-FR"/>
        </w:rPr>
        <w:t>nterdit par la loi iranienne, d’</w:t>
      </w:r>
      <w:r w:rsidRPr="00400E73">
        <w:rPr>
          <w:lang w:val="fr-FR"/>
        </w:rPr>
        <w:t>être lui-même devenu m</w:t>
      </w:r>
      <w:r>
        <w:rPr>
          <w:lang w:val="fr-FR"/>
        </w:rPr>
        <w:t>embre de cette communauté et</w:t>
      </w:r>
      <w:r w:rsidRPr="00400E73">
        <w:rPr>
          <w:lang w:val="fr-FR"/>
        </w:rPr>
        <w:t xml:space="preserve"> d</w:t>
      </w:r>
      <w:r>
        <w:rPr>
          <w:lang w:val="fr-FR"/>
        </w:rPr>
        <w:t>’être un espion à la solde d’</w:t>
      </w:r>
      <w:r w:rsidRPr="00400E73">
        <w:rPr>
          <w:lang w:val="fr-FR"/>
        </w:rPr>
        <w:t>Israël</w:t>
      </w:r>
      <w:r w:rsidR="00627D27">
        <w:rPr>
          <w:lang w:val="fr-FR"/>
        </w:rPr>
        <w:t> ;</w:t>
      </w:r>
      <w:r>
        <w:rPr>
          <w:lang w:val="fr-FR"/>
        </w:rPr>
        <w:t xml:space="preserve"> b)</w:t>
      </w:r>
      <w:r w:rsidR="00ED1E97">
        <w:rPr>
          <w:lang w:val="fr-FR"/>
        </w:rPr>
        <w:t> </w:t>
      </w:r>
      <w:r>
        <w:rPr>
          <w:lang w:val="fr-FR"/>
        </w:rPr>
        <w:t>il a demandé l’asile dans l’État partie, ce qui renforce la thèse selon laquelle il serait un agent de l’Occident</w:t>
      </w:r>
      <w:r w:rsidR="00627D27">
        <w:rPr>
          <w:lang w:val="fr-FR"/>
        </w:rPr>
        <w:t> ;</w:t>
      </w:r>
      <w:r>
        <w:rPr>
          <w:lang w:val="fr-FR"/>
        </w:rPr>
        <w:t xml:space="preserve"> et c)</w:t>
      </w:r>
      <w:r w:rsidR="00ED1E97">
        <w:rPr>
          <w:lang w:val="fr-FR"/>
        </w:rPr>
        <w:t> </w:t>
      </w:r>
      <w:r>
        <w:rPr>
          <w:lang w:val="fr-FR"/>
        </w:rPr>
        <w:t>il a déjà attiré l’attention des autorités iraniennes, qui l’ont arrêté et torturé.</w:t>
      </w:r>
    </w:p>
    <w:p w14:paraId="1F04A70B" w14:textId="77777777" w:rsidR="007767F9" w:rsidRDefault="007767F9" w:rsidP="007767F9">
      <w:pPr>
        <w:pStyle w:val="SingleTxtG"/>
        <w:rPr>
          <w:lang w:val="fr-FR"/>
        </w:rPr>
      </w:pPr>
      <w:r>
        <w:rPr>
          <w:lang w:val="fr-FR"/>
        </w:rPr>
        <w:t>3.2</w:t>
      </w:r>
      <w:r>
        <w:rPr>
          <w:lang w:val="fr-FR"/>
        </w:rPr>
        <w:tab/>
        <w:t>Le requérant indique que l</w:t>
      </w:r>
      <w:r w:rsidRPr="00B47A27">
        <w:rPr>
          <w:lang w:val="fr-FR"/>
        </w:rPr>
        <w:t>es certificats</w:t>
      </w:r>
      <w:r>
        <w:rPr>
          <w:lang w:val="fr-FR"/>
        </w:rPr>
        <w:t xml:space="preserve"> médicaux produits attestent de séquelles et de blessures, </w:t>
      </w:r>
      <w:r w:rsidRPr="00B47A27">
        <w:rPr>
          <w:lang w:val="fr-FR"/>
        </w:rPr>
        <w:t>conséquences des tortures intenses qu</w:t>
      </w:r>
      <w:r>
        <w:rPr>
          <w:lang w:val="fr-FR"/>
        </w:rPr>
        <w:t>’</w:t>
      </w:r>
      <w:r w:rsidRPr="00B47A27">
        <w:rPr>
          <w:lang w:val="fr-FR"/>
        </w:rPr>
        <w:t>il a subi</w:t>
      </w:r>
      <w:r>
        <w:rPr>
          <w:lang w:val="fr-FR"/>
        </w:rPr>
        <w:t xml:space="preserve">es avant l’audience de jugement. Pour compléter les preuves des tortures subies en République islamique d’Iran, il présente au Comité un complément au rapport médical du 19 septembre 2017, daté du 22 mars 2018, qui est donc postérieur à la décision finale du Tribunal administratif fédéral et </w:t>
      </w:r>
      <w:r w:rsidRPr="0078624C">
        <w:rPr>
          <w:lang w:val="fr-FR"/>
        </w:rPr>
        <w:t>indique que le lien de causalité</w:t>
      </w:r>
      <w:r>
        <w:rPr>
          <w:lang w:val="fr-FR"/>
        </w:rPr>
        <w:t xml:space="preserve"> entre les déclarations du requérant et le tableau clinique</w:t>
      </w:r>
      <w:r w:rsidRPr="0078624C">
        <w:rPr>
          <w:lang w:val="fr-FR"/>
        </w:rPr>
        <w:t xml:space="preserve"> est plausible avec un fort degré de vraisemblance. Il mentionne en particulier les nombreuses fines cicatr</w:t>
      </w:r>
      <w:r>
        <w:rPr>
          <w:lang w:val="fr-FR"/>
        </w:rPr>
        <w:t xml:space="preserve">ices linéaires au niveau de son dos, </w:t>
      </w:r>
      <w:r w:rsidRPr="0078624C">
        <w:rPr>
          <w:lang w:val="fr-FR"/>
        </w:rPr>
        <w:t>compatibles avec des suites de coups par câbles électriques ou cordelettes, des déform</w:t>
      </w:r>
      <w:r>
        <w:rPr>
          <w:lang w:val="fr-FR"/>
        </w:rPr>
        <w:t>ations en cupule des ongles de l</w:t>
      </w:r>
      <w:r w:rsidRPr="0078624C">
        <w:rPr>
          <w:lang w:val="fr-FR"/>
        </w:rPr>
        <w:t xml:space="preserve">a main compatibles avec des </w:t>
      </w:r>
      <w:r>
        <w:rPr>
          <w:lang w:val="fr-FR"/>
        </w:rPr>
        <w:t>décharges électriques</w:t>
      </w:r>
      <w:r w:rsidRPr="0078624C">
        <w:rPr>
          <w:lang w:val="fr-FR"/>
        </w:rPr>
        <w:t xml:space="preserve"> </w:t>
      </w:r>
      <w:r>
        <w:rPr>
          <w:lang w:val="fr-FR"/>
        </w:rPr>
        <w:t>administrées</w:t>
      </w:r>
      <w:r w:rsidRPr="0078624C">
        <w:rPr>
          <w:lang w:val="fr-FR"/>
        </w:rPr>
        <w:t xml:space="preserve"> au moyen de pinces fixées sur l</w:t>
      </w:r>
      <w:r>
        <w:rPr>
          <w:lang w:val="fr-FR"/>
        </w:rPr>
        <w:t>’</w:t>
      </w:r>
      <w:r w:rsidRPr="0078624C">
        <w:rPr>
          <w:lang w:val="fr-FR"/>
        </w:rPr>
        <w:t xml:space="preserve">extrémité de ses pouces, et des douleurs </w:t>
      </w:r>
      <w:r>
        <w:rPr>
          <w:lang w:val="fr-FR"/>
        </w:rPr>
        <w:t xml:space="preserve">au niveau </w:t>
      </w:r>
      <w:r w:rsidRPr="0078624C">
        <w:rPr>
          <w:lang w:val="fr-FR"/>
        </w:rPr>
        <w:t>de la plante des pieds et des chevilles</w:t>
      </w:r>
      <w:r>
        <w:rPr>
          <w:lang w:val="fr-FR"/>
        </w:rPr>
        <w:t>,</w:t>
      </w:r>
      <w:r w:rsidRPr="0078624C">
        <w:rPr>
          <w:lang w:val="fr-FR"/>
        </w:rPr>
        <w:t xml:space="preserve"> avec limitation de la mobilité</w:t>
      </w:r>
      <w:r>
        <w:rPr>
          <w:lang w:val="fr-FR"/>
        </w:rPr>
        <w:t>,</w:t>
      </w:r>
      <w:r w:rsidRPr="0078624C">
        <w:rPr>
          <w:lang w:val="fr-FR"/>
        </w:rPr>
        <w:t xml:space="preserve"> compatibles avec des coups sur la plante des pieds.</w:t>
      </w:r>
      <w:r>
        <w:rPr>
          <w:lang w:val="fr-FR"/>
        </w:rPr>
        <w:t xml:space="preserve"> </w:t>
      </w:r>
      <w:r>
        <w:rPr>
          <w:rFonts w:eastAsia="Times New Roman"/>
        </w:rPr>
        <w:t>Le requérant considère qu’il a donné suffisamment de preuves aux autorités indiquant qu’il avait été victime de torture. Il ajoute qu’</w:t>
      </w:r>
      <w:r w:rsidRPr="0043117F">
        <w:rPr>
          <w:rFonts w:eastAsia="Times New Roman"/>
        </w:rPr>
        <w:t>un É</w:t>
      </w:r>
      <w:r>
        <w:rPr>
          <w:rFonts w:eastAsia="Times New Roman"/>
        </w:rPr>
        <w:t>t</w:t>
      </w:r>
      <w:r w:rsidRPr="0043117F">
        <w:rPr>
          <w:rFonts w:eastAsia="Times New Roman"/>
        </w:rPr>
        <w:t>at partie qui considère c</w:t>
      </w:r>
      <w:r>
        <w:rPr>
          <w:rFonts w:eastAsia="Times New Roman"/>
        </w:rPr>
        <w:t>omme infondée une demande d’asil</w:t>
      </w:r>
      <w:r w:rsidRPr="0043117F">
        <w:rPr>
          <w:rFonts w:eastAsia="Times New Roman"/>
        </w:rPr>
        <w:t xml:space="preserve">e et décide de refouler un </w:t>
      </w:r>
      <w:r w:rsidRPr="0043117F">
        <w:rPr>
          <w:noProof/>
          <w:lang w:val="en-GB" w:eastAsia="en-GB"/>
        </w:rPr>
        <w:drawing>
          <wp:inline distT="0" distB="0" distL="0" distR="0" wp14:anchorId="1076A089" wp14:editId="31F961C4">
            <wp:extent cx="6097" cy="6096"/>
            <wp:effectExtent l="0" t="0" r="0" b="0"/>
            <wp:docPr id="29528" name="Picture 29528"/>
            <wp:cNvGraphicFramePr/>
            <a:graphic xmlns:a="http://schemas.openxmlformats.org/drawingml/2006/main">
              <a:graphicData uri="http://schemas.openxmlformats.org/drawingml/2006/picture">
                <pic:pic xmlns:pic="http://schemas.openxmlformats.org/drawingml/2006/picture">
                  <pic:nvPicPr>
                    <pic:cNvPr id="29528" name="Picture 29528"/>
                    <pic:cNvPicPr/>
                  </pic:nvPicPr>
                  <pic:blipFill>
                    <a:blip r:embed="rId8"/>
                    <a:stretch>
                      <a:fillRect/>
                    </a:stretch>
                  </pic:blipFill>
                  <pic:spPr>
                    <a:xfrm>
                      <a:off x="0" y="0"/>
                      <a:ext cx="6097" cy="6096"/>
                    </a:xfrm>
                    <a:prstGeom prst="rect">
                      <a:avLst/>
                    </a:prstGeom>
                  </pic:spPr>
                </pic:pic>
              </a:graphicData>
            </a:graphic>
          </wp:inline>
        </w:drawing>
      </w:r>
      <w:r>
        <w:rPr>
          <w:rFonts w:eastAsia="Times New Roman"/>
        </w:rPr>
        <w:t>requérant alors qu’il n’</w:t>
      </w:r>
      <w:r w:rsidRPr="0043117F">
        <w:rPr>
          <w:rFonts w:eastAsia="Times New Roman"/>
        </w:rPr>
        <w:t>a pas enquêté suffisamment ni donné suite aux preuves fournies par l</w:t>
      </w:r>
      <w:r>
        <w:rPr>
          <w:rFonts w:eastAsia="Times New Roman"/>
        </w:rPr>
        <w:t>’</w:t>
      </w:r>
      <w:r w:rsidRPr="0043117F">
        <w:rPr>
          <w:rFonts w:eastAsia="Times New Roman"/>
        </w:rPr>
        <w:t>intéressé</w:t>
      </w:r>
      <w:r>
        <w:rPr>
          <w:rFonts w:eastAsia="Times New Roman"/>
        </w:rPr>
        <w:t xml:space="preserve"> commet une violation de l’</w:t>
      </w:r>
      <w:r w:rsidRPr="0043117F">
        <w:rPr>
          <w:rFonts w:eastAsia="Times New Roman"/>
        </w:rPr>
        <w:t xml:space="preserve">article 3 </w:t>
      </w:r>
      <w:r>
        <w:rPr>
          <w:rFonts w:eastAsia="Times New Roman"/>
        </w:rPr>
        <w:t>de la Convention</w:t>
      </w:r>
      <w:r w:rsidRPr="002074C3">
        <w:rPr>
          <w:rStyle w:val="Appelnotedebasdep"/>
        </w:rPr>
        <w:footnoteReference w:id="7"/>
      </w:r>
      <w:r w:rsidRPr="0043117F">
        <w:rPr>
          <w:rFonts w:eastAsia="Times New Roman"/>
          <w:sz w:val="18"/>
        </w:rPr>
        <w:t>.</w:t>
      </w:r>
    </w:p>
    <w:p w14:paraId="1089200C" w14:textId="77777777" w:rsidR="007767F9" w:rsidRDefault="007767F9" w:rsidP="007767F9">
      <w:pPr>
        <w:pStyle w:val="SingleTxtG"/>
        <w:rPr>
          <w:lang w:val="fr-FR"/>
        </w:rPr>
      </w:pPr>
      <w:r>
        <w:rPr>
          <w:lang w:val="fr-FR"/>
        </w:rPr>
        <w:t>3.3</w:t>
      </w:r>
      <w:r>
        <w:rPr>
          <w:lang w:val="fr-FR"/>
        </w:rPr>
        <w:tab/>
        <w:t>Le requérant indique également que l’État partie</w:t>
      </w:r>
      <w:r w:rsidRPr="00893504">
        <w:rPr>
          <w:lang w:val="fr-FR"/>
        </w:rPr>
        <w:t>, tout a</w:t>
      </w:r>
      <w:r>
        <w:rPr>
          <w:lang w:val="fr-FR"/>
        </w:rPr>
        <w:t>u long de la procédure d’a</w:t>
      </w:r>
      <w:r w:rsidRPr="00893504">
        <w:rPr>
          <w:lang w:val="fr-FR"/>
        </w:rPr>
        <w:t xml:space="preserve">sile, </w:t>
      </w:r>
      <w:r>
        <w:rPr>
          <w:lang w:val="fr-FR"/>
        </w:rPr>
        <w:t>s’est enfermé</w:t>
      </w:r>
      <w:r w:rsidRPr="00893504">
        <w:rPr>
          <w:lang w:val="fr-FR"/>
        </w:rPr>
        <w:t xml:space="preserve"> dans une lecture pa</w:t>
      </w:r>
      <w:r>
        <w:rPr>
          <w:lang w:val="fr-FR"/>
        </w:rPr>
        <w:t>rtiale et biaisée de la cause et</w:t>
      </w:r>
      <w:r w:rsidRPr="000F72DA">
        <w:t xml:space="preserve"> </w:t>
      </w:r>
      <w:r w:rsidRPr="000F72DA">
        <w:rPr>
          <w:lang w:val="fr-FR"/>
        </w:rPr>
        <w:t>excessivement formaliste de ses déclarations</w:t>
      </w:r>
      <w:r>
        <w:rPr>
          <w:lang w:val="fr-FR"/>
        </w:rPr>
        <w:t xml:space="preserve">. L’État partie a </w:t>
      </w:r>
      <w:r w:rsidRPr="00893504">
        <w:rPr>
          <w:lang w:val="fr-FR"/>
        </w:rPr>
        <w:t>dé</w:t>
      </w:r>
      <w:r>
        <w:rPr>
          <w:lang w:val="fr-FR"/>
        </w:rPr>
        <w:t>cidé d’écarter d’emblée toutes s</w:t>
      </w:r>
      <w:r w:rsidRPr="00893504">
        <w:rPr>
          <w:lang w:val="fr-FR"/>
        </w:rPr>
        <w:t xml:space="preserve">es offres de preuve et </w:t>
      </w:r>
      <w:r>
        <w:rPr>
          <w:lang w:val="fr-FR"/>
        </w:rPr>
        <w:t>s</w:t>
      </w:r>
      <w:r w:rsidRPr="00893504">
        <w:rPr>
          <w:lang w:val="fr-FR"/>
        </w:rPr>
        <w:t>es explications, en particulier des preuves médicales pourtant solides, au motif que ses déclarations auraient d</w:t>
      </w:r>
      <w:r>
        <w:rPr>
          <w:lang w:val="fr-FR"/>
        </w:rPr>
        <w:t>’</w:t>
      </w:r>
      <w:r w:rsidRPr="00893504">
        <w:rPr>
          <w:lang w:val="fr-FR"/>
        </w:rPr>
        <w:t>abord com</w:t>
      </w:r>
      <w:r>
        <w:rPr>
          <w:lang w:val="fr-FR"/>
        </w:rPr>
        <w:t>porté certaines contradictions, sans se demander si l’</w:t>
      </w:r>
      <w:r w:rsidRPr="00893504">
        <w:rPr>
          <w:lang w:val="fr-FR"/>
        </w:rPr>
        <w:t>état médical du requérant,</w:t>
      </w:r>
      <w:r>
        <w:rPr>
          <w:lang w:val="fr-FR"/>
        </w:rPr>
        <w:t xml:space="preserve"> documenté et</w:t>
      </w:r>
      <w:r w:rsidRPr="00893504">
        <w:rPr>
          <w:lang w:val="fr-FR"/>
        </w:rPr>
        <w:t xml:space="preserve"> visible lors des auditions,</w:t>
      </w:r>
      <w:r>
        <w:rPr>
          <w:lang w:val="fr-FR"/>
        </w:rPr>
        <w:t xml:space="preserve"> et</w:t>
      </w:r>
      <w:r w:rsidRPr="00893504">
        <w:rPr>
          <w:lang w:val="fr-FR"/>
        </w:rPr>
        <w:t xml:space="preserve"> </w:t>
      </w:r>
      <w:r>
        <w:rPr>
          <w:lang w:val="fr-FR"/>
        </w:rPr>
        <w:t>dont l’État partie avait été averti</w:t>
      </w:r>
      <w:r w:rsidRPr="00893504">
        <w:rPr>
          <w:lang w:val="fr-FR"/>
        </w:rPr>
        <w:t>, ne pouvait pas permettre d</w:t>
      </w:r>
      <w:r>
        <w:rPr>
          <w:lang w:val="fr-FR"/>
        </w:rPr>
        <w:t>’</w:t>
      </w:r>
      <w:r w:rsidRPr="00893504">
        <w:rPr>
          <w:lang w:val="fr-FR"/>
        </w:rPr>
        <w:t xml:space="preserve">expliquer pourquoi </w:t>
      </w:r>
      <w:r>
        <w:rPr>
          <w:lang w:val="fr-FR"/>
        </w:rPr>
        <w:t>le requérant n’</w:t>
      </w:r>
      <w:r w:rsidRPr="00893504">
        <w:rPr>
          <w:lang w:val="fr-FR"/>
        </w:rPr>
        <w:t xml:space="preserve">était </w:t>
      </w:r>
      <w:r>
        <w:rPr>
          <w:lang w:val="fr-FR"/>
        </w:rPr>
        <w:t>pas parvenu à s’exprimer avec l’</w:t>
      </w:r>
      <w:r w:rsidRPr="00893504">
        <w:rPr>
          <w:lang w:val="fr-FR"/>
        </w:rPr>
        <w:t>ex</w:t>
      </w:r>
      <w:r>
        <w:rPr>
          <w:lang w:val="fr-FR"/>
        </w:rPr>
        <w:t>actitude qui était exigée</w:t>
      </w:r>
      <w:r w:rsidRPr="00893504">
        <w:rPr>
          <w:lang w:val="fr-FR"/>
        </w:rPr>
        <w:t xml:space="preserve"> de lui.</w:t>
      </w:r>
    </w:p>
    <w:p w14:paraId="779F3809" w14:textId="77777777" w:rsidR="007767F9" w:rsidRDefault="007767F9" w:rsidP="00331637">
      <w:pPr>
        <w:pStyle w:val="SingleTxtG"/>
        <w:keepLines/>
        <w:rPr>
          <w:lang w:val="fr-FR"/>
        </w:rPr>
      </w:pPr>
      <w:r>
        <w:rPr>
          <w:lang w:val="fr-FR"/>
        </w:rPr>
        <w:lastRenderedPageBreak/>
        <w:t>3.4</w:t>
      </w:r>
      <w:r>
        <w:rPr>
          <w:lang w:val="fr-FR"/>
        </w:rPr>
        <w:tab/>
        <w:t>En effet, concernant les</w:t>
      </w:r>
      <w:r w:rsidRPr="00C1525D">
        <w:rPr>
          <w:lang w:val="fr-FR"/>
        </w:rPr>
        <w:t xml:space="preserve"> imprécisions </w:t>
      </w:r>
      <w:r>
        <w:rPr>
          <w:lang w:val="fr-FR"/>
        </w:rPr>
        <w:t>quant aux</w:t>
      </w:r>
      <w:r w:rsidRPr="00C1525D">
        <w:rPr>
          <w:lang w:val="fr-FR"/>
        </w:rPr>
        <w:t xml:space="preserve"> dates et </w:t>
      </w:r>
      <w:r>
        <w:rPr>
          <w:lang w:val="fr-FR"/>
        </w:rPr>
        <w:t>à la</w:t>
      </w:r>
      <w:r w:rsidRPr="00C1525D">
        <w:rPr>
          <w:lang w:val="fr-FR"/>
        </w:rPr>
        <w:t xml:space="preserve"> chronologie soulignées par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C1525D">
        <w:rPr>
          <w:lang w:val="fr-FR"/>
        </w:rPr>
        <w:t>, le requérant indique qu</w:t>
      </w:r>
      <w:r>
        <w:rPr>
          <w:lang w:val="fr-FR"/>
        </w:rPr>
        <w:t>’</w:t>
      </w:r>
      <w:r w:rsidRPr="00C1525D">
        <w:rPr>
          <w:lang w:val="fr-FR"/>
        </w:rPr>
        <w:t>elles sont attribuables au fait qu</w:t>
      </w:r>
      <w:r>
        <w:rPr>
          <w:lang w:val="fr-FR"/>
        </w:rPr>
        <w:t>’</w:t>
      </w:r>
      <w:r w:rsidRPr="00C1525D">
        <w:rPr>
          <w:lang w:val="fr-FR"/>
        </w:rPr>
        <w:t>il a été interrogé pour la première fois le 22 avril 2015, soit quelques jours après</w:t>
      </w:r>
      <w:r>
        <w:rPr>
          <w:lang w:val="fr-FR"/>
        </w:rPr>
        <w:t xml:space="preserve"> son arrivée en Suisse, alors qu’</w:t>
      </w:r>
      <w:r w:rsidRPr="00C1525D">
        <w:rPr>
          <w:lang w:val="fr-FR"/>
        </w:rPr>
        <w:t>il avait été victime, peu de temps auparavant, de tortures et souffrait de stress post-traumatique.</w:t>
      </w:r>
    </w:p>
    <w:p w14:paraId="32359CA5" w14:textId="77777777" w:rsidR="007767F9" w:rsidRPr="00B47A27" w:rsidRDefault="007767F9" w:rsidP="007767F9">
      <w:pPr>
        <w:pStyle w:val="SingleTxtG"/>
        <w:rPr>
          <w:lang w:val="fr-FR"/>
        </w:rPr>
      </w:pPr>
      <w:r>
        <w:rPr>
          <w:lang w:val="fr-FR"/>
        </w:rPr>
        <w:t>3.5</w:t>
      </w:r>
      <w:r>
        <w:rPr>
          <w:lang w:val="fr-FR"/>
        </w:rPr>
        <w:tab/>
        <w:t>Le requérant explique aussi que les</w:t>
      </w:r>
      <w:r w:rsidRPr="00893504">
        <w:rPr>
          <w:lang w:val="fr-FR"/>
        </w:rPr>
        <w:t xml:space="preserve"> contradictio</w:t>
      </w:r>
      <w:r>
        <w:rPr>
          <w:lang w:val="fr-FR"/>
        </w:rPr>
        <w:t>ns plus importantes relevées par les autorités</w:t>
      </w:r>
      <w:r w:rsidRPr="002D4861">
        <w:t xml:space="preserve"> </w:t>
      </w:r>
      <w:r w:rsidRPr="002D4861">
        <w:rPr>
          <w:lang w:val="fr-FR"/>
        </w:rPr>
        <w:t>proviennent de problèmes de traduction</w:t>
      </w:r>
      <w:r>
        <w:rPr>
          <w:lang w:val="fr-FR"/>
        </w:rPr>
        <w:t xml:space="preserve"> du farsi vers l’allemand.</w:t>
      </w:r>
    </w:p>
    <w:p w14:paraId="4DC724A8" w14:textId="77777777" w:rsidR="007767F9" w:rsidRDefault="007767F9" w:rsidP="007767F9">
      <w:pPr>
        <w:pStyle w:val="SingleTxtG"/>
        <w:rPr>
          <w:lang w:val="fr-FR"/>
        </w:rPr>
      </w:pPr>
      <w:r>
        <w:rPr>
          <w:lang w:val="fr-FR"/>
        </w:rPr>
        <w:t>3.6</w:t>
      </w:r>
      <w:r>
        <w:rPr>
          <w:lang w:val="fr-FR"/>
        </w:rPr>
        <w:tab/>
        <w:t>Enfin, le requérant ajoute que l’État partie n’a pas pris en compte le contexte de sa demande d’asile, à savoir la situation générale des droits humains qui prévaut en République islamique d’Iran et qui ne fait que s’</w:t>
      </w:r>
      <w:r w:rsidRPr="00893504">
        <w:rPr>
          <w:lang w:val="fr-FR"/>
        </w:rPr>
        <w:t>aggraver depuis 2009</w:t>
      </w:r>
      <w:r>
        <w:rPr>
          <w:lang w:val="fr-FR"/>
        </w:rPr>
        <w:t>, étant donné le sort qui y est réservé</w:t>
      </w:r>
      <w:r w:rsidRPr="00893504">
        <w:rPr>
          <w:lang w:val="fr-FR"/>
        </w:rPr>
        <w:t xml:space="preserve"> </w:t>
      </w:r>
      <w:r>
        <w:rPr>
          <w:lang w:val="fr-FR"/>
        </w:rPr>
        <w:t>aux opposants réels ou supposés</w:t>
      </w:r>
      <w:r w:rsidRPr="00893504">
        <w:rPr>
          <w:lang w:val="fr-FR"/>
        </w:rPr>
        <w:t xml:space="preserve"> ou au</w:t>
      </w:r>
      <w:r>
        <w:rPr>
          <w:lang w:val="fr-FR"/>
        </w:rPr>
        <w:t>x requérants d’a</w:t>
      </w:r>
      <w:r w:rsidRPr="00893504">
        <w:rPr>
          <w:lang w:val="fr-FR"/>
        </w:rPr>
        <w:t>sile déboutés</w:t>
      </w:r>
      <w:r w:rsidRPr="002074C3">
        <w:rPr>
          <w:rStyle w:val="Appelnotedebasdep"/>
        </w:rPr>
        <w:footnoteReference w:id="8"/>
      </w:r>
      <w:r>
        <w:rPr>
          <w:lang w:val="fr-FR"/>
        </w:rPr>
        <w:t>.</w:t>
      </w:r>
    </w:p>
    <w:p w14:paraId="6BD61C24" w14:textId="77777777" w:rsidR="007767F9" w:rsidRPr="005864B9" w:rsidRDefault="007767F9" w:rsidP="007767F9">
      <w:pPr>
        <w:pStyle w:val="H23G"/>
        <w:rPr>
          <w:lang w:val="fr-FR"/>
        </w:rPr>
      </w:pPr>
      <w:r>
        <w:rPr>
          <w:lang w:val="fr-FR"/>
        </w:rPr>
        <w:tab/>
      </w:r>
      <w:r>
        <w:rPr>
          <w:lang w:val="fr-FR"/>
        </w:rPr>
        <w:tab/>
      </w:r>
      <w:r w:rsidRPr="005864B9">
        <w:rPr>
          <w:lang w:val="fr-FR"/>
        </w:rPr>
        <w:t>Observations de l</w:t>
      </w:r>
      <w:r>
        <w:rPr>
          <w:lang w:val="fr-FR"/>
        </w:rPr>
        <w:t>’</w:t>
      </w:r>
      <w:r w:rsidRPr="005864B9">
        <w:rPr>
          <w:lang w:val="fr-FR"/>
        </w:rPr>
        <w:t>É</w:t>
      </w:r>
      <w:r>
        <w:rPr>
          <w:lang w:val="fr-FR"/>
        </w:rPr>
        <w:t>t</w:t>
      </w:r>
      <w:r w:rsidRPr="005864B9">
        <w:rPr>
          <w:lang w:val="fr-FR"/>
        </w:rPr>
        <w:t>at partie</w:t>
      </w:r>
      <w:r w:rsidRPr="006C545B">
        <w:rPr>
          <w:lang w:val="fr-FR"/>
        </w:rPr>
        <w:t xml:space="preserve"> sur </w:t>
      </w:r>
      <w:r>
        <w:rPr>
          <w:lang w:val="fr-FR"/>
        </w:rPr>
        <w:t>la recevabilité et le fond</w:t>
      </w:r>
    </w:p>
    <w:p w14:paraId="10028C7D" w14:textId="77777777" w:rsidR="007767F9" w:rsidRPr="00AF3EDC" w:rsidRDefault="007767F9" w:rsidP="007767F9">
      <w:pPr>
        <w:pStyle w:val="SingleTxtG"/>
        <w:rPr>
          <w:lang w:val="fr-FR"/>
        </w:rPr>
      </w:pPr>
      <w:r>
        <w:rPr>
          <w:lang w:val="fr-FR"/>
        </w:rPr>
        <w:t>4</w:t>
      </w:r>
      <w:r w:rsidRPr="00AF3EDC">
        <w:rPr>
          <w:lang w:val="fr-FR"/>
        </w:rPr>
        <w:t>.1</w:t>
      </w:r>
      <w:r>
        <w:rPr>
          <w:lang w:val="fr-FR"/>
        </w:rPr>
        <w:tab/>
      </w:r>
      <w:r w:rsidRPr="00AF3EDC">
        <w:rPr>
          <w:lang w:val="fr-FR"/>
        </w:rPr>
        <w:t>Le</w:t>
      </w:r>
      <w:r>
        <w:rPr>
          <w:lang w:val="fr-FR"/>
        </w:rPr>
        <w:t>s</w:t>
      </w:r>
      <w:r w:rsidRPr="00AF3EDC">
        <w:rPr>
          <w:lang w:val="fr-FR"/>
        </w:rPr>
        <w:t xml:space="preserve"> 18 juin </w:t>
      </w:r>
      <w:r>
        <w:rPr>
          <w:lang w:val="fr-FR"/>
        </w:rPr>
        <w:t>et 22 octobre 2018, l’</w:t>
      </w:r>
      <w:r w:rsidRPr="00AF3EDC">
        <w:rPr>
          <w:lang w:val="fr-FR"/>
        </w:rPr>
        <w:t xml:space="preserve">État partie a </w:t>
      </w:r>
      <w:r>
        <w:rPr>
          <w:lang w:val="fr-FR"/>
        </w:rPr>
        <w:t>envoyé ses observations sur la recevabilité et le fond.</w:t>
      </w:r>
    </w:p>
    <w:p w14:paraId="4CD4512E" w14:textId="77777777" w:rsidR="007767F9" w:rsidRPr="00AF3EDC" w:rsidRDefault="007767F9" w:rsidP="007767F9">
      <w:pPr>
        <w:pStyle w:val="SingleTxtG"/>
        <w:rPr>
          <w:lang w:val="fr-FR"/>
        </w:rPr>
      </w:pPr>
      <w:r>
        <w:rPr>
          <w:lang w:val="fr-FR"/>
        </w:rPr>
        <w:t>4</w:t>
      </w:r>
      <w:r w:rsidRPr="00AF3EDC">
        <w:rPr>
          <w:lang w:val="fr-FR"/>
        </w:rPr>
        <w:t>.2</w:t>
      </w:r>
      <w:r>
        <w:rPr>
          <w:lang w:val="fr-FR"/>
        </w:rPr>
        <w:tab/>
        <w:t>Selon l’État partie, le requérant n’</w:t>
      </w:r>
      <w:r w:rsidRPr="00B31AA9">
        <w:rPr>
          <w:lang w:val="fr-FR"/>
        </w:rPr>
        <w:t>aurait pas rempli la condition relative à l</w:t>
      </w:r>
      <w:r>
        <w:rPr>
          <w:lang w:val="fr-FR"/>
        </w:rPr>
        <w:t>’</w:t>
      </w:r>
      <w:r w:rsidRPr="00B31AA9">
        <w:rPr>
          <w:lang w:val="fr-FR"/>
        </w:rPr>
        <w:t xml:space="preserve">épuisement des voies de recours internes. En effet, le recours intenté par le requérant devant le </w:t>
      </w:r>
      <w:r>
        <w:rPr>
          <w:lang w:val="fr-FR"/>
        </w:rPr>
        <w:t>Tribunal administratif fédéral</w:t>
      </w:r>
      <w:r w:rsidRPr="00B31AA9">
        <w:rPr>
          <w:lang w:val="fr-FR"/>
        </w:rPr>
        <w:t xml:space="preserve"> a été déclaré irreceva</w:t>
      </w:r>
      <w:r>
        <w:rPr>
          <w:lang w:val="fr-FR"/>
        </w:rPr>
        <w:t>ble parce qu’il était tardif. L’</w:t>
      </w:r>
      <w:r w:rsidRPr="00B31AA9">
        <w:rPr>
          <w:lang w:val="fr-FR"/>
        </w:rPr>
        <w:t>État partie indique que</w:t>
      </w:r>
      <w:r>
        <w:rPr>
          <w:lang w:val="fr-FR"/>
        </w:rPr>
        <w:t>,</w:t>
      </w:r>
      <w:r w:rsidRPr="00B31AA9">
        <w:rPr>
          <w:lang w:val="fr-FR"/>
        </w:rPr>
        <w:t xml:space="preserve"> selon la </w:t>
      </w:r>
      <w:r>
        <w:rPr>
          <w:lang w:val="fr-FR"/>
        </w:rPr>
        <w:t>jurisprudence</w:t>
      </w:r>
      <w:r w:rsidRPr="00B31AA9">
        <w:rPr>
          <w:lang w:val="fr-FR"/>
        </w:rPr>
        <w:t xml:space="preserve"> du Comité, le requérant ne peut se </w:t>
      </w:r>
      <w:r>
        <w:rPr>
          <w:lang w:val="fr-FR"/>
        </w:rPr>
        <w:t>prévaloir d’</w:t>
      </w:r>
      <w:r w:rsidRPr="00B31AA9">
        <w:rPr>
          <w:lang w:val="fr-FR"/>
        </w:rPr>
        <w:t>une négligence de son conseiller pour</w:t>
      </w:r>
      <w:r>
        <w:rPr>
          <w:lang w:val="fr-FR"/>
        </w:rPr>
        <w:t xml:space="preserve"> s’exonérer de son obligation d’</w:t>
      </w:r>
      <w:r w:rsidRPr="00B31AA9">
        <w:rPr>
          <w:lang w:val="fr-FR"/>
        </w:rPr>
        <w:t>épuisement des voies de recours internes</w:t>
      </w:r>
      <w:r w:rsidRPr="002074C3">
        <w:rPr>
          <w:rStyle w:val="Appelnotedebasdep"/>
        </w:rPr>
        <w:footnoteReference w:id="9"/>
      </w:r>
      <w:r>
        <w:rPr>
          <w:lang w:val="fr-FR"/>
        </w:rPr>
        <w:t>. Il</w:t>
      </w:r>
      <w:r w:rsidRPr="00B31AA9">
        <w:rPr>
          <w:lang w:val="fr-FR"/>
        </w:rPr>
        <w:t xml:space="preserve"> indique aussi que la demande de restitution de délai, déposée le 30 août 2017 auprès du </w:t>
      </w:r>
      <w:r>
        <w:rPr>
          <w:lang w:val="fr-FR"/>
        </w:rPr>
        <w:t>Tribunal</w:t>
      </w:r>
      <w:r w:rsidRPr="00B31AA9">
        <w:rPr>
          <w:lang w:val="fr-FR"/>
        </w:rPr>
        <w:t xml:space="preserve"> par le requérant, ne concerne </w:t>
      </w:r>
      <w:r>
        <w:rPr>
          <w:lang w:val="fr-FR"/>
        </w:rPr>
        <w:t>qu’</w:t>
      </w:r>
      <w:r w:rsidRPr="00B31AA9">
        <w:rPr>
          <w:lang w:val="fr-FR"/>
        </w:rPr>
        <w:t>un aspect formel, et ne peut donc pas être cons</w:t>
      </w:r>
      <w:r>
        <w:rPr>
          <w:lang w:val="fr-FR"/>
        </w:rPr>
        <w:t>idérée comme la mise en œuvre d’un moyen d’</w:t>
      </w:r>
      <w:r w:rsidRPr="00B31AA9">
        <w:rPr>
          <w:lang w:val="fr-FR"/>
        </w:rPr>
        <w:t>obtenir réparation.</w:t>
      </w:r>
    </w:p>
    <w:p w14:paraId="083B2D47" w14:textId="6303A50B" w:rsidR="007767F9" w:rsidRDefault="007767F9" w:rsidP="00E8529E">
      <w:pPr>
        <w:pStyle w:val="SingleTxtG"/>
        <w:spacing w:after="100"/>
        <w:rPr>
          <w:lang w:val="fr-FR"/>
        </w:rPr>
      </w:pPr>
      <w:r>
        <w:rPr>
          <w:lang w:val="fr-FR"/>
        </w:rPr>
        <w:t>4</w:t>
      </w:r>
      <w:r w:rsidRPr="00AF3EDC">
        <w:rPr>
          <w:lang w:val="fr-FR"/>
        </w:rPr>
        <w:t>.3</w:t>
      </w:r>
      <w:r>
        <w:rPr>
          <w:lang w:val="fr-FR"/>
        </w:rPr>
        <w:tab/>
        <w:t>Par ailleurs, selon l’</w:t>
      </w:r>
      <w:r w:rsidRPr="00AF3EDC">
        <w:rPr>
          <w:lang w:val="fr-FR"/>
        </w:rPr>
        <w:t xml:space="preserve">État partie, le recours intenté par le requérant contre la décision du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AF3EDC">
        <w:rPr>
          <w:lang w:val="fr-FR"/>
        </w:rPr>
        <w:t xml:space="preserve"> de rejet de la demande</w:t>
      </w:r>
      <w:r>
        <w:rPr>
          <w:lang w:val="fr-FR"/>
        </w:rPr>
        <w:t xml:space="preserve"> de réexamen ne permet que de </w:t>
      </w:r>
      <w:r w:rsidRPr="00AF3EDC">
        <w:rPr>
          <w:lang w:val="fr-FR"/>
        </w:rPr>
        <w:t>déterminer si le</w:t>
      </w:r>
      <w:r>
        <w:rPr>
          <w:lang w:val="fr-FR"/>
        </w:rPr>
        <w:t>s moyens de preuve produits à l’</w:t>
      </w:r>
      <w:r w:rsidRPr="00AF3EDC">
        <w:rPr>
          <w:lang w:val="fr-FR"/>
        </w:rPr>
        <w:t>appui de la demande de réexamen apportent des éléments nouveaux impor</w:t>
      </w:r>
      <w:r>
        <w:rPr>
          <w:lang w:val="fr-FR"/>
        </w:rPr>
        <w:t>tants, de nature à influer sur l’</w:t>
      </w:r>
      <w:r w:rsidRPr="00AF3EDC">
        <w:rPr>
          <w:lang w:val="fr-FR"/>
        </w:rPr>
        <w:t xml:space="preserve">issue de la contestation par rapport à ce que le </w:t>
      </w:r>
      <w:r w:rsidRPr="007F7498">
        <w:rPr>
          <w:lang w:val="fr-FR"/>
        </w:rPr>
        <w:t>Sec</w:t>
      </w:r>
      <w:r>
        <w:rPr>
          <w:lang w:val="fr-FR"/>
        </w:rPr>
        <w:t>rétariat d’</w:t>
      </w:r>
      <w:r w:rsidRPr="007F7498">
        <w:rPr>
          <w:lang w:val="fr-FR"/>
        </w:rPr>
        <w:t>É</w:t>
      </w:r>
      <w:r>
        <w:rPr>
          <w:lang w:val="fr-FR"/>
        </w:rPr>
        <w:t>t</w:t>
      </w:r>
      <w:r w:rsidRPr="007F7498">
        <w:rPr>
          <w:lang w:val="fr-FR"/>
        </w:rPr>
        <w:t>at</w:t>
      </w:r>
      <w:r w:rsidRPr="00AF3EDC">
        <w:rPr>
          <w:lang w:val="fr-FR"/>
        </w:rPr>
        <w:t xml:space="preserve"> avait retenu dans sa décision. En effet, l</w:t>
      </w:r>
      <w:r>
        <w:rPr>
          <w:lang w:val="fr-FR"/>
        </w:rPr>
        <w:t>’</w:t>
      </w:r>
      <w:r w:rsidRPr="00AF3EDC">
        <w:rPr>
          <w:lang w:val="fr-FR"/>
        </w:rPr>
        <w:t xml:space="preserve">État partie considère que les attestations produites, écrites de la main de proches, ont été produites simplement pour les besoins de la cause. </w:t>
      </w:r>
      <w:r>
        <w:rPr>
          <w:lang w:val="fr-FR"/>
        </w:rPr>
        <w:t>Il</w:t>
      </w:r>
      <w:r w:rsidRPr="00AF3EDC">
        <w:rPr>
          <w:lang w:val="fr-FR"/>
        </w:rPr>
        <w:t xml:space="preserve"> considère également que les </w:t>
      </w:r>
      <w:r>
        <w:rPr>
          <w:lang w:val="fr-FR"/>
        </w:rPr>
        <w:t xml:space="preserve">nouveaux </w:t>
      </w:r>
      <w:r w:rsidRPr="00AF3EDC">
        <w:rPr>
          <w:lang w:val="fr-FR"/>
        </w:rPr>
        <w:t xml:space="preserve">certificats médicaux </w:t>
      </w:r>
      <w:r>
        <w:rPr>
          <w:lang w:val="fr-FR"/>
        </w:rPr>
        <w:t xml:space="preserve">présentés après la décision de refus de l’asile du </w:t>
      </w:r>
      <w:r w:rsidRPr="007F7498">
        <w:rPr>
          <w:lang w:val="fr-FR"/>
        </w:rPr>
        <w:t>Sec</w:t>
      </w:r>
      <w:r>
        <w:rPr>
          <w:lang w:val="fr-FR"/>
        </w:rPr>
        <w:t>rétariat d’</w:t>
      </w:r>
      <w:r w:rsidRPr="007F7498">
        <w:rPr>
          <w:lang w:val="fr-FR"/>
        </w:rPr>
        <w:t>É</w:t>
      </w:r>
      <w:r>
        <w:rPr>
          <w:lang w:val="fr-FR"/>
        </w:rPr>
        <w:t>t</w:t>
      </w:r>
      <w:r w:rsidRPr="007F7498">
        <w:rPr>
          <w:lang w:val="fr-FR"/>
        </w:rPr>
        <w:t>at</w:t>
      </w:r>
      <w:r>
        <w:rPr>
          <w:lang w:val="fr-FR"/>
        </w:rPr>
        <w:t>, datée du 16</w:t>
      </w:r>
      <w:r w:rsidR="00A75E81">
        <w:rPr>
          <w:lang w:val="fr-FR"/>
        </w:rPr>
        <w:t> </w:t>
      </w:r>
      <w:r>
        <w:rPr>
          <w:lang w:val="fr-FR"/>
        </w:rPr>
        <w:t>juin 2017,</w:t>
      </w:r>
      <w:r w:rsidRPr="00AF3EDC">
        <w:rPr>
          <w:lang w:val="fr-FR"/>
        </w:rPr>
        <w:t xml:space="preserve"> ne font que reproduire les constatations des rapports médicaux </w:t>
      </w:r>
      <w:r>
        <w:rPr>
          <w:lang w:val="fr-FR"/>
        </w:rPr>
        <w:t xml:space="preserve">déjà </w:t>
      </w:r>
      <w:r w:rsidRPr="00AF3EDC">
        <w:rPr>
          <w:lang w:val="fr-FR"/>
        </w:rPr>
        <w:t xml:space="preserve">examinés par le </w:t>
      </w:r>
      <w:r w:rsidRPr="007F7498">
        <w:rPr>
          <w:lang w:val="fr-FR"/>
        </w:rPr>
        <w:t>Sec</w:t>
      </w:r>
      <w:r>
        <w:rPr>
          <w:lang w:val="fr-FR"/>
        </w:rPr>
        <w:t>rétariat d’</w:t>
      </w:r>
      <w:r w:rsidRPr="007F7498">
        <w:rPr>
          <w:lang w:val="fr-FR"/>
        </w:rPr>
        <w:t>É</w:t>
      </w:r>
      <w:r>
        <w:rPr>
          <w:lang w:val="fr-FR"/>
        </w:rPr>
        <w:t>t</w:t>
      </w:r>
      <w:r w:rsidRPr="007F7498">
        <w:rPr>
          <w:lang w:val="fr-FR"/>
        </w:rPr>
        <w:t>at</w:t>
      </w:r>
      <w:r>
        <w:rPr>
          <w:lang w:val="fr-FR"/>
        </w:rPr>
        <w:t>. Finalement, l’</w:t>
      </w:r>
      <w:r w:rsidRPr="00AF3EDC">
        <w:rPr>
          <w:lang w:val="fr-FR"/>
        </w:rPr>
        <w:t>État partie considère q</w:t>
      </w:r>
      <w:r>
        <w:rPr>
          <w:lang w:val="fr-FR"/>
        </w:rPr>
        <w:t>ue la demande de réexamen n’est qu’une tentative de remédier à l’</w:t>
      </w:r>
      <w:r w:rsidRPr="00AF3EDC">
        <w:rPr>
          <w:lang w:val="fr-FR"/>
        </w:rPr>
        <w:t>inobservation du délai de re</w:t>
      </w:r>
      <w:r>
        <w:rPr>
          <w:lang w:val="fr-FR"/>
        </w:rPr>
        <w:t xml:space="preserve">cours contre la décision du </w:t>
      </w:r>
      <w:r w:rsidRPr="007F7498">
        <w:rPr>
          <w:lang w:val="fr-FR"/>
        </w:rPr>
        <w:t>Sec</w:t>
      </w:r>
      <w:r>
        <w:rPr>
          <w:lang w:val="fr-FR"/>
        </w:rPr>
        <w:t>rétariat d’</w:t>
      </w:r>
      <w:r w:rsidRPr="007F7498">
        <w:rPr>
          <w:lang w:val="fr-FR"/>
        </w:rPr>
        <w:t>É</w:t>
      </w:r>
      <w:r>
        <w:rPr>
          <w:lang w:val="fr-FR"/>
        </w:rPr>
        <w:t>t</w:t>
      </w:r>
      <w:r w:rsidRPr="007F7498">
        <w:rPr>
          <w:lang w:val="fr-FR"/>
        </w:rPr>
        <w:t>at</w:t>
      </w:r>
      <w:r>
        <w:rPr>
          <w:lang w:val="fr-FR"/>
        </w:rPr>
        <w:t xml:space="preserve"> datée du 16 juin 2017.</w:t>
      </w:r>
    </w:p>
    <w:p w14:paraId="6144AEEB" w14:textId="1DDF80CC" w:rsidR="007767F9" w:rsidRPr="00CD2087" w:rsidRDefault="007767F9" w:rsidP="00E8529E">
      <w:pPr>
        <w:pStyle w:val="SingleTxtG"/>
        <w:spacing w:after="100"/>
        <w:rPr>
          <w:lang w:val="fr-FR"/>
        </w:rPr>
      </w:pPr>
      <w:r>
        <w:rPr>
          <w:lang w:val="fr-FR"/>
        </w:rPr>
        <w:t>4.4</w:t>
      </w:r>
      <w:r>
        <w:rPr>
          <w:lang w:val="fr-FR"/>
        </w:rPr>
        <w:tab/>
        <w:t>Concernant le fond, l’État partie indique que, h</w:t>
      </w:r>
      <w:r w:rsidRPr="00CD2087">
        <w:rPr>
          <w:lang w:val="fr-FR"/>
        </w:rPr>
        <w:t xml:space="preserve">ormis </w:t>
      </w:r>
      <w:r w:rsidRPr="008C7C8E">
        <w:rPr>
          <w:lang w:val="fr-FR"/>
        </w:rPr>
        <w:t>un</w:t>
      </w:r>
      <w:r>
        <w:rPr>
          <w:lang w:val="fr-FR"/>
        </w:rPr>
        <w:t xml:space="preserve"> complément</w:t>
      </w:r>
      <w:r w:rsidRPr="008C7C8E">
        <w:t xml:space="preserve"> </w:t>
      </w:r>
      <w:r w:rsidRPr="008C7C8E">
        <w:rPr>
          <w:lang w:val="fr-FR"/>
        </w:rPr>
        <w:t>daté du 22</w:t>
      </w:r>
      <w:r w:rsidR="00E8529E">
        <w:rPr>
          <w:lang w:val="fr-FR"/>
        </w:rPr>
        <w:t> </w:t>
      </w:r>
      <w:r w:rsidRPr="008C7C8E">
        <w:rPr>
          <w:lang w:val="fr-FR"/>
        </w:rPr>
        <w:t>mars 2018</w:t>
      </w:r>
      <w:r>
        <w:rPr>
          <w:lang w:val="fr-FR"/>
        </w:rPr>
        <w:t xml:space="preserve"> d’un</w:t>
      </w:r>
      <w:r w:rsidRPr="008C7C8E">
        <w:rPr>
          <w:lang w:val="fr-FR"/>
        </w:rPr>
        <w:t xml:space="preserve"> rapport médica</w:t>
      </w:r>
      <w:r>
        <w:rPr>
          <w:lang w:val="fr-FR"/>
        </w:rPr>
        <w:t>l</w:t>
      </w:r>
      <w:r w:rsidRPr="008C7C8E">
        <w:rPr>
          <w:lang w:val="fr-FR"/>
        </w:rPr>
        <w:t xml:space="preserve"> daté </w:t>
      </w:r>
      <w:r>
        <w:rPr>
          <w:lang w:val="fr-FR"/>
        </w:rPr>
        <w:t xml:space="preserve">quant à lui </w:t>
      </w:r>
      <w:r w:rsidRPr="008C7C8E">
        <w:rPr>
          <w:lang w:val="fr-FR"/>
        </w:rPr>
        <w:t xml:space="preserve">du </w:t>
      </w:r>
      <w:r>
        <w:rPr>
          <w:lang w:val="fr-FR"/>
        </w:rPr>
        <w:t>19 septembre 2017, établi par un</w:t>
      </w:r>
      <w:r w:rsidRPr="008C7C8E">
        <w:rPr>
          <w:lang w:val="fr-FR"/>
        </w:rPr>
        <w:t xml:space="preserve"> médecin généraliste spécialisé dans l</w:t>
      </w:r>
      <w:r>
        <w:rPr>
          <w:lang w:val="fr-FR"/>
        </w:rPr>
        <w:t>’</w:t>
      </w:r>
      <w:r w:rsidRPr="008C7C8E">
        <w:rPr>
          <w:lang w:val="fr-FR"/>
        </w:rPr>
        <w:t>aide aux victimes de violence</w:t>
      </w:r>
      <w:r>
        <w:rPr>
          <w:lang w:val="fr-FR"/>
        </w:rPr>
        <w:t>s</w:t>
      </w:r>
      <w:r w:rsidRPr="008C7C8E">
        <w:rPr>
          <w:lang w:val="fr-FR"/>
        </w:rPr>
        <w:t xml:space="preserve"> organisée</w:t>
      </w:r>
      <w:r>
        <w:rPr>
          <w:lang w:val="fr-FR"/>
        </w:rPr>
        <w:t xml:space="preserve">s, </w:t>
      </w:r>
      <w:r w:rsidRPr="00CD2087">
        <w:rPr>
          <w:lang w:val="fr-FR"/>
        </w:rPr>
        <w:t xml:space="preserve">toutes les pièces produites devant le Comité </w:t>
      </w:r>
      <w:r>
        <w:rPr>
          <w:lang w:val="fr-FR"/>
        </w:rPr>
        <w:t>ont déjà été soumises</w:t>
      </w:r>
      <w:r w:rsidRPr="00CD2087">
        <w:rPr>
          <w:lang w:val="fr-FR"/>
        </w:rPr>
        <w:t xml:space="preserve"> aux autorités nati</w:t>
      </w:r>
      <w:r>
        <w:rPr>
          <w:lang w:val="fr-FR"/>
        </w:rPr>
        <w:t>onales compétentes en matière d’</w:t>
      </w:r>
      <w:r w:rsidRPr="00CD2087">
        <w:rPr>
          <w:lang w:val="fr-FR"/>
        </w:rPr>
        <w:t xml:space="preserve">asile. </w:t>
      </w:r>
      <w:r>
        <w:rPr>
          <w:lang w:val="fr-FR"/>
        </w:rPr>
        <w:t>Le requérant n’</w:t>
      </w:r>
      <w:r w:rsidRPr="00CD2087">
        <w:rPr>
          <w:lang w:val="fr-FR"/>
        </w:rPr>
        <w:t>apporte</w:t>
      </w:r>
      <w:r>
        <w:rPr>
          <w:lang w:val="fr-FR"/>
        </w:rPr>
        <w:t xml:space="preserve"> dès lors</w:t>
      </w:r>
      <w:r w:rsidRPr="00CD2087">
        <w:rPr>
          <w:lang w:val="fr-FR"/>
        </w:rPr>
        <w:t xml:space="preserve"> aucun élément nouveau qui permettrait de mett</w:t>
      </w:r>
      <w:r>
        <w:rPr>
          <w:lang w:val="fr-FR"/>
        </w:rPr>
        <w:t>re en question leurs décisions.</w:t>
      </w:r>
    </w:p>
    <w:p w14:paraId="22F75B11" w14:textId="77777777" w:rsidR="007767F9" w:rsidRPr="00CD2087" w:rsidRDefault="007767F9" w:rsidP="00E8529E">
      <w:pPr>
        <w:pStyle w:val="SingleTxtG"/>
        <w:spacing w:after="100"/>
        <w:rPr>
          <w:lang w:val="fr-FR"/>
        </w:rPr>
      </w:pPr>
      <w:r>
        <w:rPr>
          <w:lang w:val="fr-FR"/>
        </w:rPr>
        <w:t>4.5</w:t>
      </w:r>
      <w:r>
        <w:rPr>
          <w:lang w:val="fr-FR"/>
        </w:rPr>
        <w:tab/>
        <w:t>L’État partie</w:t>
      </w:r>
      <w:r w:rsidRPr="00CD2087">
        <w:rPr>
          <w:lang w:val="fr-FR"/>
        </w:rPr>
        <w:t xml:space="preserve"> est conscient que la situation en </w:t>
      </w:r>
      <w:r>
        <w:rPr>
          <w:lang w:val="fr-FR"/>
        </w:rPr>
        <w:t>République islamique d’</w:t>
      </w:r>
      <w:r w:rsidRPr="00CD2087">
        <w:rPr>
          <w:lang w:val="fr-FR"/>
        </w:rPr>
        <w:t>Iran e</w:t>
      </w:r>
      <w:r>
        <w:rPr>
          <w:lang w:val="fr-FR"/>
        </w:rPr>
        <w:t xml:space="preserve">n matière de droits humains </w:t>
      </w:r>
      <w:r w:rsidRPr="00CD2087">
        <w:rPr>
          <w:lang w:val="fr-FR"/>
        </w:rPr>
        <w:t>est préoccupante à maints égards. Toutefois, la situation générale dans le pays ne saurait</w:t>
      </w:r>
      <w:r>
        <w:rPr>
          <w:lang w:val="fr-FR"/>
        </w:rPr>
        <w:t xml:space="preserve"> </w:t>
      </w:r>
      <w:r w:rsidRPr="00CD2087">
        <w:rPr>
          <w:lang w:val="fr-FR"/>
        </w:rPr>
        <w:t>à elle seule constituer un motif suffisant pour conclure que l</w:t>
      </w:r>
      <w:r>
        <w:rPr>
          <w:lang w:val="fr-FR"/>
        </w:rPr>
        <w:t>e requérant</w:t>
      </w:r>
      <w:r w:rsidRPr="00CD2087">
        <w:rPr>
          <w:lang w:val="fr-FR"/>
        </w:rPr>
        <w:t xml:space="preserve"> </w:t>
      </w:r>
      <w:r>
        <w:rPr>
          <w:lang w:val="fr-FR"/>
        </w:rPr>
        <w:t>risquerait d’</w:t>
      </w:r>
      <w:r w:rsidRPr="00CD2087">
        <w:rPr>
          <w:lang w:val="fr-FR"/>
        </w:rPr>
        <w:t xml:space="preserve">être victime de torture à </w:t>
      </w:r>
      <w:r>
        <w:rPr>
          <w:lang w:val="fr-FR"/>
        </w:rPr>
        <w:t>son</w:t>
      </w:r>
      <w:r w:rsidRPr="00CD2087">
        <w:rPr>
          <w:lang w:val="fr-FR"/>
        </w:rPr>
        <w:t xml:space="preserve"> retour dans ce pays</w:t>
      </w:r>
      <w:r w:rsidRPr="002074C3">
        <w:rPr>
          <w:rStyle w:val="Appelnotedebasdep"/>
        </w:rPr>
        <w:footnoteReference w:id="10"/>
      </w:r>
      <w:r>
        <w:rPr>
          <w:lang w:val="fr-FR"/>
        </w:rPr>
        <w:t>.</w:t>
      </w:r>
      <w:r w:rsidRPr="00CD2087">
        <w:rPr>
          <w:lang w:val="fr-FR"/>
        </w:rPr>
        <w:t xml:space="preserve"> </w:t>
      </w:r>
      <w:r>
        <w:rPr>
          <w:lang w:val="fr-FR"/>
        </w:rPr>
        <w:t>De plus, i</w:t>
      </w:r>
      <w:r w:rsidRPr="00CD2087">
        <w:rPr>
          <w:lang w:val="fr-FR"/>
        </w:rPr>
        <w:t xml:space="preserve">l ressort des développements ci-après que </w:t>
      </w:r>
      <w:r>
        <w:rPr>
          <w:lang w:val="fr-FR"/>
        </w:rPr>
        <w:t>le requérant n’</w:t>
      </w:r>
      <w:r w:rsidRPr="00CD2087">
        <w:rPr>
          <w:lang w:val="fr-FR"/>
        </w:rPr>
        <w:t xml:space="preserve">a pas apporté </w:t>
      </w:r>
      <w:r>
        <w:rPr>
          <w:lang w:val="fr-FR"/>
        </w:rPr>
        <w:t>d’</w:t>
      </w:r>
      <w:r w:rsidRPr="00CD2087">
        <w:rPr>
          <w:lang w:val="fr-FR"/>
        </w:rPr>
        <w:t>éléments permettant de conclure qu</w:t>
      </w:r>
      <w:r>
        <w:rPr>
          <w:lang w:val="fr-FR"/>
        </w:rPr>
        <w:t>’</w:t>
      </w:r>
      <w:r w:rsidRPr="00CD2087">
        <w:rPr>
          <w:lang w:val="fr-FR"/>
        </w:rPr>
        <w:t xml:space="preserve">il courrait un risque </w:t>
      </w:r>
      <w:r>
        <w:rPr>
          <w:lang w:val="fr-FR"/>
        </w:rPr>
        <w:t>prévisible, réel et personnel d’</w:t>
      </w:r>
      <w:r w:rsidRPr="00CD2087">
        <w:rPr>
          <w:lang w:val="fr-FR"/>
        </w:rPr>
        <w:t>être soumis</w:t>
      </w:r>
      <w:r>
        <w:rPr>
          <w:lang w:val="fr-FR"/>
        </w:rPr>
        <w:t xml:space="preserve"> à la</w:t>
      </w:r>
      <w:r w:rsidRPr="00CD2087">
        <w:rPr>
          <w:lang w:val="fr-FR"/>
        </w:rPr>
        <w:t xml:space="preserve"> torture en cas de renvoi en</w:t>
      </w:r>
      <w:r>
        <w:rPr>
          <w:lang w:val="fr-FR"/>
        </w:rPr>
        <w:t xml:space="preserve"> République islamique d’</w:t>
      </w:r>
      <w:r w:rsidRPr="00CD2087">
        <w:rPr>
          <w:lang w:val="fr-FR"/>
        </w:rPr>
        <w:t>Iran.</w:t>
      </w:r>
    </w:p>
    <w:p w14:paraId="066D7206" w14:textId="77777777" w:rsidR="007767F9" w:rsidRPr="00CD2087" w:rsidRDefault="007767F9" w:rsidP="007767F9">
      <w:pPr>
        <w:pStyle w:val="SingleTxtG"/>
        <w:rPr>
          <w:lang w:val="fr-FR"/>
        </w:rPr>
      </w:pPr>
      <w:r>
        <w:rPr>
          <w:lang w:val="fr-FR"/>
        </w:rPr>
        <w:lastRenderedPageBreak/>
        <w:t>4.6</w:t>
      </w:r>
      <w:r>
        <w:rPr>
          <w:lang w:val="fr-FR"/>
        </w:rPr>
        <w:tab/>
        <w:t>L’État partie indique que</w:t>
      </w:r>
      <w:r w:rsidRPr="00CD2087">
        <w:rPr>
          <w:lang w:val="fr-FR"/>
        </w:rPr>
        <w:t xml:space="preserve"> l</w:t>
      </w:r>
      <w:r>
        <w:rPr>
          <w:lang w:val="fr-FR"/>
        </w:rPr>
        <w:t xml:space="preserve">e requérant </w:t>
      </w:r>
      <w:r w:rsidRPr="00CD2087">
        <w:rPr>
          <w:lang w:val="fr-FR"/>
        </w:rPr>
        <w:t xml:space="preserve">fait valoir </w:t>
      </w:r>
      <w:r>
        <w:rPr>
          <w:lang w:val="fr-FR"/>
        </w:rPr>
        <w:t>qu’il a</w:t>
      </w:r>
      <w:r w:rsidRPr="00CD2087">
        <w:rPr>
          <w:lang w:val="fr-FR"/>
        </w:rPr>
        <w:t xml:space="preserve"> été sou</w:t>
      </w:r>
      <w:r>
        <w:rPr>
          <w:lang w:val="fr-FR"/>
        </w:rPr>
        <w:t>mis à des actes de torture, énu</w:t>
      </w:r>
      <w:r w:rsidRPr="00CD2087">
        <w:rPr>
          <w:lang w:val="fr-FR"/>
        </w:rPr>
        <w:t xml:space="preserve">mérés dans sa </w:t>
      </w:r>
      <w:r>
        <w:rPr>
          <w:lang w:val="fr-FR"/>
        </w:rPr>
        <w:t>requête et pour lesquels il a apporté des preuves. À</w:t>
      </w:r>
      <w:r w:rsidRPr="00CD2087">
        <w:rPr>
          <w:lang w:val="fr-FR"/>
        </w:rPr>
        <w:t xml:space="preserve"> cet égard,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CD2087">
        <w:rPr>
          <w:lang w:val="fr-FR"/>
        </w:rPr>
        <w:t xml:space="preserve"> a rappelé, dans </w:t>
      </w:r>
      <w:r>
        <w:rPr>
          <w:lang w:val="fr-FR"/>
        </w:rPr>
        <w:t>sa décision du 16 juin 2017, qu’</w:t>
      </w:r>
      <w:r w:rsidRPr="00CD2087">
        <w:rPr>
          <w:lang w:val="fr-FR"/>
        </w:rPr>
        <w:t xml:space="preserve">un certificat médical attestant de séquelles liées à des mauvais traitements ne </w:t>
      </w:r>
      <w:r>
        <w:rPr>
          <w:lang w:val="fr-FR"/>
        </w:rPr>
        <w:t>pouvait</w:t>
      </w:r>
      <w:r w:rsidRPr="00CD2087">
        <w:rPr>
          <w:lang w:val="fr-FR"/>
        </w:rPr>
        <w:t xml:space="preserve"> être qualifié de pertinent </w:t>
      </w:r>
      <w:r>
        <w:rPr>
          <w:lang w:val="fr-FR"/>
        </w:rPr>
        <w:t>que dans la mesure où l’</w:t>
      </w:r>
      <w:r w:rsidRPr="00CD2087">
        <w:rPr>
          <w:lang w:val="fr-FR"/>
        </w:rPr>
        <w:t xml:space="preserve">ensemble du récit de la personne concernée </w:t>
      </w:r>
      <w:r>
        <w:rPr>
          <w:lang w:val="fr-FR"/>
        </w:rPr>
        <w:t>était</w:t>
      </w:r>
      <w:r w:rsidRPr="00CD2087">
        <w:rPr>
          <w:lang w:val="fr-FR"/>
        </w:rPr>
        <w:t xml:space="preserve"> considéré comme crédible en ce qui concern</w:t>
      </w:r>
      <w:r>
        <w:rPr>
          <w:lang w:val="fr-FR"/>
        </w:rPr>
        <w:t>ait</w:t>
      </w:r>
      <w:r w:rsidRPr="00CD2087">
        <w:rPr>
          <w:lang w:val="fr-FR"/>
        </w:rPr>
        <w:t xml:space="preserve"> les persécutions a</w:t>
      </w:r>
      <w:r>
        <w:rPr>
          <w:lang w:val="fr-FR"/>
        </w:rPr>
        <w:t>lléguées et infligées. Or, en l’</w:t>
      </w:r>
      <w:r w:rsidRPr="00CD2087">
        <w:rPr>
          <w:lang w:val="fr-FR"/>
        </w:rPr>
        <w:t xml:space="preserve">espèce, le </w:t>
      </w:r>
      <w:r w:rsidRPr="007F7498">
        <w:rPr>
          <w:lang w:val="fr-FR"/>
        </w:rPr>
        <w:t>Sec</w:t>
      </w:r>
      <w:r>
        <w:rPr>
          <w:lang w:val="fr-FR"/>
        </w:rPr>
        <w:t>rétariat d’</w:t>
      </w:r>
      <w:r w:rsidRPr="007F7498">
        <w:rPr>
          <w:lang w:val="fr-FR"/>
        </w:rPr>
        <w:t>É</w:t>
      </w:r>
      <w:r>
        <w:rPr>
          <w:lang w:val="fr-FR"/>
        </w:rPr>
        <w:t>t</w:t>
      </w:r>
      <w:r w:rsidRPr="007F7498">
        <w:rPr>
          <w:lang w:val="fr-FR"/>
        </w:rPr>
        <w:t>at</w:t>
      </w:r>
      <w:r w:rsidRPr="00CD2087">
        <w:rPr>
          <w:lang w:val="fr-FR"/>
        </w:rPr>
        <w:t xml:space="preserve"> a constaté que </w:t>
      </w:r>
      <w:r>
        <w:rPr>
          <w:lang w:val="fr-FR"/>
        </w:rPr>
        <w:t>le requérant n’</w:t>
      </w:r>
      <w:r w:rsidRPr="00CD2087">
        <w:rPr>
          <w:lang w:val="fr-FR"/>
        </w:rPr>
        <w:t>a</w:t>
      </w:r>
      <w:r>
        <w:rPr>
          <w:lang w:val="fr-FR"/>
        </w:rPr>
        <w:t>vait</w:t>
      </w:r>
      <w:r w:rsidRPr="00CD2087">
        <w:rPr>
          <w:lang w:val="fr-FR"/>
        </w:rPr>
        <w:t xml:space="preserve"> pas été en mesure de r</w:t>
      </w:r>
      <w:r>
        <w:rPr>
          <w:lang w:val="fr-FR"/>
        </w:rPr>
        <w:t>endre crédibles ses déclarations</w:t>
      </w:r>
      <w:r w:rsidRPr="00CD2087">
        <w:rPr>
          <w:lang w:val="fr-FR"/>
        </w:rPr>
        <w:t>. Dans ces circonstances, le constat médical contenu dans le certificat médical ne peut être retenu et n</w:t>
      </w:r>
      <w:r>
        <w:rPr>
          <w:lang w:val="fr-FR"/>
        </w:rPr>
        <w:t>’</w:t>
      </w:r>
      <w:r w:rsidRPr="00CD2087">
        <w:rPr>
          <w:lang w:val="fr-FR"/>
        </w:rPr>
        <w:t>est pas à lui seul de nature à modifie</w:t>
      </w:r>
      <w:r>
        <w:rPr>
          <w:lang w:val="fr-FR"/>
        </w:rPr>
        <w:t>r l’appréciation de l’autorité.</w:t>
      </w:r>
      <w:r w:rsidRPr="00CD2087">
        <w:rPr>
          <w:lang w:val="fr-FR"/>
        </w:rPr>
        <w:t xml:space="preserve"> En ce qui concerne</w:t>
      </w:r>
      <w:r>
        <w:rPr>
          <w:lang w:val="fr-FR"/>
        </w:rPr>
        <w:t xml:space="preserve"> les cicatrices sur le corps du requérant, le Tribunal administratif fédéral a constaté que celui-ci</w:t>
      </w:r>
      <w:r w:rsidRPr="00CD2087">
        <w:rPr>
          <w:lang w:val="fr-FR"/>
        </w:rPr>
        <w:t xml:space="preserve"> les avait montrées au </w:t>
      </w:r>
      <w:r w:rsidRPr="007F7498">
        <w:rPr>
          <w:lang w:val="fr-FR"/>
        </w:rPr>
        <w:t>Sec</w:t>
      </w:r>
      <w:r>
        <w:rPr>
          <w:lang w:val="fr-FR"/>
        </w:rPr>
        <w:t>rétariat d’</w:t>
      </w:r>
      <w:r w:rsidRPr="007F7498">
        <w:rPr>
          <w:lang w:val="fr-FR"/>
        </w:rPr>
        <w:t>É</w:t>
      </w:r>
      <w:r>
        <w:rPr>
          <w:lang w:val="fr-FR"/>
        </w:rPr>
        <w:t>t</w:t>
      </w:r>
      <w:r w:rsidRPr="007F7498">
        <w:rPr>
          <w:lang w:val="fr-FR"/>
        </w:rPr>
        <w:t>at</w:t>
      </w:r>
      <w:r w:rsidRPr="00CD2087">
        <w:rPr>
          <w:lang w:val="fr-FR"/>
        </w:rPr>
        <w:t xml:space="preserve"> lors de son aud</w:t>
      </w:r>
      <w:r>
        <w:rPr>
          <w:lang w:val="fr-FR"/>
        </w:rPr>
        <w:t>ition du 15 mars 2017, mais ni l’</w:t>
      </w:r>
      <w:r w:rsidRPr="00CD2087">
        <w:rPr>
          <w:lang w:val="fr-FR"/>
        </w:rPr>
        <w:t>attes</w:t>
      </w:r>
      <w:r>
        <w:rPr>
          <w:lang w:val="fr-FR"/>
        </w:rPr>
        <w:t>tation médicale du</w:t>
      </w:r>
      <w:r w:rsidRPr="00CD2087">
        <w:rPr>
          <w:lang w:val="fr-FR"/>
        </w:rPr>
        <w:t xml:space="preserve"> 3 février 2016 ni le certifica</w:t>
      </w:r>
      <w:r>
        <w:rPr>
          <w:lang w:val="fr-FR"/>
        </w:rPr>
        <w:t>t médical du 12 décembre 2016 n’</w:t>
      </w:r>
      <w:r w:rsidRPr="00CD2087">
        <w:rPr>
          <w:lang w:val="fr-FR"/>
        </w:rPr>
        <w:t xml:space="preserve">en </w:t>
      </w:r>
      <w:r>
        <w:rPr>
          <w:lang w:val="fr-FR"/>
        </w:rPr>
        <w:t>faisaient</w:t>
      </w:r>
      <w:r w:rsidRPr="00CD2087">
        <w:rPr>
          <w:lang w:val="fr-FR"/>
        </w:rPr>
        <w:t xml:space="preserve"> état.</w:t>
      </w:r>
    </w:p>
    <w:p w14:paraId="2FBBF14D" w14:textId="77777777" w:rsidR="007767F9" w:rsidRPr="00CD2087" w:rsidRDefault="007767F9" w:rsidP="007767F9">
      <w:pPr>
        <w:pStyle w:val="SingleTxtG"/>
        <w:rPr>
          <w:lang w:val="fr-FR"/>
        </w:rPr>
      </w:pPr>
      <w:r>
        <w:rPr>
          <w:lang w:val="fr-FR"/>
        </w:rPr>
        <w:t>4.7</w:t>
      </w:r>
      <w:r>
        <w:rPr>
          <w:lang w:val="fr-FR"/>
        </w:rPr>
        <w:tab/>
        <w:t>L’État partie ajoute que le requérant fait valoir qu’il courrait le risque d’</w:t>
      </w:r>
      <w:r w:rsidRPr="00CD2087">
        <w:rPr>
          <w:lang w:val="fr-FR"/>
        </w:rPr>
        <w:t>être soumis à la torture</w:t>
      </w:r>
      <w:r>
        <w:rPr>
          <w:lang w:val="fr-FR"/>
        </w:rPr>
        <w:t xml:space="preserve"> en cas de retour en</w:t>
      </w:r>
      <w:r w:rsidRPr="00C50E24">
        <w:rPr>
          <w:lang w:val="fr-FR"/>
        </w:rPr>
        <w:t xml:space="preserve"> </w:t>
      </w:r>
      <w:r>
        <w:rPr>
          <w:lang w:val="fr-FR"/>
        </w:rPr>
        <w:t>République islamique d’</w:t>
      </w:r>
      <w:r w:rsidRPr="00CD2087">
        <w:rPr>
          <w:lang w:val="fr-FR"/>
        </w:rPr>
        <w:t>Iran</w:t>
      </w:r>
      <w:r>
        <w:rPr>
          <w:lang w:val="fr-FR"/>
        </w:rPr>
        <w:t>,</w:t>
      </w:r>
      <w:r w:rsidRPr="00CD2087">
        <w:rPr>
          <w:lang w:val="fr-FR"/>
        </w:rPr>
        <w:t xml:space="preserve"> du f</w:t>
      </w:r>
      <w:r>
        <w:rPr>
          <w:lang w:val="fr-FR"/>
        </w:rPr>
        <w:t>ait qu’il y aurait été accusé d’</w:t>
      </w:r>
      <w:r w:rsidRPr="00CD2087">
        <w:rPr>
          <w:lang w:val="fr-FR"/>
        </w:rPr>
        <w:t>avoir dispensé d</w:t>
      </w:r>
      <w:r>
        <w:rPr>
          <w:lang w:val="fr-FR"/>
        </w:rPr>
        <w:t>es cours à des enfants bahaïs, d’</w:t>
      </w:r>
      <w:r w:rsidRPr="00CD2087">
        <w:rPr>
          <w:lang w:val="fr-FR"/>
        </w:rPr>
        <w:t>avoir embrassé l</w:t>
      </w:r>
      <w:r>
        <w:rPr>
          <w:lang w:val="fr-FR"/>
        </w:rPr>
        <w:t>eur religion, d’avoir troublé l’ordre public, d’</w:t>
      </w:r>
      <w:r w:rsidRPr="00CD2087">
        <w:rPr>
          <w:lang w:val="fr-FR"/>
        </w:rPr>
        <w:t>être un apostat</w:t>
      </w:r>
      <w:r>
        <w:rPr>
          <w:lang w:val="fr-FR"/>
        </w:rPr>
        <w:t>, et d’</w:t>
      </w:r>
      <w:r w:rsidRPr="00877C04">
        <w:rPr>
          <w:lang w:val="fr-FR"/>
        </w:rPr>
        <w:t>avoir espionné au profit de puissances étrangères</w:t>
      </w:r>
      <w:r w:rsidRPr="001918D4">
        <w:rPr>
          <w:lang w:val="fr-FR"/>
        </w:rPr>
        <w:t>, accusations qui auraient conduit à son</w:t>
      </w:r>
      <w:r w:rsidRPr="00CD2087">
        <w:rPr>
          <w:lang w:val="fr-FR"/>
        </w:rPr>
        <w:t xml:space="preserve"> arrestation en janvier 2015.</w:t>
      </w:r>
      <w:r>
        <w:rPr>
          <w:lang w:val="fr-FR"/>
        </w:rPr>
        <w:t xml:space="preserve"> </w:t>
      </w:r>
      <w:r w:rsidRPr="00CD2087">
        <w:rPr>
          <w:lang w:val="fr-FR"/>
        </w:rPr>
        <w:t xml:space="preserve">Les autorités </w:t>
      </w:r>
      <w:r>
        <w:rPr>
          <w:lang w:val="fr-FR"/>
        </w:rPr>
        <w:t>compétentes en matière d’</w:t>
      </w:r>
      <w:r w:rsidRPr="00CD2087">
        <w:rPr>
          <w:lang w:val="fr-FR"/>
        </w:rPr>
        <w:t xml:space="preserve">asile </w:t>
      </w:r>
      <w:r>
        <w:rPr>
          <w:lang w:val="fr-FR"/>
        </w:rPr>
        <w:t xml:space="preserve">de l’État partie </w:t>
      </w:r>
      <w:r w:rsidRPr="00CD2087">
        <w:rPr>
          <w:lang w:val="fr-FR"/>
        </w:rPr>
        <w:t>ont examiné c</w:t>
      </w:r>
      <w:r>
        <w:rPr>
          <w:lang w:val="fr-FR"/>
        </w:rPr>
        <w:t>es allégations et ont estimé qu’elles n’étaient pas crédibles. L’État partie ajoute que, d</w:t>
      </w:r>
      <w:r w:rsidRPr="00CD2087">
        <w:rPr>
          <w:lang w:val="fr-FR"/>
        </w:rPr>
        <w:t xml:space="preserve">ans sa décision du 16 </w:t>
      </w:r>
      <w:r>
        <w:rPr>
          <w:lang w:val="fr-FR"/>
        </w:rPr>
        <w:t xml:space="preserve">juin 2017,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Pr>
          <w:lang w:val="fr-FR"/>
        </w:rPr>
        <w:t xml:space="preserve"> a constaté qu’</w:t>
      </w:r>
      <w:r w:rsidRPr="00CD2087">
        <w:rPr>
          <w:lang w:val="fr-FR"/>
        </w:rPr>
        <w:t xml:space="preserve">au fil de ses différentes dépositions, </w:t>
      </w:r>
      <w:r>
        <w:rPr>
          <w:lang w:val="fr-FR"/>
        </w:rPr>
        <w:t>le requérant</w:t>
      </w:r>
      <w:r w:rsidRPr="00CD2087">
        <w:rPr>
          <w:lang w:val="fr-FR"/>
        </w:rPr>
        <w:t xml:space="preserve"> a</w:t>
      </w:r>
      <w:r>
        <w:rPr>
          <w:lang w:val="fr-FR"/>
        </w:rPr>
        <w:t>vait</w:t>
      </w:r>
      <w:r w:rsidRPr="00CD2087">
        <w:rPr>
          <w:lang w:val="fr-FR"/>
        </w:rPr>
        <w:t xml:space="preserve"> exposé de manière d</w:t>
      </w:r>
      <w:r>
        <w:rPr>
          <w:lang w:val="fr-FR"/>
        </w:rPr>
        <w:t>ivergente les circonstances à l’</w:t>
      </w:r>
      <w:r w:rsidRPr="00CD2087">
        <w:rPr>
          <w:lang w:val="fr-FR"/>
        </w:rPr>
        <w:t xml:space="preserve">origine de sa mise en accusation en </w:t>
      </w:r>
      <w:r>
        <w:rPr>
          <w:lang w:val="fr-FR"/>
        </w:rPr>
        <w:t>République islamique d’</w:t>
      </w:r>
      <w:r w:rsidRPr="00CD2087">
        <w:rPr>
          <w:lang w:val="fr-FR"/>
        </w:rPr>
        <w:t>Iran, alors que ces circonstances constitu</w:t>
      </w:r>
      <w:r>
        <w:rPr>
          <w:lang w:val="fr-FR"/>
        </w:rPr>
        <w:t>ai</w:t>
      </w:r>
      <w:r w:rsidRPr="00CD2087">
        <w:rPr>
          <w:lang w:val="fr-FR"/>
        </w:rPr>
        <w:t xml:space="preserve">ent </w:t>
      </w:r>
      <w:r>
        <w:rPr>
          <w:lang w:val="fr-FR"/>
        </w:rPr>
        <w:t xml:space="preserve">pourtant un élément central de </w:t>
      </w:r>
      <w:r w:rsidRPr="00CD2087">
        <w:rPr>
          <w:lang w:val="fr-FR"/>
        </w:rPr>
        <w:t xml:space="preserve">son argumentation. </w:t>
      </w:r>
    </w:p>
    <w:p w14:paraId="5824D563" w14:textId="77777777" w:rsidR="007767F9" w:rsidRDefault="007767F9" w:rsidP="00473955">
      <w:pPr>
        <w:pStyle w:val="SingleTxtG"/>
        <w:spacing w:line="236" w:lineRule="atLeast"/>
        <w:rPr>
          <w:lang w:val="fr-FR"/>
        </w:rPr>
      </w:pPr>
      <w:r>
        <w:rPr>
          <w:lang w:val="fr-FR"/>
        </w:rPr>
        <w:t>4.8</w:t>
      </w:r>
      <w:r w:rsidRPr="00CD2087">
        <w:rPr>
          <w:lang w:val="fr-FR"/>
        </w:rPr>
        <w:tab/>
        <w:t xml:space="preserve">Ainsi, lors de sa première audition, </w:t>
      </w:r>
      <w:r>
        <w:rPr>
          <w:lang w:val="fr-FR"/>
        </w:rPr>
        <w:t>le requérant</w:t>
      </w:r>
      <w:r w:rsidRPr="00CD2087">
        <w:rPr>
          <w:lang w:val="fr-FR"/>
        </w:rPr>
        <w:t xml:space="preserve"> a déclaré que ses ennuis </w:t>
      </w:r>
      <w:r>
        <w:rPr>
          <w:lang w:val="fr-FR"/>
        </w:rPr>
        <w:t>avaient</w:t>
      </w:r>
      <w:r w:rsidRPr="00CD2087">
        <w:rPr>
          <w:lang w:val="fr-FR"/>
        </w:rPr>
        <w:t xml:space="preserve"> débuté</w:t>
      </w:r>
      <w:r>
        <w:rPr>
          <w:lang w:val="fr-FR"/>
        </w:rPr>
        <w:t xml:space="preserve"> lorsqu’</w:t>
      </w:r>
      <w:r w:rsidRPr="00CD2087">
        <w:rPr>
          <w:lang w:val="fr-FR"/>
        </w:rPr>
        <w:t>il a</w:t>
      </w:r>
      <w:r>
        <w:rPr>
          <w:lang w:val="fr-FR"/>
        </w:rPr>
        <w:t>vait</w:t>
      </w:r>
      <w:r w:rsidRPr="00CD2087">
        <w:rPr>
          <w:lang w:val="fr-FR"/>
        </w:rPr>
        <w:t xml:space="preserve"> défendu les droits des enfants bahaïs </w:t>
      </w:r>
      <w:r>
        <w:rPr>
          <w:lang w:val="fr-FR"/>
        </w:rPr>
        <w:t>de</w:t>
      </w:r>
      <w:r w:rsidRPr="00CD2087">
        <w:rPr>
          <w:lang w:val="fr-FR"/>
        </w:rPr>
        <w:t xml:space="preserve"> fréquenter des écoles ordinaires, dans une discussion entr</w:t>
      </w:r>
      <w:r>
        <w:rPr>
          <w:lang w:val="fr-FR"/>
        </w:rPr>
        <w:t>e étudiants lors d’un cours à l’u</w:t>
      </w:r>
      <w:r w:rsidRPr="00CD2087">
        <w:rPr>
          <w:lang w:val="fr-FR"/>
        </w:rPr>
        <w:t xml:space="preserve">niversité. </w:t>
      </w:r>
      <w:r>
        <w:rPr>
          <w:lang w:val="fr-FR"/>
        </w:rPr>
        <w:t>Cependant, dans la dernière audition</w:t>
      </w:r>
      <w:r w:rsidRPr="00CD2087">
        <w:rPr>
          <w:lang w:val="fr-FR"/>
        </w:rPr>
        <w:t xml:space="preserve">, </w:t>
      </w:r>
      <w:r>
        <w:rPr>
          <w:lang w:val="fr-FR"/>
        </w:rPr>
        <w:t>le requérant a expliqué que les reproches</w:t>
      </w:r>
      <w:r w:rsidRPr="00CD2087">
        <w:rPr>
          <w:lang w:val="fr-FR"/>
        </w:rPr>
        <w:t xml:space="preserve"> formulés à son </w:t>
      </w:r>
      <w:r>
        <w:rPr>
          <w:lang w:val="fr-FR"/>
        </w:rPr>
        <w:t>égard</w:t>
      </w:r>
      <w:r w:rsidRPr="00CD2087">
        <w:rPr>
          <w:lang w:val="fr-FR"/>
        </w:rPr>
        <w:t xml:space="preserve"> </w:t>
      </w:r>
      <w:r>
        <w:rPr>
          <w:lang w:val="fr-FR"/>
        </w:rPr>
        <w:t>se</w:t>
      </w:r>
      <w:r w:rsidRPr="00CD2087">
        <w:rPr>
          <w:lang w:val="fr-FR"/>
        </w:rPr>
        <w:t xml:space="preserve"> fondaient sur les dén</w:t>
      </w:r>
      <w:r>
        <w:rPr>
          <w:lang w:val="fr-FR"/>
        </w:rPr>
        <w:t>onciations dont il aurait été l’</w:t>
      </w:r>
      <w:r w:rsidRPr="00CD2087">
        <w:rPr>
          <w:lang w:val="fr-FR"/>
        </w:rPr>
        <w:t>objet de la</w:t>
      </w:r>
      <w:r>
        <w:rPr>
          <w:lang w:val="fr-FR"/>
        </w:rPr>
        <w:t xml:space="preserve"> part de personnes de foi bahaïe,</w:t>
      </w:r>
      <w:r w:rsidRPr="00CD2087">
        <w:rPr>
          <w:lang w:val="fr-FR"/>
        </w:rPr>
        <w:t xml:space="preserve"> et</w:t>
      </w:r>
      <w:r>
        <w:rPr>
          <w:lang w:val="fr-FR"/>
        </w:rPr>
        <w:t xml:space="preserve"> non sur des faits réels.</w:t>
      </w:r>
    </w:p>
    <w:p w14:paraId="181B1C92" w14:textId="77777777" w:rsidR="007767F9" w:rsidRPr="00CD2087" w:rsidRDefault="007767F9" w:rsidP="00473955">
      <w:pPr>
        <w:pStyle w:val="SingleTxtG"/>
        <w:spacing w:line="236" w:lineRule="atLeast"/>
        <w:rPr>
          <w:lang w:val="fr-FR"/>
        </w:rPr>
      </w:pPr>
      <w:r>
        <w:rPr>
          <w:lang w:val="fr-FR"/>
        </w:rPr>
        <w:t>4.9</w:t>
      </w:r>
      <w:r w:rsidRPr="00CD2087">
        <w:rPr>
          <w:lang w:val="fr-FR"/>
        </w:rPr>
        <w:tab/>
      </w:r>
      <w:r>
        <w:rPr>
          <w:lang w:val="fr-FR"/>
        </w:rPr>
        <w:t>De plus, l</w:t>
      </w:r>
      <w:r w:rsidRPr="00CD2087">
        <w:rPr>
          <w:lang w:val="fr-FR"/>
        </w:rPr>
        <w:t xml:space="preserve">ors de son audition du 15 mars 2017, </w:t>
      </w:r>
      <w:r>
        <w:rPr>
          <w:lang w:val="fr-FR"/>
        </w:rPr>
        <w:t>le requérant</w:t>
      </w:r>
      <w:r w:rsidRPr="00CD2087">
        <w:rPr>
          <w:lang w:val="fr-FR"/>
        </w:rPr>
        <w:t xml:space="preserve"> a</w:t>
      </w:r>
      <w:r>
        <w:rPr>
          <w:lang w:val="fr-FR"/>
        </w:rPr>
        <w:t xml:space="preserve"> affirmé ne pas avoir été direc</w:t>
      </w:r>
      <w:r w:rsidRPr="00CD2087">
        <w:rPr>
          <w:lang w:val="fr-FR"/>
        </w:rPr>
        <w:t>tement impliqu</w:t>
      </w:r>
      <w:r>
        <w:rPr>
          <w:lang w:val="fr-FR"/>
        </w:rPr>
        <w:t>é dans la dispute survenue à l’université et n’</w:t>
      </w:r>
      <w:r w:rsidRPr="00CD2087">
        <w:rPr>
          <w:lang w:val="fr-FR"/>
        </w:rPr>
        <w:t>ê</w:t>
      </w:r>
      <w:r>
        <w:rPr>
          <w:lang w:val="fr-FR"/>
        </w:rPr>
        <w:t xml:space="preserve">tre intervenu que pour séparer </w:t>
      </w:r>
      <w:r w:rsidRPr="00CD2087">
        <w:rPr>
          <w:lang w:val="fr-FR"/>
        </w:rPr>
        <w:t>des personnes qui se battaient, à savoir deux de s</w:t>
      </w:r>
      <w:r>
        <w:rPr>
          <w:lang w:val="fr-FR"/>
        </w:rPr>
        <w:t>es amis et des membres d’une association islamique d’étudiants</w:t>
      </w:r>
      <w:r w:rsidRPr="00CD2087">
        <w:rPr>
          <w:lang w:val="fr-FR"/>
        </w:rPr>
        <w:t xml:space="preserve">. </w:t>
      </w:r>
      <w:r>
        <w:rPr>
          <w:lang w:val="fr-FR"/>
        </w:rPr>
        <w:t>Il</w:t>
      </w:r>
      <w:r w:rsidRPr="00CD2087">
        <w:rPr>
          <w:lang w:val="fr-FR"/>
        </w:rPr>
        <w:t xml:space="preserve"> a expliqué ne plus se souvenir à quel moment cette dispute </w:t>
      </w:r>
      <w:r>
        <w:rPr>
          <w:lang w:val="fr-FR"/>
        </w:rPr>
        <w:t>était</w:t>
      </w:r>
      <w:r w:rsidRPr="00CD2087">
        <w:rPr>
          <w:lang w:val="fr-FR"/>
        </w:rPr>
        <w:t xml:space="preserve"> survenue, ni quel était précisément le sujet de </w:t>
      </w:r>
      <w:r>
        <w:rPr>
          <w:lang w:val="fr-FR"/>
        </w:rPr>
        <w:t xml:space="preserve">la </w:t>
      </w:r>
      <w:r w:rsidRPr="00CD2087">
        <w:rPr>
          <w:lang w:val="fr-FR"/>
        </w:rPr>
        <w:t>dispute. Il a ajouté ne pl</w:t>
      </w:r>
      <w:r>
        <w:rPr>
          <w:lang w:val="fr-FR"/>
        </w:rPr>
        <w:t>us avoir rencontré de problèmes</w:t>
      </w:r>
      <w:r w:rsidRPr="00CD2087">
        <w:rPr>
          <w:lang w:val="fr-FR"/>
        </w:rPr>
        <w:t xml:space="preserve"> avec lesdits étudiants par la suite.</w:t>
      </w:r>
    </w:p>
    <w:p w14:paraId="6323CC34" w14:textId="77777777" w:rsidR="007767F9" w:rsidRPr="00CD2087" w:rsidRDefault="007767F9" w:rsidP="00473955">
      <w:pPr>
        <w:pStyle w:val="SingleTxtG"/>
        <w:spacing w:line="236" w:lineRule="atLeast"/>
        <w:rPr>
          <w:lang w:val="fr-FR"/>
        </w:rPr>
      </w:pPr>
      <w:r>
        <w:rPr>
          <w:lang w:val="fr-FR"/>
        </w:rPr>
        <w:t>4.10</w:t>
      </w:r>
      <w:r>
        <w:rPr>
          <w:lang w:val="fr-FR"/>
        </w:rPr>
        <w:tab/>
        <w:t>À ces divergences manifestes s’</w:t>
      </w:r>
      <w:r w:rsidRPr="00CD2087">
        <w:rPr>
          <w:lang w:val="fr-FR"/>
        </w:rPr>
        <w:t xml:space="preserve">ajoutent les déclarations </w:t>
      </w:r>
      <w:r>
        <w:rPr>
          <w:lang w:val="fr-FR"/>
        </w:rPr>
        <w:t>contradictoires du requérant concernant sa prétendue activité d’</w:t>
      </w:r>
      <w:r w:rsidRPr="00CD2087">
        <w:rPr>
          <w:lang w:val="fr-FR"/>
        </w:rPr>
        <w:t>enseignant privé à des enfants</w:t>
      </w:r>
      <w:r>
        <w:rPr>
          <w:lang w:val="fr-FR"/>
        </w:rPr>
        <w:t xml:space="preserve"> de foi bahaïe. En effet, lors </w:t>
      </w:r>
      <w:r w:rsidRPr="00CD2087">
        <w:rPr>
          <w:lang w:val="fr-FR"/>
        </w:rPr>
        <w:t xml:space="preserve">de sa première audition, </w:t>
      </w:r>
      <w:r>
        <w:rPr>
          <w:lang w:val="fr-FR"/>
        </w:rPr>
        <w:t>le requérant</w:t>
      </w:r>
      <w:r w:rsidRPr="00CD2087">
        <w:rPr>
          <w:lang w:val="fr-FR"/>
        </w:rPr>
        <w:t xml:space="preserve"> a </w:t>
      </w:r>
      <w:r>
        <w:rPr>
          <w:lang w:val="fr-FR"/>
        </w:rPr>
        <w:t xml:space="preserve">non seulement </w:t>
      </w:r>
      <w:r w:rsidRPr="00CD2087">
        <w:rPr>
          <w:lang w:val="fr-FR"/>
        </w:rPr>
        <w:t>clairement fait mention de sa prise de position en faveur de la défense des droits de ces enfants</w:t>
      </w:r>
      <w:r>
        <w:rPr>
          <w:lang w:val="fr-FR"/>
        </w:rPr>
        <w:t xml:space="preserve"> en matière scolaire lors d’un cours à l’u</w:t>
      </w:r>
      <w:r w:rsidRPr="00CD2087">
        <w:rPr>
          <w:lang w:val="fr-FR"/>
        </w:rPr>
        <w:t>niversité</w:t>
      </w:r>
      <w:r>
        <w:rPr>
          <w:lang w:val="fr-FR"/>
        </w:rPr>
        <w:t>,</w:t>
      </w:r>
      <w:r w:rsidRPr="00CD2087">
        <w:rPr>
          <w:lang w:val="fr-FR"/>
        </w:rPr>
        <w:t xml:space="preserve"> mais au</w:t>
      </w:r>
      <w:r>
        <w:rPr>
          <w:lang w:val="fr-FR"/>
        </w:rPr>
        <w:t>ssi précisé, sans équivoque, qu’</w:t>
      </w:r>
      <w:r w:rsidRPr="00CD2087">
        <w:rPr>
          <w:lang w:val="fr-FR"/>
        </w:rPr>
        <w:t>il quittait le domicile d</w:t>
      </w:r>
      <w:r>
        <w:rPr>
          <w:lang w:val="fr-FR"/>
        </w:rPr>
        <w:t>’</w:t>
      </w:r>
      <w:r w:rsidRPr="00CD2087">
        <w:rPr>
          <w:lang w:val="fr-FR"/>
        </w:rPr>
        <w:t xml:space="preserve">une famille bahaïe où il venait de dispenser </w:t>
      </w:r>
      <w:r>
        <w:rPr>
          <w:lang w:val="fr-FR"/>
        </w:rPr>
        <w:t>des cours lorsqu’</w:t>
      </w:r>
      <w:r w:rsidRPr="00CD2087">
        <w:rPr>
          <w:lang w:val="fr-FR"/>
        </w:rPr>
        <w:t xml:space="preserve">il </w:t>
      </w:r>
      <w:r>
        <w:rPr>
          <w:lang w:val="fr-FR"/>
        </w:rPr>
        <w:t>avait été aperçu par un étudiant ap</w:t>
      </w:r>
      <w:r w:rsidRPr="00CD2087">
        <w:rPr>
          <w:lang w:val="fr-FR"/>
        </w:rPr>
        <w:t>partenan</w:t>
      </w:r>
      <w:r>
        <w:rPr>
          <w:lang w:val="fr-FR"/>
        </w:rPr>
        <w:t xml:space="preserve">t à 1’association islamique d’étudiants. </w:t>
      </w:r>
      <w:r w:rsidRPr="00CD2087">
        <w:rPr>
          <w:lang w:val="fr-FR"/>
        </w:rPr>
        <w:t>Cependant, lors de son audition complémentaire, il a fourni</w:t>
      </w:r>
      <w:r>
        <w:rPr>
          <w:lang w:val="fr-FR"/>
        </w:rPr>
        <w:t xml:space="preserve"> des explications tout autres :</w:t>
      </w:r>
      <w:r w:rsidRPr="00CD2087">
        <w:rPr>
          <w:lang w:val="fr-FR"/>
        </w:rPr>
        <w:t xml:space="preserve"> il a déclaré</w:t>
      </w:r>
      <w:r>
        <w:rPr>
          <w:lang w:val="fr-FR"/>
        </w:rPr>
        <w:t xml:space="preserve"> </w:t>
      </w:r>
      <w:r w:rsidRPr="00CD2087">
        <w:rPr>
          <w:lang w:val="fr-FR"/>
        </w:rPr>
        <w:t>que jusqu</w:t>
      </w:r>
      <w:r>
        <w:rPr>
          <w:lang w:val="fr-FR"/>
        </w:rPr>
        <w:t>’</w:t>
      </w:r>
      <w:r w:rsidRPr="00CD2087">
        <w:rPr>
          <w:lang w:val="fr-FR"/>
        </w:rPr>
        <w:t>au jour de son arresta</w:t>
      </w:r>
      <w:r>
        <w:rPr>
          <w:lang w:val="fr-FR"/>
        </w:rPr>
        <w:t>tion, il ignorait jusqu’à l’</w:t>
      </w:r>
      <w:r w:rsidRPr="00CD2087">
        <w:rPr>
          <w:lang w:val="fr-FR"/>
        </w:rPr>
        <w:t>e</w:t>
      </w:r>
      <w:r>
        <w:rPr>
          <w:lang w:val="fr-FR"/>
        </w:rPr>
        <w:t>xistence de la religion bahaïe.</w:t>
      </w:r>
    </w:p>
    <w:p w14:paraId="6F5DC573" w14:textId="77777777" w:rsidR="007767F9" w:rsidRPr="00CD2087" w:rsidRDefault="007767F9" w:rsidP="00473955">
      <w:pPr>
        <w:pStyle w:val="SingleTxtG"/>
        <w:spacing w:line="236" w:lineRule="atLeast"/>
        <w:rPr>
          <w:lang w:val="fr-FR"/>
        </w:rPr>
      </w:pPr>
      <w:r>
        <w:rPr>
          <w:lang w:val="fr-FR"/>
        </w:rPr>
        <w:t>4.11</w:t>
      </w:r>
      <w:r w:rsidRPr="00CD2087">
        <w:rPr>
          <w:lang w:val="fr-FR"/>
        </w:rPr>
        <w:tab/>
      </w:r>
      <w:r w:rsidRPr="00473955">
        <w:rPr>
          <w:spacing w:val="-2"/>
          <w:lang w:val="fr-FR"/>
        </w:rPr>
        <w:t>Le Secrétariat d’État aux migrations a constaté que, dès lors, les propos du requérant concernant les motifs se trouvant à l’origine de son arrestation et de l’engagement d’une procédure judiciaire à son égard étaient pour le moins contradictoires et ne sauraient, de ce fait, être qualifiés de vraisemblables. Dès lors, le Secrétariat d’État a constaté que la crédibilité des déclarations du requérant concernant sa prétendue évasion était également entachée</w:t>
      </w:r>
      <w:r>
        <w:rPr>
          <w:lang w:val="fr-FR"/>
        </w:rPr>
        <w:t>.</w:t>
      </w:r>
    </w:p>
    <w:p w14:paraId="7B6CAF74" w14:textId="77777777" w:rsidR="007767F9" w:rsidRPr="00CD2087" w:rsidRDefault="007767F9" w:rsidP="00473955">
      <w:pPr>
        <w:pStyle w:val="SingleTxtG"/>
        <w:spacing w:line="236" w:lineRule="atLeast"/>
        <w:rPr>
          <w:lang w:val="fr-FR"/>
        </w:rPr>
      </w:pPr>
      <w:r>
        <w:rPr>
          <w:lang w:val="fr-FR"/>
        </w:rPr>
        <w:t>4.12</w:t>
      </w:r>
      <w:r>
        <w:rPr>
          <w:lang w:val="fr-FR"/>
        </w:rPr>
        <w:tab/>
        <w:t xml:space="preserve">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Pr>
          <w:lang w:val="fr-FR"/>
        </w:rPr>
        <w:t xml:space="preserve"> a relevé d’</w:t>
      </w:r>
      <w:r w:rsidRPr="00CD2087">
        <w:rPr>
          <w:lang w:val="fr-FR"/>
        </w:rPr>
        <w:t xml:space="preserve">autres indications </w:t>
      </w:r>
      <w:r>
        <w:rPr>
          <w:lang w:val="fr-FR"/>
        </w:rPr>
        <w:t>d’</w:t>
      </w:r>
      <w:r w:rsidRPr="00CD2087">
        <w:rPr>
          <w:lang w:val="fr-FR"/>
        </w:rPr>
        <w:t xml:space="preserve">invraisemblance frappant les allégations </w:t>
      </w:r>
      <w:r>
        <w:rPr>
          <w:lang w:val="fr-FR"/>
        </w:rPr>
        <w:t>du requérant</w:t>
      </w:r>
      <w:r w:rsidRPr="00CD2087">
        <w:rPr>
          <w:lang w:val="fr-FR"/>
        </w:rPr>
        <w:t xml:space="preserve">, notamment celles en lien avec la date exacte de son arrestation et </w:t>
      </w:r>
      <w:r>
        <w:rPr>
          <w:lang w:val="fr-FR"/>
        </w:rPr>
        <w:t>les</w:t>
      </w:r>
      <w:r w:rsidRPr="00CD2087">
        <w:rPr>
          <w:lang w:val="fr-FR"/>
        </w:rPr>
        <w:t xml:space="preserve"> circonstances ayant entouré son d</w:t>
      </w:r>
      <w:r>
        <w:rPr>
          <w:lang w:val="fr-FR"/>
        </w:rPr>
        <w:t>épart vers Ourmia. À cela s’</w:t>
      </w:r>
      <w:r w:rsidRPr="00CD2087">
        <w:rPr>
          <w:lang w:val="fr-FR"/>
        </w:rPr>
        <w:t>ajoutent ses explications</w:t>
      </w:r>
      <w:r>
        <w:rPr>
          <w:lang w:val="fr-FR"/>
        </w:rPr>
        <w:t xml:space="preserve"> peu convaincantes concernant l’</w:t>
      </w:r>
      <w:r w:rsidRPr="00CD2087">
        <w:rPr>
          <w:lang w:val="fr-FR"/>
        </w:rPr>
        <w:t>absence</w:t>
      </w:r>
      <w:r>
        <w:rPr>
          <w:lang w:val="fr-FR"/>
        </w:rPr>
        <w:t xml:space="preserve"> de tout document susceptible d’</w:t>
      </w:r>
      <w:r w:rsidRPr="00CD2087">
        <w:rPr>
          <w:lang w:val="fr-FR"/>
        </w:rPr>
        <w:t>établir son identité</w:t>
      </w:r>
      <w:r>
        <w:rPr>
          <w:lang w:val="fr-FR"/>
        </w:rPr>
        <w:t>,</w:t>
      </w:r>
      <w:r w:rsidRPr="00CD2087">
        <w:rPr>
          <w:lang w:val="fr-FR"/>
        </w:rPr>
        <w:t xml:space="preserve"> qui ont amené le </w:t>
      </w:r>
      <w:r w:rsidRPr="007F7498">
        <w:rPr>
          <w:lang w:val="fr-FR"/>
        </w:rPr>
        <w:t>Sec</w:t>
      </w:r>
      <w:r>
        <w:rPr>
          <w:lang w:val="fr-FR"/>
        </w:rPr>
        <w:t>rétariat d’</w:t>
      </w:r>
      <w:r w:rsidRPr="007F7498">
        <w:rPr>
          <w:lang w:val="fr-FR"/>
        </w:rPr>
        <w:t>É</w:t>
      </w:r>
      <w:r>
        <w:rPr>
          <w:lang w:val="fr-FR"/>
        </w:rPr>
        <w:t>t</w:t>
      </w:r>
      <w:r w:rsidRPr="007F7498">
        <w:rPr>
          <w:lang w:val="fr-FR"/>
        </w:rPr>
        <w:t>at</w:t>
      </w:r>
      <w:r w:rsidRPr="00CD2087">
        <w:rPr>
          <w:lang w:val="fr-FR"/>
        </w:rPr>
        <w:t xml:space="preserve"> à conclure que par la non-production de telles pièc</w:t>
      </w:r>
      <w:r>
        <w:rPr>
          <w:lang w:val="fr-FR"/>
        </w:rPr>
        <w:t xml:space="preserve">es, le requérant </w:t>
      </w:r>
      <w:r w:rsidRPr="00CD2087">
        <w:rPr>
          <w:lang w:val="fr-FR"/>
        </w:rPr>
        <w:t>tentait probablement de dissimuler les réelles circ</w:t>
      </w:r>
      <w:r>
        <w:rPr>
          <w:lang w:val="fr-FR"/>
        </w:rPr>
        <w:t>onstances de sa venue dans l’État partie.</w:t>
      </w:r>
    </w:p>
    <w:p w14:paraId="1393FDE3" w14:textId="77777777" w:rsidR="007767F9" w:rsidRPr="00CD2087" w:rsidRDefault="007767F9" w:rsidP="007767F9">
      <w:pPr>
        <w:pStyle w:val="SingleTxtG"/>
        <w:rPr>
          <w:lang w:val="fr-FR"/>
        </w:rPr>
      </w:pPr>
      <w:r>
        <w:rPr>
          <w:lang w:val="fr-FR"/>
        </w:rPr>
        <w:lastRenderedPageBreak/>
        <w:t>4.13</w:t>
      </w:r>
      <w:r>
        <w:rPr>
          <w:lang w:val="fr-FR"/>
        </w:rPr>
        <w:tab/>
        <w:t>L’État partie</w:t>
      </w:r>
      <w:r w:rsidRPr="00CD2087">
        <w:rPr>
          <w:lang w:val="fr-FR"/>
        </w:rPr>
        <w:t xml:space="preserve"> </w:t>
      </w:r>
      <w:r>
        <w:rPr>
          <w:lang w:val="fr-FR"/>
        </w:rPr>
        <w:t xml:space="preserve">convient </w:t>
      </w:r>
      <w:r w:rsidRPr="00CD2087">
        <w:rPr>
          <w:lang w:val="fr-FR"/>
        </w:rPr>
        <w:t>que les traumatismes peuvent aff</w:t>
      </w:r>
      <w:r>
        <w:rPr>
          <w:lang w:val="fr-FR"/>
        </w:rPr>
        <w:t>ecter la pensée et la mémoire d’</w:t>
      </w:r>
      <w:r w:rsidRPr="00CD2087">
        <w:rPr>
          <w:lang w:val="fr-FR"/>
        </w:rPr>
        <w:t>une victime</w:t>
      </w:r>
      <w:r>
        <w:rPr>
          <w:lang w:val="fr-FR"/>
        </w:rPr>
        <w:t xml:space="preserve"> de torture</w:t>
      </w:r>
      <w:r w:rsidRPr="00CD2087">
        <w:rPr>
          <w:lang w:val="fr-FR"/>
        </w:rPr>
        <w:t>, particulièrement en ce qui concerne la chronologie des év</w:t>
      </w:r>
      <w:r>
        <w:rPr>
          <w:lang w:val="fr-FR"/>
        </w:rPr>
        <w:t>é</w:t>
      </w:r>
      <w:r w:rsidRPr="00CD2087">
        <w:rPr>
          <w:lang w:val="fr-FR"/>
        </w:rPr>
        <w:t xml:space="preserve">nements, </w:t>
      </w:r>
      <w:r>
        <w:rPr>
          <w:lang w:val="fr-FR"/>
        </w:rPr>
        <w:t>et</w:t>
      </w:r>
      <w:r w:rsidRPr="00CD2087">
        <w:rPr>
          <w:lang w:val="fr-FR"/>
        </w:rPr>
        <w:t xml:space="preserve"> </w:t>
      </w:r>
      <w:r>
        <w:rPr>
          <w:lang w:val="fr-FR"/>
        </w:rPr>
        <w:t>que l’</w:t>
      </w:r>
      <w:r w:rsidRPr="00CD2087">
        <w:rPr>
          <w:lang w:val="fr-FR"/>
        </w:rPr>
        <w:t xml:space="preserve">écoulement du temps </w:t>
      </w:r>
      <w:r>
        <w:rPr>
          <w:lang w:val="fr-FR"/>
        </w:rPr>
        <w:t>peut</w:t>
      </w:r>
      <w:r w:rsidRPr="00CD2087">
        <w:rPr>
          <w:lang w:val="fr-FR"/>
        </w:rPr>
        <w:t xml:space="preserve"> altérer les souvenirs. Néanmoins, </w:t>
      </w:r>
      <w:r>
        <w:rPr>
          <w:lang w:val="fr-FR"/>
        </w:rPr>
        <w:t xml:space="preserve">il considère que </w:t>
      </w:r>
      <w:r w:rsidRPr="00CD2087">
        <w:rPr>
          <w:lang w:val="fr-FR"/>
        </w:rPr>
        <w:t xml:space="preserve">les incohérences relevées dans les récits présentés par </w:t>
      </w:r>
      <w:r>
        <w:rPr>
          <w:lang w:val="fr-FR"/>
        </w:rPr>
        <w:t>le requérant</w:t>
      </w:r>
      <w:r w:rsidRPr="00CD2087">
        <w:rPr>
          <w:lang w:val="fr-FR"/>
        </w:rPr>
        <w:t xml:space="preserve"> au fil de ses différentes auditions ne concernent pas de si</w:t>
      </w:r>
      <w:r>
        <w:rPr>
          <w:lang w:val="fr-FR"/>
        </w:rPr>
        <w:t>mples divergences de dates, mais</w:t>
      </w:r>
      <w:r w:rsidRPr="00CD2087">
        <w:rPr>
          <w:lang w:val="fr-FR"/>
        </w:rPr>
        <w:t xml:space="preserve"> bien les éléments centraux de sa requête, à savoir les fait</w:t>
      </w:r>
      <w:r>
        <w:rPr>
          <w:lang w:val="fr-FR"/>
        </w:rPr>
        <w:t xml:space="preserve">s ayant conduit aux prétendues </w:t>
      </w:r>
      <w:r w:rsidRPr="00CD2087">
        <w:rPr>
          <w:lang w:val="fr-FR"/>
        </w:rPr>
        <w:t xml:space="preserve">mesures de persécution engagées </w:t>
      </w:r>
      <w:r>
        <w:rPr>
          <w:lang w:val="fr-FR"/>
        </w:rPr>
        <w:t>contre lui</w:t>
      </w:r>
      <w:r w:rsidRPr="00CD2087">
        <w:rPr>
          <w:lang w:val="fr-FR"/>
        </w:rPr>
        <w:t xml:space="preserve"> par les autorités iraniennes.</w:t>
      </w:r>
    </w:p>
    <w:p w14:paraId="2F7FB3F9" w14:textId="77777777" w:rsidR="007767F9" w:rsidRPr="00CD2087" w:rsidRDefault="007767F9" w:rsidP="007767F9">
      <w:pPr>
        <w:pStyle w:val="SingleTxtG"/>
        <w:rPr>
          <w:lang w:val="fr-FR"/>
        </w:rPr>
      </w:pPr>
      <w:r>
        <w:rPr>
          <w:lang w:val="fr-FR"/>
        </w:rPr>
        <w:t>4.14</w:t>
      </w:r>
      <w:r>
        <w:rPr>
          <w:lang w:val="fr-FR"/>
        </w:rPr>
        <w:tab/>
        <w:t>L’État partie indique enfin que, d</w:t>
      </w:r>
      <w:r w:rsidRPr="00CD2087">
        <w:rPr>
          <w:lang w:val="fr-FR"/>
        </w:rPr>
        <w:t xml:space="preserve">ans sa </w:t>
      </w:r>
      <w:r>
        <w:rPr>
          <w:lang w:val="fr-FR"/>
        </w:rPr>
        <w:t>requête</w:t>
      </w:r>
      <w:r w:rsidRPr="00CD2087">
        <w:rPr>
          <w:lang w:val="fr-FR"/>
        </w:rPr>
        <w:t xml:space="preserve">, </w:t>
      </w:r>
      <w:r>
        <w:rPr>
          <w:lang w:val="fr-FR"/>
        </w:rPr>
        <w:t>le requérant</w:t>
      </w:r>
      <w:r w:rsidRPr="00CD2087">
        <w:rPr>
          <w:lang w:val="fr-FR"/>
        </w:rPr>
        <w:t xml:space="preserve"> cherche à démontrer </w:t>
      </w:r>
      <w:r>
        <w:rPr>
          <w:lang w:val="fr-FR"/>
        </w:rPr>
        <w:t>que des erreurs</w:t>
      </w:r>
      <w:r w:rsidRPr="00643320">
        <w:rPr>
          <w:lang w:val="fr-FR"/>
        </w:rPr>
        <w:t xml:space="preserve"> </w:t>
      </w:r>
      <w:r w:rsidRPr="00CD2087">
        <w:rPr>
          <w:lang w:val="fr-FR"/>
        </w:rPr>
        <w:t>liée</w:t>
      </w:r>
      <w:r>
        <w:rPr>
          <w:lang w:val="fr-FR"/>
        </w:rPr>
        <w:t>s</w:t>
      </w:r>
      <w:r w:rsidRPr="00CD2087">
        <w:rPr>
          <w:lang w:val="fr-FR"/>
        </w:rPr>
        <w:t xml:space="preserve"> aux temps verbaux en farsi</w:t>
      </w:r>
      <w:r>
        <w:rPr>
          <w:lang w:val="fr-FR"/>
        </w:rPr>
        <w:t xml:space="preserve"> ou une mauvaise</w:t>
      </w:r>
      <w:r w:rsidRPr="00CD2087">
        <w:rPr>
          <w:lang w:val="fr-FR"/>
        </w:rPr>
        <w:t xml:space="preserve"> traduct</w:t>
      </w:r>
      <w:r>
        <w:rPr>
          <w:lang w:val="fr-FR"/>
        </w:rPr>
        <w:t>ion seraient à l’</w:t>
      </w:r>
      <w:r w:rsidRPr="00CD2087">
        <w:rPr>
          <w:lang w:val="fr-FR"/>
        </w:rPr>
        <w:t xml:space="preserve">origine des incohérences relevées par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CD2087">
        <w:rPr>
          <w:lang w:val="fr-FR"/>
        </w:rPr>
        <w:t>. Cet argument et les déve</w:t>
      </w:r>
      <w:r>
        <w:rPr>
          <w:lang w:val="fr-FR"/>
        </w:rPr>
        <w:t>loppements apportés dans ce con</w:t>
      </w:r>
      <w:r w:rsidRPr="00CD2087">
        <w:rPr>
          <w:lang w:val="fr-FR"/>
        </w:rPr>
        <w:t>texte ne sauraient convai</w:t>
      </w:r>
      <w:r>
        <w:rPr>
          <w:lang w:val="fr-FR"/>
        </w:rPr>
        <w:t>ncre. Il suffit, à cet égard, d’</w:t>
      </w:r>
      <w:r w:rsidRPr="00CD2087">
        <w:rPr>
          <w:lang w:val="fr-FR"/>
        </w:rPr>
        <w:t>examine</w:t>
      </w:r>
      <w:r>
        <w:rPr>
          <w:lang w:val="fr-FR"/>
        </w:rPr>
        <w:t xml:space="preserve">r les déclarations consignées </w:t>
      </w:r>
      <w:r w:rsidRPr="00CD2087">
        <w:rPr>
          <w:lang w:val="fr-FR"/>
        </w:rPr>
        <w:t xml:space="preserve">lors de sa première audition en 2015 </w:t>
      </w:r>
      <w:r>
        <w:rPr>
          <w:lang w:val="fr-FR"/>
        </w:rPr>
        <w:t>pour s’</w:t>
      </w:r>
      <w:r w:rsidRPr="00CD2087">
        <w:rPr>
          <w:lang w:val="fr-FR"/>
        </w:rPr>
        <w:t>éto</w:t>
      </w:r>
      <w:r>
        <w:rPr>
          <w:lang w:val="fr-FR"/>
        </w:rPr>
        <w:t>nner que le requérant n’ait décelé</w:t>
      </w:r>
      <w:r w:rsidRPr="00CD2087">
        <w:rPr>
          <w:lang w:val="fr-FR"/>
        </w:rPr>
        <w:t xml:space="preserve"> aucune des nombreuses erreurs alléguées</w:t>
      </w:r>
      <w:r>
        <w:rPr>
          <w:lang w:val="fr-FR"/>
        </w:rPr>
        <w:t>,</w:t>
      </w:r>
      <w:r w:rsidRPr="00CD2087">
        <w:rPr>
          <w:lang w:val="fr-FR"/>
        </w:rPr>
        <w:t xml:space="preserve"> lorsque ses propos lui ont été retraduits au terme de cette audition.</w:t>
      </w:r>
    </w:p>
    <w:p w14:paraId="51282E60" w14:textId="77777777" w:rsidR="007767F9" w:rsidRPr="005864B9" w:rsidRDefault="007767F9" w:rsidP="007767F9">
      <w:pPr>
        <w:pStyle w:val="H23G"/>
        <w:rPr>
          <w:lang w:val="fr-FR"/>
        </w:rPr>
      </w:pPr>
      <w:r>
        <w:rPr>
          <w:lang w:val="fr-FR"/>
        </w:rPr>
        <w:tab/>
      </w:r>
      <w:r>
        <w:rPr>
          <w:lang w:val="fr-FR"/>
        </w:rPr>
        <w:tab/>
      </w:r>
      <w:r w:rsidRPr="005864B9">
        <w:rPr>
          <w:lang w:val="fr-FR"/>
        </w:rPr>
        <w:t>Commentaires du requérant sur les observations de l</w:t>
      </w:r>
      <w:r>
        <w:rPr>
          <w:lang w:val="fr-FR"/>
        </w:rPr>
        <w:t>’</w:t>
      </w:r>
      <w:r w:rsidRPr="005864B9">
        <w:rPr>
          <w:lang w:val="fr-FR"/>
        </w:rPr>
        <w:t>É</w:t>
      </w:r>
      <w:r>
        <w:rPr>
          <w:lang w:val="fr-FR"/>
        </w:rPr>
        <w:t>t</w:t>
      </w:r>
      <w:r w:rsidRPr="005864B9">
        <w:rPr>
          <w:lang w:val="fr-FR"/>
        </w:rPr>
        <w:t>at partie</w:t>
      </w:r>
    </w:p>
    <w:p w14:paraId="0D87E754" w14:textId="77777777" w:rsidR="007767F9" w:rsidRPr="00AF3EDC" w:rsidRDefault="007767F9" w:rsidP="007767F9">
      <w:pPr>
        <w:pStyle w:val="SingleTxtG"/>
        <w:rPr>
          <w:lang w:val="fr-FR"/>
        </w:rPr>
      </w:pPr>
      <w:r>
        <w:rPr>
          <w:lang w:val="fr-FR"/>
        </w:rPr>
        <w:t>5</w:t>
      </w:r>
      <w:r w:rsidRPr="00AF3EDC">
        <w:rPr>
          <w:lang w:val="fr-FR"/>
        </w:rPr>
        <w:t>.1</w:t>
      </w:r>
      <w:r>
        <w:rPr>
          <w:lang w:val="fr-FR"/>
        </w:rPr>
        <w:tab/>
      </w:r>
      <w:r w:rsidRPr="00AF3EDC">
        <w:rPr>
          <w:lang w:val="fr-FR"/>
        </w:rPr>
        <w:t xml:space="preserve">Le </w:t>
      </w:r>
      <w:r>
        <w:rPr>
          <w:lang w:val="fr-FR"/>
        </w:rPr>
        <w:t>9 août 2018</w:t>
      </w:r>
      <w:r w:rsidRPr="00AF3EDC">
        <w:rPr>
          <w:lang w:val="fr-FR"/>
        </w:rPr>
        <w:t>, le requérant a soumis ses commentai</w:t>
      </w:r>
      <w:r>
        <w:rPr>
          <w:lang w:val="fr-FR"/>
        </w:rPr>
        <w:t xml:space="preserve">res sur les observations de l’État </w:t>
      </w:r>
      <w:r w:rsidRPr="00AF3EDC">
        <w:rPr>
          <w:lang w:val="fr-FR"/>
        </w:rPr>
        <w:t>partie</w:t>
      </w:r>
      <w:r>
        <w:rPr>
          <w:lang w:val="fr-FR"/>
        </w:rPr>
        <w:t xml:space="preserve"> sur la recevabilité</w:t>
      </w:r>
      <w:r w:rsidRPr="00AF3EDC">
        <w:rPr>
          <w:lang w:val="fr-FR"/>
        </w:rPr>
        <w:t xml:space="preserve">. Selon </w:t>
      </w:r>
      <w:r>
        <w:rPr>
          <w:lang w:val="fr-FR"/>
        </w:rPr>
        <w:t>lui</w:t>
      </w:r>
      <w:r w:rsidRPr="00AF3EDC">
        <w:rPr>
          <w:lang w:val="fr-FR"/>
        </w:rPr>
        <w:t>, la demande de réexamen du 31 ao</w:t>
      </w:r>
      <w:r>
        <w:rPr>
          <w:lang w:val="fr-FR"/>
        </w:rPr>
        <w:t>ût 2017 et le recours contre la</w:t>
      </w:r>
      <w:r w:rsidRPr="00AF3EDC">
        <w:rPr>
          <w:lang w:val="fr-FR"/>
        </w:rPr>
        <w:t xml:space="preserve"> décision de refus de la demande de réexamen du 7 novembre 2017 ont été jugés recevables par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AF3EDC">
        <w:rPr>
          <w:lang w:val="fr-FR"/>
        </w:rPr>
        <w:t xml:space="preserve"> et par le </w:t>
      </w:r>
      <w:r>
        <w:rPr>
          <w:lang w:val="fr-FR"/>
        </w:rPr>
        <w:t>Tribunal administratif fédéral</w:t>
      </w:r>
      <w:r w:rsidRPr="00AF3EDC">
        <w:rPr>
          <w:lang w:val="fr-FR"/>
        </w:rPr>
        <w:t xml:space="preserve">, entraînant </w:t>
      </w:r>
      <w:r>
        <w:rPr>
          <w:lang w:val="fr-FR"/>
        </w:rPr>
        <w:t>dès lors un examen au fond de l’</w:t>
      </w:r>
      <w:r w:rsidRPr="00AF3EDC">
        <w:rPr>
          <w:lang w:val="fr-FR"/>
        </w:rPr>
        <w:t>affaire</w:t>
      </w:r>
      <w:r>
        <w:rPr>
          <w:lang w:val="fr-FR"/>
        </w:rPr>
        <w:t xml:space="preserve">, dont l’examen des </w:t>
      </w:r>
      <w:r w:rsidRPr="00AF3EDC">
        <w:rPr>
          <w:lang w:val="fr-FR"/>
        </w:rPr>
        <w:t>problèmes de traduction et d</w:t>
      </w:r>
      <w:r>
        <w:rPr>
          <w:lang w:val="fr-FR"/>
        </w:rPr>
        <w:t>e l’</w:t>
      </w:r>
      <w:r w:rsidRPr="00AF3EDC">
        <w:rPr>
          <w:lang w:val="fr-FR"/>
        </w:rPr>
        <w:t xml:space="preserve">état de stress post-traumatique </w:t>
      </w:r>
      <w:r>
        <w:rPr>
          <w:lang w:val="fr-FR"/>
        </w:rPr>
        <w:t xml:space="preserve">du requérant lors du premier entretien avec le </w:t>
      </w:r>
      <w:r w:rsidRPr="007F7498">
        <w:rPr>
          <w:lang w:val="fr-FR"/>
        </w:rPr>
        <w:t>Sec</w:t>
      </w:r>
      <w:r>
        <w:rPr>
          <w:lang w:val="fr-FR"/>
        </w:rPr>
        <w:t>rétariat d’</w:t>
      </w:r>
      <w:r w:rsidRPr="007F7498">
        <w:rPr>
          <w:lang w:val="fr-FR"/>
        </w:rPr>
        <w:t>É</w:t>
      </w:r>
      <w:r>
        <w:rPr>
          <w:lang w:val="fr-FR"/>
        </w:rPr>
        <w:t>t</w:t>
      </w:r>
      <w:r w:rsidRPr="007F7498">
        <w:rPr>
          <w:lang w:val="fr-FR"/>
        </w:rPr>
        <w:t>at</w:t>
      </w:r>
      <w:r w:rsidRPr="00AF3EDC">
        <w:rPr>
          <w:lang w:val="fr-FR"/>
        </w:rPr>
        <w:t>.</w:t>
      </w:r>
    </w:p>
    <w:p w14:paraId="31C23BD0" w14:textId="77777777" w:rsidR="007767F9" w:rsidRPr="00AF3EDC" w:rsidRDefault="007767F9" w:rsidP="007767F9">
      <w:pPr>
        <w:pStyle w:val="SingleTxtG"/>
        <w:rPr>
          <w:lang w:val="fr-FR"/>
        </w:rPr>
      </w:pPr>
      <w:r>
        <w:rPr>
          <w:lang w:val="fr-FR"/>
        </w:rPr>
        <w:t>5</w:t>
      </w:r>
      <w:r w:rsidRPr="00AF3EDC">
        <w:rPr>
          <w:lang w:val="fr-FR"/>
        </w:rPr>
        <w:t>.2</w:t>
      </w:r>
      <w:r>
        <w:rPr>
          <w:lang w:val="fr-FR"/>
        </w:rPr>
        <w:tab/>
      </w:r>
      <w:r w:rsidRPr="00B31AA9">
        <w:rPr>
          <w:lang w:val="fr-FR"/>
        </w:rPr>
        <w:t>Le requérant indique que l</w:t>
      </w:r>
      <w:r>
        <w:rPr>
          <w:lang w:val="fr-FR"/>
        </w:rPr>
        <w:t>’</w:t>
      </w:r>
      <w:r w:rsidRPr="00B31AA9">
        <w:rPr>
          <w:lang w:val="fr-FR"/>
        </w:rPr>
        <w:t>argument selon lequel la procéd</w:t>
      </w:r>
      <w:r>
        <w:rPr>
          <w:lang w:val="fr-FR"/>
        </w:rPr>
        <w:t>ure de réexamen ne permet pas d’</w:t>
      </w:r>
      <w:r w:rsidRPr="00B31AA9">
        <w:rPr>
          <w:lang w:val="fr-FR"/>
        </w:rPr>
        <w:t>épuiser les voies de recours internes ne peut prospérer. Il fait valoir que dans un aut</w:t>
      </w:r>
      <w:r>
        <w:rPr>
          <w:lang w:val="fr-FR"/>
        </w:rPr>
        <w:t>re cas relatif à la procédure d’</w:t>
      </w:r>
      <w:r w:rsidRPr="00B31AA9">
        <w:rPr>
          <w:lang w:val="fr-FR"/>
        </w:rPr>
        <w:t>asi</w:t>
      </w:r>
      <w:r>
        <w:rPr>
          <w:lang w:val="fr-FR"/>
        </w:rPr>
        <w:t>le, le Comité a considéré que l’</w:t>
      </w:r>
      <w:r w:rsidRPr="00B31AA9">
        <w:rPr>
          <w:lang w:val="fr-FR"/>
        </w:rPr>
        <w:t xml:space="preserve">épuisement des voies de recours internes ne </w:t>
      </w:r>
      <w:r>
        <w:rPr>
          <w:lang w:val="fr-FR"/>
        </w:rPr>
        <w:t>devait</w:t>
      </w:r>
      <w:r w:rsidRPr="00B31AA9">
        <w:rPr>
          <w:lang w:val="fr-FR"/>
        </w:rPr>
        <w:t xml:space="preserve"> intervenir que pour la</w:t>
      </w:r>
      <w:r>
        <w:rPr>
          <w:lang w:val="fr-FR"/>
        </w:rPr>
        <w:t xml:space="preserve"> seconde procédure de demande d’</w:t>
      </w:r>
      <w:r w:rsidRPr="00B31AA9">
        <w:rPr>
          <w:lang w:val="fr-FR"/>
        </w:rPr>
        <w:t>asile, et non également pour la première</w:t>
      </w:r>
      <w:r w:rsidRPr="002074C3">
        <w:rPr>
          <w:rStyle w:val="Appelnotedebasdep"/>
        </w:rPr>
        <w:footnoteReference w:id="11"/>
      </w:r>
      <w:r w:rsidRPr="00B31AA9">
        <w:rPr>
          <w:lang w:val="fr-FR"/>
        </w:rPr>
        <w:t>.</w:t>
      </w:r>
    </w:p>
    <w:p w14:paraId="037D5A2E" w14:textId="03B8B902" w:rsidR="007767F9" w:rsidRDefault="007767F9" w:rsidP="007767F9">
      <w:pPr>
        <w:pStyle w:val="SingleTxtG"/>
        <w:rPr>
          <w:lang w:val="fr-FR"/>
        </w:rPr>
      </w:pPr>
      <w:r>
        <w:rPr>
          <w:lang w:val="fr-FR"/>
        </w:rPr>
        <w:t>5</w:t>
      </w:r>
      <w:r w:rsidRPr="00AF3EDC">
        <w:rPr>
          <w:lang w:val="fr-FR"/>
        </w:rPr>
        <w:t>.3</w:t>
      </w:r>
      <w:r>
        <w:rPr>
          <w:lang w:val="fr-FR"/>
        </w:rPr>
        <w:tab/>
      </w:r>
      <w:r w:rsidRPr="00AF3EDC">
        <w:rPr>
          <w:lang w:val="fr-FR"/>
        </w:rPr>
        <w:t>Par ailleurs, le requérant indique avoir invoqué des moyens nouveaux dans le cadre</w:t>
      </w:r>
      <w:r>
        <w:rPr>
          <w:lang w:val="fr-FR"/>
        </w:rPr>
        <w:t xml:space="preserve"> de :</w:t>
      </w:r>
      <w:r w:rsidRPr="00AF3EDC">
        <w:rPr>
          <w:lang w:val="fr-FR"/>
        </w:rPr>
        <w:t xml:space="preserve"> </w:t>
      </w:r>
      <w:r>
        <w:rPr>
          <w:lang w:val="fr-FR"/>
        </w:rPr>
        <w:t>a)</w:t>
      </w:r>
      <w:r w:rsidR="00C069CD">
        <w:rPr>
          <w:lang w:val="fr-FR"/>
        </w:rPr>
        <w:t> </w:t>
      </w:r>
      <w:r w:rsidRPr="00AF3EDC">
        <w:rPr>
          <w:lang w:val="fr-FR"/>
        </w:rPr>
        <w:t xml:space="preserve">son recours devant le </w:t>
      </w:r>
      <w:r>
        <w:rPr>
          <w:lang w:val="fr-FR"/>
        </w:rPr>
        <w:t>Tribunal administratif fédéral,</w:t>
      </w:r>
      <w:r w:rsidRPr="00AF3EDC">
        <w:rPr>
          <w:lang w:val="fr-FR"/>
        </w:rPr>
        <w:t xml:space="preserve"> en date du 21 août 2017</w:t>
      </w:r>
      <w:r>
        <w:rPr>
          <w:lang w:val="fr-FR"/>
        </w:rPr>
        <w:t>,</w:t>
      </w:r>
      <w:r w:rsidRPr="00AF3EDC">
        <w:rPr>
          <w:lang w:val="fr-FR"/>
        </w:rPr>
        <w:t xml:space="preserve"> c</w:t>
      </w:r>
      <w:r>
        <w:rPr>
          <w:lang w:val="fr-FR"/>
        </w:rPr>
        <w:t>ontre la décision de refus de sa demande d’asile du 22 avril 2017</w:t>
      </w:r>
      <w:r w:rsidR="00627D27">
        <w:rPr>
          <w:lang w:val="fr-FR"/>
        </w:rPr>
        <w:t> ;</w:t>
      </w:r>
      <w:r w:rsidRPr="00AF3EDC">
        <w:rPr>
          <w:lang w:val="fr-FR"/>
        </w:rPr>
        <w:t xml:space="preserve"> </w:t>
      </w:r>
      <w:r>
        <w:rPr>
          <w:lang w:val="fr-FR"/>
        </w:rPr>
        <w:t>b)</w:t>
      </w:r>
      <w:r w:rsidR="00C069CD">
        <w:rPr>
          <w:lang w:val="fr-FR"/>
        </w:rPr>
        <w:t> </w:t>
      </w:r>
      <w:r w:rsidRPr="00AF3EDC">
        <w:rPr>
          <w:lang w:val="fr-FR"/>
        </w:rPr>
        <w:t xml:space="preserve">sa demande de réexamen auprès du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Pr>
          <w:lang w:val="fr-FR"/>
        </w:rPr>
        <w:t>,</w:t>
      </w:r>
      <w:r w:rsidRPr="00AF3EDC">
        <w:rPr>
          <w:lang w:val="fr-FR"/>
        </w:rPr>
        <w:t xml:space="preserve"> </w:t>
      </w:r>
      <w:r>
        <w:rPr>
          <w:lang w:val="fr-FR"/>
        </w:rPr>
        <w:t xml:space="preserve">en date </w:t>
      </w:r>
      <w:r w:rsidRPr="00AF3EDC">
        <w:rPr>
          <w:lang w:val="fr-FR"/>
        </w:rPr>
        <w:t>du 31 août 2017</w:t>
      </w:r>
      <w:r w:rsidR="00627D27">
        <w:rPr>
          <w:lang w:val="fr-FR"/>
        </w:rPr>
        <w:t> ;</w:t>
      </w:r>
      <w:r w:rsidRPr="00AF3EDC">
        <w:rPr>
          <w:lang w:val="fr-FR"/>
        </w:rPr>
        <w:t xml:space="preserve"> et </w:t>
      </w:r>
      <w:r>
        <w:rPr>
          <w:lang w:val="fr-FR"/>
        </w:rPr>
        <w:t>c)</w:t>
      </w:r>
      <w:r w:rsidR="00C069CD">
        <w:rPr>
          <w:lang w:val="fr-FR"/>
        </w:rPr>
        <w:t> </w:t>
      </w:r>
      <w:r w:rsidRPr="00AF3EDC">
        <w:rPr>
          <w:lang w:val="fr-FR"/>
        </w:rPr>
        <w:t xml:space="preserve">son recours devant le </w:t>
      </w:r>
      <w:r>
        <w:rPr>
          <w:lang w:val="fr-FR"/>
        </w:rPr>
        <w:t>Tribunal administratif fédéral</w:t>
      </w:r>
      <w:r w:rsidRPr="00AF3EDC">
        <w:rPr>
          <w:lang w:val="fr-FR"/>
        </w:rPr>
        <w:t xml:space="preserve"> contre la décision de rejet de la demande de réexamen du 7</w:t>
      </w:r>
      <w:r w:rsidR="00C069CD">
        <w:rPr>
          <w:lang w:val="fr-FR"/>
        </w:rPr>
        <w:t> </w:t>
      </w:r>
      <w:r w:rsidRPr="00AF3EDC">
        <w:rPr>
          <w:lang w:val="fr-FR"/>
        </w:rPr>
        <w:t>novembre 2</w:t>
      </w:r>
      <w:r>
        <w:rPr>
          <w:lang w:val="fr-FR"/>
        </w:rPr>
        <w:t xml:space="preserve">017. Le </w:t>
      </w:r>
      <w:r w:rsidRPr="00AF3EDC">
        <w:rPr>
          <w:lang w:val="fr-FR"/>
        </w:rPr>
        <w:t xml:space="preserve">requérant invoque </w:t>
      </w:r>
      <w:r>
        <w:rPr>
          <w:lang w:val="fr-FR"/>
        </w:rPr>
        <w:t xml:space="preserve">le fait que </w:t>
      </w:r>
      <w:r w:rsidRPr="00AF3EDC">
        <w:rPr>
          <w:lang w:val="fr-FR"/>
        </w:rPr>
        <w:t xml:space="preserve">le </w:t>
      </w:r>
      <w:r>
        <w:rPr>
          <w:lang w:val="fr-FR"/>
        </w:rPr>
        <w:t>Tribunal</w:t>
      </w:r>
      <w:r w:rsidRPr="00AF3EDC">
        <w:rPr>
          <w:lang w:val="fr-FR"/>
        </w:rPr>
        <w:t xml:space="preserve"> et le </w:t>
      </w:r>
      <w:r w:rsidRPr="007F7498">
        <w:rPr>
          <w:lang w:val="fr-FR"/>
        </w:rPr>
        <w:t>Sec</w:t>
      </w:r>
      <w:r>
        <w:rPr>
          <w:lang w:val="fr-FR"/>
        </w:rPr>
        <w:t>rétariat d’</w:t>
      </w:r>
      <w:r w:rsidRPr="007F7498">
        <w:rPr>
          <w:lang w:val="fr-FR"/>
        </w:rPr>
        <w:t>É</w:t>
      </w:r>
      <w:r>
        <w:rPr>
          <w:lang w:val="fr-FR"/>
        </w:rPr>
        <w:t>t</w:t>
      </w:r>
      <w:r w:rsidRPr="007F7498">
        <w:rPr>
          <w:lang w:val="fr-FR"/>
        </w:rPr>
        <w:t>at</w:t>
      </w:r>
      <w:r w:rsidRPr="00AF3EDC">
        <w:rPr>
          <w:lang w:val="fr-FR"/>
        </w:rPr>
        <w:t xml:space="preserve"> </w:t>
      </w:r>
      <w:r>
        <w:rPr>
          <w:lang w:val="fr-FR"/>
        </w:rPr>
        <w:t xml:space="preserve">ont écarté comme n’étant pas probants </w:t>
      </w:r>
      <w:r w:rsidRPr="00AF3EDC">
        <w:rPr>
          <w:lang w:val="fr-FR"/>
        </w:rPr>
        <w:t>des rapports médicaux complémentaires faisant état de la vraisemblance des all</w:t>
      </w:r>
      <w:r>
        <w:rPr>
          <w:lang w:val="fr-FR"/>
        </w:rPr>
        <w:t xml:space="preserve">égations de torture ainsi que de son </w:t>
      </w:r>
      <w:r w:rsidRPr="00AF3EDC">
        <w:rPr>
          <w:lang w:val="fr-FR"/>
        </w:rPr>
        <w:t>état de stress post-traumatique</w:t>
      </w:r>
      <w:r>
        <w:rPr>
          <w:lang w:val="fr-FR"/>
        </w:rPr>
        <w:t xml:space="preserve">. Il invoque également </w:t>
      </w:r>
      <w:r w:rsidRPr="00AF3EDC">
        <w:rPr>
          <w:lang w:val="fr-FR"/>
        </w:rPr>
        <w:t xml:space="preserve">le manque de fiabilité des interprètes et les erreurs de traduction commises lors des entretiens avec le </w:t>
      </w:r>
      <w:r w:rsidRPr="007F7498">
        <w:rPr>
          <w:lang w:val="fr-FR"/>
        </w:rPr>
        <w:t>Sec</w:t>
      </w:r>
      <w:r>
        <w:rPr>
          <w:lang w:val="fr-FR"/>
        </w:rPr>
        <w:t>rétariat d’</w:t>
      </w:r>
      <w:r w:rsidRPr="007F7498">
        <w:rPr>
          <w:lang w:val="fr-FR"/>
        </w:rPr>
        <w:t>É</w:t>
      </w:r>
      <w:r>
        <w:rPr>
          <w:lang w:val="fr-FR"/>
        </w:rPr>
        <w:t>t</w:t>
      </w:r>
      <w:r w:rsidRPr="007F7498">
        <w:rPr>
          <w:lang w:val="fr-FR"/>
        </w:rPr>
        <w:t>at</w:t>
      </w:r>
      <w:r w:rsidRPr="00AF3EDC">
        <w:rPr>
          <w:lang w:val="fr-FR"/>
        </w:rPr>
        <w:t>.</w:t>
      </w:r>
    </w:p>
    <w:p w14:paraId="7AF9525A" w14:textId="77777777" w:rsidR="007767F9" w:rsidRPr="0043117F" w:rsidRDefault="007767F9" w:rsidP="007767F9">
      <w:pPr>
        <w:pStyle w:val="SingleTxtG"/>
        <w:rPr>
          <w:lang w:val="fr-FR"/>
        </w:rPr>
      </w:pPr>
      <w:r>
        <w:rPr>
          <w:lang w:val="fr-FR"/>
        </w:rPr>
        <w:t>5.4</w:t>
      </w:r>
      <w:r>
        <w:rPr>
          <w:lang w:val="fr-FR"/>
        </w:rPr>
        <w:tab/>
        <w:t>Le 8 février 2019, le requérant a soumis ses commentaires sur les observations de l’État partie sur la recevabilité et le fond datées du 22 octobre 2018. Il indique qu’</w:t>
      </w:r>
      <w:r w:rsidRPr="0043117F">
        <w:rPr>
          <w:lang w:val="fr-FR"/>
        </w:rPr>
        <w:t>il serait contraire au but et à l</w:t>
      </w:r>
      <w:r>
        <w:rPr>
          <w:lang w:val="fr-FR"/>
        </w:rPr>
        <w:t>’</w:t>
      </w:r>
      <w:r w:rsidRPr="0043117F">
        <w:rPr>
          <w:lang w:val="fr-FR"/>
        </w:rPr>
        <w:t xml:space="preserve">esprit </w:t>
      </w:r>
      <w:r>
        <w:rPr>
          <w:lang w:val="fr-FR"/>
        </w:rPr>
        <w:t>de la Convention</w:t>
      </w:r>
      <w:r w:rsidRPr="0043117F">
        <w:rPr>
          <w:lang w:val="fr-FR"/>
        </w:rPr>
        <w:t xml:space="preserve"> de ret</w:t>
      </w:r>
      <w:r>
        <w:rPr>
          <w:lang w:val="fr-FR"/>
        </w:rPr>
        <w:t>enir que seuls les requérants d’</w:t>
      </w:r>
      <w:r w:rsidRPr="0043117F">
        <w:rPr>
          <w:lang w:val="fr-FR"/>
        </w:rPr>
        <w:t xml:space="preserve">asile ayant épuisé les recours internes </w:t>
      </w:r>
      <w:r>
        <w:rPr>
          <w:lang w:val="fr-FR"/>
        </w:rPr>
        <w:t>au moyen d’une première procédure</w:t>
      </w:r>
      <w:r w:rsidRPr="0043117F">
        <w:rPr>
          <w:lang w:val="fr-FR"/>
        </w:rPr>
        <w:t xml:space="preserve"> ordinaire seraient protégés et pourraient déposer une plainte devant le Comité.</w:t>
      </w:r>
      <w:r>
        <w:rPr>
          <w:lang w:val="fr-FR"/>
        </w:rPr>
        <w:t xml:space="preserve"> </w:t>
      </w:r>
      <w:r w:rsidRPr="0043117F">
        <w:rPr>
          <w:lang w:val="fr-FR"/>
        </w:rPr>
        <w:t>En tout état de cause, cette interprétatio</w:t>
      </w:r>
      <w:r>
        <w:rPr>
          <w:lang w:val="fr-FR"/>
        </w:rPr>
        <w:t>n a déjà été écartée par la Cour européenne des droits de l’homme</w:t>
      </w:r>
      <w:r w:rsidRPr="0043117F">
        <w:rPr>
          <w:lang w:val="fr-FR"/>
        </w:rPr>
        <w:t>, notamment dans son arrêt</w:t>
      </w:r>
      <w:r>
        <w:rPr>
          <w:lang w:val="fr-FR"/>
        </w:rPr>
        <w:t xml:space="preserve"> sur l’affaire</w:t>
      </w:r>
      <w:r w:rsidRPr="0043117F">
        <w:rPr>
          <w:lang w:val="fr-FR"/>
        </w:rPr>
        <w:t xml:space="preserve"> </w:t>
      </w:r>
      <w:proofErr w:type="spellStart"/>
      <w:r w:rsidRPr="007F7498">
        <w:rPr>
          <w:i/>
          <w:lang w:val="fr-FR"/>
        </w:rPr>
        <w:t>Polidario</w:t>
      </w:r>
      <w:proofErr w:type="spellEnd"/>
      <w:r w:rsidRPr="007F7498">
        <w:rPr>
          <w:i/>
          <w:lang w:val="fr-FR"/>
        </w:rPr>
        <w:t xml:space="preserve"> c</w:t>
      </w:r>
      <w:r>
        <w:rPr>
          <w:i/>
          <w:lang w:val="fr-FR"/>
        </w:rPr>
        <w:t>.</w:t>
      </w:r>
      <w:r w:rsidRPr="007F7498">
        <w:rPr>
          <w:i/>
          <w:lang w:val="fr-FR"/>
        </w:rPr>
        <w:t xml:space="preserve"> Suisse</w:t>
      </w:r>
      <w:r w:rsidRPr="002074C3">
        <w:rPr>
          <w:rStyle w:val="Appelnotedebasdep"/>
        </w:rPr>
        <w:footnoteReference w:id="12"/>
      </w:r>
      <w:r w:rsidRPr="0043117F">
        <w:rPr>
          <w:lang w:val="fr-FR"/>
        </w:rPr>
        <w:t xml:space="preserve">, </w:t>
      </w:r>
      <w:r>
        <w:rPr>
          <w:lang w:val="fr-FR"/>
        </w:rPr>
        <w:t>où la Cour a jugé, dans le cas d’une requérante n’</w:t>
      </w:r>
      <w:r w:rsidRPr="0043117F">
        <w:rPr>
          <w:lang w:val="fr-FR"/>
        </w:rPr>
        <w:t xml:space="preserve">ayant pas déposé de recours en procédure </w:t>
      </w:r>
      <w:r>
        <w:rPr>
          <w:lang w:val="fr-FR"/>
        </w:rPr>
        <w:t xml:space="preserve">ordinaire, que la procédure de </w:t>
      </w:r>
      <w:r w:rsidRPr="0043117F">
        <w:rPr>
          <w:lang w:val="fr-FR"/>
        </w:rPr>
        <w:t>réexamen choisie permettait d</w:t>
      </w:r>
      <w:r>
        <w:rPr>
          <w:lang w:val="fr-FR"/>
        </w:rPr>
        <w:t>’</w:t>
      </w:r>
      <w:r w:rsidRPr="0043117F">
        <w:rPr>
          <w:lang w:val="fr-FR"/>
        </w:rPr>
        <w:t>épuiser de manière adéquate les voies de recours int</w:t>
      </w:r>
      <w:r>
        <w:rPr>
          <w:lang w:val="fr-FR"/>
        </w:rPr>
        <w:t xml:space="preserve">ernes au sens de la </w:t>
      </w:r>
      <w:r w:rsidRPr="00441C5D">
        <w:rPr>
          <w:lang w:val="fr-FR"/>
        </w:rPr>
        <w:t>Convention de sauvegarde des droits de l</w:t>
      </w:r>
      <w:r>
        <w:rPr>
          <w:lang w:val="fr-FR"/>
        </w:rPr>
        <w:t>’</w:t>
      </w:r>
      <w:r w:rsidRPr="00441C5D">
        <w:rPr>
          <w:lang w:val="fr-FR"/>
        </w:rPr>
        <w:t>homme et des libertés fondamentales</w:t>
      </w:r>
      <w:r>
        <w:rPr>
          <w:lang w:val="fr-FR"/>
        </w:rPr>
        <w:t xml:space="preserve"> (Convention européenne des droits de l’homme).</w:t>
      </w:r>
    </w:p>
    <w:p w14:paraId="49D93703" w14:textId="77777777" w:rsidR="007767F9" w:rsidRPr="0043117F" w:rsidRDefault="007767F9" w:rsidP="00331637">
      <w:pPr>
        <w:pStyle w:val="SingleTxtG"/>
        <w:keepLines/>
        <w:rPr>
          <w:lang w:val="fr-FR"/>
        </w:rPr>
      </w:pPr>
      <w:r>
        <w:rPr>
          <w:lang w:val="fr-FR"/>
        </w:rPr>
        <w:lastRenderedPageBreak/>
        <w:t>5.5</w:t>
      </w:r>
      <w:r>
        <w:rPr>
          <w:lang w:val="fr-FR"/>
        </w:rPr>
        <w:tab/>
        <w:t>Le</w:t>
      </w:r>
      <w:r w:rsidRPr="0043117F">
        <w:rPr>
          <w:lang w:val="fr-FR"/>
        </w:rPr>
        <w:t xml:space="preserve"> Comité</w:t>
      </w:r>
      <w:r>
        <w:rPr>
          <w:lang w:val="fr-FR"/>
        </w:rPr>
        <w:t>, notamment dans l’affaire</w:t>
      </w:r>
      <w:r w:rsidRPr="0043117F">
        <w:rPr>
          <w:lang w:val="fr-FR"/>
        </w:rPr>
        <w:t xml:space="preserve"> </w:t>
      </w:r>
      <w:proofErr w:type="spellStart"/>
      <w:r w:rsidRPr="007F7498">
        <w:rPr>
          <w:i/>
          <w:lang w:val="fr-FR"/>
        </w:rPr>
        <w:t>Jahani</w:t>
      </w:r>
      <w:proofErr w:type="spellEnd"/>
      <w:r w:rsidRPr="007F7498">
        <w:rPr>
          <w:i/>
          <w:lang w:val="fr-FR"/>
        </w:rPr>
        <w:t xml:space="preserve"> c</w:t>
      </w:r>
      <w:r>
        <w:rPr>
          <w:i/>
          <w:lang w:val="fr-FR"/>
        </w:rPr>
        <w:t>.</w:t>
      </w:r>
      <w:r w:rsidRPr="007F7498">
        <w:rPr>
          <w:i/>
          <w:lang w:val="fr-FR"/>
        </w:rPr>
        <w:t xml:space="preserve"> Suisse</w:t>
      </w:r>
      <w:r w:rsidRPr="002074C3">
        <w:rPr>
          <w:rStyle w:val="Appelnotedebasdep"/>
        </w:rPr>
        <w:footnoteReference w:id="13"/>
      </w:r>
      <w:r>
        <w:rPr>
          <w:lang w:val="fr-FR"/>
        </w:rPr>
        <w:t>, a estimé que le fait qu’</w:t>
      </w:r>
      <w:r w:rsidRPr="0043117F">
        <w:rPr>
          <w:lang w:val="fr-FR"/>
        </w:rPr>
        <w:t xml:space="preserve">un requérant </w:t>
      </w:r>
      <w:r>
        <w:rPr>
          <w:lang w:val="fr-FR"/>
        </w:rPr>
        <w:t>ayant déposé une seconde demande d’asile liée à la première n’</w:t>
      </w:r>
      <w:r w:rsidRPr="0043117F">
        <w:rPr>
          <w:lang w:val="fr-FR"/>
        </w:rPr>
        <w:t>a</w:t>
      </w:r>
      <w:r>
        <w:rPr>
          <w:lang w:val="fr-FR"/>
        </w:rPr>
        <w:t>va</w:t>
      </w:r>
      <w:r w:rsidRPr="0043117F">
        <w:rPr>
          <w:lang w:val="fr-FR"/>
        </w:rPr>
        <w:t>it pas déposé de recours lors de la première procédure n</w:t>
      </w:r>
      <w:r>
        <w:rPr>
          <w:lang w:val="fr-FR"/>
        </w:rPr>
        <w:t>’</w:t>
      </w:r>
      <w:r w:rsidRPr="0043117F">
        <w:rPr>
          <w:lang w:val="fr-FR"/>
        </w:rPr>
        <w:t xml:space="preserve">empêchait pas le Comité </w:t>
      </w:r>
      <w:r>
        <w:rPr>
          <w:lang w:val="fr-FR"/>
        </w:rPr>
        <w:t>d’</w:t>
      </w:r>
      <w:r w:rsidRPr="0043117F">
        <w:rPr>
          <w:lang w:val="fr-FR"/>
        </w:rPr>
        <w:t>examine</w:t>
      </w:r>
      <w:r>
        <w:rPr>
          <w:lang w:val="fr-FR"/>
        </w:rPr>
        <w:t>r</w:t>
      </w:r>
      <w:r w:rsidRPr="0043117F">
        <w:rPr>
          <w:lang w:val="fr-FR"/>
        </w:rPr>
        <w:t xml:space="preserve"> une </w:t>
      </w:r>
      <w:r>
        <w:rPr>
          <w:lang w:val="fr-FR"/>
        </w:rPr>
        <w:t>requête</w:t>
      </w:r>
      <w:r w:rsidRPr="0043117F">
        <w:rPr>
          <w:lang w:val="fr-FR"/>
        </w:rPr>
        <w:t xml:space="preserve"> sur la base des griefs développés l</w:t>
      </w:r>
      <w:r>
        <w:rPr>
          <w:lang w:val="fr-FR"/>
        </w:rPr>
        <w:t>ors de cette seconde procédure.</w:t>
      </w:r>
    </w:p>
    <w:p w14:paraId="2D2052B8" w14:textId="609E3E31" w:rsidR="007767F9" w:rsidRPr="00604993" w:rsidRDefault="007767F9" w:rsidP="007767F9">
      <w:pPr>
        <w:pStyle w:val="SingleTxtG"/>
        <w:rPr>
          <w:lang w:val="fr-FR"/>
        </w:rPr>
      </w:pPr>
      <w:r>
        <w:rPr>
          <w:lang w:val="fr-FR"/>
        </w:rPr>
        <w:t>5.6</w:t>
      </w:r>
      <w:r>
        <w:rPr>
          <w:lang w:val="fr-FR"/>
        </w:rPr>
        <w:tab/>
        <w:t>Le requérant indique</w:t>
      </w:r>
      <w:r w:rsidRPr="0043117F">
        <w:rPr>
          <w:lang w:val="fr-FR"/>
        </w:rPr>
        <w:t xml:space="preserve"> q</w:t>
      </w:r>
      <w:r>
        <w:rPr>
          <w:lang w:val="fr-FR"/>
        </w:rPr>
        <w:t xml:space="preserve">ue les </w:t>
      </w:r>
      <w:r w:rsidRPr="0043117F">
        <w:rPr>
          <w:lang w:val="fr-FR"/>
        </w:rPr>
        <w:t xml:space="preserve">prétendues nombreuses divergences relevées par le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sidRPr="0043117F">
        <w:rPr>
          <w:lang w:val="fr-FR"/>
        </w:rPr>
        <w:t xml:space="preserve"> étaient en réalité circonscrites à quatre phrases problématiques plus ou moins contig</w:t>
      </w:r>
      <w:r>
        <w:rPr>
          <w:lang w:val="fr-FR"/>
        </w:rPr>
        <w:t>uës</w:t>
      </w:r>
      <w:r w:rsidRPr="0043117F">
        <w:rPr>
          <w:lang w:val="fr-FR"/>
        </w:rPr>
        <w:t>.</w:t>
      </w:r>
      <w:r>
        <w:rPr>
          <w:lang w:val="fr-FR"/>
        </w:rPr>
        <w:t xml:space="preserve"> D’abord</w:t>
      </w:r>
      <w:r w:rsidRPr="0043117F">
        <w:rPr>
          <w:lang w:val="fr-FR"/>
        </w:rPr>
        <w:t xml:space="preserve">, et </w:t>
      </w:r>
      <w:r>
        <w:rPr>
          <w:lang w:val="fr-FR"/>
        </w:rPr>
        <w:t>contrairement à</w:t>
      </w:r>
      <w:r w:rsidRPr="0043117F">
        <w:rPr>
          <w:lang w:val="fr-FR"/>
        </w:rPr>
        <w:t xml:space="preserve"> ce qu</w:t>
      </w:r>
      <w:r>
        <w:rPr>
          <w:lang w:val="fr-FR"/>
        </w:rPr>
        <w:t>e l’État partie</w:t>
      </w:r>
      <w:r w:rsidRPr="0043117F">
        <w:rPr>
          <w:lang w:val="fr-FR"/>
        </w:rPr>
        <w:t xml:space="preserve"> prétend, les erreurs dénon</w:t>
      </w:r>
      <w:r>
        <w:rPr>
          <w:lang w:val="fr-FR"/>
        </w:rPr>
        <w:t>cées ne sont pas nombreuses </w:t>
      </w:r>
      <w:r w:rsidR="00000EA5">
        <w:rPr>
          <w:lang w:val="fr-FR"/>
        </w:rPr>
        <w:t>−</w:t>
      </w:r>
      <w:r>
        <w:rPr>
          <w:lang w:val="fr-FR"/>
        </w:rPr>
        <w:t xml:space="preserve"> il s’agit d’</w:t>
      </w:r>
      <w:r w:rsidRPr="0043117F">
        <w:rPr>
          <w:lang w:val="fr-FR"/>
        </w:rPr>
        <w:t>une erreur bien localisée et définie, liée</w:t>
      </w:r>
      <w:r>
        <w:rPr>
          <w:lang w:val="fr-FR"/>
        </w:rPr>
        <w:t xml:space="preserve"> à</w:t>
      </w:r>
      <w:r w:rsidRPr="0043117F">
        <w:rPr>
          <w:lang w:val="fr-FR"/>
        </w:rPr>
        <w:t xml:space="preserve"> la mauvaise traduction de la forme verbale de troi</w:t>
      </w:r>
      <w:r>
        <w:rPr>
          <w:lang w:val="fr-FR"/>
        </w:rPr>
        <w:t>s ou quatre phrases du farsi à l’</w:t>
      </w:r>
      <w:r w:rsidRPr="0043117F">
        <w:rPr>
          <w:lang w:val="fr-FR"/>
        </w:rPr>
        <w:t>allemand.</w:t>
      </w:r>
      <w:r>
        <w:rPr>
          <w:lang w:val="fr-FR"/>
        </w:rPr>
        <w:t xml:space="preserve"> Il </w:t>
      </w:r>
      <w:r w:rsidRPr="0043117F">
        <w:rPr>
          <w:lang w:val="fr-FR"/>
        </w:rPr>
        <w:t xml:space="preserve">ne fait </w:t>
      </w:r>
      <w:r>
        <w:rPr>
          <w:lang w:val="fr-FR"/>
        </w:rPr>
        <w:t>aucun</w:t>
      </w:r>
      <w:r w:rsidRPr="0043117F">
        <w:rPr>
          <w:lang w:val="fr-FR"/>
        </w:rPr>
        <w:t xml:space="preserve"> doute, par ailleurs, que le procès-verbal comporte un certain nom</w:t>
      </w:r>
      <w:r>
        <w:rPr>
          <w:lang w:val="fr-FR"/>
        </w:rPr>
        <w:t>bre d’approximations qui n’</w:t>
      </w:r>
      <w:r w:rsidRPr="0043117F">
        <w:rPr>
          <w:lang w:val="fr-FR"/>
        </w:rPr>
        <w:t>ont heureusement pas porté à conséquence.</w:t>
      </w:r>
    </w:p>
    <w:p w14:paraId="4C123482" w14:textId="31C4CE0B" w:rsidR="007767F9" w:rsidRPr="0043117F" w:rsidRDefault="007767F9" w:rsidP="007767F9">
      <w:pPr>
        <w:pStyle w:val="SingleTxtG"/>
        <w:rPr>
          <w:lang w:val="fr-FR"/>
        </w:rPr>
      </w:pPr>
      <w:r>
        <w:rPr>
          <w:lang w:val="fr-FR"/>
        </w:rPr>
        <w:t>5.7</w:t>
      </w:r>
      <w:r>
        <w:rPr>
          <w:lang w:val="fr-FR"/>
        </w:rPr>
        <w:tab/>
        <w:t>Le requérant poursuit en indiquant qu’il n’a pas été contesté, et qu’il n’</w:t>
      </w:r>
      <w:r w:rsidRPr="0043117F">
        <w:rPr>
          <w:lang w:val="fr-FR"/>
        </w:rPr>
        <w:t xml:space="preserve">est pas contestable par ailleurs, que, dans ses auditions cantonales de 2017, </w:t>
      </w:r>
      <w:r>
        <w:rPr>
          <w:lang w:val="fr-FR"/>
        </w:rPr>
        <w:t xml:space="preserve">il </w:t>
      </w:r>
      <w:r w:rsidRPr="0043117F">
        <w:rPr>
          <w:lang w:val="fr-FR"/>
        </w:rPr>
        <w:t xml:space="preserve">a été </w:t>
      </w:r>
      <w:r>
        <w:rPr>
          <w:lang w:val="fr-FR"/>
        </w:rPr>
        <w:t>en mesure</w:t>
      </w:r>
      <w:r w:rsidRPr="0043117F">
        <w:rPr>
          <w:lang w:val="fr-FR"/>
        </w:rPr>
        <w:t xml:space="preserve"> de fournir un récit complet et convaincant de so</w:t>
      </w:r>
      <w:r>
        <w:rPr>
          <w:lang w:val="fr-FR"/>
        </w:rPr>
        <w:t>n arrestation</w:t>
      </w:r>
      <w:r w:rsidRPr="0043117F">
        <w:rPr>
          <w:lang w:val="fr-FR"/>
        </w:rPr>
        <w:t xml:space="preserve"> et des </w:t>
      </w:r>
      <w:r>
        <w:rPr>
          <w:lang w:val="fr-FR"/>
        </w:rPr>
        <w:t>tortures subies dans son pays d’</w:t>
      </w:r>
      <w:r w:rsidRPr="0043117F">
        <w:rPr>
          <w:lang w:val="fr-FR"/>
        </w:rPr>
        <w:t>origine.</w:t>
      </w:r>
      <w:r>
        <w:rPr>
          <w:lang w:val="fr-FR"/>
        </w:rPr>
        <w:t xml:space="preserve"> Il n’</w:t>
      </w:r>
      <w:r w:rsidRPr="0043117F">
        <w:rPr>
          <w:lang w:val="fr-FR"/>
        </w:rPr>
        <w:t xml:space="preserve">a pas été contesté </w:t>
      </w:r>
      <w:r>
        <w:rPr>
          <w:lang w:val="fr-FR"/>
        </w:rPr>
        <w:t>que l</w:t>
      </w:r>
      <w:r w:rsidRPr="0043117F">
        <w:rPr>
          <w:lang w:val="fr-FR"/>
        </w:rPr>
        <w:t>es phrases problémat</w:t>
      </w:r>
      <w:r>
        <w:rPr>
          <w:lang w:val="fr-FR"/>
        </w:rPr>
        <w:t>iques, présentées dans le procès</w:t>
      </w:r>
      <w:r w:rsidR="00000EA5">
        <w:rPr>
          <w:lang w:val="fr-FR"/>
        </w:rPr>
        <w:noBreakHyphen/>
      </w:r>
      <w:r>
        <w:rPr>
          <w:lang w:val="fr-FR"/>
        </w:rPr>
        <w:t>verbal de</w:t>
      </w:r>
      <w:r w:rsidRPr="0043117F">
        <w:rPr>
          <w:lang w:val="fr-FR"/>
        </w:rPr>
        <w:t xml:space="preserve"> </w:t>
      </w:r>
      <w:r>
        <w:rPr>
          <w:lang w:val="fr-FR"/>
        </w:rPr>
        <w:t>la première</w:t>
      </w:r>
      <w:r w:rsidRPr="0043117F">
        <w:rPr>
          <w:lang w:val="fr-FR"/>
        </w:rPr>
        <w:t xml:space="preserve"> audition</w:t>
      </w:r>
      <w:r>
        <w:rPr>
          <w:lang w:val="fr-FR"/>
        </w:rPr>
        <w:t xml:space="preserve"> </w:t>
      </w:r>
      <w:r w:rsidRPr="0043117F">
        <w:rPr>
          <w:lang w:val="fr-FR"/>
        </w:rPr>
        <w:t>comme des faits réels, corre</w:t>
      </w:r>
      <w:r>
        <w:rPr>
          <w:lang w:val="fr-FR"/>
        </w:rPr>
        <w:t>spondaient presque mot pour mot à</w:t>
      </w:r>
      <w:r w:rsidRPr="0043117F">
        <w:rPr>
          <w:lang w:val="fr-FR"/>
        </w:rPr>
        <w:t xml:space="preserve"> ce que </w:t>
      </w:r>
      <w:r>
        <w:rPr>
          <w:lang w:val="fr-FR"/>
        </w:rPr>
        <w:t>le requérant</w:t>
      </w:r>
      <w:r w:rsidRPr="0043117F">
        <w:rPr>
          <w:lang w:val="fr-FR"/>
        </w:rPr>
        <w:t xml:space="preserve"> </w:t>
      </w:r>
      <w:r>
        <w:rPr>
          <w:lang w:val="fr-FR"/>
        </w:rPr>
        <w:t xml:space="preserve">avait </w:t>
      </w:r>
      <w:r w:rsidRPr="0043117F">
        <w:rPr>
          <w:lang w:val="fr-FR"/>
        </w:rPr>
        <w:t xml:space="preserve">décrit dans </w:t>
      </w:r>
      <w:r>
        <w:rPr>
          <w:lang w:val="fr-FR"/>
        </w:rPr>
        <w:t>les auditions suivantes</w:t>
      </w:r>
      <w:r w:rsidRPr="0043117F">
        <w:rPr>
          <w:lang w:val="fr-FR"/>
        </w:rPr>
        <w:t xml:space="preserve"> comme éta</w:t>
      </w:r>
      <w:r>
        <w:rPr>
          <w:lang w:val="fr-FR"/>
        </w:rPr>
        <w:t>nt les accusations de la police</w:t>
      </w:r>
      <w:r w:rsidRPr="0043117F">
        <w:rPr>
          <w:lang w:val="fr-FR"/>
        </w:rPr>
        <w:t xml:space="preserve"> secrète à son </w:t>
      </w:r>
      <w:r>
        <w:rPr>
          <w:lang w:val="fr-FR"/>
        </w:rPr>
        <w:t>égard</w:t>
      </w:r>
      <w:r w:rsidRPr="0043117F">
        <w:rPr>
          <w:lang w:val="fr-FR"/>
        </w:rPr>
        <w:t>.</w:t>
      </w:r>
      <w:r>
        <w:rPr>
          <w:lang w:val="fr-FR"/>
        </w:rPr>
        <w:t xml:space="preserve"> Les</w:t>
      </w:r>
      <w:r w:rsidRPr="0043117F">
        <w:rPr>
          <w:lang w:val="fr-FR"/>
        </w:rPr>
        <w:t xml:space="preserve"> autorités </w:t>
      </w:r>
      <w:r>
        <w:rPr>
          <w:lang w:val="fr-FR"/>
        </w:rPr>
        <w:t>de l’État partie</w:t>
      </w:r>
      <w:r w:rsidRPr="0043117F">
        <w:rPr>
          <w:lang w:val="fr-FR"/>
        </w:rPr>
        <w:t xml:space="preserve"> ne pouvaient </w:t>
      </w:r>
      <w:r>
        <w:rPr>
          <w:lang w:val="fr-FR"/>
        </w:rPr>
        <w:t xml:space="preserve">donc </w:t>
      </w:r>
      <w:r w:rsidRPr="0043117F">
        <w:rPr>
          <w:lang w:val="fr-FR"/>
        </w:rPr>
        <w:t>en aucun cas se permettre de rejeter la demande sans i</w:t>
      </w:r>
      <w:r>
        <w:rPr>
          <w:lang w:val="fr-FR"/>
        </w:rPr>
        <w:t xml:space="preserve">nstruire plus avant le dossier. </w:t>
      </w:r>
      <w:r w:rsidRPr="0043117F">
        <w:rPr>
          <w:lang w:val="fr-FR"/>
        </w:rPr>
        <w:t xml:space="preserve">Le simple bon sens aurait dû </w:t>
      </w:r>
      <w:r>
        <w:rPr>
          <w:lang w:val="fr-FR"/>
        </w:rPr>
        <w:t xml:space="preserve">les </w:t>
      </w:r>
      <w:r w:rsidRPr="0043117F">
        <w:rPr>
          <w:lang w:val="fr-FR"/>
        </w:rPr>
        <w:t>pousser à poursuivre leur enquête, en</w:t>
      </w:r>
      <w:r>
        <w:rPr>
          <w:lang w:val="fr-FR"/>
        </w:rPr>
        <w:t xml:space="preserve"> ordonnant la réalisation d’un examen médical complémentaire, ce qu’</w:t>
      </w:r>
      <w:r w:rsidRPr="0043117F">
        <w:rPr>
          <w:lang w:val="fr-FR"/>
        </w:rPr>
        <w:t>elles ont toujours refusé de faire.</w:t>
      </w:r>
    </w:p>
    <w:p w14:paraId="71754CFE" w14:textId="712BC84B" w:rsidR="007767F9" w:rsidRPr="0043117F" w:rsidRDefault="007767F9" w:rsidP="007767F9">
      <w:pPr>
        <w:pStyle w:val="SingleTxtG"/>
        <w:rPr>
          <w:lang w:val="fr-FR"/>
        </w:rPr>
      </w:pPr>
      <w:r>
        <w:rPr>
          <w:lang w:val="fr-FR"/>
        </w:rPr>
        <w:t>5.8</w:t>
      </w:r>
      <w:r>
        <w:rPr>
          <w:lang w:val="fr-FR"/>
        </w:rPr>
        <w:tab/>
      </w:r>
      <w:r w:rsidRPr="0043117F">
        <w:rPr>
          <w:lang w:val="fr-FR"/>
        </w:rPr>
        <w:t>En outre, le Comité a rappelé à maintes reprises</w:t>
      </w:r>
      <w:r>
        <w:rPr>
          <w:lang w:val="fr-FR"/>
        </w:rPr>
        <w:t xml:space="preserve"> à</w:t>
      </w:r>
      <w:r w:rsidRPr="0043117F">
        <w:rPr>
          <w:lang w:val="fr-FR"/>
        </w:rPr>
        <w:t xml:space="preserve"> </w:t>
      </w:r>
      <w:r>
        <w:rPr>
          <w:lang w:val="fr-FR"/>
        </w:rPr>
        <w:t>l’État partie qu’</w:t>
      </w:r>
      <w:r w:rsidRPr="0043117F">
        <w:rPr>
          <w:lang w:val="fr-FR"/>
        </w:rPr>
        <w:t>il ne suffi</w:t>
      </w:r>
      <w:r>
        <w:rPr>
          <w:lang w:val="fr-FR"/>
        </w:rPr>
        <w:t>sai</w:t>
      </w:r>
      <w:r w:rsidRPr="0043117F">
        <w:rPr>
          <w:lang w:val="fr-FR"/>
        </w:rPr>
        <w:t>t pas de constater la présence de prétendu</w:t>
      </w:r>
      <w:r>
        <w:rPr>
          <w:lang w:val="fr-FR"/>
        </w:rPr>
        <w:t>es incohérences dans le récit d’un requérant pour conclure qu’il n’</w:t>
      </w:r>
      <w:r w:rsidRPr="0043117F">
        <w:rPr>
          <w:lang w:val="fr-FR"/>
        </w:rPr>
        <w:t>exist</w:t>
      </w:r>
      <w:r>
        <w:rPr>
          <w:lang w:val="fr-FR"/>
        </w:rPr>
        <w:t>ait</w:t>
      </w:r>
      <w:r w:rsidRPr="0043117F">
        <w:rPr>
          <w:lang w:val="fr-FR"/>
        </w:rPr>
        <w:t xml:space="preserve"> pas de risques de </w:t>
      </w:r>
      <w:r>
        <w:rPr>
          <w:lang w:val="fr-FR"/>
        </w:rPr>
        <w:t>torture en cas de retour forcé</w:t>
      </w:r>
      <w:r w:rsidR="00627D27">
        <w:rPr>
          <w:lang w:val="fr-FR"/>
        </w:rPr>
        <w:t> ;</w:t>
      </w:r>
      <w:r>
        <w:rPr>
          <w:lang w:val="fr-FR"/>
        </w:rPr>
        <w:t xml:space="preserve"> il ne s’agit que d’un critère parmi d’</w:t>
      </w:r>
      <w:r w:rsidRPr="0043117F">
        <w:rPr>
          <w:lang w:val="fr-FR"/>
        </w:rPr>
        <w:t>autres, la cause devant toujours fair</w:t>
      </w:r>
      <w:r>
        <w:rPr>
          <w:lang w:val="fr-FR"/>
        </w:rPr>
        <w:t>e l’objet d’une analyse globale</w:t>
      </w:r>
      <w:r w:rsidRPr="002074C3">
        <w:rPr>
          <w:rStyle w:val="Appelnotedebasdep"/>
        </w:rPr>
        <w:footnoteReference w:id="14"/>
      </w:r>
      <w:r>
        <w:rPr>
          <w:lang w:val="fr-FR"/>
        </w:rPr>
        <w:t>. Il n’</w:t>
      </w:r>
      <w:r w:rsidRPr="0043117F">
        <w:rPr>
          <w:lang w:val="fr-FR"/>
        </w:rPr>
        <w:t>était pas non plus admissible de maintenir</w:t>
      </w:r>
      <w:r>
        <w:rPr>
          <w:lang w:val="fr-FR"/>
        </w:rPr>
        <w:t xml:space="preserve"> sa position alors qu’</w:t>
      </w:r>
      <w:r w:rsidRPr="0043117F">
        <w:rPr>
          <w:lang w:val="fr-FR"/>
        </w:rPr>
        <w:t xml:space="preserve">une explication précise et convaincante et des témoignages écrits </w:t>
      </w:r>
      <w:r>
        <w:rPr>
          <w:lang w:val="fr-FR"/>
        </w:rPr>
        <w:t>avaient</w:t>
      </w:r>
      <w:r w:rsidRPr="0043117F">
        <w:rPr>
          <w:lang w:val="fr-FR"/>
        </w:rPr>
        <w:t xml:space="preserve"> été fournis pour exp</w:t>
      </w:r>
      <w:r>
        <w:rPr>
          <w:lang w:val="fr-FR"/>
        </w:rPr>
        <w:t>liquer l’origine de l’erreur.</w:t>
      </w:r>
      <w:r w:rsidRPr="0043117F">
        <w:rPr>
          <w:lang w:val="fr-FR"/>
        </w:rPr>
        <w:t xml:space="preserve"> </w:t>
      </w:r>
    </w:p>
    <w:p w14:paraId="3C17B073" w14:textId="77777777" w:rsidR="007767F9" w:rsidRPr="0043117F" w:rsidRDefault="007767F9" w:rsidP="007767F9">
      <w:pPr>
        <w:pStyle w:val="SingleTxtG"/>
        <w:rPr>
          <w:lang w:val="fr-FR"/>
        </w:rPr>
      </w:pPr>
      <w:r>
        <w:rPr>
          <w:lang w:val="fr-FR"/>
        </w:rPr>
        <w:t>5.9</w:t>
      </w:r>
      <w:r>
        <w:rPr>
          <w:lang w:val="fr-FR"/>
        </w:rPr>
        <w:tab/>
        <w:t>Le</w:t>
      </w:r>
      <w:r w:rsidRPr="00BD6482">
        <w:rPr>
          <w:lang w:val="fr-FR"/>
        </w:rPr>
        <w:t xml:space="preserve"> 20 juin 2019</w:t>
      </w:r>
      <w:r>
        <w:rPr>
          <w:lang w:val="fr-FR"/>
        </w:rPr>
        <w:t xml:space="preserve">, le requérant a dénoncé le manque de compétence et d’impartialité des interprètes travaillant pour le compte du </w:t>
      </w:r>
      <w:r w:rsidRPr="007F7498">
        <w:rPr>
          <w:lang w:val="fr-FR"/>
        </w:rPr>
        <w:t>Sec</w:t>
      </w:r>
      <w:r>
        <w:rPr>
          <w:lang w:val="fr-FR"/>
        </w:rPr>
        <w:t>rétariat d’</w:t>
      </w:r>
      <w:r w:rsidRPr="007F7498">
        <w:rPr>
          <w:lang w:val="fr-FR"/>
        </w:rPr>
        <w:t>É</w:t>
      </w:r>
      <w:r>
        <w:rPr>
          <w:lang w:val="fr-FR"/>
        </w:rPr>
        <w:t>t</w:t>
      </w:r>
      <w:r w:rsidRPr="007F7498">
        <w:rPr>
          <w:lang w:val="fr-FR"/>
        </w:rPr>
        <w:t xml:space="preserve">at aux </w:t>
      </w:r>
      <w:r>
        <w:rPr>
          <w:lang w:val="fr-FR"/>
        </w:rPr>
        <w:t>m</w:t>
      </w:r>
      <w:r w:rsidRPr="007F7498">
        <w:rPr>
          <w:lang w:val="fr-FR"/>
        </w:rPr>
        <w:t>igrations</w:t>
      </w:r>
      <w:r>
        <w:rPr>
          <w:lang w:val="fr-FR"/>
        </w:rPr>
        <w:t>.</w:t>
      </w:r>
    </w:p>
    <w:p w14:paraId="73D8EF23" w14:textId="77777777" w:rsidR="007767F9" w:rsidRPr="005864B9" w:rsidRDefault="007767F9" w:rsidP="007767F9">
      <w:pPr>
        <w:pStyle w:val="H23G"/>
        <w:rPr>
          <w:lang w:val="fr-FR"/>
        </w:rPr>
      </w:pPr>
      <w:r>
        <w:rPr>
          <w:lang w:val="fr-FR"/>
        </w:rPr>
        <w:tab/>
      </w:r>
      <w:r>
        <w:rPr>
          <w:lang w:val="fr-FR"/>
        </w:rPr>
        <w:tab/>
      </w:r>
      <w:r w:rsidRPr="005864B9">
        <w:rPr>
          <w:lang w:val="fr-FR"/>
        </w:rPr>
        <w:t>Observations complémentaires de l</w:t>
      </w:r>
      <w:r>
        <w:rPr>
          <w:lang w:val="fr-FR"/>
        </w:rPr>
        <w:t>’</w:t>
      </w:r>
      <w:r w:rsidRPr="005864B9">
        <w:rPr>
          <w:lang w:val="fr-FR"/>
        </w:rPr>
        <w:t>É</w:t>
      </w:r>
      <w:r>
        <w:rPr>
          <w:lang w:val="fr-FR"/>
        </w:rPr>
        <w:t>t</w:t>
      </w:r>
      <w:r w:rsidRPr="005864B9">
        <w:rPr>
          <w:lang w:val="fr-FR"/>
        </w:rPr>
        <w:t>at partie</w:t>
      </w:r>
    </w:p>
    <w:p w14:paraId="645AF6DE" w14:textId="77777777" w:rsidR="007767F9" w:rsidRPr="001F7F70" w:rsidRDefault="007767F9" w:rsidP="007767F9">
      <w:pPr>
        <w:pStyle w:val="SingleTxtG"/>
        <w:rPr>
          <w:lang w:val="fr-FR"/>
        </w:rPr>
      </w:pPr>
      <w:r>
        <w:rPr>
          <w:lang w:val="fr-FR"/>
        </w:rPr>
        <w:t>6.</w:t>
      </w:r>
      <w:r>
        <w:rPr>
          <w:lang w:val="fr-FR"/>
        </w:rPr>
        <w:tab/>
        <w:t>Le 14 août 2020, l’État partie a soumis des observations complémentaires, indiquant que les commentaires du requérant datés des</w:t>
      </w:r>
      <w:r w:rsidRPr="001F7F70">
        <w:rPr>
          <w:lang w:val="fr-FR"/>
        </w:rPr>
        <w:t xml:space="preserve"> </w:t>
      </w:r>
      <w:r>
        <w:rPr>
          <w:lang w:val="fr-FR"/>
        </w:rPr>
        <w:t>8 février et 20 juin 2019 ne contenaient pas d’</w:t>
      </w:r>
      <w:r w:rsidRPr="001F7F70">
        <w:rPr>
          <w:lang w:val="fr-FR"/>
        </w:rPr>
        <w:t>éléments susceptibles de rem</w:t>
      </w:r>
      <w:r>
        <w:rPr>
          <w:lang w:val="fr-FR"/>
        </w:rPr>
        <w:t>ettre en question la position de l’État partie. En particulier, l’État partie explique le processus de sélection des interprètes.</w:t>
      </w:r>
    </w:p>
    <w:p w14:paraId="10BD84E2" w14:textId="77777777" w:rsidR="007767F9" w:rsidRPr="00063523" w:rsidRDefault="007767F9" w:rsidP="007767F9">
      <w:pPr>
        <w:pStyle w:val="H23G"/>
        <w:rPr>
          <w:lang w:val="fr-FR"/>
        </w:rPr>
      </w:pPr>
      <w:r w:rsidRPr="00A934F4">
        <w:rPr>
          <w:lang w:val="fr-FR"/>
        </w:rPr>
        <w:tab/>
      </w:r>
      <w:r w:rsidRPr="00A934F4">
        <w:rPr>
          <w:lang w:val="fr-FR"/>
        </w:rPr>
        <w:tab/>
        <w:t>Commentaires d</w:t>
      </w:r>
      <w:r>
        <w:rPr>
          <w:lang w:val="fr-FR"/>
        </w:rPr>
        <w:t>u</w:t>
      </w:r>
      <w:r w:rsidRPr="00A934F4">
        <w:rPr>
          <w:lang w:val="fr-FR"/>
        </w:rPr>
        <w:t xml:space="preserve"> requérant sur les observations</w:t>
      </w:r>
      <w:r>
        <w:rPr>
          <w:lang w:val="fr-FR"/>
        </w:rPr>
        <w:t xml:space="preserve"> complémentaires </w:t>
      </w:r>
      <w:r w:rsidRPr="00A934F4">
        <w:rPr>
          <w:lang w:val="fr-FR"/>
        </w:rPr>
        <w:t>de l</w:t>
      </w:r>
      <w:r>
        <w:rPr>
          <w:lang w:val="fr-FR"/>
        </w:rPr>
        <w:t>’</w:t>
      </w:r>
      <w:r w:rsidRPr="00A934F4">
        <w:rPr>
          <w:lang w:val="fr-FR"/>
        </w:rPr>
        <w:t>État partie</w:t>
      </w:r>
    </w:p>
    <w:p w14:paraId="519F8A99" w14:textId="77777777" w:rsidR="007767F9" w:rsidRDefault="007767F9" w:rsidP="007767F9">
      <w:pPr>
        <w:pStyle w:val="SingleTxtG"/>
        <w:rPr>
          <w:lang w:val="fr-FR"/>
        </w:rPr>
      </w:pPr>
      <w:r>
        <w:rPr>
          <w:lang w:val="fr-FR"/>
        </w:rPr>
        <w:t>7.</w:t>
      </w:r>
      <w:r w:rsidRPr="00A934F4">
        <w:rPr>
          <w:lang w:val="fr-FR"/>
        </w:rPr>
        <w:tab/>
      </w:r>
      <w:r>
        <w:rPr>
          <w:lang w:val="fr-FR"/>
        </w:rPr>
        <w:t>Dans ses commentaires du</w:t>
      </w:r>
      <w:r w:rsidRPr="00A934F4">
        <w:rPr>
          <w:lang w:val="fr-FR"/>
        </w:rPr>
        <w:t xml:space="preserve"> </w:t>
      </w:r>
      <w:r>
        <w:rPr>
          <w:lang w:val="fr-FR"/>
        </w:rPr>
        <w:t>21 décembre 2021</w:t>
      </w:r>
      <w:r w:rsidRPr="00A934F4">
        <w:rPr>
          <w:lang w:val="fr-FR"/>
        </w:rPr>
        <w:t>, l</w:t>
      </w:r>
      <w:r>
        <w:rPr>
          <w:lang w:val="fr-FR"/>
        </w:rPr>
        <w:t>e</w:t>
      </w:r>
      <w:r w:rsidRPr="00A934F4">
        <w:rPr>
          <w:lang w:val="fr-FR"/>
        </w:rPr>
        <w:t xml:space="preserve"> requérant </w:t>
      </w:r>
      <w:r w:rsidRPr="004E6987">
        <w:rPr>
          <w:lang w:val="fr-FR"/>
        </w:rPr>
        <w:t>reprend les arguments qu</w:t>
      </w:r>
      <w:r>
        <w:rPr>
          <w:lang w:val="fr-FR"/>
        </w:rPr>
        <w:t>’</w:t>
      </w:r>
      <w:r w:rsidRPr="004E6987">
        <w:rPr>
          <w:lang w:val="fr-FR"/>
        </w:rPr>
        <w:t>il avait présenté</w:t>
      </w:r>
      <w:r>
        <w:rPr>
          <w:lang w:val="fr-FR"/>
        </w:rPr>
        <w:t>s</w:t>
      </w:r>
      <w:r w:rsidRPr="004E6987">
        <w:rPr>
          <w:lang w:val="fr-FR"/>
        </w:rPr>
        <w:t xml:space="preserve"> </w:t>
      </w:r>
      <w:r>
        <w:rPr>
          <w:lang w:val="fr-FR"/>
        </w:rPr>
        <w:t>dans</w:t>
      </w:r>
      <w:r w:rsidRPr="004E6987">
        <w:rPr>
          <w:lang w:val="fr-FR"/>
        </w:rPr>
        <w:t xml:space="preserve"> sa soumission initiale.</w:t>
      </w:r>
      <w:r>
        <w:rPr>
          <w:lang w:val="fr-FR"/>
        </w:rPr>
        <w:t xml:space="preserve"> De plus, il considère </w:t>
      </w:r>
      <w:r w:rsidRPr="00063523">
        <w:rPr>
          <w:lang w:val="fr-FR"/>
        </w:rPr>
        <w:t xml:space="preserve">que </w:t>
      </w:r>
      <w:r>
        <w:rPr>
          <w:lang w:val="fr-FR"/>
        </w:rPr>
        <w:t>l</w:t>
      </w:r>
      <w:r w:rsidRPr="00063523">
        <w:rPr>
          <w:lang w:val="fr-FR"/>
        </w:rPr>
        <w:t>es interprètes ne sont ni formés ni capables de répondre à une situation qui sor</w:t>
      </w:r>
      <w:r>
        <w:rPr>
          <w:lang w:val="fr-FR"/>
        </w:rPr>
        <w:t>tirait des créneaux habituels d’</w:t>
      </w:r>
      <w:r w:rsidRPr="00063523">
        <w:rPr>
          <w:lang w:val="fr-FR"/>
        </w:rPr>
        <w:t>une a</w:t>
      </w:r>
      <w:r>
        <w:rPr>
          <w:lang w:val="fr-FR"/>
        </w:rPr>
        <w:t>udition d’un requérant d’asile.</w:t>
      </w:r>
    </w:p>
    <w:p w14:paraId="7094E7C5" w14:textId="77777777" w:rsidR="007767F9" w:rsidRDefault="007767F9" w:rsidP="007767F9">
      <w:pPr>
        <w:pStyle w:val="H23G"/>
        <w:rPr>
          <w:lang w:val="fr-FR"/>
        </w:rPr>
      </w:pPr>
      <w:r>
        <w:rPr>
          <w:lang w:val="fr-FR"/>
        </w:rPr>
        <w:tab/>
      </w:r>
      <w:r>
        <w:rPr>
          <w:lang w:val="fr-FR"/>
        </w:rPr>
        <w:tab/>
      </w:r>
      <w:r w:rsidRPr="00D1699A">
        <w:rPr>
          <w:lang w:val="fr-FR"/>
        </w:rPr>
        <w:t>Délibérations du Comité</w:t>
      </w:r>
    </w:p>
    <w:p w14:paraId="1B8C68C1" w14:textId="77777777" w:rsidR="007767F9" w:rsidRPr="00D1699A" w:rsidRDefault="007767F9" w:rsidP="007767F9">
      <w:pPr>
        <w:pStyle w:val="H4G"/>
        <w:rPr>
          <w:b/>
          <w:lang w:val="fr-FR"/>
        </w:rPr>
      </w:pPr>
      <w:r>
        <w:rPr>
          <w:lang w:val="fr-FR"/>
        </w:rPr>
        <w:tab/>
      </w:r>
      <w:r>
        <w:rPr>
          <w:lang w:val="fr-FR"/>
        </w:rPr>
        <w:tab/>
      </w:r>
      <w:r w:rsidRPr="00D1699A">
        <w:rPr>
          <w:lang w:val="fr-FR"/>
        </w:rPr>
        <w:t>Examen de la recevabilité</w:t>
      </w:r>
    </w:p>
    <w:p w14:paraId="749B7513" w14:textId="28767DF3" w:rsidR="007767F9" w:rsidRDefault="007767F9" w:rsidP="007767F9">
      <w:pPr>
        <w:pStyle w:val="SingleTxtG"/>
        <w:rPr>
          <w:b/>
          <w:lang w:val="fr-FR"/>
        </w:rPr>
      </w:pPr>
      <w:r>
        <w:rPr>
          <w:lang w:val="fr-FR"/>
        </w:rPr>
        <w:t>8</w:t>
      </w:r>
      <w:r w:rsidRPr="00A934F4">
        <w:rPr>
          <w:lang w:val="fr-FR"/>
        </w:rPr>
        <w:t>.1</w:t>
      </w:r>
      <w:r w:rsidRPr="00A934F4">
        <w:rPr>
          <w:lang w:val="fr-FR"/>
        </w:rPr>
        <w:tab/>
        <w:t>Avant d</w:t>
      </w:r>
      <w:r>
        <w:rPr>
          <w:lang w:val="fr-FR"/>
        </w:rPr>
        <w:t>’</w:t>
      </w:r>
      <w:r w:rsidRPr="00A934F4">
        <w:rPr>
          <w:lang w:val="fr-FR"/>
        </w:rPr>
        <w:t>examiner tout grief formulé dans une communication, le Comité doit déterminer s</w:t>
      </w:r>
      <w:r>
        <w:rPr>
          <w:lang w:val="fr-FR"/>
        </w:rPr>
        <w:t>’</w:t>
      </w:r>
      <w:r w:rsidRPr="00A934F4">
        <w:rPr>
          <w:lang w:val="fr-FR"/>
        </w:rPr>
        <w:t>il est recevable au regard de l</w:t>
      </w:r>
      <w:r>
        <w:rPr>
          <w:lang w:val="fr-FR"/>
        </w:rPr>
        <w:t>’</w:t>
      </w:r>
      <w:r w:rsidRPr="00A934F4">
        <w:rPr>
          <w:lang w:val="fr-FR"/>
        </w:rPr>
        <w:t>article 22 de la Convention. Le Comité s</w:t>
      </w:r>
      <w:r>
        <w:rPr>
          <w:lang w:val="fr-FR"/>
        </w:rPr>
        <w:t>’</w:t>
      </w:r>
      <w:r w:rsidRPr="00A934F4">
        <w:rPr>
          <w:lang w:val="fr-FR"/>
        </w:rPr>
        <w:t>est assuré, comme l</w:t>
      </w:r>
      <w:r>
        <w:rPr>
          <w:lang w:val="fr-FR"/>
        </w:rPr>
        <w:t>’</w:t>
      </w:r>
      <w:r w:rsidRPr="00A934F4">
        <w:rPr>
          <w:lang w:val="fr-FR"/>
        </w:rPr>
        <w:t>article 22 (par.</w:t>
      </w:r>
      <w:r w:rsidR="00C410B4">
        <w:rPr>
          <w:lang w:val="fr-FR"/>
        </w:rPr>
        <w:t> </w:t>
      </w:r>
      <w:r w:rsidRPr="00A934F4">
        <w:rPr>
          <w:lang w:val="fr-FR"/>
        </w:rPr>
        <w:t>5</w:t>
      </w:r>
      <w:r w:rsidR="00C410B4">
        <w:rPr>
          <w:lang w:val="fr-FR"/>
        </w:rPr>
        <w:t> </w:t>
      </w:r>
      <w:r w:rsidRPr="00A934F4">
        <w:rPr>
          <w:lang w:val="fr-FR"/>
        </w:rPr>
        <w:t>a)) de la Convention lui en fait l</w:t>
      </w:r>
      <w:r>
        <w:rPr>
          <w:lang w:val="fr-FR"/>
        </w:rPr>
        <w:t>’</w:t>
      </w:r>
      <w:r w:rsidRPr="00A934F4">
        <w:rPr>
          <w:lang w:val="fr-FR"/>
        </w:rPr>
        <w:t>obligation, que la même question n</w:t>
      </w:r>
      <w:r>
        <w:rPr>
          <w:lang w:val="fr-FR"/>
        </w:rPr>
        <w:t>’</w:t>
      </w:r>
      <w:r w:rsidRPr="00A934F4">
        <w:rPr>
          <w:lang w:val="fr-FR"/>
        </w:rPr>
        <w:t>a pas été examinée et n</w:t>
      </w:r>
      <w:r>
        <w:rPr>
          <w:lang w:val="fr-FR"/>
        </w:rPr>
        <w:t>’</w:t>
      </w:r>
      <w:r w:rsidRPr="00A934F4">
        <w:rPr>
          <w:lang w:val="fr-FR"/>
        </w:rPr>
        <w:t>est pas en cours d</w:t>
      </w:r>
      <w:r>
        <w:rPr>
          <w:lang w:val="fr-FR"/>
        </w:rPr>
        <w:t>’</w:t>
      </w:r>
      <w:r w:rsidRPr="00A934F4">
        <w:rPr>
          <w:lang w:val="fr-FR"/>
        </w:rPr>
        <w:t>examen devant une autre instance internationale d</w:t>
      </w:r>
      <w:r>
        <w:rPr>
          <w:lang w:val="fr-FR"/>
        </w:rPr>
        <w:t>’</w:t>
      </w:r>
      <w:r w:rsidRPr="00A934F4">
        <w:rPr>
          <w:lang w:val="fr-FR"/>
        </w:rPr>
        <w:t>enquête ou de règlement.</w:t>
      </w:r>
    </w:p>
    <w:p w14:paraId="0AE74641" w14:textId="4C2CC2EB" w:rsidR="007767F9" w:rsidRDefault="007767F9" w:rsidP="00331637">
      <w:pPr>
        <w:pStyle w:val="SingleTxtG"/>
        <w:keepLines/>
        <w:rPr>
          <w:lang w:val="fr-FR"/>
        </w:rPr>
      </w:pPr>
      <w:r>
        <w:rPr>
          <w:lang w:val="fr-FR"/>
        </w:rPr>
        <w:lastRenderedPageBreak/>
        <w:t>8</w:t>
      </w:r>
      <w:r w:rsidRPr="00A934F4">
        <w:rPr>
          <w:lang w:val="fr-FR"/>
        </w:rPr>
        <w:t>.2</w:t>
      </w:r>
      <w:r w:rsidRPr="00A934F4">
        <w:rPr>
          <w:lang w:val="fr-FR"/>
        </w:rPr>
        <w:tab/>
        <w:t>Le Comité rappelle que, conformément à l</w:t>
      </w:r>
      <w:r>
        <w:rPr>
          <w:lang w:val="fr-FR"/>
        </w:rPr>
        <w:t>’</w:t>
      </w:r>
      <w:r w:rsidRPr="00A934F4">
        <w:rPr>
          <w:lang w:val="fr-FR"/>
        </w:rPr>
        <w:t>article 22 (par.</w:t>
      </w:r>
      <w:r w:rsidR="00CF479E">
        <w:rPr>
          <w:lang w:val="fr-FR"/>
        </w:rPr>
        <w:t> </w:t>
      </w:r>
      <w:r w:rsidRPr="00A934F4">
        <w:rPr>
          <w:lang w:val="fr-FR"/>
        </w:rPr>
        <w:t>5</w:t>
      </w:r>
      <w:r w:rsidR="00CF479E">
        <w:rPr>
          <w:lang w:val="fr-FR"/>
        </w:rPr>
        <w:t> </w:t>
      </w:r>
      <w:r w:rsidRPr="00A934F4">
        <w:rPr>
          <w:lang w:val="fr-FR"/>
        </w:rPr>
        <w:t>b)) de la Convention, il n</w:t>
      </w:r>
      <w:r>
        <w:rPr>
          <w:lang w:val="fr-FR"/>
        </w:rPr>
        <w:t>’</w:t>
      </w:r>
      <w:r w:rsidRPr="00A934F4">
        <w:rPr>
          <w:lang w:val="fr-FR"/>
        </w:rPr>
        <w:t>examine aucune communication d</w:t>
      </w:r>
      <w:r>
        <w:rPr>
          <w:lang w:val="fr-FR"/>
        </w:rPr>
        <w:t>’</w:t>
      </w:r>
      <w:r w:rsidRPr="00A934F4">
        <w:rPr>
          <w:lang w:val="fr-FR"/>
        </w:rPr>
        <w:t>un particulier sans s</w:t>
      </w:r>
      <w:r>
        <w:rPr>
          <w:lang w:val="fr-FR"/>
        </w:rPr>
        <w:t>’</w:t>
      </w:r>
      <w:r w:rsidRPr="00A934F4">
        <w:rPr>
          <w:lang w:val="fr-FR"/>
        </w:rPr>
        <w:t xml:space="preserve">être assuré que celui-ci a épuisé tous les recours internes disponibles. </w:t>
      </w:r>
      <w:r>
        <w:rPr>
          <w:lang w:val="fr-FR"/>
        </w:rPr>
        <w:t xml:space="preserve">En l’espèce, il note l’argument de l’État partie selon lequel le requérant n’aurait pas épuisé les voies de recours disponibles, </w:t>
      </w:r>
      <w:r w:rsidRPr="005E1C3F">
        <w:rPr>
          <w:lang w:val="fr-FR"/>
        </w:rPr>
        <w:t xml:space="preserve">car </w:t>
      </w:r>
      <w:r w:rsidRPr="00B31AA9">
        <w:rPr>
          <w:lang w:val="fr-FR"/>
        </w:rPr>
        <w:t xml:space="preserve">le recours intenté devant le </w:t>
      </w:r>
      <w:r>
        <w:rPr>
          <w:lang w:val="fr-FR"/>
        </w:rPr>
        <w:t>Tribunal administratif fédéral</w:t>
      </w:r>
      <w:r w:rsidRPr="00B31AA9">
        <w:rPr>
          <w:lang w:val="fr-FR"/>
        </w:rPr>
        <w:t xml:space="preserve"> a é</w:t>
      </w:r>
      <w:r>
        <w:rPr>
          <w:lang w:val="fr-FR"/>
        </w:rPr>
        <w:t>té déclaré irrecevable parce qu’</w:t>
      </w:r>
      <w:r w:rsidRPr="00B31AA9">
        <w:rPr>
          <w:lang w:val="fr-FR"/>
        </w:rPr>
        <w:t xml:space="preserve">il était tardif, et que la demande de restitution de délai, déposée le 30 août 2017 auprès du </w:t>
      </w:r>
      <w:r>
        <w:rPr>
          <w:lang w:val="fr-FR"/>
        </w:rPr>
        <w:t>Tribunal</w:t>
      </w:r>
      <w:r w:rsidRPr="00B31AA9">
        <w:rPr>
          <w:lang w:val="fr-FR"/>
        </w:rPr>
        <w:t xml:space="preserve"> p</w:t>
      </w:r>
      <w:r>
        <w:rPr>
          <w:lang w:val="fr-FR"/>
        </w:rPr>
        <w:t>ar le requérant, ne concerne qu’</w:t>
      </w:r>
      <w:r w:rsidRPr="00B31AA9">
        <w:rPr>
          <w:lang w:val="fr-FR"/>
        </w:rPr>
        <w:t>un aspect formel, et ne peut donc pas être cons</w:t>
      </w:r>
      <w:r>
        <w:rPr>
          <w:lang w:val="fr-FR"/>
        </w:rPr>
        <w:t>idérée comme la mise en œuvre d’</w:t>
      </w:r>
      <w:r w:rsidRPr="00B31AA9">
        <w:rPr>
          <w:lang w:val="fr-FR"/>
        </w:rPr>
        <w:t>un moyen d</w:t>
      </w:r>
      <w:r>
        <w:rPr>
          <w:lang w:val="fr-FR"/>
        </w:rPr>
        <w:t>’</w:t>
      </w:r>
      <w:r w:rsidRPr="00B31AA9">
        <w:rPr>
          <w:lang w:val="fr-FR"/>
        </w:rPr>
        <w:t>obtenir réparation. Le Comité prend note de l</w:t>
      </w:r>
      <w:r>
        <w:rPr>
          <w:lang w:val="fr-FR"/>
        </w:rPr>
        <w:t>’</w:t>
      </w:r>
      <w:r w:rsidRPr="00B31AA9">
        <w:rPr>
          <w:lang w:val="fr-FR"/>
        </w:rPr>
        <w:t>argument du requérant</w:t>
      </w:r>
      <w:r>
        <w:rPr>
          <w:lang w:val="fr-FR"/>
        </w:rPr>
        <w:t>, qui indique</w:t>
      </w:r>
      <w:r w:rsidRPr="00B31AA9">
        <w:rPr>
          <w:lang w:val="fr-FR"/>
        </w:rPr>
        <w:t xml:space="preserve"> que la tardiv</w:t>
      </w:r>
      <w:r>
        <w:rPr>
          <w:lang w:val="fr-FR"/>
        </w:rPr>
        <w:t>e</w:t>
      </w:r>
      <w:r w:rsidRPr="00B31AA9">
        <w:rPr>
          <w:lang w:val="fr-FR"/>
        </w:rPr>
        <w:t xml:space="preserve">té ne lui </w:t>
      </w:r>
      <w:r>
        <w:rPr>
          <w:lang w:val="fr-FR"/>
        </w:rPr>
        <w:t>sera</w:t>
      </w:r>
      <w:r w:rsidRPr="00B31AA9">
        <w:rPr>
          <w:lang w:val="fr-FR"/>
        </w:rPr>
        <w:t>it pas imputable à lui-même</w:t>
      </w:r>
      <w:r>
        <w:rPr>
          <w:lang w:val="fr-FR"/>
        </w:rPr>
        <w:t>,</w:t>
      </w:r>
      <w:r w:rsidRPr="00B31AA9">
        <w:rPr>
          <w:lang w:val="fr-FR"/>
        </w:rPr>
        <w:t xml:space="preserve"> mais à son conseil. Or</w:t>
      </w:r>
      <w:r>
        <w:rPr>
          <w:lang w:val="fr-FR"/>
        </w:rPr>
        <w:t>, le Comité rappelle que les erreurs imputables à des conseils privés ne peuvent pas en principe être attribué</w:t>
      </w:r>
      <w:r w:rsidR="004365E6">
        <w:rPr>
          <w:lang w:val="fr-FR"/>
        </w:rPr>
        <w:t>e</w:t>
      </w:r>
      <w:r>
        <w:rPr>
          <w:lang w:val="fr-FR"/>
        </w:rPr>
        <w:t>s à l’État partie</w:t>
      </w:r>
      <w:r w:rsidRPr="002074C3">
        <w:rPr>
          <w:rStyle w:val="Appelnotedebasdep"/>
        </w:rPr>
        <w:footnoteReference w:id="15"/>
      </w:r>
      <w:r>
        <w:rPr>
          <w:lang w:val="fr-FR"/>
        </w:rPr>
        <w:t>. Dans le cas d’espèce, le Comité constate que le requérant n’a pas apporté d’éléments suffisants pour justifier la tardiveté de son recours auprès du Tribunal. Il considère donc que le requérant n’</w:t>
      </w:r>
      <w:r w:rsidRPr="001452EE">
        <w:rPr>
          <w:lang w:val="fr-FR"/>
        </w:rPr>
        <w:t>a pas fait preuve de la diligence requise en épuisant à temp</w:t>
      </w:r>
      <w:r>
        <w:rPr>
          <w:lang w:val="fr-FR"/>
        </w:rPr>
        <w:t>s les voies de recours dont il disposait,</w:t>
      </w:r>
      <w:r w:rsidRPr="001452EE">
        <w:rPr>
          <w:lang w:val="fr-FR"/>
        </w:rPr>
        <w:t xml:space="preserve"> et qu</w:t>
      </w:r>
      <w:r>
        <w:rPr>
          <w:lang w:val="fr-FR"/>
        </w:rPr>
        <w:t>’il n’</w:t>
      </w:r>
      <w:r w:rsidRPr="001452EE">
        <w:rPr>
          <w:lang w:val="fr-FR"/>
        </w:rPr>
        <w:t>est pas en mesure d</w:t>
      </w:r>
      <w:r>
        <w:rPr>
          <w:lang w:val="fr-FR"/>
        </w:rPr>
        <w:t xml:space="preserve">’en </w:t>
      </w:r>
      <w:r w:rsidRPr="001452EE">
        <w:rPr>
          <w:lang w:val="fr-FR"/>
        </w:rPr>
        <w:t>imputer la faute à l</w:t>
      </w:r>
      <w:r>
        <w:rPr>
          <w:lang w:val="fr-FR"/>
        </w:rPr>
        <w:t>’</w:t>
      </w:r>
      <w:r w:rsidRPr="001452EE">
        <w:rPr>
          <w:lang w:val="fr-FR"/>
        </w:rPr>
        <w:t>État partie</w:t>
      </w:r>
      <w:r w:rsidRPr="002074C3">
        <w:rPr>
          <w:rStyle w:val="Appelnotedebasdep"/>
        </w:rPr>
        <w:footnoteReference w:id="16"/>
      </w:r>
      <w:r>
        <w:rPr>
          <w:lang w:val="fr-FR"/>
        </w:rPr>
        <w:t xml:space="preserve">. </w:t>
      </w:r>
    </w:p>
    <w:p w14:paraId="657ED1E6" w14:textId="36AEA572" w:rsidR="007767F9" w:rsidRDefault="007767F9" w:rsidP="007767F9">
      <w:pPr>
        <w:pStyle w:val="SingleTxtG"/>
        <w:rPr>
          <w:lang w:val="fr-FR"/>
        </w:rPr>
      </w:pPr>
      <w:r>
        <w:rPr>
          <w:lang w:val="fr-FR"/>
        </w:rPr>
        <w:t>8.3</w:t>
      </w:r>
      <w:r>
        <w:rPr>
          <w:lang w:val="fr-FR"/>
        </w:rPr>
        <w:tab/>
        <w:t>Le Comité conclut que les voies de recours disponibles n’ont pas été épuisées et que la communication est donc irrecevable conformément à l’article 22 (par.</w:t>
      </w:r>
      <w:r w:rsidR="004365E6">
        <w:rPr>
          <w:lang w:val="fr-FR"/>
        </w:rPr>
        <w:t> </w:t>
      </w:r>
      <w:r>
        <w:rPr>
          <w:lang w:val="fr-FR"/>
        </w:rPr>
        <w:t>5</w:t>
      </w:r>
      <w:r w:rsidR="004365E6">
        <w:rPr>
          <w:lang w:val="fr-FR"/>
        </w:rPr>
        <w:t> </w:t>
      </w:r>
      <w:r>
        <w:rPr>
          <w:lang w:val="fr-FR"/>
        </w:rPr>
        <w:t>b)) de la Convention.</w:t>
      </w:r>
    </w:p>
    <w:p w14:paraId="4D475DCA" w14:textId="77777777" w:rsidR="007767F9" w:rsidRDefault="007767F9" w:rsidP="007767F9">
      <w:pPr>
        <w:pStyle w:val="SingleTxtG"/>
        <w:rPr>
          <w:lang w:val="fr-FR"/>
        </w:rPr>
      </w:pPr>
      <w:r>
        <w:rPr>
          <w:rFonts w:eastAsia="Times New Roman"/>
        </w:rPr>
        <w:t>8.4</w:t>
      </w:r>
      <w:r w:rsidRPr="00BB641B">
        <w:rPr>
          <w:rFonts w:eastAsia="Times New Roman"/>
        </w:rPr>
        <w:t>.</w:t>
      </w:r>
      <w:r w:rsidRPr="00BB641B">
        <w:rPr>
          <w:rFonts w:eastAsia="Times New Roman"/>
        </w:rPr>
        <w:tab/>
      </w:r>
      <w:r>
        <w:rPr>
          <w:lang w:val="fr-FR"/>
        </w:rPr>
        <w:t>En conséquence, le Comité décide :</w:t>
      </w:r>
    </w:p>
    <w:p w14:paraId="45E5E42D" w14:textId="5E39081D" w:rsidR="007767F9" w:rsidRDefault="007767F9" w:rsidP="007767F9">
      <w:pPr>
        <w:pStyle w:val="SingleTxtG"/>
        <w:ind w:firstLine="567"/>
        <w:rPr>
          <w:spacing w:val="-4"/>
          <w:lang w:val="fr-FR"/>
        </w:rPr>
      </w:pPr>
      <w:r>
        <w:rPr>
          <w:spacing w:val="-4"/>
          <w:lang w:val="fr-FR"/>
        </w:rPr>
        <w:t>a)</w:t>
      </w:r>
      <w:r>
        <w:rPr>
          <w:spacing w:val="-4"/>
          <w:lang w:val="fr-FR"/>
        </w:rPr>
        <w:tab/>
        <w:t xml:space="preserve">Que la communication est irrecevable au regard de l’article 22 </w:t>
      </w:r>
      <w:r>
        <w:rPr>
          <w:lang w:val="fr-FR"/>
        </w:rPr>
        <w:t>(par.</w:t>
      </w:r>
      <w:r w:rsidR="004365E6">
        <w:rPr>
          <w:lang w:val="fr-FR"/>
        </w:rPr>
        <w:t> </w:t>
      </w:r>
      <w:r>
        <w:rPr>
          <w:lang w:val="fr-FR"/>
        </w:rPr>
        <w:t>5</w:t>
      </w:r>
      <w:r w:rsidR="004365E6">
        <w:rPr>
          <w:lang w:val="fr-FR"/>
        </w:rPr>
        <w:t> </w:t>
      </w:r>
      <w:r>
        <w:rPr>
          <w:lang w:val="fr-FR"/>
        </w:rPr>
        <w:t>b))</w:t>
      </w:r>
      <w:r>
        <w:rPr>
          <w:spacing w:val="-4"/>
          <w:lang w:val="fr-FR"/>
        </w:rPr>
        <w:t xml:space="preserve"> de la Convention</w:t>
      </w:r>
      <w:r w:rsidR="00627D27">
        <w:rPr>
          <w:spacing w:val="-4"/>
          <w:lang w:val="fr-FR"/>
        </w:rPr>
        <w:t> ;</w:t>
      </w:r>
    </w:p>
    <w:p w14:paraId="4482630D" w14:textId="5B91CFA6" w:rsidR="001D14FC" w:rsidRDefault="007767F9" w:rsidP="004365E6">
      <w:pPr>
        <w:pStyle w:val="SingleTxtG"/>
        <w:ind w:firstLine="567"/>
        <w:rPr>
          <w:lang w:val="fr-FR"/>
        </w:rPr>
      </w:pPr>
      <w:r>
        <w:rPr>
          <w:lang w:val="fr-FR"/>
        </w:rPr>
        <w:t>b)</w:t>
      </w:r>
      <w:r>
        <w:rPr>
          <w:lang w:val="fr-FR"/>
        </w:rPr>
        <w:tab/>
        <w:t>Que la présente décision sera communiquée au requérant et à l’État partie.</w:t>
      </w:r>
    </w:p>
    <w:p w14:paraId="03D80340" w14:textId="11016FF7" w:rsidR="004365E6" w:rsidRPr="004365E6" w:rsidRDefault="004365E6" w:rsidP="004365E6">
      <w:pPr>
        <w:pStyle w:val="SingleTxtG"/>
        <w:spacing w:before="240" w:after="0"/>
        <w:jc w:val="center"/>
        <w:rPr>
          <w:u w:val="single"/>
        </w:rPr>
      </w:pPr>
      <w:r>
        <w:rPr>
          <w:u w:val="single"/>
        </w:rPr>
        <w:tab/>
      </w:r>
      <w:r>
        <w:rPr>
          <w:u w:val="single"/>
        </w:rPr>
        <w:tab/>
      </w:r>
      <w:r>
        <w:rPr>
          <w:u w:val="single"/>
        </w:rPr>
        <w:tab/>
      </w:r>
    </w:p>
    <w:sectPr w:rsidR="004365E6" w:rsidRPr="004365E6" w:rsidSect="00417D4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921D" w14:textId="77777777" w:rsidR="00D53AFA" w:rsidRPr="009C4D45" w:rsidRDefault="00D53AFA" w:rsidP="009C4D45">
      <w:pPr>
        <w:pStyle w:val="Pieddepage"/>
      </w:pPr>
    </w:p>
  </w:endnote>
  <w:endnote w:type="continuationSeparator" w:id="0">
    <w:p w14:paraId="2238FC69" w14:textId="77777777" w:rsidR="00D53AFA" w:rsidRPr="009C4D45" w:rsidRDefault="00D53AFA" w:rsidP="009C4D45">
      <w:pPr>
        <w:pStyle w:val="Pieddepage"/>
      </w:pPr>
    </w:p>
  </w:endnote>
  <w:endnote w:type="continuationNotice" w:id="1">
    <w:p w14:paraId="24E76FF7" w14:textId="77777777" w:rsidR="00D53AFA" w:rsidRDefault="00D53A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6E88" w14:textId="2CC11353" w:rsidR="00417D49" w:rsidRPr="00417D49" w:rsidRDefault="00417D49" w:rsidP="00417D49">
    <w:pPr>
      <w:pStyle w:val="Pieddepage"/>
      <w:tabs>
        <w:tab w:val="right" w:pos="9638"/>
      </w:tabs>
    </w:pPr>
    <w:r w:rsidRPr="00417D49">
      <w:rPr>
        <w:b/>
        <w:sz w:val="18"/>
      </w:rPr>
      <w:fldChar w:fldCharType="begin"/>
    </w:r>
    <w:r w:rsidRPr="00417D49">
      <w:rPr>
        <w:b/>
        <w:sz w:val="18"/>
      </w:rPr>
      <w:instrText xml:space="preserve"> PAGE  \* MERGEFORMAT </w:instrText>
    </w:r>
    <w:r w:rsidRPr="00417D49">
      <w:rPr>
        <w:b/>
        <w:sz w:val="18"/>
      </w:rPr>
      <w:fldChar w:fldCharType="separate"/>
    </w:r>
    <w:r w:rsidR="00CE6BBA">
      <w:rPr>
        <w:b/>
        <w:noProof/>
        <w:sz w:val="18"/>
      </w:rPr>
      <w:t>8</w:t>
    </w:r>
    <w:r w:rsidRPr="00417D4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8B4" w14:textId="0B764463" w:rsidR="00417D49" w:rsidRPr="00417D49" w:rsidRDefault="00417D49" w:rsidP="00417D49">
    <w:pPr>
      <w:pStyle w:val="Pieddepage"/>
      <w:tabs>
        <w:tab w:val="right" w:pos="9638"/>
      </w:tabs>
      <w:rPr>
        <w:b/>
        <w:sz w:val="18"/>
      </w:rPr>
    </w:pPr>
    <w:r>
      <w:tab/>
    </w:r>
    <w:r w:rsidRPr="00417D49">
      <w:rPr>
        <w:b/>
        <w:sz w:val="18"/>
      </w:rPr>
      <w:fldChar w:fldCharType="begin"/>
    </w:r>
    <w:r w:rsidRPr="00417D49">
      <w:rPr>
        <w:b/>
        <w:sz w:val="18"/>
      </w:rPr>
      <w:instrText xml:space="preserve"> PAGE  \* MERGEFORMAT </w:instrText>
    </w:r>
    <w:r w:rsidRPr="00417D49">
      <w:rPr>
        <w:b/>
        <w:sz w:val="18"/>
      </w:rPr>
      <w:fldChar w:fldCharType="separate"/>
    </w:r>
    <w:r w:rsidR="00CE6BBA">
      <w:rPr>
        <w:b/>
        <w:noProof/>
        <w:sz w:val="18"/>
      </w:rPr>
      <w:t>9</w:t>
    </w:r>
    <w:r w:rsidRPr="00417D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7741" w14:textId="1714BE2A" w:rsidR="006E3573" w:rsidRPr="006E3573" w:rsidRDefault="006E3573" w:rsidP="006E3573">
    <w:pPr>
      <w:pStyle w:val="Pieddepage"/>
      <w:tabs>
        <w:tab w:val="left" w:pos="6520"/>
        <w:tab w:val="right" w:pos="9638"/>
      </w:tabs>
      <w:spacing w:before="120"/>
      <w:rPr>
        <w:sz w:val="20"/>
      </w:rPr>
    </w:pPr>
    <w:r>
      <w:rPr>
        <w:sz w:val="20"/>
      </w:rPr>
      <w:t>GE.22-26348  (F)</w:t>
    </w:r>
    <w:bookmarkStart w:id="0" w:name="_GoBack"/>
    <w:bookmarkEnd w:id="0"/>
    <w:r>
      <w:rPr>
        <w:sz w:val="20"/>
      </w:rPr>
      <w:tab/>
    </w:r>
    <w:r w:rsidRPr="006E3573">
      <w:rPr>
        <w:noProof/>
        <w:sz w:val="20"/>
        <w:lang w:eastAsia="fr-CH"/>
      </w:rPr>
      <w:drawing>
        <wp:inline distT="0" distB="0" distL="0" distR="0" wp14:anchorId="6B60D374" wp14:editId="7C9CED7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B77E8A6" wp14:editId="6BB11F0D">
          <wp:extent cx="560705" cy="560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847B" w14:textId="77777777" w:rsidR="00D53AFA" w:rsidRPr="009C4D45" w:rsidRDefault="00D53AFA" w:rsidP="009C4D45">
      <w:pPr>
        <w:pStyle w:val="Pieddepage"/>
        <w:tabs>
          <w:tab w:val="right" w:pos="2155"/>
        </w:tabs>
        <w:spacing w:after="80" w:line="240" w:lineRule="atLeast"/>
        <w:ind w:left="680"/>
        <w:rPr>
          <w:u w:val="single"/>
        </w:rPr>
      </w:pPr>
      <w:r>
        <w:rPr>
          <w:u w:val="single"/>
        </w:rPr>
        <w:tab/>
      </w:r>
    </w:p>
  </w:footnote>
  <w:footnote w:type="continuationSeparator" w:id="0">
    <w:p w14:paraId="1DE2D78B" w14:textId="77777777" w:rsidR="00D53AFA" w:rsidRPr="00035AE4" w:rsidRDefault="00D53AFA" w:rsidP="00035AE4">
      <w:pPr>
        <w:pStyle w:val="Pieddepage"/>
        <w:tabs>
          <w:tab w:val="right" w:pos="2155"/>
        </w:tabs>
        <w:spacing w:after="80" w:line="240" w:lineRule="atLeast"/>
        <w:ind w:left="680"/>
        <w:rPr>
          <w:u w:val="single"/>
        </w:rPr>
      </w:pPr>
      <w:r>
        <w:rPr>
          <w:u w:val="single"/>
        </w:rPr>
        <w:tab/>
      </w:r>
    </w:p>
  </w:footnote>
  <w:footnote w:type="continuationNotice" w:id="1">
    <w:p w14:paraId="4BE37DBD" w14:textId="77777777" w:rsidR="00D53AFA" w:rsidRPr="00035AE4" w:rsidRDefault="00D53AFA">
      <w:pPr>
        <w:spacing w:line="240" w:lineRule="auto"/>
        <w:rPr>
          <w:sz w:val="2"/>
          <w:szCs w:val="2"/>
        </w:rPr>
      </w:pPr>
    </w:p>
  </w:footnote>
  <w:footnote w:id="2">
    <w:p w14:paraId="4728664F" w14:textId="77777777" w:rsidR="007767F9" w:rsidRPr="003C6B88" w:rsidRDefault="007767F9" w:rsidP="007767F9">
      <w:pPr>
        <w:pStyle w:val="Notedebasdepage"/>
        <w:rPr>
          <w:lang w:val="fr-FR"/>
        </w:rPr>
      </w:pPr>
      <w:r>
        <w:tab/>
      </w:r>
      <w:r w:rsidRPr="001237E3">
        <w:rPr>
          <w:sz w:val="20"/>
        </w:rPr>
        <w:t>*</w:t>
      </w:r>
      <w:r w:rsidRPr="004623A9">
        <w:rPr>
          <w:sz w:val="20"/>
        </w:rPr>
        <w:tab/>
      </w:r>
      <w:r w:rsidRPr="004623A9">
        <w:t xml:space="preserve">Adoptée par le Comité à sa </w:t>
      </w:r>
      <w:r w:rsidRPr="00442303">
        <w:t>soixante</w:t>
      </w:r>
      <w:r>
        <w:t>-</w:t>
      </w:r>
      <w:r w:rsidRPr="000A456D">
        <w:t>quatorzième</w:t>
      </w:r>
      <w:r w:rsidRPr="00442303">
        <w:t xml:space="preserve"> session (1</w:t>
      </w:r>
      <w:r>
        <w:t>2-29 juillet</w:t>
      </w:r>
      <w:r w:rsidRPr="00442303">
        <w:t xml:space="preserve"> 2022)</w:t>
      </w:r>
      <w:r w:rsidRPr="003C6B88">
        <w:t>.</w:t>
      </w:r>
    </w:p>
  </w:footnote>
  <w:footnote w:id="3">
    <w:p w14:paraId="73E9B0D3" w14:textId="77777777" w:rsidR="007767F9" w:rsidRPr="00393A9E" w:rsidRDefault="007767F9" w:rsidP="007767F9">
      <w:pPr>
        <w:pStyle w:val="Notedebasdepage"/>
        <w:rPr>
          <w:lang w:val="fr-FR"/>
        </w:rPr>
      </w:pPr>
      <w:r w:rsidRPr="003C6B88">
        <w:rPr>
          <w:lang w:val="fr-FR"/>
        </w:rPr>
        <w:tab/>
      </w:r>
      <w:r w:rsidRPr="001237E3">
        <w:rPr>
          <w:sz w:val="20"/>
          <w:lang w:val="fr-FR"/>
        </w:rPr>
        <w:t>**</w:t>
      </w:r>
      <w:r w:rsidRPr="004623A9">
        <w:rPr>
          <w:sz w:val="20"/>
          <w:lang w:val="fr-FR"/>
        </w:rPr>
        <w:tab/>
      </w:r>
      <w:r w:rsidRPr="004623A9">
        <w:rPr>
          <w:lang w:val="fr-FR"/>
        </w:rPr>
        <w:t>Les membres du Comité dont le nom suit ont participé à l’examen de la communication :</w:t>
      </w:r>
      <w:r w:rsidRPr="00BB7513">
        <w:rPr>
          <w:color w:val="000000"/>
          <w:szCs w:val="24"/>
          <w:lang w:val="fr-FR"/>
        </w:rPr>
        <w:t xml:space="preserve"> </w:t>
      </w:r>
      <w:r>
        <w:rPr>
          <w:color w:val="000000"/>
          <w:szCs w:val="24"/>
          <w:lang w:val="fr-FR"/>
        </w:rPr>
        <w:t xml:space="preserve">Todd </w:t>
      </w:r>
      <w:proofErr w:type="spellStart"/>
      <w:r>
        <w:rPr>
          <w:color w:val="000000"/>
          <w:szCs w:val="24"/>
          <w:lang w:val="fr-FR"/>
        </w:rPr>
        <w:t>Buchwald</w:t>
      </w:r>
      <w:proofErr w:type="spellEnd"/>
      <w:r w:rsidRPr="00442303">
        <w:rPr>
          <w:color w:val="000000"/>
          <w:szCs w:val="24"/>
          <w:lang w:val="fr-FR"/>
        </w:rPr>
        <w:t xml:space="preserve">, </w:t>
      </w:r>
      <w:r w:rsidRPr="0073414B">
        <w:rPr>
          <w:color w:val="000000"/>
          <w:szCs w:val="24"/>
          <w:lang w:val="fr-FR"/>
        </w:rPr>
        <w:t>Claude Heller</w:t>
      </w:r>
      <w:r>
        <w:rPr>
          <w:color w:val="000000"/>
          <w:szCs w:val="24"/>
          <w:lang w:val="fr-FR"/>
        </w:rPr>
        <w:t>,</w:t>
      </w:r>
      <w:r w:rsidRPr="0073414B">
        <w:rPr>
          <w:color w:val="000000"/>
          <w:szCs w:val="24"/>
          <w:lang w:val="fr-FR"/>
        </w:rPr>
        <w:t xml:space="preserve"> </w:t>
      </w:r>
      <w:r w:rsidRPr="00442303">
        <w:rPr>
          <w:color w:val="000000"/>
          <w:szCs w:val="24"/>
          <w:lang w:val="fr-FR"/>
        </w:rPr>
        <w:t>Erdo</w:t>
      </w:r>
      <w:r>
        <w:rPr>
          <w:color w:val="000000"/>
          <w:szCs w:val="24"/>
          <w:lang w:val="fr-FR"/>
        </w:rPr>
        <w:t>g</w:t>
      </w:r>
      <w:r w:rsidRPr="00442303">
        <w:rPr>
          <w:color w:val="000000"/>
          <w:szCs w:val="24"/>
          <w:lang w:val="fr-FR"/>
        </w:rPr>
        <w:t xml:space="preserve">an </w:t>
      </w:r>
      <w:proofErr w:type="spellStart"/>
      <w:r>
        <w:rPr>
          <w:color w:val="000000"/>
          <w:szCs w:val="24"/>
          <w:lang w:val="fr-FR"/>
        </w:rPr>
        <w:t>Iscan</w:t>
      </w:r>
      <w:proofErr w:type="spellEnd"/>
      <w:r w:rsidRPr="00442303">
        <w:rPr>
          <w:color w:val="000000"/>
          <w:szCs w:val="24"/>
          <w:lang w:val="fr-FR"/>
        </w:rPr>
        <w:t>, Mae</w:t>
      </w:r>
      <w:r>
        <w:rPr>
          <w:color w:val="000000"/>
          <w:szCs w:val="24"/>
          <w:lang w:val="fr-FR"/>
        </w:rPr>
        <w:t xml:space="preserve">da Naoko, </w:t>
      </w:r>
      <w:proofErr w:type="spellStart"/>
      <w:r>
        <w:rPr>
          <w:color w:val="000000"/>
          <w:szCs w:val="24"/>
          <w:lang w:val="fr-FR"/>
        </w:rPr>
        <w:t>Ilvija</w:t>
      </w:r>
      <w:proofErr w:type="spellEnd"/>
      <w:r>
        <w:rPr>
          <w:color w:val="000000"/>
          <w:szCs w:val="24"/>
          <w:lang w:val="fr-FR"/>
        </w:rPr>
        <w:t xml:space="preserve"> </w:t>
      </w:r>
      <w:proofErr w:type="spellStart"/>
      <w:r>
        <w:rPr>
          <w:color w:val="000000"/>
          <w:szCs w:val="24"/>
          <w:lang w:val="fr-FR"/>
        </w:rPr>
        <w:t>P‎ūce</w:t>
      </w:r>
      <w:proofErr w:type="spellEnd"/>
      <w:r w:rsidRPr="00442303">
        <w:rPr>
          <w:color w:val="000000"/>
          <w:szCs w:val="24"/>
          <w:lang w:val="fr-FR"/>
        </w:rPr>
        <w:t xml:space="preserve">, </w:t>
      </w:r>
      <w:r>
        <w:rPr>
          <w:color w:val="000000"/>
          <w:szCs w:val="24"/>
          <w:lang w:val="fr-FR"/>
        </w:rPr>
        <w:t xml:space="preserve">Ana </w:t>
      </w:r>
      <w:proofErr w:type="spellStart"/>
      <w:r>
        <w:rPr>
          <w:color w:val="000000"/>
          <w:szCs w:val="24"/>
          <w:lang w:val="fr-FR"/>
        </w:rPr>
        <w:t>Racu</w:t>
      </w:r>
      <w:proofErr w:type="spellEnd"/>
      <w:r>
        <w:rPr>
          <w:color w:val="000000"/>
          <w:szCs w:val="24"/>
          <w:lang w:val="fr-FR"/>
        </w:rPr>
        <w:t xml:space="preserve">, </w:t>
      </w:r>
      <w:r w:rsidRPr="0073414B">
        <w:rPr>
          <w:lang w:val="fr-FR"/>
        </w:rPr>
        <w:t xml:space="preserve">Abderrazak </w:t>
      </w:r>
      <w:proofErr w:type="spellStart"/>
      <w:r w:rsidRPr="0073414B">
        <w:rPr>
          <w:lang w:val="fr-FR"/>
        </w:rPr>
        <w:t>Rouwane</w:t>
      </w:r>
      <w:proofErr w:type="spellEnd"/>
      <w:r>
        <w:rPr>
          <w:lang w:val="fr-FR"/>
        </w:rPr>
        <w:t>,</w:t>
      </w:r>
      <w:r w:rsidRPr="00442303">
        <w:rPr>
          <w:color w:val="000000"/>
          <w:szCs w:val="24"/>
          <w:lang w:val="fr-FR"/>
        </w:rPr>
        <w:t xml:space="preserve"> Sébastien </w:t>
      </w:r>
      <w:proofErr w:type="spellStart"/>
      <w:r w:rsidRPr="00442303">
        <w:rPr>
          <w:color w:val="000000"/>
          <w:szCs w:val="24"/>
          <w:lang w:val="fr-FR"/>
        </w:rPr>
        <w:t>Touzé</w:t>
      </w:r>
      <w:proofErr w:type="spellEnd"/>
      <w:r w:rsidRPr="00442303">
        <w:rPr>
          <w:color w:val="000000"/>
          <w:szCs w:val="24"/>
          <w:lang w:val="fr-FR"/>
        </w:rPr>
        <w:t xml:space="preserve"> </w:t>
      </w:r>
      <w:r>
        <w:rPr>
          <w:color w:val="000000"/>
          <w:szCs w:val="24"/>
          <w:lang w:val="fr-FR"/>
        </w:rPr>
        <w:t xml:space="preserve">et </w:t>
      </w:r>
      <w:proofErr w:type="spellStart"/>
      <w:r w:rsidRPr="00442303">
        <w:rPr>
          <w:color w:val="000000"/>
          <w:szCs w:val="24"/>
          <w:lang w:val="fr-FR"/>
        </w:rPr>
        <w:t>Bakhtiyar</w:t>
      </w:r>
      <w:proofErr w:type="spellEnd"/>
      <w:r w:rsidRPr="00442303">
        <w:rPr>
          <w:color w:val="000000"/>
          <w:szCs w:val="24"/>
          <w:lang w:val="fr-FR"/>
        </w:rPr>
        <w:t xml:space="preserve"> </w:t>
      </w:r>
      <w:proofErr w:type="spellStart"/>
      <w:r w:rsidRPr="00442303">
        <w:rPr>
          <w:color w:val="000000"/>
          <w:szCs w:val="24"/>
          <w:lang w:val="fr-FR"/>
        </w:rPr>
        <w:t>Tuzmukhamedov</w:t>
      </w:r>
      <w:proofErr w:type="spellEnd"/>
      <w:r>
        <w:rPr>
          <w:lang w:val="fr-FR"/>
        </w:rPr>
        <w:t>.</w:t>
      </w:r>
    </w:p>
  </w:footnote>
  <w:footnote w:id="4">
    <w:p w14:paraId="67317D78" w14:textId="77777777" w:rsidR="007767F9" w:rsidRPr="0044303F" w:rsidRDefault="007767F9" w:rsidP="007767F9">
      <w:pPr>
        <w:pStyle w:val="Notedebasdepage"/>
      </w:pPr>
      <w:r>
        <w:tab/>
      </w:r>
      <w:r w:rsidRPr="002074C3">
        <w:rPr>
          <w:rStyle w:val="Appelnotedebasdep"/>
        </w:rPr>
        <w:footnoteRef/>
      </w:r>
      <w:r>
        <w:tab/>
        <w:t>N</w:t>
      </w:r>
      <w:proofErr w:type="spellStart"/>
      <w:r>
        <w:rPr>
          <w:lang w:val="fr-FR"/>
        </w:rPr>
        <w:t>otamment</w:t>
      </w:r>
      <w:proofErr w:type="spellEnd"/>
      <w:r>
        <w:rPr>
          <w:lang w:val="fr-FR"/>
        </w:rPr>
        <w:t xml:space="preserve">, des </w:t>
      </w:r>
      <w:r w:rsidRPr="0030363C">
        <w:rPr>
          <w:lang w:val="fr-FR"/>
        </w:rPr>
        <w:t>douleurs à la plante des pieds et aux chevilles</w:t>
      </w:r>
      <w:r>
        <w:rPr>
          <w:lang w:val="fr-FR"/>
        </w:rPr>
        <w:t>.</w:t>
      </w:r>
    </w:p>
  </w:footnote>
  <w:footnote w:id="5">
    <w:p w14:paraId="70A7574E" w14:textId="77777777" w:rsidR="007767F9" w:rsidRPr="0044303F" w:rsidRDefault="007767F9" w:rsidP="007767F9">
      <w:pPr>
        <w:pStyle w:val="Notedebasdepage"/>
      </w:pPr>
      <w:r>
        <w:tab/>
      </w:r>
      <w:r w:rsidRPr="002074C3">
        <w:rPr>
          <w:rStyle w:val="Appelnotedebasdep"/>
        </w:rPr>
        <w:footnoteRef/>
      </w:r>
      <w:r>
        <w:tab/>
        <w:t>S</w:t>
      </w:r>
      <w:r w:rsidRPr="0044303F">
        <w:t xml:space="preserve">on dos est strié de plus d’une dizaine </w:t>
      </w:r>
      <w:r>
        <w:t xml:space="preserve">de </w:t>
      </w:r>
      <w:r w:rsidRPr="0044303F">
        <w:t xml:space="preserve">cicatrices dues à des coups de fouet et de cordelettes, et il a une déformation </w:t>
      </w:r>
      <w:r>
        <w:t>« </w:t>
      </w:r>
      <w:r w:rsidRPr="0044303F">
        <w:t>en cupule</w:t>
      </w:r>
      <w:r>
        <w:t> »</w:t>
      </w:r>
      <w:r w:rsidRPr="0044303F">
        <w:t xml:space="preserve"> des ongles des mains due aux pinces fixées sur </w:t>
      </w:r>
      <w:r>
        <w:t>ses doigts.</w:t>
      </w:r>
    </w:p>
  </w:footnote>
  <w:footnote w:id="6">
    <w:p w14:paraId="5ECD4F0F" w14:textId="77777777" w:rsidR="007767F9" w:rsidRPr="00B67AD4" w:rsidRDefault="007767F9" w:rsidP="007767F9">
      <w:pPr>
        <w:pStyle w:val="Notedebasdepage"/>
      </w:pPr>
      <w:r>
        <w:tab/>
      </w:r>
      <w:r w:rsidRPr="002074C3">
        <w:rPr>
          <w:rStyle w:val="Appelnotedebasdep"/>
        </w:rPr>
        <w:footnoteRef/>
      </w:r>
      <w:r>
        <w:tab/>
        <w:t>Ces documents sont joints au dossier.</w:t>
      </w:r>
    </w:p>
  </w:footnote>
  <w:footnote w:id="7">
    <w:p w14:paraId="055ED8E1" w14:textId="2D91C52C" w:rsidR="007767F9" w:rsidRPr="00B31AA9" w:rsidRDefault="007767F9" w:rsidP="007767F9">
      <w:pPr>
        <w:pStyle w:val="Notedebasdepage"/>
        <w:rPr>
          <w:lang w:val="fr-FR"/>
        </w:rPr>
      </w:pPr>
      <w:r>
        <w:tab/>
      </w:r>
      <w:r w:rsidRPr="002074C3">
        <w:rPr>
          <w:rStyle w:val="Appelnotedebasdep"/>
        </w:rPr>
        <w:footnoteRef/>
      </w:r>
      <w:r>
        <w:t xml:space="preserve"> </w:t>
      </w:r>
      <w:r>
        <w:tab/>
      </w:r>
      <w:r w:rsidRPr="00B67AD4">
        <w:rPr>
          <w:i/>
        </w:rPr>
        <w:t>A.</w:t>
      </w:r>
      <w:r>
        <w:rPr>
          <w:i/>
        </w:rPr>
        <w:t> </w:t>
      </w:r>
      <w:r w:rsidRPr="00B67AD4">
        <w:rPr>
          <w:i/>
        </w:rPr>
        <w:t>S. c. Suède</w:t>
      </w:r>
      <w:r>
        <w:t xml:space="preserve"> (</w:t>
      </w:r>
      <w:hyperlink r:id="rId1" w:history="1">
        <w:r w:rsidR="00136D64">
          <w:rPr>
            <w:rStyle w:val="Lienhypertexte"/>
          </w:rPr>
          <w:t>CAT/C/25/D/149/1999</w:t>
        </w:r>
      </w:hyperlink>
      <w:r>
        <w:t>)</w:t>
      </w:r>
      <w:r w:rsidRPr="00142ABD">
        <w:t xml:space="preserve">, </w:t>
      </w:r>
      <w:r>
        <w:t xml:space="preserve">par. </w:t>
      </w:r>
      <w:r w:rsidRPr="00142ABD">
        <w:t>8.6</w:t>
      </w:r>
      <w:r>
        <w:t>.</w:t>
      </w:r>
    </w:p>
  </w:footnote>
  <w:footnote w:id="8">
    <w:p w14:paraId="22B2EED4" w14:textId="7DE103EA" w:rsidR="007767F9" w:rsidRPr="00B31AA9" w:rsidRDefault="007767F9" w:rsidP="007767F9">
      <w:pPr>
        <w:pStyle w:val="Notedebasdepage"/>
        <w:rPr>
          <w:lang w:val="fr-FR"/>
        </w:rPr>
      </w:pPr>
      <w:r>
        <w:rPr>
          <w:lang w:val="fr-FR"/>
        </w:rPr>
        <w:tab/>
      </w:r>
      <w:r w:rsidRPr="002074C3">
        <w:rPr>
          <w:rStyle w:val="Appelnotedebasdep"/>
        </w:rPr>
        <w:footnoteRef/>
      </w:r>
      <w:r>
        <w:t xml:space="preserve"> </w:t>
      </w:r>
      <w:r>
        <w:tab/>
        <w:t>Voir, entre autres,</w:t>
      </w:r>
      <w:r w:rsidRPr="00CE1BEC">
        <w:t xml:space="preserve"> Human Rights Watch</w:t>
      </w:r>
      <w:r>
        <w:t xml:space="preserve">, </w:t>
      </w:r>
      <w:r w:rsidRPr="002074C3">
        <w:rPr>
          <w:i/>
          <w:iCs/>
        </w:rPr>
        <w:t>World Report 2017</w:t>
      </w:r>
      <w:r>
        <w:t>, p. 334 à</w:t>
      </w:r>
      <w:r w:rsidR="0020490A">
        <w:t xml:space="preserve"> </w:t>
      </w:r>
      <w:r>
        <w:t>339</w:t>
      </w:r>
      <w:r w:rsidR="00627D27">
        <w:t> ;</w:t>
      </w:r>
      <w:r>
        <w:t xml:space="preserve"> Iran Human Rights Documentation Center, « </w:t>
      </w:r>
      <w:proofErr w:type="spellStart"/>
      <w:r w:rsidRPr="002074C3">
        <w:rPr>
          <w:iCs/>
        </w:rPr>
        <w:t>Apostasy</w:t>
      </w:r>
      <w:proofErr w:type="spellEnd"/>
      <w:r w:rsidRPr="002074C3">
        <w:rPr>
          <w:iCs/>
        </w:rPr>
        <w:t xml:space="preserve"> in the </w:t>
      </w:r>
      <w:proofErr w:type="spellStart"/>
      <w:r w:rsidRPr="002074C3">
        <w:rPr>
          <w:iCs/>
        </w:rPr>
        <w:t>Islamic</w:t>
      </w:r>
      <w:proofErr w:type="spellEnd"/>
      <w:r w:rsidRPr="002074C3">
        <w:rPr>
          <w:iCs/>
        </w:rPr>
        <w:t xml:space="preserve"> </w:t>
      </w:r>
      <w:proofErr w:type="spellStart"/>
      <w:r w:rsidRPr="002074C3">
        <w:rPr>
          <w:iCs/>
        </w:rPr>
        <w:t>Republic</w:t>
      </w:r>
      <w:proofErr w:type="spellEnd"/>
      <w:r w:rsidRPr="002074C3">
        <w:rPr>
          <w:iCs/>
        </w:rPr>
        <w:t xml:space="preserve"> of Iran</w:t>
      </w:r>
      <w:r>
        <w:t> », 25 septembre</w:t>
      </w:r>
      <w:r w:rsidR="0020490A">
        <w:t xml:space="preserve"> </w:t>
      </w:r>
      <w:r>
        <w:t>2014</w:t>
      </w:r>
      <w:r w:rsidR="00627D27">
        <w:t> ;</w:t>
      </w:r>
      <w:r>
        <w:t xml:space="preserve"> et </w:t>
      </w:r>
      <w:proofErr w:type="spellStart"/>
      <w:r>
        <w:t>Fiorenza</w:t>
      </w:r>
      <w:proofErr w:type="spellEnd"/>
      <w:r>
        <w:t xml:space="preserve"> </w:t>
      </w:r>
      <w:proofErr w:type="spellStart"/>
      <w:r>
        <w:t>Kuthan</w:t>
      </w:r>
      <w:proofErr w:type="spellEnd"/>
      <w:r>
        <w:t>, « Iran : traitement des requérants d’asile déboutés », Organisation suisse d’aide aux réfugiés, 18</w:t>
      </w:r>
      <w:r w:rsidR="0020490A">
        <w:t> </w:t>
      </w:r>
      <w:r>
        <w:t>août 2011.</w:t>
      </w:r>
    </w:p>
  </w:footnote>
  <w:footnote w:id="9">
    <w:p w14:paraId="4581129B" w14:textId="3C601F25" w:rsidR="007767F9" w:rsidRPr="00B31AA9" w:rsidRDefault="007767F9" w:rsidP="007767F9">
      <w:pPr>
        <w:pStyle w:val="Notedebasdepage"/>
        <w:rPr>
          <w:lang w:val="fr-FR"/>
        </w:rPr>
      </w:pPr>
      <w:r>
        <w:tab/>
      </w:r>
      <w:r w:rsidRPr="002074C3">
        <w:rPr>
          <w:rStyle w:val="Appelnotedebasdep"/>
        </w:rPr>
        <w:footnoteRef/>
      </w:r>
      <w:r>
        <w:tab/>
      </w:r>
      <w:r w:rsidRPr="008C7D74">
        <w:rPr>
          <w:i/>
        </w:rPr>
        <w:t>Y. c. Canada</w:t>
      </w:r>
      <w:r w:rsidRPr="00BF0089">
        <w:t xml:space="preserve"> </w:t>
      </w:r>
      <w:r>
        <w:t>(</w:t>
      </w:r>
      <w:hyperlink r:id="rId2" w:history="1">
        <w:r w:rsidR="00136D64">
          <w:rPr>
            <w:rStyle w:val="Lienhypertexte"/>
          </w:rPr>
          <w:t>CAT/C/55/D/512/2012</w:t>
        </w:r>
      </w:hyperlink>
      <w:r>
        <w:t>), par. 7.4</w:t>
      </w:r>
      <w:r w:rsidR="00627D27">
        <w:t> ;</w:t>
      </w:r>
      <w:r>
        <w:t xml:space="preserve"> et </w:t>
      </w:r>
      <w:r w:rsidRPr="008C7D74">
        <w:rPr>
          <w:i/>
        </w:rPr>
        <w:t>H. E</w:t>
      </w:r>
      <w:r>
        <w:rPr>
          <w:i/>
        </w:rPr>
        <w:t>.</w:t>
      </w:r>
      <w:r w:rsidRPr="008C7D74">
        <w:rPr>
          <w:i/>
        </w:rPr>
        <w:t>-M. c. Canada</w:t>
      </w:r>
      <w:r w:rsidRPr="00BF0089">
        <w:t xml:space="preserve"> </w:t>
      </w:r>
      <w:r>
        <w:t>(</w:t>
      </w:r>
      <w:hyperlink r:id="rId3" w:history="1">
        <w:r w:rsidR="00136D64">
          <w:rPr>
            <w:rStyle w:val="Lienhypertexte"/>
          </w:rPr>
          <w:t>CAT/C/46/D/395/2009</w:t>
        </w:r>
      </w:hyperlink>
      <w:r>
        <w:t>), par.</w:t>
      </w:r>
      <w:r w:rsidR="00F2766F">
        <w:t> </w:t>
      </w:r>
      <w:r>
        <w:t>6.3.</w:t>
      </w:r>
    </w:p>
  </w:footnote>
  <w:footnote w:id="10">
    <w:p w14:paraId="03B3AB1D" w14:textId="16E41999" w:rsidR="007767F9" w:rsidRPr="00B31AA9" w:rsidRDefault="007767F9" w:rsidP="007767F9">
      <w:pPr>
        <w:pStyle w:val="Notedebasdepage"/>
        <w:rPr>
          <w:lang w:val="fr-FR"/>
        </w:rPr>
      </w:pPr>
      <w:r>
        <w:tab/>
      </w:r>
      <w:r w:rsidRPr="002074C3">
        <w:rPr>
          <w:rStyle w:val="Appelnotedebasdep"/>
        </w:rPr>
        <w:footnoteRef/>
      </w:r>
      <w:r>
        <w:tab/>
      </w:r>
      <w:proofErr w:type="spellStart"/>
      <w:r w:rsidRPr="00B31AA9">
        <w:rPr>
          <w:i/>
        </w:rPr>
        <w:t>Azizi</w:t>
      </w:r>
      <w:proofErr w:type="spellEnd"/>
      <w:r w:rsidRPr="00B31AA9">
        <w:rPr>
          <w:i/>
        </w:rPr>
        <w:t xml:space="preserve"> c. Suisse</w:t>
      </w:r>
      <w:r>
        <w:t xml:space="preserve"> (</w:t>
      </w:r>
      <w:hyperlink r:id="rId4" w:history="1">
        <w:r w:rsidR="00136D64">
          <w:rPr>
            <w:rStyle w:val="Lienhypertexte"/>
          </w:rPr>
          <w:t>CAT/C/53/D/492/2012</w:t>
        </w:r>
      </w:hyperlink>
      <w:r>
        <w:t>)</w:t>
      </w:r>
      <w:r w:rsidRPr="005157CE">
        <w:t xml:space="preserve">, </w:t>
      </w:r>
      <w:r>
        <w:t>par.</w:t>
      </w:r>
      <w:r w:rsidRPr="005157CE">
        <w:t xml:space="preserve"> 8.3</w:t>
      </w:r>
      <w:r>
        <w:t>.</w:t>
      </w:r>
    </w:p>
  </w:footnote>
  <w:footnote w:id="11">
    <w:p w14:paraId="1EB8331B" w14:textId="504702B2" w:rsidR="007767F9" w:rsidRPr="00285686" w:rsidRDefault="007767F9" w:rsidP="007767F9">
      <w:pPr>
        <w:pStyle w:val="Notedebasdepage"/>
      </w:pPr>
      <w:r>
        <w:tab/>
      </w:r>
      <w:r w:rsidRPr="002074C3">
        <w:rPr>
          <w:rStyle w:val="Appelnotedebasdep"/>
        </w:rPr>
        <w:footnoteRef/>
      </w:r>
      <w:r>
        <w:tab/>
      </w:r>
      <w:r>
        <w:tab/>
      </w:r>
      <w:proofErr w:type="spellStart"/>
      <w:r w:rsidRPr="00285686">
        <w:rPr>
          <w:i/>
        </w:rPr>
        <w:t>Jahani</w:t>
      </w:r>
      <w:proofErr w:type="spellEnd"/>
      <w:r w:rsidRPr="00285686">
        <w:rPr>
          <w:i/>
        </w:rPr>
        <w:t xml:space="preserve"> c. Suisse</w:t>
      </w:r>
      <w:r w:rsidRPr="00F55BFA">
        <w:t xml:space="preserve"> </w:t>
      </w:r>
      <w:r>
        <w:t>(</w:t>
      </w:r>
      <w:hyperlink r:id="rId5" w:history="1">
        <w:r w:rsidR="00136D64">
          <w:rPr>
            <w:rStyle w:val="Lienhypertexte"/>
          </w:rPr>
          <w:t>CAT/C/46/D/357/2008</w:t>
        </w:r>
      </w:hyperlink>
      <w:r>
        <w:t>)</w:t>
      </w:r>
      <w:r w:rsidRPr="00F55BFA">
        <w:t xml:space="preserve">, </w:t>
      </w:r>
      <w:r>
        <w:t>par.</w:t>
      </w:r>
      <w:r w:rsidRPr="00F55BFA">
        <w:t xml:space="preserve"> 8.2</w:t>
      </w:r>
      <w:r>
        <w:t>.</w:t>
      </w:r>
    </w:p>
  </w:footnote>
  <w:footnote w:id="12">
    <w:p w14:paraId="1B8D55CC" w14:textId="2A0BB03F" w:rsidR="007767F9" w:rsidRPr="00285686" w:rsidRDefault="007767F9" w:rsidP="007767F9">
      <w:pPr>
        <w:pStyle w:val="Notedebasdepage"/>
      </w:pPr>
      <w:r>
        <w:tab/>
      </w:r>
      <w:r w:rsidRPr="002074C3">
        <w:rPr>
          <w:rStyle w:val="Appelnotedebasdep"/>
        </w:rPr>
        <w:footnoteRef/>
      </w:r>
      <w:r>
        <w:tab/>
        <w:t xml:space="preserve">Cour européenne des droits de l’homme, </w:t>
      </w:r>
      <w:proofErr w:type="spellStart"/>
      <w:r w:rsidRPr="002074C3">
        <w:rPr>
          <w:i/>
          <w:iCs/>
        </w:rPr>
        <w:t>Polidario</w:t>
      </w:r>
      <w:proofErr w:type="spellEnd"/>
      <w:r w:rsidRPr="002074C3">
        <w:rPr>
          <w:i/>
          <w:iCs/>
        </w:rPr>
        <w:t xml:space="preserve"> c. Suisse</w:t>
      </w:r>
      <w:r>
        <w:t xml:space="preserve">, requête </w:t>
      </w:r>
      <w:r>
        <w:rPr>
          <w:lang w:val="fr-FR"/>
        </w:rPr>
        <w:t>n</w:t>
      </w:r>
      <w:r w:rsidRPr="002074C3">
        <w:rPr>
          <w:vertAlign w:val="superscript"/>
          <w:lang w:val="fr-FR"/>
        </w:rPr>
        <w:t>o</w:t>
      </w:r>
      <w:r>
        <w:rPr>
          <w:lang w:val="fr-FR"/>
        </w:rPr>
        <w:t> </w:t>
      </w:r>
      <w:r w:rsidRPr="0043117F">
        <w:rPr>
          <w:lang w:val="fr-FR"/>
        </w:rPr>
        <w:t>33169/10</w:t>
      </w:r>
      <w:r>
        <w:rPr>
          <w:lang w:val="fr-FR"/>
        </w:rPr>
        <w:t>,</w:t>
      </w:r>
      <w:r w:rsidRPr="0043117F">
        <w:rPr>
          <w:lang w:val="fr-FR"/>
        </w:rPr>
        <w:t xml:space="preserve"> </w:t>
      </w:r>
      <w:r>
        <w:rPr>
          <w:lang w:val="fr-FR"/>
        </w:rPr>
        <w:t xml:space="preserve">arrêt, </w:t>
      </w:r>
      <w:r w:rsidRPr="0043117F">
        <w:rPr>
          <w:lang w:val="fr-FR"/>
        </w:rPr>
        <w:t>30</w:t>
      </w:r>
      <w:r w:rsidR="0003105D">
        <w:rPr>
          <w:lang w:val="fr-FR"/>
        </w:rPr>
        <w:t> </w:t>
      </w:r>
      <w:r w:rsidRPr="0043117F">
        <w:rPr>
          <w:lang w:val="fr-FR"/>
        </w:rPr>
        <w:t xml:space="preserve">juillet 2013, </w:t>
      </w:r>
      <w:r>
        <w:rPr>
          <w:lang w:val="fr-FR"/>
        </w:rPr>
        <w:t xml:space="preserve">par. </w:t>
      </w:r>
      <w:r w:rsidRPr="0043117F">
        <w:rPr>
          <w:lang w:val="fr-FR"/>
        </w:rPr>
        <w:t>49</w:t>
      </w:r>
      <w:r>
        <w:rPr>
          <w:lang w:val="fr-FR"/>
        </w:rPr>
        <w:t xml:space="preserve"> à</w:t>
      </w:r>
      <w:r w:rsidR="0003105D">
        <w:rPr>
          <w:lang w:val="fr-FR"/>
        </w:rPr>
        <w:t xml:space="preserve"> </w:t>
      </w:r>
      <w:r w:rsidRPr="0043117F">
        <w:rPr>
          <w:lang w:val="fr-FR"/>
        </w:rPr>
        <w:t>52</w:t>
      </w:r>
      <w:r>
        <w:rPr>
          <w:lang w:val="fr-FR"/>
        </w:rPr>
        <w:t>.</w:t>
      </w:r>
    </w:p>
  </w:footnote>
  <w:footnote w:id="13">
    <w:p w14:paraId="1821356C" w14:textId="77777777" w:rsidR="007767F9" w:rsidRPr="0065232B" w:rsidRDefault="007767F9" w:rsidP="007767F9">
      <w:pPr>
        <w:pStyle w:val="Notedebasdepage"/>
      </w:pPr>
      <w:r>
        <w:tab/>
      </w:r>
      <w:r w:rsidRPr="002074C3">
        <w:rPr>
          <w:rStyle w:val="Appelnotedebasdep"/>
        </w:rPr>
        <w:footnoteRef/>
      </w:r>
      <w:r>
        <w:tab/>
      </w:r>
      <w:proofErr w:type="spellStart"/>
      <w:r w:rsidRPr="007F7498">
        <w:rPr>
          <w:i/>
          <w:lang w:val="fr-FR"/>
        </w:rPr>
        <w:t>Jahani</w:t>
      </w:r>
      <w:proofErr w:type="spellEnd"/>
      <w:r w:rsidRPr="007F7498">
        <w:rPr>
          <w:i/>
          <w:lang w:val="fr-FR"/>
        </w:rPr>
        <w:t xml:space="preserve"> c</w:t>
      </w:r>
      <w:r>
        <w:rPr>
          <w:i/>
          <w:lang w:val="fr-FR"/>
        </w:rPr>
        <w:t>.</w:t>
      </w:r>
      <w:r w:rsidRPr="007F7498">
        <w:rPr>
          <w:i/>
          <w:lang w:val="fr-FR"/>
        </w:rPr>
        <w:t xml:space="preserve"> Suisse</w:t>
      </w:r>
      <w:r>
        <w:rPr>
          <w:lang w:val="fr-FR"/>
        </w:rPr>
        <w:t>, par. 8.2.</w:t>
      </w:r>
    </w:p>
  </w:footnote>
  <w:footnote w:id="14">
    <w:p w14:paraId="4D0B408F" w14:textId="1ABCAC93" w:rsidR="007767F9" w:rsidRPr="009120B6" w:rsidRDefault="007767F9" w:rsidP="007767F9">
      <w:pPr>
        <w:pStyle w:val="Notedebasdepage"/>
      </w:pPr>
      <w:r>
        <w:tab/>
      </w:r>
      <w:r w:rsidRPr="002074C3">
        <w:rPr>
          <w:rStyle w:val="Appelnotedebasdep"/>
        </w:rPr>
        <w:footnoteRef/>
      </w:r>
      <w:r>
        <w:tab/>
      </w:r>
      <w:r w:rsidRPr="00201DFC">
        <w:t>Voir notamment</w:t>
      </w:r>
      <w:r>
        <w:t>,</w:t>
      </w:r>
      <w:r w:rsidRPr="00201DFC">
        <w:t xml:space="preserve"> à cet égard</w:t>
      </w:r>
      <w:r>
        <w:t>,</w:t>
      </w:r>
      <w:r w:rsidRPr="00201DFC">
        <w:t xml:space="preserve"> </w:t>
      </w:r>
      <w:r>
        <w:rPr>
          <w:i/>
        </w:rPr>
        <w:t>Fadel c.</w:t>
      </w:r>
      <w:r w:rsidRPr="00B31AA9">
        <w:rPr>
          <w:i/>
        </w:rPr>
        <w:t xml:space="preserve"> Suisse</w:t>
      </w:r>
      <w:r>
        <w:t xml:space="preserve"> (</w:t>
      </w:r>
      <w:hyperlink r:id="rId6" w:history="1">
        <w:r w:rsidR="00136D64">
          <w:rPr>
            <w:rStyle w:val="Lienhypertexte"/>
          </w:rPr>
          <w:t>CAT/C/53/D/450/2011</w:t>
        </w:r>
      </w:hyperlink>
      <w:r>
        <w:t>).</w:t>
      </w:r>
    </w:p>
  </w:footnote>
  <w:footnote w:id="15">
    <w:p w14:paraId="43B87D00" w14:textId="15D3B74A" w:rsidR="007767F9" w:rsidRPr="008E238F" w:rsidRDefault="007767F9" w:rsidP="007767F9">
      <w:pPr>
        <w:pStyle w:val="Notedebasdepage"/>
      </w:pPr>
      <w:r>
        <w:tab/>
      </w:r>
      <w:r w:rsidRPr="002074C3">
        <w:rPr>
          <w:rStyle w:val="Appelnotedebasdep"/>
        </w:rPr>
        <w:footnoteRef/>
      </w:r>
      <w:r>
        <w:tab/>
      </w:r>
      <w:r w:rsidRPr="00B31AA9">
        <w:rPr>
          <w:i/>
          <w:lang w:val="fr-FR"/>
        </w:rPr>
        <w:t>R.</w:t>
      </w:r>
      <w:r>
        <w:rPr>
          <w:i/>
          <w:lang w:val="fr-FR"/>
        </w:rPr>
        <w:t> </w:t>
      </w:r>
      <w:r w:rsidRPr="00B31AA9">
        <w:rPr>
          <w:i/>
          <w:lang w:val="fr-FR"/>
        </w:rPr>
        <w:t>S.</w:t>
      </w:r>
      <w:r>
        <w:rPr>
          <w:i/>
          <w:lang w:val="fr-FR"/>
        </w:rPr>
        <w:t> </w:t>
      </w:r>
      <w:r w:rsidRPr="00B31AA9">
        <w:rPr>
          <w:i/>
          <w:lang w:val="fr-FR"/>
        </w:rPr>
        <w:t>A.</w:t>
      </w:r>
      <w:r>
        <w:rPr>
          <w:i/>
          <w:lang w:val="fr-FR"/>
        </w:rPr>
        <w:t> </w:t>
      </w:r>
      <w:r w:rsidRPr="00B31AA9">
        <w:rPr>
          <w:i/>
          <w:lang w:val="fr-FR"/>
        </w:rPr>
        <w:t>N. c</w:t>
      </w:r>
      <w:r>
        <w:rPr>
          <w:i/>
          <w:lang w:val="fr-FR"/>
        </w:rPr>
        <w:t>.</w:t>
      </w:r>
      <w:r w:rsidRPr="00B31AA9">
        <w:rPr>
          <w:i/>
          <w:lang w:val="fr-FR"/>
        </w:rPr>
        <w:t xml:space="preserve"> Canada</w:t>
      </w:r>
      <w:r>
        <w:rPr>
          <w:lang w:val="fr-FR"/>
        </w:rPr>
        <w:t xml:space="preserve"> (</w:t>
      </w:r>
      <w:hyperlink r:id="rId7" w:history="1">
        <w:r w:rsidR="00136D64">
          <w:rPr>
            <w:rStyle w:val="Lienhypertexte"/>
            <w:lang w:val="fr-FR"/>
          </w:rPr>
          <w:t>CAT/C/37/D/284/2006</w:t>
        </w:r>
      </w:hyperlink>
      <w:r>
        <w:rPr>
          <w:lang w:val="fr-FR"/>
        </w:rPr>
        <w:t>), par. 6.4.</w:t>
      </w:r>
    </w:p>
  </w:footnote>
  <w:footnote w:id="16">
    <w:p w14:paraId="17A034AE" w14:textId="38BB115E" w:rsidR="007767F9" w:rsidRPr="00634DFE" w:rsidRDefault="007767F9" w:rsidP="007767F9">
      <w:pPr>
        <w:pStyle w:val="Notedebasdepage"/>
      </w:pPr>
      <w:r>
        <w:tab/>
      </w:r>
      <w:r w:rsidRPr="002074C3">
        <w:rPr>
          <w:rStyle w:val="Appelnotedebasdep"/>
        </w:rPr>
        <w:footnoteRef/>
      </w:r>
      <w:r>
        <w:tab/>
      </w:r>
      <w:r w:rsidRPr="00B31AA9">
        <w:rPr>
          <w:i/>
        </w:rPr>
        <w:t>D.</w:t>
      </w:r>
      <w:r>
        <w:rPr>
          <w:i/>
        </w:rPr>
        <w:t> </w:t>
      </w:r>
      <w:r w:rsidRPr="00B31AA9">
        <w:rPr>
          <w:i/>
        </w:rPr>
        <w:t>B. c. Suisse</w:t>
      </w:r>
      <w:r>
        <w:t xml:space="preserve"> (</w:t>
      </w:r>
      <w:hyperlink r:id="rId8" w:history="1">
        <w:r w:rsidR="00136D64" w:rsidRPr="00331637">
          <w:rPr>
            <w:rStyle w:val="Lienhypertexte"/>
            <w:color w:val="auto"/>
          </w:rPr>
          <w:t>CAT/C/66/D/820/2017</w:t>
        </w:r>
      </w:hyperlink>
      <w:r>
        <w:t>), par.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7E4C" w14:textId="6C4A3149" w:rsidR="00417D49" w:rsidRPr="00417D49" w:rsidRDefault="00CE6BBA">
    <w:pPr>
      <w:pStyle w:val="En-tte"/>
    </w:pPr>
    <w:fldSimple w:instr=" TITLE  \* MERGEFORMAT ">
      <w:r w:rsidR="00EC092A">
        <w:t>CAT/C/74/D/868/2018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DB91" w14:textId="56E90D94" w:rsidR="00417D49" w:rsidRPr="00417D49" w:rsidRDefault="00CE6BBA" w:rsidP="00417D49">
    <w:pPr>
      <w:pStyle w:val="En-tte"/>
      <w:jc w:val="right"/>
    </w:pPr>
    <w:fldSimple w:instr=" TITLE  \* MERGEFORMAT ">
      <w:r w:rsidR="00EC092A">
        <w:t>CAT/C/74/D/868/2018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91312"/>
    <w:multiLevelType w:val="hybridMultilevel"/>
    <w:tmpl w:val="96E66E78"/>
    <w:lvl w:ilvl="0" w:tplc="67C466B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6AB378">
      <w:start w:val="1"/>
      <w:numFmt w:val="lowerLetter"/>
      <w:lvlText w:val="%2"/>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A29B38">
      <w:start w:val="1"/>
      <w:numFmt w:val="lowerRoman"/>
      <w:lvlText w:val="%3"/>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2C99F2">
      <w:start w:val="1"/>
      <w:numFmt w:val="decimal"/>
      <w:lvlText w:val="%4"/>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F4969A">
      <w:start w:val="1"/>
      <w:numFmt w:val="lowerLetter"/>
      <w:lvlText w:val="%5"/>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AA4A94">
      <w:start w:val="1"/>
      <w:numFmt w:val="lowerRoman"/>
      <w:lvlText w:val="%6"/>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101892">
      <w:start w:val="1"/>
      <w:numFmt w:val="decimal"/>
      <w:lvlText w:val="%7"/>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E4006">
      <w:start w:val="1"/>
      <w:numFmt w:val="lowerLetter"/>
      <w:lvlText w:val="%8"/>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586C6C">
      <w:start w:val="1"/>
      <w:numFmt w:val="lowerRoman"/>
      <w:lvlText w:val="%9"/>
      <w:lvlJc w:val="left"/>
      <w:pPr>
        <w:ind w:left="6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846C99"/>
    <w:multiLevelType w:val="hybridMultilevel"/>
    <w:tmpl w:val="F5902FEC"/>
    <w:lvl w:ilvl="0" w:tplc="B882C59C">
      <w:start w:val="1"/>
      <w:numFmt w:val="lowerLetter"/>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C2B3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C495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A340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A105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913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EFEB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250A0">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45908">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43765F"/>
    <w:multiLevelType w:val="hybridMultilevel"/>
    <w:tmpl w:val="CD864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B4914EF"/>
    <w:multiLevelType w:val="hybridMultilevel"/>
    <w:tmpl w:val="9A3EAC60"/>
    <w:lvl w:ilvl="0" w:tplc="51569F18">
      <w:start w:val="1"/>
      <w:numFmt w:val="bullet"/>
      <w:lvlText w:val="•"/>
      <w:lvlJc w:val="left"/>
      <w:pPr>
        <w:ind w:left="7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C989CB0">
      <w:start w:val="1"/>
      <w:numFmt w:val="bullet"/>
      <w:lvlText w:val="o"/>
      <w:lvlJc w:val="left"/>
      <w:pPr>
        <w:ind w:left="16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4B656E4">
      <w:start w:val="1"/>
      <w:numFmt w:val="bullet"/>
      <w:lvlText w:val="▪"/>
      <w:lvlJc w:val="left"/>
      <w:pPr>
        <w:ind w:left="23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E3E8360">
      <w:start w:val="1"/>
      <w:numFmt w:val="bullet"/>
      <w:lvlText w:val="•"/>
      <w:lvlJc w:val="left"/>
      <w:pPr>
        <w:ind w:left="30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79840C4">
      <w:start w:val="1"/>
      <w:numFmt w:val="bullet"/>
      <w:lvlText w:val="o"/>
      <w:lvlJc w:val="left"/>
      <w:pPr>
        <w:ind w:left="38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31A51AE">
      <w:start w:val="1"/>
      <w:numFmt w:val="bullet"/>
      <w:lvlText w:val="▪"/>
      <w:lvlJc w:val="left"/>
      <w:pPr>
        <w:ind w:left="45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9948C54">
      <w:start w:val="1"/>
      <w:numFmt w:val="bullet"/>
      <w:lvlText w:val="•"/>
      <w:lvlJc w:val="left"/>
      <w:pPr>
        <w:ind w:left="52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610C5EE">
      <w:start w:val="1"/>
      <w:numFmt w:val="bullet"/>
      <w:lvlText w:val="o"/>
      <w:lvlJc w:val="left"/>
      <w:pPr>
        <w:ind w:left="59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9DC400A">
      <w:start w:val="1"/>
      <w:numFmt w:val="bullet"/>
      <w:lvlText w:val="▪"/>
      <w:lvlJc w:val="left"/>
      <w:pPr>
        <w:ind w:left="66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7" w15:restartNumberingAfterBreak="0">
    <w:nsid w:val="7A40339C"/>
    <w:multiLevelType w:val="hybridMultilevel"/>
    <w:tmpl w:val="32B0F512"/>
    <w:lvl w:ilvl="0" w:tplc="6A98BB36">
      <w:start w:val="2"/>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0B896">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E4BC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C9A92">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4605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0DB2E">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E54F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A9754">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E683A">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7C3EF2"/>
    <w:multiLevelType w:val="hybridMultilevel"/>
    <w:tmpl w:val="F0244212"/>
    <w:lvl w:ilvl="0" w:tplc="104EDDE6">
      <w:start w:val="4"/>
      <w:numFmt w:val="lowerLetter"/>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A592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45A4A">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E0F2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C9C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2454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26C6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6D13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2A6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1"/>
  </w:num>
  <w:num w:numId="17">
    <w:abstractNumId w:val="15"/>
  </w:num>
  <w:num w:numId="18">
    <w:abstractNumId w:val="14"/>
  </w:num>
  <w:num w:numId="19">
    <w:abstractNumId w:val="11"/>
  </w:num>
  <w:num w:numId="20">
    <w:abstractNumId w:val="12"/>
  </w:num>
  <w:num w:numId="21">
    <w:abstractNumId w:val="18"/>
  </w:num>
  <w:num w:numId="22">
    <w:abstractNumId w:val="17"/>
  </w:num>
  <w:num w:numId="23">
    <w:abstractNumId w:val="16"/>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FA"/>
    <w:rsid w:val="0000009B"/>
    <w:rsid w:val="00000EA5"/>
    <w:rsid w:val="00023842"/>
    <w:rsid w:val="0003105D"/>
    <w:rsid w:val="00035AE4"/>
    <w:rsid w:val="00037DF1"/>
    <w:rsid w:val="0007796D"/>
    <w:rsid w:val="00101756"/>
    <w:rsid w:val="00111F2F"/>
    <w:rsid w:val="00136D64"/>
    <w:rsid w:val="0014365E"/>
    <w:rsid w:val="00153D34"/>
    <w:rsid w:val="00176178"/>
    <w:rsid w:val="001D14FC"/>
    <w:rsid w:val="001F525A"/>
    <w:rsid w:val="0020490A"/>
    <w:rsid w:val="00287416"/>
    <w:rsid w:val="002C1DA5"/>
    <w:rsid w:val="00315F2F"/>
    <w:rsid w:val="00331637"/>
    <w:rsid w:val="00417D49"/>
    <w:rsid w:val="00422A0B"/>
    <w:rsid w:val="004365E6"/>
    <w:rsid w:val="00446FE5"/>
    <w:rsid w:val="00473955"/>
    <w:rsid w:val="004D6539"/>
    <w:rsid w:val="004F046A"/>
    <w:rsid w:val="00553A1F"/>
    <w:rsid w:val="00573BE5"/>
    <w:rsid w:val="00586ED3"/>
    <w:rsid w:val="00587A52"/>
    <w:rsid w:val="005970D5"/>
    <w:rsid w:val="005A51D3"/>
    <w:rsid w:val="005B105D"/>
    <w:rsid w:val="005B4E23"/>
    <w:rsid w:val="00616CB0"/>
    <w:rsid w:val="00621144"/>
    <w:rsid w:val="00627D27"/>
    <w:rsid w:val="006E3573"/>
    <w:rsid w:val="006F445B"/>
    <w:rsid w:val="00706302"/>
    <w:rsid w:val="0071601D"/>
    <w:rsid w:val="007432FB"/>
    <w:rsid w:val="007767F9"/>
    <w:rsid w:val="0080684C"/>
    <w:rsid w:val="00807D21"/>
    <w:rsid w:val="008240C9"/>
    <w:rsid w:val="00835611"/>
    <w:rsid w:val="00840C6C"/>
    <w:rsid w:val="00853AFA"/>
    <w:rsid w:val="00871C75"/>
    <w:rsid w:val="008776DC"/>
    <w:rsid w:val="00945222"/>
    <w:rsid w:val="009705C8"/>
    <w:rsid w:val="009C4D45"/>
    <w:rsid w:val="009F531E"/>
    <w:rsid w:val="00A05770"/>
    <w:rsid w:val="00A35B69"/>
    <w:rsid w:val="00A37C92"/>
    <w:rsid w:val="00A40848"/>
    <w:rsid w:val="00A53215"/>
    <w:rsid w:val="00A704A8"/>
    <w:rsid w:val="00A75E81"/>
    <w:rsid w:val="00AA0CD3"/>
    <w:rsid w:val="00AB1B55"/>
    <w:rsid w:val="00AE323C"/>
    <w:rsid w:val="00BA13A6"/>
    <w:rsid w:val="00BA41F4"/>
    <w:rsid w:val="00BC5EAA"/>
    <w:rsid w:val="00C02897"/>
    <w:rsid w:val="00C069CD"/>
    <w:rsid w:val="00C22534"/>
    <w:rsid w:val="00C26921"/>
    <w:rsid w:val="00C410B4"/>
    <w:rsid w:val="00C46870"/>
    <w:rsid w:val="00C53208"/>
    <w:rsid w:val="00C74ED1"/>
    <w:rsid w:val="00C850AB"/>
    <w:rsid w:val="00CA5CE1"/>
    <w:rsid w:val="00CD326D"/>
    <w:rsid w:val="00CE6BBA"/>
    <w:rsid w:val="00CF479E"/>
    <w:rsid w:val="00D21E12"/>
    <w:rsid w:val="00D363D3"/>
    <w:rsid w:val="00D372F4"/>
    <w:rsid w:val="00D53AFA"/>
    <w:rsid w:val="00DB1831"/>
    <w:rsid w:val="00DB316B"/>
    <w:rsid w:val="00DC5623"/>
    <w:rsid w:val="00DD3BFD"/>
    <w:rsid w:val="00DF7D38"/>
    <w:rsid w:val="00E0439B"/>
    <w:rsid w:val="00E554A4"/>
    <w:rsid w:val="00E8529E"/>
    <w:rsid w:val="00EA0D23"/>
    <w:rsid w:val="00EA3F83"/>
    <w:rsid w:val="00EC092A"/>
    <w:rsid w:val="00ED1E97"/>
    <w:rsid w:val="00EE6EA3"/>
    <w:rsid w:val="00F2766F"/>
    <w:rsid w:val="00F660DF"/>
    <w:rsid w:val="00F92FCB"/>
    <w:rsid w:val="00F9573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D760"/>
  <w15:docId w15:val="{8DB685E2-D6C0-41A5-AFEF-1101275C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C74ED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74ED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UnresolvedMention1">
    <w:name w:val="Unresolved Mention1"/>
    <w:basedOn w:val="Policepardfaut"/>
    <w:uiPriority w:val="99"/>
    <w:semiHidden/>
    <w:unhideWhenUsed/>
    <w:rsid w:val="007767F9"/>
    <w:rPr>
      <w:color w:val="605E5C"/>
      <w:shd w:val="clear" w:color="auto" w:fill="E1DFDD"/>
    </w:rPr>
  </w:style>
  <w:style w:type="paragraph" w:styleId="Rvision">
    <w:name w:val="Revision"/>
    <w:hidden/>
    <w:uiPriority w:val="99"/>
    <w:semiHidden/>
    <w:rsid w:val="007767F9"/>
    <w:pPr>
      <w:spacing w:after="0" w:line="240" w:lineRule="auto"/>
    </w:pPr>
    <w:rPr>
      <w:rFonts w:ascii="Times New Roman" w:eastAsiaTheme="minorHAnsi" w:hAnsi="Times New Roman" w:cs="Times New Roman"/>
      <w:sz w:val="20"/>
      <w:szCs w:val="20"/>
      <w:lang w:eastAsia="en-US"/>
    </w:rPr>
  </w:style>
  <w:style w:type="paragraph" w:customStyle="1" w:styleId="footnotedescription">
    <w:name w:val="footnote description"/>
    <w:next w:val="Normal"/>
    <w:link w:val="footnotedescriptionChar"/>
    <w:hidden/>
    <w:rsid w:val="007767F9"/>
    <w:pPr>
      <w:spacing w:after="99" w:line="238" w:lineRule="auto"/>
      <w:ind w:left="322" w:right="38" w:firstLine="5"/>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7767F9"/>
    <w:rPr>
      <w:rFonts w:ascii="Times New Roman" w:eastAsia="Times New Roman" w:hAnsi="Times New Roman" w:cs="Times New Roman"/>
      <w:color w:val="000000"/>
      <w:sz w:val="20"/>
      <w:lang w:val="en-US" w:eastAsia="en-US"/>
    </w:rPr>
  </w:style>
  <w:style w:type="character" w:customStyle="1" w:styleId="footnotemark">
    <w:name w:val="footnote mark"/>
    <w:hidden/>
    <w:rsid w:val="007767F9"/>
    <w:rPr>
      <w:rFonts w:ascii="Times New Roman" w:eastAsia="Times New Roman" w:hAnsi="Times New Roman" w:cs="Times New Roman"/>
      <w:color w:val="000000"/>
      <w:sz w:val="18"/>
      <w:vertAlign w:val="superscript"/>
    </w:rPr>
  </w:style>
  <w:style w:type="paragraph" w:styleId="Paragraphedeliste">
    <w:name w:val="List Paragraph"/>
    <w:basedOn w:val="Normal"/>
    <w:uiPriority w:val="34"/>
    <w:qFormat/>
    <w:rsid w:val="007767F9"/>
    <w:pPr>
      <w:ind w:left="720"/>
      <w:contextualSpacing/>
    </w:pPr>
  </w:style>
  <w:style w:type="paragraph" w:styleId="Commentaire">
    <w:name w:val="annotation text"/>
    <w:basedOn w:val="Normal"/>
    <w:link w:val="CommentaireCar"/>
    <w:uiPriority w:val="99"/>
    <w:semiHidden/>
    <w:unhideWhenUsed/>
    <w:rsid w:val="007767F9"/>
    <w:pPr>
      <w:spacing w:line="240" w:lineRule="auto"/>
    </w:pPr>
  </w:style>
  <w:style w:type="character" w:customStyle="1" w:styleId="CommentaireCar">
    <w:name w:val="Commentaire Car"/>
    <w:basedOn w:val="Policepardfaut"/>
    <w:link w:val="Commentaire"/>
    <w:uiPriority w:val="99"/>
    <w:semiHidden/>
    <w:rsid w:val="007767F9"/>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7767F9"/>
    <w:pPr>
      <w:spacing w:line="240" w:lineRule="auto"/>
    </w:pPr>
    <w:rPr>
      <w:b/>
      <w:bCs/>
    </w:rPr>
  </w:style>
  <w:style w:type="character" w:customStyle="1" w:styleId="ObjetducommentaireCar">
    <w:name w:val="Objet du commentaire Car"/>
    <w:basedOn w:val="CommentaireCar"/>
    <w:link w:val="Objetducommentaire"/>
    <w:uiPriority w:val="99"/>
    <w:semiHidden/>
    <w:rsid w:val="007767F9"/>
    <w:rPr>
      <w:rFonts w:ascii="Times New Roman" w:eastAsiaTheme="minorHAnsi"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13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66/D/820/2017" TargetMode="External"/><Relationship Id="rId3" Type="http://schemas.openxmlformats.org/officeDocument/2006/relationships/hyperlink" Target="http://undocs.org/fr/CAT/C/46/D/395/2009" TargetMode="External"/><Relationship Id="rId7" Type="http://schemas.openxmlformats.org/officeDocument/2006/relationships/hyperlink" Target="http://undocs.org/fr/CAT/C/37/D/284/2006" TargetMode="External"/><Relationship Id="rId2" Type="http://schemas.openxmlformats.org/officeDocument/2006/relationships/hyperlink" Target="http://undocs.org/fr/CAT/C/55/D/512/2012" TargetMode="External"/><Relationship Id="rId1" Type="http://schemas.openxmlformats.org/officeDocument/2006/relationships/hyperlink" Target="http://undocs.org/fr/CAT/C/25/D/149/1999" TargetMode="External"/><Relationship Id="rId6" Type="http://schemas.openxmlformats.org/officeDocument/2006/relationships/hyperlink" Target="http://undocs.org/fr/CAT/C/53/D/450/2011" TargetMode="External"/><Relationship Id="rId5" Type="http://schemas.openxmlformats.org/officeDocument/2006/relationships/hyperlink" Target="http://undocs.org/fr/CAT/C/46/D/357/2008" TargetMode="External"/><Relationship Id="rId4" Type="http://schemas.openxmlformats.org/officeDocument/2006/relationships/hyperlink" Target="http://undocs.org/fr/CAT/C/53/D/49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5549</Words>
  <Characters>28578</Characters>
  <Application>Microsoft Office Word</Application>
  <DocSecurity>0</DocSecurity>
  <Lines>433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CAT/C/74/D/868/2018</vt:lpstr>
      <vt:lpstr>CAT/C/74/D/868/2018</vt:lpstr>
    </vt:vector>
  </TitlesOfParts>
  <Company>DCM</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CAT/C/74/D/868/2018</dc:title>
  <dc:subject/>
  <dc:creator>Nathalie VITTOZ</dc:creator>
  <cp:keywords/>
  <cp:lastModifiedBy>Julien Okrzesik</cp:lastModifiedBy>
  <cp:revision>3</cp:revision>
  <cp:lastPrinted>2022-11-21T16:17:00Z</cp:lastPrinted>
  <dcterms:created xsi:type="dcterms:W3CDTF">2022-11-21T16:17:00Z</dcterms:created>
  <dcterms:modified xsi:type="dcterms:W3CDTF">2022-11-21T16:17:00Z</dcterms:modified>
</cp:coreProperties>
</file>