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1796053E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04B739" w14:textId="77777777" w:rsidR="00712059" w:rsidRPr="00CA35DF" w:rsidRDefault="00712059" w:rsidP="007825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szCs w:val="40"/>
                <w:rtl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F5ABD9" w14:textId="77777777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CE68C4" w14:textId="390FA863" w:rsidR="006B3E27" w:rsidRPr="00AB7466" w:rsidRDefault="00AB7466" w:rsidP="00AB7466">
            <w:pPr>
              <w:bidi w:val="0"/>
              <w:rPr>
                <w:szCs w:val="20"/>
              </w:rPr>
            </w:pPr>
            <w:r w:rsidRPr="00AB7466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/C/74/D/901/2018</w:t>
            </w:r>
          </w:p>
        </w:tc>
      </w:tr>
      <w:tr w:rsidR="006B3E27" w:rsidRPr="00CA35DF" w14:paraId="5E489236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153CD6C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18DF6B2D" wp14:editId="4E1F535F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6FCA763" w14:textId="77777777" w:rsidR="00A67AF5" w:rsidRPr="00CA35DF" w:rsidRDefault="00817373" w:rsidP="00E2697F">
            <w:pPr>
              <w:spacing w:before="120" w:after="40" w:line="580" w:lineRule="exact"/>
              <w:ind w:left="57"/>
              <w:jc w:val="both"/>
              <w:rPr>
                <w:b/>
                <w:bCs/>
                <w:sz w:val="42"/>
                <w:szCs w:val="42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0FDA16D" w14:textId="77777777" w:rsidR="006B3E27" w:rsidRDefault="00AB7466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4F4D91E3" w14:textId="1E2B8FA5" w:rsidR="00AB7466" w:rsidRDefault="003825DD" w:rsidP="00AB7466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t>9 December 2022</w:t>
            </w:r>
            <w:r w:rsidR="00AE1E9A">
              <w:rPr>
                <w:szCs w:val="20"/>
              </w:rPr>
              <w:t xml:space="preserve"> </w:t>
            </w:r>
          </w:p>
          <w:p w14:paraId="0B5BB668" w14:textId="77777777" w:rsidR="00AB7466" w:rsidRDefault="00AB7466" w:rsidP="00AB7466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15AE643F" w14:textId="0F7F5894" w:rsidR="00AB7466" w:rsidRPr="00AB7466" w:rsidRDefault="00AB7466" w:rsidP="00AB7466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4F44BC9B" w14:textId="77777777" w:rsidR="00364A75" w:rsidRPr="003825DD" w:rsidRDefault="00364A75" w:rsidP="003825DD">
      <w:pPr>
        <w:spacing w:before="120" w:line="360" w:lineRule="exact"/>
        <w:textDirection w:val="tbRlV"/>
        <w:rPr>
          <w:b/>
          <w:bCs/>
          <w:sz w:val="26"/>
          <w:szCs w:val="26"/>
          <w:lang w:val="ar-SA" w:eastAsia="zh-TW" w:bidi="en-GB"/>
        </w:rPr>
      </w:pPr>
      <w:r w:rsidRPr="003825DD">
        <w:rPr>
          <w:b/>
          <w:bCs/>
          <w:sz w:val="26"/>
          <w:szCs w:val="26"/>
          <w:rtl/>
        </w:rPr>
        <w:t>‎لجنة مناهضة التعذيب‏‏</w:t>
      </w:r>
    </w:p>
    <w:p w14:paraId="1B04591B" w14:textId="5B48ECEE" w:rsidR="00364A75" w:rsidRPr="00364A75" w:rsidRDefault="00364A75" w:rsidP="00364A75">
      <w:pPr>
        <w:pStyle w:val="HChGA"/>
        <w:rPr>
          <w:rtl/>
        </w:rPr>
      </w:pPr>
      <w:r w:rsidRPr="00364A75">
        <w:rPr>
          <w:rtl/>
        </w:rPr>
        <w:tab/>
      </w:r>
      <w:r w:rsidRPr="00364A75">
        <w:rPr>
          <w:rtl/>
        </w:rPr>
        <w:tab/>
        <w:t>قرار اعتمدته اللجنة بموجب المادة 22 من الاتفاقية، بشأن البلاغ رقم</w:t>
      </w:r>
      <w:r w:rsidR="007033BF">
        <w:rPr>
          <w:rFonts w:hint="cs"/>
          <w:rtl/>
        </w:rPr>
        <w:t> </w:t>
      </w:r>
      <w:r w:rsidRPr="00364A75">
        <w:rPr>
          <w:rtl/>
        </w:rPr>
        <w:t>901/2018</w:t>
      </w:r>
      <w:r w:rsidR="00AE1E9A" w:rsidRPr="00AE1E9A">
        <w:rPr>
          <w:rStyle w:val="FootnoteReference"/>
          <w:sz w:val="22"/>
          <w:szCs w:val="22"/>
          <w:vertAlign w:val="baseline"/>
          <w:rtl/>
        </w:rPr>
        <w:footnoteReference w:customMarkFollows="1" w:id="1"/>
        <w:t>*</w:t>
      </w:r>
      <w:r w:rsidR="00AE1E9A">
        <w:rPr>
          <w:rFonts w:hint="cs"/>
          <w:rtl/>
        </w:rPr>
        <w:t xml:space="preserve"> </w:t>
      </w:r>
      <w:r w:rsidR="00AE1E9A" w:rsidRPr="00AE1E9A">
        <w:rPr>
          <w:rStyle w:val="FootnoteReference"/>
          <w:sz w:val="22"/>
          <w:szCs w:val="22"/>
          <w:vertAlign w:val="baseline"/>
          <w:rtl/>
        </w:rPr>
        <w:footnoteReference w:customMarkFollows="1" w:id="2"/>
        <w:t>**</w:t>
      </w:r>
    </w:p>
    <w:p w14:paraId="10DB2FA3" w14:textId="500E5548" w:rsidR="00364A75" w:rsidRPr="00364A75" w:rsidRDefault="00364A75" w:rsidP="00364A7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bookmarkStart w:id="0" w:name="_Hlk121411342"/>
      <w:r w:rsidRPr="00364A75">
        <w:rPr>
          <w:i/>
          <w:iCs/>
          <w:rtl/>
        </w:rPr>
        <w:t>بلاغ مقدم من:</w:t>
      </w:r>
      <w:r>
        <w:rPr>
          <w:rtl/>
        </w:rPr>
        <w:tab/>
      </w:r>
      <w:r w:rsidRPr="00364A75">
        <w:rPr>
          <w:rtl/>
        </w:rPr>
        <w:t xml:space="preserve">إ. ت. ور. س. (تمثلهما المحامية سونيا </w:t>
      </w:r>
      <w:proofErr w:type="spellStart"/>
      <w:r w:rsidRPr="00364A75">
        <w:rPr>
          <w:rtl/>
        </w:rPr>
        <w:t>ترويشر</w:t>
      </w:r>
      <w:proofErr w:type="spellEnd"/>
      <w:r w:rsidRPr="00364A75">
        <w:rPr>
          <w:rtl/>
        </w:rPr>
        <w:t xml:space="preserve">) </w:t>
      </w:r>
    </w:p>
    <w:p w14:paraId="43BF36FD" w14:textId="7A37580C" w:rsidR="00364A75" w:rsidRPr="00364A75" w:rsidRDefault="00364A75" w:rsidP="00364A7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364A75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364A75">
        <w:rPr>
          <w:rtl/>
        </w:rPr>
        <w:t>صاحبا الشكوى وأطفالهما الثلاثة</w:t>
      </w:r>
    </w:p>
    <w:bookmarkEnd w:id="0"/>
    <w:p w14:paraId="19AD5949" w14:textId="2A07A50D" w:rsidR="00364A75" w:rsidRPr="00364A75" w:rsidRDefault="00364A75" w:rsidP="00364A7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364A75">
        <w:rPr>
          <w:i/>
          <w:iCs/>
          <w:rtl/>
        </w:rPr>
        <w:t>الدولة الطرف:</w:t>
      </w:r>
      <w:r>
        <w:rPr>
          <w:rtl/>
        </w:rPr>
        <w:tab/>
      </w:r>
      <w:r w:rsidRPr="00364A75">
        <w:rPr>
          <w:rtl/>
        </w:rPr>
        <w:t xml:space="preserve">سويسرا </w:t>
      </w:r>
    </w:p>
    <w:p w14:paraId="2A47030A" w14:textId="030EF2C7" w:rsidR="00364A75" w:rsidRPr="00205418" w:rsidRDefault="00364A75" w:rsidP="00364A7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spacing w:val="2"/>
        </w:rPr>
      </w:pPr>
      <w:r w:rsidRPr="00205418">
        <w:rPr>
          <w:i/>
          <w:iCs/>
          <w:spacing w:val="2"/>
          <w:rtl/>
        </w:rPr>
        <w:t>تاريخ الشكوى:</w:t>
      </w:r>
      <w:r w:rsidRPr="00205418">
        <w:rPr>
          <w:spacing w:val="2"/>
          <w:rtl/>
        </w:rPr>
        <w:tab/>
        <w:t>11 كانون الأول/ديسمبر 2018 (تاريخ تقديم الرسالة الأولى)</w:t>
      </w:r>
    </w:p>
    <w:p w14:paraId="014C4EFC" w14:textId="7C446578" w:rsidR="00364A75" w:rsidRPr="00364A75" w:rsidRDefault="00364A75" w:rsidP="00364A7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364A75">
        <w:rPr>
          <w:i/>
          <w:iCs/>
          <w:rtl/>
        </w:rPr>
        <w:t>المسائل الموضوعية:</w:t>
      </w:r>
      <w:r>
        <w:rPr>
          <w:rtl/>
        </w:rPr>
        <w:tab/>
      </w:r>
      <w:r w:rsidRPr="00364A75">
        <w:rPr>
          <w:rtl/>
        </w:rPr>
        <w:t>الترحيل إلى الاتحاد الروسي؛ وخطر التعرض للتعذيب وإساءة المعاملة</w:t>
      </w:r>
    </w:p>
    <w:p w14:paraId="677EBD6F" w14:textId="4B0C02D1" w:rsidR="00364A75" w:rsidRPr="000133CE" w:rsidRDefault="00364A75" w:rsidP="00364A75">
      <w:pPr>
        <w:pStyle w:val="SingleTxtGA"/>
      </w:pPr>
      <w:r w:rsidRPr="000133CE">
        <w:rPr>
          <w:rtl/>
        </w:rPr>
        <w:tab/>
        <w:t>قررت اللجنة، في اجتماعها المعقود في 21 تموز/يوليه 2022، وقف النظر في البلاغ رقم</w:t>
      </w:r>
      <w:r w:rsidR="002F4911">
        <w:rPr>
          <w:rFonts w:hint="cs"/>
          <w:rtl/>
        </w:rPr>
        <w:t> </w:t>
      </w:r>
      <w:r w:rsidRPr="000133CE">
        <w:rPr>
          <w:rtl/>
        </w:rPr>
        <w:t>901/2018 بعد أن أبلغتها الدولة الطرف بأن أصحاب الشكوى مُنحوا حق اللجوء في 26 شباط/فبراير</w:t>
      </w:r>
      <w:r w:rsidR="002F4911">
        <w:rPr>
          <w:rFonts w:hint="cs"/>
          <w:rtl/>
        </w:rPr>
        <w:t xml:space="preserve"> </w:t>
      </w:r>
      <w:r w:rsidRPr="000133CE">
        <w:rPr>
          <w:rtl/>
        </w:rPr>
        <w:t>2021، وبعد أن تلقت في وقت تالٍ طلبا</w:t>
      </w:r>
      <w:r w:rsidR="004E6A8C">
        <w:rPr>
          <w:rFonts w:hint="cs"/>
          <w:rtl/>
        </w:rPr>
        <w:t>ً</w:t>
      </w:r>
      <w:r w:rsidRPr="000133CE">
        <w:rPr>
          <w:rtl/>
        </w:rPr>
        <w:t xml:space="preserve"> من الدولة الطرف لوقف النظر في القضية وإشعاراً بالموافقة على ذلك من محامية أصحاب الشكوى عقب التوصل إلى حل مرضٍ للقضية.</w:t>
      </w:r>
    </w:p>
    <w:p w14:paraId="04364BC2" w14:textId="77777777" w:rsidR="00364A75" w:rsidRPr="00E67FFB" w:rsidRDefault="00364A75" w:rsidP="00364A75">
      <w:pPr>
        <w:spacing w:before="240"/>
        <w:jc w:val="center"/>
        <w:rPr>
          <w:rFonts w:eastAsiaTheme="minorEastAs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4A75" w:rsidRPr="00E67FFB" w:rsidSect="00AB746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9F2A" w14:textId="77777777" w:rsidR="00CB4E46" w:rsidRPr="002901D9" w:rsidRDefault="00CB4E46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1907E31A" w14:textId="77777777" w:rsidR="00CB4E46" w:rsidRDefault="00CB4E46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A730" w14:textId="641B590B" w:rsidR="00782522" w:rsidRPr="00782522" w:rsidRDefault="00782522" w:rsidP="00782522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GE.22-28016</w:t>
    </w:r>
    <w:r>
      <w:rPr>
        <w:lang w:val="en-US"/>
      </w:rPr>
      <w:tab/>
    </w:r>
    <w:r w:rsidRPr="00782522">
      <w:rPr>
        <w:b/>
        <w:sz w:val="18"/>
        <w:lang w:val="en-US"/>
      </w:rPr>
      <w:fldChar w:fldCharType="begin"/>
    </w:r>
    <w:r w:rsidRPr="00782522">
      <w:rPr>
        <w:b/>
        <w:sz w:val="18"/>
        <w:lang w:val="en-US"/>
      </w:rPr>
      <w:instrText xml:space="preserve"> PAGE  \* MERGEFORMAT </w:instrText>
    </w:r>
    <w:r w:rsidRPr="00782522">
      <w:rPr>
        <w:b/>
        <w:sz w:val="18"/>
        <w:lang w:val="en-US"/>
      </w:rPr>
      <w:fldChar w:fldCharType="separate"/>
    </w:r>
    <w:r w:rsidRPr="00782522">
      <w:rPr>
        <w:b/>
        <w:noProof/>
        <w:sz w:val="18"/>
        <w:lang w:val="en-US"/>
      </w:rPr>
      <w:t>2</w:t>
    </w:r>
    <w:r w:rsidRPr="00782522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3BDE" w14:textId="5DCD2DC3" w:rsidR="006959B0" w:rsidRPr="00782522" w:rsidRDefault="00782522" w:rsidP="00782522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GE.22-28016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47A2" w14:textId="287A33C5" w:rsidR="00261289" w:rsidRPr="00782522" w:rsidRDefault="00782522" w:rsidP="00782522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12280453" wp14:editId="27639D1C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22-28016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6FB13313" wp14:editId="238E8CA1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3BEE" w14:textId="77777777" w:rsidR="00CB4E46" w:rsidRPr="004956DC" w:rsidRDefault="00CB4E46" w:rsidP="000F71D2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45FA4E9E" w14:textId="77777777" w:rsidR="00CB4E46" w:rsidRDefault="00CB4E46" w:rsidP="00656392">
      <w:pPr>
        <w:spacing w:line="240" w:lineRule="auto"/>
      </w:pPr>
      <w:r>
        <w:continuationSeparator/>
      </w:r>
    </w:p>
  </w:footnote>
  <w:footnote w:id="1">
    <w:p w14:paraId="14AEA0BD" w14:textId="1B47A339" w:rsidR="00AE1E9A" w:rsidRPr="00AE1E9A" w:rsidRDefault="00AE1E9A" w:rsidP="00AE1E9A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AE1E9A">
        <w:rPr>
          <w:rtl/>
        </w:rPr>
        <w:t>اعتمدته اللجنة في دورتها الرابعة والسبعين (12-29 تموز/يوليه 2022).</w:t>
      </w:r>
      <w:r w:rsidRPr="00AE1E9A">
        <w:rPr>
          <w:rFonts w:ascii="Arial" w:hAnsi="Arial" w:cs="Arial" w:hint="cs"/>
          <w:rtl/>
        </w:rPr>
        <w:t>‬</w:t>
      </w:r>
    </w:p>
  </w:footnote>
  <w:footnote w:id="2">
    <w:p w14:paraId="11ECBE30" w14:textId="4925B615" w:rsidR="00AE1E9A" w:rsidRPr="00AE1E9A" w:rsidRDefault="00AE1E9A" w:rsidP="00AE1E9A">
      <w:pPr>
        <w:pStyle w:val="FootnoteText1"/>
        <w:rPr>
          <w:rtl/>
        </w:rPr>
      </w:pPr>
      <w:r>
        <w:rPr>
          <w:rtl/>
        </w:rPr>
        <w:t>**</w:t>
      </w:r>
      <w:r>
        <w:rPr>
          <w:rtl/>
        </w:rPr>
        <w:tab/>
      </w:r>
      <w:r w:rsidRPr="00AE1E9A">
        <w:rPr>
          <w:rtl/>
        </w:rPr>
        <w:t xml:space="preserve">شارك في دراسة هذا البلاغ أعضاء اللجنة التالية أسماؤهم: تود </w:t>
      </w:r>
      <w:proofErr w:type="spellStart"/>
      <w:r w:rsidRPr="00AE1E9A">
        <w:rPr>
          <w:rtl/>
        </w:rPr>
        <w:t>بوكوالد</w:t>
      </w:r>
      <w:proofErr w:type="spellEnd"/>
      <w:r w:rsidRPr="00AE1E9A">
        <w:rPr>
          <w:rtl/>
        </w:rPr>
        <w:t xml:space="preserve">، وكلود هيلر، وأردوغان </w:t>
      </w:r>
      <w:proofErr w:type="spellStart"/>
      <w:r w:rsidRPr="00AE1E9A">
        <w:rPr>
          <w:rtl/>
        </w:rPr>
        <w:t>إيسكان</w:t>
      </w:r>
      <w:proofErr w:type="spellEnd"/>
      <w:r w:rsidRPr="00AE1E9A">
        <w:rPr>
          <w:rtl/>
        </w:rPr>
        <w:t xml:space="preserve">، </w:t>
      </w:r>
      <w:proofErr w:type="spellStart"/>
      <w:r w:rsidRPr="00AE1E9A">
        <w:rPr>
          <w:rtl/>
        </w:rPr>
        <w:t>ومايدا</w:t>
      </w:r>
      <w:proofErr w:type="spellEnd"/>
      <w:r w:rsidRPr="00AE1E9A">
        <w:rPr>
          <w:rtl/>
        </w:rPr>
        <w:t xml:space="preserve"> </w:t>
      </w:r>
      <w:proofErr w:type="spellStart"/>
      <w:r w:rsidRPr="00AE1E9A">
        <w:rPr>
          <w:rtl/>
        </w:rPr>
        <w:t>ناوكو</w:t>
      </w:r>
      <w:proofErr w:type="spellEnd"/>
      <w:r w:rsidRPr="00AE1E9A">
        <w:rPr>
          <w:rtl/>
        </w:rPr>
        <w:t xml:space="preserve">، </w:t>
      </w:r>
      <w:proofErr w:type="spellStart"/>
      <w:r w:rsidRPr="00AE1E9A">
        <w:rPr>
          <w:rtl/>
        </w:rPr>
        <w:t>وإلفيا</w:t>
      </w:r>
      <w:proofErr w:type="spellEnd"/>
      <w:r w:rsidRPr="00AE1E9A">
        <w:rPr>
          <w:rtl/>
        </w:rPr>
        <w:t xml:space="preserve"> </w:t>
      </w:r>
      <w:proofErr w:type="spellStart"/>
      <w:r w:rsidRPr="00AE1E9A">
        <w:rPr>
          <w:rtl/>
        </w:rPr>
        <w:t>بوتشي</w:t>
      </w:r>
      <w:proofErr w:type="spellEnd"/>
      <w:r w:rsidRPr="00AE1E9A">
        <w:rPr>
          <w:rtl/>
        </w:rPr>
        <w:t xml:space="preserve">، وآنا </w:t>
      </w:r>
      <w:proofErr w:type="spellStart"/>
      <w:r w:rsidRPr="00AE1E9A">
        <w:rPr>
          <w:rtl/>
        </w:rPr>
        <w:t>راكو</w:t>
      </w:r>
      <w:proofErr w:type="spellEnd"/>
      <w:r w:rsidRPr="00AE1E9A">
        <w:rPr>
          <w:rtl/>
        </w:rPr>
        <w:t xml:space="preserve">، وعبد الرزاق روان، وسيباستيان توزيه، وبختيار </w:t>
      </w:r>
      <w:proofErr w:type="spellStart"/>
      <w:r w:rsidRPr="00AE1E9A">
        <w:rPr>
          <w:rtl/>
        </w:rPr>
        <w:t>توزمحمدوف</w:t>
      </w:r>
      <w:proofErr w:type="spellEnd"/>
      <w:r w:rsidRPr="00AE1E9A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C053" w14:textId="10DC04A4" w:rsidR="00782522" w:rsidRPr="00782522" w:rsidRDefault="00782522" w:rsidP="00782522">
    <w:pPr>
      <w:pStyle w:val="Header"/>
      <w:spacing w:line="240" w:lineRule="auto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CAT/C/74/D/901/2018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5FF2" w14:textId="626AD5CF" w:rsidR="00782522" w:rsidRPr="00782522" w:rsidRDefault="00782522" w:rsidP="00782522">
    <w:pPr>
      <w:pStyle w:val="Header"/>
      <w:bidi w:val="0"/>
      <w:spacing w:line="240" w:lineRule="auto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CAT/C/74/D/901/2018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46"/>
    <w:rsid w:val="000076D5"/>
    <w:rsid w:val="000133CE"/>
    <w:rsid w:val="00043663"/>
    <w:rsid w:val="000456F3"/>
    <w:rsid w:val="000505CF"/>
    <w:rsid w:val="000A2113"/>
    <w:rsid w:val="000D701C"/>
    <w:rsid w:val="000E11D4"/>
    <w:rsid w:val="000E2A71"/>
    <w:rsid w:val="000F71D2"/>
    <w:rsid w:val="00137EB8"/>
    <w:rsid w:val="00160263"/>
    <w:rsid w:val="00166BD2"/>
    <w:rsid w:val="00167825"/>
    <w:rsid w:val="00170EB3"/>
    <w:rsid w:val="00181F96"/>
    <w:rsid w:val="001A1371"/>
    <w:rsid w:val="001B346A"/>
    <w:rsid w:val="001D6F7B"/>
    <w:rsid w:val="001E1CAD"/>
    <w:rsid w:val="001E28B9"/>
    <w:rsid w:val="001E290D"/>
    <w:rsid w:val="001E6C0F"/>
    <w:rsid w:val="00205418"/>
    <w:rsid w:val="00210DD4"/>
    <w:rsid w:val="002144FA"/>
    <w:rsid w:val="0023469A"/>
    <w:rsid w:val="00243C8A"/>
    <w:rsid w:val="00261289"/>
    <w:rsid w:val="00266034"/>
    <w:rsid w:val="0026755E"/>
    <w:rsid w:val="00267A0E"/>
    <w:rsid w:val="002901D9"/>
    <w:rsid w:val="002976C2"/>
    <w:rsid w:val="002F4911"/>
    <w:rsid w:val="00323EC8"/>
    <w:rsid w:val="003260FF"/>
    <w:rsid w:val="00343D95"/>
    <w:rsid w:val="00362E33"/>
    <w:rsid w:val="00364A75"/>
    <w:rsid w:val="00374341"/>
    <w:rsid w:val="003825DD"/>
    <w:rsid w:val="00384DA7"/>
    <w:rsid w:val="003D1062"/>
    <w:rsid w:val="00420D7B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4E6A8C"/>
    <w:rsid w:val="00531DEA"/>
    <w:rsid w:val="0054472E"/>
    <w:rsid w:val="005662A9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7033BF"/>
    <w:rsid w:val="00706DFD"/>
    <w:rsid w:val="00712059"/>
    <w:rsid w:val="00733704"/>
    <w:rsid w:val="00761849"/>
    <w:rsid w:val="0078071A"/>
    <w:rsid w:val="00782522"/>
    <w:rsid w:val="007A3847"/>
    <w:rsid w:val="007D56C1"/>
    <w:rsid w:val="00817373"/>
    <w:rsid w:val="00852A9A"/>
    <w:rsid w:val="00860491"/>
    <w:rsid w:val="00874514"/>
    <w:rsid w:val="00893A8A"/>
    <w:rsid w:val="00897AA1"/>
    <w:rsid w:val="008C0B37"/>
    <w:rsid w:val="008F49E1"/>
    <w:rsid w:val="0090370F"/>
    <w:rsid w:val="00906A57"/>
    <w:rsid w:val="009269D2"/>
    <w:rsid w:val="00942135"/>
    <w:rsid w:val="009521B0"/>
    <w:rsid w:val="00972676"/>
    <w:rsid w:val="00981C12"/>
    <w:rsid w:val="009A7E9F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AB7466"/>
    <w:rsid w:val="00AE1E9A"/>
    <w:rsid w:val="00B07715"/>
    <w:rsid w:val="00B13763"/>
    <w:rsid w:val="00B40134"/>
    <w:rsid w:val="00B456A0"/>
    <w:rsid w:val="00B477A4"/>
    <w:rsid w:val="00B54045"/>
    <w:rsid w:val="00B82677"/>
    <w:rsid w:val="00BA39D4"/>
    <w:rsid w:val="00BD0805"/>
    <w:rsid w:val="00C438D7"/>
    <w:rsid w:val="00C62476"/>
    <w:rsid w:val="00C81B50"/>
    <w:rsid w:val="00C87F1F"/>
    <w:rsid w:val="00C94D9A"/>
    <w:rsid w:val="00C96AFF"/>
    <w:rsid w:val="00CA2103"/>
    <w:rsid w:val="00CA35DF"/>
    <w:rsid w:val="00CB4E46"/>
    <w:rsid w:val="00CD1801"/>
    <w:rsid w:val="00CF25FC"/>
    <w:rsid w:val="00D10EF1"/>
    <w:rsid w:val="00D42810"/>
    <w:rsid w:val="00D914A7"/>
    <w:rsid w:val="00DB712F"/>
    <w:rsid w:val="00DC1D29"/>
    <w:rsid w:val="00DD13C3"/>
    <w:rsid w:val="00DD596E"/>
    <w:rsid w:val="00DD621E"/>
    <w:rsid w:val="00DF0575"/>
    <w:rsid w:val="00E00885"/>
    <w:rsid w:val="00E2697F"/>
    <w:rsid w:val="00E64B72"/>
    <w:rsid w:val="00E70E04"/>
    <w:rsid w:val="00E76499"/>
    <w:rsid w:val="00EC05A7"/>
    <w:rsid w:val="00EC4B6B"/>
    <w:rsid w:val="00EE56C3"/>
    <w:rsid w:val="00EF1EE5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5BA4095"/>
  <w15:docId w15:val="{B34A2F1D-872C-43F8-9B35-0D52AF15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2F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DB712F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DB712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712F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712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712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712F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712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712F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712F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DB712F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DB712F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DB712F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DB712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DB712F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DB712F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DB712F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DB712F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DB712F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DB712F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DB712F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DB712F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DB712F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DB712F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DB712F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DB712F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DB712F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DB712F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DB712F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DB712F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DB712F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DB712F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DB712F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DB712F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DB712F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DB712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DB712F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DB712F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DB712F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DB712F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B712F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DB712F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DB712F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DB712F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B712F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DB712F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B712F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DB712F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DB712F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DB712F"/>
    <w:rPr>
      <w:i/>
      <w:iCs/>
    </w:rPr>
  </w:style>
  <w:style w:type="character" w:styleId="IntenseEmphasis">
    <w:name w:val="Intense Emphasis"/>
    <w:uiPriority w:val="21"/>
    <w:rsid w:val="00DB712F"/>
    <w:rPr>
      <w:b/>
      <w:bCs/>
      <w:i/>
      <w:iCs/>
      <w:color w:val="4F81BD"/>
    </w:rPr>
  </w:style>
  <w:style w:type="character" w:styleId="Strong">
    <w:name w:val="Strong"/>
    <w:uiPriority w:val="22"/>
    <w:rsid w:val="00DB71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B712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B712F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B71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B712F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DB712F"/>
    <w:rPr>
      <w:smallCaps/>
      <w:color w:val="C0504D"/>
      <w:u w:val="single"/>
    </w:rPr>
  </w:style>
  <w:style w:type="character" w:styleId="IntenseReference">
    <w:name w:val="Intense Reference"/>
    <w:uiPriority w:val="32"/>
    <w:rsid w:val="00DB712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DB712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DB712F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DB712F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DB712F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2F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12F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DB712F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DB712F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DB712F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DB712F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DB712F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DB712F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DB712F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DB712F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DB712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DB712F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DB712F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712F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DB712F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DB712F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DB712F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DB712F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DB712F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DB712F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DB712F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DB712F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DB712F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DB712F"/>
  </w:style>
  <w:style w:type="paragraph" w:customStyle="1" w:styleId="H1G">
    <w:name w:val="_ H_1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DB712F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DB712F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DB712F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DB712F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DB712F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DB712F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DB712F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DB712F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DB712F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DB712F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DB712F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DB712F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DB712F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DB712F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DB712F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DB712F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DB712F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DB712F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DB712F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DB712F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DB712F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DB712F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DB712F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DB712F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DB712F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DB712F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DB712F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DB712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DB712F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DB712F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DB712F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DB712F"/>
    <w:pPr>
      <w:numPr>
        <w:numId w:val="2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DB712F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DB712F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DB712F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DB712F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2F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2F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2F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DB712F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DB712F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DB712F"/>
    <w:rPr>
      <w:sz w:val="32"/>
      <w:szCs w:val="32"/>
    </w:rPr>
  </w:style>
  <w:style w:type="paragraph" w:customStyle="1" w:styleId="ParaNoG">
    <w:name w:val="_ParaNo._G"/>
    <w:basedOn w:val="SingleTxtG"/>
    <w:rsid w:val="00DB712F"/>
    <w:pPr>
      <w:numPr>
        <w:numId w:val="28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DB712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DB712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DB712F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DB712F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DB712F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DB712F"/>
  </w:style>
  <w:style w:type="character" w:customStyle="1" w:styleId="preferred">
    <w:name w:val="preferred"/>
    <w:basedOn w:val="DefaultParagraphFont"/>
    <w:rsid w:val="00DB712F"/>
  </w:style>
  <w:style w:type="character" w:customStyle="1" w:styleId="admitted">
    <w:name w:val="admitted"/>
    <w:basedOn w:val="DefaultParagraphFont"/>
    <w:rsid w:val="00DB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797</Characters>
  <Application>Microsoft Office Word</Application>
  <DocSecurity>0</DocSecurity>
  <Lines>79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CAT/C/74/D/901/2018</vt:lpstr>
    </vt:vector>
  </TitlesOfParts>
  <Company>DCM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CAT/C/74/D/901/2018</dc:title>
  <dc:subject>GE.2228016(A)</dc:subject>
  <dc:creator>Ihab RIZ - </dc:creator>
  <cp:keywords>GE.(A)</cp:keywords>
  <dc:description>General_x000d_
_x000d_
Arabic_x000d_
English</dc:description>
  <cp:lastModifiedBy>Jamal Alkahlout</cp:lastModifiedBy>
  <cp:revision>2</cp:revision>
  <cp:lastPrinted>2016-06-21T10:29:00Z</cp:lastPrinted>
  <dcterms:created xsi:type="dcterms:W3CDTF">2023-01-20T11:51:00Z</dcterms:created>
  <dcterms:modified xsi:type="dcterms:W3CDTF">2023-01-20T11:51:00Z</dcterms:modified>
  <cp:category>Final</cp:category>
</cp:coreProperties>
</file>