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97B00" w:rsidRPr="00DB58B5" w:rsidTr="00A56EA8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297B00" w:rsidRPr="00DB58B5" w:rsidRDefault="00297B00" w:rsidP="00A56E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97B00" w:rsidRPr="00DB58B5" w:rsidRDefault="00297B00" w:rsidP="00A56E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297B00" w:rsidRPr="00DB58B5" w:rsidRDefault="00882D73" w:rsidP="00882D73">
            <w:pPr>
              <w:jc w:val="right"/>
            </w:pPr>
            <w:r w:rsidRPr="00882D73">
              <w:rPr>
                <w:sz w:val="40"/>
              </w:rPr>
              <w:t>CED</w:t>
            </w:r>
            <w:r>
              <w:t>/C/4/1</w:t>
            </w:r>
          </w:p>
        </w:tc>
      </w:tr>
      <w:tr w:rsidR="00297B00" w:rsidRPr="00DB58B5" w:rsidTr="00A56E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97B00" w:rsidRPr="00DB58B5" w:rsidRDefault="00297B00" w:rsidP="00A56EA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55CFF" w:rsidRPr="00740562" w:rsidRDefault="00297B00" w:rsidP="00A56E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 xml:space="preserve">Convention </w:t>
            </w:r>
            <w:r w:rsidR="00D55CFF">
              <w:rPr>
                <w:b/>
                <w:sz w:val="34"/>
                <w:szCs w:val="34"/>
              </w:rPr>
              <w:t>internationale</w:t>
            </w:r>
            <w:r w:rsidR="00555C7A">
              <w:rPr>
                <w:b/>
                <w:sz w:val="34"/>
                <w:szCs w:val="34"/>
              </w:rPr>
              <w:t xml:space="preserve"> </w:t>
            </w:r>
            <w:r w:rsidR="00D55CFF">
              <w:rPr>
                <w:b/>
                <w:sz w:val="34"/>
                <w:szCs w:val="34"/>
              </w:rPr>
              <w:t>pour</w:t>
            </w:r>
            <w:r w:rsidR="00555C7A">
              <w:rPr>
                <w:b/>
                <w:sz w:val="34"/>
                <w:szCs w:val="34"/>
              </w:rPr>
              <w:t xml:space="preserve"> </w:t>
            </w:r>
            <w:r w:rsidR="00D55CFF">
              <w:rPr>
                <w:b/>
                <w:sz w:val="34"/>
                <w:szCs w:val="34"/>
              </w:rPr>
              <w:t>la</w:t>
            </w:r>
            <w:r w:rsidR="00555C7A">
              <w:rPr>
                <w:b/>
                <w:sz w:val="34"/>
                <w:szCs w:val="34"/>
              </w:rPr>
              <w:t xml:space="preserve"> </w:t>
            </w:r>
            <w:r w:rsidR="00D55CFF">
              <w:rPr>
                <w:b/>
                <w:sz w:val="34"/>
                <w:szCs w:val="34"/>
              </w:rPr>
              <w:t>protection de toutes</w:t>
            </w:r>
            <w:r w:rsidR="00555C7A">
              <w:rPr>
                <w:b/>
                <w:sz w:val="34"/>
                <w:szCs w:val="34"/>
              </w:rPr>
              <w:t xml:space="preserve"> </w:t>
            </w:r>
            <w:r w:rsidR="00D55CFF">
              <w:rPr>
                <w:b/>
                <w:sz w:val="34"/>
                <w:szCs w:val="34"/>
              </w:rPr>
              <w:t>les personnes contre</w:t>
            </w:r>
            <w:r w:rsidR="00555C7A">
              <w:rPr>
                <w:b/>
                <w:sz w:val="34"/>
                <w:szCs w:val="34"/>
              </w:rPr>
              <w:t xml:space="preserve"> </w:t>
            </w:r>
            <w:r w:rsidR="00D55CFF">
              <w:rPr>
                <w:b/>
                <w:sz w:val="34"/>
                <w:szCs w:val="34"/>
              </w:rPr>
              <w:t>les disparitions forcées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82D73" w:rsidRDefault="00882D73" w:rsidP="00A56EA8">
            <w:pPr>
              <w:spacing w:before="240"/>
            </w:pPr>
            <w:r>
              <w:t>Distr. générale</w:t>
            </w:r>
          </w:p>
          <w:p w:rsidR="00882D73" w:rsidRDefault="00882D73" w:rsidP="00882D73">
            <w:pPr>
              <w:spacing w:line="240" w:lineRule="exact"/>
            </w:pPr>
            <w:r>
              <w:t>28 janvier 2013</w:t>
            </w:r>
          </w:p>
          <w:p w:rsidR="00882D73" w:rsidRDefault="00882D73" w:rsidP="00882D73">
            <w:pPr>
              <w:spacing w:line="240" w:lineRule="exact"/>
            </w:pPr>
            <w:r>
              <w:t>Français</w:t>
            </w:r>
          </w:p>
          <w:p w:rsidR="00555C7A" w:rsidRPr="00DB58B5" w:rsidRDefault="00882D73" w:rsidP="00882D73">
            <w:pPr>
              <w:spacing w:line="240" w:lineRule="exact"/>
            </w:pPr>
            <w:r>
              <w:t>Original: anglais</w:t>
            </w:r>
          </w:p>
        </w:tc>
      </w:tr>
    </w:tbl>
    <w:p w:rsidR="004F4B54" w:rsidRPr="00D55CFF" w:rsidRDefault="00D55CFF" w:rsidP="00D55CFF">
      <w:pPr>
        <w:spacing w:before="120"/>
        <w:rPr>
          <w:b/>
          <w:sz w:val="24"/>
          <w:szCs w:val="24"/>
        </w:rPr>
      </w:pPr>
      <w:r w:rsidRPr="00D55CFF">
        <w:rPr>
          <w:b/>
          <w:sz w:val="24"/>
          <w:szCs w:val="24"/>
        </w:rPr>
        <w:t>Comité des disparitions forcées</w:t>
      </w:r>
    </w:p>
    <w:p w:rsidR="00FF1DBD" w:rsidRPr="001C02F1" w:rsidRDefault="00882D73" w:rsidP="008B44C4">
      <w:pPr>
        <w:rPr>
          <w:b/>
        </w:rPr>
      </w:pPr>
      <w:r>
        <w:rPr>
          <w:b/>
        </w:rPr>
        <w:t>Quatrième</w:t>
      </w:r>
      <w:r w:rsidR="007534DA">
        <w:rPr>
          <w:b/>
        </w:rPr>
        <w:t xml:space="preserve"> </w:t>
      </w:r>
      <w:r w:rsidR="00954E38" w:rsidRPr="001C02F1">
        <w:rPr>
          <w:b/>
        </w:rPr>
        <w:t>session</w:t>
      </w:r>
    </w:p>
    <w:p w:rsidR="00954E38" w:rsidRDefault="00882D73" w:rsidP="003531E6">
      <w:r>
        <w:t>8-19 avril</w:t>
      </w:r>
      <w:r w:rsidR="007534DA">
        <w:t xml:space="preserve"> 201</w:t>
      </w:r>
      <w:r>
        <w:t>3</w:t>
      </w:r>
    </w:p>
    <w:p w:rsidR="00954E38" w:rsidRDefault="00954E38" w:rsidP="008B44C4">
      <w:r>
        <w:t xml:space="preserve">Point </w:t>
      </w:r>
      <w:r w:rsidR="00882D73">
        <w:t>3</w:t>
      </w:r>
      <w:r>
        <w:t xml:space="preserve"> de l’ordre du jour provisoire</w:t>
      </w:r>
    </w:p>
    <w:p w:rsidR="00BB10E9" w:rsidRPr="002E2607" w:rsidRDefault="00BB10E9" w:rsidP="00BB10E9">
      <w:pPr>
        <w:rPr>
          <w:b/>
          <w:lang w:val="fr-FR"/>
        </w:rPr>
      </w:pPr>
      <w:r w:rsidRPr="002E2607">
        <w:rPr>
          <w:b/>
          <w:lang w:val="fr-FR"/>
        </w:rPr>
        <w:t>Adoption de l’ordre du jour</w:t>
      </w:r>
    </w:p>
    <w:p w:rsidR="00BB10E9" w:rsidRPr="000B1AA8" w:rsidRDefault="00BB10E9" w:rsidP="00BB10E9">
      <w:pPr>
        <w:pStyle w:val="HChG"/>
      </w:pPr>
      <w:r w:rsidRPr="000B1AA8">
        <w:tab/>
      </w:r>
      <w:r w:rsidRPr="000B1AA8">
        <w:tab/>
      </w:r>
      <w:r w:rsidRPr="00BB10E9">
        <w:t>Ordre</w:t>
      </w:r>
      <w:r w:rsidRPr="000B1AA8">
        <w:t xml:space="preserve"> du jour provisoire et annotations</w:t>
      </w:r>
    </w:p>
    <w:p w:rsidR="00BB10E9" w:rsidRPr="000B1AA8" w:rsidRDefault="00BB10E9" w:rsidP="00BB10E9">
      <w:pPr>
        <w:pStyle w:val="H1G"/>
      </w:pPr>
      <w:r w:rsidRPr="000B1AA8">
        <w:tab/>
      </w:r>
      <w:r w:rsidRPr="000B1AA8">
        <w:tab/>
        <w:t xml:space="preserve">Note du </w:t>
      </w:r>
      <w:r w:rsidRPr="00BB10E9">
        <w:t>Secrétaire</w:t>
      </w:r>
      <w:r w:rsidRPr="000B1AA8">
        <w:t xml:space="preserve"> général</w:t>
      </w:r>
    </w:p>
    <w:p w:rsidR="00BB10E9" w:rsidRPr="00AC7F29" w:rsidRDefault="00BB10E9" w:rsidP="00BB10E9">
      <w:pPr>
        <w:pStyle w:val="SingleTxtG"/>
      </w:pPr>
      <w:r w:rsidRPr="00AC7F29">
        <w:t>1.</w:t>
      </w:r>
      <w:r w:rsidRPr="00AC7F29">
        <w:tab/>
        <w:t xml:space="preserve">La quatrième session du Comité </w:t>
      </w:r>
      <w:r w:rsidRPr="00BB10E9">
        <w:t>des</w:t>
      </w:r>
      <w:r w:rsidRPr="00AC7F29">
        <w:t xml:space="preserve"> disparitions forcées se tiendra à l</w:t>
      </w:r>
      <w:r>
        <w:t>’</w:t>
      </w:r>
      <w:r w:rsidRPr="00AC7F29">
        <w:t>Office des Nations Unies à Genève du 8 au 19 avril 2013. La 1</w:t>
      </w:r>
      <w:r w:rsidRPr="00AC7F29">
        <w:rPr>
          <w:vertAlign w:val="superscript"/>
        </w:rPr>
        <w:t>re</w:t>
      </w:r>
      <w:r w:rsidRPr="00AC7F29">
        <w:t xml:space="preserve"> séance </w:t>
      </w:r>
      <w:r>
        <w:t>aura lieu le lundi 8 avril à 10 </w:t>
      </w:r>
      <w:r w:rsidRPr="00AC7F29">
        <w:t>heures.</w:t>
      </w:r>
    </w:p>
    <w:p w:rsidR="00BB10E9" w:rsidRPr="00AC7F29" w:rsidRDefault="00BB10E9" w:rsidP="00BB10E9">
      <w:pPr>
        <w:pStyle w:val="SingleTxtG"/>
      </w:pPr>
      <w:r w:rsidRPr="00AC7F29">
        <w:t>2.</w:t>
      </w:r>
      <w:r w:rsidRPr="00AC7F29">
        <w:tab/>
        <w:t>On trouvera ci-après l</w:t>
      </w:r>
      <w:r>
        <w:t>’</w:t>
      </w:r>
      <w:r w:rsidRPr="00AC7F29">
        <w:t>ordre du jour provisoire annoté de la quatrième session, qui a été établi par le Secrétaire général compte tenu des dispositions pertinentes de la Convention internationale pour la protection de toutes les personnes contre les disparitions forcées.</w:t>
      </w:r>
    </w:p>
    <w:p w:rsidR="00BB10E9" w:rsidRPr="000B1AA8" w:rsidRDefault="00BB10E9" w:rsidP="00BB10E9">
      <w:pPr>
        <w:pStyle w:val="HChG"/>
      </w:pPr>
      <w:r w:rsidRPr="000B1AA8">
        <w:br w:type="page"/>
      </w:r>
      <w:r w:rsidRPr="000B1AA8">
        <w:tab/>
      </w:r>
      <w:r w:rsidRPr="000B1AA8">
        <w:tab/>
        <w:t xml:space="preserve">Ordre du jour </w:t>
      </w:r>
      <w:r w:rsidRPr="00BB10E9">
        <w:t>provisoire</w:t>
      </w:r>
    </w:p>
    <w:p w:rsidR="00BB10E9" w:rsidRPr="00AC7F29" w:rsidRDefault="00BB10E9" w:rsidP="00BB10E9">
      <w:pPr>
        <w:pStyle w:val="SingleTxtG"/>
      </w:pPr>
      <w:r w:rsidRPr="00AC7F29">
        <w:t>1.</w:t>
      </w:r>
      <w:r w:rsidRPr="00AC7F29">
        <w:tab/>
        <w:t>Ouverture de la quatrième session.</w:t>
      </w:r>
    </w:p>
    <w:p w:rsidR="00BB10E9" w:rsidRPr="00AC7F29" w:rsidRDefault="00BB10E9" w:rsidP="00BB10E9">
      <w:pPr>
        <w:pStyle w:val="SingleTxtG"/>
      </w:pPr>
      <w:r w:rsidRPr="00AC7F29">
        <w:t>2.</w:t>
      </w:r>
      <w:r w:rsidRPr="00AC7F29">
        <w:tab/>
        <w:t>Minute de silence à la mémoire des victimes de disparition forcée.</w:t>
      </w:r>
    </w:p>
    <w:p w:rsidR="00BB10E9" w:rsidRPr="00AC7F29" w:rsidRDefault="00BB10E9" w:rsidP="00BB10E9">
      <w:pPr>
        <w:pStyle w:val="SingleTxtG"/>
      </w:pPr>
      <w:r w:rsidRPr="00AC7F29">
        <w:t>3.</w:t>
      </w:r>
      <w:r w:rsidRPr="00AC7F29">
        <w:tab/>
        <w:t>Adoption de l</w:t>
      </w:r>
      <w:r>
        <w:t>’</w:t>
      </w:r>
      <w:r w:rsidRPr="00AC7F29">
        <w:t>ordre d</w:t>
      </w:r>
      <w:r w:rsidRPr="00BB10E9">
        <w:t>u</w:t>
      </w:r>
      <w:r w:rsidRPr="00AC7F29">
        <w:t xml:space="preserve"> jour.</w:t>
      </w:r>
    </w:p>
    <w:p w:rsidR="00BB10E9" w:rsidRPr="00AC7F29" w:rsidRDefault="00BB10E9" w:rsidP="00BB10E9">
      <w:pPr>
        <w:pStyle w:val="SingleTxtG"/>
        <w:ind w:left="1701" w:hanging="567"/>
      </w:pPr>
      <w:r w:rsidRPr="00AC7F29">
        <w:t>4.</w:t>
      </w:r>
      <w:r w:rsidRPr="00AC7F29">
        <w:tab/>
        <w:t xml:space="preserve">Communications, </w:t>
      </w:r>
      <w:r w:rsidRPr="000B1AA8">
        <w:t>demandes d’action en urgence</w:t>
      </w:r>
      <w:r w:rsidRPr="00AC7F29">
        <w:t xml:space="preserve"> et informations reçues par le Comité.</w:t>
      </w:r>
    </w:p>
    <w:p w:rsidR="00BB10E9" w:rsidRPr="00AC7F29" w:rsidRDefault="00BB10E9" w:rsidP="00BB10E9">
      <w:pPr>
        <w:pStyle w:val="SingleTxtG"/>
      </w:pPr>
      <w:r w:rsidRPr="00AC7F29">
        <w:t>5.</w:t>
      </w:r>
      <w:r w:rsidRPr="00AC7F29">
        <w:tab/>
        <w:t>Questions relatives aux méthodes de travail du Comité:</w:t>
      </w:r>
    </w:p>
    <w:p w:rsidR="00BB10E9" w:rsidRPr="00AC7F29" w:rsidRDefault="00BB10E9" w:rsidP="00BB10E9">
      <w:pPr>
        <w:pStyle w:val="SingleTxtG"/>
        <w:ind w:left="2268" w:hanging="567"/>
      </w:pPr>
      <w:r w:rsidRPr="00AC7F29">
        <w:t>a)</w:t>
      </w:r>
      <w:r w:rsidRPr="00AC7F29">
        <w:tab/>
        <w:t>Méthodes de travail relatives à ses activités au titre des articles 32, 33 et 34 de la Convention;</w:t>
      </w:r>
    </w:p>
    <w:p w:rsidR="00BB10E9" w:rsidRPr="00AC7F29" w:rsidRDefault="00BB10E9" w:rsidP="00BB10E9">
      <w:pPr>
        <w:pStyle w:val="SingleTxtG"/>
        <w:ind w:firstLine="567"/>
      </w:pPr>
      <w:r w:rsidRPr="00AC7F29">
        <w:t>b)</w:t>
      </w:r>
      <w:r w:rsidRPr="00AC7F29">
        <w:tab/>
      </w:r>
      <w:r w:rsidR="00793392">
        <w:t xml:space="preserve">Relations </w:t>
      </w:r>
      <w:r w:rsidRPr="00AC7F29">
        <w:t>avec les parties prenantes pertinentes;</w:t>
      </w:r>
    </w:p>
    <w:p w:rsidR="00BB10E9" w:rsidRPr="00AC7F29" w:rsidRDefault="00BB10E9" w:rsidP="00BB10E9">
      <w:pPr>
        <w:pStyle w:val="SingleTxtG"/>
        <w:ind w:firstLine="567"/>
      </w:pPr>
      <w:r w:rsidRPr="00AC7F29">
        <w:t>c)</w:t>
      </w:r>
      <w:r w:rsidRPr="00AC7F29">
        <w:tab/>
        <w:t>Stratégie en vue d</w:t>
      </w:r>
      <w:r>
        <w:t>’</w:t>
      </w:r>
      <w:r w:rsidRPr="00AC7F29">
        <w:t>obtenir la ratification et autres questions.</w:t>
      </w:r>
    </w:p>
    <w:p w:rsidR="00BB10E9" w:rsidRPr="00AC7F29" w:rsidRDefault="00BB10E9" w:rsidP="00BB10E9">
      <w:pPr>
        <w:pStyle w:val="SingleTxtG"/>
      </w:pPr>
      <w:r w:rsidRPr="00AC7F29">
        <w:t>6.</w:t>
      </w:r>
      <w:r w:rsidRPr="00AC7F29">
        <w:tab/>
        <w:t>Examen des rapports des États parties à la Convention.</w:t>
      </w:r>
    </w:p>
    <w:p w:rsidR="00BB10E9" w:rsidRPr="00AC7F29" w:rsidRDefault="00BB10E9" w:rsidP="00BB10E9">
      <w:pPr>
        <w:pStyle w:val="SingleTxtG"/>
        <w:ind w:left="1701" w:hanging="567"/>
      </w:pPr>
      <w:r w:rsidRPr="00AC7F29">
        <w:t>7.</w:t>
      </w:r>
      <w:r w:rsidRPr="00AC7F29">
        <w:tab/>
        <w:t>Débats thématiques sur le principe du non-refoulement, l</w:t>
      </w:r>
      <w:r>
        <w:t>’</w:t>
      </w:r>
      <w:r w:rsidRPr="00AC7F29">
        <w:t>expulsion et l</w:t>
      </w:r>
      <w:r>
        <w:t>’</w:t>
      </w:r>
      <w:r w:rsidRPr="00AC7F29">
        <w:t>extradition au regard de l</w:t>
      </w:r>
      <w:r>
        <w:t>’</w:t>
      </w:r>
      <w:r w:rsidRPr="00AC7F29">
        <w:t>article 16 de la Convention (</w:t>
      </w:r>
      <w:r w:rsidRPr="002E2607">
        <w:rPr>
          <w:i/>
        </w:rPr>
        <w:t>suite</w:t>
      </w:r>
      <w:r w:rsidRPr="00AC7F29">
        <w:t>).</w:t>
      </w:r>
    </w:p>
    <w:p w:rsidR="00BB10E9" w:rsidRPr="00AC7F29" w:rsidRDefault="00BB10E9" w:rsidP="00BB10E9">
      <w:pPr>
        <w:pStyle w:val="SingleTxtG"/>
      </w:pPr>
      <w:r w:rsidRPr="00AC7F29">
        <w:t>8.</w:t>
      </w:r>
      <w:r w:rsidRPr="00AC7F29">
        <w:tab/>
        <w:t>Réunion avec les États Membres de l</w:t>
      </w:r>
      <w:r>
        <w:t>’</w:t>
      </w:r>
      <w:r w:rsidRPr="00AC7F29">
        <w:t>Organisation des Nations Unies.</w:t>
      </w:r>
    </w:p>
    <w:p w:rsidR="00BB10E9" w:rsidRPr="00AC7F29" w:rsidRDefault="00BB10E9" w:rsidP="00BB10E9">
      <w:pPr>
        <w:pStyle w:val="SingleTxtG"/>
        <w:ind w:left="1701" w:hanging="567"/>
      </w:pPr>
      <w:r w:rsidRPr="00AC7F29">
        <w:t>9.</w:t>
      </w:r>
      <w:r w:rsidRPr="00AC7F29">
        <w:tab/>
        <w:t>Réunion avec les organismes et mécanismes des Nations Unies et les organisations intergouvernementales.</w:t>
      </w:r>
    </w:p>
    <w:p w:rsidR="00BB10E9" w:rsidRPr="00AC7F29" w:rsidRDefault="00BB10E9" w:rsidP="00BB10E9">
      <w:pPr>
        <w:pStyle w:val="SingleTxtG"/>
      </w:pPr>
      <w:r w:rsidRPr="00AC7F29">
        <w:t>10.</w:t>
      </w:r>
      <w:r w:rsidRPr="00AC7F29">
        <w:tab/>
        <w:t>Réunion avec les institutions nationales des droits de l</w:t>
      </w:r>
      <w:r>
        <w:t>’</w:t>
      </w:r>
      <w:r w:rsidRPr="00AC7F29">
        <w:t>homme.</w:t>
      </w:r>
    </w:p>
    <w:p w:rsidR="00BB10E9" w:rsidRPr="00AC7F29" w:rsidRDefault="00BB10E9" w:rsidP="00BB10E9">
      <w:pPr>
        <w:pStyle w:val="SingleTxtG"/>
      </w:pPr>
      <w:r w:rsidRPr="00AC7F29">
        <w:t>11.</w:t>
      </w:r>
      <w:r w:rsidRPr="00AC7F29">
        <w:tab/>
        <w:t>Réunion avec les organisations non gouvernementales et autres parties prenantes.</w:t>
      </w:r>
    </w:p>
    <w:p w:rsidR="00BB10E9" w:rsidRPr="00AC7F29" w:rsidRDefault="00BB10E9" w:rsidP="00BB10E9">
      <w:pPr>
        <w:pStyle w:val="SingleTxtG"/>
      </w:pPr>
      <w:r w:rsidRPr="00AC7F29">
        <w:t>12.</w:t>
      </w:r>
      <w:r w:rsidRPr="00AC7F29">
        <w:tab/>
        <w:t>Rapport du Comité à l</w:t>
      </w:r>
      <w:r>
        <w:t>’</w:t>
      </w:r>
      <w:r w:rsidRPr="00AC7F29">
        <w:t>Assemblée générale</w:t>
      </w:r>
      <w:r w:rsidR="00793392">
        <w:t xml:space="preserve"> à </w:t>
      </w:r>
      <w:r w:rsidR="002E2607">
        <w:t>s</w:t>
      </w:r>
      <w:r w:rsidR="00793392">
        <w:t>a soixante-huitième session</w:t>
      </w:r>
      <w:r w:rsidRPr="00AC7F29">
        <w:t>.</w:t>
      </w:r>
    </w:p>
    <w:p w:rsidR="00BB10E9" w:rsidRPr="00AC7F29" w:rsidRDefault="00BB10E9" w:rsidP="00BB10E9">
      <w:pPr>
        <w:pStyle w:val="SingleTxtG"/>
      </w:pPr>
      <w:r w:rsidRPr="00AC7F29">
        <w:t>13.</w:t>
      </w:r>
      <w:r w:rsidRPr="00AC7F29">
        <w:tab/>
        <w:t>Ordre du jour provisoire de la cinquième session.</w:t>
      </w:r>
    </w:p>
    <w:p w:rsidR="00BB10E9" w:rsidRDefault="00BB10E9" w:rsidP="00BB10E9">
      <w:pPr>
        <w:pStyle w:val="SingleTxtG"/>
      </w:pPr>
      <w:r w:rsidRPr="00AC7F29">
        <w:t>14.</w:t>
      </w:r>
      <w:r w:rsidRPr="00AC7F29">
        <w:tab/>
        <w:t>Information actualisée sur le renforcement des organes conventionnels.</w:t>
      </w:r>
    </w:p>
    <w:p w:rsidR="00BB10E9" w:rsidRPr="000B1AA8" w:rsidRDefault="00BB10E9" w:rsidP="00793392">
      <w:pPr>
        <w:pStyle w:val="HChG"/>
      </w:pPr>
      <w:r w:rsidRPr="000B1AA8">
        <w:tab/>
      </w:r>
      <w:r w:rsidRPr="000B1AA8">
        <w:tab/>
      </w:r>
      <w:r w:rsidRPr="00BB10E9">
        <w:t>Annotations</w:t>
      </w:r>
    </w:p>
    <w:p w:rsidR="00BB10E9" w:rsidRPr="000B1AA8" w:rsidRDefault="00BB10E9" w:rsidP="00793392">
      <w:pPr>
        <w:pStyle w:val="H1G"/>
      </w:pPr>
      <w:r w:rsidRPr="000B1AA8">
        <w:tab/>
        <w:t>1.</w:t>
      </w:r>
      <w:r w:rsidRPr="000B1AA8">
        <w:tab/>
        <w:t xml:space="preserve">Ouverture de la </w:t>
      </w:r>
      <w:r w:rsidRPr="00BB10E9">
        <w:t>session</w:t>
      </w:r>
    </w:p>
    <w:p w:rsidR="00BB10E9" w:rsidRPr="00AC7F29" w:rsidRDefault="00BB10E9" w:rsidP="00BB10E9">
      <w:pPr>
        <w:pStyle w:val="SingleTxtG"/>
        <w:ind w:firstLine="567"/>
      </w:pPr>
      <w:r w:rsidRPr="00AC7F29">
        <w:t>La quatrième session du Comité sera ouverte par la Haut-Commissaire aux droits de l</w:t>
      </w:r>
      <w:r>
        <w:t>’</w:t>
      </w:r>
      <w:r w:rsidRPr="00AC7F29">
        <w:t>homme ou son représentant.</w:t>
      </w:r>
    </w:p>
    <w:p w:rsidR="00BB10E9" w:rsidRPr="000B1AA8" w:rsidRDefault="00BB10E9" w:rsidP="00793392">
      <w:pPr>
        <w:pStyle w:val="H1G"/>
      </w:pPr>
      <w:r w:rsidRPr="000B1AA8">
        <w:tab/>
        <w:t>2.</w:t>
      </w:r>
      <w:r w:rsidRPr="000B1AA8">
        <w:tab/>
        <w:t>Minute de silence à la mémoire des victimes de disparition forcée</w:t>
      </w:r>
    </w:p>
    <w:p w:rsidR="00BB10E9" w:rsidRPr="00AC7F29" w:rsidRDefault="00BB10E9" w:rsidP="00BB10E9">
      <w:pPr>
        <w:pStyle w:val="SingleTxtG"/>
        <w:ind w:firstLine="567"/>
      </w:pPr>
      <w:r w:rsidRPr="00AC7F29">
        <w:t>Le Comité observera une minute de silence à la mémoire des victimes de disparition forcée.</w:t>
      </w:r>
    </w:p>
    <w:p w:rsidR="00BB10E9" w:rsidRPr="000B1AA8" w:rsidRDefault="00BB10E9" w:rsidP="00793392">
      <w:pPr>
        <w:pStyle w:val="H1G"/>
      </w:pPr>
      <w:r w:rsidRPr="000B1AA8">
        <w:tab/>
        <w:t>3.</w:t>
      </w:r>
      <w:r w:rsidRPr="000B1AA8">
        <w:tab/>
        <w:t>Adoption de l’ordre du jour</w:t>
      </w:r>
    </w:p>
    <w:p w:rsidR="00BB10E9" w:rsidRPr="00AC7F29" w:rsidRDefault="00BB10E9" w:rsidP="00BB10E9">
      <w:pPr>
        <w:pStyle w:val="SingleTxtG"/>
        <w:ind w:firstLine="567"/>
      </w:pPr>
      <w:r w:rsidRPr="00AC7F29">
        <w:t xml:space="preserve">Le Comité examinera et </w:t>
      </w:r>
      <w:r w:rsidRPr="00BB10E9">
        <w:t>adoptera</w:t>
      </w:r>
      <w:r w:rsidRPr="00AC7F29">
        <w:t xml:space="preserve"> l</w:t>
      </w:r>
      <w:r>
        <w:t>’</w:t>
      </w:r>
      <w:r w:rsidRPr="00AC7F29">
        <w:t>ordre du jour de sa quatrième session.</w:t>
      </w:r>
    </w:p>
    <w:p w:rsidR="00BB10E9" w:rsidRPr="000B1AA8" w:rsidRDefault="00BB10E9" w:rsidP="00793392">
      <w:pPr>
        <w:pStyle w:val="H1G"/>
      </w:pPr>
      <w:r w:rsidRPr="000B1AA8">
        <w:tab/>
        <w:t>4.</w:t>
      </w:r>
      <w:r w:rsidRPr="000B1AA8">
        <w:tab/>
        <w:t xml:space="preserve">Communications, </w:t>
      </w:r>
      <w:r w:rsidRPr="00BB10E9">
        <w:t>demandes</w:t>
      </w:r>
      <w:r w:rsidRPr="000B1AA8">
        <w:t xml:space="preserve"> d’action en urgence et informations </w:t>
      </w:r>
      <w:r w:rsidR="00793392">
        <w:br/>
      </w:r>
      <w:r w:rsidRPr="000B1AA8">
        <w:t>reçues par le Comité</w:t>
      </w:r>
    </w:p>
    <w:p w:rsidR="00BB10E9" w:rsidRPr="00AC7F29" w:rsidRDefault="00BB10E9" w:rsidP="00BB10E9">
      <w:pPr>
        <w:pStyle w:val="SingleTxtG"/>
        <w:ind w:firstLine="567"/>
      </w:pPr>
      <w:r w:rsidRPr="00AC7F29">
        <w:t xml:space="preserve">Le Comité examinera toute </w:t>
      </w:r>
      <w:r w:rsidRPr="00BB10E9">
        <w:t>communication</w:t>
      </w:r>
      <w:r w:rsidRPr="00AC7F29">
        <w:t>, demande d</w:t>
      </w:r>
      <w:r>
        <w:t>’</w:t>
      </w:r>
      <w:r w:rsidRPr="00AC7F29">
        <w:t>action en urgence et information qu</w:t>
      </w:r>
      <w:r>
        <w:t>’</w:t>
      </w:r>
      <w:r w:rsidRPr="00AC7F29">
        <w:t>il a reçue au titre des articles 30 à 34 de la Convention.</w:t>
      </w:r>
    </w:p>
    <w:p w:rsidR="00BB10E9" w:rsidRPr="000B1AA8" w:rsidRDefault="00BB10E9" w:rsidP="00793392">
      <w:pPr>
        <w:pStyle w:val="H1G"/>
      </w:pPr>
      <w:r w:rsidRPr="000B1AA8">
        <w:tab/>
        <w:t>5.</w:t>
      </w:r>
      <w:r w:rsidRPr="000B1AA8">
        <w:tab/>
        <w:t>Questions relatives aux méthodes de travail du Comité</w:t>
      </w:r>
    </w:p>
    <w:p w:rsidR="00BB10E9" w:rsidRPr="00AC7F29" w:rsidRDefault="00BB10E9" w:rsidP="00BB10E9">
      <w:pPr>
        <w:pStyle w:val="SingleTxtG"/>
        <w:ind w:firstLine="567"/>
      </w:pPr>
      <w:r w:rsidRPr="00AC7F29">
        <w:t xml:space="preserve">Au titre de ce point, le Comité </w:t>
      </w:r>
      <w:r w:rsidRPr="00BB10E9">
        <w:t>voudra</w:t>
      </w:r>
      <w:r w:rsidRPr="00AC7F29">
        <w:t xml:space="preserve"> peut-être, entre autres questions, examiner: a) les méthodes de travail relatives à ses activités au titre des articles 32, 33 et 34 de la Convention; b) </w:t>
      </w:r>
      <w:r w:rsidR="00793392">
        <w:t xml:space="preserve">les relations </w:t>
      </w:r>
      <w:r w:rsidRPr="00AC7F29">
        <w:t>avec les parties prenantes pertinentes; c) la stratégie en vue d</w:t>
      </w:r>
      <w:r>
        <w:t>’</w:t>
      </w:r>
      <w:r w:rsidR="00793392">
        <w:t>encourager les États à ratifier la Convention et</w:t>
      </w:r>
      <w:r w:rsidRPr="00AC7F29">
        <w:t xml:space="preserve"> d</w:t>
      </w:r>
      <w:r>
        <w:t>’</w:t>
      </w:r>
      <w:r w:rsidRPr="00AC7F29">
        <w:t>autres questions.</w:t>
      </w:r>
    </w:p>
    <w:p w:rsidR="00BB10E9" w:rsidRPr="000B1AA8" w:rsidRDefault="00BB10E9" w:rsidP="00793392">
      <w:pPr>
        <w:pStyle w:val="H1G"/>
      </w:pPr>
      <w:r w:rsidRPr="000B1AA8">
        <w:tab/>
        <w:t>6.</w:t>
      </w:r>
      <w:r w:rsidRPr="000B1AA8">
        <w:tab/>
        <w:t xml:space="preserve">Examen des </w:t>
      </w:r>
      <w:r w:rsidRPr="00BB10E9">
        <w:t>rapports</w:t>
      </w:r>
      <w:r w:rsidRPr="000B1AA8">
        <w:t xml:space="preserve"> des États parties à la Convention</w:t>
      </w:r>
    </w:p>
    <w:p w:rsidR="00BB10E9" w:rsidRDefault="00BB10E9" w:rsidP="00BB10E9">
      <w:pPr>
        <w:pStyle w:val="SingleTxtG"/>
        <w:ind w:firstLine="567"/>
      </w:pPr>
      <w:r w:rsidRPr="00AC7F29">
        <w:t>Le Comité examinera les rapports de l</w:t>
      </w:r>
      <w:r>
        <w:t>’</w:t>
      </w:r>
      <w:r w:rsidRPr="00AC7F29">
        <w:t xml:space="preserve">Uruguay et de la France, soumis </w:t>
      </w:r>
      <w:r w:rsidR="00793392">
        <w:t xml:space="preserve">en application du </w:t>
      </w:r>
      <w:r w:rsidRPr="00AC7F29">
        <w:t>paragraphe 1 de l</w:t>
      </w:r>
      <w:r>
        <w:t>’</w:t>
      </w:r>
      <w:r w:rsidRPr="00AC7F29">
        <w:t>article 29 de la Convention.</w:t>
      </w:r>
    </w:p>
    <w:p w:rsidR="00BB10E9" w:rsidRPr="00AC7F29" w:rsidRDefault="00BB10E9" w:rsidP="00BB10E9">
      <w:pPr>
        <w:pStyle w:val="SingleTxtG"/>
        <w:ind w:firstLine="567"/>
      </w:pPr>
      <w:r w:rsidRPr="00AC7F29">
        <w:t>On trouvera ci-après le calendrier provisoire pour l</w:t>
      </w:r>
      <w:r>
        <w:t>’</w:t>
      </w:r>
      <w:r w:rsidRPr="00AC7F29">
        <w:t>examen des rapports pendant la quatrième session, établi en consultation avec le Comité:</w:t>
      </w:r>
    </w:p>
    <w:p w:rsidR="00BB10E9" w:rsidRPr="00AC7F29" w:rsidRDefault="00BB10E9" w:rsidP="00BB10E9">
      <w:pPr>
        <w:pStyle w:val="SingleTxtG"/>
        <w:ind w:firstLine="567"/>
      </w:pPr>
      <w:r w:rsidRPr="00AC7F29">
        <w:t>Uruguay (CED/C/URY/1), mardi 9 avril 2013 (après-midi) et mercredi 10 avril 2013 (matin)</w:t>
      </w:r>
      <w:r w:rsidR="002E2607">
        <w:t>;</w:t>
      </w:r>
    </w:p>
    <w:p w:rsidR="00BB10E9" w:rsidRPr="00AC7F29" w:rsidRDefault="00BB10E9" w:rsidP="00BB10E9">
      <w:pPr>
        <w:pStyle w:val="SingleTxtG"/>
        <w:ind w:firstLine="567"/>
      </w:pPr>
      <w:r w:rsidRPr="00AC7F29">
        <w:t>France (CED/C/FRA/1), jeudi 11 avril 2013 (après-midi) et vendredi 12 avril 2013 (matin)</w:t>
      </w:r>
      <w:r w:rsidR="002E2607">
        <w:t>.</w:t>
      </w:r>
    </w:p>
    <w:p w:rsidR="00BB10E9" w:rsidRDefault="00BB10E9" w:rsidP="00BB10E9">
      <w:pPr>
        <w:pStyle w:val="SingleTxtG"/>
        <w:ind w:firstLine="567"/>
      </w:pPr>
      <w:r w:rsidRPr="00AC7F29">
        <w:t>Conformément à l</w:t>
      </w:r>
      <w:r>
        <w:t>’</w:t>
      </w:r>
      <w:r w:rsidRPr="00AC7F29">
        <w:t>article 51 du Règlement intérieur, le Secrétaire général a informé les gouvernements des États parties intéressés des dates provisoires auxquelles le Comité doit examiner leur rapport à sa quatrième session.</w:t>
      </w:r>
    </w:p>
    <w:p w:rsidR="00BB10E9" w:rsidRPr="00BB10E9" w:rsidRDefault="00BB10E9" w:rsidP="00793392">
      <w:pPr>
        <w:pStyle w:val="H1G"/>
      </w:pPr>
      <w:r w:rsidRPr="000B1AA8">
        <w:tab/>
        <w:t>7.</w:t>
      </w:r>
      <w:r w:rsidRPr="000B1AA8">
        <w:tab/>
        <w:t>Débats thématiques</w:t>
      </w:r>
    </w:p>
    <w:p w:rsidR="00BB10E9" w:rsidRPr="00AC7F29" w:rsidRDefault="00BB10E9" w:rsidP="00BB10E9">
      <w:pPr>
        <w:pStyle w:val="SingleTxtG"/>
        <w:ind w:firstLine="567"/>
      </w:pPr>
      <w:r w:rsidRPr="00AC7F29">
        <w:t>Au titre de ce point, le Comité examinera en séance privée un</w:t>
      </w:r>
      <w:r w:rsidR="00793392">
        <w:t xml:space="preserve"> sujet</w:t>
      </w:r>
      <w:r w:rsidRPr="00AC7F29">
        <w:t xml:space="preserve"> qu</w:t>
      </w:r>
      <w:r>
        <w:t>’</w:t>
      </w:r>
      <w:r w:rsidRPr="00AC7F29">
        <w:t>il estime mériter une attention particulière, le principe du non-refoulement, l</w:t>
      </w:r>
      <w:r>
        <w:t>’</w:t>
      </w:r>
      <w:r w:rsidRPr="00AC7F29">
        <w:t>expulsion et l</w:t>
      </w:r>
      <w:r>
        <w:t>’</w:t>
      </w:r>
      <w:r w:rsidRPr="00AC7F29">
        <w:t>extradition au regard de l</w:t>
      </w:r>
      <w:r>
        <w:t>’</w:t>
      </w:r>
      <w:r w:rsidRPr="00AC7F29">
        <w:t>article 16 de la Convention</w:t>
      </w:r>
      <w:r w:rsidR="00793392">
        <w:t>, sujet important</w:t>
      </w:r>
      <w:r w:rsidRPr="00AC7F29">
        <w:t xml:space="preserve"> pour les travaux du Comité</w:t>
      </w:r>
      <w:r w:rsidR="00793392">
        <w:t>, qui pourra</w:t>
      </w:r>
      <w:r w:rsidRPr="00AC7F29">
        <w:t xml:space="preserve"> faire plus tard </w:t>
      </w:r>
      <w:r w:rsidR="00793392">
        <w:t>l’objet d’une journée</w:t>
      </w:r>
      <w:r w:rsidRPr="00AC7F29">
        <w:t xml:space="preserve"> de débat général ou d</w:t>
      </w:r>
      <w:r>
        <w:t>’</w:t>
      </w:r>
      <w:r w:rsidR="00793392">
        <w:t>une observation générale</w:t>
      </w:r>
      <w:r w:rsidRPr="00AC7F29">
        <w:t>.</w:t>
      </w:r>
    </w:p>
    <w:p w:rsidR="00BB10E9" w:rsidRPr="000B1AA8" w:rsidRDefault="00BB10E9" w:rsidP="00793392">
      <w:pPr>
        <w:pStyle w:val="H1G"/>
      </w:pPr>
      <w:r w:rsidRPr="000B1AA8">
        <w:tab/>
        <w:t>8.</w:t>
      </w:r>
      <w:r w:rsidRPr="000B1AA8">
        <w:tab/>
        <w:t>Réunion avec les États Membres de l’Organisation des Nations Unies</w:t>
      </w:r>
    </w:p>
    <w:p w:rsidR="00BB10E9" w:rsidRPr="00AC7F29" w:rsidRDefault="00BB10E9" w:rsidP="00BB10E9">
      <w:pPr>
        <w:pStyle w:val="SingleTxtG"/>
        <w:ind w:firstLine="567"/>
      </w:pPr>
      <w:r w:rsidRPr="00AC7F29">
        <w:t xml:space="preserve">Le Comité tiendra une réunion avec les États parties à la Convention, les États signataires et </w:t>
      </w:r>
      <w:r w:rsidR="00793392">
        <w:t xml:space="preserve">les </w:t>
      </w:r>
      <w:r w:rsidRPr="00AC7F29">
        <w:t xml:space="preserve">autres États Membres </w:t>
      </w:r>
      <w:r w:rsidR="00793392">
        <w:t xml:space="preserve">de l’ONU </w:t>
      </w:r>
      <w:r w:rsidRPr="00AC7F29">
        <w:t>afin d</w:t>
      </w:r>
      <w:r>
        <w:t>’</w:t>
      </w:r>
      <w:r w:rsidRPr="00AC7F29">
        <w:t>étudier avec eux des questions intéressantes relevant de la Convention.</w:t>
      </w:r>
    </w:p>
    <w:p w:rsidR="00BB10E9" w:rsidRPr="000B1AA8" w:rsidRDefault="00BB10E9" w:rsidP="00793392">
      <w:pPr>
        <w:pStyle w:val="H1G"/>
      </w:pPr>
      <w:r w:rsidRPr="000B1AA8">
        <w:tab/>
        <w:t>9.</w:t>
      </w:r>
      <w:r w:rsidRPr="000B1AA8">
        <w:tab/>
        <w:t xml:space="preserve">Réunion avec les </w:t>
      </w:r>
      <w:r w:rsidRPr="00BB10E9">
        <w:t>organismes</w:t>
      </w:r>
      <w:r w:rsidRPr="000B1AA8">
        <w:t xml:space="preserve"> et mécanismes des Nations Unies </w:t>
      </w:r>
      <w:r w:rsidR="00793392">
        <w:br/>
      </w:r>
      <w:r w:rsidRPr="000B1AA8">
        <w:t>et les organisations intergouvernementales</w:t>
      </w:r>
    </w:p>
    <w:p w:rsidR="00BB10E9" w:rsidRPr="00AC7F29" w:rsidRDefault="00BB10E9" w:rsidP="00BB10E9">
      <w:pPr>
        <w:pStyle w:val="SingleTxtG"/>
        <w:ind w:firstLine="567"/>
      </w:pPr>
      <w:r w:rsidRPr="00AC7F29">
        <w:t xml:space="preserve">Le Comité se </w:t>
      </w:r>
      <w:r w:rsidRPr="00BB10E9">
        <w:t>réunira</w:t>
      </w:r>
      <w:r w:rsidRPr="00AC7F29">
        <w:t xml:space="preserve"> avec les organismes et mécanismes de</w:t>
      </w:r>
      <w:r w:rsidR="002E2607">
        <w:t>s</w:t>
      </w:r>
      <w:r w:rsidRPr="00AC7F29">
        <w:t xml:space="preserve"> Nations Unies et les organisations intergouvernementales qui s</w:t>
      </w:r>
      <w:r>
        <w:t>’</w:t>
      </w:r>
      <w:r w:rsidRPr="00AC7F29">
        <w:t>occupent de la question</w:t>
      </w:r>
      <w:r>
        <w:t xml:space="preserve"> des disparitions forcées. </w:t>
      </w:r>
    </w:p>
    <w:p w:rsidR="00BB10E9" w:rsidRPr="000B1AA8" w:rsidRDefault="00BB10E9" w:rsidP="00793392">
      <w:pPr>
        <w:pStyle w:val="H1G"/>
      </w:pPr>
      <w:r w:rsidRPr="000B1AA8">
        <w:tab/>
        <w:t>10.</w:t>
      </w:r>
      <w:r w:rsidRPr="000B1AA8">
        <w:tab/>
        <w:t>Réunion avec les institutions nationales des droits de l’homme</w:t>
      </w:r>
    </w:p>
    <w:p w:rsidR="00BB10E9" w:rsidRPr="00AC7F29" w:rsidRDefault="00BB10E9" w:rsidP="00BB10E9">
      <w:pPr>
        <w:pStyle w:val="SingleTxtG"/>
        <w:ind w:firstLine="567"/>
      </w:pPr>
      <w:r w:rsidRPr="00AC7F29">
        <w:t xml:space="preserve">Le Comité tiendra une réunion avec </w:t>
      </w:r>
      <w:r w:rsidRPr="00BB10E9">
        <w:t>les</w:t>
      </w:r>
      <w:r w:rsidRPr="00AC7F29">
        <w:t xml:space="preserve"> institutions nationales des droits de l</w:t>
      </w:r>
      <w:r>
        <w:t>’</w:t>
      </w:r>
      <w:r w:rsidRPr="00AC7F29">
        <w:t>homme, qu</w:t>
      </w:r>
      <w:r>
        <w:t>’</w:t>
      </w:r>
      <w:r w:rsidRPr="00AC7F29">
        <w:t>il consacrera à des questions liées à l</w:t>
      </w:r>
      <w:r>
        <w:t>’</w:t>
      </w:r>
      <w:r w:rsidRPr="00AC7F29">
        <w:t>application de la Convention.</w:t>
      </w:r>
    </w:p>
    <w:p w:rsidR="00BB10E9" w:rsidRPr="000B1AA8" w:rsidRDefault="00BB10E9" w:rsidP="00793392">
      <w:pPr>
        <w:pStyle w:val="H1G"/>
      </w:pPr>
      <w:r w:rsidRPr="000B1AA8">
        <w:tab/>
        <w:t>11.</w:t>
      </w:r>
      <w:r w:rsidRPr="000B1AA8">
        <w:tab/>
        <w:t xml:space="preserve">Réunion avec les </w:t>
      </w:r>
      <w:r w:rsidRPr="00BB10E9">
        <w:t>organisations</w:t>
      </w:r>
      <w:r w:rsidRPr="000B1AA8">
        <w:t xml:space="preserve"> non gouvernementales </w:t>
      </w:r>
      <w:r w:rsidR="00793392">
        <w:br/>
      </w:r>
      <w:r w:rsidRPr="000B1AA8">
        <w:t>et autres parties prenantes</w:t>
      </w:r>
    </w:p>
    <w:p w:rsidR="00BB10E9" w:rsidRPr="00AC7F29" w:rsidRDefault="00BB10E9" w:rsidP="00BB10E9">
      <w:pPr>
        <w:pStyle w:val="SingleTxtG"/>
        <w:ind w:firstLine="567"/>
      </w:pPr>
      <w:r w:rsidRPr="00AC7F29">
        <w:t xml:space="preserve">Le Comité tiendra une réunion avec </w:t>
      </w:r>
      <w:r w:rsidRPr="00BB10E9">
        <w:t>les</w:t>
      </w:r>
      <w:r w:rsidRPr="00AC7F29">
        <w:t xml:space="preserve"> organisations non gouvernementales et d</w:t>
      </w:r>
      <w:r>
        <w:t>’</w:t>
      </w:r>
      <w:r w:rsidRPr="00AC7F29">
        <w:t>autres parties prenantes, qu</w:t>
      </w:r>
      <w:r>
        <w:t>’</w:t>
      </w:r>
      <w:r w:rsidRPr="00AC7F29">
        <w:t>il consacrera à des questions liées à l</w:t>
      </w:r>
      <w:r>
        <w:t>’</w:t>
      </w:r>
      <w:r w:rsidRPr="00AC7F29">
        <w:t>application de la Convention.</w:t>
      </w:r>
    </w:p>
    <w:p w:rsidR="00BB10E9" w:rsidRPr="000B1AA8" w:rsidRDefault="00BB10E9" w:rsidP="00793392">
      <w:pPr>
        <w:pStyle w:val="H1G"/>
      </w:pPr>
      <w:r w:rsidRPr="000B1AA8">
        <w:tab/>
        <w:t>12.</w:t>
      </w:r>
      <w:r w:rsidRPr="000B1AA8">
        <w:tab/>
        <w:t>Rapport du Comité à l’Assemblée générale</w:t>
      </w:r>
      <w:r w:rsidR="00793392">
        <w:t xml:space="preserve"> </w:t>
      </w:r>
      <w:r w:rsidR="00793392">
        <w:br/>
        <w:t>à sa soixante-huitième session</w:t>
      </w:r>
    </w:p>
    <w:p w:rsidR="00BB10E9" w:rsidRPr="00AC7F29" w:rsidRDefault="00BB10E9" w:rsidP="00BB10E9">
      <w:pPr>
        <w:pStyle w:val="SingleTxtG"/>
        <w:ind w:firstLine="567"/>
      </w:pPr>
      <w:r w:rsidRPr="00AC7F29">
        <w:t>Conformément au paragraphe 1 de l</w:t>
      </w:r>
      <w:r>
        <w:t>’</w:t>
      </w:r>
      <w:r w:rsidRPr="00AC7F29">
        <w:t>article 36 de la Convention, le Conseil présente un rapport annuel à l</w:t>
      </w:r>
      <w:r>
        <w:t>’</w:t>
      </w:r>
      <w:r w:rsidRPr="00AC7F29">
        <w:t>Assemblée générale sur l</w:t>
      </w:r>
      <w:r>
        <w:t>’</w:t>
      </w:r>
      <w:r w:rsidRPr="00AC7F29">
        <w:t>application de la Convention.</w:t>
      </w:r>
    </w:p>
    <w:p w:rsidR="00BB10E9" w:rsidRPr="000B1AA8" w:rsidRDefault="00BB10E9" w:rsidP="00793392">
      <w:pPr>
        <w:pStyle w:val="H1G"/>
      </w:pPr>
      <w:r w:rsidRPr="000B1AA8">
        <w:tab/>
        <w:t>13.</w:t>
      </w:r>
      <w:r w:rsidRPr="000B1AA8">
        <w:tab/>
        <w:t xml:space="preserve">Ordre du jour </w:t>
      </w:r>
      <w:r w:rsidRPr="00BB10E9">
        <w:t>provisoire</w:t>
      </w:r>
      <w:r w:rsidRPr="000B1AA8">
        <w:t xml:space="preserve"> de la cinquième session</w:t>
      </w:r>
    </w:p>
    <w:p w:rsidR="00BB10E9" w:rsidRPr="00AC7F29" w:rsidRDefault="00BB10E9" w:rsidP="00BB10E9">
      <w:pPr>
        <w:pStyle w:val="SingleTxtG"/>
        <w:ind w:firstLine="567"/>
      </w:pPr>
      <w:r w:rsidRPr="00AC7F29">
        <w:t xml:space="preserve">Le Comité examinera </w:t>
      </w:r>
      <w:r w:rsidR="00793392">
        <w:t xml:space="preserve">l’ordre du jour provisoire </w:t>
      </w:r>
      <w:r w:rsidRPr="00AC7F29">
        <w:t xml:space="preserve">de sa </w:t>
      </w:r>
      <w:r w:rsidRPr="00BB10E9">
        <w:t>cinquième</w:t>
      </w:r>
      <w:r w:rsidRPr="00AC7F29">
        <w:t xml:space="preserve"> session, qui se tiendra du 4 au 15 novembre 2013.</w:t>
      </w:r>
    </w:p>
    <w:p w:rsidR="00BB10E9" w:rsidRPr="000B1AA8" w:rsidRDefault="00BB10E9" w:rsidP="00793392">
      <w:pPr>
        <w:pStyle w:val="H1G"/>
      </w:pPr>
      <w:r w:rsidRPr="000B1AA8">
        <w:tab/>
        <w:t>14.</w:t>
      </w:r>
      <w:r w:rsidRPr="000B1AA8">
        <w:tab/>
        <w:t xml:space="preserve">Information actualisée sur le </w:t>
      </w:r>
      <w:r w:rsidRPr="00BB10E9">
        <w:t>renforcement</w:t>
      </w:r>
      <w:r w:rsidRPr="000B1AA8">
        <w:t xml:space="preserve"> des organes conventionnels</w:t>
      </w:r>
    </w:p>
    <w:p w:rsidR="00954E38" w:rsidRDefault="00BB10E9" w:rsidP="00BB10E9">
      <w:pPr>
        <w:pStyle w:val="SingleTxtG"/>
        <w:ind w:firstLine="567"/>
      </w:pPr>
      <w:r w:rsidRPr="00AC7F29">
        <w:t xml:space="preserve">Au titre de ce point, le Comité étudiera des </w:t>
      </w:r>
      <w:r w:rsidRPr="00BB10E9">
        <w:t>questions</w:t>
      </w:r>
      <w:r w:rsidRPr="00AC7F29">
        <w:t xml:space="preserve"> se rapportant au processus de renforcement du système conventionnel, notamment </w:t>
      </w:r>
      <w:r w:rsidR="00793392">
        <w:t xml:space="preserve">la question de </w:t>
      </w:r>
      <w:r w:rsidRPr="00AC7F29">
        <w:t>l</w:t>
      </w:r>
      <w:r>
        <w:t>’</w:t>
      </w:r>
      <w:r w:rsidRPr="00AC7F29">
        <w:t>harmonisation.</w:t>
      </w:r>
    </w:p>
    <w:p w:rsidR="00BB10E9" w:rsidRPr="00BB10E9" w:rsidRDefault="00BB10E9" w:rsidP="00BB10E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10E9" w:rsidRPr="00BB10E9" w:rsidSect="00882D7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93" w:rsidRDefault="00362293"/>
  </w:endnote>
  <w:endnote w:type="continuationSeparator" w:id="0">
    <w:p w:rsidR="00362293" w:rsidRDefault="00362293"/>
  </w:endnote>
  <w:endnote w:type="continuationNotice" w:id="1">
    <w:p w:rsidR="00362293" w:rsidRPr="004D432A" w:rsidRDefault="00362293" w:rsidP="004D432A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73" w:rsidRPr="00882D73" w:rsidRDefault="00882D73" w:rsidP="00882D73">
    <w:pPr>
      <w:pStyle w:val="Footer"/>
      <w:tabs>
        <w:tab w:val="right" w:pos="9638"/>
      </w:tabs>
    </w:pPr>
    <w:r w:rsidRPr="00882D73">
      <w:rPr>
        <w:b/>
        <w:sz w:val="18"/>
      </w:rPr>
      <w:fldChar w:fldCharType="begin"/>
    </w:r>
    <w:r w:rsidRPr="00882D73">
      <w:rPr>
        <w:b/>
        <w:sz w:val="18"/>
      </w:rPr>
      <w:instrText xml:space="preserve"> PAGE  \* MERGEFORMAT </w:instrText>
    </w:r>
    <w:r w:rsidRPr="00882D73">
      <w:rPr>
        <w:b/>
        <w:sz w:val="18"/>
      </w:rPr>
      <w:fldChar w:fldCharType="separate"/>
    </w:r>
    <w:r w:rsidR="00634D98">
      <w:rPr>
        <w:b/>
        <w:noProof/>
        <w:sz w:val="18"/>
      </w:rPr>
      <w:t>4</w:t>
    </w:r>
    <w:r w:rsidRPr="00882D73">
      <w:rPr>
        <w:b/>
        <w:sz w:val="18"/>
      </w:rPr>
      <w:fldChar w:fldCharType="end"/>
    </w:r>
    <w:r>
      <w:rPr>
        <w:b/>
        <w:sz w:val="18"/>
      </w:rPr>
      <w:tab/>
    </w:r>
    <w:r>
      <w:t>GE.13-40594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73" w:rsidRPr="00882D73" w:rsidRDefault="00882D73" w:rsidP="00882D73">
    <w:pPr>
      <w:pStyle w:val="Footer"/>
      <w:tabs>
        <w:tab w:val="right" w:pos="9638"/>
      </w:tabs>
      <w:rPr>
        <w:b/>
        <w:sz w:val="18"/>
      </w:rPr>
    </w:pPr>
    <w:r>
      <w:t>GE.13-40594</w:t>
    </w:r>
    <w:r>
      <w:tab/>
    </w:r>
    <w:r w:rsidRPr="00882D73">
      <w:rPr>
        <w:b/>
        <w:sz w:val="18"/>
      </w:rPr>
      <w:fldChar w:fldCharType="begin"/>
    </w:r>
    <w:r w:rsidRPr="00882D73">
      <w:rPr>
        <w:b/>
        <w:sz w:val="18"/>
      </w:rPr>
      <w:instrText xml:space="preserve"> PAGE  \* MERGEFORMAT </w:instrText>
    </w:r>
    <w:r w:rsidRPr="00882D73">
      <w:rPr>
        <w:b/>
        <w:sz w:val="18"/>
      </w:rPr>
      <w:fldChar w:fldCharType="separate"/>
    </w:r>
    <w:r w:rsidR="00634D98">
      <w:rPr>
        <w:b/>
        <w:noProof/>
        <w:sz w:val="18"/>
      </w:rPr>
      <w:t>3</w:t>
    </w:r>
    <w:r w:rsidRPr="00882D7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48" w:rsidRPr="00882D73" w:rsidRDefault="00882D73">
    <w:pPr>
      <w:pStyle w:val="Footer"/>
      <w:rPr>
        <w:sz w:val="20"/>
      </w:rPr>
    </w:pPr>
    <w:r>
      <w:rPr>
        <w:sz w:val="20"/>
      </w:rPr>
      <w:t>GE.</w:t>
    </w:r>
    <w:r w:rsidR="00AA7948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>13-40594  (F)</w:t>
    </w:r>
    <w:r w:rsidR="00BB10E9">
      <w:rPr>
        <w:sz w:val="20"/>
      </w:rPr>
      <w:t xml:space="preserve">    040213    040213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93" w:rsidRPr="00D27D5E" w:rsidRDefault="0036229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62293" w:rsidRPr="00A103C4" w:rsidRDefault="00362293" w:rsidP="00A103C4">
      <w:pPr>
        <w:tabs>
          <w:tab w:val="right" w:pos="2155"/>
        </w:tabs>
        <w:spacing w:after="80"/>
        <w:ind w:left="680"/>
        <w:rPr>
          <w:u w:val="single"/>
        </w:rPr>
      </w:pPr>
      <w:r w:rsidRPr="00A103C4">
        <w:rPr>
          <w:u w:val="single"/>
        </w:rPr>
        <w:tab/>
      </w:r>
    </w:p>
  </w:footnote>
  <w:footnote w:type="continuationNotice" w:id="1">
    <w:p w:rsidR="00362293" w:rsidRPr="004D432A" w:rsidRDefault="00362293" w:rsidP="004D432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73" w:rsidRPr="00882D73" w:rsidRDefault="00882D73">
    <w:pPr>
      <w:pStyle w:val="Header"/>
    </w:pPr>
    <w:r>
      <w:t>CED/C/4/1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73" w:rsidRPr="00882D73" w:rsidRDefault="00882D73" w:rsidP="00882D73">
    <w:pPr>
      <w:pStyle w:val="Header"/>
      <w:jc w:val="right"/>
    </w:pPr>
    <w:r>
      <w:t>CED/C/4/1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47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C03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3">
    <w:nsid w:val="3DE07A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6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9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7BD17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0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18"/>
  </w:num>
  <w:num w:numId="3">
    <w:abstractNumId w:val="39"/>
  </w:num>
  <w:num w:numId="4">
    <w:abstractNumId w:val="18"/>
  </w:num>
  <w:num w:numId="5">
    <w:abstractNumId w:val="12"/>
  </w:num>
  <w:num w:numId="6">
    <w:abstractNumId w:val="20"/>
  </w:num>
  <w:num w:numId="7">
    <w:abstractNumId w:val="24"/>
  </w:num>
  <w:num w:numId="8">
    <w:abstractNumId w:val="37"/>
  </w:num>
  <w:num w:numId="9">
    <w:abstractNumId w:val="30"/>
  </w:num>
  <w:num w:numId="10">
    <w:abstractNumId w:val="40"/>
  </w:num>
  <w:num w:numId="11">
    <w:abstractNumId w:val="24"/>
  </w:num>
  <w:num w:numId="12">
    <w:abstractNumId w:val="28"/>
  </w:num>
  <w:num w:numId="13">
    <w:abstractNumId w:val="28"/>
  </w:num>
  <w:num w:numId="14">
    <w:abstractNumId w:val="33"/>
  </w:num>
  <w:num w:numId="15">
    <w:abstractNumId w:val="22"/>
  </w:num>
  <w:num w:numId="16">
    <w:abstractNumId w:val="22"/>
  </w:num>
  <w:num w:numId="17">
    <w:abstractNumId w:val="39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15"/>
  </w:num>
  <w:num w:numId="24">
    <w:abstractNumId w:val="13"/>
  </w:num>
  <w:num w:numId="25">
    <w:abstractNumId w:val="25"/>
  </w:num>
  <w:num w:numId="26">
    <w:abstractNumId w:val="31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4"/>
  </w:num>
  <w:num w:numId="36">
    <w:abstractNumId w:val="38"/>
  </w:num>
  <w:num w:numId="37">
    <w:abstractNumId w:val="35"/>
  </w:num>
  <w:num w:numId="38">
    <w:abstractNumId w:val="21"/>
  </w:num>
  <w:num w:numId="39">
    <w:abstractNumId w:val="27"/>
  </w:num>
  <w:num w:numId="40">
    <w:abstractNumId w:val="36"/>
  </w:num>
  <w:num w:numId="41">
    <w:abstractNumId w:val="16"/>
  </w:num>
  <w:num w:numId="42">
    <w:abstractNumId w:val="10"/>
  </w:num>
  <w:num w:numId="43">
    <w:abstractNumId w:val="34"/>
  </w:num>
  <w:num w:numId="44">
    <w:abstractNumId w:val="23"/>
  </w:num>
  <w:num w:numId="45">
    <w:abstractNumId w:val="32"/>
  </w:num>
  <w:num w:numId="46">
    <w:abstractNumId w:val="29"/>
  </w:num>
  <w:num w:numId="47">
    <w:abstractNumId w:val="26"/>
  </w:num>
  <w:num w:numId="48">
    <w:abstractNumId w:val="17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948"/>
    <w:rsid w:val="00016AC5"/>
    <w:rsid w:val="000B512F"/>
    <w:rsid w:val="000F41F2"/>
    <w:rsid w:val="00160540"/>
    <w:rsid w:val="0019248C"/>
    <w:rsid w:val="00192EEB"/>
    <w:rsid w:val="001A20FB"/>
    <w:rsid w:val="001C02F1"/>
    <w:rsid w:val="001D7F8A"/>
    <w:rsid w:val="001E3FEB"/>
    <w:rsid w:val="001E4A02"/>
    <w:rsid w:val="001E6AAF"/>
    <w:rsid w:val="00225A8C"/>
    <w:rsid w:val="00243D15"/>
    <w:rsid w:val="002659F1"/>
    <w:rsid w:val="00287E79"/>
    <w:rsid w:val="002928F9"/>
    <w:rsid w:val="00297B00"/>
    <w:rsid w:val="002A5D07"/>
    <w:rsid w:val="002E0C1D"/>
    <w:rsid w:val="002E2607"/>
    <w:rsid w:val="003016B7"/>
    <w:rsid w:val="00311ADA"/>
    <w:rsid w:val="003515AA"/>
    <w:rsid w:val="003531E6"/>
    <w:rsid w:val="003536BF"/>
    <w:rsid w:val="00362293"/>
    <w:rsid w:val="00374106"/>
    <w:rsid w:val="00376EE5"/>
    <w:rsid w:val="003976D5"/>
    <w:rsid w:val="003D4E3D"/>
    <w:rsid w:val="003D6C68"/>
    <w:rsid w:val="004159D0"/>
    <w:rsid w:val="00455D94"/>
    <w:rsid w:val="004C76E0"/>
    <w:rsid w:val="004D432A"/>
    <w:rsid w:val="004F4B54"/>
    <w:rsid w:val="00525DBB"/>
    <w:rsid w:val="00543D5E"/>
    <w:rsid w:val="00555C7A"/>
    <w:rsid w:val="005610B3"/>
    <w:rsid w:val="00571F41"/>
    <w:rsid w:val="005D0661"/>
    <w:rsid w:val="005E0932"/>
    <w:rsid w:val="005E5D1F"/>
    <w:rsid w:val="00611D43"/>
    <w:rsid w:val="00612D48"/>
    <w:rsid w:val="00616B45"/>
    <w:rsid w:val="00630D9B"/>
    <w:rsid w:val="00631953"/>
    <w:rsid w:val="00634D98"/>
    <w:rsid w:val="006439EC"/>
    <w:rsid w:val="006647E0"/>
    <w:rsid w:val="00692CE7"/>
    <w:rsid w:val="006B132B"/>
    <w:rsid w:val="006B4590"/>
    <w:rsid w:val="006C340C"/>
    <w:rsid w:val="006C3FDD"/>
    <w:rsid w:val="0070347C"/>
    <w:rsid w:val="007176C1"/>
    <w:rsid w:val="007534DA"/>
    <w:rsid w:val="00777EB6"/>
    <w:rsid w:val="00793392"/>
    <w:rsid w:val="0079465D"/>
    <w:rsid w:val="007B0499"/>
    <w:rsid w:val="007F3FA0"/>
    <w:rsid w:val="007F55CB"/>
    <w:rsid w:val="00844750"/>
    <w:rsid w:val="008464C8"/>
    <w:rsid w:val="00882D73"/>
    <w:rsid w:val="008B44C4"/>
    <w:rsid w:val="008C0AF2"/>
    <w:rsid w:val="008E675E"/>
    <w:rsid w:val="008E7FAE"/>
    <w:rsid w:val="00911BF7"/>
    <w:rsid w:val="00954E38"/>
    <w:rsid w:val="00977EC8"/>
    <w:rsid w:val="009932B9"/>
    <w:rsid w:val="009D3A8C"/>
    <w:rsid w:val="009E7956"/>
    <w:rsid w:val="00A103C4"/>
    <w:rsid w:val="00A14C57"/>
    <w:rsid w:val="00A2492E"/>
    <w:rsid w:val="00A50390"/>
    <w:rsid w:val="00A56EA8"/>
    <w:rsid w:val="00AA7948"/>
    <w:rsid w:val="00AC67A1"/>
    <w:rsid w:val="00AC7977"/>
    <w:rsid w:val="00AE352C"/>
    <w:rsid w:val="00B32E2D"/>
    <w:rsid w:val="00B61990"/>
    <w:rsid w:val="00B63A55"/>
    <w:rsid w:val="00B77C99"/>
    <w:rsid w:val="00BA31B5"/>
    <w:rsid w:val="00BB10E9"/>
    <w:rsid w:val="00BC554A"/>
    <w:rsid w:val="00BF0556"/>
    <w:rsid w:val="00C005F9"/>
    <w:rsid w:val="00C1562D"/>
    <w:rsid w:val="00C261F8"/>
    <w:rsid w:val="00C33100"/>
    <w:rsid w:val="00C42566"/>
    <w:rsid w:val="00CA7CAA"/>
    <w:rsid w:val="00CD1A71"/>
    <w:rsid w:val="00CD1FBB"/>
    <w:rsid w:val="00D016B5"/>
    <w:rsid w:val="00D034F1"/>
    <w:rsid w:val="00D27D5E"/>
    <w:rsid w:val="00D55CFF"/>
    <w:rsid w:val="00DB4FBC"/>
    <w:rsid w:val="00DE6D90"/>
    <w:rsid w:val="00DF002F"/>
    <w:rsid w:val="00E01507"/>
    <w:rsid w:val="00E0244D"/>
    <w:rsid w:val="00E6079F"/>
    <w:rsid w:val="00E81E94"/>
    <w:rsid w:val="00E82607"/>
    <w:rsid w:val="00EE1A0D"/>
    <w:rsid w:val="00F03BF6"/>
    <w:rsid w:val="00F95A12"/>
    <w:rsid w:val="00FA5A79"/>
    <w:rsid w:val="00FB0BFE"/>
    <w:rsid w:val="00FB4C51"/>
    <w:rsid w:val="00FD6892"/>
    <w:rsid w:val="00FE2E4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CAA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B77C9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  <w:rsid w:val="00CA7CA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7CAA"/>
  </w:style>
  <w:style w:type="paragraph" w:customStyle="1" w:styleId="SingleTxtG">
    <w:name w:val="_ Single Txt_G"/>
    <w:basedOn w:val="Normal"/>
    <w:rsid w:val="00CA7CAA"/>
    <w:pPr>
      <w:spacing w:after="120"/>
      <w:ind w:left="1134" w:right="1134"/>
      <w:jc w:val="both"/>
    </w:pPr>
  </w:style>
  <w:style w:type="character" w:styleId="FootnoteReference">
    <w:name w:val="footnote reference"/>
    <w:aliases w:val="4_G"/>
    <w:rsid w:val="00CA7CA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CA7CAA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CA7CA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C1562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1562D"/>
  </w:style>
  <w:style w:type="character" w:styleId="PageNumber">
    <w:name w:val="page number"/>
    <w:aliases w:val="7_G"/>
    <w:rsid w:val="00CA7CAA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CA7CAA"/>
    <w:pPr>
      <w:spacing w:line="240" w:lineRule="auto"/>
    </w:pPr>
    <w:rPr>
      <w:sz w:val="16"/>
    </w:rPr>
  </w:style>
  <w:style w:type="paragraph" w:customStyle="1" w:styleId="H1G">
    <w:name w:val="_ H_1_G"/>
    <w:basedOn w:val="Normal"/>
    <w:next w:val="Normal"/>
    <w:rsid w:val="00CA7CA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CA7CA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CA7CA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A7CA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CA7CA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A7CA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A7CA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CA7CA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A7CAA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CA7CAA"/>
    <w:pPr>
      <w:numPr>
        <w:numId w:val="50"/>
      </w:numPr>
      <w:spacing w:after="120"/>
      <w:ind w:right="1134"/>
      <w:jc w:val="both"/>
    </w:pPr>
  </w:style>
  <w:style w:type="character" w:styleId="Hyperlink">
    <w:name w:val="Hyperlink"/>
    <w:rsid w:val="006B132B"/>
    <w:rPr>
      <w:color w:val="auto"/>
      <w:u w:val="none"/>
    </w:rPr>
  </w:style>
  <w:style w:type="character" w:styleId="FollowedHyperlink">
    <w:name w:val="FollowedHyperlink"/>
    <w:rsid w:val="006B132B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TEMPLATES\C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</Template>
  <TotalTime>0</TotalTime>
  <Pages>4</Pages>
  <Words>915</Words>
  <Characters>5083</Characters>
  <Application>Microsoft Office Word</Application>
  <DocSecurity>4</DocSecurity>
  <Lines>112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CED/C/4/1</vt:lpstr>
    </vt:vector>
  </TitlesOfParts>
  <Company>CSD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CED/C/4/1</dc:title>
  <dc:subject/>
  <dc:creator>VIGNY</dc:creator>
  <cp:keywords/>
  <dc:description/>
  <cp:lastModifiedBy>VIGNY</cp:lastModifiedBy>
  <cp:revision>2</cp:revision>
  <cp:lastPrinted>2013-02-04T15:26:00Z</cp:lastPrinted>
  <dcterms:created xsi:type="dcterms:W3CDTF">2013-02-04T16:05:00Z</dcterms:created>
  <dcterms:modified xsi:type="dcterms:W3CDTF">2013-02-04T16:05:00Z</dcterms:modified>
</cp:coreProperties>
</file>