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14:paraId="51AD8B3A" w14:textId="77777777" w:rsidTr="00D21089">
        <w:trPr>
          <w:trHeight w:val="851"/>
        </w:trPr>
        <w:tc>
          <w:tcPr>
            <w:tcW w:w="1259" w:type="dxa"/>
            <w:tcBorders>
              <w:top w:val="nil"/>
              <w:left w:val="nil"/>
              <w:bottom w:val="single" w:sz="4" w:space="0" w:color="auto"/>
              <w:right w:val="nil"/>
            </w:tcBorders>
          </w:tcPr>
          <w:p w14:paraId="38E4481B" w14:textId="77777777" w:rsidR="006F0959" w:rsidRDefault="006F0959" w:rsidP="00D21089">
            <w:pPr>
              <w:spacing w:after="80" w:line="340" w:lineRule="exact"/>
            </w:pPr>
          </w:p>
        </w:tc>
        <w:tc>
          <w:tcPr>
            <w:tcW w:w="2236" w:type="dxa"/>
            <w:tcBorders>
              <w:top w:val="nil"/>
              <w:left w:val="nil"/>
              <w:bottom w:val="single" w:sz="4" w:space="0" w:color="auto"/>
              <w:right w:val="nil"/>
            </w:tcBorders>
            <w:vAlign w:val="bottom"/>
          </w:tcPr>
          <w:p w14:paraId="28AF0E53" w14:textId="77777777"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5EC549D0" w14:textId="77777777" w:rsidR="006F0959" w:rsidRDefault="00CD38BD" w:rsidP="00CD38BD">
            <w:pPr>
              <w:suppressAutoHyphens w:val="0"/>
              <w:spacing w:after="20"/>
              <w:jc w:val="right"/>
            </w:pPr>
            <w:r w:rsidRPr="00CD38BD">
              <w:rPr>
                <w:sz w:val="40"/>
              </w:rPr>
              <w:t>CRC</w:t>
            </w:r>
            <w:r>
              <w:t>/C/ISR/Q/5-6</w:t>
            </w:r>
          </w:p>
        </w:tc>
      </w:tr>
      <w:tr w:rsidR="006F0959" w14:paraId="070EBF03" w14:textId="77777777" w:rsidTr="00D21089">
        <w:trPr>
          <w:trHeight w:val="2835"/>
        </w:trPr>
        <w:tc>
          <w:tcPr>
            <w:tcW w:w="1259" w:type="dxa"/>
            <w:tcBorders>
              <w:top w:val="single" w:sz="4" w:space="0" w:color="auto"/>
              <w:left w:val="nil"/>
              <w:bottom w:val="single" w:sz="12" w:space="0" w:color="auto"/>
              <w:right w:val="nil"/>
            </w:tcBorders>
          </w:tcPr>
          <w:p w14:paraId="09C301AC" w14:textId="77777777" w:rsidR="006F0959" w:rsidRDefault="006F0959" w:rsidP="00D21089">
            <w:pPr>
              <w:spacing w:before="120"/>
              <w:jc w:val="center"/>
            </w:pPr>
            <w:r>
              <w:rPr>
                <w:noProof/>
                <w:lang w:val="fr-CH" w:eastAsia="fr-CH"/>
              </w:rPr>
              <w:drawing>
                <wp:inline distT="0" distB="0" distL="0" distR="0" wp14:anchorId="0B376380" wp14:editId="66F0EE67">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1923CF8B" w14:textId="77777777"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14:paraId="3A013A08" w14:textId="77777777" w:rsidR="00CD38BD" w:rsidRPr="0071343B" w:rsidRDefault="00CD38BD" w:rsidP="00CD38BD">
            <w:pPr>
              <w:suppressAutoHyphens w:val="0"/>
              <w:spacing w:before="240" w:line="240" w:lineRule="exact"/>
            </w:pPr>
            <w:r w:rsidRPr="0071343B">
              <w:t>Distr.: General</w:t>
            </w:r>
          </w:p>
          <w:p w14:paraId="5C1C2929" w14:textId="21956BA5" w:rsidR="00CD38BD" w:rsidRPr="0071343B" w:rsidRDefault="00CD38BD" w:rsidP="00CD38BD">
            <w:pPr>
              <w:suppressAutoHyphens w:val="0"/>
            </w:pPr>
            <w:r>
              <w:t>9 March</w:t>
            </w:r>
            <w:r w:rsidRPr="0071343B">
              <w:t xml:space="preserve"> 2023</w:t>
            </w:r>
          </w:p>
          <w:p w14:paraId="3F63E515" w14:textId="77777777" w:rsidR="00CD38BD" w:rsidRPr="0071343B" w:rsidRDefault="00CD38BD" w:rsidP="00CD38BD">
            <w:pPr>
              <w:suppressAutoHyphens w:val="0"/>
            </w:pPr>
          </w:p>
          <w:p w14:paraId="765832A3" w14:textId="77777777" w:rsidR="00CD38BD" w:rsidRPr="0071343B" w:rsidRDefault="00CD38BD" w:rsidP="00CD38BD">
            <w:pPr>
              <w:suppressAutoHyphens w:val="0"/>
            </w:pPr>
            <w:r w:rsidRPr="0071343B">
              <w:t>Original: English</w:t>
            </w:r>
          </w:p>
          <w:p w14:paraId="6BA07E00" w14:textId="309B9984" w:rsidR="00CD38BD" w:rsidRDefault="00CD38BD" w:rsidP="00CD38BD">
            <w:pPr>
              <w:suppressAutoHyphens w:val="0"/>
            </w:pPr>
            <w:r w:rsidRPr="0071343B">
              <w:t>English, French and Spanish only</w:t>
            </w:r>
          </w:p>
        </w:tc>
      </w:tr>
    </w:tbl>
    <w:p w14:paraId="3ABFCD3A" w14:textId="77777777" w:rsidR="00CD38BD" w:rsidRDefault="00CD38BD" w:rsidP="00CD38BD">
      <w:pPr>
        <w:spacing w:before="120"/>
        <w:rPr>
          <w:b/>
          <w:sz w:val="24"/>
        </w:rPr>
      </w:pPr>
      <w:r>
        <w:rPr>
          <w:b/>
          <w:sz w:val="24"/>
        </w:rPr>
        <w:t>Committee on the Rights of the Child</w:t>
      </w:r>
    </w:p>
    <w:p w14:paraId="6B30EAF5" w14:textId="77777777" w:rsidR="00CD38BD" w:rsidRPr="0072293B" w:rsidRDefault="00CD38BD" w:rsidP="00CD38BD">
      <w:pPr>
        <w:pStyle w:val="HChG"/>
      </w:pPr>
      <w:r w:rsidRPr="0072293B">
        <w:tab/>
      </w:r>
      <w:r w:rsidRPr="0072293B">
        <w:tab/>
        <w:t>List of issues in relation to the combined fifth and sixth periodic reports of Israel</w:t>
      </w:r>
      <w:r w:rsidRPr="0072293B">
        <w:rPr>
          <w:b w:val="0"/>
          <w:bCs/>
          <w:sz w:val="20"/>
          <w:szCs w:val="14"/>
        </w:rPr>
        <w:footnoteReference w:customMarkFollows="1" w:id="1"/>
        <w:t>*</w:t>
      </w:r>
    </w:p>
    <w:p w14:paraId="4EB29E62" w14:textId="58D79052" w:rsidR="00CD38BD" w:rsidRPr="0072293B" w:rsidRDefault="00CD38BD" w:rsidP="00CD38BD">
      <w:pPr>
        <w:pStyle w:val="SingleTxtG"/>
      </w:pPr>
      <w:r w:rsidRPr="0072293B">
        <w:t>1.</w:t>
      </w:r>
      <w:r w:rsidRPr="0072293B">
        <w:tab/>
        <w:t xml:space="preserve">The State party is requested to submit in writing additional, updated information (10,700 words maximum), if possible before </w:t>
      </w:r>
      <w:r>
        <w:t>15 September</w:t>
      </w:r>
      <w:r w:rsidRPr="0072293B">
        <w:t xml:space="preserve"> 2023. The Committee may take up all aspects of children</w:t>
      </w:r>
      <w:r w:rsidR="00640DC6">
        <w:t>’</w:t>
      </w:r>
      <w:r w:rsidRPr="0072293B">
        <w:t>s rights set out in the Convention during the dialogue with the State party.</w:t>
      </w:r>
    </w:p>
    <w:p w14:paraId="3572E64D" w14:textId="77777777" w:rsidR="00CD38BD" w:rsidRPr="00972040" w:rsidRDefault="00CD38BD" w:rsidP="00CD38BD">
      <w:pPr>
        <w:pStyle w:val="HChG"/>
        <w:rPr>
          <w:szCs w:val="28"/>
        </w:rPr>
      </w:pPr>
      <w:r w:rsidRPr="0072293B">
        <w:tab/>
      </w:r>
      <w:r w:rsidRPr="0072293B">
        <w:tab/>
      </w:r>
      <w:r w:rsidRPr="00972040">
        <w:rPr>
          <w:szCs w:val="28"/>
        </w:rPr>
        <w:t>Part I</w:t>
      </w:r>
    </w:p>
    <w:p w14:paraId="13F9E381" w14:textId="77777777" w:rsidR="00CD38BD" w:rsidRPr="0072293B" w:rsidRDefault="00CD38BD" w:rsidP="00CD38BD">
      <w:pPr>
        <w:pStyle w:val="SingleTxtG"/>
        <w:rPr>
          <w:i/>
          <w:iCs/>
        </w:rPr>
      </w:pPr>
      <w:r w:rsidRPr="0072293B">
        <w:rPr>
          <w:iCs/>
        </w:rPr>
        <w:t>2.</w:t>
      </w:r>
      <w:r w:rsidRPr="0072293B">
        <w:rPr>
          <w:iCs/>
        </w:rPr>
        <w:tab/>
      </w:r>
      <w:r w:rsidRPr="0072293B">
        <w:t xml:space="preserve">Please </w:t>
      </w:r>
      <w:r>
        <w:t xml:space="preserve">provide </w:t>
      </w:r>
      <w:r w:rsidRPr="00CD38BD">
        <w:t>information</w:t>
      </w:r>
      <w:r>
        <w:t xml:space="preserve"> on</w:t>
      </w:r>
      <w:r w:rsidRPr="0072293B">
        <w:t>:</w:t>
      </w:r>
      <w:r w:rsidRPr="0072293B">
        <w:rPr>
          <w:i/>
          <w:iCs/>
        </w:rPr>
        <w:t xml:space="preserve"> </w:t>
      </w:r>
    </w:p>
    <w:p w14:paraId="749982EF" w14:textId="06A4AFD4" w:rsidR="00CD38BD" w:rsidRPr="0072293B" w:rsidRDefault="00CD38BD" w:rsidP="00CD38BD">
      <w:pPr>
        <w:pStyle w:val="SingleTxtG"/>
        <w:rPr>
          <w:i/>
          <w:iCs/>
        </w:rPr>
      </w:pPr>
      <w:r>
        <w:rPr>
          <w:iCs/>
        </w:rPr>
        <w:tab/>
      </w:r>
      <w:r w:rsidRPr="0072293B">
        <w:rPr>
          <w:iCs/>
        </w:rPr>
        <w:t>(a)</w:t>
      </w:r>
      <w:r w:rsidRPr="0072293B">
        <w:rPr>
          <w:iCs/>
        </w:rPr>
        <w:tab/>
      </w:r>
      <w:r>
        <w:t xml:space="preserve">The extent to which </w:t>
      </w:r>
      <w:r w:rsidRPr="0072293B">
        <w:t xml:space="preserve">the </w:t>
      </w:r>
      <w:r>
        <w:t>g</w:t>
      </w:r>
      <w:r w:rsidRPr="0072293B">
        <w:t xml:space="preserve">uidelines for the implementation of the </w:t>
      </w:r>
      <w:r w:rsidRPr="005F1342">
        <w:t xml:space="preserve">Indication of Information Regarding Legislative Influences on the Rights of the Child Law </w:t>
      </w:r>
      <w:r w:rsidRPr="0072293B">
        <w:t xml:space="preserve">2022-5762 </w:t>
      </w:r>
      <w:r>
        <w:t>domesticate</w:t>
      </w:r>
      <w:r w:rsidRPr="0072293B">
        <w:t xml:space="preserve"> the Convention</w:t>
      </w:r>
      <w:r>
        <w:t xml:space="preserve"> provisions</w:t>
      </w:r>
      <w:r w:rsidRPr="0072293B">
        <w:t xml:space="preserve"> </w:t>
      </w:r>
      <w:r>
        <w:t>to ensure their</w:t>
      </w:r>
      <w:r w:rsidRPr="0072293B">
        <w:t xml:space="preserve"> justiciability</w:t>
      </w:r>
      <w:r>
        <w:t>;</w:t>
      </w:r>
    </w:p>
    <w:p w14:paraId="4040F812" w14:textId="76FA01F9" w:rsidR="00CD38BD" w:rsidRPr="0072293B" w:rsidRDefault="00CD38BD" w:rsidP="00CD38BD">
      <w:pPr>
        <w:pStyle w:val="SingleTxtG"/>
        <w:rPr>
          <w:i/>
          <w:iCs/>
        </w:rPr>
      </w:pPr>
      <w:r>
        <w:rPr>
          <w:iCs/>
        </w:rPr>
        <w:tab/>
      </w:r>
      <w:r w:rsidRPr="0072293B">
        <w:rPr>
          <w:iCs/>
        </w:rPr>
        <w:t>(b)</w:t>
      </w:r>
      <w:r w:rsidRPr="0072293B">
        <w:rPr>
          <w:iCs/>
        </w:rPr>
        <w:tab/>
      </w:r>
      <w:r>
        <w:t>The development of</w:t>
      </w:r>
      <w:r w:rsidRPr="0072293B">
        <w:t xml:space="preserve"> a comprehensive policy on children and </w:t>
      </w:r>
      <w:r>
        <w:t xml:space="preserve">a corresponding </w:t>
      </w:r>
      <w:r w:rsidRPr="0072293B">
        <w:t>implement</w:t>
      </w:r>
      <w:r>
        <w:t xml:space="preserve">ation </w:t>
      </w:r>
      <w:r w:rsidRPr="0072293B">
        <w:t>strategy</w:t>
      </w:r>
      <w:r>
        <w:t>;</w:t>
      </w:r>
    </w:p>
    <w:p w14:paraId="17799E16" w14:textId="702AA2DE" w:rsidR="00CD38BD" w:rsidRPr="0072293B" w:rsidRDefault="00CD38BD" w:rsidP="00CD38BD">
      <w:pPr>
        <w:pStyle w:val="SingleTxtG"/>
        <w:rPr>
          <w:i/>
          <w:iCs/>
        </w:rPr>
      </w:pPr>
      <w:r>
        <w:rPr>
          <w:iCs/>
        </w:rPr>
        <w:tab/>
      </w:r>
      <w:r w:rsidRPr="0072293B">
        <w:rPr>
          <w:iCs/>
        </w:rPr>
        <w:t>(c)</w:t>
      </w:r>
      <w:r w:rsidRPr="0072293B">
        <w:rPr>
          <w:iCs/>
        </w:rPr>
        <w:tab/>
      </w:r>
      <w:r>
        <w:t>The e</w:t>
      </w:r>
      <w:r w:rsidRPr="0072293B">
        <w:t>stablish</w:t>
      </w:r>
      <w:r>
        <w:t>ment of</w:t>
      </w:r>
      <w:r w:rsidRPr="0072293B">
        <w:t xml:space="preserve"> a central mechanism for intersectoral coordination and cooperation at and between </w:t>
      </w:r>
      <w:r>
        <w:t>the national and local</w:t>
      </w:r>
      <w:r w:rsidRPr="0072293B">
        <w:t xml:space="preserve"> levels for the implementation of the Convention throughout the State party</w:t>
      </w:r>
      <w:r>
        <w:t>;</w:t>
      </w:r>
      <w:r w:rsidRPr="0072293B">
        <w:rPr>
          <w:i/>
          <w:iCs/>
        </w:rPr>
        <w:t xml:space="preserve"> </w:t>
      </w:r>
    </w:p>
    <w:p w14:paraId="2FB279C6" w14:textId="2EB710C4" w:rsidR="00CD38BD" w:rsidRPr="0072293B" w:rsidRDefault="00CD38BD" w:rsidP="00CD38BD">
      <w:pPr>
        <w:pStyle w:val="SingleTxtG"/>
      </w:pPr>
      <w:r>
        <w:tab/>
      </w:r>
      <w:r w:rsidRPr="0072293B">
        <w:t>(d)</w:t>
      </w:r>
      <w:r w:rsidRPr="0072293B">
        <w:tab/>
      </w:r>
      <w:r>
        <w:t>The p</w:t>
      </w:r>
      <w:r w:rsidRPr="0072293B">
        <w:t xml:space="preserve">rogress made </w:t>
      </w:r>
      <w:r>
        <w:t>in</w:t>
      </w:r>
      <w:r w:rsidRPr="0072293B">
        <w:t xml:space="preserve"> utilizing a child-rights </w:t>
      </w:r>
      <w:r>
        <w:t xml:space="preserve">based </w:t>
      </w:r>
      <w:r w:rsidRPr="0072293B">
        <w:t xml:space="preserve">approach in the elaboration of the State budget, ensuring transparent and participatory budgeting and </w:t>
      </w:r>
      <w:r>
        <w:t xml:space="preserve">non-discrimination in </w:t>
      </w:r>
      <w:r w:rsidRPr="0072293B">
        <w:t>budgetary allocations</w:t>
      </w:r>
      <w:r>
        <w:t>;</w:t>
      </w:r>
    </w:p>
    <w:p w14:paraId="6CF67B37" w14:textId="400AFB41" w:rsidR="00CD38BD" w:rsidRPr="0072293B" w:rsidRDefault="00CD38BD" w:rsidP="00CD38BD">
      <w:pPr>
        <w:pStyle w:val="SingleTxtG"/>
        <w:rPr>
          <w:i/>
          <w:iCs/>
        </w:rPr>
      </w:pPr>
      <w:r>
        <w:rPr>
          <w:iCs/>
        </w:rPr>
        <w:tab/>
      </w:r>
      <w:r w:rsidRPr="0072293B">
        <w:rPr>
          <w:iCs/>
        </w:rPr>
        <w:t>(e)</w:t>
      </w:r>
      <w:r w:rsidRPr="0072293B">
        <w:rPr>
          <w:iCs/>
        </w:rPr>
        <w:tab/>
      </w:r>
      <w:r>
        <w:t>The creation of</w:t>
      </w:r>
      <w:r w:rsidRPr="0072293B">
        <w:t xml:space="preserve"> an </w:t>
      </w:r>
      <w:r>
        <w:t>o</w:t>
      </w:r>
      <w:r w:rsidRPr="0072293B">
        <w:t xml:space="preserve">mbudsman for </w:t>
      </w:r>
      <w:r>
        <w:t>c</w:t>
      </w:r>
      <w:r w:rsidRPr="0072293B">
        <w:t>hildren</w:t>
      </w:r>
      <w:r>
        <w:t xml:space="preserve"> to monitor and evaluate progress in the implementation of the Convention at the national and local levels and to deal with complaints from children in a child-sensitive and expeditious manner;</w:t>
      </w:r>
    </w:p>
    <w:p w14:paraId="46E1E876" w14:textId="08DA0D31" w:rsidR="00CD38BD" w:rsidRPr="0072293B" w:rsidRDefault="00CD38BD" w:rsidP="00CD38BD">
      <w:pPr>
        <w:pStyle w:val="SingleTxtG"/>
      </w:pPr>
      <w:r>
        <w:tab/>
      </w:r>
      <w:r w:rsidRPr="0072293B">
        <w:t>(f)</w:t>
      </w:r>
      <w:r w:rsidRPr="0072293B">
        <w:tab/>
      </w:r>
      <w:r>
        <w:t>The</w:t>
      </w:r>
      <w:r w:rsidRPr="0072293B">
        <w:t xml:space="preserve"> engage</w:t>
      </w:r>
      <w:r>
        <w:t xml:space="preserve">ment </w:t>
      </w:r>
      <w:r w:rsidRPr="0072293B">
        <w:t>with</w:t>
      </w:r>
      <w:r>
        <w:t xml:space="preserve"> </w:t>
      </w:r>
      <w:r w:rsidRPr="0072293B">
        <w:t>civil society actors</w:t>
      </w:r>
      <w:r>
        <w:t xml:space="preserve"> in a systematic way</w:t>
      </w:r>
      <w:r w:rsidRPr="0072293B">
        <w:t xml:space="preserve">, including those which monitor the child rights situation in the </w:t>
      </w:r>
      <w:r>
        <w:rPr>
          <w:rFonts w:eastAsia="Malgun Gothic"/>
        </w:rPr>
        <w:t>Occupied Palestinian Territory</w:t>
      </w:r>
      <w:r>
        <w:t xml:space="preserve">, and increase resources provided to </w:t>
      </w:r>
      <w:r w:rsidRPr="0072293B">
        <w:t xml:space="preserve">non-governmental organizations </w:t>
      </w:r>
      <w:r>
        <w:t>to</w:t>
      </w:r>
      <w:r w:rsidRPr="0072293B">
        <w:t xml:space="preserve"> monitor and promot</w:t>
      </w:r>
      <w:r>
        <w:t>e</w:t>
      </w:r>
      <w:r w:rsidRPr="0072293B">
        <w:t xml:space="preserve"> children</w:t>
      </w:r>
      <w:r w:rsidR="00640DC6">
        <w:t>’</w:t>
      </w:r>
      <w:r w:rsidRPr="0072293B">
        <w:t>s rights.</w:t>
      </w:r>
    </w:p>
    <w:p w14:paraId="639FDDE4" w14:textId="77777777" w:rsidR="00CD38BD" w:rsidRDefault="00CD38BD" w:rsidP="00CD38BD">
      <w:pPr>
        <w:pStyle w:val="SingleTxtG"/>
      </w:pPr>
      <w:r>
        <w:t>3.</w:t>
      </w:r>
      <w:r>
        <w:tab/>
      </w:r>
      <w:r w:rsidRPr="00044BBB">
        <w:t xml:space="preserve">Please detail the measures taken: </w:t>
      </w:r>
    </w:p>
    <w:p w14:paraId="07106AAB" w14:textId="77C4A9A0" w:rsidR="00CD38BD" w:rsidRDefault="00CD38BD" w:rsidP="00CD38BD">
      <w:pPr>
        <w:pStyle w:val="SingleTxtG"/>
      </w:pPr>
      <w:r>
        <w:tab/>
        <w:t>(a)</w:t>
      </w:r>
      <w:r>
        <w:tab/>
        <w:t>To monitor</w:t>
      </w:r>
      <w:r w:rsidRPr="00044BBB">
        <w:t xml:space="preserve"> the application of Military Order 1676 (2011)</w:t>
      </w:r>
      <w:r>
        <w:t>, by which</w:t>
      </w:r>
      <w:r w:rsidRPr="00044BBB">
        <w:t xml:space="preserve"> the age of majority in the military courts </w:t>
      </w:r>
      <w:r>
        <w:t xml:space="preserve">was raised </w:t>
      </w:r>
      <w:r w:rsidRPr="00044BBB">
        <w:t xml:space="preserve">from 16 to 18 years, </w:t>
      </w:r>
      <w:r>
        <w:t>and</w:t>
      </w:r>
      <w:r w:rsidRPr="00044BBB">
        <w:t xml:space="preserve"> sanctions </w:t>
      </w:r>
      <w:r>
        <w:t>for its violation</w:t>
      </w:r>
      <w:r w:rsidRPr="00044BBB">
        <w:t xml:space="preserve">; </w:t>
      </w:r>
    </w:p>
    <w:p w14:paraId="1BD8D8BF" w14:textId="4EAC5B82" w:rsidR="00CD38BD" w:rsidRPr="00044BBB" w:rsidRDefault="00CD38BD" w:rsidP="00CD38BD">
      <w:pPr>
        <w:pStyle w:val="SingleTxtG"/>
      </w:pPr>
      <w:r>
        <w:tab/>
      </w:r>
      <w:r w:rsidRPr="00044BBB">
        <w:t>(b)</w:t>
      </w:r>
      <w:r w:rsidRPr="00044BBB">
        <w:tab/>
      </w:r>
      <w:r>
        <w:t>To r</w:t>
      </w:r>
      <w:r w:rsidRPr="00044BBB">
        <w:t xml:space="preserve">emove any exceptions to marriage under </w:t>
      </w:r>
      <w:r>
        <w:t xml:space="preserve">the age of </w:t>
      </w:r>
      <w:r w:rsidRPr="00044BBB">
        <w:t xml:space="preserve">18, including the discretion of the Family Matters Court to permit marriage of children above </w:t>
      </w:r>
      <w:r>
        <w:t xml:space="preserve">the age of </w:t>
      </w:r>
      <w:r w:rsidRPr="00044BBB">
        <w:t>16</w:t>
      </w:r>
      <w:r>
        <w:t>.</w:t>
      </w:r>
    </w:p>
    <w:p w14:paraId="68FFDAD2" w14:textId="77777777" w:rsidR="00CD38BD" w:rsidRPr="00044BBB" w:rsidRDefault="00CD38BD" w:rsidP="00CD38BD">
      <w:pPr>
        <w:pStyle w:val="SingleTxtG"/>
      </w:pPr>
      <w:r w:rsidRPr="00044BBB">
        <w:t>4.</w:t>
      </w:r>
      <w:r w:rsidRPr="00044BBB">
        <w:tab/>
      </w:r>
      <w:r w:rsidRPr="0072293B">
        <w:t xml:space="preserve">Please </w:t>
      </w:r>
      <w:r>
        <w:t>update the Committee on progress made:</w:t>
      </w:r>
    </w:p>
    <w:p w14:paraId="3A7A9669" w14:textId="0F7ACAB0" w:rsidR="00CD38BD" w:rsidRPr="0072293B" w:rsidRDefault="00CD38BD" w:rsidP="00CD38BD">
      <w:pPr>
        <w:pStyle w:val="SingleTxtG"/>
      </w:pPr>
      <w:r>
        <w:lastRenderedPageBreak/>
        <w:tab/>
      </w:r>
      <w:r w:rsidRPr="0072293B">
        <w:t>(a)</w:t>
      </w:r>
      <w:r w:rsidRPr="0072293B">
        <w:tab/>
      </w:r>
      <w:r>
        <w:t xml:space="preserve">In enshrining </w:t>
      </w:r>
      <w:r w:rsidRPr="0072293B">
        <w:t xml:space="preserve">the </w:t>
      </w:r>
      <w:r>
        <w:t xml:space="preserve">principles </w:t>
      </w:r>
      <w:r w:rsidRPr="0072293B">
        <w:t>prohibiti</w:t>
      </w:r>
      <w:r>
        <w:t>ng</w:t>
      </w:r>
      <w:r w:rsidRPr="0072293B">
        <w:t xml:space="preserve"> discrimination and </w:t>
      </w:r>
      <w:r>
        <w:t>guaranteeing</w:t>
      </w:r>
      <w:r w:rsidRPr="0072293B">
        <w:t xml:space="preserve"> equality</w:t>
      </w:r>
      <w:r>
        <w:t xml:space="preserve"> in the State party</w:t>
      </w:r>
      <w:r w:rsidR="00640DC6">
        <w:t>’</w:t>
      </w:r>
      <w:r>
        <w:t>s Basic Laws,</w:t>
      </w:r>
      <w:r w:rsidRPr="0072293B">
        <w:t xml:space="preserve"> </w:t>
      </w:r>
      <w:r>
        <w:t>repealing</w:t>
      </w:r>
      <w:r w:rsidRPr="0072293B">
        <w:t xml:space="preserve"> </w:t>
      </w:r>
      <w:r>
        <w:t xml:space="preserve">discriminatory </w:t>
      </w:r>
      <w:r w:rsidRPr="0072293B">
        <w:t xml:space="preserve">laws </w:t>
      </w:r>
      <w:r>
        <w:t xml:space="preserve">and policies </w:t>
      </w:r>
      <w:r w:rsidRPr="0072293B">
        <w:t>against non-Jewish children</w:t>
      </w:r>
      <w:r>
        <w:t xml:space="preserve">, </w:t>
      </w:r>
      <w:r w:rsidRPr="0072293B">
        <w:t>prohibit</w:t>
      </w:r>
      <w:r>
        <w:t>ing</w:t>
      </w:r>
      <w:r w:rsidRPr="0072293B">
        <w:t xml:space="preserve"> and eradicat</w:t>
      </w:r>
      <w:r>
        <w:t>ing</w:t>
      </w:r>
      <w:r w:rsidRPr="0072293B">
        <w:t xml:space="preserve"> policies or practices</w:t>
      </w:r>
      <w:r>
        <w:t xml:space="preserve"> that</w:t>
      </w:r>
      <w:r w:rsidRPr="0072293B">
        <w:t xml:space="preserve"> severely and disproportionately affect the Palestinian population</w:t>
      </w:r>
      <w:r>
        <w:t>, particularly children,</w:t>
      </w:r>
      <w:r w:rsidRPr="0072293B">
        <w:t xml:space="preserve"> in the </w:t>
      </w:r>
      <w:r>
        <w:t>Occupied Palestinian Territory,</w:t>
      </w:r>
      <w:r w:rsidRPr="0072293B">
        <w:t xml:space="preserve"> and ensur</w:t>
      </w:r>
      <w:r>
        <w:t>ing</w:t>
      </w:r>
      <w:r w:rsidRPr="0072293B">
        <w:t xml:space="preserve"> that all children living in the </w:t>
      </w:r>
      <w:r>
        <w:t>Occupied Palestinian Territory</w:t>
      </w:r>
      <w:r w:rsidRPr="0072293B">
        <w:t xml:space="preserve"> enjoy their rights under the Convention without discrimination</w:t>
      </w:r>
      <w:r>
        <w:t>;</w:t>
      </w:r>
    </w:p>
    <w:p w14:paraId="0BE9181C" w14:textId="4C18193F" w:rsidR="00CD38BD" w:rsidRPr="0072293B" w:rsidRDefault="00CD38BD" w:rsidP="00CD38BD">
      <w:pPr>
        <w:pStyle w:val="SingleTxtG"/>
      </w:pPr>
      <w:r>
        <w:tab/>
      </w:r>
      <w:r w:rsidRPr="0072293B">
        <w:t>(b)</w:t>
      </w:r>
      <w:r w:rsidRPr="0072293B">
        <w:tab/>
      </w:r>
      <w:r>
        <w:t>In d</w:t>
      </w:r>
      <w:r w:rsidRPr="0072293B">
        <w:t>evelop</w:t>
      </w:r>
      <w:r>
        <w:t>ing</w:t>
      </w:r>
      <w:r w:rsidRPr="0072293B">
        <w:t xml:space="preserve"> </w:t>
      </w:r>
      <w:r>
        <w:t>procedures and criteria</w:t>
      </w:r>
      <w:r w:rsidRPr="0072293B">
        <w:t xml:space="preserve"> for determining the best interests of the child in every area</w:t>
      </w:r>
      <w:r>
        <w:t xml:space="preserve"> and ensuring</w:t>
      </w:r>
      <w:r w:rsidRPr="0072293B">
        <w:t xml:space="preserve"> </w:t>
      </w:r>
      <w:r>
        <w:t>their wide</w:t>
      </w:r>
      <w:r w:rsidRPr="0072293B">
        <w:t xml:space="preserve"> disseminat</w:t>
      </w:r>
      <w:r>
        <w:t xml:space="preserve">ion, and </w:t>
      </w:r>
      <w:r w:rsidRPr="0072293B">
        <w:t>assess</w:t>
      </w:r>
      <w:r>
        <w:t xml:space="preserve">ing the impact </w:t>
      </w:r>
      <w:r w:rsidRPr="0072293B">
        <w:t xml:space="preserve">of </w:t>
      </w:r>
      <w:r>
        <w:t>the State party</w:t>
      </w:r>
      <w:r w:rsidR="00640DC6">
        <w:t>’</w:t>
      </w:r>
      <w:r>
        <w:t>s</w:t>
      </w:r>
      <w:r w:rsidRPr="0072293B">
        <w:t xml:space="preserve"> policies on children living in the </w:t>
      </w:r>
      <w:r>
        <w:t>Occupied Palestinian Territory</w:t>
      </w:r>
      <w:r w:rsidRPr="0072293B">
        <w:t xml:space="preserve"> and ensur</w:t>
      </w:r>
      <w:r>
        <w:t>ing</w:t>
      </w:r>
      <w:r w:rsidRPr="0072293B">
        <w:t xml:space="preserve"> that their best interests are fully taken into account in its military governance of the </w:t>
      </w:r>
      <w:r>
        <w:t>Occupied Palestinian Territory</w:t>
      </w:r>
      <w:r w:rsidRPr="0072293B">
        <w:t xml:space="preserve"> and in the 2022 Anti-Infiltration Law</w:t>
      </w:r>
      <w:r>
        <w:t>;</w:t>
      </w:r>
    </w:p>
    <w:p w14:paraId="084E951C" w14:textId="18DC28E9" w:rsidR="00CD38BD" w:rsidRPr="0072293B" w:rsidRDefault="00CD38BD" w:rsidP="00CD38BD">
      <w:pPr>
        <w:pStyle w:val="SingleTxtG"/>
      </w:pPr>
      <w:r>
        <w:tab/>
      </w:r>
      <w:r w:rsidRPr="0072293B">
        <w:t>(c)</w:t>
      </w:r>
      <w:r w:rsidRPr="0072293B">
        <w:tab/>
      </w:r>
      <w:r>
        <w:t>In taking actions to</w:t>
      </w:r>
      <w:r w:rsidRPr="0072293B">
        <w:t xml:space="preserve"> </w:t>
      </w:r>
      <w:r>
        <w:t>cease</w:t>
      </w:r>
      <w:r w:rsidRPr="0072293B">
        <w:t xml:space="preserve"> all killings and injuring of </w:t>
      </w:r>
      <w:r>
        <w:t xml:space="preserve">Palestinian </w:t>
      </w:r>
      <w:r w:rsidRPr="0072293B">
        <w:t>children, investigat</w:t>
      </w:r>
      <w:r>
        <w:t>ing</w:t>
      </w:r>
      <w:r w:rsidRPr="0072293B">
        <w:t xml:space="preserve"> all such crimes, bring</w:t>
      </w:r>
      <w:r>
        <w:t>ing</w:t>
      </w:r>
      <w:r w:rsidRPr="0072293B">
        <w:t xml:space="preserve"> the perpetrators to justice and </w:t>
      </w:r>
      <w:r>
        <w:t>providing</w:t>
      </w:r>
      <w:r w:rsidRPr="0072293B">
        <w:t xml:space="preserve"> compensation, recovery and social integration</w:t>
      </w:r>
      <w:r>
        <w:t xml:space="preserve"> services for all</w:t>
      </w:r>
      <w:r w:rsidRPr="0072293B">
        <w:t xml:space="preserve"> child victims of th</w:t>
      </w:r>
      <w:r>
        <w:t>o</w:t>
      </w:r>
      <w:r w:rsidRPr="0072293B">
        <w:t>se human rights violations</w:t>
      </w:r>
      <w:r>
        <w:t>;</w:t>
      </w:r>
      <w:r w:rsidRPr="0072293B">
        <w:t xml:space="preserve"> </w:t>
      </w:r>
    </w:p>
    <w:p w14:paraId="49BB09B8" w14:textId="511A2D63" w:rsidR="00CD38BD" w:rsidRDefault="00CD38BD" w:rsidP="00CD38BD">
      <w:pPr>
        <w:pStyle w:val="SingleTxtG"/>
      </w:pPr>
      <w:r>
        <w:tab/>
        <w:t>(d)</w:t>
      </w:r>
      <w:r>
        <w:tab/>
        <w:t>In p</w:t>
      </w:r>
      <w:r w:rsidRPr="0072293B">
        <w:t>revent</w:t>
      </w:r>
      <w:r>
        <w:t>ing</w:t>
      </w:r>
      <w:r w:rsidRPr="0072293B">
        <w:t xml:space="preserve"> incidents of excessive use of force</w:t>
      </w:r>
      <w:r>
        <w:t xml:space="preserve">, </w:t>
      </w:r>
      <w:r w:rsidRPr="0072293B">
        <w:t>ensur</w:t>
      </w:r>
      <w:r>
        <w:t>ing</w:t>
      </w:r>
      <w:r w:rsidRPr="0072293B">
        <w:t xml:space="preserve"> public order</w:t>
      </w:r>
      <w:r>
        <w:t xml:space="preserve"> and</w:t>
      </w:r>
      <w:r w:rsidRPr="0072293B">
        <w:t xml:space="preserve"> investiga</w:t>
      </w:r>
      <w:r>
        <w:t>ting</w:t>
      </w:r>
      <w:r w:rsidRPr="0072293B">
        <w:t xml:space="preserve"> and </w:t>
      </w:r>
      <w:r>
        <w:t xml:space="preserve">ensuring </w:t>
      </w:r>
      <w:r w:rsidRPr="0072293B">
        <w:t>accountability for all acts of violence committed by settlers against</w:t>
      </w:r>
      <w:r>
        <w:t xml:space="preserve"> Palestinian</w:t>
      </w:r>
      <w:r w:rsidRPr="0072293B">
        <w:t xml:space="preserve"> children;</w:t>
      </w:r>
      <w:r>
        <w:t xml:space="preserve"> </w:t>
      </w:r>
    </w:p>
    <w:p w14:paraId="2770BAAD" w14:textId="744C1863" w:rsidR="00CD38BD" w:rsidRDefault="00CD38BD" w:rsidP="00CD38BD">
      <w:pPr>
        <w:pStyle w:val="SingleTxtG"/>
      </w:pPr>
      <w:r>
        <w:tab/>
        <w:t>(e)</w:t>
      </w:r>
      <w:r>
        <w:tab/>
        <w:t>In c</w:t>
      </w:r>
      <w:r w:rsidRPr="00D82E61">
        <w:t>eas</w:t>
      </w:r>
      <w:r>
        <w:t>ing</w:t>
      </w:r>
      <w:r w:rsidRPr="00D82E61">
        <w:t xml:space="preserve"> the construction of the Wall in the </w:t>
      </w:r>
      <w:r>
        <w:t>Occupied Palestinian Territory,</w:t>
      </w:r>
      <w:r w:rsidRPr="00D82E61">
        <w:t xml:space="preserve"> fully lift</w:t>
      </w:r>
      <w:r>
        <w:t>ing</w:t>
      </w:r>
      <w:r w:rsidRPr="00D82E61">
        <w:t xml:space="preserve"> the Gaza blockade</w:t>
      </w:r>
      <w:r w:rsidRPr="0072293B">
        <w:t xml:space="preserve"> </w:t>
      </w:r>
      <w:r>
        <w:t xml:space="preserve">and </w:t>
      </w:r>
      <w:r w:rsidRPr="0072293B">
        <w:t>allow</w:t>
      </w:r>
      <w:r>
        <w:t>ing</w:t>
      </w:r>
      <w:r w:rsidRPr="0072293B">
        <w:t xml:space="preserve"> entry of all construction materials necessary for Palestinian families to rebuild homes and civilian infrastructure</w:t>
      </w:r>
      <w:r>
        <w:t>.</w:t>
      </w:r>
    </w:p>
    <w:p w14:paraId="2AB648BB" w14:textId="77777777" w:rsidR="00CD38BD" w:rsidRPr="0072293B" w:rsidRDefault="00CD38BD" w:rsidP="00CD38BD">
      <w:pPr>
        <w:pStyle w:val="SingleTxtG"/>
      </w:pPr>
      <w:r w:rsidRPr="0072293B">
        <w:t>5.</w:t>
      </w:r>
      <w:r w:rsidRPr="0072293B">
        <w:tab/>
      </w:r>
      <w:r>
        <w:t xml:space="preserve">Please update the Committee on measures taken to ensure </w:t>
      </w:r>
      <w:r w:rsidRPr="0072293B">
        <w:t>the right of the child to be heard in</w:t>
      </w:r>
      <w:r>
        <w:t xml:space="preserve"> </w:t>
      </w:r>
      <w:r w:rsidRPr="0072293B">
        <w:t>proceedings involving admission to a psychiatric hospital or adoption</w:t>
      </w:r>
      <w:r>
        <w:t xml:space="preserve">, </w:t>
      </w:r>
      <w:r w:rsidRPr="0072293B">
        <w:t xml:space="preserve">regardless of age, </w:t>
      </w:r>
      <w:r>
        <w:t>and in all proceedings affecting m</w:t>
      </w:r>
      <w:r w:rsidRPr="0072293B">
        <w:t>igrant and asylum-seeking children</w:t>
      </w:r>
      <w:r>
        <w:t xml:space="preserve">, and the extent to which </w:t>
      </w:r>
      <w:r w:rsidRPr="0072293B">
        <w:t>the National Child Representation Unit</w:t>
      </w:r>
      <w:r>
        <w:t xml:space="preserve"> referred to in paragraphs 39 and 40 of the</w:t>
      </w:r>
      <w:r w:rsidRPr="0072293B">
        <w:t xml:space="preserve"> </w:t>
      </w:r>
      <w:r>
        <w:t xml:space="preserve">report of the </w:t>
      </w:r>
      <w:r w:rsidRPr="00044BBB">
        <w:t>State party and</w:t>
      </w:r>
      <w:r>
        <w:t xml:space="preserve"> paragraphs 14 to 25 of</w:t>
      </w:r>
      <w:r w:rsidRPr="00044BBB">
        <w:t xml:space="preserve"> </w:t>
      </w:r>
      <w:r>
        <w:t>a</w:t>
      </w:r>
      <w:r w:rsidRPr="00044BBB">
        <w:t>nnex I</w:t>
      </w:r>
      <w:r>
        <w:t xml:space="preserve"> thereto</w:t>
      </w:r>
      <w:r w:rsidRPr="00044BBB">
        <w:t xml:space="preserve"> </w:t>
      </w:r>
      <w:r w:rsidRPr="00281F7C">
        <w:t xml:space="preserve">systematically </w:t>
      </w:r>
      <w:r>
        <w:t>enables</w:t>
      </w:r>
      <w:r w:rsidRPr="00281F7C">
        <w:t xml:space="preserve"> child</w:t>
      </w:r>
      <w:r>
        <w:t>ren</w:t>
      </w:r>
      <w:r w:rsidRPr="00281F7C">
        <w:t xml:space="preserve"> to be heard in </w:t>
      </w:r>
      <w:r>
        <w:t>such</w:t>
      </w:r>
      <w:r w:rsidRPr="00281F7C">
        <w:t xml:space="preserve"> proceedings</w:t>
      </w:r>
      <w:r>
        <w:t>.</w:t>
      </w:r>
    </w:p>
    <w:p w14:paraId="2E10E528" w14:textId="77777777" w:rsidR="00CD38BD" w:rsidRPr="000009D6" w:rsidRDefault="00CD38BD" w:rsidP="00CD38BD">
      <w:pPr>
        <w:pStyle w:val="SingleTxtG"/>
      </w:pPr>
      <w:r w:rsidRPr="000009D6">
        <w:t>6.</w:t>
      </w:r>
      <w:r w:rsidRPr="000009D6">
        <w:tab/>
      </w:r>
      <w:r w:rsidRPr="0072293B">
        <w:t>Please describe the measures taken</w:t>
      </w:r>
      <w:r>
        <w:t>:</w:t>
      </w:r>
    </w:p>
    <w:p w14:paraId="59340459" w14:textId="26507D9C" w:rsidR="00CD38BD" w:rsidRPr="0072293B" w:rsidRDefault="00CD38BD" w:rsidP="00CD38BD">
      <w:pPr>
        <w:pStyle w:val="SingleTxtG"/>
      </w:pPr>
      <w:r>
        <w:tab/>
      </w:r>
      <w:r w:rsidRPr="0072293B">
        <w:t>(a)</w:t>
      </w:r>
      <w:r w:rsidRPr="0072293B">
        <w:tab/>
      </w:r>
      <w:r>
        <w:t>To ensure birth registration for all children, including children of migrants, and r</w:t>
      </w:r>
      <w:r w:rsidRPr="0072293B">
        <w:t>epeal all legal provisions which result in denying the right of Palestinian children to be registered immediately after birth, to acquire a nationality and to be cared for by their parents</w:t>
      </w:r>
      <w:r>
        <w:t>, and to address the discriminatory effect of notifications of live birth on non-nationals;</w:t>
      </w:r>
    </w:p>
    <w:p w14:paraId="3B97BBD9" w14:textId="7067C235" w:rsidR="00CD38BD" w:rsidRPr="0072293B" w:rsidRDefault="00CD38BD" w:rsidP="00CD38BD">
      <w:pPr>
        <w:pStyle w:val="SingleTxtG"/>
      </w:pPr>
      <w:r>
        <w:tab/>
      </w:r>
      <w:r w:rsidRPr="0072293B">
        <w:t>(b)</w:t>
      </w:r>
      <w:r w:rsidRPr="0072293B">
        <w:tab/>
      </w:r>
      <w:r>
        <w:t>I</w:t>
      </w:r>
      <w:r w:rsidRPr="0072293B">
        <w:t>n the case o</w:t>
      </w:r>
      <w:r>
        <w:t xml:space="preserve">f </w:t>
      </w:r>
      <w:r w:rsidRPr="0072293B">
        <w:t>child</w:t>
      </w:r>
      <w:r>
        <w:t>ren</w:t>
      </w:r>
      <w:r w:rsidRPr="0072293B">
        <w:t xml:space="preserve"> born </w:t>
      </w:r>
      <w:r>
        <w:t>to unmarried parents, to f</w:t>
      </w:r>
      <w:r w:rsidRPr="0072293B">
        <w:t xml:space="preserve">acilitate </w:t>
      </w:r>
      <w:r>
        <w:t>their</w:t>
      </w:r>
      <w:r w:rsidRPr="0072293B">
        <w:t xml:space="preserve"> right to know </w:t>
      </w:r>
      <w:r>
        <w:t>their</w:t>
      </w:r>
      <w:r w:rsidRPr="0072293B">
        <w:t xml:space="preserve"> parents</w:t>
      </w:r>
      <w:r w:rsidR="00640DC6">
        <w:t>’</w:t>
      </w:r>
      <w:r>
        <w:t xml:space="preserve"> </w:t>
      </w:r>
      <w:r w:rsidRPr="0072293B">
        <w:t>identity</w:t>
      </w:r>
      <w:r>
        <w:t>, where</w:t>
      </w:r>
      <w:r w:rsidRPr="0072293B">
        <w:t xml:space="preserve"> </w:t>
      </w:r>
      <w:r>
        <w:t xml:space="preserve">neither parent has </w:t>
      </w:r>
      <w:r w:rsidRPr="0072293B">
        <w:t xml:space="preserve">recognized </w:t>
      </w:r>
      <w:r>
        <w:t xml:space="preserve">the child, and to ensure that religious laws are brought in line with the Convention and, especially, that they do not contain </w:t>
      </w:r>
      <w:r w:rsidRPr="0072293B">
        <w:t xml:space="preserve">derogatory language against </w:t>
      </w:r>
      <w:r>
        <w:t xml:space="preserve">these </w:t>
      </w:r>
      <w:r w:rsidRPr="0072293B">
        <w:t>children</w:t>
      </w:r>
      <w:r>
        <w:t>;</w:t>
      </w:r>
      <w:r w:rsidRPr="0072293B">
        <w:t xml:space="preserve"> </w:t>
      </w:r>
    </w:p>
    <w:p w14:paraId="470E54CA" w14:textId="1A5B418B" w:rsidR="00CD38BD" w:rsidRDefault="00CD38BD" w:rsidP="00CD38BD">
      <w:pPr>
        <w:pStyle w:val="SingleTxtG"/>
      </w:pPr>
      <w:r>
        <w:tab/>
        <w:t>(c)</w:t>
      </w:r>
      <w:r>
        <w:tab/>
      </w:r>
      <w:r w:rsidRPr="0072293B">
        <w:t xml:space="preserve">In the regulation of assisted reproductive technologies, particularly </w:t>
      </w:r>
      <w:r>
        <w:t xml:space="preserve">with </w:t>
      </w:r>
      <w:r w:rsidRPr="0072293B">
        <w:t xml:space="preserve">the involvement of surrogate mothers, </w:t>
      </w:r>
      <w:r>
        <w:t>to ensure that</w:t>
      </w:r>
      <w:r w:rsidRPr="0072293B">
        <w:t xml:space="preserve"> </w:t>
      </w:r>
      <w:r>
        <w:t>a</w:t>
      </w:r>
      <w:r w:rsidRPr="0072293B">
        <w:t xml:space="preserve">mendment No. 2 of </w:t>
      </w:r>
      <w:r>
        <w:t>2018 to</w:t>
      </w:r>
      <w:r w:rsidRPr="0072293B">
        <w:t xml:space="preserve"> the Agreements for Carrying Embryos (Approval of the Agreement and Status of the Infant) Law 5756-1996</w:t>
      </w:r>
      <w:r>
        <w:t xml:space="preserve">, </w:t>
      </w:r>
      <w:r w:rsidRPr="0072293B">
        <w:t>respect</w:t>
      </w:r>
      <w:r>
        <w:t>s</w:t>
      </w:r>
      <w:r w:rsidRPr="0072293B">
        <w:t xml:space="preserve"> </w:t>
      </w:r>
      <w:r>
        <w:t>the</w:t>
      </w:r>
      <w:r w:rsidRPr="0072293B">
        <w:t xml:space="preserve"> right </w:t>
      </w:r>
      <w:r>
        <w:t xml:space="preserve">of children </w:t>
      </w:r>
      <w:r w:rsidRPr="0072293B">
        <w:t>to have their best interests taken as a primary consideration</w:t>
      </w:r>
      <w:r>
        <w:t xml:space="preserve"> and </w:t>
      </w:r>
      <w:r w:rsidRPr="0072293B">
        <w:t xml:space="preserve">to have access </w:t>
      </w:r>
      <w:r>
        <w:t xml:space="preserve">to information </w:t>
      </w:r>
      <w:r w:rsidRPr="0072293B">
        <w:t>about their origins</w:t>
      </w:r>
      <w:r>
        <w:t xml:space="preserve"> in cases of domestic and foreign surrogacy;</w:t>
      </w:r>
      <w:r w:rsidRPr="0072293B">
        <w:t xml:space="preserve"> </w:t>
      </w:r>
    </w:p>
    <w:p w14:paraId="0BD7A4E0" w14:textId="39EE318F" w:rsidR="00CD38BD" w:rsidRPr="0072293B" w:rsidRDefault="00CD38BD" w:rsidP="00CD38BD">
      <w:pPr>
        <w:pStyle w:val="SingleTxtG"/>
      </w:pPr>
      <w:r>
        <w:tab/>
      </w:r>
      <w:r w:rsidRPr="0072293B">
        <w:t>(d)</w:t>
      </w:r>
      <w:r w:rsidRPr="0072293B">
        <w:tab/>
      </w:r>
      <w:r>
        <w:t xml:space="preserve">To implement the </w:t>
      </w:r>
      <w:r w:rsidRPr="005F1342">
        <w:rPr>
          <w:iCs/>
        </w:rPr>
        <w:t>Prevention of Sexual Harassment Law</w:t>
      </w:r>
      <w:r>
        <w:t xml:space="preserve"> 5758-1998 as well as amendment No. 49 to the </w:t>
      </w:r>
      <w:r w:rsidRPr="005F1342">
        <w:rPr>
          <w:iCs/>
        </w:rPr>
        <w:t>Telecommunications Law</w:t>
      </w:r>
      <w:r>
        <w:t xml:space="preserve"> 5742-1982 in order to protect children from harmful content, including in the media and in the digital environment.</w:t>
      </w:r>
    </w:p>
    <w:p w14:paraId="6ADCD088" w14:textId="77777777" w:rsidR="00CD38BD" w:rsidRPr="00A457A8" w:rsidRDefault="00CD38BD" w:rsidP="00CD38BD">
      <w:pPr>
        <w:pStyle w:val="SingleTxtG"/>
      </w:pPr>
      <w:r w:rsidRPr="00A457A8">
        <w:t>7.</w:t>
      </w:r>
      <w:r w:rsidRPr="00A457A8">
        <w:tab/>
        <w:t>Please provide information on</w:t>
      </w:r>
      <w:r>
        <w:t xml:space="preserve"> measures taken</w:t>
      </w:r>
      <w:r w:rsidRPr="00A457A8">
        <w:t xml:space="preserve">: </w:t>
      </w:r>
    </w:p>
    <w:p w14:paraId="3438E339" w14:textId="01F02068" w:rsidR="00CD38BD" w:rsidRPr="0072293B" w:rsidRDefault="00CD38BD" w:rsidP="00CD38BD">
      <w:pPr>
        <w:pStyle w:val="SingleTxtG"/>
      </w:pPr>
      <w:r>
        <w:tab/>
      </w:r>
      <w:r w:rsidRPr="0072293B">
        <w:t>(a)</w:t>
      </w:r>
      <w:r w:rsidRPr="0072293B">
        <w:tab/>
      </w:r>
      <w:r>
        <w:t>To d</w:t>
      </w:r>
      <w:r w:rsidRPr="0072293B">
        <w:t xml:space="preserve">evelop a comprehensive national strategy </w:t>
      </w:r>
      <w:r>
        <w:t xml:space="preserve">and coordination framework </w:t>
      </w:r>
      <w:r w:rsidRPr="0072293B">
        <w:t>to prevent and address all forms of violence against children</w:t>
      </w:r>
      <w:r>
        <w:t xml:space="preserve"> and ensure that it devotes</w:t>
      </w:r>
      <w:r w:rsidRPr="0072293B">
        <w:t xml:space="preserve"> particular attention to the racist and gender dimension</w:t>
      </w:r>
      <w:r>
        <w:t>s</w:t>
      </w:r>
      <w:r w:rsidRPr="0072293B">
        <w:t xml:space="preserve"> of violence</w:t>
      </w:r>
      <w:r>
        <w:t xml:space="preserve"> in the State party;</w:t>
      </w:r>
    </w:p>
    <w:p w14:paraId="0571D841" w14:textId="7417E702" w:rsidR="00CD38BD" w:rsidRDefault="00CD38BD" w:rsidP="00CD38BD">
      <w:pPr>
        <w:pStyle w:val="SingleTxtG"/>
      </w:pPr>
      <w:r>
        <w:tab/>
        <w:t>(b)</w:t>
      </w:r>
      <w:r>
        <w:tab/>
        <w:t>To r</w:t>
      </w:r>
      <w:r w:rsidRPr="0072293B">
        <w:t>emov</w:t>
      </w:r>
      <w:r>
        <w:t>e</w:t>
      </w:r>
      <w:r w:rsidRPr="0072293B">
        <w:t xml:space="preserve"> all children from solitary confinement</w:t>
      </w:r>
      <w:r>
        <w:t>, investigate</w:t>
      </w:r>
      <w:r w:rsidRPr="0072293B">
        <w:t xml:space="preserve"> alleged cases of torture and ill-treatment</w:t>
      </w:r>
      <w:r>
        <w:t>, including</w:t>
      </w:r>
      <w:r w:rsidRPr="0072293B">
        <w:t xml:space="preserve"> </w:t>
      </w:r>
      <w:r>
        <w:t xml:space="preserve">against </w:t>
      </w:r>
      <w:r w:rsidRPr="0072293B">
        <w:t>Palestinian children</w:t>
      </w:r>
      <w:r>
        <w:t xml:space="preserve">, provide </w:t>
      </w:r>
      <w:r w:rsidRPr="0072293B">
        <w:t>safe and child-friendly complaint mechanisms</w:t>
      </w:r>
      <w:r>
        <w:t xml:space="preserve"> to</w:t>
      </w:r>
      <w:r w:rsidRPr="0072293B">
        <w:t xml:space="preserve"> children living in the </w:t>
      </w:r>
      <w:r>
        <w:t xml:space="preserve">Occupied Palestinian Territory </w:t>
      </w:r>
      <w:r w:rsidRPr="0072293B">
        <w:t>with regard to the treatment they were subjected to at the time of arrest and subsequent detention,</w:t>
      </w:r>
      <w:r>
        <w:t xml:space="preserve"> and e</w:t>
      </w:r>
      <w:r w:rsidRPr="0072293B">
        <w:t>nsure physical and psychological recovery as well as social reintegration</w:t>
      </w:r>
      <w:r>
        <w:t xml:space="preserve"> services for all child victims </w:t>
      </w:r>
      <w:r w:rsidRPr="0072293B">
        <w:t>of torture and ill-treatment</w:t>
      </w:r>
      <w:r>
        <w:t>;</w:t>
      </w:r>
    </w:p>
    <w:p w14:paraId="7B81E138" w14:textId="37185C32" w:rsidR="00CD38BD" w:rsidRPr="0072293B" w:rsidRDefault="00CD38BD" w:rsidP="00CD38BD">
      <w:pPr>
        <w:pStyle w:val="SingleTxtG"/>
      </w:pPr>
      <w:r>
        <w:lastRenderedPageBreak/>
        <w:tab/>
      </w:r>
      <w:r w:rsidRPr="0072293B">
        <w:t>(c)</w:t>
      </w:r>
      <w:r w:rsidRPr="0072293B">
        <w:tab/>
      </w:r>
      <w:r>
        <w:t>To monitor</w:t>
      </w:r>
      <w:r w:rsidRPr="0072293B">
        <w:t xml:space="preserve"> that children undergoing interrogation by the Israeli Security Agency are accorded </w:t>
      </w:r>
      <w:r w:rsidR="00640DC6">
        <w:t>“</w:t>
      </w:r>
      <w:r w:rsidRPr="0072293B">
        <w:t>all the rights to which they are entitled according to the applicable law and international conventions to which Israel is a party, including the rights to legal representation, medical care and visits by the International Committee of the Red Cross</w:t>
      </w:r>
      <w:r w:rsidR="00640DC6">
        <w:t>”</w:t>
      </w:r>
      <w:r>
        <w:t>, as mentioned in paragraph 77 of the</w:t>
      </w:r>
      <w:r w:rsidRPr="0072293B">
        <w:t xml:space="preserve"> </w:t>
      </w:r>
      <w:r>
        <w:t xml:space="preserve">report of the </w:t>
      </w:r>
      <w:r w:rsidRPr="0072293B">
        <w:t>State party</w:t>
      </w:r>
      <w:r>
        <w:t>;</w:t>
      </w:r>
    </w:p>
    <w:p w14:paraId="40AA169B" w14:textId="17D4FF4F" w:rsidR="00CD38BD" w:rsidRPr="0072293B" w:rsidRDefault="00CD38BD" w:rsidP="00CD38BD">
      <w:pPr>
        <w:pStyle w:val="SingleTxtG"/>
      </w:pPr>
      <w:r>
        <w:tab/>
      </w:r>
      <w:r w:rsidRPr="0072293B">
        <w:t>(d)</w:t>
      </w:r>
      <w:r w:rsidRPr="0072293B">
        <w:tab/>
      </w:r>
      <w:r>
        <w:t xml:space="preserve">To monitor respect for the </w:t>
      </w:r>
      <w:r w:rsidRPr="0072293B">
        <w:t xml:space="preserve">operative </w:t>
      </w:r>
      <w:r>
        <w:t>g</w:t>
      </w:r>
      <w:r w:rsidRPr="0072293B">
        <w:t xml:space="preserve">uidelines of the Israeli Security Agency </w:t>
      </w:r>
      <w:r>
        <w:t>that</w:t>
      </w:r>
      <w:r w:rsidRPr="0072293B">
        <w:t xml:space="preserve"> </w:t>
      </w:r>
      <w:r>
        <w:t xml:space="preserve">provide for </w:t>
      </w:r>
      <w:r w:rsidRPr="0072293B">
        <w:t xml:space="preserve">special protection to children </w:t>
      </w:r>
      <w:r w:rsidR="00640DC6">
        <w:t>“</w:t>
      </w:r>
      <w:r w:rsidRPr="0072293B">
        <w:t>to ensure proper protection of their rights and physical and mental well</w:t>
      </w:r>
      <w:r>
        <w:t>-</w:t>
      </w:r>
      <w:r w:rsidRPr="0072293B">
        <w:t>being</w:t>
      </w:r>
      <w:r w:rsidR="00640DC6">
        <w:t>”</w:t>
      </w:r>
      <w:r w:rsidRPr="0072293B">
        <w:t xml:space="preserve"> </w:t>
      </w:r>
      <w:r>
        <w:t xml:space="preserve">referred to in paragraph 78 of the report of the </w:t>
      </w:r>
      <w:r w:rsidRPr="0072293B">
        <w:t>State party</w:t>
      </w:r>
      <w:r>
        <w:t>;</w:t>
      </w:r>
    </w:p>
    <w:p w14:paraId="58321C7D" w14:textId="42CA4BF9" w:rsidR="00CD38BD" w:rsidRPr="0072293B" w:rsidRDefault="00CD38BD" w:rsidP="00CD38BD">
      <w:pPr>
        <w:pStyle w:val="SingleTxtG"/>
        <w:rPr>
          <w:i/>
          <w:iCs/>
        </w:rPr>
      </w:pPr>
      <w:r>
        <w:rPr>
          <w:iCs/>
        </w:rPr>
        <w:tab/>
      </w:r>
      <w:r w:rsidRPr="0072293B">
        <w:rPr>
          <w:iCs/>
        </w:rPr>
        <w:t>(e)</w:t>
      </w:r>
      <w:r w:rsidRPr="0072293B">
        <w:rPr>
          <w:iCs/>
        </w:rPr>
        <w:tab/>
      </w:r>
      <w:r>
        <w:t xml:space="preserve">To assess the impact of </w:t>
      </w:r>
      <w:r w:rsidRPr="0072293B">
        <w:t xml:space="preserve">the </w:t>
      </w:r>
      <w:r>
        <w:t>s</w:t>
      </w:r>
      <w:r w:rsidRPr="0072293B">
        <w:t xml:space="preserve">pecial </w:t>
      </w:r>
      <w:r>
        <w:t>g</w:t>
      </w:r>
      <w:r w:rsidRPr="0072293B">
        <w:t xml:space="preserve">uidance </w:t>
      </w:r>
      <w:r>
        <w:t>p</w:t>
      </w:r>
      <w:r w:rsidRPr="0072293B">
        <w:t>rogram</w:t>
      </w:r>
      <w:r>
        <w:t>me</w:t>
      </w:r>
      <w:r w:rsidRPr="0072293B">
        <w:t xml:space="preserve">s for </w:t>
      </w:r>
      <w:r>
        <w:t>p</w:t>
      </w:r>
      <w:r w:rsidRPr="0072293B">
        <w:t xml:space="preserve">arents </w:t>
      </w:r>
      <w:r>
        <w:t>on e</w:t>
      </w:r>
      <w:r w:rsidRPr="0072293B">
        <w:t>liminat</w:t>
      </w:r>
      <w:r>
        <w:t>ing</w:t>
      </w:r>
      <w:r w:rsidRPr="0072293B">
        <w:t xml:space="preserve"> corporal punishment</w:t>
      </w:r>
      <w:r>
        <w:t xml:space="preserve"> and conduct awareness campaigns for non-violent child-rearing;</w:t>
      </w:r>
      <w:r w:rsidRPr="0072293B">
        <w:t xml:space="preserve"> </w:t>
      </w:r>
    </w:p>
    <w:p w14:paraId="157BBBA2" w14:textId="65D174D5" w:rsidR="00CD38BD" w:rsidRDefault="00CD38BD" w:rsidP="00CD38BD">
      <w:pPr>
        <w:pStyle w:val="SingleTxtG"/>
      </w:pPr>
      <w:r>
        <w:tab/>
        <w:t>(f)</w:t>
      </w:r>
      <w:r>
        <w:tab/>
        <w:t>To i</w:t>
      </w:r>
      <w:r w:rsidRPr="0072293B">
        <w:t xml:space="preserve">ncrease the number of protective shelters available to children at risk of parental abuse and neglect </w:t>
      </w:r>
      <w:r>
        <w:t>and</w:t>
      </w:r>
      <w:r w:rsidRPr="0072293B">
        <w:t xml:space="preserve"> </w:t>
      </w:r>
      <w:r>
        <w:t xml:space="preserve">to </w:t>
      </w:r>
      <w:r w:rsidRPr="0072293B">
        <w:t>remov</w:t>
      </w:r>
      <w:r>
        <w:t>e</w:t>
      </w:r>
      <w:r w:rsidRPr="0072293B">
        <w:t xml:space="preserve"> all children at risk held in detention facilities </w:t>
      </w:r>
      <w:r>
        <w:t>and</w:t>
      </w:r>
      <w:r w:rsidRPr="0072293B">
        <w:t xml:space="preserve"> ensure their placement in appropriate rehabilitation and care facilities</w:t>
      </w:r>
      <w:r>
        <w:t>;</w:t>
      </w:r>
      <w:r w:rsidRPr="0072293B">
        <w:t xml:space="preserve"> </w:t>
      </w:r>
    </w:p>
    <w:p w14:paraId="46D9EF9F" w14:textId="2F7C065E" w:rsidR="00CD38BD" w:rsidRPr="00785B79" w:rsidRDefault="00CD38BD" w:rsidP="00CD38BD">
      <w:pPr>
        <w:pStyle w:val="SingleTxtG"/>
      </w:pPr>
      <w:r>
        <w:tab/>
      </w:r>
      <w:r w:rsidRPr="00785B79">
        <w:t>(g)</w:t>
      </w:r>
      <w:r w:rsidRPr="00785B79">
        <w:tab/>
      </w:r>
      <w:r>
        <w:t>To ensure quality and child-sensitive services for child victims of sexual exploitation and abuse, including sufficiently trained psychologists, social workers and other relevant professionals.</w:t>
      </w:r>
    </w:p>
    <w:p w14:paraId="31CA8253" w14:textId="77777777" w:rsidR="00CD38BD" w:rsidRPr="002819EE" w:rsidRDefault="00CD38BD" w:rsidP="00CD38BD">
      <w:pPr>
        <w:pStyle w:val="SingleTxtG"/>
      </w:pPr>
      <w:r w:rsidRPr="002819EE">
        <w:t>8.</w:t>
      </w:r>
      <w:r w:rsidRPr="002819EE">
        <w:tab/>
        <w:t xml:space="preserve">Please </w:t>
      </w:r>
      <w:r>
        <w:t>update the Committee on progress made</w:t>
      </w:r>
      <w:r w:rsidRPr="002819EE">
        <w:t>:</w:t>
      </w:r>
    </w:p>
    <w:p w14:paraId="40F682A5" w14:textId="440D08B5" w:rsidR="00CD38BD" w:rsidRDefault="00CD38BD" w:rsidP="00CD38BD">
      <w:pPr>
        <w:pStyle w:val="SingleTxtG"/>
      </w:pPr>
      <w:r>
        <w:tab/>
        <w:t>(a)</w:t>
      </w:r>
      <w:r>
        <w:tab/>
        <w:t>In strengthening services for children at risk of separation from their family as well as in promoting positive parenting;</w:t>
      </w:r>
    </w:p>
    <w:p w14:paraId="4BFEBB46" w14:textId="4313E950" w:rsidR="00CD38BD" w:rsidRDefault="00CD38BD" w:rsidP="00CD38BD">
      <w:pPr>
        <w:pStyle w:val="SingleTxtG"/>
      </w:pPr>
      <w:r>
        <w:tab/>
        <w:t>(b)</w:t>
      </w:r>
      <w:r>
        <w:tab/>
        <w:t xml:space="preserve">In improving monitoring mechanisms for alternative care facilities and providing sufficient human and material resources, as well as training for professionals working with and for children; </w:t>
      </w:r>
    </w:p>
    <w:p w14:paraId="06634347" w14:textId="6DEA6891" w:rsidR="00CD38BD" w:rsidRPr="0072293B" w:rsidRDefault="00CD38BD" w:rsidP="00CD38BD">
      <w:pPr>
        <w:pStyle w:val="SingleTxtG"/>
        <w:rPr>
          <w:i/>
          <w:iCs/>
        </w:rPr>
      </w:pPr>
      <w:r>
        <w:rPr>
          <w:iCs/>
        </w:rPr>
        <w:tab/>
      </w:r>
      <w:r w:rsidRPr="0072293B">
        <w:rPr>
          <w:iCs/>
        </w:rPr>
        <w:t>(c)</w:t>
      </w:r>
      <w:r w:rsidRPr="0072293B">
        <w:rPr>
          <w:iCs/>
        </w:rPr>
        <w:tab/>
      </w:r>
      <w:r>
        <w:t xml:space="preserve">In reuniting </w:t>
      </w:r>
      <w:r w:rsidRPr="0072293B">
        <w:t>all separated Palestinian children with their parents and with their siblings and</w:t>
      </w:r>
      <w:r>
        <w:t xml:space="preserve"> </w:t>
      </w:r>
      <w:r w:rsidRPr="0072293B">
        <w:t>revok</w:t>
      </w:r>
      <w:r>
        <w:t>ing</w:t>
      </w:r>
      <w:r w:rsidRPr="0072293B">
        <w:t xml:space="preserve"> </w:t>
      </w:r>
      <w:r w:rsidRPr="00516C45">
        <w:t>the Citizenship and Entry into Israel Law and</w:t>
      </w:r>
      <w:r w:rsidRPr="0072293B">
        <w:t xml:space="preserve"> all policies </w:t>
      </w:r>
      <w:r>
        <w:t>that</w:t>
      </w:r>
      <w:r w:rsidRPr="0072293B">
        <w:t xml:space="preserve"> are in breach of articles 9 and 10 of the Convention and which prevent family reunification</w:t>
      </w:r>
      <w:r>
        <w:t>;</w:t>
      </w:r>
    </w:p>
    <w:p w14:paraId="29189BEA" w14:textId="54BA7FF4" w:rsidR="00CD38BD" w:rsidRPr="0072293B" w:rsidRDefault="00CD38BD" w:rsidP="00CD38BD">
      <w:pPr>
        <w:pStyle w:val="SingleTxtG"/>
        <w:rPr>
          <w:i/>
          <w:iCs/>
        </w:rPr>
      </w:pPr>
      <w:r>
        <w:rPr>
          <w:iCs/>
        </w:rPr>
        <w:tab/>
      </w:r>
      <w:r w:rsidRPr="0072293B">
        <w:rPr>
          <w:iCs/>
        </w:rPr>
        <w:t>(d)</w:t>
      </w:r>
      <w:r w:rsidRPr="0072293B">
        <w:rPr>
          <w:iCs/>
        </w:rPr>
        <w:tab/>
      </w:r>
      <w:r>
        <w:t>In strengthening the foster care system, decreasing the number of children in residential institutions, i</w:t>
      </w:r>
      <w:r w:rsidRPr="0072293B">
        <w:t>nvestigat</w:t>
      </w:r>
      <w:r>
        <w:t>ing</w:t>
      </w:r>
      <w:r w:rsidRPr="0072293B">
        <w:t xml:space="preserve"> the responsibilities in the 2008 closure of the child institutions in Hebron by the Israeli Defence Forces and </w:t>
      </w:r>
      <w:r>
        <w:t>providing</w:t>
      </w:r>
      <w:r w:rsidRPr="0072293B">
        <w:t xml:space="preserve"> resources </w:t>
      </w:r>
      <w:r>
        <w:t>to</w:t>
      </w:r>
      <w:r w:rsidRPr="0072293B">
        <w:t xml:space="preserve"> all evicted children </w:t>
      </w:r>
      <w:r>
        <w:t>for their</w:t>
      </w:r>
      <w:r w:rsidRPr="0072293B">
        <w:t xml:space="preserve"> shelter and care in appropriate conditions</w:t>
      </w:r>
      <w:r>
        <w:t>.</w:t>
      </w:r>
    </w:p>
    <w:p w14:paraId="30221E6D" w14:textId="77777777" w:rsidR="00CD38BD" w:rsidRDefault="00CD38BD" w:rsidP="00CD38BD">
      <w:pPr>
        <w:pStyle w:val="SingleTxtG"/>
      </w:pPr>
      <w:r>
        <w:t>9.</w:t>
      </w:r>
      <w:r>
        <w:tab/>
      </w:r>
      <w:r w:rsidRPr="0072293B">
        <w:t xml:space="preserve">Please </w:t>
      </w:r>
      <w:r>
        <w:t>provide information on:</w:t>
      </w:r>
    </w:p>
    <w:p w14:paraId="27F5FAD7" w14:textId="11CBA875" w:rsidR="00CD38BD" w:rsidRDefault="00CD38BD" w:rsidP="00CD38BD">
      <w:pPr>
        <w:pStyle w:val="SingleTxtG"/>
      </w:pPr>
      <w:r>
        <w:tab/>
        <w:t>(a)</w:t>
      </w:r>
      <w:r>
        <w:tab/>
      </w:r>
      <w:r w:rsidRPr="00656FFE">
        <w:t xml:space="preserve">Steps taken to reconsider the parental choice model for sending children with disabilities to a regular or special school and to ensure that all </w:t>
      </w:r>
      <w:r>
        <w:t xml:space="preserve">children with disabilities </w:t>
      </w:r>
      <w:r w:rsidRPr="00656FFE">
        <w:t>have access to and benefit from in</w:t>
      </w:r>
      <w:r>
        <w:t>clusive education at all levels without discrimination;</w:t>
      </w:r>
    </w:p>
    <w:p w14:paraId="22A4C946" w14:textId="4D0A4ACC" w:rsidR="00CD38BD" w:rsidRDefault="00CD38BD" w:rsidP="00CD38BD">
      <w:pPr>
        <w:pStyle w:val="SingleTxtG"/>
      </w:pPr>
      <w:r>
        <w:tab/>
        <w:t>(b)</w:t>
      </w:r>
      <w:r>
        <w:tab/>
        <w:t xml:space="preserve">The measures in place to </w:t>
      </w:r>
      <w:r w:rsidRPr="0072293B">
        <w:t xml:space="preserve">guarantee safe and unconditional access </w:t>
      </w:r>
      <w:r>
        <w:t xml:space="preserve">to health services, </w:t>
      </w:r>
      <w:r w:rsidRPr="0072293B">
        <w:t>including emergency medical care</w:t>
      </w:r>
      <w:r>
        <w:t xml:space="preserve">, </w:t>
      </w:r>
      <w:r w:rsidRPr="0072293B">
        <w:t>adequate medical supplies and trained personnel</w:t>
      </w:r>
      <w:r>
        <w:t xml:space="preserve"> for</w:t>
      </w:r>
      <w:r w:rsidRPr="0072293B">
        <w:t xml:space="preserve"> all pregnant women </w:t>
      </w:r>
      <w:r>
        <w:t xml:space="preserve">and </w:t>
      </w:r>
      <w:r w:rsidRPr="0072293B">
        <w:t>children</w:t>
      </w:r>
      <w:r>
        <w:t xml:space="preserve"> with their caregivers, particularly those who</w:t>
      </w:r>
      <w:r w:rsidRPr="0072293B">
        <w:t xml:space="preserve"> liv</w:t>
      </w:r>
      <w:r>
        <w:t>e</w:t>
      </w:r>
      <w:r w:rsidRPr="0072293B">
        <w:t xml:space="preserve"> in the </w:t>
      </w:r>
      <w:r>
        <w:t>Occupied Palestinian Territory</w:t>
      </w:r>
      <w:r w:rsidRPr="0072293B">
        <w:t xml:space="preserve">, </w:t>
      </w:r>
      <w:r>
        <w:t>and to ensure</w:t>
      </w:r>
      <w:r w:rsidRPr="0072293B">
        <w:t xml:space="preserve"> </w:t>
      </w:r>
      <w:r>
        <w:t xml:space="preserve">the </w:t>
      </w:r>
      <w:r w:rsidRPr="0072293B">
        <w:t xml:space="preserve">timely transfer without delay </w:t>
      </w:r>
      <w:r>
        <w:t xml:space="preserve">at checkpoints </w:t>
      </w:r>
      <w:r w:rsidRPr="0072293B">
        <w:t>of all children</w:t>
      </w:r>
      <w:r>
        <w:t xml:space="preserve"> with their caregivers</w:t>
      </w:r>
      <w:r w:rsidRPr="0072293B">
        <w:t xml:space="preserve"> and pregnant mothers in need of medical care; </w:t>
      </w:r>
    </w:p>
    <w:p w14:paraId="26CA3AA1" w14:textId="1EE45A17" w:rsidR="00CD38BD" w:rsidRDefault="00CD38BD" w:rsidP="00CD38BD">
      <w:pPr>
        <w:pStyle w:val="SingleTxtG"/>
      </w:pPr>
      <w:r>
        <w:tab/>
        <w:t>(c)</w:t>
      </w:r>
      <w:r>
        <w:tab/>
        <w:t>The cessation of</w:t>
      </w:r>
      <w:r w:rsidRPr="00EC2DD1">
        <w:t xml:space="preserve"> attacks against hospitals</w:t>
      </w:r>
      <w:r>
        <w:t xml:space="preserve"> and</w:t>
      </w:r>
      <w:r w:rsidRPr="00EC2DD1">
        <w:t xml:space="preserve"> </w:t>
      </w:r>
      <w:r>
        <w:t>facilitation of</w:t>
      </w:r>
      <w:r w:rsidRPr="00EC2DD1">
        <w:t xml:space="preserve"> their reconstruction</w:t>
      </w:r>
      <w:r>
        <w:t xml:space="preserve">; </w:t>
      </w:r>
    </w:p>
    <w:p w14:paraId="3737EECE" w14:textId="2771E561" w:rsidR="00CD38BD" w:rsidRDefault="00CD38BD" w:rsidP="00CD38BD">
      <w:pPr>
        <w:pStyle w:val="SingleTxtG"/>
      </w:pPr>
      <w:r>
        <w:tab/>
        <w:t>(d)</w:t>
      </w:r>
      <w:r>
        <w:tab/>
        <w:t>A</w:t>
      </w:r>
      <w:r w:rsidRPr="0072293B">
        <w:t xml:space="preserve">ctions </w:t>
      </w:r>
      <w:r>
        <w:t>taken to restore confiscated land to</w:t>
      </w:r>
      <w:r w:rsidRPr="0072293B">
        <w:t xml:space="preserve"> Palestinian and Bedouin families</w:t>
      </w:r>
      <w:r>
        <w:t xml:space="preserve">, to ensure they are not deprived </w:t>
      </w:r>
      <w:r w:rsidRPr="0072293B">
        <w:t>of access to safe drinking water, sanitation and food</w:t>
      </w:r>
      <w:r>
        <w:t xml:space="preserve"> and </w:t>
      </w:r>
      <w:r w:rsidRPr="0072293B">
        <w:t>to allow humanitarian agencies unimpeded access to families and children</w:t>
      </w:r>
      <w:r>
        <w:t>;</w:t>
      </w:r>
      <w:r w:rsidR="00640DC6">
        <w:t xml:space="preserve"> </w:t>
      </w:r>
    </w:p>
    <w:p w14:paraId="77D13724" w14:textId="547E29F4" w:rsidR="00CD38BD" w:rsidRDefault="00CD38BD" w:rsidP="00CD38BD">
      <w:pPr>
        <w:pStyle w:val="SingleTxtG"/>
      </w:pPr>
      <w:r>
        <w:tab/>
        <w:t>(e)</w:t>
      </w:r>
      <w:r>
        <w:tab/>
        <w:t>Measures taken to ensure the availability of services for children at risk of suicide or alcohol or substance abuse and to increase the availability of quality psychological counselling services;</w:t>
      </w:r>
    </w:p>
    <w:p w14:paraId="303D45E8" w14:textId="071C5A33" w:rsidR="00CD38BD" w:rsidRDefault="00CD38BD" w:rsidP="00CD38BD">
      <w:pPr>
        <w:pStyle w:val="SingleTxtG"/>
      </w:pPr>
      <w:r>
        <w:tab/>
        <w:t>(f)</w:t>
      </w:r>
      <w:r>
        <w:tab/>
        <w:t>Measures taken to guarantee adequate financial support and free, accessible social services for children and their families living in poverty.</w:t>
      </w:r>
    </w:p>
    <w:p w14:paraId="39AFA96D" w14:textId="77777777" w:rsidR="00CD38BD" w:rsidRDefault="00CD38BD" w:rsidP="00CD38BD">
      <w:pPr>
        <w:pStyle w:val="SingleTxtG"/>
      </w:pPr>
      <w:r>
        <w:t>10.</w:t>
      </w:r>
      <w:r>
        <w:tab/>
      </w:r>
      <w:r w:rsidRPr="0072293B">
        <w:t xml:space="preserve">Please provide </w:t>
      </w:r>
      <w:r>
        <w:t>information on:</w:t>
      </w:r>
    </w:p>
    <w:p w14:paraId="230393C4" w14:textId="2DB2DEA4" w:rsidR="00CD38BD" w:rsidRDefault="00CD38BD" w:rsidP="00CD38BD">
      <w:pPr>
        <w:pStyle w:val="SingleTxtG"/>
      </w:pPr>
      <w:r>
        <w:tab/>
        <w:t>(a)</w:t>
      </w:r>
      <w:r>
        <w:tab/>
        <w:t>The reasons for the decision to amend the National Education Law to add</w:t>
      </w:r>
      <w:r w:rsidRPr="00845388">
        <w:t xml:space="preserve"> </w:t>
      </w:r>
      <w:r w:rsidR="00640DC6">
        <w:t>“</w:t>
      </w:r>
      <w:r w:rsidRPr="00845388">
        <w:t>educating for a meaningful military or national civil service</w:t>
      </w:r>
      <w:r w:rsidR="00640DC6">
        <w:t>”</w:t>
      </w:r>
      <w:r w:rsidRPr="00845388">
        <w:t xml:space="preserve"> to the purposes of national education</w:t>
      </w:r>
      <w:r>
        <w:t>;</w:t>
      </w:r>
    </w:p>
    <w:p w14:paraId="5B487F86" w14:textId="6B8C3375" w:rsidR="00CD38BD" w:rsidRDefault="00CD38BD" w:rsidP="00CD38BD">
      <w:pPr>
        <w:pStyle w:val="SingleTxtG"/>
      </w:pPr>
      <w:r>
        <w:tab/>
        <w:t>(b)</w:t>
      </w:r>
      <w:r>
        <w:tab/>
        <w:t xml:space="preserve">The impact </w:t>
      </w:r>
      <w:r w:rsidRPr="0072293B">
        <w:t>of</w:t>
      </w:r>
      <w:r>
        <w:t xml:space="preserve"> </w:t>
      </w:r>
      <w:r w:rsidRPr="0072293B">
        <w:t>the</w:t>
      </w:r>
      <w:r>
        <w:t xml:space="preserve"> initiatives referred to in paragraphs 154 and 155 of the report of the </w:t>
      </w:r>
      <w:r w:rsidRPr="0072293B">
        <w:t>State party</w:t>
      </w:r>
      <w:r>
        <w:t xml:space="preserve"> </w:t>
      </w:r>
      <w:r w:rsidRPr="0072293B">
        <w:t xml:space="preserve">and </w:t>
      </w:r>
      <w:r>
        <w:t>paragraphs 124 to 130 of a</w:t>
      </w:r>
      <w:r w:rsidRPr="0072293B">
        <w:t>nnex I</w:t>
      </w:r>
      <w:r>
        <w:t xml:space="preserve"> thereto,</w:t>
      </w:r>
      <w:r w:rsidRPr="0072293B">
        <w:t xml:space="preserve"> </w:t>
      </w:r>
      <w:r>
        <w:t xml:space="preserve">on fostering an inclusive education system for all children, </w:t>
      </w:r>
      <w:r w:rsidRPr="002C552A">
        <w:t>regardless of individual differences or difficulties, ethnic or cultural background, or socioeconomic status</w:t>
      </w:r>
      <w:r>
        <w:t>;</w:t>
      </w:r>
      <w:r w:rsidR="00640DC6">
        <w:t xml:space="preserve"> </w:t>
      </w:r>
    </w:p>
    <w:p w14:paraId="07510FCD" w14:textId="35D4AE00" w:rsidR="00CD38BD" w:rsidRPr="0072293B" w:rsidRDefault="00CD38BD" w:rsidP="00CD38BD">
      <w:pPr>
        <w:pStyle w:val="SingleTxtG"/>
      </w:pPr>
      <w:r>
        <w:tab/>
      </w:r>
      <w:r w:rsidRPr="0072293B">
        <w:t>(c)</w:t>
      </w:r>
      <w:r w:rsidRPr="0072293B">
        <w:tab/>
      </w:r>
      <w:r>
        <w:t>P</w:t>
      </w:r>
      <w:r w:rsidRPr="0072293B">
        <w:t>rotect</w:t>
      </w:r>
      <w:r>
        <w:t>ing</w:t>
      </w:r>
      <w:r w:rsidRPr="0072293B">
        <w:t xml:space="preserve"> children </w:t>
      </w:r>
      <w:r>
        <w:t xml:space="preserve">on their way to and from school </w:t>
      </w:r>
      <w:r w:rsidRPr="0072293B">
        <w:t xml:space="preserve">in the </w:t>
      </w:r>
      <w:r>
        <w:t>Occupied Palestinian Territory</w:t>
      </w:r>
      <w:r w:rsidRPr="0072293B">
        <w:t xml:space="preserve"> f</w:t>
      </w:r>
      <w:r>
        <w:t>r</w:t>
      </w:r>
      <w:r w:rsidRPr="0072293B">
        <w:t>om harassment, intimidation and violence by ensuring that the settlers and security forces are held accountable</w:t>
      </w:r>
      <w:r>
        <w:t>,</w:t>
      </w:r>
      <w:r w:rsidRPr="0072293B">
        <w:t xml:space="preserve"> ceas</w:t>
      </w:r>
      <w:r>
        <w:t>ing</w:t>
      </w:r>
      <w:r w:rsidRPr="0072293B">
        <w:t xml:space="preserve"> attacks against schools and </w:t>
      </w:r>
      <w:r>
        <w:t xml:space="preserve">the </w:t>
      </w:r>
      <w:r w:rsidRPr="0072293B">
        <w:t xml:space="preserve">use of schools as outposts and detention centres in the </w:t>
      </w:r>
      <w:r>
        <w:t xml:space="preserve">Occupied Palestinian Territory, </w:t>
      </w:r>
      <w:r w:rsidRPr="0072293B">
        <w:t>tackl</w:t>
      </w:r>
      <w:r>
        <w:t>ing</w:t>
      </w:r>
      <w:r w:rsidRPr="0072293B">
        <w:t xml:space="preserve"> the school shortage in East Jerusalem</w:t>
      </w:r>
      <w:r>
        <w:t xml:space="preserve"> and</w:t>
      </w:r>
      <w:r w:rsidRPr="0072293B">
        <w:t xml:space="preserve"> remov</w:t>
      </w:r>
      <w:r>
        <w:t>ing</w:t>
      </w:r>
      <w:r w:rsidRPr="0072293B">
        <w:t xml:space="preserve"> all restrictions on freedom of movement which prevent Palestinian children from attending schools.</w:t>
      </w:r>
    </w:p>
    <w:p w14:paraId="4BD7CFF6" w14:textId="77777777" w:rsidR="00CD38BD" w:rsidRDefault="00CD38BD" w:rsidP="00CD38BD">
      <w:pPr>
        <w:pStyle w:val="SingleTxtG"/>
      </w:pPr>
      <w:r>
        <w:t>11.</w:t>
      </w:r>
      <w:r>
        <w:tab/>
      </w:r>
      <w:r w:rsidRPr="0072293B">
        <w:t xml:space="preserve">Please provide </w:t>
      </w:r>
      <w:r>
        <w:t>an update on:</w:t>
      </w:r>
    </w:p>
    <w:p w14:paraId="3151FBD1" w14:textId="3B23FCE2" w:rsidR="00CD38BD" w:rsidRDefault="00CD38BD" w:rsidP="00CD38BD">
      <w:pPr>
        <w:pStyle w:val="SingleTxtG"/>
      </w:pPr>
      <w:r>
        <w:tab/>
        <w:t>(a)</w:t>
      </w:r>
      <w:r>
        <w:tab/>
        <w:t>The d</w:t>
      </w:r>
      <w:r w:rsidRPr="0072293B">
        <w:t>evelop</w:t>
      </w:r>
      <w:r>
        <w:t>ment</w:t>
      </w:r>
      <w:r w:rsidRPr="0072293B">
        <w:t xml:space="preserve"> </w:t>
      </w:r>
      <w:r>
        <w:t>of</w:t>
      </w:r>
      <w:r w:rsidRPr="0072293B">
        <w:t xml:space="preserve"> a national legal framework to regulate the Israeli asylum procedure, including the principle of non-refoulement, and </w:t>
      </w:r>
      <w:r>
        <w:t xml:space="preserve">the </w:t>
      </w:r>
      <w:r w:rsidRPr="0072293B">
        <w:t xml:space="preserve">repeal of the Anti-Infiltration Law </w:t>
      </w:r>
      <w:r>
        <w:t>provisions that</w:t>
      </w:r>
      <w:r w:rsidRPr="0072293B">
        <w:t xml:space="preserve"> allow for the prolonged detention of children</w:t>
      </w:r>
      <w:r>
        <w:t xml:space="preserve">, including on the </w:t>
      </w:r>
      <w:r w:rsidRPr="0072293B">
        <w:t>basis of their immigration status</w:t>
      </w:r>
      <w:r>
        <w:t>;</w:t>
      </w:r>
    </w:p>
    <w:p w14:paraId="31364689" w14:textId="2D8FFE90" w:rsidR="00CD38BD" w:rsidRPr="00662A8C" w:rsidRDefault="00CD38BD" w:rsidP="00CD38BD">
      <w:pPr>
        <w:pStyle w:val="SingleTxtG"/>
      </w:pPr>
      <w:r>
        <w:tab/>
      </w:r>
      <w:r w:rsidRPr="00662A8C">
        <w:t>(b)</w:t>
      </w:r>
      <w:r w:rsidRPr="00662A8C">
        <w:tab/>
      </w:r>
      <w:r>
        <w:t xml:space="preserve">Guarantees in place to ensure the conduct of </w:t>
      </w:r>
      <w:r w:rsidRPr="0072293B">
        <w:t xml:space="preserve">individual assessments and evaluations of the best interests of the children </w:t>
      </w:r>
      <w:r>
        <w:t>in</w:t>
      </w:r>
      <w:r w:rsidRPr="0072293B">
        <w:t xml:space="preserve"> all decisions </w:t>
      </w:r>
      <w:r>
        <w:t>with respect to</w:t>
      </w:r>
      <w:r w:rsidRPr="0072293B">
        <w:t xml:space="preserve"> the migration process </w:t>
      </w:r>
      <w:r>
        <w:t xml:space="preserve">that </w:t>
      </w:r>
      <w:r w:rsidRPr="0072293B">
        <w:t>affect children, and with the involvement of child protection professionals, the judiciary as well as children themselves</w:t>
      </w:r>
      <w:r>
        <w:t>;</w:t>
      </w:r>
      <w:r w:rsidR="00640DC6">
        <w:t xml:space="preserve"> </w:t>
      </w:r>
    </w:p>
    <w:p w14:paraId="0A3CC5CC" w14:textId="795ED036" w:rsidR="00CD38BD" w:rsidRPr="0072293B" w:rsidRDefault="00CD38BD" w:rsidP="00CD38BD">
      <w:pPr>
        <w:pStyle w:val="SingleTxtG"/>
      </w:pPr>
      <w:r>
        <w:tab/>
      </w:r>
      <w:r w:rsidRPr="0072293B">
        <w:t>(c)</w:t>
      </w:r>
      <w:r w:rsidRPr="0072293B">
        <w:tab/>
      </w:r>
      <w:r>
        <w:t>P</w:t>
      </w:r>
      <w:r w:rsidRPr="0072293B">
        <w:t>rogress made in implementing the Committee</w:t>
      </w:r>
      <w:r w:rsidR="00640DC6">
        <w:t>’</w:t>
      </w:r>
      <w:r w:rsidRPr="0072293B">
        <w:t>s previous recommendations (</w:t>
      </w:r>
      <w:hyperlink r:id="rId9" w:history="1">
        <w:r w:rsidR="00260EB0">
          <w:rPr>
            <w:rStyle w:val="Hyperlink"/>
          </w:rPr>
          <w:t>CRC/C/ISR/CO/2-4</w:t>
        </w:r>
      </w:hyperlink>
      <w:r w:rsidRPr="0072293B">
        <w:t>, para. 74)</w:t>
      </w:r>
      <w:r>
        <w:t>,</w:t>
      </w:r>
      <w:r>
        <w:rPr>
          <w:rStyle w:val="FootnoteReference"/>
        </w:rPr>
        <w:footnoteReference w:id="2"/>
      </w:r>
      <w:r w:rsidRPr="0072293B">
        <w:t xml:space="preserve"> </w:t>
      </w:r>
      <w:r>
        <w:t xml:space="preserve">in </w:t>
      </w:r>
      <w:r w:rsidRPr="0072293B">
        <w:t>particular</w:t>
      </w:r>
      <w:r>
        <w:t xml:space="preserve"> with respect to</w:t>
      </w:r>
      <w:r w:rsidRPr="0072293B">
        <w:t xml:space="preserve"> guaranteeing non-discrimination in the application of child justice standards and the dismantling of the institutionalized system of detention and </w:t>
      </w:r>
      <w:r>
        <w:t xml:space="preserve">the </w:t>
      </w:r>
      <w:r w:rsidRPr="0072293B">
        <w:t>use of torture and ill-treatment of Palestinian children at all stages of the judicial procedure.</w:t>
      </w:r>
    </w:p>
    <w:p w14:paraId="587CD649" w14:textId="0B445771" w:rsidR="00CD38BD" w:rsidRPr="0072293B" w:rsidRDefault="00CD38BD" w:rsidP="00CD38BD">
      <w:pPr>
        <w:pStyle w:val="SingleTxtG"/>
        <w:rPr>
          <w:i/>
          <w:iCs/>
        </w:rPr>
      </w:pPr>
      <w:r w:rsidRPr="0072293B">
        <w:rPr>
          <w:iCs/>
        </w:rPr>
        <w:t>12.</w:t>
      </w:r>
      <w:r w:rsidRPr="0072293B">
        <w:rPr>
          <w:iCs/>
        </w:rPr>
        <w:tab/>
      </w:r>
      <w:r w:rsidRPr="0072293B">
        <w:t>With reference to the Committee</w:t>
      </w:r>
      <w:r w:rsidR="00640DC6">
        <w:t>’</w:t>
      </w:r>
      <w:r w:rsidRPr="0072293B">
        <w:t>s concluding observations on the report submitted by the State party under the Optional Protocol on the sale of children, child prostitution and child pornography</w:t>
      </w:r>
      <w:r>
        <w:t>,</w:t>
      </w:r>
      <w:r w:rsidRPr="0072293B">
        <w:rPr>
          <w:rStyle w:val="FootnoteReference"/>
        </w:rPr>
        <w:footnoteReference w:id="3"/>
      </w:r>
      <w:r w:rsidRPr="0072293B">
        <w:t xml:space="preserve"> please explain the measures taken to adopt a comprehensive policy and strategy </w:t>
      </w:r>
      <w:r>
        <w:t>for</w:t>
      </w:r>
      <w:r w:rsidRPr="0072293B">
        <w:t xml:space="preserve"> children in all areas covered by the Optional Protocol</w:t>
      </w:r>
      <w:r>
        <w:t>,</w:t>
      </w:r>
      <w:r w:rsidRPr="0072293B">
        <w:t xml:space="preserve"> supported by</w:t>
      </w:r>
      <w:r>
        <w:t xml:space="preserve"> the necessary measures and</w:t>
      </w:r>
      <w:r w:rsidRPr="0072293B">
        <w:t xml:space="preserve"> adequate resource</w:t>
      </w:r>
      <w:r>
        <w:t>s</w:t>
      </w:r>
      <w:r w:rsidRPr="0072293B">
        <w:t xml:space="preserve"> for their implementation.</w:t>
      </w:r>
    </w:p>
    <w:p w14:paraId="48358AAE" w14:textId="40F0D23E" w:rsidR="00CD38BD" w:rsidRPr="00B12412" w:rsidRDefault="00CD38BD" w:rsidP="00CD38BD">
      <w:pPr>
        <w:pStyle w:val="SingleTxtG"/>
      </w:pPr>
      <w:r w:rsidRPr="00B12412">
        <w:t>13.</w:t>
      </w:r>
      <w:r w:rsidRPr="00B12412">
        <w:tab/>
      </w:r>
      <w:r w:rsidRPr="0072293B">
        <w:t>With reference to the Committee</w:t>
      </w:r>
      <w:r w:rsidR="00640DC6">
        <w:t>’</w:t>
      </w:r>
      <w:r w:rsidRPr="0072293B">
        <w:t>s concluding observations on the State party</w:t>
      </w:r>
      <w:r w:rsidR="00640DC6">
        <w:t>’</w:t>
      </w:r>
      <w:r w:rsidRPr="0072293B">
        <w:t>s combined second to fourth periodic reports</w:t>
      </w:r>
      <w:r w:rsidRPr="0072293B">
        <w:rPr>
          <w:rStyle w:val="FootnoteReference"/>
        </w:rPr>
        <w:footnoteReference w:id="4"/>
      </w:r>
      <w:r w:rsidRPr="0072293B">
        <w:t xml:space="preserve"> and its concluding observations on the State party</w:t>
      </w:r>
      <w:r w:rsidR="00640DC6">
        <w:t>’</w:t>
      </w:r>
      <w:r w:rsidRPr="0072293B">
        <w:t>s initial report on the Optional Protocol to the Convention on the involvement of children in armed conflict</w:t>
      </w:r>
      <w:r>
        <w:t>,</w:t>
      </w:r>
      <w:r w:rsidRPr="0072293B">
        <w:rPr>
          <w:rStyle w:val="FootnoteReference"/>
        </w:rPr>
        <w:footnoteReference w:id="5"/>
      </w:r>
      <w:r w:rsidRPr="0072293B">
        <w:t xml:space="preserve"> please describe the measures taken to prevent </w:t>
      </w:r>
      <w:r>
        <w:t xml:space="preserve">and </w:t>
      </w:r>
      <w:r w:rsidRPr="0072293B">
        <w:t>effectively enforce the prohibition to use children as human shields and informants and ensure that perpetrators are brought to justice and punished with sanctions commensurate with the gravity of their crimes.</w:t>
      </w:r>
    </w:p>
    <w:p w14:paraId="49161F16" w14:textId="77777777" w:rsidR="00CD38BD" w:rsidRPr="00972040" w:rsidRDefault="00CD38BD" w:rsidP="00CD38BD">
      <w:pPr>
        <w:pStyle w:val="HChG"/>
        <w:rPr>
          <w:szCs w:val="28"/>
        </w:rPr>
      </w:pPr>
      <w:r w:rsidRPr="0072293B">
        <w:tab/>
      </w:r>
      <w:r w:rsidRPr="0072293B">
        <w:tab/>
      </w:r>
      <w:r w:rsidRPr="00972040">
        <w:rPr>
          <w:szCs w:val="28"/>
        </w:rPr>
        <w:t>Part II</w:t>
      </w:r>
    </w:p>
    <w:p w14:paraId="70B35BB7" w14:textId="77777777" w:rsidR="00CD38BD" w:rsidRPr="0072293B" w:rsidRDefault="00CD38BD" w:rsidP="00CD38BD">
      <w:pPr>
        <w:pStyle w:val="SingleTxtG"/>
      </w:pPr>
      <w:r w:rsidRPr="0072293B">
        <w:t>14.</w:t>
      </w:r>
      <w:r w:rsidRPr="0072293B">
        <w:tab/>
        <w:t>The Committee invites the State party to provide a brief update, of no more than three pages, on the information presented in its report with regard to</w:t>
      </w:r>
      <w:r>
        <w:t xml:space="preserve"> the following</w:t>
      </w:r>
      <w:r w:rsidRPr="0072293B">
        <w:t>:</w:t>
      </w:r>
    </w:p>
    <w:p w14:paraId="2BD27BAF" w14:textId="0A0B3F81" w:rsidR="00CD38BD" w:rsidRPr="0072293B" w:rsidRDefault="00CD38BD" w:rsidP="00CD38BD">
      <w:pPr>
        <w:pStyle w:val="SingleTxtG"/>
      </w:pPr>
      <w:r>
        <w:tab/>
      </w:r>
      <w:r w:rsidRPr="0072293B">
        <w:t>(a)</w:t>
      </w:r>
      <w:r w:rsidRPr="0072293B">
        <w:tab/>
        <w:t>New bills or laws</w:t>
      </w:r>
      <w:r>
        <w:t>,</w:t>
      </w:r>
      <w:r w:rsidRPr="0072293B">
        <w:t xml:space="preserve"> and their respective regulations;</w:t>
      </w:r>
    </w:p>
    <w:p w14:paraId="44DFBA52" w14:textId="6C8FE5F1" w:rsidR="00CD38BD" w:rsidRPr="0072293B" w:rsidRDefault="00CD38BD" w:rsidP="00CD38BD">
      <w:pPr>
        <w:pStyle w:val="SingleTxtG"/>
      </w:pPr>
      <w:r>
        <w:tab/>
      </w:r>
      <w:r w:rsidRPr="0072293B">
        <w:t>(b)</w:t>
      </w:r>
      <w:r w:rsidRPr="0072293B">
        <w:tab/>
        <w:t xml:space="preserve">New institutions and their mandates or institutional reforms; </w:t>
      </w:r>
    </w:p>
    <w:p w14:paraId="55FBBC25" w14:textId="6733B2F0" w:rsidR="00CD38BD" w:rsidRPr="0072293B" w:rsidRDefault="00CD38BD" w:rsidP="00CD38BD">
      <w:pPr>
        <w:pStyle w:val="SingleTxtG"/>
      </w:pPr>
      <w:r>
        <w:tab/>
      </w:r>
      <w:r w:rsidRPr="0072293B">
        <w:t>(c)</w:t>
      </w:r>
      <w:r w:rsidRPr="0072293B">
        <w:tab/>
        <w:t>Recently introduced policies, programmes and action plans</w:t>
      </w:r>
      <w:r>
        <w:t>,</w:t>
      </w:r>
      <w:r w:rsidRPr="0072293B">
        <w:t xml:space="preserve"> their scope and the financing provided for their implementation;</w:t>
      </w:r>
    </w:p>
    <w:p w14:paraId="356DC7E9" w14:textId="456487B0" w:rsidR="00CD38BD" w:rsidRPr="0072293B" w:rsidRDefault="00CD38BD" w:rsidP="00CD38BD">
      <w:pPr>
        <w:pStyle w:val="SingleTxtG"/>
      </w:pPr>
      <w:r>
        <w:tab/>
      </w:r>
      <w:r w:rsidRPr="0072293B">
        <w:t>(d)</w:t>
      </w:r>
      <w:r w:rsidRPr="0072293B">
        <w:tab/>
        <w:t>Recent ratifications of human rights instruments.</w:t>
      </w:r>
    </w:p>
    <w:p w14:paraId="4F9B01C5" w14:textId="77777777" w:rsidR="00CD38BD" w:rsidRPr="00972040" w:rsidRDefault="00CD38BD" w:rsidP="00CD38BD">
      <w:pPr>
        <w:pStyle w:val="HChG"/>
        <w:rPr>
          <w:szCs w:val="28"/>
        </w:rPr>
      </w:pPr>
      <w:r w:rsidRPr="0072293B">
        <w:tab/>
      </w:r>
      <w:r w:rsidRPr="0072293B">
        <w:tab/>
      </w:r>
      <w:r w:rsidRPr="00972040">
        <w:rPr>
          <w:szCs w:val="28"/>
        </w:rPr>
        <w:t>Part III</w:t>
      </w:r>
    </w:p>
    <w:p w14:paraId="089FD164" w14:textId="77777777" w:rsidR="00CD38BD" w:rsidRDefault="00CD38BD" w:rsidP="00CD38BD">
      <w:pPr>
        <w:pStyle w:val="H1G"/>
        <w:jc w:val="both"/>
      </w:pPr>
      <w:r w:rsidRPr="0072293B">
        <w:tab/>
      </w:r>
      <w:r w:rsidRPr="0072293B">
        <w:tab/>
      </w:r>
      <w:r w:rsidRPr="005F1342">
        <w:rPr>
          <w:sz w:val="20"/>
        </w:rPr>
        <w:t>Data, statistics and other information</w:t>
      </w:r>
    </w:p>
    <w:p w14:paraId="19670D02" w14:textId="3063658E" w:rsidR="00CD38BD" w:rsidRDefault="00CD38BD" w:rsidP="00CD38BD">
      <w:pPr>
        <w:pStyle w:val="SingleTxtG"/>
      </w:pPr>
      <w:r>
        <w:t>15.</w:t>
      </w:r>
      <w:r>
        <w:tab/>
        <w:t>The data, statistics and other information requested in the present section, if available, should include all territory under the State party</w:t>
      </w:r>
      <w:r w:rsidR="00640DC6">
        <w:t>’</w:t>
      </w:r>
      <w:r>
        <w:t>s jurisdiction in accordance with international law, including the Occupied Palestinian Territory (West Bank, including East Jerusalem and the Gaza Strip) and the Occupied Syrian Golan.</w:t>
      </w:r>
    </w:p>
    <w:p w14:paraId="11ACE27C" w14:textId="3A4237E5" w:rsidR="00CD38BD" w:rsidRPr="0072293B" w:rsidRDefault="00CD38BD" w:rsidP="00CD38BD">
      <w:pPr>
        <w:pStyle w:val="SingleTxtG"/>
      </w:pPr>
      <w:r w:rsidRPr="0072293B">
        <w:t>16.</w:t>
      </w:r>
      <w:r w:rsidRPr="0072293B">
        <w:tab/>
        <w:t xml:space="preserve">Please provide consolidated information, for the past three years, on the budget lines regarding children and the social sectors, indicating the percentage of each budget line in terms of the total national budget and the gross national product. Please also provide information on the geographical allocation of those resources. </w:t>
      </w:r>
    </w:p>
    <w:p w14:paraId="307966CB" w14:textId="77777777" w:rsidR="00CD38BD" w:rsidRPr="0072293B" w:rsidRDefault="00CD38BD" w:rsidP="00CD38BD">
      <w:pPr>
        <w:pStyle w:val="SingleTxtG"/>
      </w:pPr>
      <w:r w:rsidRPr="0072293B">
        <w:t>17.</w:t>
      </w:r>
      <w:r w:rsidRPr="0072293B">
        <w:tab/>
        <w:t>Please provide, if available, updated statistical data, disaggregated by age, sex, ethnic origin, national origin, geographical location and socioeconomic status, for the past three years, on the following:</w:t>
      </w:r>
    </w:p>
    <w:p w14:paraId="3C6958FB" w14:textId="5960C8BD" w:rsidR="00CD38BD" w:rsidRDefault="00AF3FEB" w:rsidP="00CD38BD">
      <w:pPr>
        <w:pStyle w:val="SingleTxtG"/>
      </w:pPr>
      <w:r>
        <w:tab/>
      </w:r>
      <w:r w:rsidR="00CD38BD">
        <w:t>(a)</w:t>
      </w:r>
      <w:r w:rsidR="00CD38BD">
        <w:tab/>
      </w:r>
      <w:r w:rsidR="00CD38BD" w:rsidRPr="0072293B">
        <w:t>Deaths of children due to accidents, child abuse, suicide and the COVID-19 pandemic;</w:t>
      </w:r>
    </w:p>
    <w:p w14:paraId="308769DB" w14:textId="7101F2D8" w:rsidR="00CD38BD" w:rsidRDefault="00AF3FEB" w:rsidP="00CD38BD">
      <w:pPr>
        <w:pStyle w:val="SingleTxtG"/>
      </w:pPr>
      <w:r>
        <w:tab/>
      </w:r>
      <w:r w:rsidR="00CD38BD">
        <w:t>(b)</w:t>
      </w:r>
      <w:r w:rsidR="00CD38BD">
        <w:tab/>
        <w:t>Rates of malnutrition of children living in the Occupied Palestinian Territory;</w:t>
      </w:r>
    </w:p>
    <w:p w14:paraId="55F4B3C6" w14:textId="72CE2FCB" w:rsidR="00CD38BD" w:rsidRPr="0072293B" w:rsidRDefault="00AF3FEB" w:rsidP="00CD38BD">
      <w:pPr>
        <w:pStyle w:val="SingleTxtG"/>
      </w:pPr>
      <w:r>
        <w:tab/>
      </w:r>
      <w:r w:rsidR="00CD38BD" w:rsidRPr="0072293B">
        <w:t>(c)</w:t>
      </w:r>
      <w:r w:rsidR="00CD38BD" w:rsidRPr="0072293B">
        <w:tab/>
      </w:r>
      <w:r w:rsidR="00CD38BD">
        <w:t>Number of children who have been displaced or are homeless as a result of eviction from or demolition of their home;</w:t>
      </w:r>
    </w:p>
    <w:p w14:paraId="27A19C21" w14:textId="6B0C6B2A" w:rsidR="00CD38BD" w:rsidRPr="0072293B" w:rsidRDefault="00AF3FEB" w:rsidP="00CD38BD">
      <w:pPr>
        <w:pStyle w:val="SingleTxtG"/>
      </w:pPr>
      <w:r>
        <w:tab/>
      </w:r>
      <w:r w:rsidR="00CD38BD" w:rsidRPr="0072293B">
        <w:t>(d)</w:t>
      </w:r>
      <w:r w:rsidR="00CD38BD" w:rsidRPr="0072293B">
        <w:tab/>
        <w:t>Cases of abuse of, and violence perpetrated against, children, including torture, inhuman or degrading treatment, all forms of corporal punishment, sexual abuse in and outside the home, domestic violence, bullying and online sexual violence and abuse, including information on prosecutions and the sentences handed down in such cases;</w:t>
      </w:r>
    </w:p>
    <w:p w14:paraId="7DEF78B9" w14:textId="5678242A" w:rsidR="00CD38BD" w:rsidRPr="0072293B" w:rsidRDefault="00AF3FEB" w:rsidP="00CD38BD">
      <w:pPr>
        <w:pStyle w:val="SingleTxtG"/>
      </w:pPr>
      <w:r>
        <w:tab/>
      </w:r>
      <w:r w:rsidR="00CD38BD" w:rsidRPr="0072293B">
        <w:t>(e)</w:t>
      </w:r>
      <w:r w:rsidR="00CD38BD" w:rsidRPr="0072293B">
        <w:tab/>
        <w:t>Children living with HIV;</w:t>
      </w:r>
    </w:p>
    <w:p w14:paraId="66F75022" w14:textId="5A104D7A" w:rsidR="00CD38BD" w:rsidRPr="0072293B" w:rsidRDefault="00AF3FEB" w:rsidP="00CD38BD">
      <w:pPr>
        <w:pStyle w:val="SingleTxtG"/>
      </w:pPr>
      <w:r>
        <w:tab/>
      </w:r>
      <w:r w:rsidR="00CD38BD" w:rsidRPr="0072293B">
        <w:t>(f)</w:t>
      </w:r>
      <w:r w:rsidR="00CD38BD" w:rsidRPr="0072293B">
        <w:tab/>
        <w:t>Child marriage and adolescent pregnancy;</w:t>
      </w:r>
    </w:p>
    <w:p w14:paraId="38CA1D2A" w14:textId="3E792294" w:rsidR="00CD38BD" w:rsidRPr="0072293B" w:rsidRDefault="00AF3FEB" w:rsidP="00CD38BD">
      <w:pPr>
        <w:pStyle w:val="SingleTxtG"/>
      </w:pPr>
      <w:r>
        <w:tab/>
      </w:r>
      <w:r w:rsidR="00CD38BD" w:rsidRPr="0072293B">
        <w:t>(g)</w:t>
      </w:r>
      <w:r w:rsidR="00CD38BD" w:rsidRPr="0072293B">
        <w:tab/>
        <w:t xml:space="preserve">Stateless children; </w:t>
      </w:r>
    </w:p>
    <w:p w14:paraId="3CCDB4EA" w14:textId="483058C3" w:rsidR="00CD38BD" w:rsidRPr="0072293B" w:rsidRDefault="00AF3FEB" w:rsidP="00CD38BD">
      <w:pPr>
        <w:pStyle w:val="SingleTxtG"/>
      </w:pPr>
      <w:r>
        <w:tab/>
      </w:r>
      <w:r w:rsidR="00CD38BD" w:rsidRPr="0072293B">
        <w:t>(h)</w:t>
      </w:r>
      <w:r w:rsidR="00CD38BD" w:rsidRPr="0072293B">
        <w:tab/>
        <w:t>Asylum-seeking, refugee, internally displaced and migrant children;</w:t>
      </w:r>
    </w:p>
    <w:p w14:paraId="3AA25AFC" w14:textId="01CA183F" w:rsidR="00CD38BD" w:rsidRPr="0072293B" w:rsidRDefault="00AF3FEB" w:rsidP="00CD38BD">
      <w:pPr>
        <w:pStyle w:val="SingleTxtG"/>
      </w:pPr>
      <w:r>
        <w:tab/>
      </w:r>
      <w:r w:rsidR="00CD38BD" w:rsidRPr="0072293B">
        <w:t>(i)</w:t>
      </w:r>
      <w:r w:rsidR="00CD38BD" w:rsidRPr="0072293B">
        <w:tab/>
        <w:t>Cases of child labour, including in hazardous conditions;</w:t>
      </w:r>
    </w:p>
    <w:p w14:paraId="0189578F" w14:textId="4110CF7A" w:rsidR="00CD38BD" w:rsidRPr="0072293B" w:rsidRDefault="00AF3FEB" w:rsidP="00CD38BD">
      <w:pPr>
        <w:pStyle w:val="SingleTxtG"/>
      </w:pPr>
      <w:r>
        <w:tab/>
      </w:r>
      <w:r w:rsidR="00CD38BD" w:rsidRPr="0072293B">
        <w:t>(j)</w:t>
      </w:r>
      <w:r w:rsidR="00CD38BD" w:rsidRPr="0072293B">
        <w:tab/>
        <w:t xml:space="preserve">Children in street situations; </w:t>
      </w:r>
    </w:p>
    <w:p w14:paraId="0CF0AC8B" w14:textId="3CF443B4" w:rsidR="00CD38BD" w:rsidRPr="0072293B" w:rsidRDefault="00AF3FEB" w:rsidP="00CD38BD">
      <w:pPr>
        <w:pStyle w:val="SingleTxtG"/>
      </w:pPr>
      <w:r>
        <w:tab/>
      </w:r>
      <w:r w:rsidR="00CD38BD" w:rsidRPr="0072293B">
        <w:t>(k)</w:t>
      </w:r>
      <w:r w:rsidR="00CD38BD" w:rsidRPr="0072293B">
        <w:tab/>
        <w:t xml:space="preserve">Children living in poverty. </w:t>
      </w:r>
    </w:p>
    <w:p w14:paraId="08180EB1" w14:textId="77777777" w:rsidR="00CD38BD" w:rsidRPr="0072293B" w:rsidRDefault="00CD38BD" w:rsidP="00CD38BD">
      <w:pPr>
        <w:pStyle w:val="SingleTxtG"/>
      </w:pPr>
      <w:r w:rsidRPr="0072293B">
        <w:t>18.</w:t>
      </w:r>
      <w:r w:rsidRPr="0072293B">
        <w:tab/>
        <w:t>Please provide data, disaggregated by age, sex, socioeconomic background, ethnic origin and geographical location, regarding the situation of children deprived of a family environment, for the past three years, on the number of children</w:t>
      </w:r>
      <w:r>
        <w:t xml:space="preserve"> who are or who have been</w:t>
      </w:r>
      <w:r w:rsidRPr="0072293B">
        <w:t>:</w:t>
      </w:r>
    </w:p>
    <w:p w14:paraId="1DF85224" w14:textId="01D62CB5" w:rsidR="00CD38BD" w:rsidRPr="0072293B" w:rsidRDefault="00AF3FEB" w:rsidP="00CD38BD">
      <w:pPr>
        <w:pStyle w:val="SingleTxtG"/>
      </w:pPr>
      <w:r>
        <w:tab/>
      </w:r>
      <w:r w:rsidR="00CD38BD" w:rsidRPr="0072293B">
        <w:t>(a)</w:t>
      </w:r>
      <w:r w:rsidR="00CD38BD" w:rsidRPr="0072293B">
        <w:tab/>
        <w:t>Placed in public institutions;</w:t>
      </w:r>
    </w:p>
    <w:p w14:paraId="5A73E2E4" w14:textId="107DC6D7" w:rsidR="00CD38BD" w:rsidRDefault="00AF3FEB" w:rsidP="00CD38BD">
      <w:pPr>
        <w:pStyle w:val="SingleTxtG"/>
      </w:pPr>
      <w:r>
        <w:tab/>
      </w:r>
      <w:r w:rsidR="00CD38BD">
        <w:t>(b)</w:t>
      </w:r>
      <w:r w:rsidR="00CD38BD">
        <w:tab/>
      </w:r>
      <w:r w:rsidR="00CD38BD" w:rsidRPr="0072293B">
        <w:t>Placed in private institutions;</w:t>
      </w:r>
    </w:p>
    <w:p w14:paraId="2AD422AD" w14:textId="4441EA98" w:rsidR="00CD38BD" w:rsidRPr="0072293B" w:rsidRDefault="00AF3FEB" w:rsidP="00CD38BD">
      <w:pPr>
        <w:pStyle w:val="SingleTxtG"/>
      </w:pPr>
      <w:r>
        <w:tab/>
      </w:r>
      <w:r w:rsidR="00CD38BD" w:rsidRPr="0072293B">
        <w:t>(c)</w:t>
      </w:r>
      <w:r w:rsidR="00CD38BD" w:rsidRPr="0072293B">
        <w:tab/>
      </w:r>
      <w:r w:rsidR="00CD38BD">
        <w:t xml:space="preserve">Place in foster care; </w:t>
      </w:r>
    </w:p>
    <w:p w14:paraId="274320EA" w14:textId="2FD19473" w:rsidR="00CD38BD" w:rsidRPr="0072293B" w:rsidRDefault="00AF3FEB" w:rsidP="00CD38BD">
      <w:pPr>
        <w:pStyle w:val="SingleTxtG"/>
      </w:pPr>
      <w:r>
        <w:tab/>
      </w:r>
      <w:r w:rsidR="00CD38BD" w:rsidRPr="0072293B">
        <w:t>(d)</w:t>
      </w:r>
      <w:r w:rsidR="00CD38BD" w:rsidRPr="0072293B">
        <w:tab/>
        <w:t>Living with relatives or neighbours on the basis of an informal arrangement;</w:t>
      </w:r>
    </w:p>
    <w:p w14:paraId="55527138" w14:textId="1638C158" w:rsidR="00CD38BD" w:rsidRPr="0072293B" w:rsidRDefault="00AF3FEB" w:rsidP="00CD38BD">
      <w:pPr>
        <w:pStyle w:val="SingleTxtG"/>
      </w:pPr>
      <w:r>
        <w:tab/>
      </w:r>
      <w:r w:rsidR="00CD38BD" w:rsidRPr="0072293B">
        <w:t>(e)</w:t>
      </w:r>
      <w:r w:rsidR="00CD38BD" w:rsidRPr="0072293B">
        <w:tab/>
        <w:t xml:space="preserve">Available for adoption; </w:t>
      </w:r>
    </w:p>
    <w:p w14:paraId="56CE64BB" w14:textId="1A5DFDF9" w:rsidR="00CD38BD" w:rsidRPr="0072293B" w:rsidRDefault="00AF3FEB" w:rsidP="00CD38BD">
      <w:pPr>
        <w:pStyle w:val="SingleTxtG"/>
      </w:pPr>
      <w:r>
        <w:tab/>
      </w:r>
      <w:r w:rsidR="00CD38BD" w:rsidRPr="0072293B">
        <w:t>(f)</w:t>
      </w:r>
      <w:r w:rsidR="00CD38BD" w:rsidRPr="0072293B">
        <w:tab/>
        <w:t>Adopted domestically and internationally.</w:t>
      </w:r>
    </w:p>
    <w:p w14:paraId="46FB4FA5" w14:textId="77777777" w:rsidR="00CD38BD" w:rsidRPr="0072293B" w:rsidRDefault="00CD38BD" w:rsidP="00CD38BD">
      <w:pPr>
        <w:pStyle w:val="SingleTxtG"/>
      </w:pPr>
      <w:r w:rsidRPr="0072293B">
        <w:t>19.</w:t>
      </w:r>
      <w:r w:rsidRPr="0072293B">
        <w:tab/>
        <w:t xml:space="preserve">Please provide data, disaggregated by age, sex, type of disability, ethnic origin and geographical location, for the past three years, on the number of children with disabilities </w:t>
      </w:r>
      <w:r>
        <w:t>who are or who have been</w:t>
      </w:r>
      <w:r w:rsidRPr="0072293B">
        <w:t>:</w:t>
      </w:r>
    </w:p>
    <w:p w14:paraId="322B547E" w14:textId="22E50B5B" w:rsidR="00CD38BD" w:rsidRPr="0072293B" w:rsidRDefault="00AF3FEB" w:rsidP="00CD38BD">
      <w:pPr>
        <w:pStyle w:val="SingleTxtG"/>
      </w:pPr>
      <w:r>
        <w:tab/>
      </w:r>
      <w:r w:rsidR="00CD38BD" w:rsidRPr="0072293B">
        <w:t>(a)</w:t>
      </w:r>
      <w:r w:rsidR="00CD38BD" w:rsidRPr="0072293B">
        <w:tab/>
        <w:t>Living with their families;</w:t>
      </w:r>
    </w:p>
    <w:p w14:paraId="435540A9" w14:textId="47F169FD" w:rsidR="00CD38BD" w:rsidRPr="0072293B" w:rsidRDefault="00AF3FEB" w:rsidP="00CD38BD">
      <w:pPr>
        <w:pStyle w:val="SingleTxtG"/>
      </w:pPr>
      <w:r>
        <w:tab/>
      </w:r>
      <w:r w:rsidR="00CD38BD" w:rsidRPr="0072293B">
        <w:t>(b)</w:t>
      </w:r>
      <w:r w:rsidR="00CD38BD" w:rsidRPr="0072293B">
        <w:tab/>
        <w:t>Living in institutions;</w:t>
      </w:r>
    </w:p>
    <w:p w14:paraId="389E79E6" w14:textId="137BF723" w:rsidR="00CD38BD" w:rsidRPr="0072293B" w:rsidRDefault="00AF3FEB" w:rsidP="00CD38BD">
      <w:pPr>
        <w:pStyle w:val="SingleTxtG"/>
      </w:pPr>
      <w:r>
        <w:tab/>
      </w:r>
      <w:r w:rsidR="00CD38BD" w:rsidRPr="0072293B">
        <w:t>(c)</w:t>
      </w:r>
      <w:r w:rsidR="00CD38BD" w:rsidRPr="0072293B">
        <w:tab/>
        <w:t>Attending regular primary schools;</w:t>
      </w:r>
    </w:p>
    <w:p w14:paraId="32B7329D" w14:textId="15C4C698" w:rsidR="00CD38BD" w:rsidRPr="0072293B" w:rsidRDefault="00AF3FEB" w:rsidP="00CD38BD">
      <w:pPr>
        <w:pStyle w:val="SingleTxtG"/>
      </w:pPr>
      <w:r>
        <w:tab/>
      </w:r>
      <w:r w:rsidR="00CD38BD" w:rsidRPr="0072293B">
        <w:t>(d)</w:t>
      </w:r>
      <w:r w:rsidR="00CD38BD" w:rsidRPr="0072293B">
        <w:tab/>
        <w:t>Attending regular secondary schools;</w:t>
      </w:r>
    </w:p>
    <w:p w14:paraId="391D8482" w14:textId="390376A2" w:rsidR="00CD38BD" w:rsidRPr="0072293B" w:rsidRDefault="00AF3FEB" w:rsidP="00CD38BD">
      <w:pPr>
        <w:pStyle w:val="SingleTxtG"/>
      </w:pPr>
      <w:r>
        <w:tab/>
      </w:r>
      <w:r w:rsidR="00CD38BD" w:rsidRPr="0072293B">
        <w:t>(e)</w:t>
      </w:r>
      <w:r w:rsidR="00CD38BD" w:rsidRPr="0072293B">
        <w:tab/>
        <w:t>Attending special schools;</w:t>
      </w:r>
    </w:p>
    <w:p w14:paraId="3C71300A" w14:textId="54EAEE48" w:rsidR="00CD38BD" w:rsidRPr="0072293B" w:rsidRDefault="00AF3FEB" w:rsidP="00CD38BD">
      <w:pPr>
        <w:pStyle w:val="SingleTxtG"/>
      </w:pPr>
      <w:r>
        <w:tab/>
      </w:r>
      <w:r w:rsidR="00CD38BD" w:rsidRPr="0072293B">
        <w:t>(f)</w:t>
      </w:r>
      <w:r w:rsidR="00CD38BD" w:rsidRPr="0072293B">
        <w:tab/>
        <w:t xml:space="preserve">Out of school; </w:t>
      </w:r>
    </w:p>
    <w:p w14:paraId="5D4CCE0A" w14:textId="53C41A4B" w:rsidR="00CD38BD" w:rsidRPr="0072293B" w:rsidRDefault="00AF3FEB" w:rsidP="00CD38BD">
      <w:pPr>
        <w:pStyle w:val="SingleTxtG"/>
      </w:pPr>
      <w:r>
        <w:tab/>
      </w:r>
      <w:r w:rsidR="00CD38BD" w:rsidRPr="0072293B">
        <w:t>(g)</w:t>
      </w:r>
      <w:r w:rsidR="00CD38BD" w:rsidRPr="0072293B">
        <w:tab/>
        <w:t>Abandoned by their families.</w:t>
      </w:r>
    </w:p>
    <w:p w14:paraId="668950BD" w14:textId="77777777" w:rsidR="00CD38BD" w:rsidRPr="0072293B" w:rsidRDefault="00CD38BD" w:rsidP="00CD38BD">
      <w:pPr>
        <w:pStyle w:val="SingleTxtG"/>
      </w:pPr>
      <w:r w:rsidRPr="0072293B">
        <w:t>20.</w:t>
      </w:r>
      <w:r w:rsidRPr="0072293B">
        <w:tab/>
        <w:t>Please provide updated statistical data, disaggregated by age, sex, type of offence, ethnic origin, national origin, geographical location and socioeconomic status, for the past three years, on children in conflict with the law who have been:</w:t>
      </w:r>
    </w:p>
    <w:p w14:paraId="3CEB4D35" w14:textId="25319CCB" w:rsidR="00CD38BD" w:rsidRPr="0072293B" w:rsidRDefault="00AF3FEB" w:rsidP="00CD38BD">
      <w:pPr>
        <w:pStyle w:val="SingleTxtG"/>
      </w:pPr>
      <w:r>
        <w:tab/>
      </w:r>
      <w:r w:rsidR="00CD38BD" w:rsidRPr="0072293B">
        <w:t>(a)</w:t>
      </w:r>
      <w:r w:rsidR="00CD38BD" w:rsidRPr="0072293B">
        <w:tab/>
        <w:t>Arrested;</w:t>
      </w:r>
    </w:p>
    <w:p w14:paraId="29FDCF55" w14:textId="7B58E0A6" w:rsidR="00CD38BD" w:rsidRPr="0072293B" w:rsidRDefault="00AF3FEB" w:rsidP="00CD38BD">
      <w:pPr>
        <w:pStyle w:val="SingleTxtG"/>
      </w:pPr>
      <w:r>
        <w:tab/>
      </w:r>
      <w:r w:rsidR="00CD38BD" w:rsidRPr="0072293B">
        <w:t>(b)</w:t>
      </w:r>
      <w:r w:rsidR="00CD38BD" w:rsidRPr="0072293B">
        <w:tab/>
        <w:t xml:space="preserve">Referred to diversion programmes; </w:t>
      </w:r>
    </w:p>
    <w:p w14:paraId="0907CAFF" w14:textId="1BAF3665" w:rsidR="00CD38BD" w:rsidRPr="0072293B" w:rsidRDefault="00AF3FEB" w:rsidP="00CD38BD">
      <w:pPr>
        <w:pStyle w:val="SingleTxtG"/>
      </w:pPr>
      <w:r>
        <w:tab/>
      </w:r>
      <w:r w:rsidR="00CD38BD" w:rsidRPr="0072293B">
        <w:t>(c)</w:t>
      </w:r>
      <w:r w:rsidR="00CD38BD" w:rsidRPr="0072293B">
        <w:tab/>
        <w:t>Provided with free legal aid;</w:t>
      </w:r>
    </w:p>
    <w:p w14:paraId="0B034752" w14:textId="2BC67E5C" w:rsidR="00CD38BD" w:rsidRPr="0072293B" w:rsidRDefault="00AF3FEB" w:rsidP="00CD38BD">
      <w:pPr>
        <w:pStyle w:val="SingleTxtG"/>
      </w:pPr>
      <w:r>
        <w:tab/>
      </w:r>
      <w:r w:rsidR="00CD38BD" w:rsidRPr="0072293B">
        <w:t>(d)</w:t>
      </w:r>
      <w:r w:rsidR="00CD38BD" w:rsidRPr="0072293B">
        <w:tab/>
        <w:t>In pretrial detention, including information on the average duration of pretrial detention and the number of children who spent longer than the authorized time in pretrial detention;</w:t>
      </w:r>
    </w:p>
    <w:p w14:paraId="17D3CE7D" w14:textId="78EA55B4" w:rsidR="00CD38BD" w:rsidRDefault="00AF3FEB" w:rsidP="00CD38BD">
      <w:pPr>
        <w:pStyle w:val="SingleTxtG"/>
      </w:pPr>
      <w:r>
        <w:tab/>
      </w:r>
      <w:r w:rsidR="00CD38BD">
        <w:t>(e)</w:t>
      </w:r>
      <w:r w:rsidR="00CD38BD">
        <w:tab/>
      </w:r>
      <w:r w:rsidR="00CD38BD" w:rsidRPr="0072293B">
        <w:t>Detained with adults;</w:t>
      </w:r>
    </w:p>
    <w:p w14:paraId="33A53FA4" w14:textId="50E6C2C4" w:rsidR="00CD38BD" w:rsidRPr="0072293B" w:rsidRDefault="00AF3FEB" w:rsidP="00CD38BD">
      <w:pPr>
        <w:pStyle w:val="SingleTxtG"/>
      </w:pPr>
      <w:r>
        <w:tab/>
      </w:r>
      <w:r w:rsidR="00CD38BD" w:rsidRPr="0072293B">
        <w:t>(f)</w:t>
      </w:r>
      <w:r w:rsidR="00CD38BD" w:rsidRPr="0072293B">
        <w:tab/>
      </w:r>
      <w:r w:rsidR="00CD38BD">
        <w:t>T</w:t>
      </w:r>
      <w:r w:rsidR="00CD38BD" w:rsidRPr="001C3AF5">
        <w:t>ransfer</w:t>
      </w:r>
      <w:r w:rsidR="00CD38BD">
        <w:t>red</w:t>
      </w:r>
      <w:r w:rsidR="00CD38BD" w:rsidRPr="001C3AF5">
        <w:t xml:space="preserve"> from the Occupied Palestinian Territory </w:t>
      </w:r>
      <w:r w:rsidR="00CD38BD">
        <w:t>and detained in</w:t>
      </w:r>
      <w:r w:rsidR="00CD38BD" w:rsidRPr="001C3AF5">
        <w:t xml:space="preserve"> Israel</w:t>
      </w:r>
      <w:r w:rsidR="00CD38BD">
        <w:t>;</w:t>
      </w:r>
    </w:p>
    <w:p w14:paraId="65875330" w14:textId="3FCAB417" w:rsidR="00CD38BD" w:rsidRPr="0072293B" w:rsidRDefault="00AF3FEB" w:rsidP="00CD38BD">
      <w:pPr>
        <w:pStyle w:val="SingleTxtG"/>
      </w:pPr>
      <w:r>
        <w:tab/>
      </w:r>
      <w:r w:rsidR="00CD38BD" w:rsidRPr="0072293B">
        <w:t>(g)</w:t>
      </w:r>
      <w:r w:rsidR="00CD38BD" w:rsidRPr="0072293B">
        <w:tab/>
        <w:t xml:space="preserve">Convicted and </w:t>
      </w:r>
      <w:r w:rsidR="00CD38BD">
        <w:t xml:space="preserve">are </w:t>
      </w:r>
      <w:r w:rsidR="00CD38BD" w:rsidRPr="0072293B">
        <w:t xml:space="preserve">serving a sentence in detention, including information </w:t>
      </w:r>
      <w:r w:rsidR="00CD38BD">
        <w:t>on</w:t>
      </w:r>
      <w:r w:rsidR="00CD38BD" w:rsidRPr="0072293B">
        <w:t xml:space="preserve"> the length of the sentence.</w:t>
      </w:r>
    </w:p>
    <w:p w14:paraId="138F45C3" w14:textId="53AC4081" w:rsidR="00CD38BD" w:rsidRPr="0072293B" w:rsidRDefault="00CD38BD" w:rsidP="00CD38BD">
      <w:pPr>
        <w:pStyle w:val="SingleTxtG"/>
      </w:pPr>
      <w:r w:rsidRPr="0072293B">
        <w:t>21.</w:t>
      </w:r>
      <w:r w:rsidRPr="0072293B">
        <w:tab/>
        <w:t>Please provide information on how a children</w:t>
      </w:r>
      <w:r w:rsidR="00640DC6">
        <w:t>’</w:t>
      </w:r>
      <w:r w:rsidRPr="0072293B">
        <w:t>s rights-based approach is integrated into the planning, implementation and monitoring of measures for achieving the Sustainable Development Goals, including with regard to the participation of children and data collection, and how those measures promote the realization of children</w:t>
      </w:r>
      <w:r w:rsidR="00640DC6">
        <w:t>’</w:t>
      </w:r>
      <w:r w:rsidRPr="0072293B">
        <w:t>s rights under the Convention</w:t>
      </w:r>
      <w:r>
        <w:t xml:space="preserve"> and the Optional Protocols thereto</w:t>
      </w:r>
      <w:r w:rsidRPr="0072293B">
        <w:t>.</w:t>
      </w:r>
    </w:p>
    <w:p w14:paraId="7A73FDD6" w14:textId="77777777" w:rsidR="00CD38BD" w:rsidRPr="0072293B" w:rsidRDefault="00CD38BD" w:rsidP="00CD38BD">
      <w:pPr>
        <w:pStyle w:val="SingleTxtG"/>
      </w:pPr>
      <w:r w:rsidRPr="0072293B">
        <w:t>22.</w:t>
      </w:r>
      <w:r w:rsidRPr="0072293B">
        <w:tab/>
        <w:t>Please provide the Committee with an update of any data in the report that may have been outdated by more recent data collected or other new developments.</w:t>
      </w:r>
    </w:p>
    <w:p w14:paraId="4EDDFD31" w14:textId="77777777" w:rsidR="00CD38BD" w:rsidRPr="0072293B" w:rsidRDefault="00CD38BD" w:rsidP="00CD38BD">
      <w:pPr>
        <w:pStyle w:val="SingleTxtG"/>
      </w:pPr>
      <w:r w:rsidRPr="0072293B">
        <w:t>23.</w:t>
      </w:r>
      <w:r w:rsidRPr="0072293B">
        <w:tab/>
        <w:t>In addition, the State party may list areas affecting children that it considers to be of priority with regard to the implementation of the Convention.</w:t>
      </w:r>
    </w:p>
    <w:p w14:paraId="1C9E97EF" w14:textId="5E6BBCDB" w:rsidR="00226ADD" w:rsidRPr="00226ADD" w:rsidRDefault="00CD38BD" w:rsidP="00AF3FEB">
      <w:pPr>
        <w:spacing w:before="240"/>
        <w:jc w:val="center"/>
        <w:rPr>
          <w:rFonts w:eastAsiaTheme="minorEastAsia"/>
          <w:lang w:eastAsia="zh-CN"/>
        </w:rPr>
      </w:pPr>
      <w:r w:rsidRPr="0072293B">
        <w:rPr>
          <w:u w:val="single"/>
          <w:lang w:val="en-US"/>
        </w:rPr>
        <w:tab/>
      </w:r>
      <w:r w:rsidRPr="0072293B">
        <w:rPr>
          <w:u w:val="single"/>
          <w:lang w:val="en-US"/>
        </w:rPr>
        <w:tab/>
      </w:r>
      <w:r w:rsidRPr="0072293B">
        <w:rPr>
          <w:u w:val="single"/>
          <w:lang w:val="en-US"/>
        </w:rPr>
        <w:tab/>
      </w:r>
    </w:p>
    <w:sectPr w:rsidR="00226ADD" w:rsidRPr="00226ADD" w:rsidSect="00ED625E">
      <w:headerReference w:type="even" r:id="rId10"/>
      <w:headerReference w:type="default" r:id="rId11"/>
      <w:footerReference w:type="even" r:id="rId12"/>
      <w:footerReference w:type="default" r:id="rId13"/>
      <w:footerReference w:type="firs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68B92" w14:textId="77777777" w:rsidR="00713B97" w:rsidRPr="00C60504" w:rsidRDefault="00713B97" w:rsidP="00C60504">
      <w:pPr>
        <w:pStyle w:val="Footer"/>
      </w:pPr>
    </w:p>
  </w:endnote>
  <w:endnote w:type="continuationSeparator" w:id="0">
    <w:p w14:paraId="625CC769" w14:textId="77777777" w:rsidR="00713B97" w:rsidRPr="00C60504" w:rsidRDefault="00713B97"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C0BB1" w14:textId="77777777" w:rsidR="00CD38BD" w:rsidRDefault="00CD38BD" w:rsidP="00CD38BD">
    <w:pPr>
      <w:pStyle w:val="Footer"/>
      <w:tabs>
        <w:tab w:val="right" w:pos="9638"/>
      </w:tabs>
    </w:pPr>
    <w:r w:rsidRPr="00CD38BD">
      <w:rPr>
        <w:b/>
        <w:bCs/>
        <w:sz w:val="18"/>
      </w:rPr>
      <w:fldChar w:fldCharType="begin"/>
    </w:r>
    <w:r w:rsidRPr="00CD38BD">
      <w:rPr>
        <w:b/>
        <w:bCs/>
        <w:sz w:val="18"/>
      </w:rPr>
      <w:instrText xml:space="preserve"> PAGE  \* MERGEFORMAT </w:instrText>
    </w:r>
    <w:r w:rsidRPr="00CD38BD">
      <w:rPr>
        <w:b/>
        <w:bCs/>
        <w:sz w:val="18"/>
      </w:rPr>
      <w:fldChar w:fldCharType="separate"/>
    </w:r>
    <w:r w:rsidRPr="00CD38BD">
      <w:rPr>
        <w:b/>
        <w:bCs/>
        <w:noProof/>
        <w:sz w:val="18"/>
      </w:rPr>
      <w:t>2</w:t>
    </w:r>
    <w:r w:rsidRPr="00CD38BD">
      <w:rPr>
        <w:b/>
        <w:bCs/>
        <w:sz w:val="18"/>
      </w:rPr>
      <w:fldChar w:fldCharType="end"/>
    </w:r>
    <w:r>
      <w:tab/>
      <w:t>GE.23-03644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063A7" w14:textId="77777777" w:rsidR="00CD38BD" w:rsidRDefault="00CD38BD" w:rsidP="00CD38BD">
    <w:pPr>
      <w:pStyle w:val="Footer"/>
      <w:tabs>
        <w:tab w:val="right" w:pos="9638"/>
      </w:tabs>
    </w:pPr>
    <w:r>
      <w:t>GE.23-03644</w:t>
    </w:r>
    <w:r>
      <w:tab/>
    </w:r>
    <w:r w:rsidRPr="00CD38BD">
      <w:rPr>
        <w:b/>
        <w:bCs/>
        <w:sz w:val="18"/>
      </w:rPr>
      <w:fldChar w:fldCharType="begin"/>
    </w:r>
    <w:r w:rsidRPr="00CD38BD">
      <w:rPr>
        <w:b/>
        <w:bCs/>
        <w:sz w:val="18"/>
      </w:rPr>
      <w:instrText xml:space="preserve"> PAGE  \* MERGEFORMAT </w:instrText>
    </w:r>
    <w:r w:rsidRPr="00CD38BD">
      <w:rPr>
        <w:b/>
        <w:bCs/>
        <w:sz w:val="18"/>
      </w:rPr>
      <w:fldChar w:fldCharType="separate"/>
    </w:r>
    <w:r w:rsidRPr="00CD38BD">
      <w:rPr>
        <w:b/>
        <w:bCs/>
        <w:noProof/>
        <w:sz w:val="18"/>
      </w:rPr>
      <w:t>3</w:t>
    </w:r>
    <w:r w:rsidRPr="00CD38B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6B59C" w14:textId="77777777" w:rsidR="00CD38BD" w:rsidRDefault="00CD38BD">
    <w:pPr>
      <w:pStyle w:val="Footer"/>
      <w:rPr>
        <w:sz w:val="20"/>
      </w:rPr>
    </w:pPr>
    <w:r w:rsidRPr="0027112F">
      <w:rPr>
        <w:noProof/>
        <w:lang w:val="en-US"/>
      </w:rPr>
      <w:drawing>
        <wp:anchor distT="0" distB="0" distL="114300" distR="114300" simplePos="0" relativeHeight="251659264" behindDoc="0" locked="1" layoutInCell="1" allowOverlap="1" wp14:anchorId="5ADA3C46" wp14:editId="01472393">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151E389" w14:textId="470FCC05" w:rsidR="00CD38BD" w:rsidRPr="00CD38BD" w:rsidRDefault="00CD38BD" w:rsidP="00CD38BD">
    <w:pPr>
      <w:pStyle w:val="Footer"/>
      <w:tabs>
        <w:tab w:val="right" w:pos="7370"/>
      </w:tabs>
      <w:rPr>
        <w:sz w:val="20"/>
      </w:rPr>
    </w:pPr>
    <w:r>
      <w:rPr>
        <w:sz w:val="20"/>
      </w:rPr>
      <w:t>GE.23-03644  (E)</w:t>
    </w:r>
    <w:r>
      <w:rPr>
        <w:noProof/>
        <w:sz w:val="20"/>
      </w:rPr>
      <w:drawing>
        <wp:anchor distT="0" distB="0" distL="114300" distR="114300" simplePos="0" relativeHeight="251660288" behindDoc="0" locked="0" layoutInCell="1" allowOverlap="1" wp14:anchorId="212C5F39" wp14:editId="3E4DD69D">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090323    090323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77086" w14:textId="77777777" w:rsidR="00713B97" w:rsidRPr="00C60504" w:rsidRDefault="00713B97" w:rsidP="00C60504">
      <w:pPr>
        <w:tabs>
          <w:tab w:val="right" w:pos="2155"/>
        </w:tabs>
        <w:spacing w:after="80" w:line="240" w:lineRule="auto"/>
        <w:ind w:left="680"/>
      </w:pPr>
      <w:r>
        <w:rPr>
          <w:u w:val="single"/>
        </w:rPr>
        <w:tab/>
      </w:r>
    </w:p>
  </w:footnote>
  <w:footnote w:type="continuationSeparator" w:id="0">
    <w:p w14:paraId="6F6A1975" w14:textId="77777777" w:rsidR="00713B97" w:rsidRPr="00C60504" w:rsidRDefault="00713B97" w:rsidP="00C60504">
      <w:pPr>
        <w:tabs>
          <w:tab w:val="right" w:pos="2155"/>
        </w:tabs>
        <w:spacing w:after="80" w:line="240" w:lineRule="auto"/>
        <w:ind w:left="680"/>
      </w:pPr>
      <w:r>
        <w:rPr>
          <w:u w:val="single"/>
        </w:rPr>
        <w:tab/>
      </w:r>
    </w:p>
  </w:footnote>
  <w:footnote w:id="1">
    <w:p w14:paraId="0534877A" w14:textId="77777777" w:rsidR="00CD38BD" w:rsidRPr="00A1420E" w:rsidRDefault="00CD38BD" w:rsidP="00CD38BD">
      <w:pPr>
        <w:pStyle w:val="FootnoteText"/>
        <w:rPr>
          <w:lang w:val="en-US"/>
        </w:rPr>
      </w:pPr>
      <w:r w:rsidRPr="00A1420E">
        <w:tab/>
      </w:r>
      <w:r w:rsidRPr="00A1420E">
        <w:rPr>
          <w:sz w:val="20"/>
          <w:szCs w:val="22"/>
        </w:rPr>
        <w:t>*</w:t>
      </w:r>
      <w:r w:rsidRPr="00A1420E">
        <w:tab/>
        <w:t xml:space="preserve">Adopted by the pre-sessional working group on </w:t>
      </w:r>
      <w:r>
        <w:t>10</w:t>
      </w:r>
      <w:r w:rsidRPr="00A1420E">
        <w:t xml:space="preserve"> </w:t>
      </w:r>
      <w:r>
        <w:t>February</w:t>
      </w:r>
      <w:r w:rsidRPr="00A1420E">
        <w:t xml:space="preserve"> 202</w:t>
      </w:r>
      <w:r>
        <w:t>3</w:t>
      </w:r>
      <w:r w:rsidRPr="00A1420E">
        <w:t>.</w:t>
      </w:r>
    </w:p>
  </w:footnote>
  <w:footnote w:id="2">
    <w:p w14:paraId="4B3E024D" w14:textId="0F9C50CF" w:rsidR="00CD38BD" w:rsidRPr="005F1342" w:rsidRDefault="00CD38BD" w:rsidP="00CD38BD">
      <w:pPr>
        <w:pStyle w:val="FootnoteText"/>
        <w:rPr>
          <w:lang w:val="en-US"/>
        </w:rPr>
      </w:pPr>
      <w:r>
        <w:tab/>
      </w:r>
      <w:r>
        <w:rPr>
          <w:rStyle w:val="FootnoteReference"/>
        </w:rPr>
        <w:footnoteRef/>
      </w:r>
      <w:r w:rsidRPr="0003576B">
        <w:rPr>
          <w:lang w:val="es-ES"/>
        </w:rPr>
        <w:tab/>
      </w:r>
      <w:hyperlink r:id="rId1" w:history="1">
        <w:r w:rsidR="00260EB0" w:rsidRPr="0003576B">
          <w:rPr>
            <w:rStyle w:val="Hyperlink"/>
            <w:lang w:val="es-ES"/>
          </w:rPr>
          <w:t>CRC/C/ISR/CO/2-4</w:t>
        </w:r>
      </w:hyperlink>
      <w:r w:rsidRPr="0003576B">
        <w:rPr>
          <w:lang w:val="es-ES"/>
        </w:rPr>
        <w:t xml:space="preserve">, para. </w:t>
      </w:r>
      <w:r>
        <w:rPr>
          <w:lang w:val="en-US"/>
        </w:rPr>
        <w:t>74.</w:t>
      </w:r>
    </w:p>
  </w:footnote>
  <w:footnote w:id="3">
    <w:p w14:paraId="24EB198B" w14:textId="5E6DB40C" w:rsidR="00CD38BD" w:rsidRDefault="00CD38BD" w:rsidP="00CD38BD">
      <w:pPr>
        <w:pStyle w:val="FootnoteText"/>
      </w:pPr>
      <w:r>
        <w:tab/>
      </w:r>
      <w:r>
        <w:rPr>
          <w:rStyle w:val="FootnoteReference"/>
        </w:rPr>
        <w:footnoteRef/>
      </w:r>
      <w:r>
        <w:tab/>
      </w:r>
      <w:hyperlink r:id="rId2" w:history="1">
        <w:r w:rsidR="00260EB0">
          <w:rPr>
            <w:rStyle w:val="Hyperlink"/>
          </w:rPr>
          <w:t>CRC/C/OPSC/ISR/CO/1</w:t>
        </w:r>
      </w:hyperlink>
      <w:r>
        <w:t>.</w:t>
      </w:r>
    </w:p>
  </w:footnote>
  <w:footnote w:id="4">
    <w:p w14:paraId="6A3FAD9B" w14:textId="60EDC49B" w:rsidR="00CD38BD" w:rsidRDefault="00CD38BD" w:rsidP="00CD38BD">
      <w:pPr>
        <w:pStyle w:val="FootnoteText"/>
      </w:pPr>
      <w:r w:rsidRPr="005F1342">
        <w:tab/>
      </w:r>
      <w:r>
        <w:rPr>
          <w:rStyle w:val="FootnoteReference"/>
        </w:rPr>
        <w:footnoteRef/>
      </w:r>
      <w:r>
        <w:rPr>
          <w:lang w:val="es-419"/>
        </w:rPr>
        <w:tab/>
      </w:r>
      <w:hyperlink r:id="rId3" w:history="1">
        <w:r w:rsidR="00260EB0">
          <w:rPr>
            <w:rStyle w:val="Hyperlink"/>
            <w:lang w:val="es-419"/>
          </w:rPr>
          <w:t>CRC/C/ISR/CO/2-4</w:t>
        </w:r>
      </w:hyperlink>
      <w:r w:rsidRPr="007725FF">
        <w:rPr>
          <w:lang w:val="es-419"/>
        </w:rPr>
        <w:t xml:space="preserve">, para. </w:t>
      </w:r>
      <w:r w:rsidRPr="007638E5">
        <w:t>72</w:t>
      </w:r>
      <w:r>
        <w:t>.</w:t>
      </w:r>
    </w:p>
  </w:footnote>
  <w:footnote w:id="5">
    <w:p w14:paraId="27F3F16C" w14:textId="0549E521" w:rsidR="00CD38BD" w:rsidRDefault="00CD38BD" w:rsidP="00CD38BD">
      <w:pPr>
        <w:pStyle w:val="FootnoteText"/>
      </w:pPr>
      <w:r>
        <w:tab/>
      </w:r>
      <w:r>
        <w:rPr>
          <w:rStyle w:val="FootnoteReference"/>
        </w:rPr>
        <w:footnoteRef/>
      </w:r>
      <w:r>
        <w:tab/>
      </w:r>
      <w:hyperlink r:id="rId4" w:history="1">
        <w:r w:rsidR="00260EB0">
          <w:rPr>
            <w:rStyle w:val="Hyperlink"/>
          </w:rPr>
          <w:t>CRC/C/OPAC/ISR/CO/1</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B2412" w14:textId="77777777" w:rsidR="00CD38BD" w:rsidRDefault="00CD38BD" w:rsidP="00CD38BD">
    <w:pPr>
      <w:pStyle w:val="Header"/>
    </w:pPr>
    <w:r>
      <w:t>CRC/C/ISR/Q/5-6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539BB" w14:textId="77777777" w:rsidR="00CD38BD" w:rsidRDefault="00CD38BD" w:rsidP="00CD38BD">
    <w:pPr>
      <w:pStyle w:val="Header"/>
      <w:jc w:val="right"/>
    </w:pPr>
    <w:r>
      <w:t>CRC/C/ISR/Q/5-6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230729553">
    <w:abstractNumId w:val="3"/>
  </w:num>
  <w:num w:numId="2" w16cid:durableId="154731753">
    <w:abstractNumId w:val="2"/>
  </w:num>
  <w:num w:numId="3" w16cid:durableId="522474207">
    <w:abstractNumId w:val="0"/>
  </w:num>
  <w:num w:numId="4" w16cid:durableId="2091003270">
    <w:abstractNumId w:val="4"/>
  </w:num>
  <w:num w:numId="5" w16cid:durableId="1705521338">
    <w:abstractNumId w:val="5"/>
  </w:num>
  <w:num w:numId="6" w16cid:durableId="2126658537">
    <w:abstractNumId w:val="6"/>
  </w:num>
  <w:num w:numId="7" w16cid:durableId="6395067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B97"/>
    <w:rsid w:val="0003576B"/>
    <w:rsid w:val="00046E92"/>
    <w:rsid w:val="00156673"/>
    <w:rsid w:val="00226ADD"/>
    <w:rsid w:val="00247E2C"/>
    <w:rsid w:val="00260EB0"/>
    <w:rsid w:val="002A09CA"/>
    <w:rsid w:val="002B341B"/>
    <w:rsid w:val="002D6C53"/>
    <w:rsid w:val="002F5595"/>
    <w:rsid w:val="00334F6A"/>
    <w:rsid w:val="00342AC8"/>
    <w:rsid w:val="003522C2"/>
    <w:rsid w:val="003B4550"/>
    <w:rsid w:val="003C30F0"/>
    <w:rsid w:val="00461253"/>
    <w:rsid w:val="004629FE"/>
    <w:rsid w:val="005042C2"/>
    <w:rsid w:val="00586BEE"/>
    <w:rsid w:val="0059268D"/>
    <w:rsid w:val="00640DC6"/>
    <w:rsid w:val="00671529"/>
    <w:rsid w:val="006B6B34"/>
    <w:rsid w:val="006F0959"/>
    <w:rsid w:val="00713B97"/>
    <w:rsid w:val="007268F9"/>
    <w:rsid w:val="007C52B0"/>
    <w:rsid w:val="00853990"/>
    <w:rsid w:val="00871596"/>
    <w:rsid w:val="00902B4E"/>
    <w:rsid w:val="009411B4"/>
    <w:rsid w:val="009D0139"/>
    <w:rsid w:val="009F5CDC"/>
    <w:rsid w:val="00A775CF"/>
    <w:rsid w:val="00A9548D"/>
    <w:rsid w:val="00AF3FEB"/>
    <w:rsid w:val="00B06045"/>
    <w:rsid w:val="00C073FD"/>
    <w:rsid w:val="00C35A27"/>
    <w:rsid w:val="00C60504"/>
    <w:rsid w:val="00CD0365"/>
    <w:rsid w:val="00CD38BD"/>
    <w:rsid w:val="00D21089"/>
    <w:rsid w:val="00E02C2B"/>
    <w:rsid w:val="00E96D00"/>
    <w:rsid w:val="00ED625E"/>
    <w:rsid w:val="00ED6C48"/>
    <w:rsid w:val="00F0062C"/>
    <w:rsid w:val="00F65F5D"/>
    <w:rsid w:val="00F86A3A"/>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F5769D"/>
  <w15:docId w15:val="{ABF42187-6749-4A31-8F93-E7FD01E23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673"/>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CD38BD"/>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 w:type="character" w:customStyle="1" w:styleId="SingleTxtGChar">
    <w:name w:val="_ Single Txt_G Char"/>
    <w:link w:val="SingleTxtG"/>
    <w:locked/>
    <w:rsid w:val="00CD38BD"/>
    <w:rPr>
      <w:rFonts w:ascii="Times New Roman" w:hAnsi="Times New Roman" w:cs="Times New Roman"/>
      <w:sz w:val="20"/>
      <w:szCs w:val="20"/>
    </w:rPr>
  </w:style>
  <w:style w:type="character" w:styleId="Hyperlink">
    <w:name w:val="Hyperlink"/>
    <w:basedOn w:val="DefaultParagraphFont"/>
    <w:uiPriority w:val="99"/>
    <w:unhideWhenUsed/>
    <w:rsid w:val="00F0062C"/>
    <w:rPr>
      <w:color w:val="0000FF" w:themeColor="hyperlink"/>
      <w:u w:val="none"/>
    </w:rPr>
  </w:style>
  <w:style w:type="character" w:styleId="UnresolvedMention">
    <w:name w:val="Unresolved Mention"/>
    <w:basedOn w:val="DefaultParagraphFont"/>
    <w:uiPriority w:val="99"/>
    <w:semiHidden/>
    <w:unhideWhenUsed/>
    <w:rsid w:val="00F006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ndocs.org/en/CRC/C/ISR/CO/2-4"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en/CRC/C/ISR/CO/2-4" TargetMode="External"/><Relationship Id="rId2" Type="http://schemas.openxmlformats.org/officeDocument/2006/relationships/hyperlink" Target="http://undocs.org/en/CRC/C/OPSC/ISR/CO/1" TargetMode="External"/><Relationship Id="rId1" Type="http://schemas.openxmlformats.org/officeDocument/2006/relationships/hyperlink" Target="http://undocs.org/en/CRC/C/ISR/CO/2-4" TargetMode="External"/><Relationship Id="rId4" Type="http://schemas.openxmlformats.org/officeDocument/2006/relationships/hyperlink" Target="http://undocs.org/en/CRC/C/OPAC/ISR/CO/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329A8-0EF8-400D-A4DA-A29DCD340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2717</Words>
  <Characters>15418</Characters>
  <Application>Microsoft Office Word</Application>
  <DocSecurity>0</DocSecurity>
  <Lines>265</Lines>
  <Paragraphs>111</Paragraphs>
  <ScaleCrop>false</ScaleCrop>
  <HeadingPairs>
    <vt:vector size="2" baseType="variant">
      <vt:variant>
        <vt:lpstr>Title</vt:lpstr>
      </vt:variant>
      <vt:variant>
        <vt:i4>1</vt:i4>
      </vt:variant>
    </vt:vector>
  </HeadingPairs>
  <TitlesOfParts>
    <vt:vector size="1" baseType="lpstr">
      <vt:lpstr>CRC/C/ISR/Q/5-6</vt:lpstr>
    </vt:vector>
  </TitlesOfParts>
  <Company>DCM</Company>
  <LinksUpToDate>false</LinksUpToDate>
  <CharactersWithSpaces>18138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CRC/C/ISR/Q/5-6</dc:title>
  <dc:subject>2303644</dc:subject>
  <dc:creator>cg</dc:creator>
  <cp:keywords/>
  <dc:description/>
  <cp:lastModifiedBy>Anni Vi Tirol</cp:lastModifiedBy>
  <cp:revision>2</cp:revision>
  <dcterms:created xsi:type="dcterms:W3CDTF">2023-03-09T08:37:00Z</dcterms:created>
  <dcterms:modified xsi:type="dcterms:W3CDTF">2023-03-09T08:37:00Z</dcterms:modified>
</cp:coreProperties>
</file>