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77"/>
        <w:gridCol w:w="2269"/>
        <w:gridCol w:w="3262"/>
        <w:gridCol w:w="2837"/>
      </w:tblGrid>
      <w:tr w:rsidR="00CF679D" w:rsidRPr="007B080C" w:rsidTr="000E3949">
        <w:trPr>
          <w:cantSplit/>
          <w:trHeight w:hRule="exact" w:val="851"/>
        </w:trPr>
        <w:tc>
          <w:tcPr>
            <w:tcW w:w="1277" w:type="dxa"/>
            <w:tcBorders>
              <w:top w:val="nil"/>
              <w:left w:val="nil"/>
              <w:bottom w:val="single" w:sz="4" w:space="0" w:color="auto"/>
              <w:right w:val="nil"/>
            </w:tcBorders>
            <w:vAlign w:val="bottom"/>
          </w:tcPr>
          <w:p w:rsidR="00CF679D" w:rsidRPr="007B080C" w:rsidRDefault="00CF679D" w:rsidP="000E3949">
            <w:pPr>
              <w:suppressAutoHyphens w:val="0"/>
              <w:spacing w:after="80" w:line="240" w:lineRule="auto"/>
              <w:rPr>
                <w:rFonts w:eastAsia="Calibri"/>
                <w:sz w:val="24"/>
                <w:szCs w:val="24"/>
                <w:lang w:val="en-US" w:eastAsia="fr-FR"/>
              </w:rPr>
            </w:pPr>
          </w:p>
        </w:tc>
        <w:tc>
          <w:tcPr>
            <w:tcW w:w="2269" w:type="dxa"/>
            <w:tcBorders>
              <w:top w:val="nil"/>
              <w:left w:val="nil"/>
              <w:bottom w:val="single" w:sz="4" w:space="0" w:color="auto"/>
              <w:right w:val="nil"/>
            </w:tcBorders>
            <w:vAlign w:val="bottom"/>
          </w:tcPr>
          <w:p w:rsidR="00CF679D" w:rsidRPr="007B080C" w:rsidRDefault="00CF679D" w:rsidP="000E3949">
            <w:pPr>
              <w:suppressAutoHyphens w:val="0"/>
              <w:spacing w:after="80" w:line="300" w:lineRule="exact"/>
              <w:rPr>
                <w:rFonts w:eastAsia="Calibri"/>
                <w:b/>
                <w:sz w:val="28"/>
                <w:szCs w:val="28"/>
                <w:lang w:eastAsia="fr-FR"/>
              </w:rPr>
            </w:pPr>
            <w:r w:rsidRPr="007B080C">
              <w:rPr>
                <w:rFonts w:eastAsia="Calibri"/>
                <w:sz w:val="28"/>
                <w:szCs w:val="28"/>
                <w:lang w:eastAsia="fr-FR"/>
              </w:rPr>
              <w:t>United Nations</w:t>
            </w:r>
          </w:p>
        </w:tc>
        <w:tc>
          <w:tcPr>
            <w:tcW w:w="6099" w:type="dxa"/>
            <w:gridSpan w:val="2"/>
            <w:tcBorders>
              <w:top w:val="nil"/>
              <w:left w:val="nil"/>
              <w:bottom w:val="single" w:sz="4" w:space="0" w:color="auto"/>
              <w:right w:val="nil"/>
            </w:tcBorders>
            <w:vAlign w:val="bottom"/>
          </w:tcPr>
          <w:p w:rsidR="00CF679D" w:rsidRPr="007B080C" w:rsidRDefault="00CF679D" w:rsidP="00CF679D">
            <w:pPr>
              <w:suppressAutoHyphens w:val="0"/>
              <w:spacing w:after="20" w:line="240" w:lineRule="auto"/>
              <w:jc w:val="right"/>
              <w:rPr>
                <w:rFonts w:eastAsia="Calibri"/>
                <w:sz w:val="24"/>
                <w:szCs w:val="24"/>
                <w:lang w:eastAsia="fr-FR"/>
              </w:rPr>
            </w:pPr>
            <w:r w:rsidRPr="007B080C">
              <w:rPr>
                <w:rFonts w:eastAsia="Calibri"/>
                <w:sz w:val="40"/>
                <w:szCs w:val="40"/>
                <w:lang w:eastAsia="fr-FR"/>
              </w:rPr>
              <w:t>CRPD</w:t>
            </w:r>
            <w:r w:rsidRPr="007B080C">
              <w:rPr>
                <w:rFonts w:eastAsia="Calibri"/>
                <w:lang w:eastAsia="fr-FR"/>
              </w:rPr>
              <w:t>/C/</w:t>
            </w:r>
            <w:r>
              <w:rPr>
                <w:rFonts w:eastAsia="Calibri"/>
                <w:lang w:eastAsia="fr-FR"/>
              </w:rPr>
              <w:t>SWE</w:t>
            </w:r>
            <w:r w:rsidRPr="007B080C">
              <w:rPr>
                <w:rFonts w:eastAsia="Calibri"/>
                <w:lang w:eastAsia="fr-FR"/>
              </w:rPr>
              <w:t>/1</w:t>
            </w:r>
          </w:p>
        </w:tc>
      </w:tr>
      <w:tr w:rsidR="00CF679D" w:rsidRPr="007B080C" w:rsidTr="000E3949">
        <w:trPr>
          <w:cantSplit/>
          <w:trHeight w:hRule="exact" w:val="2835"/>
        </w:trPr>
        <w:tc>
          <w:tcPr>
            <w:tcW w:w="1277" w:type="dxa"/>
            <w:tcBorders>
              <w:top w:val="single" w:sz="4" w:space="0" w:color="auto"/>
              <w:left w:val="nil"/>
              <w:bottom w:val="single" w:sz="12" w:space="0" w:color="auto"/>
              <w:right w:val="nil"/>
            </w:tcBorders>
          </w:tcPr>
          <w:p w:rsidR="00CF679D" w:rsidRPr="007B080C" w:rsidRDefault="00CF679D" w:rsidP="000E3949">
            <w:pPr>
              <w:suppressAutoHyphens w:val="0"/>
              <w:spacing w:before="120" w:after="120" w:line="240" w:lineRule="auto"/>
              <w:jc w:val="center"/>
              <w:rPr>
                <w:rFonts w:eastAsia="Calibri"/>
                <w:sz w:val="24"/>
                <w:szCs w:val="24"/>
                <w:lang w:eastAsia="fr-FR"/>
              </w:rPr>
            </w:pPr>
            <w:r w:rsidRPr="007B080C">
              <w:rPr>
                <w:rFonts w:eastAsia="Calibri"/>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5.5pt;height:46.5pt;visibility:visible">
                  <v:imagedata r:id="rId7" o:title="_unlogo"/>
                </v:shape>
              </w:pict>
            </w:r>
          </w:p>
        </w:tc>
        <w:tc>
          <w:tcPr>
            <w:tcW w:w="5531" w:type="dxa"/>
            <w:gridSpan w:val="2"/>
            <w:tcBorders>
              <w:top w:val="single" w:sz="4" w:space="0" w:color="auto"/>
              <w:left w:val="nil"/>
              <w:bottom w:val="single" w:sz="12" w:space="0" w:color="auto"/>
              <w:right w:val="nil"/>
            </w:tcBorders>
          </w:tcPr>
          <w:p w:rsidR="00CF679D" w:rsidRPr="007B080C" w:rsidRDefault="00CF679D" w:rsidP="000E3949">
            <w:pPr>
              <w:suppressAutoHyphens w:val="0"/>
              <w:spacing w:before="120" w:after="120" w:line="380" w:lineRule="exact"/>
              <w:rPr>
                <w:rFonts w:eastAsia="Calibri"/>
                <w:b/>
                <w:sz w:val="34"/>
                <w:szCs w:val="34"/>
                <w:lang w:eastAsia="fr-FR"/>
              </w:rPr>
            </w:pPr>
            <w:r w:rsidRPr="007B080C">
              <w:rPr>
                <w:rFonts w:eastAsia="Calibri"/>
                <w:b/>
                <w:sz w:val="34"/>
                <w:szCs w:val="34"/>
                <w:lang w:eastAsia="fr-FR"/>
              </w:rPr>
              <w:t>Convention on the Rights</w:t>
            </w:r>
            <w:r w:rsidRPr="007B080C">
              <w:rPr>
                <w:rFonts w:eastAsia="Calibri"/>
                <w:b/>
                <w:sz w:val="34"/>
                <w:szCs w:val="34"/>
                <w:lang w:eastAsia="fr-FR"/>
              </w:rPr>
              <w:br/>
              <w:t>of Persons with Disabilities</w:t>
            </w:r>
          </w:p>
          <w:p w:rsidR="00CF679D" w:rsidRPr="007B080C" w:rsidRDefault="00CF679D" w:rsidP="000E3949">
            <w:pPr>
              <w:suppressAutoHyphens w:val="0"/>
              <w:spacing w:before="120" w:after="120" w:line="420" w:lineRule="exact"/>
              <w:rPr>
                <w:rFonts w:eastAsia="Calibri"/>
                <w:sz w:val="24"/>
                <w:szCs w:val="24"/>
                <w:lang w:eastAsia="fr-FR"/>
              </w:rPr>
            </w:pPr>
          </w:p>
        </w:tc>
        <w:tc>
          <w:tcPr>
            <w:tcW w:w="2837" w:type="dxa"/>
            <w:tcBorders>
              <w:top w:val="single" w:sz="4" w:space="0" w:color="auto"/>
              <w:left w:val="nil"/>
              <w:bottom w:val="single" w:sz="12" w:space="0" w:color="auto"/>
              <w:right w:val="nil"/>
            </w:tcBorders>
          </w:tcPr>
          <w:p w:rsidR="00CF679D" w:rsidRPr="007B080C" w:rsidRDefault="00CF679D" w:rsidP="000E3949">
            <w:pPr>
              <w:suppressAutoHyphens w:val="0"/>
              <w:spacing w:before="240" w:line="240" w:lineRule="exact"/>
              <w:rPr>
                <w:rFonts w:eastAsia="Calibri"/>
                <w:lang w:eastAsia="fr-FR"/>
              </w:rPr>
            </w:pPr>
            <w:r w:rsidRPr="007B080C">
              <w:rPr>
                <w:rFonts w:eastAsia="Calibri"/>
                <w:lang w:eastAsia="fr-FR"/>
              </w:rPr>
              <w:t>Distr.: General</w:t>
            </w:r>
          </w:p>
          <w:p w:rsidR="00CF679D" w:rsidRPr="007B080C" w:rsidRDefault="00A8177A" w:rsidP="000E3949">
            <w:pPr>
              <w:suppressAutoHyphens w:val="0"/>
              <w:spacing w:line="240" w:lineRule="auto"/>
              <w:rPr>
                <w:rFonts w:eastAsia="Calibri"/>
                <w:lang w:eastAsia="fr-FR"/>
              </w:rPr>
            </w:pPr>
            <w:r>
              <w:rPr>
                <w:rFonts w:eastAsia="Calibri"/>
                <w:lang w:eastAsia="fr-FR"/>
              </w:rPr>
              <w:t>18 september</w:t>
            </w:r>
            <w:r w:rsidR="008916B4">
              <w:rPr>
                <w:rFonts w:eastAsia="Calibri"/>
                <w:lang w:eastAsia="fr-FR"/>
              </w:rPr>
              <w:t xml:space="preserve"> 2012</w:t>
            </w:r>
          </w:p>
          <w:p w:rsidR="00CF679D" w:rsidRPr="007B080C" w:rsidRDefault="00CF679D" w:rsidP="000E3949">
            <w:pPr>
              <w:suppressAutoHyphens w:val="0"/>
              <w:spacing w:line="240" w:lineRule="auto"/>
              <w:rPr>
                <w:rFonts w:eastAsia="Calibri"/>
                <w:lang w:eastAsia="fr-FR"/>
              </w:rPr>
            </w:pPr>
          </w:p>
          <w:p w:rsidR="00CF679D" w:rsidRPr="007B080C" w:rsidRDefault="00CF679D" w:rsidP="000E3949">
            <w:pPr>
              <w:suppressAutoHyphens w:val="0"/>
              <w:spacing w:line="240" w:lineRule="auto"/>
              <w:rPr>
                <w:rFonts w:eastAsia="Calibri"/>
                <w:sz w:val="24"/>
                <w:szCs w:val="24"/>
                <w:lang w:eastAsia="fr-FR"/>
              </w:rPr>
            </w:pPr>
            <w:r w:rsidRPr="007B080C">
              <w:rPr>
                <w:rFonts w:eastAsia="Calibri"/>
                <w:lang w:eastAsia="fr-FR"/>
              </w:rPr>
              <w:t xml:space="preserve">Original : </w:t>
            </w:r>
            <w:r>
              <w:rPr>
                <w:rFonts w:eastAsia="Calibri"/>
                <w:lang w:eastAsia="fr-FR"/>
              </w:rPr>
              <w:t>English</w:t>
            </w:r>
          </w:p>
        </w:tc>
      </w:tr>
    </w:tbl>
    <w:p w:rsidR="00CF679D" w:rsidRPr="007B080C" w:rsidRDefault="00CF679D" w:rsidP="00CF679D">
      <w:pPr>
        <w:spacing w:before="120"/>
        <w:rPr>
          <w:b/>
          <w:sz w:val="24"/>
          <w:szCs w:val="24"/>
        </w:rPr>
      </w:pPr>
      <w:r w:rsidRPr="007B080C">
        <w:rPr>
          <w:b/>
          <w:sz w:val="24"/>
          <w:szCs w:val="24"/>
        </w:rPr>
        <w:t>Committee on the Rights of Persons with Disabilities</w:t>
      </w:r>
    </w:p>
    <w:p w:rsidR="00CF679D" w:rsidRPr="00A8177A" w:rsidRDefault="00CF679D" w:rsidP="00CF679D">
      <w:pPr>
        <w:keepNext/>
        <w:keepLines/>
        <w:tabs>
          <w:tab w:val="right" w:pos="851"/>
        </w:tabs>
        <w:spacing w:before="240" w:after="240" w:line="360" w:lineRule="exact"/>
        <w:ind w:left="1134" w:right="1134" w:hanging="1134"/>
        <w:rPr>
          <w:b/>
          <w:sz w:val="28"/>
          <w:szCs w:val="28"/>
        </w:rPr>
      </w:pPr>
      <w:r w:rsidRPr="007B080C">
        <w:rPr>
          <w:b/>
          <w:sz w:val="34"/>
        </w:rPr>
        <w:tab/>
      </w:r>
      <w:r w:rsidRPr="007B080C">
        <w:rPr>
          <w:b/>
          <w:sz w:val="34"/>
        </w:rPr>
        <w:tab/>
      </w:r>
      <w:r w:rsidRPr="00A8177A">
        <w:rPr>
          <w:b/>
          <w:sz w:val="28"/>
          <w:szCs w:val="28"/>
        </w:rPr>
        <w:t>Implementation of the Convention on the Rights of Persons with Disabilities</w:t>
      </w:r>
    </w:p>
    <w:p w:rsidR="00CF679D" w:rsidRPr="00A8177A" w:rsidRDefault="00CF679D" w:rsidP="00CF679D">
      <w:pPr>
        <w:keepNext/>
        <w:keepLines/>
        <w:tabs>
          <w:tab w:val="right" w:pos="851"/>
        </w:tabs>
        <w:spacing w:before="360" w:after="240" w:line="300" w:lineRule="exact"/>
        <w:ind w:left="1134" w:right="1134" w:hanging="1134"/>
        <w:rPr>
          <w:b/>
          <w:sz w:val="24"/>
          <w:szCs w:val="24"/>
        </w:rPr>
      </w:pPr>
      <w:r w:rsidRPr="007B080C">
        <w:rPr>
          <w:b/>
          <w:sz w:val="28"/>
        </w:rPr>
        <w:tab/>
      </w:r>
      <w:r w:rsidRPr="007B080C">
        <w:rPr>
          <w:b/>
          <w:sz w:val="28"/>
        </w:rPr>
        <w:tab/>
      </w:r>
      <w:bookmarkStart w:id="0" w:name="_Toc286990684"/>
      <w:r w:rsidRPr="00A8177A">
        <w:rPr>
          <w:b/>
          <w:sz w:val="24"/>
          <w:szCs w:val="24"/>
        </w:rPr>
        <w:t>Initial reports submitted by States parties under article 35 of the Convention</w:t>
      </w:r>
      <w:bookmarkEnd w:id="0"/>
    </w:p>
    <w:p w:rsidR="00CF679D" w:rsidRPr="007B080C" w:rsidRDefault="00CF679D" w:rsidP="00CF679D">
      <w:pPr>
        <w:keepNext/>
        <w:keepLines/>
        <w:tabs>
          <w:tab w:val="right" w:pos="851"/>
        </w:tabs>
        <w:spacing w:before="240" w:after="240" w:line="360" w:lineRule="exact"/>
        <w:ind w:left="1134" w:right="1134" w:hanging="1134"/>
        <w:rPr>
          <w:b/>
          <w:sz w:val="34"/>
        </w:rPr>
      </w:pPr>
      <w:r w:rsidRPr="007B080C">
        <w:rPr>
          <w:b/>
          <w:sz w:val="34"/>
        </w:rPr>
        <w:tab/>
      </w:r>
      <w:r w:rsidRPr="007B080C">
        <w:rPr>
          <w:b/>
          <w:sz w:val="34"/>
        </w:rPr>
        <w:tab/>
      </w:r>
      <w:smartTag w:uri="urn:schemas-microsoft-com:office:smarttags" w:element="country-region">
        <w:smartTag w:uri="urn:schemas-microsoft-com:office:smarttags" w:element="place">
          <w:r w:rsidRPr="00A8177A">
            <w:rPr>
              <w:b/>
              <w:sz w:val="28"/>
              <w:szCs w:val="28"/>
            </w:rPr>
            <w:t>Sweden</w:t>
          </w:r>
        </w:smartTag>
      </w:smartTag>
      <w:r w:rsidRPr="007B080C">
        <w:rPr>
          <w:vertAlign w:val="superscript"/>
        </w:rPr>
        <w:footnoteReference w:customMarkFollows="1" w:id="2"/>
        <w:t>*</w:t>
      </w:r>
    </w:p>
    <w:p w:rsidR="00CF679D" w:rsidRPr="007B080C" w:rsidRDefault="00CF679D" w:rsidP="00CF679D">
      <w:pPr>
        <w:spacing w:after="120"/>
        <w:ind w:left="1134" w:right="1134"/>
        <w:jc w:val="right"/>
      </w:pPr>
      <w:r w:rsidRPr="007B080C">
        <w:t>[</w:t>
      </w:r>
      <w:r>
        <w:t>7 February 2011</w:t>
      </w:r>
      <w:r w:rsidRPr="007B080C">
        <w:t>]</w:t>
      </w:r>
    </w:p>
    <w:p w:rsidR="00321ADA" w:rsidRPr="00E27443" w:rsidRDefault="00CF679D" w:rsidP="00CF679D">
      <w:pPr>
        <w:spacing w:after="120"/>
        <w:rPr>
          <w:sz w:val="28"/>
        </w:rPr>
      </w:pPr>
      <w:r w:rsidRPr="007B080C">
        <w:br w:type="page"/>
      </w:r>
      <w:r w:rsidR="00321ADA" w:rsidRPr="00E27443">
        <w:rPr>
          <w:sz w:val="28"/>
        </w:rPr>
        <w:t>Contents</w:t>
      </w:r>
    </w:p>
    <w:p w:rsidR="00321ADA" w:rsidRPr="00E27443" w:rsidRDefault="00321ADA" w:rsidP="00321ADA">
      <w:pPr>
        <w:tabs>
          <w:tab w:val="right" w:pos="9638"/>
        </w:tabs>
        <w:spacing w:after="120"/>
        <w:ind w:left="283"/>
        <w:rPr>
          <w:sz w:val="18"/>
        </w:rPr>
      </w:pPr>
      <w:r w:rsidRPr="00E27443">
        <w:rPr>
          <w:i/>
          <w:sz w:val="18"/>
        </w:rPr>
        <w:tab/>
      </w:r>
      <w:r w:rsidR="00C7177D">
        <w:rPr>
          <w:i/>
          <w:sz w:val="18"/>
        </w:rPr>
        <w:t xml:space="preserve">Paragraphs   </w:t>
      </w:r>
      <w:r w:rsidRPr="0003497E">
        <w:rPr>
          <w:i/>
          <w:sz w:val="18"/>
        </w:rPr>
        <w:t>Page</w:t>
      </w:r>
    </w:p>
    <w:p w:rsidR="00321ADA" w:rsidRPr="008916B4" w:rsidRDefault="00321ADA" w:rsidP="00321ADA">
      <w:pPr>
        <w:tabs>
          <w:tab w:val="right" w:pos="850"/>
          <w:tab w:val="left" w:pos="1134"/>
          <w:tab w:val="left" w:pos="1559"/>
          <w:tab w:val="left" w:pos="1984"/>
          <w:tab w:val="left" w:leader="dot" w:pos="8787"/>
          <w:tab w:val="right" w:pos="9638"/>
        </w:tabs>
        <w:spacing w:after="120"/>
        <w:rPr>
          <w:sz w:val="19"/>
          <w:szCs w:val="19"/>
        </w:rPr>
      </w:pPr>
      <w:r w:rsidRPr="008916B4">
        <w:rPr>
          <w:sz w:val="19"/>
          <w:szCs w:val="19"/>
        </w:rPr>
        <w:tab/>
      </w:r>
      <w:r w:rsidRPr="008916B4">
        <w:rPr>
          <w:sz w:val="19"/>
          <w:szCs w:val="19"/>
        </w:rPr>
        <w:tab/>
        <w:t>Introduction</w:t>
      </w:r>
      <w:r w:rsidRPr="008916B4">
        <w:rPr>
          <w:sz w:val="19"/>
          <w:szCs w:val="19"/>
        </w:rPr>
        <w:tab/>
      </w:r>
      <w:r w:rsidR="00E04A95" w:rsidRPr="008916B4">
        <w:rPr>
          <w:sz w:val="19"/>
          <w:szCs w:val="19"/>
        </w:rPr>
        <w:t>1-8</w:t>
      </w:r>
      <w:r w:rsidRPr="008916B4">
        <w:rPr>
          <w:sz w:val="19"/>
          <w:szCs w:val="19"/>
        </w:rPr>
        <w:tab/>
      </w:r>
      <w:r w:rsidR="00533C9A" w:rsidRPr="008916B4">
        <w:rPr>
          <w:sz w:val="19"/>
          <w:szCs w:val="19"/>
        </w:rPr>
        <w:t>1</w:t>
      </w:r>
    </w:p>
    <w:p w:rsidR="00321ADA" w:rsidRPr="008916B4" w:rsidRDefault="00321ADA" w:rsidP="00321ADA">
      <w:pPr>
        <w:tabs>
          <w:tab w:val="right" w:pos="850"/>
          <w:tab w:val="left" w:pos="1134"/>
          <w:tab w:val="left" w:pos="1559"/>
          <w:tab w:val="left" w:pos="1984"/>
          <w:tab w:val="left" w:leader="dot" w:pos="8787"/>
          <w:tab w:val="right" w:pos="9638"/>
        </w:tabs>
        <w:spacing w:after="120"/>
        <w:rPr>
          <w:sz w:val="19"/>
          <w:szCs w:val="19"/>
        </w:rPr>
      </w:pPr>
      <w:r w:rsidRPr="008916B4">
        <w:rPr>
          <w:sz w:val="19"/>
          <w:szCs w:val="19"/>
        </w:rPr>
        <w:tab/>
        <w:t>I.</w:t>
      </w:r>
      <w:r w:rsidRPr="008916B4">
        <w:rPr>
          <w:sz w:val="19"/>
          <w:szCs w:val="19"/>
        </w:rPr>
        <w:tab/>
        <w:t>General</w:t>
      </w:r>
      <w:r w:rsidR="00C63F8F" w:rsidRPr="008916B4">
        <w:rPr>
          <w:sz w:val="19"/>
          <w:szCs w:val="19"/>
        </w:rPr>
        <w:t xml:space="preserve"> </w:t>
      </w:r>
      <w:r w:rsidRPr="008916B4">
        <w:rPr>
          <w:sz w:val="19"/>
          <w:szCs w:val="19"/>
        </w:rPr>
        <w:t>provisions</w:t>
      </w:r>
      <w:r w:rsidR="00C63F8F" w:rsidRPr="008916B4">
        <w:rPr>
          <w:sz w:val="19"/>
          <w:szCs w:val="19"/>
        </w:rPr>
        <w:t xml:space="preserve"> </w:t>
      </w:r>
      <w:r w:rsidRPr="008916B4">
        <w:rPr>
          <w:sz w:val="19"/>
          <w:szCs w:val="19"/>
        </w:rPr>
        <w:t>(arts.</w:t>
      </w:r>
      <w:r w:rsidR="00C63F8F" w:rsidRPr="008916B4">
        <w:rPr>
          <w:sz w:val="19"/>
          <w:szCs w:val="19"/>
        </w:rPr>
        <w:t xml:space="preserve"> </w:t>
      </w:r>
      <w:r w:rsidRPr="008916B4">
        <w:rPr>
          <w:sz w:val="19"/>
          <w:szCs w:val="19"/>
        </w:rPr>
        <w:t>1</w:t>
      </w:r>
      <w:r w:rsidR="00C63F8F" w:rsidRPr="008916B4">
        <w:rPr>
          <w:sz w:val="19"/>
          <w:szCs w:val="19"/>
        </w:rPr>
        <w:t xml:space="preserve"> </w:t>
      </w:r>
      <w:r w:rsidRPr="008916B4">
        <w:rPr>
          <w:sz w:val="19"/>
          <w:szCs w:val="19"/>
        </w:rPr>
        <w:t>to</w:t>
      </w:r>
      <w:r w:rsidR="00C63F8F" w:rsidRPr="008916B4">
        <w:rPr>
          <w:sz w:val="19"/>
          <w:szCs w:val="19"/>
        </w:rPr>
        <w:t xml:space="preserve"> </w:t>
      </w:r>
      <w:r w:rsidRPr="008916B4">
        <w:rPr>
          <w:sz w:val="19"/>
          <w:szCs w:val="19"/>
        </w:rPr>
        <w:t>4)</w:t>
      </w:r>
      <w:r w:rsidRPr="008916B4">
        <w:rPr>
          <w:sz w:val="19"/>
          <w:szCs w:val="19"/>
        </w:rPr>
        <w:tab/>
      </w:r>
      <w:r w:rsidR="00E04A95" w:rsidRPr="008916B4">
        <w:rPr>
          <w:sz w:val="19"/>
          <w:szCs w:val="19"/>
        </w:rPr>
        <w:t>9-28</w:t>
      </w:r>
      <w:r w:rsidRPr="008916B4">
        <w:rPr>
          <w:sz w:val="19"/>
          <w:szCs w:val="19"/>
        </w:rPr>
        <w:tab/>
      </w:r>
      <w:r w:rsidR="00533C9A" w:rsidRPr="008916B4">
        <w:rPr>
          <w:sz w:val="19"/>
          <w:szCs w:val="19"/>
        </w:rPr>
        <w:t>5</w:t>
      </w:r>
    </w:p>
    <w:p w:rsidR="00321ADA" w:rsidRPr="008916B4" w:rsidRDefault="00321ADA" w:rsidP="007E00DE">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w:t>
      </w:r>
      <w:r w:rsidRPr="008916B4">
        <w:rPr>
          <w:sz w:val="19"/>
          <w:szCs w:val="19"/>
        </w:rPr>
        <w:tab/>
      </w:r>
      <w:r w:rsidR="007E00DE" w:rsidRPr="008916B4">
        <w:rPr>
          <w:sz w:val="19"/>
          <w:szCs w:val="19"/>
        </w:rPr>
        <w:tab/>
      </w:r>
      <w:r w:rsidRPr="008916B4">
        <w:rPr>
          <w:sz w:val="19"/>
          <w:szCs w:val="19"/>
        </w:rPr>
        <w:t>Purpose</w:t>
      </w:r>
      <w:r w:rsidRPr="008916B4">
        <w:rPr>
          <w:sz w:val="19"/>
          <w:szCs w:val="19"/>
        </w:rPr>
        <w:tab/>
      </w:r>
      <w:r w:rsidR="00E04A95" w:rsidRPr="008916B4">
        <w:rPr>
          <w:sz w:val="19"/>
          <w:szCs w:val="19"/>
        </w:rPr>
        <w:t>9-14</w:t>
      </w:r>
      <w:r w:rsidRPr="008916B4">
        <w:rPr>
          <w:sz w:val="19"/>
          <w:szCs w:val="19"/>
        </w:rPr>
        <w:tab/>
      </w:r>
      <w:r w:rsidR="00533C9A" w:rsidRPr="008916B4">
        <w:rPr>
          <w:sz w:val="19"/>
          <w:szCs w:val="19"/>
        </w:rPr>
        <w:t>5</w:t>
      </w:r>
    </w:p>
    <w:p w:rsidR="00321ADA" w:rsidRPr="008916B4" w:rsidRDefault="00321ADA" w:rsidP="007E00DE">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w:t>
      </w:r>
      <w:r w:rsidRPr="008916B4">
        <w:rPr>
          <w:sz w:val="19"/>
          <w:szCs w:val="19"/>
        </w:rPr>
        <w:tab/>
      </w:r>
      <w:r w:rsidR="007E00DE" w:rsidRPr="008916B4">
        <w:rPr>
          <w:sz w:val="19"/>
          <w:szCs w:val="19"/>
        </w:rPr>
        <w:tab/>
      </w:r>
      <w:r w:rsidRPr="008916B4">
        <w:rPr>
          <w:sz w:val="19"/>
          <w:szCs w:val="19"/>
        </w:rPr>
        <w:t>Definitions</w:t>
      </w:r>
      <w:r w:rsidRPr="008916B4">
        <w:rPr>
          <w:sz w:val="19"/>
          <w:szCs w:val="19"/>
        </w:rPr>
        <w:tab/>
      </w:r>
      <w:r w:rsidR="00E04A95" w:rsidRPr="008916B4">
        <w:rPr>
          <w:sz w:val="19"/>
          <w:szCs w:val="19"/>
        </w:rPr>
        <w:t>15-18</w:t>
      </w:r>
      <w:r w:rsidRPr="008916B4">
        <w:rPr>
          <w:sz w:val="19"/>
          <w:szCs w:val="19"/>
        </w:rPr>
        <w:tab/>
      </w:r>
      <w:r w:rsidR="00533C9A" w:rsidRPr="008916B4">
        <w:rPr>
          <w:sz w:val="19"/>
          <w:szCs w:val="19"/>
        </w:rPr>
        <w:t>5</w:t>
      </w:r>
    </w:p>
    <w:p w:rsidR="00321ADA" w:rsidRPr="008916B4" w:rsidRDefault="00321ADA" w:rsidP="007E00DE">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3</w:t>
      </w:r>
      <w:r w:rsidRPr="008916B4">
        <w:rPr>
          <w:sz w:val="19"/>
          <w:szCs w:val="19"/>
        </w:rPr>
        <w:tab/>
      </w:r>
      <w:r w:rsidR="007E00DE" w:rsidRPr="008916B4">
        <w:rPr>
          <w:sz w:val="19"/>
          <w:szCs w:val="19"/>
        </w:rPr>
        <w:tab/>
      </w:r>
      <w:r w:rsidRPr="008916B4">
        <w:rPr>
          <w:sz w:val="19"/>
          <w:szCs w:val="19"/>
        </w:rPr>
        <w:t>General</w:t>
      </w:r>
      <w:r w:rsidR="00C63F8F" w:rsidRPr="008916B4">
        <w:rPr>
          <w:sz w:val="19"/>
          <w:szCs w:val="19"/>
        </w:rPr>
        <w:t xml:space="preserve"> </w:t>
      </w:r>
      <w:r w:rsidRPr="008916B4">
        <w:rPr>
          <w:sz w:val="19"/>
          <w:szCs w:val="19"/>
        </w:rPr>
        <w:t>principles</w:t>
      </w:r>
      <w:r w:rsidR="00E04A95" w:rsidRPr="008916B4">
        <w:rPr>
          <w:sz w:val="19"/>
          <w:szCs w:val="19"/>
        </w:rPr>
        <w:t xml:space="preserve"> and article 4: general obligations</w:t>
      </w:r>
      <w:r w:rsidRPr="008916B4">
        <w:rPr>
          <w:sz w:val="19"/>
          <w:szCs w:val="19"/>
        </w:rPr>
        <w:tab/>
      </w:r>
      <w:r w:rsidR="00E04A95" w:rsidRPr="008916B4">
        <w:rPr>
          <w:sz w:val="19"/>
          <w:szCs w:val="19"/>
        </w:rPr>
        <w:t>19-28</w:t>
      </w:r>
      <w:r w:rsidRPr="008916B4">
        <w:rPr>
          <w:sz w:val="19"/>
          <w:szCs w:val="19"/>
        </w:rPr>
        <w:tab/>
      </w:r>
      <w:r w:rsidR="00533C9A" w:rsidRPr="008916B4">
        <w:rPr>
          <w:sz w:val="19"/>
          <w:szCs w:val="19"/>
        </w:rPr>
        <w:t>6</w:t>
      </w:r>
    </w:p>
    <w:p w:rsidR="00321ADA" w:rsidRPr="008916B4" w:rsidRDefault="00321ADA" w:rsidP="007E00DE">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r>
      <w:r w:rsidRPr="008916B4">
        <w:rPr>
          <w:sz w:val="19"/>
          <w:szCs w:val="19"/>
        </w:rPr>
        <w:tab/>
      </w:r>
      <w:r w:rsidRPr="008916B4">
        <w:rPr>
          <w:sz w:val="19"/>
          <w:szCs w:val="19"/>
        </w:rPr>
        <w:tab/>
      </w:r>
    </w:p>
    <w:p w:rsidR="00321ADA" w:rsidRPr="008916B4" w:rsidRDefault="00321ADA" w:rsidP="00321ADA">
      <w:pPr>
        <w:tabs>
          <w:tab w:val="right" w:pos="850"/>
          <w:tab w:val="left" w:pos="1134"/>
          <w:tab w:val="left" w:pos="1559"/>
          <w:tab w:val="left" w:pos="1984"/>
          <w:tab w:val="left" w:leader="dot" w:pos="8787"/>
          <w:tab w:val="right" w:pos="9638"/>
        </w:tabs>
        <w:spacing w:after="120"/>
        <w:rPr>
          <w:sz w:val="19"/>
          <w:szCs w:val="19"/>
        </w:rPr>
      </w:pPr>
      <w:r w:rsidRPr="008916B4">
        <w:rPr>
          <w:sz w:val="19"/>
          <w:szCs w:val="19"/>
        </w:rPr>
        <w:tab/>
        <w:t>II.</w:t>
      </w:r>
      <w:r w:rsidRPr="008916B4">
        <w:rPr>
          <w:sz w:val="19"/>
          <w:szCs w:val="19"/>
        </w:rPr>
        <w:tab/>
        <w:t>Specific</w:t>
      </w:r>
      <w:r w:rsidR="00C63F8F" w:rsidRPr="008916B4">
        <w:rPr>
          <w:sz w:val="19"/>
          <w:szCs w:val="19"/>
        </w:rPr>
        <w:t xml:space="preserve"> </w:t>
      </w:r>
      <w:r w:rsidRPr="008916B4">
        <w:rPr>
          <w:sz w:val="19"/>
          <w:szCs w:val="19"/>
        </w:rPr>
        <w:t>rights</w:t>
      </w:r>
      <w:r w:rsidRPr="008916B4">
        <w:rPr>
          <w:sz w:val="19"/>
          <w:szCs w:val="19"/>
        </w:rPr>
        <w:tab/>
      </w:r>
      <w:r w:rsidR="00E04A95" w:rsidRPr="008916B4">
        <w:rPr>
          <w:sz w:val="19"/>
          <w:szCs w:val="19"/>
        </w:rPr>
        <w:t>29-303</w:t>
      </w:r>
      <w:r w:rsidRPr="008916B4">
        <w:rPr>
          <w:sz w:val="19"/>
          <w:szCs w:val="19"/>
        </w:rPr>
        <w:tab/>
      </w:r>
      <w:r w:rsidR="00533C9A" w:rsidRPr="008916B4">
        <w:rPr>
          <w:sz w:val="19"/>
          <w:szCs w:val="19"/>
        </w:rPr>
        <w:t>8</w:t>
      </w:r>
    </w:p>
    <w:p w:rsidR="0055730D" w:rsidRPr="008916B4" w:rsidRDefault="00321ADA"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5</w:t>
      </w:r>
      <w:r w:rsidRPr="008916B4">
        <w:rPr>
          <w:sz w:val="19"/>
          <w:szCs w:val="19"/>
        </w:rPr>
        <w:tab/>
      </w:r>
      <w:r w:rsidR="0055730D" w:rsidRPr="008916B4">
        <w:rPr>
          <w:sz w:val="19"/>
          <w:szCs w:val="19"/>
        </w:rPr>
        <w:tab/>
      </w:r>
      <w:r w:rsidRPr="008916B4">
        <w:rPr>
          <w:sz w:val="19"/>
          <w:szCs w:val="19"/>
        </w:rPr>
        <w:t>Equality</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non-discrimination</w:t>
      </w:r>
      <w:r w:rsidRPr="008916B4">
        <w:rPr>
          <w:sz w:val="19"/>
          <w:szCs w:val="19"/>
        </w:rPr>
        <w:tab/>
      </w:r>
      <w:r w:rsidR="00E04A95" w:rsidRPr="008916B4">
        <w:rPr>
          <w:sz w:val="19"/>
          <w:szCs w:val="19"/>
        </w:rPr>
        <w:t>29-49</w:t>
      </w:r>
      <w:r w:rsidRPr="008916B4">
        <w:rPr>
          <w:sz w:val="19"/>
          <w:szCs w:val="19"/>
        </w:rPr>
        <w:tab/>
      </w:r>
      <w:r w:rsidR="00533C9A" w:rsidRPr="008916B4">
        <w:rPr>
          <w:sz w:val="19"/>
          <w:szCs w:val="19"/>
        </w:rPr>
        <w:t>8</w:t>
      </w:r>
    </w:p>
    <w:p w:rsidR="0055730D" w:rsidRPr="008916B4" w:rsidRDefault="0055730D"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r>
      <w:r w:rsidR="00321ADA" w:rsidRPr="008916B4">
        <w:rPr>
          <w:sz w:val="19"/>
          <w:szCs w:val="19"/>
        </w:rPr>
        <w:t>Article</w:t>
      </w:r>
      <w:r w:rsidR="00C63F8F" w:rsidRPr="008916B4">
        <w:rPr>
          <w:sz w:val="19"/>
          <w:szCs w:val="19"/>
        </w:rPr>
        <w:t xml:space="preserve"> </w:t>
      </w:r>
      <w:r w:rsidR="00321ADA" w:rsidRPr="008916B4">
        <w:rPr>
          <w:sz w:val="19"/>
          <w:szCs w:val="19"/>
        </w:rPr>
        <w:t>8</w:t>
      </w:r>
      <w:r w:rsidRPr="008916B4">
        <w:rPr>
          <w:sz w:val="19"/>
          <w:szCs w:val="19"/>
        </w:rPr>
        <w:tab/>
      </w:r>
      <w:r w:rsidR="00321ADA" w:rsidRPr="008916B4">
        <w:rPr>
          <w:sz w:val="19"/>
          <w:szCs w:val="19"/>
        </w:rPr>
        <w:tab/>
        <w:t>Awareness-raising</w:t>
      </w:r>
      <w:r w:rsidR="00321ADA" w:rsidRPr="008916B4">
        <w:rPr>
          <w:sz w:val="19"/>
          <w:szCs w:val="19"/>
        </w:rPr>
        <w:tab/>
      </w:r>
      <w:r w:rsidR="00E04A95" w:rsidRPr="008916B4">
        <w:rPr>
          <w:sz w:val="19"/>
          <w:szCs w:val="19"/>
        </w:rPr>
        <w:t>50-56</w:t>
      </w:r>
      <w:r w:rsidR="00321ADA" w:rsidRPr="008916B4">
        <w:rPr>
          <w:sz w:val="19"/>
          <w:szCs w:val="19"/>
        </w:rPr>
        <w:tab/>
      </w:r>
      <w:r w:rsidR="00533C9A" w:rsidRPr="008916B4">
        <w:rPr>
          <w:sz w:val="19"/>
          <w:szCs w:val="19"/>
        </w:rPr>
        <w:t>11</w:t>
      </w:r>
    </w:p>
    <w:p w:rsidR="00321ADA" w:rsidRPr="008916B4" w:rsidRDefault="0055730D"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r>
      <w:r w:rsidR="00321ADA" w:rsidRPr="008916B4">
        <w:rPr>
          <w:sz w:val="19"/>
          <w:szCs w:val="19"/>
        </w:rPr>
        <w:t>Article</w:t>
      </w:r>
      <w:r w:rsidR="00C63F8F" w:rsidRPr="008916B4">
        <w:rPr>
          <w:sz w:val="19"/>
          <w:szCs w:val="19"/>
        </w:rPr>
        <w:t xml:space="preserve"> </w:t>
      </w:r>
      <w:r w:rsidR="00321ADA" w:rsidRPr="008916B4">
        <w:rPr>
          <w:sz w:val="19"/>
          <w:szCs w:val="19"/>
        </w:rPr>
        <w:t>9</w:t>
      </w:r>
      <w:r w:rsidRPr="008916B4">
        <w:rPr>
          <w:sz w:val="19"/>
          <w:szCs w:val="19"/>
        </w:rPr>
        <w:tab/>
      </w:r>
      <w:r w:rsidR="00321ADA" w:rsidRPr="008916B4">
        <w:rPr>
          <w:sz w:val="19"/>
          <w:szCs w:val="19"/>
        </w:rPr>
        <w:tab/>
        <w:t>Accessibility</w:t>
      </w:r>
      <w:r w:rsidR="00321ADA" w:rsidRPr="008916B4">
        <w:rPr>
          <w:sz w:val="19"/>
          <w:szCs w:val="19"/>
        </w:rPr>
        <w:tab/>
      </w:r>
      <w:r w:rsidR="00E07C4A" w:rsidRPr="008916B4">
        <w:rPr>
          <w:sz w:val="19"/>
          <w:szCs w:val="19"/>
        </w:rPr>
        <w:t>57-99</w:t>
      </w:r>
      <w:r w:rsidR="00321ADA" w:rsidRPr="008916B4">
        <w:rPr>
          <w:sz w:val="19"/>
          <w:szCs w:val="19"/>
        </w:rPr>
        <w:tab/>
      </w:r>
      <w:r w:rsidR="00533C9A" w:rsidRPr="008916B4">
        <w:rPr>
          <w:sz w:val="19"/>
          <w:szCs w:val="19"/>
        </w:rPr>
        <w:t>12</w:t>
      </w:r>
    </w:p>
    <w:p w:rsidR="0055730D" w:rsidRPr="008916B4" w:rsidRDefault="00321ADA"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r>
      <w:r w:rsidR="0055730D" w:rsidRPr="008916B4">
        <w:rPr>
          <w:sz w:val="19"/>
          <w:szCs w:val="19"/>
        </w:rPr>
        <w:t>Article</w:t>
      </w:r>
      <w:r w:rsidR="00C63F8F" w:rsidRPr="008916B4">
        <w:rPr>
          <w:sz w:val="19"/>
          <w:szCs w:val="19"/>
        </w:rPr>
        <w:t xml:space="preserve"> </w:t>
      </w:r>
      <w:r w:rsidR="0055730D" w:rsidRPr="008916B4">
        <w:rPr>
          <w:sz w:val="19"/>
          <w:szCs w:val="19"/>
        </w:rPr>
        <w:t>10</w:t>
      </w:r>
      <w:r w:rsidR="0055730D" w:rsidRPr="008916B4">
        <w:rPr>
          <w:sz w:val="19"/>
          <w:szCs w:val="19"/>
        </w:rPr>
        <w:tab/>
      </w:r>
      <w:r w:rsidR="0055730D" w:rsidRPr="008916B4">
        <w:rPr>
          <w:sz w:val="19"/>
          <w:szCs w:val="19"/>
        </w:rPr>
        <w:tab/>
        <w:t>Right</w:t>
      </w:r>
      <w:r w:rsidR="00C63F8F" w:rsidRPr="008916B4">
        <w:rPr>
          <w:sz w:val="19"/>
          <w:szCs w:val="19"/>
        </w:rPr>
        <w:t xml:space="preserve"> </w:t>
      </w:r>
      <w:r w:rsidR="0055730D" w:rsidRPr="008916B4">
        <w:rPr>
          <w:sz w:val="19"/>
          <w:szCs w:val="19"/>
        </w:rPr>
        <w:t>to</w:t>
      </w:r>
      <w:r w:rsidR="00C63F8F" w:rsidRPr="008916B4">
        <w:rPr>
          <w:sz w:val="19"/>
          <w:szCs w:val="19"/>
        </w:rPr>
        <w:t xml:space="preserve"> </w:t>
      </w:r>
      <w:r w:rsidR="0055730D" w:rsidRPr="008916B4">
        <w:rPr>
          <w:sz w:val="19"/>
          <w:szCs w:val="19"/>
        </w:rPr>
        <w:t>life</w:t>
      </w:r>
      <w:r w:rsidR="0055730D" w:rsidRPr="008916B4">
        <w:rPr>
          <w:sz w:val="19"/>
          <w:szCs w:val="19"/>
        </w:rPr>
        <w:tab/>
      </w:r>
      <w:r w:rsidR="00E07C4A" w:rsidRPr="008916B4">
        <w:rPr>
          <w:sz w:val="19"/>
          <w:szCs w:val="19"/>
        </w:rPr>
        <w:t>100</w:t>
      </w:r>
      <w:r w:rsidR="0055730D" w:rsidRPr="008916B4">
        <w:rPr>
          <w:sz w:val="19"/>
          <w:szCs w:val="19"/>
        </w:rPr>
        <w:tab/>
      </w:r>
      <w:r w:rsidR="00533C9A" w:rsidRPr="008916B4">
        <w:rPr>
          <w:sz w:val="19"/>
          <w:szCs w:val="19"/>
        </w:rPr>
        <w:t>19</w:t>
      </w:r>
    </w:p>
    <w:p w:rsidR="0055730D" w:rsidRPr="008916B4" w:rsidRDefault="0055730D"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11</w:t>
      </w:r>
      <w:r w:rsidRPr="008916B4">
        <w:rPr>
          <w:sz w:val="19"/>
          <w:szCs w:val="19"/>
        </w:rPr>
        <w:tab/>
      </w:r>
      <w:r w:rsidRPr="008916B4">
        <w:rPr>
          <w:sz w:val="19"/>
          <w:szCs w:val="19"/>
        </w:rPr>
        <w:tab/>
        <w:t>Situations</w:t>
      </w:r>
      <w:r w:rsidR="00C63F8F" w:rsidRPr="008916B4">
        <w:rPr>
          <w:sz w:val="19"/>
          <w:szCs w:val="19"/>
        </w:rPr>
        <w:t xml:space="preserve"> </w:t>
      </w:r>
      <w:r w:rsidRPr="008916B4">
        <w:rPr>
          <w:sz w:val="19"/>
          <w:szCs w:val="19"/>
        </w:rPr>
        <w:t>of</w:t>
      </w:r>
      <w:r w:rsidR="00C63F8F" w:rsidRPr="008916B4">
        <w:rPr>
          <w:sz w:val="19"/>
          <w:szCs w:val="19"/>
        </w:rPr>
        <w:t xml:space="preserve"> </w:t>
      </w:r>
      <w:r w:rsidRPr="008916B4">
        <w:rPr>
          <w:sz w:val="19"/>
          <w:szCs w:val="19"/>
        </w:rPr>
        <w:t>risk</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humanitarian</w:t>
      </w:r>
      <w:r w:rsidR="00C63F8F" w:rsidRPr="008916B4">
        <w:rPr>
          <w:sz w:val="19"/>
          <w:szCs w:val="19"/>
        </w:rPr>
        <w:t xml:space="preserve"> </w:t>
      </w:r>
      <w:r w:rsidRPr="008916B4">
        <w:rPr>
          <w:sz w:val="19"/>
          <w:szCs w:val="19"/>
        </w:rPr>
        <w:t>emergencies</w:t>
      </w:r>
      <w:r w:rsidRPr="008916B4">
        <w:rPr>
          <w:sz w:val="19"/>
          <w:szCs w:val="19"/>
        </w:rPr>
        <w:tab/>
      </w:r>
      <w:r w:rsidR="000F0A76" w:rsidRPr="008916B4">
        <w:rPr>
          <w:sz w:val="19"/>
          <w:szCs w:val="19"/>
        </w:rPr>
        <w:t>101-108</w:t>
      </w:r>
      <w:r w:rsidRPr="008916B4">
        <w:rPr>
          <w:sz w:val="19"/>
          <w:szCs w:val="19"/>
        </w:rPr>
        <w:tab/>
      </w:r>
      <w:r w:rsidR="00533C9A" w:rsidRPr="008916B4">
        <w:rPr>
          <w:sz w:val="19"/>
          <w:szCs w:val="19"/>
        </w:rPr>
        <w:t>19</w:t>
      </w:r>
    </w:p>
    <w:p w:rsidR="0055730D" w:rsidRPr="008916B4" w:rsidRDefault="0055730D"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12</w:t>
      </w:r>
      <w:r w:rsidRPr="008916B4">
        <w:rPr>
          <w:sz w:val="19"/>
          <w:szCs w:val="19"/>
        </w:rPr>
        <w:tab/>
      </w:r>
      <w:r w:rsidRPr="008916B4">
        <w:rPr>
          <w:sz w:val="19"/>
          <w:szCs w:val="19"/>
        </w:rPr>
        <w:tab/>
        <w:t>Equal</w:t>
      </w:r>
      <w:r w:rsidR="00C63F8F" w:rsidRPr="008916B4">
        <w:rPr>
          <w:sz w:val="19"/>
          <w:szCs w:val="19"/>
        </w:rPr>
        <w:t xml:space="preserve"> </w:t>
      </w:r>
      <w:r w:rsidRPr="008916B4">
        <w:rPr>
          <w:sz w:val="19"/>
          <w:szCs w:val="19"/>
        </w:rPr>
        <w:t>recognition</w:t>
      </w:r>
      <w:r w:rsidR="00C63F8F" w:rsidRPr="008916B4">
        <w:rPr>
          <w:sz w:val="19"/>
          <w:szCs w:val="19"/>
        </w:rPr>
        <w:t xml:space="preserve"> </w:t>
      </w:r>
      <w:r w:rsidRPr="008916B4">
        <w:rPr>
          <w:sz w:val="19"/>
          <w:szCs w:val="19"/>
        </w:rPr>
        <w:t>before</w:t>
      </w:r>
      <w:r w:rsidR="00C63F8F" w:rsidRPr="008916B4">
        <w:rPr>
          <w:sz w:val="19"/>
          <w:szCs w:val="19"/>
        </w:rPr>
        <w:t xml:space="preserve"> </w:t>
      </w:r>
      <w:r w:rsidRPr="008916B4">
        <w:rPr>
          <w:sz w:val="19"/>
          <w:szCs w:val="19"/>
        </w:rPr>
        <w:t>the</w:t>
      </w:r>
      <w:r w:rsidR="00C63F8F" w:rsidRPr="008916B4">
        <w:rPr>
          <w:sz w:val="19"/>
          <w:szCs w:val="19"/>
        </w:rPr>
        <w:t xml:space="preserve"> </w:t>
      </w:r>
      <w:r w:rsidRPr="008916B4">
        <w:rPr>
          <w:sz w:val="19"/>
          <w:szCs w:val="19"/>
        </w:rPr>
        <w:t>law</w:t>
      </w:r>
      <w:r w:rsidRPr="008916B4">
        <w:rPr>
          <w:sz w:val="19"/>
          <w:szCs w:val="19"/>
        </w:rPr>
        <w:tab/>
      </w:r>
      <w:r w:rsidR="000F0A76" w:rsidRPr="008916B4">
        <w:rPr>
          <w:sz w:val="19"/>
          <w:szCs w:val="19"/>
        </w:rPr>
        <w:t>109-110</w:t>
      </w:r>
      <w:r w:rsidRPr="008916B4">
        <w:rPr>
          <w:sz w:val="19"/>
          <w:szCs w:val="19"/>
        </w:rPr>
        <w:tab/>
      </w:r>
      <w:r w:rsidR="00533C9A" w:rsidRPr="008916B4">
        <w:rPr>
          <w:sz w:val="19"/>
          <w:szCs w:val="19"/>
        </w:rPr>
        <w:t>20</w:t>
      </w:r>
    </w:p>
    <w:p w:rsidR="0055730D" w:rsidRPr="008916B4" w:rsidRDefault="0055730D"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13</w:t>
      </w:r>
      <w:r w:rsidRPr="008916B4">
        <w:rPr>
          <w:sz w:val="19"/>
          <w:szCs w:val="19"/>
        </w:rPr>
        <w:tab/>
      </w:r>
      <w:r w:rsidRPr="008916B4">
        <w:rPr>
          <w:sz w:val="19"/>
          <w:szCs w:val="19"/>
        </w:rPr>
        <w:tab/>
      </w:r>
      <w:r w:rsidR="00686DB5" w:rsidRPr="008916B4">
        <w:rPr>
          <w:sz w:val="19"/>
          <w:szCs w:val="19"/>
        </w:rPr>
        <w:t>Access</w:t>
      </w:r>
      <w:r w:rsidR="00C63F8F" w:rsidRPr="008916B4">
        <w:rPr>
          <w:sz w:val="19"/>
          <w:szCs w:val="19"/>
        </w:rPr>
        <w:t xml:space="preserve"> </w:t>
      </w:r>
      <w:r w:rsidR="00686DB5" w:rsidRPr="008916B4">
        <w:rPr>
          <w:sz w:val="19"/>
          <w:szCs w:val="19"/>
        </w:rPr>
        <w:t>to</w:t>
      </w:r>
      <w:r w:rsidR="00C63F8F" w:rsidRPr="008916B4">
        <w:rPr>
          <w:sz w:val="19"/>
          <w:szCs w:val="19"/>
        </w:rPr>
        <w:t xml:space="preserve"> </w:t>
      </w:r>
      <w:r w:rsidR="00686DB5" w:rsidRPr="008916B4">
        <w:rPr>
          <w:sz w:val="19"/>
          <w:szCs w:val="19"/>
        </w:rPr>
        <w:t>justice</w:t>
      </w:r>
      <w:r w:rsidR="00686DB5" w:rsidRPr="008916B4">
        <w:rPr>
          <w:sz w:val="19"/>
          <w:szCs w:val="19"/>
        </w:rPr>
        <w:tab/>
      </w:r>
      <w:r w:rsidR="000F0A76" w:rsidRPr="008916B4">
        <w:rPr>
          <w:sz w:val="19"/>
          <w:szCs w:val="19"/>
        </w:rPr>
        <w:t>111-115</w:t>
      </w:r>
      <w:r w:rsidR="00686DB5" w:rsidRPr="008916B4">
        <w:rPr>
          <w:sz w:val="19"/>
          <w:szCs w:val="19"/>
        </w:rPr>
        <w:tab/>
      </w:r>
      <w:r w:rsidR="00533C9A" w:rsidRPr="008916B4">
        <w:rPr>
          <w:sz w:val="19"/>
          <w:szCs w:val="19"/>
        </w:rPr>
        <w:t>21</w:t>
      </w:r>
    </w:p>
    <w:p w:rsidR="00686DB5" w:rsidRPr="008916B4" w:rsidRDefault="00686DB5"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14</w:t>
      </w:r>
      <w:r w:rsidRPr="008916B4">
        <w:rPr>
          <w:sz w:val="19"/>
          <w:szCs w:val="19"/>
        </w:rPr>
        <w:tab/>
      </w:r>
      <w:r w:rsidRPr="008916B4">
        <w:rPr>
          <w:sz w:val="19"/>
          <w:szCs w:val="19"/>
        </w:rPr>
        <w:tab/>
      </w:r>
      <w:smartTag w:uri="urn:schemas-microsoft-com:office:smarttags" w:element="City">
        <w:smartTag w:uri="urn:schemas-microsoft-com:office:smarttags" w:element="place">
          <w:r w:rsidRPr="008916B4">
            <w:rPr>
              <w:sz w:val="19"/>
              <w:szCs w:val="19"/>
            </w:rPr>
            <w:t>Liberty</w:t>
          </w:r>
        </w:smartTag>
      </w:smartTag>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security</w:t>
      </w:r>
      <w:r w:rsidR="00C63F8F" w:rsidRPr="008916B4">
        <w:rPr>
          <w:sz w:val="19"/>
          <w:szCs w:val="19"/>
        </w:rPr>
        <w:t xml:space="preserve"> </w:t>
      </w:r>
      <w:r w:rsidRPr="008916B4">
        <w:rPr>
          <w:sz w:val="19"/>
          <w:szCs w:val="19"/>
        </w:rPr>
        <w:t>of</w:t>
      </w:r>
      <w:r w:rsidR="00C63F8F" w:rsidRPr="008916B4">
        <w:rPr>
          <w:sz w:val="19"/>
          <w:szCs w:val="19"/>
        </w:rPr>
        <w:t xml:space="preserve"> </w:t>
      </w:r>
      <w:r w:rsidRPr="008916B4">
        <w:rPr>
          <w:sz w:val="19"/>
          <w:szCs w:val="19"/>
        </w:rPr>
        <w:t>the</w:t>
      </w:r>
      <w:r w:rsidR="00C63F8F" w:rsidRPr="008916B4">
        <w:rPr>
          <w:sz w:val="19"/>
          <w:szCs w:val="19"/>
        </w:rPr>
        <w:t xml:space="preserve"> </w:t>
      </w:r>
      <w:r w:rsidRPr="008916B4">
        <w:rPr>
          <w:sz w:val="19"/>
          <w:szCs w:val="19"/>
        </w:rPr>
        <w:t>person</w:t>
      </w:r>
      <w:r w:rsidRPr="008916B4">
        <w:rPr>
          <w:sz w:val="19"/>
          <w:szCs w:val="19"/>
        </w:rPr>
        <w:tab/>
      </w:r>
      <w:r w:rsidR="000F0A76" w:rsidRPr="008916B4">
        <w:rPr>
          <w:sz w:val="19"/>
          <w:szCs w:val="19"/>
        </w:rPr>
        <w:t>116-120</w:t>
      </w:r>
      <w:r w:rsidRPr="008916B4">
        <w:rPr>
          <w:sz w:val="19"/>
          <w:szCs w:val="19"/>
        </w:rPr>
        <w:tab/>
      </w:r>
      <w:r w:rsidR="00533C9A" w:rsidRPr="008916B4">
        <w:rPr>
          <w:sz w:val="19"/>
          <w:szCs w:val="19"/>
        </w:rPr>
        <w:t>21</w:t>
      </w:r>
    </w:p>
    <w:p w:rsidR="00686DB5" w:rsidRPr="008916B4" w:rsidRDefault="00686DB5"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15</w:t>
      </w:r>
      <w:r w:rsidRPr="008916B4">
        <w:rPr>
          <w:sz w:val="19"/>
          <w:szCs w:val="19"/>
        </w:rPr>
        <w:tab/>
      </w:r>
      <w:r w:rsidRPr="008916B4">
        <w:rPr>
          <w:sz w:val="19"/>
          <w:szCs w:val="19"/>
        </w:rPr>
        <w:tab/>
        <w:t>Freedom</w:t>
      </w:r>
      <w:r w:rsidR="00C63F8F" w:rsidRPr="008916B4">
        <w:rPr>
          <w:sz w:val="19"/>
          <w:szCs w:val="19"/>
        </w:rPr>
        <w:t xml:space="preserve"> </w:t>
      </w:r>
      <w:r w:rsidRPr="008916B4">
        <w:rPr>
          <w:sz w:val="19"/>
          <w:szCs w:val="19"/>
        </w:rPr>
        <w:t>from</w:t>
      </w:r>
      <w:r w:rsidR="00C63F8F" w:rsidRPr="008916B4">
        <w:rPr>
          <w:sz w:val="19"/>
          <w:szCs w:val="19"/>
        </w:rPr>
        <w:t xml:space="preserve"> </w:t>
      </w:r>
      <w:r w:rsidRPr="008916B4">
        <w:rPr>
          <w:sz w:val="19"/>
          <w:szCs w:val="19"/>
        </w:rPr>
        <w:t>torture</w:t>
      </w:r>
      <w:r w:rsidR="00C63F8F" w:rsidRPr="008916B4">
        <w:rPr>
          <w:sz w:val="19"/>
          <w:szCs w:val="19"/>
        </w:rPr>
        <w:t xml:space="preserve"> </w:t>
      </w:r>
      <w:r w:rsidRPr="008916B4">
        <w:rPr>
          <w:sz w:val="19"/>
          <w:szCs w:val="19"/>
        </w:rPr>
        <w:t>or</w:t>
      </w:r>
      <w:r w:rsidR="00C63F8F" w:rsidRPr="008916B4">
        <w:rPr>
          <w:sz w:val="19"/>
          <w:szCs w:val="19"/>
        </w:rPr>
        <w:t xml:space="preserve"> </w:t>
      </w:r>
      <w:r w:rsidRPr="008916B4">
        <w:rPr>
          <w:sz w:val="19"/>
          <w:szCs w:val="19"/>
        </w:rPr>
        <w:t>cruel,</w:t>
      </w:r>
      <w:r w:rsidR="00C63F8F" w:rsidRPr="008916B4">
        <w:rPr>
          <w:sz w:val="19"/>
          <w:szCs w:val="19"/>
        </w:rPr>
        <w:t xml:space="preserve"> </w:t>
      </w:r>
      <w:r w:rsidRPr="008916B4">
        <w:rPr>
          <w:sz w:val="19"/>
          <w:szCs w:val="19"/>
        </w:rPr>
        <w:t>inhuman</w:t>
      </w:r>
      <w:r w:rsidR="00C63F8F" w:rsidRPr="008916B4">
        <w:rPr>
          <w:sz w:val="19"/>
          <w:szCs w:val="19"/>
        </w:rPr>
        <w:t xml:space="preserve"> </w:t>
      </w:r>
      <w:r w:rsidRPr="008916B4">
        <w:rPr>
          <w:sz w:val="19"/>
          <w:szCs w:val="19"/>
        </w:rPr>
        <w:t>or</w:t>
      </w:r>
      <w:r w:rsidR="00C63F8F" w:rsidRPr="008916B4">
        <w:rPr>
          <w:sz w:val="19"/>
          <w:szCs w:val="19"/>
        </w:rPr>
        <w:t xml:space="preserve"> </w:t>
      </w:r>
      <w:r w:rsidRPr="008916B4">
        <w:rPr>
          <w:sz w:val="19"/>
          <w:szCs w:val="19"/>
        </w:rPr>
        <w:t>degrading</w:t>
      </w:r>
      <w:r w:rsidR="00C63F8F" w:rsidRPr="008916B4">
        <w:rPr>
          <w:sz w:val="19"/>
          <w:szCs w:val="19"/>
        </w:rPr>
        <w:t xml:space="preserve"> </w:t>
      </w:r>
      <w:r w:rsidRPr="008916B4">
        <w:rPr>
          <w:sz w:val="19"/>
          <w:szCs w:val="19"/>
        </w:rPr>
        <w:t>treatment</w:t>
      </w:r>
      <w:r w:rsidR="00C63F8F" w:rsidRPr="008916B4">
        <w:rPr>
          <w:sz w:val="19"/>
          <w:szCs w:val="19"/>
        </w:rPr>
        <w:t xml:space="preserve"> </w:t>
      </w:r>
      <w:r w:rsidR="007E00DE" w:rsidRPr="008916B4">
        <w:rPr>
          <w:sz w:val="19"/>
          <w:szCs w:val="19"/>
        </w:rPr>
        <w:t>or</w:t>
      </w:r>
      <w:r w:rsidR="00C63F8F" w:rsidRPr="008916B4">
        <w:rPr>
          <w:sz w:val="19"/>
          <w:szCs w:val="19"/>
        </w:rPr>
        <w:t xml:space="preserve"> </w:t>
      </w:r>
      <w:r w:rsidR="007E00DE" w:rsidRPr="008916B4">
        <w:rPr>
          <w:sz w:val="19"/>
          <w:szCs w:val="19"/>
        </w:rPr>
        <w:t>punishment</w:t>
      </w:r>
      <w:r w:rsidRPr="008916B4">
        <w:rPr>
          <w:sz w:val="19"/>
          <w:szCs w:val="19"/>
        </w:rPr>
        <w:tab/>
      </w:r>
      <w:r w:rsidR="000F0A76" w:rsidRPr="008916B4">
        <w:rPr>
          <w:sz w:val="19"/>
          <w:szCs w:val="19"/>
        </w:rPr>
        <w:t>121-123</w:t>
      </w:r>
      <w:r w:rsidRPr="008916B4">
        <w:rPr>
          <w:sz w:val="19"/>
          <w:szCs w:val="19"/>
        </w:rPr>
        <w:tab/>
      </w:r>
      <w:r w:rsidR="00533C9A" w:rsidRPr="008916B4">
        <w:rPr>
          <w:sz w:val="19"/>
          <w:szCs w:val="19"/>
        </w:rPr>
        <w:t>22</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16</w:t>
      </w:r>
      <w:r w:rsidRPr="008916B4">
        <w:rPr>
          <w:sz w:val="19"/>
          <w:szCs w:val="19"/>
        </w:rPr>
        <w:tab/>
      </w:r>
      <w:r w:rsidRPr="008916B4">
        <w:rPr>
          <w:sz w:val="19"/>
          <w:szCs w:val="19"/>
        </w:rPr>
        <w:tab/>
        <w:t>Freedom</w:t>
      </w:r>
      <w:r w:rsidR="00C63F8F" w:rsidRPr="008916B4">
        <w:rPr>
          <w:sz w:val="19"/>
          <w:szCs w:val="19"/>
        </w:rPr>
        <w:t xml:space="preserve"> </w:t>
      </w:r>
      <w:r w:rsidRPr="008916B4">
        <w:rPr>
          <w:sz w:val="19"/>
          <w:szCs w:val="19"/>
        </w:rPr>
        <w:t>from</w:t>
      </w:r>
      <w:r w:rsidR="00C63F8F" w:rsidRPr="008916B4">
        <w:rPr>
          <w:sz w:val="19"/>
          <w:szCs w:val="19"/>
        </w:rPr>
        <w:t xml:space="preserve"> </w:t>
      </w:r>
      <w:r w:rsidRPr="008916B4">
        <w:rPr>
          <w:sz w:val="19"/>
          <w:szCs w:val="19"/>
        </w:rPr>
        <w:t>exploitation,</w:t>
      </w:r>
      <w:r w:rsidR="00C63F8F" w:rsidRPr="008916B4">
        <w:rPr>
          <w:sz w:val="19"/>
          <w:szCs w:val="19"/>
        </w:rPr>
        <w:t xml:space="preserve"> </w:t>
      </w:r>
      <w:r w:rsidRPr="008916B4">
        <w:rPr>
          <w:sz w:val="19"/>
          <w:szCs w:val="19"/>
        </w:rPr>
        <w:t>violence</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abuse</w:t>
      </w:r>
      <w:r w:rsidRPr="008916B4">
        <w:rPr>
          <w:sz w:val="19"/>
          <w:szCs w:val="19"/>
        </w:rPr>
        <w:tab/>
      </w:r>
      <w:r w:rsidR="000F0A76" w:rsidRPr="008916B4">
        <w:rPr>
          <w:sz w:val="19"/>
          <w:szCs w:val="19"/>
        </w:rPr>
        <w:t>124-132</w:t>
      </w:r>
      <w:r w:rsidRPr="008916B4">
        <w:rPr>
          <w:sz w:val="19"/>
          <w:szCs w:val="19"/>
        </w:rPr>
        <w:tab/>
      </w:r>
      <w:r w:rsidR="00533C9A" w:rsidRPr="008916B4">
        <w:rPr>
          <w:sz w:val="19"/>
          <w:szCs w:val="19"/>
        </w:rPr>
        <w:t>22</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17</w:t>
      </w:r>
      <w:r w:rsidRPr="008916B4">
        <w:rPr>
          <w:sz w:val="19"/>
          <w:szCs w:val="19"/>
        </w:rPr>
        <w:tab/>
      </w:r>
      <w:r w:rsidRPr="008916B4">
        <w:rPr>
          <w:sz w:val="19"/>
          <w:szCs w:val="19"/>
        </w:rPr>
        <w:tab/>
        <w:t>Protecting</w:t>
      </w:r>
      <w:r w:rsidR="00C63F8F" w:rsidRPr="008916B4">
        <w:rPr>
          <w:sz w:val="19"/>
          <w:szCs w:val="19"/>
        </w:rPr>
        <w:t xml:space="preserve"> </w:t>
      </w:r>
      <w:r w:rsidRPr="008916B4">
        <w:rPr>
          <w:sz w:val="19"/>
          <w:szCs w:val="19"/>
        </w:rPr>
        <w:t>the</w:t>
      </w:r>
      <w:r w:rsidR="00C63F8F" w:rsidRPr="008916B4">
        <w:rPr>
          <w:sz w:val="19"/>
          <w:szCs w:val="19"/>
        </w:rPr>
        <w:t xml:space="preserve"> </w:t>
      </w:r>
      <w:r w:rsidRPr="008916B4">
        <w:rPr>
          <w:sz w:val="19"/>
          <w:szCs w:val="19"/>
        </w:rPr>
        <w:t>integrity</w:t>
      </w:r>
      <w:r w:rsidR="00C63F8F" w:rsidRPr="008916B4">
        <w:rPr>
          <w:sz w:val="19"/>
          <w:szCs w:val="19"/>
        </w:rPr>
        <w:t xml:space="preserve"> </w:t>
      </w:r>
      <w:r w:rsidRPr="008916B4">
        <w:rPr>
          <w:sz w:val="19"/>
          <w:szCs w:val="19"/>
        </w:rPr>
        <w:t>of</w:t>
      </w:r>
      <w:r w:rsidR="00C63F8F" w:rsidRPr="008916B4">
        <w:rPr>
          <w:sz w:val="19"/>
          <w:szCs w:val="19"/>
        </w:rPr>
        <w:t xml:space="preserve"> </w:t>
      </w:r>
      <w:r w:rsidRPr="008916B4">
        <w:rPr>
          <w:sz w:val="19"/>
          <w:szCs w:val="19"/>
        </w:rPr>
        <w:t>the</w:t>
      </w:r>
      <w:r w:rsidR="00C63F8F" w:rsidRPr="008916B4">
        <w:rPr>
          <w:sz w:val="19"/>
          <w:szCs w:val="19"/>
        </w:rPr>
        <w:t xml:space="preserve"> </w:t>
      </w:r>
      <w:r w:rsidRPr="008916B4">
        <w:rPr>
          <w:sz w:val="19"/>
          <w:szCs w:val="19"/>
        </w:rPr>
        <w:t>person</w:t>
      </w:r>
      <w:r w:rsidRPr="008916B4">
        <w:rPr>
          <w:sz w:val="19"/>
          <w:szCs w:val="19"/>
        </w:rPr>
        <w:tab/>
      </w:r>
      <w:r w:rsidR="008F3C6A" w:rsidRPr="008916B4">
        <w:rPr>
          <w:sz w:val="19"/>
          <w:szCs w:val="19"/>
        </w:rPr>
        <w:t>133-142</w:t>
      </w:r>
      <w:r w:rsidRPr="008916B4">
        <w:rPr>
          <w:sz w:val="19"/>
          <w:szCs w:val="19"/>
        </w:rPr>
        <w:tab/>
      </w:r>
      <w:r w:rsidR="00533C9A" w:rsidRPr="008916B4">
        <w:rPr>
          <w:sz w:val="19"/>
          <w:szCs w:val="19"/>
        </w:rPr>
        <w:t>24</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18</w:t>
      </w:r>
      <w:r w:rsidRPr="008916B4">
        <w:rPr>
          <w:sz w:val="19"/>
          <w:szCs w:val="19"/>
        </w:rPr>
        <w:tab/>
      </w:r>
      <w:r w:rsidRPr="008916B4">
        <w:rPr>
          <w:sz w:val="19"/>
          <w:szCs w:val="19"/>
        </w:rPr>
        <w:tab/>
      </w:r>
      <w:smartTag w:uri="urn:schemas-microsoft-com:office:smarttags" w:element="City">
        <w:smartTag w:uri="urn:schemas-microsoft-com:office:smarttags" w:element="place">
          <w:r w:rsidRPr="008916B4">
            <w:rPr>
              <w:sz w:val="19"/>
              <w:szCs w:val="19"/>
            </w:rPr>
            <w:t>Liberty</w:t>
          </w:r>
        </w:smartTag>
      </w:smartTag>
      <w:r w:rsidR="00C63F8F" w:rsidRPr="008916B4">
        <w:rPr>
          <w:sz w:val="19"/>
          <w:szCs w:val="19"/>
        </w:rPr>
        <w:t xml:space="preserve"> </w:t>
      </w:r>
      <w:r w:rsidRPr="008916B4">
        <w:rPr>
          <w:sz w:val="19"/>
          <w:szCs w:val="19"/>
        </w:rPr>
        <w:t>of</w:t>
      </w:r>
      <w:r w:rsidR="00C63F8F" w:rsidRPr="008916B4">
        <w:rPr>
          <w:sz w:val="19"/>
          <w:szCs w:val="19"/>
        </w:rPr>
        <w:t xml:space="preserve"> </w:t>
      </w:r>
      <w:r w:rsidRPr="008916B4">
        <w:rPr>
          <w:sz w:val="19"/>
          <w:szCs w:val="19"/>
        </w:rPr>
        <w:t>movement</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nationality</w:t>
      </w:r>
      <w:r w:rsidRPr="008916B4">
        <w:rPr>
          <w:sz w:val="19"/>
          <w:szCs w:val="19"/>
        </w:rPr>
        <w:tab/>
      </w:r>
      <w:r w:rsidR="008F3C6A" w:rsidRPr="008916B4">
        <w:rPr>
          <w:sz w:val="19"/>
          <w:szCs w:val="19"/>
        </w:rPr>
        <w:t>143-149</w:t>
      </w:r>
      <w:r w:rsidR="008916B4">
        <w:rPr>
          <w:sz w:val="19"/>
          <w:szCs w:val="19"/>
        </w:rPr>
        <w:tab/>
      </w:r>
      <w:r w:rsidR="00533C9A" w:rsidRPr="008916B4">
        <w:rPr>
          <w:sz w:val="19"/>
          <w:szCs w:val="19"/>
        </w:rPr>
        <w:t>25</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19</w:t>
      </w:r>
      <w:r w:rsidRPr="008916B4">
        <w:rPr>
          <w:sz w:val="19"/>
          <w:szCs w:val="19"/>
        </w:rPr>
        <w:tab/>
      </w:r>
      <w:r w:rsidRPr="008916B4">
        <w:rPr>
          <w:sz w:val="19"/>
          <w:szCs w:val="19"/>
        </w:rPr>
        <w:tab/>
        <w:t>Living</w:t>
      </w:r>
      <w:r w:rsidR="00C63F8F" w:rsidRPr="008916B4">
        <w:rPr>
          <w:sz w:val="19"/>
          <w:szCs w:val="19"/>
        </w:rPr>
        <w:t xml:space="preserve"> </w:t>
      </w:r>
      <w:r w:rsidRPr="008916B4">
        <w:rPr>
          <w:sz w:val="19"/>
          <w:szCs w:val="19"/>
        </w:rPr>
        <w:t>independently</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being</w:t>
      </w:r>
      <w:r w:rsidR="00C63F8F" w:rsidRPr="008916B4">
        <w:rPr>
          <w:sz w:val="19"/>
          <w:szCs w:val="19"/>
        </w:rPr>
        <w:t xml:space="preserve"> </w:t>
      </w:r>
      <w:r w:rsidRPr="008916B4">
        <w:rPr>
          <w:sz w:val="19"/>
          <w:szCs w:val="19"/>
        </w:rPr>
        <w:t>included</w:t>
      </w:r>
      <w:r w:rsidR="00C63F8F" w:rsidRPr="008916B4">
        <w:rPr>
          <w:sz w:val="19"/>
          <w:szCs w:val="19"/>
        </w:rPr>
        <w:t xml:space="preserve"> </w:t>
      </w:r>
      <w:r w:rsidRPr="008916B4">
        <w:rPr>
          <w:sz w:val="19"/>
          <w:szCs w:val="19"/>
        </w:rPr>
        <w:t>in</w:t>
      </w:r>
      <w:r w:rsidR="00C63F8F" w:rsidRPr="008916B4">
        <w:rPr>
          <w:sz w:val="19"/>
          <w:szCs w:val="19"/>
        </w:rPr>
        <w:t xml:space="preserve"> </w:t>
      </w:r>
      <w:r w:rsidRPr="008916B4">
        <w:rPr>
          <w:sz w:val="19"/>
          <w:szCs w:val="19"/>
        </w:rPr>
        <w:t>the</w:t>
      </w:r>
      <w:r w:rsidR="00C63F8F" w:rsidRPr="008916B4">
        <w:rPr>
          <w:sz w:val="19"/>
          <w:szCs w:val="19"/>
        </w:rPr>
        <w:t xml:space="preserve"> </w:t>
      </w:r>
      <w:r w:rsidRPr="008916B4">
        <w:rPr>
          <w:sz w:val="19"/>
          <w:szCs w:val="19"/>
        </w:rPr>
        <w:t>community</w:t>
      </w:r>
      <w:r w:rsidRPr="008916B4">
        <w:rPr>
          <w:sz w:val="19"/>
          <w:szCs w:val="19"/>
        </w:rPr>
        <w:tab/>
      </w:r>
      <w:r w:rsidR="008F3C6A" w:rsidRPr="008916B4">
        <w:rPr>
          <w:sz w:val="19"/>
          <w:szCs w:val="19"/>
        </w:rPr>
        <w:t>150-158</w:t>
      </w:r>
      <w:r w:rsidR="008F3C6A" w:rsidRPr="008916B4">
        <w:rPr>
          <w:sz w:val="19"/>
          <w:szCs w:val="19"/>
        </w:rPr>
        <w:tab/>
      </w:r>
      <w:r w:rsidR="00533C9A" w:rsidRPr="008916B4">
        <w:rPr>
          <w:sz w:val="19"/>
          <w:szCs w:val="19"/>
        </w:rPr>
        <w:t>26</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20</w:t>
      </w:r>
      <w:r w:rsidRPr="008916B4">
        <w:rPr>
          <w:sz w:val="19"/>
          <w:szCs w:val="19"/>
        </w:rPr>
        <w:tab/>
      </w:r>
      <w:r w:rsidRPr="008916B4">
        <w:rPr>
          <w:sz w:val="19"/>
          <w:szCs w:val="19"/>
        </w:rPr>
        <w:tab/>
        <w:t>Personal</w:t>
      </w:r>
      <w:r w:rsidR="00C63F8F" w:rsidRPr="008916B4">
        <w:rPr>
          <w:sz w:val="19"/>
          <w:szCs w:val="19"/>
        </w:rPr>
        <w:t xml:space="preserve"> </w:t>
      </w:r>
      <w:r w:rsidRPr="008916B4">
        <w:rPr>
          <w:sz w:val="19"/>
          <w:szCs w:val="19"/>
        </w:rPr>
        <w:t>mobility</w:t>
      </w:r>
      <w:r w:rsidRPr="008916B4">
        <w:rPr>
          <w:sz w:val="19"/>
          <w:szCs w:val="19"/>
        </w:rPr>
        <w:tab/>
      </w:r>
      <w:r w:rsidR="008F3C6A" w:rsidRPr="008916B4">
        <w:rPr>
          <w:sz w:val="19"/>
          <w:szCs w:val="19"/>
        </w:rPr>
        <w:t>159-165</w:t>
      </w:r>
      <w:r w:rsidRPr="008916B4">
        <w:rPr>
          <w:sz w:val="19"/>
          <w:szCs w:val="19"/>
        </w:rPr>
        <w:tab/>
      </w:r>
      <w:r w:rsidR="00533C9A" w:rsidRPr="008916B4">
        <w:rPr>
          <w:sz w:val="19"/>
          <w:szCs w:val="19"/>
        </w:rPr>
        <w:t>28</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21</w:t>
      </w:r>
      <w:r w:rsidRPr="008916B4">
        <w:rPr>
          <w:sz w:val="19"/>
          <w:szCs w:val="19"/>
        </w:rPr>
        <w:tab/>
      </w:r>
      <w:r w:rsidRPr="008916B4">
        <w:rPr>
          <w:sz w:val="19"/>
          <w:szCs w:val="19"/>
        </w:rPr>
        <w:tab/>
        <w:t>Freedom</w:t>
      </w:r>
      <w:r w:rsidR="00C63F8F" w:rsidRPr="008916B4">
        <w:rPr>
          <w:sz w:val="19"/>
          <w:szCs w:val="19"/>
        </w:rPr>
        <w:t xml:space="preserve"> </w:t>
      </w:r>
      <w:r w:rsidRPr="008916B4">
        <w:rPr>
          <w:sz w:val="19"/>
          <w:szCs w:val="19"/>
        </w:rPr>
        <w:t>of</w:t>
      </w:r>
      <w:r w:rsidR="00C63F8F" w:rsidRPr="008916B4">
        <w:rPr>
          <w:sz w:val="19"/>
          <w:szCs w:val="19"/>
        </w:rPr>
        <w:t xml:space="preserve"> </w:t>
      </w:r>
      <w:r w:rsidRPr="008916B4">
        <w:rPr>
          <w:sz w:val="19"/>
          <w:szCs w:val="19"/>
        </w:rPr>
        <w:t>expression</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opinion,</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access</w:t>
      </w:r>
      <w:r w:rsidR="00C63F8F" w:rsidRPr="008916B4">
        <w:rPr>
          <w:sz w:val="19"/>
          <w:szCs w:val="19"/>
        </w:rPr>
        <w:t xml:space="preserve"> </w:t>
      </w:r>
      <w:r w:rsidRPr="008916B4">
        <w:rPr>
          <w:sz w:val="19"/>
          <w:szCs w:val="19"/>
        </w:rPr>
        <w:t>to</w:t>
      </w:r>
      <w:r w:rsidR="00C63F8F" w:rsidRPr="008916B4">
        <w:rPr>
          <w:sz w:val="19"/>
          <w:szCs w:val="19"/>
        </w:rPr>
        <w:t xml:space="preserve"> </w:t>
      </w:r>
      <w:r w:rsidRPr="008916B4">
        <w:rPr>
          <w:sz w:val="19"/>
          <w:szCs w:val="19"/>
        </w:rPr>
        <w:t>information</w:t>
      </w:r>
      <w:r w:rsidRPr="008916B4">
        <w:rPr>
          <w:sz w:val="19"/>
          <w:szCs w:val="19"/>
        </w:rPr>
        <w:tab/>
      </w:r>
      <w:r w:rsidR="008F3C6A" w:rsidRPr="008916B4">
        <w:rPr>
          <w:sz w:val="19"/>
          <w:szCs w:val="19"/>
        </w:rPr>
        <w:t>166-170</w:t>
      </w:r>
      <w:r w:rsidRPr="008916B4">
        <w:rPr>
          <w:sz w:val="19"/>
          <w:szCs w:val="19"/>
        </w:rPr>
        <w:tab/>
      </w:r>
      <w:r w:rsidR="00533C9A" w:rsidRPr="008916B4">
        <w:rPr>
          <w:sz w:val="19"/>
          <w:szCs w:val="19"/>
        </w:rPr>
        <w:t>29</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22</w:t>
      </w:r>
      <w:r w:rsidRPr="008916B4">
        <w:rPr>
          <w:sz w:val="19"/>
          <w:szCs w:val="19"/>
        </w:rPr>
        <w:tab/>
      </w:r>
      <w:r w:rsidRPr="008916B4">
        <w:rPr>
          <w:sz w:val="19"/>
          <w:szCs w:val="19"/>
        </w:rPr>
        <w:tab/>
        <w:t>Respect</w:t>
      </w:r>
      <w:r w:rsidR="00C63F8F" w:rsidRPr="008916B4">
        <w:rPr>
          <w:sz w:val="19"/>
          <w:szCs w:val="19"/>
        </w:rPr>
        <w:t xml:space="preserve"> </w:t>
      </w:r>
      <w:r w:rsidRPr="008916B4">
        <w:rPr>
          <w:sz w:val="19"/>
          <w:szCs w:val="19"/>
        </w:rPr>
        <w:t>for</w:t>
      </w:r>
      <w:r w:rsidR="00C63F8F" w:rsidRPr="008916B4">
        <w:rPr>
          <w:sz w:val="19"/>
          <w:szCs w:val="19"/>
        </w:rPr>
        <w:t xml:space="preserve"> </w:t>
      </w:r>
      <w:r w:rsidRPr="008916B4">
        <w:rPr>
          <w:sz w:val="19"/>
          <w:szCs w:val="19"/>
        </w:rPr>
        <w:t>privacy</w:t>
      </w:r>
      <w:r w:rsidRPr="008916B4">
        <w:rPr>
          <w:sz w:val="19"/>
          <w:szCs w:val="19"/>
        </w:rPr>
        <w:tab/>
      </w:r>
      <w:r w:rsidR="008F3C6A" w:rsidRPr="008916B4">
        <w:rPr>
          <w:sz w:val="19"/>
          <w:szCs w:val="19"/>
        </w:rPr>
        <w:t>171</w:t>
      </w:r>
      <w:r w:rsidRPr="008916B4">
        <w:rPr>
          <w:sz w:val="19"/>
          <w:szCs w:val="19"/>
        </w:rPr>
        <w:tab/>
      </w:r>
      <w:r w:rsidR="00533C9A" w:rsidRPr="008916B4">
        <w:rPr>
          <w:sz w:val="19"/>
          <w:szCs w:val="19"/>
        </w:rPr>
        <w:t>30</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23</w:t>
      </w:r>
      <w:r w:rsidRPr="008916B4">
        <w:rPr>
          <w:sz w:val="19"/>
          <w:szCs w:val="19"/>
        </w:rPr>
        <w:tab/>
      </w:r>
      <w:r w:rsidRPr="008916B4">
        <w:rPr>
          <w:sz w:val="19"/>
          <w:szCs w:val="19"/>
        </w:rPr>
        <w:tab/>
        <w:t>Respect</w:t>
      </w:r>
      <w:r w:rsidR="00C63F8F" w:rsidRPr="008916B4">
        <w:rPr>
          <w:sz w:val="19"/>
          <w:szCs w:val="19"/>
        </w:rPr>
        <w:t xml:space="preserve"> </w:t>
      </w:r>
      <w:r w:rsidRPr="008916B4">
        <w:rPr>
          <w:sz w:val="19"/>
          <w:szCs w:val="19"/>
        </w:rPr>
        <w:t>for</w:t>
      </w:r>
      <w:r w:rsidR="00C63F8F" w:rsidRPr="008916B4">
        <w:rPr>
          <w:sz w:val="19"/>
          <w:szCs w:val="19"/>
        </w:rPr>
        <w:t xml:space="preserve"> </w:t>
      </w:r>
      <w:r w:rsidRPr="008916B4">
        <w:rPr>
          <w:sz w:val="19"/>
          <w:szCs w:val="19"/>
        </w:rPr>
        <w:t>home</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the</w:t>
      </w:r>
      <w:r w:rsidR="00C63F8F" w:rsidRPr="008916B4">
        <w:rPr>
          <w:sz w:val="19"/>
          <w:szCs w:val="19"/>
        </w:rPr>
        <w:t xml:space="preserve"> </w:t>
      </w:r>
      <w:r w:rsidRPr="008916B4">
        <w:rPr>
          <w:sz w:val="19"/>
          <w:szCs w:val="19"/>
        </w:rPr>
        <w:t>family</w:t>
      </w:r>
      <w:r w:rsidRPr="008916B4">
        <w:rPr>
          <w:sz w:val="19"/>
          <w:szCs w:val="19"/>
        </w:rPr>
        <w:tab/>
      </w:r>
      <w:r w:rsidR="008F3C6A" w:rsidRPr="008916B4">
        <w:rPr>
          <w:sz w:val="19"/>
          <w:szCs w:val="19"/>
        </w:rPr>
        <w:t>172-183</w:t>
      </w:r>
      <w:r w:rsidRPr="008916B4">
        <w:rPr>
          <w:sz w:val="19"/>
          <w:szCs w:val="19"/>
        </w:rPr>
        <w:tab/>
      </w:r>
      <w:r w:rsidR="00533C9A" w:rsidRPr="008916B4">
        <w:rPr>
          <w:sz w:val="19"/>
          <w:szCs w:val="19"/>
        </w:rPr>
        <w:t>30</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24</w:t>
      </w:r>
      <w:r w:rsidRPr="008916B4">
        <w:rPr>
          <w:sz w:val="19"/>
          <w:szCs w:val="19"/>
        </w:rPr>
        <w:tab/>
      </w:r>
      <w:r w:rsidRPr="008916B4">
        <w:rPr>
          <w:sz w:val="19"/>
          <w:szCs w:val="19"/>
        </w:rPr>
        <w:tab/>
        <w:t>Education</w:t>
      </w:r>
      <w:r w:rsidRPr="008916B4">
        <w:rPr>
          <w:sz w:val="19"/>
          <w:szCs w:val="19"/>
        </w:rPr>
        <w:tab/>
      </w:r>
      <w:r w:rsidR="008F3C6A" w:rsidRPr="008916B4">
        <w:rPr>
          <w:sz w:val="19"/>
          <w:szCs w:val="19"/>
        </w:rPr>
        <w:t>184-214</w:t>
      </w:r>
      <w:r w:rsidRPr="008916B4">
        <w:rPr>
          <w:sz w:val="19"/>
          <w:szCs w:val="19"/>
        </w:rPr>
        <w:tab/>
      </w:r>
      <w:r w:rsidR="00533C9A" w:rsidRPr="008916B4">
        <w:rPr>
          <w:sz w:val="19"/>
          <w:szCs w:val="19"/>
        </w:rPr>
        <w:t>32</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25</w:t>
      </w:r>
      <w:r w:rsidRPr="008916B4">
        <w:rPr>
          <w:sz w:val="19"/>
          <w:szCs w:val="19"/>
        </w:rPr>
        <w:tab/>
      </w:r>
      <w:r w:rsidRPr="008916B4">
        <w:rPr>
          <w:sz w:val="19"/>
          <w:szCs w:val="19"/>
        </w:rPr>
        <w:tab/>
        <w:t>Health</w:t>
      </w:r>
      <w:r w:rsidRPr="008916B4">
        <w:rPr>
          <w:sz w:val="19"/>
          <w:szCs w:val="19"/>
        </w:rPr>
        <w:tab/>
      </w:r>
      <w:r w:rsidR="008F3C6A" w:rsidRPr="008916B4">
        <w:rPr>
          <w:sz w:val="19"/>
          <w:szCs w:val="19"/>
        </w:rPr>
        <w:t>215-223</w:t>
      </w:r>
      <w:r w:rsidRPr="008916B4">
        <w:rPr>
          <w:sz w:val="19"/>
          <w:szCs w:val="19"/>
        </w:rPr>
        <w:tab/>
      </w:r>
      <w:r w:rsidR="00533C9A" w:rsidRPr="008916B4">
        <w:rPr>
          <w:sz w:val="19"/>
          <w:szCs w:val="19"/>
        </w:rPr>
        <w:t>36</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26</w:t>
      </w:r>
      <w:r w:rsidRPr="008916B4">
        <w:rPr>
          <w:sz w:val="19"/>
          <w:szCs w:val="19"/>
        </w:rPr>
        <w:tab/>
      </w:r>
      <w:r w:rsidRPr="008916B4">
        <w:rPr>
          <w:sz w:val="19"/>
          <w:szCs w:val="19"/>
        </w:rPr>
        <w:tab/>
        <w:t>Habilitation</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rehabilitation</w:t>
      </w:r>
      <w:r w:rsidRPr="008916B4">
        <w:rPr>
          <w:sz w:val="19"/>
          <w:szCs w:val="19"/>
        </w:rPr>
        <w:tab/>
      </w:r>
      <w:r w:rsidR="008F3C6A" w:rsidRPr="008916B4">
        <w:rPr>
          <w:sz w:val="19"/>
          <w:szCs w:val="19"/>
        </w:rPr>
        <w:t>224-235</w:t>
      </w:r>
      <w:r w:rsidRPr="008916B4">
        <w:rPr>
          <w:sz w:val="19"/>
          <w:szCs w:val="19"/>
        </w:rPr>
        <w:tab/>
      </w:r>
      <w:r w:rsidR="00533C9A" w:rsidRPr="008916B4">
        <w:rPr>
          <w:sz w:val="19"/>
          <w:szCs w:val="19"/>
        </w:rPr>
        <w:t>38</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27</w:t>
      </w:r>
      <w:r w:rsidRPr="008916B4">
        <w:rPr>
          <w:sz w:val="19"/>
          <w:szCs w:val="19"/>
        </w:rPr>
        <w:tab/>
      </w:r>
      <w:r w:rsidRPr="008916B4">
        <w:rPr>
          <w:sz w:val="19"/>
          <w:szCs w:val="19"/>
        </w:rPr>
        <w:tab/>
        <w:t>Work</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employment</w:t>
      </w:r>
      <w:r w:rsidRPr="008916B4">
        <w:rPr>
          <w:sz w:val="19"/>
          <w:szCs w:val="19"/>
        </w:rPr>
        <w:tab/>
      </w:r>
      <w:r w:rsidR="008F3C6A" w:rsidRPr="008916B4">
        <w:rPr>
          <w:sz w:val="19"/>
          <w:szCs w:val="19"/>
        </w:rPr>
        <w:t>236-266</w:t>
      </w:r>
      <w:r w:rsidRPr="008916B4">
        <w:rPr>
          <w:sz w:val="19"/>
          <w:szCs w:val="19"/>
        </w:rPr>
        <w:tab/>
      </w:r>
      <w:r w:rsidR="00533C9A" w:rsidRPr="008916B4">
        <w:rPr>
          <w:sz w:val="19"/>
          <w:szCs w:val="19"/>
        </w:rPr>
        <w:t>39</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28</w:t>
      </w:r>
      <w:r w:rsidRPr="008916B4">
        <w:rPr>
          <w:sz w:val="19"/>
          <w:szCs w:val="19"/>
        </w:rPr>
        <w:tab/>
      </w:r>
      <w:r w:rsidRPr="008916B4">
        <w:rPr>
          <w:sz w:val="19"/>
          <w:szCs w:val="19"/>
        </w:rPr>
        <w:tab/>
        <w:t>Adequate</w:t>
      </w:r>
      <w:r w:rsidR="00C63F8F" w:rsidRPr="008916B4">
        <w:rPr>
          <w:sz w:val="19"/>
          <w:szCs w:val="19"/>
        </w:rPr>
        <w:t xml:space="preserve"> </w:t>
      </w:r>
      <w:r w:rsidRPr="008916B4">
        <w:rPr>
          <w:sz w:val="19"/>
          <w:szCs w:val="19"/>
        </w:rPr>
        <w:t>standard</w:t>
      </w:r>
      <w:r w:rsidR="00C63F8F" w:rsidRPr="008916B4">
        <w:rPr>
          <w:sz w:val="19"/>
          <w:szCs w:val="19"/>
        </w:rPr>
        <w:t xml:space="preserve"> </w:t>
      </w:r>
      <w:r w:rsidRPr="008916B4">
        <w:rPr>
          <w:sz w:val="19"/>
          <w:szCs w:val="19"/>
        </w:rPr>
        <w:t>of</w:t>
      </w:r>
      <w:r w:rsidR="00C63F8F" w:rsidRPr="008916B4">
        <w:rPr>
          <w:sz w:val="19"/>
          <w:szCs w:val="19"/>
        </w:rPr>
        <w:t xml:space="preserve"> </w:t>
      </w:r>
      <w:r w:rsidRPr="008916B4">
        <w:rPr>
          <w:sz w:val="19"/>
          <w:szCs w:val="19"/>
        </w:rPr>
        <w:t>living</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social</w:t>
      </w:r>
      <w:r w:rsidR="00C63F8F" w:rsidRPr="008916B4">
        <w:rPr>
          <w:sz w:val="19"/>
          <w:szCs w:val="19"/>
        </w:rPr>
        <w:t xml:space="preserve"> </w:t>
      </w:r>
      <w:r w:rsidRPr="008916B4">
        <w:rPr>
          <w:sz w:val="19"/>
          <w:szCs w:val="19"/>
        </w:rPr>
        <w:t>protection</w:t>
      </w:r>
      <w:r w:rsidRPr="008916B4">
        <w:rPr>
          <w:sz w:val="19"/>
          <w:szCs w:val="19"/>
        </w:rPr>
        <w:tab/>
      </w:r>
      <w:r w:rsidR="008F3C6A" w:rsidRPr="008916B4">
        <w:rPr>
          <w:sz w:val="19"/>
          <w:szCs w:val="19"/>
        </w:rPr>
        <w:t>267-275</w:t>
      </w:r>
      <w:r w:rsidRPr="008916B4">
        <w:rPr>
          <w:sz w:val="19"/>
          <w:szCs w:val="19"/>
        </w:rPr>
        <w:tab/>
      </w:r>
      <w:r w:rsidR="00533C9A" w:rsidRPr="008916B4">
        <w:rPr>
          <w:sz w:val="19"/>
          <w:szCs w:val="19"/>
        </w:rPr>
        <w:t>44</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29</w:t>
      </w:r>
      <w:r w:rsidRPr="008916B4">
        <w:rPr>
          <w:sz w:val="19"/>
          <w:szCs w:val="19"/>
        </w:rPr>
        <w:tab/>
      </w:r>
      <w:r w:rsidRPr="008916B4">
        <w:rPr>
          <w:sz w:val="19"/>
          <w:szCs w:val="19"/>
        </w:rPr>
        <w:tab/>
        <w:t>Participation</w:t>
      </w:r>
      <w:r w:rsidR="00C63F8F" w:rsidRPr="008916B4">
        <w:rPr>
          <w:sz w:val="19"/>
          <w:szCs w:val="19"/>
        </w:rPr>
        <w:t xml:space="preserve"> </w:t>
      </w:r>
      <w:r w:rsidRPr="008916B4">
        <w:rPr>
          <w:sz w:val="19"/>
          <w:szCs w:val="19"/>
        </w:rPr>
        <w:t>in</w:t>
      </w:r>
      <w:r w:rsidR="00C63F8F" w:rsidRPr="008916B4">
        <w:rPr>
          <w:sz w:val="19"/>
          <w:szCs w:val="19"/>
        </w:rPr>
        <w:t xml:space="preserve"> </w:t>
      </w:r>
      <w:r w:rsidRPr="008916B4">
        <w:rPr>
          <w:sz w:val="19"/>
          <w:szCs w:val="19"/>
        </w:rPr>
        <w:t>political</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public</w:t>
      </w:r>
      <w:r w:rsidR="00C63F8F" w:rsidRPr="008916B4">
        <w:rPr>
          <w:sz w:val="19"/>
          <w:szCs w:val="19"/>
        </w:rPr>
        <w:t xml:space="preserve"> </w:t>
      </w:r>
      <w:r w:rsidRPr="008916B4">
        <w:rPr>
          <w:sz w:val="19"/>
          <w:szCs w:val="19"/>
        </w:rPr>
        <w:t>life</w:t>
      </w:r>
      <w:r w:rsidRPr="008916B4">
        <w:rPr>
          <w:sz w:val="19"/>
          <w:szCs w:val="19"/>
        </w:rPr>
        <w:tab/>
      </w:r>
      <w:r w:rsidR="008F3C6A" w:rsidRPr="008916B4">
        <w:rPr>
          <w:sz w:val="19"/>
          <w:szCs w:val="19"/>
        </w:rPr>
        <w:t>276-281</w:t>
      </w:r>
      <w:r w:rsidRPr="008916B4">
        <w:rPr>
          <w:sz w:val="19"/>
          <w:szCs w:val="19"/>
        </w:rPr>
        <w:tab/>
      </w:r>
      <w:r w:rsidR="00533C9A" w:rsidRPr="008916B4">
        <w:rPr>
          <w:sz w:val="19"/>
          <w:szCs w:val="19"/>
        </w:rPr>
        <w:t>46</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30</w:t>
      </w:r>
      <w:r w:rsidRPr="008916B4">
        <w:rPr>
          <w:sz w:val="19"/>
          <w:szCs w:val="19"/>
        </w:rPr>
        <w:tab/>
      </w:r>
      <w:r w:rsidRPr="008916B4">
        <w:rPr>
          <w:sz w:val="19"/>
          <w:szCs w:val="19"/>
        </w:rPr>
        <w:tab/>
        <w:t>Participation</w:t>
      </w:r>
      <w:r w:rsidR="00C63F8F" w:rsidRPr="008916B4">
        <w:rPr>
          <w:sz w:val="19"/>
          <w:szCs w:val="19"/>
        </w:rPr>
        <w:t xml:space="preserve"> </w:t>
      </w:r>
      <w:r w:rsidRPr="008916B4">
        <w:rPr>
          <w:sz w:val="19"/>
          <w:szCs w:val="19"/>
        </w:rPr>
        <w:t>in</w:t>
      </w:r>
      <w:r w:rsidR="00C63F8F" w:rsidRPr="008916B4">
        <w:rPr>
          <w:sz w:val="19"/>
          <w:szCs w:val="19"/>
        </w:rPr>
        <w:t xml:space="preserve"> </w:t>
      </w:r>
      <w:r w:rsidRPr="008916B4">
        <w:rPr>
          <w:sz w:val="19"/>
          <w:szCs w:val="19"/>
        </w:rPr>
        <w:t>cultural</w:t>
      </w:r>
      <w:r w:rsidR="00C63F8F" w:rsidRPr="008916B4">
        <w:rPr>
          <w:sz w:val="19"/>
          <w:szCs w:val="19"/>
        </w:rPr>
        <w:t xml:space="preserve"> </w:t>
      </w:r>
      <w:r w:rsidRPr="008916B4">
        <w:rPr>
          <w:sz w:val="19"/>
          <w:szCs w:val="19"/>
        </w:rPr>
        <w:t>life,</w:t>
      </w:r>
      <w:r w:rsidR="00C63F8F" w:rsidRPr="008916B4">
        <w:rPr>
          <w:sz w:val="19"/>
          <w:szCs w:val="19"/>
        </w:rPr>
        <w:t xml:space="preserve"> </w:t>
      </w:r>
      <w:r w:rsidRPr="008916B4">
        <w:rPr>
          <w:sz w:val="19"/>
          <w:szCs w:val="19"/>
        </w:rPr>
        <w:t>recreation,</w:t>
      </w:r>
      <w:r w:rsidR="00C63F8F" w:rsidRPr="008916B4">
        <w:rPr>
          <w:sz w:val="19"/>
          <w:szCs w:val="19"/>
        </w:rPr>
        <w:t xml:space="preserve"> </w:t>
      </w:r>
      <w:r w:rsidRPr="008916B4">
        <w:rPr>
          <w:sz w:val="19"/>
          <w:szCs w:val="19"/>
        </w:rPr>
        <w:t>leisure</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sport</w:t>
      </w:r>
      <w:r w:rsidRPr="008916B4">
        <w:rPr>
          <w:sz w:val="19"/>
          <w:szCs w:val="19"/>
        </w:rPr>
        <w:tab/>
      </w:r>
      <w:r w:rsidR="008F3C6A" w:rsidRPr="008916B4">
        <w:rPr>
          <w:sz w:val="19"/>
          <w:szCs w:val="19"/>
        </w:rPr>
        <w:t>282-303</w:t>
      </w:r>
      <w:r w:rsidRPr="008916B4">
        <w:rPr>
          <w:sz w:val="19"/>
          <w:szCs w:val="19"/>
        </w:rPr>
        <w:tab/>
      </w:r>
      <w:r w:rsidR="00533C9A" w:rsidRPr="008916B4">
        <w:rPr>
          <w:sz w:val="19"/>
          <w:szCs w:val="19"/>
        </w:rPr>
        <w:t>47</w:t>
      </w:r>
    </w:p>
    <w:p w:rsidR="007E00DE" w:rsidRPr="008916B4" w:rsidRDefault="007E00DE"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t>III.</w:t>
      </w:r>
      <w:r w:rsidRPr="008916B4">
        <w:rPr>
          <w:sz w:val="19"/>
          <w:szCs w:val="19"/>
        </w:rPr>
        <w:tab/>
      </w:r>
      <w:r w:rsidR="00F60372" w:rsidRPr="008916B4">
        <w:rPr>
          <w:sz w:val="19"/>
          <w:szCs w:val="19"/>
        </w:rPr>
        <w:t>The</w:t>
      </w:r>
      <w:r w:rsidR="00C63F8F" w:rsidRPr="008916B4">
        <w:rPr>
          <w:sz w:val="19"/>
          <w:szCs w:val="19"/>
        </w:rPr>
        <w:t xml:space="preserve"> </w:t>
      </w:r>
      <w:r w:rsidR="00F60372" w:rsidRPr="008916B4">
        <w:rPr>
          <w:sz w:val="19"/>
          <w:szCs w:val="19"/>
        </w:rPr>
        <w:t>situation</w:t>
      </w:r>
      <w:r w:rsidR="00C63F8F" w:rsidRPr="008916B4">
        <w:rPr>
          <w:sz w:val="19"/>
          <w:szCs w:val="19"/>
        </w:rPr>
        <w:t xml:space="preserve"> </w:t>
      </w:r>
      <w:r w:rsidR="00F60372" w:rsidRPr="008916B4">
        <w:rPr>
          <w:sz w:val="19"/>
          <w:szCs w:val="19"/>
        </w:rPr>
        <w:t>for</w:t>
      </w:r>
      <w:r w:rsidR="00C63F8F" w:rsidRPr="008916B4">
        <w:rPr>
          <w:sz w:val="19"/>
          <w:szCs w:val="19"/>
        </w:rPr>
        <w:t xml:space="preserve"> </w:t>
      </w:r>
      <w:r w:rsidR="00F60372" w:rsidRPr="008916B4">
        <w:rPr>
          <w:sz w:val="19"/>
          <w:szCs w:val="19"/>
        </w:rPr>
        <w:t>boys,</w:t>
      </w:r>
      <w:r w:rsidR="00C63F8F" w:rsidRPr="008916B4">
        <w:rPr>
          <w:sz w:val="19"/>
          <w:szCs w:val="19"/>
        </w:rPr>
        <w:t xml:space="preserve"> </w:t>
      </w:r>
      <w:r w:rsidR="00F60372" w:rsidRPr="008916B4">
        <w:rPr>
          <w:sz w:val="19"/>
          <w:szCs w:val="19"/>
        </w:rPr>
        <w:t>girls</w:t>
      </w:r>
      <w:r w:rsidR="00C63F8F" w:rsidRPr="008916B4">
        <w:rPr>
          <w:sz w:val="19"/>
          <w:szCs w:val="19"/>
        </w:rPr>
        <w:t xml:space="preserve"> </w:t>
      </w:r>
      <w:r w:rsidR="00F60372" w:rsidRPr="008916B4">
        <w:rPr>
          <w:sz w:val="19"/>
          <w:szCs w:val="19"/>
        </w:rPr>
        <w:t>and</w:t>
      </w:r>
      <w:r w:rsidR="00C63F8F" w:rsidRPr="008916B4">
        <w:rPr>
          <w:sz w:val="19"/>
          <w:szCs w:val="19"/>
        </w:rPr>
        <w:t xml:space="preserve"> </w:t>
      </w:r>
      <w:r w:rsidR="00F60372" w:rsidRPr="008916B4">
        <w:rPr>
          <w:sz w:val="19"/>
          <w:szCs w:val="19"/>
        </w:rPr>
        <w:t>women</w:t>
      </w:r>
      <w:r w:rsidR="00C63F8F" w:rsidRPr="008916B4">
        <w:rPr>
          <w:sz w:val="19"/>
          <w:szCs w:val="19"/>
        </w:rPr>
        <w:t xml:space="preserve"> </w:t>
      </w:r>
      <w:r w:rsidR="00F60372" w:rsidRPr="008916B4">
        <w:rPr>
          <w:sz w:val="19"/>
          <w:szCs w:val="19"/>
        </w:rPr>
        <w:t>with</w:t>
      </w:r>
      <w:r w:rsidR="00C63F8F" w:rsidRPr="008916B4">
        <w:rPr>
          <w:sz w:val="19"/>
          <w:szCs w:val="19"/>
        </w:rPr>
        <w:t xml:space="preserve"> </w:t>
      </w:r>
      <w:r w:rsidR="00F60372" w:rsidRPr="008916B4">
        <w:rPr>
          <w:sz w:val="19"/>
          <w:szCs w:val="19"/>
        </w:rPr>
        <w:t>a</w:t>
      </w:r>
      <w:r w:rsidR="00C63F8F" w:rsidRPr="008916B4">
        <w:rPr>
          <w:sz w:val="19"/>
          <w:szCs w:val="19"/>
        </w:rPr>
        <w:t xml:space="preserve"> </w:t>
      </w:r>
      <w:r w:rsidR="00F60372" w:rsidRPr="008916B4">
        <w:rPr>
          <w:sz w:val="19"/>
          <w:szCs w:val="19"/>
        </w:rPr>
        <w:t>disability</w:t>
      </w:r>
      <w:r w:rsidR="00F60372" w:rsidRPr="008916B4">
        <w:rPr>
          <w:sz w:val="19"/>
          <w:szCs w:val="19"/>
        </w:rPr>
        <w:tab/>
      </w:r>
      <w:r w:rsidR="008F3C6A" w:rsidRPr="008916B4">
        <w:rPr>
          <w:sz w:val="19"/>
          <w:szCs w:val="19"/>
        </w:rPr>
        <w:t>304-329</w:t>
      </w:r>
      <w:r w:rsidR="00F60372" w:rsidRPr="008916B4">
        <w:rPr>
          <w:sz w:val="19"/>
          <w:szCs w:val="19"/>
        </w:rPr>
        <w:tab/>
      </w:r>
      <w:r w:rsidR="00533C9A" w:rsidRPr="008916B4">
        <w:rPr>
          <w:sz w:val="19"/>
          <w:szCs w:val="19"/>
        </w:rPr>
        <w:t>50</w:t>
      </w:r>
    </w:p>
    <w:p w:rsidR="008916B4" w:rsidRPr="00E27443" w:rsidRDefault="008916B4" w:rsidP="008916B4">
      <w:pPr>
        <w:spacing w:after="120"/>
        <w:rPr>
          <w:sz w:val="28"/>
        </w:rPr>
      </w:pPr>
      <w:r>
        <w:rPr>
          <w:sz w:val="28"/>
        </w:rPr>
        <w:br w:type="page"/>
      </w:r>
      <w:r w:rsidRPr="00E27443">
        <w:rPr>
          <w:sz w:val="28"/>
        </w:rPr>
        <w:t>Contents</w:t>
      </w:r>
    </w:p>
    <w:p w:rsidR="008916B4" w:rsidRPr="00E27443" w:rsidRDefault="008916B4" w:rsidP="008916B4">
      <w:pPr>
        <w:tabs>
          <w:tab w:val="right" w:pos="9638"/>
        </w:tabs>
        <w:spacing w:after="120"/>
        <w:ind w:left="283"/>
        <w:rPr>
          <w:sz w:val="18"/>
        </w:rPr>
      </w:pPr>
      <w:r w:rsidRPr="00E27443">
        <w:rPr>
          <w:i/>
          <w:sz w:val="18"/>
        </w:rPr>
        <w:tab/>
      </w:r>
      <w:r>
        <w:rPr>
          <w:i/>
          <w:sz w:val="18"/>
        </w:rPr>
        <w:t xml:space="preserve">Paragraphs   </w:t>
      </w:r>
      <w:r w:rsidRPr="0003497E">
        <w:rPr>
          <w:i/>
          <w:sz w:val="18"/>
        </w:rPr>
        <w:t>Page</w:t>
      </w:r>
    </w:p>
    <w:p w:rsidR="00F60372" w:rsidRPr="008916B4" w:rsidRDefault="00F60372"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6</w:t>
      </w:r>
      <w:r w:rsidRPr="008916B4">
        <w:rPr>
          <w:sz w:val="19"/>
          <w:szCs w:val="19"/>
        </w:rPr>
        <w:tab/>
      </w:r>
      <w:r w:rsidRPr="008916B4">
        <w:rPr>
          <w:sz w:val="19"/>
          <w:szCs w:val="19"/>
        </w:rPr>
        <w:tab/>
        <w:t>Women</w:t>
      </w:r>
      <w:r w:rsidR="00C63F8F" w:rsidRPr="008916B4">
        <w:rPr>
          <w:sz w:val="19"/>
          <w:szCs w:val="19"/>
        </w:rPr>
        <w:t xml:space="preserve"> </w:t>
      </w:r>
      <w:r w:rsidRPr="008916B4">
        <w:rPr>
          <w:sz w:val="19"/>
          <w:szCs w:val="19"/>
        </w:rPr>
        <w:t>with</w:t>
      </w:r>
      <w:r w:rsidR="00C63F8F" w:rsidRPr="008916B4">
        <w:rPr>
          <w:sz w:val="19"/>
          <w:szCs w:val="19"/>
        </w:rPr>
        <w:t xml:space="preserve"> </w:t>
      </w:r>
      <w:r w:rsidRPr="008916B4">
        <w:rPr>
          <w:sz w:val="19"/>
          <w:szCs w:val="19"/>
        </w:rPr>
        <w:t>disabilities</w:t>
      </w:r>
      <w:r w:rsidRPr="008916B4">
        <w:rPr>
          <w:sz w:val="19"/>
          <w:szCs w:val="19"/>
        </w:rPr>
        <w:tab/>
      </w:r>
      <w:r w:rsidR="00FB3B3A" w:rsidRPr="008916B4">
        <w:rPr>
          <w:sz w:val="19"/>
          <w:szCs w:val="19"/>
        </w:rPr>
        <w:t>304-311</w:t>
      </w:r>
      <w:r w:rsidRPr="008916B4">
        <w:rPr>
          <w:sz w:val="19"/>
          <w:szCs w:val="19"/>
        </w:rPr>
        <w:tab/>
      </w:r>
      <w:r w:rsidR="00533C9A" w:rsidRPr="008916B4">
        <w:rPr>
          <w:sz w:val="19"/>
          <w:szCs w:val="19"/>
        </w:rPr>
        <w:t>50</w:t>
      </w:r>
    </w:p>
    <w:p w:rsidR="00F60372" w:rsidRPr="008916B4" w:rsidRDefault="00F60372"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7</w:t>
      </w:r>
      <w:r w:rsidRPr="008916B4">
        <w:rPr>
          <w:sz w:val="19"/>
          <w:szCs w:val="19"/>
        </w:rPr>
        <w:tab/>
      </w:r>
      <w:r w:rsidRPr="008916B4">
        <w:rPr>
          <w:sz w:val="19"/>
          <w:szCs w:val="19"/>
        </w:rPr>
        <w:tab/>
        <w:t>Children</w:t>
      </w:r>
      <w:r w:rsidR="00C63F8F" w:rsidRPr="008916B4">
        <w:rPr>
          <w:sz w:val="19"/>
          <w:szCs w:val="19"/>
        </w:rPr>
        <w:t xml:space="preserve"> </w:t>
      </w:r>
      <w:r w:rsidRPr="008916B4">
        <w:rPr>
          <w:sz w:val="19"/>
          <w:szCs w:val="19"/>
        </w:rPr>
        <w:t>with</w:t>
      </w:r>
      <w:r w:rsidR="00C63F8F" w:rsidRPr="008916B4">
        <w:rPr>
          <w:sz w:val="19"/>
          <w:szCs w:val="19"/>
        </w:rPr>
        <w:t xml:space="preserve"> </w:t>
      </w:r>
      <w:r w:rsidRPr="008916B4">
        <w:rPr>
          <w:sz w:val="19"/>
          <w:szCs w:val="19"/>
        </w:rPr>
        <w:t>disabilities</w:t>
      </w:r>
      <w:r w:rsidRPr="008916B4">
        <w:rPr>
          <w:sz w:val="19"/>
          <w:szCs w:val="19"/>
        </w:rPr>
        <w:tab/>
      </w:r>
      <w:r w:rsidR="00FB3B3A" w:rsidRPr="008916B4">
        <w:rPr>
          <w:sz w:val="19"/>
          <w:szCs w:val="19"/>
        </w:rPr>
        <w:t>312-329</w:t>
      </w:r>
      <w:r w:rsidRPr="008916B4">
        <w:rPr>
          <w:sz w:val="19"/>
          <w:szCs w:val="19"/>
        </w:rPr>
        <w:tab/>
      </w:r>
      <w:r w:rsidR="00533C9A" w:rsidRPr="008916B4">
        <w:rPr>
          <w:sz w:val="19"/>
          <w:szCs w:val="19"/>
        </w:rPr>
        <w:t>51</w:t>
      </w:r>
    </w:p>
    <w:p w:rsidR="00F60372" w:rsidRPr="008916B4" w:rsidRDefault="00F60372"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t>IV.</w:t>
      </w:r>
      <w:r w:rsidRPr="008916B4">
        <w:rPr>
          <w:sz w:val="19"/>
          <w:szCs w:val="19"/>
        </w:rPr>
        <w:tab/>
        <w:t>Specific</w:t>
      </w:r>
      <w:r w:rsidR="00C63F8F" w:rsidRPr="008916B4">
        <w:rPr>
          <w:sz w:val="19"/>
          <w:szCs w:val="19"/>
        </w:rPr>
        <w:t xml:space="preserve"> </w:t>
      </w:r>
      <w:r w:rsidRPr="008916B4">
        <w:rPr>
          <w:sz w:val="19"/>
          <w:szCs w:val="19"/>
        </w:rPr>
        <w:t>obligations</w:t>
      </w:r>
      <w:r w:rsidRPr="008916B4">
        <w:rPr>
          <w:sz w:val="19"/>
          <w:szCs w:val="19"/>
        </w:rPr>
        <w:tab/>
      </w:r>
      <w:r w:rsidR="00FB3B3A" w:rsidRPr="008916B4">
        <w:rPr>
          <w:sz w:val="19"/>
          <w:szCs w:val="19"/>
        </w:rPr>
        <w:t>330-353</w:t>
      </w:r>
      <w:r w:rsidRPr="008916B4">
        <w:rPr>
          <w:sz w:val="19"/>
          <w:szCs w:val="19"/>
        </w:rPr>
        <w:tab/>
      </w:r>
      <w:r w:rsidR="00533C9A" w:rsidRPr="008916B4">
        <w:rPr>
          <w:sz w:val="19"/>
          <w:szCs w:val="19"/>
        </w:rPr>
        <w:t>54</w:t>
      </w:r>
    </w:p>
    <w:p w:rsidR="00F60372" w:rsidRPr="008916B4" w:rsidRDefault="00F60372"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31</w:t>
      </w:r>
      <w:r w:rsidRPr="008916B4">
        <w:rPr>
          <w:sz w:val="19"/>
          <w:szCs w:val="19"/>
        </w:rPr>
        <w:tab/>
      </w:r>
      <w:r w:rsidRPr="008916B4">
        <w:rPr>
          <w:sz w:val="19"/>
          <w:szCs w:val="19"/>
        </w:rPr>
        <w:tab/>
        <w:t>Statistics</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data</w:t>
      </w:r>
      <w:r w:rsidR="00C63F8F" w:rsidRPr="008916B4">
        <w:rPr>
          <w:sz w:val="19"/>
          <w:szCs w:val="19"/>
        </w:rPr>
        <w:t xml:space="preserve"> </w:t>
      </w:r>
      <w:r w:rsidRPr="008916B4">
        <w:rPr>
          <w:sz w:val="19"/>
          <w:szCs w:val="19"/>
        </w:rPr>
        <w:t>collection</w:t>
      </w:r>
      <w:r w:rsidRPr="008916B4">
        <w:rPr>
          <w:sz w:val="19"/>
          <w:szCs w:val="19"/>
        </w:rPr>
        <w:tab/>
      </w:r>
      <w:r w:rsidR="00FB3B3A" w:rsidRPr="008916B4">
        <w:rPr>
          <w:sz w:val="19"/>
          <w:szCs w:val="19"/>
        </w:rPr>
        <w:t>330-337</w:t>
      </w:r>
      <w:r w:rsidRPr="008916B4">
        <w:rPr>
          <w:sz w:val="19"/>
          <w:szCs w:val="19"/>
        </w:rPr>
        <w:tab/>
      </w:r>
      <w:r w:rsidR="00533C9A" w:rsidRPr="008916B4">
        <w:rPr>
          <w:sz w:val="19"/>
          <w:szCs w:val="19"/>
        </w:rPr>
        <w:t>54</w:t>
      </w:r>
    </w:p>
    <w:p w:rsidR="00F60372" w:rsidRPr="008916B4" w:rsidRDefault="00F60372"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32</w:t>
      </w:r>
      <w:r w:rsidRPr="008916B4">
        <w:rPr>
          <w:sz w:val="19"/>
          <w:szCs w:val="19"/>
        </w:rPr>
        <w:tab/>
      </w:r>
      <w:r w:rsidRPr="008916B4">
        <w:rPr>
          <w:sz w:val="19"/>
          <w:szCs w:val="19"/>
        </w:rPr>
        <w:tab/>
        <w:t>International</w:t>
      </w:r>
      <w:r w:rsidR="00C63F8F" w:rsidRPr="008916B4">
        <w:rPr>
          <w:sz w:val="19"/>
          <w:szCs w:val="19"/>
        </w:rPr>
        <w:t xml:space="preserve"> </w:t>
      </w:r>
      <w:r w:rsidRPr="008916B4">
        <w:rPr>
          <w:sz w:val="19"/>
          <w:szCs w:val="19"/>
        </w:rPr>
        <w:t>co-operation</w:t>
      </w:r>
      <w:r w:rsidRPr="008916B4">
        <w:rPr>
          <w:sz w:val="19"/>
          <w:szCs w:val="19"/>
        </w:rPr>
        <w:tab/>
      </w:r>
      <w:r w:rsidR="00FB3B3A" w:rsidRPr="008916B4">
        <w:rPr>
          <w:sz w:val="19"/>
          <w:szCs w:val="19"/>
        </w:rPr>
        <w:t>338-349</w:t>
      </w:r>
      <w:r w:rsidRPr="008916B4">
        <w:rPr>
          <w:sz w:val="19"/>
          <w:szCs w:val="19"/>
        </w:rPr>
        <w:tab/>
      </w:r>
      <w:r w:rsidR="00533C9A" w:rsidRPr="008916B4">
        <w:rPr>
          <w:sz w:val="19"/>
          <w:szCs w:val="19"/>
        </w:rPr>
        <w:t>54</w:t>
      </w:r>
    </w:p>
    <w:p w:rsidR="00F60372" w:rsidRPr="008916B4" w:rsidRDefault="00F60372" w:rsidP="0055730D">
      <w:pPr>
        <w:tabs>
          <w:tab w:val="right" w:pos="850"/>
          <w:tab w:val="left" w:pos="1134"/>
          <w:tab w:val="left" w:pos="1559"/>
          <w:tab w:val="left" w:pos="1984"/>
          <w:tab w:val="left" w:pos="2300"/>
          <w:tab w:val="left" w:leader="dot" w:pos="8787"/>
          <w:tab w:val="right" w:pos="9638"/>
        </w:tabs>
        <w:spacing w:after="120"/>
        <w:rPr>
          <w:sz w:val="19"/>
          <w:szCs w:val="19"/>
        </w:rPr>
      </w:pPr>
      <w:r w:rsidRPr="008916B4">
        <w:rPr>
          <w:sz w:val="19"/>
          <w:szCs w:val="19"/>
        </w:rPr>
        <w:tab/>
      </w:r>
      <w:r w:rsidRPr="008916B4">
        <w:rPr>
          <w:sz w:val="19"/>
          <w:szCs w:val="19"/>
        </w:rPr>
        <w:tab/>
        <w:t>Article</w:t>
      </w:r>
      <w:r w:rsidR="00C63F8F" w:rsidRPr="008916B4">
        <w:rPr>
          <w:sz w:val="19"/>
          <w:szCs w:val="19"/>
        </w:rPr>
        <w:t xml:space="preserve"> </w:t>
      </w:r>
      <w:r w:rsidRPr="008916B4">
        <w:rPr>
          <w:sz w:val="19"/>
          <w:szCs w:val="19"/>
        </w:rPr>
        <w:t>33</w:t>
      </w:r>
      <w:r w:rsidRPr="008916B4">
        <w:rPr>
          <w:sz w:val="19"/>
          <w:szCs w:val="19"/>
        </w:rPr>
        <w:tab/>
      </w:r>
      <w:r w:rsidRPr="008916B4">
        <w:rPr>
          <w:sz w:val="19"/>
          <w:szCs w:val="19"/>
        </w:rPr>
        <w:tab/>
        <w:t>National</w:t>
      </w:r>
      <w:r w:rsidR="00C63F8F" w:rsidRPr="008916B4">
        <w:rPr>
          <w:sz w:val="19"/>
          <w:szCs w:val="19"/>
        </w:rPr>
        <w:t xml:space="preserve"> </w:t>
      </w:r>
      <w:r w:rsidRPr="008916B4">
        <w:rPr>
          <w:sz w:val="19"/>
          <w:szCs w:val="19"/>
        </w:rPr>
        <w:t>implementation</w:t>
      </w:r>
      <w:r w:rsidR="00C63F8F" w:rsidRPr="008916B4">
        <w:rPr>
          <w:sz w:val="19"/>
          <w:szCs w:val="19"/>
        </w:rPr>
        <w:t xml:space="preserve"> </w:t>
      </w:r>
      <w:r w:rsidRPr="008916B4">
        <w:rPr>
          <w:sz w:val="19"/>
          <w:szCs w:val="19"/>
        </w:rPr>
        <w:t>and</w:t>
      </w:r>
      <w:r w:rsidR="00C63F8F" w:rsidRPr="008916B4">
        <w:rPr>
          <w:sz w:val="19"/>
          <w:szCs w:val="19"/>
        </w:rPr>
        <w:t xml:space="preserve"> </w:t>
      </w:r>
      <w:r w:rsidRPr="008916B4">
        <w:rPr>
          <w:sz w:val="19"/>
          <w:szCs w:val="19"/>
        </w:rPr>
        <w:t>monitoring</w:t>
      </w:r>
      <w:r w:rsidRPr="008916B4">
        <w:rPr>
          <w:sz w:val="19"/>
          <w:szCs w:val="19"/>
        </w:rPr>
        <w:tab/>
      </w:r>
      <w:r w:rsidR="00FB3B3A" w:rsidRPr="008916B4">
        <w:rPr>
          <w:sz w:val="19"/>
          <w:szCs w:val="19"/>
        </w:rPr>
        <w:t>350-353</w:t>
      </w:r>
      <w:r w:rsidRPr="008916B4">
        <w:rPr>
          <w:sz w:val="19"/>
          <w:szCs w:val="19"/>
        </w:rPr>
        <w:tab/>
      </w:r>
      <w:r w:rsidR="00533C9A" w:rsidRPr="008916B4">
        <w:rPr>
          <w:sz w:val="19"/>
          <w:szCs w:val="19"/>
        </w:rPr>
        <w:t>57</w:t>
      </w:r>
    </w:p>
    <w:p w:rsidR="00321ADA" w:rsidRPr="00E27443" w:rsidRDefault="00F60372" w:rsidP="00F60372">
      <w:pPr>
        <w:pStyle w:val="HChG"/>
      </w:pPr>
      <w:r w:rsidRPr="00E27443">
        <w:br w:type="page"/>
      </w:r>
      <w:r w:rsidRPr="00E27443">
        <w:tab/>
      </w:r>
      <w:r w:rsidRPr="00E27443">
        <w:tab/>
      </w:r>
      <w:bookmarkStart w:id="1" w:name="_Toc290623285"/>
      <w:r w:rsidR="00321ADA" w:rsidRPr="00E27443">
        <w:t>Introduction</w:t>
      </w:r>
      <w:bookmarkEnd w:id="1"/>
    </w:p>
    <w:p w:rsidR="00321ADA" w:rsidRPr="00E27443" w:rsidRDefault="00321ADA" w:rsidP="00EF17DF">
      <w:pPr>
        <w:pStyle w:val="SingleTxtG"/>
        <w:numPr>
          <w:ilvl w:val="0"/>
          <w:numId w:val="20"/>
        </w:numPr>
        <w:tabs>
          <w:tab w:val="left" w:pos="1843"/>
        </w:tabs>
        <w:ind w:left="1134" w:firstLine="0"/>
      </w:pPr>
      <w:r w:rsidRPr="00E27443">
        <w:t>This</w:t>
      </w:r>
      <w:r w:rsidR="00C63F8F" w:rsidRPr="00E27443">
        <w:t xml:space="preserve"> </w:t>
      </w:r>
      <w:r w:rsidRPr="00E27443">
        <w:t>is</w:t>
      </w:r>
      <w:r w:rsidR="00C63F8F" w:rsidRPr="00E27443">
        <w:t xml:space="preserve"> </w:t>
      </w:r>
      <w:r w:rsidRPr="00E27443">
        <w:t>the</w:t>
      </w:r>
      <w:r w:rsidR="00C63F8F" w:rsidRPr="00E27443">
        <w:t xml:space="preserve"> </w:t>
      </w:r>
      <w:r w:rsidRPr="00E27443">
        <w:t>first</w:t>
      </w:r>
      <w:r w:rsidR="00C63F8F" w:rsidRPr="00E27443">
        <w:t xml:space="preserve"> </w:t>
      </w:r>
      <w:r w:rsidRPr="00E27443">
        <w:t>report</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is</w:t>
      </w:r>
      <w:r w:rsidR="00C63F8F" w:rsidRPr="00E27443">
        <w:t xml:space="preserve"> </w:t>
      </w:r>
      <w:r w:rsidRPr="00E27443">
        <w:t>submitting</w:t>
      </w:r>
      <w:r w:rsidR="00C63F8F" w:rsidRPr="00E27443">
        <w:t xml:space="preserve"> </w:t>
      </w:r>
      <w:r w:rsidRPr="00E27443">
        <w:t>to</w:t>
      </w:r>
      <w:r w:rsidR="00C63F8F" w:rsidRPr="00E27443">
        <w:t xml:space="preserve"> </w:t>
      </w:r>
      <w:r w:rsidRPr="00E27443">
        <w:t>the</w:t>
      </w:r>
      <w:r w:rsidR="00C63F8F" w:rsidRPr="00E27443">
        <w:t xml:space="preserve"> </w:t>
      </w:r>
      <w:r w:rsidRPr="00E27443">
        <w:t>U</w:t>
      </w:r>
      <w:r w:rsidR="00C7177D">
        <w:t xml:space="preserve">nited </w:t>
      </w:r>
      <w:r w:rsidRPr="00E27443">
        <w:t>N</w:t>
      </w:r>
      <w:r w:rsidR="00C7177D">
        <w:t>ations</w:t>
      </w:r>
      <w:r w:rsidR="00C63F8F" w:rsidRPr="00E27443">
        <w:t xml:space="preserve"> </w:t>
      </w:r>
      <w:r w:rsidRPr="00E27443">
        <w:t>Committee</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(CRPD).</w:t>
      </w:r>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purpose</w:t>
      </w:r>
      <w:r w:rsidR="00C63F8F" w:rsidRPr="00E27443">
        <w:t xml:space="preserve"> </w:t>
      </w:r>
      <w:r w:rsidRPr="00E27443">
        <w:t>of</w:t>
      </w:r>
      <w:r w:rsidR="00C63F8F" w:rsidRPr="00E27443">
        <w:t xml:space="preserve"> </w:t>
      </w:r>
      <w:r w:rsidRPr="00E27443">
        <w:t>this</w:t>
      </w:r>
      <w:r w:rsidR="00C63F8F" w:rsidRPr="00E27443">
        <w:t xml:space="preserve"> </w:t>
      </w:r>
      <w:r w:rsidRPr="00E27443">
        <w:t>report,</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Article</w:t>
      </w:r>
      <w:r w:rsidR="00C63F8F" w:rsidRPr="00E27443">
        <w:t xml:space="preserve"> </w:t>
      </w:r>
      <w:r w:rsidRPr="00E27443">
        <w:t>35.1</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and</w:t>
      </w:r>
      <w:r w:rsidR="00C63F8F" w:rsidRPr="00E27443">
        <w:t xml:space="preserve"> </w:t>
      </w:r>
      <w:r w:rsidRPr="00E27443">
        <w:t>the</w:t>
      </w:r>
      <w:r w:rsidR="00C63F8F" w:rsidRPr="00E27443">
        <w:t xml:space="preserve"> </w:t>
      </w:r>
      <w:r w:rsidRPr="00E27443">
        <w:t>guidelines</w:t>
      </w:r>
      <w:r w:rsidR="00C63F8F" w:rsidRPr="00E27443">
        <w:t xml:space="preserve"> </w:t>
      </w:r>
      <w:r w:rsidRPr="00E27443">
        <w:t>drawn</w:t>
      </w:r>
      <w:r w:rsidR="00C63F8F" w:rsidRPr="00E27443">
        <w:t xml:space="preserve"> </w:t>
      </w:r>
      <w:r w:rsidRPr="00E27443">
        <w:t>up</w:t>
      </w:r>
      <w:r w:rsidR="00C63F8F" w:rsidRPr="00E27443">
        <w:t xml:space="preserve"> </w:t>
      </w:r>
      <w:r w:rsidRPr="00E27443">
        <w:t>by</w:t>
      </w:r>
      <w:r w:rsidR="00C63F8F" w:rsidRPr="00E27443">
        <w:t xml:space="preserve"> </w:t>
      </w:r>
      <w:r w:rsidRPr="00E27443">
        <w:t>the</w:t>
      </w:r>
      <w:r w:rsidR="00C63F8F" w:rsidRPr="00E27443">
        <w:t xml:space="preserve"> </w:t>
      </w:r>
      <w:r w:rsidRPr="00E27443">
        <w:t>Committee,</w:t>
      </w:r>
      <w:r w:rsidR="00F60372" w:rsidRPr="00E27443">
        <w:rPr>
          <w:rStyle w:val="FootnoteReference"/>
        </w:rPr>
        <w:footnoteReference w:id="3"/>
      </w:r>
      <w:r w:rsidR="00C63F8F" w:rsidRPr="00E27443">
        <w:t xml:space="preserve"> </w:t>
      </w:r>
      <w:r w:rsidRPr="00E27443">
        <w:t>is</w:t>
      </w:r>
      <w:r w:rsidR="00C63F8F" w:rsidRPr="00E27443">
        <w:t xml:space="preserve"> </w:t>
      </w:r>
      <w:r w:rsidRPr="00E27443">
        <w:t>to</w:t>
      </w:r>
      <w:r w:rsidR="00C63F8F" w:rsidRPr="00E27443">
        <w:t xml:space="preserve"> </w:t>
      </w:r>
      <w:r w:rsidRPr="00E27443">
        <w:t>describe</w:t>
      </w:r>
      <w:r w:rsidR="00C63F8F" w:rsidRPr="00E27443">
        <w:t xml:space="preserve"> </w:t>
      </w:r>
      <w:r w:rsidRPr="00E27443">
        <w:t>how</w:t>
      </w:r>
      <w:r w:rsidR="00C63F8F" w:rsidRPr="00E27443">
        <w:t xml:space="preserve"> </w:t>
      </w:r>
      <w:r w:rsidRPr="00E27443">
        <w:t>human</w:t>
      </w:r>
      <w:r w:rsidR="00C63F8F" w:rsidRPr="00E27443">
        <w:t xml:space="preserve"> </w:t>
      </w:r>
      <w:r w:rsidRPr="00E27443">
        <w:t>rights</w:t>
      </w:r>
      <w:r w:rsidR="00C63F8F" w:rsidRPr="00E27443">
        <w:t xml:space="preserve"> </w:t>
      </w:r>
      <w:r w:rsidRPr="00E27443">
        <w:t>are</w:t>
      </w:r>
      <w:r w:rsidR="00C63F8F" w:rsidRPr="00E27443">
        <w:t xml:space="preserve"> </w:t>
      </w:r>
      <w:r w:rsidRPr="00E27443">
        <w:t>promoted</w:t>
      </w:r>
      <w:r w:rsidR="00C63F8F" w:rsidRPr="00E27443">
        <w:t xml:space="preserve"> </w:t>
      </w:r>
      <w:r w:rsidRPr="00E27443">
        <w:t>and</w:t>
      </w:r>
      <w:r w:rsidR="00C63F8F" w:rsidRPr="00E27443">
        <w:t xml:space="preserve"> </w:t>
      </w:r>
      <w:r w:rsidRPr="00E27443">
        <w:t>protected</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with</w:t>
      </w:r>
      <w:r w:rsidR="00C63F8F" w:rsidRPr="00E27443">
        <w:t xml:space="preserve"> </w:t>
      </w:r>
      <w:r w:rsidRPr="00E27443">
        <w:t>the</w:t>
      </w:r>
      <w:r w:rsidR="00C63F8F" w:rsidRPr="00E27443">
        <w:t xml:space="preserve"> </w:t>
      </w:r>
      <w:r w:rsidRPr="00E27443">
        <w:t>focus</w:t>
      </w:r>
      <w:r w:rsidR="00C63F8F" w:rsidRPr="00E27443">
        <w:t xml:space="preserve"> </w:t>
      </w:r>
      <w:r w:rsidRPr="00E27443">
        <w:t>on</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report</w:t>
      </w:r>
      <w:r w:rsidR="00C63F8F" w:rsidRPr="00E27443">
        <w:t xml:space="preserve"> </w:t>
      </w:r>
      <w:r w:rsidRPr="00E27443">
        <w:t>presents</w:t>
      </w:r>
      <w:r w:rsidR="00C63F8F" w:rsidRPr="00E27443">
        <w:t xml:space="preserve"> </w:t>
      </w:r>
      <w:r w:rsidRPr="00E27443">
        <w:t>the</w:t>
      </w:r>
      <w:r w:rsidR="00C63F8F" w:rsidRPr="00E27443">
        <w:t xml:space="preserve"> </w:t>
      </w:r>
      <w:r w:rsidRPr="00E27443">
        <w:t>measures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taken</w:t>
      </w:r>
      <w:r w:rsidR="00C63F8F" w:rsidRPr="00E27443">
        <w:t xml:space="preserve"> </w:t>
      </w:r>
      <w:r w:rsidRPr="00E27443">
        <w:t>and</w:t>
      </w:r>
      <w:r w:rsidR="00C63F8F" w:rsidRPr="00E27443">
        <w:t xml:space="preserve"> </w:t>
      </w:r>
      <w:r w:rsidRPr="00E27443">
        <w:t>the</w:t>
      </w:r>
      <w:r w:rsidR="00C63F8F" w:rsidRPr="00E27443">
        <w:t xml:space="preserve"> </w:t>
      </w:r>
      <w:r w:rsidRPr="00E27443">
        <w:t>challenges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identified</w:t>
      </w:r>
      <w:r w:rsidR="00C63F8F" w:rsidRPr="00E27443">
        <w:t xml:space="preserve"> </w:t>
      </w:r>
      <w:r w:rsidRPr="00E27443">
        <w:t>in</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review</w:t>
      </w:r>
      <w:r w:rsidR="00F60372" w:rsidRPr="00E27443">
        <w:rPr>
          <w:rStyle w:val="FootnoteReference"/>
        </w:rPr>
        <w:footnoteReference w:id="4"/>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clarify</w:t>
      </w:r>
      <w:r w:rsidR="00C63F8F" w:rsidRPr="00E27443">
        <w:t xml:space="preserve"> </w:t>
      </w:r>
      <w:r w:rsidRPr="00E27443">
        <w:t>how</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and</w:t>
      </w:r>
      <w:r w:rsidR="00C63F8F" w:rsidRPr="00E27443">
        <w:t xml:space="preserve"> </w:t>
      </w:r>
      <w:r w:rsidRPr="00E27443">
        <w:t>other</w:t>
      </w:r>
      <w:r w:rsidR="00C63F8F" w:rsidRPr="00E27443">
        <w:t xml:space="preserve"> </w:t>
      </w:r>
      <w:r w:rsidRPr="00E27443">
        <w:t>conditions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relate</w:t>
      </w:r>
      <w:r w:rsidR="00C63F8F" w:rsidRPr="00E27443">
        <w:t xml:space="preserve"> </w:t>
      </w:r>
      <w:r w:rsidRPr="00E27443">
        <w:t>to</w:t>
      </w:r>
      <w:r w:rsidR="00C63F8F" w:rsidRPr="00E27443">
        <w:t xml:space="preserve"> </w:t>
      </w:r>
      <w:r w:rsidRPr="00E27443">
        <w:t>the</w:t>
      </w:r>
      <w:r w:rsidR="00C63F8F" w:rsidRPr="00E27443">
        <w:t xml:space="preserve"> </w:t>
      </w:r>
      <w:r w:rsidRPr="00E27443">
        <w:t>Convention.</w:t>
      </w:r>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Ministry</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Social</w:t>
      </w:r>
      <w:r w:rsidR="00C63F8F" w:rsidRPr="00E27443">
        <w:t xml:space="preserve"> </w:t>
      </w:r>
      <w:r w:rsidRPr="00E27443">
        <w:t>Affairs</w:t>
      </w:r>
      <w:r w:rsidR="00C63F8F" w:rsidRPr="00E27443">
        <w:t xml:space="preserve"> </w:t>
      </w:r>
      <w:r w:rsidRPr="00E27443">
        <w:t>has</w:t>
      </w:r>
      <w:r w:rsidR="00C63F8F" w:rsidRPr="00E27443">
        <w:t xml:space="preserve"> </w:t>
      </w:r>
      <w:r w:rsidRPr="00E27443">
        <w:t>prepared</w:t>
      </w:r>
      <w:r w:rsidR="00C63F8F" w:rsidRPr="00E27443">
        <w:t xml:space="preserve"> </w:t>
      </w:r>
      <w:r w:rsidRPr="00E27443">
        <w:t>the</w:t>
      </w:r>
      <w:r w:rsidR="00C63F8F" w:rsidRPr="00E27443">
        <w:t xml:space="preserve"> </w:t>
      </w:r>
      <w:r w:rsidRPr="00E27443">
        <w:t>report</w:t>
      </w:r>
      <w:r w:rsidR="00C63F8F" w:rsidRPr="00E27443">
        <w:t xml:space="preserve"> </w:t>
      </w:r>
      <w:r w:rsidRPr="00E27443">
        <w:t>in</w:t>
      </w:r>
      <w:r w:rsidR="00C63F8F" w:rsidRPr="00E27443">
        <w:t xml:space="preserve"> </w:t>
      </w:r>
      <w:r w:rsidRPr="00E27443">
        <w:t>collaboration</w:t>
      </w:r>
      <w:r w:rsidR="00C63F8F" w:rsidRPr="00E27443">
        <w:t xml:space="preserve"> </w:t>
      </w:r>
      <w:r w:rsidRPr="00E27443">
        <w:t>with</w:t>
      </w:r>
      <w:r w:rsidR="00C63F8F" w:rsidRPr="00E27443">
        <w:t xml:space="preserve"> </w:t>
      </w:r>
      <w:r w:rsidRPr="00E27443">
        <w:t>most</w:t>
      </w:r>
      <w:r w:rsidR="00C63F8F" w:rsidRPr="00E27443">
        <w:t xml:space="preserve"> </w:t>
      </w:r>
      <w:r w:rsidRPr="00E27443">
        <w:t>of</w:t>
      </w:r>
      <w:r w:rsidR="00C63F8F" w:rsidRPr="00E27443">
        <w:t xml:space="preserve"> </w:t>
      </w:r>
      <w:r w:rsidRPr="00E27443">
        <w:t>the</w:t>
      </w:r>
      <w:r w:rsidR="00C63F8F" w:rsidRPr="00E27443">
        <w:t xml:space="preserve"> </w:t>
      </w:r>
      <w:r w:rsidRPr="00E27443">
        <w:t>departments</w:t>
      </w:r>
      <w:r w:rsidR="00C63F8F" w:rsidRPr="00E27443">
        <w:t xml:space="preserve"> </w:t>
      </w:r>
      <w:r w:rsidRPr="00E27443">
        <w:t>within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Offices</w:t>
      </w:r>
      <w:r w:rsidR="00C63F8F" w:rsidRPr="00E27443">
        <w:t xml:space="preserve"> </w:t>
      </w:r>
      <w:r w:rsidRPr="00E27443">
        <w:t>of</w:t>
      </w:r>
      <w:r w:rsidR="00C63F8F" w:rsidRPr="00E27443">
        <w:t xml:space="preserve"> </w:t>
      </w:r>
      <w:r w:rsidRPr="00E27443">
        <w:t>Sweden.</w:t>
      </w:r>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employed</w:t>
      </w:r>
      <w:r w:rsidR="00C63F8F" w:rsidRPr="00E27443">
        <w:t xml:space="preserve"> </w:t>
      </w:r>
      <w:r w:rsidRPr="00E27443">
        <w:t>an</w:t>
      </w:r>
      <w:r w:rsidR="00C63F8F" w:rsidRPr="00E27443">
        <w:t xml:space="preserve"> </w:t>
      </w:r>
      <w:r w:rsidRPr="00E27443">
        <w:t>open</w:t>
      </w:r>
      <w:r w:rsidR="00C63F8F" w:rsidRPr="00E27443">
        <w:t xml:space="preserve"> </w:t>
      </w:r>
      <w:r w:rsidRPr="00E27443">
        <w:t>process</w:t>
      </w:r>
      <w:r w:rsidR="00C63F8F" w:rsidRPr="00E27443">
        <w:t xml:space="preserve"> </w:t>
      </w:r>
      <w:r w:rsidRPr="00E27443">
        <w:t>during</w:t>
      </w:r>
      <w:r w:rsidR="00C63F8F" w:rsidRPr="00E27443">
        <w:t xml:space="preserve"> </w:t>
      </w:r>
      <w:r w:rsidRPr="00E27443">
        <w:t>the</w:t>
      </w:r>
      <w:r w:rsidR="00C63F8F" w:rsidRPr="00E27443">
        <w:t xml:space="preserve"> </w:t>
      </w:r>
      <w:r w:rsidRPr="00E27443">
        <w:t>preparations</w:t>
      </w:r>
      <w:r w:rsidR="00C63F8F" w:rsidRPr="00E27443">
        <w:t xml:space="preserve"> </w:t>
      </w:r>
      <w:r w:rsidRPr="00E27443">
        <w:t>prior</w:t>
      </w:r>
      <w:r w:rsidR="00C63F8F" w:rsidRPr="00E27443">
        <w:t xml:space="preserve"> </w:t>
      </w:r>
      <w:r w:rsidRPr="00E27443">
        <w:t>to</w:t>
      </w:r>
      <w:r w:rsidR="00C63F8F" w:rsidRPr="00E27443">
        <w:t xml:space="preserve"> </w:t>
      </w:r>
      <w:r w:rsidRPr="00E27443">
        <w:t>ratification,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during</w:t>
      </w:r>
      <w:r w:rsidR="00C63F8F" w:rsidRPr="00E27443">
        <w:t xml:space="preserve"> </w:t>
      </w:r>
      <w:r w:rsidRPr="00E27443">
        <w:t>the</w:t>
      </w:r>
      <w:r w:rsidR="00C63F8F" w:rsidRPr="00E27443">
        <w:t xml:space="preserve"> </w:t>
      </w:r>
      <w:r w:rsidRPr="00E27443">
        <w:t>period</w:t>
      </w:r>
      <w:r w:rsidR="00C63F8F" w:rsidRPr="00E27443">
        <w:t xml:space="preserve"> </w:t>
      </w:r>
      <w:r w:rsidRPr="00E27443">
        <w:t>while</w:t>
      </w:r>
      <w:r w:rsidR="00C63F8F" w:rsidRPr="00E27443">
        <w:t xml:space="preserve"> </w:t>
      </w:r>
      <w:r w:rsidRPr="00E27443">
        <w:t>the</w:t>
      </w:r>
      <w:r w:rsidR="00C63F8F" w:rsidRPr="00E27443">
        <w:t xml:space="preserve"> </w:t>
      </w:r>
      <w:r w:rsidRPr="00E27443">
        <w:t>report</w:t>
      </w:r>
      <w:r w:rsidR="00C63F8F" w:rsidRPr="00E27443">
        <w:t xml:space="preserve"> </w:t>
      </w:r>
      <w:r w:rsidRPr="00E27443">
        <w:t>was</w:t>
      </w:r>
      <w:r w:rsidR="00C63F8F" w:rsidRPr="00E27443">
        <w:t xml:space="preserve"> </w:t>
      </w:r>
      <w:r w:rsidRPr="00E27443">
        <w:t>being</w:t>
      </w:r>
      <w:r w:rsidR="00C63F8F" w:rsidRPr="00E27443">
        <w:t xml:space="preserve"> </w:t>
      </w:r>
      <w:r w:rsidRPr="00E27443">
        <w:t>produced.</w:t>
      </w:r>
      <w:r w:rsidR="00C63F8F" w:rsidRPr="00E27443">
        <w:t xml:space="preserve"> </w:t>
      </w:r>
      <w:r w:rsidRPr="00E27443">
        <w:t>It</w:t>
      </w:r>
      <w:r w:rsidR="00C63F8F" w:rsidRPr="00E27443">
        <w:t xml:space="preserve"> </w:t>
      </w:r>
      <w:r w:rsidRPr="00E27443">
        <w:t>has</w:t>
      </w:r>
      <w:r w:rsidR="00C63F8F" w:rsidRPr="00E27443">
        <w:t xml:space="preserve"> </w:t>
      </w:r>
      <w:r w:rsidRPr="00E27443">
        <w:t>been</w:t>
      </w:r>
      <w:r w:rsidR="00C63F8F" w:rsidRPr="00E27443">
        <w:t xml:space="preserve"> </w:t>
      </w:r>
      <w:r w:rsidRPr="00E27443">
        <w:t>particularly</w:t>
      </w:r>
      <w:r w:rsidR="00C63F8F" w:rsidRPr="00E27443">
        <w:t xml:space="preserve"> </w:t>
      </w:r>
      <w:r w:rsidRPr="00E27443">
        <w:t>important</w:t>
      </w:r>
      <w:r w:rsidR="00C63F8F" w:rsidRPr="00E27443">
        <w:t xml:space="preserve"> </w:t>
      </w:r>
      <w:r w:rsidRPr="00E27443">
        <w:t>to</w:t>
      </w:r>
      <w:r w:rsidR="00C63F8F" w:rsidRPr="00E27443">
        <w:t xml:space="preserve"> </w:t>
      </w:r>
      <w:r w:rsidRPr="00E27443">
        <w:t>involve</w:t>
      </w:r>
      <w:r w:rsidR="00C63F8F" w:rsidRPr="00E27443">
        <w:t xml:space="preserve"> </w:t>
      </w:r>
      <w:r w:rsidRPr="00E27443">
        <w:t>the</w:t>
      </w:r>
      <w:r w:rsidR="00C63F8F" w:rsidRPr="00E27443">
        <w:t xml:space="preserve"> </w:t>
      </w:r>
      <w:r w:rsidRPr="00E27443">
        <w:t>civil</w:t>
      </w:r>
      <w:r w:rsidR="00C63F8F" w:rsidRPr="00E27443">
        <w:t xml:space="preserve"> </w:t>
      </w:r>
      <w:r w:rsidRPr="00E27443">
        <w:t>society.</w:t>
      </w:r>
      <w:r w:rsidR="00C63F8F" w:rsidRPr="00E27443">
        <w:t xml:space="preserve"> </w:t>
      </w:r>
      <w:r w:rsidRPr="00E27443">
        <w:t>A</w:t>
      </w:r>
      <w:r w:rsidR="00C63F8F" w:rsidRPr="00E27443">
        <w:t xml:space="preserve"> </w:t>
      </w:r>
      <w:r w:rsidRPr="00E27443">
        <w:t>wide</w:t>
      </w:r>
      <w:r w:rsidR="00C63F8F" w:rsidRPr="00E27443">
        <w:t xml:space="preserve"> </w:t>
      </w:r>
      <w:r w:rsidRPr="00E27443">
        <w:t>range</w:t>
      </w:r>
      <w:r w:rsidR="00C63F8F" w:rsidRPr="00E27443">
        <w:t xml:space="preserve"> </w:t>
      </w:r>
      <w:r w:rsidRPr="00E27443">
        <w:t>of</w:t>
      </w:r>
      <w:r w:rsidR="00C63F8F" w:rsidRPr="00E27443">
        <w:t xml:space="preserve"> </w:t>
      </w:r>
      <w:r w:rsidRPr="00E27443">
        <w:t>voluntary</w:t>
      </w:r>
      <w:r w:rsidR="00C63F8F" w:rsidRPr="00E27443">
        <w:t xml:space="preserve"> </w:t>
      </w:r>
      <w:r w:rsidRPr="00E27443">
        <w:t>organisations,</w:t>
      </w:r>
      <w:r w:rsidR="00C63F8F" w:rsidRPr="00E27443">
        <w:t xml:space="preserve"> </w:t>
      </w:r>
      <w:r w:rsidRPr="00E27443">
        <w:t>including</w:t>
      </w:r>
      <w:r w:rsidR="00C63F8F" w:rsidRPr="00E27443">
        <w:t xml:space="preserve"> </w:t>
      </w:r>
      <w:r w:rsidRPr="00E27443">
        <w:t>organisations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representatives</w:t>
      </w:r>
      <w:r w:rsidR="00C63F8F" w:rsidRPr="00E27443">
        <w:t xml:space="preserve"> </w:t>
      </w:r>
      <w:r w:rsidRPr="00E27443">
        <w:t>of</w:t>
      </w:r>
      <w:r w:rsidR="00C63F8F" w:rsidRPr="00E27443">
        <w:t xml:space="preserve"> </w:t>
      </w:r>
      <w:r w:rsidRPr="00E27443">
        <w:t>Forum</w:t>
      </w:r>
      <w:r w:rsidR="00C63F8F" w:rsidRPr="00E27443">
        <w:t xml:space="preserve"> </w:t>
      </w:r>
      <w:r w:rsidRPr="00E27443">
        <w:t>–</w:t>
      </w:r>
      <w:r w:rsidR="00C63F8F" w:rsidRPr="00E27443">
        <w:t xml:space="preserve"> </w:t>
      </w:r>
      <w:r w:rsidRPr="00E27443">
        <w:t>Women</w:t>
      </w:r>
      <w:r w:rsidR="00C63F8F" w:rsidRPr="00E27443">
        <w:t xml:space="preserve"> </w:t>
      </w:r>
      <w:r w:rsidRPr="00E27443">
        <w:t>and</w:t>
      </w:r>
      <w:r w:rsidR="00C63F8F" w:rsidRPr="00E27443">
        <w:t xml:space="preserve"> </w:t>
      </w:r>
      <w:r w:rsidRPr="00E27443">
        <w:t>Disability</w:t>
      </w:r>
      <w:r w:rsidR="00C63F8F" w:rsidRPr="00E27443">
        <w:t xml:space="preserve"> </w:t>
      </w:r>
      <w:r w:rsidRPr="00E27443">
        <w:t>in</w:t>
      </w:r>
      <w:r w:rsidR="00C63F8F" w:rsidRPr="00E27443">
        <w:t xml:space="preserve"> </w:t>
      </w:r>
      <w:r w:rsidRPr="00E27443">
        <w:t>Sweden</w:t>
      </w:r>
      <w:r w:rsidR="00C63F8F" w:rsidRPr="00E27443">
        <w:t xml:space="preserve"> </w:t>
      </w:r>
      <w:r w:rsidRPr="00E27443">
        <w:t>and</w:t>
      </w:r>
      <w:r w:rsidR="00C63F8F" w:rsidRPr="00E27443">
        <w:t xml:space="preserve"> </w:t>
      </w:r>
      <w:r w:rsidRPr="00E27443">
        <w:t>the</w:t>
      </w:r>
      <w:r w:rsidR="00C63F8F" w:rsidRPr="00E27443">
        <w:t xml:space="preserve"> </w:t>
      </w:r>
      <w:r w:rsidRPr="00E27443">
        <w:t>Swedish</w:t>
      </w:r>
      <w:r w:rsidR="00C63F8F" w:rsidRPr="00E27443">
        <w:t xml:space="preserve"> </w:t>
      </w:r>
      <w:r w:rsidRPr="00E27443">
        <w:t>Women</w:t>
      </w:r>
      <w:r w:rsidR="00C63F8F" w:rsidRPr="00E27443">
        <w:t>’</w:t>
      </w:r>
      <w:r w:rsidRPr="00E27443">
        <w:t>s</w:t>
      </w:r>
      <w:r w:rsidR="00C63F8F" w:rsidRPr="00E27443">
        <w:t xml:space="preserve"> </w:t>
      </w:r>
      <w:r w:rsidRPr="00E27443">
        <w:t>Lobby,</w:t>
      </w:r>
      <w:r w:rsidR="00C63F8F" w:rsidRPr="00E27443">
        <w:t xml:space="preserve"> </w:t>
      </w:r>
      <w:r w:rsidRPr="00E27443">
        <w:t>have</w:t>
      </w:r>
      <w:r w:rsidR="00C63F8F" w:rsidRPr="00E27443">
        <w:t xml:space="preserve"> </w:t>
      </w:r>
      <w:r w:rsidRPr="00E27443">
        <w:t>been</w:t>
      </w:r>
      <w:r w:rsidR="00C63F8F" w:rsidRPr="00E27443">
        <w:t xml:space="preserve"> </w:t>
      </w:r>
      <w:r w:rsidRPr="00E27443">
        <w:t>invited</w:t>
      </w:r>
      <w:r w:rsidR="00C63F8F" w:rsidRPr="00E27443">
        <w:t xml:space="preserve"> </w:t>
      </w:r>
      <w:r w:rsidRPr="00E27443">
        <w:t>to</w:t>
      </w:r>
      <w:r w:rsidR="00C63F8F" w:rsidRPr="00E27443">
        <w:t xml:space="preserve"> </w:t>
      </w:r>
      <w:r w:rsidRPr="00E27443">
        <w:t>submit</w:t>
      </w:r>
      <w:r w:rsidR="00C63F8F" w:rsidRPr="00E27443">
        <w:t xml:space="preserve"> </w:t>
      </w:r>
      <w:r w:rsidRPr="00E27443">
        <w:t>their</w:t>
      </w:r>
      <w:r w:rsidR="00C63F8F" w:rsidRPr="00E27443">
        <w:t xml:space="preserve"> </w:t>
      </w:r>
      <w:r w:rsidRPr="00E27443">
        <w:t>opinions.</w:t>
      </w:r>
      <w:r w:rsidR="00C63F8F" w:rsidRPr="00E27443">
        <w:t xml:space="preserve"> </w:t>
      </w:r>
      <w:r w:rsidRPr="00E27443">
        <w:t>Special</w:t>
      </w:r>
      <w:r w:rsidR="00C63F8F" w:rsidRPr="00E27443">
        <w:t xml:space="preserve"> </w:t>
      </w:r>
      <w:r w:rsidRPr="00E27443">
        <w:t>meetings</w:t>
      </w:r>
      <w:r w:rsidR="00C63F8F" w:rsidRPr="00E27443">
        <w:t xml:space="preserve"> </w:t>
      </w:r>
      <w:r w:rsidRPr="00E27443">
        <w:t>have</w:t>
      </w:r>
      <w:r w:rsidR="00C63F8F" w:rsidRPr="00E27443">
        <w:t xml:space="preserve"> </w:t>
      </w:r>
      <w:r w:rsidRPr="00E27443">
        <w:t>been</w:t>
      </w:r>
      <w:r w:rsidR="00C63F8F" w:rsidRPr="00E27443">
        <w:t xml:space="preserve"> </w:t>
      </w:r>
      <w:r w:rsidRPr="00E27443">
        <w:t>held</w:t>
      </w:r>
      <w:r w:rsidR="00C63F8F" w:rsidRPr="00E27443">
        <w:t xml:space="preserve"> </w:t>
      </w:r>
      <w:r w:rsidRPr="00E27443">
        <w:t>with</w:t>
      </w:r>
      <w:r w:rsidR="00C63F8F" w:rsidRPr="00E27443">
        <w:t xml:space="preserve"> </w:t>
      </w:r>
      <w:r w:rsidRPr="00E27443">
        <w:t>persons</w:t>
      </w:r>
      <w:r w:rsidR="00C63F8F" w:rsidRPr="00E27443">
        <w:t xml:space="preserve"> </w:t>
      </w:r>
      <w:r w:rsidRPr="00E27443">
        <w:t>with</w:t>
      </w:r>
      <w:r w:rsidR="00C63F8F" w:rsidRPr="00E27443">
        <w:t xml:space="preserve"> </w:t>
      </w:r>
      <w:r w:rsidR="00F60372" w:rsidRPr="00E27443">
        <w:t>intellectual</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give</w:t>
      </w:r>
      <w:r w:rsidR="00C63F8F" w:rsidRPr="00E27443">
        <w:t xml:space="preserve"> </w:t>
      </w:r>
      <w:r w:rsidRPr="00E27443">
        <w:t>them</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make</w:t>
      </w:r>
      <w:r w:rsidR="00C63F8F" w:rsidRPr="00E27443">
        <w:t xml:space="preserve"> </w:t>
      </w:r>
      <w:r w:rsidRPr="00E27443">
        <w:t>their</w:t>
      </w:r>
      <w:r w:rsidR="00C63F8F" w:rsidRPr="00E27443">
        <w:t xml:space="preserve"> </w:t>
      </w:r>
      <w:r w:rsidRPr="00E27443">
        <w:t>voice</w:t>
      </w:r>
      <w:r w:rsidR="00C63F8F" w:rsidRPr="00E27443">
        <w:t xml:space="preserve"> </w:t>
      </w:r>
      <w:r w:rsidRPr="00E27443">
        <w:t>heard.</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It</w:t>
      </w:r>
      <w:r w:rsidR="00C63F8F" w:rsidRPr="00E27443">
        <w:t xml:space="preserve"> </w:t>
      </w:r>
      <w:r w:rsidRPr="00E27443">
        <w:t>has</w:t>
      </w:r>
      <w:r w:rsidR="00C63F8F" w:rsidRPr="00E27443">
        <w:t xml:space="preserve"> </w:t>
      </w:r>
      <w:r w:rsidRPr="00E27443">
        <w:t>not</w:t>
      </w:r>
      <w:r w:rsidR="00C63F8F" w:rsidRPr="00E27443">
        <w:t xml:space="preserve"> </w:t>
      </w:r>
      <w:r w:rsidRPr="00E27443">
        <w:t>been</w:t>
      </w:r>
      <w:r w:rsidR="00C63F8F" w:rsidRPr="00E27443">
        <w:t xml:space="preserve"> </w:t>
      </w:r>
      <w:r w:rsidRPr="00E27443">
        <w:t>possible</w:t>
      </w:r>
      <w:r w:rsidR="00C63F8F" w:rsidRPr="00E27443">
        <w:t xml:space="preserve"> </w:t>
      </w:r>
      <w:r w:rsidRPr="00E27443">
        <w:t>to</w:t>
      </w:r>
      <w:r w:rsidR="00C63F8F" w:rsidRPr="00E27443">
        <w:t xml:space="preserve"> </w:t>
      </w:r>
      <w:r w:rsidRPr="00E27443">
        <w:t>question</w:t>
      </w:r>
      <w:r w:rsidR="00C63F8F" w:rsidRPr="00E27443">
        <w:t xml:space="preserve"> </w:t>
      </w:r>
      <w:r w:rsidRPr="00E27443">
        <w:t>children</w:t>
      </w:r>
      <w:r w:rsidR="00C63F8F" w:rsidRPr="00E27443">
        <w:t xml:space="preserve"> </w:t>
      </w:r>
      <w:r w:rsidRPr="00E27443">
        <w:t>directly</w:t>
      </w:r>
      <w:r w:rsidR="00C63F8F" w:rsidRPr="00E27443">
        <w:t xml:space="preserve"> </w:t>
      </w:r>
      <w:r w:rsidRPr="00E27443">
        <w:t>in</w:t>
      </w:r>
      <w:r w:rsidR="00C63F8F" w:rsidRPr="00E27443">
        <w:t xml:space="preserve"> </w:t>
      </w:r>
      <w:r w:rsidRPr="00E27443">
        <w:t>the</w:t>
      </w:r>
      <w:r w:rsidR="00C63F8F" w:rsidRPr="00E27443">
        <w:t xml:space="preserve"> </w:t>
      </w:r>
      <w:r w:rsidRPr="00E27443">
        <w:t>preparation</w:t>
      </w:r>
      <w:r w:rsidR="00C63F8F" w:rsidRPr="00E27443">
        <w:t xml:space="preserve"> </w:t>
      </w:r>
      <w:r w:rsidRPr="00E27443">
        <w:t>of</w:t>
      </w:r>
      <w:r w:rsidR="00C63F8F" w:rsidRPr="00E27443">
        <w:t xml:space="preserve"> </w:t>
      </w:r>
      <w:r w:rsidRPr="00E27443">
        <w:t>this</w:t>
      </w:r>
      <w:r w:rsidR="00C63F8F" w:rsidRPr="00E27443">
        <w:t xml:space="preserve"> </w:t>
      </w:r>
      <w:r w:rsidRPr="00E27443">
        <w:t>report.</w:t>
      </w:r>
      <w:r w:rsidR="00C63F8F" w:rsidRPr="00E27443">
        <w:t xml:space="preserve"> </w:t>
      </w:r>
      <w:r w:rsidRPr="00E27443">
        <w:t>However,</w:t>
      </w:r>
      <w:r w:rsidR="00C63F8F" w:rsidRPr="00E27443">
        <w:t xml:space="preserve"> </w:t>
      </w:r>
      <w:r w:rsidRPr="00E27443">
        <w:t>attention</w:t>
      </w:r>
      <w:r w:rsidR="00C63F8F" w:rsidRPr="00E27443">
        <w:t xml:space="preserve"> </w:t>
      </w:r>
      <w:r w:rsidRPr="00E27443">
        <w:t>has</w:t>
      </w:r>
      <w:r w:rsidR="00C63F8F" w:rsidRPr="00E27443">
        <w:t xml:space="preserve"> </w:t>
      </w:r>
      <w:r w:rsidRPr="00E27443">
        <w:t>been</w:t>
      </w:r>
      <w:r w:rsidR="00C63F8F" w:rsidRPr="00E27443">
        <w:t xml:space="preserve"> </w:t>
      </w:r>
      <w:r w:rsidRPr="00E27443">
        <w:t>given</w:t>
      </w:r>
      <w:r w:rsidR="00C63F8F" w:rsidRPr="00E27443">
        <w:t xml:space="preserve"> </w:t>
      </w:r>
      <w:r w:rsidRPr="00E27443">
        <w:t>to</w:t>
      </w:r>
      <w:r w:rsidR="00C63F8F" w:rsidRPr="00E27443">
        <w:t xml:space="preserve"> </w:t>
      </w:r>
      <w:r w:rsidRPr="00E27443">
        <w:t>allowing</w:t>
      </w:r>
      <w:r w:rsidR="00C63F8F" w:rsidRPr="00E27443">
        <w:t xml:space="preserve"> </w:t>
      </w:r>
      <w:r w:rsidRPr="00E27443">
        <w:t>children</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speak.</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gathered</w:t>
      </w:r>
      <w:r w:rsidR="00C63F8F" w:rsidRPr="00E27443">
        <w:t xml:space="preserve"> </w:t>
      </w:r>
      <w:r w:rsidRPr="00E27443">
        <w:t>information</w:t>
      </w:r>
      <w:r w:rsidR="00C63F8F" w:rsidRPr="00E27443">
        <w:t xml:space="preserve"> </w:t>
      </w:r>
      <w:r w:rsidRPr="00E27443">
        <w:t>about</w:t>
      </w:r>
      <w:r w:rsidR="00C63F8F" w:rsidRPr="00E27443">
        <w:t xml:space="preserve"> </w:t>
      </w:r>
      <w:r w:rsidRPr="00E27443">
        <w:t>the</w:t>
      </w:r>
      <w:r w:rsidR="00C63F8F" w:rsidRPr="00E27443">
        <w:t xml:space="preserve"> </w:t>
      </w:r>
      <w:r w:rsidRPr="00E27443">
        <w:t>work</w:t>
      </w:r>
      <w:r w:rsidR="00C63F8F" w:rsidRPr="00E27443">
        <w:t xml:space="preserve"> </w:t>
      </w:r>
      <w:r w:rsidRPr="00E27443">
        <w:t>currently</w:t>
      </w:r>
      <w:r w:rsidR="00C63F8F" w:rsidRPr="00E27443">
        <w:t xml:space="preserve"> </w:t>
      </w:r>
      <w:r w:rsidRPr="00E27443">
        <w:t>under</w:t>
      </w:r>
      <w:r w:rsidR="00C63F8F" w:rsidRPr="00E27443">
        <w:t xml:space="preserve"> </w:t>
      </w:r>
      <w:r w:rsidRPr="00E27443">
        <w:t>way</w:t>
      </w:r>
      <w:r w:rsidR="00C63F8F" w:rsidRPr="00E27443">
        <w:t xml:space="preserve"> </w:t>
      </w:r>
      <w:r w:rsidRPr="00E27443">
        <w:t>to</w:t>
      </w:r>
      <w:r w:rsidR="00C63F8F" w:rsidRPr="00E27443">
        <w:t xml:space="preserve"> </w:t>
      </w:r>
      <w:r w:rsidRPr="00E27443">
        <w:t>identify</w:t>
      </w:r>
      <w:r w:rsidR="00C63F8F" w:rsidRPr="00E27443">
        <w:t xml:space="preserve"> </w:t>
      </w:r>
      <w:r w:rsidRPr="00E27443">
        <w:t>forms</w:t>
      </w:r>
      <w:r w:rsidR="00C63F8F" w:rsidRPr="00E27443">
        <w:t xml:space="preserve"> </w:t>
      </w:r>
      <w:r w:rsidRPr="00E27443">
        <w:t>and</w:t>
      </w:r>
      <w:r w:rsidR="00C63F8F" w:rsidRPr="00E27443">
        <w:t xml:space="preserve"> </w:t>
      </w:r>
      <w:r w:rsidRPr="00E27443">
        <w:t>methods</w:t>
      </w:r>
      <w:r w:rsidR="00C63F8F" w:rsidRPr="00E27443">
        <w:t xml:space="preserve"> </w:t>
      </w:r>
      <w:r w:rsidRPr="00E27443">
        <w:t>for</w:t>
      </w:r>
      <w:r w:rsidR="00C63F8F" w:rsidRPr="00E27443">
        <w:t xml:space="preserve"> </w:t>
      </w:r>
      <w:r w:rsidRPr="00E27443">
        <w:t>questioning</w:t>
      </w:r>
      <w:r w:rsidR="00C63F8F" w:rsidRPr="00E27443">
        <w:t xml:space="preserve"> </w:t>
      </w:r>
      <w:r w:rsidRPr="00E27443">
        <w:t>children,</w:t>
      </w:r>
      <w:r w:rsidR="00C63F8F" w:rsidRPr="00E27443">
        <w:t xml:space="preserve"> </w:t>
      </w:r>
      <w:r w:rsidRPr="00E27443">
        <w:t>for</w:t>
      </w:r>
      <w:r w:rsidR="00C63F8F" w:rsidRPr="00E27443">
        <w:t xml:space="preserve"> </w:t>
      </w:r>
      <w:r w:rsidRPr="00E27443">
        <w:t>example</w:t>
      </w:r>
      <w:r w:rsidR="00C63F8F" w:rsidRPr="00E27443">
        <w:t xml:space="preserve"> </w:t>
      </w:r>
      <w:r w:rsidRPr="00E27443">
        <w:t>as</w:t>
      </w:r>
      <w:r w:rsidR="00C63F8F" w:rsidRPr="00E27443">
        <w:t xml:space="preserve"> </w:t>
      </w:r>
      <w:r w:rsidRPr="00E27443">
        <w:t>regards</w:t>
      </w:r>
      <w:r w:rsidR="00C63F8F" w:rsidRPr="00E27443">
        <w:t xml:space="preserve"> </w:t>
      </w:r>
      <w:r w:rsidRPr="00E27443">
        <w:t>children</w:t>
      </w:r>
      <w:r w:rsidR="00C63F8F" w:rsidRPr="00E27443">
        <w:t>’</w:t>
      </w:r>
      <w:r w:rsidRPr="00E27443">
        <w:t>s</w:t>
      </w:r>
      <w:r w:rsidR="00C63F8F" w:rsidRPr="00E27443">
        <w:t xml:space="preserve"> </w:t>
      </w:r>
      <w:r w:rsidRPr="00E27443">
        <w:t>participation</w:t>
      </w:r>
      <w:r w:rsidR="00C63F8F" w:rsidRPr="00E27443">
        <w:t xml:space="preserve"> </w:t>
      </w:r>
      <w:r w:rsidRPr="00E27443">
        <w:t>and</w:t>
      </w:r>
      <w:r w:rsidR="00C63F8F" w:rsidRPr="00E27443">
        <w:t xml:space="preserve"> </w:t>
      </w:r>
      <w:r w:rsidRPr="00E27443">
        <w:t>self-determination</w:t>
      </w:r>
      <w:r w:rsidR="00C63F8F" w:rsidRPr="00E27443">
        <w:t xml:space="preserve"> </w:t>
      </w:r>
      <w:r w:rsidRPr="00E27443">
        <w:t>in</w:t>
      </w:r>
      <w:r w:rsidR="00C63F8F" w:rsidRPr="00E27443">
        <w:t xml:space="preserve"> </w:t>
      </w:r>
      <w:r w:rsidRPr="00E27443">
        <w:t>the</w:t>
      </w:r>
      <w:r w:rsidR="00C63F8F" w:rsidRPr="00E27443">
        <w:t xml:space="preserve"> </w:t>
      </w:r>
      <w:r w:rsidRPr="00E27443">
        <w:t>planning</w:t>
      </w:r>
      <w:r w:rsidR="00C63F8F" w:rsidRPr="00E27443">
        <w:t xml:space="preserve"> </w:t>
      </w:r>
      <w:r w:rsidR="00F60372" w:rsidRPr="00E27443">
        <w:t>and</w:t>
      </w:r>
      <w:r w:rsidR="00C63F8F" w:rsidRPr="00E27443">
        <w:t xml:space="preserve"> </w:t>
      </w:r>
      <w:r w:rsidR="00F60372" w:rsidRPr="00E27443">
        <w:t>implementation</w:t>
      </w:r>
      <w:r w:rsidR="00C63F8F" w:rsidRPr="00E27443">
        <w:t xml:space="preserve"> </w:t>
      </w:r>
      <w:r w:rsidR="00F60372" w:rsidRPr="00E27443">
        <w:t>of</w:t>
      </w:r>
      <w:r w:rsidR="00C63F8F" w:rsidRPr="00E27443">
        <w:t xml:space="preserve"> </w:t>
      </w:r>
      <w:r w:rsidR="00F60372" w:rsidRPr="00E27443">
        <w:t>habilita</w:t>
      </w:r>
      <w:r w:rsidRPr="00E27443">
        <w:t>tion</w:t>
      </w:r>
      <w:r w:rsidR="00C63F8F" w:rsidRPr="00E27443">
        <w:t xml:space="preserve"> </w:t>
      </w:r>
      <w:r w:rsidRPr="00E27443">
        <w:t>initiatives.</w:t>
      </w:r>
      <w:r w:rsidR="00C63F8F" w:rsidRPr="00E27443">
        <w:t xml:space="preserve"> </w:t>
      </w:r>
      <w:r w:rsidRPr="00E27443">
        <w:t>Public</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other</w:t>
      </w:r>
      <w:r w:rsidR="00C63F8F" w:rsidRPr="00E27443">
        <w:t xml:space="preserve"> </w:t>
      </w:r>
      <w:r w:rsidRPr="00E27443">
        <w:t>organisations</w:t>
      </w:r>
      <w:r w:rsidR="00C63F8F" w:rsidRPr="00E27443">
        <w:t xml:space="preserve"> </w:t>
      </w:r>
      <w:r w:rsidRPr="00E27443">
        <w:t>have</w:t>
      </w:r>
      <w:r w:rsidR="00C63F8F" w:rsidRPr="00E27443">
        <w:t xml:space="preserve"> </w:t>
      </w:r>
      <w:r w:rsidRPr="00E27443">
        <w:t>also</w:t>
      </w:r>
      <w:r w:rsidR="00C63F8F" w:rsidRPr="00E27443">
        <w:t xml:space="preserve"> </w:t>
      </w:r>
      <w:r w:rsidRPr="00E27443">
        <w:t>been</w:t>
      </w:r>
      <w:r w:rsidR="00C63F8F" w:rsidRPr="00E27443">
        <w:t xml:space="preserve"> </w:t>
      </w:r>
      <w:r w:rsidRPr="00E27443">
        <w:t>involved</w:t>
      </w:r>
      <w:r w:rsidR="00C63F8F" w:rsidRPr="00E27443">
        <w:t xml:space="preserve"> </w:t>
      </w:r>
      <w:r w:rsidRPr="00E27443">
        <w:t>in</w:t>
      </w:r>
      <w:r w:rsidR="00C63F8F" w:rsidRPr="00E27443">
        <w:t xml:space="preserve"> </w:t>
      </w:r>
      <w:r w:rsidRPr="00E27443">
        <w:t>working</w:t>
      </w:r>
      <w:r w:rsidR="00C63F8F" w:rsidRPr="00E27443">
        <w:t xml:space="preserve"> </w:t>
      </w:r>
      <w:r w:rsidRPr="00E27443">
        <w:t>on</w:t>
      </w:r>
      <w:r w:rsidR="00C63F8F" w:rsidRPr="00E27443">
        <w:t xml:space="preserve"> </w:t>
      </w:r>
      <w:r w:rsidRPr="00E27443">
        <w:t>the</w:t>
      </w:r>
      <w:r w:rsidR="00C63F8F" w:rsidRPr="00E27443">
        <w:t xml:space="preserve"> </w:t>
      </w:r>
      <w:r w:rsidRPr="00E27443">
        <w:t>report.</w:t>
      </w:r>
      <w:r w:rsidR="00C63F8F" w:rsidRPr="00E27443">
        <w:t xml:space="preserve"> </w:t>
      </w:r>
      <w:r w:rsidRPr="00E27443">
        <w:t>The</w:t>
      </w:r>
      <w:r w:rsidR="00C63F8F" w:rsidRPr="00E27443">
        <w:t xml:space="preserve"> </w:t>
      </w:r>
      <w:r w:rsidRPr="00E27443">
        <w:t>report</w:t>
      </w:r>
      <w:r w:rsidR="00C63F8F" w:rsidRPr="00E27443">
        <w:t xml:space="preserve"> </w:t>
      </w:r>
      <w:r w:rsidRPr="00E27443">
        <w:t>will</w:t>
      </w:r>
      <w:r w:rsidR="00C63F8F" w:rsidRPr="00E27443">
        <w:t xml:space="preserve"> </w:t>
      </w:r>
      <w:r w:rsidRPr="00E27443">
        <w:t>be</w:t>
      </w:r>
      <w:r w:rsidR="00C63F8F" w:rsidRPr="00E27443">
        <w:t xml:space="preserve"> </w:t>
      </w:r>
      <w:r w:rsidRPr="00E27443">
        <w:t>published</w:t>
      </w:r>
      <w:r w:rsidR="00C63F8F" w:rsidRPr="00E27443">
        <w:t xml:space="preserve"> </w:t>
      </w:r>
      <w:r w:rsidRPr="00E27443">
        <w:t>on</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website,</w:t>
      </w:r>
      <w:r w:rsidR="00C63F8F" w:rsidRPr="00E27443">
        <w:t xml:space="preserve"> </w:t>
      </w:r>
      <w:r w:rsidRPr="00E27443">
        <w:t>and</w:t>
      </w:r>
      <w:r w:rsidR="00C63F8F" w:rsidRPr="00E27443">
        <w:t xml:space="preserve"> </w:t>
      </w:r>
      <w:r w:rsidRPr="00E27443">
        <w:t>will</w:t>
      </w:r>
      <w:r w:rsidR="00C63F8F" w:rsidRPr="00E27443">
        <w:t xml:space="preserve"> </w:t>
      </w:r>
      <w:r w:rsidRPr="00E27443">
        <w:t>be</w:t>
      </w:r>
      <w:r w:rsidR="00C63F8F" w:rsidRPr="00E27443">
        <w:t xml:space="preserve"> </w:t>
      </w:r>
      <w:r w:rsidRPr="00E27443">
        <w:t>available</w:t>
      </w:r>
      <w:r w:rsidR="00C63F8F" w:rsidRPr="00E27443">
        <w:t xml:space="preserve"> </w:t>
      </w:r>
      <w:r w:rsidRPr="00E27443">
        <w:t>in</w:t>
      </w:r>
      <w:r w:rsidR="00C63F8F" w:rsidRPr="00E27443">
        <w:t xml:space="preserve"> </w:t>
      </w:r>
      <w:r w:rsidRPr="00E27443">
        <w:t>accessible</w:t>
      </w:r>
      <w:r w:rsidR="00C63F8F" w:rsidRPr="00E27443">
        <w:t xml:space="preserve"> </w:t>
      </w:r>
      <w:r w:rsidRPr="00E27443">
        <w:t>formats.</w:t>
      </w:r>
    </w:p>
    <w:p w:rsidR="00321ADA" w:rsidRPr="00E27443" w:rsidRDefault="00321ADA" w:rsidP="00EF17DF">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signed</w:t>
      </w:r>
      <w:r w:rsidR="00C63F8F" w:rsidRPr="00E27443">
        <w:t xml:space="preserve"> </w:t>
      </w:r>
      <w:r w:rsidRPr="00E27443">
        <w:t>up</w:t>
      </w:r>
      <w:r w:rsidR="00C63F8F" w:rsidRPr="00E27443">
        <w:t xml:space="preserve"> </w:t>
      </w:r>
      <w:r w:rsidRPr="00E27443">
        <w:t>to</w:t>
      </w:r>
      <w:r w:rsidR="00C63F8F" w:rsidRPr="00E27443">
        <w:t xml:space="preserve"> </w:t>
      </w:r>
      <w:r w:rsidRPr="00E27443">
        <w:t>most</w:t>
      </w:r>
      <w:r w:rsidR="00C63F8F" w:rsidRPr="00E27443">
        <w:t xml:space="preserve"> </w:t>
      </w:r>
      <w:r w:rsidRPr="00E27443">
        <w:t>of</w:t>
      </w:r>
      <w:r w:rsidR="00C63F8F" w:rsidRPr="00E27443">
        <w:t xml:space="preserve"> </w:t>
      </w:r>
      <w:r w:rsidRPr="00E27443">
        <w:t>the</w:t>
      </w:r>
      <w:r w:rsidR="00C63F8F" w:rsidRPr="00E27443">
        <w:t xml:space="preserve"> </w:t>
      </w:r>
      <w:r w:rsidRPr="00E27443">
        <w:t>fundamental</w:t>
      </w:r>
      <w:r w:rsidR="00C63F8F" w:rsidRPr="00E27443">
        <w:t xml:space="preserve"> </w:t>
      </w:r>
      <w:r w:rsidRPr="00E27443">
        <w:t>conventions</w:t>
      </w:r>
      <w:r w:rsidR="00C63F8F" w:rsidRPr="00E27443">
        <w:t xml:space="preserve"> </w:t>
      </w:r>
      <w:r w:rsidRPr="00E27443">
        <w:t>on</w:t>
      </w:r>
      <w:r w:rsidR="00C63F8F" w:rsidRPr="00E27443">
        <w:t xml:space="preserve"> </w:t>
      </w:r>
      <w:r w:rsidRPr="00E27443">
        <w:t>human</w:t>
      </w:r>
      <w:r w:rsidR="00C63F8F" w:rsidRPr="00E27443">
        <w:t xml:space="preserve"> </w:t>
      </w:r>
      <w:r w:rsidRPr="00E27443">
        <w:t>rights.</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reports</w:t>
      </w:r>
      <w:r w:rsidR="00C63F8F" w:rsidRPr="00E27443">
        <w:t xml:space="preserve"> </w:t>
      </w:r>
      <w:r w:rsidRPr="00E27443">
        <w:t>regularly</w:t>
      </w:r>
      <w:r w:rsidR="00C63F8F" w:rsidRPr="00E27443">
        <w:t xml:space="preserve"> </w:t>
      </w:r>
      <w:r w:rsidRPr="00E27443">
        <w:t>to</w:t>
      </w:r>
      <w:r w:rsidR="00C63F8F" w:rsidRPr="00E27443">
        <w:t xml:space="preserve"> </w:t>
      </w:r>
      <w:r w:rsidRPr="00E27443">
        <w:t>the</w:t>
      </w:r>
      <w:r w:rsidR="00C63F8F" w:rsidRPr="00E27443">
        <w:t xml:space="preserve"> </w:t>
      </w:r>
      <w:r w:rsidRPr="00E27443">
        <w:t>UN</w:t>
      </w:r>
      <w:r w:rsidR="00C63F8F" w:rsidRPr="00E27443">
        <w:t xml:space="preserve"> </w:t>
      </w:r>
      <w:r w:rsidRPr="00E27443">
        <w:t>convention</w:t>
      </w:r>
      <w:r w:rsidR="00C63F8F" w:rsidRPr="00E27443">
        <w:t xml:space="preserve"> </w:t>
      </w:r>
      <w:r w:rsidRPr="00E27443">
        <w:t>committees</w:t>
      </w:r>
      <w:r w:rsidR="00C63F8F" w:rsidRPr="00E27443">
        <w:t xml:space="preserve"> </w:t>
      </w:r>
      <w:r w:rsidRPr="00E27443">
        <w:t>regarding</w:t>
      </w:r>
      <w:r w:rsidR="00C63F8F" w:rsidRPr="00E27443">
        <w:t xml:space="preserve"> </w:t>
      </w:r>
      <w:r w:rsidRPr="00E27443">
        <w:t>how</w:t>
      </w:r>
      <w:r w:rsidR="00C63F8F" w:rsidRPr="00E27443">
        <w:t xml:space="preserve"> </w:t>
      </w:r>
      <w:r w:rsidRPr="00E27443">
        <w:t>we</w:t>
      </w:r>
      <w:r w:rsidR="00C63F8F" w:rsidRPr="00E27443">
        <w:t xml:space="preserve"> </w:t>
      </w:r>
      <w:r w:rsidRPr="00E27443">
        <w:t>are</w:t>
      </w:r>
      <w:r w:rsidR="00C63F8F" w:rsidRPr="00E27443">
        <w:t xml:space="preserve"> </w:t>
      </w:r>
      <w:r w:rsidRPr="00E27443">
        <w:t>adhering</w:t>
      </w:r>
      <w:r w:rsidR="00C63F8F" w:rsidRPr="00E27443">
        <w:t xml:space="preserve"> </w:t>
      </w:r>
      <w:r w:rsidRPr="00E27443">
        <w:t>to</w:t>
      </w:r>
      <w:r w:rsidR="00C63F8F" w:rsidRPr="00E27443">
        <w:t xml:space="preserve"> </w:t>
      </w:r>
      <w:r w:rsidRPr="00E27443">
        <w:t>international</w:t>
      </w:r>
      <w:r w:rsidR="00C63F8F" w:rsidRPr="00E27443">
        <w:t xml:space="preserve"> </w:t>
      </w:r>
      <w:r w:rsidRPr="00E27443">
        <w:t>requirements</w:t>
      </w:r>
      <w:r w:rsidR="00C63F8F" w:rsidRPr="00E27443">
        <w:t xml:space="preserve"> </w:t>
      </w:r>
      <w:r w:rsidRPr="00E27443">
        <w:t>in</w:t>
      </w:r>
      <w:r w:rsidR="00C63F8F" w:rsidRPr="00E27443">
        <w:t xml:space="preserve"> </w:t>
      </w:r>
      <w:r w:rsidRPr="00E27443">
        <w:t>respect</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r w:rsidR="00C63F8F" w:rsidRPr="00E27443">
        <w:t xml:space="preserve"> </w:t>
      </w:r>
      <w:r w:rsidRPr="00E27443">
        <w:t>The</w:t>
      </w:r>
      <w:r w:rsidR="00C63F8F" w:rsidRPr="00E27443">
        <w:t xml:space="preserve"> </w:t>
      </w:r>
      <w:r w:rsidRPr="00E27443">
        <w:t>Governments</w:t>
      </w:r>
      <w:r w:rsidR="00C63F8F" w:rsidRPr="00E27443">
        <w:t xml:space="preserve"> </w:t>
      </w:r>
      <w:r w:rsidRPr="00E27443">
        <w:t>takes</w:t>
      </w:r>
      <w:r w:rsidR="00C63F8F" w:rsidRPr="00E27443">
        <w:t xml:space="preserve"> </w:t>
      </w:r>
      <w:r w:rsidRPr="00E27443">
        <w:t>the</w:t>
      </w:r>
      <w:r w:rsidR="00C63F8F" w:rsidRPr="00E27443">
        <w:t xml:space="preserve"> </w:t>
      </w:r>
      <w:r w:rsidRPr="00E27443">
        <w:t>recommendations</w:t>
      </w:r>
      <w:r w:rsidR="00C63F8F" w:rsidRPr="00E27443">
        <w:t xml:space="preserve"> </w:t>
      </w:r>
      <w:r w:rsidRPr="00E27443">
        <w:t>of</w:t>
      </w:r>
      <w:r w:rsidR="00C63F8F" w:rsidRPr="00E27443">
        <w:t xml:space="preserve"> </w:t>
      </w:r>
      <w:r w:rsidRPr="00E27443">
        <w:t>these</w:t>
      </w:r>
      <w:r w:rsidR="00C63F8F" w:rsidRPr="00E27443">
        <w:t xml:space="preserve"> </w:t>
      </w:r>
      <w:r w:rsidRPr="00E27443">
        <w:t>bodies</w:t>
      </w:r>
      <w:r w:rsidR="00C63F8F" w:rsidRPr="00E27443">
        <w:t xml:space="preserve"> </w:t>
      </w:r>
      <w:r w:rsidRPr="00E27443">
        <w:t>seriously,</w:t>
      </w:r>
      <w:r w:rsidR="00C63F8F" w:rsidRPr="00E27443">
        <w:t xml:space="preserve"> </w:t>
      </w:r>
      <w:r w:rsidRPr="00E27443">
        <w:t>which</w:t>
      </w:r>
      <w:r w:rsidR="00C63F8F" w:rsidRPr="00E27443">
        <w:t xml:space="preserve"> </w:t>
      </w:r>
      <w:r w:rsidRPr="00E27443">
        <w:t>is</w:t>
      </w:r>
      <w:r w:rsidR="00C63F8F" w:rsidRPr="00E27443">
        <w:t xml:space="preserve"> </w:t>
      </w:r>
      <w:r w:rsidRPr="00E27443">
        <w:t>contributing</w:t>
      </w:r>
      <w:r w:rsidR="00C63F8F" w:rsidRPr="00E27443">
        <w:t xml:space="preserve"> </w:t>
      </w:r>
      <w:r w:rsidRPr="00E27443">
        <w:t>to</w:t>
      </w:r>
      <w:r w:rsidR="00C63F8F" w:rsidRPr="00E27443">
        <w:t xml:space="preserve"> </w:t>
      </w:r>
      <w:r w:rsidRPr="00E27443">
        <w:t>developing</w:t>
      </w:r>
      <w:r w:rsidR="00C63F8F" w:rsidRPr="00E27443">
        <w:t xml:space="preserve"> </w:t>
      </w:r>
      <w:r w:rsidRPr="00E27443">
        <w:t>the</w:t>
      </w:r>
      <w:r w:rsidR="00C63F8F" w:rsidRPr="00E27443">
        <w:t xml:space="preserve"> </w:t>
      </w:r>
      <w:r w:rsidRPr="00E27443">
        <w:t>protection</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p>
    <w:p w:rsidR="00321ADA" w:rsidRPr="00E27443" w:rsidRDefault="00321ADA" w:rsidP="00EF17DF">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a</w:t>
      </w:r>
      <w:r w:rsidR="00C63F8F" w:rsidRPr="00E27443">
        <w:t xml:space="preserve"> </w:t>
      </w:r>
      <w:r w:rsidRPr="00E27443">
        <w:t>dualist</w:t>
      </w:r>
      <w:r w:rsidR="00C63F8F" w:rsidRPr="00E27443">
        <w:t xml:space="preserve"> </w:t>
      </w:r>
      <w:r w:rsidRPr="00E27443">
        <w:t>legal</w:t>
      </w:r>
      <w:r w:rsidR="00C63F8F" w:rsidRPr="00E27443">
        <w:t xml:space="preserve"> </w:t>
      </w:r>
      <w:r w:rsidRPr="00E27443">
        <w:t>system,</w:t>
      </w:r>
      <w:r w:rsidR="00C63F8F" w:rsidRPr="00E27443">
        <w:t xml:space="preserve"> </w:t>
      </w:r>
      <w:r w:rsidRPr="00E27443">
        <w:t>which</w:t>
      </w:r>
      <w:r w:rsidR="00C63F8F" w:rsidRPr="00E27443">
        <w:t xml:space="preserve"> </w:t>
      </w:r>
      <w:r w:rsidRPr="00E27443">
        <w:t>means</w:t>
      </w:r>
      <w:r w:rsidR="00C63F8F" w:rsidRPr="00E27443">
        <w:t xml:space="preserve"> </w:t>
      </w:r>
      <w:r w:rsidRPr="00E27443">
        <w:t>that</w:t>
      </w:r>
      <w:r w:rsidR="00C63F8F" w:rsidRPr="00E27443">
        <w:t xml:space="preserve"> </w:t>
      </w:r>
      <w:r w:rsidRPr="00E27443">
        <w:t>international</w:t>
      </w:r>
      <w:r w:rsidR="00C63F8F" w:rsidRPr="00E27443">
        <w:t xml:space="preserve"> </w:t>
      </w:r>
      <w:r w:rsidRPr="00E27443">
        <w:t>conventions</w:t>
      </w:r>
      <w:r w:rsidR="00C63F8F" w:rsidRPr="00E27443">
        <w:t xml:space="preserve"> </w:t>
      </w:r>
      <w:r w:rsidRPr="00E27443">
        <w:t>are</w:t>
      </w:r>
      <w:r w:rsidR="00C63F8F" w:rsidRPr="00E27443">
        <w:t xml:space="preserve"> </w:t>
      </w:r>
      <w:r w:rsidRPr="00E27443">
        <w:t>not</w:t>
      </w:r>
      <w:r w:rsidR="00C63F8F" w:rsidRPr="00E27443">
        <w:t xml:space="preserve"> </w:t>
      </w:r>
      <w:r w:rsidRPr="00E27443">
        <w:t>automatically</w:t>
      </w:r>
      <w:r w:rsidR="00C63F8F" w:rsidRPr="00E27443">
        <w:t xml:space="preserve"> </w:t>
      </w:r>
      <w:r w:rsidRPr="00E27443">
        <w:t>incorporated</w:t>
      </w:r>
      <w:r w:rsidR="00C63F8F" w:rsidRPr="00E27443">
        <w:t xml:space="preserve"> </w:t>
      </w:r>
      <w:r w:rsidRPr="00E27443">
        <w:t>into</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The</w:t>
      </w:r>
      <w:r w:rsidR="00C63F8F" w:rsidRPr="00E27443">
        <w:t xml:space="preserve"> </w:t>
      </w:r>
      <w:r w:rsidRPr="00E27443">
        <w:t>Swedish</w:t>
      </w:r>
      <w:r w:rsidR="00C63F8F" w:rsidRPr="00E27443">
        <w:t xml:space="preserve"> </w:t>
      </w:r>
      <w:r w:rsidRPr="00E27443">
        <w:t>approach</w:t>
      </w:r>
      <w:r w:rsidR="00C63F8F" w:rsidRPr="00E27443">
        <w:t xml:space="preserve"> </w:t>
      </w:r>
      <w:r w:rsidRPr="00E27443">
        <w:t>means</w:t>
      </w:r>
      <w:r w:rsidR="00C63F8F" w:rsidRPr="00E27443">
        <w:t xml:space="preserve"> </w:t>
      </w:r>
      <w:r w:rsidRPr="00E27443">
        <w:t>that</w:t>
      </w:r>
      <w:r w:rsidR="00C63F8F" w:rsidRPr="00E27443">
        <w:t xml:space="preserve"> </w:t>
      </w:r>
      <w:r w:rsidRPr="00E27443">
        <w:t>international</w:t>
      </w:r>
      <w:r w:rsidR="00C63F8F" w:rsidRPr="00E27443">
        <w:t xml:space="preserve"> </w:t>
      </w:r>
      <w:r w:rsidRPr="00E27443">
        <w:t>conventions</w:t>
      </w:r>
      <w:r w:rsidR="00C63F8F" w:rsidRPr="00E27443">
        <w:t xml:space="preserve"> </w:t>
      </w:r>
      <w:r w:rsidRPr="00E27443">
        <w:t>are</w:t>
      </w:r>
      <w:r w:rsidR="00C63F8F" w:rsidRPr="00E27443">
        <w:t xml:space="preserve"> </w:t>
      </w:r>
      <w:r w:rsidRPr="00E27443">
        <w:t>normally</w:t>
      </w:r>
      <w:r w:rsidR="00C63F8F" w:rsidRPr="00E27443">
        <w:t xml:space="preserve"> </w:t>
      </w:r>
      <w:r w:rsidRPr="00E27443">
        <w:t>transformed</w:t>
      </w:r>
      <w:r w:rsidR="00C63F8F" w:rsidRPr="00E27443">
        <w:t xml:space="preserve"> </w:t>
      </w:r>
      <w:r w:rsidRPr="00E27443">
        <w:t>into</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be</w:t>
      </w:r>
      <w:r w:rsidR="00C63F8F" w:rsidRPr="00E27443">
        <w:t xml:space="preserve"> </w:t>
      </w:r>
      <w:r w:rsidRPr="00E27443">
        <w:t>applicable</w:t>
      </w:r>
      <w:r w:rsidR="00C63F8F" w:rsidRPr="00E27443">
        <w:t xml:space="preserve"> </w:t>
      </w:r>
      <w:r w:rsidRPr="00E27443">
        <w:t>as</w:t>
      </w:r>
      <w:r w:rsidR="00C63F8F" w:rsidRPr="00E27443">
        <w:t xml:space="preserve"> </w:t>
      </w:r>
      <w:r w:rsidRPr="00E27443">
        <w:t>Swedish</w:t>
      </w:r>
      <w:r w:rsidR="00C63F8F" w:rsidRPr="00E27443">
        <w:t xml:space="preserve"> </w:t>
      </w:r>
      <w:r w:rsidRPr="00E27443">
        <w:t>law.</w:t>
      </w:r>
    </w:p>
    <w:p w:rsidR="00EF17DF"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preparations</w:t>
      </w:r>
      <w:r w:rsidR="00C63F8F" w:rsidRPr="00E27443">
        <w:t xml:space="preserve"> </w:t>
      </w:r>
      <w:r w:rsidRPr="00E27443">
        <w:t>ahead</w:t>
      </w:r>
      <w:r w:rsidR="00C63F8F" w:rsidRPr="00E27443">
        <w:t xml:space="preserve"> </w:t>
      </w:r>
      <w:r w:rsidRPr="00E27443">
        <w:t>of</w:t>
      </w:r>
      <w:r w:rsidR="00C63F8F" w:rsidRPr="00E27443">
        <w:t xml:space="preserve"> </w:t>
      </w:r>
      <w:r w:rsidRPr="00E27443">
        <w:t>the</w:t>
      </w:r>
      <w:r w:rsidR="00C63F8F" w:rsidRPr="00E27443">
        <w:t xml:space="preserve"> </w:t>
      </w:r>
      <w:r w:rsidRPr="00E27443">
        <w:t>ratification</w:t>
      </w:r>
      <w:r w:rsidR="00C63F8F" w:rsidRPr="00E27443">
        <w:t xml:space="preserve"> </w:t>
      </w:r>
      <w:r w:rsidRPr="00E27443">
        <w:t>of</w:t>
      </w:r>
      <w:r w:rsidR="00C63F8F" w:rsidRPr="00E27443">
        <w:t xml:space="preserve"> </w:t>
      </w:r>
      <w:r w:rsidRPr="00E27443">
        <w:t>the</w:t>
      </w:r>
      <w:r w:rsidR="00C63F8F" w:rsidRPr="00E27443">
        <w:t xml:space="preserve"> </w:t>
      </w:r>
      <w:r w:rsidRPr="00E27443">
        <w:t>International</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included</w:t>
      </w:r>
      <w:r w:rsidR="00C63F8F" w:rsidRPr="00E27443">
        <w:t xml:space="preserve"> </w:t>
      </w:r>
      <w:r w:rsidRPr="00E27443">
        <w:t>a</w:t>
      </w:r>
      <w:r w:rsidR="00C63F8F" w:rsidRPr="00E27443">
        <w:t xml:space="preserve"> </w:t>
      </w:r>
      <w:r w:rsidRPr="00E27443">
        <w:t>comprehensive</w:t>
      </w:r>
      <w:r w:rsidR="00C63F8F" w:rsidRPr="00E27443">
        <w:t xml:space="preserve"> </w:t>
      </w:r>
      <w:r w:rsidRPr="00E27443">
        <w:t>review</w:t>
      </w:r>
      <w:r w:rsidR="00C63F8F" w:rsidRPr="00E27443">
        <w:t xml:space="preserve"> </w:t>
      </w:r>
      <w:r w:rsidRPr="00E27443">
        <w:t>of</w:t>
      </w:r>
      <w:r w:rsidR="00C63F8F" w:rsidRPr="00E27443">
        <w:t xml:space="preserve"> </w:t>
      </w:r>
      <w:r w:rsidRPr="00E27443">
        <w:t>the</w:t>
      </w:r>
      <w:r w:rsidR="00C63F8F" w:rsidRPr="00E27443">
        <w:t xml:space="preserve"> </w:t>
      </w:r>
      <w:r w:rsidRPr="00E27443">
        <w:t>legislation,</w:t>
      </w:r>
      <w:r w:rsidR="00C63F8F" w:rsidRPr="00E27443">
        <w:t xml:space="preserve"> </w:t>
      </w:r>
      <w:r w:rsidRPr="00E27443">
        <w:t>the</w:t>
      </w:r>
      <w:r w:rsidR="00C63F8F" w:rsidRPr="00E27443">
        <w:t xml:space="preserve"> </w:t>
      </w:r>
      <w:r w:rsidRPr="00E27443">
        <w:t>application</w:t>
      </w:r>
      <w:r w:rsidR="00C63F8F" w:rsidRPr="00E27443">
        <w:t xml:space="preserve"> </w:t>
      </w:r>
      <w:r w:rsidRPr="00E27443">
        <w:t>of</w:t>
      </w:r>
      <w:r w:rsidR="00C63F8F" w:rsidRPr="00E27443">
        <w:t xml:space="preserve"> </w:t>
      </w:r>
      <w:r w:rsidRPr="00E27443">
        <w:t>laws</w:t>
      </w:r>
      <w:r w:rsidR="00C63F8F" w:rsidRPr="00E27443">
        <w:t xml:space="preserve"> </w:t>
      </w:r>
      <w:r w:rsidRPr="00E27443">
        <w:t>and</w:t>
      </w:r>
      <w:r w:rsidR="00C63F8F" w:rsidRPr="00E27443">
        <w:t xml:space="preserve"> </w:t>
      </w:r>
      <w:r w:rsidRPr="00E27443">
        <w:t>action</w:t>
      </w:r>
      <w:r w:rsidR="00C63F8F" w:rsidRPr="00E27443">
        <w:t xml:space="preserve"> </w:t>
      </w:r>
      <w:r w:rsidRPr="00E27443">
        <w:t>programmes</w:t>
      </w:r>
      <w:r w:rsidR="00C63F8F" w:rsidRPr="00E27443">
        <w:t xml:space="preserve"> </w:t>
      </w:r>
      <w:r w:rsidRPr="00E27443">
        <w:t>intended</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and</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were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provisions</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The</w:t>
      </w:r>
      <w:r w:rsidR="00C63F8F" w:rsidRPr="00E27443">
        <w:t xml:space="preserve"> </w:t>
      </w:r>
      <w:r w:rsidRPr="00E27443">
        <w:t>review</w:t>
      </w:r>
      <w:r w:rsidR="00C63F8F" w:rsidRPr="00E27443">
        <w:t xml:space="preserve"> </w:t>
      </w:r>
      <w:r w:rsidRPr="00E27443">
        <w:t>and</w:t>
      </w:r>
      <w:r w:rsidR="00C63F8F" w:rsidRPr="00E27443">
        <w:t xml:space="preserve"> </w:t>
      </w:r>
      <w:r w:rsidRPr="00E27443">
        <w:t>the</w:t>
      </w:r>
      <w:r w:rsidR="00C63F8F" w:rsidRPr="00E27443">
        <w:t xml:space="preserve"> </w:t>
      </w:r>
      <w:r w:rsidRPr="00E27443">
        <w:t>subsequent</w:t>
      </w:r>
      <w:r w:rsidR="00C63F8F" w:rsidRPr="00E27443">
        <w:t xml:space="preserve"> </w:t>
      </w:r>
      <w:r w:rsidRPr="00E27443">
        <w:t>Government</w:t>
      </w:r>
      <w:r w:rsidR="00C63F8F" w:rsidRPr="00E27443">
        <w:t xml:space="preserve"> </w:t>
      </w:r>
      <w:r w:rsidRPr="00E27443">
        <w:t>bill,</w:t>
      </w:r>
      <w:r w:rsidR="00C63F8F" w:rsidRPr="00E27443">
        <w:t xml:space="preserve"> </w:t>
      </w:r>
      <w:r w:rsidRPr="00E27443">
        <w:t>Human</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F60372" w:rsidRPr="00E27443">
        <w:rPr>
          <w:rStyle w:val="FootnoteReference"/>
        </w:rPr>
        <w:footnoteReference w:id="5"/>
      </w:r>
      <w:r w:rsidR="00C63F8F" w:rsidRPr="00E27443">
        <w:t xml:space="preserve"> </w:t>
      </w:r>
      <w:r w:rsidRPr="00E27443">
        <w:t>led</w:t>
      </w:r>
      <w:r w:rsidR="00C63F8F" w:rsidRPr="00E27443">
        <w:t xml:space="preserve"> </w:t>
      </w:r>
      <w:r w:rsidRPr="00E27443">
        <w:t>to</w:t>
      </w:r>
      <w:r w:rsidR="00C63F8F" w:rsidRPr="00E27443">
        <w:t xml:space="preserve"> </w:t>
      </w:r>
      <w:r w:rsidRPr="00E27443">
        <w:t>the</w:t>
      </w:r>
      <w:r w:rsidR="00C63F8F" w:rsidRPr="00E27443">
        <w:t xml:space="preserve"> </w:t>
      </w:r>
      <w:r w:rsidRPr="00E27443">
        <w:t>ratification</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r w:rsidR="00C63F8F" w:rsidRPr="00E27443">
        <w:t xml:space="preserve"> </w:t>
      </w:r>
    </w:p>
    <w:p w:rsidR="00C7177D" w:rsidRDefault="00C7177D" w:rsidP="00C7177D">
      <w:pPr>
        <w:pStyle w:val="SingleTxtG"/>
        <w:tabs>
          <w:tab w:val="left" w:pos="1843"/>
        </w:tabs>
      </w:pPr>
    </w:p>
    <w:p w:rsidR="00321ADA" w:rsidRPr="00E27443" w:rsidRDefault="00C7177D" w:rsidP="00C63F8F">
      <w:pPr>
        <w:pStyle w:val="HChG"/>
      </w:pPr>
      <w:r>
        <w:tab/>
      </w:r>
      <w:r w:rsidR="00C63F8F" w:rsidRPr="00E27443">
        <w:tab/>
      </w:r>
      <w:bookmarkStart w:id="2" w:name="_Toc290623286"/>
      <w:r w:rsidR="00321ADA" w:rsidRPr="00E27443">
        <w:t>I.</w:t>
      </w:r>
      <w:r w:rsidR="00C63F8F" w:rsidRPr="00E27443">
        <w:t xml:space="preserve"> </w:t>
      </w:r>
      <w:r w:rsidR="00C63F8F" w:rsidRPr="00E27443">
        <w:tab/>
      </w:r>
      <w:r w:rsidR="00321ADA" w:rsidRPr="00E27443">
        <w:t>General</w:t>
      </w:r>
      <w:r w:rsidR="00C63F8F" w:rsidRPr="00E27443">
        <w:t xml:space="preserve"> </w:t>
      </w:r>
      <w:r w:rsidR="00321ADA" w:rsidRPr="00E27443">
        <w:t>provisions</w:t>
      </w:r>
      <w:r w:rsidR="00C63F8F" w:rsidRPr="00E27443">
        <w:t xml:space="preserve"> </w:t>
      </w:r>
      <w:r w:rsidR="00321ADA" w:rsidRPr="00E27443">
        <w:t>(</w:t>
      </w:r>
      <w:r w:rsidR="00037AED" w:rsidRPr="00E27443">
        <w:t>a</w:t>
      </w:r>
      <w:r w:rsidR="00321ADA" w:rsidRPr="00E27443">
        <w:t>rts</w:t>
      </w:r>
      <w:r w:rsidR="00037AED" w:rsidRPr="00E27443">
        <w:t>.</w:t>
      </w:r>
      <w:r w:rsidR="00C63F8F" w:rsidRPr="00E27443">
        <w:t xml:space="preserve"> </w:t>
      </w:r>
      <w:r w:rsidR="00321ADA" w:rsidRPr="00E27443">
        <w:t>1</w:t>
      </w:r>
      <w:r w:rsidR="00C63F8F" w:rsidRPr="00E27443">
        <w:t xml:space="preserve"> </w:t>
      </w:r>
      <w:r w:rsidR="00321ADA" w:rsidRPr="00E27443">
        <w:t>to</w:t>
      </w:r>
      <w:r w:rsidR="00C63F8F" w:rsidRPr="00E27443">
        <w:t xml:space="preserve"> </w:t>
      </w:r>
      <w:r w:rsidR="00321ADA" w:rsidRPr="00E27443">
        <w:t>4)</w:t>
      </w:r>
      <w:bookmarkEnd w:id="2"/>
    </w:p>
    <w:p w:rsidR="00321ADA" w:rsidRPr="00E27443" w:rsidRDefault="00C63F8F" w:rsidP="00C63F8F">
      <w:pPr>
        <w:pStyle w:val="H1G"/>
      </w:pPr>
      <w:r w:rsidRPr="00E27443">
        <w:tab/>
      </w:r>
      <w:r w:rsidRPr="00E27443">
        <w:tab/>
      </w:r>
      <w:bookmarkStart w:id="3" w:name="_Toc290623287"/>
      <w:r w:rsidR="00321ADA" w:rsidRPr="00E27443">
        <w:t>Article</w:t>
      </w:r>
      <w:r w:rsidRPr="00E27443">
        <w:t xml:space="preserve"> </w:t>
      </w:r>
      <w:r w:rsidR="00321ADA" w:rsidRPr="00E27443">
        <w:t>1</w:t>
      </w:r>
      <w:r w:rsidR="00EF17DF">
        <w:t xml:space="preserve">: </w:t>
      </w:r>
      <w:r w:rsidR="00321ADA" w:rsidRPr="00E27443">
        <w:t>Purpose</w:t>
      </w:r>
      <w:bookmarkEnd w:id="3"/>
    </w:p>
    <w:p w:rsidR="00321ADA" w:rsidRPr="00E27443" w:rsidRDefault="00321ADA" w:rsidP="00EF17DF">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applies</w:t>
      </w:r>
      <w:r w:rsidR="00C63F8F" w:rsidRPr="00E27443">
        <w:t xml:space="preserve"> </w:t>
      </w:r>
      <w:r w:rsidRPr="00E27443">
        <w:t>to</w:t>
      </w:r>
      <w:r w:rsidR="00C63F8F" w:rsidRPr="00E27443">
        <w:t xml:space="preserve"> </w:t>
      </w:r>
      <w:r w:rsidRPr="00E27443">
        <w:t>the</w:t>
      </w:r>
      <w:r w:rsidR="00C63F8F" w:rsidRPr="00E27443">
        <w:t xml:space="preserve"> </w:t>
      </w:r>
      <w:r w:rsidRPr="00E27443">
        <w:t>environmental</w:t>
      </w:r>
      <w:r w:rsidR="00C63F8F" w:rsidRPr="00E27443">
        <w:t xml:space="preserve"> </w:t>
      </w:r>
      <w:r w:rsidRPr="00E27443">
        <w:t>concept</w:t>
      </w:r>
      <w:r w:rsidR="00C63F8F" w:rsidRPr="00E27443">
        <w:t xml:space="preserve"> </w:t>
      </w:r>
      <w:r w:rsidRPr="00E27443">
        <w:t>of</w:t>
      </w:r>
      <w:r w:rsidR="00C63F8F" w:rsidRPr="00E27443">
        <w:t xml:space="preserve"> </w:t>
      </w:r>
      <w:r w:rsidRPr="00E27443">
        <w:t>disability</w:t>
      </w:r>
      <w:r w:rsidR="00C63F8F" w:rsidRPr="00E27443">
        <w:t xml:space="preserve"> </w:t>
      </w:r>
      <w:r w:rsidRPr="00E27443">
        <w:t>with</w:t>
      </w:r>
      <w:r w:rsidR="00C63F8F" w:rsidRPr="00E27443">
        <w:t xml:space="preserve"> </w:t>
      </w:r>
      <w:r w:rsidRPr="00E27443">
        <w:t>reference</w:t>
      </w:r>
      <w:r w:rsidR="00C63F8F" w:rsidRPr="00E27443">
        <w:t xml:space="preserve"> </w:t>
      </w:r>
      <w:r w:rsidRPr="00E27443">
        <w:t>to</w:t>
      </w:r>
      <w:r w:rsidR="00C63F8F" w:rsidRPr="00E27443">
        <w:t xml:space="preserve"> </w:t>
      </w:r>
      <w:r w:rsidRPr="00E27443">
        <w:t>WHO</w:t>
      </w:r>
      <w:r w:rsidR="00C63F8F" w:rsidRPr="00E27443">
        <w:t xml:space="preserve"> </w:t>
      </w:r>
      <w:r w:rsidRPr="00E27443">
        <w:t>International</w:t>
      </w:r>
      <w:r w:rsidR="00C63F8F" w:rsidRPr="00E27443">
        <w:t xml:space="preserve"> </w:t>
      </w:r>
      <w:r w:rsidRPr="00E27443">
        <w:t>Classification</w:t>
      </w:r>
      <w:r w:rsidR="00C63F8F" w:rsidRPr="00E27443">
        <w:t xml:space="preserve"> </w:t>
      </w:r>
      <w:r w:rsidRPr="00E27443">
        <w:t>of</w:t>
      </w:r>
      <w:r w:rsidR="00C63F8F" w:rsidRPr="00E27443">
        <w:t xml:space="preserve"> </w:t>
      </w:r>
      <w:r w:rsidRPr="00E27443">
        <w:t>Functioning,</w:t>
      </w:r>
      <w:r w:rsidR="00C63F8F" w:rsidRPr="00E27443">
        <w:t xml:space="preserve"> </w:t>
      </w:r>
      <w:r w:rsidRPr="00E27443">
        <w:t>Disability</w:t>
      </w:r>
      <w:r w:rsidR="00C63F8F" w:rsidRPr="00E27443">
        <w:t xml:space="preserve"> </w:t>
      </w:r>
      <w:r w:rsidRPr="00E27443">
        <w:t>and</w:t>
      </w:r>
      <w:r w:rsidR="00C63F8F" w:rsidRPr="00E27443">
        <w:t xml:space="preserve"> </w:t>
      </w:r>
      <w:r w:rsidRPr="00E27443">
        <w:t>Health</w:t>
      </w:r>
      <w:r w:rsidR="00C63F8F" w:rsidRPr="00E27443">
        <w:t xml:space="preserve"> </w:t>
      </w:r>
      <w:r w:rsidRPr="00E27443">
        <w:t>(ICF).</w:t>
      </w:r>
      <w:r w:rsidR="00C63F8F" w:rsidRPr="00E27443">
        <w:t xml:space="preserve"> </w:t>
      </w:r>
      <w:r w:rsidRPr="00E27443">
        <w:t>Alongside</w:t>
      </w:r>
      <w:r w:rsidR="00C63F8F" w:rsidRPr="00E27443">
        <w:t xml:space="preserve"> </w:t>
      </w:r>
      <w:r w:rsidRPr="00E27443">
        <w:t>physical</w:t>
      </w:r>
      <w:r w:rsidR="00C63F8F" w:rsidRPr="00E27443">
        <w:t xml:space="preserve"> </w:t>
      </w:r>
      <w:r w:rsidRPr="00E27443">
        <w:t>structures</w:t>
      </w:r>
      <w:r w:rsidR="00C63F8F" w:rsidRPr="00E27443">
        <w:t xml:space="preserve"> </w:t>
      </w:r>
      <w:r w:rsidRPr="00E27443">
        <w:t>and</w:t>
      </w:r>
      <w:r w:rsidR="00C63F8F" w:rsidRPr="00E27443">
        <w:t xml:space="preserve"> </w:t>
      </w:r>
      <w:r w:rsidRPr="00E27443">
        <w:t>functions,</w:t>
      </w:r>
      <w:r w:rsidR="00C63F8F" w:rsidRPr="00E27443">
        <w:t xml:space="preserve"> </w:t>
      </w:r>
      <w:r w:rsidRPr="00E27443">
        <w:t>this</w:t>
      </w:r>
      <w:r w:rsidR="00C63F8F" w:rsidRPr="00E27443">
        <w:t xml:space="preserve"> </w:t>
      </w:r>
      <w:r w:rsidRPr="00E27443">
        <w:t>classification</w:t>
      </w:r>
      <w:r w:rsidR="00C63F8F" w:rsidRPr="00E27443">
        <w:t xml:space="preserve"> </w:t>
      </w:r>
      <w:r w:rsidRPr="00E27443">
        <w:t>also</w:t>
      </w:r>
      <w:r w:rsidR="00C63F8F" w:rsidRPr="00E27443">
        <w:t xml:space="preserve"> </w:t>
      </w:r>
      <w:r w:rsidRPr="00E27443">
        <w:t>takes</w:t>
      </w:r>
      <w:r w:rsidR="00C63F8F" w:rsidRPr="00E27443">
        <w:t xml:space="preserve"> </w:t>
      </w:r>
      <w:r w:rsidRPr="00E27443">
        <w:t>context-related</w:t>
      </w:r>
      <w:r w:rsidR="00C63F8F" w:rsidRPr="00E27443">
        <w:t xml:space="preserve"> </w:t>
      </w:r>
      <w:r w:rsidRPr="00E27443">
        <w:t>factors</w:t>
      </w:r>
      <w:r w:rsidR="00C63F8F" w:rsidRPr="00E27443">
        <w:t xml:space="preserve"> </w:t>
      </w:r>
      <w:r w:rsidRPr="00E27443">
        <w:t>in</w:t>
      </w:r>
      <w:r w:rsidR="00C63F8F" w:rsidRPr="00E27443">
        <w:t xml:space="preserve"> </w:t>
      </w:r>
      <w:r w:rsidRPr="00E27443">
        <w:t>account.</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There</w:t>
      </w:r>
      <w:r w:rsidR="00C63F8F" w:rsidRPr="00E27443">
        <w:t xml:space="preserve"> </w:t>
      </w:r>
      <w:r w:rsidRPr="00E27443">
        <w:t>is</w:t>
      </w:r>
      <w:r w:rsidR="00C63F8F" w:rsidRPr="00E27443">
        <w:t xml:space="preserve"> </w:t>
      </w:r>
      <w:r w:rsidRPr="00E27443">
        <w:t>no</w:t>
      </w:r>
      <w:r w:rsidR="00C63F8F" w:rsidRPr="00E27443">
        <w:t xml:space="preserve"> </w:t>
      </w:r>
      <w:r w:rsidRPr="00E27443">
        <w:t>uniform</w:t>
      </w:r>
      <w:r w:rsidR="00C63F8F" w:rsidRPr="00E27443">
        <w:t xml:space="preserve"> </w:t>
      </w:r>
      <w:r w:rsidRPr="00E27443">
        <w:t>definition</w:t>
      </w:r>
      <w:r w:rsidR="00C63F8F" w:rsidRPr="00E27443">
        <w:t xml:space="preserve"> </w:t>
      </w:r>
      <w:r w:rsidRPr="00E27443">
        <w:t>of</w:t>
      </w:r>
      <w:r w:rsidR="00C63F8F" w:rsidRPr="00E27443">
        <w:t xml:space="preserve"> </w:t>
      </w:r>
      <w:r w:rsidRPr="00E27443">
        <w:t>the</w:t>
      </w:r>
      <w:r w:rsidR="00C63F8F" w:rsidRPr="00E27443">
        <w:t xml:space="preserve"> </w:t>
      </w:r>
      <w:r w:rsidRPr="00E27443">
        <w:t>phrase</w:t>
      </w:r>
      <w:r w:rsidR="00C63F8F" w:rsidRPr="00E27443">
        <w:t xml:space="preserve"> ‘</w:t>
      </w:r>
      <w:r w:rsidRPr="00E27443">
        <w:t>long-term</w:t>
      </w:r>
      <w:r w:rsidR="00C63F8F" w:rsidRPr="00E27443">
        <w:t>’</w:t>
      </w:r>
      <w:r w:rsidRPr="00E27443">
        <w:t>.</w:t>
      </w:r>
      <w:r w:rsidR="00C63F8F" w:rsidRPr="00E27443">
        <w:t xml:space="preserve"> </w:t>
      </w:r>
      <w:r w:rsidRPr="00E27443">
        <w:t>There</w:t>
      </w:r>
      <w:r w:rsidR="00C63F8F" w:rsidRPr="00E27443">
        <w:t xml:space="preserve"> </w:t>
      </w:r>
      <w:r w:rsidRPr="00E27443">
        <w:t>is</w:t>
      </w:r>
      <w:r w:rsidR="00C63F8F" w:rsidRPr="00E27443">
        <w:t xml:space="preserve"> </w:t>
      </w:r>
      <w:r w:rsidRPr="00E27443">
        <w:t>also</w:t>
      </w:r>
      <w:r w:rsidR="00C63F8F" w:rsidRPr="00E27443">
        <w:t xml:space="preserve"> </w:t>
      </w:r>
      <w:r w:rsidRPr="00E27443">
        <w:t>no</w:t>
      </w:r>
      <w:r w:rsidR="00C63F8F" w:rsidRPr="00E27443">
        <w:t xml:space="preserve"> </w:t>
      </w:r>
      <w:r w:rsidRPr="00E27443">
        <w:t>clear</w:t>
      </w:r>
      <w:r w:rsidR="00C63F8F" w:rsidRPr="00E27443">
        <w:t xml:space="preserve"> </w:t>
      </w:r>
      <w:r w:rsidRPr="00E27443">
        <w:t>definition</w:t>
      </w:r>
      <w:r w:rsidR="00C63F8F" w:rsidRPr="00E27443">
        <w:t xml:space="preserve"> </w:t>
      </w:r>
      <w:r w:rsidRPr="00E27443">
        <w:t>of</w:t>
      </w:r>
      <w:r w:rsidR="00C63F8F" w:rsidRPr="00E27443">
        <w:t xml:space="preserve"> ‘</w:t>
      </w:r>
      <w:r w:rsidRPr="00E27443">
        <w:t>disability</w:t>
      </w:r>
      <w:r w:rsidR="00C63F8F" w:rsidRPr="00E27443">
        <w:t>’</w:t>
      </w:r>
      <w:r w:rsidRPr="00E27443">
        <w:t>,</w:t>
      </w:r>
      <w:r w:rsidR="00C63F8F" w:rsidRPr="00E27443">
        <w:t xml:space="preserve"> </w:t>
      </w:r>
      <w:r w:rsidRPr="00E27443">
        <w:t>although</w:t>
      </w:r>
      <w:r w:rsidR="00C63F8F" w:rsidRPr="00E27443">
        <w:t xml:space="preserve"> </w:t>
      </w:r>
      <w:r w:rsidRPr="00E27443">
        <w:t>using</w:t>
      </w:r>
      <w:r w:rsidR="00C63F8F" w:rsidRPr="00E27443">
        <w:t xml:space="preserve"> </w:t>
      </w:r>
      <w:r w:rsidRPr="00E27443">
        <w:t>an</w:t>
      </w:r>
      <w:r w:rsidR="00C63F8F" w:rsidRPr="00E27443">
        <w:t xml:space="preserve"> </w:t>
      </w:r>
      <w:r w:rsidRPr="00E27443">
        <w:t>approximate</w:t>
      </w:r>
      <w:r w:rsidR="00C63F8F" w:rsidRPr="00E27443">
        <w:t xml:space="preserve"> </w:t>
      </w:r>
      <w:r w:rsidRPr="00E27443">
        <w:t>definition</w:t>
      </w:r>
      <w:r w:rsidR="00C63F8F" w:rsidRPr="00E27443">
        <w:t xml:space="preserve"> </w:t>
      </w:r>
      <w:r w:rsidRPr="00E27443">
        <w:t>there</w:t>
      </w:r>
      <w:r w:rsidR="00C63F8F" w:rsidRPr="00E27443">
        <w:t xml:space="preserve"> </w:t>
      </w:r>
      <w:r w:rsidRPr="00E27443">
        <w:t>are</w:t>
      </w:r>
      <w:r w:rsidR="00C63F8F" w:rsidRPr="00E27443">
        <w:t xml:space="preserve"> </w:t>
      </w:r>
      <w:r w:rsidRPr="00E27443">
        <w:t>estimated</w:t>
      </w:r>
      <w:r w:rsidR="00C63F8F" w:rsidRPr="00E27443">
        <w:t xml:space="preserve"> </w:t>
      </w:r>
      <w:r w:rsidRPr="00E27443">
        <w:t>to</w:t>
      </w:r>
      <w:r w:rsidR="00C63F8F" w:rsidRPr="00E27443">
        <w:t xml:space="preserve"> </w:t>
      </w:r>
      <w:r w:rsidRPr="00E27443">
        <w:t>be</w:t>
      </w:r>
      <w:r w:rsidR="00C63F8F" w:rsidRPr="00E27443">
        <w:t xml:space="preserve"> </w:t>
      </w:r>
      <w:r w:rsidRPr="00E27443">
        <w:t>between</w:t>
      </w:r>
      <w:r w:rsidR="00C63F8F" w:rsidRPr="00E27443">
        <w:t xml:space="preserve"> </w:t>
      </w:r>
      <w:r w:rsidRPr="00E27443">
        <w:t>1.1</w:t>
      </w:r>
      <w:r w:rsidR="00C63F8F" w:rsidRPr="00E27443">
        <w:t xml:space="preserve"> </w:t>
      </w:r>
      <w:r w:rsidRPr="00E27443">
        <w:t>and</w:t>
      </w:r>
      <w:r w:rsidR="00C63F8F" w:rsidRPr="00E27443">
        <w:t xml:space="preserve"> </w:t>
      </w:r>
      <w:r w:rsidRPr="00E27443">
        <w:t>1.5</w:t>
      </w:r>
      <w:r w:rsidR="00C63F8F" w:rsidRPr="00E27443">
        <w:t xml:space="preserve"> </w:t>
      </w:r>
      <w:r w:rsidRPr="00E27443">
        <w:t>million</w:t>
      </w:r>
      <w:r w:rsidR="00C63F8F" w:rsidRPr="00E27443">
        <w:t xml:space="preserve"> </w:t>
      </w:r>
      <w:r w:rsidRPr="00E27443">
        <w:t>persons</w:t>
      </w:r>
      <w:r w:rsidR="00C63F8F" w:rsidRPr="00E27443">
        <w:t xml:space="preserve"> </w:t>
      </w:r>
      <w:r w:rsidRPr="00E27443">
        <w:t>of</w:t>
      </w:r>
      <w:r w:rsidR="00C63F8F" w:rsidRPr="00E27443">
        <w:t xml:space="preserve"> </w:t>
      </w:r>
      <w:r w:rsidRPr="00E27443">
        <w:t>all</w:t>
      </w:r>
      <w:r w:rsidR="00C63F8F" w:rsidRPr="00E27443">
        <w:t xml:space="preserve"> </w:t>
      </w:r>
      <w:r w:rsidRPr="00E27443">
        <w:t>ages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of</w:t>
      </w:r>
      <w:r w:rsidR="00C63F8F" w:rsidRPr="00E27443">
        <w:t xml:space="preserve"> </w:t>
      </w:r>
      <w:r w:rsidRPr="00E27443">
        <w:t>varying</w:t>
      </w:r>
      <w:r w:rsidR="00C63F8F" w:rsidRPr="00E27443">
        <w:t xml:space="preserve"> </w:t>
      </w:r>
      <w:r w:rsidRPr="00E27443">
        <w:t>degrees.</w:t>
      </w:r>
      <w:r w:rsidR="00C63F8F" w:rsidRPr="00E27443">
        <w:t xml:space="preserve"> </w:t>
      </w:r>
      <w:r w:rsidRPr="00E27443">
        <w:t>Estimates</w:t>
      </w:r>
      <w:r w:rsidR="00C63F8F" w:rsidRPr="00E27443">
        <w:t xml:space="preserve"> </w:t>
      </w:r>
      <w:r w:rsidRPr="00E27443">
        <w:t>indicate</w:t>
      </w:r>
      <w:r w:rsidR="00C63F8F" w:rsidRPr="00E27443">
        <w:t xml:space="preserve"> </w:t>
      </w:r>
      <w:r w:rsidRPr="00E27443">
        <w:t>that</w:t>
      </w:r>
      <w:r w:rsidR="00C63F8F" w:rsidRPr="00E27443">
        <w:t xml:space="preserve"> </w:t>
      </w:r>
      <w:r w:rsidRPr="00E27443">
        <w:t>some</w:t>
      </w:r>
      <w:r w:rsidR="00C63F8F" w:rsidRPr="00E27443">
        <w:t xml:space="preserve"> </w:t>
      </w:r>
      <w:r w:rsidRPr="00E27443">
        <w:t>350</w:t>
      </w:r>
      <w:r w:rsidR="00C63F8F" w:rsidRPr="00E27443">
        <w:t xml:space="preserve"> </w:t>
      </w:r>
      <w:r w:rsidRPr="00E27443">
        <w:t>000</w:t>
      </w:r>
      <w:r w:rsidR="00C63F8F" w:rsidRPr="00E27443">
        <w:t xml:space="preserve"> </w:t>
      </w:r>
      <w:r w:rsidRPr="00E27443">
        <w:t>people</w:t>
      </w:r>
      <w:r w:rsidR="00C63F8F" w:rsidRPr="00E27443">
        <w:t xml:space="preserve"> </w:t>
      </w:r>
      <w:r w:rsidRPr="00E27443">
        <w:t>have</w:t>
      </w:r>
      <w:r w:rsidR="00C63F8F" w:rsidRPr="00E27443">
        <w:t xml:space="preserve"> </w:t>
      </w:r>
      <w:r w:rsidRPr="00E27443">
        <w:t>reported</w:t>
      </w:r>
      <w:r w:rsidR="00C63F8F" w:rsidRPr="00E27443">
        <w:t xml:space="preserve"> </w:t>
      </w:r>
      <w:r w:rsidRPr="00E27443">
        <w:t>self-perceived</w:t>
      </w:r>
      <w:r w:rsidR="00C63F8F" w:rsidRPr="00E27443">
        <w:t xml:space="preserve"> </w:t>
      </w:r>
      <w:r w:rsidRPr="00E27443">
        <w:t>disabilities.</w:t>
      </w:r>
      <w:r w:rsidR="00031A02" w:rsidRPr="00EC1A1A">
        <w:rPr>
          <w:vertAlign w:val="superscript"/>
        </w:rPr>
        <w:footnoteReference w:id="6"/>
      </w:r>
      <w:r w:rsidR="00C63F8F" w:rsidRPr="00EC1A1A">
        <w:rPr>
          <w:vertAlign w:val="superscript"/>
        </w:rPr>
        <w:t xml:space="preserve"> </w:t>
      </w:r>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term</w:t>
      </w:r>
      <w:r w:rsidR="00C63F8F" w:rsidRPr="00E27443">
        <w:t xml:space="preserve"> ‘</w:t>
      </w:r>
      <w:r w:rsidRPr="00E27443">
        <w:t>disability</w:t>
      </w:r>
      <w:r w:rsidR="00C63F8F" w:rsidRPr="00E27443">
        <w:t xml:space="preserve">’ </w:t>
      </w:r>
      <w:r w:rsidRPr="00E27443">
        <w:t>is</w:t>
      </w:r>
      <w:r w:rsidR="00C63F8F" w:rsidRPr="00E27443">
        <w:t xml:space="preserve"> </w:t>
      </w:r>
      <w:r w:rsidRPr="00E27443">
        <w:t>defined</w:t>
      </w:r>
      <w:r w:rsidR="00C63F8F" w:rsidRPr="00E27443">
        <w:t xml:space="preserve"> </w:t>
      </w:r>
      <w:r w:rsidRPr="00E27443">
        <w:t>differently</w:t>
      </w:r>
      <w:r w:rsidR="00C63F8F" w:rsidRPr="00E27443">
        <w:t xml:space="preserve"> </w:t>
      </w:r>
      <w:r w:rsidRPr="00E27443">
        <w:t>in</w:t>
      </w:r>
      <w:r w:rsidR="00C63F8F" w:rsidRPr="00E27443">
        <w:t xml:space="preserve"> </w:t>
      </w:r>
      <w:r w:rsidRPr="00E27443">
        <w:t>different</w:t>
      </w:r>
      <w:r w:rsidR="00C63F8F" w:rsidRPr="00E27443">
        <w:t xml:space="preserve"> </w:t>
      </w:r>
      <w:r w:rsidRPr="00E27443">
        <w:t>pieces</w:t>
      </w:r>
      <w:r w:rsidR="00C63F8F" w:rsidRPr="00E27443">
        <w:t xml:space="preserve"> </w:t>
      </w:r>
      <w:r w:rsidRPr="00E27443">
        <w:t>of</w:t>
      </w:r>
      <w:r w:rsidR="00C63F8F" w:rsidRPr="00E27443">
        <w:t xml:space="preserve"> </w:t>
      </w:r>
      <w:r w:rsidRPr="00E27443">
        <w:t>legislation,</w:t>
      </w:r>
      <w:r w:rsidR="00C63F8F" w:rsidRPr="00E27443">
        <w:t xml:space="preserve"> </w:t>
      </w:r>
      <w:r w:rsidRPr="00E27443">
        <w:t>such</w:t>
      </w:r>
      <w:r w:rsidR="00C63F8F" w:rsidRPr="00E27443">
        <w:t xml:space="preserve"> </w:t>
      </w:r>
      <w:r w:rsidRPr="00E27443">
        <w:t>as</w:t>
      </w:r>
      <w:r w:rsidR="00C63F8F" w:rsidRPr="00E27443">
        <w:t xml:space="preserve"> </w:t>
      </w:r>
      <w:r w:rsidRPr="00E27443">
        <w:t>the</w:t>
      </w:r>
      <w:r w:rsidR="00C63F8F" w:rsidRPr="00E27443">
        <w:t xml:space="preserve"> </w:t>
      </w:r>
      <w:r w:rsidRPr="00E27443">
        <w:t>Discrimination</w:t>
      </w:r>
      <w:r w:rsidR="00C63F8F" w:rsidRPr="00E27443">
        <w:t xml:space="preserve"> </w:t>
      </w:r>
      <w:r w:rsidRPr="00E27443">
        <w:t>Act,</w:t>
      </w:r>
      <w:r w:rsidR="00C63F8F" w:rsidRPr="00E27443">
        <w:t xml:space="preserve"> </w:t>
      </w: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Building</w:t>
      </w:r>
      <w:r w:rsidR="00C63F8F" w:rsidRPr="00E27443">
        <w:t xml:space="preserve"> </w:t>
      </w:r>
      <w:r w:rsidRPr="00E27443">
        <w:t>Act</w:t>
      </w:r>
      <w:r w:rsidR="00031A02" w:rsidRPr="00EC1A1A">
        <w:rPr>
          <w:vertAlign w:val="superscript"/>
        </w:rPr>
        <w:footnoteReference w:id="7"/>
      </w:r>
      <w:r w:rsidR="00C63F8F" w:rsidRPr="00E27443">
        <w:t xml:space="preserve"> </w:t>
      </w:r>
      <w:r w:rsidRPr="00E27443">
        <w:t>and</w:t>
      </w:r>
      <w:r w:rsidR="00C63F8F" w:rsidRPr="00E27443">
        <w:t xml:space="preserve"> </w:t>
      </w:r>
      <w:r w:rsidRPr="00E27443">
        <w:t>legislation</w:t>
      </w:r>
      <w:r w:rsidR="00C63F8F" w:rsidRPr="00E27443">
        <w:t xml:space="preserve"> </w:t>
      </w:r>
      <w:r w:rsidRPr="00E27443">
        <w:t>in</w:t>
      </w:r>
      <w:r w:rsidR="00C63F8F" w:rsidRPr="00E27443">
        <w:t xml:space="preserve"> </w:t>
      </w:r>
      <w:r w:rsidRPr="00E27443">
        <w:t>the</w:t>
      </w:r>
      <w:r w:rsidR="00C63F8F" w:rsidRPr="00E27443">
        <w:t xml:space="preserve"> </w:t>
      </w:r>
      <w:r w:rsidRPr="00E27443">
        <w:t>social</w:t>
      </w:r>
      <w:r w:rsidR="00C63F8F" w:rsidRPr="00E27443">
        <w:t xml:space="preserve"> </w:t>
      </w:r>
      <w:r w:rsidRPr="00E27443">
        <w:t>sphere.</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Discrimination</w:t>
      </w:r>
      <w:r w:rsidR="00C63F8F" w:rsidRPr="00E27443">
        <w:t xml:space="preserve"> </w:t>
      </w:r>
      <w:r w:rsidRPr="00E27443">
        <w:t>Act,</w:t>
      </w:r>
      <w:r w:rsidR="00C63F8F" w:rsidRPr="00E27443">
        <w:t xml:space="preserve"> </w:t>
      </w:r>
      <w:r w:rsidRPr="00E27443">
        <w:t>a</w:t>
      </w:r>
      <w:r w:rsidR="00C63F8F" w:rsidRPr="00E27443">
        <w:t xml:space="preserve"> </w:t>
      </w:r>
      <w:r w:rsidRPr="00E27443">
        <w:t>disability</w:t>
      </w:r>
      <w:r w:rsidR="00C63F8F" w:rsidRPr="00E27443">
        <w:t xml:space="preserve"> </w:t>
      </w:r>
      <w:r w:rsidRPr="00E27443">
        <w:t>refers</w:t>
      </w:r>
      <w:r w:rsidR="00C63F8F" w:rsidRPr="00E27443">
        <w:t xml:space="preserve"> </w:t>
      </w:r>
      <w:r w:rsidRPr="00E27443">
        <w:t>to</w:t>
      </w:r>
      <w:r w:rsidR="00C63F8F" w:rsidRPr="00E27443">
        <w:t xml:space="preserve"> </w:t>
      </w:r>
      <w:r w:rsidRPr="00E27443">
        <w:t>permanent</w:t>
      </w:r>
      <w:r w:rsidR="00C63F8F" w:rsidRPr="00E27443">
        <w:t xml:space="preserve"> </w:t>
      </w:r>
      <w:r w:rsidRPr="00E27443">
        <w:t>physical,</w:t>
      </w:r>
      <w:r w:rsidR="00C63F8F" w:rsidRPr="00E27443">
        <w:t xml:space="preserve"> </w:t>
      </w:r>
      <w:r w:rsidRPr="00E27443">
        <w:t>mental</w:t>
      </w:r>
      <w:r w:rsidR="00C63F8F" w:rsidRPr="00E27443">
        <w:t xml:space="preserve"> </w:t>
      </w:r>
      <w:r w:rsidRPr="00E27443">
        <w:t>or</w:t>
      </w:r>
      <w:r w:rsidR="00C63F8F" w:rsidRPr="00E27443">
        <w:t xml:space="preserve"> </w:t>
      </w:r>
      <w:r w:rsidRPr="00E27443">
        <w:t>intellectual</w:t>
      </w:r>
      <w:r w:rsidR="00C63F8F" w:rsidRPr="00E27443">
        <w:t xml:space="preserve"> </w:t>
      </w:r>
      <w:r w:rsidRPr="00E27443">
        <w:t>limitation</w:t>
      </w:r>
      <w:r w:rsidR="00C63F8F" w:rsidRPr="00E27443">
        <w:t xml:space="preserve"> </w:t>
      </w:r>
      <w:r w:rsidRPr="00E27443">
        <w:t>of</w:t>
      </w:r>
      <w:r w:rsidR="00C63F8F" w:rsidRPr="00E27443">
        <w:t xml:space="preserve"> </w:t>
      </w:r>
      <w:r w:rsidRPr="00E27443">
        <w:t>a</w:t>
      </w:r>
      <w:r w:rsidR="00C63F8F" w:rsidRPr="00E27443">
        <w:t xml:space="preserve"> </w:t>
      </w:r>
      <w:r w:rsidRPr="00E27443">
        <w:t>person</w:t>
      </w:r>
      <w:r w:rsidR="00C63F8F" w:rsidRPr="00E27443">
        <w:t>’</w:t>
      </w:r>
      <w:r w:rsidRPr="00E27443">
        <w:t>s</w:t>
      </w:r>
      <w:r w:rsidR="00C63F8F" w:rsidRPr="00E27443">
        <w:t xml:space="preserve"> </w:t>
      </w:r>
      <w:r w:rsidRPr="00E27443">
        <w:t>functional</w:t>
      </w:r>
      <w:r w:rsidR="00C63F8F" w:rsidRPr="00E27443">
        <w:t xml:space="preserve"> </w:t>
      </w:r>
      <w:r w:rsidRPr="00E27443">
        <w:t>capacity</w:t>
      </w:r>
      <w:r w:rsidR="00C63F8F" w:rsidRPr="00E27443">
        <w:t xml:space="preserve"> </w:t>
      </w:r>
      <w:r w:rsidRPr="00E27443">
        <w:t>that,</w:t>
      </w:r>
      <w:r w:rsidR="00C63F8F" w:rsidRPr="00E27443">
        <w:t xml:space="preserve"> </w:t>
      </w:r>
      <w:r w:rsidRPr="00E27443">
        <w:t>as</w:t>
      </w:r>
      <w:r w:rsidR="00C63F8F" w:rsidRPr="00E27443">
        <w:t xml:space="preserve"> </w:t>
      </w:r>
      <w:r w:rsidRPr="00E27443">
        <w:t>a</w:t>
      </w:r>
      <w:r w:rsidR="00C63F8F" w:rsidRPr="00E27443">
        <w:t xml:space="preserve"> </w:t>
      </w:r>
      <w:r w:rsidRPr="00E27443">
        <w:t>consequence</w:t>
      </w:r>
      <w:r w:rsidR="00C63F8F" w:rsidRPr="00E27443">
        <w:t xml:space="preserve"> </w:t>
      </w:r>
      <w:r w:rsidRPr="00E27443">
        <w:t>of</w:t>
      </w:r>
      <w:r w:rsidR="00C63F8F" w:rsidRPr="00E27443">
        <w:t xml:space="preserve"> </w:t>
      </w:r>
      <w:r w:rsidRPr="00E27443">
        <w:t>an</w:t>
      </w:r>
      <w:r w:rsidR="00C63F8F" w:rsidRPr="00E27443">
        <w:t xml:space="preserve"> </w:t>
      </w:r>
      <w:r w:rsidRPr="00E27443">
        <w:t>injury</w:t>
      </w:r>
      <w:r w:rsidR="00C63F8F" w:rsidRPr="00E27443">
        <w:t xml:space="preserve"> </w:t>
      </w:r>
      <w:r w:rsidRPr="00E27443">
        <w:t>or</w:t>
      </w:r>
      <w:r w:rsidR="00C63F8F" w:rsidRPr="00E27443">
        <w:t xml:space="preserve"> </w:t>
      </w:r>
      <w:r w:rsidRPr="00E27443">
        <w:t>an</w:t>
      </w:r>
      <w:r w:rsidR="00C63F8F" w:rsidRPr="00E27443">
        <w:t xml:space="preserve"> </w:t>
      </w:r>
      <w:r w:rsidRPr="00E27443">
        <w:t>illness,</w:t>
      </w:r>
      <w:r w:rsidR="00C63F8F" w:rsidRPr="00E27443">
        <w:t xml:space="preserve"> </w:t>
      </w:r>
      <w:r w:rsidRPr="00E27443">
        <w:t>existed</w:t>
      </w:r>
      <w:r w:rsidR="00C63F8F" w:rsidRPr="00E27443">
        <w:t xml:space="preserve"> </w:t>
      </w:r>
      <w:r w:rsidRPr="00E27443">
        <w:t>at</w:t>
      </w:r>
      <w:r w:rsidR="00C63F8F" w:rsidRPr="00E27443">
        <w:t xml:space="preserve"> </w:t>
      </w:r>
      <w:r w:rsidRPr="00E27443">
        <w:t>birth,</w:t>
      </w:r>
      <w:r w:rsidR="00C63F8F" w:rsidRPr="00E27443">
        <w:t xml:space="preserve"> </w:t>
      </w:r>
      <w:r w:rsidRPr="00E27443">
        <w:t>has</w:t>
      </w:r>
      <w:r w:rsidR="00C63F8F" w:rsidRPr="00E27443">
        <w:t xml:space="preserve"> </w:t>
      </w:r>
      <w:r w:rsidRPr="00E27443">
        <w:t>since</w:t>
      </w:r>
      <w:r w:rsidR="00C63F8F" w:rsidRPr="00E27443">
        <w:t xml:space="preserve"> </w:t>
      </w:r>
      <w:r w:rsidRPr="00E27443">
        <w:t>then</w:t>
      </w:r>
      <w:r w:rsidR="00C63F8F" w:rsidRPr="00E27443">
        <w:t xml:space="preserve"> </w:t>
      </w:r>
      <w:r w:rsidRPr="00E27443">
        <w:t>arisen</w:t>
      </w:r>
      <w:r w:rsidR="00C63F8F" w:rsidRPr="00E27443">
        <w:t xml:space="preserve"> </w:t>
      </w:r>
      <w:r w:rsidRPr="00E27443">
        <w:t>or</w:t>
      </w:r>
      <w:r w:rsidR="00C63F8F" w:rsidRPr="00E27443">
        <w:t xml:space="preserve"> </w:t>
      </w:r>
      <w:r w:rsidRPr="00E27443">
        <w:t>can</w:t>
      </w:r>
      <w:r w:rsidR="00C63F8F" w:rsidRPr="00E27443">
        <w:t xml:space="preserve"> </w:t>
      </w:r>
      <w:r w:rsidRPr="00E27443">
        <w:t>be</w:t>
      </w:r>
      <w:r w:rsidR="00C63F8F" w:rsidRPr="00E27443">
        <w:t xml:space="preserve"> </w:t>
      </w:r>
      <w:r w:rsidRPr="00E27443">
        <w:t>expected</w:t>
      </w:r>
      <w:r w:rsidR="00C63F8F" w:rsidRPr="00E27443">
        <w:t xml:space="preserve"> </w:t>
      </w:r>
      <w:r w:rsidRPr="00E27443">
        <w:t>to</w:t>
      </w:r>
      <w:r w:rsidR="00C63F8F" w:rsidRPr="00E27443">
        <w:t xml:space="preserve"> </w:t>
      </w:r>
      <w:r w:rsidRPr="00E27443">
        <w:t>arise.</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Building</w:t>
      </w:r>
      <w:r w:rsidR="00C63F8F" w:rsidRPr="00E27443">
        <w:t xml:space="preserve"> </w:t>
      </w:r>
      <w:r w:rsidRPr="00E27443">
        <w:t>Act,</w:t>
      </w:r>
      <w:r w:rsidR="00031A02" w:rsidRPr="00EC1A1A">
        <w:rPr>
          <w:vertAlign w:val="superscript"/>
        </w:rPr>
        <w:footnoteReference w:id="8"/>
      </w:r>
      <w:r w:rsidR="00C63F8F" w:rsidRPr="00E27443">
        <w:t xml:space="preserve"> </w:t>
      </w:r>
      <w:r w:rsidRPr="00E27443">
        <w:t>the</w:t>
      </w:r>
      <w:r w:rsidR="00C63F8F" w:rsidRPr="00E27443">
        <w:t xml:space="preserve"> </w:t>
      </w:r>
      <w:r w:rsidRPr="00E27443">
        <w:t>requirement</w:t>
      </w:r>
      <w:r w:rsidR="00C63F8F" w:rsidRPr="00E27443">
        <w:t xml:space="preserve"> </w:t>
      </w:r>
      <w:r w:rsidRPr="00E27443">
        <w:t>regarding</w:t>
      </w:r>
      <w:r w:rsidR="00C63F8F" w:rsidRPr="00E27443">
        <w:t xml:space="preserve"> </w:t>
      </w:r>
      <w:r w:rsidRPr="00E27443">
        <w:t>utility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impaired</w:t>
      </w:r>
      <w:r w:rsidR="00C63F8F" w:rsidRPr="00E27443">
        <w:t xml:space="preserve"> </w:t>
      </w:r>
      <w:r w:rsidRPr="00EF17DF">
        <w:t>movement</w:t>
      </w:r>
      <w:r w:rsidR="00C63F8F" w:rsidRPr="00EF17DF">
        <w:t xml:space="preserve"> </w:t>
      </w:r>
      <w:r w:rsidRPr="00EF17DF">
        <w:t>or</w:t>
      </w:r>
      <w:r w:rsidR="00C63F8F" w:rsidRPr="00EF17DF">
        <w:t xml:space="preserve"> </w:t>
      </w:r>
      <w:r w:rsidRPr="00EF17DF">
        <w:t>orientation</w:t>
      </w:r>
      <w:r w:rsidR="00C63F8F" w:rsidRPr="00E27443">
        <w:t xml:space="preserve"> </w:t>
      </w:r>
      <w:r w:rsidRPr="00E27443">
        <w:t>must</w:t>
      </w:r>
      <w:r w:rsidR="00C63F8F" w:rsidRPr="00E27443">
        <w:t xml:space="preserve"> </w:t>
      </w:r>
      <w:r w:rsidRPr="00E27443">
        <w:t>always</w:t>
      </w:r>
      <w:r w:rsidR="00C63F8F" w:rsidRPr="00E27443">
        <w:t xml:space="preserve"> </w:t>
      </w:r>
      <w:r w:rsidRPr="00E27443">
        <w:t>be</w:t>
      </w:r>
      <w:r w:rsidR="00C63F8F" w:rsidRPr="00E27443">
        <w:t xml:space="preserve"> </w:t>
      </w:r>
      <w:r w:rsidRPr="00E27443">
        <w:t>satisfied.</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Act</w:t>
      </w:r>
      <w:r w:rsidR="00C63F8F" w:rsidRPr="00E27443">
        <w:t xml:space="preserve"> </w:t>
      </w:r>
      <w:r w:rsidRPr="00E27443">
        <w:t>concerning</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Certain</w:t>
      </w:r>
      <w:r w:rsidR="00C63F8F" w:rsidRPr="00E27443">
        <w:t xml:space="preserve"> </w:t>
      </w:r>
      <w:r w:rsidRPr="00E27443">
        <w:t>Functional</w:t>
      </w:r>
      <w:r w:rsidR="00C63F8F" w:rsidRPr="00E27443">
        <w:t xml:space="preserve"> </w:t>
      </w:r>
      <w:r w:rsidRPr="00E27443">
        <w:t>Impair</w:t>
      </w:r>
      <w:r w:rsidRPr="00E27443">
        <w:softHyphen/>
        <w:t>ments,</w:t>
      </w:r>
      <w:r w:rsidR="00C63F8F" w:rsidRPr="00E27443">
        <w:t xml:space="preserve"> </w:t>
      </w:r>
      <w:r w:rsidRPr="00E27443">
        <w:t>known</w:t>
      </w:r>
      <w:r w:rsidR="00C63F8F" w:rsidRPr="00E27443">
        <w:t xml:space="preserve"> </w:t>
      </w:r>
      <w:r w:rsidRPr="00E27443">
        <w:t>by</w:t>
      </w:r>
      <w:r w:rsidR="00C63F8F" w:rsidRPr="00E27443">
        <w:t xml:space="preserve"> </w:t>
      </w:r>
      <w:r w:rsidRPr="00E27443">
        <w:t>its</w:t>
      </w:r>
      <w:r w:rsidR="00C63F8F" w:rsidRPr="00E27443">
        <w:t xml:space="preserve"> </w:t>
      </w:r>
      <w:r w:rsidRPr="00E27443">
        <w:t>Swedish</w:t>
      </w:r>
      <w:r w:rsidR="00C63F8F" w:rsidRPr="00E27443">
        <w:t xml:space="preserve"> </w:t>
      </w:r>
      <w:r w:rsidRPr="00E27443">
        <w:t>abbreviation</w:t>
      </w:r>
      <w:r w:rsidR="00C63F8F" w:rsidRPr="00E27443">
        <w:t xml:space="preserve"> </w:t>
      </w:r>
      <w:r w:rsidRPr="00E27443">
        <w:t>of</w:t>
      </w:r>
      <w:r w:rsidR="00C63F8F" w:rsidRPr="00E27443">
        <w:t xml:space="preserve"> </w:t>
      </w:r>
      <w:r w:rsidRPr="00E27443">
        <w:t>LSS,</w:t>
      </w:r>
      <w:r w:rsidR="00C63F8F" w:rsidRPr="00E27443">
        <w:t xml:space="preserve"> </w:t>
      </w:r>
      <w:r w:rsidRPr="00E27443">
        <w:t>provides</w:t>
      </w:r>
      <w:r w:rsidR="00C63F8F" w:rsidRPr="00E27443">
        <w:t xml:space="preserve"> </w:t>
      </w:r>
      <w:r w:rsidRPr="00E27443">
        <w:t>persons</w:t>
      </w:r>
      <w:r w:rsidR="00C63F8F" w:rsidRPr="00E27443">
        <w:t xml:space="preserve"> </w:t>
      </w:r>
      <w:r w:rsidRPr="00E27443">
        <w:t>with</w:t>
      </w:r>
      <w:r w:rsidR="00C63F8F" w:rsidRPr="00E27443">
        <w:t xml:space="preserve"> </w:t>
      </w:r>
      <w:r w:rsidRPr="00E27443">
        <w:t>extensive</w:t>
      </w:r>
      <w:r w:rsidR="00C63F8F" w:rsidRPr="00E27443">
        <w:t xml:space="preserve"> </w:t>
      </w:r>
      <w:r w:rsidRPr="00E27443">
        <w:t>disabilities</w:t>
      </w:r>
      <w:r w:rsidR="00C63F8F" w:rsidRPr="00E27443">
        <w:t xml:space="preserve"> </w:t>
      </w:r>
      <w:r w:rsidRPr="00E27443">
        <w:t>special</w:t>
      </w:r>
      <w:r w:rsidR="00C63F8F" w:rsidRPr="00E27443">
        <w:t xml:space="preserve"> </w:t>
      </w:r>
      <w:r w:rsidRPr="00E27443">
        <w:t>rights</w:t>
      </w:r>
      <w:r w:rsidR="00C63F8F" w:rsidRPr="00E27443">
        <w:t xml:space="preserve"> </w:t>
      </w:r>
      <w:r w:rsidRPr="00E27443">
        <w:t>regarding</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LSS</w:t>
      </w:r>
      <w:r w:rsidR="00C63F8F" w:rsidRPr="00E27443">
        <w:t xml:space="preserve"> </w:t>
      </w:r>
      <w:r w:rsidRPr="00E27443">
        <w:t>defines</w:t>
      </w:r>
      <w:r w:rsidR="00C63F8F" w:rsidRPr="00E27443">
        <w:t xml:space="preserve"> </w:t>
      </w:r>
      <w:r w:rsidRPr="00E27443">
        <w:t>the</w:t>
      </w:r>
      <w:r w:rsidR="00C63F8F" w:rsidRPr="00E27443">
        <w:t xml:space="preserve"> </w:t>
      </w:r>
      <w:r w:rsidRPr="00E27443">
        <w:t>target</w:t>
      </w:r>
      <w:r w:rsidR="00C63F8F" w:rsidRPr="00E27443">
        <w:t xml:space="preserve"> </w:t>
      </w:r>
      <w:r w:rsidRPr="00E27443">
        <w:t>group</w:t>
      </w:r>
      <w:r w:rsidR="00C63F8F" w:rsidRPr="00E27443">
        <w:t xml:space="preserve"> </w:t>
      </w:r>
      <w:r w:rsidRPr="00E27443">
        <w:t>as</w:t>
      </w:r>
      <w:r w:rsidR="00C63F8F" w:rsidRPr="00E27443">
        <w:t xml:space="preserve"> </w:t>
      </w:r>
      <w:r w:rsidRPr="00E27443">
        <w:t>persons:</w:t>
      </w:r>
    </w:p>
    <w:p w:rsidR="00321ADA" w:rsidRPr="00E27443" w:rsidRDefault="00321ADA" w:rsidP="00EF17DF">
      <w:pPr>
        <w:pStyle w:val="SingleTxtG"/>
        <w:ind w:left="1843"/>
      </w:pPr>
      <w:r w:rsidRPr="00E27443">
        <w:t>1.</w:t>
      </w:r>
      <w:r w:rsidR="00037AED" w:rsidRPr="00E27443">
        <w:tab/>
        <w:t>W</w:t>
      </w:r>
      <w:r w:rsidRPr="00E27443">
        <w:t>ith</w:t>
      </w:r>
      <w:r w:rsidR="00C63F8F" w:rsidRPr="00E27443">
        <w:t xml:space="preserve"> </w:t>
      </w:r>
      <w:r w:rsidRPr="00E27443">
        <w:t>a</w:t>
      </w:r>
      <w:r w:rsidR="000A0284" w:rsidRPr="00E27443">
        <w:t>n</w:t>
      </w:r>
      <w:r w:rsidR="00C63F8F" w:rsidRPr="00E27443">
        <w:t xml:space="preserve"> </w:t>
      </w:r>
      <w:r w:rsidRPr="00E27443">
        <w:t>intellectual</w:t>
      </w:r>
      <w:r w:rsidR="00C63F8F" w:rsidRPr="00E27443">
        <w:t xml:space="preserve"> </w:t>
      </w:r>
      <w:r w:rsidRPr="00E27443">
        <w:t>disability,</w:t>
      </w:r>
      <w:r w:rsidR="00C63F8F" w:rsidRPr="00E27443">
        <w:t xml:space="preserve"> </w:t>
      </w:r>
      <w:r w:rsidRPr="00E27443">
        <w:t>autism</w:t>
      </w:r>
      <w:r w:rsidR="00C63F8F" w:rsidRPr="00E27443">
        <w:t xml:space="preserve"> </w:t>
      </w:r>
      <w:r w:rsidRPr="00E27443">
        <w:t>or</w:t>
      </w:r>
      <w:r w:rsidR="00C63F8F" w:rsidRPr="00E27443">
        <w:t xml:space="preserve"> </w:t>
      </w:r>
      <w:r w:rsidRPr="00E27443">
        <w:t>an</w:t>
      </w:r>
      <w:r w:rsidR="00C63F8F" w:rsidRPr="00E27443">
        <w:t xml:space="preserve"> </w:t>
      </w:r>
      <w:r w:rsidRPr="00E27443">
        <w:t>autism-like</w:t>
      </w:r>
      <w:r w:rsidR="00C63F8F" w:rsidRPr="00E27443">
        <w:t xml:space="preserve"> </w:t>
      </w:r>
      <w:r w:rsidRPr="00E27443">
        <w:t>condition</w:t>
      </w:r>
      <w:r w:rsidR="006847ED">
        <w:t>;</w:t>
      </w:r>
    </w:p>
    <w:p w:rsidR="00321ADA" w:rsidRPr="00E27443" w:rsidRDefault="00321ADA" w:rsidP="00EF17DF">
      <w:pPr>
        <w:pStyle w:val="SingleTxtG"/>
        <w:ind w:left="1843"/>
      </w:pPr>
      <w:r w:rsidRPr="00E27443">
        <w:t>2.</w:t>
      </w:r>
      <w:r w:rsidR="00037AED" w:rsidRPr="00E27443">
        <w:tab/>
        <w:t>W</w:t>
      </w:r>
      <w:r w:rsidRPr="00E27443">
        <w:t>ith</w:t>
      </w:r>
      <w:r w:rsidR="00C63F8F" w:rsidRPr="00E27443">
        <w:t xml:space="preserve"> </w:t>
      </w:r>
      <w:r w:rsidRPr="00E27443">
        <w:t>a</w:t>
      </w:r>
      <w:r w:rsidR="00C63F8F" w:rsidRPr="00E27443">
        <w:t xml:space="preserve"> </w:t>
      </w:r>
      <w:r w:rsidRPr="00E27443">
        <w:t>significant</w:t>
      </w:r>
      <w:r w:rsidR="00C63F8F" w:rsidRPr="00E27443">
        <w:t xml:space="preserve"> </w:t>
      </w:r>
      <w:r w:rsidRPr="00E27443">
        <w:t>and</w:t>
      </w:r>
      <w:r w:rsidR="00C63F8F" w:rsidRPr="00E27443">
        <w:t xml:space="preserve"> </w:t>
      </w:r>
      <w:r w:rsidRPr="00E27443">
        <w:t>permanent</w:t>
      </w:r>
      <w:r w:rsidR="00C63F8F" w:rsidRPr="00E27443">
        <w:t xml:space="preserve"> </w:t>
      </w:r>
      <w:r w:rsidRPr="00E27443">
        <w:t>intellectual</w:t>
      </w:r>
      <w:r w:rsidR="00C63F8F" w:rsidRPr="00E27443">
        <w:t xml:space="preserve"> </w:t>
      </w:r>
      <w:r w:rsidRPr="00E27443">
        <w:t>functional</w:t>
      </w:r>
      <w:r w:rsidR="00C63F8F" w:rsidRPr="00E27443">
        <w:t xml:space="preserve"> </w:t>
      </w:r>
      <w:r w:rsidRPr="00E27443">
        <w:t>impairment</w:t>
      </w:r>
      <w:r w:rsidR="00C63F8F" w:rsidRPr="00E27443">
        <w:t xml:space="preserve"> </w:t>
      </w:r>
      <w:r w:rsidRPr="00E27443">
        <w:t>following</w:t>
      </w:r>
      <w:r w:rsidR="00C63F8F" w:rsidRPr="00E27443">
        <w:t xml:space="preserve"> </w:t>
      </w:r>
      <w:r w:rsidRPr="00E27443">
        <w:t>a</w:t>
      </w:r>
      <w:r w:rsidR="00C63F8F" w:rsidRPr="00E27443">
        <w:t xml:space="preserve"> </w:t>
      </w:r>
      <w:r w:rsidRPr="00E27443">
        <w:t>brain</w:t>
      </w:r>
      <w:r w:rsidR="00C63F8F" w:rsidRPr="00E27443">
        <w:t xml:space="preserve"> </w:t>
      </w:r>
      <w:r w:rsidRPr="00E27443">
        <w:t>injury</w:t>
      </w:r>
      <w:r w:rsidR="00C63F8F" w:rsidRPr="00E27443">
        <w:t xml:space="preserve"> </w:t>
      </w:r>
      <w:r w:rsidRPr="00E27443">
        <w:t>in</w:t>
      </w:r>
      <w:r w:rsidR="00C63F8F" w:rsidRPr="00E27443">
        <w:t xml:space="preserve"> </w:t>
      </w:r>
      <w:r w:rsidRPr="00E27443">
        <w:t>adult</w:t>
      </w:r>
      <w:r w:rsidR="00C63F8F" w:rsidRPr="00E27443">
        <w:t xml:space="preserve"> </w:t>
      </w:r>
      <w:r w:rsidRPr="00E27443">
        <w:t>life</w:t>
      </w:r>
      <w:r w:rsidR="00C63F8F" w:rsidRPr="00E27443">
        <w:t xml:space="preserve"> </w:t>
      </w:r>
      <w:r w:rsidRPr="00E27443">
        <w:t>caused</w:t>
      </w:r>
      <w:r w:rsidR="00C63F8F" w:rsidRPr="00E27443">
        <w:t xml:space="preserve"> </w:t>
      </w:r>
      <w:r w:rsidRPr="00E27443">
        <w:t>by</w:t>
      </w:r>
      <w:r w:rsidR="00C63F8F" w:rsidRPr="00E27443">
        <w:t xml:space="preserve"> </w:t>
      </w:r>
      <w:r w:rsidRPr="00E27443">
        <w:t>external</w:t>
      </w:r>
      <w:r w:rsidR="00C63F8F" w:rsidRPr="00E27443">
        <w:t xml:space="preserve"> </w:t>
      </w:r>
      <w:r w:rsidRPr="00E27443">
        <w:t>violence</w:t>
      </w:r>
      <w:r w:rsidR="00C63F8F" w:rsidRPr="00E27443">
        <w:t xml:space="preserve"> </w:t>
      </w:r>
      <w:r w:rsidRPr="00E27443">
        <w:t>or</w:t>
      </w:r>
      <w:r w:rsidR="00C63F8F" w:rsidRPr="00E27443">
        <w:t xml:space="preserve"> </w:t>
      </w:r>
      <w:r w:rsidRPr="00E27443">
        <w:t>a</w:t>
      </w:r>
      <w:r w:rsidR="00C63F8F" w:rsidRPr="00E27443">
        <w:t xml:space="preserve"> </w:t>
      </w:r>
      <w:r w:rsidRPr="00E27443">
        <w:t>physical</w:t>
      </w:r>
      <w:r w:rsidR="00C63F8F" w:rsidRPr="00E27443">
        <w:t xml:space="preserve"> </w:t>
      </w:r>
      <w:r w:rsidRPr="00E27443">
        <w:t>illness</w:t>
      </w:r>
      <w:r w:rsidR="006847ED">
        <w:t>;</w:t>
      </w:r>
      <w:r w:rsidR="00C63F8F" w:rsidRPr="00E27443">
        <w:t xml:space="preserve"> </w:t>
      </w:r>
      <w:r w:rsidRPr="00E27443">
        <w:t>or</w:t>
      </w:r>
    </w:p>
    <w:p w:rsidR="00321ADA" w:rsidRPr="00E27443" w:rsidRDefault="00321ADA" w:rsidP="00EF17DF">
      <w:pPr>
        <w:pStyle w:val="SingleTxtG"/>
        <w:ind w:left="1843"/>
      </w:pPr>
      <w:r w:rsidRPr="00E27443">
        <w:t>3.</w:t>
      </w:r>
      <w:r w:rsidR="00037AED" w:rsidRPr="00E27443">
        <w:tab/>
        <w:t>W</w:t>
      </w:r>
      <w:r w:rsidRPr="00E27443">
        <w:t>ith</w:t>
      </w:r>
      <w:r w:rsidR="00C63F8F" w:rsidRPr="00E27443">
        <w:t xml:space="preserve"> </w:t>
      </w:r>
      <w:r w:rsidRPr="00E27443">
        <w:t>other</w:t>
      </w:r>
      <w:r w:rsidR="00C63F8F" w:rsidRPr="00E27443">
        <w:t xml:space="preserve"> </w:t>
      </w:r>
      <w:r w:rsidRPr="00E27443">
        <w:t>permanent</w:t>
      </w:r>
      <w:r w:rsidR="00C63F8F" w:rsidRPr="00E27443">
        <w:t xml:space="preserve"> </w:t>
      </w:r>
      <w:r w:rsidRPr="00E27443">
        <w:t>physical</w:t>
      </w:r>
      <w:r w:rsidR="00C63F8F" w:rsidRPr="00E27443">
        <w:t xml:space="preserve"> </w:t>
      </w:r>
      <w:r w:rsidRPr="00E27443">
        <w:t>or</w:t>
      </w:r>
      <w:r w:rsidR="00C63F8F" w:rsidRPr="00E27443">
        <w:t xml:space="preserve"> </w:t>
      </w:r>
      <w:r w:rsidRPr="00E27443">
        <w:t>mental</w:t>
      </w:r>
      <w:r w:rsidR="00C63F8F" w:rsidRPr="00E27443">
        <w:t xml:space="preserve"> </w:t>
      </w:r>
      <w:r w:rsidRPr="00E27443">
        <w:t>disability</w:t>
      </w:r>
      <w:r w:rsidR="00C63F8F" w:rsidRPr="00E27443">
        <w:t xml:space="preserve"> </w:t>
      </w:r>
      <w:r w:rsidRPr="00E27443">
        <w:t>that</w:t>
      </w:r>
      <w:r w:rsidR="00C63F8F" w:rsidRPr="00E27443">
        <w:t xml:space="preserve"> </w:t>
      </w:r>
      <w:r w:rsidRPr="00E27443">
        <w:t>are</w:t>
      </w:r>
      <w:r w:rsidR="00C63F8F" w:rsidRPr="00E27443">
        <w:t xml:space="preserve"> </w:t>
      </w:r>
      <w:r w:rsidRPr="00E27443">
        <w:t>obviously</w:t>
      </w:r>
      <w:r w:rsidR="00C63F8F" w:rsidRPr="00E27443">
        <w:t xml:space="preserve"> </w:t>
      </w:r>
      <w:r w:rsidRPr="00E27443">
        <w:t>not</w:t>
      </w:r>
      <w:r w:rsidR="00C63F8F" w:rsidRPr="00E27443">
        <w:t xml:space="preserve"> </w:t>
      </w:r>
      <w:r w:rsidRPr="00E27443">
        <w:t>due</w:t>
      </w:r>
      <w:r w:rsidR="00C63F8F" w:rsidRPr="00E27443">
        <w:t xml:space="preserve"> </w:t>
      </w:r>
      <w:r w:rsidRPr="00E27443">
        <w:t>to</w:t>
      </w:r>
      <w:r w:rsidR="00C63F8F" w:rsidRPr="00E27443">
        <w:t xml:space="preserve"> </w:t>
      </w:r>
      <w:r w:rsidRPr="00E27443">
        <w:t>normal</w:t>
      </w:r>
      <w:r w:rsidR="00C63F8F" w:rsidRPr="00E27443">
        <w:t xml:space="preserve"> </w:t>
      </w:r>
      <w:r w:rsidRPr="00E27443">
        <w:t>ageing,</w:t>
      </w:r>
      <w:r w:rsidR="00C63F8F" w:rsidRPr="00E27443">
        <w:t xml:space="preserve"> </w:t>
      </w:r>
      <w:r w:rsidRPr="00E27443">
        <w:t>if</w:t>
      </w:r>
      <w:r w:rsidR="00C63F8F" w:rsidRPr="00E27443">
        <w:t xml:space="preserve"> </w:t>
      </w:r>
      <w:r w:rsidRPr="00E27443">
        <w:t>these</w:t>
      </w:r>
      <w:r w:rsidR="00C63F8F" w:rsidRPr="00E27443">
        <w:t xml:space="preserve"> </w:t>
      </w:r>
      <w:r w:rsidRPr="00E27443">
        <w:t>are</w:t>
      </w:r>
      <w:r w:rsidR="00C63F8F" w:rsidRPr="00E27443">
        <w:t xml:space="preserve"> </w:t>
      </w:r>
      <w:r w:rsidRPr="00E27443">
        <w:t>major</w:t>
      </w:r>
      <w:r w:rsidR="00C63F8F" w:rsidRPr="00E27443">
        <w:t xml:space="preserve"> </w:t>
      </w:r>
      <w:r w:rsidRPr="00E27443">
        <w:t>and</w:t>
      </w:r>
      <w:r w:rsidR="00C63F8F" w:rsidRPr="00E27443">
        <w:t xml:space="preserve"> </w:t>
      </w:r>
      <w:r w:rsidRPr="00E27443">
        <w:t>cause</w:t>
      </w:r>
      <w:r w:rsidR="00C63F8F" w:rsidRPr="00E27443">
        <w:t xml:space="preserve"> </w:t>
      </w:r>
      <w:r w:rsidRPr="00E27443">
        <w:t>significant</w:t>
      </w:r>
      <w:r w:rsidR="00C63F8F" w:rsidRPr="00E27443">
        <w:t xml:space="preserve"> </w:t>
      </w:r>
      <w:r w:rsidRPr="00E27443">
        <w:t>difficulties</w:t>
      </w:r>
      <w:r w:rsidR="00C63F8F" w:rsidRPr="00E27443">
        <w:t xml:space="preserve"> </w:t>
      </w:r>
      <w:r w:rsidRPr="00E27443">
        <w:t>in</w:t>
      </w:r>
      <w:r w:rsidR="00C63F8F" w:rsidRPr="00E27443">
        <w:t xml:space="preserve"> </w:t>
      </w:r>
      <w:r w:rsidRPr="00E27443">
        <w:t>living</w:t>
      </w:r>
      <w:r w:rsidR="00C63F8F" w:rsidRPr="00E27443">
        <w:t xml:space="preserve"> </w:t>
      </w:r>
      <w:r w:rsidRPr="00E27443">
        <w:t>day-to-day</w:t>
      </w:r>
      <w:r w:rsidR="00C63F8F" w:rsidRPr="00E27443">
        <w:t xml:space="preserve"> </w:t>
      </w:r>
      <w:r w:rsidRPr="00E27443">
        <w:t>life</w:t>
      </w:r>
      <w:r w:rsidR="00C63F8F" w:rsidRPr="00E27443">
        <w:t xml:space="preserve"> </w:t>
      </w:r>
      <w:r w:rsidRPr="00E27443">
        <w:t>and</w:t>
      </w:r>
      <w:r w:rsidR="00C63F8F" w:rsidRPr="00E27443">
        <w:t xml:space="preserve"> </w:t>
      </w:r>
      <w:r w:rsidRPr="00E27443">
        <w:t>consequently</w:t>
      </w:r>
      <w:r w:rsidR="00C63F8F" w:rsidRPr="00E27443">
        <w:t xml:space="preserve"> </w:t>
      </w:r>
      <w:r w:rsidRPr="00E27443">
        <w:t>a</w:t>
      </w:r>
      <w:r w:rsidR="00C63F8F" w:rsidRPr="00E27443">
        <w:t xml:space="preserve"> </w:t>
      </w:r>
      <w:r w:rsidRPr="00E27443">
        <w:t>significant</w:t>
      </w:r>
      <w:r w:rsidR="00C63F8F" w:rsidRPr="00E27443">
        <w:t xml:space="preserve"> </w:t>
      </w:r>
      <w:r w:rsidRPr="00E27443">
        <w:t>need</w:t>
      </w:r>
      <w:r w:rsidR="00C63F8F" w:rsidRPr="00E27443">
        <w:t xml:space="preserve"> </w:t>
      </w:r>
      <w:r w:rsidRPr="00E27443">
        <w:t>for</w:t>
      </w:r>
      <w:r w:rsidR="00C63F8F" w:rsidRPr="00E27443">
        <w:t xml:space="preserve"> </w:t>
      </w:r>
      <w:r w:rsidRPr="00E27443">
        <w:t>support</w:t>
      </w:r>
      <w:r w:rsidR="00C63F8F" w:rsidRPr="00E27443">
        <w:t xml:space="preserve"> </w:t>
      </w:r>
      <w:r w:rsidRPr="00E27443">
        <w:t>or</w:t>
      </w:r>
      <w:r w:rsidR="00C63F8F" w:rsidRPr="00E27443">
        <w:t xml:space="preserve"> </w:t>
      </w:r>
      <w:r w:rsidRPr="00E27443">
        <w:t>service.</w:t>
      </w:r>
    </w:p>
    <w:p w:rsidR="00321ADA" w:rsidRPr="00E27443" w:rsidRDefault="00037AED" w:rsidP="00037AED">
      <w:pPr>
        <w:pStyle w:val="H1G"/>
      </w:pPr>
      <w:r w:rsidRPr="00E27443">
        <w:tab/>
      </w:r>
      <w:r w:rsidRPr="00E27443">
        <w:tab/>
      </w:r>
      <w:bookmarkStart w:id="4" w:name="_Toc290623288"/>
      <w:r w:rsidR="00321ADA" w:rsidRPr="00E27443">
        <w:t>Article</w:t>
      </w:r>
      <w:r w:rsidR="00C63F8F" w:rsidRPr="00E27443">
        <w:t xml:space="preserve"> </w:t>
      </w:r>
      <w:r w:rsidR="00321ADA" w:rsidRPr="00E27443">
        <w:t>2</w:t>
      </w:r>
      <w:r w:rsidR="00EF17DF">
        <w:t xml:space="preserve">: </w:t>
      </w:r>
      <w:r w:rsidR="00321ADA" w:rsidRPr="00E27443">
        <w:t>Definitions</w:t>
      </w:r>
      <w:bookmarkEnd w:id="4"/>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provisions</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Discrimination</w:t>
      </w:r>
      <w:r w:rsidR="00C63F8F" w:rsidRPr="00E27443">
        <w:t xml:space="preserve"> </w:t>
      </w:r>
      <w:r w:rsidRPr="00E27443">
        <w:t>Act</w:t>
      </w:r>
      <w:r w:rsidR="00031A02" w:rsidRPr="00E27443">
        <w:rPr>
          <w:rStyle w:val="FootnoteReference"/>
        </w:rPr>
        <w:footnoteReference w:id="9"/>
      </w:r>
      <w:r w:rsidR="00C63F8F" w:rsidRPr="00E27443">
        <w:t xml:space="preserve"> </w:t>
      </w:r>
      <w:r w:rsidRPr="00E27443">
        <w:t>define</w:t>
      </w:r>
      <w:r w:rsidR="00C63F8F" w:rsidRPr="00E27443">
        <w:t xml:space="preserve"> </w:t>
      </w:r>
      <w:r w:rsidRPr="00E27443">
        <w:t>discrimination</w:t>
      </w:r>
      <w:r w:rsidR="00C63F8F" w:rsidRPr="00E27443">
        <w:t xml:space="preserve"> </w:t>
      </w:r>
      <w:r w:rsidRPr="00E27443">
        <w:t>as</w:t>
      </w:r>
      <w:r w:rsidR="00C63F8F" w:rsidRPr="00E27443">
        <w:t xml:space="preserve"> </w:t>
      </w:r>
      <w:r w:rsidRPr="00E27443">
        <w:t>both</w:t>
      </w:r>
      <w:r w:rsidR="00C63F8F" w:rsidRPr="00E27443">
        <w:t xml:space="preserve"> </w:t>
      </w:r>
      <w:r w:rsidRPr="00E27443">
        <w:t>direct</w:t>
      </w:r>
      <w:r w:rsidR="00C63F8F" w:rsidRPr="00E27443">
        <w:t xml:space="preserve"> </w:t>
      </w:r>
      <w:r w:rsidRPr="00E27443">
        <w:t>and</w:t>
      </w:r>
      <w:r w:rsidR="00C63F8F" w:rsidRPr="00E27443">
        <w:t xml:space="preserve"> </w:t>
      </w:r>
      <w:r w:rsidRPr="00E27443">
        <w:t>indirect</w:t>
      </w:r>
      <w:r w:rsidR="00C63F8F" w:rsidRPr="00E27443">
        <w:t xml:space="preserve"> </w:t>
      </w:r>
      <w:r w:rsidRPr="00E27443">
        <w:t>discrimination,</w:t>
      </w:r>
      <w:r w:rsidR="00C63F8F" w:rsidRPr="00E27443">
        <w:t xml:space="preserve"> </w:t>
      </w:r>
      <w:r w:rsidRPr="00E27443">
        <w:t>harassment</w:t>
      </w:r>
      <w:r w:rsidR="00C63F8F" w:rsidRPr="00E27443">
        <w:t xml:space="preserve"> </w:t>
      </w:r>
      <w:r w:rsidRPr="00E27443">
        <w:t>and</w:t>
      </w:r>
      <w:r w:rsidR="00C63F8F" w:rsidRPr="00E27443">
        <w:t xml:space="preserve"> </w:t>
      </w:r>
      <w:r w:rsidRPr="00E27443">
        <w:t>sexual</w:t>
      </w:r>
      <w:r w:rsidR="00C63F8F" w:rsidRPr="00E27443">
        <w:t xml:space="preserve"> </w:t>
      </w:r>
      <w:r w:rsidRPr="00E27443">
        <w:t>harassment,</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instructions</w:t>
      </w:r>
      <w:r w:rsidR="00C63F8F" w:rsidRPr="00E27443">
        <w:t xml:space="preserve"> </w:t>
      </w:r>
      <w:r w:rsidRPr="00E27443">
        <w:t>to</w:t>
      </w:r>
      <w:r w:rsidR="00C63F8F" w:rsidRPr="00E27443">
        <w:t xml:space="preserve"> </w:t>
      </w:r>
      <w:r w:rsidRPr="00E27443">
        <w:t>discriminate.</w:t>
      </w:r>
      <w:r w:rsidR="00C63F8F" w:rsidRPr="00E27443">
        <w:t xml:space="preserve"> </w:t>
      </w:r>
      <w:r w:rsidRPr="00E27443">
        <w:t>The</w:t>
      </w:r>
      <w:r w:rsidR="00C63F8F" w:rsidRPr="00E27443">
        <w:t xml:space="preserve"> </w:t>
      </w:r>
      <w:r w:rsidRPr="00E27443">
        <w:t>concept</w:t>
      </w:r>
      <w:r w:rsidR="00C63F8F" w:rsidRPr="00E27443">
        <w:t xml:space="preserve"> </w:t>
      </w:r>
      <w:r w:rsidRPr="00E27443">
        <w:t>of</w:t>
      </w:r>
      <w:r w:rsidR="00C63F8F" w:rsidRPr="00E27443">
        <w:t xml:space="preserve"> </w:t>
      </w:r>
      <w:r w:rsidRPr="00E27443">
        <w:t>discrimination</w:t>
      </w:r>
      <w:r w:rsidR="00C63F8F" w:rsidRPr="00E27443">
        <w:t xml:space="preserve"> </w:t>
      </w:r>
      <w:r w:rsidRPr="00E27443">
        <w:t>within</w:t>
      </w:r>
      <w:r w:rsidR="00C63F8F" w:rsidRPr="00E27443">
        <w:t xml:space="preserve"> </w:t>
      </w:r>
      <w:r w:rsidRPr="00E27443">
        <w:t>the</w:t>
      </w:r>
      <w:r w:rsidR="00C63F8F" w:rsidRPr="00E27443">
        <w:t xml:space="preserve"> </w:t>
      </w:r>
      <w:r w:rsidRPr="00E27443">
        <w:t>Act</w:t>
      </w:r>
      <w:r w:rsidR="00C63F8F" w:rsidRPr="00E27443">
        <w:t xml:space="preserve"> </w:t>
      </w:r>
      <w:r w:rsidRPr="00E27443">
        <w:t>originates</w:t>
      </w:r>
      <w:r w:rsidR="00C63F8F" w:rsidRPr="00E27443">
        <w:t xml:space="preserve"> </w:t>
      </w:r>
      <w:r w:rsidRPr="00E27443">
        <w:t>from</w:t>
      </w:r>
      <w:r w:rsidR="00C63F8F" w:rsidRPr="00E27443">
        <w:t xml:space="preserve"> </w:t>
      </w:r>
      <w:r w:rsidRPr="00E27443">
        <w:t>the</w:t>
      </w:r>
      <w:r w:rsidR="00C63F8F" w:rsidRPr="00E27443">
        <w:t xml:space="preserve"> </w:t>
      </w:r>
      <w:r w:rsidRPr="00E27443">
        <w:t>EU</w:t>
      </w:r>
      <w:r w:rsidR="00C63F8F" w:rsidRPr="00E27443">
        <w:t xml:space="preserve"> </w:t>
      </w:r>
      <w:r w:rsidRPr="00E27443">
        <w:t>legislation</w:t>
      </w:r>
      <w:r w:rsidR="00C63F8F" w:rsidRPr="00E27443">
        <w:t xml:space="preserve"> </w:t>
      </w:r>
      <w:r w:rsidRPr="00E27443">
        <w:t>on</w:t>
      </w:r>
      <w:r w:rsidR="00C63F8F" w:rsidRPr="00E27443">
        <w:t xml:space="preserve"> </w:t>
      </w:r>
      <w:r w:rsidRPr="00E27443">
        <w:t>non-discrimination.</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rPr>
          <w:i/>
        </w:rPr>
        <w:t>Direct</w:t>
      </w:r>
      <w:r w:rsidR="00C63F8F" w:rsidRPr="00E27443">
        <w:rPr>
          <w:i/>
        </w:rPr>
        <w:t xml:space="preserve"> </w:t>
      </w:r>
      <w:r w:rsidRPr="00E27443">
        <w:rPr>
          <w:i/>
        </w:rPr>
        <w:t>discrimination</w:t>
      </w:r>
      <w:r w:rsidR="00C63F8F" w:rsidRPr="00E27443">
        <w:t xml:space="preserve"> </w:t>
      </w:r>
      <w:r w:rsidRPr="00E27443">
        <w:t>consequently</w:t>
      </w:r>
      <w:r w:rsidR="00C63F8F" w:rsidRPr="00E27443">
        <w:t xml:space="preserve"> </w:t>
      </w:r>
      <w:r w:rsidRPr="00E27443">
        <w:t>refers</w:t>
      </w:r>
      <w:r w:rsidR="00C63F8F" w:rsidRPr="00E27443">
        <w:t xml:space="preserve"> </w:t>
      </w:r>
      <w:r w:rsidRPr="00E27443">
        <w:t>to</w:t>
      </w:r>
      <w:r w:rsidR="00C63F8F" w:rsidRPr="00E27443">
        <w:t xml:space="preserve"> </w:t>
      </w:r>
      <w:r w:rsidRPr="00E27443">
        <w:t>a</w:t>
      </w:r>
      <w:r w:rsidR="00C63F8F" w:rsidRPr="00E27443">
        <w:t xml:space="preserve"> </w:t>
      </w:r>
      <w:r w:rsidRPr="00E27443">
        <w:t>person</w:t>
      </w:r>
      <w:r w:rsidR="00C63F8F" w:rsidRPr="00E27443">
        <w:t xml:space="preserve"> </w:t>
      </w:r>
      <w:r w:rsidRPr="00E27443">
        <w:t>being</w:t>
      </w:r>
      <w:r w:rsidR="00C63F8F" w:rsidRPr="00E27443">
        <w:t xml:space="preserve"> </w:t>
      </w:r>
      <w:r w:rsidRPr="00E27443">
        <w:t>disadvantaged</w:t>
      </w:r>
      <w:r w:rsidR="00C63F8F" w:rsidRPr="00E27443">
        <w:t xml:space="preserve"> </w:t>
      </w:r>
      <w:r w:rsidRPr="00E27443">
        <w:t>by</w:t>
      </w:r>
      <w:r w:rsidR="00C63F8F" w:rsidRPr="00E27443">
        <w:t xml:space="preserve"> </w:t>
      </w:r>
      <w:r w:rsidRPr="00E27443">
        <w:t>being</w:t>
      </w:r>
      <w:r w:rsidR="00C63F8F" w:rsidRPr="00E27443">
        <w:t xml:space="preserve"> </w:t>
      </w:r>
      <w:r w:rsidRPr="00E27443">
        <w:t>treated</w:t>
      </w:r>
      <w:r w:rsidR="00C63F8F" w:rsidRPr="00E27443">
        <w:t xml:space="preserve"> </w:t>
      </w:r>
      <w:r w:rsidRPr="00E27443">
        <w:t>less</w:t>
      </w:r>
      <w:r w:rsidR="00C63F8F" w:rsidRPr="00E27443">
        <w:t xml:space="preserve"> </w:t>
      </w:r>
      <w:r w:rsidRPr="00E27443">
        <w:t>favourably</w:t>
      </w:r>
      <w:r w:rsidR="00C63F8F" w:rsidRPr="00E27443">
        <w:t xml:space="preserve"> </w:t>
      </w:r>
      <w:r w:rsidRPr="00E27443">
        <w:t>than</w:t>
      </w:r>
      <w:r w:rsidR="00C63F8F" w:rsidRPr="00E27443">
        <w:t xml:space="preserve"> </w:t>
      </w:r>
      <w:r w:rsidRPr="00E27443">
        <w:t>someone</w:t>
      </w:r>
      <w:r w:rsidR="00C63F8F" w:rsidRPr="00E27443">
        <w:t xml:space="preserve"> </w:t>
      </w:r>
      <w:r w:rsidRPr="00E27443">
        <w:t>else</w:t>
      </w:r>
      <w:r w:rsidR="00C63F8F" w:rsidRPr="00E27443">
        <w:t xml:space="preserve"> </w:t>
      </w:r>
      <w:r w:rsidRPr="00E27443">
        <w:t>is</w:t>
      </w:r>
      <w:r w:rsidR="00C63F8F" w:rsidRPr="00E27443">
        <w:t xml:space="preserve"> </w:t>
      </w:r>
      <w:r w:rsidRPr="00E27443">
        <w:t>treated,</w:t>
      </w:r>
      <w:r w:rsidR="00C63F8F" w:rsidRPr="00E27443">
        <w:t xml:space="preserve"> </w:t>
      </w:r>
      <w:r w:rsidRPr="00E27443">
        <w:t>has</w:t>
      </w:r>
      <w:r w:rsidR="00C63F8F" w:rsidRPr="00E27443">
        <w:t xml:space="preserve"> </w:t>
      </w:r>
      <w:r w:rsidRPr="00E27443">
        <w:t>been</w:t>
      </w:r>
      <w:r w:rsidR="00C63F8F" w:rsidRPr="00E27443">
        <w:t xml:space="preserve"> </w:t>
      </w:r>
      <w:r w:rsidRPr="00E27443">
        <w:t>treated</w:t>
      </w:r>
      <w:r w:rsidR="00C63F8F" w:rsidRPr="00E27443">
        <w:t xml:space="preserve"> </w:t>
      </w:r>
      <w:r w:rsidRPr="00E27443">
        <w:t>or</w:t>
      </w:r>
      <w:r w:rsidR="00C63F8F" w:rsidRPr="00E27443">
        <w:t xml:space="preserve"> </w:t>
      </w:r>
      <w:r w:rsidRPr="00E27443">
        <w:t>would</w:t>
      </w:r>
      <w:r w:rsidR="00C63F8F" w:rsidRPr="00E27443">
        <w:t xml:space="preserve"> </w:t>
      </w:r>
      <w:r w:rsidRPr="00E27443">
        <w:t>have</w:t>
      </w:r>
      <w:r w:rsidR="00C63F8F" w:rsidRPr="00E27443">
        <w:t xml:space="preserve"> </w:t>
      </w:r>
      <w:r w:rsidRPr="00E27443">
        <w:t>been</w:t>
      </w:r>
      <w:r w:rsidR="00C63F8F" w:rsidRPr="00E27443">
        <w:t xml:space="preserve"> </w:t>
      </w:r>
      <w:r w:rsidRPr="00E27443">
        <w:t>treated</w:t>
      </w:r>
      <w:r w:rsidR="00C63F8F" w:rsidRPr="00E27443">
        <w:t xml:space="preserve"> </w:t>
      </w:r>
      <w:r w:rsidRPr="00E27443">
        <w:t>in</w:t>
      </w:r>
      <w:r w:rsidR="00C63F8F" w:rsidRPr="00E27443">
        <w:t xml:space="preserve"> </w:t>
      </w:r>
      <w:r w:rsidRPr="00E27443">
        <w:t>a</w:t>
      </w:r>
      <w:r w:rsidR="00C63F8F" w:rsidRPr="00E27443">
        <w:t xml:space="preserve"> </w:t>
      </w:r>
      <w:r w:rsidRPr="00E27443">
        <w:t>comparable</w:t>
      </w:r>
      <w:r w:rsidR="00C63F8F" w:rsidRPr="00E27443">
        <w:t xml:space="preserve"> </w:t>
      </w:r>
      <w:r w:rsidRPr="00E27443">
        <w:t>situation,</w:t>
      </w:r>
      <w:r w:rsidR="00C63F8F" w:rsidRPr="00E27443">
        <w:t xml:space="preserve"> </w:t>
      </w:r>
      <w:r w:rsidRPr="00E27443">
        <w:t>if</w:t>
      </w:r>
      <w:r w:rsidR="00C63F8F" w:rsidRPr="00E27443">
        <w:t xml:space="preserve"> </w:t>
      </w:r>
      <w:r w:rsidRPr="00E27443">
        <w:t>this</w:t>
      </w:r>
      <w:r w:rsidR="00C63F8F" w:rsidRPr="00E27443">
        <w:t xml:space="preserve"> </w:t>
      </w:r>
      <w:r w:rsidRPr="00E27443">
        <w:t>disadvantaging</w:t>
      </w:r>
      <w:r w:rsidR="00C63F8F" w:rsidRPr="00E27443">
        <w:t xml:space="preserve"> </w:t>
      </w:r>
      <w:r w:rsidRPr="00E27443">
        <w:t>is</w:t>
      </w:r>
      <w:r w:rsidR="00C63F8F" w:rsidRPr="00E27443">
        <w:t xml:space="preserve"> </w:t>
      </w:r>
      <w:r w:rsidRPr="00E27443">
        <w:t>associated</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(Section</w:t>
      </w:r>
      <w:r w:rsidR="00C63F8F" w:rsidRPr="00E27443">
        <w:t xml:space="preserve"> </w:t>
      </w:r>
      <w:r w:rsidRPr="00E27443">
        <w:t>1,</w:t>
      </w:r>
      <w:r w:rsidR="00C63F8F" w:rsidRPr="00E27443">
        <w:t xml:space="preserve"> </w:t>
      </w:r>
      <w:r w:rsidRPr="00E27443">
        <w:t>§</w:t>
      </w:r>
      <w:r w:rsidR="00C63F8F" w:rsidRPr="00E27443">
        <w:t xml:space="preserve"> </w:t>
      </w:r>
      <w:r w:rsidRPr="00E27443">
        <w:t>4,</w:t>
      </w:r>
      <w:r w:rsidR="00C63F8F" w:rsidRPr="00E27443">
        <w:t xml:space="preserve"> </w:t>
      </w:r>
      <w:r w:rsidRPr="00E27443">
        <w:t>point</w:t>
      </w:r>
      <w:r w:rsidR="00C63F8F" w:rsidRPr="00E27443">
        <w:t xml:space="preserve"> </w:t>
      </w:r>
      <w:r w:rsidRPr="00E27443">
        <w:t>1).</w:t>
      </w:r>
      <w:r w:rsidR="00C63F8F" w:rsidRPr="00E27443">
        <w:t xml:space="preserve"> </w:t>
      </w:r>
      <w:r w:rsidRPr="00E27443">
        <w:rPr>
          <w:i/>
        </w:rPr>
        <w:t>Indirect</w:t>
      </w:r>
      <w:r w:rsidR="00C63F8F" w:rsidRPr="00E27443">
        <w:rPr>
          <w:i/>
        </w:rPr>
        <w:t xml:space="preserve"> </w:t>
      </w:r>
      <w:r w:rsidRPr="00E27443">
        <w:rPr>
          <w:i/>
        </w:rPr>
        <w:t>discrimination</w:t>
      </w:r>
      <w:r w:rsidR="00C63F8F" w:rsidRPr="00E27443">
        <w:t xml:space="preserve"> </w:t>
      </w:r>
      <w:r w:rsidRPr="00E27443">
        <w:t>refers</w:t>
      </w:r>
      <w:r w:rsidR="00C63F8F" w:rsidRPr="00E27443">
        <w:t xml:space="preserve"> </w:t>
      </w:r>
      <w:r w:rsidRPr="00E27443">
        <w:t>to</w:t>
      </w:r>
      <w:r w:rsidR="00C63F8F" w:rsidRPr="00E27443">
        <w:t xml:space="preserve"> </w:t>
      </w:r>
      <w:r w:rsidRPr="00E27443">
        <w:t>a</w:t>
      </w:r>
      <w:r w:rsidR="00C63F8F" w:rsidRPr="00E27443">
        <w:t xml:space="preserve"> </w:t>
      </w:r>
      <w:r w:rsidRPr="00E27443">
        <w:t>person</w:t>
      </w:r>
      <w:r w:rsidR="00C63F8F" w:rsidRPr="00E27443">
        <w:t xml:space="preserve"> </w:t>
      </w:r>
      <w:r w:rsidRPr="00E27443">
        <w:t>being</w:t>
      </w:r>
      <w:r w:rsidR="00C63F8F" w:rsidRPr="00E27443">
        <w:t xml:space="preserve"> </w:t>
      </w:r>
      <w:r w:rsidRPr="00E27443">
        <w:t>disadvantaged</w:t>
      </w:r>
      <w:r w:rsidR="00C63F8F" w:rsidRPr="00E27443">
        <w:t xml:space="preserve"> </w:t>
      </w:r>
      <w:r w:rsidRPr="00E27443">
        <w:t>by</w:t>
      </w:r>
      <w:r w:rsidR="00C63F8F" w:rsidRPr="00E27443">
        <w:t xml:space="preserve"> </w:t>
      </w:r>
      <w:r w:rsidRPr="00E27443">
        <w:t>the</w:t>
      </w:r>
      <w:r w:rsidR="00C63F8F" w:rsidRPr="00E27443">
        <w:t xml:space="preserve"> </w:t>
      </w:r>
      <w:r w:rsidRPr="00E27443">
        <w:t>application</w:t>
      </w:r>
      <w:r w:rsidR="00C63F8F" w:rsidRPr="00E27443">
        <w:t xml:space="preserve"> </w:t>
      </w:r>
      <w:r w:rsidRPr="00E27443">
        <w:t>of</w:t>
      </w:r>
      <w:r w:rsidR="00C63F8F" w:rsidRPr="00E27443">
        <w:t xml:space="preserve"> </w:t>
      </w:r>
      <w:r w:rsidRPr="00E27443">
        <w:t>a</w:t>
      </w:r>
      <w:r w:rsidR="00C63F8F" w:rsidRPr="00E27443">
        <w:t xml:space="preserve"> </w:t>
      </w:r>
      <w:r w:rsidRPr="00E27443">
        <w:t>provision,</w:t>
      </w:r>
      <w:r w:rsidR="00C63F8F" w:rsidRPr="00E27443">
        <w:t xml:space="preserve"> </w:t>
      </w:r>
      <w:r w:rsidRPr="00E27443">
        <w:t>a</w:t>
      </w:r>
      <w:r w:rsidR="00C63F8F" w:rsidRPr="00E27443">
        <w:t xml:space="preserve"> </w:t>
      </w:r>
      <w:r w:rsidRPr="00E27443">
        <w:t>criterion</w:t>
      </w:r>
      <w:r w:rsidR="00C63F8F" w:rsidRPr="00E27443">
        <w:t xml:space="preserve"> </w:t>
      </w:r>
      <w:r w:rsidRPr="00E27443">
        <w:t>or</w:t>
      </w:r>
      <w:r w:rsidR="00C63F8F" w:rsidRPr="00E27443">
        <w:t xml:space="preserve"> </w:t>
      </w:r>
      <w:r w:rsidRPr="00E27443">
        <w:t>a</w:t>
      </w:r>
      <w:r w:rsidR="00C63F8F" w:rsidRPr="00E27443">
        <w:t xml:space="preserve"> </w:t>
      </w:r>
      <w:r w:rsidRPr="00E27443">
        <w:t>process</w:t>
      </w:r>
      <w:r w:rsidR="00C63F8F" w:rsidRPr="00E27443">
        <w:t xml:space="preserve"> </w:t>
      </w:r>
      <w:r w:rsidRPr="00E27443">
        <w:t>that</w:t>
      </w:r>
      <w:r w:rsidR="00C63F8F" w:rsidRPr="00E27443">
        <w:t xml:space="preserve"> </w:t>
      </w:r>
      <w:r w:rsidRPr="00E27443">
        <w:t>appears</w:t>
      </w:r>
      <w:r w:rsidR="00C63F8F" w:rsidRPr="00E27443">
        <w:t xml:space="preserve"> </w:t>
      </w:r>
      <w:r w:rsidRPr="00E27443">
        <w:t>neutral,</w:t>
      </w:r>
      <w:r w:rsidR="00C63F8F" w:rsidRPr="00E27443">
        <w:t xml:space="preserve"> </w:t>
      </w:r>
      <w:r w:rsidRPr="00E27443">
        <w:t>but</w:t>
      </w:r>
      <w:r w:rsidR="00C63F8F" w:rsidRPr="00E27443">
        <w:t xml:space="preserve"> </w:t>
      </w:r>
      <w:r w:rsidRPr="00E27443">
        <w:t>that</w:t>
      </w:r>
      <w:r w:rsidR="00C63F8F" w:rsidRPr="00E27443">
        <w:t xml:space="preserve"> </w:t>
      </w:r>
      <w:r w:rsidRPr="00E27443">
        <w:t>may</w:t>
      </w:r>
      <w:r w:rsidR="00C63F8F" w:rsidRPr="00E27443">
        <w:t xml:space="preserve"> </w:t>
      </w:r>
      <w:r w:rsidRPr="00E27443">
        <w:t>put</w:t>
      </w:r>
      <w:r w:rsidR="00C63F8F" w:rsidRPr="00E27443">
        <w:t xml:space="preserve"> </w:t>
      </w:r>
      <w:r w:rsidRPr="00E27443">
        <w:t>persons</w:t>
      </w:r>
      <w:r w:rsidR="00C63F8F" w:rsidRPr="00E27443">
        <w:t xml:space="preserve"> </w:t>
      </w:r>
      <w:r w:rsidRPr="00E27443">
        <w:t>of</w:t>
      </w:r>
      <w:r w:rsidR="00C63F8F" w:rsidRPr="00E27443">
        <w:t xml:space="preserve"> </w:t>
      </w:r>
      <w:r w:rsidRPr="00E27443">
        <w:t>certain</w:t>
      </w:r>
      <w:r w:rsidR="00C63F8F" w:rsidRPr="00E27443">
        <w:t xml:space="preserve"> </w:t>
      </w:r>
      <w:r w:rsidRPr="00E27443">
        <w:t>disability</w:t>
      </w:r>
      <w:r w:rsidR="00C63F8F" w:rsidRPr="00E27443">
        <w:t xml:space="preserve"> </w:t>
      </w:r>
      <w:r w:rsidRPr="00E27443">
        <w:t>at</w:t>
      </w:r>
      <w:r w:rsidR="00C63F8F" w:rsidRPr="00E27443">
        <w:t xml:space="preserve"> </w:t>
      </w:r>
      <w:r w:rsidRPr="00E27443">
        <w:t>a</w:t>
      </w:r>
      <w:r w:rsidR="00C63F8F" w:rsidRPr="00E27443">
        <w:t xml:space="preserve"> </w:t>
      </w:r>
      <w:r w:rsidRPr="00E27443">
        <w:t>particularly</w:t>
      </w:r>
      <w:r w:rsidR="00C63F8F" w:rsidRPr="00E27443">
        <w:t xml:space="preserve"> </w:t>
      </w:r>
      <w:r w:rsidRPr="00E27443">
        <w:t>disadvantage,</w:t>
      </w:r>
      <w:r w:rsidR="00C63F8F" w:rsidRPr="00E27443">
        <w:t xml:space="preserve"> </w:t>
      </w:r>
      <w:r w:rsidRPr="00E27443">
        <w:t>provided</w:t>
      </w:r>
      <w:r w:rsidR="00C63F8F" w:rsidRPr="00E27443">
        <w:t xml:space="preserve"> </w:t>
      </w:r>
      <w:r w:rsidRPr="00E27443">
        <w:t>the</w:t>
      </w:r>
      <w:r w:rsidR="00C63F8F" w:rsidRPr="00E27443">
        <w:t xml:space="preserve"> </w:t>
      </w:r>
      <w:r w:rsidRPr="00E27443">
        <w:t>provision,</w:t>
      </w:r>
      <w:r w:rsidR="00C63F8F" w:rsidRPr="00E27443">
        <w:t xml:space="preserve"> </w:t>
      </w:r>
      <w:r w:rsidRPr="00E27443">
        <w:t>criterion</w:t>
      </w:r>
      <w:r w:rsidR="00C63F8F" w:rsidRPr="00E27443">
        <w:t xml:space="preserve"> </w:t>
      </w:r>
      <w:r w:rsidRPr="00E27443">
        <w:t>or</w:t>
      </w:r>
      <w:r w:rsidR="00C63F8F" w:rsidRPr="00E27443">
        <w:t xml:space="preserve"> </w:t>
      </w:r>
      <w:r w:rsidRPr="00E27443">
        <w:t>process</w:t>
      </w:r>
      <w:r w:rsidR="00C63F8F" w:rsidRPr="00E27443">
        <w:t xml:space="preserve"> </w:t>
      </w:r>
      <w:r w:rsidRPr="00E27443">
        <w:t>does</w:t>
      </w:r>
      <w:r w:rsidR="00C63F8F" w:rsidRPr="00E27443">
        <w:t xml:space="preserve"> </w:t>
      </w:r>
      <w:r w:rsidRPr="00E27443">
        <w:t>not</w:t>
      </w:r>
      <w:r w:rsidR="00C63F8F" w:rsidRPr="00E27443">
        <w:t xml:space="preserve"> </w:t>
      </w:r>
      <w:r w:rsidRPr="00E27443">
        <w:t>have</w:t>
      </w:r>
      <w:r w:rsidR="00C63F8F" w:rsidRPr="00E27443">
        <w:t xml:space="preserve"> </w:t>
      </w:r>
      <w:r w:rsidRPr="00E27443">
        <w:t>a</w:t>
      </w:r>
      <w:r w:rsidR="00C63F8F" w:rsidRPr="00E27443">
        <w:t xml:space="preserve"> </w:t>
      </w:r>
      <w:r w:rsidRPr="00E27443">
        <w:t>justified</w:t>
      </w:r>
      <w:r w:rsidR="00C63F8F" w:rsidRPr="00E27443">
        <w:t xml:space="preserve"> </w:t>
      </w:r>
      <w:r w:rsidRPr="00E27443">
        <w:t>purpose</w:t>
      </w:r>
      <w:r w:rsidR="00C63F8F" w:rsidRPr="00E27443">
        <w:t xml:space="preserve"> </w:t>
      </w:r>
      <w:r w:rsidRPr="00E27443">
        <w:t>and</w:t>
      </w:r>
      <w:r w:rsidR="00C63F8F" w:rsidRPr="00E27443">
        <w:t xml:space="preserve"> </w:t>
      </w:r>
      <w:r w:rsidRPr="00E27443">
        <w:t>the</w:t>
      </w:r>
      <w:r w:rsidR="00C63F8F" w:rsidRPr="00E27443">
        <w:t xml:space="preserve"> </w:t>
      </w:r>
      <w:r w:rsidRPr="00E27443">
        <w:t>means</w:t>
      </w:r>
      <w:r w:rsidR="00C63F8F" w:rsidRPr="00E27443">
        <w:t xml:space="preserve"> </w:t>
      </w:r>
      <w:r w:rsidRPr="00E27443">
        <w:t>that</w:t>
      </w:r>
      <w:r w:rsidR="00C63F8F" w:rsidRPr="00E27443">
        <w:t xml:space="preserve"> </w:t>
      </w:r>
      <w:r w:rsidRPr="00E27443">
        <w:t>are</w:t>
      </w:r>
      <w:r w:rsidR="00C63F8F" w:rsidRPr="00E27443">
        <w:t xml:space="preserve"> </w:t>
      </w:r>
      <w:r w:rsidRPr="00E27443">
        <w:t>used</w:t>
      </w:r>
      <w:r w:rsidR="00C63F8F" w:rsidRPr="00E27443">
        <w:t xml:space="preserve"> </w:t>
      </w:r>
      <w:r w:rsidRPr="00E27443">
        <w:t>are</w:t>
      </w:r>
      <w:r w:rsidR="00C63F8F" w:rsidRPr="00E27443">
        <w:t xml:space="preserve"> </w:t>
      </w:r>
      <w:r w:rsidRPr="00E27443">
        <w:t>appropriate</w:t>
      </w:r>
      <w:r w:rsidR="00C63F8F" w:rsidRPr="00E27443">
        <w:t xml:space="preserve"> </w:t>
      </w:r>
      <w:r w:rsidRPr="00E27443">
        <w:t>and</w:t>
      </w:r>
      <w:r w:rsidR="00C63F8F" w:rsidRPr="00E27443">
        <w:t xml:space="preserve"> </w:t>
      </w:r>
      <w:r w:rsidRPr="00E27443">
        <w:t>necessary</w:t>
      </w:r>
      <w:r w:rsidR="00C63F8F" w:rsidRPr="00E27443">
        <w:t xml:space="preserve"> </w:t>
      </w:r>
      <w:r w:rsidRPr="00E27443">
        <w:t>to</w:t>
      </w:r>
      <w:r w:rsidR="00C63F8F" w:rsidRPr="00E27443">
        <w:t xml:space="preserve"> </w:t>
      </w:r>
      <w:r w:rsidRPr="00E27443">
        <w:t>achieve</w:t>
      </w:r>
      <w:r w:rsidR="00C63F8F" w:rsidRPr="00E27443">
        <w:t xml:space="preserve"> </w:t>
      </w:r>
      <w:r w:rsidRPr="00E27443">
        <w:t>the</w:t>
      </w:r>
      <w:r w:rsidR="00C63F8F" w:rsidRPr="00E27443">
        <w:t xml:space="preserve"> </w:t>
      </w:r>
      <w:r w:rsidRPr="00E27443">
        <w:t>purpose</w:t>
      </w:r>
      <w:r w:rsidR="00C63F8F" w:rsidRPr="00E27443">
        <w:t xml:space="preserve"> </w:t>
      </w:r>
      <w:r w:rsidRPr="00E27443">
        <w:t>(Section</w:t>
      </w:r>
      <w:r w:rsidR="00C63F8F" w:rsidRPr="00E27443">
        <w:t xml:space="preserve"> </w:t>
      </w:r>
      <w:r w:rsidRPr="00E27443">
        <w:t>1,</w:t>
      </w:r>
      <w:r w:rsidR="00C63F8F" w:rsidRPr="00E27443">
        <w:t xml:space="preserve"> </w:t>
      </w:r>
      <w:r w:rsidRPr="00E27443">
        <w:t>§</w:t>
      </w:r>
      <w:r w:rsidR="00C63F8F" w:rsidRPr="00E27443">
        <w:t xml:space="preserve"> </w:t>
      </w:r>
      <w:r w:rsidRPr="00E27443">
        <w:t>4,</w:t>
      </w:r>
      <w:r w:rsidR="00C63F8F" w:rsidRPr="00E27443">
        <w:t xml:space="preserve"> </w:t>
      </w:r>
      <w:r w:rsidRPr="00E27443">
        <w:t>point</w:t>
      </w:r>
      <w:r w:rsidR="00C63F8F" w:rsidRPr="00E27443">
        <w:t xml:space="preserve"> </w:t>
      </w:r>
      <w:r w:rsidRPr="00E27443">
        <w:t>2).</w:t>
      </w:r>
      <w:r w:rsidR="00C63F8F" w:rsidRPr="00E27443">
        <w:t xml:space="preserve"> </w:t>
      </w:r>
      <w:r w:rsidRPr="00E27443">
        <w:rPr>
          <w:i/>
        </w:rPr>
        <w:t>Harassment</w:t>
      </w:r>
      <w:r w:rsidR="00C63F8F" w:rsidRPr="00E27443">
        <w:t xml:space="preserve"> </w:t>
      </w:r>
      <w:r w:rsidRPr="00E27443">
        <w:t>refers</w:t>
      </w:r>
      <w:r w:rsidR="00C63F8F" w:rsidRPr="00E27443">
        <w:t xml:space="preserve"> </w:t>
      </w:r>
      <w:r w:rsidRPr="00E27443">
        <w:t>to</w:t>
      </w:r>
      <w:r w:rsidR="00C63F8F" w:rsidRPr="00E27443">
        <w:t xml:space="preserve"> </w:t>
      </w:r>
      <w:r w:rsidRPr="00E27443">
        <w:t>a</w:t>
      </w:r>
      <w:r w:rsidR="00C63F8F" w:rsidRPr="00E27443">
        <w:t xml:space="preserve"> </w:t>
      </w:r>
      <w:r w:rsidRPr="00E27443">
        <w:t>form</w:t>
      </w:r>
      <w:r w:rsidR="00C63F8F" w:rsidRPr="00E27443">
        <w:t xml:space="preserve"> </w:t>
      </w:r>
      <w:r w:rsidRPr="00E27443">
        <w:t>of</w:t>
      </w:r>
      <w:r w:rsidR="00C63F8F" w:rsidRPr="00E27443">
        <w:t xml:space="preserve"> </w:t>
      </w:r>
      <w:r w:rsidRPr="00E27443">
        <w:t>behaviour</w:t>
      </w:r>
      <w:r w:rsidR="00C63F8F" w:rsidRPr="00E27443">
        <w:t xml:space="preserve"> </w:t>
      </w:r>
      <w:r w:rsidRPr="00E27443">
        <w:t>that</w:t>
      </w:r>
      <w:r w:rsidR="00C63F8F" w:rsidRPr="00E27443">
        <w:t xml:space="preserve"> </w:t>
      </w:r>
      <w:r w:rsidRPr="00E27443">
        <w:t>violates</w:t>
      </w:r>
      <w:r w:rsidR="00C63F8F" w:rsidRPr="00E27443">
        <w:t xml:space="preserve"> </w:t>
      </w:r>
      <w:r w:rsidRPr="00E27443">
        <w:t>a</w:t>
      </w:r>
      <w:r w:rsidR="00C63F8F" w:rsidRPr="00E27443">
        <w:t xml:space="preserve"> </w:t>
      </w:r>
      <w:r w:rsidRPr="00E27443">
        <w:t>person</w:t>
      </w:r>
      <w:r w:rsidR="00C63F8F" w:rsidRPr="00E27443">
        <w:t>’</w:t>
      </w:r>
      <w:r w:rsidRPr="00E27443">
        <w:t>s</w:t>
      </w:r>
      <w:r w:rsidR="00C63F8F" w:rsidRPr="00E27443">
        <w:t xml:space="preserve"> </w:t>
      </w:r>
      <w:r w:rsidRPr="00E27443">
        <w:t>dignity</w:t>
      </w:r>
      <w:r w:rsidR="00C63F8F" w:rsidRPr="00E27443">
        <w:t xml:space="preserve"> </w:t>
      </w:r>
      <w:r w:rsidRPr="00E27443">
        <w:t>and</w:t>
      </w:r>
      <w:r w:rsidR="00C63F8F" w:rsidRPr="00E27443">
        <w:t xml:space="preserve"> </w:t>
      </w:r>
      <w:r w:rsidRPr="00E27443">
        <w:t>that</w:t>
      </w:r>
      <w:r w:rsidR="00C63F8F" w:rsidRPr="00E27443">
        <w:t xml:space="preserve"> </w:t>
      </w:r>
      <w:r w:rsidRPr="00E27443">
        <w:t>is</w:t>
      </w:r>
      <w:r w:rsidR="00C63F8F" w:rsidRPr="00E27443">
        <w:t xml:space="preserve"> </w:t>
      </w:r>
      <w:r w:rsidRPr="00E27443">
        <w:t>linked</w:t>
      </w:r>
      <w:r w:rsidR="00C63F8F" w:rsidRPr="00E27443">
        <w:t xml:space="preserve"> </w:t>
      </w:r>
      <w:r w:rsidRPr="00E27443">
        <w:t>to</w:t>
      </w:r>
      <w:r w:rsidR="00C63F8F" w:rsidRPr="00E27443">
        <w:t xml:space="preserve"> </w:t>
      </w:r>
      <w:r w:rsidRPr="00E27443">
        <w:t>the</w:t>
      </w:r>
      <w:r w:rsidR="00C63F8F" w:rsidRPr="00E27443">
        <w:t xml:space="preserve"> </w:t>
      </w:r>
      <w:r w:rsidRPr="00E27443">
        <w:t>disability-related</w:t>
      </w:r>
      <w:r w:rsidR="00C63F8F" w:rsidRPr="00E27443">
        <w:t xml:space="preserve"> </w:t>
      </w:r>
      <w:r w:rsidRPr="00E27443">
        <w:t>grounds</w:t>
      </w:r>
      <w:r w:rsidR="00C63F8F" w:rsidRPr="00E27443">
        <w:t xml:space="preserve"> </w:t>
      </w:r>
      <w:r w:rsidRPr="00E27443">
        <w:t>for</w:t>
      </w:r>
      <w:r w:rsidR="00C63F8F" w:rsidRPr="00E27443">
        <w:t xml:space="preserve"> </w:t>
      </w:r>
      <w:r w:rsidRPr="00E27443">
        <w:t>discrimination</w:t>
      </w:r>
      <w:r w:rsidR="00C63F8F" w:rsidRPr="00E27443">
        <w:t xml:space="preserve"> </w:t>
      </w:r>
      <w:r w:rsidRPr="00E27443">
        <w:t>(Section</w:t>
      </w:r>
      <w:r w:rsidR="00C63F8F" w:rsidRPr="00E27443">
        <w:t xml:space="preserve"> </w:t>
      </w:r>
      <w:r w:rsidRPr="00E27443">
        <w:t>1,</w:t>
      </w:r>
      <w:r w:rsidR="00C63F8F" w:rsidRPr="00E27443">
        <w:t xml:space="preserve"> </w:t>
      </w:r>
      <w:r w:rsidRPr="00E27443">
        <w:t>§</w:t>
      </w:r>
      <w:r w:rsidR="00C63F8F" w:rsidRPr="00E27443">
        <w:t xml:space="preserve"> </w:t>
      </w:r>
      <w:r w:rsidRPr="00E27443">
        <w:t>4,</w:t>
      </w:r>
      <w:r w:rsidR="00C63F8F" w:rsidRPr="00E27443">
        <w:t xml:space="preserve"> </w:t>
      </w:r>
      <w:r w:rsidRPr="00E27443">
        <w:t>point</w:t>
      </w:r>
      <w:r w:rsidR="00C63F8F" w:rsidRPr="00E27443">
        <w:t xml:space="preserve"> </w:t>
      </w:r>
      <w:r w:rsidRPr="00E27443">
        <w:t>3).</w:t>
      </w:r>
      <w:r w:rsidR="00C63F8F" w:rsidRPr="00E27443">
        <w:t xml:space="preserve"> </w:t>
      </w:r>
      <w:r w:rsidRPr="00E27443">
        <w:rPr>
          <w:i/>
        </w:rPr>
        <w:t>Instructions</w:t>
      </w:r>
      <w:r w:rsidR="00C63F8F" w:rsidRPr="00E27443">
        <w:t xml:space="preserve"> </w:t>
      </w:r>
      <w:r w:rsidRPr="00E27443">
        <w:t>to</w:t>
      </w:r>
      <w:r w:rsidR="00C63F8F" w:rsidRPr="00E27443">
        <w:t xml:space="preserve"> </w:t>
      </w:r>
      <w:r w:rsidRPr="00E27443">
        <w:t>discriminate</w:t>
      </w:r>
      <w:r w:rsidR="00C63F8F" w:rsidRPr="00E27443">
        <w:t xml:space="preserve"> </w:t>
      </w:r>
      <w:r w:rsidRPr="00E27443">
        <w:t>refer</w:t>
      </w:r>
      <w:r w:rsidR="00C63F8F" w:rsidRPr="00E27443">
        <w:t xml:space="preserve"> </w:t>
      </w:r>
      <w:r w:rsidRPr="00E27443">
        <w:t>to</w:t>
      </w:r>
      <w:r w:rsidR="00C63F8F" w:rsidRPr="00E27443">
        <w:t xml:space="preserve"> </w:t>
      </w:r>
      <w:r w:rsidRPr="00E27443">
        <w:t>an</w:t>
      </w:r>
      <w:r w:rsidR="00C63F8F" w:rsidRPr="00E27443">
        <w:t xml:space="preserve"> </w:t>
      </w:r>
      <w:r w:rsidRPr="00E27443">
        <w:t>order</w:t>
      </w:r>
      <w:r w:rsidR="00C63F8F" w:rsidRPr="00E27443">
        <w:t xml:space="preserve"> </w:t>
      </w:r>
      <w:r w:rsidRPr="00E27443">
        <w:t>or</w:t>
      </w:r>
      <w:r w:rsidR="00C63F8F" w:rsidRPr="00E27443">
        <w:t xml:space="preserve"> </w:t>
      </w:r>
      <w:r w:rsidRPr="00E27443">
        <w:t>instruction</w:t>
      </w:r>
      <w:r w:rsidR="00C63F8F" w:rsidRPr="00E27443">
        <w:t xml:space="preserve"> </w:t>
      </w:r>
      <w:r w:rsidRPr="00E27443">
        <w:t>to</w:t>
      </w:r>
      <w:r w:rsidR="00C63F8F" w:rsidRPr="00E27443">
        <w:t xml:space="preserve"> </w:t>
      </w:r>
      <w:r w:rsidRPr="00E27443">
        <w:t>discriminate</w:t>
      </w:r>
      <w:r w:rsidR="00C63F8F" w:rsidRPr="00E27443">
        <w:t xml:space="preserve"> </w:t>
      </w:r>
      <w:r w:rsidRPr="00E27443">
        <w:t>against</w:t>
      </w:r>
      <w:r w:rsidR="00C63F8F" w:rsidRPr="00E27443">
        <w:t xml:space="preserve"> </w:t>
      </w:r>
      <w:r w:rsidRPr="00E27443">
        <w:t>someone</w:t>
      </w:r>
      <w:r w:rsidR="00C63F8F" w:rsidRPr="00E27443">
        <w:t xml:space="preserve"> </w:t>
      </w:r>
      <w:r w:rsidRPr="00E27443">
        <w:t>directly,</w:t>
      </w:r>
      <w:r w:rsidR="00C63F8F" w:rsidRPr="00E27443">
        <w:t xml:space="preserve"> </w:t>
      </w:r>
      <w:r w:rsidRPr="00E27443">
        <w:t>indirectly</w:t>
      </w:r>
      <w:r w:rsidR="00C63F8F" w:rsidRPr="00E27443">
        <w:t xml:space="preserve"> </w:t>
      </w:r>
      <w:r w:rsidRPr="00E27443">
        <w:t>or</w:t>
      </w:r>
      <w:r w:rsidR="00C63F8F" w:rsidRPr="00E27443">
        <w:t xml:space="preserve"> </w:t>
      </w:r>
      <w:r w:rsidRPr="00E27443">
        <w:t>through</w:t>
      </w:r>
      <w:r w:rsidR="00C63F8F" w:rsidRPr="00E27443">
        <w:t xml:space="preserve"> </w:t>
      </w:r>
      <w:r w:rsidRPr="00E27443">
        <w:t>harassment</w:t>
      </w:r>
      <w:r w:rsidR="00C63F8F" w:rsidRPr="00E27443">
        <w:t xml:space="preserve"> </w:t>
      </w:r>
      <w:r w:rsidRPr="00E27443">
        <w:t>(Section</w:t>
      </w:r>
      <w:r w:rsidR="00C63F8F" w:rsidRPr="00E27443">
        <w:t xml:space="preserve"> </w:t>
      </w:r>
      <w:r w:rsidRPr="00E27443">
        <w:t>1,</w:t>
      </w:r>
      <w:r w:rsidR="00C63F8F" w:rsidRPr="00E27443">
        <w:t xml:space="preserve"> </w:t>
      </w:r>
      <w:r w:rsidRPr="00E27443">
        <w:t>§</w:t>
      </w:r>
      <w:r w:rsidR="00C63F8F" w:rsidRPr="00E27443">
        <w:t xml:space="preserve"> </w:t>
      </w:r>
      <w:r w:rsidRPr="00E27443">
        <w:t>4,</w:t>
      </w:r>
      <w:r w:rsidR="00C63F8F" w:rsidRPr="00E27443">
        <w:t xml:space="preserve"> </w:t>
      </w:r>
      <w:r w:rsidRPr="00E27443">
        <w:t>point</w:t>
      </w:r>
      <w:r w:rsidR="00C63F8F" w:rsidRPr="00E27443">
        <w:t xml:space="preserve"> </w:t>
      </w:r>
      <w:r w:rsidRPr="00E27443">
        <w:t>5).</w:t>
      </w:r>
      <w:r w:rsidR="00C63F8F" w:rsidRPr="00E27443">
        <w:t xml:space="preserve"> </w:t>
      </w:r>
      <w:r w:rsidRPr="00E27443">
        <w:t>The</w:t>
      </w:r>
      <w:r w:rsidR="00C63F8F" w:rsidRPr="00E27443">
        <w:t xml:space="preserve"> </w:t>
      </w:r>
      <w:r w:rsidRPr="00E27443">
        <w:t>order</w:t>
      </w:r>
      <w:r w:rsidR="00C63F8F" w:rsidRPr="00E27443">
        <w:t xml:space="preserve"> </w:t>
      </w:r>
      <w:r w:rsidRPr="00E27443">
        <w:t>or</w:t>
      </w:r>
      <w:r w:rsidR="00C63F8F" w:rsidRPr="00E27443">
        <w:t xml:space="preserve"> </w:t>
      </w:r>
      <w:r w:rsidRPr="00E27443">
        <w:t>instruction</w:t>
      </w:r>
      <w:r w:rsidR="00C63F8F" w:rsidRPr="00E27443">
        <w:t xml:space="preserve"> </w:t>
      </w:r>
      <w:r w:rsidRPr="00E27443">
        <w:t>must</w:t>
      </w:r>
      <w:r w:rsidR="00C63F8F" w:rsidRPr="00E27443">
        <w:t xml:space="preserve"> </w:t>
      </w:r>
      <w:r w:rsidRPr="00E27443">
        <w:t>be</w:t>
      </w:r>
      <w:r w:rsidR="00C63F8F" w:rsidRPr="00E27443">
        <w:t xml:space="preserve"> </w:t>
      </w:r>
      <w:r w:rsidRPr="00E27443">
        <w:t>given</w:t>
      </w:r>
      <w:r w:rsidR="00C63F8F" w:rsidRPr="00E27443">
        <w:t xml:space="preserve"> </w:t>
      </w:r>
      <w:r w:rsidRPr="00E27443">
        <w:t>either</w:t>
      </w:r>
      <w:r w:rsidR="00C63F8F" w:rsidRPr="00E27443">
        <w:t xml:space="preserve"> </w:t>
      </w:r>
      <w:r w:rsidRPr="00E27443">
        <w:t>to</w:t>
      </w:r>
      <w:r w:rsidR="00C63F8F" w:rsidRPr="00E27443">
        <w:t xml:space="preserve"> </w:t>
      </w:r>
      <w:r w:rsidRPr="00E27443">
        <w:t>someone</w:t>
      </w:r>
      <w:r w:rsidR="00C63F8F" w:rsidRPr="00E27443">
        <w:t xml:space="preserve"> </w:t>
      </w:r>
      <w:r w:rsidRPr="00E27443">
        <w:t>who</w:t>
      </w:r>
      <w:r w:rsidR="00C63F8F" w:rsidRPr="00E27443">
        <w:t xml:space="preserve"> </w:t>
      </w:r>
      <w:r w:rsidRPr="00E27443">
        <w:t>is</w:t>
      </w:r>
      <w:r w:rsidR="00C63F8F" w:rsidRPr="00E27443">
        <w:t xml:space="preserve"> </w:t>
      </w:r>
      <w:r w:rsidRPr="00E27443">
        <w:t>in</w:t>
      </w:r>
      <w:r w:rsidR="00C63F8F" w:rsidRPr="00E27443">
        <w:t xml:space="preserve"> </w:t>
      </w:r>
      <w:r w:rsidRPr="00E27443">
        <w:t>a</w:t>
      </w:r>
      <w:r w:rsidR="00C63F8F" w:rsidRPr="00E27443">
        <w:t xml:space="preserve"> </w:t>
      </w:r>
      <w:r w:rsidRPr="00E27443">
        <w:t>submissive</w:t>
      </w:r>
      <w:r w:rsidR="00C63F8F" w:rsidRPr="00E27443">
        <w:t xml:space="preserve"> </w:t>
      </w:r>
      <w:r w:rsidRPr="00E27443">
        <w:t>or</w:t>
      </w:r>
      <w:r w:rsidR="00C63F8F" w:rsidRPr="00E27443">
        <w:t xml:space="preserve"> </w:t>
      </w:r>
      <w:r w:rsidRPr="00E27443">
        <w:t>dependent</w:t>
      </w:r>
      <w:r w:rsidR="00C63F8F" w:rsidRPr="00E27443">
        <w:t xml:space="preserve"> </w:t>
      </w:r>
      <w:r w:rsidRPr="00E27443">
        <w:t>relationship</w:t>
      </w:r>
      <w:r w:rsidR="00C63F8F" w:rsidRPr="00E27443">
        <w:t xml:space="preserve"> </w:t>
      </w:r>
      <w:r w:rsidRPr="00E27443">
        <w:t>with</w:t>
      </w:r>
      <w:r w:rsidR="00C63F8F" w:rsidRPr="00E27443">
        <w:t xml:space="preserve"> </w:t>
      </w:r>
      <w:r w:rsidRPr="00E27443">
        <w:t>the</w:t>
      </w:r>
      <w:r w:rsidR="00C63F8F" w:rsidRPr="00E27443">
        <w:t xml:space="preserve"> </w:t>
      </w:r>
      <w:r w:rsidRPr="00E27443">
        <w:t>person</w:t>
      </w:r>
      <w:r w:rsidR="00C63F8F" w:rsidRPr="00E27443">
        <w:t xml:space="preserve"> </w:t>
      </w:r>
      <w:r w:rsidRPr="00E27443">
        <w:t>giving</w:t>
      </w:r>
      <w:r w:rsidR="00C63F8F" w:rsidRPr="00E27443">
        <w:t xml:space="preserve"> </w:t>
      </w:r>
      <w:r w:rsidRPr="00E27443">
        <w:t>the</w:t>
      </w:r>
      <w:r w:rsidR="00C63F8F" w:rsidRPr="00E27443">
        <w:t xml:space="preserve"> </w:t>
      </w:r>
      <w:r w:rsidRPr="00E27443">
        <w:t>order</w:t>
      </w:r>
      <w:r w:rsidR="00C63F8F" w:rsidRPr="00E27443">
        <w:t xml:space="preserve"> </w:t>
      </w:r>
      <w:r w:rsidRPr="00E27443">
        <w:t>or</w:t>
      </w:r>
      <w:r w:rsidR="00C63F8F" w:rsidRPr="00E27443">
        <w:t xml:space="preserve"> </w:t>
      </w:r>
      <w:r w:rsidRPr="00E27443">
        <w:t>instruction,</w:t>
      </w:r>
      <w:r w:rsidR="00C63F8F" w:rsidRPr="00E27443">
        <w:t xml:space="preserve"> </w:t>
      </w:r>
      <w:r w:rsidRPr="00E27443">
        <w:t>or</w:t>
      </w:r>
      <w:r w:rsidR="00C63F8F" w:rsidRPr="00E27443">
        <w:t xml:space="preserve"> </w:t>
      </w:r>
      <w:r w:rsidRPr="00E27443">
        <w:t>to</w:t>
      </w:r>
      <w:r w:rsidR="00C63F8F" w:rsidRPr="00E27443">
        <w:t xml:space="preserve"> </w:t>
      </w:r>
      <w:r w:rsidRPr="00E27443">
        <w:t>somebody</w:t>
      </w:r>
      <w:r w:rsidR="00C63F8F" w:rsidRPr="00E27443">
        <w:t xml:space="preserve"> </w:t>
      </w:r>
      <w:r w:rsidRPr="00E27443">
        <w:t>who</w:t>
      </w:r>
      <w:r w:rsidR="00C63F8F" w:rsidRPr="00E27443">
        <w:t xml:space="preserve"> </w:t>
      </w:r>
      <w:r w:rsidRPr="00E27443">
        <w:t>has</w:t>
      </w:r>
      <w:r w:rsidR="00C63F8F" w:rsidRPr="00E27443">
        <w:t xml:space="preserve"> </w:t>
      </w:r>
      <w:r w:rsidRPr="00E27443">
        <w:t>undertaken</w:t>
      </w:r>
      <w:r w:rsidR="00C63F8F" w:rsidRPr="00E27443">
        <w:t xml:space="preserve"> </w:t>
      </w:r>
      <w:r w:rsidRPr="00E27443">
        <w:t>to</w:t>
      </w:r>
      <w:r w:rsidR="00C63F8F" w:rsidRPr="00E27443">
        <w:t xml:space="preserve"> </w:t>
      </w:r>
      <w:r w:rsidRPr="00E27443">
        <w:t>that</w:t>
      </w:r>
      <w:r w:rsidR="00C63F8F" w:rsidRPr="00E27443">
        <w:t xml:space="preserve"> </w:t>
      </w:r>
      <w:r w:rsidRPr="00E27443">
        <w:t>person</w:t>
      </w:r>
      <w:r w:rsidR="00C63F8F" w:rsidRPr="00E27443">
        <w:t xml:space="preserve"> </w:t>
      </w:r>
      <w:r w:rsidRPr="00E27443">
        <w:t>to</w:t>
      </w:r>
      <w:r w:rsidR="00C63F8F" w:rsidRPr="00E27443">
        <w:t xml:space="preserve"> </w:t>
      </w:r>
      <w:r w:rsidRPr="00E27443">
        <w:t>complete</w:t>
      </w:r>
      <w:r w:rsidR="00C63F8F" w:rsidRPr="00E27443">
        <w:t xml:space="preserve"> </w:t>
      </w:r>
      <w:r w:rsidRPr="00E27443">
        <w:t>a</w:t>
      </w:r>
      <w:r w:rsidR="00C63F8F" w:rsidRPr="00E27443">
        <w:t xml:space="preserve"> </w:t>
      </w:r>
      <w:r w:rsidRPr="00E27443">
        <w:t>task.</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t>Discrimination</w:t>
      </w:r>
      <w:r w:rsidR="00C63F8F" w:rsidRPr="00E27443">
        <w:t xml:space="preserve"> </w:t>
      </w:r>
      <w:r w:rsidRPr="00E27443">
        <w:t>Act</w:t>
      </w:r>
      <w:r w:rsidR="00C63F8F" w:rsidRPr="00E27443">
        <w:t xml:space="preserve"> </w:t>
      </w:r>
      <w:r w:rsidRPr="00E27443">
        <w:t>contains</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rPr>
          <w:i/>
        </w:rPr>
        <w:t>reasonable</w:t>
      </w:r>
      <w:r w:rsidR="00C63F8F" w:rsidRPr="00E27443">
        <w:rPr>
          <w:i/>
        </w:rPr>
        <w:t xml:space="preserve"> </w:t>
      </w:r>
      <w:r w:rsidRPr="00E27443">
        <w:rPr>
          <w:i/>
        </w:rPr>
        <w:t>accommodations</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working</w:t>
      </w:r>
      <w:r w:rsidR="00C63F8F" w:rsidRPr="00E27443">
        <w:t xml:space="preserve"> </w:t>
      </w:r>
      <w:r w:rsidRPr="00E27443">
        <w:t>life</w:t>
      </w:r>
      <w:r w:rsidR="00C63F8F" w:rsidRPr="00E27443">
        <w:t xml:space="preserve"> </w:t>
      </w:r>
      <w:r w:rsidRPr="00E27443">
        <w:t>and</w:t>
      </w:r>
      <w:r w:rsidR="00C63F8F" w:rsidRPr="00E27443">
        <w:t xml:space="preserve"> </w:t>
      </w:r>
      <w:r w:rsidRPr="00E27443">
        <w:t>to</w:t>
      </w:r>
      <w:r w:rsidR="00C63F8F" w:rsidRPr="00E27443">
        <w:t xml:space="preserve"> </w:t>
      </w:r>
      <w:r w:rsidRPr="00E27443">
        <w:t>some</w:t>
      </w:r>
      <w:r w:rsidR="00C63F8F" w:rsidRPr="00E27443">
        <w:t xml:space="preserve"> </w:t>
      </w:r>
      <w:r w:rsidRPr="00E27443">
        <w:t>extent</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education.</w:t>
      </w:r>
      <w:r w:rsidR="00C63F8F" w:rsidRPr="00E27443">
        <w:t xml:space="preserve"> </w:t>
      </w:r>
      <w:r w:rsidRPr="00E27443">
        <w:t>Reasonable</w:t>
      </w:r>
      <w:r w:rsidR="00C63F8F" w:rsidRPr="00E27443">
        <w:t xml:space="preserve"> </w:t>
      </w:r>
      <w:r w:rsidRPr="00E27443">
        <w:t>accommodations</w:t>
      </w:r>
      <w:r w:rsidR="00C63F8F" w:rsidRPr="00E27443">
        <w:t xml:space="preserve"> </w:t>
      </w:r>
      <w:r w:rsidRPr="00E27443">
        <w:t>must</w:t>
      </w:r>
      <w:r w:rsidR="00C63F8F" w:rsidRPr="00E27443">
        <w:t xml:space="preserve"> </w:t>
      </w:r>
      <w:r w:rsidRPr="00E27443">
        <w:t>be</w:t>
      </w:r>
      <w:r w:rsidR="00C63F8F" w:rsidRPr="00E27443">
        <w:t xml:space="preserve"> </w:t>
      </w:r>
      <w:r w:rsidRPr="00E27443">
        <w:t>implemented</w:t>
      </w:r>
      <w:r w:rsidR="00C63F8F" w:rsidRPr="00E27443">
        <w:t xml:space="preserve"> </w:t>
      </w:r>
      <w:r w:rsidRPr="00E27443">
        <w:t>so</w:t>
      </w:r>
      <w:r w:rsidR="00C63F8F" w:rsidRPr="00E27443">
        <w:t xml:space="preserve"> </w:t>
      </w:r>
      <w:r w:rsidRPr="00E27443">
        <w:t>that</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achieves</w:t>
      </w:r>
      <w:r w:rsidR="00C63F8F" w:rsidRPr="00E27443">
        <w:t xml:space="preserve"> </w:t>
      </w:r>
      <w:r w:rsidRPr="00E27443">
        <w:t>a</w:t>
      </w:r>
      <w:r w:rsidR="00C63F8F" w:rsidRPr="00E27443">
        <w:t xml:space="preserve"> </w:t>
      </w:r>
      <w:r w:rsidRPr="00E27443">
        <w:t>comparable</w:t>
      </w:r>
      <w:r w:rsidR="00C63F8F" w:rsidRPr="00E27443">
        <w:t xml:space="preserve"> </w:t>
      </w:r>
      <w:r w:rsidRPr="00E27443">
        <w:t>situation</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without</w:t>
      </w:r>
      <w:r w:rsidR="00C63F8F" w:rsidRPr="00E27443">
        <w:t xml:space="preserve"> </w:t>
      </w:r>
      <w:r w:rsidRPr="00E27443">
        <w:t>such</w:t>
      </w:r>
      <w:r w:rsidR="00C63F8F" w:rsidRPr="00E27443">
        <w:t xml:space="preserve"> </w:t>
      </w:r>
      <w:r w:rsidRPr="00E27443">
        <w:t>a</w:t>
      </w:r>
      <w:r w:rsidR="00C63F8F" w:rsidRPr="00E27443">
        <w:t xml:space="preserve"> </w:t>
      </w:r>
      <w:r w:rsidRPr="00E27443">
        <w:t>disability</w:t>
      </w:r>
      <w:r w:rsidR="00C63F8F" w:rsidRPr="00E27443">
        <w:t xml:space="preserve"> </w:t>
      </w:r>
      <w:r w:rsidRPr="00E27443">
        <w:t>(Section</w:t>
      </w:r>
      <w:r w:rsidR="00C63F8F" w:rsidRPr="00E27443">
        <w:t xml:space="preserve"> </w:t>
      </w:r>
      <w:r w:rsidRPr="00E27443">
        <w:t>2,</w:t>
      </w:r>
      <w:r w:rsidR="00C63F8F" w:rsidRPr="00E27443">
        <w:t xml:space="preserve"> </w:t>
      </w:r>
      <w:r w:rsidRPr="00E27443">
        <w:t>§</w:t>
      </w:r>
      <w:r w:rsidR="00C63F8F" w:rsidRPr="00E27443">
        <w:t xml:space="preserve"> </w:t>
      </w:r>
      <w:r w:rsidRPr="00E27443">
        <w:t>1).</w:t>
      </w:r>
      <w:r w:rsidR="00C63F8F" w:rsidRPr="00E27443">
        <w:t xml:space="preserve"> </w:t>
      </w:r>
      <w:r w:rsidRPr="00E27443">
        <w:t>When</w:t>
      </w:r>
      <w:r w:rsidR="00C63F8F" w:rsidRPr="00E27443">
        <w:t xml:space="preserve"> </w:t>
      </w:r>
      <w:r w:rsidRPr="00E27443">
        <w:t>assessing</w:t>
      </w:r>
      <w:r w:rsidR="00C63F8F" w:rsidRPr="00E27443">
        <w:t xml:space="preserve"> </w:t>
      </w:r>
      <w:r w:rsidRPr="00E27443">
        <w:t>whether</w:t>
      </w:r>
      <w:r w:rsidR="00C63F8F" w:rsidRPr="00E27443">
        <w:t xml:space="preserve"> </w:t>
      </w:r>
      <w:r w:rsidRPr="00E27443">
        <w:t>something</w:t>
      </w:r>
      <w:r w:rsidR="00C63F8F" w:rsidRPr="00E27443">
        <w:t xml:space="preserve"> </w:t>
      </w:r>
      <w:r w:rsidRPr="00E27443">
        <w:t>is</w:t>
      </w:r>
      <w:r w:rsidR="00C63F8F" w:rsidRPr="00E27443">
        <w:t xml:space="preserve"> </w:t>
      </w:r>
      <w:r w:rsidRPr="00E27443">
        <w:t>reasonable,</w:t>
      </w:r>
      <w:r w:rsidR="00C63F8F" w:rsidRPr="00E27443">
        <w:t xml:space="preserve"> </w:t>
      </w:r>
      <w:r w:rsidRPr="00E27443">
        <w:t>consideration</w:t>
      </w:r>
      <w:r w:rsidR="00C63F8F" w:rsidRPr="00E27443">
        <w:t xml:space="preserve"> </w:t>
      </w:r>
      <w:r w:rsidRPr="00E27443">
        <w:t>must</w:t>
      </w:r>
      <w:r w:rsidR="00C63F8F" w:rsidRPr="00E27443">
        <w:t xml:space="preserve"> </w:t>
      </w:r>
      <w:r w:rsidRPr="00E27443">
        <w:t>be</w:t>
      </w:r>
      <w:r w:rsidR="00C63F8F" w:rsidRPr="00E27443">
        <w:t xml:space="preserve"> </w:t>
      </w:r>
      <w:r w:rsidRPr="00E27443">
        <w:t>given</w:t>
      </w:r>
      <w:r w:rsidR="00C63F8F" w:rsidRPr="00E27443">
        <w:t xml:space="preserve"> </w:t>
      </w:r>
      <w:r w:rsidRPr="00E27443">
        <w:t>to</w:t>
      </w:r>
      <w:r w:rsidR="00C63F8F" w:rsidRPr="00E27443">
        <w:t xml:space="preserve"> </w:t>
      </w:r>
      <w:r w:rsidRPr="00E27443">
        <w:t>financial</w:t>
      </w:r>
      <w:r w:rsidR="00C63F8F" w:rsidRPr="00E27443">
        <w:t xml:space="preserve"> </w:t>
      </w:r>
      <w:r w:rsidRPr="00E27443">
        <w:t>burden,</w:t>
      </w:r>
      <w:r w:rsidR="00C63F8F" w:rsidRPr="00E27443">
        <w:t xml:space="preserve"> </w:t>
      </w:r>
      <w:r w:rsidRPr="00E27443">
        <w:t>the</w:t>
      </w:r>
      <w:r w:rsidR="00C63F8F" w:rsidRPr="00E27443">
        <w:t xml:space="preserve"> </w:t>
      </w:r>
      <w:r w:rsidRPr="00E27443">
        <w:t>nature</w:t>
      </w:r>
      <w:r w:rsidR="00C63F8F" w:rsidRPr="00E27443">
        <w:t xml:space="preserve"> </w:t>
      </w:r>
      <w:r w:rsidRPr="00E27443">
        <w:t>and</w:t>
      </w:r>
      <w:r w:rsidR="00C63F8F" w:rsidRPr="00E27443">
        <w:t xml:space="preserve"> </w:t>
      </w:r>
      <w:r w:rsidRPr="00E27443">
        <w:t>degree</w:t>
      </w:r>
      <w:r w:rsidR="00C63F8F" w:rsidRPr="00E27443">
        <w:t xml:space="preserve"> </w:t>
      </w:r>
      <w:r w:rsidRPr="00E27443">
        <w:t>of</w:t>
      </w:r>
      <w:r w:rsidR="00C63F8F" w:rsidRPr="00E27443">
        <w:t xml:space="preserve"> </w:t>
      </w:r>
      <w:r w:rsidRPr="00E27443">
        <w:t>the</w:t>
      </w:r>
      <w:r w:rsidR="00C63F8F" w:rsidRPr="00E27443">
        <w:t xml:space="preserve"> </w:t>
      </w:r>
      <w:r w:rsidRPr="00E27443">
        <w:t>employee</w:t>
      </w:r>
      <w:r w:rsidR="00C63F8F" w:rsidRPr="00E27443">
        <w:t>’</w:t>
      </w:r>
      <w:r w:rsidRPr="00E27443">
        <w:t>s</w:t>
      </w:r>
      <w:r w:rsidR="00C63F8F" w:rsidRPr="00E27443">
        <w:t xml:space="preserve"> </w:t>
      </w:r>
      <w:r w:rsidRPr="00E27443">
        <w:t>disability,</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the</w:t>
      </w:r>
      <w:r w:rsidR="00C63F8F" w:rsidRPr="00E27443">
        <w:t xml:space="preserve"> </w:t>
      </w:r>
      <w:r w:rsidRPr="00E27443">
        <w:t>duration</w:t>
      </w:r>
      <w:r w:rsidR="00C63F8F" w:rsidRPr="00E27443">
        <w:t xml:space="preserve"> </w:t>
      </w:r>
      <w:r w:rsidRPr="00E27443">
        <w:t>and</w:t>
      </w:r>
      <w:r w:rsidR="00C63F8F" w:rsidRPr="00E27443">
        <w:t xml:space="preserve"> </w:t>
      </w:r>
      <w:r w:rsidRPr="00E27443">
        <w:t>form</w:t>
      </w:r>
      <w:r w:rsidR="00C63F8F" w:rsidRPr="00E27443">
        <w:t xml:space="preserve"> </w:t>
      </w:r>
      <w:r w:rsidRPr="00E27443">
        <w:t>of</w:t>
      </w:r>
      <w:r w:rsidR="00C63F8F" w:rsidRPr="00E27443">
        <w:t xml:space="preserve"> </w:t>
      </w:r>
      <w:r w:rsidRPr="00E27443">
        <w:t>the</w:t>
      </w:r>
      <w:r w:rsidR="00C63F8F" w:rsidRPr="00E27443">
        <w:t xml:space="preserve"> </w:t>
      </w:r>
      <w:r w:rsidRPr="00E27443">
        <w:t>employment.</w:t>
      </w:r>
      <w:r w:rsidR="00C63F8F" w:rsidRPr="00E27443">
        <w:t xml:space="preserve"> </w:t>
      </w:r>
      <w:r w:rsidRPr="00E27443">
        <w:t>Furthermore,</w:t>
      </w:r>
      <w:r w:rsidR="00C63F8F" w:rsidRPr="00E27443">
        <w:t xml:space="preserve"> </w:t>
      </w:r>
      <w:r w:rsidRPr="00E27443">
        <w:t>technical</w:t>
      </w:r>
      <w:r w:rsidR="00C63F8F" w:rsidRPr="00E27443">
        <w:t xml:space="preserve"> </w:t>
      </w:r>
      <w:r w:rsidRPr="00E27443">
        <w:t>and</w:t>
      </w:r>
      <w:r w:rsidR="00C63F8F" w:rsidRPr="00E27443">
        <w:t xml:space="preserve"> </w:t>
      </w:r>
      <w:r w:rsidRPr="00E27443">
        <w:t>other</w:t>
      </w:r>
      <w:r w:rsidR="00C63F8F" w:rsidRPr="00E27443">
        <w:t xml:space="preserve"> </w:t>
      </w:r>
      <w:r w:rsidRPr="00E27443">
        <w:t>developments</w:t>
      </w:r>
      <w:r w:rsidR="00C63F8F" w:rsidRPr="00E27443">
        <w:t xml:space="preserve"> </w:t>
      </w:r>
      <w:r w:rsidRPr="00E27443">
        <w:t>should</w:t>
      </w:r>
      <w:r w:rsidR="00C63F8F" w:rsidRPr="00E27443">
        <w:t xml:space="preserve"> </w:t>
      </w:r>
      <w:r w:rsidRPr="00E27443">
        <w:t>be</w:t>
      </w:r>
      <w:r w:rsidR="00C63F8F" w:rsidRPr="00E27443">
        <w:t xml:space="preserve"> </w:t>
      </w:r>
      <w:r w:rsidRPr="00E27443">
        <w:t>taken</w:t>
      </w:r>
      <w:r w:rsidR="00C63F8F" w:rsidRPr="00E27443">
        <w:t xml:space="preserve"> </w:t>
      </w:r>
      <w:r w:rsidRPr="00E27443">
        <w:t>into</w:t>
      </w:r>
      <w:r w:rsidR="00C63F8F" w:rsidRPr="00E27443">
        <w:t xml:space="preserve"> </w:t>
      </w:r>
      <w:r w:rsidRPr="00E27443">
        <w:t>consideration,</w:t>
      </w:r>
      <w:r w:rsidR="00C63F8F" w:rsidRPr="00E27443">
        <w:t xml:space="preserve"> </w:t>
      </w:r>
      <w:r w:rsidRPr="00E27443">
        <w:t>insofar</w:t>
      </w:r>
      <w:r w:rsidR="00C63F8F" w:rsidRPr="00E27443">
        <w:t xml:space="preserve"> </w:t>
      </w:r>
      <w:r w:rsidRPr="00E27443">
        <w:t>as</w:t>
      </w:r>
      <w:r w:rsidR="00C63F8F" w:rsidRPr="00E27443">
        <w:t xml:space="preserve"> </w:t>
      </w:r>
      <w:r w:rsidRPr="00E27443">
        <w:t>something</w:t>
      </w:r>
      <w:r w:rsidR="00C63F8F" w:rsidRPr="00E27443">
        <w:t xml:space="preserve"> </w:t>
      </w:r>
      <w:r w:rsidRPr="00E27443">
        <w:t>that</w:t>
      </w:r>
      <w:r w:rsidR="00C63F8F" w:rsidRPr="00E27443">
        <w:t xml:space="preserve"> </w:t>
      </w:r>
      <w:r w:rsidRPr="00E27443">
        <w:t>is</w:t>
      </w:r>
      <w:r w:rsidR="00C63F8F" w:rsidRPr="00E27443">
        <w:t xml:space="preserve"> </w:t>
      </w:r>
      <w:r w:rsidRPr="00E27443">
        <w:t>not</w:t>
      </w:r>
      <w:r w:rsidR="00C63F8F" w:rsidRPr="00E27443">
        <w:t xml:space="preserve"> </w:t>
      </w:r>
      <w:r w:rsidRPr="00E27443">
        <w:t>considered</w:t>
      </w:r>
      <w:r w:rsidR="00C63F8F" w:rsidRPr="00E27443">
        <w:t xml:space="preserve"> </w:t>
      </w:r>
      <w:r w:rsidRPr="00E27443">
        <w:t>reasonable</w:t>
      </w:r>
      <w:r w:rsidR="00C63F8F" w:rsidRPr="00E27443">
        <w:t xml:space="preserve"> </w:t>
      </w:r>
      <w:r w:rsidRPr="00E27443">
        <w:t>at</w:t>
      </w:r>
      <w:r w:rsidR="00C63F8F" w:rsidRPr="00E27443">
        <w:t xml:space="preserve"> </w:t>
      </w:r>
      <w:r w:rsidRPr="00E27443">
        <w:t>a</w:t>
      </w:r>
      <w:r w:rsidR="00C63F8F" w:rsidRPr="00E27443">
        <w:t xml:space="preserve"> </w:t>
      </w:r>
      <w:r w:rsidRPr="00E27443">
        <w:t>certain</w:t>
      </w:r>
      <w:r w:rsidR="00C63F8F" w:rsidRPr="00E27443">
        <w:t xml:space="preserve"> </w:t>
      </w:r>
      <w:r w:rsidRPr="00E27443">
        <w:t>time</w:t>
      </w:r>
      <w:r w:rsidR="00C63F8F" w:rsidRPr="00E27443">
        <w:t xml:space="preserve"> </w:t>
      </w:r>
      <w:r w:rsidRPr="00E27443">
        <w:t>may</w:t>
      </w:r>
      <w:r w:rsidR="00C63F8F" w:rsidRPr="00E27443">
        <w:t xml:space="preserve"> </w:t>
      </w:r>
      <w:r w:rsidRPr="00E27443">
        <w:t>be</w:t>
      </w:r>
      <w:r w:rsidR="00C63F8F" w:rsidRPr="00E27443">
        <w:t xml:space="preserve"> </w:t>
      </w:r>
      <w:r w:rsidRPr="00E27443">
        <w:t>viewed</w:t>
      </w:r>
      <w:r w:rsidR="00C63F8F" w:rsidRPr="00E27443">
        <w:t xml:space="preserve"> </w:t>
      </w:r>
      <w:r w:rsidRPr="00E27443">
        <w:t>as</w:t>
      </w:r>
      <w:r w:rsidR="00C63F8F" w:rsidRPr="00E27443">
        <w:t xml:space="preserve"> </w:t>
      </w:r>
      <w:r w:rsidRPr="00E27443">
        <w:t>reasonable</w:t>
      </w:r>
      <w:r w:rsidR="00C63F8F" w:rsidRPr="00E27443">
        <w:t xml:space="preserve"> </w:t>
      </w:r>
      <w:r w:rsidRPr="00E27443">
        <w:t>at</w:t>
      </w:r>
      <w:r w:rsidR="00C63F8F" w:rsidRPr="00E27443">
        <w:t xml:space="preserve"> </w:t>
      </w:r>
      <w:r w:rsidRPr="00E27443">
        <w:t>a</w:t>
      </w:r>
      <w:r w:rsidR="00C63F8F" w:rsidRPr="00E27443">
        <w:t xml:space="preserve"> </w:t>
      </w:r>
      <w:r w:rsidRPr="00E27443">
        <w:t>later</w:t>
      </w:r>
      <w:r w:rsidR="00C63F8F" w:rsidRPr="00E27443">
        <w:t xml:space="preserve"> </w:t>
      </w:r>
      <w:r w:rsidRPr="00E27443">
        <w:t>date,</w:t>
      </w:r>
      <w:r w:rsidR="00C63F8F" w:rsidRPr="00E27443">
        <w:t xml:space="preserve"> </w:t>
      </w:r>
      <w:r w:rsidRPr="00E27443">
        <w:t>if</w:t>
      </w:r>
      <w:r w:rsidR="00C63F8F" w:rsidRPr="00E27443">
        <w:t xml:space="preserve"> </w:t>
      </w:r>
      <w:r w:rsidRPr="00E27443">
        <w:t>developments</w:t>
      </w:r>
      <w:r w:rsidR="00C63F8F" w:rsidRPr="00E27443">
        <w:t xml:space="preserve"> </w:t>
      </w:r>
      <w:r w:rsidRPr="00E27443">
        <w:t>occasion</w:t>
      </w:r>
      <w:r w:rsidR="00C63F8F" w:rsidRPr="00E27443">
        <w:t xml:space="preserve"> </w:t>
      </w:r>
      <w:r w:rsidRPr="00E27443">
        <w:t>such</w:t>
      </w:r>
      <w:r w:rsidR="00C63F8F" w:rsidRPr="00E27443">
        <w:t xml:space="preserve"> </w:t>
      </w:r>
      <w:r w:rsidRPr="00E27443">
        <w:t>an</w:t>
      </w:r>
      <w:r w:rsidR="00C63F8F" w:rsidRPr="00E27443">
        <w:t xml:space="preserve"> </w:t>
      </w:r>
      <w:r w:rsidRPr="00E27443">
        <w:t>assessment.</w:t>
      </w:r>
    </w:p>
    <w:p w:rsidR="00321ADA" w:rsidRPr="00E27443" w:rsidRDefault="00321ADA" w:rsidP="00EF17DF">
      <w:pPr>
        <w:pStyle w:val="SingleTxtG"/>
        <w:numPr>
          <w:ilvl w:val="0"/>
          <w:numId w:val="20"/>
        </w:numPr>
        <w:tabs>
          <w:tab w:val="left" w:pos="1843"/>
        </w:tabs>
        <w:ind w:left="1134" w:firstLine="0"/>
      </w:pPr>
      <w:r w:rsidRPr="00E27443">
        <w:rPr>
          <w:i/>
        </w:rPr>
        <w:t>Universal</w:t>
      </w:r>
      <w:r w:rsidR="00C63F8F" w:rsidRPr="00E27443">
        <w:rPr>
          <w:i/>
        </w:rPr>
        <w:t xml:space="preserve"> </w:t>
      </w:r>
      <w:r w:rsidRPr="00E27443">
        <w:rPr>
          <w:i/>
        </w:rPr>
        <w:t>Design</w:t>
      </w:r>
      <w:r w:rsidR="00C63F8F" w:rsidRPr="00E27443">
        <w:t xml:space="preserve"> </w:t>
      </w:r>
      <w:r w:rsidRPr="00E27443">
        <w:t>can</w:t>
      </w:r>
      <w:r w:rsidR="00C63F8F" w:rsidRPr="00E27443">
        <w:t xml:space="preserve"> </w:t>
      </w:r>
      <w:r w:rsidRPr="00E27443">
        <w:t>be</w:t>
      </w:r>
      <w:r w:rsidR="00C63F8F" w:rsidRPr="00E27443">
        <w:t xml:space="preserve"> </w:t>
      </w:r>
      <w:r w:rsidRPr="00E27443">
        <w:t>described</w:t>
      </w:r>
      <w:r w:rsidR="00C63F8F" w:rsidRPr="00E27443">
        <w:t xml:space="preserve"> </w:t>
      </w:r>
      <w:r w:rsidRPr="00E27443">
        <w:t>as</w:t>
      </w:r>
      <w:r w:rsidR="00C63F8F" w:rsidRPr="00E27443">
        <w:t xml:space="preserve"> </w:t>
      </w:r>
      <w:r w:rsidRPr="00E27443">
        <w:t>a</w:t>
      </w:r>
      <w:r w:rsidR="00C63F8F" w:rsidRPr="00E27443">
        <w:t xml:space="preserve"> </w:t>
      </w:r>
      <w:r w:rsidRPr="00E27443">
        <w:t>vision,</w:t>
      </w:r>
      <w:r w:rsidR="00C63F8F" w:rsidRPr="00E27443">
        <w:t xml:space="preserve"> </w:t>
      </w:r>
      <w:r w:rsidRPr="00E27443">
        <w:t>a</w:t>
      </w:r>
      <w:r w:rsidR="00C63F8F" w:rsidRPr="00E27443">
        <w:t xml:space="preserve"> </w:t>
      </w:r>
      <w:r w:rsidRPr="00E27443">
        <w:t>goal</w:t>
      </w:r>
      <w:r w:rsidR="00C63F8F" w:rsidRPr="00E27443">
        <w:t xml:space="preserve"> </w:t>
      </w:r>
      <w:r w:rsidRPr="00E27443">
        <w:t>for</w:t>
      </w:r>
      <w:r w:rsidR="00C63F8F" w:rsidRPr="00E27443">
        <w:t xml:space="preserve"> </w:t>
      </w:r>
      <w:r w:rsidRPr="00E27443">
        <w:t>how</w:t>
      </w:r>
      <w:r w:rsidR="00C63F8F" w:rsidRPr="00E27443">
        <w:t xml:space="preserve"> </w:t>
      </w:r>
      <w:r w:rsidRPr="00E27443">
        <w:t>society</w:t>
      </w:r>
      <w:r w:rsidR="00C63F8F" w:rsidRPr="00E27443">
        <w:t xml:space="preserve"> </w:t>
      </w:r>
      <w:r w:rsidRPr="00E27443">
        <w:t>ought</w:t>
      </w:r>
      <w:r w:rsidR="00C63F8F" w:rsidRPr="00E27443">
        <w:t xml:space="preserve"> </w:t>
      </w:r>
      <w:r w:rsidRPr="00E27443">
        <w:t>to</w:t>
      </w:r>
      <w:r w:rsidR="00C63F8F" w:rsidRPr="00E27443">
        <w:t xml:space="preserve"> </w:t>
      </w:r>
      <w:r w:rsidRPr="00E27443">
        <w:t>be</w:t>
      </w:r>
      <w:r w:rsidR="00C63F8F" w:rsidRPr="00E27443">
        <w:t xml:space="preserve"> </w:t>
      </w:r>
      <w:r w:rsidRPr="00E27443">
        <w:t>designed.</w:t>
      </w:r>
      <w:r w:rsidR="00C63F8F" w:rsidRPr="00E27443">
        <w:t xml:space="preserve"> </w:t>
      </w:r>
      <w:r w:rsidRPr="00E27443">
        <w:rPr>
          <w:i/>
        </w:rPr>
        <w:t>Universal</w:t>
      </w:r>
      <w:r w:rsidR="00C63F8F" w:rsidRPr="00E27443">
        <w:rPr>
          <w:i/>
        </w:rPr>
        <w:t xml:space="preserve"> </w:t>
      </w:r>
      <w:r w:rsidRPr="00E27443">
        <w:rPr>
          <w:i/>
        </w:rPr>
        <w:t>Design</w:t>
      </w:r>
      <w:r w:rsidR="00C63F8F" w:rsidRPr="00E27443">
        <w:t xml:space="preserve"> </w:t>
      </w:r>
      <w:r w:rsidRPr="00E27443">
        <w:t>or</w:t>
      </w:r>
      <w:r w:rsidR="00C63F8F" w:rsidRPr="00E27443">
        <w:t xml:space="preserve"> </w:t>
      </w:r>
      <w:r w:rsidRPr="00E27443">
        <w:rPr>
          <w:i/>
        </w:rPr>
        <w:t>Design</w:t>
      </w:r>
      <w:r w:rsidR="00C63F8F" w:rsidRPr="00E27443">
        <w:rPr>
          <w:i/>
        </w:rPr>
        <w:t xml:space="preserve"> </w:t>
      </w:r>
      <w:r w:rsidRPr="00E27443">
        <w:rPr>
          <w:i/>
        </w:rPr>
        <w:t>for</w:t>
      </w:r>
      <w:r w:rsidR="00C63F8F" w:rsidRPr="00E27443">
        <w:rPr>
          <w:i/>
        </w:rPr>
        <w:t xml:space="preserve"> </w:t>
      </w:r>
      <w:r w:rsidRPr="00E27443">
        <w:rPr>
          <w:i/>
        </w:rPr>
        <w:t>All</w:t>
      </w:r>
      <w:r w:rsidRPr="00E27443">
        <w:t>,</w:t>
      </w:r>
      <w:r w:rsidR="00C63F8F" w:rsidRPr="00E27443">
        <w:t xml:space="preserve"> </w:t>
      </w:r>
      <w:r w:rsidRPr="00E27443">
        <w:t>which</w:t>
      </w:r>
      <w:r w:rsidR="00C63F8F" w:rsidRPr="00E27443">
        <w:t xml:space="preserve"> </w:t>
      </w:r>
      <w:r w:rsidRPr="00E27443">
        <w:t>is</w:t>
      </w:r>
      <w:r w:rsidR="00C63F8F" w:rsidRPr="00E27443">
        <w:t xml:space="preserve"> </w:t>
      </w:r>
      <w:r w:rsidRPr="00E27443">
        <w:t>used</w:t>
      </w:r>
      <w:r w:rsidR="00C63F8F" w:rsidRPr="00E27443">
        <w:t xml:space="preserve"> </w:t>
      </w:r>
      <w:r w:rsidRPr="00E27443">
        <w:t>in</w:t>
      </w:r>
      <w:r w:rsidR="00C63F8F" w:rsidRPr="00E27443">
        <w:t xml:space="preserve"> </w:t>
      </w:r>
      <w:smartTag w:uri="urn:schemas-microsoft-com:office:smarttags" w:element="place">
        <w:r w:rsidRPr="00E27443">
          <w:t>Europe</w:t>
        </w:r>
      </w:smartTag>
      <w:r w:rsidRPr="00E27443">
        <w:t>,</w:t>
      </w:r>
      <w:r w:rsidR="00C63F8F" w:rsidRPr="00E27443">
        <w:t xml:space="preserve"> </w:t>
      </w:r>
      <w:r w:rsidRPr="00E27443">
        <w:t>can</w:t>
      </w:r>
      <w:r w:rsidR="00C63F8F" w:rsidRPr="00E27443">
        <w:t xml:space="preserve"> </w:t>
      </w:r>
      <w:r w:rsidRPr="00E27443">
        <w:t>be</w:t>
      </w:r>
      <w:r w:rsidR="00C63F8F" w:rsidRPr="00E27443">
        <w:t xml:space="preserve"> </w:t>
      </w:r>
      <w:r w:rsidRPr="00E27443">
        <w:t>described</w:t>
      </w:r>
      <w:r w:rsidR="00C63F8F" w:rsidRPr="00E27443">
        <w:t xml:space="preserve"> </w:t>
      </w:r>
      <w:r w:rsidRPr="00E27443">
        <w:t>as</w:t>
      </w:r>
      <w:r w:rsidR="00C63F8F" w:rsidRPr="00E27443">
        <w:t xml:space="preserve"> </w:t>
      </w:r>
      <w:r w:rsidRPr="00E27443">
        <w:t>a</w:t>
      </w:r>
      <w:r w:rsidR="00C63F8F" w:rsidRPr="00E27443">
        <w:t xml:space="preserve"> </w:t>
      </w:r>
      <w:r w:rsidRPr="00E27443">
        <w:t>design</w:t>
      </w:r>
      <w:r w:rsidR="00C63F8F" w:rsidRPr="00E27443">
        <w:t xml:space="preserve"> </w:t>
      </w:r>
      <w:r w:rsidRPr="00E27443">
        <w:t>methodology</w:t>
      </w:r>
      <w:r w:rsidR="00C63F8F" w:rsidRPr="00E27443">
        <w:t xml:space="preserve"> </w:t>
      </w:r>
      <w:r w:rsidRPr="00E27443">
        <w:t>that</w:t>
      </w:r>
      <w:r w:rsidR="00C63F8F" w:rsidRPr="00E27443">
        <w:t xml:space="preserve"> </w:t>
      </w:r>
      <w:r w:rsidRPr="00E27443">
        <w:t>challenges</w:t>
      </w:r>
      <w:r w:rsidR="00C63F8F" w:rsidRPr="00E27443">
        <w:t xml:space="preserve"> </w:t>
      </w:r>
      <w:r w:rsidRPr="00E27443">
        <w:t>creative</w:t>
      </w:r>
      <w:r w:rsidR="00C63F8F" w:rsidRPr="00E27443">
        <w:t xml:space="preserve"> </w:t>
      </w:r>
      <w:r w:rsidRPr="00E27443">
        <w:t>skills</w:t>
      </w:r>
      <w:r w:rsidR="00C63F8F" w:rsidRPr="00E27443">
        <w:t xml:space="preserve"> </w:t>
      </w:r>
      <w:r w:rsidRPr="00E27443">
        <w:t>within</w:t>
      </w:r>
      <w:r w:rsidR="00C63F8F" w:rsidRPr="00E27443">
        <w:t xml:space="preserve"> </w:t>
      </w:r>
      <w:r w:rsidRPr="00E27443">
        <w:t>architecture,</w:t>
      </w:r>
      <w:r w:rsidR="00C63F8F" w:rsidRPr="00E27443">
        <w:t xml:space="preserve"> </w:t>
      </w:r>
      <w:r w:rsidRPr="00E27443">
        <w:t>design</w:t>
      </w:r>
      <w:r w:rsidR="00C63F8F" w:rsidRPr="00E27443">
        <w:t xml:space="preserve"> </w:t>
      </w:r>
      <w:r w:rsidRPr="00E27443">
        <w:t>and</w:t>
      </w:r>
      <w:r w:rsidR="00C63F8F" w:rsidRPr="00E27443">
        <w:t xml:space="preserve"> </w:t>
      </w:r>
      <w:r w:rsidRPr="00E27443">
        <w:t>social</w:t>
      </w:r>
      <w:r w:rsidR="00C63F8F" w:rsidRPr="00E27443">
        <w:t xml:space="preserve"> </w:t>
      </w:r>
      <w:r w:rsidRPr="00E27443">
        <w:t>planning</w:t>
      </w:r>
      <w:r w:rsidR="00C63F8F" w:rsidRPr="00E27443">
        <w:t xml:space="preserve"> </w:t>
      </w:r>
      <w:r w:rsidRPr="00E27443">
        <w:t>to</w:t>
      </w:r>
      <w:r w:rsidR="00C63F8F" w:rsidRPr="00E27443">
        <w:t xml:space="preserve"> </w:t>
      </w:r>
      <w:r w:rsidRPr="00E27443">
        <w:t>broaden</w:t>
      </w:r>
      <w:r w:rsidR="00C63F8F" w:rsidRPr="00E27443">
        <w:t xml:space="preserve"> </w:t>
      </w:r>
      <w:r w:rsidRPr="00E27443">
        <w:t>the</w:t>
      </w:r>
      <w:r w:rsidR="00C63F8F" w:rsidRPr="00E27443">
        <w:t xml:space="preserve"> </w:t>
      </w:r>
      <w:r w:rsidRPr="00E27443">
        <w:t>target</w:t>
      </w:r>
      <w:r w:rsidR="00C63F8F" w:rsidRPr="00E27443">
        <w:t xml:space="preserve"> </w:t>
      </w:r>
      <w:r w:rsidRPr="00E27443">
        <w:t>group</w:t>
      </w:r>
      <w:r w:rsidR="00C63F8F" w:rsidRPr="00E27443">
        <w:t xml:space="preserve"> </w:t>
      </w:r>
      <w:r w:rsidRPr="00E27443">
        <w:t>approach</w:t>
      </w:r>
      <w:r w:rsidR="00C63F8F" w:rsidRPr="00E27443">
        <w:t xml:space="preserve"> </w:t>
      </w:r>
      <w:r w:rsidRPr="00E27443">
        <w:t>in</w:t>
      </w:r>
      <w:r w:rsidR="00C63F8F" w:rsidRPr="00E27443">
        <w:t xml:space="preserve"> </w:t>
      </w:r>
      <w:r w:rsidRPr="00E27443">
        <w:t>order</w:t>
      </w:r>
      <w:r w:rsidR="00C63F8F" w:rsidRPr="00E27443">
        <w:t xml:space="preserve"> </w:t>
      </w:r>
      <w:r w:rsidRPr="00E27443">
        <w:t>instead</w:t>
      </w:r>
      <w:r w:rsidR="00C63F8F" w:rsidRPr="00E27443">
        <w:t xml:space="preserve"> </w:t>
      </w:r>
      <w:r w:rsidRPr="00E27443">
        <w:t>to</w:t>
      </w:r>
      <w:r w:rsidR="00C63F8F" w:rsidRPr="00E27443">
        <w:t xml:space="preserve"> </w:t>
      </w:r>
      <w:r w:rsidRPr="00E27443">
        <w:t>satisfy</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as</w:t>
      </w:r>
      <w:r w:rsidR="00C63F8F" w:rsidRPr="00E27443">
        <w:t xml:space="preserve"> </w:t>
      </w:r>
      <w:r w:rsidRPr="00E27443">
        <w:t>many</w:t>
      </w:r>
      <w:r w:rsidR="00C63F8F" w:rsidRPr="00E27443">
        <w:t xml:space="preserve"> </w:t>
      </w:r>
      <w:r w:rsidRPr="00E27443">
        <w:t>users</w:t>
      </w:r>
      <w:r w:rsidR="00C63F8F" w:rsidRPr="00E27443">
        <w:t xml:space="preserve"> </w:t>
      </w:r>
      <w:r w:rsidRPr="00E27443">
        <w:t>as</w:t>
      </w:r>
      <w:r w:rsidR="00C63F8F" w:rsidRPr="00E27443">
        <w:t xml:space="preserve"> </w:t>
      </w:r>
      <w:r w:rsidRPr="00E27443">
        <w:t>possible.</w:t>
      </w:r>
      <w:r w:rsidR="00C63F8F" w:rsidRPr="00E27443">
        <w:t xml:space="preserve"> </w:t>
      </w:r>
    </w:p>
    <w:p w:rsidR="00321ADA" w:rsidRPr="00E27443" w:rsidRDefault="002B5735" w:rsidP="002B5735">
      <w:pPr>
        <w:pStyle w:val="H1G"/>
      </w:pPr>
      <w:r w:rsidRPr="00E27443">
        <w:tab/>
      </w:r>
      <w:r w:rsidRPr="00E27443">
        <w:tab/>
      </w:r>
      <w:bookmarkStart w:id="5" w:name="_Toc290623289"/>
      <w:r w:rsidR="00321ADA" w:rsidRPr="00E27443">
        <w:t>Article</w:t>
      </w:r>
      <w:r w:rsidR="00C63F8F" w:rsidRPr="00E27443">
        <w:t xml:space="preserve"> </w:t>
      </w:r>
      <w:r w:rsidR="00321ADA" w:rsidRPr="00E27443">
        <w:t>3</w:t>
      </w:r>
      <w:r w:rsidR="00EF17DF">
        <w:t xml:space="preserve">: </w:t>
      </w:r>
      <w:r w:rsidR="00321ADA" w:rsidRPr="00E27443">
        <w:t>General</w:t>
      </w:r>
      <w:r w:rsidR="00C63F8F" w:rsidRPr="00E27443">
        <w:t xml:space="preserve"> </w:t>
      </w:r>
      <w:r w:rsidR="00321ADA" w:rsidRPr="00E27443">
        <w:t>principles</w:t>
      </w:r>
      <w:r w:rsidR="00EF17DF">
        <w:t xml:space="preserve"> and </w:t>
      </w:r>
      <w:r w:rsidR="00C7177D">
        <w:t>a</w:t>
      </w:r>
      <w:r w:rsidR="00C7177D" w:rsidRPr="00E27443">
        <w:t>rticle 4</w:t>
      </w:r>
      <w:r w:rsidR="00C7177D">
        <w:t>: g</w:t>
      </w:r>
      <w:r w:rsidR="00C7177D" w:rsidRPr="00E27443">
        <w:t>en</w:t>
      </w:r>
      <w:r w:rsidR="006D4CF5" w:rsidRPr="00E27443">
        <w:t xml:space="preserve">eral </w:t>
      </w:r>
      <w:r w:rsidR="00321ADA" w:rsidRPr="00E27443">
        <w:t>obligations</w:t>
      </w:r>
      <w:bookmarkEnd w:id="5"/>
    </w:p>
    <w:p w:rsidR="00321ADA" w:rsidRPr="00E27443" w:rsidRDefault="00321ADA" w:rsidP="00EF17DF">
      <w:pPr>
        <w:pStyle w:val="SingleTxtG"/>
        <w:numPr>
          <w:ilvl w:val="0"/>
          <w:numId w:val="20"/>
        </w:numPr>
        <w:tabs>
          <w:tab w:val="left" w:pos="1843"/>
        </w:tabs>
        <w:ind w:left="1134" w:firstLine="0"/>
      </w:pPr>
      <w:r w:rsidRPr="00E27443">
        <w:t>There</w:t>
      </w:r>
      <w:r w:rsidR="00C63F8F" w:rsidRPr="00E27443">
        <w:t xml:space="preserve"> </w:t>
      </w:r>
      <w:r w:rsidRPr="00E27443">
        <w:t>are</w:t>
      </w:r>
      <w:r w:rsidR="00C63F8F" w:rsidRPr="00E27443">
        <w:t xml:space="preserve"> </w:t>
      </w:r>
      <w:r w:rsidRPr="00E27443">
        <w:t>currently</w:t>
      </w:r>
      <w:r w:rsidR="00C63F8F" w:rsidRPr="00E27443">
        <w:t xml:space="preserve"> </w:t>
      </w:r>
      <w:r w:rsidRPr="00E27443">
        <w:t>290</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20</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are</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example,</w:t>
      </w:r>
      <w:r w:rsidR="00C63F8F" w:rsidRPr="00E27443">
        <w:t xml:space="preserve"> </w:t>
      </w:r>
      <w:r w:rsidRPr="00E27443">
        <w:t>for</w:t>
      </w:r>
      <w:r w:rsidR="00C63F8F" w:rsidRPr="00E27443">
        <w:t xml:space="preserve"> </w:t>
      </w:r>
      <w:r w:rsidRPr="00E27443">
        <w:t>issues</w:t>
      </w:r>
      <w:r w:rsidR="00C63F8F" w:rsidRPr="00E27443">
        <w:t xml:space="preserve"> </w:t>
      </w:r>
      <w:r w:rsidRPr="00E27443">
        <w:t>such</w:t>
      </w:r>
      <w:r w:rsidR="00C63F8F" w:rsidRPr="00E27443">
        <w:t xml:space="preserve"> </w:t>
      </w:r>
      <w:r w:rsidRPr="00E27443">
        <w:t>as</w:t>
      </w:r>
      <w:r w:rsidR="00C63F8F" w:rsidRPr="00E27443">
        <w:t xml:space="preserve"> </w:t>
      </w:r>
      <w:r w:rsidRPr="00E27443">
        <w:t>physical</w:t>
      </w:r>
      <w:r w:rsidR="00C63F8F" w:rsidRPr="00E27443">
        <w:t xml:space="preserve"> </w:t>
      </w:r>
      <w:r w:rsidRPr="00E27443">
        <w:t>planning,</w:t>
      </w:r>
      <w:r w:rsidR="00C63F8F" w:rsidRPr="00E27443">
        <w:t xml:space="preserve"> </w:t>
      </w:r>
      <w:r w:rsidRPr="00E27443">
        <w:t>infrastructure,</w:t>
      </w:r>
      <w:r w:rsidR="00C63F8F" w:rsidRPr="00E27443">
        <w:t xml:space="preserve"> </w:t>
      </w:r>
      <w:r w:rsidRPr="00E27443">
        <w:t>the</w:t>
      </w:r>
      <w:r w:rsidR="00C63F8F" w:rsidRPr="00E27443">
        <w:t xml:space="preserve"> </w:t>
      </w:r>
      <w:r w:rsidRPr="00E27443">
        <w:t>provision</w:t>
      </w:r>
      <w:r w:rsidR="00C63F8F" w:rsidRPr="00E27443">
        <w:t xml:space="preserve"> </w:t>
      </w:r>
      <w:r w:rsidRPr="00E27443">
        <w:t>of</w:t>
      </w:r>
      <w:r w:rsidR="00C63F8F" w:rsidRPr="00E27443">
        <w:t xml:space="preserve"> </w:t>
      </w:r>
      <w:r w:rsidRPr="00E27443">
        <w:t>housing</w:t>
      </w:r>
      <w:r w:rsidR="00C63F8F" w:rsidRPr="00E27443">
        <w:t xml:space="preserve"> </w:t>
      </w:r>
      <w:r w:rsidRPr="00E27443">
        <w:t>and</w:t>
      </w:r>
      <w:r w:rsidR="00C63F8F" w:rsidRPr="00E27443">
        <w:t xml:space="preserve"> </w:t>
      </w:r>
      <w:r w:rsidRPr="00E27443">
        <w:t>business</w:t>
      </w:r>
      <w:r w:rsidR="00C63F8F" w:rsidRPr="00E27443">
        <w:t xml:space="preserve"> </w:t>
      </w:r>
      <w:r w:rsidRPr="00E27443">
        <w:t>development,</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for</w:t>
      </w:r>
      <w:r w:rsidR="00C63F8F" w:rsidRPr="00E27443">
        <w:t xml:space="preserve"> </w:t>
      </w:r>
      <w:r w:rsidRPr="00E27443">
        <w:t>welfare</w:t>
      </w:r>
      <w:r w:rsidR="00C63F8F" w:rsidRPr="00E27443">
        <w:t xml:space="preserve"> </w:t>
      </w:r>
      <w:r w:rsidRPr="00E27443">
        <w:t>services</w:t>
      </w:r>
      <w:r w:rsidR="00C63F8F" w:rsidRPr="00E27443">
        <w:t xml:space="preserve"> </w:t>
      </w:r>
      <w:r w:rsidRPr="00E27443">
        <w:t>such</w:t>
      </w:r>
      <w:r w:rsidR="00C63F8F" w:rsidRPr="00E27443">
        <w:t xml:space="preserve"> </w:t>
      </w:r>
      <w:r w:rsidRPr="00E27443">
        <w:t>as</w:t>
      </w:r>
      <w:r w:rsidR="00C63F8F" w:rsidRPr="00E27443">
        <w:t xml:space="preserve"> </w:t>
      </w:r>
      <w:r w:rsidRPr="00E27443">
        <w:t>schooling,</w:t>
      </w:r>
      <w:r w:rsidR="00C63F8F" w:rsidRPr="00E27443">
        <w:t xml:space="preserve"> </w:t>
      </w:r>
      <w:r w:rsidRPr="00E27443">
        <w:t>care</w:t>
      </w:r>
      <w:r w:rsidR="00C63F8F" w:rsidRPr="00E27443">
        <w:t xml:space="preserve"> </w:t>
      </w:r>
      <w:r w:rsidRPr="00E27443">
        <w:t>for</w:t>
      </w:r>
      <w:r w:rsidR="00C63F8F" w:rsidRPr="00E27443">
        <w:t xml:space="preserve"> </w:t>
      </w:r>
      <w:r w:rsidRPr="00E27443">
        <w:t>the</w:t>
      </w:r>
      <w:r w:rsidR="00C63F8F" w:rsidRPr="00E27443">
        <w:t xml:space="preserve"> </w:t>
      </w:r>
      <w:r w:rsidRPr="00E27443">
        <w:t>elderly</w:t>
      </w:r>
      <w:r w:rsidR="00C63F8F" w:rsidRPr="00E27443">
        <w:t xml:space="preserve"> </w:t>
      </w:r>
      <w:r w:rsidRPr="00E27443">
        <w:t>and</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The</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attend</w:t>
      </w:r>
      <w:r w:rsidR="00C63F8F" w:rsidRPr="00E27443">
        <w:t xml:space="preserve"> </w:t>
      </w:r>
      <w:r w:rsidRPr="00E27443">
        <w:t>to</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and,</w:t>
      </w:r>
      <w:r w:rsidR="00C63F8F" w:rsidRPr="00E27443">
        <w:t xml:space="preserve"> </w:t>
      </w:r>
      <w:r w:rsidRPr="00E27443">
        <w:t>to</w:t>
      </w:r>
      <w:r w:rsidR="00C63F8F" w:rsidRPr="00E27443">
        <w:t xml:space="preserve"> </w:t>
      </w:r>
      <w:r w:rsidRPr="00E27443">
        <w:t>a</w:t>
      </w:r>
      <w:r w:rsidR="00C63F8F" w:rsidRPr="00E27443">
        <w:t xml:space="preserve"> </w:t>
      </w:r>
      <w:r w:rsidRPr="00E27443">
        <w:t>certain</w:t>
      </w:r>
      <w:r w:rsidR="00C63F8F" w:rsidRPr="00E27443">
        <w:t xml:space="preserve"> </w:t>
      </w:r>
      <w:r w:rsidRPr="00E27443">
        <w:t>extent,</w:t>
      </w:r>
      <w:r w:rsidR="00C63F8F" w:rsidRPr="00E27443">
        <w:t xml:space="preserve"> </w:t>
      </w:r>
      <w:r w:rsidRPr="00E27443">
        <w:t>traffic</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business</w:t>
      </w:r>
      <w:r w:rsidR="00C63F8F" w:rsidRPr="00E27443">
        <w:t xml:space="preserve"> </w:t>
      </w:r>
      <w:r w:rsidRPr="00E27443">
        <w:t>development.</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municipal</w:t>
      </w:r>
      <w:r w:rsidR="00C63F8F" w:rsidRPr="00E27443">
        <w:t xml:space="preserve"> </w:t>
      </w:r>
      <w:r w:rsidRPr="00E27443">
        <w:t>self-government</w:t>
      </w:r>
      <w:r w:rsidR="00C63F8F" w:rsidRPr="00E27443">
        <w:t xml:space="preserve"> </w:t>
      </w:r>
      <w:r w:rsidRPr="00E27443">
        <w:t>constitutes</w:t>
      </w:r>
      <w:r w:rsidR="00C63F8F" w:rsidRPr="00E27443">
        <w:t xml:space="preserve"> </w:t>
      </w:r>
      <w:r w:rsidRPr="00E27443">
        <w:t>one</w:t>
      </w:r>
      <w:r w:rsidR="00C63F8F" w:rsidRPr="00E27443">
        <w:t xml:space="preserve"> </w:t>
      </w:r>
      <w:r w:rsidRPr="00E27443">
        <w:t>of</w:t>
      </w:r>
      <w:r w:rsidR="00C63F8F" w:rsidRPr="00E27443">
        <w:t xml:space="preserve"> </w:t>
      </w:r>
      <w:r w:rsidRPr="00E27443">
        <w:t>the</w:t>
      </w:r>
      <w:r w:rsidR="00C63F8F" w:rsidRPr="00E27443">
        <w:t xml:space="preserve"> </w:t>
      </w:r>
      <w:r w:rsidRPr="00E27443">
        <w:t>founda</w:t>
      </w:r>
      <w:r w:rsidRPr="00E27443">
        <w:softHyphen/>
        <w:t>tions</w:t>
      </w:r>
      <w:r w:rsidR="00C63F8F" w:rsidRPr="00E27443">
        <w:t xml:space="preserve"> </w:t>
      </w:r>
      <w:r w:rsidRPr="00E27443">
        <w:t>of</w:t>
      </w:r>
      <w:r w:rsidR="00C63F8F" w:rsidRPr="00E27443">
        <w:t xml:space="preserve"> </w:t>
      </w:r>
      <w:r w:rsidRPr="00E27443">
        <w:t>Swedish</w:t>
      </w:r>
      <w:r w:rsidR="00C63F8F" w:rsidRPr="00E27443">
        <w:t xml:space="preserve"> </w:t>
      </w:r>
      <w:r w:rsidRPr="00E27443">
        <w:t>democracy</w:t>
      </w:r>
      <w:r w:rsidR="00C63F8F" w:rsidRPr="00E27443">
        <w:t xml:space="preserve"> </w:t>
      </w:r>
      <w:r w:rsidRPr="00E27443">
        <w:t>and</w:t>
      </w:r>
      <w:r w:rsidR="00C63F8F" w:rsidRPr="00E27443">
        <w:t xml:space="preserve"> </w:t>
      </w:r>
      <w:r w:rsidRPr="00E27443">
        <w:t>is</w:t>
      </w:r>
      <w:r w:rsidR="00C63F8F" w:rsidRPr="00E27443">
        <w:t xml:space="preserve"> </w:t>
      </w:r>
      <w:r w:rsidRPr="00E27443">
        <w:t>written</w:t>
      </w:r>
      <w:r w:rsidR="00C63F8F" w:rsidRPr="00E27443">
        <w:t xml:space="preserve"> </w:t>
      </w:r>
      <w:r w:rsidRPr="00E27443">
        <w:t>into</w:t>
      </w:r>
      <w:r w:rsidR="00C63F8F" w:rsidRPr="00E27443">
        <w:t xml:space="preserve"> </w:t>
      </w:r>
      <w:r w:rsidRPr="00E27443">
        <w:t>the</w:t>
      </w:r>
      <w:r w:rsidR="00C63F8F" w:rsidRPr="00E27443">
        <w:t xml:space="preserve"> </w:t>
      </w:r>
      <w:r w:rsidRPr="00E27443">
        <w:t>Constitution.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also</w:t>
      </w:r>
      <w:r w:rsidR="00C63F8F" w:rsidRPr="00E27443">
        <w:t xml:space="preserve"> </w:t>
      </w:r>
      <w:r w:rsidRPr="00E27443">
        <w:t>ratified</w:t>
      </w:r>
      <w:r w:rsidR="00C63F8F" w:rsidRPr="00E27443">
        <w:t xml:space="preserve"> </w:t>
      </w:r>
      <w:r w:rsidRPr="00E27443">
        <w:t>the</w:t>
      </w:r>
      <w:r w:rsidR="00C63F8F" w:rsidRPr="00E27443">
        <w:t xml:space="preserve"> </w:t>
      </w:r>
      <w:r w:rsidRPr="00E27443">
        <w:t>European</w:t>
      </w:r>
      <w:r w:rsidR="00C63F8F" w:rsidRPr="00E27443">
        <w:t xml:space="preserve"> </w:t>
      </w:r>
      <w:r w:rsidRPr="00E27443">
        <w:t>Charter</w:t>
      </w:r>
      <w:r w:rsidR="00C63F8F" w:rsidRPr="00E27443">
        <w:t xml:space="preserve"> </w:t>
      </w:r>
      <w:r w:rsidRPr="00E27443">
        <w:t>of</w:t>
      </w:r>
      <w:r w:rsidR="00C63F8F" w:rsidRPr="00E27443">
        <w:t xml:space="preserve"> </w:t>
      </w:r>
      <w:r w:rsidRPr="00E27443">
        <w:t>Local</w:t>
      </w:r>
      <w:r w:rsidR="00C63F8F" w:rsidRPr="00E27443">
        <w:t xml:space="preserve"> </w:t>
      </w:r>
      <w:r w:rsidRPr="00E27443">
        <w:t>Self-Government.</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When</w:t>
      </w:r>
      <w:r w:rsidR="00C63F8F" w:rsidRPr="00E27443">
        <w:t xml:space="preserve"> </w:t>
      </w:r>
      <w:r w:rsidRPr="00E27443">
        <w:t>reviewed,</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proved</w:t>
      </w:r>
      <w:r w:rsidR="00C63F8F" w:rsidRPr="00E27443">
        <w:t xml:space="preserve"> </w:t>
      </w:r>
      <w:r w:rsidRPr="00E27443">
        <w:t>to</w:t>
      </w:r>
      <w:r w:rsidR="00C63F8F" w:rsidRPr="00E27443">
        <w:t xml:space="preserve"> </w:t>
      </w:r>
      <w:r w:rsidRPr="00E27443">
        <w:t>correspond</w:t>
      </w:r>
      <w:r w:rsidR="00C63F8F" w:rsidRPr="00E27443">
        <w:t xml:space="preserve"> </w:t>
      </w:r>
      <w:r w:rsidRPr="00E27443">
        <w:t>to</w:t>
      </w:r>
      <w:r w:rsidR="00C63F8F" w:rsidRPr="00E27443">
        <w:t xml:space="preserve"> </w:t>
      </w:r>
      <w:r w:rsidRPr="00E27443">
        <w:t>the</w:t>
      </w:r>
      <w:r w:rsidR="00C63F8F" w:rsidRPr="00E27443">
        <w:t xml:space="preserve"> </w:t>
      </w:r>
      <w:r w:rsidRPr="00E27443">
        <w:t>demands</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Charter.</w:t>
      </w:r>
      <w:r w:rsidR="00C63F8F" w:rsidRPr="00E27443">
        <w:t xml:space="preserve"> </w:t>
      </w:r>
      <w:r w:rsidRPr="00E27443">
        <w:t>However,</w:t>
      </w:r>
      <w:r w:rsidR="00C63F8F" w:rsidRPr="00E27443">
        <w:t xml:space="preserve"> </w:t>
      </w:r>
      <w:r w:rsidRPr="00E27443">
        <w:t>a</w:t>
      </w:r>
      <w:r w:rsidR="00C63F8F" w:rsidRPr="00E27443">
        <w:t xml:space="preserve"> </w:t>
      </w:r>
      <w:r w:rsidRPr="00E27443">
        <w:t>report</w:t>
      </w:r>
      <w:r w:rsidR="00C63F8F" w:rsidRPr="00E27443">
        <w:t xml:space="preserve"> </w:t>
      </w:r>
      <w:r w:rsidRPr="00E27443">
        <w:t>from</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into</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certain</w:t>
      </w:r>
      <w:r w:rsidR="00C63F8F" w:rsidRPr="00E27443">
        <w:t xml:space="preserve"> </w:t>
      </w:r>
      <w:r w:rsidRPr="00E27443">
        <w:t>people</w:t>
      </w:r>
      <w:r w:rsidR="00C63F8F" w:rsidRPr="00E27443">
        <w:t xml:space="preserve"> </w:t>
      </w:r>
      <w:r w:rsidRPr="00E27443">
        <w:t>with</w:t>
      </w:r>
      <w:r w:rsidR="00C63F8F" w:rsidRPr="00E27443">
        <w:t xml:space="preserve"> </w:t>
      </w:r>
      <w:r w:rsidRPr="00E27443">
        <w:t>disabilities</w:t>
      </w:r>
      <w:r w:rsidR="00EC1A1A">
        <w:t xml:space="preserve"> </w:t>
      </w:r>
      <w:r w:rsidR="002B5735" w:rsidRPr="00E27443">
        <w:rPr>
          <w:rStyle w:val="FootnoteReference"/>
        </w:rPr>
        <w:footnoteReference w:id="10"/>
      </w:r>
      <w:r w:rsidR="00C63F8F" w:rsidRPr="00E27443">
        <w:t xml:space="preserve"> </w:t>
      </w:r>
      <w:r w:rsidRPr="00E27443">
        <w:t>provides</w:t>
      </w:r>
      <w:r w:rsidR="00C63F8F" w:rsidRPr="00E27443">
        <w:t xml:space="preserve"> </w:t>
      </w:r>
      <w:r w:rsidRPr="00E27443">
        <w:t>a</w:t>
      </w:r>
      <w:r w:rsidR="00C63F8F" w:rsidRPr="00E27443">
        <w:t xml:space="preserve"> </w:t>
      </w:r>
      <w:r w:rsidRPr="00E27443">
        <w:t>picture</w:t>
      </w:r>
      <w:r w:rsidR="00C63F8F" w:rsidRPr="00E27443">
        <w:t xml:space="preserve"> </w:t>
      </w:r>
      <w:r w:rsidRPr="00E27443">
        <w:t>of</w:t>
      </w:r>
      <w:r w:rsidR="00C63F8F" w:rsidRPr="00E27443">
        <w:t xml:space="preserve"> </w:t>
      </w:r>
      <w:r w:rsidRPr="00E27443">
        <w:t>the</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experienced</w:t>
      </w:r>
      <w:r w:rsidR="00C63F8F" w:rsidRPr="00E27443">
        <w:t xml:space="preserve"> </w:t>
      </w:r>
      <w:r w:rsidRPr="00E27443">
        <w:t>by</w:t>
      </w:r>
      <w:r w:rsidR="00C63F8F" w:rsidRPr="00E27443">
        <w:t xml:space="preserve"> </w:t>
      </w:r>
      <w:r w:rsidRPr="00E27443">
        <w:t>many</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report,</w:t>
      </w:r>
      <w:r w:rsidR="00C63F8F" w:rsidRPr="00E27443">
        <w:t xml:space="preserve"> </w:t>
      </w:r>
      <w:r w:rsidRPr="00E27443">
        <w:t>adults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receive</w:t>
      </w:r>
      <w:r w:rsidR="00C63F8F" w:rsidRPr="00E27443">
        <w:t xml:space="preserve"> </w:t>
      </w:r>
      <w:r w:rsidRPr="00E27443">
        <w:t>support</w:t>
      </w:r>
      <w:r w:rsidR="00C63F8F" w:rsidRPr="00E27443">
        <w:t xml:space="preserve"> </w:t>
      </w:r>
      <w:r w:rsidRPr="00E27443">
        <w:t>from</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live</w:t>
      </w:r>
      <w:r w:rsidR="00C63F8F" w:rsidRPr="00E27443">
        <w:t xml:space="preserve"> </w:t>
      </w:r>
      <w:r w:rsidRPr="00E27443">
        <w:t>under</w:t>
      </w:r>
      <w:r w:rsidR="00C63F8F" w:rsidRPr="00E27443">
        <w:t xml:space="preserve"> </w:t>
      </w:r>
      <w:r w:rsidRPr="00E27443">
        <w:t>different</w:t>
      </w:r>
      <w:r w:rsidR="00C63F8F" w:rsidRPr="00E27443">
        <w:t xml:space="preserve"> </w:t>
      </w:r>
      <w:r w:rsidRPr="00E27443">
        <w:t>conditions</w:t>
      </w:r>
      <w:r w:rsidR="00C63F8F" w:rsidRPr="00E27443">
        <w:t xml:space="preserve"> </w:t>
      </w:r>
      <w:r w:rsidRPr="00E27443">
        <w:t>from</w:t>
      </w:r>
      <w:r w:rsidR="00C63F8F" w:rsidRPr="00E27443">
        <w:t xml:space="preserve"> </w:t>
      </w:r>
      <w:r w:rsidRPr="00E27443">
        <w:t>the</w:t>
      </w:r>
      <w:r w:rsidR="00C63F8F" w:rsidRPr="00E27443">
        <w:t xml:space="preserve"> </w:t>
      </w:r>
      <w:r w:rsidRPr="00E27443">
        <w:t>rest</w:t>
      </w:r>
      <w:r w:rsidR="00C63F8F" w:rsidRPr="00E27443">
        <w:t xml:space="preserve"> </w:t>
      </w:r>
      <w:r w:rsidRPr="00E27443">
        <w:t>of</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and</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considers</w:t>
      </w:r>
      <w:r w:rsidR="00C63F8F" w:rsidRPr="00E27443">
        <w:t xml:space="preserve"> </w:t>
      </w:r>
      <w:r w:rsidRPr="00E27443">
        <w:t>that</w:t>
      </w:r>
      <w:r w:rsidR="00C63F8F" w:rsidRPr="00E27443">
        <w:t xml:space="preserve"> </w:t>
      </w:r>
      <w:r w:rsidRPr="00E27443">
        <w:t>there</w:t>
      </w:r>
      <w:r w:rsidR="00C63F8F" w:rsidRPr="00E27443">
        <w:t xml:space="preserve"> </w:t>
      </w:r>
      <w:r w:rsidRPr="00E27443">
        <w:t>is</w:t>
      </w:r>
      <w:r w:rsidR="00C63F8F" w:rsidRPr="00E27443">
        <w:t xml:space="preserve"> </w:t>
      </w:r>
      <w:r w:rsidRPr="00E27443">
        <w:t>a</w:t>
      </w:r>
      <w:r w:rsidR="00C63F8F" w:rsidRPr="00E27443">
        <w:t xml:space="preserve"> </w:t>
      </w:r>
      <w:r w:rsidRPr="00E27443">
        <w:t>long</w:t>
      </w:r>
      <w:r w:rsidR="00C63F8F" w:rsidRPr="00E27443">
        <w:t xml:space="preserve"> </w:t>
      </w:r>
      <w:r w:rsidRPr="00E27443">
        <w:t>way</w:t>
      </w:r>
      <w:r w:rsidR="00C63F8F" w:rsidRPr="00E27443">
        <w:t xml:space="preserve"> </w:t>
      </w:r>
      <w:r w:rsidRPr="00E27443">
        <w:t>to</w:t>
      </w:r>
      <w:r w:rsidR="00C63F8F" w:rsidRPr="00E27443">
        <w:t xml:space="preserve"> </w:t>
      </w:r>
      <w:r w:rsidRPr="00E27443">
        <w:t>go</w:t>
      </w:r>
      <w:r w:rsidR="00C63F8F" w:rsidRPr="00E27443">
        <w:t xml:space="preserve"> </w:t>
      </w:r>
      <w:r w:rsidRPr="00E27443">
        <w:t>to</w:t>
      </w:r>
      <w:r w:rsidR="00C63F8F" w:rsidRPr="00E27443">
        <w:t xml:space="preserve"> </w:t>
      </w:r>
      <w:r w:rsidRPr="00E27443">
        <w:t>achieve</w:t>
      </w:r>
      <w:r w:rsidR="00C63F8F" w:rsidRPr="00E27443">
        <w:t xml:space="preserve"> </w:t>
      </w:r>
      <w:r w:rsidRPr="00E27443">
        <w:t>equal</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this</w:t>
      </w:r>
      <w:r w:rsidR="00C63F8F" w:rsidRPr="00E27443">
        <w:t xml:space="preserve"> </w:t>
      </w:r>
      <w:r w:rsidRPr="00E27443">
        <w:t>group.</w:t>
      </w:r>
      <w:r w:rsidR="00C63F8F" w:rsidRPr="00E27443">
        <w:t xml:space="preserve"> </w:t>
      </w:r>
      <w:r w:rsidRPr="00E27443">
        <w:t>This</w:t>
      </w:r>
      <w:r w:rsidR="00C63F8F" w:rsidRPr="00E27443">
        <w:t xml:space="preserve"> </w:t>
      </w:r>
      <w:r w:rsidRPr="00E27443">
        <w:t>applies</w:t>
      </w:r>
      <w:r w:rsidR="00C63F8F" w:rsidRPr="00E27443">
        <w:t xml:space="preserve"> </w:t>
      </w:r>
      <w:r w:rsidRPr="00E27443">
        <w:t>particularly</w:t>
      </w:r>
      <w:r w:rsidR="00C63F8F" w:rsidRPr="00E27443">
        <w:t xml:space="preserve"> </w:t>
      </w:r>
      <w:r w:rsidRPr="00E27443">
        <w:t>to</w:t>
      </w:r>
      <w:r w:rsidR="00C63F8F" w:rsidRPr="00E27443">
        <w:t xml:space="preserve"> </w:t>
      </w:r>
      <w:r w:rsidRPr="00E27443">
        <w:t>people</w:t>
      </w:r>
      <w:r w:rsidR="00C63F8F" w:rsidRPr="00E27443">
        <w:t xml:space="preserve"> </w:t>
      </w:r>
      <w:r w:rsidRPr="00E27443">
        <w:t>in</w:t>
      </w:r>
      <w:r w:rsidR="00C63F8F" w:rsidRPr="00E27443">
        <w:t xml:space="preserve"> </w:t>
      </w:r>
      <w:r w:rsidRPr="00E27443">
        <w:t>the</w:t>
      </w:r>
      <w:r w:rsidR="00C63F8F" w:rsidRPr="00E27443">
        <w:t xml:space="preserve"> </w:t>
      </w:r>
      <w:r w:rsidRPr="00E27443">
        <w:t>20–29</w:t>
      </w:r>
      <w:r w:rsidR="00C63F8F" w:rsidRPr="00E27443">
        <w:t xml:space="preserve"> </w:t>
      </w:r>
      <w:r w:rsidRPr="00E27443">
        <w:t>years</w:t>
      </w:r>
      <w:r w:rsidR="00C63F8F" w:rsidRPr="00E27443">
        <w:t xml:space="preserve"> </w:t>
      </w:r>
      <w:r w:rsidRPr="00E27443">
        <w:t>age</w:t>
      </w:r>
      <w:r w:rsidR="00C63F8F" w:rsidRPr="00E27443">
        <w:t xml:space="preserve"> </w:t>
      </w:r>
      <w:r w:rsidRPr="00E27443">
        <w:t>group</w:t>
      </w:r>
      <w:r w:rsidR="00C63F8F" w:rsidRPr="00E27443">
        <w:t xml:space="preserve"> </w:t>
      </w:r>
      <w:r w:rsidRPr="00E27443">
        <w:t>who</w:t>
      </w:r>
      <w:r w:rsidR="00C63F8F" w:rsidRPr="00E27443">
        <w:t xml:space="preserve"> </w:t>
      </w:r>
      <w:r w:rsidRPr="00E27443">
        <w:t>are</w:t>
      </w:r>
      <w:r w:rsidR="00C63F8F" w:rsidRPr="00E27443">
        <w:t xml:space="preserve"> </w:t>
      </w:r>
      <w:r w:rsidRPr="00E27443">
        <w:t>receiving</w:t>
      </w:r>
      <w:r w:rsidR="00C63F8F" w:rsidRPr="00E27443">
        <w:t xml:space="preserve"> </w:t>
      </w:r>
      <w:r w:rsidRPr="00E27443">
        <w:t>initiatives</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This</w:t>
      </w:r>
      <w:r w:rsidR="00C63F8F" w:rsidRPr="00E27443">
        <w:t xml:space="preserve"> </w:t>
      </w:r>
      <w:r w:rsidRPr="00E27443">
        <w:t>group</w:t>
      </w:r>
      <w:r w:rsidR="00C63F8F" w:rsidRPr="00E27443">
        <w:t xml:space="preserve"> </w:t>
      </w:r>
      <w:r w:rsidRPr="00E27443">
        <w:t>includes</w:t>
      </w:r>
      <w:r w:rsidR="00C63F8F" w:rsidRPr="00E27443">
        <w:t xml:space="preserve"> </w:t>
      </w:r>
      <w:r w:rsidRPr="00E27443">
        <w:t>many</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mental</w:t>
      </w:r>
      <w:r w:rsidR="00C63F8F" w:rsidRPr="00E27443">
        <w:t xml:space="preserve"> </w:t>
      </w:r>
      <w:r w:rsidRPr="00E27443">
        <w:t>illness</w:t>
      </w:r>
      <w:r w:rsidR="00C63F8F" w:rsidRPr="00E27443">
        <w:t xml:space="preserve"> </w:t>
      </w:r>
      <w:r w:rsidRPr="00E27443">
        <w:t>or</w:t>
      </w:r>
      <w:r w:rsidR="00C63F8F" w:rsidRPr="00E27443">
        <w:t xml:space="preserve"> </w:t>
      </w:r>
      <w:r w:rsidRPr="00E27443">
        <w:t>mental</w:t>
      </w:r>
      <w:r w:rsidR="00C63F8F" w:rsidRPr="00E27443">
        <w:t xml:space="preserve"> </w:t>
      </w:r>
      <w:r w:rsidRPr="00E27443">
        <w:t>disability.</w:t>
      </w:r>
    </w:p>
    <w:p w:rsidR="00321ADA" w:rsidRPr="00E27443" w:rsidRDefault="00321ADA" w:rsidP="00EF17DF">
      <w:pPr>
        <w:pStyle w:val="SingleTxtG"/>
        <w:numPr>
          <w:ilvl w:val="0"/>
          <w:numId w:val="20"/>
        </w:numPr>
        <w:tabs>
          <w:tab w:val="left" w:pos="1843"/>
        </w:tabs>
        <w:ind w:left="1134" w:firstLine="0"/>
      </w:pPr>
      <w:r w:rsidRPr="00E27443">
        <w:t>The</w:t>
      </w:r>
      <w:r w:rsidR="00C63F8F" w:rsidRPr="00E27443">
        <w:t xml:space="preserve"> </w:t>
      </w:r>
      <w:r w:rsidRPr="00E27443">
        <w:rPr>
          <w:i/>
        </w:rPr>
        <w:t>overall</w:t>
      </w:r>
      <w:r w:rsidR="00C63F8F" w:rsidRPr="00E27443">
        <w:rPr>
          <w:i/>
        </w:rPr>
        <w:t xml:space="preserve"> </w:t>
      </w:r>
      <w:r w:rsidRPr="00E27443">
        <w:rPr>
          <w:i/>
        </w:rPr>
        <w:t>goals</w:t>
      </w:r>
      <w:r w:rsidR="00C63F8F" w:rsidRPr="00E27443">
        <w:t xml:space="preserve"> </w:t>
      </w:r>
      <w:r w:rsidRPr="00E27443">
        <w:t>for</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 </w:t>
      </w:r>
      <w:r w:rsidRPr="00E27443">
        <w:t>social</w:t>
      </w:r>
      <w:r w:rsidR="00C63F8F" w:rsidRPr="00E27443">
        <w:t xml:space="preserve"> </w:t>
      </w:r>
      <w:r w:rsidRPr="00E27443">
        <w:t>cohesion</w:t>
      </w:r>
      <w:r w:rsidR="00C63F8F" w:rsidRPr="00E27443">
        <w:t xml:space="preserve"> </w:t>
      </w:r>
      <w:r w:rsidRPr="00E27443">
        <w:t>with</w:t>
      </w:r>
      <w:r w:rsidR="00C63F8F" w:rsidRPr="00E27443">
        <w:t xml:space="preserve"> </w:t>
      </w:r>
      <w:r w:rsidRPr="00E27443">
        <w:t>diversity</w:t>
      </w:r>
      <w:r w:rsidR="00C63F8F" w:rsidRPr="00E27443">
        <w:t xml:space="preserve"> </w:t>
      </w:r>
      <w:r w:rsidRPr="00E27443">
        <w:t>as</w:t>
      </w:r>
      <w:r w:rsidR="00C63F8F" w:rsidRPr="00E27443">
        <w:t xml:space="preserve"> </w:t>
      </w:r>
      <w:r w:rsidRPr="00E27443">
        <w:t>the</w:t>
      </w:r>
      <w:r w:rsidR="00C63F8F" w:rsidRPr="00E27443">
        <w:t xml:space="preserve"> </w:t>
      </w:r>
      <w:r w:rsidRPr="00E27443">
        <w:t>foundation,</w:t>
      </w:r>
      <w:r w:rsidR="00C63F8F" w:rsidRPr="00E27443">
        <w:t xml:space="preserve"> </w:t>
      </w:r>
      <w:r w:rsidRPr="00E27443">
        <w:t>a</w:t>
      </w:r>
      <w:r w:rsidR="00C63F8F" w:rsidRPr="00E27443">
        <w:t xml:space="preserve"> </w:t>
      </w:r>
      <w:r w:rsidRPr="00E27443">
        <w:t>society</w:t>
      </w:r>
      <w:r w:rsidR="00C63F8F" w:rsidRPr="00E27443">
        <w:t xml:space="preserve"> </w:t>
      </w:r>
      <w:r w:rsidRPr="00E27443">
        <w:t>that</w:t>
      </w:r>
      <w:r w:rsidR="00C63F8F" w:rsidRPr="00E27443">
        <w:t xml:space="preserve"> </w:t>
      </w:r>
      <w:r w:rsidRPr="00E27443">
        <w:t>is</w:t>
      </w:r>
      <w:r w:rsidR="00C63F8F" w:rsidRPr="00E27443">
        <w:t xml:space="preserve"> </w:t>
      </w:r>
      <w:r w:rsidRPr="00E27443">
        <w:t>shaped</w:t>
      </w:r>
      <w:r w:rsidR="00C63F8F" w:rsidRPr="00E27443">
        <w:t xml:space="preserve"> </w:t>
      </w:r>
      <w:r w:rsidRPr="00E27443">
        <w:t>so</w:t>
      </w:r>
      <w:r w:rsidR="00C63F8F" w:rsidRPr="00E27443">
        <w:t xml:space="preserve"> </w:t>
      </w:r>
      <w:r w:rsidRPr="00E27443">
        <w:t>that</w:t>
      </w:r>
      <w:r w:rsidR="00C63F8F" w:rsidRPr="00E27443">
        <w:t xml:space="preserve"> </w:t>
      </w:r>
      <w:r w:rsidRPr="00E27443">
        <w:t>people</w:t>
      </w:r>
      <w:r w:rsidR="00C63F8F" w:rsidRPr="00E27443">
        <w:t xml:space="preserve"> </w:t>
      </w:r>
      <w:r w:rsidRPr="00E27443">
        <w:t>of</w:t>
      </w:r>
      <w:r w:rsidR="00C63F8F" w:rsidRPr="00E27443">
        <w:t xml:space="preserve"> </w:t>
      </w:r>
      <w:r w:rsidRPr="00E27443">
        <w:t>all</w:t>
      </w:r>
      <w:r w:rsidR="00C63F8F" w:rsidRPr="00E27443">
        <w:t xml:space="preserve"> </w:t>
      </w:r>
      <w:r w:rsidRPr="00E27443">
        <w:t>ages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participate</w:t>
      </w:r>
      <w:r w:rsidR="00C63F8F" w:rsidRPr="00E27443">
        <w:t xml:space="preserve"> </w:t>
      </w:r>
      <w:r w:rsidRPr="00E27443">
        <w:t>fully</w:t>
      </w:r>
      <w:r w:rsidR="00C63F8F" w:rsidRPr="00E27443">
        <w:t xml:space="preserve"> </w:t>
      </w:r>
      <w:r w:rsidRPr="00E27443">
        <w:t>in</w:t>
      </w:r>
      <w:r w:rsidR="00C63F8F" w:rsidRPr="00E27443">
        <w:t xml:space="preserve"> </w:t>
      </w:r>
      <w:r w:rsidRPr="00E27443">
        <w:t>social</w:t>
      </w:r>
      <w:r w:rsidR="00C63F8F" w:rsidRPr="00E27443">
        <w:t xml:space="preserve"> </w:t>
      </w:r>
      <w:r w:rsidRPr="00E27443">
        <w:t>life,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equality</w:t>
      </w:r>
      <w:r w:rsidR="00C63F8F" w:rsidRPr="00E27443">
        <w:t xml:space="preserve"> </w:t>
      </w:r>
      <w:r w:rsidRPr="00E27443">
        <w:t>of</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girls</w:t>
      </w:r>
      <w:r w:rsidR="00C63F8F" w:rsidRPr="00E27443">
        <w:t xml:space="preserve"> </w:t>
      </w:r>
      <w:r w:rsidRPr="00E27443">
        <w:t>and</w:t>
      </w:r>
      <w:r w:rsidR="00C63F8F" w:rsidRPr="00E27443">
        <w:t xml:space="preserve"> </w:t>
      </w:r>
      <w:r w:rsidRPr="00E27443">
        <w:t>boys,</w:t>
      </w:r>
      <w:r w:rsidR="00C63F8F" w:rsidRPr="00E27443">
        <w:t xml:space="preserve"> </w:t>
      </w:r>
      <w:r w:rsidRPr="00E27443">
        <w:t>women</w:t>
      </w:r>
      <w:r w:rsidR="00C63F8F" w:rsidRPr="00E27443">
        <w:t xml:space="preserve"> </w:t>
      </w:r>
      <w:r w:rsidRPr="00E27443">
        <w:t>and</w:t>
      </w:r>
      <w:r w:rsidR="00C63F8F" w:rsidRPr="00E27443">
        <w:t xml:space="preserve"> </w:t>
      </w:r>
      <w:r w:rsidRPr="00E27443">
        <w:t>men</w:t>
      </w:r>
      <w:r w:rsidR="00C63F8F" w:rsidRPr="00E27443">
        <w:t xml:space="preserve"> </w:t>
      </w:r>
      <w:r w:rsidRPr="00E27443">
        <w:t>with</w:t>
      </w:r>
      <w:r w:rsidR="00C63F8F" w:rsidRPr="00E27443">
        <w:t xml:space="preserve"> </w:t>
      </w:r>
      <w:r w:rsidRPr="00E27443">
        <w:t>disabilities</w:t>
      </w:r>
      <w:r w:rsidR="00C63F8F" w:rsidRPr="00E27443">
        <w:t xml:space="preserve"> — </w:t>
      </w:r>
      <w:r w:rsidRPr="00E27443">
        <w:t>have</w:t>
      </w:r>
      <w:r w:rsidR="00C63F8F" w:rsidRPr="00E27443">
        <w:t xml:space="preserve"> </w:t>
      </w:r>
      <w:r w:rsidRPr="00E27443">
        <w:t>been</w:t>
      </w:r>
      <w:r w:rsidR="00C63F8F" w:rsidRPr="00E27443">
        <w:t xml:space="preserve"> </w:t>
      </w:r>
      <w:r w:rsidRPr="00E27443">
        <w:t>established</w:t>
      </w:r>
      <w:r w:rsidR="00C63F8F" w:rsidRPr="00E27443">
        <w:t xml:space="preserve"> </w:t>
      </w:r>
      <w:r w:rsidRPr="00E27443">
        <w:t>since</w:t>
      </w:r>
      <w:r w:rsidR="00C63F8F" w:rsidRPr="00E27443">
        <w:t xml:space="preserve"> </w:t>
      </w:r>
      <w:r w:rsidRPr="00E27443">
        <w:t>2000</w:t>
      </w:r>
      <w:r w:rsidR="00C63F8F" w:rsidRPr="00E27443">
        <w:t xml:space="preserve"> </w:t>
      </w:r>
      <w:r w:rsidRPr="00E27443">
        <w:t>and</w:t>
      </w:r>
      <w:r w:rsidR="00C63F8F" w:rsidRPr="00E27443">
        <w:t xml:space="preserve"> </w:t>
      </w:r>
      <w:r w:rsidRPr="00E27443">
        <w:t>in</w:t>
      </w:r>
      <w:r w:rsidR="00C63F8F" w:rsidRPr="00E27443">
        <w:t xml:space="preserve"> </w:t>
      </w:r>
      <w:r w:rsidRPr="00E27443">
        <w:t>2010</w:t>
      </w:r>
      <w:r w:rsidR="00C63F8F" w:rsidRPr="00E27443">
        <w:t xml:space="preserve"> </w:t>
      </w:r>
      <w:r w:rsidRPr="00E27443">
        <w:t>have</w:t>
      </w:r>
      <w:r w:rsidR="00C63F8F" w:rsidRPr="00E27443">
        <w:t xml:space="preserve"> </w:t>
      </w:r>
      <w:r w:rsidRPr="00E27443">
        <w:t>been</w:t>
      </w:r>
      <w:r w:rsidR="00C63F8F" w:rsidRPr="00E27443">
        <w:t xml:space="preserve"> </w:t>
      </w:r>
      <w:r w:rsidRPr="00E27443">
        <w:t>broken</w:t>
      </w:r>
      <w:r w:rsidR="00C63F8F" w:rsidRPr="00E27443">
        <w:t xml:space="preserve"> </w:t>
      </w:r>
      <w:r w:rsidRPr="00E27443">
        <w:t>down</w:t>
      </w:r>
      <w:r w:rsidR="00C63F8F" w:rsidRPr="00E27443">
        <w:t xml:space="preserve"> </w:t>
      </w:r>
      <w:r w:rsidRPr="00E27443">
        <w:t>into</w:t>
      </w:r>
      <w:r w:rsidR="00C63F8F" w:rsidRPr="00E27443">
        <w:t xml:space="preserve"> </w:t>
      </w:r>
      <w:r w:rsidRPr="00E27443">
        <w:t>sector-specific</w:t>
      </w:r>
      <w:r w:rsidR="00C63F8F" w:rsidRPr="00E27443">
        <w:t xml:space="preserve"> </w:t>
      </w:r>
      <w:r w:rsidRPr="00E27443">
        <w:t>targets.</w:t>
      </w:r>
      <w:r w:rsidR="00C63F8F" w:rsidRPr="00E27443">
        <w:t xml:space="preserve"> </w:t>
      </w:r>
      <w:r w:rsidRPr="00E27443">
        <w:t>These</w:t>
      </w:r>
      <w:r w:rsidR="00C63F8F" w:rsidRPr="00E27443">
        <w:t xml:space="preserve"> </w:t>
      </w:r>
      <w:r w:rsidRPr="00E27443">
        <w:t>will</w:t>
      </w:r>
      <w:r w:rsidR="00C63F8F" w:rsidRPr="00E27443">
        <w:t xml:space="preserve"> </w:t>
      </w:r>
      <w:r w:rsidRPr="00E27443">
        <w:t>subsequently</w:t>
      </w:r>
      <w:r w:rsidR="00C63F8F" w:rsidRPr="00E27443">
        <w:t xml:space="preserve"> </w:t>
      </w:r>
      <w:r w:rsidRPr="00E27443">
        <w:t>be</w:t>
      </w:r>
      <w:r w:rsidR="00C63F8F" w:rsidRPr="00E27443">
        <w:t xml:space="preserve"> </w:t>
      </w:r>
      <w:r w:rsidRPr="00E27443">
        <w:t>made</w:t>
      </w:r>
      <w:r w:rsidR="00C63F8F" w:rsidRPr="00E27443">
        <w:t xml:space="preserve"> </w:t>
      </w:r>
      <w:r w:rsidRPr="00E27443">
        <w:t>tangible</w:t>
      </w:r>
      <w:r w:rsidR="00C63F8F" w:rsidRPr="00E27443">
        <w:t xml:space="preserve"> </w:t>
      </w:r>
      <w:r w:rsidRPr="00E27443">
        <w:t>in</w:t>
      </w:r>
      <w:r w:rsidR="00C63F8F" w:rsidRPr="00E27443">
        <w:t xml:space="preserve"> </w:t>
      </w:r>
      <w:r w:rsidRPr="00E27443">
        <w:t>the</w:t>
      </w:r>
      <w:r w:rsidR="00C63F8F" w:rsidRPr="00E27443">
        <w:t xml:space="preserve"> </w:t>
      </w:r>
      <w:r w:rsidRPr="00E27443">
        <w:t>form</w:t>
      </w:r>
      <w:r w:rsidR="00C63F8F" w:rsidRPr="00E27443">
        <w:t xml:space="preserve"> </w:t>
      </w:r>
      <w:r w:rsidRPr="00E27443">
        <w:t>of</w:t>
      </w:r>
      <w:r w:rsidR="00C63F8F" w:rsidRPr="00E27443">
        <w:t xml:space="preserve"> </w:t>
      </w:r>
      <w:r w:rsidRPr="00E27443">
        <w:t>monitorable</w:t>
      </w:r>
      <w:r w:rsidR="00C63F8F" w:rsidRPr="00E27443">
        <w:t xml:space="preserve"> </w:t>
      </w:r>
      <w:r w:rsidRPr="00E27443">
        <w:t>interim</w:t>
      </w:r>
      <w:r w:rsidR="00C63F8F" w:rsidRPr="00E27443">
        <w:t xml:space="preserve"> </w:t>
      </w:r>
      <w:r w:rsidRPr="00E27443">
        <w:t>goals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compiled</w:t>
      </w:r>
      <w:r w:rsidR="00C63F8F" w:rsidRPr="00E27443">
        <w:t xml:space="preserve"> </w:t>
      </w:r>
      <w:r w:rsidRPr="00E27443">
        <w:t>to</w:t>
      </w:r>
      <w:r w:rsidR="00C63F8F" w:rsidRPr="00E27443">
        <w:t xml:space="preserve"> </w:t>
      </w:r>
      <w:r w:rsidRPr="00E27443">
        <w:t>form</w:t>
      </w:r>
      <w:r w:rsidR="00C63F8F" w:rsidRPr="00E27443">
        <w:t xml:space="preserve"> </w:t>
      </w:r>
      <w:r w:rsidRPr="00E27443">
        <w:t>a</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strategy</w:t>
      </w:r>
      <w:r w:rsidR="00C63F8F" w:rsidRPr="00E27443">
        <w:t xml:space="preserve"> </w:t>
      </w:r>
      <w:r w:rsidRPr="00E27443">
        <w:t>that</w:t>
      </w:r>
      <w:r w:rsidR="00C63F8F" w:rsidRPr="00E27443">
        <w:t xml:space="preserve"> </w:t>
      </w:r>
      <w:r w:rsidRPr="00E27443">
        <w:t>will</w:t>
      </w:r>
      <w:r w:rsidR="00C63F8F" w:rsidRPr="00E27443">
        <w:t xml:space="preserve"> </w:t>
      </w:r>
      <w:r w:rsidRPr="00E27443">
        <w:t>apply</w:t>
      </w:r>
      <w:r w:rsidR="00C63F8F" w:rsidRPr="00E27443">
        <w:t xml:space="preserve"> </w:t>
      </w:r>
      <w:r w:rsidRPr="00E27443">
        <w:t>for</w:t>
      </w:r>
      <w:r w:rsidR="00C63F8F" w:rsidRPr="00E27443">
        <w:t xml:space="preserve"> </w:t>
      </w:r>
      <w:r w:rsidRPr="00E27443">
        <w:t>the</w:t>
      </w:r>
      <w:r w:rsidR="00C63F8F" w:rsidRPr="00E27443">
        <w:t xml:space="preserve"> </w:t>
      </w:r>
      <w:r w:rsidRPr="00E27443">
        <w:t>period</w:t>
      </w:r>
      <w:r w:rsidR="00C63F8F" w:rsidRPr="00E27443">
        <w:t xml:space="preserve"> </w:t>
      </w:r>
      <w:r w:rsidRPr="00E27443">
        <w:t>2011–2016.</w:t>
      </w:r>
      <w:r w:rsidR="00C63F8F" w:rsidRPr="00E27443">
        <w:t xml:space="preserve"> </w:t>
      </w:r>
      <w:r w:rsidRPr="00E27443">
        <w:t>The</w:t>
      </w:r>
      <w:r w:rsidR="00C63F8F" w:rsidRPr="00E27443">
        <w:t xml:space="preserve"> </w:t>
      </w:r>
      <w:r w:rsidRPr="00E27443">
        <w:t>starting</w:t>
      </w:r>
      <w:r w:rsidR="00C63F8F" w:rsidRPr="00E27443">
        <w:t xml:space="preserve"> </w:t>
      </w:r>
      <w:r w:rsidRPr="00E27443">
        <w:t>point</w:t>
      </w:r>
      <w:r w:rsidR="00C63F8F" w:rsidRPr="00E27443">
        <w:t xml:space="preserve"> </w:t>
      </w:r>
      <w:r w:rsidRPr="00E27443">
        <w:t>for</w:t>
      </w:r>
      <w:r w:rsidR="00C63F8F" w:rsidRPr="00E27443">
        <w:t xml:space="preserve"> </w:t>
      </w:r>
      <w:r w:rsidRPr="00E27443">
        <w:t>the</w:t>
      </w:r>
      <w:r w:rsidR="00C63F8F" w:rsidRPr="00E27443">
        <w:t xml:space="preserve"> </w:t>
      </w:r>
      <w:r w:rsidRPr="00E27443">
        <w:t>strategy</w:t>
      </w:r>
      <w:r w:rsidR="00C63F8F" w:rsidRPr="00E27443">
        <w:t xml:space="preserve"> </w:t>
      </w:r>
      <w:r w:rsidRPr="00E27443">
        <w:t>is</w:t>
      </w:r>
      <w:r w:rsidR="00C63F8F" w:rsidRPr="00E27443">
        <w:t xml:space="preserve"> </w:t>
      </w:r>
      <w:r w:rsidRPr="00E27443">
        <w:t>that</w:t>
      </w:r>
      <w:r w:rsidR="00C63F8F" w:rsidRPr="00E27443">
        <w:t xml:space="preserve"> </w:t>
      </w:r>
      <w:r w:rsidRPr="00E27443">
        <w:t>the</w:t>
      </w:r>
      <w:r w:rsidR="00C63F8F" w:rsidRPr="00E27443">
        <w:t xml:space="preserve"> </w:t>
      </w:r>
      <w:r w:rsidRPr="00E27443">
        <w:t>work</w:t>
      </w:r>
      <w:r w:rsidR="00C63F8F" w:rsidRPr="00E27443">
        <w:t xml:space="preserve"> </w:t>
      </w:r>
      <w:r w:rsidRPr="00E27443">
        <w:t>to</w:t>
      </w:r>
      <w:r w:rsidR="00C63F8F" w:rsidRPr="00E27443">
        <w:t xml:space="preserve"> </w:t>
      </w:r>
      <w:r w:rsidRPr="00E27443">
        <w:t>achieve</w:t>
      </w:r>
      <w:r w:rsidR="00C63F8F" w:rsidRPr="00E27443">
        <w:t xml:space="preserve"> </w:t>
      </w:r>
      <w:r w:rsidRPr="00E27443">
        <w:t>the</w:t>
      </w:r>
      <w:r w:rsidR="00C63F8F" w:rsidRPr="00E27443">
        <w:t xml:space="preserve"> </w:t>
      </w:r>
      <w:r w:rsidRPr="00E27443">
        <w:t>overall</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goals</w:t>
      </w:r>
      <w:r w:rsidR="00C63F8F" w:rsidRPr="00E27443">
        <w:t xml:space="preserve"> </w:t>
      </w:r>
      <w:r w:rsidRPr="00E27443">
        <w:t>should</w:t>
      </w:r>
      <w:r w:rsidR="00C63F8F" w:rsidRPr="00E27443">
        <w:t xml:space="preserve"> </w:t>
      </w:r>
      <w:r w:rsidRPr="00E27443">
        <w:t>be</w:t>
      </w:r>
      <w:r w:rsidR="00C63F8F" w:rsidRPr="00E27443">
        <w:t xml:space="preserve"> </w:t>
      </w:r>
      <w:r w:rsidRPr="00E27443">
        <w:t>effective</w:t>
      </w:r>
      <w:r w:rsidR="00C63F8F" w:rsidRPr="00E27443">
        <w:t xml:space="preserve"> </w:t>
      </w:r>
      <w:r w:rsidRPr="00E27443">
        <w:t>and</w:t>
      </w:r>
      <w:r w:rsidR="00C63F8F" w:rsidRPr="00E27443">
        <w:t xml:space="preserve"> </w:t>
      </w:r>
      <w:r w:rsidRPr="00E27443">
        <w:t>targeted,</w:t>
      </w:r>
      <w:r w:rsidR="00C63F8F" w:rsidRPr="00E27443">
        <w:t xml:space="preserve"> </w:t>
      </w:r>
      <w:r w:rsidRPr="00E27443">
        <w:t>with</w:t>
      </w:r>
      <w:r w:rsidR="00C63F8F" w:rsidRPr="00E27443">
        <w:t xml:space="preserve"> </w:t>
      </w:r>
      <w:r w:rsidRPr="00E27443">
        <w:t>broad</w:t>
      </w:r>
      <w:r w:rsidR="00C63F8F" w:rsidRPr="00E27443">
        <w:t xml:space="preserve"> </w:t>
      </w:r>
      <w:r w:rsidRPr="00E27443">
        <w:t>collaboration</w:t>
      </w:r>
      <w:r w:rsidR="00C63F8F" w:rsidRPr="00E27443">
        <w:t xml:space="preserve"> </w:t>
      </w:r>
      <w:r w:rsidRPr="00E27443">
        <w:t>and</w:t>
      </w:r>
      <w:r w:rsidR="00C63F8F" w:rsidRPr="00E27443">
        <w:t xml:space="preserve"> </w:t>
      </w:r>
      <w:r w:rsidRPr="00E27443">
        <w:t>clear</w:t>
      </w:r>
      <w:r w:rsidR="00C63F8F" w:rsidRPr="00E27443">
        <w:t xml:space="preserve"> </w:t>
      </w:r>
      <w:r w:rsidRPr="00E27443">
        <w:t>roles</w:t>
      </w:r>
      <w:r w:rsidR="00C63F8F" w:rsidRPr="00E27443">
        <w:t xml:space="preserve"> </w:t>
      </w:r>
      <w:r w:rsidRPr="00E27443">
        <w:t>in</w:t>
      </w:r>
      <w:r w:rsidR="00C63F8F" w:rsidRPr="00E27443">
        <w:t xml:space="preserve"> </w:t>
      </w:r>
      <w:r w:rsidRPr="00E27443">
        <w:t>its</w:t>
      </w:r>
      <w:r w:rsidR="00C63F8F" w:rsidRPr="00E27443">
        <w:t xml:space="preserve"> </w:t>
      </w:r>
      <w:r w:rsidRPr="00E27443">
        <w:t>implementation.</w:t>
      </w:r>
      <w:r w:rsidR="00C63F8F" w:rsidRPr="00E27443">
        <w:t xml:space="preserve"> </w:t>
      </w:r>
      <w:r w:rsidRPr="00E27443">
        <w:t>The</w:t>
      </w:r>
      <w:r w:rsidR="00C63F8F" w:rsidRPr="00E27443">
        <w:t xml:space="preserve"> </w:t>
      </w:r>
      <w:r w:rsidRPr="00E27443">
        <w:t>strategy</w:t>
      </w:r>
      <w:r w:rsidR="00C63F8F" w:rsidRPr="00E27443">
        <w:t xml:space="preserve"> </w:t>
      </w:r>
      <w:r w:rsidRPr="00E27443">
        <w:t>must</w:t>
      </w:r>
      <w:r w:rsidR="00C63F8F" w:rsidRPr="00E27443">
        <w:t xml:space="preserve"> </w:t>
      </w:r>
      <w:r w:rsidRPr="00E27443">
        <w:t>be</w:t>
      </w:r>
      <w:r w:rsidR="00C63F8F" w:rsidRPr="00E27443">
        <w:t xml:space="preserve"> </w:t>
      </w:r>
      <w:r w:rsidRPr="00E27443">
        <w:t>formulated</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p>
    <w:p w:rsidR="00321ADA" w:rsidRPr="00E27443" w:rsidRDefault="00321ADA" w:rsidP="00EF17DF">
      <w:pPr>
        <w:pStyle w:val="SingleTxtG"/>
        <w:numPr>
          <w:ilvl w:val="0"/>
          <w:numId w:val="20"/>
        </w:numPr>
        <w:tabs>
          <w:tab w:val="left" w:pos="1843"/>
        </w:tabs>
        <w:ind w:left="1134" w:firstLine="0"/>
      </w:pPr>
      <w:r w:rsidRPr="00E27443">
        <w:t>Over</w:t>
      </w:r>
      <w:r w:rsidR="00C63F8F" w:rsidRPr="00E27443">
        <w:t xml:space="preserve"> </w:t>
      </w:r>
      <w:r w:rsidRPr="00E27443">
        <w:t>the</w:t>
      </w:r>
      <w:r w:rsidR="00C63F8F" w:rsidRPr="00E27443">
        <w:t xml:space="preserve"> </w:t>
      </w:r>
      <w:r w:rsidRPr="00E27443">
        <w:t>course</w:t>
      </w:r>
      <w:r w:rsidR="00C63F8F" w:rsidRPr="00E27443">
        <w:t xml:space="preserve"> </w:t>
      </w:r>
      <w:r w:rsidRPr="00E27443">
        <w:t>of</w:t>
      </w:r>
      <w:r w:rsidR="00C63F8F" w:rsidRPr="00E27443">
        <w:t xml:space="preserve"> </w:t>
      </w:r>
      <w:r w:rsidRPr="00E27443">
        <w:t>ten</w:t>
      </w:r>
      <w:r w:rsidR="00C63F8F" w:rsidRPr="00E27443">
        <w:t xml:space="preserve"> </w:t>
      </w:r>
      <w:r w:rsidRPr="00E27443">
        <w:t>years,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trialled</w:t>
      </w:r>
      <w:r w:rsidR="00C63F8F" w:rsidRPr="00E27443">
        <w:t xml:space="preserve"> </w:t>
      </w:r>
      <w:r w:rsidRPr="00E27443">
        <w:t>a</w:t>
      </w:r>
      <w:r w:rsidR="00C63F8F" w:rsidRPr="00E27443">
        <w:t xml:space="preserve"> </w:t>
      </w:r>
      <w:r w:rsidRPr="00E27443">
        <w:t>basic</w:t>
      </w:r>
      <w:r w:rsidR="00C63F8F" w:rsidRPr="00E27443">
        <w:t xml:space="preserve"> </w:t>
      </w:r>
      <w:r w:rsidRPr="00E27443">
        <w:t>structure</w:t>
      </w:r>
      <w:r w:rsidR="00C63F8F" w:rsidRPr="00E27443">
        <w:t xml:space="preserve"> </w:t>
      </w:r>
      <w:r w:rsidRPr="00E27443">
        <w:t>for</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according</w:t>
      </w:r>
      <w:r w:rsidR="00C63F8F" w:rsidRPr="00E27443">
        <w:t xml:space="preserve"> </w:t>
      </w:r>
      <w:r w:rsidRPr="00E27443">
        <w:t>to</w:t>
      </w:r>
      <w:r w:rsidR="00C63F8F" w:rsidRPr="00E27443">
        <w:t xml:space="preserve"> </w:t>
      </w:r>
      <w:r w:rsidRPr="00E27443">
        <w:t>an</w:t>
      </w:r>
      <w:r w:rsidR="00C63F8F" w:rsidRPr="00E27443">
        <w:t xml:space="preserve"> </w:t>
      </w:r>
      <w:r w:rsidRPr="00E27443">
        <w:rPr>
          <w:i/>
        </w:rPr>
        <w:t>action</w:t>
      </w:r>
      <w:r w:rsidR="00C63F8F" w:rsidRPr="00E27443">
        <w:rPr>
          <w:i/>
        </w:rPr>
        <w:t xml:space="preserve"> </w:t>
      </w:r>
      <w:r w:rsidRPr="00E27443">
        <w:rPr>
          <w:i/>
        </w:rPr>
        <w:t>plan</w:t>
      </w:r>
      <w:r w:rsidRPr="00E27443">
        <w:t>,</w:t>
      </w:r>
      <w:r w:rsidR="00C63F8F" w:rsidRPr="00E27443">
        <w:t xml:space="preserve"> </w:t>
      </w:r>
      <w:r w:rsidRPr="00E27443">
        <w:t>which</w:t>
      </w:r>
      <w:r w:rsidR="00C63F8F" w:rsidRPr="00E27443">
        <w:t xml:space="preserve"> </w:t>
      </w:r>
      <w:r w:rsidRPr="00E27443">
        <w:t>has</w:t>
      </w:r>
      <w:r w:rsidR="00C63F8F" w:rsidRPr="00E27443">
        <w:t xml:space="preserve"> </w:t>
      </w:r>
      <w:r w:rsidRPr="00E27443">
        <w:t>recently</w:t>
      </w:r>
      <w:r w:rsidR="00C63F8F" w:rsidRPr="00E27443">
        <w:t xml:space="preserve"> </w:t>
      </w:r>
      <w:r w:rsidRPr="00E27443">
        <w:t>been</w:t>
      </w:r>
      <w:r w:rsidR="00C63F8F" w:rsidRPr="00E27443">
        <w:t xml:space="preserve"> </w:t>
      </w:r>
      <w:r w:rsidRPr="00E27443">
        <w:t>evaluated.</w:t>
      </w:r>
      <w:r w:rsidR="00C63F8F" w:rsidRPr="00E27443">
        <w:t xml:space="preserve"> </w:t>
      </w:r>
      <w:r w:rsidRPr="00E27443">
        <w:t>Large</w:t>
      </w:r>
      <w:r w:rsidR="00C63F8F" w:rsidRPr="00E27443">
        <w:t xml:space="preserve"> </w:t>
      </w:r>
      <w:r w:rsidRPr="00E27443">
        <w:t>authorities,</w:t>
      </w:r>
      <w:r w:rsidR="00C63F8F" w:rsidRPr="00E27443">
        <w:t xml:space="preserve"> </w:t>
      </w:r>
      <w:r w:rsidRPr="00E27443">
        <w:t>each</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one</w:t>
      </w:r>
      <w:r w:rsidR="00C63F8F" w:rsidRPr="00E27443">
        <w:t xml:space="preserve"> </w:t>
      </w:r>
      <w:r w:rsidRPr="00E27443">
        <w:t>sector</w:t>
      </w:r>
      <w:r w:rsidR="00C63F8F" w:rsidRPr="00E27443">
        <w:t xml:space="preserve"> </w:t>
      </w:r>
      <w:r w:rsidRPr="00E27443">
        <w:t>of</w:t>
      </w:r>
      <w:r w:rsidR="00C63F8F" w:rsidRPr="00E27443">
        <w:t xml:space="preserve"> </w:t>
      </w:r>
      <w:r w:rsidRPr="00E27443">
        <w:t>society,</w:t>
      </w:r>
      <w:r w:rsidR="00C63F8F" w:rsidRPr="00E27443">
        <w:t xml:space="preserve"> </w:t>
      </w:r>
      <w:r w:rsidRPr="00E27443">
        <w:t>have</w:t>
      </w:r>
      <w:r w:rsidR="00C63F8F" w:rsidRPr="00E27443">
        <w:t xml:space="preserve"> </w:t>
      </w:r>
      <w:r w:rsidRPr="00E27443">
        <w:t>been</w:t>
      </w:r>
      <w:r w:rsidR="00C63F8F" w:rsidRPr="00E27443">
        <w:t xml:space="preserve"> </w:t>
      </w:r>
      <w:r w:rsidRPr="00E27443">
        <w:t>specially</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implement</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within</w:t>
      </w:r>
      <w:r w:rsidR="00C63F8F" w:rsidRPr="00E27443">
        <w:t xml:space="preserve"> </w:t>
      </w:r>
      <w:r w:rsidRPr="00E27443">
        <w:t>their</w:t>
      </w:r>
      <w:r w:rsidR="00C63F8F" w:rsidRPr="00E27443">
        <w:t xml:space="preserve"> </w:t>
      </w:r>
      <w:r w:rsidRPr="00E27443">
        <w:t>respective</w:t>
      </w:r>
      <w:r w:rsidR="00C63F8F" w:rsidRPr="00E27443">
        <w:t xml:space="preserve"> </w:t>
      </w:r>
      <w:r w:rsidRPr="00E27443">
        <w:t>sectors.</w:t>
      </w:r>
      <w:r w:rsidR="00C63F8F" w:rsidRPr="00E27443">
        <w:t xml:space="preserve"> </w:t>
      </w:r>
      <w:r w:rsidRPr="00E27443">
        <w:t>These</w:t>
      </w:r>
      <w:r w:rsidR="00C63F8F" w:rsidRPr="00E27443">
        <w:t xml:space="preserve"> </w:t>
      </w:r>
      <w:r w:rsidRPr="00E27443">
        <w:t>authorities</w:t>
      </w:r>
      <w:r w:rsidR="00C63F8F" w:rsidRPr="00E27443">
        <w:t xml:space="preserve"> </w:t>
      </w:r>
      <w:r w:rsidRPr="00E27443">
        <w:t>must</w:t>
      </w:r>
      <w:r w:rsidR="00C63F8F" w:rsidRPr="00E27443">
        <w:t xml:space="preserve"> </w:t>
      </w:r>
      <w:r w:rsidRPr="00E27443">
        <w:t>work</w:t>
      </w:r>
      <w:r w:rsidR="00C63F8F" w:rsidRPr="00E27443">
        <w:t xml:space="preserve"> </w:t>
      </w:r>
      <w:r w:rsidRPr="00E27443">
        <w:t>actively</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perspective</w:t>
      </w:r>
      <w:r w:rsidR="00C63F8F" w:rsidRPr="00E27443">
        <w:t xml:space="preserve"> </w:t>
      </w:r>
      <w:r w:rsidRPr="00E27443">
        <w:t>becomes</w:t>
      </w:r>
      <w:r w:rsidR="00C63F8F" w:rsidRPr="00E27443">
        <w:t xml:space="preserve"> </w:t>
      </w:r>
      <w:r w:rsidRPr="00E27443">
        <w:t>an</w:t>
      </w:r>
      <w:r w:rsidR="00C63F8F" w:rsidRPr="00E27443">
        <w:t xml:space="preserve"> </w:t>
      </w:r>
      <w:r w:rsidRPr="00E27443">
        <w:t>integral</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authority</w:t>
      </w:r>
      <w:r w:rsidR="00C63F8F" w:rsidRPr="00E27443">
        <w:t>’</w:t>
      </w:r>
      <w:r w:rsidRPr="00E27443">
        <w:t>s</w:t>
      </w:r>
      <w:r w:rsidR="00C63F8F" w:rsidRPr="00E27443">
        <w:t xml:space="preserve"> </w:t>
      </w:r>
      <w:r w:rsidRPr="00E27443">
        <w:t>overall</w:t>
      </w:r>
      <w:r w:rsidR="00C63F8F" w:rsidRPr="00E27443">
        <w:t xml:space="preserve"> </w:t>
      </w:r>
      <w:r w:rsidRPr="00E27443">
        <w:t>area</w:t>
      </w:r>
      <w:r w:rsidR="00C63F8F" w:rsidRPr="00E27443">
        <w:t xml:space="preserve"> </w:t>
      </w:r>
      <w:r w:rsidRPr="00E27443">
        <w:t>of</w:t>
      </w:r>
      <w:r w:rsidR="00C63F8F" w:rsidRPr="00E27443">
        <w:t xml:space="preserve"> </w:t>
      </w:r>
      <w:r w:rsidRPr="00E27443">
        <w:t>activity.</w:t>
      </w:r>
      <w:r w:rsidR="00C63F8F" w:rsidRPr="00E27443">
        <w:t xml:space="preserve"> </w:t>
      </w:r>
      <w:r w:rsidRPr="00E27443">
        <w:t>The</w:t>
      </w:r>
      <w:r w:rsidR="00C63F8F" w:rsidRPr="00E27443">
        <w:t xml:space="preserve"> </w:t>
      </w:r>
      <w:r w:rsidRPr="00E27443">
        <w:t>authorities</w:t>
      </w:r>
      <w:r w:rsidR="00C63F8F" w:rsidRPr="00E27443">
        <w:t xml:space="preserve"> </w:t>
      </w:r>
      <w:r w:rsidRPr="00E27443">
        <w:t>must</w:t>
      </w:r>
      <w:r w:rsidR="00C63F8F" w:rsidRPr="00E27443">
        <w:t xml:space="preserve"> </w:t>
      </w:r>
      <w:r w:rsidRPr="00E27443">
        <w:t>co-ordinate</w:t>
      </w:r>
      <w:r w:rsidR="00C63F8F" w:rsidRPr="00E27443">
        <w:t xml:space="preserve"> </w:t>
      </w:r>
      <w:r w:rsidRPr="00E27443">
        <w:t>and</w:t>
      </w:r>
      <w:r w:rsidR="00C63F8F" w:rsidRPr="00E27443">
        <w:t xml:space="preserve"> </w:t>
      </w:r>
      <w:r w:rsidRPr="00E27443">
        <w:t>support</w:t>
      </w:r>
      <w:r w:rsidR="00C63F8F" w:rsidRPr="00E27443">
        <w:t xml:space="preserve"> </w:t>
      </w:r>
      <w:r w:rsidRPr="00E27443">
        <w:t>the</w:t>
      </w:r>
      <w:r w:rsidR="00C63F8F" w:rsidRPr="00E27443">
        <w:t xml:space="preserve"> </w:t>
      </w:r>
      <w:r w:rsidRPr="00E27443">
        <w:t>work</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achieve</w:t>
      </w:r>
      <w:r w:rsidR="00C63F8F" w:rsidRPr="00E27443">
        <w:t xml:space="preserve"> </w:t>
      </w:r>
      <w:r w:rsidRPr="00E27443">
        <w:t>the</w:t>
      </w:r>
      <w:r w:rsidR="00C63F8F" w:rsidRPr="00E27443">
        <w:t xml:space="preserve"> </w:t>
      </w:r>
      <w:r w:rsidRPr="00E27443">
        <w:t>goals</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and</w:t>
      </w:r>
      <w:r w:rsidR="00C63F8F" w:rsidRPr="00E27443">
        <w:t xml:space="preserve"> </w:t>
      </w:r>
      <w:r w:rsidRPr="00E27443">
        <w:t>to</w:t>
      </w:r>
      <w:r w:rsidR="00C63F8F" w:rsidRPr="00E27443">
        <w:t xml:space="preserve"> </w:t>
      </w:r>
      <w:r w:rsidRPr="00E27443">
        <w:t>drive</w:t>
      </w:r>
      <w:r w:rsidR="00C63F8F" w:rsidRPr="00E27443">
        <w:t xml:space="preserve"> </w:t>
      </w:r>
      <w:r w:rsidRPr="00E27443">
        <w:t>on</w:t>
      </w:r>
      <w:r w:rsidR="00C63F8F" w:rsidRPr="00E27443">
        <w:t xml:space="preserve"> </w:t>
      </w:r>
      <w:r w:rsidRPr="00E27443">
        <w:t>other</w:t>
      </w:r>
      <w:r w:rsidR="00C63F8F" w:rsidRPr="00E27443">
        <w:t xml:space="preserve"> </w:t>
      </w:r>
      <w:r w:rsidRPr="00E27443">
        <w:t>players</w:t>
      </w:r>
      <w:r w:rsidR="00C63F8F" w:rsidRPr="00E27443">
        <w:t xml:space="preserve"> </w:t>
      </w:r>
      <w:r w:rsidRPr="00E27443">
        <w:t>within</w:t>
      </w:r>
      <w:r w:rsidR="00C63F8F" w:rsidRPr="00E27443">
        <w:t xml:space="preserve"> </w:t>
      </w:r>
      <w:r w:rsidRPr="00E27443">
        <w:t>their</w:t>
      </w:r>
      <w:r w:rsidR="00C63F8F" w:rsidRPr="00E27443">
        <w:t xml:space="preserve"> </w:t>
      </w:r>
      <w:r w:rsidRPr="00E27443">
        <w:t>sector.</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One</w:t>
      </w:r>
      <w:r w:rsidR="00C63F8F" w:rsidRPr="00E27443">
        <w:t xml:space="preserve"> </w:t>
      </w:r>
      <w:r w:rsidRPr="00E27443">
        <w:t>important</w:t>
      </w:r>
      <w:r w:rsidR="00C63F8F" w:rsidRPr="00E27443">
        <w:t xml:space="preserve"> </w:t>
      </w:r>
      <w:r w:rsidRPr="00E27443">
        <w:t>factor</w:t>
      </w:r>
      <w:r w:rsidR="00C63F8F" w:rsidRPr="00E27443">
        <w:t xml:space="preserve"> </w:t>
      </w:r>
      <w:r w:rsidRPr="00E27443">
        <w:t>in</w:t>
      </w:r>
      <w:r w:rsidR="00C63F8F" w:rsidRPr="00E27443">
        <w:t xml:space="preserve"> </w:t>
      </w:r>
      <w:r w:rsidRPr="00E27443">
        <w:t>being</w:t>
      </w:r>
      <w:r w:rsidR="00C63F8F" w:rsidRPr="00E27443">
        <w:t xml:space="preserve"> </w:t>
      </w:r>
      <w:r w:rsidRPr="00E27443">
        <w:t>able</w:t>
      </w:r>
      <w:r w:rsidR="00C63F8F" w:rsidRPr="00E27443">
        <w:t xml:space="preserve"> </w:t>
      </w:r>
      <w:r w:rsidRPr="00E27443">
        <w:t>to</w:t>
      </w:r>
      <w:r w:rsidR="00C63F8F" w:rsidRPr="00E27443">
        <w:t xml:space="preserve"> </w:t>
      </w:r>
      <w:r w:rsidRPr="00E27443">
        <w:t>achieve</w:t>
      </w:r>
      <w:r w:rsidR="00C63F8F" w:rsidRPr="00E27443">
        <w:t xml:space="preserve"> </w:t>
      </w:r>
      <w:r w:rsidRPr="00E27443">
        <w:t>the</w:t>
      </w:r>
      <w:r w:rsidR="00C63F8F" w:rsidRPr="00E27443">
        <w:t xml:space="preserve"> </w:t>
      </w:r>
      <w:r w:rsidRPr="00E27443">
        <w:t>goals</w:t>
      </w:r>
      <w:r w:rsidR="00C63F8F" w:rsidRPr="00E27443">
        <w:t xml:space="preserve"> </w:t>
      </w:r>
      <w:r w:rsidRPr="00E27443">
        <w:t>is</w:t>
      </w:r>
      <w:r w:rsidR="00C63F8F" w:rsidRPr="00E27443">
        <w:t xml:space="preserve"> </w:t>
      </w:r>
      <w:r w:rsidRPr="00E27443">
        <w:t>that</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conducts</w:t>
      </w:r>
      <w:r w:rsidR="00C63F8F" w:rsidRPr="00E27443">
        <w:t xml:space="preserve"> </w:t>
      </w:r>
      <w:r w:rsidRPr="00E27443">
        <w:t>an</w:t>
      </w:r>
      <w:r w:rsidR="00C63F8F" w:rsidRPr="00E27443">
        <w:t xml:space="preserve"> </w:t>
      </w:r>
      <w:r w:rsidRPr="00E27443">
        <w:t>ongoing</w:t>
      </w:r>
      <w:r w:rsidR="00C63F8F" w:rsidRPr="00E27443">
        <w:t xml:space="preserve"> </w:t>
      </w:r>
      <w:r w:rsidRPr="00E27443">
        <w:t>dialogue</w:t>
      </w:r>
      <w:r w:rsidR="00C63F8F" w:rsidRPr="00E27443">
        <w:t xml:space="preserve"> </w:t>
      </w:r>
      <w:r w:rsidRPr="00E27443">
        <w:t>with</w:t>
      </w:r>
      <w:r w:rsidR="00C63F8F" w:rsidRPr="00E27443">
        <w:t xml:space="preserve"> </w:t>
      </w:r>
      <w:r w:rsidRPr="00E27443">
        <w:t>the</w:t>
      </w:r>
      <w:r w:rsidR="00C63F8F" w:rsidRPr="00E27443">
        <w:t xml:space="preserve"> </w:t>
      </w:r>
      <w:r w:rsidRPr="00E27443">
        <w:t>civil</w:t>
      </w:r>
      <w:r w:rsidR="00C63F8F" w:rsidRPr="00E27443">
        <w:t xml:space="preserve"> </w:t>
      </w:r>
      <w:r w:rsidRPr="00E27443">
        <w:t>society,</w:t>
      </w:r>
      <w:r w:rsidR="00C63F8F" w:rsidRPr="00E27443">
        <w:t xml:space="preserve"> </w:t>
      </w:r>
      <w:r w:rsidRPr="00E27443">
        <w:t>which</w:t>
      </w:r>
      <w:r w:rsidR="00C63F8F" w:rsidRPr="00E27443">
        <w:t xml:space="preserve"> </w:t>
      </w:r>
      <w:r w:rsidRPr="00E27443">
        <w:t>is</w:t>
      </w:r>
      <w:r w:rsidR="00C63F8F" w:rsidRPr="00E27443">
        <w:t xml:space="preserve"> </w:t>
      </w:r>
      <w:r w:rsidRPr="00E27443">
        <w:t>extremely</w:t>
      </w:r>
      <w:r w:rsidR="00C63F8F" w:rsidRPr="00E27443">
        <w:t xml:space="preserve"> </w:t>
      </w:r>
      <w:r w:rsidRPr="00E27443">
        <w:t>important</w:t>
      </w:r>
      <w:r w:rsidR="00C63F8F" w:rsidRPr="00E27443">
        <w:t xml:space="preserve"> </w:t>
      </w:r>
      <w:r w:rsidRPr="00E27443">
        <w:t>for</w:t>
      </w:r>
      <w:r w:rsidR="00C63F8F" w:rsidRPr="00E27443">
        <w:t xml:space="preserve"> </w:t>
      </w:r>
      <w:r w:rsidRPr="00E27443">
        <w:t>the</w:t>
      </w:r>
      <w:r w:rsidR="00C63F8F" w:rsidRPr="00E27443">
        <w:t xml:space="preserve"> </w:t>
      </w:r>
      <w:r w:rsidRPr="00E27443">
        <w:t>formulation</w:t>
      </w:r>
      <w:r w:rsidR="00C63F8F" w:rsidRPr="00E27443">
        <w:t xml:space="preserve"> </w:t>
      </w:r>
      <w:r w:rsidRPr="00E27443">
        <w:t>of</w:t>
      </w:r>
      <w:r w:rsidR="00C63F8F" w:rsidRPr="00E27443">
        <w:t xml:space="preserve"> </w:t>
      </w:r>
      <w:r w:rsidRPr="00E27443">
        <w:t>the</w:t>
      </w:r>
      <w:r w:rsidR="00C63F8F" w:rsidRPr="00E27443">
        <w:t xml:space="preserve"> </w:t>
      </w:r>
      <w:r w:rsidRPr="00E27443">
        <w:t>policy</w:t>
      </w:r>
      <w:r w:rsidR="00C63F8F" w:rsidRPr="00E27443">
        <w:t xml:space="preserve"> </w:t>
      </w:r>
      <w:r w:rsidRPr="00E27443">
        <w:t>and</w:t>
      </w:r>
      <w:r w:rsidR="00C63F8F" w:rsidRPr="00E27443">
        <w:t xml:space="preserve"> </w:t>
      </w:r>
      <w:r w:rsidRPr="00E27443">
        <w:t>has</w:t>
      </w:r>
      <w:r w:rsidR="00C63F8F" w:rsidRPr="00E27443">
        <w:t xml:space="preserve"> </w:t>
      </w:r>
      <w:r w:rsidRPr="00E27443">
        <w:t>an</w:t>
      </w:r>
      <w:r w:rsidR="00C63F8F" w:rsidRPr="00E27443">
        <w:t xml:space="preserve"> </w:t>
      </w:r>
      <w:r w:rsidRPr="00E27443">
        <w:t>important</w:t>
      </w:r>
      <w:r w:rsidR="00C63F8F" w:rsidRPr="00E27443">
        <w:t xml:space="preserve"> </w:t>
      </w:r>
      <w:r w:rsidRPr="00E27443">
        <w:t>role</w:t>
      </w:r>
      <w:r w:rsidR="00C63F8F" w:rsidRPr="00E27443">
        <w:t xml:space="preserve"> </w:t>
      </w:r>
      <w:r w:rsidRPr="00E27443">
        <w:t>to</w:t>
      </w:r>
      <w:r w:rsidR="00C63F8F" w:rsidRPr="00E27443">
        <w:t xml:space="preserve"> </w:t>
      </w:r>
      <w:r w:rsidRPr="00E27443">
        <w:t>identify</w:t>
      </w:r>
      <w:r w:rsidR="00C63F8F" w:rsidRPr="00E27443">
        <w:t xml:space="preserve"> </w:t>
      </w:r>
      <w:r w:rsidRPr="00E27443">
        <w:t>and</w:t>
      </w:r>
      <w:r w:rsidR="00C63F8F" w:rsidRPr="00E27443">
        <w:t xml:space="preserve"> </w:t>
      </w:r>
      <w:r w:rsidRPr="00E27443">
        <w:t>highlight</w:t>
      </w:r>
      <w:r w:rsidR="00C63F8F" w:rsidRPr="00E27443">
        <w:t xml:space="preserve"> </w:t>
      </w:r>
      <w:r w:rsidRPr="00E27443">
        <w:t>problems.</w:t>
      </w:r>
      <w:r w:rsidR="00C63F8F" w:rsidRPr="00E27443">
        <w:t xml:space="preserve"> </w:t>
      </w:r>
      <w:r w:rsidRPr="00E27443">
        <w:t>The</w:t>
      </w:r>
      <w:r w:rsidR="00C63F8F" w:rsidRPr="00E27443">
        <w:t xml:space="preserve"> </w:t>
      </w:r>
      <w:r w:rsidRPr="00E27443">
        <w:t>State</w:t>
      </w:r>
      <w:r w:rsidR="00C63F8F" w:rsidRPr="00E27443">
        <w:t xml:space="preserve"> </w:t>
      </w:r>
      <w:r w:rsidRPr="00E27443">
        <w:t>subsidy</w:t>
      </w:r>
      <w:r w:rsidR="00C63F8F" w:rsidRPr="00E27443">
        <w:t xml:space="preserve"> </w:t>
      </w:r>
      <w:r w:rsidRPr="00E27443">
        <w:t>to</w:t>
      </w:r>
      <w:r w:rsidR="00C63F8F" w:rsidRPr="00E27443">
        <w:t xml:space="preserve"> </w:t>
      </w:r>
      <w:r w:rsidRPr="00E27443">
        <w:t>disability</w:t>
      </w:r>
      <w:r w:rsidR="00C63F8F" w:rsidRPr="00E27443">
        <w:t xml:space="preserve"> </w:t>
      </w:r>
      <w:r w:rsidRPr="00E27443">
        <w:t>organisations</w:t>
      </w:r>
      <w:r w:rsidR="00C63F8F" w:rsidRPr="00E27443">
        <w:t xml:space="preserve"> </w:t>
      </w:r>
      <w:r w:rsidRPr="00E27443">
        <w:t>was</w:t>
      </w:r>
      <w:r w:rsidR="00C63F8F" w:rsidRPr="00E27443">
        <w:t xml:space="preserve"> </w:t>
      </w:r>
      <w:r w:rsidRPr="00E27443">
        <w:t>therefore</w:t>
      </w:r>
      <w:r w:rsidR="00C63F8F" w:rsidRPr="00E27443">
        <w:t xml:space="preserve"> </w:t>
      </w:r>
      <w:r w:rsidRPr="00E27443">
        <w:t>increased</w:t>
      </w:r>
      <w:r w:rsidR="00C63F8F" w:rsidRPr="00E27443">
        <w:t xml:space="preserve"> </w:t>
      </w:r>
      <w:r w:rsidRPr="00E27443">
        <w:t>by</w:t>
      </w:r>
      <w:r w:rsidR="00C63F8F" w:rsidRPr="00E27443">
        <w:t xml:space="preserve"> </w:t>
      </w:r>
      <w:r w:rsidRPr="00E27443">
        <w:t>SEK</w:t>
      </w:r>
      <w:r w:rsidR="00C63F8F" w:rsidRPr="00E27443">
        <w:t xml:space="preserve"> </w:t>
      </w:r>
      <w:r w:rsidRPr="00E27443">
        <w:t>20</w:t>
      </w:r>
      <w:r w:rsidR="00C63F8F" w:rsidRPr="00E27443">
        <w:t xml:space="preserve"> </w:t>
      </w:r>
      <w:r w:rsidRPr="00E27443">
        <w:t>million</w:t>
      </w:r>
      <w:r w:rsidR="00C63F8F" w:rsidRPr="00E27443">
        <w:t xml:space="preserve"> </w:t>
      </w:r>
      <w:r w:rsidRPr="00E27443">
        <w:t>as</w:t>
      </w:r>
      <w:r w:rsidR="00C63F8F" w:rsidRPr="00E27443">
        <w:t xml:space="preserve"> </w:t>
      </w:r>
      <w:r w:rsidRPr="00E27443">
        <w:t>from</w:t>
      </w:r>
      <w:r w:rsidR="00C63F8F" w:rsidRPr="00E27443">
        <w:t xml:space="preserve"> </w:t>
      </w:r>
      <w:r w:rsidRPr="00E27443">
        <w:t>2008,</w:t>
      </w:r>
      <w:r w:rsidR="00C63F8F" w:rsidRPr="00E27443">
        <w:t xml:space="preserve"> </w:t>
      </w:r>
      <w:r w:rsidRPr="00E27443">
        <w:t>providing</w:t>
      </w:r>
      <w:r w:rsidR="00C63F8F" w:rsidRPr="00E27443">
        <w:t xml:space="preserve"> </w:t>
      </w:r>
      <w:r w:rsidRPr="00E27443">
        <w:t>the</w:t>
      </w:r>
      <w:r w:rsidR="00C63F8F" w:rsidRPr="00E27443">
        <w:t xml:space="preserve"> </w:t>
      </w:r>
      <w:r w:rsidRPr="00E27443">
        <w:t>organisations</w:t>
      </w:r>
      <w:r w:rsidR="00C63F8F" w:rsidRPr="00E27443">
        <w:t xml:space="preserve"> </w:t>
      </w:r>
      <w:r w:rsidRPr="00E27443">
        <w:t>with</w:t>
      </w:r>
      <w:r w:rsidR="00C63F8F" w:rsidRPr="00E27443">
        <w:t xml:space="preserve"> </w:t>
      </w:r>
      <w:r w:rsidRPr="00E27443">
        <w:t>the</w:t>
      </w:r>
      <w:r w:rsidR="00C63F8F" w:rsidRPr="00E27443">
        <w:t xml:space="preserve"> </w:t>
      </w:r>
      <w:r w:rsidRPr="00E27443">
        <w:t>financial</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the</w:t>
      </w:r>
      <w:r w:rsidR="00C63F8F" w:rsidRPr="00E27443">
        <w:t xml:space="preserve"> </w:t>
      </w:r>
      <w:r w:rsidRPr="00E27443">
        <w:t>advocacy</w:t>
      </w:r>
      <w:r w:rsidR="00C63F8F" w:rsidRPr="00E27443">
        <w:t xml:space="preserve"> </w:t>
      </w:r>
      <w:r w:rsidRPr="00E27443">
        <w:t>work</w:t>
      </w:r>
      <w:r w:rsidR="00C63F8F" w:rsidRPr="00E27443">
        <w:t xml:space="preserve"> </w:t>
      </w:r>
      <w:r w:rsidRPr="00E27443">
        <w:t>they</w:t>
      </w:r>
      <w:r w:rsidR="00C63F8F" w:rsidRPr="00E27443">
        <w:t xml:space="preserve"> </w:t>
      </w:r>
      <w:r w:rsidRPr="00E27443">
        <w:t>conduct,</w:t>
      </w:r>
      <w:r w:rsidR="00C63F8F" w:rsidRPr="00E27443">
        <w:t xml:space="preserve"> </w:t>
      </w:r>
      <w:r w:rsidRPr="00E27443">
        <w:t>with</w:t>
      </w:r>
      <w:r w:rsidR="00C63F8F" w:rsidRPr="00E27443">
        <w:t xml:space="preserve"> </w:t>
      </w:r>
      <w:r w:rsidRPr="00E27443">
        <w:t>increased</w:t>
      </w:r>
      <w:r w:rsidR="00C63F8F" w:rsidRPr="00E27443">
        <w:t xml:space="preserve"> </w:t>
      </w:r>
      <w:r w:rsidRPr="00E27443">
        <w:t>demands</w:t>
      </w:r>
      <w:r w:rsidR="00C63F8F" w:rsidRPr="00E27443">
        <w:t xml:space="preserve"> </w:t>
      </w:r>
      <w:r w:rsidRPr="00E27443">
        <w:t>from</w:t>
      </w:r>
      <w:r w:rsidR="00C63F8F" w:rsidRPr="00E27443">
        <w:t xml:space="preserve"> </w:t>
      </w:r>
      <w:r w:rsidRPr="00E27443">
        <w:t>society</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the</w:t>
      </w:r>
      <w:r w:rsidR="00C63F8F" w:rsidRPr="00E27443">
        <w:t xml:space="preserve"> </w:t>
      </w:r>
      <w:r w:rsidRPr="00E27443">
        <w:t>development.</w:t>
      </w:r>
    </w:p>
    <w:p w:rsidR="00321ADA" w:rsidRPr="00E27443" w:rsidRDefault="00321ADA" w:rsidP="00EF17DF">
      <w:pPr>
        <w:pStyle w:val="SingleTxtG"/>
        <w:numPr>
          <w:ilvl w:val="0"/>
          <w:numId w:val="20"/>
        </w:numPr>
        <w:tabs>
          <w:tab w:val="left" w:pos="1843"/>
        </w:tabs>
        <w:ind w:left="1134" w:firstLine="0"/>
      </w:pP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rate</w:t>
      </w:r>
      <w:r w:rsidR="00C63F8F" w:rsidRPr="00E27443">
        <w:t xml:space="preserve"> </w:t>
      </w:r>
      <w:r w:rsidRPr="00E27443">
        <w:t>at</w:t>
      </w:r>
      <w:r w:rsidR="00C63F8F" w:rsidRPr="00E27443">
        <w:t xml:space="preserve"> </w:t>
      </w:r>
      <w:r w:rsidRPr="00E27443">
        <w:t>which</w:t>
      </w:r>
      <w:r w:rsidR="00C63F8F" w:rsidRPr="00E27443">
        <w:t xml:space="preserve"> </w:t>
      </w:r>
      <w:r w:rsidRPr="00E27443">
        <w:t>social</w:t>
      </w:r>
      <w:r w:rsidR="00C63F8F" w:rsidRPr="00E27443">
        <w:t xml:space="preserve"> </w:t>
      </w:r>
      <w:r w:rsidRPr="00E27443">
        <w:t>functions</w:t>
      </w:r>
      <w:r w:rsidR="00C63F8F" w:rsidRPr="00E27443">
        <w:t xml:space="preserve"> </w:t>
      </w:r>
      <w:r w:rsidRPr="00E27443">
        <w:t>are</w:t>
      </w:r>
      <w:r w:rsidR="00C63F8F" w:rsidRPr="00E27443">
        <w:t xml:space="preserve"> </w:t>
      </w:r>
      <w:r w:rsidRPr="00E27443">
        <w:t>made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since</w:t>
      </w:r>
      <w:r w:rsidR="00C63F8F" w:rsidRPr="00E27443">
        <w:t xml:space="preserve"> </w:t>
      </w:r>
      <w:r w:rsidRPr="00E27443">
        <w:t>2008,</w:t>
      </w:r>
      <w:r w:rsidR="00C63F8F" w:rsidRPr="00E27443">
        <w:t xml:space="preserve"> </w:t>
      </w:r>
      <w:r w:rsidRPr="00E27443">
        <w:t>intensified</w:t>
      </w:r>
      <w:r w:rsidR="00C63F8F" w:rsidRPr="00E27443">
        <w:t xml:space="preserve"> </w:t>
      </w:r>
      <w:r w:rsidRPr="00E27443">
        <w:t>its</w:t>
      </w:r>
      <w:r w:rsidR="00C63F8F" w:rsidRPr="00E27443">
        <w:t xml:space="preserve"> </w:t>
      </w:r>
      <w:r w:rsidRPr="00E27443">
        <w:t>work</w:t>
      </w:r>
      <w:r w:rsidR="00C63F8F" w:rsidRPr="00E27443">
        <w:t xml:space="preserve"> </w:t>
      </w:r>
      <w:r w:rsidRPr="00E27443">
        <w:t>within</w:t>
      </w:r>
      <w:r w:rsidR="00C63F8F" w:rsidRPr="00E27443">
        <w:t xml:space="preserve"> </w:t>
      </w:r>
      <w:r w:rsidRPr="00E27443">
        <w:t>three</w:t>
      </w:r>
      <w:r w:rsidR="00C63F8F" w:rsidRPr="00E27443">
        <w:t xml:space="preserve"> </w:t>
      </w:r>
      <w:r w:rsidRPr="00E27443">
        <w:rPr>
          <w:i/>
        </w:rPr>
        <w:t>prioritised</w:t>
      </w:r>
      <w:r w:rsidR="00C63F8F" w:rsidRPr="00E27443">
        <w:rPr>
          <w:i/>
        </w:rPr>
        <w:t xml:space="preserve"> </w:t>
      </w:r>
      <w:r w:rsidRPr="00E27443">
        <w:rPr>
          <w:i/>
        </w:rPr>
        <w:t>areas</w:t>
      </w:r>
      <w:r w:rsidRPr="00E27443">
        <w:t>:</w:t>
      </w:r>
      <w:r w:rsidR="00C63F8F" w:rsidRPr="00E27443">
        <w:t xml:space="preserve"> </w:t>
      </w:r>
      <w:r w:rsidRPr="00E27443">
        <w:t>accessible</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an</w:t>
      </w:r>
      <w:r w:rsidR="00C63F8F" w:rsidRPr="00E27443">
        <w:t xml:space="preserve"> </w:t>
      </w:r>
      <w:r w:rsidRPr="00E27443">
        <w:t>accessible</w:t>
      </w:r>
      <w:r w:rsidR="00C63F8F" w:rsidRPr="00E27443">
        <w:t xml:space="preserve"> </w:t>
      </w:r>
      <w:r w:rsidRPr="00E27443">
        <w:t>civil</w:t>
      </w:r>
      <w:r w:rsidR="00C63F8F" w:rsidRPr="00E27443">
        <w:t xml:space="preserve"> </w:t>
      </w:r>
      <w:r w:rsidRPr="00E27443">
        <w:t>service</w:t>
      </w:r>
      <w:r w:rsidR="00C63F8F" w:rsidRPr="00E27443">
        <w:t xml:space="preserve"> </w:t>
      </w:r>
      <w:r w:rsidRPr="00E27443">
        <w:t>and</w:t>
      </w:r>
      <w:r w:rsidR="00C63F8F" w:rsidRPr="00E27443">
        <w:t xml:space="preserve"> </w:t>
      </w:r>
      <w:r w:rsidRPr="00E27443">
        <w:t>easily</w:t>
      </w:r>
      <w:r w:rsidR="00C63F8F" w:rsidRPr="00E27443">
        <w:t xml:space="preserve"> </w:t>
      </w:r>
      <w:r w:rsidRPr="00E27443">
        <w:t>eliminated</w:t>
      </w:r>
      <w:r w:rsidR="00C63F8F" w:rsidRPr="00E27443">
        <w:t xml:space="preserve"> </w:t>
      </w:r>
      <w:r w:rsidRPr="00E27443">
        <w:t>obstacles</w:t>
      </w:r>
      <w:r w:rsidR="00C63F8F" w:rsidRPr="00E27443">
        <w:t xml:space="preserve"> </w:t>
      </w:r>
      <w:r w:rsidRPr="00E27443">
        <w:t>in</w:t>
      </w:r>
      <w:r w:rsidR="00C63F8F" w:rsidRPr="00E27443">
        <w:t xml:space="preserve"> </w:t>
      </w:r>
      <w:r w:rsidRPr="00E27443">
        <w:t>the</w:t>
      </w:r>
      <w:r w:rsidR="00C63F8F" w:rsidRPr="00E27443">
        <w:t xml:space="preserve"> </w:t>
      </w:r>
      <w:r w:rsidRPr="00E27443">
        <w:t>built</w:t>
      </w:r>
      <w:r w:rsidR="00C63F8F" w:rsidRPr="00E27443">
        <w:t xml:space="preserve"> </w:t>
      </w:r>
      <w:r w:rsidRPr="00E27443">
        <w:t>environment.</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highlighted</w:t>
      </w:r>
      <w:r w:rsidR="00C63F8F" w:rsidRPr="00E27443">
        <w:t xml:space="preserve"> </w:t>
      </w:r>
      <w:r w:rsidRPr="00E27443">
        <w:t>the</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rPr>
          <w:i/>
        </w:rPr>
        <w:t>work</w:t>
      </w:r>
      <w:r w:rsidR="00C63F8F" w:rsidRPr="00E27443">
        <w:rPr>
          <w:i/>
        </w:rPr>
        <w:t xml:space="preserve"> </w:t>
      </w:r>
      <w:r w:rsidRPr="00E27443">
        <w:rPr>
          <w:i/>
        </w:rPr>
        <w:t>and</w:t>
      </w:r>
      <w:r w:rsidR="00C63F8F" w:rsidRPr="00E27443">
        <w:rPr>
          <w:i/>
        </w:rPr>
        <w:t xml:space="preserve"> </w:t>
      </w:r>
      <w:r w:rsidRPr="00E27443">
        <w:rPr>
          <w:i/>
        </w:rPr>
        <w:t>employment</w:t>
      </w:r>
      <w:r w:rsidR="00C63F8F" w:rsidRPr="00E27443">
        <w:t xml:space="preserve"> </w:t>
      </w:r>
      <w:r w:rsidRPr="00E27443">
        <w:t>as</w:t>
      </w:r>
      <w:r w:rsidR="00C63F8F" w:rsidRPr="00E27443">
        <w:t xml:space="preserve"> </w:t>
      </w:r>
      <w:r w:rsidRPr="00E27443">
        <w:t>a</w:t>
      </w:r>
      <w:r w:rsidR="00C63F8F" w:rsidRPr="00E27443">
        <w:t xml:space="preserve"> </w:t>
      </w:r>
      <w:r w:rsidRPr="00E27443">
        <w:t>particularly</w:t>
      </w:r>
      <w:r w:rsidR="00C63F8F" w:rsidRPr="00E27443">
        <w:t xml:space="preserve"> </w:t>
      </w:r>
      <w:r w:rsidRPr="00E27443">
        <w:t>pressing</w:t>
      </w:r>
      <w:r w:rsidR="00C63F8F" w:rsidRPr="00E27443">
        <w:t xml:space="preserve"> </w:t>
      </w:r>
      <w:r w:rsidRPr="00E27443">
        <w:t>issue.</w:t>
      </w:r>
      <w:r w:rsidR="00C63F8F" w:rsidRPr="00E27443">
        <w:t xml:space="preserve"> </w:t>
      </w:r>
    </w:p>
    <w:p w:rsidR="00321ADA" w:rsidRPr="00E27443" w:rsidRDefault="00321ADA" w:rsidP="00EF17DF">
      <w:pPr>
        <w:pStyle w:val="SingleTxtG"/>
        <w:numPr>
          <w:ilvl w:val="0"/>
          <w:numId w:val="20"/>
        </w:numPr>
        <w:tabs>
          <w:tab w:val="left" w:pos="1843"/>
        </w:tabs>
        <w:ind w:left="1134" w:firstLine="0"/>
      </w:pPr>
      <w:r w:rsidRPr="00E27443">
        <w:t>One</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tools</w:t>
      </w:r>
      <w:r w:rsidR="00C63F8F" w:rsidRPr="00E27443">
        <w:t xml:space="preserve"> </w:t>
      </w:r>
      <w:r w:rsidRPr="00E27443">
        <w:t>is</w:t>
      </w:r>
      <w:r w:rsidR="00C63F8F" w:rsidRPr="00E27443">
        <w:t xml:space="preserve"> </w:t>
      </w:r>
      <w:r w:rsidRPr="00E27443">
        <w:t>to</w:t>
      </w:r>
      <w:r w:rsidR="00C63F8F" w:rsidRPr="00E27443">
        <w:t xml:space="preserve"> </w:t>
      </w:r>
      <w:r w:rsidRPr="00E27443">
        <w:t>provide</w:t>
      </w:r>
      <w:r w:rsidR="00C63F8F" w:rsidRPr="00E27443">
        <w:t xml:space="preserve"> </w:t>
      </w:r>
      <w:r w:rsidRPr="00E27443">
        <w:t>authorities</w:t>
      </w:r>
      <w:r w:rsidR="00C63F8F" w:rsidRPr="00E27443">
        <w:t xml:space="preserve"> </w:t>
      </w:r>
      <w:r w:rsidRPr="00E27443">
        <w:t>with</w:t>
      </w:r>
      <w:r w:rsidR="00C63F8F" w:rsidRPr="00E27443">
        <w:t xml:space="preserve"> </w:t>
      </w:r>
      <w:r w:rsidRPr="00E27443">
        <w:t>specific</w:t>
      </w:r>
      <w:r w:rsidR="00C63F8F" w:rsidRPr="00E27443">
        <w:t xml:space="preserve"> </w:t>
      </w:r>
      <w:r w:rsidRPr="00E27443">
        <w:t>assignments.</w:t>
      </w:r>
      <w:r w:rsidR="00C63F8F" w:rsidRPr="00E27443">
        <w:t xml:space="preserve"> </w:t>
      </w:r>
      <w:r w:rsidRPr="00E27443">
        <w:t>In</w:t>
      </w:r>
      <w:r w:rsidR="00C63F8F" w:rsidRPr="00E27443">
        <w:t xml:space="preserve"> </w:t>
      </w:r>
      <w:r w:rsidRPr="00E27443">
        <w:t>addition</w:t>
      </w:r>
      <w:r w:rsidR="00C63F8F" w:rsidRPr="00E27443">
        <w:t xml:space="preserve"> </w:t>
      </w:r>
      <w:r w:rsidRPr="00E27443">
        <w:t>to</w:t>
      </w:r>
      <w:r w:rsidR="00C63F8F" w:rsidRPr="00E27443">
        <w:t xml:space="preserve"> </w:t>
      </w:r>
      <w:r w:rsidRPr="00E27443">
        <w:t>giving</w:t>
      </w:r>
      <w:r w:rsidR="00C63F8F" w:rsidRPr="00E27443">
        <w:t xml:space="preserve"> </w:t>
      </w:r>
      <w:r w:rsidRPr="00E27443">
        <w:t>assignments</w:t>
      </w:r>
      <w:r w:rsidR="00C63F8F" w:rsidRPr="00E27443">
        <w:t xml:space="preserve"> </w:t>
      </w:r>
      <w:r w:rsidRPr="00E27443">
        <w:t>to</w:t>
      </w:r>
      <w:r w:rsidR="00C63F8F" w:rsidRPr="00E27443">
        <w:t xml:space="preserve"> </w:t>
      </w:r>
      <w:r w:rsidRPr="00E27443">
        <w:t>authorities</w:t>
      </w:r>
      <w:r w:rsidR="00C63F8F" w:rsidRPr="00E27443">
        <w:t xml:space="preserve"> </w:t>
      </w:r>
      <w:r w:rsidRPr="00E27443">
        <w:t>with</w:t>
      </w:r>
      <w:r w:rsidR="00C63F8F" w:rsidRPr="00E27443">
        <w:t xml:space="preserve"> </w:t>
      </w:r>
      <w:r w:rsidRPr="00E27443">
        <w:t>national</w:t>
      </w:r>
      <w:r w:rsidR="00C63F8F" w:rsidRPr="00E27443">
        <w:t xml:space="preserve"> </w:t>
      </w:r>
      <w:r w:rsidRPr="00E27443">
        <w:t>sectoral</w:t>
      </w:r>
      <w:r w:rsidR="00C63F8F" w:rsidRPr="00E27443">
        <w:t xml:space="preserve"> </w:t>
      </w:r>
      <w:r w:rsidRPr="00E27443">
        <w:t>responsibility,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also</w:t>
      </w:r>
      <w:r w:rsidR="00C63F8F" w:rsidRPr="00E27443">
        <w:t xml:space="preserve"> </w:t>
      </w:r>
      <w:r w:rsidRPr="00E27443">
        <w:t>prioritised</w:t>
      </w:r>
      <w:r w:rsidR="00C63F8F" w:rsidRPr="00E27443">
        <w:t xml:space="preserve"> </w:t>
      </w:r>
      <w:r w:rsidRPr="00E27443">
        <w:t>the</w:t>
      </w:r>
      <w:r w:rsidR="00C63F8F" w:rsidRPr="00E27443">
        <w:t xml:space="preserve"> </w:t>
      </w:r>
      <w:r w:rsidRPr="00E27443">
        <w:t>issue</w:t>
      </w:r>
      <w:r w:rsidR="00C63F8F" w:rsidRPr="00E27443">
        <w:t xml:space="preserve"> </w:t>
      </w:r>
      <w:r w:rsidRPr="00E27443">
        <w:t>of</w:t>
      </w:r>
      <w:r w:rsidR="00C63F8F" w:rsidRPr="00E27443">
        <w:t xml:space="preserve"> </w:t>
      </w:r>
      <w:r w:rsidRPr="00E27443">
        <w:t>international</w:t>
      </w:r>
      <w:r w:rsidR="00C63F8F" w:rsidRPr="00E27443">
        <w:t xml:space="preserve"> </w:t>
      </w:r>
      <w:r w:rsidRPr="00E27443">
        <w:t>development</w:t>
      </w:r>
      <w:r w:rsidR="00C63F8F" w:rsidRPr="00E27443">
        <w:t xml:space="preserve"> </w:t>
      </w:r>
      <w:r w:rsidRPr="00E27443">
        <w:t>collaboration.</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commissioned</w:t>
      </w:r>
      <w:r w:rsidR="00C63F8F" w:rsidRPr="00E27443">
        <w:t xml:space="preserve"> </w:t>
      </w:r>
      <w:r w:rsidRPr="00E27443">
        <w:t>th</w:t>
      </w:r>
      <w:r w:rsidR="00C63F8F" w:rsidRPr="00E27443">
        <w:t xml:space="preserve">e </w:t>
      </w:r>
      <w:r w:rsidR="00C63F8F" w:rsidRPr="00E27443">
        <w:rPr>
          <w:i/>
        </w:rPr>
        <w:t>Swedish International Develop</w:t>
      </w:r>
      <w:r w:rsidRPr="00E27443">
        <w:rPr>
          <w:i/>
        </w:rPr>
        <w:t>ment</w:t>
      </w:r>
      <w:r w:rsidR="00C63F8F" w:rsidRPr="00E27443">
        <w:rPr>
          <w:i/>
        </w:rPr>
        <w:t xml:space="preserve"> </w:t>
      </w:r>
      <w:r w:rsidRPr="00E27443">
        <w:rPr>
          <w:i/>
        </w:rPr>
        <w:t>Co-operation</w:t>
      </w:r>
      <w:r w:rsidR="00C63F8F" w:rsidRPr="00E27443">
        <w:rPr>
          <w:i/>
        </w:rPr>
        <w:t xml:space="preserve"> </w:t>
      </w:r>
      <w:r w:rsidRPr="00E27443">
        <w:rPr>
          <w:i/>
        </w:rPr>
        <w:t>Agency</w:t>
      </w:r>
      <w:r w:rsidR="00C63F8F" w:rsidRPr="00E27443">
        <w:t xml:space="preserve"> </w:t>
      </w:r>
      <w:r w:rsidRPr="00E27443">
        <w:t>(Sida)</w:t>
      </w:r>
      <w:r w:rsidR="00C63F8F" w:rsidRPr="00E27443">
        <w:t xml:space="preserve"> </w:t>
      </w:r>
      <w:r w:rsidRPr="00E27443">
        <w:t>to</w:t>
      </w:r>
      <w:r w:rsidR="00C63F8F" w:rsidRPr="00E27443">
        <w:t xml:space="preserve"> </w:t>
      </w:r>
      <w:r w:rsidRPr="00E27443">
        <w:t>draw</w:t>
      </w:r>
      <w:r w:rsidR="00C63F8F" w:rsidRPr="00E27443">
        <w:t xml:space="preserve"> </w:t>
      </w:r>
      <w:r w:rsidRPr="00E27443">
        <w:t>up</w:t>
      </w:r>
      <w:r w:rsidR="00C63F8F" w:rsidRPr="00E27443">
        <w:t xml:space="preserve"> </w:t>
      </w:r>
      <w:r w:rsidRPr="00E27443">
        <w:t>a</w:t>
      </w:r>
      <w:r w:rsidR="00C63F8F" w:rsidRPr="00E27443">
        <w:t xml:space="preserve"> </w:t>
      </w:r>
      <w:r w:rsidRPr="00E27443">
        <w:t>plan</w:t>
      </w:r>
      <w:r w:rsidR="00C63F8F" w:rsidRPr="00E27443">
        <w:t xml:space="preserve"> </w:t>
      </w:r>
      <w:r w:rsidRPr="00E27443">
        <w:t>regarding</w:t>
      </w:r>
      <w:r w:rsidR="00C63F8F" w:rsidRPr="00E27443">
        <w:t xml:space="preserve"> </w:t>
      </w:r>
      <w:r w:rsidRPr="00E27443">
        <w:t>how</w:t>
      </w:r>
      <w:r w:rsidR="00C63F8F" w:rsidRPr="00E27443">
        <w:t xml:space="preserve"> </w:t>
      </w:r>
      <w:r w:rsidRPr="00E27443">
        <w:t>the</w:t>
      </w:r>
      <w:r w:rsidR="00C63F8F" w:rsidRPr="00E27443">
        <w:t xml:space="preserve"> </w:t>
      </w:r>
      <w:r w:rsidRPr="00E27443">
        <w:t>Agency</w:t>
      </w:r>
      <w:r w:rsidR="00C63F8F" w:rsidRPr="00E27443">
        <w:t xml:space="preserve"> </w:t>
      </w:r>
      <w:r w:rsidRPr="00E27443">
        <w:t>intends</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27443">
        <w:t>observance</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is</w:t>
      </w:r>
      <w:r w:rsidR="00C63F8F" w:rsidRPr="00E27443">
        <w:t xml:space="preserve"> </w:t>
      </w:r>
      <w:r w:rsidRPr="00E27443">
        <w:t>included</w:t>
      </w:r>
      <w:r w:rsidR="00C63F8F" w:rsidRPr="00E27443">
        <w:t xml:space="preserve"> </w:t>
      </w:r>
      <w:r w:rsidRPr="00E27443">
        <w:t>in</w:t>
      </w:r>
      <w:r w:rsidR="00C63F8F" w:rsidRPr="00E27443">
        <w:t xml:space="preserve"> </w:t>
      </w:r>
      <w:r w:rsidRPr="00E27443">
        <w:t>Sida</w:t>
      </w:r>
      <w:r w:rsidR="00C63F8F" w:rsidRPr="00E27443">
        <w:t>’</w:t>
      </w:r>
      <w:r w:rsidRPr="00E27443">
        <w:t>s</w:t>
      </w:r>
      <w:r w:rsidR="00C63F8F" w:rsidRPr="00E27443">
        <w:t xml:space="preserve"> </w:t>
      </w:r>
      <w:r w:rsidRPr="00E27443">
        <w:t>internal</w:t>
      </w:r>
      <w:r w:rsidR="00C63F8F" w:rsidRPr="00E27443">
        <w:t xml:space="preserve"> </w:t>
      </w:r>
      <w:r w:rsidRPr="00E27443">
        <w:t>work,</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in</w:t>
      </w:r>
      <w:r w:rsidR="00C63F8F" w:rsidRPr="00E27443">
        <w:t xml:space="preserve"> </w:t>
      </w:r>
      <w:r w:rsidRPr="00E27443">
        <w:t>the</w:t>
      </w:r>
      <w:r w:rsidR="00C63F8F" w:rsidRPr="00E27443">
        <w:t xml:space="preserve"> </w:t>
      </w:r>
      <w:r w:rsidRPr="00E27443">
        <w:t>bilateral</w:t>
      </w:r>
      <w:r w:rsidR="00C63F8F" w:rsidRPr="00E27443">
        <w:t xml:space="preserve"> </w:t>
      </w:r>
      <w:r w:rsidRPr="00E27443">
        <w:t>development</w:t>
      </w:r>
      <w:r w:rsidR="00C63F8F" w:rsidRPr="00E27443">
        <w:t xml:space="preserve"> </w:t>
      </w:r>
      <w:r w:rsidRPr="00E27443">
        <w:t>co-operation.</w:t>
      </w:r>
      <w:r w:rsidR="00C63F8F" w:rsidRPr="00E27443">
        <w:t xml:space="preserve"> </w:t>
      </w:r>
      <w:r w:rsidRPr="00E27443">
        <w:t>See</w:t>
      </w:r>
      <w:r w:rsidR="00C63F8F" w:rsidRPr="00E27443">
        <w:t xml:space="preserve"> </w:t>
      </w:r>
      <w:r w:rsidRPr="00E27443">
        <w:t>Article</w:t>
      </w:r>
      <w:r w:rsidR="00C63F8F" w:rsidRPr="00E27443">
        <w:t xml:space="preserve"> </w:t>
      </w:r>
      <w:r w:rsidRPr="00E27443">
        <w:t>32.</w:t>
      </w:r>
    </w:p>
    <w:p w:rsidR="00321ADA" w:rsidRPr="00E27443" w:rsidRDefault="00321ADA" w:rsidP="00EF17DF">
      <w:pPr>
        <w:pStyle w:val="SingleTxtG"/>
        <w:numPr>
          <w:ilvl w:val="0"/>
          <w:numId w:val="20"/>
        </w:numPr>
        <w:tabs>
          <w:tab w:val="left" w:pos="1843"/>
        </w:tabs>
        <w:ind w:left="1134" w:firstLine="0"/>
      </w:pPr>
      <w:r w:rsidRPr="00E27443">
        <w:t>Sweden</w:t>
      </w:r>
      <w:r w:rsidR="00C63F8F" w:rsidRPr="00E27443">
        <w:t xml:space="preserve"> </w:t>
      </w:r>
      <w:r w:rsidRPr="00E27443">
        <w:t>fully</w:t>
      </w:r>
      <w:r w:rsidR="00C63F8F" w:rsidRPr="00E27443">
        <w:t xml:space="preserve"> </w:t>
      </w:r>
      <w:r w:rsidRPr="00E27443">
        <w:t>satisfies</w:t>
      </w:r>
      <w:r w:rsidR="00C63F8F" w:rsidRPr="00E27443">
        <w:t xml:space="preserve"> </w:t>
      </w:r>
      <w:r w:rsidRPr="00E27443">
        <w:t>the</w:t>
      </w:r>
      <w:r w:rsidR="00C63F8F" w:rsidRPr="00E27443">
        <w:t xml:space="preserve"> </w:t>
      </w:r>
      <w:r w:rsidRPr="00E27443">
        <w:t>demands</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regarding</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can</w:t>
      </w:r>
      <w:r w:rsidR="00C63F8F" w:rsidRPr="00E27443">
        <w:t xml:space="preserve"> </w:t>
      </w:r>
      <w:r w:rsidRPr="00E27443">
        <w:t>be</w:t>
      </w:r>
      <w:r w:rsidR="00C63F8F" w:rsidRPr="00E27443">
        <w:t xml:space="preserve"> </w:t>
      </w:r>
      <w:r w:rsidRPr="00E27443">
        <w:t>deemed</w:t>
      </w:r>
      <w:r w:rsidR="00C63F8F" w:rsidRPr="00E27443">
        <w:t xml:space="preserve"> </w:t>
      </w:r>
      <w:r w:rsidRPr="00E27443">
        <w:t>to</w:t>
      </w:r>
      <w:r w:rsidR="00C63F8F" w:rsidRPr="00E27443">
        <w:t xml:space="preserve"> </w:t>
      </w:r>
      <w:r w:rsidRPr="00E27443">
        <w:t>be</w:t>
      </w:r>
      <w:r w:rsidR="00C63F8F" w:rsidRPr="00E27443">
        <w:t xml:space="preserve"> </w:t>
      </w:r>
      <w:r w:rsidRPr="00E27443">
        <w:t>absolute,</w:t>
      </w:r>
      <w:r w:rsidR="00C63F8F" w:rsidRPr="00E27443">
        <w:t xml:space="preserve"> </w:t>
      </w:r>
      <w:r w:rsidRPr="00E27443">
        <w:t>the</w:t>
      </w:r>
      <w:r w:rsidR="00C63F8F" w:rsidRPr="00E27443">
        <w:t xml:space="preserve"> </w:t>
      </w:r>
      <w:r w:rsidRPr="00E27443">
        <w:t>areas</w:t>
      </w:r>
      <w:r w:rsidR="00C63F8F" w:rsidRPr="00E27443">
        <w:t xml:space="preserve"> </w:t>
      </w:r>
      <w:r w:rsidRPr="00E27443">
        <w:t>where</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requires</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must,</w:t>
      </w:r>
      <w:r w:rsidR="00C63F8F" w:rsidRPr="00E27443">
        <w:t xml:space="preserve"> </w:t>
      </w:r>
      <w:r w:rsidRPr="00E27443">
        <w:t>without</w:t>
      </w:r>
      <w:r w:rsidR="00C63F8F" w:rsidRPr="00E27443">
        <w:t xml:space="preserve"> </w:t>
      </w:r>
      <w:r w:rsidRPr="00E27443">
        <w:t>exception,</w:t>
      </w:r>
      <w:r w:rsidR="00C63F8F" w:rsidRPr="00E27443">
        <w:t xml:space="preserve"> </w:t>
      </w:r>
      <w:r w:rsidRPr="00E27443">
        <w:t>have</w:t>
      </w:r>
      <w:r w:rsidR="00C63F8F" w:rsidRPr="00E27443">
        <w:t xml:space="preserve"> </w:t>
      </w:r>
      <w:r w:rsidRPr="00E27443">
        <w:t>the</w:t>
      </w:r>
      <w:r w:rsidR="00C63F8F" w:rsidRPr="00E27443">
        <w:t xml:space="preserve"> </w:t>
      </w:r>
      <w:r w:rsidRPr="00E27443">
        <w:t>same</w:t>
      </w:r>
      <w:r w:rsidR="00C63F8F" w:rsidRPr="00E27443">
        <w:t xml:space="preserve"> </w:t>
      </w:r>
      <w:r w:rsidRPr="00E27443">
        <w:t>rights</w:t>
      </w:r>
      <w:r w:rsidR="00C63F8F" w:rsidRPr="00E27443">
        <w:t xml:space="preserve"> </w:t>
      </w:r>
      <w:r w:rsidRPr="00E27443">
        <w:t>guaranteed</w:t>
      </w:r>
      <w:r w:rsidR="00C63F8F" w:rsidRPr="00E27443">
        <w:t xml:space="preserve"> </w:t>
      </w:r>
      <w:r w:rsidRPr="00E27443">
        <w:t>in</w:t>
      </w:r>
      <w:r w:rsidR="00C63F8F" w:rsidRPr="00E27443">
        <w:t xml:space="preserve"> </w:t>
      </w:r>
      <w:r w:rsidRPr="00E27443">
        <w:t>law.</w:t>
      </w:r>
      <w:r w:rsidR="00C63F8F" w:rsidRPr="00E27443">
        <w:t xml:space="preserve"> </w:t>
      </w:r>
      <w:r w:rsidRPr="00E27443">
        <w:t>This</w:t>
      </w:r>
      <w:r w:rsidR="00C63F8F" w:rsidRPr="00E27443">
        <w:t xml:space="preserve"> </w:t>
      </w:r>
      <w:r w:rsidRPr="00E27443">
        <w:t>applies</w:t>
      </w:r>
      <w:r w:rsidR="00C63F8F" w:rsidRPr="00E27443">
        <w:t xml:space="preserve"> </w:t>
      </w:r>
      <w:r w:rsidRPr="00E27443">
        <w:t>for</w:t>
      </w:r>
      <w:r w:rsidR="00C63F8F" w:rsidRPr="00E27443">
        <w:t xml:space="preserve"> </w:t>
      </w:r>
      <w:r w:rsidRPr="00E27443">
        <w:t>example</w:t>
      </w:r>
      <w:r w:rsidR="00C63F8F" w:rsidRPr="00E27443">
        <w:t xml:space="preserve"> </w:t>
      </w:r>
      <w:r w:rsidRPr="00E27443">
        <w:t>to</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life,</w:t>
      </w:r>
      <w:r w:rsidR="00C63F8F" w:rsidRPr="00E27443">
        <w:t xml:space="preserve"> </w:t>
      </w:r>
      <w:r w:rsidRPr="00E27443">
        <w:t>liberty</w:t>
      </w:r>
      <w:r w:rsidR="00C63F8F" w:rsidRPr="00E27443">
        <w:t xml:space="preserve"> </w:t>
      </w:r>
      <w:r w:rsidRPr="00E27443">
        <w:t>and</w:t>
      </w:r>
      <w:r w:rsidR="00C63F8F" w:rsidRPr="00E27443">
        <w:t xml:space="preserve"> </w:t>
      </w:r>
      <w:r w:rsidRPr="00E27443">
        <w:t>personal</w:t>
      </w:r>
      <w:r w:rsidR="00C63F8F" w:rsidRPr="00E27443">
        <w:t xml:space="preserve"> </w:t>
      </w:r>
      <w:r w:rsidRPr="00E27443">
        <w:t>security</w:t>
      </w:r>
      <w:r w:rsidR="00C63F8F" w:rsidRPr="00E27443">
        <w:t xml:space="preserve"> </w:t>
      </w:r>
      <w:r w:rsidRPr="00E27443">
        <w:t>in</w:t>
      </w:r>
      <w:r w:rsidR="00C63F8F" w:rsidRPr="00E27443">
        <w:t xml:space="preserve"> </w:t>
      </w:r>
      <w:r w:rsidRPr="00E27443">
        <w:t>Articles</w:t>
      </w:r>
      <w:r w:rsidR="00C63F8F" w:rsidRPr="00E27443">
        <w:t xml:space="preserve"> </w:t>
      </w:r>
      <w:r w:rsidRPr="00E27443">
        <w:t>10–14,</w:t>
      </w:r>
      <w:r w:rsidR="00C63F8F" w:rsidRPr="00E27443">
        <w:t xml:space="preserve"> </w:t>
      </w:r>
      <w:r w:rsidRPr="00E27443">
        <w:t>the</w:t>
      </w:r>
      <w:r w:rsidR="00C63F8F" w:rsidRPr="00E27443">
        <w:t xml:space="preserve"> </w:t>
      </w:r>
      <w:r w:rsidRPr="00E27443">
        <w:t>right</w:t>
      </w:r>
      <w:r w:rsidR="00C63F8F" w:rsidRPr="00E27443">
        <w:t xml:space="preserve"> </w:t>
      </w:r>
      <w:r w:rsidRPr="00E27443">
        <w:t>not</w:t>
      </w:r>
      <w:r w:rsidR="00C63F8F" w:rsidRPr="00E27443">
        <w:t xml:space="preserve"> </w:t>
      </w:r>
      <w:r w:rsidRPr="00E27443">
        <w:t>to</w:t>
      </w:r>
      <w:r w:rsidR="00C63F8F" w:rsidRPr="00E27443">
        <w:t xml:space="preserve"> </w:t>
      </w:r>
      <w:r w:rsidRPr="00E27443">
        <w:t>be</w:t>
      </w:r>
      <w:r w:rsidR="00C63F8F" w:rsidRPr="00E27443">
        <w:t xml:space="preserve"> </w:t>
      </w:r>
      <w:r w:rsidRPr="00E27443">
        <w:t>subjected</w:t>
      </w:r>
      <w:r w:rsidR="00C63F8F" w:rsidRPr="00E27443">
        <w:t xml:space="preserve"> </w:t>
      </w:r>
      <w:r w:rsidRPr="00E27443">
        <w:t>to</w:t>
      </w:r>
      <w:r w:rsidR="00C63F8F" w:rsidRPr="00E27443">
        <w:t xml:space="preserve"> </w:t>
      </w:r>
      <w:r w:rsidRPr="00E27443">
        <w:t>torture,</w:t>
      </w:r>
      <w:r w:rsidR="00C63F8F" w:rsidRPr="00E27443">
        <w:t xml:space="preserve"> </w:t>
      </w:r>
      <w:r w:rsidRPr="00E27443">
        <w:t>violence</w:t>
      </w:r>
      <w:r w:rsidR="00C63F8F" w:rsidRPr="00E27443">
        <w:t xml:space="preserve"> </w:t>
      </w:r>
      <w:r w:rsidRPr="00E27443">
        <w:t>or</w:t>
      </w:r>
      <w:r w:rsidR="00C63F8F" w:rsidRPr="00E27443">
        <w:t xml:space="preserve"> </w:t>
      </w:r>
      <w:r w:rsidRPr="00E27443">
        <w:t>abuse</w:t>
      </w:r>
      <w:r w:rsidR="00C63F8F" w:rsidRPr="00E27443">
        <w:t xml:space="preserve"> </w:t>
      </w:r>
      <w:r w:rsidRPr="00E27443">
        <w:t>in</w:t>
      </w:r>
      <w:r w:rsidR="00C63F8F" w:rsidRPr="00E27443">
        <w:t xml:space="preserve"> </w:t>
      </w:r>
      <w:r w:rsidRPr="00E27443">
        <w:t>Articles</w:t>
      </w:r>
      <w:r w:rsidR="00C63F8F" w:rsidRPr="00E27443">
        <w:t xml:space="preserve"> </w:t>
      </w:r>
      <w:r w:rsidRPr="00E27443">
        <w:t>15–17,</w:t>
      </w:r>
      <w:r w:rsidR="00C63F8F" w:rsidRPr="00E27443">
        <w:t xml:space="preserve"> </w:t>
      </w:r>
      <w:r w:rsidRPr="00E27443">
        <w:t>or</w:t>
      </w:r>
      <w:r w:rsidR="00C63F8F" w:rsidRPr="00E27443">
        <w:t xml:space="preserve"> </w:t>
      </w:r>
      <w:r w:rsidRPr="00E27443">
        <w:t>the</w:t>
      </w:r>
      <w:r w:rsidR="00C63F8F" w:rsidRPr="00E27443">
        <w:t xml:space="preserve"> </w:t>
      </w:r>
      <w:r w:rsidRPr="00E27443">
        <w:t>respect</w:t>
      </w:r>
      <w:r w:rsidR="00C63F8F" w:rsidRPr="00E27443">
        <w:t xml:space="preserve"> </w:t>
      </w:r>
      <w:r w:rsidRPr="00E27443">
        <w:t>for</w:t>
      </w:r>
      <w:r w:rsidR="00C63F8F" w:rsidRPr="00E27443">
        <w:t xml:space="preserve"> </w:t>
      </w:r>
      <w:r w:rsidRPr="00E27443">
        <w:t>home</w:t>
      </w:r>
      <w:r w:rsidR="00C63F8F" w:rsidRPr="00E27443">
        <w:t xml:space="preserve"> </w:t>
      </w:r>
      <w:r w:rsidRPr="00E27443">
        <w:t>and</w:t>
      </w:r>
      <w:r w:rsidR="00C63F8F" w:rsidRPr="00E27443">
        <w:t xml:space="preserve"> </w:t>
      </w:r>
      <w:r w:rsidRPr="00E27443">
        <w:t>the</w:t>
      </w:r>
      <w:r w:rsidR="00C63F8F" w:rsidRPr="00E27443">
        <w:t xml:space="preserve"> </w:t>
      </w:r>
      <w:r w:rsidRPr="00E27443">
        <w:t>family</w:t>
      </w:r>
      <w:r w:rsidR="00C63F8F" w:rsidRPr="00E27443">
        <w:t xml:space="preserve"> </w:t>
      </w:r>
      <w:r w:rsidRPr="00E27443">
        <w:t>in</w:t>
      </w:r>
      <w:r w:rsidR="00C63F8F" w:rsidRPr="00E27443">
        <w:t xml:space="preserve"> </w:t>
      </w:r>
      <w:r w:rsidRPr="00E27443">
        <w:t>Article</w:t>
      </w:r>
      <w:r w:rsidR="00C63F8F" w:rsidRPr="00E27443">
        <w:t xml:space="preserve"> </w:t>
      </w:r>
      <w:r w:rsidRPr="00E27443">
        <w:t>23.</w:t>
      </w:r>
    </w:p>
    <w:p w:rsidR="00321ADA" w:rsidRPr="00E27443" w:rsidRDefault="00321ADA" w:rsidP="00EF17DF">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good</w:t>
      </w:r>
      <w:r w:rsidR="00C63F8F" w:rsidRPr="00E27443">
        <w:t xml:space="preserve"> </w:t>
      </w:r>
      <w:r w:rsidRPr="00E27443">
        <w:t>prerequisites</w:t>
      </w:r>
      <w:r w:rsidR="00C63F8F" w:rsidRPr="00E27443">
        <w:t xml:space="preserve"> </w:t>
      </w:r>
      <w:r w:rsidRPr="00E27443">
        <w:t>to</w:t>
      </w:r>
      <w:r w:rsidR="00C63F8F" w:rsidRPr="00E27443">
        <w:t xml:space="preserve"> </w:t>
      </w:r>
      <w:r w:rsidRPr="00E27443">
        <w:t>satisfy</w:t>
      </w:r>
      <w:r w:rsidR="00C63F8F" w:rsidRPr="00E27443">
        <w:t xml:space="preserve"> </w:t>
      </w:r>
      <w:r w:rsidRPr="00E27443">
        <w:t>the</w:t>
      </w:r>
      <w:r w:rsidR="00C63F8F" w:rsidRPr="00E27443">
        <w:t xml:space="preserve"> </w:t>
      </w:r>
      <w:r w:rsidRPr="00E27443">
        <w:t>requirements</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although</w:t>
      </w:r>
      <w:r w:rsidR="00C63F8F" w:rsidRPr="00E27443">
        <w:t xml:space="preserve"> </w:t>
      </w:r>
      <w:r w:rsidRPr="00E27443">
        <w:t>there</w:t>
      </w:r>
      <w:r w:rsidR="00C63F8F" w:rsidRPr="00E27443">
        <w:t xml:space="preserve"> </w:t>
      </w:r>
      <w:r w:rsidRPr="00E27443">
        <w:t>are</w:t>
      </w:r>
      <w:r w:rsidR="00C63F8F" w:rsidRPr="00E27443">
        <w:t xml:space="preserve"> </w:t>
      </w:r>
      <w:r w:rsidRPr="00E27443">
        <w:t>areas</w:t>
      </w:r>
      <w:r w:rsidR="00C63F8F" w:rsidRPr="00E27443">
        <w:t xml:space="preserve"> </w:t>
      </w:r>
      <w:r w:rsidRPr="00E27443">
        <w:t>where</w:t>
      </w:r>
      <w:r w:rsidR="00C63F8F" w:rsidRPr="00E27443">
        <w:t xml:space="preserve"> </w:t>
      </w:r>
      <w:r w:rsidRPr="00E27443">
        <w:t>a</w:t>
      </w:r>
      <w:r w:rsidR="00C63F8F" w:rsidRPr="00E27443">
        <w:t xml:space="preserve"> </w:t>
      </w:r>
      <w:r w:rsidRPr="00E27443">
        <w:t>considerable</w:t>
      </w:r>
      <w:r w:rsidR="00C63F8F" w:rsidRPr="00E27443">
        <w:t xml:space="preserve"> </w:t>
      </w:r>
      <w:r w:rsidRPr="00E27443">
        <w:t>amount</w:t>
      </w:r>
      <w:r w:rsidR="00C63F8F" w:rsidRPr="00E27443">
        <w:t xml:space="preserve"> </w:t>
      </w:r>
      <w:r w:rsidRPr="00E27443">
        <w:t>of</w:t>
      </w:r>
      <w:r w:rsidR="00C63F8F" w:rsidRPr="00E27443">
        <w:t xml:space="preserve"> </w:t>
      </w:r>
      <w:r w:rsidRPr="00E27443">
        <w:t>work</w:t>
      </w:r>
      <w:r w:rsidR="00C63F8F" w:rsidRPr="00E27443">
        <w:t xml:space="preserve"> </w:t>
      </w:r>
      <w:r w:rsidRPr="00E27443">
        <w:t>still</w:t>
      </w:r>
      <w:r w:rsidR="00C63F8F" w:rsidRPr="00E27443">
        <w:t xml:space="preserve"> </w:t>
      </w:r>
      <w:r w:rsidRPr="00E27443">
        <w:t>remains</w:t>
      </w:r>
      <w:r w:rsidR="00C63F8F" w:rsidRPr="00E27443">
        <w:t xml:space="preserve"> </w:t>
      </w:r>
      <w:r w:rsidRPr="00E27443">
        <w:t>before</w:t>
      </w:r>
      <w:r w:rsidR="00C63F8F" w:rsidRPr="00E27443">
        <w:t xml:space="preserve"> </w:t>
      </w:r>
      <w:r w:rsidRPr="00E27443">
        <w:t>the</w:t>
      </w:r>
      <w:r w:rsidR="00C63F8F" w:rsidRPr="00E27443">
        <w:t xml:space="preserve"> </w:t>
      </w:r>
      <w:r w:rsidRPr="00E27443">
        <w:t>goals</w:t>
      </w:r>
      <w:r w:rsidR="00C63F8F" w:rsidRPr="00E27443">
        <w:t xml:space="preserve"> </w:t>
      </w:r>
      <w:r w:rsidRPr="00E27443">
        <w:t>and</w:t>
      </w:r>
      <w:r w:rsidR="00C63F8F" w:rsidRPr="00E27443">
        <w:t xml:space="preserve"> </w:t>
      </w:r>
      <w:r w:rsidRPr="00E27443">
        <w:t>requirements</w:t>
      </w:r>
      <w:r w:rsidR="00C63F8F" w:rsidRPr="00E27443">
        <w:t xml:space="preserve"> </w:t>
      </w:r>
      <w:r w:rsidRPr="00E27443">
        <w:t>pursuant</w:t>
      </w:r>
      <w:r w:rsidR="00C63F8F" w:rsidRPr="00E27443">
        <w:t xml:space="preserve"> </w:t>
      </w:r>
      <w:r w:rsidRPr="00E27443">
        <w:t>to</w:t>
      </w:r>
      <w:r w:rsidR="00C63F8F" w:rsidRPr="00E27443">
        <w:t xml:space="preserve"> </w:t>
      </w:r>
      <w:r w:rsidRPr="00E27443">
        <w:t>current</w:t>
      </w:r>
      <w:r w:rsidR="00C63F8F" w:rsidRPr="00E27443">
        <w:t xml:space="preserve"> </w:t>
      </w:r>
      <w:r w:rsidRPr="00E27443">
        <w:t>legislation</w:t>
      </w:r>
      <w:r w:rsidR="00C63F8F" w:rsidRPr="00E27443">
        <w:t xml:space="preserve"> </w:t>
      </w:r>
      <w:r w:rsidRPr="00E27443">
        <w:t>can</w:t>
      </w:r>
      <w:r w:rsidR="00C63F8F" w:rsidRPr="00E27443">
        <w:t xml:space="preserve"> </w:t>
      </w:r>
      <w:r w:rsidRPr="00E27443">
        <w:t>be</w:t>
      </w:r>
      <w:r w:rsidR="00C63F8F" w:rsidRPr="00E27443">
        <w:t xml:space="preserve"> </w:t>
      </w:r>
      <w:r w:rsidRPr="00E27443">
        <w:t>deemed</w:t>
      </w:r>
      <w:r w:rsidR="00C63F8F" w:rsidRPr="00E27443">
        <w:t xml:space="preserve"> </w:t>
      </w:r>
      <w:r w:rsidRPr="00E27443">
        <w:t>to</w:t>
      </w:r>
      <w:r w:rsidR="00C63F8F" w:rsidRPr="00E27443">
        <w:t xml:space="preserve"> </w:t>
      </w:r>
      <w:r w:rsidRPr="00E27443">
        <w:t>be</w:t>
      </w:r>
      <w:r w:rsidR="00C63F8F" w:rsidRPr="00E27443">
        <w:t xml:space="preserve"> </w:t>
      </w:r>
      <w:r w:rsidRPr="00E27443">
        <w:t>satisfied.</w:t>
      </w:r>
      <w:r w:rsidR="00C63F8F" w:rsidRPr="00E27443">
        <w:t xml:space="preserve"> </w:t>
      </w:r>
      <w:r w:rsidRPr="00E27443">
        <w:t>This</w:t>
      </w:r>
      <w:r w:rsidR="00C63F8F" w:rsidRPr="00E27443">
        <w:t xml:space="preserve"> </w:t>
      </w:r>
      <w:r w:rsidRPr="00E27443">
        <w:t>applies</w:t>
      </w:r>
      <w:r w:rsidR="00C63F8F" w:rsidRPr="00E27443">
        <w:t xml:space="preserve"> </w:t>
      </w:r>
      <w:r w:rsidRPr="00E27443">
        <w:t>for</w:t>
      </w:r>
      <w:r w:rsidR="00C63F8F" w:rsidRPr="00E27443">
        <w:t xml:space="preserve"> </w:t>
      </w:r>
      <w:r w:rsidRPr="00E27443">
        <w:t>instance</w:t>
      </w:r>
      <w:r w:rsidR="00C63F8F" w:rsidRPr="00E27443">
        <w:t xml:space="preserve"> </w:t>
      </w:r>
      <w:r w:rsidRPr="00E27443">
        <w:t>to</w:t>
      </w:r>
      <w:r w:rsidR="00C63F8F" w:rsidRPr="00E27443">
        <w:t xml:space="preserve"> </w:t>
      </w:r>
      <w:r w:rsidRPr="00E27443">
        <w:t>the</w:t>
      </w:r>
      <w:r w:rsidR="00C63F8F" w:rsidRPr="00E27443">
        <w:t xml:space="preserve"> </w:t>
      </w:r>
      <w:r w:rsidRPr="00E27443">
        <w:t>undertakings</w:t>
      </w:r>
      <w:r w:rsidR="00C63F8F" w:rsidRPr="00E27443">
        <w:t xml:space="preserve"> </w:t>
      </w:r>
      <w:r w:rsidRPr="00E27443">
        <w:t>included</w:t>
      </w:r>
      <w:r w:rsidR="00C63F8F" w:rsidRPr="00E27443">
        <w:t xml:space="preserve"> </w:t>
      </w:r>
      <w:r w:rsidRPr="00E27443">
        <w:t>in</w:t>
      </w:r>
      <w:r w:rsidR="00C63F8F" w:rsidRPr="00E27443">
        <w:t xml:space="preserve"> </w:t>
      </w:r>
      <w:r w:rsidRPr="00E27443">
        <w:t>Articles</w:t>
      </w:r>
      <w:r w:rsidR="00C63F8F" w:rsidRPr="00E27443">
        <w:t xml:space="preserve"> </w:t>
      </w:r>
      <w:r w:rsidRPr="00E27443">
        <w:t>8</w:t>
      </w:r>
      <w:r w:rsidR="00C63F8F" w:rsidRPr="00E27443">
        <w:t xml:space="preserve"> </w:t>
      </w:r>
      <w:r w:rsidRPr="00E27443">
        <w:t>and</w:t>
      </w:r>
      <w:r w:rsidR="00C63F8F" w:rsidRPr="00E27443">
        <w:t xml:space="preserve"> </w:t>
      </w:r>
      <w:r w:rsidRPr="00E27443">
        <w:t>9</w:t>
      </w:r>
      <w:r w:rsidR="00C63F8F" w:rsidRPr="00E27443">
        <w:t xml:space="preserve"> </w:t>
      </w:r>
      <w:r w:rsidRPr="00E27443">
        <w:t>regarding</w:t>
      </w:r>
      <w:r w:rsidR="00C63F8F" w:rsidRPr="00E27443">
        <w:t xml:space="preserve"> </w:t>
      </w:r>
      <w:r w:rsidRPr="00E27443">
        <w:t>raising</w:t>
      </w:r>
      <w:r w:rsidR="00C63F8F" w:rsidRPr="00E27443">
        <w:t xml:space="preserve"> </w:t>
      </w:r>
      <w:r w:rsidRPr="00E27443">
        <w:t>awareness</w:t>
      </w:r>
      <w:r w:rsidR="00C63F8F" w:rsidRPr="00E27443">
        <w:t xml:space="preserve"> </w:t>
      </w:r>
      <w:r w:rsidRPr="00E27443">
        <w:t>and</w:t>
      </w:r>
      <w:r w:rsidR="00C63F8F" w:rsidRPr="00E27443">
        <w:t xml:space="preserve"> </w:t>
      </w:r>
      <w:r w:rsidRPr="00E27443">
        <w:t>accessibility,</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Article</w:t>
      </w:r>
      <w:r w:rsidR="00C63F8F" w:rsidRPr="00E27443">
        <w:t xml:space="preserve"> </w:t>
      </w:r>
      <w:r w:rsidRPr="00E27443">
        <w:t>27</w:t>
      </w:r>
      <w:r w:rsidR="00C63F8F" w:rsidRPr="00E27443">
        <w:t xml:space="preserve"> </w:t>
      </w:r>
      <w:r w:rsidRPr="00E27443">
        <w:t>regarding</w:t>
      </w:r>
      <w:r w:rsidR="00C63F8F" w:rsidRPr="00E27443">
        <w:t xml:space="preserve"> </w:t>
      </w:r>
      <w:r w:rsidRPr="00E27443">
        <w:t>work</w:t>
      </w:r>
      <w:r w:rsidR="00C63F8F" w:rsidRPr="00E27443">
        <w:t xml:space="preserve"> </w:t>
      </w:r>
      <w:r w:rsidRPr="00E27443">
        <w:t>and</w:t>
      </w:r>
      <w:r w:rsidR="00C63F8F" w:rsidRPr="00E27443">
        <w:t xml:space="preserve"> </w:t>
      </w:r>
      <w:r w:rsidRPr="00E27443">
        <w:t>employment.</w:t>
      </w:r>
    </w:p>
    <w:p w:rsidR="00321ADA" w:rsidRPr="00E27443" w:rsidRDefault="00B5579B" w:rsidP="00B5579B">
      <w:pPr>
        <w:pStyle w:val="HChG"/>
      </w:pPr>
      <w:r w:rsidRPr="00E27443">
        <w:tab/>
      </w:r>
      <w:bookmarkStart w:id="6" w:name="_Toc290623290"/>
      <w:r w:rsidR="00321ADA" w:rsidRPr="00E27443">
        <w:t>II.</w:t>
      </w:r>
      <w:r w:rsidR="00C63F8F" w:rsidRPr="00E27443">
        <w:t xml:space="preserve"> </w:t>
      </w:r>
      <w:r w:rsidRPr="00E27443">
        <w:tab/>
      </w:r>
      <w:r w:rsidR="00321ADA" w:rsidRPr="00E27443">
        <w:t>Specific</w:t>
      </w:r>
      <w:r w:rsidR="00C63F8F" w:rsidRPr="00E27443">
        <w:t xml:space="preserve"> </w:t>
      </w:r>
      <w:r w:rsidR="00321ADA" w:rsidRPr="00E27443">
        <w:t>rights</w:t>
      </w:r>
      <w:bookmarkEnd w:id="6"/>
    </w:p>
    <w:p w:rsidR="00321ADA" w:rsidRPr="00E27443" w:rsidRDefault="00B5579B" w:rsidP="00B5579B">
      <w:pPr>
        <w:pStyle w:val="H1G"/>
      </w:pPr>
      <w:r w:rsidRPr="00E27443">
        <w:tab/>
      </w:r>
      <w:r w:rsidRPr="00E27443">
        <w:tab/>
      </w:r>
      <w:bookmarkStart w:id="7" w:name="_Toc290623291"/>
      <w:r w:rsidR="00321ADA" w:rsidRPr="00E27443">
        <w:t>Article</w:t>
      </w:r>
      <w:r w:rsidR="00C63F8F" w:rsidRPr="00E27443">
        <w:t xml:space="preserve"> </w:t>
      </w:r>
      <w:r w:rsidR="00321ADA" w:rsidRPr="00E27443">
        <w:t>5</w:t>
      </w:r>
      <w:r w:rsidR="00E75253">
        <w:t xml:space="preserve">: </w:t>
      </w:r>
      <w:r w:rsidR="00321ADA" w:rsidRPr="00E27443">
        <w:t>Equality</w:t>
      </w:r>
      <w:r w:rsidR="00C63F8F" w:rsidRPr="00E27443">
        <w:t xml:space="preserve"> </w:t>
      </w:r>
      <w:r w:rsidR="00321ADA" w:rsidRPr="00E27443">
        <w:t>and</w:t>
      </w:r>
      <w:r w:rsidR="00C63F8F" w:rsidRPr="00E27443">
        <w:t xml:space="preserve"> </w:t>
      </w:r>
      <w:r w:rsidR="00321ADA" w:rsidRPr="00E27443">
        <w:t>non-discrimination</w:t>
      </w:r>
      <w:bookmarkEnd w:id="7"/>
    </w:p>
    <w:p w:rsidR="00321ADA" w:rsidRPr="00E27443" w:rsidRDefault="00321ADA" w:rsidP="00E75253">
      <w:pPr>
        <w:pStyle w:val="SingleTxtG"/>
        <w:numPr>
          <w:ilvl w:val="0"/>
          <w:numId w:val="20"/>
        </w:numPr>
        <w:tabs>
          <w:tab w:val="left" w:pos="1843"/>
        </w:tabs>
        <w:ind w:left="1134" w:firstLine="0"/>
      </w:pPr>
      <w:r w:rsidRPr="00E27443">
        <w:t>Provisions</w:t>
      </w:r>
      <w:r w:rsidR="00C63F8F" w:rsidRPr="00E27443">
        <w:t xml:space="preserve"> </w:t>
      </w:r>
      <w:r w:rsidRPr="00E27443">
        <w:t>regarding</w:t>
      </w:r>
      <w:r w:rsidR="00C63F8F" w:rsidRPr="00E27443">
        <w:t xml:space="preserve"> </w:t>
      </w:r>
      <w:r w:rsidRPr="00E27443">
        <w:t>equality</w:t>
      </w:r>
      <w:r w:rsidR="00C63F8F" w:rsidRPr="00E27443">
        <w:t xml:space="preserve"> </w:t>
      </w:r>
      <w:r w:rsidRPr="00E27443">
        <w:t>and</w:t>
      </w:r>
      <w:r w:rsidR="00C63F8F" w:rsidRPr="00E27443">
        <w:t xml:space="preserve"> </w:t>
      </w:r>
      <w:r w:rsidRPr="00E27443">
        <w:t>non-discrimination</w:t>
      </w:r>
      <w:r w:rsidR="00C63F8F" w:rsidRPr="00E27443">
        <w:t xml:space="preserve"> </w:t>
      </w:r>
      <w:r w:rsidRPr="00E27443">
        <w:t>are</w:t>
      </w:r>
      <w:r w:rsidR="00C63F8F" w:rsidRPr="00E27443">
        <w:t xml:space="preserve"> </w:t>
      </w:r>
      <w:r w:rsidRPr="00E27443">
        <w:t>included</w:t>
      </w:r>
      <w:r w:rsidR="00C63F8F" w:rsidRPr="00E27443">
        <w:t xml:space="preserve"> </w:t>
      </w:r>
      <w:r w:rsidRPr="00E27443">
        <w:t>in</w:t>
      </w:r>
      <w:r w:rsidR="00C63F8F" w:rsidRPr="00E27443">
        <w:t xml:space="preserve"> </w:t>
      </w:r>
      <w:r w:rsidRPr="00E27443">
        <w:rPr>
          <w:i/>
        </w:rPr>
        <w:t>Sweden</w:t>
      </w:r>
      <w:r w:rsidR="00C63F8F" w:rsidRPr="00E27443">
        <w:rPr>
          <w:i/>
        </w:rPr>
        <w:t>’</w:t>
      </w:r>
      <w:r w:rsidRPr="00E27443">
        <w:rPr>
          <w:i/>
        </w:rPr>
        <w:t>s</w:t>
      </w:r>
      <w:r w:rsidR="00C63F8F" w:rsidRPr="00E27443">
        <w:rPr>
          <w:i/>
        </w:rPr>
        <w:t xml:space="preserve"> </w:t>
      </w:r>
      <w:r w:rsidRPr="00E27443">
        <w:rPr>
          <w:i/>
        </w:rPr>
        <w:t>Constitution</w:t>
      </w:r>
      <w:r w:rsidRPr="00E27443">
        <w:t>.</w:t>
      </w:r>
      <w:r w:rsidR="00B5579B" w:rsidRPr="00E27443">
        <w:rPr>
          <w:rStyle w:val="FootnoteReference"/>
        </w:rPr>
        <w:footnoteReference w:id="11"/>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states</w:t>
      </w:r>
      <w:r w:rsidR="00C63F8F" w:rsidRPr="00E27443">
        <w:t xml:space="preserve"> </w:t>
      </w:r>
      <w:r w:rsidRPr="00E27443">
        <w:t>that</w:t>
      </w:r>
      <w:r w:rsidR="00C63F8F" w:rsidRPr="00E27443">
        <w:t xml:space="preserve"> </w:t>
      </w:r>
      <w:r w:rsidRPr="00E27443">
        <w:t>people</w:t>
      </w:r>
      <w:r w:rsidR="00C63F8F" w:rsidRPr="00E27443">
        <w:t xml:space="preserve"> </w:t>
      </w:r>
      <w:r w:rsidRPr="00E27443">
        <w:t>must</w:t>
      </w:r>
      <w:r w:rsidR="00C63F8F" w:rsidRPr="00E27443">
        <w:t xml:space="preserve"> </w:t>
      </w:r>
      <w:r w:rsidRPr="00E27443">
        <w:t>be</w:t>
      </w:r>
      <w:r w:rsidR="00C63F8F" w:rsidRPr="00E27443">
        <w:t xml:space="preserve"> </w:t>
      </w:r>
      <w:r w:rsidRPr="00E27443">
        <w:t>able</w:t>
      </w:r>
      <w:r w:rsidR="00C63F8F" w:rsidRPr="00E27443">
        <w:t xml:space="preserve"> </w:t>
      </w:r>
      <w:r w:rsidRPr="00E27443">
        <w:t>to</w:t>
      </w:r>
      <w:r w:rsidR="00C63F8F" w:rsidRPr="00E27443">
        <w:t xml:space="preserve"> </w:t>
      </w:r>
      <w:r w:rsidRPr="00E27443">
        <w:t>achieve</w:t>
      </w:r>
      <w:r w:rsidR="00C63F8F" w:rsidRPr="00E27443">
        <w:t xml:space="preserve"> </w:t>
      </w:r>
      <w:r w:rsidRPr="00E27443">
        <w:t>partici</w:t>
      </w:r>
      <w:r w:rsidRPr="00E27443">
        <w:softHyphen/>
        <w:t>pation</w:t>
      </w:r>
      <w:r w:rsidR="00C63F8F" w:rsidRPr="00E27443">
        <w:t xml:space="preserve"> </w:t>
      </w:r>
      <w:r w:rsidRPr="00E27443">
        <w:t>and</w:t>
      </w:r>
      <w:r w:rsidR="00C63F8F" w:rsidRPr="00E27443">
        <w:t xml:space="preserve"> </w:t>
      </w:r>
      <w:r w:rsidRPr="00E27443">
        <w:t>equality</w:t>
      </w:r>
      <w:r w:rsidR="00C63F8F" w:rsidRPr="00E27443">
        <w:t xml:space="preserve"> </w:t>
      </w:r>
      <w:r w:rsidRPr="00E27443">
        <w:t>in</w:t>
      </w:r>
      <w:r w:rsidR="00C63F8F" w:rsidRPr="00E27443">
        <w:t xml:space="preserve"> </w:t>
      </w:r>
      <w:r w:rsidRPr="00E27443">
        <w:t>society.</w:t>
      </w:r>
      <w:r w:rsidR="00C63F8F" w:rsidRPr="00E27443">
        <w:t xml:space="preserve"> </w:t>
      </w:r>
      <w:r w:rsidRPr="00E27443">
        <w:t>The</w:t>
      </w:r>
      <w:r w:rsidR="00C63F8F" w:rsidRPr="00E27443">
        <w:t xml:space="preserve"> </w:t>
      </w:r>
      <w:r w:rsidRPr="00E27443">
        <w:t>public</w:t>
      </w:r>
      <w:r w:rsidR="00C63F8F" w:rsidRPr="00E27443">
        <w:t xml:space="preserve"> </w:t>
      </w:r>
      <w:r w:rsidRPr="00E27443">
        <w:t>must</w:t>
      </w:r>
      <w:r w:rsidR="00C63F8F" w:rsidRPr="00E27443">
        <w:t xml:space="preserve"> </w:t>
      </w:r>
      <w:r w:rsidRPr="00E27443">
        <w:t>also</w:t>
      </w:r>
      <w:r w:rsidR="00C63F8F" w:rsidRPr="00E27443">
        <w:t xml:space="preserve"> </w:t>
      </w:r>
      <w:r w:rsidRPr="00E27443">
        <w:t>work</w:t>
      </w:r>
      <w:r w:rsidR="00C63F8F" w:rsidRPr="00E27443">
        <w:t xml:space="preserve"> </w:t>
      </w:r>
      <w:r w:rsidRPr="00E27443">
        <w:t>to</w:t>
      </w:r>
      <w:r w:rsidR="00C63F8F" w:rsidRPr="00E27443">
        <w:t xml:space="preserve"> </w:t>
      </w:r>
      <w:r w:rsidRPr="00E27443">
        <w:t>counter</w:t>
      </w:r>
      <w:r w:rsidR="00C63F8F" w:rsidRPr="00E27443">
        <w:t xml:space="preserve"> </w:t>
      </w:r>
      <w:r w:rsidRPr="00E27443">
        <w:t>discrimination</w:t>
      </w:r>
      <w:r w:rsidR="00C63F8F" w:rsidRPr="00E27443">
        <w:t xml:space="preserve"> </w:t>
      </w:r>
      <w:r w:rsidRPr="00E27443">
        <w:t>against</w:t>
      </w:r>
      <w:r w:rsidR="00C63F8F" w:rsidRPr="00E27443">
        <w:t xml:space="preserve"> </w:t>
      </w:r>
      <w:r w:rsidRPr="00E27443">
        <w:t>people</w:t>
      </w:r>
      <w:r w:rsidR="00C63F8F" w:rsidRPr="00E27443">
        <w:t xml:space="preserve"> </w:t>
      </w:r>
      <w:r w:rsidRPr="00E27443">
        <w:t>on</w:t>
      </w:r>
      <w:r w:rsidR="00C63F8F" w:rsidRPr="00E27443">
        <w:t xml:space="preserve"> </w:t>
      </w:r>
      <w:r w:rsidRPr="00E27443">
        <w:t>the</w:t>
      </w:r>
      <w:r w:rsidR="00C63F8F" w:rsidRPr="00E27443">
        <w:t xml:space="preserve"> </w:t>
      </w:r>
      <w:r w:rsidRPr="00E27443">
        <w:t>grounds</w:t>
      </w:r>
      <w:r w:rsidR="00C63F8F" w:rsidRPr="00E27443">
        <w:t xml:space="preserve"> </w:t>
      </w:r>
      <w:r w:rsidRPr="00E27443">
        <w:t>of</w:t>
      </w:r>
      <w:r w:rsidR="00C63F8F" w:rsidRPr="00E27443">
        <w:t xml:space="preserve"> </w:t>
      </w:r>
      <w:r w:rsidRPr="00E27443">
        <w:t>e.g.</w:t>
      </w:r>
      <w:r w:rsidR="00C63F8F" w:rsidRPr="00E27443">
        <w:t xml:space="preserve"> </w:t>
      </w:r>
      <w:r w:rsidRPr="00E27443">
        <w:t>a</w:t>
      </w:r>
      <w:r w:rsidR="00C63F8F" w:rsidRPr="00E27443">
        <w:t xml:space="preserve"> </w:t>
      </w:r>
      <w:r w:rsidRPr="00E27443">
        <w:t>disability.</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75253">
        <w:t>Discrimination</w:t>
      </w:r>
      <w:r w:rsidR="00C63F8F" w:rsidRPr="00E75253">
        <w:t xml:space="preserve"> </w:t>
      </w:r>
      <w:r w:rsidRPr="00E75253">
        <w:t>Act</w:t>
      </w:r>
      <w:r w:rsidR="00B5579B" w:rsidRPr="007E0E9D">
        <w:rPr>
          <w:vertAlign w:val="superscript"/>
        </w:rPr>
        <w:footnoteReference w:id="12"/>
      </w:r>
      <w:r w:rsidR="00C63F8F" w:rsidRPr="00E27443">
        <w:t xml:space="preserve"> </w:t>
      </w:r>
      <w:r w:rsidRPr="00E27443">
        <w:t>regulates</w:t>
      </w:r>
      <w:r w:rsidR="00C63F8F" w:rsidRPr="00E27443">
        <w:t xml:space="preserve"> </w:t>
      </w:r>
      <w:r w:rsidRPr="00E27443">
        <w:t>protection</w:t>
      </w:r>
      <w:r w:rsidR="00C63F8F" w:rsidRPr="00E27443">
        <w:t xml:space="preserve"> </w:t>
      </w:r>
      <w:r w:rsidRPr="00E27443">
        <w:t>against</w:t>
      </w:r>
      <w:r w:rsidR="00C63F8F" w:rsidRPr="00E27443">
        <w:t xml:space="preserve"> </w:t>
      </w:r>
      <w:r w:rsidRPr="00E27443">
        <w:t>discrimination.</w:t>
      </w:r>
      <w:r w:rsidR="00C63F8F" w:rsidRPr="00E27443">
        <w:t xml:space="preserve"> </w:t>
      </w:r>
      <w:r w:rsidRPr="00E27443">
        <w:t>The</w:t>
      </w:r>
      <w:r w:rsidR="00C63F8F" w:rsidRPr="00E27443">
        <w:t xml:space="preserve"> </w:t>
      </w:r>
      <w:r w:rsidRPr="00E27443">
        <w:t>objective</w:t>
      </w:r>
      <w:r w:rsidR="00C63F8F" w:rsidRPr="00E27443">
        <w:t xml:space="preserve"> </w:t>
      </w:r>
      <w:r w:rsidRPr="00E27443">
        <w:t>of</w:t>
      </w:r>
      <w:r w:rsidR="00C63F8F" w:rsidRPr="00E27443">
        <w:t xml:space="preserve"> </w:t>
      </w:r>
      <w:r w:rsidRPr="00E27443">
        <w:t>the</w:t>
      </w:r>
      <w:r w:rsidR="00C63F8F" w:rsidRPr="00E27443">
        <w:t xml:space="preserve"> </w:t>
      </w:r>
      <w:r w:rsidRPr="00E27443">
        <w:t>Act</w:t>
      </w:r>
      <w:r w:rsidR="00C63F8F" w:rsidRPr="00E27443">
        <w:t xml:space="preserve"> </w:t>
      </w:r>
      <w:r w:rsidRPr="00E27443">
        <w:t>is</w:t>
      </w:r>
      <w:r w:rsidR="00C63F8F" w:rsidRPr="00E27443">
        <w:t xml:space="preserve"> </w:t>
      </w:r>
      <w:r w:rsidRPr="00E27443">
        <w:t>to</w:t>
      </w:r>
      <w:r w:rsidR="00C63F8F" w:rsidRPr="00E27443">
        <w:t xml:space="preserve"> </w:t>
      </w:r>
      <w:r w:rsidRPr="00E27443">
        <w:t>combat</w:t>
      </w:r>
      <w:r w:rsidR="00C63F8F" w:rsidRPr="00E27443">
        <w:t xml:space="preserve"> </w:t>
      </w:r>
      <w:r w:rsidRPr="00E27443">
        <w:t>discrimination</w:t>
      </w:r>
      <w:r w:rsidR="00C63F8F" w:rsidRPr="00E27443">
        <w:t xml:space="preserve"> </w:t>
      </w:r>
      <w:r w:rsidRPr="00E27443">
        <w:t>and</w:t>
      </w:r>
      <w:r w:rsidR="00C63F8F" w:rsidRPr="00E27443">
        <w:t xml:space="preserve"> </w:t>
      </w:r>
      <w:r w:rsidRPr="00E27443">
        <w:t>in</w:t>
      </w:r>
      <w:r w:rsidR="00C63F8F" w:rsidRPr="00E27443">
        <w:t xml:space="preserve"> </w:t>
      </w:r>
      <w:r w:rsidRPr="00E27443">
        <w:t>other</w:t>
      </w:r>
      <w:r w:rsidR="00C63F8F" w:rsidRPr="00E27443">
        <w:t xml:space="preserve"> </w:t>
      </w:r>
      <w:r w:rsidRPr="00E27443">
        <w:t>ways</w:t>
      </w:r>
      <w:r w:rsidR="00C63F8F" w:rsidRPr="00E27443">
        <w:t xml:space="preserve"> </w:t>
      </w:r>
      <w:r w:rsidRPr="00E27443">
        <w:t>to</w:t>
      </w:r>
      <w:r w:rsidR="00C63F8F" w:rsidRPr="00E27443">
        <w:t xml:space="preserve"> </w:t>
      </w:r>
      <w:r w:rsidRPr="00E27443">
        <w:t>promote</w:t>
      </w:r>
      <w:r w:rsidR="00C63F8F" w:rsidRPr="00E27443">
        <w:t xml:space="preserve"> </w:t>
      </w:r>
      <w:r w:rsidRPr="00E27443">
        <w:t>equal</w:t>
      </w:r>
      <w:r w:rsidR="00C63F8F" w:rsidRPr="00E27443">
        <w:t xml:space="preserve"> </w:t>
      </w:r>
      <w:r w:rsidRPr="00E27443">
        <w:t>rights</w:t>
      </w:r>
      <w:r w:rsidR="00C63F8F" w:rsidRPr="00E27443">
        <w:t xml:space="preserve"> </w:t>
      </w:r>
      <w:r w:rsidRPr="00E27443">
        <w:t>and</w:t>
      </w:r>
      <w:r w:rsidR="00C63F8F" w:rsidRPr="00E27443">
        <w:t xml:space="preserve"> </w:t>
      </w:r>
      <w:r w:rsidRPr="00E27443">
        <w:t>opportunities,</w:t>
      </w:r>
      <w:r w:rsidR="00C63F8F" w:rsidRPr="00E27443">
        <w:t xml:space="preserve"> </w:t>
      </w:r>
      <w:r w:rsidRPr="00E27443">
        <w:t>irrespective</w:t>
      </w:r>
      <w:r w:rsidR="00C63F8F" w:rsidRPr="00E27443">
        <w:t xml:space="preserve"> </w:t>
      </w:r>
      <w:r w:rsidRPr="00E27443">
        <w:t>of</w:t>
      </w:r>
      <w:r w:rsidR="00C63F8F" w:rsidRPr="00E27443">
        <w:t xml:space="preserve"> </w:t>
      </w:r>
      <w:r w:rsidRPr="00E27443">
        <w:t>gender,</w:t>
      </w:r>
      <w:r w:rsidR="00C63F8F" w:rsidRPr="00E27443">
        <w:t xml:space="preserve"> </w:t>
      </w:r>
      <w:r w:rsidRPr="00E27443">
        <w:t>transgender</w:t>
      </w:r>
      <w:r w:rsidR="00C63F8F" w:rsidRPr="00E27443">
        <w:t xml:space="preserve"> </w:t>
      </w:r>
      <w:r w:rsidRPr="00E27443">
        <w:t>identity</w:t>
      </w:r>
      <w:r w:rsidR="00C63F8F" w:rsidRPr="00E27443">
        <w:t xml:space="preserve"> </w:t>
      </w:r>
      <w:r w:rsidRPr="00E27443">
        <w:t>or</w:t>
      </w:r>
      <w:r w:rsidR="00C63F8F" w:rsidRPr="00E27443">
        <w:t xml:space="preserve"> </w:t>
      </w:r>
      <w:r w:rsidRPr="00E27443">
        <w:t>expression,</w:t>
      </w:r>
      <w:r w:rsidR="00C63F8F" w:rsidRPr="00E27443">
        <w:t xml:space="preserve"> </w:t>
      </w:r>
      <w:r w:rsidRPr="00E27443">
        <w:t>ethnicity,</w:t>
      </w:r>
      <w:r w:rsidR="00C63F8F" w:rsidRPr="00E27443">
        <w:t xml:space="preserve"> </w:t>
      </w:r>
      <w:r w:rsidRPr="00E27443">
        <w:t>religion</w:t>
      </w:r>
      <w:r w:rsidR="00C63F8F" w:rsidRPr="00E27443">
        <w:t xml:space="preserve"> </w:t>
      </w:r>
      <w:r w:rsidRPr="00E27443">
        <w:t>or</w:t>
      </w:r>
      <w:r w:rsidR="00C63F8F" w:rsidRPr="00E27443">
        <w:t xml:space="preserve"> </w:t>
      </w:r>
      <w:r w:rsidRPr="00E27443">
        <w:t>other</w:t>
      </w:r>
      <w:r w:rsidR="00C63F8F" w:rsidRPr="00E27443">
        <w:t xml:space="preserve"> </w:t>
      </w:r>
      <w:r w:rsidRPr="00E27443">
        <w:t>belief,</w:t>
      </w:r>
      <w:r w:rsidR="00C63F8F" w:rsidRPr="00E27443">
        <w:t xml:space="preserve"> </w:t>
      </w:r>
      <w:r w:rsidRPr="00E27443">
        <w:t>disability,</w:t>
      </w:r>
      <w:r w:rsidR="00C63F8F" w:rsidRPr="00E27443">
        <w:t xml:space="preserve"> </w:t>
      </w:r>
      <w:r w:rsidRPr="00E27443">
        <w:t>sexual</w:t>
      </w:r>
      <w:r w:rsidR="00C63F8F" w:rsidRPr="00E27443">
        <w:t xml:space="preserve"> </w:t>
      </w:r>
      <w:r w:rsidRPr="00E27443">
        <w:t>orientation</w:t>
      </w:r>
      <w:r w:rsidR="00C63F8F" w:rsidRPr="00E27443">
        <w:t xml:space="preserve"> </w:t>
      </w:r>
      <w:r w:rsidRPr="00E27443">
        <w:t>or</w:t>
      </w:r>
      <w:r w:rsidR="00C63F8F" w:rsidRPr="00E27443">
        <w:t xml:space="preserve"> </w:t>
      </w:r>
      <w:r w:rsidRPr="00E27443">
        <w:t>age.</w:t>
      </w:r>
      <w:r w:rsidR="00C63F8F" w:rsidRPr="00E27443">
        <w:t xml:space="preserve"> </w:t>
      </w:r>
      <w:r w:rsidRPr="00E27443">
        <w:t>The</w:t>
      </w:r>
      <w:r w:rsidR="00C63F8F" w:rsidRPr="00E27443">
        <w:t xml:space="preserve"> </w:t>
      </w:r>
      <w:r w:rsidRPr="00E27443">
        <w:t>prohibition</w:t>
      </w:r>
      <w:r w:rsidR="00C63F8F" w:rsidRPr="00E27443">
        <w:t xml:space="preserve"> </w:t>
      </w:r>
      <w:r w:rsidRPr="00E27443">
        <w:t>of</w:t>
      </w:r>
      <w:r w:rsidR="00C63F8F" w:rsidRPr="00E27443">
        <w:t xml:space="preserve"> </w:t>
      </w:r>
      <w:r w:rsidRPr="00E27443">
        <w:t>discrimination</w:t>
      </w:r>
      <w:r w:rsidR="00C63F8F" w:rsidRPr="00E27443">
        <w:t xml:space="preserve"> </w:t>
      </w:r>
      <w:r w:rsidRPr="00E27443">
        <w:t>covers</w:t>
      </w:r>
      <w:r w:rsidR="00C63F8F" w:rsidRPr="00E27443">
        <w:t xml:space="preserve"> </w:t>
      </w:r>
      <w:r w:rsidRPr="00E27443">
        <w:t>direct</w:t>
      </w:r>
      <w:r w:rsidR="00C63F8F" w:rsidRPr="00E27443">
        <w:t xml:space="preserve"> </w:t>
      </w:r>
      <w:r w:rsidRPr="00E27443">
        <w:t>discrimination,</w:t>
      </w:r>
      <w:r w:rsidR="00C63F8F" w:rsidRPr="00E27443">
        <w:t xml:space="preserve"> </w:t>
      </w:r>
      <w:r w:rsidRPr="00E27443">
        <w:t>indirect</w:t>
      </w:r>
      <w:r w:rsidR="00C63F8F" w:rsidRPr="00E27443">
        <w:t xml:space="preserve"> </w:t>
      </w:r>
      <w:r w:rsidRPr="00E27443">
        <w:t>discrimination,</w:t>
      </w:r>
      <w:r w:rsidR="00C63F8F" w:rsidRPr="00E27443">
        <w:t xml:space="preserve"> </w:t>
      </w:r>
      <w:r w:rsidRPr="00E27443">
        <w:t>harassment,</w:t>
      </w:r>
      <w:r w:rsidR="00C63F8F" w:rsidRPr="00E27443">
        <w:t xml:space="preserve"> </w:t>
      </w:r>
      <w:r w:rsidRPr="00E27443">
        <w:t>sexual</w:t>
      </w:r>
      <w:r w:rsidR="00C63F8F" w:rsidRPr="00E27443">
        <w:t xml:space="preserve"> </w:t>
      </w:r>
      <w:r w:rsidRPr="00E27443">
        <w:t>harassment,</w:t>
      </w:r>
      <w:r w:rsidR="00C63F8F" w:rsidRPr="00E27443">
        <w:t xml:space="preserve"> </w:t>
      </w:r>
      <w:r w:rsidRPr="00E27443">
        <w:t>and</w:t>
      </w:r>
      <w:r w:rsidR="00C63F8F" w:rsidRPr="00E27443">
        <w:t xml:space="preserve"> </w:t>
      </w:r>
      <w:r w:rsidRPr="00E27443">
        <w:t>instructions</w:t>
      </w:r>
      <w:r w:rsidR="00C63F8F" w:rsidRPr="00E27443">
        <w:t xml:space="preserve"> </w:t>
      </w:r>
      <w:r w:rsidRPr="00E27443">
        <w:t>to</w:t>
      </w:r>
      <w:r w:rsidR="00C63F8F" w:rsidRPr="00E27443">
        <w:t xml:space="preserve"> </w:t>
      </w:r>
      <w:r w:rsidRPr="00E27443">
        <w:t>discriminate</w:t>
      </w:r>
      <w:r w:rsidR="00C63F8F" w:rsidRPr="00E27443">
        <w:t xml:space="preserve"> </w:t>
      </w:r>
      <w:r w:rsidRPr="00E27443">
        <w:t>(these</w:t>
      </w:r>
      <w:r w:rsidR="00C63F8F" w:rsidRPr="00E27443">
        <w:t xml:space="preserve"> </w:t>
      </w:r>
      <w:r w:rsidRPr="00E27443">
        <w:t>concepts</w:t>
      </w:r>
      <w:r w:rsidR="00C63F8F" w:rsidRPr="00E27443">
        <w:t xml:space="preserve"> </w:t>
      </w:r>
      <w:r w:rsidRPr="00E27443">
        <w:t>are</w:t>
      </w:r>
      <w:r w:rsidR="00C63F8F" w:rsidRPr="00E27443">
        <w:t xml:space="preserve"> </w:t>
      </w:r>
      <w:r w:rsidRPr="00E27443">
        <w:t>expanded</w:t>
      </w:r>
      <w:r w:rsidR="00C63F8F" w:rsidRPr="00E27443">
        <w:t xml:space="preserve"> </w:t>
      </w:r>
      <w:r w:rsidRPr="00E27443">
        <w:t>on</w:t>
      </w:r>
      <w:r w:rsidR="00C63F8F" w:rsidRPr="00E27443">
        <w:t xml:space="preserve"> </w:t>
      </w:r>
      <w:r w:rsidRPr="00E27443">
        <w:t>under</w:t>
      </w:r>
      <w:r w:rsidR="00C63F8F" w:rsidRPr="00E27443">
        <w:t xml:space="preserve"> </w:t>
      </w:r>
      <w:r w:rsidRPr="00E27443">
        <w:t>Article</w:t>
      </w:r>
      <w:r w:rsidR="00C63F8F" w:rsidRPr="00E27443">
        <w:t xml:space="preserve"> </w:t>
      </w:r>
      <w:r w:rsidRPr="00E27443">
        <w:t>4).</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Discrimination</w:t>
      </w:r>
      <w:r w:rsidR="00C63F8F" w:rsidRPr="00E27443">
        <w:t xml:space="preserve"> </w:t>
      </w:r>
      <w:r w:rsidRPr="00E27443">
        <w:t>Act,</w:t>
      </w:r>
      <w:r w:rsidR="00C63F8F" w:rsidRPr="00E27443">
        <w:t xml:space="preserve"> </w:t>
      </w:r>
      <w:r w:rsidRPr="00E27443">
        <w:t>a</w:t>
      </w:r>
      <w:r w:rsidR="00C63F8F" w:rsidRPr="00E27443">
        <w:t xml:space="preserve"> </w:t>
      </w:r>
      <w:r w:rsidRPr="00E27443">
        <w:t>disability</w:t>
      </w:r>
      <w:r w:rsidR="00C63F8F" w:rsidRPr="00E27443">
        <w:t xml:space="preserve"> </w:t>
      </w:r>
      <w:r w:rsidRPr="00E27443">
        <w:t>refers</w:t>
      </w:r>
      <w:r w:rsidR="00C63F8F" w:rsidRPr="00E27443">
        <w:t xml:space="preserve"> </w:t>
      </w:r>
      <w:r w:rsidRPr="00E27443">
        <w:t>to</w:t>
      </w:r>
      <w:r w:rsidR="00C63F8F" w:rsidRPr="00E27443">
        <w:t xml:space="preserve"> </w:t>
      </w:r>
      <w:r w:rsidRPr="00E27443">
        <w:t>permanent</w:t>
      </w:r>
      <w:r w:rsidR="00C63F8F" w:rsidRPr="00E27443">
        <w:t xml:space="preserve"> </w:t>
      </w:r>
      <w:r w:rsidRPr="00E27443">
        <w:t>physical,</w:t>
      </w:r>
      <w:r w:rsidR="00C63F8F" w:rsidRPr="00E27443">
        <w:t xml:space="preserve"> </w:t>
      </w:r>
      <w:r w:rsidRPr="00E27443">
        <w:t>mental</w:t>
      </w:r>
      <w:r w:rsidR="00C63F8F" w:rsidRPr="00E27443">
        <w:t xml:space="preserve"> </w:t>
      </w:r>
      <w:r w:rsidRPr="00E27443">
        <w:t>or</w:t>
      </w:r>
      <w:r w:rsidR="00C63F8F" w:rsidRPr="00E27443">
        <w:t xml:space="preserve"> </w:t>
      </w:r>
      <w:r w:rsidRPr="00E27443">
        <w:t>intellectual</w:t>
      </w:r>
      <w:r w:rsidR="00C63F8F" w:rsidRPr="00E27443">
        <w:t xml:space="preserve"> </w:t>
      </w:r>
      <w:r w:rsidRPr="00E27443">
        <w:t>limitation</w:t>
      </w:r>
      <w:r w:rsidR="00C63F8F" w:rsidRPr="00E27443">
        <w:t xml:space="preserve"> </w:t>
      </w:r>
      <w:r w:rsidRPr="00E27443">
        <w:t>of</w:t>
      </w:r>
      <w:r w:rsidR="00C63F8F" w:rsidRPr="00E27443">
        <w:t xml:space="preserve"> </w:t>
      </w:r>
      <w:r w:rsidRPr="00E27443">
        <w:t>a</w:t>
      </w:r>
      <w:r w:rsidR="00C63F8F" w:rsidRPr="00E27443">
        <w:t xml:space="preserve"> </w:t>
      </w:r>
      <w:r w:rsidRPr="00E27443">
        <w:t>person</w:t>
      </w:r>
      <w:r w:rsidR="00C63F8F" w:rsidRPr="00E27443">
        <w:t>’</w:t>
      </w:r>
      <w:r w:rsidRPr="00E27443">
        <w:t>s</w:t>
      </w:r>
      <w:r w:rsidR="00C63F8F" w:rsidRPr="00E27443">
        <w:t xml:space="preserve"> </w:t>
      </w:r>
      <w:r w:rsidRPr="00E27443">
        <w:t>functional</w:t>
      </w:r>
      <w:r w:rsidR="00C63F8F" w:rsidRPr="00E27443">
        <w:t xml:space="preserve"> </w:t>
      </w:r>
      <w:r w:rsidRPr="00E27443">
        <w:t>capacity</w:t>
      </w:r>
      <w:r w:rsidR="00C63F8F" w:rsidRPr="00E27443">
        <w:t xml:space="preserve"> </w:t>
      </w:r>
      <w:r w:rsidRPr="00E27443">
        <w:t>that,</w:t>
      </w:r>
      <w:r w:rsidR="00C63F8F" w:rsidRPr="00E27443">
        <w:t xml:space="preserve"> </w:t>
      </w:r>
      <w:r w:rsidRPr="00E27443">
        <w:t>as</w:t>
      </w:r>
      <w:r w:rsidR="00C63F8F" w:rsidRPr="00E27443">
        <w:t xml:space="preserve"> </w:t>
      </w:r>
      <w:r w:rsidRPr="00E27443">
        <w:t>a</w:t>
      </w:r>
      <w:r w:rsidR="00C63F8F" w:rsidRPr="00E27443">
        <w:t xml:space="preserve"> </w:t>
      </w:r>
      <w:r w:rsidRPr="00E27443">
        <w:t>consequence</w:t>
      </w:r>
      <w:r w:rsidR="00C63F8F" w:rsidRPr="00E27443">
        <w:t xml:space="preserve"> </w:t>
      </w:r>
      <w:r w:rsidRPr="00E27443">
        <w:t>of</w:t>
      </w:r>
      <w:r w:rsidR="00C63F8F" w:rsidRPr="00E27443">
        <w:t xml:space="preserve"> </w:t>
      </w:r>
      <w:r w:rsidRPr="00E27443">
        <w:t>injury</w:t>
      </w:r>
      <w:r w:rsidR="00C63F8F" w:rsidRPr="00E27443">
        <w:t xml:space="preserve"> </w:t>
      </w:r>
      <w:r w:rsidRPr="00E27443">
        <w:t>or</w:t>
      </w:r>
      <w:r w:rsidR="00C63F8F" w:rsidRPr="00E27443">
        <w:t xml:space="preserve"> </w:t>
      </w:r>
      <w:r w:rsidRPr="00E27443">
        <w:t>illness</w:t>
      </w:r>
      <w:r w:rsidR="00C63F8F" w:rsidRPr="00E27443">
        <w:t xml:space="preserve"> </w:t>
      </w:r>
      <w:r w:rsidRPr="00E27443">
        <w:t>existed</w:t>
      </w:r>
      <w:r w:rsidR="00C63F8F" w:rsidRPr="00E27443">
        <w:t xml:space="preserve"> </w:t>
      </w:r>
      <w:r w:rsidRPr="00E27443">
        <w:t>at</w:t>
      </w:r>
      <w:r w:rsidR="00C63F8F" w:rsidRPr="00E27443">
        <w:t xml:space="preserve"> </w:t>
      </w:r>
      <w:r w:rsidRPr="00E27443">
        <w:t>birth,</w:t>
      </w:r>
      <w:r w:rsidR="00C63F8F" w:rsidRPr="00E27443">
        <w:t xml:space="preserve"> </w:t>
      </w:r>
      <w:r w:rsidRPr="00E27443">
        <w:t>has</w:t>
      </w:r>
      <w:r w:rsidR="00C63F8F" w:rsidRPr="00E27443">
        <w:t xml:space="preserve"> </w:t>
      </w:r>
      <w:r w:rsidRPr="00E27443">
        <w:t>arisen</w:t>
      </w:r>
      <w:r w:rsidR="00C63F8F" w:rsidRPr="00E27443">
        <w:t xml:space="preserve"> </w:t>
      </w:r>
      <w:r w:rsidRPr="00E27443">
        <w:t>since</w:t>
      </w:r>
      <w:r w:rsidR="00C63F8F" w:rsidRPr="00E27443">
        <w:t xml:space="preserve"> </w:t>
      </w:r>
      <w:r w:rsidRPr="00E27443">
        <w:t>then</w:t>
      </w:r>
      <w:r w:rsidR="00C63F8F" w:rsidRPr="00E27443">
        <w:t xml:space="preserve"> </w:t>
      </w:r>
      <w:r w:rsidRPr="00E27443">
        <w:t>or</w:t>
      </w:r>
      <w:r w:rsidR="00C63F8F" w:rsidRPr="00E27443">
        <w:t xml:space="preserve"> </w:t>
      </w:r>
      <w:r w:rsidRPr="00E27443">
        <w:t>can</w:t>
      </w:r>
      <w:r w:rsidR="00C63F8F" w:rsidRPr="00E27443">
        <w:t xml:space="preserve"> </w:t>
      </w:r>
      <w:r w:rsidRPr="00E27443">
        <w:t>be</w:t>
      </w:r>
      <w:r w:rsidR="00C63F8F" w:rsidRPr="00E27443">
        <w:t xml:space="preserve"> </w:t>
      </w:r>
      <w:r w:rsidRPr="00E27443">
        <w:t>expected</w:t>
      </w:r>
      <w:r w:rsidR="00C63F8F" w:rsidRPr="00E27443">
        <w:t xml:space="preserve"> </w:t>
      </w:r>
      <w:r w:rsidRPr="00E27443">
        <w:t>to</w:t>
      </w:r>
      <w:r w:rsidR="00C63F8F" w:rsidRPr="00E27443">
        <w:t xml:space="preserve"> </w:t>
      </w:r>
      <w:r w:rsidRPr="00E27443">
        <w:t>arise.</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protection</w:t>
      </w:r>
      <w:r w:rsidR="00C63F8F" w:rsidRPr="00E27443">
        <w:t xml:space="preserve"> </w:t>
      </w:r>
      <w:r w:rsidRPr="00E27443">
        <w:t>against</w:t>
      </w:r>
      <w:r w:rsidR="00C63F8F" w:rsidRPr="00E27443">
        <w:t xml:space="preserve"> </w:t>
      </w:r>
      <w:r w:rsidRPr="00E27443">
        <w:t>discrimination</w:t>
      </w:r>
      <w:r w:rsidR="00C63F8F" w:rsidRPr="00E27443">
        <w:t xml:space="preserve"> </w:t>
      </w:r>
      <w:r w:rsidRPr="00E27443">
        <w:t>applies</w:t>
      </w:r>
      <w:r w:rsidR="00C63F8F" w:rsidRPr="00E27443">
        <w:t xml:space="preserve"> </w:t>
      </w:r>
      <w:r w:rsidRPr="00E27443">
        <w:t>to</w:t>
      </w:r>
      <w:r w:rsidR="00C63F8F" w:rsidRPr="00E27443">
        <w:t xml:space="preserve"> </w:t>
      </w:r>
      <w:r w:rsidRPr="00E27443">
        <w:t>the</w:t>
      </w:r>
      <w:r w:rsidR="00C63F8F" w:rsidRPr="00E27443">
        <w:t xml:space="preserve"> </w:t>
      </w:r>
      <w:r w:rsidRPr="00E27443">
        <w:t>fields</w:t>
      </w:r>
      <w:r w:rsidR="00C63F8F" w:rsidRPr="00E27443">
        <w:t xml:space="preserve"> </w:t>
      </w:r>
      <w:r w:rsidRPr="00E27443">
        <w:t>of</w:t>
      </w:r>
      <w:r w:rsidR="00C63F8F" w:rsidRPr="00E27443">
        <w:t xml:space="preserve"> </w:t>
      </w:r>
      <w:r w:rsidRPr="00E27443">
        <w:t>working</w:t>
      </w:r>
      <w:r w:rsidR="00C63F8F" w:rsidRPr="00E27443">
        <w:t xml:space="preserve"> </w:t>
      </w:r>
      <w:r w:rsidRPr="00E27443">
        <w:t>life,</w:t>
      </w:r>
      <w:r w:rsidR="00C63F8F" w:rsidRPr="00E27443">
        <w:t xml:space="preserve"> </w:t>
      </w:r>
      <w:r w:rsidRPr="00E27443">
        <w:t>education,</w:t>
      </w:r>
      <w:r w:rsidR="00C63F8F" w:rsidRPr="00E27443">
        <w:t xml:space="preserve"> </w:t>
      </w:r>
      <w:r w:rsidRPr="00E27443">
        <w:t>labour</w:t>
      </w:r>
      <w:r w:rsidR="00C63F8F" w:rsidRPr="00E27443">
        <w:t xml:space="preserve"> </w:t>
      </w:r>
      <w:r w:rsidRPr="00E27443">
        <w:t>market</w:t>
      </w:r>
      <w:r w:rsidR="00C63F8F" w:rsidRPr="00E27443">
        <w:t xml:space="preserve"> </w:t>
      </w:r>
      <w:r w:rsidRPr="00E27443">
        <w:t>policy</w:t>
      </w:r>
      <w:r w:rsidR="00C63F8F" w:rsidRPr="00E27443">
        <w:t xml:space="preserve"> </w:t>
      </w:r>
      <w:r w:rsidRPr="00E27443">
        <w:t>activities</w:t>
      </w:r>
      <w:r w:rsidR="00C63F8F" w:rsidRPr="00E27443">
        <w:t xml:space="preserve"> </w:t>
      </w:r>
      <w:r w:rsidRPr="00E27443">
        <w:t>and</w:t>
      </w:r>
      <w:r w:rsidR="00C63F8F" w:rsidRPr="00E27443">
        <w:t xml:space="preserve"> </w:t>
      </w:r>
      <w:r w:rsidRPr="00E27443">
        <w:t>the</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not</w:t>
      </w:r>
      <w:r w:rsidR="00C63F8F" w:rsidRPr="00E27443">
        <w:t xml:space="preserve"> </w:t>
      </w:r>
      <w:r w:rsidRPr="00E27443">
        <w:t>under</w:t>
      </w:r>
      <w:r w:rsidR="00C63F8F" w:rsidRPr="00E27443">
        <w:t xml:space="preserve"> </w:t>
      </w:r>
      <w:r w:rsidRPr="00E27443">
        <w:t>public</w:t>
      </w:r>
      <w:r w:rsidR="00C63F8F" w:rsidRPr="00E27443">
        <w:t xml:space="preserve"> </w:t>
      </w:r>
      <w:r w:rsidRPr="00E27443">
        <w:t>contract,</w:t>
      </w:r>
      <w:r w:rsidR="00C63F8F" w:rsidRPr="00E27443">
        <w:t xml:space="preserve"> </w:t>
      </w:r>
      <w:r w:rsidRPr="00E27443">
        <w:t>starting</w:t>
      </w:r>
      <w:r w:rsidR="00C63F8F" w:rsidRPr="00E27443">
        <w:t xml:space="preserve"> </w:t>
      </w:r>
      <w:r w:rsidRPr="00E27443">
        <w:t>or</w:t>
      </w:r>
      <w:r w:rsidR="00C63F8F" w:rsidRPr="00E27443">
        <w:t xml:space="preserve"> </w:t>
      </w:r>
      <w:r w:rsidRPr="00E27443">
        <w:t>running</w:t>
      </w:r>
      <w:r w:rsidR="00C63F8F" w:rsidRPr="00E27443">
        <w:t xml:space="preserve"> </w:t>
      </w:r>
      <w:r w:rsidRPr="00E27443">
        <w:t>a</w:t>
      </w:r>
      <w:r w:rsidR="00C63F8F" w:rsidRPr="00E27443">
        <w:t xml:space="preserve"> </w:t>
      </w:r>
      <w:r w:rsidRPr="00E27443">
        <w:t>business,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professional</w:t>
      </w:r>
      <w:r w:rsidR="00C63F8F" w:rsidRPr="00E27443">
        <w:t xml:space="preserve"> </w:t>
      </w:r>
      <w:r w:rsidRPr="00E27443">
        <w:t>recognition,</w:t>
      </w:r>
      <w:r w:rsidR="00C63F8F" w:rsidRPr="00E27443">
        <w:t xml:space="preserve"> </w:t>
      </w:r>
      <w:r w:rsidRPr="00E27443">
        <w:t>membership</w:t>
      </w:r>
      <w:r w:rsidR="00C63F8F" w:rsidRPr="00E27443">
        <w:t xml:space="preserve"> </w:t>
      </w:r>
      <w:r w:rsidRPr="00E27443">
        <w:t>of</w:t>
      </w:r>
      <w:r w:rsidR="00C63F8F" w:rsidRPr="00E27443">
        <w:t xml:space="preserve"> </w:t>
      </w:r>
      <w:r w:rsidRPr="00E27443">
        <w:t>certain</w:t>
      </w:r>
      <w:r w:rsidR="00C63F8F" w:rsidRPr="00E27443">
        <w:t xml:space="preserve"> </w:t>
      </w:r>
      <w:r w:rsidRPr="00E27443">
        <w:t>organisations,</w:t>
      </w:r>
      <w:r w:rsidR="00C63F8F" w:rsidRPr="00E27443">
        <w:t xml:space="preserve"> </w:t>
      </w:r>
      <w:r w:rsidRPr="00E27443">
        <w:t>the</w:t>
      </w:r>
      <w:r w:rsidR="00C63F8F" w:rsidRPr="00E27443">
        <w:t xml:space="preserve"> </w:t>
      </w:r>
      <w:r w:rsidRPr="00E27443">
        <w:t>supply</w:t>
      </w:r>
      <w:r w:rsidR="00C63F8F" w:rsidRPr="00E27443">
        <w:t xml:space="preserve"> </w:t>
      </w:r>
      <w:r w:rsidRPr="00E27443">
        <w:t>of</w:t>
      </w:r>
      <w:r w:rsidR="00C63F8F" w:rsidRPr="00E27443">
        <w:t xml:space="preserve"> </w:t>
      </w:r>
      <w:r w:rsidRPr="00E27443">
        <w:t>goods,</w:t>
      </w:r>
      <w:r w:rsidR="00C63F8F" w:rsidRPr="00E27443">
        <w:t xml:space="preserve"> </w:t>
      </w:r>
      <w:r w:rsidRPr="00E27443">
        <w:t>services</w:t>
      </w:r>
      <w:r w:rsidR="00C63F8F" w:rsidRPr="00E27443">
        <w:t xml:space="preserve"> </w:t>
      </w:r>
      <w:r w:rsidRPr="00E27443">
        <w:t>and</w:t>
      </w:r>
      <w:r w:rsidR="00C63F8F" w:rsidRPr="00E27443">
        <w:t xml:space="preserve"> </w:t>
      </w:r>
      <w:r w:rsidR="002A114B" w:rsidRPr="00E27443">
        <w:t>housing</w:t>
      </w:r>
      <w:r w:rsidRPr="00E27443">
        <w:t>,</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public</w:t>
      </w:r>
      <w:r w:rsidR="00C63F8F" w:rsidRPr="00E27443">
        <w:t xml:space="preserve"> </w:t>
      </w:r>
      <w:r w:rsidRPr="00E27443">
        <w:t>meetings</w:t>
      </w:r>
      <w:r w:rsidR="00C63F8F" w:rsidRPr="00E27443">
        <w:t xml:space="preserve"> </w:t>
      </w:r>
      <w:r w:rsidRPr="00E27443">
        <w:t>and</w:t>
      </w:r>
      <w:r w:rsidR="00C63F8F" w:rsidRPr="00E27443">
        <w:t xml:space="preserve"> </w:t>
      </w:r>
      <w:r w:rsidRPr="00E27443">
        <w:t>events,</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care</w:t>
      </w:r>
      <w:r w:rsidR="00C63F8F" w:rsidRPr="00E27443">
        <w:t xml:space="preserve"> </w:t>
      </w:r>
      <w:r w:rsidRPr="00E27443">
        <w:t>and</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etc.,</w:t>
      </w:r>
      <w:r w:rsidR="00C63F8F" w:rsidRPr="00E27443">
        <w:t xml:space="preserve"> </w:t>
      </w:r>
      <w:r w:rsidRPr="00E27443">
        <w:t>the</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system,</w:t>
      </w:r>
      <w:r w:rsidR="00C63F8F" w:rsidRPr="00E27443">
        <w:t xml:space="preserve"> </w:t>
      </w:r>
      <w:r w:rsidRPr="00E27443">
        <w:t>unemployment</w:t>
      </w:r>
      <w:r w:rsidR="00C63F8F" w:rsidRPr="00E27443">
        <w:t xml:space="preserve"> </w:t>
      </w:r>
      <w:r w:rsidRPr="00E27443">
        <w:t>insurance,</w:t>
      </w:r>
      <w:r w:rsidR="00C63F8F" w:rsidRPr="00E27443">
        <w:t xml:space="preserve"> </w:t>
      </w:r>
      <w:r w:rsidRPr="00E27443">
        <w:t>student</w:t>
      </w:r>
      <w:r w:rsidR="00C63F8F" w:rsidRPr="00E27443">
        <w:t xml:space="preserve"> </w:t>
      </w:r>
      <w:r w:rsidRPr="00E27443">
        <w:t>finance,</w:t>
      </w:r>
      <w:r w:rsidR="00C63F8F" w:rsidRPr="00E27443">
        <w:t xml:space="preserve"> </w:t>
      </w:r>
      <w:r w:rsidRPr="00E27443">
        <w:t>national</w:t>
      </w:r>
      <w:r w:rsidR="00C63F8F" w:rsidRPr="00E27443">
        <w:t xml:space="preserve"> </w:t>
      </w:r>
      <w:r w:rsidRPr="00E27443">
        <w:t>military</w:t>
      </w:r>
      <w:r w:rsidR="00C63F8F" w:rsidRPr="00E27443">
        <w:t xml:space="preserve"> </w:t>
      </w:r>
      <w:r w:rsidRPr="00E27443">
        <w:t>and</w:t>
      </w:r>
      <w:r w:rsidR="00C63F8F" w:rsidRPr="00E27443">
        <w:t xml:space="preserve"> </w:t>
      </w:r>
      <w:r w:rsidR="002A114B" w:rsidRPr="00E27443">
        <w:t>civilian</w:t>
      </w:r>
      <w:r w:rsidR="00C63F8F" w:rsidRPr="00E27443">
        <w:t xml:space="preserve"> </w:t>
      </w:r>
      <w:r w:rsidRPr="00E27443">
        <w:t>service,</w:t>
      </w:r>
      <w:r w:rsidR="00C63F8F" w:rsidRPr="00E27443">
        <w:t xml:space="preserve"> </w:t>
      </w:r>
      <w:r w:rsidRPr="00E27443">
        <w:t>and</w:t>
      </w:r>
      <w:r w:rsidR="00C63F8F" w:rsidRPr="00E27443">
        <w:t xml:space="preserve"> </w:t>
      </w:r>
      <w:r w:rsidRPr="00E27443">
        <w:t>assistance</w:t>
      </w:r>
      <w:r w:rsidR="00C63F8F" w:rsidRPr="00E27443">
        <w:t xml:space="preserve"> </w:t>
      </w:r>
      <w:r w:rsidRPr="00E27443">
        <w:t>to</w:t>
      </w:r>
      <w:r w:rsidR="00C63F8F" w:rsidRPr="00E27443">
        <w:t xml:space="preserve"> </w:t>
      </w:r>
      <w:r w:rsidRPr="00E27443">
        <w:t>the</w:t>
      </w:r>
      <w:r w:rsidR="00C63F8F" w:rsidRPr="00E27443">
        <w:t xml:space="preserve"> </w:t>
      </w:r>
      <w:r w:rsidRPr="00E27443">
        <w:t>public</w:t>
      </w:r>
      <w:r w:rsidR="00C63F8F" w:rsidRPr="00E27443">
        <w:t xml:space="preserve"> </w:t>
      </w:r>
      <w:r w:rsidRPr="00E27443">
        <w:t>with</w:t>
      </w:r>
      <w:r w:rsidR="00C63F8F" w:rsidRPr="00E27443">
        <w:t xml:space="preserve"> </w:t>
      </w:r>
      <w:r w:rsidRPr="00E27443">
        <w:t>information,</w:t>
      </w:r>
      <w:r w:rsidR="00C63F8F" w:rsidRPr="00E27443">
        <w:t xml:space="preserve"> </w:t>
      </w:r>
      <w:r w:rsidRPr="00E27443">
        <w:t>guidance,</w:t>
      </w:r>
      <w:r w:rsidR="00C63F8F" w:rsidRPr="00E27443">
        <w:t xml:space="preserve"> </w:t>
      </w:r>
      <w:r w:rsidRPr="00E27443">
        <w:t>advice</w:t>
      </w:r>
      <w:r w:rsidR="00C63F8F" w:rsidRPr="00E27443">
        <w:t xml:space="preserve"> </w:t>
      </w:r>
      <w:r w:rsidRPr="00E27443">
        <w:t>or</w:t>
      </w:r>
      <w:r w:rsidR="00C63F8F" w:rsidRPr="00E27443">
        <w:t xml:space="preserve"> </w:t>
      </w:r>
      <w:r w:rsidRPr="00E27443">
        <w:t>other</w:t>
      </w:r>
      <w:r w:rsidR="00C63F8F" w:rsidRPr="00E27443">
        <w:t xml:space="preserve"> </w:t>
      </w:r>
      <w:r w:rsidRPr="00E27443">
        <w:t>similar</w:t>
      </w:r>
      <w:r w:rsidR="00C63F8F" w:rsidRPr="00E27443">
        <w:t xml:space="preserve"> </w:t>
      </w:r>
      <w:r w:rsidRPr="00E27443">
        <w:t>help,</w:t>
      </w:r>
      <w:r w:rsidR="00C63F8F" w:rsidRPr="00E27443">
        <w:t xml:space="preserve"> </w:t>
      </w:r>
      <w:r w:rsidRPr="00E27443">
        <w:t>or</w:t>
      </w:r>
      <w:r w:rsidR="00C63F8F" w:rsidRPr="00E27443">
        <w:t xml:space="preserve"> </w:t>
      </w:r>
      <w:r w:rsidRPr="00E27443">
        <w:t>in</w:t>
      </w:r>
      <w:r w:rsidR="00C63F8F" w:rsidRPr="00E27443">
        <w:t xml:space="preserve"> </w:t>
      </w:r>
      <w:r w:rsidRPr="00E27443">
        <w:t>other</w:t>
      </w:r>
      <w:r w:rsidR="00C63F8F" w:rsidRPr="00E27443">
        <w:t xml:space="preserve"> </w:t>
      </w:r>
      <w:r w:rsidRPr="00E27443">
        <w:t>types</w:t>
      </w:r>
      <w:r w:rsidR="00C63F8F" w:rsidRPr="00E27443">
        <w:t xml:space="preserve"> </w:t>
      </w:r>
      <w:r w:rsidRPr="00E27443">
        <w:t>of</w:t>
      </w:r>
      <w:r w:rsidR="00C63F8F" w:rsidRPr="00E27443">
        <w:t xml:space="preserve"> </w:t>
      </w:r>
      <w:r w:rsidRPr="00E27443">
        <w:t>contacts</w:t>
      </w:r>
      <w:r w:rsidR="00C63F8F" w:rsidRPr="00E27443">
        <w:t xml:space="preserve"> </w:t>
      </w:r>
      <w:r w:rsidRPr="00E27443">
        <w:t>with</w:t>
      </w:r>
      <w:r w:rsidR="00C63F8F" w:rsidRPr="00E27443">
        <w:t xml:space="preserve"> </w:t>
      </w:r>
      <w:r w:rsidRPr="00E27443">
        <w:t>the</w:t>
      </w:r>
      <w:r w:rsidR="00C63F8F" w:rsidRPr="00E27443">
        <w:t xml:space="preserve"> </w:t>
      </w:r>
      <w:r w:rsidRPr="00E27443">
        <w:t>public</w:t>
      </w:r>
      <w:r w:rsidR="00C63F8F" w:rsidRPr="00E27443">
        <w:t xml:space="preserve"> </w:t>
      </w:r>
      <w:r w:rsidRPr="00E27443">
        <w:t>when</w:t>
      </w:r>
      <w:r w:rsidR="00C63F8F" w:rsidRPr="00E27443">
        <w:t xml:space="preserve"> </w:t>
      </w:r>
      <w:r w:rsidRPr="00E27443">
        <w:t>these</w:t>
      </w:r>
      <w:r w:rsidR="00C63F8F" w:rsidRPr="00E27443">
        <w:t xml:space="preserve"> </w:t>
      </w:r>
      <w:r w:rsidRPr="00E27443">
        <w:t>activities</w:t>
      </w:r>
      <w:r w:rsidR="00C63F8F" w:rsidRPr="00E27443">
        <w:t xml:space="preserve"> </w:t>
      </w:r>
      <w:r w:rsidRPr="00E27443">
        <w:t>are</w:t>
      </w:r>
      <w:r w:rsidR="00C63F8F" w:rsidRPr="00E27443">
        <w:t xml:space="preserve"> </w:t>
      </w:r>
      <w:r w:rsidRPr="00E27443">
        <w:t>carried</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line</w:t>
      </w:r>
      <w:r w:rsidR="00C63F8F" w:rsidRPr="00E27443">
        <w:t xml:space="preserve"> </w:t>
      </w:r>
      <w:r w:rsidRPr="00E27443">
        <w:t>of</w:t>
      </w:r>
      <w:r w:rsidR="00C63F8F" w:rsidRPr="00E27443">
        <w:t xml:space="preserve"> </w:t>
      </w:r>
      <w:r w:rsidRPr="00E27443">
        <w:t>duty</w:t>
      </w:r>
      <w:r w:rsidR="00C63F8F" w:rsidRPr="00E27443">
        <w:t xml:space="preserve"> </w:t>
      </w:r>
      <w:r w:rsidRPr="00E27443">
        <w:t>by</w:t>
      </w:r>
      <w:r w:rsidR="00C63F8F" w:rsidRPr="00E27443">
        <w:t xml:space="preserve"> </w:t>
      </w:r>
      <w:r w:rsidRPr="00E27443">
        <w:t>someone</w:t>
      </w:r>
      <w:r w:rsidR="00C63F8F" w:rsidRPr="00E27443">
        <w:t xml:space="preserve"> </w:t>
      </w:r>
      <w:r w:rsidRPr="00E27443">
        <w:t>who</w:t>
      </w:r>
      <w:r w:rsidR="00C63F8F" w:rsidRPr="00E27443">
        <w:t xml:space="preserve"> </w:t>
      </w:r>
      <w:r w:rsidRPr="00E27443">
        <w:t>is</w:t>
      </w:r>
      <w:r w:rsidR="00C63F8F" w:rsidRPr="00E27443">
        <w:t xml:space="preserve"> </w:t>
      </w:r>
      <w:r w:rsidRPr="00E27443">
        <w:t>fully</w:t>
      </w:r>
      <w:r w:rsidR="00C63F8F" w:rsidRPr="00E27443">
        <w:t xml:space="preserve"> </w:t>
      </w:r>
      <w:r w:rsidRPr="00E27443">
        <w:t>or</w:t>
      </w:r>
      <w:r w:rsidR="00C63F8F" w:rsidRPr="00E27443">
        <w:t xml:space="preserve"> </w:t>
      </w:r>
      <w:r w:rsidRPr="00E27443">
        <w:t>partly</w:t>
      </w:r>
      <w:r w:rsidR="00C63F8F" w:rsidRPr="00E27443">
        <w:t xml:space="preserve"> </w:t>
      </w:r>
      <w:r w:rsidRPr="00E27443">
        <w:t>covered</w:t>
      </w:r>
      <w:r w:rsidR="00C63F8F" w:rsidRPr="00E27443">
        <w:t xml:space="preserve"> </w:t>
      </w:r>
      <w:r w:rsidRPr="00E27443">
        <w:t>by</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Act.</w:t>
      </w:r>
      <w:r w:rsidR="006E667A" w:rsidRPr="007E0E9D">
        <w:rPr>
          <w:vertAlign w:val="superscript"/>
        </w:rPr>
        <w:footnoteReference w:id="13"/>
      </w:r>
      <w:r w:rsidR="00C63F8F" w:rsidRPr="007E0E9D">
        <w:rPr>
          <w:vertAlign w:val="superscript"/>
        </w:rPr>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prohibition</w:t>
      </w:r>
      <w:r w:rsidR="00C63F8F" w:rsidRPr="00E27443">
        <w:t xml:space="preserve"> </w:t>
      </w:r>
      <w:r w:rsidRPr="00E27443">
        <w:t>of</w:t>
      </w:r>
      <w:r w:rsidR="00C63F8F" w:rsidRPr="00E27443">
        <w:t xml:space="preserve"> </w:t>
      </w:r>
      <w:r w:rsidRPr="00E27443">
        <w:t>discrimination</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working</w:t>
      </w:r>
      <w:r w:rsidR="00C63F8F" w:rsidRPr="00E27443">
        <w:t xml:space="preserve"> </w:t>
      </w:r>
      <w:r w:rsidRPr="00E27443">
        <w:t>life</w:t>
      </w:r>
      <w:r w:rsidR="006E667A" w:rsidRPr="007E0E9D">
        <w:rPr>
          <w:vertAlign w:val="superscript"/>
        </w:rPr>
        <w:footnoteReference w:id="14"/>
      </w:r>
      <w:r w:rsidR="00C63F8F" w:rsidRPr="00E27443">
        <w:t xml:space="preserve"> </w:t>
      </w:r>
      <w:r w:rsidRPr="00E27443">
        <w:t>stipulates</w:t>
      </w:r>
      <w:r w:rsidR="00C63F8F" w:rsidRPr="00E27443">
        <w:t xml:space="preserve"> </w:t>
      </w:r>
      <w:r w:rsidRPr="00E27443">
        <w:t>that</w:t>
      </w:r>
      <w:r w:rsidR="00C63F8F" w:rsidRPr="00E27443">
        <w:t xml:space="preserve"> </w:t>
      </w:r>
      <w:r w:rsidRPr="00E27443">
        <w:t>an</w:t>
      </w:r>
      <w:r w:rsidR="00C63F8F" w:rsidRPr="00E27443">
        <w:t xml:space="preserve"> </w:t>
      </w:r>
      <w:r w:rsidRPr="00E27443">
        <w:t>employer</w:t>
      </w:r>
      <w:r w:rsidR="00C63F8F" w:rsidRPr="00E27443">
        <w:t xml:space="preserve"> </w:t>
      </w:r>
      <w:r w:rsidRPr="00E27443">
        <w:t>may</w:t>
      </w:r>
      <w:r w:rsidR="00C63F8F" w:rsidRPr="00E27443">
        <w:t xml:space="preserve"> </w:t>
      </w:r>
      <w:r w:rsidRPr="00E27443">
        <w:t>not,</w:t>
      </w:r>
      <w:r w:rsidR="00C63F8F" w:rsidRPr="00E27443">
        <w:t xml:space="preserve"> </w:t>
      </w:r>
      <w:r w:rsidRPr="00E27443">
        <w:t>for</w:t>
      </w:r>
      <w:r w:rsidR="00C63F8F" w:rsidRPr="00E27443">
        <w:t xml:space="preserve"> </w:t>
      </w:r>
      <w:r w:rsidRPr="00E27443">
        <w:t>reasons</w:t>
      </w:r>
      <w:r w:rsidR="00C63F8F" w:rsidRPr="00E27443">
        <w:t xml:space="preserve"> </w:t>
      </w:r>
      <w:r w:rsidRPr="00E27443">
        <w:t>connected</w:t>
      </w:r>
      <w:r w:rsidR="00C63F8F" w:rsidRPr="00E27443">
        <w:t xml:space="preserve"> </w:t>
      </w:r>
      <w:r w:rsidRPr="00E27443">
        <w:t>to</w:t>
      </w:r>
      <w:r w:rsidR="00C63F8F" w:rsidRPr="00E27443">
        <w:t xml:space="preserve"> </w:t>
      </w:r>
      <w:r w:rsidRPr="00E27443">
        <w:t>e.g.</w:t>
      </w:r>
      <w:r w:rsidR="00C63F8F" w:rsidRPr="00E27443">
        <w:t xml:space="preserve"> </w:t>
      </w:r>
      <w:r w:rsidRPr="00E27443">
        <w:t>disability,</w:t>
      </w:r>
      <w:r w:rsidR="00C63F8F" w:rsidRPr="00E27443">
        <w:t xml:space="preserve"> </w:t>
      </w:r>
      <w:r w:rsidRPr="00E27443">
        <w:t>discriminate</w:t>
      </w:r>
      <w:r w:rsidR="00C63F8F" w:rsidRPr="00E27443">
        <w:t xml:space="preserve"> </w:t>
      </w:r>
      <w:r w:rsidRPr="00E27443">
        <w:t>against</w:t>
      </w:r>
      <w:r w:rsidR="00C63F8F" w:rsidRPr="00E27443">
        <w:t xml:space="preserve"> </w:t>
      </w:r>
      <w:r w:rsidRPr="00E27443">
        <w:t>a</w:t>
      </w:r>
      <w:r w:rsidR="00C63F8F" w:rsidRPr="00E27443">
        <w:t xml:space="preserve"> </w:t>
      </w:r>
      <w:r w:rsidRPr="00E27443">
        <w:t>person</w:t>
      </w:r>
      <w:r w:rsidR="00C63F8F" w:rsidRPr="00E27443">
        <w:t xml:space="preserve"> </w:t>
      </w:r>
      <w:r w:rsidRPr="00E27443">
        <w:t>who</w:t>
      </w:r>
      <w:r w:rsidR="00C63F8F" w:rsidRPr="00E27443">
        <w:t xml:space="preserve"> </w:t>
      </w:r>
      <w:r w:rsidRPr="00E27443">
        <w:t>is</w:t>
      </w:r>
      <w:r w:rsidR="00C63F8F" w:rsidRPr="00E27443">
        <w:t xml:space="preserve"> </w:t>
      </w:r>
      <w:r w:rsidRPr="00E27443">
        <w:t>an</w:t>
      </w:r>
      <w:r w:rsidR="00C63F8F" w:rsidRPr="00E27443">
        <w:t xml:space="preserve"> </w:t>
      </w:r>
      <w:r w:rsidRPr="00E27443">
        <w:t>employee</w:t>
      </w:r>
      <w:r w:rsidR="00C63F8F" w:rsidRPr="00E27443">
        <w:t xml:space="preserve"> </w:t>
      </w:r>
      <w:r w:rsidRPr="00E27443">
        <w:t>of</w:t>
      </w:r>
      <w:r w:rsidR="00C63F8F" w:rsidRPr="00E27443">
        <w:t xml:space="preserve"> </w:t>
      </w:r>
      <w:r w:rsidRPr="00E27443">
        <w:t>the</w:t>
      </w:r>
      <w:r w:rsidR="00C63F8F" w:rsidRPr="00E27443">
        <w:t xml:space="preserve"> </w:t>
      </w:r>
      <w:r w:rsidRPr="00E27443">
        <w:t>employer,</w:t>
      </w:r>
      <w:r w:rsidR="00C63F8F" w:rsidRPr="00E27443">
        <w:t xml:space="preserve"> </w:t>
      </w:r>
      <w:r w:rsidRPr="00E27443">
        <w:t>who</w:t>
      </w:r>
      <w:r w:rsidR="00C63F8F" w:rsidRPr="00E27443">
        <w:t xml:space="preserve"> </w:t>
      </w:r>
      <w:r w:rsidRPr="00E27443">
        <w:t>makes</w:t>
      </w:r>
      <w:r w:rsidR="00C63F8F" w:rsidRPr="00E27443">
        <w:t xml:space="preserve"> </w:t>
      </w:r>
      <w:r w:rsidRPr="00E27443">
        <w:t>an</w:t>
      </w:r>
      <w:r w:rsidR="00C63F8F" w:rsidRPr="00E27443">
        <w:t xml:space="preserve"> </w:t>
      </w:r>
      <w:r w:rsidRPr="00E27443">
        <w:t>application</w:t>
      </w:r>
      <w:r w:rsidR="00C63F8F" w:rsidRPr="00E27443">
        <w:t xml:space="preserve"> </w:t>
      </w:r>
      <w:r w:rsidRPr="00E27443">
        <w:t>for</w:t>
      </w:r>
      <w:r w:rsidR="00C63F8F" w:rsidRPr="00E27443">
        <w:t xml:space="preserve"> </w:t>
      </w:r>
      <w:r w:rsidRPr="00E27443">
        <w:t>or</w:t>
      </w:r>
      <w:r w:rsidR="00C63F8F" w:rsidRPr="00E27443">
        <w:t xml:space="preserve"> </w:t>
      </w:r>
      <w:r w:rsidRPr="00E27443">
        <w:t>seeks</w:t>
      </w:r>
      <w:r w:rsidR="00C63F8F" w:rsidRPr="00E27443">
        <w:t xml:space="preserve"> </w:t>
      </w:r>
      <w:r w:rsidRPr="00E27443">
        <w:t>a</w:t>
      </w:r>
      <w:r w:rsidR="00C63F8F" w:rsidRPr="00E27443">
        <w:t xml:space="preserve"> </w:t>
      </w:r>
      <w:r w:rsidRPr="00E27443">
        <w:t>job,</w:t>
      </w:r>
      <w:r w:rsidR="00C63F8F" w:rsidRPr="00E27443">
        <w:t xml:space="preserve"> </w:t>
      </w:r>
      <w:r w:rsidRPr="00E27443">
        <w:t>who</w:t>
      </w:r>
      <w:r w:rsidR="00C63F8F" w:rsidRPr="00E27443">
        <w:t xml:space="preserve"> </w:t>
      </w:r>
      <w:r w:rsidRPr="00E27443">
        <w:t>applies</w:t>
      </w:r>
      <w:r w:rsidR="00C63F8F" w:rsidRPr="00E27443">
        <w:t xml:space="preserve"> </w:t>
      </w:r>
      <w:r w:rsidRPr="00E27443">
        <w:t>for</w:t>
      </w:r>
      <w:r w:rsidR="00C63F8F" w:rsidRPr="00E27443">
        <w:t xml:space="preserve"> </w:t>
      </w:r>
      <w:r w:rsidRPr="00E27443">
        <w:t>or</w:t>
      </w:r>
      <w:r w:rsidR="00C63F8F" w:rsidRPr="00E27443">
        <w:t xml:space="preserve"> </w:t>
      </w:r>
      <w:r w:rsidRPr="00E27443">
        <w:t>carries</w:t>
      </w:r>
      <w:r w:rsidR="00C63F8F" w:rsidRPr="00E27443">
        <w:t xml:space="preserve"> </w:t>
      </w:r>
      <w:r w:rsidRPr="00E27443">
        <w:t>out</w:t>
      </w:r>
      <w:r w:rsidR="00C63F8F" w:rsidRPr="00E27443">
        <w:t xml:space="preserve"> </w:t>
      </w:r>
      <w:r w:rsidRPr="00E27443">
        <w:t>a</w:t>
      </w:r>
      <w:r w:rsidR="00C63F8F" w:rsidRPr="00E27443">
        <w:t xml:space="preserve"> </w:t>
      </w:r>
      <w:r w:rsidRPr="00E27443">
        <w:t>practical</w:t>
      </w:r>
      <w:r w:rsidR="00C63F8F" w:rsidRPr="00E27443">
        <w:t xml:space="preserve"> </w:t>
      </w:r>
      <w:r w:rsidRPr="00E27443">
        <w:t>work</w:t>
      </w:r>
      <w:r w:rsidR="00C63F8F" w:rsidRPr="00E27443">
        <w:t xml:space="preserve"> </w:t>
      </w:r>
      <w:r w:rsidRPr="00E27443">
        <w:t>placement,</w:t>
      </w:r>
      <w:r w:rsidR="00C63F8F" w:rsidRPr="00E27443">
        <w:t xml:space="preserve"> </w:t>
      </w:r>
      <w:r w:rsidRPr="00E27443">
        <w:t>or</w:t>
      </w:r>
      <w:r w:rsidR="00C63F8F" w:rsidRPr="00E27443">
        <w:t xml:space="preserve"> </w:t>
      </w:r>
      <w:r w:rsidRPr="00E27443">
        <w:t>who</w:t>
      </w:r>
      <w:r w:rsidR="00C63F8F" w:rsidRPr="00E27443">
        <w:t xml:space="preserve"> </w:t>
      </w:r>
      <w:r w:rsidRPr="00E27443">
        <w:t>is</w:t>
      </w:r>
      <w:r w:rsidR="00C63F8F" w:rsidRPr="00E27443">
        <w:t xml:space="preserve"> </w:t>
      </w:r>
      <w:r w:rsidRPr="00E27443">
        <w:t>available</w:t>
      </w:r>
      <w:r w:rsidR="00C63F8F" w:rsidRPr="00E27443">
        <w:t xml:space="preserve"> </w:t>
      </w:r>
      <w:r w:rsidRPr="00E27443">
        <w:t>to</w:t>
      </w:r>
      <w:r w:rsidR="00C63F8F" w:rsidRPr="00E27443">
        <w:t xml:space="preserve"> </w:t>
      </w:r>
      <w:r w:rsidRPr="00E27443">
        <w:t>carry</w:t>
      </w:r>
      <w:r w:rsidR="00C63F8F" w:rsidRPr="00E27443">
        <w:t xml:space="preserve"> </w:t>
      </w:r>
      <w:r w:rsidRPr="00E27443">
        <w:t>out</w:t>
      </w:r>
      <w:r w:rsidR="00C63F8F" w:rsidRPr="00E27443">
        <w:t xml:space="preserve"> </w:t>
      </w:r>
      <w:r w:rsidRPr="00E27443">
        <w:t>or</w:t>
      </w:r>
      <w:r w:rsidR="00C63F8F" w:rsidRPr="00E27443">
        <w:t xml:space="preserve"> </w:t>
      </w:r>
      <w:r w:rsidRPr="00E27443">
        <w:t>carries</w:t>
      </w:r>
      <w:r w:rsidR="00C63F8F" w:rsidRPr="00E27443">
        <w:t xml:space="preserve"> </w:t>
      </w:r>
      <w:r w:rsidRPr="00E27443">
        <w:t>out</w:t>
      </w:r>
      <w:r w:rsidR="00C63F8F" w:rsidRPr="00E27443">
        <w:t xml:space="preserve"> </w:t>
      </w:r>
      <w:r w:rsidRPr="00E27443">
        <w:t>work</w:t>
      </w:r>
      <w:r w:rsidR="00C63F8F" w:rsidRPr="00E27443">
        <w:t xml:space="preserve"> </w:t>
      </w:r>
      <w:r w:rsidRPr="00E27443">
        <w:t>as</w:t>
      </w:r>
      <w:r w:rsidR="00C63F8F" w:rsidRPr="00E27443">
        <w:t xml:space="preserve"> </w:t>
      </w:r>
      <w:r w:rsidRPr="00E27443">
        <w:t>hired</w:t>
      </w:r>
      <w:r w:rsidR="00C63F8F" w:rsidRPr="00E27443">
        <w:t xml:space="preserve"> </w:t>
      </w:r>
      <w:r w:rsidRPr="00E27443">
        <w:t>or</w:t>
      </w:r>
      <w:r w:rsidR="00C63F8F" w:rsidRPr="00E27443">
        <w:t xml:space="preserve"> </w:t>
      </w:r>
      <w:r w:rsidRPr="00E27443">
        <w:t>seconded</w:t>
      </w:r>
      <w:r w:rsidR="00C63F8F" w:rsidRPr="00E27443">
        <w:t xml:space="preserve"> </w:t>
      </w:r>
      <w:r w:rsidRPr="00E27443">
        <w:t>labour.</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working</w:t>
      </w:r>
      <w:r w:rsidR="00C63F8F" w:rsidRPr="00E27443">
        <w:t xml:space="preserve"> </w:t>
      </w:r>
      <w:r w:rsidRPr="00E27443">
        <w:t>life,</w:t>
      </w:r>
      <w:r w:rsidR="00C63F8F" w:rsidRPr="00E27443">
        <w:t xml:space="preserve"> </w:t>
      </w:r>
      <w:r w:rsidRPr="00E27443">
        <w:t>there</w:t>
      </w:r>
      <w:r w:rsidR="00C63F8F" w:rsidRPr="00E27443">
        <w:t xml:space="preserve"> </w:t>
      </w:r>
      <w:r w:rsidRPr="00E27443">
        <w:t>is</w:t>
      </w:r>
      <w:r w:rsidR="00C63F8F" w:rsidRPr="00E27443">
        <w:t xml:space="preserve"> </w:t>
      </w:r>
      <w:r w:rsidRPr="00E27443">
        <w:t>also</w:t>
      </w:r>
      <w:r w:rsidR="00C63F8F" w:rsidRPr="00E27443">
        <w:t xml:space="preserve"> </w:t>
      </w:r>
      <w:r w:rsidRPr="00E27443">
        <w:t>a</w:t>
      </w:r>
      <w:r w:rsidR="00C63F8F" w:rsidRPr="00E27443">
        <w:t xml:space="preserve"> </w:t>
      </w:r>
      <w:r w:rsidRPr="00E27443">
        <w:t>requirement</w:t>
      </w:r>
      <w:r w:rsidR="00C63F8F" w:rsidRPr="00E27443">
        <w:t xml:space="preserve"> </w:t>
      </w:r>
      <w:r w:rsidRPr="00E27443">
        <w:t>to</w:t>
      </w:r>
      <w:r w:rsidR="00C63F8F" w:rsidRPr="00E27443">
        <w:t xml:space="preserve"> </w:t>
      </w:r>
      <w:r w:rsidRPr="00E27443">
        <w:t>implement</w:t>
      </w:r>
      <w:r w:rsidR="00C63F8F" w:rsidRPr="00E27443">
        <w:t xml:space="preserve"> </w:t>
      </w:r>
      <w:r w:rsidRPr="00E27443">
        <w:t>reasonable</w:t>
      </w:r>
      <w:r w:rsidR="00C63F8F" w:rsidRPr="00E27443">
        <w:t xml:space="preserve"> </w:t>
      </w:r>
      <w:r w:rsidRPr="00E27443">
        <w:t>accommodations.</w:t>
      </w:r>
      <w:r w:rsidR="00C63F8F" w:rsidRPr="00E27443">
        <w:t xml:space="preserve"> </w:t>
      </w:r>
      <w:r w:rsidRPr="00E27443">
        <w:t>An</w:t>
      </w:r>
      <w:r w:rsidR="00C63F8F" w:rsidRPr="00E27443">
        <w:t xml:space="preserve"> </w:t>
      </w:r>
      <w:r w:rsidRPr="00E27443">
        <w:t>employer,</w:t>
      </w:r>
      <w:r w:rsidR="00C63F8F" w:rsidRPr="00E27443">
        <w:t xml:space="preserve"> </w:t>
      </w:r>
      <w:r w:rsidRPr="00E27443">
        <w:t>through</w:t>
      </w:r>
      <w:r w:rsidR="00C63F8F" w:rsidRPr="00E27443">
        <w:t xml:space="preserve"> </w:t>
      </w:r>
      <w:r w:rsidRPr="00E27443">
        <w:t>reasonable</w:t>
      </w:r>
      <w:r w:rsidR="00C63F8F" w:rsidRPr="00E27443">
        <w:t xml:space="preserve"> </w:t>
      </w:r>
      <w:r w:rsidRPr="00E27443">
        <w:t>accommodations,</w:t>
      </w:r>
      <w:r w:rsidR="00C63F8F" w:rsidRPr="00E27443">
        <w:t xml:space="preserve"> </w:t>
      </w:r>
      <w:r w:rsidRPr="00E27443">
        <w:t>must</w:t>
      </w:r>
      <w:r w:rsidR="00C63F8F" w:rsidRPr="00E27443">
        <w:t xml:space="preserve"> </w:t>
      </w:r>
      <w:r w:rsidRPr="00E27443">
        <w:t>ensure</w:t>
      </w:r>
      <w:r w:rsidR="00C63F8F" w:rsidRPr="00E27443">
        <w:t xml:space="preserve"> </w:t>
      </w:r>
      <w:r w:rsidRPr="00E27443">
        <w:t>that</w:t>
      </w:r>
      <w:r w:rsidR="00C63F8F" w:rsidRPr="00E27443">
        <w:t xml:space="preserve"> </w:t>
      </w:r>
      <w:r w:rsidRPr="00E27443">
        <w:t>an</w:t>
      </w:r>
      <w:r w:rsidR="00C63F8F" w:rsidRPr="00E27443">
        <w:t xml:space="preserve"> </w:t>
      </w:r>
      <w:r w:rsidRPr="00E27443">
        <w:t>employee,</w:t>
      </w:r>
      <w:r w:rsidR="00C63F8F" w:rsidRPr="00E27443">
        <w:t xml:space="preserve"> </w:t>
      </w:r>
      <w:r w:rsidRPr="00E27443">
        <w:t>a</w:t>
      </w:r>
      <w:r w:rsidR="00C63F8F" w:rsidRPr="00E27443">
        <w:t xml:space="preserve"> </w:t>
      </w:r>
      <w:r w:rsidRPr="00E27443">
        <w:t>job</w:t>
      </w:r>
      <w:r w:rsidR="00C63F8F" w:rsidRPr="00E27443">
        <w:t xml:space="preserve"> </w:t>
      </w:r>
      <w:r w:rsidRPr="00E27443">
        <w:t>applicant</w:t>
      </w:r>
      <w:r w:rsidR="00C63F8F" w:rsidRPr="00E27443">
        <w:t xml:space="preserve"> </w:t>
      </w:r>
      <w:r w:rsidRPr="00E27443">
        <w:t>or</w:t>
      </w:r>
      <w:r w:rsidR="00C63F8F" w:rsidRPr="00E27443">
        <w:t xml:space="preserve"> </w:t>
      </w:r>
      <w:r w:rsidRPr="00E27443">
        <w:t>a</w:t>
      </w:r>
      <w:r w:rsidR="00C63F8F" w:rsidRPr="00E27443">
        <w:t xml:space="preserve"> </w:t>
      </w:r>
      <w:r w:rsidRPr="00E27443">
        <w:t>person</w:t>
      </w:r>
      <w:r w:rsidR="00C63F8F" w:rsidRPr="00E27443">
        <w:t xml:space="preserve"> </w:t>
      </w:r>
      <w:r w:rsidRPr="00E27443">
        <w:t>on</w:t>
      </w:r>
      <w:r w:rsidR="00C63F8F" w:rsidRPr="00E27443">
        <w:t xml:space="preserve"> </w:t>
      </w:r>
      <w:r w:rsidRPr="00E27443">
        <w:t>a</w:t>
      </w:r>
      <w:r w:rsidR="00C63F8F" w:rsidRPr="00E27443">
        <w:t xml:space="preserve"> </w:t>
      </w:r>
      <w:r w:rsidRPr="00E27443">
        <w:t>work</w:t>
      </w:r>
      <w:r w:rsidR="00C63F8F" w:rsidRPr="00E27443">
        <w:t xml:space="preserve"> </w:t>
      </w:r>
      <w:r w:rsidRPr="00E27443">
        <w:t>placement</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is</w:t>
      </w:r>
      <w:r w:rsidR="00C63F8F" w:rsidRPr="00E27443">
        <w:t xml:space="preserve"> </w:t>
      </w:r>
      <w:r w:rsidRPr="00E27443">
        <w:t>placed</w:t>
      </w:r>
      <w:r w:rsidR="00C63F8F" w:rsidRPr="00E27443">
        <w:t xml:space="preserve"> </w:t>
      </w:r>
      <w:r w:rsidRPr="00E27443">
        <w:t>in</w:t>
      </w:r>
      <w:r w:rsidR="00C63F8F" w:rsidRPr="00E27443">
        <w:t xml:space="preserve"> </w:t>
      </w:r>
      <w:r w:rsidRPr="00E27443">
        <w:t>a</w:t>
      </w:r>
      <w:r w:rsidR="00C63F8F" w:rsidRPr="00E27443">
        <w:t xml:space="preserve"> </w:t>
      </w:r>
      <w:r w:rsidRPr="00E27443">
        <w:t>comparable</w:t>
      </w:r>
      <w:r w:rsidR="00C63F8F" w:rsidRPr="00E27443">
        <w:t xml:space="preserve"> </w:t>
      </w:r>
      <w:r w:rsidRPr="00E27443">
        <w:t>situation</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without</w:t>
      </w:r>
      <w:r w:rsidR="00C63F8F" w:rsidRPr="00E27443">
        <w:t xml:space="preserve"> </w:t>
      </w:r>
      <w:r w:rsidRPr="00E27443">
        <w:t>such</w:t>
      </w:r>
      <w:r w:rsidR="00C63F8F" w:rsidRPr="00E27443">
        <w:t xml:space="preserve"> </w:t>
      </w:r>
      <w:r w:rsidRPr="00E27443">
        <w:t>a</w:t>
      </w:r>
      <w:r w:rsidR="00C63F8F" w:rsidRPr="00E27443">
        <w:t xml:space="preserve"> </w:t>
      </w:r>
      <w:r w:rsidRPr="00E27443">
        <w:t>disability.</w:t>
      </w:r>
      <w:r w:rsidR="00C63F8F" w:rsidRPr="00E27443">
        <w:t xml:space="preserve"> </w:t>
      </w:r>
      <w:r w:rsidRPr="00E27443">
        <w:t>Measures</w:t>
      </w:r>
      <w:r w:rsidR="00C63F8F" w:rsidRPr="00E27443">
        <w:t xml:space="preserve"> </w:t>
      </w:r>
      <w:r w:rsidRPr="00E27443">
        <w:t>that</w:t>
      </w:r>
      <w:r w:rsidR="00C63F8F" w:rsidRPr="00E27443">
        <w:t xml:space="preserve"> </w:t>
      </w:r>
      <w:r w:rsidRPr="00E27443">
        <w:t>may</w:t>
      </w:r>
      <w:r w:rsidR="00C63F8F" w:rsidRPr="00E27443">
        <w:t xml:space="preserve"> </w:t>
      </w:r>
      <w:r w:rsidRPr="00E27443">
        <w:t>be</w:t>
      </w:r>
      <w:r w:rsidR="00C63F8F" w:rsidRPr="00E27443">
        <w:t xml:space="preserve"> </w:t>
      </w:r>
      <w:r w:rsidRPr="00E27443">
        <w:t>considered</w:t>
      </w:r>
      <w:r w:rsidR="00C63F8F" w:rsidRPr="00E27443">
        <w:t xml:space="preserve"> </w:t>
      </w:r>
      <w:r w:rsidRPr="00E27443">
        <w:t>can</w:t>
      </w:r>
      <w:r w:rsidR="00C63F8F" w:rsidRPr="00E27443">
        <w:t xml:space="preserve"> </w:t>
      </w:r>
      <w:r w:rsidRPr="00E27443">
        <w:t>include</w:t>
      </w:r>
      <w:r w:rsidR="00C63F8F" w:rsidRPr="00E27443">
        <w:t xml:space="preserve"> </w:t>
      </w:r>
      <w:r w:rsidRPr="00E27443">
        <w:t>those</w:t>
      </w:r>
      <w:r w:rsidR="00C63F8F" w:rsidRPr="00E27443">
        <w:t xml:space="preserve"> </w:t>
      </w:r>
      <w:r w:rsidRPr="00E27443">
        <w:t>that</w:t>
      </w:r>
      <w:r w:rsidR="00C63F8F" w:rsidRPr="00E27443">
        <w:t xml:space="preserve"> </w:t>
      </w:r>
      <w:r w:rsidRPr="00E27443">
        <w:t>are</w:t>
      </w:r>
      <w:r w:rsidR="00C63F8F" w:rsidRPr="00E27443">
        <w:t xml:space="preserve"> </w:t>
      </w:r>
      <w:r w:rsidRPr="00E27443">
        <w:t>intended</w:t>
      </w:r>
      <w:r w:rsidR="00C63F8F" w:rsidRPr="00E27443">
        <w:t xml:space="preserve"> </w:t>
      </w:r>
      <w:r w:rsidRPr="00E27443">
        <w:t>to</w:t>
      </w:r>
      <w:r w:rsidR="00C63F8F" w:rsidRPr="00E27443">
        <w:t xml:space="preserve"> </w:t>
      </w:r>
      <w:r w:rsidRPr="00E27443">
        <w:t>improve</w:t>
      </w:r>
      <w:r w:rsidR="00C63F8F" w:rsidRPr="00E27443">
        <w:t xml:space="preserve"> </w:t>
      </w:r>
      <w:r w:rsidRPr="00E27443">
        <w:t>physical</w:t>
      </w:r>
      <w:r w:rsidR="00C63F8F" w:rsidRPr="00E27443">
        <w:t xml:space="preserve"> </w:t>
      </w:r>
      <w:r w:rsidRPr="00E27443">
        <w:t>access</w:t>
      </w:r>
      <w:r w:rsidR="00C63F8F" w:rsidRPr="00E27443">
        <w:t xml:space="preserve"> </w:t>
      </w:r>
      <w:r w:rsidRPr="00E27443">
        <w:t>to</w:t>
      </w:r>
      <w:r w:rsidR="00C63F8F" w:rsidRPr="00E27443">
        <w:t xml:space="preserve"> </w:t>
      </w:r>
      <w:r w:rsidRPr="00E27443">
        <w:t>the</w:t>
      </w:r>
      <w:r w:rsidR="00C63F8F" w:rsidRPr="00E27443">
        <w:t xml:space="preserve"> </w:t>
      </w:r>
      <w:r w:rsidRPr="00E27443">
        <w:t>workplace</w:t>
      </w:r>
      <w:r w:rsidR="00C63F8F" w:rsidRPr="00E27443">
        <w:t xml:space="preserve"> </w:t>
      </w:r>
      <w:r w:rsidRPr="00E27443">
        <w:t>and</w:t>
      </w:r>
      <w:r w:rsidR="00C63F8F" w:rsidRPr="00E27443">
        <w:t xml:space="preserve"> </w:t>
      </w:r>
      <w:r w:rsidRPr="00E27443">
        <w:t>associated</w:t>
      </w:r>
      <w:r w:rsidR="00C63F8F" w:rsidRPr="00E27443">
        <w:t xml:space="preserve"> </w:t>
      </w:r>
      <w:r w:rsidRPr="00E27443">
        <w:t>premises,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make</w:t>
      </w:r>
      <w:r w:rsidR="00C63F8F" w:rsidRPr="00E27443">
        <w:t xml:space="preserve"> </w:t>
      </w:r>
      <w:r w:rsidRPr="00E27443">
        <w:t>the</w:t>
      </w:r>
      <w:r w:rsidR="00C63F8F" w:rsidRPr="00E27443">
        <w:t xml:space="preserve"> </w:t>
      </w:r>
      <w:r w:rsidRPr="00E27443">
        <w:t>premises</w:t>
      </w:r>
      <w:r w:rsidR="00C63F8F" w:rsidRPr="00E27443">
        <w:t xml:space="preserve"> </w:t>
      </w:r>
      <w:r w:rsidRPr="00E27443">
        <w:t>usable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might</w:t>
      </w:r>
      <w:r w:rsidR="00C63F8F" w:rsidRPr="00E27443">
        <w:t xml:space="preserve"> </w:t>
      </w:r>
      <w:r w:rsidRPr="00E27443">
        <w:t>include</w:t>
      </w:r>
      <w:r w:rsidR="00C63F8F" w:rsidRPr="00E27443">
        <w:t xml:space="preserve"> </w:t>
      </w:r>
      <w:r w:rsidRPr="00E27443">
        <w:t>technical</w:t>
      </w:r>
      <w:r w:rsidR="00C63F8F" w:rsidRPr="00E27443">
        <w:t xml:space="preserve"> </w:t>
      </w:r>
      <w:r w:rsidRPr="00E27443">
        <w:t>devices</w:t>
      </w:r>
      <w:r w:rsidR="00C63F8F" w:rsidRPr="00E27443">
        <w:t xml:space="preserve"> </w:t>
      </w:r>
      <w:r w:rsidRPr="00E27443">
        <w:t>and</w:t>
      </w:r>
      <w:r w:rsidR="00C63F8F" w:rsidRPr="00E27443">
        <w:t xml:space="preserve"> </w:t>
      </w:r>
      <w:r w:rsidRPr="00E27443">
        <w:t>special</w:t>
      </w:r>
      <w:r w:rsidR="00C63F8F" w:rsidRPr="00E27443">
        <w:t xml:space="preserve"> </w:t>
      </w:r>
      <w:r w:rsidRPr="00E27443">
        <w:t>work</w:t>
      </w:r>
      <w:r w:rsidR="00C63F8F" w:rsidRPr="00E27443">
        <w:t xml:space="preserve"> </w:t>
      </w:r>
      <w:r w:rsidRPr="00E27443">
        <w:t>tools</w:t>
      </w:r>
      <w:r w:rsidR="00C63F8F" w:rsidRPr="00E27443">
        <w:t xml:space="preserve"> </w:t>
      </w:r>
      <w:r w:rsidRPr="00E27443">
        <w:t>or</w:t>
      </w:r>
      <w:r w:rsidR="00C63F8F" w:rsidRPr="00E27443">
        <w:t xml:space="preserve"> </w:t>
      </w:r>
      <w:r w:rsidRPr="00E27443">
        <w:t>changes</w:t>
      </w:r>
      <w:r w:rsidR="00C63F8F" w:rsidRPr="00E27443">
        <w:t xml:space="preserve"> </w:t>
      </w:r>
      <w:r w:rsidRPr="00E27443">
        <w:t>to</w:t>
      </w:r>
      <w:r w:rsidR="00C63F8F" w:rsidRPr="00E27443">
        <w:t xml:space="preserve"> </w:t>
      </w:r>
      <w:r w:rsidRPr="00E27443">
        <w:t>the</w:t>
      </w:r>
      <w:r w:rsidR="00C63F8F" w:rsidRPr="00E27443">
        <w:t xml:space="preserve"> </w:t>
      </w:r>
      <w:r w:rsidRPr="00E27443">
        <w:t>physical</w:t>
      </w:r>
      <w:r w:rsidR="00C63F8F" w:rsidRPr="00E27443">
        <w:t xml:space="preserve"> </w:t>
      </w:r>
      <w:r w:rsidRPr="00E27443">
        <w:t>working</w:t>
      </w:r>
      <w:r w:rsidR="00C63F8F" w:rsidRPr="00E27443">
        <w:t xml:space="preserve"> </w:t>
      </w:r>
      <w:r w:rsidRPr="00E27443">
        <w:t>environment.</w:t>
      </w:r>
      <w:r w:rsidR="00C63F8F" w:rsidRPr="00E27443">
        <w:t xml:space="preserve"> </w:t>
      </w:r>
      <w:r w:rsidRPr="00E27443">
        <w:t>This</w:t>
      </w:r>
      <w:r w:rsidR="00C63F8F" w:rsidRPr="00E27443">
        <w:t xml:space="preserve"> </w:t>
      </w:r>
      <w:r w:rsidRPr="00E27443">
        <w:t>might</w:t>
      </w:r>
      <w:r w:rsidR="00C63F8F" w:rsidRPr="00E27443">
        <w:t xml:space="preserve"> </w:t>
      </w:r>
      <w:r w:rsidRPr="00E27443">
        <w:t>entail</w:t>
      </w:r>
      <w:r w:rsidR="00C63F8F" w:rsidRPr="00E27443">
        <w:t xml:space="preserve"> </w:t>
      </w:r>
      <w:r w:rsidRPr="00E27443">
        <w:t>stronger</w:t>
      </w:r>
      <w:r w:rsidR="00C63F8F" w:rsidRPr="00E27443">
        <w:t xml:space="preserve"> </w:t>
      </w:r>
      <w:r w:rsidRPr="00E27443">
        <w:t>lighting</w:t>
      </w:r>
      <w:r w:rsidR="00C63F8F" w:rsidRPr="00E27443">
        <w:t xml:space="preserve"> </w:t>
      </w:r>
      <w:r w:rsidRPr="00E27443">
        <w:t>for</w:t>
      </w:r>
      <w:r w:rsidR="00C63F8F" w:rsidRPr="00E27443">
        <w:t xml:space="preserve"> </w:t>
      </w:r>
      <w:r w:rsidRPr="00E27443">
        <w:t>a</w:t>
      </w:r>
      <w:r w:rsidR="00C63F8F" w:rsidRPr="00E27443">
        <w:t xml:space="preserve"> </w:t>
      </w:r>
      <w:r w:rsidRPr="00E27443">
        <w:t>person</w:t>
      </w:r>
      <w:r w:rsidR="00C63F8F" w:rsidRPr="00E27443">
        <w:t xml:space="preserve"> </w:t>
      </w:r>
      <w:r w:rsidRPr="00E27443">
        <w:t>who</w:t>
      </w:r>
      <w:r w:rsidR="00C63F8F" w:rsidRPr="00E27443">
        <w:t xml:space="preserve"> </w:t>
      </w:r>
      <w:r w:rsidRPr="00E27443">
        <w:t>is</w:t>
      </w:r>
      <w:r w:rsidR="00C63F8F" w:rsidRPr="00E27443">
        <w:t xml:space="preserve"> </w:t>
      </w:r>
      <w:r w:rsidRPr="00E27443">
        <w:t>visually</w:t>
      </w:r>
      <w:r w:rsidR="00C63F8F" w:rsidRPr="00E27443">
        <w:t xml:space="preserve"> </w:t>
      </w:r>
      <w:r w:rsidRPr="00E27443">
        <w:t>impaired,</w:t>
      </w:r>
      <w:r w:rsidR="00C63F8F" w:rsidRPr="00E27443">
        <w:t xml:space="preserve"> </w:t>
      </w:r>
      <w:r w:rsidRPr="00E27443">
        <w:t>good</w:t>
      </w:r>
      <w:r w:rsidR="00C63F8F" w:rsidRPr="00E27443">
        <w:t xml:space="preserve"> </w:t>
      </w:r>
      <w:r w:rsidRPr="00E27443">
        <w:t>ventilation</w:t>
      </w:r>
      <w:r w:rsidR="00C63F8F" w:rsidRPr="00E27443">
        <w:t xml:space="preserve"> </w:t>
      </w:r>
      <w:r w:rsidRPr="00E27443">
        <w:t>for</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allergies,</w:t>
      </w:r>
      <w:r w:rsidR="00C63F8F" w:rsidRPr="00E27443">
        <w:t xml:space="preserve"> </w:t>
      </w:r>
      <w:r w:rsidRPr="00E27443">
        <w:t>technical</w:t>
      </w:r>
      <w:r w:rsidR="00C63F8F" w:rsidRPr="00E27443">
        <w:t xml:space="preserve"> </w:t>
      </w:r>
      <w:r w:rsidRPr="00E27443">
        <w:t>devices</w:t>
      </w:r>
      <w:r w:rsidR="00C63F8F" w:rsidRPr="00E27443">
        <w:t xml:space="preserve"> </w:t>
      </w:r>
      <w:r w:rsidRPr="00E27443">
        <w:t>to</w:t>
      </w:r>
      <w:r w:rsidR="00C63F8F" w:rsidRPr="00E27443">
        <w:t xml:space="preserve"> </w:t>
      </w:r>
      <w:r w:rsidRPr="00E27443">
        <w:t>facilitate</w:t>
      </w:r>
      <w:r w:rsidR="00C63F8F" w:rsidRPr="00E27443">
        <w:t xml:space="preserve"> </w:t>
      </w:r>
      <w:r w:rsidRPr="00E27443">
        <w:t>lifting</w:t>
      </w:r>
      <w:r w:rsidR="00C63F8F" w:rsidRPr="00E27443">
        <w:t xml:space="preserve"> </w:t>
      </w:r>
      <w:r w:rsidRPr="00E27443">
        <w:t>and</w:t>
      </w:r>
      <w:r w:rsidR="00C63F8F" w:rsidRPr="00E27443">
        <w:t xml:space="preserve"> </w:t>
      </w:r>
      <w:r w:rsidRPr="00E27443">
        <w:t>transport,</w:t>
      </w:r>
      <w:r w:rsidR="00C63F8F" w:rsidRPr="00E27443">
        <w:t xml:space="preserve"> </w:t>
      </w:r>
      <w:r w:rsidRPr="00E27443">
        <w:t>computer</w:t>
      </w:r>
      <w:r w:rsidR="00C63F8F" w:rsidRPr="00E27443">
        <w:t xml:space="preserve"> </w:t>
      </w:r>
      <w:r w:rsidRPr="00E27443">
        <w:t>support,</w:t>
      </w:r>
      <w:r w:rsidR="00C63F8F" w:rsidRPr="00E27443">
        <w:t xml:space="preserve"> </w:t>
      </w:r>
      <w:r w:rsidRPr="00E27443">
        <w:t>etc.</w:t>
      </w:r>
      <w:r w:rsidR="00C63F8F" w:rsidRPr="00E27443">
        <w:t xml:space="preserve"> </w:t>
      </w:r>
      <w:r w:rsidRPr="00E27443">
        <w:t>Changes</w:t>
      </w:r>
      <w:r w:rsidR="00C63F8F" w:rsidRPr="00E27443">
        <w:t xml:space="preserve"> </w:t>
      </w:r>
      <w:r w:rsidRPr="00E27443">
        <w:t>to</w:t>
      </w:r>
      <w:r w:rsidR="00C63F8F" w:rsidRPr="00E27443">
        <w:t xml:space="preserve"> </w:t>
      </w:r>
      <w:r w:rsidRPr="00E27443">
        <w:t>work</w:t>
      </w:r>
      <w:r w:rsidR="00C63F8F" w:rsidRPr="00E27443">
        <w:t xml:space="preserve"> </w:t>
      </w:r>
      <w:r w:rsidRPr="00E27443">
        <w:t>duties,</w:t>
      </w:r>
      <w:r w:rsidR="00C63F8F" w:rsidRPr="00E27443">
        <w:t xml:space="preserve"> </w:t>
      </w:r>
      <w:r w:rsidRPr="00E27443">
        <w:t>working</w:t>
      </w:r>
      <w:r w:rsidR="00C63F8F" w:rsidRPr="00E27443">
        <w:t xml:space="preserve"> </w:t>
      </w:r>
      <w:r w:rsidRPr="00E27443">
        <w:t>hours</w:t>
      </w:r>
      <w:r w:rsidR="00C63F8F" w:rsidRPr="00E27443">
        <w:t xml:space="preserve"> </w:t>
      </w:r>
      <w:r w:rsidRPr="00E27443">
        <w:t>and</w:t>
      </w:r>
      <w:r w:rsidR="00C63F8F" w:rsidRPr="00E27443">
        <w:t xml:space="preserve"> </w:t>
      </w:r>
      <w:r w:rsidRPr="00E27443">
        <w:t>working</w:t>
      </w:r>
      <w:r w:rsidR="00C63F8F" w:rsidRPr="00E27443">
        <w:t xml:space="preserve"> </w:t>
      </w:r>
      <w:r w:rsidRPr="00E27443">
        <w:t>methods</w:t>
      </w:r>
      <w:r w:rsidR="00C63F8F" w:rsidRPr="00E27443">
        <w:t xml:space="preserve"> </w:t>
      </w:r>
      <w:r w:rsidRPr="00E27443">
        <w:t>may</w:t>
      </w:r>
      <w:r w:rsidR="00C63F8F" w:rsidRPr="00E27443">
        <w:t xml:space="preserve"> </w:t>
      </w:r>
      <w:r w:rsidRPr="00E27443">
        <w:t>also</w:t>
      </w:r>
      <w:r w:rsidR="00C63F8F" w:rsidRPr="00E27443">
        <w:t xml:space="preserve"> </w:t>
      </w:r>
      <w:r w:rsidRPr="00E27443">
        <w:t>be</w:t>
      </w:r>
      <w:r w:rsidR="00C63F8F" w:rsidRPr="00E27443">
        <w:t xml:space="preserve"> </w:t>
      </w:r>
      <w:r w:rsidRPr="00E27443">
        <w:t>appropriate.</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Education</w:t>
      </w:r>
      <w:r w:rsidR="00C63F8F" w:rsidRPr="00E27443">
        <w:t xml:space="preserve"> </w:t>
      </w:r>
      <w:r w:rsidRPr="00E27443">
        <w:t>providers</w:t>
      </w:r>
      <w:r w:rsidR="00C63F8F" w:rsidRPr="00E27443">
        <w:t xml:space="preserve"> </w:t>
      </w:r>
      <w:r w:rsidRPr="00E27443">
        <w:t>may</w:t>
      </w:r>
      <w:r w:rsidR="00C63F8F" w:rsidRPr="00E27443">
        <w:t xml:space="preserve"> </w:t>
      </w:r>
      <w:r w:rsidRPr="00E27443">
        <w:t>not</w:t>
      </w:r>
      <w:r w:rsidR="00C63F8F" w:rsidRPr="00E27443">
        <w:t xml:space="preserve"> </w:t>
      </w:r>
      <w:r w:rsidRPr="00E27443">
        <w:t>discriminate</w:t>
      </w:r>
      <w:r w:rsidR="00C63F8F" w:rsidRPr="00E27443">
        <w:t xml:space="preserve"> </w:t>
      </w:r>
      <w:r w:rsidRPr="00E27443">
        <w:t>against</w:t>
      </w:r>
      <w:r w:rsidR="00C63F8F" w:rsidRPr="00E27443">
        <w:t xml:space="preserve"> </w:t>
      </w:r>
      <w:r w:rsidRPr="00E27443">
        <w:t>a</w:t>
      </w:r>
      <w:r w:rsidR="00C63F8F" w:rsidRPr="00E27443">
        <w:t xml:space="preserve"> </w:t>
      </w:r>
      <w:r w:rsidRPr="00E27443">
        <w:t>child,</w:t>
      </w:r>
      <w:r w:rsidR="00C63F8F" w:rsidRPr="00E27443">
        <w:t xml:space="preserve"> </w:t>
      </w:r>
      <w:r w:rsidRPr="00E27443">
        <w:t>pupil</w:t>
      </w:r>
      <w:r w:rsidR="00C63F8F" w:rsidRPr="00E27443">
        <w:t xml:space="preserve"> </w:t>
      </w:r>
      <w:r w:rsidRPr="00E27443">
        <w:t>or</w:t>
      </w:r>
      <w:r w:rsidR="00C63F8F" w:rsidRPr="00E27443">
        <w:t xml:space="preserve"> </w:t>
      </w:r>
      <w:r w:rsidRPr="00E27443">
        <w:t>student</w:t>
      </w:r>
      <w:r w:rsidR="00C63F8F" w:rsidRPr="00E27443">
        <w:t xml:space="preserve"> </w:t>
      </w:r>
      <w:r w:rsidRPr="00E27443">
        <w:t>partici</w:t>
      </w:r>
      <w:r w:rsidRPr="00E27443">
        <w:softHyphen/>
        <w:t>pating</w:t>
      </w:r>
      <w:r w:rsidR="00C63F8F" w:rsidRPr="00E27443">
        <w:t xml:space="preserve"> </w:t>
      </w:r>
      <w:r w:rsidRPr="00E27443">
        <w:t>in</w:t>
      </w:r>
      <w:r w:rsidR="00C63F8F" w:rsidRPr="00E27443">
        <w:t xml:space="preserve"> </w:t>
      </w:r>
      <w:r w:rsidRPr="00E27443">
        <w:t>or</w:t>
      </w:r>
      <w:r w:rsidR="00C63F8F" w:rsidRPr="00E27443">
        <w:t xml:space="preserve"> </w:t>
      </w:r>
      <w:r w:rsidRPr="00E27443">
        <w:t>applying</w:t>
      </w:r>
      <w:r w:rsidR="00C63F8F" w:rsidRPr="00E27443">
        <w:t xml:space="preserve"> </w:t>
      </w:r>
      <w:r w:rsidRPr="00E27443">
        <w:t>for</w:t>
      </w:r>
      <w:r w:rsidR="00C63F8F" w:rsidRPr="00E27443">
        <w:t xml:space="preserve"> </w:t>
      </w:r>
      <w:r w:rsidRPr="00E27443">
        <w:t>an</w:t>
      </w:r>
      <w:r w:rsidR="00C63F8F" w:rsidRPr="00E27443">
        <w:t xml:space="preserve"> </w:t>
      </w:r>
      <w:r w:rsidRPr="00E27443">
        <w:t>activity.</w:t>
      </w:r>
      <w:r w:rsidR="00590C1E" w:rsidRPr="00E27443">
        <w:rPr>
          <w:rStyle w:val="FootnoteReference"/>
        </w:rPr>
        <w:footnoteReference w:id="15"/>
      </w:r>
      <w:r w:rsidR="00C63F8F" w:rsidRPr="00E27443">
        <w:t xml:space="preserve"> </w:t>
      </w:r>
      <w:r w:rsidRPr="00E27443">
        <w:t>The</w:t>
      </w:r>
      <w:r w:rsidR="00C63F8F" w:rsidRPr="00E27443">
        <w:t xml:space="preserve"> </w:t>
      </w:r>
      <w:r w:rsidRPr="00E27443">
        <w:t>prohibition</w:t>
      </w:r>
      <w:r w:rsidR="00C63F8F" w:rsidRPr="00E27443">
        <w:t xml:space="preserve"> </w:t>
      </w:r>
      <w:r w:rsidRPr="00E27443">
        <w:t>of</w:t>
      </w:r>
      <w:r w:rsidR="00C63F8F" w:rsidRPr="00E27443">
        <w:t xml:space="preserve"> </w:t>
      </w:r>
      <w:r w:rsidRPr="00E27443">
        <w:t>discrimination</w:t>
      </w:r>
      <w:r w:rsidR="00C63F8F" w:rsidRPr="00E27443">
        <w:t xml:space="preserve"> </w:t>
      </w:r>
      <w:r w:rsidRPr="00E27443">
        <w:t>also</w:t>
      </w:r>
      <w:r w:rsidR="00C63F8F" w:rsidRPr="00E27443">
        <w:t xml:space="preserve"> </w:t>
      </w:r>
      <w:r w:rsidRPr="00E27443">
        <w:t>applies</w:t>
      </w:r>
      <w:r w:rsidR="00C63F8F" w:rsidRPr="00E27443">
        <w:t xml:space="preserve"> </w:t>
      </w:r>
      <w:r w:rsidRPr="00E27443">
        <w:t>in</w:t>
      </w:r>
      <w:r w:rsidR="00C63F8F" w:rsidRPr="00E27443">
        <w:t xml:space="preserve"> </w:t>
      </w:r>
      <w:r w:rsidRPr="00E27443">
        <w:t>the</w:t>
      </w:r>
      <w:r w:rsidR="00C63F8F" w:rsidRPr="00E27443">
        <w:t xml:space="preserve"> </w:t>
      </w:r>
      <w:r w:rsidRPr="00E27443">
        <w:t>event</w:t>
      </w:r>
      <w:r w:rsidR="00C63F8F" w:rsidRPr="00E27443">
        <w:t xml:space="preserve"> </w:t>
      </w:r>
      <w:r w:rsidRPr="00E27443">
        <w:t>an</w:t>
      </w:r>
      <w:r w:rsidR="00C63F8F" w:rsidRPr="00E27443">
        <w:t xml:space="preserve"> </w:t>
      </w:r>
      <w:r w:rsidRPr="00E27443">
        <w:t>education</w:t>
      </w:r>
      <w:r w:rsidR="00C63F8F" w:rsidRPr="00E27443">
        <w:t xml:space="preserve"> </w:t>
      </w:r>
      <w:r w:rsidRPr="00E27443">
        <w:t>providers,</w:t>
      </w:r>
      <w:r w:rsidR="00C63F8F" w:rsidRPr="00E27443">
        <w:t xml:space="preserve"> </w:t>
      </w:r>
      <w:r w:rsidRPr="00E27443">
        <w:t>through</w:t>
      </w:r>
      <w:r w:rsidR="00C63F8F" w:rsidRPr="00E27443">
        <w:t xml:space="preserve"> </w:t>
      </w:r>
      <w:r w:rsidRPr="00E27443">
        <w:t>reasonable</w:t>
      </w:r>
      <w:r w:rsidR="00C63F8F" w:rsidRPr="00E27443">
        <w:t xml:space="preserve"> </w:t>
      </w:r>
      <w:r w:rsidRPr="00E27443">
        <w:t>measures</w:t>
      </w:r>
      <w:r w:rsidR="00C63F8F" w:rsidRPr="00E27443">
        <w:t xml:space="preserve"> </w:t>
      </w:r>
      <w:r w:rsidRPr="00E27443">
        <w:t>in</w:t>
      </w:r>
      <w:r w:rsidR="00C63F8F" w:rsidRPr="00E27443">
        <w:t xml:space="preserve"> </w:t>
      </w:r>
      <w:r w:rsidRPr="00E27443">
        <w:t>respect</w:t>
      </w:r>
      <w:r w:rsidR="00C63F8F" w:rsidRPr="00E27443">
        <w:t xml:space="preserve"> </w:t>
      </w:r>
      <w:r w:rsidRPr="00E27443">
        <w:t>of</w:t>
      </w:r>
      <w:r w:rsidR="00C63F8F" w:rsidRPr="00E27443">
        <w:t xml:space="preserve"> </w:t>
      </w:r>
      <w:r w:rsidRPr="00E27443">
        <w:t>the</w:t>
      </w:r>
      <w:r w:rsidR="00C63F8F" w:rsidRPr="00E27443">
        <w:t xml:space="preserve"> </w:t>
      </w:r>
      <w:r w:rsidRPr="00E27443">
        <w:t>premises</w:t>
      </w:r>
      <w:r w:rsidR="00C63F8F" w:rsidRPr="00E27443">
        <w:t xml:space="preserve">’ </w:t>
      </w:r>
      <w:r w:rsidRPr="00E27443">
        <w:t>accessibility</w:t>
      </w:r>
      <w:r w:rsidR="00C63F8F" w:rsidRPr="00E27443">
        <w:t xml:space="preserve"> </w:t>
      </w:r>
      <w:r w:rsidRPr="00E27443">
        <w:t>or</w:t>
      </w:r>
      <w:r w:rsidR="00C63F8F" w:rsidRPr="00E27443">
        <w:t xml:space="preserve"> </w:t>
      </w:r>
      <w:r w:rsidRPr="00E27443">
        <w:t>usability,</w:t>
      </w:r>
      <w:r w:rsidR="00C63F8F" w:rsidRPr="00E27443">
        <w:t xml:space="preserve"> </w:t>
      </w:r>
      <w:r w:rsidRPr="00E27443">
        <w:t>can</w:t>
      </w:r>
      <w:r w:rsidR="00C63F8F" w:rsidRPr="00E27443">
        <w:t xml:space="preserve"> </w:t>
      </w:r>
      <w:r w:rsidRPr="00E27443">
        <w:t>ensure</w:t>
      </w:r>
      <w:r w:rsidR="00C63F8F" w:rsidRPr="00E27443">
        <w:t xml:space="preserve"> </w:t>
      </w:r>
      <w:r w:rsidRPr="00E27443">
        <w:t>that</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disability</w:t>
      </w:r>
      <w:r w:rsidR="00C63F8F" w:rsidRPr="00E27443">
        <w:t xml:space="preserve"> </w:t>
      </w:r>
      <w:r w:rsidRPr="00E27443">
        <w:t>who</w:t>
      </w:r>
      <w:r w:rsidR="00C63F8F" w:rsidRPr="00E27443">
        <w:t xml:space="preserve"> </w:t>
      </w:r>
      <w:r w:rsidRPr="00E27443">
        <w:t>applies</w:t>
      </w:r>
      <w:r w:rsidR="00C63F8F" w:rsidRPr="00E27443">
        <w:t xml:space="preserve"> </w:t>
      </w:r>
      <w:r w:rsidRPr="00E27443">
        <w:t>for</w:t>
      </w:r>
      <w:r w:rsidR="00C63F8F" w:rsidRPr="00E27443">
        <w:t xml:space="preserve"> </w:t>
      </w:r>
      <w:r w:rsidRPr="00E27443">
        <w:t>or</w:t>
      </w:r>
      <w:r w:rsidR="00C63F8F" w:rsidRPr="00E27443">
        <w:t xml:space="preserve"> </w:t>
      </w:r>
      <w:r w:rsidRPr="00E27443">
        <w:t>has</w:t>
      </w:r>
      <w:r w:rsidR="00C63F8F" w:rsidRPr="00E27443">
        <w:t xml:space="preserve"> </w:t>
      </w:r>
      <w:r w:rsidRPr="00E27443">
        <w:t>been</w:t>
      </w:r>
      <w:r w:rsidR="00C63F8F" w:rsidRPr="00E27443">
        <w:t xml:space="preserve"> </w:t>
      </w:r>
      <w:r w:rsidRPr="00E27443">
        <w:t>accepted</w:t>
      </w:r>
      <w:r w:rsidR="00C63F8F" w:rsidRPr="00E27443">
        <w:t xml:space="preserve"> </w:t>
      </w:r>
      <w:r w:rsidRPr="00E27443">
        <w:t>on</w:t>
      </w:r>
      <w:r w:rsidR="00C63F8F" w:rsidRPr="00E27443">
        <w:t xml:space="preserve"> </w:t>
      </w:r>
      <w:r w:rsidRPr="00E27443">
        <w:t>a</w:t>
      </w:r>
      <w:r w:rsidR="00C63F8F" w:rsidRPr="00E27443">
        <w:t xml:space="preserve"> </w:t>
      </w:r>
      <w:r w:rsidRPr="00E27443">
        <w:t>course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Higher</w:t>
      </w:r>
      <w:r w:rsidR="00C63F8F" w:rsidRPr="00E27443">
        <w:t xml:space="preserve"> </w:t>
      </w:r>
      <w:r w:rsidRPr="00E27443">
        <w:t>Education</w:t>
      </w:r>
      <w:r w:rsidR="00C63F8F" w:rsidRPr="00E27443">
        <w:t xml:space="preserve"> </w:t>
      </w:r>
      <w:r w:rsidRPr="00E27443">
        <w:t>Act</w:t>
      </w:r>
      <w:r w:rsidR="00590C1E" w:rsidRPr="00E27443">
        <w:rPr>
          <w:rStyle w:val="FootnoteReference"/>
        </w:rPr>
        <w:footnoteReference w:id="16"/>
      </w:r>
      <w:r w:rsidR="00C63F8F" w:rsidRPr="00E27443">
        <w:t xml:space="preserve"> </w:t>
      </w:r>
      <w:r w:rsidRPr="00E27443">
        <w:t>or</w:t>
      </w:r>
      <w:r w:rsidR="00C63F8F" w:rsidRPr="00E27443">
        <w:t xml:space="preserve"> </w:t>
      </w:r>
      <w:r w:rsidRPr="00E27443">
        <w:t>on</w:t>
      </w:r>
      <w:r w:rsidR="00C63F8F" w:rsidRPr="00E27443">
        <w:t xml:space="preserve"> </w:t>
      </w:r>
      <w:r w:rsidRPr="00E27443">
        <w:t>a</w:t>
      </w:r>
      <w:r w:rsidR="00C63F8F" w:rsidRPr="00E27443">
        <w:t xml:space="preserve"> </w:t>
      </w:r>
      <w:r w:rsidRPr="00E27443">
        <w:t>course</w:t>
      </w:r>
      <w:r w:rsidR="00C63F8F" w:rsidRPr="00E27443">
        <w:t xml:space="preserve"> </w:t>
      </w:r>
      <w:r w:rsidRPr="00E27443">
        <w:t>that</w:t>
      </w:r>
      <w:r w:rsidR="00C63F8F" w:rsidRPr="00E27443">
        <w:t xml:space="preserve"> </w:t>
      </w:r>
      <w:r w:rsidRPr="00E27443">
        <w:t>can</w:t>
      </w:r>
      <w:r w:rsidR="00C63F8F" w:rsidRPr="00E27443">
        <w:t xml:space="preserve"> </w:t>
      </w:r>
      <w:r w:rsidRPr="00E27443">
        <w:t>result</w:t>
      </w:r>
      <w:r w:rsidR="00C63F8F" w:rsidRPr="00E27443">
        <w:t xml:space="preserve"> </w:t>
      </w:r>
      <w:r w:rsidRPr="00E27443">
        <w:t>in</w:t>
      </w:r>
      <w:r w:rsidR="00C63F8F" w:rsidRPr="00E27443">
        <w:t xml:space="preserve"> </w:t>
      </w:r>
      <w:r w:rsidRPr="00E27443">
        <w:t>a</w:t>
      </w:r>
      <w:r w:rsidR="00C63F8F" w:rsidRPr="00E27443">
        <w:t xml:space="preserve"> </w:t>
      </w:r>
      <w:r w:rsidRPr="00E27443">
        <w:t>degree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Award</w:t>
      </w:r>
      <w:r w:rsidR="00C63F8F" w:rsidRPr="00E27443">
        <w:t xml:space="preserve"> </w:t>
      </w:r>
      <w:r w:rsidRPr="00E27443">
        <w:t>of</w:t>
      </w:r>
      <w:r w:rsidR="00C63F8F" w:rsidRPr="00E27443">
        <w:t xml:space="preserve"> </w:t>
      </w:r>
      <w:r w:rsidRPr="00E27443">
        <w:t>Certain</w:t>
      </w:r>
      <w:r w:rsidR="00C63F8F" w:rsidRPr="00E27443">
        <w:t xml:space="preserve"> </w:t>
      </w:r>
      <w:r w:rsidRPr="00E27443">
        <w:t>Degrees</w:t>
      </w:r>
      <w:r w:rsidR="00C63F8F" w:rsidRPr="00E27443">
        <w:t xml:space="preserve"> </w:t>
      </w:r>
      <w:r w:rsidRPr="00E27443">
        <w:t>Licensing</w:t>
      </w:r>
      <w:r w:rsidR="00C63F8F" w:rsidRPr="00E27443">
        <w:t xml:space="preserve"> </w:t>
      </w:r>
      <w:r w:rsidRPr="00E27443">
        <w:t>Act,</w:t>
      </w:r>
      <w:r w:rsidR="00590C1E" w:rsidRPr="00E27443">
        <w:rPr>
          <w:rStyle w:val="FootnoteReference"/>
        </w:rPr>
        <w:footnoteReference w:id="17"/>
      </w:r>
      <w:r w:rsidR="00C63F8F" w:rsidRPr="00E27443">
        <w:t xml:space="preserve"> </w:t>
      </w:r>
      <w:r w:rsidRPr="00E27443">
        <w:t>achieves</w:t>
      </w:r>
      <w:r w:rsidR="00C63F8F" w:rsidRPr="00E27443">
        <w:t xml:space="preserve"> </w:t>
      </w:r>
      <w:r w:rsidRPr="00E27443">
        <w:t>a</w:t>
      </w:r>
      <w:r w:rsidR="00C63F8F" w:rsidRPr="00E27443">
        <w:t xml:space="preserve"> </w:t>
      </w:r>
      <w:r w:rsidRPr="00E27443">
        <w:t>comparable</w:t>
      </w:r>
      <w:r w:rsidR="00C63F8F" w:rsidRPr="00E27443">
        <w:t xml:space="preserve"> </w:t>
      </w:r>
      <w:r w:rsidRPr="00E27443">
        <w:t>situation</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without</w:t>
      </w:r>
      <w:r w:rsidR="00C63F8F" w:rsidRPr="00E27443">
        <w:t xml:space="preserve"> </w:t>
      </w:r>
      <w:r w:rsidRPr="00E27443">
        <w:t>such</w:t>
      </w:r>
      <w:r w:rsidR="00C63F8F" w:rsidRPr="00E27443">
        <w:t xml:space="preserve"> </w:t>
      </w:r>
      <w:r w:rsidRPr="00E27443">
        <w:t>a</w:t>
      </w:r>
      <w:r w:rsidR="00C63F8F" w:rsidRPr="00E27443">
        <w:t xml:space="preserve"> </w:t>
      </w:r>
      <w:r w:rsidRPr="00E27443">
        <w:t>disability.</w:t>
      </w:r>
      <w:r w:rsidR="00590C1E" w:rsidRPr="00E27443">
        <w:rPr>
          <w:rStyle w:val="FootnoteReference"/>
        </w:rPr>
        <w:footnoteReference w:id="18"/>
      </w:r>
      <w:r w:rsidR="00C63F8F" w:rsidRPr="00E27443">
        <w:t xml:space="preserve"> </w:t>
      </w:r>
      <w:r w:rsidRPr="00E27443">
        <w:t>Measures</w:t>
      </w:r>
      <w:r w:rsidR="00C63F8F" w:rsidRPr="00E27443">
        <w:t xml:space="preserve"> </w:t>
      </w:r>
      <w:r w:rsidRPr="00E27443">
        <w:t>that</w:t>
      </w:r>
      <w:r w:rsidR="00C63F8F" w:rsidRPr="00E27443">
        <w:t xml:space="preserve"> </w:t>
      </w:r>
      <w:r w:rsidRPr="00E27443">
        <w:t>may</w:t>
      </w:r>
      <w:r w:rsidR="00C63F8F" w:rsidRPr="00E27443">
        <w:t xml:space="preserve"> </w:t>
      </w:r>
      <w:r w:rsidRPr="00E27443">
        <w:t>come</w:t>
      </w:r>
      <w:r w:rsidR="00C63F8F" w:rsidRPr="00E27443">
        <w:t xml:space="preserve"> </w:t>
      </w:r>
      <w:r w:rsidRPr="00E27443">
        <w:t>into</w:t>
      </w:r>
      <w:r w:rsidR="00C63F8F" w:rsidRPr="00E27443">
        <w:t xml:space="preserve"> </w:t>
      </w:r>
      <w:r w:rsidRPr="00E27443">
        <w:t>question</w:t>
      </w:r>
      <w:r w:rsidR="00C63F8F" w:rsidRPr="00E27443">
        <w:t xml:space="preserve"> </w:t>
      </w:r>
      <w:r w:rsidRPr="00E27443">
        <w:t>relate</w:t>
      </w:r>
      <w:r w:rsidR="00C63F8F" w:rsidRPr="00E27443">
        <w:t xml:space="preserve"> </w:t>
      </w:r>
      <w:r w:rsidRPr="00E27443">
        <w:t>to</w:t>
      </w:r>
      <w:r w:rsidR="00C63F8F" w:rsidRPr="00E27443">
        <w:t xml:space="preserve"> </w:t>
      </w:r>
      <w:r w:rsidRPr="00E27443">
        <w:t>improving</w:t>
      </w:r>
      <w:r w:rsidR="00C63F8F" w:rsidRPr="00E27443">
        <w:t xml:space="preserve"> </w:t>
      </w:r>
      <w:r w:rsidRPr="00E27443">
        <w:t>the</w:t>
      </w:r>
      <w:r w:rsidR="00C63F8F" w:rsidRPr="00E27443">
        <w:t xml:space="preserve"> </w:t>
      </w:r>
      <w:r w:rsidRPr="00E27443">
        <w:t>physical</w:t>
      </w:r>
      <w:r w:rsidR="00C63F8F" w:rsidRPr="00E27443">
        <w:t xml:space="preserve"> </w:t>
      </w:r>
      <w:r w:rsidRPr="00E27443">
        <w:t>access</w:t>
      </w:r>
      <w:r w:rsidR="00C63F8F" w:rsidRPr="00E27443">
        <w:t xml:space="preserve"> </w:t>
      </w:r>
      <w:r w:rsidRPr="00E27443">
        <w:t>to</w:t>
      </w:r>
      <w:r w:rsidR="00C63F8F" w:rsidRPr="00E27443">
        <w:t xml:space="preserve"> </w:t>
      </w:r>
      <w:r w:rsidRPr="00E27443">
        <w:t>the</w:t>
      </w:r>
      <w:r w:rsidR="00C63F8F" w:rsidRPr="00E27443">
        <w:t xml:space="preserve"> </w:t>
      </w:r>
      <w:r w:rsidRPr="00E27443">
        <w:t>university</w:t>
      </w:r>
      <w:r w:rsidR="00C63F8F" w:rsidRPr="00E27443">
        <w:t xml:space="preserve"> </w:t>
      </w:r>
      <w:r w:rsidRPr="00E27443">
        <w:t>and</w:t>
      </w:r>
      <w:r w:rsidR="00C63F8F" w:rsidRPr="00E27443">
        <w:t xml:space="preserve"> </w:t>
      </w:r>
      <w:r w:rsidRPr="00E27443">
        <w:t>associated</w:t>
      </w:r>
      <w:r w:rsidR="00C63F8F" w:rsidRPr="00E27443">
        <w:t xml:space="preserve"> </w:t>
      </w:r>
      <w:r w:rsidRPr="00E27443">
        <w:t>premises,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as</w:t>
      </w:r>
      <w:r w:rsidR="00C63F8F" w:rsidRPr="00E27443">
        <w:t xml:space="preserve"> </w:t>
      </w:r>
      <w:r w:rsidRPr="00E27443">
        <w:t>far</w:t>
      </w:r>
      <w:r w:rsidR="00C63F8F" w:rsidRPr="00E27443">
        <w:t xml:space="preserve"> </w:t>
      </w:r>
      <w:r w:rsidRPr="00E27443">
        <w:t>as</w:t>
      </w:r>
      <w:r w:rsidR="00C63F8F" w:rsidRPr="00E27443">
        <w:t xml:space="preserve"> </w:t>
      </w:r>
      <w:r w:rsidRPr="00E27443">
        <w:t>possible,</w:t>
      </w:r>
      <w:r w:rsidR="00C63F8F" w:rsidRPr="00E27443">
        <w:t xml:space="preserve"> </w:t>
      </w:r>
      <w:r w:rsidRPr="00E27443">
        <w:t>making</w:t>
      </w:r>
      <w:r w:rsidR="00C63F8F" w:rsidRPr="00E27443">
        <w:t xml:space="preserve"> </w:t>
      </w:r>
      <w:r w:rsidRPr="00E27443">
        <w:t>these</w:t>
      </w:r>
      <w:r w:rsidR="00C63F8F" w:rsidRPr="00E27443">
        <w:t xml:space="preserve"> </w:t>
      </w:r>
      <w:r w:rsidRPr="00E27443">
        <w:t>premises</w:t>
      </w:r>
      <w:r w:rsidR="00C63F8F" w:rsidRPr="00E27443">
        <w:t xml:space="preserve"> </w:t>
      </w:r>
      <w:r w:rsidRPr="00E27443">
        <w:t>usable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may</w:t>
      </w:r>
      <w:r w:rsidR="00C63F8F" w:rsidRPr="00E27443">
        <w:t xml:space="preserve"> </w:t>
      </w:r>
      <w:r w:rsidRPr="00E27443">
        <w:t>include</w:t>
      </w:r>
      <w:r w:rsidR="00C63F8F" w:rsidRPr="00E27443">
        <w:t xml:space="preserve"> </w:t>
      </w:r>
      <w:r w:rsidRPr="00E27443">
        <w:t>changes</w:t>
      </w:r>
      <w:r w:rsidR="00C63F8F" w:rsidRPr="00E27443">
        <w:t xml:space="preserve"> </w:t>
      </w:r>
      <w:r w:rsidRPr="00E27443">
        <w:t>to</w:t>
      </w:r>
      <w:r w:rsidR="00C63F8F" w:rsidRPr="00E27443">
        <w:t xml:space="preserve"> </w:t>
      </w:r>
      <w:r w:rsidRPr="00E27443">
        <w:t>the</w:t>
      </w:r>
      <w:r w:rsidR="00C63F8F" w:rsidRPr="00E27443">
        <w:t xml:space="preserve"> </w:t>
      </w:r>
      <w:r w:rsidRPr="00E27443">
        <w:t>design</w:t>
      </w:r>
      <w:r w:rsidR="00C63F8F" w:rsidRPr="00E27443">
        <w:t xml:space="preserve"> </w:t>
      </w:r>
      <w:r w:rsidRPr="00E27443">
        <w:t>of</w:t>
      </w:r>
      <w:r w:rsidR="00C63F8F" w:rsidRPr="00E27443">
        <w:t xml:space="preserve"> </w:t>
      </w:r>
      <w:r w:rsidRPr="00E27443">
        <w:t>the</w:t>
      </w:r>
      <w:r w:rsidR="00C63F8F" w:rsidRPr="00E27443">
        <w:t xml:space="preserve"> </w:t>
      </w:r>
      <w:r w:rsidRPr="00E27443">
        <w:t>premises,</w:t>
      </w:r>
      <w:r w:rsidR="00C63F8F" w:rsidRPr="00E27443">
        <w:t xml:space="preserve"> </w:t>
      </w:r>
      <w:r w:rsidRPr="00E27443">
        <w:t>such</w:t>
      </w:r>
      <w:r w:rsidR="00C63F8F" w:rsidRPr="00E27443">
        <w:t xml:space="preserve"> </w:t>
      </w:r>
      <w:r w:rsidRPr="00E27443">
        <w:t>as</w:t>
      </w:r>
      <w:r w:rsidR="00C63F8F" w:rsidRPr="00E27443">
        <w:t xml:space="preserve"> </w:t>
      </w:r>
      <w:r w:rsidRPr="00E27443">
        <w:t>high</w:t>
      </w:r>
      <w:r w:rsidR="00C63F8F" w:rsidRPr="00E27443">
        <w:t xml:space="preserve"> </w:t>
      </w:r>
      <w:r w:rsidRPr="00E27443">
        <w:t>thresholds,</w:t>
      </w:r>
      <w:r w:rsidR="00C63F8F" w:rsidRPr="00E27443">
        <w:t xml:space="preserve"> </w:t>
      </w:r>
      <w:r w:rsidRPr="00E27443">
        <w:t>wall-to-wall</w:t>
      </w:r>
      <w:r w:rsidR="00C63F8F" w:rsidRPr="00E27443">
        <w:t xml:space="preserve"> </w:t>
      </w:r>
      <w:r w:rsidRPr="00E27443">
        <w:t>carpets,</w:t>
      </w:r>
      <w:r w:rsidR="00C63F8F" w:rsidRPr="00E27443">
        <w:t xml:space="preserve"> </w:t>
      </w:r>
      <w:r w:rsidRPr="00E27443">
        <w:t>the</w:t>
      </w:r>
      <w:r w:rsidR="00C63F8F" w:rsidRPr="00E27443">
        <w:t xml:space="preserve"> </w:t>
      </w:r>
      <w:r w:rsidRPr="00E27443">
        <w:t>absence</w:t>
      </w:r>
      <w:r w:rsidR="00C63F8F" w:rsidRPr="00E27443">
        <w:t xml:space="preserve"> </w:t>
      </w:r>
      <w:r w:rsidRPr="00E27443">
        <w:t>of</w:t>
      </w:r>
      <w:r w:rsidR="00C63F8F" w:rsidRPr="00E27443">
        <w:t xml:space="preserve"> </w:t>
      </w:r>
      <w:r w:rsidRPr="00E27443">
        <w:t>lifts,</w:t>
      </w:r>
      <w:r w:rsidR="00C63F8F" w:rsidRPr="00E27443">
        <w:t xml:space="preserve"> </w:t>
      </w:r>
      <w:r w:rsidRPr="00E27443">
        <w:t>the</w:t>
      </w:r>
      <w:r w:rsidR="00C63F8F" w:rsidRPr="00E27443">
        <w:t xml:space="preserve"> </w:t>
      </w:r>
      <w:r w:rsidRPr="00E27443">
        <w:t>location</w:t>
      </w:r>
      <w:r w:rsidR="00C63F8F" w:rsidRPr="00E27443">
        <w:t xml:space="preserve"> </w:t>
      </w:r>
      <w:r w:rsidRPr="00E27443">
        <w:t>of</w:t>
      </w:r>
      <w:r w:rsidR="00C63F8F" w:rsidRPr="00E27443">
        <w:t xml:space="preserve"> </w:t>
      </w:r>
      <w:r w:rsidRPr="00E27443">
        <w:t>door</w:t>
      </w:r>
      <w:r w:rsidR="00C63F8F" w:rsidRPr="00E27443">
        <w:t xml:space="preserve"> </w:t>
      </w:r>
      <w:r w:rsidRPr="00E27443">
        <w:t>openers,</w:t>
      </w:r>
      <w:r w:rsidR="00C63F8F" w:rsidRPr="00E27443">
        <w:t xml:space="preserve"> </w:t>
      </w:r>
      <w:r w:rsidRPr="00E27443">
        <w:t>the</w:t>
      </w:r>
      <w:r w:rsidR="00C63F8F" w:rsidRPr="00E27443">
        <w:t xml:space="preserve"> </w:t>
      </w:r>
      <w:r w:rsidRPr="00E27443">
        <w:t>design</w:t>
      </w:r>
      <w:r w:rsidR="00C63F8F" w:rsidRPr="00E27443">
        <w:t xml:space="preserve"> </w:t>
      </w:r>
      <w:r w:rsidRPr="00E27443">
        <w:t>of</w:t>
      </w:r>
      <w:r w:rsidR="00C63F8F" w:rsidRPr="00E27443">
        <w:t xml:space="preserve"> </w:t>
      </w:r>
      <w:r w:rsidRPr="00E27443">
        <w:t>lavatory</w:t>
      </w:r>
      <w:r w:rsidR="00C63F8F" w:rsidRPr="00E27443">
        <w:t xml:space="preserve"> </w:t>
      </w:r>
      <w:r w:rsidRPr="00E27443">
        <w:t>areas,</w:t>
      </w:r>
      <w:r w:rsidR="00C63F8F" w:rsidRPr="00E27443">
        <w:t xml:space="preserve"> </w:t>
      </w:r>
      <w:r w:rsidRPr="00E27443">
        <w:t>etc.</w:t>
      </w:r>
      <w:r w:rsidR="00C63F8F" w:rsidRPr="00E27443">
        <w:t xml:space="preserve"> </w:t>
      </w:r>
      <w:r w:rsidRPr="00E27443">
        <w:t>It</w:t>
      </w:r>
      <w:r w:rsidR="00C63F8F" w:rsidRPr="00E27443">
        <w:t xml:space="preserve"> </w:t>
      </w:r>
      <w:r w:rsidRPr="00E27443">
        <w:t>may</w:t>
      </w:r>
      <w:r w:rsidR="00C63F8F" w:rsidRPr="00E27443">
        <w:t xml:space="preserve"> </w:t>
      </w:r>
      <w:r w:rsidRPr="00E27443">
        <w:t>also</w:t>
      </w:r>
      <w:r w:rsidR="00C63F8F" w:rsidRPr="00E27443">
        <w:t xml:space="preserve"> </w:t>
      </w:r>
      <w:r w:rsidRPr="00E27443">
        <w:t>relate</w:t>
      </w:r>
      <w:r w:rsidR="00C63F8F" w:rsidRPr="00E27443">
        <w:t xml:space="preserve"> </w:t>
      </w:r>
      <w:r w:rsidRPr="00E27443">
        <w:t>to</w:t>
      </w:r>
      <w:r w:rsidR="00C63F8F" w:rsidRPr="00E27443">
        <w:t xml:space="preserve"> </w:t>
      </w:r>
      <w:r w:rsidRPr="00E27443">
        <w:t>good</w:t>
      </w:r>
      <w:r w:rsidR="00C63F8F" w:rsidRPr="00E27443">
        <w:t xml:space="preserve"> </w:t>
      </w:r>
      <w:r w:rsidRPr="00E27443">
        <w:t>ventilation</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allergies,</w:t>
      </w:r>
      <w:r w:rsidR="00C63F8F" w:rsidRPr="00E27443">
        <w:t xml:space="preserve"> </w:t>
      </w:r>
      <w:r w:rsidRPr="00E27443">
        <w:t>wireless</w:t>
      </w:r>
      <w:r w:rsidR="00C63F8F" w:rsidRPr="00E27443">
        <w:t xml:space="preserve"> </w:t>
      </w:r>
      <w:r w:rsidRPr="00E27443">
        <w:t>loop</w:t>
      </w:r>
      <w:r w:rsidR="00C63F8F" w:rsidRPr="00E27443">
        <w:t xml:space="preserve"> </w:t>
      </w:r>
      <w:r w:rsidRPr="00E27443">
        <w:t>systems</w:t>
      </w:r>
      <w:r w:rsidR="00C63F8F" w:rsidRPr="00E27443">
        <w:t xml:space="preserve"> </w:t>
      </w:r>
      <w:r w:rsidRPr="00E27443">
        <w:t>and</w:t>
      </w:r>
      <w:r w:rsidR="00C63F8F" w:rsidRPr="00E27443">
        <w:t xml:space="preserve"> </w:t>
      </w:r>
      <w:r w:rsidRPr="00E27443">
        <w:t>good</w:t>
      </w:r>
      <w:r w:rsidR="00C63F8F" w:rsidRPr="00E27443">
        <w:t xml:space="preserve"> </w:t>
      </w:r>
      <w:r w:rsidRPr="00E27443">
        <w:t>acoustics</w:t>
      </w:r>
      <w:r w:rsidR="00C63F8F" w:rsidRPr="00E27443">
        <w:t xml:space="preserve"> </w:t>
      </w:r>
      <w:r w:rsidRPr="00E27443">
        <w:t>for</w:t>
      </w:r>
      <w:r w:rsidR="00C63F8F" w:rsidRPr="00E27443">
        <w:t xml:space="preserve"> </w:t>
      </w:r>
      <w:r w:rsidRPr="00E27443">
        <w:t>individuals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hearing,</w:t>
      </w:r>
      <w:r w:rsidR="00C63F8F" w:rsidRPr="00E27443">
        <w:t xml:space="preserve"> </w:t>
      </w:r>
      <w:r w:rsidRPr="00E27443">
        <w:t>the</w:t>
      </w:r>
      <w:r w:rsidR="00C63F8F" w:rsidRPr="00E27443">
        <w:t xml:space="preserve"> </w:t>
      </w:r>
      <w:r w:rsidRPr="00E27443">
        <w:t>need</w:t>
      </w:r>
      <w:r w:rsidR="00C63F8F" w:rsidRPr="00E27443">
        <w:t xml:space="preserve"> </w:t>
      </w:r>
      <w:r w:rsidRPr="00E27443">
        <w:t>for</w:t>
      </w:r>
      <w:r w:rsidR="00C63F8F" w:rsidRPr="00E27443">
        <w:t xml:space="preserve"> </w:t>
      </w:r>
      <w:r w:rsidRPr="00E27443">
        <w:t>contrast</w:t>
      </w:r>
      <w:r w:rsidR="00C63F8F" w:rsidRPr="00E27443">
        <w:t xml:space="preserve"> </w:t>
      </w:r>
      <w:r w:rsidRPr="00E27443">
        <w:t>and</w:t>
      </w:r>
      <w:r w:rsidR="00C63F8F" w:rsidRPr="00E27443">
        <w:t xml:space="preserve"> </w:t>
      </w:r>
      <w:r w:rsidRPr="00E27443">
        <w:t>strong</w:t>
      </w:r>
      <w:r w:rsidR="00C63F8F" w:rsidRPr="00E27443">
        <w:t xml:space="preserve"> </w:t>
      </w:r>
      <w:r w:rsidRPr="00E27443">
        <w:t>lighting</w:t>
      </w:r>
      <w:r w:rsidR="00C63F8F" w:rsidRPr="00E27443">
        <w:t xml:space="preserve"> </w:t>
      </w:r>
      <w:r w:rsidRPr="00E27443">
        <w:t>etc.</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vision.</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Discrimination</w:t>
      </w:r>
      <w:r w:rsidR="00C63F8F" w:rsidRPr="00E27443">
        <w:t xml:space="preserve"> </w:t>
      </w:r>
      <w:r w:rsidRPr="00E27443">
        <w:t>Act</w:t>
      </w:r>
      <w:r w:rsidR="00C63F8F" w:rsidRPr="00E27443">
        <w:t xml:space="preserve"> </w:t>
      </w:r>
      <w:r w:rsidRPr="00E27443">
        <w:t>also</w:t>
      </w:r>
      <w:r w:rsidR="00C63F8F" w:rsidRPr="00E27443">
        <w:t xml:space="preserve"> </w:t>
      </w:r>
      <w:r w:rsidRPr="00E27443">
        <w:t>stipulates</w:t>
      </w:r>
      <w:r w:rsidR="00C63F8F" w:rsidRPr="00E27443">
        <w:t xml:space="preserve"> </w:t>
      </w:r>
      <w:r w:rsidRPr="00E27443">
        <w:t>demands</w:t>
      </w:r>
      <w:r w:rsidR="00C63F8F" w:rsidRPr="00E27443">
        <w:t xml:space="preserve"> </w:t>
      </w:r>
      <w:r w:rsidRPr="00E27443">
        <w:t>for</w:t>
      </w:r>
      <w:r w:rsidR="00C63F8F" w:rsidRPr="00E27443">
        <w:t xml:space="preserve"> </w:t>
      </w:r>
      <w:r w:rsidRPr="00E27443">
        <w:t>active</w:t>
      </w:r>
      <w:r w:rsidR="00C63F8F" w:rsidRPr="00E27443">
        <w:t xml:space="preserve"> </w:t>
      </w:r>
      <w:r w:rsidRPr="00E27443">
        <w:t>measures</w:t>
      </w:r>
      <w:r w:rsidR="00C63F8F" w:rsidRPr="00E27443">
        <w:t xml:space="preserve"> </w:t>
      </w:r>
      <w:r w:rsidRPr="00E27443">
        <w:t>on</w:t>
      </w:r>
      <w:r w:rsidR="00C63F8F" w:rsidRPr="00E27443">
        <w:t xml:space="preserve"> </w:t>
      </w:r>
      <w:r w:rsidRPr="00E27443">
        <w:t>the</w:t>
      </w:r>
      <w:r w:rsidR="00C63F8F" w:rsidRPr="00E27443">
        <w:t xml:space="preserve"> </w:t>
      </w:r>
      <w:r w:rsidRPr="00E27443">
        <w:t>part</w:t>
      </w:r>
      <w:r w:rsidR="00C63F8F" w:rsidRPr="00E27443">
        <w:t xml:space="preserve"> </w:t>
      </w:r>
      <w:r w:rsidRPr="00E27443">
        <w:t>of</w:t>
      </w:r>
      <w:r w:rsidR="00C63F8F" w:rsidRPr="00E27443">
        <w:t xml:space="preserve"> </w:t>
      </w:r>
      <w:r w:rsidRPr="00E27443">
        <w:t>education</w:t>
      </w:r>
      <w:r w:rsidR="00C63F8F" w:rsidRPr="00E27443">
        <w:t xml:space="preserve"> </w:t>
      </w:r>
      <w:r w:rsidRPr="00E27443">
        <w:t>providers.</w:t>
      </w:r>
      <w:r w:rsidR="00C63F8F" w:rsidRPr="00E27443">
        <w:t xml:space="preserve"> </w:t>
      </w:r>
      <w:r w:rsidRPr="00E27443">
        <w:t>Education</w:t>
      </w:r>
      <w:r w:rsidR="00C63F8F" w:rsidRPr="00E27443">
        <w:t xml:space="preserve"> </w:t>
      </w:r>
      <w:r w:rsidRPr="00E27443">
        <w:t>providers</w:t>
      </w:r>
      <w:r w:rsidR="00C63F8F" w:rsidRPr="00E27443">
        <w:t xml:space="preserve"> </w:t>
      </w:r>
      <w:r w:rsidRPr="00E27443">
        <w:t>must</w:t>
      </w:r>
      <w:r w:rsidR="00C63F8F" w:rsidRPr="00E27443">
        <w:t xml:space="preserve"> </w:t>
      </w:r>
      <w:r w:rsidRPr="00E27443">
        <w:t>conduct</w:t>
      </w:r>
      <w:r w:rsidR="00C63F8F" w:rsidRPr="00E27443">
        <w:t xml:space="preserve"> </w:t>
      </w:r>
      <w:r w:rsidRPr="00E27443">
        <w:t>targeted</w:t>
      </w:r>
      <w:r w:rsidR="00C63F8F" w:rsidRPr="00E27443">
        <w:t xml:space="preserve"> </w:t>
      </w:r>
      <w:r w:rsidRPr="00E27443">
        <w:t>work</w:t>
      </w:r>
      <w:r w:rsidR="00C63F8F" w:rsidRPr="00E27443">
        <w:t xml:space="preserve"> </w:t>
      </w:r>
      <w:r w:rsidRPr="00E27443">
        <w:t>aimed</w:t>
      </w:r>
      <w:r w:rsidR="00C63F8F" w:rsidRPr="00E27443">
        <w:t xml:space="preserve"> </w:t>
      </w:r>
      <w:r w:rsidRPr="00E27443">
        <w:t>at</w:t>
      </w:r>
      <w:r w:rsidR="00C63F8F" w:rsidRPr="00E27443">
        <w:t xml:space="preserve"> </w:t>
      </w:r>
      <w:r w:rsidRPr="00E27443">
        <w:t>actively</w:t>
      </w:r>
      <w:r w:rsidR="00C63F8F" w:rsidRPr="00E27443">
        <w:t xml:space="preserve"> </w:t>
      </w:r>
      <w:r w:rsidRPr="00E27443">
        <w:t>promoting</w:t>
      </w:r>
      <w:r w:rsidR="00C63F8F" w:rsidRPr="00E27443">
        <w:t xml:space="preserve"> </w:t>
      </w:r>
      <w:r w:rsidRPr="00E27443">
        <w:t>equal</w:t>
      </w:r>
      <w:r w:rsidR="00C63F8F" w:rsidRPr="00E27443">
        <w:t xml:space="preserve"> </w:t>
      </w:r>
      <w:r w:rsidRPr="00E27443">
        <w:t>rights</w:t>
      </w:r>
      <w:r w:rsidR="00C63F8F" w:rsidRPr="00E27443">
        <w:t xml:space="preserve"> </w:t>
      </w:r>
      <w:r w:rsidRPr="00E27443">
        <w:t>and</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t>those</w:t>
      </w:r>
      <w:r w:rsidR="00C63F8F" w:rsidRPr="00E27443">
        <w:t xml:space="preserve"> </w:t>
      </w:r>
      <w:r w:rsidRPr="00E27443">
        <w:t>children,</w:t>
      </w:r>
      <w:r w:rsidR="00C63F8F" w:rsidRPr="00E27443">
        <w:t xml:space="preserve"> </w:t>
      </w:r>
      <w:r w:rsidRPr="00E27443">
        <w:t>pupils</w:t>
      </w:r>
      <w:r w:rsidR="00C63F8F" w:rsidRPr="00E27443">
        <w:t xml:space="preserve"> </w:t>
      </w:r>
      <w:r w:rsidRPr="00E27443">
        <w:t>or</w:t>
      </w:r>
      <w:r w:rsidR="00C63F8F" w:rsidRPr="00E27443">
        <w:t xml:space="preserve"> </w:t>
      </w:r>
      <w:r w:rsidRPr="00E27443">
        <w:t>students</w:t>
      </w:r>
      <w:r w:rsidR="00C63F8F" w:rsidRPr="00E27443">
        <w:t xml:space="preserve"> </w:t>
      </w:r>
      <w:r w:rsidRPr="00E27443">
        <w:t>participating</w:t>
      </w:r>
      <w:r w:rsidR="00C63F8F" w:rsidRPr="00E27443">
        <w:t xml:space="preserve"> </w:t>
      </w:r>
      <w:r w:rsidRPr="00E27443">
        <w:t>in</w:t>
      </w:r>
      <w:r w:rsidR="00C63F8F" w:rsidRPr="00E27443">
        <w:t xml:space="preserve"> </w:t>
      </w:r>
      <w:r w:rsidRPr="00E27443">
        <w:t>or</w:t>
      </w:r>
      <w:r w:rsidR="00C63F8F" w:rsidRPr="00E27443">
        <w:t xml:space="preserve"> </w:t>
      </w:r>
      <w:r w:rsidRPr="00E27443">
        <w:t>applying</w:t>
      </w:r>
      <w:r w:rsidR="00C63F8F" w:rsidRPr="00E27443">
        <w:t xml:space="preserve"> </w:t>
      </w:r>
      <w:r w:rsidRPr="00E27443">
        <w:t>for</w:t>
      </w:r>
      <w:r w:rsidR="00C63F8F" w:rsidRPr="00E27443">
        <w:t xml:space="preserve"> </w:t>
      </w:r>
      <w:r w:rsidRPr="00E27443">
        <w:t>an</w:t>
      </w:r>
      <w:r w:rsidR="00C63F8F" w:rsidRPr="00E27443">
        <w:t xml:space="preserve"> </w:t>
      </w:r>
      <w:r w:rsidRPr="00E27443">
        <w:t>activity,</w:t>
      </w:r>
      <w:r w:rsidR="00C63F8F" w:rsidRPr="00E27443">
        <w:t xml:space="preserve"> </w:t>
      </w:r>
      <w:r w:rsidRPr="00E27443">
        <w:t>regardless</w:t>
      </w:r>
      <w:r w:rsidR="00C63F8F" w:rsidRPr="00E27443">
        <w:t xml:space="preserve"> </w:t>
      </w:r>
      <w:r w:rsidRPr="00E27443">
        <w:t>of</w:t>
      </w:r>
      <w:r w:rsidR="00C63F8F" w:rsidRPr="00E27443">
        <w:t xml:space="preserve"> </w:t>
      </w:r>
      <w:r w:rsidRPr="00E27443">
        <w:t>any</w:t>
      </w:r>
      <w:r w:rsidR="00C63F8F" w:rsidRPr="00E27443">
        <w:t xml:space="preserve"> </w:t>
      </w:r>
      <w:r w:rsidRPr="00E27443">
        <w:t>disability.</w:t>
      </w:r>
      <w:r w:rsidR="00590C1E" w:rsidRPr="00E27443">
        <w:rPr>
          <w:rStyle w:val="FootnoteReference"/>
        </w:rPr>
        <w:footnoteReference w:id="19"/>
      </w:r>
      <w:r w:rsidR="00C63F8F" w:rsidRPr="00E27443">
        <w:t xml:space="preserve"> </w:t>
      </w:r>
      <w:r w:rsidRPr="00E27443">
        <w:t>Education</w:t>
      </w:r>
      <w:r w:rsidR="00C63F8F" w:rsidRPr="00E27443">
        <w:t xml:space="preserve"> </w:t>
      </w:r>
      <w:r w:rsidRPr="00E27443">
        <w:t>providers</w:t>
      </w:r>
      <w:r w:rsidR="00C63F8F" w:rsidRPr="00E27443">
        <w:t xml:space="preserve"> </w:t>
      </w:r>
      <w:r w:rsidRPr="00E27443">
        <w:t>must</w:t>
      </w:r>
      <w:r w:rsidR="00C63F8F" w:rsidRPr="00E27443">
        <w:t xml:space="preserve"> </w:t>
      </w:r>
      <w:r w:rsidRPr="00E27443">
        <w:t>also</w:t>
      </w:r>
      <w:r w:rsidR="00C63F8F" w:rsidRPr="00E27443">
        <w:t xml:space="preserve"> </w:t>
      </w:r>
      <w:r w:rsidRPr="00E27443">
        <w:t>draw</w:t>
      </w:r>
      <w:r w:rsidR="00C63F8F" w:rsidRPr="00E27443">
        <w:t xml:space="preserve"> </w:t>
      </w:r>
      <w:r w:rsidRPr="00E27443">
        <w:t>up</w:t>
      </w:r>
      <w:r w:rsidR="00C63F8F" w:rsidRPr="00E27443">
        <w:t xml:space="preserve"> </w:t>
      </w:r>
      <w:r w:rsidRPr="00E27443">
        <w:t>an</w:t>
      </w:r>
      <w:r w:rsidR="00C63F8F" w:rsidRPr="00E27443">
        <w:t xml:space="preserve"> </w:t>
      </w:r>
      <w:r w:rsidRPr="00E27443">
        <w:t>annual</w:t>
      </w:r>
      <w:r w:rsidR="00C63F8F" w:rsidRPr="00E27443">
        <w:t xml:space="preserve"> </w:t>
      </w:r>
      <w:r w:rsidRPr="00E27443">
        <w:t>plan</w:t>
      </w:r>
      <w:r w:rsidR="00C63F8F" w:rsidRPr="00E27443">
        <w:t xml:space="preserve"> </w:t>
      </w:r>
      <w:r w:rsidRPr="00E27443">
        <w:t>containing</w:t>
      </w:r>
      <w:r w:rsidR="00C63F8F" w:rsidRPr="00E27443">
        <w:t xml:space="preserve"> </w:t>
      </w:r>
      <w:r w:rsidRPr="00E27443">
        <w:t>an</w:t>
      </w:r>
      <w:r w:rsidR="00C63F8F" w:rsidRPr="00E27443">
        <w:t xml:space="preserve"> </w:t>
      </w:r>
      <w:r w:rsidRPr="00E27443">
        <w:t>overview</w:t>
      </w:r>
      <w:r w:rsidR="00C63F8F" w:rsidRPr="00E27443">
        <w:t xml:space="preserve"> </w:t>
      </w:r>
      <w:r w:rsidRPr="00E27443">
        <w:t>of</w:t>
      </w:r>
      <w:r w:rsidR="00C63F8F" w:rsidRPr="00E27443">
        <w:t xml:space="preserve"> </w:t>
      </w:r>
      <w:r w:rsidRPr="00E27443">
        <w:t>the</w:t>
      </w:r>
      <w:r w:rsidR="00C63F8F" w:rsidRPr="00E27443">
        <w:t xml:space="preserve"> </w:t>
      </w:r>
      <w:r w:rsidRPr="00E27443">
        <w:t>measures</w:t>
      </w:r>
      <w:r w:rsidR="00C63F8F" w:rsidRPr="00E27443">
        <w:t xml:space="preserve"> </w:t>
      </w:r>
      <w:r w:rsidRPr="00E27443">
        <w:t>that</w:t>
      </w:r>
      <w:r w:rsidR="00C63F8F" w:rsidRPr="00E27443">
        <w:t xml:space="preserve"> </w:t>
      </w:r>
      <w:r w:rsidRPr="00E27443">
        <w:t>are</w:t>
      </w:r>
      <w:r w:rsidR="00C63F8F" w:rsidRPr="00E27443">
        <w:t xml:space="preserve"> </w:t>
      </w:r>
      <w:r w:rsidRPr="00E27443">
        <w:t>required</w:t>
      </w:r>
      <w:r w:rsidR="00C63F8F" w:rsidRPr="00E27443">
        <w:t xml:space="preserve"> </w:t>
      </w:r>
      <w:r w:rsidRPr="00E27443">
        <w:t>in</w:t>
      </w:r>
      <w:r w:rsidR="00C63F8F" w:rsidRPr="00E27443">
        <w:t xml:space="preserve"> </w:t>
      </w:r>
      <w:r w:rsidRPr="00E27443">
        <w:t>order</w:t>
      </w:r>
      <w:r w:rsidR="00C63F8F" w:rsidRPr="00E27443">
        <w:t xml:space="preserve"> </w:t>
      </w:r>
      <w:r w:rsidRPr="00E27443">
        <w:t>both</w:t>
      </w:r>
      <w:r w:rsidR="00C63F8F" w:rsidRPr="00E27443">
        <w:t xml:space="preserve"> </w:t>
      </w:r>
      <w:r w:rsidRPr="00E27443">
        <w:t>to</w:t>
      </w:r>
      <w:r w:rsidR="00C63F8F" w:rsidRPr="00E27443">
        <w:t xml:space="preserve"> </w:t>
      </w:r>
      <w:r w:rsidRPr="00E27443">
        <w:t>promote</w:t>
      </w:r>
      <w:r w:rsidR="00C63F8F" w:rsidRPr="00E27443">
        <w:t xml:space="preserve"> </w:t>
      </w:r>
      <w:r w:rsidRPr="00E27443">
        <w:t>equal</w:t>
      </w:r>
      <w:r w:rsidR="00C63F8F" w:rsidRPr="00E27443">
        <w:t xml:space="preserve"> </w:t>
      </w:r>
      <w:r w:rsidRPr="00E27443">
        <w:t>rights</w:t>
      </w:r>
      <w:r w:rsidR="00C63F8F" w:rsidRPr="00E27443">
        <w:t xml:space="preserve"> </w:t>
      </w:r>
      <w:r w:rsidRPr="00E27443">
        <w:t>and</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t>those</w:t>
      </w:r>
      <w:r w:rsidR="00C63F8F" w:rsidRPr="00E27443">
        <w:t xml:space="preserve"> </w:t>
      </w:r>
      <w:r w:rsidRPr="00E27443">
        <w:t>children,</w:t>
      </w:r>
      <w:r w:rsidR="00C63F8F" w:rsidRPr="00E27443">
        <w:t xml:space="preserve"> </w:t>
      </w:r>
      <w:r w:rsidRPr="00E27443">
        <w:t>pupils</w:t>
      </w:r>
      <w:r w:rsidR="00C63F8F" w:rsidRPr="00E27443">
        <w:t xml:space="preserve"> </w:t>
      </w:r>
      <w:r w:rsidRPr="00E27443">
        <w:t>or</w:t>
      </w:r>
      <w:r w:rsidR="00C63F8F" w:rsidRPr="00E27443">
        <w:t xml:space="preserve"> </w:t>
      </w:r>
      <w:r w:rsidRPr="00E27443">
        <w:t>students</w:t>
      </w:r>
      <w:r w:rsidR="00C63F8F" w:rsidRPr="00E27443">
        <w:t xml:space="preserve"> </w:t>
      </w:r>
      <w:r w:rsidRPr="00E27443">
        <w:t>participating</w:t>
      </w:r>
      <w:r w:rsidR="00C63F8F" w:rsidRPr="00E27443">
        <w:t xml:space="preserve"> </w:t>
      </w:r>
      <w:r w:rsidRPr="00E27443">
        <w:t>in</w:t>
      </w:r>
      <w:r w:rsidR="00C63F8F" w:rsidRPr="00E27443">
        <w:t xml:space="preserve"> </w:t>
      </w:r>
      <w:r w:rsidRPr="00E27443">
        <w:t>or</w:t>
      </w:r>
      <w:r w:rsidR="00C63F8F" w:rsidRPr="00E27443">
        <w:t xml:space="preserve"> </w:t>
      </w:r>
      <w:r w:rsidRPr="00E27443">
        <w:t>applying</w:t>
      </w:r>
      <w:r w:rsidR="00C63F8F" w:rsidRPr="00E27443">
        <w:t xml:space="preserve"> </w:t>
      </w:r>
      <w:r w:rsidRPr="00E27443">
        <w:t>for</w:t>
      </w:r>
      <w:r w:rsidR="00C63F8F" w:rsidRPr="00E27443">
        <w:t xml:space="preserve"> </w:t>
      </w:r>
      <w:r w:rsidRPr="00E27443">
        <w:t>an</w:t>
      </w:r>
      <w:r w:rsidR="00C63F8F" w:rsidRPr="00E27443">
        <w:t xml:space="preserve"> </w:t>
      </w:r>
      <w:r w:rsidRPr="00E27443">
        <w:t>activity,</w:t>
      </w:r>
      <w:r w:rsidR="00C63F8F" w:rsidRPr="00E27443">
        <w:t xml:space="preserve"> </w:t>
      </w:r>
      <w:r w:rsidRPr="00E27443">
        <w:t>regardless</w:t>
      </w:r>
      <w:r w:rsidR="00C63F8F" w:rsidRPr="00E27443">
        <w:t xml:space="preserve"> </w:t>
      </w:r>
      <w:r w:rsidRPr="00E27443">
        <w:t>of</w:t>
      </w:r>
      <w:r w:rsidR="00C63F8F" w:rsidRPr="00E27443">
        <w:t xml:space="preserve"> </w:t>
      </w:r>
      <w:r w:rsidRPr="00E27443">
        <w:t>any</w:t>
      </w:r>
      <w:r w:rsidR="00C63F8F" w:rsidRPr="00E27443">
        <w:t xml:space="preserve"> </w:t>
      </w:r>
      <w:r w:rsidRPr="00E27443">
        <w:t>disability,</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prevent</w:t>
      </w:r>
      <w:r w:rsidR="00C63F8F" w:rsidRPr="00E27443">
        <w:t xml:space="preserve"> </w:t>
      </w:r>
      <w:r w:rsidRPr="00E27443">
        <w:t>harassment.</w:t>
      </w:r>
    </w:p>
    <w:p w:rsidR="00321ADA" w:rsidRPr="00E27443" w:rsidRDefault="00321ADA" w:rsidP="00E75253">
      <w:pPr>
        <w:pStyle w:val="SingleTxtG"/>
        <w:numPr>
          <w:ilvl w:val="0"/>
          <w:numId w:val="20"/>
        </w:numPr>
        <w:tabs>
          <w:tab w:val="left" w:pos="1843"/>
        </w:tabs>
        <w:ind w:left="1134" w:firstLine="0"/>
      </w:pPr>
      <w:r w:rsidRPr="00E27443">
        <w:t>Anyone</w:t>
      </w:r>
      <w:r w:rsidR="00C63F8F" w:rsidRPr="00E27443">
        <w:t xml:space="preserve"> </w:t>
      </w:r>
      <w:r w:rsidRPr="00E27443">
        <w:t>who</w:t>
      </w:r>
      <w:r w:rsidR="00C63F8F" w:rsidRPr="00E27443">
        <w:t xml:space="preserve"> </w:t>
      </w:r>
      <w:r w:rsidRPr="00E27443">
        <w:t>acts</w:t>
      </w:r>
      <w:r w:rsidR="00C63F8F" w:rsidRPr="00E27443">
        <w:t xml:space="preserve"> </w:t>
      </w:r>
      <w:r w:rsidRPr="00E27443">
        <w:t>in</w:t>
      </w:r>
      <w:r w:rsidR="00C63F8F" w:rsidRPr="00E27443">
        <w:t xml:space="preserve"> </w:t>
      </w:r>
      <w:r w:rsidRPr="00E27443">
        <w:t>breach</w:t>
      </w:r>
      <w:r w:rsidR="00C63F8F" w:rsidRPr="00E27443">
        <w:t xml:space="preserve"> </w:t>
      </w:r>
      <w:r w:rsidRPr="00E27443">
        <w:t>of</w:t>
      </w:r>
      <w:r w:rsidR="00C63F8F" w:rsidRPr="00E27443">
        <w:t xml:space="preserve"> </w:t>
      </w:r>
      <w:r w:rsidRPr="00E27443">
        <w:t>this</w:t>
      </w:r>
      <w:r w:rsidR="00C63F8F" w:rsidRPr="00E27443">
        <w:t xml:space="preserve"> </w:t>
      </w:r>
      <w:r w:rsidRPr="00E27443">
        <w:t>Act</w:t>
      </w:r>
      <w:r w:rsidR="00C63F8F" w:rsidRPr="00E27443">
        <w:t xml:space="preserve"> </w:t>
      </w:r>
      <w:r w:rsidRPr="00E27443">
        <w:t>must</w:t>
      </w:r>
      <w:r w:rsidR="00C63F8F" w:rsidRPr="00E27443">
        <w:t xml:space="preserve"> </w:t>
      </w:r>
      <w:r w:rsidRPr="00E27443">
        <w:t>pay</w:t>
      </w:r>
      <w:r w:rsidR="00C63F8F" w:rsidRPr="00E27443">
        <w:t xml:space="preserve"> </w:t>
      </w:r>
      <w:r w:rsidRPr="00E27443">
        <w:t>compensation</w:t>
      </w:r>
      <w:r w:rsidR="00C63F8F" w:rsidRPr="00E27443">
        <w:t xml:space="preserve"> </w:t>
      </w:r>
      <w:r w:rsidRPr="00E27443">
        <w:t>for</w:t>
      </w:r>
      <w:r w:rsidR="00C63F8F" w:rsidRPr="00E27443">
        <w:t xml:space="preserve"> </w:t>
      </w:r>
      <w:r w:rsidRPr="00E27443">
        <w:t>discrimination.</w:t>
      </w:r>
      <w:r w:rsidR="00C63F8F" w:rsidRPr="00E27443">
        <w:t xml:space="preserve"> </w:t>
      </w:r>
      <w:r w:rsidRPr="00E27443">
        <w:t>Discriminating</w:t>
      </w:r>
      <w:r w:rsidR="00C63F8F" w:rsidRPr="00E27443">
        <w:t xml:space="preserve"> </w:t>
      </w:r>
      <w:r w:rsidRPr="00E27443">
        <w:t>agreements</w:t>
      </w:r>
      <w:r w:rsidR="00C63F8F" w:rsidRPr="00E27443">
        <w:t xml:space="preserve"> </w:t>
      </w:r>
      <w:r w:rsidRPr="00E27443">
        <w:t>may</w:t>
      </w:r>
      <w:r w:rsidR="00C63F8F" w:rsidRPr="00E27443">
        <w:t xml:space="preserve"> </w:t>
      </w:r>
      <w:r w:rsidRPr="00E27443">
        <w:t>be</w:t>
      </w:r>
      <w:r w:rsidR="00C63F8F" w:rsidRPr="00E27443">
        <w:t xml:space="preserve"> </w:t>
      </w:r>
      <w:r w:rsidRPr="00E27443">
        <w:t>declared</w:t>
      </w:r>
      <w:r w:rsidR="00C63F8F" w:rsidRPr="00E27443">
        <w:t xml:space="preserve"> </w:t>
      </w:r>
      <w:r w:rsidRPr="00E27443">
        <w:t>invalid</w:t>
      </w:r>
      <w:r w:rsidR="00C63F8F" w:rsidRPr="00E27443">
        <w:t xml:space="preserve"> </w:t>
      </w:r>
      <w:r w:rsidRPr="00E27443">
        <w:t>by</w:t>
      </w:r>
      <w:r w:rsidR="00C63F8F" w:rsidRPr="00E27443">
        <w:t xml:space="preserve"> </w:t>
      </w:r>
      <w:r w:rsidRPr="00E27443">
        <w:t>the</w:t>
      </w:r>
      <w:r w:rsidR="00C63F8F" w:rsidRPr="00E27443">
        <w:t xml:space="preserve"> </w:t>
      </w:r>
      <w:r w:rsidRPr="00E27443">
        <w:t>courts.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rPr>
          <w:i/>
        </w:rPr>
        <w:t>Equality</w:t>
      </w:r>
      <w:r w:rsidR="00C63F8F" w:rsidRPr="00E27443">
        <w:rPr>
          <w:i/>
        </w:rPr>
        <w:t xml:space="preserve"> </w:t>
      </w:r>
      <w:r w:rsidRPr="00E27443">
        <w:rPr>
          <w:i/>
        </w:rPr>
        <w:t>Ombudsman</w:t>
      </w:r>
      <w:r w:rsidR="00C63F8F" w:rsidRPr="00E27443">
        <w:t xml:space="preserve"> </w:t>
      </w:r>
      <w:r w:rsidRPr="00E27443">
        <w:t>supervises</w:t>
      </w:r>
      <w:r w:rsidR="00C63F8F" w:rsidRPr="00E27443">
        <w:t xml:space="preserve"> </w:t>
      </w:r>
      <w:r w:rsidRPr="00E27443">
        <w:t>compliance</w:t>
      </w:r>
      <w:r w:rsidR="00C63F8F" w:rsidRPr="00E27443">
        <w:t xml:space="preserve"> </w:t>
      </w:r>
      <w:r w:rsidRPr="00E27443">
        <w:t>with</w:t>
      </w:r>
      <w:r w:rsidR="00C63F8F" w:rsidRPr="00E27443">
        <w:t xml:space="preserve"> </w:t>
      </w:r>
      <w:r w:rsidRPr="00E27443">
        <w:t>the</w:t>
      </w:r>
      <w:r w:rsidR="00C63F8F" w:rsidRPr="00E27443">
        <w:t xml:space="preserve"> </w:t>
      </w:r>
      <w:r w:rsidRPr="00E27443">
        <w:t>law</w:t>
      </w:r>
      <w:r w:rsidR="00C63F8F" w:rsidRPr="00E27443">
        <w:t xml:space="preserve"> </w:t>
      </w:r>
      <w:r w:rsidRPr="00E27443">
        <w:t>and</w:t>
      </w:r>
      <w:r w:rsidR="00C63F8F" w:rsidRPr="00E27443">
        <w:t xml:space="preserve"> </w:t>
      </w:r>
      <w:r w:rsidRPr="00E27443">
        <w:t>is</w:t>
      </w:r>
      <w:r w:rsidR="00C63F8F" w:rsidRPr="00E27443">
        <w:t xml:space="preserve"> </w:t>
      </w:r>
      <w:r w:rsidRPr="00E27443">
        <w:t>entitled</w:t>
      </w:r>
      <w:r w:rsidR="00C63F8F" w:rsidRPr="00E27443">
        <w:t xml:space="preserve"> </w:t>
      </w:r>
      <w:r w:rsidRPr="00E27443">
        <w:t>to</w:t>
      </w:r>
      <w:r w:rsidR="00C63F8F" w:rsidRPr="00E27443">
        <w:t xml:space="preserve"> </w:t>
      </w:r>
      <w:r w:rsidRPr="00E27443">
        <w:t>bring</w:t>
      </w:r>
      <w:r w:rsidR="00C63F8F" w:rsidRPr="00E27443">
        <w:t xml:space="preserve"> </w:t>
      </w:r>
      <w:r w:rsidRPr="00E27443">
        <w:t>a</w:t>
      </w:r>
      <w:r w:rsidR="00C63F8F" w:rsidRPr="00E27443">
        <w:t xml:space="preserve"> </w:t>
      </w:r>
      <w:r w:rsidRPr="00E27443">
        <w:t>case</w:t>
      </w:r>
      <w:r w:rsidR="00C63F8F" w:rsidRPr="00E27443">
        <w:t xml:space="preserve"> </w:t>
      </w:r>
      <w:r w:rsidRPr="00E27443">
        <w:t>in</w:t>
      </w:r>
      <w:r w:rsidR="00C63F8F" w:rsidRPr="00E27443">
        <w:t xml:space="preserve"> </w:t>
      </w:r>
      <w:r w:rsidRPr="00E27443">
        <w:t>the</w:t>
      </w:r>
      <w:r w:rsidR="00C63F8F" w:rsidRPr="00E27443">
        <w:t xml:space="preserve"> </w:t>
      </w:r>
      <w:r w:rsidRPr="00E27443">
        <w:t>courts</w:t>
      </w:r>
      <w:r w:rsidR="00C63F8F" w:rsidRPr="00E27443">
        <w:t xml:space="preserve"> </w:t>
      </w:r>
      <w:r w:rsidRPr="00E27443">
        <w:t>on</w:t>
      </w:r>
      <w:r w:rsidR="00C63F8F" w:rsidRPr="00E27443">
        <w:t xml:space="preserve"> </w:t>
      </w:r>
      <w:r w:rsidRPr="00E27443">
        <w:t>behalf</w:t>
      </w:r>
      <w:r w:rsidR="00C63F8F" w:rsidRPr="00E27443">
        <w:t xml:space="preserve"> </w:t>
      </w:r>
      <w:r w:rsidRPr="00E27443">
        <w:t>of</w:t>
      </w:r>
      <w:r w:rsidR="00C63F8F" w:rsidRPr="00E27443">
        <w:t xml:space="preserve"> </w:t>
      </w:r>
      <w:r w:rsidRPr="00E27443">
        <w:t>an</w:t>
      </w:r>
      <w:r w:rsidR="00C63F8F" w:rsidRPr="00E27443">
        <w:t xml:space="preserve"> </w:t>
      </w:r>
      <w:r w:rsidRPr="00E27443">
        <w:t>individual</w:t>
      </w:r>
      <w:r w:rsidR="00C63F8F" w:rsidRPr="00E27443">
        <w:t xml:space="preserve"> </w:t>
      </w:r>
      <w:r w:rsidRPr="00E27443">
        <w:t>who</w:t>
      </w:r>
      <w:r w:rsidR="00C63F8F" w:rsidRPr="00E27443">
        <w:t xml:space="preserve"> </w:t>
      </w:r>
      <w:r w:rsidRPr="00E27443">
        <w:t>considers</w:t>
      </w:r>
      <w:r w:rsidR="00C63F8F" w:rsidRPr="00E27443">
        <w:t xml:space="preserve"> </w:t>
      </w:r>
      <w:r w:rsidRPr="00E27443">
        <w:t>himself</w:t>
      </w:r>
      <w:r w:rsidR="00C63F8F" w:rsidRPr="00E27443">
        <w:t xml:space="preserve"> </w:t>
      </w:r>
      <w:r w:rsidRPr="00E27443">
        <w:t>or</w:t>
      </w:r>
      <w:r w:rsidR="00C63F8F" w:rsidRPr="00E27443">
        <w:t xml:space="preserve"> </w:t>
      </w:r>
      <w:r w:rsidRPr="00E27443">
        <w:t>herself</w:t>
      </w:r>
      <w:r w:rsidR="00C63F8F" w:rsidRPr="00E27443">
        <w:t xml:space="preserve"> </w:t>
      </w:r>
      <w:r w:rsidRPr="00E27443">
        <w:t>to</w:t>
      </w:r>
      <w:r w:rsidR="00C63F8F" w:rsidRPr="00E27443">
        <w:t xml:space="preserve"> </w:t>
      </w:r>
      <w:r w:rsidRPr="00E27443">
        <w:t>have</w:t>
      </w:r>
      <w:r w:rsidR="00C63F8F" w:rsidRPr="00E27443">
        <w:t xml:space="preserve"> </w:t>
      </w:r>
      <w:r w:rsidRPr="00E27443">
        <w:t>been</w:t>
      </w:r>
      <w:r w:rsidR="00C63F8F" w:rsidRPr="00E27443">
        <w:t xml:space="preserve"> </w:t>
      </w:r>
      <w:r w:rsidRPr="00E27443">
        <w:t>discriminated</w:t>
      </w:r>
      <w:r w:rsidR="00C63F8F" w:rsidRPr="00E27443">
        <w:t xml:space="preserve"> </w:t>
      </w:r>
      <w:r w:rsidRPr="00E27443">
        <w:t>against.</w:t>
      </w:r>
      <w:r w:rsidR="00C63F8F" w:rsidRPr="00E27443">
        <w:t xml:space="preserve"> </w:t>
      </w:r>
      <w:r w:rsidRPr="00E27443">
        <w:t>Certain</w:t>
      </w:r>
      <w:r w:rsidR="00C63F8F" w:rsidRPr="00E27443">
        <w:t xml:space="preserve"> </w:t>
      </w:r>
      <w:r w:rsidRPr="00E27443">
        <w:t>non-profit</w:t>
      </w:r>
      <w:r w:rsidR="00C63F8F" w:rsidRPr="00E27443">
        <w:t xml:space="preserve"> </w:t>
      </w:r>
      <w:r w:rsidRPr="00E27443">
        <w:t>organisations</w:t>
      </w:r>
      <w:r w:rsidR="00C63F8F" w:rsidRPr="00E27443">
        <w:t xml:space="preserve"> </w:t>
      </w:r>
      <w:r w:rsidRPr="00E27443">
        <w:t>are</w:t>
      </w:r>
      <w:r w:rsidR="00C63F8F" w:rsidRPr="00E27443">
        <w:t xml:space="preserve"> </w:t>
      </w:r>
      <w:r w:rsidRPr="00E27443">
        <w:t>also</w:t>
      </w:r>
      <w:r w:rsidR="00C63F8F" w:rsidRPr="00E27443">
        <w:t xml:space="preserve"> </w:t>
      </w:r>
      <w:r w:rsidRPr="00E27443">
        <w:t>entitled</w:t>
      </w:r>
      <w:r w:rsidR="00C63F8F" w:rsidRPr="00E27443">
        <w:t xml:space="preserve"> </w:t>
      </w:r>
      <w:r w:rsidRPr="00E27443">
        <w:t>to</w:t>
      </w:r>
      <w:r w:rsidR="00C63F8F" w:rsidRPr="00E27443">
        <w:t xml:space="preserve"> </w:t>
      </w:r>
      <w:r w:rsidRPr="00E27443">
        <w:t>take</w:t>
      </w:r>
      <w:r w:rsidR="00C63F8F" w:rsidRPr="00E27443">
        <w:t xml:space="preserve"> </w:t>
      </w:r>
      <w:r w:rsidRPr="00E27443">
        <w:t>legal</w:t>
      </w:r>
      <w:r w:rsidR="00C63F8F" w:rsidRPr="00E27443">
        <w:t xml:space="preserve"> </w:t>
      </w:r>
      <w:r w:rsidRPr="00E27443">
        <w:t>action.</w:t>
      </w:r>
      <w:r w:rsidR="00C63F8F" w:rsidRPr="00E27443">
        <w:t xml:space="preserve"> </w:t>
      </w:r>
      <w:r w:rsidRPr="00E27443">
        <w:t>The</w:t>
      </w:r>
      <w:r w:rsidR="00C63F8F" w:rsidRPr="00E27443">
        <w:t xml:space="preserve"> </w:t>
      </w:r>
      <w:r w:rsidRPr="00E27443">
        <w:t>Equality</w:t>
      </w:r>
      <w:r w:rsidR="00C63F8F" w:rsidRPr="00E27443">
        <w:t xml:space="preserve"> </w:t>
      </w:r>
      <w:r w:rsidRPr="00E27443">
        <w:t>Ombudsman</w:t>
      </w:r>
      <w:r w:rsidR="00C63F8F" w:rsidRPr="00E27443">
        <w:t xml:space="preserve"> </w:t>
      </w:r>
      <w:r w:rsidRPr="00E27443">
        <w:t>must</w:t>
      </w:r>
      <w:r w:rsidR="00C63F8F" w:rsidRPr="00E27443">
        <w:t xml:space="preserve"> </w:t>
      </w:r>
      <w:r w:rsidRPr="00E27443">
        <w:t>also</w:t>
      </w:r>
      <w:r w:rsidR="00C63F8F" w:rsidRPr="00E27443">
        <w:t xml:space="preserve"> </w:t>
      </w:r>
      <w:r w:rsidRPr="00E27443">
        <w:t>work</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discrimination</w:t>
      </w:r>
      <w:r w:rsidR="00C63F8F" w:rsidRPr="00E27443">
        <w:t xml:space="preserve"> </w:t>
      </w:r>
      <w:r w:rsidRPr="00E27443">
        <w:t>that</w:t>
      </w:r>
      <w:r w:rsidR="00C63F8F" w:rsidRPr="00E27443">
        <w:t xml:space="preserve"> </w:t>
      </w:r>
      <w:r w:rsidRPr="00E27443">
        <w:t>is</w:t>
      </w:r>
      <w:r w:rsidR="00C63F8F" w:rsidRPr="00E27443">
        <w:t xml:space="preserve"> </w:t>
      </w:r>
      <w:r w:rsidRPr="00E27443">
        <w:t>linked</w:t>
      </w:r>
      <w:r w:rsidR="00C63F8F" w:rsidRPr="00E27443">
        <w:t xml:space="preserve"> </w:t>
      </w:r>
      <w:r w:rsidRPr="00E27443">
        <w:t>to</w:t>
      </w:r>
      <w:r w:rsidR="00C63F8F" w:rsidRPr="00E27443">
        <w:t xml:space="preserve"> </w:t>
      </w:r>
      <w:r w:rsidRPr="00E27443">
        <w:t>disability</w:t>
      </w:r>
      <w:r w:rsidR="00C63F8F" w:rsidRPr="00E27443">
        <w:t xml:space="preserve"> </w:t>
      </w:r>
      <w:r w:rsidRPr="00E27443">
        <w:t>does</w:t>
      </w:r>
      <w:r w:rsidR="00C63F8F" w:rsidRPr="00E27443">
        <w:t xml:space="preserve"> </w:t>
      </w:r>
      <w:r w:rsidRPr="00E27443">
        <w:t>not</w:t>
      </w:r>
      <w:r w:rsidR="00C63F8F" w:rsidRPr="00E27443">
        <w:t xml:space="preserve"> </w:t>
      </w:r>
      <w:r w:rsidRPr="00E27443">
        <w:t>occur</w:t>
      </w:r>
      <w:r w:rsidR="00C63F8F" w:rsidRPr="00E27443">
        <w:t xml:space="preserve"> </w:t>
      </w:r>
      <w:r w:rsidRPr="00E27443">
        <w:t>in</w:t>
      </w:r>
      <w:r w:rsidR="00C63F8F" w:rsidRPr="00E27443">
        <w:t xml:space="preserve"> </w:t>
      </w:r>
      <w:r w:rsidRPr="00E27443">
        <w:t>any</w:t>
      </w:r>
      <w:r w:rsidR="00C63F8F" w:rsidRPr="00E27443">
        <w:t xml:space="preserve"> </w:t>
      </w:r>
      <w:r w:rsidRPr="00E27443">
        <w:t>area</w:t>
      </w:r>
      <w:r w:rsidR="00C63F8F" w:rsidRPr="00E27443">
        <w:t xml:space="preserve"> </w:t>
      </w:r>
      <w:r w:rsidRPr="00E27443">
        <w:t>of</w:t>
      </w:r>
      <w:r w:rsidR="00C63F8F" w:rsidRPr="00E27443">
        <w:t xml:space="preserve"> </w:t>
      </w:r>
      <w:r w:rsidRPr="00E27443">
        <w:t>social</w:t>
      </w:r>
      <w:r w:rsidR="00C63F8F" w:rsidRPr="00E27443">
        <w:t xml:space="preserve"> </w:t>
      </w:r>
      <w:r w:rsidRPr="00E27443">
        <w:t>life,</w:t>
      </w:r>
      <w:r w:rsidR="00C63F8F" w:rsidRPr="00E27443">
        <w:t xml:space="preserve"> </w:t>
      </w:r>
      <w:r w:rsidRPr="00E27443">
        <w:t>and</w:t>
      </w:r>
      <w:r w:rsidR="00C63F8F" w:rsidRPr="00E27443">
        <w:t xml:space="preserve"> </w:t>
      </w:r>
      <w:r w:rsidRPr="00E27443">
        <w:t>work</w:t>
      </w:r>
      <w:r w:rsidR="00C63F8F" w:rsidRPr="00E27443">
        <w:t xml:space="preserve"> </w:t>
      </w:r>
      <w:r w:rsidRPr="00E27443">
        <w:t>to</w:t>
      </w:r>
      <w:r w:rsidR="00C63F8F" w:rsidRPr="00E27443">
        <w:t xml:space="preserve"> </w:t>
      </w:r>
      <w:r w:rsidRPr="00E27443">
        <w:t>achieve</w:t>
      </w:r>
      <w:r w:rsidR="00C63F8F" w:rsidRPr="00E27443">
        <w:t xml:space="preserve"> </w:t>
      </w:r>
      <w:r w:rsidRPr="00E27443">
        <w:t>equal</w:t>
      </w:r>
      <w:r w:rsidR="00C63F8F" w:rsidRPr="00E27443">
        <w:t xml:space="preserve"> </w:t>
      </w:r>
      <w:r w:rsidRPr="00E27443">
        <w:t>rights</w:t>
      </w:r>
      <w:r w:rsidR="00C63F8F" w:rsidRPr="00E27443">
        <w:t xml:space="preserve"> </w:t>
      </w:r>
      <w:r w:rsidRPr="00E27443">
        <w:t>and</w:t>
      </w:r>
      <w:r w:rsidR="00C63F8F" w:rsidRPr="00E27443">
        <w:t xml:space="preserve"> </w:t>
      </w:r>
      <w:r w:rsidRPr="00E27443">
        <w:t>opportunities</w:t>
      </w:r>
      <w:r w:rsidR="00C63F8F" w:rsidRPr="00E27443">
        <w:t xml:space="preserve"> </w:t>
      </w:r>
      <w:r w:rsidRPr="00E27443">
        <w:t>regardless</w:t>
      </w:r>
      <w:r w:rsidR="00C63F8F" w:rsidRPr="00E27443">
        <w:t xml:space="preserve"> </w:t>
      </w:r>
      <w:r w:rsidRPr="00E27443">
        <w:t>of</w:t>
      </w:r>
      <w:r w:rsidR="00C63F8F" w:rsidRPr="00E27443">
        <w:t xml:space="preserve"> </w:t>
      </w:r>
      <w:r w:rsidRPr="00E27443">
        <w:t>disability.</w:t>
      </w:r>
      <w:r w:rsidR="00C63F8F" w:rsidRPr="00E27443">
        <w:t xml:space="preserve"> </w:t>
      </w:r>
      <w:r w:rsidRPr="00E27443">
        <w:t>The</w:t>
      </w:r>
      <w:r w:rsidR="00C63F8F" w:rsidRPr="00E27443">
        <w:t xml:space="preserve"> </w:t>
      </w:r>
      <w:r w:rsidRPr="00E27443">
        <w:t>Ombudsman</w:t>
      </w:r>
      <w:r w:rsidR="00C63F8F" w:rsidRPr="00E27443">
        <w:t xml:space="preserve"> </w:t>
      </w:r>
      <w:r w:rsidRPr="00E27443">
        <w:t>must,</w:t>
      </w:r>
      <w:r w:rsidR="00C63F8F" w:rsidRPr="00E27443">
        <w:t xml:space="preserve"> </w:t>
      </w:r>
      <w:r w:rsidRPr="00E27443">
        <w:t>through</w:t>
      </w:r>
      <w:r w:rsidR="00C63F8F" w:rsidRPr="00E27443">
        <w:t xml:space="preserve"> </w:t>
      </w:r>
      <w:r w:rsidRPr="00E27443">
        <w:t>advice</w:t>
      </w:r>
      <w:r w:rsidR="00C63F8F" w:rsidRPr="00E27443">
        <w:t xml:space="preserve"> </w:t>
      </w:r>
      <w:r w:rsidRPr="00E27443">
        <w:t>and</w:t>
      </w:r>
      <w:r w:rsidR="00C63F8F" w:rsidRPr="00E27443">
        <w:t xml:space="preserve"> </w:t>
      </w:r>
      <w:r w:rsidRPr="00E27443">
        <w:t>in</w:t>
      </w:r>
      <w:r w:rsidR="00C63F8F" w:rsidRPr="00E27443">
        <w:t xml:space="preserve"> </w:t>
      </w:r>
      <w:r w:rsidRPr="00E27443">
        <w:t>other</w:t>
      </w:r>
      <w:r w:rsidR="00C63F8F" w:rsidRPr="00E27443">
        <w:t xml:space="preserve"> </w:t>
      </w:r>
      <w:r w:rsidRPr="00E27443">
        <w:t>ways,</w:t>
      </w:r>
      <w:r w:rsidR="00C63F8F" w:rsidRPr="00E27443">
        <w:t xml:space="preserve"> </w:t>
      </w:r>
      <w:r w:rsidRPr="00E27443">
        <w:t>contribute</w:t>
      </w:r>
      <w:r w:rsidR="00C63F8F" w:rsidRPr="00E27443">
        <w:t xml:space="preserve"> </w:t>
      </w:r>
      <w:r w:rsidRPr="00E27443">
        <w:t>to</w:t>
      </w:r>
      <w:r w:rsidR="00C63F8F" w:rsidRPr="00E27443">
        <w:t xml:space="preserve"> </w:t>
      </w:r>
      <w:r w:rsidRPr="00E27443">
        <w:t>the</w:t>
      </w:r>
      <w:r w:rsidR="00C63F8F" w:rsidRPr="00E27443">
        <w:t xml:space="preserve"> </w:t>
      </w:r>
      <w:r w:rsidRPr="00E27443">
        <w:t>person</w:t>
      </w:r>
      <w:r w:rsidR="00C63F8F" w:rsidRPr="00E27443">
        <w:t xml:space="preserve"> </w:t>
      </w:r>
      <w:r w:rsidRPr="00E27443">
        <w:t>who</w:t>
      </w:r>
      <w:r w:rsidR="00C63F8F" w:rsidRPr="00E27443">
        <w:t xml:space="preserve"> </w:t>
      </w:r>
      <w:r w:rsidRPr="00E27443">
        <w:t>has</w:t>
      </w:r>
      <w:r w:rsidR="00C63F8F" w:rsidRPr="00E27443">
        <w:t xml:space="preserve"> </w:t>
      </w:r>
      <w:r w:rsidRPr="00E27443">
        <w:t>been</w:t>
      </w:r>
      <w:r w:rsidR="00C63F8F" w:rsidRPr="00E27443">
        <w:t xml:space="preserve"> </w:t>
      </w:r>
      <w:r w:rsidRPr="00E27443">
        <w:t>subjected</w:t>
      </w:r>
      <w:r w:rsidR="00C63F8F" w:rsidRPr="00E27443">
        <w:t xml:space="preserve"> </w:t>
      </w:r>
      <w:r w:rsidRPr="00E27443">
        <w:t>to</w:t>
      </w:r>
      <w:r w:rsidR="00C63F8F" w:rsidRPr="00E27443">
        <w:t xml:space="preserve"> </w:t>
      </w:r>
      <w:r w:rsidRPr="00E27443">
        <w:t>discrimination</w:t>
      </w:r>
      <w:r w:rsidR="00C63F8F" w:rsidRPr="00E27443">
        <w:t xml:space="preserve"> </w:t>
      </w:r>
      <w:r w:rsidRPr="00E27443">
        <w:t>being</w:t>
      </w:r>
      <w:r w:rsidR="00C63F8F" w:rsidRPr="00E27443">
        <w:t xml:space="preserve"> </w:t>
      </w:r>
      <w:r w:rsidRPr="00E27443">
        <w:t>able</w:t>
      </w:r>
      <w:r w:rsidR="00C63F8F" w:rsidRPr="00E27443">
        <w:t xml:space="preserve"> </w:t>
      </w:r>
      <w:r w:rsidRPr="00E27443">
        <w:t>to</w:t>
      </w:r>
      <w:r w:rsidR="00C63F8F" w:rsidRPr="00E27443">
        <w:t xml:space="preserve"> </w:t>
      </w:r>
      <w:r w:rsidRPr="00E27443">
        <w:t>utilise</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rights.</w:t>
      </w:r>
      <w:r w:rsidR="00C63F8F" w:rsidRPr="00E27443">
        <w:t xml:space="preserve"> </w:t>
      </w:r>
      <w:r w:rsidRPr="00E27443">
        <w:t>Furthermore,</w:t>
      </w:r>
      <w:r w:rsidR="00C63F8F" w:rsidRPr="00E27443">
        <w:t xml:space="preserve"> </w:t>
      </w:r>
      <w:r w:rsidRPr="00E27443">
        <w:t>the</w:t>
      </w:r>
      <w:r w:rsidR="00C63F8F" w:rsidRPr="00E27443">
        <w:t xml:space="preserve"> </w:t>
      </w:r>
      <w:r w:rsidRPr="00E27443">
        <w:t>authority</w:t>
      </w:r>
      <w:r w:rsidR="00C63F8F" w:rsidRPr="00E27443">
        <w:t xml:space="preserve"> </w:t>
      </w:r>
      <w:r w:rsidRPr="00E27443">
        <w:t>is</w:t>
      </w:r>
      <w:r w:rsidR="00C63F8F" w:rsidRPr="00E27443">
        <w:t xml:space="preserve"> </w:t>
      </w:r>
      <w:r w:rsidRPr="00E27443">
        <w:t>tasked</w:t>
      </w:r>
      <w:r w:rsidR="00C63F8F" w:rsidRPr="00E27443">
        <w:t xml:space="preserve"> </w:t>
      </w:r>
      <w:r w:rsidRPr="00E27443">
        <w:t>for</w:t>
      </w:r>
      <w:r w:rsidR="00C63F8F" w:rsidRPr="00E27443">
        <w:t xml:space="preserve"> </w:t>
      </w:r>
      <w:r w:rsidRPr="00E27443">
        <w:t>example</w:t>
      </w:r>
      <w:r w:rsidR="00C63F8F" w:rsidRPr="00E27443">
        <w:t xml:space="preserve"> </w:t>
      </w:r>
      <w:r w:rsidRPr="00E27443">
        <w:t>with</w:t>
      </w:r>
      <w:r w:rsidR="00C63F8F" w:rsidRPr="00E27443">
        <w:t xml:space="preserve"> </w:t>
      </w:r>
      <w:r w:rsidRPr="00E27443">
        <w:t>providing</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training,</w:t>
      </w:r>
      <w:r w:rsidR="00C63F8F" w:rsidRPr="00E27443">
        <w:t xml:space="preserve"> </w:t>
      </w:r>
      <w:r w:rsidRPr="00E27443">
        <w:t>suggesting</w:t>
      </w:r>
      <w:r w:rsidR="00C63F8F" w:rsidRPr="00E27443">
        <w:t xml:space="preserve"> </w:t>
      </w:r>
      <w:r w:rsidRPr="00E27443">
        <w:t>constitutional</w:t>
      </w:r>
      <w:r w:rsidR="00C63F8F" w:rsidRPr="00E27443">
        <w:t xml:space="preserve"> </w:t>
      </w:r>
      <w:r w:rsidRPr="00E27443">
        <w:t>amendments</w:t>
      </w:r>
      <w:r w:rsidR="00C63F8F" w:rsidRPr="00E27443">
        <w:t xml:space="preserve"> </w:t>
      </w:r>
      <w:r w:rsidRPr="00E27443">
        <w:t>to</w:t>
      </w:r>
      <w:r w:rsidR="00C63F8F" w:rsidRPr="00E27443">
        <w:t xml:space="preserve"> </w:t>
      </w:r>
      <w:r w:rsidRPr="00E27443">
        <w:t>counteract</w:t>
      </w:r>
      <w:r w:rsidR="00C63F8F" w:rsidRPr="00E27443">
        <w:t xml:space="preserve"> </w:t>
      </w:r>
      <w:r w:rsidRPr="00E27443">
        <w:t>discrimination,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implementing</w:t>
      </w:r>
      <w:r w:rsidR="00C63F8F" w:rsidRPr="00E27443">
        <w:t xml:space="preserve"> </w:t>
      </w:r>
      <w:r w:rsidRPr="00E27443">
        <w:t>other</w:t>
      </w:r>
      <w:r w:rsidR="00C63F8F" w:rsidRPr="00E27443">
        <w:t xml:space="preserve"> </w:t>
      </w:r>
      <w:r w:rsidRPr="00E27443">
        <w:t>suitable</w:t>
      </w:r>
      <w:r w:rsidR="00C63F8F" w:rsidRPr="00E27443">
        <w:t xml:space="preserve"> </w:t>
      </w:r>
      <w:r w:rsidRPr="00E27443">
        <w:t>measures.</w:t>
      </w:r>
    </w:p>
    <w:p w:rsidR="00321ADA" w:rsidRPr="00E27443" w:rsidRDefault="00321ADA" w:rsidP="00E75253">
      <w:pPr>
        <w:pStyle w:val="SingleTxtG"/>
        <w:numPr>
          <w:ilvl w:val="0"/>
          <w:numId w:val="20"/>
        </w:numPr>
        <w:tabs>
          <w:tab w:val="left" w:pos="1843"/>
        </w:tabs>
        <w:ind w:left="1134" w:firstLine="0"/>
      </w:pPr>
      <w:r w:rsidRPr="00E27443">
        <w:t>A</w:t>
      </w:r>
      <w:r w:rsidR="00C63F8F" w:rsidRPr="00E27443">
        <w:t xml:space="preserve"> </w:t>
      </w:r>
      <w:r w:rsidRPr="00E27443">
        <w:t>new</w:t>
      </w:r>
      <w:r w:rsidR="00C63F8F" w:rsidRPr="00E27443">
        <w:t xml:space="preserve"> </w:t>
      </w:r>
      <w:r w:rsidRPr="00E27443">
        <w:rPr>
          <w:i/>
        </w:rPr>
        <w:t>minority</w:t>
      </w:r>
      <w:r w:rsidR="00C63F8F" w:rsidRPr="00E27443">
        <w:rPr>
          <w:i/>
        </w:rPr>
        <w:t xml:space="preserve"> </w:t>
      </w:r>
      <w:r w:rsidRPr="00E27443">
        <w:rPr>
          <w:i/>
        </w:rPr>
        <w:t>policy</w:t>
      </w:r>
      <w:r w:rsidR="00C63F8F" w:rsidRPr="00E27443">
        <w:rPr>
          <w:i/>
        </w:rPr>
        <w:t xml:space="preserve"> </w:t>
      </w:r>
      <w:r w:rsidRPr="00E27443">
        <w:rPr>
          <w:i/>
        </w:rPr>
        <w:t>strategy</w:t>
      </w:r>
      <w:r w:rsidRPr="00E27443">
        <w:t>,</w:t>
      </w:r>
      <w:r w:rsidR="00C63F8F" w:rsidRPr="00E27443">
        <w:t xml:space="preserve"> </w:t>
      </w:r>
      <w:r w:rsidRPr="00E27443">
        <w:t>From</w:t>
      </w:r>
      <w:r w:rsidR="00C63F8F" w:rsidRPr="00E27443">
        <w:t xml:space="preserve"> </w:t>
      </w:r>
      <w:r w:rsidRPr="00E27443">
        <w:t>Recognition</w:t>
      </w:r>
      <w:r w:rsidR="00C63F8F" w:rsidRPr="00E27443">
        <w:t xml:space="preserve"> </w:t>
      </w:r>
      <w:r w:rsidRPr="00E27443">
        <w:t>to</w:t>
      </w:r>
      <w:r w:rsidR="00C63F8F" w:rsidRPr="00E27443">
        <w:t xml:space="preserve"> </w:t>
      </w:r>
      <w:r w:rsidRPr="00E27443">
        <w:t>Empowerment</w:t>
      </w:r>
      <w:r w:rsidR="00C63F8F" w:rsidRPr="00E27443">
        <w:t xml:space="preserve"> </w:t>
      </w:r>
      <w:r w:rsidRPr="00E27443">
        <w:t>–</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Strategy</w:t>
      </w:r>
      <w:r w:rsidR="00C63F8F" w:rsidRPr="00E27443">
        <w:t xml:space="preserve"> </w:t>
      </w:r>
      <w:r w:rsidRPr="00E27443">
        <w:t>for</w:t>
      </w:r>
      <w:r w:rsidR="00C63F8F" w:rsidRPr="00E27443">
        <w:t xml:space="preserve"> </w:t>
      </w:r>
      <w:r w:rsidRPr="00E27443">
        <w:t>the</w:t>
      </w:r>
      <w:r w:rsidR="00C63F8F" w:rsidRPr="00E27443">
        <w:t xml:space="preserve"> </w:t>
      </w:r>
      <w:r w:rsidRPr="00E27443">
        <w:t>National</w:t>
      </w:r>
      <w:r w:rsidR="00C63F8F" w:rsidRPr="00E27443">
        <w:t xml:space="preserve"> </w:t>
      </w:r>
      <w:r w:rsidRPr="00E27443">
        <w:t>Minorities,</w:t>
      </w:r>
      <w:r w:rsidR="00590C1E" w:rsidRPr="00E27443">
        <w:rPr>
          <w:rStyle w:val="FootnoteReference"/>
        </w:rPr>
        <w:footnoteReference w:id="20"/>
      </w:r>
      <w:r w:rsidR="00C63F8F" w:rsidRPr="00E27443">
        <w:t xml:space="preserve"> </w:t>
      </w:r>
      <w:r w:rsidRPr="00E27443">
        <w:t>was</w:t>
      </w:r>
      <w:r w:rsidR="00C63F8F" w:rsidRPr="00E27443">
        <w:t xml:space="preserve"> </w:t>
      </w:r>
      <w:r w:rsidRPr="00E27443">
        <w:t>presented</w:t>
      </w:r>
      <w:r w:rsidR="00C63F8F" w:rsidRPr="00E27443">
        <w:t xml:space="preserve"> </w:t>
      </w:r>
      <w:r w:rsidRPr="00E27443">
        <w:t>by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w:t>
      </w:r>
      <w:r w:rsidR="00C63F8F" w:rsidRPr="00E27443">
        <w:t xml:space="preserve"> </w:t>
      </w:r>
      <w:r w:rsidRPr="00E27443">
        <w:t>2009.</w:t>
      </w:r>
      <w:r w:rsidR="00C63F8F" w:rsidRPr="00E27443">
        <w:t xml:space="preserve"> </w:t>
      </w:r>
      <w:r w:rsidRPr="00E27443">
        <w:t>The</w:t>
      </w:r>
      <w:r w:rsidR="00C63F8F" w:rsidRPr="00E27443">
        <w:t xml:space="preserve"> </w:t>
      </w:r>
      <w:r w:rsidRPr="00E27443">
        <w:t>strategy</w:t>
      </w:r>
      <w:r w:rsidR="00C63F8F" w:rsidRPr="00E27443">
        <w:t xml:space="preserve"> </w:t>
      </w:r>
      <w:r w:rsidRPr="00E27443">
        <w:t>includes</w:t>
      </w:r>
      <w:r w:rsidR="00C63F8F" w:rsidRPr="00E27443">
        <w:t xml:space="preserve"> </w:t>
      </w:r>
      <w:r w:rsidRPr="00E27443">
        <w:t>changes</w:t>
      </w:r>
      <w:r w:rsidR="00C63F8F" w:rsidRPr="00E27443">
        <w:t xml:space="preserve"> </w:t>
      </w:r>
      <w:r w:rsidRPr="00E27443">
        <w:t>intended</w:t>
      </w:r>
      <w:r w:rsidR="00C63F8F" w:rsidRPr="00E27443">
        <w:t xml:space="preserve"> </w:t>
      </w:r>
      <w:r w:rsidRPr="00E27443">
        <w:t>to</w:t>
      </w:r>
      <w:r w:rsidR="00C63F8F" w:rsidRPr="00E27443">
        <w:t xml:space="preserve"> </w:t>
      </w:r>
      <w:r w:rsidRPr="00E27443">
        <w:t>strengthen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national</w:t>
      </w:r>
      <w:r w:rsidR="00C63F8F" w:rsidRPr="00E27443">
        <w:t xml:space="preserve"> </w:t>
      </w:r>
      <w:r w:rsidRPr="00E27443">
        <w:t>minorities</w:t>
      </w:r>
      <w:r w:rsidR="00C63F8F" w:rsidRPr="00E27443">
        <w:t xml:space="preserve"> </w:t>
      </w:r>
      <w:r w:rsidRPr="00E27443">
        <w:t>and</w:t>
      </w:r>
      <w:r w:rsidR="00C63F8F" w:rsidRPr="00E27443">
        <w:t xml:space="preserve"> </w:t>
      </w:r>
      <w:r w:rsidRPr="00E27443">
        <w:t>to</w:t>
      </w:r>
      <w:r w:rsidR="00C63F8F" w:rsidRPr="00E27443">
        <w:t xml:space="preserve"> </w:t>
      </w:r>
      <w:r w:rsidRPr="00E27443">
        <w:t>improve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minority</w:t>
      </w:r>
      <w:r w:rsidR="00C63F8F" w:rsidRPr="00E27443">
        <w:t xml:space="preserve"> </w:t>
      </w:r>
      <w:r w:rsidRPr="00E27443">
        <w:t>policy.</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the</w:t>
      </w:r>
      <w:r w:rsidR="00C63F8F" w:rsidRPr="00E27443">
        <w:t xml:space="preserve"> </w:t>
      </w:r>
      <w:r w:rsidRPr="00E27443">
        <w:t>Swedish</w:t>
      </w:r>
      <w:r w:rsidR="00C63F8F" w:rsidRPr="00E27443">
        <w:t xml:space="preserve"> </w:t>
      </w:r>
      <w:r w:rsidRPr="00E27443">
        <w:t>minority</w:t>
      </w:r>
      <w:r w:rsidR="00C63F8F" w:rsidRPr="00E27443">
        <w:t xml:space="preserve"> </w:t>
      </w:r>
      <w:r w:rsidRPr="00E27443">
        <w:t>policy</w:t>
      </w:r>
      <w:r w:rsidR="00C63F8F" w:rsidRPr="00E27443">
        <w:t xml:space="preserve"> </w:t>
      </w:r>
      <w:r w:rsidRPr="00E27443">
        <w:t>are</w:t>
      </w:r>
      <w:r w:rsidR="00C63F8F" w:rsidRPr="00E27443">
        <w:t xml:space="preserve"> </w:t>
      </w:r>
      <w:r w:rsidRPr="00E27443">
        <w:t>to</w:t>
      </w:r>
      <w:r w:rsidR="00C63F8F" w:rsidRPr="00E27443">
        <w:t xml:space="preserve"> </w:t>
      </w:r>
      <w:r w:rsidRPr="00E27443">
        <w:t>provide</w:t>
      </w:r>
      <w:r w:rsidR="00C63F8F" w:rsidRPr="00E27443">
        <w:t xml:space="preserve"> </w:t>
      </w:r>
      <w:r w:rsidRPr="00E27443">
        <w:t>protection</w:t>
      </w:r>
      <w:r w:rsidR="00C63F8F" w:rsidRPr="00E27443">
        <w:t xml:space="preserve"> </w:t>
      </w:r>
      <w:r w:rsidRPr="00E27443">
        <w:t>for</w:t>
      </w:r>
      <w:r w:rsidR="00C63F8F" w:rsidRPr="00E27443">
        <w:t xml:space="preserve"> </w:t>
      </w:r>
      <w:r w:rsidRPr="00E27443">
        <w:t>the</w:t>
      </w:r>
      <w:r w:rsidR="00C63F8F" w:rsidRPr="00E27443">
        <w:t xml:space="preserve"> </w:t>
      </w:r>
      <w:r w:rsidRPr="00E27443">
        <w:t>national</w:t>
      </w:r>
      <w:r w:rsidR="00C63F8F" w:rsidRPr="00E27443">
        <w:t xml:space="preserve"> </w:t>
      </w:r>
      <w:r w:rsidRPr="00E27443">
        <w:t>minorities,</w:t>
      </w:r>
      <w:r w:rsidR="00C63F8F" w:rsidRPr="00E27443">
        <w:t xml:space="preserve"> </w:t>
      </w:r>
      <w:r w:rsidRPr="00E27443">
        <w:t>to</w:t>
      </w:r>
      <w:r w:rsidR="00C63F8F" w:rsidRPr="00E27443">
        <w:t xml:space="preserve"> </w:t>
      </w:r>
      <w:r w:rsidRPr="00E27443">
        <w:t>strengthen</w:t>
      </w:r>
      <w:r w:rsidR="00C63F8F" w:rsidRPr="00E27443">
        <w:t xml:space="preserve"> </w:t>
      </w:r>
      <w:r w:rsidRPr="00E27443">
        <w:t>their</w:t>
      </w:r>
      <w:r w:rsidR="00C63F8F" w:rsidRPr="00E27443">
        <w:t xml:space="preserve"> </w:t>
      </w:r>
      <w:r w:rsidRPr="00E27443">
        <w:t>potential</w:t>
      </w:r>
      <w:r w:rsidR="00C63F8F" w:rsidRPr="00E27443">
        <w:t xml:space="preserve"> </w:t>
      </w:r>
      <w:r w:rsidRPr="00E27443">
        <w:t>to</w:t>
      </w:r>
      <w:r w:rsidR="00C63F8F" w:rsidRPr="00E27443">
        <w:t xml:space="preserve"> </w:t>
      </w:r>
      <w:r w:rsidRPr="00E27443">
        <w:t>exert</w:t>
      </w:r>
      <w:r w:rsidR="00C63F8F" w:rsidRPr="00E27443">
        <w:t xml:space="preserve"> </w:t>
      </w:r>
      <w:r w:rsidRPr="00E27443">
        <w:t>influence,</w:t>
      </w:r>
      <w:r w:rsidR="00C63F8F" w:rsidRPr="00E27443">
        <w:t xml:space="preserve"> </w:t>
      </w:r>
      <w:r w:rsidRPr="00E27443">
        <w:t>and</w:t>
      </w:r>
      <w:r w:rsidR="00C63F8F" w:rsidRPr="00E27443">
        <w:t xml:space="preserve"> </w:t>
      </w:r>
      <w:r w:rsidRPr="00E27443">
        <w:t>to</w:t>
      </w:r>
      <w:r w:rsidR="00C63F8F" w:rsidRPr="00E27443">
        <w:t xml:space="preserve"> </w:t>
      </w:r>
      <w:r w:rsidRPr="00E27443">
        <w:t>support</w:t>
      </w:r>
      <w:r w:rsidR="00C63F8F" w:rsidRPr="00E27443">
        <w:t xml:space="preserve"> </w:t>
      </w:r>
      <w:r w:rsidRPr="00E27443">
        <w:t>the</w:t>
      </w:r>
      <w:r w:rsidR="00C63F8F" w:rsidRPr="00E27443">
        <w:t xml:space="preserve"> </w:t>
      </w:r>
      <w:r w:rsidRPr="00E27443">
        <w:t>historical</w:t>
      </w:r>
      <w:r w:rsidR="00C63F8F" w:rsidRPr="00E27443">
        <w:t xml:space="preserve"> </w:t>
      </w:r>
      <w:r w:rsidRPr="00E27443">
        <w:t>minority</w:t>
      </w:r>
      <w:r w:rsidR="00C63F8F" w:rsidRPr="00E27443">
        <w:t xml:space="preserve"> </w:t>
      </w:r>
      <w:r w:rsidRPr="00E27443">
        <w:t>languages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keep</w:t>
      </w:r>
      <w:r w:rsidR="00C63F8F" w:rsidRPr="00E27443">
        <w:t xml:space="preserve"> </w:t>
      </w:r>
      <w:r w:rsidRPr="00E27443">
        <w:t>them</w:t>
      </w:r>
      <w:r w:rsidR="00C63F8F" w:rsidRPr="00E27443">
        <w:t xml:space="preserve"> </w:t>
      </w:r>
      <w:r w:rsidRPr="00E27443">
        <w:t>alive.</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national</w:t>
      </w:r>
      <w:r w:rsidR="00C63F8F" w:rsidRPr="00E27443">
        <w:t xml:space="preserve"> </w:t>
      </w:r>
      <w:r w:rsidRPr="00E27443">
        <w:t>minorities</w:t>
      </w:r>
      <w:r w:rsidR="00C63F8F" w:rsidRPr="00E27443">
        <w:t xml:space="preserve"> </w:t>
      </w:r>
      <w:r w:rsidRPr="00E27443">
        <w:t>are</w:t>
      </w:r>
      <w:r w:rsidR="00C63F8F" w:rsidRPr="00E27443">
        <w:t xml:space="preserve"> </w:t>
      </w:r>
      <w:r w:rsidRPr="00E27443">
        <w:t>the</w:t>
      </w:r>
      <w:r w:rsidR="00C63F8F" w:rsidRPr="00E27443">
        <w:t xml:space="preserve"> </w:t>
      </w:r>
      <w:r w:rsidRPr="00E27443">
        <w:t>Jews,</w:t>
      </w:r>
      <w:r w:rsidR="00C63F8F" w:rsidRPr="00E27443">
        <w:t xml:space="preserve"> </w:t>
      </w:r>
      <w:r w:rsidRPr="00E27443">
        <w:t>the</w:t>
      </w:r>
      <w:r w:rsidR="00C63F8F" w:rsidRPr="00E27443">
        <w:t xml:space="preserve"> </w:t>
      </w:r>
      <w:r w:rsidRPr="00E27443">
        <w:t>Roma,</w:t>
      </w:r>
      <w:r w:rsidR="00C63F8F" w:rsidRPr="00E27443">
        <w:t xml:space="preserve"> </w:t>
      </w:r>
      <w:r w:rsidRPr="00E27443">
        <w:t>the</w:t>
      </w:r>
      <w:r w:rsidR="00C63F8F" w:rsidRPr="00E27443">
        <w:t xml:space="preserve"> </w:t>
      </w:r>
      <w:r w:rsidRPr="00E27443">
        <w:t>Saami,</w:t>
      </w:r>
      <w:r w:rsidR="00C63F8F" w:rsidRPr="00E27443">
        <w:t xml:space="preserve"> </w:t>
      </w:r>
      <w:r w:rsidRPr="00E27443">
        <w:t>the</w:t>
      </w:r>
      <w:r w:rsidR="00C63F8F" w:rsidRPr="00E27443">
        <w:t xml:space="preserve"> </w:t>
      </w:r>
      <w:r w:rsidRPr="00E27443">
        <w:t>Swedish</w:t>
      </w:r>
      <w:r w:rsidR="00C63F8F" w:rsidRPr="00E27443">
        <w:t xml:space="preserve"> </w:t>
      </w:r>
      <w:r w:rsidRPr="00E27443">
        <w:t>Finns</w:t>
      </w:r>
      <w:r w:rsidR="00C63F8F" w:rsidRPr="00E27443">
        <w:t xml:space="preserve"> </w:t>
      </w:r>
      <w:r w:rsidRPr="00E27443">
        <w:t>and</w:t>
      </w:r>
      <w:r w:rsidR="00C63F8F" w:rsidRPr="00E27443">
        <w:t xml:space="preserve"> </w:t>
      </w:r>
      <w:r w:rsidRPr="00E27443">
        <w:t>Tornedalers.</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rPr>
          <w:i/>
        </w:rPr>
        <w:t>police</w:t>
      </w:r>
      <w:r w:rsidR="00C63F8F" w:rsidRPr="00E27443">
        <w:t xml:space="preserve"> </w:t>
      </w:r>
      <w:r w:rsidRPr="00E27443">
        <w:t>are</w:t>
      </w:r>
      <w:r w:rsidR="00C63F8F" w:rsidRPr="00E27443">
        <w:t xml:space="preserve"> </w:t>
      </w:r>
      <w:r w:rsidRPr="00E27443">
        <w:t>the</w:t>
      </w:r>
      <w:r w:rsidR="00C63F8F" w:rsidRPr="00E27443">
        <w:t xml:space="preserve"> </w:t>
      </w:r>
      <w:r w:rsidRPr="00E27443">
        <w:t>authority</w:t>
      </w:r>
      <w:r w:rsidR="00C63F8F" w:rsidRPr="00E27443">
        <w:t xml:space="preserve"> </w:t>
      </w:r>
      <w:r w:rsidRPr="00E27443">
        <w:t>charged</w:t>
      </w:r>
      <w:r w:rsidR="00C63F8F" w:rsidRPr="00E27443">
        <w:t xml:space="preserve"> </w:t>
      </w:r>
      <w:r w:rsidRPr="00E27443">
        <w:t>with</w:t>
      </w:r>
      <w:r w:rsidR="00C63F8F" w:rsidRPr="00E27443">
        <w:t xml:space="preserve"> </w:t>
      </w:r>
      <w:r w:rsidRPr="00E27443">
        <w:t>preventing</w:t>
      </w:r>
      <w:r w:rsidR="00C63F8F" w:rsidRPr="00E27443">
        <w:t xml:space="preserve"> </w:t>
      </w:r>
      <w:r w:rsidRPr="00E27443">
        <w:t>crime,</w:t>
      </w:r>
      <w:r w:rsidR="00C63F8F" w:rsidRPr="00E27443">
        <w:t xml:space="preserve"> </w:t>
      </w:r>
      <w:r w:rsidRPr="00E27443">
        <w:t>monitoring</w:t>
      </w:r>
      <w:r w:rsidR="00C63F8F" w:rsidRPr="00E27443">
        <w:t xml:space="preserve"> </w:t>
      </w:r>
      <w:r w:rsidRPr="00E27443">
        <w:t>public</w:t>
      </w:r>
      <w:r w:rsidR="00C63F8F" w:rsidRPr="00E27443">
        <w:t xml:space="preserve"> </w:t>
      </w:r>
      <w:r w:rsidRPr="00E27443">
        <w:t>order</w:t>
      </w:r>
      <w:r w:rsidR="00C63F8F" w:rsidRPr="00E27443">
        <w:t xml:space="preserve"> </w:t>
      </w:r>
      <w:r w:rsidRPr="00E27443">
        <w:t>and</w:t>
      </w:r>
      <w:r w:rsidR="00C63F8F" w:rsidRPr="00E27443">
        <w:t xml:space="preserve"> </w:t>
      </w:r>
      <w:r w:rsidRPr="00E27443">
        <w:t>security,</w:t>
      </w:r>
      <w:r w:rsidR="00C63F8F" w:rsidRPr="00E27443">
        <w:t xml:space="preserve"> </w:t>
      </w:r>
      <w:r w:rsidRPr="00E27443">
        <w:t>conducting</w:t>
      </w:r>
      <w:r w:rsidR="00C63F8F" w:rsidRPr="00E27443">
        <w:t xml:space="preserve"> </w:t>
      </w:r>
      <w:r w:rsidRPr="00E27443">
        <w:t>surveillance</w:t>
      </w:r>
      <w:r w:rsidR="00C63F8F" w:rsidRPr="00E27443">
        <w:t xml:space="preserve"> </w:t>
      </w:r>
      <w:r w:rsidRPr="00E27443">
        <w:t>and</w:t>
      </w:r>
      <w:r w:rsidR="00C63F8F" w:rsidRPr="00E27443">
        <w:t xml:space="preserve"> </w:t>
      </w:r>
      <w:r w:rsidRPr="00E27443">
        <w:t>investigating</w:t>
      </w:r>
      <w:r w:rsidR="00C63F8F" w:rsidRPr="00E27443">
        <w:t xml:space="preserve"> </w:t>
      </w:r>
      <w:r w:rsidRPr="00E27443">
        <w:t>crimes.</w:t>
      </w:r>
      <w:r w:rsidR="00C63F8F" w:rsidRPr="00E27443">
        <w:t xml:space="preserve"> </w:t>
      </w:r>
      <w:r w:rsidRPr="00E27443">
        <w:t>The</w:t>
      </w:r>
      <w:r w:rsidR="00C63F8F" w:rsidRPr="00E27443">
        <w:t xml:space="preserve"> </w:t>
      </w:r>
      <w:r w:rsidRPr="00E27443">
        <w:t>police</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are</w:t>
      </w:r>
      <w:r w:rsidR="00C63F8F" w:rsidRPr="00E27443">
        <w:t xml:space="preserve"> </w:t>
      </w:r>
      <w:r w:rsidRPr="00E27443">
        <w:t>divided</w:t>
      </w:r>
      <w:r w:rsidR="00C63F8F" w:rsidRPr="00E27443">
        <w:t xml:space="preserve"> </w:t>
      </w:r>
      <w:r w:rsidRPr="00E27443">
        <w:t>into</w:t>
      </w:r>
      <w:r w:rsidR="00C63F8F" w:rsidRPr="00E27443">
        <w:t xml:space="preserve"> </w:t>
      </w:r>
      <w:r w:rsidRPr="00E27443">
        <w:t>a</w:t>
      </w:r>
      <w:r w:rsidR="00C63F8F" w:rsidRPr="00E27443">
        <w:t xml:space="preserve"> </w:t>
      </w:r>
      <w:r w:rsidRPr="00E27443">
        <w:t>central</w:t>
      </w:r>
      <w:r w:rsidR="00C63F8F" w:rsidRPr="00E27443">
        <w:t xml:space="preserve"> </w:t>
      </w:r>
      <w:r w:rsidRPr="00E27443">
        <w:t>level</w:t>
      </w:r>
      <w:r w:rsidR="00C63F8F" w:rsidRPr="00E27443">
        <w:t xml:space="preserve"> </w:t>
      </w:r>
      <w:r w:rsidRPr="00E27443">
        <w:t>and</w:t>
      </w:r>
      <w:r w:rsidR="00C63F8F" w:rsidRPr="00E27443">
        <w:t xml:space="preserve"> </w:t>
      </w:r>
      <w:r w:rsidRPr="00E27443">
        <w:t>a</w:t>
      </w:r>
      <w:r w:rsidR="00C63F8F" w:rsidRPr="00E27443">
        <w:t xml:space="preserve"> </w:t>
      </w:r>
      <w:r w:rsidRPr="00E27443">
        <w:t>local</w:t>
      </w:r>
      <w:r w:rsidR="00C63F8F" w:rsidRPr="00E27443">
        <w:t xml:space="preserve"> </w:t>
      </w:r>
      <w:r w:rsidRPr="00E27443">
        <w:t>level.</w:t>
      </w:r>
      <w:r w:rsidR="00C63F8F" w:rsidRPr="00E27443">
        <w:t xml:space="preserve"> </w:t>
      </w:r>
      <w:r w:rsidRPr="00E27443">
        <w:t>The</w:t>
      </w:r>
      <w:r w:rsidR="00C63F8F" w:rsidRPr="00E27443">
        <w:t xml:space="preserve"> </w:t>
      </w:r>
      <w:r w:rsidRPr="00E27443">
        <w:t>police</w:t>
      </w:r>
      <w:r w:rsidR="00C63F8F" w:rsidRPr="00E27443">
        <w:t xml:space="preserve"> </w:t>
      </w:r>
      <w:r w:rsidRPr="00E27443">
        <w:t>conducted</w:t>
      </w:r>
      <w:r w:rsidR="00C63F8F" w:rsidRPr="00E27443">
        <w:t xml:space="preserve"> </w:t>
      </w:r>
      <w:r w:rsidRPr="00E27443">
        <w:t>targeted</w:t>
      </w:r>
      <w:r w:rsidR="00C63F8F" w:rsidRPr="00E27443">
        <w:t xml:space="preserve"> </w:t>
      </w:r>
      <w:r w:rsidRPr="00E27443">
        <w:t>work</w:t>
      </w:r>
      <w:r w:rsidR="00C63F8F" w:rsidRPr="00E27443">
        <w:t xml:space="preserve"> </w:t>
      </w:r>
      <w:r w:rsidRPr="00E27443">
        <w:t>aimed</w:t>
      </w:r>
      <w:r w:rsidR="00C63F8F" w:rsidRPr="00E27443">
        <w:t xml:space="preserve"> </w:t>
      </w:r>
      <w:r w:rsidRPr="00E27443">
        <w:t>at</w:t>
      </w:r>
      <w:r w:rsidR="00C63F8F" w:rsidRPr="00E27443">
        <w:t xml:space="preserve"> </w:t>
      </w:r>
      <w:r w:rsidRPr="00E27443">
        <w:t>reducing</w:t>
      </w:r>
      <w:r w:rsidR="00C63F8F" w:rsidRPr="00E27443">
        <w:t xml:space="preserve"> </w:t>
      </w:r>
      <w:r w:rsidRPr="00E27443">
        <w:t>discrimination</w:t>
      </w:r>
      <w:r w:rsidR="00C63F8F" w:rsidRPr="00E27443">
        <w:t xml:space="preserve"> </w:t>
      </w:r>
      <w:r w:rsidRPr="00E27443">
        <w:t>and</w:t>
      </w:r>
      <w:r w:rsidR="00C63F8F" w:rsidRPr="00E27443">
        <w:t xml:space="preserve"> </w:t>
      </w:r>
      <w:r w:rsidRPr="00E27443">
        <w:t>other</w:t>
      </w:r>
      <w:r w:rsidR="00C63F8F" w:rsidRPr="00E27443">
        <w:t xml:space="preserve"> </w:t>
      </w:r>
      <w:r w:rsidRPr="00E27443">
        <w:t>restrictions</w:t>
      </w:r>
      <w:r w:rsidR="00C63F8F" w:rsidRPr="00E27443">
        <w:t xml:space="preserve"> </w:t>
      </w:r>
      <w:r w:rsidRPr="00E27443">
        <w:t>to</w:t>
      </w:r>
      <w:r w:rsidR="00C63F8F" w:rsidRPr="00E27443">
        <w:t xml:space="preserve"> </w:t>
      </w:r>
      <w:r w:rsidRPr="00E27443">
        <w:t>human</w:t>
      </w:r>
      <w:r w:rsidR="00C63F8F" w:rsidRPr="00E27443">
        <w:t xml:space="preserve"> </w:t>
      </w:r>
      <w:r w:rsidRPr="00E27443">
        <w:t>rights.</w:t>
      </w:r>
      <w:r w:rsidR="00C63F8F" w:rsidRPr="00E27443">
        <w:t xml:space="preserve"> </w:t>
      </w:r>
      <w:r w:rsidRPr="00E27443">
        <w:t>As</w:t>
      </w:r>
      <w:r w:rsidR="00C63F8F" w:rsidRPr="00E27443">
        <w:t xml:space="preserve"> </w:t>
      </w:r>
      <w:r w:rsidRPr="00E27443">
        <w:t>a</w:t>
      </w:r>
      <w:r w:rsidR="00C63F8F" w:rsidRPr="00E27443">
        <w:t xml:space="preserve"> </w:t>
      </w:r>
      <w:r w:rsidRPr="00E27443">
        <w:t>result,</w:t>
      </w:r>
      <w:r w:rsidR="00C63F8F" w:rsidRPr="00E27443">
        <w:t xml:space="preserve"> </w:t>
      </w:r>
      <w:r w:rsidRPr="00E27443">
        <w:t>the</w:t>
      </w:r>
      <w:r w:rsidR="00C63F8F" w:rsidRPr="00E27443">
        <w:t xml:space="preserve"> </w:t>
      </w:r>
      <w:r w:rsidRPr="00E27443">
        <w:t>authority</w:t>
      </w:r>
      <w:r w:rsidR="00C63F8F" w:rsidRPr="00E27443">
        <w:t xml:space="preserve"> </w:t>
      </w:r>
      <w:r w:rsidRPr="00E27443">
        <w:t>has</w:t>
      </w:r>
      <w:r w:rsidR="00C63F8F" w:rsidRPr="00E27443">
        <w:t xml:space="preserve"> </w:t>
      </w:r>
      <w:r w:rsidRPr="00E27443">
        <w:t>developed</w:t>
      </w:r>
      <w:r w:rsidR="00C63F8F" w:rsidRPr="00E27443">
        <w:t xml:space="preserve"> </w:t>
      </w:r>
      <w:r w:rsidRPr="00E27443">
        <w:t>a</w:t>
      </w:r>
      <w:r w:rsidR="00C63F8F" w:rsidRPr="00E27443">
        <w:t xml:space="preserve"> </w:t>
      </w:r>
      <w:r w:rsidRPr="00E27443">
        <w:t>policy</w:t>
      </w:r>
      <w:r w:rsidR="00C63F8F" w:rsidRPr="00E27443">
        <w:t xml:space="preserve"> </w:t>
      </w:r>
      <w:r w:rsidRPr="00E27443">
        <w:t>and</w:t>
      </w:r>
      <w:r w:rsidR="00C63F8F" w:rsidRPr="00E27443">
        <w:t xml:space="preserve"> </w:t>
      </w:r>
      <w:r w:rsidRPr="00E27443">
        <w:t>a</w:t>
      </w:r>
      <w:r w:rsidR="00C63F8F" w:rsidRPr="00E27443">
        <w:t xml:space="preserve"> </w:t>
      </w:r>
      <w:r w:rsidRPr="00E27443">
        <w:t>plan</w:t>
      </w:r>
      <w:r w:rsidR="00C63F8F" w:rsidRPr="00E27443">
        <w:t xml:space="preserve"> </w:t>
      </w:r>
      <w:r w:rsidRPr="00E27443">
        <w:t>of</w:t>
      </w:r>
      <w:r w:rsidR="00C63F8F" w:rsidRPr="00E27443">
        <w:t xml:space="preserve"> </w:t>
      </w:r>
      <w:r w:rsidRPr="00E27443">
        <w:t>action</w:t>
      </w:r>
      <w:r w:rsidR="00C63F8F" w:rsidRPr="00E27443">
        <w:t xml:space="preserve"> </w:t>
      </w:r>
      <w:r w:rsidRPr="00E27443">
        <w:t>for</w:t>
      </w:r>
      <w:r w:rsidR="00C63F8F" w:rsidRPr="00E27443">
        <w:t xml:space="preserve"> </w:t>
      </w:r>
      <w:r w:rsidRPr="00E27443">
        <w:t>diversity</w:t>
      </w:r>
      <w:r w:rsidR="00C63F8F" w:rsidRPr="00E27443">
        <w:t xml:space="preserve"> </w:t>
      </w:r>
      <w:r w:rsidRPr="00E27443">
        <w:t>and</w:t>
      </w:r>
      <w:r w:rsidR="00C63F8F" w:rsidRPr="00E27443">
        <w:t xml:space="preserve"> </w:t>
      </w:r>
      <w:r w:rsidRPr="00E27443">
        <w:t>equal</w:t>
      </w:r>
      <w:r w:rsidR="00C63F8F" w:rsidRPr="00E27443">
        <w:t xml:space="preserve"> </w:t>
      </w:r>
      <w:r w:rsidRPr="00E27443">
        <w:t>treatment</w:t>
      </w:r>
      <w:r w:rsidR="00C63F8F" w:rsidRPr="00E27443">
        <w:t xml:space="preserve"> </w:t>
      </w:r>
      <w:r w:rsidRPr="00E27443">
        <w:t>for</w:t>
      </w:r>
      <w:r w:rsidR="00C63F8F" w:rsidRPr="00E27443">
        <w:t xml:space="preserve"> </w:t>
      </w:r>
      <w:r w:rsidRPr="00E27443">
        <w:t>the</w:t>
      </w:r>
      <w:r w:rsidR="00C63F8F" w:rsidRPr="00E27443">
        <w:t xml:space="preserve"> </w:t>
      </w:r>
      <w:r w:rsidRPr="00E27443">
        <w:t>period</w:t>
      </w:r>
      <w:r w:rsidR="00C63F8F" w:rsidRPr="00E27443">
        <w:t xml:space="preserve"> </w:t>
      </w:r>
      <w:r w:rsidRPr="00E27443">
        <w:t>2010–2012.</w:t>
      </w:r>
      <w:r w:rsidR="00C63F8F" w:rsidRPr="00E27443">
        <w:t xml:space="preserve"> </w:t>
      </w:r>
      <w:r w:rsidRPr="00E27443">
        <w:t>This</w:t>
      </w:r>
      <w:r w:rsidR="00C63F8F" w:rsidRPr="00E27443">
        <w:t xml:space="preserve"> </w:t>
      </w:r>
      <w:r w:rsidRPr="00E27443">
        <w:t>specifies</w:t>
      </w:r>
      <w:r w:rsidR="00C63F8F" w:rsidRPr="00E27443">
        <w:t xml:space="preserve"> </w:t>
      </w:r>
      <w:r w:rsidRPr="00E27443">
        <w:t>zero</w:t>
      </w:r>
      <w:r w:rsidR="00C63F8F" w:rsidRPr="00E27443">
        <w:t xml:space="preserve"> </w:t>
      </w:r>
      <w:r w:rsidRPr="00E27443">
        <w:t>tolerance</w:t>
      </w:r>
      <w:r w:rsidR="00C63F8F" w:rsidRPr="00E27443">
        <w:t xml:space="preserve"> </w:t>
      </w:r>
      <w:r w:rsidRPr="00E27443">
        <w:t>and</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no</w:t>
      </w:r>
      <w:r w:rsidR="00C63F8F" w:rsidRPr="00E27443">
        <w:t xml:space="preserve"> </w:t>
      </w:r>
      <w:r w:rsidRPr="00E27443">
        <w:t>forms</w:t>
      </w:r>
      <w:r w:rsidR="00C63F8F" w:rsidRPr="00E27443">
        <w:t xml:space="preserve"> </w:t>
      </w:r>
      <w:r w:rsidRPr="00E27443">
        <w:t>of</w:t>
      </w:r>
      <w:r w:rsidR="00C63F8F" w:rsidRPr="00E27443">
        <w:t xml:space="preserve"> </w:t>
      </w:r>
      <w:r w:rsidRPr="00E27443">
        <w:t>discrimination</w:t>
      </w:r>
      <w:r w:rsidR="00C63F8F" w:rsidRPr="00E27443">
        <w:t xml:space="preserve"> </w:t>
      </w:r>
      <w:r w:rsidRPr="00E27443">
        <w:t>or</w:t>
      </w:r>
      <w:r w:rsidR="00C63F8F" w:rsidRPr="00E27443">
        <w:t xml:space="preserve"> </w:t>
      </w:r>
      <w:r w:rsidRPr="00E27443">
        <w:t>harassment</w:t>
      </w:r>
      <w:r w:rsidR="00C63F8F" w:rsidRPr="00E27443">
        <w:t xml:space="preserve"> </w:t>
      </w:r>
      <w:r w:rsidRPr="00E27443">
        <w:t>will</w:t>
      </w:r>
      <w:r w:rsidR="00C63F8F" w:rsidRPr="00E27443">
        <w:t xml:space="preserve"> </w:t>
      </w:r>
      <w:r w:rsidRPr="00E27443">
        <w:t>be</w:t>
      </w:r>
      <w:r w:rsidR="00C63F8F" w:rsidRPr="00E27443">
        <w:t xml:space="preserve"> </w:t>
      </w:r>
      <w:r w:rsidRPr="00E27443">
        <w:t>permitted,</w:t>
      </w:r>
      <w:r w:rsidR="00C63F8F" w:rsidRPr="00E27443">
        <w:t xml:space="preserve"> </w:t>
      </w:r>
      <w:r w:rsidRPr="00E27443">
        <w:t>either</w:t>
      </w:r>
      <w:r w:rsidR="00C63F8F" w:rsidRPr="00E27443">
        <w:t xml:space="preserve"> </w:t>
      </w:r>
      <w:r w:rsidRPr="00E27443">
        <w:t>within</w:t>
      </w:r>
      <w:r w:rsidR="00C63F8F" w:rsidRPr="00E27443">
        <w:t xml:space="preserve"> </w:t>
      </w:r>
      <w:r w:rsidRPr="00E27443">
        <w:t>the</w:t>
      </w:r>
      <w:r w:rsidR="00C63F8F" w:rsidRPr="00E27443">
        <w:t xml:space="preserve"> </w:t>
      </w:r>
      <w:r w:rsidRPr="00E27443">
        <w:t>police</w:t>
      </w:r>
      <w:r w:rsidR="00C63F8F" w:rsidRPr="00E27443">
        <w:t xml:space="preserve"> </w:t>
      </w:r>
      <w:r w:rsidRPr="00E27443">
        <w:t>organisation</w:t>
      </w:r>
      <w:r w:rsidR="00C63F8F" w:rsidRPr="00E27443">
        <w:t xml:space="preserve"> </w:t>
      </w:r>
      <w:r w:rsidRPr="00E27443">
        <w:t>or</w:t>
      </w:r>
      <w:r w:rsidR="00C63F8F" w:rsidRPr="00E27443">
        <w:t xml:space="preserve"> </w:t>
      </w:r>
      <w:r w:rsidRPr="00E27443">
        <w:t>in</w:t>
      </w:r>
      <w:r w:rsidR="00C63F8F" w:rsidRPr="00E27443">
        <w:t xml:space="preserve"> </w:t>
      </w:r>
      <w:r w:rsidRPr="00E27443">
        <w:t>its</w:t>
      </w:r>
      <w:r w:rsidR="00C63F8F" w:rsidRPr="00E27443">
        <w:t xml:space="preserve"> </w:t>
      </w:r>
      <w:r w:rsidRPr="00E27443">
        <w:t>contacts</w:t>
      </w:r>
      <w:r w:rsidR="00C63F8F" w:rsidRPr="00E27443">
        <w:t xml:space="preserve"> </w:t>
      </w:r>
      <w:r w:rsidRPr="00E27443">
        <w:t>with</w:t>
      </w:r>
      <w:r w:rsidR="00C63F8F" w:rsidRPr="00E27443">
        <w:t xml:space="preserve"> </w:t>
      </w:r>
      <w:r w:rsidRPr="00E27443">
        <w:t>citizens.</w:t>
      </w:r>
      <w:r w:rsidR="00C63F8F" w:rsidRPr="00E27443">
        <w:t xml:space="preserve"> </w:t>
      </w:r>
      <w:r w:rsidRPr="00E27443">
        <w:t>The</w:t>
      </w:r>
      <w:r w:rsidR="00C63F8F" w:rsidRPr="00E27443">
        <w:t xml:space="preserve"> </w:t>
      </w:r>
      <w:r w:rsidRPr="00E27443">
        <w:t>police</w:t>
      </w:r>
      <w:r w:rsidR="00C63F8F" w:rsidRPr="00E27443">
        <w:t xml:space="preserve"> </w:t>
      </w:r>
      <w:r w:rsidRPr="00E27443">
        <w:t>must</w:t>
      </w:r>
      <w:r w:rsidR="00C63F8F" w:rsidRPr="00E27443">
        <w:t xml:space="preserve"> </w:t>
      </w:r>
      <w:r w:rsidRPr="00E27443">
        <w:t>be</w:t>
      </w:r>
      <w:r w:rsidR="00C63F8F" w:rsidRPr="00E27443">
        <w:t xml:space="preserve"> </w:t>
      </w:r>
      <w:r w:rsidRPr="00E27443">
        <w:t>representative</w:t>
      </w:r>
      <w:r w:rsidR="00C63F8F" w:rsidRPr="00E27443">
        <w:t xml:space="preserve"> </w:t>
      </w:r>
      <w:r w:rsidRPr="00E27443">
        <w:t>and</w:t>
      </w:r>
      <w:r w:rsidR="00C63F8F" w:rsidRPr="00E27443">
        <w:t xml:space="preserve"> </w:t>
      </w:r>
      <w:r w:rsidRPr="00E27443">
        <w:t>good</w:t>
      </w:r>
      <w:r w:rsidR="00C63F8F" w:rsidRPr="00E27443">
        <w:t xml:space="preserve"> </w:t>
      </w:r>
      <w:r w:rsidRPr="00E27443">
        <w:t>role</w:t>
      </w:r>
      <w:r w:rsidR="00C63F8F" w:rsidRPr="00E27443">
        <w:t xml:space="preserve"> </w:t>
      </w:r>
      <w:r w:rsidRPr="00E27443">
        <w:t>models</w:t>
      </w:r>
      <w:r w:rsidR="00C63F8F" w:rsidRPr="00E27443">
        <w:t xml:space="preserve"> </w:t>
      </w:r>
      <w:r w:rsidRPr="00E27443">
        <w:t>in</w:t>
      </w:r>
      <w:r w:rsidR="00C63F8F" w:rsidRPr="00E27443">
        <w:t xml:space="preserve"> </w:t>
      </w:r>
      <w:r w:rsidRPr="00E27443">
        <w:t>society,</w:t>
      </w:r>
      <w:r w:rsidR="00C63F8F" w:rsidRPr="00E27443">
        <w:t xml:space="preserve"> </w:t>
      </w:r>
      <w:r w:rsidRPr="00E27443">
        <w:t>and</w:t>
      </w:r>
      <w:r w:rsidR="00C63F8F" w:rsidRPr="00E27443">
        <w:t xml:space="preserve"> </w:t>
      </w:r>
      <w:r w:rsidRPr="00E27443">
        <w:t>they</w:t>
      </w:r>
      <w:r w:rsidR="00C63F8F" w:rsidRPr="00E27443">
        <w:t xml:space="preserve"> </w:t>
      </w:r>
      <w:r w:rsidRPr="00E27443">
        <w:t>must</w:t>
      </w:r>
      <w:r w:rsidR="00C63F8F" w:rsidRPr="00E27443">
        <w:t xml:space="preserve"> </w:t>
      </w:r>
      <w:r w:rsidRPr="00E27443">
        <w:t>act</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Within</w:t>
      </w:r>
      <w:r w:rsidR="00C63F8F" w:rsidRPr="00E27443">
        <w:t xml:space="preserve"> </w:t>
      </w:r>
      <w:r w:rsidRPr="00E27443">
        <w:t>the</w:t>
      </w:r>
      <w:r w:rsidR="00C63F8F" w:rsidRPr="00E27443">
        <w:t xml:space="preserve"> </w:t>
      </w:r>
      <w:r w:rsidRPr="00E27443">
        <w:t>action</w:t>
      </w:r>
      <w:r w:rsidR="00C63F8F" w:rsidRPr="00E27443">
        <w:t xml:space="preserve"> </w:t>
      </w:r>
      <w:r w:rsidRPr="00E27443">
        <w:t>plan,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an</w:t>
      </w:r>
      <w:r w:rsidR="00C63F8F" w:rsidRPr="00E27443">
        <w:t xml:space="preserve"> </w:t>
      </w:r>
      <w:r w:rsidRPr="00E27443">
        <w:t>important</w:t>
      </w:r>
      <w:r w:rsidR="00C63F8F" w:rsidRPr="00E27443">
        <w:t xml:space="preserve"> </w:t>
      </w:r>
      <w:r w:rsidRPr="00E27443">
        <w:t>area.</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plan</w:t>
      </w:r>
      <w:r w:rsidR="00C63F8F" w:rsidRPr="00E27443">
        <w:t xml:space="preserve"> </w:t>
      </w:r>
      <w:r w:rsidRPr="00E27443">
        <w:t>emphasises</w:t>
      </w:r>
      <w:r w:rsidR="00C63F8F" w:rsidRPr="00E27443">
        <w:t xml:space="preserve"> </w:t>
      </w:r>
      <w:r w:rsidRPr="00E27443">
        <w:t>that</w:t>
      </w:r>
      <w:r w:rsidR="00C63F8F" w:rsidRPr="00E27443">
        <w:t xml:space="preserve"> </w:t>
      </w:r>
      <w:r w:rsidRPr="00E27443">
        <w:t>the</w:t>
      </w:r>
      <w:r w:rsidR="00C63F8F" w:rsidRPr="00E27443">
        <w:t xml:space="preserve"> </w:t>
      </w:r>
      <w:r w:rsidRPr="00E27443">
        <w:t>fact</w:t>
      </w:r>
      <w:r w:rsidR="00C63F8F" w:rsidRPr="00E27443">
        <w:t xml:space="preserve"> </w:t>
      </w:r>
      <w:r w:rsidRPr="00E27443">
        <w:t>a</w:t>
      </w:r>
      <w:r w:rsidR="00C63F8F" w:rsidRPr="00E27443">
        <w:t xml:space="preserve"> </w:t>
      </w:r>
      <w:r w:rsidRPr="00E27443">
        <w:t>person</w:t>
      </w:r>
      <w:r w:rsidR="00C63F8F" w:rsidRPr="00E27443">
        <w:t xml:space="preserve"> </w:t>
      </w:r>
      <w:r w:rsidRPr="00E27443">
        <w:t>has</w:t>
      </w:r>
      <w:r w:rsidR="00C63F8F" w:rsidRPr="00E27443">
        <w:t xml:space="preserve"> </w:t>
      </w:r>
      <w:r w:rsidRPr="00E27443">
        <w:t>a</w:t>
      </w:r>
      <w:r w:rsidR="00C63F8F" w:rsidRPr="00E27443">
        <w:t xml:space="preserve"> </w:t>
      </w:r>
      <w:r w:rsidRPr="00E27443">
        <w:t>disability</w:t>
      </w:r>
      <w:r w:rsidR="00C63F8F" w:rsidRPr="00E27443">
        <w:t xml:space="preserve"> </w:t>
      </w:r>
      <w:r w:rsidRPr="00E27443">
        <w:t>or</w:t>
      </w:r>
      <w:r w:rsidR="00C63F8F" w:rsidRPr="00E27443">
        <w:t xml:space="preserve"> </w:t>
      </w:r>
      <w:r w:rsidRPr="00E27443">
        <w:t>limited</w:t>
      </w:r>
      <w:r w:rsidR="00C63F8F" w:rsidRPr="00E27443">
        <w:t xml:space="preserve"> </w:t>
      </w:r>
      <w:r w:rsidRPr="00E27443">
        <w:t>linguistic</w:t>
      </w:r>
      <w:r w:rsidR="00C63F8F" w:rsidRPr="00E27443">
        <w:t xml:space="preserve"> </w:t>
      </w:r>
      <w:r w:rsidRPr="00E27443">
        <w:t>skills</w:t>
      </w:r>
      <w:r w:rsidR="00C63F8F" w:rsidRPr="00E27443">
        <w:t xml:space="preserve"> </w:t>
      </w:r>
      <w:r w:rsidRPr="00E27443">
        <w:t>must</w:t>
      </w:r>
      <w:r w:rsidR="00C63F8F" w:rsidRPr="00E27443">
        <w:t xml:space="preserve"> </w:t>
      </w:r>
      <w:r w:rsidRPr="00E27443">
        <w:t>not</w:t>
      </w:r>
      <w:r w:rsidR="00C63F8F" w:rsidRPr="00E27443">
        <w:t xml:space="preserve"> </w:t>
      </w:r>
      <w:r w:rsidRPr="00E27443">
        <w:t>constitute</w:t>
      </w:r>
      <w:r w:rsidR="00C63F8F" w:rsidRPr="00E27443">
        <w:t xml:space="preserve"> </w:t>
      </w:r>
      <w:r w:rsidRPr="00E27443">
        <w:t>an</w:t>
      </w:r>
      <w:r w:rsidR="00C63F8F" w:rsidRPr="00E27443">
        <w:t xml:space="preserve"> </w:t>
      </w:r>
      <w:r w:rsidRPr="00E27443">
        <w:t>obstacle</w:t>
      </w:r>
      <w:r w:rsidR="00C63F8F" w:rsidRPr="00E27443">
        <w:t xml:space="preserve"> </w:t>
      </w:r>
      <w:r w:rsidRPr="00E27443">
        <w:t>in</w:t>
      </w:r>
      <w:r w:rsidR="00C63F8F" w:rsidRPr="00E27443">
        <w:t xml:space="preserve"> </w:t>
      </w:r>
      <w:r w:rsidRPr="00E27443">
        <w:t>any</w:t>
      </w:r>
      <w:r w:rsidR="00C63F8F" w:rsidRPr="00E27443">
        <w:t xml:space="preserve"> </w:t>
      </w:r>
      <w:r w:rsidRPr="00E27443">
        <w:t>contacts</w:t>
      </w:r>
      <w:r w:rsidR="00C63F8F" w:rsidRPr="00E27443">
        <w:t xml:space="preserve"> </w:t>
      </w:r>
      <w:r w:rsidRPr="00E27443">
        <w:t>with</w:t>
      </w:r>
      <w:r w:rsidR="00C63F8F" w:rsidRPr="00E27443">
        <w:t xml:space="preserve"> </w:t>
      </w:r>
      <w:r w:rsidRPr="00E27443">
        <w:t>the</w:t>
      </w:r>
      <w:r w:rsidR="00C63F8F" w:rsidRPr="00E27443">
        <w:t xml:space="preserve"> </w:t>
      </w:r>
      <w:r w:rsidRPr="00E27443">
        <w:t>police</w:t>
      </w:r>
      <w:r w:rsidR="00C63F8F" w:rsidRPr="00E27443">
        <w:t xml:space="preserve"> </w:t>
      </w:r>
      <w:r w:rsidRPr="00E27443">
        <w:t>organisation.</w:t>
      </w:r>
      <w:r w:rsidR="00C63F8F" w:rsidRPr="00E27443">
        <w:t xml:space="preserve"> </w:t>
      </w:r>
      <w:r w:rsidRPr="00E27443">
        <w:t>The</w:t>
      </w:r>
      <w:r w:rsidR="00C63F8F" w:rsidRPr="00E27443">
        <w:t xml:space="preserve"> </w:t>
      </w:r>
      <w:r w:rsidRPr="00E27443">
        <w:t>police</w:t>
      </w:r>
      <w:r w:rsidR="00C63F8F" w:rsidRPr="00E27443">
        <w:t xml:space="preserve"> </w:t>
      </w:r>
      <w:r w:rsidRPr="00E27443">
        <w:t>authorities</w:t>
      </w:r>
      <w:r w:rsidR="00C63F8F" w:rsidRPr="00E27443">
        <w:t xml:space="preserve"> </w:t>
      </w:r>
      <w:r w:rsidRPr="00E27443">
        <w:t>must</w:t>
      </w:r>
      <w:r w:rsidR="00C63F8F" w:rsidRPr="00E27443">
        <w:t xml:space="preserve"> </w:t>
      </w:r>
      <w:r w:rsidRPr="00E27443">
        <w:t>therefore</w:t>
      </w:r>
      <w:r w:rsidR="00C63F8F" w:rsidRPr="00E27443">
        <w:t xml:space="preserve"> </w:t>
      </w:r>
      <w:r w:rsidRPr="00E27443">
        <w:t>analyse</w:t>
      </w:r>
      <w:r w:rsidR="00C63F8F" w:rsidRPr="00E27443">
        <w:t xml:space="preserve"> </w:t>
      </w:r>
      <w:r w:rsidRPr="00E27443">
        <w:t>their</w:t>
      </w:r>
      <w:r w:rsidR="00C63F8F" w:rsidRPr="00E27443">
        <w:t xml:space="preserve"> </w:t>
      </w:r>
      <w:r w:rsidRPr="00E27443">
        <w:t>activities</w:t>
      </w:r>
      <w:r w:rsidR="00C63F8F" w:rsidRPr="00E27443">
        <w:t xml:space="preserve"> </w:t>
      </w:r>
      <w:r w:rsidRPr="00E27443">
        <w:t>from</w:t>
      </w:r>
      <w:r w:rsidR="00C63F8F" w:rsidRPr="00E27443">
        <w:t xml:space="preserve"> </w:t>
      </w:r>
      <w:r w:rsidRPr="00E27443">
        <w:t>both</w:t>
      </w:r>
      <w:r w:rsidR="00C63F8F" w:rsidRPr="00E27443">
        <w:t xml:space="preserve"> </w:t>
      </w:r>
      <w:r w:rsidRPr="00E27443">
        <w:t>a</w:t>
      </w:r>
      <w:r w:rsidR="00C63F8F" w:rsidRPr="00E27443">
        <w:t xml:space="preserve"> </w:t>
      </w:r>
      <w:r w:rsidRPr="00E27443">
        <w:t>treatment</w:t>
      </w:r>
      <w:r w:rsidR="00C63F8F" w:rsidRPr="00E27443">
        <w:t xml:space="preserve"> </w:t>
      </w:r>
      <w:r w:rsidRPr="00E27443">
        <w:t>and</w:t>
      </w:r>
      <w:r w:rsidR="00C63F8F" w:rsidRPr="00E27443">
        <w:t xml:space="preserve"> </w:t>
      </w:r>
      <w:r w:rsidRPr="00E27443">
        <w:t>a</w:t>
      </w:r>
      <w:r w:rsidR="00C63F8F" w:rsidRPr="00E27443">
        <w:t xml:space="preserve"> </w:t>
      </w:r>
      <w:r w:rsidRPr="00E27443">
        <w:t>disability</w:t>
      </w:r>
      <w:r w:rsidR="00C63F8F" w:rsidRPr="00E27443">
        <w:t xml:space="preserve"> </w:t>
      </w:r>
      <w:r w:rsidRPr="00E27443">
        <w:t>perspective.</w:t>
      </w:r>
    </w:p>
    <w:p w:rsidR="00321ADA" w:rsidRPr="00E27443" w:rsidRDefault="00321ADA" w:rsidP="00E75253">
      <w:pPr>
        <w:pStyle w:val="SingleTxtG"/>
        <w:numPr>
          <w:ilvl w:val="0"/>
          <w:numId w:val="20"/>
        </w:numPr>
        <w:tabs>
          <w:tab w:val="left" w:pos="1843"/>
        </w:tabs>
        <w:ind w:left="1134" w:firstLine="0"/>
      </w:pPr>
      <w:r w:rsidRPr="00E27443">
        <w:t>Another</w:t>
      </w:r>
      <w:r w:rsidR="00C63F8F" w:rsidRPr="00E27443">
        <w:t xml:space="preserve"> </w:t>
      </w:r>
      <w:r w:rsidRPr="00E27443">
        <w:t>national</w:t>
      </w:r>
      <w:r w:rsidR="00C63F8F" w:rsidRPr="00E27443">
        <w:t xml:space="preserve"> </w:t>
      </w:r>
      <w:r w:rsidRPr="00E27443">
        <w:t>project</w:t>
      </w:r>
      <w:r w:rsidR="00C63F8F" w:rsidRPr="00E27443">
        <w:t xml:space="preserve"> </w:t>
      </w:r>
      <w:r w:rsidRPr="00E27443">
        <w:t>that</w:t>
      </w:r>
      <w:r w:rsidR="00C63F8F" w:rsidRPr="00E27443">
        <w:t xml:space="preserve"> </w:t>
      </w:r>
      <w:r w:rsidRPr="00E27443">
        <w:t>is</w:t>
      </w:r>
      <w:r w:rsidR="00C63F8F" w:rsidRPr="00E27443">
        <w:t xml:space="preserve"> </w:t>
      </w:r>
      <w:r w:rsidRPr="00E27443">
        <w:t>directly</w:t>
      </w:r>
      <w:r w:rsidR="00C63F8F" w:rsidRPr="00E27443">
        <w:t xml:space="preserve"> </w:t>
      </w:r>
      <w:r w:rsidRPr="00E27443">
        <w:t>linked</w:t>
      </w:r>
      <w:r w:rsidR="00C63F8F" w:rsidRPr="00E27443">
        <w:t xml:space="preserve"> </w:t>
      </w:r>
      <w:r w:rsidRPr="00E27443">
        <w:t>to</w:t>
      </w:r>
      <w:r w:rsidR="00C63F8F" w:rsidRPr="00E27443">
        <w:t xml:space="preserve"> </w:t>
      </w:r>
      <w:r w:rsidRPr="00E27443">
        <w:t>reducing</w:t>
      </w:r>
      <w:r w:rsidR="00C63F8F" w:rsidRPr="00E27443">
        <w:t xml:space="preserve"> </w:t>
      </w:r>
      <w:r w:rsidRPr="00E27443">
        <w:t>discrimination</w:t>
      </w:r>
      <w:r w:rsidR="00C63F8F" w:rsidRPr="00E27443">
        <w:t xml:space="preserve"> </w:t>
      </w:r>
      <w:r w:rsidRPr="00E27443">
        <w:t>and</w:t>
      </w:r>
      <w:r w:rsidR="00C63F8F" w:rsidRPr="00E27443">
        <w:t xml:space="preserve"> </w:t>
      </w:r>
      <w:r w:rsidRPr="00E27443">
        <w:t>increasing</w:t>
      </w:r>
      <w:r w:rsidR="00C63F8F" w:rsidRPr="00E27443">
        <w:t xml:space="preserve"> </w:t>
      </w:r>
      <w:r w:rsidRPr="00E27443">
        <w:t>accessibility</w:t>
      </w:r>
      <w:r w:rsidR="00C63F8F" w:rsidRPr="00E27443">
        <w:t xml:space="preserve"> </w:t>
      </w:r>
      <w:r w:rsidRPr="00E27443">
        <w:t>for</w:t>
      </w:r>
      <w:r w:rsidR="00C63F8F" w:rsidRPr="00E27443">
        <w:t xml:space="preserve"> </w:t>
      </w:r>
      <w:r w:rsidRPr="00E27443">
        <w:t>all</w:t>
      </w:r>
      <w:r w:rsidR="00C63F8F" w:rsidRPr="00E27443">
        <w:t xml:space="preserve"> </w:t>
      </w:r>
      <w:r w:rsidRPr="00E27443">
        <w:t>is</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and</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a</w:t>
      </w:r>
      <w:r w:rsidR="00C63F8F" w:rsidRPr="00E27443">
        <w:t xml:space="preserve"> </w:t>
      </w:r>
      <w:r w:rsidRPr="00E27443">
        <w:t>common</w:t>
      </w:r>
      <w:r w:rsidR="00C63F8F" w:rsidRPr="00E27443">
        <w:t xml:space="preserve"> </w:t>
      </w:r>
      <w:r w:rsidRPr="00E27443">
        <w:t>set</w:t>
      </w:r>
      <w:r w:rsidR="00C63F8F" w:rsidRPr="00E27443">
        <w:t xml:space="preserve"> </w:t>
      </w:r>
      <w:r w:rsidRPr="00E27443">
        <w:t>of</w:t>
      </w:r>
      <w:r w:rsidR="00C63F8F" w:rsidRPr="00E27443">
        <w:t xml:space="preserve"> </w:t>
      </w:r>
      <w:r w:rsidRPr="00E27443">
        <w:t>values</w:t>
      </w:r>
      <w:r w:rsidR="00C63F8F" w:rsidRPr="00E27443">
        <w:t xml:space="preserve"> </w:t>
      </w:r>
      <w:r w:rsidRPr="00E27443">
        <w:t>for</w:t>
      </w:r>
      <w:r w:rsidR="00C63F8F" w:rsidRPr="00E27443">
        <w:t xml:space="preserve"> </w:t>
      </w:r>
      <w:r w:rsidRPr="00E27443">
        <w:t>the</w:t>
      </w:r>
      <w:r w:rsidR="00C63F8F" w:rsidRPr="00E27443">
        <w:t xml:space="preserve"> </w:t>
      </w:r>
      <w:r w:rsidRPr="00E27443">
        <w:t>entire</w:t>
      </w:r>
      <w:r w:rsidR="00C63F8F" w:rsidRPr="00E27443">
        <w:t xml:space="preserve"> </w:t>
      </w:r>
      <w:r w:rsidRPr="00E27443">
        <w:t>police</w:t>
      </w:r>
      <w:r w:rsidR="00C63F8F" w:rsidRPr="00E27443">
        <w:t xml:space="preserve"> </w:t>
      </w:r>
      <w:r w:rsidRPr="00E27443">
        <w:t>force.</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Within</w:t>
      </w:r>
      <w:r w:rsidR="00C63F8F" w:rsidRPr="00E27443">
        <w:t xml:space="preserve"> </w:t>
      </w:r>
      <w:r w:rsidRPr="00E27443">
        <w:t>the</w:t>
      </w:r>
      <w:r w:rsidR="00C63F8F" w:rsidRPr="00E27443">
        <w:t xml:space="preserve"> </w:t>
      </w:r>
      <w:r w:rsidRPr="00E75253">
        <w:t>Swedish</w:t>
      </w:r>
      <w:r w:rsidR="00C63F8F" w:rsidRPr="00E75253">
        <w:t xml:space="preserve"> </w:t>
      </w:r>
      <w:r w:rsidRPr="00E75253">
        <w:t>Prosecution</w:t>
      </w:r>
      <w:r w:rsidR="00C63F8F" w:rsidRPr="00E75253">
        <w:t xml:space="preserve"> </w:t>
      </w:r>
      <w:r w:rsidRPr="00E75253">
        <w:t>Authority</w:t>
      </w:r>
      <w:r w:rsidRPr="00E27443">
        <w:t>,</w:t>
      </w:r>
      <w:r w:rsidR="00C63F8F" w:rsidRPr="00E27443">
        <w:t xml:space="preserve"> </w:t>
      </w:r>
      <w:r w:rsidRPr="00E27443">
        <w:t>the</w:t>
      </w:r>
      <w:r w:rsidR="00C63F8F" w:rsidRPr="00E27443">
        <w:t xml:space="preserve"> </w:t>
      </w:r>
      <w:r w:rsidRPr="00E27443">
        <w:t>prosecutor</w:t>
      </w:r>
      <w:r w:rsidR="00C63F8F" w:rsidRPr="00E27443">
        <w:t xml:space="preserve"> </w:t>
      </w:r>
      <w:r w:rsidRPr="00E27443">
        <w:t>has</w:t>
      </w:r>
      <w:r w:rsidR="00C63F8F" w:rsidRPr="00E27443">
        <w:t xml:space="preserve"> </w:t>
      </w:r>
      <w:r w:rsidRPr="00E27443">
        <w:t>three</w:t>
      </w:r>
      <w:r w:rsidR="00C63F8F" w:rsidRPr="00E27443">
        <w:t xml:space="preserve"> </w:t>
      </w:r>
      <w:r w:rsidRPr="00E27443">
        <w:t>main</w:t>
      </w:r>
      <w:r w:rsidR="00C63F8F" w:rsidRPr="00E27443">
        <w:t xml:space="preserve"> </w:t>
      </w:r>
      <w:r w:rsidRPr="00E27443">
        <w:t>tasks:</w:t>
      </w:r>
      <w:r w:rsidR="00C63F8F" w:rsidRPr="00E27443">
        <w:t xml:space="preserve"> </w:t>
      </w:r>
      <w:r w:rsidRPr="00E27443">
        <w:t>to</w:t>
      </w:r>
      <w:r w:rsidR="00C63F8F" w:rsidRPr="00E27443">
        <w:t xml:space="preserve"> </w:t>
      </w:r>
      <w:r w:rsidRPr="00E27443">
        <w:t>investigate</w:t>
      </w:r>
      <w:r w:rsidR="00C63F8F" w:rsidRPr="00E27443">
        <w:t xml:space="preserve"> </w:t>
      </w:r>
      <w:r w:rsidRPr="00E27443">
        <w:t>crimes,</w:t>
      </w:r>
      <w:r w:rsidR="00C63F8F" w:rsidRPr="00E27443">
        <w:t xml:space="preserve"> </w:t>
      </w:r>
      <w:r w:rsidRPr="00E27443">
        <w:t>to</w:t>
      </w:r>
      <w:r w:rsidR="00C63F8F" w:rsidRPr="00E27443">
        <w:t xml:space="preserve"> </w:t>
      </w:r>
      <w:r w:rsidRPr="00E27443">
        <w:t>make</w:t>
      </w:r>
      <w:r w:rsidR="00C63F8F" w:rsidRPr="00E27443">
        <w:t xml:space="preserve"> </w:t>
      </w:r>
      <w:r w:rsidRPr="00E27443">
        <w:t>decisions</w:t>
      </w:r>
      <w:r w:rsidR="00C63F8F" w:rsidRPr="00E27443">
        <w:t xml:space="preserve"> </w:t>
      </w:r>
      <w:r w:rsidRPr="00E27443">
        <w:t>as</w:t>
      </w:r>
      <w:r w:rsidR="00C63F8F" w:rsidRPr="00E27443">
        <w:t xml:space="preserve"> </w:t>
      </w:r>
      <w:r w:rsidRPr="00E27443">
        <w:t>to</w:t>
      </w:r>
      <w:r w:rsidR="00C63F8F" w:rsidRPr="00E27443">
        <w:t xml:space="preserve"> </w:t>
      </w:r>
      <w:r w:rsidRPr="00E27443">
        <w:t>whether</w:t>
      </w:r>
      <w:r w:rsidR="00C63F8F" w:rsidRPr="00E27443">
        <w:t xml:space="preserve"> </w:t>
      </w:r>
      <w:r w:rsidRPr="00E27443">
        <w:t>prosecutions</w:t>
      </w:r>
      <w:r w:rsidR="00C63F8F" w:rsidRPr="00E27443">
        <w:t xml:space="preserve"> </w:t>
      </w:r>
      <w:r w:rsidRPr="00E27443">
        <w:t>may</w:t>
      </w:r>
      <w:r w:rsidR="00C63F8F" w:rsidRPr="00E27443">
        <w:t xml:space="preserve"> </w:t>
      </w:r>
      <w:r w:rsidRPr="00E27443">
        <w:t>be</w:t>
      </w:r>
      <w:r w:rsidR="00C63F8F" w:rsidRPr="00E27443">
        <w:t xml:space="preserve"> </w:t>
      </w:r>
      <w:r w:rsidRPr="00E27443">
        <w:t>brought</w:t>
      </w:r>
      <w:r w:rsidR="00C63F8F" w:rsidRPr="00E27443">
        <w:t xml:space="preserve"> </w:t>
      </w:r>
      <w:r w:rsidRPr="00E27443">
        <w:t>or</w:t>
      </w:r>
      <w:r w:rsidR="00C63F8F" w:rsidRPr="00E27443">
        <w:t xml:space="preserve"> </w:t>
      </w:r>
      <w:r w:rsidRPr="00E27443">
        <w:t>not,</w:t>
      </w:r>
      <w:r w:rsidR="00C63F8F" w:rsidRPr="00E27443">
        <w:t xml:space="preserve"> </w:t>
      </w:r>
      <w:r w:rsidRPr="00E27443">
        <w:t>and</w:t>
      </w:r>
      <w:r w:rsidR="00C63F8F" w:rsidRPr="00E27443">
        <w:t xml:space="preserve"> </w:t>
      </w:r>
      <w:r w:rsidRPr="00E27443">
        <w:t>to</w:t>
      </w:r>
      <w:r w:rsidR="00C63F8F" w:rsidRPr="00E27443">
        <w:t xml:space="preserve"> </w:t>
      </w:r>
      <w:r w:rsidRPr="00E27443">
        <w:t>appear</w:t>
      </w:r>
      <w:r w:rsidR="00C63F8F" w:rsidRPr="00E27443">
        <w:t xml:space="preserve"> </w:t>
      </w:r>
      <w:r w:rsidRPr="00E27443">
        <w:t>in</w:t>
      </w:r>
      <w:r w:rsidR="00C63F8F" w:rsidRPr="00E27443">
        <w:t xml:space="preserve"> </w:t>
      </w:r>
      <w:r w:rsidRPr="00E27443">
        <w:t>court.</w:t>
      </w:r>
      <w:r w:rsidR="00C63F8F" w:rsidRPr="00E27443">
        <w:t xml:space="preserve"> </w:t>
      </w:r>
      <w:r w:rsidRPr="00E27443">
        <w:t>The</w:t>
      </w:r>
      <w:r w:rsidR="00C63F8F" w:rsidRPr="00E27443">
        <w:t xml:space="preserve"> </w:t>
      </w:r>
      <w:r w:rsidRPr="00E27443">
        <w:t>Authority</w:t>
      </w:r>
      <w:r w:rsidR="00C63F8F" w:rsidRPr="00E27443">
        <w:t xml:space="preserve"> </w:t>
      </w:r>
      <w:r w:rsidRPr="00E27443">
        <w:t>has</w:t>
      </w:r>
      <w:r w:rsidR="00C63F8F" w:rsidRPr="00E27443">
        <w:t xml:space="preserve"> </w:t>
      </w:r>
      <w:r w:rsidRPr="00E27443">
        <w:t>an</w:t>
      </w:r>
      <w:r w:rsidR="00C63F8F" w:rsidRPr="00E27443">
        <w:t xml:space="preserve"> </w:t>
      </w:r>
      <w:r w:rsidRPr="00E27443">
        <w:t>action</w:t>
      </w:r>
      <w:r w:rsidR="00C63F8F" w:rsidRPr="00E27443">
        <w:t xml:space="preserve"> </w:t>
      </w:r>
      <w:r w:rsidRPr="00E27443">
        <w:t>plan</w:t>
      </w:r>
      <w:r w:rsidR="00C63F8F" w:rsidRPr="00E27443">
        <w:t xml:space="preserve"> </w:t>
      </w:r>
      <w:r w:rsidRPr="00E27443">
        <w:t>for</w:t>
      </w:r>
      <w:r w:rsidR="00C63F8F" w:rsidRPr="00E27443">
        <w:t xml:space="preserve"> </w:t>
      </w:r>
      <w:r w:rsidRPr="00E27443">
        <w:t>increasing</w:t>
      </w:r>
      <w:r w:rsidR="00C63F8F" w:rsidRPr="00E27443">
        <w:t xml:space="preserve"> </w:t>
      </w:r>
      <w:r w:rsidRPr="00E27443">
        <w:t>accessibility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premises,</w:t>
      </w:r>
      <w:r w:rsidR="00C63F8F" w:rsidRPr="00E27443">
        <w:t xml:space="preserve"> </w:t>
      </w:r>
      <w:r w:rsidRPr="00E27443">
        <w:t>information,</w:t>
      </w:r>
      <w:r w:rsidR="00C63F8F" w:rsidRPr="00E27443">
        <w:t xml:space="preserve"> </w:t>
      </w:r>
      <w:r w:rsidRPr="00E27443">
        <w:t>communication</w:t>
      </w:r>
      <w:r w:rsidR="00C63F8F" w:rsidRPr="00E27443">
        <w:t xml:space="preserve"> </w:t>
      </w:r>
      <w:r w:rsidRPr="00E27443">
        <w:t>and</w:t>
      </w:r>
      <w:r w:rsidR="00C63F8F" w:rsidRPr="00E27443">
        <w:t xml:space="preserve"> </w:t>
      </w:r>
      <w:r w:rsidRPr="00E27443">
        <w:t>reception,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the</w:t>
      </w:r>
      <w:r w:rsidR="00C63F8F" w:rsidRPr="00E27443">
        <w:t xml:space="preserve"> </w:t>
      </w:r>
      <w:r w:rsidRPr="00E27443">
        <w:t>Swedish</w:t>
      </w:r>
      <w:r w:rsidR="00C63F8F" w:rsidRPr="00E27443">
        <w:t xml:space="preserve"> </w:t>
      </w:r>
      <w:r w:rsidRPr="00E27443">
        <w:t>Prosecution</w:t>
      </w:r>
      <w:r w:rsidR="00C63F8F" w:rsidRPr="00E27443">
        <w:t xml:space="preserve"> </w:t>
      </w:r>
      <w:r w:rsidRPr="00E27443">
        <w:t>Authority</w:t>
      </w:r>
      <w:r w:rsidR="00C63F8F" w:rsidRPr="00E27443">
        <w:t xml:space="preserve"> </w:t>
      </w:r>
      <w:r w:rsidRPr="00E27443">
        <w:t>as</w:t>
      </w:r>
      <w:r w:rsidR="00C63F8F" w:rsidRPr="00E27443">
        <w:t xml:space="preserve"> </w:t>
      </w:r>
      <w:r w:rsidRPr="00E27443">
        <w:t>a</w:t>
      </w:r>
      <w:r w:rsidR="00C63F8F" w:rsidRPr="00E27443">
        <w:t xml:space="preserve"> </w:t>
      </w:r>
      <w:r w:rsidRPr="00E27443">
        <w:t>workplace.</w:t>
      </w:r>
    </w:p>
    <w:p w:rsidR="00321ADA" w:rsidRPr="00E27443" w:rsidRDefault="00321ADA" w:rsidP="00E75253">
      <w:pPr>
        <w:pStyle w:val="SingleTxtG"/>
        <w:numPr>
          <w:ilvl w:val="0"/>
          <w:numId w:val="20"/>
        </w:numPr>
        <w:tabs>
          <w:tab w:val="left" w:pos="1843"/>
        </w:tabs>
        <w:ind w:left="1134" w:firstLine="0"/>
      </w:pPr>
      <w:r w:rsidRPr="00E27443">
        <w:t>During</w:t>
      </w:r>
      <w:r w:rsidR="00C63F8F" w:rsidRPr="00E27443">
        <w:t xml:space="preserve"> </w:t>
      </w:r>
      <w:r w:rsidRPr="00E27443">
        <w:t>2010</w:t>
      </w:r>
      <w:r w:rsidR="00C63F8F" w:rsidRPr="00E27443">
        <w:t xml:space="preserve"> </w:t>
      </w:r>
      <w:r w:rsidRPr="00E27443">
        <w:t>the</w:t>
      </w:r>
      <w:r w:rsidR="00C63F8F" w:rsidRPr="00E27443">
        <w:t xml:space="preserve"> </w:t>
      </w:r>
      <w:r w:rsidRPr="00E27443">
        <w:t>Authority</w:t>
      </w:r>
      <w:r w:rsidR="00C63F8F" w:rsidRPr="00E27443">
        <w:t xml:space="preserve"> </w:t>
      </w:r>
      <w:r w:rsidRPr="00E27443">
        <w:t>has</w:t>
      </w:r>
      <w:r w:rsidR="00C63F8F" w:rsidRPr="00E27443">
        <w:t xml:space="preserve"> </w:t>
      </w:r>
      <w:r w:rsidRPr="00E27443">
        <w:t>launched</w:t>
      </w:r>
      <w:r w:rsidR="00C63F8F" w:rsidRPr="00E27443">
        <w:t xml:space="preserve"> </w:t>
      </w:r>
      <w:r w:rsidRPr="00E27443">
        <w:t>a</w:t>
      </w:r>
      <w:r w:rsidR="00C63F8F" w:rsidRPr="00E27443">
        <w:t xml:space="preserve"> </w:t>
      </w:r>
      <w:r w:rsidRPr="00E27443">
        <w:t>project</w:t>
      </w:r>
      <w:r w:rsidR="00C63F8F" w:rsidRPr="00E27443">
        <w:t xml:space="preserve"> </w:t>
      </w:r>
      <w:r w:rsidRPr="00E27443">
        <w:t>in</w:t>
      </w:r>
      <w:r w:rsidR="00C63F8F" w:rsidRPr="00E27443">
        <w:t xml:space="preserve"> </w:t>
      </w:r>
      <w:r w:rsidRPr="00E27443">
        <w:t>which</w:t>
      </w:r>
      <w:r w:rsidR="00C63F8F" w:rsidRPr="00E27443">
        <w:t xml:space="preserve"> </w:t>
      </w:r>
      <w:r w:rsidRPr="00E27443">
        <w:t>it</w:t>
      </w:r>
      <w:r w:rsidR="00C63F8F" w:rsidRPr="00E27443">
        <w:t xml:space="preserve"> </w:t>
      </w:r>
      <w:r w:rsidRPr="00E27443">
        <w:t>charts</w:t>
      </w:r>
      <w:r w:rsidR="00C63F8F" w:rsidRPr="00E27443">
        <w:t xml:space="preserve"> </w:t>
      </w:r>
      <w:r w:rsidRPr="00E27443">
        <w:t>how</w:t>
      </w:r>
      <w:r w:rsidR="00C63F8F" w:rsidRPr="00E27443">
        <w:t xml:space="preserve"> </w:t>
      </w:r>
      <w:r w:rsidRPr="00E27443">
        <w:t>the</w:t>
      </w:r>
      <w:r w:rsidR="00C63F8F" w:rsidRPr="00E27443">
        <w:t xml:space="preserve"> </w:t>
      </w:r>
      <w:r w:rsidRPr="00E27443">
        <w:t>Authority</w:t>
      </w:r>
      <w:r w:rsidR="00C63F8F" w:rsidRPr="00E27443">
        <w:t xml:space="preserve"> </w:t>
      </w:r>
      <w:r w:rsidRPr="00E27443">
        <w:t>provides</w:t>
      </w:r>
      <w:r w:rsidR="00C63F8F" w:rsidRPr="00E27443">
        <w:t xml:space="preserve"> </w:t>
      </w:r>
      <w:r w:rsidRPr="00E27443">
        <w:t>information</w:t>
      </w:r>
      <w:r w:rsidR="00C63F8F" w:rsidRPr="00E27443">
        <w:t xml:space="preserve"> </w:t>
      </w:r>
      <w:r w:rsidRPr="00E27443">
        <w:t>to</w:t>
      </w:r>
      <w:r w:rsidR="00C63F8F" w:rsidRPr="00E27443">
        <w:t xml:space="preserve"> </w:t>
      </w:r>
      <w:r w:rsidRPr="00E27443">
        <w:t>various</w:t>
      </w:r>
      <w:r w:rsidR="00C63F8F" w:rsidRPr="00E27443">
        <w:t xml:space="preserve"> </w:t>
      </w:r>
      <w:r w:rsidRPr="00E27443">
        <w:t>types</w:t>
      </w:r>
      <w:r w:rsidR="00C63F8F" w:rsidRPr="00E27443">
        <w:t xml:space="preserve"> </w:t>
      </w:r>
      <w:r w:rsidRPr="00E27443">
        <w:t>of</w:t>
      </w:r>
      <w:r w:rsidR="00C63F8F" w:rsidRPr="00E27443">
        <w:t xml:space="preserve"> </w:t>
      </w:r>
      <w:r w:rsidRPr="00E27443">
        <w:t>crime</w:t>
      </w:r>
      <w:r w:rsidR="00C63F8F" w:rsidRPr="00E27443">
        <w:t xml:space="preserve"> </w:t>
      </w:r>
      <w:r w:rsidRPr="00E27443">
        <w:t>victim,</w:t>
      </w:r>
      <w:r w:rsidR="00C63F8F" w:rsidRPr="00E27443">
        <w:t xml:space="preserve"> </w:t>
      </w:r>
      <w:r w:rsidRPr="00E27443">
        <w:t>and</w:t>
      </w:r>
      <w:r w:rsidR="00C63F8F" w:rsidRPr="00E27443">
        <w:t xml:space="preserve"> </w:t>
      </w:r>
      <w:r w:rsidRPr="00E27443">
        <w:t>how</w:t>
      </w:r>
      <w:r w:rsidR="00C63F8F" w:rsidRPr="00E27443">
        <w:t xml:space="preserve"> </w:t>
      </w:r>
      <w:r w:rsidRPr="00E27443">
        <w:t>these</w:t>
      </w:r>
      <w:r w:rsidR="00C63F8F" w:rsidRPr="00E27443">
        <w:t xml:space="preserve"> </w:t>
      </w:r>
      <w:r w:rsidRPr="00E27443">
        <w:t>victims</w:t>
      </w:r>
      <w:r w:rsidR="00C63F8F" w:rsidRPr="00E27443">
        <w:t xml:space="preserve"> </w:t>
      </w:r>
      <w:r w:rsidRPr="00E27443">
        <w:t>of</w:t>
      </w:r>
      <w:r w:rsidR="00C63F8F" w:rsidRPr="00E27443">
        <w:t xml:space="preserve"> </w:t>
      </w:r>
      <w:r w:rsidRPr="00E27443">
        <w:t>crime</w:t>
      </w:r>
      <w:r w:rsidR="00C63F8F" w:rsidRPr="00E27443">
        <w:t xml:space="preserve"> </w:t>
      </w:r>
      <w:r w:rsidRPr="00E27443">
        <w:t>can</w:t>
      </w:r>
      <w:r w:rsidR="00C63F8F" w:rsidRPr="00E27443">
        <w:t xml:space="preserve"> </w:t>
      </w:r>
      <w:r w:rsidRPr="00E27443">
        <w:t>access</w:t>
      </w:r>
      <w:r w:rsidR="00C63F8F" w:rsidRPr="00E27443">
        <w:t xml:space="preserve"> </w:t>
      </w:r>
      <w:r w:rsidRPr="00E27443">
        <w:t>the</w:t>
      </w:r>
      <w:r w:rsidR="00C63F8F" w:rsidRPr="00E27443">
        <w:t xml:space="preserve"> </w:t>
      </w:r>
      <w:r w:rsidRPr="00E27443">
        <w:t>information.</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Courts</w:t>
      </w:r>
      <w:r w:rsidR="00C63F8F" w:rsidRPr="00E27443">
        <w:t xml:space="preserve"> </w:t>
      </w:r>
      <w:r w:rsidRPr="00E27443">
        <w:t>Administration</w:t>
      </w:r>
      <w:r w:rsidR="00495E10" w:rsidRPr="000303D4">
        <w:rPr>
          <w:vertAlign w:val="superscript"/>
        </w:rPr>
        <w:footnoteReference w:id="21"/>
      </w:r>
      <w:r w:rsidR="00C63F8F" w:rsidRPr="00E27443">
        <w:t xml:space="preserve"> </w:t>
      </w:r>
      <w:r w:rsidRPr="00E27443">
        <w:t>has</w:t>
      </w:r>
      <w:r w:rsidR="00C63F8F" w:rsidRPr="00E27443">
        <w:t xml:space="preserve"> </w:t>
      </w:r>
      <w:r w:rsidRPr="00E27443">
        <w:t>developed</w:t>
      </w:r>
      <w:r w:rsidR="00C63F8F" w:rsidRPr="00E27443">
        <w:t xml:space="preserve"> </w:t>
      </w:r>
      <w:r w:rsidRPr="00E27443">
        <w:t>an</w:t>
      </w:r>
      <w:r w:rsidR="00C63F8F" w:rsidRPr="00E27443">
        <w:t xml:space="preserve"> </w:t>
      </w:r>
      <w:r w:rsidRPr="00E27443">
        <w:t>action</w:t>
      </w:r>
      <w:r w:rsidR="00C63F8F" w:rsidRPr="00E27443">
        <w:t xml:space="preserve"> </w:t>
      </w:r>
      <w:r w:rsidRPr="00E27443">
        <w:t>plan</w:t>
      </w:r>
      <w:r w:rsidR="00C63F8F" w:rsidRPr="00E27443">
        <w:t xml:space="preserve"> </w:t>
      </w:r>
      <w:r w:rsidRPr="00E27443">
        <w:t>regarding</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the</w:t>
      </w:r>
      <w:r w:rsidR="00C63F8F" w:rsidRPr="00E27443">
        <w:t xml:space="preserve"> </w:t>
      </w:r>
      <w:r w:rsidRPr="00E27443">
        <w:t>Swedish</w:t>
      </w:r>
      <w:r w:rsidR="00C63F8F" w:rsidRPr="00E27443">
        <w:t xml:space="preserve"> </w:t>
      </w:r>
      <w:r w:rsidRPr="00E27443">
        <w:t>Courts</w:t>
      </w:r>
      <w:r w:rsidR="00C63F8F" w:rsidRPr="00E27443">
        <w:t xml:space="preserve"> </w:t>
      </w:r>
      <w:r w:rsidRPr="00E27443">
        <w:t>during</w:t>
      </w:r>
      <w:r w:rsidR="00C63F8F" w:rsidRPr="00E27443">
        <w:t xml:space="preserve"> </w:t>
      </w:r>
      <w:r w:rsidRPr="00E27443">
        <w:t>the</w:t>
      </w:r>
      <w:r w:rsidR="00C63F8F" w:rsidRPr="00E27443">
        <w:t xml:space="preserve"> </w:t>
      </w:r>
      <w:r w:rsidRPr="00E27443">
        <w:t>period</w:t>
      </w:r>
      <w:r w:rsidR="00C63F8F" w:rsidRPr="00E27443">
        <w:t xml:space="preserve"> </w:t>
      </w:r>
      <w:r w:rsidRPr="00E27443">
        <w:t>2008–2010.</w:t>
      </w:r>
      <w:r w:rsidR="00C63F8F" w:rsidRPr="00E27443">
        <w:t xml:space="preserve"> </w:t>
      </w:r>
      <w:r w:rsidRPr="00E27443">
        <w:t>This</w:t>
      </w:r>
      <w:r w:rsidR="00C63F8F" w:rsidRPr="00E27443">
        <w:t xml:space="preserve"> </w:t>
      </w:r>
      <w:r w:rsidRPr="00E27443">
        <w:t>action</w:t>
      </w:r>
      <w:r w:rsidR="00C63F8F" w:rsidRPr="00E27443">
        <w:t xml:space="preserve"> </w:t>
      </w:r>
      <w:r w:rsidRPr="00E27443">
        <w:t>plan</w:t>
      </w:r>
      <w:r w:rsidR="00C63F8F" w:rsidRPr="00E27443">
        <w:t xml:space="preserve"> </w:t>
      </w:r>
      <w:r w:rsidRPr="00E27443">
        <w:t>covers</w:t>
      </w:r>
      <w:r w:rsidR="00C63F8F" w:rsidRPr="00E27443">
        <w:t xml:space="preserve"> </w:t>
      </w:r>
      <w:r w:rsidRPr="00E27443">
        <w:t>premises,</w:t>
      </w:r>
      <w:r w:rsidR="00C63F8F" w:rsidRPr="00E27443">
        <w:t xml:space="preserve"> </w:t>
      </w:r>
      <w:r w:rsidRPr="00E27443">
        <w:t>communication</w:t>
      </w:r>
      <w:r w:rsidR="00C63F8F" w:rsidRPr="00E27443">
        <w:t xml:space="preserve"> </w:t>
      </w:r>
      <w:r w:rsidRPr="00E27443">
        <w:t>and</w:t>
      </w:r>
      <w:r w:rsidR="00C63F8F" w:rsidRPr="00E27443">
        <w:t xml:space="preserve"> </w:t>
      </w:r>
      <w:r w:rsidRPr="00E27443">
        <w:t>information,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operations</w:t>
      </w:r>
      <w:r w:rsidR="00C63F8F" w:rsidRPr="00E27443">
        <w:t xml:space="preserve"> </w:t>
      </w:r>
      <w:r w:rsidRPr="00E27443">
        <w:t>and</w:t>
      </w:r>
      <w:r w:rsidR="00C63F8F" w:rsidRPr="00E27443">
        <w:t xml:space="preserve"> </w:t>
      </w:r>
      <w:r w:rsidRPr="00E27443">
        <w:t>personnel</w:t>
      </w:r>
      <w:r w:rsidR="00C63F8F" w:rsidRPr="00E27443">
        <w:t xml:space="preserve"> </w:t>
      </w:r>
      <w:r w:rsidRPr="00E27443">
        <w:t>issues.</w:t>
      </w:r>
      <w:r w:rsidR="00C63F8F" w:rsidRPr="00E27443">
        <w:t xml:space="preserve"> </w:t>
      </w:r>
      <w:r w:rsidRPr="00E27443">
        <w:t>The</w:t>
      </w:r>
      <w:r w:rsidR="00C63F8F" w:rsidRPr="00E27443">
        <w:t xml:space="preserve"> </w:t>
      </w:r>
      <w:r w:rsidRPr="00E27443">
        <w:t>action</w:t>
      </w:r>
      <w:r w:rsidR="00C63F8F" w:rsidRPr="00E27443">
        <w:t xml:space="preserve"> </w:t>
      </w:r>
      <w:r w:rsidRPr="00E27443">
        <w:t>plan</w:t>
      </w:r>
      <w:r w:rsidR="00C63F8F" w:rsidRPr="00E27443">
        <w:t xml:space="preserve"> </w:t>
      </w:r>
      <w:r w:rsidRPr="00E27443">
        <w:t>will</w:t>
      </w:r>
      <w:r w:rsidR="00C63F8F" w:rsidRPr="00E27443">
        <w:t xml:space="preserve"> </w:t>
      </w:r>
      <w:r w:rsidRPr="00E27443">
        <w:t>function</w:t>
      </w:r>
      <w:r w:rsidR="00C63F8F" w:rsidRPr="00E27443">
        <w:t xml:space="preserve"> </w:t>
      </w:r>
      <w:r w:rsidRPr="00E27443">
        <w:t>as</w:t>
      </w:r>
      <w:r w:rsidR="00C63F8F" w:rsidRPr="00E27443">
        <w:t xml:space="preserve"> </w:t>
      </w:r>
      <w:r w:rsidRPr="00E27443">
        <w:t>a</w:t>
      </w:r>
      <w:r w:rsidR="00C63F8F" w:rsidRPr="00E27443">
        <w:t xml:space="preserve"> </w:t>
      </w:r>
      <w:r w:rsidRPr="00E27443">
        <w:t>tool</w:t>
      </w:r>
      <w:r w:rsidR="00C63F8F" w:rsidRPr="00E27443">
        <w:t xml:space="preserve"> </w:t>
      </w:r>
      <w:r w:rsidRPr="00E27443">
        <w:t>for</w:t>
      </w:r>
      <w:r w:rsidR="00C63F8F" w:rsidRPr="00E27443">
        <w:t xml:space="preserve"> </w:t>
      </w:r>
      <w:r w:rsidRPr="00E27443">
        <w:t>planning</w:t>
      </w:r>
      <w:r w:rsidR="00C63F8F" w:rsidRPr="00E27443">
        <w:t xml:space="preserve"> </w:t>
      </w:r>
      <w:r w:rsidRPr="00E27443">
        <w:t>and</w:t>
      </w:r>
      <w:r w:rsidR="00C63F8F" w:rsidRPr="00E27443">
        <w:t xml:space="preserve"> </w:t>
      </w:r>
      <w:r w:rsidRPr="00E27443">
        <w:t>following</w:t>
      </w:r>
      <w:r w:rsidR="00C63F8F" w:rsidRPr="00E27443">
        <w:t xml:space="preserve"> </w:t>
      </w:r>
      <w:r w:rsidRPr="00E27443">
        <w:t>up</w:t>
      </w:r>
      <w:r w:rsidR="00C63F8F" w:rsidRPr="00E27443">
        <w:t xml:space="preserve"> </w:t>
      </w:r>
      <w:r w:rsidRPr="00E27443">
        <w:t>accessibility</w:t>
      </w:r>
      <w:r w:rsidR="00C63F8F" w:rsidRPr="00E27443">
        <w:t xml:space="preserve"> </w:t>
      </w:r>
      <w:r w:rsidRPr="00E27443">
        <w:t>issues</w:t>
      </w:r>
      <w:r w:rsidR="00C63F8F" w:rsidRPr="00E27443">
        <w:t xml:space="preserve"> </w:t>
      </w:r>
      <w:r w:rsidRPr="00E27443">
        <w:t>within</w:t>
      </w:r>
      <w:r w:rsidR="00C63F8F" w:rsidRPr="00E27443">
        <w:t xml:space="preserve"> </w:t>
      </w:r>
      <w:r w:rsidRPr="00E27443">
        <w:t>the</w:t>
      </w:r>
      <w:r w:rsidR="00C63F8F" w:rsidRPr="00E27443">
        <w:t xml:space="preserve"> </w:t>
      </w:r>
      <w:r w:rsidRPr="00E27443">
        <w:t>Swedish</w:t>
      </w:r>
      <w:r w:rsidR="00C63F8F" w:rsidRPr="00E27443">
        <w:t xml:space="preserve"> </w:t>
      </w:r>
      <w:r w:rsidRPr="00E27443">
        <w:t>Courts.</w:t>
      </w:r>
      <w:r w:rsidR="00C63F8F" w:rsidRPr="00E27443">
        <w:t xml:space="preserve"> </w:t>
      </w:r>
      <w:r w:rsidRPr="00E27443">
        <w:t>The</w:t>
      </w:r>
      <w:r w:rsidR="00C63F8F" w:rsidRPr="00E27443">
        <w:t xml:space="preserve"> </w:t>
      </w:r>
      <w:r w:rsidRPr="00E27443">
        <w:t>goal</w:t>
      </w:r>
      <w:r w:rsidR="00C63F8F" w:rsidRPr="00E27443">
        <w:t xml:space="preserve"> </w:t>
      </w:r>
      <w:r w:rsidRPr="00E27443">
        <w:t>is</w:t>
      </w:r>
      <w:r w:rsidR="00C63F8F" w:rsidRPr="00E27443">
        <w:t xml:space="preserve"> </w:t>
      </w:r>
      <w:r w:rsidRPr="00E27443">
        <w:t>that</w:t>
      </w:r>
      <w:r w:rsidR="00C63F8F" w:rsidRPr="00E27443">
        <w:t xml:space="preserve"> </w:t>
      </w:r>
      <w:r w:rsidRPr="00E27443">
        <w:t>neither</w:t>
      </w:r>
      <w:r w:rsidR="00C63F8F" w:rsidRPr="00E27443">
        <w:t xml:space="preserve"> </w:t>
      </w:r>
      <w:r w:rsidRPr="00E27443">
        <w:t>visitors</w:t>
      </w:r>
      <w:r w:rsidR="00C63F8F" w:rsidRPr="00E27443">
        <w:t xml:space="preserve"> </w:t>
      </w:r>
      <w:r w:rsidRPr="00E27443">
        <w:t>nor</w:t>
      </w:r>
      <w:r w:rsidR="00C63F8F" w:rsidRPr="00E27443">
        <w:t xml:space="preserve"> </w:t>
      </w:r>
      <w:r w:rsidRPr="00E27443">
        <w:t>employees</w:t>
      </w:r>
      <w:r w:rsidR="00C63F8F" w:rsidRPr="00E27443">
        <w:t xml:space="preserve"> </w:t>
      </w:r>
      <w:r w:rsidRPr="00E27443">
        <w:t>should</w:t>
      </w:r>
      <w:r w:rsidR="00C63F8F" w:rsidRPr="00E27443">
        <w:t xml:space="preserve"> </w:t>
      </w:r>
      <w:r w:rsidRPr="00E27443">
        <w:t>be</w:t>
      </w:r>
      <w:r w:rsidR="00C63F8F" w:rsidRPr="00E27443">
        <w:t xml:space="preserve"> </w:t>
      </w:r>
      <w:r w:rsidRPr="00E27443">
        <w:t>excluded</w:t>
      </w:r>
      <w:r w:rsidR="00C63F8F" w:rsidRPr="00E27443">
        <w:t xml:space="preserve"> </w:t>
      </w:r>
      <w:r w:rsidRPr="00E27443">
        <w:t>from</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within</w:t>
      </w:r>
      <w:r w:rsidR="00C63F8F" w:rsidRPr="00E27443">
        <w:t xml:space="preserve"> </w:t>
      </w:r>
      <w:r w:rsidRPr="00E27443">
        <w:t>the</w:t>
      </w:r>
      <w:r w:rsidR="00C63F8F" w:rsidRPr="00E27443">
        <w:t xml:space="preserve"> </w:t>
      </w:r>
      <w:r w:rsidRPr="00E27443">
        <w:t>Swedish</w:t>
      </w:r>
      <w:r w:rsidR="00C63F8F" w:rsidRPr="00E27443">
        <w:t xml:space="preserve"> </w:t>
      </w:r>
      <w:r w:rsidRPr="00E27443">
        <w:t>Courts</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disability.</w:t>
      </w:r>
      <w:r w:rsidR="00C63F8F" w:rsidRPr="00E27443">
        <w:t xml:space="preserve"> </w:t>
      </w:r>
      <w:r w:rsidRPr="00E27443">
        <w:t>The</w:t>
      </w:r>
      <w:r w:rsidR="00C63F8F" w:rsidRPr="00E27443">
        <w:t xml:space="preserve"> </w:t>
      </w:r>
      <w:r w:rsidRPr="00E27443">
        <w:t>action</w:t>
      </w:r>
      <w:r w:rsidR="00C63F8F" w:rsidRPr="00E27443">
        <w:t xml:space="preserve"> </w:t>
      </w:r>
      <w:r w:rsidRPr="00E27443">
        <w:t>plan</w:t>
      </w:r>
      <w:r w:rsidR="00C63F8F" w:rsidRPr="00E27443">
        <w:t xml:space="preserve"> </w:t>
      </w:r>
      <w:r w:rsidRPr="00E27443">
        <w:t>includes</w:t>
      </w:r>
      <w:r w:rsidR="00C63F8F" w:rsidRPr="00E27443">
        <w:t xml:space="preserve"> </w:t>
      </w:r>
      <w:r w:rsidRPr="00E27443">
        <w:t>producing</w:t>
      </w:r>
      <w:r w:rsidR="00C63F8F" w:rsidRPr="00E27443">
        <w:t xml:space="preserve"> </w:t>
      </w:r>
      <w:r w:rsidRPr="00E27443">
        <w:t>an</w:t>
      </w:r>
      <w:r w:rsidR="00C63F8F" w:rsidRPr="00E27443">
        <w:t xml:space="preserve"> </w:t>
      </w:r>
      <w:r w:rsidRPr="00E27443">
        <w:t>inventory</w:t>
      </w:r>
      <w:r w:rsidR="00C63F8F" w:rsidRPr="00E27443">
        <w:t xml:space="preserve"> </w:t>
      </w:r>
      <w:r w:rsidRPr="00E27443">
        <w:t>of</w:t>
      </w:r>
      <w:r w:rsidR="00C63F8F" w:rsidRPr="00E27443">
        <w:t xml:space="preserve"> </w:t>
      </w:r>
      <w:r w:rsidRPr="00E27443">
        <w:t>existing</w:t>
      </w:r>
      <w:r w:rsidR="00C63F8F" w:rsidRPr="00E27443">
        <w:t xml:space="preserve"> </w:t>
      </w:r>
      <w:r w:rsidRPr="00E27443">
        <w:t>premises</w:t>
      </w:r>
      <w:r w:rsidR="00C63F8F" w:rsidRPr="00E27443">
        <w:t xml:space="preserve"> </w:t>
      </w:r>
      <w:r w:rsidRPr="00E27443">
        <w:t>from</w:t>
      </w:r>
      <w:r w:rsidR="00C63F8F" w:rsidRPr="00E27443">
        <w:t xml:space="preserve"> </w:t>
      </w:r>
      <w:r w:rsidRPr="00E27443">
        <w:t>an</w:t>
      </w:r>
      <w:r w:rsidR="00C63F8F" w:rsidRPr="00E27443">
        <w:t xml:space="preserve"> </w:t>
      </w:r>
      <w:r w:rsidRPr="00E27443">
        <w:t>accessibility</w:t>
      </w:r>
      <w:r w:rsidR="00C63F8F" w:rsidRPr="00E27443">
        <w:t xml:space="preserve"> </w:t>
      </w:r>
      <w:r w:rsidRPr="00E27443">
        <w:t>perspective,</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as</w:t>
      </w:r>
      <w:r w:rsidR="00C63F8F" w:rsidRPr="00E27443">
        <w:t xml:space="preserve"> </w:t>
      </w:r>
      <w:r w:rsidRPr="00E27443">
        <w:t>far</w:t>
      </w:r>
      <w:r w:rsidR="00C63F8F" w:rsidRPr="00E27443">
        <w:t xml:space="preserve"> </w:t>
      </w:r>
      <w:r w:rsidRPr="00E27443">
        <w:t>as</w:t>
      </w:r>
      <w:r w:rsidR="00C63F8F" w:rsidRPr="00E27443">
        <w:t xml:space="preserve"> </w:t>
      </w:r>
      <w:r w:rsidRPr="00E27443">
        <w:t>possible,</w:t>
      </w:r>
      <w:r w:rsidR="00C63F8F" w:rsidRPr="00E27443">
        <w:t xml:space="preserve"> </w:t>
      </w:r>
      <w:r w:rsidRPr="00E27443">
        <w:t>of</w:t>
      </w:r>
      <w:r w:rsidR="00C63F8F" w:rsidRPr="00E27443">
        <w:t xml:space="preserve"> </w:t>
      </w:r>
      <w:r w:rsidRPr="00E27443">
        <w:t>rectifying</w:t>
      </w:r>
      <w:r w:rsidR="00C63F8F" w:rsidRPr="00E27443">
        <w:t xml:space="preserve"> </w:t>
      </w:r>
      <w:r w:rsidRPr="00E27443">
        <w:t>shortcomings</w:t>
      </w:r>
      <w:r w:rsidR="00C63F8F" w:rsidRPr="00E27443">
        <w:t xml:space="preserve"> </w:t>
      </w:r>
      <w:r w:rsidRPr="00E27443">
        <w:t>in</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existing</w:t>
      </w:r>
      <w:r w:rsidR="00C63F8F" w:rsidRPr="00E27443">
        <w:t xml:space="preserve"> </w:t>
      </w:r>
      <w:r w:rsidRPr="00E27443">
        <w:t>premises,</w:t>
      </w:r>
      <w:r w:rsidR="00C63F8F" w:rsidRPr="00E27443">
        <w:t xml:space="preserve"> </w:t>
      </w:r>
      <w:r w:rsidRPr="00E27443">
        <w:t>both</w:t>
      </w:r>
      <w:r w:rsidR="00C63F8F" w:rsidRPr="00E27443">
        <w:t xml:space="preserve"> </w:t>
      </w:r>
      <w:r w:rsidRPr="00E27443">
        <w:t>as</w:t>
      </w:r>
      <w:r w:rsidR="00C63F8F" w:rsidRPr="00E27443">
        <w:t xml:space="preserve"> </w:t>
      </w:r>
      <w:r w:rsidRPr="00E27443">
        <w:t>regards</w:t>
      </w:r>
      <w:r w:rsidR="00C63F8F" w:rsidRPr="00E27443">
        <w:t xml:space="preserve"> </w:t>
      </w:r>
      <w:r w:rsidRPr="00E27443">
        <w:t>public</w:t>
      </w:r>
      <w:r w:rsidR="00C63F8F" w:rsidRPr="00E27443">
        <w:t xml:space="preserve"> </w:t>
      </w:r>
      <w:r w:rsidRPr="00E27443">
        <w:t>areas</w:t>
      </w:r>
      <w:r w:rsidR="00C63F8F" w:rsidRPr="00E27443">
        <w:t xml:space="preserve"> </w:t>
      </w:r>
      <w:r w:rsidRPr="00E27443">
        <w:t>and</w:t>
      </w:r>
      <w:r w:rsidR="00C63F8F" w:rsidRPr="00E27443">
        <w:t xml:space="preserve"> </w:t>
      </w:r>
      <w:r w:rsidRPr="00E27443">
        <w:t>office</w:t>
      </w:r>
      <w:r w:rsidR="00C63F8F" w:rsidRPr="00E27443">
        <w:t xml:space="preserve"> </w:t>
      </w:r>
      <w:r w:rsidRPr="00E27443">
        <w:t>areas.</w:t>
      </w:r>
      <w:r w:rsidR="00C63F8F" w:rsidRPr="00E27443">
        <w:t xml:space="preserve"> </w:t>
      </w:r>
      <w:r w:rsidRPr="00E27443">
        <w:t>The</w:t>
      </w:r>
      <w:r w:rsidR="00C63F8F" w:rsidRPr="00E27443">
        <w:t xml:space="preserve"> </w:t>
      </w:r>
      <w:r w:rsidRPr="00E27443">
        <w:t>majority</w:t>
      </w:r>
      <w:r w:rsidR="00C63F8F" w:rsidRPr="00E27443">
        <w:t xml:space="preserve"> </w:t>
      </w:r>
      <w:r w:rsidRPr="00E27443">
        <w:t>of</w:t>
      </w:r>
      <w:r w:rsidR="00C63F8F" w:rsidRPr="00E27443">
        <w:t xml:space="preserve"> </w:t>
      </w:r>
      <w:r w:rsidRPr="00E27443">
        <w:t>the</w:t>
      </w:r>
      <w:r w:rsidR="00C63F8F" w:rsidRPr="00E27443">
        <w:t xml:space="preserve"> </w:t>
      </w:r>
      <w:r w:rsidRPr="00E27443">
        <w:t>measures</w:t>
      </w:r>
      <w:r w:rsidR="00C63F8F" w:rsidRPr="00E27443">
        <w:t xml:space="preserve"> </w:t>
      </w:r>
      <w:r w:rsidRPr="00E27443">
        <w:t>intended</w:t>
      </w:r>
      <w:r w:rsidR="00C63F8F" w:rsidRPr="00E27443">
        <w:t xml:space="preserve"> </w:t>
      </w:r>
      <w:r w:rsidRPr="00E27443">
        <w:t>to</w:t>
      </w:r>
      <w:r w:rsidR="00C63F8F" w:rsidRPr="00E27443">
        <w:t xml:space="preserve"> </w:t>
      </w:r>
      <w:r w:rsidRPr="00E27443">
        <w:t>rectify</w:t>
      </w:r>
      <w:r w:rsidR="00C63F8F" w:rsidRPr="00E27443">
        <w:t xml:space="preserve"> </w:t>
      </w:r>
      <w:r w:rsidRPr="00E27443">
        <w:t>the</w:t>
      </w:r>
      <w:r w:rsidR="00C63F8F" w:rsidRPr="00E27443">
        <w:t xml:space="preserve"> </w:t>
      </w:r>
      <w:r w:rsidRPr="00E27443">
        <w:t>shortcomings</w:t>
      </w:r>
      <w:r w:rsidR="00C63F8F" w:rsidRPr="00E27443">
        <w:t xml:space="preserve"> </w:t>
      </w:r>
      <w:r w:rsidRPr="00E27443">
        <w:t>identified</w:t>
      </w:r>
      <w:r w:rsidR="00C63F8F" w:rsidRPr="00E27443">
        <w:t xml:space="preserve"> </w:t>
      </w:r>
      <w:r w:rsidRPr="00E27443">
        <w:t>in</w:t>
      </w:r>
      <w:r w:rsidR="00C63F8F" w:rsidRPr="00E27443">
        <w:t xml:space="preserve"> </w:t>
      </w:r>
      <w:r w:rsidRPr="00E27443">
        <w:t>previous</w:t>
      </w:r>
      <w:r w:rsidR="00C63F8F" w:rsidRPr="00E27443">
        <w:t xml:space="preserve"> </w:t>
      </w:r>
      <w:r w:rsidRPr="00E27443">
        <w:t>inventories</w:t>
      </w:r>
      <w:r w:rsidR="00C63F8F" w:rsidRPr="00E27443">
        <w:t xml:space="preserve"> </w:t>
      </w:r>
      <w:r w:rsidRPr="00E27443">
        <w:t>will</w:t>
      </w:r>
      <w:r w:rsidR="00C63F8F" w:rsidRPr="00E27443">
        <w:t xml:space="preserve"> </w:t>
      </w:r>
      <w:r w:rsidRPr="00E27443">
        <w:t>be</w:t>
      </w:r>
      <w:r w:rsidR="00C63F8F" w:rsidRPr="00E27443">
        <w:t xml:space="preserve"> </w:t>
      </w:r>
      <w:r w:rsidRPr="00E27443">
        <w:t>completed</w:t>
      </w:r>
      <w:r w:rsidR="00C63F8F" w:rsidRPr="00E27443">
        <w:t xml:space="preserve"> </w:t>
      </w:r>
      <w:r w:rsidRPr="00E27443">
        <w:t>by</w:t>
      </w:r>
      <w:r w:rsidR="00C63F8F" w:rsidRPr="00E27443">
        <w:t xml:space="preserve"> </w:t>
      </w:r>
      <w:r w:rsidRPr="00E27443">
        <w:t>the</w:t>
      </w:r>
      <w:r w:rsidR="00C63F8F" w:rsidRPr="00E27443">
        <w:t xml:space="preserve"> </w:t>
      </w:r>
      <w:r w:rsidRPr="00E27443">
        <w:t>end</w:t>
      </w:r>
      <w:r w:rsidR="00C63F8F" w:rsidRPr="00E27443">
        <w:t xml:space="preserve"> </w:t>
      </w:r>
      <w:r w:rsidRPr="00E27443">
        <w:t>of</w:t>
      </w:r>
      <w:r w:rsidR="00C63F8F" w:rsidRPr="00E27443">
        <w:t xml:space="preserve"> </w:t>
      </w:r>
      <w:r w:rsidRPr="00E27443">
        <w:t>2010.</w:t>
      </w:r>
      <w:r w:rsidR="00C63F8F" w:rsidRPr="00E27443">
        <w:t xml:space="preserve"> </w:t>
      </w:r>
      <w:r w:rsidRPr="00E27443">
        <w:t>Those</w:t>
      </w:r>
      <w:r w:rsidR="00C63F8F" w:rsidRPr="00E27443">
        <w:t xml:space="preserve"> </w:t>
      </w:r>
      <w:r w:rsidRPr="00E27443">
        <w:t>courts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newly</w:t>
      </w:r>
      <w:r w:rsidR="00C63F8F" w:rsidRPr="00E27443">
        <w:t xml:space="preserve"> </w:t>
      </w:r>
      <w:r w:rsidRPr="00E27443">
        <w:t>constructed</w:t>
      </w:r>
      <w:r w:rsidR="00C63F8F" w:rsidRPr="00E27443">
        <w:t xml:space="preserve"> </w:t>
      </w:r>
      <w:r w:rsidRPr="00E27443">
        <w:t>or</w:t>
      </w:r>
      <w:r w:rsidR="00C63F8F" w:rsidRPr="00E27443">
        <w:t xml:space="preserve"> </w:t>
      </w:r>
      <w:r w:rsidRPr="00E27443">
        <w:t>renovated</w:t>
      </w:r>
      <w:r w:rsidR="00C63F8F" w:rsidRPr="00E27443">
        <w:t xml:space="preserve"> </w:t>
      </w:r>
      <w:r w:rsidRPr="00E27443">
        <w:t>during</w:t>
      </w:r>
      <w:r w:rsidR="00C63F8F" w:rsidRPr="00E27443">
        <w:t xml:space="preserve"> </w:t>
      </w:r>
      <w:r w:rsidRPr="00E27443">
        <w:t>the</w:t>
      </w:r>
      <w:r w:rsidR="00C63F8F" w:rsidRPr="00E27443">
        <w:t xml:space="preserve"> </w:t>
      </w:r>
      <w:r w:rsidRPr="00E27443">
        <w:t>2000s</w:t>
      </w:r>
      <w:r w:rsidR="00C63F8F" w:rsidRPr="00E27443">
        <w:t xml:space="preserve"> </w:t>
      </w:r>
      <w:r w:rsidRPr="00E27443">
        <w:t>have</w:t>
      </w:r>
      <w:r w:rsidR="00C63F8F" w:rsidRPr="00E27443">
        <w:t xml:space="preserve"> </w:t>
      </w:r>
      <w:r w:rsidRPr="00E27443">
        <w:t>been</w:t>
      </w:r>
      <w:r w:rsidR="00C63F8F" w:rsidRPr="00E27443">
        <w:t xml:space="preserve"> </w:t>
      </w:r>
      <w:r w:rsidRPr="00E27443">
        <w:t>adapted</w:t>
      </w:r>
      <w:r w:rsidR="00C63F8F" w:rsidRPr="00E27443">
        <w:t xml:space="preserve"> </w:t>
      </w:r>
      <w:r w:rsidRPr="00E27443">
        <w:t>according</w:t>
      </w:r>
      <w:r w:rsidR="00C63F8F" w:rsidRPr="00E27443">
        <w:t xml:space="preserve"> </w:t>
      </w:r>
      <w:r w:rsidRPr="00E27443">
        <w:t>to</w:t>
      </w:r>
      <w:r w:rsidR="00C63F8F" w:rsidRPr="00E27443">
        <w:t xml:space="preserve"> </w:t>
      </w:r>
      <w:r w:rsidRPr="00E27443">
        <w:t>current</w:t>
      </w:r>
      <w:r w:rsidR="00C63F8F" w:rsidRPr="00E27443">
        <w:t xml:space="preserve"> </w:t>
      </w:r>
      <w:r w:rsidRPr="00E27443">
        <w:t>demands</w:t>
      </w:r>
      <w:r w:rsidR="00C63F8F" w:rsidRPr="00E27443">
        <w:t xml:space="preserve"> </w:t>
      </w:r>
      <w:r w:rsidRPr="00E27443">
        <w:t>for</w:t>
      </w:r>
      <w:r w:rsidR="00C63F8F" w:rsidRPr="00E27443">
        <w:t xml:space="preserve"> </w:t>
      </w:r>
      <w:r w:rsidRPr="00E27443">
        <w:t>accessibility.</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Courts</w:t>
      </w:r>
      <w:r w:rsidR="00C63F8F" w:rsidRPr="00E27443">
        <w:t xml:space="preserve"> </w:t>
      </w:r>
      <w:r w:rsidRPr="00E27443">
        <w:t>have</w:t>
      </w:r>
      <w:r w:rsidR="00C63F8F" w:rsidRPr="00E27443">
        <w:t xml:space="preserve"> </w:t>
      </w:r>
      <w:r w:rsidRPr="00E27443">
        <w:t>adopted</w:t>
      </w:r>
      <w:r w:rsidR="00C63F8F" w:rsidRPr="00E27443">
        <w:t xml:space="preserve"> </w:t>
      </w:r>
      <w:r w:rsidRPr="00E27443">
        <w:t>equality</w:t>
      </w:r>
      <w:r w:rsidR="00C63F8F" w:rsidRPr="00E27443">
        <w:t xml:space="preserve"> </w:t>
      </w:r>
      <w:r w:rsidRPr="00E27443">
        <w:t>plans</w:t>
      </w:r>
      <w:r w:rsidR="00C63F8F" w:rsidRPr="00E27443">
        <w:t xml:space="preserve"> </w:t>
      </w:r>
      <w:r w:rsidRPr="00E27443">
        <w:t>and</w:t>
      </w:r>
      <w:r w:rsidR="00C63F8F" w:rsidRPr="00E27443">
        <w:t xml:space="preserve"> </w:t>
      </w:r>
      <w:r w:rsidRPr="00E27443">
        <w:t>diversity</w:t>
      </w:r>
      <w:r w:rsidR="00C63F8F" w:rsidRPr="00E27443">
        <w:t xml:space="preserve"> </w:t>
      </w:r>
      <w:r w:rsidRPr="00E27443">
        <w:t>plans,</w:t>
      </w:r>
      <w:r w:rsidR="00C63F8F" w:rsidRPr="00E27443">
        <w:t xml:space="preserve"> </w:t>
      </w:r>
      <w:r w:rsidRPr="00E27443">
        <w:t>and</w:t>
      </w:r>
      <w:r w:rsidR="00C63F8F" w:rsidRPr="00E27443">
        <w:t xml:space="preserve"> </w:t>
      </w:r>
      <w:r w:rsidRPr="00E27443">
        <w:t>are</w:t>
      </w:r>
      <w:r w:rsidR="00C63F8F" w:rsidRPr="00E27443">
        <w:t xml:space="preserve"> </w:t>
      </w:r>
      <w:r w:rsidRPr="00E27443">
        <w:t>con</w:t>
      </w:r>
      <w:r w:rsidRPr="00E27443">
        <w:softHyphen/>
        <w:t>tinually</w:t>
      </w:r>
      <w:r w:rsidR="00C63F8F" w:rsidRPr="00E27443">
        <w:t xml:space="preserve"> </w:t>
      </w:r>
      <w:r w:rsidRPr="00E27443">
        <w:t>working</w:t>
      </w:r>
      <w:r w:rsidR="00C63F8F" w:rsidRPr="00E27443">
        <w:t xml:space="preserve"> </w:t>
      </w:r>
      <w:r w:rsidRPr="00E27443">
        <w:t>on</w:t>
      </w:r>
      <w:r w:rsidR="00C63F8F" w:rsidRPr="00E27443">
        <w:t xml:space="preserve"> </w:t>
      </w:r>
      <w:r w:rsidRPr="00E27443">
        <w:t>issues</w:t>
      </w:r>
      <w:r w:rsidR="00C63F8F" w:rsidRPr="00E27443">
        <w:t xml:space="preserve"> </w:t>
      </w:r>
      <w:r w:rsidRPr="00E27443">
        <w:t>relating</w:t>
      </w:r>
      <w:r w:rsidR="00C63F8F" w:rsidRPr="00E27443">
        <w:t xml:space="preserve"> </w:t>
      </w:r>
      <w:r w:rsidRPr="00E27443">
        <w:t>to</w:t>
      </w:r>
      <w:r w:rsidR="00C63F8F" w:rsidRPr="00E27443">
        <w:t xml:space="preserve"> </w:t>
      </w:r>
      <w:r w:rsidRPr="00E27443">
        <w:t>values.</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Courts</w:t>
      </w:r>
      <w:r w:rsidR="00C63F8F" w:rsidRPr="00E27443">
        <w:t xml:space="preserve"> </w:t>
      </w:r>
      <w:r w:rsidRPr="00E27443">
        <w:t>Admi</w:t>
      </w:r>
      <w:r w:rsidRPr="00E27443">
        <w:softHyphen/>
        <w:t>nistration</w:t>
      </w:r>
      <w:r w:rsidR="00C63F8F" w:rsidRPr="00E27443">
        <w:t xml:space="preserve"> </w:t>
      </w:r>
      <w:r w:rsidRPr="00E27443">
        <w:t>has</w:t>
      </w:r>
      <w:r w:rsidR="00C63F8F" w:rsidRPr="00E27443">
        <w:t xml:space="preserve"> </w:t>
      </w:r>
      <w:r w:rsidRPr="00E27443">
        <w:t>also</w:t>
      </w:r>
      <w:r w:rsidR="00C63F8F" w:rsidRPr="00E27443">
        <w:t xml:space="preserve"> </w:t>
      </w:r>
      <w:r w:rsidRPr="00E27443">
        <w:t>been</w:t>
      </w:r>
      <w:r w:rsidR="00C63F8F" w:rsidRPr="00E27443">
        <w:t xml:space="preserve"> </w:t>
      </w:r>
      <w:r w:rsidRPr="00E27443">
        <w:t>specifically</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initiate,</w:t>
      </w:r>
      <w:r w:rsidR="00C63F8F" w:rsidRPr="00E27443">
        <w:t xml:space="preserve"> </w:t>
      </w:r>
      <w:r w:rsidRPr="00E27443">
        <w:t>support</w:t>
      </w:r>
      <w:r w:rsidR="00C63F8F" w:rsidRPr="00E27443">
        <w:t xml:space="preserve"> </w:t>
      </w:r>
      <w:r w:rsidRPr="00E27443">
        <w:t>and</w:t>
      </w:r>
      <w:r w:rsidR="00C63F8F" w:rsidRPr="00E27443">
        <w:t xml:space="preserve"> </w:t>
      </w:r>
      <w:r w:rsidRPr="00E27443">
        <w:t>unite</w:t>
      </w:r>
      <w:r w:rsidR="00C63F8F" w:rsidRPr="00E27443">
        <w:t xml:space="preserve"> </w:t>
      </w:r>
      <w:r w:rsidRPr="00E27443">
        <w:t>the</w:t>
      </w:r>
      <w:r w:rsidR="00C63F8F" w:rsidRPr="00E27443">
        <w:t xml:space="preserve"> </w:t>
      </w:r>
      <w:r w:rsidRPr="00E27443">
        <w:t>preparation</w:t>
      </w:r>
      <w:r w:rsidR="00C63F8F" w:rsidRPr="00E27443">
        <w:t xml:space="preserve"> </w:t>
      </w:r>
      <w:r w:rsidRPr="00E27443">
        <w:t>of</w:t>
      </w:r>
      <w:r w:rsidR="00C63F8F" w:rsidRPr="00E27443">
        <w:t xml:space="preserve"> </w:t>
      </w:r>
      <w:r w:rsidRPr="00E27443">
        <w:t>strategies</w:t>
      </w:r>
      <w:r w:rsidR="00C63F8F" w:rsidRPr="00E27443">
        <w:t xml:space="preserve"> </w:t>
      </w:r>
      <w:r w:rsidRPr="00E27443">
        <w:t>for</w:t>
      </w:r>
      <w:r w:rsidR="00C63F8F" w:rsidRPr="00E27443">
        <w:t xml:space="preserve"> </w:t>
      </w:r>
      <w:r w:rsidRPr="00E27443">
        <w:t>the</w:t>
      </w:r>
      <w:r w:rsidR="00C63F8F" w:rsidRPr="00E27443">
        <w:t xml:space="preserve"> </w:t>
      </w:r>
      <w:r w:rsidRPr="00E27443">
        <w:t>Swedish</w:t>
      </w:r>
      <w:r w:rsidR="00C63F8F" w:rsidRPr="00E27443">
        <w:t xml:space="preserve"> </w:t>
      </w:r>
      <w:r w:rsidRPr="00E27443">
        <w:t>Courts</w:t>
      </w:r>
      <w:r w:rsidR="00C63F8F" w:rsidRPr="00E27443">
        <w:t xml:space="preserve">’ </w:t>
      </w:r>
      <w:r w:rsidRPr="00E27443">
        <w:t>work</w:t>
      </w:r>
      <w:r w:rsidR="00C63F8F" w:rsidRPr="00E27443">
        <w:t xml:space="preserve"> </w:t>
      </w:r>
      <w:r w:rsidRPr="00E27443">
        <w:t>in</w:t>
      </w:r>
      <w:r w:rsidR="00C63F8F" w:rsidRPr="00E27443">
        <w:t xml:space="preserve"> </w:t>
      </w:r>
      <w:r w:rsidRPr="00E27443">
        <w:t>relation</w:t>
      </w:r>
      <w:r w:rsidR="00C63F8F" w:rsidRPr="00E27443">
        <w:t xml:space="preserve"> </w:t>
      </w:r>
      <w:r w:rsidRPr="00E27443">
        <w:t>to</w:t>
      </w:r>
      <w:r w:rsidR="00C63F8F" w:rsidRPr="00E27443">
        <w:t xml:space="preserve"> </w:t>
      </w:r>
      <w:r w:rsidRPr="00E27443">
        <w:t>the</w:t>
      </w:r>
      <w:r w:rsidR="00C63F8F" w:rsidRPr="00E27443">
        <w:t xml:space="preserve"> </w:t>
      </w:r>
      <w:r w:rsidRPr="00E27443">
        <w:t>treatment</w:t>
      </w:r>
      <w:r w:rsidR="00C63F8F" w:rsidRPr="00E27443">
        <w:t xml:space="preserve"> </w:t>
      </w:r>
      <w:r w:rsidRPr="00E27443">
        <w:t>of</w:t>
      </w:r>
      <w:r w:rsidR="00C63F8F" w:rsidRPr="00E27443">
        <w:t xml:space="preserve"> </w:t>
      </w:r>
      <w:r w:rsidRPr="00E27443">
        <w:t>parties</w:t>
      </w:r>
      <w:r w:rsidR="00C63F8F" w:rsidRPr="00E27443">
        <w:t xml:space="preserve"> </w:t>
      </w:r>
      <w:r w:rsidRPr="00E27443">
        <w:t>and</w:t>
      </w:r>
      <w:r w:rsidR="00C63F8F" w:rsidRPr="00E27443">
        <w:t xml:space="preserve"> </w:t>
      </w:r>
      <w:r w:rsidRPr="00E27443">
        <w:t>other</w:t>
      </w:r>
      <w:r w:rsidR="00C63F8F" w:rsidRPr="00E27443">
        <w:t xml:space="preserve"> </w:t>
      </w:r>
      <w:r w:rsidRPr="00E27443">
        <w:t>individuals</w:t>
      </w:r>
      <w:r w:rsidR="00C63F8F" w:rsidRPr="00E27443">
        <w:t xml:space="preserve"> </w:t>
      </w:r>
      <w:r w:rsidRPr="00E27443">
        <w:t>who</w:t>
      </w:r>
      <w:r w:rsidR="00C63F8F" w:rsidRPr="00E27443">
        <w:t xml:space="preserve"> </w:t>
      </w:r>
      <w:r w:rsidRPr="00E27443">
        <w:t>come</w:t>
      </w:r>
      <w:r w:rsidR="00C63F8F" w:rsidRPr="00E27443">
        <w:t xml:space="preserve"> </w:t>
      </w:r>
      <w:r w:rsidRPr="00E27443">
        <w:t>into</w:t>
      </w:r>
      <w:r w:rsidR="00C63F8F" w:rsidRPr="00E27443">
        <w:t xml:space="preserve"> </w:t>
      </w:r>
      <w:r w:rsidRPr="00E27443">
        <w:t>contact</w:t>
      </w:r>
      <w:r w:rsidR="00C63F8F" w:rsidRPr="00E27443">
        <w:t xml:space="preserve"> </w:t>
      </w:r>
      <w:r w:rsidRPr="00E27443">
        <w:t>with</w:t>
      </w:r>
      <w:r w:rsidR="00C63F8F" w:rsidRPr="00E27443">
        <w:t xml:space="preserve"> </w:t>
      </w:r>
      <w:r w:rsidRPr="00E27443">
        <w:t>the</w:t>
      </w:r>
      <w:r w:rsidR="00C63F8F" w:rsidRPr="00E27443">
        <w:t xml:space="preserve"> </w:t>
      </w:r>
      <w:r w:rsidRPr="00E27443">
        <w:t>courts.</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Courts</w:t>
      </w:r>
      <w:r w:rsidR="00C63F8F" w:rsidRPr="00E27443">
        <w:t xml:space="preserve">’ </w:t>
      </w:r>
      <w:r w:rsidRPr="00E27443">
        <w:t>external</w:t>
      </w:r>
      <w:r w:rsidR="00C63F8F" w:rsidRPr="00E27443">
        <w:t xml:space="preserve"> </w:t>
      </w:r>
      <w:r w:rsidRPr="00E27443">
        <w:t>website</w:t>
      </w:r>
      <w:r w:rsidR="00C63F8F" w:rsidRPr="00E27443">
        <w:t xml:space="preserve"> </w:t>
      </w:r>
      <w:r w:rsidRPr="00E27443">
        <w:t>has</w:t>
      </w:r>
      <w:r w:rsidR="00C63F8F" w:rsidRPr="00E27443">
        <w:t xml:space="preserve"> </w:t>
      </w:r>
      <w:r w:rsidRPr="00E27443">
        <w:t>been</w:t>
      </w:r>
      <w:r w:rsidR="00C63F8F" w:rsidRPr="00E27443">
        <w:t xml:space="preserve"> </w:t>
      </w:r>
      <w:r w:rsidRPr="00E27443">
        <w:t>adapted</w:t>
      </w:r>
      <w:r w:rsidR="00C63F8F" w:rsidRPr="00E27443">
        <w:t xml:space="preserve"> </w:t>
      </w:r>
      <w:r w:rsidRPr="00E27443">
        <w:t>to</w:t>
      </w:r>
      <w:r w:rsidR="00C63F8F" w:rsidRPr="00E27443">
        <w:t xml:space="preserve"> </w:t>
      </w:r>
      <w:r w:rsidRPr="00E27443">
        <w:t>the</w:t>
      </w:r>
      <w:r w:rsidR="00C63F8F" w:rsidRPr="00E27443">
        <w:t xml:space="preserve"> </w:t>
      </w:r>
      <w:r w:rsidRPr="00E27443">
        <w:t>guidelines</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WAI</w:t>
      </w:r>
      <w:r w:rsidR="00C63F8F" w:rsidRPr="00E27443">
        <w:t xml:space="preserve"> </w:t>
      </w:r>
      <w:r w:rsidRPr="00E27443">
        <w:t>(Web</w:t>
      </w:r>
      <w:r w:rsidR="00C63F8F" w:rsidRPr="00E27443">
        <w:t xml:space="preserve"> </w:t>
      </w:r>
      <w:r w:rsidRPr="00E27443">
        <w:t>Accessibility</w:t>
      </w:r>
      <w:r w:rsidR="00C63F8F" w:rsidRPr="00E27443">
        <w:t xml:space="preserve"> </w:t>
      </w:r>
      <w:r w:rsidRPr="00E27443">
        <w:t>Initiative).</w:t>
      </w:r>
      <w:r w:rsidR="00C63F8F" w:rsidRPr="00E27443">
        <w:t xml:space="preserve"> </w:t>
      </w:r>
      <w:r w:rsidRPr="00E27443">
        <w:t>This</w:t>
      </w:r>
      <w:r w:rsidR="00C63F8F" w:rsidRPr="00E27443">
        <w:t xml:space="preserve"> </w:t>
      </w:r>
      <w:r w:rsidRPr="00E27443">
        <w:t>website</w:t>
      </w:r>
      <w:r w:rsidR="00C63F8F" w:rsidRPr="00E27443">
        <w:t xml:space="preserve"> </w:t>
      </w:r>
      <w:r w:rsidRPr="00E27443">
        <w:t>includes</w:t>
      </w:r>
      <w:r w:rsidR="00C63F8F" w:rsidRPr="00E27443">
        <w:t xml:space="preserve"> </w:t>
      </w:r>
      <w:r w:rsidRPr="00E27443">
        <w:t>easy-to-read,</w:t>
      </w:r>
      <w:r w:rsidR="00C63F8F" w:rsidRPr="00E27443">
        <w:t xml:space="preserve"> </w:t>
      </w:r>
      <w:r w:rsidRPr="00E27443">
        <w:t>general</w:t>
      </w:r>
      <w:r w:rsidR="00C63F8F" w:rsidRPr="00E27443">
        <w:t xml:space="preserve"> </w:t>
      </w:r>
      <w:r w:rsidRPr="00E27443">
        <w:t>information,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a</w:t>
      </w:r>
      <w:r w:rsidR="00C63F8F" w:rsidRPr="00E27443">
        <w:t xml:space="preserve"> </w:t>
      </w:r>
      <w:r w:rsidRPr="00E27443">
        <w:t>function</w:t>
      </w:r>
      <w:r w:rsidR="00C63F8F" w:rsidRPr="00E27443">
        <w:t xml:space="preserve"> </w:t>
      </w:r>
      <w:r w:rsidRPr="00E27443">
        <w:t>that</w:t>
      </w:r>
      <w:r w:rsidR="00C63F8F" w:rsidRPr="00E27443">
        <w:t xml:space="preserve"> </w:t>
      </w:r>
      <w:r w:rsidRPr="00E27443">
        <w:t>facilitates</w:t>
      </w:r>
      <w:r w:rsidR="00C63F8F" w:rsidRPr="00E27443">
        <w:t xml:space="preserve"> </w:t>
      </w:r>
      <w:r w:rsidRPr="00E27443">
        <w:t>the</w:t>
      </w:r>
      <w:r w:rsidR="00C63F8F" w:rsidRPr="00E27443">
        <w:t xml:space="preserve"> </w:t>
      </w:r>
      <w:r w:rsidRPr="00E27443">
        <w:t>reading</w:t>
      </w:r>
      <w:r w:rsidR="00C63F8F" w:rsidRPr="00E27443">
        <w:t xml:space="preserve"> </w:t>
      </w:r>
      <w:r w:rsidRPr="00E27443">
        <w:t>aloud</w:t>
      </w:r>
      <w:r w:rsidR="00C63F8F" w:rsidRPr="00E27443">
        <w:t xml:space="preserve"> </w:t>
      </w:r>
      <w:r w:rsidRPr="00E27443">
        <w:t>of</w:t>
      </w:r>
      <w:r w:rsidR="00C63F8F" w:rsidRPr="00E27443">
        <w:t xml:space="preserve"> </w:t>
      </w:r>
      <w:r w:rsidRPr="00E27443">
        <w:t>the</w:t>
      </w:r>
      <w:r w:rsidR="00C63F8F" w:rsidRPr="00E27443">
        <w:t xml:space="preserve"> </w:t>
      </w:r>
      <w:r w:rsidRPr="00E27443">
        <w:t>information.</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Elements</w:t>
      </w:r>
      <w:r w:rsidR="00C63F8F" w:rsidRPr="00E27443">
        <w:t xml:space="preserve"> </w:t>
      </w:r>
      <w:r w:rsidRPr="00E27443">
        <w:t>relating</w:t>
      </w:r>
      <w:r w:rsidR="00C63F8F" w:rsidRPr="00E27443">
        <w:t xml:space="preserve"> </w:t>
      </w:r>
      <w:r w:rsidRPr="00E27443">
        <w:t>to</w:t>
      </w:r>
      <w:r w:rsidR="00C63F8F" w:rsidRPr="00E27443">
        <w:t xml:space="preserve"> </w:t>
      </w:r>
      <w:r w:rsidRPr="00E27443">
        <w:t>treatment</w:t>
      </w:r>
      <w:r w:rsidR="00C63F8F" w:rsidRPr="00E27443">
        <w:t xml:space="preserve"> </w:t>
      </w:r>
      <w:r w:rsidRPr="00E27443">
        <w:t>and</w:t>
      </w:r>
      <w:r w:rsidR="00C63F8F" w:rsidRPr="00E27443">
        <w:t xml:space="preserve"> </w:t>
      </w:r>
      <w:r w:rsidRPr="00E27443">
        <w:t>ethics</w:t>
      </w:r>
      <w:r w:rsidR="00C63F8F" w:rsidRPr="00E27443">
        <w:t xml:space="preserve"> </w:t>
      </w:r>
      <w:r w:rsidRPr="00E27443">
        <w:t>are</w:t>
      </w:r>
      <w:r w:rsidR="00C63F8F" w:rsidRPr="00E27443">
        <w:t xml:space="preserve"> </w:t>
      </w:r>
      <w:r w:rsidRPr="00E27443">
        <w:t>included</w:t>
      </w:r>
      <w:r w:rsidR="00C63F8F" w:rsidRPr="00E27443">
        <w:t xml:space="preserve"> </w:t>
      </w:r>
      <w:r w:rsidRPr="00E27443">
        <w:t>in</w:t>
      </w:r>
      <w:r w:rsidR="00C63F8F" w:rsidRPr="00E27443">
        <w:t xml:space="preserve"> </w:t>
      </w:r>
      <w:r w:rsidRPr="00E27443">
        <w:t>most</w:t>
      </w:r>
      <w:r w:rsidR="00C63F8F" w:rsidRPr="00E27443">
        <w:t xml:space="preserve"> </w:t>
      </w:r>
      <w:r w:rsidRPr="00E27443">
        <w:t>of</w:t>
      </w:r>
      <w:r w:rsidR="00C63F8F" w:rsidRPr="00E27443">
        <w:t xml:space="preserve"> </w:t>
      </w:r>
      <w:r w:rsidRPr="00E27443">
        <w:t>the</w:t>
      </w:r>
      <w:r w:rsidR="00C63F8F" w:rsidRPr="00E27443">
        <w:t xml:space="preserve"> </w:t>
      </w:r>
      <w:r w:rsidRPr="00E27443">
        <w:t>basic</w:t>
      </w:r>
      <w:r w:rsidR="00C63F8F" w:rsidRPr="00E27443">
        <w:t xml:space="preserve"> </w:t>
      </w:r>
      <w:r w:rsidRPr="00E27443">
        <w:t>training</w:t>
      </w:r>
      <w:r w:rsidR="00C63F8F" w:rsidRPr="00E27443">
        <w:t xml:space="preserve"> </w:t>
      </w:r>
      <w:r w:rsidRPr="00E27443">
        <w:t>that</w:t>
      </w:r>
      <w:r w:rsidR="00C63F8F" w:rsidRPr="00E27443">
        <w:t xml:space="preserve"> </w:t>
      </w:r>
      <w:r w:rsidRPr="00E27443">
        <w:t>is</w:t>
      </w:r>
      <w:r w:rsidR="00C63F8F" w:rsidRPr="00E27443">
        <w:t xml:space="preserve"> </w:t>
      </w:r>
      <w:r w:rsidRPr="00E27443">
        <w:t>continually</w:t>
      </w:r>
      <w:r w:rsidR="00C63F8F" w:rsidRPr="00E27443">
        <w:t xml:space="preserve"> </w:t>
      </w:r>
      <w:r w:rsidRPr="00E27443">
        <w:t>offered</w:t>
      </w:r>
      <w:r w:rsidR="00C63F8F" w:rsidRPr="00E27443">
        <w:t xml:space="preserve"> </w:t>
      </w:r>
      <w:r w:rsidRPr="00E27443">
        <w:t>to</w:t>
      </w:r>
      <w:r w:rsidR="00C63F8F" w:rsidRPr="00E27443">
        <w:t xml:space="preserve"> </w:t>
      </w:r>
      <w:r w:rsidRPr="00E27443">
        <w:t>the</w:t>
      </w:r>
      <w:r w:rsidR="00C63F8F" w:rsidRPr="00E27443">
        <w:t xml:space="preserve"> </w:t>
      </w:r>
      <w:r w:rsidRPr="00E27443">
        <w:t>employees</w:t>
      </w:r>
      <w:r w:rsidR="00C63F8F" w:rsidRPr="00E27443">
        <w:t xml:space="preserve"> </w:t>
      </w:r>
      <w:r w:rsidRPr="00E27443">
        <w:t>within</w:t>
      </w:r>
      <w:r w:rsidR="00C63F8F" w:rsidRPr="00E27443">
        <w:t xml:space="preserve"> </w:t>
      </w:r>
      <w:r w:rsidRPr="00E27443">
        <w:t>the</w:t>
      </w:r>
      <w:r w:rsidR="00C63F8F" w:rsidRPr="00E27443">
        <w:t xml:space="preserve"> </w:t>
      </w:r>
      <w:r w:rsidRPr="00E27443">
        <w:t>Swedish</w:t>
      </w:r>
      <w:r w:rsidR="00C63F8F" w:rsidRPr="00E27443">
        <w:t xml:space="preserve"> </w:t>
      </w:r>
      <w:r w:rsidRPr="00E27443">
        <w:t>Courts.</w:t>
      </w:r>
      <w:r w:rsidR="00C63F8F" w:rsidRPr="00E27443">
        <w:t xml:space="preserve"> </w:t>
      </w:r>
      <w:r w:rsidRPr="00E27443">
        <w:t>The</w:t>
      </w:r>
      <w:r w:rsidR="00C63F8F" w:rsidRPr="00E27443">
        <w:t xml:space="preserve"> </w:t>
      </w:r>
      <w:r w:rsidRPr="00E27443">
        <w:t>range</w:t>
      </w:r>
      <w:r w:rsidR="00C63F8F" w:rsidRPr="00E27443">
        <w:t xml:space="preserve"> </w:t>
      </w:r>
      <w:r w:rsidRPr="00E27443">
        <w:t>of</w:t>
      </w:r>
      <w:r w:rsidR="00C63F8F" w:rsidRPr="00E27443">
        <w:t xml:space="preserve"> </w:t>
      </w:r>
      <w:r w:rsidRPr="00E27443">
        <w:t>courses</w:t>
      </w:r>
      <w:r w:rsidR="00C63F8F" w:rsidRPr="00E27443">
        <w:t xml:space="preserve"> </w:t>
      </w:r>
      <w:r w:rsidRPr="00E27443">
        <w:t>also</w:t>
      </w:r>
      <w:r w:rsidR="00C63F8F" w:rsidRPr="00E27443">
        <w:t xml:space="preserve"> </w:t>
      </w:r>
      <w:r w:rsidRPr="00E27443">
        <w:t>includes</w:t>
      </w:r>
      <w:r w:rsidR="00C63F8F" w:rsidRPr="00E27443">
        <w:t xml:space="preserve"> </w:t>
      </w:r>
      <w:r w:rsidRPr="00E27443">
        <w:t>elements</w:t>
      </w:r>
      <w:r w:rsidR="00C63F8F" w:rsidRPr="00E27443">
        <w:t xml:space="preserve"> </w:t>
      </w:r>
      <w:r w:rsidRPr="00E27443">
        <w:t>about</w:t>
      </w:r>
      <w:r w:rsidR="00C63F8F" w:rsidRPr="00E27443">
        <w:t xml:space="preserve"> </w:t>
      </w:r>
      <w:r w:rsidRPr="00E27443">
        <w:t>applicable</w:t>
      </w:r>
      <w:r w:rsidR="00C63F8F" w:rsidRPr="00E27443">
        <w:t xml:space="preserve"> </w:t>
      </w:r>
      <w:r w:rsidRPr="00E27443">
        <w:t>legislation</w:t>
      </w:r>
      <w:r w:rsidR="00C63F8F" w:rsidRPr="00E27443">
        <w:t xml:space="preserve"> </w:t>
      </w:r>
      <w:r w:rsidRPr="00E27443">
        <w:t>and</w:t>
      </w:r>
      <w:r w:rsidR="00C63F8F" w:rsidRPr="00E27443">
        <w:t xml:space="preserve"> </w:t>
      </w:r>
      <w:r w:rsidRPr="00E27443">
        <w:t>regulations</w:t>
      </w:r>
      <w:r w:rsidR="00C63F8F" w:rsidRPr="00E27443">
        <w:t xml:space="preserve"> </w:t>
      </w:r>
      <w:r w:rsidRPr="00E27443">
        <w:t>regarding</w:t>
      </w:r>
      <w:r w:rsidR="00C63F8F" w:rsidRPr="00E27443">
        <w:t xml:space="preserve"> </w:t>
      </w:r>
      <w:r w:rsidRPr="00E27443">
        <w:t>human</w:t>
      </w:r>
      <w:r w:rsidR="00C63F8F" w:rsidRPr="00E27443">
        <w:t xml:space="preserve"> </w:t>
      </w:r>
      <w:r w:rsidRPr="00E27443">
        <w:t>rights,</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children</w:t>
      </w:r>
      <w:r w:rsidR="00C63F8F" w:rsidRPr="00E27443">
        <w:t xml:space="preserve"> </w:t>
      </w:r>
      <w:r w:rsidRPr="00E27443">
        <w:t>and</w:t>
      </w:r>
      <w:r w:rsidR="00C63F8F" w:rsidRPr="00E27443">
        <w:t xml:space="preserve"> </w:t>
      </w:r>
      <w:r w:rsidRPr="00E27443">
        <w:t>discrimination.</w:t>
      </w:r>
      <w:r w:rsidR="00C63F8F" w:rsidRPr="00E27443">
        <w:t xml:space="preserve"> </w:t>
      </w:r>
      <w:r w:rsidRPr="00E27443">
        <w:t>Courses</w:t>
      </w:r>
      <w:r w:rsidR="00C63F8F" w:rsidRPr="00E27443">
        <w:t xml:space="preserve"> </w:t>
      </w:r>
      <w:r w:rsidRPr="00E27443">
        <w:t>are</w:t>
      </w:r>
      <w:r w:rsidR="00C63F8F" w:rsidRPr="00E27443">
        <w:t xml:space="preserve"> </w:t>
      </w:r>
      <w:r w:rsidRPr="00E27443">
        <w:t>also</w:t>
      </w:r>
      <w:r w:rsidR="00C63F8F" w:rsidRPr="00E27443">
        <w:t xml:space="preserve"> </w:t>
      </w:r>
      <w:r w:rsidRPr="00E27443">
        <w:t>available</w:t>
      </w:r>
      <w:r w:rsidR="00C63F8F" w:rsidRPr="00E27443">
        <w:t xml:space="preserve"> </w:t>
      </w:r>
      <w:r w:rsidRPr="00E27443">
        <w:t>about</w:t>
      </w:r>
      <w:r w:rsidR="00C63F8F" w:rsidRPr="00E27443">
        <w:t xml:space="preserve"> </w:t>
      </w:r>
      <w:r w:rsidRPr="00E27443">
        <w:t>special</w:t>
      </w:r>
      <w:r w:rsidR="00C63F8F" w:rsidRPr="00E27443">
        <w:t xml:space="preserve"> </w:t>
      </w:r>
      <w:r w:rsidRPr="00E27443">
        <w:t>protection</w:t>
      </w:r>
      <w:r w:rsidR="00C63F8F" w:rsidRPr="00E27443">
        <w:t xml:space="preserve"> </w:t>
      </w:r>
      <w:r w:rsidRPr="00E27443">
        <w:t>legislation</w:t>
      </w:r>
      <w:r w:rsidR="00C63F8F" w:rsidRPr="00E27443">
        <w:t xml:space="preserve"> </w:t>
      </w:r>
      <w:r w:rsidRPr="00E27443">
        <w:t>that</w:t>
      </w:r>
      <w:r w:rsidR="00C63F8F" w:rsidRPr="00E27443">
        <w:t xml:space="preserve"> </w:t>
      </w:r>
      <w:r w:rsidRPr="00E27443">
        <w:t>focuses</w:t>
      </w:r>
      <w:r w:rsidR="00C63F8F" w:rsidRPr="00E27443">
        <w:t xml:space="preserve"> </w:t>
      </w:r>
      <w:r w:rsidRPr="00E27443">
        <w:t>on</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75253">
        <w:t>Swedish</w:t>
      </w:r>
      <w:r w:rsidR="00C63F8F" w:rsidRPr="00E75253">
        <w:t xml:space="preserve"> </w:t>
      </w:r>
      <w:r w:rsidRPr="00E75253">
        <w:t>Prison</w:t>
      </w:r>
      <w:r w:rsidR="00C63F8F" w:rsidRPr="00E75253">
        <w:t xml:space="preserve"> </w:t>
      </w:r>
      <w:r w:rsidRPr="00E75253">
        <w:t>and</w:t>
      </w:r>
      <w:r w:rsidR="00C63F8F" w:rsidRPr="00E75253">
        <w:t xml:space="preserve"> </w:t>
      </w:r>
      <w:r w:rsidRPr="00E75253">
        <w:t>Probation</w:t>
      </w:r>
      <w:r w:rsidR="00C63F8F" w:rsidRPr="00E75253">
        <w:t xml:space="preserve"> </w:t>
      </w:r>
      <w:r w:rsidRPr="00E75253">
        <w:t>Service</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remand</w:t>
      </w:r>
      <w:r w:rsidR="00C63F8F" w:rsidRPr="00E27443">
        <w:t xml:space="preserve"> </w:t>
      </w:r>
      <w:r w:rsidRPr="00E27443">
        <w:t>centres,</w:t>
      </w:r>
      <w:r w:rsidR="00C63F8F" w:rsidRPr="00E27443">
        <w:t xml:space="preserve"> </w:t>
      </w:r>
      <w:r w:rsidRPr="00E27443">
        <w:t>prisons,</w:t>
      </w:r>
      <w:r w:rsidR="00C63F8F" w:rsidRPr="00E27443">
        <w:t xml:space="preserve"> </w:t>
      </w:r>
      <w:r w:rsidRPr="00E27443">
        <w:t>probation</w:t>
      </w:r>
      <w:r w:rsidR="00C63F8F" w:rsidRPr="00E27443">
        <w:t xml:space="preserve"> </w:t>
      </w:r>
      <w:r w:rsidRPr="00E27443">
        <w:t>and</w:t>
      </w:r>
      <w:r w:rsidR="00C63F8F" w:rsidRPr="00E27443">
        <w:t xml:space="preserve"> </w:t>
      </w:r>
      <w:r w:rsidRPr="00E27443">
        <w:t>transport</w:t>
      </w:r>
      <w:r w:rsidR="00C63F8F" w:rsidRPr="00E27443">
        <w:t xml:space="preserve"> </w:t>
      </w:r>
      <w:r w:rsidRPr="00E27443">
        <w:t>operations,</w:t>
      </w:r>
      <w:r w:rsidR="00C63F8F" w:rsidRPr="00E27443">
        <w:t xml:space="preserve"> </w:t>
      </w:r>
      <w:r w:rsidRPr="00E27443">
        <w:t>for</w:t>
      </w:r>
      <w:r w:rsidR="00C63F8F" w:rsidRPr="00E27443">
        <w:t xml:space="preserve"> </w:t>
      </w:r>
      <w:r w:rsidRPr="00E27443">
        <w:t>example</w:t>
      </w:r>
      <w:r w:rsidR="00C63F8F" w:rsidRPr="00E27443">
        <w:t xml:space="preserve"> </w:t>
      </w:r>
      <w:r w:rsidRPr="00E27443">
        <w:t>with</w:t>
      </w:r>
      <w:r w:rsidR="00C63F8F" w:rsidRPr="00E27443">
        <w:t xml:space="preserve"> </w:t>
      </w:r>
      <w:r w:rsidRPr="00E27443">
        <w:t>respect</w:t>
      </w:r>
      <w:r w:rsidR="00C63F8F" w:rsidRPr="00E27443">
        <w:t xml:space="preserve"> </w:t>
      </w:r>
      <w:r w:rsidRPr="00E27443">
        <w:t>to</w:t>
      </w:r>
      <w:r w:rsidR="00C63F8F" w:rsidRPr="00E27443">
        <w:t xml:space="preserve"> </w:t>
      </w:r>
      <w:r w:rsidRPr="00E27443">
        <w:t>the</w:t>
      </w:r>
      <w:r w:rsidR="00C63F8F" w:rsidRPr="00E27443">
        <w:t xml:space="preserve"> </w:t>
      </w:r>
      <w:r w:rsidRPr="00E27443">
        <w:t>Service</w:t>
      </w:r>
      <w:r w:rsidR="00C63F8F" w:rsidRPr="00E27443">
        <w:t>’</w:t>
      </w:r>
      <w:r w:rsidRPr="00E27443">
        <w:t>s</w:t>
      </w:r>
      <w:r w:rsidR="00C63F8F" w:rsidRPr="00E27443">
        <w:t xml:space="preserve"> </w:t>
      </w:r>
      <w:r w:rsidRPr="00E27443">
        <w:t>clients.</w:t>
      </w:r>
      <w:r w:rsidR="00C63F8F" w:rsidRPr="00E27443">
        <w:t xml:space="preserve"> </w:t>
      </w:r>
      <w:r w:rsidRPr="00E27443">
        <w:t>The</w:t>
      </w:r>
      <w:r w:rsidR="00C63F8F" w:rsidRPr="00E27443">
        <w:t xml:space="preserve"> </w:t>
      </w:r>
      <w:r w:rsidRPr="00E27443">
        <w:t>Service</w:t>
      </w:r>
      <w:r w:rsidR="00C63F8F" w:rsidRPr="00E27443">
        <w:t xml:space="preserve"> </w:t>
      </w:r>
      <w:r w:rsidRPr="00E27443">
        <w:t>has</w:t>
      </w:r>
      <w:r w:rsidR="00C63F8F" w:rsidRPr="00E27443">
        <w:t xml:space="preserve"> </w:t>
      </w:r>
      <w:r w:rsidRPr="00E27443">
        <w:t>drawn</w:t>
      </w:r>
      <w:r w:rsidR="00C63F8F" w:rsidRPr="00E27443">
        <w:t xml:space="preserve"> </w:t>
      </w:r>
      <w:r w:rsidRPr="00E27443">
        <w:t>up</w:t>
      </w:r>
      <w:r w:rsidR="00C63F8F" w:rsidRPr="00E27443">
        <w:t xml:space="preserve"> </w:t>
      </w:r>
      <w:r w:rsidRPr="00E27443">
        <w:t>guidelines</w:t>
      </w:r>
      <w:r w:rsidR="00C63F8F" w:rsidRPr="00E27443">
        <w:t xml:space="preserve"> </w:t>
      </w:r>
      <w:r w:rsidRPr="00E27443">
        <w:t>for</w:t>
      </w:r>
      <w:r w:rsidR="00C63F8F" w:rsidRPr="00E27443">
        <w:t xml:space="preserve"> </w:t>
      </w:r>
      <w:r w:rsidRPr="00E27443">
        <w:t>its</w:t>
      </w:r>
      <w:r w:rsidR="00C63F8F" w:rsidRPr="00E27443">
        <w:t xml:space="preserve"> </w:t>
      </w:r>
      <w:r w:rsidRPr="00E27443">
        <w:t>client-oriented</w:t>
      </w:r>
      <w:r w:rsidR="00C63F8F" w:rsidRPr="00E27443">
        <w:t xml:space="preserve"> </w:t>
      </w:r>
      <w:r w:rsidRPr="00E27443">
        <w:t>work</w:t>
      </w:r>
      <w:r w:rsidR="00C63F8F" w:rsidRPr="00E27443">
        <w:t xml:space="preserve"> </w:t>
      </w:r>
      <w:r w:rsidRPr="00E27443">
        <w:t>against</w:t>
      </w:r>
      <w:r w:rsidR="00C63F8F" w:rsidRPr="00E27443">
        <w:t xml:space="preserve"> </w:t>
      </w:r>
      <w:r w:rsidR="000F4815" w:rsidRPr="00E27443">
        <w:t>discri</w:t>
      </w:r>
      <w:r w:rsidRPr="00E27443">
        <w:t>mination,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for</w:t>
      </w:r>
      <w:r w:rsidR="00C63F8F" w:rsidRPr="00E27443">
        <w:t xml:space="preserve"> </w:t>
      </w:r>
      <w:r w:rsidRPr="00E27443">
        <w:t>the</w:t>
      </w:r>
      <w:r w:rsidR="00C63F8F" w:rsidRPr="00E27443">
        <w:t xml:space="preserve"> </w:t>
      </w:r>
      <w:r w:rsidRPr="00E27443">
        <w:t>work</w:t>
      </w:r>
      <w:r w:rsidR="00C63F8F" w:rsidRPr="00E27443">
        <w:t xml:space="preserve"> </w:t>
      </w:r>
      <w:r w:rsidRPr="00E27443">
        <w:t>with</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within</w:t>
      </w:r>
      <w:r w:rsidR="00C63F8F" w:rsidRPr="00E27443">
        <w:t xml:space="preserve"> </w:t>
      </w:r>
      <w:r w:rsidRPr="00E27443">
        <w:t>the</w:t>
      </w:r>
      <w:r w:rsidR="00C63F8F" w:rsidRPr="00E27443">
        <w:t xml:space="preserve"> </w:t>
      </w:r>
      <w:r w:rsidRPr="00E27443">
        <w:t>Prison</w:t>
      </w:r>
      <w:r w:rsidR="00C63F8F" w:rsidRPr="00E27443">
        <w:t xml:space="preserve"> </w:t>
      </w:r>
      <w:r w:rsidRPr="00E27443">
        <w:t>and</w:t>
      </w:r>
      <w:r w:rsidR="00C63F8F" w:rsidRPr="00E27443">
        <w:t xml:space="preserve"> </w:t>
      </w:r>
      <w:r w:rsidRPr="00E27443">
        <w:t>Probation</w:t>
      </w:r>
      <w:r w:rsidR="00C63F8F" w:rsidRPr="00E27443">
        <w:t xml:space="preserve"> </w:t>
      </w:r>
      <w:r w:rsidRPr="00E27443">
        <w:t>Service.</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Service</w:t>
      </w:r>
      <w:r w:rsidR="00C63F8F" w:rsidRPr="00E27443">
        <w:t>’</w:t>
      </w:r>
      <w:r w:rsidRPr="00E27443">
        <w:t>s</w:t>
      </w:r>
      <w:r w:rsidR="00C63F8F" w:rsidRPr="00E27443">
        <w:t xml:space="preserve"> </w:t>
      </w:r>
      <w:r w:rsidRPr="00E27443">
        <w:t>basic</w:t>
      </w:r>
      <w:r w:rsidR="00C63F8F" w:rsidRPr="00E27443">
        <w:t xml:space="preserve"> </w:t>
      </w:r>
      <w:r w:rsidRPr="00E27443">
        <w:t>training</w:t>
      </w:r>
      <w:r w:rsidR="00C63F8F" w:rsidRPr="00E27443">
        <w:t xml:space="preserve"> </w:t>
      </w:r>
      <w:r w:rsidRPr="00E27443">
        <w:t>includes</w:t>
      </w:r>
      <w:r w:rsidR="00C63F8F" w:rsidRPr="00E27443">
        <w:t xml:space="preserve"> </w:t>
      </w:r>
      <w:r w:rsidRPr="00E27443">
        <w:t>information</w:t>
      </w:r>
      <w:r w:rsidR="00C63F8F" w:rsidRPr="00E27443">
        <w:t xml:space="preserve"> </w:t>
      </w:r>
      <w:r w:rsidRPr="00E27443">
        <w:t>about</w:t>
      </w:r>
      <w:r w:rsidR="00C63F8F" w:rsidRPr="00E27443">
        <w:t xml:space="preserve"> </w:t>
      </w:r>
      <w:r w:rsidRPr="00E27443">
        <w:t>applicable</w:t>
      </w:r>
      <w:r w:rsidR="00C63F8F" w:rsidRPr="00E27443">
        <w:t xml:space="preserve"> </w:t>
      </w:r>
      <w:r w:rsidRPr="00E27443">
        <w:t>legislation</w:t>
      </w:r>
      <w:r w:rsidR="00C63F8F" w:rsidRPr="00E27443">
        <w:t xml:space="preserve"> </w:t>
      </w:r>
      <w:r w:rsidRPr="00E27443">
        <w:t>and</w:t>
      </w:r>
      <w:r w:rsidR="00C63F8F" w:rsidRPr="00E27443">
        <w:t xml:space="preserve"> </w:t>
      </w:r>
      <w:r w:rsidRPr="00E27443">
        <w:t>rules</w:t>
      </w:r>
      <w:r w:rsidR="00C63F8F" w:rsidRPr="00E27443">
        <w:t xml:space="preserve"> </w:t>
      </w:r>
      <w:r w:rsidRPr="00E27443">
        <w:t>regarding</w:t>
      </w:r>
      <w:r w:rsidR="00C63F8F" w:rsidRPr="00E27443">
        <w:t xml:space="preserve"> </w:t>
      </w:r>
      <w:r w:rsidRPr="00E27443">
        <w:t>human</w:t>
      </w:r>
      <w:r w:rsidR="00C63F8F" w:rsidRPr="00E27443">
        <w:t xml:space="preserve"> </w:t>
      </w:r>
      <w:r w:rsidRPr="00E27443">
        <w:t>rights,</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and</w:t>
      </w:r>
      <w:r w:rsidR="00C63F8F" w:rsidRPr="00E27443">
        <w:t xml:space="preserve"> </w:t>
      </w:r>
      <w:r w:rsidR="000F4815" w:rsidRPr="00E27443">
        <w:t>dis</w:t>
      </w:r>
      <w:r w:rsidRPr="00E27443">
        <w:t>crimination,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theories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mechanisms</w:t>
      </w:r>
      <w:r w:rsidR="00C63F8F" w:rsidRPr="00E27443">
        <w:t xml:space="preserve"> </w:t>
      </w:r>
      <w:r w:rsidRPr="00E27443">
        <w:t>behind</w:t>
      </w:r>
      <w:r w:rsidR="00C63F8F" w:rsidRPr="00E27443">
        <w:t xml:space="preserve"> </w:t>
      </w:r>
      <w:r w:rsidRPr="00E27443">
        <w:t>discrimination.</w:t>
      </w:r>
      <w:r w:rsidR="00C63F8F" w:rsidRPr="00E27443">
        <w:t xml:space="preserve"> </w:t>
      </w:r>
      <w:r w:rsidRPr="00E27443">
        <w:t>Within</w:t>
      </w:r>
      <w:r w:rsidR="00C63F8F" w:rsidRPr="00E27443">
        <w:t xml:space="preserve"> </w:t>
      </w:r>
      <w:r w:rsidRPr="00E27443">
        <w:t>both</w:t>
      </w:r>
      <w:r w:rsidR="00C63F8F" w:rsidRPr="00E27443">
        <w:t xml:space="preserve"> </w:t>
      </w:r>
      <w:r w:rsidRPr="00E27443">
        <w:t>the</w:t>
      </w:r>
      <w:r w:rsidR="00C63F8F" w:rsidRPr="00E27443">
        <w:t xml:space="preserve"> </w:t>
      </w:r>
      <w:r w:rsidRPr="00E27443">
        <w:t>basic</w:t>
      </w:r>
      <w:r w:rsidR="00C63F8F" w:rsidRPr="00E27443">
        <w:t xml:space="preserve"> </w:t>
      </w:r>
      <w:r w:rsidRPr="00E27443">
        <w:t>training</w:t>
      </w:r>
      <w:r w:rsidR="00C63F8F" w:rsidRPr="00E27443">
        <w:t xml:space="preserve"> </w:t>
      </w:r>
      <w:r w:rsidRPr="00E27443">
        <w:t>and</w:t>
      </w:r>
      <w:r w:rsidR="00C63F8F" w:rsidRPr="00E27443">
        <w:t xml:space="preserve"> </w:t>
      </w:r>
      <w:r w:rsidRPr="00E27443">
        <w:t>the</w:t>
      </w:r>
      <w:r w:rsidR="00C63F8F" w:rsidRPr="00E27443">
        <w:t xml:space="preserve"> </w:t>
      </w:r>
      <w:r w:rsidRPr="00E27443">
        <w:t>further</w:t>
      </w:r>
      <w:r w:rsidR="00C63F8F" w:rsidRPr="00E27443">
        <w:t xml:space="preserve"> </w:t>
      </w:r>
      <w:r w:rsidRPr="00E27443">
        <w:t>training</w:t>
      </w:r>
      <w:r w:rsidR="00C63F8F" w:rsidRPr="00E27443">
        <w:t xml:space="preserve"> </w:t>
      </w:r>
      <w:r w:rsidRPr="00E27443">
        <w:t>that</w:t>
      </w:r>
      <w:r w:rsidR="00C63F8F" w:rsidRPr="00E27443">
        <w:t xml:space="preserve"> </w:t>
      </w:r>
      <w:r w:rsidRPr="00E27443">
        <w:t>the</w:t>
      </w:r>
      <w:r w:rsidR="00C63F8F" w:rsidRPr="00E27443">
        <w:t xml:space="preserve"> </w:t>
      </w:r>
      <w:r w:rsidRPr="00E27443">
        <w:t>authority</w:t>
      </w:r>
      <w:r w:rsidR="00C63F8F" w:rsidRPr="00E27443">
        <w:t xml:space="preserve"> </w:t>
      </w:r>
      <w:r w:rsidRPr="00E27443">
        <w:t>offers</w:t>
      </w:r>
      <w:r w:rsidR="00C63F8F" w:rsidRPr="00E27443">
        <w:t xml:space="preserve"> </w:t>
      </w:r>
      <w:r w:rsidRPr="00E27443">
        <w:t>its</w:t>
      </w:r>
      <w:r w:rsidR="00C63F8F" w:rsidRPr="00E27443">
        <w:t xml:space="preserve"> </w:t>
      </w:r>
      <w:r w:rsidRPr="00E27443">
        <w:t>employees,</w:t>
      </w:r>
      <w:r w:rsidR="00C63F8F" w:rsidRPr="00E27443">
        <w:t xml:space="preserve"> </w:t>
      </w:r>
      <w:r w:rsidRPr="00E27443">
        <w:t>the</w:t>
      </w:r>
      <w:r w:rsidR="00C63F8F" w:rsidRPr="00E27443">
        <w:t xml:space="preserve"> </w:t>
      </w:r>
      <w:r w:rsidRPr="00E27443">
        <w:rPr>
          <w:i/>
        </w:rPr>
        <w:t>Swedish</w:t>
      </w:r>
      <w:r w:rsidR="00C63F8F" w:rsidRPr="00E27443">
        <w:rPr>
          <w:i/>
        </w:rPr>
        <w:t xml:space="preserve"> </w:t>
      </w:r>
      <w:r w:rsidRPr="00E27443">
        <w:rPr>
          <w:i/>
        </w:rPr>
        <w:t>Prison</w:t>
      </w:r>
      <w:r w:rsidR="00C63F8F" w:rsidRPr="00E27443">
        <w:rPr>
          <w:i/>
        </w:rPr>
        <w:t xml:space="preserve"> </w:t>
      </w:r>
      <w:r w:rsidRPr="00E27443">
        <w:rPr>
          <w:i/>
        </w:rPr>
        <w:t>and</w:t>
      </w:r>
      <w:r w:rsidR="00C63F8F" w:rsidRPr="00E27443">
        <w:rPr>
          <w:i/>
        </w:rPr>
        <w:t xml:space="preserve"> </w:t>
      </w:r>
      <w:r w:rsidRPr="00E27443">
        <w:rPr>
          <w:i/>
        </w:rPr>
        <w:t>Probation</w:t>
      </w:r>
      <w:r w:rsidR="00C63F8F" w:rsidRPr="00E27443">
        <w:rPr>
          <w:i/>
        </w:rPr>
        <w:t xml:space="preserve"> </w:t>
      </w:r>
      <w:r w:rsidRPr="00E27443">
        <w:rPr>
          <w:i/>
        </w:rPr>
        <w:t>Service</w:t>
      </w:r>
      <w:r w:rsidR="00C63F8F" w:rsidRPr="00E27443">
        <w:rPr>
          <w:i/>
        </w:rPr>
        <w:t>’</w:t>
      </w:r>
      <w:r w:rsidRPr="00E27443">
        <w:rPr>
          <w:i/>
        </w:rPr>
        <w:t>s</w:t>
      </w:r>
      <w:r w:rsidR="00C63F8F" w:rsidRPr="00E27443">
        <w:rPr>
          <w:i/>
        </w:rPr>
        <w:t xml:space="preserve"> </w:t>
      </w:r>
      <w:r w:rsidRPr="00E27443">
        <w:rPr>
          <w:i/>
        </w:rPr>
        <w:t>Vision</w:t>
      </w:r>
      <w:r w:rsidR="00C63F8F" w:rsidRPr="00E27443">
        <w:rPr>
          <w:i/>
        </w:rPr>
        <w:t xml:space="preserve"> </w:t>
      </w:r>
      <w:r w:rsidRPr="00E27443">
        <w:rPr>
          <w:i/>
        </w:rPr>
        <w:t>and</w:t>
      </w:r>
      <w:r w:rsidR="00C63F8F" w:rsidRPr="00E27443">
        <w:rPr>
          <w:i/>
        </w:rPr>
        <w:t xml:space="preserve"> </w:t>
      </w:r>
      <w:r w:rsidRPr="00E27443">
        <w:rPr>
          <w:i/>
        </w:rPr>
        <w:t>Core</w:t>
      </w:r>
      <w:r w:rsidR="00C63F8F" w:rsidRPr="00E27443">
        <w:rPr>
          <w:i/>
        </w:rPr>
        <w:t xml:space="preserve"> </w:t>
      </w:r>
      <w:r w:rsidRPr="00E27443">
        <w:rPr>
          <w:i/>
        </w:rPr>
        <w:t>Values</w:t>
      </w:r>
      <w:r w:rsidR="00C63F8F" w:rsidRPr="00E27443">
        <w:t xml:space="preserve"> </w:t>
      </w:r>
      <w:r w:rsidRPr="00E27443">
        <w:t>are</w:t>
      </w:r>
      <w:r w:rsidR="00C63F8F" w:rsidRPr="00E27443">
        <w:t xml:space="preserve"> </w:t>
      </w:r>
      <w:r w:rsidRPr="00E27443">
        <w:t>a</w:t>
      </w:r>
      <w:r w:rsidR="00C63F8F" w:rsidRPr="00E27443">
        <w:t xml:space="preserve"> </w:t>
      </w:r>
      <w:r w:rsidRPr="00E27443">
        <w:t>common</w:t>
      </w:r>
      <w:r w:rsidR="00C63F8F" w:rsidRPr="00E27443">
        <w:t xml:space="preserve"> </w:t>
      </w:r>
      <w:r w:rsidRPr="00E27443">
        <w:t>starting</w:t>
      </w:r>
      <w:r w:rsidR="00C63F8F" w:rsidRPr="00E27443">
        <w:t xml:space="preserve"> </w:t>
      </w:r>
      <w:r w:rsidRPr="00E27443">
        <w:t>point</w:t>
      </w:r>
      <w:r w:rsidR="00C63F8F" w:rsidRPr="00E27443">
        <w:t xml:space="preserve"> </w:t>
      </w:r>
      <w:r w:rsidRPr="00E27443">
        <w:t>for</w:t>
      </w:r>
      <w:r w:rsidR="00C63F8F" w:rsidRPr="00E27443">
        <w:t xml:space="preserve"> </w:t>
      </w:r>
      <w:r w:rsidRPr="00E27443">
        <w:t>highlighting</w:t>
      </w:r>
      <w:r w:rsidR="00C63F8F" w:rsidRPr="00E27443">
        <w:t xml:space="preserve"> </w:t>
      </w:r>
      <w:r w:rsidRPr="00E27443">
        <w:t>discrimination</w:t>
      </w:r>
      <w:r w:rsidR="00C63F8F" w:rsidRPr="00E27443">
        <w:t xml:space="preserve"> </w:t>
      </w:r>
      <w:r w:rsidRPr="00E27443">
        <w:t>and</w:t>
      </w:r>
      <w:r w:rsidR="00C63F8F" w:rsidRPr="00E27443">
        <w:t xml:space="preserve"> </w:t>
      </w:r>
      <w:r w:rsidRPr="00E27443">
        <w:t>diversity</w:t>
      </w:r>
      <w:r w:rsidR="00C63F8F" w:rsidRPr="00E27443">
        <w:t xml:space="preserve"> </w:t>
      </w:r>
      <w:r w:rsidRPr="00E27443">
        <w:t>issues</w:t>
      </w:r>
      <w:r w:rsidR="00C63F8F" w:rsidRPr="00E27443">
        <w:t xml:space="preserve"> </w:t>
      </w:r>
      <w:r w:rsidRPr="00E27443">
        <w:t>in</w:t>
      </w:r>
      <w:r w:rsidR="00C63F8F" w:rsidRPr="00E27443">
        <w:t xml:space="preserve"> </w:t>
      </w:r>
      <w:r w:rsidRPr="00E27443">
        <w:t>various</w:t>
      </w:r>
      <w:r w:rsidR="00C63F8F" w:rsidRPr="00E27443">
        <w:t xml:space="preserve"> </w:t>
      </w:r>
      <w:r w:rsidRPr="00E27443">
        <w:t>training</w:t>
      </w:r>
      <w:r w:rsidR="00C63F8F" w:rsidRPr="00E27443">
        <w:t xml:space="preserve"> </w:t>
      </w:r>
      <w:r w:rsidRPr="00E27443">
        <w:t>elements.</w:t>
      </w:r>
      <w:r w:rsidR="00C63F8F" w:rsidRPr="00E27443">
        <w:t xml:space="preserve"> </w:t>
      </w:r>
    </w:p>
    <w:p w:rsidR="00321ADA" w:rsidRPr="00E27443" w:rsidRDefault="00213753" w:rsidP="00213753">
      <w:pPr>
        <w:pStyle w:val="H1G"/>
      </w:pPr>
      <w:r w:rsidRPr="00E27443">
        <w:tab/>
      </w:r>
      <w:r w:rsidRPr="00E27443">
        <w:tab/>
      </w:r>
      <w:bookmarkStart w:id="8" w:name="_Toc290623292"/>
      <w:r w:rsidR="00321ADA" w:rsidRPr="00E27443">
        <w:t>Article</w:t>
      </w:r>
      <w:r w:rsidR="00C63F8F" w:rsidRPr="00E27443">
        <w:t xml:space="preserve"> </w:t>
      </w:r>
      <w:r w:rsidR="00321ADA" w:rsidRPr="00E27443">
        <w:t>8</w:t>
      </w:r>
      <w:r w:rsidR="00E75253">
        <w:t xml:space="preserve">: </w:t>
      </w:r>
      <w:r w:rsidR="00321ADA" w:rsidRPr="00E27443">
        <w:t>Awareness-raising</w:t>
      </w:r>
      <w:bookmarkEnd w:id="8"/>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On</w:t>
      </w:r>
      <w:r w:rsidR="00C63F8F" w:rsidRPr="00E27443">
        <w:t xml:space="preserve"> </w:t>
      </w:r>
      <w:r w:rsidRPr="00E27443">
        <w:t>1</w:t>
      </w:r>
      <w:r w:rsidR="00C63F8F" w:rsidRPr="00E27443">
        <w:t xml:space="preserve"> </w:t>
      </w:r>
      <w:r w:rsidRPr="00E27443">
        <w:t>January</w:t>
      </w:r>
      <w:r w:rsidR="00C63F8F" w:rsidRPr="00E27443">
        <w:t xml:space="preserve"> </w:t>
      </w:r>
      <w:r w:rsidRPr="00E27443">
        <w:t>2006,</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established</w:t>
      </w:r>
      <w:r w:rsidR="00C63F8F" w:rsidRPr="00E27443">
        <w:t xml:space="preserve"> </w:t>
      </w:r>
      <w:r w:rsidRPr="00E27443">
        <w:t>an</w:t>
      </w:r>
      <w:r w:rsidR="00C63F8F" w:rsidRPr="00E27443">
        <w:t xml:space="preserve"> </w:t>
      </w:r>
      <w:r w:rsidRPr="00E27443">
        <w:t>authority</w:t>
      </w:r>
      <w:r w:rsidR="00C63F8F" w:rsidRPr="00E27443">
        <w:t xml:space="preserve"> </w:t>
      </w:r>
      <w:r w:rsidRPr="00E27443">
        <w:t>that</w:t>
      </w:r>
      <w:r w:rsidR="00C63F8F" w:rsidRPr="00E27443">
        <w:t xml:space="preserve"> </w:t>
      </w:r>
      <w:r w:rsidRPr="00E27443">
        <w:t>was</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co-ordinate</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CE1615">
        <w:t>the</w:t>
      </w:r>
      <w:r w:rsidR="00C63F8F" w:rsidRPr="00CE1615">
        <w:t xml:space="preserve"> </w:t>
      </w:r>
      <w:r w:rsidRPr="00E27443">
        <w:rPr>
          <w:i/>
        </w:rPr>
        <w:t>Swedish</w:t>
      </w:r>
      <w:r w:rsidR="00C63F8F" w:rsidRPr="00E27443">
        <w:rPr>
          <w:i/>
        </w:rPr>
        <w:t xml:space="preserve"> </w:t>
      </w:r>
      <w:r w:rsidRPr="00E27443">
        <w:rPr>
          <w:i/>
        </w:rPr>
        <w:t>Agency</w:t>
      </w:r>
      <w:r w:rsidR="00C63F8F" w:rsidRPr="00E27443">
        <w:rPr>
          <w:i/>
        </w:rPr>
        <w:t xml:space="preserve"> </w:t>
      </w:r>
      <w:r w:rsidRPr="00E27443">
        <w:rPr>
          <w:i/>
        </w:rPr>
        <w:t>for</w:t>
      </w:r>
      <w:r w:rsidR="00C63F8F" w:rsidRPr="00E27443">
        <w:rPr>
          <w:i/>
        </w:rPr>
        <w:t xml:space="preserve"> </w:t>
      </w:r>
      <w:r w:rsidRPr="00E27443">
        <w:rPr>
          <w:i/>
        </w:rPr>
        <w:t>Disability</w:t>
      </w:r>
      <w:r w:rsidR="00C63F8F" w:rsidRPr="00E27443">
        <w:rPr>
          <w:i/>
        </w:rPr>
        <w:t xml:space="preserve"> </w:t>
      </w:r>
      <w:r w:rsidRPr="00E27443">
        <w:rPr>
          <w:i/>
        </w:rPr>
        <w:t>Policy</w:t>
      </w:r>
      <w:r w:rsidR="00C63F8F" w:rsidRPr="00E27443">
        <w:rPr>
          <w:i/>
        </w:rPr>
        <w:t xml:space="preserve"> </w:t>
      </w:r>
      <w:r w:rsidRPr="00E27443">
        <w:rPr>
          <w:i/>
        </w:rPr>
        <w:t>Coordination</w:t>
      </w:r>
      <w:r w:rsidR="00C63F8F" w:rsidRPr="00E27443">
        <w:rPr>
          <w:i/>
        </w:rPr>
        <w:t xml:space="preserve"> </w:t>
      </w:r>
      <w:r w:rsidRPr="00E27443">
        <w:t>(</w:t>
      </w:r>
      <w:r w:rsidRPr="00E27443">
        <w:rPr>
          <w:i/>
        </w:rPr>
        <w:t>Handisam</w:t>
      </w:r>
      <w:r w:rsidRPr="00E27443">
        <w:t>).</w:t>
      </w:r>
      <w:r w:rsidR="00C63F8F" w:rsidRPr="00E27443">
        <w:t xml:space="preserve"> </w:t>
      </w:r>
      <w:r w:rsidRPr="00E27443">
        <w:t>The</w:t>
      </w:r>
      <w:r w:rsidR="00C63F8F" w:rsidRPr="00E27443">
        <w:t xml:space="preserve"> </w:t>
      </w:r>
      <w:r w:rsidRPr="00E27443">
        <w:t>Agency</w:t>
      </w:r>
      <w:r w:rsidR="00C63F8F" w:rsidRPr="00E27443">
        <w:t xml:space="preserve"> </w:t>
      </w:r>
      <w:r w:rsidRPr="00E27443">
        <w:t>provides</w:t>
      </w:r>
      <w:r w:rsidR="00C63F8F" w:rsidRPr="00E27443">
        <w:t xml:space="preserve"> </w:t>
      </w:r>
      <w:r w:rsidRPr="00E27443">
        <w:t>support</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The</w:t>
      </w:r>
      <w:r w:rsidR="00C63F8F" w:rsidRPr="00E27443">
        <w:t xml:space="preserve"> </w:t>
      </w:r>
      <w:r w:rsidRPr="00E27443">
        <w:t>Agency</w:t>
      </w:r>
      <w:r w:rsidR="00C63F8F" w:rsidRPr="00E27443">
        <w:t>’</w:t>
      </w:r>
      <w:r w:rsidRPr="00E27443">
        <w:t>s</w:t>
      </w:r>
      <w:r w:rsidR="00C63F8F" w:rsidRPr="00E27443">
        <w:t xml:space="preserve"> </w:t>
      </w:r>
      <w:r w:rsidRPr="00E27443">
        <w:t>assignment</w:t>
      </w:r>
      <w:r w:rsidR="00C63F8F" w:rsidRPr="00E27443">
        <w:t xml:space="preserve"> </w:t>
      </w:r>
      <w:r w:rsidRPr="00E27443">
        <w:t>within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accessibility</w:t>
      </w:r>
      <w:r w:rsidR="00C63F8F" w:rsidRPr="00E27443">
        <w:t xml:space="preserve"> </w:t>
      </w:r>
      <w:r w:rsidRPr="00E27443">
        <w:t>entails</w:t>
      </w:r>
      <w:r w:rsidR="00C63F8F" w:rsidRPr="00E27443">
        <w:t xml:space="preserve"> </w:t>
      </w:r>
      <w:r w:rsidRPr="00E27443">
        <w:t>stimulating</w:t>
      </w:r>
      <w:r w:rsidR="00C63F8F" w:rsidRPr="00E27443">
        <w:t xml:space="preserve"> </w:t>
      </w:r>
      <w:r w:rsidRPr="00E27443">
        <w:t>and</w:t>
      </w:r>
      <w:r w:rsidR="00C63F8F" w:rsidRPr="00E27443">
        <w:t xml:space="preserve"> </w:t>
      </w:r>
      <w:r w:rsidRPr="00E27443">
        <w:t>driving</w:t>
      </w:r>
      <w:r w:rsidR="00C63F8F" w:rsidRPr="00E27443">
        <w:t xml:space="preserve"> </w:t>
      </w:r>
      <w:r w:rsidRPr="00E27443">
        <w:t>through</w:t>
      </w:r>
      <w:r w:rsidR="00C63F8F" w:rsidRPr="00E27443">
        <w:t xml:space="preserve"> </w:t>
      </w:r>
      <w:r w:rsidRPr="00E27443">
        <w:t>developments</w:t>
      </w:r>
      <w:r w:rsidR="00C63F8F" w:rsidRPr="00E27443">
        <w:t xml:space="preserve"> </w:t>
      </w:r>
      <w:r w:rsidRPr="00E27443">
        <w:t>aimed</w:t>
      </w:r>
      <w:r w:rsidR="00C63F8F" w:rsidRPr="00E27443">
        <w:t xml:space="preserve"> </w:t>
      </w:r>
      <w:r w:rsidRPr="00E27443">
        <w:t>at</w:t>
      </w:r>
      <w:r w:rsidR="00C63F8F" w:rsidRPr="00E27443">
        <w:t xml:space="preserve"> </w:t>
      </w:r>
      <w:r w:rsidRPr="00E27443">
        <w:t>achieving</w:t>
      </w:r>
      <w:r w:rsidR="00C63F8F" w:rsidRPr="00E27443">
        <w:t xml:space="preserve"> </w:t>
      </w:r>
      <w:r w:rsidRPr="00E27443">
        <w:t>a</w:t>
      </w:r>
      <w:r w:rsidR="00C63F8F" w:rsidRPr="00E27443">
        <w:t xml:space="preserve"> </w:t>
      </w:r>
      <w:r w:rsidRPr="00E27443">
        <w:t>more</w:t>
      </w:r>
      <w:r w:rsidR="00C63F8F" w:rsidRPr="00E27443">
        <w:t xml:space="preserve"> </w:t>
      </w:r>
      <w:r w:rsidRPr="00E27443">
        <w:t>accessible</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following</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authorities,</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other</w:t>
      </w:r>
      <w:r w:rsidR="00C63F8F" w:rsidRPr="00E27443">
        <w:t xml:space="preserve"> </w:t>
      </w:r>
      <w:r w:rsidRPr="00E27443">
        <w:t>players</w:t>
      </w:r>
      <w:r w:rsidR="00C63F8F" w:rsidRPr="00E27443">
        <w:t xml:space="preserve"> </w:t>
      </w:r>
      <w:r w:rsidRPr="00E27443">
        <w:t>in</w:t>
      </w:r>
      <w:r w:rsidR="00C63F8F" w:rsidRPr="00E27443">
        <w:t xml:space="preserve"> </w:t>
      </w:r>
      <w:r w:rsidRPr="00E27443">
        <w:t>society</w:t>
      </w:r>
      <w:r w:rsidR="00C63F8F" w:rsidRPr="00E27443">
        <w:t xml:space="preserve"> </w:t>
      </w:r>
      <w:r w:rsidRPr="00E27443">
        <w:t>in</w:t>
      </w:r>
      <w:r w:rsidR="00C63F8F" w:rsidRPr="00E27443">
        <w:t xml:space="preserve"> </w:t>
      </w:r>
      <w:r w:rsidRPr="00E27443">
        <w:t>respect</w:t>
      </w:r>
      <w:r w:rsidR="00C63F8F" w:rsidRPr="00E27443">
        <w:t xml:space="preserve"> </w:t>
      </w:r>
      <w:r w:rsidRPr="00E27443">
        <w:t>of</w:t>
      </w:r>
      <w:r w:rsidR="00C63F8F" w:rsidRPr="00E27443">
        <w:t xml:space="preserve"> </w:t>
      </w:r>
      <w:r w:rsidRPr="00E27443">
        <w:t>accessibility.</w:t>
      </w:r>
      <w:r w:rsidR="00C63F8F" w:rsidRPr="00E27443">
        <w:t xml:space="preserve"> </w:t>
      </w:r>
      <w:r w:rsidRPr="00E27443">
        <w:t>Through</w:t>
      </w:r>
      <w:r w:rsidR="00C63F8F" w:rsidRPr="00E27443">
        <w:t xml:space="preserve"> </w:t>
      </w:r>
      <w:r w:rsidRPr="00E27443">
        <w:t>its</w:t>
      </w:r>
      <w:r w:rsidR="00C63F8F" w:rsidRPr="00E27443">
        <w:t xml:space="preserve"> </w:t>
      </w:r>
      <w:r w:rsidRPr="00E27443">
        <w:t>co-ordination</w:t>
      </w:r>
      <w:r w:rsidR="00C63F8F" w:rsidRPr="00E27443">
        <w:t xml:space="preserve"> </w:t>
      </w:r>
      <w:r w:rsidRPr="00E27443">
        <w:t>work,</w:t>
      </w:r>
      <w:r w:rsidR="00C63F8F" w:rsidRPr="00E27443">
        <w:t xml:space="preserve"> </w:t>
      </w:r>
      <w:r w:rsidRPr="00E27443">
        <w:t>Handisam</w:t>
      </w:r>
      <w:r w:rsidR="00C63F8F" w:rsidRPr="00E27443">
        <w:t xml:space="preserve"> </w:t>
      </w:r>
      <w:r w:rsidRPr="00E27443">
        <w:t>will</w:t>
      </w:r>
      <w:r w:rsidR="00C63F8F" w:rsidRPr="00E27443">
        <w:t xml:space="preserve"> </w:t>
      </w:r>
      <w:r w:rsidRPr="00E27443">
        <w:t>also</w:t>
      </w:r>
      <w:r w:rsidR="00C63F8F" w:rsidRPr="00E27443">
        <w:t xml:space="preserve"> </w:t>
      </w:r>
      <w:r w:rsidRPr="00E27443">
        <w:t>help</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to</w:t>
      </w:r>
      <w:r w:rsidR="00C63F8F" w:rsidRPr="00E27443">
        <w:t xml:space="preserve"> </w:t>
      </w:r>
      <w:r w:rsidRPr="00E27443">
        <w:t>fulfil</w:t>
      </w:r>
      <w:r w:rsidR="00C63F8F" w:rsidRPr="00E27443">
        <w:t xml:space="preserve"> </w:t>
      </w:r>
      <w:r w:rsidRPr="00E27443">
        <w:t>its</w:t>
      </w:r>
      <w:r w:rsidR="00C63F8F" w:rsidRPr="00E27443">
        <w:t xml:space="preserve"> </w:t>
      </w:r>
      <w:r w:rsidRPr="00E27443">
        <w:t>undertakings</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w:t>
      </w:r>
      <w:r w:rsidR="00C63F8F" w:rsidRPr="00E27443">
        <w:t xml:space="preserve"> </w:t>
      </w:r>
      <w:r w:rsidRPr="00E27443">
        <w:t>protection</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p>
    <w:p w:rsidR="00321ADA" w:rsidRPr="00E27443" w:rsidRDefault="00321ADA" w:rsidP="00E75253">
      <w:pPr>
        <w:pStyle w:val="SingleTxtG"/>
        <w:numPr>
          <w:ilvl w:val="0"/>
          <w:numId w:val="20"/>
        </w:numPr>
        <w:tabs>
          <w:tab w:val="left" w:pos="1843"/>
        </w:tabs>
        <w:ind w:left="1134" w:firstLine="0"/>
      </w:pPr>
      <w:r w:rsidRPr="00E27443">
        <w:t>During</w:t>
      </w:r>
      <w:r w:rsidR="00C63F8F" w:rsidRPr="00E27443">
        <w:t xml:space="preserve"> </w:t>
      </w:r>
      <w:r w:rsidRPr="00E27443">
        <w:t>2010,</w:t>
      </w:r>
      <w:r w:rsidR="00C63F8F" w:rsidRPr="00E27443">
        <w:t xml:space="preserve"> </w:t>
      </w:r>
      <w:r w:rsidRPr="00E27443">
        <w:t>Handisam</w:t>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by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to</w:t>
      </w:r>
      <w:r w:rsidR="00C63F8F" w:rsidRPr="00E27443">
        <w:t xml:space="preserve"> </w:t>
      </w:r>
      <w:r w:rsidRPr="00E27443">
        <w:t>support</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in</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UN</w:t>
      </w:r>
      <w:r w:rsidR="00C63F8F" w:rsidRPr="00E27443">
        <w:t>’</w:t>
      </w:r>
      <w:r w:rsidRPr="00E27443">
        <w:t>s</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During</w:t>
      </w:r>
      <w:r w:rsidR="00C63F8F" w:rsidRPr="00E27443">
        <w:t xml:space="preserve"> </w:t>
      </w:r>
      <w:r w:rsidRPr="00E27443">
        <w:t>the</w:t>
      </w:r>
      <w:r w:rsidR="00C63F8F" w:rsidRPr="00E27443">
        <w:t xml:space="preserve"> </w:t>
      </w:r>
      <w:r w:rsidRPr="00E27443">
        <w:t>autumn,</w:t>
      </w:r>
      <w:r w:rsidR="00C63F8F" w:rsidRPr="00E27443">
        <w:t xml:space="preserve"> </w:t>
      </w:r>
      <w:r w:rsidRPr="00E27443">
        <w:t>Handisam</w:t>
      </w:r>
      <w:r w:rsidR="00C63F8F" w:rsidRPr="00E27443">
        <w:t xml:space="preserve"> </w:t>
      </w:r>
      <w:r w:rsidRPr="00E27443">
        <w:t>has</w:t>
      </w:r>
      <w:r w:rsidR="00C63F8F" w:rsidRPr="00E27443">
        <w:t xml:space="preserve"> </w:t>
      </w:r>
      <w:r w:rsidRPr="00E27443">
        <w:t>conducted</w:t>
      </w:r>
      <w:r w:rsidR="00C63F8F" w:rsidRPr="00E27443">
        <w:t xml:space="preserve"> </w:t>
      </w:r>
      <w:r w:rsidRPr="00E27443">
        <w:t>11</w:t>
      </w:r>
      <w:r w:rsidR="00C63F8F" w:rsidRPr="00E27443">
        <w:t xml:space="preserve"> </w:t>
      </w:r>
      <w:r w:rsidRPr="00E27443">
        <w:t>regional</w:t>
      </w:r>
      <w:r w:rsidR="00C63F8F" w:rsidRPr="00E27443">
        <w:t xml:space="preserve"> </w:t>
      </w:r>
      <w:r w:rsidRPr="00E27443">
        <w:t>conferences</w:t>
      </w:r>
      <w:r w:rsidR="00C63F8F" w:rsidRPr="00E27443">
        <w:t xml:space="preserve"> </w:t>
      </w:r>
      <w:r w:rsidRPr="00E27443">
        <w:t>in</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The</w:t>
      </w:r>
      <w:r w:rsidR="00C63F8F" w:rsidRPr="00E27443">
        <w:t xml:space="preserve"> </w:t>
      </w:r>
      <w:r w:rsidRPr="00E27443">
        <w:t>Agency</w:t>
      </w:r>
      <w:r w:rsidR="00C63F8F" w:rsidRPr="00E27443">
        <w:t xml:space="preserve"> </w:t>
      </w:r>
      <w:r w:rsidRPr="00E27443">
        <w:t>will</w:t>
      </w:r>
      <w:r w:rsidR="00C63F8F" w:rsidRPr="00E27443">
        <w:t xml:space="preserve"> </w:t>
      </w:r>
      <w:r w:rsidRPr="00E27443">
        <w:t>also</w:t>
      </w:r>
      <w:r w:rsidR="00C63F8F" w:rsidRPr="00E27443">
        <w:t xml:space="preserve"> </w:t>
      </w:r>
      <w:r w:rsidRPr="00E27443">
        <w:t>develop</w:t>
      </w:r>
      <w:r w:rsidR="00C63F8F" w:rsidRPr="00E27443">
        <w:t xml:space="preserve"> </w:t>
      </w:r>
      <w:r w:rsidRPr="00E27443">
        <w:t>method</w:t>
      </w:r>
      <w:r w:rsidR="00C63F8F" w:rsidRPr="00E27443">
        <w:t xml:space="preserve"> </w:t>
      </w:r>
      <w:r w:rsidRPr="00E27443">
        <w:t>material</w:t>
      </w:r>
      <w:r w:rsidR="00C63F8F" w:rsidRPr="00E27443">
        <w:t xml:space="preserve"> </w:t>
      </w:r>
      <w:r w:rsidRPr="00E27443">
        <w:t>regarding</w:t>
      </w:r>
      <w:r w:rsidR="00C63F8F" w:rsidRPr="00E27443">
        <w:t xml:space="preserve"> </w:t>
      </w:r>
      <w:r w:rsidRPr="00E27443">
        <w:t>how</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can</w:t>
      </w:r>
      <w:r w:rsidR="00C63F8F" w:rsidRPr="00E27443">
        <w:t xml:space="preserve"> </w:t>
      </w:r>
      <w:r w:rsidRPr="00E27443">
        <w:t>work</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The</w:t>
      </w:r>
      <w:r w:rsidR="00C63F8F" w:rsidRPr="00E27443">
        <w:t xml:space="preserve"> </w:t>
      </w:r>
      <w:r w:rsidRPr="00E27443">
        <w:t>conferences</w:t>
      </w:r>
      <w:r w:rsidR="00C63F8F" w:rsidRPr="00E27443">
        <w:t xml:space="preserve"> </w:t>
      </w:r>
      <w:r w:rsidRPr="00E27443">
        <w:t>have</w:t>
      </w:r>
      <w:r w:rsidR="00C63F8F" w:rsidRPr="00E27443">
        <w:t xml:space="preserve"> </w:t>
      </w:r>
      <w:r w:rsidRPr="00E27443">
        <w:t>been</w:t>
      </w:r>
      <w:r w:rsidR="00C63F8F" w:rsidRPr="00E27443">
        <w:t xml:space="preserve"> </w:t>
      </w:r>
      <w:r w:rsidRPr="00E27443">
        <w:t>implemented</w:t>
      </w:r>
      <w:r w:rsidR="00C63F8F" w:rsidRPr="00E27443">
        <w:t xml:space="preserve"> </w:t>
      </w:r>
      <w:r w:rsidRPr="00E27443">
        <w:t>in</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Swedish</w:t>
      </w:r>
      <w:r w:rsidR="00C63F8F" w:rsidRPr="00E27443">
        <w:t xml:space="preserve"> </w:t>
      </w:r>
      <w:r w:rsidRPr="00E27443">
        <w:t>Disability</w:t>
      </w:r>
      <w:r w:rsidR="00C63F8F" w:rsidRPr="00E27443">
        <w:t xml:space="preserve"> </w:t>
      </w:r>
      <w:r w:rsidRPr="00E27443">
        <w:t>Federation</w:t>
      </w:r>
      <w:r w:rsidR="00C63F8F" w:rsidRPr="00E27443">
        <w:t>’</w:t>
      </w:r>
      <w:r w:rsidRPr="00E27443">
        <w:t>s</w:t>
      </w:r>
      <w:r w:rsidR="00C63F8F" w:rsidRPr="00E27443">
        <w:t xml:space="preserve"> </w:t>
      </w:r>
      <w:r w:rsidRPr="00E27443">
        <w:t>Agenda</w:t>
      </w:r>
      <w:r w:rsidR="00C63F8F" w:rsidRPr="00E27443">
        <w:t xml:space="preserve"> </w:t>
      </w:r>
      <w:r w:rsidRPr="00E27443">
        <w:t>50</w:t>
      </w:r>
      <w:r w:rsidR="00C63F8F" w:rsidRPr="00E27443">
        <w:t xml:space="preserve"> </w:t>
      </w:r>
      <w:r w:rsidRPr="00E27443">
        <w:t>project</w:t>
      </w:r>
      <w:r w:rsidR="00C63F8F" w:rsidRPr="00E27443">
        <w:t xml:space="preserve"> </w:t>
      </w:r>
      <w:r w:rsidRPr="00E27443">
        <w:t>and</w:t>
      </w:r>
      <w:r w:rsidR="00C63F8F" w:rsidRPr="00E27443">
        <w:t xml:space="preserve"> </w:t>
      </w:r>
      <w:r w:rsidRPr="00E27443">
        <w:t>with</w:t>
      </w:r>
      <w:r w:rsidR="00C63F8F" w:rsidRPr="00E27443">
        <w:t xml:space="preserve"> </w:t>
      </w:r>
      <w:r w:rsidRPr="00E27443">
        <w:t>the</w:t>
      </w:r>
      <w:r w:rsidR="00C63F8F" w:rsidRPr="00E27443">
        <w:t xml:space="preserve"> </w:t>
      </w:r>
      <w:r w:rsidRPr="00E27443">
        <w:t>Swedish</w:t>
      </w:r>
      <w:r w:rsidR="00C63F8F" w:rsidRPr="00E27443">
        <w:t xml:space="preserve"> </w:t>
      </w:r>
      <w:r w:rsidRPr="00E27443">
        <w:t>Association</w:t>
      </w:r>
      <w:r w:rsidR="00C63F8F" w:rsidRPr="00E27443">
        <w:t xml:space="preserve"> </w:t>
      </w:r>
      <w:r w:rsidRPr="00E27443">
        <w:t>of</w:t>
      </w:r>
      <w:r w:rsidR="00C63F8F" w:rsidRPr="00E27443">
        <w:t xml:space="preserve"> </w:t>
      </w:r>
      <w:r w:rsidRPr="00E27443">
        <w:t>Local</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Regions</w:t>
      </w:r>
      <w:r w:rsidR="00C63F8F" w:rsidRPr="00E27443">
        <w:t xml:space="preserve"> </w:t>
      </w:r>
      <w:r w:rsidRPr="00E27443">
        <w:t>(SALAR).</w:t>
      </w:r>
      <w:r w:rsidR="00FB0BD4" w:rsidRPr="00E27443">
        <w:rPr>
          <w:rStyle w:val="FootnoteReference"/>
        </w:rPr>
        <w:footnoteReference w:id="22"/>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rPr>
          <w:i/>
        </w:rPr>
        <w:t>Swedish</w:t>
      </w:r>
      <w:r w:rsidR="00C63F8F" w:rsidRPr="00E27443">
        <w:rPr>
          <w:i/>
        </w:rPr>
        <w:t xml:space="preserve"> </w:t>
      </w:r>
      <w:r w:rsidRPr="00E27443">
        <w:rPr>
          <w:i/>
        </w:rPr>
        <w:t>Disability</w:t>
      </w:r>
      <w:r w:rsidR="00C63F8F" w:rsidRPr="00E27443">
        <w:rPr>
          <w:i/>
        </w:rPr>
        <w:t xml:space="preserve"> </w:t>
      </w:r>
      <w:r w:rsidRPr="00E27443">
        <w:rPr>
          <w:i/>
        </w:rPr>
        <w:t>Federation</w:t>
      </w:r>
      <w:r w:rsidR="00C63F8F" w:rsidRPr="00E27443">
        <w:t xml:space="preserve"> </w:t>
      </w:r>
      <w:r w:rsidRPr="00E27443">
        <w:t>and</w:t>
      </w:r>
      <w:r w:rsidR="00C63F8F" w:rsidRPr="00E27443">
        <w:t xml:space="preserve"> </w:t>
      </w:r>
      <w:r w:rsidRPr="00E27443">
        <w:t>others</w:t>
      </w:r>
      <w:r w:rsidR="00FB0BD4" w:rsidRPr="00E27443">
        <w:rPr>
          <w:rStyle w:val="FootnoteReference"/>
        </w:rPr>
        <w:footnoteReference w:id="23"/>
      </w:r>
      <w:r w:rsidR="00C63F8F" w:rsidRPr="00E27443">
        <w:t xml:space="preserve"> </w:t>
      </w:r>
      <w:r w:rsidRPr="00E27443">
        <w:t>are</w:t>
      </w:r>
      <w:r w:rsidR="00C63F8F" w:rsidRPr="00E27443">
        <w:t xml:space="preserve"> </w:t>
      </w:r>
      <w:r w:rsidRPr="00E27443">
        <w:t>conducting</w:t>
      </w:r>
      <w:r w:rsidR="00C63F8F" w:rsidRPr="00E27443">
        <w:t xml:space="preserve"> </w:t>
      </w:r>
      <w:r w:rsidRPr="00E27443">
        <w:t>a</w:t>
      </w:r>
      <w:r w:rsidR="00C63F8F" w:rsidRPr="00E27443">
        <w:t xml:space="preserve"> </w:t>
      </w:r>
      <w:r w:rsidRPr="00E27443">
        <w:t>project</w:t>
      </w:r>
      <w:r w:rsidR="00C63F8F" w:rsidRPr="00E27443">
        <w:t xml:space="preserve"> </w:t>
      </w:r>
      <w:r w:rsidRPr="00E27443">
        <w:t>using</w:t>
      </w:r>
      <w:r w:rsidR="00C63F8F" w:rsidRPr="00E27443">
        <w:t xml:space="preserve"> </w:t>
      </w:r>
      <w:r w:rsidRPr="00E27443">
        <w:t>funds</w:t>
      </w:r>
      <w:r w:rsidR="00C63F8F" w:rsidRPr="00E27443">
        <w:t xml:space="preserve"> </w:t>
      </w:r>
      <w:r w:rsidRPr="00E27443">
        <w:t>from</w:t>
      </w:r>
      <w:r w:rsidR="00C63F8F" w:rsidRPr="00E27443">
        <w:t xml:space="preserve"> </w:t>
      </w:r>
      <w:r w:rsidRPr="00E27443">
        <w:t>the</w:t>
      </w:r>
      <w:r w:rsidR="00C63F8F" w:rsidRPr="00E27443">
        <w:t xml:space="preserve"> </w:t>
      </w:r>
      <w:r w:rsidRPr="00E27443">
        <w:t>Swedish</w:t>
      </w:r>
      <w:r w:rsidR="00C63F8F" w:rsidRPr="00E27443">
        <w:t xml:space="preserve"> </w:t>
      </w:r>
      <w:r w:rsidRPr="00E27443">
        <w:t>Inheritance</w:t>
      </w:r>
      <w:r w:rsidR="00C63F8F" w:rsidRPr="00E27443">
        <w:t xml:space="preserve"> </w:t>
      </w:r>
      <w:r w:rsidRPr="00E27443">
        <w:t>Fund</w:t>
      </w:r>
      <w:r w:rsidR="00FB0BD4" w:rsidRPr="00E27443">
        <w:rPr>
          <w:rStyle w:val="FootnoteReference"/>
        </w:rPr>
        <w:footnoteReference w:id="24"/>
      </w:r>
      <w:r w:rsidR="00C63F8F" w:rsidRPr="00E27443">
        <w:t xml:space="preserve"> – </w:t>
      </w:r>
      <w:r w:rsidRPr="00E27443">
        <w:t>Agenda</w:t>
      </w:r>
      <w:r w:rsidR="00C63F8F" w:rsidRPr="00E27443">
        <w:t xml:space="preserve"> </w:t>
      </w:r>
      <w:r w:rsidRPr="00E27443">
        <w:t>50.</w:t>
      </w:r>
      <w:r w:rsidR="00C63F8F" w:rsidRPr="00E27443">
        <w:t xml:space="preserve"> </w:t>
      </w:r>
      <w:r w:rsidRPr="00E27443">
        <w:t>The</w:t>
      </w:r>
      <w:r w:rsidR="00C63F8F" w:rsidRPr="00E27443">
        <w:t xml:space="preserve"> </w:t>
      </w:r>
      <w:r w:rsidRPr="00E27443">
        <w:t>project</w:t>
      </w:r>
      <w:r w:rsidR="00C63F8F" w:rsidRPr="00E27443">
        <w:t xml:space="preserve"> </w:t>
      </w:r>
      <w:r w:rsidRPr="00E27443">
        <w:t>will</w:t>
      </w:r>
      <w:r w:rsidR="00C63F8F" w:rsidRPr="00E27443">
        <w:t xml:space="preserve"> </w:t>
      </w:r>
      <w:r w:rsidRPr="00E27443">
        <w:t>work</w:t>
      </w:r>
      <w:r w:rsidR="00C63F8F" w:rsidRPr="00E27443">
        <w:t xml:space="preserve"> </w:t>
      </w:r>
      <w:r w:rsidRPr="00E27443">
        <w:t>towards</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project</w:t>
      </w:r>
      <w:r w:rsidR="00C63F8F" w:rsidRPr="00E27443">
        <w:t xml:space="preserve"> </w:t>
      </w:r>
      <w:r w:rsidRPr="00E27443">
        <w:t>is</w:t>
      </w:r>
      <w:r w:rsidR="00C63F8F" w:rsidRPr="00E27443">
        <w:t xml:space="preserve"> </w:t>
      </w:r>
      <w:r w:rsidRPr="00E27443">
        <w:t>aimed</w:t>
      </w:r>
      <w:r w:rsidR="00C63F8F" w:rsidRPr="00E27443">
        <w:t xml:space="preserve"> </w:t>
      </w:r>
      <w:r w:rsidRPr="00E27443">
        <w:t>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disability</w:t>
      </w:r>
      <w:r w:rsidR="00C63F8F" w:rsidRPr="00E27443">
        <w:t xml:space="preserve"> </w:t>
      </w:r>
      <w:r w:rsidRPr="00E27443">
        <w:t>organisations</w:t>
      </w:r>
      <w:r w:rsidR="00C63F8F" w:rsidRPr="00E27443">
        <w:t xml:space="preserve"> </w:t>
      </w:r>
      <w:r w:rsidRPr="00E27443">
        <w:t>nationally</w:t>
      </w:r>
      <w:r w:rsidR="00C63F8F" w:rsidRPr="00E27443">
        <w:t xml:space="preserve"> </w:t>
      </w:r>
      <w:r w:rsidRPr="00E27443">
        <w:t>and</w:t>
      </w:r>
      <w:r w:rsidR="00C63F8F" w:rsidRPr="00E27443">
        <w:t xml:space="preserve"> </w:t>
      </w:r>
      <w:r w:rsidRPr="00E27443">
        <w:t>to</w:t>
      </w:r>
      <w:r w:rsidR="00C63F8F" w:rsidRPr="00E27443">
        <w:t xml:space="preserve"> </w:t>
      </w:r>
      <w:r w:rsidRPr="00E27443">
        <w:t>decision-makers</w:t>
      </w:r>
      <w:r w:rsidR="00C63F8F" w:rsidRPr="00E27443">
        <w:t xml:space="preserve"> </w:t>
      </w:r>
      <w:r w:rsidRPr="00E27443">
        <w:t>and</w:t>
      </w:r>
      <w:r w:rsidR="00C63F8F" w:rsidRPr="00E27443">
        <w:t xml:space="preserve"> </w:t>
      </w:r>
      <w:r w:rsidRPr="00E27443">
        <w:t>personnel</w:t>
      </w:r>
      <w:r w:rsidR="00C63F8F" w:rsidRPr="00E27443">
        <w:t xml:space="preserve"> </w:t>
      </w:r>
      <w:r w:rsidRPr="00E27443">
        <w:t>groups</w:t>
      </w:r>
      <w:r w:rsidR="00C63F8F" w:rsidRPr="00E27443">
        <w:t xml:space="preserve"> </w:t>
      </w:r>
      <w:r w:rsidRPr="00E27443">
        <w:t>in</w:t>
      </w:r>
      <w:r w:rsidR="00C63F8F" w:rsidRPr="00E27443">
        <w:t xml:space="preserve"> </w:t>
      </w:r>
      <w:r w:rsidRPr="00E27443">
        <w:t>counties,</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and</w:t>
      </w:r>
      <w:r w:rsidR="00C63F8F" w:rsidRPr="00E27443">
        <w:t xml:space="preserve"> </w:t>
      </w:r>
      <w:r w:rsidRPr="00E27443">
        <w:t>municipalities,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at</w:t>
      </w:r>
      <w:r w:rsidR="00C63F8F" w:rsidRPr="00E27443">
        <w:t xml:space="preserve"> </w:t>
      </w:r>
      <w:r w:rsidRPr="00E27443">
        <w:t>State</w:t>
      </w:r>
      <w:r w:rsidR="00C63F8F" w:rsidRPr="00E27443">
        <w:t xml:space="preserve"> </w:t>
      </w:r>
      <w:r w:rsidRPr="00E27443">
        <w:t>authorities.</w:t>
      </w:r>
      <w:r w:rsidR="00C63F8F" w:rsidRPr="00E27443">
        <w:t xml:space="preserve"> </w:t>
      </w:r>
      <w:r w:rsidRPr="00E27443">
        <w:t>With</w:t>
      </w:r>
      <w:r w:rsidR="00C63F8F" w:rsidRPr="00E27443">
        <w:t xml:space="preserve"> </w:t>
      </w:r>
      <w:r w:rsidRPr="00E27443">
        <w:t>the</w:t>
      </w:r>
      <w:r w:rsidR="00C63F8F" w:rsidRPr="00E27443">
        <w:t xml:space="preserve"> </w:t>
      </w:r>
      <w:r w:rsidRPr="00E27443">
        <w:t>support</w:t>
      </w:r>
      <w:r w:rsidR="00C63F8F" w:rsidRPr="00E27443">
        <w:t xml:space="preserve"> </w:t>
      </w:r>
      <w:r w:rsidRPr="00E27443">
        <w:t>of</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training</w:t>
      </w:r>
      <w:r w:rsidR="00C63F8F" w:rsidRPr="00E27443">
        <w:t xml:space="preserve"> </w:t>
      </w:r>
      <w:r w:rsidRPr="00E27443">
        <w:t>material,</w:t>
      </w:r>
      <w:r w:rsidR="00C63F8F" w:rsidRPr="00E27443">
        <w:t xml:space="preserve"> </w:t>
      </w:r>
      <w:r w:rsidRPr="00E27443">
        <w:t>at</w:t>
      </w:r>
      <w:r w:rsidR="00C63F8F" w:rsidRPr="00E27443">
        <w:t xml:space="preserve"> </w:t>
      </w:r>
      <w:r w:rsidRPr="00E27443">
        <w:t>meetings,</w:t>
      </w:r>
      <w:r w:rsidR="00C63F8F" w:rsidRPr="00E27443">
        <w:t xml:space="preserve"> </w:t>
      </w:r>
      <w:r w:rsidRPr="00E27443">
        <w:t>seminars,</w:t>
      </w:r>
      <w:r w:rsidR="00C63F8F" w:rsidRPr="00E27443">
        <w:t xml:space="preserve"> </w:t>
      </w:r>
      <w:r w:rsidRPr="00E27443">
        <w:t>courses</w:t>
      </w:r>
      <w:r w:rsidR="00C63F8F" w:rsidRPr="00E27443">
        <w:t xml:space="preserve"> </w:t>
      </w:r>
      <w:r w:rsidRPr="00E27443">
        <w:t>and</w:t>
      </w:r>
      <w:r w:rsidR="00C63F8F" w:rsidRPr="00E27443">
        <w:t xml:space="preserve"> </w:t>
      </w:r>
      <w:r w:rsidRPr="00E27443">
        <w:t>study</w:t>
      </w:r>
      <w:r w:rsidR="00C63F8F" w:rsidRPr="00E27443">
        <w:t xml:space="preserve"> </w:t>
      </w:r>
      <w:r w:rsidRPr="00E27443">
        <w:t>groups</w:t>
      </w:r>
      <w:r w:rsidR="00C63F8F" w:rsidRPr="00E27443">
        <w:t xml:space="preserve"> </w:t>
      </w:r>
      <w:r w:rsidRPr="00E27443">
        <w:t>throughout</w:t>
      </w:r>
      <w:r w:rsidR="00C63F8F" w:rsidRPr="00E27443">
        <w:t xml:space="preserve"> </w:t>
      </w:r>
      <w:r w:rsidRPr="00E27443">
        <w:t>the</w:t>
      </w:r>
      <w:r w:rsidR="00C63F8F" w:rsidRPr="00E27443">
        <w:t xml:space="preserve"> </w:t>
      </w:r>
      <w:r w:rsidRPr="00E27443">
        <w:t>country,</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is</w:t>
      </w:r>
      <w:r w:rsidR="00C63F8F" w:rsidRPr="00E27443">
        <w:t xml:space="preserve"> </w:t>
      </w:r>
      <w:r w:rsidRPr="00E27443">
        <w:t>provided</w:t>
      </w:r>
      <w:r w:rsidR="00C63F8F" w:rsidRPr="00E27443">
        <w:t xml:space="preserve"> </w:t>
      </w:r>
      <w:r w:rsidRPr="00E27443">
        <w:t>to</w:t>
      </w:r>
      <w:r w:rsidR="00C63F8F" w:rsidRPr="00E27443">
        <w:t xml:space="preserve"> </w:t>
      </w:r>
      <w:r w:rsidRPr="00E27443">
        <w:t>learn</w:t>
      </w:r>
      <w:r w:rsidR="00C63F8F" w:rsidRPr="00E27443">
        <w:t xml:space="preserve"> </w:t>
      </w:r>
      <w:r w:rsidRPr="00E27443">
        <w:t>more</w:t>
      </w:r>
      <w:r w:rsidR="00C63F8F" w:rsidRPr="00E27443">
        <w:t xml:space="preserve"> </w:t>
      </w:r>
      <w:r w:rsidRPr="00E27443">
        <w:t>about</w:t>
      </w:r>
      <w:r w:rsidR="00C63F8F" w:rsidRPr="00E27443">
        <w:t xml:space="preserve"> </w:t>
      </w:r>
      <w:r w:rsidRPr="00E27443">
        <w:t>the</w:t>
      </w:r>
      <w:r w:rsidR="00C63F8F" w:rsidRPr="00E27443">
        <w:t xml:space="preserve"> </w:t>
      </w:r>
      <w:r w:rsidRPr="00E27443">
        <w:t>content</w:t>
      </w:r>
      <w:r w:rsidR="00C63F8F" w:rsidRPr="00E27443">
        <w:t xml:space="preserve"> </w:t>
      </w:r>
      <w:r w:rsidRPr="00E27443">
        <w:t>and</w:t>
      </w:r>
      <w:r w:rsidR="00C63F8F" w:rsidRPr="00E27443">
        <w:t xml:space="preserve"> </w:t>
      </w:r>
      <w:r w:rsidRPr="00E27443">
        <w:t>meaning</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how</w:t>
      </w:r>
      <w:r w:rsidR="00C63F8F" w:rsidRPr="00E27443">
        <w:t xml:space="preserve"> </w:t>
      </w:r>
      <w:r w:rsidRPr="00E27443">
        <w:t>it</w:t>
      </w:r>
      <w:r w:rsidR="00C63F8F" w:rsidRPr="00E27443">
        <w:t xml:space="preserve"> </w:t>
      </w:r>
      <w:r w:rsidRPr="00E27443">
        <w:t>can</w:t>
      </w:r>
      <w:r w:rsidR="00C63F8F" w:rsidRPr="00E27443">
        <w:t xml:space="preserve"> </w:t>
      </w:r>
      <w:r w:rsidRPr="00E27443">
        <w:t>be</w:t>
      </w:r>
      <w:r w:rsidR="00C63F8F" w:rsidRPr="00E27443">
        <w:t xml:space="preserve"> </w:t>
      </w:r>
      <w:r w:rsidRPr="00E27443">
        <w:t>used</w:t>
      </w:r>
      <w:r w:rsidR="00C63F8F" w:rsidRPr="00E27443">
        <w:t xml:space="preserve"> </w:t>
      </w:r>
      <w:r w:rsidRPr="00E27443">
        <w:t>to</w:t>
      </w:r>
      <w:r w:rsidR="00C63F8F" w:rsidRPr="00E27443">
        <w:t xml:space="preserve"> </w:t>
      </w:r>
      <w:r w:rsidRPr="00E27443">
        <w:t>influence</w:t>
      </w:r>
      <w:r w:rsidR="00C63F8F" w:rsidRPr="00E27443">
        <w:t xml:space="preserve"> </w:t>
      </w:r>
      <w:r w:rsidRPr="00E27443">
        <w:t>the</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various</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A</w:t>
      </w:r>
      <w:r w:rsidR="00C63F8F" w:rsidRPr="00E27443">
        <w:t xml:space="preserve"> </w:t>
      </w:r>
      <w:r w:rsidRPr="00E27443">
        <w:t>central</w:t>
      </w:r>
      <w:r w:rsidR="00C63F8F" w:rsidRPr="00E27443">
        <w:t xml:space="preserve"> </w:t>
      </w:r>
      <w:r w:rsidRPr="00E27443">
        <w:t>issue</w:t>
      </w:r>
      <w:r w:rsidR="00C63F8F" w:rsidRPr="00E27443">
        <w:t xml:space="preserve"> </w:t>
      </w:r>
      <w:r w:rsidRPr="00E27443">
        <w:t>for</w:t>
      </w:r>
      <w:r w:rsidR="00C63F8F" w:rsidRPr="00E27443">
        <w:t xml:space="preserve"> </w:t>
      </w:r>
      <w:r w:rsidRPr="00E27443">
        <w:t>promoting</w:t>
      </w:r>
      <w:r w:rsidR="00C63F8F" w:rsidRPr="00E27443">
        <w:t xml:space="preserve"> </w:t>
      </w:r>
      <w:r w:rsidRPr="00E27443">
        <w:t>equality</w:t>
      </w:r>
      <w:r w:rsidR="00C63F8F" w:rsidRPr="00E27443">
        <w:t xml:space="preserve"> </w:t>
      </w:r>
      <w:r w:rsidRPr="00E27443">
        <w:t>is</w:t>
      </w:r>
      <w:r w:rsidR="00C63F8F" w:rsidRPr="00E27443">
        <w:t xml:space="preserve"> </w:t>
      </w:r>
      <w:r w:rsidRPr="00E27443">
        <w:t>to</w:t>
      </w:r>
      <w:r w:rsidR="00C63F8F" w:rsidRPr="00E27443">
        <w:t xml:space="preserve"> </w:t>
      </w:r>
      <w:r w:rsidRPr="00E27443">
        <w:t>increase</w:t>
      </w:r>
      <w:r w:rsidR="00C63F8F" w:rsidRPr="00E27443">
        <w:t xml:space="preserve"> </w:t>
      </w:r>
      <w:r w:rsidRPr="00E27443">
        <w:t>knowledge</w:t>
      </w:r>
      <w:r w:rsidR="00C63F8F" w:rsidRPr="00E27443">
        <w:t xml:space="preserve"> </w:t>
      </w:r>
      <w:r w:rsidRPr="00E27443">
        <w:t>among</w:t>
      </w:r>
      <w:r w:rsidR="00C63F8F" w:rsidRPr="00E27443">
        <w:t xml:space="preserve"> </w:t>
      </w:r>
      <w:r w:rsidRPr="00E27443">
        <w:t>the</w:t>
      </w:r>
      <w:r w:rsidR="00C63F8F" w:rsidRPr="00E27443">
        <w:t xml:space="preserve"> </w:t>
      </w:r>
      <w:r w:rsidRPr="00E27443">
        <w:t>general</w:t>
      </w:r>
      <w:r w:rsidR="00C63F8F" w:rsidRPr="00E27443">
        <w:t xml:space="preserve"> </w:t>
      </w:r>
      <w:r w:rsidRPr="00E27443">
        <w:t>public</w:t>
      </w:r>
      <w:r w:rsidR="00C63F8F" w:rsidRPr="00E27443">
        <w:t xml:space="preserve"> </w:t>
      </w:r>
      <w:r w:rsidRPr="00E27443">
        <w:t>about</w:t>
      </w:r>
      <w:r w:rsidR="00C63F8F" w:rsidRPr="00E27443">
        <w:t xml:space="preserve"> </w:t>
      </w:r>
      <w:r w:rsidRPr="00E27443">
        <w:t>all</w:t>
      </w:r>
      <w:r w:rsidR="00C63F8F" w:rsidRPr="00E27443">
        <w:t xml:space="preserve"> </w:t>
      </w:r>
      <w:r w:rsidRPr="00E27443">
        <w:t>forms</w:t>
      </w:r>
      <w:r w:rsidR="00C63F8F" w:rsidRPr="00E27443">
        <w:t xml:space="preserve"> </w:t>
      </w:r>
      <w:r w:rsidRPr="00E27443">
        <w:t>of</w:t>
      </w:r>
      <w:r w:rsidR="00C63F8F" w:rsidRPr="00E27443">
        <w:t xml:space="preserve"> </w:t>
      </w:r>
      <w:r w:rsidRPr="00E27443">
        <w:t>disability.</w:t>
      </w:r>
      <w:r w:rsidR="00C63F8F" w:rsidRPr="00E27443">
        <w:t xml:space="preserve"> </w:t>
      </w:r>
      <w:r w:rsidRPr="00E27443">
        <w:t>Increased</w:t>
      </w:r>
      <w:r w:rsidR="00C63F8F" w:rsidRPr="00E27443">
        <w:t xml:space="preserve"> </w:t>
      </w:r>
      <w:r w:rsidRPr="00E27443">
        <w:t>knowledge</w:t>
      </w:r>
      <w:r w:rsidR="00C63F8F" w:rsidRPr="00E27443">
        <w:t xml:space="preserve"> </w:t>
      </w:r>
      <w:r w:rsidRPr="00E27443">
        <w:t>can</w:t>
      </w:r>
      <w:r w:rsidR="00C63F8F" w:rsidRPr="00E27443">
        <w:t xml:space="preserve"> </w:t>
      </w:r>
      <w:r w:rsidRPr="00E27443">
        <w:t>also</w:t>
      </w:r>
      <w:r w:rsidR="00C63F8F" w:rsidRPr="00E27443">
        <w:t xml:space="preserve"> </w:t>
      </w:r>
      <w:r w:rsidRPr="00E27443">
        <w:t>help</w:t>
      </w:r>
      <w:r w:rsidR="00C63F8F" w:rsidRPr="00E27443">
        <w:t xml:space="preserve"> </w:t>
      </w:r>
      <w:r w:rsidRPr="00E27443">
        <w:t>to</w:t>
      </w:r>
      <w:r w:rsidR="00C63F8F" w:rsidRPr="00E27443">
        <w:t xml:space="preserve"> </w:t>
      </w:r>
      <w:r w:rsidRPr="00E27443">
        <w:t>change</w:t>
      </w:r>
      <w:r w:rsidR="00C63F8F" w:rsidRPr="00E27443">
        <w:t xml:space="preserve"> </w:t>
      </w:r>
      <w:r w:rsidRPr="00E27443">
        <w:t>attitudes.</w:t>
      </w:r>
      <w:r w:rsidR="00C63F8F" w:rsidRPr="00E27443">
        <w:t xml:space="preserve"> </w:t>
      </w:r>
      <w:r w:rsidRPr="00E27443">
        <w:t>In</w:t>
      </w:r>
      <w:r w:rsidR="00C63F8F" w:rsidRPr="00E27443">
        <w:t xml:space="preserve"> </w:t>
      </w:r>
      <w:r w:rsidRPr="00E27443">
        <w:t>2009,</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commissioned</w:t>
      </w:r>
      <w:r w:rsidR="00C63F8F" w:rsidRPr="00E27443">
        <w:t xml:space="preserve"> </w:t>
      </w:r>
      <w:r w:rsidRPr="00E27443">
        <w:t>Handisam,</w:t>
      </w:r>
      <w:r w:rsidR="00C63F8F" w:rsidRPr="00E27443">
        <w:t xml:space="preserve"> </w:t>
      </w:r>
      <w:r w:rsidRPr="00E27443">
        <w:t>in</w:t>
      </w:r>
      <w:r w:rsidR="00C63F8F" w:rsidRPr="00E27443">
        <w:t xml:space="preserve"> </w:t>
      </w:r>
      <w:r w:rsidRPr="00E27443">
        <w:t>close</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NSPH</w:t>
      </w:r>
      <w:r w:rsidR="00C63F8F" w:rsidRPr="00E27443">
        <w:t xml:space="preserve"> </w:t>
      </w:r>
      <w:r w:rsidRPr="00E27443">
        <w:t>(National</w:t>
      </w:r>
      <w:r w:rsidR="00C63F8F" w:rsidRPr="00E27443">
        <w:t xml:space="preserve"> </w:t>
      </w:r>
      <w:r w:rsidRPr="00E27443">
        <w:t>Association</w:t>
      </w:r>
      <w:r w:rsidR="00C63F8F" w:rsidRPr="00E27443">
        <w:t xml:space="preserve"> </w:t>
      </w:r>
      <w:r w:rsidRPr="00E27443">
        <w:t>for</w:t>
      </w:r>
      <w:r w:rsidR="00C63F8F" w:rsidRPr="00E27443">
        <w:t xml:space="preserve"> </w:t>
      </w:r>
      <w:r w:rsidRPr="00E27443">
        <w:t>Mental</w:t>
      </w:r>
      <w:r w:rsidR="00C63F8F" w:rsidRPr="00E27443">
        <w:t xml:space="preserve"> </w:t>
      </w:r>
      <w:r w:rsidRPr="00E27443">
        <w:t>Health),</w:t>
      </w:r>
      <w:r w:rsidR="00C63F8F" w:rsidRPr="00E27443">
        <w:t xml:space="preserve"> </w:t>
      </w:r>
      <w:r w:rsidRPr="00E27443">
        <w:t>to</w:t>
      </w:r>
      <w:r w:rsidR="00C63F8F" w:rsidRPr="00E27443">
        <w:t xml:space="preserve"> </w:t>
      </w:r>
      <w:r w:rsidRPr="00E27443">
        <w:t>conduct</w:t>
      </w:r>
      <w:r w:rsidR="00C63F8F" w:rsidRPr="00E27443">
        <w:t xml:space="preserve"> </w:t>
      </w:r>
      <w:r w:rsidRPr="00E27443">
        <w:t>a</w:t>
      </w:r>
      <w:r w:rsidR="00C63F8F" w:rsidRPr="00E27443">
        <w:t xml:space="preserve"> </w:t>
      </w:r>
      <w:r w:rsidRPr="00E27443">
        <w:t>nationwide</w:t>
      </w:r>
      <w:r w:rsidR="00C63F8F" w:rsidRPr="00E27443">
        <w:t xml:space="preserve"> </w:t>
      </w:r>
      <w:r w:rsidRPr="00E27443">
        <w:t>programme</w:t>
      </w:r>
      <w:r w:rsidR="00C63F8F" w:rsidRPr="00E27443">
        <w:t xml:space="preserve"> </w:t>
      </w:r>
      <w:r w:rsidRPr="00E27443">
        <w:t>aimed</w:t>
      </w:r>
      <w:r w:rsidR="00C63F8F" w:rsidRPr="00E27443">
        <w:t xml:space="preserve"> </w:t>
      </w:r>
      <w:r w:rsidRPr="00E27443">
        <w:t>at</w:t>
      </w:r>
      <w:r w:rsidR="00C63F8F" w:rsidRPr="00E27443">
        <w:t xml:space="preserve"> </w:t>
      </w:r>
      <w:r w:rsidRPr="00E27443">
        <w:t>increasing</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and</w:t>
      </w:r>
      <w:r w:rsidR="00C63F8F" w:rsidRPr="00E27443">
        <w:t xml:space="preserve"> </w:t>
      </w:r>
      <w:r w:rsidRPr="00E27443">
        <w:t>changing</w:t>
      </w:r>
      <w:r w:rsidR="00C63F8F" w:rsidRPr="00E27443">
        <w:t xml:space="preserve"> </w:t>
      </w:r>
      <w:r w:rsidRPr="00E27443">
        <w:t>attitudes</w:t>
      </w:r>
      <w:r w:rsidR="00C63F8F" w:rsidRPr="00E27443">
        <w:t xml:space="preserve"> </w:t>
      </w:r>
      <w:r w:rsidRPr="00E27443">
        <w:t>towards</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mental</w:t>
      </w:r>
      <w:r w:rsidR="00C63F8F" w:rsidRPr="00E27443">
        <w:t xml:space="preserve"> </w:t>
      </w:r>
      <w:r w:rsidRPr="00E27443">
        <w:t>illness</w:t>
      </w:r>
      <w:r w:rsidR="00C63F8F" w:rsidRPr="00E27443">
        <w:t xml:space="preserve"> </w:t>
      </w:r>
      <w:r w:rsidRPr="00E27443">
        <w:t>or</w:t>
      </w:r>
      <w:r w:rsidR="00C63F8F" w:rsidRPr="00E27443">
        <w:t xml:space="preserve"> </w:t>
      </w:r>
      <w:r w:rsidRPr="00E27443">
        <w:t>mental</w:t>
      </w:r>
      <w:r w:rsidR="00C63F8F" w:rsidRPr="00E27443">
        <w:t xml:space="preserve"> </w:t>
      </w:r>
      <w:r w:rsidRPr="00E27443">
        <w:t>disability.</w:t>
      </w:r>
      <w:r w:rsidR="00C63F8F" w:rsidRPr="00E27443">
        <w:t xml:space="preserve"> </w:t>
      </w:r>
      <w:r w:rsidRPr="00E27443">
        <w:t>Special</w:t>
      </w:r>
      <w:r w:rsidR="00C63F8F" w:rsidRPr="00E27443">
        <w:t xml:space="preserve"> </w:t>
      </w:r>
      <w:r w:rsidRPr="00E27443">
        <w:t>activities</w:t>
      </w:r>
      <w:r w:rsidR="00C63F8F" w:rsidRPr="00E27443">
        <w:t xml:space="preserve"> </w:t>
      </w:r>
      <w:r w:rsidRPr="00E27443">
        <w:t>targeted</w:t>
      </w:r>
      <w:r w:rsidR="00C63F8F" w:rsidRPr="00E27443">
        <w:t xml:space="preserve"> </w:t>
      </w:r>
      <w:r w:rsidRPr="00E27443">
        <w:t>at</w:t>
      </w:r>
      <w:r w:rsidR="00C63F8F" w:rsidRPr="00E27443">
        <w:t xml:space="preserve"> </w:t>
      </w:r>
      <w:r w:rsidRPr="00E27443">
        <w:t>employers</w:t>
      </w:r>
      <w:r w:rsidR="00C63F8F" w:rsidRPr="00E27443">
        <w:t xml:space="preserve"> </w:t>
      </w:r>
      <w:r w:rsidRPr="00E27443">
        <w:t>are</w:t>
      </w:r>
      <w:r w:rsidR="00C63F8F" w:rsidRPr="00E27443">
        <w:t xml:space="preserve"> </w:t>
      </w:r>
      <w:r w:rsidRPr="00E27443">
        <w:t>also</w:t>
      </w:r>
      <w:r w:rsidR="00C63F8F" w:rsidRPr="00E27443">
        <w:t xml:space="preserve"> </w:t>
      </w:r>
      <w:r w:rsidRPr="00E27443">
        <w:t>planned</w:t>
      </w:r>
      <w:r w:rsidR="00C63F8F" w:rsidRPr="00E27443">
        <w:t xml:space="preserve"> </w:t>
      </w:r>
      <w:r w:rsidRPr="00E27443">
        <w:t>within</w:t>
      </w:r>
      <w:r w:rsidR="00C63F8F" w:rsidRPr="00E27443">
        <w:t xml:space="preserve"> </w:t>
      </w:r>
      <w:r w:rsidRPr="00E27443">
        <w:t>the</w:t>
      </w:r>
      <w:r w:rsidR="00C63F8F" w:rsidRPr="00E27443">
        <w:t xml:space="preserve"> </w:t>
      </w:r>
      <w:r w:rsidRPr="00E27443">
        <w:t>assignment.</w:t>
      </w:r>
      <w:r w:rsidR="00C63F8F" w:rsidRPr="00E27443">
        <w:t xml:space="preserve"> </w:t>
      </w:r>
      <w:r w:rsidRPr="00E27443">
        <w:t>A</w:t>
      </w:r>
      <w:r w:rsidR="00C63F8F" w:rsidRPr="00E27443">
        <w:t xml:space="preserve"> </w:t>
      </w:r>
      <w:r w:rsidRPr="00E27443">
        <w:t>follow-up</w:t>
      </w:r>
      <w:r w:rsidR="00C63F8F" w:rsidRPr="00E27443">
        <w:t xml:space="preserve"> </w:t>
      </w:r>
      <w:r w:rsidRPr="00E27443">
        <w:t>and</w:t>
      </w:r>
      <w:r w:rsidR="00C63F8F" w:rsidRPr="00E27443">
        <w:t xml:space="preserve"> </w:t>
      </w:r>
      <w:r w:rsidRPr="00E27443">
        <w:t>evaluation</w:t>
      </w:r>
      <w:r w:rsidR="00C63F8F" w:rsidRPr="00E27443">
        <w:t xml:space="preserve"> </w:t>
      </w:r>
      <w:r w:rsidRPr="00E27443">
        <w:t>of</w:t>
      </w:r>
      <w:r w:rsidR="00C63F8F" w:rsidRPr="00E27443">
        <w:t xml:space="preserve"> </w:t>
      </w:r>
      <w:r w:rsidRPr="00E27443">
        <w:t>the</w:t>
      </w:r>
      <w:r w:rsidR="00C63F8F" w:rsidRPr="00E27443">
        <w:t xml:space="preserve"> </w:t>
      </w:r>
      <w:r w:rsidRPr="00E27443">
        <w:t>effects</w:t>
      </w:r>
      <w:r w:rsidR="00C63F8F" w:rsidRPr="00E27443">
        <w:t xml:space="preserve"> </w:t>
      </w:r>
      <w:r w:rsidRPr="00E27443">
        <w:t>of</w:t>
      </w:r>
      <w:r w:rsidR="00C63F8F" w:rsidRPr="00E27443">
        <w:t xml:space="preserve"> </w:t>
      </w:r>
      <w:r w:rsidRPr="00E27443">
        <w:t>the</w:t>
      </w:r>
      <w:r w:rsidR="00C63F8F" w:rsidRPr="00E27443">
        <w:t xml:space="preserve"> </w:t>
      </w:r>
      <w:r w:rsidRPr="00E27443">
        <w:t>assignment</w:t>
      </w:r>
      <w:r w:rsidR="00C63F8F" w:rsidRPr="00E27443">
        <w:t xml:space="preserve"> </w:t>
      </w:r>
      <w:r w:rsidRPr="00E27443">
        <w:t>will</w:t>
      </w:r>
      <w:r w:rsidR="00C63F8F" w:rsidRPr="00E27443">
        <w:t xml:space="preserve"> </w:t>
      </w:r>
      <w:r w:rsidRPr="00E27443">
        <w:t>be</w:t>
      </w:r>
      <w:r w:rsidR="00C63F8F" w:rsidRPr="00E27443">
        <w:t xml:space="preserve"> </w:t>
      </w:r>
      <w:r w:rsidRPr="00E27443">
        <w:t>presented</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not</w:t>
      </w:r>
      <w:r w:rsidR="00C63F8F" w:rsidRPr="00E27443">
        <w:t xml:space="preserve"> </w:t>
      </w:r>
      <w:r w:rsidRPr="00E27443">
        <w:t>later</w:t>
      </w:r>
      <w:r w:rsidR="00C63F8F" w:rsidRPr="00E27443">
        <w:t xml:space="preserve"> </w:t>
      </w:r>
      <w:r w:rsidRPr="00E27443">
        <w:t>than</w:t>
      </w:r>
      <w:r w:rsidR="00C63F8F" w:rsidRPr="00E27443">
        <w:t xml:space="preserve"> </w:t>
      </w:r>
      <w:r w:rsidRPr="00E27443">
        <w:t>1</w:t>
      </w:r>
      <w:r w:rsidR="00C63F8F" w:rsidRPr="00E27443">
        <w:t xml:space="preserve"> </w:t>
      </w:r>
      <w:r w:rsidRPr="00E27443">
        <w:t>June</w:t>
      </w:r>
      <w:r w:rsidR="00C63F8F" w:rsidRPr="00E27443">
        <w:t xml:space="preserve"> </w:t>
      </w:r>
      <w:r w:rsidRPr="00E27443">
        <w:t>2012.</w:t>
      </w:r>
      <w:r w:rsidR="00C63F8F" w:rsidRPr="00E27443">
        <w:t xml:space="preserve"> </w:t>
      </w:r>
      <w:r w:rsidRPr="00E27443">
        <w:t>Special</w:t>
      </w:r>
      <w:r w:rsidR="00C63F8F" w:rsidRPr="00E27443">
        <w:t xml:space="preserve"> </w:t>
      </w:r>
      <w:r w:rsidRPr="00E27443">
        <w:t>activities</w:t>
      </w:r>
      <w:r w:rsidR="00C63F8F" w:rsidRPr="00E27443">
        <w:t xml:space="preserve"> </w:t>
      </w:r>
      <w:r w:rsidRPr="00E27443">
        <w:t>targeted</w:t>
      </w:r>
      <w:r w:rsidR="00C63F8F" w:rsidRPr="00E27443">
        <w:t xml:space="preserve"> </w:t>
      </w:r>
      <w:r w:rsidRPr="00E27443">
        <w:t>at</w:t>
      </w:r>
      <w:r w:rsidR="00C63F8F" w:rsidRPr="00E27443">
        <w:t xml:space="preserve"> </w:t>
      </w:r>
      <w:r w:rsidRPr="00E27443">
        <w:t>working</w:t>
      </w:r>
      <w:r w:rsidR="00C63F8F" w:rsidRPr="00E27443">
        <w:t xml:space="preserve"> </w:t>
      </w:r>
      <w:r w:rsidRPr="00E27443">
        <w:t>life</w:t>
      </w:r>
      <w:r w:rsidR="00C63F8F" w:rsidRPr="00E27443">
        <w:t xml:space="preserve"> </w:t>
      </w:r>
      <w:r w:rsidRPr="00E27443">
        <w:t>are</w:t>
      </w:r>
      <w:r w:rsidR="00C63F8F" w:rsidRPr="00E27443">
        <w:t xml:space="preserve"> </w:t>
      </w:r>
      <w:r w:rsidRPr="00E27443">
        <w:t>also</w:t>
      </w:r>
      <w:r w:rsidR="00C63F8F" w:rsidRPr="00E27443">
        <w:t xml:space="preserve"> </w:t>
      </w:r>
      <w:r w:rsidRPr="00E27443">
        <w:t>planned</w:t>
      </w:r>
      <w:r w:rsidR="00C63F8F" w:rsidRPr="00E27443">
        <w:t xml:space="preserve"> </w:t>
      </w:r>
      <w:r w:rsidRPr="00E27443">
        <w:t>within</w:t>
      </w:r>
      <w:r w:rsidR="00C63F8F" w:rsidRPr="00E27443">
        <w:t xml:space="preserve"> </w:t>
      </w:r>
      <w:r w:rsidRPr="00E27443">
        <w:t>the</w:t>
      </w:r>
      <w:r w:rsidR="00C63F8F" w:rsidRPr="00E27443">
        <w:t xml:space="preserve"> </w:t>
      </w:r>
      <w:r w:rsidRPr="00E27443">
        <w:t>assignment.</w:t>
      </w:r>
    </w:p>
    <w:p w:rsidR="00321ADA" w:rsidRPr="00E27443" w:rsidRDefault="00321ADA" w:rsidP="00E75253">
      <w:pPr>
        <w:pStyle w:val="SingleTxtG"/>
        <w:numPr>
          <w:ilvl w:val="0"/>
          <w:numId w:val="20"/>
        </w:numPr>
        <w:tabs>
          <w:tab w:val="left" w:pos="1843"/>
        </w:tabs>
        <w:ind w:left="1134" w:firstLine="0"/>
      </w:pPr>
      <w:r w:rsidRPr="00E27443">
        <w:t>At</w:t>
      </w:r>
      <w:r w:rsidR="00C63F8F" w:rsidRPr="00E27443">
        <w:t xml:space="preserve"> </w:t>
      </w:r>
      <w:r w:rsidRPr="00E27443">
        <w:t>a</w:t>
      </w:r>
      <w:r w:rsidR="00C63F8F" w:rsidRPr="00E27443">
        <w:t xml:space="preserve"> </w:t>
      </w:r>
      <w:r w:rsidRPr="00E27443">
        <w:t>European</w:t>
      </w:r>
      <w:r w:rsidR="00C63F8F" w:rsidRPr="00E27443">
        <w:t xml:space="preserve"> </w:t>
      </w:r>
      <w:r w:rsidRPr="00E27443">
        <w:t>level,</w:t>
      </w:r>
      <w:r w:rsidR="00C63F8F" w:rsidRPr="00E27443">
        <w:t xml:space="preserve"> </w:t>
      </w:r>
      <w:r w:rsidRPr="00E27443">
        <w:t>the</w:t>
      </w:r>
      <w:r w:rsidR="00C63F8F" w:rsidRPr="00E27443">
        <w:t xml:space="preserve"> </w:t>
      </w:r>
      <w:r w:rsidRPr="00E27443">
        <w:t>European</w:t>
      </w:r>
      <w:r w:rsidR="00C63F8F" w:rsidRPr="00E27443">
        <w:t xml:space="preserve"> </w:t>
      </w:r>
      <w:r w:rsidRPr="00E27443">
        <w:t>Union</w:t>
      </w:r>
      <w:r w:rsidR="00C63F8F" w:rsidRPr="00E27443">
        <w:t xml:space="preserve"> </w:t>
      </w:r>
      <w:r w:rsidRPr="00E27443">
        <w:t>(EU)</w:t>
      </w:r>
      <w:r w:rsidR="00C63F8F" w:rsidRPr="00E27443">
        <w:t xml:space="preserve"> </w:t>
      </w:r>
      <w:r w:rsidRPr="00E27443">
        <w:t>Council</w:t>
      </w:r>
      <w:r w:rsidR="00C63F8F" w:rsidRPr="00E27443">
        <w:t xml:space="preserve"> </w:t>
      </w:r>
      <w:r w:rsidRPr="00E27443">
        <w:t>of</w:t>
      </w:r>
      <w:r w:rsidR="00C63F8F" w:rsidRPr="00E27443">
        <w:t xml:space="preserve"> </w:t>
      </w:r>
      <w:r w:rsidRPr="00E27443">
        <w:t>Ministers</w:t>
      </w:r>
      <w:r w:rsidR="00C63F8F" w:rsidRPr="00E27443">
        <w:t xml:space="preserve"> </w:t>
      </w:r>
      <w:r w:rsidRPr="00E27443">
        <w:t>took</w:t>
      </w:r>
      <w:r w:rsidR="00C63F8F" w:rsidRPr="00E27443">
        <w:t xml:space="preserve"> </w:t>
      </w:r>
      <w:r w:rsidRPr="00E27443">
        <w:t>a</w:t>
      </w:r>
      <w:r w:rsidR="00C63F8F" w:rsidRPr="00E27443">
        <w:t xml:space="preserve"> </w:t>
      </w:r>
      <w:r w:rsidRPr="00E27443">
        <w:t>decision</w:t>
      </w:r>
      <w:r w:rsidR="00C63F8F" w:rsidRPr="00E27443">
        <w:t xml:space="preserve"> </w:t>
      </w:r>
      <w:r w:rsidRPr="00E27443">
        <w:t>in</w:t>
      </w:r>
      <w:r w:rsidR="00C63F8F" w:rsidRPr="00E27443">
        <w:t xml:space="preserve"> </w:t>
      </w:r>
      <w:r w:rsidRPr="00E27443">
        <w:t>principle,</w:t>
      </w:r>
      <w:r w:rsidR="00C63F8F" w:rsidRPr="00E27443">
        <w:t xml:space="preserve"> </w:t>
      </w:r>
      <w:r w:rsidRPr="00E27443">
        <w:t>on</w:t>
      </w:r>
      <w:r w:rsidR="00C63F8F" w:rsidRPr="00E27443">
        <w:t xml:space="preserve"> </w:t>
      </w:r>
      <w:r w:rsidRPr="00E27443">
        <w:t>26</w:t>
      </w:r>
      <w:r w:rsidR="00C63F8F" w:rsidRPr="00E27443">
        <w:t xml:space="preserve"> </w:t>
      </w:r>
      <w:r w:rsidRPr="00E27443">
        <w:t>November</w:t>
      </w:r>
      <w:r w:rsidR="00C63F8F" w:rsidRPr="00E27443">
        <w:t xml:space="preserve"> </w:t>
      </w:r>
      <w:r w:rsidRPr="00E27443">
        <w:t>2009,</w:t>
      </w:r>
      <w:r w:rsidR="00C63F8F" w:rsidRPr="00E27443">
        <w:t xml:space="preserve"> </w:t>
      </w:r>
      <w:r w:rsidRPr="00E27443">
        <w:t>that</w:t>
      </w:r>
      <w:r w:rsidR="00C63F8F" w:rsidRPr="00E27443">
        <w:t xml:space="preserve"> </w:t>
      </w:r>
      <w:r w:rsidRPr="00E27443">
        <w:t>the</w:t>
      </w:r>
      <w:r w:rsidR="00C63F8F" w:rsidRPr="00E27443">
        <w:t xml:space="preserve"> </w:t>
      </w:r>
      <w:r w:rsidRPr="00E27443">
        <w:t>EU</w:t>
      </w:r>
      <w:r w:rsidR="00C63F8F" w:rsidRPr="00E27443">
        <w:t xml:space="preserve"> </w:t>
      </w:r>
      <w:r w:rsidRPr="00E27443">
        <w:t>should</w:t>
      </w:r>
      <w:r w:rsidR="00C63F8F" w:rsidRPr="00E27443">
        <w:t xml:space="preserve"> </w:t>
      </w:r>
      <w:r w:rsidRPr="00E27443">
        <w:t>ratify</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This</w:t>
      </w:r>
      <w:r w:rsidR="00C63F8F" w:rsidRPr="00E27443">
        <w:t xml:space="preserve"> </w:t>
      </w:r>
      <w:r w:rsidRPr="00E27443">
        <w:t>decision</w:t>
      </w:r>
      <w:r w:rsidR="00C63F8F" w:rsidRPr="00E27443">
        <w:t xml:space="preserve"> </w:t>
      </w:r>
      <w:r w:rsidRPr="00E27443">
        <w:t>was</w:t>
      </w:r>
      <w:r w:rsidR="00C63F8F" w:rsidRPr="00E27443">
        <w:t xml:space="preserve"> </w:t>
      </w:r>
      <w:r w:rsidRPr="00E27443">
        <w:t>welcomed</w:t>
      </w:r>
      <w:r w:rsidR="00C63F8F" w:rsidRPr="00E27443">
        <w:t xml:space="preserve"> </w:t>
      </w:r>
      <w:r w:rsidRPr="00E27443">
        <w:t>by</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However,</w:t>
      </w:r>
      <w:r w:rsidR="00C63F8F" w:rsidRPr="00E27443">
        <w:t xml:space="preserve"> </w:t>
      </w:r>
      <w:r w:rsidRPr="00E27443">
        <w:t>this</w:t>
      </w:r>
      <w:r w:rsidR="00C63F8F" w:rsidRPr="00E27443">
        <w:t xml:space="preserve"> </w:t>
      </w:r>
      <w:r w:rsidRPr="00E27443">
        <w:t>can</w:t>
      </w:r>
      <w:r w:rsidR="00C63F8F" w:rsidRPr="00E27443">
        <w:t xml:space="preserve"> </w:t>
      </w:r>
      <w:r w:rsidRPr="00E27443">
        <w:t>only</w:t>
      </w:r>
      <w:r w:rsidR="00C63F8F" w:rsidRPr="00E27443">
        <w:t xml:space="preserve"> </w:t>
      </w:r>
      <w:r w:rsidRPr="00E27443">
        <w:t>take</w:t>
      </w:r>
      <w:r w:rsidR="00C63F8F" w:rsidRPr="00E27443">
        <w:t xml:space="preserve"> </w:t>
      </w:r>
      <w:r w:rsidRPr="00E27443">
        <w:t>place</w:t>
      </w:r>
      <w:r w:rsidR="00C63F8F" w:rsidRPr="00E27443">
        <w:t xml:space="preserve"> </w:t>
      </w:r>
      <w:r w:rsidRPr="00E27443">
        <w:t>after</w:t>
      </w:r>
      <w:r w:rsidR="00C63F8F" w:rsidRPr="00E27443">
        <w:t xml:space="preserve"> </w:t>
      </w:r>
      <w:r w:rsidRPr="00E27443">
        <w:t>a</w:t>
      </w:r>
      <w:r w:rsidR="00C63F8F" w:rsidRPr="00E27443">
        <w:t xml:space="preserve"> “</w:t>
      </w:r>
      <w:r w:rsidRPr="00E27443">
        <w:t>code</w:t>
      </w:r>
      <w:r w:rsidR="00C63F8F" w:rsidRPr="00E27443">
        <w:t xml:space="preserve"> </w:t>
      </w:r>
      <w:r w:rsidRPr="00E27443">
        <w:t>of</w:t>
      </w:r>
      <w:r w:rsidR="00C63F8F" w:rsidRPr="00E27443">
        <w:t xml:space="preserve"> </w:t>
      </w:r>
      <w:r w:rsidRPr="00E27443">
        <w:t>conduct</w:t>
      </w:r>
      <w:r w:rsidR="00C63F8F" w:rsidRPr="00E27443">
        <w:t>”</w:t>
      </w:r>
      <w:r w:rsidR="00FB0BD4" w:rsidRPr="00E27443">
        <w:rPr>
          <w:rStyle w:val="FootnoteReference"/>
        </w:rPr>
        <w:footnoteReference w:id="25"/>
      </w:r>
      <w:r w:rsidR="00C63F8F" w:rsidRPr="00E27443">
        <w:t xml:space="preserve"> </w:t>
      </w:r>
      <w:r w:rsidRPr="00E27443">
        <w:t>has</w:t>
      </w:r>
      <w:r w:rsidR="00C63F8F" w:rsidRPr="00E27443">
        <w:t xml:space="preserve"> </w:t>
      </w:r>
      <w:r w:rsidRPr="00E27443">
        <w:t>been</w:t>
      </w:r>
      <w:r w:rsidR="00C63F8F" w:rsidRPr="00E27443">
        <w:t xml:space="preserve"> </w:t>
      </w:r>
      <w:r w:rsidRPr="00E27443">
        <w:t>drawn</w:t>
      </w:r>
      <w:r w:rsidR="00C63F8F" w:rsidRPr="00E27443">
        <w:t xml:space="preserve"> </w:t>
      </w:r>
      <w:r w:rsidRPr="00E27443">
        <w:t>up.</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a</w:t>
      </w:r>
      <w:r w:rsidR="00C63F8F" w:rsidRPr="00E27443">
        <w:t xml:space="preserve"> </w:t>
      </w:r>
      <w:r w:rsidRPr="00E27443">
        <w:t>Swedish</w:t>
      </w:r>
      <w:r w:rsidR="00C63F8F" w:rsidRPr="00E27443">
        <w:t xml:space="preserve"> </w:t>
      </w:r>
      <w:r w:rsidRPr="00E27443">
        <w:t>initiative</w:t>
      </w:r>
      <w:r w:rsidR="00C63F8F" w:rsidRPr="00E27443">
        <w:t xml:space="preserve"> </w:t>
      </w:r>
      <w:r w:rsidRPr="00E27443">
        <w:t>and</w:t>
      </w:r>
      <w:r w:rsidR="00C63F8F" w:rsidRPr="00E27443">
        <w:t xml:space="preserve"> </w:t>
      </w:r>
      <w:r w:rsidRPr="00E27443">
        <w:t>through</w:t>
      </w:r>
      <w:r w:rsidR="00C63F8F" w:rsidRPr="00E27443">
        <w:t xml:space="preserve"> </w:t>
      </w:r>
      <w:r w:rsidRPr="00E27443">
        <w:t>a</w:t>
      </w:r>
      <w:r w:rsidR="00C63F8F" w:rsidRPr="00E27443">
        <w:t xml:space="preserve"> </w:t>
      </w:r>
      <w:r w:rsidRPr="00E27443">
        <w:t>Nordic</w:t>
      </w:r>
      <w:r w:rsidR="00C63F8F" w:rsidRPr="00E27443">
        <w:t xml:space="preserve"> </w:t>
      </w:r>
      <w:r w:rsidRPr="00E27443">
        <w:t>collaboration,</w:t>
      </w:r>
      <w:r w:rsidR="00C63F8F" w:rsidRPr="00E27443">
        <w:t xml:space="preserve"> </w:t>
      </w:r>
      <w:r w:rsidRPr="00E27443">
        <w:t>a</w:t>
      </w:r>
      <w:r w:rsidR="00C63F8F" w:rsidRPr="00E27443">
        <w:t xml:space="preserve"> </w:t>
      </w:r>
      <w:r w:rsidRPr="00E27443">
        <w:t>conference</w:t>
      </w:r>
      <w:r w:rsidR="00C63F8F" w:rsidRPr="00E27443">
        <w:t xml:space="preserve"> </w:t>
      </w:r>
      <w:r w:rsidRPr="00E27443">
        <w:t>was</w:t>
      </w:r>
      <w:r w:rsidR="00C63F8F" w:rsidRPr="00E27443">
        <w:t xml:space="preserve"> </w:t>
      </w:r>
      <w:r w:rsidRPr="00E27443">
        <w:t>held</w:t>
      </w:r>
      <w:r w:rsidR="00C63F8F" w:rsidRPr="00E27443">
        <w:t xml:space="preserve"> </w:t>
      </w:r>
      <w:r w:rsidRPr="00E27443">
        <w:t>in</w:t>
      </w:r>
      <w:r w:rsidR="00C63F8F" w:rsidRPr="00E27443">
        <w:t xml:space="preserve"> </w:t>
      </w:r>
      <w:r w:rsidRPr="00E27443">
        <w:t>autumn</w:t>
      </w:r>
      <w:r w:rsidR="00C63F8F" w:rsidRPr="00E27443">
        <w:t xml:space="preserve"> </w:t>
      </w:r>
      <w:r w:rsidRPr="00E27443">
        <w:t>2008</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spread</w:t>
      </w:r>
      <w:r w:rsidR="00C63F8F" w:rsidRPr="00E27443">
        <w:t xml:space="preserve"> </w:t>
      </w:r>
      <w:r w:rsidRPr="00E27443">
        <w:t>and</w:t>
      </w:r>
      <w:r w:rsidR="00C63F8F" w:rsidRPr="00E27443">
        <w:t xml:space="preserve"> </w:t>
      </w:r>
      <w:r w:rsidRPr="00E27443">
        <w:t>establish</w:t>
      </w:r>
      <w:r w:rsidR="00C63F8F" w:rsidRPr="00E27443">
        <w:t xml:space="preserve"> </w:t>
      </w:r>
      <w:r w:rsidRPr="00E27443">
        <w:t>knowledge</w:t>
      </w:r>
      <w:r w:rsidR="00C63F8F" w:rsidRPr="00E27443">
        <w:t xml:space="preserve"> </w:t>
      </w:r>
      <w:r w:rsidRPr="00E27443">
        <w:t>throughout</w:t>
      </w:r>
      <w:r w:rsidR="00C63F8F" w:rsidRPr="00E27443">
        <w:t xml:space="preserve"> </w:t>
      </w:r>
      <w:r w:rsidRPr="00E27443">
        <w:t>the</w:t>
      </w:r>
      <w:r w:rsidR="00C63F8F" w:rsidRPr="00E27443">
        <w:t xml:space="preserve"> </w:t>
      </w:r>
      <w:r w:rsidRPr="00E27443">
        <w:t>whole</w:t>
      </w:r>
      <w:r w:rsidR="00C63F8F" w:rsidRPr="00E27443">
        <w:t xml:space="preserve"> </w:t>
      </w:r>
      <w:r w:rsidRPr="00E27443">
        <w:t>of</w:t>
      </w:r>
      <w:r w:rsidR="00C63F8F" w:rsidRPr="00E27443">
        <w:t xml:space="preserve"> </w:t>
      </w:r>
      <w:r w:rsidRPr="00E27443">
        <w:t>Europe</w:t>
      </w:r>
      <w:r w:rsidR="00C63F8F" w:rsidRPr="00E27443">
        <w:t xml:space="preserve"> </w:t>
      </w:r>
      <w:r w:rsidRPr="00E27443">
        <w:t>regarding</w:t>
      </w:r>
      <w:r w:rsidR="00C63F8F" w:rsidRPr="00E27443">
        <w:t xml:space="preserve"> </w:t>
      </w:r>
      <w:r w:rsidRPr="00E27443">
        <w:t>the</w:t>
      </w:r>
      <w:r w:rsidR="00C63F8F" w:rsidRPr="00E27443">
        <w:t xml:space="preserve"> </w:t>
      </w:r>
      <w:r w:rsidRPr="00E27443">
        <w:t>content</w:t>
      </w:r>
      <w:r w:rsidR="00C63F8F" w:rsidRPr="00E27443">
        <w:t xml:space="preserve"> </w:t>
      </w:r>
      <w:r w:rsidRPr="00E27443">
        <w:t>of</w:t>
      </w:r>
      <w:r w:rsidR="00C63F8F" w:rsidRPr="00E27443">
        <w:t xml:space="preserve"> </w:t>
      </w:r>
      <w:r w:rsidRPr="00E27443">
        <w:t>the</w:t>
      </w:r>
      <w:r w:rsidR="00C63F8F" w:rsidRPr="00E27443">
        <w:t xml:space="preserve"> </w:t>
      </w:r>
      <w:r w:rsidRPr="00E27443">
        <w:t>UN</w:t>
      </w:r>
      <w:r w:rsidR="00C63F8F" w:rsidRPr="00E27443">
        <w:t>’</w:t>
      </w:r>
      <w:r w:rsidRPr="00E27443">
        <w:t>s</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and</w:t>
      </w:r>
      <w:r w:rsidR="00C63F8F" w:rsidRPr="00E27443">
        <w:t xml:space="preserve"> </w:t>
      </w:r>
      <w:r w:rsidRPr="00E27443">
        <w:t>to</w:t>
      </w:r>
      <w:r w:rsidR="00C63F8F" w:rsidRPr="00E27443">
        <w:t xml:space="preserve"> </w:t>
      </w:r>
      <w:r w:rsidRPr="00E27443">
        <w:t>encourage</w:t>
      </w:r>
      <w:r w:rsidR="00C63F8F" w:rsidRPr="00E27443">
        <w:t xml:space="preserve"> </w:t>
      </w:r>
      <w:r w:rsidRPr="00E27443">
        <w:t>Member</w:t>
      </w:r>
      <w:r w:rsidR="00C63F8F" w:rsidRPr="00E27443">
        <w:t xml:space="preserve"> </w:t>
      </w:r>
      <w:r w:rsidRPr="00E27443">
        <w:t>States</w:t>
      </w:r>
      <w:r w:rsidR="00C63F8F" w:rsidRPr="00E27443">
        <w:t xml:space="preserve"> </w:t>
      </w:r>
      <w:r w:rsidRPr="00E27443">
        <w:t>that</w:t>
      </w:r>
      <w:r w:rsidR="00C63F8F" w:rsidRPr="00E27443">
        <w:t xml:space="preserve"> </w:t>
      </w:r>
      <w:r w:rsidRPr="00E27443">
        <w:t>have</w:t>
      </w:r>
      <w:r w:rsidR="00C63F8F" w:rsidRPr="00E27443">
        <w:t xml:space="preserve"> </w:t>
      </w:r>
      <w:r w:rsidRPr="00E27443">
        <w:t>not</w:t>
      </w:r>
      <w:r w:rsidR="00C63F8F" w:rsidRPr="00E27443">
        <w:t xml:space="preserve"> </w:t>
      </w:r>
      <w:r w:rsidRPr="00E27443">
        <w:t>yet</w:t>
      </w:r>
      <w:r w:rsidR="00C63F8F" w:rsidRPr="00E27443">
        <w:t xml:space="preserve"> </w:t>
      </w:r>
      <w:r w:rsidRPr="00E27443">
        <w:t>ratified</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to</w:t>
      </w:r>
      <w:r w:rsidR="00C63F8F" w:rsidRPr="00E27443">
        <w:t xml:space="preserve"> </w:t>
      </w:r>
      <w:r w:rsidRPr="00E27443">
        <w:t>work</w:t>
      </w:r>
      <w:r w:rsidR="00C63F8F" w:rsidRPr="00E27443">
        <w:t xml:space="preserve"> </w:t>
      </w:r>
      <w:r w:rsidRPr="00E27443">
        <w:t>towards</w:t>
      </w:r>
      <w:r w:rsidR="00C63F8F" w:rsidRPr="00E27443">
        <w:t xml:space="preserve"> </w:t>
      </w:r>
      <w:r w:rsidRPr="00E27443">
        <w:t>ratification.</w:t>
      </w:r>
      <w:r w:rsidR="00C63F8F" w:rsidRPr="00E27443">
        <w:t xml:space="preserve"> </w:t>
      </w:r>
      <w:r w:rsidRPr="00E27443">
        <w:t>The</w:t>
      </w:r>
      <w:r w:rsidR="00C63F8F" w:rsidRPr="00E27443">
        <w:t xml:space="preserve"> </w:t>
      </w:r>
      <w:r w:rsidRPr="00E27443">
        <w:t>Council</w:t>
      </w:r>
      <w:r w:rsidR="00C63F8F" w:rsidRPr="00E27443">
        <w:t xml:space="preserve"> </w:t>
      </w:r>
      <w:r w:rsidRPr="00E27443">
        <w:t>of</w:t>
      </w:r>
      <w:r w:rsidR="00C63F8F" w:rsidRPr="00E27443">
        <w:t xml:space="preserve"> </w:t>
      </w:r>
      <w:r w:rsidRPr="00E27443">
        <w:t>Europe</w:t>
      </w:r>
      <w:r w:rsidR="00C63F8F" w:rsidRPr="00E27443">
        <w:t>’</w:t>
      </w:r>
      <w:r w:rsidRPr="00E27443">
        <w:t>s</w:t>
      </w:r>
      <w:r w:rsidR="00C63F8F" w:rsidRPr="00E27443">
        <w:t xml:space="preserve"> </w:t>
      </w:r>
      <w:r w:rsidRPr="00E27443">
        <w:t>action</w:t>
      </w:r>
      <w:r w:rsidR="00C63F8F" w:rsidRPr="00E27443">
        <w:t xml:space="preserve"> </w:t>
      </w:r>
      <w:r w:rsidRPr="00E27443">
        <w:t>plan</w:t>
      </w:r>
      <w:r w:rsidR="00FB0BD4" w:rsidRPr="00E27443">
        <w:rPr>
          <w:rStyle w:val="FootnoteReference"/>
        </w:rPr>
        <w:footnoteReference w:id="26"/>
      </w:r>
      <w:r w:rsidR="00C63F8F" w:rsidRPr="00E27443">
        <w:t xml:space="preserve"> </w:t>
      </w:r>
      <w:r w:rsidRPr="00E27443">
        <w:t>was</w:t>
      </w:r>
      <w:r w:rsidR="00C63F8F" w:rsidRPr="00E27443">
        <w:t xml:space="preserve"> </w:t>
      </w:r>
      <w:r w:rsidRPr="00E27443">
        <w:t>presented</w:t>
      </w:r>
      <w:r w:rsidR="00C63F8F" w:rsidRPr="00E27443">
        <w:t xml:space="preserve"> </w:t>
      </w:r>
      <w:r w:rsidRPr="00E27443">
        <w:t>in</w:t>
      </w:r>
      <w:r w:rsidR="00C63F8F" w:rsidRPr="00E27443">
        <w:t xml:space="preserve"> </w:t>
      </w:r>
      <w:r w:rsidRPr="00E27443">
        <w:t>this</w:t>
      </w:r>
      <w:r w:rsidR="00C63F8F" w:rsidRPr="00E27443">
        <w:t xml:space="preserve"> </w:t>
      </w:r>
      <w:r w:rsidRPr="00E27443">
        <w:t>context</w:t>
      </w:r>
      <w:r w:rsidR="00C63F8F" w:rsidRPr="00E27443">
        <w:t xml:space="preserve"> </w:t>
      </w:r>
      <w:r w:rsidRPr="00E27443">
        <w:t>as</w:t>
      </w:r>
      <w:r w:rsidR="00C63F8F" w:rsidRPr="00E27443">
        <w:t xml:space="preserve"> </w:t>
      </w:r>
      <w:r w:rsidRPr="00E27443">
        <w:t>a</w:t>
      </w:r>
      <w:r w:rsidR="00C63F8F" w:rsidRPr="00E27443">
        <w:t xml:space="preserve"> </w:t>
      </w:r>
      <w:r w:rsidRPr="00E27443">
        <w:t>regional</w:t>
      </w:r>
      <w:r w:rsidR="00C63F8F" w:rsidRPr="00E27443">
        <w:t xml:space="preserve"> </w:t>
      </w:r>
      <w:r w:rsidRPr="00E27443">
        <w:t>tool</w:t>
      </w:r>
      <w:r w:rsidR="00C63F8F" w:rsidRPr="00E27443">
        <w:t xml:space="preserve"> </w:t>
      </w:r>
      <w:r w:rsidRPr="00E27443">
        <w:t>to</w:t>
      </w:r>
      <w:r w:rsidR="00C63F8F" w:rsidRPr="00E27443">
        <w:t xml:space="preserve"> </w:t>
      </w:r>
      <w:r w:rsidRPr="00E27443">
        <w:t>be</w:t>
      </w:r>
      <w:r w:rsidR="00C63F8F" w:rsidRPr="00E27443">
        <w:t xml:space="preserve"> </w:t>
      </w:r>
      <w:r w:rsidRPr="00E27443">
        <w:t>used</w:t>
      </w:r>
      <w:r w:rsidR="00C63F8F" w:rsidRPr="00E27443">
        <w:t xml:space="preserve"> </w:t>
      </w:r>
      <w:r w:rsidRPr="00E27443">
        <w:t>in</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Most</w:t>
      </w:r>
      <w:r w:rsidR="00C63F8F" w:rsidRPr="00E27443">
        <w:t xml:space="preserve"> </w:t>
      </w:r>
      <w:r w:rsidRPr="00E27443">
        <w:t>of</w:t>
      </w:r>
      <w:r w:rsidR="00C63F8F" w:rsidRPr="00E27443">
        <w:t xml:space="preserve"> </w:t>
      </w:r>
      <w:r w:rsidRPr="00E27443">
        <w:t>the</w:t>
      </w:r>
      <w:r w:rsidR="00C63F8F" w:rsidRPr="00E27443">
        <w:t xml:space="preserve"> </w:t>
      </w:r>
      <w:r w:rsidRPr="00E27443">
        <w:t>Council</w:t>
      </w:r>
      <w:r w:rsidR="00C63F8F" w:rsidRPr="00E27443">
        <w:t>’</w:t>
      </w:r>
      <w:r w:rsidRPr="00E27443">
        <w:t>s</w:t>
      </w:r>
      <w:r w:rsidR="00C63F8F" w:rsidRPr="00E27443">
        <w:t xml:space="preserve"> </w:t>
      </w:r>
      <w:r w:rsidRPr="00E27443">
        <w:t>Member</w:t>
      </w:r>
      <w:r w:rsidR="00C63F8F" w:rsidRPr="00E27443">
        <w:t xml:space="preserve"> </w:t>
      </w:r>
      <w:r w:rsidRPr="00E27443">
        <w:t>States</w:t>
      </w:r>
      <w:r w:rsidR="00C63F8F" w:rsidRPr="00E27443">
        <w:t xml:space="preserve"> </w:t>
      </w:r>
      <w:r w:rsidRPr="00E27443">
        <w:t>participated</w:t>
      </w:r>
      <w:r w:rsidR="00C63F8F" w:rsidRPr="00E27443">
        <w:t xml:space="preserve"> </w:t>
      </w:r>
      <w:r w:rsidRPr="00E27443">
        <w:t>at</w:t>
      </w:r>
      <w:r w:rsidR="00C63F8F" w:rsidRPr="00E27443">
        <w:t xml:space="preserve"> </w:t>
      </w:r>
      <w:r w:rsidRPr="00E27443">
        <w:t>the</w:t>
      </w:r>
      <w:r w:rsidR="00C63F8F" w:rsidRPr="00E27443">
        <w:t xml:space="preserve"> </w:t>
      </w:r>
      <w:r w:rsidRPr="00E27443">
        <w:t>conference.</w:t>
      </w:r>
    </w:p>
    <w:p w:rsidR="00321ADA" w:rsidRPr="00E27443" w:rsidRDefault="00321ADA" w:rsidP="00E75253">
      <w:pPr>
        <w:pStyle w:val="SingleTxtG"/>
        <w:numPr>
          <w:ilvl w:val="0"/>
          <w:numId w:val="20"/>
        </w:numPr>
        <w:tabs>
          <w:tab w:val="left" w:pos="1843"/>
        </w:tabs>
        <w:ind w:left="1134" w:firstLine="0"/>
      </w:pPr>
      <w:r w:rsidRPr="00E27443">
        <w:t>Under</w:t>
      </w:r>
      <w:r w:rsidR="00C63F8F" w:rsidRPr="00E27443">
        <w:t xml:space="preserve"> </w:t>
      </w:r>
      <w:r w:rsidRPr="00E27443">
        <w:t>the</w:t>
      </w:r>
      <w:r w:rsidR="00C63F8F" w:rsidRPr="00E27443">
        <w:t xml:space="preserve"> </w:t>
      </w:r>
      <w:r w:rsidRPr="00E27443">
        <w:t>Nordic</w:t>
      </w:r>
      <w:r w:rsidR="00C63F8F" w:rsidRPr="00E27443">
        <w:t xml:space="preserve"> </w:t>
      </w:r>
      <w:r w:rsidRPr="00E27443">
        <w:t>Council</w:t>
      </w:r>
      <w:r w:rsidR="00C63F8F" w:rsidRPr="00E27443">
        <w:t xml:space="preserve"> </w:t>
      </w:r>
      <w:r w:rsidRPr="00E27443">
        <w:t>of</w:t>
      </w:r>
      <w:r w:rsidR="00C63F8F" w:rsidRPr="00E27443">
        <w:t xml:space="preserve"> </w:t>
      </w:r>
      <w:r w:rsidRPr="00E27443">
        <w:t>Ministers,</w:t>
      </w:r>
      <w:r w:rsidR="00C63F8F" w:rsidRPr="00E27443">
        <w:t xml:space="preserve"> </w:t>
      </w:r>
      <w:r w:rsidRPr="00E27443">
        <w:t>there</w:t>
      </w:r>
      <w:r w:rsidR="00C63F8F" w:rsidRPr="00E27443">
        <w:t xml:space="preserve"> </w:t>
      </w:r>
      <w:r w:rsidRPr="00E27443">
        <w:t>is</w:t>
      </w:r>
      <w:r w:rsidR="00C63F8F" w:rsidRPr="00E27443">
        <w:t xml:space="preserve"> </w:t>
      </w:r>
      <w:r w:rsidRPr="00E27443">
        <w:t>a</w:t>
      </w:r>
      <w:r w:rsidR="00C63F8F" w:rsidRPr="00E27443">
        <w:t xml:space="preserve"> </w:t>
      </w:r>
      <w:r w:rsidRPr="00E27443">
        <w:t>policy-creating</w:t>
      </w:r>
      <w:r w:rsidR="00C63F8F" w:rsidRPr="00E27443">
        <w:t xml:space="preserve"> </w:t>
      </w:r>
      <w:r w:rsidRPr="00E27443">
        <w:t>and</w:t>
      </w:r>
      <w:r w:rsidR="00C63F8F" w:rsidRPr="00E27443">
        <w:t xml:space="preserve"> </w:t>
      </w:r>
      <w:r w:rsidRPr="00E27443">
        <w:t>advisory</w:t>
      </w:r>
      <w:r w:rsidR="00C63F8F" w:rsidRPr="00E27443">
        <w:t xml:space="preserve"> </w:t>
      </w:r>
      <w:r w:rsidRPr="00E27443">
        <w:t>body,</w:t>
      </w:r>
      <w:r w:rsidR="00C63F8F" w:rsidRPr="00E27443">
        <w:t xml:space="preserve"> </w:t>
      </w:r>
      <w:r w:rsidRPr="00E27443">
        <w:t>the</w:t>
      </w:r>
      <w:r w:rsidR="00C63F8F" w:rsidRPr="00E27443">
        <w:t xml:space="preserve"> </w:t>
      </w:r>
      <w:r w:rsidRPr="00E27443">
        <w:t>Nordic</w:t>
      </w:r>
      <w:r w:rsidR="00C63F8F" w:rsidRPr="00E27443">
        <w:t xml:space="preserve"> </w:t>
      </w:r>
      <w:r w:rsidRPr="00E27443">
        <w:t>Council</w:t>
      </w:r>
      <w:r w:rsidR="00C63F8F" w:rsidRPr="00E27443">
        <w:t xml:space="preserve"> </w:t>
      </w:r>
      <w:r w:rsidRPr="00E27443">
        <w:t>on</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which</w:t>
      </w:r>
      <w:r w:rsidR="00C63F8F" w:rsidRPr="00E27443">
        <w:t xml:space="preserve"> </w:t>
      </w:r>
      <w:r w:rsidRPr="00E27443">
        <w:t>deals</w:t>
      </w:r>
      <w:r w:rsidR="00C63F8F" w:rsidRPr="00E27443">
        <w:t xml:space="preserve"> </w:t>
      </w:r>
      <w:r w:rsidRPr="00E27443">
        <w:t>with</w:t>
      </w:r>
      <w:r w:rsidR="00C63F8F" w:rsidRPr="00E27443">
        <w:t xml:space="preserve"> </w:t>
      </w:r>
      <w:r w:rsidRPr="00E27443">
        <w:t>important</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issues</w:t>
      </w:r>
      <w:r w:rsidR="00C63F8F" w:rsidRPr="00E27443">
        <w:t xml:space="preserve"> </w:t>
      </w:r>
      <w:r w:rsidRPr="00E27443">
        <w:t>on</w:t>
      </w:r>
      <w:r w:rsidR="00C63F8F" w:rsidRPr="00E27443">
        <w:t xml:space="preserve"> </w:t>
      </w:r>
      <w:r w:rsidRPr="00E27443">
        <w:t>both</w:t>
      </w:r>
      <w:r w:rsidR="00C63F8F" w:rsidRPr="00E27443">
        <w:t xml:space="preserve"> </w:t>
      </w:r>
      <w:r w:rsidRPr="00E27443">
        <w:t>the</w:t>
      </w:r>
      <w:r w:rsidR="00C63F8F" w:rsidRPr="00E27443">
        <w:t xml:space="preserve"> </w:t>
      </w:r>
      <w:r w:rsidRPr="00E27443">
        <w:t>Nordic</w:t>
      </w:r>
      <w:r w:rsidR="00C63F8F" w:rsidRPr="00E27443">
        <w:t xml:space="preserve"> </w:t>
      </w:r>
      <w:r w:rsidRPr="00E27443">
        <w:t>and</w:t>
      </w:r>
      <w:r w:rsidR="00C63F8F" w:rsidRPr="00E27443">
        <w:t xml:space="preserve"> </w:t>
      </w:r>
      <w:r w:rsidRPr="00E27443">
        <w:t>national</w:t>
      </w:r>
      <w:r w:rsidR="00C63F8F" w:rsidRPr="00E27443">
        <w:t xml:space="preserve"> </w:t>
      </w:r>
      <w:r w:rsidRPr="00E27443">
        <w:t>political</w:t>
      </w:r>
      <w:r w:rsidR="00C63F8F" w:rsidRPr="00E27443">
        <w:t xml:space="preserve"> </w:t>
      </w:r>
      <w:r w:rsidRPr="00E27443">
        <w:t>agendas.</w:t>
      </w:r>
      <w:r w:rsidR="00C63F8F" w:rsidRPr="00E27443">
        <w:t xml:space="preserve"> </w:t>
      </w:r>
      <w:r w:rsidRPr="00E27443">
        <w:t>The</w:t>
      </w:r>
      <w:r w:rsidR="00C63F8F" w:rsidRPr="00E27443">
        <w:t xml:space="preserve"> </w:t>
      </w:r>
      <w:r w:rsidRPr="00E27443">
        <w:t>Council</w:t>
      </w:r>
      <w:r w:rsidR="00C63F8F" w:rsidRPr="00E27443">
        <w:t xml:space="preserve"> </w:t>
      </w:r>
      <w:r w:rsidRPr="00E27443">
        <w:t>also</w:t>
      </w:r>
      <w:r w:rsidR="00C63F8F" w:rsidRPr="00E27443">
        <w:t xml:space="preserve"> </w:t>
      </w:r>
      <w:r w:rsidRPr="00E27443">
        <w:t>provides</w:t>
      </w:r>
      <w:r w:rsidR="00C63F8F" w:rsidRPr="00E27443">
        <w:t xml:space="preserve"> </w:t>
      </w:r>
      <w:r w:rsidRPr="00E27443">
        <w:t>support</w:t>
      </w:r>
      <w:r w:rsidR="00C63F8F" w:rsidRPr="00E27443">
        <w:t xml:space="preserve"> </w:t>
      </w:r>
      <w:r w:rsidRPr="00E27443">
        <w:t>and</w:t>
      </w:r>
      <w:r w:rsidR="00C63F8F" w:rsidRPr="00E27443">
        <w:t xml:space="preserve"> </w:t>
      </w:r>
      <w:r w:rsidRPr="00E27443">
        <w:t>acts</w:t>
      </w:r>
      <w:r w:rsidR="00C63F8F" w:rsidRPr="00E27443">
        <w:t xml:space="preserve"> </w:t>
      </w:r>
      <w:r w:rsidRPr="00E27443">
        <w:t>as</w:t>
      </w:r>
      <w:r w:rsidR="00C63F8F" w:rsidRPr="00E27443">
        <w:t xml:space="preserve"> </w:t>
      </w:r>
      <w:r w:rsidRPr="00E27443">
        <w:t>a</w:t>
      </w:r>
      <w:r w:rsidR="00C63F8F" w:rsidRPr="00E27443">
        <w:t xml:space="preserve"> </w:t>
      </w:r>
      <w:r w:rsidRPr="00E27443">
        <w:t>source</w:t>
      </w:r>
      <w:r w:rsidR="00C63F8F" w:rsidRPr="00E27443">
        <w:t xml:space="preserve"> </w:t>
      </w:r>
      <w:r w:rsidRPr="00E27443">
        <w:t>of</w:t>
      </w:r>
      <w:r w:rsidR="00C63F8F" w:rsidRPr="00E27443">
        <w:t xml:space="preserve"> </w:t>
      </w:r>
      <w:r w:rsidRPr="00E27443">
        <w:t>information</w:t>
      </w:r>
      <w:r w:rsidR="00C63F8F" w:rsidRPr="00E27443">
        <w:t xml:space="preserve"> </w:t>
      </w:r>
      <w:r w:rsidRPr="00E27443">
        <w:t>for</w:t>
      </w:r>
      <w:r w:rsidR="00C63F8F" w:rsidRPr="00E27443">
        <w:t xml:space="preserve"> </w:t>
      </w:r>
      <w:r w:rsidRPr="00E27443">
        <w:t>the</w:t>
      </w:r>
      <w:r w:rsidR="00C63F8F" w:rsidRPr="00E27443">
        <w:t xml:space="preserve"> </w:t>
      </w:r>
      <w:r w:rsidRPr="00E27443">
        <w:t>various</w:t>
      </w:r>
      <w:r w:rsidR="00C63F8F" w:rsidRPr="00E27443">
        <w:t xml:space="preserve"> </w:t>
      </w:r>
      <w:r w:rsidRPr="00E27443">
        <w:t>sectors</w:t>
      </w:r>
      <w:r w:rsidR="00C63F8F" w:rsidRPr="00E27443">
        <w:t xml:space="preserve"> </w:t>
      </w:r>
      <w:r w:rsidRPr="00E27443">
        <w:t>of</w:t>
      </w:r>
      <w:r w:rsidR="00C63F8F" w:rsidRPr="00E27443">
        <w:t xml:space="preserve"> </w:t>
      </w:r>
      <w:r w:rsidRPr="00E27443">
        <w:t>the</w:t>
      </w:r>
      <w:r w:rsidR="00C63F8F" w:rsidRPr="00E27443">
        <w:t xml:space="preserve"> </w:t>
      </w:r>
      <w:r w:rsidRPr="00E27443">
        <w:t>Nordic</w:t>
      </w:r>
      <w:r w:rsidR="00C63F8F" w:rsidRPr="00E27443">
        <w:t xml:space="preserve"> </w:t>
      </w:r>
      <w:r w:rsidRPr="00E27443">
        <w:t>Council</w:t>
      </w:r>
      <w:r w:rsidR="00C63F8F" w:rsidRPr="00E27443">
        <w:t xml:space="preserve"> </w:t>
      </w:r>
      <w:r w:rsidRPr="00E27443">
        <w:t>of</w:t>
      </w:r>
      <w:r w:rsidR="00C63F8F" w:rsidRPr="00E27443">
        <w:t xml:space="preserve"> </w:t>
      </w:r>
      <w:r w:rsidRPr="00E27443">
        <w:t>Ministers,</w:t>
      </w:r>
      <w:r w:rsidR="00C63F8F" w:rsidRPr="00E27443">
        <w:t xml:space="preserve"> </w:t>
      </w:r>
      <w:r w:rsidRPr="00E27443">
        <w:t>in</w:t>
      </w:r>
      <w:r w:rsidR="00C63F8F" w:rsidRPr="00E27443">
        <w:t xml:space="preserve"> </w:t>
      </w:r>
      <w:r w:rsidRPr="00E27443">
        <w:t>their</w:t>
      </w:r>
      <w:r w:rsidR="00C63F8F" w:rsidRPr="00E27443">
        <w:t xml:space="preserve"> </w:t>
      </w:r>
      <w:r w:rsidRPr="00E27443">
        <w:t>work</w:t>
      </w:r>
      <w:r w:rsidR="00C63F8F" w:rsidRPr="00E27443">
        <w:t xml:space="preserve"> </w:t>
      </w:r>
      <w:r w:rsidRPr="00E27443">
        <w:t>of</w:t>
      </w:r>
      <w:r w:rsidR="00C63F8F" w:rsidRPr="00E27443">
        <w:t xml:space="preserve"> </w:t>
      </w:r>
      <w:r w:rsidRPr="00E27443">
        <w:t>implementing</w:t>
      </w:r>
      <w:r w:rsidR="00C63F8F" w:rsidRPr="00E27443">
        <w:t xml:space="preserve"> </w:t>
      </w:r>
      <w:r w:rsidRPr="00E27443">
        <w:t>a</w:t>
      </w:r>
      <w:r w:rsidR="00C63F8F" w:rsidRPr="00E27443">
        <w:t xml:space="preserve"> </w:t>
      </w:r>
      <w:r w:rsidRPr="00E27443">
        <w:t>disability</w:t>
      </w:r>
      <w:r w:rsidR="00C63F8F" w:rsidRPr="00E27443">
        <w:t xml:space="preserve"> </w:t>
      </w:r>
      <w:r w:rsidRPr="00E27443">
        <w:t>perspective</w:t>
      </w:r>
      <w:r w:rsidR="00C63F8F" w:rsidRPr="00E27443">
        <w:t xml:space="preserve"> </w:t>
      </w:r>
      <w:r w:rsidRPr="00E27443">
        <w:t>in</w:t>
      </w:r>
      <w:r w:rsidR="00C63F8F" w:rsidRPr="00E27443">
        <w:t xml:space="preserve"> </w:t>
      </w:r>
      <w:r w:rsidRPr="00E27443">
        <w:t>the</w:t>
      </w:r>
      <w:r w:rsidR="00C63F8F" w:rsidRPr="00E27443">
        <w:t xml:space="preserve"> </w:t>
      </w:r>
      <w:r w:rsidRPr="00E27443">
        <w:t>operation</w:t>
      </w:r>
      <w:r w:rsidR="00C63F8F" w:rsidRPr="00E27443">
        <w:t>’</w:t>
      </w:r>
      <w:r w:rsidRPr="00E27443">
        <w:t>s</w:t>
      </w:r>
      <w:r w:rsidR="00C63F8F" w:rsidRPr="00E27443">
        <w:t xml:space="preserve"> </w:t>
      </w:r>
      <w:r w:rsidRPr="00E27443">
        <w:t>strategies</w:t>
      </w:r>
      <w:r w:rsidR="00C63F8F" w:rsidRPr="00E27443">
        <w:t xml:space="preserve"> </w:t>
      </w:r>
      <w:r w:rsidRPr="00E27443">
        <w:t>and</w:t>
      </w:r>
      <w:r w:rsidR="00C63F8F" w:rsidRPr="00E27443">
        <w:t xml:space="preserve"> </w:t>
      </w:r>
      <w:r w:rsidRPr="00E27443">
        <w:t>future</w:t>
      </w:r>
      <w:r w:rsidR="00C63F8F" w:rsidRPr="00E27443">
        <w:t xml:space="preserve"> </w:t>
      </w:r>
      <w:r w:rsidRPr="00E27443">
        <w:t>plans.</w:t>
      </w:r>
    </w:p>
    <w:p w:rsidR="00321ADA" w:rsidRPr="00E27443" w:rsidRDefault="00FB0BD4" w:rsidP="00FB0BD4">
      <w:pPr>
        <w:pStyle w:val="H1G"/>
      </w:pPr>
      <w:r w:rsidRPr="00E27443">
        <w:tab/>
      </w:r>
      <w:r w:rsidRPr="00E27443">
        <w:tab/>
      </w:r>
      <w:bookmarkStart w:id="9" w:name="_Toc290623293"/>
      <w:r w:rsidR="00321ADA" w:rsidRPr="00E27443">
        <w:t>Article</w:t>
      </w:r>
      <w:r w:rsidR="00C63F8F" w:rsidRPr="00E27443">
        <w:t xml:space="preserve"> </w:t>
      </w:r>
      <w:r w:rsidR="00321ADA" w:rsidRPr="00E27443">
        <w:t>9</w:t>
      </w:r>
      <w:r w:rsidR="00E75253">
        <w:t xml:space="preserve">: </w:t>
      </w:r>
      <w:r w:rsidR="00321ADA" w:rsidRPr="00E27443">
        <w:t>Accessibility</w:t>
      </w:r>
      <w:bookmarkEnd w:id="9"/>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views</w:t>
      </w:r>
      <w:r w:rsidR="00C63F8F" w:rsidRPr="00E27443">
        <w:t xml:space="preserve"> </w:t>
      </w:r>
      <w:r w:rsidRPr="00E27443">
        <w:t>the</w:t>
      </w:r>
      <w:r w:rsidR="00C63F8F" w:rsidRPr="00E27443">
        <w:t xml:space="preserve"> </w:t>
      </w:r>
      <w:r w:rsidRPr="00E27443">
        <w:t>work</w:t>
      </w:r>
      <w:r w:rsidR="00C63F8F" w:rsidRPr="00E27443">
        <w:t xml:space="preserve"> </w:t>
      </w:r>
      <w:r w:rsidRPr="00E27443">
        <w:t>of</w:t>
      </w:r>
      <w:r w:rsidR="00C63F8F" w:rsidRPr="00E27443">
        <w:t xml:space="preserve"> </w:t>
      </w:r>
      <w:r w:rsidRPr="00E27443">
        <w:t>making</w:t>
      </w:r>
      <w:r w:rsidR="00C63F8F" w:rsidRPr="00E27443">
        <w:t xml:space="preserve"> </w:t>
      </w:r>
      <w:r w:rsidRPr="00E27443">
        <w:t>social</w:t>
      </w:r>
      <w:r w:rsidR="00C63F8F" w:rsidRPr="00E27443">
        <w:t xml:space="preserve"> </w:t>
      </w:r>
      <w:r w:rsidRPr="00E27443">
        <w:t>functions</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as</w:t>
      </w:r>
      <w:r w:rsidR="00C63F8F" w:rsidRPr="00E27443">
        <w:t xml:space="preserve"> </w:t>
      </w:r>
      <w:r w:rsidRPr="00E27443">
        <w:t>a</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work</w:t>
      </w:r>
      <w:r w:rsidR="00C63F8F" w:rsidRPr="00E27443">
        <w:t xml:space="preserve"> </w:t>
      </w:r>
      <w:r w:rsidRPr="00E27443">
        <w:t>towards</w:t>
      </w:r>
      <w:r w:rsidR="00C63F8F" w:rsidRPr="00E27443">
        <w:t xml:space="preserve"> </w:t>
      </w:r>
      <w:r w:rsidRPr="00E27443">
        <w:t>increased</w:t>
      </w:r>
      <w:r w:rsidR="00C63F8F" w:rsidRPr="00E27443">
        <w:t xml:space="preserve"> </w:t>
      </w:r>
      <w:r w:rsidRPr="00E27443">
        <w:t>participation</w:t>
      </w:r>
      <w:r w:rsidR="00C63F8F" w:rsidRPr="00E27443">
        <w:t xml:space="preserve"> </w:t>
      </w:r>
      <w:r w:rsidRPr="00E27443">
        <w:t>and</w:t>
      </w:r>
      <w:r w:rsidR="00C63F8F" w:rsidRPr="00E27443">
        <w:t xml:space="preserve"> </w:t>
      </w:r>
      <w:r w:rsidRPr="00E27443">
        <w:t>equality.</w:t>
      </w:r>
      <w:r w:rsidR="00C63F8F" w:rsidRPr="00E27443">
        <w:t xml:space="preserve"> </w:t>
      </w: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this</w:t>
      </w:r>
      <w:r w:rsidR="00C63F8F" w:rsidRPr="00E27443">
        <w:t xml:space="preserve"> </w:t>
      </w:r>
      <w:r w:rsidRPr="00E27443">
        <w:t>work</w:t>
      </w:r>
      <w:r w:rsidR="00C63F8F" w:rsidRPr="00E27443">
        <w:t xml:space="preserve"> </w:t>
      </w:r>
      <w:r w:rsidRPr="00E27443">
        <w:t>has</w:t>
      </w:r>
      <w:r w:rsidR="00C63F8F" w:rsidRPr="00E27443">
        <w:t xml:space="preserve"> </w:t>
      </w:r>
      <w:r w:rsidRPr="00E27443">
        <w:t>been</w:t>
      </w:r>
      <w:r w:rsidR="00C63F8F" w:rsidRPr="00E27443">
        <w:t xml:space="preserve"> </w:t>
      </w:r>
      <w:r w:rsidRPr="00E27443">
        <w:t>intensified</w:t>
      </w:r>
      <w:r w:rsidR="00C63F8F" w:rsidRPr="00E27443">
        <w:t xml:space="preserve"> </w:t>
      </w:r>
      <w:r w:rsidRPr="00E27443">
        <w:t>in</w:t>
      </w:r>
      <w:r w:rsidR="00C63F8F" w:rsidRPr="00E27443">
        <w:t xml:space="preserve"> </w:t>
      </w:r>
      <w:r w:rsidRPr="00E27443">
        <w:t>the</w:t>
      </w:r>
      <w:r w:rsidR="00C63F8F" w:rsidRPr="00E27443">
        <w:t xml:space="preserve"> </w:t>
      </w:r>
      <w:r w:rsidRPr="00E27443">
        <w:t>fields</w:t>
      </w:r>
      <w:r w:rsidR="00C63F8F" w:rsidRPr="00E27443">
        <w:t xml:space="preserve"> </w:t>
      </w:r>
      <w:r w:rsidRPr="00E27443">
        <w:t>of</w:t>
      </w:r>
      <w:r w:rsidR="00C63F8F" w:rsidRPr="00E27443">
        <w:t xml:space="preserve"> </w:t>
      </w:r>
      <w:r w:rsidRPr="00E27443">
        <w:t>an</w:t>
      </w:r>
      <w:r w:rsidR="00C63F8F" w:rsidRPr="00E27443">
        <w:t xml:space="preserve"> </w:t>
      </w:r>
      <w:r w:rsidRPr="00E27443">
        <w:t>accessible</w:t>
      </w:r>
      <w:r w:rsidR="00C63F8F" w:rsidRPr="00E27443">
        <w:t xml:space="preserve"> </w:t>
      </w:r>
      <w:r w:rsidRPr="00E27443">
        <w:t>civil</w:t>
      </w:r>
      <w:r w:rsidR="00C63F8F" w:rsidRPr="00E27443">
        <w:t xml:space="preserve"> </w:t>
      </w:r>
      <w:r w:rsidRPr="00E27443">
        <w:t>service,</w:t>
      </w:r>
      <w:r w:rsidR="00C63F8F" w:rsidRPr="00E27443">
        <w:t xml:space="preserve"> </w:t>
      </w:r>
      <w:r w:rsidRPr="00E27443">
        <w:t>easily</w:t>
      </w:r>
      <w:r w:rsidR="00C63F8F" w:rsidRPr="00E27443">
        <w:t xml:space="preserve"> </w:t>
      </w:r>
      <w:r w:rsidRPr="00E27443">
        <w:t>eliminated</w:t>
      </w:r>
      <w:r w:rsidR="00C63F8F" w:rsidRPr="00E27443">
        <w:t xml:space="preserve"> </w:t>
      </w:r>
      <w:r w:rsidRPr="00E27443">
        <w:t>obstacles</w:t>
      </w:r>
      <w:r w:rsidR="00C63F8F" w:rsidRPr="00E27443">
        <w:t xml:space="preserve"> </w:t>
      </w:r>
      <w:r w:rsidRPr="00E27443">
        <w:t>in</w:t>
      </w:r>
      <w:r w:rsidR="00C63F8F" w:rsidRPr="00E27443">
        <w:t xml:space="preserve"> </w:t>
      </w:r>
      <w:r w:rsidRPr="00E27443">
        <w:t>the</w:t>
      </w:r>
      <w:r w:rsidR="00C63F8F" w:rsidRPr="00E27443">
        <w:t xml:space="preserve"> </w:t>
      </w:r>
      <w:r w:rsidRPr="00E27443">
        <w:t>built</w:t>
      </w:r>
      <w:r w:rsidR="00C63F8F" w:rsidRPr="00E27443">
        <w:t xml:space="preserve"> </w:t>
      </w:r>
      <w:r w:rsidRPr="00E27443">
        <w:t>environment</w:t>
      </w:r>
      <w:r w:rsidR="00C63F8F" w:rsidRPr="00E27443">
        <w:t xml:space="preserve"> </w:t>
      </w:r>
      <w:r w:rsidRPr="00E27443">
        <w:t>and</w:t>
      </w:r>
      <w:r w:rsidR="00C63F8F" w:rsidRPr="00E27443">
        <w:t xml:space="preserve"> </w:t>
      </w:r>
      <w:r w:rsidRPr="00E27443">
        <w:t>accessible</w:t>
      </w:r>
      <w:r w:rsidR="00C63F8F" w:rsidRPr="00E27443">
        <w:t xml:space="preserve"> </w:t>
      </w:r>
      <w:r w:rsidRPr="00E27443">
        <w:t>public</w:t>
      </w:r>
      <w:r w:rsidR="00C63F8F" w:rsidRPr="00E27443">
        <w:t xml:space="preserve"> </w:t>
      </w:r>
      <w:r w:rsidRPr="00E27443">
        <w:t>transport.</w:t>
      </w:r>
    </w:p>
    <w:p w:rsidR="00321ADA" w:rsidRPr="00E27443" w:rsidRDefault="00321ADA" w:rsidP="00E75253">
      <w:pPr>
        <w:pStyle w:val="SingleTxtG"/>
        <w:numPr>
          <w:ilvl w:val="0"/>
          <w:numId w:val="20"/>
        </w:numPr>
        <w:tabs>
          <w:tab w:val="left" w:pos="1843"/>
        </w:tabs>
        <w:ind w:left="1134" w:firstLine="0"/>
      </w:pPr>
      <w:r w:rsidRPr="00E27443">
        <w:t>A</w:t>
      </w:r>
      <w:r w:rsidR="00C63F8F" w:rsidRPr="00E27443">
        <w:t xml:space="preserve"> </w:t>
      </w:r>
      <w:r w:rsidRPr="00E27443">
        <w:t>concrete</w:t>
      </w:r>
      <w:r w:rsidR="00C63F8F" w:rsidRPr="00E27443">
        <w:t xml:space="preserve"> </w:t>
      </w:r>
      <w:r w:rsidRPr="00E27443">
        <w:t>example</w:t>
      </w:r>
      <w:r w:rsidR="00C63F8F" w:rsidRPr="00E27443">
        <w:t xml:space="preserve"> </w:t>
      </w:r>
      <w:r w:rsidRPr="00E27443">
        <w:t>of</w:t>
      </w:r>
      <w:r w:rsidR="00C63F8F" w:rsidRPr="00E27443">
        <w:t xml:space="preserve"> </w:t>
      </w:r>
      <w:r w:rsidRPr="00E27443">
        <w:t>measures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implemented</w:t>
      </w:r>
      <w:r w:rsidR="00C63F8F" w:rsidRPr="00E27443">
        <w:t xml:space="preserve"> </w:t>
      </w:r>
      <w:r w:rsidRPr="00E27443">
        <w:t>are</w:t>
      </w:r>
      <w:r w:rsidR="00C63F8F" w:rsidRPr="00E27443">
        <w:t xml:space="preserve"> </w:t>
      </w:r>
      <w:r w:rsidRPr="00E27443">
        <w:t>the</w:t>
      </w:r>
      <w:r w:rsidR="00C63F8F" w:rsidRPr="00E27443">
        <w:t xml:space="preserve"> </w:t>
      </w:r>
      <w:r w:rsidRPr="00E27443">
        <w:t>regulations</w:t>
      </w:r>
      <w:r w:rsidR="00C63F8F" w:rsidRPr="00E27443">
        <w:t xml:space="preserve"> </w:t>
      </w:r>
      <w:r w:rsidRPr="00E27443">
        <w:t>regarding</w:t>
      </w:r>
      <w:r w:rsidR="00C63F8F" w:rsidRPr="00E27443">
        <w:t xml:space="preserve"> </w:t>
      </w:r>
      <w:r w:rsidRPr="00E27443">
        <w:t>public</w:t>
      </w:r>
      <w:r w:rsidR="00C63F8F" w:rsidRPr="00E27443">
        <w:t xml:space="preserve"> </w:t>
      </w:r>
      <w:r w:rsidRPr="00E27443">
        <w:t>procurement.</w:t>
      </w:r>
      <w:r w:rsidR="00C63F8F" w:rsidRPr="00E27443">
        <w:t xml:space="preserve"> </w:t>
      </w:r>
      <w:r w:rsidRPr="00E27443">
        <w:t>The</w:t>
      </w:r>
      <w:r w:rsidR="00C63F8F" w:rsidRPr="00E27443">
        <w:t xml:space="preserve"> </w:t>
      </w:r>
      <w:r w:rsidRPr="00E27443">
        <w:t>Public</w:t>
      </w:r>
      <w:r w:rsidR="00C63F8F" w:rsidRPr="00E27443">
        <w:t xml:space="preserve"> </w:t>
      </w:r>
      <w:r w:rsidRPr="00E27443">
        <w:t>Procurement</w:t>
      </w:r>
      <w:r w:rsidR="00C63F8F" w:rsidRPr="00E27443">
        <w:t xml:space="preserve"> </w:t>
      </w:r>
      <w:r w:rsidRPr="00E27443">
        <w:t>Act</w:t>
      </w:r>
      <w:r w:rsidR="00C63F8F" w:rsidRPr="00E27443">
        <w:t xml:space="preserve"> </w:t>
      </w:r>
      <w:r w:rsidRPr="00E27443">
        <w:t>stipulates</w:t>
      </w:r>
      <w:r w:rsidR="00C63F8F" w:rsidRPr="00E27443">
        <w:t xml:space="preserve"> </w:t>
      </w:r>
      <w:r w:rsidRPr="00E27443">
        <w:t>that</w:t>
      </w:r>
      <w:r w:rsidR="00C63F8F" w:rsidRPr="00E27443">
        <w:t xml:space="preserve"> </w:t>
      </w:r>
      <w:r w:rsidRPr="00E27443">
        <w:t>the</w:t>
      </w:r>
      <w:r w:rsidR="00C63F8F" w:rsidRPr="00E27443">
        <w:t xml:space="preserve"> </w:t>
      </w:r>
      <w:r w:rsidRPr="00E27443">
        <w:t>tech</w:t>
      </w:r>
      <w:r w:rsidRPr="00E27443">
        <w:softHyphen/>
        <w:t>nical</w:t>
      </w:r>
      <w:r w:rsidR="00C63F8F" w:rsidRPr="00E27443">
        <w:t xml:space="preserve"> </w:t>
      </w:r>
      <w:r w:rsidRPr="00E27443">
        <w:t>specifications</w:t>
      </w:r>
      <w:r w:rsidR="00C63F8F" w:rsidRPr="00E27443">
        <w:t xml:space="preserve"> </w:t>
      </w:r>
      <w:r w:rsidRPr="00E27443">
        <w:t>in</w:t>
      </w:r>
      <w:r w:rsidR="00C63F8F" w:rsidRPr="00E27443">
        <w:t xml:space="preserve"> </w:t>
      </w:r>
      <w:r w:rsidRPr="00E27443">
        <w:t>tender</w:t>
      </w:r>
      <w:r w:rsidR="00C63F8F" w:rsidRPr="00E27443">
        <w:t xml:space="preserve"> </w:t>
      </w:r>
      <w:r w:rsidRPr="00E27443">
        <w:t>documentation</w:t>
      </w:r>
      <w:r w:rsidR="00C63F8F" w:rsidRPr="00E27443">
        <w:t xml:space="preserve"> </w:t>
      </w:r>
      <w:r w:rsidRPr="00E27443">
        <w:t>should,</w:t>
      </w:r>
      <w:r w:rsidR="00C63F8F" w:rsidRPr="00E27443">
        <w:t xml:space="preserve"> </w:t>
      </w:r>
      <w:r w:rsidRPr="00E27443">
        <w:t>where</w:t>
      </w:r>
      <w:r w:rsidR="00C63F8F" w:rsidRPr="00E27443">
        <w:t xml:space="preserve"> </w:t>
      </w:r>
      <w:r w:rsidRPr="00E27443">
        <w:t>possible,</w:t>
      </w:r>
      <w:r w:rsidR="00C63F8F" w:rsidRPr="00E27443">
        <w:t xml:space="preserve"> </w:t>
      </w:r>
      <w:r w:rsidRPr="00E27443">
        <w:t>be</w:t>
      </w:r>
      <w:r w:rsidR="00C63F8F" w:rsidRPr="00E27443">
        <w:t xml:space="preserve"> </w:t>
      </w:r>
      <w:r w:rsidRPr="00E27443">
        <w:t>determined</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the</w:t>
      </w:r>
      <w:r w:rsidR="00C63F8F" w:rsidRPr="00E27443">
        <w:t xml:space="preserve"> </w:t>
      </w:r>
      <w:r w:rsidRPr="00E27443">
        <w:t>criteria</w:t>
      </w:r>
      <w:r w:rsidR="00C63F8F" w:rsidRPr="00E27443">
        <w:t xml:space="preserve"> </w:t>
      </w:r>
      <w:r w:rsidRPr="00E27443">
        <w:t>in</w:t>
      </w:r>
      <w:r w:rsidR="00C63F8F" w:rsidRPr="00E27443">
        <w:t xml:space="preserve"> </w:t>
      </w:r>
      <w:r w:rsidRPr="00E27443">
        <w:t>respect</w:t>
      </w:r>
      <w:r w:rsidR="00C63F8F" w:rsidRPr="00E27443">
        <w:t xml:space="preserve"> </w:t>
      </w:r>
      <w:r w:rsidRPr="00E27443">
        <w:t>of</w:t>
      </w:r>
      <w:r w:rsidR="00C63F8F" w:rsidRPr="00E27443">
        <w:t xml:space="preserve"> </w:t>
      </w:r>
      <w:r w:rsidRPr="00E27443">
        <w:t>accessibility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or</w:t>
      </w:r>
      <w:r w:rsidR="00C63F8F" w:rsidRPr="00E27443">
        <w:t xml:space="preserve"> </w:t>
      </w:r>
      <w:r w:rsidRPr="00E27443">
        <w:t>be</w:t>
      </w:r>
      <w:r w:rsidR="00C63F8F" w:rsidRPr="00E27443">
        <w:t xml:space="preserve"> </w:t>
      </w:r>
      <w:r w:rsidRPr="00E27443">
        <w:t>formulated</w:t>
      </w:r>
      <w:r w:rsidR="00C63F8F" w:rsidRPr="00E27443">
        <w:t xml:space="preserve"> </w:t>
      </w:r>
      <w:r w:rsidRPr="00E27443">
        <w:t>with</w:t>
      </w:r>
      <w:r w:rsidR="00C63F8F" w:rsidRPr="00E27443">
        <w:t xml:space="preserve"> </w:t>
      </w:r>
      <w:r w:rsidRPr="00E27443">
        <w:t>a</w:t>
      </w:r>
      <w:r w:rsidR="00C63F8F" w:rsidRPr="00E27443">
        <w:t xml:space="preserve"> </w:t>
      </w:r>
      <w:r w:rsidRPr="00E27443">
        <w:t>view</w:t>
      </w:r>
      <w:r w:rsidR="00C63F8F" w:rsidRPr="00E27443">
        <w:t xml:space="preserve"> </w:t>
      </w:r>
      <w:r w:rsidRPr="00E27443">
        <w:t>to</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all</w:t>
      </w:r>
      <w:r w:rsidR="00C63F8F" w:rsidRPr="00E27443">
        <w:t xml:space="preserve"> </w:t>
      </w:r>
      <w:r w:rsidRPr="00E27443">
        <w:t>users.</w:t>
      </w:r>
      <w:r w:rsidR="00C63F8F" w:rsidRPr="00E27443">
        <w:t xml:space="preserve"> </w:t>
      </w:r>
      <w:r w:rsidRPr="00E27443">
        <w:t>The</w:t>
      </w:r>
      <w:r w:rsidR="00C63F8F" w:rsidRPr="00E27443">
        <w:t xml:space="preserve"> </w:t>
      </w:r>
      <w:r w:rsidRPr="00E27443">
        <w:t>specifications</w:t>
      </w:r>
      <w:r w:rsidR="00C63F8F" w:rsidRPr="00E27443">
        <w:t xml:space="preserve"> </w:t>
      </w:r>
      <w:r w:rsidRPr="00E27443">
        <w:t>should</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27443">
        <w:t>properties</w:t>
      </w:r>
      <w:r w:rsidR="00C63F8F" w:rsidRPr="00E27443">
        <w:t xml:space="preserve"> </w:t>
      </w:r>
      <w:r w:rsidRPr="00E27443">
        <w:t>of</w:t>
      </w:r>
      <w:r w:rsidR="00C63F8F" w:rsidRPr="00E27443">
        <w:t xml:space="preserve"> </w:t>
      </w:r>
      <w:r w:rsidRPr="00E27443">
        <w:t>materials,</w:t>
      </w:r>
      <w:r w:rsidR="00C63F8F" w:rsidRPr="00E27443">
        <w:t xml:space="preserve"> </w:t>
      </w:r>
      <w:r w:rsidRPr="00E27443">
        <w:t>goods</w:t>
      </w:r>
      <w:r w:rsidR="00C63F8F" w:rsidRPr="00E27443">
        <w:t xml:space="preserve"> </w:t>
      </w:r>
      <w:r w:rsidRPr="00E27443">
        <w:t>and</w:t>
      </w:r>
      <w:r w:rsidR="00C63F8F" w:rsidRPr="00E27443">
        <w:t xml:space="preserve"> </w:t>
      </w:r>
      <w:r w:rsidRPr="00E27443">
        <w:t>services</w:t>
      </w:r>
      <w:r w:rsidR="00C63F8F" w:rsidRPr="00E27443">
        <w:t xml:space="preserve"> </w:t>
      </w:r>
      <w:r w:rsidRPr="00E27443">
        <w:t>are</w:t>
      </w:r>
      <w:r w:rsidR="00C63F8F" w:rsidRPr="00E27443">
        <w:t xml:space="preserve"> </w:t>
      </w:r>
      <w:r w:rsidRPr="00E27443">
        <w:t>suitable</w:t>
      </w:r>
      <w:r w:rsidR="00C63F8F" w:rsidRPr="00E27443">
        <w:t xml:space="preserve"> </w:t>
      </w:r>
      <w:r w:rsidRPr="00E27443">
        <w:t>for</w:t>
      </w:r>
      <w:r w:rsidR="00C63F8F" w:rsidRPr="00E27443">
        <w:t xml:space="preserve"> </w:t>
      </w:r>
      <w:r w:rsidRPr="00E27443">
        <w:t>the</w:t>
      </w:r>
      <w:r w:rsidR="00C63F8F" w:rsidRPr="00E27443">
        <w:t xml:space="preserve"> </w:t>
      </w:r>
      <w:r w:rsidRPr="00E27443">
        <w:t>area</w:t>
      </w:r>
      <w:r w:rsidR="00C63F8F" w:rsidRPr="00E27443">
        <w:t xml:space="preserve"> </w:t>
      </w:r>
      <w:r w:rsidRPr="00E27443">
        <w:t>of</w:t>
      </w:r>
      <w:r w:rsidR="00C63F8F" w:rsidRPr="00E27443">
        <w:t xml:space="preserve"> </w:t>
      </w:r>
      <w:r w:rsidRPr="00E27443">
        <w:t>application,</w:t>
      </w:r>
      <w:r w:rsidR="00C63F8F" w:rsidRPr="00E27443">
        <w:t xml:space="preserve"> </w:t>
      </w:r>
      <w:r w:rsidRPr="00E27443">
        <w:t>both</w:t>
      </w:r>
      <w:r w:rsidR="00C63F8F" w:rsidRPr="00E27443">
        <w:t xml:space="preserve"> </w:t>
      </w:r>
      <w:r w:rsidRPr="00E27443">
        <w:t>in</w:t>
      </w:r>
      <w:r w:rsidR="00C63F8F" w:rsidRPr="00E27443">
        <w:t xml:space="preserve"> </w:t>
      </w:r>
      <w:r w:rsidRPr="00E27443">
        <w:t>the</w:t>
      </w:r>
      <w:r w:rsidR="00C63F8F" w:rsidRPr="00E27443">
        <w:t xml:space="preserve"> </w:t>
      </w:r>
      <w:r w:rsidRPr="00E27443">
        <w:t>works</w:t>
      </w:r>
      <w:r w:rsidR="00C63F8F" w:rsidRPr="00E27443">
        <w:t xml:space="preserve"> </w:t>
      </w:r>
      <w:r w:rsidRPr="00E27443">
        <w:t>contract</w:t>
      </w:r>
      <w:r w:rsidR="00C63F8F" w:rsidRPr="00E27443">
        <w:t xml:space="preserve"> </w:t>
      </w:r>
      <w:r w:rsidRPr="00E27443">
        <w:t>and</w:t>
      </w:r>
      <w:r w:rsidR="00C63F8F" w:rsidRPr="00E27443">
        <w:t xml:space="preserve"> </w:t>
      </w:r>
      <w:r w:rsidRPr="00E27443">
        <w:t>the</w:t>
      </w:r>
      <w:r w:rsidR="00C63F8F" w:rsidRPr="00E27443">
        <w:t xml:space="preserve"> </w:t>
      </w:r>
      <w:r w:rsidRPr="00E27443">
        <w:t>service</w:t>
      </w:r>
      <w:r w:rsidR="00C63F8F" w:rsidRPr="00E27443">
        <w:t xml:space="preserve"> </w:t>
      </w:r>
      <w:r w:rsidRPr="00E27443">
        <w:t>and</w:t>
      </w:r>
      <w:r w:rsidR="00C63F8F" w:rsidRPr="00E27443">
        <w:t xml:space="preserve"> </w:t>
      </w:r>
      <w:r w:rsidRPr="00E27443">
        <w:t>supply</w:t>
      </w:r>
      <w:r w:rsidR="00C63F8F" w:rsidRPr="00E27443">
        <w:t xml:space="preserve"> </w:t>
      </w:r>
      <w:r w:rsidRPr="00E27443">
        <w:t>contract.</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work</w:t>
      </w:r>
      <w:r w:rsidR="00C63F8F" w:rsidRPr="00E27443">
        <w:t xml:space="preserve"> </w:t>
      </w:r>
      <w:r w:rsidRPr="00E27443">
        <w:t>on</w:t>
      </w:r>
      <w:r w:rsidR="00C63F8F" w:rsidRPr="00E27443">
        <w:t xml:space="preserve"> </w:t>
      </w:r>
      <w:r w:rsidRPr="00E27443">
        <w:t>standardisation</w:t>
      </w:r>
      <w:r w:rsidR="00C63F8F" w:rsidRPr="00E27443">
        <w:t xml:space="preserve"> </w:t>
      </w:r>
      <w:r w:rsidRPr="00E27443">
        <w:t>is</w:t>
      </w:r>
      <w:r w:rsidR="00C63F8F" w:rsidRPr="00E27443">
        <w:t xml:space="preserve"> </w:t>
      </w:r>
      <w:r w:rsidRPr="00E27443">
        <w:t>a</w:t>
      </w:r>
      <w:r w:rsidR="00C63F8F" w:rsidRPr="00E27443">
        <w:t xml:space="preserve"> </w:t>
      </w:r>
      <w:r w:rsidRPr="00E27443">
        <w:t>basic</w:t>
      </w:r>
      <w:r w:rsidR="00C63F8F" w:rsidRPr="00E27443">
        <w:t xml:space="preserve"> </w:t>
      </w:r>
      <w:r w:rsidRPr="00E27443">
        <w:t>precondition</w:t>
      </w:r>
      <w:r w:rsidR="00C63F8F" w:rsidRPr="00E27443">
        <w:t xml:space="preserve"> </w:t>
      </w:r>
      <w:r w:rsidRPr="00E27443">
        <w:t>in</w:t>
      </w:r>
      <w:r w:rsidR="00C63F8F" w:rsidRPr="00E27443">
        <w:t xml:space="preserve"> </w:t>
      </w:r>
      <w:r w:rsidRPr="00E27443">
        <w:t>the</w:t>
      </w:r>
      <w:r w:rsidR="00C63F8F" w:rsidRPr="00E27443">
        <w:t xml:space="preserve"> </w:t>
      </w:r>
      <w:r w:rsidRPr="00E27443">
        <w:t>accessibility</w:t>
      </w:r>
      <w:r w:rsidR="00C63F8F" w:rsidRPr="00E27443">
        <w:t xml:space="preserve"> </w:t>
      </w:r>
      <w:r w:rsidRPr="00E27443">
        <w:t>work.</w:t>
      </w:r>
      <w:r w:rsidR="00C63F8F" w:rsidRPr="00E27443">
        <w:t xml:space="preserve"> </w:t>
      </w:r>
      <w:r w:rsidRPr="00E27443">
        <w:t>Since</w:t>
      </w:r>
      <w:r w:rsidR="00C63F8F" w:rsidRPr="00E27443">
        <w:t xml:space="preserve"> </w:t>
      </w:r>
      <w:r w:rsidRPr="00E27443">
        <w:t>autumn</w:t>
      </w:r>
      <w:r w:rsidR="00C63F8F" w:rsidRPr="00E27443">
        <w:t xml:space="preserve"> </w:t>
      </w:r>
      <w:r w:rsidRPr="00E27443">
        <w:t>2008,</w:t>
      </w:r>
      <w:r w:rsidR="00C63F8F" w:rsidRPr="00E27443">
        <w:t xml:space="preserve"> </w:t>
      </w:r>
      <w:r w:rsidRPr="00E27443">
        <w:t>Handisam</w:t>
      </w:r>
      <w:r w:rsidR="00C63F8F" w:rsidRPr="00E27443">
        <w:t xml:space="preserve"> </w:t>
      </w:r>
      <w:r w:rsidRPr="00E27443">
        <w:t>has</w:t>
      </w:r>
      <w:r w:rsidR="00C63F8F" w:rsidRPr="00E27443">
        <w:t xml:space="preserve"> </w:t>
      </w:r>
      <w:r w:rsidRPr="00E27443">
        <w:t>been</w:t>
      </w:r>
      <w:r w:rsidR="00C63F8F" w:rsidRPr="00E27443">
        <w:t xml:space="preserve"> </w:t>
      </w:r>
      <w:r w:rsidRPr="00E27443">
        <w:t>working</w:t>
      </w:r>
      <w:r w:rsidR="00C63F8F" w:rsidRPr="00E27443">
        <w:t xml:space="preserve"> </w:t>
      </w:r>
      <w:r w:rsidRPr="00E27443">
        <w:t>on</w:t>
      </w:r>
      <w:r w:rsidR="00C63F8F" w:rsidRPr="00E27443">
        <w:t xml:space="preserve"> </w:t>
      </w:r>
      <w:r w:rsidRPr="00E27443">
        <w:t>an</w:t>
      </w:r>
      <w:r w:rsidR="00C63F8F" w:rsidRPr="00E27443">
        <w:t xml:space="preserve"> </w:t>
      </w:r>
      <w:r w:rsidRPr="00E27443">
        <w:t>assignment</w:t>
      </w:r>
      <w:r w:rsidR="00C63F8F" w:rsidRPr="00E27443">
        <w:t xml:space="preserve"> </w:t>
      </w:r>
      <w:r w:rsidRPr="00E27443">
        <w:t>regarding</w:t>
      </w:r>
      <w:r w:rsidR="00C63F8F" w:rsidRPr="00E27443">
        <w:t xml:space="preserve"> </w:t>
      </w:r>
      <w:r w:rsidRPr="00E27443">
        <w:t>e-inclusion,</w:t>
      </w:r>
      <w:r w:rsidR="00C63F8F" w:rsidRPr="00E27443">
        <w:t xml:space="preserve"> </w:t>
      </w:r>
      <w:r w:rsidRPr="00E27443">
        <w:t>comprising</w:t>
      </w:r>
      <w:r w:rsidR="00C63F8F" w:rsidRPr="00E27443">
        <w:t xml:space="preserve"> </w:t>
      </w:r>
      <w:r w:rsidRPr="00E27443">
        <w:t>three</w:t>
      </w:r>
      <w:r w:rsidR="00C63F8F" w:rsidRPr="00E27443">
        <w:t xml:space="preserve"> </w:t>
      </w:r>
      <w:r w:rsidRPr="00E27443">
        <w:t>parts:</w:t>
      </w:r>
      <w:r w:rsidR="00C63F8F" w:rsidRPr="00E27443">
        <w:t xml:space="preserve"> </w:t>
      </w:r>
      <w:r w:rsidRPr="00E27443">
        <w:t>to</w:t>
      </w:r>
      <w:r w:rsidR="00C63F8F" w:rsidRPr="00E27443">
        <w:t xml:space="preserve"> </w:t>
      </w:r>
      <w:r w:rsidRPr="00E27443">
        <w:t>act</w:t>
      </w:r>
      <w:r w:rsidR="00C63F8F" w:rsidRPr="00E27443">
        <w:t xml:space="preserve"> </w:t>
      </w:r>
      <w:r w:rsidRPr="00E27443">
        <w:t>as</w:t>
      </w:r>
      <w:r w:rsidR="00C63F8F" w:rsidRPr="00E27443">
        <w:t xml:space="preserve"> </w:t>
      </w:r>
      <w:r w:rsidRPr="00E27443">
        <w:t>staff</w:t>
      </w:r>
      <w:r w:rsidR="00C63F8F" w:rsidRPr="00E27443">
        <w:t xml:space="preserve"> </w:t>
      </w:r>
      <w:r w:rsidRPr="00E27443">
        <w:t>support</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regarding</w:t>
      </w:r>
      <w:r w:rsidR="00C63F8F" w:rsidRPr="00E27443">
        <w:t xml:space="preserve"> </w:t>
      </w:r>
      <w:r w:rsidRPr="00E27443">
        <w:t>the</w:t>
      </w:r>
      <w:r w:rsidR="00C63F8F" w:rsidRPr="00E27443">
        <w:t xml:space="preserve"> </w:t>
      </w:r>
      <w:r w:rsidRPr="00E27443">
        <w:t>European</w:t>
      </w:r>
      <w:r w:rsidR="00C63F8F" w:rsidRPr="00E27443">
        <w:t xml:space="preserve"> </w:t>
      </w:r>
      <w:r w:rsidRPr="00E27443">
        <w:t>collaboration,</w:t>
      </w:r>
      <w:r w:rsidR="00C63F8F" w:rsidRPr="00E27443">
        <w:t xml:space="preserve"> </w:t>
      </w:r>
      <w:r w:rsidRPr="00E27443">
        <w:t>to</w:t>
      </w:r>
      <w:r w:rsidR="00C63F8F" w:rsidRPr="00E27443">
        <w:t xml:space="preserve"> </w:t>
      </w:r>
      <w:r w:rsidRPr="00E27443">
        <w:t>produce</w:t>
      </w:r>
      <w:r w:rsidR="00C63F8F" w:rsidRPr="00E27443">
        <w:t xml:space="preserve"> </w:t>
      </w:r>
      <w:r w:rsidRPr="00E27443">
        <w:t>a</w:t>
      </w:r>
      <w:r w:rsidR="00C63F8F" w:rsidRPr="00E27443">
        <w:t xml:space="preserve"> </w:t>
      </w:r>
      <w:r w:rsidRPr="00E27443">
        <w:t>compilation</w:t>
      </w:r>
      <w:r w:rsidR="00C63F8F" w:rsidRPr="00E27443">
        <w:t xml:space="preserve"> </w:t>
      </w:r>
      <w:r w:rsidRPr="00E27443">
        <w:t>of</w:t>
      </w:r>
      <w:r w:rsidR="00C63F8F" w:rsidRPr="00E27443">
        <w:t xml:space="preserve"> </w:t>
      </w:r>
      <w:r w:rsidRPr="00E27443">
        <w:t>available</w:t>
      </w:r>
      <w:r w:rsidR="00C63F8F" w:rsidRPr="00E27443">
        <w:t xml:space="preserve"> </w:t>
      </w:r>
      <w:r w:rsidRPr="00E27443">
        <w:t>knowledge</w:t>
      </w:r>
      <w:r w:rsidR="00C63F8F" w:rsidRPr="00E27443">
        <w:t xml:space="preserve"> </w:t>
      </w:r>
      <w:r w:rsidRPr="00E27443">
        <w:t>and</w:t>
      </w:r>
      <w:r w:rsidR="00C63F8F" w:rsidRPr="00E27443">
        <w:t xml:space="preserve"> </w:t>
      </w:r>
      <w:r w:rsidRPr="00E27443">
        <w:t>to</w:t>
      </w:r>
      <w:r w:rsidR="00C63F8F" w:rsidRPr="00E27443">
        <w:t xml:space="preserve"> </w:t>
      </w:r>
      <w:r w:rsidRPr="00E27443">
        <w:t>chart</w:t>
      </w:r>
      <w:r w:rsidR="00C63F8F" w:rsidRPr="00E27443">
        <w:t xml:space="preserve"> </w:t>
      </w:r>
      <w:r w:rsidRPr="00E27443">
        <w:t>European</w:t>
      </w:r>
      <w:r w:rsidR="00C63F8F" w:rsidRPr="00E27443">
        <w:t xml:space="preserve"> </w:t>
      </w:r>
      <w:r w:rsidRPr="00E27443">
        <w:t>and</w:t>
      </w:r>
      <w:r w:rsidR="00C63F8F" w:rsidRPr="00E27443">
        <w:t xml:space="preserve"> </w:t>
      </w:r>
      <w:r w:rsidRPr="00E27443">
        <w:t>national</w:t>
      </w:r>
      <w:r w:rsidR="00C63F8F" w:rsidRPr="00E27443">
        <w:t xml:space="preserve"> </w:t>
      </w:r>
      <w:r w:rsidRPr="00E27443">
        <w:t>initiatives,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suggest</w:t>
      </w:r>
      <w:r w:rsidR="00C63F8F" w:rsidRPr="00E27443">
        <w:t xml:space="preserve"> </w:t>
      </w:r>
      <w:r w:rsidRPr="00E27443">
        <w:t>proposals</w:t>
      </w:r>
      <w:r w:rsidR="00C63F8F" w:rsidRPr="00E27443">
        <w:t xml:space="preserve"> </w:t>
      </w:r>
      <w:r w:rsidRPr="00E27443">
        <w:t>for</w:t>
      </w:r>
      <w:r w:rsidR="00C63F8F" w:rsidRPr="00E27443">
        <w:t xml:space="preserve"> </w:t>
      </w:r>
      <w:r w:rsidRPr="00E27443">
        <w:t>future</w:t>
      </w:r>
      <w:r w:rsidR="00C63F8F" w:rsidRPr="00E27443">
        <w:t xml:space="preserve"> </w:t>
      </w:r>
      <w:r w:rsidRPr="00E27443">
        <w:t>initiatives.</w:t>
      </w:r>
      <w:r w:rsidR="00FB0BD4" w:rsidRPr="00E27443">
        <w:rPr>
          <w:rStyle w:val="FootnoteReference"/>
        </w:rPr>
        <w:footnoteReference w:id="27"/>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Handisam</w:t>
      </w:r>
      <w:r w:rsidR="00C63F8F" w:rsidRPr="00E27443">
        <w:t xml:space="preserve"> </w:t>
      </w:r>
      <w:r w:rsidRPr="00E27443">
        <w:t>has</w:t>
      </w:r>
      <w:r w:rsidR="00C63F8F" w:rsidRPr="00E27443">
        <w:t xml:space="preserve"> </w:t>
      </w:r>
      <w:r w:rsidRPr="00E27443">
        <w:t>also</w:t>
      </w:r>
      <w:r w:rsidR="00C63F8F" w:rsidRPr="00E27443">
        <w:t xml:space="preserve"> </w:t>
      </w:r>
      <w:r w:rsidRPr="00E27443">
        <w:t>produced</w:t>
      </w:r>
      <w:r w:rsidR="00C63F8F" w:rsidRPr="00E27443">
        <w:t xml:space="preserve"> </w:t>
      </w:r>
      <w:r w:rsidRPr="00E27443">
        <w:t>a</w:t>
      </w:r>
      <w:r w:rsidR="00C63F8F" w:rsidRPr="00E27443">
        <w:t xml:space="preserve"> </w:t>
      </w:r>
      <w:r w:rsidRPr="00E27443">
        <w:t>proposed</w:t>
      </w:r>
      <w:r w:rsidR="00C63F8F" w:rsidRPr="00E27443">
        <w:t xml:space="preserve"> </w:t>
      </w:r>
      <w:r w:rsidRPr="00E27443">
        <w:t>action</w:t>
      </w:r>
      <w:r w:rsidR="00C63F8F" w:rsidRPr="00E27443">
        <w:t xml:space="preserve"> </w:t>
      </w:r>
      <w:r w:rsidRPr="00E27443">
        <w:t>plan</w:t>
      </w:r>
      <w:r w:rsidR="00C63F8F" w:rsidRPr="00E27443">
        <w:t xml:space="preserve"> </w:t>
      </w:r>
      <w:r w:rsidRPr="00E27443">
        <w:t>for</w:t>
      </w:r>
      <w:r w:rsidR="00C63F8F" w:rsidRPr="00E27443">
        <w:t xml:space="preserve"> </w:t>
      </w:r>
      <w:r w:rsidRPr="00E27443">
        <w:t>e-inclusion</w:t>
      </w:r>
      <w:r w:rsidR="00FB0BD4" w:rsidRPr="00E27443">
        <w:rPr>
          <w:rStyle w:val="FootnoteReference"/>
        </w:rPr>
        <w:footnoteReference w:id="28"/>
      </w:r>
      <w:r w:rsidR="00C63F8F" w:rsidRPr="00E27443">
        <w:t xml:space="preserve"> </w:t>
      </w:r>
      <w:r w:rsidRPr="00E27443">
        <w:t>that</w:t>
      </w:r>
      <w:r w:rsidR="00C63F8F" w:rsidRPr="00E27443">
        <w:t xml:space="preserve"> </w:t>
      </w:r>
      <w:r w:rsidRPr="00E27443">
        <w:t>highlights</w:t>
      </w:r>
      <w:r w:rsidR="00C63F8F" w:rsidRPr="00E27443">
        <w:t xml:space="preserve"> </w:t>
      </w:r>
      <w:r w:rsidRPr="00E27443">
        <w:t>initiative</w:t>
      </w:r>
      <w:r w:rsidR="00C63F8F" w:rsidRPr="00E27443">
        <w:t xml:space="preserve"> </w:t>
      </w:r>
      <w:r w:rsidRPr="00E27443">
        <w:t>areas</w:t>
      </w:r>
      <w:r w:rsidR="00C63F8F" w:rsidRPr="00E27443">
        <w:t xml:space="preserve"> </w:t>
      </w:r>
      <w:r w:rsidRPr="00E27443">
        <w:t>within</w:t>
      </w:r>
      <w:r w:rsidR="00C63F8F" w:rsidRPr="00E27443">
        <w:t xml:space="preserve"> </w:t>
      </w:r>
      <w:r w:rsidRPr="00E27443">
        <w:t>various</w:t>
      </w:r>
      <w:r w:rsidR="00C63F8F" w:rsidRPr="00E27443">
        <w:t xml:space="preserve"> </w:t>
      </w:r>
      <w:r w:rsidRPr="00E27443">
        <w:t>policy</w:t>
      </w:r>
      <w:r w:rsidR="00C63F8F" w:rsidRPr="00E27443">
        <w:t xml:space="preserve"> </w:t>
      </w:r>
      <w:r w:rsidRPr="00E27443">
        <w:t>areas,</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contributing</w:t>
      </w:r>
      <w:r w:rsidR="00C63F8F" w:rsidRPr="00E27443">
        <w:t xml:space="preserve"> </w:t>
      </w:r>
      <w:r w:rsidRPr="00E27443">
        <w:t>towards</w:t>
      </w:r>
      <w:r w:rsidR="00C63F8F" w:rsidRPr="00E27443">
        <w:t xml:space="preserve"> </w:t>
      </w:r>
      <w:r w:rsidRPr="00E27443">
        <w:t>everyone</w:t>
      </w:r>
      <w:r w:rsidR="00C63F8F" w:rsidRPr="00E27443">
        <w:t xml:space="preserve"> </w:t>
      </w:r>
      <w:r w:rsidRPr="00E27443">
        <w:t>being</w:t>
      </w:r>
      <w:r w:rsidR="00C63F8F" w:rsidRPr="00E27443">
        <w:t xml:space="preserve"> </w:t>
      </w:r>
      <w:r w:rsidRPr="00E27443">
        <w:t>able</w:t>
      </w:r>
      <w:r w:rsidR="00C63F8F" w:rsidRPr="00E27443">
        <w:t xml:space="preserve"> </w:t>
      </w:r>
      <w:r w:rsidRPr="00E27443">
        <w:t>to</w:t>
      </w:r>
      <w:r w:rsidR="00C63F8F" w:rsidRPr="00E27443">
        <w:t xml:space="preserve"> </w:t>
      </w:r>
      <w:r w:rsidRPr="00E27443">
        <w:t>share</w:t>
      </w:r>
      <w:r w:rsidR="00C63F8F" w:rsidRPr="00E27443">
        <w:t xml:space="preserve"> </w:t>
      </w:r>
      <w:r w:rsidRPr="00E27443">
        <w:t>in</w:t>
      </w:r>
      <w:r w:rsidR="00C63F8F" w:rsidRPr="00E27443">
        <w:t xml:space="preserve"> </w:t>
      </w:r>
      <w:r w:rsidRPr="00E27443">
        <w:t>the</w:t>
      </w:r>
      <w:r w:rsidR="00C63F8F" w:rsidRPr="00E27443">
        <w:t xml:space="preserve"> </w:t>
      </w:r>
      <w:r w:rsidRPr="00E27443">
        <w:t>information</w:t>
      </w:r>
      <w:r w:rsidR="00C63F8F" w:rsidRPr="00E27443">
        <w:t xml:space="preserve"> </w:t>
      </w:r>
      <w:r w:rsidRPr="00E27443">
        <w:t>society</w:t>
      </w:r>
      <w:r w:rsidR="00C63F8F" w:rsidRPr="00E27443">
        <w:t xml:space="preserve"> </w:t>
      </w:r>
      <w:r w:rsidRPr="00E27443">
        <w:t>and</w:t>
      </w:r>
      <w:r w:rsidR="00C63F8F" w:rsidRPr="00E27443">
        <w:t xml:space="preserve"> </w:t>
      </w:r>
      <w:r w:rsidRPr="00E27443">
        <w:t>for</w:t>
      </w:r>
      <w:r w:rsidR="00C63F8F" w:rsidRPr="00E27443">
        <w:t xml:space="preserve"> </w:t>
      </w:r>
      <w:r w:rsidRPr="00E27443">
        <w:t>this</w:t>
      </w:r>
      <w:r w:rsidR="00C63F8F" w:rsidRPr="00E27443">
        <w:t xml:space="preserve"> </w:t>
      </w:r>
      <w:r w:rsidRPr="00E27443">
        <w:t>to</w:t>
      </w:r>
      <w:r w:rsidR="00C63F8F" w:rsidRPr="00E27443">
        <w:t xml:space="preserve"> </w:t>
      </w:r>
      <w:r w:rsidRPr="00E27443">
        <w:t>be</w:t>
      </w:r>
      <w:r w:rsidR="00C63F8F" w:rsidRPr="00E27443">
        <w:t xml:space="preserve"> </w:t>
      </w:r>
      <w:r w:rsidRPr="00E27443">
        <w:t>as</w:t>
      </w:r>
      <w:r w:rsidR="00C63F8F" w:rsidRPr="00E27443">
        <w:t xml:space="preserve"> </w:t>
      </w:r>
      <w:r w:rsidRPr="00E27443">
        <w:t>easy</w:t>
      </w:r>
      <w:r w:rsidR="00C63F8F" w:rsidRPr="00E27443">
        <w:t xml:space="preserve"> </w:t>
      </w:r>
      <w:r w:rsidRPr="00E27443">
        <w:t>as</w:t>
      </w:r>
      <w:r w:rsidR="00C63F8F" w:rsidRPr="00E27443">
        <w:t xml:space="preserve"> </w:t>
      </w:r>
      <w:r w:rsidRPr="00E27443">
        <w:t>possible.</w:t>
      </w:r>
      <w:r w:rsidR="00C63F8F" w:rsidRPr="00E27443">
        <w:t xml:space="preserve"> </w:t>
      </w:r>
      <w:r w:rsidRPr="00E27443">
        <w:t>Proposals</w:t>
      </w:r>
      <w:r w:rsidR="00C63F8F" w:rsidRPr="00E27443">
        <w:t xml:space="preserve"> </w:t>
      </w:r>
      <w:r w:rsidRPr="00E27443">
        <w:t>for</w:t>
      </w:r>
      <w:r w:rsidR="00C63F8F" w:rsidRPr="00E27443">
        <w:t xml:space="preserve"> </w:t>
      </w:r>
      <w:r w:rsidRPr="00E27443">
        <w:t>a</w:t>
      </w:r>
      <w:r w:rsidR="00C63F8F" w:rsidRPr="00E27443">
        <w:t xml:space="preserve"> </w:t>
      </w:r>
      <w:r w:rsidRPr="00E27443">
        <w:t>future</w:t>
      </w:r>
      <w:r w:rsidR="00C63F8F" w:rsidRPr="00E27443">
        <w:t xml:space="preserve"> </w:t>
      </w:r>
      <w:r w:rsidRPr="00E27443">
        <w:t>structure</w:t>
      </w:r>
      <w:r w:rsidR="00C63F8F" w:rsidRPr="00E27443">
        <w:t xml:space="preserve"> </w:t>
      </w:r>
      <w:r w:rsidRPr="00E27443">
        <w:t>for</w:t>
      </w:r>
      <w:r w:rsidR="00C63F8F" w:rsidRPr="00E27443">
        <w:t xml:space="preserve"> </w:t>
      </w:r>
      <w:r w:rsidRPr="00E27443">
        <w:t>following</w:t>
      </w:r>
      <w:r w:rsidR="00C63F8F" w:rsidRPr="00E27443">
        <w:t xml:space="preserve"> </w:t>
      </w:r>
      <w:r w:rsidRPr="00E27443">
        <w:t>up</w:t>
      </w:r>
      <w:r w:rsidR="00C63F8F" w:rsidRPr="00E27443">
        <w:t xml:space="preserve"> </w:t>
      </w:r>
      <w:r w:rsidRPr="00E27443">
        <w:t>e-accessibility</w:t>
      </w:r>
      <w:r w:rsidR="00C63F8F" w:rsidRPr="00E27443">
        <w:t xml:space="preserve"> </w:t>
      </w:r>
      <w:r w:rsidRPr="00E27443">
        <w:t>are</w:t>
      </w:r>
      <w:r w:rsidR="00C63F8F" w:rsidRPr="00E27443">
        <w:t xml:space="preserve"> </w:t>
      </w:r>
      <w:r w:rsidRPr="00E27443">
        <w:t>currently</w:t>
      </w:r>
      <w:r w:rsidR="00C63F8F" w:rsidRPr="00E27443">
        <w:t xml:space="preserve"> </w:t>
      </w:r>
      <w:r w:rsidRPr="00E27443">
        <w:t>being</w:t>
      </w:r>
      <w:r w:rsidR="00C63F8F" w:rsidRPr="00E27443">
        <w:t xml:space="preserve"> </w:t>
      </w:r>
      <w:r w:rsidRPr="00E27443">
        <w:t>prepared</w:t>
      </w:r>
      <w:r w:rsidR="00C63F8F" w:rsidRPr="00E27443">
        <w:t xml:space="preserve"> </w:t>
      </w:r>
      <w:r w:rsidRPr="00E27443">
        <w:t>in</w:t>
      </w:r>
      <w:r w:rsidR="00C63F8F" w:rsidRPr="00E27443">
        <w:t xml:space="preserve"> </w:t>
      </w:r>
      <w:r w:rsidRPr="00E27443">
        <w:t>an</w:t>
      </w:r>
      <w:r w:rsidR="00C63F8F" w:rsidRPr="00E27443">
        <w:t xml:space="preserve"> </w:t>
      </w:r>
      <w:r w:rsidRPr="00E27443">
        <w:t>investigation.</w:t>
      </w:r>
      <w:r w:rsidR="00FB0BD4" w:rsidRPr="00E27443">
        <w:rPr>
          <w:rStyle w:val="FootnoteReference"/>
        </w:rPr>
        <w:footnoteReference w:id="29"/>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As</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Lisbon</w:t>
      </w:r>
      <w:r w:rsidR="00C63F8F" w:rsidRPr="00E27443">
        <w:t xml:space="preserve"> </w:t>
      </w:r>
      <w:r w:rsidRPr="00E27443">
        <w:t>Agenda,</w:t>
      </w:r>
      <w:r w:rsidR="00FB0BD4" w:rsidRPr="00E27443">
        <w:rPr>
          <w:rStyle w:val="FootnoteReference"/>
        </w:rPr>
        <w:footnoteReference w:id="30"/>
      </w:r>
      <w:r w:rsidR="00C63F8F" w:rsidRPr="00E27443">
        <w:t xml:space="preserve"> </w:t>
      </w:r>
      <w:r w:rsidRPr="00E27443">
        <w:t>a</w:t>
      </w:r>
      <w:r w:rsidR="00C63F8F" w:rsidRPr="00E27443">
        <w:t xml:space="preserve"> </w:t>
      </w:r>
      <w:r w:rsidRPr="00E27443">
        <w:t>high-level</w:t>
      </w:r>
      <w:r w:rsidR="00C63F8F" w:rsidRPr="00E27443">
        <w:t xml:space="preserve"> </w:t>
      </w:r>
      <w:r w:rsidRPr="00E27443">
        <w:t>group</w:t>
      </w:r>
      <w:r w:rsidR="00C63F8F" w:rsidRPr="00E27443">
        <w:t xml:space="preserve"> </w:t>
      </w:r>
      <w:r w:rsidRPr="00E27443">
        <w:t>within</w:t>
      </w:r>
      <w:r w:rsidR="00C63F8F" w:rsidRPr="00E27443">
        <w:t xml:space="preserve"> </w:t>
      </w:r>
      <w:r w:rsidRPr="00E27443">
        <w:t>the</w:t>
      </w:r>
      <w:r w:rsidR="00C63F8F" w:rsidRPr="00E27443">
        <w:t xml:space="preserve"> </w:t>
      </w:r>
      <w:r w:rsidRPr="00E27443">
        <w:t>EU</w:t>
      </w:r>
      <w:r w:rsidR="00C63F8F" w:rsidRPr="00E27443">
        <w:t xml:space="preserve"> </w:t>
      </w:r>
      <w:r w:rsidRPr="00E27443">
        <w:t>has</w:t>
      </w:r>
      <w:r w:rsidR="00C63F8F" w:rsidRPr="00E27443">
        <w:t xml:space="preserve"> </w:t>
      </w:r>
      <w:r w:rsidRPr="00E27443">
        <w:t>been</w:t>
      </w:r>
      <w:r w:rsidR="00C63F8F" w:rsidRPr="00E27443">
        <w:t xml:space="preserve"> </w:t>
      </w:r>
      <w:r w:rsidRPr="00E27443">
        <w:t>working</w:t>
      </w:r>
      <w:r w:rsidR="00C63F8F" w:rsidRPr="00E27443">
        <w:t xml:space="preserve"> </w:t>
      </w:r>
      <w:r w:rsidRPr="00E27443">
        <w:t>on</w:t>
      </w:r>
      <w:r w:rsidR="00C63F8F" w:rsidRPr="00E27443">
        <w:t xml:space="preserve"> </w:t>
      </w:r>
      <w:r w:rsidRPr="00E27443">
        <w:t>three</w:t>
      </w:r>
      <w:r w:rsidR="00C63F8F" w:rsidRPr="00E27443">
        <w:t xml:space="preserve"> </w:t>
      </w:r>
      <w:r w:rsidRPr="00E27443">
        <w:t>policy</w:t>
      </w:r>
      <w:r w:rsidR="00C63F8F" w:rsidRPr="00E27443">
        <w:t xml:space="preserve"> </w:t>
      </w:r>
      <w:r w:rsidRPr="00E27443">
        <w:t>areas:</w:t>
      </w:r>
      <w:r w:rsidR="00C63F8F" w:rsidRPr="00E27443">
        <w:t xml:space="preserve"> </w:t>
      </w:r>
      <w:r w:rsidRPr="00E27443">
        <w:t>e-Government,</w:t>
      </w:r>
      <w:r w:rsidR="00C63F8F" w:rsidRPr="00E27443">
        <w:t xml:space="preserve"> </w:t>
      </w:r>
      <w:r w:rsidRPr="00E27443">
        <w:t>e-Health</w:t>
      </w:r>
      <w:r w:rsidR="00C63F8F" w:rsidRPr="00E27443">
        <w:t xml:space="preserve"> </w:t>
      </w:r>
      <w:r w:rsidRPr="00E27443">
        <w:t>and</w:t>
      </w:r>
      <w:r w:rsidR="00C63F8F" w:rsidRPr="00E27443">
        <w:t xml:space="preserve"> </w:t>
      </w:r>
      <w:r w:rsidRPr="00E27443">
        <w:t>e-Inclusion.</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Within</w:t>
      </w:r>
      <w:r w:rsidR="00C63F8F" w:rsidRPr="00E27443">
        <w:t xml:space="preserve"> </w:t>
      </w:r>
      <w:r w:rsidRPr="00E27443">
        <w:t>the</w:t>
      </w:r>
      <w:r w:rsidR="00C63F8F" w:rsidRPr="00E27443">
        <w:t xml:space="preserve"> </w:t>
      </w:r>
      <w:r w:rsidRPr="00E27443">
        <w:t>accessibility</w:t>
      </w:r>
      <w:r w:rsidR="00C63F8F" w:rsidRPr="00E27443">
        <w:t xml:space="preserve"> </w:t>
      </w:r>
      <w:r w:rsidRPr="00E27443">
        <w:t>work,</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the</w:t>
      </w:r>
      <w:r w:rsidR="00C63F8F" w:rsidRPr="00E27443">
        <w:t xml:space="preserve"> </w:t>
      </w:r>
      <w:r w:rsidRPr="00E27443">
        <w:t>State</w:t>
      </w:r>
      <w:r w:rsidR="00C63F8F" w:rsidRPr="00E27443">
        <w:t xml:space="preserve"> </w:t>
      </w:r>
      <w:r w:rsidRPr="00E27443">
        <w:t>should</w:t>
      </w:r>
      <w:r w:rsidR="00C63F8F" w:rsidRPr="00E27443">
        <w:t xml:space="preserve"> </w:t>
      </w:r>
      <w:r w:rsidRPr="00E27443">
        <w:t>set</w:t>
      </w:r>
      <w:r w:rsidR="00C63F8F" w:rsidRPr="00E27443">
        <w:t xml:space="preserve"> </w:t>
      </w:r>
      <w:r w:rsidRPr="00E27443">
        <w:t>a</w:t>
      </w:r>
      <w:r w:rsidR="00C63F8F" w:rsidRPr="00E27443">
        <w:t xml:space="preserve"> </w:t>
      </w:r>
      <w:r w:rsidRPr="00E27443">
        <w:t>good</w:t>
      </w:r>
      <w:r w:rsidR="00C63F8F" w:rsidRPr="00E27443">
        <w:t xml:space="preserve"> </w:t>
      </w:r>
      <w:r w:rsidRPr="00E27443">
        <w:t>example</w:t>
      </w:r>
      <w:r w:rsidR="00C63F8F" w:rsidRPr="00E27443">
        <w:t xml:space="preserve"> </w:t>
      </w:r>
      <w:r w:rsidRPr="00E27443">
        <w:t>in</w:t>
      </w:r>
      <w:r w:rsidR="00C63F8F" w:rsidRPr="00E27443">
        <w:t xml:space="preserve"> </w:t>
      </w:r>
      <w:r w:rsidRPr="00E27443">
        <w:t>order</w:t>
      </w:r>
      <w:r w:rsidR="00C63F8F" w:rsidRPr="00E27443">
        <w:t xml:space="preserve"> </w:t>
      </w:r>
      <w:r w:rsidRPr="00E27443">
        <w:t>effectively</w:t>
      </w:r>
      <w:r w:rsidR="00C63F8F" w:rsidRPr="00E27443">
        <w:t xml:space="preserve"> </w:t>
      </w:r>
      <w:r w:rsidRPr="00E27443">
        <w:t>to</w:t>
      </w:r>
      <w:r w:rsidR="00C63F8F" w:rsidRPr="00E27443">
        <w:t xml:space="preserve"> </w:t>
      </w:r>
      <w:r w:rsidRPr="00E27443">
        <w:t>achieve</w:t>
      </w:r>
      <w:r w:rsidR="00C63F8F" w:rsidRPr="00E27443">
        <w:t xml:space="preserve"> </w:t>
      </w:r>
      <w:r w:rsidRPr="00E27443">
        <w:t>results.</w:t>
      </w:r>
      <w:r w:rsidR="00C63F8F" w:rsidRPr="00E27443">
        <w:t xml:space="preserve"> </w:t>
      </w:r>
      <w:r w:rsidRPr="00E27443">
        <w:rPr>
          <w:i/>
        </w:rPr>
        <w:t>Authorities</w:t>
      </w:r>
      <w:r w:rsidR="00C63F8F" w:rsidRPr="00E27443">
        <w:rPr>
          <w:i/>
        </w:rPr>
        <w:t xml:space="preserve"> </w:t>
      </w:r>
      <w:r w:rsidRPr="00E27443">
        <w:rPr>
          <w:i/>
        </w:rPr>
        <w:t>under</w:t>
      </w:r>
      <w:r w:rsidR="00C63F8F" w:rsidRPr="00E27443">
        <w:rPr>
          <w:i/>
        </w:rPr>
        <w:t xml:space="preserve"> </w:t>
      </w:r>
      <w:r w:rsidRPr="00E27443">
        <w:rPr>
          <w:i/>
        </w:rPr>
        <w:t>the</w:t>
      </w:r>
      <w:r w:rsidR="00C63F8F" w:rsidRPr="00E27443">
        <w:rPr>
          <w:i/>
        </w:rPr>
        <w:t xml:space="preserve"> </w:t>
      </w:r>
      <w:r w:rsidRPr="00E27443">
        <w:rPr>
          <w:i/>
        </w:rPr>
        <w:t>Government</w:t>
      </w:r>
      <w:r w:rsidR="00C63F8F" w:rsidRPr="00E27443">
        <w:rPr>
          <w:i/>
        </w:rPr>
        <w:t xml:space="preserve"> </w:t>
      </w:r>
      <w:r w:rsidRPr="00E27443">
        <w:t>should</w:t>
      </w:r>
      <w:r w:rsidR="00C63F8F" w:rsidRPr="00E27443">
        <w:t xml:space="preserve"> </w:t>
      </w:r>
      <w:r w:rsidRPr="00E27443">
        <w:t>therefore</w:t>
      </w:r>
      <w:r w:rsidR="00C63F8F" w:rsidRPr="00E27443">
        <w:t xml:space="preserve"> </w:t>
      </w:r>
      <w:r w:rsidRPr="00E27443">
        <w:t>formulate</w:t>
      </w:r>
      <w:r w:rsidR="00C63F8F" w:rsidRPr="00E27443">
        <w:t xml:space="preserve"> </w:t>
      </w:r>
      <w:r w:rsidRPr="00E27443">
        <w:t>and</w:t>
      </w:r>
      <w:r w:rsidR="00C63F8F" w:rsidRPr="00E27443">
        <w:t xml:space="preserve"> </w:t>
      </w:r>
      <w:r w:rsidRPr="00E27443">
        <w:t>conduct</w:t>
      </w:r>
      <w:r w:rsidR="00C63F8F" w:rsidRPr="00E27443">
        <w:t xml:space="preserve"> </w:t>
      </w:r>
      <w:r w:rsidRPr="00E27443">
        <w:t>their</w:t>
      </w:r>
      <w:r w:rsidR="00C63F8F" w:rsidRPr="00E27443">
        <w:t xml:space="preserve"> </w:t>
      </w:r>
      <w:r w:rsidRPr="00E27443">
        <w:t>activities</w:t>
      </w:r>
      <w:r w:rsidR="00C63F8F" w:rsidRPr="00E27443">
        <w:t xml:space="preserve"> </w:t>
      </w:r>
      <w:r w:rsidRPr="00E27443">
        <w:t>bearing</w:t>
      </w:r>
      <w:r w:rsidR="00C63F8F" w:rsidRPr="00E27443">
        <w:t xml:space="preserve"> </w:t>
      </w:r>
      <w:r w:rsidRPr="00E27443">
        <w:t>in</w:t>
      </w:r>
      <w:r w:rsidR="00C63F8F" w:rsidRPr="00E27443">
        <w:t xml:space="preserve"> </w:t>
      </w:r>
      <w:r w:rsidRPr="00E27443">
        <w:t>mind</w:t>
      </w:r>
      <w:r w:rsidR="00C63F8F" w:rsidRPr="00E27443">
        <w:t xml:space="preserve"> </w:t>
      </w:r>
      <w:r w:rsidRPr="00E27443">
        <w:t>the</w:t>
      </w:r>
      <w:r w:rsidR="00C63F8F" w:rsidRPr="00E27443">
        <w:t xml:space="preserve"> </w:t>
      </w:r>
      <w:r w:rsidRPr="00E27443">
        <w:t>goals</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To</w:t>
      </w:r>
      <w:r w:rsidR="00C63F8F" w:rsidRPr="00E27443">
        <w:t xml:space="preserve"> </w:t>
      </w:r>
      <w:r w:rsidRPr="00E27443">
        <w:t>date,</w:t>
      </w:r>
      <w:r w:rsidR="00C63F8F" w:rsidRPr="00E27443">
        <w:t xml:space="preserve"> </w:t>
      </w:r>
      <w:r w:rsidRPr="00E27443">
        <w:t>the</w:t>
      </w:r>
      <w:r w:rsidR="00C63F8F" w:rsidRPr="00E27443">
        <w:t xml:space="preserve"> </w:t>
      </w:r>
      <w:r w:rsidRPr="00E27443">
        <w:t>work</w:t>
      </w:r>
      <w:r w:rsidR="00C63F8F" w:rsidRPr="00E27443">
        <w:t xml:space="preserve"> </w:t>
      </w:r>
      <w:r w:rsidRPr="00E27443">
        <w:t>has</w:t>
      </w:r>
      <w:r w:rsidR="00C63F8F" w:rsidRPr="00E27443">
        <w:t xml:space="preserve"> </w:t>
      </w:r>
      <w:r w:rsidRPr="00E27443">
        <w:t>taken</w:t>
      </w:r>
      <w:r w:rsidR="00C63F8F" w:rsidRPr="00E27443">
        <w:t xml:space="preserve"> </w:t>
      </w:r>
      <w:r w:rsidRPr="00E27443">
        <w:t>place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ten-year</w:t>
      </w:r>
      <w:r w:rsidR="00C63F8F" w:rsidRPr="00E27443">
        <w:t xml:space="preserve"> </w:t>
      </w:r>
      <w:r w:rsidRPr="00E27443">
        <w:t>national</w:t>
      </w:r>
      <w:r w:rsidR="00C63F8F" w:rsidRPr="00E27443">
        <w:t xml:space="preserve"> </w:t>
      </w:r>
      <w:r w:rsidRPr="00E27443">
        <w:t>action</w:t>
      </w:r>
      <w:r w:rsidR="00C63F8F" w:rsidRPr="00E27443">
        <w:t xml:space="preserve"> </w:t>
      </w:r>
      <w:r w:rsidRPr="00E27443">
        <w:t>plan</w:t>
      </w:r>
      <w:r w:rsidR="00C63F8F" w:rsidRPr="00E27443">
        <w:t xml:space="preserve"> </w:t>
      </w:r>
      <w:r w:rsidRPr="00E27443">
        <w:t>2000–2010.</w:t>
      </w:r>
      <w:r w:rsidR="00C63F8F" w:rsidRPr="00E27443">
        <w:t xml:space="preserve"> </w:t>
      </w:r>
      <w:r w:rsidRPr="00E27443">
        <w:t>The</w:t>
      </w:r>
      <w:r w:rsidR="00C63F8F" w:rsidRPr="00E27443">
        <w:t xml:space="preserve"> </w:t>
      </w:r>
      <w:r w:rsidRPr="00E27443">
        <w:t>Ordinance</w:t>
      </w:r>
      <w:r w:rsidR="00C63F8F" w:rsidRPr="00E27443">
        <w:t xml:space="preserve"> </w:t>
      </w:r>
      <w:r w:rsidRPr="00E27443">
        <w:t>on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policies</w:t>
      </w:r>
      <w:r w:rsidR="00FB0BD4" w:rsidRPr="00E27443">
        <w:rPr>
          <w:rStyle w:val="FootnoteReference"/>
        </w:rPr>
        <w:footnoteReference w:id="31"/>
      </w:r>
      <w:r w:rsidR="00C63F8F" w:rsidRPr="00E27443">
        <w:t xml:space="preserve"> </w:t>
      </w:r>
      <w:r w:rsidRPr="00E27443">
        <w:t>provides</w:t>
      </w:r>
      <w:r w:rsidR="00C63F8F" w:rsidRPr="00E27443">
        <w:t xml:space="preserve"> </w:t>
      </w:r>
      <w:r w:rsidRPr="00E27443">
        <w:t>support</w:t>
      </w:r>
      <w:r w:rsidR="00C63F8F" w:rsidRPr="00E27443">
        <w:t xml:space="preserve"> </w:t>
      </w:r>
      <w:r w:rsidRPr="00E27443">
        <w:t>for</w:t>
      </w:r>
      <w:r w:rsidR="00C63F8F" w:rsidRPr="00E27443">
        <w:t xml:space="preserve"> </w:t>
      </w:r>
      <w:r w:rsidRPr="00E27443">
        <w:t>this</w:t>
      </w:r>
      <w:r w:rsidR="00C63F8F" w:rsidRPr="00E27443">
        <w:t xml:space="preserve"> </w:t>
      </w:r>
      <w:r w:rsidRPr="00E27443">
        <w:t>work.</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Ordinance,</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must,</w:t>
      </w:r>
      <w:r w:rsidR="00C63F8F" w:rsidRPr="00E27443">
        <w:t xml:space="preserve"> </w:t>
      </w:r>
      <w:r w:rsidRPr="00E27443">
        <w:t>by</w:t>
      </w:r>
      <w:r w:rsidR="00C63F8F" w:rsidRPr="00E27443">
        <w:t xml:space="preserve"> </w:t>
      </w:r>
      <w:r w:rsidRPr="00E27443">
        <w:t>conducting</w:t>
      </w:r>
      <w:r w:rsidR="00C63F8F" w:rsidRPr="00E27443">
        <w:t xml:space="preserve"> </w:t>
      </w:r>
      <w:r w:rsidRPr="00E27443">
        <w:t>inventories</w:t>
      </w:r>
      <w:r w:rsidR="00C63F8F" w:rsidRPr="00E27443">
        <w:t xml:space="preserve"> </w:t>
      </w:r>
      <w:r w:rsidRPr="00E27443">
        <w:t>and</w:t>
      </w:r>
      <w:r w:rsidR="00C63F8F" w:rsidRPr="00E27443">
        <w:t xml:space="preserve"> </w:t>
      </w:r>
      <w:r w:rsidRPr="00E27443">
        <w:t>drawing</w:t>
      </w:r>
      <w:r w:rsidR="00C63F8F" w:rsidRPr="00E27443">
        <w:t xml:space="preserve"> </w:t>
      </w:r>
      <w:r w:rsidRPr="00E27443">
        <w:t>up</w:t>
      </w:r>
      <w:r w:rsidR="00C63F8F" w:rsidRPr="00E27443">
        <w:t xml:space="preserve"> </w:t>
      </w:r>
      <w:r w:rsidRPr="00E27443">
        <w:t>action</w:t>
      </w:r>
      <w:r w:rsidR="00C63F8F" w:rsidRPr="00E27443">
        <w:t xml:space="preserve"> </w:t>
      </w:r>
      <w:r w:rsidRPr="00E27443">
        <w:t>plans,</w:t>
      </w:r>
      <w:r w:rsidR="00C63F8F" w:rsidRPr="00E27443">
        <w:t xml:space="preserve"> </w:t>
      </w:r>
      <w:r w:rsidRPr="00E27443">
        <w:t>work</w:t>
      </w:r>
      <w:r w:rsidR="00C63F8F" w:rsidRPr="00E27443">
        <w:t xml:space="preserve"> </w:t>
      </w:r>
      <w:r w:rsidRPr="00E27443">
        <w:t>to</w:t>
      </w:r>
      <w:r w:rsidR="00C63F8F" w:rsidRPr="00E27443">
        <w:t xml:space="preserve"> </w:t>
      </w:r>
      <w:r w:rsidRPr="00E27443">
        <w:t>make</w:t>
      </w:r>
      <w:r w:rsidR="00C63F8F" w:rsidRPr="00E27443">
        <w:t xml:space="preserve"> </w:t>
      </w:r>
      <w:r w:rsidRPr="00E27443">
        <w:t>their</w:t>
      </w:r>
      <w:r w:rsidR="00C63F8F" w:rsidRPr="00E27443">
        <w:t xml:space="preserve"> </w:t>
      </w:r>
      <w:r w:rsidRPr="00E27443">
        <w:t>premises,</w:t>
      </w:r>
      <w:r w:rsidR="00C63F8F" w:rsidRPr="00E27443">
        <w:t xml:space="preserve"> </w:t>
      </w:r>
      <w:r w:rsidRPr="00E27443">
        <w:t>their</w:t>
      </w:r>
      <w:r w:rsidR="00C63F8F" w:rsidRPr="00E27443">
        <w:t xml:space="preserve"> </w:t>
      </w:r>
      <w:r w:rsidRPr="00E27443">
        <w:t>operations</w:t>
      </w:r>
      <w:r w:rsidR="00C63F8F" w:rsidRPr="00E27443">
        <w:t xml:space="preserve"> </w:t>
      </w:r>
      <w:r w:rsidRPr="00E27443">
        <w:t>and</w:t>
      </w:r>
      <w:r w:rsidR="00C63F8F" w:rsidRPr="00E27443">
        <w:t xml:space="preserve"> </w:t>
      </w:r>
      <w:r w:rsidRPr="00E27443">
        <w:t>information</w:t>
      </w:r>
      <w:r w:rsidR="00C63F8F" w:rsidRPr="00E27443">
        <w:t xml:space="preserve"> </w:t>
      </w:r>
      <w:r w:rsidRPr="00E27443">
        <w:t>more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2008,</w:t>
      </w:r>
      <w:r w:rsidR="00C63F8F" w:rsidRPr="00E27443">
        <w:t xml:space="preserve"> </w:t>
      </w:r>
      <w:r w:rsidRPr="00E27443">
        <w:t>69</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had</w:t>
      </w:r>
      <w:r w:rsidR="00C63F8F" w:rsidRPr="00E27443">
        <w:t xml:space="preserve"> </w:t>
      </w:r>
      <w:r w:rsidRPr="00E27443">
        <w:t>prepared</w:t>
      </w:r>
      <w:r w:rsidR="00C63F8F" w:rsidRPr="00E27443">
        <w:t xml:space="preserve"> </w:t>
      </w:r>
      <w:r w:rsidRPr="00E27443">
        <w:t>such</w:t>
      </w:r>
      <w:r w:rsidR="00C63F8F" w:rsidRPr="00E27443">
        <w:t xml:space="preserve"> </w:t>
      </w:r>
      <w:r w:rsidRPr="00E27443">
        <w:t>action</w:t>
      </w:r>
      <w:r w:rsidR="00C63F8F" w:rsidRPr="00E27443">
        <w:t xml:space="preserve"> </w:t>
      </w:r>
      <w:r w:rsidRPr="00E27443">
        <w:t>plans</w:t>
      </w:r>
      <w:r w:rsidR="00C63F8F" w:rsidRPr="00E27443">
        <w:t xml:space="preserve"> </w:t>
      </w:r>
      <w:r w:rsidRPr="00E27443">
        <w:t>and</w:t>
      </w:r>
      <w:r w:rsidR="00C63F8F" w:rsidRPr="00E27443">
        <w:t xml:space="preserve"> </w:t>
      </w:r>
      <w:r w:rsidRPr="00E27443">
        <w:t>77</w:t>
      </w:r>
      <w:r w:rsidR="00C63F8F" w:rsidRPr="00E27443">
        <w:t xml:space="preserve"> </w:t>
      </w:r>
      <w:r w:rsidRPr="00E27443">
        <w:t>per</w:t>
      </w:r>
      <w:r w:rsidR="00C63F8F" w:rsidRPr="00E27443">
        <w:t xml:space="preserve"> </w:t>
      </w:r>
      <w:r w:rsidRPr="00E27443">
        <w:t>cent</w:t>
      </w:r>
      <w:r w:rsidR="00C63F8F" w:rsidRPr="00E27443">
        <w:t xml:space="preserve"> </w:t>
      </w:r>
      <w:r w:rsidRPr="00E27443">
        <w:t>had</w:t>
      </w:r>
      <w:r w:rsidR="00C63F8F" w:rsidRPr="00E27443">
        <w:t xml:space="preserve"> </w:t>
      </w:r>
      <w:r w:rsidRPr="00E27443">
        <w:t>completed</w:t>
      </w:r>
      <w:r w:rsidR="00C63F8F" w:rsidRPr="00E27443">
        <w:t xml:space="preserve"> </w:t>
      </w:r>
      <w:r w:rsidRPr="00E27443">
        <w:t>or</w:t>
      </w:r>
      <w:r w:rsidR="00C63F8F" w:rsidRPr="00E27443">
        <w:t xml:space="preserve"> </w:t>
      </w:r>
      <w:r w:rsidRPr="00E27443">
        <w:t>started</w:t>
      </w:r>
      <w:r w:rsidR="00C63F8F" w:rsidRPr="00E27443">
        <w:t xml:space="preserve"> </w:t>
      </w:r>
      <w:r w:rsidRPr="00E27443">
        <w:t>inventories</w:t>
      </w:r>
      <w:r w:rsidR="00C63F8F" w:rsidRPr="00E27443">
        <w:t xml:space="preserve"> </w:t>
      </w:r>
      <w:r w:rsidRPr="00E27443">
        <w:t>of</w:t>
      </w:r>
      <w:r w:rsidR="00C63F8F" w:rsidRPr="00E27443">
        <w:t xml:space="preserve"> </w:t>
      </w:r>
      <w:r w:rsidRPr="00E27443">
        <w:t>their</w:t>
      </w:r>
      <w:r w:rsidR="00C63F8F" w:rsidRPr="00E27443">
        <w:t xml:space="preserve"> </w:t>
      </w:r>
      <w:r w:rsidRPr="00E27443">
        <w:t>premises.</w:t>
      </w:r>
      <w:r w:rsidR="00C63F8F" w:rsidRPr="00E27443">
        <w:t xml:space="preserve"> </w:t>
      </w:r>
      <w:r w:rsidRPr="00E27443">
        <w:t>The</w:t>
      </w:r>
      <w:r w:rsidR="00C63F8F" w:rsidRPr="00E27443">
        <w:t xml:space="preserve"> </w:t>
      </w:r>
      <w:r w:rsidRPr="00E27443">
        <w:t>Ordinance</w:t>
      </w:r>
      <w:r w:rsidR="00C63F8F" w:rsidRPr="00E27443">
        <w:t xml:space="preserve"> </w:t>
      </w:r>
      <w:r w:rsidRPr="00E27443">
        <w:t>has</w:t>
      </w:r>
      <w:r w:rsidR="00C63F8F" w:rsidRPr="00E27443">
        <w:t xml:space="preserve"> </w:t>
      </w:r>
      <w:r w:rsidRPr="00E27443">
        <w:t>been</w:t>
      </w:r>
      <w:r w:rsidR="00C63F8F" w:rsidRPr="00E27443">
        <w:t xml:space="preserve"> </w:t>
      </w:r>
      <w:r w:rsidRPr="00E27443">
        <w:t>important</w:t>
      </w:r>
      <w:r w:rsidR="00C63F8F" w:rsidRPr="00E27443">
        <w:t xml:space="preserve"> </w:t>
      </w:r>
      <w:r w:rsidRPr="00E27443">
        <w:t>for</w:t>
      </w:r>
      <w:r w:rsidR="00C63F8F" w:rsidRPr="00E27443">
        <w:t xml:space="preserve"> </w:t>
      </w:r>
      <w:r w:rsidRPr="00E27443">
        <w:t>the</w:t>
      </w:r>
      <w:r w:rsidR="00C63F8F" w:rsidRPr="00E27443">
        <w:t xml:space="preserve"> </w:t>
      </w:r>
      <w:r w:rsidRPr="00E27443">
        <w:t>accessibility</w:t>
      </w:r>
      <w:r w:rsidR="00C63F8F" w:rsidRPr="00E27443">
        <w:t xml:space="preserve"> </w:t>
      </w:r>
      <w:r w:rsidRPr="00E27443">
        <w:t>work,</w:t>
      </w:r>
      <w:r w:rsidR="00C63F8F" w:rsidRPr="00E27443">
        <w:t xml:space="preserve"> </w:t>
      </w:r>
      <w:r w:rsidRPr="00E27443">
        <w:t>although</w:t>
      </w:r>
      <w:r w:rsidR="00C63F8F" w:rsidRPr="00E27443">
        <w:t xml:space="preserve"> </w:t>
      </w:r>
      <w:r w:rsidRPr="00E27443">
        <w:t>other</w:t>
      </w:r>
      <w:r w:rsidR="00C63F8F" w:rsidRPr="00E27443">
        <w:t xml:space="preserve"> </w:t>
      </w:r>
      <w:r w:rsidRPr="00E27443">
        <w:t>measures</w:t>
      </w:r>
      <w:r w:rsidR="00C63F8F" w:rsidRPr="00E27443">
        <w:t xml:space="preserve"> </w:t>
      </w:r>
      <w:r w:rsidRPr="00E27443">
        <w:t>have</w:t>
      </w:r>
      <w:r w:rsidR="00C63F8F" w:rsidRPr="00E27443">
        <w:t xml:space="preserve"> </w:t>
      </w:r>
      <w:r w:rsidRPr="00E27443">
        <w:t>also</w:t>
      </w:r>
      <w:r w:rsidR="00C63F8F" w:rsidRPr="00E27443">
        <w:t xml:space="preserve"> </w:t>
      </w:r>
      <w:r w:rsidRPr="00E27443">
        <w:t>been</w:t>
      </w:r>
      <w:r w:rsidR="00C63F8F" w:rsidRPr="00E27443">
        <w:t xml:space="preserve"> </w:t>
      </w:r>
      <w:r w:rsidRPr="00E27443">
        <w:t>of</w:t>
      </w:r>
      <w:r w:rsidR="00C63F8F" w:rsidRPr="00E27443">
        <w:t xml:space="preserve"> </w:t>
      </w:r>
      <w:r w:rsidRPr="00E27443">
        <w:t>importance,</w:t>
      </w:r>
      <w:r w:rsidR="00C63F8F" w:rsidRPr="00E27443">
        <w:t xml:space="preserve"> </w:t>
      </w:r>
      <w:r w:rsidRPr="00E27443">
        <w:t>such</w:t>
      </w:r>
      <w:r w:rsidR="00C63F8F" w:rsidRPr="00E27443">
        <w:t xml:space="preserve"> </w:t>
      </w:r>
      <w:r w:rsidRPr="00E27443">
        <w:t>as</w:t>
      </w:r>
      <w:r w:rsidR="00C63F8F" w:rsidRPr="00E27443">
        <w:t xml:space="preserve"> </w:t>
      </w:r>
      <w:r w:rsidRPr="00E27443">
        <w:t>regulations</w:t>
      </w:r>
      <w:r w:rsidR="00C63F8F" w:rsidRPr="00E27443">
        <w:t xml:space="preserve"> </w:t>
      </w:r>
      <w:r w:rsidRPr="00E27443">
        <w:t>regarding</w:t>
      </w:r>
      <w:r w:rsidR="00C63F8F" w:rsidRPr="00E27443">
        <w:t xml:space="preserve"> </w:t>
      </w:r>
      <w:r w:rsidRPr="00E27443">
        <w:t>easily</w:t>
      </w:r>
      <w:r w:rsidR="00C63F8F" w:rsidRPr="00E27443">
        <w:t xml:space="preserve"> </w:t>
      </w:r>
      <w:r w:rsidRPr="00E27443">
        <w:t>eliminated</w:t>
      </w:r>
      <w:r w:rsidR="00C63F8F" w:rsidRPr="00E27443">
        <w:t xml:space="preserve"> </w:t>
      </w:r>
      <w:r w:rsidRPr="00E27443">
        <w:t>obstacles</w:t>
      </w:r>
      <w:r w:rsidR="00C63F8F" w:rsidRPr="00E27443">
        <w:t xml:space="preserve"> </w:t>
      </w:r>
      <w:r w:rsidRPr="00E27443">
        <w:t>(see</w:t>
      </w:r>
      <w:r w:rsidR="00C63F8F" w:rsidRPr="00E27443">
        <w:t xml:space="preserve"> </w:t>
      </w:r>
      <w:r w:rsidRPr="00E27443">
        <w:t>below).</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For</w:t>
      </w:r>
      <w:r w:rsidR="00C63F8F" w:rsidRPr="00E27443">
        <w:t xml:space="preserve"> </w:t>
      </w:r>
      <w:r w:rsidRPr="00E27443">
        <w:t>example,</w:t>
      </w:r>
      <w:r w:rsidR="00C63F8F" w:rsidRPr="00E27443">
        <w:t xml:space="preserve"> </w:t>
      </w:r>
      <w:r w:rsidRPr="00E27443">
        <w:t>in</w:t>
      </w:r>
      <w:r w:rsidR="00C63F8F" w:rsidRPr="00E27443">
        <w:t xml:space="preserve"> </w:t>
      </w:r>
      <w:r w:rsidRPr="00E27443">
        <w:t>2009,</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Agency</w:t>
      </w:r>
      <w:r w:rsidR="00C63F8F" w:rsidRPr="00E27443">
        <w:t xml:space="preserve"> </w:t>
      </w:r>
      <w:r w:rsidRPr="00E27443">
        <w:t>for</w:t>
      </w:r>
      <w:r w:rsidR="00C63F8F" w:rsidRPr="00E27443">
        <w:t xml:space="preserve"> </w:t>
      </w:r>
      <w:r w:rsidRPr="00E27443">
        <w:t>Education</w:t>
      </w:r>
      <w:r w:rsidR="00FB0BD4" w:rsidRPr="00E27443">
        <w:rPr>
          <w:rStyle w:val="FootnoteReference"/>
        </w:rPr>
        <w:footnoteReference w:id="32"/>
      </w:r>
      <w:r w:rsidR="00C63F8F" w:rsidRPr="00E27443">
        <w:t xml:space="preserve"> </w:t>
      </w:r>
      <w:r w:rsidRPr="00E27443">
        <w:t>presented</w:t>
      </w:r>
      <w:r w:rsidR="00C63F8F" w:rsidRPr="00E27443">
        <w:t xml:space="preserve"> </w:t>
      </w:r>
      <w:r w:rsidRPr="00E27443">
        <w:t>an</w:t>
      </w:r>
      <w:r w:rsidR="00C63F8F" w:rsidRPr="00E27443">
        <w:t xml:space="preserve"> </w:t>
      </w:r>
      <w:r w:rsidRPr="00E27443">
        <w:t>inventory</w:t>
      </w:r>
      <w:r w:rsidR="00C63F8F" w:rsidRPr="00E27443">
        <w:t xml:space="preserve"> </w:t>
      </w:r>
      <w:r w:rsidRPr="00E27443">
        <w:t>of</w:t>
      </w:r>
      <w:r w:rsidR="00C63F8F" w:rsidRPr="00E27443">
        <w:t xml:space="preserve"> </w:t>
      </w:r>
      <w:r w:rsidRPr="00E27443">
        <w:rPr>
          <w:i/>
        </w:rPr>
        <w:t>accessibility</w:t>
      </w:r>
      <w:r w:rsidR="00C63F8F" w:rsidRPr="00E27443">
        <w:t xml:space="preserve"> </w:t>
      </w:r>
      <w:r w:rsidRPr="00E27443">
        <w:t>to</w:t>
      </w:r>
      <w:r w:rsidR="00C63F8F" w:rsidRPr="00E27443">
        <w:t xml:space="preserve"> </w:t>
      </w:r>
      <w:r w:rsidRPr="00E27443">
        <w:t>school</w:t>
      </w:r>
      <w:r w:rsidR="00C63F8F" w:rsidRPr="00E27443">
        <w:t xml:space="preserve"> </w:t>
      </w:r>
      <w:r w:rsidRPr="00E27443">
        <w:t>buildings.</w:t>
      </w:r>
      <w:r w:rsidR="00C63F8F" w:rsidRPr="00E27443">
        <w:t xml:space="preserve"> </w:t>
      </w:r>
      <w:r w:rsidRPr="00E27443">
        <w:t>The</w:t>
      </w:r>
      <w:r w:rsidR="00C63F8F" w:rsidRPr="00E27443">
        <w:t xml:space="preserve"> </w:t>
      </w:r>
      <w:r w:rsidRPr="00E27443">
        <w:t>Agency</w:t>
      </w:r>
      <w:r w:rsidR="00C63F8F" w:rsidRPr="00E27443">
        <w:t xml:space="preserve"> </w:t>
      </w:r>
      <w:r w:rsidRPr="00E27443">
        <w:t>noted</w:t>
      </w:r>
      <w:r w:rsidR="00C63F8F" w:rsidRPr="00E27443">
        <w:t xml:space="preserve"> </w:t>
      </w:r>
      <w:r w:rsidRPr="00E27443">
        <w:t>deficiencies</w:t>
      </w:r>
      <w:r w:rsidR="00C63F8F" w:rsidRPr="00E27443">
        <w:t xml:space="preserve"> </w:t>
      </w:r>
      <w:r w:rsidRPr="00E27443">
        <w:t>as</w:t>
      </w:r>
      <w:r w:rsidR="00C63F8F" w:rsidRPr="00E27443">
        <w:t xml:space="preserve"> </w:t>
      </w:r>
      <w:r w:rsidRPr="00E27443">
        <w:t>regards</w:t>
      </w:r>
      <w:r w:rsidR="00C63F8F" w:rsidRPr="00E27443">
        <w:t xml:space="preserve"> </w:t>
      </w:r>
      <w:r w:rsidRPr="00E27443">
        <w:t>physical</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several</w:t>
      </w:r>
      <w:r w:rsidR="00C63F8F" w:rsidRPr="00E27443">
        <w:t xml:space="preserve"> </w:t>
      </w:r>
      <w:r w:rsidRPr="00E27443">
        <w:t>schools,</w:t>
      </w:r>
      <w:r w:rsidR="00C63F8F" w:rsidRPr="00E27443">
        <w:t xml:space="preserve"> </w:t>
      </w:r>
      <w:r w:rsidRPr="00E27443">
        <w:t>but</w:t>
      </w:r>
      <w:r w:rsidR="00C63F8F" w:rsidRPr="00E27443">
        <w:t xml:space="preserve"> </w:t>
      </w:r>
      <w:r w:rsidRPr="00E27443">
        <w:t>was</w:t>
      </w:r>
      <w:r w:rsidR="00C63F8F" w:rsidRPr="00E27443">
        <w:t xml:space="preserve"> </w:t>
      </w:r>
      <w:r w:rsidRPr="00E27443">
        <w:t>also</w:t>
      </w:r>
      <w:r w:rsidR="00C63F8F" w:rsidRPr="00E27443">
        <w:t xml:space="preserve"> </w:t>
      </w:r>
      <w:r w:rsidRPr="00E27443">
        <w:t>able</w:t>
      </w:r>
      <w:r w:rsidR="00C63F8F" w:rsidRPr="00E27443">
        <w:t xml:space="preserve"> </w:t>
      </w:r>
      <w:r w:rsidRPr="00E27443">
        <w:t>to</w:t>
      </w:r>
      <w:r w:rsidR="00C63F8F" w:rsidRPr="00E27443">
        <w:t xml:space="preserve"> </w:t>
      </w:r>
      <w:r w:rsidRPr="00E27443">
        <w:t>observe</w:t>
      </w:r>
      <w:r w:rsidR="00C63F8F" w:rsidRPr="00E27443">
        <w:t xml:space="preserve"> </w:t>
      </w:r>
      <w:r w:rsidRPr="00E27443">
        <w:t>a</w:t>
      </w:r>
      <w:r w:rsidR="00C63F8F" w:rsidRPr="00E27443">
        <w:t xml:space="preserve"> </w:t>
      </w:r>
      <w:r w:rsidRPr="00E27443">
        <w:t>positive</w:t>
      </w:r>
      <w:r w:rsidR="00C63F8F" w:rsidRPr="00E27443">
        <w:t xml:space="preserve"> </w:t>
      </w:r>
      <w:r w:rsidRPr="00E27443">
        <w:t>trend</w:t>
      </w:r>
      <w:r w:rsidR="00C63F8F" w:rsidRPr="00E27443">
        <w:t xml:space="preserve"> </w:t>
      </w:r>
      <w:r w:rsidRPr="00E27443">
        <w:t>in</w:t>
      </w:r>
      <w:r w:rsidR="00C63F8F" w:rsidRPr="00E27443">
        <w:t xml:space="preserve"> </w:t>
      </w:r>
      <w:r w:rsidRPr="00E27443">
        <w:t>the</w:t>
      </w:r>
      <w:r w:rsidR="00C63F8F" w:rsidRPr="00E27443">
        <w:t xml:space="preserve"> </w:t>
      </w:r>
      <w:r w:rsidRPr="00E27443">
        <w:t>work</w:t>
      </w:r>
      <w:r w:rsidR="00C63F8F" w:rsidRPr="00E27443">
        <w:t xml:space="preserve"> </w:t>
      </w:r>
      <w:r w:rsidRPr="00E27443">
        <w:t>on</w:t>
      </w:r>
      <w:r w:rsidR="00C63F8F" w:rsidRPr="00E27443">
        <w:t xml:space="preserve"> </w:t>
      </w:r>
      <w:r w:rsidRPr="00E27443">
        <w:t>accessibility.</w:t>
      </w:r>
      <w:r w:rsidR="00C63F8F" w:rsidRPr="00E27443">
        <w:t xml:space="preserve"> </w:t>
      </w:r>
      <w:r w:rsidRPr="00E27443">
        <w:t>The</w:t>
      </w:r>
      <w:r w:rsidR="00C63F8F" w:rsidRPr="00E27443">
        <w:t xml:space="preserve"> </w:t>
      </w:r>
      <w:r w:rsidRPr="00E27443">
        <w:t>Agency</w:t>
      </w:r>
      <w:r w:rsidR="00C63F8F" w:rsidRPr="00E27443">
        <w:t xml:space="preserve"> </w:t>
      </w:r>
      <w:r w:rsidRPr="00E27443">
        <w:t>observed</w:t>
      </w:r>
      <w:r w:rsidR="00C63F8F" w:rsidRPr="00E27443">
        <w:t xml:space="preserve"> </w:t>
      </w:r>
      <w:r w:rsidRPr="00E27443">
        <w:t>that</w:t>
      </w:r>
      <w:r w:rsidR="00C63F8F" w:rsidRPr="00E27443">
        <w:t xml:space="preserve"> </w:t>
      </w:r>
      <w:r w:rsidRPr="00E27443">
        <w:t>personnel</w:t>
      </w:r>
      <w:r w:rsidR="00C63F8F" w:rsidRPr="00E27443">
        <w:t xml:space="preserve"> </w:t>
      </w:r>
      <w:r w:rsidRPr="00E27443">
        <w:t>in</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schools</w:t>
      </w:r>
      <w:r w:rsidR="00C63F8F" w:rsidRPr="00E27443">
        <w:t xml:space="preserve"> </w:t>
      </w:r>
      <w:r w:rsidRPr="00E27443">
        <w:t>often</w:t>
      </w:r>
      <w:r w:rsidR="00C63F8F" w:rsidRPr="00E27443">
        <w:t xml:space="preserve"> </w:t>
      </w:r>
      <w:r w:rsidRPr="00E27443">
        <w:t>lacked</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accessibility</w:t>
      </w:r>
      <w:r w:rsidR="00C63F8F" w:rsidRPr="00E27443">
        <w:t xml:space="preserve"> </w:t>
      </w:r>
      <w:r w:rsidRPr="00E27443">
        <w:t>and</w:t>
      </w:r>
      <w:r w:rsidR="00C63F8F" w:rsidRPr="00E27443">
        <w:t xml:space="preserve"> </w:t>
      </w:r>
      <w:r w:rsidRPr="00E27443">
        <w:t>how</w:t>
      </w:r>
      <w:r w:rsidR="00C63F8F" w:rsidRPr="00E27443">
        <w:t xml:space="preserve"> </w:t>
      </w:r>
      <w:r w:rsidRPr="00E27443">
        <w:t>it</w:t>
      </w:r>
      <w:r w:rsidR="00C63F8F" w:rsidRPr="00E27443">
        <w:t xml:space="preserve"> </w:t>
      </w:r>
      <w:r w:rsidRPr="00E27443">
        <w:t>can</w:t>
      </w:r>
      <w:r w:rsidR="00C63F8F" w:rsidRPr="00E27443">
        <w:t xml:space="preserve"> </w:t>
      </w:r>
      <w:r w:rsidRPr="00E27443">
        <w:t>be</w:t>
      </w:r>
      <w:r w:rsidR="00C63F8F" w:rsidRPr="00E27443">
        <w:t xml:space="preserve"> </w:t>
      </w:r>
      <w:r w:rsidRPr="00E27443">
        <w:t>improved.</w:t>
      </w:r>
      <w:r w:rsidR="00C63F8F" w:rsidRPr="00E27443">
        <w:t xml:space="preserve"> </w:t>
      </w:r>
      <w:r w:rsidRPr="00E27443">
        <w:t>Against</w:t>
      </w:r>
      <w:r w:rsidR="00C63F8F" w:rsidRPr="00E27443">
        <w:t xml:space="preserve"> </w:t>
      </w:r>
      <w:r w:rsidRPr="00E27443">
        <w:t>this</w:t>
      </w:r>
      <w:r w:rsidR="00C63F8F" w:rsidRPr="00E27443">
        <w:t xml:space="preserve"> </w:t>
      </w:r>
      <w:r w:rsidRPr="00E27443">
        <w:t>background,</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commissioned</w:t>
      </w:r>
      <w:r w:rsidR="00C63F8F" w:rsidRPr="00E27443">
        <w:t xml:space="preserve"> </w:t>
      </w:r>
      <w:r w:rsidRPr="00E27443">
        <w:t>the</w:t>
      </w:r>
      <w:r w:rsidR="00C63F8F" w:rsidRPr="00E27443">
        <w:t xml:space="preserve"> </w:t>
      </w:r>
      <w:r w:rsidRPr="00E27443">
        <w:t>National</w:t>
      </w:r>
      <w:r w:rsidR="00C63F8F" w:rsidRPr="00E27443">
        <w:t xml:space="preserve"> </w:t>
      </w:r>
      <w:r w:rsidRPr="00E27443">
        <w:t>Agency</w:t>
      </w:r>
      <w:r w:rsidR="00C63F8F" w:rsidRPr="00E27443">
        <w:t xml:space="preserve"> </w:t>
      </w:r>
      <w:r w:rsidRPr="00E27443">
        <w:t>for</w:t>
      </w:r>
      <w:r w:rsidR="00C63F8F" w:rsidRPr="00E27443">
        <w:t xml:space="preserve"> </w:t>
      </w:r>
      <w:r w:rsidRPr="00E27443">
        <w:t>Special</w:t>
      </w:r>
      <w:r w:rsidR="00C63F8F" w:rsidRPr="00E27443">
        <w:t xml:space="preserve"> </w:t>
      </w:r>
      <w:r w:rsidRPr="00E27443">
        <w:t>Needs</w:t>
      </w:r>
      <w:r w:rsidR="00C63F8F" w:rsidRPr="00E27443">
        <w:t xml:space="preserve"> </w:t>
      </w:r>
      <w:r w:rsidRPr="00E27443">
        <w:t>Education</w:t>
      </w:r>
      <w:r w:rsidR="00C63F8F" w:rsidRPr="00E27443">
        <w:t xml:space="preserve"> </w:t>
      </w:r>
      <w:r w:rsidRPr="00E27443">
        <w:t>and</w:t>
      </w:r>
      <w:r w:rsidR="00C63F8F" w:rsidRPr="00E27443">
        <w:t xml:space="preserve"> </w:t>
      </w:r>
      <w:r w:rsidRPr="00E27443">
        <w:t>Schools</w:t>
      </w:r>
      <w:r w:rsidR="00FB0BD4" w:rsidRPr="00E27443">
        <w:rPr>
          <w:rStyle w:val="FootnoteReference"/>
        </w:rPr>
        <w:footnoteReference w:id="33"/>
      </w:r>
      <w:r w:rsidR="00C63F8F" w:rsidRPr="00E27443">
        <w:t xml:space="preserve"> </w:t>
      </w:r>
      <w:r w:rsidRPr="00E27443">
        <w:t>to</w:t>
      </w:r>
      <w:r w:rsidR="00C63F8F" w:rsidRPr="00E27443">
        <w:t xml:space="preserve"> </w:t>
      </w:r>
      <w:r w:rsidRPr="00E27443">
        <w:t>disseminate</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schools,</w:t>
      </w:r>
      <w:r w:rsidR="00C63F8F" w:rsidRPr="00E27443">
        <w:t xml:space="preserve"> </w:t>
      </w:r>
      <w:r w:rsidRPr="00E27443">
        <w:t>pre-schools</w:t>
      </w:r>
      <w:r w:rsidR="00C63F8F" w:rsidRPr="00E27443">
        <w:t xml:space="preserve"> </w:t>
      </w:r>
      <w:r w:rsidRPr="00E27443">
        <w:t>and</w:t>
      </w:r>
      <w:r w:rsidR="00C63F8F" w:rsidRPr="00E27443">
        <w:t xml:space="preserve"> </w:t>
      </w:r>
      <w:r w:rsidRPr="00E27443">
        <w:t>municipalities</w:t>
      </w:r>
      <w:r w:rsidR="00C63F8F" w:rsidRPr="00E27443">
        <w:t xml:space="preserve"> </w:t>
      </w:r>
      <w:r w:rsidRPr="00E27443">
        <w:t>during</w:t>
      </w:r>
      <w:r w:rsidR="00C63F8F" w:rsidRPr="00E27443">
        <w:t xml:space="preserve"> </w:t>
      </w:r>
      <w:r w:rsidRPr="00E27443">
        <w:t>2009</w:t>
      </w:r>
      <w:r w:rsidR="00C63F8F" w:rsidRPr="00E27443">
        <w:t xml:space="preserve"> </w:t>
      </w:r>
      <w:r w:rsidRPr="00E27443">
        <w:t>and</w:t>
      </w:r>
      <w:r w:rsidR="00C63F8F" w:rsidRPr="00E27443">
        <w:t xml:space="preserve"> </w:t>
      </w:r>
      <w:r w:rsidRPr="00E27443">
        <w:t>2010.</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ambition</w:t>
      </w:r>
      <w:r w:rsidR="00C63F8F" w:rsidRPr="00E27443">
        <w:t xml:space="preserve"> </w:t>
      </w:r>
      <w:r w:rsidRPr="00E27443">
        <w:t>has</w:t>
      </w:r>
      <w:r w:rsidR="00C63F8F" w:rsidRPr="00E27443">
        <w:t xml:space="preserve"> </w:t>
      </w:r>
      <w:r w:rsidRPr="00E27443">
        <w:t>been</w:t>
      </w:r>
      <w:r w:rsidR="00C63F8F" w:rsidRPr="00E27443">
        <w:t xml:space="preserve"> </w:t>
      </w:r>
      <w:r w:rsidRPr="00E27443">
        <w:t>to</w:t>
      </w:r>
      <w:r w:rsidR="00C63F8F" w:rsidRPr="00E27443">
        <w:t xml:space="preserve"> </w:t>
      </w:r>
      <w:r w:rsidRPr="00E27443">
        <w:t>intensify</w:t>
      </w:r>
      <w:r w:rsidR="00C63F8F" w:rsidRPr="00E27443">
        <w:t xml:space="preserve"> </w:t>
      </w:r>
      <w:r w:rsidRPr="00E27443">
        <w:t>the</w:t>
      </w:r>
      <w:r w:rsidR="00C63F8F" w:rsidRPr="00E27443">
        <w:t xml:space="preserve"> </w:t>
      </w:r>
      <w:r w:rsidRPr="00E27443">
        <w:t>accessibility</w:t>
      </w:r>
      <w:r w:rsidR="00C63F8F" w:rsidRPr="00E27443">
        <w:t xml:space="preserve"> </w:t>
      </w:r>
      <w:r w:rsidRPr="00E27443">
        <w:t>work</w:t>
      </w:r>
      <w:r w:rsidR="00C63F8F" w:rsidRPr="00E27443">
        <w:t xml:space="preserve"> </w:t>
      </w:r>
      <w:r w:rsidRPr="00E27443">
        <w:t>and</w:t>
      </w:r>
      <w:r w:rsidR="00C63F8F" w:rsidRPr="00E27443">
        <w:t xml:space="preserve"> </w:t>
      </w:r>
      <w:r w:rsidRPr="00E27443">
        <w:t>to</w:t>
      </w:r>
      <w:r w:rsidR="00C63F8F" w:rsidRPr="00E27443">
        <w:t xml:space="preserve"> </w:t>
      </w:r>
      <w:r w:rsidRPr="00E27443">
        <w:t>improve</w:t>
      </w:r>
      <w:r w:rsidR="00C63F8F" w:rsidRPr="00E27443">
        <w:t xml:space="preserve"> </w:t>
      </w:r>
      <w:r w:rsidRPr="00E27443">
        <w:t>control</w:t>
      </w:r>
      <w:r w:rsidR="00C63F8F" w:rsidRPr="00E27443">
        <w:t xml:space="preserve"> </w:t>
      </w:r>
      <w:r w:rsidRPr="00E27443">
        <w:t>of</w:t>
      </w:r>
      <w:r w:rsidR="00C63F8F" w:rsidRPr="00E27443">
        <w:t xml:space="preserve"> </w:t>
      </w:r>
      <w:r w:rsidRPr="00E27443">
        <w:t>the</w:t>
      </w:r>
      <w:r w:rsidR="00C63F8F" w:rsidRPr="00E27443">
        <w:t xml:space="preserve"> </w:t>
      </w:r>
      <w:r w:rsidRPr="00E27443">
        <w:t>work,</w:t>
      </w:r>
      <w:r w:rsidR="00C63F8F" w:rsidRPr="00E27443">
        <w:t xml:space="preserve"> </w:t>
      </w:r>
      <w:r w:rsidRPr="00E27443">
        <w:t>particularly</w:t>
      </w:r>
      <w:r w:rsidR="00C63F8F" w:rsidRPr="00E27443">
        <w:t xml:space="preserve"> </w:t>
      </w:r>
      <w:r w:rsidRPr="00E27443">
        <w:t>among</w:t>
      </w:r>
      <w:r w:rsidR="00C63F8F" w:rsidRPr="00E27443">
        <w:t xml:space="preserve"> </w:t>
      </w:r>
      <w:r w:rsidRPr="00E27443">
        <w:t>the</w:t>
      </w:r>
      <w:r w:rsidR="00C63F8F" w:rsidRPr="00E27443">
        <w:t xml:space="preserve"> </w:t>
      </w:r>
      <w:r w:rsidRPr="00E27443">
        <w:t>citizens.</w:t>
      </w:r>
      <w:r w:rsidR="00C63F8F" w:rsidRPr="00E27443">
        <w:t xml:space="preserve"> </w:t>
      </w:r>
      <w:r w:rsidRPr="00E27443">
        <w:t>In</w:t>
      </w:r>
      <w:r w:rsidR="00C63F8F" w:rsidRPr="00E27443">
        <w:t xml:space="preserve"> </w:t>
      </w:r>
      <w:r w:rsidRPr="00E27443">
        <w:t>2008,</w:t>
      </w:r>
      <w:r w:rsidR="00C63F8F" w:rsidRPr="00E27443">
        <w:t xml:space="preserve"> </w:t>
      </w:r>
      <w:r w:rsidRPr="00E27443">
        <w:t>Handisam</w:t>
      </w:r>
      <w:r w:rsidR="00C63F8F" w:rsidRPr="00E27443">
        <w:t xml:space="preserve"> </w:t>
      </w:r>
      <w:r w:rsidRPr="00E27443">
        <w:t>was</w:t>
      </w:r>
      <w:r w:rsidR="00C63F8F" w:rsidRPr="00E27443">
        <w:t xml:space="preserve"> </w:t>
      </w:r>
      <w:r w:rsidRPr="00E27443">
        <w:t>therefore</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present</w:t>
      </w:r>
      <w:r w:rsidR="00C63F8F" w:rsidRPr="00E27443">
        <w:t xml:space="preserve"> </w:t>
      </w:r>
      <w:r w:rsidRPr="00E27443">
        <w:t>the</w:t>
      </w:r>
      <w:r w:rsidR="00C63F8F" w:rsidRPr="00E27443">
        <w:t xml:space="preserve"> </w:t>
      </w:r>
      <w:r w:rsidRPr="00E27443">
        <w:t>results</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accessi</w:t>
      </w:r>
      <w:r w:rsidRPr="00E27443">
        <w:softHyphen/>
        <w:t>bility</w:t>
      </w:r>
      <w:r w:rsidR="00C63F8F" w:rsidRPr="00E27443">
        <w:t xml:space="preserve"> </w:t>
      </w:r>
      <w:r w:rsidRPr="00E27443">
        <w:t>work</w:t>
      </w:r>
      <w:r w:rsidR="00C63F8F" w:rsidRPr="00E27443">
        <w:t xml:space="preserve"> </w:t>
      </w:r>
      <w:r w:rsidRPr="00E27443">
        <w:t>in</w:t>
      </w:r>
      <w:r w:rsidR="00C63F8F" w:rsidRPr="00E27443">
        <w:t xml:space="preserve"> </w:t>
      </w:r>
      <w:r w:rsidRPr="00E27443">
        <w:t>the</w:t>
      </w:r>
      <w:r w:rsidR="00C63F8F" w:rsidRPr="00E27443">
        <w:t xml:space="preserve"> </w:t>
      </w:r>
      <w:r w:rsidRPr="00E27443">
        <w:t>form</w:t>
      </w:r>
      <w:r w:rsidR="00C63F8F" w:rsidRPr="00E27443">
        <w:t xml:space="preserve"> </w:t>
      </w:r>
      <w:r w:rsidRPr="00E27443">
        <w:t>of</w:t>
      </w:r>
      <w:r w:rsidR="00C63F8F" w:rsidRPr="00E27443">
        <w:t xml:space="preserve"> </w:t>
      </w:r>
      <w:r w:rsidRPr="00E27443">
        <w:t>open</w:t>
      </w:r>
      <w:r w:rsidR="00C63F8F" w:rsidRPr="00E27443">
        <w:t xml:space="preserve"> </w:t>
      </w:r>
      <w:r w:rsidRPr="00E27443">
        <w:t>comparisons.</w:t>
      </w:r>
      <w:r w:rsidR="00C63F8F" w:rsidRPr="00E27443">
        <w:t xml:space="preserve"> </w:t>
      </w:r>
      <w:r w:rsidRPr="00E27443">
        <w:t>The</w:t>
      </w:r>
      <w:r w:rsidR="00C63F8F" w:rsidRPr="00E27443">
        <w:t xml:space="preserve"> </w:t>
      </w:r>
      <w:r w:rsidRPr="00E27443">
        <w:t>Agency</w:t>
      </w:r>
      <w:r w:rsidR="00C63F8F" w:rsidRPr="00E27443">
        <w:t xml:space="preserve"> </w:t>
      </w:r>
      <w:r w:rsidRPr="00E27443">
        <w:t>presents</w:t>
      </w:r>
      <w:r w:rsidR="00C63F8F" w:rsidRPr="00E27443">
        <w:t xml:space="preserve"> </w:t>
      </w:r>
      <w:r w:rsidRPr="00E27443">
        <w:t>how</w:t>
      </w:r>
      <w:r w:rsidR="00C63F8F" w:rsidRPr="00E27443">
        <w:t xml:space="preserve"> </w:t>
      </w:r>
      <w:r w:rsidRPr="00E27443">
        <w:t>individual</w:t>
      </w:r>
      <w:r w:rsidR="00C63F8F" w:rsidRPr="00E27443">
        <w:t xml:space="preserve"> </w:t>
      </w:r>
      <w:r w:rsidRPr="00E27443">
        <w:t>authorities</w:t>
      </w:r>
      <w:r w:rsidR="00C63F8F" w:rsidRPr="00E27443">
        <w:t xml:space="preserve"> </w:t>
      </w:r>
      <w:r w:rsidRPr="00E27443">
        <w:t>have</w:t>
      </w:r>
      <w:r w:rsidR="00C63F8F" w:rsidRPr="00E27443">
        <w:t xml:space="preserve"> </w:t>
      </w:r>
      <w:r w:rsidRPr="00E27443">
        <w:t>fulfilled</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fundamental</w:t>
      </w:r>
      <w:r w:rsidR="00C63F8F" w:rsidRPr="00E27443">
        <w:t xml:space="preserve"> </w:t>
      </w:r>
      <w:r w:rsidRPr="00E27443">
        <w:t>accessibility</w:t>
      </w:r>
      <w:r w:rsidR="00C63F8F" w:rsidRPr="00E27443">
        <w:t xml:space="preserve"> </w:t>
      </w:r>
      <w:r w:rsidRPr="00E27443">
        <w:t>criteria</w:t>
      </w:r>
      <w:r w:rsidR="00C63F8F" w:rsidRPr="00E27443">
        <w:t xml:space="preserve"> </w:t>
      </w:r>
      <w:r w:rsidRPr="00E27443">
        <w:t>within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physical</w:t>
      </w:r>
      <w:r w:rsidR="00C63F8F" w:rsidRPr="00E27443">
        <w:t xml:space="preserve"> </w:t>
      </w:r>
      <w:r w:rsidRPr="00E27443">
        <w:t>accessibility</w:t>
      </w:r>
      <w:r w:rsidR="00C63F8F" w:rsidRPr="00E27443">
        <w:t xml:space="preserve"> </w:t>
      </w:r>
      <w:r w:rsidRPr="00E27443">
        <w:t>within</w:t>
      </w:r>
      <w:r w:rsidR="00C63F8F" w:rsidRPr="00E27443">
        <w:t xml:space="preserve"> </w:t>
      </w:r>
      <w:r w:rsidRPr="00E27443">
        <w:t>the</w:t>
      </w:r>
      <w:r w:rsidR="00C63F8F" w:rsidRPr="00E27443">
        <w:t xml:space="preserve"> </w:t>
      </w:r>
      <w:r w:rsidRPr="00E27443">
        <w:t>Agency</w:t>
      </w:r>
      <w:r w:rsidR="00C63F8F" w:rsidRPr="00E27443">
        <w:t>’</w:t>
      </w:r>
      <w:r w:rsidRPr="00E27443">
        <w:t>s</w:t>
      </w:r>
      <w:r w:rsidR="00C63F8F" w:rsidRPr="00E27443">
        <w:t xml:space="preserve"> </w:t>
      </w:r>
      <w:r w:rsidRPr="00E27443">
        <w:t>main</w:t>
      </w:r>
      <w:r w:rsidR="00C63F8F" w:rsidRPr="00E27443">
        <w:t xml:space="preserve"> </w:t>
      </w:r>
      <w:r w:rsidRPr="00E27443">
        <w:t>building.</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rPr>
          <w:i/>
        </w:rPr>
        <w:t>Swedish</w:t>
      </w:r>
      <w:r w:rsidR="00C63F8F" w:rsidRPr="00E27443">
        <w:rPr>
          <w:i/>
        </w:rPr>
        <w:t xml:space="preserve"> </w:t>
      </w:r>
      <w:r w:rsidRPr="00E27443">
        <w:rPr>
          <w:i/>
        </w:rPr>
        <w:t>Planning</w:t>
      </w:r>
      <w:r w:rsidR="00C63F8F" w:rsidRPr="00E27443">
        <w:rPr>
          <w:i/>
        </w:rPr>
        <w:t xml:space="preserve"> </w:t>
      </w:r>
      <w:r w:rsidRPr="00E27443">
        <w:rPr>
          <w:i/>
        </w:rPr>
        <w:t>and</w:t>
      </w:r>
      <w:r w:rsidR="00C63F8F" w:rsidRPr="00E27443">
        <w:rPr>
          <w:i/>
        </w:rPr>
        <w:t xml:space="preserve"> </w:t>
      </w:r>
      <w:r w:rsidRPr="00E27443">
        <w:rPr>
          <w:i/>
        </w:rPr>
        <w:t>Building</w:t>
      </w:r>
      <w:r w:rsidR="00C63F8F" w:rsidRPr="00E27443">
        <w:rPr>
          <w:i/>
        </w:rPr>
        <w:t xml:space="preserve"> </w:t>
      </w:r>
      <w:r w:rsidRPr="00E27443">
        <w:rPr>
          <w:i/>
        </w:rPr>
        <w:t>Act</w:t>
      </w:r>
      <w:r w:rsidR="00FB0BD4" w:rsidRPr="00E27443">
        <w:rPr>
          <w:rStyle w:val="FootnoteReference"/>
        </w:rPr>
        <w:footnoteReference w:id="34"/>
      </w:r>
      <w:r w:rsidR="00C63F8F" w:rsidRPr="00E27443">
        <w:t xml:space="preserve"> </w:t>
      </w:r>
      <w:r w:rsidRPr="00E27443">
        <w:t>(PBL)</w:t>
      </w:r>
      <w:r w:rsidR="00C63F8F" w:rsidRPr="00E27443">
        <w:t xml:space="preserve"> </w:t>
      </w:r>
      <w:r w:rsidRPr="00E27443">
        <w:t>includes</w:t>
      </w:r>
      <w:r w:rsidR="00C63F8F" w:rsidRPr="00E27443">
        <w:t xml:space="preserve"> </w:t>
      </w:r>
      <w:r w:rsidRPr="00E27443">
        <w:t>accessibility</w:t>
      </w:r>
      <w:r w:rsidR="00C63F8F" w:rsidRPr="00E27443">
        <w:t xml:space="preserve"> </w:t>
      </w:r>
      <w:r w:rsidRPr="00E27443">
        <w:t>and</w:t>
      </w:r>
      <w:r w:rsidR="00C63F8F" w:rsidRPr="00E27443">
        <w:t xml:space="preserve"> </w:t>
      </w:r>
      <w:r w:rsidRPr="00E27443">
        <w:t>usability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movement</w:t>
      </w:r>
      <w:r w:rsidR="00C63F8F" w:rsidRPr="00E27443">
        <w:t xml:space="preserve"> </w:t>
      </w:r>
      <w:r w:rsidRPr="00E27443">
        <w:t>or</w:t>
      </w:r>
      <w:r w:rsidR="00C63F8F" w:rsidRPr="00E27443">
        <w:t xml:space="preserve"> </w:t>
      </w:r>
      <w:r w:rsidRPr="00E27443">
        <w:t>orientation</w:t>
      </w:r>
      <w:r w:rsidR="00C63F8F" w:rsidRPr="00E27443">
        <w:t xml:space="preserve"> </w:t>
      </w:r>
      <w:r w:rsidRPr="00E27443">
        <w:t>as</w:t>
      </w:r>
      <w:r w:rsidR="00C63F8F" w:rsidRPr="00E27443">
        <w:t xml:space="preserve"> </w:t>
      </w:r>
      <w:r w:rsidRPr="00E27443">
        <w:t>one</w:t>
      </w:r>
      <w:r w:rsidR="00C63F8F" w:rsidRPr="00E27443">
        <w:t xml:space="preserve"> </w:t>
      </w:r>
      <w:r w:rsidRPr="00E27443">
        <w:t>of</w:t>
      </w:r>
      <w:r w:rsidR="00C63F8F" w:rsidRPr="00E27443">
        <w:t xml:space="preserve"> </w:t>
      </w:r>
      <w:r w:rsidRPr="00E27443">
        <w:t>nine</w:t>
      </w:r>
      <w:r w:rsidR="00C63F8F" w:rsidRPr="00E27443">
        <w:t xml:space="preserve"> </w:t>
      </w:r>
      <w:r w:rsidRPr="00E27443">
        <w:t>technical</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construction</w:t>
      </w:r>
      <w:r w:rsidR="00C63F8F" w:rsidRPr="00E27443">
        <w:t xml:space="preserve"> </w:t>
      </w:r>
      <w:r w:rsidRPr="00E27443">
        <w:t>works.</w:t>
      </w:r>
      <w:r w:rsidR="00C63F8F" w:rsidRPr="00E27443">
        <w:t xml:space="preserve"> </w:t>
      </w:r>
      <w:r w:rsidRPr="00E27443">
        <w:t>The</w:t>
      </w:r>
      <w:r w:rsidR="00C63F8F" w:rsidRPr="00E27443">
        <w:t xml:space="preserve"> </w:t>
      </w:r>
      <w:r w:rsidRPr="00E27443">
        <w:t>requirements</w:t>
      </w:r>
      <w:r w:rsidR="00C63F8F" w:rsidRPr="00E27443">
        <w:t xml:space="preserve"> </w:t>
      </w:r>
      <w:r w:rsidRPr="00E27443">
        <w:t>apply</w:t>
      </w:r>
      <w:r w:rsidR="00C63F8F" w:rsidRPr="00E27443">
        <w:t xml:space="preserve"> </w:t>
      </w:r>
      <w:r w:rsidRPr="00E27443">
        <w:t>to</w:t>
      </w:r>
      <w:r w:rsidR="00C63F8F" w:rsidRPr="00E27443">
        <w:t xml:space="preserve"> </w:t>
      </w:r>
      <w:r w:rsidRPr="00E27443">
        <w:t>buildings,</w:t>
      </w:r>
      <w:r w:rsidR="00C63F8F" w:rsidRPr="00E27443">
        <w:t xml:space="preserve"> </w:t>
      </w:r>
      <w:r w:rsidRPr="00E27443">
        <w:t>plots,</w:t>
      </w:r>
      <w:r w:rsidR="00C63F8F" w:rsidRPr="00E27443">
        <w:t xml:space="preserve"> </w:t>
      </w:r>
      <w:r w:rsidRPr="00E27443">
        <w:t>public</w:t>
      </w:r>
      <w:r w:rsidR="00C63F8F" w:rsidRPr="00E27443">
        <w:t xml:space="preserve"> </w:t>
      </w:r>
      <w:r w:rsidRPr="00E27443">
        <w:t>locations</w:t>
      </w:r>
      <w:r w:rsidR="00C63F8F" w:rsidRPr="00E27443">
        <w:t xml:space="preserve"> </w:t>
      </w:r>
      <w:r w:rsidRPr="00E27443">
        <w:t>and</w:t>
      </w:r>
      <w:r w:rsidR="00C63F8F" w:rsidRPr="00E27443">
        <w:t xml:space="preserve"> </w:t>
      </w:r>
      <w:r w:rsidRPr="00E27443">
        <w:t>areas</w:t>
      </w:r>
      <w:r w:rsidR="00C63F8F" w:rsidRPr="00E27443">
        <w:t xml:space="preserve"> </w:t>
      </w:r>
      <w:r w:rsidRPr="00E27443">
        <w:t>with</w:t>
      </w:r>
      <w:r w:rsidR="00C63F8F" w:rsidRPr="00E27443">
        <w:t xml:space="preserve"> </w:t>
      </w:r>
      <w:r w:rsidRPr="00E27443">
        <w:t>facilities</w:t>
      </w:r>
      <w:r w:rsidR="00C63F8F" w:rsidRPr="00E27443">
        <w:t xml:space="preserve"> </w:t>
      </w:r>
      <w:r w:rsidRPr="00E27443">
        <w:t>other</w:t>
      </w:r>
      <w:r w:rsidR="00C63F8F" w:rsidRPr="00E27443">
        <w:t xml:space="preserve"> </w:t>
      </w:r>
      <w:r w:rsidRPr="00E27443">
        <w:t>than</w:t>
      </w:r>
      <w:r w:rsidR="00C63F8F" w:rsidRPr="00E27443">
        <w:t xml:space="preserve"> </w:t>
      </w:r>
      <w:r w:rsidRPr="00E27443">
        <w:t>buildings.</w:t>
      </w:r>
      <w:r w:rsidR="00C63F8F" w:rsidRPr="00E27443">
        <w:t xml:space="preserve"> </w:t>
      </w:r>
      <w:r w:rsidRPr="00E27443">
        <w:t>Swedish</w:t>
      </w:r>
      <w:r w:rsidR="00C63F8F" w:rsidRPr="00E27443">
        <w:t xml:space="preserve"> </w:t>
      </w:r>
      <w:r w:rsidRPr="00E27443">
        <w:t>building</w:t>
      </w:r>
      <w:r w:rsidR="00C63F8F" w:rsidRPr="00E27443">
        <w:t xml:space="preserve"> </w:t>
      </w:r>
      <w:r w:rsidRPr="00E27443">
        <w:t>regulations</w:t>
      </w:r>
      <w:r w:rsidR="00C63F8F" w:rsidRPr="00E27443">
        <w:t xml:space="preserve"> </w:t>
      </w:r>
      <w:r w:rsidRPr="00E27443">
        <w:t>also</w:t>
      </w:r>
      <w:r w:rsidR="00C63F8F" w:rsidRPr="00E27443">
        <w:t xml:space="preserve"> </w:t>
      </w:r>
      <w:r w:rsidRPr="00E27443">
        <w:t>contain</w:t>
      </w:r>
      <w:r w:rsidR="00C63F8F" w:rsidRPr="00E27443">
        <w:t xml:space="preserve"> </w:t>
      </w:r>
      <w:r w:rsidRPr="00E27443">
        <w:t>detailed</w:t>
      </w:r>
      <w:r w:rsidR="00C63F8F" w:rsidRPr="00E27443">
        <w:t xml:space="preserve"> </w:t>
      </w:r>
      <w:r w:rsidRPr="00E27443">
        <w:t>requirements</w:t>
      </w:r>
      <w:r w:rsidR="00C63F8F" w:rsidRPr="00E27443">
        <w:t xml:space="preserve"> </w:t>
      </w:r>
      <w:r w:rsidRPr="00E27443">
        <w:t>regarding</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housing.</w:t>
      </w:r>
      <w:r w:rsidR="00C63F8F" w:rsidRPr="00E27443">
        <w:t xml:space="preserve"> </w:t>
      </w:r>
      <w:r w:rsidRPr="00E27443">
        <w:t>In</w:t>
      </w:r>
      <w:r w:rsidR="00C63F8F" w:rsidRPr="00E27443">
        <w:t xml:space="preserve"> </w:t>
      </w:r>
      <w:r w:rsidRPr="00E27443">
        <w:t>all</w:t>
      </w:r>
      <w:r w:rsidR="00C63F8F" w:rsidRPr="00E27443">
        <w:t xml:space="preserve"> </w:t>
      </w:r>
      <w:r w:rsidRPr="00E27443">
        <w:t>new</w:t>
      </w:r>
      <w:r w:rsidR="00C63F8F" w:rsidRPr="00E27443">
        <w:t xml:space="preserve"> </w:t>
      </w:r>
      <w:r w:rsidRPr="00E27443">
        <w:t>and</w:t>
      </w:r>
      <w:r w:rsidR="00C63F8F" w:rsidRPr="00E27443">
        <w:t xml:space="preserve"> </w:t>
      </w:r>
      <w:r w:rsidRPr="00E27443">
        <w:t>converted</w:t>
      </w:r>
      <w:r w:rsidR="00C63F8F" w:rsidRPr="00E27443">
        <w:t xml:space="preserve"> </w:t>
      </w:r>
      <w:r w:rsidRPr="00E27443">
        <w:t>accommodation,</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there</w:t>
      </w:r>
      <w:r w:rsidR="00C63F8F" w:rsidRPr="00E27443">
        <w:t xml:space="preserve"> </w:t>
      </w:r>
      <w:r w:rsidRPr="00E27443">
        <w:t>must</w:t>
      </w:r>
      <w:r w:rsidR="00C63F8F" w:rsidRPr="00E27443">
        <w:t xml:space="preserve"> </w:t>
      </w:r>
      <w:r w:rsidRPr="00E27443">
        <w:t>be</w:t>
      </w:r>
      <w:r w:rsidR="00C63F8F" w:rsidRPr="00E27443">
        <w:t xml:space="preserve"> </w:t>
      </w:r>
      <w:r w:rsidRPr="00E27443">
        <w:t>accessible</w:t>
      </w:r>
      <w:r w:rsidR="00C63F8F" w:rsidRPr="00E27443">
        <w:t xml:space="preserve"> </w:t>
      </w:r>
      <w:r w:rsidRPr="00E27443">
        <w:t>wet</w:t>
      </w:r>
      <w:r w:rsidR="00C63F8F" w:rsidRPr="00E27443">
        <w:t xml:space="preserve"> </w:t>
      </w:r>
      <w:r w:rsidRPr="00E27443">
        <w:t>rooms.</w:t>
      </w:r>
      <w:r w:rsidR="00C63F8F" w:rsidRPr="00E27443">
        <w:t xml:space="preserve"> </w:t>
      </w:r>
      <w:r w:rsidRPr="00E27443">
        <w:t>All</w:t>
      </w:r>
      <w:r w:rsidR="00C63F8F" w:rsidRPr="00E27443">
        <w:t xml:space="preserve"> </w:t>
      </w:r>
      <w:r w:rsidRPr="00E27443">
        <w:t>new</w:t>
      </w:r>
      <w:r w:rsidR="00C63F8F" w:rsidRPr="00E27443">
        <w:t xml:space="preserve"> </w:t>
      </w:r>
      <w:r w:rsidRPr="00E27443">
        <w:t>buildings</w:t>
      </w:r>
      <w:r w:rsidR="00C63F8F" w:rsidRPr="00E27443">
        <w:t xml:space="preserve"> </w:t>
      </w:r>
      <w:r w:rsidRPr="00E27443">
        <w:t>must,</w:t>
      </w:r>
      <w:r w:rsidR="00C63F8F" w:rsidRPr="00E27443">
        <w:t xml:space="preserve"> </w:t>
      </w:r>
      <w:r w:rsidRPr="00E27443">
        <w:t>for</w:t>
      </w:r>
      <w:r w:rsidR="00C63F8F" w:rsidRPr="00E27443">
        <w:t xml:space="preserve"> </w:t>
      </w:r>
      <w:r w:rsidRPr="00E27443">
        <w:t>example,</w:t>
      </w:r>
      <w:r w:rsidR="00C63F8F" w:rsidRPr="00E27443">
        <w:t xml:space="preserve"> </w:t>
      </w:r>
      <w:r w:rsidRPr="00E27443">
        <w:t>have</w:t>
      </w:r>
      <w:r w:rsidR="00C63F8F" w:rsidRPr="00E27443">
        <w:t xml:space="preserve"> </w:t>
      </w:r>
      <w:r w:rsidRPr="00E27443">
        <w:t>accessible</w:t>
      </w:r>
      <w:r w:rsidR="00C63F8F" w:rsidRPr="00E27443">
        <w:t xml:space="preserve"> </w:t>
      </w:r>
      <w:r w:rsidRPr="00E27443">
        <w:t>entrances,</w:t>
      </w:r>
      <w:r w:rsidR="00C63F8F" w:rsidRPr="00E27443">
        <w:t xml:space="preserve"> </w:t>
      </w:r>
      <w:r w:rsidRPr="00E27443">
        <w:t>and</w:t>
      </w:r>
      <w:r w:rsidR="00C63F8F" w:rsidRPr="00E27443">
        <w:t xml:space="preserve"> </w:t>
      </w:r>
      <w:r w:rsidRPr="00E27443">
        <w:t>newly</w:t>
      </w:r>
      <w:r w:rsidR="00C63F8F" w:rsidRPr="00E27443">
        <w:t xml:space="preserve"> </w:t>
      </w:r>
      <w:r w:rsidRPr="00E27443">
        <w:t>built</w:t>
      </w:r>
      <w:r w:rsidR="00C63F8F" w:rsidRPr="00E27443">
        <w:t xml:space="preserve"> </w:t>
      </w:r>
      <w:r w:rsidRPr="00E27443">
        <w:t>accommodation</w:t>
      </w:r>
      <w:r w:rsidR="00C63F8F" w:rsidRPr="00E27443">
        <w:t xml:space="preserve"> </w:t>
      </w:r>
      <w:r w:rsidRPr="00E27443">
        <w:t>must</w:t>
      </w:r>
      <w:r w:rsidR="00C63F8F" w:rsidRPr="00E27443">
        <w:t xml:space="preserve"> </w:t>
      </w:r>
      <w:r w:rsidRPr="00E27443">
        <w:t>have</w:t>
      </w:r>
      <w:r w:rsidR="00C63F8F" w:rsidRPr="00E27443">
        <w:t xml:space="preserve"> </w:t>
      </w:r>
      <w:r w:rsidRPr="00E27443">
        <w:t>a</w:t>
      </w:r>
      <w:r w:rsidR="00C63F8F" w:rsidRPr="00E27443">
        <w:t xml:space="preserve"> </w:t>
      </w:r>
      <w:r w:rsidRPr="00E27443">
        <w:t>turning</w:t>
      </w:r>
      <w:r w:rsidR="00C63F8F" w:rsidRPr="00E27443">
        <w:t xml:space="preserve"> </w:t>
      </w:r>
      <w:r w:rsidRPr="00E27443">
        <w:t>area</w:t>
      </w:r>
      <w:r w:rsidR="00C63F8F" w:rsidRPr="00E27443">
        <w:t xml:space="preserve"> </w:t>
      </w:r>
      <w:r w:rsidRPr="00E27443">
        <w:t>for</w:t>
      </w:r>
      <w:r w:rsidR="00C63F8F" w:rsidRPr="00E27443">
        <w:t xml:space="preserve"> </w:t>
      </w:r>
      <w:r w:rsidRPr="00E27443">
        <w:t>indoor</w:t>
      </w:r>
      <w:r w:rsidR="00C63F8F" w:rsidRPr="00E27443">
        <w:t xml:space="preserve"> </w:t>
      </w:r>
      <w:r w:rsidRPr="00E27443">
        <w:t>wheelchairs.</w:t>
      </w:r>
      <w:r w:rsidR="00C63F8F" w:rsidRPr="00E27443">
        <w:t xml:space="preserve"> </w:t>
      </w:r>
      <w:r w:rsidRPr="00E27443">
        <w:t>The</w:t>
      </w:r>
      <w:r w:rsidR="00C63F8F" w:rsidRPr="00E27443">
        <w:t xml:space="preserve"> </w:t>
      </w:r>
      <w:r w:rsidRPr="00E27443">
        <w:t>building</w:t>
      </w:r>
      <w:r w:rsidR="00C63F8F" w:rsidRPr="00E27443">
        <w:t xml:space="preserve"> </w:t>
      </w:r>
      <w:r w:rsidRPr="00E27443">
        <w:t>regulations</w:t>
      </w:r>
      <w:r w:rsidR="00C63F8F" w:rsidRPr="00E27443">
        <w:t xml:space="preserve"> </w:t>
      </w:r>
      <w:r w:rsidRPr="00E27443">
        <w:t>also</w:t>
      </w:r>
      <w:r w:rsidR="00C63F8F" w:rsidRPr="00E27443">
        <w:t xml:space="preserve"> </w:t>
      </w:r>
      <w:r w:rsidRPr="00E27443">
        <w:t>require</w:t>
      </w:r>
      <w:r w:rsidR="00C63F8F" w:rsidRPr="00E27443">
        <w:t xml:space="preserve"> </w:t>
      </w:r>
      <w:r w:rsidRPr="00E27443">
        <w:t>lifts</w:t>
      </w:r>
      <w:r w:rsidR="00C63F8F" w:rsidRPr="00E27443">
        <w:t xml:space="preserve"> </w:t>
      </w:r>
      <w:r w:rsidRPr="00E27443">
        <w:t>in</w:t>
      </w:r>
      <w:r w:rsidR="00C63F8F" w:rsidRPr="00E27443">
        <w:t xml:space="preserve"> </w:t>
      </w:r>
      <w:r w:rsidRPr="00E27443">
        <w:t>new</w:t>
      </w:r>
      <w:r w:rsidR="00C63F8F" w:rsidRPr="00E27443">
        <w:t xml:space="preserve"> </w:t>
      </w:r>
      <w:r w:rsidRPr="00E27443">
        <w:t>and</w:t>
      </w:r>
      <w:r w:rsidR="00C63F8F" w:rsidRPr="00E27443">
        <w:t xml:space="preserve"> </w:t>
      </w:r>
      <w:r w:rsidRPr="00E27443">
        <w:t>converted</w:t>
      </w:r>
      <w:r w:rsidR="00C63F8F" w:rsidRPr="00E27443">
        <w:t xml:space="preserve"> </w:t>
      </w:r>
      <w:r w:rsidRPr="00E27443">
        <w:t>housing</w:t>
      </w:r>
      <w:r w:rsidR="00C63F8F" w:rsidRPr="00E27443">
        <w:t xml:space="preserve"> </w:t>
      </w:r>
      <w:r w:rsidRPr="00E27443">
        <w:t>buildings</w:t>
      </w:r>
      <w:r w:rsidR="00C63F8F" w:rsidRPr="00E27443">
        <w:t xml:space="preserve"> </w:t>
      </w:r>
      <w:r w:rsidRPr="00E27443">
        <w:t>of</w:t>
      </w:r>
      <w:r w:rsidR="00C63F8F" w:rsidRPr="00E27443">
        <w:t xml:space="preserve"> </w:t>
      </w:r>
      <w:r w:rsidRPr="00E27443">
        <w:t>more</w:t>
      </w:r>
      <w:r w:rsidR="00C63F8F" w:rsidRPr="00E27443">
        <w:t xml:space="preserve"> </w:t>
      </w:r>
      <w:r w:rsidRPr="00E27443">
        <w:t>than</w:t>
      </w:r>
      <w:r w:rsidR="00C63F8F" w:rsidRPr="00E27443">
        <w:t xml:space="preserve"> </w:t>
      </w:r>
      <w:r w:rsidRPr="00E27443">
        <w:t>three</w:t>
      </w:r>
      <w:r w:rsidR="00C63F8F" w:rsidRPr="00E27443">
        <w:t xml:space="preserve"> </w:t>
      </w:r>
      <w:r w:rsidRPr="00E27443">
        <w:t>floors,</w:t>
      </w:r>
      <w:r w:rsidR="00C63F8F" w:rsidRPr="00E27443">
        <w:t xml:space="preserve"> </w:t>
      </w:r>
      <w:r w:rsidRPr="00E27443">
        <w:t>and</w:t>
      </w:r>
      <w:r w:rsidR="00C63F8F" w:rsidRPr="00E27443">
        <w:t xml:space="preserve"> </w:t>
      </w:r>
      <w:r w:rsidRPr="00E27443">
        <w:t>for</w:t>
      </w:r>
      <w:r w:rsidR="00C63F8F" w:rsidRPr="00E27443">
        <w:t xml:space="preserve"> </w:t>
      </w:r>
      <w:r w:rsidRPr="00E27443">
        <w:t>storage</w:t>
      </w:r>
      <w:r w:rsidR="00C63F8F" w:rsidRPr="00E27443">
        <w:t xml:space="preserve"> </w:t>
      </w:r>
      <w:r w:rsidRPr="00E27443">
        <w:t>areas,</w:t>
      </w:r>
      <w:r w:rsidR="00C63F8F" w:rsidRPr="00E27443">
        <w:t xml:space="preserve"> </w:t>
      </w:r>
      <w:r w:rsidRPr="00E27443">
        <w:t>mailboxes,</w:t>
      </w:r>
      <w:r w:rsidR="00C63F8F" w:rsidRPr="00E27443">
        <w:t xml:space="preserve"> </w:t>
      </w:r>
      <w:r w:rsidRPr="00E27443">
        <w:t>laundry</w:t>
      </w:r>
      <w:r w:rsidR="00C63F8F" w:rsidRPr="00E27443">
        <w:t xml:space="preserve"> </w:t>
      </w:r>
      <w:r w:rsidRPr="00E27443">
        <w:t>rooms,</w:t>
      </w:r>
      <w:r w:rsidR="00C63F8F" w:rsidRPr="00E27443">
        <w:t xml:space="preserve"> </w:t>
      </w:r>
      <w:r w:rsidRPr="00E27443">
        <w:t>waste</w:t>
      </w:r>
      <w:r w:rsidR="00C63F8F" w:rsidRPr="00E27443">
        <w:t xml:space="preserve"> </w:t>
      </w:r>
      <w:r w:rsidRPr="00E27443">
        <w:t>areas,</w:t>
      </w:r>
      <w:r w:rsidR="00C63F8F" w:rsidRPr="00E27443">
        <w:t xml:space="preserve"> </w:t>
      </w:r>
      <w:r w:rsidRPr="00E27443">
        <w:t>refuse</w:t>
      </w:r>
      <w:r w:rsidR="00C63F8F" w:rsidRPr="00E27443">
        <w:t xml:space="preserve"> </w:t>
      </w:r>
      <w:r w:rsidRPr="00E27443">
        <w:t>disposal</w:t>
      </w:r>
      <w:r w:rsidR="00C63F8F" w:rsidRPr="00E27443">
        <w:t xml:space="preserve"> </w:t>
      </w:r>
      <w:r w:rsidRPr="00E27443">
        <w:t>and</w:t>
      </w:r>
      <w:r w:rsidR="00C63F8F" w:rsidRPr="00E27443">
        <w:t xml:space="preserve"> </w:t>
      </w:r>
      <w:r w:rsidRPr="00E27443">
        <w:t>other</w:t>
      </w:r>
      <w:r w:rsidR="00C63F8F" w:rsidRPr="00E27443">
        <w:t xml:space="preserve"> </w:t>
      </w:r>
      <w:r w:rsidRPr="00E27443">
        <w:t>accom</w:t>
      </w:r>
      <w:r w:rsidRPr="00E27443">
        <w:softHyphen/>
        <w:t>modation</w:t>
      </w:r>
      <w:r w:rsidR="00C63F8F" w:rsidRPr="00E27443">
        <w:t xml:space="preserve"> </w:t>
      </w:r>
      <w:r w:rsidRPr="00E27443">
        <w:t>supplements</w:t>
      </w:r>
      <w:r w:rsidR="00C63F8F" w:rsidRPr="00E27443">
        <w:t xml:space="preserve"> </w:t>
      </w:r>
      <w:r w:rsidRPr="00E27443">
        <w:t>to</w:t>
      </w:r>
      <w:r w:rsidR="00C63F8F" w:rsidRPr="00E27443">
        <w:t xml:space="preserve"> </w:t>
      </w:r>
      <w:r w:rsidRPr="00E27443">
        <w:t>be</w:t>
      </w:r>
      <w:r w:rsidR="00C63F8F" w:rsidRPr="00E27443">
        <w:t xml:space="preserve"> </w:t>
      </w:r>
      <w:r w:rsidRPr="00E27443">
        <w:t>accessible</w:t>
      </w:r>
      <w:r w:rsidR="00C63F8F" w:rsidRPr="00E27443">
        <w:t xml:space="preserve"> </w:t>
      </w:r>
      <w:r w:rsidRPr="00E27443">
        <w:t>and</w:t>
      </w:r>
      <w:r w:rsidR="00C63F8F" w:rsidRPr="00E27443">
        <w:t xml:space="preserve"> </w:t>
      </w:r>
      <w:r w:rsidRPr="00E27443">
        <w:t>usable.</w:t>
      </w:r>
      <w:r w:rsidR="00C63F8F" w:rsidRPr="00E27443">
        <w:t xml:space="preserve"> </w:t>
      </w:r>
      <w:r w:rsidRPr="00E27443">
        <w:t>The</w:t>
      </w:r>
      <w:r w:rsidR="00C63F8F" w:rsidRPr="00E27443">
        <w:t xml:space="preserve"> </w:t>
      </w:r>
      <w:r w:rsidRPr="00E27443">
        <w:t>requirement</w:t>
      </w:r>
      <w:r w:rsidR="00C63F8F" w:rsidRPr="00E27443">
        <w:t xml:space="preserve"> </w:t>
      </w:r>
      <w:r w:rsidRPr="00E27443">
        <w:t>for</w:t>
      </w:r>
      <w:r w:rsidR="00C63F8F" w:rsidRPr="00E27443">
        <w:t xml:space="preserve"> </w:t>
      </w:r>
      <w:r w:rsidRPr="00E27443">
        <w:t>lifts</w:t>
      </w:r>
      <w:r w:rsidR="00C63F8F" w:rsidRPr="00E27443">
        <w:t xml:space="preserve"> </w:t>
      </w:r>
      <w:r w:rsidRPr="00E27443">
        <w:t>also</w:t>
      </w:r>
      <w:r w:rsidR="00C63F8F" w:rsidRPr="00E27443">
        <w:t xml:space="preserve"> </w:t>
      </w:r>
      <w:r w:rsidRPr="00E27443">
        <w:t>exists</w:t>
      </w:r>
      <w:r w:rsidR="00C63F8F" w:rsidRPr="00E27443">
        <w:t xml:space="preserve"> </w:t>
      </w:r>
      <w:r w:rsidRPr="00E27443">
        <w:t>for</w:t>
      </w:r>
      <w:r w:rsidR="00C63F8F" w:rsidRPr="00E27443">
        <w:t xml:space="preserve"> </w:t>
      </w:r>
      <w:r w:rsidRPr="00E27443">
        <w:t>buildings</w:t>
      </w:r>
      <w:r w:rsidR="00C63F8F" w:rsidRPr="00E27443">
        <w:t xml:space="preserve"> </w:t>
      </w:r>
      <w:r w:rsidRPr="00E27443">
        <w:t>that</w:t>
      </w:r>
      <w:r w:rsidR="00C63F8F" w:rsidRPr="00E27443">
        <w:t xml:space="preserve"> </w:t>
      </w:r>
      <w:r w:rsidRPr="00E27443">
        <w:t>contain</w:t>
      </w:r>
      <w:r w:rsidR="00C63F8F" w:rsidRPr="00E27443">
        <w:t xml:space="preserve"> </w:t>
      </w:r>
      <w:r w:rsidRPr="00E27443">
        <w:t>working</w:t>
      </w:r>
      <w:r w:rsidR="00C63F8F" w:rsidRPr="00E27443">
        <w:t xml:space="preserve"> </w:t>
      </w:r>
      <w:r w:rsidRPr="00E27443">
        <w:t>premises</w:t>
      </w:r>
      <w:r w:rsidR="00C63F8F" w:rsidRPr="00E27443">
        <w:t xml:space="preserve"> </w:t>
      </w:r>
      <w:r w:rsidRPr="00E27443">
        <w:t>to</w:t>
      </w:r>
      <w:r w:rsidR="00C63F8F" w:rsidRPr="00E27443">
        <w:t xml:space="preserve"> </w:t>
      </w:r>
      <w:r w:rsidRPr="00E27443">
        <w:t>which</w:t>
      </w:r>
      <w:r w:rsidR="00C63F8F" w:rsidRPr="00E27443">
        <w:t xml:space="preserve"> </w:t>
      </w:r>
      <w:r w:rsidRPr="00E27443">
        <w:t>the</w:t>
      </w:r>
      <w:r w:rsidR="00C63F8F" w:rsidRPr="00E27443">
        <w:t xml:space="preserve"> </w:t>
      </w:r>
      <w:r w:rsidRPr="00E27443">
        <w:t>general</w:t>
      </w:r>
      <w:r w:rsidR="00C63F8F" w:rsidRPr="00E27443">
        <w:t xml:space="preserve"> </w:t>
      </w:r>
      <w:r w:rsidRPr="00E27443">
        <w:t>public</w:t>
      </w:r>
      <w:r w:rsidR="00C63F8F" w:rsidRPr="00E27443">
        <w:t xml:space="preserve"> </w:t>
      </w:r>
      <w:r w:rsidRPr="00E27443">
        <w:t>have</w:t>
      </w:r>
      <w:r w:rsidR="00C63F8F" w:rsidRPr="00E27443">
        <w:t xml:space="preserve"> </w:t>
      </w:r>
      <w:r w:rsidRPr="00E27443">
        <w:t>access,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public</w:t>
      </w:r>
      <w:r w:rsidR="00C63F8F" w:rsidRPr="00E27443">
        <w:t xml:space="preserve"> </w:t>
      </w:r>
      <w:r w:rsidRPr="00E27443">
        <w:t>premises.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On</w:t>
      </w:r>
      <w:r w:rsidR="00C63F8F" w:rsidRPr="00E27443">
        <w:t xml:space="preserve"> </w:t>
      </w:r>
      <w:r w:rsidRPr="00E27443">
        <w:t>1</w:t>
      </w:r>
      <w:r w:rsidR="00C63F8F" w:rsidRPr="00E27443">
        <w:t xml:space="preserve"> </w:t>
      </w:r>
      <w:r w:rsidRPr="00E27443">
        <w:t>July</w:t>
      </w:r>
      <w:r w:rsidR="00C63F8F" w:rsidRPr="00E27443">
        <w:t xml:space="preserve"> </w:t>
      </w:r>
      <w:r w:rsidRPr="00E27443">
        <w:t>2001,</w:t>
      </w:r>
      <w:r w:rsidR="00C63F8F" w:rsidRPr="00E27443">
        <w:t xml:space="preserve"> </w:t>
      </w:r>
      <w:r w:rsidRPr="00E27443">
        <w:t>the</w:t>
      </w:r>
      <w:r w:rsidR="00C63F8F" w:rsidRPr="00E27443">
        <w:t xml:space="preserve"> </w:t>
      </w:r>
      <w:r w:rsidRPr="00E27443">
        <w:t>PBL</w:t>
      </w:r>
      <w:r w:rsidR="00FB0BD4" w:rsidRPr="00E27443">
        <w:rPr>
          <w:rStyle w:val="FootnoteReference"/>
        </w:rPr>
        <w:footnoteReference w:id="35"/>
      </w:r>
      <w:r w:rsidR="00C63F8F" w:rsidRPr="00E27443">
        <w:t xml:space="preserve"> </w:t>
      </w:r>
      <w:r w:rsidRPr="00E27443">
        <w:t>was</w:t>
      </w:r>
      <w:r w:rsidR="00C63F8F" w:rsidRPr="00E27443">
        <w:t xml:space="preserve"> </w:t>
      </w:r>
      <w:r w:rsidRPr="00E27443">
        <w:t>tightened</w:t>
      </w:r>
      <w:r w:rsidR="00C63F8F" w:rsidRPr="00E27443">
        <w:t xml:space="preserve"> </w:t>
      </w:r>
      <w:r w:rsidRPr="00E27443">
        <w:t>up</w:t>
      </w:r>
      <w:r w:rsidR="00C63F8F" w:rsidRPr="00E27443">
        <w:t xml:space="preserve"> </w:t>
      </w:r>
      <w:r w:rsidRPr="00E27443">
        <w:t>with</w:t>
      </w:r>
      <w:r w:rsidR="00C63F8F" w:rsidRPr="00E27443">
        <w:t xml:space="preserve"> </w:t>
      </w:r>
      <w:r w:rsidRPr="00E27443">
        <w:t>retroactive</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easily</w:t>
      </w:r>
      <w:r w:rsidR="00C63F8F" w:rsidRPr="00E27443">
        <w:t xml:space="preserve"> </w:t>
      </w:r>
      <w:r w:rsidRPr="00E27443">
        <w:t>eliminated</w:t>
      </w:r>
      <w:r w:rsidR="00C63F8F" w:rsidRPr="00E27443">
        <w:t xml:space="preserve"> </w:t>
      </w:r>
      <w:r w:rsidRPr="00E27443">
        <w:t>obstacles</w:t>
      </w:r>
      <w:r w:rsidR="00C63F8F" w:rsidRPr="00E27443">
        <w:t xml:space="preserve"> </w:t>
      </w:r>
      <w:r w:rsidRPr="00E27443">
        <w:t>in</w:t>
      </w:r>
      <w:r w:rsidR="00C63F8F" w:rsidRPr="00E27443">
        <w:t xml:space="preserve"> </w:t>
      </w:r>
      <w:r w:rsidRPr="00E27443">
        <w:t>public</w:t>
      </w:r>
      <w:r w:rsidR="00C63F8F" w:rsidRPr="00E27443">
        <w:t xml:space="preserve"> </w:t>
      </w:r>
      <w:r w:rsidRPr="00E27443">
        <w:t>premises</w:t>
      </w:r>
      <w:r w:rsidR="00C63F8F" w:rsidRPr="00E27443">
        <w:t xml:space="preserve"> </w:t>
      </w:r>
      <w:r w:rsidRPr="00E27443">
        <w:t>and</w:t>
      </w:r>
      <w:r w:rsidR="00C63F8F" w:rsidRPr="00E27443">
        <w:t xml:space="preserve"> </w:t>
      </w:r>
      <w:r w:rsidRPr="00E27443">
        <w:t>public</w:t>
      </w:r>
      <w:r w:rsidR="00C63F8F" w:rsidRPr="00E27443">
        <w:t xml:space="preserve"> </w:t>
      </w:r>
      <w:r w:rsidRPr="00E27443">
        <w:t>locations</w:t>
      </w:r>
      <w:r w:rsidR="00C63F8F" w:rsidRPr="00E27443">
        <w:t xml:space="preserve"> </w:t>
      </w:r>
      <w:r w:rsidRPr="00E27443">
        <w:t>to</w:t>
      </w:r>
      <w:r w:rsidR="00C63F8F" w:rsidRPr="00E27443">
        <w:t xml:space="preserve"> </w:t>
      </w:r>
      <w:r w:rsidRPr="00E27443">
        <w:t>be</w:t>
      </w:r>
      <w:r w:rsidR="00C63F8F" w:rsidRPr="00E27443">
        <w:t xml:space="preserve"> </w:t>
      </w:r>
      <w:r w:rsidRPr="00E27443">
        <w:t>rectified</w:t>
      </w:r>
      <w:r w:rsidR="00C63F8F" w:rsidRPr="00E27443">
        <w:t xml:space="preserve"> </w:t>
      </w:r>
      <w:r w:rsidRPr="00E27443">
        <w:t>and</w:t>
      </w:r>
      <w:r w:rsidR="00C63F8F" w:rsidRPr="00E27443">
        <w:t xml:space="preserve"> </w:t>
      </w:r>
      <w:r w:rsidRPr="00E27443">
        <w:t>adapted</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movement</w:t>
      </w:r>
      <w:r w:rsidR="00C63F8F" w:rsidRPr="00E27443">
        <w:t xml:space="preserve"> </w:t>
      </w:r>
      <w:r w:rsidRPr="00E27443">
        <w:t>or</w:t>
      </w:r>
      <w:r w:rsidR="00C63F8F" w:rsidRPr="00E27443">
        <w:t xml:space="preserve"> </w:t>
      </w:r>
      <w:r w:rsidRPr="00E27443">
        <w:t>orientation.</w:t>
      </w:r>
      <w:r w:rsidR="00C63F8F" w:rsidRPr="00E27443">
        <w:t xml:space="preserve"> </w:t>
      </w:r>
      <w:r w:rsidRPr="00E27443">
        <w:t>The</w:t>
      </w:r>
      <w:r w:rsidR="00C63F8F" w:rsidRPr="00E27443">
        <w:t xml:space="preserve"> </w:t>
      </w:r>
      <w:r w:rsidRPr="00E27443">
        <w:rPr>
          <w:i/>
        </w:rPr>
        <w:t>Swedish</w:t>
      </w:r>
      <w:r w:rsidR="00C63F8F" w:rsidRPr="00E27443">
        <w:rPr>
          <w:i/>
        </w:rPr>
        <w:t xml:space="preserve"> </w:t>
      </w:r>
      <w:r w:rsidRPr="00E27443">
        <w:rPr>
          <w:i/>
        </w:rPr>
        <w:t>National</w:t>
      </w:r>
      <w:r w:rsidR="00C63F8F" w:rsidRPr="00E27443">
        <w:rPr>
          <w:i/>
        </w:rPr>
        <w:t xml:space="preserve"> </w:t>
      </w:r>
      <w:r w:rsidRPr="00E27443">
        <w:rPr>
          <w:i/>
        </w:rPr>
        <w:t>Board</w:t>
      </w:r>
      <w:r w:rsidR="00C63F8F" w:rsidRPr="00E27443">
        <w:rPr>
          <w:i/>
        </w:rPr>
        <w:t xml:space="preserve"> </w:t>
      </w:r>
      <w:r w:rsidRPr="00E27443">
        <w:rPr>
          <w:i/>
        </w:rPr>
        <w:t>of</w:t>
      </w:r>
      <w:r w:rsidR="00C63F8F" w:rsidRPr="00E27443">
        <w:rPr>
          <w:i/>
        </w:rPr>
        <w:t xml:space="preserve"> </w:t>
      </w:r>
      <w:r w:rsidRPr="00E27443">
        <w:rPr>
          <w:i/>
        </w:rPr>
        <w:t>Housing,</w:t>
      </w:r>
      <w:r w:rsidR="00C63F8F" w:rsidRPr="00E27443">
        <w:rPr>
          <w:i/>
        </w:rPr>
        <w:t xml:space="preserve"> </w:t>
      </w:r>
      <w:r w:rsidRPr="00E27443">
        <w:rPr>
          <w:i/>
        </w:rPr>
        <w:t>Building</w:t>
      </w:r>
      <w:r w:rsidR="00C63F8F" w:rsidRPr="00E27443">
        <w:rPr>
          <w:i/>
        </w:rPr>
        <w:t xml:space="preserve"> </w:t>
      </w:r>
      <w:r w:rsidRPr="00E27443">
        <w:rPr>
          <w:i/>
        </w:rPr>
        <w:t>and</w:t>
      </w:r>
      <w:r w:rsidR="00C63F8F" w:rsidRPr="00E27443">
        <w:rPr>
          <w:i/>
        </w:rPr>
        <w:t xml:space="preserve"> </w:t>
      </w:r>
      <w:r w:rsidRPr="00E27443">
        <w:rPr>
          <w:i/>
        </w:rPr>
        <w:t>Planning</w:t>
      </w:r>
      <w:r w:rsidR="00FB0BD4" w:rsidRPr="00E27443">
        <w:rPr>
          <w:rStyle w:val="FootnoteReference"/>
        </w:rPr>
        <w:footnoteReference w:id="36"/>
      </w:r>
      <w:r w:rsidR="00C63F8F" w:rsidRPr="00E27443">
        <w:t xml:space="preserve"> </w:t>
      </w:r>
      <w:r w:rsidRPr="00E27443">
        <w:t>was</w:t>
      </w:r>
      <w:r w:rsidR="00C63F8F" w:rsidRPr="00E27443">
        <w:t xml:space="preserve"> </w:t>
      </w:r>
      <w:r w:rsidRPr="00E27443">
        <w:t>given</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accurately</w:t>
      </w:r>
      <w:r w:rsidR="00C63F8F" w:rsidRPr="00E27443">
        <w:t xml:space="preserve"> </w:t>
      </w:r>
      <w:r w:rsidRPr="00E27443">
        <w:t>define</w:t>
      </w:r>
      <w:r w:rsidR="00C63F8F" w:rsidRPr="00E27443">
        <w:t xml:space="preserve"> </w:t>
      </w:r>
      <w:r w:rsidRPr="00E27443">
        <w:t>the</w:t>
      </w:r>
      <w:r w:rsidR="00C63F8F" w:rsidRPr="00E27443">
        <w:t xml:space="preserve"> </w:t>
      </w:r>
      <w:r w:rsidRPr="00E27443">
        <w:t>provisions.</w:t>
      </w:r>
      <w:r w:rsidR="00C63F8F" w:rsidRPr="00E27443">
        <w:t xml:space="preserve"> </w:t>
      </w:r>
      <w:r w:rsidRPr="00E27443">
        <w:t>The</w:t>
      </w:r>
      <w:r w:rsidR="00C63F8F" w:rsidRPr="00E27443">
        <w:t xml:space="preserve"> </w:t>
      </w:r>
      <w:r w:rsidRPr="00E27443">
        <w:t>Board</w:t>
      </w:r>
      <w:r w:rsidR="00C63F8F" w:rsidRPr="00E27443">
        <w:t xml:space="preserve"> </w:t>
      </w:r>
      <w:r w:rsidRPr="00E27443">
        <w:t>will</w:t>
      </w:r>
      <w:r w:rsidR="00C63F8F" w:rsidRPr="00E27443">
        <w:t xml:space="preserve"> </w:t>
      </w:r>
      <w:r w:rsidRPr="00E27443">
        <w:t>also</w:t>
      </w:r>
      <w:r w:rsidR="00C63F8F" w:rsidRPr="00E27443">
        <w:t xml:space="preserve"> </w:t>
      </w:r>
      <w:r w:rsidRPr="00E27443">
        <w:t>assist</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in</w:t>
      </w:r>
      <w:r w:rsidR="00C63F8F" w:rsidRPr="00E27443">
        <w:t xml:space="preserve"> </w:t>
      </w:r>
      <w:r w:rsidRPr="00E27443">
        <w:t>their</w:t>
      </w:r>
      <w:r w:rsidR="00C63F8F" w:rsidRPr="00E27443">
        <w:t xml:space="preserve"> </w:t>
      </w:r>
      <w:r w:rsidRPr="00E27443">
        <w:t>work</w:t>
      </w:r>
      <w:r w:rsidR="00C63F8F" w:rsidRPr="00E27443">
        <w:t xml:space="preserve"> </w:t>
      </w:r>
      <w:r w:rsidRPr="00E27443">
        <w:t>on</w:t>
      </w:r>
      <w:r w:rsidR="00C63F8F" w:rsidRPr="00E27443">
        <w:t xml:space="preserve"> </w:t>
      </w:r>
      <w:r w:rsidRPr="00E27443">
        <w:t>accessibility</w:t>
      </w:r>
      <w:r w:rsidR="00C63F8F" w:rsidRPr="00E27443">
        <w:t xml:space="preserve"> </w:t>
      </w:r>
      <w:r w:rsidRPr="00E27443">
        <w:t>analyses</w:t>
      </w:r>
      <w:r w:rsidR="00C63F8F" w:rsidRPr="00E27443">
        <w:t xml:space="preserve"> </w:t>
      </w:r>
      <w:r w:rsidRPr="00E27443">
        <w:t>of</w:t>
      </w:r>
      <w:r w:rsidR="00C63F8F" w:rsidRPr="00E27443">
        <w:t xml:space="preserve"> </w:t>
      </w:r>
      <w:r w:rsidRPr="00E27443">
        <w:t>public</w:t>
      </w:r>
      <w:r w:rsidR="00C63F8F" w:rsidRPr="00E27443">
        <w:t xml:space="preserve"> </w:t>
      </w:r>
      <w:r w:rsidRPr="00E27443">
        <w:t>locations</w:t>
      </w:r>
      <w:r w:rsidR="00C63F8F" w:rsidRPr="00E27443">
        <w:t xml:space="preserve"> </w:t>
      </w:r>
      <w:r w:rsidRPr="00E27443">
        <w:t>and</w:t>
      </w:r>
      <w:r w:rsidR="00C63F8F" w:rsidRPr="00E27443">
        <w:t xml:space="preserve"> </w:t>
      </w:r>
      <w:r w:rsidRPr="00E27443">
        <w:t>premises</w:t>
      </w:r>
      <w:r w:rsidR="00C63F8F" w:rsidRPr="00E27443">
        <w:t xml:space="preserve"> </w:t>
      </w:r>
      <w:r w:rsidRPr="00E27443">
        <w:t>to</w:t>
      </w:r>
      <w:r w:rsidR="00C63F8F" w:rsidRPr="00E27443">
        <w:t xml:space="preserve"> </w:t>
      </w:r>
      <w:r w:rsidRPr="00E27443">
        <w:t>which</w:t>
      </w:r>
      <w:r w:rsidR="00C63F8F" w:rsidRPr="00E27443">
        <w:t xml:space="preserve"> </w:t>
      </w:r>
      <w:r w:rsidRPr="00E27443">
        <w:t>the</w:t>
      </w:r>
      <w:r w:rsidR="00C63F8F" w:rsidRPr="00E27443">
        <w:t xml:space="preserve"> </w:t>
      </w:r>
      <w:r w:rsidRPr="00E27443">
        <w:t>general</w:t>
      </w:r>
      <w:r w:rsidR="00C63F8F" w:rsidRPr="00E27443">
        <w:t xml:space="preserve"> </w:t>
      </w:r>
      <w:r w:rsidRPr="00E27443">
        <w:t>public</w:t>
      </w:r>
      <w:r w:rsidR="00C63F8F" w:rsidRPr="00E27443">
        <w:t xml:space="preserve"> </w:t>
      </w:r>
      <w:r w:rsidRPr="00E27443">
        <w:t>have</w:t>
      </w:r>
      <w:r w:rsidR="00C63F8F" w:rsidRPr="00E27443">
        <w:t xml:space="preserve"> </w:t>
      </w:r>
      <w:r w:rsidRPr="00E27443">
        <w:t>access.</w:t>
      </w:r>
      <w:r w:rsidR="00C63F8F" w:rsidRPr="00E27443">
        <w:t xml:space="preserve"> </w:t>
      </w:r>
      <w:r w:rsidRPr="00E27443">
        <w:t>Another</w:t>
      </w:r>
      <w:r w:rsidR="00C63F8F" w:rsidRPr="00E27443">
        <w:t xml:space="preserve"> </w:t>
      </w:r>
      <w:r w:rsidRPr="00E27443">
        <w:t>task</w:t>
      </w:r>
      <w:r w:rsidR="00C63F8F" w:rsidRPr="00E27443">
        <w:t xml:space="preserve"> </w:t>
      </w:r>
      <w:r w:rsidRPr="00E27443">
        <w:t>is</w:t>
      </w:r>
      <w:r w:rsidR="00C63F8F" w:rsidRPr="00E27443">
        <w:t xml:space="preserve"> </w:t>
      </w:r>
      <w:r w:rsidRPr="00E27443">
        <w:t>to</w:t>
      </w:r>
      <w:r w:rsidR="00C63F8F" w:rsidRPr="00E27443">
        <w:t xml:space="preserve"> </w:t>
      </w:r>
      <w:r w:rsidRPr="00E27443">
        <w:t>notify</w:t>
      </w:r>
      <w:r w:rsidR="00C63F8F" w:rsidRPr="00E27443">
        <w:t xml:space="preserve"> </w:t>
      </w:r>
      <w:r w:rsidRPr="00E27443">
        <w:t>the</w:t>
      </w:r>
      <w:r w:rsidR="00C63F8F" w:rsidRPr="00E27443">
        <w:t xml:space="preserve"> </w:t>
      </w:r>
      <w:r w:rsidRPr="00E27443">
        <w:t>general</w:t>
      </w:r>
      <w:r w:rsidR="00C63F8F" w:rsidRPr="00E27443">
        <w:t xml:space="preserve"> </w:t>
      </w:r>
      <w:r w:rsidRPr="00E27443">
        <w:t>public,</w:t>
      </w:r>
      <w:r w:rsidR="00C63F8F" w:rsidRPr="00E27443">
        <w:t xml:space="preserve"> </w:t>
      </w:r>
      <w:r w:rsidRPr="00E27443">
        <w:t>organisations</w:t>
      </w:r>
      <w:r w:rsidR="00C63F8F" w:rsidRPr="00E27443">
        <w:t xml:space="preserve"> </w:t>
      </w:r>
      <w:r w:rsidRPr="00E27443">
        <w:t>and</w:t>
      </w:r>
      <w:r w:rsidR="00C63F8F" w:rsidRPr="00E27443">
        <w:t xml:space="preserve"> </w:t>
      </w:r>
      <w:r w:rsidRPr="00E27443">
        <w:t>other</w:t>
      </w:r>
      <w:r w:rsidR="00C63F8F" w:rsidRPr="00E27443">
        <w:t xml:space="preserve"> </w:t>
      </w:r>
      <w:r w:rsidRPr="00E27443">
        <w:t>authorities</w:t>
      </w:r>
      <w:r w:rsidR="00C63F8F" w:rsidRPr="00E27443">
        <w:t xml:space="preserve"> </w:t>
      </w:r>
      <w:r w:rsidRPr="00E27443">
        <w:t>about</w:t>
      </w:r>
      <w:r w:rsidR="00C63F8F" w:rsidRPr="00E27443">
        <w:t xml:space="preserve"> </w:t>
      </w:r>
      <w:r w:rsidRPr="00E27443">
        <w:t>the</w:t>
      </w:r>
      <w:r w:rsidR="00C63F8F" w:rsidRPr="00E27443">
        <w:t xml:space="preserve"> </w:t>
      </w:r>
      <w:r w:rsidRPr="00E27443">
        <w:t>rules,</w:t>
      </w:r>
      <w:r w:rsidR="00C63F8F" w:rsidRPr="00E27443">
        <w:t xml:space="preserve"> </w:t>
      </w:r>
      <w:r w:rsidRPr="00E27443">
        <w:t>obligations</w:t>
      </w:r>
      <w:r w:rsidR="00C63F8F" w:rsidRPr="00E27443">
        <w:t xml:space="preserve"> </w:t>
      </w:r>
      <w:r w:rsidRPr="00E27443">
        <w:t>and</w:t>
      </w:r>
      <w:r w:rsidR="00C63F8F" w:rsidRPr="00E27443">
        <w:t xml:space="preserve"> </w:t>
      </w:r>
      <w:r w:rsidRPr="00E27443">
        <w:t>solutions</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Housing,</w:t>
      </w:r>
      <w:r w:rsidR="00C63F8F" w:rsidRPr="00E27443">
        <w:t xml:space="preserve"> </w:t>
      </w:r>
      <w:r w:rsidRPr="00E27443">
        <w:t>Building</w:t>
      </w:r>
      <w:r w:rsidR="00C63F8F" w:rsidRPr="00E27443">
        <w:t xml:space="preserve"> </w:t>
      </w:r>
      <w:r w:rsidRPr="00E27443">
        <w:t>and</w:t>
      </w:r>
      <w:r w:rsidR="00C63F8F" w:rsidRPr="00E27443">
        <w:t xml:space="preserve"> </w:t>
      </w:r>
      <w:r w:rsidRPr="00E27443">
        <w:t>Planning</w:t>
      </w:r>
      <w:r w:rsidR="00C63F8F" w:rsidRPr="00E27443">
        <w:t xml:space="preserve"> </w:t>
      </w:r>
      <w:r w:rsidRPr="00E27443">
        <w:t>submits</w:t>
      </w:r>
      <w:r w:rsidR="00C63F8F" w:rsidRPr="00E27443">
        <w:t xml:space="preserve"> </w:t>
      </w:r>
      <w:r w:rsidRPr="00E27443">
        <w:t>a</w:t>
      </w:r>
      <w:r w:rsidR="00C63F8F" w:rsidRPr="00E27443">
        <w:t xml:space="preserve"> </w:t>
      </w:r>
      <w:r w:rsidRPr="00E27443">
        <w:t>report</w:t>
      </w:r>
      <w:r w:rsidR="00C63F8F" w:rsidRPr="00E27443">
        <w:t xml:space="preserve"> </w:t>
      </w:r>
      <w:r w:rsidRPr="00E27443">
        <w:t>annually</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regarding</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application</w:t>
      </w:r>
      <w:r w:rsidR="00C63F8F" w:rsidRPr="00E27443">
        <w:t xml:space="preserve"> </w:t>
      </w:r>
      <w:r w:rsidRPr="00E27443">
        <w:t>of</w:t>
      </w:r>
      <w:r w:rsidR="00C63F8F" w:rsidRPr="00E27443">
        <w:t xml:space="preserve"> </w:t>
      </w: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Building</w:t>
      </w:r>
      <w:r w:rsidR="00C63F8F" w:rsidRPr="00E27443">
        <w:t xml:space="preserve"> </w:t>
      </w:r>
      <w:r w:rsidRPr="00E27443">
        <w:t>Act.</w:t>
      </w:r>
      <w:r w:rsidR="00C63F8F" w:rsidRPr="00E27443">
        <w:t xml:space="preserve"> </w:t>
      </w:r>
      <w:r w:rsidRPr="00E27443">
        <w:t>This</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reports</w:t>
      </w:r>
      <w:r w:rsidR="00C63F8F" w:rsidRPr="00E27443">
        <w:t xml:space="preserve"> </w:t>
      </w:r>
      <w:r w:rsidRPr="00E27443">
        <w:t>from</w:t>
      </w:r>
      <w:r w:rsidR="00C63F8F" w:rsidRPr="00E27443">
        <w:t xml:space="preserve"> </w:t>
      </w:r>
      <w:r w:rsidRPr="00E27443">
        <w:t>the</w:t>
      </w:r>
      <w:r w:rsidR="00C63F8F" w:rsidRPr="00E27443">
        <w:t xml:space="preserve"> </w:t>
      </w:r>
      <w:r w:rsidRPr="00E27443">
        <w:t>County</w:t>
      </w:r>
      <w:r w:rsidR="00C63F8F" w:rsidRPr="00E27443">
        <w:t xml:space="preserve"> </w:t>
      </w:r>
      <w:r w:rsidRPr="00E27443">
        <w:t>Administrative</w:t>
      </w:r>
      <w:r w:rsidR="00C63F8F" w:rsidRPr="00E27443">
        <w:t xml:space="preserve"> </w:t>
      </w:r>
      <w:r w:rsidRPr="00E27443">
        <w:t>Boards.</w:t>
      </w:r>
      <w:r w:rsidR="00FB0BD4" w:rsidRPr="00E27443">
        <w:rPr>
          <w:rStyle w:val="FootnoteReference"/>
        </w:rPr>
        <w:footnoteReference w:id="37"/>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2008,</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also</w:t>
      </w:r>
      <w:r w:rsidR="00C63F8F" w:rsidRPr="00E27443">
        <w:t xml:space="preserve"> </w:t>
      </w:r>
      <w:r w:rsidRPr="00E27443">
        <w:t>allotted</w:t>
      </w:r>
      <w:r w:rsidR="00C63F8F" w:rsidRPr="00E27443">
        <w:t xml:space="preserve"> </w:t>
      </w:r>
      <w:r w:rsidRPr="00E27443">
        <w:t>SEK</w:t>
      </w:r>
      <w:r w:rsidR="00C63F8F" w:rsidRPr="00E27443">
        <w:t xml:space="preserve"> </w:t>
      </w:r>
      <w:r w:rsidRPr="00E27443">
        <w:t>12</w:t>
      </w:r>
      <w:r w:rsidR="00C63F8F" w:rsidRPr="00E27443">
        <w:t xml:space="preserve"> </w:t>
      </w:r>
      <w:r w:rsidRPr="00E27443">
        <w:t>million</w:t>
      </w:r>
      <w:r w:rsidR="00C63F8F" w:rsidRPr="00E27443">
        <w:t xml:space="preserve"> </w:t>
      </w:r>
      <w:r w:rsidRPr="00E27443">
        <w:t>to</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Housing,</w:t>
      </w:r>
      <w:r w:rsidR="00C63F8F" w:rsidRPr="00E27443">
        <w:t xml:space="preserve"> </w:t>
      </w:r>
      <w:r w:rsidRPr="00E27443">
        <w:t>Building</w:t>
      </w:r>
      <w:r w:rsidR="00C63F8F" w:rsidRPr="00E27443">
        <w:t xml:space="preserve"> </w:t>
      </w:r>
      <w:r w:rsidRPr="00E27443">
        <w:t>and</w:t>
      </w:r>
      <w:r w:rsidR="00C63F8F" w:rsidRPr="00E27443">
        <w:t xml:space="preserve"> </w:t>
      </w:r>
      <w:r w:rsidRPr="00E27443">
        <w:t>Planning</w:t>
      </w:r>
      <w:r w:rsidR="00C63F8F" w:rsidRPr="00E27443">
        <w:t xml:space="preserve"> </w:t>
      </w:r>
      <w:r w:rsidRPr="00E27443">
        <w:t>which,</w:t>
      </w:r>
      <w:r w:rsidR="00C63F8F" w:rsidRPr="00E27443">
        <w:t xml:space="preserve"> </w:t>
      </w:r>
      <w:r w:rsidRPr="00E27443">
        <w:t>in</w:t>
      </w:r>
      <w:r w:rsidR="00C63F8F" w:rsidRPr="00E27443">
        <w:t xml:space="preserve"> </w:t>
      </w:r>
      <w:r w:rsidRPr="00E27443">
        <w:t>collaboration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County</w:t>
      </w:r>
      <w:r w:rsidR="00C63F8F" w:rsidRPr="00E27443">
        <w:t xml:space="preserve"> </w:t>
      </w:r>
      <w:r w:rsidRPr="00E27443">
        <w:t>Administrative</w:t>
      </w:r>
      <w:r w:rsidR="00C63F8F" w:rsidRPr="00E27443">
        <w:t xml:space="preserve"> </w:t>
      </w:r>
      <w:r w:rsidRPr="00E27443">
        <w:t>Boards,</w:t>
      </w:r>
      <w:r w:rsidR="00C63F8F" w:rsidRPr="00E27443">
        <w:t xml:space="preserve"> </w:t>
      </w:r>
      <w:r w:rsidRPr="00E27443">
        <w:t>Handisam</w:t>
      </w:r>
      <w:r w:rsidR="00C63F8F" w:rsidRPr="00E27443">
        <w:t xml:space="preserve"> </w:t>
      </w:r>
      <w:r w:rsidRPr="00E27443">
        <w:t>and</w:t>
      </w:r>
      <w:r w:rsidR="00C63F8F" w:rsidRPr="00E27443">
        <w:t xml:space="preserve"> </w:t>
      </w:r>
      <w:r w:rsidRPr="00E27443">
        <w:t>the</w:t>
      </w:r>
      <w:r w:rsidR="00C63F8F" w:rsidRPr="00E27443">
        <w:t xml:space="preserve"> </w:t>
      </w:r>
      <w:r w:rsidRPr="00E27443">
        <w:t>Swedish</w:t>
      </w:r>
      <w:r w:rsidR="00C63F8F" w:rsidRPr="00E27443">
        <w:t xml:space="preserve"> </w:t>
      </w:r>
      <w:r w:rsidRPr="00E27443">
        <w:t>Association</w:t>
      </w:r>
      <w:r w:rsidR="00C63F8F" w:rsidRPr="00E27443">
        <w:t xml:space="preserve"> </w:t>
      </w:r>
      <w:r w:rsidRPr="00E27443">
        <w:t>of</w:t>
      </w:r>
      <w:r w:rsidR="00C63F8F" w:rsidRPr="00E27443">
        <w:t xml:space="preserve"> </w:t>
      </w:r>
      <w:r w:rsidRPr="00E27443">
        <w:t>Local</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Regions,</w:t>
      </w:r>
      <w:r w:rsidR="00C63F8F" w:rsidRPr="00E27443">
        <w:t xml:space="preserve"> </w:t>
      </w:r>
      <w:r w:rsidRPr="00E27443">
        <w:t>is</w:t>
      </w:r>
      <w:r w:rsidR="00C63F8F" w:rsidRPr="00E27443">
        <w:t xml:space="preserve"> </w:t>
      </w:r>
      <w:r w:rsidRPr="00E27443">
        <w:t>conducting</w:t>
      </w:r>
      <w:r w:rsidR="00C63F8F" w:rsidRPr="00E27443">
        <w:t xml:space="preserve"> </w:t>
      </w:r>
      <w:r w:rsidRPr="00E27443">
        <w:t>an</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education</w:t>
      </w:r>
      <w:r w:rsidR="00C63F8F" w:rsidRPr="00E27443">
        <w:t xml:space="preserve"> </w:t>
      </w:r>
      <w:r w:rsidRPr="00E27443">
        <w:t>campaign</w:t>
      </w:r>
      <w:r w:rsidR="00C63F8F" w:rsidRPr="00E27443">
        <w:t xml:space="preserve"> </w:t>
      </w:r>
      <w:r w:rsidRPr="00E27443">
        <w:t>regarding</w:t>
      </w:r>
      <w:r w:rsidR="00C63F8F" w:rsidRPr="00E27443">
        <w:t xml:space="preserve"> </w:t>
      </w:r>
      <w:r w:rsidRPr="00E27443">
        <w:t>easily</w:t>
      </w:r>
      <w:r w:rsidR="00C63F8F" w:rsidRPr="00E27443">
        <w:t xml:space="preserve"> </w:t>
      </w:r>
      <w:r w:rsidRPr="00E27443">
        <w:t>eliminated</w:t>
      </w:r>
      <w:r w:rsidR="00C63F8F" w:rsidRPr="00E27443">
        <w:t xml:space="preserve"> </w:t>
      </w:r>
      <w:r w:rsidRPr="00E27443">
        <w:t>obstacles</w:t>
      </w:r>
      <w:r w:rsidR="00C63F8F" w:rsidRPr="00E27443">
        <w:t xml:space="preserve"> </w:t>
      </w:r>
      <w:r w:rsidRPr="00E27443">
        <w:t>in</w:t>
      </w:r>
      <w:r w:rsidR="00C63F8F" w:rsidRPr="00E27443">
        <w:t xml:space="preserve"> </w:t>
      </w:r>
      <w:r w:rsidRPr="00E27443">
        <w:t>public</w:t>
      </w:r>
      <w:r w:rsidR="00C63F8F" w:rsidRPr="00E27443">
        <w:t xml:space="preserve"> </w:t>
      </w:r>
      <w:r w:rsidRPr="00E27443">
        <w:t>premises</w:t>
      </w:r>
      <w:r w:rsidR="00C63F8F" w:rsidRPr="00E27443">
        <w:t xml:space="preserve"> </w:t>
      </w:r>
      <w:r w:rsidRPr="00E27443">
        <w:t>and</w:t>
      </w:r>
      <w:r w:rsidR="00C63F8F" w:rsidRPr="00E27443">
        <w:t xml:space="preserve"> </w:t>
      </w:r>
      <w:r w:rsidRPr="00E27443">
        <w:t>public</w:t>
      </w:r>
      <w:r w:rsidR="00C63F8F" w:rsidRPr="00E27443">
        <w:t xml:space="preserve"> </w:t>
      </w:r>
      <w:r w:rsidRPr="00E27443">
        <w:t>locations</w:t>
      </w:r>
      <w:r w:rsidR="00C63F8F" w:rsidRPr="00E27443">
        <w:t xml:space="preserve"> </w:t>
      </w:r>
      <w:r w:rsidRPr="00E27443">
        <w:t>during</w:t>
      </w:r>
      <w:r w:rsidR="00C63F8F" w:rsidRPr="00E27443">
        <w:t xml:space="preserve"> </w:t>
      </w:r>
      <w:r w:rsidRPr="00E27443">
        <w:t>2009–2010,</w:t>
      </w:r>
      <w:r w:rsidR="00C63F8F" w:rsidRPr="00E27443">
        <w:t xml:space="preserve"> </w:t>
      </w:r>
      <w:r w:rsidRPr="00E27443">
        <w:t>aimed</w:t>
      </w:r>
      <w:r w:rsidR="00C63F8F" w:rsidRPr="00E27443">
        <w:t xml:space="preserve"> </w:t>
      </w:r>
      <w:r w:rsidRPr="00E27443">
        <w:t>at</w:t>
      </w:r>
      <w:r w:rsidR="00C63F8F" w:rsidRPr="00E27443">
        <w:t xml:space="preserve"> </w:t>
      </w:r>
      <w:r w:rsidRPr="00E27443">
        <w:t>approximately</w:t>
      </w:r>
      <w:r w:rsidR="00C63F8F" w:rsidRPr="00E27443">
        <w:t xml:space="preserve"> </w:t>
      </w:r>
      <w:r w:rsidRPr="00E27443">
        <w:t>1,000</w:t>
      </w:r>
      <w:r w:rsidR="00C63F8F" w:rsidRPr="00E27443">
        <w:t xml:space="preserve"> </w:t>
      </w:r>
      <w:r w:rsidRPr="00E27443">
        <w:t>people</w:t>
      </w:r>
      <w:r w:rsidR="00C63F8F" w:rsidRPr="00E27443">
        <w:t xml:space="preserve"> </w:t>
      </w:r>
      <w:r w:rsidRPr="00E27443">
        <w:t>among</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property</w:t>
      </w:r>
      <w:r w:rsidR="00C63F8F" w:rsidRPr="00E27443">
        <w:t xml:space="preserve"> </w:t>
      </w:r>
      <w:r w:rsidRPr="00E27443">
        <w:t>owners</w:t>
      </w:r>
      <w:r w:rsidR="00C63F8F" w:rsidRPr="00E27443">
        <w:t xml:space="preserve"> </w:t>
      </w:r>
      <w:r w:rsidRPr="00E27443">
        <w:t>in</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The</w:t>
      </w:r>
      <w:r w:rsidR="00C63F8F" w:rsidRPr="00E27443">
        <w:t xml:space="preserve"> </w:t>
      </w:r>
      <w:r w:rsidRPr="00E27443">
        <w:t>Board</w:t>
      </w:r>
      <w:r w:rsidR="00C63F8F" w:rsidRPr="00E27443">
        <w:t xml:space="preserve"> </w:t>
      </w:r>
      <w:r w:rsidRPr="00E27443">
        <w:t>has</w:t>
      </w:r>
      <w:r w:rsidR="00C63F8F" w:rsidRPr="00E27443">
        <w:t xml:space="preserve"> </w:t>
      </w:r>
      <w:r w:rsidRPr="00E27443">
        <w:t>submitted</w:t>
      </w:r>
      <w:r w:rsidR="00C63F8F" w:rsidRPr="00E27443">
        <w:t xml:space="preserve"> </w:t>
      </w:r>
      <w:r w:rsidRPr="00E27443">
        <w:t>its</w:t>
      </w:r>
      <w:r w:rsidR="00C63F8F" w:rsidRPr="00E27443">
        <w:t xml:space="preserve"> </w:t>
      </w:r>
      <w:r w:rsidRPr="00E27443">
        <w:t>final</w:t>
      </w:r>
      <w:r w:rsidR="00C63F8F" w:rsidRPr="00E27443">
        <w:t xml:space="preserve"> </w:t>
      </w:r>
      <w:r w:rsidRPr="00E27443">
        <w:t>report</w:t>
      </w:r>
      <w:r w:rsidR="00C63F8F" w:rsidRPr="00E27443">
        <w:t xml:space="preserve"> </w:t>
      </w:r>
      <w:r w:rsidRPr="00E27443">
        <w:t>on</w:t>
      </w:r>
      <w:r w:rsidR="00C63F8F" w:rsidRPr="00E27443">
        <w:t xml:space="preserve"> </w:t>
      </w:r>
      <w:r w:rsidRPr="00E27443">
        <w:t>the</w:t>
      </w:r>
      <w:r w:rsidR="00C63F8F" w:rsidRPr="00E27443">
        <w:t xml:space="preserve"> </w:t>
      </w:r>
      <w:r w:rsidRPr="00E27443">
        <w:t>campaign</w:t>
      </w:r>
      <w:r w:rsidR="00C63F8F" w:rsidRPr="00E27443">
        <w:t xml:space="preserve"> </w:t>
      </w:r>
      <w:r w:rsidRPr="00E27443">
        <w:t>on</w:t>
      </w:r>
      <w:r w:rsidR="00C63F8F" w:rsidRPr="00E27443">
        <w:t xml:space="preserve"> </w:t>
      </w:r>
      <w:r w:rsidRPr="00E27443">
        <w:t>31</w:t>
      </w:r>
      <w:r w:rsidR="00C63F8F" w:rsidRPr="00E27443">
        <w:t xml:space="preserve"> </w:t>
      </w:r>
      <w:r w:rsidRPr="00E27443">
        <w:t>December</w:t>
      </w:r>
      <w:r w:rsidR="00C63F8F" w:rsidRPr="00E27443">
        <w:t xml:space="preserve"> </w:t>
      </w:r>
      <w:r w:rsidRPr="00E27443">
        <w:t>2010.</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Building</w:t>
      </w:r>
      <w:r w:rsidR="00C63F8F" w:rsidRPr="00E27443">
        <w:t xml:space="preserve"> </w:t>
      </w:r>
      <w:r w:rsidRPr="00E27443">
        <w:t>Act</w:t>
      </w:r>
      <w:r w:rsidR="00C63F8F" w:rsidRPr="00E27443">
        <w:t xml:space="preserve"> </w:t>
      </w:r>
      <w:r w:rsidRPr="00E27443">
        <w:t>specifies</w:t>
      </w:r>
      <w:r w:rsidR="00C63F8F" w:rsidRPr="00E27443">
        <w:t xml:space="preserve"> </w:t>
      </w:r>
      <w:r w:rsidRPr="00E27443">
        <w:t>sanctions</w:t>
      </w:r>
      <w:r w:rsidR="00C63F8F" w:rsidRPr="00E27443">
        <w:t xml:space="preserve"> </w:t>
      </w:r>
      <w:r w:rsidRPr="00E27443">
        <w:t>for</w:t>
      </w:r>
      <w:r w:rsidR="00C63F8F" w:rsidRPr="00E27443">
        <w:t xml:space="preserve"> </w:t>
      </w:r>
      <w:r w:rsidRPr="00E27443">
        <w:t>transgressions</w:t>
      </w:r>
      <w:r w:rsidR="00C63F8F" w:rsidRPr="00E27443">
        <w:t xml:space="preserve"> </w:t>
      </w:r>
      <w:r w:rsidRPr="00E27443">
        <w:t>of</w:t>
      </w:r>
      <w:r w:rsidR="00C63F8F" w:rsidRPr="00E27443">
        <w:t xml:space="preserve"> </w:t>
      </w:r>
      <w:r w:rsidRPr="00E27443">
        <w:t>the</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construction</w:t>
      </w:r>
      <w:r w:rsidR="00C63F8F" w:rsidRPr="00E27443">
        <w:t xml:space="preserve"> </w:t>
      </w:r>
      <w:r w:rsidRPr="00E27443">
        <w:t>works,</w:t>
      </w:r>
      <w:r w:rsidR="00C63F8F" w:rsidRPr="00E27443">
        <w:t xml:space="preserve"> </w:t>
      </w:r>
      <w:r w:rsidRPr="00E27443">
        <w:t>including</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new</w:t>
      </w:r>
      <w:r w:rsidR="00C63F8F" w:rsidRPr="00E27443">
        <w:t xml:space="preserve"> </w:t>
      </w:r>
      <w:r w:rsidRPr="00E27443">
        <w:t>and</w:t>
      </w:r>
      <w:r w:rsidR="00C63F8F" w:rsidRPr="00E27443">
        <w:t xml:space="preserve"> </w:t>
      </w:r>
      <w:r w:rsidRPr="00E27443">
        <w:t>altered</w:t>
      </w:r>
      <w:r w:rsidR="00C63F8F" w:rsidRPr="00E27443">
        <w:t xml:space="preserve"> </w:t>
      </w:r>
      <w:r w:rsidRPr="00E27443">
        <w:t>buildings,</w:t>
      </w:r>
      <w:r w:rsidR="00C63F8F" w:rsidRPr="00E27443">
        <w:t xml:space="preserve"> </w:t>
      </w:r>
      <w:r w:rsidRPr="00E27443">
        <w:t>as</w:t>
      </w:r>
      <w:r w:rsidR="00C63F8F" w:rsidRPr="00E27443">
        <w:t xml:space="preserve"> </w:t>
      </w:r>
      <w:r w:rsidRPr="00E27443">
        <w:t>a</w:t>
      </w:r>
      <w:r w:rsidR="00C63F8F" w:rsidRPr="00E27443">
        <w:t xml:space="preserve"> </w:t>
      </w:r>
      <w:r w:rsidRPr="00E27443">
        <w:t>fixed</w:t>
      </w:r>
      <w:r w:rsidR="00C63F8F" w:rsidRPr="00E27443">
        <w:t xml:space="preserve"> </w:t>
      </w:r>
      <w:r w:rsidRPr="00E27443">
        <w:t>sum</w:t>
      </w:r>
      <w:r w:rsidR="00C63F8F" w:rsidRPr="00E27443">
        <w:t xml:space="preserve"> </w:t>
      </w:r>
      <w:r w:rsidRPr="00E27443">
        <w:t>and/or</w:t>
      </w:r>
      <w:r w:rsidR="00C63F8F" w:rsidRPr="00E27443">
        <w:t xml:space="preserve"> </w:t>
      </w:r>
      <w:r w:rsidRPr="00E27443">
        <w:t>prohibition</w:t>
      </w:r>
      <w:r w:rsidR="00C63F8F" w:rsidRPr="00E27443">
        <w:t xml:space="preserve"> </w:t>
      </w:r>
      <w:r w:rsidRPr="00E27443">
        <w:t>on</w:t>
      </w:r>
      <w:r w:rsidR="00C63F8F" w:rsidRPr="00E27443">
        <w:t xml:space="preserve"> </w:t>
      </w:r>
      <w:r w:rsidRPr="00E27443">
        <w:t>the</w:t>
      </w:r>
      <w:r w:rsidR="00C63F8F" w:rsidRPr="00E27443">
        <w:t xml:space="preserve"> </w:t>
      </w:r>
      <w:r w:rsidRPr="00E27443">
        <w:t>use</w:t>
      </w:r>
      <w:r w:rsidR="00C63F8F" w:rsidRPr="00E27443">
        <w:t xml:space="preserve"> </w:t>
      </w:r>
      <w:r w:rsidRPr="00E27443">
        <w:t>of</w:t>
      </w:r>
      <w:r w:rsidR="00C63F8F" w:rsidRPr="00E27443">
        <w:t xml:space="preserve"> </w:t>
      </w:r>
      <w:r w:rsidRPr="00E27443">
        <w:t>the</w:t>
      </w:r>
      <w:r w:rsidR="00C63F8F" w:rsidRPr="00E27443">
        <w:t xml:space="preserve"> </w:t>
      </w:r>
      <w:r w:rsidRPr="00E27443">
        <w:t>building</w:t>
      </w:r>
      <w:r w:rsidR="00C63F8F" w:rsidRPr="00E27443">
        <w:t xml:space="preserve"> </w:t>
      </w:r>
      <w:r w:rsidRPr="00E27443">
        <w:t>or</w:t>
      </w:r>
      <w:r w:rsidR="00C63F8F" w:rsidRPr="00E27443">
        <w:t xml:space="preserve"> </w:t>
      </w:r>
      <w:r w:rsidRPr="00E27443">
        <w:t>a</w:t>
      </w:r>
      <w:r w:rsidR="00C63F8F" w:rsidRPr="00E27443">
        <w:t xml:space="preserve"> </w:t>
      </w:r>
      <w:r w:rsidRPr="00E27443">
        <w:t>part</w:t>
      </w:r>
      <w:r w:rsidR="00C63F8F" w:rsidRPr="00E27443">
        <w:t xml:space="preserve"> </w:t>
      </w:r>
      <w:r w:rsidRPr="00E27443">
        <w:t>thereof,</w:t>
      </w:r>
      <w:r w:rsidR="00C63F8F" w:rsidRPr="00E27443">
        <w:t xml:space="preserve"> </w:t>
      </w:r>
      <w:r w:rsidRPr="00E27443">
        <w:t>until</w:t>
      </w:r>
      <w:r w:rsidR="00C63F8F" w:rsidRPr="00E27443">
        <w:t xml:space="preserve"> </w:t>
      </w:r>
      <w:r w:rsidRPr="00E27443">
        <w:t>the</w:t>
      </w:r>
      <w:r w:rsidR="00C63F8F" w:rsidRPr="00E27443">
        <w:t xml:space="preserve"> </w:t>
      </w:r>
      <w:r w:rsidRPr="00E27443">
        <w:t>faults</w:t>
      </w:r>
      <w:r w:rsidR="00C63F8F" w:rsidRPr="00E27443">
        <w:t xml:space="preserve"> </w:t>
      </w:r>
      <w:r w:rsidRPr="00E27443">
        <w:t>have</w:t>
      </w:r>
      <w:r w:rsidR="00C63F8F" w:rsidRPr="00E27443">
        <w:t xml:space="preserve"> </w:t>
      </w:r>
      <w:r w:rsidRPr="00E27443">
        <w:t>been</w:t>
      </w:r>
      <w:r w:rsidR="00C63F8F" w:rsidRPr="00E27443">
        <w:t xml:space="preserve"> </w:t>
      </w:r>
      <w:r w:rsidRPr="00E27443">
        <w:t>rectified.</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the</w:t>
      </w:r>
      <w:r w:rsidR="00C63F8F" w:rsidRPr="00E27443">
        <w:t xml:space="preserve"> </w:t>
      </w:r>
      <w:r w:rsidRPr="00E27443">
        <w:t>event</w:t>
      </w:r>
      <w:r w:rsidR="00C63F8F" w:rsidRPr="00E27443">
        <w:t xml:space="preserve"> </w:t>
      </w:r>
      <w:r w:rsidRPr="00E27443">
        <w:t>of</w:t>
      </w:r>
      <w:r w:rsidR="00C63F8F" w:rsidRPr="00E27443">
        <w:t xml:space="preserve"> </w:t>
      </w:r>
      <w:r w:rsidRPr="00E27443">
        <w:t>transgressions,</w:t>
      </w:r>
      <w:r w:rsidR="00C63F8F" w:rsidRPr="00E27443">
        <w:t xml:space="preserve"> </w:t>
      </w:r>
      <w:r w:rsidRPr="00E27443">
        <w:t>the</w:t>
      </w:r>
      <w:r w:rsidR="00C63F8F" w:rsidRPr="00E27443">
        <w:t xml:space="preserve"> </w:t>
      </w:r>
      <w:r w:rsidRPr="00E27443">
        <w:t>municipal</w:t>
      </w:r>
      <w:r w:rsidR="00C63F8F" w:rsidRPr="00E27443">
        <w:t xml:space="preserve"> </w:t>
      </w:r>
      <w:r w:rsidRPr="00E27443">
        <w:t>building</w:t>
      </w:r>
      <w:r w:rsidR="00C63F8F" w:rsidRPr="00E27443">
        <w:t xml:space="preserve"> </w:t>
      </w:r>
      <w:r w:rsidRPr="00E27443">
        <w:t>committee</w:t>
      </w:r>
      <w:r w:rsidR="00C63F8F" w:rsidRPr="00E27443">
        <w:t xml:space="preserve"> </w:t>
      </w:r>
      <w:r w:rsidRPr="00E27443">
        <w:t>decides</w:t>
      </w:r>
      <w:r w:rsidR="00C63F8F" w:rsidRPr="00E27443">
        <w:t xml:space="preserve"> </w:t>
      </w:r>
      <w:r w:rsidRPr="00E27443">
        <w:t>whether</w:t>
      </w:r>
      <w:r w:rsidR="00C63F8F" w:rsidRPr="00E27443">
        <w:t xml:space="preserve"> </w:t>
      </w:r>
      <w:r w:rsidRPr="00E27443">
        <w:t>the</w:t>
      </w:r>
      <w:r w:rsidR="00C63F8F" w:rsidRPr="00E27443">
        <w:t xml:space="preserve"> </w:t>
      </w:r>
      <w:r w:rsidRPr="00E27443">
        <w:t>consequences</w:t>
      </w:r>
      <w:r w:rsidR="00C63F8F" w:rsidRPr="00E27443">
        <w:t xml:space="preserve"> </w:t>
      </w:r>
      <w:r w:rsidRPr="00E27443">
        <w:t>are</w:t>
      </w:r>
      <w:r w:rsidR="00C63F8F" w:rsidRPr="00E27443">
        <w:t xml:space="preserve"> </w:t>
      </w:r>
      <w:r w:rsidRPr="00E27443">
        <w:t>to</w:t>
      </w:r>
      <w:r w:rsidR="00C63F8F" w:rsidRPr="00E27443">
        <w:t xml:space="preserve"> </w:t>
      </w:r>
      <w:r w:rsidRPr="00E27443">
        <w:t>be</w:t>
      </w:r>
      <w:r w:rsidR="00C63F8F" w:rsidRPr="00E27443">
        <w:t xml:space="preserve"> </w:t>
      </w:r>
      <w:r w:rsidRPr="00E27443">
        <w:t>financial</w:t>
      </w:r>
      <w:r w:rsidR="00C63F8F" w:rsidRPr="00E27443">
        <w:t xml:space="preserve"> </w:t>
      </w:r>
      <w:r w:rsidRPr="00E27443">
        <w:t>fines</w:t>
      </w:r>
      <w:r w:rsidR="00C63F8F" w:rsidRPr="00E27443">
        <w:t xml:space="preserve"> </w:t>
      </w:r>
      <w:r w:rsidRPr="00E27443">
        <w:t>and/or</w:t>
      </w:r>
      <w:r w:rsidR="00C63F8F" w:rsidRPr="00E27443">
        <w:t xml:space="preserve"> </w:t>
      </w:r>
      <w:r w:rsidRPr="00E27443">
        <w:t>demands</w:t>
      </w:r>
      <w:r w:rsidR="00C63F8F" w:rsidRPr="00E27443">
        <w:t xml:space="preserve"> </w:t>
      </w:r>
      <w:r w:rsidRPr="00E27443">
        <w:t>to</w:t>
      </w:r>
      <w:r w:rsidR="00C63F8F" w:rsidRPr="00E27443">
        <w:t xml:space="preserve"> </w:t>
      </w:r>
      <w:r w:rsidRPr="00E27443">
        <w:t>rectify</w:t>
      </w:r>
      <w:r w:rsidR="00C63F8F" w:rsidRPr="00E27443">
        <w:t xml:space="preserve"> </w:t>
      </w:r>
      <w:r w:rsidRPr="00E27443">
        <w:t>the</w:t>
      </w:r>
      <w:r w:rsidR="00C63F8F" w:rsidRPr="00E27443">
        <w:t xml:space="preserve"> </w:t>
      </w:r>
      <w:r w:rsidRPr="00E27443">
        <w:t>deficient</w:t>
      </w:r>
      <w:r w:rsidR="00C63F8F" w:rsidRPr="00E27443">
        <w:t xml:space="preserve"> </w:t>
      </w:r>
      <w:r w:rsidRPr="00E27443">
        <w:t>accessibility</w:t>
      </w:r>
      <w:r w:rsidR="00C63F8F" w:rsidRPr="00E27443">
        <w:t xml:space="preserve"> </w:t>
      </w:r>
      <w:r w:rsidRPr="00E27443">
        <w:t>solutions.</w:t>
      </w:r>
      <w:r w:rsidR="00C63F8F" w:rsidRPr="00E27443">
        <w:t xml:space="preserve"> </w:t>
      </w:r>
      <w:r w:rsidRPr="00E27443">
        <w:t>Financial</w:t>
      </w:r>
      <w:r w:rsidR="00C63F8F" w:rsidRPr="00E27443">
        <w:t xml:space="preserve"> </w:t>
      </w:r>
      <w:r w:rsidRPr="00E27443">
        <w:t>fines</w:t>
      </w:r>
      <w:r w:rsidR="00C63F8F" w:rsidRPr="00E27443">
        <w:t xml:space="preserve"> </w:t>
      </w:r>
      <w:r w:rsidRPr="00E27443">
        <w:t>are</w:t>
      </w:r>
      <w:r w:rsidR="00C63F8F" w:rsidRPr="00E27443">
        <w:t xml:space="preserve"> </w:t>
      </w:r>
      <w:r w:rsidRPr="00E27443">
        <w:t>not</w:t>
      </w:r>
      <w:r w:rsidR="00C63F8F" w:rsidRPr="00E27443">
        <w:t xml:space="preserve"> </w:t>
      </w:r>
      <w:r w:rsidRPr="00E27443">
        <w:t>earmarked</w:t>
      </w:r>
      <w:r w:rsidR="00C63F8F" w:rsidRPr="00E27443">
        <w:t xml:space="preserve"> </w:t>
      </w:r>
      <w:r w:rsidRPr="00E27443">
        <w:t>for</w:t>
      </w:r>
      <w:r w:rsidR="00C63F8F" w:rsidRPr="00E27443">
        <w:t xml:space="preserve"> </w:t>
      </w:r>
      <w:r w:rsidRPr="00E27443">
        <w:t>accessibility-improving</w:t>
      </w:r>
      <w:r w:rsidR="00C63F8F" w:rsidRPr="00E27443">
        <w:t xml:space="preserve"> </w:t>
      </w:r>
      <w:r w:rsidRPr="00E27443">
        <w:t>measures.</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June</w:t>
      </w:r>
      <w:r w:rsidR="00C63F8F" w:rsidRPr="00E27443">
        <w:t xml:space="preserve"> </w:t>
      </w:r>
      <w:r w:rsidRPr="00E27443">
        <w:t>2010,</w:t>
      </w:r>
      <w:r w:rsidR="00C63F8F" w:rsidRPr="00E27443">
        <w:t xml:space="preserve"> </w:t>
      </w:r>
      <w:r w:rsidRPr="00E27443">
        <w:t>Parliament</w:t>
      </w:r>
      <w:r w:rsidR="00C63F8F" w:rsidRPr="00E27443">
        <w:t xml:space="preserve"> </w:t>
      </w:r>
      <w:r w:rsidRPr="00E27443">
        <w:t>adopted</w:t>
      </w:r>
      <w:r w:rsidR="00C63F8F" w:rsidRPr="00E27443">
        <w:t xml:space="preserve"> </w:t>
      </w:r>
      <w:r w:rsidRPr="00E27443">
        <w:t>a</w:t>
      </w:r>
      <w:r w:rsidR="00C63F8F" w:rsidRPr="00E27443">
        <w:t xml:space="preserve"> </w:t>
      </w:r>
      <w:r w:rsidRPr="00E27443">
        <w:t>proposal</w:t>
      </w:r>
      <w:r w:rsidR="00C63F8F" w:rsidRPr="00E27443">
        <w:t xml:space="preserve"> </w:t>
      </w:r>
      <w:r w:rsidRPr="00E27443">
        <w:t>for</w:t>
      </w:r>
      <w:r w:rsidR="00C63F8F" w:rsidRPr="00E27443">
        <w:t xml:space="preserve"> </w:t>
      </w:r>
      <w:r w:rsidRPr="00E27443">
        <w:t>the</w:t>
      </w:r>
      <w:r w:rsidR="00C63F8F" w:rsidRPr="00E27443">
        <w:t xml:space="preserve"> </w:t>
      </w:r>
      <w:r w:rsidRPr="00E27443">
        <w:t>modernisation</w:t>
      </w:r>
      <w:r w:rsidR="00C63F8F" w:rsidRPr="00E27443">
        <w:t xml:space="preserve"> </w:t>
      </w:r>
      <w:r w:rsidRPr="00E27443">
        <w:t>of</w:t>
      </w:r>
      <w:r w:rsidR="00C63F8F" w:rsidRPr="00E27443">
        <w:t xml:space="preserve"> </w:t>
      </w: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Building</w:t>
      </w:r>
      <w:r w:rsidR="00C63F8F" w:rsidRPr="00E27443">
        <w:t xml:space="preserve"> </w:t>
      </w:r>
      <w:r w:rsidRPr="00E27443">
        <w:t>Act.</w:t>
      </w:r>
      <w:r w:rsidR="00C63F8F" w:rsidRPr="00E27443">
        <w:t xml:space="preserve"> </w:t>
      </w:r>
      <w:r w:rsidRPr="00E27443">
        <w:t>As</w:t>
      </w:r>
      <w:r w:rsidR="00C63F8F" w:rsidRPr="00E27443">
        <w:t xml:space="preserve"> </w:t>
      </w:r>
      <w:r w:rsidRPr="00E27443">
        <w:t>part</w:t>
      </w:r>
      <w:r w:rsidR="00C63F8F" w:rsidRPr="00E27443">
        <w:t xml:space="preserve"> </w:t>
      </w:r>
      <w:r w:rsidRPr="00E27443">
        <w:t>of</w:t>
      </w:r>
      <w:r w:rsidR="00C63F8F" w:rsidRPr="00E27443">
        <w:t xml:space="preserve"> </w:t>
      </w:r>
      <w:r w:rsidRPr="00E27443">
        <w:t>this,</w:t>
      </w:r>
      <w:r w:rsidR="00C63F8F" w:rsidRPr="00E27443">
        <w:t xml:space="preserve"> </w:t>
      </w:r>
      <w:r w:rsidRPr="00E27443">
        <w:t>a</w:t>
      </w:r>
      <w:r w:rsidR="00C63F8F" w:rsidRPr="00E27443">
        <w:t xml:space="preserve"> </w:t>
      </w:r>
      <w:r w:rsidRPr="00E27443">
        <w:t>building</w:t>
      </w:r>
      <w:r w:rsidR="00C63F8F" w:rsidRPr="00E27443">
        <w:t>’</w:t>
      </w:r>
      <w:r w:rsidRPr="00E27443">
        <w:t>s</w:t>
      </w:r>
      <w:r w:rsidR="00C63F8F" w:rsidRPr="00E27443">
        <w:t xml:space="preserve"> </w:t>
      </w:r>
      <w:r w:rsidRPr="00E27443">
        <w:t>accessibility</w:t>
      </w:r>
      <w:r w:rsidR="00C63F8F" w:rsidRPr="00E27443">
        <w:t xml:space="preserve"> </w:t>
      </w:r>
      <w:r w:rsidRPr="00E27443">
        <w:t>and</w:t>
      </w:r>
      <w:r w:rsidR="00C63F8F" w:rsidRPr="00E27443">
        <w:t xml:space="preserve"> </w:t>
      </w:r>
      <w:r w:rsidRPr="00E27443">
        <w:t>usability</w:t>
      </w:r>
      <w:r w:rsidR="00C63F8F" w:rsidRPr="00E27443">
        <w:t xml:space="preserve"> </w:t>
      </w:r>
      <w:r w:rsidRPr="00E27443">
        <w:t>will</w:t>
      </w:r>
      <w:r w:rsidR="00C63F8F" w:rsidRPr="00E27443">
        <w:t xml:space="preserve"> </w:t>
      </w:r>
      <w:r w:rsidRPr="00E27443">
        <w:t>be</w:t>
      </w:r>
      <w:r w:rsidR="00C63F8F" w:rsidRPr="00E27443">
        <w:t xml:space="preserve"> </w:t>
      </w:r>
      <w:r w:rsidRPr="00E27443">
        <w:t>assessed</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the</w:t>
      </w:r>
      <w:r w:rsidR="00C63F8F" w:rsidRPr="00E27443">
        <w:t xml:space="preserve"> </w:t>
      </w:r>
      <w:r w:rsidRPr="00E27443">
        <w:t>issuing</w:t>
      </w:r>
      <w:r w:rsidR="00C63F8F" w:rsidRPr="00E27443">
        <w:t xml:space="preserve"> </w:t>
      </w:r>
      <w:r w:rsidRPr="00E27443">
        <w:t>of</w:t>
      </w:r>
      <w:r w:rsidR="00C63F8F" w:rsidRPr="00E27443">
        <w:t xml:space="preserve"> </w:t>
      </w:r>
      <w:r w:rsidRPr="00E27443">
        <w:t>planning</w:t>
      </w:r>
      <w:r w:rsidR="00C63F8F" w:rsidRPr="00E27443">
        <w:t xml:space="preserve"> </w:t>
      </w:r>
      <w:r w:rsidRPr="00E27443">
        <w:t>permission.</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rPr>
          <w:i/>
        </w:rPr>
        <w:t>municipalities</w:t>
      </w:r>
      <w:r w:rsidR="00C63F8F" w:rsidRPr="00E27443">
        <w:t xml:space="preserve"> </w:t>
      </w:r>
      <w:r w:rsidRPr="00E27443">
        <w:t>are</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the</w:t>
      </w:r>
      <w:r w:rsidR="00C63F8F" w:rsidRPr="00E27443">
        <w:t xml:space="preserve"> </w:t>
      </w:r>
      <w:r w:rsidRPr="00E27443">
        <w:t>requirements</w:t>
      </w:r>
      <w:r w:rsidR="00C63F8F" w:rsidRPr="00E27443">
        <w:t xml:space="preserve"> </w:t>
      </w:r>
      <w:r w:rsidRPr="00E27443">
        <w:t>in</w:t>
      </w:r>
      <w:r w:rsidR="00C63F8F" w:rsidRPr="00E27443">
        <w:t xml:space="preserve"> </w:t>
      </w: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Building</w:t>
      </w:r>
      <w:r w:rsidR="00C63F8F" w:rsidRPr="00E27443">
        <w:t xml:space="preserve"> </w:t>
      </w:r>
      <w:r w:rsidRPr="00E27443">
        <w:t>Act</w:t>
      </w:r>
      <w:r w:rsidR="00C63F8F" w:rsidRPr="00E27443">
        <w:t xml:space="preserve"> </w:t>
      </w:r>
      <w:r w:rsidRPr="00E27443">
        <w:t>being</w:t>
      </w:r>
      <w:r w:rsidR="00C63F8F" w:rsidRPr="00E27443">
        <w:t xml:space="preserve"> </w:t>
      </w:r>
      <w:r w:rsidRPr="00E27443">
        <w:t>satisfied</w:t>
      </w:r>
      <w:r w:rsidR="00C63F8F" w:rsidRPr="00E27443">
        <w:t xml:space="preserve"> </w:t>
      </w:r>
      <w:r w:rsidRPr="00E27443">
        <w:t>on</w:t>
      </w:r>
      <w:r w:rsidR="00C63F8F" w:rsidRPr="00E27443">
        <w:t xml:space="preserve"> </w:t>
      </w:r>
      <w:r w:rsidRPr="00E27443">
        <w:t>a</w:t>
      </w:r>
      <w:r w:rsidR="00C63F8F" w:rsidRPr="00E27443">
        <w:t xml:space="preserve"> </w:t>
      </w:r>
      <w:r w:rsidRPr="00E27443">
        <w:t>local</w:t>
      </w:r>
      <w:r w:rsidR="00C63F8F" w:rsidRPr="00E27443">
        <w:t xml:space="preserve"> </w:t>
      </w:r>
      <w:r w:rsidRPr="00E27443">
        <w:t>level.</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drive</w:t>
      </w:r>
      <w:r w:rsidR="00C63F8F" w:rsidRPr="00E27443">
        <w:t xml:space="preserve"> </w:t>
      </w:r>
      <w:r w:rsidRPr="00E27443">
        <w:t>through</w:t>
      </w:r>
      <w:r w:rsidR="00C63F8F" w:rsidRPr="00E27443">
        <w:t xml:space="preserve"> </w:t>
      </w:r>
      <w:r w:rsidRPr="00E27443">
        <w:t>developments</w:t>
      </w:r>
      <w:r w:rsidR="00C63F8F" w:rsidRPr="00E27443">
        <w:t xml:space="preserve"> </w:t>
      </w:r>
      <w:r w:rsidRPr="00E27443">
        <w:t>locally</w:t>
      </w:r>
      <w:r w:rsidR="00C63F8F" w:rsidRPr="00E27443">
        <w:t xml:space="preserve"> </w:t>
      </w:r>
      <w:r w:rsidRPr="00E27443">
        <w:t>and</w:t>
      </w:r>
      <w:r w:rsidR="00C63F8F" w:rsidRPr="00E27443">
        <w:t xml:space="preserve"> </w:t>
      </w:r>
      <w:r w:rsidRPr="00E27443">
        <w:t>regionally,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supported</w:t>
      </w:r>
      <w:r w:rsidR="00C63F8F" w:rsidRPr="00E27443">
        <w:t xml:space="preserve"> </w:t>
      </w:r>
      <w:r w:rsidRPr="00E27443">
        <w:t>municipalities</w:t>
      </w:r>
      <w:r w:rsidR="00C63F8F" w:rsidRPr="00E27443">
        <w:t xml:space="preserve"> </w:t>
      </w:r>
      <w:r w:rsidRPr="00E27443">
        <w:t>in</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indicators</w:t>
      </w:r>
      <w:r w:rsidR="00C63F8F" w:rsidRPr="00E27443">
        <w:t xml:space="preserve"> </w:t>
      </w:r>
      <w:r w:rsidRPr="00E27443">
        <w:t>and</w:t>
      </w:r>
      <w:r w:rsidR="00C63F8F" w:rsidRPr="00E27443">
        <w:t xml:space="preserve"> </w:t>
      </w:r>
      <w:r w:rsidRPr="00E27443">
        <w:t>systems</w:t>
      </w:r>
      <w:r w:rsidR="00C63F8F" w:rsidRPr="00E27443">
        <w:t xml:space="preserve"> </w:t>
      </w:r>
      <w:r w:rsidRPr="00E27443">
        <w:t>for</w:t>
      </w:r>
      <w:r w:rsidR="00C63F8F" w:rsidRPr="00E27443">
        <w:t xml:space="preserve"> </w:t>
      </w:r>
      <w:r w:rsidRPr="00E27443">
        <w:t>open</w:t>
      </w:r>
      <w:r w:rsidR="00C63F8F" w:rsidRPr="00E27443">
        <w:t xml:space="preserve"> </w:t>
      </w:r>
      <w:r w:rsidRPr="00E27443">
        <w:t>comparisons</w:t>
      </w:r>
      <w:r w:rsidR="00C63F8F" w:rsidRPr="00E27443">
        <w:t xml:space="preserve"> </w:t>
      </w:r>
      <w:r w:rsidRPr="00E27443">
        <w:t>of</w:t>
      </w:r>
      <w:r w:rsidR="00C63F8F" w:rsidRPr="00E27443">
        <w:t xml:space="preserve"> </w:t>
      </w:r>
      <w:r w:rsidRPr="00E27443">
        <w:t>accessibility</w:t>
      </w:r>
      <w:r w:rsidR="00C63F8F" w:rsidRPr="00E27443">
        <w:t xml:space="preserve"> </w:t>
      </w:r>
      <w:r w:rsidRPr="00E27443">
        <w:t>and</w:t>
      </w:r>
      <w:r w:rsidR="00C63F8F" w:rsidRPr="00E27443">
        <w:t xml:space="preserve"> </w:t>
      </w:r>
      <w:r w:rsidRPr="00E27443">
        <w:t>accessibility</w:t>
      </w:r>
      <w:r w:rsidR="00C63F8F" w:rsidRPr="00E27443">
        <w:t xml:space="preserve"> </w:t>
      </w:r>
      <w:r w:rsidRPr="00E27443">
        <w:t>work</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p>
    <w:p w:rsidR="00321ADA" w:rsidRPr="00E27443" w:rsidRDefault="00321ADA" w:rsidP="00E75253">
      <w:pPr>
        <w:pStyle w:val="SingleTxtG"/>
        <w:numPr>
          <w:ilvl w:val="0"/>
          <w:numId w:val="20"/>
        </w:numPr>
        <w:tabs>
          <w:tab w:val="left" w:pos="1843"/>
        </w:tabs>
        <w:ind w:left="1134" w:firstLine="0"/>
      </w:pPr>
      <w:r w:rsidRPr="00E27443">
        <w:t>More</w:t>
      </w:r>
      <w:r w:rsidR="00C63F8F" w:rsidRPr="00E27443">
        <w:t xml:space="preserve"> </w:t>
      </w:r>
      <w:r w:rsidRPr="00E27443">
        <w:t>and</w:t>
      </w:r>
      <w:r w:rsidR="00C63F8F" w:rsidRPr="00E27443">
        <w:t xml:space="preserve"> </w:t>
      </w:r>
      <w:r w:rsidRPr="00E27443">
        <w:t>more</w:t>
      </w:r>
      <w:r w:rsidR="00C63F8F" w:rsidRPr="00E27443">
        <w:t xml:space="preserve"> </w:t>
      </w:r>
      <w:r w:rsidRPr="00E27443">
        <w:t>municipalities</w:t>
      </w:r>
      <w:r w:rsidR="00C63F8F" w:rsidRPr="00E27443">
        <w:t xml:space="preserve"> </w:t>
      </w:r>
      <w:r w:rsidRPr="00E27443">
        <w:t>are</w:t>
      </w:r>
      <w:r w:rsidR="00C63F8F" w:rsidRPr="00E27443">
        <w:t xml:space="preserve"> </w:t>
      </w:r>
      <w:r w:rsidRPr="00E27443">
        <w:t>already</w:t>
      </w:r>
      <w:r w:rsidR="00C63F8F" w:rsidRPr="00E27443">
        <w:t xml:space="preserve"> </w:t>
      </w:r>
      <w:r w:rsidRPr="00E27443">
        <w:t>working</w:t>
      </w:r>
      <w:r w:rsidR="00C63F8F" w:rsidRPr="00E27443">
        <w:t xml:space="preserve"> </w:t>
      </w:r>
      <w:r w:rsidRPr="00E27443">
        <w:t>voluntarily</w:t>
      </w:r>
      <w:r w:rsidR="00C63F8F" w:rsidRPr="00E27443">
        <w:t xml:space="preserve"> </w:t>
      </w:r>
      <w:r w:rsidRPr="00E27443">
        <w:t>to</w:t>
      </w:r>
      <w:r w:rsidR="00C63F8F" w:rsidRPr="00E27443">
        <w:t xml:space="preserve"> </w:t>
      </w:r>
      <w:r w:rsidRPr="00E27443">
        <w:t>observe</w:t>
      </w:r>
      <w:r w:rsidR="00C63F8F" w:rsidRPr="00E27443">
        <w:t xml:space="preserve"> </w:t>
      </w:r>
      <w:r w:rsidRPr="00E27443">
        <w:t>accessibility</w:t>
      </w:r>
      <w:r w:rsidR="00C63F8F" w:rsidRPr="00E27443">
        <w:t xml:space="preserve"> </w:t>
      </w:r>
      <w:r w:rsidRPr="00E27443">
        <w:t>issues</w:t>
      </w:r>
      <w:r w:rsidR="00C63F8F" w:rsidRPr="00E27443">
        <w:t xml:space="preserve"> </w:t>
      </w:r>
      <w:r w:rsidRPr="00E27443">
        <w:t>in</w:t>
      </w:r>
      <w:r w:rsidR="00C63F8F" w:rsidRPr="00E27443">
        <w:t xml:space="preserve"> </w:t>
      </w:r>
      <w:r w:rsidRPr="00E27443">
        <w:t>the</w:t>
      </w:r>
      <w:r w:rsidR="00C63F8F" w:rsidRPr="00E27443">
        <w:t xml:space="preserve"> </w:t>
      </w:r>
      <w:r w:rsidRPr="00E27443">
        <w:t>production</w:t>
      </w:r>
      <w:r w:rsidR="00C63F8F" w:rsidRPr="00E27443">
        <w:t xml:space="preserve"> </w:t>
      </w:r>
      <w:r w:rsidRPr="00E27443">
        <w:t>of</w:t>
      </w:r>
      <w:r w:rsidR="00C63F8F" w:rsidRPr="00E27443">
        <w:t xml:space="preserve"> </w:t>
      </w:r>
      <w:r w:rsidRPr="00E27443">
        <w:t>detailed</w:t>
      </w:r>
      <w:r w:rsidR="00C63F8F" w:rsidRPr="00E27443">
        <w:t xml:space="preserve"> </w:t>
      </w:r>
      <w:r w:rsidRPr="00E27443">
        <w:t>plans,</w:t>
      </w:r>
      <w:r w:rsidR="00C63F8F" w:rsidRPr="00E27443">
        <w:t xml:space="preserve"> </w:t>
      </w:r>
      <w:r w:rsidRPr="00E27443">
        <w:t>in-depth</w:t>
      </w:r>
      <w:r w:rsidR="00C63F8F" w:rsidRPr="00E27443">
        <w:t xml:space="preserve"> </w:t>
      </w:r>
      <w:r w:rsidRPr="00E27443">
        <w:t>overview</w:t>
      </w:r>
      <w:r w:rsidR="00C63F8F" w:rsidRPr="00E27443">
        <w:t xml:space="preserve"> </w:t>
      </w:r>
      <w:r w:rsidRPr="00E27443">
        <w:t>plans</w:t>
      </w:r>
      <w:r w:rsidR="00C63F8F" w:rsidRPr="00E27443">
        <w:t xml:space="preserve"> </w:t>
      </w:r>
      <w:r w:rsidRPr="00E27443">
        <w:t>and</w:t>
      </w:r>
      <w:r w:rsidR="00C63F8F" w:rsidRPr="00E27443">
        <w:t xml:space="preserve"> </w:t>
      </w:r>
      <w:r w:rsidRPr="00E27443">
        <w:t>regular</w:t>
      </w:r>
      <w:r w:rsidR="00C63F8F" w:rsidRPr="00E27443">
        <w:t xml:space="preserve"> </w:t>
      </w:r>
      <w:r w:rsidRPr="00E27443">
        <w:t>overview</w:t>
      </w:r>
      <w:r w:rsidR="00C63F8F" w:rsidRPr="00E27443">
        <w:t xml:space="preserve"> </w:t>
      </w:r>
      <w:r w:rsidRPr="00E27443">
        <w:t>plans.</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Housing,</w:t>
      </w:r>
      <w:r w:rsidR="00C63F8F" w:rsidRPr="00E27443">
        <w:t xml:space="preserve"> </w:t>
      </w:r>
      <w:r w:rsidRPr="00E27443">
        <w:t>Building</w:t>
      </w:r>
      <w:r w:rsidR="00C63F8F" w:rsidRPr="00E27443">
        <w:t xml:space="preserve"> </w:t>
      </w:r>
      <w:r w:rsidRPr="00E27443">
        <w:t>and</w:t>
      </w:r>
      <w:r w:rsidR="00C63F8F" w:rsidRPr="00E27443">
        <w:t xml:space="preserve"> </w:t>
      </w:r>
      <w:r w:rsidRPr="00E27443">
        <w:t>Planning</w:t>
      </w:r>
      <w:r w:rsidR="00C63F8F" w:rsidRPr="00E27443">
        <w:t xml:space="preserve"> </w:t>
      </w:r>
      <w:r w:rsidRPr="00E27443">
        <w:t>has</w:t>
      </w:r>
      <w:r w:rsidR="00C63F8F" w:rsidRPr="00E27443">
        <w:t xml:space="preserve"> </w:t>
      </w:r>
      <w:r w:rsidRPr="00E27443">
        <w:t>been</w:t>
      </w:r>
      <w:r w:rsidR="00C63F8F" w:rsidRPr="00E27443">
        <w:t xml:space="preserve"> </w:t>
      </w:r>
      <w:r w:rsidRPr="00E27443">
        <w:t>working</w:t>
      </w:r>
      <w:r w:rsidR="00C63F8F" w:rsidRPr="00E27443">
        <w:t xml:space="preserve"> </w:t>
      </w:r>
      <w:r w:rsidRPr="00E27443">
        <w:t>since</w:t>
      </w:r>
      <w:r w:rsidR="00C63F8F" w:rsidRPr="00E27443">
        <w:t xml:space="preserve"> </w:t>
      </w:r>
      <w:r w:rsidRPr="00E27443">
        <w:t>2006</w:t>
      </w:r>
      <w:r w:rsidR="00C63F8F" w:rsidRPr="00E27443">
        <w:t xml:space="preserve"> </w:t>
      </w:r>
      <w:r w:rsidRPr="00E27443">
        <w:t>on</w:t>
      </w:r>
      <w:r w:rsidR="00C63F8F" w:rsidRPr="00E27443">
        <w:t xml:space="preserve"> </w:t>
      </w:r>
      <w:r w:rsidRPr="00E27443">
        <w:t>guidance</w:t>
      </w:r>
      <w:r w:rsidR="00C63F8F" w:rsidRPr="00E27443">
        <w:t xml:space="preserve"> </w:t>
      </w:r>
      <w:r w:rsidRPr="00E27443">
        <w:t>for</w:t>
      </w:r>
      <w:r w:rsidR="00C63F8F" w:rsidRPr="00E27443">
        <w:t xml:space="preserve"> </w:t>
      </w:r>
      <w:r w:rsidRPr="00E27443">
        <w:t>municipalities</w:t>
      </w:r>
      <w:r w:rsidR="00C63F8F" w:rsidRPr="00E27443">
        <w:t xml:space="preserve"> </w:t>
      </w:r>
      <w:r w:rsidRPr="00E27443">
        <w:t>regarding</w:t>
      </w:r>
      <w:r w:rsidR="00C63F8F" w:rsidRPr="00E27443">
        <w:t xml:space="preserve"> </w:t>
      </w:r>
      <w:r w:rsidRPr="00E27443">
        <w:t>overview</w:t>
      </w:r>
      <w:r w:rsidR="00C63F8F" w:rsidRPr="00E27443">
        <w:t xml:space="preserve"> </w:t>
      </w:r>
      <w:r w:rsidRPr="00E27443">
        <w:t>planning,</w:t>
      </w:r>
      <w:r w:rsidR="00C63F8F" w:rsidRPr="00E27443">
        <w:t xml:space="preserve"> </w:t>
      </w:r>
      <w:r w:rsidRPr="00E27443">
        <w:t>for</w:t>
      </w:r>
      <w:r w:rsidR="00C63F8F" w:rsidRPr="00E27443">
        <w:t xml:space="preserve"> </w:t>
      </w:r>
      <w:r w:rsidRPr="00E27443">
        <w:t>example</w:t>
      </w:r>
      <w:r w:rsidR="00C63F8F" w:rsidRPr="00E27443">
        <w:t xml:space="preserve"> </w:t>
      </w:r>
      <w:r w:rsidRPr="00E27443">
        <w:t>via</w:t>
      </w:r>
      <w:r w:rsidR="00C63F8F" w:rsidRPr="00E27443">
        <w:t xml:space="preserve"> </w:t>
      </w:r>
      <w:r w:rsidRPr="00E27443">
        <w:t>a</w:t>
      </w:r>
      <w:r w:rsidR="00C63F8F" w:rsidRPr="00E27443">
        <w:t xml:space="preserve"> </w:t>
      </w:r>
      <w:r w:rsidRPr="00E27443">
        <w:t>series</w:t>
      </w:r>
      <w:r w:rsidR="00C63F8F" w:rsidRPr="00E27443">
        <w:t xml:space="preserve"> </w:t>
      </w:r>
      <w:r w:rsidRPr="00E27443">
        <w:t>of</w:t>
      </w:r>
      <w:r w:rsidR="00C63F8F" w:rsidRPr="00E27443">
        <w:t xml:space="preserve"> </w:t>
      </w:r>
      <w:r w:rsidRPr="00E27443">
        <w:t>publications</w:t>
      </w:r>
      <w:r w:rsidR="00C63F8F" w:rsidRPr="00E27443">
        <w:t xml:space="preserve"> </w:t>
      </w:r>
      <w:r w:rsidRPr="00E27443">
        <w:t>that</w:t>
      </w:r>
      <w:r w:rsidR="00C63F8F" w:rsidRPr="00E27443">
        <w:t xml:space="preserve"> </w:t>
      </w:r>
      <w:r w:rsidRPr="00E27443">
        <w:t>include</w:t>
      </w:r>
      <w:r w:rsidR="00C63F8F" w:rsidRPr="00E27443">
        <w:t xml:space="preserve"> </w:t>
      </w:r>
      <w:r w:rsidRPr="00E27443">
        <w:t>accessibility.</w:t>
      </w:r>
    </w:p>
    <w:p w:rsidR="00321ADA" w:rsidRPr="00E27443" w:rsidRDefault="00321ADA" w:rsidP="00E75253">
      <w:pPr>
        <w:pStyle w:val="SingleTxtG"/>
        <w:numPr>
          <w:ilvl w:val="0"/>
          <w:numId w:val="20"/>
        </w:numPr>
        <w:tabs>
          <w:tab w:val="left" w:pos="1843"/>
        </w:tabs>
        <w:ind w:left="1134" w:firstLine="0"/>
      </w:pPr>
      <w:r w:rsidRPr="00E27443">
        <w:t>Identification</w:t>
      </w:r>
      <w:r w:rsidR="00C63F8F" w:rsidRPr="00E27443">
        <w:t xml:space="preserve"> </w:t>
      </w:r>
      <w:r w:rsidRPr="00E27443">
        <w:t>of</w:t>
      </w:r>
      <w:r w:rsidR="00C63F8F" w:rsidRPr="00E27443">
        <w:t xml:space="preserve"> </w:t>
      </w:r>
      <w:r w:rsidRPr="00E27443">
        <w:t>obstacles</w:t>
      </w:r>
      <w:r w:rsidR="00C63F8F" w:rsidRPr="00E27443">
        <w:t xml:space="preserve"> </w:t>
      </w:r>
      <w:r w:rsidRPr="00E27443">
        <w:t>in</w:t>
      </w:r>
      <w:r w:rsidR="00C63F8F" w:rsidRPr="00E27443">
        <w:t xml:space="preserve"> </w:t>
      </w:r>
      <w:r w:rsidRPr="00E27443">
        <w:t>the</w:t>
      </w:r>
      <w:r w:rsidR="00C63F8F" w:rsidRPr="00E27443">
        <w:t xml:space="preserve"> </w:t>
      </w:r>
      <w:r w:rsidRPr="00E27443">
        <w:t>physical</w:t>
      </w:r>
      <w:r w:rsidR="00C63F8F" w:rsidRPr="00E27443">
        <w:t xml:space="preserve"> </w:t>
      </w:r>
      <w:r w:rsidRPr="00E27443">
        <w:t>environment,</w:t>
      </w:r>
      <w:r w:rsidR="00C63F8F" w:rsidRPr="00E27443">
        <w:t xml:space="preserve"> </w:t>
      </w:r>
      <w:r w:rsidRPr="00E27443">
        <w:t>both</w:t>
      </w:r>
      <w:r w:rsidR="00C63F8F" w:rsidRPr="00E27443">
        <w:t xml:space="preserve"> </w:t>
      </w:r>
      <w:r w:rsidRPr="00E27443">
        <w:t>indoors</w:t>
      </w:r>
      <w:r w:rsidR="00C63F8F" w:rsidRPr="00E27443">
        <w:t xml:space="preserve"> </w:t>
      </w:r>
      <w:r w:rsidRPr="00E27443">
        <w:t>and</w:t>
      </w:r>
      <w:r w:rsidR="00C63F8F" w:rsidRPr="00E27443">
        <w:t xml:space="preserve"> </w:t>
      </w:r>
      <w:r w:rsidRPr="00E27443">
        <w:t>outdoors,</w:t>
      </w:r>
      <w:r w:rsidR="00C63F8F" w:rsidRPr="00E27443">
        <w:t xml:space="preserve"> </w:t>
      </w:r>
      <w:r w:rsidRPr="00E27443">
        <w:t>and</w:t>
      </w:r>
      <w:r w:rsidR="00C63F8F" w:rsidRPr="00E27443">
        <w:t xml:space="preserve"> </w:t>
      </w:r>
      <w:r w:rsidRPr="00E27443">
        <w:t>in</w:t>
      </w:r>
      <w:r w:rsidR="00C63F8F" w:rsidRPr="00E27443">
        <w:t xml:space="preserve"> </w:t>
      </w:r>
      <w:r w:rsidRPr="00E27443">
        <w:t>both</w:t>
      </w:r>
      <w:r w:rsidR="00C63F8F" w:rsidRPr="00E27443">
        <w:t xml:space="preserve"> </w:t>
      </w:r>
      <w:r w:rsidRPr="00E27443">
        <w:t>private</w:t>
      </w:r>
      <w:r w:rsidR="00C63F8F" w:rsidRPr="00E27443">
        <w:t xml:space="preserve"> </w:t>
      </w:r>
      <w:r w:rsidRPr="00E27443">
        <w:t>and</w:t>
      </w:r>
      <w:r w:rsidR="00C63F8F" w:rsidRPr="00E27443">
        <w:t xml:space="preserve"> </w:t>
      </w:r>
      <w:r w:rsidRPr="00E27443">
        <w:t>public</w:t>
      </w:r>
      <w:r w:rsidR="00C63F8F" w:rsidRPr="00E27443">
        <w:t xml:space="preserve"> </w:t>
      </w:r>
      <w:r w:rsidRPr="00E27443">
        <w:t>properties,</w:t>
      </w:r>
      <w:r w:rsidR="00C63F8F" w:rsidRPr="00E27443">
        <w:t xml:space="preserve"> </w:t>
      </w:r>
      <w:r w:rsidRPr="00E27443">
        <w:t>is</w:t>
      </w:r>
      <w:r w:rsidR="00C63F8F" w:rsidRPr="00E27443">
        <w:t xml:space="preserve"> </w:t>
      </w:r>
      <w:r w:rsidRPr="00E27443">
        <w:t>performed</w:t>
      </w:r>
      <w:r w:rsidR="00C63F8F" w:rsidRPr="00E27443">
        <w:t xml:space="preserve"> </w:t>
      </w:r>
      <w:r w:rsidRPr="00E27443">
        <w:t>by</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Various</w:t>
      </w:r>
      <w:r w:rsidR="00C63F8F" w:rsidRPr="00E27443">
        <w:t xml:space="preserve"> </w:t>
      </w:r>
      <w:r w:rsidRPr="00E27443">
        <w:t>tools</w:t>
      </w:r>
      <w:r w:rsidR="00C63F8F" w:rsidRPr="00E27443">
        <w:t xml:space="preserve"> </w:t>
      </w:r>
      <w:r w:rsidRPr="00E27443">
        <w:t>for</w:t>
      </w:r>
      <w:r w:rsidR="00C63F8F" w:rsidRPr="00E27443">
        <w:t xml:space="preserve"> </w:t>
      </w:r>
      <w:r w:rsidRPr="00E27443">
        <w:t>analysing</w:t>
      </w:r>
      <w:r w:rsidR="00C63F8F" w:rsidRPr="00E27443">
        <w:t xml:space="preserve"> </w:t>
      </w:r>
      <w:r w:rsidRPr="00E27443">
        <w:t>accessibility</w:t>
      </w:r>
      <w:r w:rsidR="00C63F8F" w:rsidRPr="00E27443">
        <w:t xml:space="preserve"> </w:t>
      </w:r>
      <w:r w:rsidRPr="00E27443">
        <w:t>at</w:t>
      </w:r>
      <w:r w:rsidR="00C63F8F" w:rsidRPr="00E27443">
        <w:t xml:space="preserve"> </w:t>
      </w:r>
      <w:r w:rsidRPr="00E27443">
        <w:t>an</w:t>
      </w:r>
      <w:r w:rsidR="00C63F8F" w:rsidRPr="00E27443">
        <w:t xml:space="preserve"> </w:t>
      </w:r>
      <w:r w:rsidRPr="00E27443">
        <w:t>overall</w:t>
      </w:r>
      <w:r w:rsidR="00C63F8F" w:rsidRPr="00E27443">
        <w:t xml:space="preserve"> </w:t>
      </w:r>
      <w:r w:rsidRPr="00E27443">
        <w:t>level</w:t>
      </w:r>
      <w:r w:rsidR="00C63F8F" w:rsidRPr="00E27443">
        <w:t xml:space="preserve"> </w:t>
      </w:r>
      <w:r w:rsidRPr="00E27443">
        <w:t>are</w:t>
      </w:r>
      <w:r w:rsidR="00C63F8F" w:rsidRPr="00E27443">
        <w:t xml:space="preserve"> </w:t>
      </w:r>
      <w:r w:rsidRPr="00E27443">
        <w:t>being</w:t>
      </w:r>
      <w:r w:rsidR="00C63F8F" w:rsidRPr="00E27443">
        <w:t xml:space="preserve"> </w:t>
      </w:r>
      <w:r w:rsidRPr="00E27443">
        <w:t>developed</w:t>
      </w:r>
      <w:r w:rsidR="00C63F8F" w:rsidRPr="00E27443">
        <w:t xml:space="preserve"> </w:t>
      </w:r>
      <w:r w:rsidRPr="00E27443">
        <w:t>in</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regions.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rPr>
          <w:i/>
        </w:rPr>
        <w:t>Act</w:t>
      </w:r>
      <w:r w:rsidR="00C63F8F" w:rsidRPr="00E27443">
        <w:rPr>
          <w:i/>
        </w:rPr>
        <w:t xml:space="preserve"> </w:t>
      </w:r>
      <w:r w:rsidRPr="00E27443">
        <w:rPr>
          <w:i/>
        </w:rPr>
        <w:t>on</w:t>
      </w:r>
      <w:r w:rsidR="00C63F8F" w:rsidRPr="00E27443">
        <w:rPr>
          <w:i/>
        </w:rPr>
        <w:t xml:space="preserve"> </w:t>
      </w:r>
      <w:r w:rsidRPr="00E27443">
        <w:rPr>
          <w:i/>
        </w:rPr>
        <w:t>Housing</w:t>
      </w:r>
      <w:r w:rsidR="00C63F8F" w:rsidRPr="00E27443">
        <w:rPr>
          <w:i/>
        </w:rPr>
        <w:t xml:space="preserve"> </w:t>
      </w:r>
      <w:r w:rsidRPr="00E27443">
        <w:rPr>
          <w:i/>
        </w:rPr>
        <w:t>Adaptation</w:t>
      </w:r>
      <w:r w:rsidR="00C63F8F" w:rsidRPr="00E27443">
        <w:rPr>
          <w:i/>
        </w:rPr>
        <w:t xml:space="preserve"> </w:t>
      </w:r>
      <w:r w:rsidRPr="00E27443">
        <w:rPr>
          <w:i/>
        </w:rPr>
        <w:t>Grants</w:t>
      </w:r>
      <w:r w:rsidR="00041B4C" w:rsidRPr="00E27443">
        <w:rPr>
          <w:rStyle w:val="FootnoteReference"/>
        </w:rPr>
        <w:footnoteReference w:id="38"/>
      </w:r>
      <w:r w:rsidR="00C63F8F" w:rsidRPr="00E27443">
        <w:t xml:space="preserve"> </w:t>
      </w:r>
      <w:r w:rsidRPr="00E27443">
        <w:t>instructs</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to</w:t>
      </w:r>
      <w:r w:rsidR="00C63F8F" w:rsidRPr="00E27443">
        <w:t xml:space="preserve"> </w:t>
      </w:r>
      <w:r w:rsidRPr="00E27443">
        <w:t>provide</w:t>
      </w:r>
      <w:r w:rsidR="00C63F8F" w:rsidRPr="00E27443">
        <w:t xml:space="preserve"> </w:t>
      </w:r>
      <w:r w:rsidRPr="00E27443">
        <w:t>grants</w:t>
      </w:r>
      <w:r w:rsidR="00C63F8F" w:rsidRPr="00E27443">
        <w:t xml:space="preserve"> </w:t>
      </w:r>
      <w:r w:rsidRPr="00E27443">
        <w:t>for</w:t>
      </w:r>
      <w:r w:rsidR="00C63F8F" w:rsidRPr="00E27443">
        <w:t xml:space="preserve"> </w:t>
      </w:r>
      <w:r w:rsidRPr="00E27443">
        <w:t>adaptation</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accessibility</w:t>
      </w:r>
      <w:r w:rsidR="00C63F8F" w:rsidRPr="00E27443">
        <w:t xml:space="preserve"> </w:t>
      </w:r>
      <w:r w:rsidRPr="00E27443">
        <w:t>to</w:t>
      </w:r>
      <w:r w:rsidR="00C63F8F" w:rsidRPr="00E27443">
        <w:t xml:space="preserve"> </w:t>
      </w:r>
      <w:r w:rsidRPr="00E27443">
        <w:t>and</w:t>
      </w:r>
      <w:r w:rsidR="00C63F8F" w:rsidRPr="00E27443">
        <w:t xml:space="preserve"> </w:t>
      </w:r>
      <w:r w:rsidRPr="00E27443">
        <w:t>usability</w:t>
      </w:r>
      <w:r w:rsidR="00C63F8F" w:rsidRPr="00E27443">
        <w:t xml:space="preserve"> </w:t>
      </w:r>
      <w:r w:rsidRPr="00E27443">
        <w:t>of</w:t>
      </w:r>
      <w:r w:rsidR="00C63F8F" w:rsidRPr="00E27443">
        <w:t xml:space="preserve"> </w:t>
      </w:r>
      <w:r w:rsidRPr="00E27443">
        <w:t>existing</w:t>
      </w:r>
      <w:r w:rsidR="00C63F8F" w:rsidRPr="00E27443">
        <w:t xml:space="preserve"> </w:t>
      </w:r>
      <w:r w:rsidRPr="00E27443">
        <w:t>housing</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or</w:t>
      </w:r>
      <w:r w:rsidR="00C63F8F" w:rsidRPr="00E27443">
        <w:t xml:space="preserve"> </w:t>
      </w:r>
      <w:r w:rsidRPr="00E27443">
        <w:t>elderly</w:t>
      </w:r>
      <w:r w:rsidR="00C63F8F" w:rsidRPr="00E27443">
        <w:t xml:space="preserve"> </w:t>
      </w:r>
      <w:r w:rsidRPr="00E27443">
        <w:t>people.</w:t>
      </w:r>
      <w:r w:rsidR="00C63F8F" w:rsidRPr="00E27443">
        <w:t xml:space="preserve"> </w:t>
      </w:r>
      <w:r w:rsidRPr="00E27443">
        <w:t>In</w:t>
      </w:r>
      <w:r w:rsidR="00C63F8F" w:rsidRPr="00E27443">
        <w:t xml:space="preserve"> </w:t>
      </w:r>
      <w:r w:rsidRPr="00E27443">
        <w:t>2008,</w:t>
      </w:r>
      <w:r w:rsidR="00C63F8F" w:rsidRPr="00E27443">
        <w:t xml:space="preserve"> </w:t>
      </w:r>
      <w:r w:rsidRPr="00E27443">
        <w:t>approximately</w:t>
      </w:r>
      <w:r w:rsidR="00C63F8F" w:rsidRPr="00E27443">
        <w:t xml:space="preserve"> </w:t>
      </w:r>
      <w:r w:rsidRPr="00E27443">
        <w:t>75,000</w:t>
      </w:r>
      <w:r w:rsidR="00C63F8F" w:rsidRPr="00E27443">
        <w:t xml:space="preserve"> </w:t>
      </w:r>
      <w:r w:rsidRPr="00E27443">
        <w:t>homes</w:t>
      </w:r>
      <w:r w:rsidR="00C63F8F" w:rsidRPr="00E27443">
        <w:t xml:space="preserve"> </w:t>
      </w:r>
      <w:r w:rsidRPr="00E27443">
        <w:t>received</w:t>
      </w:r>
      <w:r w:rsidR="00C63F8F" w:rsidRPr="00E27443">
        <w:t xml:space="preserve"> </w:t>
      </w:r>
      <w:r w:rsidRPr="00E27443">
        <w:t>these</w:t>
      </w:r>
      <w:r w:rsidR="00C63F8F" w:rsidRPr="00E27443">
        <w:t xml:space="preserve"> </w:t>
      </w:r>
      <w:r w:rsidRPr="00E27443">
        <w:t>grants,</w:t>
      </w:r>
      <w:r w:rsidR="00C63F8F" w:rsidRPr="00E27443">
        <w:t xml:space="preserve"> </w:t>
      </w:r>
      <w:r w:rsidRPr="00E27443">
        <w:t>for</w:t>
      </w:r>
      <w:r w:rsidR="00C63F8F" w:rsidRPr="00E27443">
        <w:t xml:space="preserve"> </w:t>
      </w:r>
      <w:r w:rsidRPr="00E27443">
        <w:t>example</w:t>
      </w:r>
      <w:r w:rsidR="00C63F8F" w:rsidRPr="00E27443">
        <w:t xml:space="preserve"> </w:t>
      </w:r>
      <w:r w:rsidRPr="00E27443">
        <w:t>for</w:t>
      </w:r>
      <w:r w:rsidR="00C63F8F" w:rsidRPr="00E27443">
        <w:t xml:space="preserve"> </w:t>
      </w:r>
      <w:r w:rsidRPr="00E27443">
        <w:t>installing</w:t>
      </w:r>
      <w:r w:rsidR="00C63F8F" w:rsidRPr="00E27443">
        <w:t xml:space="preserve"> </w:t>
      </w:r>
      <w:r w:rsidRPr="00E27443">
        <w:t>ramps</w:t>
      </w:r>
      <w:r w:rsidR="00C63F8F" w:rsidRPr="00E27443">
        <w:t xml:space="preserve"> </w:t>
      </w:r>
      <w:r w:rsidRPr="00E27443">
        <w:t>and</w:t>
      </w:r>
      <w:r w:rsidR="00C63F8F" w:rsidRPr="00E27443">
        <w:t xml:space="preserve"> </w:t>
      </w:r>
      <w:r w:rsidRPr="00E27443">
        <w:t>door</w:t>
      </w:r>
      <w:r w:rsidR="00C63F8F" w:rsidRPr="00E27443">
        <w:t xml:space="preserve"> </w:t>
      </w:r>
      <w:r w:rsidRPr="00E27443">
        <w:t>openers,</w:t>
      </w:r>
      <w:r w:rsidR="00C63F8F" w:rsidRPr="00E27443">
        <w:t xml:space="preserve"> </w:t>
      </w:r>
      <w:r w:rsidRPr="00E27443">
        <w:t>converting</w:t>
      </w:r>
      <w:r w:rsidR="00C63F8F" w:rsidRPr="00E27443">
        <w:t xml:space="preserve"> </w:t>
      </w:r>
      <w:r w:rsidRPr="00E27443">
        <w:t>bathrooms,</w:t>
      </w:r>
      <w:r w:rsidR="00C63F8F" w:rsidRPr="00E27443">
        <w:t xml:space="preserve"> </w:t>
      </w:r>
      <w:r w:rsidRPr="00E27443">
        <w:t>etc.,</w:t>
      </w:r>
      <w:r w:rsidR="00C63F8F" w:rsidRPr="00E27443">
        <w:t xml:space="preserve"> </w:t>
      </w:r>
      <w:r w:rsidRPr="00E27443">
        <w:t>at</w:t>
      </w:r>
      <w:r w:rsidR="00C63F8F" w:rsidRPr="00E27443">
        <w:t xml:space="preserve"> </w:t>
      </w:r>
      <w:r w:rsidRPr="00E27443">
        <w:t>a</w:t>
      </w:r>
      <w:r w:rsidR="00C63F8F" w:rsidRPr="00E27443">
        <w:t xml:space="preserve"> </w:t>
      </w:r>
      <w:r w:rsidRPr="00E27443">
        <w:t>total</w:t>
      </w:r>
      <w:r w:rsidR="00C63F8F" w:rsidRPr="00E27443">
        <w:t xml:space="preserve"> </w:t>
      </w:r>
      <w:r w:rsidRPr="00E27443">
        <w:t>cost</w:t>
      </w:r>
      <w:r w:rsidR="00C63F8F" w:rsidRPr="00E27443">
        <w:t xml:space="preserve"> </w:t>
      </w:r>
      <w:r w:rsidRPr="00E27443">
        <w:t>of</w:t>
      </w:r>
      <w:r w:rsidR="00C63F8F" w:rsidRPr="00E27443">
        <w:t xml:space="preserve"> </w:t>
      </w:r>
      <w:r w:rsidRPr="00E27443">
        <w:t>SEK</w:t>
      </w:r>
      <w:r w:rsidR="00C63F8F" w:rsidRPr="00E27443">
        <w:t xml:space="preserve"> </w:t>
      </w:r>
      <w:r w:rsidRPr="00E27443">
        <w:t>959</w:t>
      </w:r>
      <w:r w:rsidR="00C63F8F" w:rsidRPr="00E27443">
        <w:t xml:space="preserve"> </w:t>
      </w:r>
      <w:r w:rsidRPr="00E27443">
        <w:t>million.</w:t>
      </w:r>
    </w:p>
    <w:p w:rsidR="00321ADA" w:rsidRPr="00E27443" w:rsidRDefault="00321ADA" w:rsidP="00E75253">
      <w:pPr>
        <w:pStyle w:val="SingleTxtG"/>
        <w:numPr>
          <w:ilvl w:val="0"/>
          <w:numId w:val="20"/>
        </w:numPr>
        <w:tabs>
          <w:tab w:val="left" w:pos="1843"/>
        </w:tabs>
        <w:ind w:left="1134" w:firstLine="0"/>
      </w:pPr>
      <w:r w:rsidRPr="00E27443">
        <w:t>It</w:t>
      </w:r>
      <w:r w:rsidR="00C63F8F" w:rsidRPr="00E27443">
        <w:t xml:space="preserve"> </w:t>
      </w:r>
      <w:r w:rsidRPr="00E27443">
        <w:t>is</w:t>
      </w:r>
      <w:r w:rsidR="00C63F8F" w:rsidRPr="00E27443">
        <w:t xml:space="preserve"> </w:t>
      </w:r>
      <w:r w:rsidRPr="00E27443">
        <w:t>also</w:t>
      </w:r>
      <w:r w:rsidR="00C63F8F" w:rsidRPr="00E27443">
        <w:t xml:space="preserve"> </w:t>
      </w:r>
      <w:r w:rsidRPr="00E27443">
        <w:t>important</w:t>
      </w:r>
      <w:r w:rsidR="00C63F8F" w:rsidRPr="00E27443">
        <w:t xml:space="preserve"> </w:t>
      </w:r>
      <w:r w:rsidRPr="00E27443">
        <w:t>to</w:t>
      </w:r>
      <w:r w:rsidR="00C63F8F" w:rsidRPr="00E27443">
        <w:t xml:space="preserve"> </w:t>
      </w:r>
      <w:r w:rsidRPr="00E27443">
        <w:t>highlight</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accessibility</w:t>
      </w:r>
      <w:r w:rsidR="00C63F8F" w:rsidRPr="00E27443">
        <w:t xml:space="preserve"> </w:t>
      </w:r>
      <w:r w:rsidRPr="00E27443">
        <w:t>must</w:t>
      </w:r>
      <w:r w:rsidR="00C63F8F" w:rsidRPr="00E27443">
        <w:t xml:space="preserve"> </w:t>
      </w:r>
      <w:r w:rsidRPr="00E27443">
        <w:t>be</w:t>
      </w:r>
      <w:r w:rsidR="00C63F8F" w:rsidRPr="00E27443">
        <w:t xml:space="preserve"> </w:t>
      </w:r>
      <w:r w:rsidRPr="00E27443">
        <w:t>viewed</w:t>
      </w:r>
      <w:r w:rsidR="00C63F8F" w:rsidRPr="00E27443">
        <w:t xml:space="preserve"> </w:t>
      </w:r>
      <w:r w:rsidRPr="00E27443">
        <w:t>from</w:t>
      </w:r>
      <w:r w:rsidR="00C63F8F" w:rsidRPr="00E27443">
        <w:t xml:space="preserve"> </w:t>
      </w:r>
      <w:r w:rsidRPr="00E27443">
        <w:t>a</w:t>
      </w:r>
      <w:r w:rsidR="00C63F8F" w:rsidRPr="00E27443">
        <w:t xml:space="preserve"> </w:t>
      </w:r>
      <w:r w:rsidRPr="00E27443">
        <w:t>broad</w:t>
      </w:r>
      <w:r w:rsidR="00C63F8F" w:rsidRPr="00E27443">
        <w:t xml:space="preserve"> </w:t>
      </w:r>
      <w:r w:rsidRPr="00E27443">
        <w:t>perspective.</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041B4C" w:rsidRPr="00E27443">
        <w:rPr>
          <w:rStyle w:val="FootnoteReference"/>
        </w:rPr>
        <w:footnoteReference w:id="39"/>
      </w:r>
      <w:r w:rsidR="00C63F8F" w:rsidRPr="00E27443">
        <w:t xml:space="preserve"> </w:t>
      </w:r>
      <w:r w:rsidRPr="00E27443">
        <w:t>has</w:t>
      </w:r>
      <w:r w:rsidR="00C63F8F" w:rsidRPr="00E27443">
        <w:t xml:space="preserve"> </w:t>
      </w:r>
      <w:r w:rsidRPr="00E27443">
        <w:t>investigated</w:t>
      </w:r>
      <w:r w:rsidR="00C63F8F" w:rsidRPr="00E27443">
        <w:t xml:space="preserve"> </w:t>
      </w:r>
      <w:r w:rsidRPr="00E27443">
        <w:t>whether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apply</w:t>
      </w:r>
      <w:r w:rsidR="00C63F8F" w:rsidRPr="00E27443">
        <w:t xml:space="preserve"> </w:t>
      </w:r>
      <w:r w:rsidRPr="00E27443">
        <w:t>for</w:t>
      </w:r>
      <w:r w:rsidR="00C63F8F" w:rsidRPr="00E27443">
        <w:t xml:space="preserve"> </w:t>
      </w:r>
      <w:r w:rsidRPr="00E27443">
        <w:t>care</w:t>
      </w:r>
      <w:r w:rsidR="00C63F8F" w:rsidRPr="00E27443">
        <w:t xml:space="preserve"> </w:t>
      </w:r>
      <w:r w:rsidRPr="00E27443">
        <w:t>and</w:t>
      </w:r>
      <w:r w:rsidR="00C63F8F" w:rsidRPr="00E27443">
        <w:t xml:space="preserve"> </w:t>
      </w:r>
      <w:r w:rsidRPr="00E27443">
        <w:t>support</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as</w:t>
      </w:r>
      <w:r w:rsidR="00C63F8F" w:rsidRPr="00E27443">
        <w:t xml:space="preserve"> </w:t>
      </w:r>
      <w:r w:rsidRPr="00E27443">
        <w:t>the</w:t>
      </w:r>
      <w:r w:rsidR="00C63F8F" w:rsidRPr="00E27443">
        <w:t xml:space="preserve"> </w:t>
      </w:r>
      <w:r w:rsidRPr="00E27443">
        <w:t>rest</w:t>
      </w:r>
      <w:r w:rsidR="00C63F8F" w:rsidRPr="00E27443">
        <w:t xml:space="preserve"> </w:t>
      </w:r>
      <w:r w:rsidRPr="00E27443">
        <w:t>of</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This</w:t>
      </w:r>
      <w:r w:rsidR="00C63F8F" w:rsidRPr="00E27443">
        <w:t xml:space="preserve"> </w:t>
      </w:r>
      <w:r w:rsidRPr="00E27443">
        <w:t>has</w:t>
      </w:r>
      <w:r w:rsidR="00C63F8F" w:rsidRPr="00E27443">
        <w:t xml:space="preserve"> </w:t>
      </w:r>
      <w:r w:rsidRPr="00E27443">
        <w:t>taken</w:t>
      </w:r>
      <w:r w:rsidR="00C63F8F" w:rsidRPr="00E27443">
        <w:t xml:space="preserve"> </w:t>
      </w:r>
      <w:r w:rsidRPr="00E27443">
        <w:t>place</w:t>
      </w:r>
      <w:r w:rsidR="00C63F8F" w:rsidRPr="00E27443">
        <w:t xml:space="preserve"> </w:t>
      </w:r>
      <w:r w:rsidRPr="00E27443">
        <w:t>by</w:t>
      </w:r>
      <w:r w:rsidR="00C63F8F" w:rsidRPr="00E27443">
        <w:t xml:space="preserve"> </w:t>
      </w:r>
      <w:r w:rsidRPr="00E27443">
        <w:t>means</w:t>
      </w:r>
      <w:r w:rsidR="00C63F8F" w:rsidRPr="00E27443">
        <w:t xml:space="preserve"> </w:t>
      </w:r>
      <w:r w:rsidRPr="00E27443">
        <w:t>of</w:t>
      </w:r>
      <w:r w:rsidR="00C63F8F" w:rsidRPr="00E27443">
        <w:t xml:space="preserve"> </w:t>
      </w:r>
      <w:r w:rsidRPr="00E27443">
        <w:t>charting</w:t>
      </w:r>
      <w:r w:rsidR="00041B4C" w:rsidRPr="00E27443">
        <w:rPr>
          <w:rStyle w:val="FootnoteReference"/>
        </w:rPr>
        <w:footnoteReference w:id="40"/>
      </w:r>
      <w:r w:rsidR="00C63F8F" w:rsidRPr="00E27443">
        <w:t xml:space="preserve"> </w:t>
      </w:r>
      <w:r w:rsidRPr="00E27443">
        <w:t>accessibility</w:t>
      </w:r>
      <w:r w:rsidR="00C63F8F" w:rsidRPr="00E27443">
        <w:t xml:space="preserve"> </w:t>
      </w:r>
      <w:r w:rsidRPr="00E27443">
        <w:t>to</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social</w:t>
      </w:r>
      <w:r w:rsidR="00C63F8F" w:rsidRPr="00E27443">
        <w:t xml:space="preserve"> </w:t>
      </w:r>
      <w:r w:rsidRPr="00E27443">
        <w:rPr>
          <w:i/>
        </w:rPr>
        <w:t>welfare</w:t>
      </w:r>
      <w:r w:rsidR="00C63F8F" w:rsidRPr="00E27443">
        <w:rPr>
          <w:i/>
        </w:rPr>
        <w:t xml:space="preserve"> </w:t>
      </w:r>
      <w:r w:rsidRPr="00E27443">
        <w:rPr>
          <w:i/>
        </w:rPr>
        <w:t>offices</w:t>
      </w:r>
      <w:r w:rsidR="00C63F8F" w:rsidRPr="00E27443">
        <w:rPr>
          <w:i/>
        </w:rPr>
        <w:t xml:space="preserve"> </w:t>
      </w:r>
      <w:r w:rsidRPr="00E27443">
        <w:rPr>
          <w:i/>
        </w:rPr>
        <w:t>and</w:t>
      </w:r>
      <w:r w:rsidR="00C63F8F" w:rsidRPr="00E27443">
        <w:rPr>
          <w:i/>
        </w:rPr>
        <w:t xml:space="preserve"> </w:t>
      </w:r>
      <w:r w:rsidRPr="00E27443">
        <w:rPr>
          <w:i/>
        </w:rPr>
        <w:t>healthcare</w:t>
      </w:r>
      <w:r w:rsidR="00C63F8F" w:rsidRPr="00E27443">
        <w:rPr>
          <w:i/>
        </w:rPr>
        <w:t xml:space="preserve"> </w:t>
      </w:r>
      <w:r w:rsidRPr="00E27443">
        <w:rPr>
          <w:i/>
        </w:rPr>
        <w:t>centres</w:t>
      </w:r>
      <w:r w:rsidRPr="00E27443">
        <w:t>.</w:t>
      </w:r>
      <w:r w:rsidR="00C63F8F" w:rsidRPr="00E27443">
        <w:t xml:space="preserve"> </w:t>
      </w:r>
      <w:r w:rsidRPr="00E27443">
        <w:t>In</w:t>
      </w:r>
      <w:r w:rsidR="00C63F8F" w:rsidRPr="00E27443">
        <w:t xml:space="preserve"> </w:t>
      </w:r>
      <w:r w:rsidRPr="00E27443">
        <w:t>this</w:t>
      </w:r>
      <w:r w:rsidR="00C63F8F" w:rsidRPr="00E27443">
        <w:t xml:space="preserve"> </w:t>
      </w:r>
      <w:r w:rsidRPr="00E27443">
        <w:t>context,</w:t>
      </w:r>
      <w:r w:rsidR="00C63F8F" w:rsidRPr="00E27443">
        <w:t xml:space="preserve"> </w:t>
      </w:r>
      <w:r w:rsidRPr="00E27443">
        <w:t>accessibility</w:t>
      </w:r>
      <w:r w:rsidR="00C63F8F" w:rsidRPr="00E27443">
        <w:t xml:space="preserve"> </w:t>
      </w:r>
      <w:r w:rsidRPr="00E27443">
        <w:t>also</w:t>
      </w:r>
      <w:r w:rsidR="00C63F8F" w:rsidRPr="00E27443">
        <w:t xml:space="preserve"> </w:t>
      </w:r>
      <w:r w:rsidRPr="00E27443">
        <w:t>refers</w:t>
      </w:r>
      <w:r w:rsidR="00C63F8F" w:rsidRPr="00E27443">
        <w:t xml:space="preserve"> </w:t>
      </w:r>
      <w:r w:rsidRPr="00E27443">
        <w:t>to</w:t>
      </w:r>
      <w:r w:rsidR="00C63F8F" w:rsidRPr="00E27443">
        <w:t xml:space="preserve"> </w:t>
      </w:r>
      <w:r w:rsidRPr="00E27443">
        <w:t>how</w:t>
      </w:r>
      <w:r w:rsidR="00C63F8F" w:rsidRPr="00E27443">
        <w:t xml:space="preserve"> </w:t>
      </w:r>
      <w:r w:rsidRPr="00E27443">
        <w:t>accessible</w:t>
      </w:r>
      <w:r w:rsidR="00C63F8F" w:rsidRPr="00E27443">
        <w:t xml:space="preserve"> </w:t>
      </w:r>
      <w:r w:rsidRPr="00E27443">
        <w:t>the</w:t>
      </w:r>
      <w:r w:rsidR="00C63F8F" w:rsidRPr="00E27443">
        <w:t xml:space="preserve"> </w:t>
      </w:r>
      <w:r w:rsidRPr="00E27443">
        <w:t>environment</w:t>
      </w:r>
      <w:r w:rsidR="00C63F8F" w:rsidRPr="00E27443">
        <w:t xml:space="preserve"> </w:t>
      </w:r>
      <w:r w:rsidRPr="00E27443">
        <w:t>is,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how</w:t>
      </w:r>
      <w:r w:rsidR="00C63F8F" w:rsidRPr="00E27443">
        <w:t xml:space="preserve"> </w:t>
      </w:r>
      <w:r w:rsidRPr="00E27443">
        <w:t>usable</w:t>
      </w:r>
      <w:r w:rsidR="00C63F8F" w:rsidRPr="00E27443">
        <w:t xml:space="preserve"> </w:t>
      </w:r>
      <w:r w:rsidRPr="00E27443">
        <w:t>services</w:t>
      </w:r>
      <w:r w:rsidR="00C63F8F" w:rsidRPr="00E27443">
        <w:t xml:space="preserve"> </w:t>
      </w:r>
      <w:r w:rsidRPr="00E27443">
        <w:t>and</w:t>
      </w:r>
      <w:r w:rsidR="00C63F8F" w:rsidRPr="00E27443">
        <w:t xml:space="preserve"> </w:t>
      </w:r>
      <w:r w:rsidRPr="00E27443">
        <w:t>products</w:t>
      </w:r>
      <w:r w:rsidR="00C63F8F" w:rsidRPr="00E27443">
        <w:t xml:space="preserve"> </w:t>
      </w:r>
      <w:r w:rsidRPr="00E27443">
        <w:t>are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conclusions</w:t>
      </w:r>
      <w:r w:rsidR="00C63F8F" w:rsidRPr="00E27443">
        <w:t xml:space="preserve"> </w:t>
      </w:r>
      <w:r w:rsidRPr="00E27443">
        <w:t>of</w:t>
      </w:r>
      <w:r w:rsidR="00C63F8F" w:rsidRPr="00E27443">
        <w:t xml:space="preserve"> </w:t>
      </w:r>
      <w:r w:rsidRPr="00E27443">
        <w:t>the</w:t>
      </w:r>
      <w:r w:rsidR="00C63F8F" w:rsidRPr="00E27443">
        <w:t xml:space="preserve"> </w:t>
      </w:r>
      <w:r w:rsidRPr="00E27443">
        <w:t>charting</w:t>
      </w:r>
      <w:r w:rsidR="00C63F8F" w:rsidRPr="00E27443">
        <w:t xml:space="preserve"> </w:t>
      </w:r>
      <w:r w:rsidRPr="00E27443">
        <w:t>process</w:t>
      </w:r>
      <w:r w:rsidR="00C63F8F" w:rsidRPr="00E27443">
        <w:t xml:space="preserve"> </w:t>
      </w:r>
      <w:r w:rsidRPr="00E27443">
        <w:t>are</w:t>
      </w:r>
      <w:r w:rsidR="00C63F8F" w:rsidRPr="00E27443">
        <w:t xml:space="preserve"> </w:t>
      </w:r>
      <w:r w:rsidRPr="00E27443">
        <w:t>that</w:t>
      </w:r>
      <w:r w:rsidR="00C63F8F" w:rsidRPr="00E27443">
        <w:t xml:space="preserve"> </w:t>
      </w:r>
      <w:r w:rsidRPr="00E27443">
        <w:t>accessibility</w:t>
      </w:r>
      <w:r w:rsidR="00C63F8F" w:rsidRPr="00E27443">
        <w:t xml:space="preserve"> </w:t>
      </w:r>
      <w:r w:rsidRPr="00E27443">
        <w:t>is</w:t>
      </w:r>
      <w:r w:rsidR="00C63F8F" w:rsidRPr="00E27443">
        <w:t xml:space="preserve"> </w:t>
      </w:r>
      <w:r w:rsidRPr="00E27443">
        <w:t>high</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which</w:t>
      </w:r>
      <w:r w:rsidR="00C63F8F" w:rsidRPr="00E27443">
        <w:t xml:space="preserve"> </w:t>
      </w:r>
      <w:r w:rsidRPr="00E27443">
        <w:t>indicates</w:t>
      </w:r>
      <w:r w:rsidR="00C63F8F" w:rsidRPr="00E27443">
        <w:t xml:space="preserve"> </w:t>
      </w:r>
      <w:r w:rsidRPr="00E27443">
        <w:t>that</w:t>
      </w:r>
      <w:r w:rsidR="00C63F8F" w:rsidRPr="00E27443">
        <w:t xml:space="preserve"> </w:t>
      </w:r>
      <w:r w:rsidRPr="00E27443">
        <w:t>the</w:t>
      </w:r>
      <w:r w:rsidR="00C63F8F" w:rsidRPr="00E27443">
        <w:t xml:space="preserve"> </w:t>
      </w:r>
      <w:r w:rsidRPr="00E27443">
        <w:t>national</w:t>
      </w:r>
      <w:r w:rsidR="00C63F8F" w:rsidRPr="00E27443">
        <w:t xml:space="preserve"> </w:t>
      </w:r>
      <w:r w:rsidRPr="00E27443">
        <w:t>regulations</w:t>
      </w:r>
      <w:r w:rsidR="00C63F8F" w:rsidRPr="00E27443">
        <w:t xml:space="preserve"> </w:t>
      </w:r>
      <w:r w:rsidRPr="00E27443">
        <w:t>and</w:t>
      </w:r>
      <w:r w:rsidR="00C63F8F" w:rsidRPr="00E27443">
        <w:t xml:space="preserve"> </w:t>
      </w:r>
      <w:r w:rsidRPr="00E27443">
        <w:t>the</w:t>
      </w:r>
      <w:r w:rsidR="00C63F8F" w:rsidRPr="00E27443">
        <w:t xml:space="preserve"> </w:t>
      </w:r>
      <w:r w:rsidRPr="00E27443">
        <w:t>targeted</w:t>
      </w:r>
      <w:r w:rsidR="00C63F8F" w:rsidRPr="00E27443">
        <w:t xml:space="preserve"> </w:t>
      </w:r>
      <w:r w:rsidRPr="00E27443">
        <w:t>information</w:t>
      </w:r>
      <w:r w:rsidR="00C63F8F" w:rsidRPr="00E27443">
        <w:t xml:space="preserve"> </w:t>
      </w:r>
      <w:r w:rsidRPr="00E27443">
        <w:t>efforts</w:t>
      </w:r>
      <w:r w:rsidR="00C63F8F" w:rsidRPr="00E27443">
        <w:t xml:space="preserve"> </w:t>
      </w: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have</w:t>
      </w:r>
      <w:r w:rsidR="00C63F8F" w:rsidRPr="00E27443">
        <w:t xml:space="preserve"> </w:t>
      </w:r>
      <w:r w:rsidRPr="00E27443">
        <w:t>been</w:t>
      </w:r>
      <w:r w:rsidR="00C63F8F" w:rsidRPr="00E27443">
        <w:t xml:space="preserve"> </w:t>
      </w:r>
      <w:r w:rsidRPr="00E27443">
        <w:t>effective.</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the</w:t>
      </w:r>
      <w:r w:rsidR="00C63F8F" w:rsidRPr="00E27443">
        <w:t xml:space="preserve"> </w:t>
      </w:r>
      <w:r w:rsidRPr="00E27443">
        <w:t>majority</w:t>
      </w:r>
      <w:r w:rsidR="00C63F8F" w:rsidRPr="00E27443">
        <w:t xml:space="preserve"> </w:t>
      </w:r>
      <w:r w:rsidRPr="00E27443">
        <w:t>of</w:t>
      </w:r>
      <w:r w:rsidR="00C63F8F" w:rsidRPr="00E27443">
        <w:t xml:space="preserve"> </w:t>
      </w:r>
      <w:r w:rsidRPr="00E27443">
        <w:t>healthcare</w:t>
      </w:r>
      <w:r w:rsidR="00C63F8F" w:rsidRPr="00E27443">
        <w:t xml:space="preserve"> </w:t>
      </w:r>
      <w:r w:rsidRPr="00E27443">
        <w:t>centres</w:t>
      </w:r>
      <w:r w:rsidR="00C63F8F" w:rsidRPr="00E27443">
        <w:t xml:space="preserve"> </w:t>
      </w:r>
      <w:r w:rsidRPr="00E27443">
        <w:t>and</w:t>
      </w:r>
      <w:r w:rsidR="00C63F8F" w:rsidRPr="00E27443">
        <w:t xml:space="preserve"> </w:t>
      </w:r>
      <w:r w:rsidRPr="00E27443">
        <w:t>social</w:t>
      </w:r>
      <w:r w:rsidR="00C63F8F" w:rsidRPr="00E27443">
        <w:t xml:space="preserve"> </w:t>
      </w:r>
      <w:r w:rsidRPr="00E27443">
        <w:t>welfare</w:t>
      </w:r>
      <w:r w:rsidR="00C63F8F" w:rsidRPr="00E27443">
        <w:t xml:space="preserve"> </w:t>
      </w:r>
      <w:r w:rsidRPr="00E27443">
        <w:t>offices,</w:t>
      </w:r>
      <w:r w:rsidR="00C63F8F" w:rsidRPr="00E27443">
        <w:t xml:space="preserve"> </w:t>
      </w:r>
      <w:r w:rsidRPr="00E27443">
        <w:t>however,</w:t>
      </w:r>
      <w:r w:rsidR="00C63F8F" w:rsidRPr="00E27443">
        <w:t xml:space="preserve"> </w:t>
      </w:r>
      <w:r w:rsidRPr="00E27443">
        <w:t>there</w:t>
      </w:r>
      <w:r w:rsidR="00C63F8F" w:rsidRPr="00E27443">
        <w:t xml:space="preserve"> </w:t>
      </w:r>
      <w:r w:rsidRPr="00E27443">
        <w:t>are</w:t>
      </w:r>
      <w:r w:rsidR="00C63F8F" w:rsidRPr="00E27443">
        <w:t xml:space="preserve"> </w:t>
      </w:r>
      <w:r w:rsidRPr="00E27443">
        <w:t>major</w:t>
      </w:r>
      <w:r w:rsidR="00C63F8F" w:rsidRPr="00E27443">
        <w:t xml:space="preserve"> </w:t>
      </w:r>
      <w:r w:rsidRPr="00E27443">
        <w:t>deficiencies</w:t>
      </w:r>
      <w:r w:rsidR="00C63F8F" w:rsidRPr="00E27443">
        <w:t xml:space="preserve"> </w:t>
      </w:r>
      <w:r w:rsidRPr="00E27443">
        <w:t>as</w:t>
      </w:r>
      <w:r w:rsidR="00C63F8F" w:rsidRPr="00E27443">
        <w:t xml:space="preserve"> </w:t>
      </w:r>
      <w:r w:rsidRPr="00E27443">
        <w:t>regards</w:t>
      </w:r>
      <w:r w:rsidR="00C63F8F" w:rsidRPr="00E27443">
        <w:t xml:space="preserve"> </w:t>
      </w:r>
      <w:r w:rsidRPr="00E27443">
        <w:t>accessibility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other</w:t>
      </w:r>
      <w:r w:rsidR="00C63F8F" w:rsidRPr="00E27443">
        <w:t xml:space="preserve"> </w:t>
      </w:r>
      <w:r w:rsidRPr="00E27443">
        <w:t>types</w:t>
      </w:r>
      <w:r w:rsidR="00C63F8F" w:rsidRPr="00E27443">
        <w:t xml:space="preserve"> </w:t>
      </w:r>
      <w:r w:rsidRPr="00E27443">
        <w:t>of</w:t>
      </w:r>
      <w:r w:rsidR="00C63F8F" w:rsidRPr="00E27443">
        <w:t xml:space="preserve"> </w:t>
      </w:r>
      <w:r w:rsidRPr="00E27443">
        <w:t>disability,</w:t>
      </w:r>
      <w:r w:rsidR="00C63F8F" w:rsidRPr="00E27443">
        <w:t xml:space="preserve"> </w:t>
      </w:r>
      <w:r w:rsidRPr="00E27443">
        <w:t>in</w:t>
      </w:r>
      <w:r w:rsidR="00C63F8F" w:rsidRPr="00E27443">
        <w:t xml:space="preserve"> </w:t>
      </w:r>
      <w:r w:rsidRPr="00E27443">
        <w:t>particular</w:t>
      </w:r>
      <w:r w:rsidR="00C63F8F" w:rsidRPr="00E27443">
        <w:t xml:space="preserve"> </w:t>
      </w:r>
      <w:r w:rsidRPr="00E27443">
        <w:t>impaired</w:t>
      </w:r>
      <w:r w:rsidR="00C63F8F" w:rsidRPr="00E27443">
        <w:t xml:space="preserve"> </w:t>
      </w:r>
      <w:r w:rsidRPr="00E27443">
        <w:t>vision,</w:t>
      </w:r>
      <w:r w:rsidR="00C63F8F" w:rsidRPr="00E27443">
        <w:t xml:space="preserve"> </w:t>
      </w:r>
      <w:r w:rsidRPr="00E27443">
        <w:t>impaired</w:t>
      </w:r>
      <w:r w:rsidR="00C63F8F" w:rsidRPr="00E27443">
        <w:t xml:space="preserve"> </w:t>
      </w:r>
      <w:r w:rsidRPr="00E27443">
        <w:t>hearing</w:t>
      </w:r>
      <w:r w:rsidR="00C63F8F" w:rsidRPr="00E27443">
        <w:t xml:space="preserve"> </w:t>
      </w:r>
      <w:r w:rsidRPr="00E27443">
        <w:t>and</w:t>
      </w:r>
      <w:r w:rsidR="00C63F8F" w:rsidRPr="00E27443">
        <w:t xml:space="preserve"> </w:t>
      </w:r>
      <w:r w:rsidRPr="00E27443">
        <w:t>cognitive</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means</w:t>
      </w:r>
      <w:r w:rsidR="00C63F8F" w:rsidRPr="00E27443">
        <w:t xml:space="preserve"> </w:t>
      </w:r>
      <w:r w:rsidRPr="00E27443">
        <w:t>that</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needs</w:t>
      </w:r>
      <w:r w:rsidR="00C63F8F" w:rsidRPr="00E27443">
        <w:t xml:space="preserve"> </w:t>
      </w:r>
      <w:r w:rsidRPr="00E27443">
        <w:t>to</w:t>
      </w:r>
      <w:r w:rsidR="00C63F8F" w:rsidRPr="00E27443">
        <w:t xml:space="preserve"> </w:t>
      </w:r>
      <w:r w:rsidRPr="00E27443">
        <w:t>become</w:t>
      </w:r>
      <w:r w:rsidR="00C63F8F" w:rsidRPr="00E27443">
        <w:t xml:space="preserve"> </w:t>
      </w:r>
      <w:r w:rsidRPr="00E27443">
        <w:t>clearer</w:t>
      </w:r>
      <w:r w:rsidR="00C63F8F" w:rsidRPr="00E27443">
        <w:t xml:space="preserve"> </w:t>
      </w:r>
      <w:r w:rsidRPr="00E27443">
        <w:t>in</w:t>
      </w:r>
      <w:r w:rsidR="00C63F8F" w:rsidRPr="00E27443">
        <w:t xml:space="preserve"> </w:t>
      </w:r>
      <w:r w:rsidRPr="00E27443">
        <w:t>its</w:t>
      </w:r>
      <w:r w:rsidR="00C63F8F" w:rsidRPr="00E27443">
        <w:t xml:space="preserve"> </w:t>
      </w:r>
      <w:r w:rsidRPr="00E27443">
        <w:t>communication</w:t>
      </w:r>
      <w:r w:rsidR="00C63F8F" w:rsidRPr="00E27443">
        <w:t xml:space="preserve"> </w:t>
      </w:r>
      <w:r w:rsidRPr="00E27443">
        <w:t>of</w:t>
      </w:r>
      <w:r w:rsidR="00C63F8F" w:rsidRPr="00E27443">
        <w:t xml:space="preserve"> </w:t>
      </w:r>
      <w:r w:rsidRPr="00E27443">
        <w:t>what</w:t>
      </w:r>
      <w:r w:rsidR="00C63F8F" w:rsidRPr="00E27443">
        <w:t xml:space="preserve"> </w:t>
      </w:r>
      <w:r w:rsidRPr="00E27443">
        <w:t>accessibility</w:t>
      </w:r>
      <w:r w:rsidR="00C63F8F" w:rsidRPr="00E27443">
        <w:t xml:space="preserve"> </w:t>
      </w:r>
      <w:r w:rsidRPr="00E27443">
        <w:t>is.</w:t>
      </w:r>
    </w:p>
    <w:p w:rsidR="00321ADA" w:rsidRPr="00E27443" w:rsidRDefault="00321ADA" w:rsidP="00E75253">
      <w:pPr>
        <w:pStyle w:val="SingleTxtG"/>
        <w:numPr>
          <w:ilvl w:val="0"/>
          <w:numId w:val="20"/>
        </w:numPr>
        <w:tabs>
          <w:tab w:val="left" w:pos="1843"/>
        </w:tabs>
        <w:ind w:left="1134" w:firstLine="0"/>
      </w:pPr>
      <w:r w:rsidRPr="00E27443">
        <w:t>At</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request,</w:t>
      </w:r>
      <w:r w:rsidR="00C63F8F" w:rsidRPr="00E27443">
        <w:t xml:space="preserve"> </w:t>
      </w:r>
      <w:r w:rsidRPr="00E27443">
        <w:t>Handisam</w:t>
      </w:r>
      <w:r w:rsidR="00C63F8F" w:rsidRPr="00E27443">
        <w:t xml:space="preserve"> </w:t>
      </w:r>
      <w:r w:rsidRPr="00E27443">
        <w:t>has</w:t>
      </w:r>
      <w:r w:rsidR="00C63F8F" w:rsidRPr="00E27443">
        <w:t xml:space="preserve"> </w:t>
      </w:r>
      <w:r w:rsidRPr="00E27443">
        <w:t>produced</w:t>
      </w:r>
      <w:r w:rsidR="00C63F8F" w:rsidRPr="00E27443">
        <w:t xml:space="preserve"> </w:t>
      </w:r>
      <w:r w:rsidRPr="00E27443">
        <w:t>recommendations</w:t>
      </w:r>
      <w:r w:rsidR="00C63F8F" w:rsidRPr="00E27443">
        <w:t xml:space="preserve"> </w:t>
      </w:r>
      <w:r w:rsidRPr="00E27443">
        <w:t>to</w:t>
      </w:r>
      <w:r w:rsidR="00C63F8F" w:rsidRPr="00E27443">
        <w:t xml:space="preserve"> </w:t>
      </w:r>
      <w:r w:rsidRPr="00E27443">
        <w:t>municipalities</w:t>
      </w:r>
      <w:r w:rsidR="00C63F8F" w:rsidRPr="00E27443">
        <w:t xml:space="preserve"> </w:t>
      </w:r>
      <w:r w:rsidRPr="00E27443">
        <w:t>regarding</w:t>
      </w:r>
      <w:r w:rsidR="00C63F8F" w:rsidRPr="00E27443">
        <w:t xml:space="preserve"> </w:t>
      </w:r>
      <w:r w:rsidRPr="00E27443">
        <w:t>how</w:t>
      </w:r>
      <w:r w:rsidR="00C63F8F" w:rsidRPr="00E27443">
        <w:t xml:space="preserve"> </w:t>
      </w:r>
      <w:r w:rsidRPr="00E27443">
        <w:t>they</w:t>
      </w:r>
      <w:r w:rsidR="00C63F8F" w:rsidRPr="00E27443">
        <w:t xml:space="preserve"> </w:t>
      </w:r>
      <w:r w:rsidRPr="00E27443">
        <w:t>should</w:t>
      </w:r>
      <w:r w:rsidR="00C63F8F" w:rsidRPr="00E27443">
        <w:t xml:space="preserve"> </w:t>
      </w:r>
      <w:r w:rsidRPr="00E27443">
        <w:t>formulate</w:t>
      </w:r>
      <w:r w:rsidR="00C63F8F" w:rsidRPr="00E27443">
        <w:t xml:space="preserve"> </w:t>
      </w:r>
      <w:r w:rsidRPr="00E27443">
        <w:rPr>
          <w:i/>
        </w:rPr>
        <w:t>accessibility</w:t>
      </w:r>
      <w:r w:rsidR="00C63F8F" w:rsidRPr="00E27443">
        <w:rPr>
          <w:i/>
        </w:rPr>
        <w:t xml:space="preserve"> </w:t>
      </w:r>
      <w:r w:rsidRPr="00E27443">
        <w:rPr>
          <w:i/>
        </w:rPr>
        <w:t>guides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purpose</w:t>
      </w:r>
      <w:r w:rsidR="00C63F8F" w:rsidRPr="00E27443">
        <w:t xml:space="preserve"> </w:t>
      </w:r>
      <w:r w:rsidRPr="00E27443">
        <w:t>is</w:t>
      </w:r>
      <w:r w:rsidR="00C63F8F" w:rsidRPr="00E27443">
        <w:t xml:space="preserve"> </w:t>
      </w:r>
      <w:r w:rsidRPr="00E27443">
        <w:t>to</w:t>
      </w:r>
      <w:r w:rsidR="00C63F8F" w:rsidRPr="00E27443">
        <w:t xml:space="preserve"> </w:t>
      </w:r>
      <w:r w:rsidRPr="00E27443">
        <w:t>make</w:t>
      </w:r>
      <w:r w:rsidR="00C63F8F" w:rsidRPr="00E27443">
        <w:t xml:space="preserve"> </w:t>
      </w:r>
      <w:r w:rsidRPr="00E27443">
        <w:t>it</w:t>
      </w:r>
      <w:r w:rsidR="00C63F8F" w:rsidRPr="00E27443">
        <w:t xml:space="preserve"> </w:t>
      </w:r>
      <w:r w:rsidRPr="00E27443">
        <w:t>easier</w:t>
      </w:r>
      <w:r w:rsidR="00C63F8F" w:rsidRPr="00E27443">
        <w:t xml:space="preserve"> </w:t>
      </w:r>
      <w:r w:rsidRPr="00E27443">
        <w:t>for</w:t>
      </w:r>
      <w:r w:rsidR="00C63F8F" w:rsidRPr="00E27443">
        <w:t xml:space="preserve"> </w:t>
      </w:r>
      <w:r w:rsidRPr="00E27443">
        <w:t>citizens</w:t>
      </w:r>
      <w:r w:rsidR="00C63F8F" w:rsidRPr="00E27443">
        <w:t xml:space="preserve"> </w:t>
      </w:r>
      <w:r w:rsidRPr="00E27443">
        <w:t>to</w:t>
      </w:r>
      <w:r w:rsidR="00C63F8F" w:rsidRPr="00E27443">
        <w:t xml:space="preserve"> </w:t>
      </w:r>
      <w:r w:rsidRPr="00E27443">
        <w:t>ascertain</w:t>
      </w:r>
      <w:r w:rsidR="00C63F8F" w:rsidRPr="00E27443">
        <w:t xml:space="preserve"> </w:t>
      </w:r>
      <w:r w:rsidRPr="00E27443">
        <w:t>whether</w:t>
      </w:r>
      <w:r w:rsidR="00C63F8F" w:rsidRPr="00E27443">
        <w:t xml:space="preserve"> </w:t>
      </w:r>
      <w:r w:rsidRPr="00E27443">
        <w:t>premises</w:t>
      </w:r>
      <w:r w:rsidR="00C63F8F" w:rsidRPr="00E27443">
        <w:t xml:space="preserve"> </w:t>
      </w:r>
      <w:r w:rsidRPr="00E27443">
        <w:t>and</w:t>
      </w:r>
      <w:r w:rsidR="00C63F8F" w:rsidRPr="00E27443">
        <w:t xml:space="preserve"> </w:t>
      </w:r>
      <w:r w:rsidRPr="00E27443">
        <w:t>environments</w:t>
      </w:r>
      <w:r w:rsidR="00C63F8F" w:rsidRPr="00E27443">
        <w:t xml:space="preserve"> </w:t>
      </w:r>
      <w:r w:rsidRPr="00E27443">
        <w:t>are</w:t>
      </w:r>
      <w:r w:rsidR="00C63F8F" w:rsidRPr="00E27443">
        <w:t xml:space="preserve"> </w:t>
      </w:r>
      <w:r w:rsidRPr="00E27443">
        <w:t>accessible.</w:t>
      </w:r>
      <w:r w:rsidR="00C63F8F" w:rsidRPr="00E27443">
        <w:t xml:space="preserve"> </w:t>
      </w:r>
      <w:r w:rsidRPr="00E27443">
        <w:t>Approximately</w:t>
      </w:r>
      <w:r w:rsidR="00C63F8F" w:rsidRPr="00E27443">
        <w:t xml:space="preserve"> </w:t>
      </w:r>
      <w:r w:rsidRPr="00E27443">
        <w:t>a</w:t>
      </w:r>
      <w:r w:rsidR="00C63F8F" w:rsidRPr="00E27443">
        <w:t xml:space="preserve"> </w:t>
      </w:r>
      <w:r w:rsidRPr="00E27443">
        <w:t>third</w:t>
      </w:r>
      <w:r w:rsidR="00C63F8F" w:rsidRPr="00E27443">
        <w:t xml:space="preserve"> </w:t>
      </w:r>
      <w:r w:rsidRPr="00E27443">
        <w:t>of</w:t>
      </w:r>
      <w:r w:rsidR="00C63F8F" w:rsidRPr="00E27443">
        <w:t xml:space="preserve"> </w:t>
      </w:r>
      <w:r w:rsidRPr="00E27443">
        <w:t>the</w:t>
      </w:r>
      <w:r w:rsidR="00C63F8F" w:rsidRPr="00E27443">
        <w:t xml:space="preserve"> </w:t>
      </w:r>
      <w:r w:rsidRPr="00E27443">
        <w:t>country</w:t>
      </w:r>
      <w:r w:rsidR="00C63F8F" w:rsidRPr="00E27443">
        <w:t>’</w:t>
      </w:r>
      <w:r w:rsidRPr="00E27443">
        <w:t>s</w:t>
      </w:r>
      <w:r w:rsidR="00C63F8F" w:rsidRPr="00E27443">
        <w:t xml:space="preserve"> </w:t>
      </w:r>
      <w:r w:rsidRPr="00E27443">
        <w:t>municipalities</w:t>
      </w:r>
      <w:r w:rsidR="00C63F8F" w:rsidRPr="00E27443">
        <w:t xml:space="preserve"> </w:t>
      </w:r>
      <w:r w:rsidRPr="00E27443">
        <w:t>currently</w:t>
      </w:r>
      <w:r w:rsidR="00C63F8F" w:rsidRPr="00E27443">
        <w:t xml:space="preserve"> </w:t>
      </w:r>
      <w:r w:rsidRPr="00E27443">
        <w:t>have</w:t>
      </w:r>
      <w:r w:rsidR="00C63F8F" w:rsidRPr="00E27443">
        <w:t xml:space="preserve"> </w:t>
      </w:r>
      <w:r w:rsidRPr="00E27443">
        <w:t>guides</w:t>
      </w:r>
      <w:r w:rsidR="00C63F8F" w:rsidRPr="00E27443">
        <w:t xml:space="preserve"> </w:t>
      </w:r>
      <w:r w:rsidRPr="00E27443">
        <w:t>on</w:t>
      </w:r>
      <w:r w:rsidR="00C63F8F" w:rsidRPr="00E27443">
        <w:t xml:space="preserve"> </w:t>
      </w:r>
      <w:r w:rsidRPr="00E27443">
        <w:t>the</w:t>
      </w:r>
      <w:r w:rsidR="00C63F8F" w:rsidRPr="00E27443">
        <w:t xml:space="preserve"> </w:t>
      </w:r>
      <w:r w:rsidRPr="00E27443">
        <w:t>Internet</w:t>
      </w:r>
      <w:r w:rsidR="00C63F8F" w:rsidRPr="00E27443">
        <w:t xml:space="preserve"> </w:t>
      </w:r>
      <w:r w:rsidRPr="00E27443">
        <w:t>describing</w:t>
      </w:r>
      <w:r w:rsidR="00C63F8F" w:rsidRPr="00E27443">
        <w:t xml:space="preserve"> </w:t>
      </w:r>
      <w:r w:rsidRPr="00E27443">
        <w:t>how</w:t>
      </w:r>
      <w:r w:rsidR="00C63F8F" w:rsidRPr="00E27443">
        <w:t xml:space="preserve"> </w:t>
      </w:r>
      <w:r w:rsidRPr="00E27443">
        <w:t>accessible</w:t>
      </w:r>
      <w:r w:rsidR="00C63F8F" w:rsidRPr="00E27443">
        <w:t xml:space="preserve"> </w:t>
      </w:r>
      <w:r w:rsidRPr="00E27443">
        <w:t>various</w:t>
      </w:r>
      <w:r w:rsidR="00C63F8F" w:rsidRPr="00E27443">
        <w:t xml:space="preserve"> </w:t>
      </w:r>
      <w:r w:rsidRPr="00E27443">
        <w:t>locations</w:t>
      </w:r>
      <w:r w:rsidR="00C63F8F" w:rsidRPr="00E27443">
        <w:t xml:space="preserve"> </w:t>
      </w:r>
      <w:r w:rsidRPr="00E27443">
        <w:t>and</w:t>
      </w:r>
      <w:r w:rsidR="00C63F8F" w:rsidRPr="00E27443">
        <w:t xml:space="preserve"> </w:t>
      </w:r>
      <w:r w:rsidRPr="00E27443">
        <w:t>premises</w:t>
      </w:r>
      <w:r w:rsidR="00C63F8F" w:rsidRPr="00E27443">
        <w:t xml:space="preserve"> </w:t>
      </w:r>
      <w:r w:rsidRPr="00E27443">
        <w:t>are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content,</w:t>
      </w:r>
      <w:r w:rsidR="00C63F8F" w:rsidRPr="00E27443">
        <w:t xml:space="preserve"> </w:t>
      </w:r>
      <w:r w:rsidRPr="00E27443">
        <w:t>appearance</w:t>
      </w:r>
      <w:r w:rsidR="00C63F8F" w:rsidRPr="00E27443">
        <w:t xml:space="preserve"> </w:t>
      </w:r>
      <w:r w:rsidRPr="00E27443">
        <w:t>and</w:t>
      </w:r>
      <w:r w:rsidR="00C63F8F" w:rsidRPr="00E27443">
        <w:t xml:space="preserve"> </w:t>
      </w:r>
      <w:r w:rsidRPr="00E27443">
        <w:t>structure</w:t>
      </w:r>
      <w:r w:rsidR="00C63F8F" w:rsidRPr="00E27443">
        <w:t xml:space="preserve"> </w:t>
      </w:r>
      <w:r w:rsidRPr="00E27443">
        <w:t>of</w:t>
      </w:r>
      <w:r w:rsidR="00C63F8F" w:rsidRPr="00E27443">
        <w:t xml:space="preserve"> </w:t>
      </w:r>
      <w:r w:rsidRPr="00E27443">
        <w:t>these</w:t>
      </w:r>
      <w:r w:rsidR="00C63F8F" w:rsidRPr="00E27443">
        <w:t xml:space="preserve"> </w:t>
      </w:r>
      <w:r w:rsidRPr="00E27443">
        <w:t>guides</w:t>
      </w:r>
      <w:r w:rsidR="00C63F8F" w:rsidRPr="00E27443">
        <w:t xml:space="preserve"> </w:t>
      </w:r>
      <w:r w:rsidRPr="00E27443">
        <w:t>vary</w:t>
      </w:r>
      <w:r w:rsidR="00C63F8F" w:rsidRPr="00E27443">
        <w:t xml:space="preserve"> </w:t>
      </w:r>
      <w:r w:rsidRPr="00E27443">
        <w:t>greatly.</w:t>
      </w:r>
      <w:r w:rsidR="00C63F8F" w:rsidRPr="00E27443">
        <w:t xml:space="preserve"> </w:t>
      </w:r>
      <w:r w:rsidRPr="00E27443">
        <w:t>The</w:t>
      </w:r>
      <w:r w:rsidR="00C63F8F" w:rsidRPr="00E27443">
        <w:t xml:space="preserve"> </w:t>
      </w:r>
      <w:r w:rsidRPr="00E27443">
        <w:t>recommendations</w:t>
      </w:r>
      <w:r w:rsidR="00C63F8F" w:rsidRPr="00E27443">
        <w:t xml:space="preserve"> </w:t>
      </w:r>
      <w:r w:rsidRPr="00E27443">
        <w:t>to</w:t>
      </w:r>
      <w:r w:rsidR="00C63F8F" w:rsidRPr="00E27443">
        <w:t xml:space="preserve"> </w:t>
      </w:r>
      <w:r w:rsidRPr="00E27443">
        <w:t>municipalities</w:t>
      </w:r>
      <w:r w:rsidR="00C63F8F" w:rsidRPr="00E27443">
        <w:t xml:space="preserve"> </w:t>
      </w:r>
      <w:r w:rsidRPr="00E27443">
        <w:t>contain</w:t>
      </w:r>
      <w:r w:rsidR="00C63F8F" w:rsidRPr="00E27443">
        <w:t xml:space="preserve"> </w:t>
      </w:r>
      <w:r w:rsidRPr="00E27443">
        <w:t>information</w:t>
      </w:r>
      <w:r w:rsidR="00C63F8F" w:rsidRPr="00E27443">
        <w:t xml:space="preserve"> </w:t>
      </w:r>
      <w:r w:rsidRPr="00E27443">
        <w:t>about</w:t>
      </w:r>
      <w:r w:rsidR="00C63F8F" w:rsidRPr="00E27443">
        <w:t xml:space="preserve"> </w:t>
      </w:r>
      <w:r w:rsidRPr="00E27443">
        <w:t>what</w:t>
      </w:r>
      <w:r w:rsidR="00C63F8F" w:rsidRPr="00E27443">
        <w:t xml:space="preserve"> </w:t>
      </w:r>
      <w:r w:rsidRPr="00E27443">
        <w:t>should</w:t>
      </w:r>
      <w:r w:rsidR="00C63F8F" w:rsidRPr="00E27443">
        <w:t xml:space="preserve"> </w:t>
      </w:r>
      <w:r w:rsidRPr="00E27443">
        <w:t>be</w:t>
      </w:r>
      <w:r w:rsidR="00C63F8F" w:rsidRPr="00E27443">
        <w:t xml:space="preserve"> </w:t>
      </w:r>
      <w:r w:rsidRPr="00E27443">
        <w:t>included</w:t>
      </w:r>
      <w:r w:rsidR="00C63F8F" w:rsidRPr="00E27443">
        <w:t xml:space="preserve"> </w:t>
      </w:r>
      <w:r w:rsidRPr="00E27443">
        <w:t>in</w:t>
      </w:r>
      <w:r w:rsidR="00C63F8F" w:rsidRPr="00E27443">
        <w:t xml:space="preserve"> </w:t>
      </w:r>
      <w:r w:rsidRPr="00E27443">
        <w:t>a</w:t>
      </w:r>
      <w:r w:rsidR="00C63F8F" w:rsidRPr="00E27443">
        <w:t xml:space="preserve"> </w:t>
      </w:r>
      <w:r w:rsidRPr="00E27443">
        <w:t>guide</w:t>
      </w:r>
      <w:r w:rsidR="00C63F8F" w:rsidRPr="00E27443">
        <w:t xml:space="preserve"> </w:t>
      </w:r>
      <w:r w:rsidRPr="00E27443">
        <w:t>and</w:t>
      </w:r>
      <w:r w:rsidR="00C63F8F" w:rsidRPr="00E27443">
        <w:t xml:space="preserve"> </w:t>
      </w:r>
      <w:r w:rsidRPr="00E27443">
        <w:t>how</w:t>
      </w:r>
      <w:r w:rsidR="00C63F8F" w:rsidRPr="00E27443">
        <w:t xml:space="preserve"> </w:t>
      </w:r>
      <w:r w:rsidRPr="00E27443">
        <w:t>it</w:t>
      </w:r>
      <w:r w:rsidR="00C63F8F" w:rsidRPr="00E27443">
        <w:t xml:space="preserve"> </w:t>
      </w:r>
      <w:r w:rsidRPr="00E27443">
        <w:t>should</w:t>
      </w:r>
      <w:r w:rsidR="00C63F8F" w:rsidRPr="00E27443">
        <w:t xml:space="preserve"> </w:t>
      </w:r>
      <w:r w:rsidRPr="00E27443">
        <w:t>best</w:t>
      </w:r>
      <w:r w:rsidR="00C63F8F" w:rsidRPr="00E27443">
        <w:t xml:space="preserve"> </w:t>
      </w:r>
      <w:r w:rsidRPr="00E27443">
        <w:t>be</w:t>
      </w:r>
      <w:r w:rsidR="00C63F8F" w:rsidRPr="00E27443">
        <w:t xml:space="preserve"> </w:t>
      </w:r>
      <w:r w:rsidRPr="00E27443">
        <w:t>designed.</w:t>
      </w:r>
      <w:r w:rsidR="00C63F8F" w:rsidRPr="00E27443">
        <w:t xml:space="preserve"> </w:t>
      </w:r>
    </w:p>
    <w:p w:rsidR="00321ADA" w:rsidRPr="00E27443" w:rsidRDefault="00321ADA" w:rsidP="00E75253">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Government</w:t>
      </w:r>
      <w:r w:rsidR="00C63F8F" w:rsidRPr="00E27443">
        <w:t xml:space="preserve"> </w:t>
      </w:r>
      <w:r w:rsidRPr="00E27443">
        <w:t>allocates</w:t>
      </w:r>
      <w:r w:rsidR="00C63F8F" w:rsidRPr="00E27443">
        <w:t xml:space="preserve"> </w:t>
      </w:r>
      <w:r w:rsidRPr="00E27443">
        <w:t>approximately</w:t>
      </w:r>
      <w:r w:rsidR="00C63F8F" w:rsidRPr="00E27443">
        <w:t xml:space="preserve"> </w:t>
      </w:r>
      <w:r w:rsidRPr="00E27443">
        <w:t>SEK</w:t>
      </w:r>
      <w:r w:rsidR="00C63F8F" w:rsidRPr="00E27443">
        <w:t xml:space="preserve"> </w:t>
      </w:r>
      <w:r w:rsidRPr="00E27443">
        <w:t>40</w:t>
      </w:r>
      <w:r w:rsidR="00C63F8F" w:rsidRPr="00E27443">
        <w:t xml:space="preserve"> </w:t>
      </w:r>
      <w:r w:rsidRPr="00E27443">
        <w:t>million</w:t>
      </w:r>
      <w:r w:rsidR="00C63F8F" w:rsidRPr="00E27443">
        <w:t xml:space="preserve"> </w:t>
      </w:r>
      <w:r w:rsidRPr="00E27443">
        <w:t>annually</w:t>
      </w:r>
      <w:r w:rsidR="00C63F8F" w:rsidRPr="00E27443">
        <w:t xml:space="preserve"> </w:t>
      </w:r>
      <w:r w:rsidRPr="00E27443">
        <w:t>in</w:t>
      </w:r>
      <w:r w:rsidR="00C63F8F" w:rsidRPr="00E27443">
        <w:t xml:space="preserve"> </w:t>
      </w:r>
      <w:r w:rsidRPr="00E27443">
        <w:t>grants</w:t>
      </w:r>
      <w:r w:rsidR="00C63F8F" w:rsidRPr="00E27443">
        <w:t xml:space="preserve"> </w:t>
      </w:r>
      <w:r w:rsidRPr="00E27443">
        <w:t>for</w:t>
      </w:r>
      <w:r w:rsidR="00C63F8F" w:rsidRPr="00E27443">
        <w:t xml:space="preserve"> </w:t>
      </w:r>
      <w:r w:rsidRPr="00E27443">
        <w:t>the</w:t>
      </w:r>
      <w:r w:rsidR="00C63F8F" w:rsidRPr="00E27443">
        <w:t xml:space="preserve"> </w:t>
      </w:r>
      <w:r w:rsidRPr="00E27443">
        <w:t>conversion</w:t>
      </w:r>
      <w:r w:rsidR="00C63F8F" w:rsidRPr="00E27443">
        <w:t xml:space="preserve"> </w:t>
      </w:r>
      <w:r w:rsidRPr="00E27443">
        <w:t>of</w:t>
      </w:r>
      <w:r w:rsidR="00C63F8F" w:rsidRPr="00E27443">
        <w:t xml:space="preserve"> </w:t>
      </w:r>
      <w:r w:rsidRPr="00E27443">
        <w:t>public</w:t>
      </w:r>
      <w:r w:rsidR="00C63F8F" w:rsidRPr="00E27443">
        <w:t xml:space="preserve"> </w:t>
      </w:r>
      <w:r w:rsidRPr="00E27443">
        <w:t>meeting</w:t>
      </w:r>
      <w:r w:rsidR="00C63F8F" w:rsidRPr="00E27443">
        <w:t xml:space="preserve"> </w:t>
      </w:r>
      <w:r w:rsidRPr="00E27443">
        <w:t>areas</w:t>
      </w:r>
      <w:r w:rsidR="00C63F8F" w:rsidRPr="00E27443">
        <w:t xml:space="preserve"> </w:t>
      </w:r>
      <w:r w:rsidRPr="00E27443">
        <w:t>and</w:t>
      </w:r>
      <w:r w:rsidR="00C63F8F" w:rsidRPr="00E27443">
        <w:t xml:space="preserve"> </w:t>
      </w:r>
      <w:r w:rsidRPr="00E27443">
        <w:t>non-governmental</w:t>
      </w:r>
      <w:r w:rsidR="00C63F8F" w:rsidRPr="00E27443">
        <w:t xml:space="preserve"> </w:t>
      </w:r>
      <w:r w:rsidRPr="00E27443">
        <w:t>cultural</w:t>
      </w:r>
      <w:r w:rsidR="00C63F8F" w:rsidRPr="00E27443">
        <w:t xml:space="preserve"> </w:t>
      </w:r>
      <w:r w:rsidRPr="00E27443">
        <w:t>premises.</w:t>
      </w:r>
      <w:r w:rsidR="00C63F8F" w:rsidRPr="00E27443">
        <w:t xml:space="preserve"> </w:t>
      </w:r>
      <w:r w:rsidRPr="00E27443">
        <w:t>Around</w:t>
      </w:r>
      <w:r w:rsidR="00C63F8F" w:rsidRPr="00E27443">
        <w:t xml:space="preserve"> </w:t>
      </w:r>
      <w:r w:rsidRPr="00E27443">
        <w:t>half</w:t>
      </w:r>
      <w:r w:rsidR="00C63F8F" w:rsidRPr="00E27443">
        <w:t xml:space="preserve"> </w:t>
      </w:r>
      <w:r w:rsidRPr="00E27443">
        <w:t>of</w:t>
      </w:r>
      <w:r w:rsidR="00C63F8F" w:rsidRPr="00E27443">
        <w:t xml:space="preserve"> </w:t>
      </w:r>
      <w:r w:rsidRPr="00E27443">
        <w:t>the</w:t>
      </w:r>
      <w:r w:rsidR="00C63F8F" w:rsidRPr="00E27443">
        <w:t xml:space="preserve"> </w:t>
      </w:r>
      <w:r w:rsidRPr="00E27443">
        <w:t>total</w:t>
      </w:r>
      <w:r w:rsidR="00C63F8F" w:rsidRPr="00E27443">
        <w:t xml:space="preserve"> </w:t>
      </w:r>
      <w:r w:rsidRPr="00E27443">
        <w:t>of</w:t>
      </w:r>
      <w:r w:rsidR="00C63F8F" w:rsidRPr="00E27443">
        <w:t xml:space="preserve"> </w:t>
      </w:r>
      <w:r w:rsidRPr="00E27443">
        <w:t>100</w:t>
      </w:r>
      <w:r w:rsidR="00C63F8F" w:rsidRPr="00E27443">
        <w:t xml:space="preserve"> </w:t>
      </w:r>
      <w:r w:rsidRPr="00E27443">
        <w:t>projects</w:t>
      </w:r>
      <w:r w:rsidR="00C63F8F" w:rsidRPr="00E27443">
        <w:t xml:space="preserve"> </w:t>
      </w:r>
      <w:r w:rsidRPr="00E27443">
        <w:t>in</w:t>
      </w:r>
      <w:r w:rsidR="00C63F8F" w:rsidRPr="00E27443">
        <w:t xml:space="preserve"> </w:t>
      </w:r>
      <w:r w:rsidRPr="00E27443">
        <w:t>2009</w:t>
      </w:r>
      <w:r w:rsidR="00C63F8F" w:rsidRPr="00E27443">
        <w:t xml:space="preserve"> </w:t>
      </w:r>
      <w:r w:rsidRPr="00E27443">
        <w:t>used</w:t>
      </w:r>
      <w:r w:rsidR="00C63F8F" w:rsidRPr="00E27443">
        <w:t xml:space="preserve"> </w:t>
      </w:r>
      <w:r w:rsidRPr="00E27443">
        <w:t>the</w:t>
      </w:r>
      <w:r w:rsidR="00C63F8F" w:rsidRPr="00E27443">
        <w:t xml:space="preserve"> </w:t>
      </w:r>
      <w:r w:rsidRPr="00E27443">
        <w:t>funds</w:t>
      </w:r>
      <w:r w:rsidR="00C63F8F" w:rsidRPr="00E27443">
        <w:t xml:space="preserve"> </w:t>
      </w:r>
      <w:r w:rsidRPr="00E27443">
        <w:t>they</w:t>
      </w:r>
      <w:r w:rsidR="00C63F8F" w:rsidRPr="00E27443">
        <w:t xml:space="preserve"> </w:t>
      </w:r>
      <w:r w:rsidRPr="00E27443">
        <w:t>had</w:t>
      </w:r>
      <w:r w:rsidR="00C63F8F" w:rsidRPr="00E27443">
        <w:t xml:space="preserve"> </w:t>
      </w:r>
      <w:r w:rsidRPr="00E27443">
        <w:t>been</w:t>
      </w:r>
      <w:r w:rsidR="00C63F8F" w:rsidRPr="00E27443">
        <w:t xml:space="preserve"> </w:t>
      </w:r>
      <w:r w:rsidRPr="00E27443">
        <w:t>granted</w:t>
      </w:r>
      <w:r w:rsidR="00C63F8F" w:rsidRPr="00E27443">
        <w:t xml:space="preserve"> </w:t>
      </w:r>
      <w:r w:rsidRPr="00E27443">
        <w:t>to</w:t>
      </w:r>
      <w:r w:rsidR="00C63F8F" w:rsidRPr="00E27443">
        <w:t xml:space="preserve"> </w:t>
      </w:r>
      <w:r w:rsidRPr="00E27443">
        <w:t>make</w:t>
      </w:r>
      <w:r w:rsidR="00C63F8F" w:rsidRPr="00E27443">
        <w:t xml:space="preserve"> </w:t>
      </w:r>
      <w:r w:rsidRPr="00E27443">
        <w:t>the</w:t>
      </w:r>
      <w:r w:rsidR="00C63F8F" w:rsidRPr="00E27443">
        <w:t xml:space="preserve"> </w:t>
      </w:r>
      <w:r w:rsidRPr="00E27443">
        <w:t>premises</w:t>
      </w:r>
      <w:r w:rsidR="00C63F8F" w:rsidRPr="00E27443">
        <w:t xml:space="preserve"> </w:t>
      </w:r>
      <w:r w:rsidRPr="00E27443">
        <w:t>accessible</w:t>
      </w:r>
      <w:r w:rsidR="00C63F8F" w:rsidRPr="00E27443">
        <w:t xml:space="preserve"> </w:t>
      </w:r>
      <w:r w:rsidRPr="00E27443">
        <w:t>and</w:t>
      </w:r>
      <w:r w:rsidR="00C63F8F" w:rsidRPr="00E27443">
        <w:t xml:space="preserve"> </w:t>
      </w:r>
      <w:r w:rsidRPr="00E27443">
        <w:t>usable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p>
    <w:p w:rsidR="00321ADA" w:rsidRPr="00E27443" w:rsidRDefault="00321ADA" w:rsidP="00E75253">
      <w:pPr>
        <w:pStyle w:val="SingleTxtG"/>
        <w:numPr>
          <w:ilvl w:val="0"/>
          <w:numId w:val="20"/>
        </w:numPr>
        <w:tabs>
          <w:tab w:val="left" w:pos="1843"/>
        </w:tabs>
        <w:ind w:left="1134" w:firstLine="0"/>
      </w:pPr>
      <w:r w:rsidRPr="00E27443">
        <w:t>There</w:t>
      </w:r>
      <w:r w:rsidR="00C63F8F" w:rsidRPr="00E27443">
        <w:t xml:space="preserve"> </w:t>
      </w:r>
      <w:r w:rsidRPr="00E27443">
        <w:t>are</w:t>
      </w:r>
      <w:r w:rsidR="00C63F8F" w:rsidRPr="00E27443">
        <w:t xml:space="preserve"> </w:t>
      </w:r>
      <w:r w:rsidRPr="00E27443">
        <w:t>demands</w:t>
      </w:r>
      <w:r w:rsidR="00C63F8F" w:rsidRPr="00E27443">
        <w:t xml:space="preserve"> </w:t>
      </w:r>
      <w:r w:rsidRPr="00E27443">
        <w:t>for</w:t>
      </w:r>
      <w:r w:rsidR="00C63F8F" w:rsidRPr="00E27443">
        <w:t xml:space="preserve"> </w:t>
      </w:r>
      <w:r w:rsidRPr="00E27443">
        <w:rPr>
          <w:i/>
        </w:rPr>
        <w:t>information</w:t>
      </w:r>
      <w:r w:rsidR="00C63F8F" w:rsidRPr="00E27443">
        <w:rPr>
          <w:i/>
        </w:rPr>
        <w:t xml:space="preserve"> </w:t>
      </w:r>
      <w:r w:rsidRPr="00E27443">
        <w:rPr>
          <w:i/>
        </w:rPr>
        <w:t>signs</w:t>
      </w:r>
      <w:r w:rsidR="00C63F8F" w:rsidRPr="00E27443">
        <w:t xml:space="preserve"> </w:t>
      </w:r>
      <w:r w:rsidRPr="00E27443">
        <w:t>and</w:t>
      </w:r>
      <w:r w:rsidR="00C63F8F" w:rsidRPr="00E27443">
        <w:t xml:space="preserve"> </w:t>
      </w:r>
      <w:r w:rsidRPr="00E27443">
        <w:t>lighting</w:t>
      </w:r>
      <w:r w:rsidR="00C63F8F" w:rsidRPr="00E27443">
        <w:t xml:space="preserve"> </w:t>
      </w:r>
      <w:r w:rsidRPr="00E27443">
        <w:t>to</w:t>
      </w:r>
      <w:r w:rsidR="00C63F8F" w:rsidRPr="00E27443">
        <w:t xml:space="preserve"> </w:t>
      </w:r>
      <w:r w:rsidRPr="00E27443">
        <w:t>and</w:t>
      </w:r>
      <w:r w:rsidR="00C63F8F" w:rsidRPr="00E27443">
        <w:t xml:space="preserve"> </w:t>
      </w:r>
      <w:r w:rsidRPr="00E27443">
        <w:t>inside</w:t>
      </w:r>
      <w:r w:rsidR="00C63F8F" w:rsidRPr="00E27443">
        <w:t xml:space="preserve"> </w:t>
      </w:r>
      <w:r w:rsidRPr="00E27443">
        <w:t>buildings,</w:t>
      </w:r>
      <w:r w:rsidR="00C63F8F" w:rsidRPr="00E27443">
        <w:t xml:space="preserve"> </w:t>
      </w:r>
      <w:r w:rsidRPr="00E27443">
        <w:t>on</w:t>
      </w:r>
      <w:r w:rsidR="00C63F8F" w:rsidRPr="00E27443">
        <w:t xml:space="preserve"> </w:t>
      </w:r>
      <w:r w:rsidRPr="00E27443">
        <w:t>plots,</w:t>
      </w:r>
      <w:r w:rsidR="00C63F8F" w:rsidRPr="00E27443">
        <w:t xml:space="preserve"> </w:t>
      </w:r>
      <w:r w:rsidRPr="00E27443">
        <w:t>in</w:t>
      </w:r>
      <w:r w:rsidR="00C63F8F" w:rsidRPr="00E27443">
        <w:t xml:space="preserve"> </w:t>
      </w:r>
      <w:r w:rsidRPr="00E27443">
        <w:t>public</w:t>
      </w:r>
      <w:r w:rsidR="00C63F8F" w:rsidRPr="00E27443">
        <w:t xml:space="preserve"> </w:t>
      </w:r>
      <w:r w:rsidRPr="00E27443">
        <w:t>locations,</w:t>
      </w:r>
      <w:r w:rsidR="00C63F8F" w:rsidRPr="00E27443">
        <w:t xml:space="preserve"> </w:t>
      </w:r>
      <w:r w:rsidRPr="00E27443">
        <w:t>areas</w:t>
      </w:r>
      <w:r w:rsidR="00C63F8F" w:rsidRPr="00E27443">
        <w:t xml:space="preserve"> </w:t>
      </w:r>
      <w:r w:rsidRPr="00E27443">
        <w:t>for</w:t>
      </w:r>
      <w:r w:rsidR="00C63F8F" w:rsidRPr="00E27443">
        <w:t xml:space="preserve"> </w:t>
      </w:r>
      <w:r w:rsidRPr="00E27443">
        <w:t>facilities</w:t>
      </w:r>
      <w:r w:rsidR="00C63F8F" w:rsidRPr="00E27443">
        <w:t xml:space="preserve"> </w:t>
      </w:r>
      <w:r w:rsidRPr="00E27443">
        <w:t>other</w:t>
      </w:r>
      <w:r w:rsidR="00C63F8F" w:rsidRPr="00E27443">
        <w:t xml:space="preserve"> </w:t>
      </w:r>
      <w:r w:rsidRPr="00E27443">
        <w:t>than</w:t>
      </w:r>
      <w:r w:rsidR="00C63F8F" w:rsidRPr="00E27443">
        <w:t xml:space="preserve"> </w:t>
      </w:r>
      <w:r w:rsidRPr="00E27443">
        <w:t>buildings,</w:t>
      </w:r>
      <w:r w:rsidR="00C63F8F" w:rsidRPr="00E27443">
        <w:t xml:space="preserve"> </w:t>
      </w:r>
      <w:r w:rsidRPr="00E27443">
        <w:t>entrances</w:t>
      </w:r>
      <w:r w:rsidR="00C63F8F" w:rsidRPr="00E27443">
        <w:t xml:space="preserve"> </w:t>
      </w:r>
      <w:r w:rsidRPr="00E27443">
        <w:t>to</w:t>
      </w:r>
      <w:r w:rsidR="00C63F8F" w:rsidRPr="00E27443">
        <w:t xml:space="preserve"> </w:t>
      </w:r>
      <w:r w:rsidRPr="00E27443">
        <w:t>and</w:t>
      </w:r>
      <w:r w:rsidR="00C63F8F" w:rsidRPr="00E27443">
        <w:t xml:space="preserve"> </w:t>
      </w:r>
      <w:r w:rsidRPr="00E27443">
        <w:t>communication</w:t>
      </w:r>
      <w:r w:rsidR="00C63F8F" w:rsidRPr="00E27443">
        <w:t xml:space="preserve"> </w:t>
      </w:r>
      <w:r w:rsidRPr="00E27443">
        <w:t>areas</w:t>
      </w:r>
      <w:r w:rsidR="00C63F8F" w:rsidRPr="00E27443">
        <w:t xml:space="preserve"> </w:t>
      </w:r>
      <w:r w:rsidRPr="00E27443">
        <w:t>within</w:t>
      </w:r>
      <w:r w:rsidR="00C63F8F" w:rsidRPr="00E27443">
        <w:t xml:space="preserve"> </w:t>
      </w:r>
      <w:r w:rsidRPr="00E27443">
        <w:t>buildings,</w:t>
      </w:r>
      <w:r w:rsidR="00C63F8F" w:rsidRPr="00E27443">
        <w:t xml:space="preserve"> </w:t>
      </w:r>
      <w:r w:rsidRPr="00E27443">
        <w:t>to</w:t>
      </w:r>
      <w:r w:rsidR="00C63F8F" w:rsidRPr="00E27443">
        <w:t xml:space="preserve"> </w:t>
      </w:r>
      <w:r w:rsidRPr="00E27443">
        <w:t>make</w:t>
      </w:r>
      <w:r w:rsidR="00C63F8F" w:rsidRPr="00E27443">
        <w:t xml:space="preserve"> </w:t>
      </w:r>
      <w:r w:rsidRPr="00E27443">
        <w:t>it</w:t>
      </w:r>
      <w:r w:rsidR="00C63F8F" w:rsidRPr="00E27443">
        <w:t xml:space="preserve"> </w:t>
      </w:r>
      <w:r w:rsidRPr="00E27443">
        <w:t>easier</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use</w:t>
      </w:r>
      <w:r w:rsidR="00C63F8F" w:rsidRPr="00E27443">
        <w:t xml:space="preserve"> </w:t>
      </w:r>
      <w:r w:rsidRPr="00E27443">
        <w:t>them.</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Stringent</w:t>
      </w:r>
      <w:r w:rsidR="00C63F8F" w:rsidRPr="00E27443">
        <w:t xml:space="preserve"> </w:t>
      </w:r>
      <w:r w:rsidRPr="00E27443">
        <w:t>demands</w:t>
      </w:r>
      <w:r w:rsidR="00C63F8F" w:rsidRPr="00E27443">
        <w:t xml:space="preserve"> </w:t>
      </w:r>
      <w:r w:rsidRPr="00E27443">
        <w:t>are</w:t>
      </w:r>
      <w:r w:rsidR="00C63F8F" w:rsidRPr="00E27443">
        <w:t xml:space="preserve"> </w:t>
      </w:r>
      <w:r w:rsidRPr="00E27443">
        <w:t>stipulated</w:t>
      </w:r>
      <w:r w:rsidR="00C63F8F" w:rsidRPr="00E27443">
        <w:t xml:space="preserve"> </w:t>
      </w:r>
      <w:r w:rsidRPr="00E27443">
        <w:t>as</w:t>
      </w:r>
      <w:r w:rsidR="00C63F8F" w:rsidRPr="00E27443">
        <w:t xml:space="preserve"> </w:t>
      </w:r>
      <w:r w:rsidRPr="00E27443">
        <w:t>regards</w:t>
      </w:r>
      <w:r w:rsidR="00C63F8F" w:rsidRPr="00E27443">
        <w:t xml:space="preserve"> </w:t>
      </w:r>
      <w:r w:rsidRPr="00E27443">
        <w:t>the</w:t>
      </w:r>
      <w:r w:rsidR="00C63F8F" w:rsidRPr="00E27443">
        <w:t xml:space="preserve"> </w:t>
      </w:r>
      <w:r w:rsidRPr="00E27443">
        <w:t>form</w:t>
      </w:r>
      <w:r w:rsidR="00C63F8F" w:rsidRPr="00E27443">
        <w:t xml:space="preserve"> </w:t>
      </w:r>
      <w:r w:rsidRPr="00E27443">
        <w:t>and</w:t>
      </w:r>
      <w:r w:rsidR="00C63F8F" w:rsidRPr="00E27443">
        <w:t xml:space="preserve"> </w:t>
      </w:r>
      <w:r w:rsidRPr="00E27443">
        <w:t>function</w:t>
      </w:r>
      <w:r w:rsidR="00C63F8F" w:rsidRPr="00E27443">
        <w:t xml:space="preserve"> </w:t>
      </w:r>
      <w:r w:rsidRPr="00E27443">
        <w:t>of</w:t>
      </w:r>
      <w:r w:rsidR="00C63F8F" w:rsidRPr="00E27443">
        <w:t xml:space="preserve"> </w:t>
      </w:r>
      <w:r w:rsidRPr="00E27443">
        <w:t>public</w:t>
      </w:r>
      <w:r w:rsidR="00C63F8F" w:rsidRPr="00E27443">
        <w:t xml:space="preserve"> </w:t>
      </w:r>
      <w:r w:rsidRPr="00E27443">
        <w:rPr>
          <w:i/>
        </w:rPr>
        <w:t>information</w:t>
      </w:r>
      <w:r w:rsidR="00C63F8F" w:rsidRPr="00E27443">
        <w:rPr>
          <w:i/>
        </w:rPr>
        <w:t xml:space="preserve"> </w:t>
      </w:r>
      <w:r w:rsidRPr="00E27443">
        <w:rPr>
          <w:i/>
        </w:rPr>
        <w:t>symbols</w:t>
      </w:r>
      <w:r w:rsidRPr="00E27443">
        <w:t>,</w:t>
      </w:r>
      <w:r w:rsidR="00C63F8F" w:rsidRPr="00E27443">
        <w:t xml:space="preserve"> </w:t>
      </w:r>
      <w:r w:rsidRPr="00E27443">
        <w:t>in</w:t>
      </w:r>
      <w:r w:rsidR="00C63F8F" w:rsidRPr="00E27443">
        <w:t xml:space="preserve"> </w:t>
      </w:r>
      <w:r w:rsidRPr="00E27443">
        <w:t>order</w:t>
      </w:r>
      <w:r w:rsidR="00C63F8F" w:rsidRPr="00E27443">
        <w:t xml:space="preserve"> </w:t>
      </w:r>
      <w:r w:rsidRPr="00E27443">
        <w:t>for</w:t>
      </w:r>
      <w:r w:rsidR="00C63F8F" w:rsidRPr="00E27443">
        <w:t xml:space="preserve"> </w:t>
      </w:r>
      <w:r w:rsidRPr="00E27443">
        <w:t>them</w:t>
      </w:r>
      <w:r w:rsidR="00C63F8F" w:rsidRPr="00E27443">
        <w:t xml:space="preserve"> </w:t>
      </w:r>
      <w:r w:rsidRPr="00E27443">
        <w:t>to</w:t>
      </w:r>
      <w:r w:rsidR="00C63F8F" w:rsidRPr="00E27443">
        <w:t xml:space="preserve"> </w:t>
      </w:r>
      <w:r w:rsidRPr="00E27443">
        <w:t>make</w:t>
      </w:r>
      <w:r w:rsidR="00C63F8F" w:rsidRPr="00E27443">
        <w:t xml:space="preserve"> </w:t>
      </w:r>
      <w:r w:rsidRPr="00E27443">
        <w:t>life</w:t>
      </w:r>
      <w:r w:rsidR="00C63F8F" w:rsidRPr="00E27443">
        <w:t xml:space="preserve"> </w:t>
      </w:r>
      <w:r w:rsidRPr="00E27443">
        <w:t>easier</w:t>
      </w:r>
      <w:r w:rsidR="00C63F8F" w:rsidRPr="00E27443">
        <w:t xml:space="preserve"> </w:t>
      </w:r>
      <w:r w:rsidRPr="00E27443">
        <w:t>for</w:t>
      </w:r>
      <w:r w:rsidR="00C63F8F" w:rsidRPr="00E27443">
        <w:t xml:space="preserve"> </w:t>
      </w:r>
      <w:r w:rsidRPr="00E27443">
        <w:t>citizens.</w:t>
      </w:r>
      <w:r w:rsidR="00C63F8F" w:rsidRPr="00E27443">
        <w:t xml:space="preserve"> </w:t>
      </w:r>
      <w:r w:rsidRPr="00E27443">
        <w:t>The</w:t>
      </w:r>
      <w:r w:rsidR="00C63F8F" w:rsidRPr="00E27443">
        <w:t xml:space="preserve"> </w:t>
      </w:r>
      <w:r w:rsidRPr="00E27443">
        <w:t>Swedish</w:t>
      </w:r>
      <w:r w:rsidR="00C63F8F" w:rsidRPr="00E27443">
        <w:t xml:space="preserve"> </w:t>
      </w:r>
      <w:r w:rsidRPr="00E27443">
        <w:t>Institute</w:t>
      </w:r>
      <w:r w:rsidR="00C63F8F" w:rsidRPr="00E27443">
        <w:t xml:space="preserve"> </w:t>
      </w:r>
      <w:r w:rsidRPr="00E27443">
        <w:t>of</w:t>
      </w:r>
      <w:r w:rsidR="00C63F8F" w:rsidRPr="00E27443">
        <w:t xml:space="preserve"> </w:t>
      </w:r>
      <w:r w:rsidRPr="00E27443">
        <w:t>Assistive</w:t>
      </w:r>
      <w:r w:rsidR="00C63F8F" w:rsidRPr="00E27443">
        <w:t xml:space="preserve"> </w:t>
      </w:r>
      <w:r w:rsidRPr="00E27443">
        <w:t>Technology</w:t>
      </w:r>
      <w:r w:rsidR="00041B4C" w:rsidRPr="00E27443">
        <w:rPr>
          <w:rStyle w:val="FootnoteReference"/>
        </w:rPr>
        <w:footnoteReference w:id="41"/>
      </w:r>
      <w:r w:rsidR="00C63F8F" w:rsidRPr="00E27443">
        <w:t xml:space="preserve"> </w:t>
      </w:r>
      <w:r w:rsidRPr="00E27443">
        <w:t>has</w:t>
      </w:r>
      <w:r w:rsidR="00C63F8F" w:rsidRPr="00E27443">
        <w:t xml:space="preserve"> </w:t>
      </w:r>
      <w:r w:rsidRPr="00E27443">
        <w:t>developed</w:t>
      </w:r>
      <w:r w:rsidR="00C63F8F" w:rsidRPr="00E27443">
        <w:t xml:space="preserve"> </w:t>
      </w:r>
      <w:r w:rsidRPr="00E27443">
        <w:t>graphic</w:t>
      </w:r>
      <w:r w:rsidR="00C63F8F" w:rsidRPr="00E27443">
        <w:t xml:space="preserve"> </w:t>
      </w:r>
      <w:r w:rsidRPr="00E27443">
        <w:t>symbols</w:t>
      </w:r>
      <w:r w:rsidR="00C63F8F" w:rsidRPr="00E27443">
        <w:t xml:space="preserve"> </w:t>
      </w:r>
      <w:r w:rsidRPr="00E27443">
        <w:t>in</w:t>
      </w:r>
      <w:r w:rsidR="00C63F8F" w:rsidRPr="00E27443">
        <w:t xml:space="preserve"> </w:t>
      </w:r>
      <w:r w:rsidRPr="00E27443">
        <w:t>a</w:t>
      </w:r>
      <w:r w:rsidR="00C63F8F" w:rsidRPr="00E27443">
        <w:t xml:space="preserve"> </w:t>
      </w:r>
      <w:r w:rsidRPr="00E27443">
        <w:t>national</w:t>
      </w:r>
      <w:r w:rsidR="00C63F8F" w:rsidRPr="00E27443">
        <w:t xml:space="preserve"> </w:t>
      </w:r>
      <w:r w:rsidRPr="00E27443">
        <w:t>standard</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use</w:t>
      </w:r>
      <w:r w:rsidR="00C63F8F" w:rsidRPr="00E27443">
        <w:t xml:space="preserve"> </w:t>
      </w:r>
      <w:r w:rsidRPr="00E27443">
        <w:t>of</w:t>
      </w:r>
      <w:r w:rsidR="00C63F8F" w:rsidRPr="00E27443">
        <w:t xml:space="preserve"> </w:t>
      </w:r>
      <w:r w:rsidRPr="00E27443">
        <w:t>non-verbal</w:t>
      </w:r>
      <w:r w:rsidR="00C63F8F" w:rsidRPr="00E27443">
        <w:t xml:space="preserve"> </w:t>
      </w:r>
      <w:r w:rsidRPr="00E27443">
        <w:t>information</w:t>
      </w:r>
      <w:r w:rsidR="00C63F8F" w:rsidRPr="00E27443">
        <w:t xml:space="preserve"> </w:t>
      </w:r>
      <w:r w:rsidRPr="00E27443">
        <w:t>presentation</w:t>
      </w:r>
      <w:r w:rsidR="00C63F8F" w:rsidRPr="00E27443">
        <w:t xml:space="preserve"> </w:t>
      </w:r>
      <w:r w:rsidRPr="00E27443">
        <w:t>in</w:t>
      </w:r>
      <w:r w:rsidR="00C63F8F" w:rsidRPr="00E27443">
        <w:t xml:space="preserve"> </w:t>
      </w:r>
      <w:r w:rsidRPr="00E27443">
        <w:t>buildings</w:t>
      </w:r>
      <w:r w:rsidR="00C63F8F" w:rsidRPr="00E27443">
        <w:t xml:space="preserve"> </w:t>
      </w:r>
      <w:r w:rsidRPr="00E27443">
        <w:t>and</w:t>
      </w:r>
      <w:r w:rsidR="00C63F8F" w:rsidRPr="00E27443">
        <w:t xml:space="preserve"> </w:t>
      </w:r>
      <w:r w:rsidRPr="00E27443">
        <w:t>other</w:t>
      </w:r>
      <w:r w:rsidR="00C63F8F" w:rsidRPr="00E27443">
        <w:t xml:space="preserve"> </w:t>
      </w:r>
      <w:r w:rsidRPr="00E27443">
        <w:t>public</w:t>
      </w:r>
      <w:r w:rsidR="00C63F8F" w:rsidRPr="00E27443">
        <w:t xml:space="preserve"> </w:t>
      </w:r>
      <w:r w:rsidRPr="00E27443">
        <w:t>locations,</w:t>
      </w:r>
      <w:r w:rsidR="00C63F8F" w:rsidRPr="00E27443">
        <w:t xml:space="preserve"> </w:t>
      </w:r>
      <w:r w:rsidRPr="00E27443">
        <w:t>particular</w:t>
      </w:r>
      <w:r w:rsidR="00C63F8F" w:rsidRPr="00E27443">
        <w:t xml:space="preserve"> </w:t>
      </w:r>
      <w:r w:rsidRPr="00E27443">
        <w:t>consideration</w:t>
      </w:r>
      <w:r w:rsidR="00C63F8F" w:rsidRPr="00E27443">
        <w:t xml:space="preserve"> </w:t>
      </w:r>
      <w:r w:rsidRPr="00E27443">
        <w:t>has</w:t>
      </w:r>
      <w:r w:rsidR="00C63F8F" w:rsidRPr="00E27443">
        <w:t xml:space="preserve"> </w:t>
      </w:r>
      <w:r w:rsidRPr="00E27443">
        <w:t>been</w:t>
      </w:r>
      <w:r w:rsidR="00C63F8F" w:rsidRPr="00E27443">
        <w:t xml:space="preserve"> </w:t>
      </w:r>
      <w:r w:rsidRPr="00E27443">
        <w:t>given</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various</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relates</w:t>
      </w:r>
      <w:r w:rsidR="00C63F8F" w:rsidRPr="00E27443">
        <w:t xml:space="preserve"> </w:t>
      </w:r>
      <w:r w:rsidRPr="00E27443">
        <w:t>particularly</w:t>
      </w:r>
      <w:r w:rsidR="00C63F8F" w:rsidRPr="00E27443">
        <w:t xml:space="preserve"> </w:t>
      </w:r>
      <w:r w:rsidRPr="00E27443">
        <w:t>to</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affect</w:t>
      </w:r>
      <w:r w:rsidR="00C63F8F" w:rsidRPr="00E27443">
        <w:t xml:space="preserve"> </w:t>
      </w:r>
      <w:r w:rsidRPr="00E27443">
        <w:t>vision,</w:t>
      </w:r>
      <w:r w:rsidR="00C63F8F" w:rsidRPr="00E27443">
        <w:t xml:space="preserve"> </w:t>
      </w:r>
      <w:r w:rsidRPr="00E27443">
        <w:t>cognitive</w:t>
      </w:r>
      <w:r w:rsidR="00C63F8F" w:rsidRPr="00E27443">
        <w:t xml:space="preserve"> </w:t>
      </w:r>
      <w:r w:rsidRPr="00E27443">
        <w:t>capacity</w:t>
      </w:r>
      <w:r w:rsidR="00C63F8F" w:rsidRPr="00E27443">
        <w:t xml:space="preserve"> </w:t>
      </w:r>
      <w:r w:rsidRPr="00E27443">
        <w:t>or</w:t>
      </w:r>
      <w:r w:rsidR="00C63F8F" w:rsidRPr="00E27443">
        <w:t xml:space="preserve"> </w:t>
      </w:r>
      <w:r w:rsidRPr="00E27443">
        <w:t>movement.</w:t>
      </w:r>
      <w:r w:rsidR="00C63F8F" w:rsidRPr="00E27443">
        <w:t xml:space="preserve"> </w:t>
      </w:r>
      <w:r w:rsidRPr="00E27443">
        <w:t>They</w:t>
      </w:r>
      <w:r w:rsidR="00C63F8F" w:rsidRPr="00E27443">
        <w:t xml:space="preserve"> </w:t>
      </w:r>
      <w:r w:rsidRPr="00E27443">
        <w:t>should</w:t>
      </w:r>
      <w:r w:rsidR="00C63F8F" w:rsidRPr="00E27443">
        <w:t xml:space="preserve"> </w:t>
      </w:r>
      <w:r w:rsidRPr="00E27443">
        <w:t>be</w:t>
      </w:r>
      <w:r w:rsidR="00C63F8F" w:rsidRPr="00E27443">
        <w:t xml:space="preserve"> </w:t>
      </w:r>
      <w:r w:rsidRPr="00E27443">
        <w:t>seen</w:t>
      </w:r>
      <w:r w:rsidR="00C63F8F" w:rsidRPr="00E27443">
        <w:t xml:space="preserve"> </w:t>
      </w:r>
      <w:r w:rsidRPr="00E27443">
        <w:t>as</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work</w:t>
      </w:r>
      <w:r w:rsidR="00C63F8F" w:rsidRPr="00E27443">
        <w:t xml:space="preserve"> </w:t>
      </w:r>
      <w:r w:rsidRPr="00E27443">
        <w:t>of</w:t>
      </w:r>
      <w:r w:rsidR="00C63F8F" w:rsidRPr="00E27443">
        <w:t xml:space="preserve"> </w:t>
      </w:r>
      <w:r w:rsidRPr="00E27443">
        <w:t>making</w:t>
      </w:r>
      <w:r w:rsidR="00C63F8F" w:rsidRPr="00E27443">
        <w:t xml:space="preserve"> </w:t>
      </w:r>
      <w:r w:rsidRPr="00E27443">
        <w:t>society</w:t>
      </w:r>
      <w:r w:rsidR="00C63F8F" w:rsidRPr="00E27443">
        <w:t xml:space="preserve"> </w:t>
      </w:r>
      <w:r w:rsidRPr="00E27443">
        <w:t>accessible</w:t>
      </w:r>
      <w:r w:rsidR="00C63F8F" w:rsidRPr="00E27443">
        <w:t xml:space="preserve"> </w:t>
      </w:r>
      <w:r w:rsidRPr="00E27443">
        <w:t>for</w:t>
      </w:r>
      <w:r w:rsidR="00C63F8F" w:rsidRPr="00E27443">
        <w:t xml:space="preserve"> </w:t>
      </w:r>
      <w:r w:rsidRPr="00E27443">
        <w:t>many</w:t>
      </w:r>
      <w:r w:rsidR="00C63F8F" w:rsidRPr="00E27443">
        <w:t xml:space="preserve"> </w:t>
      </w:r>
      <w:r w:rsidRPr="00E27443">
        <w:t>more</w:t>
      </w:r>
      <w:r w:rsidR="00C63F8F" w:rsidRPr="00E27443">
        <w:t xml:space="preserve"> </w:t>
      </w:r>
      <w:r w:rsidRPr="00E27443">
        <w:t>people.</w:t>
      </w:r>
      <w:r w:rsidR="00C63F8F" w:rsidRPr="00E27443">
        <w:t xml:space="preserve"> </w:t>
      </w:r>
      <w:r w:rsidRPr="00E27443">
        <w:t>The</w:t>
      </w:r>
      <w:r w:rsidR="00C63F8F" w:rsidRPr="00E27443">
        <w:t xml:space="preserve"> </w:t>
      </w:r>
      <w:r w:rsidRPr="00E27443">
        <w:t>symbols</w:t>
      </w:r>
      <w:r w:rsidR="00C63F8F" w:rsidRPr="00E27443">
        <w:t xml:space="preserve"> </w:t>
      </w:r>
      <w:r w:rsidRPr="00E27443">
        <w:t>that</w:t>
      </w:r>
      <w:r w:rsidR="00C63F8F" w:rsidRPr="00E27443">
        <w:t xml:space="preserve"> </w:t>
      </w:r>
      <w:r w:rsidRPr="00E27443">
        <w:t>are</w:t>
      </w:r>
      <w:r w:rsidR="00C63F8F" w:rsidRPr="00E27443">
        <w:t xml:space="preserve"> </w:t>
      </w:r>
      <w:r w:rsidRPr="00E27443">
        <w:t>included</w:t>
      </w:r>
      <w:r w:rsidR="00C63F8F" w:rsidRPr="00E27443">
        <w:t xml:space="preserve"> </w:t>
      </w:r>
      <w:r w:rsidRPr="00E27443">
        <w:t>in</w:t>
      </w:r>
      <w:r w:rsidR="00C63F8F" w:rsidRPr="00E27443">
        <w:t xml:space="preserve"> </w:t>
      </w:r>
      <w:r w:rsidRPr="00E27443">
        <w:t>the</w:t>
      </w:r>
      <w:r w:rsidR="00C63F8F" w:rsidRPr="00E27443">
        <w:t xml:space="preserve"> </w:t>
      </w:r>
      <w:r w:rsidRPr="00E27443">
        <w:t>new</w:t>
      </w:r>
      <w:r w:rsidR="00C63F8F" w:rsidRPr="00E27443">
        <w:t xml:space="preserve"> </w:t>
      </w:r>
      <w:r w:rsidRPr="00E27443">
        <w:t>Swedish</w:t>
      </w:r>
      <w:r w:rsidR="00C63F8F" w:rsidRPr="00E27443">
        <w:t xml:space="preserve"> </w:t>
      </w:r>
      <w:r w:rsidRPr="00E27443">
        <w:t>standard</w:t>
      </w:r>
      <w:r w:rsidR="00C63F8F" w:rsidRPr="00E27443">
        <w:t xml:space="preserve"> </w:t>
      </w:r>
      <w:r w:rsidRPr="00E27443">
        <w:t>conform</w:t>
      </w:r>
      <w:r w:rsidR="00C63F8F" w:rsidRPr="00E27443">
        <w:t xml:space="preserve"> </w:t>
      </w:r>
      <w:r w:rsidRPr="00E27443">
        <w:t>to</w:t>
      </w:r>
      <w:r w:rsidR="00C63F8F" w:rsidRPr="00E27443">
        <w:t xml:space="preserve"> </w:t>
      </w:r>
      <w:r w:rsidRPr="00E27443">
        <w:t>the</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form</w:t>
      </w:r>
      <w:r w:rsidR="00C63F8F" w:rsidRPr="00E27443">
        <w:t xml:space="preserve"> </w:t>
      </w:r>
      <w:r w:rsidRPr="00E27443">
        <w:t>and</w:t>
      </w:r>
      <w:r w:rsidR="00C63F8F" w:rsidRPr="00E27443">
        <w:t xml:space="preserve"> </w:t>
      </w:r>
      <w:r w:rsidRPr="00E27443">
        <w:t>function</w:t>
      </w:r>
      <w:r w:rsidR="00C63F8F" w:rsidRPr="00E27443">
        <w:t xml:space="preserve"> </w:t>
      </w:r>
      <w:r w:rsidRPr="00E27443">
        <w:t>that</w:t>
      </w:r>
      <w:r w:rsidR="00C63F8F" w:rsidRPr="00E27443">
        <w:t xml:space="preserve"> </w:t>
      </w:r>
      <w:r w:rsidRPr="00E27443">
        <w:t>exist</w:t>
      </w:r>
      <w:r w:rsidR="00C63F8F" w:rsidRPr="00E27443">
        <w:t xml:space="preserve"> </w:t>
      </w:r>
      <w:r w:rsidRPr="00E27443">
        <w:t>for</w:t>
      </w:r>
      <w:r w:rsidR="00C63F8F" w:rsidRPr="00E27443">
        <w:t xml:space="preserve"> </w:t>
      </w:r>
      <w:r w:rsidRPr="00E27443">
        <w:t>the</w:t>
      </w:r>
      <w:r w:rsidR="00C63F8F" w:rsidRPr="00E27443">
        <w:t xml:space="preserve"> </w:t>
      </w:r>
      <w:r w:rsidRPr="00E27443">
        <w:t>standardisation</w:t>
      </w:r>
      <w:r w:rsidR="00C63F8F" w:rsidRPr="00E27443">
        <w:t xml:space="preserve"> </w:t>
      </w:r>
      <w:r w:rsidRPr="00E27443">
        <w:t>of</w:t>
      </w:r>
      <w:r w:rsidR="00C63F8F" w:rsidRPr="00E27443">
        <w:t xml:space="preserve"> </w:t>
      </w:r>
      <w:r w:rsidRPr="00E27443">
        <w:t>public</w:t>
      </w:r>
      <w:r w:rsidR="00C63F8F" w:rsidRPr="00E27443">
        <w:t xml:space="preserve"> </w:t>
      </w:r>
      <w:r w:rsidRPr="00E27443">
        <w:t>information</w:t>
      </w:r>
      <w:r w:rsidR="00C63F8F" w:rsidRPr="00E27443">
        <w:t xml:space="preserve"> </w:t>
      </w:r>
      <w:r w:rsidRPr="00E27443">
        <w:t>symbols.</w:t>
      </w:r>
      <w:r w:rsidR="00C63F8F" w:rsidRPr="00E27443">
        <w:t xml:space="preserve"> </w:t>
      </w:r>
      <w:r w:rsidRPr="00E27443">
        <w:t>All</w:t>
      </w:r>
      <w:r w:rsidR="00C63F8F" w:rsidRPr="00E27443">
        <w:t xml:space="preserve"> </w:t>
      </w:r>
      <w:r w:rsidRPr="00E27443">
        <w:t>have</w:t>
      </w:r>
      <w:r w:rsidR="00C63F8F" w:rsidRPr="00E27443">
        <w:t xml:space="preserve"> </w:t>
      </w:r>
      <w:r w:rsidRPr="00E27443">
        <w:t>been</w:t>
      </w:r>
      <w:r w:rsidR="00C63F8F" w:rsidRPr="00E27443">
        <w:t xml:space="preserve"> </w:t>
      </w:r>
      <w:r w:rsidRPr="00E27443">
        <w:t>tested</w:t>
      </w:r>
      <w:r w:rsidR="00C63F8F" w:rsidRPr="00E27443">
        <w:t xml:space="preserve"> </w:t>
      </w:r>
      <w:r w:rsidRPr="00E27443">
        <w:t>for</w:t>
      </w:r>
      <w:r w:rsidR="00C63F8F" w:rsidRPr="00E27443">
        <w:t xml:space="preserve"> </w:t>
      </w:r>
      <w:r w:rsidRPr="00E27443">
        <w:t>comprehension</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an</w:t>
      </w:r>
      <w:r w:rsidR="00C63F8F" w:rsidRPr="00E27443">
        <w:t xml:space="preserve"> </w:t>
      </w:r>
      <w:r w:rsidRPr="00E27443">
        <w:t>international</w:t>
      </w:r>
      <w:r w:rsidR="00C63F8F" w:rsidRPr="00E27443">
        <w:t xml:space="preserve"> </w:t>
      </w:r>
      <w:r w:rsidRPr="00E27443">
        <w:t>ISO</w:t>
      </w:r>
      <w:r w:rsidR="00C63F8F" w:rsidRPr="00E27443">
        <w:t xml:space="preserve"> </w:t>
      </w:r>
      <w:r w:rsidRPr="00E27443">
        <w:t>standard</w:t>
      </w:r>
      <w:r w:rsidR="00C63F8F" w:rsidRPr="00E27443">
        <w:t xml:space="preserve"> </w:t>
      </w:r>
      <w:r w:rsidRPr="00E27443">
        <w:t>for</w:t>
      </w:r>
      <w:r w:rsidR="00C63F8F" w:rsidRPr="00E27443">
        <w:t xml:space="preserve"> </w:t>
      </w:r>
      <w:r w:rsidRPr="00E27443">
        <w:t>test</w:t>
      </w:r>
      <w:r w:rsidR="00C63F8F" w:rsidRPr="00E27443">
        <w:t xml:space="preserve"> </w:t>
      </w:r>
      <w:r w:rsidRPr="00E27443">
        <w:t>methods</w:t>
      </w:r>
      <w:r w:rsidR="00C63F8F" w:rsidRPr="00E27443">
        <w:t xml:space="preserve"> </w:t>
      </w:r>
      <w:r w:rsidRPr="00E27443">
        <w:t>(ISO</w:t>
      </w:r>
      <w:r w:rsidR="00C63F8F" w:rsidRPr="00E27443">
        <w:t xml:space="preserve"> </w:t>
      </w:r>
      <w:r w:rsidRPr="00E27443">
        <w:t>9186-1).</w:t>
      </w:r>
    </w:p>
    <w:p w:rsidR="00321ADA" w:rsidRPr="00E27443" w:rsidRDefault="00321ADA" w:rsidP="00E75253">
      <w:pPr>
        <w:pStyle w:val="SingleTxtG"/>
        <w:numPr>
          <w:ilvl w:val="0"/>
          <w:numId w:val="20"/>
        </w:numPr>
        <w:tabs>
          <w:tab w:val="left" w:pos="1843"/>
        </w:tabs>
        <w:ind w:left="1134" w:firstLine="0"/>
      </w:pPr>
      <w:r w:rsidRPr="00E27443">
        <w:t>Increasing</w:t>
      </w:r>
      <w:r w:rsidR="00C63F8F" w:rsidRPr="00E27443">
        <w:t xml:space="preserve"> </w:t>
      </w:r>
      <w:r w:rsidRPr="00E27443">
        <w:t>accessibility</w:t>
      </w:r>
      <w:r w:rsidR="00C63F8F" w:rsidRPr="00E27443">
        <w:t xml:space="preserve"> </w:t>
      </w:r>
      <w:r w:rsidRPr="00E27443">
        <w:t>within</w:t>
      </w:r>
      <w:r w:rsidR="00C63F8F" w:rsidRPr="00E27443">
        <w:t xml:space="preserve"> </w:t>
      </w:r>
      <w:r w:rsidRPr="00E27443">
        <w:t>the</w:t>
      </w:r>
      <w:r w:rsidR="00C63F8F" w:rsidRPr="00E27443">
        <w:t xml:space="preserve"> </w:t>
      </w:r>
      <w:r w:rsidRPr="00E27443">
        <w:rPr>
          <w:i/>
        </w:rPr>
        <w:t>transport</w:t>
      </w:r>
      <w:r w:rsidR="00C63F8F" w:rsidRPr="00E27443">
        <w:rPr>
          <w:i/>
        </w:rPr>
        <w:t xml:space="preserve"> </w:t>
      </w:r>
      <w:r w:rsidRPr="00E27443">
        <w:rPr>
          <w:i/>
        </w:rPr>
        <w:t>system</w:t>
      </w:r>
      <w:r w:rsidR="00C63F8F" w:rsidRPr="00E27443">
        <w:t xml:space="preserve"> </w:t>
      </w:r>
      <w:r w:rsidRPr="00E27443">
        <w:t>is</w:t>
      </w:r>
      <w:r w:rsidR="00C63F8F" w:rsidRPr="00E27443">
        <w:t xml:space="preserve"> </w:t>
      </w:r>
      <w:r w:rsidRPr="00E27443">
        <w:t>a</w:t>
      </w:r>
      <w:r w:rsidR="00C63F8F" w:rsidRPr="00E27443">
        <w:t xml:space="preserve"> </w:t>
      </w:r>
      <w:r w:rsidRPr="00E27443">
        <w:t>fundamental</w:t>
      </w:r>
      <w:r w:rsidR="00C63F8F" w:rsidRPr="00E27443">
        <w:t xml:space="preserve"> </w:t>
      </w:r>
      <w:r w:rsidRPr="00E27443">
        <w:t>democratic</w:t>
      </w:r>
      <w:r w:rsidR="00C63F8F" w:rsidRPr="00E27443">
        <w:t xml:space="preserve"> </w:t>
      </w:r>
      <w:r w:rsidRPr="00E27443">
        <w:t>issue</w:t>
      </w:r>
      <w:r w:rsidR="00C63F8F" w:rsidRPr="00E27443">
        <w:t xml:space="preserve"> </w:t>
      </w:r>
      <w:r w:rsidRPr="00E27443">
        <w:t>and</w:t>
      </w:r>
      <w:r w:rsidR="00C63F8F" w:rsidRPr="00E27443">
        <w:t xml:space="preserve"> </w:t>
      </w:r>
      <w:r w:rsidRPr="00E27443">
        <w:t>an</w:t>
      </w:r>
      <w:r w:rsidR="00C63F8F" w:rsidRPr="00E27443">
        <w:t xml:space="preserve"> </w:t>
      </w:r>
      <w:r w:rsidRPr="00E27443">
        <w:t>important</w:t>
      </w:r>
      <w:r w:rsidR="00C63F8F" w:rsidRPr="00E27443">
        <w:t xml:space="preserve"> </w:t>
      </w:r>
      <w:r w:rsidRPr="00E27443">
        <w:t>measure</w:t>
      </w:r>
      <w:r w:rsidR="00C63F8F" w:rsidRPr="00E27443">
        <w:t xml:space="preserve"> </w:t>
      </w:r>
      <w:r w:rsidRPr="00E27443">
        <w:t>for</w:t>
      </w:r>
      <w:r w:rsidR="00C63F8F" w:rsidRPr="00E27443">
        <w:t xml:space="preserve"> </w:t>
      </w:r>
      <w:r w:rsidRPr="00E27443">
        <w:t>generating</w:t>
      </w:r>
      <w:r w:rsidR="00C63F8F" w:rsidRPr="00E27443">
        <w:t xml:space="preserve"> </w:t>
      </w:r>
      <w:r w:rsidRPr="00E27443">
        <w:t>participation.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and</w:t>
      </w:r>
      <w:r w:rsidR="00C63F8F" w:rsidRPr="00E27443">
        <w:t xml:space="preserve"> </w:t>
      </w:r>
      <w:r w:rsidRPr="00E27443">
        <w:t>Parliament</w:t>
      </w:r>
      <w:r w:rsidR="00C63F8F" w:rsidRPr="00E27443">
        <w:t xml:space="preserve"> </w:t>
      </w:r>
      <w:r w:rsidRPr="00E27443">
        <w:t>have</w:t>
      </w:r>
      <w:r w:rsidR="00C63F8F" w:rsidRPr="00E27443">
        <w:t xml:space="preserve"> </w:t>
      </w:r>
      <w:r w:rsidRPr="00E27443">
        <w:t>therefore</w:t>
      </w:r>
      <w:r w:rsidR="00C63F8F" w:rsidRPr="00E27443">
        <w:t xml:space="preserve"> </w:t>
      </w:r>
      <w:r w:rsidRPr="00E27443">
        <w:t>decided</w:t>
      </w:r>
      <w:r w:rsidR="00C63F8F" w:rsidRPr="00E27443">
        <w:t xml:space="preserve"> </w:t>
      </w:r>
      <w:r w:rsidRPr="00E27443">
        <w:t>on</w:t>
      </w:r>
      <w:r w:rsidR="00C63F8F" w:rsidRPr="00E27443">
        <w:t xml:space="preserve"> </w:t>
      </w:r>
      <w:r w:rsidRPr="00E27443">
        <w:t>specific</w:t>
      </w:r>
      <w:r w:rsidR="00C63F8F" w:rsidRPr="00E27443">
        <w:t xml:space="preserve"> </w:t>
      </w:r>
      <w:r w:rsidRPr="00E27443">
        <w:t>transport</w:t>
      </w:r>
      <w:r w:rsidR="00C63F8F" w:rsidRPr="00E27443">
        <w:t xml:space="preserve"> </w:t>
      </w:r>
      <w:r w:rsidRPr="00E27443">
        <w:t>policy</w:t>
      </w:r>
      <w:r w:rsidR="00C63F8F" w:rsidRPr="00E27443">
        <w:t xml:space="preserve"> </w:t>
      </w:r>
      <w:r w:rsidRPr="00E27443">
        <w:t>goals</w:t>
      </w:r>
      <w:r w:rsidR="00041B4C" w:rsidRPr="00E27443">
        <w:rPr>
          <w:rStyle w:val="FootnoteReference"/>
        </w:rPr>
        <w:footnoteReference w:id="42"/>
      </w:r>
      <w:r w:rsidR="00C63F8F" w:rsidRPr="00E27443">
        <w:t xml:space="preserve"> </w:t>
      </w:r>
      <w:r w:rsidRPr="00E27443">
        <w:t>and</w:t>
      </w:r>
      <w:r w:rsidR="00C63F8F" w:rsidRPr="00E27443">
        <w:t xml:space="preserve"> </w:t>
      </w:r>
      <w:r w:rsidRPr="00E27443">
        <w:t>funds</w:t>
      </w:r>
      <w:r w:rsidR="00C63F8F" w:rsidRPr="00E27443">
        <w:t xml:space="preserve"> </w:t>
      </w:r>
      <w:r w:rsidRPr="00E27443">
        <w:t>for</w:t>
      </w:r>
      <w:r w:rsidR="00C63F8F" w:rsidRPr="00E27443">
        <w:t xml:space="preserve"> </w:t>
      </w:r>
      <w:r w:rsidRPr="00E27443">
        <w:t>achieving</w:t>
      </w:r>
      <w:r w:rsidR="00C63F8F" w:rsidRPr="00E27443">
        <w:t xml:space="preserve"> </w:t>
      </w:r>
      <w:r w:rsidRPr="00E27443">
        <w:t>an</w:t>
      </w:r>
      <w:r w:rsidR="00C63F8F" w:rsidRPr="00E27443">
        <w:t xml:space="preserve"> </w:t>
      </w:r>
      <w:r w:rsidRPr="00E27443">
        <w:t>accessible</w:t>
      </w:r>
      <w:r w:rsidR="00C63F8F" w:rsidRPr="00E27443">
        <w:t xml:space="preserve"> </w:t>
      </w:r>
      <w:r w:rsidRPr="00E27443">
        <w:t>and</w:t>
      </w:r>
      <w:r w:rsidR="00C63F8F" w:rsidRPr="00E27443">
        <w:t xml:space="preserve"> </w:t>
      </w:r>
      <w:r w:rsidRPr="00E27443">
        <w:t>usable</w:t>
      </w:r>
      <w:r w:rsidR="00C63F8F" w:rsidRPr="00E27443">
        <w:t xml:space="preserve"> </w:t>
      </w:r>
      <w:r w:rsidRPr="00E27443">
        <w:t>transport</w:t>
      </w:r>
      <w:r w:rsidR="00C63F8F" w:rsidRPr="00E27443">
        <w:t xml:space="preserve"> </w:t>
      </w:r>
      <w:r w:rsidRPr="00E27443">
        <w:t>system.</w:t>
      </w:r>
      <w:r w:rsidR="00C63F8F" w:rsidRPr="00E27443">
        <w:t xml:space="preserve"> </w:t>
      </w:r>
      <w:r w:rsidRPr="00E27443">
        <w:t>Among</w:t>
      </w:r>
      <w:r w:rsidR="00C63F8F" w:rsidRPr="00E27443">
        <w:t xml:space="preserve"> </w:t>
      </w:r>
      <w:r w:rsidRPr="00E27443">
        <w:t>the</w:t>
      </w:r>
      <w:r w:rsidR="00C63F8F" w:rsidRPr="00E27443">
        <w:t xml:space="preserve"> </w:t>
      </w:r>
      <w:r w:rsidRPr="00E27443">
        <w:t>13</w:t>
      </w:r>
      <w:r w:rsidR="00C63F8F" w:rsidRPr="00E27443">
        <w:t xml:space="preserve"> </w:t>
      </w:r>
      <w:r w:rsidRPr="00E27443">
        <w:t>prioritised</w:t>
      </w:r>
      <w:r w:rsidR="00C63F8F" w:rsidRPr="00E27443">
        <w:t xml:space="preserve"> </w:t>
      </w:r>
      <w:r w:rsidRPr="00E27443">
        <w:t>areas,</w:t>
      </w:r>
      <w:r w:rsidR="00C63F8F" w:rsidRPr="00E27443">
        <w:t xml:space="preserve"> </w:t>
      </w:r>
      <w:r w:rsidRPr="00E27443">
        <w:t>the</w:t>
      </w:r>
      <w:r w:rsidR="00C63F8F" w:rsidRPr="00E27443">
        <w:t xml:space="preserve"> </w:t>
      </w:r>
      <w:r w:rsidRPr="00E27443">
        <w:t>accessibility</w:t>
      </w:r>
      <w:r w:rsidR="00C63F8F" w:rsidRPr="00E27443">
        <w:t xml:space="preserve"> </w:t>
      </w:r>
      <w:r w:rsidRPr="00E27443">
        <w:t>goal</w:t>
      </w:r>
      <w:r w:rsidR="00C63F8F" w:rsidRPr="00E27443">
        <w:t xml:space="preserve"> </w:t>
      </w:r>
      <w:r w:rsidRPr="00E27443">
        <w:t>has</w:t>
      </w:r>
      <w:r w:rsidR="00C63F8F" w:rsidRPr="00E27443">
        <w:t xml:space="preserve"> </w:t>
      </w:r>
      <w:r w:rsidRPr="00E27443">
        <w:t>been</w:t>
      </w:r>
      <w:r w:rsidR="00C63F8F" w:rsidRPr="00E27443">
        <w:t xml:space="preserve"> </w:t>
      </w:r>
      <w:r w:rsidRPr="00E27443">
        <w:t>specified</w:t>
      </w:r>
      <w:r w:rsidR="00C63F8F" w:rsidRPr="00E27443">
        <w:t xml:space="preserve"> </w:t>
      </w:r>
      <w:r w:rsidRPr="00E27443">
        <w:t>as</w:t>
      </w:r>
      <w:r w:rsidR="00C63F8F" w:rsidRPr="00E27443">
        <w:t xml:space="preserve"> </w:t>
      </w:r>
      <w:r w:rsidRPr="00E27443">
        <w:t>follows:</w:t>
      </w:r>
      <w:r w:rsidR="00C63F8F" w:rsidRPr="00E27443">
        <w:t xml:space="preserve"> </w:t>
      </w:r>
      <w:r w:rsidRPr="00E27443">
        <w:t>The</w:t>
      </w:r>
      <w:r w:rsidR="00C63F8F" w:rsidRPr="00E27443">
        <w:t xml:space="preserve"> </w:t>
      </w:r>
      <w:r w:rsidRPr="00E27443">
        <w:t>transport</w:t>
      </w:r>
      <w:r w:rsidR="00C63F8F" w:rsidRPr="00E27443">
        <w:t xml:space="preserve"> </w:t>
      </w:r>
      <w:r w:rsidRPr="00E27443">
        <w:t>system</w:t>
      </w:r>
      <w:r w:rsidR="00C63F8F" w:rsidRPr="00E27443">
        <w:t xml:space="preserve"> </w:t>
      </w:r>
      <w:r w:rsidRPr="00E27443">
        <w:t>must</w:t>
      </w:r>
      <w:r w:rsidR="00C63F8F" w:rsidRPr="00E27443">
        <w:t xml:space="preserve"> </w:t>
      </w:r>
      <w:r w:rsidRPr="00E27443">
        <w:t>be</w:t>
      </w:r>
      <w:r w:rsidR="00C63F8F" w:rsidRPr="00E27443">
        <w:t xml:space="preserve"> </w:t>
      </w:r>
      <w:r w:rsidRPr="00E27443">
        <w:t>designed</w:t>
      </w:r>
      <w:r w:rsidR="00C63F8F" w:rsidRPr="00E27443">
        <w:t xml:space="preserve"> </w:t>
      </w:r>
      <w:r w:rsidRPr="00E27443">
        <w:t>so</w:t>
      </w:r>
      <w:r w:rsidR="00C63F8F" w:rsidRPr="00E27443">
        <w:t xml:space="preserve"> </w:t>
      </w:r>
      <w:r w:rsidRPr="00E27443">
        <w:t>that</w:t>
      </w:r>
      <w:r w:rsidR="00C63F8F" w:rsidRPr="00E27443">
        <w:t xml:space="preserve"> </w:t>
      </w:r>
      <w:r w:rsidRPr="00E27443">
        <w:t>it</w:t>
      </w:r>
      <w:r w:rsidR="00C63F8F" w:rsidRPr="00E27443">
        <w:t xml:space="preserve"> </w:t>
      </w:r>
      <w:r w:rsidRPr="00E27443">
        <w:t>can</w:t>
      </w:r>
      <w:r w:rsidR="00C63F8F" w:rsidRPr="00E27443">
        <w:t xml:space="preserve"> </w:t>
      </w:r>
      <w:r w:rsidRPr="00E27443">
        <w:t>be</w:t>
      </w:r>
      <w:r w:rsidR="00C63F8F" w:rsidRPr="00E27443">
        <w:t xml:space="preserve"> </w:t>
      </w:r>
      <w:r w:rsidRPr="00E27443">
        <w:t>used</w:t>
      </w:r>
      <w:r w:rsidR="00C63F8F" w:rsidRPr="00E27443">
        <w:t xml:space="preserve"> </w:t>
      </w:r>
      <w:r w:rsidRPr="00E27443">
        <w:t>by</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An</w:t>
      </w:r>
      <w:r w:rsidR="00C63F8F" w:rsidRPr="00E27443">
        <w:t xml:space="preserve"> </w:t>
      </w:r>
      <w:r w:rsidRPr="00E27443">
        <w:t>ageing</w:t>
      </w:r>
      <w:r w:rsidR="00C63F8F" w:rsidRPr="00E27443">
        <w:t xml:space="preserve"> </w:t>
      </w:r>
      <w:r w:rsidRPr="00E27443">
        <w:t>population</w:t>
      </w:r>
      <w:r w:rsidR="00C63F8F" w:rsidRPr="00E27443">
        <w:t xml:space="preserve"> </w:t>
      </w:r>
      <w:r w:rsidRPr="00E27443">
        <w:t>means</w:t>
      </w:r>
      <w:r w:rsidR="00C63F8F" w:rsidRPr="00E27443">
        <w:t xml:space="preserve"> </w:t>
      </w:r>
      <w:r w:rsidRPr="00E27443">
        <w:t>that</w:t>
      </w:r>
      <w:r w:rsidR="00C63F8F" w:rsidRPr="00E27443">
        <w:t xml:space="preserve"> </w:t>
      </w:r>
      <w:r w:rsidRPr="00E27443">
        <w:t>increasing</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will</w:t>
      </w:r>
      <w:r w:rsidR="00C63F8F" w:rsidRPr="00E27443">
        <w:t xml:space="preserve"> </w:t>
      </w:r>
      <w:r w:rsidRPr="00E27443">
        <w:t>become</w:t>
      </w:r>
      <w:r w:rsidR="00C63F8F" w:rsidRPr="00E27443">
        <w:t xml:space="preserve"> </w:t>
      </w:r>
      <w:r w:rsidRPr="00E27443">
        <w:t>more</w:t>
      </w:r>
      <w:r w:rsidR="00C63F8F" w:rsidRPr="00E27443">
        <w:t xml:space="preserve"> </w:t>
      </w:r>
      <w:r w:rsidRPr="00E27443">
        <w:t>and</w:t>
      </w:r>
      <w:r w:rsidR="00C63F8F" w:rsidRPr="00E27443">
        <w:t xml:space="preserve"> </w:t>
      </w:r>
      <w:r w:rsidRPr="00E27443">
        <w:t>more</w:t>
      </w:r>
      <w:r w:rsidR="00C63F8F" w:rsidRPr="00E27443">
        <w:t xml:space="preserve"> </w:t>
      </w:r>
      <w:r w:rsidRPr="00E27443">
        <w:t>important.</w:t>
      </w:r>
      <w:r w:rsidR="00C63F8F" w:rsidRPr="00E27443">
        <w:t xml:space="preserve"> </w:t>
      </w:r>
      <w:r w:rsidRPr="00E27443">
        <w:t>By</w:t>
      </w:r>
      <w:r w:rsidR="00C63F8F" w:rsidRPr="00E27443">
        <w:t xml:space="preserve"> </w:t>
      </w:r>
      <w:r w:rsidRPr="00E27443">
        <w:t>broadening</w:t>
      </w:r>
      <w:r w:rsidR="00C63F8F" w:rsidRPr="00E27443">
        <w:t xml:space="preserve"> </w:t>
      </w:r>
      <w:r w:rsidRPr="00E27443">
        <w:t>the</w:t>
      </w:r>
      <w:r w:rsidR="00C63F8F" w:rsidRPr="00E27443">
        <w:t xml:space="preserve"> </w:t>
      </w:r>
      <w:r w:rsidRPr="00E27443">
        <w:t>goals</w:t>
      </w:r>
      <w:r w:rsidR="00C63F8F" w:rsidRPr="00E27443">
        <w:t xml:space="preserve"> </w:t>
      </w:r>
      <w:r w:rsidRPr="00E27443">
        <w:t>to</w:t>
      </w:r>
      <w:r w:rsidR="00C63F8F" w:rsidRPr="00E27443">
        <w:t xml:space="preserve"> </w:t>
      </w:r>
      <w:r w:rsidRPr="00E27443">
        <w:t>encompass</w:t>
      </w:r>
      <w:r w:rsidR="00C63F8F" w:rsidRPr="00E27443">
        <w:t xml:space="preserve"> </w:t>
      </w:r>
      <w:r w:rsidRPr="00E27443">
        <w:t>the</w:t>
      </w:r>
      <w:r w:rsidR="00C63F8F" w:rsidRPr="00E27443">
        <w:t xml:space="preserve"> </w:t>
      </w:r>
      <w:r w:rsidRPr="00E27443">
        <w:t>entire</w:t>
      </w:r>
      <w:r w:rsidR="00C63F8F" w:rsidRPr="00E27443">
        <w:t xml:space="preserve"> </w:t>
      </w:r>
      <w:r w:rsidRPr="00E27443">
        <w:t>transport</w:t>
      </w:r>
      <w:r w:rsidR="00C63F8F" w:rsidRPr="00E27443">
        <w:t xml:space="preserve"> </w:t>
      </w:r>
      <w:r w:rsidRPr="00E27443">
        <w:t>system,</w:t>
      </w:r>
      <w:r w:rsidR="00C63F8F" w:rsidRPr="00E27443">
        <w:t xml:space="preserve"> </w:t>
      </w:r>
      <w:r w:rsidRPr="00E27443">
        <w:t>it</w:t>
      </w:r>
      <w:r w:rsidR="00C63F8F" w:rsidRPr="00E27443">
        <w:t xml:space="preserve"> </w:t>
      </w:r>
      <w:r w:rsidRPr="00E27443">
        <w:t>will</w:t>
      </w:r>
      <w:r w:rsidR="00C63F8F" w:rsidRPr="00E27443">
        <w:t xml:space="preserve"> </w:t>
      </w:r>
      <w:r w:rsidRPr="00E27443">
        <w:t>become</w:t>
      </w:r>
      <w:r w:rsidR="00C63F8F" w:rsidRPr="00E27443">
        <w:t xml:space="preserve"> </w:t>
      </w:r>
      <w:r w:rsidRPr="00E27443">
        <w:t>clear</w:t>
      </w:r>
      <w:r w:rsidR="00C63F8F" w:rsidRPr="00E27443">
        <w:t xml:space="preserve"> </w:t>
      </w:r>
      <w:r w:rsidRPr="00E27443">
        <w:t>that</w:t>
      </w:r>
      <w:r w:rsidR="00C63F8F" w:rsidRPr="00E27443">
        <w:t xml:space="preserve"> </w:t>
      </w:r>
      <w:r w:rsidRPr="00E27443">
        <w:t>it</w:t>
      </w:r>
      <w:r w:rsidR="00C63F8F" w:rsidRPr="00E27443">
        <w:t xml:space="preserve"> </w:t>
      </w:r>
      <w:r w:rsidRPr="00E27443">
        <w:t>is</w:t>
      </w:r>
      <w:r w:rsidR="00C63F8F" w:rsidRPr="00E27443">
        <w:t xml:space="preserve"> </w:t>
      </w:r>
      <w:r w:rsidRPr="00E27443">
        <w:t>not</w:t>
      </w:r>
      <w:r w:rsidR="00C63F8F" w:rsidRPr="00E27443">
        <w:t xml:space="preserve"> </w:t>
      </w:r>
      <w:r w:rsidRPr="00E27443">
        <w:t>enough</w:t>
      </w:r>
      <w:r w:rsidR="00C63F8F" w:rsidRPr="00E27443">
        <w:t xml:space="preserve"> </w:t>
      </w:r>
      <w:r w:rsidRPr="00E27443">
        <w:t>simply</w:t>
      </w:r>
      <w:r w:rsidR="00C63F8F" w:rsidRPr="00E27443">
        <w:t xml:space="preserve"> </w:t>
      </w:r>
      <w:r w:rsidRPr="00E27443">
        <w:t>to</w:t>
      </w:r>
      <w:r w:rsidR="00C63F8F" w:rsidRPr="00E27443">
        <w:t xml:space="preserve"> </w:t>
      </w:r>
      <w:r w:rsidRPr="00E27443">
        <w:t>have</w:t>
      </w:r>
      <w:r w:rsidR="00C63F8F" w:rsidRPr="00E27443">
        <w:t xml:space="preserve"> </w:t>
      </w:r>
      <w:r w:rsidRPr="00E27443">
        <w:t>accessible</w:t>
      </w:r>
      <w:r w:rsidR="00C63F8F" w:rsidRPr="00E27443">
        <w:t xml:space="preserve"> </w:t>
      </w:r>
      <w:r w:rsidRPr="00E27443">
        <w:t>public</w:t>
      </w:r>
      <w:r w:rsidR="00C63F8F" w:rsidRPr="00E27443">
        <w:t xml:space="preserve"> </w:t>
      </w:r>
      <w:r w:rsidRPr="00E27443">
        <w:t>transport.</w:t>
      </w:r>
    </w:p>
    <w:p w:rsidR="00321ADA" w:rsidRPr="00E27443" w:rsidRDefault="00321ADA" w:rsidP="00E75253">
      <w:pPr>
        <w:pStyle w:val="SingleTxtG"/>
        <w:numPr>
          <w:ilvl w:val="0"/>
          <w:numId w:val="20"/>
        </w:numPr>
        <w:tabs>
          <w:tab w:val="left" w:pos="1843"/>
        </w:tabs>
        <w:ind w:left="1134" w:firstLine="0"/>
      </w:pPr>
      <w:r w:rsidRPr="00E27443">
        <w:t>Within</w:t>
      </w:r>
      <w:r w:rsidR="00C63F8F" w:rsidRPr="00E27443">
        <w:t xml:space="preserve"> </w:t>
      </w:r>
      <w:r w:rsidRPr="00E27443">
        <w:t>the</w:t>
      </w:r>
      <w:r w:rsidR="00C63F8F" w:rsidRPr="00E27443">
        <w:t xml:space="preserve"> </w:t>
      </w:r>
      <w:r w:rsidRPr="00E27443">
        <w:t>transport</w:t>
      </w:r>
      <w:r w:rsidR="00C63F8F" w:rsidRPr="00E27443">
        <w:t xml:space="preserve"> </w:t>
      </w:r>
      <w:r w:rsidRPr="00E27443">
        <w:t>field,</w:t>
      </w:r>
      <w:r w:rsidR="00C63F8F" w:rsidRPr="00E27443">
        <w:t xml:space="preserve"> </w:t>
      </w:r>
      <w:r w:rsidRPr="00E27443">
        <w:t>an</w:t>
      </w:r>
      <w:r w:rsidR="00C63F8F" w:rsidRPr="00E27443">
        <w:t xml:space="preserve"> </w:t>
      </w:r>
      <w:r w:rsidRPr="00E27443">
        <w:t>organised</w:t>
      </w:r>
      <w:r w:rsidR="00C63F8F" w:rsidRPr="00E27443">
        <w:t xml:space="preserve"> </w:t>
      </w:r>
      <w:r w:rsidRPr="00E27443">
        <w:t>collaboration</w:t>
      </w:r>
      <w:r w:rsidR="00C63F8F" w:rsidRPr="00E27443">
        <w:t xml:space="preserve"> </w:t>
      </w:r>
      <w:r w:rsidRPr="00E27443">
        <w:t>has</w:t>
      </w:r>
      <w:r w:rsidR="00C63F8F" w:rsidRPr="00E27443">
        <w:t xml:space="preserve"> </w:t>
      </w:r>
      <w:r w:rsidRPr="00E27443">
        <w:t>been</w:t>
      </w:r>
      <w:r w:rsidR="00C63F8F" w:rsidRPr="00E27443">
        <w:t xml:space="preserve"> </w:t>
      </w:r>
      <w:r w:rsidRPr="00E27443">
        <w:t>created</w:t>
      </w:r>
      <w:r w:rsidR="00C63F8F" w:rsidRPr="00E27443">
        <w:t xml:space="preserve"> </w:t>
      </w:r>
      <w:r w:rsidRPr="00E27443">
        <w:t>between</w:t>
      </w:r>
      <w:r w:rsidR="00C63F8F" w:rsidRPr="00E27443">
        <w:t xml:space="preserve"> </w:t>
      </w:r>
      <w:r w:rsidRPr="00E27443">
        <w:t>the</w:t>
      </w:r>
      <w:r w:rsidR="00C63F8F" w:rsidRPr="00E27443">
        <w:t xml:space="preserve"> </w:t>
      </w:r>
      <w:r w:rsidRPr="00E27443">
        <w:t>disabled</w:t>
      </w:r>
      <w:r w:rsidR="00C63F8F" w:rsidRPr="00E27443">
        <w:t xml:space="preserve"> </w:t>
      </w:r>
      <w:r w:rsidRPr="00E27443">
        <w:t>people</w:t>
      </w:r>
      <w:r w:rsidR="00C63F8F" w:rsidRPr="00E27443">
        <w:t>’</w:t>
      </w:r>
      <w:r w:rsidRPr="00E27443">
        <w:t>s</w:t>
      </w:r>
      <w:r w:rsidR="00C63F8F" w:rsidRPr="00E27443">
        <w:t xml:space="preserve"> </w:t>
      </w:r>
      <w:r w:rsidRPr="00E27443">
        <w:t>movement</w:t>
      </w:r>
      <w:r w:rsidR="00C63F8F" w:rsidRPr="00E27443">
        <w:t xml:space="preserve"> </w:t>
      </w:r>
      <w:r w:rsidRPr="00E27443">
        <w:t>and</w:t>
      </w:r>
      <w:r w:rsidR="00C63F8F" w:rsidRPr="00E27443">
        <w:t xml:space="preserve"> </w:t>
      </w:r>
      <w:r w:rsidRPr="00E27443">
        <w:t>affected</w:t>
      </w:r>
      <w:r w:rsidR="00C63F8F" w:rsidRPr="00E27443">
        <w:t xml:space="preserve"> </w:t>
      </w:r>
      <w:r w:rsidRPr="00E27443">
        <w:t>authorities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make</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various</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collaboration</w:t>
      </w:r>
      <w:r w:rsidR="00C63F8F" w:rsidRPr="00E27443">
        <w:t xml:space="preserve"> </w:t>
      </w:r>
      <w:r w:rsidRPr="00E27443">
        <w:t>takes</w:t>
      </w:r>
      <w:r w:rsidR="00C63F8F" w:rsidRPr="00E27443">
        <w:t xml:space="preserve"> </w:t>
      </w:r>
      <w:r w:rsidRPr="00E27443">
        <w:t>place</w:t>
      </w:r>
      <w:r w:rsidR="00C63F8F" w:rsidRPr="00E27443">
        <w:t xml:space="preserve"> </w:t>
      </w:r>
      <w:r w:rsidRPr="00E27443">
        <w:t>on</w:t>
      </w:r>
      <w:r w:rsidR="00C63F8F" w:rsidRPr="00E27443">
        <w:t xml:space="preserve"> </w:t>
      </w:r>
      <w:r w:rsidRPr="00E27443">
        <w:t>both</w:t>
      </w:r>
      <w:r w:rsidR="00C63F8F" w:rsidRPr="00E27443">
        <w:t xml:space="preserve"> </w:t>
      </w:r>
      <w:r w:rsidRPr="00E27443">
        <w:t>a</w:t>
      </w:r>
      <w:r w:rsidR="00C63F8F" w:rsidRPr="00E27443">
        <w:t xml:space="preserve"> </w:t>
      </w:r>
      <w:r w:rsidRPr="00E27443">
        <w:t>national</w:t>
      </w:r>
      <w:r w:rsidR="00C63F8F" w:rsidRPr="00E27443">
        <w:t xml:space="preserve"> </w:t>
      </w:r>
      <w:r w:rsidRPr="00E27443">
        <w:t>and</w:t>
      </w:r>
      <w:r w:rsidR="00C63F8F" w:rsidRPr="00E27443">
        <w:t xml:space="preserve"> </w:t>
      </w:r>
      <w:r w:rsidRPr="00E27443">
        <w:t>a</w:t>
      </w:r>
      <w:r w:rsidR="00C63F8F" w:rsidRPr="00E27443">
        <w:t xml:space="preserve"> </w:t>
      </w:r>
      <w:r w:rsidRPr="00E27443">
        <w:t>regional</w:t>
      </w:r>
      <w:r w:rsidR="00C63F8F" w:rsidRPr="00E27443">
        <w:t xml:space="preserve"> </w:t>
      </w:r>
      <w:r w:rsidRPr="00E27443">
        <w:t>level</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w:t>
      </w:r>
      <w:r w:rsidR="00C63F8F" w:rsidRPr="00E27443">
        <w:t xml:space="preserve"> </w:t>
      </w:r>
      <w:r w:rsidRPr="00E27443">
        <w:t>Swedish</w:t>
      </w:r>
      <w:r w:rsidR="00C63F8F" w:rsidRPr="00E27443">
        <w:t xml:space="preserve"> </w:t>
      </w:r>
      <w:r w:rsidRPr="00E27443">
        <w:t>Transport</w:t>
      </w:r>
      <w:r w:rsidR="00C63F8F" w:rsidRPr="00E27443">
        <w:t xml:space="preserve"> </w:t>
      </w:r>
      <w:r w:rsidRPr="00E27443">
        <w:t>Administration</w:t>
      </w:r>
      <w:r w:rsidR="00C63F8F" w:rsidRPr="00E27443">
        <w:t>’</w:t>
      </w:r>
      <w:r w:rsidRPr="00E27443">
        <w:t>s</w:t>
      </w:r>
      <w:r w:rsidR="00C63F8F" w:rsidRPr="00E27443">
        <w:t xml:space="preserve"> </w:t>
      </w:r>
      <w:r w:rsidRPr="00E27443">
        <w:t>Accessibility</w:t>
      </w:r>
      <w:r w:rsidR="00C63F8F" w:rsidRPr="00E27443">
        <w:t xml:space="preserve"> </w:t>
      </w:r>
      <w:r w:rsidRPr="00E27443">
        <w:t>Council.</w:t>
      </w:r>
      <w:r w:rsidR="00C63F8F" w:rsidRPr="00E27443">
        <w:t xml:space="preserve"> </w:t>
      </w:r>
      <w:r w:rsidRPr="00E27443">
        <w:t>The</w:t>
      </w:r>
      <w:r w:rsidR="00C63F8F" w:rsidRPr="00E27443">
        <w:t xml:space="preserve"> </w:t>
      </w:r>
      <w:r w:rsidRPr="00E27443">
        <w:t>purpose</w:t>
      </w:r>
      <w:r w:rsidR="00C63F8F" w:rsidRPr="00E27443">
        <w:t xml:space="preserve"> </w:t>
      </w:r>
      <w:r w:rsidRPr="00E27443">
        <w:t>of</w:t>
      </w:r>
      <w:r w:rsidR="00C63F8F" w:rsidRPr="00E27443">
        <w:t xml:space="preserve"> </w:t>
      </w:r>
      <w:r w:rsidRPr="00E27443">
        <w:t>this</w:t>
      </w:r>
      <w:r w:rsidR="00C63F8F" w:rsidRPr="00E27443">
        <w:t xml:space="preserve"> </w:t>
      </w:r>
      <w:r w:rsidRPr="00E27443">
        <w:t>body</w:t>
      </w:r>
      <w:r w:rsidR="00C63F8F" w:rsidRPr="00E27443">
        <w:t xml:space="preserve"> </w:t>
      </w:r>
      <w:r w:rsidRPr="00E27443">
        <w:t>is</w:t>
      </w:r>
      <w:r w:rsidR="00C63F8F" w:rsidRPr="00E27443">
        <w:t xml:space="preserve"> </w:t>
      </w:r>
      <w:r w:rsidRPr="00E27443">
        <w:t>that</w:t>
      </w:r>
      <w:r w:rsidR="00C63F8F" w:rsidRPr="00E27443">
        <w:t xml:space="preserve"> </w:t>
      </w:r>
      <w:r w:rsidRPr="00E27443">
        <w:t>the</w:t>
      </w:r>
      <w:r w:rsidR="00C63F8F" w:rsidRPr="00E27443">
        <w:t xml:space="preserve"> </w:t>
      </w:r>
      <w:r w:rsidRPr="00E27443">
        <w:t>Administration</w:t>
      </w:r>
      <w:r w:rsidR="00C63F8F" w:rsidRPr="00E27443">
        <w:t xml:space="preserve"> — </w:t>
      </w:r>
      <w:r w:rsidRPr="00E27443">
        <w:t>which</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the</w:t>
      </w:r>
      <w:r w:rsidR="00C63F8F" w:rsidRPr="00E27443">
        <w:t xml:space="preserve"> </w:t>
      </w:r>
      <w:r w:rsidRPr="00E27443">
        <w:t>national</w:t>
      </w:r>
      <w:r w:rsidR="00C63F8F" w:rsidRPr="00E27443">
        <w:t xml:space="preserve"> </w:t>
      </w:r>
      <w:r w:rsidRPr="00E27443">
        <w:t>transport</w:t>
      </w:r>
      <w:r w:rsidR="00C63F8F" w:rsidRPr="00E27443">
        <w:t xml:space="preserve"> </w:t>
      </w:r>
      <w:r w:rsidRPr="00E27443">
        <w:t>infrastructure</w:t>
      </w:r>
      <w:r w:rsidR="00C63F8F" w:rsidRPr="00E27443">
        <w:t xml:space="preserve"> — </w:t>
      </w:r>
      <w:r w:rsidRPr="00E27443">
        <w:t>should</w:t>
      </w:r>
      <w:r w:rsidR="00C63F8F" w:rsidRPr="00E27443">
        <w:t xml:space="preserve"> </w:t>
      </w:r>
      <w:r w:rsidRPr="00E27443">
        <w:t>have</w:t>
      </w:r>
      <w:r w:rsidR="00C63F8F" w:rsidRPr="00E27443">
        <w:t xml:space="preserve"> </w:t>
      </w:r>
      <w:r w:rsidRPr="00E27443">
        <w:t>good</w:t>
      </w:r>
      <w:r w:rsidR="00C63F8F" w:rsidRPr="00E27443">
        <w:t xml:space="preserve"> </w:t>
      </w:r>
      <w:r w:rsidRPr="00E27443">
        <w:t>access</w:t>
      </w:r>
      <w:r w:rsidR="00C63F8F" w:rsidRPr="00E27443">
        <w:t xml:space="preserve"> </w:t>
      </w:r>
      <w:r w:rsidRPr="00E27443">
        <w:t>to</w:t>
      </w:r>
      <w:r w:rsidR="00C63F8F" w:rsidRPr="00E27443">
        <w:t xml:space="preserve"> </w:t>
      </w:r>
      <w:r w:rsidRPr="00E27443">
        <w:t>advice</w:t>
      </w:r>
      <w:r w:rsidR="00C63F8F" w:rsidRPr="00E27443">
        <w:t xml:space="preserve"> </w:t>
      </w:r>
      <w:r w:rsidRPr="00E27443">
        <w:t>and</w:t>
      </w:r>
      <w:r w:rsidR="00C63F8F" w:rsidRPr="00E27443">
        <w:t xml:space="preserve"> </w:t>
      </w:r>
      <w:r w:rsidRPr="00E27443">
        <w:t>support</w:t>
      </w:r>
      <w:r w:rsidR="00C63F8F" w:rsidRPr="00E27443">
        <w:t xml:space="preserve"> </w:t>
      </w:r>
      <w:r w:rsidRPr="00E27443">
        <w:t>in</w:t>
      </w:r>
      <w:r w:rsidR="00C63F8F" w:rsidRPr="00E27443">
        <w:t xml:space="preserve"> </w:t>
      </w:r>
      <w:r w:rsidRPr="00E27443">
        <w:t>its</w:t>
      </w:r>
      <w:r w:rsidR="00C63F8F" w:rsidRPr="00E27443">
        <w:t xml:space="preserve"> </w:t>
      </w:r>
      <w:r w:rsidRPr="00E27443">
        <w:t>work</w:t>
      </w:r>
      <w:r w:rsidR="00C63F8F" w:rsidRPr="00E27443">
        <w:t xml:space="preserve"> </w:t>
      </w:r>
      <w:r w:rsidRPr="00E27443">
        <w:t>of</w:t>
      </w:r>
      <w:r w:rsidR="00C63F8F" w:rsidRPr="00E27443">
        <w:t xml:space="preserve"> </w:t>
      </w:r>
      <w:r w:rsidRPr="00E27443">
        <w:t>designing</w:t>
      </w:r>
      <w:r w:rsidR="00C63F8F" w:rsidRPr="00E27443">
        <w:t xml:space="preserve"> </w:t>
      </w:r>
      <w:r w:rsidRPr="00E27443">
        <w:t>a</w:t>
      </w:r>
      <w:r w:rsidR="00C63F8F" w:rsidRPr="00E27443">
        <w:t xml:space="preserve"> </w:t>
      </w:r>
      <w:r w:rsidRPr="00E27443">
        <w:t>transport</w:t>
      </w:r>
      <w:r w:rsidR="00C63F8F" w:rsidRPr="00E27443">
        <w:t xml:space="preserve"> </w:t>
      </w:r>
      <w:r w:rsidRPr="00E27443">
        <w:t>system</w:t>
      </w:r>
      <w:r w:rsidR="00C63F8F" w:rsidRPr="00E27443">
        <w:t xml:space="preserve"> </w:t>
      </w:r>
      <w:r w:rsidRPr="00E27443">
        <w:t>that</w:t>
      </w:r>
      <w:r w:rsidR="00C63F8F" w:rsidRPr="00E27443">
        <w:t xml:space="preserve"> </w:t>
      </w:r>
      <w:r w:rsidRPr="00E27443">
        <w:t>can</w:t>
      </w:r>
      <w:r w:rsidR="00C63F8F" w:rsidRPr="00E27443">
        <w:t xml:space="preserve"> </w:t>
      </w:r>
      <w:r w:rsidRPr="00E27443">
        <w:t>be</w:t>
      </w:r>
      <w:r w:rsidR="00C63F8F" w:rsidRPr="00E27443">
        <w:t xml:space="preserve"> </w:t>
      </w:r>
      <w:r w:rsidRPr="00E27443">
        <w:t>used</w:t>
      </w:r>
      <w:r w:rsidR="00C63F8F" w:rsidRPr="00E27443">
        <w:t xml:space="preserve"> </w:t>
      </w:r>
      <w:r w:rsidRPr="00E27443">
        <w:t>by</w:t>
      </w:r>
      <w:r w:rsidR="00C63F8F" w:rsidRPr="00E27443">
        <w:t xml:space="preserve"> </w:t>
      </w:r>
      <w:r w:rsidRPr="00E27443">
        <w:t>everyone.</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legislative</w:t>
      </w:r>
      <w:r w:rsidR="00C63F8F" w:rsidRPr="00E27443">
        <w:t xml:space="preserve"> </w:t>
      </w:r>
      <w:r w:rsidRPr="00E27443">
        <w:t>protection</w:t>
      </w:r>
      <w:r w:rsidR="00C63F8F" w:rsidRPr="00E27443">
        <w:t xml:space="preserve"> </w:t>
      </w:r>
      <w:r w:rsidRPr="00E27443">
        <w:t>that</w:t>
      </w:r>
      <w:r w:rsidR="00C63F8F" w:rsidRPr="00E27443">
        <w:t xml:space="preserve"> </w:t>
      </w:r>
      <w:r w:rsidRPr="00E27443">
        <w:t>exists</w:t>
      </w:r>
      <w:r w:rsidR="00C63F8F" w:rsidRPr="00E27443">
        <w:t xml:space="preserve"> </w:t>
      </w:r>
      <w:r w:rsidRPr="00E27443">
        <w:t>in</w:t>
      </w:r>
      <w:r w:rsidR="00C63F8F" w:rsidRPr="00E27443">
        <w:t xml:space="preserve"> </w:t>
      </w:r>
      <w:r w:rsidRPr="00E27443">
        <w:t>the</w:t>
      </w:r>
      <w:r w:rsidR="00C63F8F" w:rsidRPr="00E27443">
        <w:t xml:space="preserve"> </w:t>
      </w:r>
      <w:r w:rsidRPr="00E27443">
        <w:t>transport</w:t>
      </w:r>
      <w:r w:rsidR="00C63F8F" w:rsidRPr="00E27443">
        <w:t xml:space="preserve"> </w:t>
      </w:r>
      <w:r w:rsidRPr="00E27443">
        <w:t>sector</w:t>
      </w:r>
      <w:r w:rsidR="00C63F8F" w:rsidRPr="00E27443">
        <w:t xml:space="preserve"> </w:t>
      </w:r>
      <w:r w:rsidRPr="00E27443">
        <w:t>relates</w:t>
      </w:r>
      <w:r w:rsidR="00C63F8F" w:rsidRPr="00E27443">
        <w:t xml:space="preserve"> </w:t>
      </w:r>
      <w:r w:rsidRPr="00E27443">
        <w:t>to</w:t>
      </w:r>
      <w:r w:rsidR="00C63F8F" w:rsidRPr="00E27443">
        <w:t xml:space="preserve"> </w:t>
      </w:r>
      <w:r w:rsidRPr="00E27443">
        <w:t>public</w:t>
      </w:r>
      <w:r w:rsidR="00C63F8F" w:rsidRPr="00E27443">
        <w:t xml:space="preserve"> </w:t>
      </w:r>
      <w:r w:rsidRPr="00E27443">
        <w:t>transport,</w:t>
      </w:r>
      <w:r w:rsidR="00CF2CB6" w:rsidRPr="00E75253">
        <w:footnoteReference w:id="43"/>
      </w:r>
      <w:r w:rsidR="00C63F8F" w:rsidRPr="00E27443">
        <w:t xml:space="preserve"> </w:t>
      </w:r>
      <w:r w:rsidRPr="00E27443">
        <w:t>mobility</w:t>
      </w:r>
      <w:r w:rsidR="00C63F8F" w:rsidRPr="00E27443">
        <w:t xml:space="preserve"> </w:t>
      </w:r>
      <w:r w:rsidRPr="00E27443">
        <w:t>services</w:t>
      </w:r>
      <w:r w:rsidR="00CF2CB6" w:rsidRPr="00E75253">
        <w:footnoteReference w:id="44"/>
      </w:r>
      <w:r w:rsidR="00C63F8F" w:rsidRPr="00E27443">
        <w:t xml:space="preserve"> </w:t>
      </w:r>
      <w:r w:rsidRPr="00E27443">
        <w:t>and</w:t>
      </w:r>
      <w:r w:rsidR="00C63F8F" w:rsidRPr="00E27443">
        <w:t xml:space="preserve"> </w:t>
      </w:r>
      <w:r w:rsidRPr="00E27443">
        <w:t>the</w:t>
      </w:r>
      <w:r w:rsidR="00C63F8F" w:rsidRPr="00E27443">
        <w:t xml:space="preserve"> </w:t>
      </w:r>
      <w:r w:rsidRPr="00E27443">
        <w:t>national</w:t>
      </w:r>
      <w:r w:rsidR="00C63F8F" w:rsidRPr="00E27443">
        <w:t xml:space="preserve"> </w:t>
      </w:r>
      <w:r w:rsidRPr="00E27443">
        <w:t>mobility</w:t>
      </w:r>
      <w:r w:rsidR="00C63F8F" w:rsidRPr="00E27443">
        <w:t xml:space="preserve"> </w:t>
      </w:r>
      <w:r w:rsidRPr="00E27443">
        <w:t>service.</w:t>
      </w:r>
      <w:r w:rsidR="00CF2CB6" w:rsidRPr="00E75253">
        <w:footnoteReference w:id="45"/>
      </w:r>
      <w:r w:rsidR="00C63F8F" w:rsidRPr="00E27443">
        <w:t xml:space="preserve"> </w:t>
      </w:r>
      <w:r w:rsidRPr="00E27443">
        <w:t>The</w:t>
      </w:r>
      <w:r w:rsidR="00C63F8F" w:rsidRPr="00E27443">
        <w:t xml:space="preserve"> </w:t>
      </w:r>
      <w:r w:rsidRPr="00E27443">
        <w:t>Education</w:t>
      </w:r>
      <w:r w:rsidR="00C63F8F" w:rsidRPr="00E27443">
        <w:t xml:space="preserve"> </w:t>
      </w:r>
      <w:r w:rsidRPr="00E27443">
        <w:t>Act</w:t>
      </w:r>
      <w:r w:rsidR="00CF2CB6" w:rsidRPr="00E75253">
        <w:footnoteReference w:id="46"/>
      </w:r>
      <w:r w:rsidR="00C63F8F" w:rsidRPr="00E27443">
        <w:t xml:space="preserve"> </w:t>
      </w:r>
      <w:r w:rsidRPr="00E27443">
        <w:t>contains</w:t>
      </w:r>
      <w:r w:rsidR="00C63F8F" w:rsidRPr="00E27443">
        <w:t xml:space="preserve"> </w:t>
      </w:r>
      <w:r w:rsidRPr="00E27443">
        <w:t>provisions</w:t>
      </w:r>
      <w:r w:rsidR="00C63F8F" w:rsidRPr="00E27443">
        <w:t xml:space="preserve"> </w:t>
      </w:r>
      <w:r w:rsidRPr="00E27443">
        <w:t>about</w:t>
      </w:r>
      <w:r w:rsidR="00C63F8F" w:rsidRPr="00E27443">
        <w:t xml:space="preserve"> </w:t>
      </w:r>
      <w:r w:rsidRPr="00E27443">
        <w:t>free</w:t>
      </w:r>
      <w:r w:rsidR="00C63F8F" w:rsidRPr="00E27443">
        <w:t xml:space="preserve"> </w:t>
      </w:r>
      <w:r w:rsidRPr="00E27443">
        <w:t>school</w:t>
      </w:r>
      <w:r w:rsidR="00C63F8F" w:rsidRPr="00E27443">
        <w:t xml:space="preserve"> </w:t>
      </w:r>
      <w:r w:rsidRPr="00E27443">
        <w:t>transport.</w:t>
      </w:r>
    </w:p>
    <w:p w:rsidR="00321ADA" w:rsidRPr="00E27443" w:rsidRDefault="00321ADA" w:rsidP="00E75253">
      <w:pPr>
        <w:pStyle w:val="SingleTxtG"/>
        <w:numPr>
          <w:ilvl w:val="0"/>
          <w:numId w:val="20"/>
        </w:numPr>
        <w:tabs>
          <w:tab w:val="left" w:pos="1843"/>
        </w:tabs>
        <w:ind w:left="1134" w:firstLine="0"/>
      </w:pPr>
      <w:r w:rsidRPr="00E27443">
        <w:t>Requirements</w:t>
      </w:r>
      <w:r w:rsidR="00C63F8F" w:rsidRPr="00E27443">
        <w:t xml:space="preserve"> </w:t>
      </w:r>
      <w:r w:rsidRPr="00E27443">
        <w:t>for</w:t>
      </w:r>
      <w:r w:rsidR="00C63F8F" w:rsidRPr="00E27443">
        <w:t xml:space="preserve"> </w:t>
      </w:r>
      <w:r w:rsidRPr="00E75253">
        <w:t>buildings</w:t>
      </w:r>
      <w:r w:rsidR="00C63F8F" w:rsidRPr="00E75253">
        <w:t xml:space="preserve"> </w:t>
      </w:r>
      <w:r w:rsidRPr="00E75253">
        <w:t>and</w:t>
      </w:r>
      <w:r w:rsidR="00C63F8F" w:rsidRPr="00E75253">
        <w:t xml:space="preserve"> </w:t>
      </w:r>
      <w:r w:rsidRPr="00E75253">
        <w:t>service</w:t>
      </w:r>
      <w:r w:rsidR="00C63F8F" w:rsidRPr="00E75253">
        <w:t xml:space="preserve"> </w:t>
      </w:r>
      <w:r w:rsidRPr="00E75253">
        <w:t>facilities</w:t>
      </w:r>
      <w:r w:rsidR="00C63F8F" w:rsidRPr="00E27443">
        <w:t xml:space="preserve"> </w:t>
      </w:r>
      <w:r w:rsidRPr="00E27443">
        <w:t>that</w:t>
      </w:r>
      <w:r w:rsidR="00C63F8F" w:rsidRPr="00E27443">
        <w:t xml:space="preserve"> </w:t>
      </w:r>
      <w:r w:rsidRPr="00E27443">
        <w:t>are</w:t>
      </w:r>
      <w:r w:rsidR="00C63F8F" w:rsidRPr="00E27443">
        <w:t xml:space="preserve"> </w:t>
      </w:r>
      <w:r w:rsidRPr="00E27443">
        <w:t>linked</w:t>
      </w:r>
      <w:r w:rsidR="00C63F8F" w:rsidRPr="00E27443">
        <w:t xml:space="preserve"> </w:t>
      </w:r>
      <w:r w:rsidRPr="00E27443">
        <w:t>to</w:t>
      </w:r>
      <w:r w:rsidR="00C63F8F" w:rsidRPr="00E27443">
        <w:t xml:space="preserve"> </w:t>
      </w:r>
      <w:r w:rsidRPr="00E27443">
        <w:t>the</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system</w:t>
      </w:r>
      <w:r w:rsidR="00C63F8F" w:rsidRPr="00E27443">
        <w:t xml:space="preserve"> </w:t>
      </w:r>
      <w:r w:rsidRPr="00E27443">
        <w:t>are</w:t>
      </w:r>
      <w:r w:rsidR="00C63F8F" w:rsidRPr="00E27443">
        <w:t xml:space="preserve"> </w:t>
      </w:r>
      <w:r w:rsidRPr="00E27443">
        <w:t>regulated</w:t>
      </w:r>
      <w:r w:rsidR="00C63F8F" w:rsidRPr="00E27443">
        <w:t xml:space="preserve"> </w:t>
      </w:r>
      <w:r w:rsidRPr="00E27443">
        <w:t>in</w:t>
      </w:r>
      <w:r w:rsidR="00C63F8F" w:rsidRPr="00E27443">
        <w:t xml:space="preserve"> </w:t>
      </w: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Building</w:t>
      </w:r>
      <w:r w:rsidR="00C63F8F" w:rsidRPr="00E27443">
        <w:t xml:space="preserve"> </w:t>
      </w:r>
      <w:r w:rsidRPr="00E27443">
        <w:t>Act</w:t>
      </w:r>
      <w:r w:rsidR="00C63F8F" w:rsidRPr="00E27443">
        <w:t xml:space="preserve"> </w:t>
      </w:r>
      <w:r w:rsidRPr="00E27443">
        <w:t>and</w:t>
      </w:r>
      <w:r w:rsidR="00C63F8F" w:rsidRPr="00E27443">
        <w:t xml:space="preserve"> </w:t>
      </w:r>
      <w:r w:rsidRPr="00E27443">
        <w:t>in</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Housing,</w:t>
      </w:r>
      <w:r w:rsidR="00C63F8F" w:rsidRPr="00E27443">
        <w:t xml:space="preserve"> </w:t>
      </w:r>
      <w:r w:rsidRPr="00E27443">
        <w:t>Building</w:t>
      </w:r>
      <w:r w:rsidR="00C63F8F" w:rsidRPr="00E27443">
        <w:t xml:space="preserve"> </w:t>
      </w:r>
      <w:r w:rsidRPr="00E27443">
        <w:t>and</w:t>
      </w:r>
      <w:r w:rsidR="00C63F8F" w:rsidRPr="00E27443">
        <w:t xml:space="preserve"> </w:t>
      </w:r>
      <w:r w:rsidRPr="00E27443">
        <w:t>Planning</w:t>
      </w:r>
      <w:r w:rsidR="00C63F8F" w:rsidRPr="00E27443">
        <w:t>’</w:t>
      </w:r>
      <w:r w:rsidRPr="00E27443">
        <w:t>s</w:t>
      </w:r>
      <w:r w:rsidR="00C63F8F" w:rsidRPr="00E27443">
        <w:t xml:space="preserve"> </w:t>
      </w:r>
      <w:r w:rsidRPr="00E27443">
        <w:t>regulations.</w:t>
      </w:r>
      <w:r w:rsidR="00C63F8F" w:rsidRPr="00E27443">
        <w:t xml:space="preserve"> </w:t>
      </w:r>
      <w:r w:rsidRPr="00E27443">
        <w:t>For</w:t>
      </w:r>
      <w:r w:rsidR="00C63F8F" w:rsidRPr="00E27443">
        <w:t xml:space="preserve"> </w:t>
      </w:r>
      <w:r w:rsidRPr="00E27443">
        <w:t>shipping,</w:t>
      </w:r>
      <w:r w:rsidR="00C63F8F" w:rsidRPr="00E27443">
        <w:t xml:space="preserve"> </w:t>
      </w:r>
      <w:r w:rsidRPr="00E27443">
        <w:t>the</w:t>
      </w:r>
      <w:r w:rsidR="00C63F8F" w:rsidRPr="00E27443">
        <w:t xml:space="preserve"> </w:t>
      </w:r>
      <w:r w:rsidRPr="00E27443">
        <w:t>Swedish</w:t>
      </w:r>
      <w:r w:rsidR="00C63F8F" w:rsidRPr="00E27443">
        <w:t xml:space="preserve"> </w:t>
      </w:r>
      <w:r w:rsidRPr="00E27443">
        <w:t>Maritime</w:t>
      </w:r>
      <w:r w:rsidR="00C63F8F" w:rsidRPr="00E27443">
        <w:t xml:space="preserve"> </w:t>
      </w:r>
      <w:r w:rsidRPr="00E27443">
        <w:t>Administration</w:t>
      </w:r>
      <w:r w:rsidR="00CF2CB6" w:rsidRPr="00E75253">
        <w:footnoteReference w:id="47"/>
      </w:r>
      <w:r w:rsidR="00C63F8F" w:rsidRPr="00E27443">
        <w:t xml:space="preserve"> </w:t>
      </w:r>
      <w:r w:rsidRPr="00E27443">
        <w:t>has</w:t>
      </w:r>
      <w:r w:rsidR="00C63F8F" w:rsidRPr="00E27443">
        <w:t xml:space="preserve"> </w:t>
      </w:r>
      <w:r w:rsidRPr="00E27443">
        <w:t>issued</w:t>
      </w:r>
      <w:r w:rsidR="00C63F8F" w:rsidRPr="00E27443">
        <w:t xml:space="preserve"> </w:t>
      </w:r>
      <w:r w:rsidRPr="00E27443">
        <w:t>national</w:t>
      </w:r>
      <w:r w:rsidR="00C63F8F" w:rsidRPr="00E27443">
        <w:t xml:space="preserve"> </w:t>
      </w:r>
      <w:r w:rsidRPr="00E27443">
        <w:t>regulations</w:t>
      </w:r>
      <w:r w:rsidR="00C63F8F" w:rsidRPr="00E27443">
        <w:t xml:space="preserve"> </w:t>
      </w:r>
      <w:r w:rsidRPr="00E27443">
        <w:t>and</w:t>
      </w:r>
      <w:r w:rsidR="00C63F8F" w:rsidRPr="00E27443">
        <w:t xml:space="preserve"> </w:t>
      </w:r>
      <w:r w:rsidRPr="00E27443">
        <w:t>general</w:t>
      </w:r>
      <w:r w:rsidR="00C63F8F" w:rsidRPr="00E27443">
        <w:t xml:space="preserve"> </w:t>
      </w:r>
      <w:r w:rsidRPr="00E27443">
        <w:t>advice</w:t>
      </w:r>
      <w:r w:rsidR="00C63F8F" w:rsidRPr="00E27443">
        <w:t xml:space="preserve"> </w:t>
      </w:r>
      <w:r w:rsidRPr="00E27443">
        <w:t>about</w:t>
      </w:r>
      <w:r w:rsidR="00C63F8F" w:rsidRPr="00E27443">
        <w:t xml:space="preserve"> </w:t>
      </w:r>
      <w:r w:rsidRPr="00E27443">
        <w:t>the</w:t>
      </w:r>
      <w:r w:rsidR="00C63F8F" w:rsidRPr="00E27443">
        <w:t xml:space="preserve"> </w:t>
      </w:r>
      <w:r w:rsidRPr="00E27443">
        <w:t>adaptation</w:t>
      </w:r>
      <w:r w:rsidR="00C63F8F" w:rsidRPr="00E27443">
        <w:t xml:space="preserve"> </w:t>
      </w:r>
      <w:r w:rsidRPr="00E27443">
        <w:t>of</w:t>
      </w:r>
      <w:r w:rsidR="00C63F8F" w:rsidRPr="00E27443">
        <w:t xml:space="preserve"> </w:t>
      </w:r>
      <w:r w:rsidRPr="00E27443">
        <w:t>passenger</w:t>
      </w:r>
      <w:r w:rsidR="00C63F8F" w:rsidRPr="00E27443">
        <w:t xml:space="preserve"> </w:t>
      </w:r>
      <w:r w:rsidRPr="00E27443">
        <w:t>vessels</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There</w:t>
      </w:r>
      <w:r w:rsidR="00C63F8F" w:rsidRPr="00E27443">
        <w:t xml:space="preserve"> </w:t>
      </w:r>
      <w:r w:rsidRPr="00E27443">
        <w:t>is</w:t>
      </w:r>
      <w:r w:rsidR="00C63F8F" w:rsidRPr="00E27443">
        <w:t xml:space="preserve"> </w:t>
      </w:r>
      <w:r w:rsidRPr="00E27443">
        <w:t>also</w:t>
      </w:r>
      <w:r w:rsidR="00C63F8F" w:rsidRPr="00E27443">
        <w:t xml:space="preserve"> </w:t>
      </w:r>
      <w:r w:rsidRPr="00E27443">
        <w:t>EU</w:t>
      </w:r>
      <w:r w:rsidR="00C63F8F" w:rsidRPr="00E27443">
        <w:t xml:space="preserve"> </w:t>
      </w:r>
      <w:r w:rsidRPr="00E27443">
        <w:t>legislation</w:t>
      </w:r>
      <w:r w:rsidR="00C63F8F" w:rsidRPr="00E27443">
        <w:t xml:space="preserve"> </w:t>
      </w:r>
      <w:r w:rsidRPr="00E27443">
        <w:t>that</w:t>
      </w:r>
      <w:r w:rsidR="00C63F8F" w:rsidRPr="00E27443">
        <w:t xml:space="preserve"> </w:t>
      </w:r>
      <w:r w:rsidRPr="00E27443">
        <w:t>regulates</w:t>
      </w:r>
      <w:r w:rsidR="00C63F8F" w:rsidRPr="00E27443">
        <w:t xml:space="preserve"> </w:t>
      </w:r>
      <w:r w:rsidRPr="00E27443">
        <w:t>technical</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vehicles</w:t>
      </w:r>
      <w:r w:rsidR="00C63F8F" w:rsidRPr="00E27443">
        <w:t xml:space="preserve"> </w:t>
      </w:r>
      <w:r w:rsidRPr="00E27443">
        <w:t>within</w:t>
      </w:r>
      <w:r w:rsidR="00C63F8F" w:rsidRPr="00E27443">
        <w:t xml:space="preserve"> </w:t>
      </w:r>
      <w:r w:rsidRPr="00E27443">
        <w:t>the</w:t>
      </w:r>
      <w:r w:rsidR="00C63F8F" w:rsidRPr="00E27443">
        <w:t xml:space="preserve"> </w:t>
      </w:r>
      <w:r w:rsidRPr="00E27443">
        <w:t>various</w:t>
      </w:r>
      <w:r w:rsidR="00C63F8F" w:rsidRPr="00E27443">
        <w:t xml:space="preserve"> </w:t>
      </w:r>
      <w:r w:rsidRPr="00E27443">
        <w:t>transport</w:t>
      </w:r>
      <w:r w:rsidR="00C63F8F" w:rsidRPr="00E27443">
        <w:t xml:space="preserve"> </w:t>
      </w:r>
      <w:r w:rsidRPr="00E27443">
        <w:t>types,</w:t>
      </w:r>
      <w:r w:rsidR="00C63F8F" w:rsidRPr="00E27443">
        <w:t xml:space="preserve"> </w:t>
      </w:r>
      <w:r w:rsidRPr="00E27443">
        <w:t>which</w:t>
      </w:r>
      <w:r w:rsidR="00C63F8F" w:rsidRPr="00E27443">
        <w:t xml:space="preserve"> </w:t>
      </w:r>
      <w:r w:rsidRPr="00E27443">
        <w:t>is</w:t>
      </w:r>
      <w:r w:rsidR="00C63F8F" w:rsidRPr="00E27443">
        <w:t xml:space="preserve"> </w:t>
      </w:r>
      <w:r w:rsidRPr="00E27443">
        <w:t>intended</w:t>
      </w:r>
      <w:r w:rsidR="00C63F8F" w:rsidRPr="00E27443">
        <w:t xml:space="preserve"> </w:t>
      </w:r>
      <w:r w:rsidRPr="00E27443">
        <w:t>for</w:t>
      </w:r>
      <w:r w:rsidR="00C63F8F" w:rsidRPr="00E27443">
        <w:t xml:space="preserve"> </w:t>
      </w:r>
      <w:r w:rsidRPr="00E27443">
        <w:t>example</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they</w:t>
      </w:r>
      <w:r w:rsidR="00C63F8F" w:rsidRPr="00E27443">
        <w:t xml:space="preserve"> </w:t>
      </w:r>
      <w:r w:rsidRPr="00E27443">
        <w:t>are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EU</w:t>
      </w:r>
      <w:r w:rsidR="00C63F8F" w:rsidRPr="00E27443">
        <w:t xml:space="preserve"> </w:t>
      </w:r>
      <w:r w:rsidRPr="00E27443">
        <w:t>law</w:t>
      </w:r>
      <w:r w:rsidR="00C63F8F" w:rsidRPr="00E27443">
        <w:t xml:space="preserve"> </w:t>
      </w:r>
      <w:r w:rsidRPr="00E27443">
        <w:t>also</w:t>
      </w:r>
      <w:r w:rsidR="00C63F8F" w:rsidRPr="00E27443">
        <w:t xml:space="preserve"> </w:t>
      </w:r>
      <w:r w:rsidRPr="00E27443">
        <w:t>places</w:t>
      </w:r>
      <w:r w:rsidR="00C63F8F" w:rsidRPr="00E27443">
        <w:t xml:space="preserve"> </w:t>
      </w:r>
      <w:r w:rsidRPr="00E27443">
        <w:t>demands</w:t>
      </w:r>
      <w:r w:rsidR="00C63F8F" w:rsidRPr="00E27443">
        <w:t xml:space="preserve"> </w:t>
      </w:r>
      <w:r w:rsidRPr="00E27443">
        <w:t>for</w:t>
      </w:r>
      <w:r w:rsidR="00C63F8F" w:rsidRPr="00E27443">
        <w:t xml:space="preserve"> </w:t>
      </w:r>
      <w:r w:rsidRPr="00E27443">
        <w:t>example</w:t>
      </w:r>
      <w:r w:rsidR="00C63F8F" w:rsidRPr="00E27443">
        <w:t xml:space="preserve"> </w:t>
      </w:r>
      <w:r w:rsidRPr="00E27443">
        <w:t>on</w:t>
      </w:r>
      <w:r w:rsidR="00C63F8F" w:rsidRPr="00E27443">
        <w:t xml:space="preserve"> </w:t>
      </w:r>
      <w:r w:rsidRPr="00E75253">
        <w:t>transporters</w:t>
      </w:r>
      <w:r w:rsidR="00C63F8F" w:rsidRPr="00E75253">
        <w:t xml:space="preserve"> </w:t>
      </w:r>
      <w:r w:rsidRPr="00E75253">
        <w:t>and</w:t>
      </w:r>
      <w:r w:rsidR="00C63F8F" w:rsidRPr="00E75253">
        <w:t xml:space="preserve"> </w:t>
      </w:r>
      <w:r w:rsidRPr="00E75253">
        <w:t>station</w:t>
      </w:r>
      <w:r w:rsidR="00C63F8F" w:rsidRPr="00E75253">
        <w:t xml:space="preserve"> </w:t>
      </w:r>
      <w:r w:rsidRPr="00E75253">
        <w:t>managers</w:t>
      </w:r>
      <w:r w:rsidR="00C63F8F" w:rsidRPr="00E27443">
        <w:t xml:space="preserve"> </w:t>
      </w:r>
      <w:r w:rsidRPr="00E27443">
        <w:t>regarding</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or</w:t>
      </w:r>
      <w:r w:rsidR="00C63F8F" w:rsidRPr="00E27443">
        <w:t xml:space="preserve"> </w:t>
      </w:r>
      <w:r w:rsidRPr="00E27443">
        <w:t>reduced</w:t>
      </w:r>
      <w:r w:rsidR="00C63F8F" w:rsidRPr="00E27443">
        <w:t xml:space="preserve"> </w:t>
      </w:r>
      <w:r w:rsidRPr="00E27443">
        <w:t>mobility.</w:t>
      </w:r>
      <w:r w:rsidR="00C63F8F" w:rsidRPr="00E27443">
        <w:t xml:space="preserve"> </w:t>
      </w:r>
      <w:r w:rsidRPr="00E27443">
        <w:t>Such</w:t>
      </w:r>
      <w:r w:rsidR="00C63F8F" w:rsidRPr="00E27443">
        <w:t xml:space="preserve"> </w:t>
      </w:r>
      <w:r w:rsidRPr="00E27443">
        <w:t>demands</w:t>
      </w:r>
      <w:r w:rsidR="00C63F8F" w:rsidRPr="00E27443">
        <w:t xml:space="preserve"> </w:t>
      </w:r>
      <w:r w:rsidRPr="00E27443">
        <w:t>are</w:t>
      </w:r>
      <w:r w:rsidR="00C63F8F" w:rsidRPr="00E27443">
        <w:t xml:space="preserve"> </w:t>
      </w:r>
      <w:r w:rsidRPr="00E27443">
        <w:t>contained</w:t>
      </w:r>
      <w:r w:rsidR="00C63F8F" w:rsidRPr="00E27443">
        <w:t xml:space="preserve"> </w:t>
      </w:r>
      <w:r w:rsidRPr="00E27443">
        <w:t>in</w:t>
      </w:r>
      <w:r w:rsidR="00C63F8F" w:rsidRPr="00E27443">
        <w:t xml:space="preserve"> </w:t>
      </w:r>
      <w:r w:rsidRPr="00E27443">
        <w:t>the</w:t>
      </w:r>
      <w:r w:rsidR="00C63F8F" w:rsidRPr="00E27443">
        <w:t xml:space="preserve"> </w:t>
      </w:r>
      <w:r w:rsidRPr="00E27443">
        <w:t>Regulation</w:t>
      </w:r>
      <w:r w:rsidR="00C63F8F" w:rsidRPr="00E27443">
        <w:t xml:space="preserve"> </w:t>
      </w:r>
      <w:r w:rsidRPr="00E27443">
        <w:t>of</w:t>
      </w:r>
      <w:r w:rsidR="00C63F8F" w:rsidRPr="00E27443">
        <w:t xml:space="preserve"> </w:t>
      </w:r>
      <w:r w:rsidRPr="00E27443">
        <w:t>the</w:t>
      </w:r>
      <w:r w:rsidR="00C63F8F" w:rsidRPr="00E27443">
        <w:t xml:space="preserve"> </w:t>
      </w:r>
      <w:r w:rsidRPr="00E27443">
        <w:t>European</w:t>
      </w:r>
      <w:r w:rsidR="00C63F8F" w:rsidRPr="00E27443">
        <w:t xml:space="preserve"> </w:t>
      </w:r>
      <w:r w:rsidRPr="00E27443">
        <w:t>Parliament</w:t>
      </w:r>
      <w:r w:rsidR="00C63F8F" w:rsidRPr="00E27443">
        <w:t xml:space="preserve"> </w:t>
      </w:r>
      <w:r w:rsidRPr="00E27443">
        <w:t>and</w:t>
      </w:r>
      <w:r w:rsidR="00C63F8F" w:rsidRPr="00E27443">
        <w:t xml:space="preserve"> </w:t>
      </w:r>
      <w:r w:rsidRPr="00E27443">
        <w:t>of</w:t>
      </w:r>
      <w:r w:rsidR="00C63F8F" w:rsidRPr="00E27443">
        <w:t xml:space="preserve"> </w:t>
      </w:r>
      <w:r w:rsidRPr="00E27443">
        <w:t>the</w:t>
      </w:r>
      <w:r w:rsidR="00C63F8F" w:rsidRPr="00E27443">
        <w:t xml:space="preserve"> </w:t>
      </w:r>
      <w:r w:rsidRPr="00E27443">
        <w:t>Council</w:t>
      </w:r>
      <w:r w:rsidR="00CF2CB6" w:rsidRPr="00E75253">
        <w:footnoteReference w:id="48"/>
      </w:r>
      <w:r w:rsidR="00C63F8F" w:rsidRPr="00E27443">
        <w:t xml:space="preserve"> </w:t>
      </w:r>
      <w:r w:rsidRPr="00E27443">
        <w:t>on</w:t>
      </w:r>
      <w:r w:rsidR="00C63F8F" w:rsidRPr="00E27443">
        <w:t xml:space="preserve"> </w:t>
      </w:r>
      <w:r w:rsidRPr="00E27443">
        <w:t>rail</w:t>
      </w:r>
      <w:r w:rsidR="00C63F8F" w:rsidRPr="00E27443">
        <w:t xml:space="preserve"> </w:t>
      </w:r>
      <w:r w:rsidRPr="00E27443">
        <w:t>passengers</w:t>
      </w:r>
      <w:r w:rsidR="00C63F8F" w:rsidRPr="00E27443">
        <w:t xml:space="preserve">’ </w:t>
      </w:r>
      <w:r w:rsidRPr="00E27443">
        <w:t>rights</w:t>
      </w:r>
      <w:r w:rsidR="00C63F8F" w:rsidRPr="00E27443">
        <w:t xml:space="preserve"> </w:t>
      </w:r>
      <w:r w:rsidRPr="00E27443">
        <w:t>and</w:t>
      </w:r>
      <w:r w:rsidR="00C63F8F" w:rsidRPr="00E27443">
        <w:t xml:space="preserve"> </w:t>
      </w:r>
      <w:r w:rsidRPr="00E27443">
        <w:t>obligations</w:t>
      </w:r>
      <w:r w:rsidR="00C63F8F" w:rsidRPr="00E27443">
        <w:t xml:space="preserve"> </w:t>
      </w:r>
      <w:r w:rsidRPr="00E27443">
        <w:t>and</w:t>
      </w:r>
      <w:r w:rsidR="00C63F8F" w:rsidRPr="00E27443">
        <w:t xml:space="preserve"> </w:t>
      </w:r>
      <w:r w:rsidRPr="00E27443">
        <w:t>in</w:t>
      </w:r>
      <w:r w:rsidR="00C63F8F" w:rsidRPr="00E27443">
        <w:t xml:space="preserve"> </w:t>
      </w:r>
      <w:r w:rsidRPr="00E27443">
        <w:t>the</w:t>
      </w:r>
      <w:r w:rsidR="00C63F8F" w:rsidRPr="00E27443">
        <w:t xml:space="preserve"> </w:t>
      </w:r>
      <w:r w:rsidRPr="00E27443">
        <w:t>Regulation</w:t>
      </w:r>
      <w:r w:rsidR="00C63F8F" w:rsidRPr="00E27443">
        <w:t xml:space="preserve"> </w:t>
      </w:r>
      <w:r w:rsidRPr="00E27443">
        <w:t>of</w:t>
      </w:r>
      <w:r w:rsidR="00C63F8F" w:rsidRPr="00E27443">
        <w:t xml:space="preserve"> </w:t>
      </w:r>
      <w:r w:rsidRPr="00E27443">
        <w:t>the</w:t>
      </w:r>
      <w:r w:rsidR="00C63F8F" w:rsidRPr="00E27443">
        <w:t xml:space="preserve"> </w:t>
      </w:r>
      <w:r w:rsidRPr="00E27443">
        <w:t>European</w:t>
      </w:r>
      <w:r w:rsidR="00C63F8F" w:rsidRPr="00E27443">
        <w:t xml:space="preserve"> </w:t>
      </w:r>
      <w:r w:rsidRPr="00E27443">
        <w:t>Parliament</w:t>
      </w:r>
      <w:r w:rsidR="00C63F8F" w:rsidRPr="00E27443">
        <w:t xml:space="preserve"> </w:t>
      </w:r>
      <w:r w:rsidRPr="00E27443">
        <w:t>and</w:t>
      </w:r>
      <w:r w:rsidR="00C63F8F" w:rsidRPr="00E27443">
        <w:t xml:space="preserve"> </w:t>
      </w:r>
      <w:r w:rsidRPr="00E27443">
        <w:t>of</w:t>
      </w:r>
      <w:r w:rsidR="00C63F8F" w:rsidRPr="00E27443">
        <w:t xml:space="preserve"> </w:t>
      </w:r>
      <w:r w:rsidRPr="00E27443">
        <w:t>the</w:t>
      </w:r>
      <w:r w:rsidR="00C63F8F" w:rsidRPr="00E27443">
        <w:t xml:space="preserve"> </w:t>
      </w:r>
      <w:r w:rsidRPr="00E27443">
        <w:t>Council</w:t>
      </w:r>
      <w:r w:rsidR="00CF2CB6" w:rsidRPr="00E75253">
        <w:footnoteReference w:id="49"/>
      </w:r>
      <w:r w:rsidR="00C63F8F" w:rsidRPr="00E27443">
        <w:t xml:space="preserve"> </w:t>
      </w:r>
      <w:r w:rsidRPr="00E27443">
        <w:t>concerning</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disabled</w:t>
      </w:r>
      <w:r w:rsidR="00C63F8F" w:rsidRPr="00E27443">
        <w:t xml:space="preserve"> </w:t>
      </w:r>
      <w:r w:rsidRPr="00E27443">
        <w:t>persons</w:t>
      </w:r>
      <w:r w:rsidR="00C63F8F" w:rsidRPr="00E27443">
        <w:t xml:space="preserve"> </w:t>
      </w:r>
      <w:r w:rsidRPr="00E27443">
        <w:t>and</w:t>
      </w:r>
      <w:r w:rsidR="00C63F8F" w:rsidRPr="00E27443">
        <w:t xml:space="preserve"> </w:t>
      </w:r>
      <w:r w:rsidRPr="00E27443">
        <w:t>persons</w:t>
      </w:r>
      <w:r w:rsidR="00C63F8F" w:rsidRPr="00E27443">
        <w:t xml:space="preserve"> </w:t>
      </w:r>
      <w:r w:rsidRPr="00E27443">
        <w:t>with</w:t>
      </w:r>
      <w:r w:rsidR="00C63F8F" w:rsidRPr="00E27443">
        <w:t xml:space="preserve"> </w:t>
      </w:r>
      <w:r w:rsidRPr="00E27443">
        <w:t>reduced</w:t>
      </w:r>
      <w:r w:rsidR="00C63F8F" w:rsidRPr="00E27443">
        <w:t xml:space="preserve"> </w:t>
      </w:r>
      <w:r w:rsidRPr="00E27443">
        <w:t>mobility</w:t>
      </w:r>
      <w:r w:rsidR="00C63F8F" w:rsidRPr="00E27443">
        <w:t xml:space="preserve"> </w:t>
      </w:r>
      <w:r w:rsidRPr="00E27443">
        <w:t>when</w:t>
      </w:r>
      <w:r w:rsidR="00C63F8F" w:rsidRPr="00E27443">
        <w:t xml:space="preserve"> </w:t>
      </w:r>
      <w:r w:rsidRPr="00E27443">
        <w:t>travelling</w:t>
      </w:r>
      <w:r w:rsidR="00C63F8F" w:rsidRPr="00E27443">
        <w:t xml:space="preserve"> </w:t>
      </w:r>
      <w:r w:rsidRPr="00E27443">
        <w:t>by</w:t>
      </w:r>
      <w:r w:rsidR="00C63F8F" w:rsidRPr="00E27443">
        <w:t xml:space="preserve"> </w:t>
      </w:r>
      <w:r w:rsidRPr="00E27443">
        <w:t>air.</w:t>
      </w:r>
      <w:r w:rsidR="00C63F8F" w:rsidRPr="00E27443">
        <w:t xml:space="preserve"> </w:t>
      </w:r>
      <w:r w:rsidRPr="00E27443">
        <w:t>These</w:t>
      </w:r>
      <w:r w:rsidR="00C63F8F" w:rsidRPr="00E27443">
        <w:t xml:space="preserve"> </w:t>
      </w:r>
      <w:r w:rsidRPr="00E27443">
        <w:t>legal</w:t>
      </w:r>
      <w:r w:rsidR="00C63F8F" w:rsidRPr="00E27443">
        <w:t xml:space="preserve"> </w:t>
      </w:r>
      <w:r w:rsidRPr="00E27443">
        <w:t>instruments</w:t>
      </w:r>
      <w:r w:rsidR="00C63F8F" w:rsidRPr="00E27443">
        <w:t xml:space="preserve"> </w:t>
      </w:r>
      <w:r w:rsidRPr="00E27443">
        <w:t>establish</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and</w:t>
      </w:r>
      <w:r w:rsidR="00C63F8F" w:rsidRPr="00E27443">
        <w:t xml:space="preserve"> </w:t>
      </w:r>
      <w:r w:rsidRPr="00E27443">
        <w:t>persons</w:t>
      </w:r>
      <w:r w:rsidR="00C63F8F" w:rsidRPr="00E27443">
        <w:t xml:space="preserve"> </w:t>
      </w:r>
      <w:r w:rsidRPr="00E27443">
        <w:t>with</w:t>
      </w:r>
      <w:r w:rsidR="00C63F8F" w:rsidRPr="00E27443">
        <w:t xml:space="preserve"> </w:t>
      </w:r>
      <w:r w:rsidRPr="00E27443">
        <w:t>reduced</w:t>
      </w:r>
      <w:r w:rsidR="00C63F8F" w:rsidRPr="00E27443">
        <w:t xml:space="preserve"> </w:t>
      </w:r>
      <w:r w:rsidRPr="00E27443">
        <w:t>mobility</w:t>
      </w:r>
      <w:r w:rsidR="00C63F8F" w:rsidRPr="00E27443">
        <w:t xml:space="preserve"> </w:t>
      </w:r>
      <w:r w:rsidRPr="00E27443">
        <w:t>are</w:t>
      </w:r>
      <w:r w:rsidR="00C63F8F" w:rsidRPr="00E27443">
        <w:t xml:space="preserve"> </w:t>
      </w:r>
      <w:r w:rsidRPr="00E27443">
        <w:t>entitled</w:t>
      </w:r>
      <w:r w:rsidR="00C63F8F" w:rsidRPr="00E27443">
        <w:t xml:space="preserve"> </w:t>
      </w:r>
      <w:r w:rsidRPr="00E27443">
        <w:t>to</w:t>
      </w:r>
      <w:r w:rsidR="00C63F8F" w:rsidRPr="00E27443">
        <w:t xml:space="preserve"> </w:t>
      </w:r>
      <w:r w:rsidRPr="00E27443">
        <w:t>travel</w:t>
      </w:r>
      <w:r w:rsidR="00C63F8F" w:rsidRPr="00E27443">
        <w:t xml:space="preserve"> </w:t>
      </w:r>
      <w:r w:rsidRPr="00E27443">
        <w:t>with</w:t>
      </w:r>
      <w:r w:rsidR="00C63F8F" w:rsidRPr="00E27443">
        <w:t xml:space="preserve"> </w:t>
      </w:r>
      <w:r w:rsidRPr="00E27443">
        <w:t>the</w:t>
      </w:r>
      <w:r w:rsidR="00C63F8F" w:rsidRPr="00E27443">
        <w:t xml:space="preserve"> </w:t>
      </w:r>
      <w:r w:rsidRPr="00E27443">
        <w:t>relevant</w:t>
      </w:r>
      <w:r w:rsidR="00C63F8F" w:rsidRPr="00E27443">
        <w:t xml:space="preserve"> </w:t>
      </w:r>
      <w:r w:rsidRPr="00E27443">
        <w:t>form</w:t>
      </w:r>
      <w:r w:rsidR="00C63F8F" w:rsidRPr="00E27443">
        <w:t xml:space="preserve"> </w:t>
      </w:r>
      <w:r w:rsidRPr="00E27443">
        <w:t>of</w:t>
      </w:r>
      <w:r w:rsidR="00C63F8F" w:rsidRPr="00E27443">
        <w:t xml:space="preserve"> </w:t>
      </w:r>
      <w:r w:rsidRPr="00E27443">
        <w:t>transport</w:t>
      </w:r>
      <w:r w:rsidR="00C63F8F" w:rsidRPr="00E27443">
        <w:t xml:space="preserve"> </w:t>
      </w:r>
      <w:r w:rsidRPr="00E27443">
        <w:t>and</w:t>
      </w:r>
      <w:r w:rsidR="00C63F8F" w:rsidRPr="00E27443">
        <w:t xml:space="preserve"> </w:t>
      </w:r>
      <w:r w:rsidRPr="00E27443">
        <w:t>to</w:t>
      </w:r>
      <w:r w:rsidR="00C63F8F" w:rsidRPr="00E27443">
        <w:t xml:space="preserve"> </w:t>
      </w:r>
      <w:r w:rsidRPr="00E27443">
        <w:t>receive</w:t>
      </w:r>
      <w:r w:rsidR="00C63F8F" w:rsidRPr="00E27443">
        <w:t xml:space="preserve"> </w:t>
      </w:r>
      <w:r w:rsidRPr="00E27443">
        <w:t>assistance</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their</w:t>
      </w:r>
      <w:r w:rsidR="00C63F8F" w:rsidRPr="00E27443">
        <w:t xml:space="preserve"> </w:t>
      </w:r>
      <w:r w:rsidRPr="00E27443">
        <w:t>journey.</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Accessibility</w:t>
      </w:r>
      <w:r w:rsidR="00C63F8F" w:rsidRPr="00E27443">
        <w:t xml:space="preserve"> </w:t>
      </w:r>
      <w:r w:rsidRPr="00E27443">
        <w:t>in</w:t>
      </w:r>
      <w:r w:rsidR="00C63F8F" w:rsidRPr="00E27443">
        <w:t xml:space="preserve"> </w:t>
      </w:r>
      <w:r w:rsidRPr="00E75253">
        <w:t>railway</w:t>
      </w:r>
      <w:r w:rsidR="00C63F8F" w:rsidRPr="00E75253">
        <w:t xml:space="preserve"> </w:t>
      </w:r>
      <w:r w:rsidRPr="00E75253">
        <w:t>stations</w:t>
      </w:r>
      <w:r w:rsidR="00C63F8F" w:rsidRPr="00E27443">
        <w:t xml:space="preserve"> </w:t>
      </w:r>
      <w:r w:rsidRPr="00E27443">
        <w:t>is</w:t>
      </w:r>
      <w:r w:rsidR="00C63F8F" w:rsidRPr="00E27443">
        <w:t xml:space="preserve"> </w:t>
      </w:r>
      <w:r w:rsidRPr="00E27443">
        <w:t>an</w:t>
      </w:r>
      <w:r w:rsidR="00C63F8F" w:rsidRPr="00E27443">
        <w:t xml:space="preserve"> </w:t>
      </w:r>
      <w:r w:rsidRPr="00E27443">
        <w:t>important</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transport</w:t>
      </w:r>
      <w:r w:rsidR="00C63F8F" w:rsidRPr="00E27443">
        <w:t xml:space="preserve"> </w:t>
      </w:r>
      <w:r w:rsidRPr="00E27443">
        <w:t>system.</w:t>
      </w:r>
      <w:r w:rsidR="00C63F8F" w:rsidRPr="00E27443">
        <w:t xml:space="preserve"> </w:t>
      </w:r>
      <w:r w:rsidRPr="00E27443">
        <w:t>In</w:t>
      </w:r>
      <w:r w:rsidR="00C63F8F" w:rsidRPr="00E27443">
        <w:t xml:space="preserve"> </w:t>
      </w:r>
      <w:r w:rsidRPr="00E27443">
        <w:t>2010,</w:t>
      </w:r>
      <w:r w:rsidR="00C63F8F" w:rsidRPr="00E27443">
        <w:t xml:space="preserve"> </w:t>
      </w:r>
      <w:r w:rsidRPr="00E27443">
        <w:t>40</w:t>
      </w:r>
      <w:r w:rsidR="00C63F8F" w:rsidRPr="00E27443">
        <w:t xml:space="preserve"> </w:t>
      </w:r>
      <w:r w:rsidRPr="00E27443">
        <w:t>railway</w:t>
      </w:r>
      <w:r w:rsidR="00C63F8F" w:rsidRPr="00E27443">
        <w:t xml:space="preserve"> </w:t>
      </w:r>
      <w:r w:rsidRPr="00E27443">
        <w:t>stations</w:t>
      </w:r>
      <w:r w:rsidR="00C63F8F" w:rsidRPr="00E27443">
        <w:t xml:space="preserve"> </w:t>
      </w:r>
      <w:r w:rsidRPr="00E27443">
        <w:t>are</w:t>
      </w:r>
      <w:r w:rsidR="00C63F8F" w:rsidRPr="00E27443">
        <w:t xml:space="preserve"> </w:t>
      </w:r>
      <w:r w:rsidRPr="00E27443">
        <w:t>fully</w:t>
      </w:r>
      <w:r w:rsidR="00C63F8F" w:rsidRPr="00E27443">
        <w:t xml:space="preserve"> </w:t>
      </w:r>
      <w:r w:rsidRPr="00E27443">
        <w:t>accessible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current</w:t>
      </w:r>
      <w:r w:rsidR="00C63F8F" w:rsidRPr="00E27443">
        <w:t xml:space="preserve"> </w:t>
      </w:r>
      <w:r w:rsidRPr="00E27443">
        <w:t>regulations,</w:t>
      </w:r>
      <w:r w:rsidR="00C63F8F" w:rsidRPr="00E27443">
        <w:t xml:space="preserve"> </w:t>
      </w:r>
      <w:r w:rsidRPr="00E27443">
        <w:t>and</w:t>
      </w:r>
      <w:r w:rsidR="00C63F8F" w:rsidRPr="00E27443">
        <w:t xml:space="preserve"> </w:t>
      </w:r>
      <w:r w:rsidRPr="00E27443">
        <w:t>a</w:t>
      </w:r>
      <w:r w:rsidR="00C63F8F" w:rsidRPr="00E27443">
        <w:t xml:space="preserve"> </w:t>
      </w:r>
      <w:r w:rsidRPr="00E27443">
        <w:t>further</w:t>
      </w:r>
      <w:r w:rsidR="00C63F8F" w:rsidRPr="00E27443">
        <w:t xml:space="preserve"> </w:t>
      </w:r>
      <w:r w:rsidRPr="00E27443">
        <w:t>20</w:t>
      </w:r>
      <w:r w:rsidR="00C63F8F" w:rsidRPr="00E27443">
        <w:t xml:space="preserve"> </w:t>
      </w:r>
      <w:r w:rsidRPr="00E27443">
        <w:t>railway</w:t>
      </w:r>
      <w:r w:rsidR="00C63F8F" w:rsidRPr="00E27443">
        <w:t xml:space="preserve"> </w:t>
      </w:r>
      <w:r w:rsidRPr="00E27443">
        <w:t>stations</w:t>
      </w:r>
      <w:r w:rsidR="00C63F8F" w:rsidRPr="00E27443">
        <w:t xml:space="preserve"> </w:t>
      </w:r>
      <w:r w:rsidRPr="00E27443">
        <w:t>are</w:t>
      </w:r>
      <w:r w:rsidR="00C63F8F" w:rsidRPr="00E27443">
        <w:t xml:space="preserve"> </w:t>
      </w:r>
      <w:r w:rsidRPr="00E27443">
        <w:t>expected</w:t>
      </w:r>
      <w:r w:rsidR="00C63F8F" w:rsidRPr="00E27443">
        <w:t xml:space="preserve"> </w:t>
      </w:r>
      <w:r w:rsidRPr="00E27443">
        <w:t>to</w:t>
      </w:r>
      <w:r w:rsidR="00C63F8F" w:rsidRPr="00E27443">
        <w:t xml:space="preserve"> </w:t>
      </w:r>
      <w:r w:rsidRPr="00E27443">
        <w:t>be</w:t>
      </w:r>
      <w:r w:rsidR="00C63F8F" w:rsidRPr="00E27443">
        <w:t xml:space="preserve"> </w:t>
      </w:r>
      <w:r w:rsidRPr="00E27443">
        <w:t>completed</w:t>
      </w:r>
      <w:r w:rsidR="00C63F8F" w:rsidRPr="00E27443">
        <w:t xml:space="preserve"> </w:t>
      </w:r>
      <w:r w:rsidRPr="00E27443">
        <w:t>during</w:t>
      </w:r>
      <w:r w:rsidR="00C63F8F" w:rsidRPr="00E27443">
        <w:t xml:space="preserve"> </w:t>
      </w:r>
      <w:r w:rsidRPr="00E27443">
        <w:t>2011.</w:t>
      </w:r>
      <w:r w:rsidR="00C63F8F" w:rsidRPr="00E27443">
        <w:t xml:space="preserve"> </w:t>
      </w:r>
      <w:r w:rsidRPr="00E27443">
        <w:t>This</w:t>
      </w:r>
      <w:r w:rsidR="00C63F8F" w:rsidRPr="00E27443">
        <w:t xml:space="preserve"> </w:t>
      </w:r>
      <w:r w:rsidRPr="00E27443">
        <w:t>applies</w:t>
      </w:r>
      <w:r w:rsidR="00C63F8F" w:rsidRPr="00E27443">
        <w:t xml:space="preserve"> </w:t>
      </w:r>
      <w:r w:rsidRPr="00E27443">
        <w:t>both</w:t>
      </w:r>
      <w:r w:rsidR="00C63F8F" w:rsidRPr="00E27443">
        <w:t xml:space="preserve"> </w:t>
      </w:r>
      <w:r w:rsidRPr="00E27443">
        <w:t>to</w:t>
      </w:r>
      <w:r w:rsidR="00C63F8F" w:rsidRPr="00E27443">
        <w:t xml:space="preserve"> </w:t>
      </w:r>
      <w:r w:rsidRPr="00E27443">
        <w:t>that</w:t>
      </w:r>
      <w:r w:rsidR="00C63F8F" w:rsidRPr="00E27443">
        <w:t xml:space="preserve"> </w:t>
      </w:r>
      <w:r w:rsidRPr="00E27443">
        <w:t>which</w:t>
      </w:r>
      <w:r w:rsidR="00C63F8F" w:rsidRPr="00E27443">
        <w:t xml:space="preserve"> </w:t>
      </w:r>
      <w:r w:rsidRPr="00E27443">
        <w:t>is</w:t>
      </w:r>
      <w:r w:rsidR="00C63F8F" w:rsidRPr="00E27443">
        <w:t xml:space="preserve"> </w:t>
      </w:r>
      <w:r w:rsidRPr="00E27443">
        <w:t>defined</w:t>
      </w:r>
      <w:r w:rsidR="00C63F8F" w:rsidRPr="00E27443">
        <w:t xml:space="preserve"> </w:t>
      </w:r>
      <w:r w:rsidRPr="00E27443">
        <w:t>as</w:t>
      </w:r>
      <w:r w:rsidR="00C63F8F" w:rsidRPr="00E27443">
        <w:t xml:space="preserve"> </w:t>
      </w:r>
      <w:r w:rsidRPr="00E27443">
        <w:t>infrastructure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other</w:t>
      </w:r>
      <w:r w:rsidR="00C63F8F" w:rsidRPr="00E27443">
        <w:t xml:space="preserve"> </w:t>
      </w:r>
      <w:r w:rsidRPr="00E27443">
        <w:t>parts</w:t>
      </w:r>
      <w:r w:rsidR="00C63F8F" w:rsidRPr="00E27443">
        <w:t xml:space="preserve"> </w:t>
      </w:r>
      <w:r w:rsidRPr="00E27443">
        <w:t>of</w:t>
      </w:r>
      <w:r w:rsidR="00C63F8F" w:rsidRPr="00E27443">
        <w:t xml:space="preserve"> </w:t>
      </w:r>
      <w:r w:rsidRPr="00E27443">
        <w:t>the</w:t>
      </w:r>
      <w:r w:rsidR="00C63F8F" w:rsidRPr="00E27443">
        <w:t xml:space="preserve"> </w:t>
      </w:r>
      <w:r w:rsidRPr="00E27443">
        <w:t>station</w:t>
      </w:r>
      <w:r w:rsidR="00C63F8F" w:rsidRPr="00E27443">
        <w:t xml:space="preserve"> </w:t>
      </w:r>
      <w:r w:rsidRPr="00E27443">
        <w:t>property.</w:t>
      </w:r>
      <w:r w:rsidR="00C63F8F" w:rsidRPr="00E27443">
        <w:t xml:space="preserve"> </w:t>
      </w:r>
      <w:r w:rsidRPr="00E27443">
        <w:t>When</w:t>
      </w:r>
      <w:r w:rsidR="00C63F8F" w:rsidRPr="00E27443">
        <w:t xml:space="preserve"> </w:t>
      </w:r>
      <w:r w:rsidRPr="00E27443">
        <w:t>150</w:t>
      </w:r>
      <w:r w:rsidR="00C63F8F" w:rsidRPr="00E27443">
        <w:t xml:space="preserve"> </w:t>
      </w:r>
      <w:r w:rsidRPr="00E27443">
        <w:t>railway</w:t>
      </w:r>
      <w:r w:rsidR="00C63F8F" w:rsidRPr="00E27443">
        <w:t xml:space="preserve"> </w:t>
      </w:r>
      <w:r w:rsidRPr="00E27443">
        <w:t>stations</w:t>
      </w:r>
      <w:r w:rsidR="00C63F8F" w:rsidRPr="00E27443">
        <w:t xml:space="preserve"> </w:t>
      </w:r>
      <w:r w:rsidRPr="00E27443">
        <w:t>are</w:t>
      </w:r>
      <w:r w:rsidR="00C63F8F" w:rsidRPr="00E27443">
        <w:t xml:space="preserve"> </w:t>
      </w:r>
      <w:r w:rsidRPr="00E27443">
        <w:t>accessible,</w:t>
      </w:r>
      <w:r w:rsidR="00C63F8F" w:rsidRPr="00E27443">
        <w:t xml:space="preserve"> </w:t>
      </w:r>
      <w:r w:rsidRPr="00E27443">
        <w:t>the</w:t>
      </w:r>
      <w:r w:rsidR="00C63F8F" w:rsidRPr="00E27443">
        <w:t xml:space="preserve"> </w:t>
      </w:r>
      <w:r w:rsidRPr="00E27443">
        <w:t>vast</w:t>
      </w:r>
      <w:r w:rsidR="00C63F8F" w:rsidRPr="00E27443">
        <w:t xml:space="preserve"> </w:t>
      </w:r>
      <w:r w:rsidRPr="00E27443">
        <w:t>majority</w:t>
      </w:r>
      <w:r w:rsidR="00C63F8F" w:rsidRPr="00E27443">
        <w:t xml:space="preserve"> </w:t>
      </w:r>
      <w:r w:rsidRPr="00E27443">
        <w:t>of</w:t>
      </w:r>
      <w:r w:rsidR="00C63F8F" w:rsidRPr="00E27443">
        <w:t xml:space="preserve"> </w:t>
      </w:r>
      <w:r w:rsidRPr="00E27443">
        <w:t>railway</w:t>
      </w:r>
      <w:r w:rsidR="00C63F8F" w:rsidRPr="00E27443">
        <w:t xml:space="preserve"> </w:t>
      </w:r>
      <w:r w:rsidRPr="00E27443">
        <w:t>journeys</w:t>
      </w:r>
      <w:r w:rsidR="00C63F8F" w:rsidRPr="00E27443">
        <w:t xml:space="preserve"> </w:t>
      </w:r>
      <w:r w:rsidRPr="00E27443">
        <w:t>will</w:t>
      </w:r>
      <w:r w:rsidR="00C63F8F" w:rsidRPr="00E27443">
        <w:t xml:space="preserve"> </w:t>
      </w:r>
      <w:r w:rsidRPr="00E27443">
        <w:t>be</w:t>
      </w:r>
      <w:r w:rsidR="00C63F8F" w:rsidRPr="00E27443">
        <w:t xml:space="preserve"> </w:t>
      </w:r>
      <w:r w:rsidRPr="00E27443">
        <w:t>able</w:t>
      </w:r>
      <w:r w:rsidR="00C63F8F" w:rsidRPr="00E27443">
        <w:t xml:space="preserve"> </w:t>
      </w:r>
      <w:r w:rsidRPr="00E27443">
        <w:t>to</w:t>
      </w:r>
      <w:r w:rsidR="00C63F8F" w:rsidRPr="00E27443">
        <w:t xml:space="preserve"> </w:t>
      </w:r>
      <w:r w:rsidRPr="00E27443">
        <w:t>be</w:t>
      </w:r>
      <w:r w:rsidR="00C63F8F" w:rsidRPr="00E27443">
        <w:t xml:space="preserve"> </w:t>
      </w:r>
      <w:r w:rsidRPr="00E27443">
        <w:t>made</w:t>
      </w:r>
      <w:r w:rsidR="00C63F8F" w:rsidRPr="00E27443">
        <w:t xml:space="preserve"> </w:t>
      </w:r>
      <w:r w:rsidRPr="00E27443">
        <w:t>to</w:t>
      </w:r>
      <w:r w:rsidR="00C63F8F" w:rsidRPr="00E27443">
        <w:t xml:space="preserve"> </w:t>
      </w:r>
      <w:r w:rsidRPr="00E27443">
        <w:t>and</w:t>
      </w:r>
      <w:r w:rsidR="00C63F8F" w:rsidRPr="00E27443">
        <w:t xml:space="preserve"> </w:t>
      </w:r>
      <w:r w:rsidRPr="00E27443">
        <w:t>from</w:t>
      </w:r>
      <w:r w:rsidR="00C63F8F" w:rsidRPr="00E27443">
        <w:t xml:space="preserve"> </w:t>
      </w:r>
      <w:r w:rsidRPr="00E27443">
        <w:t>such</w:t>
      </w:r>
      <w:r w:rsidR="00C63F8F" w:rsidRPr="00E27443">
        <w:t xml:space="preserve"> </w:t>
      </w:r>
      <w:r w:rsidRPr="00E27443">
        <w:t>stations.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There</w:t>
      </w:r>
      <w:r w:rsidR="00C63F8F" w:rsidRPr="00E27443">
        <w:t xml:space="preserve"> </w:t>
      </w:r>
      <w:r w:rsidRPr="00E27443">
        <w:t>have</w:t>
      </w:r>
      <w:r w:rsidR="00C63F8F" w:rsidRPr="00E27443">
        <w:t xml:space="preserve"> </w:t>
      </w:r>
      <w:r w:rsidRPr="00E27443">
        <w:t>also</w:t>
      </w:r>
      <w:r w:rsidR="00C63F8F" w:rsidRPr="00E27443">
        <w:t xml:space="preserve"> </w:t>
      </w:r>
      <w:r w:rsidRPr="00E27443">
        <w:t>been</w:t>
      </w:r>
      <w:r w:rsidR="00C63F8F" w:rsidRPr="00E27443">
        <w:t xml:space="preserve"> </w:t>
      </w:r>
      <w:r w:rsidRPr="00E27443">
        <w:t>major</w:t>
      </w:r>
      <w:r w:rsidR="00C63F8F" w:rsidRPr="00E27443">
        <w:t xml:space="preserve"> </w:t>
      </w:r>
      <w:r w:rsidRPr="00E27443">
        <w:t>improvements</w:t>
      </w:r>
      <w:r w:rsidR="00C63F8F" w:rsidRPr="00E27443">
        <w:t xml:space="preserve"> </w:t>
      </w:r>
      <w:r w:rsidRPr="00E27443">
        <w:t>aimed</w:t>
      </w:r>
      <w:r w:rsidR="00C63F8F" w:rsidRPr="00E27443">
        <w:t xml:space="preserve"> </w:t>
      </w:r>
      <w:r w:rsidRPr="00E27443">
        <w:t>at</w:t>
      </w:r>
      <w:r w:rsidR="00C63F8F" w:rsidRPr="00E27443">
        <w:t xml:space="preserve"> </w:t>
      </w:r>
      <w:r w:rsidRPr="00E27443">
        <w:t>increasing</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the</w:t>
      </w:r>
      <w:r w:rsidR="00C63F8F" w:rsidRPr="00E27443">
        <w:t xml:space="preserve"> </w:t>
      </w:r>
      <w:r w:rsidRPr="00E75253">
        <w:t>road</w:t>
      </w:r>
      <w:r w:rsidR="00C63F8F" w:rsidRPr="00E75253">
        <w:t xml:space="preserve"> </w:t>
      </w:r>
      <w:r w:rsidRPr="00E75253">
        <w:t>transport</w:t>
      </w:r>
      <w:r w:rsidR="00C63F8F" w:rsidRPr="00E75253">
        <w:t xml:space="preserve"> </w:t>
      </w:r>
      <w:r w:rsidRPr="00E75253">
        <w:t>system</w:t>
      </w:r>
      <w:r w:rsidR="00C63F8F" w:rsidRPr="00E27443">
        <w:t xml:space="preserve"> </w:t>
      </w:r>
      <w:r w:rsidRPr="00E27443">
        <w:t>over</w:t>
      </w:r>
      <w:r w:rsidR="00C63F8F" w:rsidRPr="00E27443">
        <w:t xml:space="preserve"> </w:t>
      </w:r>
      <w:r w:rsidRPr="00E27443">
        <w:t>the</w:t>
      </w:r>
      <w:r w:rsidR="00C63F8F" w:rsidRPr="00E27443">
        <w:t xml:space="preserve"> </w:t>
      </w:r>
      <w:r w:rsidRPr="00E27443">
        <w:t>past</w:t>
      </w:r>
      <w:r w:rsidR="00C63F8F" w:rsidRPr="00E27443">
        <w:t xml:space="preserve"> </w:t>
      </w:r>
      <w:r w:rsidRPr="00E27443">
        <w:t>ten</w:t>
      </w:r>
      <w:r w:rsidR="00C63F8F" w:rsidRPr="00E27443">
        <w:t xml:space="preserve"> </w:t>
      </w:r>
      <w:r w:rsidRPr="00E27443">
        <w:t>years.</w:t>
      </w:r>
      <w:r w:rsidR="00C63F8F" w:rsidRPr="00E27443">
        <w:t xml:space="preserve"> </w:t>
      </w:r>
      <w:r w:rsidRPr="00E27443">
        <w:t>More</w:t>
      </w:r>
      <w:r w:rsidR="00C63F8F" w:rsidRPr="00E27443">
        <w:t xml:space="preserve"> </w:t>
      </w:r>
      <w:r w:rsidRPr="00E27443">
        <w:t>than</w:t>
      </w:r>
      <w:r w:rsidR="00C63F8F" w:rsidRPr="00E27443">
        <w:t xml:space="preserve"> </w:t>
      </w:r>
      <w:r w:rsidRPr="00E27443">
        <w:t>half</w:t>
      </w:r>
      <w:r w:rsidR="00C63F8F" w:rsidRPr="00E27443">
        <w:t xml:space="preserve"> </w:t>
      </w:r>
      <w:r w:rsidRPr="00E27443">
        <w:t>of</w:t>
      </w:r>
      <w:r w:rsidR="00C63F8F" w:rsidRPr="00E27443">
        <w:t xml:space="preserve"> </w:t>
      </w:r>
      <w:r w:rsidRPr="00E27443">
        <w:t>all</w:t>
      </w:r>
      <w:r w:rsidR="00C63F8F" w:rsidRPr="00E27443">
        <w:t xml:space="preserve"> </w:t>
      </w:r>
      <w:r w:rsidRPr="00E27443">
        <w:t>bus-stops</w:t>
      </w:r>
      <w:r w:rsidR="00C63F8F" w:rsidRPr="00E27443">
        <w:t xml:space="preserve"> </w:t>
      </w:r>
      <w:r w:rsidRPr="00E27443">
        <w:t>in</w:t>
      </w:r>
      <w:r w:rsidR="00C63F8F" w:rsidRPr="00E27443">
        <w:t xml:space="preserve"> </w:t>
      </w:r>
      <w:r w:rsidRPr="00E27443">
        <w:t>the</w:t>
      </w:r>
      <w:r w:rsidR="00C63F8F" w:rsidRPr="00E27443">
        <w:t xml:space="preserve"> </w:t>
      </w:r>
      <w:r w:rsidRPr="00E27443">
        <w:t>national</w:t>
      </w:r>
      <w:r w:rsidR="00C63F8F" w:rsidRPr="00E27443">
        <w:t xml:space="preserve"> </w:t>
      </w:r>
      <w:r w:rsidRPr="00E27443">
        <w:t>road</w:t>
      </w:r>
      <w:r w:rsidR="00C63F8F" w:rsidRPr="00E27443">
        <w:t xml:space="preserve"> </w:t>
      </w:r>
      <w:r w:rsidRPr="00E27443">
        <w:t>network</w:t>
      </w:r>
      <w:r w:rsidR="00C63F8F" w:rsidRPr="00E27443">
        <w:t xml:space="preserve"> </w:t>
      </w:r>
      <w:r w:rsidRPr="00E27443">
        <w:t>have</w:t>
      </w:r>
      <w:r w:rsidR="00C63F8F" w:rsidRPr="00E27443">
        <w:t xml:space="preserve"> </w:t>
      </w:r>
      <w:r w:rsidRPr="00E27443">
        <w:t>been</w:t>
      </w:r>
      <w:r w:rsidR="00C63F8F" w:rsidRPr="00E27443">
        <w:t xml:space="preserve"> </w:t>
      </w:r>
      <w:r w:rsidRPr="00E27443">
        <w:t>converted</w:t>
      </w:r>
      <w:r w:rsidR="00C63F8F" w:rsidRPr="00E27443">
        <w:t xml:space="preserve"> </w:t>
      </w:r>
      <w:r w:rsidRPr="00E27443">
        <w:t>to</w:t>
      </w:r>
      <w:r w:rsidR="00C63F8F" w:rsidRPr="00E27443">
        <w:t xml:space="preserve"> </w:t>
      </w:r>
      <w:r w:rsidRPr="00E27443">
        <w:t>make</w:t>
      </w:r>
      <w:r w:rsidR="00C63F8F" w:rsidRPr="00E27443">
        <w:t xml:space="preserve"> </w:t>
      </w:r>
      <w:r w:rsidRPr="00E27443">
        <w:t>it</w:t>
      </w:r>
      <w:r w:rsidR="00C63F8F" w:rsidRPr="00E27443">
        <w:t xml:space="preserve"> </w:t>
      </w:r>
      <w:r w:rsidRPr="00E27443">
        <w:t>possible</w:t>
      </w:r>
      <w:r w:rsidR="00C63F8F" w:rsidRPr="00E27443">
        <w:t xml:space="preserve"> </w:t>
      </w:r>
      <w:r w:rsidRPr="00E27443">
        <w:t>for</w:t>
      </w:r>
      <w:r w:rsidR="00C63F8F" w:rsidRPr="00E27443">
        <w:t xml:space="preserve"> </w:t>
      </w:r>
      <w:r w:rsidRPr="00E27443">
        <w:t>more</w:t>
      </w:r>
      <w:r w:rsidR="00C63F8F" w:rsidRPr="00E27443">
        <w:t xml:space="preserve"> </w:t>
      </w:r>
      <w:r w:rsidRPr="00E27443">
        <w:t>and</w:t>
      </w:r>
      <w:r w:rsidR="00C63F8F" w:rsidRPr="00E27443">
        <w:t xml:space="preserve"> </w:t>
      </w:r>
      <w:r w:rsidRPr="00E27443">
        <w:t>more</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travel</w:t>
      </w:r>
      <w:r w:rsidR="00C63F8F" w:rsidRPr="00E27443">
        <w:t xml:space="preserve"> </w:t>
      </w:r>
      <w:r w:rsidRPr="00E27443">
        <w:t>by</w:t>
      </w:r>
      <w:r w:rsidR="00C63F8F" w:rsidRPr="00E27443">
        <w:t xml:space="preserve"> </w:t>
      </w:r>
      <w:r w:rsidRPr="00E27443">
        <w:t>bus.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alongside</w:t>
      </w:r>
      <w:r w:rsidR="00C63F8F" w:rsidRPr="00E27443">
        <w:t xml:space="preserve"> </w:t>
      </w:r>
      <w:r w:rsidRPr="00E27443">
        <w:t>the</w:t>
      </w:r>
      <w:r w:rsidR="00C63F8F" w:rsidRPr="00E27443">
        <w:t xml:space="preserve"> </w:t>
      </w:r>
      <w:r w:rsidRPr="00E27443">
        <w:t>Swedish</w:t>
      </w:r>
      <w:r w:rsidR="00C63F8F" w:rsidRPr="00E27443">
        <w:t xml:space="preserve"> </w:t>
      </w:r>
      <w:r w:rsidRPr="00E27443">
        <w:t>Transport</w:t>
      </w:r>
      <w:r w:rsidR="00C63F8F" w:rsidRPr="00E27443">
        <w:t xml:space="preserve"> </w:t>
      </w:r>
      <w:r w:rsidRPr="00E27443">
        <w:t>Administration,</w:t>
      </w:r>
      <w:r w:rsidR="00C63F8F" w:rsidRPr="00E27443">
        <w:t xml:space="preserve"> </w:t>
      </w:r>
      <w:r w:rsidRPr="00E27443">
        <w:t>is</w:t>
      </w:r>
      <w:r w:rsidR="00C63F8F" w:rsidRPr="00E27443">
        <w:t xml:space="preserve"> </w:t>
      </w:r>
      <w:r w:rsidRPr="00E27443">
        <w:t>planning</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number</w:t>
      </w:r>
      <w:r w:rsidR="00C63F8F" w:rsidRPr="00E27443">
        <w:t xml:space="preserve"> </w:t>
      </w:r>
      <w:r w:rsidRPr="00E27443">
        <w:t>of</w:t>
      </w:r>
      <w:r w:rsidR="00C63F8F" w:rsidRPr="00E27443">
        <w:t xml:space="preserve"> </w:t>
      </w:r>
      <w:r w:rsidRPr="00E27443">
        <w:t>accessible</w:t>
      </w:r>
      <w:r w:rsidR="00C63F8F" w:rsidRPr="00E27443">
        <w:t xml:space="preserve"> </w:t>
      </w:r>
      <w:r w:rsidRPr="00E27443">
        <w:t>railway</w:t>
      </w:r>
      <w:r w:rsidR="00C63F8F" w:rsidRPr="00E27443">
        <w:t xml:space="preserve"> </w:t>
      </w:r>
      <w:r w:rsidRPr="00E27443">
        <w:t>stations</w:t>
      </w:r>
      <w:r w:rsidR="00C63F8F" w:rsidRPr="00E27443">
        <w:t xml:space="preserve"> </w:t>
      </w:r>
      <w:r w:rsidRPr="00E27443">
        <w:t>and</w:t>
      </w:r>
      <w:r w:rsidR="00C63F8F" w:rsidRPr="00E27443">
        <w:t xml:space="preserve"> </w:t>
      </w:r>
      <w:r w:rsidRPr="00E27443">
        <w:t>bus-stops</w:t>
      </w:r>
      <w:r w:rsidR="00C63F8F" w:rsidRPr="00E27443">
        <w:t xml:space="preserve"> </w:t>
      </w:r>
      <w:r w:rsidRPr="00E27443">
        <w:t>successively</w:t>
      </w:r>
      <w:r w:rsidR="00C63F8F" w:rsidRPr="00E27443">
        <w:t xml:space="preserve"> </w:t>
      </w:r>
      <w:r w:rsidRPr="00E27443">
        <w:t>over</w:t>
      </w:r>
      <w:r w:rsidR="00C63F8F" w:rsidRPr="00E27443">
        <w:t xml:space="preserve"> </w:t>
      </w:r>
      <w:r w:rsidRPr="00E27443">
        <w:t>the</w:t>
      </w:r>
      <w:r w:rsidR="00C63F8F" w:rsidRPr="00E27443">
        <w:t xml:space="preserve"> </w:t>
      </w:r>
      <w:r w:rsidRPr="00E27443">
        <w:t>next</w:t>
      </w:r>
      <w:r w:rsidR="00C63F8F" w:rsidRPr="00E27443">
        <w:t xml:space="preserve"> </w:t>
      </w:r>
      <w:r w:rsidRPr="00E27443">
        <w:t>few</w:t>
      </w:r>
      <w:r w:rsidR="00C63F8F" w:rsidRPr="00E27443">
        <w:t xml:space="preserve"> </w:t>
      </w:r>
      <w:r w:rsidRPr="00E27443">
        <w:t>years,</w:t>
      </w:r>
      <w:r w:rsidR="00C63F8F" w:rsidRPr="00E27443">
        <w:t xml:space="preserve"> </w:t>
      </w:r>
      <w:r w:rsidRPr="00E27443">
        <w:t>and</w:t>
      </w:r>
      <w:r w:rsidR="00C63F8F" w:rsidRPr="00E27443">
        <w:t xml:space="preserve"> </w:t>
      </w:r>
      <w:r w:rsidRPr="00E27443">
        <w:t>for</w:t>
      </w:r>
      <w:r w:rsidR="00C63F8F" w:rsidRPr="00E27443">
        <w:t xml:space="preserve"> </w:t>
      </w:r>
      <w:r w:rsidRPr="00E27443">
        <w:t>those</w:t>
      </w:r>
      <w:r w:rsidR="00C63F8F" w:rsidRPr="00E27443">
        <w:t xml:space="preserve"> </w:t>
      </w:r>
      <w:r w:rsidRPr="00E27443">
        <w:t>railway</w:t>
      </w:r>
      <w:r w:rsidR="00C63F8F" w:rsidRPr="00E27443">
        <w:t xml:space="preserve"> </w:t>
      </w:r>
      <w:r w:rsidRPr="00E27443">
        <w:t>stations</w:t>
      </w:r>
      <w:r w:rsidR="00C63F8F" w:rsidRPr="00E27443">
        <w:t xml:space="preserve"> </w:t>
      </w:r>
      <w:r w:rsidRPr="00E27443">
        <w:t>and</w:t>
      </w:r>
      <w:r w:rsidR="00C63F8F" w:rsidRPr="00E27443">
        <w:t xml:space="preserve"> </w:t>
      </w:r>
      <w:r w:rsidRPr="00E27443">
        <w:t>bus-stops</w:t>
      </w:r>
      <w:r w:rsidR="00C63F8F" w:rsidRPr="00E27443">
        <w:t xml:space="preserve"> </w:t>
      </w:r>
      <w:r w:rsidRPr="00E27443">
        <w:t>that</w:t>
      </w:r>
      <w:r w:rsidR="00C63F8F" w:rsidRPr="00E27443">
        <w:t xml:space="preserve"> </w:t>
      </w:r>
      <w:r w:rsidRPr="00E27443">
        <w:t>have</w:t>
      </w:r>
      <w:r w:rsidR="00C63F8F" w:rsidRPr="00E27443">
        <w:t xml:space="preserve"> </w:t>
      </w:r>
      <w:r w:rsidRPr="00E27443">
        <w:t>the</w:t>
      </w:r>
      <w:r w:rsidR="00C63F8F" w:rsidRPr="00E27443">
        <w:t xml:space="preserve"> </w:t>
      </w:r>
      <w:r w:rsidRPr="00E27443">
        <w:t>greatest</w:t>
      </w:r>
      <w:r w:rsidR="00C63F8F" w:rsidRPr="00E27443">
        <w:t xml:space="preserve"> </w:t>
      </w:r>
      <w:r w:rsidRPr="00E27443">
        <w:t>numbers</w:t>
      </w:r>
      <w:r w:rsidR="00C63F8F" w:rsidRPr="00E27443">
        <w:t xml:space="preserve"> </w:t>
      </w:r>
      <w:r w:rsidRPr="00E27443">
        <w:t>of</w:t>
      </w:r>
      <w:r w:rsidR="00C63F8F" w:rsidRPr="00E27443">
        <w:t xml:space="preserve"> </w:t>
      </w:r>
      <w:r w:rsidRPr="00E27443">
        <w:t>passengers</w:t>
      </w:r>
      <w:r w:rsidR="00C63F8F" w:rsidRPr="00E27443">
        <w:t xml:space="preserve"> </w:t>
      </w:r>
      <w:r w:rsidRPr="00E27443">
        <w:t>to</w:t>
      </w:r>
      <w:r w:rsidR="00C63F8F" w:rsidRPr="00E27443">
        <w:t xml:space="preserve"> </w:t>
      </w:r>
      <w:r w:rsidRPr="00E27443">
        <w:t>be</w:t>
      </w:r>
      <w:r w:rsidR="00C63F8F" w:rsidRPr="00E27443">
        <w:t xml:space="preserve"> </w:t>
      </w:r>
      <w:r w:rsidRPr="00E27443">
        <w:t>rectified</w:t>
      </w:r>
      <w:r w:rsidR="00C63F8F" w:rsidRPr="00E27443">
        <w:t xml:space="preserve"> </w:t>
      </w:r>
      <w:r w:rsidRPr="00E27443">
        <w:t>first.</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Local</w:t>
      </w:r>
      <w:r w:rsidR="00C63F8F" w:rsidRPr="00E27443">
        <w:t xml:space="preserve"> </w:t>
      </w:r>
      <w:r w:rsidRPr="00E27443">
        <w:t>and</w:t>
      </w:r>
      <w:r w:rsidR="00C63F8F" w:rsidRPr="00E27443">
        <w:t xml:space="preserve"> </w:t>
      </w:r>
      <w:r w:rsidRPr="00E27443">
        <w:t>regional</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is</w:t>
      </w:r>
      <w:r w:rsidR="00C63F8F" w:rsidRPr="00E27443">
        <w:t xml:space="preserve"> </w:t>
      </w:r>
      <w:r w:rsidRPr="00E27443">
        <w:t>the</w:t>
      </w:r>
      <w:r w:rsidR="00C63F8F" w:rsidRPr="00E27443">
        <w:t xml:space="preserve"> </w:t>
      </w:r>
      <w:r w:rsidRPr="00E27443">
        <w:t>responsibility</w:t>
      </w:r>
      <w:r w:rsidR="00C63F8F" w:rsidRPr="00E27443">
        <w:t xml:space="preserve"> </w:t>
      </w:r>
      <w:r w:rsidRPr="00E27443">
        <w:t>of</w:t>
      </w:r>
      <w:r w:rsidR="00C63F8F" w:rsidRPr="00E27443">
        <w:t xml:space="preserve"> </w:t>
      </w:r>
      <w:r w:rsidRPr="00E27443">
        <w:t>the</w:t>
      </w:r>
      <w:r w:rsidR="00C63F8F" w:rsidRPr="00E27443">
        <w:t xml:space="preserve"> </w:t>
      </w:r>
      <w:r w:rsidRPr="00E27443">
        <w:t>country</w:t>
      </w:r>
      <w:r w:rsidR="00C63F8F" w:rsidRPr="00E27443">
        <w:t>’</w:t>
      </w:r>
      <w:r w:rsidRPr="00E27443">
        <w:t>s</w:t>
      </w:r>
      <w:r w:rsidR="00C63F8F" w:rsidRPr="00E27443">
        <w:t xml:space="preserve"> </w:t>
      </w:r>
      <w:r w:rsidR="000312F5" w:rsidRPr="00E27443">
        <w:t>muni</w:t>
      </w:r>
      <w:r w:rsidRPr="00E27443">
        <w:t>cipalities,</w:t>
      </w:r>
      <w:r w:rsidR="00C63F8F" w:rsidRPr="00E27443">
        <w:t xml:space="preserve"> </w:t>
      </w:r>
      <w:r w:rsidRPr="00E27443">
        <w:t>and</w:t>
      </w:r>
      <w:r w:rsidR="00C63F8F" w:rsidRPr="00E27443">
        <w:t xml:space="preserve"> </w:t>
      </w:r>
      <w:r w:rsidRPr="00E27443">
        <w:t>they</w:t>
      </w:r>
      <w:r w:rsidR="00C63F8F" w:rsidRPr="00E27443">
        <w:t xml:space="preserve"> </w:t>
      </w:r>
      <w:r w:rsidRPr="00E27443">
        <w:t>are</w:t>
      </w:r>
      <w:r w:rsidR="00C63F8F" w:rsidRPr="00E27443">
        <w:t xml:space="preserve"> </w:t>
      </w:r>
      <w:r w:rsidRPr="00E27443">
        <w:t>performing</w:t>
      </w:r>
      <w:r w:rsidR="00C63F8F" w:rsidRPr="00E27443">
        <w:t xml:space="preserve"> </w:t>
      </w:r>
      <w:r w:rsidRPr="00E27443">
        <w:t>comprehensive</w:t>
      </w:r>
      <w:r w:rsidR="00C63F8F" w:rsidRPr="00E27443">
        <w:t xml:space="preserve"> </w:t>
      </w:r>
      <w:r w:rsidRPr="00E27443">
        <w:t>work</w:t>
      </w:r>
      <w:r w:rsidR="00C63F8F" w:rsidRPr="00E27443">
        <w:t xml:space="preserve"> </w:t>
      </w:r>
      <w:r w:rsidRPr="00E27443">
        <w:t>to</w:t>
      </w:r>
      <w:r w:rsidR="00C63F8F" w:rsidRPr="00E27443">
        <w:t xml:space="preserve"> </w:t>
      </w:r>
      <w:r w:rsidRPr="00E27443">
        <w:t>adapt</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to</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vehicles</w:t>
      </w:r>
      <w:r w:rsidR="00C63F8F" w:rsidRPr="00E27443">
        <w:t xml:space="preserve"> </w:t>
      </w:r>
      <w:r w:rsidRPr="00E27443">
        <w:t>are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an</w:t>
      </w:r>
      <w:r w:rsidR="00C63F8F" w:rsidRPr="00E27443">
        <w:t xml:space="preserve"> </w:t>
      </w:r>
      <w:r w:rsidRPr="00E27443">
        <w:t>increasingly</w:t>
      </w:r>
      <w:r w:rsidR="00C63F8F" w:rsidRPr="00E27443">
        <w:t xml:space="preserve"> </w:t>
      </w:r>
      <w:r w:rsidRPr="00E27443">
        <w:t>great</w:t>
      </w:r>
      <w:r w:rsidR="00C63F8F" w:rsidRPr="00E27443">
        <w:t xml:space="preserve"> </w:t>
      </w:r>
      <w:r w:rsidRPr="00E27443">
        <w:t>extent.</w:t>
      </w:r>
      <w:r w:rsidR="00C63F8F" w:rsidRPr="00E27443">
        <w:t xml:space="preserve"> </w:t>
      </w:r>
      <w:r w:rsidRPr="00E27443">
        <w:t>For</w:t>
      </w:r>
      <w:r w:rsidR="00C63F8F" w:rsidRPr="00E27443">
        <w:t xml:space="preserve"> </w:t>
      </w:r>
      <w:r w:rsidRPr="00E27443">
        <w:t>example,</w:t>
      </w:r>
      <w:r w:rsidR="00C63F8F" w:rsidRPr="00E27443">
        <w:t xml:space="preserve"> </w:t>
      </w:r>
      <w:r w:rsidRPr="00E27443">
        <w:t>two-thirds</w:t>
      </w:r>
      <w:r w:rsidR="00C63F8F" w:rsidRPr="00E27443">
        <w:t xml:space="preserve"> </w:t>
      </w:r>
      <w:r w:rsidRPr="00E27443">
        <w:t>of</w:t>
      </w:r>
      <w:r w:rsidR="00C63F8F" w:rsidRPr="00E27443">
        <w:t xml:space="preserve"> </w:t>
      </w:r>
      <w:r w:rsidRPr="00E27443">
        <w:t>the</w:t>
      </w:r>
      <w:r w:rsidR="00C63F8F" w:rsidRPr="00E27443">
        <w:t xml:space="preserve"> </w:t>
      </w:r>
      <w:r w:rsidRPr="00E27443">
        <w:t>buses</w:t>
      </w:r>
      <w:r w:rsidR="00C63F8F" w:rsidRPr="00E27443">
        <w:t xml:space="preserve"> </w:t>
      </w:r>
      <w:r w:rsidRPr="00E27443">
        <w:t>operating</w:t>
      </w:r>
      <w:r w:rsidR="00C63F8F" w:rsidRPr="00E27443">
        <w:t xml:space="preserve"> </w:t>
      </w:r>
      <w:r w:rsidRPr="00E27443">
        <w:t>local</w:t>
      </w:r>
      <w:r w:rsidR="00C63F8F" w:rsidRPr="00E27443">
        <w:t xml:space="preserve"> </w:t>
      </w:r>
      <w:r w:rsidRPr="00E27443">
        <w:t>services</w:t>
      </w:r>
      <w:r w:rsidR="00C63F8F" w:rsidRPr="00E27443">
        <w:t xml:space="preserve"> </w:t>
      </w:r>
      <w:r w:rsidRPr="00E27443">
        <w:t>are</w:t>
      </w:r>
      <w:r w:rsidR="00C63F8F" w:rsidRPr="00E27443">
        <w:t xml:space="preserve"> </w:t>
      </w:r>
      <w:r w:rsidRPr="00E27443">
        <w:t>low-floor</w:t>
      </w:r>
      <w:r w:rsidR="00C63F8F" w:rsidRPr="00E27443">
        <w:t xml:space="preserve"> </w:t>
      </w:r>
      <w:r w:rsidRPr="00E27443">
        <w:t>vehicles,</w:t>
      </w:r>
      <w:r w:rsidR="00C63F8F" w:rsidRPr="00E27443">
        <w:t xml:space="preserve"> </w:t>
      </w:r>
      <w:r w:rsidRPr="00E27443">
        <w:t>and</w:t>
      </w:r>
      <w:r w:rsidR="00C63F8F" w:rsidRPr="00E27443">
        <w:t xml:space="preserve"> </w:t>
      </w:r>
      <w:r w:rsidRPr="00E27443">
        <w:t>more</w:t>
      </w:r>
      <w:r w:rsidR="00C63F8F" w:rsidRPr="00E27443">
        <w:t xml:space="preserve"> </w:t>
      </w:r>
      <w:r w:rsidRPr="00E27443">
        <w:t>than</w:t>
      </w:r>
      <w:r w:rsidR="00C63F8F" w:rsidRPr="00E27443">
        <w:t xml:space="preserve"> </w:t>
      </w:r>
      <w:r w:rsidRPr="00E27443">
        <w:t>half</w:t>
      </w:r>
      <w:r w:rsidR="00C63F8F" w:rsidRPr="00E27443">
        <w:t xml:space="preserve"> </w:t>
      </w:r>
      <w:r w:rsidRPr="00E27443">
        <w:t>of</w:t>
      </w:r>
      <w:r w:rsidR="00C63F8F" w:rsidRPr="00E27443">
        <w:t xml:space="preserve"> </w:t>
      </w:r>
      <w:r w:rsidRPr="00E27443">
        <w:t>the</w:t>
      </w:r>
      <w:r w:rsidR="00C63F8F" w:rsidRPr="00E27443">
        <w:t xml:space="preserve"> </w:t>
      </w:r>
      <w:r w:rsidRPr="00E27443">
        <w:t>buses</w:t>
      </w:r>
      <w:r w:rsidR="00C63F8F" w:rsidRPr="00E27443">
        <w:t xml:space="preserve"> </w:t>
      </w:r>
      <w:r w:rsidRPr="00E27443">
        <w:t>have</w:t>
      </w:r>
      <w:r w:rsidR="00C63F8F" w:rsidRPr="00E27443">
        <w:t xml:space="preserve"> </w:t>
      </w:r>
      <w:r w:rsidRPr="00E27443">
        <w:t>automatic</w:t>
      </w:r>
      <w:r w:rsidR="00C63F8F" w:rsidRPr="00E27443">
        <w:t xml:space="preserve"> </w:t>
      </w:r>
      <w:r w:rsidRPr="00E27443">
        <w:t>stop</w:t>
      </w:r>
      <w:r w:rsidR="00C63F8F" w:rsidRPr="00E27443">
        <w:t xml:space="preserve"> </w:t>
      </w:r>
      <w:r w:rsidRPr="00E27443">
        <w:t>announcements.</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State</w:t>
      </w:r>
      <w:r w:rsidR="00C63F8F" w:rsidRPr="00E27443">
        <w:t xml:space="preserve"> </w:t>
      </w:r>
      <w:r w:rsidRPr="00E27443">
        <w:t>is</w:t>
      </w:r>
      <w:r w:rsidR="00C63F8F" w:rsidRPr="00E27443">
        <w:t xml:space="preserve"> </w:t>
      </w:r>
      <w:r w:rsidRPr="00E27443">
        <w:t>speeding</w:t>
      </w:r>
      <w:r w:rsidR="00C63F8F" w:rsidRPr="00E27443">
        <w:t xml:space="preserve"> </w:t>
      </w:r>
      <w:r w:rsidRPr="00E27443">
        <w:t>up</w:t>
      </w:r>
      <w:r w:rsidR="00C63F8F" w:rsidRPr="00E27443">
        <w:t xml:space="preserve"> </w:t>
      </w:r>
      <w:r w:rsidRPr="00E27443">
        <w:t>the</w:t>
      </w:r>
      <w:r w:rsidR="00C63F8F" w:rsidRPr="00E27443">
        <w:t xml:space="preserve"> </w:t>
      </w:r>
      <w:r w:rsidRPr="00E27443">
        <w:t>work</w:t>
      </w:r>
      <w:r w:rsidR="00C63F8F" w:rsidRPr="00E27443">
        <w:t xml:space="preserve"> </w:t>
      </w:r>
      <w:r w:rsidRPr="00E27443">
        <w:t>in</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by</w:t>
      </w:r>
      <w:r w:rsidR="00C63F8F" w:rsidRPr="00E27443">
        <w:t xml:space="preserve"> </w:t>
      </w:r>
      <w:r w:rsidRPr="00E27443">
        <w:t>providing</w:t>
      </w:r>
      <w:r w:rsidR="00C63F8F" w:rsidRPr="00E27443">
        <w:t xml:space="preserve"> </w:t>
      </w:r>
      <w:r w:rsidRPr="00E27443">
        <w:t>state</w:t>
      </w:r>
      <w:r w:rsidR="00C63F8F" w:rsidRPr="00E27443">
        <w:t xml:space="preserve"> </w:t>
      </w:r>
      <w:r w:rsidRPr="00E27443">
        <w:t>grants</w:t>
      </w:r>
      <w:r w:rsidR="00C63F8F" w:rsidRPr="00E27443">
        <w:t xml:space="preserve"> </w:t>
      </w:r>
      <w:r w:rsidRPr="00E27443">
        <w:t>for</w:t>
      </w:r>
      <w:r w:rsidR="00C63F8F" w:rsidRPr="00E27443">
        <w:t xml:space="preserve"> </w:t>
      </w:r>
      <w:r w:rsidRPr="00E27443">
        <w:t>vehicles,</w:t>
      </w:r>
      <w:r w:rsidR="00C63F8F" w:rsidRPr="00E27443">
        <w:t xml:space="preserve"> </w:t>
      </w:r>
      <w:r w:rsidRPr="00E27443">
        <w:t>terminals,</w:t>
      </w:r>
      <w:r w:rsidR="00C63F8F" w:rsidRPr="00E27443">
        <w:t xml:space="preserve"> </w:t>
      </w:r>
      <w:r w:rsidRPr="00E27443">
        <w:t>stops,</w:t>
      </w:r>
      <w:r w:rsidR="00C63F8F" w:rsidRPr="00E27443">
        <w:t xml:space="preserve"> </w:t>
      </w:r>
      <w:r w:rsidRPr="00E27443">
        <w:t>training,</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payment</w:t>
      </w:r>
      <w:r w:rsidR="00C63F8F" w:rsidRPr="00E27443">
        <w:t xml:space="preserve"> </w:t>
      </w:r>
      <w:r w:rsidRPr="00E27443">
        <w:t>systems,</w:t>
      </w:r>
      <w:r w:rsidR="00C63F8F" w:rsidRPr="00E27443">
        <w:t xml:space="preserve"> </w:t>
      </w:r>
      <w:r w:rsidRPr="00E27443">
        <w:t>pedestrian</w:t>
      </w:r>
      <w:r w:rsidR="00C63F8F" w:rsidRPr="00E27443">
        <w:t xml:space="preserve"> </w:t>
      </w:r>
      <w:r w:rsidRPr="00E27443">
        <w:t>and</w:t>
      </w:r>
      <w:r w:rsidR="00C63F8F" w:rsidRPr="00E27443">
        <w:t xml:space="preserve"> </w:t>
      </w:r>
      <w:r w:rsidRPr="00E27443">
        <w:t>cycle</w:t>
      </w:r>
      <w:r w:rsidR="00C63F8F" w:rsidRPr="00E27443">
        <w:t xml:space="preserve"> </w:t>
      </w:r>
      <w:r w:rsidRPr="00E27443">
        <w:t>paths,</w:t>
      </w:r>
      <w:r w:rsidR="00C63F8F" w:rsidRPr="00E27443">
        <w:t xml:space="preserve"> </w:t>
      </w:r>
      <w:r w:rsidRPr="00E27443">
        <w:t>wheelchair</w:t>
      </w:r>
      <w:r w:rsidR="00C63F8F" w:rsidRPr="00E27443">
        <w:t xml:space="preserve"> </w:t>
      </w:r>
      <w:r w:rsidRPr="00E27443">
        <w:t>lifts,</w:t>
      </w:r>
      <w:r w:rsidR="00C63F8F" w:rsidRPr="00E27443">
        <w:t xml:space="preserve"> </w:t>
      </w:r>
      <w:r w:rsidRPr="00E27443">
        <w:t>lifts,</w:t>
      </w:r>
      <w:r w:rsidR="00C63F8F" w:rsidRPr="00E27443">
        <w:t xml:space="preserve"> </w:t>
      </w:r>
      <w:r w:rsidRPr="00E27443">
        <w:t>co-ordination</w:t>
      </w:r>
      <w:r w:rsidR="00C63F8F" w:rsidRPr="00E27443">
        <w:t xml:space="preserve"> </w:t>
      </w:r>
      <w:r w:rsidRPr="00E27443">
        <w:t>measures,</w:t>
      </w:r>
      <w:r w:rsidR="00C63F8F" w:rsidRPr="00E27443">
        <w:t xml:space="preserve"> </w:t>
      </w:r>
      <w:r w:rsidRPr="00E27443">
        <w:t>etc.</w:t>
      </w:r>
      <w:r w:rsidR="00C63F8F" w:rsidRPr="00E27443">
        <w:t xml:space="preserve"> </w:t>
      </w:r>
      <w:r w:rsidRPr="00E27443">
        <w:t>As</w:t>
      </w:r>
      <w:r w:rsidR="00C63F8F" w:rsidRPr="00E27443">
        <w:t xml:space="preserve"> </w:t>
      </w:r>
      <w:r w:rsidRPr="00E27443">
        <w:t>a</w:t>
      </w:r>
      <w:r w:rsidR="00C63F8F" w:rsidRPr="00E27443">
        <w:t xml:space="preserve"> </w:t>
      </w:r>
      <w:r w:rsidRPr="00E27443">
        <w:t>rule,</w:t>
      </w:r>
      <w:r w:rsidR="00C63F8F" w:rsidRPr="00E27443">
        <w:t xml:space="preserve"> </w:t>
      </w:r>
      <w:r w:rsidRPr="00E27443">
        <w:t>the</w:t>
      </w:r>
      <w:r w:rsidR="00C63F8F" w:rsidRPr="00E27443">
        <w:t xml:space="preserve"> </w:t>
      </w:r>
      <w:r w:rsidRPr="00E27443">
        <w:t>State</w:t>
      </w:r>
      <w:r w:rsidR="00C63F8F" w:rsidRPr="00E27443">
        <w:t xml:space="preserve"> </w:t>
      </w:r>
      <w:r w:rsidRPr="00E27443">
        <w:t>pays</w:t>
      </w:r>
      <w:r w:rsidR="00C63F8F" w:rsidRPr="00E27443">
        <w:t xml:space="preserve"> </w:t>
      </w:r>
      <w:r w:rsidRPr="00E27443">
        <w:t>half</w:t>
      </w:r>
      <w:r w:rsidR="00C63F8F" w:rsidRPr="00E27443">
        <w:t xml:space="preserve"> </w:t>
      </w:r>
      <w:r w:rsidRPr="00E27443">
        <w:t>the</w:t>
      </w:r>
      <w:r w:rsidR="00C63F8F" w:rsidRPr="00E27443">
        <w:t xml:space="preserve"> </w:t>
      </w:r>
      <w:r w:rsidRPr="00E27443">
        <w:t>costs</w:t>
      </w:r>
      <w:r w:rsidR="00C63F8F" w:rsidRPr="00E27443">
        <w:t xml:space="preserve"> </w:t>
      </w:r>
      <w:r w:rsidRPr="00E27443">
        <w:t>for</w:t>
      </w:r>
      <w:r w:rsidR="00C63F8F" w:rsidRPr="00E27443">
        <w:t xml:space="preserve"> </w:t>
      </w:r>
      <w:r w:rsidRPr="00E27443">
        <w:t>each</w:t>
      </w:r>
      <w:r w:rsidR="00C63F8F" w:rsidRPr="00E27443">
        <w:t xml:space="preserve"> </w:t>
      </w:r>
      <w:r w:rsidRPr="00E27443">
        <w:t>measure.</w:t>
      </w:r>
      <w:r w:rsidR="00C63F8F" w:rsidRPr="00E27443">
        <w:t xml:space="preserve"> </w:t>
      </w:r>
      <w:r w:rsidRPr="00E27443">
        <w:t>However,</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is</w:t>
      </w:r>
      <w:r w:rsidR="00C63F8F" w:rsidRPr="00E27443">
        <w:t xml:space="preserve"> </w:t>
      </w:r>
      <w:r w:rsidRPr="00E27443">
        <w:t>accessible</w:t>
      </w:r>
      <w:r w:rsidR="00C63F8F" w:rsidRPr="00E27443">
        <w:t xml:space="preserve"> </w:t>
      </w:r>
      <w:r w:rsidRPr="00E27443">
        <w:t>to</w:t>
      </w:r>
      <w:r w:rsidR="00C63F8F" w:rsidRPr="00E27443">
        <w:t xml:space="preserve"> </w:t>
      </w:r>
      <w:r w:rsidRPr="00E27443">
        <w:t>varying</w:t>
      </w:r>
      <w:r w:rsidR="00C63F8F" w:rsidRPr="00E27443">
        <w:t xml:space="preserve"> </w:t>
      </w:r>
      <w:r w:rsidRPr="00E27443">
        <w:t>extents</w:t>
      </w:r>
      <w:r w:rsidR="00C63F8F" w:rsidRPr="00E27443">
        <w:t xml:space="preserve"> </w:t>
      </w:r>
      <w:r w:rsidRPr="00E27443">
        <w:t>in</w:t>
      </w:r>
      <w:r w:rsidR="00C63F8F" w:rsidRPr="00E27443">
        <w:t xml:space="preserve"> </w:t>
      </w:r>
      <w:r w:rsidRPr="00E27443">
        <w:t>different</w:t>
      </w:r>
      <w:r w:rsidR="00C63F8F" w:rsidRPr="00E27443">
        <w:t xml:space="preserve"> </w:t>
      </w:r>
      <w:r w:rsidRPr="00E27443">
        <w:t>counties</w:t>
      </w:r>
      <w:r w:rsidR="00C63F8F" w:rsidRPr="00E27443">
        <w:t xml:space="preserve"> </w:t>
      </w:r>
      <w:r w:rsidRPr="00E27443">
        <w:t>due</w:t>
      </w:r>
      <w:r w:rsidR="00C63F8F" w:rsidRPr="00E27443">
        <w:t xml:space="preserve"> </w:t>
      </w:r>
      <w:r w:rsidRPr="00E27443">
        <w:t>to</w:t>
      </w:r>
      <w:r w:rsidR="00C63F8F" w:rsidRPr="00E27443">
        <w:t xml:space="preserve"> </w:t>
      </w:r>
      <w:r w:rsidRPr="00E27443">
        <w:t>the</w:t>
      </w:r>
      <w:r w:rsidR="00C63F8F" w:rsidRPr="00E27443">
        <w:t xml:space="preserve"> </w:t>
      </w:r>
      <w:r w:rsidRPr="00E27443">
        <w:t>changing</w:t>
      </w:r>
      <w:r w:rsidR="00C63F8F" w:rsidRPr="00E27443">
        <w:t xml:space="preserve"> </w:t>
      </w:r>
      <w:r w:rsidRPr="00E27443">
        <w:t>conditions</w:t>
      </w:r>
      <w:r w:rsidR="00C63F8F" w:rsidRPr="00E27443">
        <w:t xml:space="preserve"> </w:t>
      </w:r>
      <w:r w:rsidRPr="00E27443">
        <w:t>in</w:t>
      </w:r>
      <w:r w:rsidR="00C63F8F" w:rsidRPr="00E27443">
        <w:t xml:space="preserve"> </w:t>
      </w:r>
      <w:r w:rsidRPr="00E27443">
        <w:t>different</w:t>
      </w:r>
      <w:r w:rsidR="00C63F8F" w:rsidRPr="00E27443">
        <w:t xml:space="preserve"> </w:t>
      </w:r>
      <w:r w:rsidRPr="00E27443">
        <w:t>parts</w:t>
      </w:r>
      <w:r w:rsidR="00C63F8F" w:rsidRPr="00E27443">
        <w:t xml:space="preserve"> </w:t>
      </w:r>
      <w:r w:rsidRPr="00E27443">
        <w:t>of</w:t>
      </w:r>
      <w:r w:rsidR="00C63F8F" w:rsidRPr="00E27443">
        <w:t xml:space="preserve"> </w:t>
      </w:r>
      <w:r w:rsidRPr="00E27443">
        <w:t>the</w:t>
      </w:r>
      <w:r w:rsidR="00C63F8F" w:rsidRPr="00E27443">
        <w:t xml:space="preserve"> </w:t>
      </w:r>
      <w:r w:rsidRPr="00E27443">
        <w:t>country.</w:t>
      </w:r>
    </w:p>
    <w:p w:rsidR="00321ADA" w:rsidRPr="00E27443" w:rsidRDefault="00321ADA" w:rsidP="00E75253">
      <w:pPr>
        <w:pStyle w:val="SingleTxtG"/>
        <w:numPr>
          <w:ilvl w:val="0"/>
          <w:numId w:val="20"/>
        </w:numPr>
        <w:tabs>
          <w:tab w:val="left" w:pos="1843"/>
        </w:tabs>
        <w:ind w:left="1134" w:firstLine="0"/>
      </w:pPr>
      <w:r w:rsidRPr="00E27443">
        <w:t>Over</w:t>
      </w:r>
      <w:r w:rsidR="00C63F8F" w:rsidRPr="00E27443">
        <w:t xml:space="preserve"> </w:t>
      </w:r>
      <w:r w:rsidRPr="00E27443">
        <w:t>the</w:t>
      </w:r>
      <w:r w:rsidR="00C63F8F" w:rsidRPr="00E27443">
        <w:t xml:space="preserve"> </w:t>
      </w:r>
      <w:r w:rsidRPr="00E27443">
        <w:t>past</w:t>
      </w:r>
      <w:r w:rsidR="00C63F8F" w:rsidRPr="00E27443">
        <w:t xml:space="preserve"> </w:t>
      </w:r>
      <w:r w:rsidRPr="00E27443">
        <w:t>10</w:t>
      </w:r>
      <w:r w:rsidR="00C63F8F" w:rsidRPr="00E27443">
        <w:t xml:space="preserve"> </w:t>
      </w:r>
      <w:r w:rsidRPr="00E27443">
        <w:t>years,</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have</w:t>
      </w:r>
      <w:r w:rsidR="00C63F8F" w:rsidRPr="00E27443">
        <w:t xml:space="preserve"> </w:t>
      </w:r>
      <w:r w:rsidRPr="00E27443">
        <w:t>conducted</w:t>
      </w:r>
      <w:r w:rsidR="00C63F8F" w:rsidRPr="00E27443">
        <w:t xml:space="preserve"> </w:t>
      </w:r>
      <w:r w:rsidRPr="00E27443">
        <w:t>a</w:t>
      </w:r>
      <w:r w:rsidR="00C63F8F" w:rsidRPr="00E27443">
        <w:t xml:space="preserve"> </w:t>
      </w:r>
      <w:r w:rsidRPr="00E27443">
        <w:t>range</w:t>
      </w:r>
      <w:r w:rsidR="00C63F8F" w:rsidRPr="00E27443">
        <w:t xml:space="preserve"> </w:t>
      </w:r>
      <w:r w:rsidRPr="00E27443">
        <w:t>of</w:t>
      </w:r>
      <w:r w:rsidR="00C63F8F" w:rsidRPr="00E27443">
        <w:t xml:space="preserve"> </w:t>
      </w:r>
      <w:r w:rsidRPr="00E27443">
        <w:t>projects</w:t>
      </w:r>
      <w:r w:rsidR="00C63F8F" w:rsidRPr="00E27443">
        <w:t xml:space="preserve"> </w:t>
      </w:r>
      <w:r w:rsidRPr="00E27443">
        <w:t>aimed</w:t>
      </w:r>
      <w:r w:rsidR="00C63F8F" w:rsidRPr="00E27443">
        <w:t xml:space="preserve"> </w:t>
      </w:r>
      <w:r w:rsidRPr="00E27443">
        <w:t>at</w:t>
      </w:r>
      <w:r w:rsidR="00C63F8F" w:rsidRPr="00E27443">
        <w:t xml:space="preserve"> </w:t>
      </w:r>
      <w:r w:rsidRPr="00E27443">
        <w:t>promoting</w:t>
      </w:r>
      <w:r w:rsidR="00C63F8F" w:rsidRPr="00E27443">
        <w:t xml:space="preserve"> </w:t>
      </w:r>
      <w:r w:rsidRPr="00E27443">
        <w:t>the</w:t>
      </w:r>
      <w:r w:rsidR="00C63F8F" w:rsidRPr="00E27443">
        <w:t xml:space="preserve"> </w:t>
      </w:r>
      <w:r w:rsidRPr="00E27443">
        <w:t>issue</w:t>
      </w:r>
      <w:r w:rsidR="00C63F8F" w:rsidRPr="00E27443">
        <w:t xml:space="preserve"> </w:t>
      </w:r>
      <w:r w:rsidRPr="00E27443">
        <w:t>of</w:t>
      </w:r>
      <w:r w:rsidR="00C63F8F" w:rsidRPr="00E27443">
        <w:t xml:space="preserve"> </w:t>
      </w:r>
      <w:r w:rsidRPr="00E27443">
        <w:t>making</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accessible,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integrate</w:t>
      </w:r>
      <w:r w:rsidR="00C63F8F" w:rsidRPr="00E27443">
        <w:t xml:space="preserve"> </w:t>
      </w:r>
      <w:r w:rsidRPr="00E27443">
        <w:t>the</w:t>
      </w:r>
      <w:r w:rsidR="00C63F8F" w:rsidRPr="00E27443">
        <w:t xml:space="preserve"> </w:t>
      </w:r>
      <w:r w:rsidRPr="00E27443">
        <w:t>work</w:t>
      </w:r>
      <w:r w:rsidR="00C63F8F" w:rsidRPr="00E27443">
        <w:t xml:space="preserve"> </w:t>
      </w:r>
      <w:r w:rsidRPr="00E27443">
        <w:t>of</w:t>
      </w:r>
      <w:r w:rsidR="00C63F8F" w:rsidRPr="00E27443">
        <w:t xml:space="preserve"> </w:t>
      </w:r>
      <w:r w:rsidRPr="00E27443">
        <w:t>the</w:t>
      </w:r>
      <w:r w:rsidR="00C63F8F" w:rsidRPr="00E27443">
        <w:t xml:space="preserve"> </w:t>
      </w:r>
      <w:r w:rsidRPr="00E27443">
        <w:t>State,</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the</w:t>
      </w:r>
      <w:r w:rsidR="00C63F8F" w:rsidRPr="00E27443">
        <w:t xml:space="preserve"> </w:t>
      </w:r>
      <w:r w:rsidRPr="00E27443">
        <w:t>private</w:t>
      </w:r>
      <w:r w:rsidR="00C63F8F" w:rsidRPr="00E27443">
        <w:t xml:space="preserve"> </w:t>
      </w:r>
      <w:r w:rsidRPr="00E27443">
        <w:t>sector.</w:t>
      </w:r>
      <w:r w:rsidR="00C63F8F" w:rsidRPr="00E27443">
        <w:t xml:space="preserve"> </w:t>
      </w:r>
      <w:r w:rsidRPr="00E27443">
        <w:t>This</w:t>
      </w:r>
      <w:r w:rsidR="00C63F8F" w:rsidRPr="00E27443">
        <w:t xml:space="preserve"> </w:t>
      </w:r>
      <w:r w:rsidRPr="00E27443">
        <w:t>relates</w:t>
      </w:r>
      <w:r w:rsidR="00C63F8F" w:rsidRPr="00E27443">
        <w:t xml:space="preserve"> </w:t>
      </w:r>
      <w:r w:rsidRPr="00E27443">
        <w:t>to</w:t>
      </w:r>
      <w:r w:rsidR="00C63F8F" w:rsidRPr="00E27443">
        <w:t xml:space="preserve"> </w:t>
      </w:r>
      <w:r w:rsidRPr="00E27443">
        <w:t>both</w:t>
      </w:r>
      <w:r w:rsidR="00C63F8F" w:rsidRPr="00E27443">
        <w:t xml:space="preserve"> </w:t>
      </w:r>
      <w:r w:rsidRPr="00E27443">
        <w:t>physical</w:t>
      </w:r>
      <w:r w:rsidR="00C63F8F" w:rsidRPr="00E27443">
        <w:t xml:space="preserve"> </w:t>
      </w:r>
      <w:r w:rsidRPr="00E27443">
        <w:t>measures</w:t>
      </w:r>
      <w:r w:rsidR="00C63F8F" w:rsidRPr="00E27443">
        <w:t xml:space="preserve"> </w:t>
      </w:r>
      <w:r w:rsidRPr="00E27443">
        <w:t>in</w:t>
      </w:r>
      <w:r w:rsidR="00C63F8F" w:rsidRPr="00E27443">
        <w:t xml:space="preserve"> </w:t>
      </w:r>
      <w:r w:rsidRPr="00E27443">
        <w:t>the</w:t>
      </w:r>
      <w:r w:rsidR="00C63F8F" w:rsidRPr="00E27443">
        <w:t xml:space="preserve"> </w:t>
      </w:r>
      <w:r w:rsidRPr="00E27443">
        <w:t>infrastructure</w:t>
      </w:r>
      <w:r w:rsidR="00C63F8F" w:rsidRPr="00E27443">
        <w:t xml:space="preserve"> </w:t>
      </w:r>
      <w:r w:rsidRPr="00E27443">
        <w:t>and</w:t>
      </w:r>
      <w:r w:rsidR="00C63F8F" w:rsidRPr="00E27443">
        <w:t xml:space="preserve"> </w:t>
      </w:r>
      <w:r w:rsidRPr="00E27443">
        <w:t>vehicles,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softer</w:t>
      </w:r>
      <w:r w:rsidR="00C63F8F" w:rsidRPr="00E27443">
        <w:t xml:space="preserve">’ </w:t>
      </w:r>
      <w:r w:rsidRPr="00E27443">
        <w:t>initiatives</w:t>
      </w:r>
      <w:r w:rsidR="00C63F8F" w:rsidRPr="00E27443">
        <w:t xml:space="preserve"> </w:t>
      </w:r>
      <w:r w:rsidRPr="00E27443">
        <w:t>such</w:t>
      </w:r>
      <w:r w:rsidR="00C63F8F" w:rsidRPr="00E27443">
        <w:t xml:space="preserve"> </w:t>
      </w:r>
      <w:r w:rsidRPr="00E27443">
        <w:t>as</w:t>
      </w:r>
      <w:r w:rsidR="00C63F8F" w:rsidRPr="00E27443">
        <w:t xml:space="preserve"> </w:t>
      </w:r>
      <w:r w:rsidRPr="00E27443">
        <w:t>training</w:t>
      </w:r>
      <w:r w:rsidR="00C63F8F" w:rsidRPr="00E27443">
        <w:t xml:space="preserve"> </w:t>
      </w:r>
      <w:r w:rsidRPr="00E27443">
        <w:t>personnel</w:t>
      </w:r>
      <w:r w:rsidR="00C63F8F" w:rsidRPr="00E27443">
        <w:t xml:space="preserve"> </w:t>
      </w:r>
      <w:r w:rsidRPr="00E27443">
        <w:t>in</w:t>
      </w:r>
      <w:r w:rsidR="00C63F8F" w:rsidRPr="00E27443">
        <w:t xml:space="preserve"> </w:t>
      </w:r>
      <w:r w:rsidRPr="00E27443">
        <w:t>how</w:t>
      </w:r>
      <w:r w:rsidR="00C63F8F" w:rsidRPr="00E27443">
        <w:t xml:space="preserve"> </w:t>
      </w:r>
      <w:r w:rsidRPr="00E27443">
        <w:t>to</w:t>
      </w:r>
      <w:r w:rsidR="00C63F8F" w:rsidRPr="00E27443">
        <w:t xml:space="preserve"> </w:t>
      </w:r>
      <w:r w:rsidRPr="00E27443">
        <w:t>treat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an</w:t>
      </w:r>
      <w:r w:rsidR="00C63F8F" w:rsidRPr="00E27443">
        <w:t xml:space="preserve"> </w:t>
      </w:r>
      <w:r w:rsidRPr="00E27443">
        <w:t>appropriate</w:t>
      </w:r>
      <w:r w:rsidR="00C63F8F" w:rsidRPr="00E27443">
        <w:t xml:space="preserve"> </w:t>
      </w:r>
      <w:r w:rsidRPr="00E27443">
        <w:t>manner.</w:t>
      </w:r>
      <w:r w:rsidR="00C63F8F" w:rsidRPr="00E27443">
        <w:t xml:space="preserve"> </w:t>
      </w:r>
      <w:r w:rsidRPr="00E27443">
        <w:t>These</w:t>
      </w:r>
      <w:r w:rsidR="00C63F8F" w:rsidRPr="00E27443">
        <w:t xml:space="preserve"> </w:t>
      </w:r>
      <w:r w:rsidRPr="00E27443">
        <w:t>projects</w:t>
      </w:r>
      <w:r w:rsidR="00C63F8F" w:rsidRPr="00E27443">
        <w:t xml:space="preserve"> </w:t>
      </w:r>
      <w:r w:rsidRPr="00E27443">
        <w:t>have</w:t>
      </w:r>
      <w:r w:rsidR="00C63F8F" w:rsidRPr="00E27443">
        <w:t xml:space="preserve"> </w:t>
      </w:r>
      <w:r w:rsidRPr="00E27443">
        <w:t>been</w:t>
      </w:r>
      <w:r w:rsidR="00C63F8F" w:rsidRPr="00E27443">
        <w:t xml:space="preserve"> </w:t>
      </w:r>
      <w:r w:rsidRPr="00E27443">
        <w:t>conducted</w:t>
      </w:r>
      <w:r w:rsidR="00C63F8F" w:rsidRPr="00E27443">
        <w:t xml:space="preserve"> </w:t>
      </w:r>
      <w:r w:rsidRPr="00E27443">
        <w:t>in</w:t>
      </w:r>
      <w:r w:rsidR="00C63F8F" w:rsidRPr="00E27443">
        <w:t xml:space="preserve"> </w:t>
      </w:r>
      <w:r w:rsidRPr="00E27443">
        <w:t>collaboration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disabled</w:t>
      </w:r>
      <w:r w:rsidR="00C63F8F" w:rsidRPr="00E27443">
        <w:t xml:space="preserve"> </w:t>
      </w:r>
      <w:r w:rsidRPr="00E27443">
        <w:t>people</w:t>
      </w:r>
      <w:r w:rsidR="00C63F8F" w:rsidRPr="00E27443">
        <w:t>’</w:t>
      </w:r>
      <w:r w:rsidRPr="00E27443">
        <w:t>s</w:t>
      </w:r>
      <w:r w:rsidR="00C63F8F" w:rsidRPr="00E27443">
        <w:t xml:space="preserve"> </w:t>
      </w:r>
      <w:r w:rsidRPr="00E27443">
        <w:t>movement.</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Participation</w:t>
      </w:r>
      <w:r w:rsidR="00C63F8F" w:rsidRPr="00E27443">
        <w:t xml:space="preserve"> </w:t>
      </w:r>
      <w:r w:rsidRPr="00E27443">
        <w:t>in</w:t>
      </w:r>
      <w:r w:rsidR="00C63F8F" w:rsidRPr="00E27443">
        <w:t xml:space="preserve"> </w:t>
      </w:r>
      <w:r w:rsidRPr="00E27443">
        <w:t>the</w:t>
      </w:r>
      <w:r w:rsidR="00C63F8F" w:rsidRPr="00E27443">
        <w:t xml:space="preserve"> </w:t>
      </w:r>
      <w:r w:rsidRPr="00E75253">
        <w:t>information</w:t>
      </w:r>
      <w:r w:rsidR="00C63F8F" w:rsidRPr="00E75253">
        <w:t xml:space="preserve"> </w:t>
      </w:r>
      <w:r w:rsidRPr="00E75253">
        <w:t>society</w:t>
      </w:r>
      <w:r w:rsidR="00C63F8F" w:rsidRPr="00E27443">
        <w:t xml:space="preserve"> </w:t>
      </w:r>
      <w:r w:rsidRPr="00E27443">
        <w:t>provides</w:t>
      </w:r>
      <w:r w:rsidR="00C63F8F" w:rsidRPr="00E27443">
        <w:t xml:space="preserve"> </w:t>
      </w:r>
      <w:r w:rsidRPr="00E27443">
        <w:t>increased</w:t>
      </w:r>
      <w:r w:rsidR="00C63F8F" w:rsidRPr="00E27443">
        <w:t xml:space="preserve"> </w:t>
      </w:r>
      <w:r w:rsidRPr="00E27443">
        <w:t>opportunities</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education,</w:t>
      </w:r>
      <w:r w:rsidR="00C63F8F" w:rsidRPr="00E27443">
        <w:t xml:space="preserve"> </w:t>
      </w:r>
      <w:r w:rsidRPr="00E27443">
        <w:t>manage</w:t>
      </w:r>
      <w:r w:rsidR="00C63F8F" w:rsidRPr="00E27443">
        <w:t xml:space="preserve"> </w:t>
      </w:r>
      <w:r w:rsidRPr="00E27443">
        <w:t>a</w:t>
      </w:r>
      <w:r w:rsidR="00C63F8F" w:rsidRPr="00E27443">
        <w:t xml:space="preserve"> </w:t>
      </w:r>
      <w:r w:rsidRPr="00E27443">
        <w:t>job</w:t>
      </w:r>
      <w:r w:rsidR="00C63F8F" w:rsidRPr="00E27443">
        <w:t xml:space="preserve"> </w:t>
      </w:r>
      <w:r w:rsidRPr="00E27443">
        <w:t>and</w:t>
      </w:r>
      <w:r w:rsidR="00C63F8F" w:rsidRPr="00E27443">
        <w:t xml:space="preserve"> </w:t>
      </w:r>
      <w:r w:rsidRPr="00E27443">
        <w:t>be</w:t>
      </w:r>
      <w:r w:rsidR="00C63F8F" w:rsidRPr="00E27443">
        <w:t xml:space="preserve"> </w:t>
      </w:r>
      <w:r w:rsidRPr="00E27443">
        <w:t>socially</w:t>
      </w:r>
      <w:r w:rsidR="00C63F8F" w:rsidRPr="00E27443">
        <w:t xml:space="preserve"> </w:t>
      </w:r>
      <w:r w:rsidRPr="00E27443">
        <w:t>active,</w:t>
      </w:r>
      <w:r w:rsidR="00C63F8F" w:rsidRPr="00E27443">
        <w:t xml:space="preserve"> </w:t>
      </w:r>
      <w:r w:rsidRPr="00E27443">
        <w:t>which</w:t>
      </w:r>
      <w:r w:rsidR="00C63F8F" w:rsidRPr="00E27443">
        <w:t xml:space="preserve"> </w:t>
      </w:r>
      <w:r w:rsidRPr="00E27443">
        <w:t>leads</w:t>
      </w:r>
      <w:r w:rsidR="00C63F8F" w:rsidRPr="00E27443">
        <w:t xml:space="preserve"> </w:t>
      </w:r>
      <w:r w:rsidRPr="00E27443">
        <w:t>to</w:t>
      </w:r>
      <w:r w:rsidR="00C63F8F" w:rsidRPr="00E27443">
        <w:t xml:space="preserve"> </w:t>
      </w:r>
      <w:r w:rsidRPr="00E27443">
        <w:t>a</w:t>
      </w:r>
      <w:r w:rsidR="00C63F8F" w:rsidRPr="00E27443">
        <w:t xml:space="preserve"> </w:t>
      </w:r>
      <w:r w:rsidRPr="00E27443">
        <w:t>good</w:t>
      </w:r>
      <w:r w:rsidR="00C63F8F" w:rsidRPr="00E27443">
        <w:t xml:space="preserve"> </w:t>
      </w:r>
      <w:r w:rsidRPr="00E27443">
        <w:t>quality</w:t>
      </w:r>
      <w:r w:rsidR="00C63F8F" w:rsidRPr="00E27443">
        <w:t xml:space="preserve"> </w:t>
      </w:r>
      <w:r w:rsidRPr="00E27443">
        <w:t>of</w:t>
      </w:r>
      <w:r w:rsidR="00C63F8F" w:rsidRPr="00E27443">
        <w:t xml:space="preserve"> </w:t>
      </w:r>
      <w:r w:rsidRPr="00E27443">
        <w:t>life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contributing</w:t>
      </w:r>
      <w:r w:rsidR="00C63F8F" w:rsidRPr="00E27443">
        <w:t xml:space="preserve"> </w:t>
      </w:r>
      <w:r w:rsidRPr="00E27443">
        <w:t>to</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society</w:t>
      </w:r>
      <w:r w:rsidR="00C63F8F" w:rsidRPr="00E27443">
        <w:t xml:space="preserve"> </w:t>
      </w:r>
      <w:r w:rsidRPr="00E27443">
        <w:t>in</w:t>
      </w:r>
      <w:r w:rsidR="00C63F8F" w:rsidRPr="00E27443">
        <w:t xml:space="preserve"> </w:t>
      </w:r>
      <w:r w:rsidRPr="00E27443">
        <w:t>general.</w:t>
      </w:r>
      <w:r w:rsidR="00C63F8F" w:rsidRPr="00E27443">
        <w:t xml:space="preserve"> </w:t>
      </w:r>
      <w:r w:rsidRPr="00E27443">
        <w:t>IT</w:t>
      </w:r>
      <w:r w:rsidR="00C63F8F" w:rsidRPr="00E27443">
        <w:t xml:space="preserve"> </w:t>
      </w:r>
      <w:r w:rsidRPr="00E27443">
        <w:t>and</w:t>
      </w:r>
      <w:r w:rsidR="00C63F8F" w:rsidRPr="00E27443">
        <w:t xml:space="preserve"> </w:t>
      </w:r>
      <w:r w:rsidRPr="00E27443">
        <w:t>the</w:t>
      </w:r>
      <w:r w:rsidR="00C63F8F" w:rsidRPr="00E27443">
        <w:t xml:space="preserve"> </w:t>
      </w:r>
      <w:r w:rsidRPr="00E27443">
        <w:t>Internet</w:t>
      </w:r>
      <w:r w:rsidR="00C63F8F" w:rsidRPr="00E27443">
        <w:t xml:space="preserve"> </w:t>
      </w:r>
      <w:r w:rsidRPr="00E27443">
        <w:t>are</w:t>
      </w:r>
      <w:r w:rsidR="00C63F8F" w:rsidRPr="00E27443">
        <w:t xml:space="preserve"> </w:t>
      </w:r>
      <w:r w:rsidRPr="00E27443">
        <w:t>used</w:t>
      </w:r>
      <w:r w:rsidR="00C63F8F" w:rsidRPr="00E27443">
        <w:t xml:space="preserve"> </w:t>
      </w:r>
      <w:r w:rsidRPr="00E27443">
        <w:t>within</w:t>
      </w:r>
      <w:r w:rsidR="00C63F8F" w:rsidRPr="00E27443">
        <w:t xml:space="preserve"> </w:t>
      </w:r>
      <w:r w:rsidRPr="00E27443">
        <w:t>all</w:t>
      </w:r>
      <w:r w:rsidR="00C63F8F" w:rsidRPr="00E27443">
        <w:t xml:space="preserve"> </w:t>
      </w:r>
      <w:r w:rsidRPr="00E27443">
        <w:t>sectors</w:t>
      </w:r>
      <w:r w:rsidR="00C63F8F" w:rsidRPr="00E27443">
        <w:t xml:space="preserve"> </w:t>
      </w:r>
      <w:r w:rsidRPr="00E27443">
        <w:t>of</w:t>
      </w:r>
      <w:r w:rsidR="00C63F8F" w:rsidRPr="00E27443">
        <w:t xml:space="preserve"> </w:t>
      </w:r>
      <w:r w:rsidRPr="00E27443">
        <w:t>society.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implemented</w:t>
      </w:r>
      <w:r w:rsidR="00C63F8F" w:rsidRPr="00E27443">
        <w:t xml:space="preserve"> </w:t>
      </w:r>
      <w:r w:rsidRPr="00E27443">
        <w:t>measures</w:t>
      </w:r>
      <w:r w:rsidR="00C63F8F" w:rsidRPr="00E27443">
        <w:t xml:space="preserve"> </w:t>
      </w:r>
      <w:r w:rsidRPr="00E27443">
        <w:t>to</w:t>
      </w:r>
      <w:r w:rsidR="00C63F8F" w:rsidRPr="00E27443">
        <w:t xml:space="preserve"> </w:t>
      </w:r>
      <w:r w:rsidRPr="00E27443">
        <w:t>drive</w:t>
      </w:r>
      <w:r w:rsidR="00C63F8F" w:rsidRPr="00E27443">
        <w:t xml:space="preserve"> </w:t>
      </w:r>
      <w:r w:rsidRPr="00E27443">
        <w:t>through</w:t>
      </w:r>
      <w:r w:rsidR="00C63F8F" w:rsidRPr="00E27443">
        <w:t xml:space="preserve"> </w:t>
      </w:r>
      <w:r w:rsidRPr="00E27443">
        <w:t>developments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break</w:t>
      </w:r>
      <w:r w:rsidR="00C63F8F" w:rsidRPr="00E27443">
        <w:t xml:space="preserve"> </w:t>
      </w:r>
      <w:r w:rsidRPr="00E27443">
        <w:t>the</w:t>
      </w:r>
      <w:r w:rsidR="00C63F8F" w:rsidRPr="00E27443">
        <w:t xml:space="preserve"> </w:t>
      </w:r>
      <w:r w:rsidRPr="00E27443">
        <w:t>cycle</w:t>
      </w:r>
      <w:r w:rsidR="00C63F8F" w:rsidRPr="00E27443">
        <w:t xml:space="preserve"> </w:t>
      </w:r>
      <w:r w:rsidRPr="00E27443">
        <w:t>of</w:t>
      </w:r>
      <w:r w:rsidR="00C63F8F" w:rsidRPr="00E27443">
        <w:t xml:space="preserve"> </w:t>
      </w:r>
      <w:r w:rsidRPr="00E27443">
        <w:t>isolation</w:t>
      </w:r>
      <w:r w:rsidR="00C63F8F" w:rsidRPr="00E27443">
        <w:t xml:space="preserve"> </w:t>
      </w:r>
      <w:r w:rsidRPr="00E27443">
        <w:t>entailed</w:t>
      </w:r>
      <w:r w:rsidR="00C63F8F" w:rsidRPr="00E27443">
        <w:t xml:space="preserve"> </w:t>
      </w:r>
      <w:r w:rsidRPr="00E27443">
        <w:t>by</w:t>
      </w:r>
      <w:r w:rsidR="00C63F8F" w:rsidRPr="00E27443">
        <w:t xml:space="preserve"> </w:t>
      </w:r>
      <w:r w:rsidRPr="00E27443">
        <w:t>the</w:t>
      </w:r>
      <w:r w:rsidR="00C63F8F" w:rsidRPr="00E27443">
        <w:t xml:space="preserve"> </w:t>
      </w:r>
      <w:r w:rsidRPr="00E27443">
        <w:t>inability</w:t>
      </w:r>
      <w:r w:rsidR="00C63F8F" w:rsidRPr="00E27443">
        <w:t xml:space="preserve"> </w:t>
      </w:r>
      <w:r w:rsidRPr="00E27443">
        <w:t>to</w:t>
      </w:r>
      <w:r w:rsidR="00C63F8F" w:rsidRPr="00E27443">
        <w:t xml:space="preserve"> </w:t>
      </w:r>
      <w:r w:rsidRPr="00E27443">
        <w:t>use</w:t>
      </w:r>
      <w:r w:rsidR="00C63F8F" w:rsidRPr="00E27443">
        <w:t xml:space="preserve"> </w:t>
      </w:r>
      <w:r w:rsidRPr="00E27443">
        <w:t>IT.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one</w:t>
      </w:r>
      <w:r w:rsidR="00C63F8F" w:rsidRPr="00E27443">
        <w:t xml:space="preserve"> </w:t>
      </w:r>
      <w:r w:rsidRPr="00E27443">
        <w:t>of</w:t>
      </w:r>
      <w:r w:rsidR="00C63F8F" w:rsidRPr="00E27443">
        <w:t xml:space="preserve"> </w:t>
      </w:r>
      <w:r w:rsidRPr="00E27443">
        <w:t>the</w:t>
      </w:r>
      <w:r w:rsidR="00C63F8F" w:rsidRPr="00E27443">
        <w:t xml:space="preserve"> </w:t>
      </w:r>
      <w:r w:rsidRPr="00E27443">
        <w:t>user</w:t>
      </w:r>
      <w:r w:rsidR="00C63F8F" w:rsidRPr="00E27443">
        <w:t xml:space="preserve"> </w:t>
      </w:r>
      <w:r w:rsidRPr="00E27443">
        <w:t>groups</w:t>
      </w:r>
      <w:r w:rsidR="00C63F8F" w:rsidRPr="00E27443">
        <w:t xml:space="preserve"> </w:t>
      </w:r>
      <w:r w:rsidRPr="00E27443">
        <w:t>whose</w:t>
      </w:r>
      <w:r w:rsidR="00C63F8F" w:rsidRPr="00E27443">
        <w:t xml:space="preserve"> </w:t>
      </w:r>
      <w:r w:rsidRPr="00E27443">
        <w:t>specific</w:t>
      </w:r>
      <w:r w:rsidR="00C63F8F" w:rsidRPr="00E27443">
        <w:t xml:space="preserve"> </w:t>
      </w:r>
      <w:r w:rsidRPr="00E27443">
        <w:t>needs</w:t>
      </w:r>
      <w:r w:rsidR="00C63F8F" w:rsidRPr="00E27443">
        <w:t xml:space="preserve"> </w:t>
      </w:r>
      <w:r w:rsidRPr="00E27443">
        <w:t>must</w:t>
      </w:r>
      <w:r w:rsidR="00C63F8F" w:rsidRPr="00E27443">
        <w:t xml:space="preserve"> </w:t>
      </w:r>
      <w:r w:rsidRPr="00E27443">
        <w:t>be</w:t>
      </w:r>
      <w:r w:rsidR="00C63F8F" w:rsidRPr="00E27443">
        <w:t xml:space="preserve"> </w:t>
      </w:r>
      <w:r w:rsidRPr="00E27443">
        <w:t>taken</w:t>
      </w:r>
      <w:r w:rsidR="00C63F8F" w:rsidRPr="00E27443">
        <w:t xml:space="preserve"> </w:t>
      </w:r>
      <w:r w:rsidRPr="00E27443">
        <w:t>into</w:t>
      </w:r>
      <w:r w:rsidR="00C63F8F" w:rsidRPr="00E27443">
        <w:t xml:space="preserve"> </w:t>
      </w:r>
      <w:r w:rsidRPr="00E27443">
        <w:t>consideration</w:t>
      </w:r>
      <w:r w:rsidR="00C63F8F" w:rsidRPr="00E27443">
        <w:t xml:space="preserve"> </w:t>
      </w:r>
      <w:r w:rsidRPr="00E27443">
        <w:t>in</w:t>
      </w:r>
      <w:r w:rsidR="00C63F8F" w:rsidRPr="00E27443">
        <w:t xml:space="preserve"> </w:t>
      </w:r>
      <w:r w:rsidRPr="00E27443">
        <w:t>IT</w:t>
      </w:r>
      <w:r w:rsidR="00C63F8F" w:rsidRPr="00E27443">
        <w:t xml:space="preserve"> </w:t>
      </w:r>
      <w:r w:rsidRPr="00E27443">
        <w:t>development.</w:t>
      </w:r>
      <w:r w:rsidR="00C63F8F" w:rsidRPr="00E27443">
        <w:t xml:space="preserve"> </w:t>
      </w:r>
      <w:r w:rsidRPr="00E27443">
        <w:t>In</w:t>
      </w:r>
      <w:r w:rsidR="00C63F8F" w:rsidRPr="00E27443">
        <w:t xml:space="preserve"> </w:t>
      </w:r>
      <w:r w:rsidRPr="00E27443">
        <w:t>addition</w:t>
      </w:r>
      <w:r w:rsidR="00C63F8F" w:rsidRPr="00E27443">
        <w:t xml:space="preserve"> </w:t>
      </w:r>
      <w:r w:rsidRPr="00E27443">
        <w:t>to</w:t>
      </w:r>
      <w:r w:rsidR="00C63F8F" w:rsidRPr="00E27443">
        <w:t xml:space="preserve"> </w:t>
      </w:r>
      <w:r w:rsidRPr="00E27443">
        <w:t>increased</w:t>
      </w:r>
      <w:r w:rsidR="00C63F8F" w:rsidRPr="00E27443">
        <w:t xml:space="preserve"> </w:t>
      </w:r>
      <w:r w:rsidRPr="00E27443">
        <w:t>access</w:t>
      </w:r>
      <w:r w:rsidR="00C63F8F" w:rsidRPr="00E27443">
        <w:t xml:space="preserve"> </w:t>
      </w:r>
      <w:r w:rsidRPr="00E27443">
        <w:t>to</w:t>
      </w:r>
      <w:r w:rsidR="00C63F8F" w:rsidRPr="00E27443">
        <w:t xml:space="preserve"> </w:t>
      </w:r>
      <w:r w:rsidRPr="00E27443">
        <w:t>broadband</w:t>
      </w:r>
      <w:r w:rsidR="00C63F8F" w:rsidRPr="00E27443">
        <w:t xml:space="preserve"> </w:t>
      </w:r>
      <w:r w:rsidRPr="00E27443">
        <w:t>and</w:t>
      </w:r>
      <w:r w:rsidR="00C63F8F" w:rsidRPr="00E27443">
        <w:t xml:space="preserve"> </w:t>
      </w:r>
      <w:r w:rsidRPr="00E27443">
        <w:t>new</w:t>
      </w:r>
      <w:r w:rsidR="00C63F8F" w:rsidRPr="00E27443">
        <w:t xml:space="preserve"> </w:t>
      </w:r>
      <w:r w:rsidRPr="00E27443">
        <w:t>technical</w:t>
      </w:r>
      <w:r w:rsidR="00C63F8F" w:rsidRPr="00E27443">
        <w:t xml:space="preserve"> </w:t>
      </w:r>
      <w:r w:rsidRPr="00E27443">
        <w:t>solutions,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invested</w:t>
      </w:r>
      <w:r w:rsidR="00C63F8F" w:rsidRPr="00E27443">
        <w:t xml:space="preserve"> </w:t>
      </w:r>
      <w:r w:rsidRPr="00E27443">
        <w:t>in</w:t>
      </w:r>
      <w:r w:rsidR="00C63F8F" w:rsidRPr="00E27443">
        <w:t xml:space="preserve"> </w:t>
      </w:r>
      <w:r w:rsidRPr="00E27443">
        <w:t>increased</w:t>
      </w:r>
      <w:r w:rsidR="00C63F8F" w:rsidRPr="00E27443">
        <w:t xml:space="preserve"> </w:t>
      </w:r>
      <w:r w:rsidRPr="00E27443">
        <w:t>usability</w:t>
      </w:r>
      <w:r w:rsidR="00C63F8F" w:rsidRPr="00E27443">
        <w:t xml:space="preserve"> </w:t>
      </w:r>
      <w:r w:rsidRPr="00E27443">
        <w:t>and</w:t>
      </w:r>
      <w:r w:rsidR="00C63F8F" w:rsidRPr="00E27443">
        <w:t xml:space="preserve"> </w:t>
      </w:r>
      <w:r w:rsidRPr="00E27443">
        <w:t>accessibility</w:t>
      </w:r>
      <w:r w:rsidR="00C63F8F" w:rsidRPr="00E27443">
        <w:t xml:space="preserve"> </w:t>
      </w:r>
      <w:r w:rsidRPr="00E27443">
        <w:t>of</w:t>
      </w:r>
      <w:r w:rsidR="00C63F8F" w:rsidRPr="00E27443">
        <w:t xml:space="preserve"> </w:t>
      </w:r>
      <w:r w:rsidRPr="00E27443">
        <w:t>established</w:t>
      </w:r>
      <w:r w:rsidR="00C63F8F" w:rsidRPr="00E27443">
        <w:t xml:space="preserve"> </w:t>
      </w:r>
      <w:r w:rsidRPr="00E27443">
        <w:t>and</w:t>
      </w:r>
      <w:r w:rsidR="00C63F8F" w:rsidRPr="00E27443">
        <w:t xml:space="preserve"> </w:t>
      </w:r>
      <w:r w:rsidRPr="00E27443">
        <w:t>new</w:t>
      </w:r>
      <w:r w:rsidR="00C63F8F" w:rsidRPr="00E27443">
        <w:t xml:space="preserve"> </w:t>
      </w:r>
      <w:r w:rsidRPr="00E27443">
        <w:t>services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Swedish</w:t>
      </w:r>
      <w:r w:rsidR="00C63F8F" w:rsidRPr="00E27443">
        <w:t xml:space="preserve"> </w:t>
      </w:r>
      <w:r w:rsidRPr="00E27443">
        <w:t>Post</w:t>
      </w:r>
      <w:r w:rsidR="00C63F8F" w:rsidRPr="00E27443">
        <w:t xml:space="preserve"> </w:t>
      </w:r>
      <w:r w:rsidRPr="00E27443">
        <w:t>and</w:t>
      </w:r>
      <w:r w:rsidR="00C63F8F" w:rsidRPr="00E27443">
        <w:t xml:space="preserve"> </w:t>
      </w:r>
      <w:r w:rsidRPr="00E27443">
        <w:t>Telecom</w:t>
      </w:r>
      <w:r w:rsidR="00C63F8F" w:rsidRPr="00E27443">
        <w:t xml:space="preserve"> </w:t>
      </w:r>
      <w:r w:rsidRPr="00E27443">
        <w:t>Agency</w:t>
      </w:r>
      <w:r w:rsidR="004B1EAA" w:rsidRPr="00E75253">
        <w:footnoteReference w:id="50"/>
      </w:r>
      <w:r w:rsidR="00C63F8F" w:rsidRPr="00E27443">
        <w:t xml:space="preserve"> </w:t>
      </w:r>
      <w:r w:rsidRPr="00E27443">
        <w:t>(PTS)</w:t>
      </w:r>
      <w:r w:rsidR="00C63F8F" w:rsidRPr="00E27443">
        <w:t xml:space="preserve"> </w:t>
      </w:r>
      <w:r w:rsidRPr="00E27443">
        <w:t>is</w:t>
      </w:r>
      <w:r w:rsidR="00C63F8F" w:rsidRPr="00E27443">
        <w:t xml:space="preserve"> </w:t>
      </w:r>
      <w:r w:rsidRPr="00E27443">
        <w:t>developing</w:t>
      </w:r>
      <w:r w:rsidR="00C63F8F" w:rsidRPr="00E27443">
        <w:t xml:space="preserve"> </w:t>
      </w:r>
      <w:r w:rsidRPr="00E27443">
        <w:t>electronic</w:t>
      </w:r>
      <w:r w:rsidR="00C63F8F" w:rsidRPr="00E27443">
        <w:t xml:space="preserve"> </w:t>
      </w:r>
      <w:r w:rsidRPr="00E27443">
        <w:t>services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affected</w:t>
      </w:r>
      <w:r w:rsidR="00C63F8F" w:rsidRPr="00E27443">
        <w:t xml:space="preserve"> </w:t>
      </w:r>
      <w:r w:rsidRPr="00E27443">
        <w:t>players.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increase</w:t>
      </w:r>
      <w:r w:rsidR="00C63F8F" w:rsidRPr="00E27443">
        <w:t xml:space="preserve"> </w:t>
      </w:r>
      <w:r w:rsidRPr="00E27443">
        <w:t>knowledge</w:t>
      </w:r>
      <w:r w:rsidR="00C63F8F" w:rsidRPr="00E27443">
        <w:t xml:space="preserve"> </w:t>
      </w:r>
      <w:r w:rsidRPr="00E27443">
        <w:t>of</w:t>
      </w:r>
      <w:r w:rsidR="00C63F8F" w:rsidRPr="00E27443">
        <w:t xml:space="preserve"> </w:t>
      </w:r>
      <w:r w:rsidRPr="00E27443">
        <w:t>the</w:t>
      </w:r>
      <w:r w:rsidR="00C63F8F" w:rsidRPr="00E27443">
        <w:t xml:space="preserve"> </w:t>
      </w:r>
      <w:r w:rsidRPr="00E27443">
        <w:t>services</w:t>
      </w:r>
      <w:r w:rsidR="00C63F8F" w:rsidRPr="00E27443">
        <w:t xml:space="preserve"> </w:t>
      </w:r>
      <w:r w:rsidRPr="00E27443">
        <w:t>that</w:t>
      </w:r>
      <w:r w:rsidR="00C63F8F" w:rsidRPr="00E27443">
        <w:t xml:space="preserve"> </w:t>
      </w:r>
      <w:r w:rsidRPr="00E27443">
        <w:t>PTS</w:t>
      </w:r>
      <w:r w:rsidR="00C63F8F" w:rsidRPr="00E27443">
        <w:t xml:space="preserve"> </w:t>
      </w:r>
      <w:r w:rsidRPr="00E27443">
        <w:t>procures,</w:t>
      </w:r>
      <w:r w:rsidR="00C63F8F" w:rsidRPr="00E27443">
        <w:t xml:space="preserve"> </w:t>
      </w:r>
      <w:r w:rsidRPr="00E27443">
        <w:t>and</w:t>
      </w:r>
      <w:r w:rsidR="00C63F8F" w:rsidRPr="00E27443">
        <w:t xml:space="preserve"> </w:t>
      </w:r>
      <w:r w:rsidRPr="00E27443">
        <w:t>thereby</w:t>
      </w:r>
      <w:r w:rsidR="00C63F8F" w:rsidRPr="00E27443">
        <w:t xml:space="preserve"> </w:t>
      </w:r>
      <w:r w:rsidRPr="00E27443">
        <w:t>to</w:t>
      </w:r>
      <w:r w:rsidR="00C63F8F" w:rsidRPr="00E27443">
        <w:t xml:space="preserve"> </w:t>
      </w:r>
      <w:r w:rsidRPr="00E27443">
        <w:t>reach</w:t>
      </w:r>
      <w:r w:rsidR="00C63F8F" w:rsidRPr="00E27443">
        <w:t xml:space="preserve"> </w:t>
      </w:r>
      <w:r w:rsidRPr="00E27443">
        <w:t>more</w:t>
      </w:r>
      <w:r w:rsidR="00C63F8F" w:rsidRPr="00E27443">
        <w:t xml:space="preserve"> </w:t>
      </w:r>
      <w:r w:rsidRPr="00E27443">
        <w:t>target</w:t>
      </w:r>
      <w:r w:rsidR="00C63F8F" w:rsidRPr="00E27443">
        <w:t xml:space="preserve"> </w:t>
      </w:r>
      <w:r w:rsidRPr="00E27443">
        <w:t>groups,</w:t>
      </w:r>
      <w:r w:rsidR="00C63F8F" w:rsidRPr="00E27443">
        <w:t xml:space="preserve"> </w:t>
      </w:r>
      <w:r w:rsidRPr="00E27443">
        <w:t>a</w:t>
      </w:r>
      <w:r w:rsidR="00C63F8F" w:rsidRPr="00E27443">
        <w:t xml:space="preserve"> </w:t>
      </w:r>
      <w:r w:rsidRPr="00E27443">
        <w:t>major</w:t>
      </w:r>
      <w:r w:rsidR="00C63F8F" w:rsidRPr="00E27443">
        <w:t xml:space="preserve"> </w:t>
      </w:r>
      <w:r w:rsidRPr="00E27443">
        <w:t>information</w:t>
      </w:r>
      <w:r w:rsidR="00C63F8F" w:rsidRPr="00E27443">
        <w:t xml:space="preserve"> </w:t>
      </w:r>
      <w:r w:rsidRPr="00E27443">
        <w:t>campaign</w:t>
      </w:r>
      <w:r w:rsidR="00C63F8F" w:rsidRPr="00E27443">
        <w:t xml:space="preserve"> </w:t>
      </w:r>
      <w:r w:rsidRPr="00E27443">
        <w:t>was</w:t>
      </w:r>
      <w:r w:rsidR="00C63F8F" w:rsidRPr="00E27443">
        <w:t xml:space="preserve"> </w:t>
      </w:r>
      <w:r w:rsidRPr="00E27443">
        <w:t>conducted</w:t>
      </w:r>
      <w:r w:rsidR="00C63F8F" w:rsidRPr="00E27443">
        <w:t xml:space="preserve"> </w:t>
      </w:r>
      <w:r w:rsidRPr="00E27443">
        <w:t>including</w:t>
      </w:r>
      <w:r w:rsidR="00C63F8F" w:rsidRPr="00E27443">
        <w:t xml:space="preserve"> </w:t>
      </w:r>
      <w:r w:rsidRPr="00E27443">
        <w:t>advertisements</w:t>
      </w:r>
      <w:r w:rsidR="00C63F8F" w:rsidRPr="00E27443">
        <w:t xml:space="preserve"> </w:t>
      </w:r>
      <w:r w:rsidRPr="00E27443">
        <w:t>and</w:t>
      </w:r>
      <w:r w:rsidR="00C63F8F" w:rsidRPr="00E27443">
        <w:t xml:space="preserve"> </w:t>
      </w:r>
      <w:r w:rsidRPr="00E27443">
        <w:t>information</w:t>
      </w:r>
      <w:r w:rsidR="00C63F8F" w:rsidRPr="00E27443">
        <w:t xml:space="preserve"> </w:t>
      </w:r>
      <w:r w:rsidRPr="00E27443">
        <w:t>material</w:t>
      </w:r>
      <w:r w:rsidR="00C63F8F" w:rsidRPr="00E27443">
        <w:t xml:space="preserve"> </w:t>
      </w:r>
      <w:r w:rsidRPr="00E27443">
        <w:t>targeted</w:t>
      </w:r>
      <w:r w:rsidR="00C63F8F" w:rsidRPr="00E27443">
        <w:t xml:space="preserve"> </w:t>
      </w:r>
      <w:r w:rsidRPr="00E27443">
        <w:t>at</w:t>
      </w:r>
      <w:r w:rsidR="00C63F8F" w:rsidRPr="00E27443">
        <w:t xml:space="preserve"> </w:t>
      </w:r>
      <w:r w:rsidRPr="00E27443">
        <w:t>municipalities,</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etc.</w:t>
      </w:r>
      <w:r w:rsidR="00C63F8F" w:rsidRPr="00E27443">
        <w:t xml:space="preserve"> </w:t>
      </w:r>
      <w:r w:rsidRPr="00E27443">
        <w:t>During</w:t>
      </w:r>
      <w:r w:rsidR="00C63F8F" w:rsidRPr="00E27443">
        <w:t xml:space="preserve"> </w:t>
      </w:r>
      <w:r w:rsidRPr="00E27443">
        <w:t>the</w:t>
      </w:r>
      <w:r w:rsidR="00C63F8F" w:rsidRPr="00E27443">
        <w:t xml:space="preserve"> </w:t>
      </w:r>
      <w:r w:rsidRPr="00E27443">
        <w:t>year,</w:t>
      </w:r>
      <w:r w:rsidR="00C63F8F" w:rsidRPr="00E27443">
        <w:t xml:space="preserve"> </w:t>
      </w:r>
      <w:r w:rsidRPr="00E27443">
        <w:t>PTS</w:t>
      </w:r>
      <w:r w:rsidR="00C63F8F" w:rsidRPr="00E27443">
        <w:t xml:space="preserve"> </w:t>
      </w:r>
      <w:r w:rsidRPr="00E27443">
        <w:t>has</w:t>
      </w:r>
      <w:r w:rsidR="00C63F8F" w:rsidRPr="00E27443">
        <w:t xml:space="preserve"> </w:t>
      </w:r>
      <w:r w:rsidRPr="00E27443">
        <w:t>conducted</w:t>
      </w:r>
      <w:r w:rsidR="00C63F8F" w:rsidRPr="00E27443">
        <w:t xml:space="preserve"> </w:t>
      </w:r>
      <w:r w:rsidRPr="00E27443">
        <w:t>trials</w:t>
      </w:r>
      <w:r w:rsidR="00C63F8F" w:rsidRPr="00E27443">
        <w:t xml:space="preserve"> </w:t>
      </w:r>
      <w:r w:rsidRPr="00E27443">
        <w:t>with</w:t>
      </w:r>
      <w:r w:rsidR="00C63F8F" w:rsidRPr="00E27443">
        <w:t xml:space="preserve"> ‘</w:t>
      </w:r>
      <w:r w:rsidRPr="00E27443">
        <w:t>streaming</w:t>
      </w:r>
      <w:r w:rsidR="00C63F8F" w:rsidRPr="00E27443">
        <w:t xml:space="preserve">’ </w:t>
      </w:r>
      <w:r w:rsidRPr="00E27443">
        <w:t>talking</w:t>
      </w:r>
      <w:r w:rsidR="00C63F8F" w:rsidRPr="00E27443">
        <w:t xml:space="preserve"> </w:t>
      </w:r>
      <w:r w:rsidRPr="00E27443">
        <w:t>books</w:t>
      </w:r>
      <w:r w:rsidR="00C63F8F" w:rsidRPr="00E27443">
        <w:t xml:space="preserve"> </w:t>
      </w:r>
      <w:r w:rsidRPr="00E27443">
        <w:t>and</w:t>
      </w:r>
      <w:r w:rsidR="00C63F8F" w:rsidRPr="00E27443">
        <w:t xml:space="preserve"> </w:t>
      </w:r>
      <w:r w:rsidRPr="00E27443">
        <w:t>talking</w:t>
      </w:r>
      <w:r w:rsidR="00C63F8F" w:rsidRPr="00E27443">
        <w:t xml:space="preserve"> </w:t>
      </w:r>
      <w:r w:rsidRPr="00E27443">
        <w:t>newspapers</w:t>
      </w:r>
      <w:r w:rsidR="00C63F8F" w:rsidRPr="00E27443">
        <w:t xml:space="preserve"> </w:t>
      </w:r>
      <w:r w:rsidRPr="00E27443">
        <w:t>on</w:t>
      </w:r>
      <w:r w:rsidR="00C63F8F" w:rsidRPr="00E27443">
        <w:t xml:space="preserve"> </w:t>
      </w:r>
      <w:r w:rsidRPr="00E27443">
        <w:t>mobile</w:t>
      </w:r>
      <w:r w:rsidR="00C63F8F" w:rsidRPr="00E27443">
        <w:t xml:space="preserve"> </w:t>
      </w:r>
      <w:r w:rsidRPr="00E27443">
        <w:t>phones.</w:t>
      </w:r>
      <w:r w:rsidR="00C63F8F" w:rsidRPr="00E27443">
        <w:t xml:space="preserve"> </w:t>
      </w:r>
      <w:r w:rsidRPr="00E27443">
        <w:t>See</w:t>
      </w:r>
      <w:r w:rsidR="00C63F8F" w:rsidRPr="00E27443">
        <w:t xml:space="preserve"> </w:t>
      </w:r>
      <w:r w:rsidRPr="00E27443">
        <w:t>Article</w:t>
      </w:r>
      <w:r w:rsidR="00C63F8F" w:rsidRPr="00E27443">
        <w:t xml:space="preserve"> </w:t>
      </w:r>
      <w:r w:rsidRPr="00E27443">
        <w:t>30.</w:t>
      </w:r>
    </w:p>
    <w:p w:rsidR="00321ADA" w:rsidRPr="00E27443" w:rsidRDefault="00321ADA" w:rsidP="00E75253">
      <w:pPr>
        <w:pStyle w:val="SingleTxtG"/>
        <w:numPr>
          <w:ilvl w:val="0"/>
          <w:numId w:val="20"/>
        </w:numPr>
        <w:tabs>
          <w:tab w:val="left" w:pos="1843"/>
        </w:tabs>
        <w:ind w:left="1134" w:firstLine="0"/>
      </w:pPr>
      <w:r w:rsidRPr="00E27443">
        <w:t>During</w:t>
      </w:r>
      <w:r w:rsidR="00C63F8F" w:rsidRPr="00E27443">
        <w:t xml:space="preserve"> </w:t>
      </w:r>
      <w:r w:rsidRPr="00E27443">
        <w:t>spring</w:t>
      </w:r>
      <w:r w:rsidR="00C63F8F" w:rsidRPr="00E27443">
        <w:t xml:space="preserve"> </w:t>
      </w:r>
      <w:r w:rsidRPr="00E27443">
        <w:t>2010,</w:t>
      </w:r>
      <w:r w:rsidR="00C63F8F" w:rsidRPr="00E27443">
        <w:t xml:space="preserve"> </w:t>
      </w:r>
      <w:r w:rsidRPr="00E27443">
        <w:t>the</w:t>
      </w:r>
      <w:r w:rsidR="00C63F8F" w:rsidRPr="00E27443">
        <w:t xml:space="preserve"> </w:t>
      </w:r>
      <w:r w:rsidRPr="00E27443">
        <w:t>Agency</w:t>
      </w:r>
      <w:r w:rsidR="00C63F8F" w:rsidRPr="00E27443">
        <w:t xml:space="preserve"> </w:t>
      </w:r>
      <w:r w:rsidRPr="00E27443">
        <w:t>also</w:t>
      </w:r>
      <w:r w:rsidR="00C63F8F" w:rsidRPr="00E27443">
        <w:t xml:space="preserve"> </w:t>
      </w:r>
      <w:r w:rsidRPr="00E27443">
        <w:t>announced</w:t>
      </w:r>
      <w:r w:rsidR="00C63F8F" w:rsidRPr="00E27443">
        <w:t xml:space="preserve"> </w:t>
      </w:r>
      <w:r w:rsidRPr="00E27443">
        <w:t>an</w:t>
      </w:r>
      <w:r w:rsidR="00C63F8F" w:rsidRPr="00E27443">
        <w:t xml:space="preserve"> </w:t>
      </w:r>
      <w:r w:rsidRPr="00E27443">
        <w:t>innovation</w:t>
      </w:r>
      <w:r w:rsidR="00C63F8F" w:rsidRPr="00E27443">
        <w:t xml:space="preserve"> </w:t>
      </w:r>
      <w:r w:rsidRPr="00E27443">
        <w:t>competition</w:t>
      </w:r>
      <w:r w:rsidR="00C63F8F" w:rsidRPr="00E27443">
        <w:t xml:space="preserve"> </w:t>
      </w:r>
      <w:r w:rsidRPr="00E27443">
        <w:t>on</w:t>
      </w:r>
      <w:r w:rsidR="00C63F8F" w:rsidRPr="00E27443">
        <w:t xml:space="preserve"> </w:t>
      </w:r>
      <w:r w:rsidRPr="00E27443">
        <w:t>the</w:t>
      </w:r>
      <w:r w:rsidR="00C63F8F" w:rsidRPr="00E27443">
        <w:t xml:space="preserve"> </w:t>
      </w:r>
      <w:r w:rsidRPr="00E27443">
        <w:t>theme</w:t>
      </w:r>
      <w:r w:rsidR="00C63F8F" w:rsidRPr="00E27443">
        <w:t xml:space="preserve"> </w:t>
      </w:r>
      <w:r w:rsidRPr="00E27443">
        <w:t>of</w:t>
      </w:r>
      <w:r w:rsidR="00C63F8F" w:rsidRPr="00E27443">
        <w:t xml:space="preserve"> “</w:t>
      </w:r>
      <w:r w:rsidRPr="00E27443">
        <w:t>Work</w:t>
      </w:r>
      <w:r w:rsidR="00C63F8F" w:rsidRPr="00E27443">
        <w:t xml:space="preserve"> </w:t>
      </w:r>
      <w:r w:rsidRPr="00E27443">
        <w:t>and</w:t>
      </w:r>
      <w:r w:rsidR="00C63F8F" w:rsidRPr="00E27443">
        <w:t xml:space="preserve"> </w:t>
      </w:r>
      <w:r w:rsidRPr="00E27443">
        <w:t>training</w:t>
      </w:r>
      <w:r w:rsidR="00C63F8F" w:rsidRPr="00E27443">
        <w:t xml:space="preserve">” </w:t>
      </w:r>
      <w:r w:rsidRPr="00E27443">
        <w:t>targeted</w:t>
      </w:r>
      <w:r w:rsidR="00C63F8F" w:rsidRPr="00E27443">
        <w:t xml:space="preserve"> </w:t>
      </w:r>
      <w:r w:rsidRPr="00E27443">
        <w:t>at</w:t>
      </w:r>
      <w:r w:rsidR="00C63F8F" w:rsidRPr="00E27443">
        <w:t xml:space="preserve"> </w:t>
      </w:r>
      <w:r w:rsidRPr="00E27443">
        <w:t>companies,</w:t>
      </w:r>
      <w:r w:rsidR="00C63F8F" w:rsidRPr="00E27443">
        <w:t xml:space="preserve"> </w:t>
      </w:r>
      <w:r w:rsidRPr="00E27443">
        <w:t>where</w:t>
      </w:r>
      <w:r w:rsidR="00C63F8F" w:rsidRPr="00E27443">
        <w:t xml:space="preserve"> </w:t>
      </w:r>
      <w:r w:rsidRPr="00E27443">
        <w:t>researchers</w:t>
      </w:r>
      <w:r w:rsidR="00C63F8F" w:rsidRPr="00E27443">
        <w:t xml:space="preserve"> </w:t>
      </w:r>
      <w:r w:rsidRPr="00E27443">
        <w:t>and</w:t>
      </w:r>
      <w:r w:rsidR="00C63F8F" w:rsidRPr="00E27443">
        <w:t xml:space="preserve"> </w:t>
      </w:r>
      <w:r w:rsidRPr="00E27443">
        <w:t>organisations</w:t>
      </w:r>
      <w:r w:rsidR="00C63F8F" w:rsidRPr="00E27443">
        <w:t xml:space="preserve"> </w:t>
      </w:r>
      <w:r w:rsidRPr="00E27443">
        <w:t>had</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apply</w:t>
      </w:r>
      <w:r w:rsidR="00C63F8F" w:rsidRPr="00E27443">
        <w:t xml:space="preserve"> </w:t>
      </w:r>
      <w:r w:rsidRPr="00E27443">
        <w:t>for</w:t>
      </w:r>
      <w:r w:rsidR="00C63F8F" w:rsidRPr="00E27443">
        <w:t xml:space="preserve"> </w:t>
      </w:r>
      <w:r w:rsidRPr="00E27443">
        <w:t>the</w:t>
      </w:r>
      <w:r w:rsidR="00C63F8F" w:rsidRPr="00E27443">
        <w:t xml:space="preserve"> </w:t>
      </w:r>
      <w:r w:rsidRPr="00E27443">
        <w:t>financing</w:t>
      </w:r>
      <w:r w:rsidR="00C63F8F" w:rsidRPr="00E27443">
        <w:t xml:space="preserve"> </w:t>
      </w:r>
      <w:r w:rsidRPr="00E27443">
        <w:t>of</w:t>
      </w:r>
      <w:r w:rsidR="00C63F8F" w:rsidRPr="00E27443">
        <w:t xml:space="preserve"> </w:t>
      </w:r>
      <w:r w:rsidRPr="00E27443">
        <w:t>projects</w:t>
      </w:r>
      <w:r w:rsidR="00C63F8F" w:rsidRPr="00E27443">
        <w:t xml:space="preserve"> </w:t>
      </w:r>
      <w:r w:rsidRPr="00E27443">
        <w:t>aimed</w:t>
      </w:r>
      <w:r w:rsidR="00C63F8F" w:rsidRPr="00E27443">
        <w:t xml:space="preserve"> </w:t>
      </w:r>
      <w:r w:rsidRPr="00E27443">
        <w:t>at</w:t>
      </w:r>
      <w:r w:rsidR="00C63F8F" w:rsidRPr="00E27443">
        <w:t xml:space="preserve"> </w:t>
      </w:r>
      <w:r w:rsidRPr="00E27443">
        <w:t>increasing</w:t>
      </w:r>
      <w:r w:rsidR="00C63F8F" w:rsidRPr="00E27443">
        <w:t xml:space="preserve"> </w:t>
      </w:r>
      <w:r w:rsidRPr="00E27443">
        <w:t>the</w:t>
      </w:r>
      <w:r w:rsidR="00C63F8F" w:rsidRPr="00E27443">
        <w:t xml:space="preserve"> </w:t>
      </w:r>
      <w:r w:rsidRPr="00E27443">
        <w:t>potential</w:t>
      </w:r>
      <w:r w:rsidR="00C63F8F" w:rsidRPr="00E27443">
        <w:t xml:space="preserve"> </w:t>
      </w:r>
      <w:r w:rsidRPr="00E27443">
        <w:t>for</w:t>
      </w:r>
      <w:r w:rsidR="00C63F8F" w:rsidRPr="00E27443">
        <w:t xml:space="preserve"> </w:t>
      </w:r>
      <w:r w:rsidRPr="00E27443">
        <w:t>work</w:t>
      </w:r>
      <w:r w:rsidR="00C63F8F" w:rsidRPr="00E27443">
        <w:t xml:space="preserve"> </w:t>
      </w:r>
      <w:r w:rsidRPr="00E27443">
        <w:t>and</w:t>
      </w:r>
      <w:r w:rsidR="00C63F8F" w:rsidRPr="00E27443">
        <w:t xml:space="preserve"> </w:t>
      </w:r>
      <w:r w:rsidRPr="00E27443">
        <w:t>training</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the</w:t>
      </w:r>
      <w:r w:rsidR="00C63F8F" w:rsidRPr="00E27443">
        <w:t xml:space="preserve"> </w:t>
      </w:r>
      <w:r w:rsidRPr="00E27443">
        <w:t>Swedish</w:t>
      </w:r>
      <w:r w:rsidR="00C63F8F" w:rsidRPr="00E27443">
        <w:t xml:space="preserve"> </w:t>
      </w:r>
      <w:r w:rsidRPr="00E27443">
        <w:t>Institute</w:t>
      </w:r>
      <w:r w:rsidR="00C63F8F" w:rsidRPr="00E27443">
        <w:t xml:space="preserve"> </w:t>
      </w:r>
      <w:r w:rsidRPr="00E27443">
        <w:t>of</w:t>
      </w:r>
      <w:r w:rsidR="00C63F8F" w:rsidRPr="00E27443">
        <w:t xml:space="preserve"> </w:t>
      </w:r>
      <w:r w:rsidRPr="00E27443">
        <w:t>Assistive</w:t>
      </w:r>
      <w:r w:rsidR="00C63F8F" w:rsidRPr="00E27443">
        <w:t xml:space="preserve"> </w:t>
      </w:r>
      <w:r w:rsidRPr="00E27443">
        <w:t>Technology</w:t>
      </w:r>
      <w:r w:rsidR="00C63F8F" w:rsidRPr="00E27443">
        <w:t xml:space="preserve"> </w:t>
      </w:r>
      <w:r w:rsidRPr="00E27443">
        <w:t>has</w:t>
      </w:r>
      <w:r w:rsidR="00C63F8F" w:rsidRPr="00E27443">
        <w:t xml:space="preserve"> </w:t>
      </w:r>
      <w:r w:rsidRPr="00E27443">
        <w:t>launched</w:t>
      </w:r>
      <w:r w:rsidR="00C63F8F" w:rsidRPr="00E27443">
        <w:t xml:space="preserve"> </w:t>
      </w:r>
      <w:r w:rsidRPr="00E27443">
        <w:t>several</w:t>
      </w:r>
      <w:r w:rsidR="00C63F8F" w:rsidRPr="00E27443">
        <w:t xml:space="preserve"> </w:t>
      </w:r>
      <w:r w:rsidRPr="00E27443">
        <w:t>development</w:t>
      </w:r>
      <w:r w:rsidR="00C63F8F" w:rsidRPr="00E27443">
        <w:t xml:space="preserve"> </w:t>
      </w:r>
      <w:r w:rsidRPr="00E27443">
        <w:t>projects</w:t>
      </w:r>
      <w:r w:rsidR="00C63F8F" w:rsidRPr="00E27443">
        <w:t xml:space="preserve"> </w:t>
      </w:r>
      <w:r w:rsidRPr="00E27443">
        <w:t>for</w:t>
      </w:r>
      <w:r w:rsidR="00C63F8F" w:rsidRPr="00E27443">
        <w:t xml:space="preserve"> </w:t>
      </w:r>
      <w:r w:rsidRPr="00E27443">
        <w:t>new</w:t>
      </w:r>
      <w:r w:rsidR="00C63F8F" w:rsidRPr="00E27443">
        <w:t xml:space="preserve"> </w:t>
      </w:r>
      <w:r w:rsidRPr="00E27443">
        <w:t>IT.</w:t>
      </w:r>
      <w:r w:rsidR="00C63F8F" w:rsidRPr="00E27443">
        <w:t xml:space="preserve"> </w:t>
      </w:r>
      <w:r w:rsidRPr="00E27443">
        <w:t>For</w:t>
      </w:r>
      <w:r w:rsidR="00C63F8F" w:rsidRPr="00E27443">
        <w:t xml:space="preserve"> </w:t>
      </w:r>
      <w:r w:rsidRPr="00E27443">
        <w:t>some</w:t>
      </w:r>
      <w:r w:rsidR="00C63F8F" w:rsidRPr="00E27443">
        <w:t xml:space="preserve"> </w:t>
      </w:r>
      <w:r w:rsidRPr="00E27443">
        <w:t>twenty</w:t>
      </w:r>
      <w:r w:rsidR="00C63F8F" w:rsidRPr="00E27443">
        <w:t xml:space="preserve"> </w:t>
      </w:r>
      <w:r w:rsidRPr="00E27443">
        <w:t>years,</w:t>
      </w:r>
      <w:r w:rsidR="00C63F8F" w:rsidRPr="00E27443">
        <w:t xml:space="preserve"> </w:t>
      </w:r>
      <w:r w:rsidRPr="00E27443">
        <w:t>the</w:t>
      </w:r>
      <w:r w:rsidR="00C63F8F" w:rsidRPr="00E27443">
        <w:t xml:space="preserve"> </w:t>
      </w:r>
      <w:r w:rsidRPr="00E27443">
        <w:t>Institute</w:t>
      </w:r>
      <w:r w:rsidR="00C63F8F" w:rsidRPr="00E27443">
        <w:t xml:space="preserve"> </w:t>
      </w:r>
      <w:r w:rsidRPr="00E27443">
        <w:t>has</w:t>
      </w:r>
      <w:r w:rsidR="00C63F8F" w:rsidRPr="00E27443">
        <w:t xml:space="preserve"> </w:t>
      </w:r>
      <w:r w:rsidRPr="00E27443">
        <w:t>been</w:t>
      </w:r>
      <w:r w:rsidR="00C63F8F" w:rsidRPr="00E27443">
        <w:t xml:space="preserve"> </w:t>
      </w:r>
      <w:r w:rsidRPr="00E27443">
        <w:t>arranging</w:t>
      </w:r>
      <w:r w:rsidR="00C63F8F" w:rsidRPr="00E27443">
        <w:t xml:space="preserve"> </w:t>
      </w:r>
      <w:r w:rsidRPr="00E27443">
        <w:t>annual</w:t>
      </w:r>
      <w:r w:rsidR="00C63F8F" w:rsidRPr="00E27443">
        <w:t xml:space="preserve"> </w:t>
      </w:r>
      <w:r w:rsidRPr="00E27443">
        <w:t>seminars</w:t>
      </w:r>
      <w:r w:rsidR="00C63F8F" w:rsidRPr="00E27443">
        <w:t xml:space="preserve"> </w:t>
      </w:r>
      <w:r w:rsidRPr="00E27443">
        <w:t>and</w:t>
      </w:r>
      <w:r w:rsidR="00C63F8F" w:rsidRPr="00E27443">
        <w:t xml:space="preserve"> </w:t>
      </w:r>
      <w:r w:rsidRPr="00E27443">
        <w:t>exhibitions</w:t>
      </w:r>
      <w:r w:rsidR="00C63F8F" w:rsidRPr="00E27443">
        <w:t xml:space="preserve"> </w:t>
      </w:r>
      <w:r w:rsidRPr="00E27443">
        <w:t>regarding</w:t>
      </w:r>
      <w:r w:rsidR="00C63F8F" w:rsidRPr="00E27443">
        <w:t xml:space="preserve"> </w:t>
      </w:r>
      <w:r w:rsidRPr="00E27443">
        <w:t>new</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communication</w:t>
      </w:r>
      <w:r w:rsidR="00C63F8F" w:rsidRPr="00E27443">
        <w:t xml:space="preserve"> </w:t>
      </w:r>
      <w:r w:rsidRPr="00E27443">
        <w:t>technology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a</w:t>
      </w:r>
      <w:r w:rsidR="00C63F8F" w:rsidRPr="00E27443">
        <w:t xml:space="preserve"> </w:t>
      </w:r>
      <w:r w:rsidRPr="00E27443">
        <w:t>report</w:t>
      </w:r>
      <w:r w:rsidR="00C63F8F" w:rsidRPr="00E27443">
        <w:t xml:space="preserve"> </w:t>
      </w:r>
      <w:r w:rsidRPr="00E27443">
        <w:t>that</w:t>
      </w:r>
      <w:r w:rsidR="00C63F8F" w:rsidRPr="00E27443">
        <w:t xml:space="preserve"> </w:t>
      </w:r>
      <w:r w:rsidRPr="00E27443">
        <w:t>was</w:t>
      </w:r>
      <w:r w:rsidR="00C63F8F" w:rsidRPr="00E27443">
        <w:t xml:space="preserve"> </w:t>
      </w:r>
      <w:r w:rsidRPr="00E27443">
        <w:t>submitted</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w:t>
      </w:r>
      <w:r w:rsidR="00C63F8F" w:rsidRPr="00E27443">
        <w:t xml:space="preserve"> </w:t>
      </w:r>
      <w:r w:rsidRPr="00E27443">
        <w:t>autumn</w:t>
      </w:r>
      <w:r w:rsidR="00C63F8F" w:rsidRPr="00E27443">
        <w:t xml:space="preserve"> </w:t>
      </w:r>
      <w:r w:rsidRPr="00E27443">
        <w:t>2009,</w:t>
      </w:r>
      <w:r w:rsidR="00C63F8F" w:rsidRPr="00E27443">
        <w:t xml:space="preserve"> </w:t>
      </w:r>
      <w:r w:rsidRPr="00E27443">
        <w:t>the</w:t>
      </w:r>
      <w:r w:rsidR="00C63F8F" w:rsidRPr="00E27443">
        <w:t xml:space="preserve"> </w:t>
      </w:r>
      <w:r w:rsidRPr="00E27443">
        <w:t>Swedish</w:t>
      </w:r>
      <w:r w:rsidR="00C63F8F" w:rsidRPr="00E27443">
        <w:t xml:space="preserve"> </w:t>
      </w:r>
      <w:r w:rsidRPr="00E27443">
        <w:t>Agency</w:t>
      </w:r>
      <w:r w:rsidR="00C63F8F" w:rsidRPr="00E27443">
        <w:t xml:space="preserve"> </w:t>
      </w:r>
      <w:r w:rsidRPr="00E27443">
        <w:t>for</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Coordination,</w:t>
      </w:r>
      <w:r w:rsidR="00C63F8F" w:rsidRPr="00E27443">
        <w:t xml:space="preserve"> </w:t>
      </w:r>
      <w:r w:rsidRPr="00E27443">
        <w:t>Handisam,</w:t>
      </w:r>
      <w:r w:rsidR="00C63F8F" w:rsidRPr="00E27443">
        <w:t xml:space="preserve"> </w:t>
      </w:r>
      <w:r w:rsidRPr="00E27443">
        <w:t>submitted</w:t>
      </w:r>
      <w:r w:rsidR="00C63F8F" w:rsidRPr="00E27443">
        <w:t xml:space="preserve"> </w:t>
      </w:r>
      <w:r w:rsidRPr="00E27443">
        <w:t>a</w:t>
      </w:r>
      <w:r w:rsidR="00C63F8F" w:rsidRPr="00E27443">
        <w:t xml:space="preserve"> </w:t>
      </w:r>
      <w:r w:rsidRPr="00E27443">
        <w:t>proposed</w:t>
      </w:r>
      <w:r w:rsidR="00C63F8F" w:rsidRPr="00E27443">
        <w:t xml:space="preserve"> </w:t>
      </w:r>
      <w:r w:rsidRPr="00E27443">
        <w:t>action</w:t>
      </w:r>
      <w:r w:rsidR="00C63F8F" w:rsidRPr="00E27443">
        <w:t xml:space="preserve"> </w:t>
      </w:r>
      <w:r w:rsidRPr="00E27443">
        <w:t>plan</w:t>
      </w:r>
      <w:r w:rsidR="00C63F8F" w:rsidRPr="00E27443">
        <w:t xml:space="preserve"> </w:t>
      </w:r>
      <w:r w:rsidRPr="00E27443">
        <w:t>for</w:t>
      </w:r>
      <w:r w:rsidR="00C63F8F" w:rsidRPr="00E27443">
        <w:t xml:space="preserve"> </w:t>
      </w:r>
      <w:r w:rsidRPr="00E27443">
        <w:t>e-Inclusion,</w:t>
      </w:r>
      <w:r w:rsidR="00C63F8F" w:rsidRPr="00E27443">
        <w:t xml:space="preserve"> </w:t>
      </w:r>
      <w:r w:rsidRPr="00E27443">
        <w:t>in</w:t>
      </w:r>
      <w:r w:rsidR="00C63F8F" w:rsidRPr="00E27443">
        <w:t xml:space="preserve"> </w:t>
      </w:r>
      <w:r w:rsidRPr="00E27443">
        <w:t>the</w:t>
      </w:r>
      <w:r w:rsidR="00C63F8F" w:rsidRPr="00E27443">
        <w:t xml:space="preserve"> </w:t>
      </w:r>
      <w:r w:rsidRPr="00E27443">
        <w:t>report</w:t>
      </w:r>
      <w:r w:rsidR="00C63F8F" w:rsidRPr="00E27443">
        <w:t xml:space="preserve"> “</w:t>
      </w:r>
      <w:r w:rsidRPr="00E27443">
        <w:t>Rätt</w:t>
      </w:r>
      <w:r w:rsidR="00C63F8F" w:rsidRPr="00E27443">
        <w:t xml:space="preserve"> </w:t>
      </w:r>
      <w:r w:rsidRPr="00E27443">
        <w:t>från</w:t>
      </w:r>
      <w:r w:rsidR="00C63F8F" w:rsidRPr="00E27443">
        <w:t xml:space="preserve"> </w:t>
      </w:r>
      <w:r w:rsidRPr="00E27443">
        <w:t>början</w:t>
      </w:r>
      <w:r w:rsidR="00C63F8F" w:rsidRPr="00E27443">
        <w:t xml:space="preserve">” </w:t>
      </w:r>
      <w:r w:rsidRPr="00E27443">
        <w:t>[</w:t>
      </w:r>
      <w:r w:rsidR="00C63F8F" w:rsidRPr="00E27443">
        <w:t>“</w:t>
      </w:r>
      <w:r w:rsidRPr="00E27443">
        <w:t>Right</w:t>
      </w:r>
      <w:r w:rsidR="00C63F8F" w:rsidRPr="00E27443">
        <w:t xml:space="preserve"> </w:t>
      </w:r>
      <w:r w:rsidRPr="00E27443">
        <w:t>from</w:t>
      </w:r>
      <w:r w:rsidR="00C63F8F" w:rsidRPr="00E27443">
        <w:t xml:space="preserve"> </w:t>
      </w:r>
      <w:r w:rsidRPr="00E27443">
        <w:t>the</w:t>
      </w:r>
      <w:r w:rsidR="00C63F8F" w:rsidRPr="00E27443">
        <w:t xml:space="preserve"> </w:t>
      </w:r>
      <w:r w:rsidRPr="00E27443">
        <w:t>beginning</w:t>
      </w:r>
      <w:r w:rsidR="00C63F8F" w:rsidRPr="00E27443">
        <w:t>”</w:t>
      </w:r>
      <w:r w:rsidRPr="00E27443">
        <w:t>].</w:t>
      </w:r>
      <w:r w:rsidR="00C63F8F" w:rsidRPr="00E27443">
        <w:t xml:space="preserve"> </w:t>
      </w:r>
      <w:r w:rsidRPr="00E27443">
        <w:t>Several</w:t>
      </w:r>
      <w:r w:rsidR="00C63F8F" w:rsidRPr="00E27443">
        <w:t xml:space="preserve"> </w:t>
      </w:r>
      <w:r w:rsidRPr="00E27443">
        <w:t>measures</w:t>
      </w:r>
      <w:r w:rsidR="00C63F8F" w:rsidRPr="00E27443">
        <w:t xml:space="preserve"> </w:t>
      </w:r>
      <w:r w:rsidRPr="00E27443">
        <w:t>from</w:t>
      </w:r>
      <w:r w:rsidR="00C63F8F" w:rsidRPr="00E27443">
        <w:t xml:space="preserve"> </w:t>
      </w:r>
      <w:r w:rsidRPr="00E27443">
        <w:t>the</w:t>
      </w:r>
      <w:r w:rsidR="00C63F8F" w:rsidRPr="00E27443">
        <w:t xml:space="preserve"> </w:t>
      </w:r>
      <w:r w:rsidRPr="00E27443">
        <w:t>action</w:t>
      </w:r>
      <w:r w:rsidR="00C63F8F" w:rsidRPr="00E27443">
        <w:t xml:space="preserve"> </w:t>
      </w:r>
      <w:r w:rsidRPr="00E27443">
        <w:t>plan</w:t>
      </w:r>
      <w:r w:rsidR="00C63F8F" w:rsidRPr="00E27443">
        <w:t xml:space="preserve"> </w:t>
      </w:r>
      <w:r w:rsidRPr="00E27443">
        <w:t>have</w:t>
      </w:r>
      <w:r w:rsidR="00C63F8F" w:rsidRPr="00E27443">
        <w:t xml:space="preserve"> </w:t>
      </w:r>
      <w:r w:rsidRPr="00E27443">
        <w:t>already</w:t>
      </w:r>
      <w:r w:rsidR="00C63F8F" w:rsidRPr="00E27443">
        <w:t xml:space="preserve"> </w:t>
      </w:r>
      <w:r w:rsidRPr="00E27443">
        <w:t>been</w:t>
      </w:r>
      <w:r w:rsidR="00C63F8F" w:rsidRPr="00E27443">
        <w:t xml:space="preserve"> </w:t>
      </w:r>
      <w:r w:rsidRPr="00E27443">
        <w:t>implemented</w:t>
      </w:r>
      <w:r w:rsidR="00C63F8F" w:rsidRPr="00E27443">
        <w:t xml:space="preserve"> </w:t>
      </w:r>
      <w:r w:rsidRPr="00E27443">
        <w:t>within</w:t>
      </w:r>
      <w:r w:rsidR="00C63F8F" w:rsidRPr="00E27443">
        <w:t xml:space="preserve"> </w:t>
      </w:r>
      <w:r w:rsidRPr="00E27443">
        <w:t>various</w:t>
      </w:r>
      <w:r w:rsidR="00C63F8F" w:rsidRPr="00E27443">
        <w:t xml:space="preserve"> </w:t>
      </w:r>
      <w:r w:rsidRPr="00E27443">
        <w:t>policy</w:t>
      </w:r>
      <w:r w:rsidR="00C63F8F" w:rsidRPr="00E27443">
        <w:t xml:space="preserve"> </w:t>
      </w:r>
      <w:r w:rsidRPr="00E27443">
        <w:t>areas.</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reported</w:t>
      </w:r>
      <w:r w:rsidR="00C63F8F" w:rsidRPr="00E27443">
        <w:t xml:space="preserve"> </w:t>
      </w:r>
      <w:r w:rsidRPr="00E27443">
        <w:t>to</w:t>
      </w:r>
      <w:r w:rsidR="00C63F8F" w:rsidRPr="00E27443">
        <w:t xml:space="preserve"> </w:t>
      </w:r>
      <w:r w:rsidRPr="00E27443">
        <w:t>Parliament</w:t>
      </w:r>
      <w:r w:rsidR="009736AF" w:rsidRPr="00E27443">
        <w:rPr>
          <w:rStyle w:val="FootnoteReference"/>
        </w:rPr>
        <w:footnoteReference w:id="51"/>
      </w:r>
      <w:r w:rsidR="00C63F8F" w:rsidRPr="00E27443">
        <w:t xml:space="preserve"> </w:t>
      </w:r>
      <w:r w:rsidRPr="00E27443">
        <w:t>how</w:t>
      </w:r>
      <w:r w:rsidR="00C63F8F" w:rsidRPr="00E27443">
        <w:t xml:space="preserve"> </w:t>
      </w:r>
      <w:r w:rsidRPr="00E27443">
        <w:t>accessibility</w:t>
      </w:r>
      <w:r w:rsidR="00C63F8F" w:rsidRPr="00E27443">
        <w:t xml:space="preserve"> </w:t>
      </w:r>
      <w:r w:rsidRPr="00E27443">
        <w:t>and</w:t>
      </w:r>
      <w:r w:rsidR="00C63F8F" w:rsidRPr="00E27443">
        <w:t xml:space="preserve"> </w:t>
      </w:r>
      <w:r w:rsidRPr="00E27443">
        <w:t>usability</w:t>
      </w:r>
      <w:r w:rsidR="00C63F8F" w:rsidRPr="00E27443">
        <w:t xml:space="preserve"> </w:t>
      </w:r>
      <w:r w:rsidRPr="00E27443">
        <w:t>regarding</w:t>
      </w:r>
      <w:r w:rsidR="00C63F8F" w:rsidRPr="00E27443">
        <w:t xml:space="preserve"> </w:t>
      </w:r>
      <w:r w:rsidRPr="00E27443">
        <w:t>public</w:t>
      </w:r>
      <w:r w:rsidR="00C63F8F" w:rsidRPr="00E27443">
        <w:t xml:space="preserve"> </w:t>
      </w:r>
      <w:r w:rsidRPr="00E27443">
        <w:t>websites</w:t>
      </w:r>
      <w:r w:rsidR="00C63F8F" w:rsidRPr="00E27443">
        <w:t xml:space="preserve"> </w:t>
      </w:r>
      <w:r w:rsidRPr="00E27443">
        <w:t>will</w:t>
      </w:r>
      <w:r w:rsidR="00C63F8F" w:rsidRPr="00E27443">
        <w:t xml:space="preserve"> </w:t>
      </w:r>
      <w:r w:rsidRPr="00E27443">
        <w:t>increase.</w:t>
      </w:r>
      <w:r w:rsidR="00C63F8F" w:rsidRPr="00E27443">
        <w:t xml:space="preserve"> </w:t>
      </w:r>
      <w:r w:rsidRPr="00E27443">
        <w:t>Knowledge</w:t>
      </w:r>
      <w:r w:rsidR="00C63F8F" w:rsidRPr="00E27443">
        <w:t xml:space="preserve"> </w:t>
      </w:r>
      <w:r w:rsidRPr="00E27443">
        <w:t>and</w:t>
      </w:r>
      <w:r w:rsidR="00C63F8F" w:rsidRPr="00E27443">
        <w:t xml:space="preserve"> </w:t>
      </w:r>
      <w:r w:rsidRPr="00E27443">
        <w:t>acquisition</w:t>
      </w:r>
      <w:r w:rsidR="00C63F8F" w:rsidRPr="00E27443">
        <w:t xml:space="preserve"> </w:t>
      </w:r>
      <w:r w:rsidRPr="00E27443">
        <w:t>competence</w:t>
      </w:r>
      <w:r w:rsidR="00C63F8F" w:rsidRPr="00E27443">
        <w:t xml:space="preserve"> </w:t>
      </w:r>
      <w:r w:rsidRPr="00E27443">
        <w:t>regarding</w:t>
      </w:r>
      <w:r w:rsidR="00C63F8F" w:rsidRPr="00E27443">
        <w:t xml:space="preserve"> </w:t>
      </w:r>
      <w:r w:rsidRPr="00E27443">
        <w:t>accessibility</w:t>
      </w:r>
      <w:r w:rsidR="00C63F8F" w:rsidRPr="00E27443">
        <w:t xml:space="preserve"> </w:t>
      </w:r>
      <w:r w:rsidRPr="00E27443">
        <w:t>and</w:t>
      </w:r>
      <w:r w:rsidR="00C63F8F" w:rsidRPr="00E27443">
        <w:t xml:space="preserve"> </w:t>
      </w:r>
      <w:r w:rsidRPr="00E27443">
        <w:t>usability</w:t>
      </w:r>
      <w:r w:rsidR="00C63F8F" w:rsidRPr="00E27443">
        <w:t xml:space="preserve"> </w:t>
      </w:r>
      <w:r w:rsidRPr="00E27443">
        <w:t>must</w:t>
      </w:r>
      <w:r w:rsidR="00C63F8F" w:rsidRPr="00E27443">
        <w:t xml:space="preserve"> </w:t>
      </w:r>
      <w:r w:rsidRPr="00E27443">
        <w:t>be</w:t>
      </w:r>
      <w:r w:rsidR="00C63F8F" w:rsidRPr="00E27443">
        <w:t xml:space="preserve"> </w:t>
      </w:r>
      <w:r w:rsidRPr="00E27443">
        <w:t>strengthened</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the</w:t>
      </w:r>
      <w:r w:rsidR="00C63F8F" w:rsidRPr="00E27443">
        <w:t xml:space="preserve"> </w:t>
      </w:r>
      <w:r w:rsidRPr="00E27443">
        <w:t>public</w:t>
      </w:r>
      <w:r w:rsidR="00C63F8F" w:rsidRPr="00E27443">
        <w:t xml:space="preserve"> </w:t>
      </w:r>
      <w:r w:rsidRPr="00E27443">
        <w:t>procurement</w:t>
      </w:r>
      <w:r w:rsidR="00C63F8F" w:rsidRPr="00E27443">
        <w:t xml:space="preserve"> </w:t>
      </w:r>
      <w:r w:rsidRPr="00E27443">
        <w:t>of</w:t>
      </w:r>
      <w:r w:rsidR="00C63F8F" w:rsidRPr="00E27443">
        <w:t xml:space="preserve"> </w:t>
      </w:r>
      <w:r w:rsidRPr="00E27443">
        <w:t>e-services.</w:t>
      </w:r>
      <w:r w:rsidR="00C63F8F" w:rsidRPr="00E27443">
        <w:t xml:space="preserve"> </w:t>
      </w:r>
    </w:p>
    <w:p w:rsidR="00321ADA" w:rsidRPr="00E27443" w:rsidRDefault="009736AF" w:rsidP="009736AF">
      <w:pPr>
        <w:pStyle w:val="H1G"/>
      </w:pPr>
      <w:r w:rsidRPr="00E27443">
        <w:tab/>
      </w:r>
      <w:r w:rsidRPr="00E27443">
        <w:tab/>
      </w:r>
      <w:bookmarkStart w:id="10" w:name="_Toc290623294"/>
      <w:r w:rsidR="00321ADA" w:rsidRPr="00E27443">
        <w:t>Article</w:t>
      </w:r>
      <w:r w:rsidR="00C63F8F" w:rsidRPr="00E27443">
        <w:t xml:space="preserve"> </w:t>
      </w:r>
      <w:r w:rsidR="00321ADA" w:rsidRPr="00E27443">
        <w:t>10</w:t>
      </w:r>
      <w:r w:rsidR="00E75253">
        <w:t xml:space="preserve">: </w:t>
      </w:r>
      <w:r w:rsidR="00321ADA" w:rsidRPr="00E27443">
        <w:t>Right</w:t>
      </w:r>
      <w:r w:rsidR="00C63F8F" w:rsidRPr="00E27443">
        <w:t xml:space="preserve"> </w:t>
      </w:r>
      <w:r w:rsidR="00321ADA" w:rsidRPr="00E27443">
        <w:t>to</w:t>
      </w:r>
      <w:r w:rsidR="00C63F8F" w:rsidRPr="00E27443">
        <w:t xml:space="preserve"> </w:t>
      </w:r>
      <w:r w:rsidR="00321ADA" w:rsidRPr="00E27443">
        <w:t>life</w:t>
      </w:r>
      <w:bookmarkEnd w:id="10"/>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life</w:t>
      </w:r>
      <w:r w:rsidR="00C63F8F" w:rsidRPr="00E27443">
        <w:t xml:space="preserve"> </w:t>
      </w:r>
      <w:r w:rsidRPr="00E27443">
        <w:t>is</w:t>
      </w:r>
      <w:r w:rsidR="00C63F8F" w:rsidRPr="00E27443">
        <w:t xml:space="preserve"> </w:t>
      </w:r>
      <w:r w:rsidRPr="00E27443">
        <w:t>protected,</w:t>
      </w:r>
      <w:r w:rsidR="00C63F8F" w:rsidRPr="00E27443">
        <w:t xml:space="preserve"> </w:t>
      </w:r>
      <w:r w:rsidRPr="00E27443">
        <w:t>for</w:t>
      </w:r>
      <w:r w:rsidR="00C63F8F" w:rsidRPr="00E27443">
        <w:t xml:space="preserve"> </w:t>
      </w:r>
      <w:r w:rsidRPr="00E27443">
        <w:t>example</w:t>
      </w:r>
      <w:r w:rsidR="00C63F8F" w:rsidRPr="00E27443">
        <w:t xml:space="preserve"> </w:t>
      </w:r>
      <w:r w:rsidRPr="00E27443">
        <w:t>in</w:t>
      </w:r>
      <w:r w:rsidR="00C63F8F" w:rsidRPr="00E27443">
        <w:t xml:space="preserve"> </w:t>
      </w:r>
      <w:r w:rsidRPr="00E27443">
        <w:t>Article</w:t>
      </w:r>
      <w:r w:rsidR="00C63F8F" w:rsidRPr="00E27443">
        <w:t xml:space="preserve"> </w:t>
      </w:r>
      <w:r w:rsidRPr="00E27443">
        <w:t>2</w:t>
      </w:r>
      <w:r w:rsidR="00C63F8F" w:rsidRPr="00E27443">
        <w:t xml:space="preserve"> </w:t>
      </w:r>
      <w:r w:rsidRPr="00E27443">
        <w:t>of</w:t>
      </w:r>
      <w:r w:rsidR="00C63F8F" w:rsidRPr="00E27443">
        <w:t xml:space="preserve"> </w:t>
      </w:r>
      <w:r w:rsidRPr="00E27443">
        <w:t>the</w:t>
      </w:r>
      <w:r w:rsidR="00C63F8F" w:rsidRPr="00E27443">
        <w:t xml:space="preserve"> </w:t>
      </w:r>
      <w:r w:rsidRPr="00E27443">
        <w:t>European</w:t>
      </w:r>
      <w:r w:rsidR="00C63F8F" w:rsidRPr="00E27443">
        <w:t xml:space="preserve"> </w:t>
      </w:r>
      <w:r w:rsidRPr="00E27443">
        <w:t>Convention,</w:t>
      </w:r>
      <w:r w:rsidR="00C63F8F" w:rsidRPr="00E27443">
        <w:t xml:space="preserve"> </w:t>
      </w:r>
      <w:r w:rsidRPr="00E27443">
        <w:t>which</w:t>
      </w:r>
      <w:r w:rsidR="00C63F8F" w:rsidRPr="00E27443">
        <w:t xml:space="preserve"> </w:t>
      </w:r>
      <w:r w:rsidRPr="00E27443">
        <w:t>applies</w:t>
      </w:r>
      <w:r w:rsidR="00C63F8F" w:rsidRPr="00E27443">
        <w:t xml:space="preserve"> </w:t>
      </w:r>
      <w:r w:rsidRPr="00E27443">
        <w:t>as</w:t>
      </w:r>
      <w:r w:rsidR="00C63F8F" w:rsidRPr="00E27443">
        <w:t xml:space="preserve"> </w:t>
      </w:r>
      <w:r w:rsidRPr="00E27443">
        <w:t>Swedish</w:t>
      </w:r>
      <w:r w:rsidR="00C63F8F" w:rsidRPr="00E27443">
        <w:t xml:space="preserve"> </w:t>
      </w:r>
      <w:r w:rsidRPr="00E27443">
        <w:t>law.</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9736AF" w:rsidRPr="00E27443">
        <w:rPr>
          <w:rStyle w:val="FootnoteReference"/>
        </w:rPr>
        <w:footnoteReference w:id="52"/>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additional</w:t>
      </w:r>
      <w:r w:rsidR="00C63F8F" w:rsidRPr="00E27443">
        <w:t xml:space="preserve"> </w:t>
      </w:r>
      <w:r w:rsidRPr="00E27443">
        <w:t>protocols</w:t>
      </w:r>
      <w:r w:rsidR="00C63F8F" w:rsidRPr="00E27443">
        <w:t xml:space="preserve"> </w:t>
      </w:r>
      <w:r w:rsidRPr="00E27443">
        <w:t>6</w:t>
      </w:r>
      <w:r w:rsidR="00C63F8F" w:rsidRPr="00E27443">
        <w:t xml:space="preserve"> </w:t>
      </w:r>
      <w:r w:rsidRPr="00E27443">
        <w:t>and</w:t>
      </w:r>
      <w:r w:rsidR="00C63F8F" w:rsidRPr="00E27443">
        <w:t xml:space="preserve"> </w:t>
      </w:r>
      <w:r w:rsidRPr="00E27443">
        <w:t>13</w:t>
      </w:r>
      <w:r w:rsidR="00C63F8F" w:rsidRPr="00E27443">
        <w:t xml:space="preserve"> </w:t>
      </w:r>
      <w:r w:rsidRPr="00E27443">
        <w:t>to</w:t>
      </w:r>
      <w:r w:rsidR="00C63F8F" w:rsidRPr="00E27443">
        <w:t xml:space="preserve"> </w:t>
      </w:r>
      <w:r w:rsidRPr="00E27443">
        <w:t>the</w:t>
      </w:r>
      <w:r w:rsidR="00C63F8F" w:rsidRPr="00E27443">
        <w:t xml:space="preserve"> </w:t>
      </w:r>
      <w:r w:rsidRPr="00E27443">
        <w:t>European</w:t>
      </w:r>
      <w:r w:rsidR="00C63F8F" w:rsidRPr="00E27443">
        <w:t xml:space="preserve"> </w:t>
      </w:r>
      <w:r w:rsidRPr="00E27443">
        <w:t>Convention</w:t>
      </w:r>
      <w:r w:rsidR="00C63F8F" w:rsidRPr="00E27443">
        <w:t xml:space="preserve"> </w:t>
      </w:r>
      <w:r w:rsidRPr="00E27443">
        <w:t>contain</w:t>
      </w:r>
      <w:r w:rsidR="00C63F8F" w:rsidRPr="00E27443">
        <w:t xml:space="preserve"> </w:t>
      </w:r>
      <w:r w:rsidRPr="00E27443">
        <w:t>a</w:t>
      </w:r>
      <w:r w:rsidR="00C63F8F" w:rsidRPr="00E27443">
        <w:t xml:space="preserve"> </w:t>
      </w:r>
      <w:r w:rsidRPr="00E27443">
        <w:t>prohibition</w:t>
      </w:r>
      <w:r w:rsidR="00C63F8F" w:rsidRPr="00E27443">
        <w:t xml:space="preserve"> </w:t>
      </w:r>
      <w:r w:rsidRPr="00E27443">
        <w:t>of</w:t>
      </w:r>
      <w:r w:rsidR="00C63F8F" w:rsidRPr="00E27443">
        <w:t xml:space="preserve"> </w:t>
      </w:r>
      <w:r w:rsidRPr="00E27443">
        <w:t>the</w:t>
      </w:r>
      <w:r w:rsidR="00C63F8F" w:rsidRPr="00E27443">
        <w:t xml:space="preserve"> </w:t>
      </w:r>
      <w:r w:rsidRPr="00E27443">
        <w:t>death</w:t>
      </w:r>
      <w:r w:rsidR="00C63F8F" w:rsidRPr="00E27443">
        <w:t xml:space="preserve"> </w:t>
      </w:r>
      <w:r w:rsidRPr="00E27443">
        <w:t>penalty.</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also</w:t>
      </w:r>
      <w:r w:rsidR="00C63F8F" w:rsidRPr="00E27443">
        <w:t xml:space="preserve"> </w:t>
      </w:r>
      <w:r w:rsidRPr="00E27443">
        <w:t>ratified</w:t>
      </w:r>
      <w:r w:rsidR="00C63F8F" w:rsidRPr="00E27443">
        <w:t xml:space="preserve"> </w:t>
      </w:r>
      <w:r w:rsidRPr="00E27443">
        <w:t>the</w:t>
      </w:r>
      <w:r w:rsidR="00C63F8F" w:rsidRPr="00E27443">
        <w:t xml:space="preserve"> </w:t>
      </w:r>
      <w:r w:rsidRPr="00E27443">
        <w:t>second</w:t>
      </w:r>
      <w:r w:rsidR="00C63F8F" w:rsidRPr="00E27443">
        <w:t xml:space="preserve"> </w:t>
      </w:r>
      <w:r w:rsidRPr="00E27443">
        <w:t>facultative</w:t>
      </w:r>
      <w:r w:rsidR="00C63F8F" w:rsidRPr="00E27443">
        <w:t xml:space="preserve"> </w:t>
      </w:r>
      <w:r w:rsidRPr="00E27443">
        <w:t>protocol</w:t>
      </w:r>
      <w:r w:rsidR="00C63F8F" w:rsidRPr="00E27443">
        <w:t xml:space="preserve"> </w:t>
      </w:r>
      <w:r w:rsidRPr="00E27443">
        <w:t>to</w:t>
      </w:r>
      <w:r w:rsidR="00C63F8F" w:rsidRPr="00E27443">
        <w:t xml:space="preserve"> </w:t>
      </w:r>
      <w:r w:rsidRPr="00E27443">
        <w:t>the</w:t>
      </w:r>
      <w:r w:rsidR="00C63F8F" w:rsidRPr="00E27443">
        <w:t xml:space="preserve"> </w:t>
      </w:r>
      <w:r w:rsidRPr="00E27443">
        <w:t>Covenant</w:t>
      </w:r>
      <w:r w:rsidR="00C63F8F" w:rsidRPr="00E27443">
        <w:t xml:space="preserve"> </w:t>
      </w:r>
      <w:r w:rsidRPr="00E27443">
        <w:t>on</w:t>
      </w:r>
      <w:r w:rsidR="00C63F8F" w:rsidRPr="00E27443">
        <w:t xml:space="preserve"> </w:t>
      </w:r>
      <w:r w:rsidRPr="00E27443">
        <w:t>Civil</w:t>
      </w:r>
      <w:r w:rsidR="00C63F8F" w:rsidRPr="00E27443">
        <w:t xml:space="preserve"> </w:t>
      </w:r>
      <w:r w:rsidRPr="00E27443">
        <w:t>and</w:t>
      </w:r>
      <w:r w:rsidR="00C63F8F" w:rsidRPr="00E27443">
        <w:t xml:space="preserve"> </w:t>
      </w:r>
      <w:r w:rsidRPr="00E27443">
        <w:t>Political</w:t>
      </w:r>
      <w:r w:rsidR="00C63F8F" w:rsidRPr="00E27443">
        <w:t xml:space="preserve"> </w:t>
      </w:r>
      <w:r w:rsidRPr="00E27443">
        <w:t>Rights.</w:t>
      </w:r>
      <w:r w:rsidR="00C63F8F" w:rsidRPr="00E27443">
        <w:t xml:space="preserve"> </w:t>
      </w:r>
    </w:p>
    <w:p w:rsidR="00321ADA" w:rsidRPr="00E27443" w:rsidRDefault="009736AF" w:rsidP="009736AF">
      <w:pPr>
        <w:pStyle w:val="H1G"/>
      </w:pPr>
      <w:r w:rsidRPr="00E27443">
        <w:tab/>
      </w:r>
      <w:r w:rsidRPr="00E27443">
        <w:tab/>
      </w:r>
      <w:bookmarkStart w:id="11" w:name="_Toc290623295"/>
      <w:r w:rsidR="00321ADA" w:rsidRPr="00E27443">
        <w:t>Article</w:t>
      </w:r>
      <w:r w:rsidR="00C63F8F" w:rsidRPr="00E27443">
        <w:t xml:space="preserve"> </w:t>
      </w:r>
      <w:r w:rsidR="00321ADA" w:rsidRPr="00E27443">
        <w:t>11</w:t>
      </w:r>
      <w:r w:rsidR="00E75253">
        <w:t xml:space="preserve">: </w:t>
      </w:r>
      <w:r w:rsidR="00321ADA" w:rsidRPr="00E27443">
        <w:t>Situations</w:t>
      </w:r>
      <w:r w:rsidR="00C63F8F" w:rsidRPr="00E27443">
        <w:t xml:space="preserve"> </w:t>
      </w:r>
      <w:r w:rsidR="00321ADA" w:rsidRPr="00E27443">
        <w:t>of</w:t>
      </w:r>
      <w:r w:rsidR="00C63F8F" w:rsidRPr="00E27443">
        <w:t xml:space="preserve"> </w:t>
      </w:r>
      <w:r w:rsidR="00321ADA" w:rsidRPr="00E27443">
        <w:t>risk</w:t>
      </w:r>
      <w:r w:rsidR="00C63F8F" w:rsidRPr="00E27443">
        <w:t xml:space="preserve"> </w:t>
      </w:r>
      <w:r w:rsidR="00321ADA" w:rsidRPr="00E27443">
        <w:t>and</w:t>
      </w:r>
      <w:r w:rsidR="00C63F8F" w:rsidRPr="00E27443">
        <w:t xml:space="preserve"> </w:t>
      </w:r>
      <w:r w:rsidR="00321ADA" w:rsidRPr="00E27443">
        <w:t>humanitarian</w:t>
      </w:r>
      <w:r w:rsidR="00C63F8F" w:rsidRPr="00E27443">
        <w:t xml:space="preserve"> </w:t>
      </w:r>
      <w:r w:rsidR="00321ADA" w:rsidRPr="00E27443">
        <w:t>emergencies</w:t>
      </w:r>
      <w:bookmarkEnd w:id="11"/>
    </w:p>
    <w:p w:rsidR="00321ADA" w:rsidRPr="00E27443" w:rsidRDefault="00321ADA" w:rsidP="00E75253">
      <w:pPr>
        <w:pStyle w:val="SingleTxtG"/>
        <w:numPr>
          <w:ilvl w:val="0"/>
          <w:numId w:val="20"/>
        </w:numPr>
        <w:tabs>
          <w:tab w:val="left" w:pos="1843"/>
        </w:tabs>
        <w:ind w:left="1134" w:firstLine="0"/>
      </w:pPr>
      <w:r w:rsidRPr="00E27443">
        <w:t>Through</w:t>
      </w:r>
      <w:r w:rsidR="00C63F8F" w:rsidRPr="00E27443">
        <w:t xml:space="preserve"> </w:t>
      </w:r>
      <w:r w:rsidRPr="00E27443">
        <w:t>the</w:t>
      </w:r>
      <w:r w:rsidR="00C63F8F" w:rsidRPr="00E27443">
        <w:t xml:space="preserve"> </w:t>
      </w:r>
      <w:r w:rsidRPr="00E27443">
        <w:t>Swedish</w:t>
      </w:r>
      <w:r w:rsidR="00C63F8F" w:rsidRPr="00E27443">
        <w:t xml:space="preserve"> </w:t>
      </w:r>
      <w:r w:rsidRPr="00E27443">
        <w:t>Civil</w:t>
      </w:r>
      <w:r w:rsidR="00C63F8F" w:rsidRPr="00E27443">
        <w:t xml:space="preserve"> </w:t>
      </w:r>
      <w:r w:rsidRPr="00E27443">
        <w:t>Contingencies</w:t>
      </w:r>
      <w:r w:rsidR="00C63F8F" w:rsidRPr="00E27443">
        <w:t xml:space="preserve"> </w:t>
      </w:r>
      <w:r w:rsidRPr="00E27443">
        <w:t>Agency</w:t>
      </w:r>
      <w:r w:rsidR="009736AF" w:rsidRPr="00E75253">
        <w:footnoteReference w:id="53"/>
      </w:r>
      <w:r w:rsidR="00C63F8F" w:rsidRPr="00E27443">
        <w:t xml:space="preserve"> </w:t>
      </w:r>
      <w:r w:rsidRPr="00E27443">
        <w:t>(MSB),</w:t>
      </w:r>
      <w:r w:rsidR="00C63F8F" w:rsidRPr="00E27443">
        <w:t xml:space="preserve"> </w:t>
      </w:r>
      <w:r w:rsidRPr="00E27443">
        <w:t>the</w:t>
      </w:r>
      <w:r w:rsidR="00C63F8F" w:rsidRPr="00E27443">
        <w:t xml:space="preserve"> </w:t>
      </w:r>
      <w:r w:rsidRPr="00E27443">
        <w:t>State</w:t>
      </w:r>
      <w:r w:rsidR="00C63F8F" w:rsidRPr="00E27443">
        <w:t xml:space="preserve"> </w:t>
      </w:r>
      <w:r w:rsidRPr="00E27443">
        <w:t>has</w:t>
      </w:r>
      <w:r w:rsidR="00C63F8F" w:rsidRPr="00E27443">
        <w:t xml:space="preserve"> </w:t>
      </w:r>
      <w:r w:rsidRPr="00E27443">
        <w:t>an</w:t>
      </w:r>
      <w:r w:rsidR="00C63F8F" w:rsidRPr="00E27443">
        <w:t xml:space="preserve"> </w:t>
      </w:r>
      <w:r w:rsidRPr="00E27443">
        <w:t>overall</w:t>
      </w:r>
      <w:r w:rsidR="00C63F8F" w:rsidRPr="00E27443">
        <w:t xml:space="preserve"> </w:t>
      </w:r>
      <w:r w:rsidRPr="00E27443">
        <w:t>national</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protection</w:t>
      </w:r>
      <w:r w:rsidR="00C63F8F" w:rsidRPr="00E27443">
        <w:t xml:space="preserve"> </w:t>
      </w:r>
      <w:r w:rsidRPr="00E27443">
        <w:t>and</w:t>
      </w:r>
      <w:r w:rsidR="00C63F8F" w:rsidRPr="00E27443">
        <w:t xml:space="preserve"> </w:t>
      </w:r>
      <w:r w:rsidRPr="00E27443">
        <w:t>security</w:t>
      </w:r>
      <w:r w:rsidR="00C63F8F" w:rsidRPr="00E27443">
        <w:t xml:space="preserve"> </w:t>
      </w:r>
      <w:r w:rsidRPr="00E27443">
        <w:t>for</w:t>
      </w:r>
      <w:r w:rsidR="00C63F8F" w:rsidRPr="00E27443">
        <w:t xml:space="preserve"> </w:t>
      </w:r>
      <w:r w:rsidRPr="00E27443">
        <w:t>all</w:t>
      </w:r>
      <w:r w:rsidR="00C63F8F" w:rsidRPr="00E27443">
        <w:t xml:space="preserve"> </w:t>
      </w:r>
      <w:r w:rsidRPr="00E27443">
        <w:t>those</w:t>
      </w:r>
      <w:r w:rsidR="00C63F8F" w:rsidRPr="00E27443">
        <w:t xml:space="preserve"> </w:t>
      </w:r>
      <w:r w:rsidRPr="00E27443">
        <w:t>in</w:t>
      </w:r>
      <w:r w:rsidR="00C63F8F" w:rsidRPr="00E27443">
        <w:t xml:space="preserve"> </w:t>
      </w:r>
      <w:r w:rsidRPr="00E75253">
        <w:t>situations</w:t>
      </w:r>
      <w:r w:rsidR="00C63F8F" w:rsidRPr="00E75253">
        <w:t xml:space="preserve"> </w:t>
      </w:r>
      <w:r w:rsidRPr="00E75253">
        <w:t>of</w:t>
      </w:r>
      <w:r w:rsidR="00C63F8F" w:rsidRPr="00E75253">
        <w:t xml:space="preserve"> </w:t>
      </w:r>
      <w:r w:rsidRPr="00E75253">
        <w:t>risk</w:t>
      </w:r>
      <w:r w:rsidRPr="00E27443">
        <w:t>,</w:t>
      </w:r>
      <w:r w:rsidR="00C63F8F" w:rsidRPr="00E27443">
        <w:t xml:space="preserve"> </w:t>
      </w:r>
      <w:r w:rsidRPr="00E27443">
        <w:t>including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work</w:t>
      </w:r>
      <w:r w:rsidR="00C63F8F" w:rsidRPr="00E27443">
        <w:t xml:space="preserve"> </w:t>
      </w:r>
      <w:r w:rsidRPr="00E27443">
        <w:t>on</w:t>
      </w:r>
      <w:r w:rsidR="00C63F8F" w:rsidRPr="00E27443">
        <w:t xml:space="preserve"> </w:t>
      </w:r>
      <w:r w:rsidRPr="00E27443">
        <w:t>both</w:t>
      </w:r>
      <w:r w:rsidR="00C63F8F" w:rsidRPr="00E27443">
        <w:t xml:space="preserve"> </w:t>
      </w:r>
      <w:r w:rsidRPr="00E27443">
        <w:t>preventive</w:t>
      </w:r>
      <w:r w:rsidR="00C63F8F" w:rsidRPr="00E27443">
        <w:t xml:space="preserve"> </w:t>
      </w:r>
      <w:r w:rsidRPr="00E27443">
        <w:t>measures</w:t>
      </w:r>
      <w:r w:rsidR="00C63F8F" w:rsidRPr="00E27443">
        <w:t xml:space="preserve"> </w:t>
      </w:r>
      <w:r w:rsidRPr="00E27443">
        <w:t>and</w:t>
      </w:r>
      <w:r w:rsidR="00C63F8F" w:rsidRPr="00E27443">
        <w:t xml:space="preserve"> </w:t>
      </w:r>
      <w:r w:rsidRPr="00E27443">
        <w:t>operational</w:t>
      </w:r>
      <w:r w:rsidR="00C63F8F" w:rsidRPr="00E27443">
        <w:t xml:space="preserve"> </w:t>
      </w:r>
      <w:r w:rsidRPr="00E27443">
        <w:t>initiatives,</w:t>
      </w:r>
      <w:r w:rsidR="00C63F8F" w:rsidRPr="00E27443">
        <w:t xml:space="preserve"> </w:t>
      </w:r>
      <w:r w:rsidRPr="00E27443">
        <w:t>such</w:t>
      </w:r>
      <w:r w:rsidR="00C63F8F" w:rsidRPr="00E27443">
        <w:t xml:space="preserve"> </w:t>
      </w:r>
      <w:r w:rsidRPr="00E27443">
        <w:t>as</w:t>
      </w:r>
      <w:r w:rsidR="00C63F8F" w:rsidRPr="00E27443">
        <w:t xml:space="preserve"> </w:t>
      </w:r>
      <w:r w:rsidRPr="00E27443">
        <w:t>alarms</w:t>
      </w:r>
      <w:r w:rsidR="00C63F8F" w:rsidRPr="00E27443">
        <w:t xml:space="preserve"> </w:t>
      </w:r>
      <w:r w:rsidRPr="00E27443">
        <w:t>regarding</w:t>
      </w:r>
      <w:r w:rsidR="00C63F8F" w:rsidRPr="00E27443">
        <w:t xml:space="preserve"> </w:t>
      </w:r>
      <w:r w:rsidRPr="00E27443">
        <w:t>emergency</w:t>
      </w:r>
      <w:r w:rsidR="00C63F8F" w:rsidRPr="00E27443">
        <w:t xml:space="preserve"> </w:t>
      </w:r>
      <w:r w:rsidRPr="00E27443">
        <w:t>situations,</w:t>
      </w:r>
      <w:r w:rsidR="00C63F8F" w:rsidRPr="00E27443">
        <w:t xml:space="preserve"> </w:t>
      </w:r>
      <w:r w:rsidRPr="00E27443">
        <w:t>requires</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various</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their</w:t>
      </w:r>
      <w:r w:rsidR="00C63F8F" w:rsidRPr="00E27443">
        <w:t xml:space="preserve"> </w:t>
      </w:r>
      <w:r w:rsidRPr="00E27443">
        <w:t>basic</w:t>
      </w:r>
      <w:r w:rsidR="00C63F8F" w:rsidRPr="00E27443">
        <w:t xml:space="preserve"> </w:t>
      </w:r>
      <w:r w:rsidRPr="00E27443">
        <w:t>training,</w:t>
      </w:r>
      <w:r w:rsidR="00C63F8F" w:rsidRPr="00E27443">
        <w:t xml:space="preserve"> </w:t>
      </w:r>
      <w:r w:rsidRPr="00E27443">
        <w:t>all</w:t>
      </w:r>
      <w:r w:rsidR="00C63F8F" w:rsidRPr="00E27443">
        <w:t xml:space="preserve"> </w:t>
      </w:r>
      <w:r w:rsidRPr="00E27443">
        <w:t>rescue</w:t>
      </w:r>
      <w:r w:rsidR="00C63F8F" w:rsidRPr="00E27443">
        <w:t xml:space="preserve"> </w:t>
      </w:r>
      <w:r w:rsidRPr="00E27443">
        <w:t>services</w:t>
      </w:r>
      <w:r w:rsidR="00C63F8F" w:rsidRPr="00E27443">
        <w:t xml:space="preserve"> </w:t>
      </w:r>
      <w:r w:rsidRPr="00E27443">
        <w:t>personnel</w:t>
      </w:r>
      <w:r w:rsidR="00C63F8F" w:rsidRPr="00E27443">
        <w:t xml:space="preserve"> </w:t>
      </w:r>
      <w:r w:rsidRPr="00E27443">
        <w:t>learn</w:t>
      </w:r>
      <w:r w:rsidR="00C63F8F" w:rsidRPr="00E27443">
        <w:t xml:space="preserve"> </w:t>
      </w:r>
      <w:r w:rsidRPr="00E27443">
        <w:t>the</w:t>
      </w:r>
      <w:r w:rsidR="00C63F8F" w:rsidRPr="00E27443">
        <w:t xml:space="preserve"> </w:t>
      </w:r>
      <w:r w:rsidRPr="00E27443">
        <w:t>skills</w:t>
      </w:r>
      <w:r w:rsidR="00C63F8F" w:rsidRPr="00E27443">
        <w:t xml:space="preserve"> </w:t>
      </w:r>
      <w:r w:rsidRPr="00E27443">
        <w:t>to</w:t>
      </w:r>
      <w:r w:rsidR="00C63F8F" w:rsidRPr="00E27443">
        <w:t xml:space="preserve"> </w:t>
      </w:r>
      <w:r w:rsidRPr="00E27443">
        <w:t>identify,</w:t>
      </w:r>
      <w:r w:rsidR="00C63F8F" w:rsidRPr="00E27443">
        <w:t xml:space="preserve"> </w:t>
      </w:r>
      <w:r w:rsidRPr="00E27443">
        <w:t>understand</w:t>
      </w:r>
      <w:r w:rsidR="00C63F8F" w:rsidRPr="00E27443">
        <w:t xml:space="preserve"> </w:t>
      </w:r>
      <w:r w:rsidRPr="00E27443">
        <w:t>and</w:t>
      </w:r>
      <w:r w:rsidR="00C63F8F" w:rsidRPr="00E27443">
        <w:t xml:space="preserve"> </w:t>
      </w:r>
      <w:r w:rsidRPr="00E27443">
        <w:t>deal</w:t>
      </w:r>
      <w:r w:rsidR="00C63F8F" w:rsidRPr="00E27443">
        <w:t xml:space="preserve"> </w:t>
      </w:r>
      <w:r w:rsidRPr="00E27443">
        <w:t>with</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an</w:t>
      </w:r>
      <w:r w:rsidR="00C63F8F" w:rsidRPr="00E27443">
        <w:t xml:space="preserve"> </w:t>
      </w:r>
      <w:r w:rsidRPr="00E27443">
        <w:t>emergency</w:t>
      </w:r>
      <w:r w:rsidR="00C63F8F" w:rsidRPr="00E27443">
        <w:t xml:space="preserve"> </w:t>
      </w:r>
      <w:r w:rsidRPr="00E27443">
        <w:t>situation.</w:t>
      </w:r>
      <w:r w:rsidR="00C63F8F" w:rsidRPr="00E27443">
        <w:t xml:space="preserve"> </w:t>
      </w:r>
      <w:r w:rsidRPr="00E27443">
        <w:t>It</w:t>
      </w:r>
      <w:r w:rsidR="00C63F8F" w:rsidRPr="00E27443">
        <w:t xml:space="preserve"> </w:t>
      </w:r>
      <w:r w:rsidRPr="00E27443">
        <w:t>has</w:t>
      </w:r>
      <w:r w:rsidR="00C63F8F" w:rsidRPr="00E27443">
        <w:t xml:space="preserve"> </w:t>
      </w:r>
      <w:r w:rsidRPr="00E27443">
        <w:t>emerged</w:t>
      </w:r>
      <w:r w:rsidR="00C63F8F" w:rsidRPr="00E27443">
        <w:t xml:space="preserve"> </w:t>
      </w:r>
      <w:r w:rsidRPr="00E27443">
        <w:t>that</w:t>
      </w:r>
      <w:r w:rsidR="00C63F8F" w:rsidRPr="00E27443">
        <w:t xml:space="preserve"> </w:t>
      </w:r>
      <w:r w:rsidRPr="00E27443">
        <w:t>this</w:t>
      </w:r>
      <w:r w:rsidR="00C63F8F" w:rsidRPr="00E27443">
        <w:t xml:space="preserve"> </w:t>
      </w:r>
      <w:r w:rsidRPr="00E27443">
        <w:t>aspect</w:t>
      </w:r>
      <w:r w:rsidR="00C63F8F" w:rsidRPr="00E27443">
        <w:t xml:space="preserve"> </w:t>
      </w:r>
      <w:r w:rsidRPr="00E27443">
        <w:t>of</w:t>
      </w:r>
      <w:r w:rsidR="00C63F8F" w:rsidRPr="00E27443">
        <w:t xml:space="preserve"> </w:t>
      </w:r>
      <w:r w:rsidRPr="00E27443">
        <w:t>the</w:t>
      </w:r>
      <w:r w:rsidR="00C63F8F" w:rsidRPr="00E27443">
        <w:t xml:space="preserve"> </w:t>
      </w:r>
      <w:r w:rsidRPr="00E27443">
        <w:t>basic</w:t>
      </w:r>
      <w:r w:rsidR="00C63F8F" w:rsidRPr="00E27443">
        <w:t xml:space="preserve"> </w:t>
      </w:r>
      <w:r w:rsidRPr="00E27443">
        <w:t>training</w:t>
      </w:r>
      <w:r w:rsidR="00C63F8F" w:rsidRPr="00E27443">
        <w:t xml:space="preserve"> </w:t>
      </w:r>
      <w:r w:rsidRPr="00E27443">
        <w:t>needs</w:t>
      </w:r>
      <w:r w:rsidR="00C63F8F" w:rsidRPr="00E27443">
        <w:t xml:space="preserve"> </w:t>
      </w:r>
      <w:r w:rsidRPr="00E27443">
        <w:t>to</w:t>
      </w:r>
      <w:r w:rsidR="00C63F8F" w:rsidRPr="00E27443">
        <w:t xml:space="preserve"> </w:t>
      </w:r>
      <w:r w:rsidRPr="00E27443">
        <w:t>be</w:t>
      </w:r>
      <w:r w:rsidR="00C63F8F" w:rsidRPr="00E27443">
        <w:t xml:space="preserve"> </w:t>
      </w:r>
      <w:r w:rsidRPr="00E27443">
        <w:t>extended</w:t>
      </w:r>
      <w:r w:rsidR="00C63F8F" w:rsidRPr="00E27443">
        <w:t xml:space="preserve"> </w:t>
      </w:r>
      <w:r w:rsidRPr="00E27443">
        <w:t>and</w:t>
      </w:r>
      <w:r w:rsidR="00C63F8F" w:rsidRPr="00E27443">
        <w:t xml:space="preserve"> </w:t>
      </w:r>
      <w:r w:rsidRPr="00E27443">
        <w:t>made</w:t>
      </w:r>
      <w:r w:rsidR="00C63F8F" w:rsidRPr="00E27443">
        <w:t xml:space="preserve"> </w:t>
      </w:r>
      <w:r w:rsidRPr="00E27443">
        <w:t>more</w:t>
      </w:r>
      <w:r w:rsidR="00C63F8F" w:rsidRPr="00E27443">
        <w:t xml:space="preserve"> </w:t>
      </w:r>
      <w:r w:rsidRPr="00E27443">
        <w:t>in-depth,</w:t>
      </w:r>
      <w:r w:rsidR="00C63F8F" w:rsidRPr="00E27443">
        <w:t xml:space="preserve"> </w:t>
      </w:r>
      <w:r w:rsidRPr="00E27443">
        <w:t>as</w:t>
      </w:r>
      <w:r w:rsidR="00C63F8F" w:rsidRPr="00E27443">
        <w:t xml:space="preserve"> </w:t>
      </w:r>
      <w:r w:rsidRPr="00E27443">
        <w:t>the</w:t>
      </w:r>
      <w:r w:rsidR="00C63F8F" w:rsidRPr="00E27443">
        <w:t xml:space="preserve"> </w:t>
      </w:r>
      <w:r w:rsidRPr="00E27443">
        <w:t>complexity</w:t>
      </w:r>
      <w:r w:rsidR="00C63F8F" w:rsidRPr="00E27443">
        <w:t xml:space="preserve"> </w:t>
      </w:r>
      <w:r w:rsidRPr="00E27443">
        <w:t>of</w:t>
      </w:r>
      <w:r w:rsidR="00C63F8F" w:rsidRPr="00E27443">
        <w:t xml:space="preserve"> </w:t>
      </w:r>
      <w:r w:rsidRPr="00E27443">
        <w:t>the</w:t>
      </w:r>
      <w:r w:rsidR="00C63F8F" w:rsidRPr="00E27443">
        <w:t xml:space="preserve"> </w:t>
      </w:r>
      <w:r w:rsidRPr="00E27443">
        <w:t>task</w:t>
      </w:r>
      <w:r w:rsidR="00C63F8F" w:rsidRPr="00E27443">
        <w:t xml:space="preserve"> </w:t>
      </w:r>
      <w:r w:rsidRPr="00E27443">
        <w:t>has</w:t>
      </w:r>
      <w:r w:rsidR="00C63F8F" w:rsidRPr="00E27443">
        <w:t xml:space="preserve"> </w:t>
      </w:r>
      <w:r w:rsidRPr="00E27443">
        <w:t>particularly</w:t>
      </w:r>
      <w:r w:rsidR="00C63F8F" w:rsidRPr="00E27443">
        <w:t xml:space="preserve"> </w:t>
      </w:r>
      <w:r w:rsidRPr="00E27443">
        <w:t>been</w:t>
      </w:r>
      <w:r w:rsidR="00C63F8F" w:rsidRPr="00E27443">
        <w:t xml:space="preserve"> </w:t>
      </w:r>
      <w:r w:rsidRPr="00E27443">
        <w:t>highlighted.</w:t>
      </w:r>
      <w:r w:rsidR="00C63F8F" w:rsidRPr="00E27443">
        <w:t xml:space="preserve"> </w:t>
      </w:r>
      <w:r w:rsidRPr="00E27443">
        <w:t>In</w:t>
      </w:r>
      <w:r w:rsidR="00C63F8F" w:rsidRPr="00E27443">
        <w:t xml:space="preserve"> </w:t>
      </w:r>
      <w:r w:rsidRPr="00E27443">
        <w:t>particular,</w:t>
      </w:r>
      <w:r w:rsidR="00C63F8F" w:rsidRPr="00E27443">
        <w:t xml:space="preserve"> </w:t>
      </w:r>
      <w:r w:rsidRPr="00E27443">
        <w:t>the</w:t>
      </w:r>
      <w:r w:rsidR="00C63F8F" w:rsidRPr="00E27443">
        <w:t xml:space="preserve"> </w:t>
      </w:r>
      <w:r w:rsidRPr="00E27443">
        <w:t>basic</w:t>
      </w:r>
      <w:r w:rsidR="00C63F8F" w:rsidRPr="00E27443">
        <w:t xml:space="preserve"> </w:t>
      </w:r>
      <w:r w:rsidRPr="00E27443">
        <w:t>training</w:t>
      </w:r>
      <w:r w:rsidR="00C63F8F" w:rsidRPr="00E27443">
        <w:t xml:space="preserve"> </w:t>
      </w:r>
      <w:r w:rsidRPr="00E27443">
        <w:t>requires</w:t>
      </w:r>
      <w:r w:rsidR="00C63F8F" w:rsidRPr="00E27443">
        <w:t xml:space="preserve"> </w:t>
      </w:r>
      <w:r w:rsidRPr="00E27443">
        <w:t>strengthening</w:t>
      </w:r>
      <w:r w:rsidR="00C63F8F" w:rsidRPr="00E27443">
        <w:t xml:space="preserve"> </w:t>
      </w:r>
      <w:r w:rsidRPr="00E27443">
        <w:t>as</w:t>
      </w:r>
      <w:r w:rsidR="00C63F8F" w:rsidRPr="00E27443">
        <w:t xml:space="preserve"> </w:t>
      </w:r>
      <w:r w:rsidRPr="00E27443">
        <w:t>regards</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various</w:t>
      </w:r>
      <w:r w:rsidR="00C63F8F" w:rsidRPr="00E27443">
        <w:t xml:space="preserve"> </w:t>
      </w:r>
      <w:r w:rsidRPr="00E27443">
        <w:t>types</w:t>
      </w:r>
      <w:r w:rsidR="00C63F8F" w:rsidRPr="00E27443">
        <w:t xml:space="preserve"> </w:t>
      </w:r>
      <w:r w:rsidRPr="00E27443">
        <w:t>of</w:t>
      </w:r>
      <w:r w:rsidR="00C63F8F" w:rsidRPr="00E27443">
        <w:t xml:space="preserve"> </w:t>
      </w:r>
      <w:r w:rsidRPr="00E27443">
        <w:t>disability.</w:t>
      </w:r>
    </w:p>
    <w:p w:rsidR="00321ADA" w:rsidRPr="00E27443" w:rsidRDefault="00321ADA" w:rsidP="00E75253">
      <w:pPr>
        <w:pStyle w:val="SingleTxtG"/>
        <w:numPr>
          <w:ilvl w:val="0"/>
          <w:numId w:val="20"/>
        </w:numPr>
        <w:tabs>
          <w:tab w:val="left" w:pos="1843"/>
        </w:tabs>
        <w:ind w:left="1134" w:firstLine="0"/>
      </w:pPr>
      <w:r w:rsidRPr="00E27443">
        <w:t>A</w:t>
      </w:r>
      <w:r w:rsidR="00C63F8F" w:rsidRPr="00E27443">
        <w:t xml:space="preserve"> </w:t>
      </w:r>
      <w:r w:rsidRPr="00E27443">
        <w:t>collaboration</w:t>
      </w:r>
      <w:r w:rsidR="00C63F8F" w:rsidRPr="00E27443">
        <w:t xml:space="preserve"> </w:t>
      </w:r>
      <w:r w:rsidRPr="00E27443">
        <w:t>between</w:t>
      </w:r>
      <w:r w:rsidR="00C63F8F" w:rsidRPr="00E27443">
        <w:t xml:space="preserve"> </w:t>
      </w:r>
      <w:r w:rsidRPr="00E27443">
        <w:t>the</w:t>
      </w:r>
      <w:r w:rsidR="00C63F8F" w:rsidRPr="00E27443">
        <w:t xml:space="preserve"> </w:t>
      </w:r>
      <w:r w:rsidRPr="00E27443">
        <w:t>rescue</w:t>
      </w:r>
      <w:r w:rsidR="00C63F8F" w:rsidRPr="00E27443">
        <w:t xml:space="preserve"> </w:t>
      </w:r>
      <w:r w:rsidRPr="00E27443">
        <w:t>services</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organisations</w:t>
      </w:r>
      <w:r w:rsidR="00C63F8F" w:rsidRPr="00E27443">
        <w:t xml:space="preserve"> </w:t>
      </w:r>
      <w:r w:rsidRPr="00E27443">
        <w:t>is</w:t>
      </w:r>
      <w:r w:rsidR="00C63F8F" w:rsidRPr="00E27443">
        <w:t xml:space="preserve"> </w:t>
      </w:r>
      <w:r w:rsidRPr="00E27443">
        <w:t>planned</w:t>
      </w:r>
      <w:r w:rsidR="00C63F8F" w:rsidRPr="00E27443">
        <w:t xml:space="preserve"> </w:t>
      </w:r>
      <w:r w:rsidRPr="00E27443">
        <w:t>in</w:t>
      </w:r>
      <w:r w:rsidR="00C63F8F" w:rsidRPr="00E27443">
        <w:t xml:space="preserve"> </w:t>
      </w:r>
      <w:r w:rsidRPr="00E27443">
        <w:t>order</w:t>
      </w:r>
      <w:r w:rsidR="00C63F8F" w:rsidRPr="00E27443">
        <w:t xml:space="preserve"> </w:t>
      </w:r>
      <w:r w:rsidRPr="00E27443">
        <w:t>specifically</w:t>
      </w:r>
      <w:r w:rsidR="00C63F8F" w:rsidRPr="00E27443">
        <w:t xml:space="preserve"> </w:t>
      </w:r>
      <w:r w:rsidRPr="00E27443">
        <w:t>to</w:t>
      </w:r>
      <w:r w:rsidR="00C63F8F" w:rsidRPr="00E27443">
        <w:t xml:space="preserve"> </w:t>
      </w:r>
      <w:r w:rsidRPr="00E27443">
        <w:t>gather</w:t>
      </w:r>
      <w:r w:rsidR="00C63F8F" w:rsidRPr="00E27443">
        <w:t xml:space="preserve"> </w:t>
      </w:r>
      <w:r w:rsidRPr="00E27443">
        <w:t>common</w:t>
      </w:r>
      <w:r w:rsidR="00C63F8F" w:rsidRPr="00E27443">
        <w:t xml:space="preserve"> </w:t>
      </w:r>
      <w:r w:rsidRPr="00E27443">
        <w:t>knowledge</w:t>
      </w:r>
      <w:r w:rsidR="00C63F8F" w:rsidRPr="00E27443">
        <w:t xml:space="preserve"> </w:t>
      </w:r>
      <w:r w:rsidRPr="00E27443">
        <w:t>regarding</w:t>
      </w:r>
      <w:r w:rsidR="00C63F8F" w:rsidRPr="00E27443">
        <w:t xml:space="preserve"> </w:t>
      </w:r>
      <w:r w:rsidRPr="00E27443">
        <w:t>materials</w:t>
      </w:r>
      <w:r w:rsidR="00C63F8F" w:rsidRPr="00E27443">
        <w:t xml:space="preserve"> </w:t>
      </w:r>
      <w:r w:rsidRPr="00E27443">
        <w:t>and</w:t>
      </w:r>
      <w:r w:rsidR="00C63F8F" w:rsidRPr="00E27443">
        <w:t xml:space="preserve"> </w:t>
      </w:r>
      <w:r w:rsidRPr="00E27443">
        <w:t>equipment</w:t>
      </w:r>
      <w:r w:rsidR="00C63F8F" w:rsidRPr="00E27443">
        <w:t xml:space="preserve"> </w:t>
      </w:r>
      <w:r w:rsidRPr="00E27443">
        <w:t>for</w:t>
      </w:r>
      <w:r w:rsidR="00C63F8F" w:rsidRPr="00E27443">
        <w:t xml:space="preserve"> </w:t>
      </w:r>
      <w:r w:rsidRPr="00E27443">
        <w:t>rescuing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an</w:t>
      </w:r>
      <w:r w:rsidR="00C63F8F" w:rsidRPr="00E27443">
        <w:t xml:space="preserve"> </w:t>
      </w:r>
      <w:r w:rsidRPr="00E27443">
        <w:t>emergency</w:t>
      </w:r>
      <w:r w:rsidR="00C63F8F" w:rsidRPr="00E27443">
        <w:t xml:space="preserve"> </w:t>
      </w:r>
      <w:r w:rsidRPr="00E27443">
        <w:t>situation.</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rescue</w:t>
      </w:r>
      <w:r w:rsidR="00C63F8F" w:rsidRPr="00E27443">
        <w:t xml:space="preserve"> </w:t>
      </w:r>
      <w:r w:rsidRPr="00E27443">
        <w:t>efforts</w:t>
      </w:r>
      <w:r w:rsidR="00C63F8F" w:rsidRPr="00E27443">
        <w:t xml:space="preserve"> </w:t>
      </w:r>
      <w:r w:rsidRPr="00E27443">
        <w:t>is</w:t>
      </w:r>
      <w:r w:rsidR="00C63F8F" w:rsidRPr="00E27443">
        <w:t xml:space="preserve"> </w:t>
      </w:r>
      <w:r w:rsidRPr="00E27443">
        <w:t>primarily</w:t>
      </w:r>
      <w:r w:rsidR="00C63F8F" w:rsidRPr="00E27443">
        <w:t xml:space="preserve"> </w:t>
      </w:r>
      <w:r w:rsidRPr="00E27443">
        <w:t>a</w:t>
      </w:r>
      <w:r w:rsidR="00C63F8F" w:rsidRPr="00E27443">
        <w:t xml:space="preserve"> </w:t>
      </w:r>
      <w:r w:rsidRPr="00E27443">
        <w:t>municipal</w:t>
      </w:r>
      <w:r w:rsidR="00C63F8F" w:rsidRPr="00E27443">
        <w:t xml:space="preserve"> </w:t>
      </w:r>
      <w:r w:rsidRPr="00E27443">
        <w:t>matter.</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MSB</w:t>
      </w:r>
      <w:r w:rsidR="00C63F8F" w:rsidRPr="00E27443">
        <w:t xml:space="preserve"> </w:t>
      </w:r>
      <w:r w:rsidRPr="00E27443">
        <w:t>must</w:t>
      </w:r>
      <w:r w:rsidR="00C63F8F" w:rsidRPr="00E27443">
        <w:t xml:space="preserve"> </w:t>
      </w:r>
      <w:r w:rsidRPr="00E27443">
        <w:t>be</w:t>
      </w:r>
      <w:r w:rsidR="00C63F8F" w:rsidRPr="00E27443">
        <w:t xml:space="preserve"> </w:t>
      </w:r>
      <w:r w:rsidRPr="00E27443">
        <w:t>able</w:t>
      </w:r>
      <w:r w:rsidR="00C63F8F" w:rsidRPr="00E27443">
        <w:t xml:space="preserve"> </w:t>
      </w:r>
      <w:r w:rsidRPr="00E27443">
        <w:t>to</w:t>
      </w:r>
      <w:r w:rsidR="00C63F8F" w:rsidRPr="00E27443">
        <w:t xml:space="preserve"> </w:t>
      </w:r>
      <w:r w:rsidRPr="00E27443">
        <w:t>assist</w:t>
      </w:r>
      <w:r w:rsidR="00C63F8F" w:rsidRPr="00E27443">
        <w:t xml:space="preserve"> </w:t>
      </w:r>
      <w:r w:rsidRPr="00E27443">
        <w:t>with</w:t>
      </w:r>
      <w:r w:rsidR="00C63F8F" w:rsidRPr="00E27443">
        <w:t xml:space="preserve"> </w:t>
      </w:r>
      <w:r w:rsidRPr="00E27443">
        <w:t>initiatives</w:t>
      </w:r>
      <w:r w:rsidR="00C63F8F" w:rsidRPr="00E27443">
        <w:t xml:space="preserve"> </w:t>
      </w:r>
      <w:r w:rsidRPr="00E27443">
        <w:t>within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international</w:t>
      </w:r>
      <w:r w:rsidR="00C63F8F" w:rsidRPr="00E27443">
        <w:t xml:space="preserve"> </w:t>
      </w:r>
      <w:r w:rsidRPr="00E27443">
        <w:t>humanitarian</w:t>
      </w:r>
      <w:r w:rsidR="00C63F8F" w:rsidRPr="00E27443">
        <w:t xml:space="preserve"> </w:t>
      </w:r>
      <w:r w:rsidRPr="00E27443">
        <w:t>activities,</w:t>
      </w:r>
      <w:r w:rsidR="00C63F8F" w:rsidRPr="00E27443">
        <w:t xml:space="preserve"> </w:t>
      </w:r>
      <w:r w:rsidRPr="00E27443">
        <w:t>and</w:t>
      </w:r>
      <w:r w:rsidR="00C63F8F" w:rsidRPr="00E27443">
        <w:t xml:space="preserve"> </w:t>
      </w:r>
      <w:r w:rsidRPr="00E27443">
        <w:t>may</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rescue</w:t>
      </w:r>
      <w:r w:rsidR="00C63F8F" w:rsidRPr="00E27443">
        <w:t xml:space="preserve"> </w:t>
      </w:r>
      <w:r w:rsidRPr="00E27443">
        <w:t>and</w:t>
      </w:r>
      <w:r w:rsidR="00C63F8F" w:rsidRPr="00E27443">
        <w:t xml:space="preserve"> </w:t>
      </w:r>
      <w:r w:rsidRPr="00E27443">
        <w:t>disaster</w:t>
      </w:r>
      <w:r w:rsidR="00C63F8F" w:rsidRPr="00E27443">
        <w:t xml:space="preserve"> </w:t>
      </w:r>
      <w:r w:rsidRPr="00E27443">
        <w:t>efforts</w:t>
      </w:r>
      <w:r w:rsidR="00C63F8F" w:rsidRPr="00E27443">
        <w:t xml:space="preserve"> </w:t>
      </w:r>
      <w:r w:rsidRPr="00E27443">
        <w:t>in</w:t>
      </w:r>
      <w:r w:rsidR="00C63F8F" w:rsidRPr="00E27443">
        <w:t xml:space="preserve"> </w:t>
      </w:r>
      <w:r w:rsidRPr="00E27443">
        <w:t>the</w:t>
      </w:r>
      <w:r w:rsidR="00C63F8F" w:rsidRPr="00E27443">
        <w:t xml:space="preserve"> </w:t>
      </w:r>
      <w:r w:rsidRPr="00E27443">
        <w:t>event</w:t>
      </w:r>
      <w:r w:rsidR="00C63F8F" w:rsidRPr="00E27443">
        <w:t xml:space="preserve"> </w:t>
      </w:r>
      <w:r w:rsidRPr="00E27443">
        <w:t>of</w:t>
      </w:r>
      <w:r w:rsidR="00C63F8F" w:rsidRPr="00E27443">
        <w:t xml:space="preserve"> </w:t>
      </w:r>
      <w:r w:rsidRPr="00E27443">
        <w:t>disasters</w:t>
      </w:r>
      <w:r w:rsidR="00C63F8F" w:rsidRPr="00E27443">
        <w:t xml:space="preserve"> </w:t>
      </w:r>
      <w:r w:rsidRPr="00E27443">
        <w:t>in</w:t>
      </w:r>
      <w:r w:rsidR="00C63F8F" w:rsidRPr="00E27443">
        <w:t xml:space="preserve"> </w:t>
      </w:r>
      <w:r w:rsidRPr="00E27443">
        <w:t>other</w:t>
      </w:r>
      <w:r w:rsidR="00C63F8F" w:rsidRPr="00E27443">
        <w:t xml:space="preserve"> </w:t>
      </w:r>
      <w:r w:rsidRPr="00E27443">
        <w:t>countries</w:t>
      </w:r>
      <w:r w:rsidR="00C63F8F" w:rsidRPr="00E27443">
        <w:t xml:space="preserve"> </w:t>
      </w:r>
      <w:r w:rsidRPr="00E27443">
        <w:t>that</w:t>
      </w:r>
      <w:r w:rsidR="00C63F8F" w:rsidRPr="00E27443">
        <w:t xml:space="preserve"> </w:t>
      </w:r>
      <w:r w:rsidRPr="00E27443">
        <w:t>demand</w:t>
      </w:r>
      <w:r w:rsidR="00C63F8F" w:rsidRPr="00E27443">
        <w:t xml:space="preserve"> </w:t>
      </w:r>
      <w:r w:rsidRPr="00E27443">
        <w:t>immediate</w:t>
      </w:r>
      <w:r w:rsidR="00C63F8F" w:rsidRPr="00E27443">
        <w:t xml:space="preserve"> </w:t>
      </w:r>
      <w:r w:rsidRPr="00E27443">
        <w:t>action.</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(the</w:t>
      </w:r>
      <w:r w:rsidR="00C63F8F" w:rsidRPr="00E27443">
        <w:t xml:space="preserve"> </w:t>
      </w:r>
      <w:r w:rsidRPr="00E27443">
        <w:t>Ministry</w:t>
      </w:r>
      <w:r w:rsidR="00C63F8F" w:rsidRPr="00E27443">
        <w:t xml:space="preserve"> </w:t>
      </w:r>
      <w:r w:rsidRPr="00E27443">
        <w:t>for</w:t>
      </w:r>
      <w:r w:rsidR="00C63F8F" w:rsidRPr="00E27443">
        <w:t xml:space="preserve"> </w:t>
      </w:r>
      <w:r w:rsidRPr="00E27443">
        <w:t>Foreign</w:t>
      </w:r>
      <w:r w:rsidR="00C63F8F" w:rsidRPr="00E27443">
        <w:t xml:space="preserve"> </w:t>
      </w:r>
      <w:r w:rsidRPr="00E27443">
        <w:t>Affairs)</w:t>
      </w:r>
      <w:r w:rsidR="00C63F8F" w:rsidRPr="00E27443">
        <w:t xml:space="preserve"> </w:t>
      </w:r>
      <w:r w:rsidRPr="00E27443">
        <w:t>formulates</w:t>
      </w:r>
      <w:r w:rsidR="00C63F8F" w:rsidRPr="00E27443">
        <w:t xml:space="preserve"> </w:t>
      </w:r>
      <w:r w:rsidRPr="00E27443">
        <w:t>Swedish</w:t>
      </w:r>
      <w:r w:rsidR="00C63F8F" w:rsidRPr="00E27443">
        <w:t xml:space="preserve"> </w:t>
      </w:r>
      <w:r w:rsidRPr="00E27443">
        <w:t>aid</w:t>
      </w:r>
      <w:r w:rsidR="00C63F8F" w:rsidRPr="00E27443">
        <w:t xml:space="preserve"> </w:t>
      </w:r>
      <w:r w:rsidRPr="00E27443">
        <w:t>policy.</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humanitarian</w:t>
      </w:r>
      <w:r w:rsidR="00C63F8F" w:rsidRPr="00E27443">
        <w:t xml:space="preserve"> </w:t>
      </w:r>
      <w:r w:rsidRPr="00E27443">
        <w:t>aid</w:t>
      </w:r>
      <w:r w:rsidR="00C63F8F" w:rsidRPr="00E27443">
        <w:t xml:space="preserve"> </w:t>
      </w:r>
      <w:r w:rsidRPr="00E27443">
        <w:t>and</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strategies</w:t>
      </w:r>
      <w:r w:rsidR="00C63F8F" w:rsidRPr="00E27443">
        <w:t xml:space="preserve"> </w:t>
      </w:r>
      <w:r w:rsidRPr="00E27443">
        <w:t>decided</w:t>
      </w:r>
      <w:r w:rsidR="00C63F8F" w:rsidRPr="00E27443">
        <w:t xml:space="preserve"> </w:t>
      </w:r>
      <w:r w:rsidRPr="00E27443">
        <w:t>on</w:t>
      </w:r>
      <w:r w:rsidR="00C63F8F" w:rsidRPr="00E27443">
        <w:t xml:space="preserve"> </w:t>
      </w:r>
      <w:r w:rsidRPr="00E27443">
        <w:t>by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and</w:t>
      </w:r>
      <w:r w:rsidR="00C63F8F" w:rsidRPr="00E27443">
        <w:t xml:space="preserve"> </w:t>
      </w:r>
      <w:r w:rsidRPr="00E27443">
        <w:t>which</w:t>
      </w:r>
      <w:r w:rsidR="00C63F8F" w:rsidRPr="00E27443">
        <w:t xml:space="preserve"> </w:t>
      </w:r>
      <w:r w:rsidRPr="00E27443">
        <w:t>form</w:t>
      </w:r>
      <w:r w:rsidR="00C63F8F" w:rsidRPr="00E27443">
        <w:t xml:space="preserve"> </w:t>
      </w:r>
      <w:r w:rsidRPr="00E27443">
        <w:t>the</w:t>
      </w:r>
      <w:r w:rsidR="00C63F8F" w:rsidRPr="00E27443">
        <w:t xml:space="preserve"> </w:t>
      </w:r>
      <w:r w:rsidRPr="00E27443">
        <w:t>basis</w:t>
      </w:r>
      <w:r w:rsidR="00C63F8F" w:rsidRPr="00E27443">
        <w:t xml:space="preserve"> </w:t>
      </w:r>
      <w:r w:rsidRPr="00E27443">
        <w:t>for</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collaboration,</w:t>
      </w:r>
      <w:r w:rsidR="00C63F8F" w:rsidRPr="00E27443">
        <w:t xml:space="preserve"> </w:t>
      </w:r>
      <w:r w:rsidRPr="00E27443">
        <w:t>the</w:t>
      </w:r>
      <w:r w:rsidR="00C63F8F" w:rsidRPr="00E27443">
        <w:t xml:space="preserve"> </w:t>
      </w:r>
      <w:r w:rsidRPr="00E27443">
        <w:t>Ministry</w:t>
      </w:r>
      <w:r w:rsidR="00C63F8F" w:rsidRPr="00E27443">
        <w:t xml:space="preserve"> </w:t>
      </w:r>
      <w:r w:rsidRPr="00E27443">
        <w:t>for</w:t>
      </w:r>
      <w:r w:rsidR="00C63F8F" w:rsidRPr="00E27443">
        <w:t xml:space="preserve"> </w:t>
      </w:r>
      <w:r w:rsidRPr="00E27443">
        <w:t>Foreign</w:t>
      </w:r>
      <w:r w:rsidR="00C63F8F" w:rsidRPr="00E27443">
        <w:t xml:space="preserve"> </w:t>
      </w:r>
      <w:r w:rsidRPr="00E27443">
        <w:t>Affairs</w:t>
      </w:r>
      <w:r w:rsidR="00C63F8F" w:rsidRPr="00E27443">
        <w:t xml:space="preserve"> </w:t>
      </w:r>
      <w:r w:rsidRPr="00E27443">
        <w:t>consults</w:t>
      </w:r>
      <w:r w:rsidR="00C63F8F" w:rsidRPr="00E27443">
        <w:t xml:space="preserve"> </w:t>
      </w:r>
      <w:r w:rsidRPr="00E27443">
        <w:t>with</w:t>
      </w:r>
      <w:r w:rsidR="00C63F8F" w:rsidRPr="00E27443">
        <w:t xml:space="preserve"> </w:t>
      </w:r>
      <w:r w:rsidRPr="00E27443">
        <w:t>Sida.</w:t>
      </w:r>
      <w:r w:rsidR="004B01B2" w:rsidRPr="00E27443">
        <w:rPr>
          <w:rStyle w:val="FootnoteReference"/>
        </w:rPr>
        <w:footnoteReference w:id="54"/>
      </w:r>
    </w:p>
    <w:p w:rsidR="00321ADA" w:rsidRPr="00E27443" w:rsidRDefault="00321ADA" w:rsidP="00E75253">
      <w:pPr>
        <w:pStyle w:val="SingleTxtG"/>
        <w:numPr>
          <w:ilvl w:val="0"/>
          <w:numId w:val="20"/>
        </w:numPr>
        <w:tabs>
          <w:tab w:val="left" w:pos="1843"/>
        </w:tabs>
        <w:ind w:left="1134" w:firstLine="0"/>
      </w:pPr>
      <w:r w:rsidRPr="00E27443">
        <w:t>Sida</w:t>
      </w:r>
      <w:r w:rsidR="00C63F8F" w:rsidRPr="00E27443">
        <w:t xml:space="preserve"> </w:t>
      </w:r>
      <w:r w:rsidRPr="00E27443">
        <w:t>has</w:t>
      </w:r>
      <w:r w:rsidR="00C63F8F" w:rsidRPr="00E27443">
        <w:t xml:space="preserve"> </w:t>
      </w:r>
      <w:r w:rsidRPr="00E27443">
        <w:t>developed</w:t>
      </w:r>
      <w:r w:rsidR="00C63F8F" w:rsidRPr="00E27443">
        <w:t xml:space="preserve"> </w:t>
      </w:r>
      <w:r w:rsidRPr="00E27443">
        <w:t>an</w:t>
      </w:r>
      <w:r w:rsidR="00C63F8F" w:rsidRPr="00E27443">
        <w:t xml:space="preserve"> </w:t>
      </w:r>
      <w:r w:rsidRPr="00E27443">
        <w:t>action</w:t>
      </w:r>
      <w:r w:rsidR="00C63F8F" w:rsidRPr="00E27443">
        <w:t xml:space="preserve"> </w:t>
      </w:r>
      <w:r w:rsidRPr="00E27443">
        <w:t>plan</w:t>
      </w:r>
      <w:r w:rsidR="00C63F8F" w:rsidRPr="00E27443">
        <w:t xml:space="preserve"> “</w:t>
      </w:r>
      <w:r w:rsidRPr="00E27443">
        <w:t>Human</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w:t>
      </w:r>
      <w:r w:rsidRPr="00E27443">
        <w:t>.</w:t>
      </w:r>
      <w:r w:rsidR="00C63F8F" w:rsidRPr="00E27443">
        <w:t xml:space="preserve"> </w:t>
      </w:r>
      <w:r w:rsidRPr="00E27443">
        <w:t>This</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approach</w:t>
      </w:r>
      <w:r w:rsidR="00C63F8F" w:rsidRPr="00E27443">
        <w:t xml:space="preserve"> </w:t>
      </w:r>
      <w:r w:rsidRPr="00E27443">
        <w:t>that</w:t>
      </w:r>
      <w:r w:rsidR="00C63F8F" w:rsidRPr="00E27443">
        <w:t xml:space="preserve"> </w:t>
      </w:r>
      <w:r w:rsidRPr="00E27443">
        <w:t>human</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must</w:t>
      </w:r>
      <w:r w:rsidR="00C63F8F" w:rsidRPr="00E27443">
        <w:t xml:space="preserve"> </w:t>
      </w:r>
      <w:r w:rsidRPr="00E27443">
        <w:t>be</w:t>
      </w:r>
      <w:r w:rsidR="00C63F8F" w:rsidRPr="00E27443">
        <w:t xml:space="preserve"> </w:t>
      </w:r>
      <w:r w:rsidRPr="00E27443">
        <w:t>respected,</w:t>
      </w:r>
      <w:r w:rsidR="00C63F8F" w:rsidRPr="00E27443">
        <w:t xml:space="preserve"> </w:t>
      </w:r>
      <w:r w:rsidRPr="00E27443">
        <w:t>and</w:t>
      </w:r>
      <w:r w:rsidR="00C63F8F" w:rsidRPr="00E27443">
        <w:t xml:space="preserve"> </w:t>
      </w:r>
      <w:r w:rsidRPr="00E27443">
        <w:t>that</w:t>
      </w:r>
      <w:r w:rsidR="00C63F8F" w:rsidRPr="00E27443">
        <w:t xml:space="preserve"> </w:t>
      </w:r>
      <w:r w:rsidRPr="00E27443">
        <w:t>their</w:t>
      </w:r>
      <w:r w:rsidR="00C63F8F" w:rsidRPr="00E27443">
        <w:t xml:space="preserve"> </w:t>
      </w:r>
      <w:r w:rsidRPr="00E27443">
        <w:t>opportunities</w:t>
      </w:r>
      <w:r w:rsidR="00C63F8F" w:rsidRPr="00E27443">
        <w:t xml:space="preserve"> </w:t>
      </w:r>
      <w:r w:rsidRPr="00E27443">
        <w:t>and</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improving</w:t>
      </w:r>
      <w:r w:rsidR="00C63F8F" w:rsidRPr="00E27443">
        <w:t xml:space="preserve"> </w:t>
      </w:r>
      <w:r w:rsidRPr="00E27443">
        <w:t>their</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must</w:t>
      </w:r>
      <w:r w:rsidR="00C63F8F" w:rsidRPr="00E27443">
        <w:t xml:space="preserve"> </w:t>
      </w:r>
      <w:r w:rsidRPr="00E27443">
        <w:t>be</w:t>
      </w:r>
      <w:r w:rsidR="00C63F8F" w:rsidRPr="00E27443">
        <w:t xml:space="preserve"> </w:t>
      </w:r>
      <w:r w:rsidRPr="00E27443">
        <w:t>strengthened</w:t>
      </w:r>
      <w:r w:rsidR="00C63F8F" w:rsidRPr="00E27443">
        <w:t xml:space="preserve"> </w:t>
      </w:r>
      <w:r w:rsidRPr="00E27443">
        <w:t>in</w:t>
      </w:r>
      <w:r w:rsidR="00C63F8F" w:rsidRPr="00E27443">
        <w:t xml:space="preserve"> </w:t>
      </w:r>
      <w:r w:rsidRPr="00E27443">
        <w:t>the</w:t>
      </w:r>
      <w:r w:rsidR="00C63F8F" w:rsidRPr="00E27443">
        <w:t xml:space="preserve"> </w:t>
      </w:r>
      <w:r w:rsidRPr="00E27443">
        <w:t>countries</w:t>
      </w:r>
      <w:r w:rsidR="00C63F8F" w:rsidRPr="00E27443">
        <w:t xml:space="preserve"> </w:t>
      </w:r>
      <w:r w:rsidRPr="00E27443">
        <w:t>in</w:t>
      </w:r>
      <w:r w:rsidR="00C63F8F" w:rsidRPr="00E27443">
        <w:t xml:space="preserve"> </w:t>
      </w:r>
      <w:r w:rsidRPr="00E27443">
        <w:t>which</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conducts</w:t>
      </w:r>
      <w:r w:rsidR="00C63F8F" w:rsidRPr="00E27443">
        <w:t xml:space="preserve"> </w:t>
      </w:r>
      <w:r w:rsidRPr="00E27443">
        <w:t>development</w:t>
      </w:r>
      <w:r w:rsidR="00C63F8F" w:rsidRPr="00E27443">
        <w:t xml:space="preserve"> </w:t>
      </w:r>
      <w:r w:rsidRPr="00E27443">
        <w:t>work.</w:t>
      </w:r>
      <w:r w:rsidR="00C63F8F" w:rsidRPr="00E27443">
        <w:t xml:space="preserve"> </w:t>
      </w:r>
      <w:r w:rsidRPr="00E27443">
        <w:t>See</w:t>
      </w:r>
      <w:r w:rsidR="00C63F8F" w:rsidRPr="00E27443">
        <w:t xml:space="preserve"> </w:t>
      </w:r>
      <w:r w:rsidRPr="00E27443">
        <w:t>Article</w:t>
      </w:r>
      <w:r w:rsidR="00C63F8F" w:rsidRPr="00E27443">
        <w:t xml:space="preserve"> </w:t>
      </w:r>
      <w:r w:rsidRPr="00E27443">
        <w:t>32.</w:t>
      </w:r>
    </w:p>
    <w:p w:rsidR="00321ADA" w:rsidRPr="00E27443" w:rsidRDefault="00321ADA" w:rsidP="00E75253">
      <w:pPr>
        <w:pStyle w:val="SingleTxtG"/>
        <w:numPr>
          <w:ilvl w:val="0"/>
          <w:numId w:val="20"/>
        </w:numPr>
        <w:tabs>
          <w:tab w:val="left" w:pos="1843"/>
        </w:tabs>
        <w:ind w:left="1134" w:firstLine="0"/>
      </w:pPr>
      <w:r w:rsidRPr="00E27443">
        <w:t>It</w:t>
      </w:r>
      <w:r w:rsidR="00C63F8F" w:rsidRPr="00E27443">
        <w:t xml:space="preserve"> </w:t>
      </w:r>
      <w:r w:rsidRPr="00E27443">
        <w:t>is</w:t>
      </w:r>
      <w:r w:rsidR="00C63F8F" w:rsidRPr="00E27443">
        <w:t xml:space="preserve"> </w:t>
      </w:r>
      <w:r w:rsidRPr="00E27443">
        <w:t>necessary</w:t>
      </w:r>
      <w:r w:rsidR="00C63F8F" w:rsidRPr="00E27443">
        <w:t xml:space="preserve"> </w:t>
      </w:r>
      <w:r w:rsidRPr="00E27443">
        <w:t>to</w:t>
      </w:r>
      <w:r w:rsidR="00C63F8F" w:rsidRPr="00E27443">
        <w:t xml:space="preserve"> </w:t>
      </w:r>
      <w:r w:rsidRPr="00E27443">
        <w:t>develop</w:t>
      </w:r>
      <w:r w:rsidR="00C63F8F" w:rsidRPr="00E27443">
        <w:t xml:space="preserve"> </w:t>
      </w:r>
      <w:r w:rsidRPr="00E27443">
        <w:t>knowledge</w:t>
      </w:r>
      <w:r w:rsidR="00C63F8F" w:rsidRPr="00E27443">
        <w:t xml:space="preserve"> </w:t>
      </w:r>
      <w:r w:rsidRPr="00E27443">
        <w:t>and</w:t>
      </w:r>
      <w:r w:rsidR="00C63F8F" w:rsidRPr="00E27443">
        <w:t xml:space="preserve"> </w:t>
      </w:r>
      <w:r w:rsidRPr="00E27443">
        <w:t>support</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on</w:t>
      </w:r>
      <w:r w:rsidR="00C63F8F" w:rsidRPr="00E27443">
        <w:t xml:space="preserve"> </w:t>
      </w:r>
      <w:r w:rsidRPr="00E27443">
        <w:t>site</w:t>
      </w:r>
      <w:r w:rsidR="00C63F8F" w:rsidRPr="00E27443">
        <w:t xml:space="preserve"> </w:t>
      </w:r>
      <w:r w:rsidRPr="00E27443">
        <w:t>during</w:t>
      </w:r>
      <w:r w:rsidR="00C63F8F" w:rsidRPr="00E27443">
        <w:t xml:space="preserve"> </w:t>
      </w:r>
      <w:r w:rsidRPr="00E27443">
        <w:t>a</w:t>
      </w:r>
      <w:r w:rsidR="00C63F8F" w:rsidRPr="00E27443">
        <w:t xml:space="preserve"> </w:t>
      </w:r>
      <w:r w:rsidRPr="00E27443">
        <w:t>humanitarian</w:t>
      </w:r>
      <w:r w:rsidR="00C63F8F" w:rsidRPr="00E27443">
        <w:t xml:space="preserve"> </w:t>
      </w:r>
      <w:r w:rsidRPr="00E27443">
        <w:t>aid</w:t>
      </w:r>
      <w:r w:rsidR="00C63F8F" w:rsidRPr="00E27443">
        <w:t xml:space="preserve"> </w:t>
      </w:r>
      <w:r w:rsidRPr="00E27443">
        <w:t>effort.</w:t>
      </w:r>
      <w:r w:rsidR="00C63F8F" w:rsidRPr="00E27443">
        <w:t xml:space="preserve"> </w:t>
      </w:r>
      <w:r w:rsidRPr="00E27443">
        <w:t>Sida</w:t>
      </w:r>
      <w:r w:rsidR="00C63F8F" w:rsidRPr="00E27443">
        <w:t xml:space="preserve"> </w:t>
      </w:r>
      <w:r w:rsidRPr="00E27443">
        <w:t>is</w:t>
      </w:r>
      <w:r w:rsidR="00C63F8F" w:rsidRPr="00E27443">
        <w:t xml:space="preserve"> </w:t>
      </w:r>
      <w:r w:rsidRPr="00E27443">
        <w:t>co-operating</w:t>
      </w:r>
      <w:r w:rsidR="00C63F8F" w:rsidRPr="00E27443">
        <w:t xml:space="preserve"> </w:t>
      </w:r>
      <w:r w:rsidRPr="00E27443">
        <w:t>with</w:t>
      </w:r>
      <w:r w:rsidR="00C63F8F" w:rsidRPr="00E27443">
        <w:t xml:space="preserve"> </w:t>
      </w:r>
      <w:r w:rsidRPr="00E27443">
        <w:t>MSB</w:t>
      </w:r>
      <w:r w:rsidR="00C63F8F" w:rsidRPr="00E27443">
        <w:t xml:space="preserve"> </w:t>
      </w:r>
      <w:r w:rsidRPr="00E27443">
        <w:t>and</w:t>
      </w:r>
      <w:r w:rsidR="00C63F8F" w:rsidRPr="00E27443">
        <w:t xml:space="preserve"> </w:t>
      </w:r>
      <w:r w:rsidRPr="00E27443">
        <w:t>the</w:t>
      </w:r>
      <w:r w:rsidR="00C63F8F" w:rsidRPr="00E27443">
        <w:t xml:space="preserve"> </w:t>
      </w:r>
      <w:r w:rsidRPr="00E27443">
        <w:t>Swedish</w:t>
      </w:r>
      <w:r w:rsidR="00C63F8F" w:rsidRPr="00E27443">
        <w:t xml:space="preserve"> </w:t>
      </w:r>
      <w:r w:rsidRPr="00E27443">
        <w:t>Organisations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International</w:t>
      </w:r>
      <w:r w:rsidR="00C63F8F" w:rsidRPr="00E27443">
        <w:t xml:space="preserve"> </w:t>
      </w:r>
      <w:r w:rsidRPr="00E27443">
        <w:t>Development</w:t>
      </w:r>
      <w:r w:rsidR="00C63F8F" w:rsidRPr="00E27443">
        <w:t xml:space="preserve"> </w:t>
      </w:r>
      <w:r w:rsidRPr="00E27443">
        <w:t>Cooperation</w:t>
      </w:r>
      <w:r w:rsidR="00C63F8F" w:rsidRPr="00E27443">
        <w:t xml:space="preserve"> </w:t>
      </w:r>
      <w:r w:rsidRPr="00E27443">
        <w:t>Association</w:t>
      </w:r>
      <w:r w:rsidR="004B01B2" w:rsidRPr="00E27443">
        <w:rPr>
          <w:rStyle w:val="FootnoteReference"/>
        </w:rPr>
        <w:footnoteReference w:id="55"/>
      </w:r>
      <w:r w:rsidR="00C63F8F" w:rsidRPr="00E27443">
        <w:t xml:space="preserve"> </w:t>
      </w:r>
      <w:r w:rsidRPr="00E27443">
        <w:t>(Shia),</w:t>
      </w:r>
      <w:r w:rsidR="00C63F8F" w:rsidRPr="00E27443">
        <w:t xml:space="preserve"> </w:t>
      </w:r>
      <w:r w:rsidRPr="00E27443">
        <w:t>which</w:t>
      </w:r>
      <w:r w:rsidR="00C63F8F" w:rsidRPr="00E27443">
        <w:t xml:space="preserve"> </w:t>
      </w:r>
      <w:r w:rsidRPr="00E27443">
        <w:t>is</w:t>
      </w:r>
      <w:r w:rsidR="00C63F8F" w:rsidRPr="00E27443">
        <w:t xml:space="preserve"> </w:t>
      </w:r>
      <w:r w:rsidRPr="00E27443">
        <w:t>offering</w:t>
      </w:r>
      <w:r w:rsidR="00C63F8F" w:rsidRPr="00E27443">
        <w:t xml:space="preserve"> </w:t>
      </w:r>
      <w:r w:rsidRPr="00E27443">
        <w:t>its</w:t>
      </w:r>
      <w:r w:rsidR="00C63F8F" w:rsidRPr="00E27443">
        <w:t xml:space="preserve"> </w:t>
      </w:r>
      <w:r w:rsidRPr="00E27443">
        <w:t>expertise</w:t>
      </w:r>
      <w:r w:rsidR="00C63F8F" w:rsidRPr="00E27443">
        <w:t xml:space="preserve"> </w:t>
      </w:r>
      <w:r w:rsidRPr="00E27443">
        <w:t>regarding</w:t>
      </w:r>
      <w:r w:rsidR="00C63F8F" w:rsidRPr="00E27443">
        <w:t xml:space="preserve"> </w:t>
      </w:r>
      <w:r w:rsidRPr="00E27443">
        <w:t>how</w:t>
      </w:r>
      <w:r w:rsidR="00C63F8F" w:rsidRPr="00E27443">
        <w:t xml:space="preserve"> </w:t>
      </w:r>
      <w:r w:rsidRPr="00E27443">
        <w:t>the</w:t>
      </w:r>
      <w:r w:rsidR="00C63F8F" w:rsidRPr="00E27443">
        <w:t xml:space="preserve"> </w:t>
      </w:r>
      <w:r w:rsidRPr="00E27443">
        <w:t>humanitarian</w:t>
      </w:r>
      <w:r w:rsidR="00C63F8F" w:rsidRPr="00E27443">
        <w:t xml:space="preserve"> </w:t>
      </w:r>
      <w:r w:rsidRPr="00E27443">
        <w:t>aid</w:t>
      </w:r>
      <w:r w:rsidR="00C63F8F" w:rsidRPr="00E27443">
        <w:t xml:space="preserve"> </w:t>
      </w:r>
      <w:r w:rsidRPr="00E27443">
        <w:t>could</w:t>
      </w:r>
      <w:r w:rsidR="00C63F8F" w:rsidRPr="00E27443">
        <w:t xml:space="preserve"> </w:t>
      </w:r>
      <w:r w:rsidRPr="00E27443">
        <w:t>be</w:t>
      </w:r>
      <w:r w:rsidR="00C63F8F" w:rsidRPr="00E27443">
        <w:t xml:space="preserve"> </w:t>
      </w:r>
      <w:r w:rsidRPr="00E27443">
        <w:t>formulated</w:t>
      </w:r>
      <w:r w:rsidR="00C63F8F" w:rsidRPr="00E27443">
        <w:t xml:space="preserve"> </w:t>
      </w:r>
      <w:r w:rsidRPr="00E27443">
        <w:t>in</w:t>
      </w:r>
      <w:r w:rsidR="00C63F8F" w:rsidRPr="00E27443">
        <w:t xml:space="preserve"> </w:t>
      </w:r>
      <w:r w:rsidRPr="00E27443">
        <w:t>an</w:t>
      </w:r>
      <w:r w:rsidR="00C63F8F" w:rsidRPr="00E27443">
        <w:t xml:space="preserve"> </w:t>
      </w:r>
      <w:r w:rsidRPr="00E27443">
        <w:t>acute</w:t>
      </w:r>
      <w:r w:rsidR="00C63F8F" w:rsidRPr="00E27443">
        <w:t xml:space="preserve"> </w:t>
      </w:r>
      <w:r w:rsidRPr="00E27443">
        <w:t>emergency</w:t>
      </w:r>
      <w:r w:rsidR="00C63F8F" w:rsidRPr="00E27443">
        <w:t xml:space="preserve"> </w:t>
      </w:r>
      <w:r w:rsidRPr="00E27443">
        <w:t>situation.</w:t>
      </w:r>
      <w:r w:rsidR="00C63F8F" w:rsidRPr="00E27443">
        <w:t xml:space="preserve"> </w:t>
      </w:r>
      <w:r w:rsidRPr="00E27443">
        <w:t>Society</w:t>
      </w:r>
      <w:r w:rsidR="00C63F8F" w:rsidRPr="00E27443">
        <w:t xml:space="preserve"> </w:t>
      </w:r>
      <w:r w:rsidRPr="00E27443">
        <w:t>can</w:t>
      </w:r>
      <w:r w:rsidR="00C63F8F" w:rsidRPr="00E27443">
        <w:t xml:space="preserve"> </w:t>
      </w:r>
      <w:r w:rsidRPr="00E27443">
        <w:t>be</w:t>
      </w:r>
      <w:r w:rsidR="00C63F8F" w:rsidRPr="00E27443">
        <w:t xml:space="preserve"> </w:t>
      </w:r>
      <w:r w:rsidRPr="00E27443">
        <w:t>built</w:t>
      </w:r>
      <w:r w:rsidR="00C63F8F" w:rsidRPr="00E27443">
        <w:t xml:space="preserve"> </w:t>
      </w:r>
      <w:r w:rsidRPr="00E27443">
        <w:t>up</w:t>
      </w:r>
      <w:r w:rsidR="00C63F8F" w:rsidRPr="00E27443">
        <w:t xml:space="preserve"> </w:t>
      </w:r>
      <w:r w:rsidRPr="00E27443">
        <w:t>again</w:t>
      </w:r>
      <w:r w:rsidR="00C63F8F" w:rsidRPr="00E27443">
        <w:t xml:space="preserve"> </w:t>
      </w:r>
      <w:r w:rsidRPr="00E27443">
        <w:t>at</w:t>
      </w:r>
      <w:r w:rsidR="00C63F8F" w:rsidRPr="00E27443">
        <w:t xml:space="preserve"> </w:t>
      </w:r>
      <w:r w:rsidRPr="00E27443">
        <w:t>a</w:t>
      </w:r>
      <w:r w:rsidR="00C63F8F" w:rsidRPr="00E27443">
        <w:t xml:space="preserve"> </w:t>
      </w:r>
      <w:r w:rsidRPr="00E27443">
        <w:t>later</w:t>
      </w:r>
      <w:r w:rsidR="00C63F8F" w:rsidRPr="00E27443">
        <w:t xml:space="preserve"> </w:t>
      </w:r>
      <w:r w:rsidRPr="00E27443">
        <w:t>stage,</w:t>
      </w:r>
      <w:r w:rsidR="00C63F8F" w:rsidRPr="00E27443">
        <w:t xml:space="preserve"> </w:t>
      </w:r>
      <w:r w:rsidRPr="00E27443">
        <w:t>in</w:t>
      </w:r>
      <w:r w:rsidR="00C63F8F" w:rsidRPr="00E27443">
        <w:t xml:space="preserve"> </w:t>
      </w:r>
      <w:r w:rsidRPr="00E27443">
        <w:t>dialogue</w:t>
      </w:r>
      <w:r w:rsidR="00C63F8F" w:rsidRPr="00E27443">
        <w:t xml:space="preserve"> </w:t>
      </w:r>
      <w:r w:rsidRPr="00E27443">
        <w:t>with</w:t>
      </w:r>
      <w:r w:rsidR="00C63F8F" w:rsidRPr="00E27443">
        <w:t xml:space="preserve"> </w:t>
      </w:r>
      <w:r w:rsidRPr="00E27443">
        <w:t>disability</w:t>
      </w:r>
      <w:r w:rsidR="00C63F8F" w:rsidRPr="00E27443">
        <w:t xml:space="preserve"> </w:t>
      </w:r>
      <w:r w:rsidRPr="00E27443">
        <w:t>organisations,</w:t>
      </w:r>
      <w:r w:rsidR="00C63F8F" w:rsidRPr="00E27443">
        <w:t xml:space="preserve"> </w:t>
      </w:r>
      <w:r w:rsidRPr="00E27443">
        <w:t>to</w:t>
      </w:r>
      <w:r w:rsidR="00C63F8F" w:rsidRPr="00E27443">
        <w:t xml:space="preserve"> </w:t>
      </w:r>
      <w:r w:rsidRPr="00E27443">
        <w:t>make</w:t>
      </w:r>
      <w:r w:rsidR="00C63F8F" w:rsidRPr="00E27443">
        <w:t xml:space="preserve"> </w:t>
      </w:r>
      <w:r w:rsidRPr="00E27443">
        <w:t>it</w:t>
      </w:r>
      <w:r w:rsidR="00C63F8F" w:rsidRPr="00E27443">
        <w:t xml:space="preserve"> </w:t>
      </w:r>
      <w:r w:rsidRPr="00E27443">
        <w:t>accessible</w:t>
      </w:r>
      <w:r w:rsidR="00C63F8F" w:rsidRPr="00E27443">
        <w:t xml:space="preserve"> </w:t>
      </w:r>
      <w:r w:rsidRPr="00E27443">
        <w:t>for</w:t>
      </w:r>
      <w:r w:rsidR="00C63F8F" w:rsidRPr="00E27443">
        <w:t xml:space="preserve"> </w:t>
      </w:r>
      <w:r w:rsidRPr="00E27443">
        <w:t>everyone.</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A</w:t>
      </w:r>
      <w:r w:rsidR="00C63F8F" w:rsidRPr="00E27443">
        <w:t xml:space="preserve"> </w:t>
      </w:r>
      <w:r w:rsidRPr="00E27443">
        <w:t>collaboration</w:t>
      </w:r>
      <w:r w:rsidR="00C63F8F" w:rsidRPr="00E27443">
        <w:t xml:space="preserve"> </w:t>
      </w:r>
      <w:r w:rsidRPr="00E27443">
        <w:t>has</w:t>
      </w:r>
      <w:r w:rsidR="00C63F8F" w:rsidRPr="00E27443">
        <w:t xml:space="preserve"> </w:t>
      </w:r>
      <w:r w:rsidRPr="00E27443">
        <w:t>been</w:t>
      </w:r>
      <w:r w:rsidR="00C63F8F" w:rsidRPr="00E27443">
        <w:t xml:space="preserve"> </w:t>
      </w:r>
      <w:r w:rsidRPr="00E27443">
        <w:t>launched</w:t>
      </w:r>
      <w:r w:rsidR="00C63F8F" w:rsidRPr="00E27443">
        <w:t xml:space="preserve"> </w:t>
      </w:r>
      <w:r w:rsidRPr="00E27443">
        <w:t>between</w:t>
      </w:r>
      <w:r w:rsidR="00C63F8F" w:rsidRPr="00E27443">
        <w:t xml:space="preserve"> </w:t>
      </w:r>
      <w:r w:rsidRPr="00E27443">
        <w:t>MSB</w:t>
      </w:r>
      <w:r w:rsidR="00C63F8F" w:rsidRPr="00E27443">
        <w:t xml:space="preserve"> </w:t>
      </w:r>
      <w:r w:rsidRPr="00E27443">
        <w:t>and</w:t>
      </w:r>
      <w:r w:rsidR="00C63F8F" w:rsidRPr="00E27443">
        <w:t xml:space="preserve"> </w:t>
      </w:r>
      <w:r w:rsidRPr="00E27443">
        <w:t>Handicap</w:t>
      </w:r>
      <w:r w:rsidR="00C63F8F" w:rsidRPr="00E27443">
        <w:t xml:space="preserve"> </w:t>
      </w:r>
      <w:r w:rsidRPr="00E27443">
        <w:t>International.</w:t>
      </w:r>
      <w:r w:rsidR="004B01B2" w:rsidRPr="00E27443">
        <w:rPr>
          <w:rStyle w:val="FootnoteReference"/>
        </w:rPr>
        <w:footnoteReference w:id="56"/>
      </w:r>
      <w:r w:rsidR="00C63F8F" w:rsidRPr="00E27443">
        <w:t xml:space="preserve"> </w:t>
      </w:r>
    </w:p>
    <w:p w:rsidR="00321ADA" w:rsidRPr="00E27443" w:rsidRDefault="004B01B2" w:rsidP="004B01B2">
      <w:pPr>
        <w:pStyle w:val="H1G"/>
      </w:pPr>
      <w:r w:rsidRPr="00E27443">
        <w:tab/>
      </w:r>
      <w:r w:rsidRPr="00E27443">
        <w:tab/>
      </w:r>
      <w:bookmarkStart w:id="12" w:name="_Toc290623296"/>
      <w:r w:rsidR="00321ADA" w:rsidRPr="00E27443">
        <w:t>Article</w:t>
      </w:r>
      <w:r w:rsidR="00C63F8F" w:rsidRPr="00E27443">
        <w:t xml:space="preserve"> </w:t>
      </w:r>
      <w:r w:rsidR="00321ADA" w:rsidRPr="00E27443">
        <w:t>12</w:t>
      </w:r>
      <w:r w:rsidR="00E75253">
        <w:t xml:space="preserve">: </w:t>
      </w:r>
      <w:r w:rsidR="00321ADA" w:rsidRPr="00E27443">
        <w:t>Equal</w:t>
      </w:r>
      <w:r w:rsidR="00C63F8F" w:rsidRPr="00E27443">
        <w:t xml:space="preserve"> </w:t>
      </w:r>
      <w:r w:rsidR="00321ADA" w:rsidRPr="00E27443">
        <w:t>recognition</w:t>
      </w:r>
      <w:r w:rsidR="00C63F8F" w:rsidRPr="00E27443">
        <w:t xml:space="preserve"> </w:t>
      </w:r>
      <w:r w:rsidR="00321ADA" w:rsidRPr="00E27443">
        <w:t>before</w:t>
      </w:r>
      <w:r w:rsidR="00C63F8F" w:rsidRPr="00E27443">
        <w:t xml:space="preserve"> </w:t>
      </w:r>
      <w:r w:rsidR="00321ADA" w:rsidRPr="00E27443">
        <w:t>the</w:t>
      </w:r>
      <w:r w:rsidR="00C63F8F" w:rsidRPr="00E27443">
        <w:t xml:space="preserve"> </w:t>
      </w:r>
      <w:r w:rsidR="00321ADA" w:rsidRPr="00E27443">
        <w:t>law</w:t>
      </w:r>
      <w:bookmarkEnd w:id="12"/>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commissioned</w:t>
      </w:r>
      <w:r w:rsidR="00C63F8F" w:rsidRPr="00E27443">
        <w:t xml:space="preserve"> </w:t>
      </w:r>
      <w:r w:rsidRPr="00E27443">
        <w:t>the</w:t>
      </w:r>
      <w:r w:rsidR="00C63F8F" w:rsidRPr="00E27443">
        <w:t xml:space="preserve"> </w:t>
      </w:r>
      <w:r w:rsidRPr="00E27443">
        <w:rPr>
          <w:i/>
        </w:rPr>
        <w:t>Swedish</w:t>
      </w:r>
      <w:r w:rsidR="00C63F8F" w:rsidRPr="00E27443">
        <w:rPr>
          <w:i/>
        </w:rPr>
        <w:t xml:space="preserve"> </w:t>
      </w:r>
      <w:r w:rsidRPr="00E27443">
        <w:rPr>
          <w:i/>
        </w:rPr>
        <w:t>National</w:t>
      </w:r>
      <w:r w:rsidR="00C63F8F" w:rsidRPr="00E27443">
        <w:rPr>
          <w:i/>
        </w:rPr>
        <w:t xml:space="preserve"> </w:t>
      </w:r>
      <w:r w:rsidRPr="00E27443">
        <w:rPr>
          <w:i/>
        </w:rPr>
        <w:t>Council</w:t>
      </w:r>
      <w:r w:rsidR="00C63F8F" w:rsidRPr="00E27443">
        <w:rPr>
          <w:i/>
        </w:rPr>
        <w:t xml:space="preserve"> </w:t>
      </w:r>
      <w:r w:rsidRPr="00E27443">
        <w:rPr>
          <w:i/>
        </w:rPr>
        <w:t>for</w:t>
      </w:r>
      <w:r w:rsidR="00C63F8F" w:rsidRPr="00E27443">
        <w:rPr>
          <w:i/>
        </w:rPr>
        <w:t xml:space="preserve"> </w:t>
      </w:r>
      <w:r w:rsidRPr="00E27443">
        <w:rPr>
          <w:i/>
        </w:rPr>
        <w:t>Crime</w:t>
      </w:r>
      <w:r w:rsidR="00C63F8F" w:rsidRPr="00E27443">
        <w:rPr>
          <w:i/>
        </w:rPr>
        <w:t xml:space="preserve"> </w:t>
      </w:r>
      <w:r w:rsidR="004B01B2" w:rsidRPr="00E27443">
        <w:rPr>
          <w:i/>
        </w:rPr>
        <w:t>Pre</w:t>
      </w:r>
      <w:r w:rsidRPr="00E27443">
        <w:rPr>
          <w:i/>
        </w:rPr>
        <w:t>vention</w:t>
      </w:r>
      <w:r w:rsidR="004B01B2" w:rsidRPr="00E27443">
        <w:rPr>
          <w:rStyle w:val="FootnoteReference"/>
        </w:rPr>
        <w:footnoteReference w:id="57"/>
      </w:r>
      <w:r w:rsidR="00C63F8F" w:rsidRPr="00E27443">
        <w:t xml:space="preserve"> </w:t>
      </w:r>
      <w:r w:rsidRPr="00E27443">
        <w:t>(BRÅ)</w:t>
      </w:r>
      <w:r w:rsidR="00C63F8F" w:rsidRPr="00E27443">
        <w:t xml:space="preserve"> </w:t>
      </w:r>
      <w:r w:rsidRPr="00E27443">
        <w:t>to</w:t>
      </w:r>
      <w:r w:rsidR="00C63F8F" w:rsidRPr="00E27443">
        <w:t xml:space="preserve"> </w:t>
      </w:r>
      <w:r w:rsidRPr="00E27443">
        <w:t>chart</w:t>
      </w:r>
      <w:r w:rsidR="00C63F8F" w:rsidRPr="00E27443">
        <w:t xml:space="preserve"> </w:t>
      </w:r>
      <w:r w:rsidRPr="00E27443">
        <w:t>the</w:t>
      </w:r>
      <w:r w:rsidR="00C63F8F" w:rsidRPr="00E27443">
        <w:t xml:space="preserve"> </w:t>
      </w:r>
      <w:r w:rsidRPr="00E27443">
        <w:t>knowledge</w:t>
      </w:r>
      <w:r w:rsidR="00C63F8F" w:rsidRPr="00E27443">
        <w:t xml:space="preserve"> </w:t>
      </w:r>
      <w:r w:rsidRPr="00E27443">
        <w:t>that</w:t>
      </w:r>
      <w:r w:rsidR="00C63F8F" w:rsidRPr="00E27443">
        <w:t xml:space="preserve"> </w:t>
      </w:r>
      <w:r w:rsidRPr="00E27443">
        <w:t>exists</w:t>
      </w:r>
      <w:r w:rsidR="00C63F8F" w:rsidRPr="00E27443">
        <w:t xml:space="preserve"> </w:t>
      </w:r>
      <w:r w:rsidRPr="00E27443">
        <w:t>regarding</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identify</w:t>
      </w:r>
      <w:r w:rsidR="00C63F8F" w:rsidRPr="00E27443">
        <w:t xml:space="preserve"> </w:t>
      </w:r>
      <w:r w:rsidRPr="00E27443">
        <w:t>what</w:t>
      </w:r>
      <w:r w:rsidR="00C63F8F" w:rsidRPr="00E27443">
        <w:t xml:space="preserve"> </w:t>
      </w:r>
      <w:r w:rsidRPr="00E27443">
        <w:t>knowledge</w:t>
      </w:r>
      <w:r w:rsidR="00C63F8F" w:rsidRPr="00E27443">
        <w:t xml:space="preserve"> </w:t>
      </w:r>
      <w:r w:rsidRPr="00E27443">
        <w:t>is</w:t>
      </w:r>
      <w:r w:rsidR="00C63F8F" w:rsidRPr="00E27443">
        <w:t xml:space="preserve"> </w:t>
      </w:r>
      <w:r w:rsidRPr="00E27443">
        <w:t>lacking,</w:t>
      </w:r>
      <w:r w:rsidR="00C63F8F" w:rsidRPr="00E27443">
        <w:t xml:space="preserve"> </w:t>
      </w:r>
      <w:r w:rsidRPr="00E27443">
        <w:t>and</w:t>
      </w:r>
      <w:r w:rsidR="00C63F8F" w:rsidRPr="00E27443">
        <w:t xml:space="preserve"> </w:t>
      </w:r>
      <w:r w:rsidRPr="00E27443">
        <w:t>to</w:t>
      </w:r>
      <w:r w:rsidR="00C63F8F" w:rsidRPr="00E27443">
        <w:t xml:space="preserve"> </w:t>
      </w:r>
      <w:r w:rsidRPr="00E27443">
        <w:t>report</w:t>
      </w:r>
      <w:r w:rsidR="00C63F8F" w:rsidRPr="00E27443">
        <w:t xml:space="preserve"> </w:t>
      </w:r>
      <w:r w:rsidRPr="00E27443">
        <w:t>possible</w:t>
      </w:r>
      <w:r w:rsidR="00C63F8F" w:rsidRPr="00E27443">
        <w:t xml:space="preserve"> </w:t>
      </w:r>
      <w:r w:rsidRPr="00E27443">
        <w:t>ways</w:t>
      </w:r>
      <w:r w:rsidR="00C63F8F" w:rsidRPr="00E27443">
        <w:t xml:space="preserve"> </w:t>
      </w:r>
      <w:r w:rsidRPr="00E27443">
        <w:t>of</w:t>
      </w:r>
      <w:r w:rsidR="00C63F8F" w:rsidRPr="00E27443">
        <w:t xml:space="preserve"> </w:t>
      </w:r>
      <w:r w:rsidRPr="00E27443">
        <w:t>preventing</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BRÅ</w:t>
      </w:r>
      <w:r w:rsidR="00C63F8F" w:rsidRPr="00E27443">
        <w:t xml:space="preserve"> </w:t>
      </w:r>
      <w:r w:rsidRPr="00E27443">
        <w:t>submitted</w:t>
      </w:r>
      <w:r w:rsidR="00C63F8F" w:rsidRPr="00E27443">
        <w:t xml:space="preserve"> </w:t>
      </w:r>
      <w:r w:rsidRPr="00E27443">
        <w:t>the</w:t>
      </w:r>
      <w:r w:rsidR="00C63F8F" w:rsidRPr="00E27443">
        <w:t xml:space="preserve"> </w:t>
      </w:r>
      <w:r w:rsidRPr="00E27443">
        <w:t>report</w:t>
      </w:r>
      <w:r w:rsidR="004B01B2" w:rsidRPr="00E27443">
        <w:rPr>
          <w:rStyle w:val="FootnoteReference"/>
        </w:rPr>
        <w:footnoteReference w:id="58"/>
      </w:r>
      <w:r w:rsidR="00C63F8F" w:rsidRPr="00E27443">
        <w:t xml:space="preserve"> ‘</w:t>
      </w:r>
      <w:r w:rsidRPr="00E27443">
        <w:t>Våld</w:t>
      </w:r>
      <w:r w:rsidR="00C63F8F" w:rsidRPr="00E27443">
        <w:t xml:space="preserve"> </w:t>
      </w:r>
      <w:r w:rsidRPr="00E27443">
        <w:t>mot</w:t>
      </w:r>
      <w:r w:rsidR="00C63F8F" w:rsidRPr="00E27443">
        <w:t xml:space="preserve"> </w:t>
      </w:r>
      <w:r w:rsidRPr="00E27443">
        <w:t>personer</w:t>
      </w:r>
      <w:r w:rsidR="00C63F8F" w:rsidRPr="00E27443">
        <w:t xml:space="preserve"> </w:t>
      </w:r>
      <w:r w:rsidRPr="00E27443">
        <w:t>med</w:t>
      </w:r>
      <w:r w:rsidR="00C63F8F" w:rsidRPr="00E27443">
        <w:t xml:space="preserve"> </w:t>
      </w:r>
      <w:r w:rsidRPr="00E27443">
        <w:t>funktionshinder</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November</w:t>
      </w:r>
      <w:r w:rsidR="00C63F8F" w:rsidRPr="00E27443">
        <w:t xml:space="preserve"> </w:t>
      </w:r>
      <w:r w:rsidRPr="00E27443">
        <w:t>2007.</w:t>
      </w:r>
      <w:r w:rsidR="00C63F8F" w:rsidRPr="00E27443">
        <w:t xml:space="preserve"> </w:t>
      </w:r>
      <w:r w:rsidRPr="00E27443">
        <w:t>The</w:t>
      </w:r>
      <w:r w:rsidR="00C63F8F" w:rsidRPr="00E27443">
        <w:t xml:space="preserve"> </w:t>
      </w:r>
      <w:r w:rsidRPr="00E27443">
        <w:t>report</w:t>
      </w:r>
      <w:r w:rsidR="00C63F8F" w:rsidRPr="00E27443">
        <w:t xml:space="preserve"> </w:t>
      </w:r>
      <w:r w:rsidRPr="00E27443">
        <w:t>highlights</w:t>
      </w:r>
      <w:r w:rsidR="00C63F8F" w:rsidRPr="00E27443">
        <w:t xml:space="preserve"> </w:t>
      </w:r>
      <w:r w:rsidRPr="00E27443">
        <w:t>three</w:t>
      </w:r>
      <w:r w:rsidR="00C63F8F" w:rsidRPr="00E27443">
        <w:t xml:space="preserve"> </w:t>
      </w:r>
      <w:r w:rsidRPr="00E27443">
        <w:t>themes</w:t>
      </w:r>
      <w:r w:rsidR="00C63F8F" w:rsidRPr="00E27443">
        <w:t xml:space="preserve"> </w:t>
      </w:r>
      <w:r w:rsidRPr="00E27443">
        <w:t>in</w:t>
      </w:r>
      <w:r w:rsidR="00C63F8F" w:rsidRPr="00E27443">
        <w:t xml:space="preserve"> </w:t>
      </w:r>
      <w:r w:rsidRPr="00E27443">
        <w:t>particular:</w:t>
      </w:r>
      <w:r w:rsidR="00C63F8F" w:rsidRPr="00E27443">
        <w:t xml:space="preserve"> </w:t>
      </w:r>
      <w:r w:rsidRPr="00E27443">
        <w:t>invisibility,</w:t>
      </w:r>
      <w:r w:rsidR="00C63F8F" w:rsidRPr="00E27443">
        <w:t xml:space="preserve"> </w:t>
      </w:r>
      <w:r w:rsidRPr="00E27443">
        <w:t>vulnerability</w:t>
      </w:r>
      <w:r w:rsidR="00C63F8F" w:rsidRPr="00E27443">
        <w:t xml:space="preserve"> </w:t>
      </w:r>
      <w:r w:rsidRPr="00E27443">
        <w:t>and</w:t>
      </w:r>
      <w:r w:rsidR="00C63F8F" w:rsidRPr="00E27443">
        <w:t xml:space="preserve"> </w:t>
      </w:r>
      <w:r w:rsidRPr="00E27443">
        <w:t>dependence.</w:t>
      </w:r>
      <w:r w:rsidR="00C63F8F" w:rsidRPr="00E27443">
        <w:t xml:space="preserve"> </w:t>
      </w:r>
      <w:r w:rsidRPr="00E27443">
        <w:t>It</w:t>
      </w:r>
      <w:r w:rsidR="00C63F8F" w:rsidRPr="00E27443">
        <w:t xml:space="preserve"> </w:t>
      </w:r>
      <w:r w:rsidRPr="00E27443">
        <w:t>is</w:t>
      </w:r>
      <w:r w:rsidR="00C63F8F" w:rsidRPr="00E27443">
        <w:t xml:space="preserve"> </w:t>
      </w:r>
      <w:r w:rsidRPr="00E27443">
        <w:t>particularly</w:t>
      </w:r>
      <w:r w:rsidR="00C63F8F" w:rsidRPr="00E27443">
        <w:t xml:space="preserve"> </w:t>
      </w:r>
      <w:r w:rsidRPr="00E27443">
        <w:t>vital</w:t>
      </w:r>
      <w:r w:rsidR="00C63F8F" w:rsidRPr="00E27443">
        <w:t xml:space="preserve"> </w:t>
      </w:r>
      <w:r w:rsidRPr="00E27443">
        <w:t>to</w:t>
      </w:r>
      <w:r w:rsidR="00C63F8F" w:rsidRPr="00E27443">
        <w:t xml:space="preserve"> </w:t>
      </w:r>
      <w:r w:rsidRPr="00E27443">
        <w:t>fill</w:t>
      </w:r>
      <w:r w:rsidR="00C63F8F" w:rsidRPr="00E27443">
        <w:t xml:space="preserve"> </w:t>
      </w:r>
      <w:r w:rsidRPr="00E27443">
        <w:t>knowledge</w:t>
      </w:r>
      <w:r w:rsidR="00C63F8F" w:rsidRPr="00E27443">
        <w:t xml:space="preserve"> </w:t>
      </w:r>
      <w:r w:rsidRPr="00E27443">
        <w:t>gaps</w:t>
      </w:r>
      <w:r w:rsidR="00C63F8F" w:rsidRPr="00E27443">
        <w:t xml:space="preserve"> </w:t>
      </w:r>
      <w:r w:rsidRPr="00E27443">
        <w:t>relating</w:t>
      </w:r>
      <w:r w:rsidR="00C63F8F" w:rsidRPr="00E27443">
        <w:t xml:space="preserve"> </w:t>
      </w:r>
      <w:r w:rsidRPr="00E27443">
        <w:t>to</w:t>
      </w:r>
      <w:r w:rsidR="00C63F8F" w:rsidRPr="00E27443">
        <w:t xml:space="preserve"> </w:t>
      </w:r>
      <w:r w:rsidRPr="00E27443">
        <w:t>vulnerability</w:t>
      </w:r>
      <w:r w:rsidR="00C63F8F" w:rsidRPr="00E27443">
        <w:t xml:space="preserve"> </w:t>
      </w:r>
      <w:r w:rsidRPr="00E27443">
        <w:t>among</w:t>
      </w:r>
      <w:r w:rsidR="00C63F8F" w:rsidRPr="00E27443">
        <w:t xml:space="preserve"> </w:t>
      </w:r>
      <w:r w:rsidRPr="00E27443">
        <w:t>men</w:t>
      </w:r>
      <w:r w:rsidR="00C63F8F" w:rsidRPr="00E27443">
        <w:t xml:space="preserve"> </w:t>
      </w:r>
      <w:r w:rsidRPr="00E27443">
        <w:t>and</w:t>
      </w:r>
      <w:r w:rsidR="00C63F8F" w:rsidRPr="00E27443">
        <w:t xml:space="preserve"> </w:t>
      </w:r>
      <w:r w:rsidRPr="00E27443">
        <w:t>among</w:t>
      </w:r>
      <w:r w:rsidR="00C63F8F" w:rsidRPr="00E27443">
        <w:t xml:space="preserve"> </w:t>
      </w:r>
      <w:r w:rsidRPr="00E27443">
        <w:t>people</w:t>
      </w:r>
      <w:r w:rsidR="00C63F8F" w:rsidRPr="00E27443">
        <w:t xml:space="preserve"> </w:t>
      </w:r>
      <w:r w:rsidRPr="00E27443">
        <w:t>who</w:t>
      </w:r>
      <w:r w:rsidR="00C63F8F" w:rsidRPr="00E27443">
        <w:t xml:space="preserve"> </w:t>
      </w:r>
      <w:r w:rsidRPr="00E27443">
        <w:t>find</w:t>
      </w:r>
      <w:r w:rsidR="00C63F8F" w:rsidRPr="00E27443">
        <w:t xml:space="preserve"> </w:t>
      </w:r>
      <w:r w:rsidRPr="00E27443">
        <w:t>it</w:t>
      </w:r>
      <w:r w:rsidR="00C63F8F" w:rsidRPr="00E27443">
        <w:t xml:space="preserve"> </w:t>
      </w:r>
      <w:r w:rsidRPr="00E27443">
        <w:t>difficult</w:t>
      </w:r>
      <w:r w:rsidR="00C63F8F" w:rsidRPr="00E27443">
        <w:t xml:space="preserve"> </w:t>
      </w:r>
      <w:r w:rsidRPr="00E27443">
        <w:t>themselves</w:t>
      </w:r>
      <w:r w:rsidR="00C63F8F" w:rsidRPr="00E27443">
        <w:t xml:space="preserve"> </w:t>
      </w:r>
      <w:r w:rsidRPr="00E27443">
        <w:t>to</w:t>
      </w:r>
      <w:r w:rsidR="00C63F8F" w:rsidRPr="00E27443">
        <w:t xml:space="preserve"> </w:t>
      </w:r>
      <w:r w:rsidRPr="00E27443">
        <w:t>talk</w:t>
      </w:r>
      <w:r w:rsidR="00C63F8F" w:rsidRPr="00E27443">
        <w:t xml:space="preserve"> </w:t>
      </w:r>
      <w:r w:rsidRPr="00E27443">
        <w:t>about</w:t>
      </w:r>
      <w:r w:rsidR="00C63F8F" w:rsidRPr="00E27443">
        <w:t xml:space="preserve"> </w:t>
      </w:r>
      <w:r w:rsidRPr="00E27443">
        <w:t>their</w:t>
      </w:r>
      <w:r w:rsidR="00C63F8F" w:rsidRPr="00E27443">
        <w:t xml:space="preserve"> </w:t>
      </w:r>
      <w:r w:rsidRPr="00E27443">
        <w:t>vulnerability.</w:t>
      </w:r>
      <w:r w:rsidR="00C63F8F" w:rsidRPr="00E27443">
        <w:t xml:space="preserve"> </w:t>
      </w:r>
      <w:r w:rsidRPr="00E27443">
        <w:t>Knowledge</w:t>
      </w:r>
      <w:r w:rsidR="00C63F8F" w:rsidRPr="00E27443">
        <w:t xml:space="preserve"> </w:t>
      </w:r>
      <w:r w:rsidRPr="00E27443">
        <w:t>is</w:t>
      </w:r>
      <w:r w:rsidR="00C63F8F" w:rsidRPr="00E27443">
        <w:t xml:space="preserve"> </w:t>
      </w:r>
      <w:r w:rsidRPr="00E27443">
        <w:t>also</w:t>
      </w:r>
      <w:r w:rsidR="00C63F8F" w:rsidRPr="00E27443">
        <w:t xml:space="preserve"> </w:t>
      </w:r>
      <w:r w:rsidRPr="00E27443">
        <w:t>required</w:t>
      </w:r>
      <w:r w:rsidR="00C63F8F" w:rsidRPr="00E27443">
        <w:t xml:space="preserve"> </w:t>
      </w:r>
      <w:r w:rsidRPr="00E27443">
        <w:t>to</w:t>
      </w:r>
      <w:r w:rsidR="00C63F8F" w:rsidRPr="00E27443">
        <w:t xml:space="preserve"> </w:t>
      </w:r>
      <w:r w:rsidRPr="00E27443">
        <w:t>make</w:t>
      </w:r>
      <w:r w:rsidR="00C63F8F" w:rsidRPr="00E27443">
        <w:t xml:space="preserve"> </w:t>
      </w:r>
      <w:r w:rsidRPr="00E27443">
        <w:t>it</w:t>
      </w:r>
      <w:r w:rsidR="00C63F8F" w:rsidRPr="00E27443">
        <w:t xml:space="preserve"> </w:t>
      </w:r>
      <w:r w:rsidRPr="00E27443">
        <w:t>possible</w:t>
      </w:r>
      <w:r w:rsidR="00C63F8F" w:rsidRPr="00E27443">
        <w:t xml:space="preserve"> </w:t>
      </w:r>
      <w:r w:rsidRPr="00E27443">
        <w:t>to</w:t>
      </w:r>
      <w:r w:rsidR="00C63F8F" w:rsidRPr="00E27443">
        <w:t xml:space="preserve"> </w:t>
      </w:r>
      <w:r w:rsidRPr="00E27443">
        <w:t>identify</w:t>
      </w:r>
      <w:r w:rsidR="00C63F8F" w:rsidRPr="00E27443">
        <w:t xml:space="preserve"> </w:t>
      </w:r>
      <w:r w:rsidRPr="00E27443">
        <w:t>any</w:t>
      </w:r>
      <w:r w:rsidR="00C63F8F" w:rsidRPr="00E27443">
        <w:t xml:space="preserve"> </w:t>
      </w:r>
      <w:r w:rsidRPr="00E27443">
        <w:t>high</w:t>
      </w:r>
      <w:r w:rsidR="00C63F8F" w:rsidRPr="00E27443">
        <w:t xml:space="preserve"> </w:t>
      </w:r>
      <w:r w:rsidRPr="00E27443">
        <w:t>risk</w:t>
      </w:r>
      <w:r w:rsidR="00C63F8F" w:rsidRPr="00E27443">
        <w:t xml:space="preserve"> </w:t>
      </w:r>
      <w:r w:rsidRPr="00E27443">
        <w:t>groups,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increased</w:t>
      </w:r>
      <w:r w:rsidR="00C63F8F" w:rsidRPr="00E27443">
        <w:t xml:space="preserve"> </w:t>
      </w:r>
      <w:r w:rsidRPr="00E27443">
        <w:t>knowledge</w:t>
      </w:r>
      <w:r w:rsidR="00C63F8F" w:rsidRPr="00E27443">
        <w:t xml:space="preserve"> </w:t>
      </w:r>
      <w:r w:rsidRPr="00E27443">
        <w:t>among</w:t>
      </w:r>
      <w:r w:rsidR="00C63F8F" w:rsidRPr="00E27443">
        <w:t xml:space="preserve"> </w:t>
      </w:r>
      <w:r w:rsidRPr="00E27443">
        <w:t>practitioners</w:t>
      </w:r>
      <w:r w:rsidR="00C63F8F" w:rsidRPr="00E27443">
        <w:t xml:space="preserve"> </w:t>
      </w:r>
      <w:r w:rsidRPr="00E27443">
        <w:t>within</w:t>
      </w:r>
      <w:r w:rsidR="00C63F8F" w:rsidRPr="00E27443">
        <w:t xml:space="preserve"> </w:t>
      </w:r>
      <w:r w:rsidRPr="00E27443">
        <w:t>care</w:t>
      </w:r>
      <w:r w:rsidR="00C63F8F" w:rsidRPr="00E27443">
        <w:t xml:space="preserve"> </w:t>
      </w:r>
      <w:r w:rsidRPr="00E27443">
        <w:t>and</w:t>
      </w:r>
      <w:r w:rsidR="00C63F8F" w:rsidRPr="00E27443">
        <w:t xml:space="preserve"> </w:t>
      </w:r>
      <w:r w:rsidRPr="00E27443">
        <w:t>the</w:t>
      </w:r>
      <w:r w:rsidR="00C63F8F" w:rsidRPr="00E27443">
        <w:t xml:space="preserve"> </w:t>
      </w:r>
      <w:r w:rsidRPr="00E27443">
        <w:t>judicial</w:t>
      </w:r>
      <w:r w:rsidR="00C63F8F" w:rsidRPr="00E27443">
        <w:t xml:space="preserve"> </w:t>
      </w:r>
      <w:r w:rsidRPr="00E27443">
        <w:t>system</w:t>
      </w:r>
      <w:r w:rsidR="00C63F8F" w:rsidRPr="00E27443">
        <w:t xml:space="preserve"> </w:t>
      </w:r>
      <w:r w:rsidRPr="00E27443">
        <w:t>regarding</w:t>
      </w:r>
      <w:r w:rsidR="00C63F8F" w:rsidRPr="00E27443">
        <w:t xml:space="preserve"> </w:t>
      </w:r>
      <w:r w:rsidRPr="00E27443">
        <w:t>violence</w:t>
      </w:r>
      <w:r w:rsidR="00C63F8F" w:rsidRPr="00E27443">
        <w:t xml:space="preserve"> </w:t>
      </w:r>
      <w:r w:rsidRPr="00E27443">
        <w:t>and</w:t>
      </w:r>
      <w:r w:rsidR="00C63F8F" w:rsidRPr="00E27443">
        <w:t xml:space="preserve"> </w:t>
      </w:r>
      <w:r w:rsidRPr="00E27443">
        <w:t>disability.</w:t>
      </w:r>
      <w:r w:rsidR="00C63F8F" w:rsidRPr="00E27443">
        <w:t xml:space="preserve"> </w:t>
      </w:r>
      <w:r w:rsidRPr="00E27443">
        <w:t>A</w:t>
      </w:r>
      <w:r w:rsidR="00C63F8F" w:rsidRPr="00E27443">
        <w:t xml:space="preserve"> </w:t>
      </w:r>
      <w:r w:rsidRPr="00E27443">
        <w:t>series</w:t>
      </w:r>
      <w:r w:rsidR="00C63F8F" w:rsidRPr="00E27443">
        <w:t xml:space="preserve"> </w:t>
      </w:r>
      <w:r w:rsidRPr="00E27443">
        <w:t>of</w:t>
      </w:r>
      <w:r w:rsidR="00C63F8F" w:rsidRPr="00E27443">
        <w:t xml:space="preserve"> </w:t>
      </w:r>
      <w:r w:rsidRPr="00E27443">
        <w:t>proposals</w:t>
      </w:r>
      <w:r w:rsidR="00C63F8F" w:rsidRPr="00E27443">
        <w:t xml:space="preserve"> </w:t>
      </w:r>
      <w:r w:rsidRPr="00E27443">
        <w:t>for</w:t>
      </w:r>
      <w:r w:rsidR="00C63F8F" w:rsidRPr="00E27443">
        <w:t xml:space="preserve"> </w:t>
      </w:r>
      <w:r w:rsidRPr="00E27443">
        <w:t>preventive</w:t>
      </w:r>
      <w:r w:rsidR="00C63F8F" w:rsidRPr="00E27443">
        <w:t xml:space="preserve"> </w:t>
      </w:r>
      <w:r w:rsidRPr="00E27443">
        <w:t>measures</w:t>
      </w:r>
      <w:r w:rsidR="00C63F8F" w:rsidRPr="00E27443">
        <w:t xml:space="preserve"> </w:t>
      </w:r>
      <w:r w:rsidRPr="00E27443">
        <w:t>are</w:t>
      </w:r>
      <w:r w:rsidR="00C63F8F" w:rsidRPr="00E27443">
        <w:t xml:space="preserve"> </w:t>
      </w:r>
      <w:r w:rsidRPr="00E27443">
        <w:t>being</w:t>
      </w:r>
      <w:r w:rsidR="00C63F8F" w:rsidRPr="00E27443">
        <w:t xml:space="preserve"> </w:t>
      </w:r>
      <w:r w:rsidRPr="00E27443">
        <w:t>presented</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discussions</w:t>
      </w:r>
      <w:r w:rsidR="00C63F8F" w:rsidRPr="00E27443">
        <w:t xml:space="preserve"> </w:t>
      </w:r>
      <w:r w:rsidRPr="00E27443">
        <w:t>with</w:t>
      </w:r>
      <w:r w:rsidR="00C63F8F" w:rsidRPr="00E27443">
        <w:t xml:space="preserve"> </w:t>
      </w:r>
      <w:r w:rsidRPr="00E27443">
        <w:t>key</w:t>
      </w:r>
      <w:r w:rsidR="00C63F8F" w:rsidRPr="00E27443">
        <w:t xml:space="preserve"> </w:t>
      </w:r>
      <w:r w:rsidRPr="00E27443">
        <w:t>people</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The</w:t>
      </w:r>
      <w:r w:rsidR="00C63F8F" w:rsidRPr="00E27443">
        <w:t xml:space="preserve"> </w:t>
      </w:r>
      <w:r w:rsidRPr="00E27443">
        <w:t>report</w:t>
      </w:r>
      <w:r w:rsidR="00C63F8F" w:rsidRPr="00E27443">
        <w:t xml:space="preserve"> </w:t>
      </w:r>
      <w:r w:rsidRPr="00E27443">
        <w:t>is</w:t>
      </w:r>
      <w:r w:rsidR="00C63F8F" w:rsidRPr="00E27443">
        <w:t xml:space="preserve"> </w:t>
      </w:r>
      <w:r w:rsidRPr="00E27443">
        <w:t>available</w:t>
      </w:r>
      <w:r w:rsidR="00C63F8F" w:rsidRPr="00E27443">
        <w:t xml:space="preserve"> </w:t>
      </w:r>
      <w:r w:rsidRPr="00E27443">
        <w:t>on</w:t>
      </w:r>
      <w:r w:rsidR="00C63F8F" w:rsidRPr="00E27443">
        <w:t xml:space="preserve"> </w:t>
      </w:r>
      <w:r w:rsidRPr="00E27443">
        <w:t>BRÅ</w:t>
      </w:r>
      <w:r w:rsidR="00C63F8F" w:rsidRPr="00E27443">
        <w:t>’</w:t>
      </w:r>
      <w:r w:rsidRPr="00E27443">
        <w:t>s</w:t>
      </w:r>
      <w:r w:rsidR="00C63F8F" w:rsidRPr="00E27443">
        <w:t xml:space="preserve"> </w:t>
      </w:r>
      <w:r w:rsidRPr="00E27443">
        <w:t>website,</w:t>
      </w:r>
      <w:r w:rsidR="00C63F8F" w:rsidRPr="00E27443">
        <w:t xml:space="preserve"> </w:t>
      </w:r>
      <w:r w:rsidRPr="00E27443">
        <w:t>including</w:t>
      </w:r>
      <w:r w:rsidR="00C63F8F" w:rsidRPr="00E27443">
        <w:t xml:space="preserve"> </w:t>
      </w:r>
      <w:r w:rsidRPr="00E27443">
        <w:t>in</w:t>
      </w:r>
      <w:r w:rsidR="00C63F8F" w:rsidRPr="00E27443">
        <w:t xml:space="preserve"> </w:t>
      </w:r>
      <w:r w:rsidRPr="00E27443">
        <w:t>an</w:t>
      </w:r>
      <w:r w:rsidR="00C63F8F" w:rsidRPr="00E27443">
        <w:t xml:space="preserve"> </w:t>
      </w:r>
      <w:r w:rsidRPr="00E27443">
        <w:t>easy-to-read</w:t>
      </w:r>
      <w:r w:rsidR="00C63F8F" w:rsidRPr="00E27443">
        <w:t xml:space="preserve"> </w:t>
      </w:r>
      <w:r w:rsidRPr="00E27443">
        <w:t>version</w:t>
      </w:r>
      <w:r w:rsidR="00C63F8F" w:rsidRPr="00E27443">
        <w:t xml:space="preserve"> </w:t>
      </w:r>
      <w:r w:rsidRPr="00E27443">
        <w:t>and</w:t>
      </w:r>
      <w:r w:rsidR="00C63F8F" w:rsidRPr="00E27443">
        <w:t xml:space="preserve"> </w:t>
      </w:r>
      <w:r w:rsidRPr="00E27443">
        <w:t>a</w:t>
      </w:r>
      <w:r w:rsidR="00C63F8F" w:rsidRPr="00E27443">
        <w:t xml:space="preserve"> </w:t>
      </w:r>
      <w:r w:rsidRPr="00E27443">
        <w:t>signed</w:t>
      </w:r>
      <w:r w:rsidR="00C63F8F" w:rsidRPr="00E27443">
        <w:t xml:space="preserve"> </w:t>
      </w:r>
      <w:r w:rsidRPr="00E27443">
        <w:t>version.</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Each</w:t>
      </w:r>
      <w:r w:rsidR="00C63F8F" w:rsidRPr="00E27443">
        <w:t xml:space="preserve"> </w:t>
      </w:r>
      <w:r w:rsidRPr="00E27443">
        <w:t>year,</w:t>
      </w:r>
      <w:r w:rsidR="00C63F8F" w:rsidRPr="00E27443">
        <w:t xml:space="preserve"> </w:t>
      </w:r>
      <w:r w:rsidRPr="00E27443">
        <w:t>the</w:t>
      </w:r>
      <w:r w:rsidR="00C63F8F" w:rsidRPr="00E27443">
        <w:t xml:space="preserve"> </w:t>
      </w:r>
      <w:r w:rsidRPr="00E27443">
        <w:rPr>
          <w:i/>
        </w:rPr>
        <w:t>Crime</w:t>
      </w:r>
      <w:r w:rsidR="00C63F8F" w:rsidRPr="00E27443">
        <w:rPr>
          <w:i/>
        </w:rPr>
        <w:t xml:space="preserve"> </w:t>
      </w:r>
      <w:r w:rsidRPr="00E27443">
        <w:rPr>
          <w:i/>
        </w:rPr>
        <w:t>Victim</w:t>
      </w:r>
      <w:r w:rsidR="00C63F8F" w:rsidRPr="00E27443">
        <w:rPr>
          <w:i/>
        </w:rPr>
        <w:t xml:space="preserve"> </w:t>
      </w:r>
      <w:r w:rsidRPr="00E27443">
        <w:rPr>
          <w:i/>
        </w:rPr>
        <w:t>Compensation</w:t>
      </w:r>
      <w:r w:rsidR="00C63F8F" w:rsidRPr="00E27443">
        <w:rPr>
          <w:i/>
        </w:rPr>
        <w:t xml:space="preserve"> </w:t>
      </w:r>
      <w:r w:rsidRPr="00E27443">
        <w:rPr>
          <w:i/>
        </w:rPr>
        <w:t>and</w:t>
      </w:r>
      <w:r w:rsidR="00C63F8F" w:rsidRPr="00E27443">
        <w:rPr>
          <w:i/>
        </w:rPr>
        <w:t xml:space="preserve"> </w:t>
      </w:r>
      <w:r w:rsidRPr="00E27443">
        <w:rPr>
          <w:i/>
        </w:rPr>
        <w:t>Support</w:t>
      </w:r>
      <w:r w:rsidR="00C63F8F" w:rsidRPr="00E27443">
        <w:rPr>
          <w:i/>
        </w:rPr>
        <w:t xml:space="preserve"> </w:t>
      </w:r>
      <w:r w:rsidRPr="00E27443">
        <w:rPr>
          <w:i/>
        </w:rPr>
        <w:t>Authority</w:t>
      </w:r>
      <w:r w:rsidRPr="00E27443">
        <w:t>,</w:t>
      </w:r>
      <w:r w:rsidR="004B01B2" w:rsidRPr="00E27443">
        <w:rPr>
          <w:rStyle w:val="FootnoteReference"/>
        </w:rPr>
        <w:footnoteReference w:id="59"/>
      </w:r>
      <w:r w:rsidR="00C63F8F" w:rsidRPr="00E27443">
        <w:t xml:space="preserve"> </w:t>
      </w:r>
      <w:r w:rsidRPr="00E27443">
        <w:t>through</w:t>
      </w:r>
      <w:r w:rsidR="00C63F8F" w:rsidRPr="00E27443">
        <w:t xml:space="preserve"> </w:t>
      </w:r>
      <w:r w:rsidRPr="00E27443">
        <w:t>the</w:t>
      </w:r>
      <w:r w:rsidR="00C63F8F" w:rsidRPr="00E27443">
        <w:t xml:space="preserve"> </w:t>
      </w:r>
      <w:r w:rsidRPr="00E27443">
        <w:t>Fund</w:t>
      </w:r>
      <w:r w:rsidR="00C63F8F" w:rsidRPr="00E27443">
        <w:t xml:space="preserve"> </w:t>
      </w:r>
      <w:r w:rsidRPr="00E27443">
        <w:t>for</w:t>
      </w:r>
      <w:r w:rsidR="00C63F8F" w:rsidRPr="00E27443">
        <w:t xml:space="preserve"> </w:t>
      </w:r>
      <w:r w:rsidRPr="00E27443">
        <w:t>Victims</w:t>
      </w:r>
      <w:r w:rsidR="00C63F8F" w:rsidRPr="00E27443">
        <w:t xml:space="preserve"> </w:t>
      </w:r>
      <w:r w:rsidRPr="00E27443">
        <w:t>of</w:t>
      </w:r>
      <w:r w:rsidR="00C63F8F" w:rsidRPr="00E27443">
        <w:t xml:space="preserve"> </w:t>
      </w:r>
      <w:r w:rsidRPr="00E27443">
        <w:t>Crime,</w:t>
      </w:r>
      <w:r w:rsidR="00C63F8F" w:rsidRPr="00E27443">
        <w:t xml:space="preserve"> </w:t>
      </w:r>
      <w:r w:rsidRPr="00E27443">
        <w:t>grants</w:t>
      </w:r>
      <w:r w:rsidR="00C63F8F" w:rsidRPr="00E27443">
        <w:t xml:space="preserve"> </w:t>
      </w:r>
      <w:r w:rsidRPr="00E27443">
        <w:t>funds</w:t>
      </w:r>
      <w:r w:rsidR="00C63F8F" w:rsidRPr="00E27443">
        <w:t xml:space="preserve"> </w:t>
      </w:r>
      <w:r w:rsidRPr="00E27443">
        <w:t>for</w:t>
      </w:r>
      <w:r w:rsidR="00C63F8F" w:rsidRPr="00E27443">
        <w:t xml:space="preserve"> </w:t>
      </w:r>
      <w:r w:rsidRPr="00E27443">
        <w:t>research</w:t>
      </w:r>
      <w:r w:rsidR="00C63F8F" w:rsidRPr="00E27443">
        <w:t xml:space="preserve"> </w:t>
      </w:r>
      <w:r w:rsidRPr="00E27443">
        <w:t>regarding</w:t>
      </w:r>
      <w:r w:rsidR="00C63F8F" w:rsidRPr="00E27443">
        <w:t xml:space="preserve"> </w:t>
      </w:r>
      <w:r w:rsidRPr="00E27443">
        <w:t>victims</w:t>
      </w:r>
      <w:r w:rsidR="00C63F8F" w:rsidRPr="00E27443">
        <w:t xml:space="preserve"> </w:t>
      </w:r>
      <w:r w:rsidRPr="00E27443">
        <w:t>of</w:t>
      </w:r>
      <w:r w:rsidR="00C63F8F" w:rsidRPr="00E27443">
        <w:t xml:space="preserve"> </w:t>
      </w:r>
      <w:r w:rsidRPr="00E27443">
        <w:t>crime.</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Authority</w:t>
      </w:r>
      <w:r w:rsidR="00C63F8F" w:rsidRPr="00E27443">
        <w:t xml:space="preserve"> </w:t>
      </w:r>
      <w:r w:rsidRPr="00E27443">
        <w:t>has</w:t>
      </w:r>
      <w:r w:rsidR="00C63F8F" w:rsidRPr="00E27443">
        <w:t xml:space="preserve"> </w:t>
      </w:r>
      <w:r w:rsidRPr="00E27443">
        <w:t>financed</w:t>
      </w:r>
      <w:r w:rsidR="00C63F8F" w:rsidRPr="00E27443">
        <w:t xml:space="preserve"> </w:t>
      </w:r>
      <w:r w:rsidRPr="00E27443">
        <w:t>research</w:t>
      </w:r>
      <w:r w:rsidR="00C63F8F" w:rsidRPr="00E27443">
        <w:t xml:space="preserve"> </w:t>
      </w:r>
      <w:r w:rsidRPr="00E27443">
        <w:t>intended</w:t>
      </w:r>
      <w:r w:rsidR="00C63F8F" w:rsidRPr="00E27443">
        <w:t xml:space="preserve"> </w:t>
      </w:r>
      <w:r w:rsidRPr="00E27443">
        <w:t>to</w:t>
      </w:r>
      <w:r w:rsidR="00C63F8F" w:rsidRPr="00E27443">
        <w:t xml:space="preserve"> </w:t>
      </w:r>
      <w:r w:rsidRPr="00E27443">
        <w:t>increase</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children</w:t>
      </w:r>
      <w:r w:rsidR="00C63F8F" w:rsidRPr="00E27443">
        <w:t xml:space="preserve"> </w:t>
      </w:r>
      <w:r w:rsidRPr="00E27443">
        <w:t>with</w:t>
      </w:r>
      <w:r w:rsidR="00C63F8F" w:rsidRPr="00E27443">
        <w:t xml:space="preserve"> </w:t>
      </w:r>
      <w:r w:rsidRPr="00E27443">
        <w:t>learning</w:t>
      </w:r>
      <w:r w:rsidR="00C63F8F" w:rsidRPr="00E27443">
        <w:t xml:space="preserve"> </w:t>
      </w:r>
      <w:r w:rsidRPr="00E27443">
        <w:t>difficulties</w:t>
      </w:r>
      <w:r w:rsidR="00C63F8F" w:rsidRPr="00E27443">
        <w:t xml:space="preserve"> </w:t>
      </w:r>
      <w:r w:rsidRPr="00E27443">
        <w:t>and</w:t>
      </w:r>
      <w:r w:rsidR="00C63F8F" w:rsidRPr="00E27443">
        <w:t xml:space="preserve"> </w:t>
      </w:r>
      <w:r w:rsidRPr="00E27443">
        <w:t>intellectual</w:t>
      </w:r>
      <w:r w:rsidR="00C63F8F" w:rsidRPr="00E27443">
        <w:t xml:space="preserve"> </w:t>
      </w:r>
      <w:r w:rsidRPr="00E27443">
        <w:t>disabilities.</w:t>
      </w:r>
      <w:r w:rsidR="00C63F8F" w:rsidRPr="00E27443">
        <w:t xml:space="preserve"> </w:t>
      </w:r>
      <w:r w:rsidRPr="00E27443">
        <w:t>A</w:t>
      </w:r>
      <w:r w:rsidR="00C63F8F" w:rsidRPr="00E27443">
        <w:t xml:space="preserve"> </w:t>
      </w:r>
      <w:r w:rsidRPr="00E27443">
        <w:t>project</w:t>
      </w:r>
      <w:r w:rsidR="00C63F8F" w:rsidRPr="00E27443">
        <w:t xml:space="preserve"> </w:t>
      </w:r>
      <w:r w:rsidRPr="00E27443">
        <w:t>has</w:t>
      </w:r>
      <w:r w:rsidR="00C63F8F" w:rsidRPr="00E27443">
        <w:t xml:space="preserve"> </w:t>
      </w:r>
      <w:r w:rsidRPr="00E27443">
        <w:t>been</w:t>
      </w:r>
      <w:r w:rsidR="00C63F8F" w:rsidRPr="00E27443">
        <w:t xml:space="preserve"> </w:t>
      </w:r>
      <w:r w:rsidRPr="00E27443">
        <w:t>conducted</w:t>
      </w:r>
      <w:r w:rsidR="00C63F8F" w:rsidRPr="00E27443">
        <w:t xml:space="preserve"> </w:t>
      </w:r>
      <w:r w:rsidRPr="00E27443">
        <w:t>to</w:t>
      </w:r>
      <w:r w:rsidR="00C63F8F" w:rsidRPr="00E27443">
        <w:t xml:space="preserve"> </w:t>
      </w:r>
      <w:r w:rsidRPr="00E27443">
        <w:t>develop</w:t>
      </w:r>
      <w:r w:rsidR="00C63F8F" w:rsidRPr="00E27443">
        <w:t xml:space="preserve"> </w:t>
      </w:r>
      <w:r w:rsidRPr="00E27443">
        <w:t>a</w:t>
      </w:r>
      <w:r w:rsidR="00C63F8F" w:rsidRPr="00E27443">
        <w:t xml:space="preserve"> </w:t>
      </w:r>
      <w:r w:rsidRPr="00E27443">
        <w:t>checklist</w:t>
      </w:r>
      <w:r w:rsidR="00C63F8F" w:rsidRPr="00E27443">
        <w:t xml:space="preserve"> </w:t>
      </w:r>
      <w:r w:rsidRPr="00E27443">
        <w:t>for</w:t>
      </w:r>
      <w:r w:rsidR="00C63F8F" w:rsidRPr="00E27443">
        <w:t xml:space="preserve"> </w:t>
      </w:r>
      <w:r w:rsidRPr="00E27443">
        <w:t>the</w:t>
      </w:r>
      <w:r w:rsidR="00C63F8F" w:rsidRPr="00E27443">
        <w:t xml:space="preserve"> </w:t>
      </w:r>
      <w:r w:rsidRPr="00E27443">
        <w:t>judicial</w:t>
      </w:r>
      <w:r w:rsidR="00C63F8F" w:rsidRPr="00E27443">
        <w:t xml:space="preserve"> </w:t>
      </w:r>
      <w:r w:rsidRPr="00E27443">
        <w:t>system</w:t>
      </w:r>
      <w:r w:rsidR="00C63F8F" w:rsidRPr="00E27443">
        <w:t xml:space="preserve"> </w:t>
      </w:r>
      <w:r w:rsidRPr="00E27443">
        <w:t>when</w:t>
      </w:r>
      <w:r w:rsidR="00C63F8F" w:rsidRPr="00E27443">
        <w:t xml:space="preserve"> </w:t>
      </w:r>
      <w:r w:rsidRPr="00E27443">
        <w:t>children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suspected</w:t>
      </w:r>
      <w:r w:rsidR="00C63F8F" w:rsidRPr="00E27443">
        <w:t xml:space="preserve"> </w:t>
      </w:r>
      <w:r w:rsidRPr="00E27443">
        <w:t>of</w:t>
      </w:r>
      <w:r w:rsidR="00C63F8F" w:rsidRPr="00E27443">
        <w:t xml:space="preserve"> </w:t>
      </w:r>
      <w:r w:rsidRPr="00E27443">
        <w:t>being</w:t>
      </w:r>
      <w:r w:rsidR="00C63F8F" w:rsidRPr="00E27443">
        <w:t xml:space="preserve"> </w:t>
      </w:r>
      <w:r w:rsidRPr="00E27443">
        <w:t>victims</w:t>
      </w:r>
      <w:r w:rsidR="00C63F8F" w:rsidRPr="00E27443">
        <w:t xml:space="preserve"> </w:t>
      </w:r>
      <w:r w:rsidRPr="00E27443">
        <w:t>of</w:t>
      </w:r>
      <w:r w:rsidR="00C63F8F" w:rsidRPr="00E27443">
        <w:t xml:space="preserve"> </w:t>
      </w:r>
      <w:r w:rsidRPr="00E27443">
        <w:t>crime.</w:t>
      </w:r>
      <w:r w:rsidR="00C63F8F" w:rsidRPr="00E27443">
        <w:t xml:space="preserve"> </w:t>
      </w:r>
      <w:r w:rsidRPr="00E27443">
        <w:t>A</w:t>
      </w:r>
      <w:r w:rsidR="00C63F8F" w:rsidRPr="00E27443">
        <w:t xml:space="preserve"> </w:t>
      </w:r>
      <w:r w:rsidRPr="00E27443">
        <w:t>further</w:t>
      </w:r>
      <w:r w:rsidR="00C63F8F" w:rsidRPr="00E27443">
        <w:t xml:space="preserve"> </w:t>
      </w:r>
      <w:r w:rsidRPr="00E27443">
        <w:t>study</w:t>
      </w:r>
      <w:r w:rsidR="00C63F8F" w:rsidRPr="00E27443">
        <w:t xml:space="preserve"> </w:t>
      </w:r>
      <w:r w:rsidRPr="00E27443">
        <w:t>has</w:t>
      </w:r>
      <w:r w:rsidR="00C63F8F" w:rsidRPr="00E27443">
        <w:t xml:space="preserve"> </w:t>
      </w:r>
      <w:r w:rsidRPr="00E27443">
        <w:t>been</w:t>
      </w:r>
      <w:r w:rsidR="00C63F8F" w:rsidRPr="00E27443">
        <w:t xml:space="preserve"> </w:t>
      </w:r>
      <w:r w:rsidRPr="00E27443">
        <w:t>carried</w:t>
      </w:r>
      <w:r w:rsidR="00C63F8F" w:rsidRPr="00E27443">
        <w:t xml:space="preserve"> </w:t>
      </w:r>
      <w:r w:rsidRPr="00E27443">
        <w:t>out</w:t>
      </w:r>
      <w:r w:rsidR="00C63F8F" w:rsidRPr="00E27443">
        <w:t xml:space="preserve"> </w:t>
      </w:r>
      <w:r w:rsidRPr="00E27443">
        <w:t>that</w:t>
      </w:r>
      <w:r w:rsidR="00C63F8F" w:rsidRPr="00E27443">
        <w:t xml:space="preserve"> </w:t>
      </w:r>
      <w:r w:rsidRPr="00E27443">
        <w:t>is</w:t>
      </w:r>
      <w:r w:rsidR="00C63F8F" w:rsidRPr="00E27443">
        <w:t xml:space="preserve"> </w:t>
      </w:r>
      <w:r w:rsidRPr="00E27443">
        <w:t>intended</w:t>
      </w:r>
      <w:r w:rsidR="00C63F8F" w:rsidRPr="00E27443">
        <w:t xml:space="preserve"> </w:t>
      </w:r>
      <w:r w:rsidRPr="00E27443">
        <w:t>to</w:t>
      </w:r>
      <w:r w:rsidR="00C63F8F" w:rsidRPr="00E27443">
        <w:t xml:space="preserve"> </w:t>
      </w:r>
      <w:r w:rsidRPr="00E27443">
        <w:t>highlight</w:t>
      </w:r>
      <w:r w:rsidR="00C63F8F" w:rsidRPr="00E27443">
        <w:t xml:space="preserve"> </w:t>
      </w:r>
      <w:r w:rsidRPr="00E27443">
        <w:t>the</w:t>
      </w:r>
      <w:r w:rsidR="00C63F8F" w:rsidRPr="00E27443">
        <w:t xml:space="preserve"> </w:t>
      </w:r>
      <w:r w:rsidRPr="00E27443">
        <w:t>way</w:t>
      </w:r>
      <w:r w:rsidR="00C63F8F" w:rsidRPr="00E27443">
        <w:t xml:space="preserve"> </w:t>
      </w:r>
      <w:r w:rsidRPr="00E27443">
        <w:t>in</w:t>
      </w:r>
      <w:r w:rsidR="00C63F8F" w:rsidRPr="00E27443">
        <w:t xml:space="preserve"> </w:t>
      </w:r>
      <w:r w:rsidRPr="00E27443">
        <w:t>which</w:t>
      </w:r>
      <w:r w:rsidR="00C63F8F" w:rsidRPr="00E27443">
        <w:t xml:space="preserve"> </w:t>
      </w:r>
      <w:r w:rsidRPr="00E27443">
        <w:t>Child</w:t>
      </w:r>
      <w:r w:rsidR="00C63F8F" w:rsidRPr="00E27443">
        <w:t xml:space="preserve"> </w:t>
      </w:r>
      <w:r w:rsidRPr="00E27443">
        <w:t>and</w:t>
      </w:r>
      <w:r w:rsidR="00C63F8F" w:rsidRPr="00E27443">
        <w:t xml:space="preserve"> </w:t>
      </w:r>
      <w:r w:rsidRPr="00E27443">
        <w:t>Youth</w:t>
      </w:r>
      <w:r w:rsidR="00C63F8F" w:rsidRPr="00E27443">
        <w:t xml:space="preserve"> </w:t>
      </w:r>
      <w:r w:rsidRPr="00E27443">
        <w:t>Habilitation</w:t>
      </w:r>
      <w:r w:rsidR="00C63F8F" w:rsidRPr="00E27443">
        <w:t xml:space="preserve"> </w:t>
      </w:r>
      <w:r w:rsidRPr="00E27443">
        <w:t>reports</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children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the</w:t>
      </w:r>
      <w:r w:rsidR="00C63F8F" w:rsidRPr="00E27443">
        <w:t xml:space="preserve"> </w:t>
      </w:r>
      <w:r w:rsidRPr="00E27443">
        <w:t>social</w:t>
      </w:r>
      <w:r w:rsidR="00C63F8F" w:rsidRPr="00E27443">
        <w:t xml:space="preserve"> </w:t>
      </w:r>
      <w:r w:rsidRPr="00E27443">
        <w:t>welfare</w:t>
      </w:r>
      <w:r w:rsidR="00C63F8F" w:rsidRPr="00E27443">
        <w:t xml:space="preserve"> </w:t>
      </w:r>
      <w:r w:rsidRPr="00E27443">
        <w:t>board.</w:t>
      </w:r>
    </w:p>
    <w:p w:rsidR="00321ADA" w:rsidRPr="00E27443" w:rsidRDefault="004B01B2" w:rsidP="004B01B2">
      <w:pPr>
        <w:pStyle w:val="H1G"/>
      </w:pPr>
      <w:r w:rsidRPr="00E27443">
        <w:tab/>
      </w:r>
      <w:r w:rsidRPr="00E27443">
        <w:tab/>
      </w:r>
      <w:bookmarkStart w:id="13" w:name="_Toc290623297"/>
      <w:r w:rsidR="00321ADA" w:rsidRPr="00E27443">
        <w:t>Article</w:t>
      </w:r>
      <w:r w:rsidR="00C63F8F" w:rsidRPr="00E27443">
        <w:t xml:space="preserve"> </w:t>
      </w:r>
      <w:r w:rsidR="00321ADA" w:rsidRPr="00E27443">
        <w:t>13</w:t>
      </w:r>
      <w:r w:rsidR="00E75253">
        <w:t xml:space="preserve">: </w:t>
      </w:r>
      <w:r w:rsidR="00321ADA" w:rsidRPr="00E27443">
        <w:t>Access</w:t>
      </w:r>
      <w:r w:rsidR="00C63F8F" w:rsidRPr="00E27443">
        <w:t xml:space="preserve"> </w:t>
      </w:r>
      <w:r w:rsidR="00321ADA" w:rsidRPr="00E27443">
        <w:t>to</w:t>
      </w:r>
      <w:r w:rsidR="00C63F8F" w:rsidRPr="00E27443">
        <w:t xml:space="preserve"> </w:t>
      </w:r>
      <w:r w:rsidR="00321ADA" w:rsidRPr="00E27443">
        <w:t>justice</w:t>
      </w:r>
      <w:bookmarkEnd w:id="13"/>
    </w:p>
    <w:p w:rsidR="00321ADA" w:rsidRPr="00E27443" w:rsidRDefault="00321ADA" w:rsidP="00E75253">
      <w:pPr>
        <w:pStyle w:val="SingleTxtG"/>
        <w:numPr>
          <w:ilvl w:val="0"/>
          <w:numId w:val="20"/>
        </w:numPr>
        <w:tabs>
          <w:tab w:val="left" w:pos="1843"/>
        </w:tabs>
        <w:ind w:left="1134" w:firstLine="0"/>
      </w:pPr>
      <w:r w:rsidRPr="00E27443">
        <w:t>Regarding</w:t>
      </w:r>
      <w:r w:rsidR="00C63F8F" w:rsidRPr="00E27443">
        <w:t xml:space="preserve"> </w:t>
      </w:r>
      <w:r w:rsidRPr="00E27443">
        <w:t>education</w:t>
      </w:r>
      <w:r w:rsidR="00C63F8F" w:rsidRPr="00E27443">
        <w:t xml:space="preserve"> </w:t>
      </w:r>
      <w:r w:rsidRPr="00E27443">
        <w:t>(</w:t>
      </w:r>
      <w:r w:rsidRPr="00E27443">
        <w:rPr>
          <w:i/>
        </w:rPr>
        <w:t>point</w:t>
      </w:r>
      <w:r w:rsidR="00C63F8F" w:rsidRPr="00E27443">
        <w:rPr>
          <w:i/>
        </w:rPr>
        <w:t xml:space="preserve"> </w:t>
      </w:r>
      <w:r w:rsidRPr="00E27443">
        <w:rPr>
          <w:i/>
        </w:rPr>
        <w:t>2</w:t>
      </w:r>
      <w:r w:rsidRPr="00E27443">
        <w:t>),</w:t>
      </w:r>
      <w:r w:rsidR="00C63F8F" w:rsidRPr="00E27443">
        <w:t xml:space="preserve"> </w:t>
      </w:r>
      <w:r w:rsidRPr="00E27443">
        <w:t>see</w:t>
      </w:r>
      <w:r w:rsidR="00C63F8F" w:rsidRPr="00E27443">
        <w:t xml:space="preserve"> </w:t>
      </w:r>
      <w:r w:rsidRPr="00E27443">
        <w:t>under</w:t>
      </w:r>
      <w:r w:rsidR="00C63F8F" w:rsidRPr="00E27443">
        <w:t xml:space="preserve"> </w:t>
      </w:r>
      <w:r w:rsidRPr="00E27443">
        <w:t>article</w:t>
      </w:r>
      <w:r w:rsidR="00C63F8F" w:rsidRPr="00E27443">
        <w:t xml:space="preserve"> </w:t>
      </w:r>
      <w:r w:rsidRPr="00E27443">
        <w:t>5.</w:t>
      </w:r>
    </w:p>
    <w:p w:rsidR="00321ADA" w:rsidRPr="00E27443" w:rsidRDefault="00321ADA" w:rsidP="00E75253">
      <w:pPr>
        <w:pStyle w:val="SingleTxtG"/>
        <w:numPr>
          <w:ilvl w:val="0"/>
          <w:numId w:val="20"/>
        </w:numPr>
        <w:tabs>
          <w:tab w:val="left" w:pos="1843"/>
        </w:tabs>
        <w:ind w:left="1134" w:firstLine="0"/>
      </w:pPr>
      <w:r w:rsidRPr="00E27443">
        <w:t>As</w:t>
      </w:r>
      <w:r w:rsidR="00C63F8F" w:rsidRPr="00E27443">
        <w:t xml:space="preserve"> </w:t>
      </w:r>
      <w:r w:rsidRPr="00E27443">
        <w:t>from</w:t>
      </w:r>
      <w:r w:rsidR="00C63F8F" w:rsidRPr="00E27443">
        <w:t xml:space="preserve"> </w:t>
      </w:r>
      <w:r w:rsidRPr="00E27443">
        <w:t>2010,</w:t>
      </w:r>
      <w:r w:rsidR="00C63F8F" w:rsidRPr="00E27443">
        <w:t xml:space="preserve"> </w:t>
      </w:r>
      <w:r w:rsidRPr="00E27443">
        <w:t>all</w:t>
      </w:r>
      <w:r w:rsidR="00C63F8F" w:rsidRPr="00E27443">
        <w:t xml:space="preserve"> </w:t>
      </w:r>
      <w:r w:rsidRPr="00E27443">
        <w:t>the</w:t>
      </w:r>
      <w:r w:rsidR="00C63F8F" w:rsidRPr="00E27443">
        <w:t xml:space="preserve"> </w:t>
      </w:r>
      <w:r w:rsidRPr="00E27443">
        <w:t>country</w:t>
      </w:r>
      <w:r w:rsidR="00C63F8F" w:rsidRPr="00E27443">
        <w:t>’</w:t>
      </w:r>
      <w:r w:rsidRPr="00E27443">
        <w:t>s</w:t>
      </w:r>
      <w:r w:rsidR="00C63F8F" w:rsidRPr="00E27443">
        <w:t xml:space="preserve"> </w:t>
      </w:r>
      <w:r w:rsidRPr="00C7177D">
        <w:t>courts</w:t>
      </w:r>
      <w:r w:rsidR="00C63F8F" w:rsidRPr="00C7177D">
        <w:t xml:space="preserve"> </w:t>
      </w:r>
      <w:r w:rsidRPr="00E27443">
        <w:t>must</w:t>
      </w:r>
      <w:r w:rsidR="00C63F8F" w:rsidRPr="00E27443">
        <w:t xml:space="preserve"> </w:t>
      </w:r>
      <w:r w:rsidRPr="00E27443">
        <w:t>be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everyone,</w:t>
      </w:r>
      <w:r w:rsidR="00C63F8F" w:rsidRPr="00E27443">
        <w:t xml:space="preserve"> </w:t>
      </w:r>
      <w:r w:rsidRPr="00E27443">
        <w:t>including</w:t>
      </w:r>
      <w:r w:rsidR="00C63F8F" w:rsidRPr="00E27443">
        <w:t xml:space="preserve"> </w:t>
      </w:r>
      <w:r w:rsidRPr="00E27443">
        <w:t>visitors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Those</w:t>
      </w:r>
      <w:r w:rsidR="00C63F8F" w:rsidRPr="00E27443">
        <w:t xml:space="preserve"> </w:t>
      </w:r>
      <w:r w:rsidRPr="00E27443">
        <w:t>court</w:t>
      </w:r>
      <w:r w:rsidR="00C63F8F" w:rsidRPr="00E27443">
        <w:t xml:space="preserve"> </w:t>
      </w:r>
      <w:r w:rsidRPr="00E27443">
        <w:t>premises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newly</w:t>
      </w:r>
      <w:r w:rsidR="00C63F8F" w:rsidRPr="00E27443">
        <w:t xml:space="preserve"> </w:t>
      </w:r>
      <w:r w:rsidRPr="00E27443">
        <w:t>constructed</w:t>
      </w:r>
      <w:r w:rsidR="00C63F8F" w:rsidRPr="00E27443">
        <w:t xml:space="preserve"> </w:t>
      </w:r>
      <w:r w:rsidRPr="00E27443">
        <w:t>or</w:t>
      </w:r>
      <w:r w:rsidR="00C63F8F" w:rsidRPr="00E27443">
        <w:t xml:space="preserve"> </w:t>
      </w:r>
      <w:r w:rsidRPr="00E27443">
        <w:t>renovated</w:t>
      </w:r>
      <w:r w:rsidR="00C63F8F" w:rsidRPr="00E27443">
        <w:t xml:space="preserve"> </w:t>
      </w:r>
      <w:r w:rsidRPr="00E27443">
        <w:t>during</w:t>
      </w:r>
      <w:r w:rsidR="00C63F8F" w:rsidRPr="00E27443">
        <w:t xml:space="preserve"> </w:t>
      </w:r>
      <w:r w:rsidRPr="00E27443">
        <w:t>the</w:t>
      </w:r>
      <w:r w:rsidR="00C63F8F" w:rsidRPr="00E27443">
        <w:t xml:space="preserve"> </w:t>
      </w:r>
      <w:r w:rsidRPr="00E27443">
        <w:t>2000s</w:t>
      </w:r>
      <w:r w:rsidR="00C63F8F" w:rsidRPr="00E27443">
        <w:t xml:space="preserve"> </w:t>
      </w:r>
      <w:r w:rsidRPr="00E27443">
        <w:t>have</w:t>
      </w:r>
      <w:r w:rsidR="00C63F8F" w:rsidRPr="00E27443">
        <w:t xml:space="preserve"> </w:t>
      </w:r>
      <w:r w:rsidRPr="00E27443">
        <w:t>been</w:t>
      </w:r>
      <w:r w:rsidR="00C63F8F" w:rsidRPr="00E27443">
        <w:t xml:space="preserve"> </w:t>
      </w:r>
      <w:r w:rsidRPr="00E27443">
        <w:t>adapted</w:t>
      </w:r>
      <w:r w:rsidR="00C63F8F" w:rsidRPr="00E27443">
        <w:t xml:space="preserve"> </w:t>
      </w:r>
      <w:r w:rsidRPr="00E27443">
        <w:t>according</w:t>
      </w:r>
      <w:r w:rsidR="00C63F8F" w:rsidRPr="00E27443">
        <w:t xml:space="preserve"> </w:t>
      </w:r>
      <w:r w:rsidRPr="00E27443">
        <w:t>to</w:t>
      </w:r>
      <w:r w:rsidR="00C63F8F" w:rsidRPr="00E27443">
        <w:t xml:space="preserve"> </w:t>
      </w:r>
      <w:r w:rsidRPr="00E27443">
        <w:t>current</w:t>
      </w:r>
      <w:r w:rsidR="00C63F8F" w:rsidRPr="00E27443">
        <w:t xml:space="preserve"> </w:t>
      </w:r>
      <w:r w:rsidRPr="00E27443">
        <w:t>demands</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As</w:t>
      </w:r>
      <w:r w:rsidR="00C63F8F" w:rsidRPr="00E27443">
        <w:t xml:space="preserve"> </w:t>
      </w:r>
      <w:r w:rsidRPr="00E27443">
        <w:t>regards</w:t>
      </w:r>
      <w:r w:rsidR="00C63F8F" w:rsidRPr="00E27443">
        <w:t xml:space="preserve"> </w:t>
      </w:r>
      <w:r w:rsidRPr="00E27443">
        <w:t>other</w:t>
      </w:r>
      <w:r w:rsidR="00C63F8F" w:rsidRPr="00E27443">
        <w:t xml:space="preserve"> </w:t>
      </w:r>
      <w:r w:rsidRPr="00E27443">
        <w:t>court</w:t>
      </w:r>
      <w:r w:rsidR="00C63F8F" w:rsidRPr="00E27443">
        <w:t xml:space="preserve"> </w:t>
      </w:r>
      <w:r w:rsidRPr="00E27443">
        <w:t>premises,</w:t>
      </w:r>
      <w:r w:rsidR="00C63F8F" w:rsidRPr="00E27443">
        <w:t xml:space="preserve"> </w:t>
      </w:r>
      <w:r w:rsidRPr="00E27443">
        <w:t>any</w:t>
      </w:r>
      <w:r w:rsidR="00C63F8F" w:rsidRPr="00E27443">
        <w:t xml:space="preserve"> </w:t>
      </w:r>
      <w:r w:rsidRPr="00E27443">
        <w:t>shortcomings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identified</w:t>
      </w:r>
      <w:r w:rsidR="00C63F8F" w:rsidRPr="00E27443">
        <w:t xml:space="preserve"> </w:t>
      </w:r>
      <w:r w:rsidRPr="00E27443">
        <w:t>during</w:t>
      </w:r>
      <w:r w:rsidR="00C63F8F" w:rsidRPr="00E27443">
        <w:t xml:space="preserve"> </w:t>
      </w:r>
      <w:r w:rsidRPr="00E27443">
        <w:t>the</w:t>
      </w:r>
      <w:r w:rsidR="00C63F8F" w:rsidRPr="00E27443">
        <w:t xml:space="preserve"> </w:t>
      </w:r>
      <w:r w:rsidRPr="00E27443">
        <w:t>inventory</w:t>
      </w:r>
      <w:r w:rsidR="00C63F8F" w:rsidRPr="00E27443">
        <w:t xml:space="preserve"> </w:t>
      </w:r>
      <w:r w:rsidRPr="00E27443">
        <w:t>conducted</w:t>
      </w:r>
      <w:r w:rsidR="00C63F8F" w:rsidRPr="00E27443">
        <w:t xml:space="preserve"> </w:t>
      </w:r>
      <w:r w:rsidRPr="00E27443">
        <w:t>by</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Courts</w:t>
      </w:r>
      <w:r w:rsidR="00C63F8F" w:rsidRPr="00E27443">
        <w:t xml:space="preserve"> </w:t>
      </w:r>
      <w:r w:rsidRPr="00E27443">
        <w:t>Admi</w:t>
      </w:r>
      <w:r w:rsidRPr="00E27443">
        <w:softHyphen/>
        <w:t>nistration</w:t>
      </w:r>
      <w:r w:rsidR="00C63F8F" w:rsidRPr="00E27443">
        <w:t xml:space="preserve"> </w:t>
      </w:r>
      <w:r w:rsidRPr="00E27443">
        <w:t>will</w:t>
      </w:r>
      <w:r w:rsidR="00C63F8F" w:rsidRPr="00E27443">
        <w:t xml:space="preserve"> </w:t>
      </w:r>
      <w:r w:rsidRPr="00E27443">
        <w:t>be</w:t>
      </w:r>
      <w:r w:rsidR="00C63F8F" w:rsidRPr="00E27443">
        <w:t xml:space="preserve"> </w:t>
      </w:r>
      <w:r w:rsidRPr="00E27443">
        <w:t>rectified.</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the</w:t>
      </w:r>
      <w:r w:rsidR="00C63F8F" w:rsidRPr="00E27443">
        <w:t xml:space="preserve"> </w:t>
      </w:r>
      <w:r w:rsidRPr="00E27443">
        <w:t>main</w:t>
      </w:r>
      <w:r w:rsidR="00C63F8F" w:rsidRPr="00E27443">
        <w:t xml:space="preserve"> </w:t>
      </w:r>
      <w:r w:rsidRPr="00E27443">
        <w:t>proceedings</w:t>
      </w:r>
      <w:r w:rsidR="00C63F8F" w:rsidRPr="00E27443">
        <w:t xml:space="preserve"> </w:t>
      </w:r>
      <w:r w:rsidRPr="00E27443">
        <w:t>in</w:t>
      </w:r>
      <w:r w:rsidR="00C63F8F" w:rsidRPr="00E27443">
        <w:t xml:space="preserve"> </w:t>
      </w:r>
      <w:r w:rsidRPr="00E27443">
        <w:t>court,</w:t>
      </w:r>
      <w:r w:rsidR="00C63F8F" w:rsidRPr="00E27443">
        <w:t xml:space="preserve"> </w:t>
      </w:r>
      <w:r w:rsidRPr="00E27443">
        <w:t>the</w:t>
      </w:r>
      <w:r w:rsidR="00C63F8F" w:rsidRPr="00E27443">
        <w:t xml:space="preserve"> </w:t>
      </w:r>
      <w:r w:rsidRPr="00E27443">
        <w:t>potential</w:t>
      </w:r>
      <w:r w:rsidR="00C63F8F" w:rsidRPr="00E27443">
        <w:t xml:space="preserve"> </w:t>
      </w:r>
      <w:r w:rsidRPr="00E27443">
        <w:t>for</w:t>
      </w:r>
      <w:r w:rsidR="00C63F8F" w:rsidRPr="00E27443">
        <w:t xml:space="preserve"> </w:t>
      </w:r>
      <w:r w:rsidRPr="00E27443">
        <w:t>interpreting</w:t>
      </w:r>
      <w:r w:rsidR="00C63F8F" w:rsidRPr="00E27443">
        <w:t xml:space="preserve"> </w:t>
      </w:r>
      <w:r w:rsidRPr="00E27443">
        <w:t>exists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vision</w:t>
      </w:r>
      <w:r w:rsidR="00C63F8F" w:rsidRPr="00E27443">
        <w:t xml:space="preserve"> </w:t>
      </w:r>
      <w:r w:rsidRPr="00E27443">
        <w:t>and</w:t>
      </w:r>
      <w:r w:rsidR="00C63F8F" w:rsidRPr="00E27443">
        <w:t xml:space="preserve"> </w:t>
      </w:r>
      <w:r w:rsidRPr="00E27443">
        <w:t>hearing.</w:t>
      </w:r>
      <w:r w:rsidR="00C63F8F" w:rsidRPr="00E27443">
        <w:t xml:space="preserve"> </w:t>
      </w:r>
      <w:r w:rsidRPr="00E27443">
        <w:t>Remuneration</w:t>
      </w:r>
      <w:r w:rsidR="00C63F8F" w:rsidRPr="00E27443">
        <w:t xml:space="preserve"> </w:t>
      </w:r>
      <w:r w:rsidRPr="00E27443">
        <w:t>for</w:t>
      </w:r>
      <w:r w:rsidR="00C63F8F" w:rsidRPr="00E27443">
        <w:t xml:space="preserve"> </w:t>
      </w:r>
      <w:r w:rsidRPr="00E27443">
        <w:t>interpreters</w:t>
      </w:r>
      <w:r w:rsidR="00C63F8F" w:rsidRPr="00E27443">
        <w:t xml:space="preserve"> </w:t>
      </w:r>
      <w:r w:rsidRPr="00E27443">
        <w:t>is</w:t>
      </w:r>
      <w:r w:rsidR="00C63F8F" w:rsidRPr="00E27443">
        <w:t xml:space="preserve"> </w:t>
      </w:r>
      <w:r w:rsidRPr="00E27443">
        <w:t>paid</w:t>
      </w:r>
      <w:r w:rsidR="00C63F8F" w:rsidRPr="00E27443">
        <w:t xml:space="preserve"> </w:t>
      </w:r>
      <w:r w:rsidRPr="00E27443">
        <w:t>from</w:t>
      </w:r>
      <w:r w:rsidR="00C63F8F" w:rsidRPr="00E27443">
        <w:t xml:space="preserve"> </w:t>
      </w:r>
      <w:r w:rsidRPr="00E27443">
        <w:t>public</w:t>
      </w:r>
      <w:r w:rsidR="00C63F8F" w:rsidRPr="00E27443">
        <w:t xml:space="preserve"> </w:t>
      </w:r>
      <w:r w:rsidRPr="00E27443">
        <w:t>funds.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All</w:t>
      </w:r>
      <w:r w:rsidR="00C63F8F" w:rsidRPr="00E27443">
        <w:t xml:space="preserve"> </w:t>
      </w:r>
      <w:r w:rsidRPr="00C7177D">
        <w:t>district</w:t>
      </w:r>
      <w:r w:rsidR="00C63F8F" w:rsidRPr="00C7177D">
        <w:t xml:space="preserve"> </w:t>
      </w:r>
      <w:r w:rsidRPr="00C7177D">
        <w:t>courts</w:t>
      </w:r>
      <w:r w:rsidR="00C63F8F" w:rsidRPr="00E27443">
        <w:rPr>
          <w:i/>
        </w:rPr>
        <w:t xml:space="preserve"> </w:t>
      </w:r>
      <w:r w:rsidRPr="00E27443">
        <w:t>and</w:t>
      </w:r>
      <w:r w:rsidR="00C63F8F" w:rsidRPr="00E27443">
        <w:t xml:space="preserve"> </w:t>
      </w:r>
      <w:r w:rsidRPr="00E27443">
        <w:t>courts</w:t>
      </w:r>
      <w:r w:rsidR="00C63F8F" w:rsidRPr="00E27443">
        <w:t xml:space="preserve"> </w:t>
      </w:r>
      <w:r w:rsidRPr="00E27443">
        <w:t>of</w:t>
      </w:r>
      <w:r w:rsidR="00C63F8F" w:rsidRPr="00E27443">
        <w:t xml:space="preserve"> </w:t>
      </w:r>
      <w:r w:rsidRPr="00E27443">
        <w:t>appeal</w:t>
      </w:r>
      <w:r w:rsidR="00C63F8F" w:rsidRPr="00E27443">
        <w:t xml:space="preserve"> </w:t>
      </w:r>
      <w:r w:rsidRPr="00E27443">
        <w:t>have</w:t>
      </w:r>
      <w:r w:rsidR="00C63F8F" w:rsidRPr="00E27443">
        <w:t xml:space="preserve"> </w:t>
      </w:r>
      <w:r w:rsidRPr="00E27443">
        <w:t>witness</w:t>
      </w:r>
      <w:r w:rsidR="00C63F8F" w:rsidRPr="00E27443">
        <w:t xml:space="preserve"> </w:t>
      </w:r>
      <w:r w:rsidRPr="00E27443">
        <w:t>support</w:t>
      </w:r>
      <w:r w:rsidR="00C63F8F" w:rsidRPr="00E27443">
        <w:t xml:space="preserve"> </w:t>
      </w:r>
      <w:r w:rsidRPr="00E27443">
        <w:t>operations.</w:t>
      </w:r>
      <w:r w:rsidR="00C63F8F" w:rsidRPr="00E27443">
        <w:t xml:space="preserve"> </w:t>
      </w:r>
      <w:r w:rsidRPr="00E27443">
        <w:t>These</w:t>
      </w:r>
      <w:r w:rsidR="00C63F8F" w:rsidRPr="00E27443">
        <w:t xml:space="preserve"> </w:t>
      </w:r>
      <w:r w:rsidRPr="00E27443">
        <w:t>activities</w:t>
      </w:r>
      <w:r w:rsidR="00C63F8F" w:rsidRPr="00E27443">
        <w:t xml:space="preserve"> </w:t>
      </w:r>
      <w:r w:rsidRPr="00E27443">
        <w:t>contribute</w:t>
      </w:r>
      <w:r w:rsidR="00C63F8F" w:rsidRPr="00E27443">
        <w:t xml:space="preserve"> </w:t>
      </w:r>
      <w:r w:rsidRPr="00E27443">
        <w:t>to</w:t>
      </w:r>
      <w:r w:rsidR="00C63F8F" w:rsidRPr="00E27443">
        <w:t xml:space="preserve"> </w:t>
      </w:r>
      <w:r w:rsidRPr="00E27443">
        <w:t>calmer</w:t>
      </w:r>
      <w:r w:rsidR="00C63F8F" w:rsidRPr="00E27443">
        <w:t xml:space="preserve"> </w:t>
      </w:r>
      <w:r w:rsidRPr="00E27443">
        <w:t>and</w:t>
      </w:r>
      <w:r w:rsidR="00C63F8F" w:rsidRPr="00E27443">
        <w:t xml:space="preserve"> </w:t>
      </w:r>
      <w:r w:rsidRPr="00E27443">
        <w:t>more</w:t>
      </w:r>
      <w:r w:rsidR="00C63F8F" w:rsidRPr="00E27443">
        <w:t xml:space="preserve"> </w:t>
      </w:r>
      <w:r w:rsidRPr="00E27443">
        <w:t>secure</w:t>
      </w:r>
      <w:r w:rsidR="00C63F8F" w:rsidRPr="00E27443">
        <w:t xml:space="preserve"> </w:t>
      </w:r>
      <w:r w:rsidRPr="00E27443">
        <w:t>injured</w:t>
      </w:r>
      <w:r w:rsidR="00C63F8F" w:rsidRPr="00E27443">
        <w:t xml:space="preserve"> </w:t>
      </w:r>
      <w:r w:rsidRPr="00E27443">
        <w:t>parties</w:t>
      </w:r>
      <w:r w:rsidR="00C63F8F" w:rsidRPr="00E27443">
        <w:t xml:space="preserve"> </w:t>
      </w:r>
      <w:r w:rsidRPr="00E27443">
        <w:t>and</w:t>
      </w:r>
      <w:r w:rsidR="00C63F8F" w:rsidRPr="00E27443">
        <w:t xml:space="preserve"> </w:t>
      </w:r>
      <w:r w:rsidRPr="00E27443">
        <w:t>witnesses.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Many</w:t>
      </w:r>
      <w:r w:rsidR="00C63F8F" w:rsidRPr="00E27443">
        <w:t xml:space="preserve"> </w:t>
      </w:r>
      <w:r w:rsidRPr="00E27443">
        <w:t>who</w:t>
      </w:r>
      <w:r w:rsidR="00C63F8F" w:rsidRPr="00E27443">
        <w:t xml:space="preserve"> </w:t>
      </w:r>
      <w:r w:rsidRPr="00E27443">
        <w:t>are</w:t>
      </w:r>
      <w:r w:rsidR="00C63F8F" w:rsidRPr="00E27443">
        <w:t xml:space="preserve"> </w:t>
      </w:r>
      <w:r w:rsidRPr="00E27443">
        <w:t>called</w:t>
      </w:r>
      <w:r w:rsidR="00C63F8F" w:rsidRPr="00E27443">
        <w:t xml:space="preserve"> </w:t>
      </w:r>
      <w:r w:rsidRPr="00E27443">
        <w:t>to</w:t>
      </w:r>
      <w:r w:rsidR="00C63F8F" w:rsidRPr="00E27443">
        <w:t xml:space="preserve"> </w:t>
      </w:r>
      <w:r w:rsidRPr="00E27443">
        <w:t>attend</w:t>
      </w:r>
      <w:r w:rsidR="00C63F8F" w:rsidRPr="00E27443">
        <w:t xml:space="preserve"> </w:t>
      </w:r>
      <w:r w:rsidRPr="00E27443">
        <w:t>legal</w:t>
      </w:r>
      <w:r w:rsidR="00C63F8F" w:rsidRPr="00E27443">
        <w:t xml:space="preserve"> </w:t>
      </w:r>
      <w:r w:rsidRPr="00E27443">
        <w:t>proceedings</w:t>
      </w:r>
      <w:r w:rsidR="00C63F8F" w:rsidRPr="00E27443">
        <w:t xml:space="preserve"> </w:t>
      </w:r>
      <w:r w:rsidRPr="00E27443">
        <w:t>may</w:t>
      </w:r>
      <w:r w:rsidR="00C63F8F" w:rsidRPr="00E27443">
        <w:t xml:space="preserve"> </w:t>
      </w:r>
      <w:r w:rsidRPr="00E27443">
        <w:t>need</w:t>
      </w:r>
      <w:r w:rsidR="00C63F8F" w:rsidRPr="00E27443">
        <w:t xml:space="preserve"> </w:t>
      </w:r>
      <w:r w:rsidRPr="00E27443">
        <w:t>support</w:t>
      </w:r>
      <w:r w:rsidR="00C63F8F" w:rsidRPr="00E27443">
        <w:t xml:space="preserve"> </w:t>
      </w:r>
      <w:r w:rsidRPr="00E27443">
        <w:t>ahead</w:t>
      </w:r>
      <w:r w:rsidR="00C63F8F" w:rsidRPr="00E27443">
        <w:t xml:space="preserve"> </w:t>
      </w:r>
      <w:r w:rsidRPr="00E27443">
        <w:t>of</w:t>
      </w:r>
      <w:r w:rsidR="00C63F8F" w:rsidRPr="00E27443">
        <w:t xml:space="preserve"> </w:t>
      </w:r>
      <w:r w:rsidRPr="00E27443">
        <w:t>the</w:t>
      </w:r>
      <w:r w:rsidR="00C63F8F" w:rsidRPr="00E27443">
        <w:t xml:space="preserve"> </w:t>
      </w:r>
      <w:r w:rsidRPr="00E27443">
        <w:t>main</w:t>
      </w:r>
      <w:r w:rsidR="00C63F8F" w:rsidRPr="00E27443">
        <w:t xml:space="preserve"> </w:t>
      </w:r>
      <w:r w:rsidRPr="00E27443">
        <w:t>proceedings,</w:t>
      </w:r>
      <w:r w:rsidR="00C63F8F" w:rsidRPr="00E27443">
        <w:t xml:space="preserve"> </w:t>
      </w:r>
      <w:r w:rsidRPr="00E27443">
        <w:t>as</w:t>
      </w:r>
      <w:r w:rsidR="00C63F8F" w:rsidRPr="00E27443">
        <w:t xml:space="preserve"> </w:t>
      </w:r>
      <w:r w:rsidRPr="00E27443">
        <w:t>it</w:t>
      </w:r>
      <w:r w:rsidR="00C63F8F" w:rsidRPr="00E27443">
        <w:t xml:space="preserve"> </w:t>
      </w:r>
      <w:r w:rsidRPr="00E27443">
        <w:t>is</w:t>
      </w:r>
      <w:r w:rsidR="00C63F8F" w:rsidRPr="00E27443">
        <w:t xml:space="preserve"> </w:t>
      </w:r>
      <w:r w:rsidRPr="00E27443">
        <w:t>often</w:t>
      </w:r>
      <w:r w:rsidR="00C63F8F" w:rsidRPr="00E27443">
        <w:t xml:space="preserve"> </w:t>
      </w:r>
      <w:r w:rsidRPr="00E27443">
        <w:t>their</w:t>
      </w:r>
      <w:r w:rsidR="00C63F8F" w:rsidRPr="00E27443">
        <w:t xml:space="preserve"> </w:t>
      </w:r>
      <w:r w:rsidRPr="00E27443">
        <w:t>first</w:t>
      </w:r>
      <w:r w:rsidR="00C63F8F" w:rsidRPr="00E27443">
        <w:t xml:space="preserve"> </w:t>
      </w:r>
      <w:r w:rsidRPr="00E27443">
        <w:t>contact</w:t>
      </w:r>
      <w:r w:rsidR="00C63F8F" w:rsidRPr="00E27443">
        <w:t xml:space="preserve"> </w:t>
      </w:r>
      <w:r w:rsidRPr="00E27443">
        <w:t>with</w:t>
      </w:r>
      <w:r w:rsidR="00C63F8F" w:rsidRPr="00E27443">
        <w:t xml:space="preserve"> </w:t>
      </w:r>
      <w:r w:rsidRPr="00E27443">
        <w:t>a</w:t>
      </w:r>
      <w:r w:rsidR="00C63F8F" w:rsidRPr="00E27443">
        <w:t xml:space="preserve"> </w:t>
      </w:r>
      <w:r w:rsidRPr="00E27443">
        <w:t>court.</w:t>
      </w:r>
      <w:r w:rsidR="00C63F8F" w:rsidRPr="00E27443">
        <w:t xml:space="preserve"> </w:t>
      </w:r>
      <w:r w:rsidR="000A0284" w:rsidRPr="00E27443">
        <w:t xml:space="preserve">The Crime Victim Compensation and Support Authority has therefore produced easily comprehensible training material that people who are to attend legal proceedings can study in order to prepare themselves. </w:t>
      </w:r>
      <w:r w:rsidRPr="00E27443">
        <w:t>The</w:t>
      </w:r>
      <w:r w:rsidR="00C63F8F" w:rsidRPr="00E27443">
        <w:t xml:space="preserve"> </w:t>
      </w:r>
      <w:r w:rsidRPr="00E27443">
        <w:t>web-based</w:t>
      </w:r>
      <w:r w:rsidR="00C63F8F" w:rsidRPr="00E27443">
        <w:t xml:space="preserve"> </w:t>
      </w:r>
      <w:r w:rsidRPr="00E27443">
        <w:t>Court</w:t>
      </w:r>
      <w:r w:rsidR="00C63F8F" w:rsidRPr="00E27443">
        <w:t xml:space="preserve"> </w:t>
      </w:r>
      <w:r w:rsidRPr="00E27443">
        <w:t>Proceedings</w:t>
      </w:r>
      <w:r w:rsidR="00C63F8F" w:rsidRPr="00E27443">
        <w:t xml:space="preserve"> </w:t>
      </w:r>
      <w:r w:rsidRPr="00E27443">
        <w:t>Introduction</w:t>
      </w:r>
      <w:r w:rsidR="00C63F8F" w:rsidRPr="00E27443">
        <w:t xml:space="preserve"> </w:t>
      </w:r>
      <w:r w:rsidRPr="00E27443">
        <w:t>has</w:t>
      </w:r>
      <w:r w:rsidR="00C63F8F" w:rsidRPr="00E27443">
        <w:t xml:space="preserve"> </w:t>
      </w:r>
      <w:r w:rsidRPr="00E27443">
        <w:t>been</w:t>
      </w:r>
      <w:r w:rsidR="00C63F8F" w:rsidRPr="00E27443">
        <w:t xml:space="preserve"> </w:t>
      </w:r>
      <w:r w:rsidRPr="00E27443">
        <w:t>available</w:t>
      </w:r>
      <w:r w:rsidR="00C63F8F" w:rsidRPr="00E27443">
        <w:t xml:space="preserve"> </w:t>
      </w:r>
      <w:r w:rsidRPr="00E27443">
        <w:t>since</w:t>
      </w:r>
      <w:r w:rsidR="00C63F8F" w:rsidRPr="00E27443">
        <w:t xml:space="preserve"> </w:t>
      </w:r>
      <w:r w:rsidRPr="00E27443">
        <w:t>March</w:t>
      </w:r>
      <w:r w:rsidR="00C63F8F" w:rsidRPr="00E27443">
        <w:t xml:space="preserve"> </w:t>
      </w:r>
      <w:r w:rsidRPr="00E27443">
        <w:t>2008</w:t>
      </w:r>
      <w:r w:rsidR="00C63F8F" w:rsidRPr="00E27443">
        <w:t xml:space="preserve"> </w:t>
      </w:r>
      <w:r w:rsidRPr="00E27443">
        <w:t>(www.rattegangsskolan.se</w:t>
      </w:r>
      <w:r w:rsidR="00C63F8F" w:rsidRPr="00E27443">
        <w:t xml:space="preserve"> </w:t>
      </w:r>
      <w:r w:rsidRPr="00E27443">
        <w:t>or</w:t>
      </w:r>
      <w:r w:rsidR="00C63F8F" w:rsidRPr="00E27443">
        <w:t xml:space="preserve"> </w:t>
      </w:r>
      <w:r w:rsidRPr="00E27443">
        <w:t>www.courtintroduction.se).</w:t>
      </w:r>
      <w:r w:rsidR="00C63F8F" w:rsidRPr="00E27443">
        <w:t xml:space="preserve"> </w:t>
      </w:r>
      <w:r w:rsidRPr="00E27443">
        <w:t>Court</w:t>
      </w:r>
      <w:r w:rsidR="00C63F8F" w:rsidRPr="00E27443">
        <w:t xml:space="preserve"> </w:t>
      </w:r>
      <w:r w:rsidRPr="00E27443">
        <w:t>Proceedings</w:t>
      </w:r>
      <w:r w:rsidR="00C63F8F" w:rsidRPr="00E27443">
        <w:t xml:space="preserve"> </w:t>
      </w:r>
      <w:r w:rsidRPr="00E27443">
        <w:t>Introduction</w:t>
      </w:r>
      <w:r w:rsidR="00C63F8F" w:rsidRPr="00E27443">
        <w:t>’</w:t>
      </w:r>
      <w:r w:rsidRPr="00E27443">
        <w:t>s</w:t>
      </w:r>
      <w:r w:rsidR="00C63F8F" w:rsidRPr="00E27443">
        <w:t xml:space="preserve"> </w:t>
      </w:r>
      <w:r w:rsidRPr="00E27443">
        <w:t>primary</w:t>
      </w:r>
      <w:r w:rsidR="00C63F8F" w:rsidRPr="00E27443">
        <w:t xml:space="preserve"> </w:t>
      </w:r>
      <w:r w:rsidRPr="00E27443">
        <w:t>target</w:t>
      </w:r>
      <w:r w:rsidR="00C63F8F" w:rsidRPr="00E27443">
        <w:t xml:space="preserve"> </w:t>
      </w:r>
      <w:r w:rsidRPr="00E27443">
        <w:t>group</w:t>
      </w:r>
      <w:r w:rsidR="00C63F8F" w:rsidRPr="00E27443">
        <w:t xml:space="preserve"> </w:t>
      </w:r>
      <w:r w:rsidRPr="00E27443">
        <w:t>comprises</w:t>
      </w:r>
      <w:r w:rsidR="00C63F8F" w:rsidRPr="00E27443">
        <w:t xml:space="preserve"> </w:t>
      </w:r>
      <w:r w:rsidRPr="00E27443">
        <w:t>victims</w:t>
      </w:r>
      <w:r w:rsidR="00C63F8F" w:rsidRPr="00E27443">
        <w:t xml:space="preserve"> </w:t>
      </w:r>
      <w:r w:rsidRPr="00E27443">
        <w:t>of</w:t>
      </w:r>
      <w:r w:rsidR="00C63F8F" w:rsidRPr="00E27443">
        <w:t xml:space="preserve"> </w:t>
      </w:r>
      <w:r w:rsidRPr="00E27443">
        <w:t>crime</w:t>
      </w:r>
      <w:r w:rsidR="00C63F8F" w:rsidRPr="00E27443">
        <w:t xml:space="preserve"> </w:t>
      </w:r>
      <w:r w:rsidRPr="00E27443">
        <w:t>who</w:t>
      </w:r>
      <w:r w:rsidR="00C63F8F" w:rsidRPr="00E27443">
        <w:t xml:space="preserve"> </w:t>
      </w:r>
      <w:r w:rsidRPr="00E27443">
        <w:t>have</w:t>
      </w:r>
      <w:r w:rsidR="00C63F8F" w:rsidRPr="00E27443">
        <w:t xml:space="preserve"> </w:t>
      </w:r>
      <w:r w:rsidRPr="00E27443">
        <w:t>been</w:t>
      </w:r>
      <w:r w:rsidR="00C63F8F" w:rsidRPr="00E27443">
        <w:t xml:space="preserve"> </w:t>
      </w:r>
      <w:r w:rsidRPr="00E27443">
        <w:t>called</w:t>
      </w:r>
      <w:r w:rsidR="00C63F8F" w:rsidRPr="00E27443">
        <w:t xml:space="preserve"> </w:t>
      </w:r>
      <w:r w:rsidRPr="00E27443">
        <w:t>to</w:t>
      </w:r>
      <w:r w:rsidR="00C63F8F" w:rsidRPr="00E27443">
        <w:t xml:space="preserve"> </w:t>
      </w:r>
      <w:r w:rsidRPr="00E27443">
        <w:t>attend</w:t>
      </w:r>
      <w:r w:rsidR="00C63F8F" w:rsidRPr="00E27443">
        <w:t xml:space="preserve"> </w:t>
      </w:r>
      <w:r w:rsidRPr="00E27443">
        <w:t>legal</w:t>
      </w:r>
      <w:r w:rsidR="00C63F8F" w:rsidRPr="00E27443">
        <w:t xml:space="preserve"> </w:t>
      </w:r>
      <w:r w:rsidRPr="00E27443">
        <w:t>proceedings</w:t>
      </w:r>
      <w:r w:rsidR="00C63F8F" w:rsidRPr="00E27443">
        <w:t xml:space="preserve"> </w:t>
      </w:r>
      <w:r w:rsidRPr="00E27443">
        <w:t>as</w:t>
      </w:r>
      <w:r w:rsidR="00C63F8F" w:rsidRPr="00E27443">
        <w:t xml:space="preserve"> </w:t>
      </w:r>
      <w:r w:rsidRPr="00E27443">
        <w:t>injured</w:t>
      </w:r>
      <w:r w:rsidR="00C63F8F" w:rsidRPr="00E27443">
        <w:t xml:space="preserve"> </w:t>
      </w:r>
      <w:r w:rsidRPr="00E27443">
        <w:t>parties,</w:t>
      </w:r>
      <w:r w:rsidR="00C63F8F" w:rsidRPr="00E27443">
        <w:t xml:space="preserve"> </w:t>
      </w:r>
      <w:r w:rsidRPr="00E27443">
        <w:t>although</w:t>
      </w:r>
      <w:r w:rsidR="00C63F8F" w:rsidRPr="00E27443">
        <w:t xml:space="preserve"> </w:t>
      </w:r>
      <w:r w:rsidRPr="00E27443">
        <w:t>it</w:t>
      </w:r>
      <w:r w:rsidR="00C63F8F" w:rsidRPr="00E27443">
        <w:t xml:space="preserve"> </w:t>
      </w:r>
      <w:r w:rsidRPr="00E27443">
        <w:t>can</w:t>
      </w:r>
      <w:r w:rsidR="00C63F8F" w:rsidRPr="00E27443">
        <w:t xml:space="preserve"> </w:t>
      </w:r>
      <w:r w:rsidRPr="00E27443">
        <w:t>also</w:t>
      </w:r>
      <w:r w:rsidR="00C63F8F" w:rsidRPr="00E27443">
        <w:t xml:space="preserve"> </w:t>
      </w:r>
      <w:r w:rsidRPr="00E27443">
        <w:t>be</w:t>
      </w:r>
      <w:r w:rsidR="00C63F8F" w:rsidRPr="00E27443">
        <w:t xml:space="preserve"> </w:t>
      </w:r>
      <w:r w:rsidRPr="00E27443">
        <w:t>used</w:t>
      </w:r>
      <w:r w:rsidR="00C63F8F" w:rsidRPr="00E27443">
        <w:t xml:space="preserve"> </w:t>
      </w:r>
      <w:r w:rsidRPr="00E27443">
        <w:t>by</w:t>
      </w:r>
      <w:r w:rsidR="00C63F8F" w:rsidRPr="00E27443">
        <w:t xml:space="preserve"> </w:t>
      </w:r>
      <w:r w:rsidRPr="00E27443">
        <w:t>witnesses</w:t>
      </w:r>
      <w:r w:rsidR="00C63F8F" w:rsidRPr="00E27443">
        <w:t xml:space="preserve"> </w:t>
      </w:r>
      <w:r w:rsidRPr="00E27443">
        <w:t>and</w:t>
      </w:r>
      <w:r w:rsidR="00C63F8F" w:rsidRPr="00E27443">
        <w:t xml:space="preserve"> </w:t>
      </w:r>
      <w:r w:rsidRPr="00E27443">
        <w:t>the</w:t>
      </w:r>
      <w:r w:rsidR="00C63F8F" w:rsidRPr="00E27443">
        <w:t xml:space="preserve"> </w:t>
      </w:r>
      <w:r w:rsidRPr="00E27443">
        <w:t>accused.</w:t>
      </w:r>
      <w:r w:rsidR="00C63F8F" w:rsidRPr="00E27443">
        <w:t xml:space="preserve"> </w:t>
      </w:r>
      <w:r w:rsidRPr="00E27443">
        <w:t>Court</w:t>
      </w:r>
      <w:r w:rsidR="00C63F8F" w:rsidRPr="00E27443">
        <w:t xml:space="preserve"> </w:t>
      </w:r>
      <w:r w:rsidRPr="00E27443">
        <w:t>Proceedings</w:t>
      </w:r>
      <w:r w:rsidR="00C63F8F" w:rsidRPr="00E27443">
        <w:t xml:space="preserve"> </w:t>
      </w:r>
      <w:r w:rsidRPr="00E27443">
        <w:t>Introduction</w:t>
      </w:r>
      <w:r w:rsidR="00C63F8F" w:rsidRPr="00E27443">
        <w:t xml:space="preserve"> </w:t>
      </w:r>
      <w:r w:rsidRPr="00E27443">
        <w:t>contributes</w:t>
      </w:r>
      <w:r w:rsidR="00C63F8F" w:rsidRPr="00E27443">
        <w:t xml:space="preserve"> </w:t>
      </w:r>
      <w:r w:rsidRPr="00E27443">
        <w:t>to</w:t>
      </w:r>
      <w:r w:rsidR="00C63F8F" w:rsidRPr="00E27443">
        <w:t xml:space="preserve"> </w:t>
      </w:r>
      <w:r w:rsidRPr="00E27443">
        <w:t>increasing</w:t>
      </w:r>
      <w:r w:rsidR="00C63F8F" w:rsidRPr="00E27443">
        <w:t xml:space="preserve"> </w:t>
      </w:r>
      <w:r w:rsidRPr="00E27443">
        <w:t>due</w:t>
      </w:r>
      <w:r w:rsidR="00C63F8F" w:rsidRPr="00E27443">
        <w:t xml:space="preserve"> </w:t>
      </w:r>
      <w:r w:rsidRPr="00E27443">
        <w:t>process.</w:t>
      </w:r>
      <w:r w:rsidR="00C63F8F" w:rsidRPr="00E27443">
        <w:t xml:space="preserve"> </w:t>
      </w:r>
      <w:r w:rsidRPr="00E27443">
        <w:t>Users</w:t>
      </w:r>
      <w:r w:rsidR="00C63F8F" w:rsidRPr="00E27443">
        <w:t xml:space="preserve"> </w:t>
      </w:r>
      <w:r w:rsidRPr="00E27443">
        <w:t>can</w:t>
      </w:r>
      <w:r w:rsidR="00C63F8F" w:rsidRPr="00E27443">
        <w:t xml:space="preserve"> </w:t>
      </w:r>
      <w:r w:rsidRPr="00E27443">
        <w:t>determine</w:t>
      </w:r>
      <w:r w:rsidR="00C63F8F" w:rsidRPr="00E27443">
        <w:t xml:space="preserve"> </w:t>
      </w:r>
      <w:r w:rsidRPr="00E27443">
        <w:t>for</w:t>
      </w:r>
      <w:r w:rsidR="00C63F8F" w:rsidRPr="00E27443">
        <w:t xml:space="preserve"> </w:t>
      </w:r>
      <w:r w:rsidRPr="00E27443">
        <w:t>themselves</w:t>
      </w:r>
      <w:r w:rsidR="00C63F8F" w:rsidRPr="00E27443">
        <w:t xml:space="preserve"> </w:t>
      </w:r>
      <w:r w:rsidRPr="00E27443">
        <w:t>when,</w:t>
      </w:r>
      <w:r w:rsidR="00C63F8F" w:rsidRPr="00E27443">
        <w:t xml:space="preserve"> </w:t>
      </w:r>
      <w:r w:rsidRPr="00E27443">
        <w:t>where</w:t>
      </w:r>
      <w:r w:rsidR="00C63F8F" w:rsidRPr="00E27443">
        <w:t xml:space="preserve"> </w:t>
      </w:r>
      <w:r w:rsidRPr="00E27443">
        <w:t>and</w:t>
      </w:r>
      <w:r w:rsidR="00C63F8F" w:rsidRPr="00E27443">
        <w:t xml:space="preserve"> </w:t>
      </w:r>
      <w:r w:rsidRPr="00E27443">
        <w:t>how</w:t>
      </w:r>
      <w:r w:rsidR="00C63F8F" w:rsidRPr="00E27443">
        <w:t xml:space="preserve"> </w:t>
      </w:r>
      <w:r w:rsidRPr="00E27443">
        <w:t>much</w:t>
      </w:r>
      <w:r w:rsidR="00C63F8F" w:rsidRPr="00E27443">
        <w:t xml:space="preserve"> </w:t>
      </w:r>
      <w:r w:rsidRPr="00E27443">
        <w:t>of</w:t>
      </w:r>
      <w:r w:rsidR="00C63F8F" w:rsidRPr="00E27443">
        <w:t xml:space="preserve"> </w:t>
      </w:r>
      <w:r w:rsidRPr="00E27443">
        <w:t>Court</w:t>
      </w:r>
      <w:r w:rsidR="00C63F8F" w:rsidRPr="00E27443">
        <w:t xml:space="preserve"> </w:t>
      </w:r>
      <w:r w:rsidRPr="00E27443">
        <w:t>Proceedings</w:t>
      </w:r>
      <w:r w:rsidR="00C63F8F" w:rsidRPr="00E27443">
        <w:t xml:space="preserve"> </w:t>
      </w:r>
      <w:r w:rsidRPr="00E27443">
        <w:t>Introduction</w:t>
      </w:r>
      <w:r w:rsidR="00C63F8F" w:rsidRPr="00E27443">
        <w:t xml:space="preserve"> </w:t>
      </w:r>
      <w:r w:rsidRPr="00E27443">
        <w:t>they</w:t>
      </w:r>
      <w:r w:rsidR="00C63F8F" w:rsidRPr="00E27443">
        <w:t xml:space="preserve"> </w:t>
      </w:r>
      <w:r w:rsidRPr="00E27443">
        <w:t>are</w:t>
      </w:r>
      <w:r w:rsidR="00C63F8F" w:rsidRPr="00E27443">
        <w:t xml:space="preserve"> </w:t>
      </w:r>
      <w:r w:rsidRPr="00E27443">
        <w:t>going</w:t>
      </w:r>
      <w:r w:rsidR="00C63F8F" w:rsidRPr="00E27443">
        <w:t xml:space="preserve"> </w:t>
      </w:r>
      <w:r w:rsidRPr="00E27443">
        <w:t>to</w:t>
      </w:r>
      <w:r w:rsidR="00C63F8F" w:rsidRPr="00E27443">
        <w:t xml:space="preserve"> </w:t>
      </w:r>
      <w:r w:rsidRPr="00E27443">
        <w:t>use.</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Furthermore,</w:t>
      </w:r>
      <w:r w:rsidR="00C63F8F" w:rsidRPr="00E27443">
        <w:t xml:space="preserve"> </w:t>
      </w:r>
      <w:r w:rsidRPr="00E27443">
        <w:t>the</w:t>
      </w:r>
      <w:r w:rsidR="00C63F8F" w:rsidRPr="00E27443">
        <w:t xml:space="preserve"> </w:t>
      </w:r>
      <w:r w:rsidRPr="00E27443">
        <w:t>Crime</w:t>
      </w:r>
      <w:r w:rsidR="00C63F8F" w:rsidRPr="00E27443">
        <w:t xml:space="preserve"> </w:t>
      </w:r>
      <w:r w:rsidRPr="00E27443">
        <w:t>Victim</w:t>
      </w:r>
      <w:r w:rsidR="00C63F8F" w:rsidRPr="00E27443">
        <w:t xml:space="preserve"> </w:t>
      </w:r>
      <w:r w:rsidRPr="00E27443">
        <w:t>Compensation</w:t>
      </w:r>
      <w:r w:rsidR="00C63F8F" w:rsidRPr="00E27443">
        <w:t xml:space="preserve"> </w:t>
      </w:r>
      <w:r w:rsidRPr="00E27443">
        <w:t>and</w:t>
      </w:r>
      <w:r w:rsidR="00C63F8F" w:rsidRPr="00E27443">
        <w:t xml:space="preserve"> </w:t>
      </w:r>
      <w:r w:rsidRPr="00E27443">
        <w:t>Support</w:t>
      </w:r>
      <w:r w:rsidR="00C63F8F" w:rsidRPr="00E27443">
        <w:t xml:space="preserve"> </w:t>
      </w:r>
      <w:r w:rsidRPr="00E27443">
        <w:t>Authority</w:t>
      </w:r>
      <w:r w:rsidR="00C63F8F" w:rsidRPr="00E27443">
        <w:t>’</w:t>
      </w:r>
      <w:r w:rsidRPr="00E27443">
        <w:t>s</w:t>
      </w:r>
      <w:r w:rsidR="00C63F8F" w:rsidRPr="00E27443">
        <w:t xml:space="preserve"> </w:t>
      </w:r>
      <w:r w:rsidRPr="00E27443">
        <w:t>switchboard</w:t>
      </w:r>
      <w:r w:rsidR="00C63F8F" w:rsidRPr="00E27443">
        <w:t xml:space="preserve"> </w:t>
      </w:r>
      <w:r w:rsidRPr="00E27443">
        <w:t>number</w:t>
      </w:r>
      <w:r w:rsidR="00C63F8F" w:rsidRPr="00E27443">
        <w:t xml:space="preserve"> </w:t>
      </w:r>
      <w:r w:rsidRPr="00E27443">
        <w:t>is</w:t>
      </w:r>
      <w:r w:rsidR="00C63F8F" w:rsidRPr="00E27443">
        <w:t xml:space="preserve"> </w:t>
      </w:r>
      <w:r w:rsidRPr="00E27443">
        <w:t>linked</w:t>
      </w:r>
      <w:r w:rsidR="00C63F8F" w:rsidRPr="00E27443">
        <w:t xml:space="preserve"> </w:t>
      </w:r>
      <w:r w:rsidRPr="00E27443">
        <w:t>to</w:t>
      </w:r>
      <w:r w:rsidR="00C63F8F" w:rsidRPr="00E27443">
        <w:t xml:space="preserve"> </w:t>
      </w:r>
      <w:r w:rsidRPr="00E27443">
        <w:t>a</w:t>
      </w:r>
      <w:r w:rsidR="00C63F8F" w:rsidRPr="00E27443">
        <w:t xml:space="preserve"> </w:t>
      </w:r>
      <w:r w:rsidRPr="00E27443">
        <w:t>service</w:t>
      </w:r>
      <w:r w:rsidR="00C63F8F" w:rsidRPr="00E27443">
        <w:t xml:space="preserve"> </w:t>
      </w:r>
      <w:r w:rsidRPr="00E27443">
        <w:t>that</w:t>
      </w:r>
      <w:r w:rsidR="00C63F8F" w:rsidRPr="00E27443">
        <w:t xml:space="preserve"> </w:t>
      </w:r>
      <w:r w:rsidRPr="00E27443">
        <w:t>is</w:t>
      </w:r>
      <w:r w:rsidR="00C63F8F" w:rsidRPr="00E27443">
        <w:t xml:space="preserve"> </w:t>
      </w:r>
      <w:r w:rsidRPr="00E27443">
        <w:t>targeted</w:t>
      </w:r>
      <w:r w:rsidR="00C63F8F" w:rsidRPr="00E27443">
        <w:t xml:space="preserve"> </w:t>
      </w:r>
      <w:r w:rsidRPr="00E27443">
        <w:t>at</w:t>
      </w:r>
      <w:r w:rsidR="00C63F8F" w:rsidRPr="00E27443">
        <w:t xml:space="preserve"> </w:t>
      </w:r>
      <w:r w:rsidRPr="00E27443">
        <w:t>people</w:t>
      </w:r>
      <w:r w:rsidR="00C63F8F" w:rsidRPr="00E27443">
        <w:t xml:space="preserve"> </w:t>
      </w:r>
      <w:r w:rsidRPr="00E27443">
        <w:t>who,</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disability,</w:t>
      </w:r>
      <w:r w:rsidR="00C63F8F" w:rsidRPr="00E27443">
        <w:t xml:space="preserve"> </w:t>
      </w:r>
      <w:r w:rsidRPr="00E27443">
        <w:t>may</w:t>
      </w:r>
      <w:r w:rsidR="00C63F8F" w:rsidRPr="00E27443">
        <w:t xml:space="preserve"> </w:t>
      </w:r>
      <w:r w:rsidRPr="00E27443">
        <w:t>need</w:t>
      </w:r>
      <w:r w:rsidR="00C63F8F" w:rsidRPr="00E27443">
        <w:t xml:space="preserve"> </w:t>
      </w:r>
      <w:r w:rsidRPr="00E27443">
        <w:t>support</w:t>
      </w:r>
      <w:r w:rsidR="00C63F8F" w:rsidRPr="00E27443">
        <w:t xml:space="preserve"> </w:t>
      </w:r>
      <w:r w:rsidRPr="00E27443">
        <w:t>to</w:t>
      </w:r>
      <w:r w:rsidR="00C63F8F" w:rsidRPr="00E27443">
        <w:t xml:space="preserve"> </w:t>
      </w:r>
      <w:r w:rsidRPr="00E27443">
        <w:t>conduct</w:t>
      </w:r>
      <w:r w:rsidR="00C63F8F" w:rsidRPr="00E27443">
        <w:t xml:space="preserve"> </w:t>
      </w:r>
      <w:r w:rsidRPr="00E27443">
        <w:t>voice</w:t>
      </w:r>
      <w:r w:rsidR="00C63F8F" w:rsidRPr="00E27443">
        <w:t xml:space="preserve"> </w:t>
      </w:r>
      <w:r w:rsidRPr="00E27443">
        <w:t>calls.</w:t>
      </w:r>
      <w:r w:rsidR="00C63F8F" w:rsidRPr="00E27443">
        <w:t xml:space="preserve"> </w:t>
      </w:r>
      <w:r w:rsidRPr="00E27443">
        <w:t>This</w:t>
      </w:r>
      <w:r w:rsidR="00C63F8F" w:rsidRPr="00E27443">
        <w:t xml:space="preserve"> </w:t>
      </w:r>
      <w:r w:rsidRPr="00E27443">
        <w:t>service</w:t>
      </w:r>
      <w:r w:rsidR="00C63F8F" w:rsidRPr="00E27443">
        <w:t xml:space="preserve"> </w:t>
      </w:r>
      <w:r w:rsidRPr="00E27443">
        <w:t>provides</w:t>
      </w:r>
      <w:r w:rsidR="00C63F8F" w:rsidRPr="00E27443">
        <w:t xml:space="preserve"> </w:t>
      </w:r>
      <w:r w:rsidRPr="00E27443">
        <w:t>access</w:t>
      </w:r>
      <w:r w:rsidR="00C63F8F" w:rsidRPr="00E27443">
        <w:t xml:space="preserve"> </w:t>
      </w:r>
      <w:r w:rsidRPr="00E27443">
        <w:t>to</w:t>
      </w:r>
      <w:r w:rsidR="00C63F8F" w:rsidRPr="00E27443">
        <w:t xml:space="preserve"> </w:t>
      </w:r>
      <w:r w:rsidRPr="00E27443">
        <w:t>an</w:t>
      </w:r>
      <w:r w:rsidR="00C63F8F" w:rsidRPr="00E27443">
        <w:t xml:space="preserve"> </w:t>
      </w:r>
      <w:r w:rsidRPr="00E27443">
        <w:t>intermediary</w:t>
      </w:r>
      <w:r w:rsidR="00C63F8F" w:rsidRPr="00E27443">
        <w:t xml:space="preserve"> </w:t>
      </w:r>
      <w:r w:rsidRPr="00E27443">
        <w:t>who,</w:t>
      </w:r>
      <w:r w:rsidR="00C63F8F" w:rsidRPr="00E27443">
        <w:t xml:space="preserve"> </w:t>
      </w:r>
      <w:r w:rsidRPr="00E27443">
        <w:t>in</w:t>
      </w:r>
      <w:r w:rsidR="00C63F8F" w:rsidRPr="00E27443">
        <w:t xml:space="preserve"> </w:t>
      </w:r>
      <w:r w:rsidRPr="00E27443">
        <w:t>a</w:t>
      </w:r>
      <w:r w:rsidR="00C63F8F" w:rsidRPr="00E27443">
        <w:t xml:space="preserve"> </w:t>
      </w:r>
      <w:r w:rsidRPr="00E27443">
        <w:t>three-party</w:t>
      </w:r>
      <w:r w:rsidR="00C63F8F" w:rsidRPr="00E27443">
        <w:t xml:space="preserve"> </w:t>
      </w:r>
      <w:r w:rsidRPr="00E27443">
        <w:t>conversation,</w:t>
      </w:r>
      <w:r w:rsidR="00C63F8F" w:rsidRPr="00E27443">
        <w:t xml:space="preserve"> </w:t>
      </w:r>
      <w:r w:rsidRPr="00E27443">
        <w:t>repeats</w:t>
      </w:r>
      <w:r w:rsidR="00C63F8F" w:rsidRPr="00E27443">
        <w:t xml:space="preserve"> </w:t>
      </w:r>
      <w:r w:rsidRPr="00E27443">
        <w:t>speech</w:t>
      </w:r>
      <w:r w:rsidR="00C63F8F" w:rsidRPr="00E27443">
        <w:t xml:space="preserve"> </w:t>
      </w:r>
      <w:r w:rsidRPr="00E27443">
        <w:t>that</w:t>
      </w:r>
      <w:r w:rsidR="00C63F8F" w:rsidRPr="00E27443">
        <w:t xml:space="preserve"> </w:t>
      </w:r>
      <w:r w:rsidRPr="00E27443">
        <w:t>is</w:t>
      </w:r>
      <w:r w:rsidR="00C63F8F" w:rsidRPr="00E27443">
        <w:t xml:space="preserve"> </w:t>
      </w:r>
      <w:r w:rsidRPr="00E27443">
        <w:t>difficult</w:t>
      </w:r>
      <w:r w:rsidR="00C63F8F" w:rsidRPr="00E27443">
        <w:t xml:space="preserve"> </w:t>
      </w:r>
      <w:r w:rsidRPr="00E27443">
        <w:t>to</w:t>
      </w:r>
      <w:r w:rsidR="00C63F8F" w:rsidRPr="00E27443">
        <w:t xml:space="preserve"> </w:t>
      </w:r>
      <w:r w:rsidRPr="00E27443">
        <w:t>comprehend,</w:t>
      </w:r>
      <w:r w:rsidR="00C63F8F" w:rsidRPr="00E27443">
        <w:t xml:space="preserve"> </w:t>
      </w:r>
      <w:r w:rsidRPr="00E27443">
        <w:t>provides</w:t>
      </w:r>
      <w:r w:rsidR="00C63F8F" w:rsidRPr="00E27443">
        <w:t xml:space="preserve"> </w:t>
      </w:r>
      <w:r w:rsidRPr="00E27443">
        <w:t>memory</w:t>
      </w:r>
      <w:r w:rsidR="00C63F8F" w:rsidRPr="00E27443">
        <w:t xml:space="preserve"> </w:t>
      </w:r>
      <w:r w:rsidRPr="00E27443">
        <w:t>support</w:t>
      </w:r>
      <w:r w:rsidR="00C63F8F" w:rsidRPr="00E27443">
        <w:t xml:space="preserve"> </w:t>
      </w:r>
      <w:r w:rsidRPr="00E27443">
        <w:t>and/or</w:t>
      </w:r>
      <w:r w:rsidR="00C63F8F" w:rsidRPr="00E27443">
        <w:t xml:space="preserve"> </w:t>
      </w:r>
      <w:r w:rsidRPr="00E27443">
        <w:t>helps</w:t>
      </w:r>
      <w:r w:rsidR="00C63F8F" w:rsidRPr="00E27443">
        <w:t xml:space="preserve"> </w:t>
      </w:r>
      <w:r w:rsidRPr="00E27443">
        <w:t>people</w:t>
      </w:r>
      <w:r w:rsidR="00C63F8F" w:rsidRPr="00E27443">
        <w:t xml:space="preserve"> </w:t>
      </w:r>
      <w:r w:rsidRPr="00E27443">
        <w:t>with</w:t>
      </w:r>
      <w:r w:rsidR="00C63F8F" w:rsidRPr="00E27443">
        <w:t xml:space="preserve"> </w:t>
      </w:r>
      <w:r w:rsidRPr="00E27443">
        <w:t>writing</w:t>
      </w:r>
      <w:r w:rsidR="00C63F8F" w:rsidRPr="00E27443">
        <w:t xml:space="preserve"> </w:t>
      </w:r>
      <w:r w:rsidRPr="00E27443">
        <w:t>and</w:t>
      </w:r>
      <w:r w:rsidR="00C63F8F" w:rsidRPr="00E27443">
        <w:t xml:space="preserve"> </w:t>
      </w:r>
      <w:r w:rsidRPr="00E27443">
        <w:t>reading</w:t>
      </w:r>
      <w:r w:rsidR="00C63F8F" w:rsidRPr="00E27443">
        <w:t xml:space="preserve"> </w:t>
      </w:r>
      <w:r w:rsidRPr="00E27443">
        <w:t>difficulties</w:t>
      </w:r>
      <w:r w:rsidR="00C63F8F" w:rsidRPr="00E27443">
        <w:t xml:space="preserve"> </w:t>
      </w:r>
      <w:r w:rsidRPr="00E27443">
        <w:t>to</w:t>
      </w:r>
      <w:r w:rsidR="00C63F8F" w:rsidRPr="00E27443">
        <w:t xml:space="preserve"> </w:t>
      </w:r>
      <w:r w:rsidRPr="00E27443">
        <w:t>make</w:t>
      </w:r>
      <w:r w:rsidR="00C63F8F" w:rsidRPr="00E27443">
        <w:t xml:space="preserve"> </w:t>
      </w:r>
      <w:r w:rsidRPr="00E27443">
        <w:t>notes.</w:t>
      </w:r>
      <w:r w:rsidR="00C63F8F" w:rsidRPr="00E27443">
        <w:t xml:space="preserve"> </w:t>
      </w:r>
      <w:r w:rsidRPr="00E27443">
        <w:t>This</w:t>
      </w:r>
      <w:r w:rsidR="00C63F8F" w:rsidRPr="00E27443">
        <w:t xml:space="preserve"> </w:t>
      </w:r>
      <w:r w:rsidRPr="00E27443">
        <w:t>is</w:t>
      </w:r>
      <w:r w:rsidR="00C63F8F" w:rsidRPr="00E27443">
        <w:t xml:space="preserve"> </w:t>
      </w:r>
      <w:r w:rsidRPr="00E27443">
        <w:t>a</w:t>
      </w:r>
      <w:r w:rsidR="00C63F8F" w:rsidRPr="00E27443">
        <w:t xml:space="preserve"> </w:t>
      </w:r>
      <w:r w:rsidRPr="00E27443">
        <w:t>national</w:t>
      </w:r>
      <w:r w:rsidR="00C63F8F" w:rsidRPr="00E27443">
        <w:t xml:space="preserve"> </w:t>
      </w:r>
      <w:r w:rsidRPr="00E27443">
        <w:t>service</w:t>
      </w:r>
      <w:r w:rsidR="00C63F8F" w:rsidRPr="00E27443">
        <w:t xml:space="preserve"> </w:t>
      </w:r>
      <w:r w:rsidRPr="00E27443">
        <w:t>that</w:t>
      </w:r>
      <w:r w:rsidR="00C63F8F" w:rsidRPr="00E27443">
        <w:t xml:space="preserve"> </w:t>
      </w:r>
      <w:r w:rsidRPr="00E27443">
        <w:t>is</w:t>
      </w:r>
      <w:r w:rsidR="00C63F8F" w:rsidRPr="00E27443">
        <w:t xml:space="preserve"> </w:t>
      </w:r>
      <w:r w:rsidRPr="00E27443">
        <w:t>free</w:t>
      </w:r>
      <w:r w:rsidR="00C63F8F" w:rsidRPr="00E27443">
        <w:t xml:space="preserve"> </w:t>
      </w:r>
      <w:r w:rsidRPr="00E27443">
        <w:t>of</w:t>
      </w:r>
      <w:r w:rsidR="00C63F8F" w:rsidRPr="00E27443">
        <w:t xml:space="preserve"> </w:t>
      </w:r>
      <w:r w:rsidRPr="00E27443">
        <w:t>charge</w:t>
      </w:r>
      <w:r w:rsidR="00C63F8F" w:rsidRPr="00E27443">
        <w:t xml:space="preserve"> </w:t>
      </w:r>
      <w:r w:rsidRPr="00E27443">
        <w:t>and</w:t>
      </w:r>
      <w:r w:rsidR="00C63F8F" w:rsidRPr="00E27443">
        <w:t xml:space="preserve"> </w:t>
      </w:r>
      <w:r w:rsidRPr="00E27443">
        <w:t>available</w:t>
      </w:r>
      <w:r w:rsidR="00C63F8F" w:rsidRPr="00E27443">
        <w:t xml:space="preserve"> </w:t>
      </w:r>
      <w:r w:rsidRPr="00E27443">
        <w:t>to</w:t>
      </w:r>
      <w:r w:rsidR="00C63F8F" w:rsidRPr="00E27443">
        <w:t xml:space="preserve"> </w:t>
      </w:r>
      <w:r w:rsidRPr="00E27443">
        <w:t>everyone.</w:t>
      </w:r>
    </w:p>
    <w:p w:rsidR="00321ADA" w:rsidRPr="00E27443" w:rsidRDefault="004B01B2" w:rsidP="004B01B2">
      <w:pPr>
        <w:pStyle w:val="H1G"/>
      </w:pPr>
      <w:r w:rsidRPr="00E27443">
        <w:tab/>
      </w:r>
      <w:r w:rsidRPr="00E27443">
        <w:tab/>
      </w:r>
      <w:bookmarkStart w:id="14" w:name="_Toc290623298"/>
      <w:r w:rsidR="00321ADA" w:rsidRPr="00E27443">
        <w:t>Article</w:t>
      </w:r>
      <w:r w:rsidR="00C63F8F" w:rsidRPr="00E27443">
        <w:t xml:space="preserve"> </w:t>
      </w:r>
      <w:r w:rsidR="00321ADA" w:rsidRPr="00E27443">
        <w:t>14</w:t>
      </w:r>
      <w:r w:rsidR="00E75253">
        <w:t xml:space="preserve">: </w:t>
      </w:r>
      <w:smartTag w:uri="urn:schemas-microsoft-com:office:smarttags" w:element="place">
        <w:smartTag w:uri="urn:schemas-microsoft-com:office:smarttags" w:element="City">
          <w:r w:rsidR="00321ADA" w:rsidRPr="00E27443">
            <w:t>Liberty</w:t>
          </w:r>
        </w:smartTag>
      </w:smartTag>
      <w:r w:rsidR="00C63F8F" w:rsidRPr="00E27443">
        <w:t xml:space="preserve"> </w:t>
      </w:r>
      <w:r w:rsidR="00321ADA" w:rsidRPr="00E27443">
        <w:t>and</w:t>
      </w:r>
      <w:r w:rsidR="00C63F8F" w:rsidRPr="00E27443">
        <w:t xml:space="preserve"> </w:t>
      </w:r>
      <w:r w:rsidR="00321ADA" w:rsidRPr="00E27443">
        <w:t>security</w:t>
      </w:r>
      <w:r w:rsidR="00C63F8F" w:rsidRPr="00E27443">
        <w:t xml:space="preserve"> </w:t>
      </w:r>
      <w:r w:rsidR="00321ADA" w:rsidRPr="00E27443">
        <w:t>of</w:t>
      </w:r>
      <w:r w:rsidR="00C63F8F" w:rsidRPr="00E27443">
        <w:t xml:space="preserve"> </w:t>
      </w:r>
      <w:r w:rsidR="00321ADA" w:rsidRPr="00E27443">
        <w:t>the</w:t>
      </w:r>
      <w:r w:rsidR="00C63F8F" w:rsidRPr="00E27443">
        <w:t xml:space="preserve"> </w:t>
      </w:r>
      <w:r w:rsidR="00321ADA" w:rsidRPr="00E27443">
        <w:t>person</w:t>
      </w:r>
      <w:bookmarkEnd w:id="14"/>
    </w:p>
    <w:p w:rsidR="00321ADA" w:rsidRPr="00E27443" w:rsidRDefault="00321ADA" w:rsidP="00E75253">
      <w:pPr>
        <w:pStyle w:val="SingleTxtG"/>
        <w:numPr>
          <w:ilvl w:val="0"/>
          <w:numId w:val="20"/>
        </w:numPr>
        <w:tabs>
          <w:tab w:val="left" w:pos="1843"/>
        </w:tabs>
        <w:ind w:left="1134" w:firstLine="0"/>
      </w:pP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E27443">
        <w:t>the</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liberty</w:t>
      </w:r>
      <w:r w:rsidR="00C63F8F" w:rsidRPr="00E27443">
        <w:t xml:space="preserve"> </w:t>
      </w:r>
      <w:r w:rsidRPr="00E27443">
        <w:t>and</w:t>
      </w:r>
      <w:r w:rsidR="00C63F8F" w:rsidRPr="00E27443">
        <w:t xml:space="preserve"> </w:t>
      </w:r>
      <w:r w:rsidRPr="00E27443">
        <w:t>security</w:t>
      </w:r>
      <w:r w:rsidR="00C63F8F" w:rsidRPr="00E27443">
        <w:t xml:space="preserve"> </w:t>
      </w:r>
      <w:r w:rsidRPr="00E27443">
        <w:t>of</w:t>
      </w:r>
      <w:r w:rsidR="00C63F8F" w:rsidRPr="00E27443">
        <w:t xml:space="preserve"> </w:t>
      </w:r>
      <w:r w:rsidRPr="00E27443">
        <w:t>the</w:t>
      </w:r>
      <w:r w:rsidR="00C63F8F" w:rsidRPr="00E27443">
        <w:t xml:space="preserve"> </w:t>
      </w:r>
      <w:r w:rsidRPr="00E27443">
        <w:t>person,</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also</w:t>
      </w:r>
      <w:r w:rsidR="00C63F8F" w:rsidRPr="00E27443">
        <w:t xml:space="preserve"> </w:t>
      </w:r>
      <w:r w:rsidRPr="00E27443">
        <w:t>provides</w:t>
      </w:r>
      <w:r w:rsidR="00C63F8F" w:rsidRPr="00E27443">
        <w:t xml:space="preserve"> </w:t>
      </w:r>
      <w:r w:rsidRPr="00E27443">
        <w:t>guarantees</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enjoy</w:t>
      </w:r>
      <w:r w:rsidR="00C63F8F" w:rsidRPr="00E27443">
        <w:t xml:space="preserve"> </w:t>
      </w:r>
      <w:r w:rsidRPr="00E27443">
        <w:t>liberty</w:t>
      </w:r>
      <w:r w:rsidR="00C63F8F" w:rsidRPr="00E27443">
        <w:t xml:space="preserve"> </w:t>
      </w:r>
      <w:r w:rsidRPr="00E27443">
        <w:t>and</w:t>
      </w:r>
      <w:r w:rsidR="00C63F8F" w:rsidRPr="00E27443">
        <w:t xml:space="preserve"> </w:t>
      </w:r>
      <w:r w:rsidRPr="00E27443">
        <w:t>personal</w:t>
      </w:r>
      <w:r w:rsidR="00C63F8F" w:rsidRPr="00E27443">
        <w:t xml:space="preserve"> </w:t>
      </w:r>
      <w:r w:rsidRPr="00E27443">
        <w:t>security</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as</w:t>
      </w:r>
      <w:r w:rsidR="00C63F8F" w:rsidRPr="00E27443">
        <w:t xml:space="preserve"> </w:t>
      </w:r>
      <w:r w:rsidRPr="00E27443">
        <w:t>others,</w:t>
      </w:r>
      <w:r w:rsidR="00C63F8F" w:rsidRPr="00E27443">
        <w:t xml:space="preserve"> </w:t>
      </w:r>
      <w:r w:rsidRPr="00E27443">
        <w:t>that</w:t>
      </w:r>
      <w:r w:rsidR="00C63F8F" w:rsidRPr="00E27443">
        <w:t xml:space="preserve"> </w:t>
      </w:r>
      <w:r w:rsidRPr="00E27443">
        <w:t>they</w:t>
      </w:r>
      <w:r w:rsidR="00C63F8F" w:rsidRPr="00E27443">
        <w:t xml:space="preserve"> </w:t>
      </w:r>
      <w:r w:rsidRPr="00E27443">
        <w:t>are</w:t>
      </w:r>
      <w:r w:rsidR="00C63F8F" w:rsidRPr="00E27443">
        <w:t xml:space="preserve"> </w:t>
      </w:r>
      <w:r w:rsidRPr="00E27443">
        <w:t>not</w:t>
      </w:r>
      <w:r w:rsidR="00C63F8F" w:rsidRPr="00E27443">
        <w:t xml:space="preserve"> </w:t>
      </w:r>
      <w:r w:rsidRPr="00E27443">
        <w:t>deprived</w:t>
      </w:r>
      <w:r w:rsidR="00C63F8F" w:rsidRPr="00E27443">
        <w:t xml:space="preserve"> </w:t>
      </w:r>
      <w:r w:rsidRPr="00E27443">
        <w:t>of</w:t>
      </w:r>
      <w:r w:rsidR="00C63F8F" w:rsidRPr="00E27443">
        <w:t xml:space="preserve"> </w:t>
      </w:r>
      <w:r w:rsidRPr="00E27443">
        <w:t>their</w:t>
      </w:r>
      <w:r w:rsidR="00C63F8F" w:rsidRPr="00E27443">
        <w:t xml:space="preserve"> </w:t>
      </w:r>
      <w:r w:rsidRPr="00E27443">
        <w:t>liberty</w:t>
      </w:r>
      <w:r w:rsidR="00C63F8F" w:rsidRPr="00E27443">
        <w:t xml:space="preserve"> </w:t>
      </w:r>
      <w:r w:rsidRPr="00E27443">
        <w:t>unlawfully</w:t>
      </w:r>
      <w:r w:rsidR="00C63F8F" w:rsidRPr="00E27443">
        <w:t xml:space="preserve"> </w:t>
      </w:r>
      <w:r w:rsidRPr="00E27443">
        <w:t>or</w:t>
      </w:r>
      <w:r w:rsidR="00C63F8F" w:rsidRPr="00E27443">
        <w:t xml:space="preserve"> </w:t>
      </w:r>
      <w:r w:rsidRPr="00E27443">
        <w:t>arbitrarily,</w:t>
      </w:r>
      <w:r w:rsidR="00C63F8F" w:rsidRPr="00E27443">
        <w:t xml:space="preserve"> </w:t>
      </w:r>
      <w:r w:rsidRPr="00E27443">
        <w:t>and</w:t>
      </w:r>
      <w:r w:rsidR="00C63F8F" w:rsidRPr="00E27443">
        <w:t xml:space="preserve"> </w:t>
      </w:r>
      <w:r w:rsidRPr="00E27443">
        <w:t>that</w:t>
      </w:r>
      <w:r w:rsidR="00C63F8F" w:rsidRPr="00E27443">
        <w:t xml:space="preserve"> </w:t>
      </w:r>
      <w:r w:rsidRPr="00E27443">
        <w:t>the</w:t>
      </w:r>
      <w:r w:rsidR="00C63F8F" w:rsidRPr="00E27443">
        <w:t xml:space="preserve"> </w:t>
      </w:r>
      <w:r w:rsidRPr="00E27443">
        <w:t>presence</w:t>
      </w:r>
      <w:r w:rsidR="00C63F8F" w:rsidRPr="00E27443">
        <w:t xml:space="preserve"> </w:t>
      </w:r>
      <w:r w:rsidRPr="00E27443">
        <w:t>of</w:t>
      </w:r>
      <w:r w:rsidR="00C63F8F" w:rsidRPr="00E27443">
        <w:t xml:space="preserve"> </w:t>
      </w:r>
      <w:r w:rsidRPr="00E27443">
        <w:t>a</w:t>
      </w:r>
      <w:r w:rsidR="00C63F8F" w:rsidRPr="00E27443">
        <w:t xml:space="preserve"> </w:t>
      </w:r>
      <w:r w:rsidRPr="00E27443">
        <w:t>disability</w:t>
      </w:r>
      <w:r w:rsidR="00C63F8F" w:rsidRPr="00E27443">
        <w:t xml:space="preserve"> </w:t>
      </w:r>
      <w:r w:rsidRPr="00E27443">
        <w:t>alone</w:t>
      </w:r>
      <w:r w:rsidR="00C63F8F" w:rsidRPr="00E27443">
        <w:t xml:space="preserve"> </w:t>
      </w:r>
      <w:r w:rsidRPr="00E27443">
        <w:t>does</w:t>
      </w:r>
      <w:r w:rsidR="00C63F8F" w:rsidRPr="00E27443">
        <w:t xml:space="preserve"> </w:t>
      </w:r>
      <w:r w:rsidRPr="00E27443">
        <w:t>not</w:t>
      </w:r>
      <w:r w:rsidR="00C63F8F" w:rsidRPr="00E27443">
        <w:t xml:space="preserve"> </w:t>
      </w:r>
      <w:r w:rsidRPr="00E27443">
        <w:t>justify</w:t>
      </w:r>
      <w:r w:rsidR="00C63F8F" w:rsidRPr="00E27443">
        <w:t xml:space="preserve"> </w:t>
      </w:r>
      <w:r w:rsidRPr="00E27443">
        <w:t>the</w:t>
      </w:r>
      <w:r w:rsidR="00C63F8F" w:rsidRPr="00E27443">
        <w:t xml:space="preserve"> </w:t>
      </w:r>
      <w:r w:rsidRPr="00E27443">
        <w:t>deprivation</w:t>
      </w:r>
      <w:r w:rsidR="00C63F8F" w:rsidRPr="00E27443">
        <w:t xml:space="preserve"> </w:t>
      </w:r>
      <w:r w:rsidRPr="00E27443">
        <w:t>of</w:t>
      </w:r>
      <w:r w:rsidR="00C63F8F" w:rsidRPr="00E27443">
        <w:t xml:space="preserve"> </w:t>
      </w:r>
      <w:r w:rsidRPr="00E27443">
        <w:t>liberty.</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Neither</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4B01B2" w:rsidRPr="00E27443">
        <w:rPr>
          <w:rStyle w:val="FootnoteReference"/>
        </w:rPr>
        <w:footnoteReference w:id="60"/>
      </w:r>
      <w:r w:rsidR="00C63F8F" w:rsidRPr="00E27443">
        <w:t xml:space="preserve"> </w:t>
      </w:r>
      <w:r w:rsidRPr="00E27443">
        <w:t>(SOL)</w:t>
      </w:r>
      <w:r w:rsidR="00C63F8F" w:rsidRPr="00E27443">
        <w:t xml:space="preserve"> </w:t>
      </w:r>
      <w:r w:rsidRPr="00E27443">
        <w:t>nor</w:t>
      </w:r>
      <w:r w:rsidR="00C63F8F" w:rsidRPr="00E27443">
        <w:t xml:space="preserve"> </w:t>
      </w:r>
      <w:r w:rsidRPr="00E27443">
        <w:t>the</w:t>
      </w:r>
      <w:r w:rsidR="00C63F8F" w:rsidRPr="00E27443">
        <w:t xml:space="preserve"> </w:t>
      </w:r>
      <w:r w:rsidRPr="00E27443">
        <w:t>Act</w:t>
      </w:r>
      <w:r w:rsidR="00C63F8F" w:rsidRPr="00E27443">
        <w:t xml:space="preserve"> </w:t>
      </w:r>
      <w:r w:rsidRPr="00E27443">
        <w:t>concerning</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Certain</w:t>
      </w:r>
      <w:r w:rsidR="00C63F8F" w:rsidRPr="00E27443">
        <w:t xml:space="preserve"> </w:t>
      </w:r>
      <w:r w:rsidRPr="00E27443">
        <w:t>Functional</w:t>
      </w:r>
      <w:r w:rsidR="00C63F8F" w:rsidRPr="00E27443">
        <w:t xml:space="preserve"> </w:t>
      </w:r>
      <w:r w:rsidRPr="00E27443">
        <w:t>Impairments</w:t>
      </w:r>
      <w:r w:rsidR="004B01B2" w:rsidRPr="00E27443">
        <w:rPr>
          <w:rStyle w:val="FootnoteReference"/>
        </w:rPr>
        <w:footnoteReference w:id="61"/>
      </w:r>
      <w:r w:rsidR="00C63F8F" w:rsidRPr="00E27443">
        <w:t xml:space="preserve"> </w:t>
      </w:r>
      <w:r w:rsidRPr="00E27443">
        <w:t>(LSS)</w:t>
      </w:r>
      <w:r w:rsidR="00C63F8F" w:rsidRPr="00E27443">
        <w:t xml:space="preserve"> </w:t>
      </w:r>
      <w:r w:rsidRPr="00E27443">
        <w:t>contain</w:t>
      </w:r>
      <w:r w:rsidR="00C63F8F" w:rsidRPr="00E27443">
        <w:t xml:space="preserve"> </w:t>
      </w:r>
      <w:r w:rsidRPr="00E27443">
        <w:t>any</w:t>
      </w:r>
      <w:r w:rsidR="00C63F8F" w:rsidRPr="00E27443">
        <w:t xml:space="preserve"> </w:t>
      </w:r>
      <w:r w:rsidRPr="00E27443">
        <w:t>element</w:t>
      </w:r>
      <w:r w:rsidR="00C63F8F" w:rsidRPr="00E27443">
        <w:t xml:space="preserve"> </w:t>
      </w:r>
      <w:r w:rsidRPr="00E27443">
        <w:t>of</w:t>
      </w:r>
      <w:r w:rsidR="00C63F8F" w:rsidRPr="00E27443">
        <w:t xml:space="preserve"> </w:t>
      </w:r>
      <w:r w:rsidRPr="00E27443">
        <w:t>compulsion.</w:t>
      </w:r>
      <w:r w:rsidR="00C63F8F" w:rsidRPr="00E27443">
        <w:t xml:space="preserve"> </w:t>
      </w:r>
      <w:r w:rsidRPr="00E27443">
        <w:t>There</w:t>
      </w:r>
      <w:r w:rsidR="00C63F8F" w:rsidRPr="00E27443">
        <w:t xml:space="preserve"> </w:t>
      </w:r>
      <w:r w:rsidRPr="00E27443">
        <w:t>is</w:t>
      </w:r>
      <w:r w:rsidR="00C63F8F" w:rsidRPr="00E27443">
        <w:t xml:space="preserve"> </w:t>
      </w:r>
      <w:r w:rsidRPr="00E27443">
        <w:t>admittedly</w:t>
      </w:r>
      <w:r w:rsidR="00C63F8F" w:rsidRPr="00E27443">
        <w:t xml:space="preserve"> </w:t>
      </w:r>
      <w:r w:rsidRPr="00E27443">
        <w:t>legislation</w:t>
      </w:r>
      <w:r w:rsidR="00C63F8F" w:rsidRPr="00E27443">
        <w:t xml:space="preserve"> </w:t>
      </w:r>
      <w:r w:rsidRPr="00E27443">
        <w:t>that</w:t>
      </w:r>
      <w:r w:rsidR="00C63F8F" w:rsidRPr="00E27443">
        <w:t xml:space="preserve"> </w:t>
      </w:r>
      <w:r w:rsidRPr="00E27443">
        <w:t>includes</w:t>
      </w:r>
      <w:r w:rsidR="00C63F8F" w:rsidRPr="00E27443">
        <w:t xml:space="preserve"> </w:t>
      </w:r>
      <w:r w:rsidRPr="00E27443">
        <w:t>treatment</w:t>
      </w:r>
      <w:r w:rsidR="00C63F8F" w:rsidRPr="00E27443">
        <w:t xml:space="preserve"> </w:t>
      </w:r>
      <w:r w:rsidRPr="00E27443">
        <w:t>without</w:t>
      </w:r>
      <w:r w:rsidR="00C63F8F" w:rsidRPr="00E27443">
        <w:t xml:space="preserve"> </w:t>
      </w:r>
      <w:r w:rsidRPr="00E27443">
        <w:t>consent,</w:t>
      </w:r>
      <w:r w:rsidR="00C63F8F" w:rsidRPr="00E27443">
        <w:t xml:space="preserve"> </w:t>
      </w:r>
      <w:r w:rsidRPr="00E27443">
        <w:t>although</w:t>
      </w:r>
      <w:r w:rsidR="00C63F8F" w:rsidRPr="00E27443">
        <w:t xml:space="preserve"> </w:t>
      </w:r>
      <w:r w:rsidRPr="00E27443">
        <w:t>such</w:t>
      </w:r>
      <w:r w:rsidR="00C63F8F" w:rsidRPr="00E27443">
        <w:t xml:space="preserve"> </w:t>
      </w:r>
      <w:r w:rsidRPr="00E27443">
        <w:t>restrictions</w:t>
      </w:r>
      <w:r w:rsidR="00C63F8F" w:rsidRPr="00E27443">
        <w:t xml:space="preserve"> </w:t>
      </w:r>
      <w:r w:rsidRPr="00E27443">
        <w:t>to</w:t>
      </w:r>
      <w:r w:rsidR="00C63F8F" w:rsidRPr="00E27443">
        <w:t xml:space="preserve"> </w:t>
      </w:r>
      <w:r w:rsidRPr="00E27443">
        <w:t>personal</w:t>
      </w:r>
      <w:r w:rsidR="00C63F8F" w:rsidRPr="00E27443">
        <w:t xml:space="preserve"> </w:t>
      </w:r>
      <w:r w:rsidRPr="00E27443">
        <w:t>liberty</w:t>
      </w:r>
      <w:r w:rsidR="00C63F8F" w:rsidRPr="00E27443">
        <w:t xml:space="preserve"> </w:t>
      </w:r>
      <w:r w:rsidRPr="00E27443">
        <w:t>are</w:t>
      </w:r>
      <w:r w:rsidR="00C63F8F" w:rsidRPr="00E27443">
        <w:t xml:space="preserve"> </w:t>
      </w:r>
      <w:r w:rsidRPr="00E27443">
        <w:t>surrounded</w:t>
      </w:r>
      <w:r w:rsidR="00C63F8F" w:rsidRPr="00E27443">
        <w:t xml:space="preserve"> </w:t>
      </w:r>
      <w:r w:rsidRPr="00E27443">
        <w:t>by</w:t>
      </w:r>
      <w:r w:rsidR="00C63F8F" w:rsidRPr="00E27443">
        <w:t xml:space="preserve"> </w:t>
      </w:r>
      <w:r w:rsidRPr="00E27443">
        <w:t>strict</w:t>
      </w:r>
      <w:r w:rsidR="00C63F8F" w:rsidRPr="00E27443">
        <w:t xml:space="preserve"> </w:t>
      </w:r>
      <w:r w:rsidRPr="00E27443">
        <w:t>rules</w:t>
      </w:r>
      <w:r w:rsidR="00C63F8F" w:rsidRPr="00E27443">
        <w:t xml:space="preserve"> </w:t>
      </w:r>
      <w:r w:rsidRPr="00E27443">
        <w:t>(see</w:t>
      </w:r>
      <w:r w:rsidR="00C63F8F" w:rsidRPr="00E27443">
        <w:t xml:space="preserve"> </w:t>
      </w:r>
      <w:r w:rsidRPr="00E27443">
        <w:t>more</w:t>
      </w:r>
      <w:r w:rsidR="00C63F8F" w:rsidRPr="00E27443">
        <w:t xml:space="preserve"> </w:t>
      </w:r>
      <w:r w:rsidRPr="00E27443">
        <w:t>under</w:t>
      </w:r>
      <w:r w:rsidR="00C63F8F" w:rsidRPr="00E27443">
        <w:t xml:space="preserve"> </w:t>
      </w:r>
      <w:r w:rsidRPr="00E27443">
        <w:t>Article</w:t>
      </w:r>
      <w:r w:rsidR="00C63F8F" w:rsidRPr="00E27443">
        <w:t xml:space="preserve"> </w:t>
      </w:r>
      <w:r w:rsidRPr="00E27443">
        <w:t>17).</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promote</w:t>
      </w:r>
      <w:r w:rsidR="00C63F8F" w:rsidRPr="00E27443">
        <w:t xml:space="preserve"> </w:t>
      </w:r>
      <w:r w:rsidRPr="00E27443">
        <w:t>full</w:t>
      </w:r>
      <w:r w:rsidR="00C63F8F" w:rsidRPr="00E27443">
        <w:t xml:space="preserve"> </w:t>
      </w:r>
      <w:r w:rsidRPr="00E27443">
        <w:t>participation,</w:t>
      </w:r>
      <w:r w:rsidR="00C63F8F" w:rsidRPr="00E27443">
        <w:t xml:space="preserve"> </w:t>
      </w:r>
      <w:r w:rsidRPr="00E27443">
        <w:t>non-discrimination</w:t>
      </w:r>
      <w:r w:rsidR="00C63F8F" w:rsidRPr="00E27443">
        <w:t xml:space="preserve"> </w:t>
      </w:r>
      <w:r w:rsidRPr="00E27443">
        <w:t>and</w:t>
      </w:r>
      <w:r w:rsidR="00C63F8F" w:rsidRPr="00E27443">
        <w:t xml:space="preserve"> </w:t>
      </w:r>
      <w:r w:rsidRPr="00E27443">
        <w:t>equality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phased</w:t>
      </w:r>
      <w:r w:rsidR="00C63F8F" w:rsidRPr="00E27443">
        <w:t xml:space="preserve"> </w:t>
      </w:r>
      <w:r w:rsidRPr="00E27443">
        <w:t>out</w:t>
      </w:r>
      <w:r w:rsidR="00C63F8F" w:rsidRPr="00E27443">
        <w:t xml:space="preserve"> </w:t>
      </w:r>
      <w:r w:rsidRPr="00E27443">
        <w:t>all</w:t>
      </w:r>
      <w:r w:rsidR="00C63F8F" w:rsidRPr="00E27443">
        <w:t xml:space="preserve"> </w:t>
      </w:r>
      <w:r w:rsidRPr="00E27443">
        <w:t>institutional</w:t>
      </w:r>
      <w:r w:rsidR="00C63F8F" w:rsidRPr="00E27443">
        <w:t xml:space="preserve"> </w:t>
      </w:r>
      <w:r w:rsidRPr="00E27443">
        <w:t>accommodation</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and</w:t>
      </w:r>
      <w:r w:rsidR="00C63F8F" w:rsidRPr="00E27443">
        <w:t xml:space="preserve"> </w:t>
      </w:r>
      <w:r w:rsidRPr="00E27443">
        <w:t>built</w:t>
      </w:r>
      <w:r w:rsidR="00C63F8F" w:rsidRPr="00E27443">
        <w:t xml:space="preserve"> </w:t>
      </w:r>
      <w:r w:rsidRPr="00E27443">
        <w:t>up</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in</w:t>
      </w:r>
      <w:r w:rsidR="00C63F8F" w:rsidRPr="00E27443">
        <w:t xml:space="preserve"> </w:t>
      </w:r>
      <w:r w:rsidRPr="00E27443">
        <w:t>the</w:t>
      </w:r>
      <w:r w:rsidR="00C63F8F" w:rsidRPr="00E27443">
        <w:t xml:space="preserve"> </w:t>
      </w:r>
      <w:r w:rsidRPr="00E27443">
        <w:t>community.</w:t>
      </w:r>
      <w:r w:rsidR="00C63F8F" w:rsidRPr="00E27443">
        <w:t xml:space="preserve"> </w:t>
      </w:r>
      <w:r w:rsidRPr="00E27443">
        <w:t>This</w:t>
      </w:r>
      <w:r w:rsidR="00C63F8F" w:rsidRPr="00E27443">
        <w:t xml:space="preserve"> </w:t>
      </w:r>
      <w:r w:rsidRPr="00E27443">
        <w:t>phasing</w:t>
      </w:r>
      <w:r w:rsidR="00C63F8F" w:rsidRPr="00E27443">
        <w:t xml:space="preserve"> </w:t>
      </w:r>
      <w:r w:rsidRPr="00E27443">
        <w:t>out</w:t>
      </w:r>
      <w:r w:rsidR="00C63F8F" w:rsidRPr="00E27443">
        <w:t xml:space="preserve"> </w:t>
      </w:r>
      <w:r w:rsidRPr="00E27443">
        <w:t>process</w:t>
      </w:r>
      <w:r w:rsidR="00C63F8F" w:rsidRPr="00E27443">
        <w:t xml:space="preserve"> </w:t>
      </w:r>
      <w:r w:rsidRPr="00E27443">
        <w:t>commenced</w:t>
      </w:r>
      <w:r w:rsidR="00C63F8F" w:rsidRPr="00E27443">
        <w:t xml:space="preserve"> </w:t>
      </w:r>
      <w:r w:rsidRPr="00E27443">
        <w:t>in</w:t>
      </w:r>
      <w:r w:rsidR="00C63F8F" w:rsidRPr="00E27443">
        <w:t xml:space="preserve"> </w:t>
      </w:r>
      <w:r w:rsidRPr="00E27443">
        <w:t>the</w:t>
      </w:r>
      <w:r w:rsidR="00C63F8F" w:rsidRPr="00E27443">
        <w:t xml:space="preserve"> </w:t>
      </w:r>
      <w:r w:rsidRPr="00E27443">
        <w:t>1980s</w:t>
      </w:r>
      <w:r w:rsidR="00C63F8F" w:rsidRPr="00E27443">
        <w:t xml:space="preserve"> </w:t>
      </w:r>
      <w:r w:rsidRPr="00E27443">
        <w:t>by</w:t>
      </w:r>
      <w:r w:rsidR="00C63F8F" w:rsidRPr="00E27443">
        <w:t xml:space="preserve"> </w:t>
      </w:r>
      <w:r w:rsidRPr="00E27443">
        <w:t>not</w:t>
      </w:r>
      <w:r w:rsidR="00C63F8F" w:rsidRPr="00E27443">
        <w:t xml:space="preserve"> </w:t>
      </w:r>
      <w:r w:rsidRPr="00E27443">
        <w:t>placing</w:t>
      </w:r>
      <w:r w:rsidR="00C63F8F" w:rsidRPr="00E27443">
        <w:t xml:space="preserve"> </w:t>
      </w:r>
      <w:r w:rsidRPr="00E27443">
        <w:t>any</w:t>
      </w:r>
      <w:r w:rsidR="00C63F8F" w:rsidRPr="00E27443">
        <w:t xml:space="preserve"> </w:t>
      </w:r>
      <w:r w:rsidRPr="00E27443">
        <w:t>children</w:t>
      </w:r>
      <w:r w:rsidR="00C63F8F" w:rsidRPr="00E27443">
        <w:t xml:space="preserve"> </w:t>
      </w:r>
      <w:r w:rsidRPr="00E27443">
        <w:t>in</w:t>
      </w:r>
      <w:r w:rsidR="00C63F8F" w:rsidRPr="00E27443">
        <w:t xml:space="preserve"> </w:t>
      </w:r>
      <w:r w:rsidRPr="00E27443">
        <w:t>institutions.</w:t>
      </w:r>
      <w:r w:rsidR="00C63F8F" w:rsidRPr="00E27443">
        <w:t xml:space="preserve"> </w:t>
      </w:r>
      <w:r w:rsidRPr="00E27443">
        <w:t>The</w:t>
      </w:r>
      <w:r w:rsidR="00C63F8F" w:rsidRPr="00E27443">
        <w:t xml:space="preserve"> </w:t>
      </w:r>
      <w:r w:rsidRPr="00E27443">
        <w:t>phasing</w:t>
      </w:r>
      <w:r w:rsidR="00C63F8F" w:rsidRPr="00E27443">
        <w:t xml:space="preserve"> </w:t>
      </w:r>
      <w:r w:rsidRPr="00E27443">
        <w:t>out</w:t>
      </w:r>
      <w:r w:rsidR="00C63F8F" w:rsidRPr="00E27443">
        <w:t xml:space="preserve"> </w:t>
      </w:r>
      <w:r w:rsidRPr="00E27443">
        <w:t>process</w:t>
      </w:r>
      <w:r w:rsidR="00C63F8F" w:rsidRPr="00E27443">
        <w:t xml:space="preserve"> </w:t>
      </w:r>
      <w:r w:rsidRPr="00E27443">
        <w:t>for</w:t>
      </w:r>
      <w:r w:rsidR="00C63F8F" w:rsidRPr="00E27443">
        <w:t xml:space="preserve"> </w:t>
      </w:r>
      <w:r w:rsidRPr="00E27443">
        <w:t>adults</w:t>
      </w:r>
      <w:r w:rsidR="00C63F8F" w:rsidRPr="00E27443">
        <w:t xml:space="preserve"> </w:t>
      </w:r>
      <w:r w:rsidRPr="00E27443">
        <w:t>took</w:t>
      </w:r>
      <w:r w:rsidR="00C63F8F" w:rsidRPr="00E27443">
        <w:t xml:space="preserve"> </w:t>
      </w:r>
      <w:r w:rsidRPr="00E27443">
        <w:t>place</w:t>
      </w:r>
      <w:r w:rsidR="00C63F8F" w:rsidRPr="00E27443">
        <w:t xml:space="preserve"> </w:t>
      </w:r>
      <w:r w:rsidRPr="00E27443">
        <w:t>over</w:t>
      </w:r>
      <w:r w:rsidR="00C63F8F" w:rsidRPr="00E27443">
        <w:t xml:space="preserve"> </w:t>
      </w:r>
      <w:r w:rsidRPr="00E27443">
        <w:t>a</w:t>
      </w:r>
      <w:r w:rsidR="00C63F8F" w:rsidRPr="00E27443">
        <w:t xml:space="preserve"> </w:t>
      </w:r>
      <w:r w:rsidRPr="00E27443">
        <w:t>ten-year</w:t>
      </w:r>
      <w:r w:rsidR="00C63F8F" w:rsidRPr="00E27443">
        <w:t xml:space="preserve"> </w:t>
      </w:r>
      <w:r w:rsidRPr="00E27443">
        <w:t>period</w:t>
      </w:r>
      <w:r w:rsidR="00C63F8F" w:rsidRPr="00E27443">
        <w:t xml:space="preserve"> </w:t>
      </w:r>
      <w:r w:rsidRPr="00E27443">
        <w:t>and</w:t>
      </w:r>
      <w:r w:rsidR="00C63F8F" w:rsidRPr="00E27443">
        <w:t xml:space="preserve"> </w:t>
      </w:r>
      <w:r w:rsidRPr="00E27443">
        <w:t>was</w:t>
      </w:r>
      <w:r w:rsidR="00C63F8F" w:rsidRPr="00E27443">
        <w:t xml:space="preserve"> </w:t>
      </w:r>
      <w:r w:rsidRPr="00E27443">
        <w:t>completed</w:t>
      </w:r>
      <w:r w:rsidR="00C63F8F" w:rsidRPr="00E27443">
        <w:t xml:space="preserve"> </w:t>
      </w:r>
      <w:r w:rsidRPr="00E27443">
        <w:t>in</w:t>
      </w:r>
      <w:r w:rsidR="00C63F8F" w:rsidRPr="00E27443">
        <w:t xml:space="preserve"> </w:t>
      </w:r>
      <w:r w:rsidRPr="00E27443">
        <w:t>1999.</w:t>
      </w:r>
      <w:r w:rsidR="00C63F8F" w:rsidRPr="00E27443">
        <w:t xml:space="preserve"> </w:t>
      </w:r>
      <w:r w:rsidRPr="00E27443">
        <w:t>Examples</w:t>
      </w:r>
      <w:r w:rsidR="00C63F8F" w:rsidRPr="00E27443">
        <w:t xml:space="preserve"> </w:t>
      </w:r>
      <w:r w:rsidRPr="00E27443">
        <w:t>of</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to</w:t>
      </w:r>
      <w:r w:rsidR="00C63F8F" w:rsidRPr="00E27443">
        <w:t xml:space="preserve"> </w:t>
      </w:r>
      <w:r w:rsidRPr="00E27443">
        <w:t>enable</w:t>
      </w:r>
      <w:r w:rsidR="00C63F8F" w:rsidRPr="00E27443">
        <w:t xml:space="preserve"> </w:t>
      </w:r>
      <w:r w:rsidRPr="00E27443">
        <w:t>individuals</w:t>
      </w:r>
      <w:r w:rsidR="00C63F8F" w:rsidRPr="00E27443">
        <w:t xml:space="preserve"> </w:t>
      </w:r>
      <w:r w:rsidRPr="00E27443">
        <w:t>to</w:t>
      </w:r>
      <w:r w:rsidR="00C63F8F" w:rsidRPr="00E27443">
        <w:t xml:space="preserve"> </w:t>
      </w:r>
      <w:r w:rsidRPr="00E27443">
        <w:t>live</w:t>
      </w:r>
      <w:r w:rsidR="00C63F8F" w:rsidRPr="00E27443">
        <w:t xml:space="preserve"> </w:t>
      </w:r>
      <w:r w:rsidRPr="00E27443">
        <w:t>independently</w:t>
      </w:r>
      <w:r w:rsidR="00C63F8F" w:rsidRPr="00E27443">
        <w:t xml:space="preserve"> </w:t>
      </w:r>
      <w:r w:rsidRPr="00E27443">
        <w:t>in</w:t>
      </w:r>
      <w:r w:rsidR="00C63F8F" w:rsidRPr="00E27443">
        <w:t xml:space="preserve"> </w:t>
      </w:r>
      <w:r w:rsidRPr="00E27443">
        <w:t>society</w:t>
      </w:r>
      <w:r w:rsidR="00C63F8F" w:rsidRPr="00E27443">
        <w:t xml:space="preserve"> </w:t>
      </w:r>
      <w:r w:rsidRPr="00E27443">
        <w:t>include</w:t>
      </w:r>
      <w:r w:rsidR="00C63F8F" w:rsidRPr="00E27443">
        <w:t xml:space="preserve"> </w:t>
      </w:r>
      <w:r w:rsidRPr="00E27443">
        <w:t>assistance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SOL</w:t>
      </w:r>
      <w:r w:rsidR="00C63F8F" w:rsidRPr="00E27443">
        <w:t xml:space="preserve"> </w:t>
      </w:r>
      <w:r w:rsidRPr="00E27443">
        <w:t>and</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LSS</w:t>
      </w:r>
      <w:r w:rsidR="00C63F8F" w:rsidRPr="00E27443">
        <w:t xml:space="preserve"> </w:t>
      </w:r>
      <w:r w:rsidRPr="00E27443">
        <w:t>(see</w:t>
      </w:r>
      <w:r w:rsidR="00C63F8F" w:rsidRPr="00E27443">
        <w:t xml:space="preserve"> </w:t>
      </w:r>
      <w:r w:rsidRPr="00E27443">
        <w:t>more</w:t>
      </w:r>
      <w:r w:rsidR="00C63F8F" w:rsidRPr="00E27443">
        <w:t xml:space="preserve"> </w:t>
      </w:r>
      <w:r w:rsidRPr="00E27443">
        <w:t>under</w:t>
      </w:r>
      <w:r w:rsidR="00C63F8F" w:rsidRPr="00E27443">
        <w:t xml:space="preserve"> </w:t>
      </w:r>
      <w:r w:rsidRPr="00E27443">
        <w:t>Article</w:t>
      </w:r>
      <w:r w:rsidR="00C63F8F" w:rsidRPr="00E27443">
        <w:t xml:space="preserve"> </w:t>
      </w:r>
      <w:r w:rsidRPr="00E27443">
        <w:t>19).</w:t>
      </w:r>
    </w:p>
    <w:p w:rsidR="00321ADA" w:rsidRPr="00E27443" w:rsidRDefault="00321ADA" w:rsidP="00E75253">
      <w:pPr>
        <w:pStyle w:val="SingleTxtG"/>
        <w:numPr>
          <w:ilvl w:val="0"/>
          <w:numId w:val="20"/>
        </w:numPr>
        <w:tabs>
          <w:tab w:val="left" w:pos="1843"/>
        </w:tabs>
        <w:ind w:left="1134" w:firstLine="0"/>
      </w:pP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have</w:t>
      </w:r>
      <w:r w:rsidR="00C63F8F" w:rsidRPr="00E27443">
        <w:t xml:space="preserve"> </w:t>
      </w:r>
      <w:r w:rsidRPr="00E27443">
        <w:t>been</w:t>
      </w:r>
      <w:r w:rsidR="00C63F8F" w:rsidRPr="00E27443">
        <w:t xml:space="preserve"> </w:t>
      </w:r>
      <w:r w:rsidRPr="00E27443">
        <w:t>deprived</w:t>
      </w:r>
      <w:r w:rsidR="00C63F8F" w:rsidRPr="00E27443">
        <w:t xml:space="preserve"> </w:t>
      </w:r>
      <w:r w:rsidRPr="00E27443">
        <w:t>of</w:t>
      </w:r>
      <w:r w:rsidR="00C63F8F" w:rsidRPr="00E27443">
        <w:t xml:space="preserve"> </w:t>
      </w:r>
      <w:r w:rsidRPr="00E27443">
        <w:t>their</w:t>
      </w:r>
      <w:r w:rsidR="00C63F8F" w:rsidRPr="00E27443">
        <w:t xml:space="preserve"> </w:t>
      </w:r>
      <w:r w:rsidRPr="00E27443">
        <w:t>liberty</w:t>
      </w:r>
      <w:r w:rsidR="00C63F8F" w:rsidRPr="00E27443">
        <w:t xml:space="preserve"> </w:t>
      </w:r>
      <w:r w:rsidRPr="00E27443">
        <w:t>as</w:t>
      </w:r>
      <w:r w:rsidR="00C63F8F" w:rsidRPr="00E27443">
        <w:t xml:space="preserve"> </w:t>
      </w:r>
      <w:r w:rsidRPr="00E27443">
        <w:t>a</w:t>
      </w:r>
      <w:r w:rsidR="00C63F8F" w:rsidRPr="00E27443">
        <w:t xml:space="preserve"> </w:t>
      </w:r>
      <w:r w:rsidRPr="00E27443">
        <w:t>result</w:t>
      </w:r>
      <w:r w:rsidR="00C63F8F" w:rsidRPr="00E27443">
        <w:t xml:space="preserve"> </w:t>
      </w:r>
      <w:r w:rsidRPr="00E27443">
        <w:t>of</w:t>
      </w:r>
      <w:r w:rsidR="00C63F8F" w:rsidRPr="00E27443">
        <w:t xml:space="preserve"> </w:t>
      </w:r>
      <w:r w:rsidRPr="00E27443">
        <w:t>having</w:t>
      </w:r>
      <w:r w:rsidR="00C63F8F" w:rsidRPr="00E27443">
        <w:t xml:space="preserve"> </w:t>
      </w:r>
      <w:r w:rsidRPr="00E27443">
        <w:t>committed</w:t>
      </w:r>
      <w:r w:rsidR="00C63F8F" w:rsidRPr="00E27443">
        <w:t xml:space="preserve"> </w:t>
      </w:r>
      <w:r w:rsidRPr="00E27443">
        <w:t>a</w:t>
      </w:r>
      <w:r w:rsidR="00C63F8F" w:rsidRPr="00E27443">
        <w:t xml:space="preserve"> </w:t>
      </w:r>
      <w:r w:rsidRPr="00E27443">
        <w:t>crime,</w:t>
      </w:r>
      <w:r w:rsidR="00C63F8F" w:rsidRPr="00E27443">
        <w:t xml:space="preserve"> </w:t>
      </w:r>
      <w:r w:rsidRPr="00E27443">
        <w:t>the</w:t>
      </w:r>
      <w:r w:rsidR="00C63F8F" w:rsidRPr="00E27443">
        <w:t xml:space="preserve"> </w:t>
      </w:r>
      <w:r w:rsidRPr="00E27443">
        <w:t>same</w:t>
      </w:r>
      <w:r w:rsidR="00C63F8F" w:rsidRPr="00E27443">
        <w:t xml:space="preserve"> </w:t>
      </w:r>
      <w:r w:rsidRPr="00E27443">
        <w:t>rules</w:t>
      </w:r>
      <w:r w:rsidR="00C63F8F" w:rsidRPr="00E27443">
        <w:t xml:space="preserve"> </w:t>
      </w:r>
      <w:r w:rsidRPr="00E27443">
        <w:t>apply</w:t>
      </w:r>
      <w:r w:rsidR="00C63F8F" w:rsidRPr="00E27443">
        <w:t xml:space="preserve"> </w:t>
      </w:r>
      <w:r w:rsidRPr="00E27443">
        <w:t>as</w:t>
      </w:r>
      <w:r w:rsidR="00C63F8F" w:rsidRPr="00E27443">
        <w:t xml:space="preserve"> </w:t>
      </w:r>
      <w:r w:rsidRPr="00E27443">
        <w:t>for</w:t>
      </w:r>
      <w:r w:rsidR="00C63F8F" w:rsidRPr="00E27443">
        <w:t xml:space="preserve"> </w:t>
      </w:r>
      <w:r w:rsidRPr="00E27443">
        <w:t>others.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new</w:t>
      </w:r>
      <w:r w:rsidR="00C63F8F" w:rsidRPr="00E27443">
        <w:t xml:space="preserve"> </w:t>
      </w:r>
      <w:r w:rsidRPr="00E27443">
        <w:t>Prison</w:t>
      </w:r>
      <w:r w:rsidR="00C63F8F" w:rsidRPr="00E27443">
        <w:t xml:space="preserve"> </w:t>
      </w:r>
      <w:r w:rsidRPr="00E27443">
        <w:t>and</w:t>
      </w:r>
      <w:r w:rsidR="00C63F8F" w:rsidRPr="00E27443">
        <w:t xml:space="preserve"> </w:t>
      </w:r>
      <w:r w:rsidRPr="00E27443">
        <w:t>remand</w:t>
      </w:r>
      <w:r w:rsidR="00C63F8F" w:rsidRPr="00E27443">
        <w:t xml:space="preserve"> </w:t>
      </w:r>
      <w:r w:rsidRPr="00E27443">
        <w:t>legislation,</w:t>
      </w:r>
      <w:r w:rsidR="004B01B2" w:rsidRPr="00E27443">
        <w:rPr>
          <w:rStyle w:val="FootnoteReference"/>
        </w:rPr>
        <w:footnoteReference w:id="62"/>
      </w:r>
      <w:r w:rsidR="00C63F8F" w:rsidRPr="00E27443">
        <w:t xml:space="preserve"> </w:t>
      </w:r>
      <w:r w:rsidRPr="00E27443">
        <w:t>which</w:t>
      </w:r>
      <w:r w:rsidR="00C63F8F" w:rsidRPr="00E27443">
        <w:t xml:space="preserve"> </w:t>
      </w:r>
      <w:r w:rsidRPr="00E27443">
        <w:t>will</w:t>
      </w:r>
      <w:r w:rsidR="00C63F8F" w:rsidRPr="00E27443">
        <w:t xml:space="preserve"> </w:t>
      </w:r>
      <w:r w:rsidRPr="00E27443">
        <w:t>enter</w:t>
      </w:r>
      <w:r w:rsidR="00C63F8F" w:rsidRPr="00E27443">
        <w:t xml:space="preserve"> </w:t>
      </w:r>
      <w:r w:rsidRPr="00E27443">
        <w:t>into</w:t>
      </w:r>
      <w:r w:rsidR="00C63F8F" w:rsidRPr="00E27443">
        <w:t xml:space="preserve"> </w:t>
      </w:r>
      <w:r w:rsidRPr="00E27443">
        <w:t>force</w:t>
      </w:r>
      <w:r w:rsidR="00C63F8F" w:rsidRPr="00E27443">
        <w:t xml:space="preserve"> </w:t>
      </w:r>
      <w:r w:rsidRPr="00E27443">
        <w:t>on</w:t>
      </w:r>
      <w:r w:rsidR="00C63F8F" w:rsidRPr="00E27443">
        <w:t xml:space="preserve"> </w:t>
      </w:r>
      <w:r w:rsidRPr="00E27443">
        <w:t>1</w:t>
      </w:r>
      <w:r w:rsidR="00C63F8F" w:rsidRPr="00E27443">
        <w:t xml:space="preserve"> </w:t>
      </w:r>
      <w:r w:rsidRPr="00E27443">
        <w:t>April</w:t>
      </w:r>
      <w:r w:rsidR="00C63F8F" w:rsidRPr="00E27443">
        <w:t xml:space="preserve"> </w:t>
      </w:r>
      <w:r w:rsidRPr="00E27443">
        <w:t>2011,</w:t>
      </w:r>
      <w:r w:rsidR="00C63F8F" w:rsidRPr="00E27443">
        <w:t xml:space="preserve"> </w:t>
      </w:r>
      <w:r w:rsidRPr="00E27443">
        <w:t>will</w:t>
      </w:r>
      <w:r w:rsidR="00C63F8F" w:rsidRPr="00E27443">
        <w:t xml:space="preserve"> </w:t>
      </w:r>
      <w:r w:rsidRPr="00E27443">
        <w:t>safeguard</w:t>
      </w:r>
      <w:r w:rsidR="00C63F8F" w:rsidRPr="00E27443">
        <w:t xml:space="preserve"> </w:t>
      </w:r>
      <w:r w:rsidRPr="00E27443">
        <w:t>each</w:t>
      </w:r>
      <w:r w:rsidR="00C63F8F" w:rsidRPr="00E27443">
        <w:t xml:space="preserve"> </w:t>
      </w:r>
      <w:r w:rsidRPr="00E27443">
        <w:t>individual</w:t>
      </w:r>
      <w:r w:rsidR="00C63F8F" w:rsidRPr="00E27443">
        <w:t>’</w:t>
      </w:r>
      <w:r w:rsidRPr="00E27443">
        <w:t>s</w:t>
      </w:r>
      <w:r w:rsidR="00C63F8F" w:rsidRPr="00E27443">
        <w:t xml:space="preserve"> </w:t>
      </w:r>
      <w:r w:rsidRPr="00E27443">
        <w:t>right</w:t>
      </w:r>
      <w:r w:rsidR="00C63F8F" w:rsidRPr="00E27443">
        <w:t xml:space="preserve"> </w:t>
      </w:r>
      <w:r w:rsidRPr="00E27443">
        <w:t>to</w:t>
      </w:r>
      <w:r w:rsidR="00C63F8F" w:rsidRPr="00E27443">
        <w:t xml:space="preserve"> </w:t>
      </w:r>
      <w:r w:rsidRPr="00E27443">
        <w:t>execution</w:t>
      </w:r>
      <w:r w:rsidR="00C63F8F" w:rsidRPr="00E27443">
        <w:t xml:space="preserve"> </w:t>
      </w:r>
      <w:r w:rsidRPr="00E27443">
        <w:t>of</w:t>
      </w:r>
      <w:r w:rsidR="00C63F8F" w:rsidRPr="00E27443">
        <w:t xml:space="preserve"> </w:t>
      </w:r>
      <w:r w:rsidRPr="00E27443">
        <w:t>the</w:t>
      </w:r>
      <w:r w:rsidR="00C63F8F" w:rsidRPr="00E27443">
        <w:t xml:space="preserve"> </w:t>
      </w:r>
      <w:r w:rsidRPr="00E27443">
        <w:t>sentence</w:t>
      </w:r>
      <w:r w:rsidR="00C63F8F" w:rsidRPr="00E27443">
        <w:t xml:space="preserve"> </w:t>
      </w:r>
      <w:r w:rsidRPr="00E27443">
        <w:t>that</w:t>
      </w:r>
      <w:r w:rsidR="00C63F8F" w:rsidRPr="00E27443">
        <w:t xml:space="preserve"> </w:t>
      </w:r>
      <w:r w:rsidRPr="00E27443">
        <w:t>is</w:t>
      </w:r>
      <w:r w:rsidR="00C63F8F" w:rsidRPr="00E27443">
        <w:t xml:space="preserve"> </w:t>
      </w:r>
      <w:r w:rsidRPr="00E27443">
        <w:t>individually</w:t>
      </w:r>
      <w:r w:rsidR="00C63F8F" w:rsidRPr="00E27443">
        <w:t xml:space="preserve"> </w:t>
      </w:r>
      <w:r w:rsidRPr="00E27443">
        <w:t>adapted</w:t>
      </w:r>
      <w:r w:rsidR="00C63F8F" w:rsidRPr="00E27443">
        <w:t xml:space="preserve"> </w:t>
      </w:r>
      <w:r w:rsidRPr="00E27443">
        <w:t>and</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due</w:t>
      </w:r>
      <w:r w:rsidR="00C63F8F" w:rsidRPr="00E27443">
        <w:t xml:space="preserve"> </w:t>
      </w:r>
      <w:r w:rsidRPr="00E27443">
        <w:t>process.</w:t>
      </w:r>
      <w:r w:rsidR="00C63F8F" w:rsidRPr="00E27443">
        <w:t xml:space="preserve"> </w:t>
      </w:r>
    </w:p>
    <w:p w:rsidR="00321ADA" w:rsidRPr="00E27443" w:rsidRDefault="00BC27CC" w:rsidP="00BC27CC">
      <w:pPr>
        <w:pStyle w:val="H1G"/>
      </w:pPr>
      <w:r w:rsidRPr="00E27443">
        <w:tab/>
      </w:r>
      <w:r w:rsidRPr="00E27443">
        <w:tab/>
      </w:r>
      <w:bookmarkStart w:id="15" w:name="_Toc290623299"/>
      <w:r w:rsidR="00321ADA" w:rsidRPr="00E27443">
        <w:t>Article</w:t>
      </w:r>
      <w:r w:rsidR="00C63F8F" w:rsidRPr="00E27443">
        <w:t xml:space="preserve"> </w:t>
      </w:r>
      <w:r w:rsidR="00321ADA" w:rsidRPr="00E27443">
        <w:t>15</w:t>
      </w:r>
      <w:r w:rsidR="00E75253">
        <w:t xml:space="preserve">: </w:t>
      </w:r>
      <w:r w:rsidR="00321ADA" w:rsidRPr="00E27443">
        <w:t>Freedom</w:t>
      </w:r>
      <w:r w:rsidR="00C63F8F" w:rsidRPr="00E27443">
        <w:t xml:space="preserve"> </w:t>
      </w:r>
      <w:r w:rsidR="00321ADA" w:rsidRPr="00E27443">
        <w:t>from</w:t>
      </w:r>
      <w:r w:rsidR="00C63F8F" w:rsidRPr="00E27443">
        <w:t xml:space="preserve"> </w:t>
      </w:r>
      <w:r w:rsidR="00321ADA" w:rsidRPr="00E27443">
        <w:t>torture</w:t>
      </w:r>
      <w:r w:rsidR="00C63F8F" w:rsidRPr="00E27443">
        <w:t xml:space="preserve"> </w:t>
      </w:r>
      <w:r w:rsidR="00321ADA" w:rsidRPr="00E27443">
        <w:t>or</w:t>
      </w:r>
      <w:r w:rsidR="00C63F8F" w:rsidRPr="00E27443">
        <w:t xml:space="preserve"> </w:t>
      </w:r>
      <w:r w:rsidR="00321ADA" w:rsidRPr="00E27443">
        <w:t>cruel,</w:t>
      </w:r>
      <w:r w:rsidR="00C63F8F" w:rsidRPr="00E27443">
        <w:t xml:space="preserve"> </w:t>
      </w:r>
      <w:r w:rsidR="00321ADA" w:rsidRPr="00E27443">
        <w:t>inhuman</w:t>
      </w:r>
      <w:r w:rsidR="00C63F8F" w:rsidRPr="00E27443">
        <w:t xml:space="preserve"> </w:t>
      </w:r>
      <w:r w:rsidR="00321ADA" w:rsidRPr="00E27443">
        <w:t>or</w:t>
      </w:r>
      <w:r w:rsidR="00C63F8F" w:rsidRPr="00E27443">
        <w:t xml:space="preserve"> </w:t>
      </w:r>
      <w:r w:rsidR="00321ADA" w:rsidRPr="00E27443">
        <w:t>degrading</w:t>
      </w:r>
      <w:r w:rsidR="00C63F8F" w:rsidRPr="00E27443">
        <w:t xml:space="preserve"> </w:t>
      </w:r>
      <w:r w:rsidR="00321ADA" w:rsidRPr="00E27443">
        <w:t>treatment</w:t>
      </w:r>
      <w:r w:rsidR="00C63F8F" w:rsidRPr="00E27443">
        <w:t xml:space="preserve"> </w:t>
      </w:r>
      <w:r w:rsidR="00321ADA" w:rsidRPr="00E27443">
        <w:t>or</w:t>
      </w:r>
      <w:r w:rsidR="00C63F8F" w:rsidRPr="00E27443">
        <w:t xml:space="preserve"> </w:t>
      </w:r>
      <w:r w:rsidR="00321ADA" w:rsidRPr="00E27443">
        <w:t>punishment</w:t>
      </w:r>
      <w:bookmarkEnd w:id="15"/>
    </w:p>
    <w:p w:rsidR="00321ADA" w:rsidRPr="00E27443" w:rsidRDefault="00321ADA" w:rsidP="00E75253">
      <w:pPr>
        <w:pStyle w:val="SingleTxtG"/>
        <w:numPr>
          <w:ilvl w:val="0"/>
          <w:numId w:val="20"/>
        </w:numPr>
        <w:tabs>
          <w:tab w:val="left" w:pos="1843"/>
        </w:tabs>
        <w:ind w:left="1134" w:firstLine="0"/>
      </w:pP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freedom</w:t>
      </w:r>
      <w:r w:rsidR="00C63F8F" w:rsidRPr="00E27443">
        <w:t xml:space="preserve"> </w:t>
      </w:r>
      <w:r w:rsidRPr="00E27443">
        <w:t>from</w:t>
      </w:r>
      <w:r w:rsidR="00C63F8F" w:rsidRPr="00E27443">
        <w:t xml:space="preserve"> </w:t>
      </w:r>
      <w:r w:rsidRPr="00E27443">
        <w:t>torture</w:t>
      </w:r>
      <w:r w:rsidR="00C63F8F" w:rsidRPr="00E27443">
        <w:t xml:space="preserve"> </w:t>
      </w:r>
      <w:r w:rsidRPr="00E27443">
        <w:t>or</w:t>
      </w:r>
      <w:r w:rsidR="00C63F8F" w:rsidRPr="00E27443">
        <w:t xml:space="preserve"> </w:t>
      </w:r>
      <w:r w:rsidRPr="00E27443">
        <w:t>cruel,</w:t>
      </w:r>
      <w:r w:rsidR="00C63F8F" w:rsidRPr="00E27443">
        <w:t xml:space="preserve"> </w:t>
      </w:r>
      <w:r w:rsidRPr="00E27443">
        <w:t>inhuman</w:t>
      </w:r>
      <w:r w:rsidR="00C63F8F" w:rsidRPr="00E27443">
        <w:t xml:space="preserve"> </w:t>
      </w:r>
      <w:r w:rsidRPr="00E27443">
        <w:t>or</w:t>
      </w:r>
      <w:r w:rsidR="00C63F8F" w:rsidRPr="00E27443">
        <w:t xml:space="preserve"> </w:t>
      </w:r>
      <w:r w:rsidRPr="00E27443">
        <w:t>degrading</w:t>
      </w:r>
      <w:r w:rsidR="00C63F8F" w:rsidRPr="00E27443">
        <w:t xml:space="preserve"> </w:t>
      </w:r>
      <w:r w:rsidRPr="00E27443">
        <w:t>treatment</w:t>
      </w:r>
      <w:r w:rsidR="00C63F8F" w:rsidRPr="00E27443">
        <w:t xml:space="preserve"> </w:t>
      </w:r>
      <w:r w:rsidRPr="00E27443">
        <w:t>or</w:t>
      </w:r>
      <w:r w:rsidR="00C63F8F" w:rsidRPr="00E27443">
        <w:t xml:space="preserve"> </w:t>
      </w:r>
      <w:r w:rsidRPr="00E27443">
        <w:t>punishment,</w:t>
      </w:r>
      <w:r w:rsidR="00C63F8F" w:rsidRPr="00E27443">
        <w:t xml:space="preserve"> </w:t>
      </w:r>
      <w:r w:rsidRPr="00E27443">
        <w:t>it</w:t>
      </w:r>
      <w:r w:rsidR="00C63F8F" w:rsidRPr="00E27443">
        <w:t xml:space="preserve"> </w:t>
      </w:r>
      <w:r w:rsidRPr="00E27443">
        <w:t>can</w:t>
      </w:r>
      <w:r w:rsidR="00C63F8F" w:rsidRPr="00E27443">
        <w:t xml:space="preserve"> </w:t>
      </w:r>
      <w:r w:rsidRPr="00E27443">
        <w:t>first</w:t>
      </w:r>
      <w:r w:rsidR="00C63F8F" w:rsidRPr="00E27443">
        <w:t xml:space="preserve"> </w:t>
      </w:r>
      <w:r w:rsidRPr="00E27443">
        <w:t>be</w:t>
      </w:r>
      <w:r w:rsidR="00C63F8F" w:rsidRPr="00E27443">
        <w:t xml:space="preserve"> </w:t>
      </w:r>
      <w:r w:rsidRPr="00E27443">
        <w:t>stated</w:t>
      </w:r>
      <w:r w:rsidR="00C63F8F" w:rsidRPr="00E27443">
        <w:t xml:space="preserve"> </w:t>
      </w:r>
      <w:r w:rsidRPr="00E27443">
        <w:t>that</w:t>
      </w:r>
      <w:r w:rsidR="00C63F8F" w:rsidRPr="00E27443">
        <w:t xml:space="preserve"> </w:t>
      </w:r>
      <w:r w:rsidRPr="00E27443">
        <w:t>the</w:t>
      </w:r>
      <w:r w:rsidR="00C63F8F" w:rsidRPr="00E27443">
        <w:t xml:space="preserve"> </w:t>
      </w:r>
      <w:r w:rsidRPr="00E27443">
        <w:t>Swedish</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prescribes</w:t>
      </w:r>
      <w:r w:rsidR="00C63F8F" w:rsidRPr="00E27443">
        <w:t xml:space="preserve"> </w:t>
      </w:r>
      <w:r w:rsidRPr="00E27443">
        <w:t>that</w:t>
      </w:r>
      <w:r w:rsidR="00C63F8F" w:rsidRPr="00E27443">
        <w:t xml:space="preserve"> </w:t>
      </w:r>
      <w:r w:rsidRPr="00E27443">
        <w:t>the</w:t>
      </w:r>
      <w:r w:rsidR="00C63F8F" w:rsidRPr="00E27443">
        <w:t xml:space="preserve"> </w:t>
      </w:r>
      <w:r w:rsidRPr="00E27443">
        <w:t>death</w:t>
      </w:r>
      <w:r w:rsidR="00C63F8F" w:rsidRPr="00E27443">
        <w:t xml:space="preserve"> </w:t>
      </w:r>
      <w:r w:rsidRPr="00E27443">
        <w:t>penalty</w:t>
      </w:r>
      <w:r w:rsidR="00C63F8F" w:rsidRPr="00E27443">
        <w:t xml:space="preserve"> </w:t>
      </w:r>
      <w:r w:rsidRPr="00E27443">
        <w:t>may</w:t>
      </w:r>
      <w:r w:rsidR="00C63F8F" w:rsidRPr="00E27443">
        <w:t xml:space="preserve"> </w:t>
      </w:r>
      <w:r w:rsidRPr="00E27443">
        <w:t>not</w:t>
      </w:r>
      <w:r w:rsidR="00C63F8F" w:rsidRPr="00E27443">
        <w:t xml:space="preserve"> </w:t>
      </w:r>
      <w:r w:rsidRPr="00E27443">
        <w:t>be</w:t>
      </w:r>
      <w:r w:rsidR="00C63F8F" w:rsidRPr="00E27443">
        <w:t xml:space="preserve"> </w:t>
      </w:r>
      <w:r w:rsidRPr="00E27443">
        <w:t>implemented</w:t>
      </w:r>
      <w:r w:rsidR="00C63F8F" w:rsidRPr="00E27443">
        <w:t xml:space="preserve"> </w:t>
      </w:r>
      <w:r w:rsidRPr="00E27443">
        <w:t>and</w:t>
      </w:r>
      <w:r w:rsidR="00C63F8F" w:rsidRPr="00E27443">
        <w:t xml:space="preserve"> </w:t>
      </w:r>
      <w:r w:rsidRPr="00E27443">
        <w:t>that</w:t>
      </w:r>
      <w:r w:rsidR="00C63F8F" w:rsidRPr="00E27443">
        <w:t xml:space="preserve"> </w:t>
      </w:r>
      <w:r w:rsidRPr="00E27443">
        <w:t>all</w:t>
      </w:r>
      <w:r w:rsidR="00C63F8F" w:rsidRPr="00E27443">
        <w:t xml:space="preserve"> </w:t>
      </w:r>
      <w:r w:rsidRPr="00E27443">
        <w:t>citizens</w:t>
      </w:r>
      <w:r w:rsidR="00C63F8F" w:rsidRPr="00E27443">
        <w:t xml:space="preserve"> </w:t>
      </w:r>
      <w:r w:rsidRPr="00E27443">
        <w:t>are</w:t>
      </w:r>
      <w:r w:rsidR="00C63F8F" w:rsidRPr="00E27443">
        <w:t xml:space="preserve"> </w:t>
      </w:r>
      <w:r w:rsidRPr="00E27443">
        <w:t>protected</w:t>
      </w:r>
      <w:r w:rsidR="00C63F8F" w:rsidRPr="00E27443">
        <w:t xml:space="preserve"> </w:t>
      </w:r>
      <w:r w:rsidRPr="00E27443">
        <w:t>against</w:t>
      </w:r>
      <w:r w:rsidR="00C63F8F" w:rsidRPr="00E27443">
        <w:t xml:space="preserve"> </w:t>
      </w:r>
      <w:r w:rsidRPr="00E27443">
        <w:t>corporal</w:t>
      </w:r>
      <w:r w:rsidR="00C63F8F" w:rsidRPr="00E27443">
        <w:t xml:space="preserve"> </w:t>
      </w:r>
      <w:r w:rsidRPr="00E27443">
        <w:t>punishment.</w:t>
      </w:r>
      <w:r w:rsidR="00C63F8F" w:rsidRPr="00E27443">
        <w:t xml:space="preserve"> </w:t>
      </w:r>
      <w:r w:rsidRPr="00E27443">
        <w:t>Citizens</w:t>
      </w:r>
      <w:r w:rsidR="00C63F8F" w:rsidRPr="00E27443">
        <w:t xml:space="preserve"> </w:t>
      </w:r>
      <w:r w:rsidRPr="00E27443">
        <w:t>are</w:t>
      </w:r>
      <w:r w:rsidR="00C63F8F" w:rsidRPr="00E27443">
        <w:t xml:space="preserve"> </w:t>
      </w:r>
      <w:r w:rsidRPr="00E27443">
        <w:t>also</w:t>
      </w:r>
      <w:r w:rsidR="00C63F8F" w:rsidRPr="00E27443">
        <w:t xml:space="preserve"> </w:t>
      </w:r>
      <w:r w:rsidRPr="00E27443">
        <w:t>protected</w:t>
      </w:r>
      <w:r w:rsidR="00C63F8F" w:rsidRPr="00E27443">
        <w:t xml:space="preserve"> </w:t>
      </w:r>
      <w:r w:rsidRPr="00E27443">
        <w:t>against</w:t>
      </w:r>
      <w:r w:rsidR="00C63F8F" w:rsidRPr="00E27443">
        <w:t xml:space="preserve"> </w:t>
      </w:r>
      <w:r w:rsidRPr="00E27443">
        <w:t>torture</w:t>
      </w:r>
      <w:r w:rsidR="00C63F8F" w:rsidRPr="00E27443">
        <w:t xml:space="preserve"> </w:t>
      </w:r>
      <w:r w:rsidRPr="00E27443">
        <w:t>and</w:t>
      </w:r>
      <w:r w:rsidR="00C63F8F" w:rsidRPr="00E27443">
        <w:t xml:space="preserve"> </w:t>
      </w:r>
      <w:r w:rsidRPr="00E27443">
        <w:t>medical</w:t>
      </w:r>
      <w:r w:rsidR="00C63F8F" w:rsidRPr="00E27443">
        <w:t xml:space="preserve"> </w:t>
      </w:r>
      <w:r w:rsidRPr="00E27443">
        <w:t>actions</w:t>
      </w:r>
      <w:r w:rsidR="00C63F8F" w:rsidRPr="00E27443">
        <w:t xml:space="preserve"> </w:t>
      </w:r>
      <w:r w:rsidRPr="00E27443">
        <w:t>intended</w:t>
      </w:r>
      <w:r w:rsidR="00C63F8F" w:rsidRPr="00E27443">
        <w:t xml:space="preserve"> </w:t>
      </w:r>
      <w:r w:rsidRPr="00E27443">
        <w:t>to</w:t>
      </w:r>
      <w:r w:rsidR="00C63F8F" w:rsidRPr="00E27443">
        <w:t xml:space="preserve"> </w:t>
      </w:r>
      <w:r w:rsidRPr="00E27443">
        <w:t>compel</w:t>
      </w:r>
      <w:r w:rsidR="00C63F8F" w:rsidRPr="00E27443">
        <w:t xml:space="preserve"> </w:t>
      </w:r>
      <w:r w:rsidRPr="00E27443">
        <w:t>or</w:t>
      </w:r>
      <w:r w:rsidR="00C63F8F" w:rsidRPr="00E27443">
        <w:t xml:space="preserve"> </w:t>
      </w:r>
      <w:r w:rsidRPr="00E27443">
        <w:t>prevent</w:t>
      </w:r>
      <w:r w:rsidR="00C63F8F" w:rsidRPr="00E27443">
        <w:t xml:space="preserve"> </w:t>
      </w:r>
      <w:r w:rsidRPr="00E27443">
        <w:t>utterances.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all</w:t>
      </w:r>
      <w:r w:rsidR="00C63F8F" w:rsidRPr="00E27443">
        <w:t xml:space="preserve"> </w:t>
      </w:r>
      <w:r w:rsidRPr="00E27443">
        <w:t>citizens</w:t>
      </w:r>
      <w:r w:rsidR="00C63F8F" w:rsidRPr="00E27443">
        <w:t xml:space="preserve"> </w:t>
      </w:r>
      <w:r w:rsidRPr="00E27443">
        <w:t>are</w:t>
      </w:r>
      <w:r w:rsidR="00C63F8F" w:rsidRPr="00E27443">
        <w:t xml:space="preserve"> </w:t>
      </w:r>
      <w:r w:rsidRPr="00E27443">
        <w:t>also,</w:t>
      </w:r>
      <w:r w:rsidR="00C63F8F" w:rsidRPr="00E27443">
        <w:t xml:space="preserve"> </w:t>
      </w:r>
      <w:r w:rsidRPr="00E27443">
        <w:t>in</w:t>
      </w:r>
      <w:r w:rsidR="00C63F8F" w:rsidRPr="00E27443">
        <w:t xml:space="preserve"> </w:t>
      </w:r>
      <w:r w:rsidRPr="00E27443">
        <w:t>respect</w:t>
      </w:r>
      <w:r w:rsidR="00C63F8F" w:rsidRPr="00E27443">
        <w:t xml:space="preserve"> </w:t>
      </w:r>
      <w:r w:rsidRPr="00E27443">
        <w:t>of</w:t>
      </w:r>
      <w:r w:rsidR="00C63F8F" w:rsidRPr="00E27443">
        <w:t xml:space="preserve"> </w:t>
      </w:r>
      <w:r w:rsidRPr="00E27443">
        <w:t>the</w:t>
      </w:r>
      <w:r w:rsidR="00C63F8F" w:rsidRPr="00E27443">
        <w:t xml:space="preserve"> </w:t>
      </w:r>
      <w:r w:rsidRPr="00E27443">
        <w:t>community</w:t>
      </w:r>
      <w:r w:rsidR="00C63F8F" w:rsidRPr="00E27443">
        <w:t xml:space="preserve"> </w:t>
      </w:r>
      <w:r w:rsidRPr="00E27443">
        <w:t>at</w:t>
      </w:r>
      <w:r w:rsidR="00C63F8F" w:rsidRPr="00E27443">
        <w:t xml:space="preserve"> </w:t>
      </w:r>
      <w:r w:rsidRPr="00E27443">
        <w:t>large,</w:t>
      </w:r>
      <w:r w:rsidR="00C63F8F" w:rsidRPr="00E27443">
        <w:t xml:space="preserve"> </w:t>
      </w:r>
      <w:r w:rsidRPr="00E27443">
        <w:t>protected</w:t>
      </w:r>
      <w:r w:rsidR="00C63F8F" w:rsidRPr="00E27443">
        <w:t xml:space="preserve"> </w:t>
      </w:r>
      <w:r w:rsidRPr="00E27443">
        <w:t>against</w:t>
      </w:r>
      <w:r w:rsidR="00C63F8F" w:rsidRPr="00E27443">
        <w:t xml:space="preserve"> </w:t>
      </w:r>
      <w:r w:rsidRPr="00E27443">
        <w:t>physical</w:t>
      </w:r>
      <w:r w:rsidR="00C63F8F" w:rsidRPr="00E27443">
        <w:t xml:space="preserve"> </w:t>
      </w:r>
      <w:r w:rsidRPr="00E27443">
        <w:t>interventions</w:t>
      </w:r>
      <w:r w:rsidR="00C63F8F" w:rsidRPr="00E27443">
        <w:t xml:space="preserve"> </w:t>
      </w:r>
      <w:r w:rsidRPr="00E27443">
        <w:t>in</w:t>
      </w:r>
      <w:r w:rsidR="00C63F8F" w:rsidRPr="00E27443">
        <w:t xml:space="preserve"> </w:t>
      </w:r>
      <w:r w:rsidRPr="00E27443">
        <w:t>other</w:t>
      </w:r>
      <w:r w:rsidR="00C63F8F" w:rsidRPr="00E27443">
        <w:t xml:space="preserve"> </w:t>
      </w:r>
      <w:r w:rsidRPr="00E27443">
        <w:t>cases</w:t>
      </w:r>
      <w:r w:rsidR="00C63F8F" w:rsidRPr="00E27443">
        <w:t xml:space="preserve"> </w:t>
      </w:r>
      <w:r w:rsidRPr="00E27443">
        <w:t>and</w:t>
      </w:r>
      <w:r w:rsidR="00C63F8F" w:rsidRPr="00E27443">
        <w:t xml:space="preserve"> </w:t>
      </w:r>
      <w:r w:rsidRPr="00E27443">
        <w:t>protected</w:t>
      </w:r>
      <w:r w:rsidR="00C63F8F" w:rsidRPr="00E27443">
        <w:t xml:space="preserve"> </w:t>
      </w:r>
      <w:r w:rsidRPr="00E27443">
        <w:t>against</w:t>
      </w:r>
      <w:r w:rsidR="00C63F8F" w:rsidRPr="00E27443">
        <w:t xml:space="preserve"> </w:t>
      </w:r>
      <w:r w:rsidRPr="00E27443">
        <w:t>the</w:t>
      </w:r>
      <w:r w:rsidR="00C63F8F" w:rsidRPr="00E27443">
        <w:t xml:space="preserve"> </w:t>
      </w:r>
      <w:r w:rsidRPr="00E27443">
        <w:t>deprivation</w:t>
      </w:r>
      <w:r w:rsidR="00C63F8F" w:rsidRPr="00E27443">
        <w:t xml:space="preserve"> </w:t>
      </w:r>
      <w:r w:rsidRPr="00E27443">
        <w:t>of</w:t>
      </w:r>
      <w:r w:rsidR="00C63F8F" w:rsidRPr="00E27443">
        <w:t xml:space="preserve"> </w:t>
      </w:r>
      <w:r w:rsidRPr="00E27443">
        <w:t>liberty.</w:t>
      </w:r>
      <w:r w:rsidR="00C63F8F" w:rsidRPr="00E27443">
        <w:t xml:space="preserve"> </w:t>
      </w:r>
    </w:p>
    <w:p w:rsidR="00321ADA" w:rsidRPr="00E27443" w:rsidRDefault="00321ADA" w:rsidP="00E75253">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signed</w:t>
      </w:r>
      <w:r w:rsidR="00C63F8F" w:rsidRPr="00E27443">
        <w:t xml:space="preserve"> </w:t>
      </w:r>
      <w:r w:rsidRPr="00E27443">
        <w:t>up</w:t>
      </w:r>
      <w:r w:rsidR="00C63F8F" w:rsidRPr="00E27443">
        <w:t xml:space="preserve"> </w:t>
      </w:r>
      <w:r w:rsidRPr="00E27443">
        <w:t>to</w:t>
      </w:r>
      <w:r w:rsidR="00C63F8F" w:rsidRPr="00E27443">
        <w:t xml:space="preserve"> </w:t>
      </w:r>
      <w:r w:rsidRPr="00E27443">
        <w:t>numerous</w:t>
      </w:r>
      <w:r w:rsidR="00C63F8F" w:rsidRPr="00E27443">
        <w:t xml:space="preserve"> </w:t>
      </w:r>
      <w:r w:rsidRPr="00E27443">
        <w:t>conventions</w:t>
      </w:r>
      <w:r w:rsidR="00C63F8F" w:rsidRPr="00E27443">
        <w:t xml:space="preserve"> </w:t>
      </w:r>
      <w:r w:rsidRPr="00E27443">
        <w:t>for</w:t>
      </w:r>
      <w:r w:rsidR="00C63F8F" w:rsidRPr="00E27443">
        <w:t xml:space="preserve"> </w:t>
      </w:r>
      <w:r w:rsidRPr="00E27443">
        <w:t>the</w:t>
      </w:r>
      <w:r w:rsidR="00C63F8F" w:rsidRPr="00E27443">
        <w:t xml:space="preserve"> </w:t>
      </w:r>
      <w:r w:rsidRPr="00E27443">
        <w:t>prevention</w:t>
      </w:r>
      <w:r w:rsidR="00C63F8F" w:rsidRPr="00E27443">
        <w:t xml:space="preserve"> </w:t>
      </w:r>
      <w:r w:rsidRPr="00E27443">
        <w:t>of</w:t>
      </w:r>
      <w:r w:rsidR="00C63F8F" w:rsidRPr="00E27443">
        <w:t xml:space="preserve"> </w:t>
      </w:r>
      <w:r w:rsidRPr="00E27443">
        <w:t>torture</w:t>
      </w:r>
      <w:r w:rsidR="00C63F8F" w:rsidRPr="00E27443">
        <w:t xml:space="preserve"> </w:t>
      </w:r>
      <w:r w:rsidRPr="00E27443">
        <w:t>and</w:t>
      </w:r>
      <w:r w:rsidR="00C63F8F" w:rsidRPr="00E27443">
        <w:t xml:space="preserve"> </w:t>
      </w:r>
      <w:r w:rsidRPr="00E27443">
        <w:t>other</w:t>
      </w:r>
      <w:r w:rsidR="00C63F8F" w:rsidRPr="00E27443">
        <w:t xml:space="preserve"> </w:t>
      </w:r>
      <w:r w:rsidRPr="00E27443">
        <w:t>cruel,</w:t>
      </w:r>
      <w:r w:rsidR="00C63F8F" w:rsidRPr="00E27443">
        <w:t xml:space="preserve"> </w:t>
      </w:r>
      <w:r w:rsidRPr="00E27443">
        <w:t>inhuman</w:t>
      </w:r>
      <w:r w:rsidR="00C63F8F" w:rsidRPr="00E27443">
        <w:t xml:space="preserve"> </w:t>
      </w:r>
      <w:r w:rsidRPr="00E27443">
        <w:t>or</w:t>
      </w:r>
      <w:r w:rsidR="00C63F8F" w:rsidRPr="00E27443">
        <w:t xml:space="preserve"> </w:t>
      </w:r>
      <w:r w:rsidRPr="00E27443">
        <w:t>degrading</w:t>
      </w:r>
      <w:r w:rsidR="00C63F8F" w:rsidRPr="00E27443">
        <w:t xml:space="preserve"> </w:t>
      </w:r>
      <w:r w:rsidRPr="00E27443">
        <w:t>treatment</w:t>
      </w:r>
      <w:r w:rsidR="00C63F8F" w:rsidRPr="00E27443">
        <w:t xml:space="preserve"> </w:t>
      </w:r>
      <w:r w:rsidRPr="00E27443">
        <w:t>or</w:t>
      </w:r>
      <w:r w:rsidR="00C63F8F" w:rsidRPr="00E27443">
        <w:t xml:space="preserve"> </w:t>
      </w:r>
      <w:r w:rsidRPr="00E27443">
        <w:t>punishment,</w:t>
      </w:r>
      <w:r w:rsidR="00C63F8F" w:rsidRPr="00E27443">
        <w:t xml:space="preserve"> </w:t>
      </w:r>
      <w:r w:rsidRPr="00E27443">
        <w:t>both</w:t>
      </w:r>
      <w:r w:rsidR="00C63F8F" w:rsidRPr="00E27443">
        <w:t xml:space="preserve"> </w:t>
      </w:r>
      <w:r w:rsidRPr="00E27443">
        <w:t>at</w:t>
      </w:r>
      <w:r w:rsidR="00C63F8F" w:rsidRPr="00E27443">
        <w:t xml:space="preserve"> </w:t>
      </w:r>
      <w:r w:rsidRPr="00E27443">
        <w:t>UN</w:t>
      </w:r>
      <w:r w:rsidR="00C63F8F" w:rsidRPr="00E27443">
        <w:t xml:space="preserve"> </w:t>
      </w:r>
      <w:r w:rsidRPr="00E27443">
        <w:t>level</w:t>
      </w:r>
      <w:r w:rsidR="00C63F8F" w:rsidRPr="00E27443">
        <w:t xml:space="preserve"> </w:t>
      </w:r>
      <w:r w:rsidRPr="00E27443">
        <w:t>and</w:t>
      </w:r>
      <w:r w:rsidR="00C63F8F" w:rsidRPr="00E27443">
        <w:t xml:space="preserve"> </w:t>
      </w:r>
      <w:r w:rsidRPr="00E27443">
        <w:t>at</w:t>
      </w:r>
      <w:r w:rsidR="00C63F8F" w:rsidRPr="00E27443">
        <w:t xml:space="preserve"> </w:t>
      </w:r>
      <w:r w:rsidRPr="00E27443">
        <w:t>regional</w:t>
      </w:r>
      <w:r w:rsidR="00C63F8F" w:rsidRPr="00E27443">
        <w:t xml:space="preserve"> </w:t>
      </w:r>
      <w:r w:rsidRPr="00E27443">
        <w:t>level.</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conducts</w:t>
      </w:r>
      <w:r w:rsidR="00C63F8F" w:rsidRPr="00E27443">
        <w:t xml:space="preserve"> </w:t>
      </w:r>
      <w:r w:rsidRPr="00E27443">
        <w:t>a</w:t>
      </w:r>
      <w:r w:rsidR="00C63F8F" w:rsidRPr="00E27443">
        <w:t xml:space="preserve"> </w:t>
      </w:r>
      <w:r w:rsidRPr="00E27443">
        <w:t>close</w:t>
      </w:r>
      <w:r w:rsidR="00C63F8F" w:rsidRPr="00E27443">
        <w:t xml:space="preserve"> </w:t>
      </w:r>
      <w:r w:rsidRPr="00E27443">
        <w:t>dialogue</w:t>
      </w:r>
      <w:r w:rsidR="00C63F8F" w:rsidRPr="00E27443">
        <w:t xml:space="preserve"> </w:t>
      </w:r>
      <w:r w:rsidRPr="00E27443">
        <w:t>with</w:t>
      </w:r>
      <w:r w:rsidR="00C63F8F" w:rsidRPr="00E27443">
        <w:t xml:space="preserve"> </w:t>
      </w:r>
      <w:r w:rsidRPr="00E27443">
        <w:t>three</w:t>
      </w:r>
      <w:r w:rsidR="00C63F8F" w:rsidRPr="00E27443">
        <w:t xml:space="preserve"> </w:t>
      </w:r>
      <w:r w:rsidRPr="00E27443">
        <w:t>expert</w:t>
      </w:r>
      <w:r w:rsidR="00C63F8F" w:rsidRPr="00E27443">
        <w:t xml:space="preserve"> </w:t>
      </w:r>
      <w:r w:rsidRPr="00E27443">
        <w:t>committees</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these</w:t>
      </w:r>
      <w:r w:rsidR="00C63F8F" w:rsidRPr="00E27443">
        <w:t xml:space="preserve"> </w:t>
      </w:r>
      <w:r w:rsidRPr="00E27443">
        <w:t>conventions.</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European</w:t>
      </w:r>
      <w:r w:rsidR="00C63F8F" w:rsidRPr="00E27443">
        <w:t xml:space="preserve"> </w:t>
      </w:r>
      <w:r w:rsidRPr="00E27443">
        <w:t>Convention</w:t>
      </w:r>
      <w:r w:rsidR="00C63F8F" w:rsidRPr="00E27443">
        <w:t xml:space="preserve"> </w:t>
      </w:r>
      <w:r w:rsidRPr="00E27443">
        <w:t>on</w:t>
      </w:r>
      <w:r w:rsidR="00C63F8F" w:rsidRPr="00E27443">
        <w:t xml:space="preserve"> </w:t>
      </w:r>
      <w:r w:rsidRPr="00E27443">
        <w:t>Human</w:t>
      </w:r>
      <w:r w:rsidR="00C63F8F" w:rsidRPr="00E27443">
        <w:t xml:space="preserve"> </w:t>
      </w:r>
      <w:r w:rsidRPr="00E27443">
        <w:t>Rights</w:t>
      </w:r>
      <w:r w:rsidR="00C63F8F" w:rsidRPr="00E27443">
        <w:t xml:space="preserve"> — </w:t>
      </w:r>
      <w:r w:rsidRPr="00E27443">
        <w:t>which</w:t>
      </w:r>
      <w:r w:rsidR="00C63F8F" w:rsidRPr="00E27443">
        <w:t xml:space="preserve"> </w:t>
      </w:r>
      <w:r w:rsidRPr="00E27443">
        <w:t>applies</w:t>
      </w:r>
      <w:r w:rsidR="00C63F8F" w:rsidRPr="00E27443">
        <w:t xml:space="preserve"> </w:t>
      </w:r>
      <w:r w:rsidRPr="00E27443">
        <w:t>as</w:t>
      </w:r>
      <w:r w:rsidR="00C63F8F" w:rsidRPr="00E27443">
        <w:t xml:space="preserve"> </w:t>
      </w:r>
      <w:r w:rsidRPr="00E27443">
        <w:t>law</w:t>
      </w:r>
      <w:r w:rsidR="00C63F8F" w:rsidRPr="00E27443">
        <w:t xml:space="preserve"> </w:t>
      </w:r>
      <w:r w:rsidRPr="00E27443">
        <w:t>in</w:t>
      </w:r>
      <w:r w:rsidR="00C63F8F" w:rsidRPr="00E27443">
        <w:t xml:space="preserve"> </w:t>
      </w:r>
      <w:r w:rsidRPr="00E27443">
        <w:t>Sweden</w:t>
      </w:r>
      <w:r w:rsidR="00C63F8F" w:rsidRPr="00E27443">
        <w:t xml:space="preserve"> — </w:t>
      </w:r>
      <w:r w:rsidRPr="00E27443">
        <w:t>contains</w:t>
      </w:r>
      <w:r w:rsidR="00C63F8F" w:rsidRPr="00E27443">
        <w:t xml:space="preserve"> </w:t>
      </w:r>
      <w:r w:rsidRPr="00E27443">
        <w:t>a</w:t>
      </w:r>
      <w:r w:rsidR="00C63F8F" w:rsidRPr="00E27443">
        <w:t xml:space="preserve"> </w:t>
      </w:r>
      <w:r w:rsidRPr="00E27443">
        <w:t>series</w:t>
      </w:r>
      <w:r w:rsidR="00C63F8F" w:rsidRPr="00E27443">
        <w:t xml:space="preserve"> </w:t>
      </w:r>
      <w:r w:rsidRPr="00E27443">
        <w:t>of</w:t>
      </w:r>
      <w:r w:rsidR="00C63F8F" w:rsidRPr="00E27443">
        <w:t xml:space="preserve"> </w:t>
      </w:r>
      <w:r w:rsidRPr="00E27443">
        <w:t>provisions</w:t>
      </w:r>
      <w:r w:rsidR="00C63F8F" w:rsidRPr="00E27443">
        <w:t xml:space="preserve"> </w:t>
      </w:r>
      <w:r w:rsidRPr="00E27443">
        <w:t>in</w:t>
      </w:r>
      <w:r w:rsidR="00C63F8F" w:rsidRPr="00E27443">
        <w:t xml:space="preserve"> </w:t>
      </w:r>
      <w:r w:rsidRPr="00E27443">
        <w:t>Articles</w:t>
      </w:r>
      <w:r w:rsidR="00C63F8F" w:rsidRPr="00E27443">
        <w:t xml:space="preserve"> </w:t>
      </w:r>
      <w:r w:rsidRPr="00E27443">
        <w:t>2–5</w:t>
      </w:r>
      <w:r w:rsidR="00C63F8F" w:rsidRPr="00E27443">
        <w:t xml:space="preserve"> </w:t>
      </w:r>
      <w:r w:rsidRPr="00E27443">
        <w:t>regarding</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life,</w:t>
      </w:r>
      <w:r w:rsidR="00C63F8F" w:rsidRPr="00E27443">
        <w:t xml:space="preserve"> </w:t>
      </w:r>
      <w:r w:rsidRPr="00E27443">
        <w:t>the</w:t>
      </w:r>
      <w:r w:rsidR="00C63F8F" w:rsidRPr="00E27443">
        <w:t xml:space="preserve"> </w:t>
      </w:r>
      <w:r w:rsidRPr="00E27443">
        <w:t>prohibition</w:t>
      </w:r>
      <w:r w:rsidR="00C63F8F" w:rsidRPr="00E27443">
        <w:t xml:space="preserve"> </w:t>
      </w:r>
      <w:r w:rsidRPr="00E27443">
        <w:t>of</w:t>
      </w:r>
      <w:r w:rsidR="00C63F8F" w:rsidRPr="00E27443">
        <w:t xml:space="preserve"> </w:t>
      </w:r>
      <w:r w:rsidRPr="00E27443">
        <w:t>torture,</w:t>
      </w:r>
      <w:r w:rsidR="00C63F8F" w:rsidRPr="00E27443">
        <w:t xml:space="preserve"> </w:t>
      </w:r>
      <w:r w:rsidRPr="00E27443">
        <w:t>slavery</w:t>
      </w:r>
      <w:r w:rsidR="00C63F8F" w:rsidRPr="00E27443">
        <w:t xml:space="preserve"> </w:t>
      </w:r>
      <w:r w:rsidRPr="00E27443">
        <w:t>and</w:t>
      </w:r>
      <w:r w:rsidR="00C63F8F" w:rsidRPr="00E27443">
        <w:t xml:space="preserve"> </w:t>
      </w:r>
      <w:r w:rsidRPr="00E27443">
        <w:t>forced</w:t>
      </w:r>
      <w:r w:rsidR="00C63F8F" w:rsidRPr="00E27443">
        <w:t xml:space="preserve"> </w:t>
      </w:r>
      <w:r w:rsidRPr="00E27443">
        <w:t>labour,</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liberty</w:t>
      </w:r>
      <w:r w:rsidR="00C63F8F" w:rsidRPr="00E27443">
        <w:t xml:space="preserve"> </w:t>
      </w:r>
      <w:r w:rsidRPr="00E27443">
        <w:t>and</w:t>
      </w:r>
      <w:r w:rsidR="00C63F8F" w:rsidRPr="00E27443">
        <w:t xml:space="preserve"> </w:t>
      </w:r>
      <w:r w:rsidRPr="00E27443">
        <w:t>security.</w:t>
      </w:r>
      <w:r w:rsidR="00C63F8F" w:rsidRPr="00E27443">
        <w:t xml:space="preserve"> </w:t>
      </w:r>
    </w:p>
    <w:p w:rsidR="00321ADA" w:rsidRPr="00E27443" w:rsidRDefault="00BC27CC" w:rsidP="00BC27CC">
      <w:pPr>
        <w:pStyle w:val="H1G"/>
      </w:pPr>
      <w:r w:rsidRPr="00E27443">
        <w:tab/>
      </w:r>
      <w:r w:rsidRPr="00E27443">
        <w:tab/>
      </w:r>
      <w:bookmarkStart w:id="16" w:name="_Toc290623300"/>
      <w:r w:rsidR="00321ADA" w:rsidRPr="00E27443">
        <w:t>Article</w:t>
      </w:r>
      <w:r w:rsidR="00C63F8F" w:rsidRPr="00E27443">
        <w:t xml:space="preserve"> </w:t>
      </w:r>
      <w:r w:rsidR="00321ADA" w:rsidRPr="00E27443">
        <w:t>16</w:t>
      </w:r>
      <w:r w:rsidR="00E75253">
        <w:t>:</w:t>
      </w:r>
      <w:r w:rsidR="00C63F8F" w:rsidRPr="00E27443">
        <w:t xml:space="preserve"> </w:t>
      </w:r>
      <w:r w:rsidR="00321ADA" w:rsidRPr="00E27443">
        <w:t>Freedom</w:t>
      </w:r>
      <w:r w:rsidR="00C63F8F" w:rsidRPr="00E27443">
        <w:t xml:space="preserve"> </w:t>
      </w:r>
      <w:r w:rsidR="00321ADA" w:rsidRPr="00E27443">
        <w:t>from</w:t>
      </w:r>
      <w:r w:rsidR="00C63F8F" w:rsidRPr="00E27443">
        <w:t xml:space="preserve"> </w:t>
      </w:r>
      <w:r w:rsidR="00321ADA" w:rsidRPr="00E27443">
        <w:t>exploitation,</w:t>
      </w:r>
      <w:r w:rsidR="00C63F8F" w:rsidRPr="00E27443">
        <w:t xml:space="preserve"> </w:t>
      </w:r>
      <w:r w:rsidR="00321ADA" w:rsidRPr="00E27443">
        <w:t>violence</w:t>
      </w:r>
      <w:r w:rsidR="00C63F8F" w:rsidRPr="00E27443">
        <w:t xml:space="preserve"> </w:t>
      </w:r>
      <w:r w:rsidR="00321ADA" w:rsidRPr="00E27443">
        <w:t>and</w:t>
      </w:r>
      <w:r w:rsidR="00C63F8F" w:rsidRPr="00E27443">
        <w:t xml:space="preserve"> </w:t>
      </w:r>
      <w:r w:rsidR="00321ADA" w:rsidRPr="00E27443">
        <w:t>abuse</w:t>
      </w:r>
      <w:bookmarkEnd w:id="16"/>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called</w:t>
      </w:r>
      <w:r w:rsidR="00C63F8F" w:rsidRPr="00E27443">
        <w:t xml:space="preserve"> </w:t>
      </w:r>
      <w:r w:rsidRPr="00E27443">
        <w:t>attention</w:t>
      </w:r>
      <w:r w:rsidR="00C63F8F" w:rsidRPr="00E27443">
        <w:t xml:space="preserve"> </w:t>
      </w:r>
      <w:r w:rsidRPr="00E27443">
        <w:t>to</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in</w:t>
      </w:r>
      <w:r w:rsidR="00C63F8F" w:rsidRPr="00E27443">
        <w:t xml:space="preserve"> </w:t>
      </w:r>
      <w:r w:rsidRPr="00E27443">
        <w:t>a</w:t>
      </w:r>
      <w:r w:rsidR="00C63F8F" w:rsidRPr="00E27443">
        <w:t xml:space="preserve"> </w:t>
      </w:r>
      <w:r w:rsidRPr="00E27443">
        <w:t>particularly</w:t>
      </w:r>
      <w:r w:rsidR="00C63F8F" w:rsidRPr="00E27443">
        <w:t xml:space="preserve"> </w:t>
      </w:r>
      <w:r w:rsidRPr="00E27443">
        <w:t>vulnerable</w:t>
      </w:r>
      <w:r w:rsidR="00C63F8F" w:rsidRPr="00E27443">
        <w:t xml:space="preserve"> </w:t>
      </w:r>
      <w:r w:rsidRPr="00E27443">
        <w:t>situation</w:t>
      </w:r>
      <w:r w:rsidR="00C63F8F" w:rsidRPr="00E27443">
        <w:t xml:space="preserve"> </w:t>
      </w: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E27443">
        <w:t>being</w:t>
      </w:r>
      <w:r w:rsidR="00C63F8F" w:rsidRPr="00E27443">
        <w:t xml:space="preserve"> </w:t>
      </w:r>
      <w:r w:rsidRPr="00E27443">
        <w:t>subjected</w:t>
      </w:r>
      <w:r w:rsidR="00C63F8F" w:rsidRPr="00E27443">
        <w:t xml:space="preserve"> </w:t>
      </w:r>
      <w:r w:rsidRPr="00E27443">
        <w:t>to</w:t>
      </w:r>
      <w:r w:rsidR="00C63F8F" w:rsidRPr="00E27443">
        <w:t xml:space="preserve"> </w:t>
      </w:r>
      <w:r w:rsidRPr="00E27443">
        <w:t>violence</w:t>
      </w:r>
      <w:r w:rsidR="00C63F8F" w:rsidRPr="00E27443">
        <w:t xml:space="preserve"> </w:t>
      </w:r>
      <w:r w:rsidRPr="00E27443">
        <w:t>and</w:t>
      </w:r>
      <w:r w:rsidR="00C63F8F" w:rsidRPr="00E27443">
        <w:t xml:space="preserve"> </w:t>
      </w:r>
      <w:r w:rsidRPr="00E27443">
        <w:t>abuse.</w:t>
      </w:r>
      <w:r w:rsidR="00C63F8F" w:rsidRPr="00E27443">
        <w:t xml:space="preserve"> </w:t>
      </w:r>
      <w:r w:rsidRPr="00E27443">
        <w:t>In</w:t>
      </w:r>
      <w:r w:rsidR="00C63F8F" w:rsidRPr="00E27443">
        <w:t xml:space="preserve"> </w:t>
      </w:r>
      <w:r w:rsidRPr="00E27443">
        <w:t>its</w:t>
      </w:r>
      <w:r w:rsidR="00C63F8F" w:rsidRPr="00E27443">
        <w:t xml:space="preserve"> </w:t>
      </w:r>
      <w:r w:rsidRPr="00E27443">
        <w:t>supervision</w:t>
      </w:r>
      <w:r w:rsidR="00C63F8F" w:rsidRPr="00E27443">
        <w:t xml:space="preserve"> </w:t>
      </w:r>
      <w:r w:rsidRPr="00E27443">
        <w:t>activities,</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has</w:t>
      </w:r>
      <w:r w:rsidR="00C63F8F" w:rsidRPr="00E27443">
        <w:t xml:space="preserve"> </w:t>
      </w:r>
      <w:r w:rsidRPr="00E27443">
        <w:t>found</w:t>
      </w:r>
      <w:r w:rsidR="00C63F8F" w:rsidRPr="00E27443">
        <w:t xml:space="preserve"> </w:t>
      </w:r>
      <w:r w:rsidRPr="00E27443">
        <w:t>that</w:t>
      </w:r>
      <w:r w:rsidR="00C63F8F" w:rsidRPr="00E27443">
        <w:t xml:space="preserve"> </w:t>
      </w:r>
      <w:r w:rsidRPr="00E27443">
        <w:t>compulsory</w:t>
      </w:r>
      <w:r w:rsidR="00C63F8F" w:rsidRPr="00E27443">
        <w:t xml:space="preserve"> </w:t>
      </w:r>
      <w:r w:rsidRPr="00E27443">
        <w:t>measures</w:t>
      </w:r>
      <w:r w:rsidR="00C63F8F" w:rsidRPr="00E27443">
        <w:t xml:space="preserve"> </w:t>
      </w:r>
      <w:r w:rsidRPr="00E27443">
        <w:t>without</w:t>
      </w:r>
      <w:r w:rsidR="00C63F8F" w:rsidRPr="00E27443">
        <w:t xml:space="preserve"> </w:t>
      </w:r>
      <w:r w:rsidRPr="00E27443">
        <w:t>legal</w:t>
      </w:r>
      <w:r w:rsidR="00C63F8F" w:rsidRPr="00E27443">
        <w:t xml:space="preserve"> </w:t>
      </w:r>
      <w:r w:rsidRPr="00E27443">
        <w:t>support</w:t>
      </w:r>
      <w:r w:rsidR="00C63F8F" w:rsidRPr="00E27443">
        <w:t xml:space="preserve"> </w:t>
      </w:r>
      <w:r w:rsidRPr="00E27443">
        <w:t>have</w:t>
      </w:r>
      <w:r w:rsidR="00C63F8F" w:rsidRPr="00E27443">
        <w:t xml:space="preserve"> </w:t>
      </w:r>
      <w:r w:rsidRPr="00E27443">
        <w:t>been</w:t>
      </w:r>
      <w:r w:rsidR="00C63F8F" w:rsidRPr="00E27443">
        <w:t xml:space="preserve"> </w:t>
      </w:r>
      <w:r w:rsidRPr="00E27443">
        <w:t>used</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accommodation</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These</w:t>
      </w:r>
      <w:r w:rsidR="00C63F8F" w:rsidRPr="00E27443">
        <w:t xml:space="preserve"> </w:t>
      </w:r>
      <w:r w:rsidRPr="00E27443">
        <w:t>situations</w:t>
      </w:r>
      <w:r w:rsidR="00C63F8F" w:rsidRPr="00E27443">
        <w:t xml:space="preserve"> </w:t>
      </w:r>
      <w:r w:rsidRPr="00E27443">
        <w:t>have</w:t>
      </w:r>
      <w:r w:rsidR="00C63F8F" w:rsidRPr="00E27443">
        <w:t xml:space="preserve"> </w:t>
      </w:r>
      <w:r w:rsidRPr="00E27443">
        <w:t>become</w:t>
      </w:r>
      <w:r w:rsidR="00C63F8F" w:rsidRPr="00E27443">
        <w:t xml:space="preserve"> </w:t>
      </w:r>
      <w:r w:rsidRPr="00E27443">
        <w:t>known</w:t>
      </w:r>
      <w:r w:rsidR="00C63F8F" w:rsidRPr="00E27443">
        <w:t xml:space="preserve"> </w:t>
      </w:r>
      <w:r w:rsidRPr="00E27443">
        <w:t>following</w:t>
      </w:r>
      <w:r w:rsidR="00C63F8F" w:rsidRPr="00E27443">
        <w:t xml:space="preserve"> </w:t>
      </w:r>
      <w:r w:rsidRPr="00E27443">
        <w:t>notification</w:t>
      </w:r>
      <w:r w:rsidR="00C63F8F" w:rsidRPr="00E27443">
        <w:t xml:space="preserve"> </w:t>
      </w:r>
      <w:r w:rsidRPr="00E27443">
        <w:t>and</w:t>
      </w:r>
      <w:r w:rsidR="00C63F8F" w:rsidRPr="00E27443">
        <w:t xml:space="preserve"> </w:t>
      </w:r>
      <w:r w:rsidRPr="00E27443">
        <w:t>unannounced</w:t>
      </w:r>
      <w:r w:rsidR="00C63F8F" w:rsidRPr="00E27443">
        <w:t xml:space="preserve"> </w:t>
      </w:r>
      <w:r w:rsidRPr="00E27443">
        <w:t>inspections.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introduced</w:t>
      </w:r>
      <w:r w:rsidR="00C63F8F" w:rsidRPr="00E27443">
        <w:t xml:space="preserve"> </w:t>
      </w:r>
      <w:r w:rsidRPr="00E27443">
        <w:t>co-ordinated</w:t>
      </w:r>
      <w:r w:rsidR="00C63F8F" w:rsidRPr="00E27443">
        <w:t xml:space="preserve"> </w:t>
      </w:r>
      <w:r w:rsidRPr="00E27443">
        <w:t>and</w:t>
      </w:r>
      <w:r w:rsidR="00C63F8F" w:rsidRPr="00E27443">
        <w:t xml:space="preserve"> </w:t>
      </w:r>
      <w:r w:rsidRPr="00E27443">
        <w:t>clear</w:t>
      </w:r>
      <w:r w:rsidR="00C63F8F" w:rsidRPr="00E27443">
        <w:t xml:space="preserve"> </w:t>
      </w:r>
      <w:r w:rsidRPr="00E27443">
        <w:t>supervision</w:t>
      </w:r>
      <w:r w:rsidR="00C63F8F" w:rsidRPr="00E27443">
        <w:t xml:space="preserve"> </w:t>
      </w:r>
      <w:r w:rsidRPr="00E27443">
        <w:t>of</w:t>
      </w:r>
      <w:r w:rsidR="00C63F8F" w:rsidRPr="00E27443">
        <w:t xml:space="preserve"> </w:t>
      </w:r>
      <w:r w:rsidRPr="00E27443">
        <w:t>social</w:t>
      </w:r>
      <w:r w:rsidR="00C63F8F" w:rsidRPr="00E27443">
        <w:t xml:space="preserve"> </w:t>
      </w:r>
      <w:r w:rsidRPr="00E27443">
        <w:t>services.</w:t>
      </w:r>
      <w:r w:rsidR="00073B44" w:rsidRPr="00E27443">
        <w:rPr>
          <w:rStyle w:val="FootnoteReference"/>
        </w:rPr>
        <w:footnoteReference w:id="63"/>
      </w:r>
      <w:r w:rsidR="00C63F8F" w:rsidRPr="00E27443">
        <w:t xml:space="preserve"> </w:t>
      </w:r>
      <w:r w:rsidRPr="00E27443">
        <w:t>The</w:t>
      </w:r>
      <w:r w:rsidR="00C63F8F" w:rsidRPr="00E27443">
        <w:t xml:space="preserve"> </w:t>
      </w:r>
      <w:r w:rsidRPr="00E27443">
        <w:t>reform</w:t>
      </w:r>
      <w:r w:rsidR="00C63F8F" w:rsidRPr="00E27443">
        <w:t xml:space="preserve"> </w:t>
      </w:r>
      <w:r w:rsidRPr="00E27443">
        <w:t>means</w:t>
      </w:r>
      <w:r w:rsidR="00C63F8F" w:rsidRPr="00E27443">
        <w:t xml:space="preserve"> </w:t>
      </w:r>
      <w:r w:rsidRPr="00E27443">
        <w:t>that,</w:t>
      </w:r>
      <w:r w:rsidR="00C63F8F" w:rsidRPr="00E27443">
        <w:t xml:space="preserve"> </w:t>
      </w:r>
      <w:r w:rsidRPr="00E27443">
        <w:t>as</w:t>
      </w:r>
      <w:r w:rsidR="00C63F8F" w:rsidRPr="00E27443">
        <w:t xml:space="preserve"> </w:t>
      </w:r>
      <w:r w:rsidRPr="00E27443">
        <w:t>from</w:t>
      </w:r>
      <w:r w:rsidR="00C63F8F" w:rsidRPr="00E27443">
        <w:t xml:space="preserve"> </w:t>
      </w:r>
      <w:r w:rsidRPr="00E27443">
        <w:t>2010,</w:t>
      </w:r>
      <w:r w:rsidR="00C63F8F" w:rsidRPr="00E27443">
        <w:t xml:space="preserve"> </w:t>
      </w:r>
      <w:r w:rsidRPr="00E27443">
        <w:t>the</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supervision</w:t>
      </w:r>
      <w:r w:rsidR="00C63F8F" w:rsidRPr="00E27443">
        <w:t xml:space="preserve"> </w:t>
      </w:r>
      <w:r w:rsidRPr="00E27443">
        <w:t>and</w:t>
      </w:r>
      <w:r w:rsidR="00C63F8F" w:rsidRPr="00E27443">
        <w:t xml:space="preserve"> </w:t>
      </w:r>
      <w:r w:rsidRPr="00E27443">
        <w:t>licensing</w:t>
      </w:r>
      <w:r w:rsidR="00C63F8F" w:rsidRPr="00E27443">
        <w:t xml:space="preserve"> </w:t>
      </w:r>
      <w:r w:rsidRPr="00E27443">
        <w:t>activities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and</w:t>
      </w:r>
      <w:r w:rsidR="00C63F8F" w:rsidRPr="00E27443">
        <w:t xml:space="preserve"> </w:t>
      </w:r>
      <w:r w:rsidRPr="00E27443">
        <w:t>LSS</w:t>
      </w:r>
      <w:r w:rsidR="00C63F8F" w:rsidRPr="00E27443">
        <w:t xml:space="preserve"> </w:t>
      </w:r>
      <w:r w:rsidRPr="00E27443">
        <w:t>has</w:t>
      </w:r>
      <w:r w:rsidR="00C63F8F" w:rsidRPr="00E27443">
        <w:t xml:space="preserve"> </w:t>
      </w:r>
      <w:r w:rsidRPr="00E27443">
        <w:t>been</w:t>
      </w:r>
      <w:r w:rsidR="00C63F8F" w:rsidRPr="00E27443">
        <w:t xml:space="preserve"> </w:t>
      </w:r>
      <w:r w:rsidRPr="00E27443">
        <w:t>transferred</w:t>
      </w:r>
      <w:r w:rsidR="00C63F8F" w:rsidRPr="00E27443">
        <w:t xml:space="preserve"> </w:t>
      </w:r>
      <w:r w:rsidRPr="00E27443">
        <w:t>to</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where</w:t>
      </w:r>
      <w:r w:rsidR="00C63F8F" w:rsidRPr="00E27443">
        <w:t xml:space="preserve"> </w:t>
      </w:r>
      <w:r w:rsidRPr="00E27443">
        <w:t>it</w:t>
      </w:r>
      <w:r w:rsidR="00C63F8F" w:rsidRPr="00E27443">
        <w:t xml:space="preserve"> </w:t>
      </w:r>
      <w:r w:rsidRPr="00E27443">
        <w:t>is</w:t>
      </w:r>
      <w:r w:rsidR="00C63F8F" w:rsidRPr="00E27443">
        <w:t xml:space="preserve"> </w:t>
      </w:r>
      <w:r w:rsidRPr="00E27443">
        <w:t>co-ordinated</w:t>
      </w:r>
      <w:r w:rsidR="00C63F8F" w:rsidRPr="00E27443">
        <w:t xml:space="preserve"> </w:t>
      </w:r>
      <w:r w:rsidRPr="00E27443">
        <w:t>with</w:t>
      </w:r>
      <w:r w:rsidR="00C63F8F" w:rsidRPr="00E27443">
        <w:t xml:space="preserve"> </w:t>
      </w:r>
      <w:r w:rsidRPr="00E27443">
        <w:t>the</w:t>
      </w:r>
      <w:r w:rsidR="00C63F8F" w:rsidRPr="00E27443">
        <w:t xml:space="preserve"> </w:t>
      </w:r>
      <w:r w:rsidRPr="00E27443">
        <w:t>supervision</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The</w:t>
      </w:r>
      <w:r w:rsidR="00C63F8F" w:rsidRPr="00E27443">
        <w:t xml:space="preserve"> </w:t>
      </w:r>
      <w:r w:rsidRPr="00E27443">
        <w:t>supervision</w:t>
      </w:r>
      <w:r w:rsidR="00C63F8F" w:rsidRPr="00E27443">
        <w:t xml:space="preserve"> </w:t>
      </w:r>
      <w:r w:rsidRPr="00E27443">
        <w:t>reform</w:t>
      </w:r>
      <w:r w:rsidR="00C63F8F" w:rsidRPr="00E27443">
        <w:t xml:space="preserve"> </w:t>
      </w:r>
      <w:r w:rsidRPr="00E27443">
        <w:t>entails</w:t>
      </w:r>
      <w:r w:rsidR="00C63F8F" w:rsidRPr="00E27443">
        <w:t xml:space="preserve"> </w:t>
      </w:r>
      <w:r w:rsidRPr="00E27443">
        <w:t>raising</w:t>
      </w:r>
      <w:r w:rsidR="00C63F8F" w:rsidRPr="00E27443">
        <w:t xml:space="preserve"> </w:t>
      </w:r>
      <w:r w:rsidRPr="00E27443">
        <w:t>the</w:t>
      </w:r>
      <w:r w:rsidR="00C63F8F" w:rsidRPr="00E27443">
        <w:t xml:space="preserve"> </w:t>
      </w:r>
      <w:r w:rsidRPr="00E27443">
        <w:t>level</w:t>
      </w:r>
      <w:r w:rsidR="00C63F8F" w:rsidRPr="00E27443">
        <w:t xml:space="preserve"> </w:t>
      </w:r>
      <w:r w:rsidRPr="00E27443">
        <w:t>of</w:t>
      </w:r>
      <w:r w:rsidR="00C63F8F" w:rsidRPr="00E27443">
        <w:t xml:space="preserve"> </w:t>
      </w:r>
      <w:r w:rsidRPr="00E27443">
        <w:t>ambition,</w:t>
      </w:r>
      <w:r w:rsidR="00C63F8F" w:rsidRPr="00E27443">
        <w:t xml:space="preserve"> </w:t>
      </w:r>
      <w:r w:rsidRPr="00E27443">
        <w:t>where</w:t>
      </w:r>
      <w:r w:rsidR="00C63F8F" w:rsidRPr="00E27443">
        <w:t xml:space="preserve"> </w:t>
      </w:r>
      <w:r w:rsidRPr="00E27443">
        <w:t>various</w:t>
      </w:r>
      <w:r w:rsidR="00C63F8F" w:rsidRPr="00E27443">
        <w:t xml:space="preserve"> </w:t>
      </w:r>
      <w:r w:rsidRPr="00E27443">
        <w:t>activities</w:t>
      </w:r>
      <w:r w:rsidR="00C63F8F" w:rsidRPr="00E27443">
        <w:t xml:space="preserve"> </w:t>
      </w:r>
      <w:r w:rsidRPr="00E27443">
        <w:t>for</w:t>
      </w:r>
      <w:r w:rsidR="00C63F8F" w:rsidRPr="00E27443">
        <w:t xml:space="preserve"> </w:t>
      </w:r>
      <w:r w:rsidRPr="00E27443">
        <w:t>e.g.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will</w:t>
      </w:r>
      <w:r w:rsidR="00C63F8F" w:rsidRPr="00E27443">
        <w:t xml:space="preserve"> </w:t>
      </w:r>
      <w:r w:rsidRPr="00E27443">
        <w:t>be</w:t>
      </w:r>
      <w:r w:rsidR="00C63F8F" w:rsidRPr="00E27443">
        <w:t xml:space="preserve"> </w:t>
      </w:r>
      <w:r w:rsidRPr="00E27443">
        <w:t>inspected</w:t>
      </w:r>
      <w:r w:rsidR="00C63F8F" w:rsidRPr="00E27443">
        <w:t xml:space="preserve"> </w:t>
      </w:r>
      <w:r w:rsidRPr="00E27443">
        <w:t>and</w:t>
      </w:r>
      <w:r w:rsidR="00C63F8F" w:rsidRPr="00E27443">
        <w:t xml:space="preserve"> </w:t>
      </w:r>
      <w:r w:rsidRPr="00E27443">
        <w:t>examined</w:t>
      </w:r>
      <w:r w:rsidR="00C63F8F" w:rsidRPr="00E27443">
        <w:t xml:space="preserve"> </w:t>
      </w:r>
      <w:r w:rsidRPr="00E27443">
        <w:t>by</w:t>
      </w:r>
      <w:r w:rsidR="00C63F8F" w:rsidRPr="00E27443">
        <w:t xml:space="preserve"> </w:t>
      </w:r>
      <w:r w:rsidRPr="00E27443">
        <w:t>the</w:t>
      </w:r>
      <w:r w:rsidR="00C63F8F" w:rsidRPr="00E27443">
        <w:t xml:space="preserve"> </w:t>
      </w:r>
      <w:r w:rsidRPr="00E27443">
        <w:t>supervisory</w:t>
      </w:r>
      <w:r w:rsidR="00C63F8F" w:rsidRPr="00E27443">
        <w:t xml:space="preserve"> </w:t>
      </w:r>
      <w:r w:rsidRPr="00E27443">
        <w:t>authority</w:t>
      </w:r>
      <w:r w:rsidR="00C63F8F" w:rsidRPr="00E27443">
        <w:t xml:space="preserve"> </w:t>
      </w:r>
      <w:r w:rsidRPr="00E27443">
        <w:t>more</w:t>
      </w:r>
      <w:r w:rsidR="00C63F8F" w:rsidRPr="00E27443">
        <w:t xml:space="preserve"> </w:t>
      </w:r>
      <w:r w:rsidRPr="00E27443">
        <w:t>often</w:t>
      </w:r>
      <w:r w:rsidR="00C63F8F" w:rsidRPr="00E27443">
        <w:t xml:space="preserve"> </w:t>
      </w:r>
      <w:r w:rsidRPr="00E27443">
        <w:t>than</w:t>
      </w:r>
      <w:r w:rsidR="00C63F8F" w:rsidRPr="00E27443">
        <w:t xml:space="preserve"> </w:t>
      </w:r>
      <w:r w:rsidRPr="00E27443">
        <w:t>previously,</w:t>
      </w:r>
      <w:r w:rsidR="00C63F8F" w:rsidRPr="00E27443">
        <w:t xml:space="preserve"> </w:t>
      </w:r>
      <w:r w:rsidRPr="00E27443">
        <w:t>and</w:t>
      </w:r>
      <w:r w:rsidR="00C63F8F" w:rsidRPr="00E27443">
        <w:t xml:space="preserve"> </w:t>
      </w:r>
      <w:r w:rsidRPr="00E27443">
        <w:t>that</w:t>
      </w:r>
      <w:r w:rsidR="00C63F8F" w:rsidRPr="00E27443">
        <w:t xml:space="preserve"> </w:t>
      </w:r>
      <w:r w:rsidRPr="00E27443">
        <w:t>unannounced</w:t>
      </w:r>
      <w:r w:rsidR="00C63F8F" w:rsidRPr="00E27443">
        <w:t xml:space="preserve"> </w:t>
      </w:r>
      <w:r w:rsidRPr="00E27443">
        <w:t>inspection</w:t>
      </w:r>
      <w:r w:rsidR="00C63F8F" w:rsidRPr="00E27443">
        <w:t xml:space="preserve"> </w:t>
      </w:r>
      <w:r w:rsidRPr="00E27443">
        <w:t>visits</w:t>
      </w:r>
      <w:r w:rsidR="00C63F8F" w:rsidRPr="00E27443">
        <w:t xml:space="preserve"> </w:t>
      </w:r>
      <w:r w:rsidRPr="00E27443">
        <w:t>will</w:t>
      </w:r>
      <w:r w:rsidR="00C63F8F" w:rsidRPr="00E27443">
        <w:t xml:space="preserve"> </w:t>
      </w:r>
      <w:r w:rsidRPr="00E27443">
        <w:t>also</w:t>
      </w:r>
      <w:r w:rsidR="00C63F8F" w:rsidRPr="00E27443">
        <w:t xml:space="preserve"> </w:t>
      </w:r>
      <w:r w:rsidRPr="00E27443">
        <w:t>take</w:t>
      </w:r>
      <w:r w:rsidR="00C63F8F" w:rsidRPr="00E27443">
        <w:t xml:space="preserve"> </w:t>
      </w:r>
      <w:r w:rsidRPr="00E27443">
        <w:t>place.</w:t>
      </w:r>
      <w:r w:rsidR="00C63F8F" w:rsidRPr="00E27443">
        <w:t xml:space="preserve"> </w:t>
      </w:r>
      <w:r w:rsidRPr="00E27443">
        <w:t>The</w:t>
      </w:r>
      <w:r w:rsidR="00C63F8F" w:rsidRPr="00E27443">
        <w:t xml:space="preserve"> </w:t>
      </w:r>
      <w:r w:rsidRPr="00E27443">
        <w:t>powers</w:t>
      </w:r>
      <w:r w:rsidR="00C63F8F" w:rsidRPr="00E27443">
        <w:t xml:space="preserve"> </w:t>
      </w:r>
      <w:r w:rsidRPr="00E27443">
        <w:t>of</w:t>
      </w:r>
      <w:r w:rsidR="00C63F8F" w:rsidRPr="00E27443">
        <w:t xml:space="preserve"> </w:t>
      </w:r>
      <w:r w:rsidRPr="00E27443">
        <w:t>the</w:t>
      </w:r>
      <w:r w:rsidR="00C63F8F" w:rsidRPr="00E27443">
        <w:t xml:space="preserve"> </w:t>
      </w:r>
      <w:r w:rsidRPr="00E27443">
        <w:t>supervisory</w:t>
      </w:r>
      <w:r w:rsidR="00C63F8F" w:rsidRPr="00E27443">
        <w:t xml:space="preserve"> </w:t>
      </w:r>
      <w:r w:rsidRPr="00E27443">
        <w:t>authority</w:t>
      </w:r>
      <w:r w:rsidR="00C63F8F" w:rsidRPr="00E27443">
        <w:t xml:space="preserve"> </w:t>
      </w:r>
      <w:r w:rsidRPr="00E27443">
        <w:t>have</w:t>
      </w:r>
      <w:r w:rsidR="00C63F8F" w:rsidRPr="00E27443">
        <w:t xml:space="preserve"> </w:t>
      </w:r>
      <w:r w:rsidRPr="00E27443">
        <w:t>also</w:t>
      </w:r>
      <w:r w:rsidR="00C63F8F" w:rsidRPr="00E27443">
        <w:t xml:space="preserve"> </w:t>
      </w:r>
      <w:r w:rsidRPr="00E27443">
        <w:t>been</w:t>
      </w:r>
      <w:r w:rsidR="00C63F8F" w:rsidRPr="00E27443">
        <w:t xml:space="preserve"> </w:t>
      </w:r>
      <w:r w:rsidRPr="00E27443">
        <w:t>reinforced.</w:t>
      </w:r>
      <w:r w:rsidR="00C63F8F" w:rsidRPr="00E27443">
        <w:t xml:space="preserve"> </w:t>
      </w:r>
      <w:r w:rsidRPr="00E27443">
        <w:t>The</w:t>
      </w:r>
      <w:r w:rsidR="00C63F8F" w:rsidRPr="00E27443">
        <w:t xml:space="preserve"> </w:t>
      </w:r>
      <w:r w:rsidRPr="00E27443">
        <w:t>reform</w:t>
      </w:r>
      <w:r w:rsidR="00C63F8F" w:rsidRPr="00E27443">
        <w:t xml:space="preserve"> </w:t>
      </w:r>
      <w:r w:rsidRPr="00E27443">
        <w:t>is</w:t>
      </w:r>
      <w:r w:rsidR="00C63F8F" w:rsidRPr="00E27443">
        <w:t xml:space="preserve"> </w:t>
      </w:r>
      <w:r w:rsidRPr="00E27443">
        <w:t>part</w:t>
      </w:r>
      <w:r w:rsidR="00C63F8F" w:rsidRPr="00E27443">
        <w:t xml:space="preserve"> </w:t>
      </w:r>
      <w:r w:rsidRPr="00E27443">
        <w:t>of</w:t>
      </w:r>
      <w:r w:rsidR="00C63F8F" w:rsidRPr="00E27443">
        <w:t xml:space="preserve"> </w:t>
      </w:r>
      <w:r w:rsidRPr="00E27443">
        <w:t>an</w:t>
      </w:r>
      <w:r w:rsidR="00C63F8F" w:rsidRPr="00E27443">
        <w:t xml:space="preserve"> </w:t>
      </w:r>
      <w:r w:rsidRPr="00E27443">
        <w:t>endeavour</w:t>
      </w:r>
      <w:r w:rsidR="00C63F8F" w:rsidRPr="00E27443">
        <w:t xml:space="preserve"> </w:t>
      </w:r>
      <w:r w:rsidRPr="00E27443">
        <w:t>to</w:t>
      </w:r>
      <w:r w:rsidR="00C63F8F" w:rsidRPr="00E27443">
        <w:t xml:space="preserve"> </w:t>
      </w:r>
      <w:r w:rsidRPr="00E27443">
        <w:t>ensure</w:t>
      </w:r>
      <w:r w:rsidR="00C63F8F" w:rsidRPr="00E27443">
        <w:t xml:space="preserve"> </w:t>
      </w:r>
      <w:r w:rsidRPr="00E27443">
        <w:t>more</w:t>
      </w:r>
      <w:r w:rsidR="00C63F8F" w:rsidRPr="00E27443">
        <w:t xml:space="preserve"> </w:t>
      </w:r>
      <w:r w:rsidRPr="00E27443">
        <w:t>robustly</w:t>
      </w:r>
      <w:r w:rsidR="00C63F8F" w:rsidRPr="00E27443">
        <w:t xml:space="preserve"> </w:t>
      </w:r>
      <w:r w:rsidRPr="00E27443">
        <w:t>that</w:t>
      </w:r>
      <w:r w:rsidR="00C63F8F" w:rsidRPr="00E27443">
        <w:t xml:space="preserve"> </w:t>
      </w:r>
      <w:r w:rsidRPr="00E27443">
        <w:t>the</w:t>
      </w:r>
      <w:r w:rsidR="00C63F8F" w:rsidRPr="00E27443">
        <w:t xml:space="preserve"> </w:t>
      </w:r>
      <w:r w:rsidRPr="00E27443">
        <w:t>intentions</w:t>
      </w:r>
      <w:r w:rsidR="00C63F8F" w:rsidRPr="00E27443">
        <w:t xml:space="preserve"> </w:t>
      </w:r>
      <w:r w:rsidRPr="00E27443">
        <w:t>of</w:t>
      </w:r>
      <w:r w:rsidR="00C63F8F" w:rsidRPr="00E27443">
        <w:t xml:space="preserve"> </w:t>
      </w:r>
      <w:r w:rsidRPr="00E27443">
        <w:t>the</w:t>
      </w:r>
      <w:r w:rsidR="00C63F8F" w:rsidRPr="00E27443">
        <w:t xml:space="preserve"> </w:t>
      </w:r>
      <w:r w:rsidRPr="00E27443">
        <w:t>applicable</w:t>
      </w:r>
      <w:r w:rsidR="00C63F8F" w:rsidRPr="00E27443">
        <w:t xml:space="preserve"> </w:t>
      </w:r>
      <w:r w:rsidRPr="00E27443">
        <w:t>legislation</w:t>
      </w:r>
      <w:r w:rsidR="00C63F8F" w:rsidRPr="00E27443">
        <w:t xml:space="preserve"> </w:t>
      </w:r>
      <w:r w:rsidRPr="00E27443">
        <w:t>and</w:t>
      </w:r>
      <w:r w:rsidR="00C63F8F" w:rsidRPr="00E27443">
        <w:t xml:space="preserve"> </w:t>
      </w:r>
      <w:r w:rsidRPr="00E27443">
        <w:t>regulations</w:t>
      </w:r>
      <w:r w:rsidR="00C63F8F" w:rsidRPr="00E27443">
        <w:t xml:space="preserve"> </w:t>
      </w:r>
      <w:r w:rsidRPr="00E27443">
        <w:t>are</w:t>
      </w:r>
      <w:r w:rsidR="00C63F8F" w:rsidRPr="00E27443">
        <w:t xml:space="preserve"> </w:t>
      </w:r>
      <w:r w:rsidRPr="00E27443">
        <w:t>complied</w:t>
      </w:r>
      <w:r w:rsidR="00C63F8F" w:rsidRPr="00E27443">
        <w:t xml:space="preserve"> </w:t>
      </w:r>
      <w:r w:rsidRPr="00E27443">
        <w:t>with,</w:t>
      </w:r>
      <w:r w:rsidR="00C63F8F" w:rsidRPr="00E27443">
        <w:t xml:space="preserve"> </w:t>
      </w:r>
      <w:r w:rsidRPr="00E27443">
        <w:t>and</w:t>
      </w:r>
      <w:r w:rsidR="00C63F8F" w:rsidRPr="00E27443">
        <w:t xml:space="preserve"> </w:t>
      </w:r>
      <w:r w:rsidRPr="00E27443">
        <w:t>that</w:t>
      </w:r>
      <w:r w:rsidR="00C63F8F" w:rsidRPr="00E27443">
        <w:t xml:space="preserve"> </w:t>
      </w:r>
      <w:r w:rsidRPr="00E27443">
        <w:t>unsuitable</w:t>
      </w:r>
      <w:r w:rsidR="00C63F8F" w:rsidRPr="00E27443">
        <w:t xml:space="preserve"> </w:t>
      </w:r>
      <w:r w:rsidRPr="00E27443">
        <w:t>care</w:t>
      </w:r>
      <w:r w:rsidR="00C63F8F" w:rsidRPr="00E27443">
        <w:t xml:space="preserve"> </w:t>
      </w:r>
      <w:r w:rsidRPr="00E27443">
        <w:t>and</w:t>
      </w:r>
      <w:r w:rsidR="00C63F8F" w:rsidRPr="00E27443">
        <w:t xml:space="preserve"> </w:t>
      </w:r>
      <w:r w:rsidRPr="00E27443">
        <w:t>working</w:t>
      </w:r>
      <w:r w:rsidR="00C63F8F" w:rsidRPr="00E27443">
        <w:t xml:space="preserve"> </w:t>
      </w:r>
      <w:r w:rsidRPr="00E27443">
        <w:t>methods</w:t>
      </w:r>
      <w:r w:rsidR="00C63F8F" w:rsidRPr="00E27443">
        <w:t xml:space="preserve"> </w:t>
      </w:r>
      <w:r w:rsidRPr="00E27443">
        <w:t>are</w:t>
      </w:r>
      <w:r w:rsidR="00C63F8F" w:rsidRPr="00E27443">
        <w:t xml:space="preserve"> </w:t>
      </w:r>
      <w:r w:rsidRPr="00E27443">
        <w:t>not</w:t>
      </w:r>
      <w:r w:rsidR="00C63F8F" w:rsidRPr="00E27443">
        <w:t xml:space="preserve"> </w:t>
      </w:r>
      <w:r w:rsidRPr="00E27443">
        <w:t>used.</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support</w:t>
      </w:r>
      <w:r w:rsidR="00C63F8F" w:rsidRPr="00E27443">
        <w:t xml:space="preserve"> </w:t>
      </w:r>
      <w:r w:rsidRPr="00E27443">
        <w:t>the</w:t>
      </w:r>
      <w:r w:rsidR="00C63F8F" w:rsidRPr="00E27443">
        <w:t xml:space="preserve"> </w:t>
      </w:r>
      <w:r w:rsidRPr="00E27443">
        <w:t>principals</w:t>
      </w:r>
      <w:r w:rsidR="00C63F8F" w:rsidRPr="00E27443">
        <w:t xml:space="preserve">’ </w:t>
      </w:r>
      <w:r w:rsidRPr="00E27443">
        <w:t>quality</w:t>
      </w:r>
      <w:r w:rsidR="00C63F8F" w:rsidRPr="00E27443">
        <w:t xml:space="preserve"> </w:t>
      </w:r>
      <w:r w:rsidRPr="00E27443">
        <w:t>work</w:t>
      </w:r>
      <w:r w:rsidR="00C63F8F" w:rsidRPr="00E27443">
        <w:t xml:space="preserve"> </w:t>
      </w:r>
      <w:r w:rsidRPr="00E27443">
        <w:t>in</w:t>
      </w:r>
      <w:r w:rsidR="00C63F8F" w:rsidRPr="00E27443">
        <w:t xml:space="preserve"> </w:t>
      </w:r>
      <w:r w:rsidRPr="00E27443">
        <w:t>the</w:t>
      </w:r>
      <w:r w:rsidR="00C63F8F" w:rsidRPr="00E27443">
        <w:t xml:space="preserve"> </w:t>
      </w:r>
      <w:r w:rsidRPr="00E27443">
        <w:t>initiatives</w:t>
      </w:r>
      <w:r w:rsidR="00C63F8F" w:rsidRPr="00E27443">
        <w:t xml:space="preserve"> </w:t>
      </w:r>
      <w:r w:rsidRPr="00E27443">
        <w:t>within</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is</w:t>
      </w:r>
      <w:r w:rsidR="00C63F8F" w:rsidRPr="00E27443">
        <w:t xml:space="preserve"> </w:t>
      </w:r>
      <w:r w:rsidRPr="00E27443">
        <w:t>also</w:t>
      </w:r>
      <w:r w:rsidR="00C63F8F" w:rsidRPr="00E27443">
        <w:t xml:space="preserve"> </w:t>
      </w:r>
      <w:r w:rsidRPr="00E27443">
        <w:t>supporting</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evidence-based</w:t>
      </w:r>
      <w:r w:rsidR="00C63F8F" w:rsidRPr="00E27443">
        <w:t xml:space="preserve"> </w:t>
      </w:r>
      <w:r w:rsidRPr="00E27443">
        <w:t>practice,</w:t>
      </w:r>
      <w:r w:rsidR="00C63F8F" w:rsidRPr="00E27443">
        <w:t xml:space="preserve"> </w:t>
      </w:r>
      <w:r w:rsidRPr="00E27443">
        <w:t>which</w:t>
      </w:r>
      <w:r w:rsidR="00C63F8F" w:rsidRPr="00E27443">
        <w:t xml:space="preserve"> </w:t>
      </w:r>
      <w:r w:rsidRPr="00E27443">
        <w:t>means</w:t>
      </w:r>
      <w:r w:rsidR="00C63F8F" w:rsidRPr="00E27443">
        <w:t xml:space="preserve"> </w:t>
      </w:r>
      <w:r w:rsidRPr="00E27443">
        <w:t>that</w:t>
      </w:r>
      <w:r w:rsidR="00C63F8F" w:rsidRPr="00E27443">
        <w:t xml:space="preserve"> </w:t>
      </w:r>
      <w:r w:rsidRPr="00E27443">
        <w:t>anyone</w:t>
      </w:r>
      <w:r w:rsidR="00C63F8F" w:rsidRPr="00E27443">
        <w:t xml:space="preserve"> </w:t>
      </w:r>
      <w:r w:rsidRPr="00E27443">
        <w:t>who</w:t>
      </w:r>
      <w:r w:rsidR="00C63F8F" w:rsidRPr="00E27443">
        <w:t xml:space="preserve"> </w:t>
      </w:r>
      <w:r w:rsidRPr="00E27443">
        <w:t>requires</w:t>
      </w:r>
      <w:r w:rsidR="00C63F8F" w:rsidRPr="00E27443">
        <w:t xml:space="preserve"> </w:t>
      </w:r>
      <w:r w:rsidRPr="00E27443">
        <w:t>initiatives</w:t>
      </w:r>
      <w:r w:rsidR="00C63F8F" w:rsidRPr="00E27443">
        <w:t xml:space="preserve"> </w:t>
      </w:r>
      <w:r w:rsidRPr="00E27443">
        <w:t>from</w:t>
      </w:r>
      <w:r w:rsidR="00C63F8F" w:rsidRPr="00E27443">
        <w:t xml:space="preserve"> </w:t>
      </w:r>
      <w:r w:rsidRPr="00E27443">
        <w:t>society</w:t>
      </w:r>
      <w:r w:rsidR="00C63F8F" w:rsidRPr="00E27443">
        <w:t xml:space="preserve"> </w:t>
      </w:r>
      <w:r w:rsidRPr="00E27443">
        <w:t>must</w:t>
      </w:r>
      <w:r w:rsidR="00C63F8F" w:rsidRPr="00E27443">
        <w:t xml:space="preserve"> </w:t>
      </w:r>
      <w:r w:rsidRPr="00E27443">
        <w:t>be</w:t>
      </w:r>
      <w:r w:rsidR="00C63F8F" w:rsidRPr="00E27443">
        <w:t xml:space="preserve"> </w:t>
      </w:r>
      <w:r w:rsidRPr="00E27443">
        <w:t>offered</w:t>
      </w:r>
      <w:r w:rsidR="00C63F8F" w:rsidRPr="00E27443">
        <w:t xml:space="preserve"> </w:t>
      </w:r>
      <w:r w:rsidRPr="00E27443">
        <w:t>assistance</w:t>
      </w:r>
      <w:r w:rsidR="00C63F8F" w:rsidRPr="00E27443">
        <w:t xml:space="preserve"> </w:t>
      </w:r>
      <w:r w:rsidRPr="00E27443">
        <w:t>that</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best</w:t>
      </w:r>
      <w:r w:rsidR="00C63F8F" w:rsidRPr="00E27443">
        <w:t xml:space="preserve"> </w:t>
      </w:r>
      <w:r w:rsidRPr="00E27443">
        <w:t>available</w:t>
      </w:r>
      <w:r w:rsidR="00C63F8F" w:rsidRPr="00E27443">
        <w:t xml:space="preserve"> </w:t>
      </w:r>
      <w:r w:rsidRPr="00E27443">
        <w:t>knowledge.</w:t>
      </w:r>
      <w:r w:rsidR="00C63F8F" w:rsidRPr="00E27443">
        <w:t xml:space="preserve"> </w:t>
      </w:r>
      <w:r w:rsidRPr="00E27443">
        <w:t>The</w:t>
      </w:r>
      <w:r w:rsidR="00C63F8F" w:rsidRPr="00E27443">
        <w:t xml:space="preserve"> </w:t>
      </w:r>
      <w:r w:rsidRPr="00E27443">
        <w:t>methods</w:t>
      </w:r>
      <w:r w:rsidR="00C63F8F" w:rsidRPr="00E27443">
        <w:t xml:space="preserve"> </w:t>
      </w:r>
      <w:r w:rsidRPr="00E27443">
        <w:t>used</w:t>
      </w:r>
      <w:r w:rsidR="00C63F8F" w:rsidRPr="00E27443">
        <w:t xml:space="preserve"> </w:t>
      </w:r>
      <w:r w:rsidRPr="00E27443">
        <w:t>by</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must</w:t>
      </w:r>
      <w:r w:rsidR="00C63F8F" w:rsidRPr="00E27443">
        <w:t xml:space="preserve"> </w:t>
      </w:r>
      <w:r w:rsidRPr="00E27443">
        <w:t>benefit</w:t>
      </w:r>
      <w:r w:rsidR="00C63F8F" w:rsidRPr="00E27443">
        <w:t xml:space="preserve"> </w:t>
      </w:r>
      <w:r w:rsidRPr="00E27443">
        <w:t>and</w:t>
      </w:r>
      <w:r w:rsidR="00C63F8F" w:rsidRPr="00E27443">
        <w:t xml:space="preserve"> </w:t>
      </w:r>
      <w:r w:rsidRPr="00E27443">
        <w:t>be</w:t>
      </w:r>
      <w:r w:rsidR="00C63F8F" w:rsidRPr="00E27443">
        <w:t xml:space="preserve"> </w:t>
      </w:r>
      <w:r w:rsidRPr="00E27443">
        <w:t>adapted</w:t>
      </w:r>
      <w:r w:rsidR="00C63F8F" w:rsidRPr="00E27443">
        <w:t xml:space="preserve"> </w:t>
      </w:r>
      <w:r w:rsidRPr="00E27443">
        <w:t>to</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user.</w:t>
      </w:r>
      <w:r w:rsidR="00C63F8F" w:rsidRPr="00E27443">
        <w:t xml:space="preserve"> </w:t>
      </w:r>
      <w:r w:rsidRPr="00E27443">
        <w:t>Within</w:t>
      </w:r>
      <w:r w:rsidR="00C63F8F" w:rsidRPr="00E27443">
        <w:t xml:space="preserve"> </w:t>
      </w:r>
      <w:r w:rsidRPr="00E27443">
        <w:t>evidence-based</w:t>
      </w:r>
      <w:r w:rsidR="00C63F8F" w:rsidRPr="00E27443">
        <w:t xml:space="preserve"> </w:t>
      </w:r>
      <w:r w:rsidRPr="00E27443">
        <w:t>practice,</w:t>
      </w:r>
      <w:r w:rsidR="00C63F8F" w:rsidRPr="00E27443">
        <w:t xml:space="preserve"> </w:t>
      </w:r>
      <w:r w:rsidRPr="00E27443">
        <w:t>the</w:t>
      </w:r>
      <w:r w:rsidR="00C63F8F" w:rsidRPr="00E27443">
        <w:t xml:space="preserve"> </w:t>
      </w:r>
      <w:r w:rsidRPr="00E27443">
        <w:t>following</w:t>
      </w:r>
      <w:r w:rsidR="00C63F8F" w:rsidRPr="00E27443">
        <w:t xml:space="preserve"> </w:t>
      </w:r>
      <w:r w:rsidRPr="00E27443">
        <w:t>are</w:t>
      </w:r>
      <w:r w:rsidR="00C63F8F" w:rsidRPr="00E27443">
        <w:t xml:space="preserve"> </w:t>
      </w:r>
      <w:r w:rsidRPr="00E27443">
        <w:t>integrated:</w:t>
      </w:r>
    </w:p>
    <w:p w:rsidR="00321ADA" w:rsidRPr="00E27443" w:rsidRDefault="00073B44" w:rsidP="00073B44">
      <w:pPr>
        <w:pStyle w:val="Bullet1G"/>
      </w:pPr>
      <w:r w:rsidRPr="00E27443">
        <w:t>T</w:t>
      </w:r>
      <w:r w:rsidR="00321ADA" w:rsidRPr="00E27443">
        <w:t>he</w:t>
      </w:r>
      <w:r w:rsidR="00C63F8F" w:rsidRPr="00E27443">
        <w:t xml:space="preserve"> </w:t>
      </w:r>
      <w:r w:rsidR="00321ADA" w:rsidRPr="00E27443">
        <w:t>best</w:t>
      </w:r>
      <w:r w:rsidR="00C63F8F" w:rsidRPr="00E27443">
        <w:t xml:space="preserve"> </w:t>
      </w:r>
      <w:r w:rsidR="00321ADA" w:rsidRPr="00E27443">
        <w:t>current</w:t>
      </w:r>
      <w:r w:rsidR="00C63F8F" w:rsidRPr="00E27443">
        <w:t xml:space="preserve"> </w:t>
      </w:r>
      <w:r w:rsidR="00321ADA" w:rsidRPr="00E27443">
        <w:t>scientific</w:t>
      </w:r>
      <w:r w:rsidR="00C63F8F" w:rsidRPr="00E27443">
        <w:t xml:space="preserve"> </w:t>
      </w:r>
      <w:r w:rsidR="00321ADA" w:rsidRPr="00E27443">
        <w:t>knowledge</w:t>
      </w:r>
      <w:r w:rsidR="00C63F8F" w:rsidRPr="00E27443">
        <w:t xml:space="preserve"> </w:t>
      </w:r>
      <w:r w:rsidR="00321ADA" w:rsidRPr="00E27443">
        <w:t>about</w:t>
      </w:r>
      <w:r w:rsidR="00C63F8F" w:rsidRPr="00E27443">
        <w:t xml:space="preserve"> </w:t>
      </w:r>
      <w:r w:rsidR="00321ADA" w:rsidRPr="00E27443">
        <w:t>the</w:t>
      </w:r>
      <w:r w:rsidR="00C63F8F" w:rsidRPr="00E27443">
        <w:t xml:space="preserve"> </w:t>
      </w:r>
      <w:r w:rsidR="00321ADA" w:rsidRPr="00E27443">
        <w:t>effects</w:t>
      </w:r>
      <w:r w:rsidR="00C63F8F" w:rsidRPr="00E27443">
        <w:t xml:space="preserve"> </w:t>
      </w:r>
      <w:r w:rsidR="00321ADA" w:rsidRPr="00E27443">
        <w:t>of</w:t>
      </w:r>
      <w:r w:rsidR="00C63F8F" w:rsidRPr="00E27443">
        <w:t xml:space="preserve"> </w:t>
      </w:r>
      <w:r w:rsidR="00321ADA" w:rsidRPr="00E27443">
        <w:t>the</w:t>
      </w:r>
      <w:r w:rsidR="00C63F8F" w:rsidRPr="00E27443">
        <w:t xml:space="preserve"> </w:t>
      </w:r>
      <w:r w:rsidR="00321ADA" w:rsidRPr="00E27443">
        <w:t>initiatives</w:t>
      </w:r>
      <w:r w:rsidRPr="00E27443">
        <w:t xml:space="preserve"> </w:t>
      </w:r>
    </w:p>
    <w:p w:rsidR="00321ADA" w:rsidRPr="00E27443" w:rsidRDefault="00073B44" w:rsidP="00073B44">
      <w:pPr>
        <w:pStyle w:val="Bullet1G"/>
      </w:pPr>
      <w:r w:rsidRPr="00E27443">
        <w:t>T</w:t>
      </w:r>
      <w:r w:rsidR="00321ADA" w:rsidRPr="00E27443">
        <w:t>he</w:t>
      </w:r>
      <w:r w:rsidR="00C63F8F" w:rsidRPr="00E27443">
        <w:t xml:space="preserve"> </w:t>
      </w:r>
      <w:r w:rsidR="00321ADA" w:rsidRPr="00E27443">
        <w:t>user</w:t>
      </w:r>
      <w:r w:rsidR="00C63F8F" w:rsidRPr="00E27443">
        <w:t>’</w:t>
      </w:r>
      <w:r w:rsidR="00321ADA" w:rsidRPr="00E27443">
        <w:t>s</w:t>
      </w:r>
      <w:r w:rsidR="00C63F8F" w:rsidRPr="00E27443">
        <w:t xml:space="preserve"> </w:t>
      </w:r>
      <w:r w:rsidR="00321ADA" w:rsidRPr="00E27443">
        <w:t>experiences</w:t>
      </w:r>
      <w:r w:rsidR="00C63F8F" w:rsidRPr="00E27443">
        <w:t xml:space="preserve"> </w:t>
      </w:r>
      <w:r w:rsidR="00321ADA" w:rsidRPr="00E27443">
        <w:t>and</w:t>
      </w:r>
      <w:r w:rsidR="00C63F8F" w:rsidRPr="00E27443">
        <w:t xml:space="preserve"> </w:t>
      </w:r>
      <w:r w:rsidR="00321ADA" w:rsidRPr="00E27443">
        <w:t>expectations</w:t>
      </w:r>
    </w:p>
    <w:p w:rsidR="00321ADA" w:rsidRPr="00E27443" w:rsidRDefault="00073B44" w:rsidP="00073B44">
      <w:pPr>
        <w:pStyle w:val="Bullet1G"/>
      </w:pPr>
      <w:r w:rsidRPr="00E27443">
        <w:t>T</w:t>
      </w:r>
      <w:r w:rsidR="00321ADA" w:rsidRPr="00E27443">
        <w:t>he</w:t>
      </w:r>
      <w:r w:rsidR="00C63F8F" w:rsidRPr="00E27443">
        <w:t xml:space="preserve"> </w:t>
      </w:r>
      <w:r w:rsidR="00321ADA" w:rsidRPr="00E27443">
        <w:t>local</w:t>
      </w:r>
      <w:r w:rsidR="00C63F8F" w:rsidRPr="00E27443">
        <w:t xml:space="preserve"> </w:t>
      </w:r>
      <w:r w:rsidR="00321ADA" w:rsidRPr="00E27443">
        <w:t>situation</w:t>
      </w:r>
      <w:r w:rsidR="00C63F8F" w:rsidRPr="00E27443">
        <w:t xml:space="preserve"> </w:t>
      </w:r>
      <w:r w:rsidR="00321ADA" w:rsidRPr="00E27443">
        <w:t>and</w:t>
      </w:r>
      <w:r w:rsidR="00C63F8F" w:rsidRPr="00E27443">
        <w:t xml:space="preserve"> </w:t>
      </w:r>
      <w:r w:rsidR="00CE0AE2">
        <w:t>circumstances</w:t>
      </w:r>
    </w:p>
    <w:p w:rsidR="00321ADA" w:rsidRPr="00E27443" w:rsidRDefault="00073B44" w:rsidP="00073B44">
      <w:pPr>
        <w:pStyle w:val="Bullet1G"/>
      </w:pPr>
      <w:r w:rsidRPr="00E27443">
        <w:t>T</w:t>
      </w:r>
      <w:r w:rsidR="00321ADA" w:rsidRPr="00E27443">
        <w:t>he</w:t>
      </w:r>
      <w:r w:rsidR="00C63F8F" w:rsidRPr="00E27443">
        <w:t xml:space="preserve"> </w:t>
      </w:r>
      <w:r w:rsidR="00321ADA" w:rsidRPr="00E27443">
        <w:t>professional</w:t>
      </w:r>
      <w:r w:rsidR="00C63F8F" w:rsidRPr="00E27443">
        <w:t xml:space="preserve"> </w:t>
      </w:r>
      <w:r w:rsidR="00321ADA" w:rsidRPr="00E27443">
        <w:t>expertise</w:t>
      </w:r>
      <w:r w:rsidRPr="00E27443">
        <w:t xml:space="preserve"> </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sources</w:t>
      </w:r>
      <w:r w:rsidR="00C63F8F" w:rsidRPr="00E27443">
        <w:t xml:space="preserve"> </w:t>
      </w:r>
      <w:r w:rsidRPr="00E27443">
        <w:t>of</w:t>
      </w:r>
      <w:r w:rsidR="00C63F8F" w:rsidRPr="00E27443">
        <w:t xml:space="preserve"> </w:t>
      </w:r>
      <w:r w:rsidRPr="00E27443">
        <w:t>knowledge</w:t>
      </w:r>
      <w:r w:rsidR="00C63F8F" w:rsidRPr="00E27443">
        <w:t xml:space="preserve"> </w:t>
      </w:r>
      <w:r w:rsidRPr="00E27443">
        <w:t>are</w:t>
      </w:r>
      <w:r w:rsidR="00C63F8F" w:rsidRPr="00E27443">
        <w:t xml:space="preserve"> </w:t>
      </w:r>
      <w:r w:rsidRPr="00E27443">
        <w:t>appraised</w:t>
      </w:r>
      <w:r w:rsidR="00C63F8F" w:rsidRPr="00E27443">
        <w:t xml:space="preserve"> </w:t>
      </w:r>
      <w:r w:rsidRPr="00E27443">
        <w:t>in</w:t>
      </w:r>
      <w:r w:rsidR="00C63F8F" w:rsidRPr="00E27443">
        <w:t xml:space="preserve"> </w:t>
      </w:r>
      <w:r w:rsidRPr="00E27443">
        <w:t>dialogue</w:t>
      </w:r>
      <w:r w:rsidR="00C63F8F" w:rsidRPr="00E27443">
        <w:t xml:space="preserve"> </w:t>
      </w:r>
      <w:r w:rsidRPr="00E27443">
        <w:t>between</w:t>
      </w:r>
      <w:r w:rsidR="00C63F8F" w:rsidRPr="00E27443">
        <w:t xml:space="preserve"> </w:t>
      </w:r>
      <w:r w:rsidRPr="00E27443">
        <w:t>the</w:t>
      </w:r>
      <w:r w:rsidR="00C63F8F" w:rsidRPr="00E27443">
        <w:t xml:space="preserve"> </w:t>
      </w:r>
      <w:r w:rsidRPr="00E27443">
        <w:t>user</w:t>
      </w:r>
      <w:r w:rsidR="00C63F8F" w:rsidRPr="00E27443">
        <w:t xml:space="preserve"> </w:t>
      </w:r>
      <w:r w:rsidRPr="00E27443">
        <w:t>and</w:t>
      </w:r>
      <w:r w:rsidR="00C63F8F" w:rsidRPr="00E27443">
        <w:t xml:space="preserve"> </w:t>
      </w:r>
      <w:r w:rsidRPr="00E27443">
        <w:t>the</w:t>
      </w:r>
      <w:r w:rsidR="00C63F8F" w:rsidRPr="00E27443">
        <w:t xml:space="preserve"> </w:t>
      </w:r>
      <w:r w:rsidRPr="00E27443">
        <w:t>professional.</w:t>
      </w:r>
      <w:r w:rsidR="00C63F8F" w:rsidRPr="00E27443">
        <w:t xml:space="preserve"> </w:t>
      </w:r>
      <w:r w:rsidRPr="00E27443">
        <w:t>There</w:t>
      </w:r>
      <w:r w:rsidR="00C63F8F" w:rsidRPr="00E27443">
        <w:t xml:space="preserve"> </w:t>
      </w:r>
      <w:r w:rsidRPr="00E27443">
        <w:t>must</w:t>
      </w:r>
      <w:r w:rsidR="00C63F8F" w:rsidRPr="00E27443">
        <w:t xml:space="preserve"> </w:t>
      </w:r>
      <w:r w:rsidRPr="00E27443">
        <w:t>be</w:t>
      </w:r>
      <w:r w:rsidR="00C63F8F" w:rsidRPr="00E27443">
        <w:t xml:space="preserve"> </w:t>
      </w:r>
      <w:r w:rsidRPr="00E27443">
        <w:t>transparency</w:t>
      </w:r>
      <w:r w:rsidR="00C63F8F" w:rsidRPr="00E27443">
        <w:t xml:space="preserve"> </w:t>
      </w:r>
      <w:r w:rsidRPr="00E27443">
        <w:t>so</w:t>
      </w:r>
      <w:r w:rsidR="00C63F8F" w:rsidRPr="00E27443">
        <w:t xml:space="preserve"> </w:t>
      </w:r>
      <w:r w:rsidRPr="00E27443">
        <w:t>that</w:t>
      </w:r>
      <w:r w:rsidR="00C63F8F" w:rsidRPr="00E27443">
        <w:t xml:space="preserve"> </w:t>
      </w:r>
      <w:r w:rsidRPr="00E27443">
        <w:t>the</w:t>
      </w:r>
      <w:r w:rsidR="00C63F8F" w:rsidRPr="00E27443">
        <w:t xml:space="preserve"> </w:t>
      </w:r>
      <w:r w:rsidRPr="00E27443">
        <w:t>user</w:t>
      </w:r>
      <w:r w:rsidR="00C63F8F" w:rsidRPr="00E27443">
        <w:t xml:space="preserve"> </w:t>
      </w:r>
      <w:r w:rsidRPr="00E27443">
        <w:t>has</w:t>
      </w:r>
      <w:r w:rsidR="00C63F8F" w:rsidRPr="00E27443">
        <w:t xml:space="preserve"> </w:t>
      </w:r>
      <w:r w:rsidRPr="00E27443">
        <w:t>an</w:t>
      </w:r>
      <w:r w:rsidR="00C63F8F" w:rsidRPr="00E27443">
        <w:t xml:space="preserve"> </w:t>
      </w:r>
      <w:r w:rsidRPr="00E27443">
        <w:t>insight</w:t>
      </w:r>
      <w:r w:rsidR="00C63F8F" w:rsidRPr="00E27443">
        <w:t xml:space="preserve"> </w:t>
      </w:r>
      <w:r w:rsidRPr="00E27443">
        <w:t>into</w:t>
      </w:r>
      <w:r w:rsidR="00C63F8F" w:rsidRPr="00E27443">
        <w:t xml:space="preserve"> </w:t>
      </w:r>
      <w:r w:rsidRPr="00E27443">
        <w:t>the</w:t>
      </w:r>
      <w:r w:rsidR="00C63F8F" w:rsidRPr="00E27443">
        <w:t xml:space="preserve"> </w:t>
      </w:r>
      <w:r w:rsidRPr="00E27443">
        <w:t>decisions</w:t>
      </w:r>
      <w:r w:rsidR="00C63F8F" w:rsidRPr="00E27443">
        <w:t xml:space="preserve"> </w:t>
      </w:r>
      <w:r w:rsidRPr="00E27443">
        <w:t>and</w:t>
      </w:r>
      <w:r w:rsidR="00C63F8F" w:rsidRPr="00E27443">
        <w:t xml:space="preserve"> </w:t>
      </w:r>
      <w:r w:rsidRPr="00E27443">
        <w:t>knows</w:t>
      </w:r>
      <w:r w:rsidR="00C63F8F" w:rsidRPr="00E27443">
        <w:t xml:space="preserve"> </w:t>
      </w:r>
      <w:r w:rsidRPr="00E27443">
        <w:t>the</w:t>
      </w:r>
      <w:r w:rsidR="00C63F8F" w:rsidRPr="00E27443">
        <w:t xml:space="preserve"> </w:t>
      </w:r>
      <w:r w:rsidRPr="00E27443">
        <w:t>grounds</w:t>
      </w:r>
      <w:r w:rsidR="00C63F8F" w:rsidRPr="00E27443">
        <w:t xml:space="preserve"> </w:t>
      </w:r>
      <w:r w:rsidRPr="00E27443">
        <w:t>on</w:t>
      </w:r>
      <w:r w:rsidR="00C63F8F" w:rsidRPr="00E27443">
        <w:t xml:space="preserve"> </w:t>
      </w:r>
      <w:r w:rsidRPr="00E27443">
        <w:t>which</w:t>
      </w:r>
      <w:r w:rsidR="00C63F8F" w:rsidRPr="00E27443">
        <w:t xml:space="preserve"> </w:t>
      </w:r>
      <w:r w:rsidRPr="00E27443">
        <w:t>the</w:t>
      </w:r>
      <w:r w:rsidR="00C63F8F" w:rsidRPr="00E27443">
        <w:t xml:space="preserve"> </w:t>
      </w:r>
      <w:r w:rsidRPr="00E27443">
        <w:t>decisions</w:t>
      </w:r>
      <w:r w:rsidR="00C63F8F" w:rsidRPr="00E27443">
        <w:t xml:space="preserve"> </w:t>
      </w:r>
      <w:r w:rsidRPr="00E27443">
        <w:t>are</w:t>
      </w:r>
      <w:r w:rsidR="00C63F8F" w:rsidRPr="00E27443">
        <w:t xml:space="preserve"> </w:t>
      </w:r>
      <w:r w:rsidRPr="00E27443">
        <w:t>taken.</w:t>
      </w:r>
      <w:r w:rsidR="00C63F8F" w:rsidRPr="00E27443">
        <w:t xml:space="preserve"> </w:t>
      </w:r>
      <w:r w:rsidRPr="00E27443">
        <w:t>This</w:t>
      </w:r>
      <w:r w:rsidR="00C63F8F" w:rsidRPr="00E27443">
        <w:t xml:space="preserve"> </w:t>
      </w:r>
      <w:r w:rsidRPr="00E27443">
        <w:t>is</w:t>
      </w:r>
      <w:r w:rsidR="00C63F8F" w:rsidRPr="00E27443">
        <w:t xml:space="preserve"> </w:t>
      </w:r>
      <w:r w:rsidRPr="00E27443">
        <w:t>important,</w:t>
      </w:r>
      <w:r w:rsidR="00C63F8F" w:rsidRPr="00E27443">
        <w:t xml:space="preserve"> </w:t>
      </w:r>
      <w:r w:rsidRPr="00E27443">
        <w:t>both</w:t>
      </w:r>
      <w:r w:rsidR="00C63F8F" w:rsidRPr="00E27443">
        <w:t xml:space="preserve"> </w:t>
      </w:r>
      <w:r w:rsidRPr="00E27443">
        <w:t>for</w:t>
      </w:r>
      <w:r w:rsidR="00C63F8F" w:rsidRPr="00E27443">
        <w:t xml:space="preserve"> </w:t>
      </w:r>
      <w:r w:rsidRPr="00E27443">
        <w:t>due</w:t>
      </w:r>
      <w:r w:rsidR="00C63F8F" w:rsidRPr="00E27443">
        <w:t xml:space="preserve"> </w:t>
      </w:r>
      <w:r w:rsidRPr="00E27443">
        <w:t>process</w:t>
      </w:r>
      <w:r w:rsidR="00C63F8F" w:rsidRPr="00E27443">
        <w:t xml:space="preserve"> </w:t>
      </w:r>
      <w:r w:rsidRPr="00E27443">
        <w:t>and</w:t>
      </w:r>
      <w:r w:rsidR="00C63F8F" w:rsidRPr="00E27443">
        <w:t xml:space="preserve"> </w:t>
      </w:r>
      <w:r w:rsidRPr="00E27443">
        <w:t>for</w:t>
      </w:r>
      <w:r w:rsidR="00C63F8F" w:rsidRPr="00E27443">
        <w:t xml:space="preserve"> </w:t>
      </w:r>
      <w:r w:rsidRPr="00E27443">
        <w:t>ethical</w:t>
      </w:r>
      <w:r w:rsidR="00C63F8F" w:rsidRPr="00E27443">
        <w:t xml:space="preserve"> </w:t>
      </w:r>
      <w:r w:rsidRPr="00E27443">
        <w:t>reasons.</w:t>
      </w:r>
      <w:r w:rsidR="00C63F8F" w:rsidRPr="00E27443">
        <w:t xml:space="preserve"> </w:t>
      </w:r>
      <w:r w:rsidRPr="00E27443">
        <w:t>This</w:t>
      </w:r>
      <w:r w:rsidR="00C63F8F" w:rsidRPr="00E27443">
        <w:t xml:space="preserve"> </w:t>
      </w:r>
      <w:r w:rsidRPr="00E27443">
        <w:t>method</w:t>
      </w:r>
      <w:r w:rsidR="00C63F8F" w:rsidRPr="00E27443">
        <w:t xml:space="preserve"> </w:t>
      </w:r>
      <w:r w:rsidRPr="00E27443">
        <w:t>is</w:t>
      </w:r>
      <w:r w:rsidR="00C63F8F" w:rsidRPr="00E27443">
        <w:t xml:space="preserve"> </w:t>
      </w:r>
      <w:r w:rsidRPr="00E27443">
        <w:t>used</w:t>
      </w:r>
      <w:r w:rsidR="00C63F8F" w:rsidRPr="00E27443">
        <w:t xml:space="preserve"> </w:t>
      </w:r>
      <w:r w:rsidRPr="00E27443">
        <w:t>for</w:t>
      </w:r>
      <w:r w:rsidR="00C63F8F" w:rsidRPr="00E27443">
        <w:t xml:space="preserve"> </w:t>
      </w:r>
      <w:r w:rsidRPr="00E27443">
        <w:t>example</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abused</w:t>
      </w:r>
      <w:r w:rsidR="00C63F8F" w:rsidRPr="00E27443">
        <w:t xml:space="preserve"> </w:t>
      </w:r>
      <w:r w:rsidRPr="00E27443">
        <w:t>women</w:t>
      </w:r>
      <w:r w:rsidR="00C63F8F" w:rsidRPr="00E27443">
        <w:t xml:space="preserve"> </w:t>
      </w:r>
      <w:r w:rsidRPr="00E27443">
        <w:t>and</w:t>
      </w:r>
      <w:r w:rsidR="00C63F8F" w:rsidRPr="00E27443">
        <w:t xml:space="preserve"> </w:t>
      </w:r>
      <w:r w:rsidRPr="00E27443">
        <w:t>their</w:t>
      </w:r>
      <w:r w:rsidR="00C63F8F" w:rsidRPr="00E27443">
        <w:t xml:space="preserve"> </w:t>
      </w:r>
      <w:r w:rsidRPr="00E27443">
        <w:t>children.</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addition</w:t>
      </w:r>
      <w:r w:rsidR="00C63F8F" w:rsidRPr="00E27443">
        <w:t xml:space="preserve"> </w:t>
      </w:r>
      <w:r w:rsidRPr="00E27443">
        <w:t>to</w:t>
      </w:r>
      <w:r w:rsidR="00C63F8F" w:rsidRPr="00E27443">
        <w:t xml:space="preserve"> </w:t>
      </w:r>
      <w:r w:rsidRPr="00E27443">
        <w:t>clearer</w:t>
      </w:r>
      <w:r w:rsidR="00C63F8F" w:rsidRPr="00E27443">
        <w:t xml:space="preserve"> </w:t>
      </w:r>
      <w:r w:rsidRPr="00E27443">
        <w:t>and</w:t>
      </w:r>
      <w:r w:rsidR="00C63F8F" w:rsidRPr="00E27443">
        <w:t xml:space="preserve"> </w:t>
      </w:r>
      <w:r w:rsidRPr="00E27443">
        <w:t>more</w:t>
      </w:r>
      <w:r w:rsidR="00C63F8F" w:rsidRPr="00E27443">
        <w:t xml:space="preserve"> </w:t>
      </w:r>
      <w:r w:rsidRPr="00E27443">
        <w:t>efficient</w:t>
      </w:r>
      <w:r w:rsidR="00C63F8F" w:rsidRPr="00E27443">
        <w:t xml:space="preserve"> </w:t>
      </w:r>
      <w:r w:rsidRPr="00E27443">
        <w:t>supervision</w:t>
      </w:r>
      <w:r w:rsidR="00C63F8F" w:rsidRPr="00E27443">
        <w:t xml:space="preserve"> </w:t>
      </w:r>
      <w:r w:rsidRPr="00E27443">
        <w:t>and</w:t>
      </w:r>
      <w:r w:rsidR="00C63F8F" w:rsidRPr="00E27443">
        <w:t xml:space="preserve"> </w:t>
      </w:r>
      <w:r w:rsidRPr="00E27443">
        <w:t>support</w:t>
      </w:r>
      <w:r w:rsidR="00C63F8F" w:rsidRPr="00E27443">
        <w:t xml:space="preserve"> </w:t>
      </w:r>
      <w:r w:rsidRPr="00E27443">
        <w:t>for</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evidence-based</w:t>
      </w:r>
      <w:r w:rsidR="00C63F8F" w:rsidRPr="00E27443">
        <w:t xml:space="preserve"> </w:t>
      </w:r>
      <w:r w:rsidRPr="00E27443">
        <w:t>practice</w:t>
      </w:r>
      <w:r w:rsidR="00C63F8F" w:rsidRPr="00E27443">
        <w:t xml:space="preserve"> </w:t>
      </w:r>
      <w:r w:rsidRPr="00E27443">
        <w:t>within</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implemented</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changes</w:t>
      </w:r>
      <w:r w:rsidR="00C63F8F" w:rsidRPr="00E27443">
        <w:t xml:space="preserve"> </w:t>
      </w:r>
      <w:r w:rsidRPr="00E27443">
        <w:t>in</w:t>
      </w:r>
      <w:r w:rsidR="00C63F8F" w:rsidRPr="00E27443">
        <w:t xml:space="preserve"> </w:t>
      </w:r>
      <w:r w:rsidRPr="00E27443">
        <w:t>recent</w:t>
      </w:r>
      <w:r w:rsidR="00C63F8F" w:rsidRPr="00E27443">
        <w:t xml:space="preserve"> </w:t>
      </w:r>
      <w:r w:rsidRPr="00E27443">
        <w:t>times</w:t>
      </w:r>
      <w:r w:rsidR="00C63F8F" w:rsidRPr="00E27443">
        <w:t xml:space="preserve"> </w:t>
      </w:r>
      <w:r w:rsidRPr="00E27443">
        <w:t>and</w:t>
      </w:r>
      <w:r w:rsidR="00C63F8F" w:rsidRPr="00E27443">
        <w:t xml:space="preserve"> </w:t>
      </w:r>
      <w:r w:rsidRPr="00E27443">
        <w:t>has</w:t>
      </w:r>
      <w:r w:rsidR="00C63F8F" w:rsidRPr="00E27443">
        <w:t xml:space="preserve"> </w:t>
      </w:r>
      <w:r w:rsidRPr="00E27443">
        <w:t>developed</w:t>
      </w:r>
      <w:r w:rsidR="00C63F8F" w:rsidRPr="00E27443">
        <w:t xml:space="preserve"> </w:t>
      </w:r>
      <w:r w:rsidRPr="00E27443">
        <w:t>an</w:t>
      </w:r>
      <w:r w:rsidR="00C63F8F" w:rsidRPr="00E27443">
        <w:t xml:space="preserve"> </w:t>
      </w:r>
      <w:r w:rsidRPr="00E27443">
        <w:t>overall</w:t>
      </w:r>
      <w:r w:rsidR="00C63F8F" w:rsidRPr="00E27443">
        <w:t xml:space="preserve"> </w:t>
      </w:r>
      <w:r w:rsidRPr="00E27443">
        <w:t>action</w:t>
      </w:r>
      <w:r w:rsidR="00C63F8F" w:rsidRPr="00E27443">
        <w:t xml:space="preserve"> </w:t>
      </w:r>
      <w:r w:rsidRPr="00E27443">
        <w:t>plan</w:t>
      </w:r>
      <w:r w:rsidR="00C63F8F" w:rsidRPr="00E27443">
        <w:t xml:space="preserve"> </w:t>
      </w:r>
      <w:r w:rsidRPr="00E27443">
        <w:t>to</w:t>
      </w:r>
      <w:r w:rsidR="00C63F8F" w:rsidRPr="00E27443">
        <w:t xml:space="preserve"> </w:t>
      </w:r>
      <w:r w:rsidRPr="00E27443">
        <w:t>combat</w:t>
      </w:r>
      <w:r w:rsidR="00C63F8F" w:rsidRPr="00E27443">
        <w:t xml:space="preserve"> </w:t>
      </w:r>
      <w:r w:rsidRPr="00E27443">
        <w:t>the</w:t>
      </w:r>
      <w:r w:rsidR="00C63F8F" w:rsidRPr="00E27443">
        <w:t xml:space="preserve"> </w:t>
      </w:r>
      <w:r w:rsidRPr="00E27443">
        <w:t>abuse</w:t>
      </w:r>
      <w:r w:rsidR="00C63F8F" w:rsidRPr="00E27443">
        <w:t xml:space="preserve"> </w:t>
      </w:r>
      <w:r w:rsidRPr="00E27443">
        <w:t>of</w:t>
      </w:r>
      <w:r w:rsidR="00C63F8F" w:rsidRPr="00E27443">
        <w:t xml:space="preserve"> </w:t>
      </w:r>
      <w:r w:rsidRPr="00E27443">
        <w:t>women</w:t>
      </w:r>
      <w:r w:rsidR="00C63F8F" w:rsidRPr="00E27443">
        <w:t xml:space="preserve"> </w:t>
      </w:r>
      <w:r w:rsidRPr="00E27443">
        <w:t>by</w:t>
      </w:r>
      <w:r w:rsidR="00C63F8F" w:rsidRPr="00E27443">
        <w:t xml:space="preserve"> </w:t>
      </w:r>
      <w:r w:rsidRPr="00E27443">
        <w:t>men,</w:t>
      </w:r>
      <w:r w:rsidR="00C63F8F" w:rsidRPr="00E27443">
        <w:t xml:space="preserve"> </w:t>
      </w:r>
      <w:r w:rsidRPr="00E27443">
        <w:t>honour</w:t>
      </w:r>
      <w:r w:rsidR="00C63F8F" w:rsidRPr="00E27443">
        <w:t xml:space="preserve"> </w:t>
      </w:r>
      <w:r w:rsidRPr="00E27443">
        <w:t>violence</w:t>
      </w:r>
      <w:r w:rsidR="00C63F8F" w:rsidRPr="00E27443">
        <w:t xml:space="preserve"> </w:t>
      </w:r>
      <w:r w:rsidRPr="00E27443">
        <w:t>and</w:t>
      </w:r>
      <w:r w:rsidR="00C63F8F" w:rsidRPr="00E27443">
        <w:t xml:space="preserve"> </w:t>
      </w:r>
      <w:r w:rsidRPr="00E27443">
        <w:t>oppression,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violence</w:t>
      </w:r>
      <w:r w:rsidR="00C63F8F" w:rsidRPr="00E27443">
        <w:t xml:space="preserve"> </w:t>
      </w:r>
      <w:r w:rsidRPr="00E27443">
        <w:t>within</w:t>
      </w:r>
      <w:r w:rsidR="00C63F8F" w:rsidRPr="00E27443">
        <w:t xml:space="preserve"> </w:t>
      </w:r>
      <w:r w:rsidRPr="00E27443">
        <w:t>same-sex</w:t>
      </w:r>
      <w:r w:rsidR="00C63F8F" w:rsidRPr="00E27443">
        <w:t xml:space="preserve"> </w:t>
      </w:r>
      <w:r w:rsidRPr="00E27443">
        <w:t>relationships.</w:t>
      </w:r>
      <w:r w:rsidR="00073B44" w:rsidRPr="00E75253">
        <w:footnoteReference w:id="64"/>
      </w:r>
      <w:r w:rsidR="00C63F8F" w:rsidRPr="00E27443">
        <w:t xml:space="preserve"> </w:t>
      </w:r>
      <w:r w:rsidRPr="00E27443">
        <w:t>See</w:t>
      </w:r>
      <w:r w:rsidR="00C63F8F" w:rsidRPr="00E27443">
        <w:t xml:space="preserve"> </w:t>
      </w:r>
      <w:r w:rsidRPr="00E27443">
        <w:t>Article</w:t>
      </w:r>
      <w:r w:rsidR="00C63F8F" w:rsidRPr="00E27443">
        <w:t xml:space="preserve"> </w:t>
      </w:r>
      <w:r w:rsidRPr="00E27443">
        <w:t>6.</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On</w:t>
      </w:r>
      <w:r w:rsidR="00C63F8F" w:rsidRPr="00E27443">
        <w:t xml:space="preserve"> </w:t>
      </w:r>
      <w:r w:rsidRPr="00E27443">
        <w:t>1</w:t>
      </w:r>
      <w:r w:rsidR="00C63F8F" w:rsidRPr="00E27443">
        <w:t xml:space="preserve"> </w:t>
      </w:r>
      <w:r w:rsidRPr="00E27443">
        <w:t>July</w:t>
      </w:r>
      <w:r w:rsidR="00C63F8F" w:rsidRPr="00E27443">
        <w:t xml:space="preserve"> </w:t>
      </w:r>
      <w:r w:rsidRPr="00E27443">
        <w:t>2007,</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was</w:t>
      </w:r>
      <w:r w:rsidR="00C63F8F" w:rsidRPr="00E27443">
        <w:t xml:space="preserve"> </w:t>
      </w:r>
      <w:r w:rsidRPr="00E27443">
        <w:t>amended</w:t>
      </w:r>
      <w:r w:rsidR="00C63F8F" w:rsidRPr="00E27443">
        <w:t xml:space="preserve"> </w:t>
      </w:r>
      <w:r w:rsidRPr="00E27443">
        <w:t>to</w:t>
      </w:r>
      <w:r w:rsidR="00C63F8F" w:rsidRPr="00E27443">
        <w:t xml:space="preserve"> </w:t>
      </w:r>
      <w:r w:rsidRPr="00E27443">
        <w:t>clarify</w:t>
      </w:r>
      <w:r w:rsidR="00C63F8F" w:rsidRPr="00E27443">
        <w:t xml:space="preserve"> </w:t>
      </w:r>
      <w:r w:rsidRPr="00E27443">
        <w:t>the</w:t>
      </w:r>
      <w:r w:rsidR="00C63F8F" w:rsidRPr="00E27443">
        <w:t xml:space="preserve"> </w:t>
      </w:r>
      <w:r w:rsidRPr="00E27443">
        <w:t>social</w:t>
      </w:r>
      <w:r w:rsidR="00C63F8F" w:rsidRPr="00E27443">
        <w:t xml:space="preserve"> </w:t>
      </w:r>
      <w:r w:rsidRPr="00E27443">
        <w:t>welfare</w:t>
      </w:r>
      <w:r w:rsidR="00C63F8F" w:rsidRPr="00E27443">
        <w:t xml:space="preserve"> </w:t>
      </w:r>
      <w:r w:rsidRPr="00E27443">
        <w:t>boards</w:t>
      </w:r>
      <w:r w:rsidR="00C63F8F" w:rsidRPr="00E27443">
        <w:t xml:space="preserve">’ </w:t>
      </w:r>
      <w:r w:rsidRPr="00E27443">
        <w:t>obligation</w:t>
      </w:r>
      <w:r w:rsidR="00C63F8F" w:rsidRPr="00E27443">
        <w:t xml:space="preserve"> </w:t>
      </w:r>
      <w:r w:rsidRPr="00E27443">
        <w:t>to</w:t>
      </w:r>
      <w:r w:rsidR="00C63F8F" w:rsidRPr="00E27443">
        <w:t xml:space="preserve"> </w:t>
      </w:r>
      <w:r w:rsidRPr="00E27443">
        <w:t>pay</w:t>
      </w:r>
      <w:r w:rsidR="00C63F8F" w:rsidRPr="00E27443">
        <w:t xml:space="preserve"> </w:t>
      </w:r>
      <w:r w:rsidRPr="00E27443">
        <w:t>particular</w:t>
      </w:r>
      <w:r w:rsidR="00C63F8F" w:rsidRPr="00E27443">
        <w:t xml:space="preserve"> </w:t>
      </w:r>
      <w:r w:rsidRPr="00E27443">
        <w:t>attention</w:t>
      </w:r>
      <w:r w:rsidR="00C63F8F" w:rsidRPr="00E27443">
        <w:t xml:space="preserve"> </w:t>
      </w:r>
      <w:r w:rsidRPr="00E27443">
        <w:t>to</w:t>
      </w:r>
      <w:r w:rsidR="00C63F8F" w:rsidRPr="00E27443">
        <w:t xml:space="preserve"> </w:t>
      </w:r>
      <w:r w:rsidRPr="00E27443">
        <w:t>crime</w:t>
      </w:r>
      <w:r w:rsidR="00C63F8F" w:rsidRPr="00E27443">
        <w:t xml:space="preserve"> </w:t>
      </w:r>
      <w:r w:rsidRPr="00E27443">
        <w:t>victims</w:t>
      </w:r>
      <w:r w:rsidR="00C63F8F" w:rsidRPr="00E27443">
        <w:t xml:space="preserve">’ </w:t>
      </w:r>
      <w:r w:rsidRPr="00E27443">
        <w:t>need</w:t>
      </w:r>
      <w:r w:rsidR="00C63F8F" w:rsidRPr="00E27443">
        <w:t xml:space="preserve"> </w:t>
      </w:r>
      <w:r w:rsidRPr="00E27443">
        <w:t>for</w:t>
      </w:r>
      <w:r w:rsidR="00C63F8F" w:rsidRPr="00E27443">
        <w:t xml:space="preserve"> </w:t>
      </w:r>
      <w:r w:rsidRPr="00E27443">
        <w:t>support</w:t>
      </w:r>
      <w:r w:rsidR="00C63F8F" w:rsidRPr="00E27443">
        <w:t xml:space="preserve"> </w:t>
      </w:r>
      <w:r w:rsidRPr="00E27443">
        <w:t>and</w:t>
      </w:r>
      <w:r w:rsidR="00C63F8F" w:rsidRPr="00E27443">
        <w:t xml:space="preserve"> </w:t>
      </w:r>
      <w:r w:rsidRPr="00E27443">
        <w:t>assistance,</w:t>
      </w:r>
      <w:r w:rsidR="00C63F8F" w:rsidRPr="00E27443">
        <w:t xml:space="preserve"> </w:t>
      </w:r>
      <w:r w:rsidRPr="00E27443">
        <w:t>primarily</w:t>
      </w:r>
      <w:r w:rsidR="00C63F8F" w:rsidRPr="00E27443">
        <w:t xml:space="preserve"> </w:t>
      </w: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E27443">
        <w:t>women</w:t>
      </w:r>
      <w:r w:rsidR="00C63F8F" w:rsidRPr="00E27443">
        <w:t xml:space="preserve"> </w:t>
      </w:r>
      <w:r w:rsidRPr="00E27443">
        <w:t>and</w:t>
      </w:r>
      <w:r w:rsidR="00C63F8F" w:rsidRPr="00E27443">
        <w:t xml:space="preserve"> </w:t>
      </w:r>
      <w:r w:rsidRPr="00E27443">
        <w:t>children</w:t>
      </w:r>
      <w:r w:rsidR="00C63F8F" w:rsidRPr="00E27443">
        <w:t xml:space="preserve"> </w:t>
      </w:r>
      <w:r w:rsidRPr="00E27443">
        <w:t>who</w:t>
      </w:r>
      <w:r w:rsidR="00C63F8F" w:rsidRPr="00E27443">
        <w:t xml:space="preserve"> </w:t>
      </w:r>
      <w:r w:rsidRPr="00E27443">
        <w:t>have</w:t>
      </w:r>
      <w:r w:rsidR="00C63F8F" w:rsidRPr="00E27443">
        <w:t xml:space="preserve"> </w:t>
      </w:r>
      <w:r w:rsidRPr="00E27443">
        <w:t>witnessed</w:t>
      </w:r>
      <w:r w:rsidR="00C63F8F" w:rsidRPr="00E27443">
        <w:t xml:space="preserve"> </w:t>
      </w:r>
      <w:r w:rsidRPr="00E27443">
        <w:t>violence.</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the</w:t>
      </w:r>
      <w:r w:rsidR="00C63F8F" w:rsidRPr="00E27443">
        <w:t xml:space="preserve"> </w:t>
      </w:r>
      <w:r w:rsidRPr="00E27443">
        <w:t>change</w:t>
      </w:r>
      <w:r w:rsidR="00C63F8F" w:rsidRPr="00E27443">
        <w:t xml:space="preserve"> </w:t>
      </w:r>
      <w:r w:rsidRPr="00E27443">
        <w:t>to</w:t>
      </w:r>
      <w:r w:rsidR="00C63F8F" w:rsidRPr="00E27443">
        <w:t xml:space="preserve"> </w:t>
      </w:r>
      <w:r w:rsidRPr="00E27443">
        <w:t>the</w:t>
      </w:r>
      <w:r w:rsidR="00C63F8F" w:rsidRPr="00E27443">
        <w:t xml:space="preserve"> </w:t>
      </w:r>
      <w:r w:rsidRPr="00E27443">
        <w:t>law,</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assignments</w:t>
      </w:r>
      <w:r w:rsidR="00C63F8F" w:rsidRPr="00E27443">
        <w:t xml:space="preserve"> </w:t>
      </w:r>
      <w:r w:rsidRPr="00E27443">
        <w:t>were</w:t>
      </w:r>
      <w:r w:rsidR="00C63F8F" w:rsidRPr="00E27443">
        <w:t xml:space="preserve"> </w:t>
      </w:r>
      <w:r w:rsidRPr="00E27443">
        <w:t>awarded</w:t>
      </w:r>
      <w:r w:rsidR="00C63F8F" w:rsidRPr="00E27443">
        <w:t xml:space="preserve"> </w:t>
      </w:r>
      <w:r w:rsidRPr="00E27443">
        <w:t>to</w:t>
      </w:r>
      <w:r w:rsidR="00C63F8F" w:rsidRPr="00E27443">
        <w:t xml:space="preserve"> </w:t>
      </w:r>
      <w:r w:rsidRPr="00E27443">
        <w:t>supplement</w:t>
      </w:r>
      <w:r w:rsidR="00C63F8F" w:rsidRPr="00E27443">
        <w:t xml:space="preserve"> </w:t>
      </w:r>
      <w:r w:rsidRPr="00E27443">
        <w:t>and</w:t>
      </w:r>
      <w:r w:rsidR="00C63F8F" w:rsidRPr="00E27443">
        <w:t xml:space="preserve"> </w:t>
      </w:r>
      <w:r w:rsidRPr="00E27443">
        <w:t>facilitate</w:t>
      </w:r>
      <w:r w:rsidR="00C63F8F" w:rsidRPr="00E27443">
        <w:t xml:space="preserve"> </w:t>
      </w:r>
      <w:r w:rsidRPr="00E27443">
        <w:t>the</w:t>
      </w:r>
      <w:r w:rsidR="00C63F8F" w:rsidRPr="00E27443">
        <w:t xml:space="preserve"> </w:t>
      </w:r>
      <w:r w:rsidRPr="00E27443">
        <w:t>application</w:t>
      </w:r>
      <w:r w:rsidR="00C63F8F" w:rsidRPr="00E27443">
        <w:t xml:space="preserve"> </w:t>
      </w:r>
      <w:r w:rsidRPr="00E27443">
        <w:t>of</w:t>
      </w:r>
      <w:r w:rsidR="00C63F8F" w:rsidRPr="00E27443">
        <w:t xml:space="preserve"> </w:t>
      </w:r>
      <w:r w:rsidRPr="00E27443">
        <w:t>the</w:t>
      </w:r>
      <w:r w:rsidR="00C63F8F" w:rsidRPr="00E27443">
        <w:t xml:space="preserve"> </w:t>
      </w:r>
      <w:r w:rsidRPr="00E27443">
        <w:t>new</w:t>
      </w:r>
      <w:r w:rsidR="00C63F8F" w:rsidRPr="00E27443">
        <w:t xml:space="preserve"> </w:t>
      </w:r>
      <w:r w:rsidRPr="00E27443">
        <w:t>act,</w:t>
      </w:r>
      <w:r w:rsidR="00C63F8F" w:rsidRPr="00E27443">
        <w:t xml:space="preserve"> </w:t>
      </w:r>
      <w:r w:rsidRPr="00E27443">
        <w:t>e.g.</w:t>
      </w:r>
      <w:r w:rsidR="00C63F8F" w:rsidRPr="00E27443">
        <w:t xml:space="preserve"> </w:t>
      </w:r>
      <w:r w:rsidRPr="00E27443">
        <w:t>reinforced</w:t>
      </w:r>
      <w:r w:rsidR="00C63F8F" w:rsidRPr="00E27443">
        <w:t xml:space="preserve"> </w:t>
      </w:r>
      <w:r w:rsidRPr="00E27443">
        <w:t>supervision,</w:t>
      </w:r>
      <w:r w:rsidR="00C63F8F" w:rsidRPr="00E27443">
        <w:t xml:space="preserve"> </w:t>
      </w:r>
      <w:r w:rsidRPr="00E27443">
        <w:t>development</w:t>
      </w:r>
      <w:r w:rsidR="00C63F8F" w:rsidRPr="00E27443">
        <w:t xml:space="preserve"> </w:t>
      </w:r>
      <w:r w:rsidRPr="00E27443">
        <w:t>funds</w:t>
      </w:r>
      <w:r w:rsidR="00C63F8F" w:rsidRPr="00E27443">
        <w:t xml:space="preserve"> </w:t>
      </w:r>
      <w:r w:rsidRPr="00E27443">
        <w:t>to</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assignments</w:t>
      </w:r>
      <w:r w:rsidR="00C63F8F" w:rsidRPr="00E27443">
        <w:t xml:space="preserve"> </w:t>
      </w:r>
      <w:r w:rsidRPr="00E27443">
        <w:t>to</w:t>
      </w:r>
      <w:r w:rsidR="00C63F8F" w:rsidRPr="00E27443">
        <w:t xml:space="preserve"> </w:t>
      </w:r>
      <w:r w:rsidRPr="00E27443">
        <w:t>improve</w:t>
      </w:r>
      <w:r w:rsidR="00C63F8F" w:rsidRPr="00E27443">
        <w:t xml:space="preserve"> </w:t>
      </w:r>
      <w:r w:rsidRPr="00E27443">
        <w:t>knowledge</w:t>
      </w:r>
      <w:r w:rsidR="00C63F8F" w:rsidRPr="00E27443">
        <w:t xml:space="preserve"> </w:t>
      </w:r>
      <w:r w:rsidRPr="00E27443">
        <w:t>and</w:t>
      </w:r>
      <w:r w:rsidR="00C63F8F" w:rsidRPr="00E27443">
        <w:t xml:space="preserve"> </w:t>
      </w:r>
      <w:r w:rsidRPr="00E27443">
        <w:t>method</w:t>
      </w:r>
      <w:r w:rsidR="00C63F8F" w:rsidRPr="00E27443">
        <w:t xml:space="preserve"> </w:t>
      </w:r>
      <w:r w:rsidRPr="00E27443">
        <w:t>development.</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All</w:t>
      </w:r>
      <w:r w:rsidR="00C63F8F" w:rsidRPr="00E27443">
        <w:t xml:space="preserve"> </w:t>
      </w:r>
      <w:r w:rsidRPr="00E27443">
        <w:t>the</w:t>
      </w:r>
      <w:r w:rsidR="00C63F8F" w:rsidRPr="00E27443">
        <w:t xml:space="preserve"> </w:t>
      </w:r>
      <w:r w:rsidRPr="00E27443">
        <w:t>initiatives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implemented</w:t>
      </w:r>
      <w:r w:rsidR="00C63F8F" w:rsidRPr="00E27443">
        <w:t xml:space="preserve"> </w:t>
      </w:r>
      <w:r w:rsidRPr="00E27443">
        <w:t>cover</w:t>
      </w:r>
      <w:r w:rsidR="00C63F8F" w:rsidRPr="00E27443">
        <w:t xml:space="preserve"> </w:t>
      </w:r>
      <w:r w:rsidRPr="00E27443">
        <w:t>all</w:t>
      </w:r>
      <w:r w:rsidR="00C63F8F" w:rsidRPr="00E27443">
        <w:t xml:space="preserve"> </w:t>
      </w:r>
      <w:r w:rsidRPr="00E27443">
        <w:t>women</w:t>
      </w:r>
      <w:r w:rsidR="00C63F8F" w:rsidRPr="00E27443">
        <w:t xml:space="preserve"> </w:t>
      </w:r>
      <w:r w:rsidRPr="00E27443">
        <w:t>subjected</w:t>
      </w:r>
      <w:r w:rsidR="00C63F8F" w:rsidRPr="00E27443">
        <w:t xml:space="preserve"> </w:t>
      </w:r>
      <w:r w:rsidRPr="00E27443">
        <w:t>to</w:t>
      </w:r>
      <w:r w:rsidR="00C63F8F" w:rsidRPr="00E27443">
        <w:t xml:space="preserve"> </w:t>
      </w:r>
      <w:r w:rsidRPr="00E27443">
        <w:t>violence,</w:t>
      </w:r>
      <w:r w:rsidR="00C63F8F" w:rsidRPr="00E27443">
        <w:t xml:space="preserve"> </w:t>
      </w:r>
      <w:r w:rsidRPr="00E27443">
        <w:t>including</w:t>
      </w:r>
      <w:r w:rsidR="00C63F8F" w:rsidRPr="00E27443">
        <w:t xml:space="preserve"> </w:t>
      </w:r>
      <w:r w:rsidRPr="00E27443">
        <w:t>particularly</w:t>
      </w:r>
      <w:r w:rsidR="00C63F8F" w:rsidRPr="00E27443">
        <w:t xml:space="preserve"> </w:t>
      </w:r>
      <w:r w:rsidRPr="00E27443">
        <w:t>vulnerable</w:t>
      </w:r>
      <w:r w:rsidR="00C63F8F" w:rsidRPr="00E27443">
        <w:t xml:space="preserve"> </w:t>
      </w:r>
      <w:r w:rsidRPr="00E27443">
        <w:t>groups</w:t>
      </w:r>
      <w:r w:rsidR="00C63F8F" w:rsidRPr="00E27443">
        <w:t xml:space="preserve"> </w:t>
      </w:r>
      <w:r w:rsidRPr="00E27443">
        <w:t>such</w:t>
      </w:r>
      <w:r w:rsidR="00C63F8F" w:rsidRPr="00E27443">
        <w:t xml:space="preserve"> </w:t>
      </w:r>
      <w:r w:rsidRPr="00E27443">
        <w:t>as</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or</w:t>
      </w:r>
      <w:r w:rsidR="00C63F8F" w:rsidRPr="00E27443">
        <w:t xml:space="preserve"> </w:t>
      </w:r>
      <w:r w:rsidRPr="00E27443">
        <w:t>addictions,</w:t>
      </w:r>
      <w:r w:rsidR="00C63F8F" w:rsidRPr="00E27443">
        <w:t xml:space="preserve"> </w:t>
      </w:r>
      <w:r w:rsidRPr="00E27443">
        <w:t>irrespective</w:t>
      </w:r>
      <w:r w:rsidR="00C63F8F" w:rsidRPr="00E27443">
        <w:t xml:space="preserve"> </w:t>
      </w:r>
      <w:r w:rsidRPr="00E27443">
        <w:t>of</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in</w:t>
      </w:r>
      <w:r w:rsidR="00C63F8F" w:rsidRPr="00E27443">
        <w:t xml:space="preserve"> </w:t>
      </w:r>
      <w:r w:rsidRPr="00E27443">
        <w:t>which</w:t>
      </w:r>
      <w:r w:rsidR="00C63F8F" w:rsidRPr="00E27443">
        <w:t xml:space="preserve"> </w:t>
      </w:r>
      <w:r w:rsidRPr="00E27443">
        <w:t>they</w:t>
      </w:r>
      <w:r w:rsidR="00C63F8F" w:rsidRPr="00E27443">
        <w:t xml:space="preserve"> </w:t>
      </w:r>
      <w:r w:rsidRPr="00E27443">
        <w:t>live.</w:t>
      </w:r>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disability</w:t>
      </w:r>
      <w:r w:rsidR="00C63F8F" w:rsidRPr="00E27443">
        <w:t xml:space="preserve"> </w:t>
      </w:r>
      <w:r w:rsidRPr="00E27443">
        <w:t>organisations</w:t>
      </w:r>
      <w:r w:rsidR="00C63F8F" w:rsidRPr="00E27443">
        <w:t xml:space="preserve"> </w:t>
      </w:r>
      <w:r w:rsidRPr="00E27443">
        <w:t>have</w:t>
      </w:r>
      <w:r w:rsidR="00C63F8F" w:rsidRPr="00E27443">
        <w:t xml:space="preserve"> </w:t>
      </w:r>
      <w:r w:rsidRPr="00E27443">
        <w:t>an</w:t>
      </w:r>
      <w:r w:rsidR="00C63F8F" w:rsidRPr="00E27443">
        <w:t xml:space="preserve"> </w:t>
      </w:r>
      <w:r w:rsidRPr="00E27443">
        <w:t>important</w:t>
      </w:r>
      <w:r w:rsidR="00C63F8F" w:rsidRPr="00E27443">
        <w:t xml:space="preserve"> </w:t>
      </w:r>
      <w:r w:rsidRPr="00E27443">
        <w:t>role</w:t>
      </w:r>
      <w:r w:rsidR="00C63F8F" w:rsidRPr="00E27443">
        <w:t xml:space="preserve"> </w:t>
      </w:r>
      <w:r w:rsidRPr="00E27443">
        <w:t>to</w:t>
      </w:r>
      <w:r w:rsidR="00C63F8F" w:rsidRPr="00E27443">
        <w:t xml:space="preserve"> </w:t>
      </w:r>
      <w:r w:rsidRPr="00E27443">
        <w:t>play</w:t>
      </w:r>
      <w:r w:rsidR="00C63F8F" w:rsidRPr="00E27443">
        <w:t xml:space="preserve"> </w:t>
      </w:r>
      <w:r w:rsidRPr="00E27443">
        <w:t>in</w:t>
      </w:r>
      <w:r w:rsidR="00C63F8F" w:rsidRPr="00E27443">
        <w:t xml:space="preserve"> </w:t>
      </w:r>
      <w:r w:rsidRPr="00E27443">
        <w:t>building</w:t>
      </w:r>
      <w:r w:rsidR="00C63F8F" w:rsidRPr="00E27443">
        <w:t xml:space="preserve"> </w:t>
      </w:r>
      <w:r w:rsidRPr="00E27443">
        <w:t>up</w:t>
      </w:r>
      <w:r w:rsidR="00C63F8F" w:rsidRPr="00E27443">
        <w:t xml:space="preserve"> </w:t>
      </w:r>
      <w:r w:rsidRPr="00E27443">
        <w:t>and</w:t>
      </w:r>
      <w:r w:rsidR="00C63F8F" w:rsidRPr="00E27443">
        <w:t xml:space="preserve"> </w:t>
      </w:r>
      <w:r w:rsidRPr="00E27443">
        <w:t>communicating</w:t>
      </w:r>
      <w:r w:rsidR="00C63F8F" w:rsidRPr="00E27443">
        <w:t xml:space="preserve"> </w:t>
      </w:r>
      <w:r w:rsidRPr="00E27443">
        <w:t>knowledge</w:t>
      </w:r>
      <w:r w:rsidR="00C63F8F" w:rsidRPr="00E27443">
        <w:t xml:space="preserve"> </w:t>
      </w:r>
      <w:r w:rsidRPr="00E27443">
        <w:t>on</w:t>
      </w:r>
      <w:r w:rsidR="00C63F8F" w:rsidRPr="00E27443">
        <w:t xml:space="preserve"> </w:t>
      </w:r>
      <w:r w:rsidRPr="00E27443">
        <w:t>this</w:t>
      </w:r>
      <w:r w:rsidR="00C63F8F" w:rsidRPr="00E27443">
        <w:t xml:space="preserve"> </w:t>
      </w:r>
      <w:r w:rsidRPr="00E27443">
        <w:t>issue</w:t>
      </w:r>
      <w:r w:rsidR="00C63F8F" w:rsidRPr="00E27443">
        <w:t xml:space="preserve"> </w:t>
      </w:r>
      <w:r w:rsidRPr="00E27443">
        <w:t>as</w:t>
      </w:r>
      <w:r w:rsidR="00C63F8F" w:rsidRPr="00E27443">
        <w:t xml:space="preserve"> </w:t>
      </w:r>
      <w:r w:rsidRPr="00E27443">
        <w:t>well.</w:t>
      </w:r>
      <w:r w:rsidR="00C63F8F" w:rsidRPr="00E27443">
        <w:t xml:space="preserve"> </w:t>
      </w:r>
      <w:r w:rsidRPr="00E27443">
        <w:t>For</w:t>
      </w:r>
      <w:r w:rsidR="00C63F8F" w:rsidRPr="00E27443">
        <w:t xml:space="preserve"> </w:t>
      </w:r>
      <w:r w:rsidRPr="00E27443">
        <w:t>this</w:t>
      </w:r>
      <w:r w:rsidR="00C63F8F" w:rsidRPr="00E27443">
        <w:t xml:space="preserve"> </w:t>
      </w:r>
      <w:r w:rsidRPr="00E27443">
        <w:t>reason,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provided</w:t>
      </w:r>
      <w:r w:rsidR="00C63F8F" w:rsidRPr="00E27443">
        <w:t xml:space="preserve"> </w:t>
      </w:r>
      <w:r w:rsidRPr="00E27443">
        <w:t>the</w:t>
      </w:r>
      <w:r w:rsidR="00C63F8F" w:rsidRPr="00E27443">
        <w:t xml:space="preserve"> </w:t>
      </w:r>
      <w:r w:rsidRPr="00E27443">
        <w:t>organisations</w:t>
      </w:r>
      <w:r w:rsidR="00C63F8F" w:rsidRPr="00E27443">
        <w:t xml:space="preserve"> </w:t>
      </w:r>
      <w:r w:rsidRPr="00E27443">
        <w:t>with</w:t>
      </w:r>
      <w:r w:rsidR="00C63F8F" w:rsidRPr="00E27443">
        <w:t xml:space="preserve"> </w:t>
      </w:r>
      <w:r w:rsidRPr="00E27443">
        <w:t>SEK</w:t>
      </w:r>
      <w:r w:rsidR="00C63F8F" w:rsidRPr="00E27443">
        <w:t xml:space="preserve"> </w:t>
      </w:r>
      <w:r w:rsidRPr="00E27443">
        <w:t>2</w:t>
      </w:r>
      <w:r w:rsidR="00C63F8F" w:rsidRPr="00E27443">
        <w:t xml:space="preserve"> </w:t>
      </w:r>
      <w:r w:rsidRPr="00E27443">
        <w:t>million</w:t>
      </w:r>
      <w:r w:rsidR="00C63F8F" w:rsidRPr="00E27443">
        <w:t xml:space="preserve"> </w:t>
      </w:r>
      <w:r w:rsidRPr="00E27443">
        <w:t>for</w:t>
      </w:r>
      <w:r w:rsidR="00C63F8F" w:rsidRPr="00E27443">
        <w:t xml:space="preserve"> </w:t>
      </w:r>
      <w:r w:rsidRPr="00E27443">
        <w:t>projects</w:t>
      </w:r>
      <w:r w:rsidR="00C63F8F" w:rsidRPr="00E27443">
        <w:t xml:space="preserve"> </w:t>
      </w:r>
      <w:r w:rsidRPr="00E27443">
        <w:t>intended</w:t>
      </w:r>
      <w:r w:rsidR="00C63F8F" w:rsidRPr="00E27443">
        <w:t xml:space="preserve"> </w:t>
      </w:r>
      <w:r w:rsidRPr="00E27443">
        <w:t>to</w:t>
      </w:r>
      <w:r w:rsidR="00C63F8F" w:rsidRPr="00E27443">
        <w:t xml:space="preserve"> </w:t>
      </w:r>
      <w:r w:rsidRPr="00E27443">
        <w:t>prevent</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and/or</w:t>
      </w:r>
      <w:r w:rsidR="00C63F8F" w:rsidRPr="00E27443">
        <w:t xml:space="preserve"> </w:t>
      </w:r>
      <w:r w:rsidRPr="00E27443">
        <w:t>projects</w:t>
      </w:r>
      <w:r w:rsidR="00C63F8F" w:rsidRPr="00E27443">
        <w:t xml:space="preserve"> </w:t>
      </w:r>
      <w:r w:rsidRPr="00E27443">
        <w:t>that</w:t>
      </w:r>
      <w:r w:rsidR="00C63F8F" w:rsidRPr="00E27443">
        <w:t xml:space="preserve"> </w:t>
      </w:r>
      <w:r w:rsidRPr="00E27443">
        <w:t>provide</w:t>
      </w:r>
      <w:r w:rsidR="00C63F8F" w:rsidRPr="00E27443">
        <w:t xml:space="preserve"> </w:t>
      </w:r>
      <w:r w:rsidRPr="00E27443">
        <w:t>support</w:t>
      </w:r>
      <w:r w:rsidR="00C63F8F" w:rsidRPr="00E27443">
        <w:t xml:space="preserve"> </w:t>
      </w:r>
      <w:r w:rsidRPr="00E27443">
        <w:t>to</w:t>
      </w:r>
      <w:r w:rsidR="00C63F8F" w:rsidRPr="00E27443">
        <w:t xml:space="preserve"> </w:t>
      </w:r>
      <w:r w:rsidRPr="00E27443">
        <w:t>those</w:t>
      </w:r>
      <w:r w:rsidR="00C63F8F" w:rsidRPr="00E27443">
        <w:t xml:space="preserve"> </w:t>
      </w:r>
      <w:r w:rsidRPr="00E27443">
        <w:t>who</w:t>
      </w:r>
      <w:r w:rsidR="00C63F8F" w:rsidRPr="00E27443">
        <w:t xml:space="preserve"> </w:t>
      </w:r>
      <w:r w:rsidRPr="00E27443">
        <w:t>have</w:t>
      </w:r>
      <w:r w:rsidR="00C63F8F" w:rsidRPr="00E27443">
        <w:t xml:space="preserve"> </w:t>
      </w:r>
      <w:r w:rsidRPr="00E27443">
        <w:t>been</w:t>
      </w:r>
      <w:r w:rsidR="00C63F8F" w:rsidRPr="00E27443">
        <w:t xml:space="preserve"> </w:t>
      </w:r>
      <w:r w:rsidRPr="00E27443">
        <w:t>subjected</w:t>
      </w:r>
      <w:r w:rsidR="00C63F8F" w:rsidRPr="00E27443">
        <w:t xml:space="preserve"> </w:t>
      </w:r>
      <w:r w:rsidRPr="00E27443">
        <w:t>to</w:t>
      </w:r>
      <w:r w:rsidR="00C63F8F" w:rsidRPr="00E27443">
        <w:t xml:space="preserve"> </w:t>
      </w:r>
      <w:r w:rsidRPr="00E27443">
        <w:t>violence.</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these</w:t>
      </w:r>
      <w:r w:rsidR="00C63F8F" w:rsidRPr="00E27443">
        <w:t xml:space="preserve"> </w:t>
      </w:r>
      <w:r w:rsidRPr="00E27443">
        <w:t>projects</w:t>
      </w:r>
      <w:r w:rsidR="00C63F8F" w:rsidRPr="00E27443">
        <w:t xml:space="preserve"> </w:t>
      </w:r>
      <w:r w:rsidRPr="00E27443">
        <w:t>have</w:t>
      </w:r>
      <w:r w:rsidR="00C63F8F" w:rsidRPr="00E27443">
        <w:t xml:space="preserve"> </w:t>
      </w:r>
      <w:r w:rsidRPr="00E27443">
        <w:t>increased</w:t>
      </w:r>
      <w:r w:rsidR="00C63F8F" w:rsidRPr="00E27443">
        <w:t xml:space="preserve"> </w:t>
      </w:r>
      <w:r w:rsidRPr="00E27443">
        <w:t>awareness</w:t>
      </w:r>
      <w:r w:rsidR="00C63F8F" w:rsidRPr="00E27443">
        <w:t xml:space="preserve"> </w:t>
      </w:r>
      <w:r w:rsidRPr="00E27443">
        <w:t>about</w:t>
      </w:r>
      <w:r w:rsidR="00C63F8F" w:rsidRPr="00E27443">
        <w:t xml:space="preserve"> </w:t>
      </w:r>
      <w:r w:rsidRPr="00E27443">
        <w:t>the</w:t>
      </w:r>
      <w:r w:rsidR="00C63F8F" w:rsidRPr="00E27443">
        <w:t xml:space="preserve"> </w:t>
      </w:r>
      <w:r w:rsidRPr="00E27443">
        <w:t>vulnerability</w:t>
      </w:r>
      <w:r w:rsidR="00C63F8F" w:rsidRPr="00E27443">
        <w:t xml:space="preserve"> </w:t>
      </w:r>
      <w:r w:rsidRPr="00E27443">
        <w:t>of</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improved</w:t>
      </w:r>
      <w:r w:rsidR="00C63F8F" w:rsidRPr="00E27443">
        <w:t xml:space="preserve"> </w:t>
      </w:r>
      <w:r w:rsidRPr="00E27443">
        <w:t>contact</w:t>
      </w:r>
      <w:r w:rsidR="00C63F8F" w:rsidRPr="00E27443">
        <w:t xml:space="preserve"> </w:t>
      </w:r>
      <w:r w:rsidRPr="00E27443">
        <w:t>with</w:t>
      </w:r>
      <w:r w:rsidR="00C63F8F" w:rsidRPr="00E27443">
        <w:t xml:space="preserve"> </w:t>
      </w:r>
      <w:r w:rsidRPr="00E27443">
        <w:t>the</w:t>
      </w:r>
      <w:r w:rsidR="00C63F8F" w:rsidRPr="00E27443">
        <w:t xml:space="preserve"> </w:t>
      </w:r>
      <w:r w:rsidRPr="00E27443">
        <w:t>disabled</w:t>
      </w:r>
      <w:r w:rsidR="00C63F8F" w:rsidRPr="00E27443">
        <w:t xml:space="preserve"> </w:t>
      </w:r>
      <w:r w:rsidRPr="00E27443">
        <w:t>person</w:t>
      </w:r>
      <w:r w:rsidR="00C63F8F" w:rsidRPr="00E27443">
        <w:t>’</w:t>
      </w:r>
      <w:r w:rsidRPr="00E27443">
        <w:t>s</w:t>
      </w:r>
      <w:r w:rsidR="00C63F8F" w:rsidRPr="00E27443">
        <w:t xml:space="preserve"> </w:t>
      </w:r>
      <w:r w:rsidRPr="00E27443">
        <w:t>movement</w:t>
      </w:r>
      <w:r w:rsidR="00C63F8F" w:rsidRPr="00E27443">
        <w:t xml:space="preserve"> </w:t>
      </w:r>
      <w:r w:rsidRPr="00E27443">
        <w:t>and</w:t>
      </w:r>
      <w:r w:rsidR="00C63F8F" w:rsidRPr="00E27443">
        <w:t xml:space="preserve"> </w:t>
      </w:r>
      <w:r w:rsidRPr="00E27443">
        <w:t>women</w:t>
      </w:r>
      <w:r w:rsidR="00C63F8F" w:rsidRPr="00E27443">
        <w:t>’</w:t>
      </w:r>
      <w:r w:rsidRPr="00E27443">
        <w:t>s</w:t>
      </w:r>
      <w:r w:rsidR="00C63F8F" w:rsidRPr="00E27443">
        <w:t xml:space="preserve"> </w:t>
      </w:r>
      <w:r w:rsidRPr="00E27443">
        <w:t>shelters.</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has</w:t>
      </w:r>
      <w:r w:rsidR="00C63F8F" w:rsidRPr="00E27443">
        <w:t xml:space="preserve"> </w:t>
      </w:r>
      <w:r w:rsidRPr="00E27443">
        <w:t>also</w:t>
      </w:r>
      <w:r w:rsidR="00C63F8F" w:rsidRPr="00E27443">
        <w:t xml:space="preserve"> </w:t>
      </w:r>
      <w:r w:rsidRPr="00E27443">
        <w:t>produced</w:t>
      </w:r>
      <w:r w:rsidR="00C63F8F" w:rsidRPr="00E27443">
        <w:t xml:space="preserve"> </w:t>
      </w:r>
      <w:r w:rsidRPr="00E27443">
        <w:t>training</w:t>
      </w:r>
      <w:r w:rsidR="00C63F8F" w:rsidRPr="00E27443">
        <w:t xml:space="preserve"> </w:t>
      </w:r>
      <w:r w:rsidRPr="00E27443">
        <w:t>material,</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assignment,</w:t>
      </w:r>
      <w:r w:rsidR="00C63F8F" w:rsidRPr="00E27443">
        <w:t xml:space="preserve"> </w:t>
      </w:r>
      <w:r w:rsidRPr="00E27443">
        <w:t>that</w:t>
      </w:r>
      <w:r w:rsidR="00C63F8F" w:rsidRPr="00E27443">
        <w:t xml:space="preserve"> </w:t>
      </w:r>
      <w:r w:rsidRPr="00E27443">
        <w:t>highlights</w:t>
      </w:r>
      <w:r w:rsidR="00C63F8F" w:rsidRPr="00E27443">
        <w:t xml:space="preserve"> </w:t>
      </w:r>
      <w:r w:rsidRPr="00E27443">
        <w:t>the</w:t>
      </w:r>
      <w:r w:rsidR="00C63F8F" w:rsidRPr="00E27443">
        <w:t xml:space="preserve"> </w:t>
      </w:r>
      <w:r w:rsidRPr="00E27443">
        <w:t>problem</w:t>
      </w:r>
      <w:r w:rsidR="00C63F8F" w:rsidRPr="00E27443">
        <w:t xml:space="preserve"> </w:t>
      </w:r>
      <w:r w:rsidRPr="00E27443">
        <w:t>of</w:t>
      </w:r>
      <w:r w:rsidR="00C63F8F" w:rsidRPr="00E27443">
        <w:t xml:space="preserve"> </w:t>
      </w:r>
      <w:r w:rsidRPr="00E27443">
        <w:t>violence</w:t>
      </w:r>
      <w:r w:rsidR="00C63F8F" w:rsidRPr="00E27443">
        <w:t xml:space="preserve"> </w:t>
      </w:r>
      <w:r w:rsidRPr="00E27443">
        <w:t>targeted</w:t>
      </w:r>
      <w:r w:rsidR="00C63F8F" w:rsidRPr="00E27443">
        <w:t xml:space="preserve"> </w:t>
      </w:r>
      <w:r w:rsidRPr="00E27443">
        <w:t>at</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E75253">
      <w:pPr>
        <w:pStyle w:val="SingleTxtG"/>
        <w:numPr>
          <w:ilvl w:val="0"/>
          <w:numId w:val="20"/>
        </w:numPr>
        <w:tabs>
          <w:tab w:val="left" w:pos="1843"/>
        </w:tabs>
        <w:ind w:left="1134" w:firstLine="0"/>
      </w:pPr>
      <w:r w:rsidRPr="00E27443">
        <w:t>In</w:t>
      </w:r>
      <w:r w:rsidR="00C63F8F" w:rsidRPr="00E27443">
        <w:t xml:space="preserve"> </w:t>
      </w:r>
      <w:r w:rsidRPr="00E27443">
        <w:t>the</w:t>
      </w:r>
      <w:r w:rsidR="00C63F8F" w:rsidRPr="00E27443">
        <w:t xml:space="preserve"> </w:t>
      </w:r>
      <w:r w:rsidRPr="00E27443">
        <w:t>basic</w:t>
      </w:r>
      <w:r w:rsidR="00C63F8F" w:rsidRPr="00E27443">
        <w:t xml:space="preserve"> </w:t>
      </w:r>
      <w:r w:rsidRPr="00E27443">
        <w:t>training</w:t>
      </w:r>
      <w:r w:rsidR="00C63F8F" w:rsidRPr="00E27443">
        <w:t xml:space="preserve"> </w:t>
      </w:r>
      <w:r w:rsidRPr="00E27443">
        <w:t>of</w:t>
      </w:r>
      <w:r w:rsidR="00C63F8F" w:rsidRPr="00E27443">
        <w:t xml:space="preserve"> </w:t>
      </w:r>
      <w:r w:rsidRPr="00E27443">
        <w:t>prosecutors</w:t>
      </w:r>
      <w:r w:rsidR="00C63F8F" w:rsidRPr="00E27443">
        <w:t xml:space="preserve"> </w:t>
      </w:r>
      <w:r w:rsidRPr="00E27443">
        <w:t>and</w:t>
      </w:r>
      <w:r w:rsidR="00C63F8F" w:rsidRPr="00E27443">
        <w:t xml:space="preserve"> </w:t>
      </w:r>
      <w:r w:rsidRPr="00E27443">
        <w:t>in</w:t>
      </w:r>
      <w:r w:rsidR="00C63F8F" w:rsidRPr="00E27443">
        <w:t xml:space="preserve"> </w:t>
      </w:r>
      <w:r w:rsidRPr="00E27443">
        <w:t>continued/specialist</w:t>
      </w:r>
      <w:r w:rsidR="00C63F8F" w:rsidRPr="00E27443">
        <w:t xml:space="preserve"> </w:t>
      </w:r>
      <w:r w:rsidRPr="00E27443">
        <w:t>training,</w:t>
      </w:r>
      <w:r w:rsidR="00C63F8F" w:rsidRPr="00E27443">
        <w:t xml:space="preserve"> </w:t>
      </w:r>
      <w:r w:rsidRPr="00E27443">
        <w:t>the</w:t>
      </w:r>
      <w:r w:rsidR="00C63F8F" w:rsidRPr="00E27443">
        <w:t xml:space="preserve"> </w:t>
      </w:r>
      <w:r w:rsidRPr="00E27443">
        <w:t>Swedish</w:t>
      </w:r>
      <w:r w:rsidR="00C63F8F" w:rsidRPr="00E27443">
        <w:t xml:space="preserve"> </w:t>
      </w:r>
      <w:r w:rsidRPr="00E27443">
        <w:t>Prosecution</w:t>
      </w:r>
      <w:r w:rsidR="00C63F8F" w:rsidRPr="00E27443">
        <w:t xml:space="preserve"> </w:t>
      </w:r>
      <w:r w:rsidRPr="00E27443">
        <w:t>Authority</w:t>
      </w:r>
      <w:r w:rsidR="00C63F8F" w:rsidRPr="00E27443">
        <w:t xml:space="preserve"> </w:t>
      </w:r>
      <w:r w:rsidRPr="00E27443">
        <w:t>includes</w:t>
      </w:r>
      <w:r w:rsidR="00C63F8F" w:rsidRPr="00E27443">
        <w:t xml:space="preserve"> </w:t>
      </w:r>
      <w:r w:rsidRPr="00E27443">
        <w:t>issues</w:t>
      </w:r>
      <w:r w:rsidR="00C63F8F" w:rsidRPr="00E27443">
        <w:t xml:space="preserve"> </w:t>
      </w:r>
      <w:r w:rsidRPr="00E27443">
        <w:t>relating</w:t>
      </w:r>
      <w:r w:rsidR="00C63F8F" w:rsidRPr="00E27443">
        <w:t xml:space="preserve"> </w:t>
      </w:r>
      <w:r w:rsidRPr="00E27443">
        <w:t>to</w:t>
      </w:r>
      <w:r w:rsidR="00C63F8F" w:rsidRPr="00E27443">
        <w:t xml:space="preserve"> </w:t>
      </w:r>
      <w:r w:rsidRPr="00E27443">
        <w:t>the</w:t>
      </w:r>
      <w:r w:rsidR="00C63F8F" w:rsidRPr="00E27443">
        <w:t xml:space="preserve"> </w:t>
      </w:r>
      <w:r w:rsidRPr="00E27443">
        <w:t>treatment</w:t>
      </w:r>
      <w:r w:rsidR="00C63F8F" w:rsidRPr="00E27443">
        <w:t xml:space="preserve"> </w:t>
      </w:r>
      <w:r w:rsidRPr="00E27443">
        <w:t>of</w:t>
      </w:r>
      <w:r w:rsidR="00C63F8F" w:rsidRPr="00E27443">
        <w:t xml:space="preserve"> </w:t>
      </w:r>
      <w:r w:rsidRPr="00E27443">
        <w:t>various</w:t>
      </w:r>
      <w:r w:rsidR="00C63F8F" w:rsidRPr="00E27443">
        <w:t xml:space="preserve"> </w:t>
      </w:r>
      <w:r w:rsidRPr="00E27443">
        <w:t>victims</w:t>
      </w:r>
      <w:r w:rsidR="00C63F8F" w:rsidRPr="00E27443">
        <w:t xml:space="preserve"> </w:t>
      </w:r>
      <w:r w:rsidRPr="00E27443">
        <w:t>of</w:t>
      </w:r>
      <w:r w:rsidR="00C63F8F" w:rsidRPr="00E27443">
        <w:t xml:space="preserve"> </w:t>
      </w:r>
      <w:r w:rsidRPr="00E27443">
        <w:t>crime;</w:t>
      </w:r>
      <w:r w:rsidR="00C63F8F" w:rsidRPr="00E27443">
        <w:t xml:space="preserve"> </w:t>
      </w:r>
      <w:r w:rsidRPr="00E27443">
        <w:t>in</w:t>
      </w:r>
      <w:r w:rsidR="00C63F8F" w:rsidRPr="00E27443">
        <w:t xml:space="preserve"> </w:t>
      </w:r>
      <w:r w:rsidRPr="00E27443">
        <w:t>its</w:t>
      </w:r>
      <w:r w:rsidR="00C63F8F" w:rsidRPr="00E27443">
        <w:t xml:space="preserve"> </w:t>
      </w:r>
      <w:r w:rsidRPr="00E27443">
        <w:t>continued/specialist</w:t>
      </w:r>
      <w:r w:rsidR="00C63F8F" w:rsidRPr="00E27443">
        <w:t xml:space="preserve"> </w:t>
      </w:r>
      <w:r w:rsidRPr="00E27443">
        <w:t>training</w:t>
      </w:r>
      <w:r w:rsidR="00C63F8F" w:rsidRPr="00E27443">
        <w:t xml:space="preserve"> </w:t>
      </w:r>
      <w:r w:rsidRPr="00E27443">
        <w:t>it</w:t>
      </w:r>
      <w:r w:rsidR="00C63F8F" w:rsidRPr="00E27443">
        <w:t xml:space="preserve"> </w:t>
      </w:r>
      <w:r w:rsidRPr="00E27443">
        <w:t>includes</w:t>
      </w:r>
      <w:r w:rsidR="00C63F8F" w:rsidRPr="00E27443">
        <w:t xml:space="preserve"> </w:t>
      </w:r>
      <w:r w:rsidRPr="00E27443">
        <w:t>the</w:t>
      </w:r>
      <w:r w:rsidR="00C63F8F" w:rsidRPr="00E27443">
        <w:t xml:space="preserve"> </w:t>
      </w:r>
      <w:r w:rsidRPr="00E27443">
        <w:t>treatment</w:t>
      </w:r>
      <w:r w:rsidR="00C63F8F" w:rsidRPr="00E27443">
        <w:t xml:space="preserve"> </w:t>
      </w:r>
      <w:r w:rsidRPr="00E27443">
        <w:t>of</w:t>
      </w:r>
      <w:r w:rsidR="00C63F8F" w:rsidRPr="00E27443">
        <w:t xml:space="preserve"> </w:t>
      </w:r>
      <w:r w:rsidRPr="00E27443">
        <w:t>young</w:t>
      </w:r>
      <w:r w:rsidR="00C63F8F" w:rsidRPr="00E27443">
        <w:t xml:space="preserve"> </w:t>
      </w:r>
      <w:r w:rsidRPr="00E27443">
        <w:t>persons</w:t>
      </w:r>
      <w:r w:rsidR="00C63F8F" w:rsidRPr="00E27443">
        <w:t xml:space="preserve"> </w:t>
      </w:r>
      <w:r w:rsidRPr="00E27443">
        <w:t>and</w:t>
      </w:r>
      <w:r w:rsidR="00C63F8F" w:rsidRPr="00E27443">
        <w:t xml:space="preserve"> </w:t>
      </w:r>
      <w:r w:rsidRPr="00E27443">
        <w:t>children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In</w:t>
      </w:r>
      <w:r w:rsidR="00C63F8F" w:rsidRPr="00E27443">
        <w:t xml:space="preserve"> </w:t>
      </w:r>
      <w:r w:rsidRPr="00E27443">
        <w:t>cases</w:t>
      </w:r>
      <w:r w:rsidR="00C63F8F" w:rsidRPr="00E27443">
        <w:t xml:space="preserve"> </w:t>
      </w:r>
      <w:r w:rsidRPr="00E27443">
        <w:t>involving</w:t>
      </w:r>
      <w:r w:rsidR="00C63F8F" w:rsidRPr="00E27443">
        <w:t xml:space="preserve"> </w:t>
      </w:r>
      <w:r w:rsidRPr="00E27443">
        <w:t>crime</w:t>
      </w:r>
      <w:r w:rsidR="00C63F8F" w:rsidRPr="00E27443">
        <w:t xml:space="preserve"> </w:t>
      </w:r>
      <w:r w:rsidRPr="00E27443">
        <w:t>victims</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that</w:t>
      </w:r>
      <w:r w:rsidR="00C63F8F" w:rsidRPr="00E27443">
        <w:t xml:space="preserve"> </w:t>
      </w:r>
      <w:r w:rsidRPr="00E27443">
        <w:t>has</w:t>
      </w:r>
      <w:r w:rsidR="00C63F8F" w:rsidRPr="00E27443">
        <w:t xml:space="preserve"> </w:t>
      </w:r>
      <w:r w:rsidRPr="00E27443">
        <w:t>been</w:t>
      </w:r>
      <w:r w:rsidR="00C63F8F" w:rsidRPr="00E27443">
        <w:t xml:space="preserve"> </w:t>
      </w:r>
      <w:r w:rsidRPr="00E27443">
        <w:t>of</w:t>
      </w:r>
      <w:r w:rsidR="00C63F8F" w:rsidRPr="00E27443">
        <w:t xml:space="preserve"> </w:t>
      </w:r>
      <w:r w:rsidRPr="00E27443">
        <w:t>some</w:t>
      </w:r>
      <w:r w:rsidR="00C63F8F" w:rsidRPr="00E27443">
        <w:t xml:space="preserve"> </w:t>
      </w:r>
      <w:r w:rsidRPr="00E27443">
        <w:t>significance</w:t>
      </w:r>
      <w:r w:rsidR="00C63F8F" w:rsidRPr="00E27443">
        <w:t xml:space="preserve"> </w:t>
      </w:r>
      <w:r w:rsidRPr="00E27443">
        <w:t>in</w:t>
      </w:r>
      <w:r w:rsidR="00C63F8F" w:rsidRPr="00E27443">
        <w:t xml:space="preserve"> </w:t>
      </w:r>
      <w:r w:rsidRPr="00E27443">
        <w:t>the</w:t>
      </w:r>
      <w:r w:rsidR="00C63F8F" w:rsidRPr="00E27443">
        <w:t xml:space="preserve"> </w:t>
      </w:r>
      <w:r w:rsidRPr="00E27443">
        <w:t>situation,</w:t>
      </w:r>
      <w:r w:rsidR="00C63F8F" w:rsidRPr="00E27443">
        <w:t xml:space="preserve"> </w:t>
      </w:r>
      <w:r w:rsidRPr="00E27443">
        <w:t>this</w:t>
      </w:r>
      <w:r w:rsidR="00C63F8F" w:rsidRPr="00E27443">
        <w:t xml:space="preserve"> </w:t>
      </w:r>
      <w:r w:rsidRPr="00E27443">
        <w:t>generally</w:t>
      </w:r>
      <w:r w:rsidR="00C63F8F" w:rsidRPr="00E27443">
        <w:t xml:space="preserve"> </w:t>
      </w:r>
      <w:r w:rsidRPr="00E27443">
        <w:t>constitutes</w:t>
      </w:r>
      <w:r w:rsidR="00C63F8F" w:rsidRPr="00E27443">
        <w:t xml:space="preserve"> </w:t>
      </w:r>
      <w:r w:rsidRPr="00E27443">
        <w:t>grounds</w:t>
      </w:r>
      <w:r w:rsidR="00C63F8F" w:rsidRPr="00E27443">
        <w:t xml:space="preserve"> </w:t>
      </w:r>
      <w:r w:rsidRPr="00E27443">
        <w:t>for</w:t>
      </w:r>
      <w:r w:rsidR="00C63F8F" w:rsidRPr="00E27443">
        <w:t xml:space="preserve"> </w:t>
      </w:r>
      <w:r w:rsidRPr="00E27443">
        <w:t>the</w:t>
      </w:r>
      <w:r w:rsidR="00C63F8F" w:rsidRPr="00E27443">
        <w:t xml:space="preserve"> </w:t>
      </w:r>
      <w:r w:rsidRPr="00E27443">
        <w:t>prosecutor</w:t>
      </w:r>
      <w:r w:rsidR="00C63F8F" w:rsidRPr="00E27443">
        <w:t xml:space="preserve"> </w:t>
      </w:r>
      <w:r w:rsidRPr="00E27443">
        <w:t>to</w:t>
      </w:r>
      <w:r w:rsidR="00C63F8F" w:rsidRPr="00E27443">
        <w:t xml:space="preserve"> </w:t>
      </w:r>
      <w:r w:rsidRPr="00E27443">
        <w:t>call</w:t>
      </w:r>
      <w:r w:rsidR="00C63F8F" w:rsidRPr="00E27443">
        <w:t xml:space="preserve"> </w:t>
      </w:r>
      <w:r w:rsidRPr="00E27443">
        <w:t>for</w:t>
      </w:r>
      <w:r w:rsidR="00C63F8F" w:rsidRPr="00E27443">
        <w:t xml:space="preserve"> </w:t>
      </w:r>
      <w:r w:rsidRPr="00E27443">
        <w:t>a</w:t>
      </w:r>
      <w:r w:rsidR="00C63F8F" w:rsidRPr="00E27443">
        <w:t xml:space="preserve"> </w:t>
      </w:r>
      <w:r w:rsidRPr="00E27443">
        <w:t>more</w:t>
      </w:r>
      <w:r w:rsidR="00C63F8F" w:rsidRPr="00E27443">
        <w:t xml:space="preserve"> </w:t>
      </w:r>
      <w:r w:rsidRPr="00E27443">
        <w:t>severe</w:t>
      </w:r>
      <w:r w:rsidR="00C63F8F" w:rsidRPr="00E27443">
        <w:t xml:space="preserve"> </w:t>
      </w:r>
      <w:r w:rsidRPr="00E27443">
        <w:t>penalty.</w:t>
      </w:r>
      <w:r w:rsidR="00C63F8F" w:rsidRPr="00E27443">
        <w:t xml:space="preserve"> </w:t>
      </w:r>
      <w:r w:rsidRPr="00E27443">
        <w:t>This</w:t>
      </w:r>
      <w:r w:rsidR="00C63F8F" w:rsidRPr="00E27443">
        <w:t xml:space="preserve"> </w:t>
      </w:r>
      <w:r w:rsidRPr="00E27443">
        <w:t>can</w:t>
      </w:r>
      <w:r w:rsidR="00C63F8F" w:rsidRPr="00E27443">
        <w:t xml:space="preserve"> </w:t>
      </w:r>
      <w:r w:rsidRPr="00E27443">
        <w:t>also</w:t>
      </w:r>
      <w:r w:rsidR="00C63F8F" w:rsidRPr="00E27443">
        <w:t xml:space="preserve"> </w:t>
      </w:r>
      <w:r w:rsidRPr="00E27443">
        <w:t>have</w:t>
      </w:r>
      <w:r w:rsidR="00C63F8F" w:rsidRPr="00E27443">
        <w:t xml:space="preserve"> </w:t>
      </w:r>
      <w:r w:rsidRPr="00E27443">
        <w:t>an</w:t>
      </w:r>
      <w:r w:rsidR="00C63F8F" w:rsidRPr="00E27443">
        <w:t xml:space="preserve"> </w:t>
      </w:r>
      <w:r w:rsidRPr="00E27443">
        <w:t>impact</w:t>
      </w:r>
      <w:r w:rsidR="00C63F8F" w:rsidRPr="00E27443">
        <w:t xml:space="preserve"> </w:t>
      </w:r>
      <w:r w:rsidRPr="00E27443">
        <w:t>on</w:t>
      </w:r>
      <w:r w:rsidR="00C63F8F" w:rsidRPr="00E27443">
        <w:t xml:space="preserve"> </w:t>
      </w:r>
      <w:r w:rsidRPr="00E27443">
        <w:t>the</w:t>
      </w:r>
      <w:r w:rsidR="00C63F8F" w:rsidRPr="00E27443">
        <w:t xml:space="preserve"> </w:t>
      </w:r>
      <w:r w:rsidRPr="00E27443">
        <w:t>assessment</w:t>
      </w:r>
      <w:r w:rsidR="00C63F8F" w:rsidRPr="00E27443">
        <w:t xml:space="preserve"> </w:t>
      </w:r>
      <w:r w:rsidRPr="00E27443">
        <w:t>of</w:t>
      </w:r>
      <w:r w:rsidR="00C63F8F" w:rsidRPr="00E27443">
        <w:t xml:space="preserve"> </w:t>
      </w:r>
      <w:r w:rsidRPr="00E27443">
        <w:t>liability</w:t>
      </w:r>
      <w:r w:rsidR="00C63F8F" w:rsidRPr="00E27443">
        <w:t xml:space="preserve"> </w:t>
      </w:r>
      <w:r w:rsidRPr="00E27443">
        <w:t>and</w:t>
      </w:r>
      <w:r w:rsidR="00C63F8F" w:rsidRPr="00E27443">
        <w:t xml:space="preserve"> </w:t>
      </w:r>
      <w:r w:rsidRPr="00E27443">
        <w:t>damages.</w:t>
      </w:r>
    </w:p>
    <w:p w:rsidR="00321ADA" w:rsidRPr="00E27443" w:rsidRDefault="005158D8" w:rsidP="005158D8">
      <w:pPr>
        <w:pStyle w:val="H1G"/>
      </w:pPr>
      <w:r w:rsidRPr="00E27443">
        <w:tab/>
      </w:r>
      <w:r w:rsidRPr="00E27443">
        <w:tab/>
      </w:r>
      <w:bookmarkStart w:id="17" w:name="_Toc290623301"/>
      <w:r w:rsidR="00321ADA" w:rsidRPr="00E27443">
        <w:t>Article</w:t>
      </w:r>
      <w:r w:rsidR="00C63F8F" w:rsidRPr="00E27443">
        <w:t xml:space="preserve"> </w:t>
      </w:r>
      <w:r w:rsidR="00321ADA" w:rsidRPr="00E27443">
        <w:t>17</w:t>
      </w:r>
      <w:r w:rsidR="00E75253">
        <w:t xml:space="preserve">: </w:t>
      </w:r>
      <w:r w:rsidR="00321ADA" w:rsidRPr="00E27443">
        <w:t>Protecting</w:t>
      </w:r>
      <w:r w:rsidR="00C63F8F" w:rsidRPr="00E27443">
        <w:t xml:space="preserve"> </w:t>
      </w:r>
      <w:r w:rsidR="00321ADA" w:rsidRPr="00E27443">
        <w:t>the</w:t>
      </w:r>
      <w:r w:rsidR="00C63F8F" w:rsidRPr="00E27443">
        <w:t xml:space="preserve"> </w:t>
      </w:r>
      <w:r w:rsidR="00321ADA" w:rsidRPr="00E27443">
        <w:t>integrity</w:t>
      </w:r>
      <w:r w:rsidR="00C63F8F" w:rsidRPr="00E27443">
        <w:t xml:space="preserve"> </w:t>
      </w:r>
      <w:r w:rsidR="00321ADA" w:rsidRPr="00E27443">
        <w:t>of</w:t>
      </w:r>
      <w:r w:rsidR="00C63F8F" w:rsidRPr="00E27443">
        <w:t xml:space="preserve"> </w:t>
      </w:r>
      <w:r w:rsidR="00321ADA" w:rsidRPr="00E27443">
        <w:t>the</w:t>
      </w:r>
      <w:r w:rsidR="00C63F8F" w:rsidRPr="00E27443">
        <w:t xml:space="preserve"> </w:t>
      </w:r>
      <w:r w:rsidR="00321ADA" w:rsidRPr="00E27443">
        <w:t>person</w:t>
      </w:r>
      <w:bookmarkEnd w:id="17"/>
    </w:p>
    <w:p w:rsidR="00321ADA" w:rsidRPr="00E27443" w:rsidRDefault="00321ADA" w:rsidP="00E75253">
      <w:pPr>
        <w:pStyle w:val="SingleTxtG"/>
        <w:numPr>
          <w:ilvl w:val="0"/>
          <w:numId w:val="20"/>
        </w:numPr>
        <w:tabs>
          <w:tab w:val="left" w:pos="1843"/>
        </w:tabs>
        <w:ind w:left="1134" w:firstLine="0"/>
      </w:pPr>
      <w:r w:rsidRPr="00E27443">
        <w:t>The</w:t>
      </w:r>
      <w:r w:rsidR="00C63F8F" w:rsidRPr="00E27443">
        <w:t xml:space="preserve"> </w:t>
      </w:r>
      <w:r w:rsidRPr="00E27443">
        <w:t>rights</w:t>
      </w:r>
      <w:r w:rsidR="00C63F8F" w:rsidRPr="00E27443">
        <w:t xml:space="preserve"> </w:t>
      </w:r>
      <w:r w:rsidRPr="00E27443">
        <w:t>and</w:t>
      </w:r>
      <w:r w:rsidR="00C63F8F" w:rsidRPr="00E27443">
        <w:t xml:space="preserve"> </w:t>
      </w:r>
      <w:r w:rsidRPr="00E27443">
        <w:t>liberties</w:t>
      </w:r>
      <w:r w:rsidR="00C63F8F" w:rsidRPr="00E27443">
        <w:t xml:space="preserve"> </w:t>
      </w:r>
      <w:r w:rsidRPr="00E27443">
        <w:t>enjoyed</w:t>
      </w:r>
      <w:r w:rsidR="00C63F8F" w:rsidRPr="00E27443">
        <w:t xml:space="preserve"> </w:t>
      </w:r>
      <w:r w:rsidRPr="00E27443">
        <w:t>by</w:t>
      </w:r>
      <w:r w:rsidR="00C63F8F" w:rsidRPr="00E27443">
        <w:t xml:space="preserve"> </w:t>
      </w:r>
      <w:r w:rsidRPr="00E27443">
        <w:t>people</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are</w:t>
      </w:r>
      <w:r w:rsidR="00C63F8F" w:rsidRPr="00E27443">
        <w:t xml:space="preserve"> </w:t>
      </w:r>
      <w:r w:rsidRPr="00E27443">
        <w:t>protected</w:t>
      </w:r>
      <w:r w:rsidR="00C63F8F" w:rsidRPr="00E27443">
        <w:t xml:space="preserve"> </w:t>
      </w:r>
      <w:r w:rsidRPr="00E27443">
        <w:t>primarily</w:t>
      </w:r>
      <w:r w:rsidR="00C63F8F" w:rsidRPr="00E27443">
        <w:t xml:space="preserve"> </w:t>
      </w:r>
      <w:r w:rsidRPr="00E27443">
        <w:t>in</w:t>
      </w:r>
      <w:r w:rsidR="00C63F8F" w:rsidRPr="00E27443">
        <w:t xml:space="preserve"> </w:t>
      </w:r>
      <w:r w:rsidRPr="00E27443">
        <w:t>three</w:t>
      </w:r>
      <w:r w:rsidR="00C63F8F" w:rsidRPr="00E27443">
        <w:t xml:space="preserve"> </w:t>
      </w:r>
      <w:r w:rsidRPr="00E27443">
        <w:t>constitutional</w:t>
      </w:r>
      <w:r w:rsidR="00C63F8F" w:rsidRPr="00E27443">
        <w:t xml:space="preserve"> </w:t>
      </w:r>
      <w:r w:rsidRPr="00E27443">
        <w:t>laws:</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B11212" w:rsidRPr="00E27443">
        <w:rPr>
          <w:rStyle w:val="FootnoteReference"/>
        </w:rPr>
        <w:footnoteReference w:id="65"/>
      </w:r>
      <w:r w:rsidR="00C63F8F" w:rsidRPr="00E27443">
        <w:t xml:space="preserve"> </w:t>
      </w:r>
      <w:r w:rsidRPr="00E27443">
        <w:t>the</w:t>
      </w:r>
      <w:r w:rsidR="00C63F8F" w:rsidRPr="00E27443">
        <w:t xml:space="preserve"> </w:t>
      </w:r>
      <w:r w:rsidRPr="00E27443">
        <w:t>Freedom</w:t>
      </w:r>
      <w:r w:rsidR="00C63F8F" w:rsidRPr="00E27443">
        <w:t xml:space="preserve"> </w:t>
      </w:r>
      <w:r w:rsidRPr="00E27443">
        <w:t>of</w:t>
      </w:r>
      <w:r w:rsidR="00C63F8F" w:rsidRPr="00E27443">
        <w:t xml:space="preserve"> </w:t>
      </w:r>
      <w:r w:rsidRPr="00E27443">
        <w:t>the</w:t>
      </w:r>
      <w:r w:rsidR="00C63F8F" w:rsidRPr="00E27443">
        <w:t xml:space="preserve"> </w:t>
      </w:r>
      <w:r w:rsidRPr="00E27443">
        <w:t>Press</w:t>
      </w:r>
      <w:r w:rsidR="00C63F8F" w:rsidRPr="00E27443">
        <w:t xml:space="preserve"> </w:t>
      </w:r>
      <w:r w:rsidRPr="00E27443">
        <w:t>Act</w:t>
      </w:r>
      <w:r w:rsidR="00B11212" w:rsidRPr="00E27443">
        <w:rPr>
          <w:rStyle w:val="FootnoteReference"/>
        </w:rPr>
        <w:footnoteReference w:id="66"/>
      </w:r>
      <w:r w:rsidR="00C63F8F" w:rsidRPr="00E27443">
        <w:t xml:space="preserve"> </w:t>
      </w:r>
      <w:r w:rsidRPr="00E27443">
        <w:t>and</w:t>
      </w:r>
      <w:r w:rsidR="00C63F8F" w:rsidRPr="00E27443">
        <w:t xml:space="preserve"> </w:t>
      </w:r>
      <w:r w:rsidRPr="00E27443">
        <w:t>the</w:t>
      </w:r>
      <w:r w:rsidR="00C63F8F" w:rsidRPr="00E27443">
        <w:t xml:space="preserve"> </w:t>
      </w:r>
      <w:r w:rsidRPr="00E27443">
        <w:t>Freedom</w:t>
      </w:r>
      <w:r w:rsidR="00C63F8F" w:rsidRPr="00E27443">
        <w:t xml:space="preserve"> </w:t>
      </w:r>
      <w:r w:rsidRPr="00E27443">
        <w:t>of</w:t>
      </w:r>
      <w:r w:rsidR="00C63F8F" w:rsidRPr="00E27443">
        <w:t xml:space="preserve"> </w:t>
      </w:r>
      <w:r w:rsidRPr="00E27443">
        <w:t>Expression</w:t>
      </w:r>
      <w:r w:rsidR="00C63F8F" w:rsidRPr="00E27443">
        <w:t xml:space="preserve"> </w:t>
      </w:r>
      <w:r w:rsidRPr="00E27443">
        <w:t>Act.</w:t>
      </w:r>
      <w:r w:rsidR="00B11212" w:rsidRPr="00E27443">
        <w:rPr>
          <w:rStyle w:val="FootnoteReference"/>
        </w:rPr>
        <w:footnoteReference w:id="67"/>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stipulates</w:t>
      </w:r>
      <w:r w:rsidR="00C63F8F" w:rsidRPr="00E27443">
        <w:t xml:space="preserve"> </w:t>
      </w:r>
      <w:r w:rsidRPr="00E27443">
        <w:t>that</w:t>
      </w:r>
      <w:r w:rsidR="00C63F8F" w:rsidRPr="00E27443">
        <w:t xml:space="preserve"> </w:t>
      </w:r>
      <w:r w:rsidRPr="00E27443">
        <w:t>public</w:t>
      </w:r>
      <w:r w:rsidR="00C63F8F" w:rsidRPr="00E27443">
        <w:t xml:space="preserve"> </w:t>
      </w:r>
      <w:r w:rsidRPr="00E27443">
        <w:t>power</w:t>
      </w:r>
      <w:r w:rsidR="00C63F8F" w:rsidRPr="00E27443">
        <w:t xml:space="preserve"> </w:t>
      </w:r>
      <w:r w:rsidRPr="00E27443">
        <w:t>must</w:t>
      </w:r>
      <w:r w:rsidR="00C63F8F" w:rsidRPr="00E27443">
        <w:t xml:space="preserve"> </w:t>
      </w:r>
      <w:r w:rsidRPr="00E27443">
        <w:t>be</w:t>
      </w:r>
      <w:r w:rsidR="00C63F8F" w:rsidRPr="00E27443">
        <w:t xml:space="preserve"> </w:t>
      </w:r>
      <w:r w:rsidRPr="00E27443">
        <w:t>exercised</w:t>
      </w:r>
      <w:r w:rsidR="00C63F8F" w:rsidRPr="00E27443">
        <w:t xml:space="preserve"> </w:t>
      </w:r>
      <w:r w:rsidRPr="00E27443">
        <w:t>with</w:t>
      </w:r>
      <w:r w:rsidR="00C63F8F" w:rsidRPr="00E27443">
        <w:t xml:space="preserve"> </w:t>
      </w:r>
      <w:r w:rsidRPr="00E27443">
        <w:t>respect</w:t>
      </w:r>
      <w:r w:rsidR="00C63F8F" w:rsidRPr="00E27443">
        <w:t xml:space="preserve"> </w:t>
      </w:r>
      <w:r w:rsidRPr="00E27443">
        <w:t>for</w:t>
      </w:r>
      <w:r w:rsidR="00C63F8F" w:rsidRPr="00E27443">
        <w:t xml:space="preserve"> </w:t>
      </w:r>
      <w:r w:rsidRPr="00E27443">
        <w:t>the</w:t>
      </w:r>
      <w:r w:rsidR="00C63F8F" w:rsidRPr="00E27443">
        <w:t xml:space="preserve"> </w:t>
      </w:r>
      <w:r w:rsidRPr="00E27443">
        <w:t>equal</w:t>
      </w:r>
      <w:r w:rsidR="00C63F8F" w:rsidRPr="00E27443">
        <w:t xml:space="preserve"> </w:t>
      </w:r>
      <w:r w:rsidRPr="00E27443">
        <w:t>value</w:t>
      </w:r>
      <w:r w:rsidR="00C63F8F" w:rsidRPr="00E27443">
        <w:t xml:space="preserve"> </w:t>
      </w:r>
      <w:r w:rsidRPr="00E27443">
        <w:t>of</w:t>
      </w:r>
      <w:r w:rsidR="00C63F8F" w:rsidRPr="00E27443">
        <w:t xml:space="preserve"> </w:t>
      </w:r>
      <w:r w:rsidRPr="00E27443">
        <w:t>all</w:t>
      </w:r>
      <w:r w:rsidR="00C63F8F" w:rsidRPr="00E27443">
        <w:t xml:space="preserve"> </w:t>
      </w:r>
      <w:r w:rsidRPr="00E27443">
        <w:t>people</w:t>
      </w:r>
      <w:r w:rsidR="00C63F8F" w:rsidRPr="00E27443">
        <w:t xml:space="preserve"> </w:t>
      </w:r>
      <w:r w:rsidRPr="00E27443">
        <w:t>and</w:t>
      </w:r>
      <w:r w:rsidR="00C63F8F" w:rsidRPr="00E27443">
        <w:t xml:space="preserve"> </w:t>
      </w:r>
      <w:r w:rsidRPr="00E27443">
        <w:t>for</w:t>
      </w:r>
      <w:r w:rsidR="00C63F8F" w:rsidRPr="00E27443">
        <w:t xml:space="preserve"> </w:t>
      </w:r>
      <w:r w:rsidRPr="00E27443">
        <w:t>the</w:t>
      </w:r>
      <w:r w:rsidR="00C63F8F" w:rsidRPr="00E27443">
        <w:t xml:space="preserve"> </w:t>
      </w:r>
      <w:r w:rsidRPr="00E27443">
        <w:t>liberty</w:t>
      </w:r>
      <w:r w:rsidR="00C63F8F" w:rsidRPr="00E27443">
        <w:t xml:space="preserve"> </w:t>
      </w:r>
      <w:r w:rsidRPr="00E27443">
        <w:t>and</w:t>
      </w:r>
      <w:r w:rsidR="00C63F8F" w:rsidRPr="00E27443">
        <w:t xml:space="preserve"> </w:t>
      </w:r>
      <w:r w:rsidRPr="00E27443">
        <w:t>dignity</w:t>
      </w:r>
      <w:r w:rsidR="00C63F8F" w:rsidRPr="00E27443">
        <w:t xml:space="preserve"> </w:t>
      </w:r>
      <w:r w:rsidRPr="00E27443">
        <w:t>of</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also</w:t>
      </w:r>
      <w:r w:rsidR="00C63F8F" w:rsidRPr="00E27443">
        <w:t xml:space="preserve"> </w:t>
      </w:r>
      <w:r w:rsidRPr="00E27443">
        <w:t>contains</w:t>
      </w:r>
      <w:r w:rsidR="00C63F8F" w:rsidRPr="00E27443">
        <w:t xml:space="preserve"> </w:t>
      </w:r>
      <w:r w:rsidRPr="00E27443">
        <w:t>a</w:t>
      </w:r>
      <w:r w:rsidR="00C63F8F" w:rsidRPr="00E27443">
        <w:t xml:space="preserve"> </w:t>
      </w:r>
      <w:r w:rsidRPr="00E27443">
        <w:t>listing</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r w:rsidR="00C63F8F" w:rsidRPr="00E27443">
        <w:t xml:space="preserve"> </w:t>
      </w:r>
      <w:r w:rsidRPr="00E27443">
        <w:t>and</w:t>
      </w:r>
      <w:r w:rsidR="00C63F8F" w:rsidRPr="00E27443">
        <w:t xml:space="preserve"> </w:t>
      </w:r>
      <w:r w:rsidRPr="00E27443">
        <w:t>freedoms,</w:t>
      </w:r>
      <w:r w:rsidR="00C63F8F" w:rsidRPr="00E27443">
        <w:t xml:space="preserve"> </w:t>
      </w:r>
      <w:r w:rsidRPr="00E27443">
        <w:t>some</w:t>
      </w:r>
      <w:r w:rsidR="00C63F8F" w:rsidRPr="00E27443">
        <w:t xml:space="preserve"> </w:t>
      </w:r>
      <w:r w:rsidRPr="00E27443">
        <w:t>of</w:t>
      </w:r>
      <w:r w:rsidR="00C63F8F" w:rsidRPr="00E27443">
        <w:t xml:space="preserve"> </w:t>
      </w:r>
      <w:r w:rsidRPr="00E27443">
        <w:t>which</w:t>
      </w:r>
      <w:r w:rsidR="00C63F8F" w:rsidRPr="00E27443">
        <w:t xml:space="preserve"> </w:t>
      </w:r>
      <w:r w:rsidRPr="00E27443">
        <w:t>are</w:t>
      </w:r>
      <w:r w:rsidR="00C63F8F" w:rsidRPr="00E27443">
        <w:t xml:space="preserve"> </w:t>
      </w:r>
      <w:r w:rsidRPr="00E27443">
        <w:t>deemed</w:t>
      </w:r>
      <w:r w:rsidR="00C63F8F" w:rsidRPr="00E27443">
        <w:t xml:space="preserve"> </w:t>
      </w:r>
      <w:r w:rsidRPr="00E27443">
        <w:t>to</w:t>
      </w:r>
      <w:r w:rsidR="00C63F8F" w:rsidRPr="00E27443">
        <w:t xml:space="preserve"> </w:t>
      </w:r>
      <w:r w:rsidRPr="00E27443">
        <w:t>be</w:t>
      </w:r>
      <w:r w:rsidR="00C63F8F" w:rsidRPr="00E27443">
        <w:t xml:space="preserve"> </w:t>
      </w:r>
      <w:r w:rsidRPr="00E27443">
        <w:t>absolute.</w:t>
      </w:r>
      <w:r w:rsidR="00C63F8F" w:rsidRPr="00E27443">
        <w:t xml:space="preserve"> </w:t>
      </w:r>
      <w:r w:rsidRPr="00E27443">
        <w:t>This</w:t>
      </w:r>
      <w:r w:rsidR="00C63F8F" w:rsidRPr="00E27443">
        <w:t xml:space="preserve"> </w:t>
      </w:r>
      <w:r w:rsidRPr="00E27443">
        <w:t>means</w:t>
      </w:r>
      <w:r w:rsidR="00C63F8F" w:rsidRPr="00E27443">
        <w:t xml:space="preserve"> </w:t>
      </w:r>
      <w:r w:rsidRPr="00E27443">
        <w:t>that</w:t>
      </w:r>
      <w:r w:rsidR="00C63F8F" w:rsidRPr="00E27443">
        <w:t xml:space="preserve"> </w:t>
      </w:r>
      <w:r w:rsidRPr="00E27443">
        <w:t>no</w:t>
      </w:r>
      <w:r w:rsidR="00C63F8F" w:rsidRPr="00E27443">
        <w:t xml:space="preserve"> </w:t>
      </w:r>
      <w:r w:rsidRPr="00E27443">
        <w:t>limitations</w:t>
      </w:r>
      <w:r w:rsidR="00C63F8F" w:rsidRPr="00E27443">
        <w:t xml:space="preserve"> </w:t>
      </w:r>
      <w:r w:rsidRPr="00E27443">
        <w:t>are</w:t>
      </w:r>
      <w:r w:rsidR="00C63F8F" w:rsidRPr="00E27443">
        <w:t xml:space="preserve"> </w:t>
      </w:r>
      <w:r w:rsidRPr="00E27443">
        <w:t>permitted.</w:t>
      </w:r>
      <w:r w:rsidR="00B11212" w:rsidRPr="00E27443">
        <w:rPr>
          <w:rStyle w:val="FootnoteReference"/>
        </w:rPr>
        <w:footnoteReference w:id="68"/>
      </w:r>
      <w:r w:rsidR="00C63F8F" w:rsidRPr="00E27443">
        <w:t xml:space="preserve"> </w:t>
      </w:r>
    </w:p>
    <w:p w:rsidR="00321ADA" w:rsidRPr="00E27443" w:rsidRDefault="00321ADA" w:rsidP="000E3949">
      <w:pPr>
        <w:pStyle w:val="SingleTxtG"/>
        <w:numPr>
          <w:ilvl w:val="0"/>
          <w:numId w:val="20"/>
        </w:numPr>
        <w:tabs>
          <w:tab w:val="left" w:pos="1843"/>
        </w:tabs>
        <w:ind w:left="1134" w:firstLine="0"/>
      </w:pPr>
      <w:r w:rsidRPr="00E27443">
        <w:t>In</w:t>
      </w:r>
      <w:r w:rsidR="00C63F8F" w:rsidRPr="00E27443">
        <w:t xml:space="preserve"> </w:t>
      </w:r>
      <w:r w:rsidRPr="00E27443">
        <w:t>addition</w:t>
      </w:r>
      <w:r w:rsidR="00C63F8F" w:rsidRPr="00E27443">
        <w:t xml:space="preserve"> </w:t>
      </w:r>
      <w:r w:rsidRPr="00E27443">
        <w:t>to</w:t>
      </w:r>
      <w:r w:rsidR="00C63F8F" w:rsidRPr="00E27443">
        <w:t xml:space="preserve"> </w:t>
      </w:r>
      <w:r w:rsidRPr="00E27443">
        <w:t>the</w:t>
      </w:r>
      <w:r w:rsidR="00C63F8F" w:rsidRPr="00E27443">
        <w:t xml:space="preserve"> </w:t>
      </w:r>
      <w:r w:rsidRPr="00E27443">
        <w:t>absolute</w:t>
      </w:r>
      <w:r w:rsidR="00C63F8F" w:rsidRPr="00E27443">
        <w:t xml:space="preserve"> </w:t>
      </w:r>
      <w:r w:rsidRPr="00E27443">
        <w:t>rights,</w:t>
      </w:r>
      <w:r w:rsidR="00C63F8F" w:rsidRPr="00E27443">
        <w:t xml:space="preserve"> </w:t>
      </w:r>
      <w:r w:rsidRPr="00E27443">
        <w:t>the</w:t>
      </w:r>
      <w:r w:rsidR="00C63F8F" w:rsidRPr="00E27443">
        <w:t xml:space="preserve"> </w:t>
      </w:r>
      <w:r w:rsidRPr="00E27443">
        <w:t>three</w:t>
      </w:r>
      <w:r w:rsidR="00C63F8F" w:rsidRPr="00E27443">
        <w:t xml:space="preserve"> </w:t>
      </w:r>
      <w:r w:rsidRPr="00E27443">
        <w:t>constitutional</w:t>
      </w:r>
      <w:r w:rsidR="00C63F8F" w:rsidRPr="00E27443">
        <w:t xml:space="preserve"> </w:t>
      </w:r>
      <w:r w:rsidRPr="00E27443">
        <w:t>laws</w:t>
      </w:r>
      <w:r w:rsidR="00C63F8F" w:rsidRPr="00E27443">
        <w:t xml:space="preserve"> </w:t>
      </w:r>
      <w:r w:rsidRPr="00E27443">
        <w:t>also</w:t>
      </w:r>
      <w:r w:rsidR="00C63F8F" w:rsidRPr="00E27443">
        <w:t xml:space="preserve"> </w:t>
      </w:r>
      <w:r w:rsidRPr="00E27443">
        <w:t>establish</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r w:rsidR="00C63F8F" w:rsidRPr="00E27443">
        <w:t xml:space="preserve"> </w:t>
      </w:r>
      <w:r w:rsidRPr="00E27443">
        <w:t>and</w:t>
      </w:r>
      <w:r w:rsidR="00C63F8F" w:rsidRPr="00E27443">
        <w:t xml:space="preserve"> </w:t>
      </w:r>
      <w:r w:rsidRPr="00E27443">
        <w:t>liberties</w:t>
      </w:r>
      <w:r w:rsidR="00C63F8F" w:rsidRPr="00E27443">
        <w:t xml:space="preserve"> </w:t>
      </w:r>
      <w:r w:rsidRPr="00E27443">
        <w:t>that,</w:t>
      </w:r>
      <w:r w:rsidR="00C63F8F" w:rsidRPr="00E27443">
        <w:t xml:space="preserve"> </w:t>
      </w:r>
      <w:r w:rsidRPr="00E27443">
        <w:t>under</w:t>
      </w:r>
      <w:r w:rsidR="00C63F8F" w:rsidRPr="00E27443">
        <w:t xml:space="preserve"> </w:t>
      </w:r>
      <w:r w:rsidRPr="00E27443">
        <w:t>certain</w:t>
      </w:r>
      <w:r w:rsidR="00C63F8F" w:rsidRPr="00E27443">
        <w:t xml:space="preserve"> </w:t>
      </w:r>
      <w:r w:rsidRPr="00E27443">
        <w:t>circumstances,</w:t>
      </w:r>
      <w:r w:rsidR="00C63F8F" w:rsidRPr="00E27443">
        <w:t xml:space="preserve"> </w:t>
      </w:r>
      <w:r w:rsidRPr="00E27443">
        <w:t>can</w:t>
      </w:r>
      <w:r w:rsidR="00C63F8F" w:rsidRPr="00E27443">
        <w:t xml:space="preserve"> </w:t>
      </w:r>
      <w:r w:rsidRPr="00E27443">
        <w:t>be</w:t>
      </w:r>
      <w:r w:rsidR="00C63F8F" w:rsidRPr="00E27443">
        <w:t xml:space="preserve"> </w:t>
      </w:r>
      <w:r w:rsidRPr="00E27443">
        <w:t>restricted</w:t>
      </w:r>
      <w:r w:rsidR="00C63F8F" w:rsidRPr="00E27443">
        <w:t xml:space="preserve"> </w:t>
      </w:r>
      <w:r w:rsidRPr="00E27443">
        <w:t>in</w:t>
      </w:r>
      <w:r w:rsidR="00C63F8F" w:rsidRPr="00E27443">
        <w:t xml:space="preserve"> </w:t>
      </w:r>
      <w:r w:rsidRPr="00E27443">
        <w:t>law.</w:t>
      </w:r>
      <w:r w:rsidR="00B11212" w:rsidRPr="000E3949">
        <w:footnoteReference w:id="69"/>
      </w:r>
      <w:r w:rsidR="00C63F8F" w:rsidRPr="00E27443">
        <w:t xml:space="preserve"> </w:t>
      </w:r>
      <w:r w:rsidRPr="00E27443">
        <w:t>However,</w:t>
      </w:r>
      <w:r w:rsidR="00C63F8F" w:rsidRPr="00E27443">
        <w:t xml:space="preserve"> </w:t>
      </w:r>
      <w:r w:rsidRPr="00E27443">
        <w:t>such</w:t>
      </w:r>
      <w:r w:rsidR="00C63F8F" w:rsidRPr="00E27443">
        <w:t xml:space="preserve"> </w:t>
      </w:r>
      <w:r w:rsidRPr="00E27443">
        <w:t>limitations</w:t>
      </w:r>
      <w:r w:rsidR="00C63F8F" w:rsidRPr="00E27443">
        <w:t xml:space="preserve"> </w:t>
      </w:r>
      <w:r w:rsidRPr="00E27443">
        <w:t>are</w:t>
      </w:r>
      <w:r w:rsidR="00C63F8F" w:rsidRPr="00E27443">
        <w:t xml:space="preserve"> </w:t>
      </w:r>
      <w:r w:rsidRPr="00E27443">
        <w:t>themselves</w:t>
      </w:r>
      <w:r w:rsidR="00C63F8F" w:rsidRPr="00E27443">
        <w:t xml:space="preserve"> </w:t>
      </w:r>
      <w:r w:rsidRPr="00E27443">
        <w:t>subject</w:t>
      </w:r>
      <w:r w:rsidR="00C63F8F" w:rsidRPr="00E27443">
        <w:t xml:space="preserve"> </w:t>
      </w:r>
      <w:r w:rsidRPr="00E27443">
        <w:t>to</w:t>
      </w:r>
      <w:r w:rsidR="00C63F8F" w:rsidRPr="00E27443">
        <w:t xml:space="preserve"> </w:t>
      </w:r>
      <w:r w:rsidRPr="00E27443">
        <w:t>restrictions.</w:t>
      </w:r>
    </w:p>
    <w:p w:rsidR="00321ADA" w:rsidRPr="00E27443" w:rsidRDefault="00321ADA" w:rsidP="000E3949">
      <w:pPr>
        <w:pStyle w:val="SingleTxtG"/>
        <w:numPr>
          <w:ilvl w:val="0"/>
          <w:numId w:val="20"/>
        </w:numPr>
        <w:tabs>
          <w:tab w:val="left" w:pos="1843"/>
        </w:tabs>
        <w:ind w:left="1134" w:firstLine="0"/>
      </w:pPr>
      <w:r w:rsidRPr="00E27443">
        <w:t>With</w:t>
      </w:r>
      <w:r w:rsidR="00C63F8F" w:rsidRPr="00E27443">
        <w:t xml:space="preserve"> </w:t>
      </w:r>
      <w:r w:rsidRPr="00E27443">
        <w:t>a</w:t>
      </w:r>
      <w:r w:rsidR="00C63F8F" w:rsidRPr="00E27443">
        <w:t xml:space="preserve"> </w:t>
      </w:r>
      <w:r w:rsidRPr="00E27443">
        <w:t>few</w:t>
      </w:r>
      <w:r w:rsidR="00C63F8F" w:rsidRPr="00E27443">
        <w:t xml:space="preserve"> </w:t>
      </w:r>
      <w:r w:rsidRPr="00E27443">
        <w:t>exceptions,</w:t>
      </w:r>
      <w:r w:rsidR="00C63F8F" w:rsidRPr="00E27443">
        <w:t xml:space="preserve"> </w:t>
      </w:r>
      <w:r w:rsidRPr="00E27443">
        <w:t>all</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is</w:t>
      </w:r>
      <w:r w:rsidR="00C63F8F" w:rsidRPr="00E27443">
        <w:t xml:space="preserve"> </w:t>
      </w:r>
      <w:r w:rsidRPr="00E27443">
        <w:t>voluntary</w:t>
      </w:r>
      <w:r w:rsidR="00C63F8F" w:rsidRPr="00E27443">
        <w:t xml:space="preserve"> </w:t>
      </w:r>
      <w:r w:rsidRPr="00E27443">
        <w:t>for</w:t>
      </w:r>
      <w:r w:rsidR="00C63F8F" w:rsidRPr="00E27443">
        <w:t xml:space="preserve"> </w:t>
      </w:r>
      <w:r w:rsidRPr="00E27443">
        <w:t>the</w:t>
      </w:r>
      <w:r w:rsidR="00C63F8F" w:rsidRPr="00E27443">
        <w:t xml:space="preserve"> </w:t>
      </w:r>
      <w:r w:rsidRPr="00E27443">
        <w:t>patient</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B11212" w:rsidRPr="000E3949">
        <w:footnoteReference w:id="70"/>
      </w:r>
      <w:r w:rsidR="00C63F8F" w:rsidRPr="00E27443">
        <w:t xml:space="preserve"> </w:t>
      </w:r>
      <w:r w:rsidRPr="00E27443">
        <w:t>The</w:t>
      </w:r>
      <w:r w:rsidR="00C63F8F" w:rsidRPr="00E27443">
        <w:t xml:space="preserve"> </w:t>
      </w:r>
      <w:r w:rsidRPr="00E27443">
        <w:t>protection</w:t>
      </w:r>
      <w:r w:rsidR="00C63F8F" w:rsidRPr="00E27443">
        <w:t xml:space="preserve"> </w:t>
      </w:r>
      <w:r w:rsidRPr="00E27443">
        <w:t>for</w:t>
      </w:r>
      <w:r w:rsidR="00C63F8F" w:rsidRPr="00E27443">
        <w:t xml:space="preserve"> </w:t>
      </w:r>
      <w:r w:rsidRPr="00E27443">
        <w:t>citizens</w:t>
      </w:r>
      <w:r w:rsidR="00C63F8F" w:rsidRPr="00E27443">
        <w:t xml:space="preserve">’ </w:t>
      </w:r>
      <w:r w:rsidRPr="00E27443">
        <w:t>liberties</w:t>
      </w:r>
      <w:r w:rsidR="00C63F8F" w:rsidRPr="00E27443">
        <w:t xml:space="preserve"> </w:t>
      </w:r>
      <w:r w:rsidRPr="00E27443">
        <w:t>and</w:t>
      </w:r>
      <w:r w:rsidR="00C63F8F" w:rsidRPr="00E27443">
        <w:t xml:space="preserve"> </w:t>
      </w:r>
      <w:r w:rsidRPr="00E27443">
        <w:t>rights</w:t>
      </w:r>
      <w:r w:rsidR="00C63F8F" w:rsidRPr="00E27443">
        <w:t xml:space="preserve"> </w:t>
      </w:r>
      <w:r w:rsidRPr="00E27443">
        <w:t>that</w:t>
      </w:r>
      <w:r w:rsidR="00C63F8F" w:rsidRPr="00E27443">
        <w:t xml:space="preserve"> </w:t>
      </w:r>
      <w:r w:rsidRPr="00E27443">
        <w:t>is</w:t>
      </w:r>
      <w:r w:rsidR="00C63F8F" w:rsidRPr="00E27443">
        <w:t xml:space="preserve"> </w:t>
      </w:r>
      <w:r w:rsidRPr="00E27443">
        <w:t>prescribed</w:t>
      </w:r>
      <w:r w:rsidR="00C63F8F" w:rsidRPr="00E27443">
        <w:t xml:space="preserve"> </w:t>
      </w:r>
      <w:r w:rsidRPr="00E27443">
        <w:t>in</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and</w:t>
      </w:r>
      <w:r w:rsidR="00C63F8F" w:rsidRPr="00E27443">
        <w:t xml:space="preserve"> </w:t>
      </w:r>
      <w:r w:rsidRPr="00E27443">
        <w:t>that</w:t>
      </w:r>
      <w:r w:rsidR="00C63F8F" w:rsidRPr="00E27443">
        <w:t xml:space="preserve"> </w:t>
      </w:r>
      <w:r w:rsidRPr="00E27443">
        <w:t>follows</w:t>
      </w:r>
      <w:r w:rsidR="00C63F8F" w:rsidRPr="00E27443">
        <w:t xml:space="preserve"> </w:t>
      </w:r>
      <w:r w:rsidRPr="00E27443">
        <w:t>from</w:t>
      </w:r>
      <w:r w:rsidR="00C63F8F" w:rsidRPr="00E27443">
        <w:t xml:space="preserve"> </w:t>
      </w:r>
      <w:r w:rsidRPr="00E27443">
        <w:t>other</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applies</w:t>
      </w:r>
      <w:r w:rsidR="00C63F8F" w:rsidRPr="00E27443">
        <w:t xml:space="preserve"> </w:t>
      </w:r>
      <w:r w:rsidRPr="00E27443">
        <w:t>to</w:t>
      </w:r>
      <w:r w:rsidR="00C63F8F" w:rsidRPr="00E27443">
        <w:t xml:space="preserve"> </w:t>
      </w:r>
      <w:r w:rsidRPr="00E27443">
        <w:t>everyone</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i.e.</w:t>
      </w:r>
      <w:r w:rsidR="00C63F8F" w:rsidRPr="00E27443">
        <w:t xml:space="preserve"> </w:t>
      </w:r>
      <w:r w:rsidRPr="00E27443">
        <w:t>including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Services</w:t>
      </w:r>
      <w:r w:rsidR="00C63F8F" w:rsidRPr="00E27443">
        <w:t xml:space="preserve"> </w:t>
      </w:r>
      <w:r w:rsidRPr="00E27443">
        <w:t>Act,</w:t>
      </w:r>
      <w:r w:rsidR="00B11212" w:rsidRPr="000E3949">
        <w:footnoteReference w:id="71"/>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must</w:t>
      </w:r>
      <w:r w:rsidR="00C63F8F" w:rsidRPr="00E27443">
        <w:t xml:space="preserve"> </w:t>
      </w:r>
      <w:r w:rsidRPr="00E27443">
        <w:t>be</w:t>
      </w:r>
      <w:r w:rsidR="00C63F8F" w:rsidRPr="00E27443">
        <w:t xml:space="preserve"> </w:t>
      </w:r>
      <w:r w:rsidRPr="00E27443">
        <w:t>built</w:t>
      </w:r>
      <w:r w:rsidR="00C63F8F" w:rsidRPr="00E27443">
        <w:t xml:space="preserve"> </w:t>
      </w:r>
      <w:r w:rsidRPr="00E27443">
        <w:t>on</w:t>
      </w:r>
      <w:r w:rsidR="00C63F8F" w:rsidRPr="00E27443">
        <w:t xml:space="preserve"> </w:t>
      </w:r>
      <w:r w:rsidRPr="00E27443">
        <w:t>respect</w:t>
      </w:r>
      <w:r w:rsidR="00C63F8F" w:rsidRPr="00E27443">
        <w:t xml:space="preserve"> </w:t>
      </w:r>
      <w:r w:rsidRPr="00E27443">
        <w:t>for</w:t>
      </w:r>
      <w:r w:rsidR="00C63F8F" w:rsidRPr="00E27443">
        <w:t xml:space="preserve"> </w:t>
      </w:r>
      <w:r w:rsidRPr="00E27443">
        <w:t>the</w:t>
      </w:r>
      <w:r w:rsidR="00C63F8F" w:rsidRPr="00E27443">
        <w:t xml:space="preserve"> </w:t>
      </w:r>
      <w:r w:rsidRPr="00E27443">
        <w:t>patient</w:t>
      </w:r>
      <w:r w:rsidR="00C63F8F" w:rsidRPr="00E27443">
        <w:t>’</w:t>
      </w:r>
      <w:r w:rsidRPr="00E27443">
        <w:t>s</w:t>
      </w:r>
      <w:r w:rsidR="00C63F8F" w:rsidRPr="00E27443">
        <w:t xml:space="preserve"> </w:t>
      </w:r>
      <w:r w:rsidRPr="00E27443">
        <w:t>self-determination</w:t>
      </w:r>
      <w:r w:rsidR="00C63F8F" w:rsidRPr="00E27443">
        <w:t xml:space="preserve"> </w:t>
      </w:r>
      <w:r w:rsidRPr="00E27443">
        <w:t>and</w:t>
      </w:r>
      <w:r w:rsidR="00C63F8F" w:rsidRPr="00E27443">
        <w:t xml:space="preserve"> </w:t>
      </w:r>
      <w:r w:rsidRPr="00E27443">
        <w:t>integrity.</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should</w:t>
      </w:r>
      <w:r w:rsidR="00C63F8F" w:rsidRPr="00E27443">
        <w:t xml:space="preserve"> </w:t>
      </w:r>
      <w:r w:rsidRPr="00E27443">
        <w:t>also</w:t>
      </w:r>
      <w:r w:rsidR="00C63F8F" w:rsidRPr="00E27443">
        <w:t xml:space="preserve"> </w:t>
      </w:r>
      <w:r w:rsidRPr="00E27443">
        <w:t>satisfy</w:t>
      </w:r>
      <w:r w:rsidR="00C63F8F" w:rsidRPr="00E27443">
        <w:t xml:space="preserve"> </w:t>
      </w:r>
      <w:r w:rsidRPr="00E27443">
        <w:t>the</w:t>
      </w:r>
      <w:r w:rsidR="00C63F8F" w:rsidRPr="00E27443">
        <w:t xml:space="preserve"> </w:t>
      </w:r>
      <w:r w:rsidRPr="00E27443">
        <w:t>patient</w:t>
      </w:r>
      <w:r w:rsidR="00C63F8F" w:rsidRPr="00E27443">
        <w:t>’</w:t>
      </w:r>
      <w:r w:rsidRPr="00E27443">
        <w:t>s</w:t>
      </w:r>
      <w:r w:rsidR="00C63F8F" w:rsidRPr="00E27443">
        <w:t xml:space="preserve"> </w:t>
      </w:r>
      <w:r w:rsidRPr="00E27443">
        <w:t>need</w:t>
      </w:r>
      <w:r w:rsidR="00C63F8F" w:rsidRPr="00E27443">
        <w:t xml:space="preserve"> </w:t>
      </w:r>
      <w:r w:rsidRPr="00E27443">
        <w:t>for</w:t>
      </w:r>
      <w:r w:rsidR="00C63F8F" w:rsidRPr="00E27443">
        <w:t xml:space="preserve"> </w:t>
      </w:r>
      <w:r w:rsidRPr="00E27443">
        <w:t>continuity</w:t>
      </w:r>
      <w:r w:rsidR="00C63F8F" w:rsidRPr="00E27443">
        <w:t xml:space="preserve"> </w:t>
      </w:r>
      <w:r w:rsidRPr="00E27443">
        <w:t>and</w:t>
      </w:r>
      <w:r w:rsidR="00C63F8F" w:rsidRPr="00E27443">
        <w:t xml:space="preserve"> </w:t>
      </w:r>
      <w:r w:rsidRPr="00E27443">
        <w:t>security</w:t>
      </w:r>
      <w:r w:rsidR="00C63F8F" w:rsidRPr="00E27443">
        <w:t xml:space="preserve"> </w:t>
      </w:r>
      <w:r w:rsidRPr="00E27443">
        <w:t>in</w:t>
      </w:r>
      <w:r w:rsidR="00C63F8F" w:rsidRPr="00E27443">
        <w:t xml:space="preserve"> </w:t>
      </w:r>
      <w:r w:rsidRPr="00E27443">
        <w:t>care.</w:t>
      </w:r>
      <w:r w:rsidR="00C63F8F" w:rsidRPr="00E27443">
        <w:t xml:space="preserve"> </w:t>
      </w:r>
      <w:r w:rsidRPr="00E27443">
        <w:t>As</w:t>
      </w:r>
      <w:r w:rsidR="00C63F8F" w:rsidRPr="00E27443">
        <w:t xml:space="preserve"> </w:t>
      </w:r>
      <w:r w:rsidRPr="00E27443">
        <w:t>far</w:t>
      </w:r>
      <w:r w:rsidR="00C63F8F" w:rsidRPr="00E27443">
        <w:t xml:space="preserve"> </w:t>
      </w:r>
      <w:r w:rsidRPr="00E27443">
        <w:t>as</w:t>
      </w:r>
      <w:r w:rsidR="00C63F8F" w:rsidRPr="00E27443">
        <w:t xml:space="preserve"> </w:t>
      </w:r>
      <w:r w:rsidRPr="00E27443">
        <w:t>possible,</w:t>
      </w:r>
      <w:r w:rsidR="00C63F8F" w:rsidRPr="00E27443">
        <w:t xml:space="preserve"> </w:t>
      </w:r>
      <w:r w:rsidRPr="00E27443">
        <w:t>care</w:t>
      </w:r>
      <w:r w:rsidR="00C63F8F" w:rsidRPr="00E27443">
        <w:t xml:space="preserve"> </w:t>
      </w:r>
      <w:r w:rsidRPr="00E27443">
        <w:t>and</w:t>
      </w:r>
      <w:r w:rsidR="00C63F8F" w:rsidRPr="00E27443">
        <w:t xml:space="preserve"> </w:t>
      </w:r>
      <w:r w:rsidRPr="00E27443">
        <w:t>treatment</w:t>
      </w:r>
      <w:r w:rsidR="00C63F8F" w:rsidRPr="00E27443">
        <w:t xml:space="preserve"> </w:t>
      </w:r>
      <w:r w:rsidRPr="00E27443">
        <w:t>must</w:t>
      </w:r>
      <w:r w:rsidR="00C63F8F" w:rsidRPr="00E27443">
        <w:t xml:space="preserve"> </w:t>
      </w:r>
      <w:r w:rsidRPr="00E27443">
        <w:t>be</w:t>
      </w:r>
      <w:r w:rsidR="00C63F8F" w:rsidRPr="00E27443">
        <w:t xml:space="preserve"> </w:t>
      </w:r>
      <w:r w:rsidRPr="00E27443">
        <w:t>designed</w:t>
      </w:r>
      <w:r w:rsidR="00C63F8F" w:rsidRPr="00E27443">
        <w:t xml:space="preserve"> </w:t>
      </w:r>
      <w:r w:rsidRPr="00E27443">
        <w:t>and</w:t>
      </w:r>
      <w:r w:rsidR="00C63F8F" w:rsidRPr="00E27443">
        <w:t xml:space="preserve"> </w:t>
      </w:r>
      <w:r w:rsidRPr="00E27443">
        <w:t>implemented</w:t>
      </w:r>
      <w:r w:rsidR="00C63F8F" w:rsidRPr="00E27443">
        <w:t xml:space="preserve"> </w:t>
      </w:r>
      <w:r w:rsidRPr="00E27443">
        <w:t>in</w:t>
      </w:r>
      <w:r w:rsidR="00C63F8F" w:rsidRPr="00E27443">
        <w:t xml:space="preserve"> </w:t>
      </w:r>
      <w:r w:rsidRPr="00E27443">
        <w:t>consultation</w:t>
      </w:r>
      <w:r w:rsidR="00C63F8F" w:rsidRPr="00E27443">
        <w:t xml:space="preserve"> </w:t>
      </w:r>
      <w:r w:rsidRPr="00E27443">
        <w:t>with</w:t>
      </w:r>
      <w:r w:rsidR="00C63F8F" w:rsidRPr="00E27443">
        <w:t xml:space="preserve"> </w:t>
      </w:r>
      <w:r w:rsidRPr="00E27443">
        <w:t>the</w:t>
      </w:r>
      <w:r w:rsidR="00C63F8F" w:rsidRPr="00E27443">
        <w:t xml:space="preserve"> </w:t>
      </w:r>
      <w:r w:rsidRPr="00E27443">
        <w:t>patient.</w:t>
      </w:r>
      <w:r w:rsidR="00C63F8F" w:rsidRPr="00E27443">
        <w:t xml:space="preserve"> </w:t>
      </w:r>
      <w:r w:rsidRPr="00E27443">
        <w:t>Different</w:t>
      </w:r>
      <w:r w:rsidR="00C63F8F" w:rsidRPr="00E27443">
        <w:t xml:space="preserve"> </w:t>
      </w:r>
      <w:r w:rsidRPr="00E27443">
        <w:t>initiatives</w:t>
      </w:r>
      <w:r w:rsidR="00C63F8F" w:rsidRPr="00E27443">
        <w:t xml:space="preserve"> </w:t>
      </w:r>
      <w:r w:rsidRPr="00E27443">
        <w:t>for</w:t>
      </w:r>
      <w:r w:rsidR="00C63F8F" w:rsidRPr="00E27443">
        <w:t xml:space="preserve"> </w:t>
      </w:r>
      <w:r w:rsidRPr="00E27443">
        <w:t>the</w:t>
      </w:r>
      <w:r w:rsidR="00C63F8F" w:rsidRPr="00E27443">
        <w:t xml:space="preserve"> </w:t>
      </w:r>
      <w:r w:rsidRPr="00E27443">
        <w:t>patient</w:t>
      </w:r>
      <w:r w:rsidR="00C63F8F" w:rsidRPr="00E27443">
        <w:t xml:space="preserve"> </w:t>
      </w:r>
      <w:r w:rsidRPr="00E27443">
        <w:t>must</w:t>
      </w:r>
      <w:r w:rsidR="00C63F8F" w:rsidRPr="00E27443">
        <w:t xml:space="preserve"> </w:t>
      </w:r>
      <w:r w:rsidRPr="00E27443">
        <w:t>be</w:t>
      </w:r>
      <w:r w:rsidR="00C63F8F" w:rsidRPr="00E27443">
        <w:t xml:space="preserve"> </w:t>
      </w:r>
      <w:r w:rsidRPr="00E27443">
        <w:t>co-ordinated</w:t>
      </w:r>
      <w:r w:rsidR="00C63F8F" w:rsidRPr="00E27443">
        <w:t xml:space="preserve"> </w:t>
      </w:r>
      <w:r w:rsidRPr="00E27443">
        <w:t>in</w:t>
      </w:r>
      <w:r w:rsidR="00C63F8F" w:rsidRPr="00E27443">
        <w:t xml:space="preserve"> </w:t>
      </w:r>
      <w:r w:rsidRPr="00E27443">
        <w:t>an</w:t>
      </w:r>
      <w:r w:rsidR="00C63F8F" w:rsidRPr="00E27443">
        <w:t xml:space="preserve"> </w:t>
      </w:r>
      <w:r w:rsidRPr="00E27443">
        <w:t>appropriate</w:t>
      </w:r>
      <w:r w:rsidR="00C63F8F" w:rsidRPr="00E27443">
        <w:t xml:space="preserve"> </w:t>
      </w:r>
      <w:r w:rsidRPr="00E27443">
        <w:t>way.</w:t>
      </w:r>
      <w:r w:rsidR="00C63F8F" w:rsidRPr="00E27443">
        <w:t xml:space="preserve"> </w:t>
      </w:r>
    </w:p>
    <w:p w:rsidR="00321ADA" w:rsidRPr="00E27443" w:rsidRDefault="00321ADA" w:rsidP="000E3949">
      <w:pPr>
        <w:pStyle w:val="SingleTxtG"/>
        <w:numPr>
          <w:ilvl w:val="0"/>
          <w:numId w:val="20"/>
        </w:numPr>
        <w:tabs>
          <w:tab w:val="left" w:pos="1843"/>
        </w:tabs>
        <w:ind w:left="1134" w:firstLine="0"/>
      </w:pPr>
      <w:r w:rsidRPr="00E27443">
        <w:t>Within</w:t>
      </w:r>
      <w:r w:rsidR="00C63F8F" w:rsidRPr="00E27443">
        <w:t xml:space="preserve"> </w:t>
      </w:r>
      <w:r w:rsidRPr="00E27443">
        <w:t>care,</w:t>
      </w:r>
      <w:r w:rsidR="00C63F8F" w:rsidRPr="00E27443">
        <w:t xml:space="preserve"> </w:t>
      </w:r>
      <w:r w:rsidRPr="00E27443">
        <w:t>too,</w:t>
      </w:r>
      <w:r w:rsidR="00C63F8F" w:rsidRPr="00E27443">
        <w:t xml:space="preserve"> </w:t>
      </w:r>
      <w:r w:rsidRPr="00E27443">
        <w:t>the</w:t>
      </w:r>
      <w:r w:rsidR="00C63F8F" w:rsidRPr="00E27443">
        <w:t xml:space="preserve"> </w:t>
      </w:r>
      <w:r w:rsidRPr="00E27443">
        <w:t>rules</w:t>
      </w:r>
      <w:r w:rsidR="00C63F8F" w:rsidRPr="00E27443">
        <w:t xml:space="preserve"> </w:t>
      </w:r>
      <w:r w:rsidRPr="00E27443">
        <w:t>that</w:t>
      </w:r>
      <w:r w:rsidR="00C63F8F" w:rsidRPr="00E27443">
        <w:t xml:space="preserve"> </w:t>
      </w:r>
      <w:r w:rsidRPr="00E27443">
        <w:t>allow</w:t>
      </w:r>
      <w:r w:rsidR="00C63F8F" w:rsidRPr="00E27443">
        <w:t xml:space="preserve"> </w:t>
      </w:r>
      <w:r w:rsidRPr="00E27443">
        <w:t>encroachment</w:t>
      </w:r>
      <w:r w:rsidR="00C63F8F" w:rsidRPr="00E27443">
        <w:t xml:space="preserve"> </w:t>
      </w:r>
      <w:r w:rsidRPr="00E27443">
        <w:t>into</w:t>
      </w:r>
      <w:r w:rsidR="00C63F8F" w:rsidRPr="00E27443">
        <w:t xml:space="preserve"> </w:t>
      </w:r>
      <w:r w:rsidRPr="00E27443">
        <w:t>a</w:t>
      </w:r>
      <w:r w:rsidR="00C63F8F" w:rsidRPr="00E27443">
        <w:t xml:space="preserve"> </w:t>
      </w:r>
      <w:r w:rsidRPr="00E27443">
        <w:t>person</w:t>
      </w:r>
      <w:r w:rsidR="00C63F8F" w:rsidRPr="00E27443">
        <w:t>’</w:t>
      </w:r>
      <w:r w:rsidRPr="00E27443">
        <w:t>s</w:t>
      </w:r>
      <w:r w:rsidR="00C63F8F" w:rsidRPr="00E27443">
        <w:t xml:space="preserve"> </w:t>
      </w:r>
      <w:r w:rsidRPr="00E27443">
        <w:t>private</w:t>
      </w:r>
      <w:r w:rsidR="00C63F8F" w:rsidRPr="00E27443">
        <w:t xml:space="preserve"> </w:t>
      </w:r>
      <w:r w:rsidRPr="00E27443">
        <w:t>life</w:t>
      </w:r>
      <w:r w:rsidR="00C63F8F" w:rsidRPr="00E27443">
        <w:t xml:space="preserve"> </w:t>
      </w:r>
      <w:r w:rsidRPr="00E27443">
        <w:t>are</w:t>
      </w:r>
      <w:r w:rsidR="00C63F8F" w:rsidRPr="00E27443">
        <w:t xml:space="preserve"> </w:t>
      </w:r>
      <w:r w:rsidRPr="00E27443">
        <w:t>restricted</w:t>
      </w:r>
      <w:r w:rsidR="00C63F8F" w:rsidRPr="00E27443">
        <w:t xml:space="preserve"> </w:t>
      </w:r>
      <w:r w:rsidRPr="00E27443">
        <w:t>so</w:t>
      </w:r>
      <w:r w:rsidR="00C63F8F" w:rsidRPr="00E27443">
        <w:t xml:space="preserve"> </w:t>
      </w:r>
      <w:r w:rsidRPr="00E27443">
        <w:t>that</w:t>
      </w:r>
      <w:r w:rsidR="00C63F8F" w:rsidRPr="00E27443">
        <w:t xml:space="preserve"> </w:t>
      </w:r>
      <w:r w:rsidRPr="00E27443">
        <w:t>there</w:t>
      </w:r>
      <w:r w:rsidR="00C63F8F" w:rsidRPr="00E27443">
        <w:t xml:space="preserve"> </w:t>
      </w:r>
      <w:r w:rsidRPr="00E27443">
        <w:t>are</w:t>
      </w:r>
      <w:r w:rsidR="00C63F8F" w:rsidRPr="00E27443">
        <w:t xml:space="preserve"> </w:t>
      </w:r>
      <w:r w:rsidRPr="00E27443">
        <w:t>as</w:t>
      </w:r>
      <w:r w:rsidR="00C63F8F" w:rsidRPr="00E27443">
        <w:t xml:space="preserve"> </w:t>
      </w:r>
      <w:r w:rsidRPr="00E27443">
        <w:t>few</w:t>
      </w:r>
      <w:r w:rsidR="00C63F8F" w:rsidRPr="00E27443">
        <w:t xml:space="preserve"> </w:t>
      </w:r>
      <w:r w:rsidRPr="00E27443">
        <w:t>as</w:t>
      </w:r>
      <w:r w:rsidR="00C63F8F" w:rsidRPr="00E27443">
        <w:t xml:space="preserve"> </w:t>
      </w:r>
      <w:r w:rsidRPr="00E27443">
        <w:t>possible</w:t>
      </w:r>
      <w:r w:rsidR="00C63F8F" w:rsidRPr="00E27443">
        <w:t xml:space="preserve"> </w:t>
      </w:r>
      <w:r w:rsidRPr="00E27443">
        <w:t>and</w:t>
      </w:r>
      <w:r w:rsidR="00C63F8F" w:rsidRPr="00E27443">
        <w:t xml:space="preserve"> </w:t>
      </w:r>
      <w:r w:rsidRPr="00E27443">
        <w:t>they</w:t>
      </w:r>
      <w:r w:rsidR="00C63F8F" w:rsidRPr="00E27443">
        <w:t xml:space="preserve"> </w:t>
      </w:r>
      <w:r w:rsidRPr="00E27443">
        <w:t>entail</w:t>
      </w:r>
      <w:r w:rsidR="00C63F8F" w:rsidRPr="00E27443">
        <w:t xml:space="preserve"> </w:t>
      </w:r>
      <w:r w:rsidRPr="00E27443">
        <w:t>as</w:t>
      </w:r>
      <w:r w:rsidR="00C63F8F" w:rsidRPr="00E27443">
        <w:t xml:space="preserve"> </w:t>
      </w:r>
      <w:r w:rsidRPr="00E27443">
        <w:t>little</w:t>
      </w:r>
      <w:r w:rsidR="00C63F8F" w:rsidRPr="00E27443">
        <w:t xml:space="preserve"> </w:t>
      </w:r>
      <w:r w:rsidRPr="00E27443">
        <w:t>encroachment</w:t>
      </w:r>
      <w:r w:rsidR="00C63F8F" w:rsidRPr="00E27443">
        <w:t xml:space="preserve"> </w:t>
      </w:r>
      <w:r w:rsidRPr="00E27443">
        <w:t>as</w:t>
      </w:r>
      <w:r w:rsidR="00C63F8F" w:rsidRPr="00E27443">
        <w:t xml:space="preserve"> </w:t>
      </w:r>
      <w:r w:rsidRPr="00E27443">
        <w:t>possible.</w:t>
      </w:r>
      <w:r w:rsidR="00C63F8F" w:rsidRPr="00E27443">
        <w:t xml:space="preserve"> </w:t>
      </w:r>
    </w:p>
    <w:p w:rsidR="00321ADA" w:rsidRPr="00E27443" w:rsidRDefault="00321ADA" w:rsidP="000E3949">
      <w:pPr>
        <w:pStyle w:val="SingleTxtG"/>
        <w:numPr>
          <w:ilvl w:val="0"/>
          <w:numId w:val="20"/>
        </w:numPr>
        <w:tabs>
          <w:tab w:val="left" w:pos="1843"/>
        </w:tabs>
        <w:ind w:left="1134" w:firstLine="0"/>
      </w:pPr>
      <w:r w:rsidRPr="00E27443">
        <w:t>However,</w:t>
      </w:r>
      <w:r w:rsidR="00C63F8F" w:rsidRPr="00E27443">
        <w:t xml:space="preserve"> </w:t>
      </w:r>
      <w:r w:rsidRPr="00E27443">
        <w:t>the</w:t>
      </w:r>
      <w:r w:rsidR="00C63F8F" w:rsidRPr="00E27443">
        <w:t xml:space="preserve"> </w:t>
      </w:r>
      <w:r w:rsidRPr="00E27443">
        <w:t>potential</w:t>
      </w:r>
      <w:r w:rsidR="00C63F8F" w:rsidRPr="00E27443">
        <w:t xml:space="preserve"> </w:t>
      </w:r>
      <w:r w:rsidRPr="00E27443">
        <w:t>does</w:t>
      </w:r>
      <w:r w:rsidR="00C63F8F" w:rsidRPr="00E27443">
        <w:t xml:space="preserve"> </w:t>
      </w:r>
      <w:r w:rsidRPr="00E27443">
        <w:t>exist</w:t>
      </w:r>
      <w:r w:rsidR="00C63F8F" w:rsidRPr="00E27443">
        <w:t xml:space="preserve"> </w:t>
      </w:r>
      <w:r w:rsidRPr="00E27443">
        <w:t>for</w:t>
      </w:r>
      <w:r w:rsidR="00C63F8F" w:rsidRPr="00E27443">
        <w:t xml:space="preserve"> </w:t>
      </w:r>
      <w:r w:rsidRPr="00E27443">
        <w:t>treatment</w:t>
      </w:r>
      <w:r w:rsidR="00C63F8F" w:rsidRPr="00E27443">
        <w:t xml:space="preserve"> </w:t>
      </w:r>
      <w:r w:rsidRPr="00E27443">
        <w:t>against</w:t>
      </w:r>
      <w:r w:rsidR="00C63F8F" w:rsidRPr="00E27443">
        <w:t xml:space="preserve"> </w:t>
      </w:r>
      <w:r w:rsidRPr="00E27443">
        <w:t>the</w:t>
      </w:r>
      <w:r w:rsidR="00C63F8F" w:rsidRPr="00E27443">
        <w:t xml:space="preserve"> </w:t>
      </w:r>
      <w:r w:rsidRPr="00E27443">
        <w:t>patient</w:t>
      </w:r>
      <w:r w:rsidR="00C63F8F" w:rsidRPr="00E27443">
        <w:t>’</w:t>
      </w:r>
      <w:r w:rsidRPr="00E27443">
        <w:t>s</w:t>
      </w:r>
      <w:r w:rsidR="00C63F8F" w:rsidRPr="00E27443">
        <w:t xml:space="preserve"> </w:t>
      </w:r>
      <w:r w:rsidRPr="00E27443">
        <w:t>will,</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various</w:t>
      </w:r>
      <w:r w:rsidR="00C63F8F" w:rsidRPr="00E27443">
        <w:t xml:space="preserve"> </w:t>
      </w:r>
      <w:r w:rsidRPr="00E27443">
        <w:t>ways</w:t>
      </w:r>
      <w:r w:rsidR="00C63F8F" w:rsidRPr="00E27443">
        <w:t xml:space="preserve"> </w:t>
      </w:r>
      <w:r w:rsidRPr="00E27443">
        <w:t>of</w:t>
      </w:r>
      <w:r w:rsidR="00C63F8F" w:rsidRPr="00E27443">
        <w:t xml:space="preserve"> </w:t>
      </w:r>
      <w:r w:rsidRPr="00E27443">
        <w:t>infringing</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mental</w:t>
      </w:r>
      <w:r w:rsidR="00C63F8F" w:rsidRPr="00E27443">
        <w:t xml:space="preserve"> </w:t>
      </w:r>
      <w:r w:rsidRPr="00E27443">
        <w:t>disability.</w:t>
      </w:r>
      <w:r w:rsidR="00C63F8F" w:rsidRPr="00E27443">
        <w:t xml:space="preserve"> </w:t>
      </w:r>
      <w:r w:rsidRPr="00E27443">
        <w:t>However,</w:t>
      </w:r>
      <w:r w:rsidR="00C63F8F" w:rsidRPr="00E27443">
        <w:t xml:space="preserve"> </w:t>
      </w:r>
      <w:r w:rsidRPr="00E27443">
        <w:t>such</w:t>
      </w:r>
      <w:r w:rsidR="00C63F8F" w:rsidRPr="00E27443">
        <w:t xml:space="preserve"> </w:t>
      </w:r>
      <w:r w:rsidRPr="00E27443">
        <w:t>infringements</w:t>
      </w:r>
      <w:r w:rsidR="00C63F8F" w:rsidRPr="00E27443">
        <w:t xml:space="preserve"> </w:t>
      </w:r>
      <w:r w:rsidRPr="00E27443">
        <w:t>are</w:t>
      </w:r>
      <w:r w:rsidR="00C63F8F" w:rsidRPr="00E27443">
        <w:t xml:space="preserve"> </w:t>
      </w:r>
      <w:r w:rsidRPr="00E27443">
        <w:t>surrounded</w:t>
      </w:r>
      <w:r w:rsidR="00C63F8F" w:rsidRPr="00E27443">
        <w:t xml:space="preserve"> </w:t>
      </w:r>
      <w:r w:rsidRPr="00E27443">
        <w:t>by</w:t>
      </w:r>
      <w:r w:rsidR="00C63F8F" w:rsidRPr="00E27443">
        <w:t xml:space="preserve"> </w:t>
      </w:r>
      <w:r w:rsidRPr="00E27443">
        <w:t>strict</w:t>
      </w:r>
      <w:r w:rsidR="00C63F8F" w:rsidRPr="00E27443">
        <w:t xml:space="preserve"> </w:t>
      </w:r>
      <w:r w:rsidRPr="00E27443">
        <w:t>rules</w:t>
      </w:r>
      <w:r w:rsidR="00C63F8F" w:rsidRPr="00E27443">
        <w:t xml:space="preserve"> </w:t>
      </w:r>
      <w:r w:rsidRPr="00E27443">
        <w:t>and</w:t>
      </w:r>
      <w:r w:rsidR="00C63F8F" w:rsidRPr="00E27443">
        <w:t xml:space="preserve"> </w:t>
      </w:r>
      <w:r w:rsidRPr="00E27443">
        <w:t>can</w:t>
      </w:r>
      <w:r w:rsidR="00C63F8F" w:rsidRPr="00E27443">
        <w:t xml:space="preserve"> </w:t>
      </w:r>
      <w:r w:rsidRPr="00E27443">
        <w:t>be</w:t>
      </w:r>
      <w:r w:rsidR="00C63F8F" w:rsidRPr="00E27443">
        <w:t xml:space="preserve"> </w:t>
      </w:r>
      <w:r w:rsidRPr="00E27443">
        <w:t>subject</w:t>
      </w:r>
      <w:r w:rsidR="00C63F8F" w:rsidRPr="00E27443">
        <w:t xml:space="preserve"> </w:t>
      </w:r>
      <w:r w:rsidRPr="00E27443">
        <w:t>to</w:t>
      </w:r>
      <w:r w:rsidR="00C63F8F" w:rsidRPr="00E27443">
        <w:t xml:space="preserve"> </w:t>
      </w:r>
      <w:r w:rsidRPr="00E27443">
        <w:t>assessment</w:t>
      </w:r>
      <w:r w:rsidR="00C63F8F" w:rsidRPr="00E27443">
        <w:t xml:space="preserve"> </w:t>
      </w:r>
      <w:r w:rsidRPr="00E27443">
        <w:t>by</w:t>
      </w:r>
      <w:r w:rsidR="00C63F8F" w:rsidRPr="00E27443">
        <w:t xml:space="preserve"> </w:t>
      </w:r>
      <w:r w:rsidRPr="00E27443">
        <w:t>the</w:t>
      </w:r>
      <w:r w:rsidR="00C63F8F" w:rsidRPr="00E27443">
        <w:t xml:space="preserve"> </w:t>
      </w:r>
      <w:r w:rsidRPr="00E27443">
        <w:t>courts.</w:t>
      </w:r>
      <w:r w:rsidR="00C63F8F" w:rsidRPr="00E27443">
        <w:t xml:space="preserve"> </w:t>
      </w:r>
      <w:r w:rsidRPr="00E27443">
        <w:t>They</w:t>
      </w:r>
      <w:r w:rsidR="00C63F8F" w:rsidRPr="00E27443">
        <w:t xml:space="preserve"> </w:t>
      </w:r>
      <w:r w:rsidRPr="00E27443">
        <w:t>may</w:t>
      </w:r>
      <w:r w:rsidR="00C63F8F" w:rsidRPr="00E27443">
        <w:t xml:space="preserve"> </w:t>
      </w:r>
      <w:r w:rsidRPr="00E27443">
        <w:t>only</w:t>
      </w:r>
      <w:r w:rsidR="00C63F8F" w:rsidRPr="00E27443">
        <w:t xml:space="preserve"> </w:t>
      </w:r>
      <w:r w:rsidRPr="00E27443">
        <w:t>take</w:t>
      </w:r>
      <w:r w:rsidR="00C63F8F" w:rsidRPr="00E27443">
        <w:t xml:space="preserve"> </w:t>
      </w:r>
      <w:r w:rsidRPr="00E27443">
        <w:t>place</w:t>
      </w:r>
      <w:r w:rsidR="00C63F8F" w:rsidRPr="00E27443">
        <w:t xml:space="preserve"> </w:t>
      </w:r>
      <w:r w:rsidRPr="00E27443">
        <w:t>with</w:t>
      </w:r>
      <w:r w:rsidR="00C63F8F" w:rsidRPr="00E27443">
        <w:t xml:space="preserve"> </w:t>
      </w:r>
      <w:r w:rsidRPr="00E27443">
        <w:t>the</w:t>
      </w:r>
      <w:r w:rsidR="00C63F8F" w:rsidRPr="00E27443">
        <w:t xml:space="preserve"> </w:t>
      </w:r>
      <w:r w:rsidRPr="00E27443">
        <w:t>support</w:t>
      </w:r>
      <w:r w:rsidR="00C63F8F" w:rsidRPr="00E27443">
        <w:t xml:space="preserve"> </w:t>
      </w:r>
      <w:r w:rsidRPr="00E27443">
        <w:t>of</w:t>
      </w:r>
      <w:r w:rsidR="00C63F8F" w:rsidRPr="00E27443">
        <w:t xml:space="preserve"> </w:t>
      </w:r>
      <w:r w:rsidRPr="00E27443">
        <w:t>the</w:t>
      </w:r>
      <w:r w:rsidR="00C63F8F" w:rsidRPr="00E27443">
        <w:t xml:space="preserve"> </w:t>
      </w:r>
      <w:r w:rsidRPr="00E27443">
        <w:t>Act</w:t>
      </w:r>
      <w:r w:rsidR="00C63F8F" w:rsidRPr="00E27443">
        <w:t xml:space="preserve"> </w:t>
      </w:r>
      <w:r w:rsidRPr="00E27443">
        <w:t>on</w:t>
      </w:r>
      <w:r w:rsidR="00C63F8F" w:rsidRPr="00E27443">
        <w:t xml:space="preserve"> </w:t>
      </w:r>
      <w:r w:rsidRPr="00E27443">
        <w:t>Compulsory</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(LPT),</w:t>
      </w:r>
      <w:r w:rsidR="00410A38" w:rsidRPr="00E27443">
        <w:rPr>
          <w:rStyle w:val="FootnoteReference"/>
        </w:rPr>
        <w:footnoteReference w:id="72"/>
      </w:r>
      <w:r w:rsidR="00C63F8F" w:rsidRPr="00E27443">
        <w:t xml:space="preserve"> </w:t>
      </w:r>
      <w:r w:rsidRPr="00E27443">
        <w:t>the</w:t>
      </w:r>
      <w:r w:rsidR="00C63F8F" w:rsidRPr="00E27443">
        <w:t xml:space="preserve"> </w:t>
      </w:r>
      <w:r w:rsidRPr="00E27443">
        <w:t>Forensic</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Act</w:t>
      </w:r>
      <w:r w:rsidR="00C63F8F" w:rsidRPr="00E27443">
        <w:t xml:space="preserve"> </w:t>
      </w:r>
      <w:r w:rsidRPr="00E27443">
        <w:t>(LRV)</w:t>
      </w:r>
      <w:r w:rsidR="00410A38" w:rsidRPr="00E27443">
        <w:rPr>
          <w:rStyle w:val="FootnoteReference"/>
        </w:rPr>
        <w:footnoteReference w:id="73"/>
      </w:r>
      <w:r w:rsidR="00C63F8F" w:rsidRPr="00E27443">
        <w:t xml:space="preserve"> </w:t>
      </w:r>
      <w:r w:rsidRPr="00E27443">
        <w:t>and</w:t>
      </w:r>
      <w:r w:rsidR="00C63F8F" w:rsidRPr="00E27443">
        <w:t xml:space="preserve"> </w:t>
      </w:r>
      <w:r w:rsidRPr="00E27443">
        <w:t>the</w:t>
      </w:r>
      <w:r w:rsidR="00C63F8F" w:rsidRPr="00E27443">
        <w:t xml:space="preserve"> </w:t>
      </w:r>
      <w:r w:rsidRPr="00E27443">
        <w:t>Communicable</w:t>
      </w:r>
      <w:r w:rsidR="00C63F8F" w:rsidRPr="00E27443">
        <w:t xml:space="preserve"> </w:t>
      </w:r>
      <w:r w:rsidRPr="00E27443">
        <w:t>Diseases</w:t>
      </w:r>
      <w:r w:rsidR="00C63F8F" w:rsidRPr="00E27443">
        <w:t xml:space="preserve"> </w:t>
      </w:r>
      <w:r w:rsidRPr="00E27443">
        <w:t>Act.</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through</w:t>
      </w:r>
      <w:r w:rsidR="00C63F8F" w:rsidRPr="00E27443">
        <w:t xml:space="preserve"> </w:t>
      </w:r>
      <w:r w:rsidRPr="00E27443">
        <w:t>active</w:t>
      </w:r>
      <w:r w:rsidR="00C63F8F" w:rsidRPr="00E27443">
        <w:t xml:space="preserve"> </w:t>
      </w:r>
      <w:r w:rsidRPr="00E27443">
        <w:t>and</w:t>
      </w:r>
      <w:r w:rsidR="00C63F8F" w:rsidRPr="00E27443">
        <w:t xml:space="preserve"> </w:t>
      </w:r>
      <w:r w:rsidRPr="00E27443">
        <w:t>efficient</w:t>
      </w:r>
      <w:r w:rsidR="00C63F8F" w:rsidRPr="00E27443">
        <w:t xml:space="preserve"> </w:t>
      </w:r>
      <w:r w:rsidRPr="00E27443">
        <w:t>supervision,</w:t>
      </w:r>
      <w:r w:rsidR="00C63F8F" w:rsidRPr="00E27443">
        <w:t xml:space="preserve"> </w:t>
      </w:r>
      <w:r w:rsidRPr="00E27443">
        <w:t>to</w:t>
      </w:r>
      <w:r w:rsidR="00C63F8F" w:rsidRPr="00E27443">
        <w:t xml:space="preserve"> </w:t>
      </w:r>
      <w:r w:rsidRPr="00E27443">
        <w:t>strengthen</w:t>
      </w:r>
      <w:r w:rsidR="00C63F8F" w:rsidRPr="00E27443">
        <w:t xml:space="preserve"> </w:t>
      </w:r>
      <w:r w:rsidRPr="00E27443">
        <w:t>patient</w:t>
      </w:r>
      <w:r w:rsidR="00C63F8F" w:rsidRPr="00E27443">
        <w:t xml:space="preserve"> </w:t>
      </w:r>
      <w:r w:rsidRPr="00E27443">
        <w:t>security</w:t>
      </w:r>
      <w:r w:rsidR="00C63F8F" w:rsidRPr="00E27443">
        <w:t xml:space="preserve"> </w:t>
      </w:r>
      <w:r w:rsidRPr="00E27443">
        <w:t>and</w:t>
      </w:r>
      <w:r w:rsidR="00C63F8F" w:rsidRPr="00E27443">
        <w:t xml:space="preserve"> </w:t>
      </w:r>
      <w:r w:rsidRPr="00E27443">
        <w:t>due</w:t>
      </w:r>
      <w:r w:rsidR="00C63F8F" w:rsidRPr="00E27443">
        <w:t xml:space="preserve"> </w:t>
      </w:r>
      <w:r w:rsidRPr="00E27443">
        <w:t>process</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these</w:t>
      </w:r>
      <w:r w:rsidR="00C63F8F" w:rsidRPr="00E27443">
        <w:t xml:space="preserve"> </w:t>
      </w:r>
      <w:r w:rsidRPr="00E27443">
        <w:t>laws.</w:t>
      </w:r>
    </w:p>
    <w:p w:rsidR="00321ADA" w:rsidRPr="00E27443" w:rsidRDefault="00321ADA" w:rsidP="00B84771">
      <w:pPr>
        <w:pStyle w:val="SingleTxtG"/>
        <w:numPr>
          <w:ilvl w:val="0"/>
          <w:numId w:val="20"/>
        </w:numPr>
        <w:tabs>
          <w:tab w:val="left" w:pos="1843"/>
        </w:tabs>
        <w:ind w:left="1134" w:firstLine="0"/>
      </w:pPr>
      <w:r w:rsidRPr="00E27443">
        <w:t>During</w:t>
      </w:r>
      <w:r w:rsidR="00C63F8F" w:rsidRPr="00E27443">
        <w:t xml:space="preserve"> </w:t>
      </w:r>
      <w:r w:rsidRPr="00E27443">
        <w:t>2008,</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set</w:t>
      </w:r>
      <w:r w:rsidR="00C63F8F" w:rsidRPr="00E27443">
        <w:t xml:space="preserve"> </w:t>
      </w:r>
      <w:r w:rsidRPr="00E27443">
        <w:t>up</w:t>
      </w:r>
      <w:r w:rsidR="00C63F8F" w:rsidRPr="00E27443">
        <w:t xml:space="preserve"> </w:t>
      </w:r>
      <w:r w:rsidRPr="00E27443">
        <w:t>an</w:t>
      </w:r>
      <w:r w:rsidR="00C63F8F" w:rsidRPr="00E27443">
        <w:t xml:space="preserve"> </w:t>
      </w:r>
      <w:r w:rsidRPr="00E27443">
        <w:t>investigation</w:t>
      </w:r>
      <w:r w:rsidR="00410A38" w:rsidRPr="00E27443">
        <w:rPr>
          <w:rStyle w:val="FootnoteReference"/>
        </w:rPr>
        <w:footnoteReference w:id="74"/>
      </w:r>
      <w:r w:rsidR="00C63F8F" w:rsidRPr="00E27443">
        <w:t xml:space="preserve"> </w:t>
      </w:r>
      <w:r w:rsidRPr="00E27443">
        <w:t>that</w:t>
      </w:r>
      <w:r w:rsidR="00C63F8F" w:rsidRPr="00E27443">
        <w:t xml:space="preserve"> </w:t>
      </w:r>
      <w:r w:rsidRPr="00E27443">
        <w:t>is</w:t>
      </w:r>
      <w:r w:rsidR="00C63F8F" w:rsidRPr="00E27443">
        <w:t xml:space="preserve"> </w:t>
      </w:r>
      <w:r w:rsidRPr="00E27443">
        <w:t>charged</w:t>
      </w:r>
      <w:r w:rsidR="00C63F8F" w:rsidRPr="00E27443">
        <w:t xml:space="preserve"> </w:t>
      </w:r>
      <w:r w:rsidRPr="00E27443">
        <w:t>with</w:t>
      </w:r>
      <w:r w:rsidR="00C63F8F" w:rsidRPr="00E27443">
        <w:t xml:space="preserve"> </w:t>
      </w:r>
      <w:r w:rsidRPr="00E27443">
        <w:t>implementing</w:t>
      </w:r>
      <w:r w:rsidR="00C63F8F" w:rsidRPr="00E27443">
        <w:t xml:space="preserve"> </w:t>
      </w:r>
      <w:r w:rsidRPr="00E27443">
        <w:t>a</w:t>
      </w:r>
      <w:r w:rsidR="00C63F8F" w:rsidRPr="00E27443">
        <w:t xml:space="preserve"> </w:t>
      </w:r>
      <w:r w:rsidRPr="00E27443">
        <w:t>total</w:t>
      </w:r>
      <w:r w:rsidR="00C63F8F" w:rsidRPr="00E27443">
        <w:t xml:space="preserve"> </w:t>
      </w:r>
      <w:r w:rsidRPr="00E27443">
        <w:t>review</w:t>
      </w:r>
      <w:r w:rsidR="00C63F8F" w:rsidRPr="00E27443">
        <w:t xml:space="preserve"> </w:t>
      </w:r>
      <w:r w:rsidRPr="00E27443">
        <w:t>of</w:t>
      </w:r>
      <w:r w:rsidR="00C63F8F" w:rsidRPr="00E27443">
        <w:t xml:space="preserve"> </w:t>
      </w:r>
      <w:r w:rsidRPr="00E27443">
        <w:t>compulsory</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legislation,</w:t>
      </w:r>
      <w:r w:rsidR="00C63F8F" w:rsidRPr="00E27443">
        <w:t xml:space="preserve"> </w:t>
      </w:r>
      <w:r w:rsidRPr="00E27443">
        <w:t>i.e.</w:t>
      </w:r>
      <w:r w:rsidR="00C63F8F" w:rsidRPr="00E27443">
        <w:t xml:space="preserve"> </w:t>
      </w:r>
      <w:r w:rsidRPr="00E27443">
        <w:t>the</w:t>
      </w:r>
      <w:r w:rsidR="00C63F8F" w:rsidRPr="00E27443">
        <w:t xml:space="preserve"> </w:t>
      </w:r>
      <w:r w:rsidRPr="00E27443">
        <w:t>Act</w:t>
      </w:r>
      <w:r w:rsidR="00C63F8F" w:rsidRPr="00E27443">
        <w:t xml:space="preserve"> </w:t>
      </w:r>
      <w:r w:rsidRPr="00E27443">
        <w:t>on</w:t>
      </w:r>
      <w:r w:rsidR="00C63F8F" w:rsidRPr="00E27443">
        <w:t xml:space="preserve"> </w:t>
      </w:r>
      <w:r w:rsidRPr="00E27443">
        <w:t>Compulsory</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and</w:t>
      </w:r>
      <w:r w:rsidR="00C63F8F" w:rsidRPr="00E27443">
        <w:t xml:space="preserve"> </w:t>
      </w:r>
      <w:r w:rsidRPr="00E27443">
        <w:t>the</w:t>
      </w:r>
      <w:r w:rsidR="00C63F8F" w:rsidRPr="00E27443">
        <w:t xml:space="preserve"> </w:t>
      </w:r>
      <w:r w:rsidRPr="00E27443">
        <w:t>Forensic</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Act.</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investigation</w:t>
      </w:r>
      <w:r w:rsidR="00C63F8F" w:rsidRPr="00E27443">
        <w:t xml:space="preserve"> </w:t>
      </w:r>
      <w:r w:rsidRPr="00E27443">
        <w:t>will</w:t>
      </w:r>
      <w:r w:rsidR="00C63F8F" w:rsidRPr="00E27443">
        <w:t xml:space="preserve"> </w:t>
      </w:r>
      <w:r w:rsidRPr="00E27443">
        <w:t>deal</w:t>
      </w:r>
      <w:r w:rsidR="00C63F8F" w:rsidRPr="00E27443">
        <w:t xml:space="preserve"> </w:t>
      </w:r>
      <w:r w:rsidRPr="00E27443">
        <w:t>with</w:t>
      </w:r>
      <w:r w:rsidR="00C63F8F" w:rsidRPr="00E27443">
        <w:t xml:space="preserve"> </w:t>
      </w:r>
      <w:r w:rsidRPr="00E27443">
        <w:t>issues</w:t>
      </w:r>
      <w:r w:rsidR="00C63F8F" w:rsidRPr="00E27443">
        <w:t xml:space="preserve"> </w:t>
      </w:r>
      <w:r w:rsidRPr="00E27443">
        <w:t>relating</w:t>
      </w:r>
      <w:r w:rsidR="00C63F8F" w:rsidRPr="00E27443">
        <w:t xml:space="preserve"> </w:t>
      </w:r>
      <w:r w:rsidRPr="00E27443">
        <w:t>to</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that</w:t>
      </w:r>
      <w:r w:rsidR="00C63F8F" w:rsidRPr="00E27443">
        <w:t xml:space="preserve"> </w:t>
      </w:r>
      <w:r w:rsidRPr="00E27443">
        <w:t>have</w:t>
      </w:r>
      <w:r w:rsidR="00C63F8F" w:rsidRPr="00E27443">
        <w:t xml:space="preserve"> </w:t>
      </w:r>
      <w:r w:rsidRPr="00E27443">
        <w:t>to</w:t>
      </w:r>
      <w:r w:rsidR="00C63F8F" w:rsidRPr="00E27443">
        <w:t xml:space="preserve"> </w:t>
      </w:r>
      <w:r w:rsidRPr="00E27443">
        <w:t>exist</w:t>
      </w:r>
      <w:r w:rsidR="00C63F8F" w:rsidRPr="00E27443">
        <w:t xml:space="preserve"> </w:t>
      </w:r>
      <w:r w:rsidRPr="00E27443">
        <w:t>in</w:t>
      </w:r>
      <w:r w:rsidR="00C63F8F" w:rsidRPr="00E27443">
        <w:t xml:space="preserve"> </w:t>
      </w:r>
      <w:r w:rsidRPr="00E27443">
        <w:t>order</w:t>
      </w:r>
      <w:r w:rsidR="00C63F8F" w:rsidRPr="00E27443">
        <w:t xml:space="preserve"> </w:t>
      </w:r>
      <w:r w:rsidRPr="00E27443">
        <w:t>for</w:t>
      </w:r>
      <w:r w:rsidR="00C63F8F" w:rsidRPr="00E27443">
        <w:t xml:space="preserve"> </w:t>
      </w:r>
      <w:r w:rsidRPr="00E27443">
        <w:t>a</w:t>
      </w:r>
      <w:r w:rsidR="00C63F8F" w:rsidRPr="00E27443">
        <w:t xml:space="preserve"> </w:t>
      </w:r>
      <w:r w:rsidRPr="00E27443">
        <w:t>person</w:t>
      </w:r>
      <w:r w:rsidR="00C63F8F" w:rsidRPr="00E27443">
        <w:t xml:space="preserve"> </w:t>
      </w:r>
      <w:r w:rsidRPr="00E27443">
        <w:t>to</w:t>
      </w:r>
      <w:r w:rsidR="00C63F8F" w:rsidRPr="00E27443">
        <w:t xml:space="preserve"> </w:t>
      </w:r>
      <w:r w:rsidRPr="00E27443">
        <w:t>be</w:t>
      </w:r>
      <w:r w:rsidR="00C63F8F" w:rsidRPr="00E27443">
        <w:t xml:space="preserve"> </w:t>
      </w:r>
      <w:r w:rsidRPr="00E27443">
        <w:t>taken</w:t>
      </w:r>
      <w:r w:rsidR="00C63F8F" w:rsidRPr="00E27443">
        <w:t xml:space="preserve"> </w:t>
      </w:r>
      <w:r w:rsidRPr="00E27443">
        <w:t>into</w:t>
      </w:r>
      <w:r w:rsidR="00C63F8F" w:rsidRPr="00E27443">
        <w:t xml:space="preserve"> </w:t>
      </w:r>
      <w:r w:rsidRPr="00E27443">
        <w:t>compulsory</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how</w:t>
      </w:r>
      <w:r w:rsidR="00C63F8F" w:rsidRPr="00E27443">
        <w:t xml:space="preserve"> </w:t>
      </w:r>
      <w:r w:rsidRPr="00E27443">
        <w:t>the</w:t>
      </w:r>
      <w:r w:rsidR="00C63F8F" w:rsidRPr="00E27443">
        <w:t xml:space="preserve"> </w:t>
      </w:r>
      <w:r w:rsidRPr="00E27443">
        <w:t>structure</w:t>
      </w:r>
      <w:r w:rsidR="00C63F8F" w:rsidRPr="00E27443">
        <w:t xml:space="preserve"> </w:t>
      </w:r>
      <w:r w:rsidRPr="00E27443">
        <w:t>of</w:t>
      </w:r>
      <w:r w:rsidR="00C63F8F" w:rsidRPr="00E27443">
        <w:t xml:space="preserve"> </w:t>
      </w:r>
      <w:r w:rsidRPr="00E27443">
        <w:t>the</w:t>
      </w:r>
      <w:r w:rsidR="00C63F8F" w:rsidRPr="00E27443">
        <w:t xml:space="preserve"> </w:t>
      </w:r>
      <w:r w:rsidRPr="00E27443">
        <w:t>legislation</w:t>
      </w:r>
      <w:r w:rsidR="00C63F8F" w:rsidRPr="00E27443">
        <w:t xml:space="preserve"> </w:t>
      </w:r>
      <w:r w:rsidRPr="00E27443">
        <w:t>can</w:t>
      </w:r>
      <w:r w:rsidR="00C63F8F" w:rsidRPr="00E27443">
        <w:t xml:space="preserve"> </w:t>
      </w:r>
      <w:r w:rsidRPr="00E27443">
        <w:t>be</w:t>
      </w:r>
      <w:r w:rsidR="00C63F8F" w:rsidRPr="00E27443">
        <w:t xml:space="preserve"> </w:t>
      </w:r>
      <w:r w:rsidRPr="00E27443">
        <w:t>simplified</w:t>
      </w:r>
      <w:r w:rsidR="00C63F8F" w:rsidRPr="00E27443">
        <w:t xml:space="preserve"> </w:t>
      </w:r>
      <w:r w:rsidRPr="00E27443">
        <w:t>and</w:t>
      </w:r>
      <w:r w:rsidR="00C63F8F" w:rsidRPr="00E27443">
        <w:t xml:space="preserve"> </w:t>
      </w:r>
      <w:r w:rsidRPr="00E27443">
        <w:t>clarified.</w:t>
      </w:r>
    </w:p>
    <w:p w:rsidR="00321ADA" w:rsidRPr="00E27443" w:rsidRDefault="00321ADA" w:rsidP="00B84771">
      <w:pPr>
        <w:pStyle w:val="SingleTxtG"/>
        <w:numPr>
          <w:ilvl w:val="0"/>
          <w:numId w:val="20"/>
        </w:numPr>
        <w:tabs>
          <w:tab w:val="left" w:pos="1843"/>
        </w:tabs>
        <w:ind w:left="1134" w:firstLine="0"/>
      </w:pPr>
      <w:r w:rsidRPr="00E27443">
        <w:t>The</w:t>
      </w:r>
      <w:r w:rsidR="00C63F8F" w:rsidRPr="00E27443">
        <w:t xml:space="preserve"> </w:t>
      </w:r>
      <w:r w:rsidRPr="00E27443">
        <w:t>assignment</w:t>
      </w:r>
      <w:r w:rsidR="00C63F8F" w:rsidRPr="00E27443">
        <w:t xml:space="preserve"> </w:t>
      </w:r>
      <w:r w:rsidRPr="00E27443">
        <w:t>includes</w:t>
      </w:r>
      <w:r w:rsidR="00C63F8F" w:rsidRPr="00E27443">
        <w:t xml:space="preserve"> </w:t>
      </w:r>
      <w:r w:rsidRPr="00E27443">
        <w:t>the</w:t>
      </w:r>
      <w:r w:rsidR="00C63F8F" w:rsidRPr="00E27443">
        <w:t xml:space="preserve"> </w:t>
      </w:r>
      <w:r w:rsidRPr="00E27443">
        <w:t>issue</w:t>
      </w:r>
      <w:r w:rsidR="00C63F8F" w:rsidRPr="00E27443">
        <w:t xml:space="preserve"> </w:t>
      </w:r>
      <w:r w:rsidRPr="00E27443">
        <w:t>of</w:t>
      </w:r>
      <w:r w:rsidR="00C63F8F" w:rsidRPr="00E27443">
        <w:t xml:space="preserve"> </w:t>
      </w:r>
      <w:r w:rsidRPr="00E27443">
        <w:t>an</w:t>
      </w:r>
      <w:r w:rsidR="00C63F8F" w:rsidRPr="00E27443">
        <w:t xml:space="preserve"> </w:t>
      </w:r>
      <w:r w:rsidRPr="00E27443">
        <w:t>alternative</w:t>
      </w:r>
      <w:r w:rsidR="00C63F8F" w:rsidRPr="00E27443">
        <w:t xml:space="preserve"> </w:t>
      </w:r>
      <w:r w:rsidRPr="00E27443">
        <w:t>procedure</w:t>
      </w:r>
      <w:r w:rsidR="00C63F8F" w:rsidRPr="00E27443">
        <w:t xml:space="preserve"> </w:t>
      </w:r>
      <w:r w:rsidRPr="00E27443">
        <w:t>for</w:t>
      </w:r>
      <w:r w:rsidR="00C63F8F" w:rsidRPr="00E27443">
        <w:t xml:space="preserve"> </w:t>
      </w:r>
      <w:r w:rsidRPr="00E27443">
        <w:t>people</w:t>
      </w:r>
      <w:r w:rsidR="00C63F8F" w:rsidRPr="00E27443">
        <w:t xml:space="preserve"> </w:t>
      </w:r>
      <w:r w:rsidRPr="00E27443">
        <w:t>who</w:t>
      </w:r>
      <w:r w:rsidR="00C63F8F" w:rsidRPr="00E27443">
        <w:t xml:space="preserve"> </w:t>
      </w:r>
      <w:r w:rsidRPr="00E27443">
        <w:t>have</w:t>
      </w:r>
      <w:r w:rsidR="00C63F8F" w:rsidRPr="00E27443">
        <w:t xml:space="preserve"> </w:t>
      </w:r>
      <w:r w:rsidRPr="00E27443">
        <w:t>committed</w:t>
      </w:r>
      <w:r w:rsidR="00C63F8F" w:rsidRPr="00E27443">
        <w:t xml:space="preserve"> </w:t>
      </w:r>
      <w:r w:rsidRPr="00E27443">
        <w:t>a</w:t>
      </w:r>
      <w:r w:rsidR="00C63F8F" w:rsidRPr="00E27443">
        <w:t xml:space="preserve"> </w:t>
      </w:r>
      <w:r w:rsidRPr="00E27443">
        <w:t>crime</w:t>
      </w:r>
      <w:r w:rsidR="00C63F8F" w:rsidRPr="00E27443">
        <w:t xml:space="preserve"> </w:t>
      </w:r>
      <w:r w:rsidRPr="00E27443">
        <w:t>and</w:t>
      </w:r>
      <w:r w:rsidR="00C63F8F" w:rsidRPr="00E27443">
        <w:t xml:space="preserve"> </w:t>
      </w:r>
      <w:r w:rsidRPr="00E27443">
        <w:t>who</w:t>
      </w:r>
      <w:r w:rsidR="00C63F8F" w:rsidRPr="00E27443">
        <w:t xml:space="preserve"> </w:t>
      </w:r>
      <w:r w:rsidRPr="00E27443">
        <w:t>have</w:t>
      </w:r>
      <w:r w:rsidR="00C63F8F" w:rsidRPr="00E27443">
        <w:t xml:space="preserve"> </w:t>
      </w:r>
      <w:r w:rsidRPr="00E27443">
        <w:t>a</w:t>
      </w:r>
      <w:r w:rsidR="00C63F8F" w:rsidRPr="00E27443">
        <w:t xml:space="preserve"> </w:t>
      </w:r>
      <w:r w:rsidRPr="00E27443">
        <w:t>developmental</w:t>
      </w:r>
      <w:r w:rsidR="00C63F8F" w:rsidRPr="00E27443">
        <w:t xml:space="preserve"> </w:t>
      </w:r>
      <w:r w:rsidRPr="00E27443">
        <w:t>disability,</w:t>
      </w:r>
      <w:r w:rsidR="00C63F8F" w:rsidRPr="00E27443">
        <w:t xml:space="preserve"> </w:t>
      </w:r>
      <w:r w:rsidRPr="00E27443">
        <w:t>autism</w:t>
      </w:r>
      <w:r w:rsidR="00C63F8F" w:rsidRPr="00E27443">
        <w:t xml:space="preserve"> </w:t>
      </w:r>
      <w:r w:rsidRPr="00E27443">
        <w:t>or</w:t>
      </w:r>
      <w:r w:rsidR="00C63F8F" w:rsidRPr="00E27443">
        <w:t xml:space="preserve"> </w:t>
      </w:r>
      <w:r w:rsidRPr="00E27443">
        <w:t>similar</w:t>
      </w:r>
      <w:r w:rsidR="00C63F8F" w:rsidRPr="00E27443">
        <w:t xml:space="preserve"> </w:t>
      </w:r>
      <w:r w:rsidRPr="00E27443">
        <w:t>conditions,</w:t>
      </w:r>
      <w:r w:rsidR="00C63F8F" w:rsidRPr="00E27443">
        <w:t xml:space="preserve"> </w:t>
      </w:r>
      <w:r w:rsidRPr="00E27443">
        <w:t>or</w:t>
      </w:r>
      <w:r w:rsidR="00C63F8F" w:rsidRPr="00E27443">
        <w:t xml:space="preserve"> </w:t>
      </w:r>
      <w:r w:rsidRPr="00E27443">
        <w:t>a</w:t>
      </w:r>
      <w:r w:rsidR="00C63F8F" w:rsidRPr="00E27443">
        <w:t xml:space="preserve"> </w:t>
      </w:r>
      <w:r w:rsidRPr="00E27443">
        <w:t>brain</w:t>
      </w:r>
      <w:r w:rsidR="00C63F8F" w:rsidRPr="00E27443">
        <w:t xml:space="preserve"> </w:t>
      </w:r>
      <w:r w:rsidRPr="00E27443">
        <w:t>injury</w:t>
      </w:r>
      <w:r w:rsidR="00C63F8F" w:rsidRPr="00E27443">
        <w:t xml:space="preserve"> </w:t>
      </w:r>
      <w:r w:rsidRPr="00E27443">
        <w:t>that</w:t>
      </w:r>
      <w:r w:rsidR="00C63F8F" w:rsidRPr="00E27443">
        <w:t xml:space="preserve"> </w:t>
      </w:r>
      <w:r w:rsidRPr="00E27443">
        <w:t>has</w:t>
      </w:r>
      <w:r w:rsidR="00C63F8F" w:rsidRPr="00E27443">
        <w:t xml:space="preserve"> </w:t>
      </w:r>
      <w:r w:rsidRPr="00E27443">
        <w:t>been</w:t>
      </w:r>
      <w:r w:rsidR="00C63F8F" w:rsidRPr="00E27443">
        <w:t xml:space="preserve"> </w:t>
      </w:r>
      <w:r w:rsidRPr="00E27443">
        <w:t>sustained</w:t>
      </w:r>
      <w:r w:rsidR="00C63F8F" w:rsidRPr="00E27443">
        <w:t xml:space="preserve"> </w:t>
      </w:r>
      <w:r w:rsidRPr="00E27443">
        <w:t>in</w:t>
      </w:r>
      <w:r w:rsidR="00C63F8F" w:rsidRPr="00E27443">
        <w:t xml:space="preserve"> </w:t>
      </w:r>
      <w:r w:rsidRPr="00E27443">
        <w:t>adult</w:t>
      </w:r>
      <w:r w:rsidR="00C63F8F" w:rsidRPr="00E27443">
        <w:t xml:space="preserve"> </w:t>
      </w:r>
      <w:r w:rsidRPr="00E27443">
        <w:t>life.</w:t>
      </w:r>
      <w:r w:rsidR="00C63F8F" w:rsidRPr="00E27443">
        <w:t xml:space="preserve"> </w:t>
      </w:r>
      <w:r w:rsidRPr="00E27443">
        <w:t>For</w:t>
      </w:r>
      <w:r w:rsidR="00C63F8F" w:rsidRPr="00E27443">
        <w:t xml:space="preserve"> </w:t>
      </w:r>
      <w:r w:rsidRPr="00E27443">
        <w:t>these</w:t>
      </w:r>
      <w:r w:rsidR="00C63F8F" w:rsidRPr="00E27443">
        <w:t xml:space="preserve"> </w:t>
      </w:r>
      <w:r w:rsidRPr="00E27443">
        <w:t>people,</w:t>
      </w:r>
      <w:r w:rsidR="00C63F8F" w:rsidRPr="00E27443">
        <w:t xml:space="preserve"> </w:t>
      </w:r>
      <w:r w:rsidRPr="00E27443">
        <w:t>a</w:t>
      </w:r>
      <w:r w:rsidR="00C63F8F" w:rsidRPr="00E27443">
        <w:t xml:space="preserve"> </w:t>
      </w:r>
      <w:r w:rsidRPr="00E27443">
        <w:t>previous</w:t>
      </w:r>
      <w:r w:rsidR="00C63F8F" w:rsidRPr="00E27443">
        <w:t xml:space="preserve"> </w:t>
      </w:r>
      <w:r w:rsidRPr="00E27443">
        <w:t>study</w:t>
      </w:r>
      <w:r w:rsidR="00C63F8F" w:rsidRPr="00E27443">
        <w:t xml:space="preserve"> </w:t>
      </w:r>
      <w:r w:rsidRPr="00E27443">
        <w:t>proposed</w:t>
      </w:r>
      <w:r w:rsidR="00C63F8F" w:rsidRPr="00E27443">
        <w:t xml:space="preserve"> </w:t>
      </w:r>
      <w:r w:rsidRPr="00E27443">
        <w:t>that</w:t>
      </w:r>
      <w:r w:rsidR="00C63F8F" w:rsidRPr="00E27443">
        <w:t xml:space="preserve"> </w:t>
      </w:r>
      <w:r w:rsidRPr="00E27443">
        <w:t>an</w:t>
      </w:r>
      <w:r w:rsidR="00C63F8F" w:rsidRPr="00E27443">
        <w:t xml:space="preserve"> </w:t>
      </w:r>
      <w:r w:rsidRPr="00E27443">
        <w:t>alternative</w:t>
      </w:r>
      <w:r w:rsidR="00C63F8F" w:rsidRPr="00E27443">
        <w:t xml:space="preserve"> </w:t>
      </w:r>
      <w:r w:rsidRPr="00E27443">
        <w:t>form</w:t>
      </w:r>
      <w:r w:rsidR="00C63F8F" w:rsidRPr="00E27443">
        <w:t xml:space="preserve"> </w:t>
      </w:r>
      <w:r w:rsidRPr="00E27443">
        <w:t>of</w:t>
      </w:r>
      <w:r w:rsidR="00C63F8F" w:rsidRPr="00E27443">
        <w:t xml:space="preserve"> </w:t>
      </w:r>
      <w:r w:rsidRPr="00E27443">
        <w:t>imprisonment</w:t>
      </w:r>
      <w:r w:rsidR="00C63F8F" w:rsidRPr="00E27443">
        <w:t xml:space="preserve"> </w:t>
      </w:r>
      <w:r w:rsidRPr="00E27443">
        <w:t>should</w:t>
      </w:r>
      <w:r w:rsidR="00C63F8F" w:rsidRPr="00E27443">
        <w:t xml:space="preserve"> </w:t>
      </w:r>
      <w:r w:rsidRPr="00E27443">
        <w:t>be</w:t>
      </w:r>
      <w:r w:rsidR="00C63F8F" w:rsidRPr="00E27443">
        <w:t xml:space="preserve"> </w:t>
      </w:r>
      <w:r w:rsidRPr="00E27443">
        <w:t>intro</w:t>
      </w:r>
      <w:r w:rsidRPr="00E27443">
        <w:softHyphen/>
        <w:t>duced,</w:t>
      </w:r>
      <w:r w:rsidR="00C63F8F" w:rsidRPr="00E27443">
        <w:t xml:space="preserve"> </w:t>
      </w:r>
      <w:r w:rsidRPr="00E27443">
        <w:t>closed</w:t>
      </w:r>
      <w:r w:rsidR="00C63F8F" w:rsidRPr="00E27443">
        <w:t xml:space="preserve"> </w:t>
      </w:r>
      <w:r w:rsidRPr="00E27443">
        <w:t>accommodation.</w:t>
      </w:r>
      <w:r w:rsidR="00C63F8F" w:rsidRPr="00E27443">
        <w:t xml:space="preserve"> </w:t>
      </w:r>
      <w:r w:rsidRPr="00E27443">
        <w:t>The</w:t>
      </w:r>
      <w:r w:rsidR="00C63F8F" w:rsidRPr="00E27443">
        <w:t xml:space="preserve"> </w:t>
      </w:r>
      <w:r w:rsidRPr="00E27443">
        <w:t>new</w:t>
      </w:r>
      <w:r w:rsidR="00C63F8F" w:rsidRPr="00E27443">
        <w:t xml:space="preserve"> </w:t>
      </w:r>
      <w:r w:rsidRPr="00E27443">
        <w:t>study</w:t>
      </w:r>
      <w:r w:rsidR="00C63F8F" w:rsidRPr="00E27443">
        <w:t xml:space="preserve"> </w:t>
      </w:r>
      <w:r w:rsidRPr="00E27443">
        <w:t>will</w:t>
      </w:r>
      <w:r w:rsidR="00C63F8F" w:rsidRPr="00E27443">
        <w:t xml:space="preserve"> </w:t>
      </w:r>
      <w:r w:rsidRPr="00E27443">
        <w:t>extend</w:t>
      </w:r>
      <w:r w:rsidR="00C63F8F" w:rsidRPr="00E27443">
        <w:t xml:space="preserve"> </w:t>
      </w:r>
      <w:r w:rsidRPr="00E27443">
        <w:t>this</w:t>
      </w:r>
      <w:r w:rsidR="00C63F8F" w:rsidRPr="00E27443">
        <w:t xml:space="preserve"> </w:t>
      </w:r>
      <w:r w:rsidRPr="00E27443">
        <w:t>analysis</w:t>
      </w:r>
      <w:r w:rsidR="00C63F8F" w:rsidRPr="00E27443">
        <w:t xml:space="preserve"> </w:t>
      </w:r>
      <w:r w:rsidRPr="00E27443">
        <w:t>and</w:t>
      </w:r>
      <w:r w:rsidR="00C63F8F" w:rsidRPr="00E27443">
        <w:t xml:space="preserve"> </w:t>
      </w:r>
      <w:r w:rsidRPr="00E27443">
        <w:t>submit</w:t>
      </w:r>
      <w:r w:rsidR="00C63F8F" w:rsidRPr="00E27443">
        <w:t xml:space="preserve"> </w:t>
      </w:r>
      <w:r w:rsidRPr="00E27443">
        <w:t>proposals</w:t>
      </w:r>
      <w:r w:rsidR="00C63F8F" w:rsidRPr="00E27443">
        <w:t xml:space="preserve"> </w:t>
      </w:r>
      <w:r w:rsidRPr="00E27443">
        <w:t>as</w:t>
      </w:r>
      <w:r w:rsidR="00C63F8F" w:rsidRPr="00E27443">
        <w:t xml:space="preserve"> </w:t>
      </w:r>
      <w:r w:rsidRPr="00E27443">
        <w:t>to</w:t>
      </w:r>
      <w:r w:rsidR="00C63F8F" w:rsidRPr="00E27443">
        <w:t xml:space="preserve"> </w:t>
      </w:r>
      <w:r w:rsidRPr="00E27443">
        <w:t>which</w:t>
      </w:r>
      <w:r w:rsidR="00C63F8F" w:rsidRPr="00E27443">
        <w:t xml:space="preserve"> </w:t>
      </w:r>
      <w:r w:rsidRPr="00E27443">
        <w:t>principals</w:t>
      </w:r>
      <w:r w:rsidR="00C63F8F" w:rsidRPr="00E27443">
        <w:t xml:space="preserve"> — </w:t>
      </w:r>
      <w:r w:rsidRPr="00E27443">
        <w:t>the</w:t>
      </w:r>
      <w:r w:rsidR="00C63F8F" w:rsidRPr="00E27443">
        <w:t xml:space="preserve"> </w:t>
      </w:r>
      <w:r w:rsidRPr="00E27443">
        <w:t>State</w:t>
      </w:r>
      <w:r w:rsidR="00C63F8F" w:rsidRPr="00E27443">
        <w:t xml:space="preserve"> </w:t>
      </w:r>
      <w:r w:rsidRPr="00E27443">
        <w:t>or</w:t>
      </w:r>
      <w:r w:rsidR="00C63F8F" w:rsidRPr="00E27443">
        <w:t xml:space="preserve"> </w:t>
      </w:r>
      <w:r w:rsidRPr="00E27443">
        <w:t>the</w:t>
      </w:r>
      <w:r w:rsidR="00C63F8F" w:rsidRPr="00E27443">
        <w:t xml:space="preserve"> </w:t>
      </w:r>
      <w:r w:rsidRPr="00E27443">
        <w:t>county</w:t>
      </w:r>
      <w:r w:rsidR="00C63F8F" w:rsidRPr="00E27443">
        <w:t xml:space="preserve"> </w:t>
      </w:r>
      <w:r w:rsidRPr="00E27443">
        <w:t>councils</w:t>
      </w:r>
      <w:r w:rsidR="00C63F8F" w:rsidRPr="00E27443">
        <w:t xml:space="preserve"> — </w:t>
      </w:r>
      <w:r w:rsidRPr="00E27443">
        <w:t>should</w:t>
      </w:r>
      <w:r w:rsidR="00C63F8F" w:rsidRPr="00E27443">
        <w:t xml:space="preserve"> </w:t>
      </w:r>
      <w:r w:rsidRPr="00E27443">
        <w:t>be</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closed</w:t>
      </w:r>
      <w:r w:rsidR="00C63F8F" w:rsidRPr="00E27443">
        <w:t xml:space="preserve"> </w:t>
      </w:r>
      <w:r w:rsidRPr="00E27443">
        <w:t>accommodation.</w:t>
      </w:r>
      <w:r w:rsidR="00C63F8F" w:rsidRPr="00E27443">
        <w:t xml:space="preserve"> </w:t>
      </w:r>
      <w:r w:rsidRPr="00E27443">
        <w:t>The</w:t>
      </w:r>
      <w:r w:rsidR="00C63F8F" w:rsidRPr="00E27443">
        <w:t xml:space="preserve"> </w:t>
      </w:r>
      <w:r w:rsidRPr="00E27443">
        <w:t>study</w:t>
      </w:r>
      <w:r w:rsidR="00C63F8F" w:rsidRPr="00E27443">
        <w:t xml:space="preserve"> </w:t>
      </w:r>
      <w:r w:rsidRPr="00E27443">
        <w:t>will</w:t>
      </w:r>
      <w:r w:rsidR="00C63F8F" w:rsidRPr="00E27443">
        <w:t xml:space="preserve"> </w:t>
      </w:r>
      <w:r w:rsidRPr="00E27443">
        <w:t>present</w:t>
      </w:r>
      <w:r w:rsidR="00C63F8F" w:rsidRPr="00E27443">
        <w:t xml:space="preserve"> </w:t>
      </w:r>
      <w:r w:rsidRPr="00E27443">
        <w:t>its</w:t>
      </w:r>
      <w:r w:rsidR="00C63F8F" w:rsidRPr="00E27443">
        <w:t xml:space="preserve"> </w:t>
      </w:r>
      <w:r w:rsidRPr="00E27443">
        <w:t>final</w:t>
      </w:r>
      <w:r w:rsidR="00C63F8F" w:rsidRPr="00E27443">
        <w:t xml:space="preserve"> </w:t>
      </w:r>
      <w:r w:rsidRPr="00E27443">
        <w:t>report</w:t>
      </w:r>
      <w:r w:rsidR="00C63F8F" w:rsidRPr="00E27443">
        <w:t xml:space="preserve"> </w:t>
      </w:r>
      <w:r w:rsidRPr="00E27443">
        <w:t>no</w:t>
      </w:r>
      <w:r w:rsidR="00C63F8F" w:rsidRPr="00E27443">
        <w:t xml:space="preserve"> </w:t>
      </w:r>
      <w:r w:rsidRPr="00E27443">
        <w:t>later</w:t>
      </w:r>
      <w:r w:rsidR="00C63F8F" w:rsidRPr="00E27443">
        <w:t xml:space="preserve"> </w:t>
      </w:r>
      <w:r w:rsidRPr="00E27443">
        <w:t>than</w:t>
      </w:r>
      <w:r w:rsidR="00C63F8F" w:rsidRPr="00E27443">
        <w:t xml:space="preserve"> </w:t>
      </w:r>
      <w:r w:rsidRPr="00E27443">
        <w:t>30</w:t>
      </w:r>
      <w:r w:rsidR="00C63F8F" w:rsidRPr="00E27443">
        <w:t xml:space="preserve"> </w:t>
      </w:r>
      <w:r w:rsidRPr="00E27443">
        <w:t>April</w:t>
      </w:r>
      <w:r w:rsidR="00C63F8F" w:rsidRPr="00E27443">
        <w:t xml:space="preserve"> </w:t>
      </w:r>
      <w:r w:rsidRPr="00E27443">
        <w:t>2011.</w:t>
      </w:r>
      <w:r w:rsidR="00C63F8F" w:rsidRPr="00E27443">
        <w:t xml:space="preserve"> </w:t>
      </w:r>
    </w:p>
    <w:p w:rsidR="00321ADA" w:rsidRPr="00E27443" w:rsidRDefault="00321ADA" w:rsidP="00B84771">
      <w:pPr>
        <w:pStyle w:val="SingleTxtG"/>
        <w:numPr>
          <w:ilvl w:val="0"/>
          <w:numId w:val="20"/>
        </w:numPr>
        <w:tabs>
          <w:tab w:val="left" w:pos="1843"/>
        </w:tabs>
        <w:ind w:left="1134" w:firstLine="0"/>
      </w:pPr>
      <w:r w:rsidRPr="00E27443">
        <w:t>On</w:t>
      </w:r>
      <w:r w:rsidR="00C63F8F" w:rsidRPr="00E27443">
        <w:t xml:space="preserve"> </w:t>
      </w:r>
      <w:r w:rsidRPr="00E27443">
        <w:t>1</w:t>
      </w:r>
      <w:r w:rsidR="00C63F8F" w:rsidRPr="00E27443">
        <w:t xml:space="preserve"> </w:t>
      </w:r>
      <w:r w:rsidRPr="00E27443">
        <w:t>September</w:t>
      </w:r>
      <w:r w:rsidR="00C63F8F" w:rsidRPr="00E27443">
        <w:t xml:space="preserve"> </w:t>
      </w:r>
      <w:r w:rsidRPr="00E27443">
        <w:t>2009,</w:t>
      </w:r>
      <w:r w:rsidR="00C63F8F" w:rsidRPr="00E27443">
        <w:t xml:space="preserve"> </w:t>
      </w:r>
      <w:r w:rsidRPr="00E27443">
        <w:t>a</w:t>
      </w:r>
      <w:r w:rsidR="00C63F8F" w:rsidRPr="00E27443">
        <w:t xml:space="preserve"> </w:t>
      </w:r>
      <w:r w:rsidRPr="00E27443">
        <w:t>new</w:t>
      </w:r>
      <w:r w:rsidR="00C63F8F" w:rsidRPr="00E27443">
        <w:t xml:space="preserve"> </w:t>
      </w:r>
      <w:r w:rsidRPr="00E27443">
        <w:t>form</w:t>
      </w:r>
      <w:r w:rsidR="00C63F8F" w:rsidRPr="00E27443">
        <w:t xml:space="preserve"> </w:t>
      </w:r>
      <w:r w:rsidRPr="00E27443">
        <w:t>of</w:t>
      </w:r>
      <w:r w:rsidR="00C63F8F" w:rsidRPr="00E27443">
        <w:t xml:space="preserve"> </w:t>
      </w:r>
      <w:r w:rsidRPr="00E27443">
        <w:t>care</w:t>
      </w:r>
      <w:r w:rsidR="00C63F8F" w:rsidRPr="00E27443">
        <w:t xml:space="preserve"> </w:t>
      </w:r>
      <w:r w:rsidRPr="00E27443">
        <w:t>was</w:t>
      </w:r>
      <w:r w:rsidR="00C63F8F" w:rsidRPr="00E27443">
        <w:t xml:space="preserve"> </w:t>
      </w:r>
      <w:r w:rsidRPr="00E27443">
        <w:t>introduced</w:t>
      </w:r>
      <w:r w:rsidR="00C63F8F" w:rsidRPr="00E27443">
        <w:t xml:space="preserve"> </w:t>
      </w:r>
      <w:r w:rsidRPr="00E27443">
        <w:t>–</w:t>
      </w:r>
      <w:r w:rsidR="00C63F8F" w:rsidRPr="00E27443">
        <w:t xml:space="preserve"> </w:t>
      </w:r>
      <w:r w:rsidRPr="00E27443">
        <w:t>open</w:t>
      </w:r>
      <w:r w:rsidR="00C63F8F" w:rsidRPr="00E27443">
        <w:t xml:space="preserve"> </w:t>
      </w:r>
      <w:r w:rsidRPr="00E27443">
        <w:t>compulsory</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in</w:t>
      </w:r>
      <w:r w:rsidR="00C63F8F" w:rsidRPr="00E27443">
        <w:t xml:space="preserve"> </w:t>
      </w:r>
      <w:r w:rsidRPr="00E27443">
        <w:t>the</w:t>
      </w:r>
      <w:r w:rsidR="00C63F8F" w:rsidRPr="00E27443">
        <w:t xml:space="preserve"> </w:t>
      </w:r>
      <w:r w:rsidRPr="00E27443">
        <w:t>Act</w:t>
      </w:r>
      <w:r w:rsidR="00C63F8F" w:rsidRPr="00E27443">
        <w:t xml:space="preserve"> </w:t>
      </w:r>
      <w:r w:rsidRPr="00E27443">
        <w:t>on</w:t>
      </w:r>
      <w:r w:rsidR="00C63F8F" w:rsidRPr="00E27443">
        <w:t xml:space="preserve"> </w:t>
      </w:r>
      <w:r w:rsidRPr="00E27443">
        <w:t>Compulsory</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and</w:t>
      </w:r>
      <w:r w:rsidR="00C63F8F" w:rsidRPr="00E27443">
        <w:t xml:space="preserve"> </w:t>
      </w:r>
      <w:r w:rsidRPr="00E27443">
        <w:t>open</w:t>
      </w:r>
      <w:r w:rsidR="00C63F8F" w:rsidRPr="00E27443">
        <w:t xml:space="preserve"> </w:t>
      </w:r>
      <w:r w:rsidRPr="00E27443">
        <w:t>forensic</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in</w:t>
      </w:r>
      <w:r w:rsidR="00C63F8F" w:rsidRPr="00E27443">
        <w:t xml:space="preserve"> </w:t>
      </w:r>
      <w:r w:rsidRPr="00E27443">
        <w:t>the</w:t>
      </w:r>
      <w:r w:rsidR="00C63F8F" w:rsidRPr="00E27443">
        <w:t xml:space="preserve"> </w:t>
      </w:r>
      <w:r w:rsidRPr="00E27443">
        <w:t>Forensic</w:t>
      </w:r>
      <w:r w:rsidR="00C63F8F" w:rsidRPr="00E27443">
        <w:t xml:space="preserve"> </w:t>
      </w:r>
      <w:r w:rsidRPr="00E27443">
        <w:t>Psychiatric</w:t>
      </w:r>
      <w:r w:rsidR="00C63F8F" w:rsidRPr="00E27443">
        <w:t xml:space="preserve"> </w:t>
      </w:r>
      <w:r w:rsidRPr="00E27443">
        <w:t>Care</w:t>
      </w:r>
      <w:r w:rsidR="00C63F8F" w:rsidRPr="00E27443">
        <w:t xml:space="preserve"> </w:t>
      </w:r>
      <w:r w:rsidRPr="00E27443">
        <w:t>Act</w:t>
      </w:r>
      <w:r w:rsidR="00C63F8F" w:rsidRPr="00E27443">
        <w:t xml:space="preserve"> </w:t>
      </w:r>
      <w:r w:rsidRPr="00E27443">
        <w:t>(LRV).</w:t>
      </w:r>
      <w:r w:rsidR="00C63F8F" w:rsidRPr="00E27443">
        <w:t xml:space="preserve"> </w:t>
      </w:r>
      <w:r w:rsidRPr="00E27443">
        <w:t>This</w:t>
      </w:r>
      <w:r w:rsidR="00C63F8F" w:rsidRPr="00E27443">
        <w:t xml:space="preserve"> </w:t>
      </w:r>
      <w:r w:rsidRPr="00E27443">
        <w:t>new</w:t>
      </w:r>
      <w:r w:rsidR="00C63F8F" w:rsidRPr="00E27443">
        <w:t xml:space="preserve"> </w:t>
      </w:r>
      <w:r w:rsidRPr="00E27443">
        <w:t>form</w:t>
      </w:r>
      <w:r w:rsidR="00C63F8F" w:rsidRPr="00E27443">
        <w:t xml:space="preserve"> </w:t>
      </w:r>
      <w:r w:rsidRPr="00E27443">
        <w:t>of</w:t>
      </w:r>
      <w:r w:rsidR="00C63F8F" w:rsidRPr="00E27443">
        <w:t xml:space="preserve"> </w:t>
      </w:r>
      <w:r w:rsidRPr="00E27443">
        <w:t>care</w:t>
      </w:r>
      <w:r w:rsidR="00C63F8F" w:rsidRPr="00E27443">
        <w:t xml:space="preserve"> </w:t>
      </w:r>
      <w:r w:rsidRPr="00E27443">
        <w:t>may</w:t>
      </w:r>
      <w:r w:rsidR="00C63F8F" w:rsidRPr="00E27443">
        <w:t xml:space="preserve"> </w:t>
      </w:r>
      <w:r w:rsidRPr="00E27443">
        <w:t>be</w:t>
      </w:r>
      <w:r w:rsidR="00C63F8F" w:rsidRPr="00E27443">
        <w:t xml:space="preserve"> </w:t>
      </w:r>
      <w:r w:rsidRPr="00E27443">
        <w:t>conducted</w:t>
      </w:r>
      <w:r w:rsidR="00C63F8F" w:rsidRPr="00E27443">
        <w:t xml:space="preserve"> </w:t>
      </w:r>
      <w:r w:rsidRPr="00E27443">
        <w:t>outside</w:t>
      </w:r>
      <w:r w:rsidR="00C63F8F" w:rsidRPr="00E27443">
        <w:t xml:space="preserve"> </w:t>
      </w:r>
      <w:r w:rsidRPr="00E27443">
        <w:t>of</w:t>
      </w:r>
      <w:r w:rsidR="00C63F8F" w:rsidRPr="00E27443">
        <w:t xml:space="preserve"> </w:t>
      </w:r>
      <w:r w:rsidRPr="00E27443">
        <w:t>medical</w:t>
      </w:r>
      <w:r w:rsidR="00C63F8F" w:rsidRPr="00E27443">
        <w:t xml:space="preserve"> </w:t>
      </w:r>
      <w:r w:rsidRPr="00E27443">
        <w:t>institutions,</w:t>
      </w:r>
      <w:r w:rsidR="00C63F8F" w:rsidRPr="00E27443">
        <w:t xml:space="preserve"> </w:t>
      </w:r>
      <w:r w:rsidRPr="00E27443">
        <w:t>and</w:t>
      </w:r>
      <w:r w:rsidR="00C63F8F" w:rsidRPr="00E27443">
        <w:t xml:space="preserve"> </w:t>
      </w:r>
      <w:r w:rsidRPr="00E27443">
        <w:t>assumes</w:t>
      </w:r>
      <w:r w:rsidR="00C63F8F" w:rsidRPr="00E27443">
        <w:t xml:space="preserve"> </w:t>
      </w:r>
      <w:r w:rsidRPr="00E27443">
        <w:t>for</w:t>
      </w:r>
      <w:r w:rsidR="00C63F8F" w:rsidRPr="00E27443">
        <w:t xml:space="preserve"> </w:t>
      </w:r>
      <w:r w:rsidRPr="00E27443">
        <w:t>example</w:t>
      </w:r>
      <w:r w:rsidR="00C63F8F" w:rsidRPr="00E27443">
        <w:t xml:space="preserve"> </w:t>
      </w:r>
      <w:r w:rsidRPr="00E27443">
        <w:t>that</w:t>
      </w:r>
      <w:r w:rsidR="00C63F8F" w:rsidRPr="00E27443">
        <w:t xml:space="preserve"> </w:t>
      </w:r>
      <w:r w:rsidRPr="00E27443">
        <w:t>the</w:t>
      </w:r>
      <w:r w:rsidR="00C63F8F" w:rsidRPr="00E27443">
        <w:t xml:space="preserve"> </w:t>
      </w:r>
      <w:r w:rsidRPr="00E27443">
        <w:t>patient</w:t>
      </w:r>
      <w:r w:rsidR="00C63F8F" w:rsidRPr="00E27443">
        <w:t xml:space="preserve"> </w:t>
      </w:r>
      <w:r w:rsidRPr="00E27443">
        <w:t>needs</w:t>
      </w:r>
      <w:r w:rsidR="00C63F8F" w:rsidRPr="00E27443">
        <w:t xml:space="preserve"> </w:t>
      </w:r>
      <w:r w:rsidRPr="00E27443">
        <w:t>to</w:t>
      </w:r>
      <w:r w:rsidR="00C63F8F" w:rsidRPr="00E27443">
        <w:t xml:space="preserve"> </w:t>
      </w:r>
      <w:r w:rsidRPr="00E27443">
        <w:t>observe</w:t>
      </w:r>
      <w:r w:rsidR="00C63F8F" w:rsidRPr="00E27443">
        <w:t xml:space="preserve"> </w:t>
      </w:r>
      <w:r w:rsidRPr="00E27443">
        <w:t>special</w:t>
      </w:r>
      <w:r w:rsidR="00C63F8F" w:rsidRPr="00E27443">
        <w:t xml:space="preserve"> </w:t>
      </w:r>
      <w:r w:rsidRPr="00E27443">
        <w:t>conditions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be</w:t>
      </w:r>
      <w:r w:rsidR="00C63F8F" w:rsidRPr="00E27443">
        <w:t xml:space="preserve"> </w:t>
      </w:r>
      <w:r w:rsidRPr="00E27443">
        <w:t>given</w:t>
      </w:r>
      <w:r w:rsidR="00C63F8F" w:rsidRPr="00E27443">
        <w:t xml:space="preserve"> </w:t>
      </w:r>
      <w:r w:rsidRPr="00E27443">
        <w:t>the</w:t>
      </w:r>
      <w:r w:rsidR="00C63F8F" w:rsidRPr="00E27443">
        <w:t xml:space="preserve"> </w:t>
      </w:r>
      <w:r w:rsidRPr="00E27443">
        <w:t>necessary</w:t>
      </w:r>
      <w:r w:rsidR="00C63F8F" w:rsidRPr="00E27443">
        <w:t xml:space="preserve"> </w:t>
      </w:r>
      <w:r w:rsidRPr="00E27443">
        <w:t>psychiatric</w:t>
      </w:r>
      <w:r w:rsidR="00C63F8F" w:rsidRPr="00E27443">
        <w:t xml:space="preserve"> </w:t>
      </w:r>
      <w:r w:rsidRPr="00E27443">
        <w:t>care.</w:t>
      </w:r>
    </w:p>
    <w:p w:rsidR="00321ADA" w:rsidRPr="00E27443" w:rsidRDefault="00321ADA" w:rsidP="00B84771">
      <w:pPr>
        <w:pStyle w:val="SingleTxtG"/>
        <w:numPr>
          <w:ilvl w:val="0"/>
          <w:numId w:val="20"/>
        </w:numPr>
        <w:tabs>
          <w:tab w:val="left" w:pos="1843"/>
        </w:tabs>
        <w:ind w:left="1134" w:firstLine="0"/>
      </w:pPr>
      <w:r w:rsidRPr="00E27443">
        <w:t>The</w:t>
      </w:r>
      <w:r w:rsidR="00C63F8F" w:rsidRPr="00E27443">
        <w:t xml:space="preserve"> </w:t>
      </w:r>
      <w:r w:rsidRPr="00E27443">
        <w:t>intention</w:t>
      </w:r>
      <w:r w:rsidR="00C63F8F" w:rsidRPr="00E27443">
        <w:t xml:space="preserve"> </w:t>
      </w:r>
      <w:r w:rsidRPr="00E27443">
        <w:t>of</w:t>
      </w:r>
      <w:r w:rsidR="00C63F8F" w:rsidRPr="00E27443">
        <w:t xml:space="preserve"> </w:t>
      </w:r>
      <w:r w:rsidRPr="00E27443">
        <w:t>the</w:t>
      </w:r>
      <w:r w:rsidR="00C63F8F" w:rsidRPr="00E27443">
        <w:t xml:space="preserve"> </w:t>
      </w:r>
      <w:r w:rsidRPr="00E27443">
        <w:t>new</w:t>
      </w:r>
      <w:r w:rsidR="00C63F8F" w:rsidRPr="00E27443">
        <w:t xml:space="preserve"> </w:t>
      </w:r>
      <w:r w:rsidRPr="00E27443">
        <w:t>care</w:t>
      </w:r>
      <w:r w:rsidR="00C63F8F" w:rsidRPr="00E27443">
        <w:t xml:space="preserve"> </w:t>
      </w:r>
      <w:r w:rsidRPr="00E27443">
        <w:t>form</w:t>
      </w:r>
      <w:r w:rsidR="00C63F8F" w:rsidRPr="00E27443">
        <w:t xml:space="preserve"> </w:t>
      </w:r>
      <w:r w:rsidRPr="00E27443">
        <w:t>is</w:t>
      </w:r>
      <w:r w:rsidR="00C63F8F" w:rsidRPr="00E27443">
        <w:t xml:space="preserve"> </w:t>
      </w:r>
      <w:r w:rsidRPr="00E27443">
        <w:t>that</w:t>
      </w:r>
      <w:r w:rsidR="00C63F8F" w:rsidRPr="00E27443">
        <w:t xml:space="preserve"> </w:t>
      </w:r>
      <w:r w:rsidRPr="00E27443">
        <w:t>it</w:t>
      </w:r>
      <w:r w:rsidR="00C63F8F" w:rsidRPr="00E27443">
        <w:t xml:space="preserve"> </w:t>
      </w:r>
      <w:r w:rsidRPr="00E27443">
        <w:t>should</w:t>
      </w:r>
      <w:r w:rsidR="00C63F8F" w:rsidRPr="00E27443">
        <w:t xml:space="preserve"> </w:t>
      </w:r>
      <w:r w:rsidRPr="00E27443">
        <w:t>entail</w:t>
      </w:r>
      <w:r w:rsidR="00C63F8F" w:rsidRPr="00E27443">
        <w:t xml:space="preserve"> </w:t>
      </w:r>
      <w:r w:rsidRPr="00E27443">
        <w:t>as</w:t>
      </w:r>
      <w:r w:rsidR="00C63F8F" w:rsidRPr="00E27443">
        <w:t xml:space="preserve"> </w:t>
      </w:r>
      <w:r w:rsidRPr="00E27443">
        <w:t>few</w:t>
      </w:r>
      <w:r w:rsidR="00C63F8F" w:rsidRPr="00E27443">
        <w:t xml:space="preserve"> </w:t>
      </w:r>
      <w:r w:rsidRPr="00E27443">
        <w:t>restrictions</w:t>
      </w:r>
      <w:r w:rsidR="00C63F8F" w:rsidRPr="00E27443">
        <w:t xml:space="preserve"> </w:t>
      </w:r>
      <w:r w:rsidRPr="00E27443">
        <w:t>as</w:t>
      </w:r>
      <w:r w:rsidR="00C63F8F" w:rsidRPr="00E27443">
        <w:t xml:space="preserve"> </w:t>
      </w:r>
      <w:r w:rsidRPr="00E27443">
        <w:t>possible</w:t>
      </w:r>
      <w:r w:rsidR="00C63F8F" w:rsidRPr="00E27443">
        <w:t xml:space="preserve"> </w:t>
      </w:r>
      <w:r w:rsidRPr="00E27443">
        <w:t>to</w:t>
      </w:r>
      <w:r w:rsidR="00C63F8F" w:rsidRPr="00E27443">
        <w:t xml:space="preserve"> </w:t>
      </w:r>
      <w:r w:rsidRPr="00E27443">
        <w:t>the</w:t>
      </w:r>
      <w:r w:rsidR="00C63F8F" w:rsidRPr="00E27443">
        <w:t xml:space="preserve"> </w:t>
      </w:r>
      <w:r w:rsidRPr="00E27443">
        <w:t>individual</w:t>
      </w:r>
      <w:r w:rsidR="00C63F8F" w:rsidRPr="00E27443">
        <w:t>’</w:t>
      </w:r>
      <w:r w:rsidRPr="00E27443">
        <w:t>s</w:t>
      </w:r>
      <w:r w:rsidR="00C63F8F" w:rsidRPr="00E27443">
        <w:t xml:space="preserve"> </w:t>
      </w:r>
      <w:r w:rsidRPr="00E27443">
        <w:t>freedom,</w:t>
      </w:r>
      <w:r w:rsidR="00C63F8F" w:rsidRPr="00E27443">
        <w:t xml:space="preserve"> </w:t>
      </w:r>
      <w:r w:rsidRPr="00E27443">
        <w:t>while</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services</w:t>
      </w:r>
      <w:r w:rsidR="00C63F8F" w:rsidRPr="00E27443">
        <w:t xml:space="preserve"> </w:t>
      </w:r>
      <w:r w:rsidRPr="00E27443">
        <w:t>should</w:t>
      </w:r>
      <w:r w:rsidR="00C63F8F" w:rsidRPr="00E27443">
        <w:t xml:space="preserve"> </w:t>
      </w:r>
      <w:r w:rsidRPr="00E27443">
        <w:t>be</w:t>
      </w:r>
      <w:r w:rsidR="00C63F8F" w:rsidRPr="00E27443">
        <w:t xml:space="preserve"> </w:t>
      </w:r>
      <w:r w:rsidRPr="00E27443">
        <w:t>given</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check</w:t>
      </w:r>
      <w:r w:rsidR="00C63F8F" w:rsidRPr="00E27443">
        <w:t xml:space="preserve"> </w:t>
      </w:r>
      <w:r w:rsidRPr="00E27443">
        <w:t>care</w:t>
      </w:r>
      <w:r w:rsidR="00C63F8F" w:rsidRPr="00E27443">
        <w:t xml:space="preserve"> </w:t>
      </w:r>
      <w:r w:rsidRPr="00E27443">
        <w:t>outside</w:t>
      </w:r>
      <w:r w:rsidR="00C63F8F" w:rsidRPr="00E27443">
        <w:t xml:space="preserve"> </w:t>
      </w:r>
      <w:r w:rsidRPr="00E27443">
        <w:t>of</w:t>
      </w:r>
      <w:r w:rsidR="00C63F8F" w:rsidRPr="00E27443">
        <w:t xml:space="preserve"> </w:t>
      </w:r>
      <w:r w:rsidRPr="00E27443">
        <w:t>medical</w:t>
      </w:r>
      <w:r w:rsidR="00C63F8F" w:rsidRPr="00E27443">
        <w:t xml:space="preserve"> </w:t>
      </w:r>
      <w:r w:rsidRPr="00E27443">
        <w:t>institutions</w:t>
      </w:r>
      <w:r w:rsidR="00C63F8F" w:rsidRPr="00E27443">
        <w:t xml:space="preserve"> </w:t>
      </w:r>
      <w:r w:rsidRPr="00E27443">
        <w:t>by</w:t>
      </w:r>
      <w:r w:rsidR="00C63F8F" w:rsidRPr="00E27443">
        <w:t xml:space="preserve"> </w:t>
      </w:r>
      <w:r w:rsidRPr="00E27443">
        <w:t>prescribing</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the</w:t>
      </w:r>
      <w:r w:rsidR="00C63F8F" w:rsidRPr="00E27443">
        <w:t xml:space="preserve"> </w:t>
      </w:r>
      <w:r w:rsidRPr="00E27443">
        <w:t>care.</w:t>
      </w:r>
      <w:r w:rsidR="00C63F8F" w:rsidRPr="00E27443">
        <w:t xml:space="preserve"> </w:t>
      </w:r>
      <w:r w:rsidRPr="00E27443">
        <w:t>This</w:t>
      </w:r>
      <w:r w:rsidR="00C63F8F" w:rsidRPr="00E27443">
        <w:t xml:space="preserve"> </w:t>
      </w:r>
      <w:r w:rsidRPr="00E27443">
        <w:t>provides</w:t>
      </w:r>
      <w:r w:rsidR="00C63F8F" w:rsidRPr="00E27443">
        <w:t xml:space="preserve"> </w:t>
      </w:r>
      <w:r w:rsidRPr="00E27443">
        <w:t>better</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an</w:t>
      </w:r>
      <w:r w:rsidR="00C63F8F" w:rsidRPr="00E27443">
        <w:t xml:space="preserve"> </w:t>
      </w:r>
      <w:r w:rsidRPr="00E27443">
        <w:t>individually</w:t>
      </w:r>
      <w:r w:rsidR="00C63F8F" w:rsidRPr="00E27443">
        <w:t xml:space="preserve"> </w:t>
      </w:r>
      <w:r w:rsidRPr="00E27443">
        <w:t>adapted</w:t>
      </w:r>
      <w:r w:rsidR="00C63F8F" w:rsidRPr="00E27443">
        <w:t xml:space="preserve"> </w:t>
      </w:r>
      <w:r w:rsidRPr="00E27443">
        <w:t>transition</w:t>
      </w:r>
      <w:r w:rsidR="00C63F8F" w:rsidRPr="00E27443">
        <w:t xml:space="preserve"> </w:t>
      </w:r>
      <w:r w:rsidRPr="00E27443">
        <w:t>and</w:t>
      </w:r>
      <w:r w:rsidR="00C63F8F" w:rsidRPr="00E27443">
        <w:t xml:space="preserve"> </w:t>
      </w:r>
      <w:r w:rsidRPr="00E27443">
        <w:t>rehabilitation</w:t>
      </w:r>
      <w:r w:rsidR="00C63F8F" w:rsidRPr="00E27443">
        <w:t xml:space="preserve"> </w:t>
      </w:r>
      <w:r w:rsidRPr="00E27443">
        <w:t>to</w:t>
      </w:r>
      <w:r w:rsidR="00C63F8F" w:rsidRPr="00E27443">
        <w:t xml:space="preserve"> </w:t>
      </w:r>
      <w:r w:rsidRPr="00E27443">
        <w:t>a</w:t>
      </w:r>
      <w:r w:rsidR="00C63F8F" w:rsidRPr="00E27443">
        <w:t xml:space="preserve"> </w:t>
      </w:r>
      <w:r w:rsidRPr="00E27443">
        <w:t>life</w:t>
      </w:r>
      <w:r w:rsidR="00C63F8F" w:rsidRPr="00E27443">
        <w:t xml:space="preserve"> </w:t>
      </w:r>
      <w:r w:rsidRPr="00E27443">
        <w:t>outside</w:t>
      </w:r>
      <w:r w:rsidR="00C63F8F" w:rsidRPr="00E27443">
        <w:t xml:space="preserve"> </w:t>
      </w:r>
      <w:r w:rsidRPr="00E27443">
        <w:t>of</w:t>
      </w:r>
      <w:r w:rsidR="00C63F8F" w:rsidRPr="00E27443">
        <w:t xml:space="preserve"> </w:t>
      </w:r>
      <w:r w:rsidRPr="00E27443">
        <w:t>medical</w:t>
      </w:r>
      <w:r w:rsidR="00C63F8F" w:rsidRPr="00E27443">
        <w:t xml:space="preserve"> </w:t>
      </w:r>
      <w:r w:rsidRPr="00E27443">
        <w:t>institutions.</w:t>
      </w:r>
      <w:r w:rsidR="00C63F8F" w:rsidRPr="00E27443">
        <w:t xml:space="preserve"> </w:t>
      </w:r>
      <w:r w:rsidRPr="00E27443">
        <w:t>It</w:t>
      </w:r>
      <w:r w:rsidR="00C63F8F" w:rsidRPr="00E27443">
        <w:t xml:space="preserve"> </w:t>
      </w:r>
      <w:r w:rsidRPr="00E27443">
        <w:t>can</w:t>
      </w:r>
      <w:r w:rsidR="00C63F8F" w:rsidRPr="00E27443">
        <w:t xml:space="preserve"> </w:t>
      </w:r>
      <w:r w:rsidRPr="00E27443">
        <w:t>be</w:t>
      </w:r>
      <w:r w:rsidR="00C63F8F" w:rsidRPr="00E27443">
        <w:t xml:space="preserve"> </w:t>
      </w:r>
      <w:r w:rsidRPr="00E27443">
        <w:t>predicted</w:t>
      </w:r>
      <w:r w:rsidR="00C63F8F" w:rsidRPr="00E27443">
        <w:t xml:space="preserve"> </w:t>
      </w:r>
      <w:r w:rsidRPr="00E27443">
        <w:t>that</w:t>
      </w:r>
      <w:r w:rsidR="00C63F8F" w:rsidRPr="00E27443">
        <w:t xml:space="preserve"> </w:t>
      </w:r>
      <w:r w:rsidRPr="00E27443">
        <w:t>the</w:t>
      </w:r>
      <w:r w:rsidR="00C63F8F" w:rsidRPr="00E27443">
        <w:t xml:space="preserve"> </w:t>
      </w:r>
      <w:r w:rsidRPr="00E27443">
        <w:t>need</w:t>
      </w:r>
      <w:r w:rsidR="00C63F8F" w:rsidRPr="00E27443">
        <w:t xml:space="preserve"> </w:t>
      </w:r>
      <w:r w:rsidRPr="00E27443">
        <w:t>for</w:t>
      </w:r>
      <w:r w:rsidR="00C63F8F" w:rsidRPr="00E27443">
        <w:t xml:space="preserve"> </w:t>
      </w:r>
      <w:r w:rsidRPr="00E27443">
        <w:t>recurring</w:t>
      </w:r>
      <w:r w:rsidR="00C63F8F" w:rsidRPr="00E27443">
        <w:t xml:space="preserve"> </w:t>
      </w:r>
      <w:r w:rsidRPr="00E27443">
        <w:t>readmissions</w:t>
      </w:r>
      <w:r w:rsidR="00C63F8F" w:rsidRPr="00E27443">
        <w:t xml:space="preserve"> </w:t>
      </w:r>
      <w:r w:rsidRPr="00E27443">
        <w:t>into</w:t>
      </w:r>
      <w:r w:rsidR="00C63F8F" w:rsidRPr="00E27443">
        <w:t xml:space="preserve"> </w:t>
      </w:r>
      <w:r w:rsidRPr="00E27443">
        <w:t>compulsory</w:t>
      </w:r>
      <w:r w:rsidR="00C63F8F" w:rsidRPr="00E27443">
        <w:t xml:space="preserve"> </w:t>
      </w:r>
      <w:r w:rsidRPr="00E27443">
        <w:t>care</w:t>
      </w:r>
      <w:r w:rsidR="00C63F8F" w:rsidRPr="00E27443">
        <w:t xml:space="preserve"> </w:t>
      </w:r>
      <w:r w:rsidRPr="00E27443">
        <w:t>will</w:t>
      </w:r>
      <w:r w:rsidR="00C63F8F" w:rsidRPr="00E27443">
        <w:t xml:space="preserve"> </w:t>
      </w:r>
      <w:r w:rsidRPr="00E27443">
        <w:t>decrease.</w:t>
      </w:r>
      <w:r w:rsidR="00C63F8F" w:rsidRPr="00E27443">
        <w:t xml:space="preserve"> </w:t>
      </w:r>
      <w:r w:rsidRPr="00E27443">
        <w:t>The</w:t>
      </w:r>
      <w:r w:rsidR="00C63F8F" w:rsidRPr="00E27443">
        <w:t xml:space="preserve"> </w:t>
      </w:r>
      <w:r w:rsidRPr="00E27443">
        <w:t>restrictions</w:t>
      </w:r>
      <w:r w:rsidR="00C63F8F" w:rsidRPr="00E27443">
        <w:t xml:space="preserve"> </w:t>
      </w:r>
      <w:r w:rsidRPr="00E27443">
        <w:t>to</w:t>
      </w:r>
      <w:r w:rsidR="00C63F8F" w:rsidRPr="00E27443">
        <w:t xml:space="preserve"> </w:t>
      </w:r>
      <w:r w:rsidRPr="00E27443">
        <w:t>self-determination,</w:t>
      </w:r>
      <w:r w:rsidR="00C63F8F" w:rsidRPr="00E27443">
        <w:t xml:space="preserve"> </w:t>
      </w:r>
      <w:r w:rsidRPr="00E27443">
        <w:t>integrity</w:t>
      </w:r>
      <w:r w:rsidR="00C63F8F" w:rsidRPr="00E27443">
        <w:t xml:space="preserve"> </w:t>
      </w:r>
      <w:r w:rsidRPr="00E27443">
        <w:t>and</w:t>
      </w:r>
      <w:r w:rsidR="00C63F8F" w:rsidRPr="00E27443">
        <w:t xml:space="preserve"> </w:t>
      </w:r>
      <w:r w:rsidRPr="00E27443">
        <w:t>dignity</w:t>
      </w:r>
      <w:r w:rsidR="00C63F8F" w:rsidRPr="00E27443">
        <w:t xml:space="preserve"> </w:t>
      </w:r>
      <w:r w:rsidRPr="00E27443">
        <w:t>that</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stated</w:t>
      </w:r>
      <w:r w:rsidR="00C63F8F" w:rsidRPr="00E27443">
        <w:t xml:space="preserve"> </w:t>
      </w:r>
      <w:r w:rsidRPr="00E27443">
        <w:t>here</w:t>
      </w:r>
      <w:r w:rsidR="00C63F8F" w:rsidRPr="00E27443">
        <w:t xml:space="preserve"> </w:t>
      </w:r>
      <w:r w:rsidRPr="00E27443">
        <w:t>entail</w:t>
      </w:r>
      <w:r w:rsidR="00C63F8F" w:rsidRPr="00E27443">
        <w:t xml:space="preserve"> </w:t>
      </w:r>
      <w:r w:rsidRPr="00E27443">
        <w:t>for</w:t>
      </w:r>
      <w:r w:rsidR="00C63F8F" w:rsidRPr="00E27443">
        <w:t xml:space="preserve"> </w:t>
      </w:r>
      <w:r w:rsidRPr="00E27443">
        <w:t>a</w:t>
      </w:r>
      <w:r w:rsidR="00C63F8F" w:rsidRPr="00E27443">
        <w:t xml:space="preserve"> </w:t>
      </w:r>
      <w:r w:rsidRPr="00E27443">
        <w:t>patient</w:t>
      </w:r>
      <w:r w:rsidR="00C63F8F" w:rsidRPr="00E27443">
        <w:t xml:space="preserve"> </w:t>
      </w:r>
      <w:r w:rsidRPr="00E27443">
        <w:t>must</w:t>
      </w:r>
      <w:r w:rsidR="00C63F8F" w:rsidRPr="00E27443">
        <w:t xml:space="preserve"> </w:t>
      </w:r>
      <w:r w:rsidRPr="00E27443">
        <w:t>be</w:t>
      </w:r>
      <w:r w:rsidR="00C63F8F" w:rsidRPr="00E27443">
        <w:t xml:space="preserve"> </w:t>
      </w:r>
      <w:r w:rsidRPr="00E27443">
        <w:t>weighed</w:t>
      </w:r>
      <w:r w:rsidR="00C63F8F" w:rsidRPr="00E27443">
        <w:t xml:space="preserve"> </w:t>
      </w:r>
      <w:r w:rsidRPr="00E27443">
        <w:t>against</w:t>
      </w:r>
      <w:r w:rsidR="00C63F8F" w:rsidRPr="00E27443">
        <w:t xml:space="preserve"> </w:t>
      </w:r>
      <w:r w:rsidRPr="00E27443">
        <w:t>the</w:t>
      </w:r>
      <w:r w:rsidR="00C63F8F" w:rsidRPr="00E27443">
        <w:t xml:space="preserve"> </w:t>
      </w:r>
      <w:r w:rsidRPr="00E27443">
        <w:t>positive</w:t>
      </w:r>
      <w:r w:rsidR="00C63F8F" w:rsidRPr="00E27443">
        <w:t xml:space="preserve"> </w:t>
      </w:r>
      <w:r w:rsidRPr="00E27443">
        <w:t>effects</w:t>
      </w:r>
      <w:r w:rsidR="00C63F8F" w:rsidRPr="00E27443">
        <w:t xml:space="preserve"> </w:t>
      </w:r>
      <w:r w:rsidRPr="00E27443">
        <w:t>that</w:t>
      </w:r>
      <w:r w:rsidR="00C63F8F" w:rsidRPr="00E27443">
        <w:t xml:space="preserve"> </w:t>
      </w:r>
      <w:r w:rsidRPr="00E27443">
        <w:t>can</w:t>
      </w:r>
      <w:r w:rsidR="00C63F8F" w:rsidRPr="00E27443">
        <w:t xml:space="preserve"> </w:t>
      </w:r>
      <w:r w:rsidRPr="00E27443">
        <w:t>arise</w:t>
      </w:r>
      <w:r w:rsidR="00C63F8F" w:rsidRPr="00E27443">
        <w:t xml:space="preserve"> </w:t>
      </w:r>
      <w:r w:rsidRPr="00E27443">
        <w:t>for</w:t>
      </w:r>
      <w:r w:rsidR="00C63F8F" w:rsidRPr="00E27443">
        <w:t xml:space="preserve"> </w:t>
      </w:r>
      <w:r w:rsidRPr="00E27443">
        <w:t>the</w:t>
      </w:r>
      <w:r w:rsidR="00C63F8F" w:rsidRPr="00E27443">
        <w:t xml:space="preserve"> </w:t>
      </w:r>
      <w:r w:rsidRPr="00E27443">
        <w:t>patient</w:t>
      </w:r>
      <w:r w:rsidR="00C63F8F" w:rsidRPr="00E27443">
        <w:t>’</w:t>
      </w:r>
      <w:r w:rsidRPr="00E27443">
        <w:t>s</w:t>
      </w:r>
      <w:r w:rsidR="00C63F8F" w:rsidRPr="00E27443">
        <w:t xml:space="preserve"> </w:t>
      </w:r>
      <w:r w:rsidRPr="00E27443">
        <w:t>health</w:t>
      </w:r>
      <w:r w:rsidR="00C63F8F" w:rsidRPr="00E27443">
        <w:t xml:space="preserve"> </w:t>
      </w:r>
      <w:r w:rsidRPr="00E27443">
        <w:t>and</w:t>
      </w:r>
      <w:r w:rsidR="00C63F8F" w:rsidRPr="00E27443">
        <w:t xml:space="preserve"> </w:t>
      </w:r>
      <w:r w:rsidRPr="00E27443">
        <w:t>quality</w:t>
      </w:r>
      <w:r w:rsidR="00C63F8F" w:rsidRPr="00E27443">
        <w:t xml:space="preserve"> </w:t>
      </w:r>
      <w:r w:rsidRPr="00E27443">
        <w:t>of</w:t>
      </w:r>
      <w:r w:rsidR="00C63F8F" w:rsidRPr="00E27443">
        <w:t xml:space="preserve"> </w:t>
      </w:r>
      <w:r w:rsidRPr="00E27443">
        <w:t>life</w:t>
      </w:r>
      <w:r w:rsidR="00C63F8F" w:rsidRPr="00E27443">
        <w:t xml:space="preserve"> </w:t>
      </w:r>
      <w:r w:rsidRPr="00E27443">
        <w:t>when</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is</w:t>
      </w:r>
      <w:r w:rsidR="00C63F8F" w:rsidRPr="00E27443">
        <w:t xml:space="preserve"> </w:t>
      </w:r>
      <w:r w:rsidRPr="00E27443">
        <w:t>provided</w:t>
      </w:r>
      <w:r w:rsidR="00C63F8F" w:rsidRPr="00E27443">
        <w:t xml:space="preserve"> </w:t>
      </w:r>
      <w:r w:rsidRPr="00E27443">
        <w:t>with</w:t>
      </w:r>
      <w:r w:rsidR="00C63F8F" w:rsidRPr="00E27443">
        <w:t xml:space="preserve"> </w:t>
      </w:r>
      <w:r w:rsidRPr="00E27443">
        <w:t>care</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community</w:t>
      </w:r>
      <w:r w:rsidR="00C63F8F" w:rsidRPr="00E27443">
        <w:t xml:space="preserve"> </w:t>
      </w:r>
      <w:r w:rsidRPr="00E27443">
        <w:t>instead</w:t>
      </w:r>
      <w:r w:rsidR="00C63F8F" w:rsidRPr="00E27443">
        <w:t xml:space="preserve"> </w:t>
      </w:r>
      <w:r w:rsidRPr="00E27443">
        <w:t>of</w:t>
      </w:r>
      <w:r w:rsidR="00C63F8F" w:rsidRPr="00E27443">
        <w:t xml:space="preserve"> </w:t>
      </w:r>
      <w:r w:rsidRPr="00E27443">
        <w:t>in</w:t>
      </w:r>
      <w:r w:rsidR="00C63F8F" w:rsidRPr="00E27443">
        <w:t xml:space="preserve"> </w:t>
      </w:r>
      <w:r w:rsidRPr="00E27443">
        <w:t>a</w:t>
      </w:r>
      <w:r w:rsidR="00C63F8F" w:rsidRPr="00E27443">
        <w:t xml:space="preserve"> </w:t>
      </w:r>
      <w:r w:rsidRPr="00E27443">
        <w:t>medical</w:t>
      </w:r>
      <w:r w:rsidR="00C63F8F" w:rsidRPr="00E27443">
        <w:t xml:space="preserve"> </w:t>
      </w:r>
      <w:r w:rsidRPr="00E27443">
        <w:t>institution.</w:t>
      </w:r>
      <w:r w:rsidR="00C63F8F" w:rsidRPr="00E27443">
        <w:t xml:space="preserve"> </w:t>
      </w:r>
    </w:p>
    <w:p w:rsidR="00321ADA" w:rsidRPr="00E27443" w:rsidRDefault="00321ADA" w:rsidP="00B84771">
      <w:pPr>
        <w:pStyle w:val="SingleTxtG"/>
        <w:numPr>
          <w:ilvl w:val="0"/>
          <w:numId w:val="20"/>
        </w:numPr>
        <w:tabs>
          <w:tab w:val="left" w:pos="1843"/>
        </w:tabs>
        <w:ind w:left="1134" w:firstLine="0"/>
      </w:pP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there</w:t>
      </w:r>
      <w:r w:rsidR="00C63F8F" w:rsidRPr="00E27443">
        <w:t xml:space="preserve"> </w:t>
      </w:r>
      <w:r w:rsidRPr="00E27443">
        <w:t>is</w:t>
      </w:r>
      <w:r w:rsidR="00C63F8F" w:rsidRPr="00E27443">
        <w:t xml:space="preserve"> </w:t>
      </w:r>
      <w:r w:rsidRPr="00E27443">
        <w:t>no</w:t>
      </w:r>
      <w:r w:rsidR="00C63F8F" w:rsidRPr="00E27443">
        <w:t xml:space="preserve"> </w:t>
      </w:r>
      <w:r w:rsidRPr="00E27443">
        <w:t>compulsion</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sterilisation.</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Sterilisation</w:t>
      </w:r>
      <w:r w:rsidR="00C63F8F" w:rsidRPr="00E27443">
        <w:t xml:space="preserve"> </w:t>
      </w:r>
      <w:r w:rsidRPr="00E27443">
        <w:t>Act,</w:t>
      </w:r>
      <w:r w:rsidR="00A55FDA" w:rsidRPr="00E27443">
        <w:rPr>
          <w:rStyle w:val="FootnoteReference"/>
        </w:rPr>
        <w:footnoteReference w:id="75"/>
      </w:r>
      <w:r w:rsidR="00C63F8F" w:rsidRPr="00E27443">
        <w:t xml:space="preserve"> </w:t>
      </w:r>
      <w:r w:rsidRPr="00E27443">
        <w:t>sterilisation</w:t>
      </w:r>
      <w:r w:rsidR="00C63F8F" w:rsidRPr="00E27443">
        <w:t xml:space="preserve"> </w:t>
      </w:r>
      <w:r w:rsidRPr="00E27443">
        <w:t>may</w:t>
      </w:r>
      <w:r w:rsidR="00C63F8F" w:rsidRPr="00E27443">
        <w:t xml:space="preserve"> </w:t>
      </w:r>
      <w:r w:rsidRPr="00E27443">
        <w:t>be</w:t>
      </w:r>
      <w:r w:rsidR="00C63F8F" w:rsidRPr="00E27443">
        <w:t xml:space="preserve"> </w:t>
      </w:r>
      <w:r w:rsidRPr="00E27443">
        <w:t>performed</w:t>
      </w:r>
      <w:r w:rsidR="00C63F8F" w:rsidRPr="00E27443">
        <w:t xml:space="preserve"> </w:t>
      </w:r>
      <w:r w:rsidRPr="00E27443">
        <w:t>on</w:t>
      </w:r>
      <w:r w:rsidR="00C63F8F" w:rsidRPr="00E27443">
        <w:t xml:space="preserve"> </w:t>
      </w:r>
      <w:r w:rsidRPr="00E27443">
        <w:t>people</w:t>
      </w:r>
      <w:r w:rsidR="00C63F8F" w:rsidRPr="00E27443">
        <w:t xml:space="preserve"> </w:t>
      </w:r>
      <w:r w:rsidRPr="00E27443">
        <w:t>over</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25</w:t>
      </w:r>
      <w:r w:rsidR="00C63F8F" w:rsidRPr="00E27443">
        <w:t xml:space="preserve"> </w:t>
      </w:r>
      <w:r w:rsidRPr="00E27443">
        <w:t>at</w:t>
      </w:r>
      <w:r w:rsidR="00C63F8F" w:rsidRPr="00E27443">
        <w:t xml:space="preserve"> </w:t>
      </w:r>
      <w:r w:rsidRPr="00E27443">
        <w:t>their</w:t>
      </w:r>
      <w:r w:rsidR="00C63F8F" w:rsidRPr="00E27443">
        <w:t xml:space="preserve"> </w:t>
      </w:r>
      <w:r w:rsidRPr="00E27443">
        <w:t>own</w:t>
      </w:r>
      <w:r w:rsidR="00C63F8F" w:rsidRPr="00E27443">
        <w:t xml:space="preserve"> </w:t>
      </w:r>
      <w:r w:rsidRPr="00E27443">
        <w:t>request,</w:t>
      </w:r>
      <w:r w:rsidR="00C63F8F" w:rsidRPr="00E27443">
        <w:t xml:space="preserve"> </w:t>
      </w:r>
      <w:r w:rsidRPr="00E27443">
        <w:t>and</w:t>
      </w:r>
      <w:r w:rsidR="00C63F8F" w:rsidRPr="00E27443">
        <w:t xml:space="preserve"> </w:t>
      </w:r>
      <w:r w:rsidRPr="00E27443">
        <w:t>on</w:t>
      </w:r>
      <w:r w:rsidR="00C63F8F" w:rsidRPr="00E27443">
        <w:t xml:space="preserve"> </w:t>
      </w:r>
      <w:r w:rsidRPr="00E27443">
        <w:t>people</w:t>
      </w:r>
      <w:r w:rsidR="00C63F8F" w:rsidRPr="00E27443">
        <w:t xml:space="preserve"> </w:t>
      </w:r>
      <w:r w:rsidRPr="00E27443">
        <w:t>between</w:t>
      </w:r>
      <w:r w:rsidR="00C63F8F" w:rsidRPr="00E27443">
        <w:t xml:space="preserve"> </w:t>
      </w:r>
      <w:r w:rsidRPr="00E27443">
        <w:t>the</w:t>
      </w:r>
      <w:r w:rsidR="00C63F8F" w:rsidRPr="00E27443">
        <w:t xml:space="preserve"> </w:t>
      </w:r>
      <w:r w:rsidRPr="00E27443">
        <w:t>ages</w:t>
      </w:r>
      <w:r w:rsidR="00C63F8F" w:rsidRPr="00E27443">
        <w:t xml:space="preserve"> </w:t>
      </w:r>
      <w:r w:rsidRPr="00E27443">
        <w:t>of</w:t>
      </w:r>
      <w:r w:rsidR="00C63F8F" w:rsidRPr="00E27443">
        <w:t xml:space="preserve"> </w:t>
      </w:r>
      <w:r w:rsidRPr="00E27443">
        <w:t>18–25</w:t>
      </w:r>
      <w:r w:rsidR="00C63F8F" w:rsidRPr="00E27443">
        <w:t xml:space="preserve"> </w:t>
      </w:r>
      <w:r w:rsidRPr="00E27443">
        <w:t>if</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gives</w:t>
      </w:r>
      <w:r w:rsidR="00C63F8F" w:rsidRPr="00E27443">
        <w:t xml:space="preserve"> </w:t>
      </w:r>
      <w:r w:rsidRPr="00E27443">
        <w:t>its</w:t>
      </w:r>
      <w:r w:rsidR="00C63F8F" w:rsidRPr="00E27443">
        <w:t xml:space="preserve"> </w:t>
      </w:r>
      <w:r w:rsidRPr="00E27443">
        <w:t>consent.</w:t>
      </w:r>
      <w:r w:rsidR="00C63F8F" w:rsidRPr="00E27443">
        <w:t xml:space="preserve"> </w:t>
      </w:r>
      <w:r w:rsidRPr="00E27443">
        <w:t>See</w:t>
      </w:r>
      <w:r w:rsidR="00C63F8F" w:rsidRPr="00E27443">
        <w:t xml:space="preserve"> </w:t>
      </w:r>
      <w:r w:rsidRPr="00E27443">
        <w:t>more</w:t>
      </w:r>
      <w:r w:rsidR="00C63F8F" w:rsidRPr="00E27443">
        <w:t xml:space="preserve"> </w:t>
      </w:r>
      <w:r w:rsidRPr="00E27443">
        <w:t>under</w:t>
      </w:r>
      <w:r w:rsidR="00C63F8F" w:rsidRPr="00E27443">
        <w:t xml:space="preserve"> </w:t>
      </w:r>
      <w:r w:rsidRPr="00E27443">
        <w:t>Article</w:t>
      </w:r>
      <w:r w:rsidR="00C63F8F" w:rsidRPr="00E27443">
        <w:t xml:space="preserve"> </w:t>
      </w:r>
      <w:r w:rsidRPr="00E27443">
        <w:t>16.</w:t>
      </w:r>
      <w:r w:rsidR="00C63F8F" w:rsidRPr="00E27443">
        <w:t xml:space="preserve"> </w:t>
      </w:r>
    </w:p>
    <w:p w:rsidR="00321ADA" w:rsidRPr="00E27443" w:rsidRDefault="00A55FDA" w:rsidP="00A55FDA">
      <w:pPr>
        <w:pStyle w:val="H1G"/>
      </w:pPr>
      <w:r w:rsidRPr="00E27443">
        <w:tab/>
      </w:r>
      <w:r w:rsidRPr="00E27443">
        <w:tab/>
      </w:r>
      <w:bookmarkStart w:id="18" w:name="_Toc290623302"/>
      <w:r w:rsidR="00321ADA" w:rsidRPr="00E27443">
        <w:t>Article</w:t>
      </w:r>
      <w:r w:rsidR="00C63F8F" w:rsidRPr="00E27443">
        <w:t xml:space="preserve"> </w:t>
      </w:r>
      <w:r w:rsidR="00321ADA" w:rsidRPr="00E27443">
        <w:t>18</w:t>
      </w:r>
      <w:r w:rsidR="00B84771">
        <w:t>:</w:t>
      </w:r>
      <w:r w:rsidR="00C63F8F" w:rsidRPr="00E27443">
        <w:t xml:space="preserve"> </w:t>
      </w:r>
      <w:smartTag w:uri="urn:schemas-microsoft-com:office:smarttags" w:element="place">
        <w:smartTag w:uri="urn:schemas-microsoft-com:office:smarttags" w:element="City">
          <w:r w:rsidR="00321ADA" w:rsidRPr="00E27443">
            <w:t>Liberty</w:t>
          </w:r>
        </w:smartTag>
      </w:smartTag>
      <w:r w:rsidR="00C63F8F" w:rsidRPr="00E27443">
        <w:t xml:space="preserve"> </w:t>
      </w:r>
      <w:r w:rsidR="00321ADA" w:rsidRPr="00E27443">
        <w:t>of</w:t>
      </w:r>
      <w:r w:rsidR="00C63F8F" w:rsidRPr="00E27443">
        <w:t xml:space="preserve"> </w:t>
      </w:r>
      <w:r w:rsidR="00321ADA" w:rsidRPr="00E27443">
        <w:t>movement</w:t>
      </w:r>
      <w:r w:rsidR="00C63F8F" w:rsidRPr="00E27443">
        <w:t xml:space="preserve"> </w:t>
      </w:r>
      <w:r w:rsidR="00321ADA" w:rsidRPr="00E27443">
        <w:t>and</w:t>
      </w:r>
      <w:r w:rsidR="00C63F8F" w:rsidRPr="00E27443">
        <w:t xml:space="preserve"> </w:t>
      </w:r>
      <w:r w:rsidR="00321ADA" w:rsidRPr="00E27443">
        <w:t>nationality</w:t>
      </w:r>
      <w:bookmarkEnd w:id="18"/>
    </w:p>
    <w:p w:rsidR="00321ADA" w:rsidRPr="00E27443" w:rsidRDefault="00321ADA" w:rsidP="00B84771">
      <w:pPr>
        <w:pStyle w:val="SingleTxtG"/>
        <w:numPr>
          <w:ilvl w:val="0"/>
          <w:numId w:val="20"/>
        </w:numPr>
        <w:tabs>
          <w:tab w:val="left" w:pos="1843"/>
        </w:tabs>
        <w:ind w:left="1134" w:firstLine="0"/>
      </w:pPr>
      <w:r w:rsidRPr="00E27443">
        <w:t>The</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prescribes</w:t>
      </w:r>
      <w:r w:rsidR="003C55F6" w:rsidRPr="00E27443">
        <w:rPr>
          <w:rStyle w:val="FootnoteReference"/>
        </w:rPr>
        <w:footnoteReference w:id="76"/>
      </w:r>
      <w:r w:rsidR="00C63F8F" w:rsidRPr="00E27443">
        <w:t xml:space="preserve"> </w:t>
      </w:r>
      <w:r w:rsidRPr="00E27443">
        <w:t>that</w:t>
      </w:r>
      <w:r w:rsidR="00C63F8F" w:rsidRPr="00E27443">
        <w:t xml:space="preserve"> </w:t>
      </w:r>
      <w:r w:rsidRPr="00E27443">
        <w:t>no</w:t>
      </w:r>
      <w:r w:rsidR="00C63F8F" w:rsidRPr="00E27443">
        <w:t xml:space="preserve"> </w:t>
      </w:r>
      <w:r w:rsidRPr="00E27443">
        <w:t>citizen</w:t>
      </w:r>
      <w:r w:rsidR="00C63F8F" w:rsidRPr="00E27443">
        <w:t xml:space="preserve"> </w:t>
      </w:r>
      <w:r w:rsidRPr="00E27443">
        <w:t>may</w:t>
      </w:r>
      <w:r w:rsidR="00C63F8F" w:rsidRPr="00E27443">
        <w:t xml:space="preserve"> </w:t>
      </w:r>
      <w:r w:rsidRPr="00E27443">
        <w:t>be</w:t>
      </w:r>
      <w:r w:rsidR="00C63F8F" w:rsidRPr="00E27443">
        <w:t xml:space="preserve"> </w:t>
      </w:r>
      <w:r w:rsidRPr="00E27443">
        <w:t>exiled</w:t>
      </w:r>
      <w:r w:rsidR="00C63F8F" w:rsidRPr="00E27443">
        <w:t xml:space="preserve"> </w:t>
      </w:r>
      <w:r w:rsidRPr="00E27443">
        <w:t>or</w:t>
      </w:r>
      <w:r w:rsidR="00C63F8F" w:rsidRPr="00E27443">
        <w:t xml:space="preserve"> </w:t>
      </w:r>
      <w:r w:rsidRPr="00E27443">
        <w:t>prevented</w:t>
      </w:r>
      <w:r w:rsidR="00C63F8F" w:rsidRPr="00E27443">
        <w:t xml:space="preserve"> </w:t>
      </w:r>
      <w:r w:rsidRPr="00E27443">
        <w:t>from</w:t>
      </w:r>
      <w:r w:rsidR="00C63F8F" w:rsidRPr="00E27443">
        <w:t xml:space="preserve"> </w:t>
      </w:r>
      <w:r w:rsidRPr="00E27443">
        <w:t>travelling</w:t>
      </w:r>
      <w:r w:rsidR="00C63F8F" w:rsidRPr="00E27443">
        <w:t xml:space="preserve"> </w:t>
      </w:r>
      <w:r w:rsidRPr="00E27443">
        <w:t>into</w:t>
      </w:r>
      <w:r w:rsidR="00C63F8F" w:rsidRPr="00E27443">
        <w:t xml:space="preserve"> </w:t>
      </w:r>
      <w:r w:rsidRPr="00E27443">
        <w:t>the</w:t>
      </w:r>
      <w:r w:rsidR="00C63F8F" w:rsidRPr="00E27443">
        <w:t xml:space="preserve"> </w:t>
      </w:r>
      <w:r w:rsidRPr="00E27443">
        <w:t>country.</w:t>
      </w:r>
      <w:r w:rsidR="00C63F8F" w:rsidRPr="00E27443">
        <w:t xml:space="preserve"> </w:t>
      </w:r>
      <w:r w:rsidRPr="00E27443">
        <w:t>Neither</w:t>
      </w:r>
      <w:r w:rsidR="00C63F8F" w:rsidRPr="00E27443">
        <w:t xml:space="preserve"> </w:t>
      </w:r>
      <w:r w:rsidRPr="00E27443">
        <w:t>may</w:t>
      </w:r>
      <w:r w:rsidR="00C63F8F" w:rsidRPr="00E27443">
        <w:t xml:space="preserve"> </w:t>
      </w:r>
      <w:r w:rsidRPr="00E27443">
        <w:t>any</w:t>
      </w:r>
      <w:r w:rsidR="00C63F8F" w:rsidRPr="00E27443">
        <w:t xml:space="preserve"> </w:t>
      </w:r>
      <w:r w:rsidRPr="00E27443">
        <w:t>citizen</w:t>
      </w:r>
      <w:r w:rsidR="00C63F8F" w:rsidRPr="00E27443">
        <w:t xml:space="preserve"> </w:t>
      </w:r>
      <w:r w:rsidRPr="00E27443">
        <w:t>who</w:t>
      </w:r>
      <w:r w:rsidR="00C63F8F" w:rsidRPr="00E27443">
        <w:t xml:space="preserve"> </w:t>
      </w:r>
      <w:r w:rsidRPr="00E27443">
        <w:t>lives</w:t>
      </w:r>
      <w:r w:rsidR="00C63F8F" w:rsidRPr="00E27443">
        <w:t xml:space="preserve"> </w:t>
      </w:r>
      <w:r w:rsidRPr="00E27443">
        <w:t>or</w:t>
      </w:r>
      <w:r w:rsidR="00C63F8F" w:rsidRPr="00E27443">
        <w:t xml:space="preserve"> </w:t>
      </w:r>
      <w:r w:rsidRPr="00E27443">
        <w:t>has</w:t>
      </w:r>
      <w:r w:rsidR="00C63F8F" w:rsidRPr="00E27443">
        <w:t xml:space="preserve"> </w:t>
      </w:r>
      <w:r w:rsidRPr="00E27443">
        <w:t>lived</w:t>
      </w:r>
      <w:r w:rsidR="00C63F8F" w:rsidRPr="00E27443">
        <w:t xml:space="preserve"> </w:t>
      </w:r>
      <w:r w:rsidRPr="00E27443">
        <w:t>in</w:t>
      </w:r>
      <w:r w:rsidR="00C63F8F" w:rsidRPr="00E27443">
        <w:t xml:space="preserve"> </w:t>
      </w:r>
      <w:r w:rsidRPr="00E27443">
        <w:t>the</w:t>
      </w:r>
      <w:r w:rsidR="00C63F8F" w:rsidRPr="00E27443">
        <w:t xml:space="preserve"> </w:t>
      </w:r>
      <w:r w:rsidRPr="00E27443">
        <w:t>country</w:t>
      </w:r>
      <w:r w:rsidR="00C63F8F" w:rsidRPr="00E27443">
        <w:t xml:space="preserve"> </w:t>
      </w:r>
      <w:r w:rsidRPr="00E27443">
        <w:t>be</w:t>
      </w:r>
      <w:r w:rsidR="00C63F8F" w:rsidRPr="00E27443">
        <w:t xml:space="preserve"> </w:t>
      </w:r>
      <w:r w:rsidRPr="00E27443">
        <w:t>deprived</w:t>
      </w:r>
      <w:r w:rsidR="00C63F8F" w:rsidRPr="00E27443">
        <w:t xml:space="preserve"> </w:t>
      </w:r>
      <w:r w:rsidRPr="00E27443">
        <w:t>of</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citizenship,</w:t>
      </w:r>
      <w:r w:rsidR="00C63F8F" w:rsidRPr="00E27443">
        <w:t xml:space="preserve"> </w:t>
      </w:r>
      <w:r w:rsidRPr="00E27443">
        <w:t>other</w:t>
      </w:r>
      <w:r w:rsidR="00C63F8F" w:rsidRPr="00E27443">
        <w:t xml:space="preserve"> </w:t>
      </w:r>
      <w:r w:rsidRPr="00E27443">
        <w:t>than</w:t>
      </w:r>
      <w:r w:rsidR="00C63F8F" w:rsidRPr="00E27443">
        <w:t xml:space="preserve"> </w:t>
      </w:r>
      <w:r w:rsidRPr="00E27443">
        <w:t>in</w:t>
      </w:r>
      <w:r w:rsidR="00C63F8F" w:rsidRPr="00E27443">
        <w:t xml:space="preserve"> </w:t>
      </w:r>
      <w:r w:rsidRPr="00E27443">
        <w:t>cases</w:t>
      </w:r>
      <w:r w:rsidR="00C63F8F" w:rsidRPr="00E27443">
        <w:t xml:space="preserve"> </w:t>
      </w:r>
      <w:r w:rsidRPr="00E27443">
        <w:t>where</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simultaneously,</w:t>
      </w:r>
      <w:r w:rsidR="00C63F8F" w:rsidRPr="00E27443">
        <w:t xml:space="preserve"> </w:t>
      </w:r>
      <w:r w:rsidRPr="00E27443">
        <w:t>following</w:t>
      </w:r>
      <w:r w:rsidR="00C63F8F" w:rsidRPr="00E27443">
        <w:t xml:space="preserve"> </w:t>
      </w:r>
      <w:r w:rsidRPr="00E27443">
        <w:t>express</w:t>
      </w:r>
      <w:r w:rsidR="00C63F8F" w:rsidRPr="00E27443">
        <w:t xml:space="preserve"> </w:t>
      </w:r>
      <w:r w:rsidRPr="00E27443">
        <w:t>consent</w:t>
      </w:r>
      <w:r w:rsidR="00C63F8F" w:rsidRPr="00E27443">
        <w:t xml:space="preserve"> </w:t>
      </w:r>
      <w:r w:rsidRPr="00E27443">
        <w:t>or</w:t>
      </w:r>
      <w:r w:rsidR="00C63F8F" w:rsidRPr="00E27443">
        <w:t xml:space="preserve"> </w:t>
      </w:r>
      <w:r w:rsidRPr="00E27443">
        <w:t>by</w:t>
      </w:r>
      <w:r w:rsidR="00C63F8F" w:rsidRPr="00E27443">
        <w:t xml:space="preserve"> </w:t>
      </w:r>
      <w:r w:rsidRPr="00E27443">
        <w:t>entering</w:t>
      </w:r>
      <w:r w:rsidR="00C63F8F" w:rsidRPr="00E27443">
        <w:t xml:space="preserve"> </w:t>
      </w:r>
      <w:r w:rsidRPr="00E27443">
        <w:t>into</w:t>
      </w:r>
      <w:r w:rsidR="00C63F8F" w:rsidRPr="00E27443">
        <w:t xml:space="preserve"> </w:t>
      </w:r>
      <w:r w:rsidRPr="00E27443">
        <w:t>public</w:t>
      </w:r>
      <w:r w:rsidR="00C63F8F" w:rsidRPr="00E27443">
        <w:t xml:space="preserve"> </w:t>
      </w:r>
      <w:r w:rsidRPr="00E27443">
        <w:t>service,</w:t>
      </w:r>
      <w:r w:rsidR="00C63F8F" w:rsidRPr="00E27443">
        <w:t xml:space="preserve"> </w:t>
      </w:r>
      <w:r w:rsidRPr="00E27443">
        <w:t>becomes</w:t>
      </w:r>
      <w:r w:rsidR="00C63F8F" w:rsidRPr="00E27443">
        <w:t xml:space="preserve"> </w:t>
      </w:r>
      <w:r w:rsidRPr="00E27443">
        <w:t>a</w:t>
      </w:r>
      <w:r w:rsidR="00C63F8F" w:rsidRPr="00E27443">
        <w:t xml:space="preserve"> </w:t>
      </w:r>
      <w:r w:rsidRPr="00E27443">
        <w:t>citizen</w:t>
      </w:r>
      <w:r w:rsidR="00C63F8F" w:rsidRPr="00E27443">
        <w:t xml:space="preserve"> </w:t>
      </w:r>
      <w:r w:rsidRPr="00E27443">
        <w:t>of</w:t>
      </w:r>
      <w:r w:rsidR="00C63F8F" w:rsidRPr="00E27443">
        <w:t xml:space="preserve"> </w:t>
      </w:r>
      <w:r w:rsidRPr="00E27443">
        <w:t>another</w:t>
      </w:r>
      <w:r w:rsidR="00C63F8F" w:rsidRPr="00E27443">
        <w:t xml:space="preserve"> </w:t>
      </w:r>
      <w:r w:rsidRPr="00E27443">
        <w:t>State.</w:t>
      </w:r>
      <w:r w:rsidR="00C63F8F" w:rsidRPr="00E27443">
        <w:t xml:space="preserve"> </w:t>
      </w:r>
      <w:r w:rsidRPr="00E27443">
        <w:t>All</w:t>
      </w:r>
      <w:r w:rsidR="00C63F8F" w:rsidRPr="00E27443">
        <w:t xml:space="preserve"> </w:t>
      </w:r>
      <w:r w:rsidRPr="00E27443">
        <w:t>citizens</w:t>
      </w:r>
      <w:r w:rsidR="00C63F8F" w:rsidRPr="00E27443">
        <w:t xml:space="preserve"> </w:t>
      </w:r>
      <w:r w:rsidRPr="00E27443">
        <w:t>are</w:t>
      </w:r>
      <w:r w:rsidR="00C63F8F" w:rsidRPr="00E27443">
        <w:t xml:space="preserve"> </w:t>
      </w:r>
      <w:r w:rsidRPr="00E27443">
        <w:t>assured</w:t>
      </w:r>
      <w:r w:rsidR="00C63F8F" w:rsidRPr="00E27443">
        <w:t xml:space="preserve"> </w:t>
      </w:r>
      <w:r w:rsidRPr="00E27443">
        <w:t>freedom</w:t>
      </w:r>
      <w:r w:rsidR="00C63F8F" w:rsidRPr="00E27443">
        <w:t xml:space="preserve"> </w:t>
      </w:r>
      <w:r w:rsidRPr="00E27443">
        <w:t>to</w:t>
      </w:r>
      <w:r w:rsidR="00C63F8F" w:rsidRPr="00E27443">
        <w:t xml:space="preserve"> </w:t>
      </w:r>
      <w:r w:rsidRPr="00E27443">
        <w:t>move</w:t>
      </w:r>
      <w:r w:rsidR="00C63F8F" w:rsidRPr="00E27443">
        <w:t xml:space="preserve"> </w:t>
      </w:r>
      <w:r w:rsidRPr="00E27443">
        <w:t>within</w:t>
      </w:r>
      <w:r w:rsidR="00C63F8F" w:rsidRPr="00E27443">
        <w:t xml:space="preserve"> </w:t>
      </w:r>
      <w:r w:rsidRPr="00E27443">
        <w:t>the</w:t>
      </w:r>
      <w:r w:rsidR="00C63F8F" w:rsidRPr="00E27443">
        <w:t xml:space="preserve"> </w:t>
      </w:r>
      <w:r w:rsidRPr="00E27443">
        <w:t>country</w:t>
      </w:r>
      <w:r w:rsidR="00C63F8F" w:rsidRPr="00E27443">
        <w:t xml:space="preserve"> </w:t>
      </w:r>
      <w:r w:rsidRPr="00E27443">
        <w:t>and</w:t>
      </w:r>
      <w:r w:rsidR="00C63F8F" w:rsidRPr="00E27443">
        <w:t xml:space="preserve"> </w:t>
      </w:r>
      <w:r w:rsidRPr="00E27443">
        <w:t>to</w:t>
      </w:r>
      <w:r w:rsidR="00C63F8F" w:rsidRPr="00E27443">
        <w:t xml:space="preserve"> </w:t>
      </w:r>
      <w:r w:rsidRPr="00E27443">
        <w:t>leave</w:t>
      </w:r>
      <w:r w:rsidR="00C63F8F" w:rsidRPr="00E27443">
        <w:t xml:space="preserve"> </w:t>
      </w:r>
      <w:r w:rsidRPr="00E27443">
        <w:t>the</w:t>
      </w:r>
      <w:r w:rsidR="00C63F8F" w:rsidRPr="00E27443">
        <w:t xml:space="preserve"> </w:t>
      </w:r>
      <w:r w:rsidRPr="00E27443">
        <w:t>country.</w:t>
      </w:r>
    </w:p>
    <w:p w:rsidR="00321ADA" w:rsidRPr="00E27443" w:rsidRDefault="00321ADA" w:rsidP="00BF6429">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Citizenship</w:t>
      </w:r>
      <w:r w:rsidR="00C63F8F" w:rsidRPr="00E27443">
        <w:t xml:space="preserve"> </w:t>
      </w:r>
      <w:r w:rsidRPr="00E27443">
        <w:t>Act</w:t>
      </w:r>
      <w:r w:rsidR="003C55F6" w:rsidRPr="00BF6429">
        <w:footnoteReference w:id="77"/>
      </w:r>
      <w:r w:rsidR="00C63F8F" w:rsidRPr="00E27443">
        <w:t xml:space="preserve"> </w:t>
      </w:r>
      <w:r w:rsidRPr="00E27443">
        <w:t>regulates</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the</w:t>
      </w:r>
      <w:r w:rsidR="00C63F8F" w:rsidRPr="00E27443">
        <w:t xml:space="preserve"> </w:t>
      </w:r>
      <w:r w:rsidRPr="00E27443">
        <w:t>acquisition</w:t>
      </w:r>
      <w:r w:rsidR="00C63F8F" w:rsidRPr="00E27443">
        <w:t xml:space="preserve"> </w:t>
      </w:r>
      <w:r w:rsidRPr="00E27443">
        <w:t>of</w:t>
      </w:r>
      <w:r w:rsidR="00C63F8F" w:rsidRPr="00E27443">
        <w:t xml:space="preserve"> </w:t>
      </w:r>
      <w:r w:rsidRPr="00E27443">
        <w:t>Swedish</w:t>
      </w:r>
      <w:r w:rsidR="00C63F8F" w:rsidRPr="00E27443">
        <w:t xml:space="preserve"> </w:t>
      </w:r>
      <w:r w:rsidRPr="00E27443">
        <w:t>citizenship</w:t>
      </w:r>
      <w:r w:rsidR="00C63F8F" w:rsidRPr="00E27443">
        <w:t xml:space="preserve"> </w:t>
      </w:r>
      <w:r w:rsidRPr="00E27443">
        <w:t>at</w:t>
      </w:r>
      <w:r w:rsidR="00C63F8F" w:rsidRPr="00E27443">
        <w:t xml:space="preserve"> </w:t>
      </w:r>
      <w:r w:rsidRPr="00E27443">
        <w:t>birth,</w:t>
      </w:r>
      <w:r w:rsidR="00C63F8F" w:rsidRPr="00E27443">
        <w:t xml:space="preserve"> </w:t>
      </w:r>
      <w:r w:rsidRPr="00E27443">
        <w:t>through</w:t>
      </w:r>
      <w:r w:rsidR="00C63F8F" w:rsidRPr="00E27443">
        <w:t xml:space="preserve"> </w:t>
      </w:r>
      <w:r w:rsidRPr="00E27443">
        <w:t>adoption,</w:t>
      </w:r>
      <w:r w:rsidR="00C63F8F" w:rsidRPr="00E27443">
        <w:t xml:space="preserve"> </w:t>
      </w:r>
      <w:r w:rsidRPr="00E27443">
        <w:t>through</w:t>
      </w:r>
      <w:r w:rsidR="00C63F8F" w:rsidRPr="00E27443">
        <w:t xml:space="preserve"> </w:t>
      </w:r>
      <w:r w:rsidRPr="00E27443">
        <w:t>the</w:t>
      </w:r>
      <w:r w:rsidR="00C63F8F" w:rsidRPr="00E27443">
        <w:t xml:space="preserve"> </w:t>
      </w:r>
      <w:r w:rsidRPr="00E27443">
        <w:t>marriage</w:t>
      </w:r>
      <w:r w:rsidR="00C63F8F" w:rsidRPr="00E27443">
        <w:t xml:space="preserve"> </w:t>
      </w:r>
      <w:r w:rsidRPr="00E27443">
        <w:t>of</w:t>
      </w:r>
      <w:r w:rsidR="00C63F8F" w:rsidRPr="00E27443">
        <w:t xml:space="preserve"> </w:t>
      </w:r>
      <w:r w:rsidRPr="00E27443">
        <w:t>parents,</w:t>
      </w:r>
      <w:r w:rsidR="00C63F8F" w:rsidRPr="00E27443">
        <w:t xml:space="preserve"> </w:t>
      </w:r>
      <w:r w:rsidRPr="00E27443">
        <w:t>through</w:t>
      </w:r>
      <w:r w:rsidR="00C63F8F" w:rsidRPr="00E27443">
        <w:t xml:space="preserve"> </w:t>
      </w:r>
      <w:r w:rsidRPr="00E27443">
        <w:t>registration</w:t>
      </w:r>
      <w:r w:rsidR="00C63F8F" w:rsidRPr="00E27443">
        <w:t xml:space="preserve"> </w:t>
      </w:r>
      <w:r w:rsidRPr="00E27443">
        <w:t>or</w:t>
      </w:r>
      <w:r w:rsidR="00C63F8F" w:rsidRPr="00E27443">
        <w:t xml:space="preserve"> </w:t>
      </w:r>
      <w:r w:rsidRPr="00E27443">
        <w:t>following</w:t>
      </w:r>
      <w:r w:rsidR="00C63F8F" w:rsidRPr="00E27443">
        <w:t xml:space="preserve"> </w:t>
      </w:r>
      <w:r w:rsidRPr="00E27443">
        <w:t>application</w:t>
      </w:r>
      <w:r w:rsidR="00C63F8F" w:rsidRPr="00E27443">
        <w:t xml:space="preserve"> </w:t>
      </w:r>
      <w:r w:rsidRPr="00E27443">
        <w:t>(naturalisation).</w:t>
      </w:r>
      <w:r w:rsidR="00C63F8F" w:rsidRPr="00E27443">
        <w:t xml:space="preserve"> </w:t>
      </w:r>
      <w:r w:rsidRPr="00E27443">
        <w:t>The</w:t>
      </w:r>
      <w:r w:rsidR="00C63F8F" w:rsidRPr="00E27443">
        <w:t xml:space="preserve"> </w:t>
      </w:r>
      <w:r w:rsidRPr="00E27443">
        <w:t>Act</w:t>
      </w:r>
      <w:r w:rsidR="00C63F8F" w:rsidRPr="00E27443">
        <w:t xml:space="preserve"> </w:t>
      </w:r>
      <w:r w:rsidRPr="00E27443">
        <w:t>also</w:t>
      </w:r>
      <w:r w:rsidR="00C63F8F" w:rsidRPr="00E27443">
        <w:t xml:space="preserve"> </w:t>
      </w:r>
      <w:r w:rsidRPr="00E27443">
        <w:t>regulates</w:t>
      </w:r>
      <w:r w:rsidR="00C63F8F" w:rsidRPr="00E27443">
        <w:t xml:space="preserve"> </w:t>
      </w:r>
      <w:r w:rsidRPr="00E27443">
        <w:t>the</w:t>
      </w:r>
      <w:r w:rsidR="00C63F8F" w:rsidRPr="00E27443">
        <w:t xml:space="preserve"> </w:t>
      </w:r>
      <w:r w:rsidRPr="00E27443">
        <w:t>loss</w:t>
      </w:r>
      <w:r w:rsidR="00C63F8F" w:rsidRPr="00E27443">
        <w:t xml:space="preserve"> </w:t>
      </w:r>
      <w:r w:rsidRPr="00E27443">
        <w:t>of</w:t>
      </w:r>
      <w:r w:rsidR="00C63F8F" w:rsidRPr="00E27443">
        <w:t xml:space="preserve"> </w:t>
      </w:r>
      <w:r w:rsidRPr="00E27443">
        <w:t>Swedish</w:t>
      </w:r>
      <w:r w:rsidR="00C63F8F" w:rsidRPr="00E27443">
        <w:t xml:space="preserve"> </w:t>
      </w:r>
      <w:r w:rsidRPr="00E27443">
        <w:t>citizenship</w:t>
      </w:r>
      <w:r w:rsidR="00C63F8F" w:rsidRPr="00E27443">
        <w:t xml:space="preserve"> </w:t>
      </w:r>
      <w:r w:rsidRPr="00E27443">
        <w:t>and</w:t>
      </w:r>
      <w:r w:rsidR="00C63F8F" w:rsidRPr="00E27443">
        <w:t xml:space="preserve"> </w:t>
      </w:r>
      <w:r w:rsidRPr="00E27443">
        <w:t>exemption</w:t>
      </w:r>
      <w:r w:rsidR="00C63F8F" w:rsidRPr="00E27443">
        <w:t xml:space="preserve"> </w:t>
      </w:r>
      <w:r w:rsidRPr="00E27443">
        <w:t>from</w:t>
      </w:r>
      <w:r w:rsidR="00C63F8F" w:rsidRPr="00E27443">
        <w:t xml:space="preserve"> </w:t>
      </w:r>
      <w:r w:rsidRPr="00E27443">
        <w:t>Swedish</w:t>
      </w:r>
      <w:r w:rsidR="00C63F8F" w:rsidRPr="00E27443">
        <w:t xml:space="preserve"> </w:t>
      </w:r>
      <w:r w:rsidRPr="00E27443">
        <w:t>citizenship.</w:t>
      </w:r>
      <w:r w:rsidR="00C63F8F" w:rsidRPr="00E27443">
        <w:t xml:space="preserve"> </w:t>
      </w:r>
      <w:r w:rsidRPr="00E27443">
        <w:t>The</w:t>
      </w:r>
      <w:r w:rsidR="00C63F8F" w:rsidRPr="00E27443">
        <w:t xml:space="preserve"> </w:t>
      </w:r>
      <w:r w:rsidRPr="00E27443">
        <w:t>regulations</w:t>
      </w:r>
      <w:r w:rsidR="00C63F8F" w:rsidRPr="00E27443">
        <w:t xml:space="preserve"> </w:t>
      </w:r>
      <w:r w:rsidRPr="00E27443">
        <w:t>make</w:t>
      </w:r>
      <w:r w:rsidR="00C63F8F" w:rsidRPr="00E27443">
        <w:t xml:space="preserve"> </w:t>
      </w:r>
      <w:r w:rsidRPr="00E27443">
        <w:t>no</w:t>
      </w:r>
      <w:r w:rsidR="00C63F8F" w:rsidRPr="00E27443">
        <w:t xml:space="preserve"> </w:t>
      </w:r>
      <w:r w:rsidRPr="00E27443">
        <w:t>exceptions</w:t>
      </w:r>
      <w:r w:rsidR="00C63F8F" w:rsidRPr="00E27443">
        <w:t xml:space="preserve"> </w:t>
      </w:r>
      <w:r w:rsidRPr="00E27443">
        <w:t>on</w:t>
      </w:r>
      <w:r w:rsidR="00C63F8F" w:rsidRPr="00E27443">
        <w:t xml:space="preserve"> </w:t>
      </w:r>
      <w:r w:rsidRPr="00E27443">
        <w:t>the</w:t>
      </w:r>
      <w:r w:rsidR="00C63F8F" w:rsidRPr="00E27443">
        <w:t xml:space="preserve"> </w:t>
      </w:r>
      <w:r w:rsidRPr="00E27443">
        <w:t>grounds</w:t>
      </w:r>
      <w:r w:rsidR="00C63F8F" w:rsidRPr="00E27443">
        <w:t xml:space="preserve"> </w:t>
      </w:r>
      <w:r w:rsidRPr="00E27443">
        <w:t>of</w:t>
      </w:r>
      <w:r w:rsidR="00C63F8F" w:rsidRPr="00E27443">
        <w:t xml:space="preserve"> </w:t>
      </w:r>
      <w:r w:rsidRPr="00E27443">
        <w:t>disability</w:t>
      </w:r>
      <w:r w:rsidR="00C63F8F" w:rsidRPr="00E27443">
        <w:t xml:space="preserve"> </w:t>
      </w:r>
      <w:r w:rsidRPr="00E27443">
        <w:t>or</w:t>
      </w:r>
      <w:r w:rsidR="00C63F8F" w:rsidRPr="00E27443">
        <w:t xml:space="preserve"> </w:t>
      </w:r>
      <w:r w:rsidRPr="00E27443">
        <w:t>similar</w:t>
      </w:r>
      <w:r w:rsidR="00C63F8F" w:rsidRPr="00E27443">
        <w:t xml:space="preserve"> </w:t>
      </w:r>
      <w:r w:rsidRPr="00E27443">
        <w:t>circumstances.</w:t>
      </w:r>
      <w:r w:rsidR="00C63F8F" w:rsidRPr="00E27443">
        <w:t xml:space="preserve"> </w:t>
      </w:r>
    </w:p>
    <w:p w:rsidR="00321ADA" w:rsidRPr="00E27443" w:rsidRDefault="00321ADA" w:rsidP="00BF6429">
      <w:pPr>
        <w:pStyle w:val="SingleTxtG"/>
        <w:numPr>
          <w:ilvl w:val="0"/>
          <w:numId w:val="20"/>
        </w:numPr>
        <w:tabs>
          <w:tab w:val="left" w:pos="1843"/>
        </w:tabs>
        <w:ind w:left="1134" w:firstLine="0"/>
      </w:pPr>
      <w:r w:rsidRPr="00E27443">
        <w:t>The</w:t>
      </w:r>
      <w:r w:rsidR="00C63F8F" w:rsidRPr="00E27443">
        <w:t xml:space="preserve"> </w:t>
      </w:r>
      <w:r w:rsidRPr="00E27443">
        <w:t>Passport</w:t>
      </w:r>
      <w:r w:rsidR="00C63F8F" w:rsidRPr="00E27443">
        <w:t xml:space="preserve"> </w:t>
      </w:r>
      <w:r w:rsidRPr="00E27443">
        <w:t>Act</w:t>
      </w:r>
      <w:r w:rsidR="00C325A6" w:rsidRPr="00BF6429">
        <w:footnoteReference w:id="78"/>
      </w:r>
      <w:r w:rsidR="00C63F8F" w:rsidRPr="00E27443">
        <w:t xml:space="preserve"> </w:t>
      </w:r>
      <w:r w:rsidRPr="00E27443">
        <w:t>prescribes</w:t>
      </w:r>
      <w:r w:rsidR="00C63F8F" w:rsidRPr="00E27443">
        <w:t xml:space="preserve"> </w:t>
      </w:r>
      <w:r w:rsidRPr="00E27443">
        <w:t>a</w:t>
      </w:r>
      <w:r w:rsidR="00C63F8F" w:rsidRPr="00E27443">
        <w:t xml:space="preserve"> </w:t>
      </w:r>
      <w:r w:rsidRPr="00E27443">
        <w:t>right</w:t>
      </w:r>
      <w:r w:rsidR="00C63F8F" w:rsidRPr="00E27443">
        <w:t xml:space="preserve"> </w:t>
      </w:r>
      <w:r w:rsidRPr="00E27443">
        <w:t>for</w:t>
      </w:r>
      <w:r w:rsidR="00C63F8F" w:rsidRPr="00E27443">
        <w:t xml:space="preserve"> </w:t>
      </w:r>
      <w:r w:rsidRPr="00E27443">
        <w:t>Swedish</w:t>
      </w:r>
      <w:r w:rsidR="00C63F8F" w:rsidRPr="00E27443">
        <w:t xml:space="preserve"> </w:t>
      </w:r>
      <w:r w:rsidRPr="00E27443">
        <w:t>citizens</w:t>
      </w:r>
      <w:r w:rsidR="00C63F8F" w:rsidRPr="00E27443">
        <w:t xml:space="preserve"> </w:t>
      </w:r>
      <w:r w:rsidRPr="00E27443">
        <w:t>to</w:t>
      </w:r>
      <w:r w:rsidR="00C63F8F" w:rsidRPr="00E27443">
        <w:t xml:space="preserve"> </w:t>
      </w:r>
      <w:r w:rsidRPr="00E27443">
        <w:t>receive</w:t>
      </w:r>
      <w:r w:rsidR="00C63F8F" w:rsidRPr="00E27443">
        <w:t xml:space="preserve"> </w:t>
      </w:r>
      <w:r w:rsidRPr="00E27443">
        <w:t>a</w:t>
      </w:r>
      <w:r w:rsidR="00C63F8F" w:rsidRPr="00E27443">
        <w:t xml:space="preserve"> </w:t>
      </w:r>
      <w:r w:rsidRPr="00E27443">
        <w:t>regular</w:t>
      </w:r>
      <w:r w:rsidR="00C63F8F" w:rsidRPr="00E27443">
        <w:t xml:space="preserve"> </w:t>
      </w:r>
      <w:r w:rsidRPr="00E27443">
        <w:t>passport</w:t>
      </w:r>
      <w:r w:rsidR="00C63F8F" w:rsidRPr="00E27443">
        <w:t xml:space="preserve"> </w:t>
      </w:r>
      <w:r w:rsidRPr="00E27443">
        <w:t>on</w:t>
      </w:r>
      <w:r w:rsidR="00C63F8F" w:rsidRPr="00E27443">
        <w:t xml:space="preserve"> </w:t>
      </w:r>
      <w:r w:rsidRPr="00E27443">
        <w:t>application.</w:t>
      </w:r>
      <w:r w:rsidR="00C63F8F" w:rsidRPr="00E27443">
        <w:t xml:space="preserve"> </w:t>
      </w:r>
      <w:r w:rsidRPr="00E27443">
        <w:t>This</w:t>
      </w:r>
      <w:r w:rsidR="00C63F8F" w:rsidRPr="00E27443">
        <w:t xml:space="preserve"> </w:t>
      </w:r>
      <w:r w:rsidRPr="00E27443">
        <w:t>may</w:t>
      </w:r>
      <w:r w:rsidR="00C63F8F" w:rsidRPr="00E27443">
        <w:t xml:space="preserve"> </w:t>
      </w:r>
      <w:r w:rsidRPr="00E27443">
        <w:t>only</w:t>
      </w:r>
      <w:r w:rsidR="00C63F8F" w:rsidRPr="00E27443">
        <w:t xml:space="preserve"> </w:t>
      </w:r>
      <w:r w:rsidRPr="00E27443">
        <w:t>be</w:t>
      </w:r>
      <w:r w:rsidR="00C63F8F" w:rsidRPr="00E27443">
        <w:t xml:space="preserve"> </w:t>
      </w:r>
      <w:r w:rsidRPr="00E27443">
        <w:t>revoked</w:t>
      </w:r>
      <w:r w:rsidR="00C63F8F" w:rsidRPr="00E27443">
        <w:t xml:space="preserve"> </w:t>
      </w:r>
      <w:r w:rsidRPr="00E27443">
        <w:t>on</w:t>
      </w:r>
      <w:r w:rsidR="00C63F8F" w:rsidRPr="00E27443">
        <w:t xml:space="preserve"> </w:t>
      </w:r>
      <w:r w:rsidRPr="00E27443">
        <w:t>grounds</w:t>
      </w:r>
      <w:r w:rsidR="00C63F8F" w:rsidRPr="00E27443">
        <w:t xml:space="preserve"> </w:t>
      </w:r>
      <w:r w:rsidRPr="00E27443">
        <w:t>that</w:t>
      </w:r>
      <w:r w:rsidR="00C63F8F" w:rsidRPr="00E27443">
        <w:t xml:space="preserve"> </w:t>
      </w:r>
      <w:r w:rsidRPr="00E27443">
        <w:t>are</w:t>
      </w:r>
      <w:r w:rsidR="00C63F8F" w:rsidRPr="00E27443">
        <w:t xml:space="preserve"> </w:t>
      </w:r>
      <w:r w:rsidRPr="00E27443">
        <w:t>specified</w:t>
      </w:r>
      <w:r w:rsidR="00C63F8F" w:rsidRPr="00E27443">
        <w:t xml:space="preserve"> </w:t>
      </w:r>
      <w:r w:rsidRPr="00E27443">
        <w:t>in</w:t>
      </w:r>
      <w:r w:rsidR="00C63F8F" w:rsidRPr="00E27443">
        <w:t xml:space="preserve"> </w:t>
      </w:r>
      <w:r w:rsidRPr="00E27443">
        <w:t>the</w:t>
      </w:r>
      <w:r w:rsidR="00C63F8F" w:rsidRPr="00E27443">
        <w:t xml:space="preserve"> </w:t>
      </w:r>
      <w:r w:rsidRPr="00E27443">
        <w:t>Act.</w:t>
      </w:r>
      <w:r w:rsidR="00C63F8F" w:rsidRPr="00E27443">
        <w:t xml:space="preserve"> </w:t>
      </w:r>
      <w:r w:rsidRPr="00E27443">
        <w:t>There</w:t>
      </w:r>
      <w:r w:rsidR="00C63F8F" w:rsidRPr="00E27443">
        <w:t xml:space="preserve"> </w:t>
      </w:r>
      <w:r w:rsidRPr="00E27443">
        <w:t>are</w:t>
      </w:r>
      <w:r w:rsidR="00C63F8F" w:rsidRPr="00E27443">
        <w:t xml:space="preserve"> </w:t>
      </w:r>
      <w:r w:rsidRPr="00E27443">
        <w:t>no</w:t>
      </w:r>
      <w:r w:rsidR="00C63F8F" w:rsidRPr="00E27443">
        <w:t xml:space="preserve"> </w:t>
      </w:r>
      <w:r w:rsidRPr="00E27443">
        <w:t>special</w:t>
      </w:r>
      <w:r w:rsidR="00C63F8F" w:rsidRPr="00E27443">
        <w:t xml:space="preserve"> </w:t>
      </w:r>
      <w:r w:rsidRPr="00E27443">
        <w:t>provisions</w:t>
      </w:r>
      <w:r w:rsidR="00C63F8F" w:rsidRPr="00E27443">
        <w:t xml:space="preserve"> </w:t>
      </w:r>
      <w:r w:rsidRPr="00E27443">
        <w:t>for</w:t>
      </w:r>
      <w:r w:rsidR="00C63F8F" w:rsidRPr="00E27443">
        <w:t xml:space="preserve"> </w:t>
      </w:r>
      <w:r w:rsidRPr="00E27443">
        <w:t>e.g.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p>
    <w:p w:rsidR="00321ADA" w:rsidRPr="00E27443" w:rsidRDefault="00321ADA" w:rsidP="00BF6429">
      <w:pPr>
        <w:pStyle w:val="SingleTxtG"/>
        <w:numPr>
          <w:ilvl w:val="0"/>
          <w:numId w:val="20"/>
        </w:numPr>
        <w:tabs>
          <w:tab w:val="left" w:pos="1843"/>
        </w:tabs>
        <w:ind w:left="1134" w:firstLine="0"/>
      </w:pPr>
      <w:r w:rsidRPr="00E27443">
        <w:t>The</w:t>
      </w:r>
      <w:r w:rsidR="00C63F8F" w:rsidRPr="00E27443">
        <w:t xml:space="preserve"> </w:t>
      </w:r>
      <w:r w:rsidRPr="00E27443">
        <w:t>Population</w:t>
      </w:r>
      <w:r w:rsidR="00C63F8F" w:rsidRPr="00E27443">
        <w:t xml:space="preserve"> </w:t>
      </w:r>
      <w:r w:rsidRPr="00E27443">
        <w:t>Registration</w:t>
      </w:r>
      <w:r w:rsidR="00C63F8F" w:rsidRPr="00E27443">
        <w:t xml:space="preserve"> </w:t>
      </w:r>
      <w:r w:rsidRPr="00E27443">
        <w:t>Act</w:t>
      </w:r>
      <w:r w:rsidR="00C325A6" w:rsidRPr="00BF6429">
        <w:footnoteReference w:id="79"/>
      </w:r>
      <w:r w:rsidR="00C63F8F" w:rsidRPr="00E27443">
        <w:t xml:space="preserve"> </w:t>
      </w:r>
      <w:r w:rsidRPr="00E27443">
        <w:t>prescribes</w:t>
      </w:r>
      <w:r w:rsidR="00C63F8F" w:rsidRPr="00E27443">
        <w:t xml:space="preserve"> </w:t>
      </w:r>
      <w:r w:rsidRPr="00E27443">
        <w:t>that</w:t>
      </w:r>
      <w:r w:rsidR="00C63F8F" w:rsidRPr="00E27443">
        <w:t xml:space="preserve"> </w:t>
      </w:r>
      <w:r w:rsidRPr="00E27443">
        <w:t>children</w:t>
      </w:r>
      <w:r w:rsidR="00C63F8F" w:rsidRPr="00E27443">
        <w:t xml:space="preserve"> </w:t>
      </w:r>
      <w:r w:rsidRPr="00E27443">
        <w:t>who</w:t>
      </w:r>
      <w:r w:rsidR="00C63F8F" w:rsidRPr="00E27443">
        <w:t xml:space="preserve"> </w:t>
      </w:r>
      <w:r w:rsidRPr="00E27443">
        <w:t>are</w:t>
      </w:r>
      <w:r w:rsidR="00C63F8F" w:rsidRPr="00E27443">
        <w:t xml:space="preserve"> </w:t>
      </w:r>
      <w:r w:rsidRPr="00E27443">
        <w:t>born</w:t>
      </w:r>
      <w:r w:rsidR="00C63F8F" w:rsidRPr="00E27443">
        <w:t xml:space="preserve"> </w:t>
      </w:r>
      <w:r w:rsidRPr="00E27443">
        <w:t>alive</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must</w:t>
      </w:r>
      <w:r w:rsidR="00C63F8F" w:rsidRPr="00E27443">
        <w:t xml:space="preserve"> </w:t>
      </w:r>
      <w:r w:rsidRPr="00E27443">
        <w:t>be</w:t>
      </w:r>
      <w:r w:rsidR="00C63F8F" w:rsidRPr="00E27443">
        <w:t xml:space="preserve"> </w:t>
      </w:r>
      <w:r w:rsidRPr="00E27443">
        <w:t>entered</w:t>
      </w:r>
      <w:r w:rsidR="00C63F8F" w:rsidRPr="00E27443">
        <w:t xml:space="preserve"> </w:t>
      </w:r>
      <w:r w:rsidRPr="00E27443">
        <w:t>in</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register</w:t>
      </w:r>
      <w:r w:rsidR="00C63F8F" w:rsidRPr="00E27443">
        <w:t xml:space="preserve"> </w:t>
      </w:r>
      <w:r w:rsidRPr="00E27443">
        <w:t>if</w:t>
      </w:r>
      <w:r w:rsidR="00C63F8F" w:rsidRPr="00E27443">
        <w:t xml:space="preserve"> </w:t>
      </w:r>
      <w:r w:rsidRPr="00E27443">
        <w:t>the</w:t>
      </w:r>
      <w:r w:rsidR="00C63F8F" w:rsidRPr="00E27443">
        <w:t xml:space="preserve"> </w:t>
      </w:r>
      <w:r w:rsidRPr="00E27443">
        <w:t>mother</w:t>
      </w:r>
      <w:r w:rsidR="00C63F8F" w:rsidRPr="00E27443">
        <w:t xml:space="preserve"> </w:t>
      </w:r>
      <w:r w:rsidRPr="00E27443">
        <w:t>is</w:t>
      </w:r>
      <w:r w:rsidR="00C63F8F" w:rsidRPr="00E27443">
        <w:t xml:space="preserve"> </w:t>
      </w:r>
      <w:r w:rsidRPr="00E27443">
        <w:t>registered</w:t>
      </w:r>
      <w:r w:rsidR="00C63F8F" w:rsidRPr="00E27443">
        <w:t xml:space="preserve"> </w:t>
      </w:r>
      <w:r w:rsidRPr="00E27443">
        <w:t>or</w:t>
      </w:r>
      <w:r w:rsidR="00C63F8F" w:rsidRPr="00E27443">
        <w:t xml:space="preserve"> </w:t>
      </w:r>
      <w:r w:rsidRPr="00E27443">
        <w:t>if</w:t>
      </w:r>
      <w:r w:rsidR="00C63F8F" w:rsidRPr="00E27443">
        <w:t xml:space="preserve"> </w:t>
      </w:r>
      <w:r w:rsidRPr="00E27443">
        <w:t>the</w:t>
      </w:r>
      <w:r w:rsidR="00C63F8F" w:rsidRPr="00E27443">
        <w:t xml:space="preserve"> </w:t>
      </w:r>
      <w:r w:rsidRPr="00E27443">
        <w:t>father</w:t>
      </w:r>
      <w:r w:rsidR="00C63F8F" w:rsidRPr="00E27443">
        <w:t xml:space="preserve"> </w:t>
      </w:r>
      <w:r w:rsidRPr="00E27443">
        <w:t>is</w:t>
      </w:r>
      <w:r w:rsidR="00C63F8F" w:rsidRPr="00E27443">
        <w:t xml:space="preserve"> </w:t>
      </w:r>
      <w:r w:rsidRPr="00E27443">
        <w:t>registered</w:t>
      </w:r>
      <w:r w:rsidR="00C63F8F" w:rsidRPr="00E27443">
        <w:t xml:space="preserve"> </w:t>
      </w:r>
      <w:r w:rsidRPr="00E27443">
        <w:t>and</w:t>
      </w:r>
      <w:r w:rsidR="00C63F8F" w:rsidRPr="00E27443">
        <w:t xml:space="preserve"> </w:t>
      </w:r>
      <w:r w:rsidRPr="00E27443">
        <w:t>is</w:t>
      </w:r>
      <w:r w:rsidR="00C63F8F" w:rsidRPr="00E27443">
        <w:t xml:space="preserve"> </w:t>
      </w:r>
      <w:r w:rsidRPr="00E27443">
        <w:t>the</w:t>
      </w:r>
      <w:r w:rsidR="00C63F8F" w:rsidRPr="00E27443">
        <w:t xml:space="preserve"> </w:t>
      </w:r>
      <w:r w:rsidRPr="00E27443">
        <w:t>guardian.</w:t>
      </w:r>
      <w:r w:rsidR="00C63F8F" w:rsidRPr="00E27443">
        <w:t xml:space="preserve"> </w:t>
      </w:r>
      <w:r w:rsidRPr="00E27443">
        <w:t>Children</w:t>
      </w:r>
      <w:r w:rsidR="00C63F8F" w:rsidRPr="00E27443">
        <w:t xml:space="preserve"> </w:t>
      </w:r>
      <w:r w:rsidRPr="00E27443">
        <w:t>who</w:t>
      </w:r>
      <w:r w:rsidR="00C63F8F" w:rsidRPr="00E27443">
        <w:t xml:space="preserve"> </w:t>
      </w:r>
      <w:r w:rsidRPr="00E27443">
        <w:t>are</w:t>
      </w:r>
      <w:r w:rsidR="00C63F8F" w:rsidRPr="00E27443">
        <w:t xml:space="preserve"> </w:t>
      </w:r>
      <w:r w:rsidRPr="00E27443">
        <w:t>born</w:t>
      </w:r>
      <w:r w:rsidR="00C63F8F" w:rsidRPr="00E27443">
        <w:t xml:space="preserve"> </w:t>
      </w:r>
      <w:r w:rsidRPr="00E27443">
        <w:t>alive</w:t>
      </w:r>
      <w:r w:rsidR="00C63F8F" w:rsidRPr="00E27443">
        <w:t xml:space="preserve"> </w:t>
      </w:r>
      <w:r w:rsidRPr="00E27443">
        <w:t>outside</w:t>
      </w:r>
      <w:r w:rsidR="00C63F8F" w:rsidRPr="00E27443">
        <w:t xml:space="preserve"> </w:t>
      </w:r>
      <w:r w:rsidRPr="00E27443">
        <w:t>of</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by</w:t>
      </w:r>
      <w:r w:rsidR="00C63F8F" w:rsidRPr="00E27443">
        <w:t xml:space="preserve"> </w:t>
      </w:r>
      <w:r w:rsidRPr="00E27443">
        <w:t>a</w:t>
      </w:r>
      <w:r w:rsidR="00C63F8F" w:rsidRPr="00E27443">
        <w:t xml:space="preserve"> </w:t>
      </w:r>
      <w:r w:rsidRPr="00E27443">
        <w:t>woman</w:t>
      </w:r>
      <w:r w:rsidR="00C63F8F" w:rsidRPr="00E27443">
        <w:t xml:space="preserve"> </w:t>
      </w:r>
      <w:r w:rsidRPr="00E27443">
        <w:t>who</w:t>
      </w:r>
      <w:r w:rsidR="00C63F8F" w:rsidRPr="00E27443">
        <w:t xml:space="preserve"> </w:t>
      </w:r>
      <w:r w:rsidRPr="00E27443">
        <w:t>is</w:t>
      </w:r>
      <w:r w:rsidR="00C63F8F" w:rsidRPr="00E27443">
        <w:t xml:space="preserve"> </w:t>
      </w:r>
      <w:r w:rsidRPr="00E27443">
        <w:t>registered</w:t>
      </w:r>
      <w:r w:rsidR="00C63F8F" w:rsidRPr="00E27443">
        <w:t xml:space="preserve"> </w:t>
      </w:r>
      <w:r w:rsidRPr="00E27443">
        <w:t>will</w:t>
      </w:r>
      <w:r w:rsidR="00C63F8F" w:rsidRPr="00E27443">
        <w:t xml:space="preserve"> </w:t>
      </w:r>
      <w:r w:rsidRPr="00E27443">
        <w:t>be</w:t>
      </w:r>
      <w:r w:rsidR="00C63F8F" w:rsidRPr="00E27443">
        <w:t xml:space="preserve"> </w:t>
      </w:r>
      <w:r w:rsidRPr="00E27443">
        <w:t>entered</w:t>
      </w:r>
      <w:r w:rsidR="00C63F8F" w:rsidRPr="00E27443">
        <w:t xml:space="preserve"> </w:t>
      </w:r>
      <w:r w:rsidRPr="00E27443">
        <w:t>in</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register.</w:t>
      </w:r>
      <w:r w:rsidR="00C63F8F" w:rsidRPr="00E27443">
        <w:t xml:space="preserve"> </w:t>
      </w:r>
      <w:r w:rsidRPr="00E27443">
        <w:t>Individuals</w:t>
      </w:r>
      <w:r w:rsidR="00C63F8F" w:rsidRPr="00E27443">
        <w:t xml:space="preserve"> </w:t>
      </w:r>
      <w:r w:rsidRPr="00E27443">
        <w:t>who</w:t>
      </w:r>
      <w:r w:rsidR="00C63F8F" w:rsidRPr="00E27443">
        <w:t xml:space="preserve"> </w:t>
      </w:r>
      <w:r w:rsidRPr="00E27443">
        <w:t>move</w:t>
      </w:r>
      <w:r w:rsidR="00C63F8F" w:rsidRPr="00E27443">
        <w:t xml:space="preserve"> </w:t>
      </w:r>
      <w:r w:rsidRPr="00E27443">
        <w:t>into</w:t>
      </w:r>
      <w:r w:rsidR="00C63F8F" w:rsidRPr="00E27443">
        <w:t xml:space="preserve"> </w:t>
      </w:r>
      <w:r w:rsidRPr="00E27443">
        <w:t>the</w:t>
      </w:r>
      <w:r w:rsidR="00C63F8F" w:rsidRPr="00E27443">
        <w:t xml:space="preserve"> </w:t>
      </w:r>
      <w:r w:rsidRPr="00E27443">
        <w:t>country</w:t>
      </w:r>
      <w:r w:rsidR="00C63F8F" w:rsidRPr="00E27443">
        <w:t xml:space="preserve"> </w:t>
      </w:r>
      <w:r w:rsidRPr="00E27443">
        <w:t>will</w:t>
      </w:r>
      <w:r w:rsidR="00C63F8F" w:rsidRPr="00E27443">
        <w:t xml:space="preserve"> </w:t>
      </w:r>
      <w:r w:rsidRPr="00E27443">
        <w:t>also</w:t>
      </w:r>
      <w:r w:rsidR="00C63F8F" w:rsidRPr="00E27443">
        <w:t xml:space="preserve"> </w:t>
      </w:r>
      <w:r w:rsidRPr="00E27443">
        <w:t>be</w:t>
      </w:r>
      <w:r w:rsidR="00C63F8F" w:rsidRPr="00E27443">
        <w:t xml:space="preserve"> </w:t>
      </w:r>
      <w:r w:rsidRPr="00E27443">
        <w:t>entered</w:t>
      </w:r>
      <w:r w:rsidR="00C63F8F" w:rsidRPr="00E27443">
        <w:t xml:space="preserve"> </w:t>
      </w:r>
      <w:r w:rsidRPr="00E27443">
        <w:t>in</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register</w:t>
      </w:r>
      <w:r w:rsidR="00C63F8F" w:rsidRPr="00E27443">
        <w:t xml:space="preserve"> </w:t>
      </w:r>
      <w:r w:rsidRPr="00E27443">
        <w:t>under</w:t>
      </w:r>
      <w:r w:rsidR="00C63F8F" w:rsidRPr="00E27443">
        <w:t xml:space="preserve"> </w:t>
      </w:r>
      <w:r w:rsidRPr="00E27443">
        <w:t>certain</w:t>
      </w:r>
      <w:r w:rsidR="00C63F8F" w:rsidRPr="00E27443">
        <w:t xml:space="preserve"> </w:t>
      </w:r>
      <w:r w:rsidRPr="00E27443">
        <w:t>circumstances.</w:t>
      </w:r>
      <w:r w:rsidR="00C63F8F" w:rsidRPr="00E27443">
        <w:t xml:space="preserve"> </w:t>
      </w:r>
      <w:r w:rsidRPr="00E27443">
        <w:t>For</w:t>
      </w:r>
      <w:r w:rsidR="00C63F8F" w:rsidRPr="00E27443">
        <w:t xml:space="preserve"> </w:t>
      </w:r>
      <w:r w:rsidRPr="00E27443">
        <w:t>each</w:t>
      </w:r>
      <w:r w:rsidR="00C63F8F" w:rsidRPr="00E27443">
        <w:t xml:space="preserve"> </w:t>
      </w:r>
      <w:r w:rsidRPr="00E27443">
        <w:t>person</w:t>
      </w:r>
      <w:r w:rsidR="00C63F8F" w:rsidRPr="00E27443">
        <w:t xml:space="preserve"> </w:t>
      </w:r>
      <w:r w:rsidRPr="00E27443">
        <w:t>entered</w:t>
      </w:r>
      <w:r w:rsidR="00C63F8F" w:rsidRPr="00E27443">
        <w:t xml:space="preserve"> </w:t>
      </w:r>
      <w:r w:rsidRPr="00E27443">
        <w:t>in</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register,</w:t>
      </w:r>
      <w:r w:rsidR="00C63F8F" w:rsidRPr="00E27443">
        <w:t xml:space="preserve"> </w:t>
      </w:r>
      <w:r w:rsidRPr="00E27443">
        <w:t>a</w:t>
      </w:r>
      <w:r w:rsidR="00C63F8F" w:rsidRPr="00E27443">
        <w:t xml:space="preserve"> </w:t>
      </w:r>
      <w:r w:rsidRPr="00E27443">
        <w:t>personal</w:t>
      </w:r>
      <w:r w:rsidR="00C63F8F" w:rsidRPr="00E27443">
        <w:t xml:space="preserve"> </w:t>
      </w:r>
      <w:r w:rsidRPr="00E27443">
        <w:t>identity</w:t>
      </w:r>
      <w:r w:rsidR="00C63F8F" w:rsidRPr="00E27443">
        <w:t xml:space="preserve"> </w:t>
      </w:r>
      <w:r w:rsidRPr="00E27443">
        <w:t>number</w:t>
      </w:r>
      <w:r w:rsidR="00C63F8F" w:rsidRPr="00E27443">
        <w:t xml:space="preserve"> </w:t>
      </w:r>
      <w:r w:rsidRPr="00E27443">
        <w:t>is</w:t>
      </w:r>
      <w:r w:rsidR="00C63F8F" w:rsidRPr="00E27443">
        <w:t xml:space="preserve"> </w:t>
      </w:r>
      <w:r w:rsidRPr="00E27443">
        <w:t>issued.</w:t>
      </w:r>
      <w:r w:rsidR="00C63F8F" w:rsidRPr="00E27443">
        <w:t xml:space="preserve"> </w:t>
      </w:r>
    </w:p>
    <w:p w:rsidR="00321ADA" w:rsidRPr="00E27443" w:rsidRDefault="00321ADA" w:rsidP="00BF6429">
      <w:pPr>
        <w:pStyle w:val="SingleTxtG"/>
        <w:numPr>
          <w:ilvl w:val="0"/>
          <w:numId w:val="20"/>
        </w:numPr>
        <w:tabs>
          <w:tab w:val="left" w:pos="1843"/>
        </w:tabs>
        <w:ind w:left="1134" w:firstLine="0"/>
      </w:pPr>
      <w:r w:rsidRPr="00E27443">
        <w:t>The</w:t>
      </w:r>
      <w:r w:rsidR="00C63F8F" w:rsidRPr="00E27443">
        <w:t xml:space="preserve"> </w:t>
      </w:r>
      <w:r w:rsidRPr="00E27443">
        <w:t>Names</w:t>
      </w:r>
      <w:r w:rsidR="00C63F8F" w:rsidRPr="00E27443">
        <w:t xml:space="preserve"> </w:t>
      </w:r>
      <w:r w:rsidRPr="00E27443">
        <w:t>Act</w:t>
      </w:r>
      <w:r w:rsidR="00C325A6" w:rsidRPr="00BF6429">
        <w:footnoteReference w:id="80"/>
      </w:r>
      <w:r w:rsidR="00C63F8F" w:rsidRPr="00E27443">
        <w:t xml:space="preserve"> </w:t>
      </w:r>
      <w:r w:rsidRPr="00E27443">
        <w:t>contains</w:t>
      </w:r>
      <w:r w:rsidR="00C63F8F" w:rsidRPr="00E27443">
        <w:t xml:space="preserve"> </w:t>
      </w:r>
      <w:r w:rsidRPr="00E27443">
        <w:t>regulations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acquisition</w:t>
      </w:r>
      <w:r w:rsidR="00C63F8F" w:rsidRPr="00E27443">
        <w:t xml:space="preserve"> </w:t>
      </w:r>
      <w:r w:rsidRPr="00E27443">
        <w:t>of</w:t>
      </w:r>
      <w:r w:rsidR="00C63F8F" w:rsidRPr="00E27443">
        <w:t xml:space="preserve"> </w:t>
      </w:r>
      <w:r w:rsidRPr="00E27443">
        <w:t>a</w:t>
      </w:r>
      <w:r w:rsidR="00C63F8F" w:rsidRPr="00E27443">
        <w:t xml:space="preserve"> </w:t>
      </w:r>
      <w:r w:rsidRPr="00E27443">
        <w:t>surname</w:t>
      </w:r>
      <w:r w:rsidR="00C63F8F" w:rsidRPr="00E27443">
        <w:t xml:space="preserve"> </w:t>
      </w:r>
      <w:r w:rsidRPr="00E27443">
        <w:t>on</w:t>
      </w:r>
      <w:r w:rsidR="00C63F8F" w:rsidRPr="00E27443">
        <w:t xml:space="preserve"> </w:t>
      </w:r>
      <w:r w:rsidRPr="00E27443">
        <w:t>birth,</w:t>
      </w:r>
      <w:r w:rsidR="00C63F8F" w:rsidRPr="00E27443">
        <w:t xml:space="preserve"> </w:t>
      </w:r>
      <w:r w:rsidRPr="00E27443">
        <w:t>and</w:t>
      </w:r>
      <w:r w:rsidR="00C63F8F" w:rsidRPr="00E27443">
        <w:t xml:space="preserve"> </w:t>
      </w:r>
      <w:r w:rsidRPr="00E27443">
        <w:t>that</w:t>
      </w:r>
      <w:r w:rsidR="00C63F8F" w:rsidRPr="00E27443">
        <w:t xml:space="preserve"> </w:t>
      </w:r>
      <w:r w:rsidRPr="00E27443">
        <w:t>each</w:t>
      </w:r>
      <w:r w:rsidR="00C63F8F" w:rsidRPr="00E27443">
        <w:t xml:space="preserve"> </w:t>
      </w:r>
      <w:r w:rsidRPr="00E27443">
        <w:t>child</w:t>
      </w:r>
      <w:r w:rsidR="00C63F8F" w:rsidRPr="00E27443">
        <w:t xml:space="preserve"> </w:t>
      </w:r>
      <w:r w:rsidRPr="00E27443">
        <w:t>must</w:t>
      </w:r>
      <w:r w:rsidR="00C63F8F" w:rsidRPr="00E27443">
        <w:t xml:space="preserve"> </w:t>
      </w:r>
      <w:r w:rsidRPr="00E27443">
        <w:t>be</w:t>
      </w:r>
      <w:r w:rsidR="00C63F8F" w:rsidRPr="00E27443">
        <w:t xml:space="preserve"> </w:t>
      </w:r>
      <w:r w:rsidRPr="00E27443">
        <w:t>given</w:t>
      </w:r>
      <w:r w:rsidR="00C63F8F" w:rsidRPr="00E27443">
        <w:t xml:space="preserve"> </w:t>
      </w:r>
      <w:r w:rsidRPr="00E27443">
        <w:t>one</w:t>
      </w:r>
      <w:r w:rsidR="00C63F8F" w:rsidRPr="00E27443">
        <w:t xml:space="preserve"> </w:t>
      </w:r>
      <w:r w:rsidRPr="00E27443">
        <w:t>or</w:t>
      </w:r>
      <w:r w:rsidR="00C63F8F" w:rsidRPr="00E27443">
        <w:t xml:space="preserve"> </w:t>
      </w:r>
      <w:r w:rsidRPr="00E27443">
        <w:t>more</w:t>
      </w:r>
      <w:r w:rsidR="00C63F8F" w:rsidRPr="00E27443">
        <w:t xml:space="preserve"> </w:t>
      </w:r>
      <w:r w:rsidRPr="00E27443">
        <w:t>forenames</w:t>
      </w:r>
      <w:r w:rsidR="00C63F8F" w:rsidRPr="00E27443">
        <w:t xml:space="preserve"> </w:t>
      </w:r>
      <w:r w:rsidRPr="00E27443">
        <w:t>that</w:t>
      </w:r>
      <w:r w:rsidR="00C63F8F" w:rsidRPr="00E27443">
        <w:t xml:space="preserve"> </w:t>
      </w:r>
      <w:r w:rsidRPr="00E27443">
        <w:t>must</w:t>
      </w:r>
      <w:r w:rsidR="00C63F8F" w:rsidRPr="00E27443">
        <w:t xml:space="preserve"> </w:t>
      </w:r>
      <w:r w:rsidRPr="00E27443">
        <w:t>be</w:t>
      </w:r>
      <w:r w:rsidR="00C63F8F" w:rsidRPr="00E27443">
        <w:t xml:space="preserve"> </w:t>
      </w:r>
      <w:r w:rsidRPr="00E27443">
        <w:t>registered</w:t>
      </w:r>
      <w:r w:rsidR="00C63F8F" w:rsidRPr="00E27443">
        <w:t xml:space="preserve"> </w:t>
      </w:r>
      <w:r w:rsidRPr="00E27443">
        <w:t>with</w:t>
      </w:r>
      <w:r w:rsidR="00C63F8F" w:rsidRPr="00E27443">
        <w:t xml:space="preserve"> </w:t>
      </w:r>
      <w:r w:rsidRPr="00E27443">
        <w:t>the</w:t>
      </w:r>
      <w:r w:rsidR="00C63F8F" w:rsidRPr="00E27443">
        <w:t xml:space="preserve"> </w:t>
      </w:r>
      <w:r w:rsidRPr="00E27443">
        <w:t>Swedish</w:t>
      </w:r>
      <w:r w:rsidR="00C63F8F" w:rsidRPr="00E27443">
        <w:t xml:space="preserve"> </w:t>
      </w:r>
      <w:r w:rsidRPr="00E27443">
        <w:t>Tax</w:t>
      </w:r>
      <w:r w:rsidR="00C63F8F" w:rsidRPr="00E27443">
        <w:t xml:space="preserve"> </w:t>
      </w:r>
      <w:r w:rsidRPr="00E27443">
        <w:t>Agency</w:t>
      </w:r>
      <w:r w:rsidR="00C63F8F" w:rsidRPr="00E27443">
        <w:t xml:space="preserve"> </w:t>
      </w:r>
      <w:r w:rsidRPr="00E27443">
        <w:t>within</w:t>
      </w:r>
      <w:r w:rsidR="00C63F8F" w:rsidRPr="00E27443">
        <w:t xml:space="preserve"> </w:t>
      </w:r>
      <w:r w:rsidRPr="00E27443">
        <w:t>three</w:t>
      </w:r>
      <w:r w:rsidR="00C63F8F" w:rsidRPr="00E27443">
        <w:t xml:space="preserve"> </w:t>
      </w:r>
      <w:r w:rsidRPr="00E27443">
        <w:t>months</w:t>
      </w:r>
      <w:r w:rsidR="00C63F8F" w:rsidRPr="00E27443">
        <w:t xml:space="preserve"> </w:t>
      </w:r>
      <w:r w:rsidRPr="00E27443">
        <w:t>of</w:t>
      </w:r>
      <w:r w:rsidR="00C63F8F" w:rsidRPr="00E27443">
        <w:t xml:space="preserve"> </w:t>
      </w:r>
      <w:r w:rsidRPr="00E27443">
        <w:t>birth.</w:t>
      </w:r>
      <w:r w:rsidR="00C63F8F" w:rsidRPr="00E27443">
        <w:t xml:space="preserve"> </w:t>
      </w:r>
      <w:r w:rsidRPr="00E27443">
        <w:t>The</w:t>
      </w:r>
      <w:r w:rsidR="00C63F8F" w:rsidRPr="00E27443">
        <w:t xml:space="preserve"> </w:t>
      </w:r>
      <w:r w:rsidRPr="00E27443">
        <w:t>rules</w:t>
      </w:r>
      <w:r w:rsidR="00C63F8F" w:rsidRPr="00E27443">
        <w:t xml:space="preserve"> </w:t>
      </w:r>
      <w:r w:rsidRPr="00E27443">
        <w:t>apply</w:t>
      </w:r>
      <w:r w:rsidR="00C63F8F" w:rsidRPr="00E27443">
        <w:t xml:space="preserve"> </w:t>
      </w:r>
      <w:r w:rsidRPr="00E27443">
        <w:t>to</w:t>
      </w:r>
      <w:r w:rsidR="00C63F8F" w:rsidRPr="00E27443">
        <w:t xml:space="preserve"> </w:t>
      </w:r>
      <w:r w:rsidRPr="00E27443">
        <w:t>all</w:t>
      </w:r>
      <w:r w:rsidR="00C63F8F" w:rsidRPr="00E27443">
        <w:t xml:space="preserve"> </w:t>
      </w:r>
      <w:r w:rsidRPr="00E27443">
        <w:t>children</w:t>
      </w:r>
      <w:r w:rsidR="00C63F8F" w:rsidRPr="00E27443">
        <w:t xml:space="preserve"> </w:t>
      </w:r>
      <w:r w:rsidRPr="00E27443">
        <w:t>without</w:t>
      </w:r>
      <w:r w:rsidR="00C63F8F" w:rsidRPr="00E27443">
        <w:t xml:space="preserve"> </w:t>
      </w:r>
      <w:r w:rsidRPr="00E27443">
        <w:t>distinction.</w:t>
      </w:r>
    </w:p>
    <w:p w:rsidR="00321ADA" w:rsidRPr="00E27443" w:rsidRDefault="00321ADA" w:rsidP="00BF6429">
      <w:pPr>
        <w:pStyle w:val="SingleTxtG"/>
        <w:numPr>
          <w:ilvl w:val="0"/>
          <w:numId w:val="20"/>
        </w:numPr>
        <w:tabs>
          <w:tab w:val="left" w:pos="1843"/>
        </w:tabs>
        <w:ind w:left="1134" w:firstLine="0"/>
      </w:pPr>
      <w:r w:rsidRPr="00E27443">
        <w:t>It</w:t>
      </w:r>
      <w:r w:rsidR="00C63F8F" w:rsidRPr="00E27443">
        <w:t xml:space="preserve"> </w:t>
      </w:r>
      <w:r w:rsidRPr="00E27443">
        <w:t>can</w:t>
      </w:r>
      <w:r w:rsidR="00C63F8F" w:rsidRPr="00E27443">
        <w:t xml:space="preserve"> </w:t>
      </w:r>
      <w:r w:rsidRPr="00E27443">
        <w:t>be</w:t>
      </w:r>
      <w:r w:rsidR="00C63F8F" w:rsidRPr="00E27443">
        <w:t xml:space="preserve"> </w:t>
      </w:r>
      <w:r w:rsidRPr="00E27443">
        <w:t>added</w:t>
      </w:r>
      <w:r w:rsidR="00C63F8F" w:rsidRPr="00E27443">
        <w:t xml:space="preserve"> </w:t>
      </w:r>
      <w:r w:rsidRPr="00E27443">
        <w:t>that</w:t>
      </w:r>
      <w:r w:rsidR="00C63F8F" w:rsidRPr="00E27443">
        <w:t xml:space="preserve"> </w:t>
      </w:r>
      <w:r w:rsidRPr="00E27443">
        <w:t>even</w:t>
      </w:r>
      <w:r w:rsidR="00C63F8F" w:rsidRPr="00E27443">
        <w:t xml:space="preserve"> </w:t>
      </w:r>
      <w:r w:rsidRPr="00E27443">
        <w:t>though</w:t>
      </w:r>
      <w:r w:rsidR="00C63F8F" w:rsidRPr="00E27443">
        <w:t xml:space="preserve"> </w:t>
      </w:r>
      <w:r w:rsidRPr="00E27443">
        <w:t>there</w:t>
      </w:r>
      <w:r w:rsidR="00C63F8F" w:rsidRPr="00E27443">
        <w:t xml:space="preserve"> </w:t>
      </w:r>
      <w:r w:rsidRPr="00E27443">
        <w:t>are</w:t>
      </w:r>
      <w:r w:rsidR="00C63F8F" w:rsidRPr="00E27443">
        <w:t xml:space="preserve"> </w:t>
      </w:r>
      <w:r w:rsidRPr="00E27443">
        <w:t>formal</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freedom</w:t>
      </w:r>
      <w:r w:rsidR="00C63F8F" w:rsidRPr="00E27443">
        <w:t xml:space="preserve"> </w:t>
      </w:r>
      <w:r w:rsidRPr="00E27443">
        <w:t>of</w:t>
      </w:r>
      <w:r w:rsidR="00C63F8F" w:rsidRPr="00E27443">
        <w:t xml:space="preserve"> </w:t>
      </w:r>
      <w:r w:rsidRPr="00E27443">
        <w:t>movement,</w:t>
      </w:r>
      <w:r w:rsidR="00C63F8F" w:rsidRPr="00E27443">
        <w:t xml:space="preserve"> </w:t>
      </w:r>
      <w:r w:rsidRPr="00E27443">
        <w:t>and</w:t>
      </w:r>
      <w:r w:rsidR="00C63F8F" w:rsidRPr="00E27443">
        <w:t xml:space="preserve"> </w:t>
      </w:r>
      <w:r w:rsidRPr="00E27443">
        <w:t>that</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this</w:t>
      </w:r>
      <w:r w:rsidR="00C63F8F" w:rsidRPr="00E27443">
        <w:t xml:space="preserve"> </w:t>
      </w:r>
      <w:r w:rsidRPr="00E27443">
        <w:t>is</w:t>
      </w:r>
      <w:r w:rsidR="00C63F8F" w:rsidRPr="00E27443">
        <w:t xml:space="preserve"> </w:t>
      </w:r>
      <w:r w:rsidRPr="00E27443">
        <w:t>also</w:t>
      </w:r>
      <w:r w:rsidR="00C63F8F" w:rsidRPr="00E27443">
        <w:t xml:space="preserve"> </w:t>
      </w:r>
      <w:r w:rsidRPr="00E27443">
        <w:t>guaranteed</w:t>
      </w:r>
      <w:r w:rsidR="00C63F8F" w:rsidRPr="00E27443">
        <w:t xml:space="preserve"> </w:t>
      </w:r>
      <w:r w:rsidRPr="00E27443">
        <w:t>in</w:t>
      </w:r>
      <w:r w:rsidR="00C63F8F" w:rsidRPr="00E27443">
        <w:t xml:space="preserve"> </w:t>
      </w:r>
      <w:r w:rsidRPr="00E27443">
        <w:t>law,</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may</w:t>
      </w:r>
      <w:r w:rsidR="00C63F8F" w:rsidRPr="00E27443">
        <w:t xml:space="preserve"> </w:t>
      </w:r>
      <w:r w:rsidRPr="00E27443">
        <w:t>have</w:t>
      </w:r>
      <w:r w:rsidR="00C63F8F" w:rsidRPr="00E27443">
        <w:t xml:space="preserve"> </w:t>
      </w:r>
      <w:r w:rsidRPr="00E27443">
        <w:t>difficulties</w:t>
      </w:r>
      <w:r w:rsidR="00C63F8F" w:rsidRPr="00E27443">
        <w:t xml:space="preserve"> </w:t>
      </w:r>
      <w:r w:rsidRPr="00E27443">
        <w:t>in</w:t>
      </w:r>
      <w:r w:rsidR="00C63F8F" w:rsidRPr="00E27443">
        <w:t xml:space="preserve"> </w:t>
      </w:r>
      <w:r w:rsidRPr="00E27443">
        <w:t>purely</w:t>
      </w:r>
      <w:r w:rsidR="00C63F8F" w:rsidRPr="00E27443">
        <w:t xml:space="preserve"> </w:t>
      </w:r>
      <w:r w:rsidRPr="00E27443">
        <w:t>practical</w:t>
      </w:r>
      <w:r w:rsidR="00C63F8F" w:rsidRPr="00E27443">
        <w:t xml:space="preserve"> </w:t>
      </w:r>
      <w:r w:rsidRPr="00E27443">
        <w:t>terms</w:t>
      </w:r>
      <w:r w:rsidR="00C63F8F" w:rsidRPr="00E27443">
        <w:t xml:space="preserve"> </w:t>
      </w:r>
      <w:r w:rsidRPr="00E27443">
        <w:t>as</w:t>
      </w:r>
      <w:r w:rsidR="00C63F8F" w:rsidRPr="00E27443">
        <w:t xml:space="preserve"> </w:t>
      </w:r>
      <w:r w:rsidRPr="00E27443">
        <w:t>regards</w:t>
      </w:r>
      <w:r w:rsidR="00C63F8F" w:rsidRPr="00E27443">
        <w:t xml:space="preserve"> </w:t>
      </w:r>
      <w:r w:rsidRPr="00E27443">
        <w:t>moving</w:t>
      </w:r>
      <w:r w:rsidR="00C63F8F" w:rsidRPr="00E27443">
        <w:t xml:space="preserve"> </w:t>
      </w:r>
      <w:r w:rsidRPr="00E27443">
        <w:t>about</w:t>
      </w:r>
      <w:r w:rsidR="00C63F8F" w:rsidRPr="00E27443">
        <w:t xml:space="preserve"> </w:t>
      </w:r>
      <w:r w:rsidRPr="00E27443">
        <w:t>with</w:t>
      </w:r>
      <w:r w:rsidR="00C63F8F" w:rsidRPr="00E27443">
        <w:t xml:space="preserve"> </w:t>
      </w:r>
      <w:r w:rsidRPr="00E27443">
        <w:t>the</w:t>
      </w:r>
      <w:r w:rsidR="00C63F8F" w:rsidRPr="00E27443">
        <w:t xml:space="preserve"> </w:t>
      </w:r>
      <w:r w:rsidRPr="00E27443">
        <w:t>same</w:t>
      </w:r>
      <w:r w:rsidR="00C63F8F" w:rsidRPr="00E27443">
        <w:t xml:space="preserve"> </w:t>
      </w:r>
      <w:r w:rsidRPr="00E27443">
        <w:t>freedom</w:t>
      </w:r>
      <w:r w:rsidR="00C63F8F" w:rsidRPr="00E27443">
        <w:t xml:space="preserve"> </w:t>
      </w:r>
      <w:r w:rsidRPr="00E27443">
        <w:t>as</w:t>
      </w:r>
      <w:r w:rsidR="00C63F8F" w:rsidRPr="00E27443">
        <w:t xml:space="preserve"> </w:t>
      </w:r>
      <w:r w:rsidRPr="00E27443">
        <w:t>others.</w:t>
      </w:r>
      <w:r w:rsidR="00C63F8F" w:rsidRPr="00E27443">
        <w:t xml:space="preserve"> </w:t>
      </w:r>
      <w:r w:rsidRPr="00E27443">
        <w:t>This</w:t>
      </w:r>
      <w:r w:rsidR="00C63F8F" w:rsidRPr="00E27443">
        <w:t xml:space="preserve"> </w:t>
      </w:r>
      <w:r w:rsidRPr="00E27443">
        <w:t>relates</w:t>
      </w:r>
      <w:r w:rsidR="00C63F8F" w:rsidRPr="00E27443">
        <w:t xml:space="preserve"> </w:t>
      </w:r>
      <w:r w:rsidRPr="00E27443">
        <w:t>to</w:t>
      </w:r>
      <w:r w:rsidR="00C63F8F" w:rsidRPr="00E27443">
        <w:t xml:space="preserve"> </w:t>
      </w:r>
      <w:r w:rsidRPr="00E27443">
        <w:t>shortcomings</w:t>
      </w:r>
      <w:r w:rsidR="00C63F8F" w:rsidRPr="00E27443">
        <w:t xml:space="preserve"> </w:t>
      </w:r>
      <w:r w:rsidRPr="00E27443">
        <w:t>in</w:t>
      </w:r>
      <w:r w:rsidR="00C63F8F" w:rsidRPr="00E27443">
        <w:t xml:space="preserve"> </w:t>
      </w:r>
      <w:r w:rsidRPr="00E27443">
        <w:t>the</w:t>
      </w:r>
      <w:r w:rsidR="00C63F8F" w:rsidRPr="00E27443">
        <w:t xml:space="preserve"> </w:t>
      </w:r>
      <w:r w:rsidRPr="00E27443">
        <w:t>physical</w:t>
      </w:r>
      <w:r w:rsidR="00C63F8F" w:rsidRPr="00E27443">
        <w:t xml:space="preserve"> </w:t>
      </w:r>
      <w:r w:rsidRPr="00E27443">
        <w:t>environment</w:t>
      </w:r>
      <w:r w:rsidR="00C63F8F" w:rsidRPr="00E27443">
        <w:t xml:space="preserve"> </w:t>
      </w:r>
      <w:r w:rsidRPr="00E27443">
        <w:t>and</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means</w:t>
      </w:r>
      <w:r w:rsidR="00C63F8F" w:rsidRPr="00E27443">
        <w:t xml:space="preserve"> </w:t>
      </w:r>
      <w:r w:rsidRPr="00E27443">
        <w:t>of</w:t>
      </w:r>
      <w:r w:rsidR="00C63F8F" w:rsidRPr="00E27443">
        <w:t xml:space="preserve"> </w:t>
      </w:r>
      <w:r w:rsidRPr="00E27443">
        <w:t>transport</w:t>
      </w:r>
      <w:r w:rsidR="00C63F8F" w:rsidRPr="00E27443">
        <w:t xml:space="preserve"> </w:t>
      </w:r>
      <w:r w:rsidRPr="00E27443">
        <w:t>are</w:t>
      </w:r>
      <w:r w:rsidR="00C63F8F" w:rsidRPr="00E27443">
        <w:t xml:space="preserve"> </w:t>
      </w:r>
      <w:r w:rsidRPr="00E27443">
        <w:t>not</w:t>
      </w:r>
      <w:r w:rsidR="00C63F8F" w:rsidRPr="00E27443">
        <w:t xml:space="preserve"> </w:t>
      </w:r>
      <w:r w:rsidRPr="00E27443">
        <w:t>yet</w:t>
      </w:r>
      <w:r w:rsidR="00C63F8F" w:rsidRPr="00E27443">
        <w:t xml:space="preserve"> </w:t>
      </w:r>
      <w:r w:rsidRPr="00E27443">
        <w:t>fully</w:t>
      </w:r>
      <w:r w:rsidR="00C63F8F" w:rsidRPr="00E27443">
        <w:t xml:space="preserve"> </w:t>
      </w:r>
      <w:r w:rsidRPr="00E27443">
        <w:t>accessible.</w:t>
      </w:r>
      <w:r w:rsidR="00C63F8F" w:rsidRPr="00E27443">
        <w:t xml:space="preserve"> </w:t>
      </w:r>
      <w:r w:rsidRPr="00E27443">
        <w:t>It</w:t>
      </w:r>
      <w:r w:rsidR="00C63F8F" w:rsidRPr="00E27443">
        <w:t xml:space="preserve"> </w:t>
      </w:r>
      <w:r w:rsidRPr="00E27443">
        <w:t>is</w:t>
      </w:r>
      <w:r w:rsidR="00C63F8F" w:rsidRPr="00E27443">
        <w:t xml:space="preserve"> </w:t>
      </w:r>
      <w:r w:rsidRPr="00E27443">
        <w:t>also</w:t>
      </w:r>
      <w:r w:rsidR="00C63F8F" w:rsidRPr="00E27443">
        <w:t xml:space="preserve"> </w:t>
      </w:r>
      <w:r w:rsidRPr="00E27443">
        <w:t>necessary</w:t>
      </w:r>
      <w:r w:rsidR="00C63F8F" w:rsidRPr="00E27443">
        <w:t xml:space="preserve"> </w:t>
      </w:r>
      <w:r w:rsidRPr="00E27443">
        <w:t>for</w:t>
      </w:r>
      <w:r w:rsidR="00C63F8F" w:rsidRPr="00E27443">
        <w:t xml:space="preserve"> </w:t>
      </w:r>
      <w:r w:rsidRPr="00E27443">
        <w:t>those</w:t>
      </w:r>
      <w:r w:rsidR="00C63F8F" w:rsidRPr="00E27443">
        <w:t xml:space="preserve"> </w:t>
      </w:r>
      <w:r w:rsidRPr="00E27443">
        <w:t>people</w:t>
      </w:r>
      <w:r w:rsidR="00C63F8F" w:rsidRPr="00E27443">
        <w:t xml:space="preserve"> </w:t>
      </w:r>
      <w:r w:rsidRPr="00E27443">
        <w:t>who</w:t>
      </w:r>
      <w:r w:rsidR="00C63F8F" w:rsidRPr="00E27443">
        <w:t xml:space="preserve"> </w:t>
      </w:r>
      <w:r w:rsidRPr="00E27443">
        <w:t>require</w:t>
      </w:r>
      <w:r w:rsidR="00C63F8F" w:rsidRPr="00E27443">
        <w:t xml:space="preserve"> </w:t>
      </w:r>
      <w:r w:rsidRPr="00E27443">
        <w:t>support</w:t>
      </w:r>
      <w:r w:rsidR="00C63F8F" w:rsidRPr="00E27443">
        <w:t xml:space="preserve"> </w:t>
      </w:r>
      <w:r w:rsidRPr="00E27443">
        <w:t>to</w:t>
      </w:r>
      <w:r w:rsidR="00C63F8F" w:rsidRPr="00E27443">
        <w:t xml:space="preserve"> </w:t>
      </w:r>
      <w:r w:rsidRPr="00E27443">
        <w:t>actually</w:t>
      </w:r>
      <w:r w:rsidR="00C63F8F" w:rsidRPr="00E27443">
        <w:t xml:space="preserve"> </w:t>
      </w:r>
      <w:r w:rsidRPr="00E27443">
        <w:t>receive</w:t>
      </w:r>
      <w:r w:rsidR="00C63F8F" w:rsidRPr="00E27443">
        <w:t xml:space="preserve"> </w:t>
      </w:r>
      <w:r w:rsidRPr="00E27443">
        <w:t>such</w:t>
      </w:r>
      <w:r w:rsidR="00C63F8F" w:rsidRPr="00E27443">
        <w:t xml:space="preserve"> </w:t>
      </w:r>
      <w:r w:rsidRPr="00E27443">
        <w:t>support,</w:t>
      </w:r>
      <w:r w:rsidR="00C63F8F" w:rsidRPr="00E27443">
        <w:t xml:space="preserve"> </w:t>
      </w:r>
      <w:r w:rsidRPr="00E27443">
        <w:t>for</w:t>
      </w:r>
      <w:r w:rsidR="00C63F8F" w:rsidRPr="00E27443">
        <w:t xml:space="preserve"> </w:t>
      </w:r>
      <w:r w:rsidRPr="00E27443">
        <w:t>example</w:t>
      </w:r>
      <w:r w:rsidR="00C63F8F" w:rsidRPr="00E27443">
        <w:t xml:space="preserve"> </w:t>
      </w:r>
      <w:r w:rsidRPr="00E27443">
        <w:t>when</w:t>
      </w:r>
      <w:r w:rsidR="00C63F8F" w:rsidRPr="00E27443">
        <w:t xml:space="preserve"> </w:t>
      </w:r>
      <w:r w:rsidRPr="00E27443">
        <w:t>moving</w:t>
      </w:r>
      <w:r w:rsidR="00C63F8F" w:rsidRPr="00E27443">
        <w:t xml:space="preserve"> </w:t>
      </w:r>
      <w:r w:rsidRPr="00E27443">
        <w:t>to</w:t>
      </w:r>
      <w:r w:rsidR="00C63F8F" w:rsidRPr="00E27443">
        <w:t xml:space="preserve"> </w:t>
      </w:r>
      <w:r w:rsidRPr="00E27443">
        <w:t>a</w:t>
      </w:r>
      <w:r w:rsidR="00C63F8F" w:rsidRPr="00E27443">
        <w:t xml:space="preserve"> </w:t>
      </w:r>
      <w:r w:rsidRPr="00E27443">
        <w:t>new</w:t>
      </w:r>
      <w:r w:rsidR="00C63F8F" w:rsidRPr="00E27443">
        <w:t xml:space="preserve"> </w:t>
      </w:r>
      <w:r w:rsidRPr="00E27443">
        <w:t>place</w:t>
      </w:r>
      <w:r w:rsidR="00C63F8F" w:rsidRPr="00E27443">
        <w:t xml:space="preserve"> </w:t>
      </w:r>
      <w:r w:rsidRPr="00E27443">
        <w:t>of</w:t>
      </w:r>
      <w:r w:rsidR="00C63F8F" w:rsidRPr="00E27443">
        <w:t xml:space="preserve"> </w:t>
      </w:r>
      <w:r w:rsidRPr="00E27443">
        <w:t>residence.</w:t>
      </w:r>
    </w:p>
    <w:p w:rsidR="00321ADA" w:rsidRPr="00E27443" w:rsidRDefault="00321ADA" w:rsidP="00BF6429">
      <w:pPr>
        <w:pStyle w:val="SingleTxtG"/>
        <w:numPr>
          <w:ilvl w:val="0"/>
          <w:numId w:val="20"/>
        </w:numPr>
        <w:tabs>
          <w:tab w:val="left" w:pos="1843"/>
        </w:tabs>
        <w:ind w:left="1134" w:firstLine="0"/>
      </w:pPr>
      <w:r w:rsidRPr="00E27443">
        <w:t>In</w:t>
      </w:r>
      <w:r w:rsidR="00C63F8F" w:rsidRPr="00E27443">
        <w:t xml:space="preserve"> </w:t>
      </w:r>
      <w:r w:rsidRPr="00E27443">
        <w:t>the</w:t>
      </w:r>
      <w:r w:rsidR="00C63F8F" w:rsidRPr="00E27443">
        <w:t xml:space="preserve"> </w:t>
      </w:r>
      <w:r w:rsidRPr="00E27443">
        <w:t>Act</w:t>
      </w:r>
      <w:r w:rsidR="00C63F8F" w:rsidRPr="00E27443">
        <w:t xml:space="preserve"> </w:t>
      </w:r>
      <w:r w:rsidRPr="00E27443">
        <w:t>concerning</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Certain</w:t>
      </w:r>
      <w:r w:rsidR="00C63F8F" w:rsidRPr="00E27443">
        <w:t xml:space="preserve"> </w:t>
      </w:r>
      <w:r w:rsidRPr="00E27443">
        <w:t>Functional</w:t>
      </w:r>
      <w:r w:rsidR="00C63F8F" w:rsidRPr="00E27443">
        <w:t xml:space="preserve"> </w:t>
      </w:r>
      <w:r w:rsidRPr="00E27443">
        <w:t>Impairments,</w:t>
      </w:r>
      <w:r w:rsidR="00C63F8F" w:rsidRPr="00E27443">
        <w:t xml:space="preserve"> </w:t>
      </w:r>
      <w:r w:rsidRPr="00E27443">
        <w:t>support</w:t>
      </w:r>
      <w:r w:rsidR="00C63F8F" w:rsidRPr="00E27443">
        <w:t xml:space="preserve"> </w:t>
      </w:r>
      <w:r w:rsidRPr="00E27443">
        <w:t>is</w:t>
      </w:r>
      <w:r w:rsidR="00C63F8F" w:rsidRPr="00E27443">
        <w:t xml:space="preserve"> </w:t>
      </w:r>
      <w:r w:rsidRPr="00E27443">
        <w:t>regulated</w:t>
      </w:r>
      <w:r w:rsidR="00C63F8F" w:rsidRPr="00E27443">
        <w:t xml:space="preserve"> </w:t>
      </w:r>
      <w:r w:rsidRPr="00E27443">
        <w:t>in</w:t>
      </w:r>
      <w:r w:rsidR="00C63F8F" w:rsidRPr="00E27443">
        <w:t xml:space="preserve"> </w:t>
      </w:r>
      <w:r w:rsidRPr="00E27443">
        <w:t>the</w:t>
      </w:r>
      <w:r w:rsidR="00C63F8F" w:rsidRPr="00E27443">
        <w:t xml:space="preserve"> </w:t>
      </w:r>
      <w:r w:rsidRPr="00E27443">
        <w:t>form</w:t>
      </w:r>
      <w:r w:rsidR="00C63F8F" w:rsidRPr="00E27443">
        <w:t xml:space="preserve"> </w:t>
      </w:r>
      <w:r w:rsidRPr="00E27443">
        <w:t>of</w:t>
      </w:r>
      <w:r w:rsidR="00C63F8F" w:rsidRPr="00E27443">
        <w:t xml:space="preserve"> </w:t>
      </w:r>
      <w:r w:rsidRPr="00E27443">
        <w:t>e.g.</w:t>
      </w:r>
      <w:r w:rsidR="00C63F8F" w:rsidRPr="00E27443">
        <w:t xml:space="preserve"> </w:t>
      </w:r>
      <w:r w:rsidRPr="00E27443">
        <w:t>personal</w:t>
      </w:r>
      <w:r w:rsidR="00C63F8F" w:rsidRPr="00E27443">
        <w:t xml:space="preserve"> </w:t>
      </w:r>
      <w:r w:rsidRPr="00E27443">
        <w:t>assistance</w:t>
      </w:r>
      <w:r w:rsidR="00C63F8F" w:rsidRPr="00E27443">
        <w:t xml:space="preserve"> </w:t>
      </w:r>
      <w:r w:rsidRPr="00E27443">
        <w:t>and</w:t>
      </w:r>
      <w:r w:rsidR="00C63F8F" w:rsidRPr="00E27443">
        <w:t xml:space="preserve"> </w:t>
      </w:r>
      <w:r w:rsidRPr="00E27443">
        <w:t>group</w:t>
      </w:r>
      <w:r w:rsidR="00C63F8F" w:rsidRPr="00E27443">
        <w:t xml:space="preserve"> </w:t>
      </w:r>
      <w:r w:rsidRPr="00E27443">
        <w:t>accommodation.</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law,</w:t>
      </w:r>
      <w:r w:rsidR="00C63F8F" w:rsidRPr="00E27443">
        <w:t xml:space="preserve"> </w:t>
      </w:r>
      <w:r w:rsidRPr="00E27443">
        <w:t>a</w:t>
      </w:r>
      <w:r w:rsidR="00C63F8F" w:rsidRPr="00E27443">
        <w:t xml:space="preserve"> </w:t>
      </w:r>
      <w:r w:rsidRPr="00E27443">
        <w:t>person</w:t>
      </w:r>
      <w:r w:rsidR="00C63F8F" w:rsidRPr="00E27443">
        <w:t xml:space="preserve"> </w:t>
      </w:r>
      <w:r w:rsidRPr="00E27443">
        <w:t>who</w:t>
      </w:r>
      <w:r w:rsidR="00C63F8F" w:rsidRPr="00E27443">
        <w:t xml:space="preserve"> </w:t>
      </w:r>
      <w:r w:rsidRPr="00E27443">
        <w:t>wishes</w:t>
      </w:r>
      <w:r w:rsidR="00C63F8F" w:rsidRPr="00E27443">
        <w:t xml:space="preserve"> </w:t>
      </w:r>
      <w:r w:rsidRPr="00E27443">
        <w:t>to</w:t>
      </w:r>
      <w:r w:rsidR="00C63F8F" w:rsidRPr="00E27443">
        <w:t xml:space="preserve"> </w:t>
      </w:r>
      <w:r w:rsidRPr="00E27443">
        <w:t>move</w:t>
      </w:r>
      <w:r w:rsidR="00C63F8F" w:rsidRPr="00E27443">
        <w:t xml:space="preserve"> </w:t>
      </w:r>
      <w:r w:rsidRPr="00E27443">
        <w:t>has</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seek</w:t>
      </w:r>
      <w:r w:rsidR="00C63F8F" w:rsidRPr="00E27443">
        <w:t xml:space="preserve"> </w:t>
      </w:r>
      <w:r w:rsidRPr="00E27443">
        <w:t>advance</w:t>
      </w:r>
      <w:r w:rsidR="00C63F8F" w:rsidRPr="00E27443">
        <w:t xml:space="preserve"> </w:t>
      </w:r>
      <w:r w:rsidRPr="00E27443">
        <w:t>notification</w:t>
      </w:r>
      <w:r w:rsidR="00C63F8F" w:rsidRPr="00E27443">
        <w:t xml:space="preserve"> </w:t>
      </w:r>
      <w:r w:rsidRPr="00E27443">
        <w:t>regarding</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right</w:t>
      </w:r>
      <w:r w:rsidR="00C63F8F" w:rsidRPr="00E27443">
        <w:t xml:space="preserve"> </w:t>
      </w:r>
      <w:r w:rsidRPr="00E27443">
        <w:t>to</w:t>
      </w:r>
      <w:r w:rsidR="00C63F8F" w:rsidRPr="00E27443">
        <w:t xml:space="preserve"> </w:t>
      </w:r>
      <w:r w:rsidRPr="00E27443">
        <w:t>initiatives</w:t>
      </w:r>
      <w:r w:rsidR="00C63F8F" w:rsidRPr="00E27443">
        <w:t xml:space="preserve"> </w:t>
      </w:r>
      <w:r w:rsidRPr="00E27443">
        <w:t>in</w:t>
      </w:r>
      <w:r w:rsidR="00C63F8F" w:rsidRPr="00E27443">
        <w:t xml:space="preserve"> </w:t>
      </w:r>
      <w:r w:rsidRPr="00E27443">
        <w:t>the</w:t>
      </w:r>
      <w:r w:rsidR="00C63F8F" w:rsidRPr="00E27443">
        <w:t xml:space="preserve"> </w:t>
      </w:r>
      <w:r w:rsidRPr="00E27443">
        <w:t>new</w:t>
      </w:r>
      <w:r w:rsidR="00C63F8F" w:rsidRPr="00E27443">
        <w:t xml:space="preserve"> </w:t>
      </w:r>
      <w:r w:rsidRPr="00E27443">
        <w:t>municipality.</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regulates</w:t>
      </w:r>
      <w:r w:rsidR="00C63F8F" w:rsidRPr="00E27443">
        <w:t xml:space="preserve"> </w:t>
      </w:r>
      <w:r w:rsidRPr="00E27443">
        <w:t>support</w:t>
      </w:r>
      <w:r w:rsidR="00C63F8F" w:rsidRPr="00E27443">
        <w:t xml:space="preserve"> </w:t>
      </w:r>
      <w:r w:rsidRPr="00E27443">
        <w:t>such</w:t>
      </w:r>
      <w:r w:rsidR="00C63F8F" w:rsidRPr="00E27443">
        <w:t xml:space="preserve"> </w:t>
      </w:r>
      <w:r w:rsidRPr="00E27443">
        <w:t>as</w:t>
      </w:r>
      <w:r w:rsidR="00C63F8F" w:rsidRPr="00E27443">
        <w:t xml:space="preserve"> </w:t>
      </w:r>
      <w:r w:rsidRPr="00E27443">
        <w:t>special</w:t>
      </w:r>
      <w:r w:rsidR="00C63F8F" w:rsidRPr="00E27443">
        <w:t xml:space="preserve"> </w:t>
      </w:r>
      <w:r w:rsidRPr="00E27443">
        <w:t>accommodation</w:t>
      </w:r>
      <w:r w:rsidR="00C63F8F" w:rsidRPr="00E27443">
        <w:t xml:space="preserve"> </w:t>
      </w:r>
      <w:r w:rsidRPr="00E27443">
        <w:t>and</w:t>
      </w:r>
      <w:r w:rsidR="00C63F8F" w:rsidRPr="00E27443">
        <w:t xml:space="preserve"> </w:t>
      </w:r>
      <w:r w:rsidRPr="00E27443">
        <w:t>home</w:t>
      </w:r>
      <w:r w:rsidR="00C63F8F" w:rsidRPr="00E27443">
        <w:t xml:space="preserve"> </w:t>
      </w:r>
      <w:r w:rsidRPr="00E27443">
        <w:t>help.</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is</w:t>
      </w:r>
      <w:r w:rsidR="00C63F8F" w:rsidRPr="00E27443">
        <w:t xml:space="preserve"> </w:t>
      </w:r>
      <w:r w:rsidRPr="00E27443">
        <w:t>entitled</w:t>
      </w:r>
      <w:r w:rsidR="00C63F8F" w:rsidRPr="00E27443">
        <w:t xml:space="preserve"> </w:t>
      </w:r>
      <w:r w:rsidRPr="00E27443">
        <w:t>to</w:t>
      </w:r>
      <w:r w:rsidR="00C63F8F" w:rsidRPr="00E27443">
        <w:t xml:space="preserve"> </w:t>
      </w:r>
      <w:r w:rsidRPr="00E27443">
        <w:t>support</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law</w:t>
      </w:r>
      <w:r w:rsidR="00C63F8F" w:rsidRPr="00E27443">
        <w:t xml:space="preserve"> </w:t>
      </w:r>
      <w:r w:rsidRPr="00E27443">
        <w:t>in</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in</w:t>
      </w:r>
      <w:r w:rsidR="00C63F8F" w:rsidRPr="00E27443">
        <w:t xml:space="preserve"> </w:t>
      </w:r>
      <w:r w:rsidRPr="00E27443">
        <w:t>which</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is</w:t>
      </w:r>
      <w:r w:rsidR="00C63F8F" w:rsidRPr="00E27443">
        <w:t xml:space="preserve"> </w:t>
      </w:r>
      <w:r w:rsidRPr="00E27443">
        <w:t>residing.</w:t>
      </w:r>
    </w:p>
    <w:p w:rsidR="00321ADA" w:rsidRPr="00E27443" w:rsidRDefault="003C55F6" w:rsidP="003C55F6">
      <w:pPr>
        <w:pStyle w:val="H1G"/>
      </w:pPr>
      <w:r w:rsidRPr="00E27443">
        <w:tab/>
      </w:r>
      <w:r w:rsidRPr="00E27443">
        <w:tab/>
      </w:r>
      <w:bookmarkStart w:id="19" w:name="_Toc290623303"/>
      <w:r w:rsidR="00321ADA" w:rsidRPr="00E27443">
        <w:t>Article</w:t>
      </w:r>
      <w:r w:rsidR="00C63F8F" w:rsidRPr="00E27443">
        <w:t xml:space="preserve"> </w:t>
      </w:r>
      <w:r w:rsidR="00321ADA" w:rsidRPr="00E27443">
        <w:t>19</w:t>
      </w:r>
      <w:r w:rsidR="00BF6429">
        <w:t>:</w:t>
      </w:r>
      <w:r w:rsidR="00C63F8F" w:rsidRPr="00E27443">
        <w:t xml:space="preserve"> </w:t>
      </w:r>
      <w:r w:rsidR="00321ADA" w:rsidRPr="00E27443">
        <w:t>Living</w:t>
      </w:r>
      <w:r w:rsidR="00C63F8F" w:rsidRPr="00E27443">
        <w:t xml:space="preserve"> </w:t>
      </w:r>
      <w:r w:rsidR="00321ADA" w:rsidRPr="00E27443">
        <w:t>independently</w:t>
      </w:r>
      <w:r w:rsidR="00C63F8F" w:rsidRPr="00E27443">
        <w:t xml:space="preserve"> </w:t>
      </w:r>
      <w:r w:rsidR="00321ADA" w:rsidRPr="00E27443">
        <w:t>and</w:t>
      </w:r>
      <w:r w:rsidR="00C63F8F" w:rsidRPr="00E27443">
        <w:t xml:space="preserve"> </w:t>
      </w:r>
      <w:r w:rsidR="00321ADA" w:rsidRPr="00E27443">
        <w:t>being</w:t>
      </w:r>
      <w:r w:rsidR="00C63F8F" w:rsidRPr="00E27443">
        <w:t xml:space="preserve"> </w:t>
      </w:r>
      <w:r w:rsidR="00321ADA" w:rsidRPr="00E27443">
        <w:t>included</w:t>
      </w:r>
      <w:r w:rsidR="00C63F8F" w:rsidRPr="00E27443">
        <w:t xml:space="preserve"> </w:t>
      </w:r>
      <w:r w:rsidR="00321ADA" w:rsidRPr="00E27443">
        <w:t>in</w:t>
      </w:r>
      <w:r w:rsidR="00C63F8F" w:rsidRPr="00E27443">
        <w:t xml:space="preserve"> </w:t>
      </w:r>
      <w:r w:rsidR="00321ADA" w:rsidRPr="00E27443">
        <w:t>the</w:t>
      </w:r>
      <w:r w:rsidR="00C63F8F" w:rsidRPr="00E27443">
        <w:t xml:space="preserve"> </w:t>
      </w:r>
      <w:r w:rsidR="00321ADA" w:rsidRPr="00E27443">
        <w:t>community</w:t>
      </w:r>
      <w:bookmarkEnd w:id="19"/>
    </w:p>
    <w:p w:rsidR="00321ADA" w:rsidRPr="00E27443" w:rsidRDefault="00321ADA" w:rsidP="00BF6429">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380792" w:rsidRPr="00E27443">
        <w:rPr>
          <w:rStyle w:val="FootnoteReference"/>
        </w:rPr>
        <w:footnoteReference w:id="81"/>
      </w:r>
      <w:r w:rsidR="00C63F8F" w:rsidRPr="00E27443">
        <w:t xml:space="preserve"> </w:t>
      </w:r>
      <w:r w:rsidRPr="00E27443">
        <w:t>society</w:t>
      </w:r>
      <w:r w:rsidR="00C63F8F" w:rsidRPr="00E27443">
        <w:t>’</w:t>
      </w:r>
      <w:r w:rsidRPr="00E27443">
        <w:t>s</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for</w:t>
      </w:r>
      <w:r w:rsidR="00C63F8F" w:rsidRPr="00E27443">
        <w:t xml:space="preserve"> </w:t>
      </w:r>
      <w:r w:rsidRPr="00E27443">
        <w:t>which</w:t>
      </w:r>
      <w:r w:rsidR="00C63F8F" w:rsidRPr="00E27443">
        <w:t xml:space="preserve"> </w:t>
      </w:r>
      <w:r w:rsidRPr="00E27443">
        <w:t>the</w:t>
      </w:r>
      <w:r w:rsidR="00C63F8F" w:rsidRPr="00E27443">
        <w:t xml:space="preserve"> </w:t>
      </w:r>
      <w:r w:rsidRPr="00E27443">
        <w:t>muni</w:t>
      </w:r>
      <w:r w:rsidRPr="00E27443">
        <w:softHyphen/>
        <w:t>cipalities</w:t>
      </w:r>
      <w:r w:rsidR="00C63F8F" w:rsidRPr="00E27443">
        <w:t xml:space="preserve"> </w:t>
      </w:r>
      <w:r w:rsidRPr="00E27443">
        <w:t>are</w:t>
      </w:r>
      <w:r w:rsidR="00C63F8F" w:rsidRPr="00E27443">
        <w:t xml:space="preserve"> </w:t>
      </w:r>
      <w:r w:rsidRPr="00E27443">
        <w:t>responsible,</w:t>
      </w:r>
      <w:r w:rsidR="00C63F8F" w:rsidRPr="00E27443">
        <w:t xml:space="preserve"> </w:t>
      </w:r>
      <w:r w:rsidRPr="00E27443">
        <w:t>must</w:t>
      </w:r>
      <w:r w:rsidR="00C63F8F" w:rsidRPr="00E27443">
        <w:t xml:space="preserve"> </w:t>
      </w:r>
      <w:r w:rsidRPr="00E27443">
        <w:t>promote</w:t>
      </w:r>
      <w:r w:rsidR="00C63F8F" w:rsidRPr="00E27443">
        <w:t xml:space="preserve"> </w:t>
      </w:r>
      <w:r w:rsidRPr="00E27443">
        <w:t>people</w:t>
      </w:r>
      <w:r w:rsidR="00C63F8F" w:rsidRPr="00E27443">
        <w:t>’</w:t>
      </w:r>
      <w:r w:rsidRPr="00E27443">
        <w:t>s</w:t>
      </w:r>
      <w:r w:rsidR="00C63F8F" w:rsidRPr="00E27443">
        <w:t xml:space="preserve"> </w:t>
      </w:r>
      <w:r w:rsidRPr="00E27443">
        <w:t>economic</w:t>
      </w:r>
      <w:r w:rsidR="00C63F8F" w:rsidRPr="00E27443">
        <w:t xml:space="preserve"> </w:t>
      </w:r>
      <w:r w:rsidRPr="00E27443">
        <w:t>and</w:t>
      </w:r>
      <w:r w:rsidR="00C63F8F" w:rsidRPr="00E27443">
        <w:t xml:space="preserve"> </w:t>
      </w:r>
      <w:r w:rsidRPr="00E27443">
        <w:t>social</w:t>
      </w:r>
      <w:r w:rsidR="00C63F8F" w:rsidRPr="00E27443">
        <w:t xml:space="preserve"> </w:t>
      </w:r>
      <w:r w:rsidRPr="00E27443">
        <w:t>security,</w:t>
      </w:r>
      <w:r w:rsidR="00C63F8F" w:rsidRPr="00E27443">
        <w:t xml:space="preserve"> </w:t>
      </w:r>
      <w:r w:rsidRPr="00E27443">
        <w:t>equality</w:t>
      </w:r>
      <w:r w:rsidR="00C63F8F" w:rsidRPr="00E27443">
        <w:t xml:space="preserve"> </w:t>
      </w:r>
      <w:r w:rsidRPr="00E27443">
        <w:t>of</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active</w:t>
      </w:r>
      <w:r w:rsidR="00C63F8F" w:rsidRPr="00E27443">
        <w:t xml:space="preserve"> </w:t>
      </w:r>
      <w:r w:rsidRPr="00E27443">
        <w:t>participation</w:t>
      </w:r>
      <w:r w:rsidR="00C63F8F" w:rsidRPr="00E27443">
        <w:t xml:space="preserve"> </w:t>
      </w:r>
      <w:r w:rsidRPr="00E27443">
        <w:t>in</w:t>
      </w:r>
      <w:r w:rsidR="00C63F8F" w:rsidRPr="00E27443">
        <w:t xml:space="preserve"> </w:t>
      </w:r>
      <w:r w:rsidRPr="00E27443">
        <w:t>social</w:t>
      </w:r>
      <w:r w:rsidR="00C63F8F" w:rsidRPr="00E27443">
        <w:t xml:space="preserve"> </w:t>
      </w:r>
      <w:r w:rsidRPr="00E27443">
        <w:t>life</w:t>
      </w:r>
      <w:r w:rsidR="00C63F8F" w:rsidRPr="00E27443">
        <w:t xml:space="preserve"> </w:t>
      </w:r>
      <w:r w:rsidRPr="00E27443">
        <w:t>on</w:t>
      </w:r>
      <w:r w:rsidR="00C63F8F" w:rsidRPr="00E27443">
        <w:t xml:space="preserve"> </w:t>
      </w:r>
      <w:r w:rsidRPr="00E27443">
        <w:t>the</w:t>
      </w:r>
      <w:r w:rsidR="00C63F8F" w:rsidRPr="00E27443">
        <w:t xml:space="preserve"> </w:t>
      </w:r>
      <w:r w:rsidRPr="00E27443">
        <w:t>grounds</w:t>
      </w:r>
      <w:r w:rsidR="00C63F8F" w:rsidRPr="00E27443">
        <w:t xml:space="preserve"> </w:t>
      </w:r>
      <w:r w:rsidRPr="00E27443">
        <w:t>of</w:t>
      </w:r>
      <w:r w:rsidR="00C63F8F" w:rsidRPr="00E27443">
        <w:t xml:space="preserve"> </w:t>
      </w:r>
      <w:r w:rsidRPr="00E27443">
        <w:t>democracy</w:t>
      </w:r>
      <w:r w:rsidR="00C63F8F" w:rsidRPr="00E27443">
        <w:t xml:space="preserve"> </w:t>
      </w:r>
      <w:r w:rsidRPr="00E27443">
        <w:t>and</w:t>
      </w:r>
      <w:r w:rsidR="00C63F8F" w:rsidRPr="00E27443">
        <w:t xml:space="preserve"> </w:t>
      </w:r>
      <w:r w:rsidRPr="00E27443">
        <w:t>solidarity.</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must</w:t>
      </w:r>
      <w:r w:rsidR="00C63F8F" w:rsidRPr="00E27443">
        <w:t xml:space="preserve"> </w:t>
      </w:r>
      <w:r w:rsidRPr="00E27443">
        <w:t>be</w:t>
      </w:r>
      <w:r w:rsidR="00C63F8F" w:rsidRPr="00E27443">
        <w:t xml:space="preserve"> </w:t>
      </w:r>
      <w:r w:rsidRPr="00E27443">
        <w:t>based</w:t>
      </w:r>
      <w:r w:rsidR="00C63F8F" w:rsidRPr="00E27443">
        <w:t xml:space="preserve"> </w:t>
      </w:r>
      <w:r w:rsidRPr="00E27443">
        <w:t>on</w:t>
      </w:r>
      <w:r w:rsidR="00C63F8F" w:rsidRPr="00E27443">
        <w:t xml:space="preserve"> </w:t>
      </w:r>
      <w:r w:rsidRPr="00E27443">
        <w:t>respect</w:t>
      </w:r>
      <w:r w:rsidR="00C63F8F" w:rsidRPr="00E27443">
        <w:t xml:space="preserve"> </w:t>
      </w:r>
      <w:r w:rsidRPr="00E27443">
        <w:t>for</w:t>
      </w:r>
      <w:r w:rsidR="00C63F8F" w:rsidRPr="00E27443">
        <w:t xml:space="preserve"> </w:t>
      </w:r>
      <w:r w:rsidRPr="00E27443">
        <w:t>people</w:t>
      </w:r>
      <w:r w:rsidR="00C63F8F" w:rsidRPr="00E27443">
        <w:t>’</w:t>
      </w:r>
      <w:r w:rsidRPr="00E27443">
        <w:t>s</w:t>
      </w:r>
      <w:r w:rsidR="00C63F8F" w:rsidRPr="00E27443">
        <w:t xml:space="preserve"> </w:t>
      </w:r>
      <w:r w:rsidRPr="00E27443">
        <w:t>right</w:t>
      </w:r>
      <w:r w:rsidR="00C63F8F" w:rsidRPr="00E27443">
        <w:t xml:space="preserve"> </w:t>
      </w:r>
      <w:r w:rsidRPr="00E27443">
        <w:t>of</w:t>
      </w:r>
      <w:r w:rsidR="00C63F8F" w:rsidRPr="00E27443">
        <w:t xml:space="preserve"> </w:t>
      </w:r>
      <w:r w:rsidRPr="00E27443">
        <w:t>self-determination</w:t>
      </w:r>
      <w:r w:rsidR="00C63F8F" w:rsidRPr="00E27443">
        <w:t xml:space="preserve"> </w:t>
      </w:r>
      <w:r w:rsidRPr="00E27443">
        <w:t>and</w:t>
      </w:r>
      <w:r w:rsidR="00C63F8F" w:rsidRPr="00E27443">
        <w:t xml:space="preserve"> </w:t>
      </w:r>
      <w:r w:rsidRPr="00E27443">
        <w:t>integrity.</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is</w:t>
      </w:r>
      <w:r w:rsidR="00C63F8F" w:rsidRPr="00E27443">
        <w:t xml:space="preserve"> </w:t>
      </w:r>
      <w:r w:rsidRPr="00E27443">
        <w:t>a</w:t>
      </w:r>
      <w:r w:rsidR="00C63F8F" w:rsidRPr="00E27443">
        <w:t xml:space="preserve"> </w:t>
      </w:r>
      <w:r w:rsidRPr="00E27443">
        <w:t>rights</w:t>
      </w:r>
      <w:r w:rsidR="00C63F8F" w:rsidRPr="00E27443">
        <w:t xml:space="preserve"> </w:t>
      </w:r>
      <w:r w:rsidRPr="00E27443">
        <w:t>law</w:t>
      </w:r>
      <w:r w:rsidR="00C63F8F" w:rsidRPr="00E27443">
        <w:t xml:space="preserve"> </w:t>
      </w:r>
      <w:r w:rsidRPr="00E27443">
        <w:t>and</w:t>
      </w:r>
      <w:r w:rsidR="00C63F8F" w:rsidRPr="00E27443">
        <w:t xml:space="preserve"> </w:t>
      </w:r>
      <w:r w:rsidRPr="00E27443">
        <w:t>a</w:t>
      </w:r>
      <w:r w:rsidR="00C63F8F" w:rsidRPr="00E27443">
        <w:t xml:space="preserve"> </w:t>
      </w:r>
      <w:r w:rsidRPr="00E27443">
        <w:t>law</w:t>
      </w:r>
      <w:r w:rsidR="00C63F8F" w:rsidRPr="00E27443">
        <w:t xml:space="preserve"> </w:t>
      </w:r>
      <w:r w:rsidRPr="00E27443">
        <w:t>that</w:t>
      </w:r>
      <w:r w:rsidR="00C63F8F" w:rsidRPr="00E27443">
        <w:t xml:space="preserve"> </w:t>
      </w:r>
      <w:r w:rsidRPr="00E27443">
        <w:t>imposes</w:t>
      </w:r>
      <w:r w:rsidR="00C63F8F" w:rsidRPr="00E27443">
        <w:t xml:space="preserve"> </w:t>
      </w:r>
      <w:r w:rsidRPr="00E27443">
        <w:t>obligations.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Act,</w:t>
      </w:r>
      <w:r w:rsidR="00C63F8F" w:rsidRPr="00E27443">
        <w:t xml:space="preserve"> </w:t>
      </w:r>
      <w:r w:rsidRPr="00E27443">
        <w:t>a</w:t>
      </w:r>
      <w:r w:rsidR="00C63F8F" w:rsidRPr="00E27443">
        <w:t xml:space="preserve"> </w:t>
      </w:r>
      <w:r w:rsidRPr="00E27443">
        <w:t>person</w:t>
      </w:r>
      <w:r w:rsidR="00C63F8F" w:rsidRPr="00E27443">
        <w:t xml:space="preserve"> </w:t>
      </w:r>
      <w:r w:rsidRPr="00E27443">
        <w:t>who</w:t>
      </w:r>
      <w:r w:rsidR="00C63F8F" w:rsidRPr="00E27443">
        <w:t xml:space="preserve"> </w:t>
      </w:r>
      <w:r w:rsidRPr="00E27443">
        <w:t>cannot</w:t>
      </w:r>
      <w:r w:rsidR="00C63F8F" w:rsidRPr="00E27443">
        <w:t xml:space="preserve"> </w:t>
      </w:r>
      <w:r w:rsidRPr="00E27443">
        <w:t>satisfy</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own</w:t>
      </w:r>
      <w:r w:rsidR="00C63F8F" w:rsidRPr="00E27443">
        <w:t xml:space="preserve"> </w:t>
      </w:r>
      <w:r w:rsidRPr="00E27443">
        <w:t>needs</w:t>
      </w:r>
      <w:r w:rsidR="00C63F8F" w:rsidRPr="00E27443">
        <w:t xml:space="preserve"> </w:t>
      </w:r>
      <w:r w:rsidRPr="00E27443">
        <w:t>or</w:t>
      </w:r>
      <w:r w:rsidR="00C63F8F" w:rsidRPr="00E27443">
        <w:t xml:space="preserve"> </w:t>
      </w:r>
      <w:r w:rsidRPr="00E27443">
        <w:t>have</w:t>
      </w:r>
      <w:r w:rsidR="00C63F8F" w:rsidRPr="00E27443">
        <w:t xml:space="preserve"> </w:t>
      </w:r>
      <w:r w:rsidRPr="00E27443">
        <w:t>them</w:t>
      </w:r>
      <w:r w:rsidR="00C63F8F" w:rsidRPr="00E27443">
        <w:t xml:space="preserve"> </w:t>
      </w:r>
      <w:r w:rsidRPr="00E27443">
        <w:t>satisfied</w:t>
      </w:r>
      <w:r w:rsidR="00C63F8F" w:rsidRPr="00E27443">
        <w:t xml:space="preserve"> </w:t>
      </w:r>
      <w:r w:rsidRPr="00E27443">
        <w:t>in</w:t>
      </w:r>
      <w:r w:rsidR="00C63F8F" w:rsidRPr="00E27443">
        <w:t xml:space="preserve"> </w:t>
      </w:r>
      <w:r w:rsidRPr="00E27443">
        <w:t>some</w:t>
      </w:r>
      <w:r w:rsidR="00C63F8F" w:rsidRPr="00E27443">
        <w:t xml:space="preserve"> </w:t>
      </w:r>
      <w:r w:rsidRPr="00E27443">
        <w:t>other</w:t>
      </w:r>
      <w:r w:rsidR="00C63F8F" w:rsidRPr="00E27443">
        <w:t xml:space="preserve"> </w:t>
      </w:r>
      <w:r w:rsidRPr="00E27443">
        <w:t>way</w:t>
      </w:r>
      <w:r w:rsidR="00C63F8F" w:rsidRPr="00E27443">
        <w:t xml:space="preserve"> </w:t>
      </w:r>
      <w:r w:rsidRPr="00E27443">
        <w:t>is</w:t>
      </w:r>
      <w:r w:rsidR="00C63F8F" w:rsidRPr="00E27443">
        <w:t xml:space="preserve"> </w:t>
      </w:r>
      <w:r w:rsidRPr="00E27443">
        <w:t>entitled</w:t>
      </w:r>
      <w:r w:rsidR="00C63F8F" w:rsidRPr="00E27443">
        <w:t xml:space="preserve"> </w:t>
      </w:r>
      <w:r w:rsidRPr="00E27443">
        <w:t>to</w:t>
      </w:r>
      <w:r w:rsidR="00C63F8F" w:rsidRPr="00E27443">
        <w:t xml:space="preserve"> </w:t>
      </w:r>
      <w:r w:rsidRPr="00E27443">
        <w:t>assistance</w:t>
      </w:r>
      <w:r w:rsidR="00C63F8F" w:rsidRPr="00E27443">
        <w:t xml:space="preserve"> </w:t>
      </w:r>
      <w:r w:rsidRPr="00E27443">
        <w:t>from</w:t>
      </w:r>
      <w:r w:rsidR="00C63F8F" w:rsidRPr="00E27443">
        <w:t xml:space="preserve"> </w:t>
      </w:r>
      <w:r w:rsidRPr="00E27443">
        <w:t>the</w:t>
      </w:r>
      <w:r w:rsidR="00C63F8F" w:rsidRPr="00E27443">
        <w:t xml:space="preserve"> </w:t>
      </w:r>
      <w:r w:rsidRPr="00E27443">
        <w:t>social</w:t>
      </w:r>
      <w:r w:rsidR="00C63F8F" w:rsidRPr="00E27443">
        <w:t xml:space="preserve"> </w:t>
      </w:r>
      <w:r w:rsidRPr="00E27443">
        <w:t>welfare</w:t>
      </w:r>
      <w:r w:rsidR="00C63F8F" w:rsidRPr="00E27443">
        <w:t xml:space="preserve"> </w:t>
      </w:r>
      <w:r w:rsidRPr="00E27443">
        <w:t>board</w:t>
      </w:r>
      <w:r w:rsidR="00C63F8F" w:rsidRPr="00E27443">
        <w:t xml:space="preserve"> </w:t>
      </w:r>
      <w:r w:rsidRPr="00E27443">
        <w:t>for</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maintenance</w:t>
      </w:r>
      <w:r w:rsidR="00380792" w:rsidRPr="00E27443">
        <w:rPr>
          <w:rStyle w:val="FootnoteReference"/>
        </w:rPr>
        <w:footnoteReference w:id="82"/>
      </w:r>
      <w:r w:rsidR="00C63F8F" w:rsidRPr="00E27443">
        <w:t xml:space="preserve"> </w:t>
      </w:r>
      <w:r w:rsidRPr="00E27443">
        <w:t>and</w:t>
      </w:r>
      <w:r w:rsidR="00C63F8F" w:rsidRPr="00E27443">
        <w:t xml:space="preserve"> </w:t>
      </w:r>
      <w:r w:rsidRPr="00E27443">
        <w:t>for</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way</w:t>
      </w:r>
      <w:r w:rsidR="00C63F8F" w:rsidRPr="00E27443">
        <w:t xml:space="preserve"> </w:t>
      </w:r>
      <w:r w:rsidRPr="00E27443">
        <w:t>of</w:t>
      </w:r>
      <w:r w:rsidR="00C63F8F" w:rsidRPr="00E27443">
        <w:t xml:space="preserve"> </w:t>
      </w:r>
      <w:r w:rsidRPr="00E27443">
        <w:t>life</w:t>
      </w:r>
      <w:r w:rsidR="00C63F8F" w:rsidRPr="00E27443">
        <w:t xml:space="preserve"> </w:t>
      </w:r>
      <w:r w:rsidRPr="00E27443">
        <w:t>otherwise.</w:t>
      </w:r>
      <w:r w:rsidR="00C63F8F" w:rsidRPr="00E27443">
        <w:t xml:space="preserve"> </w:t>
      </w:r>
      <w:r w:rsidRPr="00E27443">
        <w:t>Through</w:t>
      </w:r>
      <w:r w:rsidR="00C63F8F" w:rsidRPr="00E27443">
        <w:t xml:space="preserve"> </w:t>
      </w:r>
      <w:r w:rsidRPr="00E27443">
        <w:t>this</w:t>
      </w:r>
      <w:r w:rsidR="00C63F8F" w:rsidRPr="00E27443">
        <w:t xml:space="preserve"> </w:t>
      </w:r>
      <w:r w:rsidRPr="00E27443">
        <w:t>assistance,</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will</w:t>
      </w:r>
      <w:r w:rsidR="00C63F8F" w:rsidRPr="00E27443">
        <w:t xml:space="preserve"> </w:t>
      </w:r>
      <w:r w:rsidRPr="00E27443">
        <w:t>be</w:t>
      </w:r>
      <w:r w:rsidR="00C63F8F" w:rsidRPr="00E27443">
        <w:t xml:space="preserve"> </w:t>
      </w:r>
      <w:r w:rsidRPr="00E27443">
        <w:t>assured</w:t>
      </w:r>
      <w:r w:rsidR="00C63F8F" w:rsidRPr="00E27443">
        <w:t xml:space="preserve"> </w:t>
      </w:r>
      <w:r w:rsidRPr="00E27443">
        <w:t>a</w:t>
      </w:r>
      <w:r w:rsidR="00C63F8F" w:rsidRPr="00E27443">
        <w:t xml:space="preserve"> </w:t>
      </w:r>
      <w:r w:rsidRPr="00E27443">
        <w:t>reasonable</w:t>
      </w:r>
      <w:r w:rsidR="00C63F8F" w:rsidRPr="00E27443">
        <w:t xml:space="preserve"> </w:t>
      </w:r>
      <w:r w:rsidRPr="00E27443">
        <w:t>standard</w:t>
      </w:r>
      <w:r w:rsidR="00C63F8F" w:rsidRPr="00E27443">
        <w:t xml:space="preserve"> </w:t>
      </w:r>
      <w:r w:rsidRPr="00E27443">
        <w:t>of</w:t>
      </w:r>
      <w:r w:rsidR="00C63F8F" w:rsidRPr="00E27443">
        <w:t xml:space="preserve"> </w:t>
      </w:r>
      <w:r w:rsidRPr="00E27443">
        <w:t>living.</w:t>
      </w:r>
      <w:r w:rsidR="00C63F8F" w:rsidRPr="00E27443">
        <w:t xml:space="preserve"> </w:t>
      </w:r>
      <w:r w:rsidRPr="00E27443">
        <w:t>The</w:t>
      </w:r>
      <w:r w:rsidR="00C63F8F" w:rsidRPr="00E27443">
        <w:t xml:space="preserve"> </w:t>
      </w:r>
      <w:r w:rsidRPr="00E27443">
        <w:t>assistance</w:t>
      </w:r>
      <w:r w:rsidR="00C63F8F" w:rsidRPr="00E27443">
        <w:t xml:space="preserve"> </w:t>
      </w:r>
      <w:r w:rsidRPr="00E27443">
        <w:t>must</w:t>
      </w:r>
      <w:r w:rsidR="00C63F8F" w:rsidRPr="00E27443">
        <w:t xml:space="preserve"> </w:t>
      </w:r>
      <w:r w:rsidRPr="00E27443">
        <w:t>be</w:t>
      </w:r>
      <w:r w:rsidR="00C63F8F" w:rsidRPr="00E27443">
        <w:t xml:space="preserve"> </w:t>
      </w:r>
      <w:r w:rsidRPr="00E27443">
        <w:t>formulated</w:t>
      </w:r>
      <w:r w:rsidR="00C63F8F" w:rsidRPr="00E27443">
        <w:t xml:space="preserve"> </w:t>
      </w:r>
      <w:r w:rsidRPr="00E27443">
        <w:t>so</w:t>
      </w:r>
      <w:r w:rsidR="00C63F8F" w:rsidRPr="00E27443">
        <w:t xml:space="preserve"> </w:t>
      </w:r>
      <w:r w:rsidRPr="00E27443">
        <w:t>that</w:t>
      </w:r>
      <w:r w:rsidR="00C63F8F" w:rsidRPr="00E27443">
        <w:t xml:space="preserve"> </w:t>
      </w:r>
      <w:r w:rsidRPr="00E27443">
        <w:t>it</w:t>
      </w:r>
      <w:r w:rsidR="00C63F8F" w:rsidRPr="00E27443">
        <w:t xml:space="preserve"> </w:t>
      </w:r>
      <w:r w:rsidRPr="00E27443">
        <w:t>strengthens</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potential</w:t>
      </w:r>
      <w:r w:rsidR="00C63F8F" w:rsidRPr="00E27443">
        <w:t xml:space="preserve"> </w:t>
      </w:r>
      <w:r w:rsidRPr="00E27443">
        <w:t>to</w:t>
      </w:r>
      <w:r w:rsidR="00C63F8F" w:rsidRPr="00E27443">
        <w:t xml:space="preserve"> </w:t>
      </w:r>
      <w:r w:rsidRPr="00E27443">
        <w:t>live</w:t>
      </w:r>
      <w:r w:rsidR="00C63F8F" w:rsidRPr="00E27443">
        <w:t xml:space="preserve"> </w:t>
      </w:r>
      <w:r w:rsidRPr="00E27443">
        <w:t>an</w:t>
      </w:r>
      <w:r w:rsidR="00C63F8F" w:rsidRPr="00E27443">
        <w:t xml:space="preserve"> </w:t>
      </w:r>
      <w:r w:rsidRPr="00E27443">
        <w:t>independent</w:t>
      </w:r>
      <w:r w:rsidR="00C63F8F" w:rsidRPr="00E27443">
        <w:t xml:space="preserve"> </w:t>
      </w:r>
      <w:r w:rsidRPr="00E27443">
        <w:t>life.</w:t>
      </w:r>
    </w:p>
    <w:p w:rsidR="00321ADA" w:rsidRPr="00E27443" w:rsidRDefault="00321ADA" w:rsidP="00BF6429">
      <w:pPr>
        <w:pStyle w:val="SingleTxtG"/>
        <w:numPr>
          <w:ilvl w:val="0"/>
          <w:numId w:val="20"/>
        </w:numPr>
        <w:tabs>
          <w:tab w:val="left" w:pos="1843"/>
        </w:tabs>
        <w:ind w:left="1134" w:firstLine="0"/>
      </w:pPr>
      <w:r w:rsidRPr="00E27443">
        <w:t>In</w:t>
      </w:r>
      <w:r w:rsidR="00C63F8F" w:rsidRPr="00E27443">
        <w:t xml:space="preserve"> </w:t>
      </w:r>
      <w:r w:rsidRPr="00E27443">
        <w:t>1994,</w:t>
      </w:r>
      <w:r w:rsidR="00C63F8F" w:rsidRPr="00E27443">
        <w:t xml:space="preserve"> </w:t>
      </w:r>
      <w:r w:rsidRPr="00E27443">
        <w:t>a</w:t>
      </w:r>
      <w:r w:rsidR="00C63F8F" w:rsidRPr="00E27443">
        <w:t xml:space="preserve"> </w:t>
      </w:r>
      <w:r w:rsidRPr="00E27443">
        <w:t>social</w:t>
      </w:r>
      <w:r w:rsidR="00C63F8F" w:rsidRPr="00E27443">
        <w:t xml:space="preserve"> </w:t>
      </w:r>
      <w:r w:rsidRPr="00E27443">
        <w:t>reform</w:t>
      </w:r>
      <w:r w:rsidR="00C63F8F" w:rsidRPr="00E27443">
        <w:t xml:space="preserve"> </w:t>
      </w:r>
      <w:r w:rsidRPr="00E27443">
        <w:t>was</w:t>
      </w:r>
      <w:r w:rsidR="00C63F8F" w:rsidRPr="00E27443">
        <w:t xml:space="preserve"> </w:t>
      </w:r>
      <w:r w:rsidRPr="00E27443">
        <w:t>implemented</w:t>
      </w:r>
      <w:r w:rsidR="00C63F8F" w:rsidRPr="00E27443">
        <w:t xml:space="preserve"> </w:t>
      </w:r>
      <w:r w:rsidRPr="00E27443">
        <w:t>that</w:t>
      </w:r>
      <w:r w:rsidR="00C63F8F" w:rsidRPr="00E27443">
        <w:t xml:space="preserve"> </w:t>
      </w:r>
      <w:r w:rsidRPr="00E27443">
        <w:t>included</w:t>
      </w:r>
      <w:r w:rsidR="00C63F8F" w:rsidRPr="00E27443">
        <w:t xml:space="preserve"> </w:t>
      </w:r>
      <w:r w:rsidRPr="00E27443">
        <w:t>supplementary</w:t>
      </w:r>
      <w:r w:rsidR="00C63F8F" w:rsidRPr="00E27443">
        <w:t xml:space="preserve"> </w:t>
      </w:r>
      <w:r w:rsidRPr="00E27443">
        <w:t>legislation.</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Act</w:t>
      </w:r>
      <w:r w:rsidR="00C63F8F" w:rsidRPr="00E27443">
        <w:t xml:space="preserve"> </w:t>
      </w:r>
      <w:r w:rsidRPr="00E27443">
        <w:t>concerning</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Certain</w:t>
      </w:r>
      <w:r w:rsidR="00C63F8F" w:rsidRPr="00E27443">
        <w:t xml:space="preserve"> </w:t>
      </w:r>
      <w:r w:rsidRPr="00E27443">
        <w:t>Functional</w:t>
      </w:r>
      <w:r w:rsidR="00C63F8F" w:rsidRPr="00E27443">
        <w:t xml:space="preserve"> </w:t>
      </w:r>
      <w:r w:rsidRPr="00E27443">
        <w:t>Impairments</w:t>
      </w:r>
      <w:r w:rsidR="00380792" w:rsidRPr="00BF6429">
        <w:footnoteReference w:id="83"/>
      </w:r>
      <w:r w:rsidR="00C63F8F" w:rsidRPr="00E27443">
        <w:t xml:space="preserve"> </w:t>
      </w:r>
      <w:r w:rsidRPr="00E27443">
        <w:t>(LSS)</w:t>
      </w:r>
      <w:r w:rsidR="00C63F8F" w:rsidRPr="00E27443">
        <w:t xml:space="preserve"> </w:t>
      </w:r>
      <w:r w:rsidRPr="00E27443">
        <w:t>and</w:t>
      </w:r>
      <w:r w:rsidR="00C63F8F" w:rsidRPr="00E27443">
        <w:t xml:space="preserve"> </w:t>
      </w:r>
      <w:r w:rsidRPr="00E27443">
        <w:t>the</w:t>
      </w:r>
      <w:r w:rsidR="00C63F8F" w:rsidRPr="00E27443">
        <w:t xml:space="preserve"> </w:t>
      </w:r>
      <w:r w:rsidRPr="00E27443">
        <w:t>Assistance</w:t>
      </w:r>
      <w:r w:rsidR="00C63F8F" w:rsidRPr="00E27443">
        <w:t xml:space="preserve"> </w:t>
      </w:r>
      <w:r w:rsidRPr="00E27443">
        <w:t>Benefit</w:t>
      </w:r>
      <w:r w:rsidR="00C63F8F" w:rsidRPr="00E27443">
        <w:t xml:space="preserve"> </w:t>
      </w:r>
      <w:r w:rsidRPr="00E27443">
        <w:t>Act</w:t>
      </w:r>
      <w:r w:rsidR="00380792" w:rsidRPr="00BF6429">
        <w:footnoteReference w:id="84"/>
      </w:r>
      <w:r w:rsidR="00C63F8F" w:rsidRPr="00E27443">
        <w:t xml:space="preserve"> </w:t>
      </w:r>
      <w:r w:rsidRPr="00E27443">
        <w:t>were</w:t>
      </w:r>
      <w:r w:rsidR="00C63F8F" w:rsidRPr="00E27443">
        <w:t xml:space="preserve"> </w:t>
      </w:r>
      <w:r w:rsidRPr="00E27443">
        <w:t>introduced.</w:t>
      </w:r>
      <w:r w:rsidR="00C63F8F" w:rsidRPr="00E27443">
        <w:t xml:space="preserve"> </w:t>
      </w:r>
      <w:r w:rsidRPr="00E27443">
        <w:t>LSS</w:t>
      </w:r>
      <w:r w:rsidR="00C63F8F" w:rsidRPr="00E27443">
        <w:t xml:space="preserve"> </w:t>
      </w:r>
      <w:r w:rsidRPr="00E27443">
        <w:t>is</w:t>
      </w:r>
      <w:r w:rsidR="00C63F8F" w:rsidRPr="00E27443">
        <w:t xml:space="preserve"> </w:t>
      </w:r>
      <w:r w:rsidRPr="00E27443">
        <w:t>a</w:t>
      </w:r>
      <w:r w:rsidR="00C63F8F" w:rsidRPr="00E27443">
        <w:t xml:space="preserve"> </w:t>
      </w:r>
      <w:r w:rsidRPr="00E27443">
        <w:t>rights</w:t>
      </w:r>
      <w:r w:rsidR="00C63F8F" w:rsidRPr="00E27443">
        <w:t xml:space="preserve"> </w:t>
      </w:r>
      <w:r w:rsidRPr="00E27443">
        <w:t>law</w:t>
      </w:r>
      <w:r w:rsidR="00C63F8F" w:rsidRPr="00E27443">
        <w:t xml:space="preserve"> </w:t>
      </w:r>
      <w:r w:rsidRPr="00E27443">
        <w:t>that</w:t>
      </w:r>
      <w:r w:rsidR="00C63F8F" w:rsidRPr="00E27443">
        <w:t xml:space="preserve"> </w:t>
      </w:r>
      <w:r w:rsidRPr="00E27443">
        <w:t>will</w:t>
      </w:r>
      <w:r w:rsidR="00C63F8F" w:rsidRPr="00E27443">
        <w:t xml:space="preserve"> </w:t>
      </w:r>
      <w:r w:rsidRPr="00E27443">
        <w:t>guarantee</w:t>
      </w:r>
      <w:r w:rsidR="00C63F8F" w:rsidRPr="00E27443">
        <w:t xml:space="preserve"> </w:t>
      </w:r>
      <w:r w:rsidRPr="00E27443">
        <w:t>good</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extensive</w:t>
      </w:r>
      <w:r w:rsidR="00C63F8F" w:rsidRPr="00E27443">
        <w:t xml:space="preserve"> </w:t>
      </w:r>
      <w:r w:rsidRPr="00E27443">
        <w:t>and</w:t>
      </w:r>
      <w:r w:rsidR="00C63F8F" w:rsidRPr="00E27443">
        <w:t xml:space="preserve"> </w:t>
      </w:r>
      <w:r w:rsidRPr="00E27443">
        <w:t>permanent</w:t>
      </w:r>
      <w:r w:rsidR="00C63F8F" w:rsidRPr="00E27443">
        <w:t xml:space="preserve"> </w:t>
      </w:r>
      <w:r w:rsidRPr="00E27443">
        <w:t>disabilities,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guaranteeing</w:t>
      </w:r>
      <w:r w:rsidR="00C63F8F" w:rsidRPr="00E27443">
        <w:t xml:space="preserve"> </w:t>
      </w:r>
      <w:r w:rsidRPr="00E27443">
        <w:t>that</w:t>
      </w:r>
      <w:r w:rsidR="00C63F8F" w:rsidRPr="00E27443">
        <w:t xml:space="preserve"> </w:t>
      </w:r>
      <w:r w:rsidRPr="00E27443">
        <w:t>they</w:t>
      </w:r>
      <w:r w:rsidR="00C63F8F" w:rsidRPr="00E27443">
        <w:t xml:space="preserve"> </w:t>
      </w:r>
      <w:r w:rsidRPr="00E27443">
        <w:t>will</w:t>
      </w:r>
      <w:r w:rsidR="00C63F8F" w:rsidRPr="00E27443">
        <w:t xml:space="preserve"> </w:t>
      </w:r>
      <w:r w:rsidRPr="00E27443">
        <w:t>receive</w:t>
      </w:r>
      <w:r w:rsidR="00C63F8F" w:rsidRPr="00E27443">
        <w:t xml:space="preserve"> </w:t>
      </w:r>
      <w:r w:rsidRPr="00E27443">
        <w:t>the</w:t>
      </w:r>
      <w:r w:rsidR="00C63F8F" w:rsidRPr="00E27443">
        <w:t xml:space="preserve"> </w:t>
      </w:r>
      <w:r w:rsidRPr="00E27443">
        <w:t>help</w:t>
      </w:r>
      <w:r w:rsidR="00C63F8F" w:rsidRPr="00E27443">
        <w:t xml:space="preserve"> </w:t>
      </w:r>
      <w:r w:rsidRPr="00E27443">
        <w:t>they</w:t>
      </w:r>
      <w:r w:rsidR="00C63F8F" w:rsidRPr="00E27443">
        <w:t xml:space="preserve"> </w:t>
      </w:r>
      <w:r w:rsidRPr="00E27443">
        <w:t>need</w:t>
      </w:r>
      <w:r w:rsidR="00C63F8F" w:rsidRPr="00E27443">
        <w:t xml:space="preserve"> </w:t>
      </w:r>
      <w:r w:rsidRPr="00E27443">
        <w:t>and</w:t>
      </w:r>
      <w:r w:rsidR="00C63F8F" w:rsidRPr="00E27443">
        <w:t xml:space="preserve"> </w:t>
      </w:r>
      <w:r w:rsidRPr="00E27443">
        <w:t>that</w:t>
      </w:r>
      <w:r w:rsidR="00C63F8F" w:rsidRPr="00E27443">
        <w:t xml:space="preserve"> </w:t>
      </w:r>
      <w:r w:rsidRPr="00E27443">
        <w:t>they</w:t>
      </w:r>
      <w:r w:rsidR="00C63F8F" w:rsidRPr="00E27443">
        <w:t xml:space="preserve"> </w:t>
      </w:r>
      <w:r w:rsidRPr="00E27443">
        <w:t>can</w:t>
      </w:r>
      <w:r w:rsidR="00C63F8F" w:rsidRPr="00E27443">
        <w:t xml:space="preserve"> </w:t>
      </w:r>
      <w:r w:rsidRPr="00E27443">
        <w:t>influence</w:t>
      </w:r>
      <w:r w:rsidR="00C63F8F" w:rsidRPr="00E27443">
        <w:t xml:space="preserve"> </w:t>
      </w:r>
      <w:r w:rsidRPr="00E27443">
        <w:t>the</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services</w:t>
      </w:r>
      <w:r w:rsidR="00C63F8F" w:rsidRPr="00E27443">
        <w:t xml:space="preserve"> </w:t>
      </w:r>
      <w:r w:rsidRPr="00E27443">
        <w:t>they</w:t>
      </w:r>
      <w:r w:rsidR="00C63F8F" w:rsidRPr="00E27443">
        <w:t xml:space="preserve"> </w:t>
      </w:r>
      <w:r w:rsidRPr="00E27443">
        <w:t>receive.</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be</w:t>
      </w:r>
      <w:r w:rsidR="00C63F8F" w:rsidRPr="00E27443">
        <w:t xml:space="preserve"> </w:t>
      </w:r>
      <w:r w:rsidRPr="00E27443">
        <w:t>granted</w:t>
      </w:r>
      <w:r w:rsidR="00C63F8F" w:rsidRPr="00E27443">
        <w:t xml:space="preserve"> </w:t>
      </w:r>
      <w:r w:rsidRPr="00E27443">
        <w:t>an</w:t>
      </w:r>
      <w:r w:rsidR="00C63F8F" w:rsidRPr="00E27443">
        <w:t xml:space="preserve"> </w:t>
      </w:r>
      <w:r w:rsidRPr="00E27443">
        <w:t>initiative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LSS,</w:t>
      </w:r>
      <w:r w:rsidR="00C63F8F" w:rsidRPr="00E27443">
        <w:t xml:space="preserve"> </w:t>
      </w:r>
      <w:r w:rsidRPr="00E27443">
        <w:t>it</w:t>
      </w:r>
      <w:r w:rsidR="00C63F8F" w:rsidRPr="00E27443">
        <w:t xml:space="preserve"> </w:t>
      </w:r>
      <w:r w:rsidRPr="00E27443">
        <w:t>is</w:t>
      </w:r>
      <w:r w:rsidR="00C63F8F" w:rsidRPr="00E27443">
        <w:t xml:space="preserve"> </w:t>
      </w:r>
      <w:r w:rsidRPr="00E27443">
        <w:t>necessary</w:t>
      </w:r>
      <w:r w:rsidR="00C63F8F" w:rsidRPr="00E27443">
        <w:t xml:space="preserve"> </w:t>
      </w:r>
      <w:r w:rsidRPr="00E27443">
        <w:t>to</w:t>
      </w:r>
      <w:r w:rsidR="00C63F8F" w:rsidRPr="00E27443">
        <w:t xml:space="preserve"> </w:t>
      </w:r>
      <w:r w:rsidRPr="00E27443">
        <w:t>belong</w:t>
      </w:r>
      <w:r w:rsidR="00C63F8F" w:rsidRPr="00E27443">
        <w:t xml:space="preserve"> </w:t>
      </w:r>
      <w:r w:rsidRPr="00E27443">
        <w:t>to</w:t>
      </w:r>
      <w:r w:rsidR="00C63F8F" w:rsidRPr="00E27443">
        <w:t xml:space="preserve"> </w:t>
      </w:r>
      <w:r w:rsidRPr="00E27443">
        <w:t>one</w:t>
      </w:r>
      <w:r w:rsidR="00C63F8F" w:rsidRPr="00E27443">
        <w:t xml:space="preserve"> </w:t>
      </w:r>
      <w:r w:rsidRPr="00E27443">
        <w:t>of</w:t>
      </w:r>
      <w:r w:rsidR="00C63F8F" w:rsidRPr="00E27443">
        <w:t xml:space="preserve"> </w:t>
      </w:r>
      <w:r w:rsidRPr="00E27443">
        <w:t>the</w:t>
      </w:r>
      <w:r w:rsidR="00C63F8F" w:rsidRPr="00E27443">
        <w:t xml:space="preserve"> </w:t>
      </w:r>
      <w:r w:rsidRPr="00E27443">
        <w:t>three</w:t>
      </w:r>
      <w:r w:rsidR="00C63F8F" w:rsidRPr="00E27443">
        <w:t xml:space="preserve"> </w:t>
      </w:r>
      <w:r w:rsidRPr="00E27443">
        <w:t>groups</w:t>
      </w:r>
      <w:r w:rsidR="00C63F8F" w:rsidRPr="00E27443">
        <w:t xml:space="preserve"> </w:t>
      </w:r>
      <w:r w:rsidRPr="00E27443">
        <w:t>of</w:t>
      </w:r>
      <w:r w:rsidR="00C63F8F" w:rsidRPr="00E27443">
        <w:t xml:space="preserve"> </w:t>
      </w:r>
      <w:r w:rsidRPr="00E27443">
        <w:t>people</w:t>
      </w:r>
      <w:r w:rsidR="00C63F8F" w:rsidRPr="00E27443">
        <w:t xml:space="preserve"> </w:t>
      </w:r>
      <w:r w:rsidRPr="00E27443">
        <w:t>specified</w:t>
      </w:r>
      <w:r w:rsidR="00C63F8F" w:rsidRPr="00E27443">
        <w:t xml:space="preserve"> </w:t>
      </w:r>
      <w:r w:rsidRPr="00E27443">
        <w:t>in</w:t>
      </w:r>
      <w:r w:rsidR="00C63F8F" w:rsidRPr="00E27443">
        <w:t xml:space="preserve"> </w:t>
      </w:r>
      <w:r w:rsidRPr="00E27443">
        <w:t>§</w:t>
      </w:r>
      <w:r w:rsidR="00C63F8F" w:rsidRPr="00E27443">
        <w:t xml:space="preserve"> </w:t>
      </w:r>
      <w:r w:rsidRPr="00E27443">
        <w:t>1</w:t>
      </w:r>
      <w:r w:rsidR="00C63F8F" w:rsidRPr="00E27443">
        <w:t xml:space="preserve"> </w:t>
      </w:r>
      <w:r w:rsidRPr="00E27443">
        <w:t>of</w:t>
      </w:r>
      <w:r w:rsidR="00C63F8F" w:rsidRPr="00E27443">
        <w:t xml:space="preserve"> </w:t>
      </w:r>
      <w:r w:rsidRPr="00E27443">
        <w:t>the</w:t>
      </w:r>
      <w:r w:rsidR="00C63F8F" w:rsidRPr="00E27443">
        <w:t xml:space="preserve"> </w:t>
      </w:r>
      <w:r w:rsidRPr="00E27443">
        <w:t>Act.</w:t>
      </w:r>
      <w:r w:rsidR="00C63F8F" w:rsidRPr="00E27443">
        <w:t xml:space="preserve"> </w:t>
      </w:r>
      <w:r w:rsidRPr="00E27443">
        <w:t>This</w:t>
      </w:r>
      <w:r w:rsidR="00C63F8F" w:rsidRPr="00E27443">
        <w:t xml:space="preserve"> </w:t>
      </w:r>
      <w:r w:rsidRPr="00E27443">
        <w:t>covers</w:t>
      </w:r>
      <w:r w:rsidR="00C63F8F" w:rsidRPr="00E27443">
        <w:t xml:space="preserve"> </w:t>
      </w:r>
      <w:r w:rsidRPr="00E27443">
        <w:t>persons</w:t>
      </w:r>
      <w:r w:rsidR="00C63F8F" w:rsidRPr="00E27443">
        <w:t xml:space="preserve"> </w:t>
      </w:r>
      <w:r w:rsidRPr="00E27443">
        <w:t>with</w:t>
      </w:r>
      <w:r w:rsidR="00C63F8F" w:rsidRPr="00E27443">
        <w:t xml:space="preserve"> </w:t>
      </w:r>
      <w:r w:rsidR="00C162BF" w:rsidRPr="00E27443">
        <w:t>intellectual</w:t>
      </w:r>
      <w:r w:rsidR="00C63F8F" w:rsidRPr="00E27443">
        <w:t xml:space="preserve"> </w:t>
      </w:r>
      <w:r w:rsidRPr="00E27443">
        <w:t>disabilities,</w:t>
      </w:r>
      <w:r w:rsidR="00C63F8F" w:rsidRPr="00E27443">
        <w:t xml:space="preserve"> </w:t>
      </w:r>
      <w:r w:rsidRPr="00E27443">
        <w:t>autism</w:t>
      </w:r>
      <w:r w:rsidR="00C63F8F" w:rsidRPr="00E27443">
        <w:t xml:space="preserve"> </w:t>
      </w:r>
      <w:r w:rsidRPr="00E27443">
        <w:t>or</w:t>
      </w:r>
      <w:r w:rsidR="00C63F8F" w:rsidRPr="00E27443">
        <w:t xml:space="preserve"> </w:t>
      </w:r>
      <w:r w:rsidRPr="00E27443">
        <w:t>autism-like</w:t>
      </w:r>
      <w:r w:rsidR="00C63F8F" w:rsidRPr="00E27443">
        <w:t xml:space="preserve"> </w:t>
      </w:r>
      <w:r w:rsidRPr="00E27443">
        <w:t>conditions,</w:t>
      </w:r>
      <w:r w:rsidR="00C63F8F" w:rsidRPr="00E27443">
        <w:t xml:space="preserve"> </w:t>
      </w:r>
      <w:r w:rsidRPr="00E27443">
        <w:t>persons</w:t>
      </w:r>
      <w:r w:rsidR="00C63F8F" w:rsidRPr="00E27443">
        <w:t xml:space="preserve"> </w:t>
      </w:r>
      <w:r w:rsidRPr="00E27443">
        <w:t>with</w:t>
      </w:r>
      <w:r w:rsidR="00C63F8F" w:rsidRPr="00E27443">
        <w:t xml:space="preserve"> </w:t>
      </w:r>
      <w:r w:rsidRPr="00E27443">
        <w:t>significant</w:t>
      </w:r>
      <w:r w:rsidR="00C63F8F" w:rsidRPr="00E27443">
        <w:t xml:space="preserve"> </w:t>
      </w:r>
      <w:r w:rsidRPr="00E27443">
        <w:t>and</w:t>
      </w:r>
      <w:r w:rsidR="00C63F8F" w:rsidRPr="00E27443">
        <w:t xml:space="preserve"> </w:t>
      </w:r>
      <w:r w:rsidRPr="00E27443">
        <w:t>permanent</w:t>
      </w:r>
      <w:r w:rsidR="00C63F8F" w:rsidRPr="00E27443">
        <w:t xml:space="preserve"> </w:t>
      </w:r>
      <w:r w:rsidR="00C162BF" w:rsidRPr="00E27443">
        <w:t>intellectual</w:t>
      </w:r>
      <w:r w:rsidR="00C63F8F" w:rsidRPr="00E27443">
        <w:t xml:space="preserve"> </w:t>
      </w:r>
      <w:r w:rsidRPr="00E27443">
        <w:t>impairments</w:t>
      </w:r>
      <w:r w:rsidR="00C63F8F" w:rsidRPr="00E27443">
        <w:t xml:space="preserve"> </w:t>
      </w:r>
      <w:r w:rsidRPr="00E27443">
        <w:t>following</w:t>
      </w:r>
      <w:r w:rsidR="00C63F8F" w:rsidRPr="00E27443">
        <w:t xml:space="preserve"> </w:t>
      </w:r>
      <w:r w:rsidRPr="00E27443">
        <w:t>a</w:t>
      </w:r>
      <w:r w:rsidR="00C63F8F" w:rsidRPr="00E27443">
        <w:t xml:space="preserve"> </w:t>
      </w:r>
      <w:r w:rsidRPr="00E27443">
        <w:t>brain</w:t>
      </w:r>
      <w:r w:rsidR="00C63F8F" w:rsidRPr="00E27443">
        <w:t xml:space="preserve"> </w:t>
      </w:r>
      <w:r w:rsidRPr="00E27443">
        <w:t>injury</w:t>
      </w:r>
      <w:r w:rsidR="00C63F8F" w:rsidRPr="00E27443">
        <w:t xml:space="preserve"> </w:t>
      </w:r>
      <w:r w:rsidRPr="00E27443">
        <w:t>in</w:t>
      </w:r>
      <w:r w:rsidR="00C63F8F" w:rsidRPr="00E27443">
        <w:t xml:space="preserve"> </w:t>
      </w:r>
      <w:r w:rsidRPr="00E27443">
        <w:t>adult</w:t>
      </w:r>
      <w:r w:rsidR="00C63F8F" w:rsidRPr="00E27443">
        <w:t xml:space="preserve"> </w:t>
      </w:r>
      <w:r w:rsidRPr="00E27443">
        <w:t>life</w:t>
      </w:r>
      <w:r w:rsidR="00C63F8F" w:rsidRPr="00E27443">
        <w:t xml:space="preserve"> </w:t>
      </w:r>
      <w:r w:rsidRPr="00E27443">
        <w:t>caused</w:t>
      </w:r>
      <w:r w:rsidR="00C63F8F" w:rsidRPr="00E27443">
        <w:t xml:space="preserve"> </w:t>
      </w:r>
      <w:r w:rsidRPr="00E27443">
        <w:t>by</w:t>
      </w:r>
      <w:r w:rsidR="00C63F8F" w:rsidRPr="00E27443">
        <w:t xml:space="preserve"> </w:t>
      </w:r>
      <w:r w:rsidRPr="00E27443">
        <w:t>external</w:t>
      </w:r>
      <w:r w:rsidR="00C63F8F" w:rsidRPr="00E27443">
        <w:t xml:space="preserve"> </w:t>
      </w:r>
      <w:r w:rsidRPr="00E27443">
        <w:t>violence</w:t>
      </w:r>
      <w:r w:rsidR="00C63F8F" w:rsidRPr="00E27443">
        <w:t xml:space="preserve"> </w:t>
      </w:r>
      <w:r w:rsidRPr="00E27443">
        <w:t>or</w:t>
      </w:r>
      <w:r w:rsidR="00C63F8F" w:rsidRPr="00E27443">
        <w:t xml:space="preserve"> </w:t>
      </w:r>
      <w:r w:rsidRPr="00E27443">
        <w:t>a</w:t>
      </w:r>
      <w:r w:rsidR="00C63F8F" w:rsidRPr="00E27443">
        <w:t xml:space="preserve"> </w:t>
      </w:r>
      <w:r w:rsidRPr="00E27443">
        <w:t>physical</w:t>
      </w:r>
      <w:r w:rsidR="00C63F8F" w:rsidRPr="00E27443">
        <w:t xml:space="preserve"> </w:t>
      </w:r>
      <w:r w:rsidRPr="00E27443">
        <w:t>illness,</w:t>
      </w:r>
      <w:r w:rsidR="00C63F8F" w:rsidRPr="00E27443">
        <w:t xml:space="preserve"> </w:t>
      </w:r>
      <w:r w:rsidRPr="00E27443">
        <w:t>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other</w:t>
      </w:r>
      <w:r w:rsidR="00C63F8F" w:rsidRPr="00E27443">
        <w:t xml:space="preserve"> </w:t>
      </w:r>
      <w:r w:rsidRPr="00E27443">
        <w:t>permanent</w:t>
      </w:r>
      <w:r w:rsidR="00C63F8F" w:rsidRPr="00E27443">
        <w:t xml:space="preserve"> </w:t>
      </w:r>
      <w:r w:rsidRPr="00E27443">
        <w:t>physical</w:t>
      </w:r>
      <w:r w:rsidR="00C63F8F" w:rsidRPr="00E27443">
        <w:t xml:space="preserve"> </w:t>
      </w:r>
      <w:r w:rsidRPr="00E27443">
        <w:t>or</w:t>
      </w:r>
      <w:r w:rsidR="00C63F8F" w:rsidRPr="00E27443">
        <w:t xml:space="preserve"> </w:t>
      </w:r>
      <w:r w:rsidRPr="00E27443">
        <w:t>mental</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are</w:t>
      </w:r>
      <w:r w:rsidR="00C63F8F" w:rsidRPr="00E27443">
        <w:t xml:space="preserve"> </w:t>
      </w:r>
      <w:r w:rsidRPr="00E27443">
        <w:t>obviously</w:t>
      </w:r>
      <w:r w:rsidR="00C63F8F" w:rsidRPr="00E27443">
        <w:t xml:space="preserve"> </w:t>
      </w:r>
      <w:r w:rsidRPr="00E27443">
        <w:t>not</w:t>
      </w:r>
      <w:r w:rsidR="00C63F8F" w:rsidRPr="00E27443">
        <w:t xml:space="preserve"> </w:t>
      </w:r>
      <w:r w:rsidRPr="00E27443">
        <w:t>due</w:t>
      </w:r>
      <w:r w:rsidR="00C63F8F" w:rsidRPr="00E27443">
        <w:t xml:space="preserve"> </w:t>
      </w:r>
      <w:r w:rsidRPr="00E27443">
        <w:t>to</w:t>
      </w:r>
      <w:r w:rsidR="00C63F8F" w:rsidRPr="00E27443">
        <w:t xml:space="preserve"> </w:t>
      </w:r>
      <w:r w:rsidRPr="00E27443">
        <w:t>normal</w:t>
      </w:r>
      <w:r w:rsidR="00C63F8F" w:rsidRPr="00E27443">
        <w:t xml:space="preserve"> </w:t>
      </w:r>
      <w:r w:rsidRPr="00E27443">
        <w:t>ageing,</w:t>
      </w:r>
      <w:r w:rsidR="00C63F8F" w:rsidRPr="00E27443">
        <w:t xml:space="preserve"> </w:t>
      </w:r>
      <w:r w:rsidRPr="00E27443">
        <w:t>if</w:t>
      </w:r>
      <w:r w:rsidR="00C63F8F" w:rsidRPr="00E27443">
        <w:t xml:space="preserve"> </w:t>
      </w:r>
      <w:r w:rsidRPr="00E27443">
        <w:t>these</w:t>
      </w:r>
      <w:r w:rsidR="00C63F8F" w:rsidRPr="00E27443">
        <w:t xml:space="preserve"> </w:t>
      </w:r>
      <w:r w:rsidRPr="00E27443">
        <w:t>are</w:t>
      </w:r>
      <w:r w:rsidR="00C63F8F" w:rsidRPr="00E27443">
        <w:t xml:space="preserve"> </w:t>
      </w:r>
      <w:r w:rsidRPr="00E27443">
        <w:t>major</w:t>
      </w:r>
      <w:r w:rsidR="00C63F8F" w:rsidRPr="00E27443">
        <w:t xml:space="preserve"> </w:t>
      </w:r>
      <w:r w:rsidRPr="00E27443">
        <w:t>and</w:t>
      </w:r>
      <w:r w:rsidR="00C63F8F" w:rsidRPr="00E27443">
        <w:t xml:space="preserve"> </w:t>
      </w:r>
      <w:r w:rsidRPr="00E27443">
        <w:t>cause</w:t>
      </w:r>
      <w:r w:rsidR="00C63F8F" w:rsidRPr="00E27443">
        <w:t xml:space="preserve"> </w:t>
      </w:r>
      <w:r w:rsidRPr="00E27443">
        <w:t>significant</w:t>
      </w:r>
      <w:r w:rsidR="00C63F8F" w:rsidRPr="00E27443">
        <w:t xml:space="preserve"> </w:t>
      </w:r>
      <w:r w:rsidRPr="00E27443">
        <w:t>difficulties</w:t>
      </w:r>
      <w:r w:rsidR="00C63F8F" w:rsidRPr="00E27443">
        <w:t xml:space="preserve"> </w:t>
      </w:r>
      <w:r w:rsidRPr="00E27443">
        <w:t>in</w:t>
      </w:r>
      <w:r w:rsidR="00C63F8F" w:rsidRPr="00E27443">
        <w:t xml:space="preserve"> </w:t>
      </w:r>
      <w:r w:rsidRPr="00E27443">
        <w:t>the</w:t>
      </w:r>
      <w:r w:rsidR="00C63F8F" w:rsidRPr="00E27443">
        <w:t xml:space="preserve"> </w:t>
      </w:r>
      <w:r w:rsidRPr="00E27443">
        <w:t>person</w:t>
      </w:r>
      <w:r w:rsidR="00C63F8F" w:rsidRPr="00E27443">
        <w:t>’</w:t>
      </w:r>
      <w:r w:rsidRPr="00E27443">
        <w:t>s</w:t>
      </w:r>
      <w:r w:rsidR="00C63F8F" w:rsidRPr="00E27443">
        <w:t xml:space="preserve"> </w:t>
      </w:r>
      <w:r w:rsidRPr="00E27443">
        <w:t>day-to-day</w:t>
      </w:r>
      <w:r w:rsidR="00C63F8F" w:rsidRPr="00E27443">
        <w:t xml:space="preserve"> </w:t>
      </w:r>
      <w:r w:rsidRPr="00E27443">
        <w:t>way</w:t>
      </w:r>
      <w:r w:rsidR="00C63F8F" w:rsidRPr="00E27443">
        <w:t xml:space="preserve"> </w:t>
      </w:r>
      <w:r w:rsidRPr="00E27443">
        <w:t>of</w:t>
      </w:r>
      <w:r w:rsidR="00C63F8F" w:rsidRPr="00E27443">
        <w:t xml:space="preserve"> </w:t>
      </w:r>
      <w:r w:rsidRPr="00E27443">
        <w:t>life</w:t>
      </w:r>
      <w:r w:rsidR="00C63F8F" w:rsidRPr="00E27443">
        <w:t xml:space="preserve"> </w:t>
      </w:r>
      <w:r w:rsidRPr="00E27443">
        <w:t>and</w:t>
      </w:r>
      <w:r w:rsidR="00C63F8F" w:rsidRPr="00E27443">
        <w:t xml:space="preserve"> </w:t>
      </w:r>
      <w:r w:rsidRPr="00E27443">
        <w:t>hence</w:t>
      </w:r>
      <w:r w:rsidR="00C63F8F" w:rsidRPr="00E27443">
        <w:t xml:space="preserve"> </w:t>
      </w:r>
      <w:r w:rsidRPr="00E27443">
        <w:t>an</w:t>
      </w:r>
      <w:r w:rsidR="00C63F8F" w:rsidRPr="00E27443">
        <w:t xml:space="preserve"> </w:t>
      </w:r>
      <w:r w:rsidRPr="00E27443">
        <w:t>extensive</w:t>
      </w:r>
      <w:r w:rsidR="00C63F8F" w:rsidRPr="00E27443">
        <w:t xml:space="preserve"> </w:t>
      </w:r>
      <w:r w:rsidRPr="00E27443">
        <w:t>need</w:t>
      </w:r>
      <w:r w:rsidR="00C63F8F" w:rsidRPr="00E27443">
        <w:t xml:space="preserve"> </w:t>
      </w:r>
      <w:r w:rsidRPr="00E27443">
        <w:t>for</w:t>
      </w:r>
      <w:r w:rsidR="00C63F8F" w:rsidRPr="00E27443">
        <w:t xml:space="preserve"> </w:t>
      </w:r>
      <w:r w:rsidRPr="00E27443">
        <w:t>support</w:t>
      </w:r>
      <w:r w:rsidR="00C63F8F" w:rsidRPr="00E27443">
        <w:t xml:space="preserve"> </w:t>
      </w:r>
      <w:r w:rsidRPr="00E27443">
        <w:t>or</w:t>
      </w:r>
      <w:r w:rsidR="00C63F8F" w:rsidRPr="00E27443">
        <w:t xml:space="preserve"> </w:t>
      </w:r>
      <w:r w:rsidRPr="00E27443">
        <w:t>services.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w:t>
      </w:r>
      <w:r w:rsidR="00C63F8F" w:rsidRPr="00E27443">
        <w:t xml:space="preserve"> </w:t>
      </w:r>
      <w:r w:rsidRPr="00E27443">
        <w:t>6</w:t>
      </w:r>
      <w:r w:rsidR="00C63F8F" w:rsidRPr="00E27443">
        <w:t xml:space="preserve"> </w:t>
      </w:r>
      <w:r w:rsidRPr="00E27443">
        <w:t>of</w:t>
      </w:r>
      <w:r w:rsidR="00C63F8F" w:rsidRPr="00E27443">
        <w:t xml:space="preserve"> </w:t>
      </w:r>
      <w:r w:rsidRPr="00E27443">
        <w:t>the</w:t>
      </w:r>
      <w:r w:rsidR="00C63F8F" w:rsidRPr="00E27443">
        <w:t xml:space="preserve"> </w:t>
      </w:r>
      <w:r w:rsidRPr="00E27443">
        <w:t>Act,</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must</w:t>
      </w:r>
      <w:r w:rsidR="00C63F8F" w:rsidRPr="00E27443">
        <w:t xml:space="preserve"> </w:t>
      </w:r>
      <w:r w:rsidRPr="00E27443">
        <w:t>be</w:t>
      </w:r>
      <w:r w:rsidR="00C63F8F" w:rsidRPr="00E27443">
        <w:t xml:space="preserve"> </w:t>
      </w:r>
      <w:r w:rsidRPr="00E27443">
        <w:t>of</w:t>
      </w:r>
      <w:r w:rsidR="00C63F8F" w:rsidRPr="00E27443">
        <w:t xml:space="preserve"> </w:t>
      </w:r>
      <w:r w:rsidRPr="00E27443">
        <w:t>good</w:t>
      </w:r>
      <w:r w:rsidR="00C63F8F" w:rsidRPr="00E27443">
        <w:t xml:space="preserve"> </w:t>
      </w:r>
      <w:r w:rsidRPr="00E27443">
        <w:t>quality</w:t>
      </w:r>
      <w:r w:rsidR="00C63F8F" w:rsidRPr="00E27443">
        <w:t xml:space="preserve"> </w:t>
      </w:r>
      <w:r w:rsidRPr="00E27443">
        <w:t>and</w:t>
      </w:r>
      <w:r w:rsidR="00C63F8F" w:rsidRPr="00E27443">
        <w:t xml:space="preserve"> </w:t>
      </w:r>
      <w:r w:rsidRPr="00E27443">
        <w:t>must</w:t>
      </w:r>
      <w:r w:rsidR="00C63F8F" w:rsidRPr="00E27443">
        <w:t xml:space="preserve"> </w:t>
      </w:r>
      <w:r w:rsidRPr="00E27443">
        <w:t>be</w:t>
      </w:r>
      <w:r w:rsidR="00C63F8F" w:rsidRPr="00E27443">
        <w:t xml:space="preserve"> </w:t>
      </w:r>
      <w:r w:rsidRPr="00E27443">
        <w:t>conducted</w:t>
      </w:r>
      <w:r w:rsidR="00C63F8F" w:rsidRPr="00E27443">
        <w:t xml:space="preserve"> </w:t>
      </w:r>
      <w:r w:rsidRPr="00E27443">
        <w:t>in</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other</w:t>
      </w:r>
      <w:r w:rsidR="00C63F8F" w:rsidRPr="00E27443">
        <w:t xml:space="preserve"> </w:t>
      </w:r>
      <w:r w:rsidRPr="00E27443">
        <w:t>affected</w:t>
      </w:r>
      <w:r w:rsidR="00C63F8F" w:rsidRPr="00E27443">
        <w:t xml:space="preserve"> </w:t>
      </w:r>
      <w:r w:rsidRPr="00E27443">
        <w:t>social</w:t>
      </w:r>
      <w:r w:rsidR="00C63F8F" w:rsidRPr="00E27443">
        <w:t xml:space="preserve"> </w:t>
      </w:r>
      <w:r w:rsidRPr="00E27443">
        <w:t>bodies</w:t>
      </w:r>
      <w:r w:rsidR="00C63F8F" w:rsidRPr="00E27443">
        <w:t xml:space="preserve"> </w:t>
      </w:r>
      <w:r w:rsidRPr="00E27443">
        <w:t>and</w:t>
      </w:r>
      <w:r w:rsidR="00C63F8F" w:rsidRPr="00E27443">
        <w:t xml:space="preserve"> </w:t>
      </w:r>
      <w:r w:rsidRPr="00E27443">
        <w:t>authorities.</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must</w:t>
      </w:r>
      <w:r w:rsidR="00C63F8F" w:rsidRPr="00E27443">
        <w:t xml:space="preserve"> </w:t>
      </w:r>
      <w:r w:rsidRPr="00E27443">
        <w:t>be</w:t>
      </w:r>
      <w:r w:rsidR="00C63F8F" w:rsidRPr="00E27443">
        <w:t xml:space="preserve"> </w:t>
      </w:r>
      <w:r w:rsidRPr="00E27443">
        <w:t>founded</w:t>
      </w:r>
      <w:r w:rsidR="00C63F8F" w:rsidRPr="00E27443">
        <w:t xml:space="preserve"> </w:t>
      </w:r>
      <w:r w:rsidRPr="00E27443">
        <w:t>on</w:t>
      </w:r>
      <w:r w:rsidR="00C63F8F" w:rsidRPr="00E27443">
        <w:t xml:space="preserve"> </w:t>
      </w:r>
      <w:r w:rsidRPr="00E27443">
        <w:t>respect</w:t>
      </w:r>
      <w:r w:rsidR="00C63F8F" w:rsidRPr="00E27443">
        <w:t xml:space="preserve"> </w:t>
      </w:r>
      <w:r w:rsidRPr="00E27443">
        <w:t>for</w:t>
      </w:r>
      <w:r w:rsidR="00C63F8F" w:rsidRPr="00E27443">
        <w:t xml:space="preserve"> </w:t>
      </w:r>
      <w:r w:rsidRPr="00E27443">
        <w:t>the</w:t>
      </w:r>
      <w:r w:rsidR="00C63F8F" w:rsidRPr="00E27443">
        <w:t xml:space="preserve"> </w:t>
      </w:r>
      <w:r w:rsidRPr="00E27443">
        <w:t>individual</w:t>
      </w:r>
      <w:r w:rsidR="00C63F8F" w:rsidRPr="00E27443">
        <w:t>’</w:t>
      </w:r>
      <w:r w:rsidRPr="00E27443">
        <w:t>s</w:t>
      </w:r>
      <w:r w:rsidR="00C63F8F" w:rsidRPr="00E27443">
        <w:t xml:space="preserve"> </w:t>
      </w:r>
      <w:r w:rsidRPr="00E27443">
        <w:t>right</w:t>
      </w:r>
      <w:r w:rsidR="00C63F8F" w:rsidRPr="00E27443">
        <w:t xml:space="preserve"> </w:t>
      </w:r>
      <w:r w:rsidRPr="00E27443">
        <w:t>of</w:t>
      </w:r>
      <w:r w:rsidR="00C63F8F" w:rsidRPr="00E27443">
        <w:t xml:space="preserve"> </w:t>
      </w:r>
      <w:r w:rsidRPr="00E27443">
        <w:t>self-determination</w:t>
      </w:r>
      <w:r w:rsidR="00C63F8F" w:rsidRPr="00E27443">
        <w:t xml:space="preserve"> </w:t>
      </w:r>
      <w:r w:rsidRPr="00E27443">
        <w:t>and</w:t>
      </w:r>
      <w:r w:rsidR="00C63F8F" w:rsidRPr="00E27443">
        <w:t xml:space="preserve"> </w:t>
      </w:r>
      <w:r w:rsidRPr="00E27443">
        <w:t>integrity.</w:t>
      </w:r>
      <w:r w:rsidR="00C63F8F" w:rsidRPr="00E27443">
        <w:t xml:space="preserve"> </w:t>
      </w:r>
      <w:r w:rsidRPr="00E27443">
        <w:t>To</w:t>
      </w:r>
      <w:r w:rsidR="00C63F8F" w:rsidRPr="00E27443">
        <w:t xml:space="preserve"> </w:t>
      </w:r>
      <w:r w:rsidRPr="00E27443">
        <w:t>the</w:t>
      </w:r>
      <w:r w:rsidR="00C63F8F" w:rsidRPr="00E27443">
        <w:t xml:space="preserve"> </w:t>
      </w:r>
      <w:r w:rsidRPr="00E27443">
        <w:t>greatest</w:t>
      </w:r>
      <w:r w:rsidR="00C63F8F" w:rsidRPr="00E27443">
        <w:t xml:space="preserve"> </w:t>
      </w:r>
      <w:r w:rsidRPr="00E27443">
        <w:t>possible</w:t>
      </w:r>
      <w:r w:rsidR="00C63F8F" w:rsidRPr="00E27443">
        <w:t xml:space="preserve"> </w:t>
      </w:r>
      <w:r w:rsidRPr="00E27443">
        <w:t>extent,</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must</w:t>
      </w:r>
      <w:r w:rsidR="00C63F8F" w:rsidRPr="00E27443">
        <w:t xml:space="preserve"> </w:t>
      </w:r>
      <w:r w:rsidRPr="00E27443">
        <w:t>be</w:t>
      </w:r>
      <w:r w:rsidR="00C63F8F" w:rsidRPr="00E27443">
        <w:t xml:space="preserve"> </w:t>
      </w:r>
      <w:r w:rsidRPr="00E27443">
        <w:t>granted</w:t>
      </w:r>
      <w:r w:rsidR="00C63F8F" w:rsidRPr="00E27443">
        <w:t xml:space="preserve"> </w:t>
      </w:r>
      <w:r w:rsidRPr="00E27443">
        <w:t>influence</w:t>
      </w:r>
      <w:r w:rsidR="00C63F8F" w:rsidRPr="00E27443">
        <w:t xml:space="preserve"> </w:t>
      </w:r>
      <w:r w:rsidRPr="00E27443">
        <w:t>and</w:t>
      </w:r>
      <w:r w:rsidR="00C63F8F" w:rsidRPr="00E27443">
        <w:t xml:space="preserve"> </w:t>
      </w:r>
      <w:r w:rsidRPr="00E27443">
        <w:t>co-determination</w:t>
      </w:r>
      <w:r w:rsidR="00C63F8F" w:rsidRPr="00E27443">
        <w:t xml:space="preserve"> </w:t>
      </w:r>
      <w:r w:rsidRPr="00E27443">
        <w:t>over</w:t>
      </w:r>
      <w:r w:rsidR="00C63F8F" w:rsidRPr="00E27443">
        <w:t xml:space="preserve"> </w:t>
      </w:r>
      <w:r w:rsidRPr="00E27443">
        <w:t>initiatives</w:t>
      </w:r>
      <w:r w:rsidR="00C63F8F" w:rsidRPr="00E27443">
        <w:t xml:space="preserve"> </w:t>
      </w:r>
      <w:r w:rsidRPr="00E27443">
        <w:t>that</w:t>
      </w:r>
      <w:r w:rsidR="00C63F8F" w:rsidRPr="00E27443">
        <w:t xml:space="preserve"> </w:t>
      </w:r>
      <w:r w:rsidRPr="00E27443">
        <w:t>are</w:t>
      </w:r>
      <w:r w:rsidR="00C63F8F" w:rsidRPr="00E27443">
        <w:t xml:space="preserve"> </w:t>
      </w:r>
      <w:r w:rsidRPr="00E27443">
        <w:t>provided.</w:t>
      </w:r>
    </w:p>
    <w:p w:rsidR="00321ADA" w:rsidRPr="00E27443" w:rsidRDefault="00321ADA" w:rsidP="00BF6429">
      <w:pPr>
        <w:pStyle w:val="SingleTxtG"/>
        <w:numPr>
          <w:ilvl w:val="0"/>
          <w:numId w:val="20"/>
        </w:numPr>
        <w:tabs>
          <w:tab w:val="left" w:pos="1843"/>
        </w:tabs>
        <w:ind w:left="1134" w:firstLine="0"/>
      </w:pPr>
      <w:r w:rsidRPr="00E27443">
        <w:t>Rights</w:t>
      </w:r>
      <w:r w:rsidR="00C63F8F" w:rsidRPr="00E27443">
        <w:t xml:space="preserve"> </w:t>
      </w:r>
      <w:r w:rsidRPr="00E27443">
        <w:t>legislation</w:t>
      </w:r>
      <w:r w:rsidR="00C63F8F" w:rsidRPr="00E27443">
        <w:t xml:space="preserve"> </w:t>
      </w:r>
      <w:r w:rsidRPr="00E27443">
        <w:t>within</w:t>
      </w:r>
      <w:r w:rsidR="00C63F8F" w:rsidRPr="00E27443">
        <w:t xml:space="preserve"> </w:t>
      </w:r>
      <w:r w:rsidRPr="00E27443">
        <w:t>the</w:t>
      </w:r>
      <w:r w:rsidR="00C63F8F" w:rsidRPr="00E27443">
        <w:t xml:space="preserve"> </w:t>
      </w:r>
      <w:r w:rsidRPr="00E27443">
        <w:t>social</w:t>
      </w:r>
      <w:r w:rsidR="00C63F8F" w:rsidRPr="00E27443">
        <w:t xml:space="preserve"> </w:t>
      </w:r>
      <w:r w:rsidRPr="00E27443">
        <w:t>area</w:t>
      </w:r>
      <w:r w:rsidR="00C63F8F" w:rsidRPr="00E27443">
        <w:t xml:space="preserve"> </w:t>
      </w:r>
      <w:r w:rsidRPr="00E27443">
        <w:t>provides</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appeal</w:t>
      </w:r>
      <w:r w:rsidR="00C63F8F" w:rsidRPr="00E27443">
        <w:t xml:space="preserve"> </w:t>
      </w:r>
      <w:r w:rsidRPr="00E27443">
        <w:t>against</w:t>
      </w:r>
      <w:r w:rsidR="00C63F8F" w:rsidRPr="00E27443">
        <w:t xml:space="preserve"> </w:t>
      </w:r>
      <w:r w:rsidRPr="00E27443">
        <w:t>a</w:t>
      </w:r>
      <w:r w:rsidR="00C63F8F" w:rsidRPr="00E27443">
        <w:t xml:space="preserve"> </w:t>
      </w:r>
      <w:r w:rsidRPr="00E27443">
        <w:t>decision</w:t>
      </w:r>
      <w:r w:rsidR="00C63F8F" w:rsidRPr="00E27443">
        <w:t xml:space="preserve"> </w:t>
      </w:r>
      <w:r w:rsidRPr="00E27443">
        <w:t>on</w:t>
      </w:r>
      <w:r w:rsidR="00C63F8F" w:rsidRPr="00E27443">
        <w:t xml:space="preserve"> </w:t>
      </w:r>
      <w:r w:rsidRPr="00E27443">
        <w:t>social</w:t>
      </w:r>
      <w:r w:rsidR="00C63F8F" w:rsidRPr="00E27443">
        <w:t xml:space="preserve"> </w:t>
      </w:r>
      <w:r w:rsidRPr="00E27443">
        <w:t>assistance</w:t>
      </w:r>
      <w:r w:rsidR="00C63F8F" w:rsidRPr="00E27443">
        <w:t xml:space="preserve"> </w:t>
      </w:r>
      <w:r w:rsidRPr="00E27443">
        <w:t>or</w:t>
      </w:r>
      <w:r w:rsidR="00C63F8F" w:rsidRPr="00E27443">
        <w:t xml:space="preserve"> </w:t>
      </w:r>
      <w:r w:rsidRPr="00E27443">
        <w:t>an</w:t>
      </w:r>
      <w:r w:rsidR="00C63F8F" w:rsidRPr="00E27443">
        <w:t xml:space="preserve"> </w:t>
      </w:r>
      <w:r w:rsidRPr="00E27443">
        <w:t>initiative</w:t>
      </w:r>
      <w:r w:rsidR="00C63F8F" w:rsidRPr="00E27443">
        <w:t xml:space="preserve"> </w:t>
      </w:r>
      <w:r w:rsidRPr="00E27443">
        <w:t>according</w:t>
      </w:r>
      <w:r w:rsidR="00C63F8F" w:rsidRPr="00E27443">
        <w:t xml:space="preserve"> </w:t>
      </w:r>
      <w:r w:rsidRPr="00E27443">
        <w:t>to</w:t>
      </w:r>
      <w:r w:rsidR="00C63F8F" w:rsidRPr="00E27443">
        <w:t xml:space="preserve"> </w:t>
      </w:r>
      <w:r w:rsidRPr="00E27443">
        <w:t>LSS,</w:t>
      </w:r>
      <w:r w:rsidR="00C63F8F" w:rsidRPr="00E27443">
        <w:t xml:space="preserve"> </w:t>
      </w:r>
      <w:r w:rsidRPr="00E27443">
        <w:t>or</w:t>
      </w:r>
      <w:r w:rsidR="00C63F8F" w:rsidRPr="00E27443">
        <w:t xml:space="preserve"> </w:t>
      </w:r>
      <w:r w:rsidRPr="00E27443">
        <w:t>alternatively</w:t>
      </w:r>
      <w:r w:rsidR="00C63F8F" w:rsidRPr="00E27443">
        <w:t xml:space="preserve"> </w:t>
      </w:r>
      <w:r w:rsidRPr="00E27443">
        <w:t>if</w:t>
      </w:r>
      <w:r w:rsidR="00C63F8F" w:rsidRPr="00E27443">
        <w:t xml:space="preserve"> </w:t>
      </w:r>
      <w:r w:rsidRPr="00E27443">
        <w:t>a</w:t>
      </w:r>
      <w:r w:rsidR="00C63F8F" w:rsidRPr="00E27443">
        <w:t xml:space="preserve"> </w:t>
      </w:r>
      <w:r w:rsidRPr="00E27443">
        <w:t>person</w:t>
      </w:r>
      <w:r w:rsidR="00C63F8F" w:rsidRPr="00E27443">
        <w:t>’</w:t>
      </w:r>
      <w:r w:rsidRPr="00E27443">
        <w:t>s</w:t>
      </w:r>
      <w:r w:rsidR="00C63F8F" w:rsidRPr="00E27443">
        <w:t xml:space="preserve"> </w:t>
      </w:r>
      <w:r w:rsidRPr="00E27443">
        <w:t>application</w:t>
      </w:r>
      <w:r w:rsidR="00C63F8F" w:rsidRPr="00E27443">
        <w:t xml:space="preserve"> </w:t>
      </w:r>
      <w:r w:rsidRPr="00E27443">
        <w:t>for</w:t>
      </w:r>
      <w:r w:rsidR="00C63F8F" w:rsidRPr="00E27443">
        <w:t xml:space="preserve"> </w:t>
      </w:r>
      <w:r w:rsidRPr="00E27443">
        <w:t>an</w:t>
      </w:r>
      <w:r w:rsidR="00C63F8F" w:rsidRPr="00E27443">
        <w:t xml:space="preserve"> </w:t>
      </w:r>
      <w:r w:rsidRPr="00E27443">
        <w:t>initiative</w:t>
      </w:r>
      <w:r w:rsidR="00C63F8F" w:rsidRPr="00E27443">
        <w:t xml:space="preserve"> </w:t>
      </w:r>
      <w:r w:rsidRPr="00E27443">
        <w:t>has</w:t>
      </w:r>
      <w:r w:rsidR="00C63F8F" w:rsidRPr="00E27443">
        <w:t xml:space="preserve"> </w:t>
      </w:r>
      <w:r w:rsidRPr="00E27443">
        <w:t>been</w:t>
      </w:r>
      <w:r w:rsidR="00C63F8F" w:rsidRPr="00E27443">
        <w:t xml:space="preserve"> </w:t>
      </w:r>
      <w:r w:rsidRPr="00E27443">
        <w:t>rejected</w:t>
      </w:r>
      <w:r w:rsidR="00C63F8F" w:rsidRPr="00E27443">
        <w:t xml:space="preserve"> </w:t>
      </w:r>
      <w:r w:rsidRPr="00E27443">
        <w:t>or</w:t>
      </w:r>
      <w:r w:rsidR="00C63F8F" w:rsidRPr="00E27443">
        <w:t xml:space="preserve"> </w:t>
      </w:r>
      <w:r w:rsidRPr="00E27443">
        <w:t>if</w:t>
      </w:r>
      <w:r w:rsidR="00C63F8F" w:rsidRPr="00E27443">
        <w:t xml:space="preserve"> </w:t>
      </w:r>
      <w:r w:rsidRPr="00E27443">
        <w:t>they</w:t>
      </w:r>
      <w:r w:rsidR="00C63F8F" w:rsidRPr="00E27443">
        <w:t xml:space="preserve"> </w:t>
      </w:r>
      <w:r w:rsidRPr="00E27443">
        <w:t>have</w:t>
      </w:r>
      <w:r w:rsidR="00C63F8F" w:rsidRPr="00E27443">
        <w:t xml:space="preserve"> </w:t>
      </w:r>
      <w:r w:rsidRPr="00E27443">
        <w:t>complaints</w:t>
      </w:r>
      <w:r w:rsidR="00C63F8F" w:rsidRPr="00E27443">
        <w:t xml:space="preserve"> </w:t>
      </w:r>
      <w:r w:rsidRPr="00E27443">
        <w:t>about</w:t>
      </w:r>
      <w:r w:rsidR="00C63F8F" w:rsidRPr="00E27443">
        <w:t xml:space="preserve"> </w:t>
      </w:r>
      <w:r w:rsidRPr="00E27443">
        <w:t>the</w:t>
      </w:r>
      <w:r w:rsidR="00C63F8F" w:rsidRPr="00E27443">
        <w:t xml:space="preserve"> </w:t>
      </w:r>
      <w:r w:rsidRPr="00E27443">
        <w:t>quality</w:t>
      </w:r>
      <w:r w:rsidR="00C63F8F" w:rsidRPr="00E27443">
        <w:t xml:space="preserve"> </w:t>
      </w:r>
      <w:r w:rsidRPr="00E27443">
        <w:t>of</w:t>
      </w:r>
      <w:r w:rsidR="00C63F8F" w:rsidRPr="00E27443">
        <w:t xml:space="preserve"> </w:t>
      </w:r>
      <w:r w:rsidRPr="00E27443">
        <w:t>the</w:t>
      </w:r>
      <w:r w:rsidR="00C63F8F" w:rsidRPr="00E27443">
        <w:t xml:space="preserve"> </w:t>
      </w:r>
      <w:r w:rsidRPr="00E27443">
        <w:t>initiative.</w:t>
      </w:r>
    </w:p>
    <w:p w:rsidR="00321ADA" w:rsidRPr="00E27443" w:rsidRDefault="00321ADA" w:rsidP="00BF6429">
      <w:pPr>
        <w:pStyle w:val="SingleTxtG"/>
        <w:numPr>
          <w:ilvl w:val="0"/>
          <w:numId w:val="20"/>
        </w:numPr>
        <w:tabs>
          <w:tab w:val="left" w:pos="1843"/>
        </w:tabs>
        <w:ind w:left="1134" w:firstLine="0"/>
      </w:pPr>
      <w:r w:rsidRPr="00E27443">
        <w:t>The</w:t>
      </w:r>
      <w:r w:rsidR="00C63F8F" w:rsidRPr="00E27443">
        <w:t xml:space="preserve"> </w:t>
      </w:r>
      <w:r w:rsidRPr="00E27443">
        <w:t>LSS</w:t>
      </w:r>
      <w:r w:rsidR="00C63F8F" w:rsidRPr="00E27443">
        <w:t xml:space="preserve"> </w:t>
      </w:r>
      <w:r w:rsidRPr="00E27443">
        <w:t>covers</w:t>
      </w:r>
      <w:r w:rsidR="00C63F8F" w:rsidRPr="00E27443">
        <w:t xml:space="preserve"> </w:t>
      </w:r>
      <w:r w:rsidRPr="00E27443">
        <w:t>ten</w:t>
      </w:r>
      <w:r w:rsidR="00C63F8F" w:rsidRPr="00E27443">
        <w:t xml:space="preserve"> </w:t>
      </w:r>
      <w:r w:rsidRPr="00E27443">
        <w:t>defined</w:t>
      </w:r>
      <w:r w:rsidR="00C63F8F" w:rsidRPr="00E27443">
        <w:t xml:space="preserve"> </w:t>
      </w:r>
      <w:r w:rsidRPr="00E27443">
        <w:t>initiatives</w:t>
      </w:r>
      <w:r w:rsidR="00C63F8F" w:rsidRPr="00E27443">
        <w:t xml:space="preserve"> </w:t>
      </w:r>
      <w:r w:rsidRPr="00E27443">
        <w:t>(§</w:t>
      </w:r>
      <w:r w:rsidR="00C63F8F" w:rsidRPr="00E27443">
        <w:t xml:space="preserve"> </w:t>
      </w:r>
      <w:r w:rsidRPr="00E27443">
        <w:t>9):</w:t>
      </w:r>
      <w:r w:rsidR="00C63F8F" w:rsidRPr="00E27443">
        <w:t xml:space="preserve"> </w:t>
      </w:r>
      <w:r w:rsidRPr="00E27443">
        <w:t>advice</w:t>
      </w:r>
      <w:r w:rsidR="00C63F8F" w:rsidRPr="00E27443">
        <w:t xml:space="preserve"> </w:t>
      </w:r>
      <w:r w:rsidRPr="00E27443">
        <w:t>and</w:t>
      </w:r>
      <w:r w:rsidR="00C63F8F" w:rsidRPr="00E27443">
        <w:t xml:space="preserve"> </w:t>
      </w:r>
      <w:r w:rsidRPr="00E27443">
        <w:t>other</w:t>
      </w:r>
      <w:r w:rsidR="00C63F8F" w:rsidRPr="00E27443">
        <w:t xml:space="preserve"> </w:t>
      </w:r>
      <w:r w:rsidRPr="00E27443">
        <w:t>personal</w:t>
      </w:r>
      <w:r w:rsidR="00C63F8F" w:rsidRPr="00E27443">
        <w:t xml:space="preserve"> </w:t>
      </w:r>
      <w:r w:rsidRPr="00E27443">
        <w:t>support,</w:t>
      </w:r>
      <w:r w:rsidR="00C63F8F" w:rsidRPr="00E27443">
        <w:t xml:space="preserve"> </w:t>
      </w:r>
      <w:r w:rsidRPr="00E27443">
        <w:t>personal</w:t>
      </w:r>
      <w:r w:rsidR="00C63F8F" w:rsidRPr="00E27443">
        <w:t xml:space="preserve"> </w:t>
      </w:r>
      <w:r w:rsidRPr="00E27443">
        <w:t>assistance,</w:t>
      </w:r>
      <w:r w:rsidR="00C63F8F" w:rsidRPr="00E27443">
        <w:t xml:space="preserve"> </w:t>
      </w:r>
      <w:r w:rsidRPr="00E27443">
        <w:t>a</w:t>
      </w:r>
      <w:r w:rsidR="00C63F8F" w:rsidRPr="00E27443">
        <w:t xml:space="preserve"> </w:t>
      </w:r>
      <w:r w:rsidRPr="00E27443">
        <w:t>companion</w:t>
      </w:r>
      <w:r w:rsidR="00C63F8F" w:rsidRPr="00E27443">
        <w:t xml:space="preserve"> </w:t>
      </w:r>
      <w:r w:rsidRPr="00E27443">
        <w:t>service,</w:t>
      </w:r>
      <w:r w:rsidR="00C63F8F" w:rsidRPr="00E27443">
        <w:t xml:space="preserve"> </w:t>
      </w:r>
      <w:r w:rsidRPr="00E27443">
        <w:t>assistance</w:t>
      </w:r>
      <w:r w:rsidR="00C63F8F" w:rsidRPr="00E27443">
        <w:t xml:space="preserve"> </w:t>
      </w:r>
      <w:r w:rsidRPr="00E27443">
        <w:t>from</w:t>
      </w:r>
      <w:r w:rsidR="00C63F8F" w:rsidRPr="00E27443">
        <w:t xml:space="preserve"> </w:t>
      </w:r>
      <w:r w:rsidRPr="00E27443">
        <w:t>a</w:t>
      </w:r>
      <w:r w:rsidR="00C63F8F" w:rsidRPr="00E27443">
        <w:t xml:space="preserve"> </w:t>
      </w:r>
      <w:r w:rsidRPr="00E27443">
        <w:t>contact</w:t>
      </w:r>
      <w:r w:rsidR="00C63F8F" w:rsidRPr="00E27443">
        <w:t xml:space="preserve"> </w:t>
      </w:r>
      <w:r w:rsidRPr="00E27443">
        <w:t>person,</w:t>
      </w:r>
      <w:r w:rsidR="00C63F8F" w:rsidRPr="00E27443">
        <w:t xml:space="preserve"> </w:t>
      </w:r>
      <w:r w:rsidRPr="00E27443">
        <w:t>relief</w:t>
      </w:r>
      <w:r w:rsidR="00C63F8F" w:rsidRPr="00E27443">
        <w:t xml:space="preserve"> </w:t>
      </w:r>
      <w:r w:rsidRPr="00E27443">
        <w:t>service</w:t>
      </w:r>
      <w:r w:rsidR="00C63F8F" w:rsidRPr="00E27443">
        <w:t xml:space="preserve"> </w:t>
      </w:r>
      <w:r w:rsidRPr="00E27443">
        <w:t>in</w:t>
      </w:r>
      <w:r w:rsidR="00C63F8F" w:rsidRPr="00E27443">
        <w:t xml:space="preserve"> </w:t>
      </w:r>
      <w:r w:rsidRPr="00E27443">
        <w:t>the</w:t>
      </w:r>
      <w:r w:rsidR="00C63F8F" w:rsidRPr="00E27443">
        <w:t xml:space="preserve"> </w:t>
      </w:r>
      <w:r w:rsidRPr="00E27443">
        <w:t>home,</w:t>
      </w:r>
      <w:r w:rsidR="00C63F8F" w:rsidRPr="00E27443">
        <w:t xml:space="preserve"> </w:t>
      </w:r>
      <w:r w:rsidRPr="00E27443">
        <w:t>short</w:t>
      </w:r>
      <w:r w:rsidR="00C63F8F" w:rsidRPr="00E27443">
        <w:t xml:space="preserve"> </w:t>
      </w:r>
      <w:r w:rsidRPr="00E27443">
        <w:t>stay</w:t>
      </w:r>
      <w:r w:rsidR="00C63F8F" w:rsidRPr="00E27443">
        <w:t xml:space="preserve"> </w:t>
      </w:r>
      <w:r w:rsidRPr="00E27443">
        <w:t>away</w:t>
      </w:r>
      <w:r w:rsidR="00C63F8F" w:rsidRPr="00E27443">
        <w:t xml:space="preserve"> </w:t>
      </w:r>
      <w:r w:rsidRPr="00E27443">
        <w:t>from</w:t>
      </w:r>
      <w:r w:rsidR="00C63F8F" w:rsidRPr="00E27443">
        <w:t xml:space="preserve"> </w:t>
      </w:r>
      <w:r w:rsidRPr="00E27443">
        <w:t>home,</w:t>
      </w:r>
      <w:r w:rsidR="00C63F8F" w:rsidRPr="00E27443">
        <w:t xml:space="preserve"> </w:t>
      </w:r>
      <w:r w:rsidRPr="00E27443">
        <w:t>short</w:t>
      </w:r>
      <w:r w:rsidR="00C63F8F" w:rsidRPr="00E27443">
        <w:t xml:space="preserve"> </w:t>
      </w:r>
      <w:r w:rsidRPr="00E27443">
        <w:t>period</w:t>
      </w:r>
      <w:r w:rsidR="00C63F8F" w:rsidRPr="00E27443">
        <w:t xml:space="preserve"> </w:t>
      </w:r>
      <w:r w:rsidRPr="00E27443">
        <w:t>of</w:t>
      </w:r>
      <w:r w:rsidR="00C63F8F" w:rsidRPr="00E27443">
        <w:t xml:space="preserve"> </w:t>
      </w:r>
      <w:r w:rsidRPr="00E27443">
        <w:t>supervision</w:t>
      </w:r>
      <w:r w:rsidR="00C63F8F" w:rsidRPr="00E27443">
        <w:t xml:space="preserve"> </w:t>
      </w:r>
      <w:r w:rsidRPr="00E27443">
        <w:t>for</w:t>
      </w:r>
      <w:r w:rsidR="00C63F8F" w:rsidRPr="00E27443">
        <w:t xml:space="preserve"> </w:t>
      </w:r>
      <w:r w:rsidRPr="00E27443">
        <w:t>schoolchildren</w:t>
      </w:r>
      <w:r w:rsidR="00C63F8F" w:rsidRPr="00E27443">
        <w:t xml:space="preserve"> </w:t>
      </w:r>
      <w:r w:rsidRPr="00E27443">
        <w:t>over</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12,</w:t>
      </w:r>
      <w:r w:rsidR="00C63F8F" w:rsidRPr="00E27443">
        <w:t xml:space="preserve"> </w:t>
      </w:r>
      <w:r w:rsidRPr="00E27443">
        <w:t>which</w:t>
      </w:r>
      <w:r w:rsidR="00C63F8F" w:rsidRPr="00E27443">
        <w:t xml:space="preserve"> </w:t>
      </w:r>
      <w:r w:rsidRPr="00E27443">
        <w:t>means</w:t>
      </w:r>
      <w:r w:rsidR="00C63F8F" w:rsidRPr="00E27443">
        <w:t xml:space="preserve"> </w:t>
      </w:r>
      <w:r w:rsidRPr="00E27443">
        <w:t>that</w:t>
      </w:r>
      <w:r w:rsidR="00C63F8F" w:rsidRPr="00E27443">
        <w:t xml:space="preserve"> </w:t>
      </w:r>
      <w:r w:rsidRPr="00E27443">
        <w:t>schoolchildren</w:t>
      </w:r>
      <w:r w:rsidR="00C63F8F" w:rsidRPr="00E27443">
        <w:t xml:space="preserve"> </w:t>
      </w:r>
      <w:r w:rsidRPr="00E27443">
        <w:t>over</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12</w:t>
      </w:r>
      <w:r w:rsidR="00C63F8F" w:rsidRPr="00E27443">
        <w:t xml:space="preserve"> </w:t>
      </w:r>
      <w:r w:rsidRPr="00E27443">
        <w:t>are</w:t>
      </w:r>
      <w:r w:rsidR="00C63F8F" w:rsidRPr="00E27443">
        <w:t xml:space="preserve"> </w:t>
      </w:r>
      <w:r w:rsidRPr="00E27443">
        <w:t>entitled</w:t>
      </w:r>
      <w:r w:rsidR="00C63F8F" w:rsidRPr="00E27443">
        <w:t xml:space="preserve"> </w:t>
      </w:r>
      <w:r w:rsidRPr="00E27443">
        <w:t>to</w:t>
      </w:r>
      <w:r w:rsidR="00C63F8F" w:rsidRPr="00E27443">
        <w:t xml:space="preserve"> </w:t>
      </w:r>
      <w:r w:rsidRPr="00E27443">
        <w:t>supervision</w:t>
      </w:r>
      <w:r w:rsidR="00C63F8F" w:rsidRPr="00E27443">
        <w:t xml:space="preserve"> </w:t>
      </w:r>
      <w:r w:rsidRPr="00E27443">
        <w:t>before</w:t>
      </w:r>
      <w:r w:rsidR="00C63F8F" w:rsidRPr="00E27443">
        <w:t xml:space="preserve"> </w:t>
      </w:r>
      <w:r w:rsidRPr="00E27443">
        <w:t>and</w:t>
      </w:r>
      <w:r w:rsidR="00C63F8F" w:rsidRPr="00E27443">
        <w:t xml:space="preserve"> </w:t>
      </w:r>
      <w:r w:rsidRPr="00E27443">
        <w:t>after</w:t>
      </w:r>
      <w:r w:rsidR="00C63F8F" w:rsidRPr="00E27443">
        <w:t xml:space="preserve"> </w:t>
      </w:r>
      <w:r w:rsidRPr="00E27443">
        <w:t>school</w:t>
      </w:r>
      <w:r w:rsidR="00C63F8F" w:rsidRPr="00E27443">
        <w:t xml:space="preserve"> </w:t>
      </w:r>
      <w:r w:rsidRPr="00E27443">
        <w:t>and</w:t>
      </w:r>
      <w:r w:rsidR="00C63F8F" w:rsidRPr="00E27443">
        <w:t xml:space="preserve"> </w:t>
      </w:r>
      <w:r w:rsidRPr="00E27443">
        <w:t>during</w:t>
      </w:r>
      <w:r w:rsidR="00C63F8F" w:rsidRPr="00E27443">
        <w:t xml:space="preserve"> </w:t>
      </w:r>
      <w:r w:rsidRPr="00E27443">
        <w:t>holidays.</w:t>
      </w:r>
      <w:r w:rsidR="00C63F8F" w:rsidRPr="00E27443">
        <w:t xml:space="preserve"> </w:t>
      </w:r>
      <w:r w:rsidRPr="00E27443">
        <w:t>Another</w:t>
      </w:r>
      <w:r w:rsidR="00C63F8F" w:rsidRPr="00E27443">
        <w:t xml:space="preserve"> </w:t>
      </w:r>
      <w:r w:rsidRPr="00E27443">
        <w:t>initiative</w:t>
      </w:r>
      <w:r w:rsidR="00C63F8F" w:rsidRPr="00E27443">
        <w:t xml:space="preserve"> </w:t>
      </w:r>
      <w:r w:rsidRPr="00E27443">
        <w:t>relates</w:t>
      </w:r>
      <w:r w:rsidR="00C63F8F" w:rsidRPr="00E27443">
        <w:t xml:space="preserve"> </w:t>
      </w:r>
      <w:r w:rsidRPr="00E27443">
        <w:t>to</w:t>
      </w:r>
      <w:r w:rsidR="00C63F8F" w:rsidRPr="00E27443">
        <w:t xml:space="preserve"> </w:t>
      </w:r>
      <w:r w:rsidRPr="00E27443">
        <w:t>living</w:t>
      </w:r>
      <w:r w:rsidR="00C63F8F" w:rsidRPr="00E27443">
        <w:t xml:space="preserve"> </w:t>
      </w:r>
      <w:r w:rsidRPr="00E27443">
        <w:t>in</w:t>
      </w:r>
      <w:r w:rsidR="00C63F8F" w:rsidRPr="00E27443">
        <w:t xml:space="preserve"> </w:t>
      </w:r>
      <w:r w:rsidRPr="00E27443">
        <w:t>the</w:t>
      </w:r>
      <w:r w:rsidR="00C63F8F" w:rsidRPr="00E27443">
        <w:t xml:space="preserve"> </w:t>
      </w:r>
      <w:r w:rsidRPr="00E27443">
        <w:t>family</w:t>
      </w:r>
      <w:r w:rsidR="00C63F8F" w:rsidRPr="00E27443">
        <w:t xml:space="preserve"> </w:t>
      </w:r>
      <w:r w:rsidRPr="00E27443">
        <w:t>home</w:t>
      </w:r>
      <w:r w:rsidR="00C63F8F" w:rsidRPr="00E27443">
        <w:t xml:space="preserve"> </w:t>
      </w:r>
      <w:r w:rsidRPr="00E27443">
        <w:t>or</w:t>
      </w:r>
      <w:r w:rsidR="00C63F8F" w:rsidRPr="00E27443">
        <w:t xml:space="preserve"> </w:t>
      </w:r>
      <w:r w:rsidRPr="00E27443">
        <w:t>in</w:t>
      </w:r>
      <w:r w:rsidR="00C63F8F" w:rsidRPr="00E27443">
        <w:t xml:space="preserve"> </w:t>
      </w:r>
      <w:r w:rsidRPr="00E27443">
        <w:t>a</w:t>
      </w:r>
      <w:r w:rsidR="00C63F8F" w:rsidRPr="00E27443">
        <w:t xml:space="preserve"> </w:t>
      </w:r>
      <w:r w:rsidRPr="00E27443">
        <w:t>residence</w:t>
      </w:r>
      <w:r w:rsidR="00C63F8F" w:rsidRPr="00E27443">
        <w:t xml:space="preserve"> </w:t>
      </w:r>
      <w:r w:rsidRPr="00E27443">
        <w:t>with</w:t>
      </w:r>
      <w:r w:rsidR="00C63F8F" w:rsidRPr="00E27443">
        <w:t xml:space="preserve"> </w:t>
      </w:r>
      <w:r w:rsidRPr="00E27443">
        <w:t>special</w:t>
      </w:r>
      <w:r w:rsidR="00C63F8F" w:rsidRPr="00E27443">
        <w:t xml:space="preserve"> </w:t>
      </w:r>
      <w:r w:rsidRPr="00E27443">
        <w:t>services</w:t>
      </w:r>
      <w:r w:rsidR="00C63F8F" w:rsidRPr="00E27443">
        <w:t xml:space="preserve"> </w:t>
      </w:r>
      <w:r w:rsidRPr="00E27443">
        <w:t>for</w:t>
      </w:r>
      <w:r w:rsidR="00C63F8F" w:rsidRPr="00E27443">
        <w:t xml:space="preserve"> </w:t>
      </w:r>
      <w:r w:rsidRPr="00E27443">
        <w:t>children</w:t>
      </w:r>
      <w:r w:rsidR="00C63F8F" w:rsidRPr="00E27443">
        <w:t xml:space="preserve"> </w:t>
      </w:r>
      <w:r w:rsidRPr="00E27443">
        <w:t>and</w:t>
      </w:r>
      <w:r w:rsidR="00C63F8F" w:rsidRPr="00E27443">
        <w:t xml:space="preserve"> </w:t>
      </w:r>
      <w:r w:rsidRPr="00E27443">
        <w:t>adolescents,</w:t>
      </w:r>
      <w:r w:rsidR="00C63F8F" w:rsidRPr="00E27443">
        <w:t xml:space="preserve"> </w:t>
      </w:r>
      <w:r w:rsidRPr="00E27443">
        <w:t>which</w:t>
      </w:r>
      <w:r w:rsidR="00C63F8F" w:rsidRPr="00E27443">
        <w:t xml:space="preserve"> </w:t>
      </w:r>
      <w:r w:rsidRPr="00E27443">
        <w:t>entails</w:t>
      </w:r>
      <w:r w:rsidR="00C63F8F" w:rsidRPr="00E27443">
        <w:t xml:space="preserve"> </w:t>
      </w:r>
      <w:r w:rsidRPr="00E27443">
        <w:t>that</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who</w:t>
      </w:r>
      <w:r w:rsidR="00C63F8F" w:rsidRPr="00E27443">
        <w:t xml:space="preserve"> </w:t>
      </w:r>
      <w:r w:rsidRPr="00E27443">
        <w:t>cannot</w:t>
      </w:r>
      <w:r w:rsidR="00C63F8F" w:rsidRPr="00E27443">
        <w:t xml:space="preserve"> </w:t>
      </w:r>
      <w:r w:rsidRPr="00E27443">
        <w:t>live</w:t>
      </w:r>
      <w:r w:rsidR="00C63F8F" w:rsidRPr="00E27443">
        <w:t xml:space="preserve"> </w:t>
      </w:r>
      <w:r w:rsidRPr="00E27443">
        <w:t>with</w:t>
      </w:r>
      <w:r w:rsidR="00C63F8F" w:rsidRPr="00E27443">
        <w:t xml:space="preserve"> </w:t>
      </w:r>
      <w:r w:rsidRPr="00E27443">
        <w:t>their</w:t>
      </w:r>
      <w:r w:rsidR="00C63F8F" w:rsidRPr="00E27443">
        <w:t xml:space="preserve"> </w:t>
      </w:r>
      <w:r w:rsidRPr="00E27443">
        <w:t>parents</w:t>
      </w:r>
      <w:r w:rsidR="00C63F8F" w:rsidRPr="00E27443">
        <w:t xml:space="preserve"> </w:t>
      </w:r>
      <w:r w:rsidRPr="00E27443">
        <w:t>may</w:t>
      </w:r>
      <w:r w:rsidR="00C63F8F" w:rsidRPr="00E27443">
        <w:t xml:space="preserve"> </w:t>
      </w:r>
      <w:r w:rsidRPr="00E27443">
        <w:t>be</w:t>
      </w:r>
      <w:r w:rsidR="00C63F8F" w:rsidRPr="00E27443">
        <w:t xml:space="preserve"> </w:t>
      </w:r>
      <w:r w:rsidRPr="00E27443">
        <w:t>entitled</w:t>
      </w:r>
      <w:r w:rsidR="00C63F8F" w:rsidRPr="00E27443">
        <w:t xml:space="preserve"> </w:t>
      </w:r>
      <w:r w:rsidRPr="00E27443">
        <w:t>to</w:t>
      </w:r>
      <w:r w:rsidR="00C63F8F" w:rsidRPr="00E27443">
        <w:t xml:space="preserve"> </w:t>
      </w:r>
      <w:r w:rsidRPr="00E27443">
        <w:t>live</w:t>
      </w:r>
      <w:r w:rsidR="00C63F8F" w:rsidRPr="00E27443">
        <w:t xml:space="preserve"> </w:t>
      </w:r>
      <w:r w:rsidRPr="00E27443">
        <w:t>with</w:t>
      </w:r>
      <w:r w:rsidR="00C63F8F" w:rsidRPr="00E27443">
        <w:t xml:space="preserve"> </w:t>
      </w:r>
      <w:r w:rsidRPr="00E27443">
        <w:t>another</w:t>
      </w:r>
      <w:r w:rsidR="00C63F8F" w:rsidRPr="00E27443">
        <w:t xml:space="preserve"> </w:t>
      </w:r>
      <w:r w:rsidRPr="00E27443">
        <w:t>family</w:t>
      </w:r>
      <w:r w:rsidR="00C63F8F" w:rsidRPr="00E27443">
        <w:t xml:space="preserve"> </w:t>
      </w:r>
      <w:r w:rsidRPr="00E27443">
        <w:t>or</w:t>
      </w:r>
      <w:r w:rsidR="00C63F8F" w:rsidRPr="00E27443">
        <w:t xml:space="preserve"> </w:t>
      </w:r>
      <w:r w:rsidRPr="00E27443">
        <w:t>in</w:t>
      </w:r>
      <w:r w:rsidR="00C63F8F" w:rsidRPr="00E27443">
        <w:t xml:space="preserve"> </w:t>
      </w:r>
      <w:r w:rsidRPr="00E27443">
        <w:t>a</w:t>
      </w:r>
      <w:r w:rsidR="00C63F8F" w:rsidRPr="00E27443">
        <w:t xml:space="preserve"> </w:t>
      </w:r>
      <w:r w:rsidRPr="00E27443">
        <w:t>residence</w:t>
      </w:r>
      <w:r w:rsidR="00C63F8F" w:rsidRPr="00E27443">
        <w:t xml:space="preserve"> </w:t>
      </w:r>
      <w:r w:rsidRPr="00E27443">
        <w:t>that</w:t>
      </w:r>
      <w:r w:rsidR="00C63F8F" w:rsidRPr="00E27443">
        <w:t xml:space="preserve"> </w:t>
      </w:r>
      <w:r w:rsidRPr="00E27443">
        <w:t>provides</w:t>
      </w:r>
      <w:r w:rsidR="00C63F8F" w:rsidRPr="00E27443">
        <w:t xml:space="preserve"> </w:t>
      </w:r>
      <w:r w:rsidRPr="00E27443">
        <w:t>special</w:t>
      </w:r>
      <w:r w:rsidR="00C63F8F" w:rsidRPr="00E27443">
        <w:t xml:space="preserve"> </w:t>
      </w:r>
      <w:r w:rsidRPr="00E27443">
        <w:t>services.</w:t>
      </w:r>
      <w:r w:rsidR="00C63F8F" w:rsidRPr="00E27443">
        <w:t xml:space="preserve"> </w:t>
      </w:r>
      <w:r w:rsidRPr="00E27443">
        <w:t>This</w:t>
      </w:r>
      <w:r w:rsidR="00C63F8F" w:rsidRPr="00E27443">
        <w:t xml:space="preserve"> </w:t>
      </w:r>
      <w:r w:rsidRPr="00E27443">
        <w:t>should</w:t>
      </w:r>
      <w:r w:rsidR="00C63F8F" w:rsidRPr="00E27443">
        <w:t xml:space="preserve"> </w:t>
      </w:r>
      <w:r w:rsidRPr="00E27443">
        <w:t>be</w:t>
      </w:r>
      <w:r w:rsidR="00C63F8F" w:rsidRPr="00E27443">
        <w:t xml:space="preserve"> </w:t>
      </w:r>
      <w:r w:rsidRPr="00E27443">
        <w:t>a</w:t>
      </w:r>
      <w:r w:rsidR="00C63F8F" w:rsidRPr="00E27443">
        <w:t xml:space="preserve"> </w:t>
      </w:r>
      <w:r w:rsidRPr="00E27443">
        <w:t>complement</w:t>
      </w:r>
      <w:r w:rsidR="00C63F8F" w:rsidRPr="00E27443">
        <w:t xml:space="preserve"> </w:t>
      </w:r>
      <w:r w:rsidRPr="00E27443">
        <w:t>to</w:t>
      </w:r>
      <w:r w:rsidR="00C63F8F" w:rsidRPr="00E27443">
        <w:t xml:space="preserve"> </w:t>
      </w:r>
      <w:r w:rsidRPr="00E27443">
        <w:t>the</w:t>
      </w:r>
      <w:r w:rsidR="00C63F8F" w:rsidRPr="00E27443">
        <w:t xml:space="preserve"> </w:t>
      </w:r>
      <w:r w:rsidRPr="00E27443">
        <w:t>parental</w:t>
      </w:r>
      <w:r w:rsidR="00C63F8F" w:rsidRPr="00E27443">
        <w:t xml:space="preserve"> </w:t>
      </w:r>
      <w:r w:rsidRPr="00E27443">
        <w:t>home</w:t>
      </w:r>
      <w:r w:rsidR="00C63F8F" w:rsidRPr="00E27443">
        <w:t xml:space="preserve"> </w:t>
      </w:r>
      <w:r w:rsidRPr="00E27443">
        <w:t>both</w:t>
      </w:r>
      <w:r w:rsidR="00C63F8F" w:rsidRPr="00E27443">
        <w:t xml:space="preserve"> </w:t>
      </w:r>
      <w:r w:rsidRPr="00E27443">
        <w:t>for</w:t>
      </w:r>
      <w:r w:rsidR="00C63F8F" w:rsidRPr="00E27443">
        <w:t xml:space="preserve"> </w:t>
      </w:r>
      <w:r w:rsidRPr="00E27443">
        <w:t>the</w:t>
      </w:r>
      <w:r w:rsidR="00C63F8F" w:rsidRPr="00E27443">
        <w:t xml:space="preserve"> </w:t>
      </w:r>
      <w:r w:rsidRPr="00E27443">
        <w:t>children</w:t>
      </w:r>
      <w:r w:rsidR="00C63F8F" w:rsidRPr="00E27443">
        <w:t xml:space="preserve"> </w:t>
      </w:r>
      <w:r w:rsidRPr="00E27443">
        <w:t>who</w:t>
      </w:r>
      <w:r w:rsidR="00C63F8F" w:rsidRPr="00E27443">
        <w:t xml:space="preserve"> </w:t>
      </w:r>
      <w:r w:rsidRPr="00E27443">
        <w:t>can</w:t>
      </w:r>
      <w:r w:rsidR="00C63F8F" w:rsidRPr="00E27443">
        <w:t xml:space="preserve"> </w:t>
      </w:r>
      <w:r w:rsidRPr="00E27443">
        <w:t>live</w:t>
      </w:r>
      <w:r w:rsidR="00C63F8F" w:rsidRPr="00E27443">
        <w:t xml:space="preserve"> </w:t>
      </w:r>
      <w:r w:rsidRPr="00E27443">
        <w:t>with</w:t>
      </w:r>
      <w:r w:rsidR="00C63F8F" w:rsidRPr="00E27443">
        <w:t xml:space="preserve"> </w:t>
      </w:r>
      <w:r w:rsidRPr="00E27443">
        <w:t>their</w:t>
      </w:r>
      <w:r w:rsidR="00C63F8F" w:rsidRPr="00E27443">
        <w:t xml:space="preserve"> </w:t>
      </w:r>
      <w:r w:rsidRPr="00E27443">
        <w:t>parents</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time</w:t>
      </w:r>
      <w:r w:rsidR="00C63F8F" w:rsidRPr="00E27443">
        <w:t xml:space="preserve"> </w:t>
      </w:r>
      <w:r w:rsidRPr="00E27443">
        <w:t>and</w:t>
      </w:r>
      <w:r w:rsidR="00C63F8F" w:rsidRPr="00E27443">
        <w:t xml:space="preserve"> </w:t>
      </w:r>
      <w:r w:rsidRPr="00E27443">
        <w:t>for</w:t>
      </w:r>
      <w:r w:rsidR="00C63F8F" w:rsidRPr="00E27443">
        <w:t xml:space="preserve"> </w:t>
      </w:r>
      <w:r w:rsidRPr="00E27443">
        <w:t>those</w:t>
      </w:r>
      <w:r w:rsidR="00C63F8F" w:rsidRPr="00E27443">
        <w:t xml:space="preserve"> </w:t>
      </w:r>
      <w:r w:rsidRPr="00E27443">
        <w:t>who</w:t>
      </w:r>
      <w:r w:rsidR="00C63F8F" w:rsidRPr="00E27443">
        <w:t xml:space="preserve"> </w:t>
      </w:r>
      <w:r w:rsidRPr="00E27443">
        <w:t>cannot</w:t>
      </w:r>
      <w:r w:rsidR="00C63F8F" w:rsidRPr="00E27443">
        <w:t xml:space="preserve"> </w:t>
      </w:r>
      <w:r w:rsidRPr="00E27443">
        <w:t>live</w:t>
      </w:r>
      <w:r w:rsidR="00C63F8F" w:rsidRPr="00E27443">
        <w:t xml:space="preserve"> </w:t>
      </w:r>
      <w:r w:rsidRPr="00E27443">
        <w:t>at</w:t>
      </w:r>
      <w:r w:rsidR="00C63F8F" w:rsidRPr="00E27443">
        <w:t xml:space="preserve"> </w:t>
      </w:r>
      <w:r w:rsidRPr="00E27443">
        <w:t>home</w:t>
      </w:r>
      <w:r w:rsidR="00C63F8F" w:rsidRPr="00E27443">
        <w:t xml:space="preserve"> </w:t>
      </w:r>
      <w:r w:rsidRPr="00E27443">
        <w:t>at</w:t>
      </w:r>
      <w:r w:rsidR="00C63F8F" w:rsidRPr="00E27443">
        <w:t xml:space="preserve"> </w:t>
      </w:r>
      <w:r w:rsidRPr="00E27443">
        <w:t>all.</w:t>
      </w:r>
      <w:r w:rsidR="00C63F8F" w:rsidRPr="00E27443">
        <w:t xml:space="preserve"> </w:t>
      </w:r>
      <w:r w:rsidRPr="00E27443">
        <w:t>Another</w:t>
      </w:r>
      <w:r w:rsidR="00C63F8F" w:rsidRPr="00E27443">
        <w:t xml:space="preserve"> </w:t>
      </w:r>
      <w:r w:rsidRPr="00E27443">
        <w:t>initiative</w:t>
      </w:r>
      <w:r w:rsidR="00C63F8F" w:rsidRPr="00E27443">
        <w:t xml:space="preserve"> </w:t>
      </w:r>
      <w:r w:rsidRPr="00E27443">
        <w:t>is</w:t>
      </w:r>
      <w:r w:rsidR="00C63F8F" w:rsidRPr="00E27443">
        <w:t xml:space="preserve"> </w:t>
      </w:r>
      <w:r w:rsidRPr="00E27443">
        <w:t>residence</w:t>
      </w:r>
      <w:r w:rsidR="00C63F8F" w:rsidRPr="00E27443">
        <w:t xml:space="preserve"> </w:t>
      </w:r>
      <w:r w:rsidRPr="00E27443">
        <w:t>with</w:t>
      </w:r>
      <w:r w:rsidR="00C63F8F" w:rsidRPr="00E27443">
        <w:t xml:space="preserve"> </w:t>
      </w:r>
      <w:r w:rsidRPr="00E27443">
        <w:t>special</w:t>
      </w:r>
      <w:r w:rsidR="00C63F8F" w:rsidRPr="00E27443">
        <w:t xml:space="preserve"> </w:t>
      </w:r>
      <w:r w:rsidRPr="00E27443">
        <w:t>services</w:t>
      </w:r>
      <w:r w:rsidR="00C63F8F" w:rsidRPr="00E27443">
        <w:t xml:space="preserve"> </w:t>
      </w:r>
      <w:r w:rsidRPr="00E27443">
        <w:t>for</w:t>
      </w:r>
      <w:r w:rsidR="00C63F8F" w:rsidRPr="00E27443">
        <w:t xml:space="preserve"> </w:t>
      </w:r>
      <w:r w:rsidRPr="00E27443">
        <w:t>adults</w:t>
      </w:r>
      <w:r w:rsidR="00C63F8F" w:rsidRPr="00E27443">
        <w:t xml:space="preserve"> </w:t>
      </w:r>
      <w:r w:rsidRPr="00E27443">
        <w:t>or</w:t>
      </w:r>
      <w:r w:rsidR="00C63F8F" w:rsidRPr="00E27443">
        <w:t xml:space="preserve"> </w:t>
      </w:r>
      <w:r w:rsidRPr="00E27443">
        <w:t>other</w:t>
      </w:r>
      <w:r w:rsidR="00C63F8F" w:rsidRPr="00E27443">
        <w:t xml:space="preserve"> </w:t>
      </w:r>
      <w:r w:rsidRPr="00E27443">
        <w:t>specially</w:t>
      </w:r>
      <w:r w:rsidR="00C63F8F" w:rsidRPr="00E27443">
        <w:t xml:space="preserve"> </w:t>
      </w:r>
      <w:r w:rsidRPr="00E27443">
        <w:t>adapted</w:t>
      </w:r>
      <w:r w:rsidR="00C63F8F" w:rsidRPr="00E27443">
        <w:t xml:space="preserve"> </w:t>
      </w:r>
      <w:r w:rsidRPr="00E27443">
        <w:t>housing</w:t>
      </w:r>
      <w:r w:rsidR="00C63F8F" w:rsidRPr="00E27443">
        <w:t xml:space="preserve"> </w:t>
      </w:r>
      <w:r w:rsidRPr="00E27443">
        <w:t>for</w:t>
      </w:r>
      <w:r w:rsidR="00C63F8F" w:rsidRPr="00E27443">
        <w:t xml:space="preserve"> </w:t>
      </w:r>
      <w:r w:rsidRPr="00E27443">
        <w:t>adults.</w:t>
      </w:r>
      <w:r w:rsidR="00C63F8F" w:rsidRPr="00E27443">
        <w:t xml:space="preserve"> </w:t>
      </w:r>
      <w:r w:rsidRPr="00E27443">
        <w:t>Residential</w:t>
      </w:r>
      <w:r w:rsidR="00C63F8F" w:rsidRPr="00E27443">
        <w:t xml:space="preserve"> </w:t>
      </w:r>
      <w:r w:rsidRPr="00E27443">
        <w:t>arrangements</w:t>
      </w:r>
      <w:r w:rsidR="00C63F8F" w:rsidRPr="00E27443">
        <w:t xml:space="preserve"> </w:t>
      </w:r>
      <w:r w:rsidRPr="00E27443">
        <w:t>may</w:t>
      </w:r>
      <w:r w:rsidR="00C63F8F" w:rsidRPr="00E27443">
        <w:t xml:space="preserve"> </w:t>
      </w:r>
      <w:r w:rsidRPr="00E27443">
        <w:t>vary,</w:t>
      </w:r>
      <w:r w:rsidR="00C63F8F" w:rsidRPr="00E27443">
        <w:t xml:space="preserve"> </w:t>
      </w:r>
      <w:r w:rsidRPr="00E27443">
        <w:t>but</w:t>
      </w:r>
      <w:r w:rsidR="00C63F8F" w:rsidRPr="00E27443">
        <w:t xml:space="preserve"> </w:t>
      </w:r>
      <w:r w:rsidRPr="00E27443">
        <w:t>the</w:t>
      </w:r>
      <w:r w:rsidR="00C63F8F" w:rsidRPr="00E27443">
        <w:t xml:space="preserve"> </w:t>
      </w:r>
      <w:r w:rsidRPr="00E27443">
        <w:t>most</w:t>
      </w:r>
      <w:r w:rsidR="00C63F8F" w:rsidRPr="00E27443">
        <w:t xml:space="preserve"> </w:t>
      </w:r>
      <w:r w:rsidRPr="00E27443">
        <w:t>common</w:t>
      </w:r>
      <w:r w:rsidR="00C63F8F" w:rsidRPr="00E27443">
        <w:t xml:space="preserve"> </w:t>
      </w:r>
      <w:r w:rsidRPr="00E27443">
        <w:t>forms</w:t>
      </w:r>
      <w:r w:rsidR="00C63F8F" w:rsidRPr="00E27443">
        <w:t xml:space="preserve"> </w:t>
      </w:r>
      <w:r w:rsidRPr="00E27443">
        <w:t>are</w:t>
      </w:r>
      <w:r w:rsidR="00C63F8F" w:rsidRPr="00E27443">
        <w:t xml:space="preserve"> </w:t>
      </w:r>
      <w:r w:rsidRPr="00E27443">
        <w:t>group</w:t>
      </w:r>
      <w:r w:rsidR="00C63F8F" w:rsidRPr="00E27443">
        <w:t xml:space="preserve"> </w:t>
      </w:r>
      <w:r w:rsidRPr="00E27443">
        <w:t>housing</w:t>
      </w:r>
      <w:r w:rsidR="00C63F8F" w:rsidRPr="00E27443">
        <w:t xml:space="preserve"> </w:t>
      </w:r>
      <w:r w:rsidRPr="00E27443">
        <w:t>and</w:t>
      </w:r>
      <w:r w:rsidR="00C63F8F" w:rsidRPr="00E27443">
        <w:t xml:space="preserve"> </w:t>
      </w:r>
      <w:r w:rsidRPr="00E27443">
        <w:t>service</w:t>
      </w:r>
      <w:r w:rsidR="00C63F8F" w:rsidRPr="00E27443">
        <w:t xml:space="preserve"> </w:t>
      </w:r>
      <w:r w:rsidRPr="00E27443">
        <w:t>housing.</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may</w:t>
      </w:r>
      <w:r w:rsidR="00C63F8F" w:rsidRPr="00E27443">
        <w:t xml:space="preserve"> </w:t>
      </w:r>
      <w:r w:rsidRPr="00E27443">
        <w:t>also</w:t>
      </w:r>
      <w:r w:rsidR="00C63F8F" w:rsidRPr="00E27443">
        <w:t xml:space="preserve"> </w:t>
      </w:r>
      <w:r w:rsidRPr="00E27443">
        <w:t>be</w:t>
      </w:r>
      <w:r w:rsidR="00C63F8F" w:rsidRPr="00E27443">
        <w:t xml:space="preserve"> </w:t>
      </w:r>
      <w:r w:rsidRPr="00E27443">
        <w:t>entitled</w:t>
      </w:r>
      <w:r w:rsidR="00C63F8F" w:rsidRPr="00E27443">
        <w:t xml:space="preserve"> </w:t>
      </w:r>
      <w:r w:rsidRPr="00E27443">
        <w:t>to</w:t>
      </w:r>
      <w:r w:rsidR="00C63F8F" w:rsidRPr="00E27443">
        <w:t xml:space="preserve"> </w:t>
      </w:r>
      <w:r w:rsidRPr="00E27443">
        <w:t>a</w:t>
      </w:r>
      <w:r w:rsidR="00C63F8F" w:rsidRPr="00E27443">
        <w:t xml:space="preserve"> </w:t>
      </w:r>
      <w:r w:rsidRPr="00E27443">
        <w:t>specially</w:t>
      </w:r>
      <w:r w:rsidR="00C63F8F" w:rsidRPr="00E27443">
        <w:t xml:space="preserve"> </w:t>
      </w:r>
      <w:r w:rsidRPr="00E27443">
        <w:t>adapted</w:t>
      </w:r>
      <w:r w:rsidR="00C63F8F" w:rsidRPr="00E27443">
        <w:t xml:space="preserve"> </w:t>
      </w:r>
      <w:r w:rsidRPr="00E27443">
        <w:t>home</w:t>
      </w:r>
      <w:r w:rsidR="00C63F8F" w:rsidRPr="00E27443">
        <w:t xml:space="preserve"> </w:t>
      </w:r>
      <w:r w:rsidRPr="00E27443">
        <w:t>that</w:t>
      </w:r>
      <w:r w:rsidR="00C63F8F" w:rsidRPr="00E27443">
        <w:t xml:space="preserve"> </w:t>
      </w:r>
      <w:r w:rsidRPr="00E27443">
        <w:t>is</w:t>
      </w:r>
      <w:r w:rsidR="00C63F8F" w:rsidRPr="00E27443">
        <w:t xml:space="preserve"> </w:t>
      </w:r>
      <w:r w:rsidRPr="00E27443">
        <w:t>assigned</w:t>
      </w:r>
      <w:r w:rsidR="00C63F8F" w:rsidRPr="00E27443">
        <w:t xml:space="preserve"> </w:t>
      </w:r>
      <w:r w:rsidRPr="00E27443">
        <w:t>by</w:t>
      </w:r>
      <w:r w:rsidR="00C63F8F" w:rsidRPr="00E27443">
        <w:t xml:space="preserve"> </w:t>
      </w:r>
      <w:r w:rsidRPr="00E27443">
        <w:t>the</w:t>
      </w:r>
      <w:r w:rsidR="00C63F8F" w:rsidRPr="00E27443">
        <w:t xml:space="preserve"> </w:t>
      </w:r>
      <w:r w:rsidRPr="00E27443">
        <w:t>municipality.</w:t>
      </w:r>
    </w:p>
    <w:p w:rsidR="00321ADA" w:rsidRPr="00E27443" w:rsidRDefault="00321ADA" w:rsidP="00BF6429">
      <w:pPr>
        <w:pStyle w:val="SingleTxtG"/>
        <w:numPr>
          <w:ilvl w:val="0"/>
          <w:numId w:val="20"/>
        </w:numPr>
        <w:tabs>
          <w:tab w:val="left" w:pos="1843"/>
        </w:tabs>
        <w:ind w:left="1134" w:firstLine="0"/>
      </w:pPr>
      <w:r w:rsidRPr="00E27443">
        <w:t>Persons</w:t>
      </w:r>
      <w:r w:rsidR="00C63F8F" w:rsidRPr="00E27443">
        <w:t xml:space="preserve"> </w:t>
      </w:r>
      <w:r w:rsidRPr="00E27443">
        <w:t>with</w:t>
      </w:r>
      <w:r w:rsidR="00C63F8F" w:rsidRPr="00E27443">
        <w:t xml:space="preserve"> </w:t>
      </w:r>
      <w:r w:rsidRPr="00E27443">
        <w:t>certain</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are</w:t>
      </w:r>
      <w:r w:rsidR="00C63F8F" w:rsidRPr="00E27443">
        <w:t xml:space="preserve"> </w:t>
      </w:r>
      <w:r w:rsidRPr="00E27443">
        <w:t>of</w:t>
      </w:r>
      <w:r w:rsidR="00C63F8F" w:rsidRPr="00E27443">
        <w:t xml:space="preserve"> </w:t>
      </w:r>
      <w:r w:rsidRPr="00E27443">
        <w:t>working</w:t>
      </w:r>
      <w:r w:rsidR="00C63F8F" w:rsidRPr="00E27443">
        <w:t xml:space="preserve"> </w:t>
      </w:r>
      <w:r w:rsidRPr="00E27443">
        <w:t>age</w:t>
      </w:r>
      <w:r w:rsidR="00C63F8F" w:rsidRPr="00E27443">
        <w:t xml:space="preserve"> </w:t>
      </w:r>
      <w:r w:rsidRPr="00E27443">
        <w:t>and</w:t>
      </w:r>
      <w:r w:rsidR="00C63F8F" w:rsidRPr="00E27443">
        <w:t xml:space="preserve"> </w:t>
      </w:r>
      <w:r w:rsidRPr="00E27443">
        <w:t>who</w:t>
      </w:r>
      <w:r w:rsidR="00C63F8F" w:rsidRPr="00E27443">
        <w:t xml:space="preserve"> </w:t>
      </w:r>
      <w:r w:rsidRPr="00E27443">
        <w:t>are</w:t>
      </w:r>
      <w:r w:rsidR="00C63F8F" w:rsidRPr="00E27443">
        <w:t xml:space="preserve"> </w:t>
      </w:r>
      <w:r w:rsidRPr="00E27443">
        <w:t>not</w:t>
      </w:r>
      <w:r w:rsidR="00C63F8F" w:rsidRPr="00E27443">
        <w:t xml:space="preserve"> </w:t>
      </w:r>
      <w:r w:rsidRPr="00E27443">
        <w:t>gainfully</w:t>
      </w:r>
      <w:r w:rsidR="00C63F8F" w:rsidRPr="00E27443">
        <w:t xml:space="preserve"> </w:t>
      </w:r>
      <w:r w:rsidRPr="00E27443">
        <w:t>employed</w:t>
      </w:r>
      <w:r w:rsidR="00C63F8F" w:rsidRPr="00E27443">
        <w:t xml:space="preserve"> </w:t>
      </w:r>
      <w:r w:rsidRPr="00E27443">
        <w:t>or</w:t>
      </w:r>
      <w:r w:rsidR="00C63F8F" w:rsidRPr="00E27443">
        <w:t xml:space="preserve"> </w:t>
      </w:r>
      <w:r w:rsidRPr="00E27443">
        <w:t>in</w:t>
      </w:r>
      <w:r w:rsidR="00C63F8F" w:rsidRPr="00E27443">
        <w:t xml:space="preserve"> </w:t>
      </w:r>
      <w:r w:rsidRPr="00E27443">
        <w:t>education,</w:t>
      </w:r>
      <w:r w:rsidR="00C63F8F" w:rsidRPr="00E27443">
        <w:t xml:space="preserve"> </w:t>
      </w:r>
      <w:r w:rsidRPr="00E27443">
        <w:t>are</w:t>
      </w:r>
      <w:r w:rsidR="00C63F8F" w:rsidRPr="00E27443">
        <w:t xml:space="preserve"> </w:t>
      </w:r>
      <w:r w:rsidRPr="00E27443">
        <w:t>entitled</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daily</w:t>
      </w:r>
      <w:r w:rsidR="00C63F8F" w:rsidRPr="00E27443">
        <w:t xml:space="preserve"> </w:t>
      </w:r>
      <w:r w:rsidRPr="00E27443">
        <w:t>activities.</w:t>
      </w:r>
    </w:p>
    <w:p w:rsidR="00321ADA" w:rsidRPr="00E27443" w:rsidRDefault="00321ADA" w:rsidP="00BF6429">
      <w:pPr>
        <w:pStyle w:val="SingleTxtG"/>
        <w:numPr>
          <w:ilvl w:val="0"/>
          <w:numId w:val="20"/>
        </w:numPr>
        <w:tabs>
          <w:tab w:val="left" w:pos="1843"/>
        </w:tabs>
        <w:ind w:left="1134" w:firstLine="0"/>
      </w:pPr>
      <w:r w:rsidRPr="00E27443">
        <w:t>One</w:t>
      </w:r>
      <w:r w:rsidR="00C63F8F" w:rsidRPr="00E27443">
        <w:t xml:space="preserve"> </w:t>
      </w:r>
      <w:r w:rsidRPr="00E27443">
        <w:t>of</w:t>
      </w:r>
      <w:r w:rsidR="00C63F8F" w:rsidRPr="00E27443">
        <w:t xml:space="preserve"> </w:t>
      </w:r>
      <w:r w:rsidRPr="00E27443">
        <w:t>the</w:t>
      </w:r>
      <w:r w:rsidR="00C63F8F" w:rsidRPr="00E27443">
        <w:t xml:space="preserve"> </w:t>
      </w:r>
      <w:r w:rsidRPr="00E27443">
        <w:t>ten</w:t>
      </w:r>
      <w:r w:rsidR="00C63F8F" w:rsidRPr="00E27443">
        <w:t xml:space="preserve"> </w:t>
      </w:r>
      <w:r w:rsidRPr="00E27443">
        <w:t>initiatives,</w:t>
      </w:r>
      <w:r w:rsidR="00C63F8F" w:rsidRPr="00E27443">
        <w:t xml:space="preserve"> </w:t>
      </w:r>
      <w:r w:rsidRPr="00BF6429">
        <w:t>personal</w:t>
      </w:r>
      <w:r w:rsidR="00C63F8F" w:rsidRPr="00BF6429">
        <w:t xml:space="preserve"> </w:t>
      </w:r>
      <w:r w:rsidRPr="00BF6429">
        <w:t>assistance</w:t>
      </w:r>
      <w:r w:rsidRPr="00E27443">
        <w:t>,</w:t>
      </w:r>
      <w:r w:rsidR="00C63F8F" w:rsidRPr="00E27443">
        <w:t xml:space="preserve"> </w:t>
      </w:r>
      <w:r w:rsidRPr="00E27443">
        <w:t>is</w:t>
      </w:r>
      <w:r w:rsidR="00C63F8F" w:rsidRPr="00E27443">
        <w:t xml:space="preserve"> </w:t>
      </w:r>
      <w:r w:rsidRPr="00E27443">
        <w:t>an</w:t>
      </w:r>
      <w:r w:rsidR="00C63F8F" w:rsidRPr="00E27443">
        <w:t xml:space="preserve"> </w:t>
      </w:r>
      <w:r w:rsidRPr="00E27443">
        <w:t>individually</w:t>
      </w:r>
      <w:r w:rsidR="00C63F8F" w:rsidRPr="00E27443">
        <w:t xml:space="preserve"> </w:t>
      </w:r>
      <w:r w:rsidRPr="00E27443">
        <w:t>designed</w:t>
      </w:r>
      <w:r w:rsidR="00C63F8F" w:rsidRPr="00E27443">
        <w:t xml:space="preserve"> </w:t>
      </w:r>
      <w:r w:rsidRPr="00E27443">
        <w:t>support</w:t>
      </w:r>
      <w:r w:rsidR="00C63F8F" w:rsidRPr="00E27443">
        <w:t xml:space="preserve"> </w:t>
      </w:r>
      <w:r w:rsidRPr="00E27443">
        <w:t>that</w:t>
      </w:r>
      <w:r w:rsidR="00C63F8F" w:rsidRPr="00E27443">
        <w:t xml:space="preserve"> </w:t>
      </w:r>
      <w:r w:rsidRPr="00E27443">
        <w:t>is</w:t>
      </w:r>
      <w:r w:rsidR="00C63F8F" w:rsidRPr="00E27443">
        <w:t xml:space="preserve"> </w:t>
      </w:r>
      <w:r w:rsidRPr="00E27443">
        <w:t>provide</w:t>
      </w:r>
      <w:r w:rsidR="00C63F8F" w:rsidRPr="00E27443">
        <w:t xml:space="preserve"> </w:t>
      </w:r>
      <w:r w:rsidRPr="00E27443">
        <w:t>by</w:t>
      </w:r>
      <w:r w:rsidR="00C63F8F" w:rsidRPr="00E27443">
        <w:t xml:space="preserve"> </w:t>
      </w:r>
      <w:r w:rsidRPr="00E27443">
        <w:t>a</w:t>
      </w:r>
      <w:r w:rsidR="00C63F8F" w:rsidRPr="00E27443">
        <w:t xml:space="preserve"> </w:t>
      </w:r>
      <w:r w:rsidRPr="00E27443">
        <w:t>limited</w:t>
      </w:r>
      <w:r w:rsidR="00C63F8F" w:rsidRPr="00E27443">
        <w:t xml:space="preserve"> </w:t>
      </w:r>
      <w:r w:rsidRPr="00E27443">
        <w:t>number</w:t>
      </w:r>
      <w:r w:rsidR="00C63F8F" w:rsidRPr="00E27443">
        <w:t xml:space="preserve"> </w:t>
      </w:r>
      <w:r w:rsidRPr="00E27443">
        <w:t>of</w:t>
      </w:r>
      <w:r w:rsidR="00C63F8F" w:rsidRPr="00E27443">
        <w:t xml:space="preserve"> </w:t>
      </w:r>
      <w:r w:rsidRPr="00E27443">
        <w:t>people</w:t>
      </w:r>
      <w:r w:rsidR="00C63F8F" w:rsidRPr="00E27443">
        <w:t xml:space="preserve"> </w:t>
      </w:r>
      <w:r w:rsidRPr="00E27443">
        <w:t>to</w:t>
      </w:r>
      <w:r w:rsidR="00C63F8F" w:rsidRPr="00E27443">
        <w:t xml:space="preserve"> </w:t>
      </w:r>
      <w:r w:rsidRPr="00E27443">
        <w:t>individuals</w:t>
      </w:r>
      <w:r w:rsidR="00C63F8F" w:rsidRPr="00E27443">
        <w:t xml:space="preserve"> </w:t>
      </w:r>
      <w:r w:rsidRPr="00E27443">
        <w:t>who,</w:t>
      </w:r>
      <w:r w:rsidR="00C63F8F" w:rsidRPr="00E27443">
        <w:t xml:space="preserve"> </w:t>
      </w:r>
      <w:r w:rsidRPr="00E27443">
        <w:t>due</w:t>
      </w:r>
      <w:r w:rsidR="00C63F8F" w:rsidRPr="00E27443">
        <w:t xml:space="preserve"> </w:t>
      </w:r>
      <w:r w:rsidRPr="00E27443">
        <w:t>to</w:t>
      </w:r>
      <w:r w:rsidR="00C63F8F" w:rsidRPr="00E27443">
        <w:t xml:space="preserve"> </w:t>
      </w:r>
      <w:r w:rsidRPr="00E27443">
        <w:t>extensive,</w:t>
      </w:r>
      <w:r w:rsidR="00C63F8F" w:rsidRPr="00E27443">
        <w:t xml:space="preserve"> </w:t>
      </w:r>
      <w:r w:rsidRPr="00E27443">
        <w:t>lasting</w:t>
      </w:r>
      <w:r w:rsidR="00C63F8F" w:rsidRPr="00E27443">
        <w:t xml:space="preserve"> </w:t>
      </w:r>
      <w:r w:rsidRPr="00E27443">
        <w:t>impairments,</w:t>
      </w:r>
      <w:r w:rsidR="00C63F8F" w:rsidRPr="00E27443">
        <w:t xml:space="preserve"> </w:t>
      </w:r>
      <w:r w:rsidRPr="00E27443">
        <w:t>are</w:t>
      </w:r>
      <w:r w:rsidR="00C63F8F" w:rsidRPr="00E27443">
        <w:t xml:space="preserve"> </w:t>
      </w:r>
      <w:r w:rsidRPr="00E27443">
        <w:t>in</w:t>
      </w:r>
      <w:r w:rsidR="00C63F8F" w:rsidRPr="00E27443">
        <w:t xml:space="preserve"> </w:t>
      </w:r>
      <w:r w:rsidRPr="00E27443">
        <w:t>need</w:t>
      </w:r>
      <w:r w:rsidR="00C63F8F" w:rsidRPr="00E27443">
        <w:t xml:space="preserve"> </w:t>
      </w:r>
      <w:r w:rsidRPr="00E27443">
        <w:t>of</w:t>
      </w:r>
      <w:r w:rsidR="00C63F8F" w:rsidRPr="00E27443">
        <w:t xml:space="preserve"> </w:t>
      </w:r>
      <w:r w:rsidRPr="00E27443">
        <w:t>help</w:t>
      </w:r>
      <w:r w:rsidR="00C63F8F" w:rsidRPr="00E27443">
        <w:t xml:space="preserve"> </w:t>
      </w:r>
      <w:r w:rsidRPr="00E27443">
        <w:t>for</w:t>
      </w:r>
      <w:r w:rsidR="00C63F8F" w:rsidRPr="00E27443">
        <w:t xml:space="preserve"> </w:t>
      </w:r>
      <w:r w:rsidRPr="00E27443">
        <w:t>their</w:t>
      </w:r>
      <w:r w:rsidR="00C63F8F" w:rsidRPr="00E27443">
        <w:t xml:space="preserve"> </w:t>
      </w:r>
      <w:r w:rsidRPr="00E27443">
        <w:t>basic</w:t>
      </w:r>
      <w:r w:rsidR="00C63F8F" w:rsidRPr="00E27443">
        <w:t xml:space="preserve"> </w:t>
      </w:r>
      <w:r w:rsidRPr="00E27443">
        <w:t>needs.</w:t>
      </w:r>
      <w:r w:rsidR="00C63F8F" w:rsidRPr="00E27443">
        <w:t xml:space="preserve"> </w:t>
      </w:r>
      <w:r w:rsidRPr="00E27443">
        <w:t>Basic</w:t>
      </w:r>
      <w:r w:rsidR="00C63F8F" w:rsidRPr="00E27443">
        <w:t xml:space="preserve"> </w:t>
      </w:r>
      <w:r w:rsidRPr="00E27443">
        <w:t>needs</w:t>
      </w:r>
      <w:r w:rsidR="00C63F8F" w:rsidRPr="00E27443">
        <w:t xml:space="preserve"> </w:t>
      </w:r>
      <w:r w:rsidRPr="00E27443">
        <w:t>refer</w:t>
      </w:r>
      <w:r w:rsidR="00C63F8F" w:rsidRPr="00E27443">
        <w:t xml:space="preserve"> </w:t>
      </w:r>
      <w:r w:rsidRPr="00E27443">
        <w:t>to</w:t>
      </w:r>
      <w:r w:rsidR="00C63F8F" w:rsidRPr="00E27443">
        <w:t xml:space="preserve"> </w:t>
      </w:r>
      <w:r w:rsidRPr="00E27443">
        <w:t>assistance</w:t>
      </w:r>
      <w:r w:rsidR="00C63F8F" w:rsidRPr="00E27443">
        <w:t xml:space="preserve"> </w:t>
      </w:r>
      <w:r w:rsidRPr="00E27443">
        <w:t>with</w:t>
      </w:r>
      <w:r w:rsidR="00C63F8F" w:rsidRPr="00E27443">
        <w:t xml:space="preserve"> </w:t>
      </w:r>
      <w:r w:rsidRPr="00E27443">
        <w:t>personal</w:t>
      </w:r>
      <w:r w:rsidR="00C63F8F" w:rsidRPr="00E27443">
        <w:t xml:space="preserve"> </w:t>
      </w:r>
      <w:r w:rsidRPr="00E27443">
        <w:t>hygiene,</w:t>
      </w:r>
      <w:r w:rsidR="00C63F8F" w:rsidRPr="00E27443">
        <w:t xml:space="preserve"> </w:t>
      </w:r>
      <w:r w:rsidRPr="00E27443">
        <w:t>meals,</w:t>
      </w:r>
      <w:r w:rsidR="00C63F8F" w:rsidRPr="00E27443">
        <w:t xml:space="preserve"> </w:t>
      </w:r>
      <w:r w:rsidRPr="00E27443">
        <w:t>dressing</w:t>
      </w:r>
      <w:r w:rsidR="00C63F8F" w:rsidRPr="00E27443">
        <w:t xml:space="preserve"> </w:t>
      </w:r>
      <w:r w:rsidRPr="00E27443">
        <w:t>and</w:t>
      </w:r>
      <w:r w:rsidR="00C63F8F" w:rsidRPr="00E27443">
        <w:t xml:space="preserve"> </w:t>
      </w:r>
      <w:r w:rsidRPr="00E27443">
        <w:t>communicating</w:t>
      </w:r>
      <w:r w:rsidR="00C63F8F" w:rsidRPr="00E27443">
        <w:t xml:space="preserve"> </w:t>
      </w:r>
      <w:r w:rsidRPr="00E27443">
        <w:t>with</w:t>
      </w:r>
      <w:r w:rsidR="00C63F8F" w:rsidRPr="00E27443">
        <w:t xml:space="preserve"> </w:t>
      </w:r>
      <w:r w:rsidRPr="00E27443">
        <w:t>others.</w:t>
      </w:r>
      <w:r w:rsidR="00C63F8F" w:rsidRPr="00E27443">
        <w:t xml:space="preserve"> </w:t>
      </w:r>
      <w:r w:rsidRPr="00E27443">
        <w:t>The</w:t>
      </w:r>
      <w:r w:rsidR="00C63F8F" w:rsidRPr="00E27443">
        <w:t xml:space="preserve"> </w:t>
      </w:r>
      <w:r w:rsidR="00AC0808" w:rsidRPr="00E27443">
        <w:t>Assi</w:t>
      </w:r>
      <w:r w:rsidRPr="00E27443">
        <w:t>stance</w:t>
      </w:r>
      <w:r w:rsidR="00C63F8F" w:rsidRPr="00E27443">
        <w:t xml:space="preserve"> </w:t>
      </w:r>
      <w:r w:rsidRPr="00E27443">
        <w:t>Benefit</w:t>
      </w:r>
      <w:r w:rsidR="00C63F8F" w:rsidRPr="00E27443">
        <w:t xml:space="preserve"> </w:t>
      </w:r>
      <w:r w:rsidRPr="00E27443">
        <w:t>Act</w:t>
      </w:r>
      <w:r w:rsidR="00C63F8F" w:rsidRPr="00E27443">
        <w:t xml:space="preserve"> </w:t>
      </w:r>
      <w:r w:rsidRPr="00E27443">
        <w:t>(LASS)</w:t>
      </w:r>
      <w:r w:rsidR="00C63F8F" w:rsidRPr="00E27443">
        <w:t xml:space="preserve"> </w:t>
      </w:r>
      <w:r w:rsidRPr="00E27443">
        <w:t>means</w:t>
      </w:r>
      <w:r w:rsidR="00C63F8F" w:rsidRPr="00E27443">
        <w:t xml:space="preserve"> </w:t>
      </w:r>
      <w:r w:rsidRPr="00E27443">
        <w:t>that</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decides</w:t>
      </w:r>
      <w:r w:rsidR="00C63F8F" w:rsidRPr="00E27443">
        <w:t xml:space="preserve"> </w:t>
      </w:r>
      <w:r w:rsidRPr="00E27443">
        <w:t>for</w:t>
      </w:r>
      <w:r w:rsidR="00C63F8F" w:rsidRPr="00E27443">
        <w:t xml:space="preserve"> </w:t>
      </w:r>
      <w:r w:rsidRPr="00E27443">
        <w:t>him</w:t>
      </w:r>
      <w:r w:rsidR="00C63F8F" w:rsidRPr="00E27443">
        <w:t xml:space="preserve"> </w:t>
      </w:r>
      <w:r w:rsidRPr="00E27443">
        <w:t>or</w:t>
      </w:r>
      <w:r w:rsidR="00C63F8F" w:rsidRPr="00E27443">
        <w:t xml:space="preserve"> </w:t>
      </w:r>
      <w:r w:rsidRPr="00E27443">
        <w:t>herself</w:t>
      </w:r>
      <w:r w:rsidR="00C63F8F" w:rsidRPr="00E27443">
        <w:t xml:space="preserve"> </w:t>
      </w:r>
      <w:r w:rsidRPr="00E27443">
        <w:t>how</w:t>
      </w:r>
      <w:r w:rsidR="00C63F8F" w:rsidRPr="00E27443">
        <w:t xml:space="preserve"> </w:t>
      </w:r>
      <w:r w:rsidRPr="00E27443">
        <w:t>the</w:t>
      </w:r>
      <w:r w:rsidR="00C63F8F" w:rsidRPr="00E27443">
        <w:t xml:space="preserve"> </w:t>
      </w:r>
      <w:r w:rsidRPr="00E27443">
        <w:t>assistance</w:t>
      </w:r>
      <w:r w:rsidR="00C63F8F" w:rsidRPr="00E27443">
        <w:t xml:space="preserve"> </w:t>
      </w:r>
      <w:r w:rsidRPr="00E27443">
        <w:t>is</w:t>
      </w:r>
      <w:r w:rsidR="00C63F8F" w:rsidRPr="00E27443">
        <w:t xml:space="preserve"> </w:t>
      </w:r>
      <w:r w:rsidRPr="00E27443">
        <w:t>to</w:t>
      </w:r>
      <w:r w:rsidR="00C63F8F" w:rsidRPr="00E27443">
        <w:t xml:space="preserve"> </w:t>
      </w:r>
      <w:r w:rsidRPr="00E27443">
        <w:t>be</w:t>
      </w:r>
      <w:r w:rsidR="00C63F8F" w:rsidRPr="00E27443">
        <w:t xml:space="preserve"> </w:t>
      </w:r>
      <w:r w:rsidRPr="00E27443">
        <w:t>organised.</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may</w:t>
      </w:r>
      <w:r w:rsidR="00C63F8F" w:rsidRPr="00E27443">
        <w:t xml:space="preserve"> </w:t>
      </w:r>
      <w:r w:rsidRPr="00E27443">
        <w:t>be</w:t>
      </w:r>
      <w:r w:rsidR="00C63F8F" w:rsidRPr="00E27443">
        <w:t xml:space="preserve"> </w:t>
      </w:r>
      <w:r w:rsidRPr="00E27443">
        <w:t>a</w:t>
      </w:r>
      <w:r w:rsidR="00C63F8F" w:rsidRPr="00E27443">
        <w:t xml:space="preserve"> </w:t>
      </w:r>
      <w:r w:rsidRPr="00E27443">
        <w:t>employer</w:t>
      </w:r>
      <w:r w:rsidR="00C63F8F" w:rsidRPr="00E27443">
        <w:t xml:space="preserve"> </w:t>
      </w:r>
      <w:r w:rsidRPr="00E27443">
        <w:t>and</w:t>
      </w:r>
      <w:r w:rsidR="00C63F8F" w:rsidRPr="00E27443">
        <w:t xml:space="preserve"> </w:t>
      </w:r>
      <w:r w:rsidRPr="00E27443">
        <w:t>employ</w:t>
      </w:r>
      <w:r w:rsidR="00C63F8F" w:rsidRPr="00E27443">
        <w:t xml:space="preserve"> </w:t>
      </w:r>
      <w:r w:rsidRPr="00E27443">
        <w:t>one</w:t>
      </w:r>
      <w:r w:rsidR="00C63F8F" w:rsidRPr="00E27443">
        <w:t xml:space="preserve"> </w:t>
      </w:r>
      <w:r w:rsidRPr="00E27443">
        <w:t>or</w:t>
      </w:r>
      <w:r w:rsidR="00C63F8F" w:rsidRPr="00E27443">
        <w:t xml:space="preserve"> </w:t>
      </w:r>
      <w:r w:rsidRPr="00E27443">
        <w:t>more</w:t>
      </w:r>
      <w:r w:rsidR="00C63F8F" w:rsidRPr="00E27443">
        <w:t xml:space="preserve"> </w:t>
      </w:r>
      <w:r w:rsidRPr="00E27443">
        <w:t>assistants,</w:t>
      </w:r>
      <w:r w:rsidR="00C63F8F" w:rsidRPr="00E27443">
        <w:t xml:space="preserve"> </w:t>
      </w:r>
      <w:r w:rsidRPr="00E27443">
        <w:t>or</w:t>
      </w:r>
      <w:r w:rsidR="00C63F8F" w:rsidRPr="00E27443">
        <w:t xml:space="preserve"> </w:t>
      </w:r>
      <w:r w:rsidRPr="00E27443">
        <w:t>together</w:t>
      </w:r>
      <w:r w:rsidR="00C63F8F" w:rsidRPr="00E27443">
        <w:t xml:space="preserve"> </w:t>
      </w:r>
      <w:r w:rsidRPr="00E27443">
        <w:t>with</w:t>
      </w:r>
      <w:r w:rsidR="00C63F8F" w:rsidRPr="00E27443">
        <w:t xml:space="preserve"> </w:t>
      </w:r>
      <w:r w:rsidRPr="00E27443">
        <w:t>other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may</w:t>
      </w:r>
      <w:r w:rsidR="00C63F8F" w:rsidRPr="00E27443">
        <w:t xml:space="preserve"> </w:t>
      </w:r>
      <w:r w:rsidRPr="00E27443">
        <w:t>form</w:t>
      </w:r>
      <w:r w:rsidR="00C63F8F" w:rsidRPr="00E27443">
        <w:t xml:space="preserve"> </w:t>
      </w:r>
      <w:r w:rsidRPr="00E27443">
        <w:t>an</w:t>
      </w:r>
      <w:r w:rsidR="00C63F8F" w:rsidRPr="00E27443">
        <w:t xml:space="preserve"> </w:t>
      </w:r>
      <w:r w:rsidR="00AC0808" w:rsidRPr="00E27443">
        <w:t>as</w:t>
      </w:r>
      <w:r w:rsidRPr="00E27443">
        <w:t>sociation</w:t>
      </w:r>
      <w:r w:rsidR="00C63F8F" w:rsidRPr="00E27443">
        <w:t xml:space="preserve"> </w:t>
      </w:r>
      <w:r w:rsidRPr="00E27443">
        <w:t>or</w:t>
      </w:r>
      <w:r w:rsidR="00C63F8F" w:rsidRPr="00E27443">
        <w:t xml:space="preserve"> </w:t>
      </w:r>
      <w:r w:rsidRPr="00E27443">
        <w:t>co-operative</w:t>
      </w:r>
      <w:r w:rsidR="00C63F8F" w:rsidRPr="00E27443">
        <w:t xml:space="preserve"> </w:t>
      </w:r>
      <w:r w:rsidRPr="00E27443">
        <w:t>that</w:t>
      </w:r>
      <w:r w:rsidR="00C63F8F" w:rsidRPr="00E27443">
        <w:t xml:space="preserve"> </w:t>
      </w:r>
      <w:r w:rsidRPr="00E27443">
        <w:t>becomes</w:t>
      </w:r>
      <w:r w:rsidR="00C63F8F" w:rsidRPr="00E27443">
        <w:t xml:space="preserve"> </w:t>
      </w:r>
      <w:r w:rsidRPr="00E27443">
        <w:t>an</w:t>
      </w:r>
      <w:r w:rsidR="00C63F8F" w:rsidRPr="00E27443">
        <w:t xml:space="preserve"> </w:t>
      </w:r>
      <w:r w:rsidRPr="00E27443">
        <w:t>employer</w:t>
      </w:r>
      <w:r w:rsidR="00C63F8F" w:rsidRPr="00E27443">
        <w:t xml:space="preserve"> </w:t>
      </w:r>
      <w:r w:rsidRPr="00E27443">
        <w:t>for</w:t>
      </w:r>
      <w:r w:rsidR="00C63F8F" w:rsidRPr="00E27443">
        <w:t xml:space="preserve"> </w:t>
      </w:r>
      <w:r w:rsidRPr="00E27443">
        <w:t>several</w:t>
      </w:r>
      <w:r w:rsidR="00C63F8F" w:rsidRPr="00E27443">
        <w:t xml:space="preserve"> </w:t>
      </w:r>
      <w:r w:rsidRPr="00E27443">
        <w:t>assistants,</w:t>
      </w:r>
      <w:r w:rsidR="00C63F8F" w:rsidRPr="00E27443">
        <w:t xml:space="preserve"> </w:t>
      </w:r>
      <w:r w:rsidRPr="00E27443">
        <w:t>or</w:t>
      </w:r>
      <w:r w:rsidR="00C63F8F" w:rsidRPr="00E27443">
        <w:t xml:space="preserve"> </w:t>
      </w:r>
      <w:r w:rsidRPr="00E27443">
        <w:t>alternatively</w:t>
      </w:r>
      <w:r w:rsidR="00C63F8F" w:rsidRPr="00E27443">
        <w:t xml:space="preserve"> </w:t>
      </w:r>
      <w:r w:rsidRPr="00E27443">
        <w:t>may</w:t>
      </w:r>
      <w:r w:rsidR="00C63F8F" w:rsidRPr="00E27443">
        <w:t xml:space="preserve"> </w:t>
      </w:r>
      <w:r w:rsidRPr="00E27443">
        <w:t>engage</w:t>
      </w:r>
      <w:r w:rsidR="00C63F8F" w:rsidRPr="00E27443">
        <w:t xml:space="preserve"> </w:t>
      </w:r>
      <w:r w:rsidRPr="00E27443">
        <w:t>a</w:t>
      </w:r>
      <w:r w:rsidR="00C63F8F" w:rsidRPr="00E27443">
        <w:t xml:space="preserve"> </w:t>
      </w:r>
      <w:r w:rsidRPr="00E27443">
        <w:t>company</w:t>
      </w:r>
      <w:r w:rsidR="00C63F8F" w:rsidRPr="00E27443">
        <w:t xml:space="preserve"> </w:t>
      </w:r>
      <w:r w:rsidRPr="00E27443">
        <w:t>or</w:t>
      </w:r>
      <w:r w:rsidR="00C63F8F" w:rsidRPr="00E27443">
        <w:t xml:space="preserve"> </w:t>
      </w:r>
      <w:r w:rsidRPr="00E27443">
        <w:t>organisation</w:t>
      </w:r>
      <w:r w:rsidR="00C63F8F" w:rsidRPr="00E27443">
        <w:t xml:space="preserve"> </w:t>
      </w:r>
      <w:r w:rsidRPr="00E27443">
        <w:t>for</w:t>
      </w:r>
      <w:r w:rsidR="00C63F8F" w:rsidRPr="00E27443">
        <w:t xml:space="preserve"> </w:t>
      </w:r>
      <w:r w:rsidRPr="00E27443">
        <w:t>assistance</w:t>
      </w:r>
      <w:r w:rsidR="00C63F8F" w:rsidRPr="00E27443">
        <w:t xml:space="preserve"> </w:t>
      </w:r>
      <w:r w:rsidRPr="00E27443">
        <w:t>with</w:t>
      </w:r>
      <w:r w:rsidR="00C63F8F" w:rsidRPr="00E27443">
        <w:t xml:space="preserve"> </w:t>
      </w:r>
      <w:r w:rsidRPr="00E27443">
        <w:t>employer</w:t>
      </w:r>
      <w:r w:rsidR="00C63F8F" w:rsidRPr="00E27443">
        <w:t xml:space="preserve"> </w:t>
      </w:r>
      <w:r w:rsidRPr="00E27443">
        <w:t>responsibility.</w:t>
      </w:r>
    </w:p>
    <w:p w:rsidR="00321ADA" w:rsidRPr="00E27443" w:rsidRDefault="00321ADA" w:rsidP="00BF6429">
      <w:pPr>
        <w:pStyle w:val="SingleTxtG"/>
        <w:numPr>
          <w:ilvl w:val="0"/>
          <w:numId w:val="20"/>
        </w:numPr>
        <w:tabs>
          <w:tab w:val="left" w:pos="1843"/>
        </w:tabs>
        <w:ind w:left="1134" w:firstLine="0"/>
      </w:pPr>
      <w:r w:rsidRPr="00E27443">
        <w:t>Other</w:t>
      </w:r>
      <w:r w:rsidR="00C63F8F" w:rsidRPr="00E27443">
        <w:t xml:space="preserve"> </w:t>
      </w:r>
      <w:r w:rsidRPr="00E27443">
        <w:t>examples</w:t>
      </w:r>
      <w:r w:rsidR="00C63F8F" w:rsidRPr="00E27443">
        <w:t xml:space="preserve"> </w:t>
      </w:r>
      <w:r w:rsidRPr="00E27443">
        <w:t>of</w:t>
      </w:r>
      <w:r w:rsidR="00C63F8F" w:rsidRPr="00E27443">
        <w:t xml:space="preserve"> </w:t>
      </w:r>
      <w:r w:rsidRPr="00E27443">
        <w:t>support</w:t>
      </w:r>
      <w:r w:rsidR="00C63F8F" w:rsidRPr="00E27443">
        <w:t xml:space="preserve"> </w:t>
      </w:r>
      <w:r w:rsidRPr="00E27443">
        <w:t>include</w:t>
      </w:r>
      <w:r w:rsidR="00C63F8F" w:rsidRPr="00E27443">
        <w:t xml:space="preserve"> </w:t>
      </w:r>
      <w:r w:rsidRPr="00E27443">
        <w:t>grants</w:t>
      </w:r>
      <w:r w:rsidR="00C63F8F" w:rsidRPr="00E27443">
        <w:t xml:space="preserve"> </w:t>
      </w:r>
      <w:r w:rsidRPr="00E27443">
        <w:t>for</w:t>
      </w:r>
      <w:r w:rsidR="00C63F8F" w:rsidRPr="00E27443">
        <w:t xml:space="preserve"> </w:t>
      </w:r>
      <w:r w:rsidRPr="00E27443">
        <w:t>the</w:t>
      </w:r>
      <w:r w:rsidR="00C63F8F" w:rsidRPr="00E27443">
        <w:t xml:space="preserve"> </w:t>
      </w:r>
      <w:r w:rsidRPr="00E27443">
        <w:t>adaptation</w:t>
      </w:r>
      <w:r w:rsidR="00C63F8F" w:rsidRPr="00E27443">
        <w:t xml:space="preserve"> </w:t>
      </w:r>
      <w:r w:rsidRPr="00E27443">
        <w:t>of</w:t>
      </w:r>
      <w:r w:rsidR="00C63F8F" w:rsidRPr="00E27443">
        <w:t xml:space="preserve"> </w:t>
      </w:r>
      <w:r w:rsidRPr="00E27443">
        <w:t>accommodation,</w:t>
      </w:r>
      <w:r w:rsidR="00C63F8F" w:rsidRPr="00E27443">
        <w:t xml:space="preserve"> </w:t>
      </w:r>
      <w:r w:rsidRPr="00E27443">
        <w:t>rehabilitation</w:t>
      </w:r>
      <w:r w:rsidR="00C63F8F" w:rsidRPr="00E27443">
        <w:t xml:space="preserve"> </w:t>
      </w:r>
      <w:r w:rsidRPr="00E27443">
        <w:t>centres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vision</w:t>
      </w:r>
      <w:r w:rsidR="00C63F8F" w:rsidRPr="00E27443">
        <w:t xml:space="preserve"> </w:t>
      </w:r>
      <w:r w:rsidRPr="00E27443">
        <w:t>or</w:t>
      </w:r>
      <w:r w:rsidR="00C63F8F" w:rsidRPr="00E27443">
        <w:t xml:space="preserve"> </w:t>
      </w:r>
      <w:r w:rsidRPr="00E27443">
        <w:t>impaired</w:t>
      </w:r>
      <w:r w:rsidR="00C63F8F" w:rsidRPr="00E27443">
        <w:t xml:space="preserve"> </w:t>
      </w:r>
      <w:r w:rsidRPr="00E27443">
        <w:t>hearing,</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open</w:t>
      </w:r>
      <w:r w:rsidR="00C63F8F" w:rsidRPr="00E27443">
        <w:t xml:space="preserve"> </w:t>
      </w:r>
      <w:r w:rsidRPr="00E27443">
        <w:t>care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mental</w:t>
      </w:r>
      <w:r w:rsidR="00C63F8F" w:rsidRPr="00E27443">
        <w:t xml:space="preserve"> </w:t>
      </w:r>
      <w:r w:rsidRPr="00E27443">
        <w:t>disabilities,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car</w:t>
      </w:r>
      <w:r w:rsidR="00C63F8F" w:rsidRPr="00E27443">
        <w:t xml:space="preserve"> </w:t>
      </w:r>
      <w:r w:rsidRPr="00E27443">
        <w:t>support.</w:t>
      </w:r>
    </w:p>
    <w:p w:rsidR="00321ADA" w:rsidRPr="00E27443" w:rsidRDefault="00321ADA" w:rsidP="00BF6ACB">
      <w:pPr>
        <w:pStyle w:val="SingleTxtG"/>
        <w:numPr>
          <w:ilvl w:val="0"/>
          <w:numId w:val="20"/>
        </w:numPr>
        <w:tabs>
          <w:tab w:val="left" w:pos="1843"/>
        </w:tabs>
        <w:ind w:left="1134" w:firstLine="0"/>
      </w:pPr>
      <w:r w:rsidRPr="00BF6ACB">
        <w:t>Car</w:t>
      </w:r>
      <w:r w:rsidR="00C63F8F" w:rsidRPr="00BF6ACB">
        <w:t xml:space="preserve"> </w:t>
      </w:r>
      <w:r w:rsidRPr="00BF6ACB">
        <w:t>support</w:t>
      </w:r>
      <w:r w:rsidR="00C63F8F" w:rsidRPr="00E27443">
        <w:t xml:space="preserve"> </w:t>
      </w:r>
      <w:r w:rsidRPr="00E27443">
        <w:t>is</w:t>
      </w:r>
      <w:r w:rsidR="00C63F8F" w:rsidRPr="00E27443">
        <w:t xml:space="preserve"> </w:t>
      </w:r>
      <w:r w:rsidRPr="00E27443">
        <w:t>paid</w:t>
      </w:r>
      <w:r w:rsidR="00C63F8F" w:rsidRPr="00E27443">
        <w:t xml:space="preserve"> </w:t>
      </w:r>
      <w:r w:rsidRPr="00E27443">
        <w:t>for</w:t>
      </w:r>
      <w:r w:rsidR="00C63F8F" w:rsidRPr="00E27443">
        <w:t xml:space="preserve"> </w:t>
      </w:r>
      <w:r w:rsidRPr="00E27443">
        <w:t>the</w:t>
      </w:r>
      <w:r w:rsidR="00C63F8F" w:rsidRPr="00E27443">
        <w:t xml:space="preserve"> </w:t>
      </w:r>
      <w:r w:rsidRPr="00E27443">
        <w:t>adaptation</w:t>
      </w:r>
      <w:r w:rsidR="00C63F8F" w:rsidRPr="00E27443">
        <w:t xml:space="preserve"> </w:t>
      </w:r>
      <w:r w:rsidRPr="00E27443">
        <w:t>and</w:t>
      </w:r>
      <w:r w:rsidR="00C63F8F" w:rsidRPr="00E27443">
        <w:t xml:space="preserve"> </w:t>
      </w:r>
      <w:r w:rsidRPr="00E27443">
        <w:t>procurement</w:t>
      </w:r>
      <w:r w:rsidR="00C63F8F" w:rsidRPr="00E27443">
        <w:t xml:space="preserve"> </w:t>
      </w:r>
      <w:r w:rsidRPr="00E27443">
        <w:t>of</w:t>
      </w:r>
      <w:r w:rsidR="00C63F8F" w:rsidRPr="00E27443">
        <w:t xml:space="preserve"> </w:t>
      </w:r>
      <w:r w:rsidRPr="00E27443">
        <w:t>cars,</w:t>
      </w:r>
      <w:r w:rsidR="00C63F8F" w:rsidRPr="00E27443">
        <w:t xml:space="preserve"> </w:t>
      </w:r>
      <w:r w:rsidRPr="00E27443">
        <w:t>motorcycles</w:t>
      </w:r>
      <w:r w:rsidR="00C63F8F" w:rsidRPr="00E27443">
        <w:t xml:space="preserve"> </w:t>
      </w:r>
      <w:r w:rsidRPr="00E27443">
        <w:t>or</w:t>
      </w:r>
      <w:r w:rsidR="00C63F8F" w:rsidRPr="00E27443">
        <w:t xml:space="preserve"> </w:t>
      </w:r>
      <w:r w:rsidRPr="00E27443">
        <w:t>mopeds.</w:t>
      </w:r>
      <w:r w:rsidR="00C63F8F" w:rsidRPr="00E27443">
        <w:t xml:space="preserve"> </w:t>
      </w:r>
      <w:r w:rsidRPr="00E27443">
        <w:t>The</w:t>
      </w:r>
      <w:r w:rsidR="00C63F8F" w:rsidRPr="00E27443">
        <w:t xml:space="preserve"> </w:t>
      </w:r>
      <w:r w:rsidRPr="00E27443">
        <w:t>vehicle</w:t>
      </w:r>
      <w:r w:rsidR="00C63F8F" w:rsidRPr="00E27443">
        <w:t xml:space="preserve"> </w:t>
      </w:r>
      <w:r w:rsidRPr="00E27443">
        <w:t>must</w:t>
      </w:r>
      <w:r w:rsidR="00C63F8F" w:rsidRPr="00E27443">
        <w:t xml:space="preserve"> </w:t>
      </w:r>
      <w:r w:rsidRPr="00E27443">
        <w:t>act</w:t>
      </w:r>
      <w:r w:rsidR="00C63F8F" w:rsidRPr="00E27443">
        <w:t xml:space="preserve"> </w:t>
      </w:r>
      <w:r w:rsidRPr="00E27443">
        <w:t>as</w:t>
      </w:r>
      <w:r w:rsidR="00C63F8F" w:rsidRPr="00E27443">
        <w:t xml:space="preserve"> </w:t>
      </w:r>
      <w:r w:rsidRPr="00E27443">
        <w:t>an</w:t>
      </w:r>
      <w:r w:rsidR="00C63F8F" w:rsidRPr="00E27443">
        <w:t xml:space="preserve"> </w:t>
      </w:r>
      <w:r w:rsidRPr="00E27443">
        <w:t>aid</w:t>
      </w:r>
      <w:r w:rsidR="00C63F8F" w:rsidRPr="00E27443">
        <w:t xml:space="preserve"> </w:t>
      </w:r>
      <w:r w:rsidRPr="00E27443">
        <w:t>in</w:t>
      </w:r>
      <w:r w:rsidR="00C63F8F" w:rsidRPr="00E27443">
        <w:t xml:space="preserve"> </w:t>
      </w:r>
      <w:r w:rsidRPr="00E27443">
        <w:t>maintenance,</w:t>
      </w:r>
      <w:r w:rsidR="00C63F8F" w:rsidRPr="00E27443">
        <w:t xml:space="preserve"> </w:t>
      </w:r>
      <w:r w:rsidRPr="00E27443">
        <w:t>but</w:t>
      </w:r>
      <w:r w:rsidR="00C63F8F" w:rsidRPr="00E27443">
        <w:t xml:space="preserve"> </w:t>
      </w:r>
      <w:r w:rsidRPr="00E27443">
        <w:t>must</w:t>
      </w:r>
      <w:r w:rsidR="00C63F8F" w:rsidRPr="00E27443">
        <w:t xml:space="preserve"> </w:t>
      </w:r>
      <w:r w:rsidRPr="00E27443">
        <w:t>also</w:t>
      </w:r>
      <w:r w:rsidR="00C63F8F" w:rsidRPr="00E27443">
        <w:t xml:space="preserve"> </w:t>
      </w:r>
      <w:r w:rsidRPr="00E27443">
        <w:t>facilitate</w:t>
      </w:r>
      <w:r w:rsidR="00C63F8F" w:rsidRPr="00E27443">
        <w:t xml:space="preserve"> </w:t>
      </w:r>
      <w:r w:rsidRPr="00E27443">
        <w:t>an</w:t>
      </w:r>
      <w:r w:rsidR="00C63F8F" w:rsidRPr="00E27443">
        <w:t xml:space="preserve"> </w:t>
      </w:r>
      <w:r w:rsidRPr="00E27443">
        <w:t>active,</w:t>
      </w:r>
      <w:r w:rsidR="00C63F8F" w:rsidRPr="00E27443">
        <w:t xml:space="preserve"> </w:t>
      </w:r>
      <w:r w:rsidRPr="00E27443">
        <w:t>independent</w:t>
      </w:r>
      <w:r w:rsidR="00C63F8F" w:rsidRPr="00E27443">
        <w:t xml:space="preserve"> </w:t>
      </w:r>
      <w:r w:rsidRPr="00E27443">
        <w:t>life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Successful</w:t>
      </w:r>
      <w:r w:rsidR="00C63F8F" w:rsidRPr="00E27443">
        <w:t xml:space="preserve"> </w:t>
      </w:r>
      <w:r w:rsidRPr="00E27443">
        <w:t>car</w:t>
      </w:r>
      <w:r w:rsidR="00C63F8F" w:rsidRPr="00E27443">
        <w:t xml:space="preserve"> </w:t>
      </w:r>
      <w:r w:rsidRPr="00E27443">
        <w:t>support</w:t>
      </w:r>
      <w:r w:rsidR="00C63F8F" w:rsidRPr="00E27443">
        <w:t xml:space="preserve"> </w:t>
      </w:r>
      <w:r w:rsidRPr="00E27443">
        <w:t>is</w:t>
      </w:r>
      <w:r w:rsidR="00C63F8F" w:rsidRPr="00E27443">
        <w:t xml:space="preserve"> </w:t>
      </w:r>
      <w:r w:rsidRPr="00E27443">
        <w:t>therefore</w:t>
      </w:r>
      <w:r w:rsidR="00C63F8F" w:rsidRPr="00E27443">
        <w:t xml:space="preserve"> </w:t>
      </w:r>
      <w:r w:rsidRPr="00E27443">
        <w:t>of</w:t>
      </w:r>
      <w:r w:rsidR="00C63F8F" w:rsidRPr="00E27443">
        <w:t xml:space="preserve"> </w:t>
      </w:r>
      <w:r w:rsidRPr="00E27443">
        <w:t>great</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significance,</w:t>
      </w:r>
      <w:r w:rsidR="00C63F8F" w:rsidRPr="00E27443">
        <w:t xml:space="preserve"> </w:t>
      </w:r>
      <w:r w:rsidRPr="00E27443">
        <w:t>as</w:t>
      </w:r>
      <w:r w:rsidR="00C63F8F" w:rsidRPr="00E27443">
        <w:t xml:space="preserve"> </w:t>
      </w:r>
      <w:r w:rsidRPr="00E27443">
        <w:t>it</w:t>
      </w:r>
      <w:r w:rsidR="00C63F8F" w:rsidRPr="00E27443">
        <w:t xml:space="preserve"> </w:t>
      </w:r>
      <w:r w:rsidRPr="00E27443">
        <w:t>leads</w:t>
      </w:r>
      <w:r w:rsidR="00C63F8F" w:rsidRPr="00E27443">
        <w:t xml:space="preserve"> </w:t>
      </w:r>
      <w:r w:rsidRPr="00E27443">
        <w:t>to</w:t>
      </w:r>
      <w:r w:rsidR="00C63F8F" w:rsidRPr="00E27443">
        <w:t xml:space="preserve"> </w:t>
      </w:r>
      <w:r w:rsidRPr="00E27443">
        <w:t>increased</w:t>
      </w:r>
      <w:r w:rsidR="00C63F8F" w:rsidRPr="00E27443">
        <w:t xml:space="preserve"> </w:t>
      </w:r>
      <w:r w:rsidRPr="00E27443">
        <w:t>participation</w:t>
      </w:r>
      <w:r w:rsidR="00C63F8F" w:rsidRPr="00E27443">
        <w:t xml:space="preserve"> </w:t>
      </w:r>
      <w:r w:rsidRPr="00E27443">
        <w:t>and</w:t>
      </w:r>
      <w:r w:rsidR="00C63F8F" w:rsidRPr="00E27443">
        <w:t xml:space="preserve"> </w:t>
      </w:r>
      <w:r w:rsidRPr="00E27443">
        <w:t>freedom</w:t>
      </w:r>
      <w:r w:rsidR="00C63F8F" w:rsidRPr="00E27443">
        <w:t xml:space="preserve"> </w:t>
      </w:r>
      <w:r w:rsidRPr="00E27443">
        <w:t>for</w:t>
      </w:r>
      <w:r w:rsidR="00C63F8F" w:rsidRPr="00E27443">
        <w:t xml:space="preserve"> </w:t>
      </w:r>
      <w:r w:rsidRPr="00E27443">
        <w:t>individuals</w:t>
      </w:r>
      <w:r w:rsidR="00C63F8F" w:rsidRPr="00E27443">
        <w:t xml:space="preserve"> </w:t>
      </w:r>
      <w:r w:rsidRPr="00E27443">
        <w:t>who</w:t>
      </w:r>
      <w:r w:rsidR="00C63F8F" w:rsidRPr="00E27443">
        <w:t xml:space="preserve"> </w:t>
      </w:r>
      <w:r w:rsidRPr="00E27443">
        <w:t>cannot</w:t>
      </w:r>
      <w:r w:rsidR="00C63F8F" w:rsidRPr="00E27443">
        <w:t xml:space="preserve"> </w:t>
      </w:r>
      <w:r w:rsidRPr="00E27443">
        <w:t>use</w:t>
      </w:r>
      <w:r w:rsidR="00C63F8F" w:rsidRPr="00E27443">
        <w:t xml:space="preserve"> </w:t>
      </w:r>
      <w:r w:rsidRPr="00E27443">
        <w:t>public</w:t>
      </w:r>
      <w:r w:rsidR="00C63F8F" w:rsidRPr="00E27443">
        <w:t xml:space="preserve"> </w:t>
      </w:r>
      <w:r w:rsidRPr="00E27443">
        <w:t>communications.</w:t>
      </w:r>
      <w:r w:rsidR="00C63F8F" w:rsidRPr="00E27443">
        <w:t xml:space="preserve"> </w:t>
      </w:r>
    </w:p>
    <w:p w:rsidR="00321ADA" w:rsidRPr="00E27443" w:rsidRDefault="00321ADA" w:rsidP="00BF6ACB">
      <w:pPr>
        <w:pStyle w:val="SingleTxtG"/>
        <w:numPr>
          <w:ilvl w:val="0"/>
          <w:numId w:val="20"/>
        </w:numPr>
        <w:tabs>
          <w:tab w:val="left" w:pos="1843"/>
        </w:tabs>
        <w:ind w:left="1134" w:firstLine="0"/>
      </w:pP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achieving</w:t>
      </w:r>
      <w:r w:rsidR="00C63F8F" w:rsidRPr="00E27443">
        <w:t xml:space="preserve"> </w:t>
      </w:r>
      <w:r w:rsidRPr="00E27443">
        <w:t>increased</w:t>
      </w:r>
      <w:r w:rsidR="00C63F8F" w:rsidRPr="00E27443">
        <w:t xml:space="preserve"> </w:t>
      </w:r>
      <w:r w:rsidRPr="00E27443">
        <w:t>insight</w:t>
      </w:r>
      <w:r w:rsidR="00C63F8F" w:rsidRPr="00E27443">
        <w:t xml:space="preserve"> </w:t>
      </w:r>
      <w:r w:rsidRPr="00E27443">
        <w:t>and</w:t>
      </w:r>
      <w:r w:rsidR="00C63F8F" w:rsidRPr="00E27443">
        <w:t xml:space="preserve"> </w:t>
      </w:r>
      <w:r w:rsidRPr="00E27443">
        <w:t>greater</w:t>
      </w:r>
      <w:r w:rsidR="00C63F8F" w:rsidRPr="00E27443">
        <w:t xml:space="preserve"> </w:t>
      </w:r>
      <w:r w:rsidRPr="00E27443">
        <w:t>freedom</w:t>
      </w:r>
      <w:r w:rsidR="00C63F8F" w:rsidRPr="00E27443">
        <w:t xml:space="preserve"> </w:t>
      </w:r>
      <w:r w:rsidRPr="00E27443">
        <w:t>of</w:t>
      </w:r>
      <w:r w:rsidR="00C63F8F" w:rsidRPr="00E27443">
        <w:t xml:space="preserve"> </w:t>
      </w:r>
      <w:r w:rsidRPr="00E27443">
        <w:t>choice</w:t>
      </w:r>
      <w:r w:rsidR="00C63F8F" w:rsidRPr="00E27443">
        <w:t xml:space="preserve"> </w:t>
      </w:r>
      <w:r w:rsidRPr="00E27443">
        <w:t>for</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also</w:t>
      </w:r>
      <w:r w:rsidR="00C63F8F" w:rsidRPr="00E27443">
        <w:t xml:space="preserve"> </w:t>
      </w:r>
      <w:r w:rsidRPr="00E27443">
        <w:t>encouraged</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to</w:t>
      </w:r>
      <w:r w:rsidR="00C63F8F" w:rsidRPr="00E27443">
        <w:t xml:space="preserve"> </w:t>
      </w:r>
      <w:r w:rsidRPr="00E27443">
        <w:t>develop</w:t>
      </w:r>
      <w:r w:rsidR="00C63F8F" w:rsidRPr="00E27443">
        <w:t xml:space="preserve"> </w:t>
      </w:r>
      <w:r w:rsidRPr="00E27443">
        <w:t>a</w:t>
      </w:r>
      <w:r w:rsidR="00C63F8F" w:rsidRPr="00E27443">
        <w:t xml:space="preserve"> </w:t>
      </w:r>
      <w:r w:rsidRPr="00E27443">
        <w:t>system</w:t>
      </w:r>
      <w:r w:rsidR="00C63F8F" w:rsidRPr="00E27443">
        <w:t xml:space="preserve"> </w:t>
      </w:r>
      <w:r w:rsidRPr="00E27443">
        <w:t>for</w:t>
      </w:r>
      <w:r w:rsidR="00C63F8F" w:rsidRPr="00E27443">
        <w:t xml:space="preserve"> </w:t>
      </w:r>
      <w:r w:rsidRPr="00E27443">
        <w:t>open</w:t>
      </w:r>
      <w:r w:rsidR="00C63F8F" w:rsidRPr="00E27443">
        <w:t xml:space="preserve"> </w:t>
      </w:r>
      <w:r w:rsidRPr="00E27443">
        <w:t>comparisons,</w:t>
      </w:r>
      <w:r w:rsidR="00C63F8F" w:rsidRPr="00E27443">
        <w:t xml:space="preserve"> </w:t>
      </w:r>
      <w:r w:rsidRPr="00E27443">
        <w:t>and</w:t>
      </w:r>
      <w:r w:rsidR="00C63F8F" w:rsidRPr="00E27443">
        <w:t xml:space="preserve"> </w:t>
      </w:r>
      <w:r w:rsidRPr="00E27443">
        <w:t>has</w:t>
      </w:r>
      <w:r w:rsidR="00C63F8F" w:rsidRPr="00E27443">
        <w:t xml:space="preserve"> </w:t>
      </w:r>
      <w:r w:rsidRPr="00E27443">
        <w:t>introduced</w:t>
      </w:r>
      <w:r w:rsidR="00C63F8F" w:rsidRPr="00E27443">
        <w:t xml:space="preserve"> </w:t>
      </w:r>
      <w:r w:rsidRPr="00E27443">
        <w:t>a</w:t>
      </w:r>
      <w:r w:rsidR="00C63F8F" w:rsidRPr="00E27443">
        <w:t xml:space="preserve"> </w:t>
      </w:r>
      <w:r w:rsidRPr="00E27443">
        <w:t>law</w:t>
      </w:r>
      <w:r w:rsidR="00923190" w:rsidRPr="00E27443">
        <w:rPr>
          <w:rStyle w:val="FootnoteReference"/>
        </w:rPr>
        <w:footnoteReference w:id="85"/>
      </w:r>
      <w:r w:rsidR="00C63F8F" w:rsidRPr="00E27443">
        <w:t xml:space="preserve"> </w:t>
      </w:r>
      <w:r w:rsidRPr="00E27443">
        <w:t>that</w:t>
      </w:r>
      <w:r w:rsidR="00C63F8F" w:rsidRPr="00E27443">
        <w:t xml:space="preserve"> </w:t>
      </w:r>
      <w:r w:rsidRPr="00E27443">
        <w:t>makes</w:t>
      </w:r>
      <w:r w:rsidR="00C63F8F" w:rsidRPr="00E27443">
        <w:t xml:space="preserve"> </w:t>
      </w:r>
      <w:r w:rsidRPr="00E27443">
        <w:t>it</w:t>
      </w:r>
      <w:r w:rsidR="00C63F8F" w:rsidRPr="00E27443">
        <w:t xml:space="preserve"> </w:t>
      </w:r>
      <w:r w:rsidRPr="00E27443">
        <w:t>possible</w:t>
      </w:r>
      <w:r w:rsidR="00C63F8F" w:rsidRPr="00E27443">
        <w:t xml:space="preserve"> </w:t>
      </w:r>
      <w:r w:rsidRPr="00E27443">
        <w:t>for</w:t>
      </w:r>
      <w:r w:rsidR="00C63F8F" w:rsidRPr="00E27443">
        <w:t xml:space="preserve"> </w:t>
      </w:r>
      <w:r w:rsidRPr="00E27443">
        <w:t>an</w:t>
      </w:r>
      <w:r w:rsidR="00C63F8F" w:rsidRPr="00E27443">
        <w:t xml:space="preserve"> </w:t>
      </w:r>
      <w:r w:rsidRPr="00E27443">
        <w:t>increased</w:t>
      </w:r>
      <w:r w:rsidR="00C63F8F" w:rsidRPr="00E27443">
        <w:t xml:space="preserve"> </w:t>
      </w:r>
      <w:r w:rsidRPr="00E27443">
        <w:t>number</w:t>
      </w:r>
      <w:r w:rsidR="00C63F8F" w:rsidRPr="00E27443">
        <w:t xml:space="preserve"> </w:t>
      </w:r>
      <w:r w:rsidRPr="00E27443">
        <w:t>of</w:t>
      </w:r>
      <w:r w:rsidR="00C63F8F" w:rsidRPr="00E27443">
        <w:t xml:space="preserve"> </w:t>
      </w:r>
      <w:r w:rsidRPr="00E27443">
        <w:t>practitioners,</w:t>
      </w:r>
      <w:r w:rsidR="00C63F8F" w:rsidRPr="00E27443">
        <w:t xml:space="preserve"> </w:t>
      </w:r>
      <w:r w:rsidRPr="00E27443">
        <w:t>in</w:t>
      </w:r>
      <w:r w:rsidR="00C63F8F" w:rsidRPr="00E27443">
        <w:t xml:space="preserve"> </w:t>
      </w:r>
      <w:r w:rsidRPr="00E27443">
        <w:t>competition,</w:t>
      </w:r>
      <w:r w:rsidR="00C63F8F" w:rsidRPr="00E27443">
        <w:t xml:space="preserve"> </w:t>
      </w:r>
      <w:r w:rsidRPr="00E27443">
        <w:t>to</w:t>
      </w:r>
      <w:r w:rsidR="00C63F8F" w:rsidRPr="00E27443">
        <w:t xml:space="preserve"> </w:t>
      </w:r>
      <w:r w:rsidRPr="00E27443">
        <w:t>offer</w:t>
      </w:r>
      <w:r w:rsidR="00C63F8F" w:rsidRPr="00E27443">
        <w:t xml:space="preserve"> </w:t>
      </w:r>
      <w:r w:rsidRPr="00E27443">
        <w:t>their</w:t>
      </w:r>
      <w:r w:rsidR="00C63F8F" w:rsidRPr="00E27443">
        <w:t xml:space="preserve"> </w:t>
      </w:r>
      <w:r w:rsidRPr="00E27443">
        <w:t>services</w:t>
      </w:r>
      <w:r w:rsidR="00C63F8F" w:rsidRPr="00E27443">
        <w:t xml:space="preserve"> </w:t>
      </w:r>
      <w:r w:rsidRPr="00E27443">
        <w:t>within</w:t>
      </w:r>
      <w:r w:rsidR="00C63F8F" w:rsidRPr="00E27443">
        <w:t xml:space="preserve"> </w:t>
      </w:r>
      <w:r w:rsidRPr="00E27443">
        <w:t>social</w:t>
      </w:r>
      <w:r w:rsidR="00C63F8F" w:rsidRPr="00E27443">
        <w:t xml:space="preserve"> </w:t>
      </w:r>
      <w:r w:rsidRPr="00E27443">
        <w:t>services.</w:t>
      </w:r>
    </w:p>
    <w:p w:rsidR="00321ADA" w:rsidRPr="00E27443" w:rsidRDefault="00923190" w:rsidP="00923190">
      <w:pPr>
        <w:pStyle w:val="H1G"/>
      </w:pPr>
      <w:r w:rsidRPr="00E27443">
        <w:tab/>
      </w:r>
      <w:r w:rsidRPr="00E27443">
        <w:tab/>
      </w:r>
      <w:bookmarkStart w:id="20" w:name="_Toc290623304"/>
      <w:r w:rsidR="00321ADA" w:rsidRPr="00E27443">
        <w:t>Article</w:t>
      </w:r>
      <w:r w:rsidR="00C63F8F" w:rsidRPr="00E27443">
        <w:t xml:space="preserve"> </w:t>
      </w:r>
      <w:r w:rsidR="00321ADA" w:rsidRPr="00E27443">
        <w:t>20</w:t>
      </w:r>
      <w:r w:rsidR="00BF6ACB">
        <w:t>:</w:t>
      </w:r>
      <w:r w:rsidR="00C63F8F" w:rsidRPr="00E27443">
        <w:t xml:space="preserve"> </w:t>
      </w:r>
      <w:r w:rsidR="00321ADA" w:rsidRPr="00E27443">
        <w:t>Personal</w:t>
      </w:r>
      <w:r w:rsidR="00C63F8F" w:rsidRPr="00E27443">
        <w:t xml:space="preserve"> </w:t>
      </w:r>
      <w:r w:rsidR="00321ADA" w:rsidRPr="00E27443">
        <w:t>mobility</w:t>
      </w:r>
      <w:bookmarkEnd w:id="20"/>
    </w:p>
    <w:p w:rsidR="00321ADA" w:rsidRPr="00E27443" w:rsidRDefault="00321ADA" w:rsidP="00BF6ACB">
      <w:pPr>
        <w:pStyle w:val="SingleTxtG"/>
        <w:numPr>
          <w:ilvl w:val="0"/>
          <w:numId w:val="20"/>
        </w:numPr>
        <w:tabs>
          <w:tab w:val="left" w:pos="1843"/>
        </w:tabs>
        <w:ind w:left="1134" w:firstLine="0"/>
      </w:pPr>
      <w:r w:rsidRPr="00E27443">
        <w:t>The</w:t>
      </w:r>
      <w:r w:rsidR="00C63F8F" w:rsidRPr="00E27443">
        <w:t xml:space="preserve"> </w:t>
      </w:r>
      <w:r w:rsidRPr="00BF6ACB">
        <w:t>national</w:t>
      </w:r>
      <w:r w:rsidR="00C63F8F" w:rsidRPr="00BF6ACB">
        <w:t xml:space="preserve"> </w:t>
      </w:r>
      <w:r w:rsidRPr="00BF6ACB">
        <w:t>action</w:t>
      </w:r>
      <w:r w:rsidR="00C63F8F" w:rsidRPr="00BF6ACB">
        <w:t xml:space="preserve"> </w:t>
      </w:r>
      <w:r w:rsidRPr="00BF6ACB">
        <w:t>plan</w:t>
      </w:r>
      <w:r w:rsidR="00C63F8F" w:rsidRPr="00BF6ACB">
        <w:t xml:space="preserve"> </w:t>
      </w:r>
      <w:r w:rsidRPr="00BF6ACB">
        <w:t>for</w:t>
      </w:r>
      <w:r w:rsidR="00C63F8F" w:rsidRPr="00BF6ACB">
        <w:t xml:space="preserve"> </w:t>
      </w:r>
      <w:r w:rsidRPr="00BF6ACB">
        <w:t>the</w:t>
      </w:r>
      <w:r w:rsidR="00C63F8F" w:rsidRPr="00BF6ACB">
        <w:t xml:space="preserve"> </w:t>
      </w:r>
      <w:r w:rsidRPr="00BF6ACB">
        <w:t>disability</w:t>
      </w:r>
      <w:r w:rsidR="00C63F8F" w:rsidRPr="00BF6ACB">
        <w:t xml:space="preserve"> </w:t>
      </w:r>
      <w:r w:rsidRPr="00BF6ACB">
        <w:t>policy</w:t>
      </w:r>
      <w:r w:rsidR="00923190" w:rsidRPr="00BF6ACB">
        <w:footnoteReference w:id="86"/>
      </w:r>
      <w:r w:rsidR="00C63F8F" w:rsidRPr="00E27443">
        <w:t xml:space="preserve"> </w:t>
      </w:r>
      <w:r w:rsidRPr="00E27443">
        <w:t>2000–2010</w:t>
      </w:r>
      <w:r w:rsidR="00C63F8F" w:rsidRPr="00E27443">
        <w:t xml:space="preserve"> </w:t>
      </w:r>
      <w:r w:rsidRPr="00E27443">
        <w:t>establishes</w:t>
      </w:r>
      <w:r w:rsidR="00C63F8F" w:rsidRPr="00E27443">
        <w:t xml:space="preserve"> </w:t>
      </w:r>
      <w:r w:rsidRPr="00E27443">
        <w:t>that</w:t>
      </w:r>
      <w:r w:rsidR="00C63F8F" w:rsidRPr="00E27443">
        <w:t xml:space="preserve"> </w:t>
      </w:r>
      <w:r w:rsidRPr="00E27443">
        <w:t>society</w:t>
      </w:r>
      <w:r w:rsidR="00C63F8F" w:rsidRPr="00E27443">
        <w:t xml:space="preserve"> </w:t>
      </w:r>
      <w:r w:rsidRPr="00E27443">
        <w:t>should</w:t>
      </w:r>
      <w:r w:rsidR="00C63F8F" w:rsidRPr="00E27443">
        <w:t xml:space="preserve"> </w:t>
      </w:r>
      <w:r w:rsidRPr="00E27443">
        <w:t>be</w:t>
      </w:r>
      <w:r w:rsidR="00C63F8F" w:rsidRPr="00E27443">
        <w:t xml:space="preserve"> </w:t>
      </w:r>
      <w:r w:rsidRPr="00E27443">
        <w:t>designed</w:t>
      </w:r>
      <w:r w:rsidR="00C63F8F" w:rsidRPr="00E27443">
        <w:t xml:space="preserve"> </w:t>
      </w:r>
      <w:r w:rsidRPr="00E27443">
        <w:t>in</w:t>
      </w:r>
      <w:r w:rsidR="00C63F8F" w:rsidRPr="00E27443">
        <w:t xml:space="preserve"> </w:t>
      </w:r>
      <w:r w:rsidRPr="00E27443">
        <w:t>such</w:t>
      </w:r>
      <w:r w:rsidR="00C63F8F" w:rsidRPr="00E27443">
        <w:t xml:space="preserve"> </w:t>
      </w:r>
      <w:r w:rsidRPr="00E27443">
        <w:t>a</w:t>
      </w:r>
      <w:r w:rsidR="00C63F8F" w:rsidRPr="00E27443">
        <w:t xml:space="preserve"> </w:t>
      </w:r>
      <w:r w:rsidRPr="00E27443">
        <w:t>way</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participate</w:t>
      </w:r>
      <w:r w:rsidR="00C63F8F" w:rsidRPr="00E27443">
        <w:t xml:space="preserve"> </w:t>
      </w:r>
      <w:r w:rsidRPr="00E27443">
        <w:t>fully.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and</w:t>
      </w:r>
      <w:r w:rsidR="00C63F8F" w:rsidRPr="00E27443">
        <w:t xml:space="preserve"> </w:t>
      </w:r>
      <w:r w:rsidRPr="00E27443">
        <w:t>its</w:t>
      </w:r>
      <w:r w:rsidR="00C63F8F" w:rsidRPr="00E27443">
        <w:t xml:space="preserve"> </w:t>
      </w:r>
      <w:r w:rsidRPr="00E27443">
        <w:t>authorities</w:t>
      </w:r>
      <w:r w:rsidR="00C63F8F" w:rsidRPr="00E27443">
        <w:t xml:space="preserve"> </w:t>
      </w:r>
      <w:r w:rsidRPr="00E27443">
        <w:t>must</w:t>
      </w:r>
      <w:r w:rsidR="00C63F8F" w:rsidRPr="00E27443">
        <w:t xml:space="preserve"> </w:t>
      </w:r>
      <w:r w:rsidRPr="00E27443">
        <w:t>act</w:t>
      </w:r>
      <w:r w:rsidR="00C63F8F" w:rsidRPr="00E27443">
        <w:t xml:space="preserve"> </w:t>
      </w:r>
      <w:r w:rsidRPr="00E27443">
        <w:t>as</w:t>
      </w:r>
      <w:r w:rsidR="00C63F8F" w:rsidRPr="00E27443">
        <w:t xml:space="preserve"> </w:t>
      </w:r>
      <w:r w:rsidRPr="00E27443">
        <w:t>a</w:t>
      </w:r>
      <w:r w:rsidR="00C63F8F" w:rsidRPr="00E27443">
        <w:t xml:space="preserve"> </w:t>
      </w:r>
      <w:r w:rsidRPr="00E27443">
        <w:t>role</w:t>
      </w:r>
      <w:r w:rsidR="00C63F8F" w:rsidRPr="00E27443">
        <w:t xml:space="preserve"> </w:t>
      </w:r>
      <w:r w:rsidRPr="00E27443">
        <w:t>model</w:t>
      </w:r>
      <w:r w:rsidR="00C63F8F" w:rsidRPr="00E27443">
        <w:t xml:space="preserve"> </w:t>
      </w:r>
      <w:r w:rsidRPr="00E27443">
        <w:t>in</w:t>
      </w:r>
      <w:r w:rsidR="00C63F8F" w:rsidRPr="00E27443">
        <w:t xml:space="preserve"> </w:t>
      </w:r>
      <w:r w:rsidRPr="00E27443">
        <w:t>this</w:t>
      </w:r>
      <w:r w:rsidR="00C63F8F" w:rsidRPr="00E27443">
        <w:t xml:space="preserve"> </w:t>
      </w:r>
      <w:r w:rsidRPr="00E27443">
        <w:t>work.</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promote</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the</w:t>
      </w:r>
      <w:r w:rsidR="00C63F8F" w:rsidRPr="00E27443">
        <w:t xml:space="preserve"> </w:t>
      </w:r>
      <w:r w:rsidR="00AC0808" w:rsidRPr="00E27443">
        <w:t>Ordi</w:t>
      </w:r>
      <w:r w:rsidRPr="00E27443">
        <w:t>nance</w:t>
      </w:r>
      <w:r w:rsidR="00C63F8F" w:rsidRPr="00E27443">
        <w:t xml:space="preserve"> </w:t>
      </w:r>
      <w:r w:rsidRPr="00E27443">
        <w:t>on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policies</w:t>
      </w:r>
      <w:r w:rsidR="00923190" w:rsidRPr="00BF6ACB">
        <w:footnoteReference w:id="87"/>
      </w:r>
      <w:r w:rsidR="00C63F8F" w:rsidRPr="00E27443">
        <w:t xml:space="preserve"> </w:t>
      </w:r>
      <w:r w:rsidRPr="00E27443">
        <w:t>was</w:t>
      </w:r>
      <w:r w:rsidR="00C63F8F" w:rsidRPr="00E27443">
        <w:t xml:space="preserve"> </w:t>
      </w:r>
      <w:r w:rsidRPr="00E27443">
        <w:t>introduced.</w:t>
      </w:r>
      <w:r w:rsidR="00C63F8F" w:rsidRPr="00E27443">
        <w:t xml:space="preserve"> </w:t>
      </w:r>
      <w:r w:rsidRPr="00E27443">
        <w:t>This</w:t>
      </w:r>
      <w:r w:rsidR="00C63F8F" w:rsidRPr="00E27443">
        <w:t xml:space="preserve"> </w:t>
      </w:r>
      <w:r w:rsidRPr="00E27443">
        <w:t>Ordinance</w:t>
      </w:r>
      <w:r w:rsidR="00C63F8F" w:rsidRPr="00E27443">
        <w:t xml:space="preserve"> </w:t>
      </w:r>
      <w:r w:rsidRPr="00E27443">
        <w:t>gave</w:t>
      </w:r>
      <w:r w:rsidR="00C63F8F" w:rsidRPr="00E27443">
        <w:t xml:space="preserve"> </w:t>
      </w:r>
      <w:r w:rsidRPr="00E27443">
        <w:t>all</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the</w:t>
      </w:r>
      <w:r w:rsidR="00C63F8F" w:rsidRPr="00E27443">
        <w:t xml:space="preserve"> </w:t>
      </w:r>
      <w:r w:rsidRPr="00E27443">
        <w:t>responsibility</w:t>
      </w:r>
      <w:r w:rsidR="00C63F8F" w:rsidRPr="00E27443">
        <w:t xml:space="preserve"> </w:t>
      </w:r>
      <w:r w:rsidRPr="00E27443">
        <w:t>to</w:t>
      </w:r>
      <w:r w:rsidR="00C63F8F" w:rsidRPr="00E27443">
        <w:t xml:space="preserve"> </w:t>
      </w:r>
      <w:r w:rsidRPr="00E27443">
        <w:t>formulate</w:t>
      </w:r>
      <w:r w:rsidR="00C63F8F" w:rsidRPr="00E27443">
        <w:t xml:space="preserve"> </w:t>
      </w:r>
      <w:r w:rsidRPr="00E27443">
        <w:t>and</w:t>
      </w:r>
      <w:r w:rsidR="00C63F8F" w:rsidRPr="00E27443">
        <w:t xml:space="preserve"> </w:t>
      </w:r>
      <w:r w:rsidRPr="00E27443">
        <w:t>conduct</w:t>
      </w:r>
      <w:r w:rsidR="00C63F8F" w:rsidRPr="00E27443">
        <w:t xml:space="preserve"> </w:t>
      </w:r>
      <w:r w:rsidRPr="00E27443">
        <w:t>their</w:t>
      </w:r>
      <w:r w:rsidR="00C63F8F" w:rsidRPr="00E27443">
        <w:t xml:space="preserve"> </w:t>
      </w:r>
      <w:r w:rsidRPr="00E27443">
        <w:t>activities</w:t>
      </w:r>
      <w:r w:rsidR="00C63F8F" w:rsidRPr="00E27443">
        <w:t xml:space="preserve"> </w:t>
      </w:r>
      <w:r w:rsidRPr="00E27443">
        <w:t>with</w:t>
      </w:r>
      <w:r w:rsidR="00C63F8F" w:rsidRPr="00E27443">
        <w:t xml:space="preserve"> </w:t>
      </w:r>
      <w:r w:rsidRPr="00E27443">
        <w:t>due</w:t>
      </w:r>
      <w:r w:rsidR="00C63F8F" w:rsidRPr="00E27443">
        <w:t xml:space="preserve"> </w:t>
      </w:r>
      <w:r w:rsidRPr="00E27443">
        <w:t>observance</w:t>
      </w:r>
      <w:r w:rsidR="00C63F8F" w:rsidRPr="00E27443">
        <w:t xml:space="preserve"> </w:t>
      </w:r>
      <w:r w:rsidRPr="00E27443">
        <w:t>of</w:t>
      </w:r>
      <w:r w:rsidR="00C63F8F" w:rsidRPr="00E27443">
        <w:t xml:space="preserve"> </w:t>
      </w:r>
      <w:r w:rsidRPr="00E27443">
        <w:t>the</w:t>
      </w:r>
      <w:r w:rsidR="00C63F8F" w:rsidRPr="00E27443">
        <w:t xml:space="preserve"> </w:t>
      </w:r>
      <w:r w:rsidRPr="00E27443">
        <w:t>goals</w:t>
      </w:r>
      <w:r w:rsidR="00C63F8F" w:rsidRPr="00E27443">
        <w:t xml:space="preserve"> </w:t>
      </w:r>
      <w:r w:rsidRPr="00E27443">
        <w:t>in</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achieve</w:t>
      </w:r>
      <w:r w:rsidR="00C63F8F" w:rsidRPr="00E27443">
        <w:t xml:space="preserve"> </w:t>
      </w:r>
      <w:r w:rsidRPr="00E27443">
        <w:t>full</w:t>
      </w:r>
      <w:r w:rsidR="00C63F8F" w:rsidRPr="00E27443">
        <w:t xml:space="preserve"> </w:t>
      </w:r>
      <w:r w:rsidRPr="00E27443">
        <w:t>involvement</w:t>
      </w:r>
      <w:r w:rsidR="00C63F8F" w:rsidRPr="00E27443">
        <w:t xml:space="preserve"> </w:t>
      </w:r>
      <w:r w:rsidRPr="00E27443">
        <w:t>in</w:t>
      </w:r>
      <w:r w:rsidR="00C63F8F" w:rsidRPr="00E27443">
        <w:t xml:space="preserve"> </w:t>
      </w:r>
      <w:r w:rsidRPr="00E27443">
        <w:t>social</w:t>
      </w:r>
      <w:r w:rsidR="00C63F8F" w:rsidRPr="00E27443">
        <w:t xml:space="preserve"> </w:t>
      </w:r>
      <w:r w:rsidRPr="00E27443">
        <w:t>life</w:t>
      </w:r>
      <w:r w:rsidR="00C63F8F" w:rsidRPr="00E27443">
        <w:t xml:space="preserve"> </w:t>
      </w:r>
      <w:r w:rsidRPr="00E27443">
        <w:t>and</w:t>
      </w:r>
      <w:r w:rsidR="00C63F8F" w:rsidRPr="00E27443">
        <w:t xml:space="preserve"> </w:t>
      </w:r>
      <w:r w:rsidRPr="00E27443">
        <w:t>equality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authorities</w:t>
      </w:r>
      <w:r w:rsidR="00C63F8F" w:rsidRPr="00E27443">
        <w:t xml:space="preserve"> </w:t>
      </w:r>
      <w:r w:rsidRPr="00E27443">
        <w:t>must</w:t>
      </w:r>
      <w:r w:rsidR="00C63F8F" w:rsidRPr="00E27443">
        <w:t xml:space="preserve"> </w:t>
      </w:r>
      <w:r w:rsidRPr="00E27443">
        <w:t>work</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their</w:t>
      </w:r>
      <w:r w:rsidR="00C63F8F" w:rsidRPr="00E27443">
        <w:t xml:space="preserve"> </w:t>
      </w:r>
      <w:r w:rsidRPr="00E27443">
        <w:t>premises,</w:t>
      </w:r>
      <w:r w:rsidR="00C63F8F" w:rsidRPr="00E27443">
        <w:t xml:space="preserve"> </w:t>
      </w:r>
      <w:r w:rsidRPr="00E27443">
        <w:t>activities</w:t>
      </w:r>
      <w:r w:rsidR="00C63F8F" w:rsidRPr="00E27443">
        <w:t xml:space="preserve"> </w:t>
      </w:r>
      <w:r w:rsidRPr="00E27443">
        <w:t>and</w:t>
      </w:r>
      <w:r w:rsidR="00C63F8F" w:rsidRPr="00E27443">
        <w:t xml:space="preserve"> </w:t>
      </w:r>
      <w:r w:rsidRPr="00E27443">
        <w:t>information</w:t>
      </w:r>
      <w:r w:rsidR="00C63F8F" w:rsidRPr="00E27443">
        <w:t xml:space="preserve"> </w:t>
      </w:r>
      <w:r w:rsidRPr="00E27443">
        <w:t>are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accessibility</w:t>
      </w:r>
      <w:r w:rsidR="00C63F8F" w:rsidRPr="00E27443">
        <w:t xml:space="preserve"> </w:t>
      </w:r>
      <w:r w:rsidRPr="00E27443">
        <w:t>work</w:t>
      </w:r>
      <w:r w:rsidR="00C63F8F" w:rsidRPr="00E27443">
        <w:t xml:space="preserve"> </w:t>
      </w:r>
      <w:r w:rsidRPr="00E27443">
        <w:t>requires</w:t>
      </w:r>
      <w:r w:rsidR="00C63F8F" w:rsidRPr="00E27443">
        <w:t xml:space="preserve"> </w:t>
      </w:r>
      <w:r w:rsidRPr="00E27443">
        <w:t>a</w:t>
      </w:r>
      <w:r w:rsidR="00C63F8F" w:rsidRPr="00E27443">
        <w:t xml:space="preserve"> </w:t>
      </w:r>
      <w:r w:rsidRPr="00E27443">
        <w:t>structured</w:t>
      </w:r>
      <w:r w:rsidR="00C63F8F" w:rsidRPr="00E27443">
        <w:t xml:space="preserve"> </w:t>
      </w:r>
      <w:r w:rsidRPr="00E27443">
        <w:t>and</w:t>
      </w:r>
      <w:r w:rsidR="00C63F8F" w:rsidRPr="00E27443">
        <w:t xml:space="preserve"> </w:t>
      </w:r>
      <w:r w:rsidRPr="00E27443">
        <w:t>systematic</w:t>
      </w:r>
      <w:r w:rsidR="00C63F8F" w:rsidRPr="00E27443">
        <w:t xml:space="preserve"> </w:t>
      </w:r>
      <w:r w:rsidRPr="00E27443">
        <w:t>approach.</w:t>
      </w:r>
      <w:r w:rsidR="00C63F8F" w:rsidRPr="00E27443">
        <w:t xml:space="preserve"> </w:t>
      </w:r>
      <w:r w:rsidRPr="00E27443">
        <w:t>The</w:t>
      </w:r>
      <w:r w:rsidR="00C63F8F" w:rsidRPr="00E27443">
        <w:t xml:space="preserve"> </w:t>
      </w:r>
      <w:r w:rsidRPr="00E27443">
        <w:t>authorities</w:t>
      </w:r>
      <w:r w:rsidR="00C63F8F" w:rsidRPr="00E27443">
        <w:t xml:space="preserve"> </w:t>
      </w:r>
      <w:r w:rsidRPr="00E27443">
        <w:t>must</w:t>
      </w:r>
      <w:r w:rsidR="00C63F8F" w:rsidRPr="00E27443">
        <w:t xml:space="preserve"> </w:t>
      </w:r>
      <w:r w:rsidRPr="00E27443">
        <w:t>therefore</w:t>
      </w:r>
      <w:r w:rsidR="00C63F8F" w:rsidRPr="00E27443">
        <w:t xml:space="preserve"> </w:t>
      </w:r>
      <w:r w:rsidRPr="00E27443">
        <w:t>conduct</w:t>
      </w:r>
      <w:r w:rsidR="00C63F8F" w:rsidRPr="00E27443">
        <w:t xml:space="preserve"> </w:t>
      </w:r>
      <w:r w:rsidRPr="00E27443">
        <w:t>inventories</w:t>
      </w:r>
      <w:r w:rsidR="00C63F8F" w:rsidRPr="00E27443">
        <w:t xml:space="preserve"> </w:t>
      </w:r>
      <w:r w:rsidRPr="00E27443">
        <w:t>and</w:t>
      </w:r>
      <w:r w:rsidR="00C63F8F" w:rsidRPr="00E27443">
        <w:t xml:space="preserve"> </w:t>
      </w:r>
      <w:r w:rsidRPr="00E27443">
        <w:t>draw</w:t>
      </w:r>
      <w:r w:rsidR="00C63F8F" w:rsidRPr="00E27443">
        <w:t xml:space="preserve"> </w:t>
      </w:r>
      <w:r w:rsidRPr="00E27443">
        <w:t>up</w:t>
      </w:r>
      <w:r w:rsidR="00C63F8F" w:rsidRPr="00E27443">
        <w:t xml:space="preserve"> </w:t>
      </w:r>
      <w:r w:rsidRPr="00E27443">
        <w:t>action</w:t>
      </w:r>
      <w:r w:rsidR="00C63F8F" w:rsidRPr="00E27443">
        <w:t xml:space="preserve"> </w:t>
      </w:r>
      <w:r w:rsidRPr="00E27443">
        <w:t>plans</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Ordinance.</w:t>
      </w:r>
    </w:p>
    <w:p w:rsidR="00321ADA" w:rsidRPr="00E27443" w:rsidRDefault="00321ADA" w:rsidP="00BF6ACB">
      <w:pPr>
        <w:pStyle w:val="SingleTxtG"/>
        <w:numPr>
          <w:ilvl w:val="0"/>
          <w:numId w:val="20"/>
        </w:numPr>
        <w:tabs>
          <w:tab w:val="left" w:pos="1843"/>
        </w:tabs>
        <w:ind w:left="1134" w:firstLine="0"/>
      </w:pPr>
      <w:r w:rsidRPr="00E27443">
        <w:t>In</w:t>
      </w:r>
      <w:r w:rsidR="00C63F8F" w:rsidRPr="00E27443">
        <w:t xml:space="preserve"> </w:t>
      </w:r>
      <w:r w:rsidRPr="00E27443">
        <w:t>2006,</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highlighted</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the</w:t>
      </w:r>
      <w:r w:rsidR="00C63F8F" w:rsidRPr="00E27443">
        <w:t xml:space="preserve"> </w:t>
      </w:r>
      <w:r w:rsidRPr="00E27443">
        <w:t>work</w:t>
      </w:r>
      <w:r w:rsidR="00C63F8F" w:rsidRPr="00E27443">
        <w:t xml:space="preserve"> </w:t>
      </w:r>
      <w:r w:rsidRPr="00E27443">
        <w:t>for</w:t>
      </w:r>
      <w:r w:rsidR="00C63F8F" w:rsidRPr="00E27443">
        <w:t xml:space="preserve"> </w:t>
      </w:r>
      <w:r w:rsidRPr="00E27443">
        <w:t>increased</w:t>
      </w:r>
      <w:r w:rsidR="00C63F8F" w:rsidRPr="00E27443">
        <w:t xml:space="preserve"> </w:t>
      </w:r>
      <w:r w:rsidRPr="00E27443">
        <w:t>accessibility</w:t>
      </w:r>
      <w:r w:rsidR="00C63F8F" w:rsidRPr="00E27443">
        <w:t xml:space="preserve"> </w:t>
      </w:r>
      <w:r w:rsidRPr="00E27443">
        <w:t>needed</w:t>
      </w:r>
      <w:r w:rsidR="00C63F8F" w:rsidRPr="00E27443">
        <w:t xml:space="preserve"> </w:t>
      </w:r>
      <w:r w:rsidRPr="00E27443">
        <w:t>to</w:t>
      </w:r>
      <w:r w:rsidR="00C63F8F" w:rsidRPr="00E27443">
        <w:t xml:space="preserve"> </w:t>
      </w:r>
      <w:r w:rsidRPr="00E27443">
        <w:t>be</w:t>
      </w:r>
      <w:r w:rsidR="00C63F8F" w:rsidRPr="00E27443">
        <w:t xml:space="preserve"> </w:t>
      </w:r>
      <w:r w:rsidRPr="00E27443">
        <w:t>intensified.</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then</w:t>
      </w:r>
      <w:r w:rsidR="00C63F8F" w:rsidRPr="00E27443">
        <w:t xml:space="preserve"> </w:t>
      </w:r>
      <w:r w:rsidRPr="00E27443">
        <w:t>developed</w:t>
      </w:r>
      <w:r w:rsidR="00C63F8F" w:rsidRPr="00E27443">
        <w:t xml:space="preserve"> </w:t>
      </w:r>
      <w:r w:rsidRPr="00E27443">
        <w:t>a</w:t>
      </w:r>
      <w:r w:rsidR="00C63F8F" w:rsidRPr="00E27443">
        <w:t xml:space="preserve"> </w:t>
      </w:r>
      <w:r w:rsidRPr="00E27443">
        <w:t>strategy</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achieving</w:t>
      </w:r>
      <w:r w:rsidR="00C63F8F" w:rsidRPr="00E27443">
        <w:t xml:space="preserve"> </w:t>
      </w:r>
      <w:r w:rsidRPr="00E27443">
        <w:t>the</w:t>
      </w:r>
      <w:r w:rsidR="00C63F8F" w:rsidRPr="00E27443">
        <w:t xml:space="preserve"> </w:t>
      </w:r>
      <w:r w:rsidRPr="00E27443">
        <w:t>goals</w:t>
      </w:r>
      <w:r w:rsidR="00C63F8F" w:rsidRPr="00E27443">
        <w:t xml:space="preserve"> </w:t>
      </w:r>
      <w:r w:rsidRPr="00E27443">
        <w:t>laid</w:t>
      </w:r>
      <w:r w:rsidR="00C63F8F" w:rsidRPr="00E27443">
        <w:t xml:space="preserve"> </w:t>
      </w:r>
      <w:r w:rsidRPr="00E27443">
        <w:t>down.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involved</w:t>
      </w:r>
      <w:r w:rsidR="00C63F8F" w:rsidRPr="00E27443">
        <w:t xml:space="preserve"> </w:t>
      </w:r>
      <w:r w:rsidRPr="00E27443">
        <w:t>the</w:t>
      </w:r>
      <w:r w:rsidR="00C63F8F" w:rsidRPr="00E27443">
        <w:t xml:space="preserve"> </w:t>
      </w:r>
      <w:r w:rsidRPr="00E27443">
        <w:t>Swedish</w:t>
      </w:r>
      <w:r w:rsidR="00C63F8F" w:rsidRPr="00E27443">
        <w:t xml:space="preserve"> </w:t>
      </w:r>
      <w:r w:rsidRPr="00E27443">
        <w:t>Association</w:t>
      </w:r>
      <w:r w:rsidR="00C63F8F" w:rsidRPr="00E27443">
        <w:t xml:space="preserve"> </w:t>
      </w:r>
      <w:r w:rsidRPr="00E27443">
        <w:t>of</w:t>
      </w:r>
      <w:r w:rsidR="00C63F8F" w:rsidRPr="00E27443">
        <w:t xml:space="preserve"> </w:t>
      </w:r>
      <w:r w:rsidRPr="00E27443">
        <w:t>Local</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Regions</w:t>
      </w:r>
      <w:r w:rsidR="00C63F8F" w:rsidRPr="00E27443">
        <w:t xml:space="preserve"> </w:t>
      </w:r>
      <w:r w:rsidRPr="00E27443">
        <w:t>(SALAR)</w:t>
      </w:r>
      <w:r w:rsidR="00C63F8F" w:rsidRPr="00E27443">
        <w:t xml:space="preserve"> </w:t>
      </w:r>
      <w:r w:rsidRPr="00E27443">
        <w:t>in</w:t>
      </w:r>
      <w:r w:rsidR="00C63F8F" w:rsidRPr="00E27443">
        <w:t xml:space="preserve"> </w:t>
      </w:r>
      <w:r w:rsidRPr="00E27443">
        <w:t>this</w:t>
      </w:r>
      <w:r w:rsidR="00C63F8F" w:rsidRPr="00E27443">
        <w:t xml:space="preserve"> </w:t>
      </w:r>
      <w:r w:rsidRPr="00E27443">
        <w:t>work.</w:t>
      </w:r>
      <w:r w:rsidR="00C63F8F" w:rsidRPr="00E27443">
        <w:t xml:space="preserve"> </w:t>
      </w:r>
      <w:r w:rsidRPr="00E27443">
        <w:t>A</w:t>
      </w:r>
      <w:r w:rsidR="00C63F8F" w:rsidRPr="00E27443">
        <w:t xml:space="preserve"> </w:t>
      </w:r>
      <w:r w:rsidRPr="00E27443">
        <w:t>joint</w:t>
      </w:r>
      <w:r w:rsidR="00C63F8F" w:rsidRPr="00E27443">
        <w:t xml:space="preserve"> </w:t>
      </w:r>
      <w:r w:rsidRPr="00E27443">
        <w:t>strategy,</w:t>
      </w:r>
      <w:r w:rsidR="00C63F8F" w:rsidRPr="00E27443">
        <w:t xml:space="preserve"> </w:t>
      </w:r>
      <w:r w:rsidRPr="00E27443">
        <w:t>which</w:t>
      </w:r>
      <w:r w:rsidR="00C63F8F" w:rsidRPr="00E27443">
        <w:t xml:space="preserve"> </w:t>
      </w:r>
      <w:r w:rsidRPr="00E27443">
        <w:t>was</w:t>
      </w:r>
      <w:r w:rsidR="00C63F8F" w:rsidRPr="00E27443">
        <w:t xml:space="preserve"> </w:t>
      </w:r>
      <w:r w:rsidRPr="00E27443">
        <w:t>adopted</w:t>
      </w:r>
      <w:r w:rsidR="00C63F8F" w:rsidRPr="00E27443">
        <w:t xml:space="preserve"> </w:t>
      </w:r>
      <w:r w:rsidRPr="00E27443">
        <w:t>in</w:t>
      </w:r>
      <w:r w:rsidR="00C63F8F" w:rsidRPr="00E27443">
        <w:t xml:space="preserve"> </w:t>
      </w:r>
      <w:r w:rsidRPr="00E27443">
        <w:t>September</w:t>
      </w:r>
      <w:r w:rsidR="00C63F8F" w:rsidRPr="00E27443">
        <w:t xml:space="preserve"> </w:t>
      </w:r>
      <w:r w:rsidRPr="00E27443">
        <w:t>2008,</w:t>
      </w:r>
      <w:r w:rsidR="00C63F8F" w:rsidRPr="00E27443">
        <w:t xml:space="preserve"> </w:t>
      </w:r>
      <w:r w:rsidRPr="00E27443">
        <w:t>includes</w:t>
      </w:r>
      <w:r w:rsidR="00C63F8F" w:rsidRPr="00E27443">
        <w:t xml:space="preserve"> </w:t>
      </w:r>
      <w:r w:rsidRPr="00E27443">
        <w:t>initiatives</w:t>
      </w:r>
      <w:r w:rsidR="00C63F8F" w:rsidRPr="00E27443">
        <w:t xml:space="preserve"> </w:t>
      </w:r>
      <w:r w:rsidRPr="00E27443">
        <w:t>within</w:t>
      </w:r>
      <w:r w:rsidR="00C63F8F" w:rsidRPr="00E27443">
        <w:t xml:space="preserve"> </w:t>
      </w:r>
      <w:r w:rsidRPr="00E27443">
        <w:t>three</w:t>
      </w:r>
      <w:r w:rsidR="00C63F8F" w:rsidRPr="00E27443">
        <w:t xml:space="preserve"> </w:t>
      </w:r>
      <w:r w:rsidRPr="00E27443">
        <w:t>prioritised</w:t>
      </w:r>
      <w:r w:rsidR="00C63F8F" w:rsidRPr="00E27443">
        <w:t xml:space="preserve"> </w:t>
      </w:r>
      <w:r w:rsidRPr="00E27443">
        <w:t>areas:</w:t>
      </w:r>
      <w:r w:rsidR="00C63F8F" w:rsidRPr="00E27443">
        <w:t xml:space="preserve"> </w:t>
      </w:r>
      <w:r w:rsidRPr="00E27443">
        <w:t>accessible</w:t>
      </w:r>
      <w:r w:rsidR="00C63F8F" w:rsidRPr="00E27443">
        <w:t xml:space="preserve"> </w:t>
      </w:r>
      <w:r w:rsidRPr="00E27443">
        <w:t>public</w:t>
      </w:r>
      <w:r w:rsidR="00C63F8F" w:rsidRPr="00E27443">
        <w:t xml:space="preserve"> </w:t>
      </w:r>
      <w:r w:rsidRPr="00E27443">
        <w:t>transport,</w:t>
      </w:r>
      <w:r w:rsidR="00C63F8F" w:rsidRPr="00E27443">
        <w:t xml:space="preserve"> </w:t>
      </w:r>
      <w:r w:rsidRPr="00E27443">
        <w:t>an</w:t>
      </w:r>
      <w:r w:rsidR="00C63F8F" w:rsidRPr="00E27443">
        <w:t xml:space="preserve"> </w:t>
      </w:r>
      <w:r w:rsidRPr="00E27443">
        <w:t>accessible</w:t>
      </w:r>
      <w:r w:rsidR="00C63F8F" w:rsidRPr="00E27443">
        <w:t xml:space="preserve"> </w:t>
      </w:r>
      <w:r w:rsidRPr="00E27443">
        <w:t>civil</w:t>
      </w:r>
      <w:r w:rsidR="00C63F8F" w:rsidRPr="00E27443">
        <w:t xml:space="preserve"> </w:t>
      </w:r>
      <w:r w:rsidRPr="00E27443">
        <w:t>service</w:t>
      </w:r>
      <w:r w:rsidR="00C63F8F" w:rsidRPr="00E27443">
        <w:t xml:space="preserve"> </w:t>
      </w:r>
      <w:r w:rsidRPr="00E27443">
        <w:t>and</w:t>
      </w:r>
      <w:r w:rsidR="00C63F8F" w:rsidRPr="00E27443">
        <w:t xml:space="preserve"> </w:t>
      </w:r>
      <w:r w:rsidRPr="00E27443">
        <w:t>easily</w:t>
      </w:r>
      <w:r w:rsidR="00C63F8F" w:rsidRPr="00E27443">
        <w:t xml:space="preserve"> </w:t>
      </w:r>
      <w:r w:rsidRPr="00E27443">
        <w:t>eliminated</w:t>
      </w:r>
      <w:r w:rsidR="00C63F8F" w:rsidRPr="00E27443">
        <w:t xml:space="preserve"> </w:t>
      </w:r>
      <w:r w:rsidRPr="00E27443">
        <w:t>obstacles.</w:t>
      </w:r>
      <w:r w:rsidR="00C63F8F" w:rsidRPr="00E27443">
        <w:t xml:space="preserve"> </w:t>
      </w:r>
      <w:r w:rsidRPr="00E27443">
        <w:t>With</w:t>
      </w:r>
      <w:r w:rsidR="00C63F8F" w:rsidRPr="00E27443">
        <w:t xml:space="preserve"> </w:t>
      </w:r>
      <w:r w:rsidRPr="00E27443">
        <w:t>this</w:t>
      </w:r>
      <w:r w:rsidR="00C63F8F" w:rsidRPr="00E27443">
        <w:t xml:space="preserve"> </w:t>
      </w:r>
      <w:r w:rsidRPr="00E27443">
        <w:t>strategy,</w:t>
      </w:r>
      <w:r w:rsidR="00C63F8F" w:rsidRPr="00E27443">
        <w:t xml:space="preserve"> </w:t>
      </w:r>
      <w:r w:rsidRPr="00E27443">
        <w:t>a</w:t>
      </w:r>
      <w:r w:rsidR="00C63F8F" w:rsidRPr="00E27443">
        <w:t xml:space="preserve"> </w:t>
      </w:r>
      <w:r w:rsidRPr="00E27443">
        <w:t>close</w:t>
      </w:r>
      <w:r w:rsidR="00C63F8F" w:rsidRPr="00E27443">
        <w:t xml:space="preserve"> </w:t>
      </w:r>
      <w:r w:rsidRPr="00E27443">
        <w:t>collaboration</w:t>
      </w:r>
      <w:r w:rsidR="00C63F8F" w:rsidRPr="00E27443">
        <w:t xml:space="preserve"> </w:t>
      </w:r>
      <w:r w:rsidRPr="00E27443">
        <w:t>was</w:t>
      </w:r>
      <w:r w:rsidR="00C63F8F" w:rsidRPr="00E27443">
        <w:t xml:space="preserve"> </w:t>
      </w:r>
      <w:r w:rsidRPr="00E27443">
        <w:t>launched</w:t>
      </w:r>
      <w:r w:rsidR="00C63F8F" w:rsidRPr="00E27443">
        <w:t xml:space="preserve"> </w:t>
      </w:r>
      <w:r w:rsidRPr="00E27443">
        <w:t>between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and</w:t>
      </w:r>
      <w:r w:rsidR="00C63F8F" w:rsidRPr="00E27443">
        <w:t xml:space="preserve"> </w:t>
      </w:r>
      <w:r w:rsidRPr="00E27443">
        <w:t>SALAR</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persuading</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rate</w:t>
      </w:r>
      <w:r w:rsidR="00C63F8F" w:rsidRPr="00E27443">
        <w:t xml:space="preserve"> </w:t>
      </w:r>
      <w:r w:rsidRPr="00E27443">
        <w:t>of</w:t>
      </w:r>
      <w:r w:rsidR="00C63F8F" w:rsidRPr="00E27443">
        <w:t xml:space="preserve"> </w:t>
      </w:r>
      <w:r w:rsidRPr="00E27443">
        <w:t>their</w:t>
      </w:r>
      <w:r w:rsidR="00C63F8F" w:rsidRPr="00E27443">
        <w:t xml:space="preserve"> </w:t>
      </w:r>
      <w:r w:rsidRPr="00E27443">
        <w:t>work</w:t>
      </w:r>
      <w:r w:rsidR="00C63F8F" w:rsidRPr="00E27443">
        <w:t xml:space="preserve"> </w:t>
      </w:r>
      <w:r w:rsidRPr="00E27443">
        <w:t>to</w:t>
      </w:r>
      <w:r w:rsidR="00C63F8F" w:rsidRPr="00E27443">
        <w:t xml:space="preserve"> </w:t>
      </w:r>
      <w:r w:rsidRPr="00E27443">
        <w:t>improve</w:t>
      </w:r>
      <w:r w:rsidR="00C63F8F" w:rsidRPr="00E27443">
        <w:t xml:space="preserve"> </w:t>
      </w:r>
      <w:r w:rsidRPr="00E27443">
        <w:t>accessibility.</w:t>
      </w:r>
    </w:p>
    <w:p w:rsidR="00321ADA" w:rsidRPr="00E27443" w:rsidRDefault="00321ADA" w:rsidP="00BF6ACB">
      <w:pPr>
        <w:pStyle w:val="SingleTxtG"/>
        <w:numPr>
          <w:ilvl w:val="0"/>
          <w:numId w:val="20"/>
        </w:numPr>
        <w:tabs>
          <w:tab w:val="left" w:pos="1843"/>
        </w:tabs>
        <w:ind w:left="1134" w:firstLine="0"/>
      </w:pPr>
      <w:r w:rsidRPr="00E27443">
        <w:t>Many</w:t>
      </w:r>
      <w:r w:rsidR="00C63F8F" w:rsidRPr="00E27443">
        <w:t xml:space="preserve"> </w:t>
      </w:r>
      <w:r w:rsidRPr="00BF6ACB">
        <w:t>traffic</w:t>
      </w:r>
      <w:r w:rsidR="00C63F8F" w:rsidRPr="00BF6ACB">
        <w:t xml:space="preserve"> </w:t>
      </w:r>
      <w:r w:rsidRPr="00BF6ACB">
        <w:t>signals</w:t>
      </w:r>
      <w:r w:rsidR="00C63F8F" w:rsidRPr="00E27443">
        <w:t xml:space="preserve"> </w:t>
      </w:r>
      <w:r w:rsidRPr="00E27443">
        <w:t>emit</w:t>
      </w:r>
      <w:r w:rsidR="00C63F8F" w:rsidRPr="00E27443">
        <w:t xml:space="preserve"> </w:t>
      </w:r>
      <w:r w:rsidRPr="00E27443">
        <w:t>audible</w:t>
      </w:r>
      <w:r w:rsidR="00C63F8F" w:rsidRPr="00E27443">
        <w:t xml:space="preserve"> </w:t>
      </w:r>
      <w:r w:rsidRPr="00E27443">
        <w:t>signals</w:t>
      </w:r>
      <w:r w:rsidR="00C63F8F" w:rsidRPr="00E27443">
        <w:t xml:space="preserve"> </w:t>
      </w:r>
      <w:r w:rsidRPr="00E27443">
        <w:t>and</w:t>
      </w:r>
      <w:r w:rsidR="00C63F8F" w:rsidRPr="00E27443">
        <w:t xml:space="preserve"> </w:t>
      </w:r>
      <w:r w:rsidRPr="00E27443">
        <w:t>have</w:t>
      </w:r>
      <w:r w:rsidR="00C63F8F" w:rsidRPr="00E27443">
        <w:t xml:space="preserve"> </w:t>
      </w:r>
      <w:r w:rsidRPr="00E27443">
        <w:t>tactile</w:t>
      </w:r>
      <w:r w:rsidR="00C63F8F" w:rsidRPr="00E27443">
        <w:t xml:space="preserve"> </w:t>
      </w:r>
      <w:r w:rsidRPr="00E27443">
        <w:t>markings.</w:t>
      </w:r>
      <w:r w:rsidR="00C63F8F" w:rsidRPr="00E27443">
        <w:t xml:space="preserve"> </w:t>
      </w:r>
      <w:r w:rsidRPr="00E27443">
        <w:t>An</w:t>
      </w:r>
      <w:r w:rsidR="00C63F8F" w:rsidRPr="00E27443">
        <w:t xml:space="preserve"> </w:t>
      </w:r>
      <w:r w:rsidRPr="00E27443">
        <w:t>audible</w:t>
      </w:r>
      <w:r w:rsidR="00C63F8F" w:rsidRPr="00E27443">
        <w:t xml:space="preserve"> </w:t>
      </w:r>
      <w:r w:rsidRPr="00E27443">
        <w:t>signal</w:t>
      </w:r>
      <w:r w:rsidR="00C63F8F" w:rsidRPr="00E27443">
        <w:t xml:space="preserve"> </w:t>
      </w:r>
      <w:r w:rsidRPr="00E27443">
        <w:t>with</w:t>
      </w:r>
      <w:r w:rsidR="00C63F8F" w:rsidRPr="00E27443">
        <w:t xml:space="preserve"> </w:t>
      </w:r>
      <w:r w:rsidRPr="00E27443">
        <w:t>a</w:t>
      </w:r>
      <w:r w:rsidR="00C63F8F" w:rsidRPr="00E27443">
        <w:t xml:space="preserve"> </w:t>
      </w:r>
      <w:r w:rsidRPr="00E27443">
        <w:t>slow</w:t>
      </w:r>
      <w:r w:rsidR="00C63F8F" w:rsidRPr="00E27443">
        <w:t xml:space="preserve"> </w:t>
      </w:r>
      <w:r w:rsidRPr="00E27443">
        <w:t>pulse</w:t>
      </w:r>
      <w:r w:rsidR="00C63F8F" w:rsidRPr="00E27443">
        <w:t xml:space="preserve"> </w:t>
      </w:r>
      <w:r w:rsidRPr="00E27443">
        <w:t>frequency</w:t>
      </w:r>
      <w:r w:rsidR="00C63F8F" w:rsidRPr="00E27443">
        <w:t xml:space="preserve"> </w:t>
      </w:r>
      <w:r w:rsidRPr="00E27443">
        <w:t>indicates</w:t>
      </w:r>
      <w:r w:rsidR="00C63F8F" w:rsidRPr="00E27443">
        <w:t xml:space="preserve"> </w:t>
      </w:r>
      <w:r w:rsidRPr="00E27443">
        <w:t>that</w:t>
      </w:r>
      <w:r w:rsidR="00C63F8F" w:rsidRPr="00E27443">
        <w:t xml:space="preserve"> </w:t>
      </w:r>
      <w:r w:rsidRPr="00E27443">
        <w:t>the</w:t>
      </w:r>
      <w:r w:rsidR="00C63F8F" w:rsidRPr="00E27443">
        <w:t xml:space="preserve"> </w:t>
      </w:r>
      <w:r w:rsidRPr="00E27443">
        <w:t>red</w:t>
      </w:r>
      <w:r w:rsidR="00C63F8F" w:rsidRPr="00E27443">
        <w:t xml:space="preserve"> </w:t>
      </w:r>
      <w:r w:rsidRPr="00E27443">
        <w:t>light</w:t>
      </w:r>
      <w:r w:rsidR="00C63F8F" w:rsidRPr="00E27443">
        <w:t xml:space="preserve"> </w:t>
      </w:r>
      <w:r w:rsidRPr="00E27443">
        <w:t>is</w:t>
      </w:r>
      <w:r w:rsidR="00C63F8F" w:rsidRPr="00E27443">
        <w:t xml:space="preserve"> </w:t>
      </w:r>
      <w:r w:rsidRPr="00E27443">
        <w:t>being</w:t>
      </w:r>
      <w:r w:rsidR="00C63F8F" w:rsidRPr="00E27443">
        <w:t xml:space="preserve"> </w:t>
      </w:r>
      <w:r w:rsidRPr="00E27443">
        <w:t>shown</w:t>
      </w:r>
      <w:r w:rsidR="00C63F8F" w:rsidRPr="00E27443">
        <w:t xml:space="preserve"> </w:t>
      </w:r>
      <w:r w:rsidRPr="00E27443">
        <w:t>on</w:t>
      </w:r>
      <w:r w:rsidR="00C63F8F" w:rsidRPr="00E27443">
        <w:t xml:space="preserve"> </w:t>
      </w:r>
      <w:r w:rsidRPr="00E27443">
        <w:t>the</w:t>
      </w:r>
      <w:r w:rsidR="00C63F8F" w:rsidRPr="00E27443">
        <w:t xml:space="preserve"> </w:t>
      </w:r>
      <w:r w:rsidRPr="00E27443">
        <w:t>pedestrian</w:t>
      </w:r>
      <w:r w:rsidR="00C63F8F" w:rsidRPr="00E27443">
        <w:t xml:space="preserve"> </w:t>
      </w:r>
      <w:r w:rsidRPr="00E27443">
        <w:t>signal,</w:t>
      </w:r>
      <w:r w:rsidR="00C63F8F" w:rsidRPr="00E27443">
        <w:t xml:space="preserve"> </w:t>
      </w:r>
      <w:r w:rsidRPr="00E27443">
        <w:t>and</w:t>
      </w:r>
      <w:r w:rsidR="00C63F8F" w:rsidRPr="00E27443">
        <w:t xml:space="preserve"> </w:t>
      </w:r>
      <w:r w:rsidRPr="00E27443">
        <w:t>an</w:t>
      </w:r>
      <w:r w:rsidR="00C63F8F" w:rsidRPr="00E27443">
        <w:t xml:space="preserve"> </w:t>
      </w:r>
      <w:r w:rsidRPr="00E27443">
        <w:t>audible</w:t>
      </w:r>
      <w:r w:rsidR="00C63F8F" w:rsidRPr="00E27443">
        <w:t xml:space="preserve"> </w:t>
      </w:r>
      <w:r w:rsidRPr="00E27443">
        <w:t>signal</w:t>
      </w:r>
      <w:r w:rsidR="00C63F8F" w:rsidRPr="00E27443">
        <w:t xml:space="preserve"> </w:t>
      </w:r>
      <w:r w:rsidRPr="00E27443">
        <w:t>with</w:t>
      </w:r>
      <w:r w:rsidR="00C63F8F" w:rsidRPr="00E27443">
        <w:t xml:space="preserve"> </w:t>
      </w:r>
      <w:r w:rsidRPr="00E27443">
        <w:t>a</w:t>
      </w:r>
      <w:r w:rsidR="00C63F8F" w:rsidRPr="00E27443">
        <w:t xml:space="preserve"> </w:t>
      </w:r>
      <w:r w:rsidRPr="00E27443">
        <w:t>fast</w:t>
      </w:r>
      <w:r w:rsidR="00C63F8F" w:rsidRPr="00E27443">
        <w:t xml:space="preserve"> </w:t>
      </w:r>
      <w:r w:rsidRPr="00E27443">
        <w:t>pulse</w:t>
      </w:r>
      <w:r w:rsidR="00C63F8F" w:rsidRPr="00E27443">
        <w:t xml:space="preserve"> </w:t>
      </w:r>
      <w:r w:rsidRPr="00E27443">
        <w:t>frequency</w:t>
      </w:r>
      <w:r w:rsidR="00C63F8F" w:rsidRPr="00E27443">
        <w:t xml:space="preserve"> </w:t>
      </w:r>
      <w:r w:rsidRPr="00E27443">
        <w:t>indicates</w:t>
      </w:r>
      <w:r w:rsidR="00C63F8F" w:rsidRPr="00E27443">
        <w:t xml:space="preserve"> </w:t>
      </w:r>
      <w:r w:rsidRPr="00E27443">
        <w:t>that</w:t>
      </w:r>
      <w:r w:rsidR="00C63F8F" w:rsidRPr="00E27443">
        <w:t xml:space="preserve"> </w:t>
      </w:r>
      <w:r w:rsidRPr="00E27443">
        <w:t>a</w:t>
      </w:r>
      <w:r w:rsidR="00C63F8F" w:rsidRPr="00E27443">
        <w:t xml:space="preserve"> </w:t>
      </w:r>
      <w:r w:rsidRPr="00E27443">
        <w:t>green</w:t>
      </w:r>
      <w:r w:rsidR="00C63F8F" w:rsidRPr="00E27443">
        <w:t xml:space="preserve"> </w:t>
      </w:r>
      <w:r w:rsidRPr="00E27443">
        <w:t>signal</w:t>
      </w:r>
      <w:r w:rsidR="00C63F8F" w:rsidRPr="00E27443">
        <w:t xml:space="preserve"> </w:t>
      </w:r>
      <w:r w:rsidRPr="00E27443">
        <w:t>is</w:t>
      </w:r>
      <w:r w:rsidR="00C63F8F" w:rsidRPr="00E27443">
        <w:t xml:space="preserve"> </w:t>
      </w:r>
      <w:r w:rsidRPr="00E27443">
        <w:t>being</w:t>
      </w:r>
      <w:r w:rsidR="00C63F8F" w:rsidRPr="00E27443">
        <w:t xml:space="preserve"> </w:t>
      </w:r>
      <w:r w:rsidRPr="00E27443">
        <w:t>displayed.</w:t>
      </w:r>
      <w:r w:rsidR="00C63F8F" w:rsidRPr="00E27443">
        <w:t xml:space="preserve"> </w:t>
      </w:r>
      <w:r w:rsidRPr="00E27443">
        <w:t>A</w:t>
      </w:r>
      <w:r w:rsidR="00C63F8F" w:rsidRPr="00E27443">
        <w:t xml:space="preserve"> </w:t>
      </w:r>
      <w:r w:rsidRPr="00E27443">
        <w:t>rapid</w:t>
      </w:r>
      <w:r w:rsidR="00C63F8F" w:rsidRPr="00E27443">
        <w:t xml:space="preserve"> </w:t>
      </w:r>
      <w:r w:rsidRPr="00E27443">
        <w:t>pulse</w:t>
      </w:r>
      <w:r w:rsidR="00C63F8F" w:rsidRPr="00E27443">
        <w:t xml:space="preserve"> </w:t>
      </w:r>
      <w:r w:rsidRPr="00E27443">
        <w:t>frequency</w:t>
      </w:r>
      <w:r w:rsidR="00C63F8F" w:rsidRPr="00E27443">
        <w:t xml:space="preserve"> </w:t>
      </w:r>
      <w:r w:rsidRPr="00E27443">
        <w:t>with</w:t>
      </w:r>
      <w:r w:rsidR="00C63F8F" w:rsidRPr="00E27443">
        <w:t xml:space="preserve"> </w:t>
      </w:r>
      <w:r w:rsidRPr="00E27443">
        <w:t>pauses</w:t>
      </w:r>
      <w:r w:rsidR="00C63F8F" w:rsidRPr="00E27443">
        <w:t xml:space="preserve"> </w:t>
      </w:r>
      <w:r w:rsidRPr="00E27443">
        <w:t>indicates</w:t>
      </w:r>
      <w:r w:rsidR="00C63F8F" w:rsidRPr="00E27443">
        <w:t xml:space="preserve"> </w:t>
      </w:r>
      <w:r w:rsidRPr="00E27443">
        <w:t>that</w:t>
      </w:r>
      <w:r w:rsidR="00C63F8F" w:rsidRPr="00E27443">
        <w:t xml:space="preserve"> </w:t>
      </w:r>
      <w:r w:rsidRPr="00E27443">
        <w:t>the</w:t>
      </w:r>
      <w:r w:rsidR="00C63F8F" w:rsidRPr="00E27443">
        <w:t xml:space="preserve"> </w:t>
      </w:r>
      <w:r w:rsidRPr="00E27443">
        <w:t>light</w:t>
      </w:r>
      <w:r w:rsidR="00C63F8F" w:rsidRPr="00E27443">
        <w:t xml:space="preserve"> </w:t>
      </w:r>
      <w:r w:rsidRPr="00E27443">
        <w:t>is</w:t>
      </w:r>
      <w:r w:rsidR="00C63F8F" w:rsidRPr="00E27443">
        <w:t xml:space="preserve"> </w:t>
      </w:r>
      <w:r w:rsidRPr="00E27443">
        <w:t>just</w:t>
      </w:r>
      <w:r w:rsidR="00C63F8F" w:rsidRPr="00E27443">
        <w:t xml:space="preserve"> </w:t>
      </w:r>
      <w:r w:rsidRPr="00E27443">
        <w:t>about</w:t>
      </w:r>
      <w:r w:rsidR="00C63F8F" w:rsidRPr="00E27443">
        <w:t xml:space="preserve"> </w:t>
      </w:r>
      <w:r w:rsidRPr="00E27443">
        <w:t>to</w:t>
      </w:r>
      <w:r w:rsidR="00C63F8F" w:rsidRPr="00E27443">
        <w:t xml:space="preserve"> </w:t>
      </w:r>
      <w:r w:rsidRPr="00E27443">
        <w:t>change</w:t>
      </w:r>
      <w:r w:rsidR="00C63F8F" w:rsidRPr="00E27443">
        <w:t xml:space="preserve"> </w:t>
      </w:r>
      <w:r w:rsidRPr="00E27443">
        <w:t>to</w:t>
      </w:r>
      <w:r w:rsidR="00C63F8F" w:rsidRPr="00E27443">
        <w:t xml:space="preserve"> </w:t>
      </w:r>
      <w:r w:rsidRPr="00E27443">
        <w:t>red.</w:t>
      </w:r>
      <w:r w:rsidR="00C63F8F" w:rsidRPr="00E27443">
        <w:t xml:space="preserve"> </w:t>
      </w:r>
      <w:r w:rsidRPr="00E27443">
        <w:t>The</w:t>
      </w:r>
      <w:r w:rsidR="00C63F8F" w:rsidRPr="00E27443">
        <w:t xml:space="preserve"> </w:t>
      </w:r>
      <w:r w:rsidRPr="00E27443">
        <w:t>tactile</w:t>
      </w:r>
      <w:r w:rsidR="00C63F8F" w:rsidRPr="00E27443">
        <w:t xml:space="preserve"> </w:t>
      </w:r>
      <w:r w:rsidRPr="00E27443">
        <w:t>marking</w:t>
      </w:r>
      <w:r w:rsidR="00C63F8F" w:rsidRPr="00E27443">
        <w:t xml:space="preserve"> </w:t>
      </w:r>
      <w:r w:rsidRPr="00E27443">
        <w:t>indicates</w:t>
      </w:r>
      <w:r w:rsidR="00C63F8F" w:rsidRPr="00E27443">
        <w:t xml:space="preserve"> </w:t>
      </w:r>
      <w:r w:rsidRPr="00E27443">
        <w:t>the</w:t>
      </w:r>
      <w:r w:rsidR="00C63F8F" w:rsidRPr="00E27443">
        <w:t xml:space="preserve"> </w:t>
      </w:r>
      <w:r w:rsidRPr="00E27443">
        <w:t>direction</w:t>
      </w:r>
      <w:r w:rsidR="00C63F8F" w:rsidRPr="00E27443">
        <w:t xml:space="preserve"> </w:t>
      </w:r>
      <w:r w:rsidRPr="00E27443">
        <w:t>users</w:t>
      </w:r>
      <w:r w:rsidR="00C63F8F" w:rsidRPr="00E27443">
        <w:t xml:space="preserve"> </w:t>
      </w:r>
      <w:r w:rsidRPr="00E27443">
        <w:t>need</w:t>
      </w:r>
      <w:r w:rsidR="00C63F8F" w:rsidRPr="00E27443">
        <w:t xml:space="preserve"> </w:t>
      </w:r>
      <w:r w:rsidRPr="00E27443">
        <w:t>to</w:t>
      </w:r>
      <w:r w:rsidR="00C63F8F" w:rsidRPr="00E27443">
        <w:t xml:space="preserve"> </w:t>
      </w:r>
      <w:r w:rsidRPr="00E27443">
        <w:t>walk</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the</w:t>
      </w:r>
      <w:r w:rsidR="00C63F8F" w:rsidRPr="00E27443">
        <w:t xml:space="preserve"> </w:t>
      </w:r>
      <w:r w:rsidRPr="00E27443">
        <w:t>layout</w:t>
      </w:r>
      <w:r w:rsidR="00C63F8F" w:rsidRPr="00E27443">
        <w:t xml:space="preserve"> </w:t>
      </w:r>
      <w:r w:rsidRPr="00E27443">
        <w:t>of</w:t>
      </w:r>
      <w:r w:rsidR="00C63F8F" w:rsidRPr="00E27443">
        <w:t xml:space="preserve"> </w:t>
      </w:r>
      <w:r w:rsidRPr="00E27443">
        <w:t>the</w:t>
      </w:r>
      <w:r w:rsidR="00C63F8F" w:rsidRPr="00E27443">
        <w:t xml:space="preserve"> </w:t>
      </w:r>
      <w:r w:rsidRPr="00E27443">
        <w:t>crossing</w:t>
      </w:r>
      <w:r w:rsidR="00C63F8F" w:rsidRPr="00E27443">
        <w:t xml:space="preserve"> </w:t>
      </w:r>
      <w:r w:rsidRPr="00E27443">
        <w:t>for</w:t>
      </w:r>
      <w:r w:rsidR="00C63F8F" w:rsidRPr="00E27443">
        <w:t xml:space="preserve"> </w:t>
      </w:r>
      <w:r w:rsidRPr="00E27443">
        <w:t>visually</w:t>
      </w:r>
      <w:r w:rsidR="00C63F8F" w:rsidRPr="00E27443">
        <w:t xml:space="preserve"> </w:t>
      </w:r>
      <w:r w:rsidRPr="00E27443">
        <w:t>impaired</w:t>
      </w:r>
      <w:r w:rsidR="00C63F8F" w:rsidRPr="00E27443">
        <w:t xml:space="preserve"> </w:t>
      </w:r>
      <w:r w:rsidRPr="00E27443">
        <w:t>individuals.</w:t>
      </w:r>
      <w:r w:rsidR="00C63F8F" w:rsidRPr="00E27443">
        <w:t xml:space="preserve"> </w:t>
      </w:r>
    </w:p>
    <w:p w:rsidR="00321ADA" w:rsidRPr="00E27443" w:rsidRDefault="00321ADA" w:rsidP="00BF6ACB">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smartTag w:uri="urn:schemas-microsoft-com:office:smarttags" w:element="place">
        <w:smartTag w:uri="urn:schemas-microsoft-com:office:smarttags" w:element="PlaceType">
          <w:r w:rsidRPr="00E27443">
            <w:t>Institute</w:t>
          </w:r>
        </w:smartTag>
        <w:r w:rsidR="00C63F8F" w:rsidRPr="00E27443">
          <w:t xml:space="preserve"> </w:t>
        </w:r>
        <w:r w:rsidRPr="00E27443">
          <w:t>of</w:t>
        </w:r>
        <w:r w:rsidR="00C63F8F" w:rsidRPr="00E27443">
          <w:t xml:space="preserve"> </w:t>
        </w:r>
        <w:smartTag w:uri="urn:schemas-microsoft-com:office:smarttags" w:element="PlaceName">
          <w:r w:rsidRPr="00E27443">
            <w:t>Assistive</w:t>
          </w:r>
          <w:r w:rsidR="00C63F8F" w:rsidRPr="00E27443">
            <w:t xml:space="preserve"> </w:t>
          </w:r>
          <w:r w:rsidRPr="00E27443">
            <w:t>Technology</w:t>
          </w:r>
        </w:smartTag>
      </w:smartTag>
      <w:r w:rsidR="00C63F8F" w:rsidRPr="00E27443">
        <w:t xml:space="preserve"> </w:t>
      </w:r>
      <w:r w:rsidRPr="00E27443">
        <w:t>has</w:t>
      </w:r>
      <w:r w:rsidR="00C63F8F" w:rsidRPr="00E27443">
        <w:t xml:space="preserve"> </w:t>
      </w:r>
      <w:r w:rsidRPr="00E27443">
        <w:t>initiated</w:t>
      </w:r>
      <w:r w:rsidR="00C63F8F" w:rsidRPr="00E27443">
        <w:t xml:space="preserve"> </w:t>
      </w:r>
      <w:r w:rsidRPr="00E27443">
        <w:t>development</w:t>
      </w:r>
      <w:r w:rsidR="00C63F8F" w:rsidRPr="00E27443">
        <w:t xml:space="preserve"> </w:t>
      </w:r>
      <w:r w:rsidRPr="00E27443">
        <w:t>activities</w:t>
      </w:r>
      <w:r w:rsidR="00C63F8F" w:rsidRPr="00E27443">
        <w:t xml:space="preserve"> </w:t>
      </w:r>
      <w:r w:rsidRPr="00E27443">
        <w:t>within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disabilities.</w:t>
      </w:r>
      <w:r w:rsidR="00C63F8F" w:rsidRPr="00E27443">
        <w:t xml:space="preserve"> </w:t>
      </w:r>
      <w:r w:rsidRPr="00E27443">
        <w:t>See</w:t>
      </w:r>
      <w:r w:rsidR="00C63F8F" w:rsidRPr="00E27443">
        <w:t xml:space="preserve"> </w:t>
      </w:r>
      <w:r w:rsidRPr="00E27443">
        <w:t>Article</w:t>
      </w:r>
      <w:r w:rsidR="00C63F8F" w:rsidRPr="00E27443">
        <w:t xml:space="preserve"> </w:t>
      </w:r>
      <w:r w:rsidRPr="00E27443">
        <w:t>26.</w:t>
      </w:r>
    </w:p>
    <w:p w:rsidR="00321ADA" w:rsidRPr="00E27443" w:rsidRDefault="00321ADA" w:rsidP="00BF6ACB">
      <w:pPr>
        <w:pStyle w:val="SingleTxtG"/>
        <w:numPr>
          <w:ilvl w:val="0"/>
          <w:numId w:val="20"/>
        </w:numPr>
        <w:tabs>
          <w:tab w:val="left" w:pos="1843"/>
        </w:tabs>
        <w:ind w:left="1134" w:firstLine="0"/>
      </w:pPr>
      <w:r w:rsidRPr="00E27443">
        <w:t>The</w:t>
      </w:r>
      <w:r w:rsidR="00C63F8F" w:rsidRPr="00E27443">
        <w:t xml:space="preserve"> </w:t>
      </w:r>
      <w:r w:rsidRPr="00E27443">
        <w:t>opportunity</w:t>
      </w:r>
      <w:r w:rsidR="00C63F8F" w:rsidRPr="00E27443">
        <w:t xml:space="preserve"> </w:t>
      </w:r>
      <w:r w:rsidRPr="00E27443">
        <w:t>of</w:t>
      </w:r>
      <w:r w:rsidR="00C63F8F" w:rsidRPr="00E27443">
        <w:t xml:space="preserve"> </w:t>
      </w:r>
      <w:r w:rsidRPr="00E27443">
        <w:t>having</w:t>
      </w:r>
      <w:r w:rsidR="00C63F8F" w:rsidRPr="00E27443">
        <w:t xml:space="preserve"> </w:t>
      </w:r>
      <w:r w:rsidRPr="00E27443">
        <w:t>a</w:t>
      </w:r>
      <w:r w:rsidR="00C63F8F" w:rsidRPr="00E27443">
        <w:t xml:space="preserve"> </w:t>
      </w:r>
      <w:r w:rsidRPr="00E27443">
        <w:t>guide</w:t>
      </w:r>
      <w:r w:rsidR="00C63F8F" w:rsidRPr="00E27443">
        <w:t xml:space="preserve"> </w:t>
      </w:r>
      <w:r w:rsidRPr="00E27443">
        <w:t>dog</w:t>
      </w:r>
      <w:r w:rsidR="00C63F8F" w:rsidRPr="00E27443">
        <w:t xml:space="preserve"> </w:t>
      </w:r>
      <w:r w:rsidRPr="00E27443">
        <w:t>increases</w:t>
      </w:r>
      <w:r w:rsidR="00C63F8F" w:rsidRPr="00E27443">
        <w:t xml:space="preserve"> </w:t>
      </w:r>
      <w:r w:rsidRPr="00E27443">
        <w:t>the</w:t>
      </w:r>
      <w:r w:rsidR="00C63F8F" w:rsidRPr="00E27443">
        <w:t xml:space="preserve"> </w:t>
      </w:r>
      <w:r w:rsidRPr="00E27443">
        <w:t>independence</w:t>
      </w:r>
      <w:r w:rsidR="00C63F8F" w:rsidRPr="00E27443">
        <w:t xml:space="preserve"> </w:t>
      </w:r>
      <w:r w:rsidRPr="00E27443">
        <w:t>of</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impaired</w:t>
      </w:r>
      <w:r w:rsidR="00C63F8F" w:rsidRPr="00E27443">
        <w:t xml:space="preserve"> </w:t>
      </w:r>
      <w:r w:rsidRPr="00E27443">
        <w:t>vision,</w:t>
      </w:r>
      <w:r w:rsidR="00C63F8F" w:rsidRPr="00E27443">
        <w:t xml:space="preserve"> </w:t>
      </w:r>
      <w:r w:rsidRPr="00E27443">
        <w:t>and</w:t>
      </w:r>
      <w:r w:rsidR="00C63F8F" w:rsidRPr="00E27443">
        <w:t xml:space="preserve"> </w:t>
      </w:r>
      <w:r w:rsidRPr="00E27443">
        <w:t>reduces</w:t>
      </w:r>
      <w:r w:rsidR="00C63F8F" w:rsidRPr="00E27443">
        <w:t xml:space="preserve"> </w:t>
      </w:r>
      <w:r w:rsidRPr="00E27443">
        <w:t>the</w:t>
      </w:r>
      <w:r w:rsidR="00C63F8F" w:rsidRPr="00E27443">
        <w:t xml:space="preserve"> </w:t>
      </w:r>
      <w:r w:rsidRPr="00E27443">
        <w:t>need</w:t>
      </w:r>
      <w:r w:rsidR="00C63F8F" w:rsidRPr="00E27443">
        <w:t xml:space="preserve"> </w:t>
      </w:r>
      <w:r w:rsidRPr="00E27443">
        <w:t>for</w:t>
      </w:r>
      <w:r w:rsidR="00C63F8F" w:rsidRPr="00E27443">
        <w:t xml:space="preserve"> </w:t>
      </w:r>
      <w:r w:rsidRPr="00E27443">
        <w:t>support</w:t>
      </w:r>
      <w:r w:rsidR="00C63F8F" w:rsidRPr="00E27443">
        <w:t xml:space="preserve"> </w:t>
      </w:r>
      <w:r w:rsidRPr="00E27443">
        <w:t>and</w:t>
      </w:r>
      <w:r w:rsidR="00C63F8F" w:rsidRPr="00E27443">
        <w:t xml:space="preserve"> </w:t>
      </w:r>
      <w:r w:rsidRPr="00E27443">
        <w:t>help</w:t>
      </w:r>
      <w:r w:rsidR="00C63F8F" w:rsidRPr="00E27443">
        <w:t xml:space="preserve"> </w:t>
      </w:r>
      <w:r w:rsidRPr="00E27443">
        <w:t>in</w:t>
      </w:r>
      <w:r w:rsidR="00C63F8F" w:rsidRPr="00E27443">
        <w:t xml:space="preserve"> </w:t>
      </w:r>
      <w:r w:rsidRPr="00E27443">
        <w:t>other</w:t>
      </w:r>
      <w:r w:rsidR="00C63F8F" w:rsidRPr="00E27443">
        <w:t xml:space="preserve"> </w:t>
      </w:r>
      <w:r w:rsidRPr="00E27443">
        <w:t>forms.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achieve</w:t>
      </w:r>
      <w:r w:rsidR="00C63F8F" w:rsidRPr="00E27443">
        <w:t xml:space="preserve"> </w:t>
      </w:r>
      <w:r w:rsidRPr="00E27443">
        <w:t>due</w:t>
      </w:r>
      <w:r w:rsidR="00C63F8F" w:rsidRPr="00E27443">
        <w:t xml:space="preserve"> </w:t>
      </w:r>
      <w:r w:rsidRPr="00E27443">
        <w:t>process</w:t>
      </w:r>
      <w:r w:rsidR="00C63F8F" w:rsidRPr="00E27443">
        <w:t xml:space="preserve"> </w:t>
      </w:r>
      <w:r w:rsidRPr="00E27443">
        <w:t>in</w:t>
      </w:r>
      <w:r w:rsidR="00C63F8F" w:rsidRPr="00E27443">
        <w:t xml:space="preserve"> </w:t>
      </w:r>
      <w:r w:rsidRPr="00E27443">
        <w:t>the</w:t>
      </w:r>
      <w:r w:rsidR="00C63F8F" w:rsidRPr="00E27443">
        <w:t xml:space="preserve"> </w:t>
      </w:r>
      <w:r w:rsidRPr="00E27443">
        <w:t>allocation</w:t>
      </w:r>
      <w:r w:rsidR="00C63F8F" w:rsidRPr="00E27443">
        <w:t xml:space="preserve"> </w:t>
      </w:r>
      <w:r w:rsidRPr="00E27443">
        <w:t>of</w:t>
      </w:r>
      <w:r w:rsidR="00C63F8F" w:rsidRPr="00E27443">
        <w:t xml:space="preserve"> </w:t>
      </w:r>
      <w:r w:rsidRPr="00E27443">
        <w:t>guide</w:t>
      </w:r>
      <w:r w:rsidR="00C63F8F" w:rsidRPr="00E27443">
        <w:t xml:space="preserve"> </w:t>
      </w:r>
      <w:r w:rsidRPr="00E27443">
        <w:t>dogs</w:t>
      </w:r>
      <w:r w:rsidR="00C63F8F" w:rsidRPr="00E27443">
        <w:t xml:space="preserve"> </w:t>
      </w:r>
      <w:r w:rsidRPr="00E27443">
        <w:t>and</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number</w:t>
      </w:r>
      <w:r w:rsidR="00C63F8F" w:rsidRPr="00E27443">
        <w:t xml:space="preserve"> </w:t>
      </w:r>
      <w:r w:rsidRPr="00E27443">
        <w:t>of</w:t>
      </w:r>
      <w:r w:rsidR="00C63F8F" w:rsidRPr="00E27443">
        <w:t xml:space="preserve"> </w:t>
      </w:r>
      <w:r w:rsidRPr="00E27443">
        <w:t>guide</w:t>
      </w:r>
      <w:r w:rsidR="00C63F8F" w:rsidRPr="00E27443">
        <w:t xml:space="preserve"> </w:t>
      </w:r>
      <w:r w:rsidRPr="00E27443">
        <w:t>dogs,</w:t>
      </w:r>
      <w:r w:rsidR="00C63F8F" w:rsidRPr="00E27443">
        <w:t xml:space="preserve"> </w:t>
      </w:r>
      <w:r w:rsidRPr="00E27443">
        <w:t>the</w:t>
      </w:r>
      <w:r w:rsidR="00C63F8F" w:rsidRPr="00E27443">
        <w:t xml:space="preserve"> </w:t>
      </w:r>
      <w:r w:rsidRPr="00E27443">
        <w:t>Swedish</w:t>
      </w:r>
      <w:r w:rsidR="00C63F8F" w:rsidRPr="00E27443">
        <w:t xml:space="preserve"> </w:t>
      </w:r>
      <w:r w:rsidRPr="00E27443">
        <w:t>Parliament,</w:t>
      </w:r>
      <w:r w:rsidR="00C63F8F" w:rsidRPr="00E27443">
        <w:t xml:space="preserve"> </w:t>
      </w:r>
      <w:r w:rsidRPr="00E27443">
        <w:t>following</w:t>
      </w:r>
      <w:r w:rsidR="00C63F8F" w:rsidRPr="00E27443">
        <w:t xml:space="preserve"> </w:t>
      </w:r>
      <w:r w:rsidRPr="00E27443">
        <w:t>a</w:t>
      </w:r>
      <w:r w:rsidR="00C63F8F" w:rsidRPr="00E27443">
        <w:t xml:space="preserve"> </w:t>
      </w:r>
      <w:r w:rsidRPr="00E27443">
        <w:t>proposal</w:t>
      </w:r>
      <w:r w:rsidR="00C63F8F" w:rsidRPr="00E27443">
        <w:t xml:space="preserve"> </w:t>
      </w:r>
      <w:r w:rsidRPr="00E27443">
        <w:t>from</w:t>
      </w:r>
      <w:r w:rsidR="00C63F8F" w:rsidRPr="00E27443">
        <w:t xml:space="preserve"> </w:t>
      </w:r>
      <w:r w:rsidRPr="00E27443">
        <w:t>the</w:t>
      </w:r>
      <w:r w:rsidR="00C63F8F" w:rsidRPr="00E27443">
        <w:t xml:space="preserve"> </w:t>
      </w:r>
      <w:r w:rsidRPr="00E27443">
        <w:t>Government,</w:t>
      </w:r>
      <w:r w:rsidR="00923190" w:rsidRPr="00BF6ACB">
        <w:footnoteReference w:id="88"/>
      </w:r>
      <w:r w:rsidR="00C63F8F" w:rsidRPr="00E27443">
        <w:t xml:space="preserve"> </w:t>
      </w:r>
      <w:r w:rsidRPr="00E27443">
        <w:t>decided</w:t>
      </w:r>
      <w:r w:rsidR="00C63F8F" w:rsidRPr="00E27443">
        <w:t xml:space="preserve"> </w:t>
      </w:r>
      <w:r w:rsidRPr="00E27443">
        <w:t>in</w:t>
      </w:r>
      <w:r w:rsidR="00C63F8F" w:rsidRPr="00E27443">
        <w:t xml:space="preserve"> </w:t>
      </w:r>
      <w:r w:rsidRPr="00E27443">
        <w:t>2005</w:t>
      </w:r>
      <w:r w:rsidR="00C63F8F" w:rsidRPr="00E27443">
        <w:t xml:space="preserve"> </w:t>
      </w:r>
      <w:r w:rsidRPr="00E27443">
        <w:t>to</w:t>
      </w:r>
      <w:r w:rsidR="00C63F8F" w:rsidRPr="00E27443">
        <w:t xml:space="preserve"> </w:t>
      </w:r>
      <w:r w:rsidRPr="00E27443">
        <w:t>regulate</w:t>
      </w:r>
      <w:r w:rsidR="00C63F8F" w:rsidRPr="00E27443">
        <w:t xml:space="preserve"> </w:t>
      </w:r>
      <w:r w:rsidRPr="00E27443">
        <w:t>the</w:t>
      </w:r>
      <w:r w:rsidR="00C63F8F" w:rsidRPr="00E27443">
        <w:t xml:space="preserve"> </w:t>
      </w:r>
      <w:r w:rsidRPr="00E27443">
        <w:t>system</w:t>
      </w:r>
      <w:r w:rsidR="00C63F8F" w:rsidRPr="00E27443">
        <w:t xml:space="preserve"> </w:t>
      </w:r>
      <w:r w:rsidRPr="00E27443">
        <w:t>and</w:t>
      </w:r>
      <w:r w:rsidR="00C63F8F" w:rsidRPr="00E27443">
        <w:t xml:space="preserve"> </w:t>
      </w:r>
      <w:r w:rsidRPr="00E27443">
        <w:t>introduce</w:t>
      </w:r>
      <w:r w:rsidR="00C63F8F" w:rsidRPr="00E27443">
        <w:t xml:space="preserve"> </w:t>
      </w:r>
      <w:r w:rsidRPr="00E27443">
        <w:t>a</w:t>
      </w:r>
      <w:r w:rsidR="00C63F8F" w:rsidRPr="00E27443">
        <w:t xml:space="preserve"> </w:t>
      </w:r>
      <w:r w:rsidRPr="00E27443">
        <w:t>procurement</w:t>
      </w:r>
      <w:r w:rsidR="00C63F8F" w:rsidRPr="00E27443">
        <w:t xml:space="preserve"> </w:t>
      </w:r>
      <w:r w:rsidRPr="00E27443">
        <w:t>procedure</w:t>
      </w:r>
      <w:r w:rsidR="00C63F8F" w:rsidRPr="00E27443">
        <w:t xml:space="preserve"> </w:t>
      </w:r>
      <w:r w:rsidRPr="00E27443">
        <w:t>in</w:t>
      </w:r>
      <w:r w:rsidR="00C63F8F" w:rsidRPr="00E27443">
        <w:t xml:space="preserve"> </w:t>
      </w:r>
      <w:r w:rsidRPr="00E27443">
        <w:t>the</w:t>
      </w:r>
      <w:r w:rsidR="00C63F8F" w:rsidRPr="00E27443">
        <w:t xml:space="preserve"> </w:t>
      </w:r>
      <w:r w:rsidRPr="00E27443">
        <w:t>supply</w:t>
      </w:r>
      <w:r w:rsidR="00C63F8F" w:rsidRPr="00E27443">
        <w:t xml:space="preserve"> </w:t>
      </w:r>
      <w:r w:rsidRPr="00E27443">
        <w:t>of</w:t>
      </w:r>
      <w:r w:rsidR="00C63F8F" w:rsidRPr="00E27443">
        <w:t xml:space="preserve"> </w:t>
      </w:r>
      <w:r w:rsidRPr="00E27443">
        <w:t>guide</w:t>
      </w:r>
      <w:r w:rsidR="00C63F8F" w:rsidRPr="00E27443">
        <w:t xml:space="preserve"> </w:t>
      </w:r>
      <w:r w:rsidRPr="00E27443">
        <w:t>dog</w:t>
      </w:r>
      <w:r w:rsidR="00C63F8F" w:rsidRPr="00E27443">
        <w:t xml:space="preserve"> </w:t>
      </w:r>
      <w:r w:rsidRPr="00E27443">
        <w:t>production.</w:t>
      </w:r>
      <w:r w:rsidR="00C63F8F" w:rsidRPr="00E27443">
        <w:t xml:space="preserve"> </w:t>
      </w:r>
      <w:r w:rsidRPr="00E27443">
        <w:t>The</w:t>
      </w:r>
      <w:r w:rsidR="00C63F8F" w:rsidRPr="00E27443">
        <w:t xml:space="preserve"> </w:t>
      </w:r>
      <w:r w:rsidRPr="00E27443">
        <w:t>new</w:t>
      </w:r>
      <w:r w:rsidR="00C63F8F" w:rsidRPr="00E27443">
        <w:t xml:space="preserve"> </w:t>
      </w:r>
      <w:r w:rsidRPr="00E27443">
        <w:t>rules</w:t>
      </w:r>
      <w:r w:rsidR="00C63F8F" w:rsidRPr="00E27443">
        <w:t xml:space="preserve"> </w:t>
      </w:r>
      <w:r w:rsidRPr="00E27443">
        <w:t>have</w:t>
      </w:r>
      <w:r w:rsidR="00C63F8F" w:rsidRPr="00E27443">
        <w:t xml:space="preserve"> </w:t>
      </w:r>
      <w:r w:rsidRPr="00E27443">
        <w:t>applied</w:t>
      </w:r>
      <w:r w:rsidR="00C63F8F" w:rsidRPr="00E27443">
        <w:t xml:space="preserve"> </w:t>
      </w:r>
      <w:r w:rsidRPr="00E27443">
        <w:t>since</w:t>
      </w:r>
      <w:r w:rsidR="00C63F8F" w:rsidRPr="00E27443">
        <w:t xml:space="preserve"> </w:t>
      </w:r>
      <w:r w:rsidRPr="00E27443">
        <w:t>1</w:t>
      </w:r>
      <w:r w:rsidR="00C63F8F" w:rsidRPr="00E27443">
        <w:t xml:space="preserve"> </w:t>
      </w:r>
      <w:r w:rsidRPr="00E27443">
        <w:t>January</w:t>
      </w:r>
      <w:r w:rsidR="00C63F8F" w:rsidRPr="00E27443">
        <w:t xml:space="preserve"> </w:t>
      </w:r>
      <w:r w:rsidRPr="00E27443">
        <w:t>2006.</w:t>
      </w:r>
      <w:r w:rsidR="00C63F8F" w:rsidRPr="00E27443">
        <w:t xml:space="preserve"> </w:t>
      </w:r>
    </w:p>
    <w:p w:rsidR="00321ADA" w:rsidRPr="00E27443" w:rsidRDefault="00321ADA" w:rsidP="00BF6ACB">
      <w:pPr>
        <w:pStyle w:val="SingleTxtG"/>
        <w:numPr>
          <w:ilvl w:val="0"/>
          <w:numId w:val="20"/>
        </w:numPr>
        <w:tabs>
          <w:tab w:val="left" w:pos="1843"/>
        </w:tabs>
        <w:ind w:left="1134" w:firstLine="0"/>
      </w:pPr>
      <w:r w:rsidRPr="00E27443">
        <w:t>There</w:t>
      </w:r>
      <w:r w:rsidR="00C63F8F" w:rsidRPr="00E27443">
        <w:t xml:space="preserve"> </w:t>
      </w:r>
      <w:r w:rsidRPr="00E27443">
        <w:t>are</w:t>
      </w:r>
      <w:r w:rsidR="00C63F8F" w:rsidRPr="00E27443">
        <w:t xml:space="preserve"> </w:t>
      </w:r>
      <w:r w:rsidRPr="00E27443">
        <w:t>around</w:t>
      </w:r>
      <w:r w:rsidR="00C63F8F" w:rsidRPr="00E27443">
        <w:t xml:space="preserve"> </w:t>
      </w:r>
      <w:r w:rsidRPr="00E27443">
        <w:t>300</w:t>
      </w:r>
      <w:r w:rsidR="00C63F8F" w:rsidRPr="00E27443">
        <w:t xml:space="preserve"> </w:t>
      </w:r>
      <w:r w:rsidRPr="00E27443">
        <w:t>guide</w:t>
      </w:r>
      <w:r w:rsidR="00C63F8F" w:rsidRPr="00E27443">
        <w:t xml:space="preserve"> </w:t>
      </w:r>
      <w:r w:rsidRPr="00E27443">
        <w:t>dogs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All</w:t>
      </w:r>
      <w:r w:rsidR="00C63F8F" w:rsidRPr="00E27443">
        <w:t xml:space="preserve"> </w:t>
      </w:r>
      <w:r w:rsidRPr="00E27443">
        <w:t>guide</w:t>
      </w:r>
      <w:r w:rsidR="00C63F8F" w:rsidRPr="00E27443">
        <w:t xml:space="preserve"> </w:t>
      </w:r>
      <w:r w:rsidRPr="00E27443">
        <w:t>dogs</w:t>
      </w:r>
      <w:r w:rsidR="00C63F8F" w:rsidRPr="00E27443">
        <w:t xml:space="preserve"> </w:t>
      </w:r>
      <w:r w:rsidRPr="00E27443">
        <w:t>are</w:t>
      </w:r>
      <w:r w:rsidR="00C63F8F" w:rsidRPr="00E27443">
        <w:t xml:space="preserve"> </w:t>
      </w:r>
      <w:r w:rsidRPr="00E27443">
        <w:t>owned</w:t>
      </w:r>
      <w:r w:rsidR="00C63F8F" w:rsidRPr="00E27443">
        <w:t xml:space="preserve"> </w:t>
      </w:r>
      <w:r w:rsidRPr="00E27443">
        <w:t>by</w:t>
      </w:r>
      <w:r w:rsidR="00C63F8F" w:rsidRPr="00E27443">
        <w:t xml:space="preserve"> </w:t>
      </w:r>
      <w:r w:rsidRPr="00E27443">
        <w:t>the</w:t>
      </w:r>
      <w:r w:rsidR="00C63F8F" w:rsidRPr="00E27443">
        <w:t xml:space="preserve"> </w:t>
      </w:r>
      <w:r w:rsidRPr="00E27443">
        <w:t>Swedish</w:t>
      </w:r>
      <w:r w:rsidR="00C63F8F" w:rsidRPr="00E27443">
        <w:t xml:space="preserve"> </w:t>
      </w:r>
      <w:r w:rsidRPr="00E27443">
        <w:t>Association</w:t>
      </w:r>
      <w:r w:rsidR="00C63F8F" w:rsidRPr="00E27443">
        <w:t xml:space="preserve"> </w:t>
      </w:r>
      <w:r w:rsidRPr="00E27443">
        <w:t>of</w:t>
      </w:r>
      <w:r w:rsidR="00C63F8F" w:rsidRPr="00E27443">
        <w:t xml:space="preserve"> </w:t>
      </w:r>
      <w:r w:rsidRPr="00E27443">
        <w:t>the</w:t>
      </w:r>
      <w:r w:rsidR="00C63F8F" w:rsidRPr="00E27443">
        <w:t xml:space="preserve"> </w:t>
      </w:r>
      <w:r w:rsidRPr="00E27443">
        <w:t>Visually</w:t>
      </w:r>
      <w:r w:rsidR="00C63F8F" w:rsidRPr="00E27443">
        <w:t xml:space="preserve"> </w:t>
      </w:r>
      <w:r w:rsidRPr="00E27443">
        <w:t>Impaired</w:t>
      </w:r>
      <w:r w:rsidR="00C63F8F" w:rsidRPr="00E27443">
        <w:t xml:space="preserve"> </w:t>
      </w:r>
      <w:r w:rsidRPr="00E27443">
        <w:t>(SRF).</w:t>
      </w:r>
      <w:r w:rsidR="00C63F8F" w:rsidRPr="00E27443">
        <w:t xml:space="preserve"> </w:t>
      </w:r>
      <w:r w:rsidRPr="00E27443">
        <w:t>Visually</w:t>
      </w:r>
      <w:r w:rsidR="00C63F8F" w:rsidRPr="00E27443">
        <w:t xml:space="preserve"> </w:t>
      </w:r>
      <w:r w:rsidRPr="00E27443">
        <w:t>impaired</w:t>
      </w:r>
      <w:r w:rsidR="00C63F8F" w:rsidRPr="00E27443">
        <w:t xml:space="preserve"> </w:t>
      </w:r>
      <w:r w:rsidRPr="00E27443">
        <w:t>people</w:t>
      </w:r>
      <w:r w:rsidR="00C63F8F" w:rsidRPr="00E27443">
        <w:t xml:space="preserve"> </w:t>
      </w:r>
      <w:r w:rsidRPr="00E27443">
        <w:t>who</w:t>
      </w:r>
      <w:r w:rsidR="00C63F8F" w:rsidRPr="00E27443">
        <w:t xml:space="preserve"> </w:t>
      </w:r>
      <w:r w:rsidRPr="00E27443">
        <w:t>would</w:t>
      </w:r>
      <w:r w:rsidR="00C63F8F" w:rsidRPr="00E27443">
        <w:t xml:space="preserve"> </w:t>
      </w:r>
      <w:r w:rsidRPr="00E27443">
        <w:t>like</w:t>
      </w:r>
      <w:r w:rsidR="00C63F8F" w:rsidRPr="00E27443">
        <w:t xml:space="preserve"> </w:t>
      </w:r>
      <w:r w:rsidRPr="00E27443">
        <w:t>to</w:t>
      </w:r>
      <w:r w:rsidR="00C63F8F" w:rsidRPr="00E27443">
        <w:t xml:space="preserve"> </w:t>
      </w:r>
      <w:r w:rsidRPr="00E27443">
        <w:t>have</w:t>
      </w:r>
      <w:r w:rsidR="00C63F8F" w:rsidRPr="00E27443">
        <w:t xml:space="preserve"> </w:t>
      </w:r>
      <w:r w:rsidRPr="00E27443">
        <w:t>a</w:t>
      </w:r>
      <w:r w:rsidR="00C63F8F" w:rsidRPr="00E27443">
        <w:t xml:space="preserve"> </w:t>
      </w:r>
      <w:r w:rsidRPr="00E27443">
        <w:t>guide</w:t>
      </w:r>
      <w:r w:rsidR="00C63F8F" w:rsidRPr="00E27443">
        <w:t xml:space="preserve"> </w:t>
      </w:r>
      <w:r w:rsidRPr="00E27443">
        <w:t>dog</w:t>
      </w:r>
      <w:r w:rsidR="00C63F8F" w:rsidRPr="00E27443">
        <w:t xml:space="preserve"> </w:t>
      </w:r>
      <w:r w:rsidRPr="00E27443">
        <w:t>submit</w:t>
      </w:r>
      <w:r w:rsidR="00C63F8F" w:rsidRPr="00E27443">
        <w:t xml:space="preserve"> </w:t>
      </w:r>
      <w:r w:rsidRPr="00E27443">
        <w:t>an</w:t>
      </w:r>
      <w:r w:rsidR="00C63F8F" w:rsidRPr="00E27443">
        <w:t xml:space="preserve"> </w:t>
      </w:r>
      <w:r w:rsidRPr="00E27443">
        <w:t>application</w:t>
      </w:r>
      <w:r w:rsidR="00C63F8F" w:rsidRPr="00E27443">
        <w:t xml:space="preserve"> </w:t>
      </w:r>
      <w:r w:rsidRPr="00E27443">
        <w:t>to</w:t>
      </w:r>
      <w:r w:rsidR="00C63F8F" w:rsidRPr="00E27443">
        <w:t xml:space="preserve"> </w:t>
      </w:r>
      <w:r w:rsidRPr="00E27443">
        <w:t>the</w:t>
      </w:r>
      <w:r w:rsidR="00C63F8F" w:rsidRPr="00E27443">
        <w:t xml:space="preserve"> </w:t>
      </w:r>
      <w:r w:rsidRPr="00E27443">
        <w:t>county</w:t>
      </w:r>
      <w:r w:rsidR="00C63F8F" w:rsidRPr="00E27443">
        <w:t xml:space="preserve"> </w:t>
      </w:r>
      <w:r w:rsidRPr="00E27443">
        <w:t>council</w:t>
      </w:r>
      <w:r w:rsidR="00C63F8F" w:rsidRPr="00E27443">
        <w:t>’</w:t>
      </w:r>
      <w:r w:rsidRPr="00E27443">
        <w:t>s</w:t>
      </w:r>
      <w:r w:rsidR="00C63F8F" w:rsidRPr="00E27443">
        <w:t xml:space="preserve"> </w:t>
      </w:r>
      <w:r w:rsidRPr="00E27443">
        <w:t>sight</w:t>
      </w:r>
      <w:r w:rsidR="00C63F8F" w:rsidRPr="00E27443">
        <w:t xml:space="preserve"> </w:t>
      </w:r>
      <w:r w:rsidRPr="00E27443">
        <w:t>centre,</w:t>
      </w:r>
      <w:r w:rsidR="00C63F8F" w:rsidRPr="00E27443">
        <w:t xml:space="preserve"> </w:t>
      </w:r>
      <w:r w:rsidRPr="00E27443">
        <w:t>which</w:t>
      </w:r>
      <w:r w:rsidR="00C63F8F" w:rsidRPr="00E27443">
        <w:t xml:space="preserve"> </w:t>
      </w:r>
      <w:r w:rsidRPr="00E27443">
        <w:t>in</w:t>
      </w:r>
      <w:r w:rsidR="00C63F8F" w:rsidRPr="00E27443">
        <w:t xml:space="preserve"> </w:t>
      </w:r>
      <w:r w:rsidRPr="00E27443">
        <w:t>turn</w:t>
      </w:r>
      <w:r w:rsidR="00C63F8F" w:rsidRPr="00E27443">
        <w:t xml:space="preserve"> </w:t>
      </w:r>
      <w:r w:rsidRPr="00E27443">
        <w:t>contacts</w:t>
      </w:r>
      <w:r w:rsidR="00C63F8F" w:rsidRPr="00E27443">
        <w:t xml:space="preserve"> </w:t>
      </w:r>
      <w:r w:rsidRPr="00E27443">
        <w:t>SRF.</w:t>
      </w:r>
      <w:r w:rsidR="00C63F8F" w:rsidRPr="00E27443">
        <w:t xml:space="preserve"> </w:t>
      </w:r>
      <w:r w:rsidRPr="00E27443">
        <w:t>One</w:t>
      </w:r>
      <w:r w:rsidR="00C63F8F" w:rsidRPr="00E27443">
        <w:t xml:space="preserve"> </w:t>
      </w:r>
      <w:r w:rsidRPr="00E27443">
        <w:t>of</w:t>
      </w:r>
      <w:r w:rsidR="00C63F8F" w:rsidRPr="00E27443">
        <w:t xml:space="preserve"> </w:t>
      </w:r>
      <w:r w:rsidRPr="00E27443">
        <w:t>SRF</w:t>
      </w:r>
      <w:r w:rsidR="00C63F8F" w:rsidRPr="00E27443">
        <w:t>’</w:t>
      </w:r>
      <w:r w:rsidRPr="00E27443">
        <w:t>s</w:t>
      </w:r>
      <w:r w:rsidR="00C63F8F" w:rsidRPr="00E27443">
        <w:t xml:space="preserve"> </w:t>
      </w:r>
      <w:r w:rsidRPr="00E27443">
        <w:t>consultants</w:t>
      </w:r>
      <w:r w:rsidR="00C63F8F" w:rsidRPr="00E27443">
        <w:t xml:space="preserve"> </w:t>
      </w:r>
      <w:r w:rsidRPr="00E27443">
        <w:t>assesses</w:t>
      </w:r>
      <w:r w:rsidR="00C63F8F" w:rsidRPr="00E27443">
        <w:t xml:space="preserve"> </w:t>
      </w:r>
      <w:r w:rsidRPr="00E27443">
        <w:t>whether</w:t>
      </w:r>
      <w:r w:rsidR="00C63F8F" w:rsidRPr="00E27443">
        <w:t xml:space="preserve"> </w:t>
      </w:r>
      <w:r w:rsidRPr="00E27443">
        <w:t>the</w:t>
      </w:r>
      <w:r w:rsidR="00C63F8F" w:rsidRPr="00E27443">
        <w:t xml:space="preserve"> </w:t>
      </w:r>
      <w:r w:rsidRPr="00E27443">
        <w:t>applicant</w:t>
      </w:r>
      <w:r w:rsidR="00C63F8F" w:rsidRPr="00E27443">
        <w:t xml:space="preserve"> </w:t>
      </w:r>
      <w:r w:rsidRPr="00E27443">
        <w:t>satisfies</w:t>
      </w:r>
      <w:r w:rsidR="00C63F8F" w:rsidRPr="00E27443">
        <w:t xml:space="preserve"> </w:t>
      </w:r>
      <w:r w:rsidRPr="00E27443">
        <w:t>the</w:t>
      </w:r>
      <w:r w:rsidR="00C63F8F" w:rsidRPr="00E27443">
        <w:t xml:space="preserve"> </w:t>
      </w:r>
      <w:r w:rsidRPr="00E27443">
        <w:t>criteria</w:t>
      </w:r>
      <w:r w:rsidR="00C63F8F" w:rsidRPr="00E27443">
        <w:t xml:space="preserve"> </w:t>
      </w:r>
      <w:r w:rsidRPr="00E27443">
        <w:t>for</w:t>
      </w:r>
      <w:r w:rsidR="00C63F8F" w:rsidRPr="00E27443">
        <w:t xml:space="preserve"> </w:t>
      </w:r>
      <w:r w:rsidRPr="00E27443">
        <w:t>being</w:t>
      </w:r>
      <w:r w:rsidR="00C63F8F" w:rsidRPr="00E27443">
        <w:t xml:space="preserve"> </w:t>
      </w:r>
      <w:r w:rsidRPr="00E27443">
        <w:t>allocated</w:t>
      </w:r>
      <w:r w:rsidR="00C63F8F" w:rsidRPr="00E27443">
        <w:t xml:space="preserve"> </w:t>
      </w:r>
      <w:r w:rsidRPr="00E27443">
        <w:t>a</w:t>
      </w:r>
      <w:r w:rsidR="00C63F8F" w:rsidRPr="00E27443">
        <w:t xml:space="preserve"> </w:t>
      </w:r>
      <w:r w:rsidRPr="00E27443">
        <w:t>guide</w:t>
      </w:r>
      <w:r w:rsidR="00C63F8F" w:rsidRPr="00E27443">
        <w:t xml:space="preserve"> </w:t>
      </w:r>
      <w:r w:rsidRPr="00E27443">
        <w:t>dog,</w:t>
      </w:r>
      <w:r w:rsidR="00C63F8F" w:rsidRPr="00E27443">
        <w:t xml:space="preserve"> </w:t>
      </w:r>
      <w:r w:rsidRPr="00E27443">
        <w:t>and</w:t>
      </w:r>
      <w:r w:rsidR="00C63F8F" w:rsidRPr="00E27443">
        <w:t xml:space="preserve"> </w:t>
      </w:r>
      <w:r w:rsidRPr="00E27443">
        <w:t>whether</w:t>
      </w:r>
      <w:r w:rsidR="00C63F8F" w:rsidRPr="00E27443">
        <w:t xml:space="preserve"> </w:t>
      </w:r>
      <w:r w:rsidRPr="00E27443">
        <w:t>a</w:t>
      </w:r>
      <w:r w:rsidR="00C63F8F" w:rsidRPr="00E27443">
        <w:t xml:space="preserve"> </w:t>
      </w:r>
      <w:r w:rsidRPr="00E27443">
        <w:t>guide</w:t>
      </w:r>
      <w:r w:rsidR="00C63F8F" w:rsidRPr="00E27443">
        <w:t xml:space="preserve"> </w:t>
      </w:r>
      <w:r w:rsidRPr="00E27443">
        <w:t>dog</w:t>
      </w:r>
      <w:r w:rsidR="00C63F8F" w:rsidRPr="00E27443">
        <w:t xml:space="preserve"> </w:t>
      </w:r>
      <w:r w:rsidRPr="00E27443">
        <w:t>would</w:t>
      </w:r>
      <w:r w:rsidR="00C63F8F" w:rsidRPr="00E27443">
        <w:t xml:space="preserve"> </w:t>
      </w:r>
      <w:r w:rsidRPr="00E27443">
        <w:t>entail</w:t>
      </w:r>
      <w:r w:rsidR="00C63F8F" w:rsidRPr="00E27443">
        <w:t xml:space="preserve"> </w:t>
      </w:r>
      <w:r w:rsidRPr="00E27443">
        <w:t>greater</w:t>
      </w:r>
      <w:r w:rsidR="00C63F8F" w:rsidRPr="00E27443">
        <w:t xml:space="preserve"> </w:t>
      </w:r>
      <w:r w:rsidRPr="00E27443">
        <w:t>freedom</w:t>
      </w:r>
      <w:r w:rsidR="00C63F8F" w:rsidRPr="00E27443">
        <w:t xml:space="preserve"> </w:t>
      </w:r>
      <w:r w:rsidRPr="00E27443">
        <w:t>and</w:t>
      </w:r>
      <w:r w:rsidR="00C63F8F" w:rsidRPr="00E27443">
        <w:t xml:space="preserve"> </w:t>
      </w:r>
      <w:r w:rsidRPr="00E27443">
        <w:t>increased</w:t>
      </w:r>
      <w:r w:rsidR="00C63F8F" w:rsidRPr="00E27443">
        <w:t xml:space="preserve"> </w:t>
      </w:r>
      <w:r w:rsidRPr="00E27443">
        <w:t>independence</w:t>
      </w:r>
      <w:r w:rsidR="00C63F8F" w:rsidRPr="00E27443">
        <w:t xml:space="preserve"> </w:t>
      </w:r>
      <w:r w:rsidRPr="00E27443">
        <w:t>for</w:t>
      </w:r>
      <w:r w:rsidR="00C63F8F" w:rsidRPr="00E27443">
        <w:t xml:space="preserve"> </w:t>
      </w:r>
      <w:r w:rsidRPr="00E27443">
        <w:t>the</w:t>
      </w:r>
      <w:r w:rsidR="00C63F8F" w:rsidRPr="00E27443">
        <w:t xml:space="preserve"> </w:t>
      </w:r>
      <w:r w:rsidRPr="00E27443">
        <w:t>applicant.</w:t>
      </w:r>
      <w:r w:rsidR="00C63F8F" w:rsidRPr="00E27443">
        <w:t xml:space="preserve"> </w:t>
      </w:r>
      <w:r w:rsidRPr="00E27443">
        <w:t>The</w:t>
      </w:r>
      <w:r w:rsidR="00C63F8F" w:rsidRPr="00E27443">
        <w:t xml:space="preserve"> </w:t>
      </w:r>
      <w:r w:rsidRPr="00E27443">
        <w:t>work</w:t>
      </w:r>
      <w:r w:rsidR="00C63F8F" w:rsidRPr="00E27443">
        <w:t xml:space="preserve"> </w:t>
      </w:r>
      <w:r w:rsidRPr="00E27443">
        <w:t>of</w:t>
      </w:r>
      <w:r w:rsidR="00C63F8F" w:rsidRPr="00E27443">
        <w:t xml:space="preserve"> </w:t>
      </w:r>
      <w:r w:rsidRPr="00E27443">
        <w:t>finding</w:t>
      </w:r>
      <w:r w:rsidR="00C63F8F" w:rsidRPr="00E27443">
        <w:t xml:space="preserve"> </w:t>
      </w:r>
      <w:r w:rsidRPr="00E27443">
        <w:t>a</w:t>
      </w:r>
      <w:r w:rsidR="00C63F8F" w:rsidRPr="00E27443">
        <w:t xml:space="preserve"> </w:t>
      </w:r>
      <w:r w:rsidRPr="00E27443">
        <w:t>suitable</w:t>
      </w:r>
      <w:r w:rsidR="00C63F8F" w:rsidRPr="00E27443">
        <w:t xml:space="preserve"> </w:t>
      </w:r>
      <w:r w:rsidRPr="00E27443">
        <w:t>dog</w:t>
      </w:r>
      <w:r w:rsidR="00C63F8F" w:rsidRPr="00E27443">
        <w:t xml:space="preserve"> </w:t>
      </w:r>
      <w:r w:rsidRPr="00E27443">
        <w:t>then</w:t>
      </w:r>
      <w:r w:rsidR="00C63F8F" w:rsidRPr="00E27443">
        <w:t xml:space="preserve"> </w:t>
      </w:r>
      <w:r w:rsidRPr="00E27443">
        <w:t>begins.</w:t>
      </w:r>
      <w:r w:rsidR="00C63F8F" w:rsidRPr="00E27443">
        <w:t xml:space="preserve"> </w:t>
      </w:r>
      <w:r w:rsidRPr="00E27443">
        <w:t>Since</w:t>
      </w:r>
      <w:r w:rsidR="00C63F8F" w:rsidRPr="00E27443">
        <w:t xml:space="preserve"> </w:t>
      </w:r>
      <w:r w:rsidRPr="00E27443">
        <w:t>2006,</w:t>
      </w:r>
      <w:r w:rsidR="00C63F8F" w:rsidRPr="00E27443">
        <w:t xml:space="preserve"> </w:t>
      </w:r>
      <w:r w:rsidRPr="00E27443">
        <w:t>the</w:t>
      </w:r>
      <w:r w:rsidR="00C63F8F" w:rsidRPr="00E27443">
        <w:t xml:space="preserve"> </w:t>
      </w:r>
      <w:r w:rsidRPr="00E27443">
        <w:t>Swedish</w:t>
      </w:r>
      <w:r w:rsidR="00C63F8F" w:rsidRPr="00E27443">
        <w:t xml:space="preserve"> </w:t>
      </w:r>
      <w:r w:rsidRPr="00E27443">
        <w:t>Institute</w:t>
      </w:r>
      <w:r w:rsidR="00C63F8F" w:rsidRPr="00E27443">
        <w:t xml:space="preserve"> </w:t>
      </w:r>
      <w:r w:rsidRPr="00E27443">
        <w:t>of</w:t>
      </w:r>
      <w:r w:rsidR="00C63F8F" w:rsidRPr="00E27443">
        <w:t xml:space="preserve"> </w:t>
      </w:r>
      <w:r w:rsidRPr="00E27443">
        <w:t>Assistive</w:t>
      </w:r>
      <w:r w:rsidR="00C63F8F" w:rsidRPr="00E27443">
        <w:t xml:space="preserve"> </w:t>
      </w:r>
      <w:r w:rsidRPr="00E27443">
        <w:t>Technology</w:t>
      </w:r>
      <w:r w:rsidR="00C63F8F" w:rsidRPr="00E27443">
        <w:t xml:space="preserve"> </w:t>
      </w:r>
      <w:r w:rsidRPr="00E27443">
        <w:t>has</w:t>
      </w:r>
      <w:r w:rsidR="00C63F8F" w:rsidRPr="00E27443">
        <w:t xml:space="preserve"> </w:t>
      </w:r>
      <w:r w:rsidRPr="00E27443">
        <w:t>conducted</w:t>
      </w:r>
      <w:r w:rsidR="00C63F8F" w:rsidRPr="00E27443">
        <w:t xml:space="preserve"> </w:t>
      </w:r>
      <w:r w:rsidRPr="00E27443">
        <w:t>the</w:t>
      </w:r>
      <w:r w:rsidR="00C63F8F" w:rsidRPr="00E27443">
        <w:t xml:space="preserve"> </w:t>
      </w:r>
      <w:r w:rsidRPr="00E27443">
        <w:t>procurement</w:t>
      </w:r>
      <w:r w:rsidR="00C63F8F" w:rsidRPr="00E27443">
        <w:t xml:space="preserve"> </w:t>
      </w:r>
      <w:r w:rsidRPr="00E27443">
        <w:t>of</w:t>
      </w:r>
      <w:r w:rsidR="00C63F8F" w:rsidRPr="00E27443">
        <w:t xml:space="preserve"> </w:t>
      </w:r>
      <w:r w:rsidRPr="00E27443">
        <w:t>guide</w:t>
      </w:r>
      <w:r w:rsidR="00C63F8F" w:rsidRPr="00E27443">
        <w:t xml:space="preserve"> </w:t>
      </w:r>
      <w:r w:rsidRPr="00E27443">
        <w:t>dogs</w:t>
      </w:r>
      <w:r w:rsidR="00C63F8F" w:rsidRPr="00E27443">
        <w:t xml:space="preserve"> </w:t>
      </w:r>
      <w:r w:rsidRPr="00E27443">
        <w:t>for</w:t>
      </w:r>
      <w:r w:rsidR="00C63F8F" w:rsidRPr="00E27443">
        <w:t xml:space="preserve"> </w:t>
      </w:r>
      <w:r w:rsidRPr="00E27443">
        <w:t>visually</w:t>
      </w:r>
      <w:r w:rsidR="00C63F8F" w:rsidRPr="00E27443">
        <w:t xml:space="preserve"> </w:t>
      </w:r>
      <w:r w:rsidRPr="00E27443">
        <w:t>impaired</w:t>
      </w:r>
      <w:r w:rsidR="00C63F8F" w:rsidRPr="00E27443">
        <w:t xml:space="preserve"> </w:t>
      </w:r>
      <w:r w:rsidRPr="00E27443">
        <w:t>people</w:t>
      </w:r>
      <w:r w:rsidR="00C63F8F" w:rsidRPr="00E27443">
        <w:t xml:space="preserve"> </w:t>
      </w:r>
      <w:r w:rsidRPr="00E27443">
        <w:t>at</w:t>
      </w:r>
      <w:r w:rsidR="00C63F8F" w:rsidRPr="00E27443">
        <w:t xml:space="preserve"> </w:t>
      </w:r>
      <w:r w:rsidRPr="00E27443">
        <w:t>the</w:t>
      </w:r>
      <w:r w:rsidR="00C63F8F" w:rsidRPr="00E27443">
        <w:t xml:space="preserve"> </w:t>
      </w:r>
      <w:r w:rsidRPr="00E27443">
        <w:t>request</w:t>
      </w:r>
      <w:r w:rsidR="00C63F8F" w:rsidRPr="00E27443">
        <w:t xml:space="preserve"> </w:t>
      </w:r>
      <w:r w:rsidRPr="00E27443">
        <w:t>of</w:t>
      </w:r>
      <w:r w:rsidR="00C63F8F" w:rsidRPr="00E27443">
        <w:t xml:space="preserve"> </w:t>
      </w:r>
      <w:r w:rsidRPr="00E27443">
        <w:t>SRF.</w:t>
      </w:r>
      <w:r w:rsidR="00C63F8F" w:rsidRPr="00E27443">
        <w:t xml:space="preserve"> </w:t>
      </w:r>
    </w:p>
    <w:p w:rsidR="00321ADA" w:rsidRPr="00E27443" w:rsidRDefault="00321ADA" w:rsidP="00BF6ACB">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commissioned</w:t>
      </w:r>
      <w:r w:rsidR="00C63F8F" w:rsidRPr="00E27443">
        <w:t xml:space="preserve"> </w:t>
      </w:r>
      <w:r w:rsidRPr="00E27443">
        <w:t>the</w:t>
      </w:r>
      <w:r w:rsidR="00C63F8F" w:rsidRPr="00E27443">
        <w:t xml:space="preserve"> </w:t>
      </w:r>
      <w:r w:rsidRPr="00E27443">
        <w:t>Swedish</w:t>
      </w:r>
      <w:r w:rsidR="00C63F8F" w:rsidRPr="00E27443">
        <w:t xml:space="preserve"> </w:t>
      </w:r>
      <w:r w:rsidRPr="00E27443">
        <w:t>Institute</w:t>
      </w:r>
      <w:r w:rsidR="00C63F8F" w:rsidRPr="00E27443">
        <w:t xml:space="preserve"> </w:t>
      </w:r>
      <w:r w:rsidRPr="00E27443">
        <w:t>of</w:t>
      </w:r>
      <w:r w:rsidR="00C63F8F" w:rsidRPr="00E27443">
        <w:t xml:space="preserve"> </w:t>
      </w:r>
      <w:r w:rsidRPr="00E27443">
        <w:t>Assistive</w:t>
      </w:r>
      <w:r w:rsidR="00C63F8F" w:rsidRPr="00E27443">
        <w:t xml:space="preserve"> </w:t>
      </w:r>
      <w:r w:rsidRPr="00E27443">
        <w:t>Technology,</w:t>
      </w:r>
      <w:r w:rsidR="00C63F8F" w:rsidRPr="00E27443">
        <w:t xml:space="preserve"> </w:t>
      </w:r>
      <w:r w:rsidRPr="00E27443">
        <w:t>in</w:t>
      </w:r>
      <w:r w:rsidR="00C63F8F" w:rsidRPr="00E27443">
        <w:t xml:space="preserve"> </w:t>
      </w:r>
      <w:r w:rsidRPr="00E27443">
        <w:t>collaboration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to</w:t>
      </w:r>
      <w:r w:rsidR="00C63F8F" w:rsidRPr="00E27443">
        <w:t xml:space="preserve"> </w:t>
      </w:r>
      <w:r w:rsidRPr="00E27443">
        <w:t>conduct</w:t>
      </w:r>
      <w:r w:rsidR="00C63F8F" w:rsidRPr="00E27443">
        <w:t xml:space="preserve"> </w:t>
      </w:r>
      <w:r w:rsidRPr="00E27443">
        <w:t>a</w:t>
      </w:r>
      <w:r w:rsidR="00C63F8F" w:rsidRPr="00E27443">
        <w:t xml:space="preserve"> </w:t>
      </w:r>
      <w:r w:rsidRPr="00E27443">
        <w:t>three-year</w:t>
      </w:r>
      <w:r w:rsidR="00C63F8F" w:rsidRPr="00E27443">
        <w:t xml:space="preserve"> </w:t>
      </w:r>
      <w:r w:rsidRPr="00E27443">
        <w:t>trial</w:t>
      </w:r>
      <w:r w:rsidR="00C63F8F" w:rsidRPr="00E27443">
        <w:t xml:space="preserve"> </w:t>
      </w:r>
      <w:r w:rsidRPr="00E27443">
        <w:t>regarding</w:t>
      </w:r>
      <w:r w:rsidR="00C63F8F" w:rsidRPr="00E27443">
        <w:t xml:space="preserve"> </w:t>
      </w:r>
      <w:r w:rsidRPr="00E27443">
        <w:t>service</w:t>
      </w:r>
      <w:r w:rsidR="00C63F8F" w:rsidRPr="00E27443">
        <w:t xml:space="preserve"> </w:t>
      </w:r>
      <w:r w:rsidRPr="00E27443">
        <w:t>and</w:t>
      </w:r>
      <w:r w:rsidR="00C63F8F" w:rsidRPr="00E27443">
        <w:t xml:space="preserve"> </w:t>
      </w:r>
      <w:r w:rsidRPr="00E27443">
        <w:t>signal</w:t>
      </w:r>
      <w:r w:rsidR="00C63F8F" w:rsidRPr="00E27443">
        <w:t xml:space="preserve"> </w:t>
      </w:r>
      <w:r w:rsidRPr="00E27443">
        <w:t>dogs.</w:t>
      </w:r>
      <w:r w:rsidR="00C63F8F" w:rsidRPr="00E27443">
        <w:t xml:space="preserve"> </w:t>
      </w:r>
      <w:r w:rsidR="00AC0808"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themselves</w:t>
      </w:r>
      <w:r w:rsidR="00C63F8F" w:rsidRPr="00E27443">
        <w:t xml:space="preserve"> </w:t>
      </w:r>
      <w:r w:rsidRPr="00E27443">
        <w:t>own</w:t>
      </w:r>
      <w:r w:rsidR="00C63F8F" w:rsidRPr="00E27443">
        <w:t xml:space="preserve"> </w:t>
      </w:r>
      <w:r w:rsidRPr="00E27443">
        <w:t>a</w:t>
      </w:r>
      <w:r w:rsidR="00C63F8F" w:rsidRPr="00E27443">
        <w:t xml:space="preserve"> </w:t>
      </w:r>
      <w:r w:rsidRPr="00E27443">
        <w:t>dog</w:t>
      </w:r>
      <w:r w:rsidR="00C63F8F" w:rsidRPr="00E27443">
        <w:t xml:space="preserve"> </w:t>
      </w:r>
      <w:r w:rsidRPr="00E27443">
        <w:t>have</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following</w:t>
      </w:r>
      <w:r w:rsidR="00C63F8F" w:rsidRPr="00E27443">
        <w:t xml:space="preserve"> </w:t>
      </w:r>
      <w:r w:rsidRPr="00E27443">
        <w:t>a</w:t>
      </w:r>
      <w:r w:rsidR="00C63F8F" w:rsidRPr="00E27443">
        <w:t xml:space="preserve"> </w:t>
      </w:r>
      <w:r w:rsidRPr="00E27443">
        <w:t>doctor</w:t>
      </w:r>
      <w:r w:rsidR="00C63F8F" w:rsidRPr="00E27443">
        <w:t>’</w:t>
      </w:r>
      <w:r w:rsidRPr="00E27443">
        <w:t>s</w:t>
      </w:r>
      <w:r w:rsidR="00C63F8F" w:rsidRPr="00E27443">
        <w:t xml:space="preserve"> </w:t>
      </w:r>
      <w:r w:rsidRPr="00E27443">
        <w:t>assessment</w:t>
      </w:r>
      <w:r w:rsidR="00C63F8F" w:rsidRPr="00E27443">
        <w:t xml:space="preserve"> </w:t>
      </w:r>
      <w:r w:rsidRPr="00E27443">
        <w:t>of</w:t>
      </w:r>
      <w:r w:rsidR="00C63F8F" w:rsidRPr="00E27443">
        <w:t xml:space="preserve"> </w:t>
      </w:r>
      <w:r w:rsidRPr="00E27443">
        <w:t>the</w:t>
      </w:r>
      <w:r w:rsidR="00C63F8F" w:rsidRPr="00E27443">
        <w:t xml:space="preserve"> </w:t>
      </w:r>
      <w:r w:rsidRPr="00E27443">
        <w:t>benefit</w:t>
      </w:r>
      <w:r w:rsidR="00C63F8F" w:rsidRPr="00E27443">
        <w:t xml:space="preserve"> </w:t>
      </w:r>
      <w:r w:rsidRPr="00E27443">
        <w:t>in</w:t>
      </w:r>
      <w:r w:rsidR="00C63F8F" w:rsidRPr="00E27443">
        <w:t xml:space="preserve"> </w:t>
      </w:r>
      <w:r w:rsidRPr="00E27443">
        <w:t>their</w:t>
      </w:r>
      <w:r w:rsidR="00C63F8F" w:rsidRPr="00E27443">
        <w:t xml:space="preserve"> </w:t>
      </w:r>
      <w:r w:rsidRPr="00E27443">
        <w:t>individual</w:t>
      </w:r>
      <w:r w:rsidR="00C63F8F" w:rsidRPr="00E27443">
        <w:t xml:space="preserve"> </w:t>
      </w:r>
      <w:r w:rsidRPr="00E27443">
        <w:t>case,</w:t>
      </w:r>
      <w:r w:rsidR="00C63F8F" w:rsidRPr="00E27443">
        <w:t xml:space="preserve"> </w:t>
      </w:r>
      <w:r w:rsidRPr="00E27443">
        <w:t>to</w:t>
      </w:r>
      <w:r w:rsidR="00C63F8F" w:rsidRPr="00E27443">
        <w:t xml:space="preserve"> </w:t>
      </w:r>
      <w:r w:rsidRPr="00E27443">
        <w:t>receive</w:t>
      </w:r>
      <w:r w:rsidR="00C63F8F" w:rsidRPr="00E27443">
        <w:t xml:space="preserve"> </w:t>
      </w:r>
      <w:r w:rsidRPr="00E27443">
        <w:t>assistance</w:t>
      </w:r>
      <w:r w:rsidR="00C63F8F" w:rsidRPr="00E27443">
        <w:t xml:space="preserve"> </w:t>
      </w:r>
      <w:r w:rsidRPr="00E27443">
        <w:t>in</w:t>
      </w:r>
      <w:r w:rsidR="00C63F8F" w:rsidRPr="00E27443">
        <w:t xml:space="preserve"> </w:t>
      </w:r>
      <w:r w:rsidRPr="00E27443">
        <w:t>the</w:t>
      </w:r>
      <w:r w:rsidR="00C63F8F" w:rsidRPr="00E27443">
        <w:t xml:space="preserve"> </w:t>
      </w:r>
      <w:r w:rsidRPr="00E27443">
        <w:t>training</w:t>
      </w:r>
      <w:r w:rsidR="00C63F8F" w:rsidRPr="00E27443">
        <w:t xml:space="preserve"> </w:t>
      </w:r>
      <w:r w:rsidRPr="00E27443">
        <w:t>of</w:t>
      </w:r>
      <w:r w:rsidR="00C63F8F" w:rsidRPr="00E27443">
        <w:t xml:space="preserve"> </w:t>
      </w:r>
      <w:r w:rsidRPr="00E27443">
        <w:t>the</w:t>
      </w:r>
      <w:r w:rsidR="00C63F8F" w:rsidRPr="00E27443">
        <w:t xml:space="preserve"> </w:t>
      </w:r>
      <w:r w:rsidRPr="00E27443">
        <w:t>team</w:t>
      </w:r>
      <w:r w:rsidR="00C63F8F" w:rsidRPr="00E27443">
        <w:t xml:space="preserve"> </w:t>
      </w:r>
      <w:r w:rsidRPr="00E27443">
        <w:t>(dog</w:t>
      </w:r>
      <w:r w:rsidR="00C63F8F" w:rsidRPr="00E27443">
        <w:t xml:space="preserve"> </w:t>
      </w:r>
      <w:r w:rsidRPr="00E27443">
        <w:t>and</w:t>
      </w:r>
      <w:r w:rsidR="00C63F8F" w:rsidRPr="00E27443">
        <w:t xml:space="preserve"> </w:t>
      </w:r>
      <w:r w:rsidRPr="00E27443">
        <w:t>owner).</w:t>
      </w:r>
      <w:r w:rsidR="00C63F8F" w:rsidRPr="00E27443">
        <w:t xml:space="preserve"> </w:t>
      </w:r>
      <w:r w:rsidRPr="00E27443">
        <w:t>For</w:t>
      </w:r>
      <w:r w:rsidR="00C63F8F" w:rsidRPr="00E27443">
        <w:t xml:space="preserve"> </w:t>
      </w:r>
      <w:r w:rsidRPr="00E27443">
        <w:t>example,</w:t>
      </w:r>
      <w:r w:rsidR="00C63F8F" w:rsidRPr="00E27443">
        <w:t xml:space="preserve"> </w:t>
      </w:r>
      <w:r w:rsidRPr="00E27443">
        <w:t>this</w:t>
      </w:r>
      <w:r w:rsidR="00C63F8F" w:rsidRPr="00E27443">
        <w:t xml:space="preserve"> </w:t>
      </w:r>
      <w:r w:rsidRPr="00E27443">
        <w:t>may</w:t>
      </w:r>
      <w:r w:rsidR="00C63F8F" w:rsidRPr="00E27443">
        <w:t xml:space="preserve"> </w:t>
      </w:r>
      <w:r w:rsidRPr="00E27443">
        <w:t>relate</w:t>
      </w:r>
      <w:r w:rsidR="00C63F8F" w:rsidRPr="00E27443">
        <w:t xml:space="preserve"> </w:t>
      </w:r>
      <w:r w:rsidRPr="00E27443">
        <w:t>to</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epilepsy</w:t>
      </w:r>
      <w:r w:rsidR="00C63F8F" w:rsidRPr="00E27443">
        <w:t xml:space="preserve"> </w:t>
      </w:r>
      <w:r w:rsidRPr="00E27443">
        <w:t>or</w:t>
      </w:r>
      <w:r w:rsidR="00C63F8F" w:rsidRPr="00E27443">
        <w:t xml:space="preserve"> </w:t>
      </w:r>
      <w:r w:rsidRPr="00E27443">
        <w:t>severe</w:t>
      </w:r>
      <w:r w:rsidR="00C63F8F" w:rsidRPr="00E27443">
        <w:t xml:space="preserve"> </w:t>
      </w:r>
      <w:r w:rsidRPr="00E27443">
        <w:t>diabetes,</w:t>
      </w:r>
      <w:r w:rsidR="00C63F8F" w:rsidRPr="00E27443">
        <w:t xml:space="preserve"> </w:t>
      </w:r>
      <w:r w:rsidRPr="00E27443">
        <w:t>where</w:t>
      </w:r>
      <w:r w:rsidR="00C63F8F" w:rsidRPr="00E27443">
        <w:t xml:space="preserve"> </w:t>
      </w:r>
      <w:r w:rsidRPr="00E27443">
        <w:t>the</w:t>
      </w:r>
      <w:r w:rsidR="00C63F8F" w:rsidRPr="00E27443">
        <w:t xml:space="preserve"> </w:t>
      </w:r>
      <w:r w:rsidRPr="00E27443">
        <w:t>dogs</w:t>
      </w:r>
      <w:r w:rsidR="00C63F8F" w:rsidRPr="00E27443">
        <w:t xml:space="preserve"> </w:t>
      </w:r>
      <w:r w:rsidRPr="00E27443">
        <w:t>can</w:t>
      </w:r>
      <w:r w:rsidR="00C63F8F" w:rsidRPr="00E27443">
        <w:t xml:space="preserve"> </w:t>
      </w:r>
      <w:r w:rsidRPr="00E27443">
        <w:t>give</w:t>
      </w:r>
      <w:r w:rsidR="00C63F8F" w:rsidRPr="00E27443">
        <w:t xml:space="preserve"> </w:t>
      </w:r>
      <w:r w:rsidRPr="00E27443">
        <w:t>a</w:t>
      </w:r>
      <w:r w:rsidR="00C63F8F" w:rsidRPr="00E27443">
        <w:t xml:space="preserve"> </w:t>
      </w:r>
      <w:r w:rsidRPr="00E27443">
        <w:t>warning</w:t>
      </w:r>
      <w:r w:rsidR="00C63F8F" w:rsidRPr="00E27443">
        <w:t xml:space="preserve"> </w:t>
      </w:r>
      <w:r w:rsidRPr="00E27443">
        <w:t>in</w:t>
      </w:r>
      <w:r w:rsidR="00C63F8F" w:rsidRPr="00E27443">
        <w:t xml:space="preserve"> </w:t>
      </w:r>
      <w:r w:rsidRPr="00E27443">
        <w:t>the</w:t>
      </w:r>
      <w:r w:rsidR="00C63F8F" w:rsidRPr="00E27443">
        <w:t xml:space="preserve"> </w:t>
      </w:r>
      <w:r w:rsidRPr="00E27443">
        <w:t>event</w:t>
      </w:r>
      <w:r w:rsidR="00C63F8F" w:rsidRPr="00E27443">
        <w:t xml:space="preserve"> </w:t>
      </w:r>
      <w:r w:rsidRPr="00E27443">
        <w:t>of</w:t>
      </w:r>
      <w:r w:rsidR="00C63F8F" w:rsidRPr="00E27443">
        <w:t xml:space="preserve"> </w:t>
      </w:r>
      <w:r w:rsidRPr="00E27443">
        <w:t>an</w:t>
      </w:r>
      <w:r w:rsidR="00C63F8F" w:rsidRPr="00E27443">
        <w:t xml:space="preserve"> </w:t>
      </w:r>
      <w:r w:rsidRPr="00E27443">
        <w:t>attack.</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receive</w:t>
      </w:r>
      <w:r w:rsidR="00C63F8F" w:rsidRPr="00E27443">
        <w:t xml:space="preserve"> </w:t>
      </w:r>
      <w:r w:rsidRPr="00E27443">
        <w:t>assistance</w:t>
      </w:r>
      <w:r w:rsidR="00C63F8F" w:rsidRPr="00E27443">
        <w:t xml:space="preserve"> </w:t>
      </w:r>
      <w:r w:rsidRPr="00E27443">
        <w:t>fetching</w:t>
      </w:r>
      <w:r w:rsidR="00C63F8F" w:rsidRPr="00E27443">
        <w:t xml:space="preserve"> </w:t>
      </w:r>
      <w:r w:rsidRPr="00E27443">
        <w:t>objects.</w:t>
      </w:r>
      <w:r w:rsidR="00C63F8F" w:rsidRPr="00E27443">
        <w:t xml:space="preserve"> </w:t>
      </w:r>
      <w:r w:rsidRPr="00E27443">
        <w:t>The</w:t>
      </w:r>
      <w:r w:rsidR="00C63F8F" w:rsidRPr="00E27443">
        <w:t xml:space="preserve"> </w:t>
      </w:r>
      <w:r w:rsidRPr="00E27443">
        <w:t>trials</w:t>
      </w:r>
      <w:r w:rsidR="00C63F8F" w:rsidRPr="00E27443">
        <w:t xml:space="preserve"> </w:t>
      </w:r>
      <w:r w:rsidRPr="00E27443">
        <w:t>have</w:t>
      </w:r>
      <w:r w:rsidR="00C63F8F" w:rsidRPr="00E27443">
        <w:t xml:space="preserve"> </w:t>
      </w:r>
      <w:r w:rsidRPr="00E27443">
        <w:t>proven</w:t>
      </w:r>
      <w:r w:rsidR="00C63F8F" w:rsidRPr="00E27443">
        <w:t xml:space="preserve"> </w:t>
      </w:r>
      <w:r w:rsidRPr="00E27443">
        <w:t>to</w:t>
      </w:r>
      <w:r w:rsidR="00C63F8F" w:rsidRPr="00E27443">
        <w:t xml:space="preserve"> </w:t>
      </w:r>
      <w:r w:rsidRPr="00E27443">
        <w:t>have</w:t>
      </w:r>
      <w:r w:rsidR="00C63F8F" w:rsidRPr="00E27443">
        <w:t xml:space="preserve"> </w:t>
      </w:r>
      <w:r w:rsidRPr="00E27443">
        <w:t>a</w:t>
      </w:r>
      <w:r w:rsidR="00C63F8F" w:rsidRPr="00E27443">
        <w:t xml:space="preserve"> </w:t>
      </w:r>
      <w:r w:rsidRPr="00E27443">
        <w:t>positive</w:t>
      </w:r>
      <w:r w:rsidR="00C63F8F" w:rsidRPr="00E27443">
        <w:t xml:space="preserve"> </w:t>
      </w:r>
      <w:r w:rsidRPr="00E27443">
        <w:t>effect</w:t>
      </w:r>
      <w:r w:rsidR="00C63F8F" w:rsidRPr="00E27443">
        <w:t xml:space="preserve"> </w:t>
      </w:r>
      <w:r w:rsidRPr="00E27443">
        <w:t>on</w:t>
      </w:r>
      <w:r w:rsidR="00C63F8F" w:rsidRPr="00E27443">
        <w:t xml:space="preserve"> </w:t>
      </w:r>
      <w:r w:rsidRPr="00E27443">
        <w:t>the</w:t>
      </w:r>
      <w:r w:rsidR="00C63F8F" w:rsidRPr="00E27443">
        <w:t xml:space="preserve"> </w:t>
      </w:r>
      <w:r w:rsidRPr="00E27443">
        <w:t>wellbeing</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p>
    <w:p w:rsidR="00321ADA" w:rsidRPr="00E27443" w:rsidRDefault="00923190" w:rsidP="00C63DE6">
      <w:pPr>
        <w:pStyle w:val="H1G"/>
      </w:pPr>
      <w:r w:rsidRPr="00E27443">
        <w:tab/>
      </w:r>
      <w:r w:rsidRPr="00E27443">
        <w:tab/>
      </w:r>
      <w:bookmarkStart w:id="21" w:name="_Toc290623305"/>
      <w:r w:rsidR="00321ADA" w:rsidRPr="00E27443">
        <w:t>Article</w:t>
      </w:r>
      <w:r w:rsidR="00C63F8F" w:rsidRPr="00E27443">
        <w:t xml:space="preserve"> </w:t>
      </w:r>
      <w:r w:rsidR="00321ADA" w:rsidRPr="00E27443">
        <w:t>21</w:t>
      </w:r>
      <w:r w:rsidR="00E03D51">
        <w:t>:</w:t>
      </w:r>
      <w:r w:rsidR="00C63F8F" w:rsidRPr="00E27443">
        <w:t xml:space="preserve"> </w:t>
      </w:r>
      <w:r w:rsidR="00321ADA" w:rsidRPr="00E27443">
        <w:t>Freedom</w:t>
      </w:r>
      <w:r w:rsidR="00C63F8F" w:rsidRPr="00E27443">
        <w:t xml:space="preserve"> </w:t>
      </w:r>
      <w:r w:rsidR="00321ADA" w:rsidRPr="00E27443">
        <w:t>of</w:t>
      </w:r>
      <w:r w:rsidR="00C63F8F" w:rsidRPr="00E27443">
        <w:t xml:space="preserve"> </w:t>
      </w:r>
      <w:r w:rsidR="00321ADA" w:rsidRPr="00E27443">
        <w:t>expression</w:t>
      </w:r>
      <w:r w:rsidR="00C63F8F" w:rsidRPr="00E27443">
        <w:t xml:space="preserve"> </w:t>
      </w:r>
      <w:r w:rsidR="00321ADA" w:rsidRPr="00E27443">
        <w:t>and</w:t>
      </w:r>
      <w:r w:rsidR="00C63F8F" w:rsidRPr="00E27443">
        <w:t xml:space="preserve"> </w:t>
      </w:r>
      <w:r w:rsidR="00321ADA" w:rsidRPr="00E27443">
        <w:t>opinion,</w:t>
      </w:r>
      <w:r w:rsidR="00C63F8F" w:rsidRPr="00E27443">
        <w:t xml:space="preserve"> </w:t>
      </w:r>
      <w:r w:rsidR="00321ADA" w:rsidRPr="00E27443">
        <w:t>and</w:t>
      </w:r>
      <w:r w:rsidR="00C63F8F" w:rsidRPr="00E27443">
        <w:t xml:space="preserve"> </w:t>
      </w:r>
      <w:r w:rsidR="00321ADA" w:rsidRPr="00E27443">
        <w:t>access</w:t>
      </w:r>
      <w:r w:rsidR="00C63F8F" w:rsidRPr="00E27443">
        <w:t xml:space="preserve"> </w:t>
      </w:r>
      <w:r w:rsidR="00321ADA" w:rsidRPr="00E27443">
        <w:t>to</w:t>
      </w:r>
      <w:r w:rsidR="00C63F8F" w:rsidRPr="00E27443">
        <w:t xml:space="preserve"> </w:t>
      </w:r>
      <w:r w:rsidR="00321ADA" w:rsidRPr="00E27443">
        <w:t>information</w:t>
      </w:r>
      <w:bookmarkEnd w:id="21"/>
      <w:r w:rsidR="00C63F8F" w:rsidRPr="00E27443">
        <w:t xml:space="preserve"> </w:t>
      </w:r>
    </w:p>
    <w:p w:rsidR="00321ADA" w:rsidRPr="00E27443" w:rsidRDefault="00321ADA" w:rsidP="00E03D51">
      <w:pPr>
        <w:pStyle w:val="SingleTxtG"/>
        <w:numPr>
          <w:ilvl w:val="0"/>
          <w:numId w:val="20"/>
        </w:numPr>
        <w:tabs>
          <w:tab w:val="left" w:pos="1843"/>
        </w:tabs>
        <w:ind w:left="1134" w:firstLine="0"/>
      </w:pP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4A5943">
        <w:t xml:space="preserve"> </w:t>
      </w:r>
      <w:r w:rsidR="00923190" w:rsidRPr="00E03D51">
        <w:footnoteReference w:id="89"/>
      </w:r>
      <w:r w:rsidR="00C63F8F" w:rsidRPr="00E27443">
        <w:t xml:space="preserve"> </w:t>
      </w:r>
      <w:r w:rsidRPr="00E27443">
        <w:t>states</w:t>
      </w:r>
      <w:r w:rsidR="00C63F8F" w:rsidRPr="00E27443">
        <w:t xml:space="preserve"> </w:t>
      </w:r>
      <w:r w:rsidRPr="00E27443">
        <w:t>that</w:t>
      </w:r>
      <w:r w:rsidR="00C63F8F" w:rsidRPr="00E27443">
        <w:t xml:space="preserve"> </w:t>
      </w:r>
      <w:r w:rsidRPr="00E27443">
        <w:t>each</w:t>
      </w:r>
      <w:r w:rsidR="00C63F8F" w:rsidRPr="00E27443">
        <w:t xml:space="preserve"> </w:t>
      </w:r>
      <w:r w:rsidRPr="00E27443">
        <w:t>citizen</w:t>
      </w:r>
      <w:r w:rsidR="00C63F8F" w:rsidRPr="00E27443">
        <w:t xml:space="preserve"> </w:t>
      </w:r>
      <w:r w:rsidRPr="00E27443">
        <w:t>is</w:t>
      </w:r>
      <w:r w:rsidR="00C63F8F" w:rsidRPr="00E27443">
        <w:t xml:space="preserve"> </w:t>
      </w:r>
      <w:r w:rsidRPr="00E27443">
        <w:t>guaranteed</w:t>
      </w:r>
      <w:r w:rsidR="00C63F8F" w:rsidRPr="00E27443">
        <w:t xml:space="preserve"> </w:t>
      </w:r>
      <w:r w:rsidRPr="00E27443">
        <w:t>freedom</w:t>
      </w:r>
      <w:r w:rsidR="00C63F8F" w:rsidRPr="00E27443">
        <w:t xml:space="preserve"> </w:t>
      </w:r>
      <w:r w:rsidRPr="00E27443">
        <w:t>of</w:t>
      </w:r>
      <w:r w:rsidR="00C63F8F" w:rsidRPr="00E27443">
        <w:t xml:space="preserve"> </w:t>
      </w:r>
      <w:r w:rsidRPr="00E27443">
        <w:t>expression</w:t>
      </w:r>
      <w:r w:rsidR="00C63F8F" w:rsidRPr="00E27443">
        <w:t xml:space="preserve"> </w:t>
      </w:r>
      <w:r w:rsidRPr="00E27443">
        <w:t>in</w:t>
      </w:r>
      <w:r w:rsidR="00C63F8F" w:rsidRPr="00E27443">
        <w:t xml:space="preserve"> </w:t>
      </w:r>
      <w:r w:rsidRPr="00E27443">
        <w:t>relation</w:t>
      </w:r>
      <w:r w:rsidR="00C63F8F" w:rsidRPr="00E27443">
        <w:t xml:space="preserve"> </w:t>
      </w:r>
      <w:r w:rsidRPr="00E27443">
        <w:t>to</w:t>
      </w:r>
      <w:r w:rsidR="00C63F8F" w:rsidRPr="00E27443">
        <w:t xml:space="preserve"> </w:t>
      </w:r>
      <w:r w:rsidRPr="00E27443">
        <w:t>the</w:t>
      </w:r>
      <w:r w:rsidR="00C63F8F" w:rsidRPr="00E27443">
        <w:t xml:space="preserve"> </w:t>
      </w:r>
      <w:r w:rsidRPr="00E27443">
        <w:t>general</w:t>
      </w:r>
      <w:r w:rsidR="00C63F8F" w:rsidRPr="00E27443">
        <w:t xml:space="preserve"> </w:t>
      </w:r>
      <w:r w:rsidRPr="00E27443">
        <w:t>public.</w:t>
      </w:r>
      <w:r w:rsidR="00C63F8F" w:rsidRPr="00E27443">
        <w:t xml:space="preserve"> </w:t>
      </w:r>
      <w:r w:rsidRPr="00E27443">
        <w:t>Freedom</w:t>
      </w:r>
      <w:r w:rsidR="00C63F8F" w:rsidRPr="00E27443">
        <w:t xml:space="preserve"> </w:t>
      </w:r>
      <w:r w:rsidRPr="00E27443">
        <w:t>of</w:t>
      </w:r>
      <w:r w:rsidR="00C63F8F" w:rsidRPr="00E27443">
        <w:t xml:space="preserve"> </w:t>
      </w:r>
      <w:r w:rsidRPr="00E27443">
        <w:t>expression</w:t>
      </w:r>
      <w:r w:rsidR="00C63F8F" w:rsidRPr="00E27443">
        <w:t xml:space="preserve"> </w:t>
      </w:r>
      <w:r w:rsidRPr="00E27443">
        <w:t>entails</w:t>
      </w:r>
      <w:r w:rsidR="00C63F8F" w:rsidRPr="00E27443">
        <w:t xml:space="preserve"> </w:t>
      </w:r>
      <w:r w:rsidRPr="00E27443">
        <w:t>freedom,</w:t>
      </w:r>
      <w:r w:rsidR="00C63F8F" w:rsidRPr="00E27443">
        <w:t xml:space="preserve"> </w:t>
      </w:r>
      <w:r w:rsidRPr="00E27443">
        <w:t>verbally</w:t>
      </w:r>
      <w:r w:rsidR="00C63F8F" w:rsidRPr="00E27443">
        <w:t xml:space="preserve"> </w:t>
      </w:r>
      <w:r w:rsidRPr="00E27443">
        <w:t>or</w:t>
      </w:r>
      <w:r w:rsidR="00C63F8F" w:rsidRPr="00E27443">
        <w:t xml:space="preserve"> </w:t>
      </w:r>
      <w:r w:rsidRPr="00E27443">
        <w:t>in</w:t>
      </w:r>
      <w:r w:rsidR="00C63F8F" w:rsidRPr="00E27443">
        <w:t xml:space="preserve"> </w:t>
      </w:r>
      <w:r w:rsidRPr="00E27443">
        <w:t>writing,</w:t>
      </w:r>
      <w:r w:rsidR="00C63F8F" w:rsidRPr="00E27443">
        <w:t xml:space="preserve"> </w:t>
      </w:r>
      <w:r w:rsidRPr="00E27443">
        <w:t>pictures</w:t>
      </w:r>
      <w:r w:rsidR="00C63F8F" w:rsidRPr="00E27443">
        <w:t xml:space="preserve"> </w:t>
      </w:r>
      <w:r w:rsidRPr="00E27443">
        <w:t>or</w:t>
      </w:r>
      <w:r w:rsidR="00C63F8F" w:rsidRPr="00E27443">
        <w:t xml:space="preserve"> </w:t>
      </w:r>
      <w:r w:rsidRPr="00E27443">
        <w:t>some</w:t>
      </w:r>
      <w:r w:rsidR="00C63F8F" w:rsidRPr="00E27443">
        <w:t xml:space="preserve"> </w:t>
      </w:r>
      <w:r w:rsidRPr="00E27443">
        <w:t>other</w:t>
      </w:r>
      <w:r w:rsidR="00C63F8F" w:rsidRPr="00E27443">
        <w:t xml:space="preserve"> </w:t>
      </w:r>
      <w:r w:rsidRPr="00E27443">
        <w:t>way,</w:t>
      </w:r>
      <w:r w:rsidR="00C63F8F" w:rsidRPr="00E27443">
        <w:t xml:space="preserve"> </w:t>
      </w:r>
      <w:r w:rsidRPr="00E27443">
        <w:t>to</w:t>
      </w:r>
      <w:r w:rsidR="00C63F8F" w:rsidRPr="00E27443">
        <w:t xml:space="preserve"> </w:t>
      </w:r>
      <w:r w:rsidRPr="00E27443">
        <w:t>impart</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to</w:t>
      </w:r>
      <w:r w:rsidR="00C63F8F" w:rsidRPr="00E27443">
        <w:t xml:space="preserve"> </w:t>
      </w:r>
      <w:r w:rsidRPr="00E27443">
        <w:t>express</w:t>
      </w:r>
      <w:r w:rsidR="00C63F8F" w:rsidRPr="00E27443">
        <w:t xml:space="preserve"> </w:t>
      </w:r>
      <w:r w:rsidRPr="00E27443">
        <w:t>thoughts,</w:t>
      </w:r>
      <w:r w:rsidR="00C63F8F" w:rsidRPr="00E27443">
        <w:t xml:space="preserve"> </w:t>
      </w:r>
      <w:r w:rsidRPr="00E27443">
        <w:t>opinions</w:t>
      </w:r>
      <w:r w:rsidR="00C63F8F" w:rsidRPr="00E27443">
        <w:t xml:space="preserve"> </w:t>
      </w:r>
      <w:r w:rsidRPr="00E27443">
        <w:t>and</w:t>
      </w:r>
      <w:r w:rsidR="00C63F8F" w:rsidRPr="00E27443">
        <w:t xml:space="preserve"> </w:t>
      </w:r>
      <w:r w:rsidRPr="00E27443">
        <w:t>feelings.</w:t>
      </w:r>
      <w:r w:rsidR="00C63F8F" w:rsidRPr="00E27443">
        <w:t xml:space="preserve"> </w:t>
      </w:r>
      <w:r w:rsidRPr="00E27443">
        <w:t>In</w:t>
      </w:r>
      <w:r w:rsidR="00C63F8F" w:rsidRPr="00E27443">
        <w:t xml:space="preserve"> </w:t>
      </w:r>
      <w:r w:rsidRPr="00E27443">
        <w:t>the</w:t>
      </w:r>
      <w:r w:rsidR="00C63F8F" w:rsidRPr="00E27443">
        <w:t xml:space="preserve"> </w:t>
      </w:r>
      <w:r w:rsidRPr="00E27443">
        <w:t>Freedom</w:t>
      </w:r>
      <w:r w:rsidR="00C63F8F" w:rsidRPr="00E27443">
        <w:t xml:space="preserve"> </w:t>
      </w:r>
      <w:r w:rsidRPr="00E27443">
        <w:t>of</w:t>
      </w:r>
      <w:r w:rsidR="00C63F8F" w:rsidRPr="00E27443">
        <w:t xml:space="preserve"> </w:t>
      </w:r>
      <w:r w:rsidRPr="00E27443">
        <w:t>Expression</w:t>
      </w:r>
      <w:r w:rsidR="00C63F8F" w:rsidRPr="00E27443">
        <w:t xml:space="preserve"> </w:t>
      </w:r>
      <w:r w:rsidRPr="00E27443">
        <w:t>Act,</w:t>
      </w:r>
      <w:r w:rsidR="00C63F8F" w:rsidRPr="00E27443">
        <w:t xml:space="preserve"> </w:t>
      </w:r>
      <w:r w:rsidRPr="00E27443">
        <w:t>all</w:t>
      </w:r>
      <w:r w:rsidR="00C63F8F" w:rsidRPr="00E27443">
        <w:t xml:space="preserve"> </w:t>
      </w:r>
      <w:r w:rsidRPr="00E27443">
        <w:t>citizens</w:t>
      </w:r>
      <w:r w:rsidR="00C63F8F" w:rsidRPr="00E27443">
        <w:t xml:space="preserve"> </w:t>
      </w:r>
      <w:r w:rsidRPr="00E27443">
        <w:t>are</w:t>
      </w:r>
      <w:r w:rsidR="00C63F8F" w:rsidRPr="00E27443">
        <w:t xml:space="preserve"> </w:t>
      </w:r>
      <w:r w:rsidRPr="00E27443">
        <w:t>also</w:t>
      </w:r>
      <w:r w:rsidR="00C63F8F" w:rsidRPr="00E27443">
        <w:t xml:space="preserve"> </w:t>
      </w:r>
      <w:r w:rsidRPr="00E27443">
        <w:t>guaranteed</w:t>
      </w:r>
      <w:r w:rsidR="00C63F8F" w:rsidRPr="00E27443">
        <w:t xml:space="preserve"> </w:t>
      </w:r>
      <w:r w:rsidRPr="00E27443">
        <w:t>the</w:t>
      </w:r>
      <w:r w:rsidR="00C63F8F" w:rsidRPr="00E27443">
        <w:t xml:space="preserve"> </w:t>
      </w:r>
      <w:r w:rsidRPr="00E27443">
        <w:t>right,</w:t>
      </w:r>
      <w:r w:rsidR="00C63F8F" w:rsidRPr="00E27443">
        <w:t xml:space="preserve"> </w:t>
      </w:r>
      <w:r w:rsidRPr="00E27443">
        <w:t>in</w:t>
      </w:r>
      <w:r w:rsidR="00C63F8F" w:rsidRPr="00E27443">
        <w:t xml:space="preserve"> </w:t>
      </w:r>
      <w:r w:rsidRPr="00E27443">
        <w:t>relation</w:t>
      </w:r>
      <w:r w:rsidR="00C63F8F" w:rsidRPr="00E27443">
        <w:t xml:space="preserve"> </w:t>
      </w:r>
      <w:r w:rsidRPr="00E27443">
        <w:t>to</w:t>
      </w:r>
      <w:r w:rsidR="00C63F8F" w:rsidRPr="00E27443">
        <w:t xml:space="preserve"> </w:t>
      </w:r>
      <w:r w:rsidRPr="00E27443">
        <w:t>the</w:t>
      </w:r>
      <w:r w:rsidR="00C63F8F" w:rsidRPr="00E27443">
        <w:t xml:space="preserve"> </w:t>
      </w:r>
      <w:r w:rsidRPr="00E27443">
        <w:t>general</w:t>
      </w:r>
      <w:r w:rsidR="00C63F8F" w:rsidRPr="00E27443">
        <w:t xml:space="preserve"> </w:t>
      </w:r>
      <w:r w:rsidRPr="00E27443">
        <w:t>public,</w:t>
      </w:r>
      <w:r w:rsidR="00C63F8F" w:rsidRPr="00E27443">
        <w:t xml:space="preserve"> </w:t>
      </w:r>
      <w:r w:rsidRPr="00E27443">
        <w:t>to</w:t>
      </w:r>
      <w:r w:rsidR="00C63F8F" w:rsidRPr="00E27443">
        <w:t xml:space="preserve"> </w:t>
      </w:r>
      <w:r w:rsidRPr="00E27443">
        <w:t>express</w:t>
      </w:r>
      <w:r w:rsidR="00C63F8F" w:rsidRPr="00E27443">
        <w:t xml:space="preserve"> </w:t>
      </w:r>
      <w:r w:rsidRPr="00E27443">
        <w:t>thoughts,</w:t>
      </w:r>
      <w:r w:rsidR="00C63F8F" w:rsidRPr="00E27443">
        <w:t xml:space="preserve"> </w:t>
      </w:r>
      <w:r w:rsidRPr="00E27443">
        <w:t>opinions</w:t>
      </w:r>
      <w:r w:rsidR="00C63F8F" w:rsidRPr="00E27443">
        <w:t xml:space="preserve"> </w:t>
      </w:r>
      <w:r w:rsidRPr="00E27443">
        <w:t>and</w:t>
      </w:r>
      <w:r w:rsidR="00C63F8F" w:rsidRPr="00E27443">
        <w:t xml:space="preserve"> </w:t>
      </w:r>
      <w:r w:rsidRPr="00E27443">
        <w:t>feelings</w:t>
      </w:r>
      <w:r w:rsidR="00C63F8F" w:rsidRPr="00E27443">
        <w:t xml:space="preserve"> </w:t>
      </w:r>
      <w:r w:rsidRPr="00E27443">
        <w:t>using</w:t>
      </w:r>
      <w:r w:rsidR="00C63F8F" w:rsidRPr="00E27443">
        <w:t xml:space="preserve"> </w:t>
      </w:r>
      <w:r w:rsidRPr="00E27443">
        <w:t>various</w:t>
      </w:r>
      <w:r w:rsidR="00C63F8F" w:rsidRPr="00E27443">
        <w:t xml:space="preserve"> </w:t>
      </w:r>
      <w:r w:rsidRPr="00E27443">
        <w:t>media,</w:t>
      </w:r>
      <w:r w:rsidR="00C63F8F" w:rsidRPr="00E27443">
        <w:t xml:space="preserve"> </w:t>
      </w:r>
      <w:r w:rsidRPr="00E27443">
        <w:t>and</w:t>
      </w:r>
      <w:r w:rsidR="00C63F8F" w:rsidRPr="00E27443">
        <w:t xml:space="preserve"> </w:t>
      </w:r>
      <w:r w:rsidRPr="00E27443">
        <w:t>otherwise</w:t>
      </w:r>
      <w:r w:rsidR="00C63F8F" w:rsidRPr="00E27443">
        <w:t xml:space="preserve"> </w:t>
      </w:r>
      <w:r w:rsidRPr="00E27443">
        <w:t>to</w:t>
      </w:r>
      <w:r w:rsidR="00C63F8F" w:rsidRPr="00E27443">
        <w:t xml:space="preserve"> </w:t>
      </w:r>
      <w:r w:rsidRPr="00E27443">
        <w:t>impart</w:t>
      </w:r>
      <w:r w:rsidR="00C63F8F" w:rsidRPr="00E27443">
        <w:t xml:space="preserve"> </w:t>
      </w:r>
      <w:r w:rsidR="00AC0808" w:rsidRPr="00E27443">
        <w:t>in</w:t>
      </w:r>
      <w:r w:rsidRPr="00E27443">
        <w:t>formation</w:t>
      </w:r>
      <w:r w:rsidR="00C63F8F" w:rsidRPr="00E27443">
        <w:t xml:space="preserve"> </w:t>
      </w:r>
      <w:r w:rsidRPr="00E27443">
        <w:t>about</w:t>
      </w:r>
      <w:r w:rsidR="00C63F8F" w:rsidRPr="00E27443">
        <w:t xml:space="preserve"> </w:t>
      </w:r>
      <w:r w:rsidRPr="00E27443">
        <w:t>any</w:t>
      </w:r>
      <w:r w:rsidR="00C63F8F" w:rsidRPr="00E27443">
        <w:t xml:space="preserve"> </w:t>
      </w:r>
      <w:r w:rsidRPr="00E27443">
        <w:t>subject.</w:t>
      </w:r>
    </w:p>
    <w:p w:rsidR="00321ADA" w:rsidRPr="00E27443" w:rsidRDefault="00321ADA" w:rsidP="00E03D51">
      <w:pPr>
        <w:pStyle w:val="SingleTxtG"/>
        <w:numPr>
          <w:ilvl w:val="0"/>
          <w:numId w:val="20"/>
        </w:numPr>
        <w:tabs>
          <w:tab w:val="left" w:pos="1843"/>
        </w:tabs>
        <w:ind w:left="1134" w:firstLine="0"/>
      </w:pPr>
      <w:r w:rsidRPr="00E27443">
        <w:t>The</w:t>
      </w:r>
      <w:r w:rsidR="00C63F8F" w:rsidRPr="00E27443">
        <w:t xml:space="preserve"> </w:t>
      </w:r>
      <w:r w:rsidRPr="00E27443">
        <w:t>constitutional</w:t>
      </w:r>
      <w:r w:rsidR="00C63F8F" w:rsidRPr="00E27443">
        <w:t xml:space="preserve"> </w:t>
      </w:r>
      <w:r w:rsidRPr="00E27443">
        <w:t>freedom</w:t>
      </w:r>
      <w:r w:rsidR="00C63F8F" w:rsidRPr="00E27443">
        <w:t xml:space="preserve"> </w:t>
      </w:r>
      <w:r w:rsidRPr="00E27443">
        <w:t>of</w:t>
      </w:r>
      <w:r w:rsidR="00C63F8F" w:rsidRPr="00E27443">
        <w:t xml:space="preserve"> </w:t>
      </w:r>
      <w:r w:rsidRPr="00E27443">
        <w:t>expression</w:t>
      </w:r>
      <w:r w:rsidR="00C63F8F" w:rsidRPr="00E27443">
        <w:t xml:space="preserve"> </w:t>
      </w:r>
      <w:r w:rsidRPr="00E27443">
        <w:t>also</w:t>
      </w:r>
      <w:r w:rsidR="00C63F8F" w:rsidRPr="00E27443">
        <w:t xml:space="preserve"> </w:t>
      </w:r>
      <w:r w:rsidRPr="00E27443">
        <w:t>incorporates</w:t>
      </w:r>
      <w:r w:rsidR="00C63F8F" w:rsidRPr="00E27443">
        <w:t xml:space="preserve"> </w:t>
      </w:r>
      <w:r w:rsidRPr="00E27443">
        <w:t>a</w:t>
      </w:r>
      <w:r w:rsidR="00C63F8F" w:rsidRPr="00E27443">
        <w:t xml:space="preserve"> </w:t>
      </w:r>
      <w:r w:rsidRPr="00E27443">
        <w:t>principle</w:t>
      </w:r>
      <w:r w:rsidR="00C63F8F" w:rsidRPr="00E27443">
        <w:t xml:space="preserve"> </w:t>
      </w:r>
      <w:r w:rsidRPr="00E27443">
        <w:t>of</w:t>
      </w:r>
      <w:r w:rsidR="00C63F8F" w:rsidRPr="00E27443">
        <w:t xml:space="preserve"> </w:t>
      </w:r>
      <w:r w:rsidRPr="00E27443">
        <w:t>public</w:t>
      </w:r>
      <w:r w:rsidR="00C63F8F" w:rsidRPr="00E27443">
        <w:t xml:space="preserve"> </w:t>
      </w:r>
      <w:r w:rsidRPr="00E27443">
        <w:t>access.</w:t>
      </w:r>
      <w:r w:rsidR="00C63F8F" w:rsidRPr="00E27443">
        <w:t xml:space="preserve"> </w:t>
      </w:r>
      <w:r w:rsidRPr="00E27443">
        <w:t>This</w:t>
      </w:r>
      <w:r w:rsidR="00C63F8F" w:rsidRPr="00E27443">
        <w:t xml:space="preserve"> </w:t>
      </w:r>
      <w:r w:rsidRPr="00E27443">
        <w:t>principle</w:t>
      </w:r>
      <w:r w:rsidR="00C63F8F" w:rsidRPr="00E27443">
        <w:t xml:space="preserve"> </w:t>
      </w:r>
      <w:r w:rsidRPr="00E27443">
        <w:t>regulates</w:t>
      </w:r>
      <w:r w:rsidR="00C63F8F" w:rsidRPr="00E27443">
        <w:t xml:space="preserve"> </w:t>
      </w:r>
      <w:r w:rsidRPr="00E27443">
        <w:t>areas</w:t>
      </w:r>
      <w:r w:rsidR="00C63F8F" w:rsidRPr="00E27443">
        <w:t xml:space="preserve"> </w:t>
      </w:r>
      <w:r w:rsidRPr="00E27443">
        <w:t>such</w:t>
      </w:r>
      <w:r w:rsidR="00C63F8F" w:rsidRPr="00E27443">
        <w:t xml:space="preserve"> </w:t>
      </w:r>
      <w:r w:rsidRPr="00E27443">
        <w:t>as</w:t>
      </w:r>
      <w:r w:rsidR="00C63F8F" w:rsidRPr="00E27443">
        <w:t xml:space="preserve"> </w:t>
      </w:r>
      <w:r w:rsidRPr="00E27443">
        <w:t>the</w:t>
      </w:r>
      <w:r w:rsidR="00C63F8F" w:rsidRPr="00E27443">
        <w:t xml:space="preserve"> </w:t>
      </w:r>
      <w:r w:rsidRPr="00E27443">
        <w:t>public</w:t>
      </w:r>
      <w:r w:rsidR="00C63F8F" w:rsidRPr="00E27443">
        <w:t>’</w:t>
      </w:r>
      <w:r w:rsidRPr="00E27443">
        <w:t>s</w:t>
      </w:r>
      <w:r w:rsidR="00C63F8F" w:rsidRPr="00E27443">
        <w:t xml:space="preserve"> </w:t>
      </w:r>
      <w:r w:rsidRPr="00E27443">
        <w:t>access</w:t>
      </w:r>
      <w:r w:rsidR="00C63F8F" w:rsidRPr="00E27443">
        <w:t xml:space="preserve"> </w:t>
      </w:r>
      <w:r w:rsidRPr="00E27443">
        <w:t>to</w:t>
      </w:r>
      <w:r w:rsidR="00C63F8F" w:rsidRPr="00E27443">
        <w:t xml:space="preserve"> </w:t>
      </w:r>
      <w:r w:rsidRPr="00E27443">
        <w:t>public</w:t>
      </w:r>
      <w:r w:rsidR="00C63F8F" w:rsidRPr="00E27443">
        <w:t xml:space="preserve"> </w:t>
      </w:r>
      <w:r w:rsidRPr="00E27443">
        <w:t>documents,</w:t>
      </w:r>
      <w:r w:rsidR="00C63F8F" w:rsidRPr="00E27443">
        <w:t xml:space="preserve"> </w:t>
      </w:r>
      <w:r w:rsidRPr="00E27443">
        <w:t>decisions</w:t>
      </w:r>
      <w:r w:rsidR="00C63F8F" w:rsidRPr="00E27443">
        <w:t xml:space="preserve"> </w:t>
      </w:r>
      <w:r w:rsidRPr="00E27443">
        <w:t>regarding</w:t>
      </w:r>
      <w:r w:rsidR="00C63F8F" w:rsidRPr="00E27443">
        <w:t xml:space="preserve"> </w:t>
      </w:r>
      <w:r w:rsidRPr="00E27443">
        <w:t>source</w:t>
      </w:r>
      <w:r w:rsidR="00C63F8F" w:rsidRPr="00E27443">
        <w:t xml:space="preserve"> </w:t>
      </w:r>
      <w:r w:rsidRPr="00E27443">
        <w:t>protection,</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forward</w:t>
      </w:r>
      <w:r w:rsidR="00C63F8F" w:rsidRPr="00E27443">
        <w:t xml:space="preserve"> </w:t>
      </w:r>
      <w:r w:rsidRPr="00E27443">
        <w:t>and</w:t>
      </w:r>
      <w:r w:rsidR="00C63F8F" w:rsidRPr="00E27443">
        <w:t xml:space="preserve"> </w:t>
      </w:r>
      <w:r w:rsidRPr="00E27443">
        <w:t>publish</w:t>
      </w:r>
      <w:r w:rsidR="00C63F8F" w:rsidRPr="00E27443">
        <w:t xml:space="preserve"> </w:t>
      </w:r>
      <w:r w:rsidRPr="00E27443">
        <w:t>information,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public</w:t>
      </w:r>
      <w:r w:rsidR="00C63F8F" w:rsidRPr="00E27443">
        <w:t xml:space="preserve"> </w:t>
      </w:r>
      <w:r w:rsidRPr="00E27443">
        <w:t>access</w:t>
      </w:r>
      <w:r w:rsidR="00C63F8F" w:rsidRPr="00E27443">
        <w:t xml:space="preserve"> </w:t>
      </w:r>
      <w:r w:rsidRPr="00E27443">
        <w:t>to</w:t>
      </w:r>
      <w:r w:rsidR="00C63F8F" w:rsidRPr="00E27443">
        <w:t xml:space="preserve"> </w:t>
      </w:r>
      <w:r w:rsidRPr="00E27443">
        <w:t>court</w:t>
      </w:r>
      <w:r w:rsidR="00C63F8F" w:rsidRPr="00E27443">
        <w:t xml:space="preserve"> </w:t>
      </w:r>
      <w:r w:rsidRPr="00E27443">
        <w:t>proceedings</w:t>
      </w:r>
      <w:r w:rsidR="00C63F8F" w:rsidRPr="00E27443">
        <w:t xml:space="preserve"> </w:t>
      </w:r>
      <w:r w:rsidRPr="00E27443">
        <w:t>and</w:t>
      </w:r>
      <w:r w:rsidR="00C63F8F" w:rsidRPr="00E27443">
        <w:t xml:space="preserve"> </w:t>
      </w:r>
      <w:r w:rsidRPr="00E27443">
        <w:t>to</w:t>
      </w:r>
      <w:r w:rsidR="00C63F8F" w:rsidRPr="00E27443">
        <w:t xml:space="preserve"> </w:t>
      </w:r>
      <w:r w:rsidRPr="00E27443">
        <w:t>the</w:t>
      </w:r>
      <w:r w:rsidR="00C63F8F" w:rsidRPr="00E27443">
        <w:t xml:space="preserve"> </w:t>
      </w:r>
      <w:r w:rsidRPr="00E27443">
        <w:t>meetings</w:t>
      </w:r>
      <w:r w:rsidR="00C63F8F" w:rsidRPr="00E27443">
        <w:t xml:space="preserve"> </w:t>
      </w:r>
      <w:r w:rsidRPr="00E27443">
        <w:t>of</w:t>
      </w:r>
      <w:r w:rsidR="00C63F8F" w:rsidRPr="00E27443">
        <w:t xml:space="preserve"> </w:t>
      </w:r>
      <w:r w:rsidRPr="00E27443">
        <w:t>decision-making</w:t>
      </w:r>
      <w:r w:rsidR="00C63F8F" w:rsidRPr="00E27443">
        <w:t xml:space="preserve"> </w:t>
      </w:r>
      <w:r w:rsidRPr="00E27443">
        <w:t>assemblies.</w:t>
      </w:r>
    </w:p>
    <w:p w:rsidR="00321ADA" w:rsidRPr="00E27443" w:rsidRDefault="00321ADA" w:rsidP="00E03D51">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implemented</w:t>
      </w:r>
      <w:r w:rsidR="00C63F8F" w:rsidRPr="00E27443">
        <w:t xml:space="preserve"> </w:t>
      </w:r>
      <w:r w:rsidRPr="00E27443">
        <w:t>various</w:t>
      </w:r>
      <w:r w:rsidR="00C63F8F" w:rsidRPr="00E27443">
        <w:t xml:space="preserve"> </w:t>
      </w:r>
      <w:r w:rsidRPr="00E27443">
        <w:t>measures</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03D51">
        <w:t>information</w:t>
      </w:r>
      <w:r w:rsidR="00C63F8F" w:rsidRPr="00E27443">
        <w:t xml:space="preserve"> </w:t>
      </w:r>
      <w:r w:rsidRPr="00E27443">
        <w:t>that</w:t>
      </w:r>
      <w:r w:rsidR="00C63F8F" w:rsidRPr="00E27443">
        <w:t xml:space="preserve"> </w:t>
      </w:r>
      <w:r w:rsidRPr="00E27443">
        <w:t>is</w:t>
      </w:r>
      <w:r w:rsidR="00C63F8F" w:rsidRPr="00E27443">
        <w:t xml:space="preserve"> </w:t>
      </w:r>
      <w:r w:rsidRPr="00E27443">
        <w:t>offered</w:t>
      </w:r>
      <w:r w:rsidR="00C63F8F" w:rsidRPr="00E27443">
        <w:t xml:space="preserve"> </w:t>
      </w:r>
      <w:r w:rsidRPr="00E27443">
        <w:t>to</w:t>
      </w:r>
      <w:r w:rsidR="00C63F8F" w:rsidRPr="00E27443">
        <w:t xml:space="preserve"> </w:t>
      </w:r>
      <w:r w:rsidRPr="00E27443">
        <w:t>the</w:t>
      </w:r>
      <w:r w:rsidR="00C63F8F" w:rsidRPr="00E27443">
        <w:t xml:space="preserve"> </w:t>
      </w:r>
      <w:r w:rsidRPr="00E27443">
        <w:t>general</w:t>
      </w:r>
      <w:r w:rsidR="00C63F8F" w:rsidRPr="00E27443">
        <w:t xml:space="preserve"> </w:t>
      </w:r>
      <w:r w:rsidRPr="00E27443">
        <w:t>public</w:t>
      </w:r>
      <w:r w:rsidR="00C63F8F" w:rsidRPr="00E27443">
        <w:t xml:space="preserve"> </w:t>
      </w:r>
      <w:r w:rsidRPr="00E27443">
        <w:t>should</w:t>
      </w:r>
      <w:r w:rsidR="00C63F8F" w:rsidRPr="00E27443">
        <w:t xml:space="preserve"> </w:t>
      </w:r>
      <w:r w:rsidRPr="00E27443">
        <w:t>also</w:t>
      </w:r>
      <w:r w:rsidR="00C63F8F" w:rsidRPr="00E27443">
        <w:t xml:space="preserve"> </w:t>
      </w:r>
      <w:r w:rsidRPr="00E27443">
        <w:t>be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For</w:t>
      </w:r>
      <w:r w:rsidR="00C63F8F" w:rsidRPr="00E27443">
        <w:t xml:space="preserve"> </w:t>
      </w:r>
      <w:r w:rsidRPr="00E27443">
        <w:t>example,</w:t>
      </w:r>
      <w:r w:rsidR="00C63F8F" w:rsidRPr="00E27443">
        <w:t xml:space="preserve"> </w:t>
      </w:r>
      <w:r w:rsidRPr="00E27443">
        <w:t>guidelines</w:t>
      </w:r>
      <w:r w:rsidR="00C63F8F" w:rsidRPr="00E27443">
        <w:t xml:space="preserve"> </w:t>
      </w:r>
      <w:r w:rsidRPr="00E27443">
        <w:t>have</w:t>
      </w:r>
      <w:r w:rsidR="00C63F8F" w:rsidRPr="00E27443">
        <w:t xml:space="preserve"> </w:t>
      </w:r>
      <w:r w:rsidRPr="00E27443">
        <w:t>been</w:t>
      </w:r>
      <w:r w:rsidR="00C63F8F" w:rsidRPr="00E27443">
        <w:t xml:space="preserve"> </w:t>
      </w:r>
      <w:r w:rsidRPr="00E27443">
        <w:t>drawn</w:t>
      </w:r>
      <w:r w:rsidR="00C63F8F" w:rsidRPr="00E27443">
        <w:t xml:space="preserve"> </w:t>
      </w:r>
      <w:r w:rsidRPr="00E27443">
        <w:t>up</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Ordinance</w:t>
      </w:r>
      <w:r w:rsidR="00C63F8F" w:rsidRPr="00E27443">
        <w:t xml:space="preserve"> </w:t>
      </w:r>
      <w:r w:rsidRPr="00E27443">
        <w:t>on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authorities</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policies.</w:t>
      </w:r>
      <w:r w:rsidR="00C63F8F" w:rsidRPr="00E27443">
        <w:t xml:space="preserve"> </w:t>
      </w:r>
      <w:r w:rsidRPr="00E27443">
        <w:t>These</w:t>
      </w:r>
      <w:r w:rsidR="00C63F8F" w:rsidRPr="00E27443">
        <w:t xml:space="preserve"> </w:t>
      </w:r>
      <w:r w:rsidRPr="00E27443">
        <w:t>guidelines</w:t>
      </w:r>
      <w:r w:rsidR="00C63F8F" w:rsidRPr="00E27443">
        <w:t xml:space="preserve"> </w:t>
      </w:r>
      <w:r w:rsidRPr="00E27443">
        <w:t>describe</w:t>
      </w:r>
      <w:r w:rsidR="00C63F8F" w:rsidRPr="00E27443">
        <w:t xml:space="preserve"> </w:t>
      </w:r>
      <w:r w:rsidRPr="00E27443">
        <w:t>the</w:t>
      </w:r>
      <w:r w:rsidR="00C63F8F" w:rsidRPr="00E27443">
        <w:t xml:space="preserve"> </w:t>
      </w:r>
      <w:r w:rsidRPr="00E27443">
        <w:t>demands</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that</w:t>
      </w:r>
      <w:r w:rsidR="00C63F8F" w:rsidRPr="00E27443">
        <w:t xml:space="preserve"> </w:t>
      </w:r>
      <w:r w:rsidRPr="00E27443">
        <w:t>are</w:t>
      </w:r>
      <w:r w:rsidR="00C63F8F" w:rsidRPr="00E27443">
        <w:t xml:space="preserve"> </w:t>
      </w:r>
      <w:r w:rsidRPr="00E27443">
        <w:t>stipulated</w:t>
      </w:r>
      <w:r w:rsidR="00C63F8F" w:rsidRPr="00E27443">
        <w:t xml:space="preserve"> </w:t>
      </w:r>
      <w:r w:rsidRPr="00E27443">
        <w:t>within</w:t>
      </w:r>
      <w:r w:rsidR="00C63F8F" w:rsidRPr="00E27443">
        <w:t xml:space="preserve"> </w:t>
      </w:r>
      <w:r w:rsidRPr="00E27443">
        <w:t>six</w:t>
      </w:r>
      <w:r w:rsidR="00C63F8F" w:rsidRPr="00E27443">
        <w:t xml:space="preserve"> </w:t>
      </w:r>
      <w:r w:rsidRPr="00E27443">
        <w:t>areas</w:t>
      </w:r>
      <w:r w:rsidR="00C63F8F" w:rsidRPr="00E27443">
        <w:t xml:space="preserve"> — </w:t>
      </w:r>
      <w:r w:rsidRPr="00E27443">
        <w:t>written</w:t>
      </w:r>
      <w:r w:rsidR="00C63F8F" w:rsidRPr="00E27443">
        <w:t xml:space="preserve"> </w:t>
      </w:r>
      <w:r w:rsidRPr="00E27443">
        <w:t>information,</w:t>
      </w:r>
      <w:r w:rsidR="00C63F8F" w:rsidRPr="00E27443">
        <w:t xml:space="preserve"> </w:t>
      </w:r>
      <w:r w:rsidRPr="00E27443">
        <w:t>websites</w:t>
      </w:r>
      <w:r w:rsidR="00C63F8F" w:rsidRPr="00E27443">
        <w:t xml:space="preserve"> </w:t>
      </w:r>
      <w:r w:rsidRPr="00E27443">
        <w:t>and</w:t>
      </w:r>
      <w:r w:rsidR="00C63F8F" w:rsidRPr="00E27443">
        <w:t xml:space="preserve"> </w:t>
      </w:r>
      <w:r w:rsidRPr="00E27443">
        <w:t>e-services,</w:t>
      </w:r>
      <w:r w:rsidR="00C63F8F" w:rsidRPr="00E27443">
        <w:t xml:space="preserve"> </w:t>
      </w:r>
      <w:r w:rsidRPr="00E27443">
        <w:t>film</w:t>
      </w:r>
      <w:r w:rsidR="00C63F8F" w:rsidRPr="00E27443">
        <w:t xml:space="preserve"> </w:t>
      </w:r>
      <w:r w:rsidRPr="00E27443">
        <w:t>and</w:t>
      </w:r>
      <w:r w:rsidR="00C63F8F" w:rsidRPr="00E27443">
        <w:t xml:space="preserve"> </w:t>
      </w:r>
      <w:r w:rsidRPr="00E27443">
        <w:t>TV/video,</w:t>
      </w:r>
      <w:r w:rsidR="00C63F8F" w:rsidRPr="00E27443">
        <w:t xml:space="preserve"> </w:t>
      </w:r>
      <w:r w:rsidRPr="00E27443">
        <w:t>telephone</w:t>
      </w:r>
      <w:r w:rsidR="00C63F8F" w:rsidRPr="00E27443">
        <w:t xml:space="preserve"> </w:t>
      </w:r>
      <w:r w:rsidRPr="00E27443">
        <w:t>calls,</w:t>
      </w:r>
      <w:r w:rsidR="00C63F8F" w:rsidRPr="00E27443">
        <w:t xml:space="preserve"> </w:t>
      </w:r>
      <w:r w:rsidRPr="00E27443">
        <w:t>correspondence</w:t>
      </w:r>
      <w:r w:rsidR="00C63F8F" w:rsidRPr="00E27443">
        <w:t xml:space="preserve"> </w:t>
      </w:r>
      <w:r w:rsidRPr="00E27443">
        <w:t>and</w:t>
      </w:r>
      <w:r w:rsidR="00C63F8F" w:rsidRPr="00E27443">
        <w:t xml:space="preserve"> </w:t>
      </w:r>
      <w:r w:rsidRPr="00E27443">
        <w:t>communications,</w:t>
      </w:r>
      <w:r w:rsidR="00C63F8F" w:rsidRPr="00E27443">
        <w:t xml:space="preserve"> </w:t>
      </w:r>
      <w:r w:rsidRPr="00E27443">
        <w:t>and</w:t>
      </w:r>
      <w:r w:rsidR="00C63F8F" w:rsidRPr="00E27443">
        <w:t xml:space="preserve"> </w:t>
      </w:r>
      <w:r w:rsidRPr="00E27443">
        <w:t>meetings</w:t>
      </w:r>
      <w:r w:rsidR="00C63F8F" w:rsidRPr="00E27443">
        <w:t xml:space="preserve"> </w:t>
      </w:r>
      <w:r w:rsidRPr="00E27443">
        <w:t>and</w:t>
      </w:r>
      <w:r w:rsidR="00C63F8F" w:rsidRPr="00E27443">
        <w:t xml:space="preserve"> </w:t>
      </w:r>
      <w:r w:rsidRPr="00E27443">
        <w:t>conferences</w:t>
      </w:r>
      <w:r w:rsidR="00C63F8F" w:rsidRPr="00E27443">
        <w:t xml:space="preserve"> —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everyone</w:t>
      </w:r>
      <w:r w:rsidR="00C63F8F" w:rsidRPr="00E27443">
        <w:t xml:space="preserve"> </w:t>
      </w:r>
      <w:r w:rsidRPr="00E27443">
        <w:t>has</w:t>
      </w:r>
      <w:r w:rsidR="00C63F8F" w:rsidRPr="00E27443">
        <w:t xml:space="preserve"> </w:t>
      </w:r>
      <w:r w:rsidRPr="00E27443">
        <w:t>access</w:t>
      </w:r>
      <w:r w:rsidR="00C63F8F" w:rsidRPr="00E27443">
        <w:t xml:space="preserve"> </w:t>
      </w:r>
      <w:r w:rsidRPr="00E27443">
        <w:t>to</w:t>
      </w:r>
      <w:r w:rsidR="00C63F8F" w:rsidRPr="00E27443">
        <w:t xml:space="preserve"> </w:t>
      </w:r>
      <w:r w:rsidRPr="00E27443">
        <w:t>the</w:t>
      </w:r>
      <w:r w:rsidR="00C63F8F" w:rsidRPr="00E27443">
        <w:t xml:space="preserve"> </w:t>
      </w:r>
      <w:r w:rsidRPr="00E27443">
        <w:t>information.</w:t>
      </w:r>
    </w:p>
    <w:p w:rsidR="00321ADA" w:rsidRPr="00E27443" w:rsidRDefault="00321ADA" w:rsidP="00551C01">
      <w:pPr>
        <w:pStyle w:val="SingleTxtG"/>
        <w:numPr>
          <w:ilvl w:val="0"/>
          <w:numId w:val="20"/>
        </w:numPr>
        <w:tabs>
          <w:tab w:val="left" w:pos="1843"/>
        </w:tabs>
        <w:ind w:left="1134" w:firstLine="0"/>
      </w:pPr>
      <w:r w:rsidRPr="00E27443">
        <w:t>For</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years,</w:t>
      </w:r>
      <w:r w:rsidR="00C63F8F" w:rsidRPr="00E27443">
        <w:t xml:space="preserve"> </w:t>
      </w:r>
      <w:r w:rsidRPr="00E27443">
        <w:t>the</w:t>
      </w:r>
      <w:r w:rsidR="00C63F8F" w:rsidRPr="00E27443">
        <w:t xml:space="preserve"> </w:t>
      </w:r>
      <w:r w:rsidRPr="00E27443">
        <w:t>Swedish</w:t>
      </w:r>
      <w:r w:rsidR="00C63F8F" w:rsidRPr="00E27443">
        <w:t xml:space="preserve"> </w:t>
      </w:r>
      <w:r w:rsidRPr="00E27443">
        <w:t>Copyright</w:t>
      </w:r>
      <w:r w:rsidR="00C63F8F" w:rsidRPr="00E27443">
        <w:t xml:space="preserve"> </w:t>
      </w:r>
      <w:r w:rsidRPr="00E27443">
        <w:t>Act</w:t>
      </w:r>
      <w:r w:rsidR="00AC0808" w:rsidRPr="00551C01">
        <w:footnoteReference w:id="90"/>
      </w:r>
      <w:r w:rsidR="00C63F8F" w:rsidRPr="00E27443">
        <w:t xml:space="preserve"> </w:t>
      </w:r>
      <w:r w:rsidRPr="00E27443">
        <w:t>has</w:t>
      </w:r>
      <w:r w:rsidR="00C63F8F" w:rsidRPr="00E27443">
        <w:t xml:space="preserve"> </w:t>
      </w:r>
      <w:r w:rsidRPr="00E27443">
        <w:t>included</w:t>
      </w:r>
      <w:r w:rsidR="00C63F8F" w:rsidRPr="00E27443">
        <w:t xml:space="preserve"> </w:t>
      </w:r>
      <w:r w:rsidRPr="00E27443">
        <w:t>technology-neutral</w:t>
      </w:r>
      <w:r w:rsidR="00C63F8F" w:rsidRPr="00E27443">
        <w:t xml:space="preserve"> </w:t>
      </w:r>
      <w:r w:rsidRPr="00E27443">
        <w:t>provisions</w:t>
      </w:r>
      <w:r w:rsidR="00C63F8F" w:rsidRPr="00E27443">
        <w:t xml:space="preserve"> </w:t>
      </w:r>
      <w:r w:rsidRPr="00E27443">
        <w:t>which</w:t>
      </w:r>
      <w:r w:rsidR="00C63F8F" w:rsidRPr="00E27443">
        <w:t xml:space="preserve"> </w:t>
      </w:r>
      <w:r w:rsidRPr="00E27443">
        <w:t>guarantee</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have</w:t>
      </w:r>
      <w:r w:rsidR="00C63F8F" w:rsidRPr="00E27443">
        <w:t xml:space="preserve"> </w:t>
      </w:r>
      <w:r w:rsidRPr="00E27443">
        <w:t>access</w:t>
      </w:r>
      <w:r w:rsidR="00C63F8F" w:rsidRPr="00E27443">
        <w:t xml:space="preserve"> </w:t>
      </w:r>
      <w:r w:rsidRPr="00E27443">
        <w:t>to</w:t>
      </w:r>
      <w:r w:rsidR="00C63F8F" w:rsidRPr="00E27443">
        <w:t xml:space="preserve"> </w:t>
      </w:r>
      <w:r w:rsidRPr="00E27443">
        <w:t>copyright-protected</w:t>
      </w:r>
      <w:r w:rsidR="00C63F8F" w:rsidRPr="00E27443">
        <w:t xml:space="preserve"> </w:t>
      </w:r>
      <w:r w:rsidRPr="00E27443">
        <w:t>works.</w:t>
      </w:r>
      <w:r w:rsidR="00C63F8F" w:rsidRPr="00E27443">
        <w:t xml:space="preserve"> </w:t>
      </w:r>
      <w:r w:rsidRPr="00E27443">
        <w:t>These</w:t>
      </w:r>
      <w:r w:rsidR="00C63F8F" w:rsidRPr="00E27443">
        <w:t xml:space="preserve"> </w:t>
      </w:r>
      <w:r w:rsidRPr="00E27443">
        <w:t>provisions</w:t>
      </w:r>
      <w:r w:rsidR="00C63F8F" w:rsidRPr="00E27443">
        <w:t xml:space="preserve"> </w:t>
      </w:r>
      <w:r w:rsidRPr="00E27443">
        <w:t>entail</w:t>
      </w:r>
      <w:r w:rsidR="00C63F8F" w:rsidRPr="00E27443">
        <w:t xml:space="preserve"> </w:t>
      </w:r>
      <w:r w:rsidRPr="00E27443">
        <w:t>for</w:t>
      </w:r>
      <w:r w:rsidR="00C63F8F" w:rsidRPr="00E27443">
        <w:t xml:space="preserve"> </w:t>
      </w:r>
      <w:r w:rsidRPr="00E27443">
        <w:t>example</w:t>
      </w:r>
      <w:r w:rsidR="00C63F8F" w:rsidRPr="00E27443">
        <w:t xml:space="preserve"> </w:t>
      </w:r>
      <w:r w:rsidRPr="00E27443">
        <w:t>that</w:t>
      </w:r>
      <w:r w:rsidR="00C63F8F" w:rsidRPr="00E27443">
        <w:t xml:space="preserve"> </w:t>
      </w:r>
      <w:r w:rsidRPr="00E27443">
        <w:t>everyone</w:t>
      </w:r>
      <w:r w:rsidR="00C63F8F" w:rsidRPr="00E27443">
        <w:t xml:space="preserve"> </w:t>
      </w:r>
      <w:r w:rsidRPr="00E27443">
        <w:t>may</w:t>
      </w:r>
      <w:r w:rsidR="00C63F8F" w:rsidRPr="00E27443">
        <w:t xml:space="preserve"> </w:t>
      </w:r>
      <w:r w:rsidRPr="00E27443">
        <w:t>produce</w:t>
      </w:r>
      <w:r w:rsidR="00C63F8F" w:rsidRPr="00E27443">
        <w:t xml:space="preserve"> </w:t>
      </w:r>
      <w:r w:rsidRPr="00E27443">
        <w:t>copies</w:t>
      </w:r>
      <w:r w:rsidR="00C63F8F" w:rsidRPr="00E27443">
        <w:t xml:space="preserve"> </w:t>
      </w:r>
      <w:r w:rsidRPr="00E27443">
        <w:t>of</w:t>
      </w:r>
      <w:r w:rsidR="00C63F8F" w:rsidRPr="00E27443">
        <w:t xml:space="preserve"> </w:t>
      </w:r>
      <w:r w:rsidRPr="00E27443">
        <w:t>copyright-protected</w:t>
      </w:r>
      <w:r w:rsidR="00C63F8F" w:rsidRPr="00E27443">
        <w:t xml:space="preserve"> </w:t>
      </w:r>
      <w:r w:rsidRPr="00E27443">
        <w:t>works</w:t>
      </w:r>
      <w:r w:rsidR="00C63F8F" w:rsidRPr="00E27443">
        <w:t xml:space="preserve"> </w:t>
      </w:r>
      <w:r w:rsidRPr="00E27443">
        <w:t>in</w:t>
      </w:r>
      <w:r w:rsidR="00C63F8F" w:rsidRPr="00E27443">
        <w:t xml:space="preserve"> </w:t>
      </w:r>
      <w:r w:rsidRPr="00E27443">
        <w:t>braille,</w:t>
      </w:r>
      <w:r w:rsidR="00C63F8F" w:rsidRPr="00E27443">
        <w:t xml:space="preserve"> </w:t>
      </w:r>
      <w:r w:rsidRPr="00E27443">
        <w:t>but</w:t>
      </w:r>
      <w:r w:rsidR="00C63F8F" w:rsidRPr="00E27443">
        <w:t xml:space="preserve"> </w:t>
      </w:r>
      <w:r w:rsidRPr="00E27443">
        <w:t>that</w:t>
      </w:r>
      <w:r w:rsidR="00C63F8F" w:rsidRPr="00E27443">
        <w:t xml:space="preserve"> </w:t>
      </w:r>
      <w:r w:rsidRPr="00E27443">
        <w:t>digital</w:t>
      </w:r>
      <w:r w:rsidR="00C63F8F" w:rsidRPr="00E27443">
        <w:t xml:space="preserve"> </w:t>
      </w:r>
      <w:r w:rsidRPr="00E27443">
        <w:t>technology</w:t>
      </w:r>
      <w:r w:rsidR="00C63F8F" w:rsidRPr="00E27443">
        <w:t xml:space="preserve"> </w:t>
      </w:r>
      <w:r w:rsidRPr="00E27443">
        <w:t>may</w:t>
      </w:r>
      <w:r w:rsidR="00C63F8F" w:rsidRPr="00E27443">
        <w:t xml:space="preserve"> </w:t>
      </w:r>
      <w:r w:rsidRPr="00E27443">
        <w:t>also</w:t>
      </w:r>
      <w:r w:rsidR="00C63F8F" w:rsidRPr="00E27443">
        <w:t xml:space="preserve"> </w:t>
      </w:r>
      <w:r w:rsidRPr="00E27443">
        <w:t>be</w:t>
      </w:r>
      <w:r w:rsidR="00C63F8F" w:rsidRPr="00E27443">
        <w:t xml:space="preserve"> </w:t>
      </w:r>
      <w:r w:rsidRPr="00E27443">
        <w:t>used.</w:t>
      </w:r>
      <w:r w:rsidR="00C63F8F" w:rsidRPr="00E27443">
        <w:t xml:space="preserve"> </w:t>
      </w:r>
      <w:r w:rsidRPr="00E27443">
        <w:t>The</w:t>
      </w:r>
      <w:r w:rsidR="00C63F8F" w:rsidRPr="00E27443">
        <w:t xml:space="preserve"> </w:t>
      </w:r>
      <w:r w:rsidRPr="00E27443">
        <w:t>production</w:t>
      </w:r>
      <w:r w:rsidR="00C63F8F" w:rsidRPr="00E27443">
        <w:t xml:space="preserve"> </w:t>
      </w:r>
      <w:r w:rsidRPr="00E27443">
        <w:t>of</w:t>
      </w:r>
      <w:r w:rsidR="00C63F8F" w:rsidRPr="00E27443">
        <w:t xml:space="preserve"> </w:t>
      </w:r>
      <w:r w:rsidRPr="00E27443">
        <w:t>sound</w:t>
      </w:r>
      <w:r w:rsidR="00C63F8F" w:rsidRPr="00E27443">
        <w:t xml:space="preserve"> </w:t>
      </w:r>
      <w:r w:rsidRPr="00E27443">
        <w:t>recordings,</w:t>
      </w:r>
      <w:r w:rsidR="00C63F8F" w:rsidRPr="00E27443">
        <w:t xml:space="preserve"> </w:t>
      </w:r>
      <w:r w:rsidRPr="00E27443">
        <w:t>i.e.</w:t>
      </w:r>
      <w:r w:rsidR="00C63F8F" w:rsidRPr="00E27443">
        <w:t xml:space="preserve"> </w:t>
      </w:r>
      <w:r w:rsidRPr="00E27443">
        <w:t>talking</w:t>
      </w:r>
      <w:r w:rsidR="00C63F8F" w:rsidRPr="00E27443">
        <w:t xml:space="preserve"> </w:t>
      </w:r>
      <w:r w:rsidRPr="00E27443">
        <w:t>books,</w:t>
      </w:r>
      <w:r w:rsidR="00C63F8F" w:rsidRPr="00E27443">
        <w:t xml:space="preserve"> </w:t>
      </w:r>
      <w:r w:rsidRPr="00E27443">
        <w:t>requires</w:t>
      </w:r>
      <w:r w:rsidR="00C63F8F" w:rsidRPr="00E27443">
        <w:t xml:space="preserve"> </w:t>
      </w:r>
      <w:r w:rsidRPr="00E27443">
        <w:t>a</w:t>
      </w:r>
      <w:r w:rsidR="00C63F8F" w:rsidRPr="00E27443">
        <w:t xml:space="preserve"> </w:t>
      </w:r>
      <w:r w:rsidRPr="00E27443">
        <w:t>separate</w:t>
      </w:r>
      <w:r w:rsidR="00C63F8F" w:rsidRPr="00E27443">
        <w:t xml:space="preserve"> </w:t>
      </w:r>
      <w:r w:rsidRPr="00E27443">
        <w:t>decision</w:t>
      </w:r>
      <w:r w:rsidR="00C63F8F" w:rsidRPr="00E27443">
        <w:t xml:space="preserve"> </w:t>
      </w:r>
      <w:r w:rsidRPr="00E27443">
        <w:t>from</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however.</w:t>
      </w:r>
      <w:r w:rsidR="00C63F8F" w:rsidRPr="00E27443">
        <w:t xml:space="preserve"> </w:t>
      </w:r>
      <w:r w:rsidRPr="00E27443">
        <w:t>Since</w:t>
      </w:r>
      <w:r w:rsidR="00C63F8F" w:rsidRPr="00E27443">
        <w:t xml:space="preserve"> </w:t>
      </w:r>
      <w:r w:rsidRPr="00E27443">
        <w:t>1</w:t>
      </w:r>
      <w:r w:rsidR="00C63F8F" w:rsidRPr="00E27443">
        <w:t xml:space="preserve"> </w:t>
      </w:r>
      <w:r w:rsidRPr="00E27443">
        <w:t>July</w:t>
      </w:r>
      <w:r w:rsidR="00C63F8F" w:rsidRPr="00E27443">
        <w:t xml:space="preserve"> </w:t>
      </w:r>
      <w:r w:rsidRPr="00E27443">
        <w:t>2005,</w:t>
      </w:r>
      <w:r w:rsidR="00C63F8F" w:rsidRPr="00E27443">
        <w:t xml:space="preserve"> </w:t>
      </w:r>
      <w:r w:rsidRPr="00E27443">
        <w:t>when</w:t>
      </w:r>
      <w:r w:rsidR="00C63F8F" w:rsidRPr="00E27443">
        <w:t xml:space="preserve"> </w:t>
      </w:r>
      <w:r w:rsidRPr="00E27443">
        <w:t>the</w:t>
      </w:r>
      <w:r w:rsidR="00C63F8F" w:rsidRPr="00E27443">
        <w:t xml:space="preserve"> </w:t>
      </w:r>
      <w:r w:rsidRPr="00E27443">
        <w:t>new</w:t>
      </w:r>
      <w:r w:rsidR="00C63F8F" w:rsidRPr="00E27443">
        <w:t xml:space="preserve"> </w:t>
      </w:r>
      <w:r w:rsidRPr="00E27443">
        <w:t>provisions</w:t>
      </w:r>
      <w:r w:rsidR="00C63F8F" w:rsidRPr="00E27443">
        <w:t xml:space="preserve"> </w:t>
      </w:r>
      <w:r w:rsidRPr="00E27443">
        <w:t>entered</w:t>
      </w:r>
      <w:r w:rsidR="00C63F8F" w:rsidRPr="00E27443">
        <w:t xml:space="preserve"> </w:t>
      </w:r>
      <w:r w:rsidRPr="00E27443">
        <w:t>into</w:t>
      </w:r>
      <w:r w:rsidR="00C63F8F" w:rsidRPr="00E27443">
        <w:t xml:space="preserve"> </w:t>
      </w:r>
      <w:r w:rsidRPr="00E27443">
        <w:t>force,</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granted</w:t>
      </w:r>
      <w:r w:rsidR="00C63F8F" w:rsidRPr="00E27443">
        <w:t xml:space="preserve"> </w:t>
      </w:r>
      <w:r w:rsidRPr="00E27443">
        <w:t>approximately</w:t>
      </w:r>
      <w:r w:rsidR="00C63F8F" w:rsidRPr="00E27443">
        <w:t xml:space="preserve"> </w:t>
      </w:r>
      <w:r w:rsidRPr="00E27443">
        <w:t>200</w:t>
      </w:r>
      <w:r w:rsidR="00C63F8F" w:rsidRPr="00E27443">
        <w:t xml:space="preserve"> </w:t>
      </w:r>
      <w:r w:rsidRPr="00E27443">
        <w:t>such</w:t>
      </w:r>
      <w:r w:rsidR="00C63F8F" w:rsidRPr="00E27443">
        <w:t xml:space="preserve"> </w:t>
      </w:r>
      <w:r w:rsidRPr="00E27443">
        <w:t>permissions</w:t>
      </w:r>
      <w:r w:rsidR="00C63F8F" w:rsidRPr="00E27443">
        <w:t xml:space="preserve"> </w:t>
      </w:r>
      <w:r w:rsidRPr="00E27443">
        <w:t>annually</w:t>
      </w:r>
      <w:r w:rsidR="00C63F8F" w:rsidRPr="00E27443">
        <w:t xml:space="preserve"> </w:t>
      </w:r>
      <w:r w:rsidRPr="00E27443">
        <w:t>to</w:t>
      </w:r>
      <w:r w:rsidR="00C63F8F" w:rsidRPr="00E27443">
        <w:t xml:space="preserve"> </w:t>
      </w:r>
      <w:r w:rsidRPr="00E27443">
        <w:t>various</w:t>
      </w:r>
      <w:r w:rsidR="00C63F8F" w:rsidRPr="00E27443">
        <w:t xml:space="preserve"> </w:t>
      </w:r>
      <w:r w:rsidRPr="00E27443">
        <w:t>libraries</w:t>
      </w:r>
      <w:r w:rsidR="00C63F8F" w:rsidRPr="00E27443">
        <w:t xml:space="preserve"> </w:t>
      </w:r>
      <w:r w:rsidRPr="00E27443">
        <w:t>and</w:t>
      </w:r>
      <w:r w:rsidR="00C63F8F" w:rsidRPr="00E27443">
        <w:t xml:space="preserve"> </w:t>
      </w:r>
      <w:r w:rsidRPr="00E27443">
        <w:t>organisations.</w:t>
      </w:r>
    </w:p>
    <w:p w:rsidR="00321ADA" w:rsidRPr="00E27443" w:rsidRDefault="00321ADA" w:rsidP="00551C01">
      <w:pPr>
        <w:pStyle w:val="SingleTxtG"/>
        <w:numPr>
          <w:ilvl w:val="0"/>
          <w:numId w:val="20"/>
        </w:numPr>
        <w:tabs>
          <w:tab w:val="left" w:pos="1843"/>
        </w:tabs>
        <w:ind w:left="1134" w:firstLine="0"/>
      </w:pPr>
      <w:r w:rsidRPr="00E27443">
        <w:t>New</w:t>
      </w:r>
      <w:r w:rsidR="00C63F8F" w:rsidRPr="00E27443">
        <w:t xml:space="preserve"> </w:t>
      </w:r>
      <w:r w:rsidRPr="00E27443">
        <w:t>forms</w:t>
      </w:r>
      <w:r w:rsidR="00C63F8F" w:rsidRPr="00E27443">
        <w:t xml:space="preserve"> </w:t>
      </w:r>
      <w:r w:rsidRPr="00E27443">
        <w:t>of</w:t>
      </w:r>
      <w:r w:rsidR="00C63F8F" w:rsidRPr="00E27443">
        <w:t xml:space="preserve"> </w:t>
      </w:r>
      <w:r w:rsidRPr="00E27443">
        <w:t>information</w:t>
      </w:r>
      <w:r w:rsidR="00C63F8F" w:rsidRPr="00E27443">
        <w:t xml:space="preserve"> </w:t>
      </w:r>
      <w:r w:rsidRPr="00E27443">
        <w:t>gathering</w:t>
      </w:r>
      <w:r w:rsidR="00C63F8F" w:rsidRPr="00E27443">
        <w:t xml:space="preserve"> </w:t>
      </w:r>
      <w:r w:rsidRPr="00E27443">
        <w:t>and</w:t>
      </w:r>
      <w:r w:rsidR="00C63F8F" w:rsidRPr="00E27443">
        <w:t xml:space="preserve"> </w:t>
      </w:r>
      <w:r w:rsidRPr="00E27443">
        <w:t>communication</w:t>
      </w:r>
      <w:r w:rsidR="00C63F8F" w:rsidRPr="00E27443">
        <w:t xml:space="preserve"> </w:t>
      </w:r>
      <w:r w:rsidRPr="00E27443">
        <w:t>patterns</w:t>
      </w:r>
      <w:r w:rsidR="00C63F8F" w:rsidRPr="00E27443">
        <w:t xml:space="preserve"> </w:t>
      </w:r>
      <w:r w:rsidRPr="00E27443">
        <w:t>are</w:t>
      </w:r>
      <w:r w:rsidR="00C63F8F" w:rsidRPr="00E27443">
        <w:t xml:space="preserve"> </w:t>
      </w:r>
      <w:r w:rsidRPr="00E27443">
        <w:t>creating</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t>increased</w:t>
      </w:r>
      <w:r w:rsidR="00C63F8F" w:rsidRPr="00E27443">
        <w:t xml:space="preserve"> </w:t>
      </w:r>
      <w:r w:rsidRPr="00E27443">
        <w:t>participation</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but</w:t>
      </w:r>
      <w:r w:rsidR="00C63F8F" w:rsidRPr="00E27443">
        <w:t xml:space="preserve"> </w:t>
      </w:r>
      <w:r w:rsidRPr="00E27443">
        <w:t>also</w:t>
      </w:r>
      <w:r w:rsidR="00C63F8F" w:rsidRPr="00E27443">
        <w:t xml:space="preserve"> </w:t>
      </w:r>
      <w:r w:rsidRPr="00E27443">
        <w:t>risk</w:t>
      </w:r>
      <w:r w:rsidR="00C63F8F" w:rsidRPr="00E27443">
        <w:t xml:space="preserve"> </w:t>
      </w:r>
      <w:r w:rsidRPr="00E27443">
        <w:t>excluding</w:t>
      </w:r>
      <w:r w:rsidR="00C63F8F" w:rsidRPr="00E27443">
        <w:t xml:space="preserve"> </w:t>
      </w:r>
      <w:r w:rsidRPr="00E27443">
        <w:t>certain</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IT</w:t>
      </w:r>
      <w:r w:rsidR="00C63F8F" w:rsidRPr="00E27443">
        <w:t xml:space="preserve"> </w:t>
      </w:r>
      <w:r w:rsidRPr="00E27443">
        <w:t>policy</w:t>
      </w:r>
      <w:r w:rsidR="00C63F8F" w:rsidRPr="00E27443">
        <w:t xml:space="preserve"> </w:t>
      </w:r>
      <w:r w:rsidRPr="00E27443">
        <w:t>bill</w:t>
      </w:r>
      <w:r w:rsidR="00C63F8F" w:rsidRPr="00E27443">
        <w:t xml:space="preserve"> </w:t>
      </w:r>
      <w:r w:rsidRPr="00E27443">
        <w:t>that</w:t>
      </w:r>
      <w:r w:rsidR="00C63F8F" w:rsidRPr="00E27443">
        <w:t xml:space="preserve"> </w:t>
      </w:r>
      <w:r w:rsidRPr="00E27443">
        <w:t>Parliament</w:t>
      </w:r>
      <w:r w:rsidR="00C63F8F" w:rsidRPr="00E27443">
        <w:t xml:space="preserve"> </w:t>
      </w:r>
      <w:r w:rsidRPr="00E27443">
        <w:t>adopted</w:t>
      </w:r>
      <w:r w:rsidR="00C63F8F" w:rsidRPr="00E27443">
        <w:t xml:space="preserve"> </w:t>
      </w:r>
      <w:r w:rsidRPr="00E27443">
        <w:t>in</w:t>
      </w:r>
      <w:r w:rsidR="00C63F8F" w:rsidRPr="00E27443">
        <w:t xml:space="preserve"> </w:t>
      </w:r>
      <w:r w:rsidRPr="00E27443">
        <w:t>January</w:t>
      </w:r>
      <w:r w:rsidR="00C63F8F" w:rsidRPr="00E27443">
        <w:t xml:space="preserve"> </w:t>
      </w:r>
      <w:r w:rsidRPr="00E27443">
        <w:t>2006</w:t>
      </w:r>
      <w:r w:rsidR="00C63F8F" w:rsidRPr="00E27443">
        <w:t xml:space="preserve"> </w:t>
      </w:r>
      <w:r w:rsidRPr="00E27443">
        <w:t>places</w:t>
      </w:r>
      <w:r w:rsidR="00C63F8F" w:rsidRPr="00E27443">
        <w:t xml:space="preserve"> </w:t>
      </w:r>
      <w:r w:rsidRPr="00E27443">
        <w:t>great</w:t>
      </w:r>
      <w:r w:rsidR="00C63F8F" w:rsidRPr="00E27443">
        <w:t xml:space="preserve"> </w:t>
      </w:r>
      <w:r w:rsidRPr="00E27443">
        <w:t>emphasis</w:t>
      </w:r>
      <w:r w:rsidR="00C63F8F" w:rsidRPr="00E27443">
        <w:t xml:space="preserve"> </w:t>
      </w:r>
      <w:r w:rsidRPr="00E27443">
        <w:t>on</w:t>
      </w:r>
      <w:r w:rsidR="00C63F8F" w:rsidRPr="00E27443">
        <w:t xml:space="preserve"> </w:t>
      </w:r>
      <w:r w:rsidRPr="00E27443">
        <w:t>certain</w:t>
      </w:r>
      <w:r w:rsidR="00C63F8F" w:rsidRPr="00E27443">
        <w:t xml:space="preserve"> </w:t>
      </w:r>
      <w:r w:rsidRPr="00E27443">
        <w:t>specific</w:t>
      </w:r>
      <w:r w:rsidR="00C63F8F" w:rsidRPr="00E27443">
        <w:t xml:space="preserve"> </w:t>
      </w:r>
      <w:r w:rsidRPr="00E27443">
        <w:t>measures</w:t>
      </w:r>
      <w:r w:rsidR="00C63F8F" w:rsidRPr="00E27443">
        <w:t xml:space="preserve"> </w:t>
      </w:r>
      <w:r w:rsidRPr="00E27443">
        <w:t>relating</w:t>
      </w:r>
      <w:r w:rsidR="00C63F8F" w:rsidRPr="00E27443">
        <w:t xml:space="preserve"> </w:t>
      </w:r>
      <w:r w:rsidRPr="00E27443">
        <w:t>to</w:t>
      </w:r>
      <w:r w:rsidR="00C63F8F" w:rsidRPr="00E27443">
        <w:t xml:space="preserve"> </w:t>
      </w:r>
      <w:r w:rsidRPr="00E27443">
        <w:t>participation</w:t>
      </w:r>
      <w:r w:rsidR="00C63F8F" w:rsidRPr="00E27443">
        <w:t xml:space="preserve"> </w:t>
      </w:r>
      <w:r w:rsidRPr="00E27443">
        <w:t>in</w:t>
      </w:r>
      <w:r w:rsidR="00C63F8F" w:rsidRPr="00E27443">
        <w:t xml:space="preserve"> </w:t>
      </w:r>
      <w:r w:rsidRPr="00E27443">
        <w:t>the</w:t>
      </w:r>
      <w:r w:rsidR="00C63F8F" w:rsidRPr="00E27443">
        <w:t xml:space="preserve"> </w:t>
      </w:r>
      <w:r w:rsidRPr="00E27443">
        <w:t>information</w:t>
      </w:r>
      <w:r w:rsidR="00C63F8F" w:rsidRPr="00E27443">
        <w:t xml:space="preserve"> </w:t>
      </w:r>
      <w:r w:rsidRPr="00E27443">
        <w:t>society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for</w:t>
      </w:r>
      <w:r w:rsidR="00C63F8F" w:rsidRPr="00E27443">
        <w:t xml:space="preserve"> </w:t>
      </w:r>
      <w:r w:rsidRPr="00E27443">
        <w:t>example</w:t>
      </w:r>
      <w:r w:rsidR="00C63F8F" w:rsidRPr="00E27443">
        <w:t xml:space="preserve"> </w:t>
      </w:r>
      <w:r w:rsidRPr="00E27443">
        <w:t>continued</w:t>
      </w:r>
      <w:r w:rsidR="00C63F8F" w:rsidRPr="00E27443">
        <w:t xml:space="preserve"> </w:t>
      </w:r>
      <w:r w:rsidRPr="00E27443">
        <w:t>trials</w:t>
      </w:r>
      <w:r w:rsidR="00C63F8F" w:rsidRPr="00E27443">
        <w:t xml:space="preserve"> </w:t>
      </w:r>
      <w:r w:rsidRPr="00E27443">
        <w:t>regarding</w:t>
      </w:r>
      <w:r w:rsidR="00C63F8F" w:rsidRPr="00E27443">
        <w:t xml:space="preserve"> </w:t>
      </w:r>
      <w:r w:rsidRPr="00E27443">
        <w:t>sign</w:t>
      </w:r>
      <w:r w:rsidR="00C63F8F" w:rsidRPr="00E27443">
        <w:t xml:space="preserve"> </w:t>
      </w:r>
      <w:r w:rsidRPr="00E27443">
        <w:t>interpreting</w:t>
      </w:r>
      <w:r w:rsidR="00C63F8F" w:rsidRPr="00E27443">
        <w:t xml:space="preserve"> </w:t>
      </w:r>
      <w:r w:rsidRPr="00E27443">
        <w:t>via</w:t>
      </w:r>
      <w:r w:rsidR="00C63F8F" w:rsidRPr="00E27443">
        <w:t xml:space="preserve"> </w:t>
      </w:r>
      <w:r w:rsidRPr="00E27443">
        <w:t>mobile</w:t>
      </w:r>
      <w:r w:rsidR="00C63F8F" w:rsidRPr="00E27443">
        <w:t xml:space="preserve"> </w:t>
      </w:r>
      <w:r w:rsidRPr="00E27443">
        <w:t>phones.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is</w:t>
      </w:r>
      <w:r w:rsidR="00C63F8F" w:rsidRPr="00E27443">
        <w:t xml:space="preserve"> </w:t>
      </w:r>
      <w:r w:rsidRPr="00E27443">
        <w:t>carefully</w:t>
      </w:r>
      <w:r w:rsidR="00C63F8F" w:rsidRPr="00E27443">
        <w:t xml:space="preserve"> </w:t>
      </w:r>
      <w:r w:rsidRPr="00E27443">
        <w:t>monitoring</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e-accessibility,</w:t>
      </w:r>
      <w:r w:rsidR="00C63F8F" w:rsidRPr="00E27443">
        <w:t xml:space="preserve"> </w:t>
      </w:r>
      <w:r w:rsidRPr="00E27443">
        <w:t>and</w:t>
      </w:r>
      <w:r w:rsidR="00C63F8F" w:rsidRPr="00E27443">
        <w:t xml:space="preserve"> </w:t>
      </w:r>
      <w:r w:rsidRPr="00E27443">
        <w:t>is</w:t>
      </w:r>
      <w:r w:rsidR="00C63F8F" w:rsidRPr="00E27443">
        <w:t xml:space="preserve"> </w:t>
      </w:r>
      <w:r w:rsidRPr="00E27443">
        <w:t>currently</w:t>
      </w:r>
      <w:r w:rsidR="00C63F8F" w:rsidRPr="00E27443">
        <w:t xml:space="preserve"> </w:t>
      </w:r>
      <w:r w:rsidRPr="00E27443">
        <w:t>investigating</w:t>
      </w:r>
      <w:r w:rsidR="00C63F8F" w:rsidRPr="00E27443">
        <w:t xml:space="preserve"> </w:t>
      </w:r>
      <w:r w:rsidRPr="00E27443">
        <w:t>a</w:t>
      </w:r>
      <w:r w:rsidR="00C63F8F" w:rsidRPr="00E27443">
        <w:t xml:space="preserve"> </w:t>
      </w:r>
      <w:r w:rsidRPr="00E27443">
        <w:t>future</w:t>
      </w:r>
      <w:r w:rsidR="00C63F8F" w:rsidRPr="00E27443">
        <w:t xml:space="preserve"> </w:t>
      </w:r>
      <w:r w:rsidRPr="00E27443">
        <w:t>structure</w:t>
      </w:r>
      <w:r w:rsidR="00C63F8F" w:rsidRPr="00E27443">
        <w:t xml:space="preserve"> </w:t>
      </w:r>
      <w:r w:rsidRPr="00E27443">
        <w:t>for</w:t>
      </w:r>
      <w:r w:rsidR="00C63F8F" w:rsidRPr="00E27443">
        <w:t xml:space="preserve"> </w:t>
      </w:r>
      <w:r w:rsidRPr="00E27443">
        <w:t>following</w:t>
      </w:r>
      <w:r w:rsidR="00C63F8F" w:rsidRPr="00E27443">
        <w:t xml:space="preserve"> </w:t>
      </w:r>
      <w:r w:rsidRPr="00E27443">
        <w:t>up</w:t>
      </w:r>
      <w:r w:rsidR="00C63F8F" w:rsidRPr="00E27443">
        <w:t xml:space="preserve"> </w:t>
      </w:r>
      <w:r w:rsidRPr="00E27443">
        <w:t>e-accessibility.</w:t>
      </w:r>
      <w:r w:rsidR="00C63F8F" w:rsidRPr="00E27443">
        <w:t xml:space="preserve"> </w:t>
      </w:r>
      <w:r w:rsidRPr="00E27443">
        <w:t>See</w:t>
      </w:r>
      <w:r w:rsidR="00C63F8F" w:rsidRPr="00E27443">
        <w:t xml:space="preserve"> </w:t>
      </w:r>
      <w:r w:rsidRPr="00E27443">
        <w:t>Article</w:t>
      </w:r>
      <w:r w:rsidR="00C63F8F" w:rsidRPr="00E27443">
        <w:t xml:space="preserve"> </w:t>
      </w:r>
      <w:r w:rsidRPr="00E27443">
        <w:t>30.</w:t>
      </w:r>
    </w:p>
    <w:p w:rsidR="00321ADA" w:rsidRPr="00E27443" w:rsidRDefault="00AC0808" w:rsidP="00AC0808">
      <w:pPr>
        <w:pStyle w:val="H1G"/>
      </w:pPr>
      <w:r w:rsidRPr="00E27443">
        <w:tab/>
      </w:r>
      <w:r w:rsidRPr="00E27443">
        <w:tab/>
      </w:r>
      <w:bookmarkStart w:id="22" w:name="_Toc290623306"/>
      <w:r w:rsidR="00321ADA" w:rsidRPr="00E27443">
        <w:t>Article</w:t>
      </w:r>
      <w:r w:rsidR="00C63F8F" w:rsidRPr="00E27443">
        <w:t xml:space="preserve"> </w:t>
      </w:r>
      <w:r w:rsidR="00321ADA" w:rsidRPr="00E27443">
        <w:t>22</w:t>
      </w:r>
      <w:r w:rsidR="00551C01">
        <w:t>:</w:t>
      </w:r>
      <w:r w:rsidR="00C63F8F" w:rsidRPr="00E27443">
        <w:t xml:space="preserve"> </w:t>
      </w:r>
      <w:r w:rsidR="00321ADA" w:rsidRPr="00E27443">
        <w:t>Respect</w:t>
      </w:r>
      <w:r w:rsidR="00C63F8F" w:rsidRPr="00E27443">
        <w:t xml:space="preserve"> </w:t>
      </w:r>
      <w:r w:rsidR="00321ADA" w:rsidRPr="00E27443">
        <w:t>for</w:t>
      </w:r>
      <w:r w:rsidR="00C63F8F" w:rsidRPr="00E27443">
        <w:t xml:space="preserve"> </w:t>
      </w:r>
      <w:r w:rsidR="00321ADA" w:rsidRPr="00E27443">
        <w:t>privacy</w:t>
      </w:r>
      <w:bookmarkEnd w:id="22"/>
    </w:p>
    <w:p w:rsidR="00321ADA" w:rsidRPr="00E27443" w:rsidRDefault="00321ADA" w:rsidP="00551C01">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protects</w:t>
      </w:r>
      <w:r w:rsidR="00C63F8F" w:rsidRPr="00E27443">
        <w:t xml:space="preserve"> </w:t>
      </w:r>
      <w:r w:rsidRPr="00E27443">
        <w:t>citizens</w:t>
      </w:r>
      <w:r w:rsidR="00C63F8F" w:rsidRPr="00E27443">
        <w:t xml:space="preserve">’ </w:t>
      </w:r>
      <w:r w:rsidRPr="00E27443">
        <w:t>fundamental</w:t>
      </w:r>
      <w:r w:rsidR="00C63F8F" w:rsidRPr="00E27443">
        <w:t xml:space="preserve"> </w:t>
      </w:r>
      <w:r w:rsidRPr="00E27443">
        <w:t>freedoms</w:t>
      </w:r>
      <w:r w:rsidR="00C63F8F" w:rsidRPr="00E27443">
        <w:t xml:space="preserve"> </w:t>
      </w:r>
      <w:r w:rsidRPr="00E27443">
        <w:t>and</w:t>
      </w:r>
      <w:r w:rsidR="00C63F8F" w:rsidRPr="00E27443">
        <w:t xml:space="preserve"> </w:t>
      </w:r>
      <w:r w:rsidRPr="00E27443">
        <w:t>rights.</w:t>
      </w:r>
      <w:r w:rsidR="00C63F8F" w:rsidRPr="00E27443">
        <w:t xml:space="preserve"> </w:t>
      </w:r>
      <w:r w:rsidRPr="00E27443">
        <w:t>Some</w:t>
      </w:r>
      <w:r w:rsidR="00C63F8F" w:rsidRPr="00E27443">
        <w:t xml:space="preserve"> </w:t>
      </w:r>
      <w:r w:rsidRPr="00E27443">
        <w:t>of</w:t>
      </w:r>
      <w:r w:rsidR="00C63F8F" w:rsidRPr="00E27443">
        <w:t xml:space="preserve"> </w:t>
      </w:r>
      <w:r w:rsidRPr="00E27443">
        <w:t>these</w:t>
      </w:r>
      <w:r w:rsidR="00C63F8F" w:rsidRPr="00E27443">
        <w:t xml:space="preserve"> </w:t>
      </w:r>
      <w:r w:rsidRPr="00E27443">
        <w:t>freedoms</w:t>
      </w:r>
      <w:r w:rsidR="00C63F8F" w:rsidRPr="00E27443">
        <w:t xml:space="preserve"> </w:t>
      </w:r>
      <w:r w:rsidRPr="00E27443">
        <w:t>and</w:t>
      </w:r>
      <w:r w:rsidR="00C63F8F" w:rsidRPr="00E27443">
        <w:t xml:space="preserve"> </w:t>
      </w:r>
      <w:r w:rsidRPr="00E27443">
        <w:t>rights</w:t>
      </w:r>
      <w:r w:rsidR="00C63F8F" w:rsidRPr="00E27443">
        <w:t xml:space="preserve"> </w:t>
      </w:r>
      <w:r w:rsidRPr="00E27443">
        <w:t>may</w:t>
      </w:r>
      <w:r w:rsidR="00C63F8F" w:rsidRPr="00E27443">
        <w:t xml:space="preserve"> </w:t>
      </w:r>
      <w:r w:rsidRPr="00E27443">
        <w:t>be</w:t>
      </w:r>
      <w:r w:rsidR="00C63F8F" w:rsidRPr="00E27443">
        <w:t xml:space="preserve"> </w:t>
      </w:r>
      <w:r w:rsidRPr="00E27443">
        <w:t>restricted</w:t>
      </w:r>
      <w:r w:rsidR="00C63F8F" w:rsidRPr="00E27443">
        <w:t xml:space="preserve"> </w:t>
      </w:r>
      <w:r w:rsidRPr="00E27443">
        <w:t>to</w:t>
      </w:r>
      <w:r w:rsidR="00C63F8F" w:rsidRPr="00E27443">
        <w:t xml:space="preserve"> </w:t>
      </w:r>
      <w:r w:rsidRPr="00E27443">
        <w:t>some</w:t>
      </w:r>
      <w:r w:rsidR="00C63F8F" w:rsidRPr="00E27443">
        <w:t xml:space="preserve"> </w:t>
      </w:r>
      <w:r w:rsidRPr="00E27443">
        <w:t>extent</w:t>
      </w:r>
      <w:r w:rsidR="00C63F8F" w:rsidRPr="00E27443">
        <w:t xml:space="preserve"> </w:t>
      </w:r>
      <w:r w:rsidRPr="00E27443">
        <w:t>through</w:t>
      </w:r>
      <w:r w:rsidR="00C63F8F" w:rsidRPr="00E27443">
        <w:t xml:space="preserve"> </w:t>
      </w:r>
      <w:r w:rsidRPr="00E27443">
        <w:t>laws.</w:t>
      </w:r>
      <w:r w:rsidR="00C63F8F" w:rsidRPr="00E27443">
        <w:t xml:space="preserve"> </w:t>
      </w:r>
      <w:r w:rsidRPr="00E27443">
        <w:t>Arbitrary</w:t>
      </w:r>
      <w:r w:rsidR="00C63F8F" w:rsidRPr="00E27443">
        <w:t xml:space="preserve"> </w:t>
      </w:r>
      <w:r w:rsidRPr="00E27443">
        <w:t>or</w:t>
      </w:r>
      <w:r w:rsidR="00C63F8F" w:rsidRPr="00E27443">
        <w:t xml:space="preserve"> </w:t>
      </w:r>
      <w:r w:rsidRPr="00E27443">
        <w:t>illegal</w:t>
      </w:r>
      <w:r w:rsidR="00C63F8F" w:rsidRPr="00E27443">
        <w:t xml:space="preserve"> </w:t>
      </w:r>
      <w:r w:rsidRPr="00E27443">
        <w:t>encroachment</w:t>
      </w:r>
      <w:r w:rsidR="00C63F8F" w:rsidRPr="00E27443">
        <w:t xml:space="preserve"> </w:t>
      </w:r>
      <w:r w:rsidRPr="00E27443">
        <w:t>in</w:t>
      </w:r>
      <w:r w:rsidR="00C63F8F" w:rsidRPr="00E27443">
        <w:t xml:space="preserve"> </w:t>
      </w:r>
      <w:r w:rsidRPr="00E27443">
        <w:t>the</w:t>
      </w:r>
      <w:r w:rsidR="00C63F8F" w:rsidRPr="00E27443">
        <w:t xml:space="preserve"> </w:t>
      </w:r>
      <w:r w:rsidRPr="00E27443">
        <w:t>individual</w:t>
      </w:r>
      <w:r w:rsidR="00C63F8F" w:rsidRPr="00E27443">
        <w:t>’</w:t>
      </w:r>
      <w:r w:rsidRPr="00E27443">
        <w:t>s</w:t>
      </w:r>
      <w:r w:rsidR="00C63F8F" w:rsidRPr="00E27443">
        <w:t xml:space="preserve"> </w:t>
      </w:r>
      <w:r w:rsidRPr="00E27443">
        <w:t>private</w:t>
      </w:r>
      <w:r w:rsidR="00C63F8F" w:rsidRPr="00E27443">
        <w:t xml:space="preserve"> </w:t>
      </w:r>
      <w:r w:rsidRPr="00E27443">
        <w:t>life,</w:t>
      </w:r>
      <w:r w:rsidR="00C63F8F" w:rsidRPr="00E27443">
        <w:t xml:space="preserve"> </w:t>
      </w:r>
      <w:r w:rsidRPr="00E27443">
        <w:t>family</w:t>
      </w:r>
      <w:r w:rsidR="00C63F8F" w:rsidRPr="00E27443">
        <w:t xml:space="preserve"> </w:t>
      </w:r>
      <w:r w:rsidRPr="00E27443">
        <w:t>life,</w:t>
      </w:r>
      <w:r w:rsidR="00C63F8F" w:rsidRPr="00E27443">
        <w:t xml:space="preserve"> </w:t>
      </w:r>
      <w:r w:rsidRPr="00E27443">
        <w:t>home,</w:t>
      </w:r>
      <w:r w:rsidR="00C63F8F" w:rsidRPr="00E27443">
        <w:t xml:space="preserve"> </w:t>
      </w:r>
      <w:r w:rsidRPr="00E27443">
        <w:t>etc.,</w:t>
      </w:r>
      <w:r w:rsidR="00C63F8F" w:rsidRPr="00E27443">
        <w:t xml:space="preserve"> </w:t>
      </w:r>
      <w:r w:rsidRPr="00E27443">
        <w:t>which</w:t>
      </w:r>
      <w:r w:rsidR="00C63F8F" w:rsidRPr="00E27443">
        <w:t xml:space="preserve"> </w:t>
      </w:r>
      <w:r w:rsidRPr="00E27443">
        <w:t>this</w:t>
      </w:r>
      <w:r w:rsidR="00C63F8F" w:rsidRPr="00E27443">
        <w:t xml:space="preserve"> </w:t>
      </w:r>
      <w:r w:rsidRPr="00E27443">
        <w:t>Article</w:t>
      </w:r>
      <w:r w:rsidR="00C63F8F" w:rsidRPr="00E27443">
        <w:t xml:space="preserve"> </w:t>
      </w:r>
      <w:r w:rsidRPr="00E27443">
        <w:t>aims</w:t>
      </w:r>
      <w:r w:rsidR="00C63F8F" w:rsidRPr="00E27443">
        <w:t xml:space="preserve"> </w:t>
      </w:r>
      <w:r w:rsidRPr="00E27443">
        <w:t>to</w:t>
      </w:r>
      <w:r w:rsidR="00C63F8F" w:rsidRPr="00E27443">
        <w:t xml:space="preserve"> </w:t>
      </w:r>
      <w:r w:rsidRPr="00E27443">
        <w:t>protect</w:t>
      </w:r>
      <w:r w:rsidR="00C63F8F" w:rsidRPr="00E27443">
        <w:t xml:space="preserve"> </w:t>
      </w:r>
      <w:r w:rsidRPr="00E27443">
        <w:t>citizens</w:t>
      </w:r>
      <w:r w:rsidR="00C63F8F" w:rsidRPr="00E27443">
        <w:t xml:space="preserve"> </w:t>
      </w:r>
      <w:r w:rsidRPr="00E27443">
        <w:t>against,</w:t>
      </w:r>
      <w:r w:rsidR="00C63F8F" w:rsidRPr="00E27443">
        <w:t xml:space="preserve"> </w:t>
      </w:r>
      <w:r w:rsidRPr="00E27443">
        <w:t>may</w:t>
      </w:r>
      <w:r w:rsidR="00C63F8F" w:rsidRPr="00E27443">
        <w:t xml:space="preserve"> </w:t>
      </w:r>
      <w:r w:rsidRPr="00E27443">
        <w:t>therefore</w:t>
      </w:r>
      <w:r w:rsidR="00C63F8F" w:rsidRPr="00E27443">
        <w:t xml:space="preserve"> </w:t>
      </w:r>
      <w:r w:rsidRPr="00E27443">
        <w:t>not</w:t>
      </w:r>
      <w:r w:rsidR="00C63F8F" w:rsidRPr="00E27443">
        <w:t xml:space="preserve"> </w:t>
      </w:r>
      <w:r w:rsidRPr="00E27443">
        <w:t>occur</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This</w:t>
      </w:r>
      <w:r w:rsidR="00C63F8F" w:rsidRPr="00E27443">
        <w:t xml:space="preserve"> </w:t>
      </w:r>
      <w:r w:rsidRPr="00E27443">
        <w:t>legal</w:t>
      </w:r>
      <w:r w:rsidR="00C63F8F" w:rsidRPr="00E27443">
        <w:t xml:space="preserve"> </w:t>
      </w:r>
      <w:r w:rsidRPr="00E27443">
        <w:t>protection</w:t>
      </w:r>
      <w:r w:rsidR="00C63F8F" w:rsidRPr="00E27443">
        <w:t xml:space="preserve"> </w:t>
      </w:r>
      <w:r w:rsidRPr="00E27443">
        <w:t>naturally</w:t>
      </w:r>
      <w:r w:rsidR="00C63F8F" w:rsidRPr="00E27443">
        <w:t xml:space="preserve"> </w:t>
      </w:r>
      <w:r w:rsidRPr="00E27443">
        <w:t>applies</w:t>
      </w:r>
      <w:r w:rsidR="00C63F8F" w:rsidRPr="00E27443">
        <w:t xml:space="preserve"> </w:t>
      </w:r>
      <w:r w:rsidRPr="00E27443">
        <w:t>to</w:t>
      </w:r>
      <w:r w:rsidR="00C63F8F" w:rsidRPr="00E27443">
        <w:t xml:space="preserve"> </w:t>
      </w:r>
      <w:r w:rsidRPr="00E27443">
        <w:t>all</w:t>
      </w:r>
      <w:r w:rsidR="00C63F8F" w:rsidRPr="00E27443">
        <w:t xml:space="preserve"> </w:t>
      </w:r>
      <w:r w:rsidRPr="00E27443">
        <w:t>citizens,</w:t>
      </w:r>
      <w:r w:rsidR="00C63F8F" w:rsidRPr="00E27443">
        <w:t xml:space="preserve"> </w:t>
      </w:r>
      <w:r w:rsidRPr="00E27443">
        <w:t>irrespective</w:t>
      </w:r>
      <w:r w:rsidR="00C63F8F" w:rsidRPr="00E27443">
        <w:t xml:space="preserve"> </w:t>
      </w:r>
      <w:r w:rsidRPr="00E27443">
        <w:t>of</w:t>
      </w:r>
      <w:r w:rsidR="00C63F8F" w:rsidRPr="00E27443">
        <w:t xml:space="preserve"> </w:t>
      </w:r>
      <w:r w:rsidRPr="00E27443">
        <w:t>whether</w:t>
      </w:r>
      <w:r w:rsidR="00C63F8F" w:rsidRPr="00E27443">
        <w:t xml:space="preserve"> </w:t>
      </w:r>
      <w:r w:rsidRPr="00E27443">
        <w:t>they</w:t>
      </w:r>
      <w:r w:rsidR="00C63F8F" w:rsidRPr="00E27443">
        <w:t xml:space="preserve"> </w:t>
      </w:r>
      <w:r w:rsidRPr="00E27443">
        <w:t>have</w:t>
      </w:r>
      <w:r w:rsidR="00C63F8F" w:rsidRPr="00E27443">
        <w:t xml:space="preserve"> </w:t>
      </w:r>
      <w:r w:rsidRPr="00E27443">
        <w:t>some</w:t>
      </w:r>
      <w:r w:rsidR="00C63F8F" w:rsidRPr="00E27443">
        <w:t xml:space="preserve"> </w:t>
      </w:r>
      <w:r w:rsidRPr="00E27443">
        <w:t>kind</w:t>
      </w:r>
      <w:r w:rsidR="00C63F8F" w:rsidRPr="00E27443">
        <w:t xml:space="preserve"> </w:t>
      </w:r>
      <w:r w:rsidRPr="00E27443">
        <w:t>of</w:t>
      </w:r>
      <w:r w:rsidR="00C63F8F" w:rsidRPr="00E27443">
        <w:t xml:space="preserve"> </w:t>
      </w:r>
      <w:r w:rsidRPr="00E27443">
        <w:t>disability</w:t>
      </w:r>
      <w:r w:rsidR="00C63F8F" w:rsidRPr="00E27443">
        <w:t xml:space="preserve"> </w:t>
      </w:r>
      <w:r w:rsidRPr="00E27443">
        <w:t>or</w:t>
      </w:r>
      <w:r w:rsidR="00C63F8F" w:rsidRPr="00E27443">
        <w:t xml:space="preserve"> </w:t>
      </w:r>
      <w:r w:rsidRPr="00E27443">
        <w:t>not.</w:t>
      </w:r>
      <w:r w:rsidR="00C63F8F" w:rsidRPr="00E27443">
        <w:t xml:space="preserve"> </w:t>
      </w:r>
      <w:r w:rsidRPr="00E27443">
        <w:t>The</w:t>
      </w:r>
      <w:r w:rsidR="00C63F8F" w:rsidRPr="00E27443">
        <w:t xml:space="preserve"> </w:t>
      </w:r>
      <w:r w:rsidRPr="00E27443">
        <w:t>Secrecy</w:t>
      </w:r>
      <w:r w:rsidR="00C63F8F" w:rsidRPr="00E27443">
        <w:t xml:space="preserve"> </w:t>
      </w:r>
      <w:r w:rsidRPr="00E27443">
        <w:t>Act</w:t>
      </w:r>
      <w:r w:rsidR="00AC0808" w:rsidRPr="00E27443">
        <w:rPr>
          <w:rStyle w:val="FootnoteReference"/>
        </w:rPr>
        <w:footnoteReference w:id="91"/>
      </w:r>
      <w:r w:rsidR="00C63F8F" w:rsidRPr="00E27443">
        <w:t xml:space="preserve"> </w:t>
      </w:r>
      <w:r w:rsidRPr="00E27443">
        <w:t>entails</w:t>
      </w:r>
      <w:r w:rsidR="00C63F8F" w:rsidRPr="00E27443">
        <w:t xml:space="preserve"> </w:t>
      </w:r>
      <w:r w:rsidRPr="00E27443">
        <w:t>protection</w:t>
      </w:r>
      <w:r w:rsidR="00C63F8F" w:rsidRPr="00E27443">
        <w:t xml:space="preserve"> </w:t>
      </w:r>
      <w:r w:rsidRPr="00E27443">
        <w:t>for</w:t>
      </w:r>
      <w:r w:rsidR="00C63F8F" w:rsidRPr="00E27443">
        <w:t xml:space="preserve"> </w:t>
      </w:r>
      <w:r w:rsidRPr="00E27443">
        <w:t>the</w:t>
      </w:r>
      <w:r w:rsidR="00C63F8F" w:rsidRPr="00E27443">
        <w:t xml:space="preserve"> </w:t>
      </w:r>
      <w:r w:rsidRPr="00E27443">
        <w:t>secrecy</w:t>
      </w:r>
      <w:r w:rsidR="00C63F8F" w:rsidRPr="00E27443">
        <w:t xml:space="preserve"> </w:t>
      </w:r>
      <w:r w:rsidRPr="00E27443">
        <w:t>of</w:t>
      </w:r>
      <w:r w:rsidR="00C63F8F" w:rsidRPr="00E27443">
        <w:t xml:space="preserve"> </w:t>
      </w:r>
      <w:r w:rsidRPr="00E27443">
        <w:t>personal</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details</w:t>
      </w:r>
      <w:r w:rsidR="00C63F8F" w:rsidRPr="00E27443">
        <w:t xml:space="preserve"> </w:t>
      </w:r>
      <w:r w:rsidRPr="00E27443">
        <w:t>about</w:t>
      </w:r>
      <w:r w:rsidR="00C63F8F" w:rsidRPr="00E27443">
        <w:t xml:space="preserve"> </w:t>
      </w:r>
      <w:r w:rsidRPr="00E27443">
        <w:t>health</w:t>
      </w:r>
      <w:r w:rsidR="00C63F8F" w:rsidRPr="00E27443">
        <w:t xml:space="preserve"> </w:t>
      </w:r>
      <w:r w:rsidRPr="00E27443">
        <w:t>and</w:t>
      </w:r>
      <w:r w:rsidR="00C63F8F" w:rsidRPr="00E27443">
        <w:t xml:space="preserve"> </w:t>
      </w:r>
      <w:r w:rsidRPr="00E27443">
        <w:t>rehabilitation</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as</w:t>
      </w:r>
      <w:r w:rsidR="00C63F8F" w:rsidRPr="00E27443">
        <w:t xml:space="preserve"> </w:t>
      </w:r>
      <w:r w:rsidRPr="00E27443">
        <w:t>for</w:t>
      </w:r>
      <w:r w:rsidR="00C63F8F" w:rsidRPr="00E27443">
        <w:t xml:space="preserve"> </w:t>
      </w:r>
      <w:r w:rsidRPr="00E27443">
        <w:t>others.</w:t>
      </w:r>
      <w:r w:rsidR="00C63F8F" w:rsidRPr="00E27443">
        <w:t xml:space="preserve"> </w:t>
      </w:r>
      <w:r w:rsidRPr="00E27443">
        <w:t>The</w:t>
      </w:r>
      <w:r w:rsidR="00C63F8F" w:rsidRPr="00E27443">
        <w:t xml:space="preserve"> </w:t>
      </w:r>
      <w:r w:rsidRPr="00E27443">
        <w:t>same</w:t>
      </w:r>
      <w:r w:rsidR="00C63F8F" w:rsidRPr="00E27443">
        <w:t xml:space="preserve"> </w:t>
      </w:r>
      <w:r w:rsidRPr="00E27443">
        <w:t>protection</w:t>
      </w:r>
      <w:r w:rsidR="00C63F8F" w:rsidRPr="00E27443">
        <w:t xml:space="preserve"> </w:t>
      </w:r>
      <w:r w:rsidRPr="00E27443">
        <w:t>applies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separate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AC0808" w:rsidRPr="00E27443">
        <w:rPr>
          <w:rStyle w:val="FootnoteReference"/>
        </w:rPr>
        <w:footnoteReference w:id="92"/>
      </w:r>
      <w:r w:rsidR="00C63F8F" w:rsidRPr="00E27443">
        <w:t xml:space="preserve"> </w:t>
      </w:r>
      <w:r w:rsidRPr="00E27443">
        <w:t>and</w:t>
      </w:r>
      <w:r w:rsidR="00C63F8F" w:rsidRPr="00E27443">
        <w:t xml:space="preserve"> </w:t>
      </w:r>
      <w:r w:rsidRPr="00E27443">
        <w:t>the</w:t>
      </w:r>
      <w:r w:rsidR="00C63F8F" w:rsidRPr="00E27443">
        <w:t xml:space="preserve"> </w:t>
      </w:r>
      <w:r w:rsidRPr="00E27443">
        <w:t>specific</w:t>
      </w:r>
      <w:r w:rsidR="00C63F8F" w:rsidRPr="00E27443">
        <w:t xml:space="preserve"> </w:t>
      </w:r>
      <w:r w:rsidRPr="00E27443">
        <w:t>personal</w:t>
      </w:r>
      <w:r w:rsidR="00C63F8F" w:rsidRPr="00E27443">
        <w:t xml:space="preserve"> </w:t>
      </w:r>
      <w:r w:rsidRPr="00E27443">
        <w:t>data</w:t>
      </w:r>
      <w:r w:rsidR="00C63F8F" w:rsidRPr="00E27443">
        <w:t xml:space="preserve"> </w:t>
      </w:r>
      <w:r w:rsidRPr="00E27443">
        <w:t>laws</w:t>
      </w:r>
      <w:r w:rsidR="00C63F8F" w:rsidRPr="00E27443">
        <w:t xml:space="preserve"> </w:t>
      </w:r>
      <w:r w:rsidRPr="00E27443">
        <w:t>that</w:t>
      </w:r>
      <w:r w:rsidR="00C63F8F" w:rsidRPr="00E27443">
        <w:t xml:space="preserve"> </w:t>
      </w:r>
      <w:r w:rsidRPr="00E27443">
        <w:t>have</w:t>
      </w:r>
      <w:r w:rsidR="00C63F8F" w:rsidRPr="00E27443">
        <w:t xml:space="preserve"> </w:t>
      </w:r>
      <w:r w:rsidRPr="00E27443">
        <w:t>been</w:t>
      </w:r>
      <w:r w:rsidR="00C63F8F" w:rsidRPr="00E27443">
        <w:t xml:space="preserve"> </w:t>
      </w:r>
      <w:r w:rsidRPr="00E27443">
        <w:t>announced</w:t>
      </w:r>
      <w:r w:rsidR="00C63F8F" w:rsidRPr="00E27443">
        <w:t xml:space="preserve"> </w:t>
      </w:r>
      <w:r w:rsidRPr="00E27443">
        <w:t>in</w:t>
      </w:r>
      <w:r w:rsidR="00C63F8F" w:rsidRPr="00E27443">
        <w:t xml:space="preserve"> </w:t>
      </w:r>
      <w:r w:rsidRPr="00E27443">
        <w:t>areas</w:t>
      </w:r>
      <w:r w:rsidR="00C63F8F" w:rsidRPr="00E27443">
        <w:t xml:space="preserve"> </w:t>
      </w:r>
      <w:r w:rsidRPr="00E27443">
        <w:t>linked</w:t>
      </w:r>
      <w:r w:rsidR="00C63F8F" w:rsidRPr="00E27443">
        <w:t xml:space="preserve"> </w:t>
      </w:r>
      <w:r w:rsidRPr="00E27443">
        <w:t>to</w:t>
      </w:r>
      <w:r w:rsidR="00C63F8F" w:rsidRPr="00E27443">
        <w:t xml:space="preserve"> </w:t>
      </w:r>
      <w:r w:rsidRPr="00E27443">
        <w:t>this.</w:t>
      </w:r>
      <w:r w:rsidR="00C63F8F" w:rsidRPr="00E27443">
        <w:t xml:space="preserve"> </w:t>
      </w:r>
      <w:r w:rsidRPr="00E27443">
        <w:t>See</w:t>
      </w:r>
      <w:r w:rsidR="00C63F8F" w:rsidRPr="00E27443">
        <w:t xml:space="preserve"> </w:t>
      </w:r>
      <w:r w:rsidRPr="00E27443">
        <w:t>also</w:t>
      </w:r>
      <w:r w:rsidR="00C63F8F" w:rsidRPr="00E27443">
        <w:t xml:space="preserve"> </w:t>
      </w:r>
      <w:r w:rsidRPr="00E27443">
        <w:t>Article</w:t>
      </w:r>
      <w:r w:rsidR="00C63F8F" w:rsidRPr="00E27443">
        <w:t xml:space="preserve"> </w:t>
      </w:r>
      <w:r w:rsidRPr="00E27443">
        <w:t>19</w:t>
      </w:r>
      <w:r w:rsidR="00C63F8F" w:rsidRPr="00E27443">
        <w:t xml:space="preserve"> </w:t>
      </w:r>
      <w:r w:rsidRPr="00E27443">
        <w:t>and</w:t>
      </w:r>
      <w:r w:rsidR="00C63F8F" w:rsidRPr="00E27443">
        <w:t xml:space="preserve"> </w:t>
      </w:r>
      <w:r w:rsidRPr="00E27443">
        <w:t>Article</w:t>
      </w:r>
      <w:r w:rsidR="00C63F8F" w:rsidRPr="00E27443">
        <w:t xml:space="preserve"> </w:t>
      </w:r>
      <w:r w:rsidRPr="00E27443">
        <w:t>25.</w:t>
      </w:r>
    </w:p>
    <w:p w:rsidR="00321ADA" w:rsidRPr="00E27443" w:rsidRDefault="00AC0808" w:rsidP="00AC0808">
      <w:pPr>
        <w:pStyle w:val="H1G"/>
      </w:pPr>
      <w:r w:rsidRPr="00E27443">
        <w:tab/>
      </w:r>
      <w:r w:rsidRPr="00E27443">
        <w:tab/>
      </w:r>
      <w:bookmarkStart w:id="23" w:name="_Toc290623307"/>
      <w:r w:rsidR="00321ADA" w:rsidRPr="00E27443">
        <w:t>Article</w:t>
      </w:r>
      <w:r w:rsidR="00C63F8F" w:rsidRPr="00E27443">
        <w:t xml:space="preserve"> </w:t>
      </w:r>
      <w:r w:rsidR="00321ADA" w:rsidRPr="00E27443">
        <w:t>23</w:t>
      </w:r>
      <w:r w:rsidR="00551C01">
        <w:t>:</w:t>
      </w:r>
      <w:r w:rsidR="00C63F8F" w:rsidRPr="00E27443">
        <w:t xml:space="preserve"> </w:t>
      </w:r>
      <w:r w:rsidR="00321ADA" w:rsidRPr="00E27443">
        <w:t>Respect</w:t>
      </w:r>
      <w:r w:rsidR="00C63F8F" w:rsidRPr="00E27443">
        <w:t xml:space="preserve"> </w:t>
      </w:r>
      <w:r w:rsidR="00321ADA" w:rsidRPr="00E27443">
        <w:t>for</w:t>
      </w:r>
      <w:r w:rsidR="00C63F8F" w:rsidRPr="00E27443">
        <w:t xml:space="preserve"> </w:t>
      </w:r>
      <w:r w:rsidR="00321ADA" w:rsidRPr="00E27443">
        <w:t>home</w:t>
      </w:r>
      <w:r w:rsidR="00C63F8F" w:rsidRPr="00E27443">
        <w:t xml:space="preserve"> </w:t>
      </w:r>
      <w:r w:rsidR="00321ADA" w:rsidRPr="00E27443">
        <w:t>and</w:t>
      </w:r>
      <w:r w:rsidR="00C63F8F" w:rsidRPr="00E27443">
        <w:t xml:space="preserve"> </w:t>
      </w:r>
      <w:r w:rsidR="00321ADA" w:rsidRPr="00E27443">
        <w:t>the</w:t>
      </w:r>
      <w:r w:rsidR="00C63F8F" w:rsidRPr="00E27443">
        <w:t xml:space="preserve"> </w:t>
      </w:r>
      <w:r w:rsidR="00321ADA" w:rsidRPr="00E27443">
        <w:t>family</w:t>
      </w:r>
      <w:bookmarkEnd w:id="23"/>
      <w:r w:rsidR="00C63F8F" w:rsidRPr="00E27443">
        <w:t xml:space="preserve"> </w:t>
      </w:r>
    </w:p>
    <w:p w:rsidR="00321ADA" w:rsidRPr="00E27443" w:rsidRDefault="00321ADA" w:rsidP="00551C01">
      <w:pPr>
        <w:pStyle w:val="SingleTxtG"/>
        <w:numPr>
          <w:ilvl w:val="0"/>
          <w:numId w:val="20"/>
        </w:numPr>
        <w:tabs>
          <w:tab w:val="left" w:pos="1843"/>
        </w:tabs>
        <w:ind w:left="1134" w:firstLine="0"/>
      </w:pPr>
      <w:r w:rsidRPr="00E27443">
        <w:t>Swedish</w:t>
      </w:r>
      <w:r w:rsidR="00C63F8F" w:rsidRPr="00E27443">
        <w:t xml:space="preserve"> </w:t>
      </w:r>
      <w:r w:rsidRPr="00E27443">
        <w:t>legislation</w:t>
      </w:r>
      <w:r w:rsidR="00C63F8F" w:rsidRPr="00E27443">
        <w:t xml:space="preserve"> </w:t>
      </w:r>
      <w:r w:rsidRPr="00E27443">
        <w:t>makes</w:t>
      </w:r>
      <w:r w:rsidR="00C63F8F" w:rsidRPr="00E27443">
        <w:t xml:space="preserve"> </w:t>
      </w:r>
      <w:r w:rsidRPr="00E27443">
        <w:t>no</w:t>
      </w:r>
      <w:r w:rsidR="00C63F8F" w:rsidRPr="00E27443">
        <w:t xml:space="preserve"> </w:t>
      </w:r>
      <w:r w:rsidRPr="00E27443">
        <w:t>exceptions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issues</w:t>
      </w:r>
      <w:r w:rsidR="00C63F8F" w:rsidRPr="00E27443">
        <w:t xml:space="preserve"> </w:t>
      </w:r>
      <w:r w:rsidRPr="00E27443">
        <w:t>relating</w:t>
      </w:r>
      <w:r w:rsidR="00C63F8F" w:rsidRPr="00E27443">
        <w:t xml:space="preserve"> </w:t>
      </w:r>
      <w:r w:rsidRPr="00E27443">
        <w:t>to</w:t>
      </w:r>
      <w:r w:rsidR="00C63F8F" w:rsidRPr="00E27443">
        <w:t xml:space="preserve"> </w:t>
      </w:r>
      <w:r w:rsidRPr="00E27443">
        <w:t>marriage,</w:t>
      </w:r>
      <w:r w:rsidR="00C63F8F" w:rsidRPr="00E27443">
        <w:t xml:space="preserve"> </w:t>
      </w:r>
      <w:r w:rsidRPr="00E27443">
        <w:t>family,</w:t>
      </w:r>
      <w:r w:rsidR="00C63F8F" w:rsidRPr="00E27443">
        <w:t xml:space="preserve"> </w:t>
      </w:r>
      <w:r w:rsidRPr="00E27443">
        <w:t>parenthood</w:t>
      </w:r>
      <w:r w:rsidR="00C63F8F" w:rsidRPr="00E27443">
        <w:t xml:space="preserve"> </w:t>
      </w:r>
      <w:r w:rsidRPr="00E27443">
        <w:t>and</w:t>
      </w:r>
      <w:r w:rsidR="00C63F8F" w:rsidRPr="00E27443">
        <w:t xml:space="preserve"> </w:t>
      </w:r>
      <w:r w:rsidRPr="00E27443">
        <w:t>personal</w:t>
      </w:r>
      <w:r w:rsidR="00C63F8F" w:rsidRPr="00E27443">
        <w:t xml:space="preserve"> </w:t>
      </w:r>
      <w:r w:rsidRPr="00E27443">
        <w:t>connections.</w:t>
      </w:r>
      <w:r w:rsidR="00C63F8F" w:rsidRPr="00E27443">
        <w:t xml:space="preserve"> </w:t>
      </w:r>
      <w:r w:rsidRPr="00E27443">
        <w:t>This</w:t>
      </w:r>
      <w:r w:rsidR="00C63F8F" w:rsidRPr="00E27443">
        <w:t xml:space="preserve"> </w:t>
      </w:r>
      <w:r w:rsidRPr="00E27443">
        <w:t>also</w:t>
      </w:r>
      <w:r w:rsidR="00C63F8F" w:rsidRPr="00E27443">
        <w:t xml:space="preserve"> </w:t>
      </w:r>
      <w:r w:rsidRPr="00E27443">
        <w:t>applies</w:t>
      </w:r>
      <w:r w:rsidR="00C63F8F" w:rsidRPr="00E27443">
        <w:t xml:space="preserve"> </w:t>
      </w:r>
      <w:r w:rsidRPr="00E27443">
        <w:t>to</w:t>
      </w:r>
      <w:r w:rsidR="00C63F8F" w:rsidRPr="00E27443">
        <w:t xml:space="preserve"> </w:t>
      </w:r>
      <w:r w:rsidRPr="00E27443">
        <w:t>their</w:t>
      </w:r>
      <w:r w:rsidR="00C63F8F" w:rsidRPr="00E27443">
        <w:t xml:space="preserve"> </w:t>
      </w:r>
      <w:r w:rsidRPr="00E27443">
        <w:t>right</w:t>
      </w:r>
      <w:r w:rsidR="00C63F8F" w:rsidRPr="00E27443">
        <w:t xml:space="preserve"> </w:t>
      </w:r>
      <w:r w:rsidRPr="00E27443">
        <w:t>to</w:t>
      </w:r>
      <w:r w:rsidR="00C63F8F" w:rsidRPr="00E27443">
        <w:t xml:space="preserve"> </w:t>
      </w:r>
      <w:r w:rsidRPr="00E27443">
        <w:t>determine</w:t>
      </w:r>
      <w:r w:rsidR="00C63F8F" w:rsidRPr="00E27443">
        <w:t xml:space="preserve"> </w:t>
      </w:r>
      <w:r w:rsidRPr="00E27443">
        <w:t>the</w:t>
      </w:r>
      <w:r w:rsidR="00C63F8F" w:rsidRPr="00E27443">
        <w:t xml:space="preserve"> </w:t>
      </w:r>
      <w:r w:rsidRPr="00E27443">
        <w:t>number</w:t>
      </w:r>
      <w:r w:rsidR="00C63F8F" w:rsidRPr="00E27443">
        <w:t xml:space="preserve"> </w:t>
      </w:r>
      <w:r w:rsidRPr="00E27443">
        <w:t>of</w:t>
      </w:r>
      <w:r w:rsidR="00C63F8F" w:rsidRPr="00E27443">
        <w:t xml:space="preserve"> </w:t>
      </w:r>
      <w:r w:rsidRPr="00E27443">
        <w:t>children,</w:t>
      </w:r>
      <w:r w:rsidR="00C63F8F" w:rsidRPr="00E27443">
        <w:t xml:space="preserve"> </w:t>
      </w:r>
      <w:r w:rsidRPr="00E27443">
        <w:t>to</w:t>
      </w:r>
      <w:r w:rsidR="00C63F8F" w:rsidRPr="00E27443">
        <w:t xml:space="preserve"> </w:t>
      </w:r>
      <w:r w:rsidRPr="00E27443">
        <w:t>have</w:t>
      </w:r>
      <w:r w:rsidR="00C63F8F" w:rsidRPr="00E27443">
        <w:t xml:space="preserve"> </w:t>
      </w:r>
      <w:r w:rsidRPr="00E27443">
        <w:t>access</w:t>
      </w:r>
      <w:r w:rsidR="00C63F8F" w:rsidRPr="00E27443">
        <w:t xml:space="preserve"> </w:t>
      </w:r>
      <w:r w:rsidRPr="00E27443">
        <w:t>to</w:t>
      </w:r>
      <w:r w:rsidR="00C63F8F" w:rsidRPr="00E27443">
        <w:t xml:space="preserve"> </w:t>
      </w:r>
      <w:r w:rsidRPr="00E27443">
        <w:t>information</w:t>
      </w:r>
      <w:r w:rsidR="00C63F8F" w:rsidRPr="00E27443">
        <w:t xml:space="preserve"> </w:t>
      </w:r>
      <w:r w:rsidRPr="00E27443">
        <w:t>about</w:t>
      </w:r>
      <w:r w:rsidR="00C63F8F" w:rsidRPr="00E27443">
        <w:t xml:space="preserve"> </w:t>
      </w:r>
      <w:r w:rsidRPr="00E27443">
        <w:t>family</w:t>
      </w:r>
      <w:r w:rsidR="00C63F8F" w:rsidRPr="00E27443">
        <w:t xml:space="preserve"> </w:t>
      </w:r>
      <w:r w:rsidRPr="00E27443">
        <w:t>planning</w:t>
      </w:r>
      <w:r w:rsidR="00C63F8F" w:rsidRPr="00E27443">
        <w:t xml:space="preserve"> </w:t>
      </w:r>
      <w:r w:rsidRPr="00E27443">
        <w:t>and</w:t>
      </w:r>
      <w:r w:rsidR="00C63F8F" w:rsidRPr="00E27443">
        <w:t xml:space="preserve"> </w:t>
      </w:r>
      <w:r w:rsidRPr="00E27443">
        <w:t>to</w:t>
      </w:r>
      <w:r w:rsidR="00C63F8F" w:rsidRPr="00E27443">
        <w:t xml:space="preserve"> </w:t>
      </w:r>
      <w:r w:rsidRPr="00E27443">
        <w:t>retain</w:t>
      </w:r>
      <w:r w:rsidR="00C63F8F" w:rsidRPr="00E27443">
        <w:t xml:space="preserve"> </w:t>
      </w:r>
      <w:r w:rsidRPr="00E27443">
        <w:t>their</w:t>
      </w:r>
      <w:r w:rsidR="00C63F8F" w:rsidRPr="00E27443">
        <w:t xml:space="preserve"> </w:t>
      </w:r>
      <w:r w:rsidRPr="00E27443">
        <w:t>fertility</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as</w:t>
      </w:r>
      <w:r w:rsidR="00C63F8F" w:rsidRPr="00E27443">
        <w:t xml:space="preserve"> </w:t>
      </w:r>
      <w:r w:rsidRPr="00E27443">
        <w:t>others.</w:t>
      </w:r>
      <w:r w:rsidR="00C63F8F" w:rsidRPr="00E27443">
        <w:t xml:space="preserve"> </w:t>
      </w:r>
      <w:r w:rsidRPr="00E27443">
        <w:t>See</w:t>
      </w:r>
      <w:r w:rsidR="00C63F8F" w:rsidRPr="00E27443">
        <w:t xml:space="preserve"> </w:t>
      </w:r>
      <w:r w:rsidRPr="00E27443">
        <w:t>Article</w:t>
      </w:r>
      <w:r w:rsidR="00C63F8F" w:rsidRPr="00E27443">
        <w:t xml:space="preserve"> </w:t>
      </w:r>
      <w:r w:rsidRPr="00E27443">
        <w:t>25.</w:t>
      </w:r>
    </w:p>
    <w:p w:rsidR="00321ADA" w:rsidRPr="00E27443" w:rsidRDefault="00321ADA" w:rsidP="00551C01">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legislation</w:t>
      </w:r>
      <w:r w:rsidR="00C63F8F" w:rsidRPr="00E27443">
        <w:t xml:space="preserve"> </w:t>
      </w:r>
      <w:r w:rsidRPr="00E27443">
        <w:t>also</w:t>
      </w:r>
      <w:r w:rsidR="00C63F8F" w:rsidRPr="00E27443">
        <w:t xml:space="preserve"> </w:t>
      </w:r>
      <w:r w:rsidRPr="00E27443">
        <w:t>guarantees</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have</w:t>
      </w:r>
      <w:r w:rsidR="00C63F8F" w:rsidRPr="00E27443">
        <w:t xml:space="preserve"> </w:t>
      </w:r>
      <w:r w:rsidRPr="00E27443">
        <w:t>rights</w:t>
      </w:r>
      <w:r w:rsidR="00C63F8F" w:rsidRPr="00E27443">
        <w:t xml:space="preserve"> </w:t>
      </w:r>
      <w:r w:rsidRPr="00E27443">
        <w:t>and</w:t>
      </w:r>
      <w:r w:rsidR="00C63F8F" w:rsidRPr="00E27443">
        <w:t xml:space="preserve"> </w:t>
      </w:r>
      <w:r w:rsidRPr="00E27443">
        <w:t>obligations</w:t>
      </w:r>
      <w:r w:rsidR="00C63F8F" w:rsidRPr="00E27443">
        <w:t xml:space="preserve"> </w:t>
      </w:r>
      <w:r w:rsidRPr="00E27443">
        <w:t>as</w:t>
      </w:r>
      <w:r w:rsidR="00C63F8F" w:rsidRPr="00E27443">
        <w:t xml:space="preserve"> </w:t>
      </w:r>
      <w:r w:rsidRPr="00E27443">
        <w:t>regards</w:t>
      </w:r>
      <w:r w:rsidR="00C63F8F" w:rsidRPr="00E27443">
        <w:t xml:space="preserve"> </w:t>
      </w:r>
      <w:r w:rsidRPr="00E27443">
        <w:t>guardianship</w:t>
      </w:r>
      <w:r w:rsidR="00C63F8F" w:rsidRPr="00E27443">
        <w:t xml:space="preserve"> </w:t>
      </w:r>
      <w:r w:rsidRPr="00E27443">
        <w:t>or</w:t>
      </w:r>
      <w:r w:rsidR="00C63F8F" w:rsidRPr="00E27443">
        <w:t xml:space="preserve"> </w:t>
      </w:r>
      <w:r w:rsidRPr="00E27443">
        <w:t>trusteeship</w:t>
      </w:r>
      <w:r w:rsidR="00C63F8F" w:rsidRPr="00E27443">
        <w:t xml:space="preserve"> </w:t>
      </w:r>
      <w:r w:rsidRPr="00E27443">
        <w:t>for</w:t>
      </w:r>
      <w:r w:rsidR="00C63F8F" w:rsidRPr="00E27443">
        <w:t xml:space="preserve"> </w:t>
      </w:r>
      <w:r w:rsidRPr="00E27443">
        <w:t>children,</w:t>
      </w:r>
      <w:r w:rsidR="00C63F8F" w:rsidRPr="00E27443">
        <w:t xml:space="preserve"> </w:t>
      </w:r>
      <w:r w:rsidRPr="00E27443">
        <w:t>the</w:t>
      </w:r>
      <w:r w:rsidR="00C63F8F" w:rsidRPr="00E27443">
        <w:t xml:space="preserve"> </w:t>
      </w:r>
      <w:r w:rsidRPr="00E27443">
        <w:t>care</w:t>
      </w:r>
      <w:r w:rsidR="00C63F8F" w:rsidRPr="00E27443">
        <w:t xml:space="preserve"> </w:t>
      </w:r>
      <w:r w:rsidRPr="00E27443">
        <w:t>of</w:t>
      </w:r>
      <w:r w:rsidR="00C63F8F" w:rsidRPr="00E27443">
        <w:t xml:space="preserve"> </w:t>
      </w:r>
      <w:r w:rsidRPr="00E27443">
        <w:t>children</w:t>
      </w:r>
      <w:r w:rsidR="00C63F8F" w:rsidRPr="00E27443">
        <w:t xml:space="preserve"> </w:t>
      </w:r>
      <w:r w:rsidRPr="00E27443">
        <w:t>and</w:t>
      </w:r>
      <w:r w:rsidR="00C63F8F" w:rsidRPr="00E27443">
        <w:t xml:space="preserve"> </w:t>
      </w:r>
      <w:r w:rsidRPr="00E27443">
        <w:t>adoption.</w:t>
      </w:r>
      <w:r w:rsidR="00C63F8F" w:rsidRPr="00E27443">
        <w:t xml:space="preserve"> </w:t>
      </w:r>
    </w:p>
    <w:p w:rsidR="00321ADA" w:rsidRPr="00E27443" w:rsidRDefault="00321ADA" w:rsidP="0081312A">
      <w:pPr>
        <w:pStyle w:val="SingleTxtG"/>
        <w:numPr>
          <w:ilvl w:val="0"/>
          <w:numId w:val="20"/>
        </w:numPr>
        <w:tabs>
          <w:tab w:val="left" w:pos="1843"/>
        </w:tabs>
        <w:ind w:left="1134" w:firstLine="0"/>
      </w:pPr>
      <w:r w:rsidRPr="00E27443">
        <w:t>After</w:t>
      </w:r>
      <w:r w:rsidR="00C63F8F" w:rsidRPr="00E27443">
        <w:t xml:space="preserve"> </w:t>
      </w:r>
      <w:r w:rsidRPr="00E27443">
        <w:t>being</w:t>
      </w:r>
      <w:r w:rsidR="00C63F8F" w:rsidRPr="00E27443">
        <w:t xml:space="preserve"> </w:t>
      </w:r>
      <w:r w:rsidRPr="00E27443">
        <w:t>born</w:t>
      </w:r>
      <w:r w:rsidR="00C63F8F" w:rsidRPr="00E27443">
        <w:t xml:space="preserve"> </w:t>
      </w:r>
      <w:r w:rsidRPr="00E27443">
        <w:t>and</w:t>
      </w:r>
      <w:r w:rsidR="00C63F8F" w:rsidRPr="00E27443">
        <w:t xml:space="preserve"> </w:t>
      </w:r>
      <w:r w:rsidRPr="00E27443">
        <w:t>returning</w:t>
      </w:r>
      <w:r w:rsidR="00C63F8F" w:rsidRPr="00E27443">
        <w:t xml:space="preserve"> </w:t>
      </w:r>
      <w:r w:rsidRPr="00E27443">
        <w:t>home,</w:t>
      </w:r>
      <w:r w:rsidR="00C63F8F" w:rsidRPr="00E27443">
        <w:t xml:space="preserve"> </w:t>
      </w:r>
      <w:r w:rsidRPr="00E27443">
        <w:t>all</w:t>
      </w:r>
      <w:r w:rsidR="00C63F8F" w:rsidRPr="00E27443">
        <w:t xml:space="preserve"> </w:t>
      </w:r>
      <w:r w:rsidRPr="00E27443">
        <w:t>children</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are</w:t>
      </w:r>
      <w:r w:rsidR="00C63F8F" w:rsidRPr="00E27443">
        <w:t xml:space="preserve"> </w:t>
      </w:r>
      <w:r w:rsidRPr="00E27443">
        <w:t>called</w:t>
      </w:r>
      <w:r w:rsidR="00C63F8F" w:rsidRPr="00E27443">
        <w:t xml:space="preserve"> </w:t>
      </w:r>
      <w:r w:rsidRPr="00E27443">
        <w:t>to</w:t>
      </w:r>
      <w:r w:rsidR="00C63F8F" w:rsidRPr="00E27443">
        <w:t xml:space="preserve"> </w:t>
      </w:r>
      <w:r w:rsidRPr="00E27443">
        <w:t>child</w:t>
      </w:r>
      <w:r w:rsidR="00C63F8F" w:rsidRPr="00E27443">
        <w:t xml:space="preserve"> </w:t>
      </w:r>
      <w:r w:rsidRPr="00E27443">
        <w:t>welfare</w:t>
      </w:r>
      <w:r w:rsidR="00C63F8F" w:rsidRPr="00E27443">
        <w:t xml:space="preserve"> </w:t>
      </w:r>
      <w:r w:rsidRPr="00E27443">
        <w:t>clinics</w:t>
      </w:r>
      <w:r w:rsidR="00C63F8F" w:rsidRPr="00E27443">
        <w:t xml:space="preserve"> </w:t>
      </w:r>
      <w:r w:rsidRPr="00E27443">
        <w:t>or</w:t>
      </w:r>
      <w:r w:rsidR="00C63F8F" w:rsidRPr="00E27443">
        <w:t xml:space="preserve"> </w:t>
      </w:r>
      <w:r w:rsidRPr="00E27443">
        <w:t>equivalent</w:t>
      </w:r>
      <w:r w:rsidR="00C63F8F" w:rsidRPr="00E27443">
        <w:t xml:space="preserve"> </w:t>
      </w:r>
      <w:r w:rsidRPr="00E27443">
        <w:t>for</w:t>
      </w:r>
      <w:r w:rsidR="00C63F8F" w:rsidRPr="00E27443">
        <w:t xml:space="preserve"> </w:t>
      </w:r>
      <w:r w:rsidRPr="00E27443">
        <w:t>regular</w:t>
      </w:r>
      <w:r w:rsidR="00C63F8F" w:rsidRPr="00E27443">
        <w:t xml:space="preserve"> </w:t>
      </w:r>
      <w:r w:rsidRPr="00E27443">
        <w:t>checks.</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this,</w:t>
      </w:r>
      <w:r w:rsidR="00C63F8F" w:rsidRPr="00E27443">
        <w:t xml:space="preserve"> </w:t>
      </w:r>
      <w:r w:rsidRPr="00E27443">
        <w:t>the</w:t>
      </w:r>
      <w:r w:rsidR="00C63F8F" w:rsidRPr="00E27443">
        <w:t xml:space="preserve"> </w:t>
      </w:r>
      <w:r w:rsidRPr="00E27443">
        <w:t>parents</w:t>
      </w:r>
      <w:r w:rsidR="00C63F8F" w:rsidRPr="00E27443">
        <w:t xml:space="preserve"> </w:t>
      </w:r>
      <w:r w:rsidRPr="00E27443">
        <w:t>receive</w:t>
      </w:r>
      <w:r w:rsidR="00C63F8F" w:rsidRPr="00E27443">
        <w:t xml:space="preserve"> </w:t>
      </w:r>
      <w:r w:rsidRPr="00E27443">
        <w:t>advice</w:t>
      </w:r>
      <w:r w:rsidR="00C63F8F" w:rsidRPr="00E27443">
        <w:t xml:space="preserve"> </w:t>
      </w:r>
      <w:r w:rsidRPr="00E27443">
        <w:t>and</w:t>
      </w:r>
      <w:r w:rsidR="00C63F8F" w:rsidRPr="00E27443">
        <w:t xml:space="preserve"> </w:t>
      </w:r>
      <w:r w:rsidRPr="00E27443">
        <w:t>support</w:t>
      </w:r>
      <w:r w:rsidR="00C63F8F" w:rsidRPr="00E27443">
        <w:t xml:space="preserve"> </w:t>
      </w:r>
      <w:r w:rsidRPr="00E27443">
        <w:t>for</w:t>
      </w:r>
      <w:r w:rsidR="00C63F8F" w:rsidRPr="00E27443">
        <w:t xml:space="preserve"> </w:t>
      </w:r>
      <w:r w:rsidRPr="00E27443">
        <w:t>the</w:t>
      </w:r>
      <w:r w:rsidR="00C63F8F" w:rsidRPr="00E27443">
        <w:t xml:space="preserve"> </w:t>
      </w:r>
      <w:r w:rsidRPr="00E27443">
        <w:t>care</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p>
    <w:p w:rsidR="00321ADA" w:rsidRPr="00E27443" w:rsidRDefault="00321ADA" w:rsidP="0081312A">
      <w:pPr>
        <w:pStyle w:val="SingleTxtG"/>
        <w:numPr>
          <w:ilvl w:val="0"/>
          <w:numId w:val="20"/>
        </w:numPr>
        <w:tabs>
          <w:tab w:val="left" w:pos="1843"/>
        </w:tabs>
        <w:ind w:left="1134" w:firstLine="0"/>
      </w:pPr>
      <w:r w:rsidRPr="00E27443">
        <w:t>The</w:t>
      </w:r>
      <w:r w:rsidR="00C63F8F" w:rsidRPr="00E27443">
        <w:t xml:space="preserve"> </w:t>
      </w:r>
      <w:r w:rsidRPr="00E27443">
        <w:t>introductory</w:t>
      </w:r>
      <w:r w:rsidR="00C63F8F" w:rsidRPr="00E27443">
        <w:t xml:space="preserve"> </w:t>
      </w:r>
      <w:r w:rsidRPr="00E27443">
        <w:t>provision</w:t>
      </w:r>
      <w:r w:rsidR="00C63F8F" w:rsidRPr="00E27443">
        <w:t xml:space="preserve"> </w:t>
      </w:r>
      <w:r w:rsidRPr="00E27443">
        <w:t>in</w:t>
      </w:r>
      <w:r w:rsidR="00C63F8F" w:rsidRPr="00E27443">
        <w:t xml:space="preserve"> </w:t>
      </w:r>
      <w:r w:rsidRPr="00E27443">
        <w:t>the</w:t>
      </w:r>
      <w:r w:rsidR="00C63F8F" w:rsidRPr="00E27443">
        <w:t xml:space="preserve"> </w:t>
      </w:r>
      <w:r w:rsidRPr="00E27443">
        <w:t>Parents</w:t>
      </w:r>
      <w:r w:rsidR="00C63F8F" w:rsidRPr="00E27443">
        <w:t xml:space="preserve"> </w:t>
      </w:r>
      <w:r w:rsidRPr="00E27443">
        <w:t>and</w:t>
      </w:r>
      <w:r w:rsidR="00C63F8F" w:rsidRPr="00E27443">
        <w:t xml:space="preserve"> </w:t>
      </w:r>
      <w:r w:rsidRPr="00E27443">
        <w:t>Children</w:t>
      </w:r>
      <w:r w:rsidR="00C63F8F" w:rsidRPr="00E27443">
        <w:t xml:space="preserve"> </w:t>
      </w:r>
      <w:r w:rsidRPr="00E27443">
        <w:t>Code</w:t>
      </w:r>
      <w:r w:rsidR="00C63F8F" w:rsidRPr="00E27443">
        <w:t>’</w:t>
      </w:r>
      <w:r w:rsidRPr="00E27443">
        <w:t>s</w:t>
      </w:r>
      <w:r w:rsidR="00AC0808" w:rsidRPr="0081312A">
        <w:footnoteReference w:id="93"/>
      </w:r>
      <w:r w:rsidR="00C63F8F" w:rsidRPr="00E27443">
        <w:t xml:space="preserve"> </w:t>
      </w:r>
      <w:r w:rsidRPr="00E27443">
        <w:t>section</w:t>
      </w:r>
      <w:r w:rsidR="00C63F8F" w:rsidRPr="00E27443">
        <w:t xml:space="preserve"> </w:t>
      </w:r>
      <w:r w:rsidRPr="00E27443">
        <w:t>on</w:t>
      </w:r>
      <w:r w:rsidR="00C63F8F" w:rsidRPr="00E27443">
        <w:t xml:space="preserve"> </w:t>
      </w:r>
      <w:r w:rsidRPr="00E27443">
        <w:t>care,</w:t>
      </w:r>
      <w:r w:rsidR="00C63F8F" w:rsidRPr="00E27443">
        <w:t xml:space="preserve"> </w:t>
      </w:r>
      <w:r w:rsidRPr="00E27443">
        <w:t>accommodation</w:t>
      </w:r>
      <w:r w:rsidR="00C63F8F" w:rsidRPr="00E27443">
        <w:t xml:space="preserve"> </w:t>
      </w:r>
      <w:r w:rsidRPr="00E27443">
        <w:t>and</w:t>
      </w:r>
      <w:r w:rsidR="00C63F8F" w:rsidRPr="00E27443">
        <w:t xml:space="preserve"> </w:t>
      </w:r>
      <w:r w:rsidRPr="00E27443">
        <w:t>social</w:t>
      </w:r>
      <w:r w:rsidR="00C63F8F" w:rsidRPr="00E27443">
        <w:t xml:space="preserve"> </w:t>
      </w:r>
      <w:r w:rsidRPr="00E27443">
        <w:t>intercourse</w:t>
      </w:r>
      <w:r w:rsidR="00C63F8F" w:rsidRPr="00E27443">
        <w:t xml:space="preserve"> </w:t>
      </w:r>
      <w:r w:rsidRPr="00E27443">
        <w:t>prescribes</w:t>
      </w:r>
      <w:r w:rsidR="00C63F8F" w:rsidRPr="00E27443">
        <w:t xml:space="preserve"> </w:t>
      </w:r>
      <w:r w:rsidRPr="00E27443">
        <w:t>that</w:t>
      </w:r>
      <w:r w:rsidR="00C63F8F" w:rsidRPr="00E27443">
        <w:t xml:space="preserve"> </w:t>
      </w:r>
      <w:r w:rsidRPr="00E27443">
        <w:t>children</w:t>
      </w:r>
      <w:r w:rsidR="00C63F8F" w:rsidRPr="00E27443">
        <w:t xml:space="preserve"> </w:t>
      </w:r>
      <w:r w:rsidRPr="00E27443">
        <w:t>are</w:t>
      </w:r>
      <w:r w:rsidR="00C63F8F" w:rsidRPr="00E27443">
        <w:t xml:space="preserve"> </w:t>
      </w:r>
      <w:r w:rsidRPr="00E27443">
        <w:t>entitled</w:t>
      </w:r>
      <w:r w:rsidR="00C63F8F" w:rsidRPr="00E27443">
        <w:t xml:space="preserve"> </w:t>
      </w:r>
      <w:r w:rsidRPr="00E27443">
        <w:t>to</w:t>
      </w:r>
      <w:r w:rsidR="00C63F8F" w:rsidRPr="00E27443">
        <w:t xml:space="preserve"> </w:t>
      </w:r>
      <w:r w:rsidRPr="00E27443">
        <w:t>care,</w:t>
      </w:r>
      <w:r w:rsidR="00C63F8F" w:rsidRPr="00E27443">
        <w:t xml:space="preserve"> </w:t>
      </w:r>
      <w:r w:rsidRPr="00E27443">
        <w:t>security</w:t>
      </w:r>
      <w:r w:rsidR="00C63F8F" w:rsidRPr="00E27443">
        <w:t xml:space="preserve"> </w:t>
      </w:r>
      <w:r w:rsidRPr="00E27443">
        <w:t>and</w:t>
      </w:r>
      <w:r w:rsidR="00C63F8F" w:rsidRPr="00E27443">
        <w:t xml:space="preserve"> </w:t>
      </w:r>
      <w:r w:rsidRPr="00E27443">
        <w:t>a</w:t>
      </w:r>
      <w:r w:rsidR="00C63F8F" w:rsidRPr="00E27443">
        <w:t xml:space="preserve"> </w:t>
      </w:r>
      <w:r w:rsidRPr="00E27443">
        <w:t>good</w:t>
      </w:r>
      <w:r w:rsidR="00C63F8F" w:rsidRPr="00E27443">
        <w:t xml:space="preserve"> </w:t>
      </w:r>
      <w:r w:rsidRPr="00E27443">
        <w:t>upbringing.</w:t>
      </w:r>
      <w:r w:rsidR="00C63F8F" w:rsidRPr="00E27443">
        <w:t xml:space="preserve"> </w:t>
      </w:r>
      <w:r w:rsidRPr="00E27443">
        <w:t>Children</w:t>
      </w:r>
      <w:r w:rsidR="00C63F8F" w:rsidRPr="00E27443">
        <w:t xml:space="preserve"> </w:t>
      </w:r>
      <w:r w:rsidRPr="00E27443">
        <w:t>must</w:t>
      </w:r>
      <w:r w:rsidR="00C63F8F" w:rsidRPr="00E27443">
        <w:t xml:space="preserve"> </w:t>
      </w:r>
      <w:r w:rsidRPr="00E27443">
        <w:t>be</w:t>
      </w:r>
      <w:r w:rsidR="00C63F8F" w:rsidRPr="00E27443">
        <w:t xml:space="preserve"> </w:t>
      </w:r>
      <w:r w:rsidRPr="00E27443">
        <w:t>treated</w:t>
      </w:r>
      <w:r w:rsidR="00C63F8F" w:rsidRPr="00E27443">
        <w:t xml:space="preserve"> </w:t>
      </w:r>
      <w:r w:rsidRPr="00E27443">
        <w:t>with</w:t>
      </w:r>
      <w:r w:rsidR="00C63F8F" w:rsidRPr="00E27443">
        <w:t xml:space="preserve"> </w:t>
      </w:r>
      <w:r w:rsidRPr="00E27443">
        <w:t>respect</w:t>
      </w:r>
      <w:r w:rsidR="00C63F8F" w:rsidRPr="00E27443">
        <w:t xml:space="preserve"> </w:t>
      </w:r>
      <w:r w:rsidRPr="00E27443">
        <w:t>for</w:t>
      </w:r>
      <w:r w:rsidR="00C63F8F" w:rsidRPr="00E27443">
        <w:t xml:space="preserve"> </w:t>
      </w:r>
      <w:r w:rsidRPr="00E27443">
        <w:t>their</w:t>
      </w:r>
      <w:r w:rsidR="00C63F8F" w:rsidRPr="00E27443">
        <w:t xml:space="preserve"> </w:t>
      </w:r>
      <w:r w:rsidRPr="00E27443">
        <w:t>person</w:t>
      </w:r>
      <w:r w:rsidR="00C63F8F" w:rsidRPr="00E27443">
        <w:t xml:space="preserve"> </w:t>
      </w:r>
      <w:r w:rsidRPr="00E27443">
        <w:t>and</w:t>
      </w:r>
      <w:r w:rsidR="00C63F8F" w:rsidRPr="00E27443">
        <w:t xml:space="preserve"> </w:t>
      </w:r>
      <w:r w:rsidRPr="00E27443">
        <w:t>individual</w:t>
      </w:r>
      <w:r w:rsidR="00C63F8F" w:rsidRPr="00E27443">
        <w:t xml:space="preserve"> </w:t>
      </w:r>
      <w:r w:rsidRPr="00E27443">
        <w:t>character,</w:t>
      </w:r>
      <w:r w:rsidR="00C63F8F" w:rsidRPr="00E27443">
        <w:t xml:space="preserve"> </w:t>
      </w:r>
      <w:r w:rsidRPr="00E27443">
        <w:t>and</w:t>
      </w:r>
      <w:r w:rsidR="00C63F8F" w:rsidRPr="00E27443">
        <w:t xml:space="preserve"> </w:t>
      </w:r>
      <w:r w:rsidRPr="00E27443">
        <w:t>may</w:t>
      </w:r>
      <w:r w:rsidR="00C63F8F" w:rsidRPr="00E27443">
        <w:t xml:space="preserve"> </w:t>
      </w:r>
      <w:r w:rsidRPr="00E27443">
        <w:t>not</w:t>
      </w:r>
      <w:r w:rsidR="00C63F8F" w:rsidRPr="00E27443">
        <w:t xml:space="preserve"> </w:t>
      </w:r>
      <w:r w:rsidRPr="00E27443">
        <w:t>be</w:t>
      </w:r>
      <w:r w:rsidR="00C63F8F" w:rsidRPr="00E27443">
        <w:t xml:space="preserve"> </w:t>
      </w:r>
      <w:r w:rsidRPr="00E27443">
        <w:t>subjected</w:t>
      </w:r>
      <w:r w:rsidR="00C63F8F" w:rsidRPr="00E27443">
        <w:t xml:space="preserve"> </w:t>
      </w:r>
      <w:r w:rsidRPr="00E27443">
        <w:t>to</w:t>
      </w:r>
      <w:r w:rsidR="00C63F8F" w:rsidRPr="00E27443">
        <w:t xml:space="preserve"> </w:t>
      </w:r>
      <w:r w:rsidRPr="00E27443">
        <w:t>corporal</w:t>
      </w:r>
      <w:r w:rsidR="00C63F8F" w:rsidRPr="00E27443">
        <w:t xml:space="preserve"> </w:t>
      </w:r>
      <w:r w:rsidRPr="00E27443">
        <w:t>punishment</w:t>
      </w:r>
      <w:r w:rsidR="00C63F8F" w:rsidRPr="00E27443">
        <w:t xml:space="preserve"> </w:t>
      </w:r>
      <w:r w:rsidRPr="00E27443">
        <w:t>or</w:t>
      </w:r>
      <w:r w:rsidR="00C63F8F" w:rsidRPr="00E27443">
        <w:t xml:space="preserve"> </w:t>
      </w:r>
      <w:r w:rsidRPr="00E27443">
        <w:t>other</w:t>
      </w:r>
      <w:r w:rsidR="00C63F8F" w:rsidRPr="00E27443">
        <w:t xml:space="preserve"> </w:t>
      </w:r>
      <w:r w:rsidRPr="00E27443">
        <w:t>degrading</w:t>
      </w:r>
      <w:r w:rsidR="00C63F8F" w:rsidRPr="00E27443">
        <w:t xml:space="preserve"> </w:t>
      </w:r>
      <w:r w:rsidRPr="00E27443">
        <w:t>treatment.</w:t>
      </w:r>
    </w:p>
    <w:p w:rsidR="00321ADA" w:rsidRPr="00E27443" w:rsidRDefault="00321ADA" w:rsidP="0081312A">
      <w:pPr>
        <w:pStyle w:val="SingleTxtG"/>
        <w:numPr>
          <w:ilvl w:val="0"/>
          <w:numId w:val="20"/>
        </w:numPr>
        <w:tabs>
          <w:tab w:val="left" w:pos="1843"/>
        </w:tabs>
        <w:ind w:left="1134" w:firstLine="0"/>
      </w:pPr>
      <w:r w:rsidRPr="00E27443">
        <w:t>The</w:t>
      </w:r>
      <w:r w:rsidR="00C63F8F" w:rsidRPr="00E27443">
        <w:t xml:space="preserve"> </w:t>
      </w:r>
      <w:r w:rsidRPr="00E27443">
        <w:t>Code</w:t>
      </w:r>
      <w:r w:rsidR="00C63F8F" w:rsidRPr="00E27443">
        <w:t xml:space="preserve"> </w:t>
      </w:r>
      <w:r w:rsidRPr="00E27443">
        <w:t>also</w:t>
      </w:r>
      <w:r w:rsidR="00C63F8F" w:rsidRPr="00E27443">
        <w:t xml:space="preserve"> </w:t>
      </w:r>
      <w:r w:rsidRPr="00E27443">
        <w:t>states</w:t>
      </w:r>
      <w:r w:rsidR="00C63F8F" w:rsidRPr="00E27443">
        <w:t xml:space="preserve"> </w:t>
      </w:r>
      <w:r w:rsidRPr="00E27443">
        <w:t>that</w:t>
      </w:r>
      <w:r w:rsidR="00C63F8F" w:rsidRPr="00E27443">
        <w:t xml:space="preserve"> </w:t>
      </w:r>
      <w:r w:rsidRPr="00E27443">
        <w:t>the</w:t>
      </w:r>
      <w:r w:rsidR="00C63F8F" w:rsidRPr="00E27443">
        <w:t xml:space="preserve"> </w:t>
      </w:r>
      <w:r w:rsidRPr="00E27443">
        <w:t>best</w:t>
      </w:r>
      <w:r w:rsidR="00C63F8F" w:rsidRPr="00E27443">
        <w:t xml:space="preserve"> </w:t>
      </w:r>
      <w:r w:rsidRPr="00E27443">
        <w:t>interests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must</w:t>
      </w:r>
      <w:r w:rsidR="00C63F8F" w:rsidRPr="00E27443">
        <w:t xml:space="preserve"> </w:t>
      </w:r>
      <w:r w:rsidRPr="00E27443">
        <w:t>come</w:t>
      </w:r>
      <w:r w:rsidR="00C63F8F" w:rsidRPr="00E27443">
        <w:t xml:space="preserve"> </w:t>
      </w:r>
      <w:r w:rsidRPr="00E27443">
        <w:t>first</w:t>
      </w:r>
      <w:r w:rsidR="00C63F8F" w:rsidRPr="00E27443">
        <w:t xml:space="preserve"> </w:t>
      </w:r>
      <w:r w:rsidRPr="00E27443">
        <w:t>when</w:t>
      </w:r>
      <w:r w:rsidR="00C63F8F" w:rsidRPr="00E27443">
        <w:t xml:space="preserve"> </w:t>
      </w:r>
      <w:r w:rsidRPr="00E27443">
        <w:t>determining</w:t>
      </w:r>
      <w:r w:rsidR="00C63F8F" w:rsidRPr="00E27443">
        <w:t xml:space="preserve"> </w:t>
      </w:r>
      <w:r w:rsidRPr="00E27443">
        <w:t>all</w:t>
      </w:r>
      <w:r w:rsidR="00C63F8F" w:rsidRPr="00E27443">
        <w:t xml:space="preserve"> </w:t>
      </w:r>
      <w:r w:rsidRPr="00E27443">
        <w:t>issues</w:t>
      </w:r>
      <w:r w:rsidR="00C63F8F" w:rsidRPr="00E27443">
        <w:t xml:space="preserve"> </w:t>
      </w:r>
      <w:r w:rsidRPr="00E27443">
        <w:t>that</w:t>
      </w:r>
      <w:r w:rsidR="00C63F8F" w:rsidRPr="00E27443">
        <w:t xml:space="preserve"> </w:t>
      </w:r>
      <w:r w:rsidRPr="00E27443">
        <w:t>relate</w:t>
      </w:r>
      <w:r w:rsidR="00C63F8F" w:rsidRPr="00E27443">
        <w:t xml:space="preserve"> </w:t>
      </w:r>
      <w:r w:rsidRPr="00E27443">
        <w:t>to</w:t>
      </w:r>
      <w:r w:rsidR="00C63F8F" w:rsidRPr="00E27443">
        <w:t xml:space="preserve"> </w:t>
      </w:r>
      <w:r w:rsidRPr="00E27443">
        <w:t>care,</w:t>
      </w:r>
      <w:r w:rsidR="00C63F8F" w:rsidRPr="00E27443">
        <w:t xml:space="preserve"> </w:t>
      </w:r>
      <w:r w:rsidRPr="00E27443">
        <w:t>accommodation</w:t>
      </w:r>
      <w:r w:rsidR="00C63F8F" w:rsidRPr="00E27443">
        <w:t xml:space="preserve"> </w:t>
      </w:r>
      <w:r w:rsidRPr="00E27443">
        <w:t>and</w:t>
      </w:r>
      <w:r w:rsidR="00C63F8F" w:rsidRPr="00E27443">
        <w:t xml:space="preserve"> </w:t>
      </w:r>
      <w:r w:rsidRPr="00E27443">
        <w:t>social</w:t>
      </w:r>
      <w:r w:rsidR="00C63F8F" w:rsidRPr="00E27443">
        <w:t xml:space="preserve"> </w:t>
      </w:r>
      <w:r w:rsidRPr="00E27443">
        <w:t>intercourse.</w:t>
      </w:r>
      <w:r w:rsidR="00C63F8F" w:rsidRPr="00E27443">
        <w:t xml:space="preserve"> </w:t>
      </w:r>
      <w:r w:rsidRPr="00E27443">
        <w:t>When</w:t>
      </w:r>
      <w:r w:rsidR="00C63F8F" w:rsidRPr="00E27443">
        <w:t xml:space="preserve"> </w:t>
      </w:r>
      <w:r w:rsidRPr="00E27443">
        <w:t>measures</w:t>
      </w:r>
      <w:r w:rsidR="00C63F8F" w:rsidRPr="00E27443">
        <w:t xml:space="preserve"> </w:t>
      </w:r>
      <w:r w:rsidRPr="00E27443">
        <w:t>relate</w:t>
      </w:r>
      <w:r w:rsidR="00C63F8F" w:rsidRPr="00E27443">
        <w:t xml:space="preserve"> </w:t>
      </w:r>
      <w:r w:rsidRPr="00E27443">
        <w:t>to</w:t>
      </w:r>
      <w:r w:rsidR="00C63F8F" w:rsidRPr="00E27443">
        <w:t xml:space="preserve"> </w:t>
      </w:r>
      <w:r w:rsidRPr="00E27443">
        <w:t>children,</w:t>
      </w:r>
      <w:r w:rsidR="00C63F8F" w:rsidRPr="00E27443">
        <w:t xml:space="preserve"> </w:t>
      </w:r>
      <w:r w:rsidRPr="00E27443">
        <w:t>particular</w:t>
      </w:r>
      <w:r w:rsidR="00C63F8F" w:rsidRPr="00E27443">
        <w:t xml:space="preserve"> </w:t>
      </w:r>
      <w:r w:rsidRPr="00E27443">
        <w:t>attention</w:t>
      </w:r>
      <w:r w:rsidR="00C63F8F" w:rsidRPr="00E27443">
        <w:t xml:space="preserve"> </w:t>
      </w:r>
      <w:r w:rsidRPr="00E27443">
        <w:t>must</w:t>
      </w:r>
      <w:r w:rsidR="00C63F8F" w:rsidRPr="00E27443">
        <w:t xml:space="preserve"> </w:t>
      </w:r>
      <w:r w:rsidRPr="00E27443">
        <w:t>be</w:t>
      </w:r>
      <w:r w:rsidR="00C63F8F" w:rsidRPr="00E27443">
        <w:t xml:space="preserve"> </w:t>
      </w:r>
      <w:r w:rsidRPr="00E27443">
        <w:t>given</w:t>
      </w:r>
      <w:r w:rsidR="00C63F8F" w:rsidRPr="00E27443">
        <w:t xml:space="preserve"> </w:t>
      </w:r>
      <w:r w:rsidRPr="00E27443">
        <w:t>to</w:t>
      </w:r>
      <w:r w:rsidR="00C63F8F" w:rsidRPr="00E27443">
        <w:t xml:space="preserve"> </w:t>
      </w:r>
      <w:r w:rsidRPr="00E27443">
        <w:t>what</w:t>
      </w:r>
      <w:r w:rsidR="00C63F8F" w:rsidRPr="00E27443">
        <w:t xml:space="preserve"> ‘</w:t>
      </w:r>
      <w:r w:rsidRPr="00E27443">
        <w:t>consideration</w:t>
      </w:r>
      <w:r w:rsidR="00C63F8F" w:rsidRPr="00E27443">
        <w:t xml:space="preserve"> </w:t>
      </w:r>
      <w:r w:rsidRPr="00E27443">
        <w:t>for</w:t>
      </w:r>
      <w:r w:rsidR="00C63F8F" w:rsidRPr="00E27443">
        <w:t xml:space="preserve"> </w:t>
      </w:r>
      <w:r w:rsidRPr="00E27443">
        <w:t>the</w:t>
      </w:r>
      <w:r w:rsidR="00C63F8F" w:rsidRPr="00E27443">
        <w:t xml:space="preserve"> </w:t>
      </w:r>
      <w:r w:rsidRPr="00E27443">
        <w:t>best</w:t>
      </w:r>
      <w:r w:rsidR="00C63F8F" w:rsidRPr="00E27443">
        <w:t xml:space="preserve"> </w:t>
      </w:r>
      <w:r w:rsidRPr="00E27443">
        <w:t>interests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actually</w:t>
      </w:r>
      <w:r w:rsidR="00C63F8F" w:rsidRPr="00E27443">
        <w:t xml:space="preserve"> </w:t>
      </w:r>
      <w:r w:rsidRPr="00E27443">
        <w:t>entails,</w:t>
      </w:r>
      <w:r w:rsidR="00C63F8F" w:rsidRPr="00E27443">
        <w:t xml:space="preserve"> </w:t>
      </w:r>
      <w:r w:rsidRPr="00E27443">
        <w:t>SOL.</w:t>
      </w:r>
      <w:r w:rsidR="00AC0808" w:rsidRPr="0081312A">
        <w:footnoteReference w:id="94"/>
      </w:r>
      <w:r w:rsidR="00C63F8F" w:rsidRPr="00E27443">
        <w:t xml:space="preserve"> </w:t>
      </w:r>
      <w:r w:rsidRPr="00E27443">
        <w:t>The</w:t>
      </w:r>
      <w:r w:rsidR="00C63F8F" w:rsidRPr="00E27443">
        <w:t xml:space="preserve"> </w:t>
      </w:r>
      <w:r w:rsidRPr="00E27443">
        <w:t>Parents</w:t>
      </w:r>
      <w:r w:rsidR="00C63F8F" w:rsidRPr="00E27443">
        <w:t xml:space="preserve"> </w:t>
      </w:r>
      <w:r w:rsidRPr="00E27443">
        <w:t>and</w:t>
      </w:r>
      <w:r w:rsidR="00C63F8F" w:rsidRPr="00E27443">
        <w:t xml:space="preserve"> </w:t>
      </w:r>
      <w:r w:rsidRPr="00E27443">
        <w:t>Children</w:t>
      </w:r>
      <w:r w:rsidR="00C63F8F" w:rsidRPr="00E27443">
        <w:t xml:space="preserve"> </w:t>
      </w:r>
      <w:r w:rsidRPr="00E27443">
        <w:t>Code</w:t>
      </w:r>
      <w:r w:rsidR="00AC0808" w:rsidRPr="0081312A">
        <w:footnoteReference w:id="95"/>
      </w:r>
      <w:r w:rsidR="00C63F8F" w:rsidRPr="00E27443">
        <w:t xml:space="preserve"> </w:t>
      </w:r>
      <w:r w:rsidRPr="00E27443">
        <w:t>refers</w:t>
      </w:r>
      <w:r w:rsidR="00C63F8F" w:rsidRPr="00E27443">
        <w:t xml:space="preserve"> </w:t>
      </w:r>
      <w:r w:rsidRPr="00E27443">
        <w:t>to</w:t>
      </w:r>
      <w:r w:rsidR="00C63F8F" w:rsidRPr="00E27443">
        <w:t xml:space="preserve"> </w:t>
      </w:r>
      <w:r w:rsidRPr="00E27443">
        <w:t>provisions</w:t>
      </w:r>
      <w:r w:rsidR="00C63F8F" w:rsidRPr="00E27443">
        <w:t xml:space="preserve"> </w:t>
      </w:r>
      <w:r w:rsidRPr="00E27443">
        <w:t>in</w:t>
      </w:r>
      <w:r w:rsidR="00C63F8F" w:rsidRPr="00E27443">
        <w:t xml:space="preserve"> </w:t>
      </w:r>
      <w:r w:rsidRPr="00E27443">
        <w:t>SOL</w:t>
      </w:r>
      <w:r w:rsidR="00C63F8F" w:rsidRPr="00E27443">
        <w:t xml:space="preserve"> </w:t>
      </w:r>
      <w:r w:rsidRPr="00E27443">
        <w:t>regarding</w:t>
      </w:r>
      <w:r w:rsidR="00C63F8F" w:rsidRPr="00E27443">
        <w:t xml:space="preserve"> </w:t>
      </w:r>
      <w:r w:rsidRPr="00E27443">
        <w:t>the</w:t>
      </w:r>
      <w:r w:rsidR="00C63F8F" w:rsidRPr="00E27443">
        <w:t xml:space="preserve"> </w:t>
      </w:r>
      <w:r w:rsidRPr="00E27443">
        <w:t>right</w:t>
      </w:r>
      <w:r w:rsidR="00C63F8F" w:rsidRPr="00E27443">
        <w:t xml:space="preserve"> </w:t>
      </w:r>
      <w:r w:rsidRPr="00E27443">
        <w:t>of</w:t>
      </w:r>
      <w:r w:rsidR="00C63F8F" w:rsidRPr="00E27443">
        <w:t xml:space="preserve"> </w:t>
      </w:r>
      <w:r w:rsidRPr="00E27443">
        <w:t>children</w:t>
      </w:r>
      <w:r w:rsidR="00C63F8F" w:rsidRPr="00E27443">
        <w:t xml:space="preserve"> </w:t>
      </w:r>
      <w:r w:rsidRPr="00E27443">
        <w:t>and</w:t>
      </w:r>
      <w:r w:rsidR="00C63F8F" w:rsidRPr="00E27443">
        <w:t xml:space="preserve"> </w:t>
      </w:r>
      <w:r w:rsidRPr="00E27443">
        <w:t>guardians</w:t>
      </w:r>
      <w:r w:rsidR="00C63F8F" w:rsidRPr="00E27443">
        <w:t xml:space="preserve"> </w:t>
      </w:r>
      <w:r w:rsidRPr="00E27443">
        <w:t>to</w:t>
      </w:r>
      <w:r w:rsidR="00C63F8F" w:rsidRPr="00E27443">
        <w:t xml:space="preserve"> </w:t>
      </w:r>
      <w:r w:rsidRPr="00E27443">
        <w:t>receive</w:t>
      </w:r>
      <w:r w:rsidR="00C63F8F" w:rsidRPr="00E27443">
        <w:t xml:space="preserve"> </w:t>
      </w:r>
      <w:r w:rsidRPr="00E27443">
        <w:t>support</w:t>
      </w:r>
      <w:r w:rsidR="00C63F8F" w:rsidRPr="00E27443">
        <w:t xml:space="preserve"> </w:t>
      </w:r>
      <w:r w:rsidRPr="00E27443">
        <w:t>and</w:t>
      </w:r>
      <w:r w:rsidR="00C63F8F" w:rsidRPr="00E27443">
        <w:t xml:space="preserve"> </w:t>
      </w:r>
      <w:r w:rsidRPr="00E27443">
        <w:t>assistance</w:t>
      </w:r>
      <w:r w:rsidR="00C63F8F" w:rsidRPr="00E27443">
        <w:t xml:space="preserve"> </w:t>
      </w:r>
      <w:r w:rsidRPr="00E27443">
        <w:t>from</w:t>
      </w:r>
      <w:r w:rsidR="00C63F8F" w:rsidRPr="00E27443">
        <w:t xml:space="preserve"> </w:t>
      </w:r>
      <w:r w:rsidRPr="00E27443">
        <w:t>the</w:t>
      </w:r>
      <w:r w:rsidR="00C63F8F" w:rsidRPr="00E27443">
        <w:t xml:space="preserve"> </w:t>
      </w:r>
      <w:r w:rsidRPr="00E27443">
        <w:t>social</w:t>
      </w:r>
      <w:r w:rsidR="00C63F8F" w:rsidRPr="00E27443">
        <w:t xml:space="preserve"> </w:t>
      </w:r>
      <w:r w:rsidRPr="00E27443">
        <w:t>welfare</w:t>
      </w:r>
      <w:r w:rsidR="00C63F8F" w:rsidRPr="00E27443">
        <w:t xml:space="preserve"> </w:t>
      </w:r>
      <w:r w:rsidRPr="00E27443">
        <w:t>board.</w:t>
      </w:r>
      <w:r w:rsidR="00C63F8F" w:rsidRPr="00E27443">
        <w:t xml:space="preserve"> </w:t>
      </w:r>
    </w:p>
    <w:p w:rsidR="00321ADA" w:rsidRPr="00E27443" w:rsidRDefault="00321ADA" w:rsidP="0081312A">
      <w:pPr>
        <w:pStyle w:val="SingleTxtG"/>
        <w:numPr>
          <w:ilvl w:val="0"/>
          <w:numId w:val="20"/>
        </w:numPr>
        <w:tabs>
          <w:tab w:val="left" w:pos="1843"/>
        </w:tabs>
        <w:ind w:left="1134" w:firstLine="0"/>
      </w:pPr>
      <w:r w:rsidRPr="00E27443">
        <w:t>The</w:t>
      </w:r>
      <w:r w:rsidR="00C63F8F" w:rsidRPr="00E27443">
        <w:t xml:space="preserve"> </w:t>
      </w:r>
      <w:r w:rsidRPr="00E27443">
        <w:t>Parents</w:t>
      </w:r>
      <w:r w:rsidR="00C63F8F" w:rsidRPr="00E27443">
        <w:t xml:space="preserve"> </w:t>
      </w:r>
      <w:r w:rsidRPr="00E27443">
        <w:t>and</w:t>
      </w:r>
      <w:r w:rsidR="00C63F8F" w:rsidRPr="00E27443">
        <w:t xml:space="preserve"> </w:t>
      </w:r>
      <w:r w:rsidRPr="00E27443">
        <w:t>Children</w:t>
      </w:r>
      <w:r w:rsidR="00C63F8F" w:rsidRPr="00E27443">
        <w:t xml:space="preserve"> </w:t>
      </w:r>
      <w:r w:rsidRPr="00E27443">
        <w:t>Code</w:t>
      </w:r>
      <w:r w:rsidR="00C63F8F" w:rsidRPr="00E27443">
        <w:t xml:space="preserve"> </w:t>
      </w:r>
      <w:r w:rsidRPr="00E27443">
        <w:t>and</w:t>
      </w:r>
      <w:r w:rsidR="00C63F8F" w:rsidRPr="00E27443">
        <w:t xml:space="preserve"> </w:t>
      </w:r>
      <w:r w:rsidRPr="00E27443">
        <w:t>the</w:t>
      </w:r>
      <w:r w:rsidR="00C63F8F" w:rsidRPr="00E27443">
        <w:t xml:space="preserve"> </w:t>
      </w:r>
      <w:r w:rsidRPr="00E27443">
        <w:t>Act</w:t>
      </w:r>
      <w:r w:rsidR="00AC0808" w:rsidRPr="0081312A">
        <w:footnoteReference w:id="96"/>
      </w:r>
      <w:r w:rsidR="00C63F8F" w:rsidRPr="00E27443">
        <w:t xml:space="preserve"> </w:t>
      </w:r>
      <w:r w:rsidRPr="00E27443">
        <w:t>on</w:t>
      </w:r>
      <w:r w:rsidR="00C63F8F" w:rsidRPr="00E27443">
        <w:t xml:space="preserve"> </w:t>
      </w:r>
      <w:r w:rsidRPr="00E27443">
        <w:t>the</w:t>
      </w:r>
      <w:r w:rsidR="00C63F8F" w:rsidRPr="00E27443">
        <w:t xml:space="preserve"> </w:t>
      </w:r>
      <w:r w:rsidRPr="00E27443">
        <w:t>Care</w:t>
      </w:r>
      <w:r w:rsidR="00C63F8F" w:rsidRPr="00E27443">
        <w:t xml:space="preserve"> </w:t>
      </w:r>
      <w:r w:rsidRPr="00E27443">
        <w:t>of</w:t>
      </w:r>
      <w:r w:rsidR="00C63F8F" w:rsidRPr="00E27443">
        <w:t xml:space="preserve"> </w:t>
      </w:r>
      <w:r w:rsidRPr="00E27443">
        <w:t>Young</w:t>
      </w:r>
      <w:r w:rsidR="00C63F8F" w:rsidRPr="00E27443">
        <w:t xml:space="preserve"> </w:t>
      </w:r>
      <w:r w:rsidRPr="00E27443">
        <w:t>Persons</w:t>
      </w:r>
      <w:r w:rsidR="00C63F8F" w:rsidRPr="00E27443">
        <w:t xml:space="preserve"> </w:t>
      </w:r>
      <w:r w:rsidRPr="00E27443">
        <w:t>(LVU)</w:t>
      </w:r>
      <w:r w:rsidR="00C63F8F" w:rsidRPr="00E27443">
        <w:t xml:space="preserve"> </w:t>
      </w:r>
      <w:r w:rsidRPr="00E27443">
        <w:t>carefully</w:t>
      </w:r>
      <w:r w:rsidR="00C63F8F" w:rsidRPr="00E27443">
        <w:t xml:space="preserve"> </w:t>
      </w:r>
      <w:r w:rsidRPr="00E27443">
        <w:t>regulate</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under</w:t>
      </w:r>
      <w:r w:rsidR="00C63F8F" w:rsidRPr="00E27443">
        <w:t xml:space="preserve"> </w:t>
      </w:r>
      <w:r w:rsidRPr="00E27443">
        <w:t>which</w:t>
      </w:r>
      <w:r w:rsidR="00C63F8F" w:rsidRPr="00E27443">
        <w:t xml:space="preserve"> </w:t>
      </w:r>
      <w:r w:rsidRPr="00E27443">
        <w:t>a</w:t>
      </w:r>
      <w:r w:rsidR="00C63F8F" w:rsidRPr="00E27443">
        <w:t xml:space="preserve"> </w:t>
      </w:r>
      <w:r w:rsidRPr="00E27443">
        <w:t>child</w:t>
      </w:r>
      <w:r w:rsidR="00C63F8F" w:rsidRPr="00E27443">
        <w:t xml:space="preserve"> </w:t>
      </w:r>
      <w:r w:rsidRPr="00E27443">
        <w:t>may</w:t>
      </w:r>
      <w:r w:rsidR="00C63F8F" w:rsidRPr="00E27443">
        <w:t xml:space="preserve"> </w:t>
      </w:r>
      <w:r w:rsidRPr="00E27443">
        <w:t>be</w:t>
      </w:r>
      <w:r w:rsidR="00C63F8F" w:rsidRPr="00E27443">
        <w:t xml:space="preserve"> </w:t>
      </w:r>
      <w:r w:rsidRPr="00E27443">
        <w:t>separated</w:t>
      </w:r>
      <w:r w:rsidR="00C63F8F" w:rsidRPr="00E27443">
        <w:t xml:space="preserve"> </w:t>
      </w:r>
      <w:r w:rsidRPr="00E27443">
        <w:t>from</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parents</w:t>
      </w:r>
      <w:r w:rsidR="00C63F8F" w:rsidRPr="00E27443">
        <w:t xml:space="preserve"> </w:t>
      </w:r>
      <w:r w:rsidRPr="00E27443">
        <w:t>against</w:t>
      </w:r>
      <w:r w:rsidR="00C63F8F" w:rsidRPr="00E27443">
        <w:t xml:space="preserve"> </w:t>
      </w:r>
      <w:r w:rsidRPr="00E27443">
        <w:t>their</w:t>
      </w:r>
      <w:r w:rsidR="00C63F8F" w:rsidRPr="00E27443">
        <w:t xml:space="preserve"> </w:t>
      </w:r>
      <w:r w:rsidRPr="00E27443">
        <w:t>will.</w:t>
      </w:r>
      <w:r w:rsidR="00C63F8F" w:rsidRPr="00E27443">
        <w:t xml:space="preserve"> </w:t>
      </w:r>
      <w:r w:rsidRPr="00E27443">
        <w:t>Such</w:t>
      </w:r>
      <w:r w:rsidR="00C63F8F" w:rsidRPr="00E27443">
        <w:t xml:space="preserve"> </w:t>
      </w:r>
      <w:r w:rsidRPr="00E27443">
        <w:t>separation</w:t>
      </w:r>
      <w:r w:rsidR="00C63F8F" w:rsidRPr="00E27443">
        <w:t xml:space="preserve"> </w:t>
      </w:r>
      <w:r w:rsidRPr="00E27443">
        <w:t>may</w:t>
      </w:r>
      <w:r w:rsidR="00C63F8F" w:rsidRPr="00E27443">
        <w:t xml:space="preserve"> </w:t>
      </w:r>
      <w:r w:rsidRPr="00E27443">
        <w:t>only</w:t>
      </w:r>
      <w:r w:rsidR="00C63F8F" w:rsidRPr="00E27443">
        <w:t xml:space="preserve"> </w:t>
      </w:r>
      <w:r w:rsidRPr="00E27443">
        <w:t>be</w:t>
      </w:r>
      <w:r w:rsidR="00C63F8F" w:rsidRPr="00E27443">
        <w:t xml:space="preserve"> </w:t>
      </w:r>
      <w:r w:rsidRPr="00E27443">
        <w:t>carried</w:t>
      </w:r>
      <w:r w:rsidR="00C63F8F" w:rsidRPr="00E27443">
        <w:t xml:space="preserve"> </w:t>
      </w:r>
      <w:r w:rsidRPr="00E27443">
        <w:t>out</w:t>
      </w:r>
      <w:r w:rsidR="00C63F8F" w:rsidRPr="00E27443">
        <w:t xml:space="preserve"> </w:t>
      </w:r>
      <w:r w:rsidRPr="00E27443">
        <w:t>when</w:t>
      </w:r>
      <w:r w:rsidR="00C63F8F" w:rsidRPr="00E27443">
        <w:t xml:space="preserve"> </w:t>
      </w:r>
      <w:r w:rsidRPr="00E27443">
        <w:t>it</w:t>
      </w:r>
      <w:r w:rsidR="00C63F8F" w:rsidRPr="00E27443">
        <w:t xml:space="preserve"> </w:t>
      </w:r>
      <w:r w:rsidRPr="00E27443">
        <w:t>is</w:t>
      </w:r>
      <w:r w:rsidR="00C63F8F" w:rsidRPr="00E27443">
        <w:t xml:space="preserve"> </w:t>
      </w:r>
      <w:r w:rsidRPr="00E27443">
        <w:t>deemed</w:t>
      </w:r>
      <w:r w:rsidR="00C63F8F" w:rsidRPr="00E27443">
        <w:t xml:space="preserve"> </w:t>
      </w:r>
      <w:r w:rsidRPr="00E27443">
        <w:t>necessary</w:t>
      </w:r>
      <w:r w:rsidR="00C63F8F" w:rsidRPr="00E27443">
        <w:t xml:space="preserve"> </w:t>
      </w:r>
      <w:r w:rsidRPr="00E27443">
        <w:t>for</w:t>
      </w:r>
      <w:r w:rsidR="00C63F8F" w:rsidRPr="00E27443">
        <w:t xml:space="preserve"> </w:t>
      </w:r>
      <w:r w:rsidRPr="00E27443">
        <w:t>the</w:t>
      </w:r>
      <w:r w:rsidR="00C63F8F" w:rsidRPr="00E27443">
        <w:t xml:space="preserve"> </w:t>
      </w:r>
      <w:r w:rsidRPr="00E27443">
        <w:t>best</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and</w:t>
      </w:r>
      <w:r w:rsidR="00C63F8F" w:rsidRPr="00E27443">
        <w:t xml:space="preserve"> </w:t>
      </w:r>
      <w:r w:rsidRPr="00E27443">
        <w:t>can</w:t>
      </w:r>
      <w:r w:rsidR="00C63F8F" w:rsidRPr="00E27443">
        <w:t xml:space="preserve"> </w:t>
      </w:r>
      <w:r w:rsidRPr="00E27443">
        <w:t>be</w:t>
      </w:r>
      <w:r w:rsidR="00C63F8F" w:rsidRPr="00E27443">
        <w:t xml:space="preserve"> </w:t>
      </w:r>
      <w:r w:rsidRPr="00E27443">
        <w:t>referred</w:t>
      </w:r>
      <w:r w:rsidR="00C63F8F" w:rsidRPr="00E27443">
        <w:t xml:space="preserve"> </w:t>
      </w:r>
      <w:r w:rsidRPr="00E27443">
        <w:t>to</w:t>
      </w:r>
      <w:r w:rsidR="00C63F8F" w:rsidRPr="00E27443">
        <w:t xml:space="preserve"> </w:t>
      </w:r>
      <w:r w:rsidRPr="00E27443">
        <w:t>legal</w:t>
      </w:r>
      <w:r w:rsidR="00C63F8F" w:rsidRPr="00E27443">
        <w:t xml:space="preserve"> </w:t>
      </w:r>
      <w:r w:rsidRPr="00E27443">
        <w:t>review.</w:t>
      </w:r>
      <w:r w:rsidR="00C63F8F" w:rsidRPr="00E27443">
        <w:t xml:space="preserve"> </w:t>
      </w:r>
      <w:r w:rsidRPr="00E27443">
        <w:t>In</w:t>
      </w:r>
      <w:r w:rsidR="00C63F8F" w:rsidRPr="00E27443">
        <w:t xml:space="preserve"> </w:t>
      </w:r>
      <w:r w:rsidRPr="00E27443">
        <w:t>no</w:t>
      </w:r>
      <w:r w:rsidR="00C63F8F" w:rsidRPr="00E27443">
        <w:t xml:space="preserve"> </w:t>
      </w:r>
      <w:r w:rsidRPr="00E27443">
        <w:t>cases</w:t>
      </w:r>
      <w:r w:rsidR="00C63F8F" w:rsidRPr="00E27443">
        <w:t xml:space="preserve"> </w:t>
      </w:r>
      <w:r w:rsidRPr="00E27443">
        <w:t>may</w:t>
      </w:r>
      <w:r w:rsidR="00C63F8F" w:rsidRPr="00E27443">
        <w:t xml:space="preserve"> </w:t>
      </w:r>
      <w:r w:rsidRPr="00E27443">
        <w:t>a</w:t>
      </w:r>
      <w:r w:rsidR="00C63F8F" w:rsidRPr="00E27443">
        <w:t xml:space="preserve"> </w:t>
      </w:r>
      <w:r w:rsidRPr="00E27443">
        <w:t>child</w:t>
      </w:r>
      <w:r w:rsidR="00C63F8F" w:rsidRPr="00E27443">
        <w:t xml:space="preserve"> </w:t>
      </w:r>
      <w:r w:rsidRPr="00E27443">
        <w:t>be</w:t>
      </w:r>
      <w:r w:rsidR="00C63F8F" w:rsidRPr="00E27443">
        <w:t xml:space="preserve"> </w:t>
      </w:r>
      <w:r w:rsidRPr="00E27443">
        <w:t>separated</w:t>
      </w:r>
      <w:r w:rsidR="00C63F8F" w:rsidRPr="00E27443">
        <w:t xml:space="preserve"> </w:t>
      </w:r>
      <w:r w:rsidRPr="00E27443">
        <w:t>from</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parents</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disability</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or</w:t>
      </w:r>
      <w:r w:rsidR="00C63F8F" w:rsidRPr="00E27443">
        <w:t xml:space="preserve"> </w:t>
      </w:r>
      <w:r w:rsidRPr="00E27443">
        <w:t>of</w:t>
      </w:r>
      <w:r w:rsidR="00C63F8F" w:rsidRPr="00E27443">
        <w:t xml:space="preserve"> </w:t>
      </w:r>
      <w:r w:rsidRPr="00E27443">
        <w:t>one</w:t>
      </w:r>
      <w:r w:rsidR="00C63F8F" w:rsidRPr="00E27443">
        <w:t xml:space="preserve"> </w:t>
      </w:r>
      <w:r w:rsidRPr="00E27443">
        <w:t>or</w:t>
      </w:r>
      <w:r w:rsidR="00C63F8F" w:rsidRPr="00E27443">
        <w:t xml:space="preserve"> </w:t>
      </w:r>
      <w:r w:rsidRPr="00E27443">
        <w:t>both</w:t>
      </w:r>
      <w:r w:rsidR="00C63F8F" w:rsidRPr="00E27443">
        <w:t xml:space="preserve"> </w:t>
      </w:r>
      <w:r w:rsidRPr="00E27443">
        <w:t>parents.</w:t>
      </w:r>
      <w:r w:rsidR="00C63F8F" w:rsidRPr="00E27443">
        <w:t xml:space="preserve"> </w:t>
      </w:r>
    </w:p>
    <w:p w:rsidR="00321ADA" w:rsidRPr="00E27443" w:rsidRDefault="00321ADA" w:rsidP="0081312A">
      <w:pPr>
        <w:pStyle w:val="SingleTxtG"/>
        <w:numPr>
          <w:ilvl w:val="0"/>
          <w:numId w:val="20"/>
        </w:numPr>
        <w:tabs>
          <w:tab w:val="left" w:pos="1843"/>
        </w:tabs>
        <w:ind w:left="1134" w:firstLine="0"/>
      </w:pPr>
      <w:r w:rsidRPr="00E27443">
        <w:t>SOL</w:t>
      </w:r>
      <w:r w:rsidR="00AC0808" w:rsidRPr="0081312A">
        <w:footnoteReference w:id="97"/>
      </w:r>
      <w:r w:rsidR="00C63F8F" w:rsidRPr="00E27443">
        <w:t xml:space="preserve"> </w:t>
      </w:r>
      <w:r w:rsidRPr="00E27443">
        <w:t>also</w:t>
      </w:r>
      <w:r w:rsidR="00C63F8F" w:rsidRPr="00E27443">
        <w:t xml:space="preserve"> </w:t>
      </w:r>
      <w:r w:rsidRPr="00E27443">
        <w:t>lays</w:t>
      </w:r>
      <w:r w:rsidR="00C63F8F" w:rsidRPr="00E27443">
        <w:t xml:space="preserve"> </w:t>
      </w:r>
      <w:r w:rsidRPr="00E27443">
        <w:t>down</w:t>
      </w:r>
      <w:r w:rsidR="00C63F8F" w:rsidRPr="00E27443">
        <w:t xml:space="preserve"> </w:t>
      </w:r>
      <w:r w:rsidRPr="00E27443">
        <w:t>comprehensive</w:t>
      </w:r>
      <w:r w:rsidR="00C63F8F" w:rsidRPr="00E27443">
        <w:t xml:space="preserve"> </w:t>
      </w:r>
      <w:r w:rsidRPr="00E27443">
        <w:t>obligations</w:t>
      </w:r>
      <w:r w:rsidR="00C63F8F" w:rsidRPr="00E27443">
        <w:t xml:space="preserve"> </w:t>
      </w:r>
      <w:r w:rsidRPr="00E27443">
        <w:t>for</w:t>
      </w:r>
      <w:r w:rsidR="00C63F8F" w:rsidRPr="00E27443">
        <w:t xml:space="preserve"> </w:t>
      </w:r>
      <w:r w:rsidRPr="00E27443">
        <w:t>the</w:t>
      </w:r>
      <w:r w:rsidR="00C63F8F" w:rsidRPr="00E27443">
        <w:t xml:space="preserve"> </w:t>
      </w:r>
      <w:r w:rsidRPr="00E27443">
        <w:t>social</w:t>
      </w:r>
      <w:r w:rsidR="00C63F8F" w:rsidRPr="00E27443">
        <w:t xml:space="preserve"> </w:t>
      </w:r>
      <w:r w:rsidRPr="00E27443">
        <w:t>welfare</w:t>
      </w:r>
      <w:r w:rsidR="00C63F8F" w:rsidRPr="00E27443">
        <w:t xml:space="preserve"> </w:t>
      </w:r>
      <w:r w:rsidRPr="00E27443">
        <w:t>boards</w:t>
      </w:r>
      <w:r w:rsidR="00C63F8F" w:rsidRPr="00E27443">
        <w:t xml:space="preserve"> </w:t>
      </w:r>
      <w:r w:rsidRPr="00E27443">
        <w:t>to</w:t>
      </w:r>
      <w:r w:rsidR="00C63F8F" w:rsidRPr="00E27443">
        <w:t xml:space="preserve"> </w:t>
      </w:r>
      <w:r w:rsidRPr="00E27443">
        <w:t>work</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people</w:t>
      </w:r>
      <w:r w:rsidR="00C63F8F" w:rsidRPr="00E27443">
        <w:t xml:space="preserve"> </w:t>
      </w:r>
      <w:r w:rsidRPr="00E27443">
        <w:t>grow</w:t>
      </w:r>
      <w:r w:rsidR="00C63F8F" w:rsidRPr="00E27443">
        <w:t xml:space="preserve"> </w:t>
      </w:r>
      <w:r w:rsidRPr="00E27443">
        <w:t>up</w:t>
      </w:r>
      <w:r w:rsidR="00C63F8F" w:rsidRPr="00E27443">
        <w:t xml:space="preserve"> </w:t>
      </w:r>
      <w:r w:rsidRPr="00E27443">
        <w:t>in</w:t>
      </w:r>
      <w:r w:rsidR="00C63F8F" w:rsidRPr="00E27443">
        <w:t xml:space="preserve"> </w:t>
      </w:r>
      <w:r w:rsidRPr="00E27443">
        <w:t>good,</w:t>
      </w:r>
      <w:r w:rsidR="00C63F8F" w:rsidRPr="00E27443">
        <w:t xml:space="preserve"> </w:t>
      </w:r>
      <w:r w:rsidRPr="00E27443">
        <w:t>secure</w:t>
      </w:r>
      <w:r w:rsidR="00C63F8F" w:rsidRPr="00E27443">
        <w:t xml:space="preserve"> </w:t>
      </w:r>
      <w:r w:rsidRPr="00E27443">
        <w:t>conditions</w:t>
      </w:r>
      <w:r w:rsidR="00C63F8F" w:rsidRPr="00E27443">
        <w:t xml:space="preserve"> </w:t>
      </w:r>
      <w:r w:rsidRPr="00E27443">
        <w:t>and</w:t>
      </w:r>
      <w:r w:rsidR="00C63F8F" w:rsidRPr="00E27443">
        <w:t xml:space="preserve"> </w:t>
      </w:r>
      <w:r w:rsidRPr="00E27443">
        <w:t>for</w:t>
      </w:r>
      <w:r w:rsidR="00C63F8F" w:rsidRPr="00E27443">
        <w:t xml:space="preserve"> </w:t>
      </w:r>
      <w:r w:rsidRPr="00E27443">
        <w:t>example</w:t>
      </w:r>
      <w:r w:rsidR="00C63F8F" w:rsidRPr="00E27443">
        <w:t xml:space="preserve"> </w:t>
      </w:r>
      <w:r w:rsidRPr="00E27443">
        <w:t>to</w:t>
      </w:r>
      <w:r w:rsidR="00C63F8F" w:rsidRPr="00E27443">
        <w:t xml:space="preserve"> </w:t>
      </w:r>
      <w:r w:rsidRPr="00E27443">
        <w:t>ensure,</w:t>
      </w:r>
      <w:r w:rsidR="00C63F8F" w:rsidRPr="00E27443">
        <w:t xml:space="preserve"> </w:t>
      </w:r>
      <w:r w:rsidRPr="00E27443">
        <w:t>in</w:t>
      </w:r>
      <w:r w:rsidR="00C63F8F" w:rsidRPr="00E27443">
        <w:t xml:space="preserve"> </w:t>
      </w:r>
      <w:r w:rsidRPr="00E27443">
        <w:t>close</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home,</w:t>
      </w:r>
      <w:r w:rsidR="00C63F8F" w:rsidRPr="00E27443">
        <w:t xml:space="preserve"> </w:t>
      </w:r>
      <w:r w:rsidRPr="00E27443">
        <w:t>that</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people</w:t>
      </w:r>
      <w:r w:rsidR="00C63F8F" w:rsidRPr="00E27443">
        <w:t xml:space="preserve"> </w:t>
      </w:r>
      <w:r w:rsidRPr="00E27443">
        <w:t>who</w:t>
      </w:r>
      <w:r w:rsidR="00C63F8F" w:rsidRPr="00E27443">
        <w:t xml:space="preserve"> </w:t>
      </w:r>
      <w:r w:rsidRPr="00E27443">
        <w:t>are</w:t>
      </w:r>
      <w:r w:rsidR="00C63F8F" w:rsidRPr="00E27443">
        <w:t xml:space="preserve"> </w:t>
      </w:r>
      <w:r w:rsidRPr="00E27443">
        <w:t>at</w:t>
      </w:r>
      <w:r w:rsidR="00C63F8F" w:rsidRPr="00E27443">
        <w:t xml:space="preserve"> </w:t>
      </w:r>
      <w:r w:rsidRPr="00E27443">
        <w:t>risk</w:t>
      </w:r>
      <w:r w:rsidR="00C63F8F" w:rsidRPr="00E27443">
        <w:t xml:space="preserve"> </w:t>
      </w:r>
      <w:r w:rsidRPr="00E27443">
        <w:t>of</w:t>
      </w:r>
      <w:r w:rsidR="00C63F8F" w:rsidRPr="00E27443">
        <w:t xml:space="preserve"> </w:t>
      </w:r>
      <w:r w:rsidRPr="00E27443">
        <w:t>developing</w:t>
      </w:r>
      <w:r w:rsidR="00C63F8F" w:rsidRPr="00E27443">
        <w:t xml:space="preserve"> </w:t>
      </w:r>
      <w:r w:rsidRPr="00E27443">
        <w:t>unfavourably</w:t>
      </w:r>
      <w:r w:rsidR="00C63F8F" w:rsidRPr="00E27443">
        <w:t xml:space="preserve"> </w:t>
      </w:r>
      <w:r w:rsidRPr="00E27443">
        <w:t>receive</w:t>
      </w:r>
      <w:r w:rsidR="00C63F8F" w:rsidRPr="00E27443">
        <w:t xml:space="preserve"> </w:t>
      </w:r>
      <w:r w:rsidRPr="00E27443">
        <w:t>the</w:t>
      </w:r>
      <w:r w:rsidR="00C63F8F" w:rsidRPr="00E27443">
        <w:t xml:space="preserve"> </w:t>
      </w:r>
      <w:r w:rsidRPr="00E27443">
        <w:t>protection</w:t>
      </w:r>
      <w:r w:rsidR="00C63F8F" w:rsidRPr="00E27443">
        <w:t xml:space="preserve"> </w:t>
      </w:r>
      <w:r w:rsidRPr="00E27443">
        <w:t>and</w:t>
      </w:r>
      <w:r w:rsidR="00C63F8F" w:rsidRPr="00E27443">
        <w:t xml:space="preserve"> </w:t>
      </w:r>
      <w:r w:rsidRPr="00E27443">
        <w:t>support</w:t>
      </w:r>
      <w:r w:rsidR="00C63F8F" w:rsidRPr="00E27443">
        <w:t xml:space="preserve"> </w:t>
      </w:r>
      <w:r w:rsidRPr="00E27443">
        <w:t>they</w:t>
      </w:r>
      <w:r w:rsidR="00C63F8F" w:rsidRPr="00E27443">
        <w:t xml:space="preserve"> </w:t>
      </w:r>
      <w:r w:rsidRPr="00E27443">
        <w:t>need</w:t>
      </w:r>
      <w:r w:rsidR="00C63F8F" w:rsidRPr="00E27443">
        <w:t xml:space="preserve"> </w:t>
      </w:r>
      <w:r w:rsidRPr="00E27443">
        <w:t>and,</w:t>
      </w:r>
      <w:r w:rsidR="00C63F8F" w:rsidRPr="00E27443">
        <w:t xml:space="preserve"> </w:t>
      </w:r>
      <w:r w:rsidRPr="00E27443">
        <w:t>if</w:t>
      </w:r>
      <w:r w:rsidR="00C63F8F" w:rsidRPr="00E27443">
        <w:t xml:space="preserve"> </w:t>
      </w:r>
      <w:r w:rsidRPr="00E27443">
        <w:t>it</w:t>
      </w:r>
      <w:r w:rsidR="00C63F8F" w:rsidRPr="00E27443">
        <w:t xml:space="preserve"> </w:t>
      </w:r>
      <w:r w:rsidRPr="00E27443">
        <w:t>is</w:t>
      </w:r>
      <w:r w:rsidR="00C63F8F" w:rsidRPr="00E27443">
        <w:t xml:space="preserve"> </w:t>
      </w:r>
      <w:r w:rsidRPr="00E27443">
        <w:t>justified</w:t>
      </w:r>
      <w:r w:rsidR="00C63F8F" w:rsidRPr="00E27443">
        <w:t xml:space="preserve"> </w:t>
      </w:r>
      <w:r w:rsidRPr="00E27443">
        <w:t>by</w:t>
      </w:r>
      <w:r w:rsidR="00C63F8F" w:rsidRPr="00E27443">
        <w:t xml:space="preserve"> </w:t>
      </w:r>
      <w:r w:rsidRPr="00E27443">
        <w:t>consideration</w:t>
      </w:r>
      <w:r w:rsidR="00C63F8F" w:rsidRPr="00E27443">
        <w:t xml:space="preserve"> </w:t>
      </w:r>
      <w:r w:rsidRPr="00E27443">
        <w:t>for</w:t>
      </w:r>
      <w:r w:rsidR="00C63F8F" w:rsidRPr="00E27443">
        <w:t xml:space="preserve"> </w:t>
      </w:r>
      <w:r w:rsidRPr="00E27443">
        <w:t>the</w:t>
      </w:r>
      <w:r w:rsidR="00C63F8F" w:rsidRPr="00E27443">
        <w:t xml:space="preserve"> </w:t>
      </w:r>
      <w:r w:rsidRPr="00E27443">
        <w:t>best</w:t>
      </w:r>
      <w:r w:rsidR="00C63F8F" w:rsidRPr="00E27443">
        <w:t xml:space="preserve"> </w:t>
      </w:r>
      <w:r w:rsidRPr="00E27443">
        <w:t>interest</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care</w:t>
      </w:r>
      <w:r w:rsidR="00C63F8F" w:rsidRPr="00E27443">
        <w:t xml:space="preserve"> </w:t>
      </w:r>
      <w:r w:rsidRPr="00E27443">
        <w:t>and</w:t>
      </w:r>
      <w:r w:rsidR="00C63F8F" w:rsidRPr="00E27443">
        <w:t xml:space="preserve"> </w:t>
      </w:r>
      <w:r w:rsidRPr="00E27443">
        <w:t>upbringing</w:t>
      </w:r>
      <w:r w:rsidR="00C63F8F" w:rsidRPr="00E27443">
        <w:t xml:space="preserve"> </w:t>
      </w:r>
      <w:r w:rsidRPr="00E27443">
        <w:t>outside</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own</w:t>
      </w:r>
      <w:r w:rsidR="00C63F8F" w:rsidRPr="00E27443">
        <w:t xml:space="preserve"> </w:t>
      </w:r>
      <w:r w:rsidRPr="00E27443">
        <w:t>home.</w:t>
      </w:r>
      <w:r w:rsidR="00C63F8F" w:rsidRPr="00E27443">
        <w:t xml:space="preserve"> </w:t>
      </w:r>
    </w:p>
    <w:p w:rsidR="00321ADA" w:rsidRPr="00E27443" w:rsidRDefault="00321ADA" w:rsidP="0081312A">
      <w:pPr>
        <w:pStyle w:val="SingleTxtG"/>
        <w:numPr>
          <w:ilvl w:val="0"/>
          <w:numId w:val="20"/>
        </w:numPr>
        <w:tabs>
          <w:tab w:val="left" w:pos="1843"/>
        </w:tabs>
        <w:ind w:left="1134" w:firstLine="0"/>
      </w:pPr>
      <w:r w:rsidRPr="00E27443">
        <w:t>When</w:t>
      </w:r>
      <w:r w:rsidR="00C63F8F" w:rsidRPr="00E27443">
        <w:t xml:space="preserve"> </w:t>
      </w:r>
      <w:r w:rsidRPr="00E27443">
        <w:t>a</w:t>
      </w:r>
      <w:r w:rsidR="00C63F8F" w:rsidRPr="00E27443">
        <w:t xml:space="preserve"> </w:t>
      </w:r>
      <w:r w:rsidRPr="00E27443">
        <w:t>child</w:t>
      </w:r>
      <w:r w:rsidR="00C63F8F" w:rsidRPr="00E27443">
        <w:t xml:space="preserve"> </w:t>
      </w:r>
      <w:r w:rsidRPr="00E27443">
        <w:t>needs</w:t>
      </w:r>
      <w:r w:rsidR="00C63F8F" w:rsidRPr="00E27443">
        <w:t xml:space="preserve"> </w:t>
      </w:r>
      <w:r w:rsidRPr="00E27443">
        <w:t>to</w:t>
      </w:r>
      <w:r w:rsidR="00C63F8F" w:rsidRPr="00E27443">
        <w:t xml:space="preserve"> </w:t>
      </w:r>
      <w:r w:rsidRPr="00E27443">
        <w:t>be</w:t>
      </w:r>
      <w:r w:rsidR="00C63F8F" w:rsidRPr="00E27443">
        <w:t xml:space="preserve"> </w:t>
      </w:r>
      <w:r w:rsidRPr="00E27443">
        <w:t>cared</w:t>
      </w:r>
      <w:r w:rsidR="00C63F8F" w:rsidRPr="00E27443">
        <w:t xml:space="preserve"> </w:t>
      </w:r>
      <w:r w:rsidRPr="00E27443">
        <w:t>for</w:t>
      </w:r>
      <w:r w:rsidR="00C63F8F" w:rsidRPr="00E27443">
        <w:t xml:space="preserve"> </w:t>
      </w:r>
      <w:r w:rsidRPr="00E27443">
        <w:t>or</w:t>
      </w:r>
      <w:r w:rsidR="00C63F8F" w:rsidRPr="00E27443">
        <w:t xml:space="preserve"> </w:t>
      </w:r>
      <w:r w:rsidRPr="00E27443">
        <w:t>live</w:t>
      </w:r>
      <w:r w:rsidR="00C63F8F" w:rsidRPr="00E27443">
        <w:t xml:space="preserve"> </w:t>
      </w:r>
      <w:r w:rsidRPr="00E27443">
        <w:t>in</w:t>
      </w:r>
      <w:r w:rsidR="00C63F8F" w:rsidRPr="00E27443">
        <w:t xml:space="preserve"> </w:t>
      </w:r>
      <w:r w:rsidRPr="00E27443">
        <w:t>a</w:t>
      </w:r>
      <w:r w:rsidR="00C63F8F" w:rsidRPr="00E27443">
        <w:t xml:space="preserve"> </w:t>
      </w:r>
      <w:r w:rsidRPr="00E27443">
        <w:t>home</w:t>
      </w:r>
      <w:r w:rsidR="00C63F8F" w:rsidRPr="00E27443">
        <w:t xml:space="preserve"> </w:t>
      </w:r>
      <w:r w:rsidRPr="00E27443">
        <w:t>other</w:t>
      </w:r>
      <w:r w:rsidR="00C63F8F" w:rsidRPr="00E27443">
        <w:t xml:space="preserve"> </w:t>
      </w:r>
      <w:r w:rsidRPr="00E27443">
        <w:t>than</w:t>
      </w:r>
      <w:r w:rsidR="00C63F8F" w:rsidRPr="00E27443">
        <w:t xml:space="preserve"> </w:t>
      </w:r>
      <w:r w:rsidRPr="00E27443">
        <w:t>their</w:t>
      </w:r>
      <w:r w:rsidR="00C63F8F" w:rsidRPr="00E27443">
        <w:t xml:space="preserve"> </w:t>
      </w:r>
      <w:r w:rsidRPr="00E27443">
        <w:t>own,</w:t>
      </w:r>
      <w:r w:rsidR="00C63F8F" w:rsidRPr="00E27443">
        <w:t xml:space="preserve"> </w:t>
      </w:r>
      <w:r w:rsidRPr="00E27443">
        <w:t>it</w:t>
      </w:r>
      <w:r w:rsidR="00C63F8F" w:rsidRPr="00E27443">
        <w:t xml:space="preserve"> </w:t>
      </w:r>
      <w:r w:rsidRPr="00E27443">
        <w:t>is</w:t>
      </w:r>
      <w:r w:rsidR="00C63F8F" w:rsidRPr="00E27443">
        <w:t xml:space="preserve"> </w:t>
      </w:r>
      <w:r w:rsidRPr="00E27443">
        <w:t>necessary</w:t>
      </w:r>
      <w:r w:rsidR="00C63F8F" w:rsidRPr="00E27443">
        <w:t xml:space="preserve"> </w:t>
      </w:r>
      <w:r w:rsidRPr="00E27443">
        <w:t>in</w:t>
      </w:r>
      <w:r w:rsidR="00C63F8F" w:rsidRPr="00E27443">
        <w:t xml:space="preserve"> </w:t>
      </w:r>
      <w:r w:rsidRPr="00E27443">
        <w:t>the</w:t>
      </w:r>
      <w:r w:rsidR="00C63F8F" w:rsidRPr="00E27443">
        <w:t xml:space="preserve"> </w:t>
      </w:r>
      <w:r w:rsidRPr="00E27443">
        <w:t>first</w:t>
      </w:r>
      <w:r w:rsidR="00C63F8F" w:rsidRPr="00E27443">
        <w:t xml:space="preserve"> </w:t>
      </w:r>
      <w:r w:rsidRPr="00E27443">
        <w:t>instance,</w:t>
      </w:r>
      <w:r w:rsidR="00C63F8F" w:rsidRPr="00E27443">
        <w:t xml:space="preserve"> </w:t>
      </w:r>
      <w:r w:rsidRPr="00E27443">
        <w:t>according</w:t>
      </w:r>
      <w:r w:rsidR="00C63F8F" w:rsidRPr="00E27443">
        <w:t xml:space="preserve"> </w:t>
      </w:r>
      <w:r w:rsidRPr="00E27443">
        <w:t>to</w:t>
      </w:r>
      <w:r w:rsidR="00C63F8F" w:rsidRPr="00E27443">
        <w:t xml:space="preserve"> </w:t>
      </w:r>
      <w:r w:rsidRPr="00E27443">
        <w:t>SOL,</w:t>
      </w:r>
      <w:r w:rsidR="00C63F8F" w:rsidRPr="00E27443">
        <w:t xml:space="preserve"> </w:t>
      </w:r>
      <w:r w:rsidRPr="00E27443">
        <w:t>to</w:t>
      </w:r>
      <w:r w:rsidR="00C63F8F" w:rsidRPr="00E27443">
        <w:t xml:space="preserve"> </w:t>
      </w:r>
      <w:r w:rsidRPr="00E27443">
        <w:t>consider</w:t>
      </w:r>
      <w:r w:rsidR="00C63F8F" w:rsidRPr="00E27443">
        <w:t xml:space="preserve"> </w:t>
      </w:r>
      <w:r w:rsidRPr="00E27443">
        <w:t>whether</w:t>
      </w:r>
      <w:r w:rsidR="00C63F8F" w:rsidRPr="00E27443">
        <w:t xml:space="preserve"> </w:t>
      </w:r>
      <w:r w:rsidRPr="00E27443">
        <w:t>the</w:t>
      </w:r>
      <w:r w:rsidR="00C63F8F" w:rsidRPr="00E27443">
        <w:t xml:space="preserve"> </w:t>
      </w:r>
      <w:r w:rsidRPr="00E27443">
        <w:t>child</w:t>
      </w:r>
      <w:r w:rsidR="00C63F8F" w:rsidRPr="00E27443">
        <w:t xml:space="preserve"> </w:t>
      </w:r>
      <w:r w:rsidRPr="00E27443">
        <w:t>can</w:t>
      </w:r>
      <w:r w:rsidR="00C63F8F" w:rsidRPr="00E27443">
        <w:t xml:space="preserve"> </w:t>
      </w:r>
      <w:r w:rsidRPr="00E27443">
        <w:t>be</w:t>
      </w:r>
      <w:r w:rsidR="00C63F8F" w:rsidRPr="00E27443">
        <w:t xml:space="preserve"> </w:t>
      </w:r>
      <w:r w:rsidRPr="00E27443">
        <w:t>taken</w:t>
      </w:r>
      <w:r w:rsidR="00C63F8F" w:rsidRPr="00E27443">
        <w:t xml:space="preserve"> </w:t>
      </w:r>
      <w:r w:rsidRPr="00E27443">
        <w:t>in</w:t>
      </w:r>
      <w:r w:rsidR="00C63F8F" w:rsidRPr="00E27443">
        <w:t xml:space="preserve"> </w:t>
      </w:r>
      <w:r w:rsidRPr="00E27443">
        <w:t>by</w:t>
      </w:r>
      <w:r w:rsidR="00C63F8F" w:rsidRPr="00E27443">
        <w:t xml:space="preserve"> </w:t>
      </w:r>
      <w:r w:rsidRPr="00E27443">
        <w:t>a</w:t>
      </w:r>
      <w:r w:rsidR="00C63F8F" w:rsidRPr="00E27443">
        <w:t xml:space="preserve"> </w:t>
      </w:r>
      <w:r w:rsidRPr="00E27443">
        <w:t>relative</w:t>
      </w:r>
      <w:r w:rsidR="00C63F8F" w:rsidRPr="00E27443">
        <w:t xml:space="preserve"> </w:t>
      </w:r>
      <w:r w:rsidRPr="00E27443">
        <w:t>or</w:t>
      </w:r>
      <w:r w:rsidR="00C63F8F" w:rsidRPr="00E27443">
        <w:t xml:space="preserve"> </w:t>
      </w:r>
      <w:r w:rsidRPr="00E27443">
        <w:t>other</w:t>
      </w:r>
      <w:r w:rsidR="00C63F8F" w:rsidRPr="00E27443">
        <w:t xml:space="preserve"> </w:t>
      </w:r>
      <w:r w:rsidRPr="00E27443">
        <w:t>closely</w:t>
      </w:r>
      <w:r w:rsidR="00C63F8F" w:rsidRPr="00E27443">
        <w:t xml:space="preserve"> </w:t>
      </w:r>
      <w:r w:rsidRPr="00E27443">
        <w:t>related</w:t>
      </w:r>
      <w:r w:rsidR="00C63F8F" w:rsidRPr="00E27443">
        <w:t xml:space="preserve"> </w:t>
      </w:r>
      <w:r w:rsidRPr="00E27443">
        <w:t>person.</w:t>
      </w:r>
      <w:r w:rsidR="00C63F8F" w:rsidRPr="00E27443">
        <w:t xml:space="preserve"> </w:t>
      </w:r>
      <w:r w:rsidRPr="00E27443">
        <w:t>When</w:t>
      </w:r>
      <w:r w:rsidR="00C63F8F" w:rsidRPr="00E27443">
        <w:t xml:space="preserve"> </w:t>
      </w:r>
      <w:r w:rsidRPr="00E27443">
        <w:t>this</w:t>
      </w:r>
      <w:r w:rsidR="00C63F8F" w:rsidRPr="00E27443">
        <w:t xml:space="preserve"> </w:t>
      </w:r>
      <w:r w:rsidRPr="00E27443">
        <w:t>is</w:t>
      </w:r>
      <w:r w:rsidR="00C63F8F" w:rsidRPr="00E27443">
        <w:t xml:space="preserve"> </w:t>
      </w:r>
      <w:r w:rsidRPr="00E27443">
        <w:t>inappropriate</w:t>
      </w:r>
      <w:r w:rsidR="00C63F8F" w:rsidRPr="00E27443">
        <w:t xml:space="preserve"> </w:t>
      </w:r>
      <w:r w:rsidRPr="00E27443">
        <w:t>or</w:t>
      </w:r>
      <w:r w:rsidR="00C63F8F" w:rsidRPr="00E27443">
        <w:t xml:space="preserve"> </w:t>
      </w:r>
      <w:r w:rsidRPr="00E27443">
        <w:t>impossible,</w:t>
      </w:r>
      <w:r w:rsidR="00C63F8F" w:rsidRPr="00E27443">
        <w:t xml:space="preserve"> </w:t>
      </w:r>
      <w:r w:rsidRPr="00E27443">
        <w:t>the</w:t>
      </w:r>
      <w:r w:rsidR="00C63F8F" w:rsidRPr="00E27443">
        <w:t xml:space="preserve"> </w:t>
      </w:r>
      <w:r w:rsidRPr="00E27443">
        <w:t>social</w:t>
      </w:r>
      <w:r w:rsidR="00C63F8F" w:rsidRPr="00E27443">
        <w:t xml:space="preserve"> </w:t>
      </w:r>
      <w:r w:rsidRPr="00E27443">
        <w:t>welfare</w:t>
      </w:r>
      <w:r w:rsidR="00C63F8F" w:rsidRPr="00E27443">
        <w:t xml:space="preserve"> </w:t>
      </w:r>
      <w:r w:rsidRPr="00E27443">
        <w:t>board</w:t>
      </w:r>
      <w:r w:rsidR="00C63F8F" w:rsidRPr="00E27443">
        <w:t xml:space="preserve"> </w:t>
      </w:r>
      <w:r w:rsidRPr="00E27443">
        <w:t>must</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27443">
        <w:t>child</w:t>
      </w:r>
      <w:r w:rsidR="00C63F8F" w:rsidRPr="00E27443">
        <w:t xml:space="preserve"> </w:t>
      </w:r>
      <w:r w:rsidRPr="00E27443">
        <w:t>is</w:t>
      </w:r>
      <w:r w:rsidR="00C63F8F" w:rsidRPr="00E27443">
        <w:t xml:space="preserve"> </w:t>
      </w:r>
      <w:r w:rsidRPr="00E27443">
        <w:t>taken</w:t>
      </w:r>
      <w:r w:rsidR="00C63F8F" w:rsidRPr="00E27443">
        <w:t xml:space="preserve"> </w:t>
      </w:r>
      <w:r w:rsidRPr="00E27443">
        <w:t>into</w:t>
      </w:r>
      <w:r w:rsidR="00C63F8F" w:rsidRPr="00E27443">
        <w:t xml:space="preserve"> </w:t>
      </w:r>
      <w:r w:rsidRPr="00E27443">
        <w:t>a</w:t>
      </w:r>
      <w:r w:rsidR="00C63F8F" w:rsidRPr="00E27443">
        <w:t xml:space="preserve"> </w:t>
      </w:r>
      <w:r w:rsidRPr="00E27443">
        <w:t>family</w:t>
      </w:r>
      <w:r w:rsidR="00C63F8F" w:rsidRPr="00E27443">
        <w:t xml:space="preserve"> </w:t>
      </w:r>
      <w:r w:rsidRPr="00E27443">
        <w:t>home</w:t>
      </w:r>
      <w:r w:rsidR="00C63F8F" w:rsidRPr="00E27443">
        <w:t xml:space="preserve"> </w:t>
      </w:r>
      <w:r w:rsidRPr="00E27443">
        <w:t>or</w:t>
      </w:r>
      <w:r w:rsidR="00C63F8F" w:rsidRPr="00E27443">
        <w:t xml:space="preserve"> </w:t>
      </w:r>
      <w:r w:rsidRPr="00E27443">
        <w:t>an</w:t>
      </w:r>
      <w:r w:rsidR="00C63F8F" w:rsidRPr="00E27443">
        <w:t xml:space="preserve"> </w:t>
      </w:r>
      <w:r w:rsidRPr="00E27443">
        <w:t>institution.</w:t>
      </w:r>
      <w:r w:rsidR="00C63F8F" w:rsidRPr="00E27443">
        <w:t xml:space="preserve"> </w:t>
      </w:r>
    </w:p>
    <w:p w:rsidR="00321ADA" w:rsidRPr="00E27443" w:rsidRDefault="00321ADA" w:rsidP="0081312A">
      <w:pPr>
        <w:pStyle w:val="SingleTxtG"/>
        <w:numPr>
          <w:ilvl w:val="0"/>
          <w:numId w:val="20"/>
        </w:numPr>
        <w:tabs>
          <w:tab w:val="left" w:pos="1843"/>
        </w:tabs>
        <w:ind w:left="1134" w:firstLine="0"/>
      </w:pPr>
      <w:r w:rsidRPr="00E27443">
        <w:t>As</w:t>
      </w:r>
      <w:r w:rsidR="00C63F8F" w:rsidRPr="00E27443">
        <w:t xml:space="preserve"> </w:t>
      </w:r>
      <w:r w:rsidRPr="00E27443">
        <w:t>regards</w:t>
      </w:r>
      <w:r w:rsidR="00C63F8F" w:rsidRPr="00E27443">
        <w:t xml:space="preserve"> </w:t>
      </w:r>
      <w:r w:rsidRPr="00E27443">
        <w:t>the</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the</w:t>
      </w:r>
      <w:r w:rsidR="00C63F8F" w:rsidRPr="00E27443">
        <w:t xml:space="preserve"> </w:t>
      </w:r>
      <w:r w:rsidRPr="00E27443">
        <w:t>upbringing</w:t>
      </w:r>
      <w:r w:rsidR="00C63F8F" w:rsidRPr="00E27443">
        <w:t xml:space="preserve"> </w:t>
      </w:r>
      <w:r w:rsidRPr="00E27443">
        <w:t>of</w:t>
      </w:r>
      <w:r w:rsidR="00C63F8F" w:rsidRPr="00E27443">
        <w:t xml:space="preserve"> </w:t>
      </w:r>
      <w:r w:rsidRPr="00E27443">
        <w:t>children,</w:t>
      </w:r>
      <w:r w:rsidR="00C63F8F" w:rsidRPr="00E27443">
        <w:t xml:space="preserve"> </w:t>
      </w:r>
      <w:r w:rsidRPr="00E27443">
        <w:t>applicable</w:t>
      </w:r>
      <w:r w:rsidR="00C63F8F" w:rsidRPr="00E27443">
        <w:t xml:space="preserve"> </w:t>
      </w:r>
      <w:r w:rsidRPr="00E27443">
        <w:t>laws</w:t>
      </w:r>
      <w:r w:rsidR="00C63F8F" w:rsidRPr="00E27443">
        <w:t xml:space="preserve"> </w:t>
      </w:r>
      <w:r w:rsidRPr="00E27443">
        <w:t>are</w:t>
      </w:r>
      <w:r w:rsidR="00C63F8F" w:rsidRPr="00E27443">
        <w:t xml:space="preserve"> </w:t>
      </w:r>
      <w:r w:rsidRPr="00E27443">
        <w:t>deemed</w:t>
      </w:r>
      <w:r w:rsidR="00C63F8F" w:rsidRPr="00E27443">
        <w:t xml:space="preserve"> </w:t>
      </w:r>
      <w:r w:rsidRPr="00E27443">
        <w:t>to</w:t>
      </w:r>
      <w:r w:rsidR="00C63F8F" w:rsidRPr="00E27443">
        <w:t xml:space="preserve"> </w:t>
      </w:r>
      <w:r w:rsidRPr="00E27443">
        <w:t>be</w:t>
      </w:r>
      <w:r w:rsidR="00C63F8F" w:rsidRPr="00E27443">
        <w:t xml:space="preserve"> </w:t>
      </w:r>
      <w:r w:rsidRPr="00E27443">
        <w:t>sufficient.</w:t>
      </w:r>
      <w:r w:rsidR="00C63F8F" w:rsidRPr="00E27443">
        <w:t xml:space="preserve"> </w:t>
      </w:r>
      <w:r w:rsidRPr="00E27443">
        <w:t>However,</w:t>
      </w:r>
      <w:r w:rsidR="00C63F8F" w:rsidRPr="00E27443">
        <w:t xml:space="preserve"> </w:t>
      </w:r>
      <w:r w:rsidRPr="00E27443">
        <w:t>many</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require</w:t>
      </w:r>
      <w:r w:rsidR="00C63F8F" w:rsidRPr="00E27443">
        <w:t xml:space="preserve"> </w:t>
      </w:r>
      <w:r w:rsidRPr="00E27443">
        <w:t>support</w:t>
      </w:r>
      <w:r w:rsidR="00C63F8F" w:rsidRPr="00E27443">
        <w:t xml:space="preserve"> </w:t>
      </w:r>
      <w:r w:rsidRPr="00E27443">
        <w:t>initiatives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develop</w:t>
      </w:r>
      <w:r w:rsidR="00C63F8F" w:rsidRPr="00E27443">
        <w:t xml:space="preserve"> </w:t>
      </w:r>
      <w:r w:rsidRPr="00E27443">
        <w:t>their</w:t>
      </w:r>
      <w:r w:rsidR="00C63F8F" w:rsidRPr="00E27443">
        <w:t xml:space="preserve"> </w:t>
      </w:r>
      <w:r w:rsidRPr="00E27443">
        <w:t>skills.</w:t>
      </w:r>
      <w:r w:rsidR="00C63F8F" w:rsidRPr="00E27443">
        <w:t xml:space="preserve"> </w:t>
      </w:r>
      <w:r w:rsidRPr="00E27443">
        <w:t>These</w:t>
      </w:r>
      <w:r w:rsidR="00C63F8F" w:rsidRPr="00E27443">
        <w:t xml:space="preserve"> </w:t>
      </w:r>
      <w:r w:rsidRPr="00E27443">
        <w:t>initiatives</w:t>
      </w:r>
      <w:r w:rsidR="00C63F8F" w:rsidRPr="00E27443">
        <w:t xml:space="preserve"> </w:t>
      </w:r>
      <w:r w:rsidRPr="00E27443">
        <w:t>may</w:t>
      </w:r>
      <w:r w:rsidR="00C63F8F" w:rsidRPr="00E27443">
        <w:t xml:space="preserve"> </w:t>
      </w:r>
      <w:r w:rsidRPr="00E27443">
        <w:t>come</w:t>
      </w:r>
      <w:r w:rsidR="00C63F8F" w:rsidRPr="00E27443">
        <w:t xml:space="preserve"> </w:t>
      </w:r>
      <w:r w:rsidRPr="00E27443">
        <w:t>from</w:t>
      </w:r>
      <w:r w:rsidR="00C63F8F" w:rsidRPr="00E27443">
        <w:t xml:space="preserve"> </w:t>
      </w:r>
      <w:r w:rsidRPr="00E27443">
        <w:t>pre-school,</w:t>
      </w:r>
      <w:r w:rsidR="00C63F8F" w:rsidRPr="00E27443">
        <w:t xml:space="preserve"> </w:t>
      </w:r>
      <w:r w:rsidRPr="00E27443">
        <w:t>school,</w:t>
      </w:r>
      <w:r w:rsidR="00C63F8F" w:rsidRPr="00E27443">
        <w:t xml:space="preserve"> </w:t>
      </w:r>
      <w:r w:rsidRPr="00E27443">
        <w:t>child</w:t>
      </w:r>
      <w:r w:rsidR="00C63F8F" w:rsidRPr="00E27443">
        <w:t xml:space="preserve"> </w:t>
      </w:r>
      <w:r w:rsidRPr="00E27443">
        <w:t>and</w:t>
      </w:r>
      <w:r w:rsidR="00C63F8F" w:rsidRPr="00E27443">
        <w:t xml:space="preserve"> </w:t>
      </w:r>
      <w:r w:rsidRPr="00E27443">
        <w:t>youth</w:t>
      </w:r>
      <w:r w:rsidR="00C63F8F" w:rsidRPr="00E27443">
        <w:t xml:space="preserve"> </w:t>
      </w:r>
      <w:r w:rsidRPr="00E27443">
        <w:t>habilitation,</w:t>
      </w:r>
      <w:r w:rsidR="00C63F8F" w:rsidRPr="00E27443">
        <w:t xml:space="preserve"> </w:t>
      </w:r>
      <w:r w:rsidRPr="00E27443">
        <w:t>vision</w:t>
      </w:r>
      <w:r w:rsidR="00C63F8F" w:rsidRPr="00E27443">
        <w:t xml:space="preserve"> </w:t>
      </w:r>
      <w:r w:rsidRPr="00E27443">
        <w:t>and</w:t>
      </w:r>
      <w:r w:rsidR="00C63F8F" w:rsidRPr="00E27443">
        <w:t xml:space="preserve"> </w:t>
      </w:r>
      <w:r w:rsidRPr="00E27443">
        <w:t>hearing</w:t>
      </w:r>
      <w:r w:rsidR="00C63F8F" w:rsidRPr="00E27443">
        <w:t xml:space="preserve"> </w:t>
      </w:r>
      <w:r w:rsidRPr="00E27443">
        <w:t>centres,</w:t>
      </w:r>
      <w:r w:rsidR="00C63F8F" w:rsidRPr="00E27443">
        <w:t xml:space="preserve"> </w:t>
      </w:r>
      <w:r w:rsidRPr="00E27443">
        <w:t>or</w:t>
      </w:r>
      <w:r w:rsidR="00C63F8F" w:rsidRPr="00E27443">
        <w:t xml:space="preserve"> </w:t>
      </w:r>
      <w:r w:rsidRPr="00E27443">
        <w:t>some</w:t>
      </w:r>
      <w:r w:rsidR="00C63F8F" w:rsidRPr="00E27443">
        <w:t xml:space="preserve"> </w:t>
      </w:r>
      <w:r w:rsidRPr="00E27443">
        <w:t>other</w:t>
      </w:r>
      <w:r w:rsidR="00C63F8F" w:rsidRPr="00E27443">
        <w:t xml:space="preserve"> </w:t>
      </w:r>
      <w:r w:rsidRPr="00E27443">
        <w:t>operation.</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and</w:t>
      </w:r>
      <w:r w:rsidR="00C63F8F" w:rsidRPr="00E27443">
        <w:t xml:space="preserve"> </w:t>
      </w:r>
      <w:r w:rsidRPr="00E27443">
        <w:t>municipalities</w:t>
      </w:r>
      <w:r w:rsidR="00C63F8F" w:rsidRPr="00E27443">
        <w:t xml:space="preserve"> </w:t>
      </w:r>
      <w:r w:rsidRPr="00E27443">
        <w:t>have</w:t>
      </w:r>
      <w:r w:rsidR="00C63F8F" w:rsidRPr="00E27443">
        <w:t xml:space="preserve"> </w:t>
      </w:r>
      <w:r w:rsidRPr="00E27443">
        <w:t>obligations</w:t>
      </w:r>
      <w:r w:rsidR="00C63F8F" w:rsidRPr="00E27443">
        <w:t xml:space="preserve"> </w:t>
      </w:r>
      <w:r w:rsidRPr="00E27443">
        <w:t>to</w:t>
      </w:r>
      <w:r w:rsidR="00C63F8F" w:rsidRPr="00E27443">
        <w:t xml:space="preserve"> </w:t>
      </w:r>
      <w:r w:rsidRPr="00E27443">
        <w:t>provide</w:t>
      </w:r>
      <w:r w:rsidR="00C63F8F" w:rsidRPr="00E27443">
        <w:t xml:space="preserve"> </w:t>
      </w:r>
      <w:r w:rsidRPr="00E27443">
        <w:t>support</w:t>
      </w:r>
      <w:r w:rsidR="00C63F8F" w:rsidRPr="00E27443">
        <w:t xml:space="preserve"> </w:t>
      </w:r>
      <w:r w:rsidRPr="00E27443">
        <w:t>and</w:t>
      </w:r>
      <w:r w:rsidR="00C63F8F" w:rsidRPr="00E27443">
        <w:t xml:space="preserve"> </w:t>
      </w:r>
      <w:r w:rsidRPr="00E27443">
        <w:t>treatment</w:t>
      </w:r>
      <w:r w:rsidR="00C63F8F" w:rsidRPr="00E27443">
        <w:t xml:space="preserve"> </w:t>
      </w:r>
      <w:r w:rsidRPr="00E27443">
        <w:t>within</w:t>
      </w:r>
      <w:r w:rsidR="00C63F8F" w:rsidRPr="00E27443">
        <w:t xml:space="preserve"> </w:t>
      </w:r>
      <w:r w:rsidRPr="00E27443">
        <w:t>the</w:t>
      </w:r>
      <w:r w:rsidR="00C63F8F" w:rsidRPr="00E27443">
        <w:t xml:space="preserve"> </w:t>
      </w:r>
      <w:r w:rsidRPr="00E27443">
        <w:t>fields</w:t>
      </w:r>
      <w:r w:rsidR="00C63F8F" w:rsidRPr="00E27443">
        <w:t xml:space="preserve"> </w:t>
      </w:r>
      <w:r w:rsidRPr="00E27443">
        <w:t>of</w:t>
      </w:r>
      <w:r w:rsidR="00C63F8F" w:rsidRPr="00E27443">
        <w:t xml:space="preserve"> </w:t>
      </w:r>
      <w:r w:rsidRPr="00E27443">
        <w:t>habilitation/rehabilitation</w:t>
      </w:r>
      <w:r w:rsidR="00C63F8F" w:rsidRPr="00E27443">
        <w:t xml:space="preserve"> </w:t>
      </w:r>
      <w:r w:rsidRPr="00E27443">
        <w:t>(speech</w:t>
      </w:r>
      <w:r w:rsidR="00C63F8F" w:rsidRPr="00E27443">
        <w:t xml:space="preserve"> </w:t>
      </w:r>
      <w:r w:rsidRPr="00E27443">
        <w:t>and</w:t>
      </w:r>
      <w:r w:rsidR="00C63F8F" w:rsidRPr="00E27443">
        <w:t xml:space="preserve"> </w:t>
      </w:r>
      <w:r w:rsidRPr="00E27443">
        <w:t>language</w:t>
      </w:r>
      <w:r w:rsidR="00C63F8F" w:rsidRPr="00E27443">
        <w:t xml:space="preserve"> </w:t>
      </w:r>
      <w:r w:rsidRPr="00E27443">
        <w:t>therapy,</w:t>
      </w:r>
      <w:r w:rsidR="00C63F8F" w:rsidRPr="00E27443">
        <w:t xml:space="preserve"> </w:t>
      </w:r>
      <w:r w:rsidRPr="00E27443">
        <w:t>physiotherapy,</w:t>
      </w:r>
      <w:r w:rsidR="00C63F8F" w:rsidRPr="00E27443">
        <w:t xml:space="preserve"> </w:t>
      </w:r>
      <w:r w:rsidRPr="00E27443">
        <w:t>etc.)</w:t>
      </w:r>
      <w:r w:rsidR="00C63F8F" w:rsidRPr="00E27443">
        <w:t xml:space="preserve"> </w:t>
      </w:r>
      <w:r w:rsidRPr="00E27443">
        <w:t>and</w:t>
      </w:r>
      <w:r w:rsidR="00C63F8F" w:rsidRPr="00E27443">
        <w:t xml:space="preserve"> </w:t>
      </w:r>
      <w:r w:rsidRPr="00E27443">
        <w:t>resources</w:t>
      </w:r>
      <w:r w:rsidR="00C63F8F" w:rsidRPr="00E27443">
        <w:t xml:space="preserve"> </w:t>
      </w:r>
      <w:r w:rsidRPr="00E27443">
        <w:t>within</w:t>
      </w:r>
      <w:r w:rsidR="00C63F8F" w:rsidRPr="00E27443">
        <w:t xml:space="preserve"> </w:t>
      </w:r>
      <w:r w:rsidRPr="00E27443">
        <w:t>pre-school,</w:t>
      </w:r>
      <w:r w:rsidR="00C63F8F" w:rsidRPr="00E27443">
        <w:t xml:space="preserve"> </w:t>
      </w:r>
      <w:r w:rsidRPr="00E27443">
        <w:t>school,</w:t>
      </w:r>
      <w:r w:rsidR="00C63F8F" w:rsidRPr="00E27443">
        <w:t xml:space="preserve"> </w:t>
      </w:r>
      <w:r w:rsidRPr="00E27443">
        <w:t>etc.</w:t>
      </w:r>
      <w:r w:rsidR="00C63F8F" w:rsidRPr="00E27443">
        <w:t xml:space="preserve"> </w:t>
      </w:r>
    </w:p>
    <w:p w:rsidR="00321ADA" w:rsidRPr="00E27443" w:rsidRDefault="00321ADA" w:rsidP="0081312A">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Association</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Intellectual</w:t>
      </w:r>
      <w:r w:rsidR="00C63F8F" w:rsidRPr="00E27443">
        <w:t xml:space="preserve"> </w:t>
      </w:r>
      <w:r w:rsidRPr="00E27443">
        <w:t>Disability</w:t>
      </w:r>
      <w:r w:rsidR="00C63F8F" w:rsidRPr="00E27443">
        <w:t xml:space="preserve"> </w:t>
      </w:r>
      <w:r w:rsidRPr="00E27443">
        <w:t>(FUB)</w:t>
      </w:r>
      <w:r w:rsidR="00C63F8F" w:rsidRPr="00E27443">
        <w:t xml:space="preserve"> </w:t>
      </w:r>
      <w:r w:rsidRPr="00E27443">
        <w:t>has</w:t>
      </w:r>
      <w:r w:rsidR="00C63F8F" w:rsidRPr="00E27443">
        <w:t xml:space="preserve"> </w:t>
      </w:r>
      <w:r w:rsidRPr="00E27443">
        <w:t>brought</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attention</w:t>
      </w:r>
      <w:r w:rsidR="00C63F8F" w:rsidRPr="00E27443">
        <w:t xml:space="preserve"> </w:t>
      </w:r>
      <w:r w:rsidRPr="00E27443">
        <w:t>to</w:t>
      </w:r>
      <w:r w:rsidR="00C63F8F" w:rsidRPr="00E27443">
        <w:t xml:space="preserve"> </w:t>
      </w:r>
      <w:r w:rsidRPr="00E27443">
        <w:t>a</w:t>
      </w:r>
      <w:r w:rsidR="00C63F8F" w:rsidRPr="00E27443">
        <w:t xml:space="preserve"> </w:t>
      </w:r>
      <w:r w:rsidRPr="00E27443">
        <w:t>small</w:t>
      </w:r>
      <w:r w:rsidR="00C63F8F" w:rsidRPr="00E27443">
        <w:t xml:space="preserve"> </w:t>
      </w:r>
      <w:r w:rsidRPr="00E27443">
        <w:t>group</w:t>
      </w:r>
      <w:r w:rsidR="00C63F8F" w:rsidRPr="00E27443">
        <w:t xml:space="preserve"> </w:t>
      </w:r>
      <w:r w:rsidRPr="00E27443">
        <w:t>of</w:t>
      </w:r>
      <w:r w:rsidR="00C63F8F" w:rsidRPr="00E27443">
        <w:t xml:space="preserve"> </w:t>
      </w:r>
      <w:r w:rsidRPr="00E27443">
        <w:t>children</w:t>
      </w:r>
      <w:r w:rsidR="00C63F8F" w:rsidRPr="00E27443">
        <w:t xml:space="preserve"> </w:t>
      </w:r>
      <w:r w:rsidRPr="00E27443">
        <w:t>(approximately</w:t>
      </w:r>
      <w:r w:rsidR="00C63F8F" w:rsidRPr="00E27443">
        <w:t xml:space="preserve"> </w:t>
      </w:r>
      <w:r w:rsidRPr="00E27443">
        <w:t>7,000</w:t>
      </w:r>
      <w:r w:rsidR="00C63F8F" w:rsidRPr="00E27443">
        <w:t xml:space="preserve"> </w:t>
      </w:r>
      <w:r w:rsidRPr="00E27443">
        <w:t>children)</w:t>
      </w:r>
      <w:r w:rsidR="00C63F8F" w:rsidRPr="00E27443">
        <w:t xml:space="preserve"> </w:t>
      </w:r>
      <w:r w:rsidRPr="00E27443">
        <w:t>who</w:t>
      </w:r>
      <w:r w:rsidR="00C63F8F" w:rsidRPr="00E27443">
        <w:t xml:space="preserve"> </w:t>
      </w:r>
      <w:r w:rsidRPr="00E27443">
        <w:t>have</w:t>
      </w:r>
      <w:r w:rsidR="00C63F8F" w:rsidRPr="00E27443">
        <w:t xml:space="preserve"> </w:t>
      </w:r>
      <w:r w:rsidRPr="00E27443">
        <w:t>a</w:t>
      </w:r>
      <w:r w:rsidR="00C63F8F" w:rsidRPr="00E27443">
        <w:t xml:space="preserve"> </w:t>
      </w:r>
      <w:r w:rsidRPr="00E27443">
        <w:t>combination</w:t>
      </w:r>
      <w:r w:rsidR="00C63F8F" w:rsidRPr="00E27443">
        <w:t xml:space="preserve"> </w:t>
      </w:r>
      <w:r w:rsidRPr="00E27443">
        <w:t>of</w:t>
      </w:r>
      <w:r w:rsidR="00C63F8F" w:rsidRPr="00E27443">
        <w:t xml:space="preserve"> </w:t>
      </w:r>
      <w:r w:rsidRPr="00E27443">
        <w:t>an</w:t>
      </w:r>
      <w:r w:rsidR="00C63F8F" w:rsidRPr="00E27443">
        <w:t xml:space="preserve"> </w:t>
      </w:r>
      <w:r w:rsidRPr="00E27443">
        <w:t>extensive</w:t>
      </w:r>
      <w:r w:rsidR="00C63F8F" w:rsidRPr="00E27443">
        <w:t xml:space="preserve"> </w:t>
      </w:r>
      <w:r w:rsidRPr="00E27443">
        <w:t>intellectual</w:t>
      </w:r>
      <w:r w:rsidR="00C63F8F" w:rsidRPr="00E27443">
        <w:t xml:space="preserve"> </w:t>
      </w:r>
      <w:r w:rsidRPr="00E27443">
        <w:t>disability,</w:t>
      </w:r>
      <w:r w:rsidR="00C63F8F" w:rsidRPr="00E27443">
        <w:t xml:space="preserve"> </w:t>
      </w:r>
      <w:r w:rsidRPr="00E27443">
        <w:t>various</w:t>
      </w:r>
      <w:r w:rsidR="00C63F8F" w:rsidRPr="00E27443">
        <w:t xml:space="preserve"> </w:t>
      </w:r>
      <w:r w:rsidRPr="00E27443">
        <w:t>physical</w:t>
      </w:r>
      <w:r w:rsidR="00C63F8F" w:rsidRPr="00E27443">
        <w:t xml:space="preserve"> </w:t>
      </w:r>
      <w:r w:rsidRPr="00E27443">
        <w:t>disabilities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the</w:t>
      </w:r>
      <w:r w:rsidR="00C63F8F" w:rsidRPr="00E27443">
        <w:t xml:space="preserve"> </w:t>
      </w:r>
      <w:r w:rsidRPr="00E27443">
        <w:t>need</w:t>
      </w:r>
      <w:r w:rsidR="00C63F8F" w:rsidRPr="00E27443">
        <w:t xml:space="preserve"> </w:t>
      </w:r>
      <w:r w:rsidRPr="00E27443">
        <w:t>for</w:t>
      </w:r>
      <w:r w:rsidR="00C63F8F" w:rsidRPr="00E27443">
        <w:t xml:space="preserve"> </w:t>
      </w:r>
      <w:r w:rsidRPr="00E27443">
        <w:t>extensive</w:t>
      </w:r>
      <w:r w:rsidR="00C63F8F" w:rsidRPr="00E27443">
        <w:t xml:space="preserve"> </w:t>
      </w:r>
      <w:r w:rsidRPr="00E27443">
        <w:t>medical</w:t>
      </w:r>
      <w:r w:rsidR="00C63F8F" w:rsidRPr="00E27443">
        <w:t xml:space="preserve"> </w:t>
      </w:r>
      <w:r w:rsidRPr="00E27443">
        <w:t>interventions.</w:t>
      </w:r>
      <w:r w:rsidR="00C63F8F" w:rsidRPr="00E27443">
        <w:t xml:space="preserve"> </w:t>
      </w:r>
      <w:r w:rsidRPr="00E27443">
        <w:t>According</w:t>
      </w:r>
      <w:r w:rsidR="00C63F8F" w:rsidRPr="00E27443">
        <w:t xml:space="preserve"> </w:t>
      </w:r>
      <w:r w:rsidRPr="00E27443">
        <w:t>to</w:t>
      </w:r>
      <w:r w:rsidR="00C63F8F" w:rsidRPr="00E27443">
        <w:t xml:space="preserve"> </w:t>
      </w:r>
      <w:r w:rsidRPr="00E27443">
        <w:t>FUB,</w:t>
      </w:r>
      <w:r w:rsidR="00C63F8F" w:rsidRPr="00E27443">
        <w:t xml:space="preserve"> </w:t>
      </w:r>
      <w:r w:rsidRPr="00E27443">
        <w:t>these</w:t>
      </w:r>
      <w:r w:rsidR="00C63F8F" w:rsidRPr="00E27443">
        <w:t xml:space="preserve"> </w:t>
      </w:r>
      <w:r w:rsidRPr="00E27443">
        <w:t>children</w:t>
      </w:r>
      <w:r w:rsidR="00C63F8F" w:rsidRPr="00E27443">
        <w:t xml:space="preserve"> </w:t>
      </w:r>
      <w:r w:rsidRPr="00E27443">
        <w:t>have</w:t>
      </w:r>
      <w:r w:rsidR="00C63F8F" w:rsidRPr="00E27443">
        <w:t xml:space="preserve"> </w:t>
      </w:r>
      <w:r w:rsidRPr="00E27443">
        <w:t>extremely</w:t>
      </w:r>
      <w:r w:rsidR="00C63F8F" w:rsidRPr="00E27443">
        <w:t xml:space="preserve"> </w:t>
      </w:r>
      <w:r w:rsidRPr="00E27443">
        <w:t>specific</w:t>
      </w:r>
      <w:r w:rsidR="00C63F8F" w:rsidRPr="00E27443">
        <w:t xml:space="preserve"> </w:t>
      </w:r>
      <w:r w:rsidRPr="00E27443">
        <w:t>needs.</w:t>
      </w:r>
      <w:r w:rsidR="00C63F8F" w:rsidRPr="00E27443">
        <w:t xml:space="preserve"> </w:t>
      </w:r>
      <w:r w:rsidRPr="00E27443">
        <w:t>The</w:t>
      </w:r>
      <w:r w:rsidR="00C63F8F" w:rsidRPr="00E27443">
        <w:t xml:space="preserve"> </w:t>
      </w:r>
      <w:r w:rsidRPr="00E27443">
        <w:t>great</w:t>
      </w:r>
      <w:r w:rsidR="00C63F8F" w:rsidRPr="00E27443">
        <w:t xml:space="preserve"> </w:t>
      </w:r>
      <w:r w:rsidRPr="00E27443">
        <w:t>majority</w:t>
      </w:r>
      <w:r w:rsidR="00C63F8F" w:rsidRPr="00E27443">
        <w:t xml:space="preserve"> </w:t>
      </w:r>
      <w:r w:rsidRPr="00E27443">
        <w:t>of</w:t>
      </w:r>
      <w:r w:rsidR="00C63F8F" w:rsidRPr="00E27443">
        <w:t xml:space="preserve"> </w:t>
      </w:r>
      <w:r w:rsidRPr="00E27443">
        <w:t>the</w:t>
      </w:r>
      <w:r w:rsidR="00C63F8F" w:rsidRPr="00E27443">
        <w:t xml:space="preserve"> </w:t>
      </w:r>
      <w:r w:rsidRPr="00E27443">
        <w:t>affected</w:t>
      </w:r>
      <w:r w:rsidR="00C63F8F" w:rsidRPr="00E27443">
        <w:t xml:space="preserve"> </w:t>
      </w:r>
      <w:r w:rsidRPr="00E27443">
        <w:t>families</w:t>
      </w:r>
      <w:r w:rsidR="00C63F8F" w:rsidRPr="00E27443">
        <w:t xml:space="preserve"> </w:t>
      </w:r>
      <w:r w:rsidRPr="00E27443">
        <w:t>live</w:t>
      </w:r>
      <w:r w:rsidR="00C63F8F" w:rsidRPr="00E27443">
        <w:t xml:space="preserve"> </w:t>
      </w:r>
      <w:r w:rsidRPr="00E27443">
        <w:t>in</w:t>
      </w:r>
      <w:r w:rsidR="00C63F8F" w:rsidRPr="00E27443">
        <w:t xml:space="preserve"> </w:t>
      </w:r>
      <w:r w:rsidRPr="00E27443">
        <w:t>a</w:t>
      </w:r>
      <w:r w:rsidR="00C63F8F" w:rsidRPr="00E27443">
        <w:t xml:space="preserve"> </w:t>
      </w:r>
      <w:r w:rsidRPr="00E27443">
        <w:t>vulnerable</w:t>
      </w:r>
      <w:r w:rsidR="00C63F8F" w:rsidRPr="00E27443">
        <w:t xml:space="preserve"> </w:t>
      </w:r>
      <w:r w:rsidRPr="00E27443">
        <w:t>situation,</w:t>
      </w:r>
      <w:r w:rsidR="00C63F8F" w:rsidRPr="00E27443">
        <w:t xml:space="preserve"> </w:t>
      </w:r>
      <w:r w:rsidRPr="00E27443">
        <w:t>and</w:t>
      </w:r>
      <w:r w:rsidR="00C63F8F" w:rsidRPr="00E27443">
        <w:t xml:space="preserve"> </w:t>
      </w:r>
      <w:r w:rsidRPr="00E27443">
        <w:t>express</w:t>
      </w:r>
      <w:r w:rsidR="00C63F8F" w:rsidRPr="00E27443">
        <w:t xml:space="preserve"> </w:t>
      </w:r>
      <w:r w:rsidRPr="00E27443">
        <w:t>a</w:t>
      </w:r>
      <w:r w:rsidR="00C63F8F" w:rsidRPr="00E27443">
        <w:t xml:space="preserve"> </w:t>
      </w:r>
      <w:r w:rsidRPr="00E27443">
        <w:t>great</w:t>
      </w:r>
      <w:r w:rsidR="00C63F8F" w:rsidRPr="00E27443">
        <w:t xml:space="preserve"> </w:t>
      </w:r>
      <w:r w:rsidRPr="00E27443">
        <w:t>need</w:t>
      </w:r>
      <w:r w:rsidR="00C63F8F" w:rsidRPr="00E27443">
        <w:t xml:space="preserve"> </w:t>
      </w:r>
      <w:r w:rsidRPr="00E27443">
        <w:t>for</w:t>
      </w:r>
      <w:r w:rsidR="00C63F8F" w:rsidRPr="00E27443">
        <w:t xml:space="preserve"> </w:t>
      </w:r>
      <w:r w:rsidRPr="00E27443">
        <w:t>structured</w:t>
      </w:r>
      <w:r w:rsidR="00C63F8F" w:rsidRPr="00E27443">
        <w:t xml:space="preserve"> </w:t>
      </w:r>
      <w:r w:rsidRPr="00E27443">
        <w:t>support.</w:t>
      </w:r>
      <w:r w:rsidR="00C63F8F" w:rsidRPr="00E27443">
        <w:t xml:space="preserve"> </w:t>
      </w:r>
      <w:r w:rsidRPr="00E27443">
        <w:t>Against</w:t>
      </w:r>
      <w:r w:rsidR="00C63F8F" w:rsidRPr="00E27443">
        <w:t xml:space="preserve"> </w:t>
      </w:r>
      <w:r w:rsidRPr="00E27443">
        <w:t>this</w:t>
      </w:r>
      <w:r w:rsidR="00C63F8F" w:rsidRPr="00E27443">
        <w:t xml:space="preserve"> </w:t>
      </w:r>
      <w:r w:rsidRPr="00E27443">
        <w:t>background,</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intends</w:t>
      </w:r>
      <w:r w:rsidR="00C63F8F" w:rsidRPr="00E27443">
        <w:t xml:space="preserve"> </w:t>
      </w:r>
      <w:r w:rsidRPr="00E27443">
        <w:t>to</w:t>
      </w:r>
      <w:r w:rsidR="00C63F8F" w:rsidRPr="00E27443">
        <w:t xml:space="preserve"> </w:t>
      </w:r>
      <w:r w:rsidRPr="00E27443">
        <w:t>commission</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to</w:t>
      </w:r>
      <w:r w:rsidR="00C63F8F" w:rsidRPr="00E27443">
        <w:t xml:space="preserve"> </w:t>
      </w:r>
      <w:r w:rsidRPr="00E27443">
        <w:t>highlight</w:t>
      </w:r>
      <w:r w:rsidR="00C63F8F" w:rsidRPr="00E27443">
        <w:t xml:space="preserve"> </w:t>
      </w:r>
      <w:r w:rsidRPr="00E27443">
        <w:t>the</w:t>
      </w:r>
      <w:r w:rsidR="00C63F8F" w:rsidRPr="00E27443">
        <w:t xml:space="preserve"> </w:t>
      </w:r>
      <w:r w:rsidRPr="00E27443">
        <w:t>organisation</w:t>
      </w:r>
      <w:r w:rsidR="00C63F8F" w:rsidRPr="00E27443">
        <w:t xml:space="preserve"> </w:t>
      </w:r>
      <w:r w:rsidRPr="00E27443">
        <w:t>of</w:t>
      </w:r>
      <w:r w:rsidR="00C63F8F" w:rsidRPr="00E27443">
        <w:t xml:space="preserve"> </w:t>
      </w:r>
      <w:r w:rsidRPr="00E27443">
        <w:t>the</w:t>
      </w:r>
      <w:r w:rsidR="00C63F8F" w:rsidRPr="00E27443">
        <w:t xml:space="preserve"> </w:t>
      </w:r>
      <w:r w:rsidRPr="00E27443">
        <w:t>principals</w:t>
      </w:r>
      <w:r w:rsidR="00C63F8F" w:rsidRPr="00E27443">
        <w:t xml:space="preserve">’ </w:t>
      </w:r>
      <w:r w:rsidRPr="00E27443">
        <w:t>resources</w:t>
      </w:r>
      <w:r w:rsidR="00C63F8F" w:rsidRPr="00E27443">
        <w:t xml:space="preserve"> </w:t>
      </w:r>
      <w:r w:rsidRPr="00E27443">
        <w:t>and</w:t>
      </w:r>
      <w:r w:rsidR="00C63F8F" w:rsidRPr="00E27443">
        <w:t xml:space="preserve"> </w:t>
      </w:r>
      <w:r w:rsidRPr="00E27443">
        <w:t>to</w:t>
      </w:r>
      <w:r w:rsidR="00C63F8F" w:rsidRPr="00E27443">
        <w:t xml:space="preserve"> </w:t>
      </w:r>
      <w:r w:rsidRPr="00E27443">
        <w:t>describe</w:t>
      </w:r>
      <w:r w:rsidR="00C63F8F" w:rsidRPr="00E27443">
        <w:t xml:space="preserve"> </w:t>
      </w:r>
      <w:r w:rsidRPr="00E27443">
        <w:t>how</w:t>
      </w:r>
      <w:r w:rsidR="00C63F8F" w:rsidRPr="00E27443">
        <w:t xml:space="preserve"> </w:t>
      </w:r>
      <w:r w:rsidRPr="00E27443">
        <w:t>the</w:t>
      </w:r>
      <w:r w:rsidR="00C63F8F" w:rsidRPr="00E27443">
        <w:t xml:space="preserve"> </w:t>
      </w:r>
      <w:r w:rsidRPr="00E27443">
        <w:t>co-ordination</w:t>
      </w:r>
      <w:r w:rsidR="00C63F8F" w:rsidRPr="00E27443">
        <w:t xml:space="preserve"> </w:t>
      </w:r>
      <w:r w:rsidRPr="00E27443">
        <w:t>of</w:t>
      </w:r>
      <w:r w:rsidR="00C63F8F" w:rsidRPr="00E27443">
        <w:t xml:space="preserve"> </w:t>
      </w:r>
      <w:r w:rsidRPr="00E27443">
        <w:t>information</w:t>
      </w:r>
      <w:r w:rsidR="00C63F8F" w:rsidRPr="00E27443">
        <w:t xml:space="preserve"> </w:t>
      </w:r>
      <w:r w:rsidRPr="00E27443">
        <w:t>about</w:t>
      </w:r>
      <w:r w:rsidR="00C63F8F" w:rsidRPr="00E27443">
        <w:t xml:space="preserve"> </w:t>
      </w:r>
      <w:r w:rsidRPr="00E27443">
        <w:t>initiatives</w:t>
      </w:r>
      <w:r w:rsidR="00C63F8F" w:rsidRPr="00E27443">
        <w:t xml:space="preserve"> </w:t>
      </w:r>
      <w:r w:rsidRPr="00E27443">
        <w:t>for</w:t>
      </w:r>
      <w:r w:rsidR="00C63F8F" w:rsidRPr="00E27443">
        <w:t xml:space="preserve"> </w:t>
      </w:r>
      <w:r w:rsidRPr="00E27443">
        <w:t>the</w:t>
      </w:r>
      <w:r w:rsidR="00C63F8F" w:rsidRPr="00E27443">
        <w:t xml:space="preserve"> </w:t>
      </w:r>
      <w:r w:rsidRPr="00E27443">
        <w:t>target</w:t>
      </w:r>
      <w:r w:rsidR="00C63F8F" w:rsidRPr="00E27443">
        <w:t xml:space="preserve"> </w:t>
      </w:r>
      <w:r w:rsidRPr="00E27443">
        <w:t>group</w:t>
      </w:r>
      <w:r w:rsidR="00C63F8F" w:rsidRPr="00E27443">
        <w:t xml:space="preserve"> </w:t>
      </w:r>
      <w:r w:rsidRPr="00E27443">
        <w:t>is</w:t>
      </w:r>
      <w:r w:rsidR="00C63F8F" w:rsidRPr="00E27443">
        <w:t xml:space="preserve"> </w:t>
      </w:r>
      <w:r w:rsidRPr="00E27443">
        <w:t>formulated.</w:t>
      </w:r>
      <w:r w:rsidR="00C63F8F" w:rsidRPr="00E27443">
        <w:t xml:space="preserve"> </w:t>
      </w:r>
      <w:r w:rsidRPr="00E27443">
        <w:t>The</w:t>
      </w:r>
      <w:r w:rsidR="00C63F8F" w:rsidRPr="00E27443">
        <w:t xml:space="preserve"> </w:t>
      </w:r>
      <w:r w:rsidRPr="00E27443">
        <w:t>Board</w:t>
      </w:r>
      <w:r w:rsidR="00C63F8F" w:rsidRPr="00E27443">
        <w:t xml:space="preserve"> </w:t>
      </w:r>
      <w:r w:rsidRPr="00E27443">
        <w:t>will</w:t>
      </w:r>
      <w:r w:rsidR="00C63F8F" w:rsidRPr="00E27443">
        <w:t xml:space="preserve"> </w:t>
      </w:r>
      <w:r w:rsidRPr="00E27443">
        <w:t>then,</w:t>
      </w:r>
      <w:r w:rsidR="00C63F8F" w:rsidRPr="00E27443">
        <w:t xml:space="preserve"> </w:t>
      </w:r>
      <w:r w:rsidRPr="00E27443">
        <w:t>in</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principals,</w:t>
      </w:r>
      <w:r w:rsidR="00C63F8F" w:rsidRPr="00E27443">
        <w:t xml:space="preserve"> </w:t>
      </w:r>
      <w:r w:rsidRPr="00E27443">
        <w:t>propose</w:t>
      </w:r>
      <w:r w:rsidR="00C63F8F" w:rsidRPr="00E27443">
        <w:t xml:space="preserve"> </w:t>
      </w:r>
      <w:r w:rsidRPr="00E27443">
        <w:t>how</w:t>
      </w:r>
      <w:r w:rsidR="00C63F8F" w:rsidRPr="00E27443">
        <w:t xml:space="preserve"> </w:t>
      </w:r>
      <w:r w:rsidRPr="00E27443">
        <w:t>current</w:t>
      </w:r>
      <w:r w:rsidR="00C63F8F" w:rsidRPr="00E27443">
        <w:t xml:space="preserve"> </w:t>
      </w:r>
      <w:r w:rsidRPr="00E27443">
        <w:t>support</w:t>
      </w:r>
      <w:r w:rsidR="00C63F8F" w:rsidRPr="00E27443">
        <w:t xml:space="preserve"> </w:t>
      </w:r>
      <w:r w:rsidRPr="00E27443">
        <w:t>can</w:t>
      </w:r>
      <w:r w:rsidR="00C63F8F" w:rsidRPr="00E27443">
        <w:t xml:space="preserve"> </w:t>
      </w:r>
      <w:r w:rsidRPr="00E27443">
        <w:t>be</w:t>
      </w:r>
      <w:r w:rsidR="00C63F8F" w:rsidRPr="00E27443">
        <w:t xml:space="preserve"> </w:t>
      </w:r>
      <w:r w:rsidRPr="00E27443">
        <w:t>further</w:t>
      </w:r>
      <w:r w:rsidR="00C63F8F" w:rsidRPr="00E27443">
        <w:t xml:space="preserve"> </w:t>
      </w:r>
      <w:r w:rsidRPr="00E27443">
        <w:t>developed</w:t>
      </w:r>
      <w:r w:rsidR="00C63F8F" w:rsidRPr="00E27443">
        <w:t xml:space="preserve"> </w:t>
      </w:r>
      <w:r w:rsidRPr="00E27443">
        <w:t>on</w:t>
      </w:r>
      <w:r w:rsidR="00C63F8F" w:rsidRPr="00E27443">
        <w:t xml:space="preserve"> </w:t>
      </w:r>
      <w:r w:rsidRPr="00E27443">
        <w:t>a</w:t>
      </w:r>
      <w:r w:rsidR="00C63F8F" w:rsidRPr="00E27443">
        <w:t xml:space="preserve"> </w:t>
      </w:r>
      <w:r w:rsidRPr="00E27443">
        <w:t>national</w:t>
      </w:r>
      <w:r w:rsidR="00C63F8F" w:rsidRPr="00E27443">
        <w:t xml:space="preserve"> </w:t>
      </w:r>
      <w:r w:rsidRPr="00E27443">
        <w:t>basis.</w:t>
      </w:r>
      <w:r w:rsidR="00C63F8F" w:rsidRPr="00E27443">
        <w:t xml:space="preserve"> </w:t>
      </w:r>
      <w:r w:rsidRPr="00E27443">
        <w:t>This</w:t>
      </w:r>
      <w:r w:rsidR="00C63F8F" w:rsidRPr="00E27443">
        <w:t xml:space="preserve"> </w:t>
      </w:r>
      <w:r w:rsidRPr="00E27443">
        <w:t>support</w:t>
      </w:r>
      <w:r w:rsidR="00C63F8F" w:rsidRPr="00E27443">
        <w:t xml:space="preserve"> </w:t>
      </w:r>
      <w:r w:rsidRPr="00E27443">
        <w:t>must</w:t>
      </w:r>
      <w:r w:rsidR="00C63F8F" w:rsidRPr="00E27443">
        <w:t xml:space="preserve"> </w:t>
      </w:r>
      <w:r w:rsidRPr="00E27443">
        <w:t>be</w:t>
      </w:r>
      <w:r w:rsidR="00C63F8F" w:rsidRPr="00E27443">
        <w:t xml:space="preserve"> </w:t>
      </w:r>
      <w:r w:rsidRPr="00E27443">
        <w:t>formulated</w:t>
      </w:r>
      <w:r w:rsidR="00C63F8F" w:rsidRPr="00E27443">
        <w:t xml:space="preserve"> </w:t>
      </w:r>
      <w:r w:rsidRPr="00E27443">
        <w:t>with</w:t>
      </w:r>
      <w:r w:rsidR="00C63F8F" w:rsidRPr="00E27443">
        <w:t xml:space="preserve"> </w:t>
      </w:r>
      <w:r w:rsidRPr="00E27443">
        <w:t>retained</w:t>
      </w:r>
      <w:r w:rsidR="00C63F8F" w:rsidRPr="00E27443">
        <w:t xml:space="preserve"> </w:t>
      </w:r>
      <w:r w:rsidRPr="00E27443">
        <w:t>division</w:t>
      </w:r>
      <w:r w:rsidR="00C63F8F" w:rsidRPr="00E27443">
        <w:t xml:space="preserve"> </w:t>
      </w:r>
      <w:r w:rsidRPr="00E27443">
        <w:t>of</w:t>
      </w:r>
      <w:r w:rsidR="00C63F8F" w:rsidRPr="00E27443">
        <w:t xml:space="preserve"> </w:t>
      </w:r>
      <w:r w:rsidRPr="00E27443">
        <w:t>responsibility,</w:t>
      </w:r>
      <w:r w:rsidR="00C63F8F" w:rsidRPr="00E27443">
        <w:t xml:space="preserve"> </w:t>
      </w:r>
      <w:r w:rsidRPr="00E27443">
        <w:t>and</w:t>
      </w:r>
      <w:r w:rsidR="00C63F8F" w:rsidRPr="00E27443">
        <w:t xml:space="preserve"> </w:t>
      </w:r>
      <w:r w:rsidRPr="00E27443">
        <w:t>in</w:t>
      </w:r>
      <w:r w:rsidR="00C63F8F" w:rsidRPr="00E27443">
        <w:t xml:space="preserve"> </w:t>
      </w:r>
      <w:r w:rsidRPr="00E27443">
        <w:t>a</w:t>
      </w:r>
      <w:r w:rsidR="00C63F8F" w:rsidRPr="00E27443">
        <w:t xml:space="preserve"> </w:t>
      </w:r>
      <w:r w:rsidRPr="00E27443">
        <w:t>way</w:t>
      </w:r>
      <w:r w:rsidR="00C63F8F" w:rsidRPr="00E27443">
        <w:t xml:space="preserve"> </w:t>
      </w:r>
      <w:r w:rsidRPr="00E27443">
        <w:t>that</w:t>
      </w:r>
      <w:r w:rsidR="00C63F8F" w:rsidRPr="00E27443">
        <w:t xml:space="preserve"> </w:t>
      </w:r>
      <w:r w:rsidRPr="00E27443">
        <w:t>makes</w:t>
      </w:r>
      <w:r w:rsidR="00C63F8F" w:rsidRPr="00E27443">
        <w:t xml:space="preserve"> </w:t>
      </w:r>
      <w:r w:rsidRPr="00E27443">
        <w:t>it</w:t>
      </w:r>
      <w:r w:rsidR="00C63F8F" w:rsidRPr="00E27443">
        <w:t xml:space="preserve"> </w:t>
      </w:r>
      <w:r w:rsidRPr="00E27443">
        <w:t>possible</w:t>
      </w:r>
      <w:r w:rsidR="00C63F8F" w:rsidRPr="00E27443">
        <w:t xml:space="preserve"> </w:t>
      </w:r>
      <w:r w:rsidRPr="00E27443">
        <w:t>for</w:t>
      </w:r>
      <w:r w:rsidR="00C63F8F" w:rsidRPr="00E27443">
        <w:t xml:space="preserve"> </w:t>
      </w:r>
      <w:r w:rsidRPr="00E27443">
        <w:t>the</w:t>
      </w:r>
      <w:r w:rsidR="00C63F8F" w:rsidRPr="00E27443">
        <w:t xml:space="preserve"> </w:t>
      </w:r>
      <w:r w:rsidRPr="00E27443">
        <w:t>cost</w:t>
      </w:r>
      <w:r w:rsidR="00C63F8F" w:rsidRPr="00E27443">
        <w:t xml:space="preserve"> </w:t>
      </w:r>
      <w:r w:rsidRPr="00E27443">
        <w:t>of</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to</w:t>
      </w:r>
      <w:r w:rsidR="00C63F8F" w:rsidRPr="00E27443">
        <w:t xml:space="preserve"> </w:t>
      </w:r>
      <w:r w:rsidRPr="00E27443">
        <w:t>be</w:t>
      </w:r>
      <w:r w:rsidR="00C63F8F" w:rsidRPr="00E27443">
        <w:t xml:space="preserve"> </w:t>
      </w:r>
      <w:r w:rsidRPr="00E27443">
        <w:t>borne</w:t>
      </w:r>
      <w:r w:rsidR="00C63F8F" w:rsidRPr="00E27443">
        <w:t xml:space="preserve"> </w:t>
      </w:r>
      <w:r w:rsidRPr="00E27443">
        <w:t>in</w:t>
      </w:r>
      <w:r w:rsidR="00C63F8F" w:rsidRPr="00E27443">
        <w:t xml:space="preserve"> </w:t>
      </w:r>
      <w:r w:rsidRPr="00E27443">
        <w:t>the</w:t>
      </w:r>
      <w:r w:rsidR="00C63F8F" w:rsidRPr="00E27443">
        <w:t xml:space="preserve"> </w:t>
      </w:r>
      <w:r w:rsidRPr="00E27443">
        <w:t>long</w:t>
      </w:r>
      <w:r w:rsidR="00C63F8F" w:rsidRPr="00E27443">
        <w:t xml:space="preserve"> </w:t>
      </w:r>
      <w:r w:rsidRPr="00E27443">
        <w:t>term</w:t>
      </w:r>
      <w:r w:rsidR="00C63F8F" w:rsidRPr="00E27443">
        <w:t xml:space="preserve"> </w:t>
      </w:r>
      <w:r w:rsidRPr="00E27443">
        <w:t>by</w:t>
      </w:r>
      <w:r w:rsidR="00C63F8F" w:rsidRPr="00E27443">
        <w:t xml:space="preserve"> </w:t>
      </w:r>
      <w:r w:rsidRPr="00E27443">
        <w:t>the</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and</w:t>
      </w:r>
      <w:r w:rsidR="00C63F8F" w:rsidRPr="00E27443">
        <w:t xml:space="preserve"> </w:t>
      </w:r>
      <w:r w:rsidRPr="00E27443">
        <w:t>municipalities</w:t>
      </w:r>
      <w:r w:rsidR="00C63F8F" w:rsidRPr="00E27443">
        <w:t xml:space="preserve"> </w:t>
      </w:r>
      <w:r w:rsidRPr="00E27443">
        <w:t>that</w:t>
      </w:r>
      <w:r w:rsidR="00C63F8F" w:rsidRPr="00E27443">
        <w:t xml:space="preserve"> </w:t>
      </w:r>
      <w:r w:rsidRPr="00E27443">
        <w:t>require</w:t>
      </w:r>
      <w:r w:rsidR="00C63F8F" w:rsidRPr="00E27443">
        <w:t xml:space="preserve"> </w:t>
      </w:r>
      <w:r w:rsidRPr="00E27443">
        <w:t>them.</w:t>
      </w:r>
    </w:p>
    <w:p w:rsidR="00321ADA" w:rsidRPr="00E27443" w:rsidRDefault="00321ADA" w:rsidP="00D56F1C">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Disability</w:t>
      </w:r>
      <w:r w:rsidR="00C63F8F" w:rsidRPr="00E27443">
        <w:t xml:space="preserve"> </w:t>
      </w:r>
      <w:r w:rsidRPr="00E27443">
        <w:t>Federation</w:t>
      </w:r>
      <w:r w:rsidR="00C63F8F" w:rsidRPr="00E27443">
        <w:t xml:space="preserve"> </w:t>
      </w:r>
      <w:r w:rsidRPr="00E27443">
        <w:t>is</w:t>
      </w:r>
      <w:r w:rsidR="00C63F8F" w:rsidRPr="00E27443">
        <w:t xml:space="preserve"> </w:t>
      </w:r>
      <w:r w:rsidRPr="00E27443">
        <w:t>currently</w:t>
      </w:r>
      <w:r w:rsidR="00C63F8F" w:rsidRPr="00E27443">
        <w:t xml:space="preserve"> </w:t>
      </w:r>
      <w:r w:rsidRPr="00E27443">
        <w:t>charting</w:t>
      </w:r>
      <w:r w:rsidR="00C63F8F" w:rsidRPr="00E27443">
        <w:t xml:space="preserve"> </w:t>
      </w:r>
      <w:r w:rsidRPr="00E27443">
        <w:t>how</w:t>
      </w:r>
      <w:r w:rsidR="00C63F8F" w:rsidRPr="00E27443">
        <w:t xml:space="preserve"> </w:t>
      </w:r>
      <w:r w:rsidRPr="00E27443">
        <w:t>participation</w:t>
      </w:r>
      <w:r w:rsidR="00C63F8F" w:rsidRPr="00E27443">
        <w:t xml:space="preserve"> </w:t>
      </w:r>
      <w:r w:rsidRPr="00E27443">
        <w:t>and</w:t>
      </w:r>
      <w:r w:rsidR="00C63F8F" w:rsidRPr="00E27443">
        <w:t xml:space="preserve"> </w:t>
      </w:r>
      <w:r w:rsidRPr="00E27443">
        <w:t>self-determination</w:t>
      </w:r>
      <w:r w:rsidR="00C63F8F" w:rsidRPr="00E27443">
        <w:t xml:space="preserve"> </w:t>
      </w:r>
      <w:r w:rsidRPr="00E27443">
        <w:t>can</w:t>
      </w:r>
      <w:r w:rsidR="00C63F8F" w:rsidRPr="00E27443">
        <w:t xml:space="preserve"> </w:t>
      </w:r>
      <w:r w:rsidRPr="00E27443">
        <w:t>be</w:t>
      </w:r>
      <w:r w:rsidR="00C63F8F" w:rsidRPr="00E27443">
        <w:t xml:space="preserve"> </w:t>
      </w:r>
      <w:r w:rsidRPr="00E27443">
        <w:t>improved</w:t>
      </w:r>
      <w:r w:rsidR="00C63F8F" w:rsidRPr="00E27443">
        <w:t xml:space="preserve"> </w:t>
      </w:r>
      <w:r w:rsidRPr="00E27443">
        <w:t>for</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need</w:t>
      </w:r>
      <w:r w:rsidR="00C63F8F" w:rsidRPr="00E27443">
        <w:t xml:space="preserve"> </w:t>
      </w:r>
      <w:r w:rsidRPr="00E27443">
        <w:t>for</w:t>
      </w:r>
      <w:r w:rsidR="00C63F8F" w:rsidRPr="00E27443">
        <w:t xml:space="preserve"> </w:t>
      </w:r>
      <w:r w:rsidRPr="00E27443">
        <w:t>habilitation</w:t>
      </w:r>
      <w:r w:rsidR="00C63F8F" w:rsidRPr="00E27443">
        <w:t xml:space="preserve"> </w:t>
      </w:r>
      <w:r w:rsidRPr="00E27443">
        <w:t>initiatives,</w:t>
      </w:r>
      <w:r w:rsidR="00C63F8F" w:rsidRPr="00E27443">
        <w:t xml:space="preserve"> </w:t>
      </w:r>
      <w:r w:rsidRPr="00E27443">
        <w:t>and</w:t>
      </w:r>
      <w:r w:rsidR="00C63F8F" w:rsidRPr="00E27443">
        <w:t xml:space="preserve"> </w:t>
      </w:r>
      <w:r w:rsidRPr="00E27443">
        <w:t>thereby</w:t>
      </w:r>
      <w:r w:rsidR="00C63F8F" w:rsidRPr="00E27443">
        <w:t xml:space="preserve"> </w:t>
      </w:r>
      <w:r w:rsidRPr="00E27443">
        <w:t>improve</w:t>
      </w:r>
      <w:r w:rsidR="00C63F8F" w:rsidRPr="00E27443">
        <w:t xml:space="preserve"> </w:t>
      </w:r>
      <w:r w:rsidRPr="00E27443">
        <w:t>their</w:t>
      </w:r>
      <w:r w:rsidR="00C63F8F" w:rsidRPr="00E27443">
        <w:t xml:space="preserve"> </w:t>
      </w:r>
      <w:r w:rsidRPr="00E27443">
        <w:t>preconditions</w:t>
      </w:r>
      <w:r w:rsidR="00C63F8F" w:rsidRPr="00E27443">
        <w:t xml:space="preserve"> </w:t>
      </w:r>
      <w:r w:rsidRPr="00E27443">
        <w:t>for</w:t>
      </w:r>
      <w:r w:rsidR="00C63F8F" w:rsidRPr="00E27443">
        <w:t xml:space="preserve"> </w:t>
      </w:r>
      <w:r w:rsidRPr="00E27443">
        <w:t>an</w:t>
      </w:r>
      <w:r w:rsidR="00C63F8F" w:rsidRPr="00E27443">
        <w:t xml:space="preserve"> </w:t>
      </w:r>
      <w:r w:rsidRPr="00E27443">
        <w:t>independent</w:t>
      </w:r>
      <w:r w:rsidR="00C63F8F" w:rsidRPr="00E27443">
        <w:t xml:space="preserve"> </w:t>
      </w:r>
      <w:r w:rsidRPr="00E27443">
        <w:t>life.</w:t>
      </w:r>
      <w:r w:rsidR="00C63F8F" w:rsidRPr="00E27443">
        <w:t xml:space="preserve"> </w:t>
      </w:r>
    </w:p>
    <w:p w:rsidR="00321ADA" w:rsidRPr="00E27443" w:rsidRDefault="00321ADA" w:rsidP="00D56F1C">
      <w:pPr>
        <w:pStyle w:val="SingleTxtG"/>
        <w:numPr>
          <w:ilvl w:val="0"/>
          <w:numId w:val="20"/>
        </w:numPr>
        <w:tabs>
          <w:tab w:val="left" w:pos="1843"/>
        </w:tabs>
        <w:ind w:left="1134" w:firstLine="0"/>
      </w:pP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improve</w:t>
      </w:r>
      <w:r w:rsidR="00C63F8F" w:rsidRPr="00E27443">
        <w:t xml:space="preserve"> </w:t>
      </w:r>
      <w:r w:rsidRPr="00E27443">
        <w:t>the</w:t>
      </w:r>
      <w:r w:rsidR="00C63F8F" w:rsidRPr="00E27443">
        <w:t xml:space="preserve"> </w:t>
      </w:r>
      <w:r w:rsidRPr="00E27443">
        <w:t>general</w:t>
      </w:r>
      <w:r w:rsidR="00C63F8F" w:rsidRPr="00E27443">
        <w:t xml:space="preserve"> </w:t>
      </w:r>
      <w:r w:rsidRPr="00E27443">
        <w:t>support</w:t>
      </w:r>
      <w:r w:rsidR="00C63F8F" w:rsidRPr="00E27443">
        <w:t xml:space="preserve"> </w:t>
      </w:r>
      <w:r w:rsidRPr="00E27443">
        <w:t>to</w:t>
      </w:r>
      <w:r w:rsidR="00C63F8F" w:rsidRPr="00E27443">
        <w:t xml:space="preserve"> </w:t>
      </w:r>
      <w:r w:rsidRPr="00E27443">
        <w:t>parents,</w:t>
      </w:r>
      <w:r w:rsidR="00C63F8F" w:rsidRPr="00E27443">
        <w:t xml:space="preserve"> </w:t>
      </w:r>
      <w:r w:rsidRPr="00E27443">
        <w:t>the</w:t>
      </w:r>
      <w:r w:rsidR="00C63F8F" w:rsidRPr="00E27443">
        <w:t xml:space="preserve"> </w:t>
      </w:r>
      <w:r w:rsidRPr="00E27443">
        <w:t>National</w:t>
      </w:r>
      <w:r w:rsidR="00C63F8F" w:rsidRPr="00E27443">
        <w:t xml:space="preserve"> </w:t>
      </w:r>
      <w:r w:rsidRPr="00E27443">
        <w:t>Institute</w:t>
      </w:r>
      <w:r w:rsidR="00C63F8F" w:rsidRPr="00E27443">
        <w:t xml:space="preserve"> </w:t>
      </w:r>
      <w:r w:rsidRPr="00E27443">
        <w:t>of</w:t>
      </w:r>
      <w:r w:rsidR="00C63F8F" w:rsidRPr="00E27443">
        <w:t xml:space="preserve"> </w:t>
      </w:r>
      <w:r w:rsidRPr="00E27443">
        <w:t>Public</w:t>
      </w:r>
      <w:r w:rsidR="00C63F8F" w:rsidRPr="00E27443">
        <w:t xml:space="preserve"> </w:t>
      </w:r>
      <w:r w:rsidRPr="00E27443">
        <w:t>Health,</w:t>
      </w:r>
      <w:r w:rsidR="00C63F8F" w:rsidRPr="00E27443">
        <w:t xml:space="preserve"> </w:t>
      </w:r>
      <w:r w:rsidRPr="00E27443">
        <w:t>at</w:t>
      </w:r>
      <w:r w:rsidR="00C63F8F" w:rsidRPr="00E27443">
        <w:t xml:space="preserve"> </w:t>
      </w:r>
      <w:r w:rsidRPr="00E27443">
        <w:t>the</w:t>
      </w:r>
      <w:r w:rsidR="00C63F8F" w:rsidRPr="00E27443">
        <w:t xml:space="preserve"> </w:t>
      </w:r>
      <w:r w:rsidRPr="00E27443">
        <w:t>request</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is</w:t>
      </w:r>
      <w:r w:rsidR="00C63F8F" w:rsidRPr="00E27443">
        <w:t xml:space="preserve"> </w:t>
      </w:r>
      <w:r w:rsidRPr="00E27443">
        <w:t>currently</w:t>
      </w:r>
      <w:r w:rsidR="00C63F8F" w:rsidRPr="00E27443">
        <w:t xml:space="preserve"> </w:t>
      </w:r>
      <w:r w:rsidRPr="00E27443">
        <w:t>conducting</w:t>
      </w:r>
      <w:r w:rsidR="00C63F8F" w:rsidRPr="00E27443">
        <w:t xml:space="preserve"> </w:t>
      </w:r>
      <w:r w:rsidRPr="00E27443">
        <w:t>a</w:t>
      </w:r>
      <w:r w:rsidR="00C63F8F" w:rsidRPr="00E27443">
        <w:t xml:space="preserve"> </w:t>
      </w:r>
      <w:r w:rsidRPr="00E27443">
        <w:t>national</w:t>
      </w:r>
      <w:r w:rsidR="00C63F8F" w:rsidRPr="00E27443">
        <w:t xml:space="preserve"> </w:t>
      </w:r>
      <w:r w:rsidRPr="00E27443">
        <w:t>venture</w:t>
      </w:r>
      <w:r w:rsidR="00C63F8F" w:rsidRPr="00E27443">
        <w:t xml:space="preserve"> </w:t>
      </w:r>
      <w:r w:rsidRPr="00E27443">
        <w:t>aimed</w:t>
      </w:r>
      <w:r w:rsidR="00C63F8F" w:rsidRPr="00E27443">
        <w:t xml:space="preserve"> </w:t>
      </w:r>
      <w:r w:rsidRPr="00E27443">
        <w:t>at</w:t>
      </w:r>
      <w:r w:rsidR="00C63F8F" w:rsidRPr="00E27443">
        <w:t xml:space="preserve"> </w:t>
      </w:r>
      <w:r w:rsidRPr="00E27443">
        <w:t>improving</w:t>
      </w:r>
      <w:r w:rsidR="00C63F8F" w:rsidRPr="00E27443">
        <w:t xml:space="preserve"> </w:t>
      </w:r>
      <w:r w:rsidRPr="00E27443">
        <w:t>the</w:t>
      </w:r>
      <w:r w:rsidR="00C63F8F" w:rsidRPr="00E27443">
        <w:t xml:space="preserve"> </w:t>
      </w:r>
      <w:r w:rsidRPr="00E27443">
        <w:t>interaction</w:t>
      </w:r>
      <w:r w:rsidR="00C63F8F" w:rsidRPr="00E27443">
        <w:t xml:space="preserve"> </w:t>
      </w:r>
      <w:r w:rsidRPr="00E27443">
        <w:t>between</w:t>
      </w:r>
      <w:r w:rsidR="00C63F8F" w:rsidRPr="00E27443">
        <w:t xml:space="preserve"> </w:t>
      </w:r>
      <w:r w:rsidRPr="00E27443">
        <w:t>children</w:t>
      </w:r>
      <w:r w:rsidR="00C63F8F" w:rsidRPr="00E27443">
        <w:t xml:space="preserve"> </w:t>
      </w:r>
      <w:r w:rsidRPr="00E27443">
        <w:t>and</w:t>
      </w:r>
      <w:r w:rsidR="00C63F8F" w:rsidRPr="00E27443">
        <w:t xml:space="preserve"> </w:t>
      </w:r>
      <w:r w:rsidRPr="00E27443">
        <w:t>parents,</w:t>
      </w:r>
      <w:r w:rsidR="00C63F8F" w:rsidRPr="00E27443">
        <w:t xml:space="preserve"> </w:t>
      </w:r>
      <w:r w:rsidRPr="00E27443">
        <w:t>and</w:t>
      </w:r>
      <w:r w:rsidR="00C63F8F" w:rsidRPr="00E27443">
        <w:t xml:space="preserve"> </w:t>
      </w:r>
      <w:r w:rsidRPr="00E27443">
        <w:t>thereby</w:t>
      </w:r>
      <w:r w:rsidR="00C63F8F" w:rsidRPr="00E27443">
        <w:t xml:space="preserve"> </w:t>
      </w:r>
      <w:r w:rsidRPr="00E27443">
        <w:t>promoting</w:t>
      </w:r>
      <w:r w:rsidR="00C63F8F" w:rsidRPr="00E27443">
        <w:t xml:space="preserve"> </w:t>
      </w:r>
      <w:r w:rsidRPr="00E27443">
        <w:t>the</w:t>
      </w:r>
      <w:r w:rsidR="00C63F8F" w:rsidRPr="00E27443">
        <w:t xml:space="preserve"> </w:t>
      </w:r>
      <w:r w:rsidRPr="00E27443">
        <w:t>health</w:t>
      </w:r>
      <w:r w:rsidR="00C63F8F" w:rsidRPr="00E27443">
        <w:t xml:space="preserve"> </w:t>
      </w:r>
      <w:r w:rsidRPr="00E27443">
        <w:t>of</w:t>
      </w:r>
      <w:r w:rsidR="00C63F8F" w:rsidRPr="00E27443">
        <w:t xml:space="preserve"> </w:t>
      </w:r>
      <w:r w:rsidRPr="00E27443">
        <w:t>young</w:t>
      </w:r>
      <w:r w:rsidR="00C63F8F" w:rsidRPr="00E27443">
        <w:t xml:space="preserve"> </w:t>
      </w:r>
      <w:r w:rsidRPr="00E27443">
        <w:t>persons.</w:t>
      </w:r>
      <w:r w:rsidR="00C63F8F" w:rsidRPr="00E27443">
        <w:t xml:space="preserve"> </w:t>
      </w:r>
      <w:r w:rsidRPr="00E27443">
        <w:t>The</w:t>
      </w:r>
      <w:r w:rsidR="00C63F8F" w:rsidRPr="00E27443">
        <w:t xml:space="preserve"> </w:t>
      </w:r>
      <w:r w:rsidRPr="00E27443">
        <w:t>goal</w:t>
      </w:r>
      <w:r w:rsidR="00C63F8F" w:rsidRPr="00E27443">
        <w:t xml:space="preserve"> </w:t>
      </w:r>
      <w:r w:rsidRPr="00E27443">
        <w:t>is</w:t>
      </w:r>
      <w:r w:rsidR="00C63F8F" w:rsidRPr="00E27443">
        <w:t xml:space="preserve"> </w:t>
      </w:r>
      <w:r w:rsidRPr="00E27443">
        <w:t>to</w:t>
      </w:r>
      <w:r w:rsidR="00C63F8F" w:rsidRPr="00E27443">
        <w:t xml:space="preserve"> </w:t>
      </w:r>
      <w:r w:rsidRPr="00E27443">
        <w:t>reduce</w:t>
      </w:r>
      <w:r w:rsidR="00C63F8F" w:rsidRPr="00E27443">
        <w:t xml:space="preserve"> </w:t>
      </w:r>
      <w:r w:rsidRPr="00E27443">
        <w:t>the</w:t>
      </w:r>
      <w:r w:rsidR="00C63F8F" w:rsidRPr="00E27443">
        <w:t xml:space="preserve"> </w:t>
      </w:r>
      <w:r w:rsidRPr="00E27443">
        <w:t>risk</w:t>
      </w:r>
      <w:r w:rsidR="00C63F8F" w:rsidRPr="00E27443">
        <w:t xml:space="preserve"> </w:t>
      </w:r>
      <w:r w:rsidRPr="00E27443">
        <w:t>of</w:t>
      </w:r>
      <w:r w:rsidR="00C63F8F" w:rsidRPr="00E27443">
        <w:t xml:space="preserve"> </w:t>
      </w:r>
      <w:r w:rsidRPr="00E27443">
        <w:t>many</w:t>
      </w:r>
      <w:r w:rsidR="00C63F8F" w:rsidRPr="00E27443">
        <w:t xml:space="preserve"> </w:t>
      </w:r>
      <w:r w:rsidRPr="00E27443">
        <w:t>health</w:t>
      </w:r>
      <w:r w:rsidR="00C63F8F" w:rsidRPr="00E27443">
        <w:t xml:space="preserve"> </w:t>
      </w:r>
      <w:r w:rsidRPr="00E27443">
        <w:t>problems</w:t>
      </w:r>
      <w:r w:rsidR="00C63F8F" w:rsidRPr="00E27443">
        <w:t xml:space="preserve"> </w:t>
      </w:r>
      <w:r w:rsidRPr="00E27443">
        <w:t>among</w:t>
      </w:r>
      <w:r w:rsidR="00C63F8F" w:rsidRPr="00E27443">
        <w:t xml:space="preserve"> </w:t>
      </w:r>
      <w:r w:rsidRPr="00E27443">
        <w:t>young</w:t>
      </w:r>
      <w:r w:rsidR="00C63F8F" w:rsidRPr="00E27443">
        <w:t xml:space="preserve"> </w:t>
      </w:r>
      <w:r w:rsidRPr="00E27443">
        <w:t>persons,</w:t>
      </w:r>
      <w:r w:rsidR="00C63F8F" w:rsidRPr="00E27443">
        <w:t xml:space="preserve"> </w:t>
      </w:r>
      <w:r w:rsidRPr="00E27443">
        <w:t>including</w:t>
      </w:r>
      <w:r w:rsidR="00C63F8F" w:rsidRPr="00E27443">
        <w:t xml:space="preserve"> </w:t>
      </w:r>
      <w:r w:rsidRPr="00E27443">
        <w:t>mental</w:t>
      </w:r>
      <w:r w:rsidR="00C63F8F" w:rsidRPr="00E27443">
        <w:t xml:space="preserve"> </w:t>
      </w:r>
      <w:r w:rsidRPr="00E27443">
        <w:t>ill</w:t>
      </w:r>
      <w:r w:rsidR="00C63F8F" w:rsidRPr="00E27443">
        <w:t xml:space="preserve"> </w:t>
      </w:r>
      <w:r w:rsidRPr="00E27443">
        <w:t>health.</w:t>
      </w:r>
      <w:r w:rsidR="00C63F8F" w:rsidRPr="00E27443">
        <w:t xml:space="preserve"> </w:t>
      </w:r>
      <w:r w:rsidRPr="00E27443">
        <w:t>The</w:t>
      </w:r>
      <w:r w:rsidR="00C63F8F" w:rsidRPr="00E27443">
        <w:t xml:space="preserve"> </w:t>
      </w:r>
      <w:r w:rsidRPr="00E27443">
        <w:t>support</w:t>
      </w:r>
      <w:r w:rsidR="00C63F8F" w:rsidRPr="00E27443">
        <w:t xml:space="preserve"> </w:t>
      </w:r>
      <w:r w:rsidRPr="00E27443">
        <w:t>reinforces</w:t>
      </w:r>
      <w:r w:rsidR="00C63F8F" w:rsidRPr="00E27443">
        <w:t xml:space="preserve"> </w:t>
      </w:r>
      <w:r w:rsidRPr="00E27443">
        <w:t>the</w:t>
      </w:r>
      <w:r w:rsidR="00C63F8F" w:rsidRPr="00E27443">
        <w:t xml:space="preserve"> </w:t>
      </w:r>
      <w:r w:rsidRPr="00E27443">
        <w:t>parents</w:t>
      </w:r>
      <w:r w:rsidR="00C63F8F" w:rsidRPr="00E27443">
        <w:t xml:space="preserve"> </w:t>
      </w:r>
      <w:r w:rsidRPr="00E27443">
        <w:t>in</w:t>
      </w:r>
      <w:r w:rsidR="00C63F8F" w:rsidRPr="00E27443">
        <w:t xml:space="preserve"> </w:t>
      </w:r>
      <w:r w:rsidRPr="00E27443">
        <w:t>their</w:t>
      </w:r>
      <w:r w:rsidR="00C63F8F" w:rsidRPr="00E27443">
        <w:t xml:space="preserve"> </w:t>
      </w:r>
      <w:r w:rsidRPr="00E27443">
        <w:t>vital</w:t>
      </w:r>
      <w:r w:rsidR="00C63F8F" w:rsidRPr="00E27443">
        <w:t xml:space="preserve"> </w:t>
      </w:r>
      <w:r w:rsidRPr="00E27443">
        <w:t>role,</w:t>
      </w:r>
      <w:r w:rsidR="00C63F8F" w:rsidRPr="00E27443">
        <w:t xml:space="preserve"> </w:t>
      </w:r>
      <w:r w:rsidRPr="00E27443">
        <w:t>and</w:t>
      </w:r>
      <w:r w:rsidR="00C63F8F" w:rsidRPr="00E27443">
        <w:t xml:space="preserve"> </w:t>
      </w:r>
      <w:r w:rsidRPr="00E27443">
        <w:t>contributes</w:t>
      </w:r>
      <w:r w:rsidR="00C63F8F" w:rsidRPr="00E27443">
        <w:t xml:space="preserve"> </w:t>
      </w:r>
      <w:r w:rsidRPr="00E27443">
        <w:t>to</w:t>
      </w:r>
      <w:r w:rsidR="00C63F8F" w:rsidRPr="00E27443">
        <w:t xml:space="preserve"> </w:t>
      </w:r>
      <w:r w:rsidRPr="00E27443">
        <w:t>improved</w:t>
      </w:r>
      <w:r w:rsidR="00C63F8F" w:rsidRPr="00E27443">
        <w:t xml:space="preserve"> </w:t>
      </w:r>
      <w:r w:rsidRPr="00E27443">
        <w:t>communication</w:t>
      </w:r>
      <w:r w:rsidR="00C63F8F" w:rsidRPr="00E27443">
        <w:t xml:space="preserve"> </w:t>
      </w:r>
      <w:r w:rsidRPr="00E27443">
        <w:t>between</w:t>
      </w:r>
      <w:r w:rsidR="00C63F8F" w:rsidRPr="00E27443">
        <w:t xml:space="preserve"> </w:t>
      </w:r>
      <w:r w:rsidRPr="00E27443">
        <w:t>parent</w:t>
      </w:r>
      <w:r w:rsidR="00C63F8F" w:rsidRPr="00E27443">
        <w:t xml:space="preserve"> </w:t>
      </w:r>
      <w:r w:rsidRPr="00E27443">
        <w:t>and</w:t>
      </w:r>
      <w:r w:rsidR="00C63F8F" w:rsidRPr="00E27443">
        <w:t xml:space="preserve"> </w:t>
      </w:r>
      <w:r w:rsidRPr="00E27443">
        <w:t>child.</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children</w:t>
      </w:r>
      <w:r w:rsidR="00C63F8F" w:rsidRPr="00E27443">
        <w:t>’</w:t>
      </w:r>
      <w:r w:rsidRPr="00E27443">
        <w:t>s</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exert</w:t>
      </w:r>
      <w:r w:rsidR="00C63F8F" w:rsidRPr="00E27443">
        <w:t xml:space="preserve"> </w:t>
      </w:r>
      <w:r w:rsidRPr="00E27443">
        <w:t>an</w:t>
      </w:r>
      <w:r w:rsidR="00C63F8F" w:rsidRPr="00E27443">
        <w:t xml:space="preserve"> </w:t>
      </w:r>
      <w:r w:rsidRPr="00E27443">
        <w:t>influence,</w:t>
      </w:r>
      <w:r w:rsidR="00C63F8F" w:rsidRPr="00E27443">
        <w:t xml:space="preserve"> </w:t>
      </w:r>
      <w:r w:rsidRPr="00E27443">
        <w:t>see</w:t>
      </w:r>
      <w:r w:rsidR="00C63F8F" w:rsidRPr="00E27443">
        <w:t xml:space="preserve"> </w:t>
      </w:r>
      <w:r w:rsidRPr="00E27443">
        <w:t>also</w:t>
      </w:r>
      <w:r w:rsidR="00C63F8F" w:rsidRPr="00E27443">
        <w:t xml:space="preserve"> </w:t>
      </w:r>
      <w:r w:rsidRPr="00E27443">
        <w:t>Article</w:t>
      </w:r>
      <w:r w:rsidR="00C63F8F" w:rsidRPr="00E27443">
        <w:t xml:space="preserve"> </w:t>
      </w:r>
      <w:r w:rsidRPr="00E27443">
        <w:t>7.</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social</w:t>
      </w:r>
      <w:r w:rsidR="00C63F8F" w:rsidRPr="00E27443">
        <w:t xml:space="preserve"> </w:t>
      </w:r>
      <w:r w:rsidRPr="00E27443">
        <w:t>security,</w:t>
      </w:r>
      <w:r w:rsidR="00C63F8F" w:rsidRPr="00E27443">
        <w:t xml:space="preserve"> </w:t>
      </w:r>
      <w:r w:rsidRPr="00E27443">
        <w:t>see</w:t>
      </w:r>
      <w:r w:rsidR="00C63F8F" w:rsidRPr="00E27443">
        <w:t xml:space="preserve"> </w:t>
      </w:r>
      <w:r w:rsidRPr="00E27443">
        <w:t>Article</w:t>
      </w:r>
      <w:r w:rsidR="00C63F8F" w:rsidRPr="00E27443">
        <w:t xml:space="preserve"> </w:t>
      </w:r>
      <w:r w:rsidRPr="00E27443">
        <w:t>28.</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sterilisation,</w:t>
      </w:r>
      <w:r w:rsidR="00C63F8F" w:rsidRPr="00E27443">
        <w:t xml:space="preserve"> </w:t>
      </w:r>
      <w:r w:rsidRPr="00E27443">
        <w:t>see</w:t>
      </w:r>
      <w:r w:rsidR="00C63F8F" w:rsidRPr="00E27443">
        <w:t xml:space="preserve"> </w:t>
      </w:r>
      <w:r w:rsidRPr="00E27443">
        <w:t>Article</w:t>
      </w:r>
      <w:r w:rsidR="00C63F8F" w:rsidRPr="00E27443">
        <w:t xml:space="preserve"> </w:t>
      </w:r>
      <w:r w:rsidRPr="00E27443">
        <w:t>17.</w:t>
      </w:r>
      <w:r w:rsidR="00C63F8F" w:rsidRPr="00E27443">
        <w:t xml:space="preserve"> </w:t>
      </w:r>
    </w:p>
    <w:p w:rsidR="00321ADA" w:rsidRPr="00E27443" w:rsidRDefault="00AC0808" w:rsidP="00AC0808">
      <w:pPr>
        <w:pStyle w:val="H1G"/>
      </w:pPr>
      <w:r w:rsidRPr="00E27443">
        <w:tab/>
      </w:r>
      <w:r w:rsidRPr="00E27443">
        <w:tab/>
      </w:r>
      <w:bookmarkStart w:id="24" w:name="_Toc290623308"/>
      <w:r w:rsidR="00321ADA" w:rsidRPr="00E27443">
        <w:t>Article</w:t>
      </w:r>
      <w:r w:rsidR="00C63F8F" w:rsidRPr="00E27443">
        <w:t xml:space="preserve"> </w:t>
      </w:r>
      <w:r w:rsidR="00321ADA" w:rsidRPr="00E27443">
        <w:t>24</w:t>
      </w:r>
      <w:r w:rsidR="00D56F1C">
        <w:t>:</w:t>
      </w:r>
      <w:r w:rsidR="00C63F8F" w:rsidRPr="00E27443">
        <w:t xml:space="preserve"> </w:t>
      </w:r>
      <w:r w:rsidR="00321ADA" w:rsidRPr="00E27443">
        <w:t>Education</w:t>
      </w:r>
      <w:bookmarkEnd w:id="24"/>
    </w:p>
    <w:p w:rsidR="00321ADA" w:rsidRPr="00E27443" w:rsidRDefault="00321ADA" w:rsidP="00D56F1C">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education</w:t>
      </w:r>
      <w:r w:rsidR="00C63F8F" w:rsidRPr="00E27443">
        <w:t xml:space="preserve"> </w:t>
      </w:r>
      <w:r w:rsidRPr="00E27443">
        <w:t>system</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principle</w:t>
      </w:r>
      <w:r w:rsidR="00C63F8F" w:rsidRPr="00E27443">
        <w:t xml:space="preserve"> </w:t>
      </w:r>
      <w:r w:rsidRPr="00E27443">
        <w:t>of</w:t>
      </w:r>
      <w:r w:rsidR="00C63F8F" w:rsidRPr="00E27443">
        <w:t xml:space="preserve"> </w:t>
      </w:r>
      <w:r w:rsidRPr="00E27443">
        <w:t>inclusion.</w:t>
      </w:r>
      <w:r w:rsidR="00C63F8F" w:rsidRPr="00E27443">
        <w:t xml:space="preserve"> </w:t>
      </w:r>
      <w:r w:rsidRPr="00E27443">
        <w:t>Most</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consequently</w:t>
      </w:r>
      <w:r w:rsidR="00C63F8F" w:rsidRPr="00E27443">
        <w:t xml:space="preserve"> </w:t>
      </w:r>
      <w:r w:rsidRPr="00E27443">
        <w:t>receive</w:t>
      </w:r>
      <w:r w:rsidR="00C63F8F" w:rsidRPr="00E27443">
        <w:t xml:space="preserve"> </w:t>
      </w:r>
      <w:r w:rsidRPr="00E27443">
        <w:t>their</w:t>
      </w:r>
      <w:r w:rsidR="00C63F8F" w:rsidRPr="00E27443">
        <w:t xml:space="preserve"> </w:t>
      </w:r>
      <w:r w:rsidRPr="00E27443">
        <w:t>education</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w:t>
      </w:r>
      <w:r w:rsidR="00C63F8F" w:rsidRPr="00E27443">
        <w:t xml:space="preserve"> </w:t>
      </w:r>
      <w:r w:rsidRPr="00E27443">
        <w:t>regular</w:t>
      </w:r>
      <w:r w:rsidR="00C63F8F" w:rsidRPr="00E27443">
        <w:t xml:space="preserve"> </w:t>
      </w:r>
      <w:r w:rsidRPr="00E27443">
        <w:t>forms</w:t>
      </w:r>
      <w:r w:rsidR="00C63F8F" w:rsidRPr="00E27443">
        <w:t xml:space="preserve"> </w:t>
      </w:r>
      <w:r w:rsidRPr="00E27443">
        <w:t>of</w:t>
      </w:r>
      <w:r w:rsidR="00C63F8F" w:rsidRPr="00E27443">
        <w:t xml:space="preserve"> </w:t>
      </w:r>
      <w:r w:rsidRPr="00E27443">
        <w:t>education.</w:t>
      </w:r>
      <w:r w:rsidR="00C63F8F" w:rsidRPr="00E27443">
        <w:t xml:space="preserve"> </w:t>
      </w:r>
      <w:r w:rsidRPr="00E27443">
        <w:t>Only</w:t>
      </w:r>
      <w:r w:rsidR="00C63F8F" w:rsidRPr="00E27443">
        <w:t xml:space="preserve"> </w:t>
      </w:r>
      <w:r w:rsidRPr="00E27443">
        <w:t>1.7</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all</w:t>
      </w:r>
      <w:r w:rsidR="00C63F8F" w:rsidRPr="00E27443">
        <w:t xml:space="preserve"> </w:t>
      </w:r>
      <w:r w:rsidRPr="00E27443">
        <w:t>pupils</w:t>
      </w:r>
      <w:r w:rsidR="00C63F8F" w:rsidRPr="00E27443">
        <w:t xml:space="preserve"> </w:t>
      </w:r>
      <w:r w:rsidRPr="00E27443">
        <w:t>within</w:t>
      </w:r>
      <w:r w:rsidR="00C63F8F" w:rsidRPr="00E27443">
        <w:t xml:space="preserve"> </w:t>
      </w:r>
      <w:r w:rsidRPr="00E27443">
        <w:t>child</w:t>
      </w:r>
      <w:r w:rsidR="00C63F8F" w:rsidRPr="00E27443">
        <w:t xml:space="preserve"> </w:t>
      </w:r>
      <w:r w:rsidRPr="00E27443">
        <w:t>and</w:t>
      </w:r>
      <w:r w:rsidR="00C63F8F" w:rsidRPr="00E27443">
        <w:t xml:space="preserve"> </w:t>
      </w:r>
      <w:r w:rsidRPr="00E27443">
        <w:t>youth</w:t>
      </w:r>
      <w:r w:rsidR="00C63F8F" w:rsidRPr="00E27443">
        <w:t xml:space="preserve"> </w:t>
      </w:r>
      <w:r w:rsidRPr="00E27443">
        <w:t>education</w:t>
      </w:r>
      <w:r w:rsidR="00C63F8F" w:rsidRPr="00E27443">
        <w:t xml:space="preserve"> </w:t>
      </w:r>
      <w:r w:rsidRPr="00E27443">
        <w:t>receive</w:t>
      </w:r>
      <w:r w:rsidR="00C63F8F" w:rsidRPr="00E27443">
        <w:t xml:space="preserve"> </w:t>
      </w:r>
      <w:r w:rsidRPr="00E27443">
        <w:t>their</w:t>
      </w:r>
      <w:r w:rsidR="00C63F8F" w:rsidRPr="00E27443">
        <w:t xml:space="preserve"> </w:t>
      </w:r>
      <w:r w:rsidRPr="00E27443">
        <w:t>education</w:t>
      </w:r>
      <w:r w:rsidR="00C63F8F" w:rsidRPr="00E27443">
        <w:t xml:space="preserve"> </w:t>
      </w:r>
      <w:r w:rsidRPr="00E27443">
        <w:t>outside</w:t>
      </w:r>
      <w:r w:rsidR="00C63F8F" w:rsidRPr="00E27443">
        <w:t xml:space="preserve"> </w:t>
      </w:r>
      <w:r w:rsidRPr="00E27443">
        <w:t>of</w:t>
      </w:r>
      <w:r w:rsidR="00C63F8F" w:rsidRPr="00E27443">
        <w:t xml:space="preserve"> </w:t>
      </w:r>
      <w:r w:rsidRPr="00E27443">
        <w:t>the</w:t>
      </w:r>
      <w:r w:rsidR="00C63F8F" w:rsidRPr="00E27443">
        <w:t xml:space="preserve"> </w:t>
      </w:r>
      <w:r w:rsidRPr="00E27443">
        <w:t>regular</w:t>
      </w:r>
      <w:r w:rsidR="00C63F8F" w:rsidRPr="00E27443">
        <w:t xml:space="preserve"> </w:t>
      </w:r>
      <w:r w:rsidRPr="00E27443">
        <w:t>forms</w:t>
      </w:r>
      <w:r w:rsidR="00C63F8F" w:rsidRPr="00E27443">
        <w:t xml:space="preserve"> </w:t>
      </w:r>
      <w:r w:rsidRPr="00E27443">
        <w:t>of</w:t>
      </w:r>
      <w:r w:rsidR="00C63F8F" w:rsidRPr="00E27443">
        <w:t xml:space="preserve"> </w:t>
      </w:r>
      <w:r w:rsidRPr="00E27443">
        <w:t>education,</w:t>
      </w:r>
      <w:r w:rsidR="00C63F8F" w:rsidRPr="00E27443">
        <w:t xml:space="preserve"> </w:t>
      </w:r>
      <w:r w:rsidRPr="00E27443">
        <w:t>i.e.</w:t>
      </w:r>
      <w:r w:rsidR="00C63F8F" w:rsidRPr="00E27443">
        <w:t xml:space="preserve"> </w:t>
      </w:r>
      <w:r w:rsidRPr="00E27443">
        <w:t>in</w:t>
      </w:r>
      <w:r w:rsidR="00C63F8F" w:rsidRPr="00E27443">
        <w:t xml:space="preserve"> </w:t>
      </w:r>
      <w:r w:rsidRPr="00E27443">
        <w:t>education</w:t>
      </w:r>
      <w:r w:rsidR="00C63F8F" w:rsidRPr="00E27443">
        <w:t xml:space="preserve"> </w:t>
      </w:r>
      <w:r w:rsidRPr="00E27443">
        <w:t>for</w:t>
      </w:r>
      <w:r w:rsidR="00C63F8F" w:rsidRPr="00E27443">
        <w:t xml:space="preserve"> </w:t>
      </w:r>
      <w:r w:rsidRPr="00E27443">
        <w:t>pupils</w:t>
      </w:r>
      <w:r w:rsidR="00C63F8F" w:rsidRPr="00E27443">
        <w:t xml:space="preserve"> </w:t>
      </w:r>
      <w:r w:rsidRPr="00E27443">
        <w:t>with</w:t>
      </w:r>
      <w:r w:rsidR="00C63F8F" w:rsidRPr="00E27443">
        <w:t xml:space="preserve"> </w:t>
      </w:r>
      <w:r w:rsidRPr="00E27443">
        <w:t>intellectual</w:t>
      </w:r>
      <w:r w:rsidR="00C63F8F" w:rsidRPr="00E27443">
        <w:t xml:space="preserve"> </w:t>
      </w:r>
      <w:r w:rsidRPr="00E27443">
        <w:t>impairment</w:t>
      </w:r>
      <w:r w:rsidR="00C63F8F" w:rsidRPr="00E27443">
        <w:t xml:space="preserve"> </w:t>
      </w:r>
      <w:r w:rsidRPr="00E27443">
        <w:t>or</w:t>
      </w:r>
      <w:r w:rsidR="00C63F8F" w:rsidRPr="00E27443">
        <w:t xml:space="preserve"> </w:t>
      </w:r>
      <w:r w:rsidRPr="00E27443">
        <w:t>in</w:t>
      </w:r>
      <w:r w:rsidR="00C63F8F" w:rsidRPr="00E27443">
        <w:t xml:space="preserve"> </w:t>
      </w:r>
      <w:r w:rsidRPr="00E27443">
        <w:t>special</w:t>
      </w:r>
      <w:r w:rsidR="00C63F8F" w:rsidRPr="00E27443">
        <w:t xml:space="preserve"> </w:t>
      </w:r>
      <w:r w:rsidRPr="00E27443">
        <w:t>schools</w:t>
      </w:r>
      <w:r w:rsidR="00C63F8F" w:rsidRPr="00E27443">
        <w:t xml:space="preserve"> </w:t>
      </w:r>
      <w:r w:rsidRPr="00E27443">
        <w:t>for</w:t>
      </w:r>
      <w:r w:rsidR="00C63F8F" w:rsidRPr="00E27443">
        <w:t xml:space="preserve"> </w:t>
      </w:r>
      <w:r w:rsidRPr="00E27443">
        <w:t>children</w:t>
      </w:r>
      <w:r w:rsidR="00C63F8F" w:rsidRPr="00E27443">
        <w:t xml:space="preserve"> </w:t>
      </w:r>
      <w:r w:rsidRPr="00E27443">
        <w:t>with</w:t>
      </w:r>
      <w:r w:rsidR="00C63F8F" w:rsidRPr="00E27443">
        <w:t xml:space="preserve"> </w:t>
      </w:r>
      <w:r w:rsidRPr="00E27443">
        <w:t>certain</w:t>
      </w:r>
      <w:r w:rsidR="00C63F8F" w:rsidRPr="00E27443">
        <w:t xml:space="preserve"> </w:t>
      </w:r>
      <w:r w:rsidRPr="00E27443">
        <w:t>disabilities.</w:t>
      </w:r>
      <w:r w:rsidR="00C63F8F" w:rsidRPr="00E27443">
        <w:t xml:space="preserve"> </w:t>
      </w:r>
    </w:p>
    <w:p w:rsidR="00321ADA" w:rsidRPr="00E27443" w:rsidRDefault="00321ADA" w:rsidP="00D56F1C">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Education</w:t>
      </w:r>
      <w:r w:rsidR="00C63F8F" w:rsidRPr="00E27443">
        <w:t xml:space="preserve"> </w:t>
      </w:r>
      <w:r w:rsidRPr="00E27443">
        <w:t>Act,</w:t>
      </w:r>
      <w:r w:rsidR="00282DD4" w:rsidRPr="00D56F1C">
        <w:footnoteReference w:id="98"/>
      </w:r>
      <w:r w:rsidR="00C63F8F" w:rsidRPr="00E27443">
        <w:t xml:space="preserve"> </w:t>
      </w:r>
      <w:r w:rsidRPr="00E27443">
        <w:t>all</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(girls</w:t>
      </w:r>
      <w:r w:rsidR="00C63F8F" w:rsidRPr="00E27443">
        <w:t xml:space="preserve"> </w:t>
      </w:r>
      <w:r w:rsidRPr="00E27443">
        <w:t>and</w:t>
      </w:r>
      <w:r w:rsidR="00C63F8F" w:rsidRPr="00E27443">
        <w:t xml:space="preserve"> </w:t>
      </w:r>
      <w:r w:rsidRPr="00E27443">
        <w:t>boys),</w:t>
      </w:r>
      <w:r w:rsidR="00C63F8F" w:rsidRPr="00E27443">
        <w:t xml:space="preserve"> </w:t>
      </w:r>
      <w:r w:rsidRPr="00E27443">
        <w:t>irrespective</w:t>
      </w:r>
      <w:r w:rsidR="00C63F8F" w:rsidRPr="00E27443">
        <w:t xml:space="preserve"> </w:t>
      </w:r>
      <w:r w:rsidRPr="00E27443">
        <w:t>of</w:t>
      </w:r>
      <w:r w:rsidR="00C63F8F" w:rsidRPr="00E27443">
        <w:t xml:space="preserve"> </w:t>
      </w:r>
      <w:r w:rsidRPr="00E27443">
        <w:t>their</w:t>
      </w:r>
      <w:r w:rsidR="00C63F8F" w:rsidRPr="00E27443">
        <w:t xml:space="preserve"> </w:t>
      </w:r>
      <w:r w:rsidRPr="00E27443">
        <w:t>geographic</w:t>
      </w:r>
      <w:r w:rsidR="00C63F8F" w:rsidRPr="00E27443">
        <w:t xml:space="preserve"> </w:t>
      </w:r>
      <w:r w:rsidRPr="00E27443">
        <w:t>residence</w:t>
      </w:r>
      <w:r w:rsidR="00C63F8F" w:rsidRPr="00E27443">
        <w:t xml:space="preserve"> </w:t>
      </w:r>
      <w:r w:rsidRPr="00E27443">
        <w:t>and</w:t>
      </w:r>
      <w:r w:rsidR="00C63F8F" w:rsidRPr="00E27443">
        <w:t xml:space="preserve"> </w:t>
      </w:r>
      <w:r w:rsidRPr="00E27443">
        <w:t>social</w:t>
      </w:r>
      <w:r w:rsidR="00C63F8F" w:rsidRPr="00E27443">
        <w:t xml:space="preserve"> </w:t>
      </w:r>
      <w:r w:rsidRPr="00E27443">
        <w:t>and</w:t>
      </w:r>
      <w:r w:rsidR="00C63F8F" w:rsidRPr="00E27443">
        <w:t xml:space="preserve"> </w:t>
      </w:r>
      <w:r w:rsidRPr="00E27443">
        <w:t>financial</w:t>
      </w:r>
      <w:r w:rsidR="00C63F8F" w:rsidRPr="00E27443">
        <w:t xml:space="preserve"> </w:t>
      </w:r>
      <w:r w:rsidRPr="00E27443">
        <w:t>circumstances,</w:t>
      </w:r>
      <w:r w:rsidR="00C63F8F" w:rsidRPr="00E27443">
        <w:t xml:space="preserve"> </w:t>
      </w:r>
      <w:r w:rsidRPr="00E27443">
        <w:t>shall</w:t>
      </w:r>
      <w:r w:rsidR="00C63F8F" w:rsidRPr="00E27443">
        <w:t xml:space="preserve"> </w:t>
      </w:r>
      <w:r w:rsidRPr="00E27443">
        <w:t>have</w:t>
      </w:r>
      <w:r w:rsidR="00C63F8F" w:rsidRPr="00E27443">
        <w:t xml:space="preserve"> </w:t>
      </w:r>
      <w:r w:rsidRPr="00E27443">
        <w:t>equal</w:t>
      </w:r>
      <w:r w:rsidR="00C63F8F" w:rsidRPr="00E27443">
        <w:t xml:space="preserve"> </w:t>
      </w:r>
      <w:r w:rsidRPr="00E27443">
        <w:t>access</w:t>
      </w:r>
      <w:r w:rsidR="00C63F8F" w:rsidRPr="00E27443">
        <w:t xml:space="preserve"> </w:t>
      </w:r>
      <w:r w:rsidRPr="00E27443">
        <w:t>to</w:t>
      </w:r>
      <w:r w:rsidR="00C63F8F" w:rsidRPr="00E27443">
        <w:t xml:space="preserve"> </w:t>
      </w:r>
      <w:r w:rsidRPr="00E27443">
        <w:t>education</w:t>
      </w:r>
      <w:r w:rsidR="00C63F8F" w:rsidRPr="00E27443">
        <w:t xml:space="preserve"> </w:t>
      </w:r>
      <w:r w:rsidRPr="00E27443">
        <w:t>in</w:t>
      </w:r>
      <w:r w:rsidR="00C63F8F" w:rsidRPr="00E27443">
        <w:t xml:space="preserve"> </w:t>
      </w:r>
      <w:r w:rsidRPr="00E27443">
        <w:t>the</w:t>
      </w:r>
      <w:r w:rsidR="00C63F8F" w:rsidRPr="00E27443">
        <w:t xml:space="preserve"> </w:t>
      </w:r>
      <w:r w:rsidRPr="00E27443">
        <w:t>national</w:t>
      </w:r>
      <w:r w:rsidR="00C63F8F" w:rsidRPr="00E27443">
        <w:t xml:space="preserve"> </w:t>
      </w:r>
      <w:r w:rsidRPr="00E27443">
        <w:t>school</w:t>
      </w:r>
      <w:r w:rsidR="00C63F8F" w:rsidRPr="00E27443">
        <w:t xml:space="preserve"> </w:t>
      </w:r>
      <w:r w:rsidRPr="00E27443">
        <w:t>system.</w:t>
      </w:r>
      <w:r w:rsidR="00C63F8F" w:rsidRPr="00E27443">
        <w:t xml:space="preserve"> </w:t>
      </w:r>
      <w:r w:rsidRPr="00E27443">
        <w:t>Within</w:t>
      </w:r>
      <w:r w:rsidR="00C63F8F" w:rsidRPr="00E27443">
        <w:t xml:space="preserve"> </w:t>
      </w:r>
      <w:r w:rsidRPr="00E27443">
        <w:t>the</w:t>
      </w:r>
      <w:r w:rsidR="00C63F8F" w:rsidRPr="00E27443">
        <w:t xml:space="preserve"> </w:t>
      </w:r>
      <w:r w:rsidRPr="00E27443">
        <w:t>education,</w:t>
      </w:r>
      <w:r w:rsidR="00C63F8F" w:rsidRPr="00E27443">
        <w:t xml:space="preserve"> </w:t>
      </w:r>
      <w:r w:rsidRPr="00E27443">
        <w:t>consideration</w:t>
      </w:r>
      <w:r w:rsidR="00C63F8F" w:rsidRPr="00E27443">
        <w:t xml:space="preserve"> </w:t>
      </w:r>
      <w:r w:rsidRPr="00E27443">
        <w:t>must</w:t>
      </w:r>
      <w:r w:rsidR="00C63F8F" w:rsidRPr="00E27443">
        <w:t xml:space="preserve"> </w:t>
      </w:r>
      <w:r w:rsidRPr="00E27443">
        <w:t>be</w:t>
      </w:r>
      <w:r w:rsidR="00C63F8F" w:rsidRPr="00E27443">
        <w:t xml:space="preserve"> </w:t>
      </w:r>
      <w:r w:rsidRPr="00E27443">
        <w:t>given</w:t>
      </w:r>
      <w:r w:rsidR="00C63F8F" w:rsidRPr="00E27443">
        <w:t xml:space="preserve"> </w:t>
      </w:r>
      <w:r w:rsidRPr="00E27443">
        <w:t>to</w:t>
      </w:r>
      <w:r w:rsidR="00C63F8F" w:rsidRPr="00E27443">
        <w:t xml:space="preserve"> </w:t>
      </w:r>
      <w:r w:rsidRPr="00E27443">
        <w:t>the</w:t>
      </w:r>
      <w:r w:rsidR="00C63F8F" w:rsidRPr="00E27443">
        <w:t xml:space="preserve"> </w:t>
      </w:r>
      <w:r w:rsidRPr="00E27443">
        <w:t>different</w:t>
      </w:r>
      <w:r w:rsidR="00C63F8F" w:rsidRPr="00E27443">
        <w:t xml:space="preserve"> </w:t>
      </w:r>
      <w:r w:rsidRPr="00E27443">
        <w:t>needs</w:t>
      </w:r>
      <w:r w:rsidR="00C63F8F" w:rsidRPr="00E27443">
        <w:t xml:space="preserve"> </w:t>
      </w:r>
      <w:r w:rsidRPr="00E27443">
        <w:t>of</w:t>
      </w:r>
      <w:r w:rsidR="00C63F8F" w:rsidRPr="00E27443">
        <w:t xml:space="preserve"> </w:t>
      </w:r>
      <w:r w:rsidRPr="00E27443">
        <w:t>children</w:t>
      </w:r>
      <w:r w:rsidR="00C63F8F" w:rsidRPr="00E27443">
        <w:t xml:space="preserve"> </w:t>
      </w:r>
      <w:r w:rsidRPr="00E27443">
        <w:t>and</w:t>
      </w:r>
      <w:r w:rsidR="00C63F8F" w:rsidRPr="00E27443">
        <w:t xml:space="preserve"> </w:t>
      </w:r>
      <w:r w:rsidRPr="00E27443">
        <w:t>pupils.</w:t>
      </w:r>
      <w:r w:rsidR="00C63F8F" w:rsidRPr="00E27443">
        <w:t xml:space="preserve"> </w:t>
      </w:r>
      <w:r w:rsidRPr="00E27443">
        <w:t>Children</w:t>
      </w:r>
      <w:r w:rsidR="00C63F8F" w:rsidRPr="00E27443">
        <w:t xml:space="preserve"> </w:t>
      </w:r>
      <w:r w:rsidRPr="00E27443">
        <w:t>and</w:t>
      </w:r>
      <w:r w:rsidR="00C63F8F" w:rsidRPr="00E27443">
        <w:t xml:space="preserve"> </w:t>
      </w:r>
      <w:r w:rsidRPr="00E27443">
        <w:t>pupils</w:t>
      </w:r>
      <w:r w:rsidR="00C63F8F" w:rsidRPr="00E27443">
        <w:t xml:space="preserve"> </w:t>
      </w:r>
      <w:r w:rsidRPr="00E27443">
        <w:t>must</w:t>
      </w:r>
      <w:r w:rsidR="00C63F8F" w:rsidRPr="00E27443">
        <w:t xml:space="preserve"> </w:t>
      </w:r>
      <w:r w:rsidRPr="00E27443">
        <w:t>be</w:t>
      </w:r>
      <w:r w:rsidR="00C63F8F" w:rsidRPr="00E27443">
        <w:t xml:space="preserve"> </w:t>
      </w:r>
      <w:r w:rsidRPr="00E27443">
        <w:t>provided</w:t>
      </w:r>
      <w:r w:rsidR="00C63F8F" w:rsidRPr="00E27443">
        <w:t xml:space="preserve"> </w:t>
      </w:r>
      <w:r w:rsidRPr="00E27443">
        <w:t>with</w:t>
      </w:r>
      <w:r w:rsidR="00C63F8F" w:rsidRPr="00E27443">
        <w:t xml:space="preserve"> </w:t>
      </w:r>
      <w:r w:rsidRPr="00E27443">
        <w:t>support</w:t>
      </w:r>
      <w:r w:rsidR="00C63F8F" w:rsidRPr="00E27443">
        <w:t xml:space="preserve"> </w:t>
      </w:r>
      <w:r w:rsidRPr="00E27443">
        <w:t>and</w:t>
      </w:r>
      <w:r w:rsidR="00C63F8F" w:rsidRPr="00E27443">
        <w:t xml:space="preserve"> </w:t>
      </w:r>
      <w:r w:rsidRPr="00E27443">
        <w:t>encouragement</w:t>
      </w:r>
      <w:r w:rsidR="00C63F8F" w:rsidRPr="00E27443">
        <w:t xml:space="preserve"> </w:t>
      </w:r>
      <w:r w:rsidRPr="00E27443">
        <w:t>to</w:t>
      </w:r>
      <w:r w:rsidR="00C63F8F" w:rsidRPr="00E27443">
        <w:t xml:space="preserve"> </w:t>
      </w:r>
      <w:r w:rsidRPr="00E27443">
        <w:t>develop</w:t>
      </w:r>
      <w:r w:rsidR="00C63F8F" w:rsidRPr="00E27443">
        <w:t xml:space="preserve"> </w:t>
      </w:r>
      <w:r w:rsidRPr="00E27443">
        <w:t>as</w:t>
      </w:r>
      <w:r w:rsidR="00C63F8F" w:rsidRPr="00E27443">
        <w:t xml:space="preserve"> </w:t>
      </w:r>
      <w:r w:rsidRPr="00E27443">
        <w:t>far</w:t>
      </w:r>
      <w:r w:rsidR="00C63F8F" w:rsidRPr="00E27443">
        <w:t xml:space="preserve"> </w:t>
      </w:r>
      <w:r w:rsidRPr="00E27443">
        <w:t>as</w:t>
      </w:r>
      <w:r w:rsidR="00C63F8F" w:rsidRPr="00E27443">
        <w:t xml:space="preserve"> </w:t>
      </w:r>
      <w:r w:rsidRPr="00E27443">
        <w:t>possible.</w:t>
      </w:r>
    </w:p>
    <w:p w:rsidR="00321ADA" w:rsidRPr="00E27443" w:rsidRDefault="00321ADA" w:rsidP="00D56F1C">
      <w:pPr>
        <w:pStyle w:val="SingleTxtG"/>
        <w:numPr>
          <w:ilvl w:val="0"/>
          <w:numId w:val="20"/>
        </w:numPr>
        <w:tabs>
          <w:tab w:val="left" w:pos="1843"/>
        </w:tabs>
        <w:ind w:left="1134" w:firstLine="0"/>
      </w:pPr>
      <w:r w:rsidRPr="00E27443">
        <w:t>The</w:t>
      </w:r>
      <w:r w:rsidR="00C63F8F" w:rsidRPr="00E27443">
        <w:t xml:space="preserve"> </w:t>
      </w:r>
      <w:r w:rsidRPr="00E27443">
        <w:t>municipality</w:t>
      </w:r>
      <w:r w:rsidR="00C63F8F" w:rsidRPr="00E27443">
        <w:t xml:space="preserve"> </w:t>
      </w:r>
      <w:r w:rsidRPr="00E27443">
        <w:t>of</w:t>
      </w:r>
      <w:r w:rsidR="00C63F8F" w:rsidRPr="00E27443">
        <w:t xml:space="preserve"> </w:t>
      </w:r>
      <w:r w:rsidRPr="00E27443">
        <w:t>residence</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providing</w:t>
      </w:r>
      <w:r w:rsidR="00C63F8F" w:rsidRPr="00E27443">
        <w:t xml:space="preserve"> </w:t>
      </w:r>
      <w:r w:rsidRPr="00E27443">
        <w:t>free</w:t>
      </w:r>
      <w:r w:rsidR="00C63F8F" w:rsidRPr="00E27443">
        <w:t xml:space="preserve"> </w:t>
      </w:r>
      <w:r w:rsidRPr="00E27443">
        <w:t>school</w:t>
      </w:r>
      <w:r w:rsidR="00C63F8F" w:rsidRPr="00E27443">
        <w:t xml:space="preserve"> </w:t>
      </w:r>
      <w:r w:rsidRPr="00E27443">
        <w:t>transport</w:t>
      </w:r>
      <w:r w:rsidR="00C63F8F" w:rsidRPr="00E27443">
        <w:t xml:space="preserve"> </w:t>
      </w:r>
      <w:r w:rsidRPr="00E27443">
        <w:t>for</w:t>
      </w:r>
      <w:r w:rsidR="00C63F8F" w:rsidRPr="00E27443">
        <w:t xml:space="preserve"> </w:t>
      </w:r>
      <w:r w:rsidRPr="00E27443">
        <w:t>pupils</w:t>
      </w:r>
      <w:r w:rsidR="00C63F8F" w:rsidRPr="00E27443">
        <w:t xml:space="preserve"> </w:t>
      </w:r>
      <w:r w:rsidRPr="00E27443">
        <w:t>in</w:t>
      </w:r>
      <w:r w:rsidR="00C63F8F" w:rsidRPr="00E27443">
        <w:t xml:space="preserve"> </w:t>
      </w:r>
      <w:r w:rsidRPr="00E27443">
        <w:t>compulsory</w:t>
      </w:r>
      <w:r w:rsidR="00C63F8F" w:rsidRPr="00E27443">
        <w:t xml:space="preserve"> </w:t>
      </w:r>
      <w:r w:rsidRPr="00E27443">
        <w:t>elementary</w:t>
      </w:r>
      <w:r w:rsidR="00C63F8F" w:rsidRPr="00E27443">
        <w:t xml:space="preserve"> </w:t>
      </w:r>
      <w:r w:rsidRPr="00E27443">
        <w:t>school</w:t>
      </w:r>
      <w:r w:rsidR="00C63F8F" w:rsidRPr="00E27443">
        <w:t xml:space="preserve"> </w:t>
      </w:r>
      <w:r w:rsidRPr="00E27443">
        <w:t>and,</w:t>
      </w:r>
      <w:r w:rsidR="00C63F8F" w:rsidRPr="00E27443">
        <w:t xml:space="preserve"> </w:t>
      </w:r>
      <w:r w:rsidRPr="00E27443">
        <w:t>under</w:t>
      </w:r>
      <w:r w:rsidR="00C63F8F" w:rsidRPr="00E27443">
        <w:t xml:space="preserve"> </w:t>
      </w:r>
      <w:r w:rsidRPr="00E27443">
        <w:t>certain</w:t>
      </w:r>
      <w:r w:rsidR="00C63F8F" w:rsidRPr="00E27443">
        <w:t xml:space="preserve"> </w:t>
      </w:r>
      <w:r w:rsidRPr="00E27443">
        <w:t>circumstances,</w:t>
      </w:r>
      <w:r w:rsidR="00C63F8F" w:rsidRPr="00E27443">
        <w:t xml:space="preserve"> </w:t>
      </w:r>
      <w:r w:rsidRPr="00E27443">
        <w:t>in</w:t>
      </w:r>
      <w:r w:rsidR="00C63F8F" w:rsidRPr="00E27443">
        <w:t xml:space="preserve"> </w:t>
      </w:r>
      <w:r w:rsidRPr="00E27443">
        <w:t>upper</w:t>
      </w:r>
      <w:r w:rsidR="00C63F8F" w:rsidRPr="00E27443">
        <w:t xml:space="preserve"> </w:t>
      </w:r>
      <w:r w:rsidRPr="00E27443">
        <w:t>secondary</w:t>
      </w:r>
      <w:r w:rsidR="00C63F8F" w:rsidRPr="00E27443">
        <w:t xml:space="preserve"> </w:t>
      </w:r>
      <w:r w:rsidRPr="00E27443">
        <w:t>school.</w:t>
      </w:r>
      <w:r w:rsidR="00C63F8F" w:rsidRPr="00E27443">
        <w:t xml:space="preserve"> </w:t>
      </w:r>
    </w:p>
    <w:p w:rsidR="00321ADA" w:rsidRPr="00E27443" w:rsidRDefault="00321ADA" w:rsidP="00D56F1C">
      <w:pPr>
        <w:pStyle w:val="SingleTxtG"/>
        <w:numPr>
          <w:ilvl w:val="0"/>
          <w:numId w:val="20"/>
        </w:numPr>
        <w:tabs>
          <w:tab w:val="left" w:pos="1843"/>
        </w:tabs>
        <w:ind w:left="1134" w:firstLine="0"/>
      </w:pPr>
      <w:r w:rsidRPr="00E27443">
        <w:t>All</w:t>
      </w:r>
      <w:r w:rsidR="00C63F8F" w:rsidRPr="00E27443">
        <w:t xml:space="preserve"> </w:t>
      </w:r>
      <w:r w:rsidRPr="00E27443">
        <w:t>children</w:t>
      </w:r>
      <w:r w:rsidR="00C63F8F" w:rsidRPr="00E27443">
        <w:t xml:space="preserve"> </w:t>
      </w:r>
      <w:r w:rsidRPr="00E27443">
        <w:t>are</w:t>
      </w:r>
      <w:r w:rsidR="00C63F8F" w:rsidRPr="00E27443">
        <w:t xml:space="preserve"> </w:t>
      </w:r>
      <w:r w:rsidRPr="00E27443">
        <w:t>obliged</w:t>
      </w:r>
      <w:r w:rsidR="00C63F8F" w:rsidRPr="00E27443">
        <w:t xml:space="preserve"> </w:t>
      </w:r>
      <w:r w:rsidRPr="00E27443">
        <w:t>to</w:t>
      </w:r>
      <w:r w:rsidR="00C63F8F" w:rsidRPr="00E27443">
        <w:t xml:space="preserve"> </w:t>
      </w:r>
      <w:r w:rsidRPr="00E27443">
        <w:t>attend</w:t>
      </w:r>
      <w:r w:rsidR="00C63F8F" w:rsidRPr="00E27443">
        <w:t xml:space="preserve"> </w:t>
      </w:r>
      <w:r w:rsidRPr="00E27443">
        <w:t>school</w:t>
      </w:r>
      <w:r w:rsidR="00C63F8F" w:rsidRPr="00E27443">
        <w:t xml:space="preserve"> </w:t>
      </w:r>
      <w:r w:rsidRPr="00E27443">
        <w:t>for</w:t>
      </w:r>
      <w:r w:rsidR="00C63F8F" w:rsidRPr="00E27443">
        <w:t xml:space="preserve"> </w:t>
      </w:r>
      <w:r w:rsidRPr="00E27443">
        <w:t>nine</w:t>
      </w:r>
      <w:r w:rsidR="00C63F8F" w:rsidRPr="00E27443">
        <w:t xml:space="preserve"> </w:t>
      </w:r>
      <w:r w:rsidRPr="00E27443">
        <w:t>years</w:t>
      </w:r>
      <w:r w:rsidR="00C63F8F" w:rsidRPr="00E27443">
        <w:t xml:space="preserve"> </w:t>
      </w:r>
      <w:r w:rsidRPr="00E27443">
        <w:t>following</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seventh</w:t>
      </w:r>
      <w:r w:rsidR="00C63F8F" w:rsidRPr="00E27443">
        <w:t xml:space="preserve"> </w:t>
      </w:r>
      <w:r w:rsidRPr="00E27443">
        <w:t>birthday.</w:t>
      </w:r>
      <w:r w:rsidR="00C63F8F" w:rsidRPr="00E27443">
        <w:t xml:space="preserve"> </w:t>
      </w:r>
      <w:r w:rsidRPr="00E27443">
        <w:t>The</w:t>
      </w:r>
      <w:r w:rsidR="00C63F8F" w:rsidRPr="00E27443">
        <w:t xml:space="preserve"> </w:t>
      </w:r>
      <w:r w:rsidRPr="00E27443">
        <w:t>school</w:t>
      </w:r>
      <w:r w:rsidR="00C63F8F" w:rsidRPr="00E27443">
        <w:t xml:space="preserve"> </w:t>
      </w:r>
      <w:r w:rsidRPr="00E27443">
        <w:t>system</w:t>
      </w:r>
      <w:r w:rsidR="00C63F8F" w:rsidRPr="00E27443">
        <w:t xml:space="preserve"> </w:t>
      </w:r>
      <w:r w:rsidRPr="00E27443">
        <w:t>also</w:t>
      </w:r>
      <w:r w:rsidR="00C63F8F" w:rsidRPr="00E27443">
        <w:t xml:space="preserve"> </w:t>
      </w:r>
      <w:r w:rsidRPr="00E27443">
        <w:t>encompasses</w:t>
      </w:r>
      <w:r w:rsidR="00C63F8F" w:rsidRPr="00E27443">
        <w:t xml:space="preserve"> </w:t>
      </w:r>
      <w:r w:rsidRPr="00E27443">
        <w:t>pre-school,</w:t>
      </w:r>
      <w:r w:rsidR="00C63F8F" w:rsidRPr="00E27443">
        <w:t xml:space="preserve"> </w:t>
      </w:r>
      <w:r w:rsidRPr="00E27443">
        <w:t>which</w:t>
      </w:r>
      <w:r w:rsidR="00C63F8F" w:rsidRPr="00E27443">
        <w:t xml:space="preserve"> </w:t>
      </w:r>
      <w:r w:rsidRPr="00E27443">
        <w:t>municipalities</w:t>
      </w:r>
      <w:r w:rsidR="00C63F8F" w:rsidRPr="00E27443">
        <w:t xml:space="preserve"> </w:t>
      </w:r>
      <w:r w:rsidRPr="00E27443">
        <w:t>must</w:t>
      </w:r>
      <w:r w:rsidR="00C63F8F" w:rsidRPr="00E27443">
        <w:t xml:space="preserve"> </w:t>
      </w:r>
      <w:r w:rsidRPr="00E27443">
        <w:t>offer</w:t>
      </w:r>
      <w:r w:rsidR="00C63F8F" w:rsidRPr="00E27443">
        <w:t xml:space="preserve"> </w:t>
      </w:r>
      <w:r w:rsidRPr="00E27443">
        <w:t>to</w:t>
      </w:r>
      <w:r w:rsidR="00C63F8F" w:rsidRPr="00E27443">
        <w:t xml:space="preserve"> </w:t>
      </w:r>
      <w:r w:rsidRPr="00E27443">
        <w:t>children</w:t>
      </w:r>
      <w:r w:rsidR="00C63F8F" w:rsidRPr="00E27443">
        <w:t xml:space="preserve"> </w:t>
      </w:r>
      <w:r w:rsidRPr="00E27443">
        <w:t>from</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one</w:t>
      </w:r>
      <w:r w:rsidR="00C63F8F" w:rsidRPr="00E27443">
        <w:t xml:space="preserve"> </w:t>
      </w:r>
      <w:r w:rsidRPr="00E27443">
        <w:t>to</w:t>
      </w:r>
      <w:r w:rsidR="00C63F8F" w:rsidRPr="00E27443">
        <w:t xml:space="preserve"> </w:t>
      </w:r>
      <w:r w:rsidRPr="00E27443">
        <w:t>the</w:t>
      </w:r>
      <w:r w:rsidR="00C63F8F" w:rsidRPr="00E27443">
        <w:t xml:space="preserve"> </w:t>
      </w:r>
      <w:r w:rsidRPr="00E27443">
        <w:t>extent</w:t>
      </w:r>
      <w:r w:rsidR="00C63F8F" w:rsidRPr="00E27443">
        <w:t xml:space="preserve"> </w:t>
      </w:r>
      <w:r w:rsidRPr="00E27443">
        <w:t>this</w:t>
      </w:r>
      <w:r w:rsidR="00C63F8F" w:rsidRPr="00E27443">
        <w:t xml:space="preserve"> </w:t>
      </w:r>
      <w:r w:rsidRPr="00E27443">
        <w:t>is</w:t>
      </w:r>
      <w:r w:rsidR="00C63F8F" w:rsidRPr="00E27443">
        <w:t xml:space="preserve"> </w:t>
      </w:r>
      <w:r w:rsidRPr="00E27443">
        <w:t>required</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the</w:t>
      </w:r>
      <w:r w:rsidR="00C63F8F" w:rsidRPr="00E27443">
        <w:t xml:space="preserve"> </w:t>
      </w:r>
      <w:r w:rsidRPr="00E27443">
        <w:t>parents</w:t>
      </w:r>
      <w:r w:rsidR="00C63F8F" w:rsidRPr="00E27443">
        <w:t xml:space="preserve">’ </w:t>
      </w:r>
      <w:r w:rsidRPr="00E27443">
        <w:t>gainful</w:t>
      </w:r>
      <w:r w:rsidR="00C63F8F" w:rsidRPr="00E27443">
        <w:t xml:space="preserve"> </w:t>
      </w:r>
      <w:r w:rsidRPr="00E27443">
        <w:t>employment</w:t>
      </w:r>
      <w:r w:rsidR="00C63F8F" w:rsidRPr="00E27443">
        <w:t xml:space="preserve"> </w:t>
      </w:r>
      <w:r w:rsidRPr="00E27443">
        <w:t>or</w:t>
      </w:r>
      <w:r w:rsidR="00C63F8F" w:rsidRPr="00E27443">
        <w:t xml:space="preserve"> </w:t>
      </w:r>
      <w:r w:rsidRPr="00E27443">
        <w:t>studies</w:t>
      </w:r>
      <w:r w:rsidR="00C63F8F" w:rsidRPr="00E27443">
        <w:t xml:space="preserve"> </w:t>
      </w:r>
      <w:r w:rsidRPr="00E27443">
        <w:t>or</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own</w:t>
      </w:r>
      <w:r w:rsidR="00C63F8F" w:rsidRPr="00E27443">
        <w:t xml:space="preserve"> </w:t>
      </w:r>
      <w:r w:rsidRPr="00E27443">
        <w:t>needs.</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is</w:t>
      </w:r>
      <w:r w:rsidR="00C63F8F" w:rsidRPr="00E27443">
        <w:t xml:space="preserve"> </w:t>
      </w:r>
      <w:r w:rsidRPr="00E27443">
        <w:t>also</w:t>
      </w:r>
      <w:r w:rsidR="00C63F8F" w:rsidRPr="00E27443">
        <w:t xml:space="preserve"> </w:t>
      </w:r>
      <w:r w:rsidRPr="00E27443">
        <w:t>obliged</w:t>
      </w:r>
      <w:r w:rsidR="00C63F8F" w:rsidRPr="00E27443">
        <w:t xml:space="preserve"> </w:t>
      </w:r>
      <w:r w:rsidRPr="00E27443">
        <w:t>to</w:t>
      </w:r>
      <w:r w:rsidR="00C63F8F" w:rsidRPr="00E27443">
        <w:t xml:space="preserve"> </w:t>
      </w:r>
      <w:r w:rsidRPr="00E27443">
        <w:t>offer</w:t>
      </w:r>
      <w:r w:rsidR="00C63F8F" w:rsidRPr="00E27443">
        <w:t xml:space="preserve"> </w:t>
      </w:r>
      <w:r w:rsidRPr="00E27443">
        <w:t>all</w:t>
      </w:r>
      <w:r w:rsidR="00C63F8F" w:rsidRPr="00E27443">
        <w:t xml:space="preserve"> </w:t>
      </w:r>
      <w:r w:rsidRPr="00E27443">
        <w:t>children</w:t>
      </w:r>
      <w:r w:rsidR="00C63F8F" w:rsidRPr="00E27443">
        <w:t xml:space="preserve"> </w:t>
      </w:r>
      <w:r w:rsidRPr="00E27443">
        <w:t>at</w:t>
      </w:r>
      <w:r w:rsidR="00C63F8F" w:rsidRPr="00E27443">
        <w:t xml:space="preserve"> </w:t>
      </w:r>
      <w:r w:rsidRPr="00E27443">
        <w:t>least</w:t>
      </w:r>
      <w:r w:rsidR="00C63F8F" w:rsidRPr="00E27443">
        <w:t xml:space="preserve"> </w:t>
      </w:r>
      <w:r w:rsidRPr="00E27443">
        <w:t>525</w:t>
      </w:r>
      <w:r w:rsidR="00C63F8F" w:rsidRPr="00E27443">
        <w:t xml:space="preserve"> </w:t>
      </w:r>
      <w:r w:rsidRPr="00E27443">
        <w:t>hours</w:t>
      </w:r>
      <w:r w:rsidR="00C63F8F" w:rsidRPr="00E27443">
        <w:t xml:space="preserve"> </w:t>
      </w:r>
      <w:r w:rsidRPr="00E27443">
        <w:t>free</w:t>
      </w:r>
      <w:r w:rsidR="00C63F8F" w:rsidRPr="00E27443">
        <w:t xml:space="preserve"> </w:t>
      </w:r>
      <w:r w:rsidRPr="00E27443">
        <w:t>of</w:t>
      </w:r>
      <w:r w:rsidR="00C63F8F" w:rsidRPr="00E27443">
        <w:t xml:space="preserve"> </w:t>
      </w:r>
      <w:r w:rsidRPr="00E27443">
        <w:t>charge</w:t>
      </w:r>
      <w:r w:rsidR="00C63F8F" w:rsidRPr="00E27443">
        <w:t xml:space="preserve"> </w:t>
      </w:r>
      <w:r w:rsidRPr="00E27443">
        <w:t>in</w:t>
      </w:r>
      <w:r w:rsidR="00C63F8F" w:rsidRPr="00E27443">
        <w:t xml:space="preserve"> </w:t>
      </w:r>
      <w:r w:rsidRPr="00E27443">
        <w:t>pre-school</w:t>
      </w:r>
      <w:r w:rsidR="00C63F8F" w:rsidRPr="00E27443">
        <w:t xml:space="preserve"> </w:t>
      </w:r>
      <w:r w:rsidRPr="00E27443">
        <w:t>per</w:t>
      </w:r>
      <w:r w:rsidR="00C63F8F" w:rsidRPr="00E27443">
        <w:t xml:space="preserve"> </w:t>
      </w:r>
      <w:r w:rsidRPr="00E27443">
        <w:t>year,</w:t>
      </w:r>
      <w:r w:rsidR="00C63F8F" w:rsidRPr="00E27443">
        <w:t xml:space="preserve"> </w:t>
      </w:r>
      <w:r w:rsidRPr="00E27443">
        <w:t>starting</w:t>
      </w:r>
      <w:r w:rsidR="00C63F8F" w:rsidRPr="00E27443">
        <w:t xml:space="preserve"> </w:t>
      </w:r>
      <w:r w:rsidRPr="00E27443">
        <w:t>from</w:t>
      </w:r>
      <w:r w:rsidR="00C63F8F" w:rsidRPr="00E27443">
        <w:t xml:space="preserve"> </w:t>
      </w:r>
      <w:r w:rsidRPr="00E27443">
        <w:t>the</w:t>
      </w:r>
      <w:r w:rsidR="00C63F8F" w:rsidRPr="00E27443">
        <w:t xml:space="preserve"> </w:t>
      </w:r>
      <w:r w:rsidRPr="00E27443">
        <w:t>autumn</w:t>
      </w:r>
      <w:r w:rsidR="00C63F8F" w:rsidRPr="00E27443">
        <w:t xml:space="preserve"> </w:t>
      </w:r>
      <w:r w:rsidRPr="00E27443">
        <w:t>term</w:t>
      </w:r>
      <w:r w:rsidR="00C63F8F" w:rsidRPr="00E27443">
        <w:t xml:space="preserve"> </w:t>
      </w:r>
      <w:r w:rsidRPr="00E27443">
        <w:t>in</w:t>
      </w:r>
      <w:r w:rsidR="00C63F8F" w:rsidRPr="00E27443">
        <w:t xml:space="preserve"> </w:t>
      </w:r>
      <w:r w:rsidRPr="00E27443">
        <w:t>the</w:t>
      </w:r>
      <w:r w:rsidR="00C63F8F" w:rsidRPr="00E27443">
        <w:t xml:space="preserve"> </w:t>
      </w:r>
      <w:r w:rsidRPr="00E27443">
        <w:t>year</w:t>
      </w:r>
      <w:r w:rsidR="00C63F8F" w:rsidRPr="00E27443">
        <w:t xml:space="preserve"> </w:t>
      </w:r>
      <w:r w:rsidRPr="00E27443">
        <w:t>in</w:t>
      </w:r>
      <w:r w:rsidR="00C63F8F" w:rsidRPr="00E27443">
        <w:t xml:space="preserve"> </w:t>
      </w:r>
      <w:r w:rsidRPr="00E27443">
        <w:t>which</w:t>
      </w:r>
      <w:r w:rsidR="00C63F8F" w:rsidRPr="00E27443">
        <w:t xml:space="preserve"> </w:t>
      </w:r>
      <w:r w:rsidRPr="00E27443">
        <w:t>the</w:t>
      </w:r>
      <w:r w:rsidR="00C63F8F" w:rsidRPr="00E27443">
        <w:t xml:space="preserve"> </w:t>
      </w:r>
      <w:r w:rsidRPr="00E27443">
        <w:t>child</w:t>
      </w:r>
      <w:r w:rsidR="00C63F8F" w:rsidRPr="00E27443">
        <w:t xml:space="preserve"> </w:t>
      </w:r>
      <w:r w:rsidRPr="00E27443">
        <w:t>has</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third</w:t>
      </w:r>
      <w:r w:rsidR="00C63F8F" w:rsidRPr="00E27443">
        <w:t xml:space="preserve"> </w:t>
      </w:r>
      <w:r w:rsidRPr="00E27443">
        <w:t>birthday.</w:t>
      </w:r>
      <w:r w:rsidR="00C63F8F" w:rsidRPr="00E27443">
        <w:t xml:space="preserve"> </w:t>
      </w:r>
      <w:r w:rsidRPr="00E27443">
        <w:t>A</w:t>
      </w:r>
      <w:r w:rsidR="00C63F8F" w:rsidRPr="00E27443">
        <w:t xml:space="preserve"> </w:t>
      </w:r>
      <w:r w:rsidRPr="00E27443">
        <w:t>system</w:t>
      </w:r>
      <w:r w:rsidR="00C63F8F" w:rsidRPr="00E27443">
        <w:t xml:space="preserve"> </w:t>
      </w:r>
      <w:r w:rsidRPr="00E27443">
        <w:t>with</w:t>
      </w:r>
      <w:r w:rsidR="00C63F8F" w:rsidRPr="00E27443">
        <w:t xml:space="preserve"> </w:t>
      </w:r>
      <w:r w:rsidRPr="00E27443">
        <w:t>a</w:t>
      </w:r>
      <w:r w:rsidR="00C63F8F" w:rsidRPr="00E27443">
        <w:t xml:space="preserve"> </w:t>
      </w:r>
      <w:r w:rsidRPr="00E27443">
        <w:t>maximum</w:t>
      </w:r>
      <w:r w:rsidR="00C63F8F" w:rsidRPr="00E27443">
        <w:t xml:space="preserve"> </w:t>
      </w:r>
      <w:r w:rsidRPr="00E27443">
        <w:t>tariff</w:t>
      </w:r>
      <w:r w:rsidR="00C63F8F" w:rsidRPr="00E27443">
        <w:t xml:space="preserve"> </w:t>
      </w:r>
      <w:r w:rsidRPr="00E27443">
        <w:t>within</w:t>
      </w:r>
      <w:r w:rsidR="00C63F8F" w:rsidRPr="00E27443">
        <w:t xml:space="preserve"> </w:t>
      </w:r>
      <w:r w:rsidRPr="00E27443">
        <w:t>pre-school</w:t>
      </w:r>
      <w:r w:rsidR="00C63F8F" w:rsidRPr="00E27443">
        <w:t xml:space="preserve"> </w:t>
      </w:r>
      <w:r w:rsidRPr="00E27443">
        <w:t>is</w:t>
      </w:r>
      <w:r w:rsidR="00C63F8F" w:rsidRPr="00E27443">
        <w:t xml:space="preserve"> </w:t>
      </w:r>
      <w:r w:rsidRPr="00E27443">
        <w:t>also</w:t>
      </w:r>
      <w:r w:rsidR="00C63F8F" w:rsidRPr="00E27443">
        <w:t xml:space="preserve"> </w:t>
      </w:r>
      <w:r w:rsidRPr="00E27443">
        <w:t>applied.</w:t>
      </w:r>
      <w:r w:rsidR="00C63F8F" w:rsidRPr="00E27443">
        <w:t xml:space="preserve"> </w:t>
      </w:r>
      <w:r w:rsidRPr="00E27443">
        <w:t>No</w:t>
      </w:r>
      <w:r w:rsidR="00C63F8F" w:rsidRPr="00E27443">
        <w:t xml:space="preserve"> </w:t>
      </w:r>
      <w:r w:rsidRPr="00E27443">
        <w:t>family</w:t>
      </w:r>
      <w:r w:rsidR="00C63F8F" w:rsidRPr="00E27443">
        <w:t xml:space="preserve"> </w:t>
      </w:r>
      <w:r w:rsidRPr="00E27443">
        <w:t>should</w:t>
      </w:r>
      <w:r w:rsidR="00C63F8F" w:rsidRPr="00E27443">
        <w:t xml:space="preserve"> </w:t>
      </w:r>
      <w:r w:rsidRPr="00E27443">
        <w:t>need</w:t>
      </w:r>
      <w:r w:rsidR="00C63F8F" w:rsidRPr="00E27443">
        <w:t xml:space="preserve"> </w:t>
      </w:r>
      <w:r w:rsidRPr="00E27443">
        <w:t>to</w:t>
      </w:r>
      <w:r w:rsidR="00C63F8F" w:rsidRPr="00E27443">
        <w:t xml:space="preserve"> </w:t>
      </w:r>
      <w:r w:rsidRPr="00E27443">
        <w:t>forgo</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allow</w:t>
      </w:r>
      <w:r w:rsidR="00C63F8F" w:rsidRPr="00E27443">
        <w:t xml:space="preserve"> </w:t>
      </w:r>
      <w:r w:rsidRPr="00E27443">
        <w:t>their</w:t>
      </w:r>
      <w:r w:rsidR="00C63F8F" w:rsidRPr="00E27443">
        <w:t xml:space="preserve"> </w:t>
      </w:r>
      <w:r w:rsidRPr="00E27443">
        <w:t>child</w:t>
      </w:r>
      <w:r w:rsidR="00C63F8F" w:rsidRPr="00E27443">
        <w:t xml:space="preserve"> </w:t>
      </w:r>
      <w:r w:rsidRPr="00E27443">
        <w:t>to</w:t>
      </w:r>
      <w:r w:rsidR="00C63F8F" w:rsidRPr="00E27443">
        <w:t xml:space="preserve"> </w:t>
      </w:r>
      <w:r w:rsidRPr="00E27443">
        <w:t>attend</w:t>
      </w:r>
      <w:r w:rsidR="00C63F8F" w:rsidRPr="00E27443">
        <w:t xml:space="preserve"> </w:t>
      </w:r>
      <w:r w:rsidRPr="00E27443">
        <w:t>pre-school</w:t>
      </w:r>
      <w:r w:rsidR="00C63F8F" w:rsidRPr="00E27443">
        <w:t xml:space="preserve"> </w:t>
      </w:r>
      <w:r w:rsidRPr="00E27443">
        <w:t>due</w:t>
      </w:r>
      <w:r w:rsidR="00C63F8F" w:rsidRPr="00E27443">
        <w:t xml:space="preserve"> </w:t>
      </w:r>
      <w:r w:rsidRPr="00E27443">
        <w:t>to</w:t>
      </w:r>
      <w:r w:rsidR="00C63F8F" w:rsidRPr="00E27443">
        <w:t xml:space="preserve"> </w:t>
      </w:r>
      <w:r w:rsidRPr="00E27443">
        <w:t>financial</w:t>
      </w:r>
      <w:r w:rsidR="00C63F8F" w:rsidRPr="00E27443">
        <w:t xml:space="preserve"> </w:t>
      </w:r>
      <w:r w:rsidRPr="00E27443">
        <w:t>reasons.</w:t>
      </w:r>
      <w:r w:rsidR="00C63F8F" w:rsidRPr="00E27443">
        <w:t xml:space="preserve"> </w:t>
      </w:r>
      <w:r w:rsidRPr="00E27443">
        <w:t>Municipalities</w:t>
      </w:r>
      <w:r w:rsidR="00C63F8F" w:rsidRPr="00E27443">
        <w:t xml:space="preserve"> </w:t>
      </w:r>
      <w:r w:rsidRPr="00E27443">
        <w:t>decide</w:t>
      </w:r>
      <w:r w:rsidR="00C63F8F" w:rsidRPr="00E27443">
        <w:t xml:space="preserve"> </w:t>
      </w:r>
      <w:r w:rsidRPr="00E27443">
        <w:t>how</w:t>
      </w:r>
      <w:r w:rsidR="00C63F8F" w:rsidRPr="00E27443">
        <w:t xml:space="preserve"> </w:t>
      </w:r>
      <w:r w:rsidRPr="00E27443">
        <w:t>activities</w:t>
      </w:r>
      <w:r w:rsidR="00C63F8F" w:rsidRPr="00E27443">
        <w:t xml:space="preserve"> </w:t>
      </w:r>
      <w:r w:rsidRPr="00E27443">
        <w:t>are</w:t>
      </w:r>
      <w:r w:rsidR="00C63F8F" w:rsidRPr="00E27443">
        <w:t xml:space="preserve"> </w:t>
      </w:r>
      <w:r w:rsidRPr="00E27443">
        <w:t>to</w:t>
      </w:r>
      <w:r w:rsidR="00C63F8F" w:rsidRPr="00E27443">
        <w:t xml:space="preserve"> </w:t>
      </w:r>
      <w:r w:rsidRPr="00E27443">
        <w:t>be</w:t>
      </w:r>
      <w:r w:rsidR="00C63F8F" w:rsidRPr="00E27443">
        <w:t xml:space="preserve"> </w:t>
      </w:r>
      <w:r w:rsidRPr="00E27443">
        <w:t>organised</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local</w:t>
      </w:r>
      <w:r w:rsidR="00C63F8F" w:rsidRPr="00E27443">
        <w:t xml:space="preserve"> </w:t>
      </w:r>
      <w:r w:rsidRPr="00E27443">
        <w:t>conditions,</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and</w:t>
      </w:r>
      <w:r w:rsidR="00C63F8F" w:rsidRPr="00E27443">
        <w:t xml:space="preserve"> </w:t>
      </w:r>
      <w:r w:rsidRPr="00E27443">
        <w:t>the</w:t>
      </w:r>
      <w:r w:rsidR="00C63F8F" w:rsidRPr="00E27443">
        <w:t xml:space="preserve"> </w:t>
      </w:r>
      <w:r w:rsidRPr="00E27443">
        <w:t>wishes</w:t>
      </w:r>
      <w:r w:rsidR="00C63F8F" w:rsidRPr="00E27443">
        <w:t xml:space="preserve"> </w:t>
      </w:r>
      <w:r w:rsidRPr="00E27443">
        <w:t>of</w:t>
      </w:r>
      <w:r w:rsidR="00C63F8F" w:rsidRPr="00E27443">
        <w:t xml:space="preserve"> </w:t>
      </w:r>
      <w:r w:rsidRPr="00E27443">
        <w:t>the</w:t>
      </w:r>
      <w:r w:rsidR="00C63F8F" w:rsidRPr="00E27443">
        <w:t xml:space="preserve"> </w:t>
      </w:r>
      <w:r w:rsidRPr="00E27443">
        <w:t>parents.</w:t>
      </w:r>
    </w:p>
    <w:p w:rsidR="00321ADA" w:rsidRPr="00E27443" w:rsidRDefault="00321ADA" w:rsidP="00DB3DFD">
      <w:pPr>
        <w:pStyle w:val="SingleTxtG"/>
        <w:numPr>
          <w:ilvl w:val="0"/>
          <w:numId w:val="20"/>
        </w:numPr>
        <w:tabs>
          <w:tab w:val="left" w:pos="1843"/>
        </w:tabs>
        <w:ind w:left="1134" w:firstLine="0"/>
      </w:pPr>
      <w:r w:rsidRPr="00E27443">
        <w:t>Children</w:t>
      </w:r>
      <w:r w:rsidR="00C63F8F" w:rsidRPr="00E27443">
        <w:t xml:space="preserve"> </w:t>
      </w:r>
      <w:r w:rsidRPr="00E27443">
        <w:t>who</w:t>
      </w:r>
      <w:r w:rsidR="00C63F8F" w:rsidRPr="00E27443">
        <w:t xml:space="preserve"> </w:t>
      </w:r>
      <w:r w:rsidRPr="00E27443">
        <w:t>are</w:t>
      </w:r>
      <w:r w:rsidR="00C63F8F" w:rsidRPr="00E27443">
        <w:t xml:space="preserve"> </w:t>
      </w:r>
      <w:r w:rsidRPr="00E27443">
        <w:t>considered</w:t>
      </w:r>
      <w:r w:rsidR="00C63F8F" w:rsidRPr="00E27443">
        <w:t xml:space="preserve"> </w:t>
      </w:r>
      <w:r w:rsidRPr="00E27443">
        <w:t>unable</w:t>
      </w:r>
      <w:r w:rsidR="00C63F8F" w:rsidRPr="00E27443">
        <w:t xml:space="preserve"> </w:t>
      </w:r>
      <w:r w:rsidRPr="00E27443">
        <w:t>to</w:t>
      </w:r>
      <w:r w:rsidR="00C63F8F" w:rsidRPr="00E27443">
        <w:t xml:space="preserve"> </w:t>
      </w:r>
      <w:r w:rsidRPr="00E27443">
        <w:t>attain</w:t>
      </w:r>
      <w:r w:rsidR="00C63F8F" w:rsidRPr="00E27443">
        <w:t xml:space="preserve"> </w:t>
      </w:r>
      <w:r w:rsidRPr="00E27443">
        <w:t>the</w:t>
      </w:r>
      <w:r w:rsidR="00C63F8F" w:rsidRPr="00E27443">
        <w:t xml:space="preserve"> </w:t>
      </w:r>
      <w:r w:rsidRPr="00E27443">
        <w:t>knowledge</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compulsory</w:t>
      </w:r>
      <w:r w:rsidR="00C63F8F" w:rsidRPr="00E27443">
        <w:t xml:space="preserve"> </w:t>
      </w:r>
      <w:r w:rsidRPr="00E27443">
        <w:t>elementary</w:t>
      </w:r>
      <w:r w:rsidR="00C63F8F" w:rsidRPr="00E27443">
        <w:t xml:space="preserve"> </w:t>
      </w:r>
      <w:r w:rsidRPr="00E27443">
        <w:t>school</w:t>
      </w:r>
      <w:r w:rsidR="00C63F8F" w:rsidRPr="00E27443">
        <w:t xml:space="preserve"> </w:t>
      </w:r>
      <w:r w:rsidRPr="00E27443">
        <w:t>due</w:t>
      </w:r>
      <w:r w:rsidR="00C63F8F" w:rsidRPr="00E27443">
        <w:t xml:space="preserve"> </w:t>
      </w:r>
      <w:r w:rsidRPr="00E27443">
        <w:t>to</w:t>
      </w:r>
      <w:r w:rsidR="00C63F8F" w:rsidRPr="00E27443">
        <w:t xml:space="preserve"> </w:t>
      </w:r>
      <w:r w:rsidRPr="00E27443">
        <w:t>an</w:t>
      </w:r>
      <w:r w:rsidR="00C63F8F" w:rsidRPr="00E27443">
        <w:t xml:space="preserve"> </w:t>
      </w:r>
      <w:r w:rsidRPr="00E27443">
        <w:t>intellectual</w:t>
      </w:r>
      <w:r w:rsidR="00C63F8F" w:rsidRPr="00E27443">
        <w:t xml:space="preserve"> </w:t>
      </w:r>
      <w:r w:rsidRPr="00E27443">
        <w:t>impairment</w:t>
      </w:r>
      <w:r w:rsidR="00C63F8F" w:rsidRPr="00E27443">
        <w:t xml:space="preserve"> </w:t>
      </w:r>
      <w:r w:rsidRPr="00E27443">
        <w:t>may</w:t>
      </w:r>
      <w:r w:rsidR="00C63F8F" w:rsidRPr="00E27443">
        <w:t xml:space="preserve"> </w:t>
      </w:r>
      <w:r w:rsidRPr="00E27443">
        <w:t>be</w:t>
      </w:r>
      <w:r w:rsidR="00C63F8F" w:rsidRPr="00E27443">
        <w:t xml:space="preserve"> </w:t>
      </w:r>
      <w:r w:rsidRPr="00E27443">
        <w:t>accepted</w:t>
      </w:r>
      <w:r w:rsidR="00C63F8F" w:rsidRPr="00E27443">
        <w:t xml:space="preserve"> </w:t>
      </w:r>
      <w:r w:rsidRPr="00E27443">
        <w:t>in</w:t>
      </w:r>
      <w:r w:rsidR="00C63F8F" w:rsidRPr="00E27443">
        <w:t xml:space="preserve"> </w:t>
      </w:r>
      <w:r w:rsidRPr="00E27443">
        <w:t>compulsory</w:t>
      </w:r>
      <w:r w:rsidR="00C63F8F" w:rsidRPr="00E27443">
        <w:t xml:space="preserve"> </w:t>
      </w:r>
      <w:r w:rsidRPr="00DB3DFD">
        <w:t>school</w:t>
      </w:r>
      <w:r w:rsidR="00C63F8F" w:rsidRPr="00DB3DFD">
        <w:t xml:space="preserve"> </w:t>
      </w:r>
      <w:r w:rsidRPr="00DB3DFD">
        <w:t>for</w:t>
      </w:r>
      <w:r w:rsidR="00C63F8F" w:rsidRPr="00DB3DFD">
        <w:t xml:space="preserve"> </w:t>
      </w:r>
      <w:r w:rsidRPr="00DB3DFD">
        <w:t>pupils</w:t>
      </w:r>
      <w:r w:rsidR="00C63F8F" w:rsidRPr="00DB3DFD">
        <w:t xml:space="preserve"> </w:t>
      </w:r>
      <w:r w:rsidRPr="00DB3DFD">
        <w:t>with</w:t>
      </w:r>
      <w:r w:rsidR="00C63F8F" w:rsidRPr="00DB3DFD">
        <w:t xml:space="preserve"> </w:t>
      </w:r>
      <w:r w:rsidRPr="00DB3DFD">
        <w:t>intellectual</w:t>
      </w:r>
      <w:r w:rsidR="00C63F8F" w:rsidRPr="00DB3DFD">
        <w:t xml:space="preserve"> </w:t>
      </w:r>
      <w:r w:rsidRPr="00DB3DFD">
        <w:t>impairment</w:t>
      </w:r>
      <w:r w:rsidRPr="00E27443">
        <w:t>.</w:t>
      </w:r>
      <w:r w:rsidR="00C63F8F" w:rsidRPr="00E27443">
        <w:t xml:space="preserve"> </w:t>
      </w:r>
      <w:r w:rsidRPr="00E27443">
        <w:t>These</w:t>
      </w:r>
      <w:r w:rsidR="00C63F8F" w:rsidRPr="00E27443">
        <w:t xml:space="preserve"> </w:t>
      </w:r>
      <w:r w:rsidRPr="00E27443">
        <w:t>pupils</w:t>
      </w:r>
      <w:r w:rsidR="00C63F8F" w:rsidRPr="00E27443">
        <w:t xml:space="preserve"> </w:t>
      </w:r>
      <w:r w:rsidRPr="00E27443">
        <w:t>can</w:t>
      </w:r>
      <w:r w:rsidR="00C63F8F" w:rsidRPr="00E27443">
        <w:t xml:space="preserve"> </w:t>
      </w:r>
      <w:r w:rsidRPr="00E27443">
        <w:t>also</w:t>
      </w:r>
      <w:r w:rsidR="00C63F8F" w:rsidRPr="00E27443">
        <w:t xml:space="preserve"> </w:t>
      </w:r>
      <w:r w:rsidRPr="00E27443">
        <w:t>progress</w:t>
      </w:r>
      <w:r w:rsidR="00C63F8F" w:rsidRPr="00E27443">
        <w:t xml:space="preserve"> </w:t>
      </w:r>
      <w:r w:rsidRPr="00E27443">
        <w:t>to</w:t>
      </w:r>
      <w:r w:rsidR="00C63F8F" w:rsidRPr="00E27443">
        <w:t xml:space="preserve"> </w:t>
      </w:r>
      <w:r w:rsidRPr="00E27443">
        <w:t>an</w:t>
      </w:r>
      <w:r w:rsidR="00C63F8F" w:rsidRPr="00E27443">
        <w:t xml:space="preserve"> </w:t>
      </w:r>
      <w:r w:rsidRPr="00DB3DFD">
        <w:t>upper</w:t>
      </w:r>
      <w:r w:rsidR="00C63F8F" w:rsidRPr="00DB3DFD">
        <w:t xml:space="preserve"> </w:t>
      </w:r>
      <w:r w:rsidRPr="00DB3DFD">
        <w:t>secondary</w:t>
      </w:r>
      <w:r w:rsidR="00C63F8F" w:rsidRPr="00DB3DFD">
        <w:t xml:space="preserve"> </w:t>
      </w:r>
      <w:r w:rsidRPr="00DB3DFD">
        <w:t>school</w:t>
      </w:r>
      <w:r w:rsidR="00C63F8F" w:rsidRPr="00DB3DFD">
        <w:t xml:space="preserve"> </w:t>
      </w:r>
      <w:r w:rsidRPr="00DB3DFD">
        <w:t>for</w:t>
      </w:r>
      <w:r w:rsidR="00C63F8F" w:rsidRPr="00DB3DFD">
        <w:t xml:space="preserve"> </w:t>
      </w:r>
      <w:r w:rsidRPr="00DB3DFD">
        <w:t>pupils</w:t>
      </w:r>
      <w:r w:rsidR="00C63F8F" w:rsidRPr="00DB3DFD">
        <w:t xml:space="preserve"> </w:t>
      </w:r>
      <w:r w:rsidRPr="00DB3DFD">
        <w:t>with</w:t>
      </w:r>
      <w:r w:rsidR="00C63F8F" w:rsidRPr="00DB3DFD">
        <w:t xml:space="preserve"> </w:t>
      </w:r>
      <w:r w:rsidRPr="00DB3DFD">
        <w:t>intellectual</w:t>
      </w:r>
      <w:r w:rsidR="00C63F8F" w:rsidRPr="00DB3DFD">
        <w:t xml:space="preserve"> </w:t>
      </w:r>
      <w:r w:rsidRPr="00DB3DFD">
        <w:t>impairment</w:t>
      </w:r>
      <w:r w:rsidRPr="00E27443">
        <w:t>.</w:t>
      </w:r>
      <w:r w:rsidR="00C63F8F" w:rsidRPr="00E27443">
        <w:t xml:space="preserve"> </w:t>
      </w:r>
      <w:r w:rsidRPr="00E27443">
        <w:t>The</w:t>
      </w:r>
      <w:r w:rsidR="00C63F8F" w:rsidRPr="00E27443">
        <w:t xml:space="preserve"> </w:t>
      </w:r>
      <w:r w:rsidRPr="00E27443">
        <w:t>education</w:t>
      </w:r>
      <w:r w:rsidR="00C63F8F" w:rsidRPr="00E27443">
        <w:t xml:space="preserve"> </w:t>
      </w:r>
      <w:r w:rsidRPr="00E27443">
        <w:t>provided</w:t>
      </w:r>
      <w:r w:rsidR="00C63F8F" w:rsidRPr="00E27443">
        <w:t xml:space="preserve"> </w:t>
      </w:r>
      <w:r w:rsidRPr="00E27443">
        <w:t>in</w:t>
      </w:r>
      <w:r w:rsidR="00C63F8F" w:rsidRPr="00E27443">
        <w:t xml:space="preserve"> </w:t>
      </w:r>
      <w:r w:rsidRPr="00E27443">
        <w:t>these</w:t>
      </w:r>
      <w:r w:rsidR="00C63F8F" w:rsidRPr="00E27443">
        <w:t xml:space="preserve"> </w:t>
      </w:r>
      <w:r w:rsidRPr="00E27443">
        <w:t>schools</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specific</w:t>
      </w:r>
      <w:r w:rsidR="00C63F8F" w:rsidRPr="00E27443">
        <w:t xml:space="preserve"> </w:t>
      </w:r>
      <w:r w:rsidRPr="00E27443">
        <w:t>steering</w:t>
      </w:r>
      <w:r w:rsidR="00C63F8F" w:rsidRPr="00E27443">
        <w:t xml:space="preserve"> </w:t>
      </w:r>
      <w:r w:rsidRPr="00E27443">
        <w:t>documents</w:t>
      </w:r>
      <w:r w:rsidR="00C63F8F" w:rsidRPr="00E27443">
        <w:t xml:space="preserve"> </w:t>
      </w:r>
      <w:r w:rsidRPr="00E27443">
        <w:t>in</w:t>
      </w:r>
      <w:r w:rsidR="00C63F8F" w:rsidRPr="00E27443">
        <w:t xml:space="preserve"> </w:t>
      </w:r>
      <w:r w:rsidRPr="00E27443">
        <w:t>which</w:t>
      </w:r>
      <w:r w:rsidR="00C63F8F" w:rsidRPr="00E27443">
        <w:t xml:space="preserve"> </w:t>
      </w:r>
      <w:r w:rsidRPr="00E27443">
        <w:t>consideration</w:t>
      </w:r>
      <w:r w:rsidR="00C63F8F" w:rsidRPr="00E27443">
        <w:t xml:space="preserve"> </w:t>
      </w:r>
      <w:r w:rsidRPr="00E27443">
        <w:t>is</w:t>
      </w:r>
      <w:r w:rsidR="00C63F8F" w:rsidRPr="00E27443">
        <w:t xml:space="preserve"> </w:t>
      </w:r>
      <w:r w:rsidRPr="00E27443">
        <w:t>given</w:t>
      </w:r>
      <w:r w:rsidR="00C63F8F" w:rsidRPr="00E27443">
        <w:t xml:space="preserve"> </w:t>
      </w:r>
      <w:r w:rsidRPr="00E27443">
        <w:t>to</w:t>
      </w:r>
      <w:r w:rsidR="00C63F8F" w:rsidRPr="00E27443">
        <w:t xml:space="preserve"> </w:t>
      </w:r>
      <w:r w:rsidRPr="00E27443">
        <w:t>the</w:t>
      </w:r>
      <w:r w:rsidR="00C63F8F" w:rsidRPr="00E27443">
        <w:t xml:space="preserve"> </w:t>
      </w:r>
      <w:r w:rsidRPr="00E27443">
        <w:t>pupils</w:t>
      </w:r>
      <w:r w:rsidR="00C63F8F" w:rsidRPr="00E27443">
        <w:t xml:space="preserve">’ </w:t>
      </w:r>
      <w:r w:rsidRPr="00E27443">
        <w:t>particular</w:t>
      </w:r>
      <w:r w:rsidR="00C63F8F" w:rsidRPr="00E27443">
        <w:t xml:space="preserve"> </w:t>
      </w:r>
      <w:r w:rsidRPr="00E27443">
        <w:t>situations.</w:t>
      </w:r>
      <w:r w:rsidR="00C63F8F" w:rsidRPr="00E27443">
        <w:t xml:space="preserve"> </w:t>
      </w:r>
      <w:r w:rsidRPr="00E27443">
        <w:t>This</w:t>
      </w:r>
      <w:r w:rsidR="00C63F8F" w:rsidRPr="00E27443">
        <w:t xml:space="preserve"> </w:t>
      </w:r>
      <w:r w:rsidRPr="00E27443">
        <w:t>education</w:t>
      </w:r>
      <w:r w:rsidR="00C63F8F" w:rsidRPr="00E27443">
        <w:t xml:space="preserve"> </w:t>
      </w:r>
      <w:r w:rsidRPr="00E27443">
        <w:t>can</w:t>
      </w:r>
      <w:r w:rsidR="00C63F8F" w:rsidRPr="00E27443">
        <w:t xml:space="preserve"> </w:t>
      </w:r>
      <w:r w:rsidRPr="00E27443">
        <w:t>also</w:t>
      </w:r>
      <w:r w:rsidR="00C63F8F" w:rsidRPr="00E27443">
        <w:t xml:space="preserve"> </w:t>
      </w:r>
      <w:r w:rsidRPr="00E27443">
        <w:t>be</w:t>
      </w:r>
      <w:r w:rsidR="00C63F8F" w:rsidRPr="00E27443">
        <w:t xml:space="preserve"> </w:t>
      </w:r>
      <w:r w:rsidRPr="00E27443">
        <w:t>more</w:t>
      </w:r>
      <w:r w:rsidR="00C63F8F" w:rsidRPr="00E27443">
        <w:t xml:space="preserve"> </w:t>
      </w:r>
      <w:r w:rsidRPr="00E27443">
        <w:t>or</w:t>
      </w:r>
      <w:r w:rsidR="00C63F8F" w:rsidRPr="00E27443">
        <w:t xml:space="preserve"> </w:t>
      </w:r>
      <w:r w:rsidRPr="00E27443">
        <w:t>less</w:t>
      </w:r>
      <w:r w:rsidR="00C63F8F" w:rsidRPr="00E27443">
        <w:t xml:space="preserve"> </w:t>
      </w:r>
      <w:r w:rsidRPr="00E27443">
        <w:t>integrated</w:t>
      </w:r>
      <w:r w:rsidR="00C63F8F" w:rsidRPr="00E27443">
        <w:t xml:space="preserve"> </w:t>
      </w:r>
      <w:r w:rsidRPr="00E27443">
        <w:t>with</w:t>
      </w:r>
      <w:r w:rsidR="00C63F8F" w:rsidRPr="00E27443">
        <w:t xml:space="preserve"> </w:t>
      </w:r>
      <w:r w:rsidRPr="00E27443">
        <w:t>compulsory</w:t>
      </w:r>
      <w:r w:rsidR="00C63F8F" w:rsidRPr="00E27443">
        <w:t xml:space="preserve"> </w:t>
      </w:r>
      <w:r w:rsidRPr="00E27443">
        <w:t>elementary</w:t>
      </w:r>
      <w:r w:rsidR="00C63F8F" w:rsidRPr="00E27443">
        <w:t xml:space="preserve"> </w:t>
      </w:r>
      <w:r w:rsidRPr="00E27443">
        <w:t>or</w:t>
      </w:r>
      <w:r w:rsidR="00C63F8F" w:rsidRPr="00E27443">
        <w:t xml:space="preserve"> </w:t>
      </w:r>
      <w:r w:rsidRPr="00E27443">
        <w:t>upper</w:t>
      </w:r>
      <w:r w:rsidR="00C63F8F" w:rsidRPr="00E27443">
        <w:t xml:space="preserve"> </w:t>
      </w:r>
      <w:r w:rsidRPr="00E27443">
        <w:t>secondary</w:t>
      </w:r>
      <w:r w:rsidR="00C63F8F" w:rsidRPr="00E27443">
        <w:t xml:space="preserve"> </w:t>
      </w:r>
      <w:r w:rsidRPr="00E27443">
        <w:t>schools.</w:t>
      </w:r>
      <w:r w:rsidR="00C63F8F" w:rsidRPr="00E27443">
        <w:t xml:space="preserve"> </w:t>
      </w:r>
    </w:p>
    <w:p w:rsidR="00321ADA" w:rsidRPr="00E27443" w:rsidRDefault="00321ADA" w:rsidP="00DB3DFD">
      <w:pPr>
        <w:pStyle w:val="SingleTxtG"/>
        <w:numPr>
          <w:ilvl w:val="0"/>
          <w:numId w:val="20"/>
        </w:numPr>
        <w:tabs>
          <w:tab w:val="left" w:pos="1843"/>
        </w:tabs>
        <w:ind w:left="1134" w:firstLine="0"/>
      </w:pPr>
      <w:r w:rsidRPr="00E27443">
        <w:t>There</w:t>
      </w:r>
      <w:r w:rsidR="00C63F8F" w:rsidRPr="00E27443">
        <w:t xml:space="preserve"> </w:t>
      </w:r>
      <w:r w:rsidRPr="00E27443">
        <w:t>are</w:t>
      </w:r>
      <w:r w:rsidR="00C63F8F" w:rsidRPr="00E27443">
        <w:t xml:space="preserve"> </w:t>
      </w:r>
      <w:r w:rsidRPr="00E27443">
        <w:t>also</w:t>
      </w:r>
      <w:r w:rsidR="00C63F8F" w:rsidRPr="00E27443">
        <w:t xml:space="preserve"> </w:t>
      </w:r>
      <w:r w:rsidRPr="00E27443">
        <w:t>three</w:t>
      </w:r>
      <w:r w:rsidR="00C63F8F" w:rsidRPr="00E27443">
        <w:t xml:space="preserve"> </w:t>
      </w:r>
      <w:r w:rsidRPr="00E27443">
        <w:t>national</w:t>
      </w:r>
      <w:r w:rsidR="00C63F8F" w:rsidRPr="00E27443">
        <w:t xml:space="preserve"> </w:t>
      </w:r>
      <w:r w:rsidRPr="00E27443">
        <w:t>and</w:t>
      </w:r>
      <w:r w:rsidR="00C63F8F" w:rsidRPr="00E27443">
        <w:t xml:space="preserve"> </w:t>
      </w:r>
      <w:r w:rsidRPr="00E27443">
        <w:t>five</w:t>
      </w:r>
      <w:r w:rsidR="00C63F8F" w:rsidRPr="00E27443">
        <w:t xml:space="preserve"> </w:t>
      </w:r>
      <w:r w:rsidRPr="00E27443">
        <w:t>regional</w:t>
      </w:r>
      <w:r w:rsidR="00C63F8F" w:rsidRPr="00E27443">
        <w:t xml:space="preserve"> </w:t>
      </w:r>
      <w:r w:rsidRPr="00DB3DFD">
        <w:t>special</w:t>
      </w:r>
      <w:r w:rsidR="00C63F8F" w:rsidRPr="00DB3DFD">
        <w:t xml:space="preserve"> </w:t>
      </w:r>
      <w:r w:rsidRPr="00DB3DFD">
        <w:t>schools</w:t>
      </w:r>
      <w:r w:rsidR="00C63F8F" w:rsidRPr="00E27443">
        <w:t xml:space="preserve"> </w:t>
      </w:r>
      <w:r w:rsidRPr="00E27443">
        <w:t>that</w:t>
      </w:r>
      <w:r w:rsidR="00C63F8F" w:rsidRPr="00E27443">
        <w:t xml:space="preserve"> </w:t>
      </w:r>
      <w:r w:rsidRPr="00E27443">
        <w:t>are</w:t>
      </w:r>
      <w:r w:rsidR="00C63F8F" w:rsidRPr="00E27443">
        <w:t xml:space="preserve"> </w:t>
      </w:r>
      <w:r w:rsidRPr="00E27443">
        <w:t>run</w:t>
      </w:r>
      <w:r w:rsidR="00C63F8F" w:rsidRPr="00E27443">
        <w:t xml:space="preserve"> </w:t>
      </w:r>
      <w:r w:rsidRPr="00E27443">
        <w:t>by</w:t>
      </w:r>
      <w:r w:rsidR="00C63F8F" w:rsidRPr="00E27443">
        <w:t xml:space="preserve"> </w:t>
      </w:r>
      <w:r w:rsidRPr="00E27443">
        <w:t>the</w:t>
      </w:r>
      <w:r w:rsidR="00C63F8F" w:rsidRPr="00E27443">
        <w:t xml:space="preserve"> </w:t>
      </w:r>
      <w:r w:rsidRPr="00E27443">
        <w:t>State.</w:t>
      </w:r>
      <w:r w:rsidR="00C63F8F" w:rsidRPr="00E27443">
        <w:t xml:space="preserve"> </w:t>
      </w:r>
      <w:r w:rsidRPr="00E27443">
        <w:t>The</w:t>
      </w:r>
      <w:r w:rsidR="00C63F8F" w:rsidRPr="00E27443">
        <w:t xml:space="preserve"> </w:t>
      </w:r>
      <w:r w:rsidRPr="00E27443">
        <w:t>special</w:t>
      </w:r>
      <w:r w:rsidR="00C63F8F" w:rsidRPr="00E27443">
        <w:t xml:space="preserve"> </w:t>
      </w:r>
      <w:r w:rsidRPr="00E27443">
        <w:t>schools</w:t>
      </w:r>
      <w:r w:rsidR="00C63F8F" w:rsidRPr="00E27443">
        <w:t xml:space="preserve"> </w:t>
      </w:r>
      <w:r w:rsidRPr="00E27443">
        <w:t>currently</w:t>
      </w:r>
      <w:r w:rsidR="00C63F8F" w:rsidRPr="00E27443">
        <w:t xml:space="preserve"> </w:t>
      </w:r>
      <w:r w:rsidRPr="00E27443">
        <w:t>encompass</w:t>
      </w:r>
      <w:r w:rsidR="00C63F8F" w:rsidRPr="00E27443">
        <w:t xml:space="preserve"> </w:t>
      </w:r>
      <w:r w:rsidRPr="00E27443">
        <w:t>around</w:t>
      </w:r>
      <w:r w:rsidR="00C63F8F" w:rsidRPr="00E27443">
        <w:t xml:space="preserve"> </w:t>
      </w:r>
      <w:r w:rsidRPr="00E27443">
        <w:t>500</w:t>
      </w:r>
      <w:r w:rsidR="00C63F8F" w:rsidRPr="00E27443">
        <w:t xml:space="preserve"> </w:t>
      </w:r>
      <w:r w:rsidRPr="00E27443">
        <w:t>pupils.</w:t>
      </w:r>
      <w:r w:rsidR="00C63F8F" w:rsidRPr="00E27443">
        <w:t xml:space="preserve"> </w:t>
      </w:r>
      <w:r w:rsidRPr="00E27443">
        <w:t>The</w:t>
      </w:r>
      <w:r w:rsidR="00C63F8F" w:rsidRPr="00E27443">
        <w:t xml:space="preserve"> </w:t>
      </w:r>
      <w:r w:rsidRPr="00E27443">
        <w:t>regional</w:t>
      </w:r>
      <w:r w:rsidR="00C63F8F" w:rsidRPr="00E27443">
        <w:t xml:space="preserve"> </w:t>
      </w:r>
      <w:r w:rsidRPr="00E27443">
        <w:t>schools</w:t>
      </w:r>
      <w:r w:rsidR="00C63F8F" w:rsidRPr="00E27443">
        <w:t xml:space="preserve"> </w:t>
      </w:r>
      <w:r w:rsidRPr="00E27443">
        <w:t>offer</w:t>
      </w:r>
      <w:r w:rsidR="00C63F8F" w:rsidRPr="00E27443">
        <w:t xml:space="preserve"> </w:t>
      </w:r>
      <w:r w:rsidRPr="00E27443">
        <w:t>education</w:t>
      </w:r>
      <w:r w:rsidR="00C63F8F" w:rsidRPr="00E27443">
        <w:t xml:space="preserve"> </w:t>
      </w:r>
      <w:r w:rsidRPr="00E27443">
        <w:t>equivalent</w:t>
      </w:r>
      <w:r w:rsidR="00C63F8F" w:rsidRPr="00E27443">
        <w:t xml:space="preserve"> </w:t>
      </w:r>
      <w:r w:rsidRPr="00E27443">
        <w:t>to</w:t>
      </w:r>
      <w:r w:rsidR="00C63F8F" w:rsidRPr="00E27443">
        <w:t xml:space="preserve"> </w:t>
      </w:r>
      <w:r w:rsidRPr="00E27443">
        <w:t>compulsory</w:t>
      </w:r>
      <w:r w:rsidR="00C63F8F" w:rsidRPr="00E27443">
        <w:t xml:space="preserve"> </w:t>
      </w:r>
      <w:r w:rsidRPr="00E27443">
        <w:t>elementary</w:t>
      </w:r>
      <w:r w:rsidR="00C63F8F" w:rsidRPr="00E27443">
        <w:t xml:space="preserve"> </w:t>
      </w:r>
      <w:r w:rsidRPr="00E27443">
        <w:t>school</w:t>
      </w:r>
      <w:r w:rsidR="00C63F8F" w:rsidRPr="00E27443">
        <w:t xml:space="preserve"> </w:t>
      </w:r>
      <w:r w:rsidRPr="00E27443">
        <w:t>for</w:t>
      </w:r>
      <w:r w:rsidR="00C63F8F" w:rsidRPr="00E27443">
        <w:t xml:space="preserve"> </w:t>
      </w:r>
      <w:r w:rsidRPr="00E27443">
        <w:t>children</w:t>
      </w:r>
      <w:r w:rsidR="00C63F8F" w:rsidRPr="00E27443">
        <w:t xml:space="preserve"> </w:t>
      </w:r>
      <w:r w:rsidRPr="00E27443">
        <w:t>who</w:t>
      </w:r>
      <w:r w:rsidR="00C63F8F" w:rsidRPr="00E27443">
        <w:t xml:space="preserve"> </w:t>
      </w:r>
      <w:r w:rsidRPr="00E27443">
        <w:t>are</w:t>
      </w:r>
      <w:r w:rsidR="00C63F8F" w:rsidRPr="00E27443">
        <w:t xml:space="preserve"> </w:t>
      </w:r>
      <w:r w:rsidRPr="00E27443">
        <w:t>deaf</w:t>
      </w:r>
      <w:r w:rsidR="00C63F8F" w:rsidRPr="00E27443">
        <w:t xml:space="preserve"> </w:t>
      </w:r>
      <w:r w:rsidRPr="00E27443">
        <w:t>or</w:t>
      </w:r>
      <w:r w:rsidR="00C63F8F" w:rsidRPr="00E27443">
        <w:t xml:space="preserve"> </w:t>
      </w:r>
      <w:r w:rsidRPr="00E27443">
        <w:t>hearing</w:t>
      </w:r>
      <w:r w:rsidR="00C63F8F" w:rsidRPr="00E27443">
        <w:t xml:space="preserve"> </w:t>
      </w:r>
      <w:r w:rsidRPr="00E27443">
        <w:t>impaired.</w:t>
      </w:r>
      <w:r w:rsidR="00C63F8F" w:rsidRPr="00E27443">
        <w:t xml:space="preserve"> </w:t>
      </w:r>
      <w:r w:rsidRPr="00E27443">
        <w:t>In</w:t>
      </w:r>
      <w:r w:rsidR="00C63F8F" w:rsidRPr="00E27443">
        <w:t xml:space="preserve"> </w:t>
      </w:r>
      <w:r w:rsidRPr="00E27443">
        <w:t>the</w:t>
      </w:r>
      <w:r w:rsidR="00C63F8F" w:rsidRPr="00E27443">
        <w:t xml:space="preserve"> </w:t>
      </w:r>
      <w:r w:rsidRPr="00E27443">
        <w:t>regional</w:t>
      </w:r>
      <w:r w:rsidR="00C63F8F" w:rsidRPr="00E27443">
        <w:t xml:space="preserve"> </w:t>
      </w:r>
      <w:r w:rsidRPr="00E27443">
        <w:t>schools,</w:t>
      </w:r>
      <w:r w:rsidR="00C63F8F" w:rsidRPr="00E27443">
        <w:t xml:space="preserve"> </w:t>
      </w:r>
      <w:r w:rsidRPr="00E27443">
        <w:t>the</w:t>
      </w:r>
      <w:r w:rsidR="00C63F8F" w:rsidRPr="00E27443">
        <w:t xml:space="preserve"> </w:t>
      </w:r>
      <w:r w:rsidRPr="00E27443">
        <w:t>education</w:t>
      </w:r>
      <w:r w:rsidR="00C63F8F" w:rsidRPr="00E27443">
        <w:t xml:space="preserve"> </w:t>
      </w:r>
      <w:r w:rsidRPr="00E27443">
        <w:t>is</w:t>
      </w:r>
      <w:r w:rsidR="00C63F8F" w:rsidRPr="00E27443">
        <w:t xml:space="preserve"> </w:t>
      </w:r>
      <w:r w:rsidRPr="00E27443">
        <w:t>provided</w:t>
      </w:r>
      <w:r w:rsidR="00C63F8F" w:rsidRPr="00E27443">
        <w:t xml:space="preserve"> </w:t>
      </w:r>
      <w:r w:rsidRPr="00E27443">
        <w:t>in</w:t>
      </w:r>
      <w:r w:rsidR="00C63F8F" w:rsidRPr="00E27443">
        <w:t xml:space="preserve"> </w:t>
      </w:r>
      <w:r w:rsidRPr="00E27443">
        <w:t>a</w:t>
      </w:r>
      <w:r w:rsidR="00C63F8F" w:rsidRPr="00E27443">
        <w:t xml:space="preserve"> </w:t>
      </w:r>
      <w:r w:rsidRPr="00E27443">
        <w:t>bilingual</w:t>
      </w:r>
      <w:r w:rsidR="00C63F8F" w:rsidRPr="00E27443">
        <w:t xml:space="preserve"> </w:t>
      </w:r>
      <w:r w:rsidRPr="00E27443">
        <w:t>environment</w:t>
      </w:r>
      <w:r w:rsidR="00C63F8F" w:rsidRPr="00E27443">
        <w:t xml:space="preserve"> </w:t>
      </w:r>
      <w:r w:rsidRPr="00E27443">
        <w:t>–</w:t>
      </w:r>
      <w:r w:rsidR="00C63F8F" w:rsidRPr="00E27443">
        <w:t xml:space="preserve"> </w:t>
      </w:r>
      <w:r w:rsidRPr="00E27443">
        <w:t>Swedish</w:t>
      </w:r>
      <w:r w:rsidR="00C63F8F" w:rsidRPr="00E27443">
        <w:t xml:space="preserve"> </w:t>
      </w:r>
      <w:r w:rsidRPr="00E27443">
        <w:t>and</w:t>
      </w:r>
      <w:r w:rsidR="00C63F8F" w:rsidRPr="00E27443">
        <w:t xml:space="preserve"> </w:t>
      </w:r>
      <w:r w:rsidRPr="00E27443">
        <w:t>Swedish</w:t>
      </w:r>
      <w:r w:rsidR="00C63F8F" w:rsidRPr="00E27443">
        <w:t xml:space="preserve"> </w:t>
      </w:r>
      <w:r w:rsidRPr="00E27443">
        <w:t>sign</w:t>
      </w:r>
      <w:r w:rsidR="00C63F8F" w:rsidRPr="00E27443">
        <w:t xml:space="preserve"> </w:t>
      </w:r>
      <w:r w:rsidRPr="00E27443">
        <w:t>language.</w:t>
      </w:r>
      <w:r w:rsidR="00C63F8F" w:rsidRPr="00E27443">
        <w:t xml:space="preserve"> </w:t>
      </w:r>
      <w:r w:rsidRPr="00E27443">
        <w:t>Most</w:t>
      </w:r>
      <w:r w:rsidR="00C63F8F" w:rsidRPr="00E27443">
        <w:t xml:space="preserve"> </w:t>
      </w:r>
      <w:r w:rsidRPr="00E27443">
        <w:t>pupils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hearing</w:t>
      </w:r>
      <w:r w:rsidR="00C63F8F" w:rsidRPr="00E27443">
        <w:t xml:space="preserve"> </w:t>
      </w:r>
      <w:r w:rsidRPr="00E27443">
        <w:t>go</w:t>
      </w:r>
      <w:r w:rsidR="00C63F8F" w:rsidRPr="00E27443">
        <w:t xml:space="preserve"> </w:t>
      </w:r>
      <w:r w:rsidRPr="00E27443">
        <w:t>to</w:t>
      </w:r>
      <w:r w:rsidR="00C63F8F" w:rsidRPr="00E27443">
        <w:t xml:space="preserve"> </w:t>
      </w:r>
      <w:r w:rsidRPr="00E27443">
        <w:t>normal</w:t>
      </w:r>
      <w:r w:rsidR="00C63F8F" w:rsidRPr="00E27443">
        <w:t xml:space="preserve"> </w:t>
      </w:r>
      <w:r w:rsidRPr="00E27443">
        <w:t>elementary</w:t>
      </w:r>
      <w:r w:rsidR="00C63F8F" w:rsidRPr="00E27443">
        <w:t xml:space="preserve"> </w:t>
      </w:r>
      <w:r w:rsidRPr="00E27443">
        <w:t>school,</w:t>
      </w:r>
      <w:r w:rsidR="00C63F8F" w:rsidRPr="00E27443">
        <w:t xml:space="preserve"> </w:t>
      </w:r>
      <w:r w:rsidRPr="00E27443">
        <w:t>however.</w:t>
      </w:r>
      <w:r w:rsidR="00C63F8F" w:rsidRPr="00E27443">
        <w:t xml:space="preserve"> </w:t>
      </w:r>
    </w:p>
    <w:p w:rsidR="00321ADA" w:rsidRPr="00E27443" w:rsidRDefault="00321ADA" w:rsidP="00DB3DFD">
      <w:pPr>
        <w:pStyle w:val="SingleTxtG"/>
        <w:numPr>
          <w:ilvl w:val="0"/>
          <w:numId w:val="20"/>
        </w:numPr>
        <w:tabs>
          <w:tab w:val="left" w:pos="1843"/>
        </w:tabs>
        <w:ind w:left="1134" w:firstLine="0"/>
      </w:pPr>
      <w:r w:rsidRPr="00E27443">
        <w:t>The</w:t>
      </w:r>
      <w:r w:rsidR="00C63F8F" w:rsidRPr="00E27443">
        <w:t xml:space="preserve"> </w:t>
      </w:r>
      <w:r w:rsidRPr="00E27443">
        <w:t>national</w:t>
      </w:r>
      <w:r w:rsidR="00C63F8F" w:rsidRPr="00E27443">
        <w:t xml:space="preserve"> </w:t>
      </w:r>
      <w:r w:rsidRPr="00E27443">
        <w:t>special</w:t>
      </w:r>
      <w:r w:rsidR="00C63F8F" w:rsidRPr="00E27443">
        <w:t xml:space="preserve"> </w:t>
      </w:r>
      <w:r w:rsidRPr="00E27443">
        <w:t>schools</w:t>
      </w:r>
      <w:r w:rsidR="00C63F8F" w:rsidRPr="00E27443">
        <w:t xml:space="preserve"> </w:t>
      </w:r>
      <w:r w:rsidRPr="00E27443">
        <w:t>are</w:t>
      </w:r>
      <w:r w:rsidR="00C63F8F" w:rsidRPr="00E27443">
        <w:t xml:space="preserve"> </w:t>
      </w:r>
      <w:r w:rsidRPr="00E27443">
        <w:t>intended</w:t>
      </w:r>
      <w:r w:rsidR="00C63F8F" w:rsidRPr="00E27443">
        <w:t xml:space="preserve"> </w:t>
      </w:r>
      <w:r w:rsidRPr="00E27443">
        <w:t>for</w:t>
      </w:r>
      <w:r w:rsidR="00C63F8F" w:rsidRPr="00E27443">
        <w:t xml:space="preserve"> </w:t>
      </w:r>
      <w:r w:rsidRPr="00E27443">
        <w:t>pupils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vision</w:t>
      </w:r>
      <w:r w:rsidR="00C63F8F" w:rsidRPr="00E27443">
        <w:t xml:space="preserve"> </w:t>
      </w:r>
      <w:r w:rsidRPr="00E27443">
        <w:t>in</w:t>
      </w:r>
      <w:r w:rsidR="00C63F8F" w:rsidRPr="00E27443">
        <w:t xml:space="preserve"> </w:t>
      </w:r>
      <w:r w:rsidRPr="00E27443">
        <w:t>combination</w:t>
      </w:r>
      <w:r w:rsidR="00C63F8F" w:rsidRPr="00E27443">
        <w:t xml:space="preserve"> </w:t>
      </w:r>
      <w:r w:rsidRPr="00E27443">
        <w:t>with</w:t>
      </w:r>
      <w:r w:rsidR="00C63F8F" w:rsidRPr="00E27443">
        <w:t xml:space="preserve"> </w:t>
      </w:r>
      <w:r w:rsidRPr="00E27443">
        <w:t>or</w:t>
      </w:r>
      <w:r w:rsidR="00C63F8F" w:rsidRPr="00E27443">
        <w:t xml:space="preserve"> </w:t>
      </w:r>
      <w:r w:rsidRPr="00E27443">
        <w:t>other</w:t>
      </w:r>
      <w:r w:rsidR="00C63F8F" w:rsidRPr="00E27443">
        <w:t xml:space="preserve"> </w:t>
      </w:r>
      <w:r w:rsidRPr="00E27443">
        <w:t>physical</w:t>
      </w:r>
      <w:r w:rsidR="00C63F8F" w:rsidRPr="00E27443">
        <w:t xml:space="preserve"> </w:t>
      </w:r>
      <w:r w:rsidRPr="00E27443">
        <w:t>disabilities,</w:t>
      </w:r>
      <w:r w:rsidR="00C63F8F" w:rsidRPr="00E27443">
        <w:t xml:space="preserve"> </w:t>
      </w:r>
      <w:r w:rsidRPr="00E27443">
        <w:t>pupils</w:t>
      </w:r>
      <w:r w:rsidR="00C63F8F" w:rsidRPr="00E27443">
        <w:t xml:space="preserve"> </w:t>
      </w:r>
      <w:r w:rsidRPr="00E27443">
        <w:t>who</w:t>
      </w:r>
      <w:r w:rsidR="00C63F8F" w:rsidRPr="00E27443">
        <w:t xml:space="preserve"> </w:t>
      </w:r>
      <w:r w:rsidRPr="00E27443">
        <w:t>are</w:t>
      </w:r>
      <w:r w:rsidR="00C63F8F" w:rsidRPr="00E27443">
        <w:t xml:space="preserve"> </w:t>
      </w:r>
      <w:r w:rsidRPr="00E27443">
        <w:t>deaf</w:t>
      </w:r>
      <w:r w:rsidR="00C63F8F" w:rsidRPr="00E27443">
        <w:t xml:space="preserve"> </w:t>
      </w:r>
      <w:r w:rsidRPr="00E27443">
        <w:t>or</w:t>
      </w:r>
      <w:r w:rsidR="00C63F8F" w:rsidRPr="00E27443">
        <w:t xml:space="preserve"> </w:t>
      </w:r>
      <w:r w:rsidRPr="00E27443">
        <w:t>have</w:t>
      </w:r>
      <w:r w:rsidR="00C63F8F" w:rsidRPr="00E27443">
        <w:t xml:space="preserve"> </w:t>
      </w:r>
      <w:r w:rsidRPr="00E27443">
        <w:t>impaired</w:t>
      </w:r>
      <w:r w:rsidR="00C63F8F" w:rsidRPr="00E27443">
        <w:t xml:space="preserve"> </w:t>
      </w:r>
      <w:r w:rsidRPr="00E27443">
        <w:t>hearing</w:t>
      </w:r>
      <w:r w:rsidR="00C63F8F" w:rsidRPr="00E27443">
        <w:t xml:space="preserve"> </w:t>
      </w:r>
      <w:r w:rsidRPr="00E27443">
        <w:t>in</w:t>
      </w:r>
      <w:r w:rsidR="00C63F8F" w:rsidRPr="00E27443">
        <w:t xml:space="preserve"> </w:t>
      </w:r>
      <w:r w:rsidRPr="00E27443">
        <w:t>combination</w:t>
      </w:r>
      <w:r w:rsidR="00C63F8F" w:rsidRPr="00E27443">
        <w:t xml:space="preserve"> </w:t>
      </w:r>
      <w:r w:rsidRPr="00E27443">
        <w:t>with</w:t>
      </w:r>
      <w:r w:rsidR="00C63F8F" w:rsidRPr="00E27443">
        <w:t xml:space="preserve"> </w:t>
      </w:r>
      <w:r w:rsidRPr="00E27443">
        <w:t>a</w:t>
      </w:r>
      <w:r w:rsidR="00C63F8F" w:rsidRPr="00E27443">
        <w:t xml:space="preserve"> </w:t>
      </w:r>
      <w:r w:rsidRPr="00E27443">
        <w:t>developmental</w:t>
      </w:r>
      <w:r w:rsidR="00C63F8F" w:rsidRPr="00E27443">
        <w:t xml:space="preserve"> </w:t>
      </w:r>
      <w:r w:rsidRPr="00E27443">
        <w:t>disability,</w:t>
      </w:r>
      <w:r w:rsidR="00C63F8F" w:rsidRPr="00E27443">
        <w:t xml:space="preserve"> </w:t>
      </w:r>
      <w:r w:rsidRPr="00E27443">
        <w:t>deaf-blind</w:t>
      </w:r>
      <w:r w:rsidR="00C63F8F" w:rsidRPr="00E27443">
        <w:t xml:space="preserve"> </w:t>
      </w:r>
      <w:r w:rsidRPr="00E27443">
        <w:t>pupils</w:t>
      </w:r>
      <w:r w:rsidR="00C63F8F" w:rsidRPr="00E27443">
        <w:t xml:space="preserve"> </w:t>
      </w:r>
      <w:r w:rsidRPr="00E27443">
        <w:t>or</w:t>
      </w:r>
      <w:r w:rsidR="00C63F8F" w:rsidRPr="00E27443">
        <w:t xml:space="preserve"> </w:t>
      </w:r>
      <w:r w:rsidRPr="00E27443">
        <w:t>pupils</w:t>
      </w:r>
      <w:r w:rsidR="00C63F8F" w:rsidRPr="00E27443">
        <w:t xml:space="preserve"> </w:t>
      </w:r>
      <w:r w:rsidRPr="00E27443">
        <w:t>with</w:t>
      </w:r>
      <w:r w:rsidR="00C63F8F" w:rsidRPr="00E27443">
        <w:t xml:space="preserve"> </w:t>
      </w:r>
      <w:r w:rsidRPr="00E27443">
        <w:t>a</w:t>
      </w:r>
      <w:r w:rsidR="00C63F8F" w:rsidRPr="00E27443">
        <w:t xml:space="preserve"> </w:t>
      </w:r>
      <w:r w:rsidRPr="00E27443">
        <w:t>serious</w:t>
      </w:r>
      <w:r w:rsidR="00C63F8F" w:rsidRPr="00E27443">
        <w:t xml:space="preserve"> </w:t>
      </w:r>
      <w:r w:rsidRPr="00E27443">
        <w:t>speech</w:t>
      </w:r>
      <w:r w:rsidR="00C63F8F" w:rsidRPr="00E27443">
        <w:t xml:space="preserve"> </w:t>
      </w:r>
      <w:r w:rsidRPr="00E27443">
        <w:t>disability.</w:t>
      </w:r>
      <w:r w:rsidR="00C63F8F" w:rsidRPr="00E27443">
        <w:t xml:space="preserve"> </w:t>
      </w:r>
      <w:r w:rsidRPr="00E27443">
        <w:t>In</w:t>
      </w:r>
      <w:r w:rsidR="00C63F8F" w:rsidRPr="00E27443">
        <w:t xml:space="preserve"> </w:t>
      </w:r>
      <w:r w:rsidRPr="00E27443">
        <w:t>these</w:t>
      </w:r>
      <w:r w:rsidR="00C63F8F" w:rsidRPr="00E27443">
        <w:t xml:space="preserve"> </w:t>
      </w:r>
      <w:r w:rsidRPr="00E27443">
        <w:t>schools,</w:t>
      </w:r>
      <w:r w:rsidR="00C63F8F" w:rsidRPr="00E27443">
        <w:t xml:space="preserve"> </w:t>
      </w:r>
      <w:r w:rsidRPr="00E27443">
        <w:t>the</w:t>
      </w:r>
      <w:r w:rsidR="00C63F8F" w:rsidRPr="00E27443">
        <w:t xml:space="preserve"> </w:t>
      </w:r>
      <w:r w:rsidRPr="00E27443">
        <w:t>education</w:t>
      </w:r>
      <w:r w:rsidR="00C63F8F" w:rsidRPr="00E27443">
        <w:t xml:space="preserve"> </w:t>
      </w:r>
      <w:r w:rsidRPr="00E27443">
        <w:t>is</w:t>
      </w:r>
      <w:r w:rsidR="00C63F8F" w:rsidRPr="00E27443">
        <w:t xml:space="preserve"> </w:t>
      </w:r>
      <w:r w:rsidRPr="00E27443">
        <w:t>provided</w:t>
      </w:r>
      <w:r w:rsidR="00C63F8F" w:rsidRPr="00E27443">
        <w:t xml:space="preserve"> </w:t>
      </w:r>
      <w:r w:rsidRPr="00E27443">
        <w:t>in</w:t>
      </w:r>
      <w:r w:rsidR="00C63F8F" w:rsidRPr="00E27443">
        <w:t xml:space="preserve"> </w:t>
      </w:r>
      <w:r w:rsidRPr="00E27443">
        <w:t>spoken</w:t>
      </w:r>
      <w:r w:rsidR="00C63F8F" w:rsidRPr="00E27443">
        <w:t xml:space="preserve"> </w:t>
      </w:r>
      <w:r w:rsidRPr="00E27443">
        <w:t>Swedish,</w:t>
      </w:r>
      <w:r w:rsidR="00C63F8F" w:rsidRPr="00E27443">
        <w:t xml:space="preserve"> </w:t>
      </w:r>
      <w:r w:rsidRPr="00E27443">
        <w:t>Swedish</w:t>
      </w:r>
      <w:r w:rsidR="00C63F8F" w:rsidRPr="00E27443">
        <w:t xml:space="preserve"> </w:t>
      </w:r>
      <w:r w:rsidRPr="00E27443">
        <w:t>sign</w:t>
      </w:r>
      <w:r w:rsidR="00C63F8F" w:rsidRPr="00E27443">
        <w:t xml:space="preserve"> </w:t>
      </w:r>
      <w:r w:rsidRPr="00E27443">
        <w:t>language</w:t>
      </w:r>
      <w:r w:rsidR="00C63F8F" w:rsidRPr="00E27443">
        <w:t xml:space="preserve"> </w:t>
      </w:r>
      <w:r w:rsidRPr="00E27443">
        <w:t>and</w:t>
      </w:r>
      <w:r w:rsidR="00C63F8F" w:rsidRPr="00E27443">
        <w:t xml:space="preserve"> </w:t>
      </w:r>
      <w:r w:rsidRPr="00E27443">
        <w:t>alternative</w:t>
      </w:r>
      <w:r w:rsidR="00C63F8F" w:rsidRPr="00E27443">
        <w:t xml:space="preserve"> </w:t>
      </w:r>
      <w:r w:rsidRPr="00E27443">
        <w:t>forms</w:t>
      </w:r>
      <w:r w:rsidR="00C63F8F" w:rsidRPr="00E27443">
        <w:t xml:space="preserve"> </w:t>
      </w:r>
      <w:r w:rsidRPr="00E27443">
        <w:t>of</w:t>
      </w:r>
      <w:r w:rsidR="00C63F8F" w:rsidRPr="00E27443">
        <w:t xml:space="preserve"> </w:t>
      </w:r>
      <w:r w:rsidRPr="00E27443">
        <w:t>communication,</w:t>
      </w:r>
      <w:r w:rsidR="00C63F8F" w:rsidRPr="00E27443">
        <w:t xml:space="preserve"> </w:t>
      </w:r>
      <w:r w:rsidRPr="00E27443">
        <w:t>depending</w:t>
      </w:r>
      <w:r w:rsidR="00C63F8F" w:rsidRPr="00E27443">
        <w:t xml:space="preserve"> </w:t>
      </w:r>
      <w:r w:rsidRPr="00E27443">
        <w:t>on</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the</w:t>
      </w:r>
      <w:r w:rsidR="00C63F8F" w:rsidRPr="00E27443">
        <w:t xml:space="preserve"> </w:t>
      </w:r>
      <w:r w:rsidRPr="00E27443">
        <w:t>pupils.</w:t>
      </w:r>
    </w:p>
    <w:p w:rsidR="00321ADA" w:rsidRPr="00E27443" w:rsidRDefault="00321ADA" w:rsidP="00DB3DFD">
      <w:pPr>
        <w:pStyle w:val="SingleTxtG"/>
        <w:numPr>
          <w:ilvl w:val="0"/>
          <w:numId w:val="20"/>
        </w:numPr>
        <w:tabs>
          <w:tab w:val="left" w:pos="1843"/>
        </w:tabs>
        <w:ind w:left="1134" w:firstLine="0"/>
      </w:pPr>
      <w:r w:rsidRPr="00E27443">
        <w:t>One</w:t>
      </w:r>
      <w:r w:rsidR="00C63F8F" w:rsidRPr="00E27443">
        <w:t xml:space="preserve"> </w:t>
      </w:r>
      <w:r w:rsidRPr="00E27443">
        <w:t>selected</w:t>
      </w:r>
      <w:r w:rsidR="00C63F8F" w:rsidRPr="00E27443">
        <w:t xml:space="preserve"> </w:t>
      </w:r>
      <w:r w:rsidRPr="00E27443">
        <w:t>municipality</w:t>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in</w:t>
      </w:r>
      <w:r w:rsidR="00C63F8F" w:rsidRPr="00E27443">
        <w:t xml:space="preserve"> </w:t>
      </w:r>
      <w:r w:rsidRPr="00E27443">
        <w:t>its</w:t>
      </w:r>
      <w:r w:rsidR="00C63F8F" w:rsidRPr="00E27443">
        <w:t xml:space="preserve"> </w:t>
      </w:r>
      <w:r w:rsidRPr="00E27443">
        <w:t>upper</w:t>
      </w:r>
      <w:r w:rsidR="00C63F8F" w:rsidRPr="00E27443">
        <w:t xml:space="preserve"> </w:t>
      </w:r>
      <w:r w:rsidRPr="00E27443">
        <w:t>secondary</w:t>
      </w:r>
      <w:r w:rsidR="00C63F8F" w:rsidRPr="00E27443">
        <w:t xml:space="preserve"> </w:t>
      </w:r>
      <w:r w:rsidRPr="00E27443">
        <w:t>school</w:t>
      </w:r>
      <w:r w:rsidR="00C63F8F" w:rsidRPr="00E27443">
        <w:t xml:space="preserve"> </w:t>
      </w:r>
      <w:r w:rsidRPr="00E27443">
        <w:t>to</w:t>
      </w:r>
      <w:r w:rsidR="00C63F8F" w:rsidRPr="00E27443">
        <w:t xml:space="preserve"> </w:t>
      </w:r>
      <w:r w:rsidRPr="00E27443">
        <w:t>arrange</w:t>
      </w:r>
      <w:r w:rsidR="00C63F8F" w:rsidRPr="00E27443">
        <w:t xml:space="preserve"> </w:t>
      </w:r>
      <w:r w:rsidRPr="00DB3DFD">
        <w:t>upper</w:t>
      </w:r>
      <w:r w:rsidR="00C63F8F" w:rsidRPr="00DB3DFD">
        <w:t xml:space="preserve"> </w:t>
      </w:r>
      <w:r w:rsidRPr="00DB3DFD">
        <w:t>secondary</w:t>
      </w:r>
      <w:r w:rsidR="00C63F8F" w:rsidRPr="00DB3DFD">
        <w:t xml:space="preserve"> </w:t>
      </w:r>
      <w:r w:rsidRPr="00DB3DFD">
        <w:t>level</w:t>
      </w:r>
      <w:r w:rsidR="00C63F8F" w:rsidRPr="00E27443">
        <w:t xml:space="preserve"> </w:t>
      </w:r>
      <w:r w:rsidRPr="00E27443">
        <w:t>education</w:t>
      </w:r>
      <w:r w:rsidR="00C63F8F" w:rsidRPr="00E27443">
        <w:t xml:space="preserve"> </w:t>
      </w:r>
      <w:r w:rsidRPr="00E27443">
        <w:t>for</w:t>
      </w:r>
      <w:r w:rsidR="00C63F8F" w:rsidRPr="00E27443">
        <w:t xml:space="preserve"> </w:t>
      </w:r>
      <w:r w:rsidRPr="00E27443">
        <w:t>pupils</w:t>
      </w:r>
      <w:r w:rsidR="00C63F8F" w:rsidRPr="00E27443">
        <w:t xml:space="preserve"> </w:t>
      </w:r>
      <w:r w:rsidRPr="00E27443">
        <w:t>from</w:t>
      </w:r>
      <w:r w:rsidR="00C63F8F" w:rsidRPr="00E27443">
        <w:t xml:space="preserve"> </w:t>
      </w:r>
      <w:r w:rsidRPr="00E27443">
        <w:t>all</w:t>
      </w:r>
      <w:r w:rsidR="00C63F8F" w:rsidRPr="00E27443">
        <w:t xml:space="preserve"> </w:t>
      </w:r>
      <w:r w:rsidRPr="00E27443">
        <w:t>over</w:t>
      </w:r>
      <w:r w:rsidR="00C63F8F" w:rsidRPr="00E27443">
        <w:t xml:space="preserve"> </w:t>
      </w:r>
      <w:r w:rsidRPr="00E27443">
        <w:t>the</w:t>
      </w:r>
      <w:r w:rsidR="00C63F8F" w:rsidRPr="00E27443">
        <w:t xml:space="preserve"> </w:t>
      </w:r>
      <w:r w:rsidRPr="00E27443">
        <w:t>country.</w:t>
      </w:r>
      <w:r w:rsidR="00C63F8F" w:rsidRPr="00E27443">
        <w:t xml:space="preserve"> </w:t>
      </w:r>
      <w:r w:rsidRPr="00E27443">
        <w:t>This</w:t>
      </w:r>
      <w:r w:rsidR="00C63F8F" w:rsidRPr="00E27443">
        <w:t xml:space="preserve"> </w:t>
      </w:r>
      <w:r w:rsidRPr="00E27443">
        <w:t>applies</w:t>
      </w:r>
      <w:r w:rsidR="00C63F8F" w:rsidRPr="00E27443">
        <w:t xml:space="preserve"> </w:t>
      </w:r>
      <w:r w:rsidRPr="00E27443">
        <w:t>to</w:t>
      </w:r>
      <w:r w:rsidR="00C63F8F" w:rsidRPr="00E27443">
        <w:t xml:space="preserve"> </w:t>
      </w:r>
      <w:r w:rsidRPr="00E27443">
        <w:t>pupils</w:t>
      </w:r>
      <w:r w:rsidR="00C63F8F" w:rsidRPr="00E27443">
        <w:t xml:space="preserve"> </w:t>
      </w:r>
      <w:r w:rsidRPr="00E27443">
        <w:t>who</w:t>
      </w:r>
      <w:r w:rsidR="00C63F8F" w:rsidRPr="00E27443">
        <w:t xml:space="preserve"> </w:t>
      </w:r>
      <w:r w:rsidRPr="00E27443">
        <w:t>are:</w:t>
      </w:r>
    </w:p>
    <w:p w:rsidR="00321ADA" w:rsidRPr="00E27443" w:rsidRDefault="00BF499D" w:rsidP="00BF499D">
      <w:pPr>
        <w:pStyle w:val="Bullet1G"/>
      </w:pPr>
      <w:r w:rsidRPr="00E27443">
        <w:t>D</w:t>
      </w:r>
      <w:r w:rsidR="00321ADA" w:rsidRPr="00E27443">
        <w:t>eaf</w:t>
      </w:r>
      <w:r w:rsidR="00C63F8F" w:rsidRPr="00E27443">
        <w:t xml:space="preserve"> </w:t>
      </w:r>
      <w:r w:rsidR="00321ADA" w:rsidRPr="00E27443">
        <w:t>or</w:t>
      </w:r>
      <w:r w:rsidR="00C63F8F" w:rsidRPr="00E27443">
        <w:t xml:space="preserve"> </w:t>
      </w:r>
      <w:r w:rsidR="00321ADA" w:rsidRPr="00E27443">
        <w:t>hearing</w:t>
      </w:r>
      <w:r w:rsidR="00C63F8F" w:rsidRPr="00E27443">
        <w:t xml:space="preserve"> </w:t>
      </w:r>
      <w:r w:rsidR="00321ADA" w:rsidRPr="00E27443">
        <w:t>impaired</w:t>
      </w:r>
      <w:r w:rsidR="00C63F8F" w:rsidRPr="00E27443">
        <w:t xml:space="preserve"> </w:t>
      </w:r>
      <w:r w:rsidR="00321ADA" w:rsidRPr="00E27443">
        <w:t>and</w:t>
      </w:r>
      <w:r w:rsidR="00C63F8F" w:rsidRPr="00E27443">
        <w:t xml:space="preserve"> </w:t>
      </w:r>
      <w:r w:rsidR="00321ADA" w:rsidRPr="00E27443">
        <w:t>who</w:t>
      </w:r>
      <w:r w:rsidR="00C63F8F" w:rsidRPr="00E27443">
        <w:t xml:space="preserve"> </w:t>
      </w:r>
      <w:r w:rsidR="00321ADA" w:rsidRPr="00E27443">
        <w:t>are</w:t>
      </w:r>
      <w:r w:rsidR="00C63F8F" w:rsidRPr="00E27443">
        <w:t xml:space="preserve"> </w:t>
      </w:r>
      <w:r w:rsidR="00321ADA" w:rsidRPr="00E27443">
        <w:t>dependent</w:t>
      </w:r>
      <w:r w:rsidR="00C63F8F" w:rsidRPr="00E27443">
        <w:t xml:space="preserve"> </w:t>
      </w:r>
      <w:r w:rsidR="00321ADA" w:rsidRPr="00E27443">
        <w:t>on</w:t>
      </w:r>
      <w:r w:rsidR="00C63F8F" w:rsidRPr="00E27443">
        <w:t xml:space="preserve"> </w:t>
      </w:r>
      <w:r w:rsidR="00321ADA" w:rsidRPr="00E27443">
        <w:t>a</w:t>
      </w:r>
      <w:r w:rsidR="00C63F8F" w:rsidRPr="00E27443">
        <w:t xml:space="preserve"> </w:t>
      </w:r>
      <w:r w:rsidR="00321ADA" w:rsidRPr="00E27443">
        <w:t>sign</w:t>
      </w:r>
      <w:r w:rsidR="00C63F8F" w:rsidRPr="00E27443">
        <w:t xml:space="preserve"> </w:t>
      </w:r>
      <w:r w:rsidR="00321ADA" w:rsidRPr="00E27443">
        <w:t>language</w:t>
      </w:r>
      <w:r w:rsidR="00C63F8F" w:rsidRPr="00E27443">
        <w:t xml:space="preserve"> </w:t>
      </w:r>
      <w:r w:rsidR="00321ADA" w:rsidRPr="00E27443">
        <w:t>environment</w:t>
      </w:r>
      <w:r w:rsidRPr="00E27443">
        <w:t xml:space="preserve">. </w:t>
      </w:r>
    </w:p>
    <w:p w:rsidR="00321ADA" w:rsidRPr="00E27443" w:rsidRDefault="00BF499D" w:rsidP="00BF499D">
      <w:pPr>
        <w:pStyle w:val="Bullet1G"/>
      </w:pPr>
      <w:r w:rsidRPr="00E27443">
        <w:t>H</w:t>
      </w:r>
      <w:r w:rsidR="00321ADA" w:rsidRPr="00E27443">
        <w:t>earing</w:t>
      </w:r>
      <w:r w:rsidR="00C63F8F" w:rsidRPr="00E27443">
        <w:t xml:space="preserve"> </w:t>
      </w:r>
      <w:r w:rsidR="00321ADA" w:rsidRPr="00E27443">
        <w:t>impaired</w:t>
      </w:r>
      <w:r w:rsidR="00C63F8F" w:rsidRPr="00E27443">
        <w:t xml:space="preserve"> </w:t>
      </w:r>
      <w:r w:rsidR="00321ADA" w:rsidRPr="00E27443">
        <w:t>and,</w:t>
      </w:r>
      <w:r w:rsidR="00C63F8F" w:rsidRPr="00E27443">
        <w:t xml:space="preserve"> </w:t>
      </w:r>
      <w:r w:rsidR="00321ADA" w:rsidRPr="00E27443">
        <w:t>despite</w:t>
      </w:r>
      <w:r w:rsidR="00C63F8F" w:rsidRPr="00E27443">
        <w:t xml:space="preserve"> </w:t>
      </w:r>
      <w:r w:rsidR="00321ADA" w:rsidRPr="00E27443">
        <w:t>the</w:t>
      </w:r>
      <w:r w:rsidR="00C63F8F" w:rsidRPr="00E27443">
        <w:t xml:space="preserve"> </w:t>
      </w:r>
      <w:r w:rsidR="00321ADA" w:rsidRPr="00E27443">
        <w:t>use</w:t>
      </w:r>
      <w:r w:rsidR="00C63F8F" w:rsidRPr="00E27443">
        <w:t xml:space="preserve"> </w:t>
      </w:r>
      <w:r w:rsidR="00321ADA" w:rsidRPr="00E27443">
        <w:t>of</w:t>
      </w:r>
      <w:r w:rsidR="00C63F8F" w:rsidRPr="00E27443">
        <w:t xml:space="preserve"> </w:t>
      </w:r>
      <w:r w:rsidR="00321ADA" w:rsidRPr="00E27443">
        <w:t>technical</w:t>
      </w:r>
      <w:r w:rsidR="00C63F8F" w:rsidRPr="00E27443">
        <w:t xml:space="preserve"> </w:t>
      </w:r>
      <w:r w:rsidR="00321ADA" w:rsidRPr="00E27443">
        <w:t>aids</w:t>
      </w:r>
      <w:r w:rsidR="00C63F8F" w:rsidRPr="00E27443">
        <w:t xml:space="preserve"> </w:t>
      </w:r>
      <w:r w:rsidR="00321ADA" w:rsidRPr="00E27443">
        <w:t>and</w:t>
      </w:r>
      <w:r w:rsidR="00C63F8F" w:rsidRPr="00E27443">
        <w:t xml:space="preserve"> </w:t>
      </w:r>
      <w:r w:rsidR="00321ADA" w:rsidRPr="00E27443">
        <w:t>other</w:t>
      </w:r>
      <w:r w:rsidR="00C63F8F" w:rsidRPr="00E27443">
        <w:t xml:space="preserve"> </w:t>
      </w:r>
      <w:r w:rsidR="00321ADA" w:rsidRPr="00E27443">
        <w:t>supports,</w:t>
      </w:r>
      <w:r w:rsidR="00C63F8F" w:rsidRPr="00E27443">
        <w:t xml:space="preserve"> </w:t>
      </w:r>
      <w:r w:rsidR="00321ADA" w:rsidRPr="00E27443">
        <w:t>cannot</w:t>
      </w:r>
      <w:r w:rsidR="00C63F8F" w:rsidRPr="00E27443">
        <w:t xml:space="preserve"> </w:t>
      </w:r>
      <w:r w:rsidR="00321ADA" w:rsidRPr="00E27443">
        <w:t>follow</w:t>
      </w:r>
      <w:r w:rsidR="00C63F8F" w:rsidRPr="00E27443">
        <w:t xml:space="preserve"> </w:t>
      </w:r>
      <w:r w:rsidR="00321ADA" w:rsidRPr="00E27443">
        <w:t>regular</w:t>
      </w:r>
      <w:r w:rsidR="00C63F8F" w:rsidRPr="00E27443">
        <w:t xml:space="preserve"> </w:t>
      </w:r>
      <w:r w:rsidR="00321ADA" w:rsidRPr="00E27443">
        <w:t>education</w:t>
      </w:r>
      <w:r w:rsidR="00C63F8F" w:rsidRPr="00E27443">
        <w:t xml:space="preserve"> </w:t>
      </w:r>
      <w:r w:rsidR="00321ADA" w:rsidRPr="00E27443">
        <w:t>in</w:t>
      </w:r>
      <w:r w:rsidR="00C63F8F" w:rsidRPr="00E27443">
        <w:t xml:space="preserve"> </w:t>
      </w:r>
      <w:r w:rsidR="00321ADA" w:rsidRPr="00E27443">
        <w:t>upper</w:t>
      </w:r>
      <w:r w:rsidR="00C63F8F" w:rsidRPr="00E27443">
        <w:t xml:space="preserve"> </w:t>
      </w:r>
      <w:r w:rsidR="00321ADA" w:rsidRPr="00E27443">
        <w:t>secondary</w:t>
      </w:r>
      <w:r w:rsidR="00C63F8F" w:rsidRPr="00E27443">
        <w:t xml:space="preserve"> </w:t>
      </w:r>
      <w:r w:rsidR="00321ADA" w:rsidRPr="00E27443">
        <w:t>school,</w:t>
      </w:r>
      <w:r w:rsidR="00C63F8F" w:rsidRPr="00E27443">
        <w:t xml:space="preserve"> </w:t>
      </w:r>
      <w:r w:rsidR="00321ADA" w:rsidRPr="00E27443">
        <w:t>as</w:t>
      </w:r>
      <w:r w:rsidR="00C63F8F" w:rsidRPr="00E27443">
        <w:t xml:space="preserve"> </w:t>
      </w:r>
      <w:r w:rsidR="00321ADA" w:rsidRPr="00E27443">
        <w:t>well</w:t>
      </w:r>
      <w:r w:rsidR="00C63F8F" w:rsidRPr="00E27443">
        <w:t xml:space="preserve"> </w:t>
      </w:r>
      <w:r w:rsidR="00321ADA" w:rsidRPr="00E27443">
        <w:t>as</w:t>
      </w:r>
      <w:r w:rsidR="00C63F8F" w:rsidRPr="00E27443">
        <w:t xml:space="preserve"> </w:t>
      </w:r>
      <w:r w:rsidR="00321ADA" w:rsidRPr="00E27443">
        <w:t>deaf-blind</w:t>
      </w:r>
      <w:r w:rsidR="00C63F8F" w:rsidRPr="00E27443">
        <w:t xml:space="preserve"> </w:t>
      </w:r>
      <w:r w:rsidR="00321ADA" w:rsidRPr="00E27443">
        <w:t>pupils.</w:t>
      </w:r>
      <w:r w:rsidR="00C63F8F" w:rsidRPr="00E27443">
        <w:t xml:space="preserve"> </w:t>
      </w:r>
      <w:r w:rsidR="00321ADA" w:rsidRPr="00E27443">
        <w:t>To</w:t>
      </w:r>
      <w:r w:rsidR="00C63F8F" w:rsidRPr="00E27443">
        <w:t xml:space="preserve"> </w:t>
      </w:r>
      <w:r w:rsidR="00321ADA" w:rsidRPr="00E27443">
        <w:t>the</w:t>
      </w:r>
      <w:r w:rsidR="00C63F8F" w:rsidRPr="00E27443">
        <w:t xml:space="preserve"> </w:t>
      </w:r>
      <w:r w:rsidR="00321ADA" w:rsidRPr="00E27443">
        <w:t>extent</w:t>
      </w:r>
      <w:r w:rsidR="00C63F8F" w:rsidRPr="00E27443">
        <w:t xml:space="preserve"> </w:t>
      </w:r>
      <w:r w:rsidR="00321ADA" w:rsidRPr="00E27443">
        <w:t>it</w:t>
      </w:r>
      <w:r w:rsidR="00C63F8F" w:rsidRPr="00E27443">
        <w:t xml:space="preserve"> </w:t>
      </w:r>
      <w:r w:rsidR="00321ADA" w:rsidRPr="00E27443">
        <w:t>is</w:t>
      </w:r>
      <w:r w:rsidR="00C63F8F" w:rsidRPr="00E27443">
        <w:t xml:space="preserve"> </w:t>
      </w:r>
      <w:r w:rsidR="00321ADA" w:rsidRPr="00E27443">
        <w:t>possible,</w:t>
      </w:r>
      <w:r w:rsidR="00C63F8F" w:rsidRPr="00E27443">
        <w:t xml:space="preserve"> </w:t>
      </w:r>
      <w:r w:rsidR="00321ADA" w:rsidRPr="00E27443">
        <w:t>the</w:t>
      </w:r>
      <w:r w:rsidR="00C63F8F" w:rsidRPr="00E27443">
        <w:t xml:space="preserve"> </w:t>
      </w:r>
      <w:r w:rsidR="00321ADA" w:rsidRPr="00E27443">
        <w:t>education</w:t>
      </w:r>
      <w:r w:rsidR="00C63F8F" w:rsidRPr="00E27443">
        <w:t xml:space="preserve"> </w:t>
      </w:r>
      <w:r w:rsidR="00321ADA" w:rsidRPr="00E27443">
        <w:t>must</w:t>
      </w:r>
      <w:r w:rsidR="00C63F8F" w:rsidRPr="00E27443">
        <w:t xml:space="preserve"> </w:t>
      </w:r>
      <w:r w:rsidR="00321ADA" w:rsidRPr="00E27443">
        <w:t>be</w:t>
      </w:r>
      <w:r w:rsidR="00C63F8F" w:rsidRPr="00E27443">
        <w:t xml:space="preserve"> </w:t>
      </w:r>
      <w:r w:rsidR="00321ADA" w:rsidRPr="00E27443">
        <w:t>integrated</w:t>
      </w:r>
      <w:r w:rsidR="00C63F8F" w:rsidRPr="00E27443">
        <w:t xml:space="preserve"> </w:t>
      </w:r>
      <w:r w:rsidR="00321ADA" w:rsidRPr="00E27443">
        <w:t>with</w:t>
      </w:r>
      <w:r w:rsidR="00C63F8F" w:rsidRPr="00E27443">
        <w:t xml:space="preserve"> </w:t>
      </w:r>
      <w:r w:rsidR="00321ADA" w:rsidRPr="00E27443">
        <w:t>corresponding</w:t>
      </w:r>
      <w:r w:rsidR="00C63F8F" w:rsidRPr="00E27443">
        <w:t xml:space="preserve"> </w:t>
      </w:r>
      <w:r w:rsidR="00321ADA" w:rsidRPr="00E27443">
        <w:t>regular</w:t>
      </w:r>
      <w:r w:rsidR="00C63F8F" w:rsidRPr="00E27443">
        <w:t xml:space="preserve"> </w:t>
      </w:r>
      <w:r w:rsidR="00321ADA" w:rsidRPr="00E27443">
        <w:t>education</w:t>
      </w:r>
      <w:r w:rsidR="00C63F8F" w:rsidRPr="00E27443">
        <w:t xml:space="preserve"> </w:t>
      </w:r>
      <w:r w:rsidR="00321ADA" w:rsidRPr="00E27443">
        <w:t>in</w:t>
      </w:r>
      <w:r w:rsidR="00C63F8F" w:rsidRPr="00E27443">
        <w:t xml:space="preserve"> </w:t>
      </w:r>
      <w:r w:rsidR="00321ADA" w:rsidRPr="00E27443">
        <w:t>the</w:t>
      </w:r>
      <w:r w:rsidR="00C63F8F" w:rsidRPr="00E27443">
        <w:t xml:space="preserve"> </w:t>
      </w:r>
      <w:r w:rsidR="00321ADA" w:rsidRPr="00E27443">
        <w:t>municipality</w:t>
      </w:r>
      <w:r w:rsidR="00C63F8F" w:rsidRPr="00E27443">
        <w:t>’</w:t>
      </w:r>
      <w:r w:rsidR="00321ADA" w:rsidRPr="00E27443">
        <w:t>s</w:t>
      </w:r>
      <w:r w:rsidR="00C63F8F" w:rsidRPr="00E27443">
        <w:t xml:space="preserve"> </w:t>
      </w:r>
      <w:r w:rsidR="00321ADA" w:rsidRPr="00E27443">
        <w:t>upper</w:t>
      </w:r>
      <w:r w:rsidR="00C63F8F" w:rsidRPr="00E27443">
        <w:t xml:space="preserve"> </w:t>
      </w:r>
      <w:r w:rsidR="00321ADA" w:rsidRPr="00E27443">
        <w:t>secondary</w:t>
      </w:r>
      <w:r w:rsidR="00C63F8F" w:rsidRPr="00E27443">
        <w:t xml:space="preserve"> </w:t>
      </w:r>
      <w:r w:rsidR="00321ADA" w:rsidRPr="00E27443">
        <w:t>school.</w:t>
      </w:r>
    </w:p>
    <w:p w:rsidR="00321ADA" w:rsidRPr="00E27443" w:rsidRDefault="00321ADA" w:rsidP="00DB3DFD">
      <w:pPr>
        <w:pStyle w:val="SingleTxtG"/>
        <w:numPr>
          <w:ilvl w:val="0"/>
          <w:numId w:val="20"/>
        </w:numPr>
        <w:tabs>
          <w:tab w:val="left" w:pos="1843"/>
        </w:tabs>
        <w:ind w:left="1134" w:firstLine="0"/>
      </w:pPr>
      <w:r w:rsidRPr="00E27443">
        <w:t>The</w:t>
      </w:r>
      <w:r w:rsidR="00C63F8F" w:rsidRPr="00E27443">
        <w:t xml:space="preserve"> </w:t>
      </w:r>
      <w:r w:rsidRPr="00E27443">
        <w:t>State</w:t>
      </w:r>
      <w:r w:rsidR="00C63F8F" w:rsidRPr="00E27443">
        <w:t xml:space="preserve"> </w:t>
      </w:r>
      <w:r w:rsidRPr="00E27443">
        <w:t>has</w:t>
      </w:r>
      <w:r w:rsidR="00C63F8F" w:rsidRPr="00E27443">
        <w:t xml:space="preserve"> </w:t>
      </w:r>
      <w:r w:rsidRPr="00E27443">
        <w:t>also</w:t>
      </w:r>
      <w:r w:rsidR="00C63F8F" w:rsidRPr="00E27443">
        <w:t xml:space="preserve"> </w:t>
      </w:r>
      <w:r w:rsidRPr="00E27443">
        <w:t>entered</w:t>
      </w:r>
      <w:r w:rsidR="00C63F8F" w:rsidRPr="00E27443">
        <w:t xml:space="preserve"> </w:t>
      </w:r>
      <w:r w:rsidRPr="00E27443">
        <w:t>into</w:t>
      </w:r>
      <w:r w:rsidR="00C63F8F" w:rsidRPr="00E27443">
        <w:t xml:space="preserve"> </w:t>
      </w:r>
      <w:r w:rsidRPr="00E27443">
        <w:t>an</w:t>
      </w:r>
      <w:r w:rsidR="00C63F8F" w:rsidRPr="00E27443">
        <w:t xml:space="preserve"> </w:t>
      </w:r>
      <w:r w:rsidRPr="00E27443">
        <w:t>agreement</w:t>
      </w:r>
      <w:r w:rsidR="00C63F8F" w:rsidRPr="00E27443">
        <w:t xml:space="preserve"> </w:t>
      </w:r>
      <w:r w:rsidRPr="00E27443">
        <w:t>with</w:t>
      </w:r>
      <w:r w:rsidR="00C63F8F" w:rsidRPr="00E27443">
        <w:t xml:space="preserve"> </w:t>
      </w:r>
      <w:r w:rsidRPr="00E27443">
        <w:t>this</w:t>
      </w:r>
      <w:r w:rsidR="00C63F8F" w:rsidRPr="00E27443">
        <w:t xml:space="preserve"> </w:t>
      </w:r>
      <w:r w:rsidRPr="00E27443">
        <w:t>municipality</w:t>
      </w:r>
      <w:r w:rsidR="00C63F8F" w:rsidRPr="00E27443">
        <w:t xml:space="preserve"> </w:t>
      </w:r>
      <w:r w:rsidRPr="00E27443">
        <w:t>regarding</w:t>
      </w:r>
      <w:r w:rsidR="00C63F8F" w:rsidRPr="00E27443">
        <w:t xml:space="preserve"> </w:t>
      </w:r>
      <w:r w:rsidRPr="00E27443">
        <w:t>education</w:t>
      </w:r>
      <w:r w:rsidR="00C63F8F" w:rsidRPr="00E27443">
        <w:t xml:space="preserve"> </w:t>
      </w:r>
      <w:r w:rsidRPr="00E27443">
        <w:t>within</w:t>
      </w:r>
      <w:r w:rsidR="00C63F8F" w:rsidRPr="00E27443">
        <w:t xml:space="preserve"> </w:t>
      </w:r>
      <w:r w:rsidRPr="00E27443">
        <w:t>the</w:t>
      </w:r>
      <w:r w:rsidR="00C63F8F" w:rsidRPr="00E27443">
        <w:t xml:space="preserve"> </w:t>
      </w:r>
      <w:r w:rsidRPr="00E27443">
        <w:t>municipality</w:t>
      </w:r>
      <w:r w:rsidR="00C63F8F" w:rsidRPr="00E27443">
        <w:t>’</w:t>
      </w:r>
      <w:r w:rsidRPr="00E27443">
        <w:t>s</w:t>
      </w:r>
      <w:r w:rsidR="00C63F8F" w:rsidRPr="00E27443">
        <w:t xml:space="preserve"> </w:t>
      </w:r>
      <w:r w:rsidRPr="00E27443">
        <w:t>upper</w:t>
      </w:r>
      <w:r w:rsidR="00C63F8F" w:rsidRPr="00E27443">
        <w:t xml:space="preserve"> </w:t>
      </w:r>
      <w:r w:rsidRPr="00E27443">
        <w:t>secondary</w:t>
      </w:r>
      <w:r w:rsidR="00C63F8F" w:rsidRPr="00E27443">
        <w:t xml:space="preserve"> </w:t>
      </w:r>
      <w:r w:rsidRPr="00E27443">
        <w:t>school</w:t>
      </w:r>
      <w:r w:rsidR="00C63F8F" w:rsidRPr="00E27443">
        <w:t xml:space="preserve"> </w:t>
      </w:r>
      <w:r w:rsidRPr="00E27443">
        <w:t>for</w:t>
      </w:r>
      <w:r w:rsidR="00C63F8F" w:rsidRPr="00E27443">
        <w:t xml:space="preserve"> </w:t>
      </w:r>
      <w:r w:rsidRPr="00E27443">
        <w:t>deaf</w:t>
      </w:r>
      <w:r w:rsidR="00C63F8F" w:rsidRPr="00E27443">
        <w:t xml:space="preserve"> </w:t>
      </w:r>
      <w:r w:rsidRPr="00E27443">
        <w:t>and</w:t>
      </w:r>
      <w:r w:rsidR="00C63F8F" w:rsidRPr="00E27443">
        <w:t xml:space="preserve"> </w:t>
      </w:r>
      <w:r w:rsidRPr="00E27443">
        <w:t>hearing</w:t>
      </w:r>
      <w:r w:rsidR="00C63F8F" w:rsidRPr="00E27443">
        <w:t xml:space="preserve"> </w:t>
      </w:r>
      <w:r w:rsidRPr="00E27443">
        <w:t>impaired</w:t>
      </w:r>
      <w:r w:rsidR="00C63F8F" w:rsidRPr="00E27443">
        <w:t xml:space="preserve"> </w:t>
      </w:r>
      <w:r w:rsidRPr="00E27443">
        <w:t>pupils</w:t>
      </w:r>
      <w:r w:rsidR="00C63F8F" w:rsidRPr="00E27443">
        <w:t xml:space="preserve"> </w:t>
      </w:r>
      <w:r w:rsidRPr="00E27443">
        <w:t>with</w:t>
      </w:r>
      <w:r w:rsidR="00C63F8F" w:rsidRPr="00E27443">
        <w:t xml:space="preserve"> </w:t>
      </w:r>
      <w:r w:rsidRPr="00E27443">
        <w:t>intellectual</w:t>
      </w:r>
      <w:r w:rsidR="00C63F8F" w:rsidRPr="00E27443">
        <w:t xml:space="preserve"> </w:t>
      </w:r>
      <w:r w:rsidRPr="00E27443">
        <w:t>impairment</w:t>
      </w:r>
      <w:r w:rsidR="00C63F8F" w:rsidRPr="00E27443">
        <w:t xml:space="preserve"> </w:t>
      </w:r>
      <w:r w:rsidRPr="00E27443">
        <w:t>from</w:t>
      </w:r>
      <w:r w:rsidR="00C63F8F" w:rsidRPr="00E27443">
        <w:t xml:space="preserve"> </w:t>
      </w:r>
      <w:r w:rsidRPr="00E27443">
        <w:t>all</w:t>
      </w:r>
      <w:r w:rsidR="00C63F8F" w:rsidRPr="00E27443">
        <w:t xml:space="preserve"> </w:t>
      </w:r>
      <w:r w:rsidRPr="00E27443">
        <w:t>over</w:t>
      </w:r>
      <w:r w:rsidR="00C63F8F" w:rsidRPr="00E27443">
        <w:t xml:space="preserve"> </w:t>
      </w:r>
      <w:r w:rsidRPr="00E27443">
        <w:t>the</w:t>
      </w:r>
      <w:r w:rsidR="00C63F8F" w:rsidRPr="00E27443">
        <w:t xml:space="preserve"> </w:t>
      </w:r>
      <w:r w:rsidRPr="00E27443">
        <w:t>country.</w:t>
      </w:r>
      <w:r w:rsidR="00C63F8F" w:rsidRPr="00E27443">
        <w:t xml:space="preserve"> </w:t>
      </w:r>
      <w:r w:rsidRPr="00E27443">
        <w:t>The</w:t>
      </w:r>
      <w:r w:rsidR="00C63F8F" w:rsidRPr="00E27443">
        <w:t xml:space="preserve"> </w:t>
      </w:r>
      <w:r w:rsidRPr="00E27443">
        <w:t>target</w:t>
      </w:r>
      <w:r w:rsidR="00C63F8F" w:rsidRPr="00E27443">
        <w:t xml:space="preserve"> </w:t>
      </w:r>
      <w:r w:rsidRPr="00E27443">
        <w:t>group</w:t>
      </w:r>
      <w:r w:rsidR="00C63F8F" w:rsidRPr="00E27443">
        <w:t xml:space="preserve"> </w:t>
      </w:r>
      <w:r w:rsidRPr="00E27443">
        <w:t>also</w:t>
      </w:r>
      <w:r w:rsidR="00C63F8F" w:rsidRPr="00E27443">
        <w:t xml:space="preserve"> </w:t>
      </w:r>
      <w:r w:rsidRPr="00E27443">
        <w:t>covers</w:t>
      </w:r>
      <w:r w:rsidR="00C63F8F" w:rsidRPr="00E27443">
        <w:t xml:space="preserve"> </w:t>
      </w:r>
      <w:r w:rsidRPr="00E27443">
        <w:t>pupils</w:t>
      </w:r>
      <w:r w:rsidR="00C63F8F" w:rsidRPr="00E27443">
        <w:t xml:space="preserve"> </w:t>
      </w:r>
      <w:r w:rsidRPr="00E27443">
        <w:t>with</w:t>
      </w:r>
      <w:r w:rsidR="00C63F8F" w:rsidRPr="00E27443">
        <w:t xml:space="preserve"> </w:t>
      </w:r>
      <w:r w:rsidRPr="00E27443">
        <w:t>extremely</w:t>
      </w:r>
      <w:r w:rsidR="00C63F8F" w:rsidRPr="00E27443">
        <w:t xml:space="preserve"> </w:t>
      </w:r>
      <w:r w:rsidRPr="00E27443">
        <w:t>complex</w:t>
      </w:r>
      <w:r w:rsidR="00C63F8F" w:rsidRPr="00E27443">
        <w:t xml:space="preserve"> </w:t>
      </w:r>
      <w:r w:rsidRPr="00E27443">
        <w:t>disabilities,</w:t>
      </w:r>
      <w:r w:rsidR="00C63F8F" w:rsidRPr="00E27443">
        <w:t xml:space="preserve"> </w:t>
      </w:r>
      <w:r w:rsidRPr="00E27443">
        <w:t>e.g.</w:t>
      </w:r>
      <w:r w:rsidR="00C63F8F" w:rsidRPr="00E27443">
        <w:t xml:space="preserve"> </w:t>
      </w:r>
      <w:r w:rsidRPr="00E27443">
        <w:t>deaf-blind</w:t>
      </w:r>
      <w:r w:rsidR="00C63F8F" w:rsidRPr="00E27443">
        <w:t xml:space="preserve"> </w:t>
      </w:r>
      <w:r w:rsidRPr="00E27443">
        <w:t>pupils.</w:t>
      </w:r>
    </w:p>
    <w:p w:rsidR="00321ADA" w:rsidRPr="00E27443" w:rsidRDefault="00321ADA" w:rsidP="00DB3DFD">
      <w:pPr>
        <w:pStyle w:val="SingleTxtG"/>
        <w:numPr>
          <w:ilvl w:val="0"/>
          <w:numId w:val="20"/>
        </w:numPr>
        <w:tabs>
          <w:tab w:val="left" w:pos="1843"/>
        </w:tabs>
        <w:ind w:left="1134" w:firstLine="0"/>
      </w:pPr>
      <w:r w:rsidRPr="00E27443">
        <w:t>Following</w:t>
      </w:r>
      <w:r w:rsidR="00C63F8F" w:rsidRPr="00E27443">
        <w:t xml:space="preserve"> </w:t>
      </w:r>
      <w:r w:rsidRPr="00E27443">
        <w:t>agreements</w:t>
      </w:r>
      <w:r w:rsidR="00C63F8F" w:rsidRPr="00E27443">
        <w:t xml:space="preserve"> </w:t>
      </w:r>
      <w:r w:rsidRPr="00E27443">
        <w:t>with</w:t>
      </w:r>
      <w:r w:rsidR="00C63F8F" w:rsidRPr="00E27443">
        <w:t xml:space="preserve"> </w:t>
      </w:r>
      <w:r w:rsidRPr="00E27443">
        <w:t>the</w:t>
      </w:r>
      <w:r w:rsidR="00C63F8F" w:rsidRPr="00E27443">
        <w:t xml:space="preserve"> </w:t>
      </w:r>
      <w:r w:rsidRPr="00E27443">
        <w:t>State,</w:t>
      </w:r>
      <w:r w:rsidR="00C63F8F" w:rsidRPr="00E27443">
        <w:t xml:space="preserve"> </w:t>
      </w:r>
      <w:r w:rsidRPr="00E27443">
        <w:t>four</w:t>
      </w:r>
      <w:r w:rsidR="00C63F8F" w:rsidRPr="00E27443">
        <w:t xml:space="preserve"> </w:t>
      </w:r>
      <w:r w:rsidRPr="00E27443">
        <w:t>municipalities</w:t>
      </w:r>
      <w:r w:rsidR="00C63F8F" w:rsidRPr="00E27443">
        <w:t xml:space="preserve"> </w:t>
      </w:r>
      <w:r w:rsidRPr="00E27443">
        <w:t>are</w:t>
      </w:r>
      <w:r w:rsidR="00C63F8F" w:rsidRPr="00E27443">
        <w:t xml:space="preserve"> </w:t>
      </w:r>
      <w:r w:rsidRPr="00E27443">
        <w:t>conducting</w:t>
      </w:r>
      <w:r w:rsidR="00C63F8F" w:rsidRPr="00E27443">
        <w:t xml:space="preserve"> </w:t>
      </w:r>
      <w:r w:rsidRPr="00E27443">
        <w:t>national</w:t>
      </w:r>
      <w:r w:rsidR="00C63F8F" w:rsidRPr="00E27443">
        <w:t xml:space="preserve"> </w:t>
      </w:r>
      <w:r w:rsidRPr="00E27443">
        <w:t>recruitment</w:t>
      </w:r>
      <w:r w:rsidR="00C63F8F" w:rsidRPr="00E27443">
        <w:t xml:space="preserve"> </w:t>
      </w:r>
      <w:r w:rsidRPr="00E27443">
        <w:t>education</w:t>
      </w:r>
      <w:r w:rsidR="00C63F8F" w:rsidRPr="00E27443">
        <w:t xml:space="preserve"> </w:t>
      </w:r>
      <w:r w:rsidRPr="00E27443">
        <w:t>at</w:t>
      </w:r>
      <w:r w:rsidR="00C63F8F" w:rsidRPr="00E27443">
        <w:t xml:space="preserve"> </w:t>
      </w:r>
      <w:r w:rsidRPr="00DB3DFD">
        <w:t>upper</w:t>
      </w:r>
      <w:r w:rsidR="00C63F8F" w:rsidRPr="00DB3DFD">
        <w:t xml:space="preserve"> </w:t>
      </w:r>
      <w:r w:rsidRPr="00DB3DFD">
        <w:t>secondary</w:t>
      </w:r>
      <w:r w:rsidR="00C63F8F" w:rsidRPr="00DB3DFD">
        <w:t xml:space="preserve"> </w:t>
      </w:r>
      <w:r w:rsidRPr="00DB3DFD">
        <w:t>level</w:t>
      </w:r>
      <w:r w:rsidR="00C63F8F" w:rsidRPr="00E27443">
        <w:t xml:space="preserve"> </w:t>
      </w:r>
      <w:r w:rsidRPr="00E27443">
        <w:t>for</w:t>
      </w:r>
      <w:r w:rsidR="00C63F8F" w:rsidRPr="00E27443">
        <w:t xml:space="preserve"> </w:t>
      </w:r>
      <w:r w:rsidRPr="00E27443">
        <w:t>severely</w:t>
      </w:r>
      <w:r w:rsidR="00C63F8F" w:rsidRPr="00E27443">
        <w:t xml:space="preserve"> </w:t>
      </w:r>
      <w:r w:rsidRPr="00E27443">
        <w:t>disabled</w:t>
      </w:r>
      <w:r w:rsidR="00C63F8F" w:rsidRPr="00E27443">
        <w:t xml:space="preserve"> </w:t>
      </w:r>
      <w:r w:rsidRPr="00E27443">
        <w:t>pupils.</w:t>
      </w:r>
      <w:r w:rsidR="00C63F8F" w:rsidRPr="00E27443">
        <w:t xml:space="preserve"> </w:t>
      </w:r>
      <w:r w:rsidRPr="00E27443">
        <w:t>To</w:t>
      </w:r>
      <w:r w:rsidR="00C63F8F" w:rsidRPr="00E27443">
        <w:t xml:space="preserve"> </w:t>
      </w:r>
      <w:r w:rsidRPr="00E27443">
        <w:t>the</w:t>
      </w:r>
      <w:r w:rsidR="00C63F8F" w:rsidRPr="00E27443">
        <w:t xml:space="preserve"> </w:t>
      </w:r>
      <w:r w:rsidRPr="00E27443">
        <w:t>extent</w:t>
      </w:r>
      <w:r w:rsidR="00C63F8F" w:rsidRPr="00E27443">
        <w:t xml:space="preserve"> </w:t>
      </w:r>
      <w:r w:rsidRPr="00E27443">
        <w:t>it</w:t>
      </w:r>
      <w:r w:rsidR="00C63F8F" w:rsidRPr="00E27443">
        <w:t xml:space="preserve"> </w:t>
      </w:r>
      <w:r w:rsidRPr="00E27443">
        <w:t>is</w:t>
      </w:r>
      <w:r w:rsidR="00C63F8F" w:rsidRPr="00E27443">
        <w:t xml:space="preserve"> </w:t>
      </w:r>
      <w:r w:rsidRPr="00E27443">
        <w:t>possible,</w:t>
      </w:r>
      <w:r w:rsidR="00C63F8F" w:rsidRPr="00E27443">
        <w:t xml:space="preserve"> </w:t>
      </w:r>
      <w:r w:rsidRPr="00E27443">
        <w:t>the</w:t>
      </w:r>
      <w:r w:rsidR="00C63F8F" w:rsidRPr="00E27443">
        <w:t xml:space="preserve"> </w:t>
      </w:r>
      <w:r w:rsidRPr="00E27443">
        <w:t>education</w:t>
      </w:r>
      <w:r w:rsidR="00C63F8F" w:rsidRPr="00E27443">
        <w:t xml:space="preserve"> </w:t>
      </w:r>
      <w:r w:rsidRPr="00E27443">
        <w:t>must</w:t>
      </w:r>
      <w:r w:rsidR="00C63F8F" w:rsidRPr="00E27443">
        <w:t xml:space="preserve"> </w:t>
      </w:r>
      <w:r w:rsidRPr="00E27443">
        <w:t>be</w:t>
      </w:r>
      <w:r w:rsidR="00C63F8F" w:rsidRPr="00E27443">
        <w:t xml:space="preserve"> </w:t>
      </w:r>
      <w:r w:rsidRPr="00E27443">
        <w:t>integrated</w:t>
      </w:r>
      <w:r w:rsidR="00C63F8F" w:rsidRPr="00E27443">
        <w:t xml:space="preserve"> </w:t>
      </w:r>
      <w:r w:rsidRPr="00E27443">
        <w:t>with</w:t>
      </w:r>
      <w:r w:rsidR="00C63F8F" w:rsidRPr="00E27443">
        <w:t xml:space="preserve"> </w:t>
      </w:r>
      <w:r w:rsidRPr="00E27443">
        <w:t>corresponding</w:t>
      </w:r>
      <w:r w:rsidR="00C63F8F" w:rsidRPr="00E27443">
        <w:t xml:space="preserve"> </w:t>
      </w:r>
      <w:r w:rsidRPr="00E27443">
        <w:t>regular</w:t>
      </w:r>
      <w:r w:rsidR="00C63F8F" w:rsidRPr="00E27443">
        <w:t xml:space="preserve"> </w:t>
      </w:r>
      <w:r w:rsidRPr="00E27443">
        <w:t>education</w:t>
      </w:r>
      <w:r w:rsidR="00C63F8F" w:rsidRPr="00E27443">
        <w:t xml:space="preserve"> </w:t>
      </w:r>
      <w:r w:rsidRPr="00E27443">
        <w:t>in</w:t>
      </w:r>
      <w:r w:rsidR="00C63F8F" w:rsidRPr="00E27443">
        <w:t xml:space="preserve"> </w:t>
      </w:r>
      <w:r w:rsidRPr="00E27443">
        <w:t>the</w:t>
      </w:r>
      <w:r w:rsidR="00C63F8F" w:rsidRPr="00E27443">
        <w:t xml:space="preserve"> </w:t>
      </w:r>
      <w:r w:rsidRPr="00E27443">
        <w:t>municipality</w:t>
      </w:r>
      <w:r w:rsidR="00C63F8F" w:rsidRPr="00E27443">
        <w:t>’</w:t>
      </w:r>
      <w:r w:rsidRPr="00E27443">
        <w:t>s</w:t>
      </w:r>
      <w:r w:rsidR="00C63F8F" w:rsidRPr="00E27443">
        <w:t xml:space="preserve"> </w:t>
      </w:r>
      <w:r w:rsidRPr="00E27443">
        <w:t>upper</w:t>
      </w:r>
      <w:r w:rsidR="00C63F8F" w:rsidRPr="00E27443">
        <w:t xml:space="preserve"> </w:t>
      </w:r>
      <w:r w:rsidRPr="00E27443">
        <w:t>secondary</w:t>
      </w:r>
      <w:r w:rsidR="00C63F8F" w:rsidRPr="00E27443">
        <w:t xml:space="preserve"> </w:t>
      </w:r>
      <w:r w:rsidRPr="00E27443">
        <w:t>school.</w:t>
      </w:r>
    </w:p>
    <w:p w:rsidR="00321ADA" w:rsidRPr="00E27443" w:rsidRDefault="00321ADA" w:rsidP="00DB3DFD">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initiated</w:t>
      </w:r>
      <w:r w:rsidR="00C63F8F" w:rsidRPr="00E27443">
        <w:t xml:space="preserve"> </w:t>
      </w:r>
      <w:r w:rsidRPr="00E27443">
        <w:t>several</w:t>
      </w:r>
      <w:r w:rsidR="00C63F8F" w:rsidRPr="00E27443">
        <w:t xml:space="preserve"> </w:t>
      </w:r>
      <w:r w:rsidRPr="00E27443">
        <w:t>reforms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clarify</w:t>
      </w:r>
      <w:r w:rsidR="00C63F8F" w:rsidRPr="00E27443">
        <w:t xml:space="preserve"> </w:t>
      </w:r>
      <w:r w:rsidRPr="00E27443">
        <w:t>the</w:t>
      </w:r>
      <w:r w:rsidR="00C63F8F" w:rsidRPr="00E27443">
        <w:t xml:space="preserve"> </w:t>
      </w:r>
      <w:r w:rsidRPr="00E27443">
        <w:t>knowledge</w:t>
      </w:r>
      <w:r w:rsidR="00C63F8F" w:rsidRPr="00E27443">
        <w:t xml:space="preserve"> </w:t>
      </w:r>
      <w:r w:rsidRPr="00E27443">
        <w:t>requirements</w:t>
      </w:r>
      <w:r w:rsidR="00C63F8F" w:rsidRPr="00E27443">
        <w:t xml:space="preserve"> </w:t>
      </w:r>
      <w:r w:rsidRPr="00E27443">
        <w:t>in</w:t>
      </w:r>
      <w:r w:rsidR="00C63F8F" w:rsidRPr="00E27443">
        <w:t xml:space="preserve"> </w:t>
      </w:r>
      <w:r w:rsidRPr="00E27443">
        <w:t>compulsory</w:t>
      </w:r>
      <w:r w:rsidR="00C63F8F" w:rsidRPr="00E27443">
        <w:t xml:space="preserve"> </w:t>
      </w:r>
      <w:r w:rsidRPr="00E27443">
        <w:t>elementary</w:t>
      </w:r>
      <w:r w:rsidR="00C63F8F" w:rsidRPr="00E27443">
        <w:t xml:space="preserve"> </w:t>
      </w:r>
      <w:r w:rsidRPr="00E27443">
        <w:t>school</w:t>
      </w:r>
      <w:r w:rsidR="00C63F8F" w:rsidRPr="00E27443">
        <w:t xml:space="preserve"> </w:t>
      </w:r>
      <w:r w:rsidRPr="00E27443">
        <w:t>from</w:t>
      </w:r>
      <w:r w:rsidR="00C63F8F" w:rsidRPr="00E27443">
        <w:t xml:space="preserve"> </w:t>
      </w:r>
      <w:r w:rsidRPr="00E27443">
        <w:t>an</w:t>
      </w:r>
      <w:r w:rsidR="00C63F8F" w:rsidRPr="00E27443">
        <w:t xml:space="preserve"> </w:t>
      </w:r>
      <w:r w:rsidRPr="00E27443">
        <w:t>early</w:t>
      </w:r>
      <w:r w:rsidR="00C63F8F" w:rsidRPr="00E27443">
        <w:t xml:space="preserve"> </w:t>
      </w:r>
      <w:r w:rsidRPr="00E27443">
        <w:t>stage.</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goals</w:t>
      </w:r>
      <w:r w:rsidR="00C63F8F" w:rsidRPr="00E27443">
        <w:t xml:space="preserve"> </w:t>
      </w:r>
      <w:r w:rsidRPr="00E27443">
        <w:t>and</w:t>
      </w:r>
      <w:r w:rsidR="00C63F8F" w:rsidRPr="00E27443">
        <w:t xml:space="preserve"> </w:t>
      </w:r>
      <w:r w:rsidRPr="00E27443">
        <w:t>knowledge</w:t>
      </w:r>
      <w:r w:rsidR="00C63F8F" w:rsidRPr="00E27443">
        <w:t xml:space="preserve"> </w:t>
      </w:r>
      <w:r w:rsidRPr="00E27443">
        <w:t>requirements</w:t>
      </w:r>
      <w:r w:rsidR="00C63F8F" w:rsidRPr="00E27443">
        <w:t xml:space="preserve"> </w:t>
      </w:r>
      <w:r w:rsidRPr="00E27443">
        <w:t>are</w:t>
      </w:r>
      <w:r w:rsidR="00C63F8F" w:rsidRPr="00E27443">
        <w:t xml:space="preserve"> </w:t>
      </w:r>
      <w:r w:rsidRPr="00E27443">
        <w:t>clarified,</w:t>
      </w:r>
      <w:r w:rsidR="00C63F8F" w:rsidRPr="00E27443">
        <w:t xml:space="preserve"> </w:t>
      </w:r>
      <w:r w:rsidRPr="00E27443">
        <w:t>and</w:t>
      </w:r>
      <w:r w:rsidR="00C63F8F" w:rsidRPr="00E27443">
        <w:t xml:space="preserve"> </w:t>
      </w:r>
      <w:r w:rsidRPr="00E27443">
        <w:t>that</w:t>
      </w:r>
      <w:r w:rsidR="00C63F8F" w:rsidRPr="00E27443">
        <w:t xml:space="preserve"> </w:t>
      </w:r>
      <w:r w:rsidRPr="00E27443">
        <w:t>these</w:t>
      </w:r>
      <w:r w:rsidR="00C63F8F" w:rsidRPr="00E27443">
        <w:t xml:space="preserve"> </w:t>
      </w:r>
      <w:r w:rsidRPr="00E27443">
        <w:t>are</w:t>
      </w:r>
      <w:r w:rsidR="00C63F8F" w:rsidRPr="00E27443">
        <w:t xml:space="preserve"> </w:t>
      </w:r>
      <w:r w:rsidRPr="00E27443">
        <w:t>communicated</w:t>
      </w:r>
      <w:r w:rsidR="00C63F8F" w:rsidRPr="00E27443">
        <w:t xml:space="preserve"> </w:t>
      </w:r>
      <w:r w:rsidRPr="00E27443">
        <w:t>with</w:t>
      </w:r>
      <w:r w:rsidR="00C63F8F" w:rsidRPr="00E27443">
        <w:t xml:space="preserve"> </w:t>
      </w:r>
      <w:r w:rsidRPr="00E27443">
        <w:t>the</w:t>
      </w:r>
      <w:r w:rsidR="00C63F8F" w:rsidRPr="00E27443">
        <w:t xml:space="preserve"> </w:t>
      </w:r>
      <w:r w:rsidRPr="00E27443">
        <w:t>pupils</w:t>
      </w:r>
      <w:r w:rsidR="00C63F8F" w:rsidRPr="00E27443">
        <w:t xml:space="preserve"> </w:t>
      </w:r>
      <w:r w:rsidRPr="00E27443">
        <w:t>and</w:t>
      </w:r>
      <w:r w:rsidR="00C63F8F" w:rsidRPr="00E27443">
        <w:t xml:space="preserve"> </w:t>
      </w:r>
      <w:r w:rsidRPr="00E27443">
        <w:t>their</w:t>
      </w:r>
      <w:r w:rsidR="00C63F8F" w:rsidRPr="00E27443">
        <w:t xml:space="preserve"> </w:t>
      </w:r>
      <w:r w:rsidRPr="00E27443">
        <w:t>guardians,</w:t>
      </w:r>
      <w:r w:rsidR="00C63F8F" w:rsidRPr="00E27443">
        <w:t xml:space="preserve"> </w:t>
      </w:r>
      <w:r w:rsidRPr="00E27443">
        <w:t>is</w:t>
      </w:r>
      <w:r w:rsidR="00C63F8F" w:rsidRPr="00E27443">
        <w:t xml:space="preserve"> </w:t>
      </w:r>
      <w:r w:rsidRPr="00E27443">
        <w:t>a</w:t>
      </w:r>
      <w:r w:rsidR="00C63F8F" w:rsidRPr="00E27443">
        <w:t xml:space="preserve"> </w:t>
      </w:r>
      <w:r w:rsidRPr="00E27443">
        <w:t>precondition</w:t>
      </w:r>
      <w:r w:rsidR="00C63F8F" w:rsidRPr="00E27443">
        <w:t xml:space="preserve"> </w:t>
      </w:r>
      <w:r w:rsidRPr="00E27443">
        <w:t>for</w:t>
      </w:r>
      <w:r w:rsidR="00C63F8F" w:rsidRPr="00E27443">
        <w:t xml:space="preserve"> </w:t>
      </w:r>
      <w:r w:rsidRPr="00E27443">
        <w:t>identifying</w:t>
      </w:r>
      <w:r w:rsidR="00C63F8F" w:rsidRPr="00E27443">
        <w:t xml:space="preserve"> </w:t>
      </w:r>
      <w:r w:rsidRPr="00E27443">
        <w:t>children</w:t>
      </w:r>
      <w:r w:rsidR="00C63F8F" w:rsidRPr="00E27443">
        <w:t xml:space="preserve"> </w:t>
      </w:r>
      <w:r w:rsidRPr="00E27443">
        <w:t>early</w:t>
      </w:r>
      <w:r w:rsidR="00C63F8F" w:rsidRPr="00E27443">
        <w:t xml:space="preserve"> </w:t>
      </w:r>
      <w:r w:rsidRPr="00E27443">
        <w:t>on</w:t>
      </w:r>
      <w:r w:rsidR="00C63F8F" w:rsidRPr="00E27443">
        <w:t xml:space="preserve"> </w:t>
      </w:r>
      <w:r w:rsidRPr="00E27443">
        <w:t>who</w:t>
      </w:r>
      <w:r w:rsidR="00C63F8F" w:rsidRPr="00E27443">
        <w:t xml:space="preserve"> </w:t>
      </w:r>
      <w:r w:rsidRPr="00E27443">
        <w:t>are</w:t>
      </w:r>
      <w:r w:rsidR="00C63F8F" w:rsidRPr="00E27443">
        <w:t xml:space="preserve"> </w:t>
      </w:r>
      <w:r w:rsidRPr="00E27443">
        <w:t>in</w:t>
      </w:r>
      <w:r w:rsidR="00C63F8F" w:rsidRPr="00E27443">
        <w:t xml:space="preserve"> </w:t>
      </w:r>
      <w:r w:rsidRPr="00E27443">
        <w:t>need</w:t>
      </w:r>
      <w:r w:rsidR="00C63F8F" w:rsidRPr="00E27443">
        <w:t xml:space="preserve"> </w:t>
      </w:r>
      <w:r w:rsidRPr="00E27443">
        <w:t>of</w:t>
      </w:r>
      <w:r w:rsidR="00C63F8F" w:rsidRPr="00E27443">
        <w:t xml:space="preserve"> </w:t>
      </w:r>
      <w:r w:rsidRPr="00E27443">
        <w:t>special</w:t>
      </w:r>
      <w:r w:rsidR="00C63F8F" w:rsidRPr="00E27443">
        <w:t xml:space="preserve"> </w:t>
      </w:r>
      <w:r w:rsidRPr="00E27443">
        <w:t>support.</w:t>
      </w:r>
      <w:r w:rsidR="00C63F8F" w:rsidRPr="00E27443">
        <w:t xml:space="preserve"> </w:t>
      </w:r>
    </w:p>
    <w:p w:rsidR="00321ADA" w:rsidRPr="00E27443" w:rsidRDefault="00321ADA" w:rsidP="00DB3DFD">
      <w:pPr>
        <w:pStyle w:val="SingleTxtG"/>
        <w:numPr>
          <w:ilvl w:val="0"/>
          <w:numId w:val="20"/>
        </w:numPr>
        <w:tabs>
          <w:tab w:val="left" w:pos="1843"/>
        </w:tabs>
        <w:ind w:left="1134" w:firstLine="0"/>
      </w:pPr>
      <w:r w:rsidRPr="00E27443">
        <w:t>The</w:t>
      </w:r>
      <w:r w:rsidR="00C63F8F" w:rsidRPr="00E27443">
        <w:t xml:space="preserve"> </w:t>
      </w:r>
      <w:r w:rsidRPr="00E27443">
        <w:t>instruction</w:t>
      </w:r>
      <w:r w:rsidR="00C63F8F" w:rsidRPr="00E27443">
        <w:t xml:space="preserve"> </w:t>
      </w:r>
      <w:r w:rsidRPr="00E27443">
        <w:t>in</w:t>
      </w:r>
      <w:r w:rsidR="00C63F8F" w:rsidRPr="00E27443">
        <w:t xml:space="preserve"> </w:t>
      </w:r>
      <w:r w:rsidRPr="00E27443">
        <w:t>child</w:t>
      </w:r>
      <w:r w:rsidR="00C63F8F" w:rsidRPr="00E27443">
        <w:t xml:space="preserve"> </w:t>
      </w:r>
      <w:r w:rsidRPr="00E27443">
        <w:t>and</w:t>
      </w:r>
      <w:r w:rsidR="00C63F8F" w:rsidRPr="00E27443">
        <w:t xml:space="preserve"> </w:t>
      </w:r>
      <w:r w:rsidRPr="00E27443">
        <w:t>youth</w:t>
      </w:r>
      <w:r w:rsidR="00C63F8F" w:rsidRPr="00E27443">
        <w:t xml:space="preserve"> </w:t>
      </w:r>
      <w:r w:rsidRPr="00E27443">
        <w:t>education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adult</w:t>
      </w:r>
      <w:r w:rsidR="00C63F8F" w:rsidRPr="00E27443">
        <w:t xml:space="preserve"> </w:t>
      </w:r>
      <w:r w:rsidRPr="00E27443">
        <w:t>education</w:t>
      </w:r>
      <w:r w:rsidR="00C63F8F" w:rsidRPr="00E27443">
        <w:t xml:space="preserve"> </w:t>
      </w:r>
      <w:r w:rsidRPr="00E27443">
        <w:t>must</w:t>
      </w:r>
      <w:r w:rsidR="00C63F8F" w:rsidRPr="00E27443">
        <w:t xml:space="preserve"> </w:t>
      </w:r>
      <w:r w:rsidRPr="00E27443">
        <w:t>be</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situations</w:t>
      </w:r>
      <w:r w:rsidR="00C63F8F" w:rsidRPr="00E27443">
        <w:t xml:space="preserve"> </w:t>
      </w:r>
      <w:r w:rsidRPr="00E27443">
        <w:t>and</w:t>
      </w:r>
      <w:r w:rsidR="00C63F8F" w:rsidRPr="00E27443">
        <w:t xml:space="preserve"> </w:t>
      </w:r>
      <w:r w:rsidRPr="00E27443">
        <w:t>needs</w:t>
      </w:r>
      <w:r w:rsidR="00C63F8F" w:rsidRPr="00E27443">
        <w:t xml:space="preserve"> </w:t>
      </w:r>
      <w:r w:rsidRPr="00E27443">
        <w:t>of</w:t>
      </w:r>
      <w:r w:rsidR="00C63F8F" w:rsidRPr="00E27443">
        <w:t xml:space="preserve"> </w:t>
      </w:r>
      <w:r w:rsidRPr="00E27443">
        <w:t>the</w:t>
      </w:r>
      <w:r w:rsidR="00C63F8F" w:rsidRPr="00E27443">
        <w:t xml:space="preserve"> </w:t>
      </w:r>
      <w:r w:rsidRPr="00E27443">
        <w:t>pupils.</w:t>
      </w:r>
      <w:r w:rsidR="00C63F8F" w:rsidRPr="00E27443">
        <w:t xml:space="preserve"> </w:t>
      </w:r>
      <w:r w:rsidRPr="00E27443">
        <w:t>All</w:t>
      </w:r>
      <w:r w:rsidR="00C63F8F" w:rsidRPr="00E27443">
        <w:t xml:space="preserve"> </w:t>
      </w:r>
      <w:r w:rsidRPr="00E27443">
        <w:t>pupils</w:t>
      </w:r>
      <w:r w:rsidR="00C63F8F" w:rsidRPr="00E27443">
        <w:t xml:space="preserve"> </w:t>
      </w:r>
      <w:r w:rsidRPr="00E27443">
        <w:t>in</w:t>
      </w:r>
      <w:r w:rsidR="00C63F8F" w:rsidRPr="00E27443">
        <w:t xml:space="preserve"> </w:t>
      </w:r>
      <w:r w:rsidRPr="00E27443">
        <w:t>the</w:t>
      </w:r>
      <w:r w:rsidR="00C63F8F" w:rsidRPr="00E27443">
        <w:t xml:space="preserve"> </w:t>
      </w:r>
      <w:r w:rsidRPr="00E27443">
        <w:t>education</w:t>
      </w:r>
      <w:r w:rsidR="00C63F8F" w:rsidRPr="00E27443">
        <w:t xml:space="preserve"> </w:t>
      </w:r>
      <w:r w:rsidRPr="00E27443">
        <w:t>system</w:t>
      </w:r>
      <w:r w:rsidR="00C63F8F" w:rsidRPr="00E27443">
        <w:t xml:space="preserve"> </w:t>
      </w:r>
      <w:r w:rsidRPr="00E27443">
        <w:t>for</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people</w:t>
      </w:r>
      <w:r w:rsidR="00C63F8F" w:rsidRPr="00E27443">
        <w:t xml:space="preserve"> </w:t>
      </w:r>
      <w:r w:rsidRPr="00E27443">
        <w:t>are</w:t>
      </w:r>
      <w:r w:rsidR="00C63F8F" w:rsidRPr="00E27443">
        <w:t xml:space="preserve"> </w:t>
      </w:r>
      <w:r w:rsidRPr="00E27443">
        <w:t>entitled</w:t>
      </w:r>
      <w:r w:rsidR="00C63F8F" w:rsidRPr="00E27443">
        <w:t xml:space="preserve"> </w:t>
      </w:r>
      <w:r w:rsidRPr="00E27443">
        <w:t>to</w:t>
      </w:r>
      <w:r w:rsidR="00C63F8F" w:rsidRPr="00E27443">
        <w:t xml:space="preserve"> </w:t>
      </w:r>
      <w:r w:rsidRPr="00DB3DFD">
        <w:t>special</w:t>
      </w:r>
      <w:r w:rsidR="00C63F8F" w:rsidRPr="00DB3DFD">
        <w:t xml:space="preserve"> </w:t>
      </w:r>
      <w:r w:rsidRPr="00DB3DFD">
        <w:t>support</w:t>
      </w:r>
      <w:r w:rsidR="00C63F8F" w:rsidRPr="00E27443">
        <w:t xml:space="preserve"> </w:t>
      </w:r>
      <w:r w:rsidRPr="00E27443">
        <w:t>should</w:t>
      </w:r>
      <w:r w:rsidR="00C63F8F" w:rsidRPr="00E27443">
        <w:t xml:space="preserve"> </w:t>
      </w:r>
      <w:r w:rsidRPr="00E27443">
        <w:t>they</w:t>
      </w:r>
      <w:r w:rsidR="00C63F8F" w:rsidRPr="00E27443">
        <w:t xml:space="preserve"> </w:t>
      </w:r>
      <w:r w:rsidRPr="00E27443">
        <w:t>require</w:t>
      </w:r>
      <w:r w:rsidR="00C63F8F" w:rsidRPr="00E27443">
        <w:t xml:space="preserve"> </w:t>
      </w:r>
      <w:r w:rsidRPr="00E27443">
        <w:t>it.</w:t>
      </w:r>
      <w:r w:rsidR="00C63F8F" w:rsidRPr="00E27443">
        <w:t xml:space="preserve"> </w:t>
      </w:r>
      <w:r w:rsidRPr="00E27443">
        <w:t>Special</w:t>
      </w:r>
      <w:r w:rsidR="00C63F8F" w:rsidRPr="00E27443">
        <w:t xml:space="preserve"> </w:t>
      </w:r>
      <w:r w:rsidRPr="00E27443">
        <w:t>support</w:t>
      </w:r>
      <w:r w:rsidR="00C63F8F" w:rsidRPr="00E27443">
        <w:t xml:space="preserve"> </w:t>
      </w:r>
      <w:r w:rsidRPr="00E27443">
        <w:t>might</w:t>
      </w:r>
      <w:r w:rsidR="00C63F8F" w:rsidRPr="00E27443">
        <w:t xml:space="preserve"> </w:t>
      </w:r>
      <w:r w:rsidRPr="00E27443">
        <w:t>include</w:t>
      </w:r>
      <w:r w:rsidR="00C63F8F" w:rsidRPr="00E27443">
        <w:t xml:space="preserve"> </w:t>
      </w:r>
      <w:r w:rsidRPr="00E27443">
        <w:t>personal</w:t>
      </w:r>
      <w:r w:rsidR="00C63F8F" w:rsidRPr="00E27443">
        <w:t xml:space="preserve"> </w:t>
      </w:r>
      <w:r w:rsidRPr="00E27443">
        <w:t>assistance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special</w:t>
      </w:r>
      <w:r w:rsidR="00C63F8F" w:rsidRPr="00E27443">
        <w:t xml:space="preserve"> </w:t>
      </w:r>
      <w:r w:rsidRPr="00E27443">
        <w:t>teaching</w:t>
      </w:r>
      <w:r w:rsidR="00C63F8F" w:rsidRPr="00E27443">
        <w:t xml:space="preserve"> </w:t>
      </w:r>
      <w:r w:rsidRPr="00E27443">
        <w:t>aids</w:t>
      </w:r>
      <w:r w:rsidR="00C63F8F" w:rsidRPr="00E27443">
        <w:t xml:space="preserve"> </w:t>
      </w:r>
      <w:r w:rsidRPr="00E27443">
        <w:t>and</w:t>
      </w:r>
      <w:r w:rsidR="00C63F8F" w:rsidRPr="00E27443">
        <w:t xml:space="preserve"> </w:t>
      </w:r>
      <w:r w:rsidRPr="00E27443">
        <w:t>tools.</w:t>
      </w:r>
      <w:r w:rsidR="00C63F8F" w:rsidRPr="00E27443">
        <w:t xml:space="preserve"> </w:t>
      </w:r>
      <w:r w:rsidRPr="00E27443">
        <w:t>The</w:t>
      </w:r>
      <w:r w:rsidR="00C63F8F" w:rsidRPr="00E27443">
        <w:t xml:space="preserve"> </w:t>
      </w:r>
      <w:r w:rsidRPr="00E27443">
        <w:t>headteacher</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this</w:t>
      </w:r>
      <w:r w:rsidR="00C63F8F" w:rsidRPr="00E27443">
        <w:t xml:space="preserve"> </w:t>
      </w:r>
      <w:r w:rsidRPr="00E27443">
        <w:t>being</w:t>
      </w:r>
      <w:r w:rsidR="00C63F8F" w:rsidRPr="00E27443">
        <w:t xml:space="preserve"> </w:t>
      </w:r>
      <w:r w:rsidRPr="00E27443">
        <w:t>investigated</w:t>
      </w:r>
      <w:r w:rsidR="00C63F8F" w:rsidRPr="00E27443">
        <w:t xml:space="preserve"> </w:t>
      </w:r>
      <w:r w:rsidRPr="00E27443">
        <w:t>and</w:t>
      </w:r>
      <w:r w:rsidR="00C63F8F" w:rsidRPr="00E27443">
        <w:t xml:space="preserve"> </w:t>
      </w:r>
      <w:r w:rsidRPr="00E27443">
        <w:t>for</w:t>
      </w:r>
      <w:r w:rsidR="00C63F8F" w:rsidRPr="00E27443">
        <w:t xml:space="preserve"> </w:t>
      </w:r>
      <w:r w:rsidRPr="00E27443">
        <w:t>an</w:t>
      </w:r>
      <w:r w:rsidR="00C63F8F" w:rsidRPr="00E27443">
        <w:t xml:space="preserve"> </w:t>
      </w:r>
      <w:r w:rsidRPr="00E27443">
        <w:t>action</w:t>
      </w:r>
      <w:r w:rsidR="00C63F8F" w:rsidRPr="00E27443">
        <w:t xml:space="preserve"> </w:t>
      </w:r>
      <w:r w:rsidRPr="00E27443">
        <w:t>plan</w:t>
      </w:r>
      <w:r w:rsidR="00C63F8F" w:rsidRPr="00E27443">
        <w:t xml:space="preserve"> </w:t>
      </w:r>
      <w:r w:rsidRPr="00E27443">
        <w:t>being</w:t>
      </w:r>
      <w:r w:rsidR="00C63F8F" w:rsidRPr="00E27443">
        <w:t xml:space="preserve"> </w:t>
      </w:r>
      <w:r w:rsidRPr="00E27443">
        <w:t>drawn</w:t>
      </w:r>
      <w:r w:rsidR="00C63F8F" w:rsidRPr="00E27443">
        <w:t xml:space="preserve"> </w:t>
      </w:r>
      <w:r w:rsidRPr="00E27443">
        <w:t>up</w:t>
      </w:r>
      <w:r w:rsidR="00C63F8F" w:rsidRPr="00E27443">
        <w:t xml:space="preserve"> </w:t>
      </w:r>
      <w:r w:rsidRPr="00E27443">
        <w:t>together</w:t>
      </w:r>
      <w:r w:rsidR="00C63F8F" w:rsidRPr="00E27443">
        <w:t xml:space="preserve"> </w:t>
      </w:r>
      <w:r w:rsidRPr="00E27443">
        <w:t>with</w:t>
      </w:r>
      <w:r w:rsidR="00C63F8F" w:rsidRPr="00E27443">
        <w:t xml:space="preserve"> </w:t>
      </w:r>
      <w:r w:rsidRPr="00E27443">
        <w:t>the</w:t>
      </w:r>
      <w:r w:rsidR="00C63F8F" w:rsidRPr="00E27443">
        <w:t xml:space="preserve"> </w:t>
      </w:r>
      <w:r w:rsidRPr="00E27443">
        <w:t>pupil</w:t>
      </w:r>
      <w:r w:rsidR="00C63F8F" w:rsidRPr="00E27443">
        <w:t xml:space="preserve"> </w:t>
      </w:r>
      <w:r w:rsidRPr="00E27443">
        <w:t>and</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guardians.</w:t>
      </w:r>
      <w:r w:rsidR="00C63F8F" w:rsidRPr="00E27443">
        <w:t xml:space="preserve"> </w:t>
      </w:r>
      <w:r w:rsidRPr="00E27443">
        <w:t>In</w:t>
      </w:r>
      <w:r w:rsidR="00C63F8F" w:rsidRPr="00E27443">
        <w:t xml:space="preserve"> </w:t>
      </w:r>
      <w:r w:rsidRPr="00E27443">
        <w:t>June</w:t>
      </w:r>
      <w:r w:rsidR="00C63F8F" w:rsidRPr="00E27443">
        <w:t xml:space="preserve"> </w:t>
      </w:r>
      <w:r w:rsidRPr="00E27443">
        <w:t>2010,</w:t>
      </w:r>
      <w:r w:rsidR="00C63F8F" w:rsidRPr="00E27443">
        <w:t xml:space="preserve"> </w:t>
      </w:r>
      <w:r w:rsidRPr="00E27443">
        <w:t>Parliament</w:t>
      </w:r>
      <w:r w:rsidR="00C63F8F" w:rsidRPr="00E27443">
        <w:t xml:space="preserve"> </w:t>
      </w:r>
      <w:r w:rsidRPr="00E27443">
        <w:t>reached</w:t>
      </w:r>
      <w:r w:rsidR="00C63F8F" w:rsidRPr="00E27443">
        <w:t xml:space="preserve"> </w:t>
      </w:r>
      <w:r w:rsidRPr="00E27443">
        <w:t>a</w:t>
      </w:r>
      <w:r w:rsidR="00C63F8F" w:rsidRPr="00E27443">
        <w:t xml:space="preserve"> </w:t>
      </w:r>
      <w:r w:rsidRPr="00E27443">
        <w:t>decision</w:t>
      </w:r>
      <w:r w:rsidR="00C63F8F" w:rsidRPr="00E27443">
        <w:t xml:space="preserve"> </w:t>
      </w:r>
      <w:r w:rsidRPr="00E27443">
        <w:t>on</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proposal</w:t>
      </w:r>
      <w:r w:rsidR="00C63F8F" w:rsidRPr="00E27443">
        <w:t xml:space="preserve"> </w:t>
      </w:r>
      <w:r w:rsidRPr="00E27443">
        <w:t>regarding</w:t>
      </w:r>
      <w:r w:rsidR="00C63F8F" w:rsidRPr="00E27443">
        <w:t xml:space="preserve"> </w:t>
      </w:r>
      <w:r w:rsidRPr="00E27443">
        <w:t>a</w:t>
      </w:r>
      <w:r w:rsidR="00C63F8F" w:rsidRPr="00E27443">
        <w:t xml:space="preserve"> </w:t>
      </w:r>
      <w:r w:rsidRPr="00E27443">
        <w:t>new</w:t>
      </w:r>
      <w:r w:rsidR="00C63F8F" w:rsidRPr="00E27443">
        <w:t xml:space="preserve"> </w:t>
      </w:r>
      <w:r w:rsidRPr="00E27443">
        <w:t>Education</w:t>
      </w:r>
      <w:r w:rsidR="00C63F8F" w:rsidRPr="00E27443">
        <w:t xml:space="preserve"> </w:t>
      </w:r>
      <w:r w:rsidRPr="00E27443">
        <w:t>Act.</w:t>
      </w:r>
      <w:r w:rsidR="001775F1" w:rsidRPr="00E27443">
        <w:rPr>
          <w:rStyle w:val="FootnoteReference"/>
        </w:rPr>
        <w:footnoteReference w:id="99"/>
      </w:r>
      <w:r w:rsidR="00C63F8F" w:rsidRPr="00E27443">
        <w:t xml:space="preserve"> </w:t>
      </w:r>
      <w:r w:rsidRPr="00E27443">
        <w:t>The</w:t>
      </w:r>
      <w:r w:rsidR="00C63F8F" w:rsidRPr="00E27443">
        <w:t xml:space="preserve"> </w:t>
      </w:r>
      <w:r w:rsidRPr="00E27443">
        <w:t>new</w:t>
      </w:r>
      <w:r w:rsidR="00C63F8F" w:rsidRPr="00E27443">
        <w:t xml:space="preserve"> </w:t>
      </w:r>
      <w:r w:rsidRPr="00E27443">
        <w:t>Act</w:t>
      </w:r>
      <w:r w:rsidR="00C63F8F" w:rsidRPr="00E27443">
        <w:t xml:space="preserve"> </w:t>
      </w:r>
      <w:r w:rsidRPr="00E27443">
        <w:t>will</w:t>
      </w:r>
      <w:r w:rsidR="00C63F8F" w:rsidRPr="00E27443">
        <w:t xml:space="preserve"> </w:t>
      </w:r>
      <w:r w:rsidRPr="00E27443">
        <w:t>come</w:t>
      </w:r>
      <w:r w:rsidR="00C63F8F" w:rsidRPr="00E27443">
        <w:t xml:space="preserve"> </w:t>
      </w:r>
      <w:r w:rsidRPr="00E27443">
        <w:t>into</w:t>
      </w:r>
      <w:r w:rsidR="00C63F8F" w:rsidRPr="00E27443">
        <w:t xml:space="preserve"> </w:t>
      </w:r>
      <w:r w:rsidRPr="00E27443">
        <w:t>effect</w:t>
      </w:r>
      <w:r w:rsidR="00C63F8F" w:rsidRPr="00E27443">
        <w:t xml:space="preserve"> </w:t>
      </w:r>
      <w:r w:rsidRPr="00E27443">
        <w:t>on</w:t>
      </w:r>
      <w:r w:rsidR="00C63F8F" w:rsidRPr="00E27443">
        <w:t xml:space="preserve"> </w:t>
      </w:r>
      <w:r w:rsidRPr="00E27443">
        <w:t>1</w:t>
      </w:r>
      <w:r w:rsidR="00C63F8F" w:rsidRPr="00E27443">
        <w:t xml:space="preserve"> </w:t>
      </w:r>
      <w:r w:rsidRPr="00E27443">
        <w:t>July</w:t>
      </w:r>
      <w:r w:rsidR="00C63F8F" w:rsidRPr="00E27443">
        <w:t xml:space="preserve"> </w:t>
      </w:r>
      <w:r w:rsidRPr="00E27443">
        <w:t>2011</w:t>
      </w:r>
      <w:r w:rsidR="00C63F8F" w:rsidRPr="00E27443">
        <w:t xml:space="preserve"> </w:t>
      </w:r>
      <w:r w:rsidRPr="00E27443">
        <w:t>and</w:t>
      </w:r>
      <w:r w:rsidR="00C63F8F" w:rsidRPr="00E27443">
        <w:t xml:space="preserve"> </w:t>
      </w:r>
      <w:r w:rsidRPr="00E27443">
        <w:t>will</w:t>
      </w:r>
      <w:r w:rsidR="00C63F8F" w:rsidRPr="00E27443">
        <w:t xml:space="preserve"> </w:t>
      </w:r>
      <w:r w:rsidRPr="00E27443">
        <w:t>strengthen</w:t>
      </w:r>
      <w:r w:rsidR="00C63F8F" w:rsidRPr="00E27443">
        <w:t xml:space="preserve"> </w:t>
      </w:r>
      <w:r w:rsidRPr="00E27443">
        <w:t>the</w:t>
      </w:r>
      <w:r w:rsidR="00C63F8F" w:rsidRPr="00E27443">
        <w:t xml:space="preserve"> </w:t>
      </w:r>
      <w:r w:rsidRPr="00E27443">
        <w:t>pupils</w:t>
      </w:r>
      <w:r w:rsidR="00C63F8F" w:rsidRPr="00E27443">
        <w:t xml:space="preserve">’ </w:t>
      </w:r>
      <w:r w:rsidRPr="00E27443">
        <w:t>rights</w:t>
      </w:r>
      <w:r w:rsidR="00C63F8F" w:rsidRPr="00E27443">
        <w:t xml:space="preserve"> </w:t>
      </w:r>
      <w:r w:rsidRPr="00E27443">
        <w:t>in</w:t>
      </w:r>
      <w:r w:rsidR="00C63F8F" w:rsidRPr="00E27443">
        <w:t xml:space="preserve"> </w:t>
      </w:r>
      <w:r w:rsidRPr="00E27443">
        <w:t>several</w:t>
      </w:r>
      <w:r w:rsidR="00C63F8F" w:rsidRPr="00E27443">
        <w:t xml:space="preserve"> </w:t>
      </w:r>
      <w:r w:rsidRPr="00E27443">
        <w:t>respects.</w:t>
      </w:r>
      <w:r w:rsidR="00C63F8F" w:rsidRPr="00E27443">
        <w:t xml:space="preserve"> </w:t>
      </w:r>
      <w:r w:rsidRPr="00E27443">
        <w:t>For</w:t>
      </w:r>
      <w:r w:rsidR="00C63F8F" w:rsidRPr="00E27443">
        <w:t xml:space="preserve"> </w:t>
      </w:r>
      <w:r w:rsidRPr="00E27443">
        <w:t>instance,</w:t>
      </w:r>
      <w:r w:rsidR="00C63F8F" w:rsidRPr="00E27443">
        <w:t xml:space="preserve"> </w:t>
      </w:r>
      <w:r w:rsidRPr="00E27443">
        <w:t>it</w:t>
      </w:r>
      <w:r w:rsidR="00C63F8F" w:rsidRPr="00E27443">
        <w:t xml:space="preserve"> </w:t>
      </w:r>
      <w:r w:rsidRPr="00E27443">
        <w:t>will</w:t>
      </w:r>
      <w:r w:rsidR="00C63F8F" w:rsidRPr="00E27443">
        <w:t xml:space="preserve"> </w:t>
      </w:r>
      <w:r w:rsidRPr="00E27443">
        <w:t>be</w:t>
      </w:r>
      <w:r w:rsidR="00C63F8F" w:rsidRPr="00E27443">
        <w:t xml:space="preserve"> </w:t>
      </w:r>
      <w:r w:rsidRPr="00E27443">
        <w:t>possible</w:t>
      </w:r>
      <w:r w:rsidR="00C63F8F" w:rsidRPr="00E27443">
        <w:t xml:space="preserve"> </w:t>
      </w:r>
      <w:r w:rsidRPr="00E27443">
        <w:t>to</w:t>
      </w:r>
      <w:r w:rsidR="00C63F8F" w:rsidRPr="00E27443">
        <w:t xml:space="preserve"> </w:t>
      </w:r>
      <w:r w:rsidRPr="00E27443">
        <w:t>lodge</w:t>
      </w:r>
      <w:r w:rsidR="00C63F8F" w:rsidRPr="00E27443">
        <w:t xml:space="preserve"> </w:t>
      </w:r>
      <w:r w:rsidRPr="00E27443">
        <w:t>an</w:t>
      </w:r>
      <w:r w:rsidR="00C63F8F" w:rsidRPr="00E27443">
        <w:t xml:space="preserve"> </w:t>
      </w:r>
      <w:r w:rsidRPr="00E27443">
        <w:t>appeal</w:t>
      </w:r>
      <w:r w:rsidR="00C63F8F" w:rsidRPr="00E27443">
        <w:t xml:space="preserve"> </w:t>
      </w:r>
      <w:r w:rsidRPr="00E27443">
        <w:t>against</w:t>
      </w:r>
      <w:r w:rsidR="00C63F8F" w:rsidRPr="00E27443">
        <w:t xml:space="preserve"> </w:t>
      </w:r>
      <w:r w:rsidRPr="00E27443">
        <w:t>the</w:t>
      </w:r>
      <w:r w:rsidR="00C63F8F" w:rsidRPr="00E27443">
        <w:t xml:space="preserve"> </w:t>
      </w:r>
      <w:r w:rsidRPr="00E27443">
        <w:t>headteacher</w:t>
      </w:r>
      <w:r w:rsidR="00C63F8F" w:rsidRPr="00E27443">
        <w:t>’</w:t>
      </w:r>
      <w:r w:rsidRPr="00E27443">
        <w:t>s</w:t>
      </w:r>
      <w:r w:rsidR="00C63F8F" w:rsidRPr="00E27443">
        <w:t xml:space="preserve"> </w:t>
      </w:r>
      <w:r w:rsidRPr="00E27443">
        <w:t>decision</w:t>
      </w:r>
      <w:r w:rsidR="00C63F8F" w:rsidRPr="00E27443">
        <w:t xml:space="preserve"> </w:t>
      </w:r>
      <w:r w:rsidRPr="00E27443">
        <w:t>regarding</w:t>
      </w:r>
      <w:r w:rsidR="00C63F8F" w:rsidRPr="00E27443">
        <w:t xml:space="preserve"> </w:t>
      </w:r>
      <w:r w:rsidRPr="00E27443">
        <w:t>the</w:t>
      </w:r>
      <w:r w:rsidR="00C63F8F" w:rsidRPr="00E27443">
        <w:t xml:space="preserve"> </w:t>
      </w:r>
      <w:r w:rsidRPr="00E27443">
        <w:t>action</w:t>
      </w:r>
      <w:r w:rsidR="00C63F8F" w:rsidRPr="00E27443">
        <w:t xml:space="preserve"> </w:t>
      </w:r>
      <w:r w:rsidRPr="00E27443">
        <w:t>plan.</w:t>
      </w:r>
    </w:p>
    <w:p w:rsidR="00321ADA" w:rsidRPr="00E27443" w:rsidRDefault="00321ADA" w:rsidP="00DB3DFD">
      <w:pPr>
        <w:pStyle w:val="SingleTxtG"/>
        <w:numPr>
          <w:ilvl w:val="0"/>
          <w:numId w:val="20"/>
        </w:numPr>
        <w:tabs>
          <w:tab w:val="left" w:pos="1843"/>
        </w:tabs>
        <w:ind w:left="1134" w:firstLine="0"/>
      </w:pPr>
      <w:r w:rsidRPr="00E27443">
        <w:t>In</w:t>
      </w:r>
      <w:r w:rsidR="00C63F8F" w:rsidRPr="00E27443">
        <w:t xml:space="preserve"> </w:t>
      </w:r>
      <w:r w:rsidRPr="00E27443">
        <w:t>2007,</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introduced</w:t>
      </w:r>
      <w:r w:rsidR="00C63F8F" w:rsidRPr="00E27443">
        <w:t xml:space="preserve"> </w:t>
      </w:r>
      <w:r w:rsidRPr="00E27443">
        <w:t>a</w:t>
      </w:r>
      <w:r w:rsidR="00C63F8F" w:rsidRPr="00E27443">
        <w:t xml:space="preserve"> </w:t>
      </w:r>
      <w:r w:rsidRPr="00E27443">
        <w:t>targeted</w:t>
      </w:r>
      <w:r w:rsidR="00C63F8F" w:rsidRPr="00E27443">
        <w:t xml:space="preserve"> </w:t>
      </w:r>
      <w:r w:rsidRPr="00E27443">
        <w:t>state</w:t>
      </w:r>
      <w:r w:rsidR="00C63F8F" w:rsidRPr="00E27443">
        <w:t xml:space="preserve"> </w:t>
      </w:r>
      <w:r w:rsidRPr="00E27443">
        <w:t>subsidy</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develop</w:t>
      </w:r>
      <w:r w:rsidR="00C63F8F" w:rsidRPr="00E27443">
        <w:t xml:space="preserve"> </w:t>
      </w:r>
      <w:r w:rsidRPr="00E27443">
        <w:t>the</w:t>
      </w:r>
      <w:r w:rsidR="00C63F8F" w:rsidRPr="00E27443">
        <w:t xml:space="preserve"> </w:t>
      </w:r>
      <w:r w:rsidRPr="00E27443">
        <w:t>schools</w:t>
      </w:r>
      <w:r w:rsidR="00C63F8F" w:rsidRPr="00E27443">
        <w:t xml:space="preserve">’ </w:t>
      </w:r>
      <w:r w:rsidRPr="00E27443">
        <w:t>support</w:t>
      </w:r>
      <w:r w:rsidR="00C63F8F" w:rsidRPr="00E27443">
        <w:t xml:space="preserve"> </w:t>
      </w:r>
      <w:r w:rsidRPr="00E27443">
        <w:t>to</w:t>
      </w:r>
      <w:r w:rsidR="00C63F8F" w:rsidRPr="00E27443">
        <w:t xml:space="preserve"> </w:t>
      </w:r>
      <w:r w:rsidRPr="00E27443">
        <w:t>pupils</w:t>
      </w:r>
      <w:r w:rsidR="00C63F8F" w:rsidRPr="00E27443">
        <w:t xml:space="preserve"> </w:t>
      </w:r>
      <w:r w:rsidRPr="00E27443">
        <w:t>with</w:t>
      </w:r>
      <w:r w:rsidR="00C63F8F" w:rsidRPr="00E27443">
        <w:t xml:space="preserve"> </w:t>
      </w:r>
      <w:r w:rsidRPr="00E27443">
        <w:t>difficulties</w:t>
      </w:r>
      <w:r w:rsidR="00C63F8F" w:rsidRPr="00E27443">
        <w:t xml:space="preserve"> </w:t>
      </w:r>
      <w:r w:rsidRPr="00E27443">
        <w:t>in</w:t>
      </w:r>
      <w:r w:rsidR="00C63F8F" w:rsidRPr="00E27443">
        <w:t xml:space="preserve"> </w:t>
      </w:r>
      <w:r w:rsidRPr="00E27443">
        <w:t>learning</w:t>
      </w:r>
      <w:r w:rsidR="00C63F8F" w:rsidRPr="00E27443">
        <w:t xml:space="preserve"> </w:t>
      </w:r>
      <w:r w:rsidRPr="00E27443">
        <w:t>to</w:t>
      </w:r>
      <w:r w:rsidR="00C63F8F" w:rsidRPr="00E27443">
        <w:t xml:space="preserve"> </w:t>
      </w:r>
      <w:r w:rsidRPr="00E27443">
        <w:t>read,</w:t>
      </w:r>
      <w:r w:rsidR="00C63F8F" w:rsidRPr="00E27443">
        <w:t xml:space="preserve"> </w:t>
      </w:r>
      <w:r w:rsidRPr="00E27443">
        <w:t>write</w:t>
      </w:r>
      <w:r w:rsidR="00C63F8F" w:rsidRPr="00E27443">
        <w:t xml:space="preserve"> </w:t>
      </w:r>
      <w:r w:rsidRPr="00E27443">
        <w:t>and</w:t>
      </w:r>
      <w:r w:rsidR="00C63F8F" w:rsidRPr="00E27443">
        <w:t xml:space="preserve"> </w:t>
      </w:r>
      <w:r w:rsidRPr="00E27443">
        <w:t>count.</w:t>
      </w:r>
      <w:r w:rsidR="00C63F8F" w:rsidRPr="00E27443">
        <w:t xml:space="preserve"> </w:t>
      </w:r>
      <w:r w:rsidRPr="00E27443">
        <w:t>The</w:t>
      </w:r>
      <w:r w:rsidR="00C63F8F" w:rsidRPr="00E27443">
        <w:t xml:space="preserve"> </w:t>
      </w:r>
      <w:r w:rsidRPr="00E27443">
        <w:t>state</w:t>
      </w:r>
      <w:r w:rsidR="00C63F8F" w:rsidRPr="00E27443">
        <w:t xml:space="preserve"> </w:t>
      </w:r>
      <w:r w:rsidRPr="00E27443">
        <w:t>subsidy</w:t>
      </w:r>
      <w:r w:rsidR="00C63F8F" w:rsidRPr="00E27443">
        <w:t xml:space="preserve"> </w:t>
      </w:r>
      <w:r w:rsidRPr="00E27443">
        <w:t>finances</w:t>
      </w:r>
      <w:r w:rsidR="00C63F8F" w:rsidRPr="00E27443">
        <w:t xml:space="preserve"> </w:t>
      </w:r>
      <w:r w:rsidRPr="00E27443">
        <w:t>specific</w:t>
      </w:r>
      <w:r w:rsidR="00C63F8F" w:rsidRPr="00E27443">
        <w:t xml:space="preserve"> </w:t>
      </w:r>
      <w:r w:rsidRPr="00E27443">
        <w:t>initiatives</w:t>
      </w:r>
      <w:r w:rsidR="00C63F8F" w:rsidRPr="00E27443">
        <w:t xml:space="preserve"> </w:t>
      </w:r>
      <w:r w:rsidRPr="00E27443">
        <w:t>in</w:t>
      </w:r>
      <w:r w:rsidR="00C63F8F" w:rsidRPr="00E27443">
        <w:t xml:space="preserve"> </w:t>
      </w:r>
      <w:r w:rsidRPr="00E27443">
        <w:t>Years</w:t>
      </w:r>
      <w:r w:rsidR="00C63F8F" w:rsidRPr="00E27443">
        <w:t xml:space="preserve"> </w:t>
      </w:r>
      <w:r w:rsidRPr="00E27443">
        <w:t>1</w:t>
      </w:r>
      <w:r w:rsidR="00C63F8F" w:rsidRPr="00E27443">
        <w:t>–</w:t>
      </w:r>
      <w:r w:rsidRPr="00E27443">
        <w:t>3</w:t>
      </w:r>
      <w:r w:rsidR="00C63F8F" w:rsidRPr="00E27443">
        <w:t xml:space="preserve"> </w:t>
      </w:r>
      <w:r w:rsidRPr="00E27443">
        <w:t>of</w:t>
      </w:r>
      <w:r w:rsidR="00C63F8F" w:rsidRPr="00E27443">
        <w:t xml:space="preserve"> </w:t>
      </w:r>
      <w:r w:rsidRPr="00E27443">
        <w:t>compulsory</w:t>
      </w:r>
      <w:r w:rsidR="00C63F8F" w:rsidRPr="00E27443">
        <w:t xml:space="preserve"> </w:t>
      </w:r>
      <w:r w:rsidRPr="00E27443">
        <w:t>elementary</w:t>
      </w:r>
      <w:r w:rsidR="00C63F8F" w:rsidRPr="00E27443">
        <w:t xml:space="preserve"> </w:t>
      </w:r>
      <w:r w:rsidRPr="00E27443">
        <w:t>school.</w:t>
      </w:r>
    </w:p>
    <w:p w:rsidR="00321ADA" w:rsidRPr="00E27443" w:rsidRDefault="00321ADA" w:rsidP="00DB3DFD">
      <w:pPr>
        <w:pStyle w:val="SingleTxtG"/>
        <w:numPr>
          <w:ilvl w:val="0"/>
          <w:numId w:val="20"/>
        </w:numPr>
        <w:tabs>
          <w:tab w:val="left" w:pos="1843"/>
        </w:tabs>
        <w:ind w:left="1134" w:firstLine="0"/>
      </w:pPr>
      <w:r w:rsidRPr="00E27443">
        <w:t>The</w:t>
      </w:r>
      <w:r w:rsidR="00C63F8F" w:rsidRPr="00E27443">
        <w:t xml:space="preserve"> </w:t>
      </w:r>
      <w:r w:rsidRPr="00E27443">
        <w:t>National</w:t>
      </w:r>
      <w:r w:rsidR="00C63F8F" w:rsidRPr="00E27443">
        <w:t xml:space="preserve"> </w:t>
      </w:r>
      <w:r w:rsidRPr="00E27443">
        <w:t>Agency</w:t>
      </w:r>
      <w:r w:rsidR="00C63F8F" w:rsidRPr="00E27443">
        <w:t xml:space="preserve"> </w:t>
      </w:r>
      <w:r w:rsidRPr="00E27443">
        <w:t>for</w:t>
      </w:r>
      <w:r w:rsidR="00C63F8F" w:rsidRPr="00E27443">
        <w:t xml:space="preserve"> </w:t>
      </w:r>
      <w:r w:rsidRPr="00E27443">
        <w:t>Special</w:t>
      </w:r>
      <w:r w:rsidR="00C63F8F" w:rsidRPr="00E27443">
        <w:t xml:space="preserve"> </w:t>
      </w:r>
      <w:r w:rsidRPr="00E27443">
        <w:t>Needs</w:t>
      </w:r>
      <w:r w:rsidR="00C63F8F" w:rsidRPr="00E27443">
        <w:t xml:space="preserve"> </w:t>
      </w:r>
      <w:r w:rsidRPr="00E27443">
        <w:t>Education</w:t>
      </w:r>
      <w:r w:rsidR="00C63F8F" w:rsidRPr="00E27443">
        <w:t xml:space="preserve"> </w:t>
      </w:r>
      <w:r w:rsidRPr="00E27443">
        <w:t>and</w:t>
      </w:r>
      <w:r w:rsidR="00C63F8F" w:rsidRPr="00E27443">
        <w:t xml:space="preserve"> </w:t>
      </w:r>
      <w:r w:rsidRPr="00E27443">
        <w:t>Schools</w:t>
      </w:r>
      <w:r w:rsidR="00C63F8F" w:rsidRPr="00E27443">
        <w:t xml:space="preserve"> </w:t>
      </w:r>
      <w:r w:rsidRPr="00E27443">
        <w:t>develops</w:t>
      </w:r>
      <w:r w:rsidR="00C63F8F" w:rsidRPr="00E27443">
        <w:t xml:space="preserve"> </w:t>
      </w:r>
      <w:r w:rsidRPr="00E27443">
        <w:t>and</w:t>
      </w:r>
      <w:r w:rsidR="00C63F8F" w:rsidRPr="00E27443">
        <w:t xml:space="preserve"> </w:t>
      </w:r>
      <w:r w:rsidRPr="00E27443">
        <w:t>adapts</w:t>
      </w:r>
      <w:r w:rsidR="00C63F8F" w:rsidRPr="00E27443">
        <w:t xml:space="preserve"> </w:t>
      </w:r>
      <w:r w:rsidRPr="00E27443">
        <w:t>teaching</w:t>
      </w:r>
      <w:r w:rsidR="00C63F8F" w:rsidRPr="00E27443">
        <w:t xml:space="preserve"> </w:t>
      </w:r>
      <w:r w:rsidRPr="00E27443">
        <w:t>aids</w:t>
      </w:r>
      <w:r w:rsidR="00C63F8F" w:rsidRPr="00E27443">
        <w:t xml:space="preserve"> </w:t>
      </w:r>
      <w:r w:rsidRPr="00E27443">
        <w:t>for</w:t>
      </w:r>
      <w:r w:rsidR="00C63F8F" w:rsidRPr="00E27443">
        <w:t xml:space="preserve"> </w:t>
      </w:r>
      <w:r w:rsidRPr="00E27443">
        <w:t>use</w:t>
      </w:r>
      <w:r w:rsidR="00C63F8F" w:rsidRPr="00E27443">
        <w:t xml:space="preserve"> </w:t>
      </w:r>
      <w:r w:rsidRPr="00E27443">
        <w:t>in</w:t>
      </w:r>
      <w:r w:rsidR="00C63F8F" w:rsidRPr="00E27443">
        <w:t xml:space="preserve"> </w:t>
      </w:r>
      <w:r w:rsidRPr="00E27443">
        <w:t>pre-school,</w:t>
      </w:r>
      <w:r w:rsidR="00C63F8F" w:rsidRPr="00E27443">
        <w:t xml:space="preserve"> </w:t>
      </w:r>
      <w:r w:rsidRPr="00E27443">
        <w:t>school</w:t>
      </w:r>
      <w:r w:rsidR="00C63F8F" w:rsidRPr="00E27443">
        <w:t xml:space="preserve"> </w:t>
      </w:r>
      <w:r w:rsidRPr="00E27443">
        <w:t>and</w:t>
      </w:r>
      <w:r w:rsidR="00C63F8F" w:rsidRPr="00E27443">
        <w:t xml:space="preserve"> </w:t>
      </w:r>
      <w:r w:rsidRPr="00E27443">
        <w:t>adult</w:t>
      </w:r>
      <w:r w:rsidR="00C63F8F" w:rsidRPr="00E27443">
        <w:t xml:space="preserve"> </w:t>
      </w:r>
      <w:r w:rsidRPr="00E27443">
        <w:t>education</w:t>
      </w:r>
      <w:r w:rsidR="00C63F8F" w:rsidRPr="00E27443">
        <w:t xml:space="preserve"> </w:t>
      </w:r>
      <w:r w:rsidRPr="00E27443">
        <w:t>for</w:t>
      </w:r>
      <w:r w:rsidR="00C63F8F" w:rsidRPr="00E27443">
        <w:t xml:space="preserve"> </w:t>
      </w:r>
      <w:r w:rsidRPr="00E27443">
        <w:t>children</w:t>
      </w:r>
      <w:r w:rsidR="00C63F8F" w:rsidRPr="00E27443">
        <w:t xml:space="preserve"> </w:t>
      </w:r>
      <w:r w:rsidRPr="00E27443">
        <w:t>and</w:t>
      </w:r>
      <w:r w:rsidR="00C63F8F" w:rsidRPr="00E27443">
        <w:t xml:space="preserve"> </w:t>
      </w:r>
      <w:r w:rsidRPr="00E27443">
        <w:t>pupils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Teaching</w:t>
      </w:r>
      <w:r w:rsidR="00C63F8F" w:rsidRPr="00E27443">
        <w:t xml:space="preserve"> </w:t>
      </w:r>
      <w:r w:rsidRPr="00E27443">
        <w:t>aid</w:t>
      </w:r>
      <w:r w:rsidR="00C63F8F" w:rsidRPr="00E27443">
        <w:t xml:space="preserve"> </w:t>
      </w:r>
      <w:r w:rsidRPr="00E27443">
        <w:t>producers</w:t>
      </w:r>
      <w:r w:rsidR="00C63F8F" w:rsidRPr="00E27443">
        <w:t xml:space="preserve"> </w:t>
      </w:r>
      <w:r w:rsidRPr="00E27443">
        <w:t>on</w:t>
      </w:r>
      <w:r w:rsidR="00C63F8F" w:rsidRPr="00E27443">
        <w:t xml:space="preserve"> </w:t>
      </w:r>
      <w:r w:rsidRPr="00E27443">
        <w:t>the</w:t>
      </w:r>
      <w:r w:rsidR="00C63F8F" w:rsidRPr="00E27443">
        <w:t xml:space="preserve"> </w:t>
      </w:r>
      <w:r w:rsidRPr="00E27443">
        <w:t>commercial</w:t>
      </w:r>
      <w:r w:rsidR="00C63F8F" w:rsidRPr="00E27443">
        <w:t xml:space="preserve"> </w:t>
      </w:r>
      <w:r w:rsidRPr="00E27443">
        <w:t>market</w:t>
      </w:r>
      <w:r w:rsidR="00C63F8F" w:rsidRPr="00E27443">
        <w:t xml:space="preserve"> </w:t>
      </w:r>
      <w:r w:rsidRPr="00E27443">
        <w:t>can</w:t>
      </w:r>
      <w:r w:rsidR="00C63F8F" w:rsidRPr="00E27443">
        <w:t xml:space="preserve"> </w:t>
      </w:r>
      <w:r w:rsidRPr="00E27443">
        <w:t>also</w:t>
      </w:r>
      <w:r w:rsidR="00C63F8F" w:rsidRPr="00E27443">
        <w:t xml:space="preserve"> </w:t>
      </w:r>
      <w:r w:rsidRPr="00E27443">
        <w:t>receive</w:t>
      </w:r>
      <w:r w:rsidR="00C63F8F" w:rsidRPr="00E27443">
        <w:t xml:space="preserve"> </w:t>
      </w:r>
      <w:r w:rsidRPr="00E27443">
        <w:t>support</w:t>
      </w:r>
      <w:r w:rsidR="00C63F8F" w:rsidRPr="00E27443">
        <w:t xml:space="preserve"> </w:t>
      </w:r>
      <w:r w:rsidRPr="00E27443">
        <w:t>to</w:t>
      </w:r>
      <w:r w:rsidR="00C63F8F" w:rsidRPr="00E27443">
        <w:t xml:space="preserve"> </w:t>
      </w:r>
      <w:r w:rsidRPr="00E27443">
        <w:t>develop</w:t>
      </w:r>
      <w:r w:rsidR="00C63F8F" w:rsidRPr="00E27443">
        <w:t xml:space="preserve"> </w:t>
      </w:r>
      <w:r w:rsidRPr="00E27443">
        <w:t>such</w:t>
      </w:r>
      <w:r w:rsidR="00C63F8F" w:rsidRPr="00E27443">
        <w:t xml:space="preserve"> </w:t>
      </w:r>
      <w:r w:rsidRPr="00E27443">
        <w:t>teaching</w:t>
      </w:r>
      <w:r w:rsidR="00C63F8F" w:rsidRPr="00E27443">
        <w:t xml:space="preserve"> </w:t>
      </w:r>
      <w:r w:rsidRPr="00E27443">
        <w:t>aids.</w:t>
      </w:r>
      <w:r w:rsidR="00C63F8F" w:rsidRPr="00E27443">
        <w:t xml:space="preserve"> </w:t>
      </w:r>
    </w:p>
    <w:p w:rsidR="00321ADA" w:rsidRPr="00E27443" w:rsidRDefault="00321ADA" w:rsidP="00DB3DFD">
      <w:pPr>
        <w:pStyle w:val="SingleTxtG"/>
        <w:numPr>
          <w:ilvl w:val="0"/>
          <w:numId w:val="20"/>
        </w:numPr>
        <w:tabs>
          <w:tab w:val="left" w:pos="1843"/>
        </w:tabs>
        <w:ind w:left="1134" w:firstLine="0"/>
      </w:pPr>
      <w:r w:rsidRPr="00E27443">
        <w:t>Each</w:t>
      </w:r>
      <w:r w:rsidR="00C63F8F" w:rsidRPr="00E27443">
        <w:t xml:space="preserve"> </w:t>
      </w:r>
      <w:r w:rsidRPr="00E27443">
        <w:t>inhabitant</w:t>
      </w:r>
      <w:r w:rsidR="00C63F8F" w:rsidRPr="00E27443">
        <w:t xml:space="preserve"> </w:t>
      </w:r>
      <w:r w:rsidRPr="00E27443">
        <w:t>of</w:t>
      </w:r>
      <w:r w:rsidR="00C63F8F" w:rsidRPr="00E27443">
        <w:t xml:space="preserve"> </w:t>
      </w:r>
      <w:r w:rsidRPr="00E27443">
        <w:t>a</w:t>
      </w:r>
      <w:r w:rsidR="00C63F8F" w:rsidRPr="00E27443">
        <w:t xml:space="preserve"> </w:t>
      </w:r>
      <w:r w:rsidRPr="00E27443">
        <w:t>municipality</w:t>
      </w:r>
      <w:r w:rsidR="00C63F8F" w:rsidRPr="00E27443">
        <w:t xml:space="preserve"> </w:t>
      </w:r>
      <w:r w:rsidRPr="00E27443">
        <w:t>is</w:t>
      </w:r>
      <w:r w:rsidR="00C63F8F" w:rsidRPr="00E27443">
        <w:t xml:space="preserve"> </w:t>
      </w:r>
      <w:r w:rsidRPr="00E27443">
        <w:t>entitled</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basic</w:t>
      </w:r>
      <w:r w:rsidR="00C63F8F" w:rsidRPr="00E27443">
        <w:t xml:space="preserve"> </w:t>
      </w:r>
      <w:r w:rsidRPr="00DB3DFD">
        <w:t>adult</w:t>
      </w:r>
      <w:r w:rsidR="00C63F8F" w:rsidRPr="00DB3DFD">
        <w:t xml:space="preserve"> </w:t>
      </w:r>
      <w:r w:rsidRPr="00DB3DFD">
        <w:t>education</w:t>
      </w:r>
      <w:r w:rsidR="00C63F8F" w:rsidRPr="00E27443">
        <w:t xml:space="preserve"> </w:t>
      </w:r>
      <w:r w:rsidRPr="00E27443">
        <w:t>within</w:t>
      </w:r>
      <w:r w:rsidR="00C63F8F" w:rsidRPr="00E27443">
        <w:t xml:space="preserve"> </w:t>
      </w:r>
      <w:r w:rsidRPr="00E27443">
        <w:t>municipal</w:t>
      </w:r>
      <w:r w:rsidR="00C63F8F" w:rsidRPr="00E27443">
        <w:t xml:space="preserve"> </w:t>
      </w:r>
      <w:r w:rsidRPr="00E27443">
        <w:t>adult</w:t>
      </w:r>
      <w:r w:rsidR="00C63F8F" w:rsidRPr="00E27443">
        <w:t xml:space="preserve"> </w:t>
      </w:r>
      <w:r w:rsidRPr="00E27443">
        <w:t>education</w:t>
      </w:r>
      <w:r w:rsidR="00C63F8F" w:rsidRPr="00E27443">
        <w:t xml:space="preserve"> </w:t>
      </w:r>
      <w:r w:rsidRPr="00E27443">
        <w:t>(Komvux),</w:t>
      </w:r>
      <w:r w:rsidR="00C63F8F" w:rsidRPr="00E27443">
        <w:t xml:space="preserve"> </w:t>
      </w:r>
      <w:r w:rsidRPr="00E27443">
        <w:t>starting</w:t>
      </w:r>
      <w:r w:rsidR="00C63F8F" w:rsidRPr="00E27443">
        <w:t xml:space="preserve"> </w:t>
      </w:r>
      <w:r w:rsidRPr="00E27443">
        <w:t>from</w:t>
      </w:r>
      <w:r w:rsidR="00C63F8F" w:rsidRPr="00E27443">
        <w:t xml:space="preserve"> </w:t>
      </w:r>
      <w:r w:rsidRPr="00E27443">
        <w:t>the</w:t>
      </w:r>
      <w:r w:rsidR="00C63F8F" w:rsidRPr="00E27443">
        <w:t xml:space="preserve"> </w:t>
      </w:r>
      <w:r w:rsidRPr="00E27443">
        <w:t>second</w:t>
      </w:r>
      <w:r w:rsidR="00C63F8F" w:rsidRPr="00E27443">
        <w:t xml:space="preserve"> </w:t>
      </w:r>
      <w:r w:rsidRPr="00E27443">
        <w:t>calendar</w:t>
      </w:r>
      <w:r w:rsidR="00C63F8F" w:rsidRPr="00E27443">
        <w:t xml:space="preserve"> </w:t>
      </w:r>
      <w:r w:rsidRPr="00E27443">
        <w:t>six-month</w:t>
      </w:r>
      <w:r w:rsidR="00C63F8F" w:rsidRPr="00E27443">
        <w:t xml:space="preserve"> </w:t>
      </w:r>
      <w:r w:rsidRPr="00E27443">
        <w:t>period</w:t>
      </w:r>
      <w:r w:rsidR="00C63F8F" w:rsidRPr="00E27443">
        <w:t xml:space="preserve"> </w:t>
      </w:r>
      <w:r w:rsidRPr="00E27443">
        <w:t>after</w:t>
      </w:r>
      <w:r w:rsidR="00C63F8F" w:rsidRPr="00E27443">
        <w:t xml:space="preserve"> </w:t>
      </w:r>
      <w:r w:rsidRPr="00E27443">
        <w:t>reaching</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20,</w:t>
      </w:r>
      <w:r w:rsidR="00C63F8F" w:rsidRPr="00E27443">
        <w:t xml:space="preserve"> </w:t>
      </w:r>
      <w:r w:rsidRPr="00E27443">
        <w:t>if</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does</w:t>
      </w:r>
      <w:r w:rsidR="00C63F8F" w:rsidRPr="00E27443">
        <w:t xml:space="preserve"> </w:t>
      </w:r>
      <w:r w:rsidRPr="00E27443">
        <w:t>not</w:t>
      </w:r>
      <w:r w:rsidR="00C63F8F" w:rsidRPr="00E27443">
        <w:t xml:space="preserve"> </w:t>
      </w:r>
      <w:r w:rsidRPr="00E27443">
        <w:t>possess</w:t>
      </w:r>
      <w:r w:rsidR="00C63F8F" w:rsidRPr="00E27443">
        <w:t xml:space="preserve"> </w:t>
      </w:r>
      <w:r w:rsidRPr="00E27443">
        <w:t>such</w:t>
      </w:r>
      <w:r w:rsidR="00C63F8F" w:rsidRPr="00E27443">
        <w:t xml:space="preserve"> </w:t>
      </w:r>
      <w:r w:rsidRPr="00E27443">
        <w:t>proficiencies</w:t>
      </w:r>
      <w:r w:rsidR="00C63F8F" w:rsidRPr="00E27443">
        <w:t xml:space="preserve"> </w:t>
      </w:r>
      <w:r w:rsidRPr="00E27443">
        <w:t>that</w:t>
      </w:r>
      <w:r w:rsidR="00C63F8F" w:rsidRPr="00E27443">
        <w:t xml:space="preserve"> </w:t>
      </w:r>
      <w:r w:rsidRPr="00E27443">
        <w:t>are</w:t>
      </w:r>
      <w:r w:rsidR="00C63F8F" w:rsidRPr="00E27443">
        <w:t xml:space="preserve"> </w:t>
      </w:r>
      <w:r w:rsidRPr="00E27443">
        <w:t>normally</w:t>
      </w:r>
      <w:r w:rsidR="00C63F8F" w:rsidRPr="00E27443">
        <w:t xml:space="preserve"> </w:t>
      </w:r>
      <w:r w:rsidRPr="00E27443">
        <w:t>achieved</w:t>
      </w:r>
      <w:r w:rsidR="00C63F8F" w:rsidRPr="00E27443">
        <w:t xml:space="preserve"> </w:t>
      </w:r>
      <w:r w:rsidRPr="00E27443">
        <w:t>in</w:t>
      </w:r>
      <w:r w:rsidR="00C63F8F" w:rsidRPr="00E27443">
        <w:t xml:space="preserve"> </w:t>
      </w:r>
      <w:r w:rsidRPr="00E27443">
        <w:t>compulsory</w:t>
      </w:r>
      <w:r w:rsidR="00C63F8F" w:rsidRPr="00E27443">
        <w:t xml:space="preserve"> </w:t>
      </w:r>
      <w:r w:rsidRPr="00E27443">
        <w:t>school,</w:t>
      </w:r>
      <w:r w:rsidR="00C63F8F" w:rsidRPr="00E27443">
        <w:t xml:space="preserve"> </w:t>
      </w:r>
      <w:r w:rsidRPr="00E27443">
        <w:t>and</w:t>
      </w:r>
      <w:r w:rsidR="00C63F8F" w:rsidRPr="00E27443">
        <w:t xml:space="preserve"> </w:t>
      </w:r>
      <w:r w:rsidRPr="00E27443">
        <w:t>provided</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is</w:t>
      </w:r>
      <w:r w:rsidR="00C63F8F" w:rsidRPr="00E27443">
        <w:t xml:space="preserve"> </w:t>
      </w:r>
      <w:r w:rsidRPr="00E27443">
        <w:t>resident</w:t>
      </w:r>
      <w:r w:rsidR="00C63F8F" w:rsidRPr="00E27443">
        <w:t xml:space="preserve"> </w:t>
      </w:r>
      <w:r w:rsidRPr="00E27443">
        <w:t>in</w:t>
      </w:r>
      <w:r w:rsidR="00C63F8F" w:rsidRPr="00E27443">
        <w:t xml:space="preserve"> </w:t>
      </w:r>
      <w:r w:rsidRPr="00E27443">
        <w:t>Sweden.</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must</w:t>
      </w:r>
      <w:r w:rsidR="00C63F8F" w:rsidRPr="00E27443">
        <w:t xml:space="preserve"> </w:t>
      </w:r>
      <w:r w:rsidRPr="00E27443">
        <w:t>also</w:t>
      </w:r>
      <w:r w:rsidR="00C63F8F" w:rsidRPr="00E27443">
        <w:t xml:space="preserve"> </w:t>
      </w:r>
      <w:r w:rsidRPr="00E27443">
        <w:t>offer</w:t>
      </w:r>
      <w:r w:rsidR="00C63F8F" w:rsidRPr="00E27443">
        <w:t xml:space="preserve"> </w:t>
      </w:r>
      <w:r w:rsidRPr="00E27443">
        <w:t>upper</w:t>
      </w:r>
      <w:r w:rsidR="00C63F8F" w:rsidRPr="00E27443">
        <w:t xml:space="preserve"> </w:t>
      </w:r>
      <w:r w:rsidRPr="00E27443">
        <w:t>secondary-level</w:t>
      </w:r>
      <w:r w:rsidR="00C63F8F" w:rsidRPr="00E27443">
        <w:t xml:space="preserve"> </w:t>
      </w:r>
      <w:r w:rsidRPr="00E27443">
        <w:t>adult</w:t>
      </w:r>
      <w:r w:rsidR="00C63F8F" w:rsidRPr="00E27443">
        <w:t xml:space="preserve"> </w:t>
      </w:r>
      <w:r w:rsidRPr="00E27443">
        <w:t>education.</w:t>
      </w:r>
      <w:r w:rsidR="00C63F8F" w:rsidRPr="00E27443">
        <w:t xml:space="preserve"> </w:t>
      </w:r>
      <w:r w:rsidRPr="00E27443">
        <w:t>This</w:t>
      </w:r>
      <w:r w:rsidR="00C63F8F" w:rsidRPr="00E27443">
        <w:t xml:space="preserve"> </w:t>
      </w:r>
      <w:r w:rsidRPr="00E27443">
        <w:t>applies</w:t>
      </w:r>
      <w:r w:rsidR="00C63F8F" w:rsidRPr="00E27443">
        <w:t xml:space="preserve"> </w:t>
      </w:r>
      <w:r w:rsidRPr="00E27443">
        <w:t>to</w:t>
      </w:r>
      <w:r w:rsidR="00C63F8F" w:rsidRPr="00E27443">
        <w:t xml:space="preserve"> </w:t>
      </w:r>
      <w:r w:rsidRPr="00E27443">
        <w:t>all</w:t>
      </w:r>
      <w:r w:rsidR="00C63F8F" w:rsidRPr="00E27443">
        <w:t xml:space="preserve"> </w:t>
      </w:r>
      <w:r w:rsidRPr="00E27443">
        <w:t>municipal</w:t>
      </w:r>
      <w:r w:rsidR="00C63F8F" w:rsidRPr="00E27443">
        <w:t xml:space="preserve"> </w:t>
      </w:r>
      <w:r w:rsidRPr="00E27443">
        <w:t>inhabitants,</w:t>
      </w:r>
      <w:r w:rsidR="00C63F8F" w:rsidRPr="00E27443">
        <w:t xml:space="preserve"> </w:t>
      </w:r>
      <w:r w:rsidRPr="00E27443">
        <w:t>including</w:t>
      </w:r>
      <w:r w:rsidR="00C63F8F" w:rsidRPr="00E27443">
        <w:t xml:space="preserve"> </w:t>
      </w:r>
      <w:r w:rsidRPr="00E27443">
        <w:t>those</w:t>
      </w:r>
      <w:r w:rsidR="00C63F8F" w:rsidRPr="00E27443">
        <w:t xml:space="preserve"> </w:t>
      </w:r>
      <w:r w:rsidRPr="00E27443">
        <w:t>who</w:t>
      </w:r>
      <w:r w:rsidR="00C63F8F" w:rsidRPr="00E27443">
        <w:t xml:space="preserve"> </w:t>
      </w:r>
      <w:r w:rsidRPr="00E27443">
        <w:t>have</w:t>
      </w:r>
      <w:r w:rsidR="00C63F8F" w:rsidRPr="00E27443">
        <w:t xml:space="preserve"> </w:t>
      </w:r>
      <w:r w:rsidRPr="00E27443">
        <w:t>a</w:t>
      </w:r>
      <w:r w:rsidR="00C63F8F" w:rsidRPr="00E27443">
        <w:t xml:space="preserve"> </w:t>
      </w:r>
      <w:r w:rsidRPr="00E27443">
        <w:t>disability.</w:t>
      </w:r>
      <w:r w:rsidR="00C63F8F" w:rsidRPr="00E27443">
        <w:t xml:space="preserve"> </w:t>
      </w:r>
      <w:r w:rsidRPr="00E27443">
        <w:t>For</w:t>
      </w:r>
      <w:r w:rsidR="00C63F8F" w:rsidRPr="00E27443">
        <w:t xml:space="preserve"> </w:t>
      </w:r>
      <w:r w:rsidRPr="00E27443">
        <w:t>municipal</w:t>
      </w:r>
      <w:r w:rsidR="00C63F8F" w:rsidRPr="00E27443">
        <w:t xml:space="preserve"> </w:t>
      </w:r>
      <w:r w:rsidRPr="00E27443">
        <w:t>inhabitants</w:t>
      </w:r>
      <w:r w:rsidR="00C63F8F" w:rsidRPr="00E27443">
        <w:t xml:space="preserve"> </w:t>
      </w:r>
      <w:r w:rsidRPr="00E27443">
        <w:t>with</w:t>
      </w:r>
      <w:r w:rsidR="00C63F8F" w:rsidRPr="00E27443">
        <w:t xml:space="preserve"> </w:t>
      </w:r>
      <w:r w:rsidRPr="00E27443">
        <w:t>a</w:t>
      </w:r>
      <w:r w:rsidR="00C63F8F" w:rsidRPr="00E27443">
        <w:t xml:space="preserve"> </w:t>
      </w:r>
      <w:r w:rsidRPr="00E27443">
        <w:t>developmental</w:t>
      </w:r>
      <w:r w:rsidR="00C63F8F" w:rsidRPr="00E27443">
        <w:t xml:space="preserve"> </w:t>
      </w:r>
      <w:r w:rsidRPr="00E27443">
        <w:t>disability,</w:t>
      </w:r>
      <w:r w:rsidR="00C63F8F" w:rsidRPr="00E27443">
        <w:t xml:space="preserve"> </w:t>
      </w:r>
      <w:r w:rsidRPr="00E27443">
        <w:t>the</w:t>
      </w:r>
      <w:r w:rsidR="00C63F8F" w:rsidRPr="00E27443">
        <w:t xml:space="preserve"> </w:t>
      </w:r>
      <w:r w:rsidR="000A0284" w:rsidRPr="00E27443">
        <w:t>correspon</w:t>
      </w:r>
      <w:r w:rsidRPr="00E27443">
        <w:t>ding</w:t>
      </w:r>
      <w:r w:rsidR="00C63F8F" w:rsidRPr="00E27443">
        <w:t xml:space="preserve"> </w:t>
      </w:r>
      <w:r w:rsidRPr="00E27443">
        <w:t>entitlement</w:t>
      </w:r>
      <w:r w:rsidR="00C63F8F" w:rsidRPr="00E27443">
        <w:t xml:space="preserve"> </w:t>
      </w:r>
      <w:r w:rsidRPr="00E27443">
        <w:t>to</w:t>
      </w:r>
      <w:r w:rsidR="00C63F8F" w:rsidRPr="00E27443">
        <w:t xml:space="preserve"> </w:t>
      </w:r>
      <w:r w:rsidRPr="00E27443">
        <w:t>adult</w:t>
      </w:r>
      <w:r w:rsidR="00C63F8F" w:rsidRPr="00E27443">
        <w:t xml:space="preserve"> </w:t>
      </w:r>
      <w:r w:rsidRPr="00E27443">
        <w:t>education</w:t>
      </w:r>
      <w:r w:rsidR="00C63F8F" w:rsidRPr="00E27443">
        <w:t xml:space="preserve"> </w:t>
      </w:r>
      <w:r w:rsidRPr="00E27443">
        <w:t>applies</w:t>
      </w:r>
      <w:r w:rsidR="00C63F8F" w:rsidRPr="00E27443">
        <w:t xml:space="preserve"> </w:t>
      </w:r>
      <w:r w:rsidRPr="00E27443">
        <w:t>(Särvux),</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corresponding</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to</w:t>
      </w:r>
      <w:r w:rsidR="00C63F8F" w:rsidRPr="00E27443">
        <w:t xml:space="preserve"> </w:t>
      </w:r>
      <w:r w:rsidRPr="00E27443">
        <w:t>offer</w:t>
      </w:r>
      <w:r w:rsidR="00C63F8F" w:rsidRPr="00E27443">
        <w:t xml:space="preserve"> </w:t>
      </w:r>
      <w:r w:rsidRPr="00E27443">
        <w:t>upper-secondary</w:t>
      </w:r>
      <w:r w:rsidR="00C63F8F" w:rsidRPr="00E27443">
        <w:t xml:space="preserve"> </w:t>
      </w:r>
      <w:r w:rsidRPr="00E27443">
        <w:t>level</w:t>
      </w:r>
      <w:r w:rsidR="00C63F8F" w:rsidRPr="00E27443">
        <w:t xml:space="preserve"> </w:t>
      </w:r>
      <w:r w:rsidRPr="00E27443">
        <w:t>special</w:t>
      </w:r>
      <w:r w:rsidR="00C63F8F" w:rsidRPr="00E27443">
        <w:t xml:space="preserve"> </w:t>
      </w:r>
      <w:r w:rsidRPr="00E27443">
        <w:t>education.</w:t>
      </w:r>
      <w:r w:rsidR="00C63F8F" w:rsidRPr="00E27443">
        <w:t xml:space="preserve"> </w:t>
      </w:r>
      <w:r w:rsidRPr="00E27443">
        <w:t>Within</w:t>
      </w:r>
      <w:r w:rsidR="00C63F8F" w:rsidRPr="00E27443">
        <w:t xml:space="preserve"> </w:t>
      </w:r>
      <w:r w:rsidRPr="00E27443">
        <w:t>both</w:t>
      </w:r>
      <w:r w:rsidR="00C63F8F" w:rsidRPr="00E27443">
        <w:t xml:space="preserve"> </w:t>
      </w:r>
      <w:r w:rsidRPr="00E27443">
        <w:t>Komvux</w:t>
      </w:r>
      <w:r w:rsidR="00C63F8F" w:rsidRPr="00E27443">
        <w:t xml:space="preserve"> </w:t>
      </w:r>
      <w:r w:rsidRPr="00E27443">
        <w:t>and</w:t>
      </w:r>
      <w:r w:rsidR="00C63F8F" w:rsidRPr="00E27443">
        <w:t xml:space="preserve"> </w:t>
      </w:r>
      <w:r w:rsidRPr="00E27443">
        <w:t>Särvux,</w:t>
      </w:r>
      <w:r w:rsidR="00C63F8F" w:rsidRPr="00E27443">
        <w:t xml:space="preserve"> </w:t>
      </w:r>
      <w:r w:rsidRPr="00E27443">
        <w:t>vocational</w:t>
      </w:r>
      <w:r w:rsidR="00C63F8F" w:rsidRPr="00E27443">
        <w:t xml:space="preserve"> </w:t>
      </w:r>
      <w:r w:rsidRPr="00E27443">
        <w:t>training</w:t>
      </w:r>
      <w:r w:rsidR="00C63F8F" w:rsidRPr="00E27443">
        <w:t xml:space="preserve"> </w:t>
      </w:r>
      <w:r w:rsidRPr="00E27443">
        <w:t>may</w:t>
      </w:r>
      <w:r w:rsidR="00C63F8F" w:rsidRPr="00E27443">
        <w:t xml:space="preserve"> </w:t>
      </w:r>
      <w:r w:rsidRPr="00E27443">
        <w:t>also</w:t>
      </w:r>
      <w:r w:rsidR="00C63F8F" w:rsidRPr="00E27443">
        <w:t xml:space="preserve"> </w:t>
      </w:r>
      <w:r w:rsidRPr="00E27443">
        <w:t>be</w:t>
      </w:r>
      <w:r w:rsidR="00C63F8F" w:rsidRPr="00E27443">
        <w:t xml:space="preserve"> </w:t>
      </w:r>
      <w:r w:rsidRPr="00E27443">
        <w:t>offered.</w:t>
      </w:r>
      <w:r w:rsidR="00C63F8F" w:rsidRPr="00E27443">
        <w:t xml:space="preserve"> </w:t>
      </w:r>
      <w:r w:rsidRPr="00E27443">
        <w:t>The</w:t>
      </w:r>
      <w:r w:rsidR="00C63F8F" w:rsidRPr="00E27443">
        <w:t xml:space="preserve"> </w:t>
      </w:r>
      <w:r w:rsidRPr="00E27443">
        <w:t>teaching</w:t>
      </w:r>
      <w:r w:rsidR="00C63F8F" w:rsidRPr="00E27443">
        <w:t xml:space="preserve"> </w:t>
      </w:r>
      <w:r w:rsidRPr="00E27443">
        <w:t>of</w:t>
      </w:r>
      <w:r w:rsidR="00C63F8F" w:rsidRPr="00E27443">
        <w:t xml:space="preserve"> </w:t>
      </w:r>
      <w:r w:rsidRPr="00E27443">
        <w:t>Swedish</w:t>
      </w:r>
      <w:r w:rsidR="00C63F8F" w:rsidRPr="00E27443">
        <w:t xml:space="preserve"> </w:t>
      </w:r>
      <w:r w:rsidRPr="00E27443">
        <w:t>for</w:t>
      </w:r>
      <w:r w:rsidR="00C63F8F" w:rsidRPr="00E27443">
        <w:t xml:space="preserve"> </w:t>
      </w:r>
      <w:r w:rsidRPr="00E27443">
        <w:t>Immigrants</w:t>
      </w:r>
      <w:r w:rsidR="00C63F8F" w:rsidRPr="00E27443">
        <w:t xml:space="preserve"> </w:t>
      </w:r>
      <w:r w:rsidRPr="00E27443">
        <w:t>is</w:t>
      </w:r>
      <w:r w:rsidR="00C63F8F" w:rsidRPr="00E27443">
        <w:t xml:space="preserve"> </w:t>
      </w:r>
      <w:r w:rsidRPr="00E27443">
        <w:t>an</w:t>
      </w:r>
      <w:r w:rsidR="00C63F8F" w:rsidRPr="00E27443">
        <w:t xml:space="preserve"> </w:t>
      </w:r>
      <w:r w:rsidRPr="00E27443">
        <w:t>entitlement</w:t>
      </w:r>
      <w:r w:rsidR="00C63F8F" w:rsidRPr="00E27443">
        <w:t xml:space="preserve"> </w:t>
      </w:r>
      <w:r w:rsidRPr="00E27443">
        <w:t>for</w:t>
      </w:r>
      <w:r w:rsidR="00C63F8F" w:rsidRPr="00E27443">
        <w:t xml:space="preserve"> </w:t>
      </w:r>
      <w:r w:rsidRPr="00E27443">
        <w:t>immigrants</w:t>
      </w:r>
      <w:r w:rsidR="00C63F8F" w:rsidRPr="00E27443">
        <w:t xml:space="preserve"> </w:t>
      </w:r>
      <w:r w:rsidRPr="00E27443">
        <w:t>who</w:t>
      </w:r>
      <w:r w:rsidR="00C63F8F" w:rsidRPr="00E27443">
        <w:t xml:space="preserve"> </w:t>
      </w:r>
      <w:r w:rsidRPr="00E27443">
        <w:t>lack</w:t>
      </w:r>
      <w:r w:rsidR="00C63F8F" w:rsidRPr="00E27443">
        <w:t xml:space="preserve"> </w:t>
      </w:r>
      <w:r w:rsidRPr="00E27443">
        <w:t>basic</w:t>
      </w:r>
      <w:r w:rsidR="00C63F8F" w:rsidRPr="00E27443">
        <w:t xml:space="preserve"> </w:t>
      </w:r>
      <w:r w:rsidRPr="00E27443">
        <w:t>skills</w:t>
      </w:r>
      <w:r w:rsidR="00C63F8F" w:rsidRPr="00E27443">
        <w:t xml:space="preserve"> </w:t>
      </w:r>
      <w:r w:rsidRPr="00E27443">
        <w:t>in</w:t>
      </w:r>
      <w:r w:rsidR="00C63F8F" w:rsidRPr="00E27443">
        <w:t xml:space="preserve"> </w:t>
      </w:r>
      <w:r w:rsidRPr="00E27443">
        <w:t>the</w:t>
      </w:r>
      <w:r w:rsidR="00C63F8F" w:rsidRPr="00E27443">
        <w:t xml:space="preserve"> </w:t>
      </w:r>
      <w:r w:rsidRPr="00E27443">
        <w:t>Swedish</w:t>
      </w:r>
      <w:r w:rsidR="00C63F8F" w:rsidRPr="00E27443">
        <w:t xml:space="preserve"> </w:t>
      </w:r>
      <w:r w:rsidRPr="00E27443">
        <w:t>language.</w:t>
      </w:r>
      <w:r w:rsidR="00C63F8F" w:rsidRPr="00E27443">
        <w:t xml:space="preserve"> </w:t>
      </w:r>
      <w:r w:rsidRPr="00E27443">
        <w:t>Immigrants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have</w:t>
      </w:r>
      <w:r w:rsidR="00C63F8F" w:rsidRPr="00E27443">
        <w:t xml:space="preserve"> </w:t>
      </w:r>
      <w:r w:rsidRPr="00E27443">
        <w:t>the</w:t>
      </w:r>
      <w:r w:rsidR="00C63F8F" w:rsidRPr="00E27443">
        <w:t xml:space="preserve"> </w:t>
      </w:r>
      <w:r w:rsidRPr="00E27443">
        <w:t>same</w:t>
      </w:r>
      <w:r w:rsidR="00C63F8F" w:rsidRPr="00E27443">
        <w:t xml:space="preserve"> </w:t>
      </w:r>
      <w:r w:rsidRPr="00E27443">
        <w:t>entitlement</w:t>
      </w:r>
      <w:r w:rsidR="00C63F8F" w:rsidRPr="00E27443">
        <w:t xml:space="preserve"> </w:t>
      </w:r>
      <w:r w:rsidRPr="00E27443">
        <w:t>as</w:t>
      </w:r>
      <w:r w:rsidR="00C63F8F" w:rsidRPr="00E27443">
        <w:t xml:space="preserve"> </w:t>
      </w:r>
      <w:r w:rsidRPr="00E27443">
        <w:t>other</w:t>
      </w:r>
      <w:r w:rsidR="00C63F8F" w:rsidRPr="00E27443">
        <w:t xml:space="preserve"> </w:t>
      </w:r>
      <w:r w:rsidRPr="00E27443">
        <w:t>participants.</w:t>
      </w:r>
    </w:p>
    <w:p w:rsidR="00321ADA" w:rsidRPr="00E27443" w:rsidRDefault="00321ADA" w:rsidP="00DB3DFD">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Schools</w:t>
      </w:r>
      <w:r w:rsidR="00C63F8F" w:rsidRPr="00E27443">
        <w:t xml:space="preserve"> </w:t>
      </w:r>
      <w:r w:rsidRPr="00E27443">
        <w:t>Inspectorate</w:t>
      </w:r>
      <w:r w:rsidR="001775F1" w:rsidRPr="00DB3DFD">
        <w:footnoteReference w:id="100"/>
      </w:r>
      <w:r w:rsidR="00C63F8F" w:rsidRPr="00E27443">
        <w:t xml:space="preserve"> </w:t>
      </w:r>
      <w:r w:rsidRPr="00E27443">
        <w:t>was</w:t>
      </w:r>
      <w:r w:rsidR="00C63F8F" w:rsidRPr="00E27443">
        <w:t xml:space="preserve"> </w:t>
      </w:r>
      <w:r w:rsidRPr="00E27443">
        <w:t>established</w:t>
      </w:r>
      <w:r w:rsidR="00C63F8F" w:rsidRPr="00E27443">
        <w:t xml:space="preserve"> </w:t>
      </w:r>
      <w:r w:rsidRPr="00E27443">
        <w:t>in</w:t>
      </w:r>
      <w:r w:rsidR="00C63F8F" w:rsidRPr="00E27443">
        <w:t xml:space="preserve"> </w:t>
      </w:r>
      <w:r w:rsidRPr="00E27443">
        <w:t>2008</w:t>
      </w:r>
      <w:r w:rsidR="00C63F8F" w:rsidRPr="00E27443">
        <w:t xml:space="preserve"> </w:t>
      </w:r>
      <w:r w:rsidRPr="00E27443">
        <w:t>to</w:t>
      </w:r>
      <w:r w:rsidR="00C63F8F" w:rsidRPr="00E27443">
        <w:t xml:space="preserve"> </w:t>
      </w:r>
      <w:r w:rsidRPr="00E27443">
        <w:t>strengthen</w:t>
      </w:r>
      <w:r w:rsidR="00C63F8F" w:rsidRPr="00E27443">
        <w:t xml:space="preserve"> </w:t>
      </w:r>
      <w:r w:rsidRPr="00E27443">
        <w:t>the</w:t>
      </w:r>
      <w:r w:rsidR="00C63F8F" w:rsidRPr="00E27443">
        <w:t xml:space="preserve"> </w:t>
      </w:r>
      <w:r w:rsidRPr="00E27443">
        <w:t>national</w:t>
      </w:r>
      <w:r w:rsidR="00C63F8F" w:rsidRPr="00E27443">
        <w:t xml:space="preserve"> </w:t>
      </w:r>
      <w:r w:rsidRPr="00E27443">
        <w:t>supervision</w:t>
      </w:r>
      <w:r w:rsidR="00C63F8F" w:rsidRPr="00E27443">
        <w:t xml:space="preserve"> </w:t>
      </w:r>
      <w:r w:rsidRPr="00E27443">
        <w:t>and</w:t>
      </w:r>
      <w:r w:rsidR="00C63F8F" w:rsidRPr="00E27443">
        <w:t xml:space="preserve"> </w:t>
      </w:r>
      <w:r w:rsidRPr="00E27443">
        <w:t>quality</w:t>
      </w:r>
      <w:r w:rsidR="00C63F8F" w:rsidRPr="00E27443">
        <w:t xml:space="preserve"> </w:t>
      </w:r>
      <w:r w:rsidRPr="00E27443">
        <w:t>assessment</w:t>
      </w:r>
      <w:r w:rsidR="00C63F8F" w:rsidRPr="00E27443">
        <w:t xml:space="preserve"> </w:t>
      </w:r>
      <w:r w:rsidRPr="00E27443">
        <w:t>of</w:t>
      </w:r>
      <w:r w:rsidR="00C63F8F" w:rsidRPr="00E27443">
        <w:t xml:space="preserve"> </w:t>
      </w:r>
      <w:r w:rsidRPr="00E27443">
        <w:t>the</w:t>
      </w:r>
      <w:r w:rsidR="00C63F8F" w:rsidRPr="00E27443">
        <w:t xml:space="preserve"> </w:t>
      </w:r>
      <w:r w:rsidRPr="00E27443">
        <w:t>education</w:t>
      </w:r>
      <w:r w:rsidR="00C63F8F" w:rsidRPr="00E27443">
        <w:t xml:space="preserve"> </w:t>
      </w:r>
      <w:r w:rsidRPr="00E27443">
        <w:t>system</w:t>
      </w:r>
      <w:r w:rsidR="00C63F8F" w:rsidRPr="00E27443">
        <w:t xml:space="preserve"> </w:t>
      </w:r>
      <w:r w:rsidRPr="00E27443">
        <w:t>in</w:t>
      </w:r>
      <w:r w:rsidR="00C63F8F" w:rsidRPr="00E27443">
        <w:t xml:space="preserve"> </w:t>
      </w:r>
      <w:r w:rsidRPr="00E27443">
        <w:t>the</w:t>
      </w:r>
      <w:r w:rsidR="00C63F8F" w:rsidRPr="00E27443">
        <w:t xml:space="preserve"> </w:t>
      </w:r>
      <w:r w:rsidRPr="00E27443">
        <w:t>greatly</w:t>
      </w:r>
      <w:r w:rsidR="00C63F8F" w:rsidRPr="00E27443">
        <w:t xml:space="preserve"> </w:t>
      </w:r>
      <w:r w:rsidRPr="00E27443">
        <w:t>decentralised</w:t>
      </w:r>
      <w:r w:rsidR="00C63F8F" w:rsidRPr="00E27443">
        <w:t xml:space="preserve"> </w:t>
      </w:r>
      <w:r w:rsidRPr="00E27443">
        <w:t>Swedish</w:t>
      </w:r>
      <w:r w:rsidR="00C63F8F" w:rsidRPr="00E27443">
        <w:t xml:space="preserve"> </w:t>
      </w:r>
      <w:r w:rsidRPr="00E27443">
        <w:t>school</w:t>
      </w:r>
      <w:r w:rsidR="00C63F8F" w:rsidRPr="00E27443">
        <w:t xml:space="preserve"> </w:t>
      </w:r>
      <w:r w:rsidRPr="00E27443">
        <w:t>system.</w:t>
      </w:r>
      <w:r w:rsidR="00C63F8F" w:rsidRPr="00E27443">
        <w:t xml:space="preserve"> </w:t>
      </w:r>
      <w:r w:rsidRPr="00E27443">
        <w:t>The</w:t>
      </w:r>
      <w:r w:rsidR="00C63F8F" w:rsidRPr="00E27443">
        <w:t xml:space="preserve"> </w:t>
      </w:r>
      <w:r w:rsidRPr="00E27443">
        <w:t>Inspectorate</w:t>
      </w:r>
      <w:r w:rsidR="00C63F8F" w:rsidRPr="00E27443">
        <w:t>’</w:t>
      </w:r>
      <w:r w:rsidRPr="00E27443">
        <w:t>s</w:t>
      </w:r>
      <w:r w:rsidR="00C63F8F" w:rsidRPr="00E27443">
        <w:t xml:space="preserve"> </w:t>
      </w:r>
      <w:r w:rsidRPr="00E27443">
        <w:t>work</w:t>
      </w:r>
      <w:r w:rsidR="00C63F8F" w:rsidRPr="00E27443">
        <w:t xml:space="preserve"> </w:t>
      </w:r>
      <w:r w:rsidRPr="00E27443">
        <w:t>has</w:t>
      </w:r>
      <w:r w:rsidR="00C63F8F" w:rsidRPr="00E27443">
        <w:t xml:space="preserve"> </w:t>
      </w:r>
      <w:r w:rsidRPr="00E27443">
        <w:t>included</w:t>
      </w:r>
      <w:r w:rsidR="00C63F8F" w:rsidRPr="00E27443">
        <w:t xml:space="preserve"> </w:t>
      </w:r>
      <w:r w:rsidRPr="00E27443">
        <w:t>thematic</w:t>
      </w:r>
      <w:r w:rsidR="00C63F8F" w:rsidRPr="00E27443">
        <w:t xml:space="preserve"> </w:t>
      </w:r>
      <w:r w:rsidRPr="00E27443">
        <w:t>quality</w:t>
      </w:r>
      <w:r w:rsidR="00C63F8F" w:rsidRPr="00E27443">
        <w:t xml:space="preserve"> </w:t>
      </w:r>
      <w:r w:rsidRPr="00E27443">
        <w:t>assessments</w:t>
      </w:r>
      <w:r w:rsidR="00C63F8F" w:rsidRPr="00E27443">
        <w:t xml:space="preserve"> </w:t>
      </w:r>
      <w:r w:rsidRPr="00E27443">
        <w:t>of</w:t>
      </w:r>
      <w:r w:rsidR="00C63F8F" w:rsidRPr="00E27443">
        <w:t xml:space="preserve"> </w:t>
      </w:r>
      <w:r w:rsidRPr="00E27443">
        <w:t>the</w:t>
      </w:r>
      <w:r w:rsidR="00C63F8F" w:rsidRPr="00E27443">
        <w:t xml:space="preserve"> </w:t>
      </w:r>
      <w:r w:rsidRPr="00E27443">
        <w:t>education</w:t>
      </w:r>
      <w:r w:rsidR="00C63F8F" w:rsidRPr="00E27443">
        <w:t xml:space="preserve"> </w:t>
      </w:r>
      <w:r w:rsidRPr="00E27443">
        <w:t>for</w:t>
      </w:r>
      <w:r w:rsidR="00C63F8F" w:rsidRPr="00E27443">
        <w:t xml:space="preserve"> </w:t>
      </w:r>
      <w:r w:rsidRPr="00E27443">
        <w:t>pupils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including</w:t>
      </w:r>
      <w:r w:rsidR="00C63F8F" w:rsidRPr="00E27443">
        <w:t xml:space="preserve"> </w:t>
      </w:r>
      <w:r w:rsidRPr="00E27443">
        <w:t>for</w:t>
      </w:r>
      <w:r w:rsidR="00C63F8F" w:rsidRPr="00E27443">
        <w:t xml:space="preserve"> </w:t>
      </w:r>
      <w:r w:rsidRPr="00E27443">
        <w:t>pupils</w:t>
      </w:r>
      <w:r w:rsidR="00C63F8F" w:rsidRPr="00E27443">
        <w:t xml:space="preserve"> </w:t>
      </w:r>
      <w:r w:rsidRPr="00E27443">
        <w:t>with</w:t>
      </w:r>
      <w:r w:rsidR="00C63F8F" w:rsidRPr="00E27443">
        <w:t xml:space="preserve"> </w:t>
      </w:r>
      <w:r w:rsidRPr="00E27443">
        <w:t>developmental</w:t>
      </w:r>
      <w:r w:rsidR="00C63F8F" w:rsidRPr="00E27443">
        <w:t xml:space="preserve"> </w:t>
      </w:r>
      <w:r w:rsidRPr="00E27443">
        <w:t>disabilities.</w:t>
      </w:r>
      <w:r w:rsidR="00C63F8F" w:rsidRPr="00E27443">
        <w:t xml:space="preserve"> </w:t>
      </w:r>
    </w:p>
    <w:p w:rsidR="00321ADA" w:rsidRPr="00E27443" w:rsidRDefault="00321ADA" w:rsidP="00DB3DFD">
      <w:pPr>
        <w:pStyle w:val="SingleTxtG"/>
        <w:numPr>
          <w:ilvl w:val="0"/>
          <w:numId w:val="20"/>
        </w:numPr>
        <w:tabs>
          <w:tab w:val="left" w:pos="1843"/>
        </w:tabs>
        <w:ind w:left="1134" w:firstLine="0"/>
      </w:pPr>
      <w:r w:rsidRPr="00E27443">
        <w:t>For</w:t>
      </w:r>
      <w:r w:rsidR="00C63F8F" w:rsidRPr="00E27443">
        <w:t xml:space="preserve"> </w:t>
      </w:r>
      <w:r w:rsidRPr="00E27443">
        <w:t>adults</w:t>
      </w:r>
      <w:r w:rsidR="00C63F8F" w:rsidRPr="00E27443">
        <w:t xml:space="preserve"> </w:t>
      </w:r>
      <w:r w:rsidRPr="00E27443">
        <w:t>with</w:t>
      </w:r>
      <w:r w:rsidR="00C63F8F" w:rsidRPr="00E27443">
        <w:t xml:space="preserve"> </w:t>
      </w:r>
      <w:r w:rsidRPr="00E27443">
        <w:t>acquired</w:t>
      </w:r>
      <w:r w:rsidR="00C63F8F" w:rsidRPr="00E27443">
        <w:t xml:space="preserve"> </w:t>
      </w:r>
      <w:r w:rsidRPr="00E27443">
        <w:t>injuries,</w:t>
      </w:r>
      <w:r w:rsidR="00C63F8F" w:rsidRPr="00E27443">
        <w:t xml:space="preserve"> </w:t>
      </w:r>
      <w:r w:rsidRPr="00E27443">
        <w:t>the</w:t>
      </w:r>
      <w:r w:rsidR="00C63F8F" w:rsidRPr="00E27443">
        <w:t xml:space="preserve"> </w:t>
      </w:r>
      <w:r w:rsidRPr="00E27443">
        <w:t>county</w:t>
      </w:r>
      <w:r w:rsidR="00C63F8F" w:rsidRPr="00E27443">
        <w:t xml:space="preserve"> </w:t>
      </w:r>
      <w:r w:rsidRPr="00E27443">
        <w:t>council</w:t>
      </w:r>
      <w:r w:rsidR="00C63F8F" w:rsidRPr="00E27443">
        <w:t xml:space="preserve"> </w:t>
      </w:r>
      <w:r w:rsidRPr="00E27443">
        <w:t>has</w:t>
      </w:r>
      <w:r w:rsidR="00C63F8F" w:rsidRPr="00E27443">
        <w:t xml:space="preserve"> </w:t>
      </w:r>
      <w:r w:rsidRPr="00E27443">
        <w:t>a</w:t>
      </w:r>
      <w:r w:rsidR="00C63F8F" w:rsidRPr="00E27443">
        <w:t xml:space="preserve"> </w:t>
      </w:r>
      <w:r w:rsidRPr="00E27443">
        <w:t>responsibility</w:t>
      </w:r>
      <w:r w:rsidR="00C63F8F" w:rsidRPr="00E27443">
        <w:t xml:space="preserve"> </w:t>
      </w:r>
      <w:r w:rsidRPr="00E27443">
        <w:t>to</w:t>
      </w:r>
      <w:r w:rsidR="00C63F8F" w:rsidRPr="00E27443">
        <w:t xml:space="preserve"> </w:t>
      </w:r>
      <w:r w:rsidRPr="00E27443">
        <w:t>provide</w:t>
      </w:r>
      <w:r w:rsidR="00C63F8F" w:rsidRPr="00E27443">
        <w:t xml:space="preserve"> </w:t>
      </w:r>
      <w:r w:rsidRPr="00E27443">
        <w:t>rehabilitation.</w:t>
      </w:r>
      <w:r w:rsidR="00C63F8F" w:rsidRPr="00E27443">
        <w:t xml:space="preserve"> </w:t>
      </w:r>
      <w:r w:rsidRPr="00E27443">
        <w:t>These</w:t>
      </w:r>
      <w:r w:rsidR="00C63F8F" w:rsidRPr="00E27443">
        <w:t xml:space="preserve"> </w:t>
      </w:r>
      <w:r w:rsidRPr="00E27443">
        <w:t>persons</w:t>
      </w:r>
      <w:r w:rsidR="00C63F8F" w:rsidRPr="00E27443">
        <w:t xml:space="preserve"> </w:t>
      </w:r>
      <w:r w:rsidRPr="00E27443">
        <w:t>may</w:t>
      </w:r>
      <w:r w:rsidR="00C63F8F" w:rsidRPr="00E27443">
        <w:t xml:space="preserve"> </w:t>
      </w:r>
      <w:r w:rsidRPr="00E27443">
        <w:t>also</w:t>
      </w:r>
      <w:r w:rsidR="00C63F8F" w:rsidRPr="00E27443">
        <w:t xml:space="preserve"> </w:t>
      </w:r>
      <w:r w:rsidRPr="00E27443">
        <w:t>learn</w:t>
      </w:r>
      <w:r w:rsidR="00C63F8F" w:rsidRPr="00E27443">
        <w:t xml:space="preserve"> </w:t>
      </w:r>
      <w:r w:rsidRPr="00E27443">
        <w:t>e.g.</w:t>
      </w:r>
      <w:r w:rsidR="00C63F8F" w:rsidRPr="00E27443">
        <w:t xml:space="preserve"> </w:t>
      </w:r>
      <w:r w:rsidRPr="00E27443">
        <w:t>sign</w:t>
      </w:r>
      <w:r w:rsidR="00C63F8F" w:rsidRPr="00E27443">
        <w:t xml:space="preserve"> </w:t>
      </w:r>
      <w:r w:rsidRPr="00E27443">
        <w:t>language</w:t>
      </w:r>
      <w:r w:rsidR="00C63F8F" w:rsidRPr="00E27443">
        <w:t xml:space="preserve"> </w:t>
      </w:r>
      <w:r w:rsidRPr="00E27443">
        <w:t>within</w:t>
      </w:r>
      <w:r w:rsidR="00C63F8F" w:rsidRPr="00E27443">
        <w:t xml:space="preserve"> </w:t>
      </w:r>
      <w:r w:rsidRPr="00E27443">
        <w:t>folk</w:t>
      </w:r>
      <w:r w:rsidR="00C63F8F" w:rsidRPr="00E27443">
        <w:t xml:space="preserve"> </w:t>
      </w:r>
      <w:r w:rsidRPr="00E27443">
        <w:t>high</w:t>
      </w:r>
      <w:r w:rsidR="00C63F8F" w:rsidRPr="00E27443">
        <w:t xml:space="preserve"> </w:t>
      </w:r>
      <w:r w:rsidRPr="00E27443">
        <w:t>schools</w:t>
      </w:r>
      <w:r w:rsidR="00C63F8F" w:rsidRPr="00E27443">
        <w:t xml:space="preserve"> </w:t>
      </w:r>
      <w:r w:rsidRPr="00E27443">
        <w:t>and</w:t>
      </w:r>
      <w:r w:rsidR="00C63F8F" w:rsidRPr="00E27443">
        <w:t xml:space="preserve"> </w:t>
      </w:r>
      <w:r w:rsidRPr="00E27443">
        <w:t>adult</w:t>
      </w:r>
      <w:r w:rsidR="00C63F8F" w:rsidRPr="00E27443">
        <w:t xml:space="preserve"> </w:t>
      </w:r>
      <w:r w:rsidRPr="00E27443">
        <w:t>education</w:t>
      </w:r>
      <w:r w:rsidR="00C63F8F" w:rsidRPr="00E27443">
        <w:t xml:space="preserve"> </w:t>
      </w:r>
      <w:r w:rsidRPr="00E27443">
        <w:t>associations.</w:t>
      </w:r>
      <w:r w:rsidR="00C63F8F" w:rsidRPr="00E27443">
        <w:t xml:space="preserve"> </w:t>
      </w:r>
    </w:p>
    <w:p w:rsidR="00321ADA" w:rsidRPr="00E27443" w:rsidRDefault="001775F1" w:rsidP="00DB3DFD">
      <w:pPr>
        <w:pStyle w:val="SingleTxtG"/>
        <w:numPr>
          <w:ilvl w:val="0"/>
          <w:numId w:val="20"/>
        </w:numPr>
        <w:tabs>
          <w:tab w:val="left" w:pos="1843"/>
        </w:tabs>
        <w:ind w:left="1134" w:firstLine="0"/>
      </w:pPr>
      <w:r w:rsidRPr="00E27443">
        <w:tab/>
      </w:r>
      <w:r w:rsidR="00321ADA" w:rsidRPr="00DB3DFD">
        <w:t>Folk</w:t>
      </w:r>
      <w:r w:rsidR="00C63F8F" w:rsidRPr="00DB3DFD">
        <w:t xml:space="preserve"> </w:t>
      </w:r>
      <w:r w:rsidR="00321ADA" w:rsidRPr="00DB3DFD">
        <w:t>high</w:t>
      </w:r>
      <w:r w:rsidR="00C63F8F" w:rsidRPr="00DB3DFD">
        <w:t xml:space="preserve"> </w:t>
      </w:r>
      <w:r w:rsidR="00321ADA" w:rsidRPr="00DB3DFD">
        <w:t>schools</w:t>
      </w:r>
      <w:r w:rsidRPr="00DB3DFD">
        <w:footnoteReference w:id="101"/>
      </w:r>
      <w:r w:rsidR="00C63F8F" w:rsidRPr="00E27443">
        <w:t xml:space="preserve"> </w:t>
      </w:r>
      <w:r w:rsidR="00321ADA" w:rsidRPr="00E27443">
        <w:t>provide</w:t>
      </w:r>
      <w:r w:rsidR="00C63F8F" w:rsidRPr="00E27443">
        <w:t xml:space="preserve"> </w:t>
      </w:r>
      <w:r w:rsidR="00321ADA" w:rsidRPr="00E27443">
        <w:t>extensive</w:t>
      </w:r>
      <w:r w:rsidR="00C63F8F" w:rsidRPr="00E27443">
        <w:t xml:space="preserve"> </w:t>
      </w:r>
      <w:r w:rsidR="00321ADA" w:rsidRPr="00E27443">
        <w:t>education</w:t>
      </w:r>
      <w:r w:rsidR="00C63F8F" w:rsidRPr="00E27443">
        <w:t xml:space="preserve"> </w:t>
      </w:r>
      <w:r w:rsidR="00321ADA" w:rsidRPr="00E27443">
        <w:t>for</w:t>
      </w:r>
      <w:r w:rsidR="00C63F8F" w:rsidRPr="00E27443">
        <w:t xml:space="preserve"> </w:t>
      </w:r>
      <w:r w:rsidR="00321ADA" w:rsidRPr="00E27443">
        <w:t>persons</w:t>
      </w:r>
      <w:r w:rsidR="00C63F8F" w:rsidRPr="00E27443">
        <w:t xml:space="preserve"> </w:t>
      </w:r>
      <w:r w:rsidR="00321ADA" w:rsidRPr="00E27443">
        <w:t>with</w:t>
      </w:r>
      <w:r w:rsidR="00C63F8F" w:rsidRPr="00E27443">
        <w:t xml:space="preserve"> </w:t>
      </w:r>
      <w:r w:rsidR="00321ADA" w:rsidRPr="00E27443">
        <w:t>disabilities.</w:t>
      </w:r>
      <w:r w:rsidR="00C63F8F" w:rsidRPr="00E27443">
        <w:t xml:space="preserve"> </w:t>
      </w:r>
      <w:r w:rsidR="00321ADA" w:rsidRPr="00E27443">
        <w:t>Just</w:t>
      </w:r>
      <w:r w:rsidR="00C63F8F" w:rsidRPr="00E27443">
        <w:t xml:space="preserve"> </w:t>
      </w:r>
      <w:r w:rsidR="00321ADA" w:rsidRPr="00E27443">
        <w:t>over</w:t>
      </w:r>
      <w:r w:rsidR="00C63F8F" w:rsidRPr="00E27443">
        <w:t xml:space="preserve"> </w:t>
      </w:r>
      <w:r w:rsidR="00321ADA" w:rsidRPr="00E27443">
        <w:t>10%</w:t>
      </w:r>
      <w:r w:rsidR="00C63F8F" w:rsidRPr="00E27443">
        <w:t xml:space="preserve"> </w:t>
      </w:r>
      <w:r w:rsidR="00321ADA" w:rsidRPr="00E27443">
        <w:t>of</w:t>
      </w:r>
      <w:r w:rsidR="00C63F8F" w:rsidRPr="00E27443">
        <w:t xml:space="preserve"> </w:t>
      </w:r>
      <w:r w:rsidR="00321ADA" w:rsidRPr="00E27443">
        <w:t>the</w:t>
      </w:r>
      <w:r w:rsidR="00C63F8F" w:rsidRPr="00E27443">
        <w:t xml:space="preserve"> </w:t>
      </w:r>
      <w:r w:rsidR="00321ADA" w:rsidRPr="00E27443">
        <w:t>state</w:t>
      </w:r>
      <w:r w:rsidR="00C63F8F" w:rsidRPr="00E27443">
        <w:t xml:space="preserve"> </w:t>
      </w:r>
      <w:r w:rsidR="00321ADA" w:rsidRPr="00E27443">
        <w:t>subsidy</w:t>
      </w:r>
      <w:r w:rsidR="00C63F8F" w:rsidRPr="00E27443">
        <w:t xml:space="preserve"> </w:t>
      </w:r>
      <w:r w:rsidR="00321ADA" w:rsidRPr="00E27443">
        <w:t>for</w:t>
      </w:r>
      <w:r w:rsidR="00C63F8F" w:rsidRPr="00E27443">
        <w:t xml:space="preserve"> </w:t>
      </w:r>
      <w:r w:rsidR="00321ADA" w:rsidRPr="00E27443">
        <w:t>liberal</w:t>
      </w:r>
      <w:r w:rsidR="00C63F8F" w:rsidRPr="00E27443">
        <w:t xml:space="preserve"> </w:t>
      </w:r>
      <w:r w:rsidR="00321ADA" w:rsidRPr="00E27443">
        <w:t>adult</w:t>
      </w:r>
      <w:r w:rsidR="00C63F8F" w:rsidRPr="00E27443">
        <w:t xml:space="preserve"> </w:t>
      </w:r>
      <w:r w:rsidR="00321ADA" w:rsidRPr="00E27443">
        <w:t>education</w:t>
      </w:r>
      <w:r w:rsidR="00C63F8F" w:rsidRPr="00E27443">
        <w:t xml:space="preserve"> </w:t>
      </w:r>
      <w:r w:rsidR="00321ADA" w:rsidRPr="00E27443">
        <w:t>(study</w:t>
      </w:r>
      <w:r w:rsidR="00C63F8F" w:rsidRPr="00E27443">
        <w:t xml:space="preserve"> </w:t>
      </w:r>
      <w:r w:rsidR="00321ADA" w:rsidRPr="00E27443">
        <w:t>associations</w:t>
      </w:r>
      <w:r w:rsidR="00C63F8F" w:rsidRPr="00E27443">
        <w:t xml:space="preserve"> </w:t>
      </w:r>
      <w:r w:rsidR="00321ADA" w:rsidRPr="00E27443">
        <w:t>and</w:t>
      </w:r>
      <w:r w:rsidR="00C63F8F" w:rsidRPr="00E27443">
        <w:t xml:space="preserve"> </w:t>
      </w:r>
      <w:r w:rsidR="00321ADA" w:rsidRPr="00E27443">
        <w:t>folk</w:t>
      </w:r>
      <w:r w:rsidR="00C63F8F" w:rsidRPr="00E27443">
        <w:t xml:space="preserve"> </w:t>
      </w:r>
      <w:r w:rsidR="00321ADA" w:rsidRPr="00E27443">
        <w:t>high</w:t>
      </w:r>
      <w:r w:rsidR="00C63F8F" w:rsidRPr="00E27443">
        <w:t xml:space="preserve"> </w:t>
      </w:r>
      <w:r w:rsidR="00321ADA" w:rsidRPr="00E27443">
        <w:t>schools),</w:t>
      </w:r>
      <w:r w:rsidR="00C63F8F" w:rsidRPr="00E27443">
        <w:t xml:space="preserve"> </w:t>
      </w:r>
      <w:r w:rsidR="00321ADA" w:rsidRPr="00E27443">
        <w:t>totalling</w:t>
      </w:r>
      <w:r w:rsidR="00C63F8F" w:rsidRPr="00E27443">
        <w:t xml:space="preserve"> </w:t>
      </w:r>
      <w:r w:rsidR="00321ADA" w:rsidRPr="00E27443">
        <w:t>SEK</w:t>
      </w:r>
      <w:r w:rsidR="00C63F8F" w:rsidRPr="00E27443">
        <w:t xml:space="preserve"> </w:t>
      </w:r>
      <w:r w:rsidR="00321ADA" w:rsidRPr="00E27443">
        <w:t>3.2</w:t>
      </w:r>
      <w:r w:rsidR="00C63F8F" w:rsidRPr="00E27443">
        <w:t xml:space="preserve"> </w:t>
      </w:r>
      <w:r w:rsidR="00321ADA" w:rsidRPr="00E27443">
        <w:t>billion,</w:t>
      </w:r>
      <w:r w:rsidR="00C63F8F" w:rsidRPr="00E27443">
        <w:t xml:space="preserve"> </w:t>
      </w:r>
      <w:r w:rsidR="00321ADA" w:rsidRPr="00E27443">
        <w:t>is</w:t>
      </w:r>
      <w:r w:rsidR="00C63F8F" w:rsidRPr="00E27443">
        <w:t xml:space="preserve"> </w:t>
      </w:r>
      <w:r w:rsidR="00321ADA" w:rsidRPr="00E27443">
        <w:t>used</w:t>
      </w:r>
      <w:r w:rsidR="00C63F8F" w:rsidRPr="00E27443">
        <w:t xml:space="preserve"> </w:t>
      </w:r>
      <w:r w:rsidR="00321ADA" w:rsidRPr="00E27443">
        <w:t>to</w:t>
      </w:r>
      <w:r w:rsidR="00C63F8F" w:rsidRPr="00E27443">
        <w:t xml:space="preserve"> </w:t>
      </w:r>
      <w:r w:rsidR="00321ADA" w:rsidRPr="00E27443">
        <w:t>facilitate</w:t>
      </w:r>
      <w:r w:rsidR="00C63F8F" w:rsidRPr="00E27443">
        <w:t xml:space="preserve"> </w:t>
      </w:r>
      <w:r w:rsidR="00321ADA" w:rsidRPr="00E27443">
        <w:t>education</w:t>
      </w:r>
      <w:r w:rsidR="00C63F8F" w:rsidRPr="00E27443">
        <w:t xml:space="preserve"> </w:t>
      </w:r>
      <w:r w:rsidR="00321ADA" w:rsidRPr="00E27443">
        <w:t>for</w:t>
      </w:r>
      <w:r w:rsidR="00C63F8F" w:rsidRPr="00E27443">
        <w:t xml:space="preserve"> </w:t>
      </w:r>
      <w:r w:rsidR="00321ADA" w:rsidRPr="00E27443">
        <w:t>persons</w:t>
      </w:r>
      <w:r w:rsidR="00C63F8F" w:rsidRPr="00E27443">
        <w:t xml:space="preserve"> </w:t>
      </w:r>
      <w:r w:rsidR="00321ADA" w:rsidRPr="00E27443">
        <w:t>with</w:t>
      </w:r>
      <w:r w:rsidR="00C63F8F" w:rsidRPr="00E27443">
        <w:t xml:space="preserve"> </w:t>
      </w:r>
      <w:r w:rsidR="00321ADA" w:rsidRPr="00E27443">
        <w:t>disabilities.</w:t>
      </w:r>
      <w:r w:rsidR="00C63F8F" w:rsidRPr="00E27443">
        <w:t xml:space="preserve"> </w:t>
      </w:r>
      <w:r w:rsidR="00321ADA" w:rsidRPr="00E27443">
        <w:t>The</w:t>
      </w:r>
      <w:r w:rsidR="00C63F8F" w:rsidRPr="00E27443">
        <w:t xml:space="preserve"> </w:t>
      </w:r>
      <w:r w:rsidR="00321ADA" w:rsidRPr="00E27443">
        <w:t>State</w:t>
      </w:r>
      <w:r w:rsidR="00C63F8F" w:rsidRPr="00E27443">
        <w:t xml:space="preserve"> </w:t>
      </w:r>
      <w:r w:rsidR="00321ADA" w:rsidRPr="00E27443">
        <w:t>also</w:t>
      </w:r>
      <w:r w:rsidR="00C63F8F" w:rsidRPr="00E27443">
        <w:t xml:space="preserve"> </w:t>
      </w:r>
      <w:r w:rsidR="00321ADA" w:rsidRPr="00E27443">
        <w:t>sets</w:t>
      </w:r>
      <w:r w:rsidR="00C63F8F" w:rsidRPr="00E27443">
        <w:t xml:space="preserve"> </w:t>
      </w:r>
      <w:r w:rsidR="00321ADA" w:rsidRPr="00E27443">
        <w:t>aside</w:t>
      </w:r>
      <w:r w:rsidR="00C63F8F" w:rsidRPr="00E27443">
        <w:t xml:space="preserve"> </w:t>
      </w:r>
      <w:r w:rsidR="00321ADA" w:rsidRPr="00E27443">
        <w:t>a</w:t>
      </w:r>
      <w:r w:rsidR="00C63F8F" w:rsidRPr="00E27443">
        <w:t xml:space="preserve"> </w:t>
      </w:r>
      <w:r w:rsidR="00321ADA" w:rsidRPr="00E27443">
        <w:t>further</w:t>
      </w:r>
      <w:r w:rsidR="00C63F8F" w:rsidRPr="00E27443">
        <w:t xml:space="preserve"> </w:t>
      </w:r>
      <w:r w:rsidR="00321ADA" w:rsidRPr="00E27443">
        <w:t>approximately</w:t>
      </w:r>
      <w:r w:rsidR="00C63F8F" w:rsidRPr="00E27443">
        <w:t xml:space="preserve"> </w:t>
      </w:r>
      <w:r w:rsidR="00321ADA" w:rsidRPr="00E27443">
        <w:t>SEK</w:t>
      </w:r>
      <w:r w:rsidR="00C63F8F" w:rsidRPr="00E27443">
        <w:t xml:space="preserve"> </w:t>
      </w:r>
      <w:r w:rsidR="00321ADA" w:rsidRPr="00E27443">
        <w:t>100</w:t>
      </w:r>
      <w:r w:rsidR="00C63F8F" w:rsidRPr="00E27443">
        <w:t xml:space="preserve"> </w:t>
      </w:r>
      <w:r w:rsidR="00321ADA" w:rsidRPr="00E27443">
        <w:t>million</w:t>
      </w:r>
      <w:r w:rsidR="00C63F8F" w:rsidRPr="00E27443">
        <w:t xml:space="preserve"> </w:t>
      </w:r>
      <w:r w:rsidR="00321ADA" w:rsidRPr="00E27443">
        <w:t>each</w:t>
      </w:r>
      <w:r w:rsidR="00C63F8F" w:rsidRPr="00E27443">
        <w:t xml:space="preserve"> </w:t>
      </w:r>
      <w:r w:rsidR="00321ADA" w:rsidRPr="00E27443">
        <w:t>year</w:t>
      </w:r>
      <w:r w:rsidR="00C63F8F" w:rsidRPr="00E27443">
        <w:t xml:space="preserve"> </w:t>
      </w:r>
      <w:r w:rsidR="00321ADA" w:rsidRPr="00E27443">
        <w:t>for</w:t>
      </w:r>
      <w:r w:rsidR="00C63F8F" w:rsidRPr="00E27443">
        <w:t xml:space="preserve"> </w:t>
      </w:r>
      <w:r w:rsidR="00321ADA" w:rsidRPr="00E27443">
        <w:t>the</w:t>
      </w:r>
      <w:r w:rsidR="00C63F8F" w:rsidRPr="00E27443">
        <w:t xml:space="preserve"> </w:t>
      </w:r>
      <w:r w:rsidR="00321ADA" w:rsidRPr="00E27443">
        <w:t>same</w:t>
      </w:r>
      <w:r w:rsidR="00C63F8F" w:rsidRPr="00E27443">
        <w:t xml:space="preserve"> </w:t>
      </w:r>
      <w:r w:rsidR="00321ADA" w:rsidRPr="00E27443">
        <w:t>purpose.</w:t>
      </w:r>
      <w:r w:rsidR="00C63F8F" w:rsidRPr="00E27443">
        <w:t xml:space="preserve"> </w:t>
      </w:r>
    </w:p>
    <w:p w:rsidR="00321ADA" w:rsidRPr="00E27443" w:rsidRDefault="00321ADA" w:rsidP="00DB3DFD">
      <w:pPr>
        <w:pStyle w:val="SingleTxtG"/>
        <w:numPr>
          <w:ilvl w:val="0"/>
          <w:numId w:val="20"/>
        </w:numPr>
        <w:tabs>
          <w:tab w:val="left" w:pos="1843"/>
        </w:tabs>
        <w:ind w:left="1134" w:firstLine="0"/>
      </w:pP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DB3DFD">
        <w:t>university</w:t>
      </w:r>
      <w:r w:rsidR="00C63F8F" w:rsidRPr="00DB3DFD">
        <w:t xml:space="preserve"> </w:t>
      </w:r>
      <w:r w:rsidRPr="00DB3DFD">
        <w:t>education</w:t>
      </w:r>
      <w:r w:rsidRPr="00E27443">
        <w:t>,</w:t>
      </w:r>
      <w:r w:rsidR="00C63F8F" w:rsidRPr="00E27443">
        <w:t xml:space="preserve"> </w:t>
      </w:r>
      <w:r w:rsidRPr="00E27443">
        <w:t>each</w:t>
      </w:r>
      <w:r w:rsidR="00C63F8F" w:rsidRPr="00E27443">
        <w:t xml:space="preserve"> </w:t>
      </w:r>
      <w:r w:rsidRPr="00E27443">
        <w:t>university</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w:t>
      </w:r>
      <w:r w:rsidR="00C63F8F" w:rsidRPr="00E27443">
        <w:t xml:space="preserve"> </w:t>
      </w:r>
      <w:r w:rsidRPr="00E27443">
        <w:t>must</w:t>
      </w:r>
      <w:r w:rsidR="00C63F8F" w:rsidRPr="00E27443">
        <w:t xml:space="preserve"> </w:t>
      </w:r>
      <w:r w:rsidRPr="00E27443">
        <w:t>ensure</w:t>
      </w:r>
      <w:r w:rsidR="00C63F8F" w:rsidRPr="00E27443">
        <w:t xml:space="preserve"> </w:t>
      </w:r>
      <w:r w:rsidRPr="00E27443">
        <w:t>that</w:t>
      </w:r>
      <w:r w:rsidR="00C63F8F" w:rsidRPr="00E27443">
        <w:t xml:space="preserve"> </w:t>
      </w:r>
      <w:r w:rsidRPr="00E27443">
        <w:t>students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have</w:t>
      </w:r>
      <w:r w:rsidR="00C63F8F" w:rsidRPr="00E27443">
        <w:t xml:space="preserve"> </w:t>
      </w:r>
      <w:r w:rsidRPr="00E27443">
        <w:t>access</w:t>
      </w:r>
      <w:r w:rsidR="00C63F8F" w:rsidRPr="00E27443">
        <w:t xml:space="preserve"> </w:t>
      </w:r>
      <w:r w:rsidRPr="00E27443">
        <w:t>to</w:t>
      </w:r>
      <w:r w:rsidR="00C63F8F" w:rsidRPr="00E27443">
        <w:t xml:space="preserve"> </w:t>
      </w:r>
      <w:r w:rsidRPr="00E27443">
        <w:t>educational</w:t>
      </w:r>
      <w:r w:rsidR="00C63F8F" w:rsidRPr="00E27443">
        <w:t xml:space="preserve"> </w:t>
      </w:r>
      <w:r w:rsidRPr="00E27443">
        <w:t>support</w:t>
      </w:r>
      <w:r w:rsidR="00C63F8F" w:rsidRPr="00E27443">
        <w:t xml:space="preserve"> </w:t>
      </w:r>
      <w:r w:rsidRPr="00E27443">
        <w:t>measures.</w:t>
      </w:r>
      <w:r w:rsidR="00C63F8F" w:rsidRPr="00E27443">
        <w:t xml:space="preserve"> </w:t>
      </w:r>
      <w:r w:rsidRPr="00E27443">
        <w:t>These</w:t>
      </w:r>
      <w:r w:rsidR="00C63F8F" w:rsidRPr="00E27443">
        <w:t xml:space="preserve"> </w:t>
      </w:r>
      <w:r w:rsidRPr="00E27443">
        <w:t>educational</w:t>
      </w:r>
      <w:r w:rsidR="00C63F8F" w:rsidRPr="00E27443">
        <w:t xml:space="preserve"> </w:t>
      </w:r>
      <w:r w:rsidRPr="00E27443">
        <w:t>support</w:t>
      </w:r>
      <w:r w:rsidR="00C63F8F" w:rsidRPr="00E27443">
        <w:t xml:space="preserve"> </w:t>
      </w:r>
      <w:r w:rsidRPr="00E27443">
        <w:t>measures</w:t>
      </w:r>
      <w:r w:rsidR="00C63F8F" w:rsidRPr="00E27443">
        <w:t xml:space="preserve"> </w:t>
      </w:r>
      <w:r w:rsidRPr="00E27443">
        <w:t>are</w:t>
      </w:r>
      <w:r w:rsidR="00C63F8F" w:rsidRPr="00E27443">
        <w:t xml:space="preserve"> </w:t>
      </w:r>
      <w:r w:rsidRPr="00E27443">
        <w:t>financed</w:t>
      </w:r>
      <w:r w:rsidR="00C63F8F" w:rsidRPr="00E27443">
        <w:t xml:space="preserve"> </w:t>
      </w:r>
      <w:r w:rsidRPr="00E27443">
        <w:t>in</w:t>
      </w:r>
      <w:r w:rsidR="00C63F8F" w:rsidRPr="00E27443">
        <w:t xml:space="preserve"> </w:t>
      </w:r>
      <w:r w:rsidRPr="00E27443">
        <w:t>the</w:t>
      </w:r>
      <w:r w:rsidR="00C63F8F" w:rsidRPr="00E27443">
        <w:t xml:space="preserve"> </w:t>
      </w:r>
      <w:r w:rsidRPr="00E27443">
        <w:t>first</w:t>
      </w:r>
      <w:r w:rsidR="00C63F8F" w:rsidRPr="00E27443">
        <w:t xml:space="preserve"> </w:t>
      </w:r>
      <w:r w:rsidRPr="00E27443">
        <w:t>instance</w:t>
      </w:r>
      <w:r w:rsidR="00C63F8F" w:rsidRPr="00E27443">
        <w:t xml:space="preserve"> </w:t>
      </w:r>
      <w:r w:rsidRPr="00E27443">
        <w:t>by</w:t>
      </w:r>
      <w:r w:rsidR="00C63F8F" w:rsidRPr="00E27443">
        <w:t xml:space="preserve"> </w:t>
      </w:r>
      <w:r w:rsidRPr="00E27443">
        <w:t>means</w:t>
      </w:r>
      <w:r w:rsidR="00C63F8F" w:rsidRPr="00E27443">
        <w:t xml:space="preserve"> </w:t>
      </w:r>
      <w:r w:rsidRPr="00E27443">
        <w:t>of</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setting</w:t>
      </w:r>
      <w:r w:rsidR="00C63F8F" w:rsidRPr="00E27443">
        <w:t xml:space="preserve"> </w:t>
      </w:r>
      <w:r w:rsidRPr="00E27443">
        <w:t>aside</w:t>
      </w:r>
      <w:r w:rsidR="00C63F8F" w:rsidRPr="00E27443">
        <w:t xml:space="preserve"> </w:t>
      </w:r>
      <w:r w:rsidRPr="00E27443">
        <w:t>0.3</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their</w:t>
      </w:r>
      <w:r w:rsidR="00C63F8F" w:rsidRPr="00E27443">
        <w:t xml:space="preserve"> </w:t>
      </w:r>
      <w:r w:rsidRPr="00E27443">
        <w:t>grants</w:t>
      </w:r>
      <w:r w:rsidR="00C63F8F" w:rsidRPr="00E27443">
        <w:t xml:space="preserve"> </w:t>
      </w:r>
      <w:r w:rsidRPr="00E27443">
        <w:t>for</w:t>
      </w:r>
      <w:r w:rsidR="00C63F8F" w:rsidRPr="00E27443">
        <w:t xml:space="preserve"> </w:t>
      </w:r>
      <w:r w:rsidRPr="00E27443">
        <w:t>undergraduate</w:t>
      </w:r>
      <w:r w:rsidR="00C63F8F" w:rsidRPr="00E27443">
        <w:t xml:space="preserve"> </w:t>
      </w:r>
      <w:r w:rsidRPr="00E27443">
        <w:t>education</w:t>
      </w:r>
      <w:r w:rsidR="00C63F8F" w:rsidRPr="00E27443">
        <w:t xml:space="preserve"> </w:t>
      </w:r>
      <w:r w:rsidRPr="00E27443">
        <w:t>for</w:t>
      </w:r>
      <w:r w:rsidR="00C63F8F" w:rsidRPr="00E27443">
        <w:t xml:space="preserve"> </w:t>
      </w:r>
      <w:r w:rsidRPr="00E27443">
        <w:t>this</w:t>
      </w:r>
      <w:r w:rsidR="00C63F8F" w:rsidRPr="00E27443">
        <w:t xml:space="preserve"> </w:t>
      </w:r>
      <w:r w:rsidRPr="00E27443">
        <w:t>purpose.</w:t>
      </w:r>
      <w:r w:rsidR="00C63F8F" w:rsidRPr="00E27443">
        <w:t xml:space="preserve"> </w:t>
      </w:r>
      <w:r w:rsidRPr="00E27443">
        <w:t>The</w:t>
      </w:r>
      <w:r w:rsidR="00C63F8F" w:rsidRPr="00E27443">
        <w:t xml:space="preserve"> </w:t>
      </w:r>
      <w:r w:rsidRPr="00E27443">
        <w:t>educational</w:t>
      </w:r>
      <w:r w:rsidR="00C63F8F" w:rsidRPr="00E27443">
        <w:t xml:space="preserve"> </w:t>
      </w:r>
      <w:r w:rsidRPr="00E27443">
        <w:t>centre</w:t>
      </w:r>
      <w:r w:rsidR="00C63F8F" w:rsidRPr="00E27443">
        <w:t xml:space="preserve"> </w:t>
      </w:r>
      <w:r w:rsidRPr="00E27443">
        <w:t>may</w:t>
      </w:r>
      <w:r w:rsidR="00C63F8F" w:rsidRPr="00E27443">
        <w:t xml:space="preserve"> </w:t>
      </w:r>
      <w:r w:rsidRPr="00E27443">
        <w:t>also</w:t>
      </w:r>
      <w:r w:rsidR="00C63F8F" w:rsidRPr="00E27443">
        <w:t xml:space="preserve"> </w:t>
      </w:r>
      <w:r w:rsidRPr="00E27443">
        <w:t>apply</w:t>
      </w:r>
      <w:r w:rsidR="00C63F8F" w:rsidRPr="00E27443">
        <w:t xml:space="preserve"> </w:t>
      </w:r>
      <w:r w:rsidRPr="00E27443">
        <w:t>for</w:t>
      </w:r>
      <w:r w:rsidR="00C63F8F" w:rsidRPr="00E27443">
        <w:t xml:space="preserve"> </w:t>
      </w:r>
      <w:r w:rsidRPr="00E27443">
        <w:t>nationally</w:t>
      </w:r>
      <w:r w:rsidR="00C63F8F" w:rsidRPr="00E27443">
        <w:t xml:space="preserve"> </w:t>
      </w:r>
      <w:r w:rsidRPr="00E27443">
        <w:t>allocated</w:t>
      </w:r>
      <w:r w:rsidR="00C63F8F" w:rsidRPr="00E27443">
        <w:t xml:space="preserve"> </w:t>
      </w:r>
      <w:r w:rsidRPr="00E27443">
        <w:t>funds.</w:t>
      </w:r>
      <w:r w:rsidR="00C63F8F" w:rsidRPr="00E27443">
        <w:t xml:space="preserve"> </w:t>
      </w:r>
    </w:p>
    <w:p w:rsidR="00321ADA" w:rsidRPr="00E27443" w:rsidRDefault="00321ADA" w:rsidP="002817DB">
      <w:pPr>
        <w:pStyle w:val="SingleTxtG"/>
        <w:numPr>
          <w:ilvl w:val="0"/>
          <w:numId w:val="20"/>
        </w:numPr>
        <w:tabs>
          <w:tab w:val="left" w:pos="1843"/>
        </w:tabs>
        <w:ind w:left="1134" w:firstLine="0"/>
      </w:pPr>
      <w:r w:rsidRPr="00E27443">
        <w:t>Almost</w:t>
      </w:r>
      <w:r w:rsidR="00C63F8F" w:rsidRPr="00E27443">
        <w:t xml:space="preserve"> </w:t>
      </w:r>
      <w:r w:rsidRPr="00E27443">
        <w:t>all</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have</w:t>
      </w:r>
      <w:r w:rsidR="00C63F8F" w:rsidRPr="00E27443">
        <w:t xml:space="preserve"> </w:t>
      </w:r>
      <w:r w:rsidRPr="00E27443">
        <w:t>special</w:t>
      </w:r>
      <w:r w:rsidR="00C63F8F" w:rsidRPr="00E27443">
        <w:t xml:space="preserve"> </w:t>
      </w:r>
      <w:r w:rsidRPr="00E27443">
        <w:t>contact</w:t>
      </w:r>
      <w:r w:rsidR="00C63F8F" w:rsidRPr="00E27443">
        <w:t xml:space="preserve"> </w:t>
      </w:r>
      <w:r w:rsidRPr="00E27443">
        <w:t>persons</w:t>
      </w:r>
      <w:r w:rsidR="00C63F8F" w:rsidRPr="00E27443">
        <w:t xml:space="preserve"> </w:t>
      </w:r>
      <w:r w:rsidRPr="00E27443">
        <w:t>and</w:t>
      </w:r>
      <w:r w:rsidR="00C63F8F" w:rsidRPr="00E27443">
        <w:t xml:space="preserve"> </w:t>
      </w:r>
      <w:r w:rsidRPr="00E27443">
        <w:t>co-ordinators</w:t>
      </w:r>
      <w:r w:rsidR="00C63F8F" w:rsidRPr="00E27443">
        <w:t xml:space="preserve"> </w:t>
      </w:r>
      <w:r w:rsidRPr="00E27443">
        <w:t>for</w:t>
      </w:r>
      <w:r w:rsidR="00C63F8F" w:rsidRPr="00E27443">
        <w:t xml:space="preserve"> </w:t>
      </w:r>
      <w:r w:rsidRPr="00E27443">
        <w:t>students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Examples</w:t>
      </w:r>
      <w:r w:rsidR="00C63F8F" w:rsidRPr="00E27443">
        <w:t xml:space="preserve"> </w:t>
      </w:r>
      <w:r w:rsidRPr="00E27443">
        <w:t>of</w:t>
      </w:r>
      <w:r w:rsidR="00C63F8F" w:rsidRPr="00E27443">
        <w:t xml:space="preserve"> </w:t>
      </w:r>
      <w:r w:rsidRPr="00E27443">
        <w:t>support</w:t>
      </w:r>
      <w:r w:rsidR="00C63F8F" w:rsidRPr="00E27443">
        <w:t xml:space="preserve"> </w:t>
      </w:r>
      <w:r w:rsidRPr="00E27443">
        <w:t>measures</w:t>
      </w:r>
      <w:r w:rsidR="00C63F8F" w:rsidRPr="00E27443">
        <w:t xml:space="preserve"> </w:t>
      </w:r>
      <w:r w:rsidRPr="00E27443">
        <w:t>that</w:t>
      </w:r>
      <w:r w:rsidR="00C63F8F" w:rsidRPr="00E27443">
        <w:t xml:space="preserve"> </w:t>
      </w:r>
      <w:r w:rsidRPr="00E27443">
        <w:t>may</w:t>
      </w:r>
      <w:r w:rsidR="00C63F8F" w:rsidRPr="00E27443">
        <w:t xml:space="preserve"> </w:t>
      </w:r>
      <w:r w:rsidRPr="00E27443">
        <w:t>be</w:t>
      </w:r>
      <w:r w:rsidR="00C63F8F" w:rsidRPr="00E27443">
        <w:t xml:space="preserve"> </w:t>
      </w:r>
      <w:r w:rsidRPr="00E27443">
        <w:t>offered</w:t>
      </w:r>
      <w:r w:rsidR="00C63F8F" w:rsidRPr="00E27443">
        <w:t xml:space="preserve"> </w:t>
      </w:r>
      <w:r w:rsidRPr="00E27443">
        <w:t>include</w:t>
      </w:r>
      <w:r w:rsidR="00C63F8F" w:rsidRPr="00E27443">
        <w:t xml:space="preserve"> </w:t>
      </w:r>
      <w:r w:rsidRPr="00E27443">
        <w:t>adapted</w:t>
      </w:r>
      <w:r w:rsidR="00C63F8F" w:rsidRPr="00E27443">
        <w:t xml:space="preserve"> </w:t>
      </w:r>
      <w:r w:rsidRPr="00E27443">
        <w:t>examinations,</w:t>
      </w:r>
      <w:r w:rsidR="00C63F8F" w:rsidRPr="00E27443">
        <w:t xml:space="preserve"> </w:t>
      </w:r>
      <w:r w:rsidRPr="00E27443">
        <w:t>literature</w:t>
      </w:r>
      <w:r w:rsidR="00C63F8F" w:rsidRPr="00E27443">
        <w:t xml:space="preserve"> </w:t>
      </w:r>
      <w:r w:rsidRPr="00E27443">
        <w:t>on</w:t>
      </w:r>
      <w:r w:rsidR="00C63F8F" w:rsidRPr="00E27443">
        <w:t xml:space="preserve"> </w:t>
      </w:r>
      <w:r w:rsidRPr="00E27443">
        <w:t>adapted</w:t>
      </w:r>
      <w:r w:rsidR="00C63F8F" w:rsidRPr="00E27443">
        <w:t xml:space="preserve"> </w:t>
      </w:r>
      <w:r w:rsidRPr="00E27443">
        <w:t>media,</w:t>
      </w:r>
      <w:r w:rsidR="00C63F8F" w:rsidRPr="00E27443">
        <w:t xml:space="preserve"> </w:t>
      </w:r>
      <w:r w:rsidRPr="00E27443">
        <w:t>note-taking</w:t>
      </w:r>
      <w:r w:rsidR="00C63F8F" w:rsidRPr="00E27443">
        <w:t xml:space="preserve"> </w:t>
      </w:r>
      <w:r w:rsidRPr="00E27443">
        <w:t>support,</w:t>
      </w:r>
      <w:r w:rsidR="00C63F8F" w:rsidRPr="00E27443">
        <w:t xml:space="preserve"> </w:t>
      </w:r>
      <w:r w:rsidRPr="00E27443">
        <w:t>mentorship,</w:t>
      </w:r>
      <w:r w:rsidR="00C63F8F" w:rsidRPr="00E27443">
        <w:t xml:space="preserve"> </w:t>
      </w:r>
      <w:r w:rsidRPr="00E27443">
        <w:t>additional</w:t>
      </w:r>
      <w:r w:rsidR="00C63F8F" w:rsidRPr="00E27443">
        <w:t xml:space="preserve"> </w:t>
      </w:r>
      <w:r w:rsidRPr="00E27443">
        <w:t>guidance,</w:t>
      </w:r>
      <w:r w:rsidR="00C63F8F" w:rsidRPr="00E27443">
        <w:t xml:space="preserve"> </w:t>
      </w:r>
      <w:r w:rsidRPr="00E27443">
        <w:t>language</w:t>
      </w:r>
      <w:r w:rsidR="00C63F8F" w:rsidRPr="00E27443">
        <w:t xml:space="preserve"> </w:t>
      </w:r>
      <w:r w:rsidRPr="00E27443">
        <w:t>support</w:t>
      </w:r>
      <w:r w:rsidR="00C63F8F" w:rsidRPr="00E27443">
        <w:t xml:space="preserve"> </w:t>
      </w:r>
      <w:r w:rsidRPr="00E27443">
        <w:t>and</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inter</w:t>
      </w:r>
      <w:r w:rsidRPr="00E27443">
        <w:softHyphen/>
        <w:t>preting.</w:t>
      </w:r>
      <w:r w:rsidR="00C63F8F" w:rsidRPr="00E27443">
        <w:t xml:space="preserve"> </w:t>
      </w:r>
      <w:r w:rsidRPr="00E27443">
        <w:t>Some</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employ</w:t>
      </w:r>
      <w:r w:rsidR="00C63F8F" w:rsidRPr="00E27443">
        <w:t xml:space="preserve"> </w:t>
      </w:r>
      <w:r w:rsidRPr="00E27443">
        <w:t>interpreters</w:t>
      </w:r>
      <w:r w:rsidR="00C63F8F" w:rsidRPr="00E27443">
        <w:t xml:space="preserve"> </w:t>
      </w:r>
      <w:r w:rsidRPr="00E27443">
        <w:t>to</w:t>
      </w:r>
      <w:r w:rsidR="00C63F8F" w:rsidRPr="00E27443">
        <w:t xml:space="preserve"> </w:t>
      </w:r>
      <w:r w:rsidRPr="00E27443">
        <w:t>interpret</w:t>
      </w:r>
      <w:r w:rsidR="00C63F8F" w:rsidRPr="00E27443">
        <w:t xml:space="preserve"> </w:t>
      </w:r>
      <w:r w:rsidRPr="00E27443">
        <w:t>lessons.</w:t>
      </w:r>
      <w:r w:rsidR="00C63F8F" w:rsidRPr="00E27443">
        <w:t xml:space="preserve"> </w:t>
      </w:r>
    </w:p>
    <w:p w:rsidR="00321ADA" w:rsidRPr="00E27443" w:rsidRDefault="00321ADA" w:rsidP="002817DB">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Agency</w:t>
      </w:r>
      <w:r w:rsidR="00C63F8F" w:rsidRPr="00E27443">
        <w:t xml:space="preserve"> </w:t>
      </w:r>
      <w:r w:rsidRPr="00E27443">
        <w:t>for</w:t>
      </w:r>
      <w:r w:rsidR="00C63F8F" w:rsidRPr="00E27443">
        <w:t xml:space="preserve"> </w:t>
      </w:r>
      <w:r w:rsidRPr="00E27443">
        <w:t>Higher</w:t>
      </w:r>
      <w:r w:rsidR="00C63F8F" w:rsidRPr="00E27443">
        <w:t xml:space="preserve"> </w:t>
      </w:r>
      <w:r w:rsidRPr="00E27443">
        <w:t>Education</w:t>
      </w:r>
      <w:r w:rsidR="001775F1" w:rsidRPr="002817DB">
        <w:footnoteReference w:id="102"/>
      </w:r>
      <w:r w:rsidR="00C63F8F" w:rsidRPr="00E27443">
        <w:t xml:space="preserve"> </w:t>
      </w:r>
      <w:r w:rsidRPr="00E27443">
        <w:t>has</w:t>
      </w:r>
      <w:r w:rsidR="00C63F8F" w:rsidRPr="00E27443">
        <w:t xml:space="preserve"> </w:t>
      </w:r>
      <w:r w:rsidRPr="00E27443">
        <w:t>investigated</w:t>
      </w:r>
      <w:r w:rsidR="00C63F8F" w:rsidRPr="00E27443">
        <w:t xml:space="preserve"> </w:t>
      </w:r>
      <w:r w:rsidRPr="00E27443">
        <w:t>the</w:t>
      </w:r>
      <w:r w:rsidR="00C63F8F" w:rsidRPr="00E27443">
        <w:t xml:space="preserve"> </w:t>
      </w:r>
      <w:r w:rsidR="001775F1" w:rsidRPr="00E27443">
        <w:t>organi</w:t>
      </w:r>
      <w:r w:rsidRPr="00E27443">
        <w:t>sation</w:t>
      </w:r>
      <w:r w:rsidR="00C63F8F" w:rsidRPr="00E27443">
        <w:t xml:space="preserve"> </w:t>
      </w:r>
      <w:r w:rsidRPr="00E27443">
        <w:t>of</w:t>
      </w:r>
      <w:r w:rsidR="00C63F8F" w:rsidRPr="00E27443">
        <w:t xml:space="preserve"> </w:t>
      </w:r>
      <w:r w:rsidRPr="002817DB">
        <w:t>sign</w:t>
      </w:r>
      <w:r w:rsidR="00C63F8F" w:rsidRPr="002817DB">
        <w:t xml:space="preserve"> </w:t>
      </w:r>
      <w:r w:rsidRPr="002817DB">
        <w:t>language</w:t>
      </w:r>
      <w:r w:rsidR="00C63F8F" w:rsidRPr="002817DB">
        <w:t xml:space="preserve"> </w:t>
      </w:r>
      <w:r w:rsidRPr="002817DB">
        <w:t>interpreting</w:t>
      </w:r>
      <w:r w:rsidR="00C63F8F" w:rsidRPr="00E27443">
        <w:t xml:space="preserve"> </w:t>
      </w:r>
      <w:r w:rsidRPr="00E27443">
        <w:t>for</w:t>
      </w:r>
      <w:r w:rsidR="00C63F8F" w:rsidRPr="00E27443">
        <w:t xml:space="preserve"> </w:t>
      </w:r>
      <w:r w:rsidRPr="00E27443">
        <w:t>students,</w:t>
      </w:r>
      <w:r w:rsidR="00C63F8F" w:rsidRPr="00E27443">
        <w:t xml:space="preserve"> </w:t>
      </w:r>
      <w:r w:rsidRPr="00E27443">
        <w:t>and</w:t>
      </w:r>
      <w:r w:rsidR="00C63F8F" w:rsidRPr="00E27443">
        <w:t xml:space="preserve"> </w:t>
      </w:r>
      <w:r w:rsidRPr="00E27443">
        <w:t>this</w:t>
      </w:r>
      <w:r w:rsidR="00C63F8F" w:rsidRPr="00E27443">
        <w:t xml:space="preserve"> </w:t>
      </w:r>
      <w:r w:rsidRPr="00E27443">
        <w:t>has</w:t>
      </w:r>
      <w:r w:rsidR="00C63F8F" w:rsidRPr="00E27443">
        <w:t xml:space="preserve"> </w:t>
      </w:r>
      <w:r w:rsidRPr="00E27443">
        <w:t>led</w:t>
      </w:r>
      <w:r w:rsidR="00C63F8F" w:rsidRPr="00E27443">
        <w:t xml:space="preserve"> </w:t>
      </w:r>
      <w:r w:rsidRPr="00E27443">
        <w:t>to</w:t>
      </w:r>
      <w:r w:rsidR="00C63F8F" w:rsidRPr="00E27443">
        <w:t xml:space="preserve"> </w:t>
      </w:r>
      <w:r w:rsidRPr="00E27443">
        <w:t>certain</w:t>
      </w:r>
      <w:r w:rsidR="00C63F8F" w:rsidRPr="00E27443">
        <w:t xml:space="preserve"> </w:t>
      </w:r>
      <w:r w:rsidRPr="00E27443">
        <w:t>changes</w:t>
      </w:r>
      <w:r w:rsidR="00C63F8F" w:rsidRPr="00E27443">
        <w:t xml:space="preserve"> </w:t>
      </w:r>
      <w:r w:rsidRPr="00E27443">
        <w:t>in</w:t>
      </w:r>
      <w:r w:rsidR="00C63F8F" w:rsidRPr="00E27443">
        <w:t xml:space="preserve"> </w:t>
      </w:r>
      <w:r w:rsidRPr="00E27443">
        <w:t>this</w:t>
      </w:r>
      <w:r w:rsidR="00C63F8F" w:rsidRPr="00E27443">
        <w:t xml:space="preserve"> </w:t>
      </w:r>
      <w:r w:rsidRPr="00E27443">
        <w:t>field.</w:t>
      </w:r>
      <w:r w:rsidR="00C63F8F" w:rsidRPr="00E27443">
        <w:t xml:space="preserve"> </w:t>
      </w:r>
    </w:p>
    <w:p w:rsidR="00321ADA" w:rsidRPr="00E27443" w:rsidRDefault="00321ADA" w:rsidP="002817DB">
      <w:pPr>
        <w:pStyle w:val="SingleTxtG"/>
        <w:numPr>
          <w:ilvl w:val="0"/>
          <w:numId w:val="20"/>
        </w:numPr>
        <w:tabs>
          <w:tab w:val="left" w:pos="1843"/>
        </w:tabs>
        <w:ind w:left="1134" w:firstLine="0"/>
      </w:pP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support</w:t>
      </w:r>
      <w:r w:rsidR="00C63F8F" w:rsidRPr="00E27443">
        <w:t xml:space="preserve"> </w:t>
      </w:r>
      <w:r w:rsidRPr="00E27443">
        <w:t>measures</w:t>
      </w:r>
      <w:r w:rsidR="00C63F8F" w:rsidRPr="00E27443">
        <w:t xml:space="preserve"> </w:t>
      </w:r>
      <w:r w:rsidRPr="00E27443">
        <w:t>for</w:t>
      </w:r>
      <w:r w:rsidR="00C63F8F" w:rsidRPr="00E27443">
        <w:t xml:space="preserve"> </w:t>
      </w:r>
      <w:r w:rsidRPr="00E27443">
        <w:t>students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followed</w:t>
      </w:r>
      <w:r w:rsidR="00C63F8F" w:rsidRPr="00E27443">
        <w:t xml:space="preserve"> </w:t>
      </w:r>
      <w:r w:rsidRPr="00E27443">
        <w:t>up</w:t>
      </w:r>
      <w:r w:rsidR="00C63F8F" w:rsidRPr="00E27443">
        <w:t xml:space="preserve"> </w:t>
      </w:r>
      <w:r w:rsidRPr="00E27443">
        <w:t>in</w:t>
      </w:r>
      <w:r w:rsidR="00C63F8F" w:rsidRPr="00E27443">
        <w:t xml:space="preserve"> </w:t>
      </w:r>
      <w:r w:rsidRPr="00E27443">
        <w:t>several</w:t>
      </w:r>
      <w:r w:rsidR="00C63F8F" w:rsidRPr="00E27443">
        <w:t xml:space="preserve"> </w:t>
      </w:r>
      <w:r w:rsidRPr="00E27443">
        <w:t>ways,</w:t>
      </w:r>
      <w:r w:rsidR="00C63F8F" w:rsidRPr="00E27443">
        <w:t xml:space="preserve"> </w:t>
      </w:r>
      <w:r w:rsidRPr="00E27443">
        <w:t>including</w:t>
      </w:r>
      <w:r w:rsidR="00C63F8F" w:rsidRPr="00E27443">
        <w:t xml:space="preserve"> </w:t>
      </w:r>
      <w:r w:rsidRPr="00E27443">
        <w:t>by</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Agency</w:t>
      </w:r>
      <w:r w:rsidR="00C63F8F" w:rsidRPr="00E27443">
        <w:t xml:space="preserve"> </w:t>
      </w:r>
      <w:r w:rsidRPr="00E27443">
        <w:t>for</w:t>
      </w:r>
      <w:r w:rsidR="00C63F8F" w:rsidRPr="00E27443">
        <w:t xml:space="preserve"> </w:t>
      </w:r>
      <w:r w:rsidRPr="00E27443">
        <w:t>Higher</w:t>
      </w:r>
      <w:r w:rsidR="00C63F8F" w:rsidRPr="00E27443">
        <w:t xml:space="preserve"> </w:t>
      </w:r>
      <w:r w:rsidRPr="00E27443">
        <w:t>Education</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w:t>
      </w:r>
      <w:r w:rsidR="00C63F8F" w:rsidRPr="00E27443">
        <w:t xml:space="preserve"> </w:t>
      </w:r>
      <w:r w:rsidRPr="00E27443">
        <w:t>Agency</w:t>
      </w:r>
      <w:r w:rsidR="00C63F8F" w:rsidRPr="00E27443">
        <w:t>’</w:t>
      </w:r>
      <w:r w:rsidRPr="00E27443">
        <w:t>s</w:t>
      </w:r>
      <w:r w:rsidR="00C63F8F" w:rsidRPr="00E27443">
        <w:t xml:space="preserve"> </w:t>
      </w:r>
      <w:r w:rsidRPr="002817DB">
        <w:t>supervision</w:t>
      </w:r>
      <w:r w:rsidR="00C63F8F" w:rsidRPr="002817DB">
        <w:t xml:space="preserve"> </w:t>
      </w:r>
      <w:r w:rsidRPr="002817DB">
        <w:t>activities</w:t>
      </w:r>
      <w:r w:rsidRPr="00E27443">
        <w:t>.</w:t>
      </w:r>
      <w:r w:rsidR="00C63F8F" w:rsidRPr="00E27443">
        <w:t xml:space="preserve"> </w:t>
      </w:r>
      <w:r w:rsidRPr="00E27443">
        <w:t>It</w:t>
      </w:r>
      <w:r w:rsidR="00C63F8F" w:rsidRPr="00E27443">
        <w:t xml:space="preserve"> </w:t>
      </w:r>
      <w:r w:rsidRPr="00E27443">
        <w:t>is</w:t>
      </w:r>
      <w:r w:rsidR="00C63F8F" w:rsidRPr="00E27443">
        <w:t xml:space="preserve"> </w:t>
      </w:r>
      <w:r w:rsidRPr="00E27443">
        <w:t>also</w:t>
      </w:r>
      <w:r w:rsidR="00C63F8F" w:rsidRPr="00E27443">
        <w:t xml:space="preserve"> </w:t>
      </w:r>
      <w:r w:rsidRPr="00E27443">
        <w:t>possible</w:t>
      </w:r>
      <w:r w:rsidR="00C63F8F" w:rsidRPr="00E27443">
        <w:t xml:space="preserve"> </w:t>
      </w:r>
      <w:r w:rsidRPr="00E27443">
        <w:t>to</w:t>
      </w:r>
      <w:r w:rsidR="00C63F8F" w:rsidRPr="00E27443">
        <w:t xml:space="preserve"> </w:t>
      </w:r>
      <w:r w:rsidRPr="00E27443">
        <w:t>appeal</w:t>
      </w:r>
      <w:r w:rsidR="00C63F8F" w:rsidRPr="00E27443">
        <w:t xml:space="preserve"> </w:t>
      </w:r>
      <w:r w:rsidRPr="00E27443">
        <w:t>against</w:t>
      </w:r>
      <w:r w:rsidR="00C63F8F" w:rsidRPr="00E27443">
        <w:t xml:space="preserve"> </w:t>
      </w:r>
      <w:r w:rsidRPr="00E27443">
        <w:t>certain</w:t>
      </w:r>
      <w:r w:rsidR="00C63F8F" w:rsidRPr="00E27443">
        <w:t xml:space="preserve"> </w:t>
      </w:r>
      <w:r w:rsidRPr="00E27443">
        <w:t>decisions</w:t>
      </w:r>
      <w:r w:rsidR="00C63F8F" w:rsidRPr="00E27443">
        <w:t xml:space="preserve"> </w:t>
      </w:r>
      <w:r w:rsidRPr="00E27443">
        <w:t>by</w:t>
      </w:r>
      <w:r w:rsidR="00C63F8F" w:rsidRPr="00E27443">
        <w:t xml:space="preserve"> </w:t>
      </w:r>
      <w:r w:rsidRPr="00E27443">
        <w:t>a</w:t>
      </w:r>
      <w:r w:rsidR="00C63F8F" w:rsidRPr="00E27443">
        <w:t xml:space="preserve"> </w:t>
      </w:r>
      <w:r w:rsidRPr="00E27443">
        <w:t>university</w:t>
      </w:r>
      <w:r w:rsidR="00C63F8F" w:rsidRPr="00E27443">
        <w:t xml:space="preserve"> </w:t>
      </w:r>
      <w:r w:rsidRPr="00E27443">
        <w:t>or</w:t>
      </w:r>
      <w:r w:rsidR="00C63F8F" w:rsidRPr="00E27443">
        <w:t xml:space="preserve"> </w:t>
      </w:r>
      <w:r w:rsidRPr="00E27443">
        <w:t>university</w:t>
      </w:r>
      <w:r w:rsidR="00C63F8F" w:rsidRPr="00E27443">
        <w:t xml:space="preserve"> </w:t>
      </w:r>
      <w:r w:rsidRPr="00E27443">
        <w:t>college</w:t>
      </w:r>
      <w:r w:rsidR="00C63F8F" w:rsidRPr="00E27443">
        <w:t xml:space="preserve"> </w:t>
      </w:r>
      <w:r w:rsidRPr="00E27443">
        <w:t>on</w:t>
      </w:r>
      <w:r w:rsidR="00C63F8F" w:rsidRPr="00E27443">
        <w:t xml:space="preserve"> </w:t>
      </w:r>
      <w:r w:rsidRPr="00E27443">
        <w:t>the</w:t>
      </w:r>
      <w:r w:rsidR="00C63F8F" w:rsidRPr="00E27443">
        <w:t xml:space="preserve"> </w:t>
      </w:r>
      <w:r w:rsidRPr="00E27443">
        <w:t>grounds</w:t>
      </w:r>
      <w:r w:rsidR="00C63F8F" w:rsidRPr="00E27443">
        <w:t xml:space="preserve"> </w:t>
      </w:r>
      <w:r w:rsidRPr="00E27443">
        <w:t>that</w:t>
      </w:r>
      <w:r w:rsidR="00C63F8F" w:rsidRPr="00E27443">
        <w:t xml:space="preserve"> </w:t>
      </w:r>
      <w:r w:rsidRPr="00E27443">
        <w:t>the</w:t>
      </w:r>
      <w:r w:rsidR="00C63F8F" w:rsidRPr="00E27443">
        <w:t xml:space="preserve"> </w:t>
      </w:r>
      <w:r w:rsidRPr="00E27443">
        <w:t>decision</w:t>
      </w:r>
      <w:r w:rsidR="00C63F8F" w:rsidRPr="00E27443">
        <w:t xml:space="preserve"> </w:t>
      </w:r>
      <w:r w:rsidRPr="00E27443">
        <w:t>is</w:t>
      </w:r>
      <w:r w:rsidR="00C63F8F" w:rsidRPr="00E27443">
        <w:t xml:space="preserve"> </w:t>
      </w:r>
      <w:r w:rsidRPr="00E27443">
        <w:t>contrary</w:t>
      </w:r>
      <w:r w:rsidR="00C63F8F" w:rsidRPr="00E27443">
        <w:t xml:space="preserve"> </w:t>
      </w:r>
      <w:r w:rsidRPr="00E27443">
        <w:t>to</w:t>
      </w:r>
      <w:r w:rsidR="00C63F8F" w:rsidRPr="00E27443">
        <w:t xml:space="preserve"> </w:t>
      </w:r>
      <w:r w:rsidRPr="00E27443">
        <w:t>the</w:t>
      </w:r>
      <w:r w:rsidR="00C63F8F" w:rsidRPr="00E27443">
        <w:t xml:space="preserve"> </w:t>
      </w:r>
      <w:r w:rsidRPr="00E27443">
        <w:t>bans</w:t>
      </w:r>
      <w:r w:rsidR="00C63F8F" w:rsidRPr="00E27443">
        <w:t xml:space="preserve"> </w:t>
      </w:r>
      <w:r w:rsidRPr="00E27443">
        <w:t>on</w:t>
      </w:r>
      <w:r w:rsidR="00C63F8F" w:rsidRPr="00E27443">
        <w:t xml:space="preserve"> </w:t>
      </w:r>
      <w:r w:rsidRPr="00E27443">
        <w:t>discrimination</w:t>
      </w:r>
      <w:r w:rsidR="00C63F8F" w:rsidRPr="00E27443">
        <w:t xml:space="preserve"> </w:t>
      </w:r>
      <w:r w:rsidRPr="00E27443">
        <w:t>in</w:t>
      </w:r>
      <w:r w:rsidR="00C63F8F" w:rsidRPr="00E27443">
        <w:t xml:space="preserve"> </w:t>
      </w:r>
      <w:r w:rsidRPr="00E27443">
        <w:t>the</w:t>
      </w:r>
      <w:r w:rsidR="00C63F8F" w:rsidRPr="00E27443">
        <w:t xml:space="preserve"> </w:t>
      </w:r>
      <w:r w:rsidRPr="00E27443">
        <w:t>education</w:t>
      </w:r>
      <w:r w:rsidR="00C63F8F" w:rsidRPr="00E27443">
        <w:t xml:space="preserve"> </w:t>
      </w:r>
      <w:r w:rsidRPr="00E27443">
        <w:t>field.</w:t>
      </w:r>
      <w:r w:rsidR="00C63F8F" w:rsidRPr="00E27443">
        <w:t xml:space="preserve"> </w:t>
      </w:r>
      <w:r w:rsidRPr="00E27443">
        <w:t>Appeals</w:t>
      </w:r>
      <w:r w:rsidR="00C63F8F" w:rsidRPr="00E27443">
        <w:t xml:space="preserve"> </w:t>
      </w:r>
      <w:r w:rsidRPr="00E27443">
        <w:t>are</w:t>
      </w:r>
      <w:r w:rsidR="00C63F8F" w:rsidRPr="00E27443">
        <w:t xml:space="preserve"> </w:t>
      </w:r>
      <w:r w:rsidRPr="00E27443">
        <w:t>heard</w:t>
      </w:r>
      <w:r w:rsidR="00C63F8F" w:rsidRPr="00E27443">
        <w:t xml:space="preserve"> </w:t>
      </w:r>
      <w:r w:rsidRPr="00E27443">
        <w:t>by</w:t>
      </w:r>
      <w:r w:rsidR="00C63F8F" w:rsidRPr="00E27443">
        <w:t xml:space="preserve"> </w:t>
      </w:r>
      <w:r w:rsidRPr="00E27443">
        <w:t>the</w:t>
      </w:r>
      <w:r w:rsidR="00C63F8F" w:rsidRPr="00E27443">
        <w:t xml:space="preserve"> </w:t>
      </w:r>
      <w:r w:rsidRPr="00E27443">
        <w:t>Higher</w:t>
      </w:r>
      <w:r w:rsidR="00C63F8F" w:rsidRPr="00E27443">
        <w:t xml:space="preserve"> </w:t>
      </w:r>
      <w:r w:rsidRPr="00E27443">
        <w:t>Education</w:t>
      </w:r>
      <w:r w:rsidR="00C63F8F" w:rsidRPr="00E27443">
        <w:t xml:space="preserve"> </w:t>
      </w:r>
      <w:r w:rsidRPr="00E27443">
        <w:t>Appeals</w:t>
      </w:r>
      <w:r w:rsidR="00C63F8F" w:rsidRPr="00E27443">
        <w:t xml:space="preserve"> </w:t>
      </w:r>
      <w:r w:rsidRPr="00E27443">
        <w:t>Board,</w:t>
      </w:r>
      <w:r w:rsidR="001775F1" w:rsidRPr="002817DB">
        <w:footnoteReference w:id="103"/>
      </w:r>
      <w:r w:rsidR="00C63F8F" w:rsidRPr="00E27443">
        <w:t xml:space="preserve"> </w:t>
      </w:r>
      <w:r w:rsidRPr="00E27443">
        <w:t>which</w:t>
      </w:r>
      <w:r w:rsidR="00C63F8F" w:rsidRPr="00E27443">
        <w:t xml:space="preserve"> </w:t>
      </w:r>
      <w:r w:rsidRPr="00E27443">
        <w:t>is</w:t>
      </w:r>
      <w:r w:rsidR="00C63F8F" w:rsidRPr="00E27443">
        <w:t xml:space="preserve"> </w:t>
      </w:r>
      <w:r w:rsidRPr="00E27443">
        <w:t>an</w:t>
      </w:r>
      <w:r w:rsidR="00C63F8F" w:rsidRPr="00E27443">
        <w:t xml:space="preserve"> </w:t>
      </w:r>
      <w:r w:rsidRPr="00E27443">
        <w:t>independent</w:t>
      </w:r>
      <w:r w:rsidR="00C63F8F" w:rsidRPr="00E27443">
        <w:t xml:space="preserve"> </w:t>
      </w:r>
      <w:r w:rsidRPr="00E27443">
        <w:t>national</w:t>
      </w:r>
      <w:r w:rsidR="00C63F8F" w:rsidRPr="00E27443">
        <w:t xml:space="preserve"> </w:t>
      </w:r>
      <w:r w:rsidRPr="00E27443">
        <w:t>body.</w:t>
      </w:r>
      <w:r w:rsidR="00C63F8F" w:rsidRPr="00E27443">
        <w:t xml:space="preserve"> </w:t>
      </w:r>
    </w:p>
    <w:p w:rsidR="00321ADA" w:rsidRPr="00E27443" w:rsidRDefault="00321ADA" w:rsidP="002817DB">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does</w:t>
      </w:r>
      <w:r w:rsidR="00C63F8F" w:rsidRPr="00E27443">
        <w:t xml:space="preserve"> </w:t>
      </w:r>
      <w:r w:rsidRPr="00E27443">
        <w:t>not</w:t>
      </w:r>
      <w:r w:rsidR="00C63F8F" w:rsidRPr="00E27443">
        <w:t xml:space="preserve"> </w:t>
      </w:r>
      <w:r w:rsidRPr="00E27443">
        <w:t>keep</w:t>
      </w:r>
      <w:r w:rsidR="00C63F8F" w:rsidRPr="00E27443">
        <w:t xml:space="preserve"> </w:t>
      </w:r>
      <w:r w:rsidRPr="00E27443">
        <w:t>any</w:t>
      </w:r>
      <w:r w:rsidR="00C63F8F" w:rsidRPr="00E27443">
        <w:t xml:space="preserve"> </w:t>
      </w:r>
      <w:r w:rsidRPr="002817DB">
        <w:t>statistics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number</w:t>
      </w:r>
      <w:r w:rsidR="00C63F8F" w:rsidRPr="00E27443">
        <w:t xml:space="preserve"> </w:t>
      </w:r>
      <w:r w:rsidRPr="00E27443">
        <w:t>of</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the</w:t>
      </w:r>
      <w:r w:rsidR="00C63F8F" w:rsidRPr="00E27443">
        <w:t xml:space="preserve"> </w:t>
      </w:r>
      <w:r w:rsidRPr="00E27443">
        <w:t>education</w:t>
      </w:r>
      <w:r w:rsidR="00C63F8F" w:rsidRPr="00E27443">
        <w:t xml:space="preserve"> </w:t>
      </w:r>
      <w:r w:rsidRPr="00E27443">
        <w:t>system.</w:t>
      </w:r>
      <w:r w:rsidR="00C63F8F" w:rsidRPr="00E27443">
        <w:t xml:space="preserve"> </w:t>
      </w:r>
      <w:r w:rsidRPr="00E27443">
        <w:t>However,</w:t>
      </w:r>
      <w:r w:rsidR="00C63F8F" w:rsidRPr="00E27443">
        <w:t xml:space="preserve"> </w:t>
      </w:r>
      <w:r w:rsidRPr="00E27443">
        <w:t>there</w:t>
      </w:r>
      <w:r w:rsidR="00C63F8F" w:rsidRPr="00E27443">
        <w:t xml:space="preserve"> </w:t>
      </w:r>
      <w:r w:rsidRPr="00E27443">
        <w:t>are</w:t>
      </w:r>
      <w:r w:rsidR="00C63F8F" w:rsidRPr="00E27443">
        <w:t xml:space="preserve"> </w:t>
      </w:r>
      <w:r w:rsidRPr="00E27443">
        <w:t>statistics</w:t>
      </w:r>
      <w:r w:rsidR="00C63F8F" w:rsidRPr="00E27443">
        <w:t xml:space="preserve"> </w:t>
      </w:r>
      <w:r w:rsidRPr="00E27443">
        <w:t>regarding</w:t>
      </w:r>
      <w:r w:rsidR="00C63F8F" w:rsidRPr="00E27443">
        <w:t xml:space="preserve"> </w:t>
      </w:r>
      <w:r w:rsidRPr="00E27443">
        <w:t>students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receive</w:t>
      </w:r>
      <w:r w:rsidR="00C63F8F" w:rsidRPr="00E27443">
        <w:t xml:space="preserve"> </w:t>
      </w:r>
      <w:r w:rsidRPr="00E27443">
        <w:t>special</w:t>
      </w:r>
      <w:r w:rsidR="00C63F8F" w:rsidRPr="00E27443">
        <w:t xml:space="preserve"> </w:t>
      </w:r>
      <w:r w:rsidRPr="00E27443">
        <w:t>educational</w:t>
      </w:r>
      <w:r w:rsidR="00C63F8F" w:rsidRPr="00E27443">
        <w:t xml:space="preserve"> </w:t>
      </w:r>
      <w:r w:rsidRPr="00E27443">
        <w:t>support</w:t>
      </w:r>
      <w:r w:rsidR="00C63F8F" w:rsidRPr="00E27443">
        <w:t xml:space="preserve"> </w:t>
      </w:r>
      <w:r w:rsidRPr="00E27443">
        <w:t>within</w:t>
      </w:r>
      <w:r w:rsidR="00C63F8F" w:rsidRPr="00E27443">
        <w:t xml:space="preserve"> </w:t>
      </w:r>
      <w:r w:rsidRPr="00E27443">
        <w:t>university</w:t>
      </w:r>
      <w:r w:rsidR="00C63F8F" w:rsidRPr="00E27443">
        <w:t xml:space="preserve"> </w:t>
      </w:r>
      <w:r w:rsidRPr="00E27443">
        <w:t>education.</w:t>
      </w:r>
      <w:r w:rsidR="00C63F8F" w:rsidRPr="00E27443">
        <w:t xml:space="preserve"> </w:t>
      </w:r>
      <w:r w:rsidRPr="00E27443">
        <w:t>In</w:t>
      </w:r>
      <w:r w:rsidR="00C63F8F" w:rsidRPr="00E27443">
        <w:t xml:space="preserve"> </w:t>
      </w:r>
      <w:r w:rsidRPr="00E27443">
        <w:t>the</w:t>
      </w:r>
      <w:r w:rsidR="00C63F8F" w:rsidRPr="00E27443">
        <w:t xml:space="preserve"> </w:t>
      </w:r>
      <w:r w:rsidRPr="00E27443">
        <w:t>2008</w:t>
      </w:r>
      <w:r w:rsidR="00C63F8F" w:rsidRPr="00E27443">
        <w:t xml:space="preserve"> </w:t>
      </w:r>
      <w:r w:rsidRPr="00E27443">
        <w:t>budget</w:t>
      </w:r>
      <w:r w:rsidR="00C63F8F" w:rsidRPr="00E27443">
        <w:t xml:space="preserve"> </w:t>
      </w:r>
      <w:r w:rsidRPr="00E27443">
        <w:t>year,</w:t>
      </w:r>
      <w:r w:rsidR="00C63F8F" w:rsidRPr="00E27443">
        <w:t xml:space="preserve"> </w:t>
      </w:r>
      <w:r w:rsidRPr="00E27443">
        <w:t>a</w:t>
      </w:r>
      <w:r w:rsidR="00C63F8F" w:rsidRPr="00E27443">
        <w:t xml:space="preserve"> </w:t>
      </w:r>
      <w:r w:rsidRPr="00E27443">
        <w:t>total</w:t>
      </w:r>
      <w:r w:rsidR="00C63F8F" w:rsidRPr="00E27443">
        <w:t xml:space="preserve"> </w:t>
      </w:r>
      <w:r w:rsidRPr="00E27443">
        <w:t>of</w:t>
      </w:r>
      <w:r w:rsidR="00C63F8F" w:rsidRPr="00E27443">
        <w:t xml:space="preserve"> </w:t>
      </w:r>
      <w:r w:rsidRPr="00E27443">
        <w:t>4,906</w:t>
      </w:r>
      <w:r w:rsidR="00C63F8F" w:rsidRPr="00E27443">
        <w:t xml:space="preserve"> </w:t>
      </w:r>
      <w:r w:rsidRPr="00E27443">
        <w:t>students</w:t>
      </w:r>
      <w:r w:rsidR="00C63F8F" w:rsidRPr="00E27443">
        <w:t xml:space="preserve"> </w:t>
      </w:r>
      <w:r w:rsidRPr="00E27443">
        <w:t>received</w:t>
      </w:r>
      <w:r w:rsidR="00C63F8F" w:rsidRPr="00E27443">
        <w:t xml:space="preserve"> </w:t>
      </w:r>
      <w:r w:rsidRPr="00E27443">
        <w:t>special</w:t>
      </w:r>
      <w:r w:rsidR="00C63F8F" w:rsidRPr="00E27443">
        <w:t xml:space="preserve"> </w:t>
      </w:r>
      <w:r w:rsidRPr="00E27443">
        <w:t>educational</w:t>
      </w:r>
      <w:r w:rsidR="00C63F8F" w:rsidRPr="00E27443">
        <w:t xml:space="preserve"> </w:t>
      </w:r>
      <w:r w:rsidRPr="00E27443">
        <w:t>support</w:t>
      </w:r>
      <w:r w:rsidR="00C63F8F" w:rsidRPr="00E27443">
        <w:t xml:space="preserve"> </w:t>
      </w:r>
      <w:r w:rsidRPr="00E27443">
        <w:t>at</w:t>
      </w:r>
      <w:r w:rsidR="00C63F8F" w:rsidRPr="00E27443">
        <w:t xml:space="preserve"> </w:t>
      </w:r>
      <w:r w:rsidRPr="00E27443">
        <w:t>Swedish</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This</w:t>
      </w:r>
      <w:r w:rsidR="00C63F8F" w:rsidRPr="00E27443">
        <w:t xml:space="preserve"> </w:t>
      </w:r>
      <w:r w:rsidRPr="00E27443">
        <w:t>corresponds</w:t>
      </w:r>
      <w:r w:rsidR="00C63F8F" w:rsidRPr="00E27443">
        <w:t xml:space="preserve"> </w:t>
      </w:r>
      <w:r w:rsidRPr="00E27443">
        <w:t>to</w:t>
      </w:r>
      <w:r w:rsidR="00C63F8F" w:rsidRPr="00E27443">
        <w:t xml:space="preserve"> </w:t>
      </w:r>
      <w:r w:rsidRPr="00E27443">
        <w:t>1.7</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the</w:t>
      </w:r>
      <w:r w:rsidR="00C63F8F" w:rsidRPr="00E27443">
        <w:t xml:space="preserve"> </w:t>
      </w:r>
      <w:r w:rsidRPr="00E27443">
        <w:t>total</w:t>
      </w:r>
      <w:r w:rsidR="00C63F8F" w:rsidRPr="00E27443">
        <w:t xml:space="preserve"> </w:t>
      </w:r>
      <w:r w:rsidRPr="00E27443">
        <w:t>number</w:t>
      </w:r>
      <w:r w:rsidR="00C63F8F" w:rsidRPr="00E27443">
        <w:t xml:space="preserve"> </w:t>
      </w:r>
      <w:r w:rsidRPr="00E27443">
        <w:t>of</w:t>
      </w:r>
      <w:r w:rsidR="00C63F8F" w:rsidRPr="00E27443">
        <w:t xml:space="preserve"> </w:t>
      </w:r>
      <w:r w:rsidRPr="00E27443">
        <w:t>full-time</w:t>
      </w:r>
      <w:r w:rsidR="00C63F8F" w:rsidRPr="00E27443">
        <w:t xml:space="preserve"> </w:t>
      </w:r>
      <w:r w:rsidRPr="00E27443">
        <w:t>students</w:t>
      </w:r>
      <w:r w:rsidR="00C63F8F" w:rsidRPr="00E27443">
        <w:t xml:space="preserve"> </w:t>
      </w:r>
      <w:r w:rsidRPr="00E27443">
        <w:t>(287,598)</w:t>
      </w:r>
      <w:r w:rsidR="00C63F8F" w:rsidRPr="00E27443">
        <w:t xml:space="preserve"> </w:t>
      </w:r>
      <w:r w:rsidRPr="00E27443">
        <w:t>at</w:t>
      </w:r>
      <w:r w:rsidR="00C63F8F" w:rsidRPr="00E27443">
        <w:t xml:space="preserve"> </w:t>
      </w:r>
      <w:r w:rsidRPr="00E27443">
        <w:t>Swedish</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in</w:t>
      </w:r>
      <w:r w:rsidR="00C63F8F" w:rsidRPr="00E27443">
        <w:t xml:space="preserve"> </w:t>
      </w:r>
      <w:r w:rsidRPr="00E27443">
        <w:t>that</w:t>
      </w:r>
      <w:r w:rsidR="00C63F8F" w:rsidRPr="00E27443">
        <w:t xml:space="preserve"> </w:t>
      </w:r>
      <w:r w:rsidRPr="00E27443">
        <w:t>year.</w:t>
      </w:r>
      <w:r w:rsidR="00C63F8F" w:rsidRPr="00E27443">
        <w:t xml:space="preserve"> </w:t>
      </w:r>
      <w:r w:rsidRPr="00E27443">
        <w:t>However,</w:t>
      </w:r>
      <w:r w:rsidR="00C63F8F" w:rsidRPr="00E27443">
        <w:t xml:space="preserve"> </w:t>
      </w:r>
      <w:r w:rsidRPr="00E27443">
        <w:t>the</w:t>
      </w:r>
      <w:r w:rsidR="00C63F8F" w:rsidRPr="00E27443">
        <w:t xml:space="preserve"> </w:t>
      </w:r>
      <w:r w:rsidRPr="00E27443">
        <w:t>statistics</w:t>
      </w:r>
      <w:r w:rsidR="00C63F8F" w:rsidRPr="00E27443">
        <w:t xml:space="preserve"> </w:t>
      </w:r>
      <w:r w:rsidRPr="00E27443">
        <w:t>do</w:t>
      </w:r>
      <w:r w:rsidR="00C63F8F" w:rsidRPr="00E27443">
        <w:t xml:space="preserve"> </w:t>
      </w:r>
      <w:r w:rsidRPr="00E27443">
        <w:t>not</w:t>
      </w:r>
      <w:r w:rsidR="00C63F8F" w:rsidRPr="00E27443">
        <w:t xml:space="preserve"> </w:t>
      </w:r>
      <w:r w:rsidRPr="00E27443">
        <w:t>provide</w:t>
      </w:r>
      <w:r w:rsidR="00C63F8F" w:rsidRPr="00E27443">
        <w:t xml:space="preserve"> </w:t>
      </w:r>
      <w:r w:rsidRPr="00E27443">
        <w:t>a</w:t>
      </w:r>
      <w:r w:rsidR="00C63F8F" w:rsidRPr="00E27443">
        <w:t xml:space="preserve"> </w:t>
      </w:r>
      <w:r w:rsidRPr="00E27443">
        <w:t>complete</w:t>
      </w:r>
      <w:r w:rsidR="00C63F8F" w:rsidRPr="00E27443">
        <w:t xml:space="preserve"> </w:t>
      </w:r>
      <w:r w:rsidRPr="00E27443">
        <w:t>picture</w:t>
      </w:r>
      <w:r w:rsidR="00C63F8F" w:rsidRPr="00E27443">
        <w:t xml:space="preserve"> </w:t>
      </w:r>
      <w:r w:rsidRPr="00E27443">
        <w:t>of</w:t>
      </w:r>
      <w:r w:rsidR="00C63F8F" w:rsidRPr="00E27443">
        <w:t xml:space="preserve"> </w:t>
      </w:r>
      <w:r w:rsidRPr="00E27443">
        <w:t>all</w:t>
      </w:r>
      <w:r w:rsidR="00C63F8F" w:rsidRPr="00E27443">
        <w:t xml:space="preserve"> </w:t>
      </w:r>
      <w:r w:rsidRPr="00E27443">
        <w:t>university</w:t>
      </w:r>
      <w:r w:rsidR="00C63F8F" w:rsidRPr="00E27443">
        <w:t xml:space="preserve"> </w:t>
      </w:r>
      <w:r w:rsidRPr="00E27443">
        <w:t>students</w:t>
      </w:r>
      <w:r w:rsidR="00C63F8F" w:rsidRPr="00E27443">
        <w:t xml:space="preserve"> </w:t>
      </w:r>
      <w:r w:rsidRPr="00E27443">
        <w:t>who</w:t>
      </w:r>
      <w:r w:rsidR="00C63F8F" w:rsidRPr="00E27443">
        <w:t xml:space="preserve"> </w:t>
      </w:r>
      <w:r w:rsidRPr="00E27443">
        <w:t>have</w:t>
      </w:r>
      <w:r w:rsidR="00C63F8F" w:rsidRPr="00E27443">
        <w:t xml:space="preserve"> </w:t>
      </w:r>
      <w:r w:rsidRPr="00E27443">
        <w:t>a</w:t>
      </w:r>
      <w:r w:rsidR="00C63F8F" w:rsidRPr="00E27443">
        <w:t xml:space="preserve"> </w:t>
      </w:r>
      <w:r w:rsidRPr="00E27443">
        <w:t>disability.</w:t>
      </w:r>
    </w:p>
    <w:p w:rsidR="00321ADA" w:rsidRPr="00E27443" w:rsidRDefault="00321ADA" w:rsidP="002817DB">
      <w:pPr>
        <w:pStyle w:val="SingleTxtG"/>
        <w:numPr>
          <w:ilvl w:val="0"/>
          <w:numId w:val="20"/>
        </w:numPr>
        <w:tabs>
          <w:tab w:val="left" w:pos="1843"/>
        </w:tabs>
        <w:ind w:left="1134" w:firstLine="0"/>
      </w:pPr>
      <w:r w:rsidRPr="00E27443">
        <w:t>Of</w:t>
      </w:r>
      <w:r w:rsidR="00C63F8F" w:rsidRPr="00E27443">
        <w:t xml:space="preserve"> </w:t>
      </w:r>
      <w:r w:rsidRPr="00E27443">
        <w:t>those</w:t>
      </w:r>
      <w:r w:rsidR="00C63F8F" w:rsidRPr="00E27443">
        <w:t xml:space="preserve"> </w:t>
      </w:r>
      <w:r w:rsidRPr="00E27443">
        <w:t>students</w:t>
      </w:r>
      <w:r w:rsidR="00C63F8F" w:rsidRPr="00E27443">
        <w:t xml:space="preserve"> </w:t>
      </w:r>
      <w:r w:rsidRPr="00E27443">
        <w:t>who</w:t>
      </w:r>
      <w:r w:rsidR="00C63F8F" w:rsidRPr="00E27443">
        <w:t xml:space="preserve"> </w:t>
      </w:r>
      <w:r w:rsidRPr="00E27443">
        <w:t>received</w:t>
      </w:r>
      <w:r w:rsidR="00C63F8F" w:rsidRPr="00E27443">
        <w:t xml:space="preserve"> </w:t>
      </w:r>
      <w:r w:rsidRPr="00E27443">
        <w:t>special</w:t>
      </w:r>
      <w:r w:rsidR="00C63F8F" w:rsidRPr="00E27443">
        <w:t xml:space="preserve"> </w:t>
      </w:r>
      <w:r w:rsidRPr="00E27443">
        <w:t>educational</w:t>
      </w:r>
      <w:r w:rsidR="00C63F8F" w:rsidRPr="00E27443">
        <w:t xml:space="preserve"> </w:t>
      </w:r>
      <w:r w:rsidRPr="00E27443">
        <w:t>support</w:t>
      </w:r>
      <w:r w:rsidR="00C63F8F" w:rsidRPr="00E27443">
        <w:t xml:space="preserve"> </w:t>
      </w:r>
      <w:r w:rsidRPr="00E27443">
        <w:t>in</w:t>
      </w:r>
      <w:r w:rsidR="00C63F8F" w:rsidRPr="00E27443">
        <w:t xml:space="preserve"> </w:t>
      </w:r>
      <w:r w:rsidRPr="00E27443">
        <w:t>the</w:t>
      </w:r>
      <w:r w:rsidR="00C63F8F" w:rsidRPr="00E27443">
        <w:t xml:space="preserve"> </w:t>
      </w:r>
      <w:r w:rsidRPr="00E27443">
        <w:t>2008</w:t>
      </w:r>
      <w:r w:rsidR="00C63F8F" w:rsidRPr="00E27443">
        <w:t xml:space="preserve"> </w:t>
      </w:r>
      <w:r w:rsidRPr="00E27443">
        <w:t>budget</w:t>
      </w:r>
      <w:r w:rsidR="00C63F8F" w:rsidRPr="00E27443">
        <w:t xml:space="preserve"> </w:t>
      </w:r>
      <w:r w:rsidRPr="00E27443">
        <w:t>year,</w:t>
      </w:r>
      <w:r w:rsidR="00C63F8F" w:rsidRPr="00E27443">
        <w:t xml:space="preserve"> </w:t>
      </w:r>
      <w:r w:rsidRPr="00E27443">
        <w:t>64</w:t>
      </w:r>
      <w:r w:rsidR="00C63F8F" w:rsidRPr="00E27443">
        <w:t xml:space="preserve"> </w:t>
      </w:r>
      <w:r w:rsidRPr="00E27443">
        <w:t>per</w:t>
      </w:r>
      <w:r w:rsidR="00C63F8F" w:rsidRPr="00E27443">
        <w:t xml:space="preserve"> </w:t>
      </w:r>
      <w:r w:rsidRPr="00E27443">
        <w:t>cent</w:t>
      </w:r>
      <w:r w:rsidR="00C63F8F" w:rsidRPr="00E27443">
        <w:t xml:space="preserve"> </w:t>
      </w:r>
      <w:r w:rsidRPr="00E27443">
        <w:t>(3,137)</w:t>
      </w:r>
      <w:r w:rsidR="00C63F8F" w:rsidRPr="00E27443">
        <w:t xml:space="preserve"> </w:t>
      </w:r>
      <w:r w:rsidRPr="00E27443">
        <w:t>were</w:t>
      </w:r>
      <w:r w:rsidR="00C63F8F" w:rsidRPr="00E27443">
        <w:t xml:space="preserve"> </w:t>
      </w:r>
      <w:r w:rsidRPr="00E27443">
        <w:t>women</w:t>
      </w:r>
      <w:r w:rsidR="00C63F8F" w:rsidRPr="00E27443">
        <w:t xml:space="preserve"> </w:t>
      </w:r>
      <w:r w:rsidRPr="00E27443">
        <w:t>and</w:t>
      </w:r>
      <w:r w:rsidR="00C63F8F" w:rsidRPr="00E27443">
        <w:t xml:space="preserve"> </w:t>
      </w:r>
      <w:r w:rsidRPr="00E27443">
        <w:t>36</w:t>
      </w:r>
      <w:r w:rsidR="00C63F8F" w:rsidRPr="00E27443">
        <w:t xml:space="preserve"> </w:t>
      </w:r>
      <w:r w:rsidRPr="00E27443">
        <w:t>per</w:t>
      </w:r>
      <w:r w:rsidR="00C63F8F" w:rsidRPr="00E27443">
        <w:t xml:space="preserve"> </w:t>
      </w:r>
      <w:r w:rsidRPr="00E27443">
        <w:t>cent</w:t>
      </w:r>
      <w:r w:rsidR="00C63F8F" w:rsidRPr="00E27443">
        <w:t xml:space="preserve"> </w:t>
      </w:r>
      <w:r w:rsidRPr="00E27443">
        <w:t>(1,769)</w:t>
      </w:r>
      <w:r w:rsidR="00C63F8F" w:rsidRPr="00E27443">
        <w:t xml:space="preserve"> </w:t>
      </w:r>
      <w:r w:rsidRPr="00E27443">
        <w:t>were</w:t>
      </w:r>
      <w:r w:rsidR="00C63F8F" w:rsidRPr="00E27443">
        <w:t xml:space="preserve"> </w:t>
      </w:r>
      <w:r w:rsidRPr="00E27443">
        <w:t>men.</w:t>
      </w:r>
      <w:r w:rsidR="00C63F8F" w:rsidRPr="00E27443">
        <w:t xml:space="preserve"> </w:t>
      </w:r>
      <w:r w:rsidRPr="00E27443">
        <w:t>In</w:t>
      </w:r>
      <w:r w:rsidR="00C63F8F" w:rsidRPr="00E27443">
        <w:t xml:space="preserve"> </w:t>
      </w:r>
      <w:r w:rsidRPr="00E27443">
        <w:t>total,</w:t>
      </w:r>
      <w:r w:rsidR="00C63F8F" w:rsidRPr="00E27443">
        <w:t xml:space="preserve"> </w:t>
      </w:r>
      <w:r w:rsidRPr="00E27443">
        <w:t>21</w:t>
      </w:r>
      <w:r w:rsidR="00C63F8F" w:rsidRPr="00E27443">
        <w:t xml:space="preserve"> </w:t>
      </w:r>
      <w:r w:rsidRPr="00E27443">
        <w:t>of</w:t>
      </w:r>
      <w:r w:rsidR="00C63F8F" w:rsidRPr="00E27443">
        <w:t xml:space="preserve"> </w:t>
      </w:r>
      <w:r w:rsidRPr="00E27443">
        <w:t>these</w:t>
      </w:r>
      <w:r w:rsidR="00C63F8F" w:rsidRPr="00E27443">
        <w:t xml:space="preserve"> </w:t>
      </w:r>
      <w:r w:rsidRPr="00E27443">
        <w:t>individuals</w:t>
      </w:r>
      <w:r w:rsidR="00C63F8F" w:rsidRPr="00E27443">
        <w:t xml:space="preserve"> </w:t>
      </w:r>
      <w:r w:rsidRPr="00E27443">
        <w:t>were</w:t>
      </w:r>
      <w:r w:rsidR="00C63F8F" w:rsidRPr="00E27443">
        <w:t xml:space="preserve"> </w:t>
      </w:r>
      <w:r w:rsidRPr="00E27443">
        <w:t>doctoral</w:t>
      </w:r>
      <w:r w:rsidR="00C63F8F" w:rsidRPr="00E27443">
        <w:t xml:space="preserve"> </w:t>
      </w:r>
      <w:r w:rsidRPr="00E27443">
        <w:t>students,</w:t>
      </w:r>
      <w:r w:rsidR="00C63F8F" w:rsidRPr="00E27443">
        <w:t xml:space="preserve"> </w:t>
      </w:r>
      <w:r w:rsidRPr="00E27443">
        <w:t>of</w:t>
      </w:r>
      <w:r w:rsidR="00C63F8F" w:rsidRPr="00E27443">
        <w:t xml:space="preserve"> </w:t>
      </w:r>
      <w:r w:rsidRPr="00E27443">
        <w:t>whom</w:t>
      </w:r>
      <w:r w:rsidR="00C63F8F" w:rsidRPr="00E27443">
        <w:t xml:space="preserve"> </w:t>
      </w:r>
      <w:r w:rsidRPr="00E27443">
        <w:t>14</w:t>
      </w:r>
      <w:r w:rsidR="00C63F8F" w:rsidRPr="00E27443">
        <w:t xml:space="preserve"> </w:t>
      </w:r>
      <w:r w:rsidRPr="00E27443">
        <w:t>were</w:t>
      </w:r>
      <w:r w:rsidR="00C63F8F" w:rsidRPr="00E27443">
        <w:t xml:space="preserve"> </w:t>
      </w:r>
      <w:r w:rsidRPr="00E27443">
        <w:t>women</w:t>
      </w:r>
      <w:r w:rsidR="00C63F8F" w:rsidRPr="00E27443">
        <w:t xml:space="preserve"> </w:t>
      </w:r>
      <w:r w:rsidRPr="00E27443">
        <w:t>and</w:t>
      </w:r>
      <w:r w:rsidR="00C63F8F" w:rsidRPr="00E27443">
        <w:t xml:space="preserve"> </w:t>
      </w:r>
      <w:r w:rsidRPr="00E27443">
        <w:t>7</w:t>
      </w:r>
      <w:r w:rsidR="00C63F8F" w:rsidRPr="00E27443">
        <w:t xml:space="preserve"> </w:t>
      </w:r>
      <w:r w:rsidRPr="00E27443">
        <w:t>men.</w:t>
      </w:r>
      <w:r w:rsidR="00C63F8F" w:rsidRPr="00E27443">
        <w:t xml:space="preserve"> </w:t>
      </w:r>
      <w:r w:rsidRPr="00E27443">
        <w:t>There</w:t>
      </w:r>
      <w:r w:rsidR="00C63F8F" w:rsidRPr="00E27443">
        <w:t xml:space="preserve"> </w:t>
      </w:r>
      <w:r w:rsidRPr="00E27443">
        <w:t>are</w:t>
      </w:r>
      <w:r w:rsidR="00C63F8F" w:rsidRPr="00E27443">
        <w:t xml:space="preserve"> </w:t>
      </w:r>
      <w:r w:rsidRPr="00E27443">
        <w:t>no</w:t>
      </w:r>
      <w:r w:rsidR="00C63F8F" w:rsidRPr="00E27443">
        <w:t xml:space="preserve"> </w:t>
      </w:r>
      <w:r w:rsidRPr="00E27443">
        <w:t>available</w:t>
      </w:r>
      <w:r w:rsidR="00C63F8F" w:rsidRPr="00E27443">
        <w:t xml:space="preserve"> </w:t>
      </w:r>
      <w:r w:rsidRPr="00E27443">
        <w:t>statistics</w:t>
      </w:r>
      <w:r w:rsidR="00C63F8F" w:rsidRPr="00E27443">
        <w:t xml:space="preserve"> </w:t>
      </w:r>
      <w:r w:rsidRPr="00E27443">
        <w:t>indicating</w:t>
      </w:r>
      <w:r w:rsidR="00C63F8F" w:rsidRPr="00E27443">
        <w:t xml:space="preserve"> </w:t>
      </w:r>
      <w:r w:rsidRPr="00E27443">
        <w:t>the</w:t>
      </w:r>
      <w:r w:rsidR="00C63F8F" w:rsidRPr="00E27443">
        <w:t xml:space="preserve"> </w:t>
      </w:r>
      <w:r w:rsidRPr="00E27443">
        <w:t>educational</w:t>
      </w:r>
      <w:r w:rsidR="00C63F8F" w:rsidRPr="00E27443">
        <w:t xml:space="preserve"> </w:t>
      </w:r>
      <w:r w:rsidRPr="00E27443">
        <w:t>areas</w:t>
      </w:r>
      <w:r w:rsidR="00C63F8F" w:rsidRPr="00E27443">
        <w:t xml:space="preserve"> </w:t>
      </w:r>
      <w:r w:rsidRPr="00E27443">
        <w:t>within</w:t>
      </w:r>
      <w:r w:rsidR="00C63F8F" w:rsidRPr="00E27443">
        <w:t xml:space="preserve"> </w:t>
      </w:r>
      <w:r w:rsidRPr="00E27443">
        <w:t>which</w:t>
      </w:r>
      <w:r w:rsidR="00C63F8F" w:rsidRPr="00E27443">
        <w:t xml:space="preserve"> </w:t>
      </w:r>
      <w:r w:rsidRPr="00E27443">
        <w:t>the</w:t>
      </w:r>
      <w:r w:rsidR="00C63F8F" w:rsidRPr="00E27443">
        <w:t xml:space="preserve"> </w:t>
      </w:r>
      <w:r w:rsidRPr="00E27443">
        <w:t>students</w:t>
      </w:r>
      <w:r w:rsidR="00C63F8F" w:rsidRPr="00E27443">
        <w:t xml:space="preserve"> </w:t>
      </w:r>
      <w:r w:rsidRPr="00E27443">
        <w:t>are</w:t>
      </w:r>
      <w:r w:rsidR="00C63F8F" w:rsidRPr="00E27443">
        <w:t xml:space="preserve"> </w:t>
      </w:r>
      <w:r w:rsidRPr="00E27443">
        <w:t>active.</w:t>
      </w:r>
      <w:r w:rsidR="00C63F8F" w:rsidRPr="00E27443">
        <w:t xml:space="preserve"> </w:t>
      </w:r>
    </w:p>
    <w:p w:rsidR="00321ADA" w:rsidRPr="00E27443" w:rsidRDefault="00321ADA" w:rsidP="002817DB">
      <w:pPr>
        <w:pStyle w:val="SingleTxtG"/>
        <w:numPr>
          <w:ilvl w:val="0"/>
          <w:numId w:val="20"/>
        </w:numPr>
        <w:tabs>
          <w:tab w:val="left" w:pos="1843"/>
        </w:tabs>
        <w:ind w:left="1134" w:firstLine="0"/>
      </w:pPr>
      <w:r w:rsidRPr="00E27443">
        <w:t>Training</w:t>
      </w:r>
      <w:r w:rsidR="00C63F8F" w:rsidRPr="00E27443">
        <w:t xml:space="preserve"> </w:t>
      </w:r>
      <w:r w:rsidRPr="00E27443">
        <w:t>in</w:t>
      </w:r>
      <w:r w:rsidR="00C63F8F" w:rsidRPr="00E27443">
        <w:t xml:space="preserve"> </w:t>
      </w:r>
      <w:r w:rsidRPr="002817DB">
        <w:t>sign</w:t>
      </w:r>
      <w:r w:rsidR="00C63F8F" w:rsidRPr="002817DB">
        <w:t xml:space="preserve"> </w:t>
      </w:r>
      <w:r w:rsidRPr="002817DB">
        <w:t>language</w:t>
      </w:r>
      <w:r w:rsidR="00C63F8F" w:rsidRPr="002817DB">
        <w:t xml:space="preserve"> </w:t>
      </w:r>
      <w:r w:rsidRPr="002817DB">
        <w:t>or</w:t>
      </w:r>
      <w:r w:rsidR="00C63F8F" w:rsidRPr="002817DB">
        <w:t xml:space="preserve"> </w:t>
      </w:r>
      <w:r w:rsidRPr="002817DB">
        <w:t>deaf-blind</w:t>
      </w:r>
      <w:r w:rsidR="00C63F8F" w:rsidRPr="002817DB">
        <w:t xml:space="preserve"> </w:t>
      </w:r>
      <w:r w:rsidRPr="002817DB">
        <w:t>interpreting</w:t>
      </w:r>
      <w:r w:rsidR="00C63F8F" w:rsidRPr="00E27443">
        <w:t xml:space="preserve"> </w:t>
      </w:r>
      <w:r w:rsidRPr="00E27443">
        <w:t>was</w:t>
      </w:r>
      <w:r w:rsidR="00C63F8F" w:rsidRPr="00E27443">
        <w:t xml:space="preserve"> </w:t>
      </w:r>
      <w:r w:rsidRPr="00E27443">
        <w:t>provided</w:t>
      </w:r>
      <w:r w:rsidR="00C63F8F" w:rsidRPr="00E27443">
        <w:t xml:space="preserve"> </w:t>
      </w:r>
      <w:r w:rsidRPr="00E27443">
        <w:t>at</w:t>
      </w:r>
      <w:r w:rsidR="00C63F8F" w:rsidRPr="00E27443">
        <w:t xml:space="preserve"> </w:t>
      </w:r>
      <w:r w:rsidRPr="00E27443">
        <w:t>several</w:t>
      </w:r>
      <w:r w:rsidR="00C63F8F" w:rsidRPr="00E27443">
        <w:t xml:space="preserve"> </w:t>
      </w:r>
      <w:r w:rsidRPr="00E27443">
        <w:t>folk</w:t>
      </w:r>
      <w:r w:rsidR="00C63F8F" w:rsidRPr="00E27443">
        <w:t xml:space="preserve"> </w:t>
      </w:r>
      <w:r w:rsidRPr="00E27443">
        <w:t>high</w:t>
      </w:r>
      <w:r w:rsidR="00C63F8F" w:rsidRPr="00E27443">
        <w:t xml:space="preserve"> </w:t>
      </w:r>
      <w:r w:rsidRPr="00E27443">
        <w:t>schools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At</w:t>
      </w:r>
      <w:r w:rsidR="00C63F8F" w:rsidRPr="00E27443">
        <w:t xml:space="preserve"> </w:t>
      </w:r>
      <w:r w:rsidRPr="00E27443">
        <w:t>Stockholm</w:t>
      </w:r>
      <w:r w:rsidR="00C63F8F" w:rsidRPr="00E27443">
        <w:t xml:space="preserve"> </w:t>
      </w:r>
      <w:r w:rsidRPr="00E27443">
        <w:t>University</w:t>
      </w:r>
      <w:r w:rsidR="00C63F8F" w:rsidRPr="00E27443">
        <w:t xml:space="preserve"> </w:t>
      </w:r>
      <w:r w:rsidRPr="00E27443">
        <w:t>there</w:t>
      </w:r>
      <w:r w:rsidR="00C63F8F" w:rsidRPr="00E27443">
        <w:t xml:space="preserve"> </w:t>
      </w:r>
      <w:r w:rsidRPr="00E27443">
        <w:t>is</w:t>
      </w:r>
      <w:r w:rsidR="00C63F8F" w:rsidRPr="00E27443">
        <w:t xml:space="preserve"> </w:t>
      </w:r>
      <w:r w:rsidRPr="00E27443">
        <w:t>an</w:t>
      </w:r>
      <w:r w:rsidR="00C63F8F" w:rsidRPr="00E27443">
        <w:t xml:space="preserve"> </w:t>
      </w:r>
      <w:r w:rsidRPr="00E27443">
        <w:t>Institute</w:t>
      </w:r>
      <w:r w:rsidR="00C63F8F" w:rsidRPr="00E27443">
        <w:t xml:space="preserve"> </w:t>
      </w:r>
      <w:r w:rsidRPr="00E27443">
        <w:t>for</w:t>
      </w:r>
      <w:r w:rsidR="00C63F8F" w:rsidRPr="00E27443">
        <w:t xml:space="preserve"> </w:t>
      </w:r>
      <w:r w:rsidRPr="00E27443">
        <w:t>Interpretation</w:t>
      </w:r>
      <w:r w:rsidR="00C63F8F" w:rsidRPr="00E27443">
        <w:t xml:space="preserve"> </w:t>
      </w:r>
      <w:r w:rsidRPr="00E27443">
        <w:t>and</w:t>
      </w:r>
      <w:r w:rsidR="00C63F8F" w:rsidRPr="00E27443">
        <w:t xml:space="preserve"> </w:t>
      </w:r>
      <w:r w:rsidRPr="00E27443">
        <w:t>Translation</w:t>
      </w:r>
      <w:r w:rsidR="00C63F8F" w:rsidRPr="00E27443">
        <w:t xml:space="preserve"> </w:t>
      </w:r>
      <w:r w:rsidRPr="00E27443">
        <w:t>Studies,</w:t>
      </w:r>
      <w:r w:rsidR="00C63F8F" w:rsidRPr="00E27443">
        <w:t xml:space="preserve"> </w:t>
      </w:r>
      <w:r w:rsidRPr="00E27443">
        <w:t>which</w:t>
      </w:r>
      <w:r w:rsidR="00C63F8F" w:rsidRPr="00E27443">
        <w:t xml:space="preserve"> </w:t>
      </w:r>
      <w:r w:rsidRPr="00E27443">
        <w:t>is</w:t>
      </w:r>
      <w:r w:rsidR="00C63F8F" w:rsidRPr="00E27443">
        <w:t xml:space="preserve"> </w:t>
      </w:r>
      <w:r w:rsidRPr="00E27443">
        <w:t>charged</w:t>
      </w:r>
      <w:r w:rsidR="00C63F8F" w:rsidRPr="00E27443">
        <w:t xml:space="preserve"> </w:t>
      </w:r>
      <w:r w:rsidRPr="00E27443">
        <w:t>for</w:t>
      </w:r>
      <w:r w:rsidR="00C63F8F" w:rsidRPr="00E27443">
        <w:t xml:space="preserve"> </w:t>
      </w:r>
      <w:r w:rsidRPr="00E27443">
        <w:t>example</w:t>
      </w:r>
      <w:r w:rsidR="00C63F8F" w:rsidRPr="00E27443">
        <w:t xml:space="preserve"> </w:t>
      </w:r>
      <w:r w:rsidRPr="00E27443">
        <w:t>with</w:t>
      </w:r>
      <w:r w:rsidR="00C63F8F" w:rsidRPr="00E27443">
        <w:t xml:space="preserve"> </w:t>
      </w:r>
      <w:r w:rsidRPr="00E27443">
        <w:t>distributing</w:t>
      </w:r>
      <w:r w:rsidR="00C63F8F" w:rsidRPr="00E27443">
        <w:t xml:space="preserve"> </w:t>
      </w:r>
      <w:r w:rsidRPr="00E27443">
        <w:t>state</w:t>
      </w:r>
      <w:r w:rsidR="00C63F8F" w:rsidRPr="00E27443">
        <w:t xml:space="preserve"> </w:t>
      </w:r>
      <w:r w:rsidRPr="00E27443">
        <w:t>subsidies</w:t>
      </w:r>
      <w:r w:rsidR="00C63F8F" w:rsidRPr="00E27443">
        <w:t xml:space="preserve"> </w:t>
      </w:r>
      <w:r w:rsidRPr="00E27443">
        <w:t>for</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interpreting</w:t>
      </w:r>
      <w:r w:rsidR="00C63F8F" w:rsidRPr="00E27443">
        <w:t xml:space="preserve"> </w:t>
      </w:r>
      <w:r w:rsidRPr="00E27443">
        <w:t>training</w:t>
      </w:r>
      <w:r w:rsidR="00C63F8F" w:rsidRPr="00E27443">
        <w:t xml:space="preserve"> </w:t>
      </w:r>
      <w:r w:rsidRPr="00E27443">
        <w:t>to</w:t>
      </w:r>
      <w:r w:rsidR="00C63F8F" w:rsidRPr="00E27443">
        <w:t xml:space="preserve"> </w:t>
      </w:r>
      <w:r w:rsidRPr="00E27443">
        <w:t>folk</w:t>
      </w:r>
      <w:r w:rsidR="00C63F8F" w:rsidRPr="00E27443">
        <w:t xml:space="preserve"> </w:t>
      </w:r>
      <w:r w:rsidRPr="00E27443">
        <w:t>high</w:t>
      </w:r>
      <w:r w:rsidR="00C63F8F" w:rsidRPr="00E27443">
        <w:t xml:space="preserve"> </w:t>
      </w:r>
      <w:r w:rsidRPr="00E27443">
        <w:t>schools,</w:t>
      </w:r>
      <w:r w:rsidR="00C63F8F" w:rsidRPr="00E27443">
        <w:t xml:space="preserve"> </w:t>
      </w:r>
      <w:r w:rsidRPr="00E27443">
        <w:t>with</w:t>
      </w:r>
      <w:r w:rsidR="00C63F8F" w:rsidRPr="00E27443">
        <w:t xml:space="preserve"> </w:t>
      </w:r>
      <w:r w:rsidRPr="00E27443">
        <w:t>supervising</w:t>
      </w:r>
      <w:r w:rsidR="00C63F8F" w:rsidRPr="00E27443">
        <w:t xml:space="preserve"> </w:t>
      </w:r>
      <w:r w:rsidRPr="00E27443">
        <w:t>such</w:t>
      </w:r>
      <w:r w:rsidR="00C63F8F" w:rsidRPr="00E27443">
        <w:t xml:space="preserve"> </w:t>
      </w:r>
      <w:r w:rsidRPr="00E27443">
        <w:t>activities</w:t>
      </w:r>
      <w:r w:rsidR="00C63F8F" w:rsidRPr="00E27443">
        <w:t xml:space="preserve"> </w:t>
      </w:r>
      <w:r w:rsidRPr="00E27443">
        <w:t>and</w:t>
      </w:r>
      <w:r w:rsidR="00C63F8F" w:rsidRPr="00E27443">
        <w:t xml:space="preserve"> </w:t>
      </w:r>
      <w:r w:rsidRPr="00E27443">
        <w:t>with</w:t>
      </w:r>
      <w:r w:rsidR="00C63F8F" w:rsidRPr="00E27443">
        <w:t xml:space="preserve"> </w:t>
      </w:r>
      <w:r w:rsidRPr="00E27443">
        <w:t>continually</w:t>
      </w:r>
      <w:r w:rsidR="00C63F8F" w:rsidRPr="00E27443">
        <w:t xml:space="preserve"> </w:t>
      </w:r>
      <w:r w:rsidRPr="00E27443">
        <w:t>following</w:t>
      </w:r>
      <w:r w:rsidR="00C63F8F" w:rsidRPr="00E27443">
        <w:t xml:space="preserve"> </w:t>
      </w:r>
      <w:r w:rsidRPr="00E27443">
        <w:t>up</w:t>
      </w:r>
      <w:r w:rsidR="00C63F8F" w:rsidRPr="00E27443">
        <w:t xml:space="preserve"> </w:t>
      </w:r>
      <w:r w:rsidRPr="00E27443">
        <w:t>and</w:t>
      </w:r>
      <w:r w:rsidR="00C63F8F" w:rsidRPr="00E27443">
        <w:t xml:space="preserve"> </w:t>
      </w:r>
      <w:r w:rsidRPr="00E27443">
        <w:t>evaluating</w:t>
      </w:r>
      <w:r w:rsidR="00C63F8F" w:rsidRPr="00E27443">
        <w:t xml:space="preserve"> </w:t>
      </w:r>
      <w:r w:rsidRPr="00E27443">
        <w:t>the</w:t>
      </w:r>
      <w:r w:rsidR="00C63F8F" w:rsidRPr="00E27443">
        <w:t xml:space="preserve"> </w:t>
      </w:r>
      <w:r w:rsidRPr="00E27443">
        <w:t>training.</w:t>
      </w:r>
    </w:p>
    <w:p w:rsidR="00321ADA" w:rsidRPr="00E27443" w:rsidRDefault="00321ADA" w:rsidP="002817DB">
      <w:pPr>
        <w:pStyle w:val="SingleTxtG"/>
        <w:numPr>
          <w:ilvl w:val="0"/>
          <w:numId w:val="20"/>
        </w:numPr>
        <w:tabs>
          <w:tab w:val="left" w:pos="1843"/>
        </w:tabs>
        <w:ind w:left="1134" w:firstLine="0"/>
      </w:pPr>
      <w:r w:rsidRPr="00E27443">
        <w:t>A</w:t>
      </w:r>
      <w:r w:rsidR="00C63F8F" w:rsidRPr="00E27443">
        <w:t xml:space="preserve"> </w:t>
      </w:r>
      <w:r w:rsidRPr="00E27443">
        <w:t>new</w:t>
      </w:r>
      <w:r w:rsidR="00C63F8F" w:rsidRPr="00E27443">
        <w:t xml:space="preserve"> </w:t>
      </w:r>
      <w:r w:rsidRPr="002817DB">
        <w:t>Language</w:t>
      </w:r>
      <w:r w:rsidR="00C63F8F" w:rsidRPr="002817DB">
        <w:t xml:space="preserve"> </w:t>
      </w:r>
      <w:r w:rsidRPr="002817DB">
        <w:t>Act</w:t>
      </w:r>
      <w:r w:rsidR="00C63F8F" w:rsidRPr="00E27443">
        <w:t xml:space="preserve"> </w:t>
      </w:r>
      <w:r w:rsidRPr="00E27443">
        <w:t>entered</w:t>
      </w:r>
      <w:r w:rsidR="00C63F8F" w:rsidRPr="00E27443">
        <w:t xml:space="preserve"> </w:t>
      </w:r>
      <w:r w:rsidRPr="00E27443">
        <w:t>into</w:t>
      </w:r>
      <w:r w:rsidR="00C63F8F" w:rsidRPr="00E27443">
        <w:t xml:space="preserve"> </w:t>
      </w:r>
      <w:r w:rsidRPr="00E27443">
        <w:t>effect</w:t>
      </w:r>
      <w:r w:rsidR="00C63F8F" w:rsidRPr="00E27443">
        <w:t xml:space="preserve"> </w:t>
      </w:r>
      <w:r w:rsidRPr="00E27443">
        <w:t>on</w:t>
      </w:r>
      <w:r w:rsidR="00C63F8F" w:rsidRPr="00E27443">
        <w:t xml:space="preserve"> </w:t>
      </w:r>
      <w:r w:rsidRPr="00E27443">
        <w:t>1</w:t>
      </w:r>
      <w:r w:rsidR="00C63F8F" w:rsidRPr="00E27443">
        <w:t xml:space="preserve"> </w:t>
      </w:r>
      <w:r w:rsidRPr="00E27443">
        <w:t>July</w:t>
      </w:r>
      <w:r w:rsidR="00C63F8F" w:rsidRPr="00E27443">
        <w:t xml:space="preserve"> </w:t>
      </w:r>
      <w:r w:rsidRPr="00E27443">
        <w:t>2009.</w:t>
      </w:r>
      <w:r w:rsidR="00CF6E19" w:rsidRPr="002817DB">
        <w:footnoteReference w:id="104"/>
      </w:r>
      <w:r w:rsidR="00C63F8F" w:rsidRPr="00E27443">
        <w:t xml:space="preserve"> </w:t>
      </w:r>
      <w:r w:rsidRPr="00E27443">
        <w:t>It</w:t>
      </w:r>
      <w:r w:rsidR="00C63F8F" w:rsidRPr="00E27443">
        <w:t xml:space="preserve"> </w:t>
      </w:r>
      <w:r w:rsidRPr="00E27443">
        <w:t>is</w:t>
      </w:r>
      <w:r w:rsidR="00C63F8F" w:rsidRPr="00E27443">
        <w:t xml:space="preserve"> </w:t>
      </w:r>
      <w:r w:rsidRPr="00E27443">
        <w:t>evident</w:t>
      </w:r>
      <w:r w:rsidR="00C63F8F" w:rsidRPr="00E27443">
        <w:t xml:space="preserve"> </w:t>
      </w:r>
      <w:r w:rsidRPr="00E27443">
        <w:t>from</w:t>
      </w:r>
      <w:r w:rsidR="00C63F8F" w:rsidRPr="00E27443">
        <w:t xml:space="preserve"> </w:t>
      </w:r>
      <w:r w:rsidRPr="00E27443">
        <w:t>this</w:t>
      </w:r>
      <w:r w:rsidR="00C63F8F" w:rsidRPr="00E27443">
        <w:t xml:space="preserve"> </w:t>
      </w:r>
      <w:r w:rsidRPr="00E27443">
        <w:t>that</w:t>
      </w:r>
      <w:r w:rsidR="00C63F8F" w:rsidRPr="00E27443">
        <w:t xml:space="preserve"> </w:t>
      </w:r>
      <w:r w:rsidRPr="00E27443">
        <w:t>the</w:t>
      </w:r>
      <w:r w:rsidR="00C63F8F" w:rsidRPr="00E27443">
        <w:t xml:space="preserve"> </w:t>
      </w:r>
      <w:r w:rsidRPr="00E27443">
        <w:t>community</w:t>
      </w:r>
      <w:r w:rsidR="00C63F8F" w:rsidRPr="00E27443">
        <w:t xml:space="preserve"> </w:t>
      </w:r>
      <w:r w:rsidRPr="00E27443">
        <w:t>at</w:t>
      </w:r>
      <w:r w:rsidR="00C63F8F" w:rsidRPr="00E27443">
        <w:t xml:space="preserve"> </w:t>
      </w:r>
      <w:r w:rsidRPr="00E27443">
        <w:t>large</w:t>
      </w:r>
      <w:r w:rsidR="00C63F8F" w:rsidRPr="00E27443">
        <w:t xml:space="preserve"> </w:t>
      </w:r>
      <w:r w:rsidRPr="00E27443">
        <w:t>has</w:t>
      </w:r>
      <w:r w:rsidR="00C63F8F" w:rsidRPr="00E27443">
        <w:t xml:space="preserve"> </w:t>
      </w:r>
      <w:r w:rsidRPr="00E27443">
        <w:t>a</w:t>
      </w:r>
      <w:r w:rsidR="00C63F8F" w:rsidRPr="00E27443">
        <w:t xml:space="preserve"> </w:t>
      </w:r>
      <w:r w:rsidRPr="00E27443">
        <w:t>special</w:t>
      </w:r>
      <w:r w:rsidR="00C63F8F" w:rsidRPr="00E27443">
        <w:t xml:space="preserve"> </w:t>
      </w:r>
      <w:r w:rsidRPr="00E27443">
        <w:t>responsibility</w:t>
      </w:r>
      <w:r w:rsidR="00C63F8F" w:rsidRPr="00E27443">
        <w:t xml:space="preserve"> </w:t>
      </w:r>
      <w:r w:rsidRPr="00E27443">
        <w:t>to</w:t>
      </w:r>
      <w:r w:rsidR="00C63F8F" w:rsidRPr="00E27443">
        <w:t xml:space="preserve"> </w:t>
      </w:r>
      <w:r w:rsidRPr="00E27443">
        <w:t>protect</w:t>
      </w:r>
      <w:r w:rsidR="00C63F8F" w:rsidRPr="00E27443">
        <w:t xml:space="preserve"> </w:t>
      </w:r>
      <w:r w:rsidRPr="00E27443">
        <w:t>and</w:t>
      </w:r>
      <w:r w:rsidR="00C63F8F" w:rsidRPr="00E27443">
        <w:t xml:space="preserve"> </w:t>
      </w:r>
      <w:r w:rsidRPr="00E27443">
        <w:t>promote</w:t>
      </w:r>
      <w:r w:rsidR="00C63F8F" w:rsidRPr="00E27443">
        <w:t xml:space="preserve"> </w:t>
      </w:r>
      <w:r w:rsidRPr="00E27443">
        <w:t>Swedish</w:t>
      </w:r>
      <w:r w:rsidR="00C63F8F" w:rsidRPr="00E27443">
        <w:t xml:space="preserve"> </w:t>
      </w:r>
      <w:r w:rsidRPr="00E27443">
        <w:t>sign</w:t>
      </w:r>
      <w:r w:rsidR="00C63F8F" w:rsidRPr="00E27443">
        <w:t xml:space="preserve"> </w:t>
      </w:r>
      <w:r w:rsidRPr="00E27443">
        <w:t>language.</w:t>
      </w:r>
      <w:r w:rsidR="00C63F8F" w:rsidRPr="00E27443">
        <w:t xml:space="preserve"> </w:t>
      </w:r>
      <w:r w:rsidRPr="00E27443">
        <w:t>All</w:t>
      </w:r>
      <w:r w:rsidR="00C63F8F" w:rsidRPr="00E27443">
        <w:t xml:space="preserve"> </w:t>
      </w:r>
      <w:r w:rsidRPr="00E27443">
        <w:t>those</w:t>
      </w:r>
      <w:r w:rsidR="00C63F8F" w:rsidRPr="00E27443">
        <w:t xml:space="preserve"> </w:t>
      </w:r>
      <w:r w:rsidRPr="00E27443">
        <w:t>who</w:t>
      </w:r>
      <w:r w:rsidR="00C63F8F" w:rsidRPr="00E27443">
        <w:t xml:space="preserve"> </w:t>
      </w:r>
      <w:r w:rsidRPr="00E27443">
        <w:t>are</w:t>
      </w:r>
      <w:r w:rsidR="00C63F8F" w:rsidRPr="00E27443">
        <w:t xml:space="preserve"> </w:t>
      </w:r>
      <w:r w:rsidRPr="00E27443">
        <w:t>deaf,</w:t>
      </w:r>
      <w:r w:rsidR="00C63F8F" w:rsidRPr="00E27443">
        <w:t xml:space="preserve"> </w:t>
      </w:r>
      <w:r w:rsidRPr="00E27443">
        <w:t>hearing</w:t>
      </w:r>
      <w:r w:rsidR="00C63F8F" w:rsidRPr="00E27443">
        <w:t xml:space="preserve"> </w:t>
      </w:r>
      <w:r w:rsidRPr="00E27443">
        <w:t>impaired</w:t>
      </w:r>
      <w:r w:rsidR="00C63F8F" w:rsidRPr="00E27443">
        <w:t xml:space="preserve"> </w:t>
      </w:r>
      <w:r w:rsidRPr="00E27443">
        <w:t>or</w:t>
      </w:r>
      <w:r w:rsidR="00C63F8F" w:rsidRPr="00E27443">
        <w:t xml:space="preserve"> </w:t>
      </w:r>
      <w:r w:rsidRPr="00E27443">
        <w:t>who</w:t>
      </w:r>
      <w:r w:rsidR="00C63F8F" w:rsidRPr="00E27443">
        <w:t xml:space="preserve"> </w:t>
      </w:r>
      <w:r w:rsidRPr="00E27443">
        <w:t>require</w:t>
      </w:r>
      <w:r w:rsidR="00C63F8F" w:rsidRPr="00E27443">
        <w:t xml:space="preserve"> </w:t>
      </w:r>
      <w:r w:rsidRPr="00E27443">
        <w:t>sign</w:t>
      </w:r>
      <w:r w:rsidR="00C63F8F" w:rsidRPr="00E27443">
        <w:t xml:space="preserve"> </w:t>
      </w:r>
      <w:r w:rsidRPr="00E27443">
        <w:t>language</w:t>
      </w:r>
      <w:r w:rsidR="00C63F8F" w:rsidRPr="00E27443">
        <w:t xml:space="preserve"> </w:t>
      </w:r>
      <w:r w:rsidRPr="00E27443">
        <w:t>for</w:t>
      </w:r>
      <w:r w:rsidR="00C63F8F" w:rsidRPr="00E27443">
        <w:t xml:space="preserve"> </w:t>
      </w:r>
      <w:r w:rsidRPr="00E27443">
        <w:t>some</w:t>
      </w:r>
      <w:r w:rsidR="00C63F8F" w:rsidRPr="00E27443">
        <w:t xml:space="preserve"> </w:t>
      </w:r>
      <w:r w:rsidRPr="00E27443">
        <w:t>other</w:t>
      </w:r>
      <w:r w:rsidR="00C63F8F" w:rsidRPr="00E27443">
        <w:t xml:space="preserve"> </w:t>
      </w:r>
      <w:r w:rsidRPr="00E27443">
        <w:t>reason</w:t>
      </w:r>
      <w:r w:rsidR="00C63F8F" w:rsidRPr="00E27443">
        <w:t xml:space="preserve"> </w:t>
      </w:r>
      <w:r w:rsidRPr="00E27443">
        <w:t>must</w:t>
      </w:r>
      <w:r w:rsidR="00C63F8F" w:rsidRPr="00E27443">
        <w:t xml:space="preserve"> </w:t>
      </w:r>
      <w:r w:rsidRPr="00E27443">
        <w:t>be</w:t>
      </w:r>
      <w:r w:rsidR="00C63F8F" w:rsidRPr="00E27443">
        <w:t xml:space="preserve"> </w:t>
      </w:r>
      <w:r w:rsidRPr="00E27443">
        <w:t>given</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learn,</w:t>
      </w:r>
      <w:r w:rsidR="00C63F8F" w:rsidRPr="00E27443">
        <w:t xml:space="preserve"> </w:t>
      </w:r>
      <w:r w:rsidRPr="00E27443">
        <w:t>develop</w:t>
      </w:r>
      <w:r w:rsidR="00C63F8F" w:rsidRPr="00E27443">
        <w:t xml:space="preserve"> </w:t>
      </w:r>
      <w:r w:rsidRPr="00E27443">
        <w:t>and</w:t>
      </w:r>
      <w:r w:rsidR="00C63F8F" w:rsidRPr="00E27443">
        <w:t xml:space="preserve"> </w:t>
      </w:r>
      <w:r w:rsidRPr="00E27443">
        <w:t>use</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In</w:t>
      </w:r>
      <w:r w:rsidR="00C63F8F" w:rsidRPr="00E27443">
        <w:t xml:space="preserve"> </w:t>
      </w:r>
      <w:r w:rsidRPr="00E27443">
        <w:t>2010,</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set</w:t>
      </w:r>
      <w:r w:rsidR="00C63F8F" w:rsidRPr="00E27443">
        <w:t xml:space="preserve"> </w:t>
      </w:r>
      <w:r w:rsidRPr="00E27443">
        <w:t>up</w:t>
      </w:r>
      <w:r w:rsidR="00C63F8F" w:rsidRPr="00E27443">
        <w:t xml:space="preserve"> </w:t>
      </w:r>
      <w:r w:rsidRPr="00E27443">
        <w:t>a</w:t>
      </w:r>
      <w:r w:rsidR="00C63F8F" w:rsidRPr="00E27443">
        <w:t xml:space="preserve"> </w:t>
      </w:r>
      <w:r w:rsidRPr="00E27443">
        <w:t>study</w:t>
      </w:r>
      <w:r w:rsidR="00C63F8F" w:rsidRPr="00E27443">
        <w:t xml:space="preserve"> </w:t>
      </w:r>
      <w:r w:rsidRPr="00E27443">
        <w:t>aimed</w:t>
      </w:r>
      <w:r w:rsidR="00C63F8F" w:rsidRPr="00E27443">
        <w:t xml:space="preserve"> </w:t>
      </w:r>
      <w:r w:rsidRPr="00E27443">
        <w:t>at</w:t>
      </w:r>
      <w:r w:rsidR="00C63F8F" w:rsidRPr="00E27443">
        <w:t xml:space="preserve"> </w:t>
      </w:r>
      <w:r w:rsidRPr="00E27443">
        <w:t>submitting</w:t>
      </w:r>
      <w:r w:rsidR="00C63F8F" w:rsidRPr="00E27443">
        <w:t xml:space="preserve"> </w:t>
      </w:r>
      <w:r w:rsidRPr="00E27443">
        <w:t>proposals</w:t>
      </w:r>
      <w:r w:rsidR="00C63F8F" w:rsidRPr="00E27443">
        <w:t xml:space="preserve"> </w:t>
      </w:r>
      <w:r w:rsidRPr="00E27443">
        <w:t>for</w:t>
      </w:r>
      <w:r w:rsidR="00C63F8F" w:rsidRPr="00E27443">
        <w:t xml:space="preserve"> </w:t>
      </w:r>
      <w:r w:rsidRPr="00E27443">
        <w:t>how</w:t>
      </w:r>
      <w:r w:rsidR="00C63F8F" w:rsidRPr="00E27443">
        <w:t xml:space="preserve"> </w:t>
      </w:r>
      <w:r w:rsidRPr="00E27443">
        <w:t>pupils</w:t>
      </w:r>
      <w:r w:rsidR="00C63F8F" w:rsidRPr="00E27443">
        <w:t xml:space="preserve"> </w:t>
      </w:r>
      <w:r w:rsidRPr="00E27443">
        <w:t>can</w:t>
      </w:r>
      <w:r w:rsidR="00C63F8F" w:rsidRPr="00E27443">
        <w:t xml:space="preserve"> </w:t>
      </w:r>
      <w:r w:rsidRPr="00E27443">
        <w:t>receive</w:t>
      </w:r>
      <w:r w:rsidR="00C63F8F" w:rsidRPr="00E27443">
        <w:t xml:space="preserve"> </w:t>
      </w:r>
      <w:r w:rsidRPr="00E27443">
        <w:t>instruction</w:t>
      </w:r>
      <w:r w:rsidR="00C63F8F" w:rsidRPr="00E27443">
        <w:t xml:space="preserve"> </w:t>
      </w:r>
      <w:r w:rsidRPr="00E27443">
        <w:t>in</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in</w:t>
      </w:r>
      <w:r w:rsidR="00C63F8F" w:rsidRPr="00E27443">
        <w:t xml:space="preserve"> </w:t>
      </w:r>
      <w:r w:rsidRPr="00E27443">
        <w:t>elementary</w:t>
      </w:r>
      <w:r w:rsidR="00C63F8F" w:rsidRPr="00E27443">
        <w:t xml:space="preserve"> </w:t>
      </w:r>
      <w:r w:rsidRPr="00E27443">
        <w:t>schools</w:t>
      </w:r>
      <w:r w:rsidR="00C63F8F" w:rsidRPr="00E27443">
        <w:t xml:space="preserve"> </w:t>
      </w:r>
      <w:r w:rsidRPr="00E27443">
        <w:t>and</w:t>
      </w:r>
      <w:r w:rsidR="00C63F8F" w:rsidRPr="00E27443">
        <w:t xml:space="preserve"> </w:t>
      </w:r>
      <w:r w:rsidRPr="00E27443">
        <w:t>elementary</w:t>
      </w:r>
      <w:r w:rsidR="00C63F8F" w:rsidRPr="00E27443">
        <w:t xml:space="preserve"> </w:t>
      </w:r>
      <w:r w:rsidRPr="00E27443">
        <w:t>special</w:t>
      </w:r>
      <w:r w:rsidR="00C63F8F" w:rsidRPr="00E27443">
        <w:t xml:space="preserve"> </w:t>
      </w:r>
      <w:r w:rsidRPr="00E27443">
        <w:t>schools.</w:t>
      </w:r>
      <w:r w:rsidR="00C63F8F" w:rsidRPr="00E27443">
        <w:t xml:space="preserve"> </w:t>
      </w:r>
      <w:r w:rsidRPr="00E27443">
        <w:t>During</w:t>
      </w:r>
      <w:r w:rsidR="00C63F8F" w:rsidRPr="00E27443">
        <w:t xml:space="preserve"> </w:t>
      </w:r>
      <w:r w:rsidRPr="00E27443">
        <w:t>2009,</w:t>
      </w:r>
      <w:r w:rsidR="00C63F8F" w:rsidRPr="00E27443">
        <w:t xml:space="preserve"> </w:t>
      </w:r>
      <w:r w:rsidRPr="00E27443">
        <w:t>the</w:t>
      </w:r>
      <w:r w:rsidR="00C63F8F" w:rsidRPr="00E27443">
        <w:t xml:space="preserve"> </w:t>
      </w:r>
      <w:smartTag w:uri="urn:schemas-microsoft-com:office:smarttags" w:element="place">
        <w:smartTag w:uri="urn:schemas-microsoft-com:office:smarttags" w:element="PlaceType">
          <w:r w:rsidRPr="00E27443">
            <w:t>Institute</w:t>
          </w:r>
        </w:smartTag>
        <w:r w:rsidR="00C63F8F" w:rsidRPr="00E27443">
          <w:t xml:space="preserve"> </w:t>
        </w:r>
        <w:r w:rsidRPr="00E27443">
          <w:t>of</w:t>
        </w:r>
        <w:r w:rsidR="00C63F8F" w:rsidRPr="00E27443">
          <w:t xml:space="preserve"> </w:t>
        </w:r>
        <w:smartTag w:uri="urn:schemas-microsoft-com:office:smarttags" w:element="PlaceName">
          <w:r w:rsidRPr="00E27443">
            <w:t>Language</w:t>
          </w:r>
        </w:smartTag>
      </w:smartTag>
      <w:r w:rsidR="00C63F8F" w:rsidRPr="00E27443">
        <w:t xml:space="preserve"> </w:t>
      </w:r>
      <w:r w:rsidRPr="00E27443">
        <w:t>and</w:t>
      </w:r>
      <w:r w:rsidR="00C63F8F" w:rsidRPr="00E27443">
        <w:t xml:space="preserve"> </w:t>
      </w:r>
      <w:r w:rsidRPr="00E27443">
        <w:t>Folklore</w:t>
      </w:r>
      <w:r w:rsidR="00CF6E19" w:rsidRPr="00E27443">
        <w:rPr>
          <w:rStyle w:val="FootnoteReference"/>
        </w:rPr>
        <w:footnoteReference w:id="105"/>
      </w:r>
      <w:r w:rsidR="00CF6E19" w:rsidRPr="00E27443">
        <w:t xml:space="preserve"> </w:t>
      </w:r>
      <w:r w:rsidRPr="00E27443">
        <w:t>and</w:t>
      </w:r>
      <w:r w:rsidR="00C63F8F" w:rsidRPr="00E27443">
        <w:t xml:space="preserve"> </w:t>
      </w:r>
      <w:r w:rsidRPr="00E27443">
        <w:t>the</w:t>
      </w:r>
      <w:r w:rsidR="00C63F8F" w:rsidRPr="00E27443">
        <w:t xml:space="preserve"> </w:t>
      </w:r>
      <w:r w:rsidRPr="00E27443">
        <w:t>Language</w:t>
      </w:r>
      <w:r w:rsidR="00C63F8F" w:rsidRPr="00E27443">
        <w:t xml:space="preserve"> </w:t>
      </w:r>
      <w:r w:rsidRPr="00E27443">
        <w:t>Council</w:t>
      </w:r>
      <w:r w:rsidR="00C63F8F" w:rsidRPr="00E27443">
        <w:t xml:space="preserve"> </w:t>
      </w:r>
      <w:r w:rsidRPr="00E27443">
        <w:t>of</w:t>
      </w:r>
      <w:r w:rsidR="00C63F8F" w:rsidRPr="00E27443">
        <w:t xml:space="preserve"> </w:t>
      </w:r>
      <w:r w:rsidRPr="00E27443">
        <w:t>Sweden</w:t>
      </w:r>
      <w:r w:rsidR="00CF6E19" w:rsidRPr="00E27443">
        <w:rPr>
          <w:rStyle w:val="FootnoteReference"/>
        </w:rPr>
        <w:footnoteReference w:id="106"/>
      </w:r>
      <w:r w:rsidR="00C63F8F" w:rsidRPr="00E27443">
        <w:t xml:space="preserve"> </w:t>
      </w:r>
      <w:r w:rsidRPr="00E27443">
        <w:t>have</w:t>
      </w:r>
      <w:r w:rsidR="00C63F8F" w:rsidRPr="00E27443">
        <w:t xml:space="preserve"> </w:t>
      </w:r>
      <w:r w:rsidRPr="00E27443">
        <w:t>commenced</w:t>
      </w:r>
      <w:r w:rsidR="00C63F8F" w:rsidRPr="00E27443">
        <w:t xml:space="preserve"> </w:t>
      </w:r>
      <w:r w:rsidRPr="00E27443">
        <w:t>work</w:t>
      </w:r>
      <w:r w:rsidR="00C63F8F" w:rsidRPr="00E27443">
        <w:t xml:space="preserve"> </w:t>
      </w:r>
      <w:r w:rsidRPr="00E27443">
        <w:t>on</w:t>
      </w:r>
      <w:r w:rsidR="00C63F8F" w:rsidRPr="00E27443">
        <w:t xml:space="preserve"> </w:t>
      </w:r>
      <w:r w:rsidRPr="00E27443">
        <w:t>identifying</w:t>
      </w:r>
      <w:r w:rsidR="00C63F8F" w:rsidRPr="00E27443">
        <w:t xml:space="preserve"> </w:t>
      </w:r>
      <w:r w:rsidRPr="00E27443">
        <w:t>methods</w:t>
      </w:r>
      <w:r w:rsidR="00C63F8F" w:rsidRPr="00E27443">
        <w:t xml:space="preserve"> </w:t>
      </w:r>
      <w:r w:rsidRPr="00E27443">
        <w:t>for</w:t>
      </w:r>
      <w:r w:rsidR="00C63F8F" w:rsidRPr="00E27443">
        <w:t xml:space="preserve"> </w:t>
      </w:r>
      <w:r w:rsidRPr="00E27443">
        <w:t>developing</w:t>
      </w:r>
      <w:r w:rsidR="00C63F8F" w:rsidRPr="00E27443">
        <w:t xml:space="preserve"> </w:t>
      </w:r>
      <w:r w:rsidRPr="00E27443">
        <w:t>sign</w:t>
      </w:r>
      <w:r w:rsidR="00C63F8F" w:rsidRPr="00E27443">
        <w:t xml:space="preserve"> </w:t>
      </w:r>
      <w:r w:rsidRPr="00E27443">
        <w:t>language.</w:t>
      </w:r>
      <w:r w:rsidR="00C63F8F" w:rsidRPr="00E27443">
        <w:t xml:space="preserve"> </w:t>
      </w:r>
      <w:r w:rsidRPr="00E27443">
        <w:t>On</w:t>
      </w:r>
      <w:r w:rsidR="00C63F8F" w:rsidRPr="00E27443">
        <w:t xml:space="preserve"> </w:t>
      </w:r>
      <w:r w:rsidRPr="00E27443">
        <w:t>the</w:t>
      </w:r>
      <w:r w:rsidR="00C63F8F" w:rsidRPr="00E27443">
        <w:t xml:space="preserve"> </w:t>
      </w:r>
      <w:r w:rsidRPr="00E27443">
        <w:t>Language</w:t>
      </w:r>
      <w:r w:rsidR="00C63F8F" w:rsidRPr="00E27443">
        <w:t xml:space="preserve"> </w:t>
      </w:r>
      <w:r w:rsidRPr="00E27443">
        <w:t>Council</w:t>
      </w:r>
      <w:r w:rsidR="00C63F8F" w:rsidRPr="00E27443">
        <w:t xml:space="preserve"> </w:t>
      </w:r>
      <w:r w:rsidRPr="00E27443">
        <w:t>of</w:t>
      </w:r>
      <w:r w:rsidR="00C63F8F" w:rsidRPr="00E27443">
        <w:t xml:space="preserve"> </w:t>
      </w:r>
      <w:r w:rsidRPr="00E27443">
        <w:t>Sweden</w:t>
      </w:r>
      <w:r w:rsidR="00C63F8F" w:rsidRPr="00E27443">
        <w:t>’</w:t>
      </w:r>
      <w:r w:rsidRPr="00E27443">
        <w:t>s</w:t>
      </w:r>
      <w:r w:rsidR="00C63F8F" w:rsidRPr="00E27443">
        <w:t xml:space="preserve"> </w:t>
      </w:r>
      <w:r w:rsidRPr="00E27443">
        <w:t>website,</w:t>
      </w:r>
      <w:r w:rsidR="00C63F8F" w:rsidRPr="00E27443">
        <w:t xml:space="preserve"> </w:t>
      </w:r>
      <w:r w:rsidRPr="00E27443">
        <w:t>the</w:t>
      </w:r>
      <w:r w:rsidR="00C63F8F" w:rsidRPr="00E27443">
        <w:t xml:space="preserve"> </w:t>
      </w:r>
      <w:r w:rsidRPr="00E27443">
        <w:t>Council</w:t>
      </w:r>
      <w:r w:rsidR="00C63F8F" w:rsidRPr="00E27443">
        <w:t xml:space="preserve"> </w:t>
      </w:r>
      <w:r w:rsidRPr="00E27443">
        <w:t>provides</w:t>
      </w:r>
      <w:r w:rsidR="00C63F8F" w:rsidRPr="00E27443">
        <w:t xml:space="preserve"> </w:t>
      </w:r>
      <w:r w:rsidRPr="00E27443">
        <w:t>various</w:t>
      </w:r>
      <w:r w:rsidR="00C63F8F" w:rsidRPr="00E27443">
        <w:t xml:space="preserve"> </w:t>
      </w:r>
      <w:r w:rsidRPr="00E27443">
        <w:t>news</w:t>
      </w:r>
      <w:r w:rsidR="00C63F8F" w:rsidRPr="00E27443">
        <w:t xml:space="preserve"> </w:t>
      </w:r>
      <w:r w:rsidRPr="00E27443">
        <w:t>and</w:t>
      </w:r>
      <w:r w:rsidR="00C63F8F" w:rsidRPr="00E27443">
        <w:t xml:space="preserve"> </w:t>
      </w:r>
      <w:r w:rsidRPr="00E27443">
        <w:t>facts</w:t>
      </w:r>
      <w:r w:rsidR="00C63F8F" w:rsidRPr="00E27443">
        <w:t xml:space="preserve"> </w:t>
      </w:r>
      <w:r w:rsidRPr="00E27443">
        <w:t>relating</w:t>
      </w:r>
      <w:r w:rsidR="00C63F8F" w:rsidRPr="00E27443">
        <w:t xml:space="preserve"> </w:t>
      </w:r>
      <w:r w:rsidRPr="00E27443">
        <w:t>to</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issues.</w:t>
      </w:r>
    </w:p>
    <w:p w:rsidR="00321ADA" w:rsidRPr="00E27443" w:rsidRDefault="00321ADA" w:rsidP="002817DB">
      <w:pPr>
        <w:pStyle w:val="SingleTxtG"/>
        <w:numPr>
          <w:ilvl w:val="0"/>
          <w:numId w:val="20"/>
        </w:numPr>
        <w:tabs>
          <w:tab w:val="left" w:pos="1843"/>
        </w:tabs>
        <w:ind w:left="1134" w:firstLine="0"/>
      </w:pPr>
      <w:r w:rsidRPr="00E27443">
        <w:t>Since</w:t>
      </w:r>
      <w:r w:rsidR="00C63F8F" w:rsidRPr="00E27443">
        <w:t xml:space="preserve"> </w:t>
      </w:r>
      <w:r w:rsidRPr="00E27443">
        <w:t>1990,</w:t>
      </w:r>
      <w:r w:rsidR="00C63F8F" w:rsidRPr="00E27443">
        <w:t xml:space="preserve"> </w:t>
      </w:r>
      <w:smartTag w:uri="urn:schemas-microsoft-com:office:smarttags" w:element="place">
        <w:smartTag w:uri="urn:schemas-microsoft-com:office:smarttags" w:element="PlaceName">
          <w:r w:rsidRPr="00E27443">
            <w:t>Stockholm</w:t>
          </w:r>
        </w:smartTag>
        <w:r w:rsidR="00C63F8F" w:rsidRPr="00E27443">
          <w:t xml:space="preserve"> </w:t>
        </w:r>
        <w:smartTag w:uri="urn:schemas-microsoft-com:office:smarttags" w:element="PlaceType">
          <w:r w:rsidRPr="00E27443">
            <w:t>University</w:t>
          </w:r>
        </w:smartTag>
      </w:smartTag>
      <w:r w:rsidR="00C63F8F" w:rsidRPr="00E27443">
        <w:t xml:space="preserve"> </w:t>
      </w:r>
      <w:r w:rsidRPr="00E27443">
        <w:t>has</w:t>
      </w:r>
      <w:r w:rsidR="00C63F8F" w:rsidRPr="00E27443">
        <w:t xml:space="preserve"> </w:t>
      </w:r>
      <w:r w:rsidRPr="00E27443">
        <w:t>had</w:t>
      </w:r>
      <w:r w:rsidR="00C63F8F" w:rsidRPr="00E27443">
        <w:t xml:space="preserve"> </w:t>
      </w:r>
      <w:r w:rsidRPr="00E27443">
        <w:t>a</w:t>
      </w:r>
      <w:r w:rsidR="00C63F8F" w:rsidRPr="00E27443">
        <w:t xml:space="preserve"> </w:t>
      </w:r>
      <w:r w:rsidRPr="002817DB">
        <w:t>professorship</w:t>
      </w:r>
      <w:r w:rsidR="00C63F8F" w:rsidRPr="002817DB">
        <w:t xml:space="preserve"> </w:t>
      </w:r>
      <w:r w:rsidRPr="002817DB">
        <w:t>in</w:t>
      </w:r>
      <w:r w:rsidR="00C63F8F" w:rsidRPr="002817DB">
        <w:t xml:space="preserve"> </w:t>
      </w:r>
      <w:r w:rsidRPr="002817DB">
        <w:t>sign</w:t>
      </w:r>
      <w:r w:rsidR="00C63F8F" w:rsidRPr="002817DB">
        <w:t xml:space="preserve"> </w:t>
      </w:r>
      <w:r w:rsidRPr="002817DB">
        <w:t>language</w:t>
      </w:r>
      <w:r w:rsidRPr="00E27443">
        <w:t>,</w:t>
      </w:r>
      <w:r w:rsidR="00C63F8F" w:rsidRPr="00E27443">
        <w:t xml:space="preserve"> </w:t>
      </w:r>
      <w:r w:rsidRPr="00E27443">
        <w:t>the</w:t>
      </w:r>
      <w:r w:rsidR="00C63F8F" w:rsidRPr="00E27443">
        <w:t xml:space="preserve"> </w:t>
      </w:r>
      <w:r w:rsidRPr="00E27443">
        <w:t>first</w:t>
      </w:r>
      <w:r w:rsidR="00C63F8F" w:rsidRPr="00E27443">
        <w:t xml:space="preserve"> </w:t>
      </w:r>
      <w:r w:rsidRPr="00E27443">
        <w:t>of</w:t>
      </w:r>
      <w:r w:rsidR="00C63F8F" w:rsidRPr="00E27443">
        <w:t xml:space="preserve"> </w:t>
      </w:r>
      <w:r w:rsidRPr="00E27443">
        <w:t>its</w:t>
      </w:r>
      <w:r w:rsidR="00C63F8F" w:rsidRPr="00E27443">
        <w:t xml:space="preserve"> </w:t>
      </w:r>
      <w:r w:rsidRPr="00E27443">
        <w:t>kind</w:t>
      </w:r>
      <w:r w:rsidR="00C63F8F" w:rsidRPr="00E27443">
        <w:t xml:space="preserve"> </w:t>
      </w:r>
      <w:r w:rsidRPr="00E27443">
        <w:t>in</w:t>
      </w:r>
      <w:r w:rsidR="00C63F8F" w:rsidRPr="00E27443">
        <w:t xml:space="preserve"> </w:t>
      </w:r>
      <w:r w:rsidRPr="00E27443">
        <w:t>the</w:t>
      </w:r>
      <w:r w:rsidR="00C63F8F" w:rsidRPr="00E27443">
        <w:t xml:space="preserve"> </w:t>
      </w:r>
      <w:r w:rsidRPr="00E27443">
        <w:t>world.</w:t>
      </w:r>
      <w:r w:rsidR="00C63F8F" w:rsidRPr="00E27443">
        <w:t xml:space="preserve"> </w:t>
      </w:r>
      <w:r w:rsidRPr="00E27443">
        <w:t>Research</w:t>
      </w:r>
      <w:r w:rsidR="00C63F8F" w:rsidRPr="00E27443">
        <w:t xml:space="preserve"> </w:t>
      </w:r>
      <w:r w:rsidRPr="00E27443">
        <w:t>into</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is</w:t>
      </w:r>
      <w:r w:rsidR="00C63F8F" w:rsidRPr="00E27443">
        <w:t xml:space="preserve"> </w:t>
      </w:r>
      <w:r w:rsidRPr="00E27443">
        <w:t>conducted</w:t>
      </w:r>
      <w:r w:rsidR="00C63F8F" w:rsidRPr="00E27443">
        <w:t xml:space="preserve"> </w:t>
      </w:r>
      <w:r w:rsidRPr="00E27443">
        <w:t>at</w:t>
      </w:r>
      <w:r w:rsidR="00C63F8F" w:rsidRPr="00E27443">
        <w:t xml:space="preserve"> </w:t>
      </w:r>
      <w:r w:rsidRPr="00E27443">
        <w:t>the</w:t>
      </w:r>
      <w:r w:rsidR="00C63F8F" w:rsidRPr="00E27443">
        <w:t xml:space="preserve"> </w:t>
      </w:r>
      <w:r w:rsidRPr="00E27443">
        <w:t>University</w:t>
      </w:r>
      <w:r w:rsidR="00C63F8F" w:rsidRPr="00E27443">
        <w:t>’</w:t>
      </w:r>
      <w:r w:rsidRPr="00E27443">
        <w:t>s</w:t>
      </w:r>
      <w:r w:rsidR="00C63F8F" w:rsidRPr="00E27443">
        <w:t xml:space="preserve"> </w:t>
      </w:r>
      <w:r w:rsidRPr="00E27443">
        <w:t>Department</w:t>
      </w:r>
      <w:r w:rsidR="00C63F8F" w:rsidRPr="00E27443">
        <w:t xml:space="preserve"> </w:t>
      </w:r>
      <w:r w:rsidRPr="00E27443">
        <w:t>of</w:t>
      </w:r>
      <w:r w:rsidR="00C63F8F" w:rsidRPr="00E27443">
        <w:t xml:space="preserve"> </w:t>
      </w:r>
      <w:r w:rsidRPr="00E27443">
        <w:t>Linguistics,</w:t>
      </w:r>
      <w:r w:rsidR="00C63F8F" w:rsidRPr="00E27443">
        <w:t xml:space="preserve"> </w:t>
      </w:r>
      <w:r w:rsidRPr="00E27443">
        <w:t>in</w:t>
      </w:r>
      <w:r w:rsidR="00C63F8F" w:rsidRPr="00E27443">
        <w:t xml:space="preserve"> </w:t>
      </w:r>
      <w:r w:rsidRPr="00E27443">
        <w:t>the</w:t>
      </w:r>
      <w:r w:rsidR="00C63F8F" w:rsidRPr="00E27443">
        <w:t xml:space="preserve"> </w:t>
      </w:r>
      <w:r w:rsidRPr="00E27443">
        <w:t>Sign</w:t>
      </w:r>
      <w:r w:rsidR="00C63F8F" w:rsidRPr="00E27443">
        <w:t xml:space="preserve"> </w:t>
      </w:r>
      <w:r w:rsidRPr="00E27443">
        <w:t>Language</w:t>
      </w:r>
      <w:r w:rsidR="00C63F8F" w:rsidRPr="00E27443">
        <w:t xml:space="preserve"> </w:t>
      </w:r>
      <w:r w:rsidRPr="00E27443">
        <w:t>Section.</w:t>
      </w:r>
      <w:r w:rsidR="00C63F8F" w:rsidRPr="00E27443">
        <w:t xml:space="preserve"> </w:t>
      </w:r>
      <w:r w:rsidRPr="00E27443">
        <w:t>In</w:t>
      </w:r>
      <w:r w:rsidR="00C63F8F" w:rsidRPr="00E27443">
        <w:t xml:space="preserve"> </w:t>
      </w:r>
      <w:r w:rsidRPr="00E27443">
        <w:t>this</w:t>
      </w:r>
      <w:r w:rsidR="00C63F8F" w:rsidRPr="00E27443">
        <w:t xml:space="preserve"> </w:t>
      </w:r>
      <w:r w:rsidRPr="00E27443">
        <w:t>Section</w:t>
      </w:r>
      <w:r w:rsidR="00C63F8F" w:rsidRPr="00E27443">
        <w:t xml:space="preserve"> </w:t>
      </w:r>
      <w:r w:rsidRPr="00E27443">
        <w:t>there</w:t>
      </w:r>
      <w:r w:rsidR="00C63F8F" w:rsidRPr="00E27443">
        <w:t xml:space="preserve"> </w:t>
      </w:r>
      <w:r w:rsidRPr="00E27443">
        <w:t>is</w:t>
      </w:r>
      <w:r w:rsidR="00C63F8F" w:rsidRPr="00E27443">
        <w:t xml:space="preserve"> </w:t>
      </w:r>
      <w:r w:rsidRPr="00E27443">
        <w:t>also</w:t>
      </w:r>
      <w:r w:rsidR="00C63F8F" w:rsidRPr="00E27443">
        <w:t xml:space="preserve"> </w:t>
      </w:r>
      <w:r w:rsidRPr="00E27443">
        <w:t>a</w:t>
      </w:r>
      <w:r w:rsidR="00C63F8F" w:rsidRPr="00E27443">
        <w:t xml:space="preserve"> </w:t>
      </w:r>
      <w:r w:rsidRPr="00E27443">
        <w:t>lexicographical</w:t>
      </w:r>
      <w:r w:rsidR="00C63F8F" w:rsidRPr="00E27443">
        <w:t xml:space="preserve"> </w:t>
      </w:r>
      <w:r w:rsidRPr="00E27443">
        <w:t>operation</w:t>
      </w:r>
      <w:r w:rsidR="00C63F8F" w:rsidRPr="00E27443">
        <w:t xml:space="preserve"> </w:t>
      </w:r>
      <w:r w:rsidRPr="00E27443">
        <w:t>that</w:t>
      </w:r>
      <w:r w:rsidR="00C63F8F" w:rsidRPr="00E27443">
        <w:t xml:space="preserve"> </w:t>
      </w:r>
      <w:r w:rsidRPr="00E27443">
        <w:t>documents</w:t>
      </w:r>
      <w:r w:rsidR="00C63F8F" w:rsidRPr="00E27443">
        <w:t xml:space="preserve"> </w:t>
      </w:r>
      <w:r w:rsidRPr="00E27443">
        <w:t>the</w:t>
      </w:r>
      <w:r w:rsidR="00C63F8F" w:rsidRPr="00E27443">
        <w:t xml:space="preserve"> </w:t>
      </w:r>
      <w:r w:rsidRPr="00E27443">
        <w:t>Swedish</w:t>
      </w:r>
      <w:r w:rsidR="00C63F8F" w:rsidRPr="00E27443">
        <w:t xml:space="preserve"> </w:t>
      </w:r>
      <w:r w:rsidRPr="00E27443">
        <w:t>signs</w:t>
      </w:r>
      <w:r w:rsidR="00C63F8F" w:rsidRPr="00E27443">
        <w:t xml:space="preserve"> </w:t>
      </w:r>
      <w:r w:rsidRPr="00E27443">
        <w:t>and</w:t>
      </w:r>
      <w:r w:rsidR="00C63F8F" w:rsidRPr="00E27443">
        <w:t xml:space="preserve"> </w:t>
      </w:r>
      <w:r w:rsidRPr="00E27443">
        <w:t>publishes</w:t>
      </w:r>
      <w:r w:rsidR="00C63F8F" w:rsidRPr="00E27443">
        <w:t xml:space="preserve"> </w:t>
      </w:r>
      <w:r w:rsidRPr="00E27443">
        <w:t>sign</w:t>
      </w:r>
      <w:r w:rsidR="00C63F8F" w:rsidRPr="00E27443">
        <w:t xml:space="preserve"> </w:t>
      </w:r>
      <w:r w:rsidRPr="00E27443">
        <w:t>language</w:t>
      </w:r>
      <w:r w:rsidR="00C63F8F" w:rsidRPr="00E27443">
        <w:t xml:space="preserve"> </w:t>
      </w:r>
      <w:r w:rsidRPr="00E27443">
        <w:t>lexicons.</w:t>
      </w:r>
      <w:r w:rsidR="00C63F8F" w:rsidRPr="00E27443">
        <w:t xml:space="preserve"> </w:t>
      </w:r>
      <w:r w:rsidRPr="00E27443">
        <w:t>The</w:t>
      </w:r>
      <w:r w:rsidR="00C63F8F" w:rsidRPr="00E27443">
        <w:t xml:space="preserve"> </w:t>
      </w:r>
      <w:r w:rsidRPr="00E27443">
        <w:t>University</w:t>
      </w:r>
      <w:r w:rsidR="00C63F8F" w:rsidRPr="00E27443">
        <w:t xml:space="preserve"> </w:t>
      </w:r>
      <w:r w:rsidRPr="00E27443">
        <w:t>provides</w:t>
      </w:r>
      <w:r w:rsidR="00C63F8F" w:rsidRPr="00E27443">
        <w:t xml:space="preserve"> </w:t>
      </w:r>
      <w:r w:rsidRPr="00E27443">
        <w:t>training</w:t>
      </w:r>
      <w:r w:rsidR="00C63F8F" w:rsidRPr="00E27443">
        <w:t xml:space="preserve"> </w:t>
      </w:r>
      <w:r w:rsidRPr="00E27443">
        <w:t>in</w:t>
      </w:r>
      <w:r w:rsidR="00C63F8F" w:rsidRPr="00E27443">
        <w:t xml:space="preserve"> </w:t>
      </w:r>
      <w:r w:rsidRPr="00E27443">
        <w:t>sign</w:t>
      </w:r>
      <w:r w:rsidR="00C63F8F" w:rsidRPr="00E27443">
        <w:t xml:space="preserve"> </w:t>
      </w:r>
      <w:r w:rsidRPr="00E27443">
        <w:t>language</w:t>
      </w:r>
      <w:r w:rsidR="00C63F8F" w:rsidRPr="00E27443">
        <w:t xml:space="preserve"> </w:t>
      </w:r>
      <w:r w:rsidRPr="00E27443">
        <w:t>at</w:t>
      </w:r>
      <w:r w:rsidR="00C63F8F" w:rsidRPr="00E27443">
        <w:t xml:space="preserve"> </w:t>
      </w:r>
      <w:r w:rsidRPr="00E27443">
        <w:t>all</w:t>
      </w:r>
      <w:r w:rsidR="00C63F8F" w:rsidRPr="00E27443">
        <w:t xml:space="preserve"> </w:t>
      </w:r>
      <w:r w:rsidRPr="00E27443">
        <w:t>levels,</w:t>
      </w:r>
      <w:r w:rsidR="00C63F8F" w:rsidRPr="00E27443">
        <w:t xml:space="preserve"> </w:t>
      </w:r>
      <w:r w:rsidRPr="00E27443">
        <w:t>including</w:t>
      </w:r>
      <w:r w:rsidR="00C63F8F" w:rsidRPr="00E27443">
        <w:t xml:space="preserve"> </w:t>
      </w:r>
      <w:r w:rsidRPr="00E27443">
        <w:t>doctoral</w:t>
      </w:r>
      <w:r w:rsidR="00C63F8F" w:rsidRPr="00E27443">
        <w:t xml:space="preserve"> </w:t>
      </w:r>
      <w:r w:rsidRPr="00E27443">
        <w:t>studies.</w:t>
      </w:r>
    </w:p>
    <w:p w:rsidR="00321ADA" w:rsidRPr="00E27443" w:rsidRDefault="00321ADA" w:rsidP="002817DB">
      <w:pPr>
        <w:pStyle w:val="SingleTxtG"/>
        <w:numPr>
          <w:ilvl w:val="0"/>
          <w:numId w:val="20"/>
        </w:numPr>
        <w:tabs>
          <w:tab w:val="left" w:pos="1843"/>
        </w:tabs>
        <w:ind w:left="1134" w:firstLine="0"/>
      </w:pPr>
      <w:r w:rsidRPr="00E27443">
        <w:t>Since</w:t>
      </w:r>
      <w:r w:rsidR="00C63F8F" w:rsidRPr="00E27443">
        <w:t xml:space="preserve"> </w:t>
      </w:r>
      <w:r w:rsidRPr="00E27443">
        <w:t>2004,</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interpreters</w:t>
      </w:r>
      <w:r w:rsidR="00C63F8F" w:rsidRPr="00E27443">
        <w:t xml:space="preserve"> </w:t>
      </w:r>
      <w:r w:rsidRPr="00E27443">
        <w:t>have</w:t>
      </w:r>
      <w:r w:rsidR="00C63F8F" w:rsidRPr="00E27443">
        <w:t xml:space="preserve"> </w:t>
      </w:r>
      <w:r w:rsidRPr="00E27443">
        <w:t>had</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become</w:t>
      </w:r>
      <w:r w:rsidR="00C63F8F" w:rsidRPr="00E27443">
        <w:t xml:space="preserve"> </w:t>
      </w:r>
      <w:r w:rsidRPr="002817DB">
        <w:t>authorised</w:t>
      </w:r>
      <w:r w:rsidR="00C63F8F" w:rsidRPr="00E27443">
        <w:t xml:space="preserve"> </w:t>
      </w:r>
      <w:r w:rsidRPr="00E27443">
        <w:t>interpreters</w:t>
      </w:r>
      <w:r w:rsidR="00C63F8F" w:rsidRPr="00E27443">
        <w:t xml:space="preserve"> </w:t>
      </w:r>
      <w:r w:rsidRPr="00E27443">
        <w:t>via</w:t>
      </w:r>
      <w:r w:rsidR="00C63F8F" w:rsidRPr="00E27443">
        <w:t xml:space="preserve"> </w:t>
      </w:r>
      <w:r w:rsidRPr="00E27443">
        <w:t>the</w:t>
      </w:r>
      <w:r w:rsidR="00C63F8F" w:rsidRPr="00E27443">
        <w:t xml:space="preserve"> </w:t>
      </w:r>
      <w:r w:rsidRPr="00E27443">
        <w:t>Legal,</w:t>
      </w:r>
      <w:r w:rsidR="00C63F8F" w:rsidRPr="00E27443">
        <w:t xml:space="preserve"> </w:t>
      </w:r>
      <w:r w:rsidRPr="00E27443">
        <w:t>Financial</w:t>
      </w:r>
      <w:r w:rsidR="00C63F8F" w:rsidRPr="00E27443">
        <w:t xml:space="preserve"> </w:t>
      </w:r>
      <w:r w:rsidRPr="00E27443">
        <w:t>and</w:t>
      </w:r>
      <w:r w:rsidR="00C63F8F" w:rsidRPr="00E27443">
        <w:t xml:space="preserve"> </w:t>
      </w:r>
      <w:r w:rsidRPr="00E27443">
        <w:t>Administrative</w:t>
      </w:r>
      <w:r w:rsidR="00C63F8F" w:rsidRPr="00E27443">
        <w:t xml:space="preserve"> </w:t>
      </w:r>
      <w:r w:rsidRPr="00E27443">
        <w:t>Services</w:t>
      </w:r>
      <w:r w:rsidR="00C63F8F" w:rsidRPr="00E27443">
        <w:t xml:space="preserve"> </w:t>
      </w:r>
      <w:r w:rsidRPr="00E27443">
        <w:t>Agency.</w:t>
      </w:r>
      <w:r w:rsidR="002C590F" w:rsidRPr="002817DB">
        <w:footnoteReference w:id="107"/>
      </w:r>
      <w:r w:rsidR="00C63F8F" w:rsidRPr="00E27443">
        <w:t xml:space="preserve"> </w:t>
      </w:r>
      <w:r w:rsidRPr="00E27443">
        <w:t>The</w:t>
      </w:r>
      <w:r w:rsidR="00C63F8F" w:rsidRPr="00E27443">
        <w:t xml:space="preserve"> </w:t>
      </w:r>
      <w:r w:rsidRPr="00E27443">
        <w:t>purpose</w:t>
      </w:r>
      <w:r w:rsidR="00C63F8F" w:rsidRPr="00E27443">
        <w:t xml:space="preserve"> </w:t>
      </w:r>
      <w:r w:rsidRPr="00E27443">
        <w:t>of</w:t>
      </w:r>
      <w:r w:rsidR="00C63F8F" w:rsidRPr="00E27443">
        <w:t xml:space="preserve"> </w:t>
      </w:r>
      <w:r w:rsidRPr="00E27443">
        <w:t>this</w:t>
      </w:r>
      <w:r w:rsidR="00C63F8F" w:rsidRPr="00E27443">
        <w:t xml:space="preserve"> </w:t>
      </w:r>
      <w:r w:rsidRPr="00E27443">
        <w:t>State</w:t>
      </w:r>
      <w:r w:rsidR="00C63F8F" w:rsidRPr="00E27443">
        <w:t xml:space="preserve"> </w:t>
      </w:r>
      <w:r w:rsidRPr="00E27443">
        <w:t>authorisation</w:t>
      </w:r>
      <w:r w:rsidR="00C63F8F" w:rsidRPr="00E27443">
        <w:t xml:space="preserve"> </w:t>
      </w:r>
      <w:r w:rsidRPr="00E27443">
        <w:t>is</w:t>
      </w:r>
      <w:r w:rsidR="00C63F8F" w:rsidRPr="00E27443">
        <w:t xml:space="preserve"> </w:t>
      </w:r>
      <w:r w:rsidRPr="00E27443">
        <w:t>to</w:t>
      </w:r>
      <w:r w:rsidR="00C63F8F" w:rsidRPr="00E27443">
        <w:t xml:space="preserve"> </w:t>
      </w:r>
      <w:r w:rsidRPr="00E27443">
        <w:t>satisfy</w:t>
      </w:r>
      <w:r w:rsidR="00C63F8F" w:rsidRPr="00E27443">
        <w:t xml:space="preserve"> </w:t>
      </w:r>
      <w:r w:rsidRPr="00E27443">
        <w:t>society</w:t>
      </w:r>
      <w:r w:rsidR="00C63F8F" w:rsidRPr="00E27443">
        <w:t>’</w:t>
      </w:r>
      <w:r w:rsidRPr="00E27443">
        <w:t>s</w:t>
      </w:r>
      <w:r w:rsidR="00C63F8F" w:rsidRPr="00E27443">
        <w:t xml:space="preserve"> </w:t>
      </w:r>
      <w:r w:rsidRPr="00E27443">
        <w:t>need</w:t>
      </w:r>
      <w:r w:rsidR="00C63F8F" w:rsidRPr="00E27443">
        <w:t xml:space="preserve"> </w:t>
      </w:r>
      <w:r w:rsidRPr="00E27443">
        <w:t>for</w:t>
      </w:r>
      <w:r w:rsidR="00C63F8F" w:rsidRPr="00E27443">
        <w:t xml:space="preserve"> </w:t>
      </w:r>
      <w:r w:rsidRPr="00E27443">
        <w:t>qualified</w:t>
      </w:r>
      <w:r w:rsidR="00C63F8F" w:rsidRPr="00E27443">
        <w:t xml:space="preserve"> </w:t>
      </w:r>
      <w:r w:rsidRPr="00E27443">
        <w:t>interpreters</w:t>
      </w:r>
      <w:r w:rsidR="00C63F8F" w:rsidRPr="00E27443">
        <w:t xml:space="preserve"> </w:t>
      </w:r>
      <w:r w:rsidRPr="00E27443">
        <w:t>and</w:t>
      </w:r>
      <w:r w:rsidR="00C63F8F" w:rsidRPr="00E27443">
        <w:t xml:space="preserve"> </w:t>
      </w:r>
      <w:r w:rsidRPr="00E27443">
        <w:t>translators.</w:t>
      </w:r>
      <w:r w:rsidR="00C63F8F" w:rsidRPr="00E27443">
        <w:t xml:space="preserve"> </w:t>
      </w:r>
      <w:r w:rsidRPr="00E27443">
        <w:t>Authorisation</w:t>
      </w:r>
      <w:r w:rsidR="00C63F8F" w:rsidRPr="00E27443">
        <w:t xml:space="preserve"> </w:t>
      </w:r>
      <w:r w:rsidRPr="00E27443">
        <w:t>as</w:t>
      </w:r>
      <w:r w:rsidR="00C63F8F" w:rsidRPr="00E27443">
        <w:t xml:space="preserve"> </w:t>
      </w:r>
      <w:r w:rsidRPr="00E27443">
        <w:t>an</w:t>
      </w:r>
      <w:r w:rsidR="00C63F8F" w:rsidRPr="00E27443">
        <w:t xml:space="preserve"> </w:t>
      </w:r>
      <w:r w:rsidRPr="00E27443">
        <w:t>interpreter</w:t>
      </w:r>
      <w:r w:rsidR="00C63F8F" w:rsidRPr="00E27443">
        <w:t xml:space="preserve"> </w:t>
      </w:r>
      <w:r w:rsidRPr="00E27443">
        <w:t>or</w:t>
      </w:r>
      <w:r w:rsidR="00C63F8F" w:rsidRPr="00E27443">
        <w:t xml:space="preserve"> </w:t>
      </w:r>
      <w:r w:rsidRPr="00E27443">
        <w:t>translator</w:t>
      </w:r>
      <w:r w:rsidR="00C63F8F" w:rsidRPr="00E27443">
        <w:t xml:space="preserve"> </w:t>
      </w:r>
      <w:r w:rsidRPr="00E27443">
        <w:t>is</w:t>
      </w:r>
      <w:r w:rsidR="00C63F8F" w:rsidRPr="00E27443">
        <w:t xml:space="preserve"> </w:t>
      </w:r>
      <w:r w:rsidRPr="00E27443">
        <w:t>issued</w:t>
      </w:r>
      <w:r w:rsidR="00C63F8F" w:rsidRPr="00E27443">
        <w:t xml:space="preserve"> </w:t>
      </w:r>
      <w:r w:rsidRPr="00E27443">
        <w:t>by</w:t>
      </w:r>
      <w:r w:rsidR="00C63F8F" w:rsidRPr="00E27443">
        <w:t xml:space="preserve"> </w:t>
      </w:r>
      <w:r w:rsidRPr="00E27443">
        <w:t>the</w:t>
      </w:r>
      <w:r w:rsidR="00C63F8F" w:rsidRPr="00E27443">
        <w:t xml:space="preserve"> </w:t>
      </w:r>
      <w:r w:rsidRPr="00E27443">
        <w:t>Legal,</w:t>
      </w:r>
      <w:r w:rsidR="00C63F8F" w:rsidRPr="00E27443">
        <w:t xml:space="preserve"> </w:t>
      </w:r>
      <w:r w:rsidRPr="00E27443">
        <w:t>Financial</w:t>
      </w:r>
      <w:r w:rsidR="00C63F8F" w:rsidRPr="00E27443">
        <w:t xml:space="preserve"> </w:t>
      </w:r>
      <w:r w:rsidRPr="00E27443">
        <w:t>and</w:t>
      </w:r>
      <w:r w:rsidR="00C63F8F" w:rsidRPr="00E27443">
        <w:t xml:space="preserve"> </w:t>
      </w:r>
      <w:r w:rsidRPr="00E27443">
        <w:t>Administrative</w:t>
      </w:r>
      <w:r w:rsidR="00C63F8F" w:rsidRPr="00E27443">
        <w:t xml:space="preserve"> </w:t>
      </w:r>
      <w:r w:rsidRPr="00E27443">
        <w:t>Services</w:t>
      </w:r>
      <w:r w:rsidR="00C63F8F" w:rsidRPr="00E27443">
        <w:t xml:space="preserve"> </w:t>
      </w:r>
      <w:r w:rsidRPr="00E27443">
        <w:t>Agency</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a</w:t>
      </w:r>
      <w:r w:rsidR="00C63F8F" w:rsidRPr="00E27443">
        <w:t xml:space="preserve"> </w:t>
      </w:r>
      <w:r w:rsidRPr="00E27443">
        <w:t>specific</w:t>
      </w:r>
      <w:r w:rsidR="00C63F8F" w:rsidRPr="00E27443">
        <w:t xml:space="preserve"> </w:t>
      </w:r>
      <w:r w:rsidRPr="00E27443">
        <w:t>law</w:t>
      </w:r>
      <w:r w:rsidR="002C590F" w:rsidRPr="002817DB">
        <w:footnoteReference w:id="108"/>
      </w:r>
      <w:r w:rsidR="00C63F8F" w:rsidRPr="00E27443">
        <w:t xml:space="preserve"> </w:t>
      </w:r>
      <w:r w:rsidRPr="00E27443">
        <w:t>and</w:t>
      </w:r>
      <w:r w:rsidR="00C63F8F" w:rsidRPr="00E27443">
        <w:t xml:space="preserve"> </w:t>
      </w:r>
      <w:r w:rsidRPr="00E27443">
        <w:t>ordinance.</w:t>
      </w:r>
      <w:r w:rsidR="002C590F" w:rsidRPr="002817DB">
        <w:footnoteReference w:id="109"/>
      </w:r>
      <w:r w:rsidR="00C63F8F" w:rsidRPr="00E27443">
        <w:t xml:space="preserve"> </w:t>
      </w:r>
    </w:p>
    <w:p w:rsidR="00321ADA" w:rsidRPr="00E27443" w:rsidRDefault="00321ADA" w:rsidP="002817DB">
      <w:pPr>
        <w:pStyle w:val="SingleTxtG"/>
        <w:numPr>
          <w:ilvl w:val="0"/>
          <w:numId w:val="20"/>
        </w:numPr>
        <w:tabs>
          <w:tab w:val="left" w:pos="1843"/>
        </w:tabs>
        <w:ind w:left="1134" w:firstLine="0"/>
      </w:pPr>
      <w:r w:rsidRPr="002817DB">
        <w:t>Teacher</w:t>
      </w:r>
      <w:r w:rsidR="00C63F8F" w:rsidRPr="002817DB">
        <w:t xml:space="preserve"> </w:t>
      </w:r>
      <w:r w:rsidRPr="002817DB">
        <w:t>training</w:t>
      </w:r>
      <w:r w:rsidR="00C63F8F" w:rsidRPr="00E27443">
        <w:t xml:space="preserve"> </w:t>
      </w:r>
      <w:r w:rsidRPr="00E27443">
        <w:t>is</w:t>
      </w:r>
      <w:r w:rsidR="00C63F8F" w:rsidRPr="00E27443">
        <w:t xml:space="preserve"> </w:t>
      </w:r>
      <w:r w:rsidRPr="00E27443">
        <w:t>a</w:t>
      </w:r>
      <w:r w:rsidR="00C63F8F" w:rsidRPr="00E27443">
        <w:t xml:space="preserve"> </w:t>
      </w:r>
      <w:r w:rsidRPr="00E27443">
        <w:t>form</w:t>
      </w:r>
      <w:r w:rsidR="00C63F8F" w:rsidRPr="00E27443">
        <w:t xml:space="preserve"> </w:t>
      </w:r>
      <w:r w:rsidRPr="00E27443">
        <w:t>of</w:t>
      </w:r>
      <w:r w:rsidR="00C63F8F" w:rsidRPr="00E27443">
        <w:t xml:space="preserve"> </w:t>
      </w:r>
      <w:r w:rsidRPr="00E27443">
        <w:t>academic</w:t>
      </w:r>
      <w:r w:rsidR="00C63F8F" w:rsidRPr="00E27443">
        <w:t xml:space="preserve"> </w:t>
      </w:r>
      <w:r w:rsidRPr="00E27443">
        <w:t>training</w:t>
      </w:r>
      <w:r w:rsidR="00C63F8F" w:rsidRPr="00E27443">
        <w:t xml:space="preserve"> </w:t>
      </w:r>
      <w:r w:rsidRPr="00E27443">
        <w:t>that</w:t>
      </w:r>
      <w:r w:rsidR="00C63F8F" w:rsidRPr="00E27443">
        <w:t xml:space="preserve"> </w:t>
      </w:r>
      <w:r w:rsidRPr="00E27443">
        <w:t>is</w:t>
      </w:r>
      <w:r w:rsidR="00C63F8F" w:rsidRPr="00E27443">
        <w:t xml:space="preserve"> </w:t>
      </w:r>
      <w:r w:rsidRPr="00E27443">
        <w:t>conducted</w:t>
      </w:r>
      <w:r w:rsidR="00C63F8F" w:rsidRPr="00E27443">
        <w:t xml:space="preserve"> </w:t>
      </w:r>
      <w:r w:rsidRPr="00E27443">
        <w:t>at</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In</w:t>
      </w:r>
      <w:r w:rsidR="00C63F8F" w:rsidRPr="00E27443">
        <w:t xml:space="preserve"> </w:t>
      </w:r>
      <w:r w:rsidRPr="00E27443">
        <w:t>2010,</w:t>
      </w:r>
      <w:r w:rsidR="00C63F8F" w:rsidRPr="00E27443">
        <w:t xml:space="preserve"> </w:t>
      </w:r>
      <w:r w:rsidRPr="00E27443">
        <w:t>the</w:t>
      </w:r>
      <w:r w:rsidR="00C63F8F" w:rsidRPr="00E27443">
        <w:t xml:space="preserve"> </w:t>
      </w:r>
      <w:r w:rsidRPr="00E27443">
        <w:t>Swedish</w:t>
      </w:r>
      <w:r w:rsidR="00C63F8F" w:rsidRPr="00E27443">
        <w:t xml:space="preserve"> </w:t>
      </w:r>
      <w:r w:rsidRPr="00E27443">
        <w:t>Parliament</w:t>
      </w:r>
      <w:r w:rsidR="00C63F8F" w:rsidRPr="00E27443">
        <w:t xml:space="preserve"> </w:t>
      </w:r>
      <w:r w:rsidRPr="00E27443">
        <w:t>decided</w:t>
      </w:r>
      <w:r w:rsidR="00C63F8F" w:rsidRPr="00E27443">
        <w:t xml:space="preserve"> </w:t>
      </w:r>
      <w:r w:rsidRPr="00E27443">
        <w:t>on</w:t>
      </w:r>
      <w:r w:rsidR="00C63F8F" w:rsidRPr="00E27443">
        <w:t xml:space="preserve"> </w:t>
      </w:r>
      <w:r w:rsidRPr="00E27443">
        <w:t>a</w:t>
      </w:r>
      <w:r w:rsidR="00C63F8F" w:rsidRPr="00E27443">
        <w:t xml:space="preserve"> </w:t>
      </w:r>
      <w:r w:rsidRPr="00E27443">
        <w:t>new</w:t>
      </w:r>
      <w:r w:rsidR="00C63F8F" w:rsidRPr="00E27443">
        <w:t xml:space="preserve"> </w:t>
      </w:r>
      <w:r w:rsidRPr="00E27443">
        <w:t>structure</w:t>
      </w:r>
      <w:r w:rsidR="00C63F8F" w:rsidRPr="00E27443">
        <w:t xml:space="preserve"> </w:t>
      </w:r>
      <w:r w:rsidRPr="00E27443">
        <w:t>for</w:t>
      </w:r>
      <w:r w:rsidR="00C63F8F" w:rsidRPr="00E27443">
        <w:t xml:space="preserve"> </w:t>
      </w:r>
      <w:r w:rsidRPr="00E27443">
        <w:t>teacher</w:t>
      </w:r>
      <w:r w:rsidR="00C63F8F" w:rsidRPr="00E27443">
        <w:t xml:space="preserve"> </w:t>
      </w:r>
      <w:r w:rsidRPr="00E27443">
        <w:t>training.</w:t>
      </w:r>
      <w:r w:rsidR="00C63F8F" w:rsidRPr="00E27443">
        <w:t xml:space="preserve"> </w:t>
      </w:r>
      <w:r w:rsidRPr="00E27443">
        <w:t>In</w:t>
      </w:r>
      <w:r w:rsidR="00C63F8F" w:rsidRPr="00E27443">
        <w:t xml:space="preserve"> </w:t>
      </w:r>
      <w:r w:rsidRPr="00E27443">
        <w:t>future,</w:t>
      </w:r>
      <w:r w:rsidR="00C63F8F" w:rsidRPr="00E27443">
        <w:t xml:space="preserve"> </w:t>
      </w:r>
      <w:r w:rsidRPr="00E27443">
        <w:t>the</w:t>
      </w:r>
      <w:r w:rsidR="00C63F8F" w:rsidRPr="00E27443">
        <w:t xml:space="preserve"> </w:t>
      </w:r>
      <w:r w:rsidRPr="00E27443">
        <w:t>common</w:t>
      </w:r>
      <w:r w:rsidR="00C63F8F" w:rsidRPr="00E27443">
        <w:t xml:space="preserve"> </w:t>
      </w:r>
      <w:r w:rsidRPr="00E27443">
        <w:t>core</w:t>
      </w:r>
      <w:r w:rsidR="00C63F8F" w:rsidRPr="00E27443">
        <w:t xml:space="preserve"> </w:t>
      </w:r>
      <w:r w:rsidRPr="00E27443">
        <w:t>for</w:t>
      </w:r>
      <w:r w:rsidR="00C63F8F" w:rsidRPr="00E27443">
        <w:t xml:space="preserve"> </w:t>
      </w:r>
      <w:r w:rsidRPr="00E27443">
        <w:t>the</w:t>
      </w:r>
      <w:r w:rsidR="00C63F8F" w:rsidRPr="00E27443">
        <w:t xml:space="preserve"> </w:t>
      </w:r>
      <w:r w:rsidRPr="00E27443">
        <w:t>programmes</w:t>
      </w:r>
      <w:r w:rsidR="00C63F8F" w:rsidRPr="00E27443">
        <w:t xml:space="preserve"> </w:t>
      </w:r>
      <w:r w:rsidRPr="00E27443">
        <w:t>will</w:t>
      </w:r>
      <w:r w:rsidR="00C63F8F" w:rsidRPr="00E27443">
        <w:t xml:space="preserve"> </w:t>
      </w:r>
      <w:r w:rsidRPr="00E27443">
        <w:t>consist</w:t>
      </w:r>
      <w:r w:rsidR="00C63F8F" w:rsidRPr="00E27443">
        <w:t xml:space="preserve"> </w:t>
      </w:r>
      <w:r w:rsidRPr="00E27443">
        <w:t>of</w:t>
      </w:r>
      <w:r w:rsidR="00C63F8F" w:rsidRPr="00E27443">
        <w:t xml:space="preserve"> </w:t>
      </w:r>
      <w:r w:rsidRPr="00E27443">
        <w:t>eight</w:t>
      </w:r>
      <w:r w:rsidR="00C63F8F" w:rsidRPr="00E27443">
        <w:t xml:space="preserve"> </w:t>
      </w:r>
      <w:r w:rsidRPr="00E27443">
        <w:t>areas,</w:t>
      </w:r>
      <w:r w:rsidR="00C63F8F" w:rsidRPr="00E27443">
        <w:t xml:space="preserve"> </w:t>
      </w:r>
      <w:r w:rsidRPr="00E27443">
        <w:t>one</w:t>
      </w:r>
      <w:r w:rsidR="00C63F8F" w:rsidRPr="00E27443">
        <w:t xml:space="preserve"> </w:t>
      </w:r>
      <w:r w:rsidRPr="00E27443">
        <w:t>of</w:t>
      </w:r>
      <w:r w:rsidR="00C63F8F" w:rsidRPr="00E27443">
        <w:t xml:space="preserve"> </w:t>
      </w:r>
      <w:r w:rsidRPr="00E27443">
        <w:t>which</w:t>
      </w:r>
      <w:r w:rsidR="00C63F8F" w:rsidRPr="00E27443">
        <w:t xml:space="preserve"> </w:t>
      </w:r>
      <w:r w:rsidRPr="00E27443">
        <w:t>is</w:t>
      </w:r>
      <w:r w:rsidR="00C63F8F" w:rsidRPr="00E27443">
        <w:t xml:space="preserve"> </w:t>
      </w:r>
      <w:r w:rsidRPr="00E27443">
        <w:t>special</w:t>
      </w:r>
      <w:r w:rsidR="00C63F8F" w:rsidRPr="00E27443">
        <w:t xml:space="preserve"> </w:t>
      </w:r>
      <w:r w:rsidRPr="00E27443">
        <w:t>needs</w:t>
      </w:r>
      <w:r w:rsidR="00C63F8F" w:rsidRPr="00E27443">
        <w:t xml:space="preserve"> </w:t>
      </w:r>
      <w:r w:rsidRPr="00E27443">
        <w:t>education.</w:t>
      </w:r>
      <w:r w:rsidR="00C63F8F" w:rsidRPr="00E27443">
        <w:t xml:space="preserve"> </w:t>
      </w:r>
      <w:r w:rsidRPr="00E27443">
        <w:t>The</w:t>
      </w:r>
      <w:r w:rsidR="00C63F8F" w:rsidRPr="00E27443">
        <w:t xml:space="preserve"> </w:t>
      </w:r>
      <w:r w:rsidRPr="00E27443">
        <w:t>new</w:t>
      </w:r>
      <w:r w:rsidR="00C63F8F" w:rsidRPr="00E27443">
        <w:t xml:space="preserve"> </w:t>
      </w:r>
      <w:r w:rsidRPr="00E27443">
        <w:t>teacher</w:t>
      </w:r>
      <w:r w:rsidR="00C63F8F" w:rsidRPr="00E27443">
        <w:t xml:space="preserve"> </w:t>
      </w:r>
      <w:r w:rsidRPr="00E27443">
        <w:t>training</w:t>
      </w:r>
      <w:r w:rsidR="00C63F8F" w:rsidRPr="00E27443">
        <w:t xml:space="preserve"> </w:t>
      </w:r>
      <w:r w:rsidRPr="00E27443">
        <w:t>arrangement</w:t>
      </w:r>
      <w:r w:rsidR="00C63F8F" w:rsidRPr="00E27443">
        <w:t xml:space="preserve"> </w:t>
      </w:r>
      <w:r w:rsidRPr="00E27443">
        <w:t>will</w:t>
      </w:r>
      <w:r w:rsidR="00C63F8F" w:rsidRPr="00E27443">
        <w:t xml:space="preserve"> </w:t>
      </w:r>
      <w:r w:rsidRPr="00E27443">
        <w:t>commence</w:t>
      </w:r>
      <w:r w:rsidR="00C63F8F" w:rsidRPr="00E27443">
        <w:t xml:space="preserve"> </w:t>
      </w:r>
      <w:r w:rsidRPr="00E27443">
        <w:t>in</w:t>
      </w:r>
      <w:r w:rsidR="00C63F8F" w:rsidRPr="00E27443">
        <w:t xml:space="preserve"> </w:t>
      </w:r>
      <w:r w:rsidRPr="00E27443">
        <w:t>the</w:t>
      </w:r>
      <w:r w:rsidR="00C63F8F" w:rsidRPr="00E27443">
        <w:t xml:space="preserve"> </w:t>
      </w:r>
      <w:r w:rsidRPr="00E27443">
        <w:t>autumn</w:t>
      </w:r>
      <w:r w:rsidR="00C63F8F" w:rsidRPr="00E27443">
        <w:t xml:space="preserve"> </w:t>
      </w:r>
      <w:r w:rsidRPr="00E27443">
        <w:t>term</w:t>
      </w:r>
      <w:r w:rsidR="00C63F8F" w:rsidRPr="00E27443">
        <w:t xml:space="preserve"> </w:t>
      </w:r>
      <w:r w:rsidRPr="00E27443">
        <w:t>of</w:t>
      </w:r>
      <w:r w:rsidR="00C63F8F" w:rsidRPr="00E27443">
        <w:t xml:space="preserve"> </w:t>
      </w:r>
      <w:r w:rsidRPr="00E27443">
        <w:t>2011.</w:t>
      </w:r>
    </w:p>
    <w:p w:rsidR="00321ADA" w:rsidRPr="00E27443" w:rsidRDefault="00321ADA" w:rsidP="002817DB">
      <w:pPr>
        <w:pStyle w:val="SingleTxtG"/>
        <w:numPr>
          <w:ilvl w:val="0"/>
          <w:numId w:val="20"/>
        </w:numPr>
        <w:tabs>
          <w:tab w:val="left" w:pos="1843"/>
        </w:tabs>
        <w:ind w:left="1134" w:firstLine="0"/>
      </w:pPr>
      <w:r w:rsidRPr="00E27443">
        <w:t>In</w:t>
      </w:r>
      <w:r w:rsidR="00C63F8F" w:rsidRPr="00E27443">
        <w:t xml:space="preserve"> </w:t>
      </w:r>
      <w:r w:rsidRPr="00E27443">
        <w:t>2007,</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initiated</w:t>
      </w:r>
      <w:r w:rsidR="00C63F8F" w:rsidRPr="00E27443">
        <w:t xml:space="preserve"> </w:t>
      </w:r>
      <w:r w:rsidRPr="00E27443">
        <w:t>a</w:t>
      </w:r>
      <w:r w:rsidR="00C63F8F" w:rsidRPr="00E27443">
        <w:t xml:space="preserve"> </w:t>
      </w:r>
      <w:r w:rsidRPr="00E27443">
        <w:t>special</w:t>
      </w:r>
      <w:r w:rsidR="00C63F8F" w:rsidRPr="00E27443">
        <w:t xml:space="preserve"> </w:t>
      </w:r>
      <w:r w:rsidRPr="00E27443">
        <w:t>venture</w:t>
      </w:r>
      <w:r w:rsidR="00C63F8F" w:rsidRPr="00E27443">
        <w:t xml:space="preserve"> </w:t>
      </w:r>
      <w:r w:rsidRPr="00E27443">
        <w:t>intended</w:t>
      </w:r>
      <w:r w:rsidR="00C63F8F" w:rsidRPr="00E27443">
        <w:t xml:space="preserve"> </w:t>
      </w:r>
      <w:r w:rsidRPr="00E27443">
        <w:t>to</w:t>
      </w:r>
      <w:r w:rsidR="00C63F8F" w:rsidRPr="00E27443">
        <w:t xml:space="preserve"> </w:t>
      </w:r>
      <w:r w:rsidRPr="00E27443">
        <w:t>give</w:t>
      </w:r>
      <w:r w:rsidR="00C63F8F" w:rsidRPr="00E27443">
        <w:t xml:space="preserve"> </w:t>
      </w:r>
      <w:r w:rsidRPr="00E27443">
        <w:t>teachers</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for</w:t>
      </w:r>
      <w:r w:rsidR="00C63F8F" w:rsidRPr="00E27443">
        <w:t xml:space="preserve"> </w:t>
      </w:r>
      <w:r w:rsidRPr="00E27443">
        <w:t>further</w:t>
      </w:r>
      <w:r w:rsidR="00C63F8F" w:rsidRPr="00E27443">
        <w:t xml:space="preserve"> </w:t>
      </w:r>
      <w:r w:rsidRPr="00E27443">
        <w:t>training</w:t>
      </w:r>
      <w:r w:rsidR="00C63F8F" w:rsidRPr="00E27443">
        <w:t xml:space="preserve"> </w:t>
      </w:r>
      <w:r w:rsidRPr="00E27443">
        <w:t>at</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with</w:t>
      </w:r>
      <w:r w:rsidR="00C63F8F" w:rsidRPr="00E27443">
        <w:t xml:space="preserve"> </w:t>
      </w:r>
      <w:r w:rsidRPr="00E27443">
        <w:t>the</w:t>
      </w:r>
      <w:r w:rsidR="00C63F8F" w:rsidRPr="00E27443">
        <w:t xml:space="preserve"> </w:t>
      </w:r>
      <w:r w:rsidRPr="00E27443">
        <w:t>teachers</w:t>
      </w:r>
      <w:r w:rsidR="00C63F8F" w:rsidRPr="00E27443">
        <w:t xml:space="preserve"> </w:t>
      </w:r>
      <w:r w:rsidRPr="00E27443">
        <w:t>being</w:t>
      </w:r>
      <w:r w:rsidR="00C63F8F" w:rsidRPr="00E27443">
        <w:t xml:space="preserve"> </w:t>
      </w:r>
      <w:r w:rsidRPr="00E27443">
        <w:t>allowed</w:t>
      </w:r>
      <w:r w:rsidR="00C63F8F" w:rsidRPr="00E27443">
        <w:t xml:space="preserve"> </w:t>
      </w:r>
      <w:r w:rsidRPr="00E27443">
        <w:t>to</w:t>
      </w:r>
      <w:r w:rsidR="00C63F8F" w:rsidRPr="00E27443">
        <w:t xml:space="preserve"> </w:t>
      </w:r>
      <w:r w:rsidRPr="00E27443">
        <w:t>retain</w:t>
      </w:r>
      <w:r w:rsidR="00C63F8F" w:rsidRPr="00E27443">
        <w:t xml:space="preserve"> </w:t>
      </w:r>
      <w:r w:rsidRPr="00E27443">
        <w:t>80</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their</w:t>
      </w:r>
      <w:r w:rsidR="00C63F8F" w:rsidRPr="00E27443">
        <w:t xml:space="preserve"> </w:t>
      </w:r>
      <w:r w:rsidRPr="00E27443">
        <w:t>salary.</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this</w:t>
      </w:r>
      <w:r w:rsidR="00C63F8F" w:rsidRPr="00E27443">
        <w:t xml:space="preserve"> </w:t>
      </w:r>
      <w:r w:rsidRPr="00E27443">
        <w:t>venture,</w:t>
      </w:r>
      <w:r w:rsidR="00C63F8F" w:rsidRPr="00E27443">
        <w:t xml:space="preserve"> </w:t>
      </w:r>
      <w:r w:rsidRPr="00E27443">
        <w:t>teachers</w:t>
      </w:r>
      <w:r w:rsidR="00C63F8F" w:rsidRPr="00E27443">
        <w:t xml:space="preserve"> </w:t>
      </w:r>
      <w:r w:rsidRPr="00E27443">
        <w:t>have</w:t>
      </w:r>
      <w:r w:rsidR="00C63F8F" w:rsidRPr="00E27443">
        <w:t xml:space="preserve"> </w:t>
      </w:r>
      <w:r w:rsidRPr="00E27443">
        <w:t>been</w:t>
      </w:r>
      <w:r w:rsidR="00C63F8F" w:rsidRPr="00E27443">
        <w:t xml:space="preserve"> </w:t>
      </w:r>
      <w:r w:rsidRPr="00E27443">
        <w:t>able</w:t>
      </w:r>
      <w:r w:rsidR="00C63F8F" w:rsidRPr="00E27443">
        <w:t xml:space="preserve"> </w:t>
      </w:r>
      <w:r w:rsidRPr="00E27443">
        <w:t>to</w:t>
      </w:r>
      <w:r w:rsidR="00C63F8F" w:rsidRPr="00E27443">
        <w:t xml:space="preserve"> </w:t>
      </w:r>
      <w:r w:rsidRPr="00E27443">
        <w:t>receive</w:t>
      </w:r>
      <w:r w:rsidR="00C63F8F" w:rsidRPr="00E27443">
        <w:t xml:space="preserve"> </w:t>
      </w:r>
      <w:r w:rsidRPr="00E27443">
        <w:t>further</w:t>
      </w:r>
      <w:r w:rsidR="00C63F8F" w:rsidRPr="00E27443">
        <w:t xml:space="preserve"> </w:t>
      </w:r>
      <w:r w:rsidRPr="00E27443">
        <w:t>training</w:t>
      </w:r>
      <w:r w:rsidR="00C63F8F" w:rsidRPr="00E27443">
        <w:t xml:space="preserve"> </w:t>
      </w:r>
      <w:r w:rsidRPr="00E27443">
        <w:t>in</w:t>
      </w:r>
      <w:r w:rsidR="00C63F8F" w:rsidRPr="00E27443">
        <w:t xml:space="preserve"> </w:t>
      </w:r>
      <w:r w:rsidRPr="00E27443">
        <w:t>special</w:t>
      </w:r>
      <w:r w:rsidR="00C63F8F" w:rsidRPr="00E27443">
        <w:t xml:space="preserve"> </w:t>
      </w:r>
      <w:r w:rsidRPr="00E27443">
        <w:t>needs</w:t>
      </w:r>
      <w:r w:rsidR="00C63F8F" w:rsidRPr="00E27443">
        <w:t xml:space="preserve"> </w:t>
      </w:r>
      <w:r w:rsidRPr="00E27443">
        <w:t>education,</w:t>
      </w:r>
      <w:r w:rsidR="00C63F8F" w:rsidRPr="00E27443">
        <w:t xml:space="preserve"> </w:t>
      </w:r>
      <w:r w:rsidRPr="00E27443">
        <w:t>for</w:t>
      </w:r>
      <w:r w:rsidR="00C63F8F" w:rsidRPr="00E27443">
        <w:t xml:space="preserve"> </w:t>
      </w:r>
      <w:r w:rsidRPr="00E27443">
        <w:t>example.</w:t>
      </w:r>
      <w:r w:rsidR="00C63F8F" w:rsidRPr="00E27443">
        <w:t xml:space="preserve"> </w:t>
      </w:r>
    </w:p>
    <w:p w:rsidR="00321ADA" w:rsidRPr="00E27443" w:rsidRDefault="00321ADA" w:rsidP="002817DB">
      <w:pPr>
        <w:pStyle w:val="SingleTxtG"/>
        <w:numPr>
          <w:ilvl w:val="0"/>
          <w:numId w:val="20"/>
        </w:numPr>
        <w:tabs>
          <w:tab w:val="left" w:pos="1843"/>
        </w:tabs>
        <w:ind w:left="1134" w:firstLine="0"/>
      </w:pPr>
      <w:r w:rsidRPr="00E27443">
        <w:t>Nine</w:t>
      </w:r>
      <w:r w:rsidR="00C63F8F" w:rsidRPr="00E27443">
        <w:t xml:space="preserve"> </w:t>
      </w:r>
      <w:r w:rsidRPr="00E27443">
        <w:t>universities</w:t>
      </w:r>
      <w:r w:rsidR="00C63F8F" w:rsidRPr="00E27443">
        <w:t xml:space="preserve"> </w:t>
      </w:r>
      <w:r w:rsidRPr="00E27443">
        <w:t>and</w:t>
      </w:r>
      <w:r w:rsidR="00C63F8F" w:rsidRPr="00E27443">
        <w:t xml:space="preserve"> </w:t>
      </w:r>
      <w:r w:rsidRPr="00E27443">
        <w:t>university</w:t>
      </w:r>
      <w:r w:rsidR="00C63F8F" w:rsidRPr="00E27443">
        <w:t xml:space="preserve"> </w:t>
      </w:r>
      <w:r w:rsidRPr="00E27443">
        <w:t>colleges</w:t>
      </w:r>
      <w:r w:rsidR="00C63F8F" w:rsidRPr="00E27443">
        <w:t xml:space="preserve"> </w:t>
      </w:r>
      <w:r w:rsidRPr="00E27443">
        <w:t>now</w:t>
      </w:r>
      <w:r w:rsidR="00C63F8F" w:rsidRPr="00E27443">
        <w:t xml:space="preserve"> </w:t>
      </w:r>
      <w:r w:rsidRPr="00E27443">
        <w:t>offer</w:t>
      </w:r>
      <w:r w:rsidR="00C63F8F" w:rsidRPr="00E27443">
        <w:t xml:space="preserve"> </w:t>
      </w:r>
      <w:r w:rsidRPr="00E27443">
        <w:t>training</w:t>
      </w:r>
      <w:r w:rsidR="00C63F8F" w:rsidRPr="00E27443">
        <w:t xml:space="preserve"> </w:t>
      </w:r>
      <w:r w:rsidRPr="00E27443">
        <w:t>for</w:t>
      </w:r>
      <w:r w:rsidR="00C63F8F" w:rsidRPr="00E27443">
        <w:t xml:space="preserve"> </w:t>
      </w:r>
      <w:r w:rsidRPr="00E27443">
        <w:t>a</w:t>
      </w:r>
      <w:r w:rsidR="00C63F8F" w:rsidRPr="00E27443">
        <w:t xml:space="preserve"> </w:t>
      </w:r>
      <w:r w:rsidRPr="00E27443">
        <w:t>Postgraduate</w:t>
      </w:r>
      <w:r w:rsidR="00C63F8F" w:rsidRPr="00E27443">
        <w:t xml:space="preserve"> </w:t>
      </w:r>
      <w:r w:rsidRPr="00E27443">
        <w:t>Diploma</w:t>
      </w:r>
      <w:r w:rsidR="00C63F8F" w:rsidRPr="00E27443">
        <w:t xml:space="preserve"> </w:t>
      </w:r>
      <w:r w:rsidRPr="00E27443">
        <w:t>in</w:t>
      </w:r>
      <w:r w:rsidR="00C63F8F" w:rsidRPr="00E27443">
        <w:t xml:space="preserve"> </w:t>
      </w:r>
      <w:r w:rsidRPr="00E27443">
        <w:t>Special</w:t>
      </w:r>
      <w:r w:rsidR="00C63F8F" w:rsidRPr="00E27443">
        <w:t xml:space="preserve"> </w:t>
      </w:r>
      <w:r w:rsidRPr="00E27443">
        <w:t>Needs</w:t>
      </w:r>
      <w:r w:rsidR="00C63F8F" w:rsidRPr="00E27443">
        <w:t xml:space="preserve"> </w:t>
      </w:r>
      <w:r w:rsidRPr="00E27443">
        <w:t>Training.</w:t>
      </w:r>
      <w:r w:rsidR="00C63F8F" w:rsidRPr="00E27443">
        <w:t xml:space="preserve"> </w:t>
      </w:r>
      <w:r w:rsidRPr="00E27443">
        <w:t>As</w:t>
      </w:r>
      <w:r w:rsidR="00C63F8F" w:rsidRPr="00E27443">
        <w:t xml:space="preserve"> </w:t>
      </w:r>
      <w:r w:rsidRPr="00E27443">
        <w:t>from</w:t>
      </w:r>
      <w:r w:rsidR="00C63F8F" w:rsidRPr="00E27443">
        <w:t xml:space="preserve"> </w:t>
      </w:r>
      <w:r w:rsidRPr="00E27443">
        <w:t>2011,</w:t>
      </w:r>
      <w:r w:rsidR="00C63F8F" w:rsidRPr="00E27443">
        <w:t xml:space="preserve"> </w:t>
      </w:r>
      <w:r w:rsidRPr="00E27443">
        <w:t>the</w:t>
      </w:r>
      <w:r w:rsidR="00C63F8F" w:rsidRPr="00E27443">
        <w:t xml:space="preserve"> </w:t>
      </w:r>
      <w:r w:rsidRPr="00E27443">
        <w:t>Diploma</w:t>
      </w:r>
      <w:r w:rsidR="00C63F8F" w:rsidRPr="00E27443">
        <w:t xml:space="preserve"> </w:t>
      </w:r>
      <w:r w:rsidRPr="00E27443">
        <w:t>will</w:t>
      </w:r>
      <w:r w:rsidR="00C63F8F" w:rsidRPr="00E27443">
        <w:t xml:space="preserve"> </w:t>
      </w:r>
      <w:r w:rsidRPr="00E27443">
        <w:t>be</w:t>
      </w:r>
      <w:r w:rsidR="00C63F8F" w:rsidRPr="00E27443">
        <w:t xml:space="preserve"> </w:t>
      </w:r>
      <w:r w:rsidRPr="00E27443">
        <w:t>expanded</w:t>
      </w:r>
      <w:r w:rsidR="00C63F8F" w:rsidRPr="00E27443">
        <w:t xml:space="preserve"> </w:t>
      </w:r>
      <w:r w:rsidRPr="00E27443">
        <w:t>to</w:t>
      </w:r>
      <w:r w:rsidR="00C63F8F" w:rsidRPr="00E27443">
        <w:t xml:space="preserve"> </w:t>
      </w:r>
      <w:r w:rsidRPr="00E27443">
        <w:t>also</w:t>
      </w:r>
      <w:r w:rsidR="00C63F8F" w:rsidRPr="00E27443">
        <w:t xml:space="preserve"> </w:t>
      </w:r>
      <w:r w:rsidRPr="00E27443">
        <w:t>cover</w:t>
      </w:r>
      <w:r w:rsidR="00C63F8F" w:rsidRPr="00E27443">
        <w:t xml:space="preserve"> </w:t>
      </w:r>
      <w:r w:rsidRPr="00E27443">
        <w:t>specific</w:t>
      </w:r>
      <w:r w:rsidR="00C63F8F" w:rsidRPr="00E27443">
        <w:t xml:space="preserve"> </w:t>
      </w:r>
      <w:r w:rsidRPr="00E27443">
        <w:t>areas</w:t>
      </w:r>
      <w:r w:rsidR="00C63F8F" w:rsidRPr="00E27443">
        <w:t xml:space="preserve"> </w:t>
      </w:r>
      <w:r w:rsidRPr="00E27443">
        <w:t>for</w:t>
      </w:r>
      <w:r w:rsidR="00C63F8F" w:rsidRPr="00E27443">
        <w:t xml:space="preserve"> </w:t>
      </w:r>
      <w:r w:rsidRPr="00E27443">
        <w:t>teaching</w:t>
      </w:r>
      <w:r w:rsidR="00C63F8F" w:rsidRPr="00E27443">
        <w:t xml:space="preserve"> </w:t>
      </w:r>
      <w:r w:rsidRPr="00E27443">
        <w:t>deaf</w:t>
      </w:r>
      <w:r w:rsidR="00C63F8F" w:rsidRPr="00E27443">
        <w:t xml:space="preserve"> </w:t>
      </w:r>
      <w:r w:rsidRPr="00E27443">
        <w:t>of</w:t>
      </w:r>
      <w:r w:rsidR="00C63F8F" w:rsidRPr="00E27443">
        <w:t xml:space="preserve"> </w:t>
      </w:r>
      <w:r w:rsidRPr="00E27443">
        <w:t>hearing</w:t>
      </w:r>
      <w:r w:rsidR="00C63F8F" w:rsidRPr="00E27443">
        <w:t xml:space="preserve"> </w:t>
      </w:r>
      <w:r w:rsidRPr="00E27443">
        <w:t>impaired</w:t>
      </w:r>
      <w:r w:rsidR="00C63F8F" w:rsidRPr="00E27443">
        <w:t xml:space="preserve"> </w:t>
      </w:r>
      <w:r w:rsidRPr="00E27443">
        <w:t>pupils,</w:t>
      </w:r>
      <w:r w:rsidR="00C63F8F" w:rsidRPr="00E27443">
        <w:t xml:space="preserve"> </w:t>
      </w:r>
      <w:r w:rsidRPr="00E27443">
        <w:t>pupils</w:t>
      </w:r>
      <w:r w:rsidR="00C63F8F" w:rsidRPr="00E27443">
        <w:t xml:space="preserve"> </w:t>
      </w:r>
      <w:r w:rsidRPr="00E27443">
        <w:t>with</w:t>
      </w:r>
      <w:r w:rsidR="00C63F8F" w:rsidRPr="00E27443">
        <w:t xml:space="preserve"> </w:t>
      </w:r>
      <w:r w:rsidRPr="00E27443">
        <w:t>impaired</w:t>
      </w:r>
      <w:r w:rsidR="00C63F8F" w:rsidRPr="00E27443">
        <w:t xml:space="preserve"> </w:t>
      </w:r>
      <w:r w:rsidRPr="00E27443">
        <w:t>vision,</w:t>
      </w:r>
      <w:r w:rsidR="00C63F8F" w:rsidRPr="00E27443">
        <w:t xml:space="preserve"> </w:t>
      </w:r>
      <w:r w:rsidRPr="00E27443">
        <w:t>serious</w:t>
      </w:r>
      <w:r w:rsidR="00C63F8F" w:rsidRPr="00E27443">
        <w:t xml:space="preserve"> </w:t>
      </w:r>
      <w:r w:rsidRPr="00E27443">
        <w:t>speech</w:t>
      </w:r>
      <w:r w:rsidR="00C63F8F" w:rsidRPr="00E27443">
        <w:t xml:space="preserve"> </w:t>
      </w:r>
      <w:r w:rsidRPr="00E27443">
        <w:t>disabilities</w:t>
      </w:r>
      <w:r w:rsidR="00C63F8F" w:rsidRPr="00E27443">
        <w:t xml:space="preserve"> </w:t>
      </w:r>
      <w:r w:rsidRPr="00E27443">
        <w:t>and</w:t>
      </w:r>
      <w:r w:rsidR="00C63F8F" w:rsidRPr="00E27443">
        <w:t xml:space="preserve"> </w:t>
      </w:r>
      <w:r w:rsidRPr="00E27443">
        <w:t>developmental</w:t>
      </w:r>
      <w:r w:rsidR="00C63F8F" w:rsidRPr="00E27443">
        <w:t xml:space="preserve"> </w:t>
      </w:r>
      <w:r w:rsidRPr="00E27443">
        <w:t>disabilities.</w:t>
      </w:r>
    </w:p>
    <w:p w:rsidR="00321ADA" w:rsidRPr="00E27443" w:rsidRDefault="00CF6E19" w:rsidP="00CF6E19">
      <w:pPr>
        <w:pStyle w:val="H1G"/>
      </w:pPr>
      <w:r w:rsidRPr="00E27443">
        <w:tab/>
      </w:r>
      <w:r w:rsidRPr="00E27443">
        <w:tab/>
      </w:r>
      <w:bookmarkStart w:id="25" w:name="_Toc290623309"/>
      <w:r w:rsidR="00321ADA" w:rsidRPr="00E27443">
        <w:t>Article</w:t>
      </w:r>
      <w:r w:rsidR="00C63F8F" w:rsidRPr="00E27443">
        <w:t xml:space="preserve"> </w:t>
      </w:r>
      <w:r w:rsidR="00321ADA" w:rsidRPr="00E27443">
        <w:t>25</w:t>
      </w:r>
      <w:r w:rsidR="00A00C00">
        <w:t>:</w:t>
      </w:r>
      <w:r w:rsidR="00C63F8F" w:rsidRPr="00E27443">
        <w:t xml:space="preserve"> </w:t>
      </w:r>
      <w:r w:rsidR="00321ADA" w:rsidRPr="00E27443">
        <w:t>Health</w:t>
      </w:r>
      <w:bookmarkEnd w:id="25"/>
      <w:r w:rsidR="00C63F8F" w:rsidRPr="00E27443">
        <w:t xml:space="preserve"> </w:t>
      </w:r>
    </w:p>
    <w:p w:rsidR="00321ADA" w:rsidRPr="00E27443" w:rsidRDefault="00321ADA" w:rsidP="00A00C00">
      <w:pPr>
        <w:pStyle w:val="SingleTxtG"/>
        <w:numPr>
          <w:ilvl w:val="0"/>
          <w:numId w:val="20"/>
        </w:numPr>
        <w:tabs>
          <w:tab w:val="left" w:pos="1843"/>
        </w:tabs>
        <w:ind w:left="1134" w:firstLine="0"/>
      </w:pPr>
      <w:r w:rsidRPr="00E27443">
        <w:t>The</w:t>
      </w:r>
      <w:r w:rsidR="00C63F8F" w:rsidRPr="00E27443">
        <w:t xml:space="preserve"> </w:t>
      </w:r>
      <w:r w:rsidRPr="00E27443">
        <w:t>overall</w:t>
      </w:r>
      <w:r w:rsidR="00C63F8F" w:rsidRPr="00E27443">
        <w:t xml:space="preserve"> </w:t>
      </w:r>
      <w:r w:rsidRPr="00E27443">
        <w:t>goal</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000B2D" w:rsidRPr="00A00C00">
        <w:footnoteReference w:id="110"/>
      </w:r>
      <w:r w:rsidR="00C63F8F" w:rsidRPr="00E27443">
        <w:t xml:space="preserve"> </w:t>
      </w:r>
      <w:r w:rsidRPr="00E27443">
        <w:t>is</w:t>
      </w:r>
      <w:r w:rsidR="00C63F8F" w:rsidRPr="00E27443">
        <w:t xml:space="preserve"> </w:t>
      </w:r>
      <w:r w:rsidRPr="00E27443">
        <w:t>to</w:t>
      </w:r>
      <w:r w:rsidR="00C63F8F" w:rsidRPr="00E27443">
        <w:t xml:space="preserve"> </w:t>
      </w:r>
      <w:r w:rsidRPr="00E27443">
        <w:t>offer</w:t>
      </w:r>
      <w:r w:rsidR="00C63F8F" w:rsidRPr="00E27443">
        <w:t xml:space="preserve"> </w:t>
      </w:r>
      <w:r w:rsidRPr="00E27443">
        <w:t>good</w:t>
      </w:r>
      <w:r w:rsidR="00C63F8F" w:rsidRPr="00E27443">
        <w:t xml:space="preserve"> </w:t>
      </w:r>
      <w:r w:rsidRPr="00E27443">
        <w:t>health</w:t>
      </w:r>
      <w:r w:rsidR="00C63F8F" w:rsidRPr="00E27443">
        <w:t xml:space="preserve"> </w:t>
      </w:r>
      <w:r w:rsidRPr="00E27443">
        <w:t>and</w:t>
      </w:r>
      <w:r w:rsidR="00C63F8F" w:rsidRPr="00E27443">
        <w:t xml:space="preserve"> </w:t>
      </w:r>
      <w:r w:rsidRPr="00E27443">
        <w:t>care</w:t>
      </w:r>
      <w:r w:rsidR="00C63F8F" w:rsidRPr="00E27443">
        <w:t xml:space="preserve"> </w:t>
      </w:r>
      <w:r w:rsidRPr="00E27443">
        <w:t>on</w:t>
      </w:r>
      <w:r w:rsidR="00C63F8F" w:rsidRPr="00E27443">
        <w:t xml:space="preserve"> </w:t>
      </w:r>
      <w:r w:rsidRPr="00E27443">
        <w:t>equal</w:t>
      </w:r>
      <w:r w:rsidR="00C63F8F" w:rsidRPr="00E27443">
        <w:t xml:space="preserve"> </w:t>
      </w:r>
      <w:r w:rsidRPr="00E27443">
        <w:t>terms</w:t>
      </w:r>
      <w:r w:rsidR="00C63F8F" w:rsidRPr="00E27443">
        <w:t xml:space="preserve"> </w:t>
      </w:r>
      <w:r w:rsidRPr="00E27443">
        <w:t>for</w:t>
      </w:r>
      <w:r w:rsidR="00C63F8F" w:rsidRPr="00E27443">
        <w:t xml:space="preserve"> </w:t>
      </w:r>
      <w:r w:rsidRPr="00E27443">
        <w:t>the</w:t>
      </w:r>
      <w:r w:rsidR="00C63F8F" w:rsidRPr="00E27443">
        <w:t xml:space="preserve"> </w:t>
      </w:r>
      <w:r w:rsidRPr="00E27443">
        <w:t>entire</w:t>
      </w:r>
      <w:r w:rsidR="00C63F8F" w:rsidRPr="00E27443">
        <w:t xml:space="preserve"> </w:t>
      </w:r>
      <w:r w:rsidRPr="00E27443">
        <w:t>population.</w:t>
      </w:r>
      <w:r w:rsidR="00C63F8F" w:rsidRPr="00E27443">
        <w:t xml:space="preserve"> </w:t>
      </w:r>
      <w:r w:rsidRPr="00E27443">
        <w:t>It</w:t>
      </w:r>
      <w:r w:rsidR="00C63F8F" w:rsidRPr="00E27443">
        <w:t xml:space="preserve"> </w:t>
      </w:r>
      <w:r w:rsidRPr="00E27443">
        <w:t>is</w:t>
      </w:r>
      <w:r w:rsidR="00C63F8F" w:rsidRPr="00E27443">
        <w:t xml:space="preserve"> </w:t>
      </w:r>
      <w:r w:rsidRPr="00E27443">
        <w:t>also</w:t>
      </w:r>
      <w:r w:rsidR="00C63F8F" w:rsidRPr="00E27443">
        <w:t xml:space="preserve"> </w:t>
      </w:r>
      <w:r w:rsidRPr="00E27443">
        <w:t>stipulated</w:t>
      </w:r>
      <w:r w:rsidR="00C63F8F" w:rsidRPr="00E27443">
        <w:t xml:space="preserve"> </w:t>
      </w:r>
      <w:r w:rsidRPr="00E27443">
        <w:t>that</w:t>
      </w:r>
      <w:r w:rsidR="00C63F8F" w:rsidRPr="00E27443">
        <w:t xml:space="preserve"> </w:t>
      </w:r>
      <w:r w:rsidRPr="00E27443">
        <w:t>care</w:t>
      </w:r>
      <w:r w:rsidR="00C63F8F" w:rsidRPr="00E27443">
        <w:t xml:space="preserve"> </w:t>
      </w:r>
      <w:r w:rsidRPr="00E27443">
        <w:t>must</w:t>
      </w:r>
      <w:r w:rsidR="00C63F8F" w:rsidRPr="00E27443">
        <w:t xml:space="preserve"> </w:t>
      </w:r>
      <w:r w:rsidRPr="00E27443">
        <w:t>be</w:t>
      </w:r>
      <w:r w:rsidR="00C63F8F" w:rsidRPr="00E27443">
        <w:t xml:space="preserve"> </w:t>
      </w:r>
      <w:r w:rsidRPr="00E27443">
        <w:t>provided</w:t>
      </w:r>
      <w:r w:rsidR="00C63F8F" w:rsidRPr="00E27443">
        <w:t xml:space="preserve"> </w:t>
      </w:r>
      <w:r w:rsidRPr="00E27443">
        <w:t>with</w:t>
      </w:r>
      <w:r w:rsidR="00C63F8F" w:rsidRPr="00E27443">
        <w:t xml:space="preserve"> </w:t>
      </w:r>
      <w:r w:rsidRPr="00E27443">
        <w:t>respect</w:t>
      </w:r>
      <w:r w:rsidR="00C63F8F" w:rsidRPr="00E27443">
        <w:t xml:space="preserve"> </w:t>
      </w:r>
      <w:r w:rsidRPr="00E27443">
        <w:t>for</w:t>
      </w:r>
      <w:r w:rsidR="00C63F8F" w:rsidRPr="00E27443">
        <w:t xml:space="preserve"> </w:t>
      </w:r>
      <w:r w:rsidRPr="00E27443">
        <w:t>the</w:t>
      </w:r>
      <w:r w:rsidR="00C63F8F" w:rsidRPr="00E27443">
        <w:t xml:space="preserve"> </w:t>
      </w:r>
      <w:r w:rsidRPr="00E27443">
        <w:t>equal</w:t>
      </w:r>
      <w:r w:rsidR="00C63F8F" w:rsidRPr="00E27443">
        <w:t xml:space="preserve"> </w:t>
      </w:r>
      <w:r w:rsidRPr="00E27443">
        <w:t>value</w:t>
      </w:r>
      <w:r w:rsidR="00C63F8F" w:rsidRPr="00E27443">
        <w:t xml:space="preserve"> </w:t>
      </w:r>
      <w:r w:rsidRPr="00E27443">
        <w:t>of</w:t>
      </w:r>
      <w:r w:rsidR="00C63F8F" w:rsidRPr="00E27443">
        <w:t xml:space="preserve"> </w:t>
      </w:r>
      <w:r w:rsidRPr="00E27443">
        <w:t>all</w:t>
      </w:r>
      <w:r w:rsidR="00C63F8F" w:rsidRPr="00E27443">
        <w:t xml:space="preserve"> </w:t>
      </w:r>
      <w:r w:rsidRPr="00E27443">
        <w:t>people</w:t>
      </w:r>
      <w:r w:rsidR="00C63F8F" w:rsidRPr="00E27443">
        <w:t xml:space="preserve"> </w:t>
      </w:r>
      <w:r w:rsidRPr="00E27443">
        <w:t>and</w:t>
      </w:r>
      <w:r w:rsidR="00C63F8F" w:rsidRPr="00E27443">
        <w:t xml:space="preserve"> </w:t>
      </w:r>
      <w:r w:rsidRPr="00E27443">
        <w:t>for</w:t>
      </w:r>
      <w:r w:rsidR="00C63F8F" w:rsidRPr="00E27443">
        <w:t xml:space="preserve"> </w:t>
      </w:r>
      <w:r w:rsidRPr="00E27443">
        <w:t>the</w:t>
      </w:r>
      <w:r w:rsidR="00C63F8F" w:rsidRPr="00E27443">
        <w:t xml:space="preserve"> </w:t>
      </w:r>
      <w:r w:rsidRPr="00E27443">
        <w:t>integrity</w:t>
      </w:r>
      <w:r w:rsidR="00C63F8F" w:rsidRPr="00E27443">
        <w:t xml:space="preserve"> </w:t>
      </w:r>
      <w:r w:rsidRPr="00E27443">
        <w:t>of</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There</w:t>
      </w:r>
      <w:r w:rsidR="00C63F8F" w:rsidRPr="00E27443">
        <w:t xml:space="preserve"> </w:t>
      </w:r>
      <w:r w:rsidRPr="00E27443">
        <w:t>is</w:t>
      </w:r>
      <w:r w:rsidR="00C63F8F" w:rsidRPr="00E27443">
        <w:t xml:space="preserve"> </w:t>
      </w:r>
      <w:r w:rsidRPr="00E27443">
        <w:t>no</w:t>
      </w:r>
      <w:r w:rsidR="00C63F8F" w:rsidRPr="00E27443">
        <w:t xml:space="preserve"> </w:t>
      </w:r>
      <w:r w:rsidRPr="00E27443">
        <w:t>specific</w:t>
      </w:r>
      <w:r w:rsidR="00C63F8F" w:rsidRPr="00E27443">
        <w:t xml:space="preserve"> </w:t>
      </w:r>
      <w:r w:rsidRPr="00E27443">
        <w:t>regulation</w:t>
      </w:r>
      <w:r w:rsidR="00C63F8F" w:rsidRPr="00E27443">
        <w:t xml:space="preserve"> </w:t>
      </w:r>
      <w:r w:rsidRPr="00E27443">
        <w:t>in</w:t>
      </w:r>
      <w:r w:rsidR="00C63F8F" w:rsidRPr="00E27443">
        <w:t xml:space="preserve"> </w:t>
      </w:r>
      <w:r w:rsidRPr="00E27443">
        <w:t>the</w:t>
      </w:r>
      <w:r w:rsidR="00C63F8F" w:rsidRPr="00E27443">
        <w:t xml:space="preserve"> </w:t>
      </w:r>
      <w:r w:rsidRPr="00E27443">
        <w:t>constitutional</w:t>
      </w:r>
      <w:r w:rsidR="00C63F8F" w:rsidRPr="00E27443">
        <w:t xml:space="preserve"> </w:t>
      </w:r>
      <w:r w:rsidRPr="00E27443">
        <w:t>provisions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p>
    <w:p w:rsidR="00321ADA" w:rsidRPr="00E27443" w:rsidRDefault="00321ADA" w:rsidP="00A00C00">
      <w:pPr>
        <w:pStyle w:val="SingleTxtG"/>
        <w:numPr>
          <w:ilvl w:val="0"/>
          <w:numId w:val="20"/>
        </w:numPr>
        <w:tabs>
          <w:tab w:val="left" w:pos="1843"/>
        </w:tabs>
        <w:ind w:left="1134" w:firstLine="0"/>
      </w:pPr>
      <w:r w:rsidRPr="00E27443">
        <w:t>As</w:t>
      </w:r>
      <w:r w:rsidR="00C63F8F" w:rsidRPr="00E27443">
        <w:t xml:space="preserve"> </w:t>
      </w:r>
      <w:r w:rsidRPr="00E27443">
        <w:t>far</w:t>
      </w:r>
      <w:r w:rsidR="00C63F8F" w:rsidRPr="00E27443">
        <w:t xml:space="preserve"> </w:t>
      </w:r>
      <w:r w:rsidRPr="00E27443">
        <w:t>as</w:t>
      </w:r>
      <w:r w:rsidR="00C63F8F" w:rsidRPr="00E27443">
        <w:t xml:space="preserve"> </w:t>
      </w:r>
      <w:r w:rsidRPr="00E27443">
        <w:t>possible,</w:t>
      </w:r>
      <w:r w:rsidR="00C63F8F" w:rsidRPr="00E27443">
        <w:t xml:space="preserve"> </w:t>
      </w:r>
      <w:r w:rsidRPr="00E27443">
        <w:t>the</w:t>
      </w:r>
      <w:r w:rsidR="00C63F8F" w:rsidRPr="00E27443">
        <w:t xml:space="preserve"> </w:t>
      </w:r>
      <w:r w:rsidRPr="00E27443">
        <w:t>care</w:t>
      </w:r>
      <w:r w:rsidR="00C63F8F" w:rsidRPr="00E27443">
        <w:t xml:space="preserve"> </w:t>
      </w:r>
      <w:r w:rsidRPr="00E27443">
        <w:t>must</w:t>
      </w:r>
      <w:r w:rsidR="00C63F8F" w:rsidRPr="00E27443">
        <w:t xml:space="preserve"> </w:t>
      </w:r>
      <w:r w:rsidRPr="00E27443">
        <w:t>be</w:t>
      </w:r>
      <w:r w:rsidR="00C63F8F" w:rsidRPr="00E27443">
        <w:t xml:space="preserve"> </w:t>
      </w:r>
      <w:r w:rsidRPr="00E27443">
        <w:t>designed</w:t>
      </w:r>
      <w:r w:rsidR="00C63F8F" w:rsidRPr="00E27443">
        <w:t xml:space="preserve"> </w:t>
      </w:r>
      <w:r w:rsidRPr="00E27443">
        <w:t>and</w:t>
      </w:r>
      <w:r w:rsidR="00C63F8F" w:rsidRPr="00E27443">
        <w:t xml:space="preserve"> </w:t>
      </w:r>
      <w:r w:rsidRPr="00E27443">
        <w:t>implemented</w:t>
      </w:r>
      <w:r w:rsidR="00C63F8F" w:rsidRPr="00E27443">
        <w:t xml:space="preserve"> </w:t>
      </w:r>
      <w:r w:rsidRPr="00E27443">
        <w:t>in</w:t>
      </w:r>
      <w:r w:rsidR="00C63F8F" w:rsidRPr="00E27443">
        <w:t xml:space="preserve"> </w:t>
      </w:r>
      <w:r w:rsidRPr="00E27443">
        <w:t>consultation</w:t>
      </w:r>
      <w:r w:rsidR="00C63F8F" w:rsidRPr="00E27443">
        <w:t xml:space="preserve"> </w:t>
      </w:r>
      <w:r w:rsidRPr="00E27443">
        <w:t>with</w:t>
      </w:r>
      <w:r w:rsidR="00C63F8F" w:rsidRPr="00E27443">
        <w:t xml:space="preserve"> </w:t>
      </w:r>
      <w:r w:rsidRPr="00E27443">
        <w:t>the</w:t>
      </w:r>
      <w:r w:rsidR="00C63F8F" w:rsidRPr="00E27443">
        <w:t xml:space="preserve"> </w:t>
      </w:r>
      <w:r w:rsidRPr="00E27443">
        <w:t>patient,</w:t>
      </w:r>
      <w:r w:rsidR="00C63F8F" w:rsidRPr="00E27443">
        <w:t xml:space="preserve"> </w:t>
      </w:r>
      <w:r w:rsidRPr="00E27443">
        <w:t>and</w:t>
      </w:r>
      <w:r w:rsidR="00C63F8F" w:rsidRPr="00E27443">
        <w:t xml:space="preserve"> </w:t>
      </w:r>
      <w:r w:rsidRPr="00E27443">
        <w:t>it</w:t>
      </w:r>
      <w:r w:rsidR="00C63F8F" w:rsidRPr="00E27443">
        <w:t xml:space="preserve"> </w:t>
      </w:r>
      <w:r w:rsidRPr="00E27443">
        <w:t>must</w:t>
      </w:r>
      <w:r w:rsidR="00C63F8F" w:rsidRPr="00E27443">
        <w:t xml:space="preserve"> </w:t>
      </w:r>
      <w:r w:rsidRPr="00E27443">
        <w:t>be</w:t>
      </w:r>
      <w:r w:rsidR="00C63F8F" w:rsidRPr="00E27443">
        <w:t xml:space="preserve"> </w:t>
      </w:r>
      <w:r w:rsidRPr="00E27443">
        <w:t>based</w:t>
      </w:r>
      <w:r w:rsidR="00C63F8F" w:rsidRPr="00E27443">
        <w:t xml:space="preserve"> </w:t>
      </w:r>
      <w:r w:rsidRPr="00E27443">
        <w:t>on</w:t>
      </w:r>
      <w:r w:rsidR="00C63F8F" w:rsidRPr="00E27443">
        <w:t xml:space="preserve"> </w:t>
      </w:r>
      <w:r w:rsidRPr="00E27443">
        <w:t>respect</w:t>
      </w:r>
      <w:r w:rsidR="00C63F8F" w:rsidRPr="00E27443">
        <w:t xml:space="preserve"> </w:t>
      </w:r>
      <w:r w:rsidRPr="00E27443">
        <w:t>for</w:t>
      </w:r>
      <w:r w:rsidR="00C63F8F" w:rsidRPr="00E27443">
        <w:t xml:space="preserve"> </w:t>
      </w:r>
      <w:r w:rsidRPr="00E27443">
        <w:t>the</w:t>
      </w:r>
      <w:r w:rsidR="00C63F8F" w:rsidRPr="00E27443">
        <w:t xml:space="preserve"> </w:t>
      </w:r>
      <w:r w:rsidRPr="00E27443">
        <w:rPr>
          <w:i/>
        </w:rPr>
        <w:t>patient</w:t>
      </w:r>
      <w:r w:rsidR="00C63F8F" w:rsidRPr="00E27443">
        <w:rPr>
          <w:i/>
        </w:rPr>
        <w:t>’</w:t>
      </w:r>
      <w:r w:rsidRPr="00E27443">
        <w:rPr>
          <w:i/>
        </w:rPr>
        <w:t>s</w:t>
      </w:r>
      <w:r w:rsidR="00C63F8F" w:rsidRPr="00E27443">
        <w:rPr>
          <w:i/>
        </w:rPr>
        <w:t xml:space="preserve"> </w:t>
      </w:r>
      <w:r w:rsidRPr="00E27443">
        <w:rPr>
          <w:i/>
        </w:rPr>
        <w:t>self-determination</w:t>
      </w:r>
      <w:r w:rsidR="00C63F8F" w:rsidRPr="00E27443">
        <w:t xml:space="preserve"> </w:t>
      </w:r>
      <w:r w:rsidRPr="00E27443">
        <w:t>and</w:t>
      </w:r>
      <w:r w:rsidR="00C63F8F" w:rsidRPr="00E27443">
        <w:t xml:space="preserve"> </w:t>
      </w:r>
      <w:r w:rsidRPr="00E27443">
        <w:t>integrity.</w:t>
      </w:r>
      <w:r w:rsidR="00000B2D" w:rsidRPr="00E27443">
        <w:rPr>
          <w:rStyle w:val="FootnoteReference"/>
        </w:rPr>
        <w:footnoteReference w:id="111"/>
      </w:r>
      <w:r w:rsidR="00C63F8F" w:rsidRPr="00E27443">
        <w:t xml:space="preserve"> </w:t>
      </w:r>
      <w:r w:rsidRPr="00E27443">
        <w:t>As</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may</w:t>
      </w:r>
      <w:r w:rsidR="00C63F8F" w:rsidRPr="00E27443">
        <w:t xml:space="preserve"> </w:t>
      </w:r>
      <w:r w:rsidRPr="00E27443">
        <w:t>have</w:t>
      </w:r>
      <w:r w:rsidR="00C63F8F" w:rsidRPr="00E27443">
        <w:t xml:space="preserve"> </w:t>
      </w:r>
      <w:r w:rsidRPr="00E27443">
        <w:t>a</w:t>
      </w:r>
      <w:r w:rsidR="00C63F8F" w:rsidRPr="00E27443">
        <w:t xml:space="preserve"> </w:t>
      </w:r>
      <w:r w:rsidRPr="00E27443">
        <w:t>reduced</w:t>
      </w:r>
      <w:r w:rsidR="00C63F8F" w:rsidRPr="00E27443">
        <w:t xml:space="preserve"> </w:t>
      </w:r>
      <w:r w:rsidRPr="00E27443">
        <w:t>capability</w:t>
      </w:r>
      <w:r w:rsidR="00C63F8F" w:rsidRPr="00E27443">
        <w:t xml:space="preserve"> </w:t>
      </w:r>
      <w:r w:rsidRPr="00E27443">
        <w:t>to</w:t>
      </w:r>
      <w:r w:rsidR="00C63F8F" w:rsidRPr="00E27443">
        <w:t xml:space="preserve"> </w:t>
      </w:r>
      <w:r w:rsidRPr="00E27443">
        <w:t>take</w:t>
      </w:r>
      <w:r w:rsidR="00C63F8F" w:rsidRPr="00E27443">
        <w:t xml:space="preserve"> </w:t>
      </w:r>
      <w:r w:rsidRPr="00E27443">
        <w:t>decisions</w:t>
      </w:r>
      <w:r w:rsidR="00C63F8F" w:rsidRPr="00E27443">
        <w:t xml:space="preserve"> </w:t>
      </w:r>
      <w:r w:rsidRPr="00E27443">
        <w:t>themselves,</w:t>
      </w:r>
      <w:r w:rsidR="00C63F8F" w:rsidRPr="00E27443">
        <w:t xml:space="preserve"> </w:t>
      </w:r>
      <w:r w:rsidRPr="00E27443">
        <w:t>there</w:t>
      </w:r>
      <w:r w:rsidR="00C63F8F" w:rsidRPr="00E27443">
        <w:t xml:space="preserve"> </w:t>
      </w:r>
      <w:r w:rsidRPr="00E27443">
        <w:t>is</w:t>
      </w:r>
      <w:r w:rsidR="00C63F8F" w:rsidRPr="00E27443">
        <w:t xml:space="preserve"> </w:t>
      </w:r>
      <w:r w:rsidRPr="00E27443">
        <w:t>some</w:t>
      </w:r>
      <w:r w:rsidR="00C63F8F" w:rsidRPr="00E27443">
        <w:t xml:space="preserve"> </w:t>
      </w:r>
      <w:r w:rsidRPr="00E27443">
        <w:t>general</w:t>
      </w:r>
      <w:r w:rsidR="00C63F8F" w:rsidRPr="00E27443">
        <w:t xml:space="preserve"> </w:t>
      </w:r>
      <w:r w:rsidRPr="00E27443">
        <w:t>advice</w:t>
      </w:r>
      <w:r w:rsidR="00C63F8F" w:rsidRPr="00E27443">
        <w:t xml:space="preserve"> </w:t>
      </w:r>
      <w:r w:rsidRPr="00E27443">
        <w:t>from</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to</w:t>
      </w:r>
      <w:r w:rsidR="00C63F8F" w:rsidRPr="00E27443">
        <w:t xml:space="preserve"> </w:t>
      </w:r>
      <w:r w:rsidRPr="00E27443">
        <w:t>make</w:t>
      </w:r>
      <w:r w:rsidR="00C63F8F" w:rsidRPr="00E27443">
        <w:t xml:space="preserve"> </w:t>
      </w:r>
      <w:r w:rsidRPr="00E27443">
        <w:t>it</w:t>
      </w:r>
      <w:r w:rsidR="00C63F8F" w:rsidRPr="00E27443">
        <w:t xml:space="preserve"> </w:t>
      </w:r>
      <w:r w:rsidRPr="00E27443">
        <w:t>easier</w:t>
      </w:r>
      <w:r w:rsidR="00C63F8F" w:rsidRPr="00E27443">
        <w:t xml:space="preserve"> </w:t>
      </w:r>
      <w:r w:rsidRPr="00E27443">
        <w:t>for</w:t>
      </w:r>
      <w:r w:rsidR="00C63F8F" w:rsidRPr="00E27443">
        <w:t xml:space="preserve"> </w:t>
      </w:r>
      <w:r w:rsidRPr="00E27443">
        <w:t>the</w:t>
      </w:r>
      <w:r w:rsidR="00C63F8F" w:rsidRPr="00E27443">
        <w:t xml:space="preserve"> </w:t>
      </w:r>
      <w:r w:rsidRPr="00E27443">
        <w:t>patient</w:t>
      </w:r>
      <w:r w:rsidR="00C63F8F" w:rsidRPr="00E27443">
        <w:t xml:space="preserve"> </w:t>
      </w:r>
      <w:r w:rsidRPr="00E27443">
        <w:t>to</w:t>
      </w:r>
      <w:r w:rsidR="00C63F8F" w:rsidRPr="00E27443">
        <w:t xml:space="preserve"> </w:t>
      </w:r>
      <w:r w:rsidRPr="00E27443">
        <w:t>obtain</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take</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own</w:t>
      </w:r>
      <w:r w:rsidR="00C63F8F" w:rsidRPr="00E27443">
        <w:t xml:space="preserve"> </w:t>
      </w:r>
      <w:r w:rsidRPr="00E27443">
        <w:t>decisions.</w:t>
      </w:r>
      <w:r w:rsidR="00C63F8F" w:rsidRPr="00E27443">
        <w:t xml:space="preserve"> </w:t>
      </w:r>
      <w:r w:rsidRPr="00E27443">
        <w:t>In</w:t>
      </w:r>
      <w:r w:rsidR="00C63F8F" w:rsidRPr="00E27443">
        <w:t xml:space="preserve"> </w:t>
      </w:r>
      <w:r w:rsidRPr="00E27443">
        <w:t>certain</w:t>
      </w:r>
      <w:r w:rsidR="00C63F8F" w:rsidRPr="00E27443">
        <w:t xml:space="preserve"> </w:t>
      </w:r>
      <w:r w:rsidRPr="00E27443">
        <w:t>situations,</w:t>
      </w:r>
      <w:r w:rsidR="00C63F8F" w:rsidRPr="00E27443">
        <w:t xml:space="preserve"> </w:t>
      </w:r>
      <w:r w:rsidRPr="00E27443">
        <w:t>it</w:t>
      </w:r>
      <w:r w:rsidR="00C63F8F" w:rsidRPr="00E27443">
        <w:t xml:space="preserve"> </w:t>
      </w:r>
      <w:r w:rsidRPr="00E27443">
        <w:t>may</w:t>
      </w:r>
      <w:r w:rsidR="00C63F8F" w:rsidRPr="00E27443">
        <w:t xml:space="preserve"> </w:t>
      </w:r>
      <w:r w:rsidRPr="00E27443">
        <w:t>be</w:t>
      </w:r>
      <w:r w:rsidR="00C63F8F" w:rsidRPr="00E27443">
        <w:t xml:space="preserve"> </w:t>
      </w:r>
      <w:r w:rsidRPr="00E27443">
        <w:t>appropriate</w:t>
      </w:r>
      <w:r w:rsidR="00C63F8F" w:rsidRPr="00E27443">
        <w:t xml:space="preserve"> </w:t>
      </w:r>
      <w:r w:rsidRPr="00E27443">
        <w:t>to</w:t>
      </w:r>
      <w:r w:rsidR="00C63F8F" w:rsidRPr="00E27443">
        <w:t xml:space="preserve"> </w:t>
      </w:r>
      <w:r w:rsidRPr="00E27443">
        <w:t>have</w:t>
      </w:r>
      <w:r w:rsidR="00C63F8F" w:rsidRPr="00E27443">
        <w:t xml:space="preserve"> </w:t>
      </w:r>
      <w:r w:rsidRPr="00E27443">
        <w:t>interpreter</w:t>
      </w:r>
      <w:r w:rsidR="00C63F8F" w:rsidRPr="00E27443">
        <w:t xml:space="preserve"> </w:t>
      </w:r>
      <w:r w:rsidRPr="00E27443">
        <w:t>support</w:t>
      </w:r>
      <w:r w:rsidR="00C63F8F" w:rsidRPr="00E27443">
        <w:t xml:space="preserve"> </w:t>
      </w:r>
      <w:r w:rsidRPr="00E27443">
        <w:t>or</w:t>
      </w:r>
      <w:r w:rsidR="00C63F8F" w:rsidRPr="00E27443">
        <w:t xml:space="preserve"> </w:t>
      </w:r>
      <w:r w:rsidRPr="00E27443">
        <w:t>various</w:t>
      </w:r>
      <w:r w:rsidR="00C63F8F" w:rsidRPr="00E27443">
        <w:t xml:space="preserve"> </w:t>
      </w:r>
      <w:r w:rsidRPr="00E27443">
        <w:t>cognitive</w:t>
      </w:r>
      <w:r w:rsidR="00C63F8F" w:rsidRPr="00E27443">
        <w:t xml:space="preserve"> </w:t>
      </w:r>
      <w:r w:rsidRPr="00E27443">
        <w:t>aids.</w:t>
      </w:r>
      <w:r w:rsidR="00C63F8F" w:rsidRPr="00E27443">
        <w:t xml:space="preserve"> </w:t>
      </w:r>
      <w:r w:rsidRPr="00E27443">
        <w:t>The</w:t>
      </w:r>
      <w:r w:rsidR="00C63F8F" w:rsidRPr="00E27443">
        <w:t xml:space="preserve"> </w:t>
      </w:r>
      <w:r w:rsidRPr="00E27443">
        <w:t>recommendations</w:t>
      </w:r>
      <w:r w:rsidR="00C63F8F" w:rsidRPr="00E27443">
        <w:t xml:space="preserve"> </w:t>
      </w:r>
      <w:r w:rsidRPr="00E27443">
        <w:t>include</w:t>
      </w:r>
      <w:r w:rsidR="00C63F8F" w:rsidRPr="00E27443">
        <w:t xml:space="preserve"> </w:t>
      </w:r>
      <w:r w:rsidRPr="00E27443">
        <w:t>that</w:t>
      </w:r>
      <w:r w:rsidR="00C63F8F" w:rsidRPr="00E27443">
        <w:t xml:space="preserve"> </w:t>
      </w:r>
      <w:r w:rsidRPr="00E27443">
        <w:t>personnel</w:t>
      </w:r>
      <w:r w:rsidR="00C63F8F" w:rsidRPr="00E27443">
        <w:t xml:space="preserve"> </w:t>
      </w:r>
      <w:r w:rsidRPr="00E27443">
        <w:t>should</w:t>
      </w:r>
      <w:r w:rsidR="00C63F8F" w:rsidRPr="00E27443">
        <w:t xml:space="preserve"> </w:t>
      </w:r>
      <w:r w:rsidRPr="00E27443">
        <w:t>have</w:t>
      </w:r>
      <w:r w:rsidR="00C63F8F" w:rsidRPr="00E27443">
        <w:t xml:space="preserve"> </w:t>
      </w:r>
      <w:r w:rsidRPr="00E27443">
        <w:t>a</w:t>
      </w:r>
      <w:r w:rsidR="00C63F8F" w:rsidRPr="00E27443">
        <w:t xml:space="preserve"> </w:t>
      </w:r>
      <w:r w:rsidRPr="00E27443">
        <w:t>good</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the</w:t>
      </w:r>
      <w:r w:rsidR="00C63F8F" w:rsidRPr="00E27443">
        <w:t xml:space="preserve"> </w:t>
      </w:r>
      <w:r w:rsidRPr="00E27443">
        <w:t>consequences</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when</w:t>
      </w:r>
      <w:r w:rsidR="00C63F8F" w:rsidRPr="00E27443">
        <w:t xml:space="preserve"> </w:t>
      </w:r>
      <w:r w:rsidRPr="00E27443">
        <w:t>planning</w:t>
      </w:r>
      <w:r w:rsidR="00C63F8F" w:rsidRPr="00E27443">
        <w:t xml:space="preserve"> </w:t>
      </w:r>
      <w:r w:rsidRPr="00E27443">
        <w:t>and</w:t>
      </w:r>
      <w:r w:rsidR="00C63F8F" w:rsidRPr="00E27443">
        <w:t xml:space="preserve"> </w:t>
      </w:r>
      <w:r w:rsidR="00000B2D" w:rsidRPr="00E27443">
        <w:t>imple</w:t>
      </w:r>
      <w:r w:rsidRPr="00E27443">
        <w:t>menting</w:t>
      </w:r>
      <w:r w:rsidR="00C63F8F" w:rsidRPr="00E27443">
        <w:t xml:space="preserve"> </w:t>
      </w:r>
      <w:r w:rsidRPr="00E27443">
        <w:t>care.</w:t>
      </w:r>
      <w:r w:rsidR="00C63F8F" w:rsidRPr="00E27443">
        <w:t xml:space="preserve"> </w:t>
      </w:r>
    </w:p>
    <w:p w:rsidR="00321ADA" w:rsidRPr="00E27443" w:rsidRDefault="00321ADA" w:rsidP="00A00C00">
      <w:pPr>
        <w:pStyle w:val="SingleTxtG"/>
        <w:numPr>
          <w:ilvl w:val="0"/>
          <w:numId w:val="20"/>
        </w:numPr>
        <w:tabs>
          <w:tab w:val="left" w:pos="1843"/>
        </w:tabs>
        <w:ind w:left="1134" w:firstLine="0"/>
      </w:pPr>
      <w:r w:rsidRPr="00E27443">
        <w:t>The</w:t>
      </w:r>
      <w:r w:rsidR="00C63F8F" w:rsidRPr="00E27443">
        <w:t xml:space="preserve"> </w:t>
      </w:r>
      <w:r w:rsidRPr="00E27443">
        <w:t>overriding</w:t>
      </w:r>
      <w:r w:rsidR="00C63F8F" w:rsidRPr="00E27443">
        <w:t xml:space="preserve"> </w:t>
      </w:r>
      <w:r w:rsidRPr="00E27443">
        <w:t>objective</w:t>
      </w:r>
      <w:r w:rsidR="00C63F8F" w:rsidRPr="00E27443">
        <w:t xml:space="preserve"> </w:t>
      </w:r>
      <w:r w:rsidRPr="00E27443">
        <w:t>of</w:t>
      </w:r>
      <w:r w:rsidR="00C63F8F" w:rsidRPr="00E27443">
        <w:t xml:space="preserve"> </w:t>
      </w:r>
      <w:r w:rsidRPr="00E27443">
        <w:t>public</w:t>
      </w:r>
      <w:r w:rsidR="00C63F8F" w:rsidRPr="00E27443">
        <w:t xml:space="preserve"> </w:t>
      </w:r>
      <w:r w:rsidRPr="00E27443">
        <w:t>health</w:t>
      </w:r>
      <w:r w:rsidR="00C63F8F" w:rsidRPr="00E27443">
        <w:t xml:space="preserve"> </w:t>
      </w:r>
      <w:r w:rsidRPr="00E27443">
        <w:t>is</w:t>
      </w:r>
      <w:r w:rsidR="00C63F8F" w:rsidRPr="00E27443">
        <w:t xml:space="preserve"> </w:t>
      </w:r>
      <w:r w:rsidRPr="00E27443">
        <w:t>to</w:t>
      </w:r>
      <w:r w:rsidR="00C63F8F" w:rsidRPr="00E27443">
        <w:t xml:space="preserve"> </w:t>
      </w:r>
      <w:r w:rsidRPr="00E27443">
        <w:t>create</w:t>
      </w:r>
      <w:r w:rsidR="00C63F8F" w:rsidRPr="00E27443">
        <w:t xml:space="preserve"> </w:t>
      </w:r>
      <w:r w:rsidRPr="00E27443">
        <w:t>the</w:t>
      </w:r>
      <w:r w:rsidR="00C63F8F" w:rsidRPr="00E27443">
        <w:t xml:space="preserve"> </w:t>
      </w:r>
      <w:r w:rsidRPr="00E27443">
        <w:t>social</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good</w:t>
      </w:r>
      <w:r w:rsidR="00C63F8F" w:rsidRPr="00E27443">
        <w:t xml:space="preserve"> </w:t>
      </w:r>
      <w:r w:rsidRPr="00E27443">
        <w:t>health</w:t>
      </w:r>
      <w:r w:rsidR="00C63F8F" w:rsidRPr="00E27443">
        <w:t xml:space="preserve"> </w:t>
      </w:r>
      <w:r w:rsidRPr="00E27443">
        <w:t>on</w:t>
      </w:r>
      <w:r w:rsidR="00C63F8F" w:rsidRPr="00E27443">
        <w:t xml:space="preserve"> </w:t>
      </w:r>
      <w:r w:rsidRPr="00E27443">
        <w:t>equal</w:t>
      </w:r>
      <w:r w:rsidR="00C63F8F" w:rsidRPr="00E27443">
        <w:t xml:space="preserve"> </w:t>
      </w:r>
      <w:r w:rsidRPr="00E27443">
        <w:t>terms</w:t>
      </w:r>
      <w:r w:rsidR="00C63F8F" w:rsidRPr="00E27443">
        <w:t xml:space="preserve"> </w:t>
      </w:r>
      <w:r w:rsidRPr="00E27443">
        <w:t>for</w:t>
      </w:r>
      <w:r w:rsidR="00C63F8F" w:rsidRPr="00E27443">
        <w:t xml:space="preserve"> </w:t>
      </w:r>
      <w:r w:rsidRPr="00E27443">
        <w:t>the</w:t>
      </w:r>
      <w:r w:rsidR="00C63F8F" w:rsidRPr="00E27443">
        <w:t xml:space="preserve"> </w:t>
      </w:r>
      <w:r w:rsidRPr="00E27443">
        <w:t>entire</w:t>
      </w:r>
      <w:r w:rsidR="00C63F8F" w:rsidRPr="00E27443">
        <w:t xml:space="preserve"> </w:t>
      </w:r>
      <w:r w:rsidRPr="00E27443">
        <w:t>population.</w:t>
      </w:r>
      <w:r w:rsidR="00C63F8F" w:rsidRPr="00E27443">
        <w:t xml:space="preserve"> </w:t>
      </w:r>
      <w:r w:rsidRPr="00E27443">
        <w:t>Results</w:t>
      </w:r>
      <w:r w:rsidR="00C63F8F" w:rsidRPr="00E27443">
        <w:t xml:space="preserve"> </w:t>
      </w:r>
      <w:r w:rsidRPr="00E27443">
        <w:t>from</w:t>
      </w:r>
      <w:r w:rsidR="00C63F8F" w:rsidRPr="00E27443">
        <w:t xml:space="preserve"> </w:t>
      </w:r>
      <w:r w:rsidRPr="00E27443">
        <w:t>the</w:t>
      </w:r>
      <w:r w:rsidR="00C63F8F" w:rsidRPr="00E27443">
        <w:t xml:space="preserve"> </w:t>
      </w:r>
      <w:r w:rsidRPr="00E27443">
        <w:t>last</w:t>
      </w:r>
      <w:r w:rsidR="00C63F8F" w:rsidRPr="00E27443">
        <w:t xml:space="preserve"> </w:t>
      </w:r>
      <w:r w:rsidRPr="00E27443">
        <w:t>Public</w:t>
      </w:r>
      <w:r w:rsidR="00C63F8F" w:rsidRPr="00E27443">
        <w:t xml:space="preserve"> </w:t>
      </w:r>
      <w:r w:rsidRPr="00E27443">
        <w:t>Health</w:t>
      </w:r>
      <w:r w:rsidR="00C63F8F" w:rsidRPr="00E27443">
        <w:t xml:space="preserve"> </w:t>
      </w:r>
      <w:r w:rsidRPr="00E27443">
        <w:t>policy</w:t>
      </w:r>
      <w:r w:rsidR="00C63F8F" w:rsidRPr="00E27443">
        <w:t xml:space="preserve"> </w:t>
      </w:r>
      <w:r w:rsidRPr="00E27443">
        <w:t>Report</w:t>
      </w:r>
      <w:r w:rsidR="00C63F8F" w:rsidRPr="00E27443">
        <w:t xml:space="preserve"> </w:t>
      </w:r>
      <w:r w:rsidRPr="00E27443">
        <w:t>2010</w:t>
      </w:r>
      <w:r w:rsidR="00000B2D" w:rsidRPr="00A00C00">
        <w:footnoteReference w:id="112"/>
      </w:r>
      <w:r w:rsidR="00C63F8F" w:rsidRPr="00E27443">
        <w:t xml:space="preserve"> </w:t>
      </w:r>
      <w:r w:rsidRPr="00E27443">
        <w:t>shows</w:t>
      </w:r>
      <w:r w:rsidR="00C63F8F" w:rsidRPr="00E27443">
        <w:t xml:space="preserve"> </w:t>
      </w:r>
      <w:r w:rsidRPr="00E27443">
        <w:t>that</w:t>
      </w:r>
      <w:r w:rsidR="00C63F8F" w:rsidRPr="00E27443">
        <w:t xml:space="preserve"> </w:t>
      </w:r>
      <w:r w:rsidRPr="00E27443">
        <w:t>ill</w:t>
      </w:r>
      <w:r w:rsidR="00C63F8F" w:rsidRPr="00E27443">
        <w:t xml:space="preserve"> </w:t>
      </w:r>
      <w:r w:rsidRPr="00E27443">
        <w:t>health</w:t>
      </w:r>
      <w:r w:rsidR="00C63F8F" w:rsidRPr="00E27443">
        <w:t xml:space="preserve"> </w:t>
      </w:r>
      <w:r w:rsidRPr="00E27443">
        <w:t>among</w:t>
      </w:r>
      <w:r w:rsidR="00C63F8F" w:rsidRPr="00E27443">
        <w:t xml:space="preserve"> </w:t>
      </w:r>
      <w:r w:rsidRPr="00E27443">
        <w:t>individ</w:t>
      </w:r>
      <w:r w:rsidR="00C63F8F" w:rsidRPr="00E27443">
        <w:t>u</w:t>
      </w:r>
      <w:r w:rsidRPr="00E27443">
        <w:t>als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is</w:t>
      </w:r>
      <w:r w:rsidR="00C63F8F" w:rsidRPr="00E27443">
        <w:t xml:space="preserve"> </w:t>
      </w:r>
      <w:r w:rsidRPr="00E27443">
        <w:t>related</w:t>
      </w:r>
      <w:r w:rsidR="00C63F8F" w:rsidRPr="00E27443">
        <w:t xml:space="preserve"> </w:t>
      </w:r>
      <w:r w:rsidRPr="00E27443">
        <w:t>to</w:t>
      </w:r>
      <w:r w:rsidR="00C63F8F" w:rsidRPr="00E27443">
        <w:t xml:space="preserve"> </w:t>
      </w:r>
      <w:r w:rsidRPr="00E27443">
        <w:t>factors</w:t>
      </w:r>
      <w:r w:rsidR="00C63F8F" w:rsidRPr="00E27443">
        <w:t xml:space="preserve"> </w:t>
      </w:r>
      <w:r w:rsidRPr="00E27443">
        <w:t>as</w:t>
      </w:r>
      <w:r w:rsidR="00C63F8F" w:rsidRPr="00E27443">
        <w:t xml:space="preserve"> </w:t>
      </w:r>
      <w:r w:rsidRPr="00E27443">
        <w:t>low</w:t>
      </w:r>
      <w:r w:rsidR="00C63F8F" w:rsidRPr="00E27443">
        <w:t xml:space="preserve"> </w:t>
      </w:r>
      <w:r w:rsidRPr="00E27443">
        <w:t>education,</w:t>
      </w:r>
      <w:r w:rsidR="00C63F8F" w:rsidRPr="00E27443">
        <w:t xml:space="preserve"> </w:t>
      </w:r>
      <w:r w:rsidRPr="00E27443">
        <w:t>bad</w:t>
      </w:r>
      <w:r w:rsidR="00C63F8F" w:rsidRPr="00E27443">
        <w:t xml:space="preserve"> </w:t>
      </w:r>
      <w:r w:rsidRPr="00E27443">
        <w:t>economy</w:t>
      </w:r>
      <w:r w:rsidR="00C63F8F" w:rsidRPr="00E27443">
        <w:t xml:space="preserve"> </w:t>
      </w:r>
      <w:r w:rsidRPr="00E27443">
        <w:t>and</w:t>
      </w:r>
      <w:r w:rsidR="00C63F8F" w:rsidRPr="00E27443">
        <w:t xml:space="preserve"> </w:t>
      </w:r>
      <w:r w:rsidRPr="00E27443">
        <w:t>worse</w:t>
      </w:r>
      <w:r w:rsidR="00C63F8F" w:rsidRPr="00E27443">
        <w:t xml:space="preserve"> </w:t>
      </w:r>
      <w:r w:rsidRPr="00E27443">
        <w:t>supply</w:t>
      </w:r>
      <w:r w:rsidR="00C63F8F" w:rsidRPr="00E27443">
        <w:t xml:space="preserve"> </w:t>
      </w:r>
      <w:r w:rsidRPr="00E27443">
        <w:t>to</w:t>
      </w:r>
      <w:r w:rsidR="00C63F8F" w:rsidRPr="00E27443">
        <w:t xml:space="preserve"> </w:t>
      </w:r>
      <w:r w:rsidRPr="00E27443">
        <w:t>employment</w:t>
      </w:r>
      <w:r w:rsidR="00C63F8F" w:rsidRPr="00E27443">
        <w:t xml:space="preserve"> </w:t>
      </w:r>
      <w:r w:rsidRPr="00E27443">
        <w:t>in</w:t>
      </w:r>
      <w:r w:rsidR="00C63F8F" w:rsidRPr="00E27443">
        <w:t xml:space="preserve"> </w:t>
      </w:r>
      <w:r w:rsidRPr="00E27443">
        <w:t>working</w:t>
      </w:r>
      <w:r w:rsidR="00C63F8F" w:rsidRPr="00E27443">
        <w:t xml:space="preserve"> </w:t>
      </w:r>
      <w:r w:rsidRPr="00E27443">
        <w:t>life.</w:t>
      </w:r>
    </w:p>
    <w:p w:rsidR="00321ADA" w:rsidRPr="00E27443" w:rsidRDefault="00321ADA" w:rsidP="00A00C00">
      <w:pPr>
        <w:pStyle w:val="SingleTxtG"/>
        <w:numPr>
          <w:ilvl w:val="0"/>
          <w:numId w:val="20"/>
        </w:numPr>
        <w:tabs>
          <w:tab w:val="left" w:pos="1843"/>
        </w:tabs>
        <w:ind w:left="1134" w:firstLine="0"/>
      </w:pPr>
      <w:r w:rsidRPr="00E27443">
        <w:t>One</w:t>
      </w:r>
      <w:r w:rsidR="00C63F8F" w:rsidRPr="00E27443">
        <w:t xml:space="preserve"> </w:t>
      </w:r>
      <w:r w:rsidRPr="00E27443">
        <w:t>target</w:t>
      </w:r>
      <w:r w:rsidR="00C63F8F" w:rsidRPr="00E27443">
        <w:t xml:space="preserve"> </w:t>
      </w:r>
      <w:r w:rsidRPr="00E27443">
        <w:t>area</w:t>
      </w:r>
      <w:r w:rsidR="00C63F8F" w:rsidRPr="00E27443">
        <w:t xml:space="preserve"> </w:t>
      </w:r>
      <w:r w:rsidRPr="00E27443">
        <w:t>for</w:t>
      </w:r>
      <w:r w:rsidR="00C63F8F" w:rsidRPr="00E27443">
        <w:t xml:space="preserve"> </w:t>
      </w:r>
      <w:r w:rsidRPr="00E27443">
        <w:t>national</w:t>
      </w:r>
      <w:r w:rsidR="00C63F8F" w:rsidRPr="00E27443">
        <w:t xml:space="preserve"> </w:t>
      </w:r>
      <w:r w:rsidRPr="00E27443">
        <w:t>public</w:t>
      </w:r>
      <w:r w:rsidR="00C63F8F" w:rsidRPr="00E27443">
        <w:t xml:space="preserve"> </w:t>
      </w:r>
      <w:r w:rsidRPr="00E27443">
        <w:t>health</w:t>
      </w:r>
      <w:r w:rsidR="00C63F8F" w:rsidRPr="00E27443">
        <w:t xml:space="preserve"> </w:t>
      </w:r>
      <w:r w:rsidRPr="00E27443">
        <w:t>policy</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is</w:t>
      </w:r>
      <w:r w:rsidR="00C63F8F" w:rsidRPr="00E27443">
        <w:t xml:space="preserve"> </w:t>
      </w:r>
      <w:r w:rsidRPr="00E27443">
        <w:t>that</w:t>
      </w:r>
      <w:r w:rsidR="00C63F8F" w:rsidRPr="00E27443">
        <w:t xml:space="preserve"> </w:t>
      </w:r>
      <w:r w:rsidRPr="00E27443">
        <w:t>everyone</w:t>
      </w:r>
      <w:r w:rsidR="00C63F8F" w:rsidRPr="00E27443">
        <w:t xml:space="preserve"> </w:t>
      </w:r>
      <w:r w:rsidRPr="00E27443">
        <w:t>should</w:t>
      </w:r>
      <w:r w:rsidR="00C63F8F" w:rsidRPr="00E27443">
        <w:t xml:space="preserve"> </w:t>
      </w:r>
      <w:r w:rsidRPr="00E27443">
        <w:t>be</w:t>
      </w:r>
      <w:r w:rsidR="00C63F8F" w:rsidRPr="00E27443">
        <w:t xml:space="preserve"> </w:t>
      </w:r>
      <w:r w:rsidRPr="00E27443">
        <w:t>entitled</w:t>
      </w:r>
      <w:r w:rsidR="00C63F8F" w:rsidRPr="00E27443">
        <w:t xml:space="preserve"> </w:t>
      </w:r>
      <w:r w:rsidRPr="00E27443">
        <w:t>to</w:t>
      </w:r>
      <w:r w:rsidR="00C63F8F" w:rsidRPr="00E27443">
        <w:t xml:space="preserve"> </w:t>
      </w:r>
      <w:r w:rsidRPr="00E27443">
        <w:t>a</w:t>
      </w:r>
      <w:r w:rsidR="00C63F8F" w:rsidRPr="00E27443">
        <w:t xml:space="preserve"> </w:t>
      </w:r>
      <w:r w:rsidRPr="00E27443">
        <w:t>secure</w:t>
      </w:r>
      <w:r w:rsidR="00C63F8F" w:rsidRPr="00E27443">
        <w:t xml:space="preserve"> </w:t>
      </w:r>
      <w:r w:rsidRPr="00E27443">
        <w:t>and</w:t>
      </w:r>
      <w:r w:rsidR="00C63F8F" w:rsidRPr="00E27443">
        <w:t xml:space="preserve"> </w:t>
      </w:r>
      <w:r w:rsidRPr="00E27443">
        <w:t>safe</w:t>
      </w:r>
      <w:r w:rsidR="00C63F8F" w:rsidRPr="00E27443">
        <w:t xml:space="preserve"> </w:t>
      </w:r>
      <w:r w:rsidRPr="00E27443">
        <w:t>sexuality</w:t>
      </w:r>
      <w:r w:rsidR="00C63F8F" w:rsidRPr="00E27443">
        <w:t xml:space="preserve"> </w:t>
      </w:r>
      <w:r w:rsidRPr="00E27443">
        <w:t>and</w:t>
      </w:r>
      <w:r w:rsidR="00C63F8F" w:rsidRPr="00E27443">
        <w:t xml:space="preserve"> </w:t>
      </w:r>
      <w:r w:rsidRPr="00E27443">
        <w:t>good</w:t>
      </w:r>
      <w:r w:rsidR="00C63F8F" w:rsidRPr="00E27443">
        <w:t xml:space="preserve"> </w:t>
      </w:r>
      <w:r w:rsidRPr="00A00C00">
        <w:t>reproductive</w:t>
      </w:r>
      <w:r w:rsidR="00C63F8F" w:rsidRPr="00A00C00">
        <w:t xml:space="preserve"> </w:t>
      </w:r>
      <w:r w:rsidRPr="00A00C00">
        <w:t>health</w:t>
      </w:r>
      <w:r w:rsidRPr="00E27443">
        <w:t>.</w:t>
      </w:r>
      <w:r w:rsidR="00C63F8F" w:rsidRPr="00E27443">
        <w:t xml:space="preserve"> </w:t>
      </w:r>
      <w:r w:rsidRPr="00E27443">
        <w:t>As</w:t>
      </w:r>
      <w:r w:rsidR="00C63F8F" w:rsidRPr="00E27443">
        <w:t xml:space="preserve"> </w:t>
      </w:r>
      <w:r w:rsidRPr="00E27443">
        <w:t>some</w:t>
      </w:r>
      <w:r w:rsidR="00C63F8F" w:rsidRPr="00E27443">
        <w:t xml:space="preserve"> </w:t>
      </w:r>
      <w:r w:rsidRPr="00E27443">
        <w:t>injuries</w:t>
      </w:r>
      <w:r w:rsidR="00C63F8F" w:rsidRPr="00E27443">
        <w:t xml:space="preserve"> </w:t>
      </w:r>
      <w:r w:rsidRPr="00E27443">
        <w:t>and</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affect</w:t>
      </w:r>
      <w:r w:rsidR="00C63F8F" w:rsidRPr="00E27443">
        <w:t xml:space="preserve"> </w:t>
      </w:r>
      <w:r w:rsidRPr="00E27443">
        <w:t>sexuality</w:t>
      </w:r>
      <w:r w:rsidR="00C63F8F" w:rsidRPr="00E27443">
        <w:t xml:space="preserve"> </w:t>
      </w:r>
      <w:r w:rsidRPr="00E27443">
        <w:t>and</w:t>
      </w:r>
      <w:r w:rsidR="00C63F8F" w:rsidRPr="00E27443">
        <w:t xml:space="preserve"> </w:t>
      </w:r>
      <w:r w:rsidRPr="00E27443">
        <w:t>a</w:t>
      </w:r>
      <w:r w:rsidR="00C63F8F" w:rsidRPr="00E27443">
        <w:t xml:space="preserve"> </w:t>
      </w:r>
      <w:r w:rsidRPr="00E27443">
        <w:t>person</w:t>
      </w:r>
      <w:r w:rsidR="00C63F8F" w:rsidRPr="00E27443">
        <w:t>’</w:t>
      </w:r>
      <w:r w:rsidRPr="00E27443">
        <w:t>s</w:t>
      </w:r>
      <w:r w:rsidR="00C63F8F" w:rsidRPr="00E27443">
        <w:t xml:space="preserve"> </w:t>
      </w:r>
      <w:r w:rsidRPr="00E27443">
        <w:t>sex</w:t>
      </w:r>
      <w:r w:rsidR="00C63F8F" w:rsidRPr="00E27443">
        <w:t xml:space="preserve"> </w:t>
      </w:r>
      <w:r w:rsidRPr="00E27443">
        <w:t>life,</w:t>
      </w:r>
      <w:r w:rsidR="00C63F8F" w:rsidRPr="00E27443">
        <w:t xml:space="preserve"> </w:t>
      </w:r>
      <w:r w:rsidRPr="00E27443">
        <w:t>bodies</w:t>
      </w:r>
      <w:r w:rsidR="00C63F8F" w:rsidRPr="00E27443">
        <w:t xml:space="preserve"> </w:t>
      </w:r>
      <w:r w:rsidRPr="00E27443">
        <w:t>such</w:t>
      </w:r>
      <w:r w:rsidR="00C63F8F" w:rsidRPr="00E27443">
        <w:t xml:space="preserve"> </w:t>
      </w:r>
      <w:r w:rsidRPr="00E27443">
        <w:t>as</w:t>
      </w:r>
      <w:r w:rsidR="00C63F8F" w:rsidRPr="00E27443">
        <w:t xml:space="preserve"> </w:t>
      </w:r>
      <w:r w:rsidRPr="00E27443">
        <w:t>the</w:t>
      </w:r>
      <w:r w:rsidR="00C63F8F" w:rsidRPr="00E27443">
        <w:t xml:space="preserve"> </w:t>
      </w:r>
      <w:r w:rsidRPr="00E27443">
        <w:t>National</w:t>
      </w:r>
      <w:r w:rsidR="00C63F8F" w:rsidRPr="00E27443">
        <w:t xml:space="preserve"> </w:t>
      </w:r>
      <w:r w:rsidRPr="00E27443">
        <w:t>Institute</w:t>
      </w:r>
      <w:r w:rsidR="00C63F8F" w:rsidRPr="00E27443">
        <w:t xml:space="preserve"> </w:t>
      </w:r>
      <w:r w:rsidRPr="00E27443">
        <w:t>of</w:t>
      </w:r>
      <w:r w:rsidR="00C63F8F" w:rsidRPr="00E27443">
        <w:t xml:space="preserve"> </w:t>
      </w:r>
      <w:r w:rsidRPr="00E27443">
        <w:t>Public</w:t>
      </w:r>
      <w:r w:rsidR="00C63F8F" w:rsidRPr="00E27443">
        <w:t xml:space="preserve"> </w:t>
      </w:r>
      <w:r w:rsidRPr="00E27443">
        <w:t>Health</w:t>
      </w:r>
      <w:r w:rsidR="00000B2D" w:rsidRPr="00A00C00">
        <w:footnoteReference w:id="113"/>
      </w:r>
      <w:r w:rsidR="00C63F8F" w:rsidRPr="00E27443">
        <w:t xml:space="preserve"> </w:t>
      </w:r>
      <w:r w:rsidRPr="00E27443">
        <w:t>perform</w:t>
      </w:r>
      <w:r w:rsidR="00C63F8F" w:rsidRPr="00E27443">
        <w:t xml:space="preserve"> </w:t>
      </w:r>
      <w:r w:rsidRPr="00E27443">
        <w:t>work</w:t>
      </w:r>
      <w:r w:rsidR="00C63F8F" w:rsidRPr="00E27443">
        <w:t xml:space="preserve"> </w:t>
      </w:r>
      <w:r w:rsidRPr="00E27443">
        <w:t>to</w:t>
      </w:r>
      <w:r w:rsidR="00C63F8F" w:rsidRPr="00E27443">
        <w:t xml:space="preserve"> </w:t>
      </w:r>
      <w:r w:rsidRPr="00E27443">
        <w:t>increase</w:t>
      </w:r>
      <w:r w:rsidR="00C63F8F" w:rsidRPr="00E27443">
        <w:t xml:space="preserve"> </w:t>
      </w:r>
      <w:r w:rsidRPr="00E27443">
        <w:t>knowledge</w:t>
      </w:r>
      <w:r w:rsidR="00C63F8F" w:rsidRPr="00E27443">
        <w:t xml:space="preserve"> </w:t>
      </w:r>
      <w:r w:rsidRPr="00E27443">
        <w:t>within</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and</w:t>
      </w:r>
      <w:r w:rsidR="00C63F8F" w:rsidRPr="00E27443">
        <w:t xml:space="preserve"> </w:t>
      </w:r>
      <w:r w:rsidRPr="00E27443">
        <w:t>within</w:t>
      </w:r>
      <w:r w:rsidR="00C63F8F" w:rsidRPr="00E27443">
        <w:t xml:space="preserve"> </w:t>
      </w:r>
      <w:r w:rsidRPr="00E27443">
        <w:t>various</w:t>
      </w:r>
      <w:r w:rsidR="00C63F8F" w:rsidRPr="00E27443">
        <w:t xml:space="preserve"> </w:t>
      </w:r>
      <w:r w:rsidRPr="00E27443">
        <w:t>forms</w:t>
      </w:r>
      <w:r w:rsidR="00C63F8F" w:rsidRPr="00E27443">
        <w:t xml:space="preserve"> </w:t>
      </w:r>
      <w:r w:rsidRPr="00E27443">
        <w:t>of</w:t>
      </w:r>
      <w:r w:rsidR="00C63F8F" w:rsidRPr="00E27443">
        <w:t xml:space="preserve"> </w:t>
      </w:r>
      <w:r w:rsidRPr="00E27443">
        <w:t>care</w:t>
      </w:r>
      <w:r w:rsidR="00C63F8F" w:rsidRPr="00E27443">
        <w:t xml:space="preserve"> </w:t>
      </w:r>
      <w:r w:rsidRPr="00E27443">
        <w:t>regarding</w:t>
      </w:r>
      <w:r w:rsidR="00C63F8F" w:rsidRPr="00E27443">
        <w:t xml:space="preserve"> </w:t>
      </w:r>
      <w:r w:rsidRPr="00E27443">
        <w:t>which</w:t>
      </w:r>
      <w:r w:rsidR="00C63F8F" w:rsidRPr="00E27443">
        <w:t xml:space="preserve"> </w:t>
      </w:r>
      <w:r w:rsidRPr="00E27443">
        <w:t>support</w:t>
      </w:r>
      <w:r w:rsidR="00C63F8F" w:rsidRPr="00E27443">
        <w:t xml:space="preserve"> </w:t>
      </w:r>
      <w:r w:rsidRPr="00E27443">
        <w:t>different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may</w:t>
      </w:r>
      <w:r w:rsidR="00C63F8F" w:rsidRPr="00E27443">
        <w:t xml:space="preserve"> </w:t>
      </w:r>
      <w:r w:rsidRPr="00E27443">
        <w:t>require.</w:t>
      </w:r>
      <w:r w:rsidR="00C63F8F" w:rsidRPr="00E27443">
        <w:t xml:space="preserve"> </w:t>
      </w:r>
      <w:r w:rsidRPr="00E27443">
        <w:t>This</w:t>
      </w:r>
      <w:r w:rsidR="00C63F8F" w:rsidRPr="00E27443">
        <w:t xml:space="preserve"> </w:t>
      </w:r>
      <w:r w:rsidRPr="00E27443">
        <w:t>is</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those</w:t>
      </w:r>
      <w:r w:rsidR="00C63F8F" w:rsidRPr="00E27443">
        <w:t xml:space="preserve"> </w:t>
      </w:r>
      <w:r w:rsidRPr="00E27443">
        <w:t>who</w:t>
      </w:r>
      <w:r w:rsidR="00C63F8F" w:rsidRPr="00E27443">
        <w:t xml:space="preserve"> </w:t>
      </w:r>
      <w:r w:rsidRPr="00E27443">
        <w:t>work</w:t>
      </w:r>
      <w:r w:rsidR="00C63F8F" w:rsidRPr="00E27443">
        <w:t xml:space="preserve"> </w:t>
      </w:r>
      <w:r w:rsidRPr="00E27443">
        <w:t>within</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can</w:t>
      </w:r>
      <w:r w:rsidR="00C63F8F" w:rsidRPr="00E27443">
        <w:t xml:space="preserve"> </w:t>
      </w:r>
      <w:r w:rsidRPr="00E27443">
        <w:t>provide</w:t>
      </w:r>
      <w:r w:rsidR="00C63F8F" w:rsidRPr="00E27443">
        <w:t xml:space="preserve"> </w:t>
      </w:r>
      <w:r w:rsidRPr="00E27443">
        <w:t>good</w:t>
      </w:r>
      <w:r w:rsidR="00C63F8F" w:rsidRPr="00E27443">
        <w:t xml:space="preserve"> </w:t>
      </w:r>
      <w:r w:rsidRPr="00E27443">
        <w:t>care</w:t>
      </w:r>
      <w:r w:rsidR="00C63F8F" w:rsidRPr="00E27443">
        <w:t xml:space="preserve"> </w:t>
      </w:r>
      <w:r w:rsidRPr="00E27443">
        <w:t>and</w:t>
      </w:r>
      <w:r w:rsidR="00C63F8F" w:rsidRPr="00E27443">
        <w:t xml:space="preserve"> </w:t>
      </w:r>
      <w:r w:rsidRPr="00E27443">
        <w:t>communicate</w:t>
      </w:r>
      <w:r w:rsidR="00C63F8F" w:rsidRPr="00E27443">
        <w:t xml:space="preserve"> </w:t>
      </w:r>
      <w:r w:rsidRPr="00E27443">
        <w:t>knowledge</w:t>
      </w:r>
      <w:r w:rsidR="00C63F8F" w:rsidRPr="00E27443">
        <w:t xml:space="preserve"> </w:t>
      </w:r>
      <w:r w:rsidRPr="00E27443">
        <w:t>regarding</w:t>
      </w:r>
      <w:r w:rsidR="00C63F8F" w:rsidRPr="00E27443">
        <w:t xml:space="preserve"> </w:t>
      </w:r>
      <w:r w:rsidRPr="00E27443">
        <w:t>questions</w:t>
      </w:r>
      <w:r w:rsidR="00C63F8F" w:rsidRPr="00E27443">
        <w:t xml:space="preserve"> </w:t>
      </w:r>
      <w:r w:rsidRPr="00E27443">
        <w:t>relating</w:t>
      </w:r>
      <w:r w:rsidR="00C63F8F" w:rsidRPr="00E27443">
        <w:t xml:space="preserve"> </w:t>
      </w:r>
      <w:r w:rsidRPr="00E27443">
        <w:t>to</w:t>
      </w:r>
      <w:r w:rsidR="00C63F8F" w:rsidRPr="00E27443">
        <w:t xml:space="preserve"> </w:t>
      </w:r>
      <w:r w:rsidRPr="00E27443">
        <w:t>sexuality</w:t>
      </w:r>
      <w:r w:rsidR="00C63F8F" w:rsidRPr="00E27443">
        <w:t xml:space="preserve"> </w:t>
      </w:r>
      <w:r w:rsidRPr="00E27443">
        <w:t>and</w:t>
      </w:r>
      <w:r w:rsidR="00C63F8F" w:rsidRPr="00E27443">
        <w:t xml:space="preserve"> </w:t>
      </w:r>
      <w:r w:rsidRPr="00E27443">
        <w:t>reproductive</w:t>
      </w:r>
      <w:r w:rsidR="00C63F8F" w:rsidRPr="00E27443">
        <w:t xml:space="preserve"> </w:t>
      </w:r>
      <w:r w:rsidRPr="00E27443">
        <w:t>health.</w:t>
      </w:r>
      <w:r w:rsidR="00C63F8F" w:rsidRPr="00E27443">
        <w:t xml:space="preserve"> </w:t>
      </w:r>
    </w:p>
    <w:p w:rsidR="00321ADA" w:rsidRPr="00E27443" w:rsidRDefault="00321ADA" w:rsidP="00A00C00">
      <w:pPr>
        <w:pStyle w:val="SingleTxtG"/>
        <w:numPr>
          <w:ilvl w:val="0"/>
          <w:numId w:val="20"/>
        </w:numPr>
        <w:tabs>
          <w:tab w:val="left" w:pos="1843"/>
        </w:tabs>
        <w:ind w:left="1134" w:firstLine="0"/>
      </w:pPr>
      <w:r w:rsidRPr="00E27443">
        <w:t>Over</w:t>
      </w:r>
      <w:r w:rsidR="00C63F8F" w:rsidRPr="00E27443">
        <w:t xml:space="preserve"> </w:t>
      </w:r>
      <w:r w:rsidRPr="00E27443">
        <w:t>the</w:t>
      </w:r>
      <w:r w:rsidR="00C63F8F" w:rsidRPr="00E27443">
        <w:t xml:space="preserve"> </w:t>
      </w:r>
      <w:r w:rsidRPr="00E27443">
        <w:t>past</w:t>
      </w:r>
      <w:r w:rsidR="00C63F8F" w:rsidRPr="00E27443">
        <w:t xml:space="preserve"> </w:t>
      </w:r>
      <w:r w:rsidRPr="00E27443">
        <w:t>year</w:t>
      </w:r>
      <w:r w:rsidR="00C63F8F" w:rsidRPr="00E27443">
        <w:t xml:space="preserve"> </w:t>
      </w:r>
      <w:r w:rsidRPr="00E27443">
        <w:t>the</w:t>
      </w:r>
      <w:r w:rsidR="00C63F8F" w:rsidRPr="00E27443">
        <w:t xml:space="preserve"> </w:t>
      </w:r>
      <w:r w:rsidRPr="00E27443">
        <w:t>Institute</w:t>
      </w:r>
      <w:r w:rsidR="00C63F8F" w:rsidRPr="00E27443">
        <w:t xml:space="preserve"> </w:t>
      </w:r>
      <w:r w:rsidRPr="00E27443">
        <w:t>has</w:t>
      </w:r>
      <w:r w:rsidR="00C63F8F" w:rsidRPr="00E27443">
        <w:t xml:space="preserve"> </w:t>
      </w:r>
      <w:r w:rsidRPr="00E27443">
        <w:t>conducted,</w:t>
      </w:r>
      <w:r w:rsidR="00C63F8F" w:rsidRPr="00E27443">
        <w:t xml:space="preserve"> </w:t>
      </w:r>
      <w:r w:rsidRPr="00E27443">
        <w:t>and</w:t>
      </w:r>
      <w:r w:rsidR="00C63F8F" w:rsidRPr="00E27443">
        <w:t xml:space="preserve"> </w:t>
      </w:r>
      <w:r w:rsidRPr="00E27443">
        <w:t>during</w:t>
      </w:r>
      <w:r w:rsidR="00C63F8F" w:rsidRPr="00E27443">
        <w:t xml:space="preserve"> </w:t>
      </w:r>
      <w:r w:rsidRPr="00E27443">
        <w:t>2011</w:t>
      </w:r>
      <w:r w:rsidR="00C63F8F" w:rsidRPr="00E27443">
        <w:t xml:space="preserve"> </w:t>
      </w:r>
      <w:r w:rsidRPr="00E27443">
        <w:t>it</w:t>
      </w:r>
      <w:r w:rsidR="00C63F8F" w:rsidRPr="00E27443">
        <w:t xml:space="preserve"> </w:t>
      </w:r>
      <w:r w:rsidRPr="00E27443">
        <w:t>will</w:t>
      </w:r>
      <w:r w:rsidR="00C63F8F" w:rsidRPr="00E27443">
        <w:t xml:space="preserve"> </w:t>
      </w:r>
      <w:r w:rsidRPr="00E27443">
        <w:t>continue</w:t>
      </w:r>
      <w:r w:rsidR="00C63F8F" w:rsidRPr="00E27443">
        <w:t xml:space="preserve"> </w:t>
      </w:r>
      <w:r w:rsidRPr="00E27443">
        <w:t>the</w:t>
      </w:r>
      <w:r w:rsidR="00C63F8F" w:rsidRPr="00E27443">
        <w:t xml:space="preserve"> </w:t>
      </w:r>
      <w:r w:rsidRPr="00E27443">
        <w:t>work</w:t>
      </w:r>
      <w:r w:rsidR="00C63F8F" w:rsidRPr="00E27443">
        <w:t xml:space="preserve"> </w:t>
      </w:r>
      <w:r w:rsidRPr="00E27443">
        <w:t>to</w:t>
      </w:r>
      <w:r w:rsidR="00C63F8F" w:rsidRPr="00E27443">
        <w:t xml:space="preserve"> </w:t>
      </w:r>
      <w:r w:rsidRPr="00E27443">
        <w:t>promote</w:t>
      </w:r>
      <w:r w:rsidR="00C63F8F" w:rsidRPr="00E27443">
        <w:t xml:space="preserve"> </w:t>
      </w:r>
      <w:r w:rsidRPr="00E27443">
        <w:t>good</w:t>
      </w:r>
      <w:r w:rsidR="00C63F8F" w:rsidRPr="00E27443">
        <w:t xml:space="preserve"> </w:t>
      </w:r>
      <w:r w:rsidRPr="00E27443">
        <w:t>eating</w:t>
      </w:r>
      <w:r w:rsidR="00C63F8F" w:rsidRPr="00E27443">
        <w:t xml:space="preserve"> </w:t>
      </w:r>
      <w:r w:rsidRPr="00E27443">
        <w:t>habits</w:t>
      </w:r>
      <w:r w:rsidR="00C63F8F" w:rsidRPr="00E27443">
        <w:t xml:space="preserve"> </w:t>
      </w:r>
      <w:r w:rsidRPr="00E27443">
        <w:t>and</w:t>
      </w:r>
      <w:r w:rsidR="00C63F8F" w:rsidRPr="00E27443">
        <w:t xml:space="preserve"> </w:t>
      </w:r>
      <w:r w:rsidRPr="00E27443">
        <w:t>physical</w:t>
      </w:r>
      <w:r w:rsidR="00C63F8F" w:rsidRPr="00E27443">
        <w:t xml:space="preserve"> </w:t>
      </w:r>
      <w:r w:rsidRPr="00E27443">
        <w:t>activity</w:t>
      </w:r>
      <w:r w:rsidR="00C63F8F" w:rsidRPr="00E27443">
        <w:t xml:space="preserve"> </w:t>
      </w:r>
      <w:r w:rsidRPr="00E27443">
        <w:t>(</w:t>
      </w:r>
      <w:r w:rsidR="00C63F8F" w:rsidRPr="00E27443">
        <w:t>‘</w:t>
      </w:r>
      <w:r w:rsidRPr="00E27443">
        <w:t>Ett</w:t>
      </w:r>
      <w:r w:rsidR="00C63F8F" w:rsidRPr="00E27443">
        <w:t xml:space="preserve"> </w:t>
      </w:r>
      <w:r w:rsidRPr="00E27443">
        <w:t>friskare</w:t>
      </w:r>
      <w:r w:rsidR="00C63F8F" w:rsidRPr="00E27443">
        <w:t xml:space="preserve"> </w:t>
      </w:r>
      <w:r w:rsidRPr="00E27443">
        <w:t>Sverige</w:t>
      </w:r>
      <w:r w:rsidR="00C63F8F" w:rsidRPr="00E27443">
        <w:t xml:space="preserve">’ </w:t>
      </w:r>
      <w:r w:rsidRPr="00E27443">
        <w:t>[A</w:t>
      </w:r>
      <w:r w:rsidR="00C63F8F" w:rsidRPr="00E27443">
        <w:t xml:space="preserve"> </w:t>
      </w:r>
      <w:r w:rsidRPr="00E27443">
        <w:t>healthier</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A</w:t>
      </w:r>
      <w:r w:rsidR="00C63F8F" w:rsidRPr="00E27443">
        <w:t xml:space="preserve"> </w:t>
      </w:r>
      <w:r w:rsidRPr="00E27443">
        <w:t>website</w:t>
      </w:r>
      <w:r w:rsidR="00C63F8F" w:rsidRPr="00E27443">
        <w:t xml:space="preserve"> </w:t>
      </w:r>
      <w:r w:rsidRPr="00E27443">
        <w:t>for</w:t>
      </w:r>
      <w:r w:rsidR="00C63F8F" w:rsidRPr="00E27443">
        <w:t xml:space="preserve"> </w:t>
      </w:r>
      <w:r w:rsidRPr="00E27443">
        <w:t>the</w:t>
      </w:r>
      <w:r w:rsidR="00C63F8F" w:rsidRPr="00E27443">
        <w:t xml:space="preserve"> </w:t>
      </w:r>
      <w:r w:rsidRPr="00E27443">
        <w:t>project</w:t>
      </w:r>
      <w:r w:rsidR="00C63F8F" w:rsidRPr="00E27443">
        <w:t xml:space="preserve"> </w:t>
      </w:r>
      <w:r w:rsidRPr="00E27443">
        <w:t>contains</w:t>
      </w:r>
      <w:r w:rsidR="00C63F8F" w:rsidRPr="00E27443">
        <w:t xml:space="preserve"> </w:t>
      </w:r>
      <w:r w:rsidRPr="00E27443">
        <w:t>information</w:t>
      </w:r>
      <w:r w:rsidR="00C63F8F" w:rsidRPr="00E27443">
        <w:t xml:space="preserve"> </w:t>
      </w:r>
      <w:r w:rsidRPr="00E27443">
        <w:t>in</w:t>
      </w:r>
      <w:r w:rsidR="00C63F8F" w:rsidRPr="00E27443">
        <w:t xml:space="preserve"> </w:t>
      </w:r>
      <w:r w:rsidRPr="00E27443">
        <w:t>easy-to-read</w:t>
      </w:r>
      <w:r w:rsidR="00C63F8F" w:rsidRPr="00E27443">
        <w:t xml:space="preserve"> </w:t>
      </w:r>
      <w:r w:rsidRPr="00E27443">
        <w:t>Swedish</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other</w:t>
      </w:r>
      <w:r w:rsidR="00C63F8F" w:rsidRPr="00E27443">
        <w:t xml:space="preserve"> </w:t>
      </w:r>
      <w:r w:rsidRPr="00E27443">
        <w:t>alternative</w:t>
      </w:r>
      <w:r w:rsidR="00C63F8F" w:rsidRPr="00E27443">
        <w:t xml:space="preserve"> </w:t>
      </w:r>
      <w:r w:rsidRPr="00E27443">
        <w:t>formats.</w:t>
      </w:r>
      <w:r w:rsidR="00C63F8F" w:rsidRPr="00E27443">
        <w:t xml:space="preserve"> </w:t>
      </w:r>
      <w:r w:rsidRPr="00E27443">
        <w:t>Reports</w:t>
      </w:r>
      <w:r w:rsidR="00C63F8F" w:rsidRPr="00E27443">
        <w:t xml:space="preserve"> </w:t>
      </w:r>
      <w:r w:rsidRPr="00E27443">
        <w:t>at</w:t>
      </w:r>
      <w:r w:rsidR="00C63F8F" w:rsidRPr="00E27443">
        <w:t xml:space="preserve"> </w:t>
      </w:r>
      <w:r w:rsidRPr="00E27443">
        <w:t>the</w:t>
      </w:r>
      <w:r w:rsidR="00C63F8F" w:rsidRPr="00E27443">
        <w:t xml:space="preserve"> </w:t>
      </w:r>
      <w:r w:rsidRPr="00E27443">
        <w:t>Institute</w:t>
      </w:r>
      <w:r w:rsidR="00C63F8F" w:rsidRPr="00E27443">
        <w:t xml:space="preserve"> </w:t>
      </w:r>
      <w:r w:rsidRPr="00E27443">
        <w:t>relating</w:t>
      </w:r>
      <w:r w:rsidR="00C63F8F" w:rsidRPr="00E27443">
        <w:t xml:space="preserve"> </w:t>
      </w:r>
      <w:r w:rsidRPr="00E27443">
        <w:t>to</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disability</w:t>
      </w:r>
      <w:r w:rsidR="00C63F8F" w:rsidRPr="00E27443">
        <w:t xml:space="preserve"> </w:t>
      </w:r>
      <w:r w:rsidRPr="00E27443">
        <w:t>are</w:t>
      </w:r>
      <w:r w:rsidR="00C63F8F" w:rsidRPr="00E27443">
        <w:t xml:space="preserve"> </w:t>
      </w:r>
      <w:r w:rsidRPr="00E27443">
        <w:t>also</w:t>
      </w:r>
      <w:r w:rsidR="00C63F8F" w:rsidRPr="00E27443">
        <w:t xml:space="preserve"> </w:t>
      </w:r>
      <w:r w:rsidRPr="00E27443">
        <w:t>now</w:t>
      </w:r>
      <w:r w:rsidR="00C63F8F" w:rsidRPr="00E27443">
        <w:t xml:space="preserve"> </w:t>
      </w:r>
      <w:r w:rsidRPr="00E27443">
        <w:t>produced</w:t>
      </w:r>
      <w:r w:rsidR="00C63F8F" w:rsidRPr="00E27443">
        <w:t xml:space="preserve"> </w:t>
      </w:r>
      <w:r w:rsidRPr="00E27443">
        <w:t>increasingly</w:t>
      </w:r>
      <w:r w:rsidR="00C63F8F" w:rsidRPr="00E27443">
        <w:t xml:space="preserve"> </w:t>
      </w:r>
      <w:r w:rsidRPr="00E27443">
        <w:t>in</w:t>
      </w:r>
      <w:r w:rsidR="00C63F8F" w:rsidRPr="00E27443">
        <w:t xml:space="preserve"> </w:t>
      </w:r>
      <w:r w:rsidRPr="00E27443">
        <w:t>alternative</w:t>
      </w:r>
      <w:r w:rsidR="00C63F8F" w:rsidRPr="00E27443">
        <w:t xml:space="preserve"> </w:t>
      </w:r>
      <w:r w:rsidRPr="00E27443">
        <w:t>formats,</w:t>
      </w:r>
      <w:r w:rsidR="00C63F8F" w:rsidRPr="00E27443">
        <w:t xml:space="preserve"> </w:t>
      </w:r>
      <w:r w:rsidRPr="00E27443">
        <w:t>i.e.</w:t>
      </w:r>
      <w:r w:rsidR="00C63F8F" w:rsidRPr="00E27443">
        <w:t xml:space="preserve"> </w:t>
      </w:r>
      <w:r w:rsidRPr="00E27443">
        <w:t>braille,</w:t>
      </w:r>
      <w:r w:rsidR="00C63F8F" w:rsidRPr="00E27443">
        <w:t xml:space="preserve"> </w:t>
      </w:r>
      <w:r w:rsidRPr="00E27443">
        <w:t>spoken</w:t>
      </w:r>
      <w:r w:rsidR="00C63F8F" w:rsidRPr="00E27443">
        <w:t xml:space="preserve"> </w:t>
      </w:r>
      <w:r w:rsidRPr="00E27443">
        <w:t>or</w:t>
      </w:r>
      <w:r w:rsidR="00C63F8F" w:rsidRPr="00E27443">
        <w:t xml:space="preserve"> </w:t>
      </w:r>
      <w:r w:rsidRPr="00E27443">
        <w:t>signed</w:t>
      </w:r>
      <w:r w:rsidR="00C63F8F" w:rsidRPr="00E27443">
        <w:t xml:space="preserve"> </w:t>
      </w:r>
      <w:r w:rsidRPr="00E27443">
        <w:t>text.</w:t>
      </w:r>
    </w:p>
    <w:p w:rsidR="00321ADA" w:rsidRPr="00E27443" w:rsidRDefault="00321ADA" w:rsidP="00A00C00">
      <w:pPr>
        <w:pStyle w:val="SingleTxtG"/>
        <w:numPr>
          <w:ilvl w:val="0"/>
          <w:numId w:val="20"/>
        </w:numPr>
        <w:tabs>
          <w:tab w:val="left" w:pos="1843"/>
        </w:tabs>
        <w:ind w:left="1134" w:firstLine="0"/>
      </w:pPr>
      <w:r w:rsidRPr="00E27443">
        <w:t>Through</w:t>
      </w:r>
      <w:r w:rsidR="00C63F8F" w:rsidRPr="00E27443">
        <w:t xml:space="preserve"> </w:t>
      </w:r>
      <w:r w:rsidRPr="00E27443">
        <w:t>State</w:t>
      </w:r>
      <w:r w:rsidR="00C63F8F" w:rsidRPr="00E27443">
        <w:t xml:space="preserve"> </w:t>
      </w:r>
      <w:r w:rsidRPr="00E27443">
        <w:t>subsidies,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invested</w:t>
      </w:r>
      <w:r w:rsidR="00C63F8F" w:rsidRPr="00E27443">
        <w:t xml:space="preserve"> </w:t>
      </w:r>
      <w:r w:rsidRPr="00E27443">
        <w:t>in</w:t>
      </w:r>
      <w:r w:rsidR="00C63F8F" w:rsidRPr="00E27443">
        <w:t xml:space="preserve"> </w:t>
      </w:r>
      <w:r w:rsidRPr="00E27443">
        <w:t>greater</w:t>
      </w:r>
      <w:r w:rsidR="00C63F8F" w:rsidRPr="00E27443">
        <w:t xml:space="preserve"> </w:t>
      </w:r>
      <w:r w:rsidRPr="00A00C00">
        <w:t>expertise</w:t>
      </w:r>
      <w:r w:rsidR="00C63F8F" w:rsidRPr="00A00C00">
        <w:t xml:space="preserve"> </w:t>
      </w:r>
      <w:r w:rsidRPr="00A00C00">
        <w:t>for</w:t>
      </w:r>
      <w:r w:rsidR="00C63F8F" w:rsidRPr="00A00C00">
        <w:t xml:space="preserve"> </w:t>
      </w:r>
      <w:r w:rsidRPr="00A00C00">
        <w:t>personnel</w:t>
      </w:r>
      <w:r w:rsidR="00C63F8F" w:rsidRPr="00E27443">
        <w:t xml:space="preserve"> </w:t>
      </w:r>
      <w:r w:rsidRPr="00E27443">
        <w:t>who,</w:t>
      </w:r>
      <w:r w:rsidR="00C63F8F" w:rsidRPr="00E27443">
        <w:t xml:space="preserve"> </w:t>
      </w:r>
      <w:r w:rsidRPr="00E27443">
        <w:t>in</w:t>
      </w:r>
      <w:r w:rsidR="00C63F8F" w:rsidRPr="00E27443">
        <w:t xml:space="preserve"> </w:t>
      </w:r>
      <w:r w:rsidRPr="00E27443">
        <w:t>their</w:t>
      </w:r>
      <w:r w:rsidR="00C63F8F" w:rsidRPr="00E27443">
        <w:t xml:space="preserve"> </w:t>
      </w:r>
      <w:r w:rsidRPr="00E27443">
        <w:t>work,</w:t>
      </w:r>
      <w:r w:rsidR="00C63F8F" w:rsidRPr="00E27443">
        <w:t xml:space="preserve"> </w:t>
      </w:r>
      <w:r w:rsidRPr="00E27443">
        <w:t>come</w:t>
      </w:r>
      <w:r w:rsidR="00C63F8F" w:rsidRPr="00E27443">
        <w:t xml:space="preserve"> </w:t>
      </w:r>
      <w:r w:rsidRPr="00E27443">
        <w:t>into</w:t>
      </w:r>
      <w:r w:rsidR="00C63F8F" w:rsidRPr="00E27443">
        <w:t xml:space="preserve"> </w:t>
      </w:r>
      <w:r w:rsidRPr="00E27443">
        <w:t>contact</w:t>
      </w:r>
      <w:r w:rsidR="00C63F8F" w:rsidRPr="00E27443">
        <w:t xml:space="preserve"> </w:t>
      </w:r>
      <w:r w:rsidRPr="00E27443">
        <w:t>with</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mental</w:t>
      </w:r>
      <w:r w:rsidR="00C63F8F" w:rsidRPr="00E27443">
        <w:t xml:space="preserve"> </w:t>
      </w:r>
      <w:r w:rsidRPr="00E27443">
        <w:t>illness</w:t>
      </w:r>
      <w:r w:rsidR="00C63F8F" w:rsidRPr="00E27443">
        <w:t xml:space="preserve"> </w:t>
      </w:r>
      <w:r w:rsidRPr="00E27443">
        <w:t>or</w:t>
      </w:r>
      <w:r w:rsidR="00C63F8F" w:rsidRPr="00E27443">
        <w:t xml:space="preserve"> </w:t>
      </w:r>
      <w:r w:rsidRPr="00E27443">
        <w:t>mental</w:t>
      </w:r>
      <w:r w:rsidR="00C63F8F" w:rsidRPr="00E27443">
        <w:t xml:space="preserve"> </w:t>
      </w:r>
      <w:r w:rsidRPr="00E27443">
        <w:t>disability.</w:t>
      </w:r>
      <w:r w:rsidR="00C63F8F" w:rsidRPr="00E27443">
        <w:t xml:space="preserve"> </w:t>
      </w:r>
      <w:r w:rsidRPr="00E27443">
        <w:t>The</w:t>
      </w:r>
      <w:r w:rsidR="00C63F8F" w:rsidRPr="00E27443">
        <w:t xml:space="preserve"> </w:t>
      </w:r>
      <w:r w:rsidRPr="00E27443">
        <w:t>State</w:t>
      </w:r>
      <w:r w:rsidR="00C63F8F" w:rsidRPr="00E27443">
        <w:t xml:space="preserve"> </w:t>
      </w:r>
      <w:r w:rsidRPr="00E27443">
        <w:t>subsidies</w:t>
      </w:r>
      <w:r w:rsidR="00C63F8F" w:rsidRPr="00E27443">
        <w:t xml:space="preserve"> </w:t>
      </w:r>
      <w:r w:rsidRPr="00E27443">
        <w:t>have</w:t>
      </w:r>
      <w:r w:rsidR="00C63F8F" w:rsidRPr="00E27443">
        <w:t xml:space="preserve"> </w:t>
      </w:r>
      <w:r w:rsidRPr="00E27443">
        <w:t>been</w:t>
      </w:r>
      <w:r w:rsidR="00C63F8F" w:rsidRPr="00E27443">
        <w:t xml:space="preserve"> </w:t>
      </w:r>
      <w:r w:rsidRPr="00E27443">
        <w:t>paid</w:t>
      </w:r>
      <w:r w:rsidR="00C63F8F" w:rsidRPr="00E27443">
        <w:t xml:space="preserve"> </w:t>
      </w:r>
      <w:r w:rsidRPr="00E27443">
        <w:t>out</w:t>
      </w:r>
      <w:r w:rsidR="00C63F8F" w:rsidRPr="00E27443">
        <w:t xml:space="preserve"> </w:t>
      </w:r>
      <w:r w:rsidRPr="00E27443">
        <w:t>to</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to</w:t>
      </w:r>
      <w:r w:rsidR="00C63F8F" w:rsidRPr="00E27443">
        <w:t xml:space="preserve"> </w:t>
      </w:r>
      <w:r w:rsidRPr="00E27443">
        <w:t>train</w:t>
      </w:r>
      <w:r w:rsidR="00C63F8F" w:rsidRPr="00E27443">
        <w:t xml:space="preserve"> </w:t>
      </w:r>
      <w:r w:rsidRPr="00E27443">
        <w:t>personnel</w:t>
      </w:r>
      <w:r w:rsidR="00C63F8F" w:rsidRPr="00E27443">
        <w:t xml:space="preserve"> </w:t>
      </w:r>
      <w:r w:rsidRPr="00E27443">
        <w:t>within</w:t>
      </w:r>
      <w:r w:rsidR="00C63F8F" w:rsidRPr="00E27443">
        <w:t xml:space="preserve"> </w:t>
      </w:r>
      <w:r w:rsidRPr="00E27443">
        <w:t>the</w:t>
      </w:r>
      <w:r w:rsidR="00C63F8F" w:rsidRPr="00E27443">
        <w:t xml:space="preserve"> </w:t>
      </w:r>
      <w:r w:rsidRPr="00E27443">
        <w:t>fields</w:t>
      </w:r>
      <w:r w:rsidR="00C63F8F" w:rsidRPr="00E27443">
        <w:t xml:space="preserve"> </w:t>
      </w:r>
      <w:r w:rsidRPr="00E27443">
        <w:t>of</w:t>
      </w:r>
      <w:r w:rsidR="00C63F8F" w:rsidRPr="00E27443">
        <w:t xml:space="preserve"> </w:t>
      </w:r>
      <w:r w:rsidRPr="00E27443">
        <w:t>care/treatment,</w:t>
      </w:r>
      <w:r w:rsidR="00C63F8F" w:rsidRPr="00E27443">
        <w:t xml:space="preserve"> </w:t>
      </w:r>
      <w:r w:rsidRPr="00E27443">
        <w:t>housing,</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employment</w:t>
      </w:r>
      <w:r w:rsidR="00C63F8F" w:rsidRPr="00E27443">
        <w:t xml:space="preserve"> </w:t>
      </w:r>
      <w:r w:rsidRPr="00E27443">
        <w:t>and</w:t>
      </w:r>
      <w:r w:rsidR="00C63F8F" w:rsidRPr="00E27443">
        <w:t xml:space="preserve"> </w:t>
      </w:r>
      <w:r w:rsidRPr="00E27443">
        <w:t>rehabilitation</w:t>
      </w:r>
      <w:r w:rsidR="00C63F8F" w:rsidRPr="00E27443">
        <w:t xml:space="preserve"> </w:t>
      </w:r>
      <w:r w:rsidRPr="00E27443">
        <w:t>for</w:t>
      </w:r>
      <w:r w:rsidR="00C63F8F" w:rsidRPr="00E27443">
        <w:t xml:space="preserve"> </w:t>
      </w:r>
      <w:r w:rsidRPr="00E27443">
        <w:t>work.</w:t>
      </w:r>
      <w:r w:rsidR="00C63F8F" w:rsidRPr="00E27443">
        <w:t xml:space="preserve"> </w:t>
      </w:r>
      <w:r w:rsidRPr="00E27443">
        <w:t>The</w:t>
      </w:r>
      <w:r w:rsidR="00C63F8F" w:rsidRPr="00E27443">
        <w:t xml:space="preserve"> </w:t>
      </w:r>
      <w:r w:rsidRPr="00E27443">
        <w:t>specific</w:t>
      </w:r>
      <w:r w:rsidR="00C63F8F" w:rsidRPr="00E27443">
        <w:t xml:space="preserve"> </w:t>
      </w:r>
      <w:r w:rsidRPr="00E27443">
        <w:t>funds</w:t>
      </w:r>
      <w:r w:rsidR="00C63F8F" w:rsidRPr="00E27443">
        <w:t xml:space="preserve"> </w:t>
      </w:r>
      <w:r w:rsidRPr="00E27443">
        <w:t>have</w:t>
      </w:r>
      <w:r w:rsidR="00C63F8F" w:rsidRPr="00E27443">
        <w:t xml:space="preserve"> </w:t>
      </w:r>
      <w:r w:rsidRPr="00E27443">
        <w:t>contributed</w:t>
      </w:r>
      <w:r w:rsidR="00C63F8F" w:rsidRPr="00E27443">
        <w:t xml:space="preserve"> </w:t>
      </w:r>
      <w:r w:rsidRPr="00E27443">
        <w:t>to</w:t>
      </w:r>
      <w:r w:rsidR="00C63F8F" w:rsidRPr="00E27443">
        <w:t xml:space="preserve"> </w:t>
      </w:r>
      <w:r w:rsidRPr="00E27443">
        <w:t>comprehensive</w:t>
      </w:r>
      <w:r w:rsidR="00C63F8F" w:rsidRPr="00E27443">
        <w:t xml:space="preserve"> </w:t>
      </w:r>
      <w:r w:rsidRPr="00E27443">
        <w:t>skills</w:t>
      </w:r>
      <w:r w:rsidR="00C63F8F" w:rsidRPr="00E27443">
        <w:t xml:space="preserve"> </w:t>
      </w:r>
      <w:r w:rsidRPr="00E27443">
        <w:t>investments</w:t>
      </w:r>
      <w:r w:rsidR="00C63F8F" w:rsidRPr="00E27443">
        <w:t xml:space="preserve"> </w:t>
      </w:r>
      <w:r w:rsidRPr="00E27443">
        <w:t>throughout</w:t>
      </w:r>
      <w:r w:rsidR="00C63F8F" w:rsidRPr="00E27443">
        <w:t xml:space="preserve"> </w:t>
      </w:r>
      <w:r w:rsidRPr="00E27443">
        <w:t>the</w:t>
      </w:r>
      <w:r w:rsidR="00C63F8F" w:rsidRPr="00E27443">
        <w:t xml:space="preserve"> </w:t>
      </w:r>
      <w:r w:rsidRPr="00E27443">
        <w:t>country.</w:t>
      </w:r>
      <w:r w:rsidR="00C63F8F" w:rsidRPr="00E27443">
        <w:t xml:space="preserve"> </w:t>
      </w:r>
      <w:r w:rsidRPr="00E27443">
        <w:t>The</w:t>
      </w:r>
      <w:r w:rsidR="00C63F8F" w:rsidRPr="00E27443">
        <w:t xml:space="preserve"> </w:t>
      </w:r>
      <w:r w:rsidRPr="00E27443">
        <w:t>venture</w:t>
      </w:r>
      <w:r w:rsidR="00C63F8F" w:rsidRPr="00E27443">
        <w:t xml:space="preserve"> </w:t>
      </w:r>
      <w:r w:rsidRPr="00E27443">
        <w:t>is</w:t>
      </w:r>
      <w:r w:rsidR="00C63F8F" w:rsidRPr="00E27443">
        <w:t xml:space="preserve"> </w:t>
      </w:r>
      <w:r w:rsidRPr="00E27443">
        <w:t>characterised</w:t>
      </w:r>
      <w:r w:rsidR="00C63F8F" w:rsidRPr="00E27443">
        <w:t xml:space="preserve"> </w:t>
      </w:r>
      <w:r w:rsidRPr="00E27443">
        <w:t>by</w:t>
      </w:r>
      <w:r w:rsidR="00C63F8F" w:rsidRPr="00E27443">
        <w:t xml:space="preserve"> </w:t>
      </w:r>
      <w:r w:rsidRPr="00E27443">
        <w:t>clear</w:t>
      </w:r>
      <w:r w:rsidR="00C63F8F" w:rsidRPr="00E27443">
        <w:t xml:space="preserve"> </w:t>
      </w:r>
      <w:r w:rsidRPr="00E27443">
        <w:t>user</w:t>
      </w:r>
      <w:r w:rsidR="00C63F8F" w:rsidRPr="00E27443">
        <w:t xml:space="preserve"> </w:t>
      </w:r>
      <w:r w:rsidRPr="00E27443">
        <w:t>awareness,</w:t>
      </w:r>
      <w:r w:rsidR="00C63F8F" w:rsidRPr="00E27443">
        <w:t xml:space="preserve"> </w:t>
      </w:r>
      <w:r w:rsidRPr="00E27443">
        <w:t>reinforced</w:t>
      </w:r>
      <w:r w:rsidR="00C63F8F" w:rsidRPr="00E27443">
        <w:t xml:space="preserve"> </w:t>
      </w:r>
      <w:r w:rsidRPr="00E27443">
        <w:t>collaboration</w:t>
      </w:r>
      <w:r w:rsidR="00C63F8F" w:rsidRPr="00E27443">
        <w:t xml:space="preserve"> </w:t>
      </w:r>
      <w:r w:rsidRPr="00E27443">
        <w:t>and</w:t>
      </w:r>
      <w:r w:rsidR="00C63F8F" w:rsidRPr="00E27443">
        <w:t xml:space="preserve"> </w:t>
      </w:r>
      <w:r w:rsidRPr="00E27443">
        <w:t>long-term</w:t>
      </w:r>
      <w:r w:rsidR="00C63F8F" w:rsidRPr="00E27443">
        <w:t xml:space="preserve"> </w:t>
      </w:r>
      <w:r w:rsidRPr="00E27443">
        <w:t>ambitions,</w:t>
      </w:r>
      <w:r w:rsidR="00C63F8F" w:rsidRPr="00E27443">
        <w:t xml:space="preserve"> </w:t>
      </w:r>
      <w:r w:rsidRPr="00E27443">
        <w:t>and</w:t>
      </w:r>
      <w:r w:rsidR="00C63F8F" w:rsidRPr="00E27443">
        <w:t xml:space="preserve"> </w:t>
      </w:r>
      <w:r w:rsidRPr="00E27443">
        <w:t>includes</w:t>
      </w:r>
      <w:r w:rsidR="00C63F8F" w:rsidRPr="00E27443">
        <w:t xml:space="preserve"> </w:t>
      </w:r>
      <w:r w:rsidRPr="00E27443">
        <w:t>important</w:t>
      </w:r>
      <w:r w:rsidR="00C63F8F" w:rsidRPr="00E27443">
        <w:t xml:space="preserve"> </w:t>
      </w:r>
      <w:r w:rsidRPr="00E27443">
        <w:t>steps</w:t>
      </w:r>
      <w:r w:rsidR="00C63F8F" w:rsidRPr="00E27443">
        <w:t xml:space="preserve"> </w:t>
      </w:r>
      <w:r w:rsidRPr="00E27443">
        <w:t>towards</w:t>
      </w:r>
      <w:r w:rsidR="00C63F8F" w:rsidRPr="00E27443">
        <w:t xml:space="preserve"> </w:t>
      </w:r>
      <w:r w:rsidRPr="00E27443">
        <w:t>evidence-based</w:t>
      </w:r>
      <w:r w:rsidR="00C63F8F" w:rsidRPr="00E27443">
        <w:t xml:space="preserve"> </w:t>
      </w:r>
      <w:r w:rsidRPr="00E27443">
        <w:t>practice.</w:t>
      </w:r>
      <w:r w:rsidR="00C63F8F" w:rsidRPr="00E27443">
        <w:t xml:space="preserve"> </w:t>
      </w:r>
      <w:r w:rsidRPr="00E27443">
        <w:t>Patient,</w:t>
      </w:r>
      <w:r w:rsidR="00C63F8F" w:rsidRPr="00E27443">
        <w:t xml:space="preserve"> </w:t>
      </w:r>
      <w:r w:rsidRPr="00E27443">
        <w:t>user</w:t>
      </w:r>
      <w:r w:rsidR="00C63F8F" w:rsidRPr="00E27443">
        <w:t xml:space="preserve"> </w:t>
      </w:r>
      <w:r w:rsidRPr="00E27443">
        <w:t>and</w:t>
      </w:r>
      <w:r w:rsidR="00C63F8F" w:rsidRPr="00E27443">
        <w:t xml:space="preserve"> </w:t>
      </w:r>
      <w:r w:rsidRPr="00E27443">
        <w:t>relatives</w:t>
      </w:r>
      <w:r w:rsidR="00C63F8F" w:rsidRPr="00E27443">
        <w:t xml:space="preserve">’ </w:t>
      </w:r>
      <w:r w:rsidRPr="00E27443">
        <w:t>organisations</w:t>
      </w:r>
      <w:r w:rsidR="00C63F8F" w:rsidRPr="00E27443">
        <w:t xml:space="preserve"> </w:t>
      </w:r>
      <w:r w:rsidRPr="00E27443">
        <w:t>are</w:t>
      </w:r>
      <w:r w:rsidR="00C63F8F" w:rsidRPr="00E27443">
        <w:t xml:space="preserve"> </w:t>
      </w:r>
      <w:r w:rsidRPr="00E27443">
        <w:t>actively</w:t>
      </w:r>
      <w:r w:rsidR="00C63F8F" w:rsidRPr="00E27443">
        <w:t xml:space="preserve"> </w:t>
      </w:r>
      <w:r w:rsidRPr="00E27443">
        <w:t>involved</w:t>
      </w:r>
      <w:r w:rsidR="00C63F8F" w:rsidRPr="00E27443">
        <w:t xml:space="preserve"> </w:t>
      </w:r>
      <w:r w:rsidRPr="00E27443">
        <w:t>in</w:t>
      </w:r>
      <w:r w:rsidR="00C63F8F" w:rsidRPr="00E27443">
        <w:t xml:space="preserve"> </w:t>
      </w:r>
      <w:r w:rsidRPr="00E27443">
        <w:t>the</w:t>
      </w:r>
      <w:r w:rsidR="00C63F8F" w:rsidRPr="00E27443">
        <w:t xml:space="preserve"> </w:t>
      </w:r>
      <w:r w:rsidRPr="00E27443">
        <w:t>planning</w:t>
      </w:r>
      <w:r w:rsidR="00C63F8F" w:rsidRPr="00E27443">
        <w:t xml:space="preserve"> </w:t>
      </w:r>
      <w:r w:rsidRPr="00E27443">
        <w:t>and</w:t>
      </w:r>
      <w:r w:rsidR="00C63F8F" w:rsidRPr="00E27443">
        <w:t xml:space="preserve"> </w:t>
      </w:r>
      <w:r w:rsidRPr="00E27443">
        <w:t>implementation,</w:t>
      </w:r>
      <w:r w:rsidR="00C63F8F" w:rsidRPr="00E27443">
        <w:t xml:space="preserve"> </w:t>
      </w:r>
      <w:r w:rsidRPr="00E27443">
        <w:t>which</w:t>
      </w:r>
      <w:r w:rsidR="00C63F8F" w:rsidRPr="00E27443">
        <w:t xml:space="preserve"> </w:t>
      </w:r>
      <w:r w:rsidRPr="00E27443">
        <w:t>is</w:t>
      </w:r>
      <w:r w:rsidR="00C63F8F" w:rsidRPr="00E27443">
        <w:t xml:space="preserve"> </w:t>
      </w:r>
      <w:r w:rsidRPr="00E27443">
        <w:t>helping</w:t>
      </w:r>
      <w:r w:rsidR="00C63F8F" w:rsidRPr="00E27443">
        <w:t xml:space="preserve"> </w:t>
      </w:r>
      <w:r w:rsidRPr="00E27443">
        <w:t>to</w:t>
      </w:r>
      <w:r w:rsidR="00C63F8F" w:rsidRPr="00E27443">
        <w:t xml:space="preserve"> </w:t>
      </w:r>
      <w:r w:rsidRPr="00E27443">
        <w:t>make</w:t>
      </w:r>
      <w:r w:rsidR="00C63F8F" w:rsidRPr="00E27443">
        <w:t xml:space="preserve"> </w:t>
      </w:r>
      <w:r w:rsidRPr="00E27443">
        <w:t>the</w:t>
      </w:r>
      <w:r w:rsidR="00C63F8F" w:rsidRPr="00E27443">
        <w:t xml:space="preserve"> </w:t>
      </w:r>
      <w:r w:rsidRPr="00E27443">
        <w:t>venture</w:t>
      </w:r>
      <w:r w:rsidR="00C63F8F" w:rsidRPr="00E27443">
        <w:t xml:space="preserve"> </w:t>
      </w:r>
      <w:r w:rsidRPr="00E27443">
        <w:t>a</w:t>
      </w:r>
      <w:r w:rsidR="00C63F8F" w:rsidRPr="00E27443">
        <w:t xml:space="preserve"> </w:t>
      </w:r>
      <w:r w:rsidRPr="00E27443">
        <w:t>success.</w:t>
      </w:r>
    </w:p>
    <w:p w:rsidR="00321ADA" w:rsidRPr="00E27443" w:rsidRDefault="00321ADA" w:rsidP="00A00C00">
      <w:pPr>
        <w:pStyle w:val="SingleTxtG"/>
        <w:numPr>
          <w:ilvl w:val="0"/>
          <w:numId w:val="20"/>
        </w:numPr>
        <w:tabs>
          <w:tab w:val="left" w:pos="1843"/>
        </w:tabs>
        <w:ind w:left="1134" w:firstLine="0"/>
      </w:pPr>
      <w:r w:rsidRPr="00E27443">
        <w:t>Various</w:t>
      </w:r>
      <w:r w:rsidR="00C63F8F" w:rsidRPr="00E27443">
        <w:t xml:space="preserve"> </w:t>
      </w:r>
      <w:r w:rsidRPr="00E27443">
        <w:t>treatments</w:t>
      </w:r>
      <w:r w:rsidR="00C63F8F" w:rsidRPr="00E27443">
        <w:t xml:space="preserve"> </w:t>
      </w:r>
      <w:r w:rsidRPr="00E27443">
        <w:t>are</w:t>
      </w:r>
      <w:r w:rsidR="00C63F8F" w:rsidRPr="00E27443">
        <w:t xml:space="preserve"> </w:t>
      </w:r>
      <w:r w:rsidRPr="00E27443">
        <w:t>employed</w:t>
      </w:r>
      <w:r w:rsidR="00C63F8F" w:rsidRPr="00E27443">
        <w:t xml:space="preserve"> </w:t>
      </w:r>
      <w:r w:rsidRPr="00E27443">
        <w:t>within</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For</w:t>
      </w:r>
      <w:r w:rsidR="00C63F8F" w:rsidRPr="00E27443">
        <w:t xml:space="preserve"> </w:t>
      </w:r>
      <w:r w:rsidRPr="00E27443">
        <w:t>example,</w:t>
      </w:r>
      <w:r w:rsidR="00C63F8F" w:rsidRPr="00E27443">
        <w:t xml:space="preserve"> </w:t>
      </w:r>
      <w:r w:rsidRPr="00E27443">
        <w:t>ECT</w:t>
      </w:r>
      <w:r w:rsidR="00C63F8F" w:rsidRPr="00E27443">
        <w:t xml:space="preserve"> </w:t>
      </w:r>
      <w:r w:rsidRPr="00E27443">
        <w:t>(Electroconvulsive</w:t>
      </w:r>
      <w:r w:rsidR="00C63F8F" w:rsidRPr="00E27443">
        <w:t xml:space="preserve"> </w:t>
      </w:r>
      <w:r w:rsidRPr="00E27443">
        <w:t>Treatment)</w:t>
      </w:r>
      <w:r w:rsidR="00C63F8F" w:rsidRPr="00E27443">
        <w:t xml:space="preserve"> </w:t>
      </w:r>
      <w:r w:rsidRPr="00E27443">
        <w:t>may</w:t>
      </w:r>
      <w:r w:rsidR="00C63F8F" w:rsidRPr="00E27443">
        <w:t xml:space="preserve"> </w:t>
      </w:r>
      <w:r w:rsidRPr="00E27443">
        <w:t>be</w:t>
      </w:r>
      <w:r w:rsidR="00C63F8F" w:rsidRPr="00E27443">
        <w:t xml:space="preserve"> </w:t>
      </w:r>
      <w:r w:rsidRPr="00E27443">
        <w:t>used,</w:t>
      </w:r>
      <w:r w:rsidR="00C63F8F" w:rsidRPr="00E27443">
        <w:t xml:space="preserve"> </w:t>
      </w:r>
      <w:r w:rsidRPr="00E27443">
        <w:t>for</w:t>
      </w:r>
      <w:r w:rsidR="00C63F8F" w:rsidRPr="00E27443">
        <w:t xml:space="preserve"> </w:t>
      </w:r>
      <w:r w:rsidRPr="00E27443">
        <w:t>example</w:t>
      </w:r>
      <w:r w:rsidR="00C63F8F" w:rsidRPr="00E27443">
        <w:t xml:space="preserve"> </w:t>
      </w:r>
      <w:r w:rsidRPr="00E27443">
        <w:t>when</w:t>
      </w:r>
      <w:r w:rsidR="00C63F8F" w:rsidRPr="00E27443">
        <w:t xml:space="preserve"> </w:t>
      </w:r>
      <w:r w:rsidRPr="00E27443">
        <w:t>treating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severe</w:t>
      </w:r>
      <w:r w:rsidR="00C63F8F" w:rsidRPr="00E27443">
        <w:t xml:space="preserve"> </w:t>
      </w:r>
      <w:r w:rsidRPr="00E27443">
        <w:t>depression</w:t>
      </w:r>
      <w:r w:rsidR="00C63F8F" w:rsidRPr="00E27443">
        <w:t xml:space="preserve"> </w:t>
      </w:r>
      <w:r w:rsidRPr="00E27443">
        <w:t>with</w:t>
      </w:r>
      <w:r w:rsidR="00C63F8F" w:rsidRPr="00E27443">
        <w:t xml:space="preserve"> </w:t>
      </w:r>
      <w:r w:rsidRPr="00E27443">
        <w:t>a</w:t>
      </w:r>
      <w:r w:rsidR="00C63F8F" w:rsidRPr="00E27443">
        <w:t xml:space="preserve"> </w:t>
      </w:r>
      <w:r w:rsidRPr="00E27443">
        <w:t>high</w:t>
      </w:r>
      <w:r w:rsidR="00C63F8F" w:rsidRPr="00E27443">
        <w:t xml:space="preserve"> </w:t>
      </w:r>
      <w:r w:rsidRPr="00E27443">
        <w:t>suicide</w:t>
      </w:r>
      <w:r w:rsidR="00C63F8F" w:rsidRPr="00E27443">
        <w:t xml:space="preserve"> </w:t>
      </w:r>
      <w:r w:rsidRPr="00E27443">
        <w:t>risk.</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has</w:t>
      </w:r>
      <w:r w:rsidR="00C63F8F" w:rsidRPr="00E27443">
        <w:t xml:space="preserve"> </w:t>
      </w:r>
      <w:r w:rsidRPr="00E27443">
        <w:t>strengthened</w:t>
      </w:r>
      <w:r w:rsidR="00C63F8F" w:rsidRPr="00E27443">
        <w:t xml:space="preserve"> </w:t>
      </w:r>
      <w:r w:rsidRPr="00E27443">
        <w:t>its</w:t>
      </w:r>
      <w:r w:rsidR="00C63F8F" w:rsidRPr="00E27443">
        <w:t xml:space="preserve"> </w:t>
      </w:r>
      <w:r w:rsidRPr="00E27443">
        <w:t>supervision</w:t>
      </w:r>
      <w:r w:rsidR="00C63F8F" w:rsidRPr="00E27443">
        <w:t xml:space="preserve"> </w:t>
      </w:r>
      <w:r w:rsidRPr="00E27443">
        <w:t>and</w:t>
      </w:r>
      <w:r w:rsidR="00C63F8F" w:rsidRPr="00E27443">
        <w:t xml:space="preserve"> </w:t>
      </w:r>
      <w:r w:rsidRPr="00E27443">
        <w:t>clarified</w:t>
      </w:r>
      <w:r w:rsidR="00C63F8F" w:rsidRPr="00E27443">
        <w:t xml:space="preserve"> </w:t>
      </w:r>
      <w:r w:rsidRPr="00E27443">
        <w:t>for</w:t>
      </w:r>
      <w:r w:rsidR="00C63F8F" w:rsidRPr="00E27443">
        <w:t xml:space="preserve"> </w:t>
      </w:r>
      <w:r w:rsidRPr="00E27443">
        <w:t>the</w:t>
      </w:r>
      <w:r w:rsidR="00C63F8F" w:rsidRPr="00E27443">
        <w:t xml:space="preserve"> </w:t>
      </w:r>
      <w:r w:rsidRPr="00E27443">
        <w:t>principals</w:t>
      </w:r>
      <w:r w:rsidR="00C63F8F" w:rsidRPr="00E27443">
        <w:t xml:space="preserve"> </w:t>
      </w:r>
      <w:r w:rsidRPr="00E27443">
        <w:t>(the</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their</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improved</w:t>
      </w:r>
      <w:r w:rsidR="00C63F8F" w:rsidRPr="00E27443">
        <w:t xml:space="preserve"> </w:t>
      </w:r>
      <w:r w:rsidRPr="00E27443">
        <w:t>patient</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reporting.</w:t>
      </w:r>
    </w:p>
    <w:p w:rsidR="00321ADA" w:rsidRPr="00E27443" w:rsidRDefault="00321ADA" w:rsidP="00A00C00">
      <w:pPr>
        <w:pStyle w:val="SingleTxtG"/>
        <w:numPr>
          <w:ilvl w:val="0"/>
          <w:numId w:val="20"/>
        </w:numPr>
        <w:tabs>
          <w:tab w:val="left" w:pos="1843"/>
        </w:tabs>
        <w:ind w:left="1134" w:firstLine="0"/>
      </w:pPr>
      <w:r w:rsidRPr="00E27443">
        <w:t>A</w:t>
      </w:r>
      <w:r w:rsidR="00C63F8F" w:rsidRPr="00E27443">
        <w:t xml:space="preserve"> </w:t>
      </w:r>
      <w:r w:rsidRPr="00E27443">
        <w:t>large</w:t>
      </w:r>
      <w:r w:rsidR="00C63F8F" w:rsidRPr="00E27443">
        <w:t xml:space="preserve"> </w:t>
      </w:r>
      <w:r w:rsidRPr="00E27443">
        <w:t>proportion</w:t>
      </w:r>
      <w:r w:rsidR="00C63F8F" w:rsidRPr="00E27443">
        <w:t xml:space="preserve"> </w:t>
      </w:r>
      <w:r w:rsidRPr="00E27443">
        <w:t>of</w:t>
      </w:r>
      <w:r w:rsidR="00C63F8F" w:rsidRPr="00E27443">
        <w:t xml:space="preserve"> </w:t>
      </w:r>
      <w:r w:rsidRPr="00E27443">
        <w:t>the</w:t>
      </w:r>
      <w:r w:rsidR="00C63F8F" w:rsidRPr="00E27443">
        <w:t xml:space="preserve"> </w:t>
      </w:r>
      <w:r w:rsidRPr="00E27443">
        <w:t>information</w:t>
      </w:r>
      <w:r w:rsidR="00C63F8F" w:rsidRPr="00E27443">
        <w:t xml:space="preserve"> </w:t>
      </w:r>
      <w:r w:rsidRPr="00E27443">
        <w:t>relating</w:t>
      </w:r>
      <w:r w:rsidR="00C63F8F" w:rsidRPr="00E27443">
        <w:t xml:space="preserve"> </w:t>
      </w:r>
      <w:r w:rsidRPr="00E27443">
        <w:t>to</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is</w:t>
      </w:r>
      <w:r w:rsidR="00C63F8F" w:rsidRPr="00E27443">
        <w:t xml:space="preserve"> </w:t>
      </w:r>
      <w:r w:rsidRPr="00E27443">
        <w:t>disseminated</w:t>
      </w:r>
      <w:r w:rsidR="00C63F8F" w:rsidRPr="00E27443">
        <w:t xml:space="preserve"> </w:t>
      </w:r>
      <w:r w:rsidRPr="00E27443">
        <w:t>via</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w:t>
      </w:r>
      <w:r w:rsidRPr="00E27443">
        <w:t>s</w:t>
      </w:r>
      <w:r w:rsidR="00C63F8F" w:rsidRPr="00E27443">
        <w:t xml:space="preserve"> </w:t>
      </w:r>
      <w:r w:rsidRPr="00E27443">
        <w:t>website:</w:t>
      </w:r>
      <w:r w:rsidR="00C63F8F" w:rsidRPr="00E27443">
        <w:t xml:space="preserve"> </w:t>
      </w:r>
      <w:r w:rsidRPr="00E27443">
        <w:t>www.socialstyrelsen.se,</w:t>
      </w:r>
      <w:r w:rsidR="00C63F8F" w:rsidRPr="00E27443">
        <w:t xml:space="preserve"> </w:t>
      </w:r>
      <w:r w:rsidRPr="00E27443">
        <w:t>which</w:t>
      </w:r>
      <w:r w:rsidR="00C63F8F" w:rsidRPr="00E27443">
        <w:t xml:space="preserve"> </w:t>
      </w:r>
      <w:r w:rsidRPr="00E27443">
        <w:t>works</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W3C</w:t>
      </w:r>
      <w:r w:rsidR="00C63F8F" w:rsidRPr="00E27443">
        <w:t>’</w:t>
      </w:r>
      <w:r w:rsidRPr="00E27443">
        <w:t>s</w:t>
      </w:r>
      <w:r w:rsidR="00C63F8F" w:rsidRPr="00E27443">
        <w:t xml:space="preserve"> </w:t>
      </w:r>
      <w:r w:rsidRPr="00E27443">
        <w:t>guidelines</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(WCAG)</w:t>
      </w:r>
      <w:r w:rsidR="00C63F8F" w:rsidRPr="00E27443">
        <w:t xml:space="preserve"> </w:t>
      </w:r>
      <w:r w:rsidRPr="00E27443">
        <w:t>and</w:t>
      </w:r>
      <w:r w:rsidR="00C63F8F" w:rsidRPr="00E27443">
        <w:t xml:space="preserve"> </w:t>
      </w:r>
      <w:r w:rsidRPr="00E27443">
        <w:t>otherwise</w:t>
      </w:r>
      <w:r w:rsidR="00C63F8F" w:rsidRPr="00E27443">
        <w:t xml:space="preserve"> </w:t>
      </w:r>
      <w:r w:rsidRPr="00E27443">
        <w:t>satisfies</w:t>
      </w:r>
      <w:r w:rsidR="00C63F8F" w:rsidRPr="00E27443">
        <w:t xml:space="preserve"> </w:t>
      </w:r>
      <w:r w:rsidRPr="00E27443">
        <w:t>the</w:t>
      </w:r>
      <w:r w:rsidR="00C63F8F" w:rsidRPr="00E27443">
        <w:t xml:space="preserve"> </w:t>
      </w:r>
      <w:r w:rsidRPr="00E27443">
        <w:t>basic</w:t>
      </w:r>
      <w:r w:rsidR="00C63F8F" w:rsidRPr="00E27443">
        <w:t xml:space="preserve"> </w:t>
      </w:r>
      <w:r w:rsidRPr="00E27443">
        <w:t>requirements</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to</w:t>
      </w:r>
      <w:r w:rsidR="00C63F8F" w:rsidRPr="00E27443">
        <w:t xml:space="preserve"> </w:t>
      </w:r>
      <w:r w:rsidRPr="00E27443">
        <w:t>healthcare</w:t>
      </w:r>
      <w:r w:rsidR="00C63F8F" w:rsidRPr="00E27443">
        <w:t xml:space="preserve"> </w:t>
      </w:r>
      <w:r w:rsidRPr="00E27443">
        <w:t>centres,</w:t>
      </w:r>
      <w:r w:rsidR="00C63F8F" w:rsidRPr="00E27443">
        <w:t xml:space="preserve"> </w:t>
      </w:r>
      <w:r w:rsidRPr="00E27443">
        <w:t>see</w:t>
      </w:r>
      <w:r w:rsidR="00C63F8F" w:rsidRPr="00E27443">
        <w:t xml:space="preserve"> </w:t>
      </w:r>
      <w:r w:rsidRPr="00E27443">
        <w:t>Article</w:t>
      </w:r>
      <w:r w:rsidR="00C63F8F" w:rsidRPr="00E27443">
        <w:t xml:space="preserve"> </w:t>
      </w:r>
      <w:r w:rsidRPr="00E27443">
        <w:t>9.</w:t>
      </w:r>
      <w:r w:rsidR="00C63F8F" w:rsidRPr="00E27443">
        <w:t xml:space="preserve"> </w:t>
      </w:r>
    </w:p>
    <w:p w:rsidR="00321ADA" w:rsidRPr="00E27443" w:rsidRDefault="00321ADA" w:rsidP="00A00C00">
      <w:pPr>
        <w:pStyle w:val="SingleTxtG"/>
        <w:numPr>
          <w:ilvl w:val="0"/>
          <w:numId w:val="20"/>
        </w:numPr>
        <w:tabs>
          <w:tab w:val="left" w:pos="1843"/>
        </w:tabs>
        <w:ind w:left="1134" w:firstLine="0"/>
      </w:pPr>
      <w:r w:rsidRPr="00E27443">
        <w:t>For</w:t>
      </w:r>
      <w:r w:rsidR="00C63F8F" w:rsidRPr="00E27443">
        <w:t xml:space="preserve"> </w:t>
      </w:r>
      <w:r w:rsidRPr="00E27443">
        <w:t>patient</w:t>
      </w:r>
      <w:r w:rsidR="00C63F8F" w:rsidRPr="00E27443">
        <w:t xml:space="preserve"> </w:t>
      </w:r>
      <w:r w:rsidRPr="00E27443">
        <w:t>fees</w:t>
      </w:r>
      <w:r w:rsidR="00C63F8F" w:rsidRPr="00E27443">
        <w:t xml:space="preserve"> </w:t>
      </w:r>
      <w:r w:rsidRPr="00E27443">
        <w:t>within</w:t>
      </w:r>
      <w:r w:rsidR="00C63F8F" w:rsidRPr="00E27443">
        <w:t xml:space="preserve"> </w:t>
      </w:r>
      <w:r w:rsidRPr="00E27443">
        <w:t>Swedish</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there</w:t>
      </w:r>
      <w:r w:rsidR="00C63F8F" w:rsidRPr="00E27443">
        <w:t xml:space="preserve"> </w:t>
      </w:r>
      <w:r w:rsidRPr="00E27443">
        <w:t>is</w:t>
      </w:r>
      <w:r w:rsidR="00C63F8F" w:rsidRPr="00E27443">
        <w:t xml:space="preserve"> ‘</w:t>
      </w:r>
      <w:r w:rsidRPr="00E27443">
        <w:t>high</w:t>
      </w:r>
      <w:r w:rsidR="00C63F8F" w:rsidRPr="00E27443">
        <w:t xml:space="preserve"> </w:t>
      </w:r>
      <w:r w:rsidRPr="00E27443">
        <w:t>cost</w:t>
      </w:r>
      <w:r w:rsidR="00C63F8F" w:rsidRPr="00E27443">
        <w:t xml:space="preserve"> </w:t>
      </w:r>
      <w:r w:rsidRPr="00E27443">
        <w:t>protection</w:t>
      </w:r>
      <w:r w:rsidR="00C63F8F" w:rsidRPr="00E27443">
        <w:t>’</w:t>
      </w:r>
      <w:r w:rsidRPr="00E27443">
        <w:t>,</w:t>
      </w:r>
      <w:r w:rsidR="00C63F8F" w:rsidRPr="00E27443">
        <w:t xml:space="preserve"> </w:t>
      </w:r>
      <w:r w:rsidRPr="00E27443">
        <w:t>which</w:t>
      </w:r>
      <w:r w:rsidR="00C63F8F" w:rsidRPr="00E27443">
        <w:t xml:space="preserve"> </w:t>
      </w:r>
      <w:r w:rsidRPr="00E27443">
        <w:t>means</w:t>
      </w:r>
      <w:r w:rsidR="00C63F8F" w:rsidRPr="00E27443">
        <w:t xml:space="preserve"> </w:t>
      </w:r>
      <w:r w:rsidRPr="00E27443">
        <w:t>that</w:t>
      </w:r>
      <w:r w:rsidR="00C63F8F" w:rsidRPr="00E27443">
        <w:t xml:space="preserve"> </w:t>
      </w:r>
      <w:r w:rsidRPr="00E27443">
        <w:t>the</w:t>
      </w:r>
      <w:r w:rsidR="00C63F8F" w:rsidRPr="00E27443">
        <w:t xml:space="preserve"> </w:t>
      </w:r>
      <w:r w:rsidRPr="00E27443">
        <w:t>patient</w:t>
      </w:r>
      <w:r w:rsidR="00C63F8F" w:rsidRPr="00E27443">
        <w:t xml:space="preserve"> </w:t>
      </w:r>
      <w:r w:rsidRPr="00E27443">
        <w:t>pays</w:t>
      </w:r>
      <w:r w:rsidR="00C63F8F" w:rsidRPr="00E27443">
        <w:t xml:space="preserve"> </w:t>
      </w:r>
      <w:r w:rsidRPr="00E27443">
        <w:t>a</w:t>
      </w:r>
      <w:r w:rsidR="00C63F8F" w:rsidRPr="00E27443">
        <w:t xml:space="preserve"> </w:t>
      </w:r>
      <w:r w:rsidRPr="00E27443">
        <w:t>maximum</w:t>
      </w:r>
      <w:r w:rsidR="00C63F8F" w:rsidRPr="00E27443">
        <w:t xml:space="preserve"> </w:t>
      </w:r>
      <w:r w:rsidRPr="00E27443">
        <w:t>amount</w:t>
      </w:r>
      <w:r w:rsidR="00C63F8F" w:rsidRPr="00E27443">
        <w:t xml:space="preserve"> </w:t>
      </w:r>
      <w:r w:rsidRPr="00E27443">
        <w:t>in</w:t>
      </w:r>
      <w:r w:rsidR="00C63F8F" w:rsidRPr="00E27443">
        <w:t xml:space="preserve"> </w:t>
      </w:r>
      <w:r w:rsidRPr="00E27443">
        <w:t>patient</w:t>
      </w:r>
      <w:r w:rsidR="00C63F8F" w:rsidRPr="00E27443">
        <w:t xml:space="preserve"> </w:t>
      </w:r>
      <w:r w:rsidRPr="00E27443">
        <w:t>fees</w:t>
      </w:r>
      <w:r w:rsidR="00C63F8F" w:rsidRPr="00E27443">
        <w:t xml:space="preserve"> </w:t>
      </w:r>
      <w:r w:rsidRPr="00E27443">
        <w:t>during</w:t>
      </w:r>
      <w:r w:rsidR="00C63F8F" w:rsidRPr="00E27443">
        <w:t xml:space="preserve"> </w:t>
      </w:r>
      <w:r w:rsidRPr="00E27443">
        <w:t>a</w:t>
      </w:r>
      <w:r w:rsidR="00C63F8F" w:rsidRPr="00E27443">
        <w:t xml:space="preserve"> </w:t>
      </w:r>
      <w:r w:rsidRPr="00E27443">
        <w:t>year.</w:t>
      </w:r>
      <w:r w:rsidR="00C63F8F" w:rsidRPr="00E27443">
        <w:t xml:space="preserve"> </w:t>
      </w:r>
      <w:r w:rsidRPr="00E27443">
        <w:t>When</w:t>
      </w:r>
      <w:r w:rsidR="00C63F8F" w:rsidRPr="00E27443">
        <w:t xml:space="preserve"> </w:t>
      </w:r>
      <w:r w:rsidRPr="00E27443">
        <w:t>the</w:t>
      </w:r>
      <w:r w:rsidR="00C63F8F" w:rsidRPr="00E27443">
        <w:t xml:space="preserve"> </w:t>
      </w:r>
      <w:r w:rsidRPr="00E27443">
        <w:t>patient</w:t>
      </w:r>
      <w:r w:rsidR="00C63F8F" w:rsidRPr="00E27443">
        <w:t xml:space="preserve"> </w:t>
      </w:r>
      <w:r w:rsidRPr="00E27443">
        <w:t>has</w:t>
      </w:r>
      <w:r w:rsidR="00C63F8F" w:rsidRPr="00E27443">
        <w:t xml:space="preserve"> </w:t>
      </w:r>
      <w:r w:rsidRPr="00E27443">
        <w:t>reached</w:t>
      </w:r>
      <w:r w:rsidR="00C63F8F" w:rsidRPr="00E27443">
        <w:t xml:space="preserve"> </w:t>
      </w:r>
      <w:r w:rsidRPr="00E27443">
        <w:t>the</w:t>
      </w:r>
      <w:r w:rsidR="00C63F8F" w:rsidRPr="00E27443">
        <w:t xml:space="preserve"> </w:t>
      </w:r>
      <w:r w:rsidRPr="00E27443">
        <w:t>maximum</w:t>
      </w:r>
      <w:r w:rsidR="00C63F8F" w:rsidRPr="00E27443">
        <w:t xml:space="preserve"> </w:t>
      </w:r>
      <w:r w:rsidRPr="00E27443">
        <w:t>amount,</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receives</w:t>
      </w:r>
      <w:r w:rsidR="00C63F8F" w:rsidRPr="00E27443">
        <w:t xml:space="preserve"> </w:t>
      </w:r>
      <w:r w:rsidRPr="00E27443">
        <w:t>a</w:t>
      </w:r>
      <w:r w:rsidR="00C63F8F" w:rsidRPr="00E27443">
        <w:t xml:space="preserve"> </w:t>
      </w:r>
      <w:r w:rsidRPr="00E27443">
        <w:t>free</w:t>
      </w:r>
      <w:r w:rsidR="00C63F8F" w:rsidRPr="00E27443">
        <w:t xml:space="preserve"> </w:t>
      </w:r>
      <w:r w:rsidRPr="00E27443">
        <w:t>card</w:t>
      </w:r>
      <w:r w:rsidR="00C63F8F" w:rsidRPr="00E27443">
        <w:t xml:space="preserve"> </w:t>
      </w:r>
      <w:r w:rsidRPr="00E27443">
        <w:t>that</w:t>
      </w:r>
      <w:r w:rsidR="00C63F8F" w:rsidRPr="00E27443">
        <w:t xml:space="preserve"> </w:t>
      </w:r>
      <w:r w:rsidRPr="00E27443">
        <w:t>grants</w:t>
      </w:r>
      <w:r w:rsidR="00C63F8F" w:rsidRPr="00E27443">
        <w:t xml:space="preserve"> </w:t>
      </w:r>
      <w:r w:rsidRPr="00E27443">
        <w:t>him</w:t>
      </w:r>
      <w:r w:rsidR="00C63F8F" w:rsidRPr="00E27443">
        <w:t xml:space="preserve"> </w:t>
      </w:r>
      <w:r w:rsidRPr="00E27443">
        <w:t>or</w:t>
      </w:r>
      <w:r w:rsidR="00C63F8F" w:rsidRPr="00E27443">
        <w:t xml:space="preserve"> </w:t>
      </w:r>
      <w:r w:rsidRPr="00E27443">
        <w:t>her</w:t>
      </w:r>
      <w:r w:rsidR="00C63F8F" w:rsidRPr="00E27443">
        <w:t xml:space="preserve"> </w:t>
      </w:r>
      <w:r w:rsidRPr="00E27443">
        <w:t>the</w:t>
      </w:r>
      <w:r w:rsidR="00C63F8F" w:rsidRPr="00E27443">
        <w:t xml:space="preserve"> </w:t>
      </w:r>
      <w:r w:rsidRPr="00E27443">
        <w:t>entitlement</w:t>
      </w:r>
      <w:r w:rsidR="00C63F8F" w:rsidRPr="00E27443">
        <w:t xml:space="preserve"> </w:t>
      </w:r>
      <w:r w:rsidRPr="00E27443">
        <w:t>to</w:t>
      </w:r>
      <w:r w:rsidR="00C63F8F" w:rsidRPr="00E27443">
        <w:t xml:space="preserve"> </w:t>
      </w:r>
      <w:r w:rsidRPr="00E27443">
        <w:t>free</w:t>
      </w:r>
      <w:r w:rsidR="00C63F8F" w:rsidRPr="00E27443">
        <w:t xml:space="preserve"> </w:t>
      </w:r>
      <w:r w:rsidRPr="00E27443">
        <w:t>treatment</w:t>
      </w:r>
      <w:r w:rsidR="00C63F8F" w:rsidRPr="00E27443">
        <w:t xml:space="preserve"> </w:t>
      </w:r>
      <w:r w:rsidRPr="00E27443">
        <w:t>for</w:t>
      </w:r>
      <w:r w:rsidR="00C63F8F" w:rsidRPr="00E27443">
        <w:t xml:space="preserve"> </w:t>
      </w:r>
      <w:r w:rsidRPr="00E27443">
        <w:t>the</w:t>
      </w:r>
      <w:r w:rsidR="00C63F8F" w:rsidRPr="00E27443">
        <w:t xml:space="preserve"> </w:t>
      </w:r>
      <w:r w:rsidRPr="00E27443">
        <w:t>rest</w:t>
      </w:r>
      <w:r w:rsidR="00C63F8F" w:rsidRPr="00E27443">
        <w:t xml:space="preserve"> </w:t>
      </w:r>
      <w:r w:rsidRPr="00E27443">
        <w:t>of</w:t>
      </w:r>
      <w:r w:rsidR="00C63F8F" w:rsidRPr="00E27443">
        <w:t xml:space="preserve"> </w:t>
      </w:r>
      <w:r w:rsidRPr="00E27443">
        <w:t>the</w:t>
      </w:r>
      <w:r w:rsidR="00C63F8F" w:rsidRPr="00E27443">
        <w:t xml:space="preserve"> </w:t>
      </w:r>
      <w:r w:rsidRPr="00E27443">
        <w:t>year.</w:t>
      </w:r>
      <w:r w:rsidR="00C63F8F" w:rsidRPr="00E27443">
        <w:t xml:space="preserve"> </w:t>
      </w:r>
      <w:r w:rsidRPr="00E27443">
        <w:t>The</w:t>
      </w:r>
      <w:r w:rsidR="00C63F8F" w:rsidRPr="00E27443">
        <w:t xml:space="preserve"> </w:t>
      </w:r>
      <w:r w:rsidRPr="00E27443">
        <w:t>high</w:t>
      </w:r>
      <w:r w:rsidR="00C63F8F" w:rsidRPr="00E27443">
        <w:t xml:space="preserve"> </w:t>
      </w:r>
      <w:r w:rsidRPr="00E27443">
        <w:t>cost</w:t>
      </w:r>
      <w:r w:rsidR="00C63F8F" w:rsidRPr="00E27443">
        <w:t xml:space="preserve"> </w:t>
      </w:r>
      <w:r w:rsidRPr="00E27443">
        <w:t>protection</w:t>
      </w:r>
      <w:r w:rsidR="00C63F8F" w:rsidRPr="00E27443">
        <w:t xml:space="preserve"> </w:t>
      </w:r>
      <w:r w:rsidRPr="00E27443">
        <w:t>applies</w:t>
      </w:r>
      <w:r w:rsidR="00C63F8F" w:rsidRPr="00E27443">
        <w:t xml:space="preserve"> </w:t>
      </w:r>
      <w:r w:rsidRPr="00E27443">
        <w:t>to</w:t>
      </w:r>
      <w:r w:rsidR="00C63F8F" w:rsidRPr="00E27443">
        <w:t xml:space="preserve"> </w:t>
      </w:r>
      <w:r w:rsidRPr="00E27443">
        <w:t>the</w:t>
      </w:r>
      <w:r w:rsidR="00C63F8F" w:rsidRPr="00E27443">
        <w:t xml:space="preserve"> </w:t>
      </w:r>
      <w:r w:rsidRPr="00E27443">
        <w:t>whole</w:t>
      </w:r>
      <w:r w:rsidR="00C63F8F" w:rsidRPr="00E27443">
        <w:t xml:space="preserve"> </w:t>
      </w:r>
      <w:r w:rsidRPr="00E27443">
        <w:t>country.</w:t>
      </w:r>
      <w:r w:rsidR="00C63F8F" w:rsidRPr="00E27443">
        <w:t xml:space="preserve"> </w:t>
      </w:r>
      <w:r w:rsidRPr="00E27443">
        <w:t>The</w:t>
      </w:r>
      <w:r w:rsidR="00C63F8F" w:rsidRPr="00E27443">
        <w:t xml:space="preserve"> </w:t>
      </w:r>
      <w:r w:rsidRPr="00E27443">
        <w:t>maximum</w:t>
      </w:r>
      <w:r w:rsidR="00C63F8F" w:rsidRPr="00E27443">
        <w:t xml:space="preserve"> </w:t>
      </w:r>
      <w:r w:rsidRPr="00E27443">
        <w:t>amount</w:t>
      </w:r>
      <w:r w:rsidR="00C63F8F" w:rsidRPr="00E27443">
        <w:t xml:space="preserve"> </w:t>
      </w:r>
      <w:r w:rsidRPr="00E27443">
        <w:t>also</w:t>
      </w:r>
      <w:r w:rsidR="00C63F8F" w:rsidRPr="00E27443">
        <w:t xml:space="preserve"> </w:t>
      </w:r>
      <w:r w:rsidRPr="00E27443">
        <w:t>applies</w:t>
      </w:r>
      <w:r w:rsidR="00C63F8F" w:rsidRPr="00E27443">
        <w:t xml:space="preserve"> </w:t>
      </w:r>
      <w:r w:rsidRPr="00E27443">
        <w:t>to</w:t>
      </w:r>
      <w:r w:rsidR="00C63F8F" w:rsidRPr="00E27443">
        <w:t xml:space="preserve"> </w:t>
      </w:r>
      <w:r w:rsidRPr="00E27443">
        <w:t>medications.</w:t>
      </w:r>
      <w:r w:rsidR="00C63F8F" w:rsidRPr="00E27443">
        <w:t xml:space="preserve"> </w:t>
      </w:r>
      <w:r w:rsidRPr="00E27443">
        <w:t>The</w:t>
      </w:r>
      <w:r w:rsidR="00C63F8F" w:rsidRPr="00E27443">
        <w:t xml:space="preserve"> </w:t>
      </w:r>
      <w:r w:rsidRPr="00E27443">
        <w:t>high-cost</w:t>
      </w:r>
      <w:r w:rsidR="00C63F8F" w:rsidRPr="00E27443">
        <w:t xml:space="preserve"> </w:t>
      </w:r>
      <w:r w:rsidRPr="00E27443">
        <w:t>amount</w:t>
      </w:r>
      <w:r w:rsidR="00C63F8F" w:rsidRPr="00E27443">
        <w:t xml:space="preserve"> </w:t>
      </w:r>
      <w:r w:rsidRPr="00E27443">
        <w:t>for</w:t>
      </w:r>
      <w:r w:rsidR="00C63F8F" w:rsidRPr="00E27443">
        <w:t xml:space="preserve"> </w:t>
      </w:r>
      <w:r w:rsidRPr="00E27443">
        <w:t>open</w:t>
      </w:r>
      <w:r w:rsidR="00C63F8F" w:rsidRPr="00E27443">
        <w:t xml:space="preserve"> </w:t>
      </w:r>
      <w:r w:rsidRPr="00E27443">
        <w:t>medical</w:t>
      </w:r>
      <w:r w:rsidR="00C63F8F" w:rsidRPr="00E27443">
        <w:t xml:space="preserve"> </w:t>
      </w:r>
      <w:r w:rsidRPr="00E27443">
        <w:t>care,</w:t>
      </w:r>
      <w:r w:rsidR="00C63F8F" w:rsidRPr="00E27443">
        <w:t xml:space="preserve"> </w:t>
      </w:r>
      <w:r w:rsidRPr="00E27443">
        <w:t>healthcare</w:t>
      </w:r>
      <w:r w:rsidR="00C63F8F" w:rsidRPr="00E27443">
        <w:t xml:space="preserve"> </w:t>
      </w:r>
      <w:r w:rsidRPr="00E27443">
        <w:t>treatment</w:t>
      </w:r>
      <w:r w:rsidR="00C63F8F" w:rsidRPr="00E27443">
        <w:t xml:space="preserve"> </w:t>
      </w:r>
      <w:r w:rsidRPr="00E27443">
        <w:t>and</w:t>
      </w:r>
      <w:r w:rsidR="00C63F8F" w:rsidRPr="00E27443">
        <w:t xml:space="preserve"> </w:t>
      </w:r>
      <w:r w:rsidRPr="00E27443">
        <w:t>some</w:t>
      </w:r>
      <w:r w:rsidR="00C63F8F" w:rsidRPr="00E27443">
        <w:t xml:space="preserve"> </w:t>
      </w:r>
      <w:r w:rsidRPr="00E27443">
        <w:t>dental</w:t>
      </w:r>
      <w:r w:rsidR="00C63F8F" w:rsidRPr="00E27443">
        <w:t xml:space="preserve"> </w:t>
      </w:r>
      <w:r w:rsidRPr="00E27443">
        <w:t>care</w:t>
      </w:r>
      <w:r w:rsidR="00C63F8F" w:rsidRPr="00E27443">
        <w:t xml:space="preserve"> </w:t>
      </w:r>
      <w:r w:rsidRPr="00E27443">
        <w:t>is</w:t>
      </w:r>
      <w:r w:rsidR="00C63F8F" w:rsidRPr="00E27443">
        <w:t xml:space="preserve"> </w:t>
      </w:r>
      <w:r w:rsidRPr="00E27443">
        <w:t>SEK</w:t>
      </w:r>
      <w:r w:rsidR="00C63F8F" w:rsidRPr="00E27443">
        <w:t xml:space="preserve"> </w:t>
      </w:r>
      <w:r w:rsidRPr="00E27443">
        <w:t>900,</w:t>
      </w:r>
      <w:r w:rsidR="00C63F8F" w:rsidRPr="00E27443">
        <w:t xml:space="preserve"> </w:t>
      </w:r>
      <w:r w:rsidRPr="00E27443">
        <w:t>for</w:t>
      </w:r>
      <w:r w:rsidR="00C63F8F" w:rsidRPr="00E27443">
        <w:t xml:space="preserve"> </w:t>
      </w:r>
      <w:r w:rsidRPr="00E27443">
        <w:t>medications</w:t>
      </w:r>
      <w:r w:rsidR="00C63F8F" w:rsidRPr="00E27443">
        <w:t xml:space="preserve"> </w:t>
      </w:r>
      <w:r w:rsidRPr="00E27443">
        <w:t>SEK</w:t>
      </w:r>
      <w:r w:rsidR="00C63F8F" w:rsidRPr="00E27443">
        <w:t xml:space="preserve"> </w:t>
      </w:r>
      <w:r w:rsidRPr="00E27443">
        <w:t>1,800,</w:t>
      </w:r>
      <w:r w:rsidR="00C63F8F" w:rsidRPr="00E27443">
        <w:t xml:space="preserve"> </w:t>
      </w:r>
      <w:r w:rsidRPr="00E27443">
        <w:t>and</w:t>
      </w:r>
      <w:r w:rsidR="00C63F8F" w:rsidRPr="00E27443">
        <w:t xml:space="preserve"> </w:t>
      </w:r>
      <w:r w:rsidRPr="00E27443">
        <w:t>SEK</w:t>
      </w:r>
      <w:r w:rsidR="00C63F8F" w:rsidRPr="00E27443">
        <w:t xml:space="preserve"> </w:t>
      </w:r>
      <w:r w:rsidRPr="00E27443">
        <w:t>2,000</w:t>
      </w:r>
      <w:r w:rsidR="00C63F8F" w:rsidRPr="00E27443">
        <w:t xml:space="preserve"> </w:t>
      </w:r>
      <w:r w:rsidRPr="00E27443">
        <w:t>for</w:t>
      </w:r>
      <w:r w:rsidR="00C63F8F" w:rsidRPr="00E27443">
        <w:t xml:space="preserve"> </w:t>
      </w:r>
      <w:r w:rsidRPr="00E27443">
        <w:t>technical</w:t>
      </w:r>
      <w:r w:rsidR="00C63F8F" w:rsidRPr="00E27443">
        <w:t xml:space="preserve"> </w:t>
      </w:r>
      <w:r w:rsidRPr="00E27443">
        <w:t>devices.</w:t>
      </w:r>
    </w:p>
    <w:p w:rsidR="00321ADA" w:rsidRPr="00E27443" w:rsidRDefault="00000B2D" w:rsidP="00000B2D">
      <w:pPr>
        <w:pStyle w:val="H1G"/>
      </w:pPr>
      <w:r w:rsidRPr="00E27443">
        <w:tab/>
      </w:r>
      <w:r w:rsidRPr="00E27443">
        <w:tab/>
      </w:r>
      <w:bookmarkStart w:id="26" w:name="_Toc290623310"/>
      <w:r w:rsidR="00321ADA" w:rsidRPr="00E27443">
        <w:t>Article</w:t>
      </w:r>
      <w:r w:rsidR="00C63F8F" w:rsidRPr="00E27443">
        <w:t xml:space="preserve"> </w:t>
      </w:r>
      <w:r w:rsidR="00321ADA" w:rsidRPr="00E27443">
        <w:t>26</w:t>
      </w:r>
      <w:r w:rsidR="00A00C00">
        <w:t>:</w:t>
      </w:r>
      <w:r w:rsidR="00C63F8F" w:rsidRPr="00E27443">
        <w:t xml:space="preserve"> </w:t>
      </w:r>
      <w:r w:rsidR="00321ADA" w:rsidRPr="00E27443">
        <w:t>Habilitation</w:t>
      </w:r>
      <w:r w:rsidR="00C63F8F" w:rsidRPr="00E27443">
        <w:t xml:space="preserve"> </w:t>
      </w:r>
      <w:r w:rsidR="00321ADA" w:rsidRPr="00E27443">
        <w:t>and</w:t>
      </w:r>
      <w:r w:rsidR="00C63F8F" w:rsidRPr="00E27443">
        <w:t xml:space="preserve"> </w:t>
      </w:r>
      <w:r w:rsidR="00321ADA" w:rsidRPr="00E27443">
        <w:t>rehabilitation</w:t>
      </w:r>
      <w:bookmarkEnd w:id="26"/>
    </w:p>
    <w:p w:rsidR="00321ADA" w:rsidRPr="00E27443" w:rsidRDefault="00321ADA" w:rsidP="00154C57">
      <w:pPr>
        <w:pStyle w:val="SingleTxtG"/>
        <w:numPr>
          <w:ilvl w:val="0"/>
          <w:numId w:val="20"/>
        </w:numPr>
        <w:tabs>
          <w:tab w:val="left" w:pos="1843"/>
        </w:tabs>
        <w:ind w:left="1134" w:firstLine="0"/>
      </w:pPr>
      <w:r w:rsidRPr="00E27443">
        <w:t>Rehabilitation</w:t>
      </w:r>
      <w:r w:rsidR="00C63F8F" w:rsidRPr="00E27443">
        <w:t xml:space="preserve"> </w:t>
      </w:r>
      <w:r w:rsidRPr="00E27443">
        <w:t>takes</w:t>
      </w:r>
      <w:r w:rsidR="00C63F8F" w:rsidRPr="00E27443">
        <w:t xml:space="preserve"> </w:t>
      </w:r>
      <w:r w:rsidRPr="00E27443">
        <w:t>place</w:t>
      </w:r>
      <w:r w:rsidR="00C63F8F" w:rsidRPr="00E27443">
        <w:t xml:space="preserve"> </w:t>
      </w:r>
      <w:r w:rsidRPr="00E27443">
        <w:t>primarily</w:t>
      </w:r>
      <w:r w:rsidR="00C63F8F" w:rsidRPr="00E27443">
        <w:t xml:space="preserve"> </w:t>
      </w:r>
      <w:r w:rsidRPr="00E27443">
        <w:t>within</w:t>
      </w:r>
      <w:r w:rsidR="00C63F8F" w:rsidRPr="00E27443">
        <w:t xml:space="preserve"> </w:t>
      </w:r>
      <w:r w:rsidRPr="00E27443">
        <w:t>three</w:t>
      </w:r>
      <w:r w:rsidR="00C63F8F" w:rsidRPr="00E27443">
        <w:t xml:space="preserve"> </w:t>
      </w:r>
      <w:r w:rsidRPr="00E27443">
        <w:t>categories:</w:t>
      </w:r>
      <w:r w:rsidR="00C63F8F" w:rsidRPr="00E27443">
        <w:t xml:space="preserve"> </w:t>
      </w:r>
      <w:r w:rsidRPr="00E27443">
        <w:t>medical</w:t>
      </w:r>
      <w:r w:rsidR="00C63F8F" w:rsidRPr="00E27443">
        <w:t xml:space="preserve"> </w:t>
      </w:r>
      <w:r w:rsidRPr="00E27443">
        <w:t>rehabilitation,</w:t>
      </w:r>
      <w:r w:rsidR="00C63F8F" w:rsidRPr="00E27443">
        <w:t xml:space="preserve"> </w:t>
      </w:r>
      <w:r w:rsidRPr="00E27443">
        <w:t>social</w:t>
      </w:r>
      <w:r w:rsidR="00C63F8F" w:rsidRPr="00E27443">
        <w:t xml:space="preserve"> </w:t>
      </w:r>
      <w:r w:rsidRPr="00E27443">
        <w:t>rehabilitation</w:t>
      </w:r>
      <w:r w:rsidR="00C63F8F" w:rsidRPr="00E27443">
        <w:t xml:space="preserve"> </w:t>
      </w:r>
      <w:r w:rsidRPr="00E27443">
        <w:t>and</w:t>
      </w:r>
      <w:r w:rsidR="00C63F8F" w:rsidRPr="00E27443">
        <w:t xml:space="preserve"> </w:t>
      </w:r>
      <w:r w:rsidRPr="00E27443">
        <w:t>vocational</w:t>
      </w:r>
      <w:r w:rsidR="00C63F8F" w:rsidRPr="00E27443">
        <w:t xml:space="preserve"> </w:t>
      </w:r>
      <w:r w:rsidRPr="00E27443">
        <w:t>rehabilitation</w:t>
      </w:r>
      <w:r w:rsidR="00C63F8F" w:rsidRPr="00E27443">
        <w:t xml:space="preserve"> </w:t>
      </w:r>
      <w:r w:rsidRPr="00E27443">
        <w:t>with</w:t>
      </w:r>
      <w:r w:rsidR="00C63F8F" w:rsidRPr="00E27443">
        <w:t xml:space="preserve"> </w:t>
      </w:r>
      <w:r w:rsidRPr="00E27443">
        <w:t>the</w:t>
      </w:r>
      <w:r w:rsidR="00C63F8F" w:rsidRPr="00E27443">
        <w:t xml:space="preserve"> </w:t>
      </w:r>
      <w:r w:rsidRPr="00E27443">
        <w:t>focus</w:t>
      </w:r>
      <w:r w:rsidR="00C63F8F" w:rsidRPr="00E27443">
        <w:t xml:space="preserve"> </w:t>
      </w:r>
      <w:r w:rsidRPr="00E27443">
        <w:t>on</w:t>
      </w:r>
      <w:r w:rsidR="00C63F8F" w:rsidRPr="00E27443">
        <w:t xml:space="preserve"> </w:t>
      </w:r>
      <w:r w:rsidRPr="00E27443">
        <w:t>opportunities</w:t>
      </w:r>
      <w:r w:rsidR="00C63F8F" w:rsidRPr="00E27443">
        <w:t xml:space="preserve"> </w:t>
      </w:r>
      <w:r w:rsidRPr="00E27443">
        <w:t>and</w:t>
      </w:r>
      <w:r w:rsidR="00C63F8F" w:rsidRPr="00E27443">
        <w:t xml:space="preserve"> </w:t>
      </w:r>
      <w:r w:rsidRPr="00E27443">
        <w:t>not</w:t>
      </w:r>
      <w:r w:rsidR="00C63F8F" w:rsidRPr="00E27443">
        <w:t xml:space="preserve"> </w:t>
      </w:r>
      <w:r w:rsidRPr="00E27443">
        <w:t>limitations.</w:t>
      </w:r>
    </w:p>
    <w:p w:rsidR="00321ADA" w:rsidRPr="00E27443" w:rsidRDefault="00321ADA" w:rsidP="00154C57">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the</w:t>
      </w:r>
      <w:r w:rsidR="00C63F8F" w:rsidRPr="00E27443">
        <w:t xml:space="preserve"> </w:t>
      </w:r>
      <w:r w:rsidRPr="00E27443">
        <w:t>principal</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offering</w:t>
      </w:r>
      <w:r w:rsidR="00C63F8F" w:rsidRPr="00E27443">
        <w:t xml:space="preserve"> </w:t>
      </w:r>
      <w:r w:rsidRPr="00E27443">
        <w:t>rehabilitation,</w:t>
      </w:r>
      <w:r w:rsidR="00C63F8F" w:rsidRPr="00E27443">
        <w:t xml:space="preserve"> </w:t>
      </w:r>
      <w:r w:rsidRPr="00E27443">
        <w:t>habilitation</w:t>
      </w:r>
      <w:r w:rsidR="00C63F8F" w:rsidRPr="00E27443">
        <w:t xml:space="preserve"> </w:t>
      </w:r>
      <w:r w:rsidRPr="00E27443">
        <w:t>and</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restoring</w:t>
      </w:r>
      <w:r w:rsidR="00C63F8F" w:rsidRPr="00E27443">
        <w:t xml:space="preserve"> </w:t>
      </w:r>
      <w:r w:rsidRPr="00E27443">
        <w:t>or</w:t>
      </w:r>
      <w:r w:rsidR="00C63F8F" w:rsidRPr="00E27443">
        <w:t xml:space="preserve"> </w:t>
      </w:r>
      <w:r w:rsidRPr="00E27443">
        <w:t>maintaining</w:t>
      </w:r>
      <w:r w:rsidR="00C63F8F" w:rsidRPr="00E27443">
        <w:t xml:space="preserve"> </w:t>
      </w:r>
      <w:r w:rsidRPr="00E27443">
        <w:t>certain</w:t>
      </w:r>
      <w:r w:rsidR="00C63F8F" w:rsidRPr="00E27443">
        <w:t xml:space="preserve"> </w:t>
      </w:r>
      <w:r w:rsidRPr="00E27443">
        <w:t>functions</w:t>
      </w:r>
      <w:r w:rsidR="00C63F8F" w:rsidRPr="00E27443">
        <w:t xml:space="preserve"> </w:t>
      </w:r>
      <w:r w:rsidRPr="00E27443">
        <w:t>that</w:t>
      </w:r>
      <w:r w:rsidR="00C63F8F" w:rsidRPr="00E27443">
        <w:t xml:space="preserve"> </w:t>
      </w:r>
      <w:r w:rsidRPr="00E27443">
        <w:t>may</w:t>
      </w:r>
      <w:r w:rsidR="00C63F8F" w:rsidRPr="00E27443">
        <w:t xml:space="preserve"> </w:t>
      </w:r>
      <w:r w:rsidRPr="00E27443">
        <w:t>be</w:t>
      </w:r>
      <w:r w:rsidR="00C63F8F" w:rsidRPr="00E27443">
        <w:t xml:space="preserve"> </w:t>
      </w:r>
      <w:r w:rsidRPr="00E27443">
        <w:t>impaired.</w:t>
      </w:r>
      <w:r w:rsidR="00C63F8F" w:rsidRPr="00E27443">
        <w:t xml:space="preserve"> </w:t>
      </w:r>
      <w:r w:rsidRPr="00E27443">
        <w:t>During</w:t>
      </w:r>
      <w:r w:rsidR="00C63F8F" w:rsidRPr="00E27443">
        <w:t xml:space="preserve"> </w:t>
      </w:r>
      <w:r w:rsidRPr="00E27443">
        <w:t>rehabilitation/habilitation,</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is</w:t>
      </w:r>
      <w:r w:rsidR="00C63F8F" w:rsidRPr="00E27443">
        <w:t xml:space="preserve"> </w:t>
      </w:r>
      <w:r w:rsidRPr="00E27443">
        <w:t>a</w:t>
      </w:r>
      <w:r w:rsidR="00C63F8F" w:rsidRPr="00E27443">
        <w:t xml:space="preserve"> </w:t>
      </w:r>
      <w:r w:rsidRPr="00E27443">
        <w:t>subject</w:t>
      </w:r>
      <w:r w:rsidR="00C63F8F" w:rsidRPr="00E27443">
        <w:t xml:space="preserve"> </w:t>
      </w:r>
      <w:r w:rsidRPr="00E27443">
        <w:t>who</w:t>
      </w:r>
      <w:r w:rsidR="00C63F8F" w:rsidRPr="00E27443">
        <w:t xml:space="preserve"> </w:t>
      </w:r>
      <w:r w:rsidRPr="00E27443">
        <w:t>accepts</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own</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a</w:t>
      </w:r>
      <w:r w:rsidR="00C63F8F" w:rsidRPr="00E27443">
        <w:t xml:space="preserve"> </w:t>
      </w:r>
      <w:r w:rsidRPr="00E27443">
        <w:t>health-promoting</w:t>
      </w:r>
      <w:r w:rsidR="00C63F8F" w:rsidRPr="00E27443">
        <w:t xml:space="preserve"> </w:t>
      </w:r>
      <w:r w:rsidRPr="00E27443">
        <w:t>process.</w:t>
      </w:r>
      <w:r w:rsidR="00C63F8F" w:rsidRPr="00E27443">
        <w:t xml:space="preserve"> </w:t>
      </w:r>
      <w:r w:rsidRPr="00E27443">
        <w:t>Within</w:t>
      </w:r>
      <w:r w:rsidR="00C63F8F" w:rsidRPr="00E27443">
        <w:t xml:space="preserve"> </w:t>
      </w:r>
      <w:r w:rsidRPr="00E27443">
        <w:t>medical</w:t>
      </w:r>
      <w:r w:rsidR="00C63F8F" w:rsidRPr="00E27443">
        <w:t xml:space="preserve"> </w:t>
      </w:r>
      <w:r w:rsidRPr="00E27443">
        <w:t>rehabilitation,</w:t>
      </w:r>
      <w:r w:rsidR="00C63F8F" w:rsidRPr="00E27443">
        <w:t xml:space="preserve"> </w:t>
      </w:r>
      <w:r w:rsidRPr="00E27443">
        <w:t>there</w:t>
      </w:r>
      <w:r w:rsidR="00C63F8F" w:rsidRPr="00E27443">
        <w:t xml:space="preserve"> </w:t>
      </w:r>
      <w:r w:rsidRPr="00E27443">
        <w:t>must</w:t>
      </w:r>
      <w:r w:rsidR="00C63F8F" w:rsidRPr="00E27443">
        <w:t xml:space="preserve"> </w:t>
      </w:r>
      <w:r w:rsidRPr="00E27443">
        <w:t>be</w:t>
      </w:r>
      <w:r w:rsidR="00C63F8F" w:rsidRPr="00E27443">
        <w:t xml:space="preserve"> </w:t>
      </w:r>
      <w:r w:rsidRPr="00E27443">
        <w:t>access</w:t>
      </w:r>
      <w:r w:rsidR="00C63F8F" w:rsidRPr="00E27443">
        <w:t xml:space="preserve"> </w:t>
      </w:r>
      <w:r w:rsidRPr="00E27443">
        <w:t>to</w:t>
      </w:r>
      <w:r w:rsidR="00C63F8F" w:rsidRPr="00E27443">
        <w:t xml:space="preserve"> </w:t>
      </w:r>
      <w:r w:rsidRPr="00E27443">
        <w:t>various</w:t>
      </w:r>
      <w:r w:rsidR="00C63F8F" w:rsidRPr="00E27443">
        <w:t xml:space="preserve"> </w:t>
      </w:r>
      <w:r w:rsidRPr="00E27443">
        <w:t>professional</w:t>
      </w:r>
      <w:r w:rsidR="00C63F8F" w:rsidRPr="00E27443">
        <w:t xml:space="preserve"> </w:t>
      </w:r>
      <w:r w:rsidRPr="00E27443">
        <w:t>categories</w:t>
      </w:r>
      <w:r w:rsidR="00C63F8F" w:rsidRPr="00E27443">
        <w:t xml:space="preserve"> </w:t>
      </w:r>
      <w:r w:rsidRPr="00E27443">
        <w:t>such</w:t>
      </w:r>
      <w:r w:rsidR="00C63F8F" w:rsidRPr="00E27443">
        <w:t xml:space="preserve"> </w:t>
      </w:r>
      <w:r w:rsidRPr="00E27443">
        <w:t>as</w:t>
      </w:r>
      <w:r w:rsidR="00C63F8F" w:rsidRPr="00E27443">
        <w:t xml:space="preserve"> </w:t>
      </w:r>
      <w:r w:rsidRPr="00E27443">
        <w:t>audiologist,</w:t>
      </w:r>
      <w:r w:rsidR="00C63F8F" w:rsidRPr="00E27443">
        <w:t xml:space="preserve"> </w:t>
      </w:r>
      <w:r w:rsidRPr="00E27443">
        <w:t>physiotherapist,</w:t>
      </w:r>
      <w:r w:rsidR="00C63F8F" w:rsidRPr="00E27443">
        <w:t xml:space="preserve"> </w:t>
      </w:r>
      <w:r w:rsidRPr="00E27443">
        <w:t>occupational</w:t>
      </w:r>
      <w:r w:rsidR="00C63F8F" w:rsidRPr="00E27443">
        <w:t xml:space="preserve"> </w:t>
      </w:r>
      <w:r w:rsidRPr="00E27443">
        <w:t>therapist,</w:t>
      </w:r>
      <w:r w:rsidR="00C63F8F" w:rsidRPr="00E27443">
        <w:t xml:space="preserve"> </w:t>
      </w:r>
      <w:r w:rsidRPr="00E27443">
        <w:t>speech</w:t>
      </w:r>
      <w:r w:rsidR="00C63F8F" w:rsidRPr="00E27443">
        <w:t xml:space="preserve"> </w:t>
      </w:r>
      <w:r w:rsidRPr="00E27443">
        <w:t>and</w:t>
      </w:r>
      <w:r w:rsidR="00C63F8F" w:rsidRPr="00E27443">
        <w:t xml:space="preserve"> </w:t>
      </w:r>
      <w:r w:rsidRPr="00E27443">
        <w:t>language</w:t>
      </w:r>
      <w:r w:rsidR="00C63F8F" w:rsidRPr="00E27443">
        <w:t xml:space="preserve"> </w:t>
      </w:r>
      <w:r w:rsidRPr="00E27443">
        <w:t>therapist,</w:t>
      </w:r>
      <w:r w:rsidR="00C63F8F" w:rsidRPr="00E27443">
        <w:t xml:space="preserve"> </w:t>
      </w:r>
      <w:r w:rsidRPr="00E27443">
        <w:t>social</w:t>
      </w:r>
      <w:r w:rsidR="00C63F8F" w:rsidRPr="00E27443">
        <w:t xml:space="preserve"> </w:t>
      </w:r>
      <w:r w:rsidRPr="00E27443">
        <w:t>worker</w:t>
      </w:r>
      <w:r w:rsidR="00C63F8F" w:rsidRPr="00E27443">
        <w:t xml:space="preserve"> </w:t>
      </w:r>
      <w:r w:rsidRPr="00E27443">
        <w:t>and</w:t>
      </w:r>
      <w:r w:rsidR="00C63F8F" w:rsidRPr="00E27443">
        <w:t xml:space="preserve"> </w:t>
      </w:r>
      <w:r w:rsidRPr="00E27443">
        <w:t>psychologist.</w:t>
      </w:r>
    </w:p>
    <w:p w:rsidR="00321ADA" w:rsidRPr="00E27443" w:rsidRDefault="00321ADA" w:rsidP="00154C57">
      <w:pPr>
        <w:pStyle w:val="SingleTxtG"/>
        <w:numPr>
          <w:ilvl w:val="0"/>
          <w:numId w:val="20"/>
        </w:numPr>
        <w:tabs>
          <w:tab w:val="left" w:pos="1843"/>
        </w:tabs>
        <w:ind w:left="1134" w:firstLine="0"/>
      </w:pP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experience,</w:t>
      </w:r>
      <w:r w:rsidR="00C63F8F" w:rsidRPr="00E27443">
        <w:t xml:space="preserve"> </w:t>
      </w:r>
      <w:r w:rsidRPr="00E27443">
        <w:t>it</w:t>
      </w:r>
      <w:r w:rsidR="00C63F8F" w:rsidRPr="00E27443">
        <w:t xml:space="preserve"> </w:t>
      </w:r>
      <w:r w:rsidRPr="00E27443">
        <w:t>is</w:t>
      </w:r>
      <w:r w:rsidR="00C63F8F" w:rsidRPr="00E27443">
        <w:t xml:space="preserve"> </w:t>
      </w:r>
      <w:r w:rsidRPr="00E27443">
        <w:t>necessary</w:t>
      </w:r>
      <w:r w:rsidR="00C63F8F" w:rsidRPr="00E27443">
        <w:t xml:space="preserve"> </w:t>
      </w:r>
      <w:r w:rsidRPr="00E27443">
        <w:t>to</w:t>
      </w:r>
      <w:r w:rsidR="00C63F8F" w:rsidRPr="00E27443">
        <w:t xml:space="preserve"> </w:t>
      </w:r>
      <w:r w:rsidRPr="00E27443">
        <w:t>have</w:t>
      </w:r>
      <w:r w:rsidR="00C63F8F" w:rsidRPr="00E27443">
        <w:t xml:space="preserve"> </w:t>
      </w:r>
      <w:r w:rsidRPr="00E27443">
        <w:t>successful</w:t>
      </w:r>
      <w:r w:rsidR="00C63F8F" w:rsidRPr="00E27443">
        <w:t xml:space="preserve"> </w:t>
      </w:r>
      <w:r w:rsidRPr="00E27443">
        <w:t>co-operation</w:t>
      </w:r>
      <w:r w:rsidR="00C63F8F" w:rsidRPr="00E27443">
        <w:t xml:space="preserve"> </w:t>
      </w:r>
      <w:r w:rsidRPr="00E27443">
        <w:t>between</w:t>
      </w:r>
      <w:r w:rsidR="00C63F8F" w:rsidRPr="00E27443">
        <w:t xml:space="preserve"> </w:t>
      </w:r>
      <w:r w:rsidRPr="00E27443">
        <w:t>different</w:t>
      </w:r>
      <w:r w:rsidR="00C63F8F" w:rsidRPr="00E27443">
        <w:t xml:space="preserve"> </w:t>
      </w:r>
      <w:r w:rsidRPr="00E27443">
        <w:t>disciplines</w:t>
      </w:r>
      <w:r w:rsidR="00C63F8F" w:rsidRPr="00E27443">
        <w:t xml:space="preserve"> </w:t>
      </w:r>
      <w:r w:rsidRPr="00E27443">
        <w:t>and</w:t>
      </w:r>
      <w:r w:rsidR="00C63F8F" w:rsidRPr="00E27443">
        <w:t xml:space="preserve"> </w:t>
      </w:r>
      <w:r w:rsidRPr="00E27443">
        <w:t>principals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achieve</w:t>
      </w:r>
      <w:r w:rsidR="00C63F8F" w:rsidRPr="00E27443">
        <w:t xml:space="preserve"> </w:t>
      </w:r>
      <w:r w:rsidRPr="00E27443">
        <w:t>successful</w:t>
      </w:r>
      <w:r w:rsidR="00C63F8F" w:rsidRPr="00E27443">
        <w:t xml:space="preserve"> </w:t>
      </w:r>
      <w:r w:rsidRPr="00E27443">
        <w:t>rehabilitation</w:t>
      </w:r>
      <w:r w:rsidR="00C63F8F" w:rsidRPr="00E27443">
        <w:t xml:space="preserve"> </w:t>
      </w:r>
      <w:r w:rsidRPr="00E27443">
        <w:t>for</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The</w:t>
      </w:r>
      <w:r w:rsidR="00C63F8F" w:rsidRPr="00E27443">
        <w:t xml:space="preserve"> </w:t>
      </w:r>
      <w:r w:rsidRPr="00E27443">
        <w:t>following</w:t>
      </w:r>
      <w:r w:rsidR="00C63F8F" w:rsidRPr="00E27443">
        <w:t xml:space="preserve"> </w:t>
      </w:r>
      <w:r w:rsidRPr="00E27443">
        <w:t>goals</w:t>
      </w:r>
      <w:r w:rsidR="00C63F8F" w:rsidRPr="00E27443">
        <w:t xml:space="preserve"> </w:t>
      </w:r>
      <w:r w:rsidRPr="00E27443">
        <w:t>have</w:t>
      </w:r>
      <w:r w:rsidR="00C63F8F" w:rsidRPr="00E27443">
        <w:t xml:space="preserve"> </w:t>
      </w:r>
      <w:r w:rsidRPr="00E27443">
        <w:t>been</w:t>
      </w:r>
      <w:r w:rsidR="00C63F8F" w:rsidRPr="00E27443">
        <w:t xml:space="preserve"> </w:t>
      </w:r>
      <w:r w:rsidRPr="00E27443">
        <w:t>formulated:</w:t>
      </w:r>
      <w:r w:rsidR="00C63F8F" w:rsidRPr="00E27443">
        <w:t xml:space="preserve"> </w:t>
      </w:r>
      <w:r w:rsidRPr="00E27443">
        <w:t>Interacting</w:t>
      </w:r>
      <w:r w:rsidR="00C63F8F" w:rsidRPr="00E27443">
        <w:t xml:space="preserve"> </w:t>
      </w:r>
      <w:r w:rsidR="00000B2D" w:rsidRPr="00E27443">
        <w:t>rehabilita</w:t>
      </w:r>
      <w:r w:rsidRPr="00E27443">
        <w:t>tion/habilitation</w:t>
      </w:r>
      <w:r w:rsidR="00C63F8F" w:rsidRPr="00E27443">
        <w:t xml:space="preserve"> </w:t>
      </w:r>
      <w:r w:rsidRPr="00E27443">
        <w:t>must</w:t>
      </w:r>
      <w:r w:rsidR="00C63F8F" w:rsidRPr="00E27443">
        <w:t xml:space="preserve"> </w:t>
      </w:r>
      <w:r w:rsidRPr="00E27443">
        <w:t>be</w:t>
      </w:r>
      <w:r w:rsidR="00C63F8F" w:rsidRPr="00E27443">
        <w:t xml:space="preserve"> </w:t>
      </w:r>
      <w:r w:rsidRPr="00E27443">
        <w:t>offered</w:t>
      </w:r>
      <w:r w:rsidR="00C63F8F" w:rsidRPr="00E27443">
        <w:t xml:space="preserve"> </w:t>
      </w:r>
      <w:r w:rsidRPr="00E27443">
        <w:t>in</w:t>
      </w:r>
      <w:r w:rsidR="00C63F8F" w:rsidRPr="00E27443">
        <w:t xml:space="preserve"> </w:t>
      </w:r>
      <w:r w:rsidRPr="00E27443">
        <w:t>such</w:t>
      </w:r>
      <w:r w:rsidR="00C63F8F" w:rsidRPr="00E27443">
        <w:t xml:space="preserve"> </w:t>
      </w:r>
      <w:r w:rsidRPr="00E27443">
        <w:t>a</w:t>
      </w:r>
      <w:r w:rsidR="00C63F8F" w:rsidRPr="00E27443">
        <w:t xml:space="preserve"> </w:t>
      </w:r>
      <w:r w:rsidRPr="00E27443">
        <w:t>way</w:t>
      </w:r>
      <w:r w:rsidR="00C63F8F" w:rsidRPr="00E27443">
        <w:t xml:space="preserve"> </w:t>
      </w:r>
      <w:r w:rsidRPr="00E27443">
        <w:t>that</w:t>
      </w:r>
      <w:r w:rsidR="00C63F8F" w:rsidRPr="00E27443">
        <w:t xml:space="preserve"> </w:t>
      </w:r>
      <w:r w:rsidRPr="00E27443">
        <w:t>support</w:t>
      </w:r>
      <w:r w:rsidR="00C63F8F" w:rsidRPr="00E27443">
        <w:t xml:space="preserve"> </w:t>
      </w:r>
      <w:r w:rsidRPr="00E27443">
        <w:t>and</w:t>
      </w:r>
      <w:r w:rsidR="00C63F8F" w:rsidRPr="00E27443">
        <w:t xml:space="preserve"> </w:t>
      </w:r>
      <w:r w:rsidRPr="00E27443">
        <w:t>initiatives</w:t>
      </w:r>
      <w:r w:rsidR="00C63F8F" w:rsidRPr="00E27443">
        <w:t xml:space="preserve"> </w:t>
      </w:r>
      <w:r w:rsidRPr="00E27443">
        <w:t>are</w:t>
      </w:r>
      <w:r w:rsidR="00C63F8F" w:rsidRPr="00E27443">
        <w:t xml:space="preserve"> </w:t>
      </w:r>
      <w:r w:rsidRPr="00E27443">
        <w:t>characterised</w:t>
      </w:r>
      <w:r w:rsidR="00C63F8F" w:rsidRPr="00E27443">
        <w:t xml:space="preserve"> </w:t>
      </w:r>
      <w:r w:rsidRPr="00E27443">
        <w:t>by</w:t>
      </w:r>
      <w:r w:rsidR="00C63F8F" w:rsidRPr="00E27443">
        <w:t xml:space="preserve"> </w:t>
      </w:r>
      <w:r w:rsidRPr="00E27443">
        <w:t>a</w:t>
      </w:r>
      <w:r w:rsidR="00C63F8F" w:rsidRPr="00E27443">
        <w:t xml:space="preserve"> </w:t>
      </w:r>
      <w:r w:rsidRPr="00E27443">
        <w:t>holistic</w:t>
      </w:r>
      <w:r w:rsidR="00C63F8F" w:rsidRPr="00E27443">
        <w:t xml:space="preserve"> </w:t>
      </w:r>
      <w:r w:rsidRPr="00E27443">
        <w:t>approach</w:t>
      </w:r>
      <w:r w:rsidR="00C63F8F" w:rsidRPr="00E27443">
        <w:t xml:space="preserve"> </w:t>
      </w:r>
      <w:r w:rsidRPr="00E27443">
        <w:t>and</w:t>
      </w:r>
      <w:r w:rsidR="00C63F8F" w:rsidRPr="00E27443">
        <w:t xml:space="preserve"> </w:t>
      </w:r>
      <w:r w:rsidRPr="00E27443">
        <w:t>correspond</w:t>
      </w:r>
      <w:r w:rsidR="00C63F8F" w:rsidRPr="00E27443">
        <w:t xml:space="preserve"> </w:t>
      </w:r>
      <w:r w:rsidRPr="00E27443">
        <w:t>with</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Initiatives</w:t>
      </w:r>
      <w:r w:rsidR="00C63F8F" w:rsidRPr="00E27443">
        <w:t xml:space="preserve"> </w:t>
      </w:r>
      <w:r w:rsidRPr="00E27443">
        <w:t>must</w:t>
      </w:r>
      <w:r w:rsidR="00C63F8F" w:rsidRPr="00E27443">
        <w:t xml:space="preserve"> </w:t>
      </w:r>
      <w:r w:rsidRPr="00E27443">
        <w:t>be</w:t>
      </w:r>
      <w:r w:rsidR="00C63F8F" w:rsidRPr="00E27443">
        <w:t xml:space="preserve"> </w:t>
      </w:r>
      <w:r w:rsidRPr="00E27443">
        <w:t>implemented</w:t>
      </w:r>
      <w:r w:rsidR="00C63F8F" w:rsidRPr="00E27443">
        <w:t xml:space="preserve"> </w:t>
      </w:r>
      <w:r w:rsidRPr="00E27443">
        <w:t>at</w:t>
      </w:r>
      <w:r w:rsidR="00C63F8F" w:rsidRPr="00E27443">
        <w:t xml:space="preserve"> </w:t>
      </w:r>
      <w:r w:rsidRPr="00E27443">
        <w:t>the</w:t>
      </w:r>
      <w:r w:rsidR="00C63F8F" w:rsidRPr="00E27443">
        <w:t xml:space="preserve"> </w:t>
      </w:r>
      <w:r w:rsidRPr="00E27443">
        <w:t>right</w:t>
      </w:r>
      <w:r w:rsidR="00C63F8F" w:rsidRPr="00E27443">
        <w:t xml:space="preserve"> </w:t>
      </w:r>
      <w:r w:rsidRPr="00E27443">
        <w:t>time</w:t>
      </w:r>
      <w:r w:rsidR="00C63F8F" w:rsidRPr="00E27443">
        <w:t xml:space="preserve"> </w:t>
      </w:r>
      <w:r w:rsidRPr="00E27443">
        <w:t>and</w:t>
      </w:r>
      <w:r w:rsidR="00C63F8F" w:rsidRPr="00E27443">
        <w:t xml:space="preserve"> </w:t>
      </w:r>
      <w:r w:rsidRPr="00E27443">
        <w:t>in</w:t>
      </w:r>
      <w:r w:rsidR="00C63F8F" w:rsidRPr="00E27443">
        <w:t xml:space="preserve"> </w:t>
      </w:r>
      <w:r w:rsidRPr="00E27443">
        <w:t>the</w:t>
      </w:r>
      <w:r w:rsidR="00C63F8F" w:rsidRPr="00E27443">
        <w:t xml:space="preserve"> </w:t>
      </w:r>
      <w:r w:rsidRPr="00E27443">
        <w:t>right</w:t>
      </w:r>
      <w:r w:rsidR="00C63F8F" w:rsidRPr="00E27443">
        <w:t xml:space="preserve"> </w:t>
      </w:r>
      <w:r w:rsidRPr="00E27443">
        <w:t>way,</w:t>
      </w:r>
      <w:r w:rsidR="00C63F8F" w:rsidRPr="00E27443">
        <w:t xml:space="preserve"> </w:t>
      </w:r>
      <w:r w:rsidRPr="00E27443">
        <w:t>satisfying</w:t>
      </w:r>
      <w:r w:rsidR="00C63F8F" w:rsidRPr="00E27443">
        <w:t xml:space="preserve"> </w:t>
      </w:r>
      <w:r w:rsidRPr="00E27443">
        <w:t>both</w:t>
      </w:r>
      <w:r w:rsidR="00C63F8F" w:rsidRPr="00E27443">
        <w:t xml:space="preserve"> </w:t>
      </w:r>
      <w:r w:rsidRPr="00E27443">
        <w:t>good</w:t>
      </w:r>
      <w:r w:rsidR="00C63F8F" w:rsidRPr="00E27443">
        <w:t xml:space="preserve"> </w:t>
      </w:r>
      <w:r w:rsidRPr="00E27443">
        <w:t>ethics</w:t>
      </w:r>
      <w:r w:rsidR="00C63F8F" w:rsidRPr="00E27443">
        <w:t xml:space="preserve"> </w:t>
      </w:r>
      <w:r w:rsidRPr="00E27443">
        <w:t>and</w:t>
      </w:r>
      <w:r w:rsidR="00C63F8F" w:rsidRPr="00E27443">
        <w:t xml:space="preserve"> </w:t>
      </w:r>
      <w:r w:rsidRPr="00E27443">
        <w:t>socioeconomic</w:t>
      </w:r>
      <w:r w:rsidR="00C63F8F" w:rsidRPr="00E27443">
        <w:t xml:space="preserve"> </w:t>
      </w:r>
      <w:r w:rsidRPr="00E27443">
        <w:t>responsibility.</w:t>
      </w:r>
      <w:r w:rsidR="00C63F8F" w:rsidRPr="00E27443">
        <w:t xml:space="preserve"> </w:t>
      </w:r>
      <w:r w:rsidRPr="00E27443">
        <w:t>In</w:t>
      </w:r>
      <w:r w:rsidR="00C63F8F" w:rsidRPr="00E27443">
        <w:t xml:space="preserve"> </w:t>
      </w:r>
      <w:r w:rsidRPr="00E27443">
        <w:t>October</w:t>
      </w:r>
      <w:r w:rsidR="00C63F8F" w:rsidRPr="00E27443">
        <w:t xml:space="preserve"> </w:t>
      </w:r>
      <w:r w:rsidRPr="00E27443">
        <w:t>2010,</w:t>
      </w:r>
      <w:r w:rsidR="00C63F8F" w:rsidRPr="00E27443">
        <w:t xml:space="preserve"> </w:t>
      </w:r>
      <w:r w:rsidRPr="00E27443">
        <w:t>the</w:t>
      </w:r>
      <w:r w:rsidR="00C63F8F" w:rsidRPr="00E27443">
        <w:t xml:space="preserve"> </w:t>
      </w:r>
      <w:r w:rsidRPr="00E27443">
        <w:t>work</w:t>
      </w:r>
      <w:r w:rsidR="00C63F8F" w:rsidRPr="00E27443">
        <w:t xml:space="preserve"> </w:t>
      </w:r>
      <w:r w:rsidRPr="00E27443">
        <w:t>on</w:t>
      </w:r>
      <w:r w:rsidR="00C63F8F" w:rsidRPr="00E27443">
        <w:t xml:space="preserve"> </w:t>
      </w:r>
      <w:r w:rsidRPr="00E27443">
        <w:t>common</w:t>
      </w:r>
      <w:r w:rsidR="00C63F8F" w:rsidRPr="00E27443">
        <w:t xml:space="preserve"> </w:t>
      </w:r>
      <w:r w:rsidRPr="00E27443">
        <w:t>guidelines</w:t>
      </w:r>
      <w:r w:rsidR="00C63F8F" w:rsidRPr="00E27443">
        <w:t xml:space="preserve"> </w:t>
      </w:r>
      <w:r w:rsidRPr="00E27443">
        <w:t>between</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with</w:t>
      </w:r>
      <w:r w:rsidR="00C63F8F" w:rsidRPr="00E27443">
        <w:t xml:space="preserve"> </w:t>
      </w:r>
      <w:r w:rsidRPr="00E27443">
        <w:t>these</w:t>
      </w:r>
      <w:r w:rsidR="00C63F8F" w:rsidRPr="00E27443">
        <w:t xml:space="preserve"> </w:t>
      </w:r>
      <w:r w:rsidRPr="00E27443">
        <w:t>goals,</w:t>
      </w:r>
      <w:r w:rsidR="00C63F8F" w:rsidRPr="00E27443">
        <w:t xml:space="preserve"> </w:t>
      </w:r>
      <w:r w:rsidRPr="00E27443">
        <w:t>has</w:t>
      </w:r>
      <w:r w:rsidR="00C63F8F" w:rsidRPr="00E27443">
        <w:t xml:space="preserve"> </w:t>
      </w:r>
      <w:r w:rsidRPr="00E27443">
        <w:t>commenced</w:t>
      </w:r>
      <w:r w:rsidR="00C63F8F" w:rsidRPr="00E27443">
        <w:t xml:space="preserve"> </w:t>
      </w:r>
      <w:r w:rsidRPr="00E27443">
        <w:t>in</w:t>
      </w:r>
      <w:r w:rsidR="00C63F8F" w:rsidRPr="00E27443">
        <w:t xml:space="preserve"> </w:t>
      </w:r>
      <w:r w:rsidRPr="00E27443">
        <w:t>all</w:t>
      </w:r>
      <w:r w:rsidR="00C63F8F" w:rsidRPr="00E27443">
        <w:t xml:space="preserve"> </w:t>
      </w:r>
      <w:r w:rsidRPr="00E27443">
        <w:t>but</w:t>
      </w:r>
      <w:r w:rsidR="00C63F8F" w:rsidRPr="00E27443">
        <w:t xml:space="preserve"> </w:t>
      </w:r>
      <w:r w:rsidRPr="00E27443">
        <w:t>two</w:t>
      </w:r>
      <w:r w:rsidR="00C63F8F" w:rsidRPr="00E27443">
        <w:t xml:space="preserve"> </w:t>
      </w:r>
      <w:r w:rsidRPr="00E27443">
        <w:t>county</w:t>
      </w:r>
      <w:r w:rsidR="00C63F8F" w:rsidRPr="00E27443">
        <w:t xml:space="preserve"> </w:t>
      </w:r>
      <w:r w:rsidRPr="00E27443">
        <w:t>councils.</w:t>
      </w:r>
      <w:r w:rsidR="00C63F8F" w:rsidRPr="00E27443">
        <w:t xml:space="preserve"> </w:t>
      </w:r>
    </w:p>
    <w:p w:rsidR="00321ADA" w:rsidRPr="00E27443" w:rsidRDefault="00321ADA" w:rsidP="00154C57">
      <w:pPr>
        <w:pStyle w:val="SingleTxtG"/>
        <w:numPr>
          <w:ilvl w:val="0"/>
          <w:numId w:val="20"/>
        </w:numPr>
        <w:tabs>
          <w:tab w:val="left" w:pos="1843"/>
        </w:tabs>
        <w:ind w:left="1134" w:firstLine="0"/>
      </w:pPr>
      <w:r w:rsidRPr="00E27443">
        <w:t>Work</w:t>
      </w:r>
      <w:r w:rsidR="00C63F8F" w:rsidRPr="00E27443">
        <w:t xml:space="preserve"> </w:t>
      </w:r>
      <w:r w:rsidRPr="00E27443">
        <w:t>and</w:t>
      </w:r>
      <w:r w:rsidR="00C63F8F" w:rsidRPr="00E27443">
        <w:t xml:space="preserve"> </w:t>
      </w:r>
      <w:r w:rsidRPr="00E27443">
        <w:t>employment</w:t>
      </w:r>
      <w:r w:rsidR="00C63F8F" w:rsidRPr="00E27443">
        <w:t xml:space="preserve"> </w:t>
      </w:r>
      <w:r w:rsidRPr="00E27443">
        <w:t>are</w:t>
      </w:r>
      <w:r w:rsidR="00C63F8F" w:rsidRPr="00E27443">
        <w:t xml:space="preserve"> </w:t>
      </w:r>
      <w:r w:rsidRPr="00E27443">
        <w:t>central</w:t>
      </w:r>
      <w:r w:rsidR="00C63F8F" w:rsidRPr="00E27443">
        <w:t xml:space="preserve"> </w:t>
      </w:r>
      <w:r w:rsidRPr="00E27443">
        <w:t>areas</w:t>
      </w:r>
      <w:r w:rsidR="00C63F8F" w:rsidRPr="00E27443">
        <w:t xml:space="preserve"> </w:t>
      </w:r>
      <w:r w:rsidRPr="00E27443">
        <w:t>for</w:t>
      </w:r>
      <w:r w:rsidR="00C63F8F" w:rsidRPr="00E27443">
        <w:t xml:space="preserve"> </w:t>
      </w:r>
      <w:r w:rsidRPr="00E27443">
        <w:t>increasing</w:t>
      </w:r>
      <w:r w:rsidR="00C63F8F" w:rsidRPr="00E27443">
        <w:t xml:space="preserve"> </w:t>
      </w:r>
      <w:r w:rsidRPr="00E27443">
        <w:t>participation</w:t>
      </w:r>
      <w:r w:rsidR="00C63F8F" w:rsidRPr="00E27443">
        <w:t xml:space="preserve"> </w:t>
      </w:r>
      <w:r w:rsidRPr="00E27443">
        <w:t>in</w:t>
      </w:r>
      <w:r w:rsidR="00C63F8F" w:rsidRPr="00E27443">
        <w:t xml:space="preserve"> </w:t>
      </w:r>
      <w:r w:rsidRPr="00E27443">
        <w:t>society</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Swedish</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2C590F" w:rsidRPr="00154C57">
        <w:footnoteReference w:id="114"/>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AF58C6">
        <w:t>to</w:t>
      </w:r>
      <w:r w:rsidR="00C63F8F" w:rsidRPr="00AF58C6">
        <w:t xml:space="preserve"> </w:t>
      </w:r>
      <w:r w:rsidRPr="00AF58C6">
        <w:t>conduct</w:t>
      </w:r>
      <w:r w:rsidR="00C63F8F" w:rsidRPr="00AF58C6">
        <w:t xml:space="preserve"> </w:t>
      </w:r>
      <w:r w:rsidRPr="00154C57">
        <w:t>vocational</w:t>
      </w:r>
      <w:r w:rsidR="00C63F8F" w:rsidRPr="00154C57">
        <w:t xml:space="preserve"> </w:t>
      </w:r>
      <w:r w:rsidRPr="00154C57">
        <w:t>rehabilitation</w:t>
      </w:r>
      <w:r w:rsidR="00C63F8F" w:rsidRPr="00E27443">
        <w:t xml:space="preserve"> </w:t>
      </w:r>
      <w:r w:rsidRPr="00E27443">
        <w:t>in</w:t>
      </w:r>
      <w:r w:rsidR="00C63F8F" w:rsidRPr="00E27443">
        <w:t xml:space="preserve"> </w:t>
      </w:r>
      <w:r w:rsidRPr="00E27443">
        <w:t>the</w:t>
      </w:r>
      <w:r w:rsidR="00C63F8F" w:rsidRPr="00E27443">
        <w:t xml:space="preserve"> </w:t>
      </w:r>
      <w:r w:rsidRPr="00E27443">
        <w:t>form</w:t>
      </w:r>
      <w:r w:rsidR="00C63F8F" w:rsidRPr="00E27443">
        <w:t xml:space="preserve"> </w:t>
      </w:r>
      <w:r w:rsidRPr="00E27443">
        <w:t>of</w:t>
      </w:r>
      <w:r w:rsidR="00C63F8F" w:rsidRPr="00E27443">
        <w:t xml:space="preserve"> </w:t>
      </w:r>
      <w:r w:rsidRPr="00E27443">
        <w:t>initiatives</w:t>
      </w:r>
      <w:r w:rsidR="00C63F8F" w:rsidRPr="00E27443">
        <w:t xml:space="preserve"> </w:t>
      </w:r>
      <w:r w:rsidRPr="00E27443">
        <w:t>focusing</w:t>
      </w:r>
      <w:r w:rsidR="00C63F8F" w:rsidRPr="00E27443">
        <w:t xml:space="preserve"> </w:t>
      </w:r>
      <w:r w:rsidRPr="00E27443">
        <w:t>on</w:t>
      </w:r>
      <w:r w:rsidR="00C63F8F" w:rsidRPr="00E27443">
        <w:t xml:space="preserve"> </w:t>
      </w:r>
      <w:r w:rsidRPr="00E27443">
        <w:t>guidance,</w:t>
      </w:r>
      <w:r w:rsidR="00C63F8F" w:rsidRPr="00E27443">
        <w:t xml:space="preserve"> </w:t>
      </w:r>
      <w:r w:rsidRPr="00E27443">
        <w:t>investigation,</w:t>
      </w:r>
      <w:r w:rsidR="00C63F8F" w:rsidRPr="00E27443">
        <w:t xml:space="preserve"> </w:t>
      </w:r>
      <w:r w:rsidRPr="00E27443">
        <w:t>rehabilitation</w:t>
      </w:r>
      <w:r w:rsidR="00C63F8F" w:rsidRPr="00E27443">
        <w:t xml:space="preserve"> </w:t>
      </w:r>
      <w:r w:rsidRPr="00E27443">
        <w:t>or</w:t>
      </w:r>
      <w:r w:rsidR="00C63F8F" w:rsidRPr="00E27443">
        <w:t xml:space="preserve"> </w:t>
      </w:r>
      <w:r w:rsidRPr="00E27443">
        <w:t>preparation</w:t>
      </w:r>
      <w:r w:rsidR="00C63F8F" w:rsidRPr="00E27443">
        <w:t xml:space="preserve"> </w:t>
      </w:r>
      <w:r w:rsidRPr="00E27443">
        <w:t>for</w:t>
      </w:r>
      <w:r w:rsidR="00C63F8F" w:rsidRPr="00E27443">
        <w:t xml:space="preserve"> </w:t>
      </w:r>
      <w:r w:rsidRPr="00E27443">
        <w:t>work.</w:t>
      </w:r>
      <w:r w:rsidR="00C63F8F" w:rsidRPr="00E27443">
        <w:t xml:space="preserve"> </w:t>
      </w:r>
      <w:r w:rsidRPr="00E27443">
        <w:t>The</w:t>
      </w:r>
      <w:r w:rsidR="00C63F8F" w:rsidRPr="00E27443">
        <w:t xml:space="preserve"> </w:t>
      </w:r>
      <w:r w:rsidRPr="00E27443">
        <w:t>Service</w:t>
      </w:r>
      <w:r w:rsidR="00C63F8F" w:rsidRPr="00E27443">
        <w:t xml:space="preserve"> </w:t>
      </w:r>
      <w:r w:rsidRPr="00E27443">
        <w:t>will</w:t>
      </w:r>
      <w:r w:rsidR="00C63F8F" w:rsidRPr="00E27443">
        <w:t xml:space="preserve"> </w:t>
      </w:r>
      <w:r w:rsidRPr="00E27443">
        <w:t>co-operate</w:t>
      </w:r>
      <w:r w:rsidR="00C63F8F" w:rsidRPr="00E27443">
        <w:t xml:space="preserve"> </w:t>
      </w:r>
      <w:r w:rsidRPr="00E27443">
        <w:t>with</w:t>
      </w:r>
      <w:r w:rsidR="00C63F8F" w:rsidRPr="00E27443">
        <w:t xml:space="preserve"> </w:t>
      </w:r>
      <w:r w:rsidRPr="00E27443">
        <w:t>the</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Office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2C590F" w:rsidRPr="00154C57">
        <w:footnoteReference w:id="115"/>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launched</w:t>
      </w:r>
      <w:r w:rsidR="00C63F8F" w:rsidRPr="00E27443">
        <w:t xml:space="preserve"> </w:t>
      </w:r>
      <w:r w:rsidRPr="00E27443">
        <w:t>several</w:t>
      </w:r>
      <w:r w:rsidR="00C63F8F" w:rsidRPr="00E27443">
        <w:t xml:space="preserve"> </w:t>
      </w:r>
      <w:r w:rsidRPr="00E27443">
        <w:t>initiatives</w:t>
      </w:r>
      <w:r w:rsidR="00C63F8F" w:rsidRPr="00E27443">
        <w:t xml:space="preserve"> </w:t>
      </w:r>
      <w:r w:rsidRPr="00E27443">
        <w:t>aimed</w:t>
      </w:r>
      <w:r w:rsidR="00C63F8F" w:rsidRPr="00E27443">
        <w:t xml:space="preserve"> </w:t>
      </w:r>
      <w:r w:rsidRPr="00E27443">
        <w:t>at</w:t>
      </w:r>
      <w:r w:rsidR="00C63F8F" w:rsidRPr="00E27443">
        <w:t xml:space="preserve"> </w:t>
      </w:r>
      <w:r w:rsidRPr="00E27443">
        <w:t>improving</w:t>
      </w:r>
      <w:r w:rsidR="00C63F8F" w:rsidRPr="00E27443">
        <w:t xml:space="preserve"> </w:t>
      </w:r>
      <w:r w:rsidRPr="00E27443">
        <w:t>the</w:t>
      </w:r>
      <w:r w:rsidR="00C63F8F" w:rsidRPr="00E27443">
        <w:t xml:space="preserve"> </w:t>
      </w:r>
      <w:r w:rsidRPr="00E27443">
        <w:t>situation</w:t>
      </w:r>
      <w:r w:rsidR="00C63F8F" w:rsidRPr="00E27443">
        <w:t xml:space="preserve"> </w:t>
      </w:r>
      <w:r w:rsidRPr="00E27443">
        <w:t>on</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order</w:t>
      </w:r>
      <w:r w:rsidR="00C63F8F" w:rsidRPr="00E27443">
        <w:t xml:space="preserve"> </w:t>
      </w:r>
      <w:r w:rsidRPr="00E27443">
        <w:t>for</w:t>
      </w:r>
      <w:r w:rsidR="00C63F8F" w:rsidRPr="00E27443">
        <w:t xml:space="preserve"> </w:t>
      </w:r>
      <w:r w:rsidRPr="00E27443">
        <w:t>employers</w:t>
      </w:r>
      <w:r w:rsidR="00C63F8F" w:rsidRPr="00E27443">
        <w:t xml:space="preserve"> </w:t>
      </w:r>
      <w:r w:rsidRPr="00E27443">
        <w:t>to</w:t>
      </w:r>
      <w:r w:rsidR="00C63F8F" w:rsidRPr="00E27443">
        <w:t xml:space="preserve"> </w:t>
      </w:r>
      <w:r w:rsidRPr="00E27443">
        <w:t>employ</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considerable</w:t>
      </w:r>
      <w:r w:rsidR="00C63F8F" w:rsidRPr="00E27443">
        <w:t xml:space="preserve"> </w:t>
      </w:r>
      <w:r w:rsidRPr="00E27443">
        <w:t>need</w:t>
      </w:r>
      <w:r w:rsidR="00C63F8F" w:rsidRPr="00E27443">
        <w:t xml:space="preserve"> </w:t>
      </w:r>
      <w:r w:rsidRPr="00E27443">
        <w:t>for</w:t>
      </w:r>
      <w:r w:rsidR="00C63F8F" w:rsidRPr="00E27443">
        <w:t xml:space="preserve"> </w:t>
      </w:r>
      <w:r w:rsidRPr="00E27443">
        <w:t>support</w:t>
      </w:r>
      <w:r w:rsidR="00C63F8F" w:rsidRPr="00E27443">
        <w:t xml:space="preserve"> </w:t>
      </w:r>
      <w:r w:rsidRPr="00E27443">
        <w:t>to</w:t>
      </w:r>
      <w:r w:rsidR="00C63F8F" w:rsidRPr="00E27443">
        <w:t xml:space="preserve"> </w:t>
      </w:r>
      <w:r w:rsidRPr="00E27443">
        <w:t>a</w:t>
      </w:r>
      <w:r w:rsidR="00C63F8F" w:rsidRPr="00E27443">
        <w:t xml:space="preserve"> </w:t>
      </w:r>
      <w:r w:rsidRPr="00E27443">
        <w:t>greater</w:t>
      </w:r>
      <w:r w:rsidR="00C63F8F" w:rsidRPr="00E27443">
        <w:t xml:space="preserve"> </w:t>
      </w:r>
      <w:r w:rsidRPr="00E27443">
        <w:t>extent</w:t>
      </w:r>
      <w:r w:rsidR="00C63F8F" w:rsidRPr="00E27443">
        <w:t xml:space="preserve"> </w:t>
      </w:r>
      <w:r w:rsidRPr="00E27443">
        <w:t>than</w:t>
      </w:r>
      <w:r w:rsidR="00C63F8F" w:rsidRPr="00E27443">
        <w:t xml:space="preserve"> </w:t>
      </w:r>
      <w:r w:rsidRPr="00E27443">
        <w:t>previously,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increased</w:t>
      </w:r>
      <w:r w:rsidR="00C63F8F" w:rsidRPr="00E27443">
        <w:t xml:space="preserve"> </w:t>
      </w:r>
      <w:r w:rsidRPr="00E27443">
        <w:t>the</w:t>
      </w:r>
      <w:r w:rsidR="00C63F8F" w:rsidRPr="00E27443">
        <w:t xml:space="preserve"> </w:t>
      </w:r>
      <w:r w:rsidRPr="00E27443">
        <w:t>amount</w:t>
      </w:r>
      <w:r w:rsidR="00C63F8F" w:rsidRPr="00E27443">
        <w:t xml:space="preserve"> </w:t>
      </w:r>
      <w:r w:rsidRPr="00E27443">
        <w:t>available</w:t>
      </w:r>
      <w:r w:rsidR="00C63F8F" w:rsidRPr="00E27443">
        <w:t xml:space="preserve"> </w:t>
      </w:r>
      <w:r w:rsidRPr="00E27443">
        <w:t>for</w:t>
      </w:r>
      <w:r w:rsidR="00C63F8F" w:rsidRPr="00E27443">
        <w:t xml:space="preserve"> </w:t>
      </w:r>
      <w:r w:rsidRPr="00E27443">
        <w:t>support</w:t>
      </w:r>
      <w:r w:rsidR="00C63F8F" w:rsidRPr="00E27443">
        <w:t xml:space="preserve"> </w:t>
      </w:r>
      <w:r w:rsidRPr="00E27443">
        <w:t>for</w:t>
      </w:r>
      <w:r w:rsidR="00C63F8F" w:rsidRPr="00E27443">
        <w:t xml:space="preserve"> </w:t>
      </w:r>
      <w:r w:rsidRPr="00E27443">
        <w:t>vocational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support</w:t>
      </w:r>
      <w:r w:rsidR="00C63F8F" w:rsidRPr="00E27443">
        <w:t xml:space="preserve"> </w:t>
      </w:r>
      <w:r w:rsidRPr="00E27443">
        <w:t>for</w:t>
      </w:r>
      <w:r w:rsidR="00C63F8F" w:rsidRPr="00E27443">
        <w:t xml:space="preserve"> </w:t>
      </w:r>
      <w:r w:rsidRPr="00E27443">
        <w:t>personal</w:t>
      </w:r>
      <w:r w:rsidR="00C63F8F" w:rsidRPr="00E27443">
        <w:t xml:space="preserve"> </w:t>
      </w:r>
      <w:r w:rsidRPr="00E27443">
        <w:t>assistance,</w:t>
      </w:r>
      <w:r w:rsidR="00C63F8F" w:rsidRPr="00E27443">
        <w:t xml:space="preserve"> </w:t>
      </w:r>
      <w:r w:rsidRPr="00E27443">
        <w:t>both</w:t>
      </w:r>
      <w:r w:rsidR="00C63F8F" w:rsidRPr="00E27443">
        <w:t xml:space="preserve"> </w:t>
      </w:r>
      <w:r w:rsidRPr="00E27443">
        <w:t>for</w:t>
      </w:r>
      <w:r w:rsidR="00C63F8F" w:rsidRPr="00E27443">
        <w:t xml:space="preserve"> </w:t>
      </w:r>
      <w:r w:rsidRPr="00E27443">
        <w:t>the</w:t>
      </w:r>
      <w:r w:rsidR="00C63F8F" w:rsidRPr="00E27443">
        <w:t xml:space="preserve"> </w:t>
      </w:r>
      <w:r w:rsidRPr="00E27443">
        <w:t>employee</w:t>
      </w:r>
      <w:r w:rsidR="00C63F8F" w:rsidRPr="00E27443">
        <w:t xml:space="preserve"> </w:t>
      </w:r>
      <w:r w:rsidRPr="00E27443">
        <w:t>and</w:t>
      </w:r>
      <w:r w:rsidR="00C63F8F" w:rsidRPr="00E27443">
        <w:t xml:space="preserve"> </w:t>
      </w:r>
      <w:r w:rsidRPr="00E27443">
        <w:t>for</w:t>
      </w:r>
      <w:r w:rsidR="00C63F8F" w:rsidRPr="00E27443">
        <w:t xml:space="preserve"> </w:t>
      </w:r>
      <w:r w:rsidRPr="00E27443">
        <w:t>the</w:t>
      </w:r>
      <w:r w:rsidR="00C63F8F" w:rsidRPr="00E27443">
        <w:t xml:space="preserve"> </w:t>
      </w:r>
      <w:r w:rsidRPr="00E27443">
        <w:t>owner</w:t>
      </w:r>
      <w:r w:rsidR="00C63F8F" w:rsidRPr="00E27443">
        <w:t xml:space="preserve"> </w:t>
      </w:r>
      <w:r w:rsidRPr="00E27443">
        <w:t>of</w:t>
      </w:r>
      <w:r w:rsidR="00C63F8F" w:rsidRPr="00E27443">
        <w:t xml:space="preserve"> </w:t>
      </w:r>
      <w:r w:rsidRPr="00E27443">
        <w:t>the</w:t>
      </w:r>
      <w:r w:rsidR="00C63F8F" w:rsidRPr="00E27443">
        <w:t xml:space="preserve"> </w:t>
      </w:r>
      <w:r w:rsidRPr="00E27443">
        <w:t>business.</w:t>
      </w:r>
      <w:r w:rsidR="00C63F8F" w:rsidRPr="00E27443">
        <w:t xml:space="preserve"> </w:t>
      </w:r>
      <w:r w:rsidRPr="00E27443">
        <w:t>See</w:t>
      </w:r>
      <w:r w:rsidR="00C63F8F" w:rsidRPr="00E27443">
        <w:t xml:space="preserve"> </w:t>
      </w:r>
      <w:r w:rsidRPr="00E27443">
        <w:t>Article</w:t>
      </w:r>
      <w:r w:rsidR="00C63F8F" w:rsidRPr="00E27443">
        <w:t xml:space="preserve"> </w:t>
      </w:r>
      <w:r w:rsidRPr="00E27443">
        <w:t>27.</w:t>
      </w:r>
    </w:p>
    <w:p w:rsidR="00321ADA" w:rsidRPr="00E27443" w:rsidRDefault="00321ADA" w:rsidP="00154C57">
      <w:pPr>
        <w:pStyle w:val="SingleTxtG"/>
        <w:numPr>
          <w:ilvl w:val="0"/>
          <w:numId w:val="20"/>
        </w:numPr>
        <w:tabs>
          <w:tab w:val="left" w:pos="1843"/>
        </w:tabs>
        <w:ind w:left="1134" w:firstLine="0"/>
      </w:pPr>
      <w:r w:rsidRPr="00E27443">
        <w:t>Many</w:t>
      </w:r>
      <w:r w:rsidR="00C63F8F" w:rsidRPr="00E27443">
        <w:t xml:space="preserve"> </w:t>
      </w:r>
      <w:r w:rsidRPr="00E27443">
        <w:t>of</w:t>
      </w:r>
      <w:r w:rsidR="00C63F8F" w:rsidRPr="00E27443">
        <w:t xml:space="preserve"> </w:t>
      </w:r>
      <w:r w:rsidRPr="00E27443">
        <w:t>the</w:t>
      </w:r>
      <w:r w:rsidR="00C63F8F" w:rsidRPr="00E27443">
        <w:t xml:space="preserve"> </w:t>
      </w:r>
      <w:r w:rsidRPr="00E27443">
        <w:t>initiatives</w:t>
      </w:r>
      <w:r w:rsidR="002C590F" w:rsidRPr="00E27443">
        <w:rPr>
          <w:rStyle w:val="FootnoteReference"/>
        </w:rPr>
        <w:footnoteReference w:id="116"/>
      </w:r>
      <w:r w:rsidR="00C63F8F" w:rsidRPr="00E27443">
        <w:t xml:space="preserve"> </w:t>
      </w:r>
      <w:r w:rsidRPr="00E27443">
        <w:t>that</w:t>
      </w:r>
      <w:r w:rsidR="00C63F8F" w:rsidRPr="00E27443">
        <w:t xml:space="preserve"> </w:t>
      </w:r>
      <w:r w:rsidRPr="00E27443">
        <w:t>are</w:t>
      </w:r>
      <w:r w:rsidR="00C63F8F" w:rsidRPr="00E27443">
        <w:t xml:space="preserve"> </w:t>
      </w:r>
      <w:r w:rsidRPr="00E27443">
        <w:t>targeted</w:t>
      </w:r>
      <w:r w:rsidR="00C63F8F" w:rsidRPr="00E27443">
        <w:t xml:space="preserve"> </w:t>
      </w:r>
      <w:r w:rsidRPr="00E27443">
        <w:t>at</w:t>
      </w:r>
      <w:r w:rsidR="00C63F8F" w:rsidRPr="00E27443">
        <w:t xml:space="preserve"> </w:t>
      </w:r>
      <w:r w:rsidRPr="00E27443">
        <w:t>jobseekers</w:t>
      </w:r>
      <w:r w:rsidR="00C63F8F" w:rsidRPr="00E27443">
        <w:t xml:space="preserve"> </w:t>
      </w:r>
      <w:r w:rsidRPr="00E27443">
        <w:t>have</w:t>
      </w:r>
      <w:r w:rsidR="00C63F8F" w:rsidRPr="00E27443">
        <w:t xml:space="preserve"> </w:t>
      </w:r>
      <w:r w:rsidRPr="00E27443">
        <w:t>generally</w:t>
      </w:r>
      <w:r w:rsidR="00C63F8F" w:rsidRPr="00E27443">
        <w:t xml:space="preserve"> </w:t>
      </w:r>
      <w:r w:rsidRPr="00E27443">
        <w:t>worked</w:t>
      </w:r>
      <w:r w:rsidR="00C63F8F" w:rsidRPr="00E27443">
        <w:t xml:space="preserve"> </w:t>
      </w:r>
      <w:r w:rsidRPr="00E27443">
        <w:t>well</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specific</w:t>
      </w:r>
      <w:r w:rsidR="00C63F8F" w:rsidRPr="00E27443">
        <w:t xml:space="preserve"> </w:t>
      </w:r>
      <w:r w:rsidRPr="00E27443">
        <w:t>initiatives</w:t>
      </w:r>
      <w:r w:rsidR="00C63F8F" w:rsidRPr="00E27443">
        <w:t xml:space="preserve"> </w:t>
      </w:r>
      <w:r w:rsidRPr="00E27443">
        <w:t>that</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offers</w:t>
      </w:r>
      <w:r w:rsidR="00C63F8F" w:rsidRPr="00E27443">
        <w:t xml:space="preserve"> </w:t>
      </w:r>
      <w:r w:rsidRPr="00E27443">
        <w:t>to</w:t>
      </w:r>
      <w:r w:rsidR="00C63F8F" w:rsidRPr="00E27443">
        <w:t xml:space="preserve"> </w:t>
      </w:r>
      <w:r w:rsidRPr="00E27443">
        <w:t>individuals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have</w:t>
      </w:r>
      <w:r w:rsidR="00C63F8F" w:rsidRPr="00E27443">
        <w:t xml:space="preserve"> </w:t>
      </w:r>
      <w:r w:rsidRPr="00E27443">
        <w:t>also</w:t>
      </w:r>
      <w:r w:rsidR="00C63F8F" w:rsidRPr="00E27443">
        <w:t xml:space="preserve"> </w:t>
      </w:r>
      <w:r w:rsidRPr="00E27443">
        <w:t>been</w:t>
      </w:r>
      <w:r w:rsidR="00C63F8F" w:rsidRPr="00E27443">
        <w:t xml:space="preserve"> </w:t>
      </w:r>
      <w:r w:rsidRPr="00E27443">
        <w:t>reinforced.</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also</w:t>
      </w:r>
      <w:r w:rsidR="00C63F8F" w:rsidRPr="00E27443">
        <w:t xml:space="preserve"> </w:t>
      </w:r>
      <w:r w:rsidRPr="00E27443">
        <w:t>created</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for</w:t>
      </w:r>
      <w:r w:rsidR="00C63F8F" w:rsidRPr="00E27443">
        <w:t xml:space="preserve"> </w:t>
      </w:r>
      <w:r w:rsidRPr="00E27443">
        <w:t>individuals</w:t>
      </w:r>
      <w:r w:rsidR="00C63F8F" w:rsidRPr="00E27443">
        <w:t xml:space="preserve"> </w:t>
      </w:r>
      <w:r w:rsidRPr="00E27443">
        <w:t>receiving</w:t>
      </w:r>
      <w:r w:rsidR="00C63F8F" w:rsidRPr="00E27443">
        <w:t xml:space="preserve"> </w:t>
      </w:r>
      <w:r w:rsidRPr="00E27443">
        <w:t>sickness</w:t>
      </w:r>
      <w:r w:rsidR="00C63F8F" w:rsidRPr="00E27443">
        <w:t xml:space="preserve"> </w:t>
      </w:r>
      <w:r w:rsidRPr="00E27443">
        <w:t>or</w:t>
      </w:r>
      <w:r w:rsidR="00C63F8F" w:rsidRPr="00E27443">
        <w:t xml:space="preserve"> </w:t>
      </w:r>
      <w:r w:rsidRPr="00E27443">
        <w:t>activity</w:t>
      </w:r>
      <w:r w:rsidR="00C63F8F" w:rsidRPr="00E27443">
        <w:t xml:space="preserve"> </w:t>
      </w:r>
      <w:r w:rsidRPr="00E27443">
        <w:t>compensation</w:t>
      </w:r>
      <w:r w:rsidR="00C63F8F" w:rsidRPr="00E27443">
        <w:t xml:space="preserve"> </w:t>
      </w:r>
      <w:r w:rsidRPr="00E27443">
        <w:t>to</w:t>
      </w:r>
      <w:r w:rsidR="00C63F8F" w:rsidRPr="00E27443">
        <w:t xml:space="preserve"> </w:t>
      </w:r>
      <w:r w:rsidRPr="00E27443">
        <w:t>work</w:t>
      </w:r>
      <w:r w:rsidR="00C63F8F" w:rsidRPr="00E27443">
        <w:t xml:space="preserve"> </w:t>
      </w:r>
      <w:r w:rsidRPr="00E27443">
        <w:t>without</w:t>
      </w:r>
      <w:r w:rsidR="00C63F8F" w:rsidRPr="00E27443">
        <w:t xml:space="preserve"> </w:t>
      </w:r>
      <w:r w:rsidRPr="00E27443">
        <w:t>losing</w:t>
      </w:r>
      <w:r w:rsidR="00C63F8F" w:rsidRPr="00E27443">
        <w:t xml:space="preserve"> </w:t>
      </w:r>
      <w:r w:rsidRPr="00E27443">
        <w:t>their</w:t>
      </w:r>
      <w:r w:rsidR="00C63F8F" w:rsidRPr="00E27443">
        <w:t xml:space="preserve"> </w:t>
      </w:r>
      <w:r w:rsidRPr="00E27443">
        <w:t>compensation.</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t>a</w:t>
      </w:r>
      <w:r w:rsidR="00C63F8F" w:rsidRPr="00E27443">
        <w:t xml:space="preserve"> </w:t>
      </w:r>
      <w:r w:rsidRPr="00E27443">
        <w:t>transition</w:t>
      </w:r>
      <w:r w:rsidR="00C63F8F" w:rsidRPr="00E27443">
        <w:t xml:space="preserve"> </w:t>
      </w:r>
      <w:r w:rsidRPr="00E27443">
        <w:t>to</w:t>
      </w:r>
      <w:r w:rsidR="00C63F8F" w:rsidRPr="00E27443">
        <w:t xml:space="preserve"> </w:t>
      </w:r>
      <w:r w:rsidRPr="00E27443">
        <w:t>work</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that</w:t>
      </w:r>
      <w:r w:rsidR="00C63F8F" w:rsidRPr="00E27443">
        <w:t xml:space="preserve"> </w:t>
      </w:r>
      <w:r w:rsidRPr="00E27443">
        <w:t>entails</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and</w:t>
      </w:r>
      <w:r w:rsidR="00C63F8F" w:rsidRPr="00E27443">
        <w:t xml:space="preserve"> </w:t>
      </w:r>
      <w:r w:rsidRPr="00E27443">
        <w:t>who</w:t>
      </w:r>
      <w:r w:rsidR="00C63F8F" w:rsidRPr="00E27443">
        <w:t xml:space="preserve"> </w:t>
      </w:r>
      <w:r w:rsidRPr="00E27443">
        <w:t>leave</w:t>
      </w:r>
      <w:r w:rsidR="00C63F8F" w:rsidRPr="00E27443">
        <w:t xml:space="preserve"> </w:t>
      </w:r>
      <w:r w:rsidRPr="00E27443">
        <w:t>sickness</w:t>
      </w:r>
      <w:r w:rsidR="00C63F8F" w:rsidRPr="00E27443">
        <w:t xml:space="preserve"> </w:t>
      </w:r>
      <w:r w:rsidRPr="00E27443">
        <w:t>compensation</w:t>
      </w:r>
      <w:r w:rsidR="00C63F8F" w:rsidRPr="00E27443">
        <w:t xml:space="preserve"> </w:t>
      </w:r>
      <w:r w:rsidRPr="00E27443">
        <w:t>and</w:t>
      </w:r>
      <w:r w:rsidR="00C63F8F" w:rsidRPr="00E27443">
        <w:t xml:space="preserve"> </w:t>
      </w:r>
      <w:r w:rsidRPr="00E27443">
        <w:t>switch</w:t>
      </w:r>
      <w:r w:rsidR="00C63F8F" w:rsidRPr="00E27443">
        <w:t xml:space="preserve"> </w:t>
      </w:r>
      <w:r w:rsidRPr="00E27443">
        <w:t>to</w:t>
      </w:r>
      <w:r w:rsidR="00C63F8F" w:rsidRPr="00E27443">
        <w:t xml:space="preserve"> </w:t>
      </w:r>
      <w:r w:rsidRPr="00E27443">
        <w:t>measures</w:t>
      </w:r>
      <w:r w:rsidR="00C63F8F" w:rsidRPr="00E27443">
        <w:t xml:space="preserve"> </w:t>
      </w:r>
      <w:r w:rsidRPr="00E27443">
        <w:t>under</w:t>
      </w:r>
      <w:r w:rsidR="00C63F8F" w:rsidRPr="00E27443">
        <w:t xml:space="preserve"> </w:t>
      </w:r>
      <w:r w:rsidRPr="00E27443">
        <w:t>the</w:t>
      </w:r>
      <w:r w:rsidR="00C63F8F" w:rsidRPr="00E27443">
        <w:t xml:space="preserve"> </w:t>
      </w:r>
      <w:r w:rsidRPr="00E27443">
        <w:t>control</w:t>
      </w:r>
      <w:r w:rsidR="00C63F8F" w:rsidRPr="00E27443">
        <w:t xml:space="preserve"> </w:t>
      </w:r>
      <w:r w:rsidRPr="00E27443">
        <w:t>of</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reinforced</w:t>
      </w:r>
      <w:r w:rsidR="00C63F8F" w:rsidRPr="00E27443">
        <w:t xml:space="preserve"> </w:t>
      </w:r>
      <w:r w:rsidRPr="00E27443">
        <w:t>the</w:t>
      </w:r>
      <w:r w:rsidR="00C63F8F" w:rsidRPr="00E27443">
        <w:t xml:space="preserve"> </w:t>
      </w:r>
      <w:r w:rsidRPr="00E27443">
        <w:t>resources</w:t>
      </w:r>
      <w:r w:rsidR="00C63F8F" w:rsidRPr="00E27443">
        <w:t xml:space="preserve"> </w:t>
      </w:r>
      <w:r w:rsidRPr="00E27443">
        <w:t>on</w:t>
      </w:r>
      <w:r w:rsidR="00C63F8F" w:rsidRPr="00E27443">
        <w:t xml:space="preserve"> </w:t>
      </w:r>
      <w:r w:rsidRPr="00E27443">
        <w:t>several</w:t>
      </w:r>
      <w:r w:rsidR="00C63F8F" w:rsidRPr="00E27443">
        <w:t xml:space="preserve"> </w:t>
      </w:r>
      <w:r w:rsidRPr="00E27443">
        <w:t>occasions.</w:t>
      </w:r>
      <w:r w:rsidR="00C63F8F" w:rsidRPr="00E27443">
        <w:t xml:space="preserve"> </w:t>
      </w:r>
      <w:r w:rsidRPr="00E27443">
        <w:t>See</w:t>
      </w:r>
      <w:r w:rsidR="00C63F8F" w:rsidRPr="00E27443">
        <w:t xml:space="preserve"> </w:t>
      </w:r>
      <w:r w:rsidRPr="00E27443">
        <w:t>Article</w:t>
      </w:r>
      <w:r w:rsidR="00C63F8F" w:rsidRPr="00E27443">
        <w:t xml:space="preserve"> </w:t>
      </w:r>
      <w:r w:rsidRPr="00E27443">
        <w:t>27.</w:t>
      </w:r>
    </w:p>
    <w:p w:rsidR="00321ADA" w:rsidRPr="00E27443" w:rsidRDefault="00321ADA" w:rsidP="00154C57">
      <w:pPr>
        <w:pStyle w:val="SingleTxtG"/>
        <w:numPr>
          <w:ilvl w:val="0"/>
          <w:numId w:val="20"/>
        </w:numPr>
        <w:tabs>
          <w:tab w:val="left" w:pos="1843"/>
        </w:tabs>
        <w:ind w:left="1134" w:firstLine="0"/>
      </w:pP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154C57">
        <w:t>venture</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154C57">
        <w:t>psychiatry</w:t>
      </w:r>
      <w:r w:rsidRPr="00E27443">
        <w:t>,</w:t>
      </w:r>
      <w:r w:rsidR="002C590F" w:rsidRPr="00154C57">
        <w:footnoteReference w:id="117"/>
      </w:r>
      <w:r w:rsidR="00C63F8F" w:rsidRPr="00E27443">
        <w:t xml:space="preserve"> </w:t>
      </w:r>
      <w:r w:rsidRPr="00E27443">
        <w:t>a</w:t>
      </w:r>
      <w:r w:rsidR="00C63F8F" w:rsidRPr="00E27443">
        <w:t xml:space="preserve"> </w:t>
      </w:r>
      <w:r w:rsidRPr="00E27443">
        <w:t>large</w:t>
      </w:r>
      <w:r w:rsidR="00C63F8F" w:rsidRPr="00E27443">
        <w:t xml:space="preserve"> </w:t>
      </w:r>
      <w:r w:rsidRPr="00E27443">
        <w:t>number</w:t>
      </w:r>
      <w:r w:rsidR="00C63F8F" w:rsidRPr="00E27443">
        <w:t xml:space="preserve"> </w:t>
      </w:r>
      <w:r w:rsidRPr="00E27443">
        <w:t>of</w:t>
      </w:r>
      <w:r w:rsidR="00C63F8F" w:rsidRPr="00E27443">
        <w:t xml:space="preserve"> </w:t>
      </w:r>
      <w:r w:rsidRPr="00E27443">
        <w:t>assignments</w:t>
      </w:r>
      <w:r w:rsidR="00C63F8F" w:rsidRPr="00E27443">
        <w:t xml:space="preserve"> </w:t>
      </w:r>
      <w:r w:rsidRPr="00E27443">
        <w:t>are</w:t>
      </w:r>
      <w:r w:rsidR="00C63F8F" w:rsidRPr="00E27443">
        <w:t xml:space="preserve"> </w:t>
      </w:r>
      <w:r w:rsidRPr="00E27443">
        <w:t>in</w:t>
      </w:r>
      <w:r w:rsidR="00C63F8F" w:rsidRPr="00E27443">
        <w:t xml:space="preserve"> </w:t>
      </w:r>
      <w:r w:rsidRPr="00E27443">
        <w:t>progress,</w:t>
      </w:r>
      <w:r w:rsidR="00C63F8F" w:rsidRPr="00E27443">
        <w:t xml:space="preserve"> </w:t>
      </w:r>
      <w:r w:rsidRPr="00E27443">
        <w:t>which</w:t>
      </w:r>
      <w:r w:rsidR="00C63F8F" w:rsidRPr="00E27443">
        <w:t xml:space="preserve"> </w:t>
      </w:r>
      <w:r w:rsidRPr="00E27443">
        <w:t>in</w:t>
      </w:r>
      <w:r w:rsidR="00C63F8F" w:rsidRPr="00E27443">
        <w:t xml:space="preserve"> </w:t>
      </w:r>
      <w:r w:rsidRPr="00E27443">
        <w:t>various</w:t>
      </w:r>
      <w:r w:rsidR="00C63F8F" w:rsidRPr="00E27443">
        <w:t xml:space="preserve"> </w:t>
      </w:r>
      <w:r w:rsidRPr="00E27443">
        <w:t>ways</w:t>
      </w:r>
      <w:r w:rsidR="00C63F8F" w:rsidRPr="00E27443">
        <w:t xml:space="preserve"> </w:t>
      </w:r>
      <w:r w:rsidRPr="00E27443">
        <w:t>are</w:t>
      </w:r>
      <w:r w:rsidR="00C63F8F" w:rsidRPr="00E27443">
        <w:t xml:space="preserve"> </w:t>
      </w:r>
      <w:r w:rsidRPr="00E27443">
        <w:t>intended</w:t>
      </w:r>
      <w:r w:rsidR="00C63F8F" w:rsidRPr="00E27443">
        <w:t xml:space="preserve"> </w:t>
      </w:r>
      <w:r w:rsidRPr="00E27443">
        <w:t>to</w:t>
      </w:r>
      <w:r w:rsidR="00C63F8F" w:rsidRPr="00E27443">
        <w:t xml:space="preserve"> </w:t>
      </w:r>
      <w:r w:rsidRPr="00E27443">
        <w:t>improve</w:t>
      </w:r>
      <w:r w:rsidR="00C63F8F" w:rsidRPr="00E27443">
        <w:t xml:space="preserve"> </w:t>
      </w:r>
      <w:r w:rsidRPr="00E27443">
        <w:t>care</w:t>
      </w:r>
      <w:r w:rsidR="00C63F8F" w:rsidRPr="00E27443">
        <w:t xml:space="preserve"> </w:t>
      </w:r>
      <w:r w:rsidRPr="00E27443">
        <w:t>and</w:t>
      </w:r>
      <w:r w:rsidR="00C63F8F" w:rsidRPr="00E27443">
        <w:t xml:space="preserve"> </w:t>
      </w:r>
      <w:r w:rsidRPr="00E27443">
        <w:t>support</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mental</w:t>
      </w:r>
      <w:r w:rsidR="00C63F8F" w:rsidRPr="00E27443">
        <w:t xml:space="preserve"> </w:t>
      </w:r>
      <w:r w:rsidRPr="00E27443">
        <w:t>illness</w:t>
      </w:r>
      <w:r w:rsidR="00C63F8F" w:rsidRPr="00E27443">
        <w:t xml:space="preserve"> </w:t>
      </w:r>
      <w:r w:rsidRPr="00E27443">
        <w:t>or</w:t>
      </w:r>
      <w:r w:rsidR="00C63F8F" w:rsidRPr="00E27443">
        <w:t xml:space="preserve"> </w:t>
      </w:r>
      <w:r w:rsidRPr="00E27443">
        <w:t>mental</w:t>
      </w:r>
      <w:r w:rsidR="00C63F8F" w:rsidRPr="00E27443">
        <w:t xml:space="preserve"> </w:t>
      </w:r>
      <w:r w:rsidRPr="00E27443">
        <w:t>disability.</w:t>
      </w:r>
      <w:r w:rsidR="00C63F8F" w:rsidRPr="00E27443">
        <w:t xml:space="preserve"> </w:t>
      </w:r>
      <w:r w:rsidRPr="00E27443">
        <w:t>Of</w:t>
      </w:r>
      <w:r w:rsidR="00C63F8F" w:rsidRPr="00E27443">
        <w:t xml:space="preserve"> </w:t>
      </w:r>
      <w:r w:rsidRPr="00E27443">
        <w:t>these</w:t>
      </w:r>
      <w:r w:rsidR="00C63F8F" w:rsidRPr="00E27443">
        <w:t xml:space="preserve"> </w:t>
      </w:r>
      <w:r w:rsidRPr="00E27443">
        <w:t>assignments,</w:t>
      </w:r>
      <w:r w:rsidR="00C63F8F" w:rsidRPr="00E27443">
        <w:t xml:space="preserve"> </w:t>
      </w:r>
      <w:r w:rsidRPr="00E27443">
        <w:t>some</w:t>
      </w:r>
      <w:r w:rsidR="00C63F8F" w:rsidRPr="00E27443">
        <w:t xml:space="preserve"> </w:t>
      </w:r>
      <w:r w:rsidRPr="00E27443">
        <w:t>relate</w:t>
      </w:r>
      <w:r w:rsidR="00C63F8F" w:rsidRPr="00E27443">
        <w:t xml:space="preserve"> </w:t>
      </w:r>
      <w:r w:rsidRPr="00E27443">
        <w:t>to</w:t>
      </w:r>
      <w:r w:rsidR="00C63F8F" w:rsidRPr="00E27443">
        <w:t xml:space="preserve"> </w:t>
      </w:r>
      <w:r w:rsidRPr="00E27443">
        <w:t>work,</w:t>
      </w:r>
      <w:r w:rsidR="00C63F8F" w:rsidRPr="00E27443">
        <w:t xml:space="preserve"> </w:t>
      </w:r>
      <w:r w:rsidRPr="00E27443">
        <w:t>employment</w:t>
      </w:r>
      <w:r w:rsidR="00C63F8F" w:rsidRPr="00E27443">
        <w:t xml:space="preserve"> </w:t>
      </w:r>
      <w:r w:rsidRPr="00E27443">
        <w:t>and</w:t>
      </w:r>
      <w:r w:rsidR="00C63F8F" w:rsidRPr="00E27443">
        <w:t xml:space="preserve"> </w:t>
      </w:r>
      <w:r w:rsidRPr="00E27443">
        <w:t>assistive</w:t>
      </w:r>
      <w:r w:rsidR="00C63F8F" w:rsidRPr="00E27443">
        <w:t xml:space="preserve"> </w:t>
      </w:r>
      <w:r w:rsidRPr="00E27443">
        <w:t>devices.</w:t>
      </w:r>
    </w:p>
    <w:p w:rsidR="00321ADA" w:rsidRPr="00E27443" w:rsidRDefault="00321ADA" w:rsidP="00154C57">
      <w:pPr>
        <w:pStyle w:val="SingleTxtG"/>
        <w:numPr>
          <w:ilvl w:val="0"/>
          <w:numId w:val="20"/>
        </w:numPr>
        <w:tabs>
          <w:tab w:val="left" w:pos="1843"/>
        </w:tabs>
        <w:ind w:left="1134" w:firstLine="0"/>
      </w:pPr>
      <w:r w:rsidRPr="00E27443">
        <w:t>Through</w:t>
      </w:r>
      <w:r w:rsidR="00C63F8F" w:rsidRPr="00E27443">
        <w:t xml:space="preserve"> </w:t>
      </w:r>
      <w:r w:rsidRPr="00E27443">
        <w:t>special</w:t>
      </w:r>
      <w:r w:rsidR="00C63F8F" w:rsidRPr="00E27443">
        <w:t xml:space="preserve"> </w:t>
      </w:r>
      <w:r w:rsidRPr="00E27443">
        <w:t>state</w:t>
      </w:r>
      <w:r w:rsidR="00C63F8F" w:rsidRPr="00E27443">
        <w:t xml:space="preserve"> </w:t>
      </w:r>
      <w:r w:rsidRPr="00E27443">
        <w:t>subsidies,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prioritised</w:t>
      </w:r>
      <w:r w:rsidR="00C63F8F" w:rsidRPr="00E27443">
        <w:t xml:space="preserve"> </w:t>
      </w:r>
      <w:r w:rsidRPr="00E27443">
        <w:t>initiatives</w:t>
      </w:r>
      <w:r w:rsidR="00C63F8F" w:rsidRPr="00E27443">
        <w:t xml:space="preserve"> </w:t>
      </w:r>
      <w:r w:rsidRPr="00E27443">
        <w:t>aimed</w:t>
      </w:r>
      <w:r w:rsidR="00C63F8F" w:rsidRPr="00E27443">
        <w:t xml:space="preserve"> </w:t>
      </w:r>
      <w:r w:rsidRPr="00E27443">
        <w:t>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metal</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are</w:t>
      </w:r>
      <w:r w:rsidR="00C63F8F" w:rsidRPr="00E27443">
        <w:t xml:space="preserve"> </w:t>
      </w:r>
      <w:r w:rsidRPr="00E27443">
        <w:t>particularly</w:t>
      </w:r>
      <w:r w:rsidR="00C63F8F" w:rsidRPr="00E27443">
        <w:t xml:space="preserve"> </w:t>
      </w:r>
      <w:r w:rsidRPr="00E27443">
        <w:t>distant</w:t>
      </w:r>
      <w:r w:rsidR="00C63F8F" w:rsidRPr="00E27443">
        <w:t xml:space="preserve"> </w:t>
      </w:r>
      <w:r w:rsidRPr="00E27443">
        <w:t>from</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p>
    <w:p w:rsidR="00321ADA" w:rsidRPr="00E27443" w:rsidRDefault="00321ADA" w:rsidP="00154C57">
      <w:pPr>
        <w:pStyle w:val="SingleTxtG"/>
        <w:numPr>
          <w:ilvl w:val="0"/>
          <w:numId w:val="20"/>
        </w:numPr>
        <w:tabs>
          <w:tab w:val="left" w:pos="1843"/>
        </w:tabs>
        <w:ind w:left="1134" w:firstLine="0"/>
      </w:pPr>
      <w:r w:rsidRPr="00E27443">
        <w:t>Provisions</w:t>
      </w:r>
      <w:r w:rsidR="00C63F8F" w:rsidRPr="00E27443">
        <w:t xml:space="preserve"> </w:t>
      </w:r>
      <w:r w:rsidRPr="00E27443">
        <w:t>and</w:t>
      </w:r>
      <w:r w:rsidR="00C63F8F" w:rsidRPr="00E27443">
        <w:t xml:space="preserve"> </w:t>
      </w:r>
      <w:r w:rsidRPr="00E27443">
        <w:t>the</w:t>
      </w:r>
      <w:r w:rsidR="00C63F8F" w:rsidRPr="00E27443">
        <w:t xml:space="preserve"> </w:t>
      </w:r>
      <w:r w:rsidRPr="00E27443">
        <w:t>financing</w:t>
      </w:r>
      <w:r w:rsidR="00C63F8F" w:rsidRPr="00E27443">
        <w:t xml:space="preserve"> </w:t>
      </w:r>
      <w:r w:rsidRPr="00E27443">
        <w:t>of</w:t>
      </w:r>
      <w:r w:rsidR="00C63F8F" w:rsidRPr="00E27443">
        <w:t xml:space="preserve"> </w:t>
      </w:r>
      <w:r w:rsidRPr="00154C57">
        <w:t>assistive</w:t>
      </w:r>
      <w:r w:rsidR="00C63F8F" w:rsidRPr="00154C57">
        <w:t xml:space="preserve"> </w:t>
      </w:r>
      <w:r w:rsidRPr="00154C57">
        <w:t>devices</w:t>
      </w:r>
      <w:r w:rsidR="00C63F8F" w:rsidRPr="00E27443">
        <w:t xml:space="preserve"> </w:t>
      </w:r>
      <w:r w:rsidRPr="00E27443">
        <w:t>are</w:t>
      </w:r>
      <w:r w:rsidR="00C63F8F" w:rsidRPr="00E27443">
        <w:t xml:space="preserve"> </w:t>
      </w:r>
      <w:r w:rsidRPr="00E27443">
        <w:t>regulated</w:t>
      </w:r>
      <w:r w:rsidR="00C63F8F" w:rsidRPr="00E27443">
        <w:t xml:space="preserve"> </w:t>
      </w:r>
      <w:r w:rsidRPr="00E27443">
        <w:t>in</w:t>
      </w:r>
      <w:r w:rsidR="00C63F8F" w:rsidRPr="00E27443">
        <w:t xml:space="preserve"> </w:t>
      </w:r>
      <w:r w:rsidRPr="00E27443">
        <w:t>the</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The</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supplying</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varies</w:t>
      </w:r>
      <w:r w:rsidR="00C63F8F" w:rsidRPr="00E27443">
        <w:t xml:space="preserve"> </w:t>
      </w:r>
      <w:r w:rsidRPr="00E27443">
        <w:t>depending</w:t>
      </w:r>
      <w:r w:rsidR="00C63F8F" w:rsidRPr="00E27443">
        <w:t xml:space="preserve"> </w:t>
      </w:r>
      <w:r w:rsidRPr="00E27443">
        <w:t>on</w:t>
      </w:r>
      <w:r w:rsidR="00C63F8F" w:rsidRPr="00E27443">
        <w:t xml:space="preserve"> </w:t>
      </w:r>
      <w:r w:rsidRPr="00E27443">
        <w:t>the</w:t>
      </w:r>
      <w:r w:rsidR="00C63F8F" w:rsidRPr="00E27443">
        <w:t xml:space="preserve"> </w:t>
      </w:r>
      <w:r w:rsidRPr="00E27443">
        <w:t>context</w:t>
      </w:r>
      <w:r w:rsidR="00C63F8F" w:rsidRPr="00E27443">
        <w:t xml:space="preserve"> </w:t>
      </w:r>
      <w:r w:rsidRPr="00E27443">
        <w:t>in</w:t>
      </w:r>
      <w:r w:rsidR="00C63F8F" w:rsidRPr="00E27443">
        <w:t xml:space="preserve"> </w:t>
      </w:r>
      <w:r w:rsidRPr="00E27443">
        <w:t>which</w:t>
      </w:r>
      <w:r w:rsidR="00C63F8F" w:rsidRPr="00E27443">
        <w:t xml:space="preserve"> </w:t>
      </w:r>
      <w:r w:rsidRPr="00E27443">
        <w:t>the</w:t>
      </w:r>
      <w:r w:rsidR="00C63F8F" w:rsidRPr="00E27443">
        <w:t xml:space="preserve"> </w:t>
      </w:r>
      <w:r w:rsidRPr="00E27443">
        <w:t>devices</w:t>
      </w:r>
      <w:r w:rsidR="00C63F8F" w:rsidRPr="00E27443">
        <w:t xml:space="preserve"> </w:t>
      </w:r>
      <w:r w:rsidRPr="00E27443">
        <w:t>are</w:t>
      </w:r>
      <w:r w:rsidR="00C63F8F" w:rsidRPr="00E27443">
        <w:t xml:space="preserve"> </w:t>
      </w:r>
      <w:r w:rsidRPr="00E27443">
        <w:t>to</w:t>
      </w:r>
      <w:r w:rsidR="00C63F8F" w:rsidRPr="00E27443">
        <w:t xml:space="preserve"> </w:t>
      </w:r>
      <w:r w:rsidRPr="00E27443">
        <w:t>be</w:t>
      </w:r>
      <w:r w:rsidR="00C63F8F" w:rsidRPr="00E27443">
        <w:t xml:space="preserve"> </w:t>
      </w:r>
      <w:r w:rsidRPr="00E27443">
        <w:t>used.</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in</w:t>
      </w:r>
      <w:r w:rsidR="00C63F8F" w:rsidRPr="00E27443">
        <w:t xml:space="preserve"> </w:t>
      </w:r>
      <w:r w:rsidRPr="00E27443">
        <w:t>the</w:t>
      </w:r>
      <w:r w:rsidR="00C63F8F" w:rsidRPr="00E27443">
        <w:t xml:space="preserve"> </w:t>
      </w:r>
      <w:r w:rsidRPr="00E27443">
        <w:t>home,</w:t>
      </w:r>
      <w:r w:rsidR="00C63F8F" w:rsidRPr="00E27443">
        <w:t xml:space="preserve"> </w:t>
      </w:r>
      <w:r w:rsidRPr="00E27443">
        <w:t>the</w:t>
      </w:r>
      <w:r w:rsidR="00C63F8F" w:rsidRPr="00E27443">
        <w:t xml:space="preserve"> </w:t>
      </w:r>
      <w:r w:rsidRPr="00E27443">
        <w:t>immediate</w:t>
      </w:r>
      <w:r w:rsidR="00C63F8F" w:rsidRPr="00E27443">
        <w:t xml:space="preserve"> </w:t>
      </w:r>
      <w:r w:rsidRPr="00E27443">
        <w:t>environment</w:t>
      </w:r>
      <w:r w:rsidR="00C63F8F" w:rsidRPr="00E27443">
        <w:t xml:space="preserve"> </w:t>
      </w:r>
      <w:r w:rsidRPr="00E27443">
        <w:t>and</w:t>
      </w:r>
      <w:r w:rsidR="00C63F8F" w:rsidRPr="00E27443">
        <w:t xml:space="preserve"> </w:t>
      </w:r>
      <w:r w:rsidRPr="00E27443">
        <w:t>school,</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for</w:t>
      </w:r>
      <w:r w:rsidR="00C63F8F" w:rsidRPr="00E27443">
        <w:t xml:space="preserve"> </w:t>
      </w:r>
      <w:r w:rsidRPr="00E27443">
        <w:t>day-to-day</w:t>
      </w:r>
      <w:r w:rsidR="00C63F8F" w:rsidRPr="00E27443">
        <w:t xml:space="preserve"> </w:t>
      </w:r>
      <w:r w:rsidRPr="00E27443">
        <w:t>life</w:t>
      </w:r>
      <w:r w:rsidR="00C63F8F" w:rsidRPr="00E27443">
        <w:t xml:space="preserve"> </w:t>
      </w:r>
      <w:r w:rsidRPr="00E27443">
        <w:t>and</w:t>
      </w:r>
      <w:r w:rsidR="00C63F8F" w:rsidRPr="00E27443">
        <w:t xml:space="preserve"> </w:t>
      </w:r>
      <w:r w:rsidRPr="00E27443">
        <w:t>for</w:t>
      </w:r>
      <w:r w:rsidR="00C63F8F" w:rsidRPr="00E27443">
        <w:t xml:space="preserve"> </w:t>
      </w:r>
      <w:r w:rsidRPr="00E27443">
        <w:t>care</w:t>
      </w:r>
      <w:r w:rsidR="00C63F8F" w:rsidRPr="00E27443">
        <w:t xml:space="preserve"> </w:t>
      </w:r>
      <w:r w:rsidRPr="00E27443">
        <w:t>and</w:t>
      </w:r>
      <w:r w:rsidR="00C63F8F" w:rsidRPr="00E27443">
        <w:t xml:space="preserve"> </w:t>
      </w:r>
      <w:r w:rsidRPr="00E27443">
        <w:t>treatment,</w:t>
      </w:r>
      <w:r w:rsidR="00C63F8F" w:rsidRPr="00E27443">
        <w:t xml:space="preserve"> </w:t>
      </w:r>
      <w:r w:rsidRPr="00E27443">
        <w:t>are</w:t>
      </w:r>
      <w:r w:rsidR="00C63F8F" w:rsidRPr="00E27443">
        <w:t xml:space="preserve"> </w:t>
      </w:r>
      <w:r w:rsidRPr="00E27443">
        <w:t>the</w:t>
      </w:r>
      <w:r w:rsidR="00C63F8F" w:rsidRPr="00E27443">
        <w:t xml:space="preserve"> </w:t>
      </w:r>
      <w:r w:rsidRPr="00E27443">
        <w:t>responsibility</w:t>
      </w:r>
      <w:r w:rsidR="00C63F8F" w:rsidRPr="00E27443">
        <w:t xml:space="preserve"> </w:t>
      </w:r>
      <w:r w:rsidRPr="00E27443">
        <w:t>of</w:t>
      </w:r>
      <w:r w:rsidR="00C63F8F" w:rsidRPr="00E27443">
        <w:t xml:space="preserve"> </w:t>
      </w:r>
      <w:r w:rsidRPr="00E27443">
        <w:t>the</w:t>
      </w:r>
      <w:r w:rsidR="00C63F8F" w:rsidRPr="00E27443">
        <w:t xml:space="preserve"> </w:t>
      </w:r>
      <w:r w:rsidRPr="00E27443">
        <w:t>healthcare</w:t>
      </w:r>
      <w:r w:rsidR="00C63F8F" w:rsidRPr="00E27443">
        <w:t xml:space="preserve"> </w:t>
      </w:r>
      <w:r w:rsidRPr="00E27443">
        <w:t>principals,</w:t>
      </w:r>
      <w:r w:rsidR="00C63F8F" w:rsidRPr="00E27443">
        <w:t xml:space="preserve"> </w:t>
      </w:r>
      <w:r w:rsidRPr="00E27443">
        <w:t>i.e.</w:t>
      </w:r>
      <w:r w:rsidR="00C63F8F" w:rsidRPr="00E27443">
        <w:t xml:space="preserve"> </w:t>
      </w:r>
      <w:r w:rsidRPr="00E27443">
        <w:t>the</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and</w:t>
      </w:r>
      <w:r w:rsidR="00C63F8F" w:rsidRPr="00E27443">
        <w:t xml:space="preserve"> </w:t>
      </w:r>
      <w:r w:rsidRPr="00E27443">
        <w:t>the</w:t>
      </w:r>
      <w:r w:rsidR="00C63F8F" w:rsidRPr="00E27443">
        <w:t xml:space="preserve"> </w:t>
      </w:r>
      <w:r w:rsidRPr="00E27443">
        <w:t>municipalities.</w:t>
      </w:r>
      <w:r w:rsidR="00427B8E" w:rsidRPr="00154C57">
        <w:footnoteReference w:id="118"/>
      </w:r>
      <w:r w:rsidR="00C63F8F" w:rsidRPr="00E27443">
        <w:t xml:space="preserve"> </w:t>
      </w:r>
      <w:r w:rsidRPr="00E27443">
        <w:t>The</w:t>
      </w:r>
      <w:r w:rsidR="00C63F8F" w:rsidRPr="00E27443">
        <w:t xml:space="preserve"> </w:t>
      </w:r>
      <w:r w:rsidRPr="00E27443">
        <w:t>tariffs</w:t>
      </w:r>
      <w:r w:rsidR="00C63F8F" w:rsidRPr="00E27443">
        <w:t xml:space="preserve"> </w:t>
      </w:r>
      <w:r w:rsidRPr="00E27443">
        <w:t>and</w:t>
      </w:r>
      <w:r w:rsidR="00C63F8F" w:rsidRPr="00E27443">
        <w:t xml:space="preserve"> </w:t>
      </w:r>
      <w:r w:rsidRPr="00E27443">
        <w:t>ranges</w:t>
      </w:r>
      <w:r w:rsidR="00C63F8F" w:rsidRPr="00E27443">
        <w:t xml:space="preserve"> </w:t>
      </w:r>
      <w:r w:rsidRPr="00E27443">
        <w:t>vary</w:t>
      </w:r>
      <w:r w:rsidR="00C63F8F" w:rsidRPr="00E27443">
        <w:t xml:space="preserve"> </w:t>
      </w:r>
      <w:r w:rsidRPr="00E27443">
        <w:t>from</w:t>
      </w:r>
      <w:r w:rsidR="00C63F8F" w:rsidRPr="00E27443">
        <w:t xml:space="preserve"> </w:t>
      </w:r>
      <w:r w:rsidRPr="00E27443">
        <w:t>one</w:t>
      </w:r>
      <w:r w:rsidR="00C63F8F" w:rsidRPr="00E27443">
        <w:t xml:space="preserve"> </w:t>
      </w:r>
      <w:r w:rsidRPr="00E27443">
        <w:t>county</w:t>
      </w:r>
      <w:r w:rsidR="00C63F8F" w:rsidRPr="00E27443">
        <w:t xml:space="preserve"> </w:t>
      </w:r>
      <w:r w:rsidRPr="00E27443">
        <w:t>council</w:t>
      </w:r>
      <w:r w:rsidR="00C63F8F" w:rsidRPr="00E27443">
        <w:t xml:space="preserve"> </w:t>
      </w:r>
      <w:r w:rsidRPr="00E27443">
        <w:t>to</w:t>
      </w:r>
      <w:r w:rsidR="00C63F8F" w:rsidRPr="00E27443">
        <w:t xml:space="preserve"> </w:t>
      </w:r>
      <w:r w:rsidRPr="00E27443">
        <w:t>the</w:t>
      </w:r>
      <w:r w:rsidR="00C63F8F" w:rsidRPr="00E27443">
        <w:t xml:space="preserve"> </w:t>
      </w:r>
      <w:r w:rsidRPr="00E27443">
        <w:t>next.</w:t>
      </w:r>
      <w:r w:rsidR="00C63F8F" w:rsidRPr="00E27443">
        <w:t xml:space="preserve"> </w:t>
      </w:r>
    </w:p>
    <w:p w:rsidR="00321ADA" w:rsidRPr="00E27443" w:rsidRDefault="00321ADA" w:rsidP="00154C57">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intends</w:t>
      </w:r>
      <w:r w:rsidR="00C63F8F" w:rsidRPr="00E27443">
        <w:t xml:space="preserve"> </w:t>
      </w:r>
      <w:r w:rsidRPr="00E27443">
        <w:t>to</w:t>
      </w:r>
      <w:r w:rsidR="00C63F8F" w:rsidRPr="00E27443">
        <w:t xml:space="preserve"> </w:t>
      </w:r>
      <w:r w:rsidRPr="00E27443">
        <w:t>build</w:t>
      </w:r>
      <w:r w:rsidR="00C63F8F" w:rsidRPr="00E27443">
        <w:t xml:space="preserve"> </w:t>
      </w:r>
      <w:r w:rsidRPr="00E27443">
        <w:t>on</w:t>
      </w:r>
      <w:r w:rsidR="00C63F8F" w:rsidRPr="00E27443">
        <w:t xml:space="preserve"> </w:t>
      </w:r>
      <w:r w:rsidRPr="00E27443">
        <w:t>a</w:t>
      </w:r>
      <w:r w:rsidR="00C63F8F" w:rsidRPr="00E27443">
        <w:t xml:space="preserve"> </w:t>
      </w:r>
      <w:r w:rsidRPr="00E27443">
        <w:t>completed</w:t>
      </w:r>
      <w:r w:rsidR="00C63F8F" w:rsidRPr="00E27443">
        <w:t xml:space="preserve"> </w:t>
      </w:r>
      <w:r w:rsidRPr="00E27443">
        <w:t>trial</w:t>
      </w:r>
      <w:r w:rsidR="00C63F8F" w:rsidRPr="00E27443">
        <w:t xml:space="preserve"> </w:t>
      </w:r>
      <w:r w:rsidRPr="00E27443">
        <w:t>regarding</w:t>
      </w:r>
      <w:r w:rsidR="00C63F8F" w:rsidRPr="00E27443">
        <w:t xml:space="preserve"> </w:t>
      </w:r>
      <w:r w:rsidRPr="00E27443">
        <w:t>the</w:t>
      </w:r>
      <w:r w:rsidR="00C63F8F" w:rsidRPr="00E27443">
        <w:t xml:space="preserve"> </w:t>
      </w:r>
      <w:r w:rsidRPr="00E27443">
        <w:t>free</w:t>
      </w:r>
      <w:r w:rsidR="00C63F8F" w:rsidRPr="00E27443">
        <w:t xml:space="preserve"> </w:t>
      </w:r>
      <w:r w:rsidRPr="00E27443">
        <w:t>choice</w:t>
      </w:r>
      <w:r w:rsidR="00C63F8F" w:rsidRPr="00E27443">
        <w:t xml:space="preserve"> </w:t>
      </w:r>
      <w:r w:rsidRPr="00E27443">
        <w:t>of</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in</w:t>
      </w:r>
      <w:r w:rsidR="00C63F8F" w:rsidRPr="00E27443">
        <w:t xml:space="preserve"> </w:t>
      </w:r>
      <w:r w:rsidRPr="00E27443">
        <w:t>three</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aimed</w:t>
      </w:r>
      <w:r w:rsidR="00C63F8F" w:rsidRPr="00E27443">
        <w:t xml:space="preserve"> </w:t>
      </w:r>
      <w:r w:rsidRPr="00E27443">
        <w:t>at</w:t>
      </w:r>
      <w:r w:rsidR="00C63F8F" w:rsidRPr="00E27443">
        <w:t xml:space="preserve"> </w:t>
      </w:r>
      <w:r w:rsidRPr="00E27443">
        <w:t>providing</w:t>
      </w:r>
      <w:r w:rsidR="00C63F8F" w:rsidRPr="00E27443">
        <w:t xml:space="preserve"> </w:t>
      </w:r>
      <w:r w:rsidRPr="00E27443">
        <w:t>the</w:t>
      </w:r>
      <w:r w:rsidR="00C63F8F" w:rsidRPr="00E27443">
        <w:t xml:space="preserve"> </w:t>
      </w:r>
      <w:r w:rsidRPr="00E27443">
        <w:t>elderly</w:t>
      </w:r>
      <w:r w:rsidR="00C63F8F" w:rsidRPr="00E27443">
        <w:t xml:space="preserve"> </w:t>
      </w:r>
      <w:r w:rsidRPr="00E27443">
        <w:t>and</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with</w:t>
      </w:r>
      <w:r w:rsidR="00C63F8F" w:rsidRPr="00E27443">
        <w:t xml:space="preserve"> </w:t>
      </w:r>
      <w:r w:rsidRPr="00E27443">
        <w:t>greater</w:t>
      </w:r>
      <w:r w:rsidR="00C63F8F" w:rsidRPr="00E27443">
        <w:t xml:space="preserve"> </w:t>
      </w:r>
      <w:r w:rsidRPr="00E27443">
        <w:t>potential</w:t>
      </w:r>
      <w:r w:rsidR="00C63F8F" w:rsidRPr="00E27443">
        <w:t xml:space="preserve"> </w:t>
      </w:r>
      <w:r w:rsidRPr="00E27443">
        <w:t>themselves</w:t>
      </w:r>
      <w:r w:rsidR="00C63F8F" w:rsidRPr="00E27443">
        <w:t xml:space="preserve"> </w:t>
      </w:r>
      <w:r w:rsidRPr="00E27443">
        <w:t>to</w:t>
      </w:r>
      <w:r w:rsidR="00C63F8F" w:rsidRPr="00E27443">
        <w:t xml:space="preserve"> </w:t>
      </w:r>
      <w:r w:rsidRPr="00E27443">
        <w:t>choose</w:t>
      </w:r>
      <w:r w:rsidR="00C63F8F" w:rsidRPr="00E27443">
        <w:t xml:space="preserve"> </w:t>
      </w:r>
      <w:r w:rsidRPr="00E27443">
        <w:t>assistive</w:t>
      </w:r>
      <w:r w:rsidR="00C63F8F" w:rsidRPr="00E27443">
        <w:t xml:space="preserve"> </w:t>
      </w:r>
      <w:r w:rsidRPr="00E27443">
        <w:t>devices.</w:t>
      </w:r>
    </w:p>
    <w:p w:rsidR="00321ADA" w:rsidRPr="00E27443" w:rsidRDefault="00321ADA" w:rsidP="00154C57">
      <w:pPr>
        <w:pStyle w:val="SingleTxtG"/>
        <w:numPr>
          <w:ilvl w:val="0"/>
          <w:numId w:val="20"/>
        </w:numPr>
        <w:tabs>
          <w:tab w:val="left" w:pos="1843"/>
        </w:tabs>
        <w:ind w:left="1134" w:firstLine="0"/>
      </w:pPr>
      <w:r w:rsidRPr="00E27443">
        <w:t>Assistive</w:t>
      </w:r>
      <w:r w:rsidR="00C63F8F" w:rsidRPr="00E27443">
        <w:t xml:space="preserve"> </w:t>
      </w:r>
      <w:r w:rsidRPr="00E27443">
        <w:t>devices</w:t>
      </w:r>
      <w:r w:rsidR="00C63F8F" w:rsidRPr="00E27443">
        <w:t xml:space="preserve"> </w:t>
      </w:r>
      <w:r w:rsidRPr="00E27443">
        <w:t>are</w:t>
      </w:r>
      <w:r w:rsidR="00C63F8F" w:rsidRPr="00E27443">
        <w:t xml:space="preserve"> </w:t>
      </w:r>
      <w:r w:rsidRPr="00E27443">
        <w:t>tested</w:t>
      </w:r>
      <w:r w:rsidR="00C63F8F" w:rsidRPr="00E27443">
        <w:t xml:space="preserve"> </w:t>
      </w:r>
      <w:r w:rsidRPr="00E27443">
        <w:t>and</w:t>
      </w:r>
      <w:r w:rsidR="00C63F8F" w:rsidRPr="00E27443">
        <w:t xml:space="preserve"> </w:t>
      </w:r>
      <w:r w:rsidRPr="00E27443">
        <w:t>ordered</w:t>
      </w:r>
      <w:r w:rsidR="00C63F8F" w:rsidRPr="00E27443">
        <w:t xml:space="preserve"> </w:t>
      </w:r>
      <w:r w:rsidRPr="00E27443">
        <w:t>at</w:t>
      </w:r>
      <w:r w:rsidR="00C63F8F" w:rsidRPr="00E27443">
        <w:t xml:space="preserve"> </w:t>
      </w:r>
      <w:r w:rsidRPr="00E27443">
        <w:t>various</w:t>
      </w:r>
      <w:r w:rsidR="00C63F8F" w:rsidRPr="00E27443">
        <w:t xml:space="preserve"> </w:t>
      </w:r>
      <w:r w:rsidRPr="00E27443">
        <w:t>units</w:t>
      </w:r>
      <w:r w:rsidR="00C63F8F" w:rsidRPr="00E27443">
        <w:t xml:space="preserve"> </w:t>
      </w:r>
      <w:r w:rsidRPr="00E27443">
        <w:t>within</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and</w:t>
      </w:r>
      <w:r w:rsidR="00C63F8F" w:rsidRPr="00E27443">
        <w:t xml:space="preserve"> </w:t>
      </w:r>
      <w:r w:rsidRPr="00E27443">
        <w:t>municipalities</w:t>
      </w:r>
      <w:r w:rsidR="00C63F8F" w:rsidRPr="00E27443">
        <w:t xml:space="preserve"> </w:t>
      </w:r>
      <w:r w:rsidRPr="00E27443">
        <w:t>by</w:t>
      </w:r>
      <w:r w:rsidR="00C63F8F" w:rsidRPr="00E27443">
        <w:t xml:space="preserve"> </w:t>
      </w:r>
      <w:r w:rsidRPr="00E27443">
        <w:t>professionally</w:t>
      </w:r>
      <w:r w:rsidR="00C63F8F" w:rsidRPr="00E27443">
        <w:t xml:space="preserve"> </w:t>
      </w:r>
      <w:r w:rsidRPr="00E27443">
        <w:t>skilled</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personnel:</w:t>
      </w:r>
      <w:r w:rsidR="00C63F8F" w:rsidRPr="00E27443">
        <w:t xml:space="preserve"> </w:t>
      </w:r>
      <w:r w:rsidRPr="00E27443">
        <w:t>in</w:t>
      </w:r>
      <w:r w:rsidR="00C63F8F" w:rsidRPr="00E27443">
        <w:t xml:space="preserve"> </w:t>
      </w:r>
      <w:r w:rsidRPr="00E27443">
        <w:t>primary</w:t>
      </w:r>
      <w:r w:rsidR="00C63F8F" w:rsidRPr="00E27443">
        <w:t xml:space="preserve"> </w:t>
      </w:r>
      <w:r w:rsidRPr="00E27443">
        <w:t>care,</w:t>
      </w:r>
      <w:r w:rsidR="00C63F8F" w:rsidRPr="00E27443">
        <w:t xml:space="preserve"> </w:t>
      </w:r>
      <w:r w:rsidRPr="00E27443">
        <w:t>medical</w:t>
      </w:r>
      <w:r w:rsidR="00C63F8F" w:rsidRPr="00E27443">
        <w:t xml:space="preserve"> </w:t>
      </w:r>
      <w:r w:rsidRPr="00E27443">
        <w:t>clinics</w:t>
      </w:r>
      <w:r w:rsidR="00C63F8F" w:rsidRPr="00E27443">
        <w:t xml:space="preserve"> </w:t>
      </w:r>
      <w:r w:rsidRPr="00E27443">
        <w:t>within</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and</w:t>
      </w:r>
      <w:r w:rsidR="00C63F8F" w:rsidRPr="00E27443">
        <w:t xml:space="preserve"> </w:t>
      </w:r>
      <w:r w:rsidRPr="00E27443">
        <w:t>at</w:t>
      </w:r>
      <w:r w:rsidR="00C63F8F" w:rsidRPr="00E27443">
        <w:t xml:space="preserve"> </w:t>
      </w:r>
      <w:r w:rsidRPr="00E27443">
        <w:t>assistive</w:t>
      </w:r>
      <w:r w:rsidR="00C63F8F" w:rsidRPr="00E27443">
        <w:t xml:space="preserve"> </w:t>
      </w:r>
      <w:r w:rsidRPr="00E27443">
        <w:t>device</w:t>
      </w:r>
      <w:r w:rsidR="00C63F8F" w:rsidRPr="00E27443">
        <w:t xml:space="preserve"> </w:t>
      </w:r>
      <w:r w:rsidRPr="00E27443">
        <w:t>centres,</w:t>
      </w:r>
      <w:r w:rsidR="00C63F8F" w:rsidRPr="00E27443">
        <w:t xml:space="preserve"> </w:t>
      </w:r>
      <w:r w:rsidRPr="00E27443">
        <w:t>hearing</w:t>
      </w:r>
      <w:r w:rsidR="00C63F8F" w:rsidRPr="00E27443">
        <w:t xml:space="preserve"> </w:t>
      </w:r>
      <w:r w:rsidRPr="00E27443">
        <w:t>centres,</w:t>
      </w:r>
      <w:r w:rsidR="00C63F8F" w:rsidRPr="00E27443">
        <w:t xml:space="preserve"> </w:t>
      </w:r>
      <w:r w:rsidRPr="00E27443">
        <w:t>sight</w:t>
      </w:r>
      <w:r w:rsidR="00C63F8F" w:rsidRPr="00E27443">
        <w:t xml:space="preserve"> </w:t>
      </w:r>
      <w:r w:rsidRPr="00E27443">
        <w:t>centres,</w:t>
      </w:r>
      <w:r w:rsidR="00C63F8F" w:rsidRPr="00E27443">
        <w:t xml:space="preserve"> </w:t>
      </w:r>
      <w:r w:rsidRPr="00E27443">
        <w:t>orthopaedic</w:t>
      </w:r>
      <w:r w:rsidR="00C63F8F" w:rsidRPr="00E27443">
        <w:t xml:space="preserve"> </w:t>
      </w:r>
      <w:r w:rsidRPr="00E27443">
        <w:t>departments,</w:t>
      </w:r>
      <w:r w:rsidR="00C63F8F" w:rsidRPr="00E27443">
        <w:t xml:space="preserve"> </w:t>
      </w:r>
      <w:r w:rsidRPr="00E27443">
        <w:t>interpreting</w:t>
      </w:r>
      <w:r w:rsidR="00C63F8F" w:rsidRPr="00E27443">
        <w:t xml:space="preserve"> </w:t>
      </w:r>
      <w:r w:rsidRPr="00E27443">
        <w:t>centres</w:t>
      </w:r>
      <w:r w:rsidR="00C63F8F" w:rsidRPr="00E27443">
        <w:t xml:space="preserve"> </w:t>
      </w:r>
      <w:r w:rsidRPr="00E27443">
        <w:t>and</w:t>
      </w:r>
      <w:r w:rsidR="00C63F8F" w:rsidRPr="00E27443">
        <w:t xml:space="preserve"> </w:t>
      </w:r>
      <w:r w:rsidRPr="00E27443">
        <w:t>Taltjänst.</w:t>
      </w:r>
      <w:r w:rsidR="00427B8E" w:rsidRPr="00154C57">
        <w:footnoteReference w:id="119"/>
      </w:r>
    </w:p>
    <w:p w:rsidR="00321ADA" w:rsidRPr="00E27443" w:rsidRDefault="00321ADA" w:rsidP="00154C57">
      <w:pPr>
        <w:pStyle w:val="SingleTxtG"/>
        <w:numPr>
          <w:ilvl w:val="0"/>
          <w:numId w:val="20"/>
        </w:numPr>
        <w:tabs>
          <w:tab w:val="left" w:pos="1843"/>
        </w:tabs>
        <w:ind w:left="1134" w:firstLine="0"/>
      </w:pP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guarantee</w:t>
      </w:r>
      <w:r w:rsidR="00C63F8F" w:rsidRPr="00E27443">
        <w:t xml:space="preserve"> </w:t>
      </w:r>
      <w:r w:rsidRPr="00E27443">
        <w:t>safe,</w:t>
      </w:r>
      <w:r w:rsidR="00C63F8F" w:rsidRPr="00E27443">
        <w:t xml:space="preserve"> </w:t>
      </w:r>
      <w:r w:rsidRPr="00E27443">
        <w:t>functional</w:t>
      </w:r>
      <w:r w:rsidR="00C63F8F" w:rsidRPr="00E27443">
        <w:t xml:space="preserve"> </w:t>
      </w:r>
      <w:r w:rsidRPr="00E27443">
        <w:t>devices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are</w:t>
      </w:r>
      <w:r w:rsidR="00C63F8F" w:rsidRPr="00E27443">
        <w:t xml:space="preserve"> </w:t>
      </w:r>
      <w:r w:rsidRPr="00E27443">
        <w:t>tested</w:t>
      </w:r>
      <w:r w:rsidR="00C63F8F" w:rsidRPr="00E27443">
        <w:t xml:space="preserve"> </w:t>
      </w:r>
      <w:r w:rsidRPr="00E27443">
        <w:t>and</w:t>
      </w:r>
      <w:r w:rsidR="00C63F8F" w:rsidRPr="00E27443">
        <w:t xml:space="preserve"> </w:t>
      </w:r>
      <w:r w:rsidRPr="00E27443">
        <w:t>evaluated</w:t>
      </w:r>
      <w:r w:rsidR="00C63F8F" w:rsidRPr="00E27443">
        <w:t xml:space="preserve"> </w:t>
      </w:r>
      <w:r w:rsidRPr="00E27443">
        <w:t>using</w:t>
      </w:r>
      <w:r w:rsidR="00C63F8F" w:rsidRPr="00E27443">
        <w:t xml:space="preserve"> </w:t>
      </w:r>
      <w:r w:rsidRPr="00E27443">
        <w:t>state</w:t>
      </w:r>
      <w:r w:rsidR="00C63F8F" w:rsidRPr="00E27443">
        <w:t xml:space="preserve"> </w:t>
      </w:r>
      <w:r w:rsidRPr="00E27443">
        <w:t>funds.</w:t>
      </w:r>
    </w:p>
    <w:p w:rsidR="00321ADA" w:rsidRPr="00E27443" w:rsidRDefault="00321ADA" w:rsidP="00154C57">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Institute</w:t>
      </w:r>
      <w:r w:rsidR="00C63F8F" w:rsidRPr="00E27443">
        <w:t xml:space="preserve"> </w:t>
      </w:r>
      <w:r w:rsidRPr="00E27443">
        <w:t>of</w:t>
      </w:r>
      <w:r w:rsidR="00C63F8F" w:rsidRPr="00E27443">
        <w:t xml:space="preserve"> </w:t>
      </w:r>
      <w:r w:rsidRPr="00E27443">
        <w:t>Assistive</w:t>
      </w:r>
      <w:r w:rsidR="00C63F8F" w:rsidRPr="00E27443">
        <w:t xml:space="preserve"> </w:t>
      </w:r>
      <w:r w:rsidRPr="00E27443">
        <w:t>Technology</w:t>
      </w:r>
      <w:r w:rsidR="00C63F8F" w:rsidRPr="00E27443">
        <w:t xml:space="preserve"> </w:t>
      </w:r>
      <w:r w:rsidRPr="00E27443">
        <w:t>(HI)</w:t>
      </w:r>
      <w:r w:rsidR="00C63F8F" w:rsidRPr="00E27443">
        <w:t xml:space="preserve"> </w:t>
      </w:r>
      <w:r w:rsidRPr="00E27443">
        <w:t>is</w:t>
      </w:r>
      <w:r w:rsidR="00C63F8F" w:rsidRPr="00E27443">
        <w:t xml:space="preserve"> </w:t>
      </w:r>
      <w:r w:rsidRPr="00E27443">
        <w:t>involved</w:t>
      </w:r>
      <w:r w:rsidR="00C63F8F" w:rsidRPr="00E27443">
        <w:t xml:space="preserve"> </w:t>
      </w:r>
      <w:r w:rsidRPr="00E27443">
        <w:t>in</w:t>
      </w:r>
      <w:r w:rsidR="00C63F8F" w:rsidRPr="00E27443">
        <w:t xml:space="preserve"> </w:t>
      </w:r>
      <w:r w:rsidRPr="00E27443">
        <w:t>the</w:t>
      </w:r>
      <w:r w:rsidR="00C63F8F" w:rsidRPr="00E27443">
        <w:t xml:space="preserve"> </w:t>
      </w:r>
      <w:r w:rsidRPr="00E27443">
        <w:t>research</w:t>
      </w:r>
      <w:r w:rsidR="00C63F8F" w:rsidRPr="00E27443">
        <w:t xml:space="preserve"> </w:t>
      </w:r>
      <w:r w:rsidRPr="00E27443">
        <w:t>and</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new</w:t>
      </w:r>
      <w:r w:rsidR="00C63F8F" w:rsidRPr="00E27443">
        <w:t xml:space="preserve"> </w:t>
      </w:r>
      <w:r w:rsidRPr="00E27443">
        <w:t>technologies</w:t>
      </w:r>
      <w:r w:rsidR="00C63F8F" w:rsidRPr="00E27443">
        <w:t xml:space="preserve"> </w:t>
      </w:r>
      <w:r w:rsidRPr="00E27443">
        <w:t>and</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Institute</w:t>
      </w:r>
      <w:r w:rsidR="00C63F8F" w:rsidRPr="00E27443">
        <w:t xml:space="preserve"> </w:t>
      </w:r>
      <w:r w:rsidRPr="00E27443">
        <w:t>also</w:t>
      </w:r>
      <w:r w:rsidR="00C63F8F" w:rsidRPr="00E27443">
        <w:t xml:space="preserve"> </w:t>
      </w:r>
      <w:r w:rsidRPr="00E27443">
        <w:t>offers</w:t>
      </w:r>
      <w:r w:rsidR="00C63F8F" w:rsidRPr="00E27443">
        <w:t xml:space="preserve"> </w:t>
      </w:r>
      <w:r w:rsidRPr="00E27443">
        <w:t>training</w:t>
      </w:r>
      <w:r w:rsidR="00C63F8F" w:rsidRPr="00E27443">
        <w:t xml:space="preserve"> </w:t>
      </w:r>
      <w:r w:rsidRPr="00E27443">
        <w:t>and</w:t>
      </w:r>
      <w:r w:rsidR="00C63F8F" w:rsidRPr="00E27443">
        <w:t xml:space="preserve"> </w:t>
      </w:r>
      <w:r w:rsidRPr="00E27443">
        <w:t>skills</w:t>
      </w:r>
      <w:r w:rsidR="00C63F8F" w:rsidRPr="00E27443">
        <w:t xml:space="preserve"> </w:t>
      </w:r>
      <w:r w:rsidRPr="00E27443">
        <w:t>development,</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international</w:t>
      </w:r>
      <w:r w:rsidR="00C63F8F" w:rsidRPr="00E27443">
        <w:t xml:space="preserve"> </w:t>
      </w:r>
      <w:r w:rsidRPr="00E27443">
        <w:t>collaboration</w:t>
      </w:r>
      <w:r w:rsidR="00C63F8F" w:rsidRPr="00E27443">
        <w:t xml:space="preserve"> </w:t>
      </w:r>
      <w:r w:rsidRPr="00E27443">
        <w:t>regarding</w:t>
      </w:r>
      <w:r w:rsidR="00C63F8F" w:rsidRPr="00E27443">
        <w:t xml:space="preserve"> </w:t>
      </w:r>
      <w:r w:rsidRPr="00E27443">
        <w:t>assistive</w:t>
      </w:r>
      <w:r w:rsidR="00C63F8F" w:rsidRPr="00E27443">
        <w:t xml:space="preserve"> </w:t>
      </w:r>
      <w:r w:rsidRPr="00E27443">
        <w:t>devices.</w:t>
      </w:r>
      <w:r w:rsidR="00C63F8F" w:rsidRPr="00E27443">
        <w:t xml:space="preserve"> </w:t>
      </w:r>
    </w:p>
    <w:p w:rsidR="00321ADA" w:rsidRPr="00E27443" w:rsidRDefault="00427B8E" w:rsidP="00427B8E">
      <w:pPr>
        <w:pStyle w:val="H1G"/>
      </w:pPr>
      <w:r w:rsidRPr="00E27443">
        <w:tab/>
      </w:r>
      <w:r w:rsidRPr="00E27443">
        <w:tab/>
      </w:r>
      <w:bookmarkStart w:id="27" w:name="_Toc290623311"/>
      <w:r w:rsidR="00321ADA" w:rsidRPr="00E27443">
        <w:t>Article</w:t>
      </w:r>
      <w:r w:rsidR="00C63F8F" w:rsidRPr="00E27443">
        <w:t xml:space="preserve"> </w:t>
      </w:r>
      <w:r w:rsidR="00321ADA" w:rsidRPr="00E27443">
        <w:t>27</w:t>
      </w:r>
      <w:r w:rsidR="00154C57">
        <w:t>:</w:t>
      </w:r>
      <w:r w:rsidR="00C63F8F" w:rsidRPr="00E27443">
        <w:t xml:space="preserve"> </w:t>
      </w:r>
      <w:r w:rsidR="00321ADA" w:rsidRPr="00E27443">
        <w:t>Work</w:t>
      </w:r>
      <w:r w:rsidR="00C63F8F" w:rsidRPr="00E27443">
        <w:t xml:space="preserve"> </w:t>
      </w:r>
      <w:r w:rsidR="00321ADA" w:rsidRPr="00E27443">
        <w:t>and</w:t>
      </w:r>
      <w:r w:rsidR="00C63F8F" w:rsidRPr="00E27443">
        <w:t xml:space="preserve"> </w:t>
      </w:r>
      <w:r w:rsidR="00321ADA" w:rsidRPr="00E27443">
        <w:t>employment</w:t>
      </w:r>
      <w:bookmarkEnd w:id="27"/>
    </w:p>
    <w:p w:rsidR="00321ADA" w:rsidRPr="00E27443" w:rsidRDefault="00321ADA" w:rsidP="00154C57">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and</w:t>
      </w:r>
      <w:r w:rsidR="00C63F8F" w:rsidRPr="00E27443">
        <w:t xml:space="preserve"> </w:t>
      </w:r>
      <w:r w:rsidRPr="00E27443">
        <w:t>Parliament</w:t>
      </w:r>
      <w:r w:rsidR="00C63F8F" w:rsidRPr="00E27443">
        <w:t xml:space="preserve"> </w:t>
      </w:r>
      <w:r w:rsidRPr="00E27443">
        <w:t>have</w:t>
      </w:r>
      <w:r w:rsidR="00C63F8F" w:rsidRPr="00E27443">
        <w:t xml:space="preserve"> </w:t>
      </w:r>
      <w:r w:rsidRPr="00E27443">
        <w:t>taken</w:t>
      </w:r>
      <w:r w:rsidR="00C63F8F" w:rsidRPr="00E27443">
        <w:t xml:space="preserve"> </w:t>
      </w:r>
      <w:r w:rsidRPr="00E27443">
        <w:t>several</w:t>
      </w:r>
      <w:r w:rsidR="00C63F8F" w:rsidRPr="00E27443">
        <w:t xml:space="preserve"> </w:t>
      </w:r>
      <w:r w:rsidRPr="00E27443">
        <w:t>wide-ranging</w:t>
      </w:r>
      <w:r w:rsidR="00C63F8F" w:rsidRPr="00E27443">
        <w:t xml:space="preserve"> </w:t>
      </w:r>
      <w:r w:rsidRPr="00E27443">
        <w:t>decisions</w:t>
      </w:r>
      <w:r w:rsidR="00C63F8F" w:rsidRPr="00E27443">
        <w:t xml:space="preserve"> </w:t>
      </w:r>
      <w:r w:rsidRPr="00E27443">
        <w:t>aimed</w:t>
      </w:r>
      <w:r w:rsidR="00C63F8F" w:rsidRPr="00E27443">
        <w:t xml:space="preserve"> </w:t>
      </w:r>
      <w:r w:rsidRPr="00E27443">
        <w:t>at</w:t>
      </w:r>
      <w:r w:rsidR="00C63F8F" w:rsidRPr="00E27443">
        <w:t xml:space="preserve"> </w:t>
      </w:r>
      <w:r w:rsidRPr="00E27443">
        <w:t>making</w:t>
      </w:r>
      <w:r w:rsidR="00C63F8F" w:rsidRPr="00E27443">
        <w:t xml:space="preserve"> </w:t>
      </w:r>
      <w:r w:rsidRPr="00E27443">
        <w:t>it</w:t>
      </w:r>
      <w:r w:rsidR="00C63F8F" w:rsidRPr="00E27443">
        <w:t xml:space="preserve"> </w:t>
      </w:r>
      <w:r w:rsidRPr="00E27443">
        <w:t>easier</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entail</w:t>
      </w:r>
      <w:r w:rsidR="00C63F8F" w:rsidRPr="00E27443">
        <w:t xml:space="preserve"> </w:t>
      </w:r>
      <w:r w:rsidRPr="00E27443">
        <w:t>reduced</w:t>
      </w:r>
      <w:r w:rsidR="00C63F8F" w:rsidRPr="00E27443">
        <w:t xml:space="preserve"> </w:t>
      </w:r>
      <w:r w:rsidRPr="00E27443">
        <w:t>working</w:t>
      </w:r>
      <w:r w:rsidR="00C63F8F" w:rsidRPr="00E27443">
        <w:t xml:space="preserve"> </w:t>
      </w:r>
      <w:r w:rsidRPr="00E27443">
        <w:t>capacity</w:t>
      </w:r>
      <w:r w:rsidR="00C63F8F" w:rsidRPr="00E27443">
        <w:t xml:space="preserve"> </w:t>
      </w:r>
      <w:r w:rsidRPr="00E27443">
        <w:t>to</w:t>
      </w:r>
      <w:r w:rsidR="00C63F8F" w:rsidRPr="00E27443">
        <w:t xml:space="preserve"> </w:t>
      </w:r>
      <w:r w:rsidRPr="00E27443">
        <w:t>get</w:t>
      </w:r>
      <w:r w:rsidR="00C63F8F" w:rsidRPr="00E27443">
        <w:t xml:space="preserve"> </w:t>
      </w:r>
      <w:r w:rsidRPr="00E27443">
        <w:t>a</w:t>
      </w:r>
      <w:r w:rsidR="00C63F8F" w:rsidRPr="00E27443">
        <w:t xml:space="preserve"> </w:t>
      </w:r>
      <w:r w:rsidRPr="00E27443">
        <w:t>job.</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C63F8F" w:rsidRPr="00E27443">
        <w:t xml:space="preserve"> </w:t>
      </w:r>
      <w:r w:rsidRPr="00E27443">
        <w:t>states</w:t>
      </w:r>
      <w:r w:rsidR="00C63F8F" w:rsidRPr="00E27443">
        <w:t xml:space="preserve"> </w:t>
      </w:r>
      <w:r w:rsidRPr="00E27443">
        <w:t>that</w:t>
      </w:r>
      <w:r w:rsidR="00C63F8F" w:rsidRPr="00E27443">
        <w:t xml:space="preserve"> </w:t>
      </w:r>
      <w:r w:rsidRPr="00E27443">
        <w:t>the</w:t>
      </w:r>
      <w:r w:rsidR="00C63F8F" w:rsidRPr="00E27443">
        <w:t xml:space="preserve"> </w:t>
      </w:r>
      <w:r w:rsidRPr="00E27443">
        <w:t>community</w:t>
      </w:r>
      <w:r w:rsidR="00C63F8F" w:rsidRPr="00E27443">
        <w:t xml:space="preserve"> </w:t>
      </w:r>
      <w:r w:rsidRPr="00E27443">
        <w:t>at</w:t>
      </w:r>
      <w:r w:rsidR="00C63F8F" w:rsidRPr="00E27443">
        <w:t xml:space="preserve"> </w:t>
      </w:r>
      <w:r w:rsidRPr="00E27443">
        <w:t>large</w:t>
      </w:r>
      <w:r w:rsidR="00C63F8F" w:rsidRPr="00E27443">
        <w:t xml:space="preserve"> </w:t>
      </w:r>
      <w:r w:rsidRPr="00E27443">
        <w:t>should</w:t>
      </w:r>
      <w:r w:rsidR="00C63F8F" w:rsidRPr="00E27443">
        <w:t xml:space="preserve"> </w:t>
      </w:r>
      <w:r w:rsidRPr="00E27443">
        <w:t>safeguard</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employment</w:t>
      </w:r>
      <w:r w:rsidR="00C63F8F" w:rsidRPr="00E27443">
        <w:t xml:space="preserve"> </w:t>
      </w:r>
      <w:r w:rsidRPr="00E27443">
        <w:t>and</w:t>
      </w:r>
      <w:r w:rsidR="00C63F8F" w:rsidRPr="00E27443">
        <w:t xml:space="preserve"> </w:t>
      </w:r>
      <w:r w:rsidRPr="00E27443">
        <w:t>to</w:t>
      </w:r>
      <w:r w:rsidR="00C63F8F" w:rsidRPr="00E27443">
        <w:t xml:space="preserve"> </w:t>
      </w:r>
      <w:r w:rsidRPr="00E27443">
        <w:t>counter</w:t>
      </w:r>
      <w:r w:rsidR="00C63F8F" w:rsidRPr="00E27443">
        <w:t xml:space="preserve"> </w:t>
      </w:r>
      <w:r w:rsidRPr="00E27443">
        <w:t>discrimination</w:t>
      </w:r>
      <w:r w:rsidR="004B2AB0" w:rsidRPr="00E27443">
        <w:rPr>
          <w:rStyle w:val="FootnoteReference"/>
        </w:rPr>
        <w:footnoteReference w:id="120"/>
      </w:r>
      <w:r w:rsidR="00C63F8F" w:rsidRPr="00E27443">
        <w:t xml:space="preserve"> </w:t>
      </w:r>
      <w:r w:rsidRPr="00E27443">
        <w:t>against</w:t>
      </w:r>
      <w:r w:rsidR="00C63F8F" w:rsidRPr="00E27443">
        <w:t xml:space="preserve"> </w:t>
      </w:r>
      <w:r w:rsidRPr="00E27443">
        <w:t>persons</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disabilities.</w:t>
      </w:r>
      <w:r w:rsidR="00C63F8F" w:rsidRPr="00E27443">
        <w:t xml:space="preserve"> </w:t>
      </w:r>
    </w:p>
    <w:p w:rsidR="00321ADA" w:rsidRPr="00E27443" w:rsidRDefault="00321ADA" w:rsidP="00FE0795">
      <w:pPr>
        <w:pStyle w:val="SingleTxtG"/>
        <w:numPr>
          <w:ilvl w:val="0"/>
          <w:numId w:val="20"/>
        </w:numPr>
        <w:tabs>
          <w:tab w:val="left" w:pos="1843"/>
        </w:tabs>
        <w:ind w:left="1134" w:firstLine="0"/>
      </w:pPr>
      <w:r w:rsidRPr="00E27443">
        <w:t>In</w:t>
      </w:r>
      <w:r w:rsidR="00C63F8F" w:rsidRPr="00E27443">
        <w:t xml:space="preserve"> </w:t>
      </w:r>
      <w:r w:rsidRPr="00E27443">
        <w:t>order</w:t>
      </w:r>
      <w:r w:rsidR="00C63F8F" w:rsidRPr="00E27443">
        <w:t xml:space="preserve"> </w:t>
      </w:r>
      <w:r w:rsidRPr="00E27443">
        <w:t>for</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goal</w:t>
      </w:r>
      <w:r w:rsidR="00C63F8F" w:rsidRPr="00E27443">
        <w:t xml:space="preserve"> </w:t>
      </w:r>
      <w:r w:rsidRPr="00E27443">
        <w:t>of</w:t>
      </w:r>
      <w:r w:rsidR="00C63F8F" w:rsidRPr="00E27443">
        <w:t xml:space="preserve"> </w:t>
      </w:r>
      <w:r w:rsidRPr="00E27443">
        <w:t>equal</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to</w:t>
      </w:r>
      <w:r w:rsidR="00C63F8F" w:rsidRPr="00E27443">
        <w:t xml:space="preserve"> </w:t>
      </w:r>
      <w:r w:rsidRPr="00E27443">
        <w:t>be</w:t>
      </w:r>
      <w:r w:rsidR="00C63F8F" w:rsidRPr="00E27443">
        <w:t xml:space="preserve"> </w:t>
      </w:r>
      <w:r w:rsidRPr="00E27443">
        <w:t>realised,</w:t>
      </w:r>
      <w:r w:rsidR="00C63F8F" w:rsidRPr="00E27443">
        <w:t xml:space="preserve"> </w:t>
      </w:r>
      <w:r w:rsidRPr="00E27443">
        <w:t>the</w:t>
      </w:r>
      <w:r w:rsidR="00C63F8F" w:rsidRPr="00E27443">
        <w:t xml:space="preserve"> </w:t>
      </w:r>
      <w:r w:rsidRPr="00E27443">
        <w:t>affected</w:t>
      </w:r>
      <w:r w:rsidR="00C63F8F" w:rsidRPr="00E27443">
        <w:t xml:space="preserve"> </w:t>
      </w:r>
      <w:r w:rsidRPr="00E27443">
        <w:t>parties</w:t>
      </w:r>
      <w:r w:rsidR="00C63F8F" w:rsidRPr="00E27443">
        <w:t xml:space="preserve"> </w:t>
      </w:r>
      <w:r w:rsidRPr="00E27443">
        <w:t>must</w:t>
      </w:r>
      <w:r w:rsidR="00C63F8F" w:rsidRPr="00E27443">
        <w:t xml:space="preserve"> </w:t>
      </w:r>
      <w:r w:rsidRPr="00E27443">
        <w:t>work</w:t>
      </w:r>
      <w:r w:rsidR="00C63F8F" w:rsidRPr="00E27443">
        <w:t xml:space="preserve"> </w:t>
      </w:r>
      <w:r w:rsidRPr="00E27443">
        <w:t>together</w:t>
      </w:r>
      <w:r w:rsidR="00C63F8F" w:rsidRPr="00E27443">
        <w:t xml:space="preserve"> </w:t>
      </w:r>
      <w:r w:rsidRPr="00E27443">
        <w:t>to</w:t>
      </w:r>
      <w:r w:rsidR="00C63F8F" w:rsidRPr="00E27443">
        <w:t xml:space="preserve"> </w:t>
      </w:r>
      <w:r w:rsidRPr="00E27443">
        <w:t>identify</w:t>
      </w:r>
      <w:r w:rsidR="00C63F8F" w:rsidRPr="00E27443">
        <w:t xml:space="preserve"> </w:t>
      </w:r>
      <w:r w:rsidRPr="00E27443">
        <w:t>and</w:t>
      </w:r>
      <w:r w:rsidR="00C63F8F" w:rsidRPr="00E27443">
        <w:t xml:space="preserve"> </w:t>
      </w:r>
      <w:r w:rsidRPr="00E27443">
        <w:t>eliminate</w:t>
      </w:r>
      <w:r w:rsidR="00C63F8F" w:rsidRPr="00E27443">
        <w:t xml:space="preserve"> </w:t>
      </w:r>
      <w:r w:rsidRPr="00E27443">
        <w:t>those</w:t>
      </w:r>
      <w:r w:rsidR="00C63F8F" w:rsidRPr="00E27443">
        <w:t xml:space="preserve"> </w:t>
      </w:r>
      <w:r w:rsidRPr="00E27443">
        <w:t>obstacles</w:t>
      </w:r>
      <w:r w:rsidR="00C63F8F" w:rsidRPr="00E27443">
        <w:t xml:space="preserve"> </w:t>
      </w:r>
      <w:r w:rsidRPr="00E27443">
        <w:t>that</w:t>
      </w:r>
      <w:r w:rsidR="00C63F8F" w:rsidRPr="00E27443">
        <w:t xml:space="preserve"> </w:t>
      </w:r>
      <w:r w:rsidRPr="00E27443">
        <w:t>currently</w:t>
      </w:r>
      <w:r w:rsidR="00C63F8F" w:rsidRPr="00E27443">
        <w:t xml:space="preserve"> </w:t>
      </w:r>
      <w:r w:rsidRPr="00E27443">
        <w:t>exist</w:t>
      </w:r>
      <w:r w:rsidR="00C63F8F" w:rsidRPr="00E27443">
        <w:t xml:space="preserve"> </w:t>
      </w:r>
      <w:r w:rsidRPr="00E27443">
        <w:t>on</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entail</w:t>
      </w:r>
      <w:r w:rsidR="00C63F8F" w:rsidRPr="00E27443">
        <w:t xml:space="preserve"> </w:t>
      </w:r>
      <w:r w:rsidRPr="00E27443">
        <w:t>a</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The</w:t>
      </w:r>
      <w:r w:rsidR="00C63F8F" w:rsidRPr="00E27443">
        <w:t xml:space="preserve"> </w:t>
      </w:r>
      <w:r w:rsidRPr="00E27443">
        <w:t>Swedish</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is</w:t>
      </w:r>
      <w:r w:rsidR="00C63F8F" w:rsidRPr="00E27443">
        <w:t xml:space="preserve"> </w:t>
      </w:r>
      <w:r w:rsidRPr="00E27443">
        <w:t>already</w:t>
      </w:r>
      <w:r w:rsidR="00C63F8F" w:rsidRPr="00E27443">
        <w:t xml:space="preserve"> </w:t>
      </w:r>
      <w:r w:rsidRPr="00E27443">
        <w:t>tasked</w:t>
      </w:r>
      <w:r w:rsidR="00C63F8F" w:rsidRPr="00E27443">
        <w:t xml:space="preserve"> </w:t>
      </w:r>
      <w:r w:rsidRPr="00E27443">
        <w:t>with</w:t>
      </w:r>
      <w:r w:rsidR="00C63F8F" w:rsidRPr="00E27443">
        <w:t xml:space="preserve"> </w:t>
      </w:r>
      <w:r w:rsidRPr="00E27443">
        <w:t>working</w:t>
      </w:r>
      <w:r w:rsidR="00C63F8F" w:rsidRPr="00E27443">
        <w:t xml:space="preserve"> </w:t>
      </w:r>
      <w:r w:rsidRPr="00E27443">
        <w:t>to</w:t>
      </w:r>
      <w:r w:rsidR="00C63F8F" w:rsidRPr="00E27443">
        <w:t xml:space="preserve"> </w:t>
      </w:r>
      <w:r w:rsidRPr="00E27443">
        <w:t>strengthen</w:t>
      </w:r>
      <w:r w:rsidR="00C63F8F" w:rsidRPr="00E27443">
        <w:t xml:space="preserve"> </w:t>
      </w:r>
      <w:r w:rsidRPr="00E27443">
        <w:t>the</w:t>
      </w:r>
      <w:r w:rsidR="00C63F8F" w:rsidRPr="00E27443">
        <w:t xml:space="preserve"> </w:t>
      </w:r>
      <w:r w:rsidRPr="00E27443">
        <w:t>individual</w:t>
      </w:r>
      <w:r w:rsidR="00C63F8F" w:rsidRPr="00E27443">
        <w:t>’</w:t>
      </w:r>
      <w:r w:rsidRPr="00E27443">
        <w:t>s</w:t>
      </w:r>
      <w:r w:rsidR="00C63F8F" w:rsidRPr="00E27443">
        <w:t xml:space="preserve"> </w:t>
      </w:r>
      <w:r w:rsidRPr="00E27443">
        <w:t>competitiveness,</w:t>
      </w:r>
      <w:r w:rsidR="00C63F8F" w:rsidRPr="00E27443">
        <w:t xml:space="preserve"> </w:t>
      </w:r>
      <w:r w:rsidRPr="00E27443">
        <w:t>to</w:t>
      </w:r>
      <w:r w:rsidR="00C63F8F" w:rsidRPr="00E27443">
        <w:t xml:space="preserve"> </w:t>
      </w:r>
      <w:r w:rsidRPr="00E27443">
        <w:t>work</w:t>
      </w:r>
      <w:r w:rsidR="00C63F8F" w:rsidRPr="00E27443">
        <w:t xml:space="preserve"> </w:t>
      </w:r>
      <w:r w:rsidRPr="00E27443">
        <w:t>for</w:t>
      </w:r>
      <w:r w:rsidR="00C63F8F" w:rsidRPr="00E27443">
        <w:t xml:space="preserve"> </w:t>
      </w:r>
      <w:r w:rsidRPr="00E27443">
        <w:t>matching</w:t>
      </w:r>
      <w:r w:rsidR="00C63F8F" w:rsidRPr="00E27443">
        <w:t xml:space="preserve"> </w:t>
      </w:r>
      <w:r w:rsidRPr="00E27443">
        <w:t>between</w:t>
      </w:r>
      <w:r w:rsidR="00C63F8F" w:rsidRPr="00E27443">
        <w:t xml:space="preserve"> </w:t>
      </w:r>
      <w:r w:rsidRPr="00E27443">
        <w:t>job</w:t>
      </w:r>
      <w:r w:rsidR="00C63F8F" w:rsidRPr="00E27443">
        <w:t xml:space="preserve"> </w:t>
      </w:r>
      <w:r w:rsidRPr="00E27443">
        <w:t>applicants</w:t>
      </w:r>
      <w:r w:rsidR="00C63F8F" w:rsidRPr="00E27443">
        <w:t xml:space="preserve"> </w:t>
      </w:r>
      <w:r w:rsidRPr="00E27443">
        <w:t>and</w:t>
      </w:r>
      <w:r w:rsidR="00C63F8F" w:rsidRPr="00E27443">
        <w:t xml:space="preserve"> </w:t>
      </w:r>
      <w:r w:rsidRPr="00E27443">
        <w:t>work,</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compensate</w:t>
      </w:r>
      <w:r w:rsidR="00C63F8F" w:rsidRPr="00E27443">
        <w:t xml:space="preserve"> </w:t>
      </w:r>
      <w:r w:rsidRPr="00E27443">
        <w:t>for</w:t>
      </w:r>
      <w:r w:rsidR="00C63F8F" w:rsidRPr="00E27443">
        <w:t xml:space="preserve"> </w:t>
      </w:r>
      <w:r w:rsidRPr="00E27443">
        <w:t>the</w:t>
      </w:r>
      <w:r w:rsidR="00C63F8F" w:rsidRPr="00E27443">
        <w:t xml:space="preserve"> </w:t>
      </w:r>
      <w:r w:rsidRPr="00E27443">
        <w:t>reduced</w:t>
      </w:r>
      <w:r w:rsidR="00C63F8F" w:rsidRPr="00E27443">
        <w:t xml:space="preserve"> </w:t>
      </w:r>
      <w:r w:rsidRPr="00E27443">
        <w:t>working</w:t>
      </w:r>
      <w:r w:rsidR="00C63F8F" w:rsidRPr="00E27443">
        <w:t xml:space="preserve"> </w:t>
      </w:r>
      <w:r w:rsidRPr="00E27443">
        <w:t>capacity</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belong</w:t>
      </w:r>
      <w:r w:rsidR="00C63F8F" w:rsidRPr="00E27443">
        <w:t xml:space="preserve"> </w:t>
      </w:r>
      <w:r w:rsidRPr="00E27443">
        <w:t>to</w:t>
      </w:r>
      <w:r w:rsidR="00C63F8F" w:rsidRPr="00E27443">
        <w:t xml:space="preserve"> </w:t>
      </w:r>
      <w:r w:rsidRPr="00E27443">
        <w:t>a</w:t>
      </w:r>
      <w:r w:rsidR="00C63F8F" w:rsidRPr="00E27443">
        <w:t xml:space="preserve"> </w:t>
      </w:r>
      <w:r w:rsidRPr="00E27443">
        <w:t>prioritised</w:t>
      </w:r>
      <w:r w:rsidR="00C63F8F" w:rsidRPr="00E27443">
        <w:t xml:space="preserve"> </w:t>
      </w:r>
      <w:r w:rsidRPr="00E27443">
        <w:t>target</w:t>
      </w:r>
      <w:r w:rsidR="00C63F8F" w:rsidRPr="00E27443">
        <w:t xml:space="preserve"> </w:t>
      </w:r>
      <w:r w:rsidRPr="00E27443">
        <w:t>group.</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considers</w:t>
      </w:r>
      <w:r w:rsidR="00C63F8F" w:rsidRPr="00E27443">
        <w:t xml:space="preserve"> </w:t>
      </w:r>
      <w:r w:rsidRPr="00E27443">
        <w:t>it</w:t>
      </w:r>
      <w:r w:rsidR="00C63F8F" w:rsidRPr="00E27443">
        <w:t xml:space="preserve"> </w:t>
      </w:r>
      <w:r w:rsidRPr="00E27443">
        <w:t>vital</w:t>
      </w:r>
      <w:r w:rsidR="00C63F8F" w:rsidRPr="00E27443">
        <w:t xml:space="preserve"> </w:t>
      </w:r>
      <w:r w:rsidRPr="00E27443">
        <w:t>to</w:t>
      </w:r>
      <w:r w:rsidR="00C63F8F" w:rsidRPr="00E27443">
        <w:t xml:space="preserve"> </w:t>
      </w:r>
      <w:r w:rsidRPr="00E27443">
        <w:t>utilise</w:t>
      </w:r>
      <w:r w:rsidR="00C63F8F" w:rsidRPr="00E27443">
        <w:t xml:space="preserve"> </w:t>
      </w:r>
      <w:r w:rsidRPr="00E27443">
        <w:t>the</w:t>
      </w:r>
      <w:r w:rsidR="00C63F8F" w:rsidRPr="00E27443">
        <w:t xml:space="preserve"> </w:t>
      </w:r>
      <w:r w:rsidRPr="00E27443">
        <w:t>opportunities</w:t>
      </w:r>
      <w:r w:rsidR="00C63F8F" w:rsidRPr="00E27443">
        <w:t xml:space="preserve"> </w:t>
      </w:r>
      <w:r w:rsidRPr="00E27443">
        <w:t>to</w:t>
      </w:r>
      <w:r w:rsidR="00C63F8F" w:rsidRPr="00E27443">
        <w:t xml:space="preserve"> </w:t>
      </w:r>
      <w:r w:rsidRPr="00E27443">
        <w:t>find</w:t>
      </w:r>
      <w:r w:rsidR="00C63F8F" w:rsidRPr="00E27443">
        <w:t xml:space="preserve"> </w:t>
      </w:r>
      <w:r w:rsidRPr="00E27443">
        <w:t>work</w:t>
      </w:r>
      <w:r w:rsidR="00C63F8F" w:rsidRPr="00E27443">
        <w:t xml:space="preserve"> </w:t>
      </w:r>
      <w:r w:rsidRPr="00E27443">
        <w:t>that</w:t>
      </w:r>
      <w:r w:rsidR="00C63F8F" w:rsidRPr="00E27443">
        <w:t xml:space="preserve"> </w:t>
      </w:r>
      <w:r w:rsidRPr="00E27443">
        <w:t>the</w:t>
      </w:r>
      <w:r w:rsidR="00C63F8F" w:rsidRPr="00E27443">
        <w:t xml:space="preserve"> </w:t>
      </w:r>
      <w:r w:rsidRPr="00E27443">
        <w:t>upcoming</w:t>
      </w:r>
      <w:r w:rsidR="00C63F8F" w:rsidRPr="00E27443">
        <w:t xml:space="preserve"> </w:t>
      </w:r>
      <w:r w:rsidRPr="00E27443">
        <w:t>economic</w:t>
      </w:r>
      <w:r w:rsidR="00C63F8F" w:rsidRPr="00E27443">
        <w:t xml:space="preserve"> </w:t>
      </w:r>
      <w:r w:rsidRPr="00E27443">
        <w:t>upturn</w:t>
      </w:r>
      <w:r w:rsidR="00C63F8F" w:rsidRPr="00E27443">
        <w:t xml:space="preserve"> </w:t>
      </w:r>
      <w:r w:rsidRPr="00E27443">
        <w:t>will</w:t>
      </w:r>
      <w:r w:rsidR="00C63F8F" w:rsidRPr="00E27443">
        <w:t xml:space="preserve"> </w:t>
      </w:r>
      <w:r w:rsidRPr="00E27443">
        <w:t>provide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entail</w:t>
      </w:r>
      <w:r w:rsidR="00C63F8F" w:rsidRPr="00E27443">
        <w:t xml:space="preserve"> </w:t>
      </w:r>
      <w:r w:rsidRPr="00E27443">
        <w:t>a</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is</w:t>
      </w:r>
      <w:r w:rsidR="00C63F8F" w:rsidRPr="00E27443">
        <w:t xml:space="preserve"> </w:t>
      </w:r>
      <w:r w:rsidRPr="00E27443">
        <w:t>therefore</w:t>
      </w:r>
      <w:r w:rsidR="00C63F8F" w:rsidRPr="00E27443">
        <w:t xml:space="preserve"> </w:t>
      </w:r>
      <w:r w:rsidRPr="00E27443">
        <w:t>evaluating</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to</w:t>
      </w:r>
      <w:r w:rsidR="00C63F8F" w:rsidRPr="00E27443">
        <w:t xml:space="preserve"> </w:t>
      </w:r>
      <w:r w:rsidRPr="00E27443">
        <w:t>continue</w:t>
      </w:r>
      <w:r w:rsidR="00C63F8F" w:rsidRPr="00E27443">
        <w:t xml:space="preserve"> </w:t>
      </w:r>
      <w:r w:rsidRPr="00E27443">
        <w:t>the</w:t>
      </w:r>
      <w:r w:rsidR="00C63F8F" w:rsidRPr="00E27443">
        <w:t xml:space="preserve"> </w:t>
      </w:r>
      <w:r w:rsidRPr="00E27443">
        <w:t>matching</w:t>
      </w:r>
      <w:r w:rsidR="00C63F8F" w:rsidRPr="00E27443">
        <w:t xml:space="preserve"> </w:t>
      </w:r>
      <w:r w:rsidRPr="00E27443">
        <w:t>work</w:t>
      </w:r>
      <w:r w:rsidR="00C63F8F" w:rsidRPr="00E27443">
        <w:t xml:space="preserve"> </w:t>
      </w:r>
      <w:r w:rsidRPr="00E27443">
        <w:t>as</w:t>
      </w:r>
      <w:r w:rsidR="00C63F8F" w:rsidRPr="00E27443">
        <w:t xml:space="preserve"> </w:t>
      </w:r>
      <w:r w:rsidRPr="00E27443">
        <w:t>regards</w:t>
      </w:r>
      <w:r w:rsidR="00C63F8F" w:rsidRPr="00E27443">
        <w:t xml:space="preserve"> </w:t>
      </w:r>
      <w:r w:rsidRPr="00E27443">
        <w:t>this</w:t>
      </w:r>
      <w:r w:rsidR="00C63F8F" w:rsidRPr="00E27443">
        <w:t xml:space="preserve"> </w:t>
      </w:r>
      <w:r w:rsidRPr="00E27443">
        <w:t>target</w:t>
      </w:r>
      <w:r w:rsidR="00C63F8F" w:rsidRPr="00E27443">
        <w:t xml:space="preserve"> </w:t>
      </w:r>
      <w:r w:rsidRPr="00E27443">
        <w:t>group</w:t>
      </w:r>
      <w:r w:rsidR="00C63F8F" w:rsidRPr="00E27443">
        <w:t xml:space="preserve"> </w:t>
      </w:r>
      <w:r w:rsidRPr="00E27443">
        <w:t>more</w:t>
      </w:r>
      <w:r w:rsidR="00C63F8F" w:rsidRPr="00E27443">
        <w:t xml:space="preserve"> </w:t>
      </w:r>
      <w:r w:rsidRPr="00E27443">
        <w:t>efficiently</w:t>
      </w:r>
      <w:r w:rsidR="00C63F8F" w:rsidRPr="00E27443">
        <w:t xml:space="preserve"> </w:t>
      </w:r>
      <w:r w:rsidRPr="00E27443">
        <w:t>and</w:t>
      </w:r>
      <w:r w:rsidR="00C63F8F" w:rsidRPr="00E27443">
        <w:t xml:space="preserve"> </w:t>
      </w:r>
      <w:r w:rsidRPr="00E27443">
        <w:t>robustly.</w:t>
      </w:r>
    </w:p>
    <w:p w:rsidR="00321ADA" w:rsidRPr="00E27443" w:rsidRDefault="00321ADA" w:rsidP="00FE0795">
      <w:pPr>
        <w:pStyle w:val="SingleTxtG"/>
        <w:numPr>
          <w:ilvl w:val="0"/>
          <w:numId w:val="20"/>
        </w:numPr>
        <w:tabs>
          <w:tab w:val="left" w:pos="1843"/>
        </w:tabs>
        <w:ind w:left="1134" w:firstLine="0"/>
      </w:pPr>
      <w:r w:rsidRPr="00E27443">
        <w:t>The</w:t>
      </w:r>
      <w:r w:rsidR="00C63F8F" w:rsidRPr="00E27443">
        <w:t xml:space="preserve"> </w:t>
      </w:r>
      <w:r w:rsidRPr="00E27443">
        <w:t>introduction</w:t>
      </w:r>
      <w:r w:rsidR="00C63F8F" w:rsidRPr="00E27443">
        <w:t xml:space="preserve"> </w:t>
      </w:r>
      <w:r w:rsidRPr="00E27443">
        <w:t>of</w:t>
      </w:r>
      <w:r w:rsidR="00C63F8F" w:rsidRPr="00E27443">
        <w:t xml:space="preserve"> </w:t>
      </w:r>
      <w:r w:rsidRPr="00E27443">
        <w:t>new</w:t>
      </w:r>
      <w:r w:rsidR="00C63F8F" w:rsidRPr="00E27443">
        <w:t xml:space="preserve"> </w:t>
      </w:r>
      <w:r w:rsidRPr="00E27443">
        <w:t>labour</w:t>
      </w:r>
      <w:r w:rsidR="00C63F8F" w:rsidRPr="00E27443">
        <w:t xml:space="preserve"> </w:t>
      </w:r>
      <w:r w:rsidRPr="00E27443">
        <w:t>market</w:t>
      </w:r>
      <w:r w:rsidR="00C63F8F" w:rsidRPr="00E27443">
        <w:t xml:space="preserve"> </w:t>
      </w:r>
      <w:r w:rsidRPr="00E27443">
        <w:t>policy</w:t>
      </w:r>
      <w:r w:rsidR="00C63F8F" w:rsidRPr="00E27443">
        <w:t xml:space="preserve"> </w:t>
      </w:r>
      <w:r w:rsidRPr="00E27443">
        <w:t>measures</w:t>
      </w:r>
      <w:r w:rsidR="00C63F8F" w:rsidRPr="00E27443">
        <w:t xml:space="preserve"> </w:t>
      </w: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has</w:t>
      </w:r>
      <w:r w:rsidR="00C63F8F" w:rsidRPr="00E27443">
        <w:t xml:space="preserve"> </w:t>
      </w:r>
      <w:r w:rsidRPr="00E27443">
        <w:t>also</w:t>
      </w:r>
      <w:r w:rsidR="00C63F8F" w:rsidRPr="00E27443">
        <w:t xml:space="preserve"> </w:t>
      </w:r>
      <w:r w:rsidRPr="00E27443">
        <w:t>resulted</w:t>
      </w:r>
      <w:r w:rsidR="00C63F8F" w:rsidRPr="00E27443">
        <w:t xml:space="preserve"> </w:t>
      </w:r>
      <w:r w:rsidRPr="00E27443">
        <w:t>in</w:t>
      </w:r>
      <w:r w:rsidR="00C63F8F" w:rsidRPr="00E27443">
        <w:t xml:space="preserve"> </w:t>
      </w:r>
      <w:r w:rsidRPr="00E27443">
        <w:t>more</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entail</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being</w:t>
      </w:r>
      <w:r w:rsidR="00C63F8F" w:rsidRPr="00E27443">
        <w:t xml:space="preserve"> </w:t>
      </w:r>
      <w:r w:rsidRPr="00E27443">
        <w:t>able</w:t>
      </w:r>
      <w:r w:rsidR="00C63F8F" w:rsidRPr="00E27443">
        <w:t xml:space="preserve"> </w:t>
      </w:r>
      <w:r w:rsidRPr="00E27443">
        <w:t>to</w:t>
      </w:r>
      <w:r w:rsidR="00C63F8F" w:rsidRPr="00E27443">
        <w:t xml:space="preserve"> </w:t>
      </w:r>
      <w:r w:rsidRPr="00E27443">
        <w:t>find</w:t>
      </w:r>
      <w:r w:rsidR="00C63F8F" w:rsidRPr="00E27443">
        <w:t xml:space="preserve"> </w:t>
      </w:r>
      <w:r w:rsidRPr="00E27443">
        <w:t>employment.</w:t>
      </w:r>
      <w:r w:rsidR="00C63F8F" w:rsidRPr="00E27443">
        <w:t xml:space="preserve"> </w:t>
      </w:r>
      <w:r w:rsidRPr="00E27443">
        <w:t>The</w:t>
      </w:r>
      <w:r w:rsidR="00C63F8F" w:rsidRPr="00E27443">
        <w:t xml:space="preserve"> </w:t>
      </w:r>
      <w:r w:rsidRPr="00E27443">
        <w:t>resources</w:t>
      </w:r>
      <w:r w:rsidR="00C63F8F" w:rsidRPr="00E27443">
        <w:t xml:space="preserve"> </w:t>
      </w:r>
      <w:r w:rsidRPr="00E27443">
        <w:t>for</w:t>
      </w:r>
      <w:r w:rsidR="00C63F8F" w:rsidRPr="00E27443">
        <w:t xml:space="preserve"> </w:t>
      </w:r>
      <w:r w:rsidRPr="00E27443">
        <w:t>wage</w:t>
      </w:r>
      <w:r w:rsidR="00C63F8F" w:rsidRPr="00E27443">
        <w:t xml:space="preserve"> </w:t>
      </w:r>
      <w:r w:rsidRPr="00E27443">
        <w:t>subsidies</w:t>
      </w:r>
      <w:r w:rsidR="00C63F8F" w:rsidRPr="00E27443">
        <w:t xml:space="preserve"> </w:t>
      </w:r>
      <w:r w:rsidRPr="00E27443">
        <w:t>and</w:t>
      </w:r>
      <w:r w:rsidR="00C63F8F" w:rsidRPr="00E27443">
        <w:t xml:space="preserve"> </w:t>
      </w:r>
      <w:r w:rsidRPr="00E27443">
        <w:t>protected</w:t>
      </w:r>
      <w:r w:rsidR="00C63F8F" w:rsidRPr="00E27443">
        <w:t xml:space="preserve"> </w:t>
      </w:r>
      <w:r w:rsidRPr="00E27443">
        <w:t>employment</w:t>
      </w:r>
      <w:r w:rsidR="00C63F8F" w:rsidRPr="00E27443">
        <w:t xml:space="preserve"> </w:t>
      </w:r>
      <w:r w:rsidRPr="00E27443">
        <w:t>within</w:t>
      </w:r>
      <w:r w:rsidR="00C63F8F" w:rsidRPr="00E27443">
        <w:t xml:space="preserve"> </w:t>
      </w:r>
      <w:smartTag w:uri="urn:schemas-microsoft-com:office:smarttags" w:element="place">
        <w:smartTag w:uri="urn:schemas-microsoft-com:office:smarttags" w:element="City">
          <w:r w:rsidRPr="00E27443">
            <w:t>Samhall</w:t>
          </w:r>
        </w:smartTag>
        <w:r w:rsidR="00C63F8F" w:rsidRPr="00E27443">
          <w:t xml:space="preserve"> </w:t>
        </w:r>
        <w:smartTag w:uri="urn:schemas-microsoft-com:office:smarttags" w:element="State">
          <w:r w:rsidRPr="00E27443">
            <w:t>AB</w:t>
          </w:r>
        </w:smartTag>
      </w:smartTag>
      <w:r w:rsidR="004B2AB0" w:rsidRPr="00FE0795">
        <w:footnoteReference w:id="121"/>
      </w:r>
      <w:r w:rsidR="00C63F8F" w:rsidRPr="00E27443">
        <w:t xml:space="preserve"> </w:t>
      </w:r>
      <w:r w:rsidRPr="00E27443">
        <w:t>have</w:t>
      </w:r>
      <w:r w:rsidR="00C63F8F" w:rsidRPr="00E27443">
        <w:t xml:space="preserve"> </w:t>
      </w:r>
      <w:r w:rsidRPr="00E27443">
        <w:t>increased.</w:t>
      </w:r>
      <w:r w:rsidR="00C63F8F" w:rsidRPr="00E27443">
        <w:t xml:space="preserve"> </w:t>
      </w:r>
      <w:r w:rsidRPr="00E27443">
        <w:t>The</w:t>
      </w:r>
      <w:r w:rsidR="00C63F8F" w:rsidRPr="00E27443">
        <w:t xml:space="preserve"> </w:t>
      </w:r>
      <w:r w:rsidRPr="00E27443">
        <w:t>maximum</w:t>
      </w:r>
      <w:r w:rsidR="00C63F8F" w:rsidRPr="00E27443">
        <w:t xml:space="preserve"> </w:t>
      </w:r>
      <w:r w:rsidRPr="00E27443">
        <w:t>amount</w:t>
      </w:r>
      <w:r w:rsidR="00C63F8F" w:rsidRPr="00E27443">
        <w:t xml:space="preserve"> </w:t>
      </w:r>
      <w:r w:rsidRPr="00E27443">
        <w:t>for</w:t>
      </w:r>
      <w:r w:rsidR="00C63F8F" w:rsidRPr="00E27443">
        <w:t xml:space="preserve"> </w:t>
      </w:r>
      <w:r w:rsidRPr="00E27443">
        <w:t>support</w:t>
      </w:r>
      <w:r w:rsidR="00C63F8F" w:rsidRPr="00E27443">
        <w:t xml:space="preserve"> </w:t>
      </w:r>
      <w:r w:rsidRPr="00E27443">
        <w:t>for</w:t>
      </w:r>
      <w:r w:rsidR="00C63F8F" w:rsidRPr="00E27443">
        <w:t xml:space="preserve"> </w:t>
      </w:r>
      <w:r w:rsidRPr="00E27443">
        <w:t>vocational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has</w:t>
      </w:r>
      <w:r w:rsidR="00C63F8F" w:rsidRPr="00E27443">
        <w:t xml:space="preserve"> </w:t>
      </w:r>
      <w:r w:rsidRPr="00E27443">
        <w:t>been</w:t>
      </w:r>
      <w:r w:rsidR="00C63F8F" w:rsidRPr="00E27443">
        <w:t xml:space="preserve"> </w:t>
      </w:r>
      <w:r w:rsidRPr="00E27443">
        <w:t>raised</w:t>
      </w:r>
      <w:r w:rsidR="00C63F8F" w:rsidRPr="00E27443">
        <w:t xml:space="preserve"> </w:t>
      </w:r>
      <w:r w:rsidRPr="00E27443">
        <w:t>and</w:t>
      </w:r>
      <w:r w:rsidR="00C63F8F" w:rsidRPr="00E27443">
        <w:t xml:space="preserve"> </w:t>
      </w:r>
      <w:r w:rsidRPr="00E27443">
        <w:t>the</w:t>
      </w:r>
      <w:r w:rsidR="00C63F8F" w:rsidRPr="00E27443">
        <w:t xml:space="preserve"> </w:t>
      </w:r>
      <w:r w:rsidRPr="00E27443">
        <w:t>support</w:t>
      </w:r>
      <w:r w:rsidR="00C63F8F" w:rsidRPr="00E27443">
        <w:t xml:space="preserve"> </w:t>
      </w:r>
      <w:r w:rsidRPr="00E27443">
        <w:t>for</w:t>
      </w:r>
      <w:r w:rsidR="00C63F8F" w:rsidRPr="00E27443">
        <w:t xml:space="preserve"> </w:t>
      </w:r>
      <w:r w:rsidRPr="00E27443">
        <w:t>personal</w:t>
      </w:r>
      <w:r w:rsidR="00C63F8F" w:rsidRPr="00E27443">
        <w:t xml:space="preserve"> </w:t>
      </w:r>
      <w:r w:rsidRPr="00E27443">
        <w:t>assistance</w:t>
      </w:r>
      <w:r w:rsidR="00C63F8F" w:rsidRPr="00E27443">
        <w:t xml:space="preserve"> </w:t>
      </w:r>
      <w:r w:rsidRPr="00E27443">
        <w:t>has</w:t>
      </w:r>
      <w:r w:rsidR="00C63F8F" w:rsidRPr="00E27443">
        <w:t xml:space="preserve"> </w:t>
      </w:r>
      <w:r w:rsidRPr="00E27443">
        <w:t>increased</w:t>
      </w:r>
      <w:r w:rsidR="00C63F8F" w:rsidRPr="00E27443">
        <w:t xml:space="preserve"> </w:t>
      </w:r>
      <w:r w:rsidRPr="00E27443">
        <w:t>since</w:t>
      </w:r>
      <w:r w:rsidR="00C63F8F" w:rsidRPr="00E27443">
        <w:t xml:space="preserve"> </w:t>
      </w:r>
      <w:r w:rsidRPr="00E27443">
        <w:t>2006.</w:t>
      </w:r>
    </w:p>
    <w:p w:rsidR="00321ADA" w:rsidRPr="00E27443" w:rsidRDefault="00321ADA" w:rsidP="00FE0795">
      <w:pPr>
        <w:pStyle w:val="SingleTxtG"/>
        <w:numPr>
          <w:ilvl w:val="0"/>
          <w:numId w:val="20"/>
        </w:numPr>
        <w:tabs>
          <w:tab w:val="left" w:pos="1843"/>
        </w:tabs>
        <w:ind w:left="1134" w:firstLine="0"/>
      </w:pPr>
      <w:r w:rsidRPr="00E27443">
        <w:t>Unemployed</w:t>
      </w:r>
      <w:r w:rsidR="00C63F8F" w:rsidRPr="00E27443">
        <w:t xml:space="preserve"> </w:t>
      </w:r>
      <w:r w:rsidRPr="00E27443">
        <w:t>individuals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entail</w:t>
      </w:r>
      <w:r w:rsidR="00C63F8F" w:rsidRPr="00E27443">
        <w:t xml:space="preserve"> </w:t>
      </w:r>
      <w:r w:rsidRPr="00E27443">
        <w:t>a</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are</w:t>
      </w:r>
      <w:r w:rsidR="00C63F8F" w:rsidRPr="00E27443">
        <w:t xml:space="preserve"> </w:t>
      </w:r>
      <w:r w:rsidRPr="00E27443">
        <w:t>entitled</w:t>
      </w:r>
      <w:r w:rsidR="00C63F8F" w:rsidRPr="00E27443">
        <w:t xml:space="preserve"> </w:t>
      </w:r>
      <w:r w:rsidRPr="00E27443">
        <w:t>to</w:t>
      </w:r>
      <w:r w:rsidR="00C63F8F" w:rsidRPr="00E27443">
        <w:t xml:space="preserve"> </w:t>
      </w:r>
      <w:r w:rsidRPr="00E27443">
        <w:t>utilise</w:t>
      </w:r>
      <w:r w:rsidR="00C63F8F" w:rsidRPr="00E27443">
        <w:t xml:space="preserve"> </w:t>
      </w:r>
      <w:r w:rsidRPr="00E27443">
        <w:t>all</w:t>
      </w:r>
      <w:r w:rsidR="00C63F8F" w:rsidRPr="00E27443">
        <w:t xml:space="preserve"> </w:t>
      </w:r>
      <w:r w:rsidRPr="00E27443">
        <w:t>the</w:t>
      </w:r>
      <w:r w:rsidR="00C63F8F" w:rsidRPr="00E27443">
        <w:t xml:space="preserve"> </w:t>
      </w:r>
      <w:r w:rsidRPr="00E27443">
        <w:t>services</w:t>
      </w:r>
      <w:r w:rsidR="00C63F8F" w:rsidRPr="00E27443">
        <w:t xml:space="preserve"> </w:t>
      </w:r>
      <w:r w:rsidRPr="00E27443">
        <w:t>and</w:t>
      </w:r>
      <w:r w:rsidR="00C63F8F" w:rsidRPr="00E27443">
        <w:t xml:space="preserve"> </w:t>
      </w:r>
      <w:r w:rsidRPr="00E27443">
        <w:t>all</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policy</w:t>
      </w:r>
      <w:r w:rsidR="00C63F8F" w:rsidRPr="00E27443">
        <w:t xml:space="preserve"> </w:t>
      </w:r>
      <w:r w:rsidRPr="00E27443">
        <w:t>programmes</w:t>
      </w:r>
      <w:r w:rsidR="00C63F8F" w:rsidRPr="00E27443">
        <w:t xml:space="preserve"> </w:t>
      </w:r>
      <w:r w:rsidRPr="00E27443">
        <w:t>that</w:t>
      </w:r>
      <w:r w:rsidR="00C63F8F" w:rsidRPr="00E27443">
        <w:t xml:space="preserve"> </w:t>
      </w:r>
      <w:r w:rsidRPr="00E27443">
        <w:t>are</w:t>
      </w:r>
      <w:r w:rsidR="00C63F8F" w:rsidRPr="00E27443">
        <w:t xml:space="preserve"> </w:t>
      </w:r>
      <w:r w:rsidRPr="00E27443">
        <w:t>available</w:t>
      </w:r>
      <w:r w:rsidR="00C63F8F" w:rsidRPr="00E27443">
        <w:t xml:space="preserve"> </w:t>
      </w:r>
      <w:r w:rsidRPr="00E27443">
        <w:t>from</w:t>
      </w:r>
      <w:r w:rsidR="00C63F8F" w:rsidRPr="00E27443">
        <w:t xml:space="preserve"> </w:t>
      </w:r>
      <w:r w:rsidRPr="00E27443">
        <w:t>the</w:t>
      </w:r>
      <w:r w:rsidR="00C63F8F" w:rsidRPr="00E27443">
        <w:t xml:space="preserve"> </w:t>
      </w:r>
      <w:r w:rsidRPr="00E27443">
        <w:t>Swedish</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as</w:t>
      </w:r>
      <w:r w:rsidR="00C63F8F" w:rsidRPr="00E27443">
        <w:t xml:space="preserve"> </w:t>
      </w:r>
      <w:r w:rsidRPr="00E27443">
        <w:t>other</w:t>
      </w:r>
      <w:r w:rsidR="00C63F8F" w:rsidRPr="00E27443">
        <w:t xml:space="preserve"> </w:t>
      </w:r>
      <w:r w:rsidRPr="00E27443">
        <w:t>jobseekers.</w:t>
      </w:r>
      <w:r w:rsidR="00C63F8F" w:rsidRPr="00E27443">
        <w:t xml:space="preserve"> </w:t>
      </w:r>
    </w:p>
    <w:p w:rsidR="00321ADA" w:rsidRPr="00E27443" w:rsidRDefault="00321ADA" w:rsidP="00FE0795">
      <w:pPr>
        <w:pStyle w:val="SingleTxtG"/>
        <w:numPr>
          <w:ilvl w:val="0"/>
          <w:numId w:val="20"/>
        </w:numPr>
        <w:tabs>
          <w:tab w:val="left" w:pos="1843"/>
        </w:tabs>
        <w:ind w:left="1134" w:firstLine="0"/>
      </w:pPr>
      <w:r w:rsidRPr="00E27443">
        <w:t>If</w:t>
      </w:r>
      <w:r w:rsidR="00C63F8F" w:rsidRPr="00E27443">
        <w:t xml:space="preserve"> </w:t>
      </w:r>
      <w:r w:rsidRPr="00E27443">
        <w:t>necessary,</w:t>
      </w:r>
      <w:r w:rsidR="00C63F8F" w:rsidRPr="00E27443">
        <w:t xml:space="preserve"> </w:t>
      </w:r>
      <w:r w:rsidRPr="00E27443">
        <w:t>they</w:t>
      </w:r>
      <w:r w:rsidR="00C63F8F" w:rsidRPr="00E27443">
        <w:t xml:space="preserve"> </w:t>
      </w:r>
      <w:r w:rsidRPr="00E27443">
        <w:t>should</w:t>
      </w:r>
      <w:r w:rsidR="00C63F8F" w:rsidRPr="00E27443">
        <w:t xml:space="preserve"> </w:t>
      </w:r>
      <w:r w:rsidRPr="00E27443">
        <w:t>also</w:t>
      </w:r>
      <w:r w:rsidR="00C63F8F" w:rsidRPr="00E27443">
        <w:t xml:space="preserve"> </w:t>
      </w:r>
      <w:r w:rsidRPr="00E27443">
        <w:t>be</w:t>
      </w:r>
      <w:r w:rsidR="00C63F8F" w:rsidRPr="00E27443">
        <w:t xml:space="preserve"> </w:t>
      </w:r>
      <w:r w:rsidRPr="00E27443">
        <w:t>notified</w:t>
      </w:r>
      <w:r w:rsidR="00C63F8F" w:rsidRPr="00E27443">
        <w:t xml:space="preserve"> </w:t>
      </w:r>
      <w:r w:rsidRPr="00E27443">
        <w:t>of</w:t>
      </w:r>
      <w:r w:rsidR="00C63F8F" w:rsidRPr="00E27443">
        <w:t xml:space="preserve"> </w:t>
      </w:r>
      <w:r w:rsidRPr="00E27443">
        <w:t>working</w:t>
      </w:r>
      <w:r w:rsidR="00C63F8F" w:rsidRPr="00E27443">
        <w:t xml:space="preserve"> </w:t>
      </w:r>
      <w:r w:rsidRPr="00E27443">
        <w:t>life-oriented</w:t>
      </w:r>
      <w:r w:rsidR="00C63F8F" w:rsidRPr="00E27443">
        <w:t xml:space="preserve"> </w:t>
      </w:r>
      <w:r w:rsidRPr="00E27443">
        <w:t>rehabilitation</w:t>
      </w:r>
      <w:r w:rsidR="00C63F8F" w:rsidRPr="00E27443">
        <w:t xml:space="preserve"> </w:t>
      </w:r>
      <w:r w:rsidRPr="00E27443">
        <w:t>and</w:t>
      </w:r>
      <w:r w:rsidR="00C63F8F" w:rsidRPr="00E27443">
        <w:t xml:space="preserve"> </w:t>
      </w:r>
      <w:r w:rsidRPr="00E27443">
        <w:t>the</w:t>
      </w:r>
      <w:r w:rsidR="00C63F8F" w:rsidRPr="00E27443">
        <w:t xml:space="preserve"> </w:t>
      </w:r>
      <w:r w:rsidRPr="00E27443">
        <w:t>special</w:t>
      </w:r>
      <w:r w:rsidR="00C63F8F" w:rsidRPr="00E27443">
        <w:t xml:space="preserve"> </w:t>
      </w:r>
      <w:r w:rsidRPr="00E27443">
        <w:t>support</w:t>
      </w:r>
      <w:r w:rsidR="00C63F8F" w:rsidRPr="00E27443">
        <w:t xml:space="preserve"> </w:t>
      </w:r>
      <w:r w:rsidRPr="00E27443">
        <w:t>that</w:t>
      </w:r>
      <w:r w:rsidR="00C63F8F" w:rsidRPr="00E27443">
        <w:t xml:space="preserve"> </w:t>
      </w:r>
      <w:r w:rsidRPr="00E27443">
        <w:t>is</w:t>
      </w:r>
      <w:r w:rsidR="00C63F8F" w:rsidRPr="00E27443">
        <w:t xml:space="preserve"> </w:t>
      </w:r>
      <w:r w:rsidRPr="00E27443">
        <w:t>available</w:t>
      </w:r>
      <w:r w:rsidR="00C63F8F" w:rsidRPr="00E27443">
        <w:t xml:space="preserve"> </w:t>
      </w:r>
      <w:r w:rsidRPr="00E27443">
        <w:t>for</w:t>
      </w:r>
      <w:r w:rsidR="00C63F8F" w:rsidRPr="00E27443">
        <w:t xml:space="preserve"> </w:t>
      </w:r>
      <w:r w:rsidRPr="00E27443">
        <w:t>the</w:t>
      </w:r>
      <w:r w:rsidR="00C63F8F" w:rsidRPr="00E27443">
        <w:t xml:space="preserve"> </w:t>
      </w:r>
      <w:r w:rsidRPr="00E27443">
        <w:t>target</w:t>
      </w:r>
      <w:r w:rsidR="00C63F8F" w:rsidRPr="00E27443">
        <w:t xml:space="preserve"> </w:t>
      </w:r>
      <w:r w:rsidRPr="00E27443">
        <w:t>group.</w:t>
      </w:r>
      <w:r w:rsidR="00C63F8F" w:rsidRPr="00E27443">
        <w:t xml:space="preserve"> </w:t>
      </w:r>
      <w:r w:rsidRPr="00E27443">
        <w:t>See</w:t>
      </w:r>
      <w:r w:rsidR="00C63F8F" w:rsidRPr="00E27443">
        <w:t xml:space="preserve"> </w:t>
      </w:r>
      <w:r w:rsidRPr="00E27443">
        <w:t>under</w:t>
      </w:r>
      <w:r w:rsidR="00C63F8F" w:rsidRPr="00E27443">
        <w:t xml:space="preserve"> </w:t>
      </w:r>
      <w:r w:rsidRPr="00E27443">
        <w:t>Article</w:t>
      </w:r>
      <w:r w:rsidR="00C63F8F" w:rsidRPr="00E27443">
        <w:t xml:space="preserve"> </w:t>
      </w:r>
      <w:r w:rsidRPr="00E27443">
        <w:t>26.</w:t>
      </w:r>
    </w:p>
    <w:p w:rsidR="00321ADA" w:rsidRPr="00E27443" w:rsidRDefault="00321ADA" w:rsidP="00FE0795">
      <w:pPr>
        <w:pStyle w:val="SingleTxtG"/>
        <w:numPr>
          <w:ilvl w:val="0"/>
          <w:numId w:val="20"/>
        </w:numPr>
        <w:tabs>
          <w:tab w:val="left" w:pos="1843"/>
        </w:tabs>
        <w:ind w:left="1134" w:firstLine="0"/>
      </w:pPr>
      <w:r w:rsidRPr="00E27443">
        <w:t>The</w:t>
      </w:r>
      <w:r w:rsidR="00C63F8F" w:rsidRPr="00E27443">
        <w:t xml:space="preserve"> </w:t>
      </w:r>
      <w:r w:rsidRPr="00E27443">
        <w:t>special</w:t>
      </w:r>
      <w:r w:rsidR="00C63F8F" w:rsidRPr="00E27443">
        <w:t xml:space="preserve"> </w:t>
      </w:r>
      <w:r w:rsidRPr="00E27443">
        <w:t>support</w:t>
      </w:r>
      <w:r w:rsidR="00C63F8F" w:rsidRPr="00E27443">
        <w:t xml:space="preserve"> </w:t>
      </w:r>
      <w:r w:rsidRPr="00E27443">
        <w:t>is</w:t>
      </w:r>
      <w:r w:rsidR="00C63F8F" w:rsidRPr="00E27443">
        <w:t xml:space="preserve"> </w:t>
      </w:r>
      <w:r w:rsidRPr="00E27443">
        <w:t>regulated</w:t>
      </w:r>
      <w:r w:rsidR="00C63F8F" w:rsidRPr="00E27443">
        <w:t xml:space="preserve"> </w:t>
      </w:r>
      <w:r w:rsidRPr="00E27443">
        <w:t>in</w:t>
      </w:r>
      <w:r w:rsidR="00C63F8F" w:rsidRPr="00E27443">
        <w:t xml:space="preserve"> </w:t>
      </w:r>
      <w:r w:rsidRPr="00E27443">
        <w:t>the</w:t>
      </w:r>
      <w:r w:rsidR="00C63F8F" w:rsidRPr="00E27443">
        <w:t xml:space="preserve"> </w:t>
      </w:r>
      <w:r w:rsidRPr="00E27443">
        <w:t>Ordinance</w:t>
      </w:r>
      <w:r w:rsidR="004B2AB0" w:rsidRPr="00FE0795">
        <w:footnoteReference w:id="122"/>
      </w:r>
      <w:r w:rsidR="00C63F8F" w:rsidRPr="00E27443">
        <w:t xml:space="preserve"> </w:t>
      </w:r>
      <w:r w:rsidRPr="00E27443">
        <w:t>respecting</w:t>
      </w:r>
      <w:r w:rsidR="00C63F8F" w:rsidRPr="00E27443">
        <w:t xml:space="preserve"> </w:t>
      </w:r>
      <w:r w:rsidRPr="00E27443">
        <w:t>special</w:t>
      </w:r>
      <w:r w:rsidR="00C63F8F" w:rsidRPr="00E27443">
        <w:t xml:space="preserve"> </w:t>
      </w:r>
      <w:r w:rsidRPr="00E27443">
        <w:t>contributions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entailing</w:t>
      </w:r>
      <w:r w:rsidR="00C63F8F" w:rsidRPr="00E27443">
        <w:t xml:space="preserve"> </w:t>
      </w:r>
      <w:r w:rsidRPr="00E27443">
        <w:t>a</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These</w:t>
      </w:r>
      <w:r w:rsidR="00C63F8F" w:rsidRPr="00E27443">
        <w:t xml:space="preserve"> </w:t>
      </w:r>
      <w:r w:rsidRPr="00E27443">
        <w:t>initiatives</w:t>
      </w:r>
      <w:r w:rsidR="00C63F8F" w:rsidRPr="00E27443">
        <w:t xml:space="preserve"> </w:t>
      </w:r>
      <w:r w:rsidRPr="00E27443">
        <w:t>provide</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break</w:t>
      </w:r>
      <w:r w:rsidR="00C63F8F" w:rsidRPr="00E27443">
        <w:t xml:space="preserve"> </w:t>
      </w:r>
      <w:r w:rsidRPr="00E27443">
        <w:t>the</w:t>
      </w:r>
      <w:r w:rsidR="00C63F8F" w:rsidRPr="00E27443">
        <w:t xml:space="preserve"> </w:t>
      </w:r>
      <w:r w:rsidRPr="00E27443">
        <w:t>unemployment</w:t>
      </w:r>
      <w:r w:rsidR="00C63F8F" w:rsidRPr="00E27443">
        <w:t xml:space="preserve"> </w:t>
      </w:r>
      <w:r w:rsidRPr="00E27443">
        <w:t>cycle,</w:t>
      </w:r>
      <w:r w:rsidR="00C63F8F" w:rsidRPr="00E27443">
        <w:t xml:space="preserve"> </w:t>
      </w:r>
      <w:r w:rsidRPr="00E27443">
        <w:t>they</w:t>
      </w:r>
      <w:r w:rsidR="00C63F8F" w:rsidRPr="00E27443">
        <w:t xml:space="preserve"> </w:t>
      </w:r>
      <w:r w:rsidRPr="00E27443">
        <w:t>constitute</w:t>
      </w:r>
      <w:r w:rsidR="00C63F8F" w:rsidRPr="00E27443">
        <w:t xml:space="preserve"> </w:t>
      </w:r>
      <w:r w:rsidRPr="00E27443">
        <w:t>productive</w:t>
      </w:r>
      <w:r w:rsidR="00C63F8F" w:rsidRPr="00E27443">
        <w:t xml:space="preserve"> </w:t>
      </w:r>
      <w:r w:rsidRPr="00E27443">
        <w:t>employment</w:t>
      </w:r>
      <w:r w:rsidR="00C63F8F" w:rsidRPr="00E27443">
        <w:t xml:space="preserve"> </w:t>
      </w:r>
      <w:r w:rsidRPr="00E27443">
        <w:t>and</w:t>
      </w:r>
      <w:r w:rsidR="00C63F8F" w:rsidRPr="00E27443">
        <w:t xml:space="preserve"> </w:t>
      </w:r>
      <w:r w:rsidRPr="00E27443">
        <w:t>they</w:t>
      </w:r>
      <w:r w:rsidR="00C63F8F" w:rsidRPr="00E27443">
        <w:t xml:space="preserve"> </w:t>
      </w:r>
      <w:r w:rsidRPr="00E27443">
        <w:t>provide</w:t>
      </w:r>
      <w:r w:rsidR="00C63F8F" w:rsidRPr="00E27443">
        <w:t xml:space="preserve"> </w:t>
      </w:r>
      <w:r w:rsidRPr="00E27443">
        <w:t>experience</w:t>
      </w:r>
      <w:r w:rsidR="00C63F8F" w:rsidRPr="00E27443">
        <w:t xml:space="preserve"> </w:t>
      </w:r>
      <w:r w:rsidRPr="00E27443">
        <w:t>and</w:t>
      </w:r>
      <w:r w:rsidR="00C63F8F" w:rsidRPr="00E27443">
        <w:t xml:space="preserve"> </w:t>
      </w:r>
      <w:r w:rsidRPr="00E27443">
        <w:t>expertise</w:t>
      </w:r>
      <w:r w:rsidR="00C63F8F" w:rsidRPr="00E27443">
        <w:t xml:space="preserve"> </w:t>
      </w:r>
      <w:r w:rsidRPr="00E27443">
        <w:t>that</w:t>
      </w:r>
      <w:r w:rsidR="00C63F8F" w:rsidRPr="00E27443">
        <w:t xml:space="preserve"> </w:t>
      </w:r>
      <w:r w:rsidRPr="00E27443">
        <w:t>can</w:t>
      </w:r>
      <w:r w:rsidR="00C63F8F" w:rsidRPr="00E27443">
        <w:t xml:space="preserve"> </w:t>
      </w:r>
      <w:r w:rsidRPr="00E27443">
        <w:t>facilitate</w:t>
      </w:r>
      <w:r w:rsidR="00C63F8F" w:rsidRPr="00E27443">
        <w:t xml:space="preserve"> </w:t>
      </w:r>
      <w:r w:rsidRPr="00E27443">
        <w:t>the</w:t>
      </w:r>
      <w:r w:rsidR="00C63F8F" w:rsidRPr="00E27443">
        <w:t xml:space="preserve"> </w:t>
      </w:r>
      <w:r w:rsidRPr="00E27443">
        <w:t>transition</w:t>
      </w:r>
      <w:r w:rsidR="00C63F8F" w:rsidRPr="00E27443">
        <w:t xml:space="preserve"> </w:t>
      </w:r>
      <w:r w:rsidRPr="00E27443">
        <w:t>to</w:t>
      </w:r>
      <w:r w:rsidR="00C63F8F" w:rsidRPr="00E27443">
        <w:t xml:space="preserve"> </w:t>
      </w:r>
      <w:r w:rsidRPr="00E27443">
        <w:t>work</w:t>
      </w:r>
      <w:r w:rsidR="00C63F8F" w:rsidRPr="00E27443">
        <w:t xml:space="preserve"> </w:t>
      </w:r>
      <w:r w:rsidRPr="00E27443">
        <w:t>without</w:t>
      </w:r>
      <w:r w:rsidR="00C63F8F" w:rsidRPr="00E27443">
        <w:t xml:space="preserve"> </w:t>
      </w:r>
      <w:r w:rsidRPr="00E27443">
        <w:t>support.</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goals</w:t>
      </w:r>
      <w:r w:rsidR="00C63F8F" w:rsidRPr="00E27443">
        <w:t xml:space="preserve"> </w:t>
      </w:r>
      <w:r w:rsidRPr="00E27443">
        <w:t>of</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the</w:t>
      </w:r>
      <w:r w:rsidR="00C63F8F" w:rsidRPr="00E27443">
        <w:t xml:space="preserve"> </w:t>
      </w:r>
      <w:r w:rsidRPr="00E27443">
        <w:t>initiatives</w:t>
      </w:r>
      <w:r w:rsidR="00C63F8F" w:rsidRPr="00E27443">
        <w:t xml:space="preserve"> </w:t>
      </w:r>
      <w:r w:rsidRPr="00E27443">
        <w:t>are</w:t>
      </w:r>
      <w:r w:rsidR="00C63F8F" w:rsidRPr="00E27443">
        <w:t xml:space="preserve"> </w:t>
      </w:r>
      <w:r w:rsidRPr="00E27443">
        <w:t>intended</w:t>
      </w:r>
      <w:r w:rsidR="00C63F8F" w:rsidRPr="00E27443">
        <w:t xml:space="preserve"> </w:t>
      </w:r>
      <w:r w:rsidRPr="00E27443">
        <w:t>to</w:t>
      </w:r>
      <w:r w:rsidR="00C63F8F" w:rsidRPr="00E27443">
        <w:t xml:space="preserve"> </w:t>
      </w:r>
      <w:r w:rsidRPr="00E27443">
        <w:t>compensate</w:t>
      </w:r>
      <w:r w:rsidR="00C63F8F" w:rsidRPr="00E27443">
        <w:t xml:space="preserve"> </w:t>
      </w:r>
      <w:r w:rsidRPr="00E27443">
        <w:t>for</w:t>
      </w:r>
      <w:r w:rsidR="00C63F8F" w:rsidRPr="00E27443">
        <w:t xml:space="preserve"> </w:t>
      </w:r>
      <w:r w:rsidRPr="00E27443">
        <w:t>the</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and</w:t>
      </w:r>
      <w:r w:rsidR="00C63F8F" w:rsidRPr="00E27443">
        <w:t xml:space="preserve"> </w:t>
      </w:r>
      <w:r w:rsidRPr="00E27443">
        <w:t>to</w:t>
      </w:r>
      <w:r w:rsidR="00C63F8F" w:rsidRPr="00E27443">
        <w:t xml:space="preserve"> </w:t>
      </w:r>
      <w:r w:rsidRPr="00E27443">
        <w:t>strengthen</w:t>
      </w:r>
      <w:r w:rsidR="00C63F8F" w:rsidRPr="00E27443">
        <w:t xml:space="preserve"> </w:t>
      </w:r>
      <w:r w:rsidRPr="00E27443">
        <w:t>people</w:t>
      </w:r>
      <w:r w:rsidR="00C63F8F" w:rsidRPr="00E27443">
        <w:t>’</w:t>
      </w:r>
      <w:r w:rsidRPr="00E27443">
        <w:t>s</w:t>
      </w:r>
      <w:r w:rsidR="00C63F8F" w:rsidRPr="00E27443">
        <w:t xml:space="preserve"> </w:t>
      </w:r>
      <w:r w:rsidRPr="00E27443">
        <w:t>potential</w:t>
      </w:r>
      <w:r w:rsidR="00C63F8F" w:rsidRPr="00E27443">
        <w:t xml:space="preserve"> </w:t>
      </w:r>
      <w:r w:rsidRPr="00E27443">
        <w:t>to</w:t>
      </w:r>
      <w:r w:rsidR="00C63F8F" w:rsidRPr="00E27443">
        <w:t xml:space="preserve"> </w:t>
      </w:r>
      <w:r w:rsidRPr="00E27443">
        <w:t>obtain</w:t>
      </w:r>
      <w:r w:rsidR="00C63F8F" w:rsidRPr="00E27443">
        <w:t xml:space="preserve"> </w:t>
      </w:r>
      <w:r w:rsidRPr="00E27443">
        <w:t>or</w:t>
      </w:r>
      <w:r w:rsidR="00C63F8F" w:rsidRPr="00E27443">
        <w:t xml:space="preserve"> </w:t>
      </w:r>
      <w:r w:rsidRPr="00E27443">
        <w:t>retain</w:t>
      </w:r>
      <w:r w:rsidR="00C63F8F" w:rsidRPr="00E27443">
        <w:t xml:space="preserve"> </w:t>
      </w:r>
      <w:r w:rsidRPr="00E27443">
        <w:t>a</w:t>
      </w:r>
      <w:r w:rsidR="00C63F8F" w:rsidRPr="00E27443">
        <w:t xml:space="preserve"> </w:t>
      </w:r>
      <w:r w:rsidRPr="00E27443">
        <w:t>job.</w:t>
      </w:r>
      <w:r w:rsidR="00C63F8F" w:rsidRPr="00E27443">
        <w:t xml:space="preserve"> </w:t>
      </w:r>
      <w:r w:rsidRPr="00E27443">
        <w:t>The</w:t>
      </w:r>
      <w:r w:rsidR="00C63F8F" w:rsidRPr="00E27443">
        <w:t xml:space="preserve"> </w:t>
      </w:r>
      <w:r w:rsidRPr="00E27443">
        <w:t>initiatives</w:t>
      </w:r>
      <w:r w:rsidR="00C63F8F" w:rsidRPr="00E27443">
        <w:t xml:space="preserve"> </w:t>
      </w:r>
      <w:r w:rsidRPr="00E27443">
        <w:t>primarily</w:t>
      </w:r>
      <w:r w:rsidR="00C63F8F" w:rsidRPr="00E27443">
        <w:t xml:space="preserve"> </w:t>
      </w:r>
      <w:r w:rsidRPr="00E27443">
        <w:t>consist</w:t>
      </w:r>
      <w:r w:rsidR="00C63F8F" w:rsidRPr="00E27443">
        <w:t xml:space="preserve"> </w:t>
      </w:r>
      <w:r w:rsidRPr="00E27443">
        <w:t>of</w:t>
      </w:r>
      <w:r w:rsidR="00C63F8F" w:rsidRPr="00E27443">
        <w:t xml:space="preserve"> </w:t>
      </w:r>
      <w:r w:rsidRPr="00E27443">
        <w:t>employment</w:t>
      </w:r>
      <w:r w:rsidR="00C63F8F" w:rsidRPr="00E27443">
        <w:t xml:space="preserve"> </w:t>
      </w:r>
      <w:r w:rsidRPr="00E27443">
        <w:t>with</w:t>
      </w:r>
      <w:r w:rsidR="00C63F8F" w:rsidRPr="00E27443">
        <w:t xml:space="preserve"> </w:t>
      </w:r>
      <w:r w:rsidRPr="00E27443">
        <w:t>wage</w:t>
      </w:r>
      <w:r w:rsidR="00C63F8F" w:rsidRPr="00E27443">
        <w:t xml:space="preserve"> </w:t>
      </w:r>
      <w:r w:rsidRPr="00E27443">
        <w:t>subsidies,</w:t>
      </w:r>
      <w:r w:rsidR="00C63F8F" w:rsidRPr="00E27443">
        <w:t xml:space="preserve"> </w:t>
      </w:r>
      <w:r w:rsidRPr="00E27443">
        <w:t>sheltered</w:t>
      </w:r>
      <w:r w:rsidR="00C63F8F" w:rsidRPr="00E27443">
        <w:t xml:space="preserve"> </w:t>
      </w:r>
      <w:r w:rsidRPr="00E27443">
        <w:t>employment</w:t>
      </w:r>
      <w:r w:rsidR="00C63F8F" w:rsidRPr="00E27443">
        <w:t xml:space="preserve"> </w:t>
      </w:r>
      <w:r w:rsidRPr="00E27443">
        <w:t>with</w:t>
      </w:r>
      <w:r w:rsidR="00C63F8F" w:rsidRPr="00E27443">
        <w:t xml:space="preserve"> </w:t>
      </w:r>
      <w:smartTag w:uri="urn:schemas-microsoft-com:office:smarttags" w:element="place">
        <w:smartTag w:uri="urn:schemas-microsoft-com:office:smarttags" w:element="City">
          <w:r w:rsidRPr="00E27443">
            <w:t>Samhall</w:t>
          </w:r>
        </w:smartTag>
        <w:r w:rsidR="00C63F8F" w:rsidRPr="00E27443">
          <w:t xml:space="preserve"> </w:t>
        </w:r>
        <w:smartTag w:uri="urn:schemas-microsoft-com:office:smarttags" w:element="State">
          <w:r w:rsidRPr="00E27443">
            <w:t>AB</w:t>
          </w:r>
        </w:smartTag>
      </w:smartTag>
      <w:r w:rsidRPr="00E27443">
        <w:t>,</w:t>
      </w:r>
      <w:r w:rsidR="00C63F8F" w:rsidRPr="00E27443">
        <w:t xml:space="preserve"> </w:t>
      </w:r>
      <w:r w:rsidRPr="00E27443">
        <w:t>sheltered</w:t>
      </w:r>
      <w:r w:rsidR="00C63F8F" w:rsidRPr="00E27443">
        <w:t xml:space="preserve"> </w:t>
      </w:r>
      <w:r w:rsidRPr="00E27443">
        <w:t>employment</w:t>
      </w:r>
      <w:r w:rsidR="00C63F8F" w:rsidRPr="00E27443">
        <w:t xml:space="preserve"> </w:t>
      </w:r>
      <w:r w:rsidRPr="00E27443">
        <w:t>with</w:t>
      </w:r>
      <w:r w:rsidR="00C63F8F" w:rsidRPr="00E27443">
        <w:t xml:space="preserve"> </w:t>
      </w:r>
      <w:r w:rsidRPr="00E27443">
        <w:t>public</w:t>
      </w:r>
      <w:r w:rsidR="00C63F8F" w:rsidRPr="00E27443">
        <w:t xml:space="preserve"> </w:t>
      </w:r>
      <w:r w:rsidRPr="00E27443">
        <w:t>sector</w:t>
      </w:r>
      <w:r w:rsidR="00C63F8F" w:rsidRPr="00E27443">
        <w:t xml:space="preserve"> </w:t>
      </w:r>
      <w:r w:rsidRPr="00E27443">
        <w:t>employers,</w:t>
      </w:r>
      <w:r w:rsidR="00C63F8F" w:rsidRPr="00E27443">
        <w:t xml:space="preserve"> </w:t>
      </w:r>
      <w:r w:rsidRPr="00E27443">
        <w:t>security</w:t>
      </w:r>
      <w:r w:rsidR="00C63F8F" w:rsidRPr="00E27443">
        <w:t xml:space="preserve"> </w:t>
      </w:r>
      <w:r w:rsidRPr="00E27443">
        <w:t>employment</w:t>
      </w:r>
      <w:r w:rsidR="00C63F8F" w:rsidRPr="00E27443">
        <w:t xml:space="preserve"> </w:t>
      </w:r>
      <w:r w:rsidRPr="00E27443">
        <w:t>and</w:t>
      </w:r>
      <w:r w:rsidR="00C63F8F" w:rsidRPr="00E27443">
        <w:t xml:space="preserve"> </w:t>
      </w:r>
      <w:r w:rsidRPr="00E27443">
        <w:t>development</w:t>
      </w:r>
      <w:r w:rsidR="00C63F8F" w:rsidRPr="00E27443">
        <w:t xml:space="preserve"> </w:t>
      </w:r>
      <w:r w:rsidRPr="00E27443">
        <w:t>employment.</w:t>
      </w:r>
      <w:r w:rsidR="00C63F8F" w:rsidRPr="00E27443">
        <w:t xml:space="preserve"> </w:t>
      </w:r>
      <w:r w:rsidRPr="00E27443">
        <w:t>In</w:t>
      </w:r>
      <w:r w:rsidR="00C63F8F" w:rsidRPr="00E27443">
        <w:t xml:space="preserve"> </w:t>
      </w:r>
      <w:r w:rsidRPr="00E27443">
        <w:t>addition</w:t>
      </w:r>
      <w:r w:rsidR="00C63F8F" w:rsidRPr="00E27443">
        <w:t xml:space="preserve"> </w:t>
      </w:r>
      <w:r w:rsidRPr="00E27443">
        <w:t>to</w:t>
      </w:r>
      <w:r w:rsidR="00C63F8F" w:rsidRPr="00E27443">
        <w:t xml:space="preserve"> </w:t>
      </w:r>
      <w:r w:rsidRPr="00E27443">
        <w:t>the</w:t>
      </w:r>
      <w:r w:rsidR="00C63F8F" w:rsidRPr="00E27443">
        <w:t xml:space="preserve"> </w:t>
      </w:r>
      <w:r w:rsidRPr="00E27443">
        <w:t>above</w:t>
      </w:r>
      <w:r w:rsidR="00C63F8F" w:rsidRPr="00E27443">
        <w:t xml:space="preserve"> </w:t>
      </w:r>
      <w:r w:rsidRPr="00E27443">
        <w:t>five</w:t>
      </w:r>
      <w:r w:rsidR="00C63F8F" w:rsidRPr="00E27443">
        <w:t xml:space="preserve"> </w:t>
      </w:r>
      <w:r w:rsidRPr="00E27443">
        <w:t>employment</w:t>
      </w:r>
      <w:r w:rsidR="00C63F8F" w:rsidRPr="00E27443">
        <w:t xml:space="preserve"> </w:t>
      </w:r>
      <w:r w:rsidRPr="00E27443">
        <w:t>subsidies,</w:t>
      </w:r>
      <w:r w:rsidR="00C63F8F" w:rsidRPr="00E27443">
        <w:t xml:space="preserve"> </w:t>
      </w:r>
      <w:r w:rsidRPr="00E27443">
        <w:t>this</w:t>
      </w:r>
      <w:r w:rsidR="00C63F8F" w:rsidRPr="00E27443">
        <w:t xml:space="preserve"> </w:t>
      </w:r>
      <w:r w:rsidRPr="00E27443">
        <w:t>Ordinance</w:t>
      </w:r>
      <w:r w:rsidR="00C63F8F" w:rsidRPr="00E27443">
        <w:t xml:space="preserve"> </w:t>
      </w:r>
      <w:r w:rsidRPr="00E27443">
        <w:t>also</w:t>
      </w:r>
      <w:r w:rsidR="00C63F8F" w:rsidRPr="00E27443">
        <w:t xml:space="preserve"> </w:t>
      </w:r>
      <w:r w:rsidRPr="00E27443">
        <w:t>regulates</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for</w:t>
      </w:r>
      <w:r w:rsidR="00C63F8F" w:rsidRPr="00E27443">
        <w:t xml:space="preserve"> </w:t>
      </w:r>
      <w:r w:rsidRPr="00E27443">
        <w:t>items</w:t>
      </w:r>
      <w:r w:rsidR="00C63F8F" w:rsidRPr="00E27443">
        <w:t xml:space="preserve"> </w:t>
      </w:r>
      <w:r w:rsidRPr="00E27443">
        <w:t>other</w:t>
      </w:r>
      <w:r w:rsidR="00C63F8F" w:rsidRPr="00E27443">
        <w:t xml:space="preserve"> </w:t>
      </w:r>
      <w:r w:rsidRPr="00E27443">
        <w:t>than</w:t>
      </w:r>
      <w:r w:rsidR="00C63F8F" w:rsidRPr="00E27443">
        <w:t xml:space="preserve"> </w:t>
      </w:r>
      <w:r w:rsidRPr="00E27443">
        <w:t>wage</w:t>
      </w:r>
      <w:r w:rsidR="00C63F8F" w:rsidRPr="00E27443">
        <w:t xml:space="preserve"> </w:t>
      </w:r>
      <w:r w:rsidRPr="00E27443">
        <w:t>costs.</w:t>
      </w:r>
      <w:r w:rsidR="00C63F8F" w:rsidRPr="00E27443">
        <w:t xml:space="preserve"> </w:t>
      </w:r>
      <w:r w:rsidRPr="00E27443">
        <w:t>This</w:t>
      </w:r>
      <w:r w:rsidR="00C63F8F" w:rsidRPr="00E27443">
        <w:t xml:space="preserve"> </w:t>
      </w:r>
      <w:r w:rsidRPr="00E27443">
        <w:t>includes</w:t>
      </w:r>
      <w:r w:rsidR="00C63F8F" w:rsidRPr="00E27443">
        <w:t xml:space="preserve"> </w:t>
      </w:r>
      <w:r w:rsidRPr="00E27443">
        <w:t>support</w:t>
      </w:r>
      <w:r w:rsidR="00C63F8F" w:rsidRPr="00E27443">
        <w:t xml:space="preserve"> </w:t>
      </w:r>
      <w:r w:rsidRPr="00E27443">
        <w:t>for</w:t>
      </w:r>
      <w:r w:rsidR="00C63F8F" w:rsidRPr="00E27443">
        <w:t xml:space="preserve"> </w:t>
      </w:r>
      <w:r w:rsidRPr="00E27443">
        <w:t>vocational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personal</w:t>
      </w:r>
      <w:r w:rsidR="00C63F8F" w:rsidRPr="00E27443">
        <w:t xml:space="preserve"> </w:t>
      </w:r>
      <w:r w:rsidRPr="00E27443">
        <w:t>assistance,</w:t>
      </w:r>
      <w:r w:rsidR="00C63F8F" w:rsidRPr="00E27443">
        <w:t xml:space="preserve"> </w:t>
      </w:r>
      <w:r w:rsidRPr="00E27443">
        <w:t>arrangement</w:t>
      </w:r>
      <w:r w:rsidR="00C63F8F" w:rsidRPr="00E27443">
        <w:t xml:space="preserve"> </w:t>
      </w:r>
      <w:r w:rsidRPr="00E27443">
        <w:t>subsidies,</w:t>
      </w:r>
      <w:r w:rsidR="00C63F8F" w:rsidRPr="00E27443">
        <w:t xml:space="preserve"> </w:t>
      </w:r>
      <w:r w:rsidRPr="00E27443">
        <w:t>special</w:t>
      </w:r>
      <w:r w:rsidR="00C63F8F" w:rsidRPr="00E27443">
        <w:t xml:space="preserve"> </w:t>
      </w:r>
      <w:r w:rsidRPr="00E27443">
        <w:t>introduction</w:t>
      </w:r>
      <w:r w:rsidR="00C63F8F" w:rsidRPr="00E27443">
        <w:t xml:space="preserve"> </w:t>
      </w:r>
      <w:r w:rsidRPr="00E27443">
        <w:t>and</w:t>
      </w:r>
      <w:r w:rsidR="00C63F8F" w:rsidRPr="00E27443">
        <w:t xml:space="preserve"> </w:t>
      </w:r>
      <w:r w:rsidRPr="00E27443">
        <w:t>follow-up</w:t>
      </w:r>
      <w:r w:rsidR="00C63F8F" w:rsidRPr="00E27443">
        <w:t xml:space="preserve"> </w:t>
      </w:r>
      <w:r w:rsidRPr="00E27443">
        <w:t>support</w:t>
      </w:r>
      <w:r w:rsidR="00C63F8F" w:rsidRPr="00E27443">
        <w:t xml:space="preserve"> </w:t>
      </w:r>
      <w:r w:rsidRPr="00E27443">
        <w:t>(Supported</w:t>
      </w:r>
      <w:r w:rsidR="00C63F8F" w:rsidRPr="00E27443">
        <w:t xml:space="preserve"> </w:t>
      </w:r>
      <w:r w:rsidRPr="00E27443">
        <w:t>employment)</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special</w:t>
      </w:r>
      <w:r w:rsidR="00C63F8F" w:rsidRPr="00E27443">
        <w:t xml:space="preserve"> </w:t>
      </w:r>
      <w:r w:rsidRPr="00E27443">
        <w:t>support</w:t>
      </w:r>
      <w:r w:rsidR="00C63F8F" w:rsidRPr="00E27443">
        <w:t xml:space="preserve"> </w:t>
      </w:r>
      <w:r w:rsidRPr="00E27443">
        <w:t>when</w:t>
      </w:r>
      <w:r w:rsidR="00C63F8F" w:rsidRPr="00E27443">
        <w:t xml:space="preserve"> </w:t>
      </w:r>
      <w:r w:rsidRPr="00E27443">
        <w:t>starting</w:t>
      </w:r>
      <w:r w:rsidR="00C63F8F" w:rsidRPr="00E27443">
        <w:t xml:space="preserve"> </w:t>
      </w:r>
      <w:r w:rsidRPr="00E27443">
        <w:t>up</w:t>
      </w:r>
      <w:r w:rsidR="00C63F8F" w:rsidRPr="00E27443">
        <w:t xml:space="preserve"> </w:t>
      </w:r>
      <w:r w:rsidRPr="00E27443">
        <w:t>business</w:t>
      </w:r>
      <w:r w:rsidR="00C63F8F" w:rsidRPr="00E27443">
        <w:t xml:space="preserve"> </w:t>
      </w:r>
      <w:r w:rsidRPr="00E27443">
        <w:t>activities.</w:t>
      </w:r>
      <w:r w:rsidR="00C63F8F" w:rsidRPr="00E27443">
        <w:t xml:space="preserve"> </w:t>
      </w:r>
    </w:p>
    <w:p w:rsidR="00321ADA" w:rsidRPr="00E27443" w:rsidRDefault="00321ADA" w:rsidP="00FE0795">
      <w:pPr>
        <w:pStyle w:val="SingleTxtG"/>
        <w:numPr>
          <w:ilvl w:val="0"/>
          <w:numId w:val="20"/>
        </w:numPr>
        <w:tabs>
          <w:tab w:val="left" w:pos="1843"/>
        </w:tabs>
        <w:ind w:left="1134" w:firstLine="0"/>
      </w:pPr>
      <w:r w:rsidRPr="00E27443">
        <w:t>Support</w:t>
      </w:r>
      <w:r w:rsidR="00C63F8F" w:rsidRPr="00E27443">
        <w:t xml:space="preserve"> </w:t>
      </w:r>
      <w:r w:rsidRPr="00E27443">
        <w:t>for</w:t>
      </w:r>
      <w:r w:rsidR="00C63F8F" w:rsidRPr="00E27443">
        <w:t xml:space="preserve"> </w:t>
      </w:r>
      <w:r w:rsidRPr="00FE0795">
        <w:t>assistive</w:t>
      </w:r>
      <w:r w:rsidR="00C63F8F" w:rsidRPr="00FE0795">
        <w:t xml:space="preserve"> </w:t>
      </w:r>
      <w:r w:rsidRPr="00FE0795">
        <w:t>devices</w:t>
      </w:r>
      <w:r w:rsidR="00C63F8F" w:rsidRPr="00E27443">
        <w:t xml:space="preserve"> </w:t>
      </w:r>
      <w:r w:rsidRPr="00E27443">
        <w:t>at</w:t>
      </w:r>
      <w:r w:rsidR="00C63F8F" w:rsidRPr="00E27443">
        <w:t xml:space="preserve"> </w:t>
      </w:r>
      <w:r w:rsidRPr="00E27443">
        <w:t>the</w:t>
      </w:r>
      <w:r w:rsidR="00C63F8F" w:rsidRPr="00E27443">
        <w:t xml:space="preserve"> </w:t>
      </w:r>
      <w:r w:rsidRPr="00E27443">
        <w:t>workplace</w:t>
      </w:r>
      <w:r w:rsidR="00C63F8F" w:rsidRPr="00E27443">
        <w:t xml:space="preserve"> </w:t>
      </w:r>
      <w:r w:rsidRPr="00E27443">
        <w:t>means</w:t>
      </w:r>
      <w:r w:rsidR="00C63F8F" w:rsidRPr="00E27443">
        <w:t xml:space="preserve"> </w:t>
      </w:r>
      <w:r w:rsidRPr="00E27443">
        <w:t>that</w:t>
      </w:r>
      <w:r w:rsidR="00C63F8F" w:rsidRPr="00E27443">
        <w:t xml:space="preserve"> </w:t>
      </w:r>
      <w:r w:rsidRPr="00E27443">
        <w:t>an</w:t>
      </w:r>
      <w:r w:rsidR="00C63F8F" w:rsidRPr="00E27443">
        <w:t xml:space="preserve"> </w:t>
      </w:r>
      <w:r w:rsidRPr="00E27443">
        <w:t>employer</w:t>
      </w:r>
      <w:r w:rsidR="00C63F8F" w:rsidRPr="00E27443">
        <w:t xml:space="preserve"> </w:t>
      </w:r>
      <w:r w:rsidRPr="00E27443">
        <w:t>or</w:t>
      </w:r>
      <w:r w:rsidR="00C63F8F" w:rsidRPr="00E27443">
        <w:t xml:space="preserve"> </w:t>
      </w:r>
      <w:r w:rsidRPr="00E27443">
        <w:t>individual</w:t>
      </w:r>
      <w:r w:rsidR="00C63F8F" w:rsidRPr="00E27443">
        <w:t xml:space="preserve"> </w:t>
      </w:r>
      <w:r w:rsidRPr="00E27443">
        <w:t>can</w:t>
      </w:r>
      <w:r w:rsidR="00C63F8F" w:rsidRPr="00E27443">
        <w:t xml:space="preserve"> </w:t>
      </w:r>
      <w:r w:rsidRPr="00E27443">
        <w:t>receive</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for</w:t>
      </w:r>
      <w:r w:rsidR="00C63F8F" w:rsidRPr="00E27443">
        <w:t xml:space="preserve"> </w:t>
      </w:r>
      <w:r w:rsidRPr="00E27443">
        <w:t>purchasing,</w:t>
      </w:r>
      <w:r w:rsidR="00C63F8F" w:rsidRPr="00E27443">
        <w:t xml:space="preserve"> </w:t>
      </w:r>
      <w:r w:rsidRPr="00E27443">
        <w:t>hiring</w:t>
      </w:r>
      <w:r w:rsidR="00C63F8F" w:rsidRPr="00E27443">
        <w:t xml:space="preserve"> </w:t>
      </w:r>
      <w:r w:rsidRPr="00E27443">
        <w:t>or</w:t>
      </w:r>
      <w:r w:rsidR="00C63F8F" w:rsidRPr="00E27443">
        <w:t xml:space="preserve"> </w:t>
      </w:r>
      <w:r w:rsidRPr="00E27443">
        <w:t>repairing</w:t>
      </w:r>
      <w:r w:rsidR="00C63F8F" w:rsidRPr="00E27443">
        <w:t xml:space="preserve"> </w:t>
      </w:r>
      <w:r w:rsidRPr="00E27443">
        <w:t>vocational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or</w:t>
      </w:r>
      <w:r w:rsidR="00C63F8F" w:rsidRPr="00E27443">
        <w:t xml:space="preserve"> </w:t>
      </w:r>
      <w:r w:rsidRPr="00E27443">
        <w:t>other</w:t>
      </w:r>
      <w:r w:rsidR="00C63F8F" w:rsidRPr="00E27443">
        <w:t xml:space="preserve"> </w:t>
      </w:r>
      <w:r w:rsidRPr="00E27443">
        <w:t>devices.</w:t>
      </w:r>
      <w:r w:rsidR="00C63F8F" w:rsidRPr="00E27443">
        <w:t xml:space="preserve"> </w:t>
      </w:r>
      <w:r w:rsidRPr="00E27443">
        <w:t>The</w:t>
      </w:r>
      <w:r w:rsidR="00C63F8F" w:rsidRPr="00E27443">
        <w:t xml:space="preserve"> </w:t>
      </w:r>
      <w:r w:rsidRPr="00E27443">
        <w:t>employer</w:t>
      </w:r>
      <w:r w:rsidR="00C63F8F" w:rsidRPr="00E27443">
        <w:t xml:space="preserve"> </w:t>
      </w:r>
      <w:r w:rsidRPr="00E27443">
        <w:t>and</w:t>
      </w:r>
      <w:r w:rsidR="00C63F8F" w:rsidRPr="00E27443">
        <w:t xml:space="preserve"> </w:t>
      </w:r>
      <w:r w:rsidRPr="00E27443">
        <w:t>the</w:t>
      </w:r>
      <w:r w:rsidR="00C63F8F" w:rsidRPr="00E27443">
        <w:t xml:space="preserve"> </w:t>
      </w:r>
      <w:r w:rsidRPr="00E27443">
        <w:t>person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can</w:t>
      </w:r>
      <w:r w:rsidR="00C63F8F" w:rsidRPr="00E27443">
        <w:t xml:space="preserve"> </w:t>
      </w:r>
      <w:r w:rsidRPr="00E27443">
        <w:t>each</w:t>
      </w:r>
      <w:r w:rsidR="00C63F8F" w:rsidRPr="00E27443">
        <w:t xml:space="preserve"> </w:t>
      </w:r>
      <w:r w:rsidRPr="00E27443">
        <w:t>receive</w:t>
      </w:r>
      <w:r w:rsidR="00C63F8F" w:rsidRPr="00E27443">
        <w:t xml:space="preserve"> </w:t>
      </w:r>
      <w:r w:rsidRPr="00E27443">
        <w:t>a</w:t>
      </w:r>
      <w:r w:rsidR="00C63F8F" w:rsidRPr="00E27443">
        <w:t xml:space="preserve"> </w:t>
      </w:r>
      <w:r w:rsidRPr="00E27443">
        <w:t>maximum</w:t>
      </w:r>
      <w:r w:rsidR="00C63F8F" w:rsidRPr="00E27443">
        <w:t xml:space="preserve"> </w:t>
      </w:r>
      <w:r w:rsidRPr="00E27443">
        <w:t>of</w:t>
      </w:r>
      <w:r w:rsidR="00C63F8F" w:rsidRPr="00E27443">
        <w:t xml:space="preserve"> </w:t>
      </w:r>
      <w:r w:rsidRPr="00E27443">
        <w:t>SEK</w:t>
      </w:r>
      <w:r w:rsidR="00C63F8F" w:rsidRPr="00E27443">
        <w:t xml:space="preserve"> </w:t>
      </w:r>
      <w:r w:rsidRPr="00E27443">
        <w:t>100,000</w:t>
      </w:r>
      <w:r w:rsidR="00C63F8F" w:rsidRPr="00E27443">
        <w:t xml:space="preserve"> </w:t>
      </w:r>
      <w:r w:rsidRPr="00E27443">
        <w:t>per</w:t>
      </w:r>
      <w:r w:rsidR="00C63F8F" w:rsidRPr="00E27443">
        <w:t xml:space="preserve"> </w:t>
      </w:r>
      <w:r w:rsidRPr="00E27443">
        <w:t>year.</w:t>
      </w:r>
      <w:r w:rsidR="00C63F8F" w:rsidRPr="00E27443">
        <w:t xml:space="preserve"> </w:t>
      </w:r>
    </w:p>
    <w:p w:rsidR="00321ADA" w:rsidRPr="00E27443" w:rsidRDefault="00321ADA" w:rsidP="00FE0795">
      <w:pPr>
        <w:pStyle w:val="SingleTxtG"/>
        <w:numPr>
          <w:ilvl w:val="0"/>
          <w:numId w:val="20"/>
        </w:numPr>
        <w:tabs>
          <w:tab w:val="left" w:pos="1843"/>
        </w:tabs>
        <w:ind w:left="1134" w:firstLine="0"/>
      </w:pPr>
      <w:r w:rsidRPr="00E27443">
        <w:t>Vocational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and/or</w:t>
      </w:r>
      <w:r w:rsidR="00C63F8F" w:rsidRPr="00E27443">
        <w:t xml:space="preserve"> </w:t>
      </w:r>
      <w:r w:rsidRPr="00E27443">
        <w:t>conversion</w:t>
      </w:r>
      <w:r w:rsidR="00C63F8F" w:rsidRPr="00E27443">
        <w:t xml:space="preserve"> </w:t>
      </w:r>
      <w:r w:rsidRPr="00E27443">
        <w:t>of</w:t>
      </w:r>
      <w:r w:rsidR="00C63F8F" w:rsidRPr="00E27443">
        <w:t xml:space="preserve"> </w:t>
      </w:r>
      <w:r w:rsidRPr="00E27443">
        <w:t>the</w:t>
      </w:r>
      <w:r w:rsidR="00C63F8F" w:rsidRPr="00E27443">
        <w:t xml:space="preserve"> </w:t>
      </w:r>
      <w:r w:rsidRPr="00E27443">
        <w:t>workplace</w:t>
      </w:r>
      <w:r w:rsidR="00C63F8F" w:rsidRPr="00E27443">
        <w:t xml:space="preserve"> </w:t>
      </w:r>
      <w:r w:rsidRPr="00E27443">
        <w:t>are</w:t>
      </w:r>
      <w:r w:rsidR="00C63F8F" w:rsidRPr="00E27443">
        <w:t xml:space="preserve"> </w:t>
      </w:r>
      <w:r w:rsidRPr="00E27443">
        <w:t>a</w:t>
      </w:r>
      <w:r w:rsidR="00C63F8F" w:rsidRPr="00E27443">
        <w:t xml:space="preserve"> </w:t>
      </w:r>
      <w:r w:rsidRPr="00E27443">
        <w:t>shared</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and</w:t>
      </w:r>
      <w:r w:rsidR="00C63F8F" w:rsidRPr="00E27443">
        <w:t xml:space="preserve"> </w:t>
      </w:r>
      <w:r w:rsidRPr="00E27443">
        <w:t>the</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Office.</w:t>
      </w:r>
      <w:r w:rsidR="00C63F8F" w:rsidRPr="00E27443">
        <w:t xml:space="preserve"> </w:t>
      </w:r>
      <w:r w:rsidRPr="00E27443">
        <w:t>The</w:t>
      </w:r>
      <w:r w:rsidR="00C63F8F" w:rsidRPr="00E27443">
        <w:t xml:space="preserve"> </w:t>
      </w:r>
      <w:r w:rsidRPr="00E27443">
        <w:t>employer</w:t>
      </w:r>
      <w:r w:rsidR="00C63F8F" w:rsidRPr="00E27443">
        <w:t xml:space="preserve"> </w:t>
      </w:r>
      <w:r w:rsidRPr="00E27443">
        <w:t>has</w:t>
      </w:r>
      <w:r w:rsidR="00C63F8F" w:rsidRPr="00E27443">
        <w:t xml:space="preserve"> </w:t>
      </w:r>
      <w:r w:rsidRPr="00E27443">
        <w:t>the</w:t>
      </w:r>
      <w:r w:rsidR="00C63F8F" w:rsidRPr="00E27443">
        <w:t xml:space="preserve"> </w:t>
      </w:r>
      <w:r w:rsidRPr="00E27443">
        <w:t>basic</w:t>
      </w:r>
      <w:r w:rsidR="00C63F8F" w:rsidRPr="00E27443">
        <w:t xml:space="preserve"> </w:t>
      </w:r>
      <w:r w:rsidRPr="00E27443">
        <w:t>responsibility</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27443">
        <w:t>working</w:t>
      </w:r>
      <w:r w:rsidR="00C63F8F" w:rsidRPr="00E27443">
        <w:t xml:space="preserve"> </w:t>
      </w:r>
      <w:r w:rsidRPr="00E27443">
        <w:t>environment</w:t>
      </w:r>
      <w:r w:rsidR="00C63F8F" w:rsidRPr="00E27443">
        <w:t xml:space="preserve"> </w:t>
      </w:r>
      <w:r w:rsidRPr="00E27443">
        <w:t>is</w:t>
      </w:r>
      <w:r w:rsidR="00C63F8F" w:rsidRPr="00E27443">
        <w:t xml:space="preserve"> </w:t>
      </w:r>
      <w:r w:rsidRPr="00E27443">
        <w:t>adapted</w:t>
      </w:r>
      <w:r w:rsidR="00C63F8F" w:rsidRPr="00E27443">
        <w:t xml:space="preserve"> </w:t>
      </w:r>
      <w:r w:rsidRPr="00E27443">
        <w:t>to</w:t>
      </w:r>
      <w:r w:rsidR="00C63F8F" w:rsidRPr="00E27443">
        <w:t xml:space="preserve"> </w:t>
      </w:r>
      <w:r w:rsidRPr="00E27443">
        <w:t>the</w:t>
      </w:r>
      <w:r w:rsidR="00C63F8F" w:rsidRPr="00E27443">
        <w:t xml:space="preserve"> </w:t>
      </w:r>
      <w:r w:rsidRPr="00E27443">
        <w:t>employee</w:t>
      </w:r>
      <w:r w:rsidR="00C63F8F" w:rsidRPr="00E27443">
        <w:t>’</w:t>
      </w:r>
      <w:r w:rsidRPr="00E27443">
        <w:t>s</w:t>
      </w:r>
      <w:r w:rsidR="00C63F8F" w:rsidRPr="00E27443">
        <w:t xml:space="preserve"> </w:t>
      </w:r>
      <w:r w:rsidRPr="00E27443">
        <w:t>situation</w:t>
      </w:r>
      <w:r w:rsidR="00C63F8F" w:rsidRPr="00E27443">
        <w:t xml:space="preserve"> </w:t>
      </w:r>
      <w:r w:rsidRPr="00E27443">
        <w:t>and</w:t>
      </w:r>
      <w:r w:rsidR="00C63F8F" w:rsidRPr="00E27443">
        <w:t xml:space="preserve"> </w:t>
      </w:r>
      <w:r w:rsidRPr="00E27443">
        <w:t>needs.</w:t>
      </w:r>
      <w:r w:rsidR="00C63F8F" w:rsidRPr="00E27443">
        <w:t xml:space="preserve"> </w:t>
      </w:r>
      <w:r w:rsidRPr="00E27443">
        <w:t>The</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Office</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vocational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that</w:t>
      </w:r>
      <w:r w:rsidR="00C63F8F" w:rsidRPr="00E27443">
        <w:t xml:space="preserve"> </w:t>
      </w:r>
      <w:r w:rsidRPr="00E27443">
        <w:t>are</w:t>
      </w:r>
      <w:r w:rsidR="00C63F8F" w:rsidRPr="00E27443">
        <w:t xml:space="preserve"> </w:t>
      </w:r>
      <w:r w:rsidRPr="00E27443">
        <w:t>required</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continue</w:t>
      </w:r>
      <w:r w:rsidR="00C63F8F" w:rsidRPr="00E27443">
        <w:t xml:space="preserve"> </w:t>
      </w:r>
      <w:r w:rsidRPr="00E27443">
        <w:t>in</w:t>
      </w:r>
      <w:r w:rsidR="00C63F8F" w:rsidRPr="00E27443">
        <w:t xml:space="preserve"> </w:t>
      </w:r>
      <w:r w:rsidRPr="00E27443">
        <w:t>a</w:t>
      </w:r>
      <w:r w:rsidR="00C63F8F" w:rsidRPr="00E27443">
        <w:t xml:space="preserve"> </w:t>
      </w:r>
      <w:r w:rsidRPr="00E27443">
        <w:t>job,</w:t>
      </w:r>
      <w:r w:rsidR="00C63F8F" w:rsidRPr="00E27443">
        <w:t xml:space="preserve"> </w:t>
      </w:r>
      <w:r w:rsidRPr="00E27443">
        <w:t>while</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ensuring</w:t>
      </w:r>
      <w:r w:rsidR="00C63F8F" w:rsidRPr="00E27443">
        <w:t xml:space="preserve"> </w:t>
      </w:r>
      <w:r w:rsidRPr="00E27443">
        <w:t>that</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can</w:t>
      </w:r>
      <w:r w:rsidR="00C63F8F" w:rsidRPr="00E27443">
        <w:t xml:space="preserve"> </w:t>
      </w:r>
      <w:r w:rsidRPr="00E27443">
        <w:t>join</w:t>
      </w:r>
      <w:r w:rsidR="00C63F8F" w:rsidRPr="00E27443">
        <w:t xml:space="preserve"> </w:t>
      </w:r>
      <w:r w:rsidRPr="00E27443">
        <w:t>in</w:t>
      </w:r>
      <w:r w:rsidR="00C63F8F" w:rsidRPr="00E27443">
        <w:t xml:space="preserve"> </w:t>
      </w:r>
      <w:r w:rsidRPr="00E27443">
        <w:t>working</w:t>
      </w:r>
      <w:r w:rsidR="00C63F8F" w:rsidRPr="00E27443">
        <w:t xml:space="preserve"> </w:t>
      </w:r>
      <w:r w:rsidRPr="00E27443">
        <w:t>life.</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can</w:t>
      </w:r>
      <w:r w:rsidR="00C63F8F" w:rsidRPr="00E27443">
        <w:t xml:space="preserve"> </w:t>
      </w:r>
      <w:r w:rsidRPr="00E27443">
        <w:t>also</w:t>
      </w:r>
      <w:r w:rsidR="00C63F8F" w:rsidRPr="00E27443">
        <w:t xml:space="preserve"> </w:t>
      </w:r>
      <w:r w:rsidRPr="00E27443">
        <w:t>apply</w:t>
      </w:r>
      <w:r w:rsidR="00C63F8F" w:rsidRPr="00E27443">
        <w:t xml:space="preserve"> </w:t>
      </w:r>
      <w:r w:rsidRPr="00E27443">
        <w:t>for</w:t>
      </w:r>
      <w:r w:rsidR="00C63F8F" w:rsidRPr="00E27443">
        <w:t xml:space="preserve"> </w:t>
      </w:r>
      <w:r w:rsidRPr="00E27443">
        <w:t>a</w:t>
      </w:r>
      <w:r w:rsidR="00C63F8F" w:rsidRPr="00E27443">
        <w:t xml:space="preserve"> </w:t>
      </w:r>
      <w:r w:rsidRPr="00E27443">
        <w:t>grant</w:t>
      </w:r>
      <w:r w:rsidR="00C63F8F" w:rsidRPr="00E27443">
        <w:t xml:space="preserve"> </w:t>
      </w:r>
      <w:r w:rsidRPr="00E27443">
        <w:t>for</w:t>
      </w:r>
      <w:r w:rsidR="00C63F8F" w:rsidRPr="00E27443">
        <w:t xml:space="preserve"> </w:t>
      </w:r>
      <w:r w:rsidRPr="00E27443">
        <w:t>vocational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This</w:t>
      </w:r>
      <w:r w:rsidR="00C63F8F" w:rsidRPr="00E27443">
        <w:t xml:space="preserve"> </w:t>
      </w:r>
      <w:r w:rsidRPr="00E27443">
        <w:t>relates</w:t>
      </w:r>
      <w:r w:rsidR="00C63F8F" w:rsidRPr="00E27443">
        <w:t xml:space="preserve"> </w:t>
      </w:r>
      <w:r w:rsidRPr="00E27443">
        <w:t>to</w:t>
      </w:r>
      <w:r w:rsidR="00C63F8F" w:rsidRPr="00E27443">
        <w:t xml:space="preserve"> </w:t>
      </w:r>
      <w:r w:rsidRPr="00E27443">
        <w:t>personal</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that</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can</w:t>
      </w:r>
      <w:r w:rsidR="00C63F8F" w:rsidRPr="00E27443">
        <w:t xml:space="preserve"> </w:t>
      </w:r>
      <w:r w:rsidRPr="00E27443">
        <w:t>bring</w:t>
      </w:r>
      <w:r w:rsidR="00C63F8F" w:rsidRPr="00E27443">
        <w:t xml:space="preserve"> </w:t>
      </w:r>
      <w:r w:rsidRPr="00E27443">
        <w:t>along,</w:t>
      </w:r>
      <w:r w:rsidR="00C63F8F" w:rsidRPr="00E27443">
        <w:t xml:space="preserve"> </w:t>
      </w:r>
      <w:r w:rsidRPr="00E27443">
        <w:t>even</w:t>
      </w:r>
      <w:r w:rsidR="00C63F8F" w:rsidRPr="00E27443">
        <w:t xml:space="preserve"> </w:t>
      </w:r>
      <w:r w:rsidRPr="00E27443">
        <w:t>if</w:t>
      </w:r>
      <w:r w:rsidR="00C63F8F" w:rsidRPr="00E27443">
        <w:t xml:space="preserve"> </w:t>
      </w:r>
      <w:r w:rsidRPr="00E27443">
        <w:t>he</w:t>
      </w:r>
      <w:r w:rsidR="00C63F8F" w:rsidRPr="00E27443">
        <w:t xml:space="preserve"> </w:t>
      </w:r>
      <w:r w:rsidRPr="00E27443">
        <w:t>or</w:t>
      </w:r>
      <w:r w:rsidR="00C63F8F" w:rsidRPr="00E27443">
        <w:t xml:space="preserve"> </w:t>
      </w:r>
      <w:r w:rsidRPr="00E27443">
        <w:t>she</w:t>
      </w:r>
      <w:r w:rsidR="00C63F8F" w:rsidRPr="00E27443">
        <w:t xml:space="preserve"> </w:t>
      </w:r>
      <w:r w:rsidRPr="00E27443">
        <w:t>changes</w:t>
      </w:r>
      <w:r w:rsidR="00C63F8F" w:rsidRPr="00E27443">
        <w:t xml:space="preserve"> </w:t>
      </w:r>
      <w:r w:rsidRPr="00E27443">
        <w:t>workplace.</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is</w:t>
      </w:r>
      <w:r w:rsidR="00C63F8F" w:rsidRPr="00E27443">
        <w:t xml:space="preserve"> </w:t>
      </w:r>
      <w:r w:rsidRPr="00E27443">
        <w:t>also</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required</w:t>
      </w:r>
      <w:r w:rsidR="00C63F8F" w:rsidRPr="00E27443">
        <w:t xml:space="preserve"> </w:t>
      </w:r>
      <w:r w:rsidRPr="00E27443">
        <w:t>by</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during</w:t>
      </w:r>
      <w:r w:rsidR="00C63F8F" w:rsidRPr="00E27443">
        <w:t xml:space="preserve"> </w:t>
      </w:r>
      <w:r w:rsidRPr="00E27443">
        <w:t>practical</w:t>
      </w:r>
      <w:r w:rsidR="00C63F8F" w:rsidRPr="00E27443">
        <w:t xml:space="preserve"> </w:t>
      </w:r>
      <w:r w:rsidRPr="00E27443">
        <w:t>vocational</w:t>
      </w:r>
      <w:r w:rsidR="00C63F8F" w:rsidRPr="00E27443">
        <w:t xml:space="preserve"> </w:t>
      </w:r>
      <w:r w:rsidRPr="00E27443">
        <w:t>orientation,</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costs</w:t>
      </w:r>
      <w:r w:rsidR="00C63F8F" w:rsidRPr="00E27443">
        <w:t xml:space="preserve"> </w:t>
      </w:r>
      <w:r w:rsidRPr="00E27443">
        <w:t>for</w:t>
      </w:r>
      <w:r w:rsidR="00C63F8F" w:rsidRPr="00E27443">
        <w:t xml:space="preserve"> </w:t>
      </w:r>
      <w:r w:rsidRPr="00E27443">
        <w:t>spoken</w:t>
      </w:r>
      <w:r w:rsidR="00C63F8F" w:rsidRPr="00E27443">
        <w:t xml:space="preserve"> </w:t>
      </w:r>
      <w:r w:rsidRPr="00E27443">
        <w:t>and</w:t>
      </w:r>
      <w:r w:rsidR="00C63F8F" w:rsidRPr="00E27443">
        <w:t xml:space="preserve"> </w:t>
      </w:r>
      <w:r w:rsidRPr="00E27443">
        <w:t>braille</w:t>
      </w:r>
      <w:r w:rsidR="00C63F8F" w:rsidRPr="00E27443">
        <w:t xml:space="preserve"> </w:t>
      </w:r>
      <w:r w:rsidRPr="00E27443">
        <w:t>literature</w:t>
      </w:r>
      <w:r w:rsidR="00C63F8F" w:rsidRPr="00E27443">
        <w:t xml:space="preserve"> </w:t>
      </w:r>
      <w:r w:rsidRPr="00E27443">
        <w:t>that</w:t>
      </w:r>
      <w:r w:rsidR="00C63F8F" w:rsidRPr="00E27443">
        <w:t xml:space="preserve"> </w:t>
      </w:r>
      <w:r w:rsidRPr="00E27443">
        <w:t>visually</w:t>
      </w:r>
      <w:r w:rsidR="00C63F8F" w:rsidRPr="00E27443">
        <w:t xml:space="preserve"> </w:t>
      </w:r>
      <w:r w:rsidRPr="00E27443">
        <w:t>impaired</w:t>
      </w:r>
      <w:r w:rsidR="00C63F8F" w:rsidRPr="00E27443">
        <w:t xml:space="preserve"> </w:t>
      </w:r>
      <w:r w:rsidRPr="00E27443">
        <w:t>persons</w:t>
      </w:r>
      <w:r w:rsidR="00C63F8F" w:rsidRPr="00E27443">
        <w:t xml:space="preserve"> </w:t>
      </w:r>
      <w:r w:rsidRPr="00E27443">
        <w:t>need</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labour</w:t>
      </w:r>
      <w:r w:rsidR="00C63F8F" w:rsidRPr="00E27443">
        <w:t xml:space="preserve"> </w:t>
      </w:r>
      <w:r w:rsidRPr="00E27443">
        <w:t>market</w:t>
      </w:r>
      <w:r w:rsidR="00C63F8F" w:rsidRPr="00E27443">
        <w:t xml:space="preserve"> </w:t>
      </w:r>
      <w:r w:rsidRPr="00E27443">
        <w:t>training.</w:t>
      </w:r>
    </w:p>
    <w:p w:rsidR="00321ADA" w:rsidRPr="00E27443" w:rsidRDefault="00321ADA" w:rsidP="00D10EB3">
      <w:pPr>
        <w:pStyle w:val="SingleTxtG"/>
        <w:numPr>
          <w:ilvl w:val="0"/>
          <w:numId w:val="20"/>
        </w:numPr>
        <w:tabs>
          <w:tab w:val="left" w:pos="1843"/>
        </w:tabs>
        <w:ind w:left="1134" w:firstLine="0"/>
      </w:pPr>
      <w:r w:rsidRPr="00D10EB3">
        <w:t>Personal</w:t>
      </w:r>
      <w:r w:rsidR="00C63F8F" w:rsidRPr="00D10EB3">
        <w:t xml:space="preserve"> </w:t>
      </w:r>
      <w:r w:rsidRPr="00D10EB3">
        <w:t>assistance</w:t>
      </w:r>
      <w:r w:rsidR="00C63F8F" w:rsidRPr="00E27443">
        <w:t xml:space="preserve"> </w:t>
      </w:r>
      <w:r w:rsidRPr="00E27443">
        <w:t>entails</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for</w:t>
      </w:r>
      <w:r w:rsidR="00C63F8F" w:rsidRPr="00E27443">
        <w:t xml:space="preserve"> </w:t>
      </w:r>
      <w:r w:rsidRPr="00E27443">
        <w:t>an</w:t>
      </w:r>
      <w:r w:rsidR="00C63F8F" w:rsidRPr="00E27443">
        <w:t xml:space="preserve"> </w:t>
      </w:r>
      <w:r w:rsidRPr="00E27443">
        <w:t>employer</w:t>
      </w:r>
      <w:r w:rsidR="00C63F8F" w:rsidRPr="00E27443">
        <w:t xml:space="preserve"> </w:t>
      </w:r>
      <w:r w:rsidRPr="00E27443">
        <w:t>or</w:t>
      </w:r>
      <w:r w:rsidR="00C63F8F" w:rsidRPr="00E27443">
        <w:t xml:space="preserve"> </w:t>
      </w:r>
      <w:r w:rsidRPr="00E27443">
        <w:t>other</w:t>
      </w:r>
      <w:r w:rsidR="00C63F8F" w:rsidRPr="00E27443">
        <w:t xml:space="preserve"> </w:t>
      </w:r>
      <w:r w:rsidRPr="00E27443">
        <w:t>party</w:t>
      </w:r>
      <w:r w:rsidR="00C63F8F" w:rsidRPr="00E27443">
        <w:t xml:space="preserve"> </w:t>
      </w:r>
      <w:r w:rsidRPr="00E27443">
        <w:t>that</w:t>
      </w:r>
      <w:r w:rsidR="00C63F8F" w:rsidRPr="00E27443">
        <w:t xml:space="preserve"> </w:t>
      </w:r>
      <w:r w:rsidRPr="00E27443">
        <w:t>incurs</w:t>
      </w:r>
      <w:r w:rsidR="00C63F8F" w:rsidRPr="00E27443">
        <w:t xml:space="preserve"> </w:t>
      </w:r>
      <w:r w:rsidRPr="00E27443">
        <w:t>costs</w:t>
      </w:r>
      <w:r w:rsidR="00C63F8F" w:rsidRPr="00E27443">
        <w:t xml:space="preserve"> </w:t>
      </w:r>
      <w:r w:rsidRPr="00E27443">
        <w:t>for</w:t>
      </w:r>
      <w:r w:rsidR="00C63F8F" w:rsidRPr="00E27443">
        <w:t xml:space="preserve"> </w:t>
      </w:r>
      <w:r w:rsidRPr="00E27443">
        <w:t>providing</w:t>
      </w:r>
      <w:r w:rsidR="00C63F8F" w:rsidRPr="00E27443">
        <w:t xml:space="preserve"> </w:t>
      </w:r>
      <w:r w:rsidRPr="00E27443">
        <w:t>personal</w:t>
      </w:r>
      <w:r w:rsidR="00C63F8F" w:rsidRPr="00E27443">
        <w:t xml:space="preserve"> </w:t>
      </w:r>
      <w:r w:rsidRPr="00E27443">
        <w:t>assistance</w:t>
      </w:r>
      <w:r w:rsidR="00C63F8F" w:rsidRPr="00E27443">
        <w:t xml:space="preserve"> </w:t>
      </w:r>
      <w:r w:rsidRPr="00E27443">
        <w:t>to</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D10EB3">
        <w:t>Arrangement</w:t>
      </w:r>
      <w:r w:rsidR="00C63F8F" w:rsidRPr="00D10EB3">
        <w:t xml:space="preserve"> </w:t>
      </w:r>
      <w:r w:rsidRPr="00D10EB3">
        <w:t>subsidies</w:t>
      </w:r>
      <w:r w:rsidR="00C63F8F" w:rsidRPr="00E27443">
        <w:t xml:space="preserve"> </w:t>
      </w:r>
      <w:r w:rsidRPr="00E27443">
        <w:t>mean</w:t>
      </w:r>
      <w:r w:rsidR="00C63F8F" w:rsidRPr="00E27443">
        <w:t xml:space="preserve"> </w:t>
      </w:r>
      <w:r w:rsidRPr="00E27443">
        <w:t>that</w:t>
      </w:r>
      <w:r w:rsidR="00C63F8F" w:rsidRPr="00E27443">
        <w:t xml:space="preserve"> </w:t>
      </w:r>
      <w:r w:rsidRPr="00E27443">
        <w:t>the</w:t>
      </w:r>
      <w:r w:rsidR="00C63F8F" w:rsidRPr="00E27443">
        <w:t xml:space="preserve"> </w:t>
      </w:r>
      <w:r w:rsidRPr="00E27443">
        <w:t>employer</w:t>
      </w:r>
      <w:r w:rsidR="00C63F8F" w:rsidRPr="00E27443">
        <w:t xml:space="preserve"> </w:t>
      </w:r>
      <w:r w:rsidRPr="00E27443">
        <w:t>can</w:t>
      </w:r>
      <w:r w:rsidR="00C63F8F" w:rsidRPr="00E27443">
        <w:t xml:space="preserve"> </w:t>
      </w:r>
      <w:r w:rsidRPr="00E27443">
        <w:t>received</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for</w:t>
      </w:r>
      <w:r w:rsidR="00C63F8F" w:rsidRPr="00E27443">
        <w:t xml:space="preserve"> </w:t>
      </w:r>
      <w:r w:rsidRPr="00E27443">
        <w:t>guidance,</w:t>
      </w:r>
      <w:r w:rsidR="00C63F8F" w:rsidRPr="00E27443">
        <w:t xml:space="preserve"> </w:t>
      </w:r>
      <w:r w:rsidRPr="00E27443">
        <w:t>development</w:t>
      </w:r>
      <w:r w:rsidR="00C63F8F" w:rsidRPr="00E27443">
        <w:t xml:space="preserve"> </w:t>
      </w:r>
      <w:r w:rsidRPr="00E27443">
        <w:t>initiatives</w:t>
      </w:r>
      <w:r w:rsidR="00C63F8F" w:rsidRPr="00E27443">
        <w:t xml:space="preserve"> </w:t>
      </w:r>
      <w:r w:rsidRPr="00E27443">
        <w:t>and</w:t>
      </w:r>
      <w:r w:rsidR="00C63F8F" w:rsidRPr="00E27443">
        <w:t xml:space="preserve"> </w:t>
      </w:r>
      <w:r w:rsidRPr="00E27443">
        <w:t>adaptation</w:t>
      </w:r>
      <w:r w:rsidR="00C63F8F" w:rsidRPr="00E27443">
        <w:t xml:space="preserve"> </w:t>
      </w:r>
      <w:r w:rsidRPr="00E27443">
        <w:t>of</w:t>
      </w:r>
      <w:r w:rsidR="00C63F8F" w:rsidRPr="00E27443">
        <w:t xml:space="preserve"> </w:t>
      </w:r>
      <w:r w:rsidRPr="00E27443">
        <w:t>the</w:t>
      </w:r>
      <w:r w:rsidR="00C63F8F" w:rsidRPr="00E27443">
        <w:t xml:space="preserve"> </w:t>
      </w:r>
      <w:r w:rsidRPr="00E27443">
        <w:t>work</w:t>
      </w:r>
      <w:r w:rsidR="00C63F8F" w:rsidRPr="00E27443">
        <w:t xml:space="preserve"> </w:t>
      </w:r>
      <w:r w:rsidRPr="00E27443">
        <w:t>place</w:t>
      </w:r>
      <w:r w:rsidR="00C63F8F" w:rsidRPr="00E27443">
        <w:t xml:space="preserve"> </w:t>
      </w:r>
      <w:r w:rsidRPr="00E27443">
        <w:t>for</w:t>
      </w:r>
      <w:r w:rsidR="00C63F8F" w:rsidRPr="00E27443">
        <w:t xml:space="preserve"> </w:t>
      </w:r>
      <w:r w:rsidRPr="00E27443">
        <w:t>three</w:t>
      </w:r>
      <w:r w:rsidR="00C63F8F" w:rsidRPr="00E27443">
        <w:t xml:space="preserve"> </w:t>
      </w:r>
      <w:r w:rsidRPr="00E27443">
        <w:t>of</w:t>
      </w:r>
      <w:r w:rsidR="00C63F8F" w:rsidRPr="00E27443">
        <w:t xml:space="preserve"> </w:t>
      </w:r>
      <w:r w:rsidRPr="00E27443">
        <w:t>the</w:t>
      </w:r>
      <w:r w:rsidR="00C63F8F" w:rsidRPr="00E27443">
        <w:t xml:space="preserve"> </w:t>
      </w:r>
      <w:r w:rsidRPr="00E27443">
        <w:t>subsidised</w:t>
      </w:r>
      <w:r w:rsidR="00C63F8F" w:rsidRPr="00E27443">
        <w:t xml:space="preserve"> </w:t>
      </w:r>
      <w:r w:rsidRPr="00E27443">
        <w:t>posts.</w:t>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D10EB3">
        <w:t>Special</w:t>
      </w:r>
      <w:r w:rsidR="00C63F8F" w:rsidRPr="00D10EB3">
        <w:t xml:space="preserve"> </w:t>
      </w:r>
      <w:r w:rsidRPr="00D10EB3">
        <w:t>introduction</w:t>
      </w:r>
      <w:r w:rsidR="00C63F8F" w:rsidRPr="00D10EB3">
        <w:t xml:space="preserve"> </w:t>
      </w:r>
      <w:r w:rsidRPr="00D10EB3">
        <w:t>and</w:t>
      </w:r>
      <w:r w:rsidR="00C63F8F" w:rsidRPr="00D10EB3">
        <w:t xml:space="preserve"> </w:t>
      </w:r>
      <w:r w:rsidRPr="00D10EB3">
        <w:t>follow-up</w:t>
      </w:r>
      <w:r w:rsidR="00C63F8F" w:rsidRPr="00D10EB3">
        <w:t xml:space="preserve"> </w:t>
      </w:r>
      <w:r w:rsidRPr="00D10EB3">
        <w:t>support</w:t>
      </w:r>
      <w:r w:rsidR="00C63F8F" w:rsidRPr="00E27443">
        <w:t xml:space="preserve"> </w:t>
      </w:r>
      <w:r w:rsidRPr="00E27443">
        <w:t>(Supported</w:t>
      </w:r>
      <w:r w:rsidR="00C63F8F" w:rsidRPr="00E27443">
        <w:t xml:space="preserve"> </w:t>
      </w:r>
      <w:r w:rsidRPr="00E27443">
        <w:t>employment)</w:t>
      </w:r>
      <w:r w:rsidR="00C63F8F" w:rsidRPr="00E27443">
        <w:t xml:space="preserve"> </w:t>
      </w:r>
      <w:r w:rsidRPr="00E27443">
        <w:t>means</w:t>
      </w:r>
      <w:r w:rsidR="00C63F8F" w:rsidRPr="00E27443">
        <w:t xml:space="preserve"> </w:t>
      </w:r>
      <w:r w:rsidRPr="00E27443">
        <w:t>that</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appoints</w:t>
      </w:r>
      <w:r w:rsidR="00C63F8F" w:rsidRPr="00E27443">
        <w:t xml:space="preserve"> </w:t>
      </w:r>
      <w:r w:rsidRPr="00E27443">
        <w:t>a</w:t>
      </w:r>
      <w:r w:rsidR="00C63F8F" w:rsidRPr="00E27443">
        <w:t xml:space="preserve"> </w:t>
      </w:r>
      <w:r w:rsidRPr="00E27443">
        <w:t>particular</w:t>
      </w:r>
      <w:r w:rsidR="00C63F8F" w:rsidRPr="00E27443">
        <w:t xml:space="preserve"> </w:t>
      </w:r>
      <w:r w:rsidRPr="00E27443">
        <w:t>support</w:t>
      </w:r>
      <w:r w:rsidR="00C63F8F" w:rsidRPr="00E27443">
        <w:t xml:space="preserve"> </w:t>
      </w:r>
      <w:r w:rsidRPr="00E27443">
        <w:t>person</w:t>
      </w:r>
      <w:r w:rsidR="00C63F8F" w:rsidRPr="00E27443">
        <w:t xml:space="preserve"> </w:t>
      </w:r>
      <w:r w:rsidRPr="00E27443">
        <w:t>for</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disability</w:t>
      </w:r>
      <w:r w:rsidR="00C63F8F" w:rsidRPr="00E27443">
        <w:t xml:space="preserve"> </w:t>
      </w:r>
      <w:r w:rsidRPr="00E27443">
        <w:t>who</w:t>
      </w:r>
      <w:r w:rsidR="00C63F8F" w:rsidRPr="00E27443">
        <w:t xml:space="preserve"> </w:t>
      </w:r>
      <w:r w:rsidRPr="00E27443">
        <w:t>requires</w:t>
      </w:r>
      <w:r w:rsidR="00C63F8F" w:rsidRPr="00E27443">
        <w:t xml:space="preserve"> </w:t>
      </w:r>
      <w:r w:rsidRPr="00E27443">
        <w:t>additional</w:t>
      </w:r>
      <w:r w:rsidR="00C63F8F" w:rsidRPr="00E27443">
        <w:t xml:space="preserve"> </w:t>
      </w:r>
      <w:r w:rsidRPr="00E27443">
        <w:t>support</w:t>
      </w:r>
      <w:r w:rsidR="00C63F8F" w:rsidRPr="00E27443">
        <w:t xml:space="preserve"> </w:t>
      </w:r>
      <w:r w:rsidRPr="00E27443">
        <w:t>and</w:t>
      </w:r>
      <w:r w:rsidR="00C63F8F" w:rsidRPr="00E27443">
        <w:t xml:space="preserve"> </w:t>
      </w:r>
      <w:r w:rsidRPr="00E27443">
        <w:t>training</w:t>
      </w:r>
      <w:r w:rsidR="00C63F8F" w:rsidRPr="00E27443">
        <w:t xml:space="preserve"> </w:t>
      </w:r>
      <w:r w:rsidRPr="00E27443">
        <w:t>before</w:t>
      </w:r>
      <w:r w:rsidR="00C63F8F" w:rsidRPr="00E27443">
        <w:t xml:space="preserve"> </w:t>
      </w:r>
      <w:r w:rsidRPr="00E27443">
        <w:t>or</w:t>
      </w:r>
      <w:r w:rsidR="00C63F8F" w:rsidRPr="00E27443">
        <w:t xml:space="preserve"> </w:t>
      </w:r>
      <w:r w:rsidRPr="00E27443">
        <w:t>during</w:t>
      </w:r>
      <w:r w:rsidR="00C63F8F" w:rsidRPr="00E27443">
        <w:t xml:space="preserve"> </w:t>
      </w:r>
      <w:r w:rsidRPr="00E27443">
        <w:t>the</w:t>
      </w:r>
      <w:r w:rsidR="00C63F8F" w:rsidRPr="00E27443">
        <w:t xml:space="preserve"> </w:t>
      </w:r>
      <w:r w:rsidRPr="00E27443">
        <w:t>intro</w:t>
      </w:r>
      <w:r w:rsidRPr="00E27443">
        <w:softHyphen/>
        <w:t>ductory</w:t>
      </w:r>
      <w:r w:rsidR="00C63F8F" w:rsidRPr="00E27443">
        <w:t xml:space="preserve"> </w:t>
      </w:r>
      <w:r w:rsidRPr="00E27443">
        <w:t>period</w:t>
      </w:r>
      <w:r w:rsidR="00C63F8F" w:rsidRPr="00E27443">
        <w:t xml:space="preserve"> </w:t>
      </w:r>
      <w:r w:rsidRPr="00E27443">
        <w:t>when</w:t>
      </w:r>
      <w:r w:rsidR="00C63F8F" w:rsidRPr="00E27443">
        <w:t xml:space="preserve"> </w:t>
      </w:r>
      <w:r w:rsidRPr="00E27443">
        <w:t>starting</w:t>
      </w:r>
      <w:r w:rsidR="00C63F8F" w:rsidRPr="00E27443">
        <w:t xml:space="preserve"> </w:t>
      </w:r>
      <w:r w:rsidRPr="00E27443">
        <w:t>a</w:t>
      </w:r>
      <w:r w:rsidR="00C63F8F" w:rsidRPr="00E27443">
        <w:t xml:space="preserve"> </w:t>
      </w:r>
      <w:r w:rsidRPr="00E27443">
        <w:t>job.</w:t>
      </w:r>
      <w:r w:rsidR="00C63F8F" w:rsidRPr="00E27443">
        <w:t xml:space="preserve"> </w:t>
      </w:r>
      <w:r w:rsidRPr="00E27443">
        <w:t>The</w:t>
      </w:r>
      <w:r w:rsidR="00C63F8F" w:rsidRPr="00E27443">
        <w:t xml:space="preserve"> </w:t>
      </w:r>
      <w:r w:rsidRPr="00E27443">
        <w:t>support</w:t>
      </w:r>
      <w:r w:rsidR="00C63F8F" w:rsidRPr="00E27443">
        <w:t xml:space="preserve"> </w:t>
      </w:r>
      <w:r w:rsidRPr="00E27443">
        <w:t>may</w:t>
      </w:r>
      <w:r w:rsidR="00C63F8F" w:rsidRPr="00E27443">
        <w:t xml:space="preserve"> </w:t>
      </w:r>
      <w:r w:rsidRPr="00E27443">
        <w:t>be</w:t>
      </w:r>
      <w:r w:rsidR="00C63F8F" w:rsidRPr="00E27443">
        <w:t xml:space="preserve"> </w:t>
      </w:r>
      <w:r w:rsidRPr="00E27443">
        <w:t>provided</w:t>
      </w:r>
      <w:r w:rsidR="00C63F8F" w:rsidRPr="00E27443">
        <w:t xml:space="preserve"> </w:t>
      </w:r>
      <w:r w:rsidRPr="00E27443">
        <w:t>for</w:t>
      </w:r>
      <w:r w:rsidR="00C63F8F" w:rsidRPr="00E27443">
        <w:t xml:space="preserve"> </w:t>
      </w:r>
      <w:r w:rsidRPr="00E27443">
        <w:t>up</w:t>
      </w:r>
      <w:r w:rsidR="00C63F8F" w:rsidRPr="00E27443">
        <w:t xml:space="preserve"> </w:t>
      </w:r>
      <w:r w:rsidRPr="00E27443">
        <w:t>to</w:t>
      </w:r>
      <w:r w:rsidR="00C63F8F" w:rsidRPr="00E27443">
        <w:t xml:space="preserve"> </w:t>
      </w:r>
      <w:r w:rsidRPr="00E27443">
        <w:t>a</w:t>
      </w:r>
      <w:r w:rsidR="00C63F8F" w:rsidRPr="00E27443">
        <w:t xml:space="preserve"> </w:t>
      </w:r>
      <w:r w:rsidRPr="00E27443">
        <w:t>year</w:t>
      </w:r>
      <w:r w:rsidR="00C63F8F" w:rsidRPr="00E27443">
        <w:t xml:space="preserve"> </w:t>
      </w:r>
      <w:r w:rsidRPr="00E27443">
        <w:t>after</w:t>
      </w:r>
      <w:r w:rsidR="00C63F8F" w:rsidRPr="00E27443">
        <w:t xml:space="preserve"> </w:t>
      </w:r>
      <w:r w:rsidRPr="00E27443">
        <w:t>the</w:t>
      </w:r>
      <w:r w:rsidR="00C63F8F" w:rsidRPr="00E27443">
        <w:t xml:space="preserve"> </w:t>
      </w:r>
      <w:r w:rsidRPr="00E27443">
        <w:t>employment</w:t>
      </w:r>
      <w:r w:rsidR="00C63F8F" w:rsidRPr="00E27443">
        <w:t xml:space="preserve"> </w:t>
      </w:r>
      <w:r w:rsidRPr="00E27443">
        <w:t>has</w:t>
      </w:r>
      <w:r w:rsidR="00C63F8F" w:rsidRPr="00E27443">
        <w:t xml:space="preserve"> </w:t>
      </w:r>
      <w:r w:rsidRPr="00E27443">
        <w:t>commenced.</w:t>
      </w:r>
    </w:p>
    <w:p w:rsidR="00321ADA" w:rsidRPr="00E27443" w:rsidRDefault="00321ADA" w:rsidP="00D10EB3">
      <w:pPr>
        <w:pStyle w:val="SingleTxtG"/>
        <w:numPr>
          <w:ilvl w:val="0"/>
          <w:numId w:val="20"/>
        </w:numPr>
        <w:tabs>
          <w:tab w:val="left" w:pos="1843"/>
        </w:tabs>
        <w:ind w:left="1134" w:firstLine="0"/>
      </w:pPr>
      <w:r w:rsidRPr="00E27443">
        <w:t>Unemployed</w:t>
      </w:r>
      <w:r w:rsidR="00C63F8F" w:rsidRPr="00E27443">
        <w:t xml:space="preserve"> </w:t>
      </w:r>
      <w:r w:rsidRPr="00E27443">
        <w:t>individuals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entail</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may,</w:t>
      </w:r>
      <w:r w:rsidR="00C63F8F" w:rsidRPr="00E27443">
        <w:t xml:space="preserve"> </w:t>
      </w:r>
      <w:r w:rsidRPr="00E27443">
        <w:t>via</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receive</w:t>
      </w:r>
      <w:r w:rsidR="00C63F8F" w:rsidRPr="00E27443">
        <w:t xml:space="preserve"> </w:t>
      </w:r>
      <w:r w:rsidRPr="00E27443">
        <w:t>separate</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when</w:t>
      </w:r>
      <w:r w:rsidR="00C63F8F" w:rsidRPr="00E27443">
        <w:t xml:space="preserve"> </w:t>
      </w:r>
      <w:r w:rsidRPr="00E27443">
        <w:t>starting</w:t>
      </w:r>
      <w:r w:rsidR="00C63F8F" w:rsidRPr="00E27443">
        <w:t xml:space="preserve"> </w:t>
      </w:r>
      <w:r w:rsidRPr="00E27443">
        <w:t>a</w:t>
      </w:r>
      <w:r w:rsidR="00C63F8F" w:rsidRPr="00E27443">
        <w:t xml:space="preserve"> </w:t>
      </w:r>
      <w:r w:rsidRPr="00E27443">
        <w:t>business,</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making</w:t>
      </w:r>
      <w:r w:rsidR="00C63F8F" w:rsidRPr="00E27443">
        <w:t xml:space="preserve"> </w:t>
      </w:r>
      <w:r w:rsidRPr="00E27443">
        <w:t>it</w:t>
      </w:r>
      <w:r w:rsidR="00C63F8F" w:rsidRPr="00E27443">
        <w:t xml:space="preserve"> </w:t>
      </w:r>
      <w:r w:rsidRPr="00E27443">
        <w:t>easier</w:t>
      </w:r>
      <w:r w:rsidR="00C63F8F" w:rsidRPr="00E27443">
        <w:t xml:space="preserve"> </w:t>
      </w:r>
      <w:r w:rsidRPr="00E27443">
        <w:t>for</w:t>
      </w:r>
      <w:r w:rsidR="00C63F8F" w:rsidRPr="00E27443">
        <w:t xml:space="preserve"> </w:t>
      </w:r>
      <w:r w:rsidRPr="00E27443">
        <w:t>unemployed</w:t>
      </w:r>
      <w:r w:rsidR="00C63F8F" w:rsidRPr="00E27443">
        <w:t xml:space="preserve"> </w:t>
      </w:r>
      <w:r w:rsidRPr="00E27443">
        <w:t>persons</w:t>
      </w:r>
      <w:r w:rsidR="00C63F8F" w:rsidRPr="00E27443">
        <w:t xml:space="preserve"> </w:t>
      </w:r>
      <w:r w:rsidRPr="00E27443">
        <w:t>to</w:t>
      </w:r>
      <w:r w:rsidR="00C63F8F" w:rsidRPr="00E27443">
        <w:t xml:space="preserve"> </w:t>
      </w:r>
      <w:r w:rsidRPr="00E27443">
        <w:t>start</w:t>
      </w:r>
      <w:r w:rsidR="00C63F8F" w:rsidRPr="00E27443">
        <w:t xml:space="preserve"> </w:t>
      </w:r>
      <w:r w:rsidRPr="00E27443">
        <w:t>up</w:t>
      </w:r>
      <w:r w:rsidR="00C63F8F" w:rsidRPr="00E27443">
        <w:t xml:space="preserve"> </w:t>
      </w:r>
      <w:r w:rsidRPr="00E27443">
        <w:t>a</w:t>
      </w:r>
      <w:r w:rsidR="00C63F8F" w:rsidRPr="00E27443">
        <w:t xml:space="preserve"> </w:t>
      </w:r>
      <w:r w:rsidRPr="00E27443">
        <w:t>business,</w:t>
      </w:r>
      <w:r w:rsidR="00C63F8F" w:rsidRPr="00E27443">
        <w:t xml:space="preserve"> </w:t>
      </w:r>
      <w:r w:rsidRPr="00E27443">
        <w:t>either</w:t>
      </w:r>
      <w:r w:rsidR="00C63F8F" w:rsidRPr="00E27443">
        <w:t xml:space="preserve"> </w:t>
      </w:r>
      <w:r w:rsidRPr="00E27443">
        <w:t>on</w:t>
      </w:r>
      <w:r w:rsidR="00C63F8F" w:rsidRPr="00E27443">
        <w:t xml:space="preserve"> </w:t>
      </w:r>
      <w:r w:rsidRPr="00E27443">
        <w:t>their</w:t>
      </w:r>
      <w:r w:rsidR="00C63F8F" w:rsidRPr="00E27443">
        <w:t xml:space="preserve"> </w:t>
      </w:r>
      <w:r w:rsidRPr="00E27443">
        <w:t>own</w:t>
      </w:r>
      <w:r w:rsidR="00C63F8F" w:rsidRPr="00E27443">
        <w:t xml:space="preserve"> </w:t>
      </w:r>
      <w:r w:rsidRPr="00E27443">
        <w:t>or</w:t>
      </w:r>
      <w:r w:rsidR="00C63F8F" w:rsidRPr="00E27443">
        <w:t xml:space="preserve"> </w:t>
      </w:r>
      <w:r w:rsidRPr="00E27443">
        <w:t>with</w:t>
      </w:r>
      <w:r w:rsidR="00C63F8F" w:rsidRPr="00E27443">
        <w:t xml:space="preserve"> </w:t>
      </w:r>
      <w:r w:rsidRPr="00E27443">
        <w:t>others.</w:t>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policy,</w:t>
      </w:r>
      <w:r w:rsidR="00C63F8F" w:rsidRPr="00E27443">
        <w:t xml:space="preserve"> </w:t>
      </w:r>
      <w:r w:rsidRPr="00E27443">
        <w:t>together</w:t>
      </w:r>
      <w:r w:rsidR="00C63F8F" w:rsidRPr="00E27443">
        <w:t xml:space="preserve"> </w:t>
      </w:r>
      <w:r w:rsidRPr="00E27443">
        <w:t>with</w:t>
      </w:r>
      <w:r w:rsidR="00C63F8F" w:rsidRPr="00E27443">
        <w:t xml:space="preserve"> </w:t>
      </w:r>
      <w:r w:rsidRPr="00E27443">
        <w:t>other</w:t>
      </w:r>
      <w:r w:rsidR="00C63F8F" w:rsidRPr="00E27443">
        <w:t xml:space="preserve"> </w:t>
      </w:r>
      <w:r w:rsidRPr="00E27443">
        <w:t>policy</w:t>
      </w:r>
      <w:r w:rsidR="00C63F8F" w:rsidRPr="00E27443">
        <w:t xml:space="preserve"> </w:t>
      </w:r>
      <w:r w:rsidRPr="00E27443">
        <w:t>areas,</w:t>
      </w:r>
      <w:r w:rsidR="00C63F8F" w:rsidRPr="00E27443">
        <w:t xml:space="preserve"> </w:t>
      </w:r>
      <w:r w:rsidRPr="00E27443">
        <w:t>must</w:t>
      </w:r>
      <w:r w:rsidR="00C63F8F" w:rsidRPr="00E27443">
        <w:t xml:space="preserve"> </w:t>
      </w:r>
      <w:r w:rsidRPr="00E27443">
        <w:t>contribute</w:t>
      </w:r>
      <w:r w:rsidR="00C63F8F" w:rsidRPr="00E27443">
        <w:t xml:space="preserve"> </w:t>
      </w:r>
      <w:r w:rsidRPr="00E27443">
        <w:t>towards</w:t>
      </w:r>
      <w:r w:rsidR="00C63F8F" w:rsidRPr="00E27443">
        <w:t xml:space="preserve"> </w:t>
      </w:r>
      <w:r w:rsidRPr="00E27443">
        <w:t>the</w:t>
      </w:r>
      <w:r w:rsidR="00C63F8F" w:rsidRPr="00E27443">
        <w:t xml:space="preserve"> </w:t>
      </w:r>
      <w:r w:rsidRPr="00E27443">
        <w:t>achievement</w:t>
      </w:r>
      <w:r w:rsidR="00C63F8F" w:rsidRPr="00E27443">
        <w:t xml:space="preserve"> </w:t>
      </w:r>
      <w:r w:rsidRPr="00E27443">
        <w:t>of</w:t>
      </w:r>
      <w:r w:rsidR="00C63F8F" w:rsidRPr="00E27443">
        <w:t xml:space="preserve"> </w:t>
      </w:r>
      <w:r w:rsidRPr="00E27443">
        <w:t>the</w:t>
      </w:r>
      <w:r w:rsidR="00C63F8F" w:rsidRPr="00E27443">
        <w:t xml:space="preserve"> </w:t>
      </w:r>
      <w:r w:rsidRPr="00E27443">
        <w:t>goals</w:t>
      </w:r>
      <w:r w:rsidR="00C63F8F" w:rsidRPr="00E27443">
        <w:t xml:space="preserve"> </w:t>
      </w:r>
      <w:r w:rsidRPr="00E27443">
        <w:t>in</w:t>
      </w:r>
      <w:r w:rsidR="00C63F8F" w:rsidRPr="00E27443">
        <w:t xml:space="preserve"> </w:t>
      </w:r>
      <w:r w:rsidRPr="00E27443">
        <w:t>the</w:t>
      </w:r>
      <w:r w:rsidR="00C63F8F" w:rsidRPr="00E27443">
        <w:t xml:space="preserve"> </w:t>
      </w:r>
      <w:r w:rsidRPr="00D10EB3">
        <w:t>Strategy</w:t>
      </w:r>
      <w:r w:rsidR="00C63F8F" w:rsidRPr="00D10EB3">
        <w:t xml:space="preserve"> </w:t>
      </w:r>
      <w:r w:rsidRPr="00D10EB3">
        <w:t>for</w:t>
      </w:r>
      <w:r w:rsidR="00C63F8F" w:rsidRPr="00D10EB3">
        <w:t xml:space="preserve"> </w:t>
      </w:r>
      <w:r w:rsidRPr="00D10EB3">
        <w:t>gender</w:t>
      </w:r>
      <w:r w:rsidR="00C63F8F" w:rsidRPr="00D10EB3">
        <w:t xml:space="preserve"> </w:t>
      </w:r>
      <w:r w:rsidRPr="00D10EB3">
        <w:t>equality</w:t>
      </w:r>
      <w:r w:rsidR="00C63F8F" w:rsidRPr="00D10EB3">
        <w:t xml:space="preserve"> </w:t>
      </w:r>
      <w:r w:rsidRPr="00D10EB3">
        <w:t>in</w:t>
      </w:r>
      <w:r w:rsidR="00C63F8F" w:rsidRPr="00D10EB3">
        <w:t xml:space="preserve"> </w:t>
      </w:r>
      <w:r w:rsidRPr="00D10EB3">
        <w:t>the</w:t>
      </w:r>
      <w:r w:rsidR="00C63F8F" w:rsidRPr="00D10EB3">
        <w:t xml:space="preserve"> </w:t>
      </w:r>
      <w:r w:rsidRPr="00D10EB3">
        <w:t>labour</w:t>
      </w:r>
      <w:r w:rsidR="00C63F8F" w:rsidRPr="00D10EB3">
        <w:t xml:space="preserve"> </w:t>
      </w:r>
      <w:r w:rsidRPr="00D10EB3">
        <w:t>market</w:t>
      </w:r>
      <w:r w:rsidRPr="00E27443">
        <w:t>.</w:t>
      </w:r>
      <w:r w:rsidR="00C63F8F" w:rsidRPr="00E27443">
        <w:t xml:space="preserve"> </w:t>
      </w:r>
      <w:r w:rsidRPr="00E27443">
        <w:t>Examples</w:t>
      </w:r>
      <w:r w:rsidR="00C63F8F" w:rsidRPr="00E27443">
        <w:t xml:space="preserve"> </w:t>
      </w:r>
      <w:r w:rsidRPr="00E27443">
        <w:t>of</w:t>
      </w:r>
      <w:r w:rsidR="00C63F8F" w:rsidRPr="00E27443">
        <w:t xml:space="preserve"> </w:t>
      </w:r>
      <w:r w:rsidRPr="00E27443">
        <w:t>initiatives</w:t>
      </w:r>
      <w:r w:rsidR="00C63F8F" w:rsidRPr="00E27443">
        <w:t xml:space="preserve"> </w:t>
      </w:r>
      <w:r w:rsidRPr="00E27443">
        <w:t>include</w:t>
      </w:r>
      <w:r w:rsidR="00C63F8F" w:rsidRPr="00E27443">
        <w:t xml:space="preserve"> </w:t>
      </w:r>
      <w:r w:rsidRPr="00E27443">
        <w:t>the</w:t>
      </w:r>
      <w:r w:rsidR="00C63F8F" w:rsidRPr="00E27443">
        <w:t xml:space="preserve"> </w:t>
      </w:r>
      <w:r w:rsidRPr="00E27443">
        <w:t>strengthening</w:t>
      </w:r>
      <w:r w:rsidR="00C63F8F" w:rsidRPr="00E27443">
        <w:t xml:space="preserve"> </w:t>
      </w:r>
      <w:r w:rsidRPr="00E27443">
        <w:t>of</w:t>
      </w:r>
      <w:r w:rsidR="00C63F8F" w:rsidRPr="00E27443">
        <w:t xml:space="preserve"> </w:t>
      </w:r>
      <w:r w:rsidRPr="00E27443">
        <w:t>the</w:t>
      </w:r>
      <w:r w:rsidR="00C63F8F" w:rsidRPr="00E27443">
        <w:t xml:space="preserve"> ‘</w:t>
      </w:r>
      <w:r w:rsidRPr="00E27443">
        <w:t>(work-first</w:t>
      </w:r>
      <w:r w:rsidR="00C63F8F" w:rsidRPr="00E27443">
        <w:t xml:space="preserve"> </w:t>
      </w:r>
      <w:r w:rsidRPr="00E27443">
        <w:t>principle</w:t>
      </w:r>
      <w:r w:rsidR="00C63F8F" w:rsidRPr="00E27443">
        <w:t>’</w:t>
      </w:r>
      <w:r w:rsidRPr="00E27443">
        <w:t>,</w:t>
      </w:r>
      <w:r w:rsidR="00C63F8F" w:rsidRPr="00E27443">
        <w:t xml:space="preserve"> </w:t>
      </w:r>
      <w:r w:rsidRPr="00E27443">
        <w:t>for</w:t>
      </w:r>
      <w:r w:rsidR="00C63F8F" w:rsidRPr="00E27443">
        <w:t xml:space="preserve"> </w:t>
      </w:r>
      <w:r w:rsidRPr="00E27443">
        <w:t>example</w:t>
      </w:r>
      <w:r w:rsidR="00C63F8F" w:rsidRPr="00E27443">
        <w:t xml:space="preserve"> </w:t>
      </w:r>
      <w:r w:rsidRPr="00E27443">
        <w:t>through</w:t>
      </w:r>
      <w:r w:rsidR="00C63F8F" w:rsidRPr="00E27443">
        <w:t xml:space="preserve"> </w:t>
      </w:r>
      <w:r w:rsidRPr="00E27443">
        <w:t>tax</w:t>
      </w:r>
      <w:r w:rsidR="00C63F8F" w:rsidRPr="00E27443">
        <w:t xml:space="preserve"> </w:t>
      </w:r>
      <w:r w:rsidRPr="00E27443">
        <w:t>reductions</w:t>
      </w:r>
      <w:r w:rsidR="00C63F8F" w:rsidRPr="00E27443">
        <w:t xml:space="preserve"> </w:t>
      </w:r>
      <w:r w:rsidRPr="00E27443">
        <w:t>for</w:t>
      </w:r>
      <w:r w:rsidR="00C63F8F" w:rsidRPr="00E27443">
        <w:t xml:space="preserve"> </w:t>
      </w:r>
      <w:r w:rsidRPr="00E27443">
        <w:t>those</w:t>
      </w:r>
      <w:r w:rsidR="00C63F8F" w:rsidRPr="00E27443">
        <w:t xml:space="preserve"> </w:t>
      </w:r>
      <w:r w:rsidRPr="00E27443">
        <w:t>in</w:t>
      </w:r>
      <w:r w:rsidR="00C63F8F" w:rsidRPr="00E27443">
        <w:t xml:space="preserve"> </w:t>
      </w:r>
      <w:r w:rsidRPr="00E27443">
        <w:t>work.</w:t>
      </w:r>
      <w:r w:rsidR="00C63F8F" w:rsidRPr="00E27443">
        <w:t xml:space="preserve"> </w:t>
      </w:r>
      <w:r w:rsidRPr="00E27443">
        <w:t>A</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bonus</w:t>
      </w:r>
      <w:r w:rsidR="00C63F8F" w:rsidRPr="00E27443">
        <w:t xml:space="preserve"> </w:t>
      </w:r>
      <w:r w:rsidRPr="00E27443">
        <w:t>has</w:t>
      </w:r>
      <w:r w:rsidR="00C63F8F" w:rsidRPr="00E27443">
        <w:t xml:space="preserve"> </w:t>
      </w:r>
      <w:r w:rsidRPr="00E27443">
        <w:t>been</w:t>
      </w:r>
      <w:r w:rsidR="00C63F8F" w:rsidRPr="00E27443">
        <w:t xml:space="preserve"> </w:t>
      </w:r>
      <w:r w:rsidRPr="00E27443">
        <w:t>introduced</w:t>
      </w:r>
      <w:r w:rsidR="00C63F8F" w:rsidRPr="00E27443">
        <w:t xml:space="preserve"> </w:t>
      </w:r>
      <w:r w:rsidRPr="00E27443">
        <w:t>in</w:t>
      </w:r>
      <w:r w:rsidR="00C63F8F" w:rsidRPr="00E27443">
        <w:t xml:space="preserve"> </w:t>
      </w:r>
      <w:r w:rsidRPr="00E27443">
        <w:t>parental</w:t>
      </w:r>
      <w:r w:rsidR="00C63F8F" w:rsidRPr="00E27443">
        <w:t xml:space="preserve"> </w:t>
      </w:r>
      <w:r w:rsidRPr="00E27443">
        <w:t>insurance</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encourage</w:t>
      </w:r>
      <w:r w:rsidR="00C63F8F" w:rsidRPr="00E27443">
        <w:t xml:space="preserve"> </w:t>
      </w:r>
      <w:r w:rsidRPr="00E27443">
        <w:t>a</w:t>
      </w:r>
      <w:r w:rsidR="00C63F8F" w:rsidRPr="00E27443">
        <w:t xml:space="preserve"> </w:t>
      </w:r>
      <w:r w:rsidRPr="00E27443">
        <w:t>more</w:t>
      </w:r>
      <w:r w:rsidR="00C63F8F" w:rsidRPr="00E27443">
        <w:t xml:space="preserve"> </w:t>
      </w:r>
      <w:r w:rsidRPr="00E27443">
        <w:t>even</w:t>
      </w:r>
      <w:r w:rsidR="00C63F8F" w:rsidRPr="00E27443">
        <w:t xml:space="preserve"> </w:t>
      </w:r>
      <w:r w:rsidRPr="00E27443">
        <w:t>take-up</w:t>
      </w:r>
      <w:r w:rsidR="00C63F8F" w:rsidRPr="00E27443">
        <w:t xml:space="preserve"> </w:t>
      </w:r>
      <w:r w:rsidRPr="00E27443">
        <w:t>of</w:t>
      </w:r>
      <w:r w:rsidR="00C63F8F" w:rsidRPr="00E27443">
        <w:t xml:space="preserve"> </w:t>
      </w:r>
      <w:r w:rsidRPr="00E27443">
        <w:t>parental</w:t>
      </w:r>
      <w:r w:rsidR="00C63F8F" w:rsidRPr="00E27443">
        <w:t xml:space="preserve"> </w:t>
      </w:r>
      <w:r w:rsidRPr="00E27443">
        <w:t>leave.</w:t>
      </w:r>
      <w:r w:rsidR="00C63F8F" w:rsidRPr="00E27443">
        <w:t xml:space="preserve"> </w:t>
      </w:r>
      <w:r w:rsidRPr="00E27443">
        <w:t>Tax</w:t>
      </w:r>
      <w:r w:rsidR="00C63F8F" w:rsidRPr="00E27443">
        <w:t xml:space="preserve"> </w:t>
      </w:r>
      <w:r w:rsidRPr="00E27443">
        <w:t>reductions</w:t>
      </w:r>
      <w:r w:rsidR="00C63F8F" w:rsidRPr="00E27443">
        <w:t xml:space="preserve"> </w:t>
      </w:r>
      <w:r w:rsidRPr="00E27443">
        <w:t>for</w:t>
      </w:r>
      <w:r w:rsidR="00C63F8F" w:rsidRPr="00E27443">
        <w:t xml:space="preserve"> </w:t>
      </w:r>
      <w:r w:rsidRPr="00E27443">
        <w:t>household</w:t>
      </w:r>
      <w:r w:rsidR="00C63F8F" w:rsidRPr="00E27443">
        <w:t xml:space="preserve"> </w:t>
      </w:r>
      <w:r w:rsidRPr="00E27443">
        <w:t>services</w:t>
      </w:r>
      <w:r w:rsidR="00C63F8F" w:rsidRPr="00E27443">
        <w:t xml:space="preserve"> </w:t>
      </w:r>
      <w:r w:rsidRPr="00E27443">
        <w:t>have</w:t>
      </w:r>
      <w:r w:rsidR="00C63F8F" w:rsidRPr="00E27443">
        <w:t xml:space="preserve"> </w:t>
      </w:r>
      <w:r w:rsidRPr="00E27443">
        <w:t>been</w:t>
      </w:r>
      <w:r w:rsidR="00C63F8F" w:rsidRPr="00E27443">
        <w:t xml:space="preserve"> </w:t>
      </w:r>
      <w:r w:rsidRPr="00E27443">
        <w:t>introduced,</w:t>
      </w:r>
      <w:r w:rsidR="00C63F8F" w:rsidRPr="00E27443">
        <w:t xml:space="preserve"> </w:t>
      </w:r>
      <w:r w:rsidRPr="00E27443">
        <w:t>which</w:t>
      </w:r>
      <w:r w:rsidR="00C63F8F" w:rsidRPr="00E27443">
        <w:t xml:space="preserve"> </w:t>
      </w:r>
      <w:r w:rsidRPr="00E27443">
        <w:t>make</w:t>
      </w:r>
      <w:r w:rsidR="00C63F8F" w:rsidRPr="00E27443">
        <w:t xml:space="preserve"> </w:t>
      </w:r>
      <w:r w:rsidRPr="00E27443">
        <w:t>it</w:t>
      </w:r>
      <w:r w:rsidR="00C63F8F" w:rsidRPr="00E27443">
        <w:t xml:space="preserve"> </w:t>
      </w:r>
      <w:r w:rsidRPr="00E27443">
        <w:t>easier</w:t>
      </w:r>
      <w:r w:rsidR="00C63F8F" w:rsidRPr="00E27443">
        <w:t xml:space="preserve"> </w:t>
      </w:r>
      <w:r w:rsidRPr="00E27443">
        <w:t>for</w:t>
      </w:r>
      <w:r w:rsidR="00C63F8F" w:rsidRPr="00E27443">
        <w:t xml:space="preserve"> </w:t>
      </w:r>
      <w:r w:rsidRPr="00E27443">
        <w:t>women</w:t>
      </w:r>
      <w:r w:rsidR="00C63F8F" w:rsidRPr="00E27443">
        <w:t xml:space="preserve"> </w:t>
      </w:r>
      <w:r w:rsidRPr="00E27443">
        <w:t>and</w:t>
      </w:r>
      <w:r w:rsidR="00C63F8F" w:rsidRPr="00E27443">
        <w:t xml:space="preserve"> </w:t>
      </w:r>
      <w:r w:rsidRPr="00E27443">
        <w:t>men</w:t>
      </w:r>
      <w:r w:rsidR="00C63F8F" w:rsidRPr="00E27443">
        <w:t xml:space="preserve"> </w:t>
      </w:r>
      <w:r w:rsidRPr="00E27443">
        <w:t>to</w:t>
      </w:r>
      <w:r w:rsidR="00C63F8F" w:rsidRPr="00E27443">
        <w:t xml:space="preserve"> </w:t>
      </w:r>
      <w:r w:rsidRPr="00E27443">
        <w:t>combine</w:t>
      </w:r>
      <w:r w:rsidR="00C63F8F" w:rsidRPr="00E27443">
        <w:t xml:space="preserve"> </w:t>
      </w:r>
      <w:r w:rsidRPr="00E27443">
        <w:t>working</w:t>
      </w:r>
      <w:r w:rsidR="00C63F8F" w:rsidRPr="00E27443">
        <w:t xml:space="preserve"> </w:t>
      </w:r>
      <w:r w:rsidRPr="00E27443">
        <w:t>life</w:t>
      </w:r>
      <w:r w:rsidR="00C63F8F" w:rsidRPr="00E27443">
        <w:t xml:space="preserve"> </w:t>
      </w:r>
      <w:r w:rsidRPr="00E27443">
        <w:t>with</w:t>
      </w:r>
      <w:r w:rsidR="00C63F8F" w:rsidRPr="00E27443">
        <w:t xml:space="preserve"> </w:t>
      </w:r>
      <w:r w:rsidRPr="00E27443">
        <w:t>family</w:t>
      </w:r>
      <w:r w:rsidR="00C63F8F" w:rsidRPr="00E27443">
        <w:t xml:space="preserve"> </w:t>
      </w:r>
      <w:r w:rsidRPr="00E27443">
        <w:t>life.</w:t>
      </w:r>
    </w:p>
    <w:p w:rsidR="00321ADA" w:rsidRPr="00E27443" w:rsidRDefault="00321ADA" w:rsidP="00D10EB3">
      <w:pPr>
        <w:pStyle w:val="SingleTxtG"/>
        <w:numPr>
          <w:ilvl w:val="0"/>
          <w:numId w:val="20"/>
        </w:numPr>
        <w:tabs>
          <w:tab w:val="left" w:pos="1843"/>
        </w:tabs>
        <w:ind w:left="1134" w:firstLine="0"/>
      </w:pP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is</w:t>
      </w:r>
      <w:r w:rsidR="00C63F8F" w:rsidRPr="00E27443">
        <w:t xml:space="preserve"> </w:t>
      </w:r>
      <w:r w:rsidRPr="00E27443">
        <w:t>conducting</w:t>
      </w:r>
      <w:r w:rsidR="00C63F8F" w:rsidRPr="00E27443">
        <w:t xml:space="preserve"> </w:t>
      </w:r>
      <w:r w:rsidRPr="00E27443">
        <w:t>targeted</w:t>
      </w:r>
      <w:r w:rsidR="00C63F8F" w:rsidRPr="00E27443">
        <w:t xml:space="preserve"> </w:t>
      </w:r>
      <w:r w:rsidRPr="00E27443">
        <w:t>work</w:t>
      </w:r>
      <w:r w:rsidR="00C63F8F" w:rsidRPr="00E27443">
        <w:t xml:space="preserve"> </w:t>
      </w:r>
      <w:r w:rsidRPr="00E27443">
        <w:t>aimed</w:t>
      </w:r>
      <w:r w:rsidR="00C63F8F" w:rsidRPr="00E27443">
        <w:t xml:space="preserve"> </w:t>
      </w:r>
      <w:r w:rsidRPr="00E27443">
        <w:t>at</w:t>
      </w:r>
      <w:r w:rsidR="00C63F8F" w:rsidRPr="00E27443">
        <w:t xml:space="preserve"> </w:t>
      </w:r>
      <w:r w:rsidRPr="00E27443">
        <w:t>actively</w:t>
      </w:r>
      <w:r w:rsidR="00C63F8F" w:rsidRPr="00E27443">
        <w:t xml:space="preserve"> </w:t>
      </w:r>
      <w:r w:rsidRPr="00E27443">
        <w:t>promoting</w:t>
      </w:r>
      <w:r w:rsidR="00C63F8F" w:rsidRPr="00E27443">
        <w:t xml:space="preserve"> </w:t>
      </w:r>
      <w:r w:rsidRPr="00E27443">
        <w:t>equal</w:t>
      </w:r>
      <w:r w:rsidR="00C63F8F" w:rsidRPr="00E27443">
        <w:t xml:space="preserve"> </w:t>
      </w:r>
      <w:r w:rsidRPr="00E27443">
        <w:t>opportunities</w:t>
      </w:r>
      <w:r w:rsidR="00C63F8F" w:rsidRPr="00E27443">
        <w:t xml:space="preserve"> </w:t>
      </w:r>
      <w:r w:rsidRPr="00E27443">
        <w:t>between</w:t>
      </w:r>
      <w:r w:rsidR="00C63F8F" w:rsidRPr="00E27443">
        <w:t xml:space="preserve"> </w:t>
      </w:r>
      <w:r w:rsidRPr="00E27443">
        <w:t>women</w:t>
      </w:r>
      <w:r w:rsidR="00C63F8F" w:rsidRPr="00E27443">
        <w:t xml:space="preserve"> </w:t>
      </w:r>
      <w:r w:rsidRPr="00E27443">
        <w:t>and</w:t>
      </w:r>
      <w:r w:rsidR="00C63F8F" w:rsidRPr="00E27443">
        <w:t xml:space="preserve"> </w:t>
      </w:r>
      <w:r w:rsidRPr="00E27443">
        <w:t>men</w:t>
      </w:r>
      <w:r w:rsidR="00C63F8F" w:rsidRPr="00E27443">
        <w:t xml:space="preserve"> </w:t>
      </w:r>
      <w:r w:rsidRPr="00E27443">
        <w:t>on</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This</w:t>
      </w:r>
      <w:r w:rsidR="00C63F8F" w:rsidRPr="00E27443">
        <w:t xml:space="preserve"> </w:t>
      </w:r>
      <w:r w:rsidRPr="00E27443">
        <w:t>work</w:t>
      </w:r>
      <w:r w:rsidR="00C63F8F" w:rsidRPr="00E27443">
        <w:t xml:space="preserve"> </w:t>
      </w:r>
      <w:r w:rsidRPr="00E27443">
        <w:t>is</w:t>
      </w:r>
      <w:r w:rsidR="00C63F8F" w:rsidRPr="00E27443">
        <w:t xml:space="preserve"> </w:t>
      </w:r>
      <w:r w:rsidRPr="00E27443">
        <w:t>intended</w:t>
      </w:r>
      <w:r w:rsidR="00C63F8F" w:rsidRPr="00E27443">
        <w:t xml:space="preserve"> </w:t>
      </w:r>
      <w:r w:rsidRPr="00E27443">
        <w:t>to</w:t>
      </w:r>
      <w:r w:rsidR="00C63F8F" w:rsidRPr="00E27443">
        <w:t xml:space="preserve"> </w:t>
      </w:r>
      <w:r w:rsidRPr="00E27443">
        <w:t>provide</w:t>
      </w:r>
      <w:r w:rsidR="00C63F8F" w:rsidRPr="00E27443">
        <w:t xml:space="preserve"> </w:t>
      </w:r>
      <w:r w:rsidRPr="00E27443">
        <w:t>women</w:t>
      </w:r>
      <w:r w:rsidR="00C63F8F" w:rsidRPr="00E27443">
        <w:t xml:space="preserve"> </w:t>
      </w:r>
      <w:r w:rsidRPr="00E27443">
        <w:t>and</w:t>
      </w:r>
      <w:r w:rsidR="00C63F8F" w:rsidRPr="00E27443">
        <w:t xml:space="preserve"> </w:t>
      </w:r>
      <w:r w:rsidRPr="00E27443">
        <w:t>men</w:t>
      </w:r>
      <w:r w:rsidR="00C63F8F" w:rsidRPr="00E27443">
        <w:t xml:space="preserve"> </w:t>
      </w:r>
      <w:r w:rsidRPr="00E27443">
        <w:t>with</w:t>
      </w:r>
      <w:r w:rsidR="00C63F8F" w:rsidRPr="00E27443">
        <w:t xml:space="preserve"> </w:t>
      </w:r>
      <w:r w:rsidRPr="00E27443">
        <w:t>access</w:t>
      </w:r>
      <w:r w:rsidR="00C63F8F" w:rsidRPr="00E27443">
        <w:t xml:space="preserve"> </w:t>
      </w:r>
      <w:r w:rsidRPr="00E27443">
        <w:t>to</w:t>
      </w:r>
      <w:r w:rsidR="00C63F8F" w:rsidRPr="00E27443">
        <w:t xml:space="preserve"> </w:t>
      </w:r>
      <w:r w:rsidRPr="00E27443">
        <w:t>mediation</w:t>
      </w:r>
      <w:r w:rsidR="00C63F8F" w:rsidRPr="00E27443">
        <w:t xml:space="preserve"> </w:t>
      </w:r>
      <w:r w:rsidRPr="00E27443">
        <w:t>and</w:t>
      </w:r>
      <w:r w:rsidR="00C63F8F" w:rsidRPr="00E27443">
        <w:t xml:space="preserve"> </w:t>
      </w:r>
      <w:r w:rsidRPr="00E27443">
        <w:t>programme</w:t>
      </w:r>
      <w:r w:rsidR="00C63F8F" w:rsidRPr="00E27443">
        <w:t xml:space="preserve"> </w:t>
      </w:r>
      <w:r w:rsidRPr="00E27443">
        <w:t>activities</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is</w:t>
      </w:r>
      <w:r w:rsidR="00C63F8F" w:rsidRPr="00E27443">
        <w:t xml:space="preserve"> </w:t>
      </w:r>
      <w:r w:rsidRPr="00E27443">
        <w:t>also</w:t>
      </w:r>
      <w:r w:rsidR="00C63F8F" w:rsidRPr="00E27443">
        <w:t xml:space="preserve"> </w:t>
      </w:r>
      <w:r w:rsidRPr="00E27443">
        <w:t>conducting</w:t>
      </w:r>
      <w:r w:rsidR="00C63F8F" w:rsidRPr="00E27443">
        <w:t xml:space="preserve"> </w:t>
      </w:r>
      <w:r w:rsidRPr="00E27443">
        <w:t>a</w:t>
      </w:r>
      <w:r w:rsidR="00C63F8F" w:rsidRPr="00E27443">
        <w:t xml:space="preserve"> </w:t>
      </w:r>
      <w:r w:rsidRPr="00E27443">
        <w:t>pilot</w:t>
      </w:r>
      <w:r w:rsidR="00C63F8F" w:rsidRPr="00E27443">
        <w:t xml:space="preserve"> </w:t>
      </w:r>
      <w:r w:rsidRPr="00E27443">
        <w:t>project</w:t>
      </w:r>
      <w:r w:rsidR="00C63F8F" w:rsidRPr="00E27443">
        <w:t xml:space="preserve"> </w:t>
      </w:r>
      <w:r w:rsidRPr="00E27443">
        <w:t>aimed</w:t>
      </w:r>
      <w:r w:rsidR="00C63F8F" w:rsidRPr="00E27443">
        <w:t xml:space="preserve"> </w:t>
      </w:r>
      <w:r w:rsidRPr="00E27443">
        <w:t>at</w:t>
      </w:r>
      <w:r w:rsidR="00C63F8F" w:rsidRPr="00E27443">
        <w:t xml:space="preserve"> </w:t>
      </w:r>
      <w:r w:rsidRPr="00E27443">
        <w:t>reducing</w:t>
      </w:r>
      <w:r w:rsidR="00C63F8F" w:rsidRPr="00E27443">
        <w:t xml:space="preserve"> </w:t>
      </w:r>
      <w:r w:rsidRPr="00E27443">
        <w:t>isolation</w:t>
      </w:r>
      <w:r w:rsidR="00C63F8F" w:rsidRPr="00E27443">
        <w:t xml:space="preserve"> </w:t>
      </w:r>
      <w:r w:rsidRPr="00E27443">
        <w:t>among</w:t>
      </w:r>
      <w:r w:rsidR="00C63F8F" w:rsidRPr="00E27443">
        <w:t xml:space="preserve"> </w:t>
      </w:r>
      <w:r w:rsidRPr="00E27443">
        <w:t>foreign</w:t>
      </w:r>
      <w:r w:rsidR="00C63F8F" w:rsidRPr="00E27443">
        <w:t xml:space="preserve"> </w:t>
      </w:r>
      <w:r w:rsidRPr="00E27443">
        <w:t>born</w:t>
      </w:r>
      <w:r w:rsidR="00C63F8F" w:rsidRPr="00E27443">
        <w:t xml:space="preserve"> </w:t>
      </w:r>
      <w:r w:rsidRPr="00E27443">
        <w:t>women</w:t>
      </w:r>
      <w:r w:rsidR="00C63F8F" w:rsidRPr="00E27443">
        <w:t xml:space="preserve"> </w:t>
      </w:r>
      <w:r w:rsidRPr="00E27443">
        <w:t>who</w:t>
      </w:r>
      <w:r w:rsidR="00C63F8F" w:rsidRPr="00E27443">
        <w:t xml:space="preserve"> </w:t>
      </w:r>
      <w:r w:rsidRPr="00E27443">
        <w:t>are</w:t>
      </w:r>
      <w:r w:rsidR="00C63F8F" w:rsidRPr="00E27443">
        <w:t xml:space="preserve"> </w:t>
      </w:r>
      <w:r w:rsidRPr="00E27443">
        <w:t>distant</w:t>
      </w:r>
      <w:r w:rsidR="00C63F8F" w:rsidRPr="00E27443">
        <w:t xml:space="preserve"> </w:t>
      </w:r>
      <w:r w:rsidRPr="00E27443">
        <w:t>from</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p>
    <w:p w:rsidR="00D10EB3" w:rsidRDefault="00321ADA" w:rsidP="00D10EB3">
      <w:pPr>
        <w:pStyle w:val="SingleTxtG"/>
        <w:numPr>
          <w:ilvl w:val="0"/>
          <w:numId w:val="20"/>
        </w:numPr>
        <w:tabs>
          <w:tab w:val="left" w:pos="1843"/>
        </w:tabs>
        <w:ind w:left="1134" w:firstLine="0"/>
      </w:pPr>
      <w:r w:rsidRPr="00E27443">
        <w:t>On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labour</w:t>
      </w:r>
      <w:r w:rsidR="00C63F8F" w:rsidRPr="00E27443">
        <w:t xml:space="preserve"> </w:t>
      </w:r>
      <w:r w:rsidRPr="00E27443">
        <w:t>market,</w:t>
      </w:r>
      <w:r w:rsidR="00C63F8F" w:rsidRPr="00E27443">
        <w:t xml:space="preserve"> </w:t>
      </w:r>
      <w:r w:rsidRPr="00E27443">
        <w:t>the</w:t>
      </w:r>
      <w:r w:rsidR="00C63F8F" w:rsidRPr="00E27443">
        <w:t xml:space="preserve"> </w:t>
      </w:r>
      <w:r w:rsidRPr="00E27443">
        <w:t>distribution</w:t>
      </w:r>
      <w:r w:rsidR="00C63F8F" w:rsidRPr="00E27443">
        <w:t xml:space="preserve"> </w:t>
      </w:r>
      <w:r w:rsidRPr="00E27443">
        <w:t>of</w:t>
      </w:r>
      <w:r w:rsidR="00C63F8F" w:rsidRPr="00E27443">
        <w:t xml:space="preserve"> </w:t>
      </w:r>
      <w:r w:rsidRPr="00E27443">
        <w:t>men</w:t>
      </w:r>
      <w:r w:rsidR="00C63F8F" w:rsidRPr="00E27443">
        <w:t xml:space="preserve"> </w:t>
      </w:r>
      <w:r w:rsidRPr="00E27443">
        <w:t>and</w:t>
      </w:r>
      <w:r w:rsidR="00C63F8F" w:rsidRPr="00E27443">
        <w:t xml:space="preserve"> </w:t>
      </w:r>
      <w:r w:rsidRPr="00E27443">
        <w:t>women</w:t>
      </w:r>
      <w:r w:rsidR="00C63F8F" w:rsidRPr="00E27443">
        <w:t xml:space="preserve"> </w:t>
      </w:r>
      <w:r w:rsidRPr="00E27443">
        <w:t>in</w:t>
      </w:r>
      <w:r w:rsidR="00C63F8F" w:rsidRPr="00E27443">
        <w:t xml:space="preserve"> </w:t>
      </w:r>
      <w:r w:rsidRPr="00E27443">
        <w:t>sectors,</w:t>
      </w:r>
      <w:r w:rsidR="00C63F8F" w:rsidRPr="00E27443">
        <w:t xml:space="preserve"> </w:t>
      </w:r>
      <w:r w:rsidRPr="00E27443">
        <w:t>areas</w:t>
      </w:r>
      <w:r w:rsidR="00C63F8F" w:rsidRPr="00E27443">
        <w:t xml:space="preserve"> </w:t>
      </w:r>
      <w:r w:rsidRPr="00E27443">
        <w:t>of</w:t>
      </w:r>
      <w:r w:rsidR="00C63F8F" w:rsidRPr="00E27443">
        <w:t xml:space="preserve"> </w:t>
      </w:r>
      <w:r w:rsidRPr="00E27443">
        <w:t>business</w:t>
      </w:r>
      <w:r w:rsidR="00C63F8F" w:rsidRPr="00E27443">
        <w:t xml:space="preserve"> </w:t>
      </w:r>
      <w:r w:rsidRPr="00E27443">
        <w:t>and</w:t>
      </w:r>
      <w:r w:rsidR="00C63F8F" w:rsidRPr="00E27443">
        <w:t xml:space="preserve"> </w:t>
      </w:r>
      <w:r w:rsidRPr="00E27443">
        <w:t>professions</w:t>
      </w:r>
      <w:r w:rsidR="00C63F8F" w:rsidRPr="00E27443">
        <w:t xml:space="preserve"> </w:t>
      </w:r>
      <w:r w:rsidRPr="00E27443">
        <w:t>is</w:t>
      </w:r>
      <w:r w:rsidR="00C63F8F" w:rsidRPr="00E27443">
        <w:t xml:space="preserve"> </w:t>
      </w:r>
      <w:r w:rsidRPr="00E27443">
        <w:t>generally</w:t>
      </w:r>
      <w:r w:rsidR="00C63F8F" w:rsidRPr="00E27443">
        <w:t xml:space="preserve"> </w:t>
      </w:r>
      <w:r w:rsidRPr="00E27443">
        <w:t>uneven.</w:t>
      </w:r>
      <w:r w:rsidR="00C63F8F" w:rsidRPr="00E27443">
        <w:t xml:space="preserve"> </w:t>
      </w:r>
      <w:r w:rsidRPr="00E27443">
        <w:t>This</w:t>
      </w:r>
      <w:r w:rsidR="00C63F8F" w:rsidRPr="00E27443">
        <w:t xml:space="preserve"> </w:t>
      </w:r>
      <w:r w:rsidRPr="00E27443">
        <w:t>affects</w:t>
      </w:r>
      <w:r w:rsidR="00C63F8F" w:rsidRPr="00E27443">
        <w:t xml:space="preserve"> </w:t>
      </w:r>
      <w:r w:rsidRPr="00E27443">
        <w:t>both</w:t>
      </w:r>
      <w:r w:rsidR="00C63F8F" w:rsidRPr="00E27443">
        <w:t xml:space="preserve"> </w:t>
      </w:r>
      <w:r w:rsidRPr="00E27443">
        <w:t>the</w:t>
      </w:r>
      <w:r w:rsidR="00C63F8F" w:rsidRPr="00E27443">
        <w:t xml:space="preserve"> </w:t>
      </w:r>
      <w:r w:rsidRPr="00E27443">
        <w:t>individual</w:t>
      </w:r>
      <w:r w:rsidR="00C63F8F" w:rsidRPr="00E27443">
        <w:t>’</w:t>
      </w:r>
      <w:r w:rsidRPr="00E27443">
        <w:t>s</w:t>
      </w:r>
      <w:r w:rsidR="00C63F8F" w:rsidRPr="00E27443">
        <w:t xml:space="preserve"> </w:t>
      </w:r>
      <w:r w:rsidRPr="00E27443">
        <w:t>and</w:t>
      </w:r>
      <w:r w:rsidR="00C63F8F" w:rsidRPr="00E27443">
        <w:t xml:space="preserve"> </w:t>
      </w:r>
      <w:r w:rsidRPr="00E27443">
        <w:t>the</w:t>
      </w:r>
      <w:r w:rsidR="00C63F8F" w:rsidRPr="00E27443">
        <w:t xml:space="preserve"> </w:t>
      </w:r>
      <w:r w:rsidRPr="00E27443">
        <w:t>employer</w:t>
      </w:r>
      <w:r w:rsidR="00C63F8F" w:rsidRPr="00E27443">
        <w:t>’</w:t>
      </w:r>
      <w:r w:rsidRPr="00E27443">
        <w:t>s</w:t>
      </w:r>
      <w:r w:rsidR="00C63F8F" w:rsidRPr="00E27443">
        <w:t xml:space="preserve"> </w:t>
      </w:r>
      <w:r w:rsidRPr="00E27443">
        <w:t>choices</w:t>
      </w:r>
      <w:r w:rsidR="00C63F8F" w:rsidRPr="00E27443">
        <w:t xml:space="preserve"> </w:t>
      </w:r>
      <w:r w:rsidRPr="00E27443">
        <w:t>and</w:t>
      </w:r>
      <w:r w:rsidR="00C63F8F" w:rsidRPr="00E27443">
        <w:t xml:space="preserve"> </w:t>
      </w:r>
      <w:r w:rsidRPr="00E27443">
        <w:t>constitutes</w:t>
      </w:r>
      <w:r w:rsidR="00C63F8F" w:rsidRPr="00E27443">
        <w:t xml:space="preserve"> </w:t>
      </w:r>
      <w:r w:rsidRPr="00E27443">
        <w:t>the</w:t>
      </w:r>
      <w:r w:rsidR="00C63F8F" w:rsidRPr="00E27443">
        <w:t xml:space="preserve"> </w:t>
      </w:r>
      <w:r w:rsidRPr="00E27443">
        <w:t>arena</w:t>
      </w:r>
      <w:r w:rsidR="00C63F8F" w:rsidRPr="00E27443">
        <w:t xml:space="preserve"> </w:t>
      </w:r>
      <w:r w:rsidRPr="00E27443">
        <w:t>in</w:t>
      </w:r>
      <w:r w:rsidR="00C63F8F" w:rsidRPr="00E27443">
        <w:t xml:space="preserve"> </w:t>
      </w:r>
      <w:r w:rsidRPr="00E27443">
        <w:t>which</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operates.</w:t>
      </w:r>
      <w:r w:rsidR="00C63F8F" w:rsidRPr="00E27443">
        <w:t xml:space="preserve"> </w:t>
      </w:r>
      <w:r w:rsidRPr="00E27443">
        <w:t>Jobs</w:t>
      </w:r>
      <w:r w:rsidR="00C63F8F" w:rsidRPr="00E27443">
        <w:t xml:space="preserve"> </w:t>
      </w:r>
      <w:r w:rsidRPr="00E27443">
        <w:t>that</w:t>
      </w:r>
      <w:r w:rsidR="00C63F8F" w:rsidRPr="00E27443">
        <w:t xml:space="preserve"> </w:t>
      </w:r>
      <w:r w:rsidRPr="00E27443">
        <w:t>offer</w:t>
      </w:r>
      <w:r w:rsidR="00C63F8F" w:rsidRPr="00E27443">
        <w:t xml:space="preserve"> </w:t>
      </w:r>
      <w:r w:rsidRPr="00E27443">
        <w:t>support</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consistently</w:t>
      </w:r>
      <w:r w:rsidR="00C63F8F" w:rsidRPr="00E27443">
        <w:t xml:space="preserve"> </w:t>
      </w:r>
      <w:r w:rsidRPr="00E27443">
        <w:t>characterised</w:t>
      </w:r>
      <w:r w:rsidR="00C63F8F" w:rsidRPr="00E27443">
        <w:t xml:space="preserve"> </w:t>
      </w:r>
      <w:r w:rsidRPr="00E27443">
        <w:t>by</w:t>
      </w:r>
      <w:r w:rsidR="00C63F8F" w:rsidRPr="00E27443">
        <w:t xml:space="preserve"> </w:t>
      </w:r>
      <w:r w:rsidRPr="00E27443">
        <w:t>an</w:t>
      </w:r>
      <w:r w:rsidR="00C63F8F" w:rsidRPr="00E27443">
        <w:t xml:space="preserve"> </w:t>
      </w:r>
      <w:r w:rsidRPr="00E27443">
        <w:t>uneven</w:t>
      </w:r>
      <w:r w:rsidR="00C63F8F" w:rsidRPr="00E27443">
        <w:t xml:space="preserve"> </w:t>
      </w:r>
      <w:r w:rsidRPr="00E27443">
        <w:t>gender</w:t>
      </w:r>
      <w:r w:rsidR="00C63F8F" w:rsidRPr="00E27443">
        <w:t xml:space="preserve"> </w:t>
      </w:r>
      <w:r w:rsidRPr="00E27443">
        <w:t>distribution.</w:t>
      </w:r>
      <w:r w:rsidR="00C63F8F" w:rsidRPr="00E27443">
        <w:t xml:space="preserve"> </w:t>
      </w:r>
      <w:r w:rsidRPr="00E27443">
        <w:t>The</w:t>
      </w:r>
      <w:r w:rsidR="00C63F8F" w:rsidRPr="00E27443">
        <w:t xml:space="preserve"> </w:t>
      </w:r>
      <w:r w:rsidRPr="00E27443">
        <w:t>figures</w:t>
      </w:r>
      <w:r w:rsidR="00C63F8F" w:rsidRPr="00E27443">
        <w:t xml:space="preserve"> </w:t>
      </w:r>
      <w:r w:rsidRPr="00E27443">
        <w:t>are</w:t>
      </w:r>
      <w:r w:rsidR="00C63F8F" w:rsidRPr="00E27443">
        <w:t xml:space="preserve"> </w:t>
      </w:r>
      <w:r w:rsidRPr="00E27443">
        <w:t>60</w:t>
      </w:r>
      <w:r w:rsidR="00C63F8F" w:rsidRPr="00E27443">
        <w:t xml:space="preserve"> </w:t>
      </w:r>
      <w:r w:rsidRPr="00E27443">
        <w:t>per</w:t>
      </w:r>
      <w:r w:rsidR="00C63F8F" w:rsidRPr="00E27443">
        <w:t xml:space="preserve"> </w:t>
      </w:r>
      <w:r w:rsidRPr="00E27443">
        <w:t>cent</w:t>
      </w:r>
      <w:r w:rsidR="00C63F8F" w:rsidRPr="00E27443">
        <w:t xml:space="preserve"> </w:t>
      </w:r>
      <w:r w:rsidRPr="00E27443">
        <w:t>men</w:t>
      </w:r>
      <w:r w:rsidR="00C63F8F" w:rsidRPr="00E27443">
        <w:t xml:space="preserve"> </w:t>
      </w:r>
      <w:r w:rsidRPr="00E27443">
        <w:t>and</w:t>
      </w:r>
      <w:r w:rsidR="00C63F8F" w:rsidRPr="00E27443">
        <w:t xml:space="preserve"> </w:t>
      </w:r>
      <w:r w:rsidRPr="00E27443">
        <w:t>40</w:t>
      </w:r>
      <w:r w:rsidR="00C63F8F" w:rsidRPr="00E27443">
        <w:t xml:space="preserve"> </w:t>
      </w:r>
      <w:r w:rsidRPr="00E27443">
        <w:t>per</w:t>
      </w:r>
      <w:r w:rsidR="00C63F8F" w:rsidRPr="00E27443">
        <w:t xml:space="preserve"> </w:t>
      </w:r>
      <w:r w:rsidRPr="00E27443">
        <w:t>cent</w:t>
      </w:r>
      <w:r w:rsidR="00C63F8F" w:rsidRPr="00E27443">
        <w:t xml:space="preserve"> </w:t>
      </w:r>
      <w:r w:rsidRPr="00E27443">
        <w:t>women,</w:t>
      </w:r>
      <w:r w:rsidR="00C63F8F" w:rsidRPr="00E27443">
        <w:t xml:space="preserve"> </w:t>
      </w:r>
      <w:r w:rsidRPr="00E27443">
        <w:t>both</w:t>
      </w:r>
      <w:r w:rsidR="00C63F8F" w:rsidRPr="00E27443">
        <w:t xml:space="preserve"> </w:t>
      </w:r>
      <w:r w:rsidRPr="00E27443">
        <w:t>when</w:t>
      </w:r>
      <w:r w:rsidR="00C63F8F" w:rsidRPr="00E27443">
        <w:t xml:space="preserve"> </w:t>
      </w:r>
      <w:r w:rsidRPr="00E27443">
        <w:t>we</w:t>
      </w:r>
      <w:r w:rsidR="00C63F8F" w:rsidRPr="00E27443">
        <w:t xml:space="preserve"> </w:t>
      </w:r>
      <w:r w:rsidRPr="00E27443">
        <w:t>look</w:t>
      </w:r>
      <w:r w:rsidR="00C63F8F" w:rsidRPr="00E27443">
        <w:t xml:space="preserve"> </w:t>
      </w:r>
      <w:r w:rsidRPr="00E27443">
        <w:t>at</w:t>
      </w:r>
      <w:r w:rsidR="00C63F8F" w:rsidRPr="00E27443">
        <w:t xml:space="preserve"> </w:t>
      </w:r>
      <w:r w:rsidRPr="00E27443">
        <w:t>the</w:t>
      </w:r>
      <w:r w:rsidR="00C63F8F" w:rsidRPr="00E27443">
        <w:t xml:space="preserve"> </w:t>
      </w:r>
      <w:r w:rsidRPr="00E27443">
        <w:t>various</w:t>
      </w:r>
      <w:r w:rsidR="00C63F8F" w:rsidRPr="00E27443">
        <w:t xml:space="preserve"> </w:t>
      </w:r>
      <w:r w:rsidRPr="00E27443">
        <w:t>positions</w:t>
      </w:r>
      <w:r w:rsidR="00C63F8F" w:rsidRPr="00E27443">
        <w:t xml:space="preserve"> </w:t>
      </w:r>
      <w:r w:rsidRPr="00E27443">
        <w:t>as</w:t>
      </w:r>
      <w:r w:rsidR="00C63F8F" w:rsidRPr="00E27443">
        <w:t xml:space="preserve"> </w:t>
      </w:r>
      <w:r w:rsidRPr="00E27443">
        <w:t>a</w:t>
      </w:r>
      <w:r w:rsidR="00C63F8F" w:rsidRPr="00E27443">
        <w:t xml:space="preserve"> </w:t>
      </w:r>
      <w:r w:rsidRPr="00E27443">
        <w:t>whole,</w:t>
      </w:r>
      <w:r w:rsidR="00C63F8F" w:rsidRPr="00E27443">
        <w:t xml:space="preserve"> </w:t>
      </w:r>
      <w:r w:rsidRPr="00E27443">
        <w:t>and</w:t>
      </w:r>
      <w:r w:rsidR="00C63F8F" w:rsidRPr="00E27443">
        <w:t xml:space="preserve"> </w:t>
      </w:r>
      <w:r w:rsidRPr="00E27443">
        <w:t>when</w:t>
      </w:r>
      <w:r w:rsidR="00C63F8F" w:rsidRPr="00E27443">
        <w:t xml:space="preserve"> </w:t>
      </w:r>
      <w:r w:rsidRPr="00E27443">
        <w:t>we</w:t>
      </w:r>
      <w:r w:rsidR="00C63F8F" w:rsidRPr="00E27443">
        <w:t xml:space="preserve"> </w:t>
      </w:r>
      <w:r w:rsidRPr="00E27443">
        <w:t>look</w:t>
      </w:r>
      <w:r w:rsidR="00C63F8F" w:rsidRPr="00E27443">
        <w:t xml:space="preserve"> </w:t>
      </w:r>
      <w:r w:rsidRPr="00E27443">
        <w:t>at</w:t>
      </w:r>
      <w:r w:rsidR="00C63F8F" w:rsidRPr="00E27443">
        <w:t xml:space="preserve"> </w:t>
      </w:r>
      <w:r w:rsidRPr="00E27443">
        <w:t>the</w:t>
      </w:r>
      <w:r w:rsidR="00C63F8F" w:rsidRPr="00E27443">
        <w:t xml:space="preserve"> </w:t>
      </w:r>
      <w:r w:rsidRPr="00E27443">
        <w:t>dominant</w:t>
      </w:r>
      <w:r w:rsidR="00C63F8F" w:rsidRPr="00E27443">
        <w:t xml:space="preserve"> </w:t>
      </w:r>
      <w:r w:rsidRPr="00E27443">
        <w:t>form</w:t>
      </w:r>
      <w:r w:rsidR="00C63F8F" w:rsidRPr="00E27443">
        <w:t xml:space="preserve"> </w:t>
      </w:r>
      <w:r w:rsidRPr="00E27443">
        <w:t>of</w:t>
      </w:r>
      <w:r w:rsidR="00C63F8F" w:rsidRPr="00E27443">
        <w:t xml:space="preserve"> </w:t>
      </w:r>
      <w:r w:rsidRPr="00E27443">
        <w:t>employment,</w:t>
      </w:r>
      <w:r w:rsidR="00C63F8F" w:rsidRPr="00E27443">
        <w:t xml:space="preserve"> </w:t>
      </w:r>
      <w:r w:rsidRPr="00E27443">
        <w:t>i.e.</w:t>
      </w:r>
      <w:r w:rsidR="00C63F8F" w:rsidRPr="00E27443">
        <w:t xml:space="preserve"> </w:t>
      </w:r>
      <w:r w:rsidRPr="00E27443">
        <w:t>employment</w:t>
      </w:r>
      <w:r w:rsidR="00C63F8F" w:rsidRPr="00E27443">
        <w:t xml:space="preserve"> </w:t>
      </w:r>
      <w:r w:rsidRPr="00E27443">
        <w:t>with</w:t>
      </w:r>
      <w:r w:rsidR="00C63F8F" w:rsidRPr="00E27443">
        <w:t xml:space="preserve"> </w:t>
      </w:r>
      <w:r w:rsidRPr="00E27443">
        <w:t>wage</w:t>
      </w:r>
      <w:r w:rsidR="00C63F8F" w:rsidRPr="00E27443">
        <w:t xml:space="preserve"> </w:t>
      </w:r>
      <w:r w:rsidRPr="00E27443">
        <w:t>subsidies.</w:t>
      </w:r>
      <w:r w:rsidR="00C63F8F" w:rsidRPr="00E27443">
        <w:t xml:space="preserve"> </w:t>
      </w:r>
      <w:r w:rsidRPr="00E27443">
        <w:t>Most</w:t>
      </w:r>
      <w:r w:rsidR="00C63F8F" w:rsidRPr="00E27443">
        <w:t xml:space="preserve"> </w:t>
      </w:r>
      <w:r w:rsidRPr="00E27443">
        <w:t>uneven</w:t>
      </w:r>
      <w:r w:rsidR="00C63F8F" w:rsidRPr="00E27443">
        <w:t xml:space="preserve"> </w:t>
      </w:r>
      <w:r w:rsidRPr="00E27443">
        <w:t>is</w:t>
      </w:r>
      <w:r w:rsidR="00C63F8F" w:rsidRPr="00E27443">
        <w:t xml:space="preserve"> </w:t>
      </w:r>
      <w:r w:rsidRPr="00E27443">
        <w:t>the</w:t>
      </w:r>
      <w:r w:rsidR="00C63F8F" w:rsidRPr="00E27443">
        <w:t xml:space="preserve"> </w:t>
      </w:r>
      <w:r w:rsidRPr="00E27443">
        <w:t>distribution</w:t>
      </w:r>
      <w:r w:rsidR="00C63F8F" w:rsidRPr="00E27443">
        <w:t xml:space="preserve"> </w:t>
      </w: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E27443">
        <w:t>employment</w:t>
      </w:r>
      <w:r w:rsidR="00C63F8F" w:rsidRPr="00E27443">
        <w:t xml:space="preserve"> </w:t>
      </w:r>
      <w:r w:rsidRPr="00E27443">
        <w:t>with</w:t>
      </w:r>
      <w:r w:rsidR="00C63F8F" w:rsidRPr="00E27443">
        <w:t xml:space="preserve"> </w:t>
      </w:r>
      <w:r w:rsidRPr="00E27443">
        <w:t>publicly</w:t>
      </w:r>
      <w:r w:rsidR="00C63F8F" w:rsidRPr="00E27443">
        <w:t xml:space="preserve"> </w:t>
      </w:r>
      <w:r w:rsidRPr="00E27443">
        <w:t>protected</w:t>
      </w:r>
      <w:r w:rsidR="00C63F8F" w:rsidRPr="00E27443">
        <w:t xml:space="preserve"> </w:t>
      </w:r>
      <w:r w:rsidRPr="00E27443">
        <w:t>work,</w:t>
      </w:r>
      <w:r w:rsidR="00C63F8F" w:rsidRPr="00E27443">
        <w:t xml:space="preserve"> </w:t>
      </w:r>
      <w:r w:rsidRPr="00E27443">
        <w:t>where</w:t>
      </w:r>
      <w:r w:rsidR="00C63F8F" w:rsidRPr="00E27443">
        <w:t xml:space="preserve"> </w:t>
      </w:r>
      <w:r w:rsidRPr="00E27443">
        <w:t>less</w:t>
      </w:r>
      <w:r w:rsidR="00C63F8F" w:rsidRPr="00E27443">
        <w:t xml:space="preserve"> </w:t>
      </w:r>
      <w:r w:rsidRPr="00E27443">
        <w:t>than</w:t>
      </w:r>
      <w:r w:rsidR="00C63F8F" w:rsidRPr="00E27443">
        <w:t xml:space="preserve"> </w:t>
      </w:r>
      <w:r w:rsidRPr="00E27443">
        <w:t>30</w:t>
      </w:r>
      <w:r w:rsidR="00C63F8F" w:rsidRPr="00E27443">
        <w:t xml:space="preserve"> </w:t>
      </w:r>
      <w:r w:rsidRPr="00E27443">
        <w:t>per</w:t>
      </w:r>
      <w:r w:rsidR="00C63F8F" w:rsidRPr="00E27443">
        <w:t xml:space="preserve"> </w:t>
      </w:r>
      <w:r w:rsidRPr="00E27443">
        <w:t>cent</w:t>
      </w:r>
      <w:r w:rsidR="00C63F8F" w:rsidRPr="00E27443">
        <w:t xml:space="preserve"> </w:t>
      </w:r>
      <w:r w:rsidRPr="00E27443">
        <w:t>are</w:t>
      </w:r>
      <w:r w:rsidR="00C63F8F" w:rsidRPr="00E27443">
        <w:t xml:space="preserve"> </w:t>
      </w:r>
      <w:r w:rsidRPr="00E27443">
        <w:t>women.</w:t>
      </w:r>
      <w:r w:rsidR="00C63F8F" w:rsidRPr="00E27443">
        <w:t xml:space="preserve"> </w:t>
      </w: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has</w:t>
      </w:r>
      <w:r w:rsidR="00C63F8F" w:rsidRPr="00E27443">
        <w:t xml:space="preserve"> </w:t>
      </w:r>
      <w:r w:rsidRPr="00E27443">
        <w:t>intensified</w:t>
      </w:r>
      <w:r w:rsidR="00C63F8F" w:rsidRPr="00E27443">
        <w:t xml:space="preserve"> </w:t>
      </w:r>
      <w:r w:rsidRPr="00E27443">
        <w:t>its</w:t>
      </w:r>
      <w:r w:rsidR="00C63F8F" w:rsidRPr="00E27443">
        <w:t xml:space="preserve"> </w:t>
      </w:r>
      <w:r w:rsidRPr="00E27443">
        <w:t>efforts</w:t>
      </w:r>
      <w:r w:rsidR="00C63F8F" w:rsidRPr="00E27443">
        <w:t xml:space="preserve"> </w:t>
      </w:r>
      <w:r w:rsidRPr="00E27443">
        <w:t>to</w:t>
      </w:r>
      <w:r w:rsidR="00C63F8F" w:rsidRPr="00E27443">
        <w:t xml:space="preserve"> </w:t>
      </w:r>
      <w:r w:rsidRPr="00E27443">
        <w:t>achieve</w:t>
      </w:r>
      <w:r w:rsidR="00C63F8F" w:rsidRPr="00E27443">
        <w:t xml:space="preserve"> </w:t>
      </w:r>
      <w:r w:rsidRPr="00E27443">
        <w:t>a</w:t>
      </w:r>
      <w:r w:rsidR="00C63F8F" w:rsidRPr="00E27443">
        <w:t xml:space="preserve"> </w:t>
      </w:r>
      <w:r w:rsidRPr="00E27443">
        <w:t>more</w:t>
      </w:r>
      <w:r w:rsidR="00C63F8F" w:rsidRPr="00E27443">
        <w:t xml:space="preserve"> </w:t>
      </w:r>
      <w:r w:rsidRPr="00E27443">
        <w:t>even</w:t>
      </w:r>
      <w:r w:rsidR="00C63F8F" w:rsidRPr="00E27443">
        <w:t xml:space="preserve"> </w:t>
      </w:r>
      <w:r w:rsidRPr="00E27443">
        <w:t>gender</w:t>
      </w:r>
      <w:r w:rsidR="00C63F8F" w:rsidRPr="00E27443">
        <w:t xml:space="preserve"> </w:t>
      </w:r>
      <w:r w:rsidRPr="00E27443">
        <w:t>distribution,</w:t>
      </w:r>
      <w:r w:rsidR="00C63F8F" w:rsidRPr="00E27443">
        <w:t xml:space="preserve"> </w:t>
      </w:r>
      <w:r w:rsidRPr="00E27443">
        <w:t>although</w:t>
      </w:r>
      <w:r w:rsidR="00C63F8F" w:rsidRPr="00E27443">
        <w:t xml:space="preserve"> </w:t>
      </w:r>
      <w:r w:rsidRPr="00E27443">
        <w:t>no</w:t>
      </w:r>
      <w:r w:rsidR="00C63F8F" w:rsidRPr="00E27443">
        <w:t xml:space="preserve"> </w:t>
      </w:r>
      <w:r w:rsidRPr="00E27443">
        <w:t>clear</w:t>
      </w:r>
      <w:r w:rsidR="00C63F8F" w:rsidRPr="00E27443">
        <w:t xml:space="preserve"> </w:t>
      </w:r>
      <w:r w:rsidRPr="00E27443">
        <w:t>results</w:t>
      </w:r>
      <w:r w:rsidR="00C63F8F" w:rsidRPr="00E27443">
        <w:t xml:space="preserve"> </w:t>
      </w:r>
      <w:r w:rsidRPr="00E27443">
        <w:t>have</w:t>
      </w:r>
      <w:r w:rsidR="00C63F8F" w:rsidRPr="00E27443">
        <w:t xml:space="preserve"> </w:t>
      </w:r>
      <w:r w:rsidRPr="00E27443">
        <w:t>been</w:t>
      </w:r>
      <w:r w:rsidR="00C63F8F" w:rsidRPr="00E27443">
        <w:t xml:space="preserve"> </w:t>
      </w:r>
      <w:r w:rsidRPr="00E27443">
        <w:t>achieved</w:t>
      </w:r>
      <w:r w:rsidR="00C63F8F" w:rsidRPr="00E27443">
        <w:t xml:space="preserve"> </w:t>
      </w:r>
      <w:r w:rsidRPr="00E27443">
        <w:t>as</w:t>
      </w:r>
      <w:r w:rsidR="00C63F8F" w:rsidRPr="00E27443">
        <w:t xml:space="preserve"> </w:t>
      </w:r>
      <w:r w:rsidRPr="00E27443">
        <w:t>yet.</w:t>
      </w:r>
      <w:r w:rsidR="00C63F8F" w:rsidRPr="00E27443">
        <w:t xml:space="preserve"> </w:t>
      </w:r>
      <w:r w:rsidRPr="00E27443">
        <w:t>There</w:t>
      </w:r>
      <w:r w:rsidR="00C63F8F" w:rsidRPr="00E27443">
        <w:t xml:space="preserve"> </w:t>
      </w:r>
      <w:r w:rsidRPr="00E27443">
        <w:t>is</w:t>
      </w:r>
      <w:r w:rsidR="00C63F8F" w:rsidRPr="00E27443">
        <w:t xml:space="preserve"> </w:t>
      </w:r>
      <w:r w:rsidRPr="00E27443">
        <w:t>an</w:t>
      </w:r>
      <w:r w:rsidR="00C63F8F" w:rsidRPr="00E27443">
        <w:t xml:space="preserve"> </w:t>
      </w:r>
      <w:r w:rsidRPr="00E27443">
        <w:t>inertia</w:t>
      </w:r>
      <w:r w:rsidR="00C63F8F" w:rsidRPr="00E27443">
        <w:t xml:space="preserve"> </w:t>
      </w:r>
      <w:r w:rsidRPr="00E27443">
        <w:t>factor</w:t>
      </w:r>
      <w:r w:rsidR="00C63F8F" w:rsidRPr="00E27443">
        <w:t xml:space="preserve"> </w:t>
      </w:r>
      <w:r w:rsidRPr="00E27443">
        <w:t>in</w:t>
      </w:r>
      <w:r w:rsidR="00C63F8F" w:rsidRPr="00E27443">
        <w:t xml:space="preserve"> </w:t>
      </w:r>
      <w:r w:rsidRPr="00E27443">
        <w:t>the</w:t>
      </w:r>
      <w:r w:rsidR="00C63F8F" w:rsidRPr="00E27443">
        <w:t xml:space="preserve"> </w:t>
      </w:r>
      <w:r w:rsidRPr="00E27443">
        <w:t>long</w:t>
      </w:r>
      <w:r w:rsidR="00C63F8F" w:rsidRPr="00E27443">
        <w:t xml:space="preserve"> </w:t>
      </w:r>
      <w:r w:rsidRPr="00E27443">
        <w:t>tie-ins</w:t>
      </w:r>
      <w:r w:rsidR="00C63F8F" w:rsidRPr="00E27443">
        <w:t xml:space="preserve"> </w:t>
      </w:r>
      <w:r w:rsidRPr="00E27443">
        <w:t>that</w:t>
      </w:r>
      <w:r w:rsidR="00C63F8F" w:rsidRPr="00E27443">
        <w:t xml:space="preserve"> </w:t>
      </w:r>
      <w:r w:rsidRPr="00E27443">
        <w:t>often</w:t>
      </w:r>
      <w:r w:rsidR="00C63F8F" w:rsidRPr="00E27443">
        <w:t xml:space="preserve"> </w:t>
      </w:r>
      <w:r w:rsidRPr="00E27443">
        <w:t>characterise</w:t>
      </w:r>
      <w:r w:rsidR="00C63F8F" w:rsidRPr="00E27443">
        <w:t xml:space="preserve"> </w:t>
      </w:r>
      <w:r w:rsidRPr="00E27443">
        <w:t>these</w:t>
      </w:r>
      <w:r w:rsidR="00C63F8F" w:rsidRPr="00E27443">
        <w:t xml:space="preserve"> </w:t>
      </w:r>
      <w:r w:rsidRPr="00E27443">
        <w:t>positions.</w:t>
      </w:r>
      <w:r w:rsidR="00C63F8F" w:rsidRPr="00E27443">
        <w:t xml:space="preserve"> </w:t>
      </w:r>
    </w:p>
    <w:p w:rsidR="002241B1" w:rsidRPr="00E27443" w:rsidRDefault="00D10EB3" w:rsidP="002241B1">
      <w:pPr>
        <w:pStyle w:val="Heading1"/>
      </w:pPr>
      <w:r>
        <w:br w:type="page"/>
      </w:r>
      <w:bookmarkStart w:id="28" w:name="_Toc290623233"/>
      <w:bookmarkStart w:id="29" w:name="_Toc290623312"/>
      <w:r w:rsidR="00321ADA" w:rsidRPr="00E27443">
        <w:t>Figure</w:t>
      </w:r>
      <w:r w:rsidR="00C63F8F" w:rsidRPr="00E27443">
        <w:t xml:space="preserve"> </w:t>
      </w:r>
      <w:r w:rsidR="002241B1" w:rsidRPr="00E27443">
        <w:t>1</w:t>
      </w:r>
      <w:bookmarkEnd w:id="28"/>
      <w:bookmarkEnd w:id="29"/>
    </w:p>
    <w:p w:rsidR="00321ADA" w:rsidRPr="00E27443" w:rsidRDefault="00321ADA" w:rsidP="00321ADA">
      <w:pPr>
        <w:pStyle w:val="SingleTxtG"/>
        <w:rPr>
          <w:b/>
        </w:rPr>
      </w:pPr>
      <w:r w:rsidRPr="00E27443">
        <w:rPr>
          <w:b/>
        </w:rPr>
        <w:t>Employed.</w:t>
      </w:r>
      <w:r w:rsidR="00C63F8F" w:rsidRPr="00E27443">
        <w:rPr>
          <w:b/>
        </w:rPr>
        <w:t xml:space="preserve"> </w:t>
      </w:r>
      <w:r w:rsidRPr="00E27443">
        <w:rPr>
          <w:b/>
        </w:rPr>
        <w:t>Persons</w:t>
      </w:r>
      <w:r w:rsidR="00C63F8F" w:rsidRPr="00E27443">
        <w:rPr>
          <w:b/>
        </w:rPr>
        <w:t xml:space="preserve"> </w:t>
      </w:r>
      <w:r w:rsidRPr="00E27443">
        <w:rPr>
          <w:b/>
        </w:rPr>
        <w:t>with</w:t>
      </w:r>
      <w:r w:rsidR="00C63F8F" w:rsidRPr="00E27443">
        <w:rPr>
          <w:b/>
        </w:rPr>
        <w:t xml:space="preserve"> </w:t>
      </w:r>
      <w:r w:rsidRPr="00E27443">
        <w:rPr>
          <w:b/>
        </w:rPr>
        <w:t>disabilities</w:t>
      </w:r>
      <w:r w:rsidR="00C63F8F" w:rsidRPr="00E27443">
        <w:rPr>
          <w:b/>
        </w:rPr>
        <w:t xml:space="preserve"> </w:t>
      </w:r>
      <w:r w:rsidRPr="00E27443">
        <w:rPr>
          <w:b/>
        </w:rPr>
        <w:t>in</w:t>
      </w:r>
      <w:r w:rsidR="00C63F8F" w:rsidRPr="00E27443">
        <w:rPr>
          <w:b/>
        </w:rPr>
        <w:t xml:space="preserve"> </w:t>
      </w:r>
      <w:r w:rsidRPr="00E27443">
        <w:rPr>
          <w:b/>
        </w:rPr>
        <w:t>total.</w:t>
      </w:r>
      <w:r w:rsidR="00C63F8F" w:rsidRPr="00E27443">
        <w:rPr>
          <w:b/>
        </w:rPr>
        <w:t xml:space="preserve"> </w:t>
      </w:r>
      <w:r w:rsidRPr="00E27443">
        <w:rPr>
          <w:b/>
        </w:rPr>
        <w:t>With</w:t>
      </w:r>
      <w:r w:rsidR="00C63F8F" w:rsidRPr="00E27443">
        <w:rPr>
          <w:b/>
        </w:rPr>
        <w:t xml:space="preserve"> </w:t>
      </w:r>
      <w:r w:rsidRPr="00E27443">
        <w:rPr>
          <w:b/>
        </w:rPr>
        <w:t>and</w:t>
      </w:r>
      <w:r w:rsidR="00C63F8F" w:rsidRPr="00E27443">
        <w:rPr>
          <w:b/>
        </w:rPr>
        <w:t xml:space="preserve"> </w:t>
      </w:r>
      <w:r w:rsidRPr="00E27443">
        <w:rPr>
          <w:b/>
        </w:rPr>
        <w:t>without</w:t>
      </w:r>
      <w:r w:rsidR="00C63F8F" w:rsidRPr="00E27443">
        <w:rPr>
          <w:b/>
        </w:rPr>
        <w:t xml:space="preserve"> </w:t>
      </w:r>
      <w:r w:rsidRPr="00E27443">
        <w:rPr>
          <w:b/>
        </w:rPr>
        <w:t>reduced</w:t>
      </w:r>
      <w:r w:rsidR="00C63F8F" w:rsidRPr="00E27443">
        <w:rPr>
          <w:b/>
        </w:rPr>
        <w:t xml:space="preserve"> </w:t>
      </w:r>
      <w:r w:rsidRPr="00E27443">
        <w:rPr>
          <w:b/>
        </w:rPr>
        <w:t>capacity</w:t>
      </w:r>
      <w:r w:rsidR="00C63F8F" w:rsidRPr="00E27443">
        <w:rPr>
          <w:b/>
        </w:rPr>
        <w:t xml:space="preserve"> </w:t>
      </w:r>
      <w:r w:rsidRPr="00E27443">
        <w:rPr>
          <w:b/>
        </w:rPr>
        <w:t>to</w:t>
      </w:r>
      <w:r w:rsidR="00C63F8F" w:rsidRPr="00E27443">
        <w:rPr>
          <w:b/>
        </w:rPr>
        <w:t xml:space="preserve"> </w:t>
      </w:r>
      <w:r w:rsidRPr="00E27443">
        <w:rPr>
          <w:b/>
        </w:rPr>
        <w:t>work,</w:t>
      </w:r>
      <w:r w:rsidR="00C63F8F" w:rsidRPr="00E27443">
        <w:rPr>
          <w:b/>
        </w:rPr>
        <w:t xml:space="preserve"> </w:t>
      </w:r>
      <w:r w:rsidRPr="00E27443">
        <w:rPr>
          <w:b/>
        </w:rPr>
        <w:t>non</w:t>
      </w:r>
      <w:r w:rsidR="00C63F8F" w:rsidRPr="00E27443">
        <w:rPr>
          <w:b/>
        </w:rPr>
        <w:t xml:space="preserve"> </w:t>
      </w:r>
      <w:r w:rsidR="000A0284" w:rsidRPr="00E27443">
        <w:rPr>
          <w:b/>
        </w:rPr>
        <w:t>dis</w:t>
      </w:r>
      <w:r w:rsidRPr="00E27443">
        <w:rPr>
          <w:b/>
        </w:rPr>
        <w:t>abled</w:t>
      </w:r>
      <w:r w:rsidR="00C63F8F" w:rsidRPr="00E27443">
        <w:rPr>
          <w:b/>
        </w:rPr>
        <w:t xml:space="preserve"> </w:t>
      </w:r>
      <w:r w:rsidRPr="00E27443">
        <w:rPr>
          <w:b/>
        </w:rPr>
        <w:t>and</w:t>
      </w:r>
      <w:r w:rsidR="00C63F8F" w:rsidRPr="00E27443">
        <w:rPr>
          <w:b/>
        </w:rPr>
        <w:t xml:space="preserve"> </w:t>
      </w:r>
      <w:r w:rsidRPr="00E27443">
        <w:rPr>
          <w:b/>
        </w:rPr>
        <w:t>the</w:t>
      </w:r>
      <w:r w:rsidR="00C63F8F" w:rsidRPr="00E27443">
        <w:rPr>
          <w:b/>
        </w:rPr>
        <w:t xml:space="preserve"> </w:t>
      </w:r>
      <w:r w:rsidRPr="00E27443">
        <w:rPr>
          <w:b/>
        </w:rPr>
        <w:t>Swedish</w:t>
      </w:r>
      <w:r w:rsidR="00C63F8F" w:rsidRPr="00E27443">
        <w:rPr>
          <w:b/>
        </w:rPr>
        <w:t xml:space="preserve"> </w:t>
      </w:r>
      <w:r w:rsidRPr="00E27443">
        <w:rPr>
          <w:b/>
        </w:rPr>
        <w:t>population</w:t>
      </w:r>
      <w:r w:rsidR="00C63F8F" w:rsidRPr="00E27443">
        <w:rPr>
          <w:b/>
        </w:rPr>
        <w:t xml:space="preserve"> </w:t>
      </w:r>
      <w:r w:rsidRPr="00E27443">
        <w:rPr>
          <w:b/>
        </w:rPr>
        <w:t>in</w:t>
      </w:r>
      <w:r w:rsidR="00C63F8F" w:rsidRPr="00E27443">
        <w:rPr>
          <w:b/>
        </w:rPr>
        <w:t xml:space="preserve"> </w:t>
      </w:r>
      <w:r w:rsidRPr="00E27443">
        <w:rPr>
          <w:b/>
        </w:rPr>
        <w:t>total,</w:t>
      </w:r>
      <w:r w:rsidR="00C63F8F" w:rsidRPr="00E27443">
        <w:rPr>
          <w:b/>
        </w:rPr>
        <w:t xml:space="preserve"> </w:t>
      </w:r>
      <w:r w:rsidRPr="00E27443">
        <w:rPr>
          <w:b/>
        </w:rPr>
        <w:t>men</w:t>
      </w:r>
      <w:r w:rsidR="00C63F8F" w:rsidRPr="00E27443">
        <w:rPr>
          <w:b/>
        </w:rPr>
        <w:t xml:space="preserve"> </w:t>
      </w:r>
      <w:r w:rsidRPr="00E27443">
        <w:rPr>
          <w:b/>
        </w:rPr>
        <w:t>and</w:t>
      </w:r>
      <w:r w:rsidR="00C63F8F" w:rsidRPr="00E27443">
        <w:rPr>
          <w:b/>
        </w:rPr>
        <w:t xml:space="preserve"> </w:t>
      </w:r>
      <w:r w:rsidRPr="00E27443">
        <w:rPr>
          <w:b/>
        </w:rPr>
        <w:t>women.</w:t>
      </w:r>
      <w:r w:rsidR="00C63F8F" w:rsidRPr="00E27443">
        <w:rPr>
          <w:b/>
        </w:rPr>
        <w:t xml:space="preserve"> </w:t>
      </w:r>
      <w:r w:rsidRPr="00E27443">
        <w:rPr>
          <w:b/>
        </w:rPr>
        <w:t>Percent.</w:t>
      </w:r>
      <w:r w:rsidR="00C63F8F" w:rsidRPr="00E27443">
        <w:rPr>
          <w:b/>
        </w:rPr>
        <w:t xml:space="preserve"> </w:t>
      </w:r>
      <w:r w:rsidR="002241B1" w:rsidRPr="00E27443">
        <w:rPr>
          <w:b/>
        </w:rPr>
        <w:t>2008</w:t>
      </w:r>
    </w:p>
    <w:p w:rsidR="00321ADA" w:rsidRPr="00E27443" w:rsidRDefault="00AF58C6" w:rsidP="00321ADA">
      <w:pPr>
        <w:pStyle w:val="SingleTxtG"/>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85pt;margin-top:201.5pt;width:180pt;height:19.65pt;z-index:1" stroked="f">
            <v:textbox style="mso-next-textbox:#_x0000_s1026" inset="0,0,0,0">
              <w:txbxContent>
                <w:p w:rsidR="000E3949" w:rsidRPr="00AF58C6" w:rsidRDefault="000E3949" w:rsidP="00AF58C6">
                  <w:pPr>
                    <w:rPr>
                      <w:rFonts w:ascii="Arial" w:hAnsi="Arial" w:cs="Arial"/>
                    </w:rPr>
                  </w:pPr>
                  <w:r>
                    <w:rPr>
                      <w:rFonts w:ascii="Arial" w:hAnsi="Arial" w:cs="Arial"/>
                    </w:rPr>
                    <w:t xml:space="preserve"> </w:t>
                  </w:r>
                  <w:r w:rsidRPr="00AF58C6">
                    <w:rPr>
                      <w:rFonts w:ascii="Arial" w:hAnsi="Arial" w:cs="Arial"/>
                    </w:rPr>
                    <w:t xml:space="preserve">0.0  </w:t>
                  </w:r>
                  <w:r>
                    <w:rPr>
                      <w:rFonts w:ascii="Arial" w:hAnsi="Arial" w:cs="Arial"/>
                    </w:rPr>
                    <w:t xml:space="preserve">   </w:t>
                  </w:r>
                  <w:r w:rsidRPr="00AF58C6">
                    <w:rPr>
                      <w:rFonts w:ascii="Arial" w:hAnsi="Arial" w:cs="Arial"/>
                    </w:rPr>
                    <w:t xml:space="preserve">20.0  </w:t>
                  </w:r>
                  <w:r>
                    <w:rPr>
                      <w:rFonts w:ascii="Arial" w:hAnsi="Arial" w:cs="Arial"/>
                    </w:rPr>
                    <w:t xml:space="preserve">  </w:t>
                  </w:r>
                  <w:r w:rsidRPr="00AF58C6">
                    <w:rPr>
                      <w:rFonts w:ascii="Arial" w:hAnsi="Arial" w:cs="Arial"/>
                    </w:rPr>
                    <w:t xml:space="preserve">40.0  </w:t>
                  </w:r>
                  <w:r>
                    <w:rPr>
                      <w:rFonts w:ascii="Arial" w:hAnsi="Arial" w:cs="Arial"/>
                    </w:rPr>
                    <w:t xml:space="preserve"> </w:t>
                  </w:r>
                  <w:r w:rsidRPr="00AF58C6">
                    <w:rPr>
                      <w:rFonts w:ascii="Arial" w:hAnsi="Arial" w:cs="Arial"/>
                    </w:rPr>
                    <w:t xml:space="preserve">60.0  </w:t>
                  </w:r>
                  <w:r>
                    <w:rPr>
                      <w:rFonts w:ascii="Arial" w:hAnsi="Arial" w:cs="Arial"/>
                    </w:rPr>
                    <w:t xml:space="preserve">  </w:t>
                  </w:r>
                  <w:r w:rsidRPr="00AF58C6">
                    <w:rPr>
                      <w:rFonts w:ascii="Arial" w:hAnsi="Arial" w:cs="Arial"/>
                    </w:rPr>
                    <w:t xml:space="preserve">80.0  </w:t>
                  </w:r>
                  <w:r>
                    <w:rPr>
                      <w:rFonts w:ascii="Arial" w:hAnsi="Arial" w:cs="Arial"/>
                    </w:rPr>
                    <w:t xml:space="preserve"> </w:t>
                  </w:r>
                  <w:r w:rsidRPr="00AF58C6">
                    <w:rPr>
                      <w:rFonts w:ascii="Arial" w:hAnsi="Arial" w:cs="Arial"/>
                    </w:rPr>
                    <w:t>100.0</w:t>
                  </w:r>
                </w:p>
              </w:txbxContent>
            </v:textbox>
          </v:shape>
        </w:pict>
      </w:r>
      <w:r w:rsidR="002241B1" w:rsidRPr="00E27443">
        <w:pict>
          <v:shape id="_x0000_i1026" type="#_x0000_t75" style="width:368.25pt;height:225.75pt" o:allowoverlap="f">
            <v:imagedata r:id="rId8" o:title=""/>
          </v:shape>
        </w:pict>
      </w:r>
    </w:p>
    <w:p w:rsidR="00321ADA" w:rsidRPr="00E27443" w:rsidRDefault="00321ADA" w:rsidP="002241B1">
      <w:pPr>
        <w:pStyle w:val="SingleTxtG"/>
        <w:spacing w:before="120" w:after="240"/>
        <w:ind w:firstLine="170"/>
        <w:rPr>
          <w:sz w:val="18"/>
          <w:szCs w:val="18"/>
        </w:rPr>
      </w:pPr>
      <w:r w:rsidRPr="00E27443">
        <w:rPr>
          <w:i/>
          <w:sz w:val="18"/>
          <w:szCs w:val="18"/>
        </w:rPr>
        <w:t>Source</w:t>
      </w:r>
      <w:r w:rsidRPr="00E27443">
        <w:rPr>
          <w:sz w:val="18"/>
          <w:szCs w:val="18"/>
        </w:rPr>
        <w:t>:</w:t>
      </w:r>
      <w:r w:rsidR="00C63F8F" w:rsidRPr="00E27443">
        <w:rPr>
          <w:sz w:val="18"/>
          <w:szCs w:val="18"/>
        </w:rPr>
        <w:t xml:space="preserve"> </w:t>
      </w:r>
      <w:r w:rsidR="002241B1" w:rsidRPr="00E27443">
        <w:rPr>
          <w:sz w:val="18"/>
          <w:szCs w:val="18"/>
        </w:rPr>
        <w:t xml:space="preserve"> </w:t>
      </w:r>
      <w:r w:rsidRPr="00E27443">
        <w:rPr>
          <w:sz w:val="18"/>
          <w:szCs w:val="18"/>
        </w:rPr>
        <w:t>Statistics</w:t>
      </w:r>
      <w:r w:rsidR="00C63F8F" w:rsidRPr="00E27443">
        <w:rPr>
          <w:sz w:val="18"/>
          <w:szCs w:val="18"/>
        </w:rPr>
        <w:t xml:space="preserve"> </w:t>
      </w:r>
      <w:smartTag w:uri="urn:schemas-microsoft-com:office:smarttags" w:element="place">
        <w:smartTag w:uri="urn:schemas-microsoft-com:office:smarttags" w:element="country-region">
          <w:r w:rsidRPr="00E27443">
            <w:rPr>
              <w:sz w:val="18"/>
              <w:szCs w:val="18"/>
            </w:rPr>
            <w:t>Sweden</w:t>
          </w:r>
        </w:smartTag>
      </w:smartTag>
      <w:r w:rsidR="00C63F8F" w:rsidRPr="00E27443">
        <w:rPr>
          <w:sz w:val="18"/>
          <w:szCs w:val="18"/>
        </w:rPr>
        <w:t>’</w:t>
      </w:r>
      <w:r w:rsidRPr="00E27443">
        <w:rPr>
          <w:sz w:val="18"/>
          <w:szCs w:val="18"/>
        </w:rPr>
        <w:t>s</w:t>
      </w:r>
      <w:r w:rsidR="00C63F8F" w:rsidRPr="00E27443">
        <w:rPr>
          <w:sz w:val="18"/>
          <w:szCs w:val="18"/>
        </w:rPr>
        <w:t xml:space="preserve"> </w:t>
      </w:r>
      <w:r w:rsidRPr="00E27443">
        <w:rPr>
          <w:sz w:val="18"/>
          <w:szCs w:val="18"/>
        </w:rPr>
        <w:t>report,</w:t>
      </w:r>
      <w:r w:rsidR="00C63F8F" w:rsidRPr="00E27443">
        <w:rPr>
          <w:sz w:val="18"/>
          <w:szCs w:val="18"/>
        </w:rPr>
        <w:t xml:space="preserve"> </w:t>
      </w:r>
      <w:r w:rsidRPr="00E27443">
        <w:rPr>
          <w:sz w:val="18"/>
          <w:szCs w:val="18"/>
        </w:rPr>
        <w:t>Funktionsnedsattas</w:t>
      </w:r>
      <w:r w:rsidR="00C63F8F" w:rsidRPr="00E27443">
        <w:rPr>
          <w:sz w:val="18"/>
          <w:szCs w:val="18"/>
        </w:rPr>
        <w:t xml:space="preserve"> </w:t>
      </w:r>
      <w:r w:rsidRPr="00E27443">
        <w:rPr>
          <w:sz w:val="18"/>
          <w:szCs w:val="18"/>
        </w:rPr>
        <w:t>situation</w:t>
      </w:r>
      <w:r w:rsidR="00C63F8F" w:rsidRPr="00E27443">
        <w:rPr>
          <w:sz w:val="18"/>
          <w:szCs w:val="18"/>
        </w:rPr>
        <w:t xml:space="preserve"> </w:t>
      </w:r>
      <w:r w:rsidRPr="00E27443">
        <w:rPr>
          <w:sz w:val="18"/>
          <w:szCs w:val="18"/>
        </w:rPr>
        <w:t>på</w:t>
      </w:r>
      <w:r w:rsidR="00C63F8F" w:rsidRPr="00E27443">
        <w:rPr>
          <w:sz w:val="18"/>
          <w:szCs w:val="18"/>
        </w:rPr>
        <w:t xml:space="preserve"> </w:t>
      </w:r>
      <w:r w:rsidRPr="00E27443">
        <w:rPr>
          <w:sz w:val="18"/>
          <w:szCs w:val="18"/>
        </w:rPr>
        <w:t>arbetsmarknaden</w:t>
      </w:r>
      <w:r w:rsidR="00C63F8F" w:rsidRPr="00E27443">
        <w:rPr>
          <w:sz w:val="18"/>
          <w:szCs w:val="18"/>
        </w:rPr>
        <w:t xml:space="preserve"> </w:t>
      </w:r>
      <w:r w:rsidRPr="00E27443">
        <w:rPr>
          <w:sz w:val="18"/>
          <w:szCs w:val="18"/>
        </w:rPr>
        <w:t>(The</w:t>
      </w:r>
      <w:r w:rsidR="00C63F8F" w:rsidRPr="00E27443">
        <w:rPr>
          <w:sz w:val="18"/>
          <w:szCs w:val="18"/>
        </w:rPr>
        <w:t xml:space="preserve"> </w:t>
      </w:r>
      <w:r w:rsidRPr="00E27443">
        <w:rPr>
          <w:sz w:val="18"/>
          <w:szCs w:val="18"/>
        </w:rPr>
        <w:t>situation</w:t>
      </w:r>
      <w:r w:rsidR="00C63F8F" w:rsidRPr="00E27443">
        <w:rPr>
          <w:sz w:val="18"/>
          <w:szCs w:val="18"/>
        </w:rPr>
        <w:t xml:space="preserve"> </w:t>
      </w:r>
      <w:r w:rsidRPr="00E27443">
        <w:rPr>
          <w:sz w:val="18"/>
          <w:szCs w:val="18"/>
        </w:rPr>
        <w:t>of</w:t>
      </w:r>
      <w:r w:rsidR="00C63F8F" w:rsidRPr="00E27443">
        <w:rPr>
          <w:sz w:val="18"/>
          <w:szCs w:val="18"/>
        </w:rPr>
        <w:t xml:space="preserve"> </w:t>
      </w:r>
      <w:r w:rsidRPr="00E27443">
        <w:rPr>
          <w:sz w:val="18"/>
          <w:szCs w:val="18"/>
        </w:rPr>
        <w:t>persons</w:t>
      </w:r>
      <w:r w:rsidR="00C63F8F" w:rsidRPr="00E27443">
        <w:rPr>
          <w:sz w:val="18"/>
          <w:szCs w:val="18"/>
        </w:rPr>
        <w:t xml:space="preserve"> </w:t>
      </w:r>
      <w:r w:rsidRPr="00E27443">
        <w:rPr>
          <w:sz w:val="18"/>
          <w:szCs w:val="18"/>
        </w:rPr>
        <w:t>with</w:t>
      </w:r>
      <w:r w:rsidR="00C63F8F" w:rsidRPr="00E27443">
        <w:rPr>
          <w:sz w:val="18"/>
          <w:szCs w:val="18"/>
        </w:rPr>
        <w:t xml:space="preserve"> </w:t>
      </w:r>
      <w:r w:rsidRPr="00E27443">
        <w:rPr>
          <w:sz w:val="18"/>
          <w:szCs w:val="18"/>
        </w:rPr>
        <w:t>disabilities</w:t>
      </w:r>
      <w:r w:rsidR="00C63F8F" w:rsidRPr="00E27443">
        <w:rPr>
          <w:sz w:val="18"/>
          <w:szCs w:val="18"/>
        </w:rPr>
        <w:t xml:space="preserve"> </w:t>
      </w:r>
      <w:r w:rsidRPr="00E27443">
        <w:rPr>
          <w:sz w:val="18"/>
          <w:szCs w:val="18"/>
        </w:rPr>
        <w:t>on</w:t>
      </w:r>
      <w:r w:rsidR="00C63F8F" w:rsidRPr="00E27443">
        <w:rPr>
          <w:sz w:val="18"/>
          <w:szCs w:val="18"/>
        </w:rPr>
        <w:t xml:space="preserve"> </w:t>
      </w:r>
      <w:r w:rsidRPr="00E27443">
        <w:rPr>
          <w:sz w:val="18"/>
          <w:szCs w:val="18"/>
        </w:rPr>
        <w:t>the</w:t>
      </w:r>
      <w:r w:rsidR="00C63F8F" w:rsidRPr="00E27443">
        <w:rPr>
          <w:sz w:val="18"/>
          <w:szCs w:val="18"/>
        </w:rPr>
        <w:t xml:space="preserve"> </w:t>
      </w:r>
      <w:r w:rsidRPr="00E27443">
        <w:rPr>
          <w:sz w:val="18"/>
          <w:szCs w:val="18"/>
        </w:rPr>
        <w:t>labour</w:t>
      </w:r>
      <w:r w:rsidR="00C63F8F" w:rsidRPr="00E27443">
        <w:rPr>
          <w:sz w:val="18"/>
          <w:szCs w:val="18"/>
        </w:rPr>
        <w:t xml:space="preserve"> </w:t>
      </w:r>
      <w:r w:rsidRPr="00E27443">
        <w:rPr>
          <w:sz w:val="18"/>
          <w:szCs w:val="18"/>
        </w:rPr>
        <w:t>market)</w:t>
      </w:r>
      <w:r w:rsidR="00C63F8F" w:rsidRPr="00E27443">
        <w:rPr>
          <w:sz w:val="18"/>
          <w:szCs w:val="18"/>
        </w:rPr>
        <w:t xml:space="preserve"> – </w:t>
      </w:r>
      <w:r w:rsidRPr="00E27443">
        <w:rPr>
          <w:sz w:val="18"/>
          <w:szCs w:val="18"/>
        </w:rPr>
        <w:t>4th</w:t>
      </w:r>
      <w:r w:rsidR="00C63F8F" w:rsidRPr="00E27443">
        <w:rPr>
          <w:sz w:val="18"/>
          <w:szCs w:val="18"/>
        </w:rPr>
        <w:t xml:space="preserve"> </w:t>
      </w:r>
      <w:r w:rsidRPr="00E27443">
        <w:rPr>
          <w:sz w:val="18"/>
          <w:szCs w:val="18"/>
        </w:rPr>
        <w:t>quarter</w:t>
      </w:r>
      <w:r w:rsidR="00C63F8F" w:rsidRPr="00E27443">
        <w:rPr>
          <w:sz w:val="18"/>
          <w:szCs w:val="18"/>
        </w:rPr>
        <w:t xml:space="preserve"> </w:t>
      </w:r>
      <w:r w:rsidRPr="00E27443">
        <w:rPr>
          <w:sz w:val="18"/>
          <w:szCs w:val="18"/>
        </w:rPr>
        <w:t>2008/2009:3.</w:t>
      </w:r>
    </w:p>
    <w:p w:rsidR="00321ADA" w:rsidRPr="00E27443" w:rsidRDefault="00321ADA" w:rsidP="00D10EB3">
      <w:pPr>
        <w:pStyle w:val="SingleTxtG"/>
        <w:numPr>
          <w:ilvl w:val="0"/>
          <w:numId w:val="20"/>
        </w:numPr>
        <w:tabs>
          <w:tab w:val="left" w:pos="1843"/>
        </w:tabs>
        <w:ind w:left="1134" w:firstLine="0"/>
      </w:pPr>
      <w:r w:rsidRPr="00E27443">
        <w:t>Among</w:t>
      </w:r>
      <w:r w:rsidR="00C63F8F" w:rsidRPr="00E27443">
        <w:t xml:space="preserve"> </w:t>
      </w:r>
      <w:r w:rsidRPr="00E27443">
        <w:t>the</w:t>
      </w:r>
      <w:r w:rsidR="00C63F8F" w:rsidRPr="00E27443">
        <w:t xml:space="preserve"> </w:t>
      </w:r>
      <w:r w:rsidRPr="00E27443">
        <w:t>groups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individuals</w:t>
      </w:r>
      <w:r w:rsidR="00C63F8F" w:rsidRPr="00E27443">
        <w:t xml:space="preserve"> </w:t>
      </w:r>
      <w:r w:rsidRPr="00E27443">
        <w:t>with</w:t>
      </w:r>
      <w:r w:rsidR="00C63F8F" w:rsidRPr="00E27443">
        <w:t xml:space="preserve"> </w:t>
      </w:r>
      <w:r w:rsidRPr="00E27443">
        <w:t>mental</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employed</w:t>
      </w:r>
      <w:r w:rsidR="00C63F8F" w:rsidRPr="00E27443">
        <w:t xml:space="preserve"> </w:t>
      </w:r>
      <w:r w:rsidRPr="00E27443">
        <w:t>to</w:t>
      </w:r>
      <w:r w:rsidR="00C63F8F" w:rsidRPr="00E27443">
        <w:t xml:space="preserve"> </w:t>
      </w:r>
      <w:r w:rsidRPr="00E27443">
        <w:t>the</w:t>
      </w:r>
      <w:r w:rsidR="00C63F8F" w:rsidRPr="00E27443">
        <w:t xml:space="preserve"> </w:t>
      </w:r>
      <w:r w:rsidRPr="00E27443">
        <w:t>least</w:t>
      </w:r>
      <w:r w:rsidR="00C63F8F" w:rsidRPr="00E27443">
        <w:t xml:space="preserve"> </w:t>
      </w:r>
      <w:r w:rsidRPr="00E27443">
        <w:t>extent.</w:t>
      </w:r>
      <w:r w:rsidR="00C63F8F" w:rsidRPr="00E27443">
        <w:t xml:space="preserve"> </w:t>
      </w:r>
      <w:r w:rsidRPr="00E27443">
        <w:t>For</w:t>
      </w:r>
      <w:r w:rsidR="00C63F8F" w:rsidRPr="00E27443">
        <w:t xml:space="preserve"> </w:t>
      </w:r>
      <w:r w:rsidRPr="00E27443">
        <w:t>this</w:t>
      </w:r>
      <w:r w:rsidR="00C63F8F" w:rsidRPr="00E27443">
        <w:t xml:space="preserve"> </w:t>
      </w:r>
      <w:r w:rsidRPr="00E27443">
        <w:t>reason,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decided</w:t>
      </w:r>
      <w:r w:rsidR="00C63F8F" w:rsidRPr="00E27443">
        <w:t xml:space="preserve"> </w:t>
      </w:r>
      <w:r w:rsidRPr="00E27443">
        <w:t>on</w:t>
      </w:r>
      <w:r w:rsidR="00C63F8F" w:rsidRPr="00E27443">
        <w:t xml:space="preserve"> </w:t>
      </w:r>
      <w:r w:rsidRPr="00E27443">
        <w:t>targeted</w:t>
      </w:r>
      <w:r w:rsidR="00C63F8F" w:rsidRPr="00E27443">
        <w:t xml:space="preserve"> </w:t>
      </w:r>
      <w:r w:rsidRPr="00E27443">
        <w:t>initiatives</w:t>
      </w:r>
      <w:r w:rsidR="00C63F8F" w:rsidRPr="00E27443">
        <w:t xml:space="preserve"> </w:t>
      </w:r>
      <w:r w:rsidRPr="00E27443">
        <w:t>for</w:t>
      </w:r>
      <w:r w:rsidR="00C63F8F" w:rsidRPr="00E27443">
        <w:t xml:space="preserve"> </w:t>
      </w:r>
      <w:r w:rsidRPr="00E27443">
        <w:t>this</w:t>
      </w:r>
      <w:r w:rsidR="00C63F8F" w:rsidRPr="00E27443">
        <w:t xml:space="preserve"> </w:t>
      </w:r>
      <w:r w:rsidRPr="00E27443">
        <w:t>target</w:t>
      </w:r>
      <w:r w:rsidR="00C63F8F" w:rsidRPr="00E27443">
        <w:t xml:space="preserve"> </w:t>
      </w:r>
      <w:r w:rsidRPr="00E27443">
        <w:t>group</w:t>
      </w:r>
      <w:r w:rsidR="00C63F8F" w:rsidRPr="00E27443">
        <w:t xml:space="preserve"> </w:t>
      </w:r>
      <w:r w:rsidRPr="00E27443">
        <w:t>amounting</w:t>
      </w:r>
      <w:r w:rsidR="00C63F8F" w:rsidRPr="00E27443">
        <w:t xml:space="preserve"> </w:t>
      </w:r>
      <w:r w:rsidRPr="00E27443">
        <w:t>to</w:t>
      </w:r>
      <w:r w:rsidR="00C63F8F" w:rsidRPr="00E27443">
        <w:t xml:space="preserve"> </w:t>
      </w:r>
      <w:r w:rsidRPr="00E27443">
        <w:t>almost</w:t>
      </w:r>
      <w:r w:rsidR="00C63F8F" w:rsidRPr="00E27443">
        <w:t xml:space="preserve"> </w:t>
      </w:r>
      <w:r w:rsidRPr="00E27443">
        <w:t>SEK</w:t>
      </w:r>
      <w:r w:rsidR="00C63F8F" w:rsidRPr="00E27443">
        <w:t xml:space="preserve"> </w:t>
      </w:r>
      <w:r w:rsidRPr="00E27443">
        <w:t>500</w:t>
      </w:r>
      <w:r w:rsidR="00C63F8F" w:rsidRPr="00E27443">
        <w:t xml:space="preserve"> </w:t>
      </w:r>
      <w:r w:rsidRPr="00E27443">
        <w:t>million</w:t>
      </w:r>
      <w:r w:rsidR="00C63F8F" w:rsidRPr="00E27443">
        <w:t xml:space="preserve"> </w:t>
      </w:r>
      <w:r w:rsidRPr="00E27443">
        <w:t>for</w:t>
      </w:r>
      <w:r w:rsidR="00C63F8F" w:rsidRPr="00E27443">
        <w:t xml:space="preserve"> </w:t>
      </w:r>
      <w:r w:rsidRPr="00E27443">
        <w:t>the</w:t>
      </w:r>
      <w:r w:rsidR="00C63F8F" w:rsidRPr="00E27443">
        <w:t xml:space="preserve"> </w:t>
      </w:r>
      <w:r w:rsidRPr="00E27443">
        <w:t>period</w:t>
      </w:r>
      <w:r w:rsidR="00C63F8F" w:rsidRPr="00E27443">
        <w:t xml:space="preserve"> </w:t>
      </w:r>
      <w:r w:rsidRPr="00E27443">
        <w:t>2009–2011.</w:t>
      </w:r>
      <w:r w:rsidR="00C63F8F" w:rsidRPr="00E27443">
        <w:t xml:space="preserve"> </w:t>
      </w:r>
      <w:r w:rsidRPr="00E27443">
        <w:t>This</w:t>
      </w:r>
      <w:r w:rsidR="00C63F8F" w:rsidRPr="00E27443">
        <w:t xml:space="preserve"> </w:t>
      </w:r>
      <w:r w:rsidRPr="00E27443">
        <w:t>relates</w:t>
      </w:r>
      <w:r w:rsidR="00C63F8F" w:rsidRPr="00E27443">
        <w:t xml:space="preserve"> </w:t>
      </w:r>
      <w:r w:rsidRPr="00E27443">
        <w:t>for</w:t>
      </w:r>
      <w:r w:rsidR="00C63F8F" w:rsidRPr="00E27443">
        <w:t xml:space="preserve"> </w:t>
      </w:r>
      <w:r w:rsidRPr="00E27443">
        <w:t>example</w:t>
      </w:r>
      <w:r w:rsidR="00C63F8F" w:rsidRPr="00E27443">
        <w:t xml:space="preserve"> </w:t>
      </w:r>
      <w:r w:rsidRPr="00E27443">
        <w:t>to</w:t>
      </w:r>
      <w:r w:rsidR="00C63F8F" w:rsidRPr="00E27443">
        <w:t xml:space="preserve"> </w:t>
      </w:r>
      <w:r w:rsidRPr="00E27443">
        <w:t>a</w:t>
      </w:r>
      <w:r w:rsidR="00C63F8F" w:rsidRPr="00E27443">
        <w:t xml:space="preserve"> </w:t>
      </w:r>
      <w:r w:rsidRPr="00E27443">
        <w:t>stimulus</w:t>
      </w:r>
      <w:r w:rsidR="00C63F8F" w:rsidRPr="00E27443">
        <w:t xml:space="preserve"> </w:t>
      </w:r>
      <w:r w:rsidRPr="00E27443">
        <w:t>subsidy</w:t>
      </w:r>
      <w:r w:rsidR="00C63F8F" w:rsidRPr="00E27443">
        <w:t xml:space="preserve"> </w:t>
      </w:r>
      <w:r w:rsidRPr="00E27443">
        <w:t>to</w:t>
      </w:r>
      <w:r w:rsidR="00C63F8F" w:rsidRPr="00E27443">
        <w:t xml:space="preserve"> </w:t>
      </w:r>
      <w:r w:rsidRPr="00E27443">
        <w:t>municipalities</w:t>
      </w:r>
      <w:r w:rsidR="00C63F8F" w:rsidRPr="00E27443">
        <w:t xml:space="preserve"> </w:t>
      </w:r>
      <w:r w:rsidRPr="00E27443">
        <w:t>that</w:t>
      </w:r>
      <w:r w:rsidR="00C63F8F" w:rsidRPr="00E27443">
        <w:t xml:space="preserve"> </w:t>
      </w:r>
      <w:r w:rsidRPr="00E27443">
        <w:t>procure</w:t>
      </w:r>
      <w:r w:rsidR="00C63F8F" w:rsidRPr="00E27443">
        <w:t xml:space="preserve"> </w:t>
      </w:r>
      <w:r w:rsidRPr="00E27443">
        <w:t>employment</w:t>
      </w:r>
      <w:r w:rsidR="00C63F8F" w:rsidRPr="00E27443">
        <w:t xml:space="preserve"> </w:t>
      </w:r>
      <w:r w:rsidRPr="00E27443">
        <w:t>or</w:t>
      </w:r>
      <w:r w:rsidR="00C63F8F" w:rsidRPr="00E27443">
        <w:t xml:space="preserve"> </w:t>
      </w:r>
      <w:r w:rsidRPr="00E27443">
        <w:t>offer</w:t>
      </w:r>
      <w:r w:rsidR="00C63F8F" w:rsidRPr="00E27443">
        <w:t xml:space="preserve"> </w:t>
      </w:r>
      <w:r w:rsidRPr="00E27443">
        <w:t>employment</w:t>
      </w:r>
      <w:r w:rsidR="00C63F8F" w:rsidRPr="00E27443">
        <w:t xml:space="preserve"> </w:t>
      </w:r>
      <w:r w:rsidRPr="00E27443">
        <w:t>via</w:t>
      </w:r>
      <w:r w:rsidR="00C63F8F" w:rsidRPr="00E27443">
        <w:t xml:space="preserve"> </w:t>
      </w:r>
      <w:r w:rsidRPr="00E27443">
        <w:t>an</w:t>
      </w:r>
      <w:r w:rsidR="00C63F8F" w:rsidRPr="00E27443">
        <w:t xml:space="preserve"> </w:t>
      </w:r>
      <w:r w:rsidRPr="00E27443">
        <w:t>optional</w:t>
      </w:r>
      <w:r w:rsidR="00C63F8F" w:rsidRPr="00E27443">
        <w:t xml:space="preserve"> </w:t>
      </w:r>
      <w:r w:rsidRPr="00E27443">
        <w:t>system</w:t>
      </w:r>
      <w:r w:rsidR="00C63F8F" w:rsidRPr="00E27443">
        <w:t xml:space="preserve"> </w:t>
      </w:r>
      <w:r w:rsidRPr="00E27443">
        <w:t>for</w:t>
      </w:r>
      <w:r w:rsidR="00C63F8F" w:rsidRPr="00E27443">
        <w:t xml:space="preserve"> </w:t>
      </w:r>
      <w:r w:rsidRPr="00E27443">
        <w:t>individuals</w:t>
      </w:r>
      <w:r w:rsidR="00C63F8F" w:rsidRPr="00E27443">
        <w:t xml:space="preserve"> </w:t>
      </w:r>
      <w:r w:rsidRPr="00E27443">
        <w:t>with</w:t>
      </w:r>
      <w:r w:rsidR="00C63F8F" w:rsidRPr="00E27443">
        <w:t xml:space="preserve"> </w:t>
      </w:r>
      <w:r w:rsidRPr="00E27443">
        <w:t>mental</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also</w:t>
      </w:r>
      <w:r w:rsidR="00C63F8F" w:rsidRPr="00E27443">
        <w:t xml:space="preserve"> </w:t>
      </w:r>
      <w:r w:rsidRPr="00E27443">
        <w:t>commissioned</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in</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Office,</w:t>
      </w:r>
      <w:r w:rsidR="00C63F8F" w:rsidRPr="00E27443">
        <w:t xml:space="preserve"> </w:t>
      </w:r>
      <w:r w:rsidRPr="00E27443">
        <w:t>to</w:t>
      </w:r>
      <w:r w:rsidR="00C63F8F" w:rsidRPr="00E27443">
        <w:t xml:space="preserve"> </w:t>
      </w:r>
      <w:r w:rsidRPr="00E27443">
        <w:t>procure</w:t>
      </w:r>
      <w:r w:rsidR="00C63F8F" w:rsidRPr="00E27443">
        <w:t xml:space="preserve"> </w:t>
      </w:r>
      <w:r w:rsidRPr="00E27443">
        <w:t>rehabilitation</w:t>
      </w:r>
      <w:r w:rsidR="00C63F8F" w:rsidRPr="00E27443">
        <w:t xml:space="preserve"> </w:t>
      </w:r>
      <w:r w:rsidRPr="00E27443">
        <w:t>and</w:t>
      </w:r>
      <w:r w:rsidR="00C63F8F" w:rsidRPr="00E27443">
        <w:t xml:space="preserve"> </w:t>
      </w:r>
      <w:r w:rsidRPr="00E27443">
        <w:t>other</w:t>
      </w:r>
      <w:r w:rsidR="00C63F8F" w:rsidRPr="00E27443">
        <w:t xml:space="preserve"> </w:t>
      </w:r>
      <w:r w:rsidRPr="00E27443">
        <w:t>types</w:t>
      </w:r>
      <w:r w:rsidR="00C63F8F" w:rsidRPr="00E27443">
        <w:t xml:space="preserve"> </w:t>
      </w:r>
      <w:r w:rsidRPr="00E27443">
        <w:t>of</w:t>
      </w:r>
      <w:r w:rsidR="00C63F8F" w:rsidRPr="00E27443">
        <w:t xml:space="preserve"> </w:t>
      </w:r>
      <w:r w:rsidRPr="00E27443">
        <w:t>support</w:t>
      </w:r>
      <w:r w:rsidR="00C63F8F" w:rsidRPr="00E27443">
        <w:t xml:space="preserve"> </w:t>
      </w:r>
      <w:r w:rsidRPr="00E27443">
        <w:t>service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mental</w:t>
      </w:r>
      <w:r w:rsidR="00C63F8F" w:rsidRPr="00E27443">
        <w:t xml:space="preserve"> </w:t>
      </w:r>
      <w:r w:rsidRPr="00E27443">
        <w:t>disability.</w:t>
      </w:r>
    </w:p>
    <w:p w:rsidR="00321ADA" w:rsidRPr="00E27443" w:rsidRDefault="00321ADA" w:rsidP="00D10EB3">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intention</w:t>
      </w:r>
      <w:r w:rsidR="00C63F8F" w:rsidRPr="00E27443">
        <w:t xml:space="preserve"> </w:t>
      </w:r>
      <w:r w:rsidRPr="00E27443">
        <w:t>with</w:t>
      </w:r>
      <w:r w:rsidR="00C63F8F" w:rsidRPr="00E27443">
        <w:t xml:space="preserve"> </w:t>
      </w:r>
      <w:r w:rsidRPr="00E27443">
        <w:t>these</w:t>
      </w:r>
      <w:r w:rsidR="00C63F8F" w:rsidRPr="00E27443">
        <w:t xml:space="preserve"> </w:t>
      </w:r>
      <w:r w:rsidRPr="00E27443">
        <w:t>initiatives</w:t>
      </w:r>
      <w:r w:rsidR="00C63F8F" w:rsidRPr="00E27443">
        <w:t xml:space="preserve"> </w:t>
      </w:r>
      <w:r w:rsidRPr="00E27443">
        <w:t>is</w:t>
      </w:r>
      <w:r w:rsidR="00C63F8F" w:rsidRPr="00E27443">
        <w:t xml:space="preserve"> </w:t>
      </w:r>
      <w:r w:rsidRPr="00E27443">
        <w:t>to</w:t>
      </w:r>
      <w:r w:rsidR="00C63F8F" w:rsidRPr="00E27443">
        <w:t xml:space="preserve"> </w:t>
      </w:r>
      <w:r w:rsidRPr="00E27443">
        <w:t>increase</w:t>
      </w:r>
      <w:r w:rsidR="00C63F8F" w:rsidRPr="00E27443">
        <w:t xml:space="preserve"> </w:t>
      </w:r>
      <w:r w:rsidRPr="00E27443">
        <w:t>access</w:t>
      </w:r>
      <w:r w:rsidR="00C63F8F" w:rsidRPr="00E27443">
        <w:t xml:space="preserve"> </w:t>
      </w:r>
      <w:r w:rsidRPr="00E27443">
        <w:t>to</w:t>
      </w:r>
      <w:r w:rsidR="00C63F8F" w:rsidRPr="00E27443">
        <w:t xml:space="preserve"> </w:t>
      </w:r>
      <w:r w:rsidRPr="00E27443">
        <w:t>employment,</w:t>
      </w:r>
      <w:r w:rsidR="00C63F8F" w:rsidRPr="00E27443">
        <w:t xml:space="preserve"> </w:t>
      </w:r>
      <w:r w:rsidRPr="00E27443">
        <w:t>rehabilitation</w:t>
      </w:r>
      <w:r w:rsidR="00C63F8F" w:rsidRPr="00E27443">
        <w:t xml:space="preserve"> </w:t>
      </w:r>
      <w:r w:rsidRPr="00E27443">
        <w:t>or</w:t>
      </w:r>
      <w:r w:rsidR="00C63F8F" w:rsidRPr="00E27443">
        <w:t xml:space="preserve"> </w:t>
      </w:r>
      <w:r w:rsidRPr="00E27443">
        <w:t>work</w:t>
      </w:r>
      <w:r w:rsidR="00C63F8F" w:rsidRPr="00E27443">
        <w:t xml:space="preserve"> </w:t>
      </w:r>
      <w:r w:rsidRPr="00E27443">
        <w:t>that</w:t>
      </w:r>
      <w:r w:rsidR="00C63F8F" w:rsidRPr="00E27443">
        <w:t xml:space="preserve"> </w:t>
      </w:r>
      <w:r w:rsidRPr="00E27443">
        <w:t>is</w:t>
      </w:r>
      <w:r w:rsidR="00C63F8F" w:rsidRPr="00E27443">
        <w:t xml:space="preserve"> </w:t>
      </w:r>
      <w:r w:rsidRPr="00E27443">
        <w:t>better</w:t>
      </w:r>
      <w:r w:rsidR="00C63F8F" w:rsidRPr="00E27443">
        <w:t xml:space="preserve"> </w:t>
      </w:r>
      <w:r w:rsidRPr="00E27443">
        <w:t>adapted</w:t>
      </w:r>
      <w:r w:rsidR="00C63F8F" w:rsidRPr="00E27443">
        <w:t xml:space="preserve"> </w:t>
      </w:r>
      <w:r w:rsidRPr="00E27443">
        <w:t>to</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mental</w:t>
      </w:r>
      <w:r w:rsidR="00C63F8F" w:rsidRPr="00E27443">
        <w:t xml:space="preserve"> </w:t>
      </w:r>
      <w:r w:rsidRPr="00E27443">
        <w:t>disability.</w:t>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E27443">
        <w:t>Trade</w:t>
      </w:r>
      <w:r w:rsidR="00C63F8F" w:rsidRPr="00E27443">
        <w:t xml:space="preserve"> </w:t>
      </w:r>
      <w:r w:rsidRPr="00E27443">
        <w:t>unions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are</w:t>
      </w:r>
      <w:r w:rsidR="00C63F8F" w:rsidRPr="00E27443">
        <w:t xml:space="preserve"> </w:t>
      </w:r>
      <w:r w:rsidRPr="00E27443">
        <w:t>independent</w:t>
      </w:r>
      <w:r w:rsidR="00C63F8F" w:rsidRPr="00E27443">
        <w:t xml:space="preserve"> </w:t>
      </w:r>
      <w:r w:rsidRPr="00E27443">
        <w:t>of</w:t>
      </w:r>
      <w:r w:rsidR="00C63F8F" w:rsidRPr="00E27443">
        <w:t xml:space="preserve"> </w:t>
      </w:r>
      <w:r w:rsidRPr="00E27443">
        <w:t>the</w:t>
      </w:r>
      <w:r w:rsidR="00C63F8F" w:rsidRPr="00E27443">
        <w:t xml:space="preserve"> </w:t>
      </w:r>
      <w:r w:rsidRPr="00E27443">
        <w:t>State</w:t>
      </w:r>
      <w:r w:rsidR="00C63F8F" w:rsidRPr="00E27443">
        <w:t xml:space="preserve"> </w:t>
      </w:r>
      <w:r w:rsidRPr="00E27443">
        <w:t>and</w:t>
      </w:r>
      <w:r w:rsidR="00C63F8F" w:rsidRPr="00E27443">
        <w:t xml:space="preserve"> </w:t>
      </w:r>
      <w:r w:rsidRPr="00E27443">
        <w:t>determine</w:t>
      </w:r>
      <w:r w:rsidR="00C63F8F" w:rsidRPr="00E27443">
        <w:t xml:space="preserve"> </w:t>
      </w:r>
      <w:r w:rsidRPr="00E27443">
        <w:t>for</w:t>
      </w:r>
      <w:r w:rsidR="00C63F8F" w:rsidRPr="00E27443">
        <w:t xml:space="preserve"> </w:t>
      </w:r>
      <w:r w:rsidRPr="00E27443">
        <w:t>themselves</w:t>
      </w:r>
      <w:r w:rsidR="00C63F8F" w:rsidRPr="00E27443">
        <w:t xml:space="preserve"> </w:t>
      </w:r>
      <w:r w:rsidRPr="00E27443">
        <w:t>which</w:t>
      </w:r>
      <w:r w:rsidR="00C63F8F" w:rsidRPr="00E27443">
        <w:t xml:space="preserve"> </w:t>
      </w:r>
      <w:r w:rsidRPr="00E27443">
        <w:t>employees</w:t>
      </w:r>
      <w:r w:rsidR="00C63F8F" w:rsidRPr="00E27443">
        <w:t xml:space="preserve"> </w:t>
      </w:r>
      <w:r w:rsidRPr="00E27443">
        <w:t>they</w:t>
      </w:r>
      <w:r w:rsidR="00C63F8F" w:rsidRPr="00E27443">
        <w:t xml:space="preserve"> </w:t>
      </w:r>
      <w:r w:rsidRPr="00E27443">
        <w:t>will</w:t>
      </w:r>
      <w:r w:rsidR="00C63F8F" w:rsidRPr="00E27443">
        <w:t xml:space="preserve"> </w:t>
      </w:r>
      <w:r w:rsidRPr="00E27443">
        <w:t>organise.</w:t>
      </w:r>
      <w:r w:rsidR="00C63F8F" w:rsidRPr="00E27443">
        <w:t xml:space="preserve"> </w:t>
      </w:r>
      <w:r w:rsidRPr="00E27443">
        <w:t>Employees</w:t>
      </w:r>
      <w:r w:rsidR="00C63F8F" w:rsidRPr="00E27443">
        <w:t xml:space="preserve"> </w:t>
      </w:r>
      <w:r w:rsidRPr="00E27443">
        <w:t>are</w:t>
      </w:r>
      <w:r w:rsidR="00C63F8F" w:rsidRPr="00E27443">
        <w:t xml:space="preserve"> </w:t>
      </w:r>
      <w:r w:rsidRPr="00E27443">
        <w:t>welcome</w:t>
      </w:r>
      <w:r w:rsidR="00C63F8F" w:rsidRPr="00E27443">
        <w:t xml:space="preserve"> </w:t>
      </w:r>
      <w:r w:rsidRPr="00E27443">
        <w:t>to</w:t>
      </w:r>
      <w:r w:rsidR="00C63F8F" w:rsidRPr="00E27443">
        <w:t xml:space="preserve"> </w:t>
      </w:r>
      <w:r w:rsidRPr="00E27443">
        <w:t>be</w:t>
      </w:r>
      <w:r w:rsidR="00C63F8F" w:rsidRPr="00E27443">
        <w:t xml:space="preserve"> </w:t>
      </w:r>
      <w:r w:rsidRPr="00E27443">
        <w:t>members</w:t>
      </w:r>
      <w:r w:rsidR="00C63F8F" w:rsidRPr="00E27443">
        <w:t xml:space="preserve"> </w:t>
      </w:r>
      <w:r w:rsidRPr="00E27443">
        <w:t>of</w:t>
      </w:r>
      <w:r w:rsidR="00C63F8F" w:rsidRPr="00E27443">
        <w:t xml:space="preserve"> </w:t>
      </w:r>
      <w:r w:rsidRPr="00E27443">
        <w:t>a</w:t>
      </w:r>
      <w:r w:rsidR="00C63F8F" w:rsidRPr="00E27443">
        <w:t xml:space="preserve"> </w:t>
      </w:r>
      <w:r w:rsidRPr="00E27443">
        <w:t>trade</w:t>
      </w:r>
      <w:r w:rsidR="00C63F8F" w:rsidRPr="00E27443">
        <w:t xml:space="preserve"> </w:t>
      </w:r>
      <w:r w:rsidRPr="00E27443">
        <w:t>union,</w:t>
      </w:r>
      <w:r w:rsidR="00C63F8F" w:rsidRPr="00E27443">
        <w:t xml:space="preserve"> </w:t>
      </w:r>
      <w:r w:rsidRPr="00E27443">
        <w:t>irrespective</w:t>
      </w:r>
      <w:r w:rsidR="00C63F8F" w:rsidRPr="00E27443">
        <w:t xml:space="preserve"> </w:t>
      </w:r>
      <w:r w:rsidRPr="00E27443">
        <w:t>of</w:t>
      </w:r>
      <w:r w:rsidR="00C63F8F" w:rsidRPr="00E27443">
        <w:t xml:space="preserve"> </w:t>
      </w:r>
      <w:r w:rsidRPr="00E27443">
        <w:t>their</w:t>
      </w:r>
      <w:r w:rsidR="00C63F8F" w:rsidRPr="00E27443">
        <w:t xml:space="preserve"> </w:t>
      </w:r>
      <w:r w:rsidRPr="00E27443">
        <w:t>gender,</w:t>
      </w:r>
      <w:r w:rsidR="00C63F8F" w:rsidRPr="00E27443">
        <w:t xml:space="preserve"> </w:t>
      </w:r>
      <w:r w:rsidRPr="00E27443">
        <w:t>ethnicity</w:t>
      </w:r>
      <w:r w:rsidR="00C63F8F" w:rsidRPr="00E27443">
        <w:t xml:space="preserve"> </w:t>
      </w:r>
      <w:r w:rsidRPr="00E27443">
        <w:t>or</w:t>
      </w:r>
      <w:r w:rsidR="00C63F8F" w:rsidRPr="00E27443">
        <w:t xml:space="preserve"> </w:t>
      </w:r>
      <w:r w:rsidRPr="00E27443">
        <w:t>any</w:t>
      </w:r>
      <w:r w:rsidR="00C63F8F" w:rsidRPr="00E27443">
        <w:t xml:space="preserve"> </w:t>
      </w:r>
      <w:r w:rsidRPr="00E27443">
        <w:t>disability.</w:t>
      </w:r>
      <w:r w:rsidR="00C63F8F" w:rsidRPr="00E27443">
        <w:t xml:space="preserve"> </w:t>
      </w:r>
      <w:r w:rsidRPr="00E27443">
        <w:t>Trade</w:t>
      </w:r>
      <w:r w:rsidR="00C63F8F" w:rsidRPr="00E27443">
        <w:t xml:space="preserve"> </w:t>
      </w:r>
      <w:r w:rsidRPr="00E27443">
        <w:t>union</w:t>
      </w:r>
      <w:r w:rsidR="00C63F8F" w:rsidRPr="00E27443">
        <w:t xml:space="preserve"> </w:t>
      </w:r>
      <w:r w:rsidRPr="00E27443">
        <w:t>member</w:t>
      </w:r>
      <w:r w:rsidRPr="00E27443">
        <w:softHyphen/>
        <w:t>ship</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is</w:t>
      </w:r>
      <w:r w:rsidR="00C63F8F" w:rsidRPr="00E27443">
        <w:t xml:space="preserve"> </w:t>
      </w:r>
      <w:r w:rsidRPr="00E27443">
        <w:t>very</w:t>
      </w:r>
      <w:r w:rsidR="00C63F8F" w:rsidRPr="00E27443">
        <w:t xml:space="preserve"> </w:t>
      </w:r>
      <w:r w:rsidRPr="00E27443">
        <w:t>high.</w:t>
      </w:r>
    </w:p>
    <w:p w:rsidR="00321ADA" w:rsidRPr="00E27443" w:rsidRDefault="00321ADA" w:rsidP="00D10EB3">
      <w:pPr>
        <w:pStyle w:val="SingleTxtG"/>
        <w:numPr>
          <w:ilvl w:val="0"/>
          <w:numId w:val="20"/>
        </w:numPr>
        <w:tabs>
          <w:tab w:val="left" w:pos="1843"/>
        </w:tabs>
        <w:ind w:left="1134" w:firstLine="0"/>
      </w:pP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countering</w:t>
      </w:r>
      <w:r w:rsidR="00C63F8F" w:rsidRPr="00E27443">
        <w:t xml:space="preserve"> </w:t>
      </w:r>
      <w:r w:rsidRPr="00E27443">
        <w:t>long-term</w:t>
      </w:r>
      <w:r w:rsidR="00C63F8F" w:rsidRPr="00E27443">
        <w:t xml:space="preserve"> </w:t>
      </w:r>
      <w:r w:rsidRPr="00E27443">
        <w:t>sickness</w:t>
      </w:r>
      <w:r w:rsidR="00C63F8F" w:rsidRPr="00E27443">
        <w:t xml:space="preserve"> </w:t>
      </w:r>
      <w:r w:rsidRPr="00E27443">
        <w:t>absence,</w:t>
      </w:r>
      <w:r w:rsidR="00C63F8F" w:rsidRPr="00E27443">
        <w:t xml:space="preserve"> </w:t>
      </w:r>
      <w:r w:rsidRPr="00E27443">
        <w:t>a</w:t>
      </w:r>
      <w:r w:rsidR="00C63F8F" w:rsidRPr="00E27443">
        <w:t xml:space="preserve"> </w:t>
      </w:r>
      <w:r w:rsidRPr="00E27443">
        <w:t>reform</w:t>
      </w:r>
      <w:r w:rsidR="00C63F8F" w:rsidRPr="00E27443">
        <w:t xml:space="preserve"> </w:t>
      </w:r>
      <w:r w:rsidRPr="00E27443">
        <w:t>of</w:t>
      </w:r>
      <w:r w:rsidR="00C63F8F" w:rsidRPr="00E27443">
        <w:t xml:space="preserve"> </w:t>
      </w:r>
      <w:r w:rsidRPr="00E27443">
        <w:t>health</w:t>
      </w:r>
      <w:r w:rsidR="00C63F8F" w:rsidRPr="00E27443">
        <w:t xml:space="preserve"> </w:t>
      </w:r>
      <w:r w:rsidRPr="00E27443">
        <w:t>insurance</w:t>
      </w:r>
      <w:r w:rsidR="00C63F8F" w:rsidRPr="00E27443">
        <w:t xml:space="preserve"> </w:t>
      </w:r>
      <w:r w:rsidRPr="00E27443">
        <w:t>was</w:t>
      </w:r>
      <w:r w:rsidR="00C63F8F" w:rsidRPr="00E27443">
        <w:t xml:space="preserve"> </w:t>
      </w:r>
      <w:r w:rsidRPr="00E27443">
        <w:t>implemented</w:t>
      </w:r>
      <w:r w:rsidR="00C63F8F" w:rsidRPr="00E27443">
        <w:t xml:space="preserve"> </w:t>
      </w:r>
      <w:r w:rsidRPr="00E27443">
        <w:t>in</w:t>
      </w:r>
      <w:r w:rsidR="00C63F8F" w:rsidRPr="00E27443">
        <w:t xml:space="preserve"> </w:t>
      </w:r>
      <w:r w:rsidRPr="00E27443">
        <w:t>2008.</w:t>
      </w:r>
      <w:r w:rsidR="00C63F8F" w:rsidRPr="00E27443">
        <w:t xml:space="preserve"> </w:t>
      </w:r>
      <w:r w:rsidRPr="00E27443">
        <w:t>New</w:t>
      </w:r>
      <w:r w:rsidR="00C63F8F" w:rsidRPr="00E27443">
        <w:t xml:space="preserve"> </w:t>
      </w:r>
      <w:r w:rsidRPr="00E27443">
        <w:t>health</w:t>
      </w:r>
      <w:r w:rsidR="00C63F8F" w:rsidRPr="00E27443">
        <w:t xml:space="preserve"> </w:t>
      </w:r>
      <w:r w:rsidRPr="00E27443">
        <w:t>insurance</w:t>
      </w:r>
      <w:r w:rsidR="00C63F8F" w:rsidRPr="00E27443">
        <w:t xml:space="preserve"> </w:t>
      </w:r>
      <w:r w:rsidRPr="00E27443">
        <w:t>rules</w:t>
      </w:r>
      <w:r w:rsidR="00C63F8F" w:rsidRPr="00E27443">
        <w:t xml:space="preserve"> </w:t>
      </w:r>
      <w:r w:rsidRPr="00E27443">
        <w:t>have</w:t>
      </w:r>
      <w:r w:rsidR="00C63F8F" w:rsidRPr="00E27443">
        <w:t xml:space="preserve"> </w:t>
      </w:r>
      <w:r w:rsidRPr="00E27443">
        <w:t>applied</w:t>
      </w:r>
      <w:r w:rsidR="00C63F8F" w:rsidRPr="00E27443">
        <w:t xml:space="preserve"> </w:t>
      </w:r>
      <w:r w:rsidRPr="00E27443">
        <w:t>since</w:t>
      </w:r>
      <w:r w:rsidR="00C63F8F" w:rsidRPr="00E27443">
        <w:t xml:space="preserve"> </w:t>
      </w:r>
      <w:r w:rsidRPr="00E27443">
        <w:t>1</w:t>
      </w:r>
      <w:r w:rsidR="00C63F8F" w:rsidRPr="00E27443">
        <w:t xml:space="preserve"> </w:t>
      </w:r>
      <w:r w:rsidRPr="00E27443">
        <w:t>July</w:t>
      </w:r>
      <w:r w:rsidR="00C63F8F" w:rsidRPr="00E27443">
        <w:t xml:space="preserve"> </w:t>
      </w:r>
      <w:r w:rsidRPr="00E27443">
        <w:t>2008.</w:t>
      </w:r>
      <w:r w:rsidR="00C63F8F" w:rsidRPr="00E27443">
        <w:t xml:space="preserve"> </w:t>
      </w:r>
      <w:r w:rsidRPr="00E27443">
        <w:t>A</w:t>
      </w:r>
      <w:r w:rsidR="00C63F8F" w:rsidRPr="00E27443">
        <w:t xml:space="preserve"> </w:t>
      </w:r>
      <w:r w:rsidRPr="00E27443">
        <w:t>rehabilitation</w:t>
      </w:r>
      <w:r w:rsidR="00C63F8F" w:rsidRPr="00E27443">
        <w:t xml:space="preserve"> </w:t>
      </w:r>
      <w:r w:rsidRPr="00E27443">
        <w:t>chain</w:t>
      </w:r>
      <w:r w:rsidR="00C63F8F" w:rsidRPr="00E27443">
        <w:t xml:space="preserve"> </w:t>
      </w:r>
      <w:r w:rsidRPr="00E27443">
        <w:t>has</w:t>
      </w:r>
      <w:r w:rsidR="00C63F8F" w:rsidRPr="00E27443">
        <w:t xml:space="preserve"> </w:t>
      </w:r>
      <w:r w:rsidRPr="00E27443">
        <w:t>been</w:t>
      </w:r>
      <w:r w:rsidR="00C63F8F" w:rsidRPr="00E27443">
        <w:t xml:space="preserve"> </w:t>
      </w:r>
      <w:r w:rsidRPr="00E27443">
        <w:t>introduced</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through</w:t>
      </w:r>
      <w:r w:rsidR="00C63F8F" w:rsidRPr="00E27443">
        <w:t xml:space="preserve"> </w:t>
      </w:r>
      <w:r w:rsidRPr="00E27443">
        <w:t>early</w:t>
      </w:r>
      <w:r w:rsidR="00C63F8F" w:rsidRPr="00E27443">
        <w:t xml:space="preserve"> </w:t>
      </w:r>
      <w:r w:rsidRPr="00E27443">
        <w:t>initiatives,</w:t>
      </w:r>
      <w:r w:rsidR="00C63F8F" w:rsidRPr="00E27443">
        <w:t xml:space="preserve"> </w:t>
      </w:r>
      <w:r w:rsidRPr="00E27443">
        <w:t>of</w:t>
      </w:r>
      <w:r w:rsidR="00C63F8F" w:rsidRPr="00E27443">
        <w:t xml:space="preserve"> </w:t>
      </w:r>
      <w:r w:rsidRPr="00E27443">
        <w:t>providing</w:t>
      </w:r>
      <w:r w:rsidR="00C63F8F" w:rsidRPr="00E27443">
        <w:t xml:space="preserve"> </w:t>
      </w:r>
      <w:r w:rsidRPr="00E27443">
        <w:t>more</w:t>
      </w:r>
      <w:r w:rsidR="00C63F8F" w:rsidRPr="00E27443">
        <w:t xml:space="preserve"> </w:t>
      </w:r>
      <w:r w:rsidRPr="00E27443">
        <w:t>people</w:t>
      </w:r>
      <w:r w:rsidR="00C63F8F" w:rsidRPr="00E27443">
        <w:t xml:space="preserve"> </w:t>
      </w:r>
      <w:r w:rsidRPr="00E27443">
        <w:t>on</w:t>
      </w:r>
      <w:r w:rsidR="00C63F8F" w:rsidRPr="00E27443">
        <w:t xml:space="preserve"> </w:t>
      </w:r>
      <w:r w:rsidRPr="00E27443">
        <w:t>sick</w:t>
      </w:r>
      <w:r w:rsidR="00C63F8F" w:rsidRPr="00E27443">
        <w:t xml:space="preserve"> </w:t>
      </w:r>
      <w:r w:rsidRPr="00E27443">
        <w:t>leave</w:t>
      </w:r>
      <w:r w:rsidR="00C63F8F" w:rsidRPr="00E27443">
        <w:t xml:space="preserve"> </w:t>
      </w:r>
      <w:r w:rsidRPr="00E27443">
        <w:t>with</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return</w:t>
      </w:r>
      <w:r w:rsidR="00C63F8F" w:rsidRPr="00E27443">
        <w:t xml:space="preserve"> </w:t>
      </w:r>
      <w:r w:rsidRPr="00E27443">
        <w:t>to</w:t>
      </w:r>
      <w:r w:rsidR="00C63F8F" w:rsidRPr="00E27443">
        <w:t xml:space="preserve"> </w:t>
      </w:r>
      <w:r w:rsidRPr="00E27443">
        <w:t>work.</w:t>
      </w:r>
      <w:r w:rsidR="00C63F8F" w:rsidRPr="00E27443">
        <w:t xml:space="preserve"> </w:t>
      </w:r>
      <w:r w:rsidRPr="00E27443">
        <w:t>With</w:t>
      </w:r>
      <w:r w:rsidR="00C63F8F" w:rsidRPr="00E27443">
        <w:t xml:space="preserve"> </w:t>
      </w:r>
      <w:r w:rsidRPr="00E27443">
        <w:t>the</w:t>
      </w:r>
      <w:r w:rsidR="00C63F8F" w:rsidRPr="00E27443">
        <w:t xml:space="preserve"> </w:t>
      </w:r>
      <w:r w:rsidRPr="00E27443">
        <w:t>rehabilitation</w:t>
      </w:r>
      <w:r w:rsidR="00C63F8F" w:rsidRPr="00E27443">
        <w:t xml:space="preserve"> </w:t>
      </w:r>
      <w:r w:rsidRPr="00E27443">
        <w:t>chain,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intends</w:t>
      </w:r>
      <w:r w:rsidR="00C63F8F" w:rsidRPr="00E27443">
        <w:t xml:space="preserve"> </w:t>
      </w:r>
      <w:r w:rsidRPr="00E27443">
        <w:t>to</w:t>
      </w:r>
      <w:r w:rsidR="00C63F8F" w:rsidRPr="00E27443">
        <w:t xml:space="preserve"> </w:t>
      </w:r>
      <w:r w:rsidRPr="00E27443">
        <w:t>achieve</w:t>
      </w:r>
      <w:r w:rsidR="00C63F8F" w:rsidRPr="00E27443">
        <w:t xml:space="preserve"> </w:t>
      </w:r>
      <w:r w:rsidRPr="00E27443">
        <w:t>a</w:t>
      </w:r>
      <w:r w:rsidR="00C63F8F" w:rsidRPr="00E27443">
        <w:t xml:space="preserve"> </w:t>
      </w:r>
      <w:r w:rsidRPr="00E27443">
        <w:t>more</w:t>
      </w:r>
      <w:r w:rsidR="00C63F8F" w:rsidRPr="00E27443">
        <w:t xml:space="preserve"> </w:t>
      </w:r>
      <w:r w:rsidRPr="00E27443">
        <w:t>active</w:t>
      </w:r>
      <w:r w:rsidR="00C63F8F" w:rsidRPr="00E27443">
        <w:t xml:space="preserve"> </w:t>
      </w:r>
      <w:r w:rsidRPr="00E27443">
        <w:t>sick</w:t>
      </w:r>
      <w:r w:rsidR="00C63F8F" w:rsidRPr="00E27443">
        <w:t xml:space="preserve"> </w:t>
      </w:r>
      <w:r w:rsidRPr="00E27443">
        <w:t>leave</w:t>
      </w:r>
      <w:r w:rsidR="00C63F8F" w:rsidRPr="00E27443">
        <w:t xml:space="preserve"> </w:t>
      </w:r>
      <w:r w:rsidRPr="00E27443">
        <w:t>process</w:t>
      </w:r>
      <w:r w:rsidR="00C63F8F" w:rsidRPr="00E27443">
        <w:t xml:space="preserve"> </w:t>
      </w:r>
      <w:r w:rsidRPr="00E27443">
        <w:t>that</w:t>
      </w:r>
      <w:r w:rsidR="00C63F8F" w:rsidRPr="00E27443">
        <w:t xml:space="preserve"> </w:t>
      </w:r>
      <w:r w:rsidRPr="00E27443">
        <w:t>includes</w:t>
      </w:r>
      <w:r w:rsidR="00C63F8F" w:rsidRPr="00E27443">
        <w:t xml:space="preserve"> </w:t>
      </w:r>
      <w:r w:rsidRPr="00E27443">
        <w:t>access</w:t>
      </w:r>
      <w:r w:rsidR="00C63F8F" w:rsidRPr="00E27443">
        <w:t xml:space="preserve"> </w:t>
      </w:r>
      <w:r w:rsidRPr="00E27443">
        <w:t>to</w:t>
      </w:r>
      <w:r w:rsidR="00C63F8F" w:rsidRPr="00E27443">
        <w:t xml:space="preserve"> </w:t>
      </w:r>
      <w:r w:rsidRPr="00E27443">
        <w:t>support</w:t>
      </w:r>
      <w:r w:rsidR="00C63F8F" w:rsidRPr="00E27443">
        <w:t xml:space="preserve"> </w:t>
      </w:r>
      <w:r w:rsidRPr="00E27443">
        <w:t>and</w:t>
      </w:r>
      <w:r w:rsidR="00C63F8F" w:rsidRPr="00E27443">
        <w:t xml:space="preserve"> </w:t>
      </w:r>
      <w:r w:rsidRPr="00E27443">
        <w:t>rehabilitation</w:t>
      </w:r>
      <w:r w:rsidR="00C63F8F" w:rsidRPr="00E27443">
        <w:t xml:space="preserve"> </w:t>
      </w:r>
      <w:r w:rsidRPr="00E27443">
        <w:t>initiatives</w:t>
      </w:r>
      <w:r w:rsidR="00C63F8F" w:rsidRPr="00E27443">
        <w:t xml:space="preserve"> </w:t>
      </w:r>
      <w:r w:rsidRPr="00E27443">
        <w:t>early</w:t>
      </w:r>
      <w:r w:rsidR="00C63F8F" w:rsidRPr="00E27443">
        <w:t xml:space="preserve"> </w:t>
      </w:r>
      <w:r w:rsidRPr="00E27443">
        <w:t>on</w:t>
      </w:r>
      <w:r w:rsidR="00C63F8F" w:rsidRPr="00E27443">
        <w:t xml:space="preserve"> </w:t>
      </w:r>
      <w:r w:rsidRPr="00E27443">
        <w:t>during</w:t>
      </w:r>
      <w:r w:rsidR="00C63F8F" w:rsidRPr="00E27443">
        <w:t xml:space="preserve"> </w:t>
      </w:r>
      <w:r w:rsidRPr="00E27443">
        <w:t>an</w:t>
      </w:r>
      <w:r w:rsidR="00C63F8F" w:rsidRPr="00E27443">
        <w:t xml:space="preserve"> </w:t>
      </w:r>
      <w:r w:rsidRPr="00E27443">
        <w:t>illness.</w:t>
      </w:r>
      <w:r w:rsidR="00C63F8F" w:rsidRPr="00E27443">
        <w:t xml:space="preserve"> </w:t>
      </w:r>
      <w:r w:rsidRPr="00E27443">
        <w:t>The</w:t>
      </w:r>
      <w:r w:rsidR="00C63F8F" w:rsidRPr="00E27443">
        <w:t xml:space="preserve"> </w:t>
      </w:r>
      <w:r w:rsidRPr="00E27443">
        <w:t>reform</w:t>
      </w:r>
      <w:r w:rsidR="00C63F8F" w:rsidRPr="00E27443">
        <w:t xml:space="preserve"> </w:t>
      </w:r>
      <w:r w:rsidRPr="00E27443">
        <w:t>applies</w:t>
      </w:r>
      <w:r w:rsidR="00C63F8F" w:rsidRPr="00E27443">
        <w:t xml:space="preserve"> </w:t>
      </w:r>
      <w:r w:rsidRPr="00E27443">
        <w:t>to</w:t>
      </w:r>
      <w:r w:rsidR="00C63F8F" w:rsidRPr="00E27443">
        <w:t xml:space="preserve"> </w:t>
      </w:r>
      <w:r w:rsidRPr="00E27443">
        <w:t>all</w:t>
      </w:r>
      <w:r w:rsidR="00C63F8F" w:rsidRPr="00E27443">
        <w:t xml:space="preserve"> </w:t>
      </w:r>
      <w:r w:rsidRPr="00E27443">
        <w:t>those</w:t>
      </w:r>
      <w:r w:rsidR="00C63F8F" w:rsidRPr="00E27443">
        <w:t xml:space="preserve"> </w:t>
      </w:r>
      <w:r w:rsidRPr="00E27443">
        <w:t>on</w:t>
      </w:r>
      <w:r w:rsidR="00C63F8F" w:rsidRPr="00E27443">
        <w:t xml:space="preserve"> </w:t>
      </w:r>
      <w:r w:rsidRPr="00E27443">
        <w:t>sick</w:t>
      </w:r>
      <w:r w:rsidR="00C63F8F" w:rsidRPr="00E27443">
        <w:t xml:space="preserve"> </w:t>
      </w:r>
      <w:r w:rsidRPr="00E27443">
        <w:t>leave,</w:t>
      </w:r>
      <w:r w:rsidR="00C63F8F" w:rsidRPr="00E27443">
        <w:t xml:space="preserve"> </w:t>
      </w:r>
      <w:r w:rsidRPr="00E27443">
        <w:t>regardless</w:t>
      </w:r>
      <w:r w:rsidR="00C63F8F" w:rsidRPr="00E27443">
        <w:t xml:space="preserve"> </w:t>
      </w:r>
      <w:r w:rsidRPr="00E27443">
        <w:t>of</w:t>
      </w:r>
      <w:r w:rsidR="00C63F8F" w:rsidRPr="00E27443">
        <w:t xml:space="preserve"> </w:t>
      </w:r>
      <w:r w:rsidRPr="00E27443">
        <w:t>the</w:t>
      </w:r>
      <w:r w:rsidR="00C63F8F" w:rsidRPr="00E27443">
        <w:t xml:space="preserve"> </w:t>
      </w:r>
      <w:r w:rsidRPr="00E27443">
        <w:t>cause</w:t>
      </w:r>
      <w:r w:rsidR="00C63F8F" w:rsidRPr="00E27443">
        <w:t xml:space="preserve"> </w:t>
      </w:r>
      <w:r w:rsidRPr="00E27443">
        <w:t>of</w:t>
      </w:r>
      <w:r w:rsidR="00C63F8F" w:rsidRPr="00E27443">
        <w:t xml:space="preserve"> </w:t>
      </w:r>
      <w:r w:rsidRPr="00E27443">
        <w:t>the</w:t>
      </w:r>
      <w:r w:rsidR="00C63F8F" w:rsidRPr="00E27443">
        <w:t xml:space="preserve"> </w:t>
      </w:r>
      <w:r w:rsidRPr="00E27443">
        <w:t>sick</w:t>
      </w:r>
      <w:r w:rsidR="00C63F8F" w:rsidRPr="00E27443">
        <w:t xml:space="preserve"> </w:t>
      </w:r>
      <w:r w:rsidRPr="00E27443">
        <w:t>leave.</w:t>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E27443">
        <w:t>The</w:t>
      </w:r>
      <w:r w:rsidR="00C63F8F" w:rsidRPr="00E27443">
        <w:t xml:space="preserve"> </w:t>
      </w:r>
      <w:r w:rsidRPr="00E27443">
        <w:t>health</w:t>
      </w:r>
      <w:r w:rsidR="00C63F8F" w:rsidRPr="00E27443">
        <w:t xml:space="preserve"> </w:t>
      </w:r>
      <w:r w:rsidRPr="00E27443">
        <w:t>insurance</w:t>
      </w:r>
      <w:r w:rsidR="00C63F8F" w:rsidRPr="00E27443">
        <w:t xml:space="preserve"> </w:t>
      </w:r>
      <w:r w:rsidRPr="00E27443">
        <w:t>reform</w:t>
      </w:r>
      <w:r w:rsidR="00C63F8F" w:rsidRPr="00E27443">
        <w:t xml:space="preserve"> </w:t>
      </w:r>
      <w:r w:rsidRPr="00E27443">
        <w:t>has</w:t>
      </w:r>
      <w:r w:rsidR="00C63F8F" w:rsidRPr="00E27443">
        <w:t xml:space="preserve"> </w:t>
      </w:r>
      <w:r w:rsidRPr="00E27443">
        <w:t>been</w:t>
      </w:r>
      <w:r w:rsidR="00C63F8F" w:rsidRPr="00E27443">
        <w:t xml:space="preserve"> </w:t>
      </w:r>
      <w:r w:rsidRPr="00E27443">
        <w:t>highlighted</w:t>
      </w:r>
      <w:r w:rsidR="00C63F8F" w:rsidRPr="00E27443">
        <w:t xml:space="preserve"> </w:t>
      </w:r>
      <w:r w:rsidRPr="00E27443">
        <w:t>by</w:t>
      </w:r>
      <w:r w:rsidR="00C63F8F" w:rsidRPr="00E27443">
        <w:t xml:space="preserve"> </w:t>
      </w:r>
      <w:r w:rsidRPr="00E27443">
        <w:t>the</w:t>
      </w:r>
      <w:r w:rsidR="00C63F8F" w:rsidRPr="00E27443">
        <w:t xml:space="preserve"> </w:t>
      </w:r>
      <w:r w:rsidRPr="00E27443">
        <w:t>OECD,</w:t>
      </w:r>
      <w:r w:rsidR="00C63F8F" w:rsidRPr="00E27443">
        <w:t xml:space="preserve"> </w:t>
      </w:r>
      <w:r w:rsidRPr="00E27443">
        <w:t>which</w:t>
      </w:r>
      <w:r w:rsidR="00C63F8F" w:rsidRPr="00E27443">
        <w:t xml:space="preserve"> </w:t>
      </w:r>
      <w:r w:rsidRPr="00E27443">
        <w:t>observes</w:t>
      </w:r>
      <w:r w:rsidR="00C63F8F" w:rsidRPr="00E27443">
        <w:t xml:space="preserve"> </w:t>
      </w:r>
      <w:r w:rsidRPr="00E27443">
        <w:t>for</w:t>
      </w:r>
      <w:r w:rsidR="00C63F8F" w:rsidRPr="00E27443">
        <w:t xml:space="preserve"> </w:t>
      </w:r>
      <w:r w:rsidRPr="00E27443">
        <w:t>example</w:t>
      </w:r>
      <w:r w:rsidR="00C63F8F" w:rsidRPr="00E27443">
        <w:t xml:space="preserve"> </w:t>
      </w:r>
      <w:r w:rsidRPr="00E27443">
        <w:t>that</w:t>
      </w:r>
      <w:r w:rsidR="00C63F8F" w:rsidRPr="00E27443">
        <w:t xml:space="preserve"> </w:t>
      </w:r>
      <w:r w:rsidRPr="00E27443">
        <w:t>the</w:t>
      </w:r>
      <w:r w:rsidR="00C63F8F" w:rsidRPr="00E27443">
        <w:t xml:space="preserve"> </w:t>
      </w:r>
      <w:r w:rsidRPr="00E27443">
        <w:t>reform</w:t>
      </w:r>
      <w:r w:rsidR="00C63F8F" w:rsidRPr="00E27443">
        <w:t xml:space="preserve"> </w:t>
      </w:r>
      <w:r w:rsidRPr="00E27443">
        <w:t>entails</w:t>
      </w:r>
      <w:r w:rsidR="00C63F8F" w:rsidRPr="00E27443">
        <w:t xml:space="preserve"> </w:t>
      </w:r>
      <w:r w:rsidRPr="00E27443">
        <w:t>great</w:t>
      </w:r>
      <w:r w:rsidR="00C63F8F" w:rsidRPr="00E27443">
        <w:t xml:space="preserve"> </w:t>
      </w:r>
      <w:r w:rsidRPr="00E27443">
        <w:t>strides</w:t>
      </w:r>
      <w:r w:rsidR="00C63F8F" w:rsidRPr="00E27443">
        <w:t xml:space="preserve"> </w:t>
      </w:r>
      <w:r w:rsidRPr="00E27443">
        <w:t>in</w:t>
      </w:r>
      <w:r w:rsidR="00C63F8F" w:rsidRPr="00E27443">
        <w:t xml:space="preserve"> </w:t>
      </w:r>
      <w:r w:rsidRPr="00E27443">
        <w:t>the</w:t>
      </w:r>
      <w:r w:rsidR="00C63F8F" w:rsidRPr="00E27443">
        <w:t xml:space="preserve"> </w:t>
      </w:r>
      <w:r w:rsidRPr="00E27443">
        <w:t>right</w:t>
      </w:r>
      <w:r w:rsidR="00C63F8F" w:rsidRPr="00E27443">
        <w:t xml:space="preserve"> </w:t>
      </w:r>
      <w:r w:rsidRPr="00E27443">
        <w:t>direction</w:t>
      </w:r>
      <w:r w:rsidR="00C63F8F" w:rsidRPr="00E27443">
        <w:t xml:space="preserve"> </w:t>
      </w:r>
      <w:r w:rsidRPr="00E27443">
        <w:t>and</w:t>
      </w:r>
      <w:r w:rsidR="00C63F8F" w:rsidRPr="00E27443">
        <w:t xml:space="preserve"> </w:t>
      </w:r>
      <w:r w:rsidRPr="00E27443">
        <w:t>that</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succeeded</w:t>
      </w:r>
      <w:r w:rsidR="00C63F8F" w:rsidRPr="00E27443">
        <w:t xml:space="preserve"> </w:t>
      </w:r>
      <w:r w:rsidRPr="00E27443">
        <w:t>in</w:t>
      </w:r>
      <w:r w:rsidR="00C63F8F" w:rsidRPr="00E27443">
        <w:t xml:space="preserve"> </w:t>
      </w:r>
      <w:r w:rsidRPr="00E27443">
        <w:t>breaking</w:t>
      </w:r>
      <w:r w:rsidR="00C63F8F" w:rsidRPr="00E27443">
        <w:t xml:space="preserve"> </w:t>
      </w:r>
      <w:r w:rsidRPr="00E27443">
        <w:t>the</w:t>
      </w:r>
      <w:r w:rsidR="00C63F8F" w:rsidRPr="00E27443">
        <w:t xml:space="preserve"> </w:t>
      </w:r>
      <w:r w:rsidRPr="00E27443">
        <w:t>negative</w:t>
      </w:r>
      <w:r w:rsidR="00C63F8F" w:rsidRPr="00E27443">
        <w:t xml:space="preserve"> </w:t>
      </w:r>
      <w:r w:rsidRPr="00E27443">
        <w:t>trend</w:t>
      </w:r>
      <w:r w:rsidR="00C63F8F" w:rsidRPr="00E27443">
        <w:t xml:space="preserve"> </w:t>
      </w:r>
      <w:r w:rsidRPr="00E27443">
        <w:t>of</w:t>
      </w:r>
      <w:r w:rsidR="00C63F8F" w:rsidRPr="00E27443">
        <w:t xml:space="preserve"> </w:t>
      </w:r>
      <w:r w:rsidRPr="00E27443">
        <w:t>significant</w:t>
      </w:r>
      <w:r w:rsidR="00C63F8F" w:rsidRPr="00E27443">
        <w:t xml:space="preserve"> </w:t>
      </w:r>
      <w:r w:rsidRPr="00E27443">
        <w:t>isolation</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high</w:t>
      </w:r>
      <w:r w:rsidR="00C63F8F" w:rsidRPr="00E27443">
        <w:t xml:space="preserve"> </w:t>
      </w:r>
      <w:r w:rsidRPr="00E27443">
        <w:t>level</w:t>
      </w:r>
      <w:r w:rsidR="00C63F8F" w:rsidRPr="00E27443">
        <w:t xml:space="preserve"> </w:t>
      </w:r>
      <w:r w:rsidRPr="00E27443">
        <w:t>of</w:t>
      </w:r>
      <w:r w:rsidR="00C63F8F" w:rsidRPr="00E27443">
        <w:t xml:space="preserve"> </w:t>
      </w:r>
      <w:r w:rsidRPr="00E27443">
        <w:t>sickness</w:t>
      </w:r>
      <w:r w:rsidR="00C63F8F" w:rsidRPr="00E27443">
        <w:t xml:space="preserve"> </w:t>
      </w:r>
      <w:r w:rsidRPr="00E27443">
        <w:t>absence.</w:t>
      </w:r>
      <w:r w:rsidR="00C63F8F" w:rsidRPr="00E27443">
        <w:t xml:space="preserve"> </w:t>
      </w:r>
      <w:r w:rsidRPr="00E27443">
        <w:t>However,</w:t>
      </w:r>
      <w:r w:rsidR="00C63F8F" w:rsidRPr="00E27443">
        <w:t xml:space="preserve"> </w:t>
      </w:r>
      <w:r w:rsidRPr="00E27443">
        <w:t>it</w:t>
      </w:r>
      <w:r w:rsidR="00C63F8F" w:rsidRPr="00E27443">
        <w:t xml:space="preserve"> </w:t>
      </w:r>
      <w:r w:rsidRPr="00E27443">
        <w:t>is</w:t>
      </w:r>
      <w:r w:rsidR="00C63F8F" w:rsidRPr="00E27443">
        <w:t xml:space="preserve"> </w:t>
      </w:r>
      <w:r w:rsidRPr="00E27443">
        <w:t>important</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27443">
        <w:t>aims</w:t>
      </w:r>
      <w:r w:rsidR="00C63F8F" w:rsidRPr="00E27443">
        <w:t xml:space="preserve"> </w:t>
      </w:r>
      <w:r w:rsidRPr="00E27443">
        <w:t>of</w:t>
      </w:r>
      <w:r w:rsidR="00C63F8F" w:rsidRPr="00E27443">
        <w:t xml:space="preserve"> </w:t>
      </w:r>
      <w:r w:rsidRPr="00E27443">
        <w:t>the</w:t>
      </w:r>
      <w:r w:rsidR="00C63F8F" w:rsidRPr="00E27443">
        <w:t xml:space="preserve"> </w:t>
      </w:r>
      <w:r w:rsidRPr="00E27443">
        <w:t>reform</w:t>
      </w:r>
      <w:r w:rsidR="00C63F8F" w:rsidRPr="00E27443">
        <w:t xml:space="preserve"> </w:t>
      </w:r>
      <w:r w:rsidRPr="00E27443">
        <w:t>are</w:t>
      </w:r>
      <w:r w:rsidR="00C63F8F" w:rsidRPr="00E27443">
        <w:t xml:space="preserve"> </w:t>
      </w:r>
      <w:r w:rsidRPr="00E27443">
        <w:t>maintained,</w:t>
      </w:r>
      <w:r w:rsidR="00C63F8F" w:rsidRPr="00E27443">
        <w:t xml:space="preserve"> </w:t>
      </w:r>
      <w:r w:rsidRPr="00E27443">
        <w:t>for</w:t>
      </w:r>
      <w:r w:rsidR="00C63F8F" w:rsidRPr="00E27443">
        <w:t xml:space="preserve"> </w:t>
      </w:r>
      <w:r w:rsidRPr="00E27443">
        <w:t>example</w:t>
      </w:r>
      <w:r w:rsidR="00C63F8F" w:rsidRPr="00E27443">
        <w:t xml:space="preserve"> </w:t>
      </w:r>
      <w:r w:rsidRPr="00E27443">
        <w:t>that</w:t>
      </w:r>
      <w:r w:rsidR="00C63F8F" w:rsidRPr="00E27443">
        <w:t xml:space="preserve"> </w:t>
      </w:r>
      <w:r w:rsidRPr="00E27443">
        <w:t>the</w:t>
      </w:r>
      <w:r w:rsidR="00C63F8F" w:rsidRPr="00E27443">
        <w:t xml:space="preserve"> </w:t>
      </w:r>
      <w:r w:rsidRPr="00E27443">
        <w:t>person</w:t>
      </w:r>
      <w:r w:rsidR="00C63F8F" w:rsidRPr="00E27443">
        <w:t xml:space="preserve"> </w:t>
      </w:r>
      <w:r w:rsidRPr="00E27443">
        <w:t>who</w:t>
      </w:r>
      <w:r w:rsidR="00C63F8F" w:rsidRPr="00E27443">
        <w:t xml:space="preserve"> </w:t>
      </w:r>
      <w:r w:rsidRPr="00E27443">
        <w:t>is</w:t>
      </w:r>
      <w:r w:rsidR="00C63F8F" w:rsidRPr="00E27443">
        <w:t xml:space="preserve"> </w:t>
      </w:r>
      <w:r w:rsidRPr="00E27443">
        <w:t>seriously</w:t>
      </w:r>
      <w:r w:rsidR="00C63F8F" w:rsidRPr="00E27443">
        <w:t xml:space="preserve"> </w:t>
      </w:r>
      <w:r w:rsidRPr="00E27443">
        <w:t>ill</w:t>
      </w:r>
      <w:r w:rsidR="00C63F8F" w:rsidRPr="00E27443">
        <w:t xml:space="preserve"> </w:t>
      </w:r>
      <w:r w:rsidRPr="00E27443">
        <w:t>and</w:t>
      </w:r>
      <w:r w:rsidR="00C63F8F" w:rsidRPr="00E27443">
        <w:t xml:space="preserve"> </w:t>
      </w:r>
      <w:r w:rsidRPr="00E27443">
        <w:t>who</w:t>
      </w:r>
      <w:r w:rsidR="00C63F8F" w:rsidRPr="00E27443">
        <w:t xml:space="preserve"> </w:t>
      </w:r>
      <w:r w:rsidRPr="00E27443">
        <w:t>cannot</w:t>
      </w:r>
      <w:r w:rsidR="00C63F8F" w:rsidRPr="00E27443">
        <w:t xml:space="preserve"> </w:t>
      </w:r>
      <w:r w:rsidRPr="00E27443">
        <w:t>work</w:t>
      </w:r>
      <w:r w:rsidR="00C63F8F" w:rsidRPr="00E27443">
        <w:t xml:space="preserve"> </w:t>
      </w:r>
      <w:r w:rsidRPr="00E27443">
        <w:t>should</w:t>
      </w:r>
      <w:r w:rsidR="00C63F8F" w:rsidRPr="00E27443">
        <w:t xml:space="preserve"> </w:t>
      </w:r>
      <w:r w:rsidRPr="00E27443">
        <w:t>be</w:t>
      </w:r>
      <w:r w:rsidR="00C63F8F" w:rsidRPr="00E27443">
        <w:t xml:space="preserve"> </w:t>
      </w:r>
      <w:r w:rsidRPr="00E27443">
        <w:t>able</w:t>
      </w:r>
      <w:r w:rsidR="00C63F8F" w:rsidRPr="00E27443">
        <w:t xml:space="preserve"> </w:t>
      </w:r>
      <w:r w:rsidRPr="00E27443">
        <w:t>to</w:t>
      </w:r>
      <w:r w:rsidR="00C63F8F" w:rsidRPr="00E27443">
        <w:t xml:space="preserve"> </w:t>
      </w:r>
      <w:r w:rsidRPr="00E27443">
        <w:t>receive</w:t>
      </w:r>
      <w:r w:rsidR="00C63F8F" w:rsidRPr="00E27443">
        <w:t xml:space="preserve"> </w:t>
      </w:r>
      <w:r w:rsidRPr="00E27443">
        <w:t>remuneration,</w:t>
      </w:r>
      <w:r w:rsidR="00C63F8F" w:rsidRPr="00E27443">
        <w:t xml:space="preserve"> </w:t>
      </w:r>
      <w:r w:rsidRPr="00E27443">
        <w:t>and</w:t>
      </w:r>
      <w:r w:rsidR="00C63F8F" w:rsidRPr="00E27443">
        <w:t xml:space="preserve"> </w:t>
      </w:r>
      <w:r w:rsidRPr="00E27443">
        <w:t>at</w:t>
      </w:r>
      <w:r w:rsidR="00C63F8F" w:rsidRPr="00E27443">
        <w:t xml:space="preserve"> </w:t>
      </w:r>
      <w:r w:rsidRPr="00E27443">
        <w:t>the</w:t>
      </w:r>
      <w:r w:rsidR="00C63F8F" w:rsidRPr="00E27443">
        <w:t xml:space="preserve"> </w:t>
      </w:r>
      <w:r w:rsidRPr="00E27443">
        <w:t>same</w:t>
      </w:r>
      <w:r w:rsidR="00C63F8F" w:rsidRPr="00E27443">
        <w:t xml:space="preserve"> </w:t>
      </w:r>
      <w:r w:rsidRPr="00E27443">
        <w:t>time</w:t>
      </w:r>
      <w:r w:rsidR="00C63F8F" w:rsidRPr="00E27443">
        <w:t xml:space="preserve"> </w:t>
      </w:r>
      <w:r w:rsidRPr="00E27443">
        <w:t>that</w:t>
      </w:r>
      <w:r w:rsidR="00C63F8F" w:rsidRPr="00E27443">
        <w:t xml:space="preserve"> </w:t>
      </w:r>
      <w:r w:rsidRPr="00E27443">
        <w:t>the</w:t>
      </w:r>
      <w:r w:rsidR="00C63F8F" w:rsidRPr="00E27443">
        <w:t xml:space="preserve"> </w:t>
      </w:r>
      <w:r w:rsidRPr="00E27443">
        <w:t>reform</w:t>
      </w:r>
      <w:r w:rsidR="00C63F8F" w:rsidRPr="00E27443">
        <w:t xml:space="preserve"> </w:t>
      </w:r>
      <w:r w:rsidRPr="00E27443">
        <w:t>should</w:t>
      </w:r>
      <w:r w:rsidR="00C63F8F" w:rsidRPr="00E27443">
        <w:t xml:space="preserve"> </w:t>
      </w:r>
      <w:r w:rsidRPr="00E27443">
        <w:t>increase</w:t>
      </w:r>
      <w:r w:rsidR="00C63F8F" w:rsidRPr="00E27443">
        <w:t xml:space="preserve"> </w:t>
      </w:r>
      <w:r w:rsidRPr="00E27443">
        <w:t>the</w:t>
      </w:r>
      <w:r w:rsidR="00C63F8F" w:rsidRPr="00E27443">
        <w:t xml:space="preserve"> </w:t>
      </w:r>
      <w:r w:rsidRPr="00E27443">
        <w:t>driving</w:t>
      </w:r>
      <w:r w:rsidR="00C63F8F" w:rsidRPr="00E27443">
        <w:t xml:space="preserve"> </w:t>
      </w:r>
      <w:r w:rsidRPr="00E27443">
        <w:t>forces</w:t>
      </w:r>
      <w:r w:rsidR="00C63F8F" w:rsidRPr="00E27443">
        <w:t xml:space="preserve"> </w:t>
      </w:r>
      <w:r w:rsidRPr="00E27443">
        <w:t>and</w:t>
      </w:r>
      <w:r w:rsidR="00C63F8F" w:rsidRPr="00E27443">
        <w:t xml:space="preserve"> </w:t>
      </w:r>
      <w:r w:rsidRPr="00E27443">
        <w:t>support</w:t>
      </w:r>
      <w:r w:rsidR="00C63F8F" w:rsidRPr="00E27443">
        <w:t xml:space="preserve"> </w:t>
      </w:r>
      <w:r w:rsidRPr="00E27443">
        <w:t>for</w:t>
      </w:r>
      <w:r w:rsidR="00C63F8F" w:rsidRPr="00E27443">
        <w:t xml:space="preserve"> </w:t>
      </w:r>
      <w:r w:rsidRPr="00E27443">
        <w:t>those</w:t>
      </w:r>
      <w:r w:rsidR="00C63F8F" w:rsidRPr="00E27443">
        <w:t xml:space="preserve"> </w:t>
      </w:r>
      <w:r w:rsidRPr="00E27443">
        <w:t>who</w:t>
      </w:r>
      <w:r w:rsidR="00C63F8F" w:rsidRPr="00E27443">
        <w:t xml:space="preserve"> </w:t>
      </w:r>
      <w:r w:rsidRPr="00E27443">
        <w:t>can</w:t>
      </w:r>
      <w:r w:rsidR="00C63F8F" w:rsidRPr="00E27443">
        <w:t xml:space="preserve"> </w:t>
      </w:r>
      <w:r w:rsidRPr="00E27443">
        <w:t>return</w:t>
      </w:r>
      <w:r w:rsidR="00C63F8F" w:rsidRPr="00E27443">
        <w:t xml:space="preserve"> </w:t>
      </w:r>
      <w:r w:rsidRPr="00E27443">
        <w:t>to</w:t>
      </w:r>
      <w:r w:rsidR="00C63F8F" w:rsidRPr="00E27443">
        <w:t xml:space="preserve"> </w:t>
      </w:r>
      <w:r w:rsidRPr="00E27443">
        <w:t>work.</w:t>
      </w:r>
      <w:r w:rsidR="00C63F8F" w:rsidRPr="00E27443">
        <w:t xml:space="preserve"> </w:t>
      </w:r>
      <w:r w:rsidRPr="00E27443">
        <w:t>Major</w:t>
      </w:r>
      <w:r w:rsidR="00C63F8F" w:rsidRPr="00E27443">
        <w:t xml:space="preserve"> </w:t>
      </w:r>
      <w:r w:rsidRPr="00E27443">
        <w:t>changes</w:t>
      </w:r>
      <w:r w:rsidR="00C63F8F" w:rsidRPr="00E27443">
        <w:t xml:space="preserve"> </w:t>
      </w:r>
      <w:r w:rsidRPr="00E27443">
        <w:t>such</w:t>
      </w:r>
      <w:r w:rsidR="00C63F8F" w:rsidRPr="00E27443">
        <w:t xml:space="preserve"> </w:t>
      </w:r>
      <w:r w:rsidRPr="00E27443">
        <w:t>as</w:t>
      </w:r>
      <w:r w:rsidR="00C63F8F" w:rsidRPr="00E27443">
        <w:t xml:space="preserve"> </w:t>
      </w:r>
      <w:r w:rsidRPr="00E27443">
        <w:t>the</w:t>
      </w:r>
      <w:r w:rsidR="00C63F8F" w:rsidRPr="00E27443">
        <w:t xml:space="preserve"> </w:t>
      </w:r>
      <w:r w:rsidRPr="00E27443">
        <w:t>health</w:t>
      </w:r>
      <w:r w:rsidR="00C63F8F" w:rsidRPr="00E27443">
        <w:t xml:space="preserve"> </w:t>
      </w:r>
      <w:r w:rsidRPr="00E27443">
        <w:t>insurance</w:t>
      </w:r>
      <w:r w:rsidR="00C63F8F" w:rsidRPr="00E27443">
        <w:t xml:space="preserve"> </w:t>
      </w:r>
      <w:r w:rsidRPr="00E27443">
        <w:t>reform</w:t>
      </w:r>
      <w:r w:rsidR="00C63F8F" w:rsidRPr="00E27443">
        <w:t xml:space="preserve"> </w:t>
      </w:r>
      <w:r w:rsidRPr="00E27443">
        <w:t>may</w:t>
      </w:r>
      <w:r w:rsidR="00C63F8F" w:rsidRPr="00E27443">
        <w:t xml:space="preserve"> </w:t>
      </w:r>
      <w:r w:rsidRPr="00E27443">
        <w:t>however</w:t>
      </w:r>
      <w:r w:rsidR="00C63F8F" w:rsidRPr="00E27443">
        <w:t xml:space="preserve"> </w:t>
      </w:r>
      <w:r w:rsidRPr="00E27443">
        <w:t>lead</w:t>
      </w:r>
      <w:r w:rsidR="00C63F8F" w:rsidRPr="00E27443">
        <w:t xml:space="preserve"> </w:t>
      </w:r>
      <w:r w:rsidRPr="00E27443">
        <w:t>to</w:t>
      </w:r>
      <w:r w:rsidR="00C63F8F" w:rsidRPr="00E27443">
        <w:t xml:space="preserve"> </w:t>
      </w:r>
      <w:r w:rsidRPr="00E27443">
        <w:t>individuals</w:t>
      </w:r>
      <w:r w:rsidR="00C63F8F" w:rsidRPr="00E27443">
        <w:t xml:space="preserve"> </w:t>
      </w:r>
      <w:r w:rsidRPr="00E27443">
        <w:t>being</w:t>
      </w:r>
      <w:r w:rsidR="00C63F8F" w:rsidRPr="00E27443">
        <w:t xml:space="preserve"> </w:t>
      </w:r>
      <w:r w:rsidRPr="00E27443">
        <w:t>affected</w:t>
      </w:r>
      <w:r w:rsidR="00C63F8F" w:rsidRPr="00E27443">
        <w:t xml:space="preserve"> </w:t>
      </w:r>
      <w:r w:rsidRPr="00E27443">
        <w:t>by</w:t>
      </w:r>
      <w:r w:rsidR="00C63F8F" w:rsidRPr="00E27443">
        <w:t xml:space="preserve"> </w:t>
      </w:r>
      <w:r w:rsidRPr="00E27443">
        <w:t>unreasonable,</w:t>
      </w:r>
      <w:r w:rsidR="00C63F8F" w:rsidRPr="00E27443">
        <w:t xml:space="preserve"> </w:t>
      </w:r>
      <w:r w:rsidRPr="00E27443">
        <w:t>unintended</w:t>
      </w:r>
      <w:r w:rsidR="00C63F8F" w:rsidRPr="00E27443">
        <w:t xml:space="preserve"> </w:t>
      </w:r>
      <w:r w:rsidRPr="00E27443">
        <w:t>consequences.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intends</w:t>
      </w:r>
      <w:r w:rsidR="00C63F8F" w:rsidRPr="00E27443">
        <w:t xml:space="preserve"> </w:t>
      </w:r>
      <w:r w:rsidRPr="00E27443">
        <w:t>to</w:t>
      </w:r>
      <w:r w:rsidR="00C63F8F" w:rsidRPr="00E27443">
        <w:t xml:space="preserve"> </w:t>
      </w:r>
      <w:r w:rsidRPr="00E27443">
        <w:t>continue</w:t>
      </w:r>
      <w:r w:rsidR="00C63F8F" w:rsidRPr="00E27443">
        <w:t xml:space="preserve"> </w:t>
      </w:r>
      <w:r w:rsidRPr="00E27443">
        <w:t>following</w:t>
      </w:r>
      <w:r w:rsidR="00C63F8F" w:rsidRPr="00E27443">
        <w:t xml:space="preserve"> </w:t>
      </w:r>
      <w:r w:rsidRPr="00E27443">
        <w:t>developments</w:t>
      </w:r>
      <w:r w:rsidR="00C63F8F" w:rsidRPr="00E27443">
        <w:t xml:space="preserve"> </w:t>
      </w:r>
      <w:r w:rsidRPr="00E27443">
        <w:t>in</w:t>
      </w:r>
      <w:r w:rsidR="00C63F8F" w:rsidRPr="00E27443">
        <w:t xml:space="preserve"> </w:t>
      </w:r>
      <w:r w:rsidRPr="00E27443">
        <w:t>this</w:t>
      </w:r>
      <w:r w:rsidR="00C63F8F" w:rsidRPr="00E27443">
        <w:t xml:space="preserve"> </w:t>
      </w:r>
      <w:r w:rsidRPr="00E27443">
        <w:t>respect,</w:t>
      </w:r>
      <w:r w:rsidR="00C63F8F" w:rsidRPr="00E27443">
        <w:t xml:space="preserve"> </w:t>
      </w:r>
      <w:r w:rsidRPr="00E27443">
        <w:t>and</w:t>
      </w:r>
      <w:r w:rsidR="00C63F8F" w:rsidRPr="00E27443">
        <w:t xml:space="preserve"> </w:t>
      </w:r>
      <w:r w:rsidRPr="00E27443">
        <w:t>in</w:t>
      </w:r>
      <w:r w:rsidR="00C63F8F" w:rsidRPr="00E27443">
        <w:t xml:space="preserve"> </w:t>
      </w:r>
      <w:r w:rsidRPr="00E27443">
        <w:t>the</w:t>
      </w:r>
      <w:r w:rsidR="00C63F8F" w:rsidRPr="00E27443">
        <w:t xml:space="preserve"> </w:t>
      </w:r>
      <w:r w:rsidRPr="00E27443">
        <w:t>near</w:t>
      </w:r>
      <w:r w:rsidR="00C63F8F" w:rsidRPr="00E27443">
        <w:t xml:space="preserve"> </w:t>
      </w:r>
      <w:r w:rsidRPr="00E27443">
        <w:t>future</w:t>
      </w:r>
      <w:r w:rsidR="00C63F8F" w:rsidRPr="00E27443">
        <w:t xml:space="preserve"> </w:t>
      </w:r>
      <w:r w:rsidRPr="00E27443">
        <w:t>to</w:t>
      </w:r>
      <w:r w:rsidR="00C63F8F" w:rsidRPr="00E27443">
        <w:t xml:space="preserve"> </w:t>
      </w:r>
      <w:r w:rsidRPr="00E27443">
        <w:t>review</w:t>
      </w:r>
      <w:r w:rsidR="00C63F8F" w:rsidRPr="00E27443">
        <w:t xml:space="preserve"> </w:t>
      </w:r>
      <w:r w:rsidRPr="00E27443">
        <w:t>whether</w:t>
      </w:r>
      <w:r w:rsidR="00C63F8F" w:rsidRPr="00E27443">
        <w:t xml:space="preserve"> </w:t>
      </w:r>
      <w:r w:rsidRPr="00E27443">
        <w:t>the</w:t>
      </w:r>
      <w:r w:rsidR="00C63F8F" w:rsidRPr="00E27443">
        <w:t xml:space="preserve"> </w:t>
      </w:r>
      <w:r w:rsidRPr="00E27443">
        <w:t>regulations</w:t>
      </w:r>
      <w:r w:rsidR="00C63F8F" w:rsidRPr="00E27443">
        <w:t xml:space="preserve"> </w:t>
      </w:r>
      <w:r w:rsidRPr="00E27443">
        <w:t>and</w:t>
      </w:r>
      <w:r w:rsidR="00C63F8F" w:rsidRPr="00E27443">
        <w:t xml:space="preserve"> </w:t>
      </w:r>
      <w:r w:rsidRPr="00E27443">
        <w:t>their</w:t>
      </w:r>
      <w:r w:rsidR="00C63F8F" w:rsidRPr="00E27443">
        <w:t xml:space="preserve"> </w:t>
      </w:r>
      <w:r w:rsidRPr="00E27443">
        <w:t>application</w:t>
      </w:r>
      <w:r w:rsidR="00C63F8F" w:rsidRPr="00E27443">
        <w:t xml:space="preserve"> </w:t>
      </w:r>
      <w:r w:rsidRPr="00E27443">
        <w:t>have</w:t>
      </w:r>
      <w:r w:rsidR="00C63F8F" w:rsidRPr="00E27443">
        <w:t xml:space="preserve"> </w:t>
      </w:r>
      <w:r w:rsidRPr="00E27443">
        <w:t>had</w:t>
      </w:r>
      <w:r w:rsidR="00C63F8F" w:rsidRPr="00E27443">
        <w:t xml:space="preserve"> </w:t>
      </w:r>
      <w:r w:rsidRPr="00E27443">
        <w:t>any</w:t>
      </w:r>
      <w:r w:rsidR="00C63F8F" w:rsidRPr="00E27443">
        <w:t xml:space="preserve"> </w:t>
      </w:r>
      <w:r w:rsidRPr="00E27443">
        <w:t>unintended</w:t>
      </w:r>
      <w:r w:rsidR="00C63F8F" w:rsidRPr="00E27443">
        <w:t xml:space="preserve"> </w:t>
      </w:r>
      <w:r w:rsidRPr="00E27443">
        <w:t>consequences</w:t>
      </w:r>
      <w:r w:rsidR="00C63F8F" w:rsidRPr="00E27443">
        <w:t xml:space="preserve"> </w:t>
      </w:r>
      <w:r w:rsidRPr="00E27443">
        <w:t>for</w:t>
      </w:r>
      <w:r w:rsidR="00C63F8F" w:rsidRPr="00E27443">
        <w:t xml:space="preserve"> </w:t>
      </w:r>
      <w:r w:rsidRPr="00E27443">
        <w:t>individuals.</w:t>
      </w:r>
    </w:p>
    <w:p w:rsidR="00321ADA" w:rsidRPr="00E27443" w:rsidRDefault="00321ADA" w:rsidP="00D10EB3">
      <w:pPr>
        <w:pStyle w:val="SingleTxtG"/>
        <w:numPr>
          <w:ilvl w:val="0"/>
          <w:numId w:val="20"/>
        </w:numPr>
        <w:tabs>
          <w:tab w:val="left" w:pos="1843"/>
        </w:tabs>
        <w:ind w:left="1134" w:firstLine="0"/>
      </w:pPr>
      <w:r w:rsidRPr="00E27443">
        <w:t>The</w:t>
      </w:r>
      <w:r w:rsidR="00C63F8F" w:rsidRPr="00E27443">
        <w:t xml:space="preserve"> </w:t>
      </w:r>
      <w:r w:rsidRPr="00D10EB3">
        <w:t>social</w:t>
      </w:r>
      <w:r w:rsidR="00C63F8F" w:rsidRPr="00D10EB3">
        <w:t xml:space="preserve"> </w:t>
      </w:r>
      <w:r w:rsidRPr="00D10EB3">
        <w:t>enterprises</w:t>
      </w:r>
      <w:r w:rsidR="00C63F8F" w:rsidRPr="00D10EB3">
        <w:t xml:space="preserve"> </w:t>
      </w:r>
      <w:r w:rsidRPr="00E27443">
        <w:t>(work-integration</w:t>
      </w:r>
      <w:r w:rsidR="00C63F8F" w:rsidRPr="00E27443">
        <w:t xml:space="preserve"> </w:t>
      </w:r>
      <w:r w:rsidRPr="00E27443">
        <w:t>enterprises)</w:t>
      </w:r>
      <w:r w:rsidR="00C63F8F" w:rsidRPr="00E27443">
        <w:t xml:space="preserve"> </w:t>
      </w:r>
      <w:r w:rsidRPr="00E27443">
        <w:t>play</w:t>
      </w:r>
      <w:r w:rsidR="00C63F8F" w:rsidRPr="00E27443">
        <w:t xml:space="preserve"> </w:t>
      </w:r>
      <w:r w:rsidRPr="00E27443">
        <w:t>an</w:t>
      </w:r>
      <w:r w:rsidR="00C63F8F" w:rsidRPr="00E27443">
        <w:t xml:space="preserve"> </w:t>
      </w:r>
      <w:r w:rsidRPr="00E27443">
        <w:t>important</w:t>
      </w:r>
      <w:r w:rsidR="00C63F8F" w:rsidRPr="00E27443">
        <w:t xml:space="preserve"> </w:t>
      </w:r>
      <w:r w:rsidRPr="00E27443">
        <w:t>role</w:t>
      </w:r>
      <w:r w:rsidR="00C63F8F" w:rsidRPr="00E27443">
        <w:t xml:space="preserve"> </w:t>
      </w:r>
      <w:r w:rsidRPr="00E27443">
        <w:t>in</w:t>
      </w:r>
      <w:r w:rsidR="00C63F8F" w:rsidRPr="00E27443">
        <w:t xml:space="preserve"> </w:t>
      </w:r>
      <w:r w:rsidRPr="00E27443">
        <w:t>offering</w:t>
      </w:r>
      <w:r w:rsidR="00C63F8F" w:rsidRPr="00E27443">
        <w:t xml:space="preserve"> </w:t>
      </w:r>
      <w:r w:rsidRPr="00E27443">
        <w:t>employment</w:t>
      </w:r>
      <w:r w:rsidR="00C63F8F" w:rsidRPr="00E27443">
        <w:t xml:space="preserve"> </w:t>
      </w:r>
      <w:r w:rsidRPr="00E27443">
        <w:t>and</w:t>
      </w:r>
      <w:r w:rsidR="00C63F8F" w:rsidRPr="00E27443">
        <w:t xml:space="preserve"> </w:t>
      </w:r>
      <w:r w:rsidRPr="00E27443">
        <w:t>job</w:t>
      </w:r>
      <w:r w:rsidR="00C63F8F" w:rsidRPr="00E27443">
        <w:t xml:space="preserve"> </w:t>
      </w:r>
      <w:r w:rsidRPr="00E27443">
        <w:t>opportunities,</w:t>
      </w:r>
      <w:r w:rsidR="00C63F8F" w:rsidRPr="00E27443">
        <w:t xml:space="preserve"> </w:t>
      </w:r>
      <w:r w:rsidRPr="00E27443">
        <w:t>including</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that</w:t>
      </w:r>
      <w:r w:rsidR="00C63F8F" w:rsidRPr="00E27443">
        <w:t xml:space="preserve"> </w:t>
      </w:r>
      <w:r w:rsidRPr="00E27443">
        <w:t>entail</w:t>
      </w:r>
      <w:r w:rsidR="00C63F8F" w:rsidRPr="00E27443">
        <w:t xml:space="preserve"> </w:t>
      </w:r>
      <w:r w:rsidRPr="00E27443">
        <w:t>a</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For</w:t>
      </w:r>
      <w:r w:rsidR="00C63F8F" w:rsidRPr="00E27443">
        <w:t xml:space="preserve"> </w:t>
      </w:r>
      <w:r w:rsidRPr="00E27443">
        <w:t>instance,</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procure</w:t>
      </w:r>
      <w:r w:rsidR="00C63F8F" w:rsidRPr="00E27443">
        <w:t xml:space="preserve"> </w:t>
      </w:r>
      <w:r w:rsidRPr="00E27443">
        <w:t>rehabilitation</w:t>
      </w:r>
      <w:r w:rsidR="00C63F8F" w:rsidRPr="00E27443">
        <w:t xml:space="preserve"> </w:t>
      </w:r>
      <w:r w:rsidRPr="00E27443">
        <w:t>and</w:t>
      </w:r>
      <w:r w:rsidR="00C63F8F" w:rsidRPr="00E27443">
        <w:t xml:space="preserve"> </w:t>
      </w:r>
      <w:r w:rsidRPr="00E27443">
        <w:t>other</w:t>
      </w:r>
      <w:r w:rsidR="00C63F8F" w:rsidRPr="00E27443">
        <w:t xml:space="preserve"> </w:t>
      </w:r>
      <w:r w:rsidRPr="00E27443">
        <w:t>support</w:t>
      </w:r>
      <w:r w:rsidR="00C63F8F" w:rsidRPr="00E27443">
        <w:t xml:space="preserve"> </w:t>
      </w:r>
      <w:r w:rsidRPr="00E27443">
        <w:t>services</w:t>
      </w:r>
      <w:r w:rsidR="00C63F8F" w:rsidRPr="00E27443">
        <w:t xml:space="preserve"> </w:t>
      </w:r>
      <w:r w:rsidRPr="00E27443">
        <w:t>in</w:t>
      </w:r>
      <w:r w:rsidR="00C63F8F" w:rsidRPr="00E27443">
        <w:t xml:space="preserve"> </w:t>
      </w:r>
      <w:r w:rsidRPr="00E27443">
        <w:t>social</w:t>
      </w:r>
      <w:r w:rsidR="00C63F8F" w:rsidRPr="00E27443">
        <w:t xml:space="preserve"> </w:t>
      </w:r>
      <w:r w:rsidRPr="00E27443">
        <w:t>enterprises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mental</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majority</w:t>
      </w:r>
      <w:r w:rsidR="00C63F8F" w:rsidRPr="00E27443">
        <w:t xml:space="preserve"> </w:t>
      </w:r>
      <w:r w:rsidRPr="00E27443">
        <w:t>of</w:t>
      </w:r>
      <w:r w:rsidR="00C63F8F" w:rsidRPr="00E27443">
        <w:t xml:space="preserve"> </w:t>
      </w:r>
      <w:r w:rsidRPr="00E27443">
        <w:t>the</w:t>
      </w:r>
      <w:r w:rsidR="00C63F8F" w:rsidRPr="00E27443">
        <w:t xml:space="preserve"> </w:t>
      </w:r>
      <w:r w:rsidRPr="00E27443">
        <w:t>employees</w:t>
      </w:r>
      <w:r w:rsidR="00C63F8F" w:rsidRPr="00E27443">
        <w:t xml:space="preserve"> </w:t>
      </w:r>
      <w:r w:rsidRPr="00E27443">
        <w:t>in</w:t>
      </w:r>
      <w:r w:rsidR="00C63F8F" w:rsidRPr="00E27443">
        <w:t xml:space="preserve"> </w:t>
      </w:r>
      <w:r w:rsidRPr="00E27443">
        <w:t>work-integration</w:t>
      </w:r>
      <w:r w:rsidR="00C63F8F" w:rsidRPr="00E27443">
        <w:t xml:space="preserve"> </w:t>
      </w:r>
      <w:r w:rsidRPr="00E27443">
        <w:t>social</w:t>
      </w:r>
      <w:r w:rsidR="00C63F8F" w:rsidRPr="00E27443">
        <w:t xml:space="preserve"> </w:t>
      </w:r>
      <w:r w:rsidRPr="00E27443">
        <w:t>enterprises</w:t>
      </w:r>
      <w:r w:rsidR="00C63F8F" w:rsidRPr="00E27443">
        <w:t xml:space="preserve"> </w:t>
      </w:r>
      <w:r w:rsidRPr="00E27443">
        <w:t>consist</w:t>
      </w:r>
      <w:r w:rsidR="00C63F8F" w:rsidRPr="00E27443">
        <w:t xml:space="preserve"> </w:t>
      </w:r>
      <w:r w:rsidRPr="00E27443">
        <w:t>of</w:t>
      </w:r>
      <w:r w:rsidR="00C63F8F" w:rsidRPr="00E27443">
        <w:t xml:space="preserve"> </w:t>
      </w:r>
      <w:r w:rsidRPr="00E27443">
        <w:t>people</w:t>
      </w:r>
      <w:r w:rsidR="00C63F8F" w:rsidRPr="00E27443">
        <w:t xml:space="preserve"> </w:t>
      </w:r>
      <w:r w:rsidRPr="00E27443">
        <w:t>who,</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disability,</w:t>
      </w:r>
      <w:r w:rsidR="00C63F8F" w:rsidRPr="00E27443">
        <w:t xml:space="preserve"> </w:t>
      </w:r>
      <w:r w:rsidRPr="00E27443">
        <w:t>have</w:t>
      </w:r>
      <w:r w:rsidR="00C63F8F" w:rsidRPr="00E27443">
        <w:t xml:space="preserve"> </w:t>
      </w:r>
      <w:r w:rsidRPr="00E27443">
        <w:t>not</w:t>
      </w:r>
      <w:r w:rsidR="00C63F8F" w:rsidRPr="00E27443">
        <w:t xml:space="preserve"> </w:t>
      </w:r>
      <w:r w:rsidRPr="00E27443">
        <w:t>had</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establish</w:t>
      </w:r>
      <w:r w:rsidR="00C63F8F" w:rsidRPr="00E27443">
        <w:t xml:space="preserve"> </w:t>
      </w:r>
      <w:r w:rsidRPr="00E27443">
        <w:t>themselves</w:t>
      </w:r>
      <w:r w:rsidR="00C63F8F" w:rsidRPr="00E27443">
        <w:t xml:space="preserve"> </w:t>
      </w:r>
      <w:r w:rsidRPr="00E27443">
        <w:t>or</w:t>
      </w:r>
      <w:r w:rsidR="00C63F8F" w:rsidRPr="00E27443">
        <w:t xml:space="preserve"> </w:t>
      </w:r>
      <w:r w:rsidRPr="00E27443">
        <w:t>who</w:t>
      </w:r>
      <w:r w:rsidR="00C63F8F" w:rsidRPr="00E27443">
        <w:t xml:space="preserve"> </w:t>
      </w:r>
      <w:r w:rsidRPr="00E27443">
        <w:t>have</w:t>
      </w:r>
      <w:r w:rsidR="00C63F8F" w:rsidRPr="00E27443">
        <w:t xml:space="preserve"> </w:t>
      </w:r>
      <w:r w:rsidRPr="00E27443">
        <w:t>lost</w:t>
      </w:r>
      <w:r w:rsidR="00C63F8F" w:rsidRPr="00E27443">
        <w:t xml:space="preserve"> </w:t>
      </w:r>
      <w:r w:rsidRPr="00E27443">
        <w:t>contact</w:t>
      </w:r>
      <w:r w:rsidR="00C63F8F" w:rsidRPr="00E27443">
        <w:t xml:space="preserve"> </w:t>
      </w:r>
      <w:r w:rsidRPr="00E27443">
        <w:t>with</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p>
    <w:p w:rsidR="00321ADA" w:rsidRPr="00E27443" w:rsidRDefault="00321ADA" w:rsidP="00D10EB3">
      <w:pPr>
        <w:pStyle w:val="SingleTxtG"/>
        <w:numPr>
          <w:ilvl w:val="0"/>
          <w:numId w:val="20"/>
        </w:numPr>
        <w:tabs>
          <w:tab w:val="left" w:pos="1843"/>
        </w:tabs>
        <w:ind w:left="1134" w:firstLine="0"/>
      </w:pPr>
      <w:r w:rsidRPr="00E27443">
        <w:t>The</w:t>
      </w:r>
      <w:r w:rsidR="00C63F8F" w:rsidRPr="00E27443">
        <w:t xml:space="preserve"> </w:t>
      </w:r>
      <w:r w:rsidRPr="00E27443">
        <w:t>number</w:t>
      </w:r>
      <w:r w:rsidR="00C63F8F" w:rsidRPr="00E27443">
        <w:t xml:space="preserve"> </w:t>
      </w:r>
      <w:r w:rsidRPr="00E27443">
        <w:t>of</w:t>
      </w:r>
      <w:r w:rsidR="00C63F8F" w:rsidRPr="00E27443">
        <w:t xml:space="preserve"> </w:t>
      </w:r>
      <w:r w:rsidRPr="00E27443">
        <w:t>social</w:t>
      </w:r>
      <w:r w:rsidR="00C63F8F" w:rsidRPr="00E27443">
        <w:t xml:space="preserve"> </w:t>
      </w:r>
      <w:r w:rsidRPr="00E27443">
        <w:t>enterprises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increased.</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most</w:t>
      </w:r>
      <w:r w:rsidR="00C63F8F" w:rsidRPr="00E27443">
        <w:t xml:space="preserve"> </w:t>
      </w:r>
      <w:r w:rsidRPr="00E27443">
        <w:t>recent</w:t>
      </w:r>
      <w:r w:rsidR="00C63F8F" w:rsidRPr="00E27443">
        <w:t xml:space="preserve"> </w:t>
      </w:r>
      <w:r w:rsidRPr="00E27443">
        <w:t>inventory</w:t>
      </w:r>
      <w:r w:rsidR="00C63F8F" w:rsidRPr="00E27443">
        <w:t xml:space="preserve"> </w:t>
      </w:r>
      <w:r w:rsidRPr="00E27443">
        <w:t>from</w:t>
      </w:r>
      <w:r w:rsidR="00C63F8F" w:rsidRPr="00E27443">
        <w:t xml:space="preserve"> </w:t>
      </w:r>
      <w:r w:rsidRPr="00E27443">
        <w:t>the</w:t>
      </w:r>
      <w:r w:rsidR="00C63F8F" w:rsidRPr="00E27443">
        <w:t xml:space="preserve"> </w:t>
      </w:r>
      <w:r w:rsidRPr="00E27443">
        <w:t>end</w:t>
      </w:r>
      <w:r w:rsidR="00C63F8F" w:rsidRPr="00E27443">
        <w:t xml:space="preserve"> </w:t>
      </w:r>
      <w:r w:rsidRPr="00E27443">
        <w:t>of</w:t>
      </w:r>
      <w:r w:rsidR="00C63F8F" w:rsidRPr="00E27443">
        <w:t xml:space="preserve"> </w:t>
      </w:r>
      <w:r w:rsidRPr="00E27443">
        <w:t>2009,</w:t>
      </w:r>
      <w:r w:rsidR="00C63F8F" w:rsidRPr="00E27443">
        <w:t xml:space="preserve"> </w:t>
      </w:r>
      <w:r w:rsidRPr="00E27443">
        <w:t>there</w:t>
      </w:r>
      <w:r w:rsidR="00C63F8F" w:rsidRPr="00E27443">
        <w:t xml:space="preserve"> </w:t>
      </w:r>
      <w:r w:rsidRPr="00E27443">
        <w:t>were</w:t>
      </w:r>
      <w:r w:rsidR="00C63F8F" w:rsidRPr="00E27443">
        <w:t xml:space="preserve"> </w:t>
      </w:r>
      <w:r w:rsidRPr="00E27443">
        <w:t>just</w:t>
      </w:r>
      <w:r w:rsidR="00C63F8F" w:rsidRPr="00E27443">
        <w:t xml:space="preserve"> </w:t>
      </w:r>
      <w:r w:rsidRPr="00E27443">
        <w:t>over</w:t>
      </w:r>
      <w:r w:rsidR="00C63F8F" w:rsidRPr="00E27443">
        <w:t xml:space="preserve"> </w:t>
      </w:r>
      <w:r w:rsidRPr="00E27443">
        <w:t>200</w:t>
      </w:r>
      <w:r w:rsidR="00C63F8F" w:rsidRPr="00E27443">
        <w:t xml:space="preserve"> </w:t>
      </w:r>
      <w:r w:rsidRPr="00E27443">
        <w:t>such</w:t>
      </w:r>
      <w:r w:rsidR="00C63F8F" w:rsidRPr="00E27443">
        <w:t xml:space="preserve"> </w:t>
      </w:r>
      <w:r w:rsidRPr="00E27443">
        <w:t>companies</w:t>
      </w:r>
      <w:r w:rsidR="00C63F8F" w:rsidRPr="00E27443">
        <w:t xml:space="preserve"> </w:t>
      </w:r>
      <w:r w:rsidRPr="00E27443">
        <w:t>compared</w:t>
      </w:r>
      <w:r w:rsidR="00C63F8F" w:rsidRPr="00E27443">
        <w:t xml:space="preserve"> </w:t>
      </w:r>
      <w:r w:rsidRPr="00E27443">
        <w:t>with</w:t>
      </w:r>
      <w:r w:rsidR="00C63F8F" w:rsidRPr="00E27443">
        <w:t xml:space="preserve"> </w:t>
      </w:r>
      <w:r w:rsidRPr="00E27443">
        <w:t>150</w:t>
      </w:r>
      <w:r w:rsidR="00C63F8F" w:rsidRPr="00E27443">
        <w:t xml:space="preserve"> </w:t>
      </w:r>
      <w:r w:rsidRPr="00E27443">
        <w:t>companies</w:t>
      </w:r>
      <w:r w:rsidR="00C63F8F" w:rsidRPr="00E27443">
        <w:t xml:space="preserve"> </w:t>
      </w:r>
      <w:r w:rsidRPr="00E27443">
        <w:t>in</w:t>
      </w:r>
      <w:r w:rsidR="00C63F8F" w:rsidRPr="00E27443">
        <w:t xml:space="preserve"> </w:t>
      </w:r>
      <w:r w:rsidRPr="00E27443">
        <w:t>2007.</w:t>
      </w:r>
      <w:r w:rsidR="00C63F8F" w:rsidRPr="00E27443">
        <w:t xml:space="preserve"> </w:t>
      </w:r>
      <w:r w:rsidRPr="00E27443">
        <w:t>Around</w:t>
      </w:r>
      <w:r w:rsidR="00C63F8F" w:rsidRPr="00E27443">
        <w:t xml:space="preserve"> </w:t>
      </w:r>
      <w:r w:rsidRPr="00E27443">
        <w:t>7,000</w:t>
      </w:r>
      <w:r w:rsidR="00C63F8F" w:rsidRPr="00E27443">
        <w:t xml:space="preserve"> </w:t>
      </w:r>
      <w:r w:rsidRPr="00E27443">
        <w:t>people</w:t>
      </w:r>
      <w:r w:rsidR="00C63F8F" w:rsidRPr="00E27443">
        <w:t xml:space="preserve"> </w:t>
      </w:r>
      <w:r w:rsidRPr="00E27443">
        <w:t>work</w:t>
      </w:r>
      <w:r w:rsidR="00C63F8F" w:rsidRPr="00E27443">
        <w:t xml:space="preserve"> </w:t>
      </w:r>
      <w:r w:rsidRPr="00E27443">
        <w:t>in</w:t>
      </w:r>
      <w:r w:rsidR="00C63F8F" w:rsidRPr="00E27443">
        <w:t xml:space="preserve"> </w:t>
      </w:r>
      <w:r w:rsidRPr="00E27443">
        <w:t>social</w:t>
      </w:r>
      <w:r w:rsidR="00C63F8F" w:rsidRPr="00E27443">
        <w:t xml:space="preserve"> </w:t>
      </w:r>
      <w:r w:rsidRPr="00E27443">
        <w:t>companies,</w:t>
      </w:r>
      <w:r w:rsidR="00C63F8F" w:rsidRPr="00E27443">
        <w:t xml:space="preserve"> </w:t>
      </w:r>
      <w:r w:rsidRPr="00E27443">
        <w:t>which</w:t>
      </w:r>
      <w:r w:rsidR="00C63F8F" w:rsidRPr="00E27443">
        <w:t xml:space="preserve"> </w:t>
      </w:r>
      <w:r w:rsidRPr="00E27443">
        <w:t>represents</w:t>
      </w:r>
      <w:r w:rsidR="00C63F8F" w:rsidRPr="00E27443">
        <w:t xml:space="preserve"> </w:t>
      </w:r>
      <w:r w:rsidRPr="00E27443">
        <w:t>an</w:t>
      </w:r>
      <w:r w:rsidR="00C63F8F" w:rsidRPr="00E27443">
        <w:t xml:space="preserve"> </w:t>
      </w:r>
      <w:r w:rsidRPr="00E27443">
        <w:t>increase</w:t>
      </w:r>
      <w:r w:rsidR="00C63F8F" w:rsidRPr="00E27443">
        <w:t xml:space="preserve"> </w:t>
      </w:r>
      <w:r w:rsidRPr="00E27443">
        <w:t>from</w:t>
      </w:r>
      <w:r w:rsidR="00C63F8F" w:rsidRPr="00E27443">
        <w:t xml:space="preserve"> </w:t>
      </w:r>
      <w:r w:rsidRPr="00E27443">
        <w:t>approximately</w:t>
      </w:r>
      <w:r w:rsidR="00C63F8F" w:rsidRPr="00E27443">
        <w:t xml:space="preserve"> </w:t>
      </w:r>
      <w:r w:rsidRPr="00E27443">
        <w:t>4,000</w:t>
      </w:r>
      <w:r w:rsidR="00C63F8F" w:rsidRPr="00E27443">
        <w:t xml:space="preserve"> </w:t>
      </w:r>
      <w:r w:rsidRPr="00E27443">
        <w:t>in</w:t>
      </w:r>
      <w:r w:rsidR="00C63F8F" w:rsidRPr="00E27443">
        <w:t xml:space="preserve"> </w:t>
      </w:r>
      <w:r w:rsidRPr="00E27443">
        <w:t>2007.</w:t>
      </w:r>
      <w:r w:rsidR="00C63F8F" w:rsidRPr="00E27443">
        <w:t xml:space="preserve"> </w:t>
      </w:r>
      <w:r w:rsidRPr="00E27443">
        <w:t>This</w:t>
      </w:r>
      <w:r w:rsidR="00C63F8F" w:rsidRPr="00E27443">
        <w:t xml:space="preserve"> </w:t>
      </w:r>
      <w:r w:rsidRPr="00E27443">
        <w:t>refers</w:t>
      </w:r>
      <w:r w:rsidR="00C63F8F" w:rsidRPr="00E27443">
        <w:t xml:space="preserve"> </w:t>
      </w:r>
      <w:r w:rsidRPr="00E27443">
        <w:t>to</w:t>
      </w:r>
      <w:r w:rsidR="00C63F8F" w:rsidRPr="00E27443">
        <w:t xml:space="preserve"> </w:t>
      </w:r>
      <w:r w:rsidRPr="00E27443">
        <w:t>all</w:t>
      </w:r>
      <w:r w:rsidR="00C63F8F" w:rsidRPr="00E27443">
        <w:t xml:space="preserve"> </w:t>
      </w:r>
      <w:r w:rsidRPr="00E27443">
        <w:t>those</w:t>
      </w:r>
      <w:r w:rsidR="00C63F8F" w:rsidRPr="00E27443">
        <w:t xml:space="preserve"> </w:t>
      </w:r>
      <w:r w:rsidRPr="00E27443">
        <w:t>who</w:t>
      </w:r>
      <w:r w:rsidR="00C63F8F" w:rsidRPr="00E27443">
        <w:t xml:space="preserve"> </w:t>
      </w:r>
      <w:r w:rsidRPr="00E27443">
        <w:t>regularly</w:t>
      </w:r>
      <w:r w:rsidR="00C63F8F" w:rsidRPr="00E27443">
        <w:t xml:space="preserve"> </w:t>
      </w:r>
      <w:r w:rsidRPr="00E27443">
        <w:t>perform</w:t>
      </w:r>
      <w:r w:rsidR="00C63F8F" w:rsidRPr="00E27443">
        <w:t xml:space="preserve"> </w:t>
      </w:r>
      <w:r w:rsidRPr="00E27443">
        <w:t>work</w:t>
      </w:r>
      <w:r w:rsidR="00C63F8F" w:rsidRPr="00E27443">
        <w:t xml:space="preserve"> </w:t>
      </w:r>
      <w:r w:rsidRPr="00E27443">
        <w:t>in</w:t>
      </w:r>
      <w:r w:rsidR="00C63F8F" w:rsidRPr="00E27443">
        <w:t xml:space="preserve"> </w:t>
      </w:r>
      <w:r w:rsidRPr="00E27443">
        <w:t>the</w:t>
      </w:r>
      <w:r w:rsidR="00C63F8F" w:rsidRPr="00E27443">
        <w:t xml:space="preserve"> </w:t>
      </w:r>
      <w:r w:rsidRPr="00E27443">
        <w:t>enterprises,</w:t>
      </w:r>
      <w:r w:rsidR="00C63F8F" w:rsidRPr="00E27443">
        <w:t xml:space="preserve"> </w:t>
      </w:r>
      <w:r w:rsidRPr="00E27443">
        <w:t>i.e.</w:t>
      </w:r>
      <w:r w:rsidR="00C63F8F" w:rsidRPr="00E27443">
        <w:t xml:space="preserve"> </w:t>
      </w:r>
      <w:r w:rsidRPr="00E27443">
        <w:t>both</w:t>
      </w:r>
      <w:r w:rsidR="00C63F8F" w:rsidRPr="00E27443">
        <w:t xml:space="preserve"> </w:t>
      </w:r>
      <w:r w:rsidRPr="00E27443">
        <w:t>employees</w:t>
      </w:r>
      <w:r w:rsidR="00C63F8F" w:rsidRPr="00E27443">
        <w:t xml:space="preserve"> </w:t>
      </w:r>
      <w:r w:rsidRPr="00E27443">
        <w:t>and</w:t>
      </w:r>
      <w:r w:rsidR="00C63F8F" w:rsidRPr="00E27443">
        <w:t xml:space="preserve"> </w:t>
      </w:r>
      <w:r w:rsidRPr="00E27443">
        <w:t>individuals</w:t>
      </w:r>
      <w:r w:rsidR="00C63F8F" w:rsidRPr="00E27443">
        <w:t xml:space="preserve"> </w:t>
      </w:r>
      <w:r w:rsidRPr="00E27443">
        <w:t>who</w:t>
      </w:r>
      <w:r w:rsidR="00C63F8F" w:rsidRPr="00E27443">
        <w:t xml:space="preserve"> </w:t>
      </w:r>
      <w:r w:rsidRPr="00E27443">
        <w:t>in</w:t>
      </w:r>
      <w:r w:rsidR="00C63F8F" w:rsidRPr="00E27443">
        <w:t xml:space="preserve"> </w:t>
      </w:r>
      <w:r w:rsidRPr="00E27443">
        <w:t>various</w:t>
      </w:r>
      <w:r w:rsidR="00C63F8F" w:rsidRPr="00E27443">
        <w:t xml:space="preserve"> </w:t>
      </w:r>
      <w:r w:rsidRPr="00E27443">
        <w:t>ways</w:t>
      </w:r>
      <w:r w:rsidR="00C63F8F" w:rsidRPr="00E27443">
        <w:t xml:space="preserve"> </w:t>
      </w:r>
      <w:r w:rsidRPr="00E27443">
        <w:t>are</w:t>
      </w:r>
      <w:r w:rsidR="00C63F8F" w:rsidRPr="00E27443">
        <w:t xml:space="preserve"> </w:t>
      </w:r>
      <w:r w:rsidRPr="00E27443">
        <w:t>participating</w:t>
      </w:r>
      <w:r w:rsidR="00C63F8F" w:rsidRPr="00E27443">
        <w:t xml:space="preserve"> </w:t>
      </w:r>
      <w:r w:rsidRPr="00E27443">
        <w:t>in</w:t>
      </w:r>
      <w:r w:rsidR="00C63F8F" w:rsidRPr="00E27443">
        <w:t xml:space="preserve"> </w:t>
      </w:r>
      <w:r w:rsidRPr="00E27443">
        <w:t>rehabilitation,</w:t>
      </w:r>
      <w:r w:rsidR="00C63F8F" w:rsidRPr="00E27443">
        <w:t xml:space="preserve"> </w:t>
      </w:r>
      <w:r w:rsidRPr="00E27443">
        <w:t>work</w:t>
      </w:r>
      <w:r w:rsidR="00C63F8F" w:rsidRPr="00E27443">
        <w:t xml:space="preserve"> </w:t>
      </w:r>
      <w:r w:rsidRPr="00E27443">
        <w:t>training,</w:t>
      </w:r>
      <w:r w:rsidR="00C63F8F" w:rsidRPr="00E27443">
        <w:t xml:space="preserve"> </w:t>
      </w:r>
      <w:r w:rsidRPr="00E27443">
        <w:t>practical</w:t>
      </w:r>
      <w:r w:rsidR="00C63F8F" w:rsidRPr="00E27443">
        <w:t xml:space="preserve"> </w:t>
      </w:r>
      <w:r w:rsidRPr="00E27443">
        <w:t>work</w:t>
      </w:r>
      <w:r w:rsidR="00C63F8F" w:rsidRPr="00E27443">
        <w:t xml:space="preserve"> </w:t>
      </w:r>
      <w:r w:rsidRPr="00E27443">
        <w:t>experience</w:t>
      </w:r>
      <w:r w:rsidR="00C63F8F" w:rsidRPr="00E27443">
        <w:t xml:space="preserve"> </w:t>
      </w:r>
      <w:r w:rsidRPr="00E27443">
        <w:t>or</w:t>
      </w:r>
      <w:r w:rsidR="00C63F8F" w:rsidRPr="00E27443">
        <w:t xml:space="preserve"> </w:t>
      </w:r>
      <w:r w:rsidRPr="00E27443">
        <w:t>day-to-day</w:t>
      </w:r>
      <w:r w:rsidR="00C63F8F" w:rsidRPr="00E27443">
        <w:t xml:space="preserve"> </w:t>
      </w:r>
      <w:r w:rsidRPr="00E27443">
        <w:t>activities,</w:t>
      </w:r>
      <w:r w:rsidR="00C63F8F" w:rsidRPr="00E27443">
        <w:t xml:space="preserve"> </w:t>
      </w:r>
      <w:r w:rsidRPr="00E27443">
        <w:t>etc.</w:t>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E27443">
        <w:t>In</w:t>
      </w:r>
      <w:r w:rsidR="00C63F8F" w:rsidRPr="00E27443">
        <w:t xml:space="preserve"> </w:t>
      </w:r>
      <w:r w:rsidRPr="00E27443">
        <w:t>April</w:t>
      </w:r>
      <w:r w:rsidR="00C63F8F" w:rsidRPr="00E27443">
        <w:t xml:space="preserve"> </w:t>
      </w:r>
      <w:r w:rsidRPr="00E27443">
        <w:t>2010,</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decided</w:t>
      </w:r>
      <w:r w:rsidR="00C63F8F" w:rsidRPr="00E27443">
        <w:t xml:space="preserve"> </w:t>
      </w:r>
      <w:r w:rsidRPr="00E27443">
        <w:t>on</w:t>
      </w:r>
      <w:r w:rsidR="00C63F8F" w:rsidRPr="00E27443">
        <w:t xml:space="preserve"> </w:t>
      </w:r>
      <w:r w:rsidRPr="00E27443">
        <w:t>an</w:t>
      </w:r>
      <w:r w:rsidR="00C63F8F" w:rsidRPr="00E27443">
        <w:t xml:space="preserve"> </w:t>
      </w:r>
      <w:r w:rsidRPr="00E27443">
        <w:t>action</w:t>
      </w:r>
      <w:r w:rsidR="00C63F8F" w:rsidRPr="00E27443">
        <w:t xml:space="preserve"> </w:t>
      </w:r>
      <w:r w:rsidRPr="00E27443">
        <w:t>plan</w:t>
      </w:r>
      <w:r w:rsidR="00C63F8F" w:rsidRPr="00E27443">
        <w:t xml:space="preserve"> </w:t>
      </w:r>
      <w:r w:rsidRPr="00E27443">
        <w:t>for</w:t>
      </w:r>
      <w:r w:rsidR="00C63F8F" w:rsidRPr="00E27443">
        <w:t xml:space="preserve"> </w:t>
      </w:r>
      <w:r w:rsidRPr="00E27443">
        <w:t>work-integration</w:t>
      </w:r>
      <w:r w:rsidR="00C63F8F" w:rsidRPr="00E27443">
        <w:t xml:space="preserve"> </w:t>
      </w:r>
      <w:r w:rsidRPr="00E27443">
        <w:t>social</w:t>
      </w:r>
      <w:r w:rsidR="00C63F8F" w:rsidRPr="00E27443">
        <w:t xml:space="preserve"> </w:t>
      </w:r>
      <w:r w:rsidRPr="00E27443">
        <w:t>enterprises.</w:t>
      </w:r>
      <w:r w:rsidR="00C63F8F" w:rsidRPr="00E27443">
        <w:t xml:space="preserve"> </w:t>
      </w:r>
      <w:r w:rsidRPr="00E27443">
        <w:t>In</w:t>
      </w:r>
      <w:r w:rsidR="00C63F8F" w:rsidRPr="00E27443">
        <w:t xml:space="preserve"> </w:t>
      </w:r>
      <w:r w:rsidRPr="00E27443">
        <w:t>this</w:t>
      </w:r>
      <w:r w:rsidR="00C63F8F" w:rsidRPr="00E27443">
        <w:t xml:space="preserve"> </w:t>
      </w:r>
      <w:r w:rsidRPr="00E27443">
        <w:t>action</w:t>
      </w:r>
      <w:r w:rsidR="00C63F8F" w:rsidRPr="00E27443">
        <w:t xml:space="preserve"> </w:t>
      </w:r>
      <w:r w:rsidRPr="00E27443">
        <w:t>plan,</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initiatives</w:t>
      </w:r>
      <w:r w:rsidR="00C63F8F" w:rsidRPr="00E27443">
        <w:t xml:space="preserve"> </w:t>
      </w:r>
      <w:r w:rsidRPr="00E27443">
        <w:t>were</w:t>
      </w:r>
      <w:r w:rsidR="00C63F8F" w:rsidRPr="00E27443">
        <w:t xml:space="preserve"> </w:t>
      </w:r>
      <w:r w:rsidRPr="00E27443">
        <w:t>decided</w:t>
      </w:r>
      <w:r w:rsidR="00C63F8F" w:rsidRPr="00E27443">
        <w:t xml:space="preserve"> </w:t>
      </w:r>
      <w:r w:rsidRPr="00E27443">
        <w:t>on,</w:t>
      </w:r>
      <w:r w:rsidR="00C63F8F" w:rsidRPr="00E27443">
        <w:t xml:space="preserve"> </w:t>
      </w:r>
      <w:r w:rsidRPr="00E27443">
        <w:t>to</w:t>
      </w:r>
      <w:r w:rsidR="00C63F8F" w:rsidRPr="00E27443">
        <w:t xml:space="preserve"> </w:t>
      </w:r>
      <w:r w:rsidRPr="00E27443">
        <w:t>be</w:t>
      </w:r>
      <w:r w:rsidR="00C63F8F" w:rsidRPr="00E27443">
        <w:t xml:space="preserve"> </w:t>
      </w:r>
      <w:r w:rsidRPr="00E27443">
        <w:t>implemented</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facilitating</w:t>
      </w:r>
      <w:r w:rsidR="00C63F8F" w:rsidRPr="00E27443">
        <w:t xml:space="preserve"> </w:t>
      </w:r>
      <w:r w:rsidRPr="00E27443">
        <w:t>more,</w:t>
      </w:r>
      <w:r w:rsidR="00C63F8F" w:rsidRPr="00E27443">
        <w:t xml:space="preserve"> </w:t>
      </w:r>
      <w:r w:rsidRPr="00E27443">
        <w:t>growing</w:t>
      </w:r>
      <w:r w:rsidR="00C63F8F" w:rsidRPr="00E27443">
        <w:t xml:space="preserve"> </w:t>
      </w:r>
      <w:r w:rsidRPr="00E27443">
        <w:t>social</w:t>
      </w:r>
      <w:r w:rsidR="00C63F8F" w:rsidRPr="00E27443">
        <w:t xml:space="preserve"> </w:t>
      </w:r>
      <w:r w:rsidRPr="00E27443">
        <w:t>enterprises.</w:t>
      </w:r>
      <w:r w:rsidR="00C63F8F" w:rsidRPr="00E27443">
        <w:t xml:space="preserve"> </w:t>
      </w:r>
      <w:r w:rsidRPr="00E27443">
        <w:t>The</w:t>
      </w:r>
      <w:r w:rsidR="00C63F8F" w:rsidRPr="00E27443">
        <w:t xml:space="preserve"> </w:t>
      </w:r>
      <w:r w:rsidRPr="00E27443">
        <w:t>action</w:t>
      </w:r>
      <w:r w:rsidR="00C63F8F" w:rsidRPr="00E27443">
        <w:t xml:space="preserve"> </w:t>
      </w:r>
      <w:r w:rsidRPr="00E27443">
        <w:t>plan</w:t>
      </w:r>
      <w:r w:rsidR="00C63F8F" w:rsidRPr="00E27443">
        <w:t xml:space="preserve"> </w:t>
      </w:r>
      <w:r w:rsidRPr="00E27443">
        <w:t>will</w:t>
      </w:r>
      <w:r w:rsidR="00C63F8F" w:rsidRPr="00E27443">
        <w:t xml:space="preserve"> </w:t>
      </w:r>
      <w:r w:rsidRPr="00E27443">
        <w:t>be</w:t>
      </w:r>
      <w:r w:rsidR="00C63F8F" w:rsidRPr="00E27443">
        <w:t xml:space="preserve"> </w:t>
      </w:r>
      <w:r w:rsidRPr="00E27443">
        <w:t>followed</w:t>
      </w:r>
      <w:r w:rsidR="00C63F8F" w:rsidRPr="00E27443">
        <w:t xml:space="preserve"> </w:t>
      </w:r>
      <w:r w:rsidRPr="00E27443">
        <w:t>by</w:t>
      </w:r>
      <w:r w:rsidR="00C63F8F" w:rsidRPr="00E27443">
        <w:t xml:space="preserve"> </w:t>
      </w:r>
      <w:r w:rsidRPr="00E27443">
        <w:t>commissions</w:t>
      </w:r>
      <w:r w:rsidR="00C63F8F" w:rsidRPr="00E27443">
        <w:t xml:space="preserve"> </w:t>
      </w:r>
      <w:r w:rsidRPr="00E27443">
        <w:t>for</w:t>
      </w:r>
      <w:r w:rsidR="00C63F8F" w:rsidRPr="00E27443">
        <w:t xml:space="preserve"> </w:t>
      </w:r>
      <w:r w:rsidRPr="00E27443">
        <w:t>several</w:t>
      </w:r>
      <w:r w:rsidR="00C63F8F" w:rsidRPr="00E27443">
        <w:t xml:space="preserve"> </w:t>
      </w:r>
      <w:r w:rsidRPr="00E27443">
        <w:t>authorities</w:t>
      </w:r>
      <w:r w:rsidR="00C63F8F" w:rsidRPr="00E27443">
        <w:t xml:space="preserve"> </w:t>
      </w:r>
      <w:r w:rsidRPr="00E27443">
        <w:t>to</w:t>
      </w:r>
      <w:r w:rsidR="00C63F8F" w:rsidRPr="00E27443">
        <w:t xml:space="preserve"> </w:t>
      </w:r>
      <w:r w:rsidRPr="00E27443">
        <w:t>conduct</w:t>
      </w:r>
      <w:r w:rsidR="00C63F8F" w:rsidRPr="00E27443">
        <w:t xml:space="preserve"> </w:t>
      </w:r>
      <w:r w:rsidRPr="00E27443">
        <w:t>the</w:t>
      </w:r>
      <w:r w:rsidR="00C63F8F" w:rsidRPr="00E27443">
        <w:t xml:space="preserve"> </w:t>
      </w:r>
      <w:r w:rsidRPr="00E27443">
        <w:t>measures</w:t>
      </w:r>
      <w:r w:rsidR="00C63F8F" w:rsidRPr="00E27443">
        <w:t xml:space="preserve"> </w:t>
      </w:r>
      <w:r w:rsidRPr="00E27443">
        <w:t>that</w:t>
      </w:r>
      <w:r w:rsidR="00C63F8F" w:rsidRPr="00E27443">
        <w:t xml:space="preserve"> </w:t>
      </w:r>
      <w:r w:rsidRPr="00E27443">
        <w:t>were</w:t>
      </w:r>
      <w:r w:rsidR="00C63F8F" w:rsidRPr="00E27443">
        <w:t xml:space="preserve"> </w:t>
      </w:r>
      <w:r w:rsidRPr="00E27443">
        <w:t>decided</w:t>
      </w:r>
      <w:r w:rsidR="00C63F8F" w:rsidRPr="00E27443">
        <w:t xml:space="preserve"> </w:t>
      </w:r>
      <w:r w:rsidRPr="00E27443">
        <w:t>on.</w:t>
      </w:r>
    </w:p>
    <w:p w:rsidR="00321ADA" w:rsidRPr="00E27443" w:rsidRDefault="00321ADA" w:rsidP="00D10EB3">
      <w:pPr>
        <w:pStyle w:val="SingleTxtG"/>
        <w:numPr>
          <w:ilvl w:val="0"/>
          <w:numId w:val="20"/>
        </w:numPr>
        <w:tabs>
          <w:tab w:val="left" w:pos="1843"/>
        </w:tabs>
        <w:ind w:left="1134" w:firstLine="0"/>
      </w:pPr>
      <w:r w:rsidRPr="00E27443">
        <w:t>Employees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are</w:t>
      </w:r>
      <w:r w:rsidR="00C63F8F" w:rsidRPr="00E27443">
        <w:t xml:space="preserve"> </w:t>
      </w:r>
      <w:r w:rsidRPr="00E27443">
        <w:t>covered</w:t>
      </w:r>
      <w:r w:rsidR="00C63F8F" w:rsidRPr="00E27443">
        <w:t xml:space="preserve"> </w:t>
      </w:r>
      <w:r w:rsidRPr="00E27443">
        <w:t>by</w:t>
      </w:r>
      <w:r w:rsidR="00C63F8F" w:rsidRPr="00E27443">
        <w:t xml:space="preserve"> </w:t>
      </w:r>
      <w:r w:rsidRPr="00E27443">
        <w:t>legal</w:t>
      </w:r>
      <w:r w:rsidR="00C63F8F" w:rsidRPr="00E27443">
        <w:t xml:space="preserve"> </w:t>
      </w:r>
      <w:r w:rsidRPr="00E27443">
        <w:t>protection</w:t>
      </w:r>
      <w:r w:rsidR="00C63F8F" w:rsidRPr="00E27443">
        <w:t xml:space="preserve"> </w:t>
      </w:r>
      <w:r w:rsidRPr="00E27443">
        <w:t>against</w:t>
      </w:r>
      <w:r w:rsidR="00C63F8F" w:rsidRPr="00E27443">
        <w:t xml:space="preserve"> </w:t>
      </w:r>
      <w:r w:rsidRPr="00D10EB3">
        <w:t>unjustified</w:t>
      </w:r>
      <w:r w:rsidR="00C63F8F" w:rsidRPr="00D10EB3">
        <w:t xml:space="preserve"> </w:t>
      </w:r>
      <w:r w:rsidRPr="00D10EB3">
        <w:t>dismissal</w:t>
      </w:r>
      <w:r w:rsidR="00C63F8F" w:rsidRPr="00E27443">
        <w:t xml:space="preserve"> </w:t>
      </w:r>
      <w:r w:rsidRPr="00E27443">
        <w:t>through</w:t>
      </w:r>
      <w:r w:rsidR="00C63F8F" w:rsidRPr="00E27443">
        <w:t xml:space="preserve"> </w:t>
      </w:r>
      <w:r w:rsidRPr="00E27443">
        <w:t>the</w:t>
      </w:r>
      <w:r w:rsidR="00C63F8F" w:rsidRPr="00E27443">
        <w:t xml:space="preserve"> </w:t>
      </w:r>
      <w:r w:rsidRPr="00E27443">
        <w:t>requirement</w:t>
      </w:r>
      <w:r w:rsidR="00C63F8F" w:rsidRPr="00E27443">
        <w:t xml:space="preserve"> </w:t>
      </w:r>
      <w:r w:rsidRPr="00E27443">
        <w:t>for</w:t>
      </w:r>
      <w:r w:rsidR="00C63F8F" w:rsidRPr="00E27443">
        <w:t xml:space="preserve"> </w:t>
      </w:r>
      <w:r w:rsidRPr="00E27443">
        <w:t>reasonable</w:t>
      </w:r>
      <w:r w:rsidR="00C63F8F" w:rsidRPr="00E27443">
        <w:t xml:space="preserve"> </w:t>
      </w:r>
      <w:r w:rsidRPr="00E27443">
        <w:t>grounds.</w:t>
      </w:r>
      <w:r w:rsidR="008238A7" w:rsidRPr="00D10EB3">
        <w:footnoteReference w:id="123"/>
      </w:r>
      <w:r w:rsidR="00C63F8F" w:rsidRPr="00E27443">
        <w:t xml:space="preserve"> </w:t>
      </w:r>
      <w:r w:rsidRPr="00E27443">
        <w:t>This</w:t>
      </w:r>
      <w:r w:rsidR="00C63F8F" w:rsidRPr="00E27443">
        <w:t xml:space="preserve"> </w:t>
      </w:r>
      <w:r w:rsidRPr="00E27443">
        <w:t>covers</w:t>
      </w:r>
      <w:r w:rsidR="00C63F8F" w:rsidRPr="00E27443">
        <w:t xml:space="preserve"> </w:t>
      </w:r>
      <w:r w:rsidRPr="00E27443">
        <w:t>everyone,</w:t>
      </w:r>
      <w:r w:rsidR="00C63F8F" w:rsidRPr="00E27443">
        <w:t xml:space="preserve"> </w:t>
      </w:r>
      <w:r w:rsidRPr="00E27443">
        <w:t>including</w:t>
      </w:r>
      <w:r w:rsidR="00C63F8F" w:rsidRPr="00E27443">
        <w:t xml:space="preserve"> </w:t>
      </w:r>
      <w:r w:rsidRPr="00E27443">
        <w:t>employees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Redundancy</w:t>
      </w:r>
      <w:r w:rsidR="00C63F8F" w:rsidRPr="00E27443">
        <w:t xml:space="preserve"> </w:t>
      </w:r>
      <w:r w:rsidRPr="00E27443">
        <w:t>is</w:t>
      </w:r>
      <w:r w:rsidR="00C63F8F" w:rsidRPr="00E27443">
        <w:t xml:space="preserve"> </w:t>
      </w:r>
      <w:r w:rsidRPr="00E27443">
        <w:t>an</w:t>
      </w:r>
      <w:r w:rsidR="00C63F8F" w:rsidRPr="00E27443">
        <w:t xml:space="preserve"> </w:t>
      </w:r>
      <w:r w:rsidRPr="00E27443">
        <w:t>acceptable</w:t>
      </w:r>
      <w:r w:rsidR="00C63F8F" w:rsidRPr="00E27443">
        <w:t xml:space="preserve"> </w:t>
      </w:r>
      <w:r w:rsidRPr="00E27443">
        <w:t>reason</w:t>
      </w:r>
      <w:r w:rsidR="00C63F8F" w:rsidRPr="00E27443">
        <w:t xml:space="preserve"> </w:t>
      </w:r>
      <w:r w:rsidRPr="00E27443">
        <w:t>for</w:t>
      </w:r>
      <w:r w:rsidR="00C63F8F" w:rsidRPr="00E27443">
        <w:t xml:space="preserve"> </w:t>
      </w:r>
      <w:r w:rsidRPr="00E27443">
        <w:t>dismissing</w:t>
      </w:r>
      <w:r w:rsidR="00C63F8F" w:rsidRPr="00E27443">
        <w:t xml:space="preserve"> </w:t>
      </w:r>
      <w:r w:rsidRPr="00E27443">
        <w:t>an</w:t>
      </w:r>
      <w:r w:rsidR="00C63F8F" w:rsidRPr="00E27443">
        <w:t xml:space="preserve"> </w:t>
      </w:r>
      <w:r w:rsidRPr="00E27443">
        <w:t>employee.</w:t>
      </w:r>
      <w:r w:rsidR="00C63F8F" w:rsidRPr="00E27443">
        <w:t xml:space="preserve"> </w:t>
      </w:r>
      <w:r w:rsidRPr="00E27443">
        <w:t>In</w:t>
      </w:r>
      <w:r w:rsidR="00C63F8F" w:rsidRPr="00E27443">
        <w:t xml:space="preserve"> </w:t>
      </w:r>
      <w:r w:rsidRPr="00E27443">
        <w:t>the</w:t>
      </w:r>
      <w:r w:rsidR="00C63F8F" w:rsidRPr="00E27443">
        <w:t xml:space="preserve"> </w:t>
      </w:r>
      <w:r w:rsidRPr="00E27443">
        <w:t>event</w:t>
      </w:r>
      <w:r w:rsidR="00C63F8F" w:rsidRPr="00E27443">
        <w:t xml:space="preserve"> </w:t>
      </w:r>
      <w:r w:rsidRPr="00E27443">
        <w:t>of</w:t>
      </w:r>
      <w:r w:rsidR="00C63F8F" w:rsidRPr="00E27443">
        <w:t xml:space="preserve"> </w:t>
      </w:r>
      <w:r w:rsidRPr="00E27443">
        <w:t>redundancy,</w:t>
      </w:r>
      <w:r w:rsidR="00C63F8F" w:rsidRPr="00E27443">
        <w:t xml:space="preserve"> </w:t>
      </w:r>
      <w:r w:rsidRPr="00E27443">
        <w:t>the</w:t>
      </w:r>
      <w:r w:rsidR="00C63F8F" w:rsidRPr="00E27443">
        <w:t xml:space="preserve"> </w:t>
      </w:r>
      <w:r w:rsidRPr="00E27443">
        <w:t>employees</w:t>
      </w:r>
      <w:r w:rsidR="00C63F8F" w:rsidRPr="00E27443">
        <w:t xml:space="preserve"> </w:t>
      </w:r>
      <w:r w:rsidRPr="00E27443">
        <w:t>must</w:t>
      </w:r>
      <w:r w:rsidR="00C63F8F" w:rsidRPr="00E27443">
        <w:t xml:space="preserve"> </w:t>
      </w:r>
      <w:r w:rsidRPr="00E27443">
        <w:t>first</w:t>
      </w:r>
      <w:r w:rsidR="00C63F8F" w:rsidRPr="00E27443">
        <w:t xml:space="preserve"> </w:t>
      </w:r>
      <w:r w:rsidRPr="00E27443">
        <w:t>be</w:t>
      </w:r>
      <w:r w:rsidR="00C63F8F" w:rsidRPr="00E27443">
        <w:t xml:space="preserve"> </w:t>
      </w:r>
      <w:r w:rsidRPr="00E27443">
        <w:t>arranged</w:t>
      </w:r>
      <w:r w:rsidR="00C63F8F" w:rsidRPr="00E27443">
        <w:t xml:space="preserve"> </w:t>
      </w:r>
      <w:r w:rsidRPr="00E27443">
        <w:t>in</w:t>
      </w:r>
      <w:r w:rsidR="00C63F8F" w:rsidRPr="00E27443">
        <w:t xml:space="preserve"> </w:t>
      </w:r>
      <w:r w:rsidRPr="00E27443">
        <w:t>order,</w:t>
      </w:r>
      <w:r w:rsidR="00C63F8F" w:rsidRPr="00E27443">
        <w:t xml:space="preserve"> </w:t>
      </w:r>
      <w:r w:rsidRPr="00E27443">
        <w:t>whereupon</w:t>
      </w:r>
      <w:r w:rsidR="00C63F8F" w:rsidRPr="00E27443">
        <w:t xml:space="preserve"> </w:t>
      </w:r>
      <w:r w:rsidRPr="00E27443">
        <w:t>the</w:t>
      </w:r>
      <w:r w:rsidR="00C63F8F" w:rsidRPr="00E27443">
        <w:t xml:space="preserve"> </w:t>
      </w:r>
      <w:r w:rsidRPr="00E27443">
        <w:t>person</w:t>
      </w:r>
      <w:r w:rsidR="00C63F8F" w:rsidRPr="00E27443">
        <w:t xml:space="preserve"> </w:t>
      </w:r>
      <w:r w:rsidRPr="00E27443">
        <w:t>with</w:t>
      </w:r>
      <w:r w:rsidR="00C63F8F" w:rsidRPr="00E27443">
        <w:t xml:space="preserve"> </w:t>
      </w:r>
      <w:r w:rsidRPr="00E27443">
        <w:t>the</w:t>
      </w:r>
      <w:r w:rsidR="00C63F8F" w:rsidRPr="00E27443">
        <w:t xml:space="preserve"> </w:t>
      </w:r>
      <w:r w:rsidRPr="00E27443">
        <w:t>shortest</w:t>
      </w:r>
      <w:r w:rsidR="00C63F8F" w:rsidRPr="00E27443">
        <w:t xml:space="preserve"> </w:t>
      </w:r>
      <w:r w:rsidRPr="00E27443">
        <w:t>period</w:t>
      </w:r>
      <w:r w:rsidR="00C63F8F" w:rsidRPr="00E27443">
        <w:t xml:space="preserve"> </w:t>
      </w:r>
      <w:r w:rsidRPr="00E27443">
        <w:t>of</w:t>
      </w:r>
      <w:r w:rsidR="00C63F8F" w:rsidRPr="00E27443">
        <w:t xml:space="preserve"> </w:t>
      </w:r>
      <w:r w:rsidRPr="00E27443">
        <w:t>employment</w:t>
      </w:r>
      <w:r w:rsidR="00C63F8F" w:rsidRPr="00E27443">
        <w:t xml:space="preserve"> </w:t>
      </w:r>
      <w:r w:rsidRPr="00E27443">
        <w:t>should</w:t>
      </w:r>
      <w:r w:rsidR="00C63F8F" w:rsidRPr="00E27443">
        <w:t xml:space="preserve"> </w:t>
      </w:r>
      <w:r w:rsidRPr="00E27443">
        <w:t>be</w:t>
      </w:r>
      <w:r w:rsidR="00C63F8F" w:rsidRPr="00E27443">
        <w:t xml:space="preserve"> </w:t>
      </w:r>
      <w:r w:rsidRPr="00E27443">
        <w:t>made</w:t>
      </w:r>
      <w:r w:rsidR="00C63F8F" w:rsidRPr="00E27443">
        <w:t xml:space="preserve"> </w:t>
      </w:r>
      <w:r w:rsidRPr="00E27443">
        <w:t>redundant</w:t>
      </w:r>
      <w:r w:rsidR="00C63F8F" w:rsidRPr="00E27443">
        <w:t xml:space="preserve"> </w:t>
      </w:r>
      <w:r w:rsidRPr="00E27443">
        <w:t>first.</w:t>
      </w:r>
      <w:r w:rsidR="00C63F8F" w:rsidRPr="00E27443">
        <w:t xml:space="preserve"> </w:t>
      </w:r>
      <w:r w:rsidRPr="00E27443">
        <w:t>During</w:t>
      </w:r>
      <w:r w:rsidR="00C63F8F" w:rsidRPr="00E27443">
        <w:t xml:space="preserve"> </w:t>
      </w:r>
      <w:r w:rsidRPr="00E27443">
        <w:t>this</w:t>
      </w:r>
      <w:r w:rsidR="00C63F8F" w:rsidRPr="00E27443">
        <w:t xml:space="preserve"> </w:t>
      </w:r>
      <w:r w:rsidRPr="00E27443">
        <w:t>ranking</w:t>
      </w:r>
      <w:r w:rsidR="00C63F8F" w:rsidRPr="00E27443">
        <w:t xml:space="preserve"> </w:t>
      </w:r>
      <w:r w:rsidRPr="00E27443">
        <w:t>process,</w:t>
      </w:r>
      <w:r w:rsidR="00C63F8F" w:rsidRPr="00E27443">
        <w:t xml:space="preserve"> </w:t>
      </w:r>
      <w:r w:rsidRPr="00E27443">
        <w:t>employees</w:t>
      </w:r>
      <w:r w:rsidR="00C63F8F" w:rsidRPr="00E27443">
        <w:t xml:space="preserve"> </w:t>
      </w:r>
      <w:r w:rsidRPr="00E27443">
        <w:t>with</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and</w:t>
      </w:r>
      <w:r w:rsidR="00C63F8F" w:rsidRPr="00E27443">
        <w:t xml:space="preserve"> </w:t>
      </w:r>
      <w:r w:rsidRPr="00E27443">
        <w:t>who,</w:t>
      </w:r>
      <w:r w:rsidR="00C63F8F" w:rsidRPr="00E27443">
        <w:t xml:space="preserve"> </w:t>
      </w:r>
      <w:r w:rsidRPr="00E27443">
        <w:t>as</w:t>
      </w:r>
      <w:r w:rsidR="00C63F8F" w:rsidRPr="00E27443">
        <w:t xml:space="preserve"> </w:t>
      </w:r>
      <w:r w:rsidRPr="00E27443">
        <w:t>a</w:t>
      </w:r>
      <w:r w:rsidR="00C63F8F" w:rsidRPr="00E27443">
        <w:t xml:space="preserve"> </w:t>
      </w:r>
      <w:r w:rsidRPr="00E27443">
        <w:t>result</w:t>
      </w:r>
      <w:r w:rsidR="00C63F8F" w:rsidRPr="00E27443">
        <w:t xml:space="preserve"> </w:t>
      </w:r>
      <w:r w:rsidRPr="00E27443">
        <w:t>of</w:t>
      </w:r>
      <w:r w:rsidR="00C63F8F" w:rsidRPr="00E27443">
        <w:t xml:space="preserve"> </w:t>
      </w:r>
      <w:r w:rsidRPr="00E27443">
        <w:t>this,</w:t>
      </w:r>
      <w:r w:rsidR="00C63F8F" w:rsidRPr="00E27443">
        <w:t xml:space="preserve"> </w:t>
      </w:r>
      <w:r w:rsidRPr="00E27443">
        <w:t>have</w:t>
      </w:r>
      <w:r w:rsidR="00C63F8F" w:rsidRPr="00E27443">
        <w:t xml:space="preserve"> </w:t>
      </w:r>
      <w:r w:rsidRPr="00E27443">
        <w:t>been</w:t>
      </w:r>
      <w:r w:rsidR="00C63F8F" w:rsidRPr="00E27443">
        <w:t xml:space="preserve"> </w:t>
      </w:r>
      <w:r w:rsidRPr="00E27443">
        <w:t>provided</w:t>
      </w:r>
      <w:r w:rsidR="00C63F8F" w:rsidRPr="00E27443">
        <w:t xml:space="preserve"> </w:t>
      </w:r>
      <w:r w:rsidRPr="00E27443">
        <w:t>with</w:t>
      </w:r>
      <w:r w:rsidR="00C63F8F" w:rsidRPr="00E27443">
        <w:t xml:space="preserve"> </w:t>
      </w:r>
      <w:r w:rsidRPr="00E27443">
        <w:t>special</w:t>
      </w:r>
      <w:r w:rsidR="00C63F8F" w:rsidRPr="00E27443">
        <w:t xml:space="preserve"> </w:t>
      </w:r>
      <w:r w:rsidRPr="00E27443">
        <w:t>employment</w:t>
      </w:r>
      <w:r w:rsidR="00C63F8F" w:rsidRPr="00E27443">
        <w:t xml:space="preserve"> </w:t>
      </w:r>
      <w:r w:rsidRPr="00E27443">
        <w:t>with</w:t>
      </w:r>
      <w:r w:rsidR="00C63F8F" w:rsidRPr="00E27443">
        <w:t xml:space="preserve"> </w:t>
      </w:r>
      <w:r w:rsidRPr="00E27443">
        <w:t>the</w:t>
      </w:r>
      <w:r w:rsidR="00C63F8F" w:rsidRPr="00E27443">
        <w:t xml:space="preserve"> </w:t>
      </w:r>
      <w:r w:rsidRPr="00E27443">
        <w:t>employer,</w:t>
      </w:r>
      <w:r w:rsidR="00C63F8F" w:rsidRPr="00E27443">
        <w:t xml:space="preserve"> </w:t>
      </w:r>
      <w:r w:rsidRPr="00E27443">
        <w:t>will</w:t>
      </w:r>
      <w:r w:rsidR="00C63F8F" w:rsidRPr="00E27443">
        <w:t xml:space="preserve"> </w:t>
      </w:r>
      <w:r w:rsidRPr="00E27443">
        <w:t>have</w:t>
      </w:r>
      <w:r w:rsidR="00C63F8F" w:rsidRPr="00E27443">
        <w:t xml:space="preserve"> </w:t>
      </w:r>
      <w:r w:rsidRPr="00E27443">
        <w:t>special</w:t>
      </w:r>
      <w:r w:rsidR="00C63F8F" w:rsidRPr="00E27443">
        <w:t xml:space="preserve"> </w:t>
      </w:r>
      <w:r w:rsidRPr="00E27443">
        <w:t>protection.</w:t>
      </w:r>
      <w:r w:rsidR="00C63F8F" w:rsidRPr="00E27443">
        <w:t xml:space="preserve"> </w:t>
      </w:r>
      <w:r w:rsidRPr="00E27443">
        <w:t>Such</w:t>
      </w:r>
      <w:r w:rsidR="00C63F8F" w:rsidRPr="00E27443">
        <w:t xml:space="preserve"> </w:t>
      </w:r>
      <w:r w:rsidRPr="00E27443">
        <w:t>an</w:t>
      </w:r>
      <w:r w:rsidR="00C63F8F" w:rsidRPr="00E27443">
        <w:t xml:space="preserve"> </w:t>
      </w:r>
      <w:r w:rsidRPr="00E27443">
        <w:t>employee</w:t>
      </w:r>
      <w:r w:rsidR="00C63F8F" w:rsidRPr="00E27443">
        <w:t xml:space="preserve"> </w:t>
      </w:r>
      <w:r w:rsidRPr="00E27443">
        <w:t>may</w:t>
      </w:r>
      <w:r w:rsidR="00C63F8F" w:rsidRPr="00E27443">
        <w:t xml:space="preserve"> </w:t>
      </w:r>
      <w:r w:rsidRPr="00E27443">
        <w:t>have</w:t>
      </w:r>
      <w:r w:rsidR="00C63F8F" w:rsidRPr="00E27443">
        <w:t xml:space="preserve"> </w:t>
      </w:r>
      <w:r w:rsidRPr="00E27443">
        <w:t>priority</w:t>
      </w:r>
      <w:r w:rsidR="00C63F8F" w:rsidRPr="00E27443">
        <w:t xml:space="preserve"> </w:t>
      </w:r>
      <w:r w:rsidRPr="00E27443">
        <w:t>to</w:t>
      </w:r>
      <w:r w:rsidR="00C63F8F" w:rsidRPr="00E27443">
        <w:t xml:space="preserve"> </w:t>
      </w:r>
      <w:r w:rsidRPr="00E27443">
        <w:t>continued</w:t>
      </w:r>
      <w:r w:rsidR="00C63F8F" w:rsidRPr="00E27443">
        <w:t xml:space="preserve"> </w:t>
      </w:r>
      <w:r w:rsidRPr="00E27443">
        <w:t>employment,</w:t>
      </w:r>
      <w:r w:rsidR="00C63F8F" w:rsidRPr="00E27443">
        <w:t xml:space="preserve"> </w:t>
      </w:r>
      <w:r w:rsidRPr="00E27443">
        <w:t>irrespective</w:t>
      </w:r>
      <w:r w:rsidR="00C63F8F" w:rsidRPr="00E27443">
        <w:t xml:space="preserve"> </w:t>
      </w:r>
      <w:r w:rsidRPr="00E27443">
        <w:t>of</w:t>
      </w:r>
      <w:r w:rsidR="00C63F8F" w:rsidRPr="00E27443">
        <w:t xml:space="preserve"> </w:t>
      </w:r>
      <w:r w:rsidRPr="00E27443">
        <w:t>the</w:t>
      </w:r>
      <w:r w:rsidR="00C63F8F" w:rsidRPr="00E27443">
        <w:t xml:space="preserve"> </w:t>
      </w:r>
      <w:r w:rsidRPr="00E27443">
        <w:t>order</w:t>
      </w:r>
      <w:r w:rsidR="00C63F8F" w:rsidRPr="00E27443">
        <w:t xml:space="preserve"> </w:t>
      </w:r>
      <w:r w:rsidRPr="00E27443">
        <w:t>of</w:t>
      </w:r>
      <w:r w:rsidR="00C63F8F" w:rsidRPr="00E27443">
        <w:t xml:space="preserve"> </w:t>
      </w:r>
      <w:r w:rsidRPr="00E27443">
        <w:t>employment.</w:t>
      </w:r>
      <w:r w:rsidR="008238A7" w:rsidRPr="00D10EB3">
        <w:footnoteReference w:id="124"/>
      </w:r>
      <w:r w:rsidR="00C63F8F" w:rsidRPr="00E27443">
        <w:t xml:space="preserve"> </w:t>
      </w:r>
      <w:r w:rsidRPr="00E27443">
        <w:t>The</w:t>
      </w:r>
      <w:r w:rsidR="00C63F8F" w:rsidRPr="00E27443">
        <w:t xml:space="preserve"> </w:t>
      </w:r>
      <w:r w:rsidRPr="00E27443">
        <w:t>Employment</w:t>
      </w:r>
      <w:r w:rsidR="00C63F8F" w:rsidRPr="00E27443">
        <w:t xml:space="preserve"> </w:t>
      </w:r>
      <w:r w:rsidRPr="00E27443">
        <w:t>(Co-determination</w:t>
      </w:r>
      <w:r w:rsidR="00C63F8F" w:rsidRPr="00E27443">
        <w:t xml:space="preserve"> </w:t>
      </w:r>
      <w:r w:rsidRPr="00E27443">
        <w:t>in</w:t>
      </w:r>
      <w:r w:rsidR="00C63F8F" w:rsidRPr="00E27443">
        <w:t xml:space="preserve"> </w:t>
      </w:r>
      <w:r w:rsidRPr="00E27443">
        <w:t>the</w:t>
      </w:r>
      <w:r w:rsidR="00C63F8F" w:rsidRPr="00E27443">
        <w:t xml:space="preserve"> </w:t>
      </w:r>
      <w:r w:rsidRPr="00E27443">
        <w:t>Workplace)</w:t>
      </w:r>
      <w:r w:rsidR="00C63F8F" w:rsidRPr="00E27443">
        <w:t xml:space="preserve"> </w:t>
      </w:r>
      <w:r w:rsidRPr="00E27443">
        <w:t>Act</w:t>
      </w:r>
      <w:r w:rsidR="00C63F8F" w:rsidRPr="00E27443">
        <w:t xml:space="preserve"> </w:t>
      </w:r>
      <w:r w:rsidRPr="00E27443">
        <w:t>also</w:t>
      </w:r>
      <w:r w:rsidR="00C63F8F" w:rsidRPr="00E27443">
        <w:t xml:space="preserve"> </w:t>
      </w:r>
      <w:r w:rsidRPr="00E27443">
        <w:t>entails</w:t>
      </w:r>
      <w:r w:rsidR="00C63F8F" w:rsidRPr="00E27443">
        <w:t xml:space="preserve"> </w:t>
      </w:r>
      <w:r w:rsidRPr="00E27443">
        <w:t>protection,</w:t>
      </w:r>
      <w:r w:rsidR="00C63F8F" w:rsidRPr="00E27443">
        <w:t xml:space="preserve"> </w:t>
      </w:r>
      <w:r w:rsidRPr="00E27443">
        <w:t>as</w:t>
      </w:r>
      <w:r w:rsidR="00C63F8F" w:rsidRPr="00E27443">
        <w:t xml:space="preserve"> </w:t>
      </w:r>
      <w:r w:rsidRPr="00E27443">
        <w:t>an</w:t>
      </w:r>
      <w:r w:rsidR="00C63F8F" w:rsidRPr="00E27443">
        <w:t xml:space="preserve"> </w:t>
      </w:r>
      <w:r w:rsidRPr="00E27443">
        <w:t>employer</w:t>
      </w:r>
      <w:r w:rsidR="00C63F8F" w:rsidRPr="00E27443">
        <w:t xml:space="preserve"> </w:t>
      </w:r>
      <w:r w:rsidRPr="00E27443">
        <w:t>has</w:t>
      </w:r>
      <w:r w:rsidR="00C63F8F" w:rsidRPr="00E27443">
        <w:t xml:space="preserve"> </w:t>
      </w:r>
      <w:r w:rsidRPr="00E27443">
        <w:t>to</w:t>
      </w:r>
      <w:r w:rsidR="00C63F8F" w:rsidRPr="00E27443">
        <w:t xml:space="preserve"> </w:t>
      </w:r>
      <w:r w:rsidRPr="00E27443">
        <w:t>negotiate</w:t>
      </w:r>
      <w:r w:rsidR="00C63F8F" w:rsidRPr="00E27443">
        <w:t xml:space="preserve"> </w:t>
      </w:r>
      <w:r w:rsidRPr="00E27443">
        <w:t>with</w:t>
      </w:r>
      <w:r w:rsidR="00C63F8F" w:rsidRPr="00E27443">
        <w:t xml:space="preserve"> </w:t>
      </w:r>
      <w:r w:rsidRPr="00E27443">
        <w:t>the</w:t>
      </w:r>
      <w:r w:rsidR="00C63F8F" w:rsidRPr="00E27443">
        <w:t xml:space="preserve"> </w:t>
      </w:r>
      <w:r w:rsidRPr="00E27443">
        <w:t>employees</w:t>
      </w:r>
      <w:r w:rsidR="00C63F8F" w:rsidRPr="00E27443">
        <w:t xml:space="preserve">’ </w:t>
      </w:r>
      <w:r w:rsidRPr="00E27443">
        <w:t>trade</w:t>
      </w:r>
      <w:r w:rsidR="00C63F8F" w:rsidRPr="00E27443">
        <w:t xml:space="preserve"> </w:t>
      </w:r>
      <w:r w:rsidRPr="00E27443">
        <w:t>union</w:t>
      </w:r>
      <w:r w:rsidR="00C63F8F" w:rsidRPr="00E27443">
        <w:t xml:space="preserve"> </w:t>
      </w:r>
      <w:r w:rsidRPr="00E27443">
        <w:t>before</w:t>
      </w:r>
      <w:r w:rsidR="00C63F8F" w:rsidRPr="00E27443">
        <w:t xml:space="preserve"> </w:t>
      </w:r>
      <w:r w:rsidRPr="00E27443">
        <w:t>making</w:t>
      </w:r>
      <w:r w:rsidR="00C63F8F" w:rsidRPr="00E27443">
        <w:t xml:space="preserve"> </w:t>
      </w:r>
      <w:r w:rsidRPr="00E27443">
        <w:t>any</w:t>
      </w:r>
      <w:r w:rsidR="00C63F8F" w:rsidRPr="00E27443">
        <w:t xml:space="preserve"> </w:t>
      </w:r>
      <w:r w:rsidRPr="00E27443">
        <w:t>decisions</w:t>
      </w:r>
      <w:r w:rsidR="00C63F8F" w:rsidRPr="00E27443">
        <w:t xml:space="preserve"> </w:t>
      </w:r>
      <w:r w:rsidRPr="00E27443">
        <w:t>regarding</w:t>
      </w:r>
      <w:r w:rsidR="00C63F8F" w:rsidRPr="00E27443">
        <w:t xml:space="preserve"> </w:t>
      </w:r>
      <w:r w:rsidRPr="00E27443">
        <w:t>dismissal.</w:t>
      </w:r>
      <w:r w:rsidR="00757BF4" w:rsidRPr="00D10EB3">
        <w:footnoteReference w:id="125"/>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E27443">
        <w:t>It</w:t>
      </w:r>
      <w:r w:rsidR="00C63F8F" w:rsidRPr="00E27443">
        <w:t xml:space="preserve"> </w:t>
      </w:r>
      <w:r w:rsidRPr="00E27443">
        <w:t>is</w:t>
      </w:r>
      <w:r w:rsidR="00C63F8F" w:rsidRPr="00E27443">
        <w:t xml:space="preserve"> </w:t>
      </w:r>
      <w:r w:rsidRPr="00E27443">
        <w:t>not</w:t>
      </w:r>
      <w:r w:rsidR="00C63F8F" w:rsidRPr="00E27443">
        <w:t xml:space="preserve"> </w:t>
      </w:r>
      <w:r w:rsidRPr="00E27443">
        <w:t>permitted</w:t>
      </w:r>
      <w:r w:rsidR="00C63F8F" w:rsidRPr="00E27443">
        <w:t xml:space="preserve"> </w:t>
      </w:r>
      <w:r w:rsidRPr="00E27443">
        <w:t>to</w:t>
      </w:r>
      <w:r w:rsidR="00C63F8F" w:rsidRPr="00E27443">
        <w:t xml:space="preserve"> </w:t>
      </w:r>
      <w:r w:rsidRPr="00E27443">
        <w:t>dismiss</w:t>
      </w:r>
      <w:r w:rsidR="00C63F8F" w:rsidRPr="00E27443">
        <w:t xml:space="preserve"> </w:t>
      </w:r>
      <w:r w:rsidRPr="00E27443">
        <w:t>a</w:t>
      </w:r>
      <w:r w:rsidR="00C63F8F" w:rsidRPr="00E27443">
        <w:t xml:space="preserve"> </w:t>
      </w:r>
      <w:r w:rsidRPr="00E27443">
        <w:t>person</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disability</w:t>
      </w:r>
      <w:r w:rsidR="00C63F8F" w:rsidRPr="00E27443">
        <w:t xml:space="preserve"> </w:t>
      </w:r>
      <w:r w:rsidRPr="00E27443">
        <w:t>or</w:t>
      </w:r>
      <w:r w:rsidR="00C63F8F" w:rsidRPr="00E27443">
        <w:t xml:space="preserve"> </w:t>
      </w:r>
      <w:r w:rsidRPr="00E27443">
        <w:t>illness,</w:t>
      </w:r>
      <w:r w:rsidR="00C63F8F" w:rsidRPr="00E27443">
        <w:t xml:space="preserve"> </w:t>
      </w:r>
      <w:r w:rsidRPr="00E27443">
        <w:t>unless</w:t>
      </w:r>
      <w:r w:rsidR="00C63F8F" w:rsidRPr="00E27443">
        <w:t xml:space="preserve"> </w:t>
      </w:r>
      <w:r w:rsidRPr="00E27443">
        <w:t>the</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has</w:t>
      </w:r>
      <w:r w:rsidR="00C63F8F" w:rsidRPr="00E27443">
        <w:t xml:space="preserve"> </w:t>
      </w:r>
      <w:r w:rsidRPr="00E27443">
        <w:t>been</w:t>
      </w:r>
      <w:r w:rsidR="00C63F8F" w:rsidRPr="00E27443">
        <w:t xml:space="preserve"> </w:t>
      </w:r>
      <w:r w:rsidRPr="00E27443">
        <w:t>permanently</w:t>
      </w:r>
      <w:r w:rsidR="00C63F8F" w:rsidRPr="00E27443">
        <w:t xml:space="preserve"> </w:t>
      </w:r>
      <w:r w:rsidRPr="00E27443">
        <w:t>reduced</w:t>
      </w:r>
      <w:r w:rsidR="00C63F8F" w:rsidRPr="00E27443">
        <w:t xml:space="preserve"> </w:t>
      </w:r>
      <w:r w:rsidRPr="00E27443">
        <w:t>and</w:t>
      </w:r>
      <w:r w:rsidR="00C63F8F" w:rsidRPr="00E27443">
        <w:t xml:space="preserve"> </w:t>
      </w:r>
      <w:r w:rsidRPr="00E27443">
        <w:t>the</w:t>
      </w:r>
      <w:r w:rsidR="00C63F8F" w:rsidRPr="00E27443">
        <w:t xml:space="preserve"> </w:t>
      </w:r>
      <w:r w:rsidRPr="00E27443">
        <w:t>employee</w:t>
      </w:r>
      <w:r w:rsidR="00C63F8F" w:rsidRPr="00E27443">
        <w:t xml:space="preserve"> </w:t>
      </w:r>
      <w:r w:rsidRPr="00E27443">
        <w:t>cannot</w:t>
      </w:r>
      <w:r w:rsidR="00C63F8F" w:rsidRPr="00E27443">
        <w:t xml:space="preserve"> </w:t>
      </w:r>
      <w:r w:rsidRPr="00E27443">
        <w:t>carry</w:t>
      </w:r>
      <w:r w:rsidR="00C63F8F" w:rsidRPr="00E27443">
        <w:t xml:space="preserve"> </w:t>
      </w:r>
      <w:r w:rsidRPr="00E27443">
        <w:t>out</w:t>
      </w:r>
      <w:r w:rsidR="00C63F8F" w:rsidRPr="00E27443">
        <w:t xml:space="preserve"> </w:t>
      </w:r>
      <w:r w:rsidRPr="00E27443">
        <w:t>any</w:t>
      </w:r>
      <w:r w:rsidR="00C63F8F" w:rsidRPr="00E27443">
        <w:t xml:space="preserve"> </w:t>
      </w:r>
      <w:r w:rsidRPr="00E27443">
        <w:t>work</w:t>
      </w:r>
      <w:r w:rsidR="00C63F8F" w:rsidRPr="00E27443">
        <w:t xml:space="preserve"> </w:t>
      </w:r>
      <w:r w:rsidRPr="00E27443">
        <w:t>of</w:t>
      </w:r>
      <w:r w:rsidR="00C63F8F" w:rsidRPr="00E27443">
        <w:t xml:space="preserve"> </w:t>
      </w:r>
      <w:r w:rsidRPr="00E27443">
        <w:t>significance</w:t>
      </w:r>
      <w:r w:rsidR="00C63F8F" w:rsidRPr="00E27443">
        <w:t xml:space="preserve"> </w:t>
      </w:r>
      <w:r w:rsidRPr="00E27443">
        <w:t>for</w:t>
      </w:r>
      <w:r w:rsidR="00C63F8F" w:rsidRPr="00E27443">
        <w:t xml:space="preserve"> </w:t>
      </w:r>
      <w:r w:rsidRPr="00E27443">
        <w:t>the</w:t>
      </w:r>
      <w:r w:rsidR="00C63F8F" w:rsidRPr="00E27443">
        <w:t xml:space="preserve"> </w:t>
      </w:r>
      <w:r w:rsidRPr="00E27443">
        <w:t>employer.</w:t>
      </w:r>
      <w:r w:rsidR="00C63F8F" w:rsidRPr="00E27443">
        <w:t xml:space="preserve"> </w:t>
      </w:r>
    </w:p>
    <w:p w:rsidR="00321ADA" w:rsidRPr="00E27443" w:rsidRDefault="00321ADA" w:rsidP="00D10EB3">
      <w:pPr>
        <w:pStyle w:val="SingleTxtG"/>
        <w:numPr>
          <w:ilvl w:val="0"/>
          <w:numId w:val="20"/>
        </w:numPr>
        <w:tabs>
          <w:tab w:val="left" w:pos="1843"/>
        </w:tabs>
        <w:ind w:left="1134" w:firstLine="0"/>
      </w:pPr>
      <w:r w:rsidRPr="00E27443">
        <w:t>Employees</w:t>
      </w:r>
      <w:r w:rsidR="00C63F8F" w:rsidRPr="00E27443">
        <w:t xml:space="preserve"> </w:t>
      </w:r>
      <w:r w:rsidRPr="00E27443">
        <w:t>who</w:t>
      </w:r>
      <w:r w:rsidR="00C63F8F" w:rsidRPr="00E27443">
        <w:t xml:space="preserve"> </w:t>
      </w:r>
      <w:r w:rsidRPr="00E27443">
        <w:t>utilise</w:t>
      </w:r>
      <w:r w:rsidR="00C63F8F" w:rsidRPr="00E27443">
        <w:t xml:space="preserve"> </w:t>
      </w:r>
      <w:r w:rsidRPr="00E27443">
        <w:t>certain</w:t>
      </w:r>
      <w:r w:rsidR="00C63F8F" w:rsidRPr="00E27443">
        <w:t xml:space="preserve"> </w:t>
      </w:r>
      <w:r w:rsidRPr="00E27443">
        <w:t>labour</w:t>
      </w:r>
      <w:r w:rsidR="00C63F8F" w:rsidRPr="00E27443">
        <w:t xml:space="preserve"> </w:t>
      </w:r>
      <w:r w:rsidRPr="00E27443">
        <w:t>market</w:t>
      </w:r>
      <w:r w:rsidR="00C63F8F" w:rsidRPr="00E27443">
        <w:t xml:space="preserve"> </w:t>
      </w:r>
      <w:r w:rsidRPr="00E27443">
        <w:t>policy</w:t>
      </w:r>
      <w:r w:rsidR="00C63F8F" w:rsidRPr="00E27443">
        <w:t xml:space="preserve"> </w:t>
      </w:r>
      <w:r w:rsidRPr="00E27443">
        <w:t>support</w:t>
      </w:r>
      <w:r w:rsidR="00C63F8F" w:rsidRPr="00E27443">
        <w:t xml:space="preserve"> </w:t>
      </w:r>
      <w:r w:rsidRPr="00E27443">
        <w:t>measures</w:t>
      </w:r>
      <w:r w:rsidR="00C63F8F" w:rsidRPr="00E27443">
        <w:t xml:space="preserve"> </w:t>
      </w:r>
      <w:r w:rsidRPr="00E27443">
        <w:t>on</w:t>
      </w:r>
      <w:r w:rsidR="00C63F8F" w:rsidRPr="00E27443">
        <w:t xml:space="preserve"> </w:t>
      </w:r>
      <w:r w:rsidRPr="00E27443">
        <w:t>the</w:t>
      </w:r>
      <w:r w:rsidR="00C63F8F" w:rsidRPr="00E27443">
        <w:t xml:space="preserve"> </w:t>
      </w:r>
      <w:r w:rsidRPr="00E27443">
        <w:t>open</w:t>
      </w:r>
      <w:r w:rsidR="00C63F8F" w:rsidRPr="00E27443">
        <w:t xml:space="preserve"> </w:t>
      </w:r>
      <w:r w:rsidRPr="00E27443">
        <w:t>labour</w:t>
      </w:r>
      <w:r w:rsidR="00C63F8F" w:rsidRPr="00E27443">
        <w:t xml:space="preserve"> </w:t>
      </w:r>
      <w:r w:rsidRPr="00E27443">
        <w:t>market</w:t>
      </w:r>
      <w:r w:rsidR="00C63F8F" w:rsidRPr="00E27443">
        <w:t xml:space="preserve"> </w:t>
      </w:r>
      <w:r w:rsidRPr="00E27443">
        <w:t>are</w:t>
      </w:r>
      <w:r w:rsidR="00C63F8F" w:rsidRPr="00E27443">
        <w:t xml:space="preserve"> </w:t>
      </w:r>
      <w:r w:rsidRPr="00E27443">
        <w:t>covered</w:t>
      </w:r>
      <w:r w:rsidR="00C63F8F" w:rsidRPr="00E27443">
        <w:t xml:space="preserve"> </w:t>
      </w:r>
      <w:r w:rsidRPr="00E27443">
        <w:t>by</w:t>
      </w:r>
      <w:r w:rsidR="00C63F8F" w:rsidRPr="00E27443">
        <w:t xml:space="preserve"> </w:t>
      </w:r>
      <w:r w:rsidRPr="00E27443">
        <w:t>the</w:t>
      </w:r>
      <w:r w:rsidR="00C63F8F" w:rsidRPr="00E27443">
        <w:t xml:space="preserve"> </w:t>
      </w:r>
      <w:r w:rsidRPr="00E27443">
        <w:t>Employment</w:t>
      </w:r>
      <w:r w:rsidR="00C63F8F" w:rsidRPr="00E27443">
        <w:t xml:space="preserve"> </w:t>
      </w:r>
      <w:r w:rsidRPr="00E27443">
        <w:t>Protection</w:t>
      </w:r>
      <w:r w:rsidR="00C63F8F" w:rsidRPr="00E27443">
        <w:t xml:space="preserve"> </w:t>
      </w:r>
      <w:r w:rsidRPr="00E27443">
        <w:t>Act.</w:t>
      </w:r>
      <w:r w:rsidR="00C63F8F" w:rsidRPr="00E27443">
        <w:t xml:space="preserve"> </w:t>
      </w:r>
      <w:r w:rsidRPr="00E27443">
        <w:t>Disabled</w:t>
      </w:r>
      <w:r w:rsidR="00C63F8F" w:rsidRPr="00E27443">
        <w:t xml:space="preserve"> </w:t>
      </w:r>
      <w:r w:rsidRPr="00E27443">
        <w:t>employees</w:t>
      </w:r>
      <w:r w:rsidR="00C63F8F" w:rsidRPr="00E27443">
        <w:t xml:space="preserve"> </w:t>
      </w:r>
      <w:r w:rsidRPr="00E27443">
        <w:t>who</w:t>
      </w:r>
      <w:r w:rsidR="00C63F8F" w:rsidRPr="00E27443">
        <w:t xml:space="preserve"> </w:t>
      </w:r>
      <w:r w:rsidRPr="00E27443">
        <w:t>e.g.</w:t>
      </w:r>
      <w:r w:rsidR="00C63F8F" w:rsidRPr="00E27443">
        <w:t xml:space="preserve"> </w:t>
      </w:r>
      <w:r w:rsidRPr="00E27443">
        <w:t>receive</w:t>
      </w:r>
      <w:r w:rsidR="00C63F8F" w:rsidRPr="00E27443">
        <w:t xml:space="preserve"> </w:t>
      </w:r>
      <w:r w:rsidRPr="00E27443">
        <w:t>wage</w:t>
      </w:r>
      <w:r w:rsidR="00C63F8F" w:rsidRPr="00E27443">
        <w:t xml:space="preserve"> </w:t>
      </w:r>
      <w:r w:rsidRPr="00E27443">
        <w:t>subsidies</w:t>
      </w:r>
      <w:r w:rsidR="00C63F8F" w:rsidRPr="00E27443">
        <w:t xml:space="preserve"> </w:t>
      </w:r>
      <w:r w:rsidRPr="00E27443">
        <w:t>enjoy</w:t>
      </w:r>
      <w:r w:rsidR="00C63F8F" w:rsidRPr="00E27443">
        <w:t xml:space="preserve"> </w:t>
      </w:r>
      <w:r w:rsidRPr="00E27443">
        <w:t>the</w:t>
      </w:r>
      <w:r w:rsidR="00C63F8F" w:rsidRPr="00E27443">
        <w:t xml:space="preserve"> </w:t>
      </w:r>
      <w:r w:rsidRPr="00E27443">
        <w:t>same</w:t>
      </w:r>
      <w:r w:rsidR="00C63F8F" w:rsidRPr="00E27443">
        <w:t xml:space="preserve"> </w:t>
      </w:r>
      <w:r w:rsidRPr="00E27443">
        <w:t>employment</w:t>
      </w:r>
      <w:r w:rsidR="00C63F8F" w:rsidRPr="00E27443">
        <w:t xml:space="preserve"> </w:t>
      </w:r>
      <w:r w:rsidRPr="00E27443">
        <w:t>security</w:t>
      </w:r>
      <w:r w:rsidR="00C63F8F" w:rsidRPr="00E27443">
        <w:t xml:space="preserve"> </w:t>
      </w:r>
      <w:r w:rsidRPr="00E27443">
        <w:t>as</w:t>
      </w:r>
      <w:r w:rsidR="00C63F8F" w:rsidRPr="00E27443">
        <w:t xml:space="preserve"> </w:t>
      </w:r>
      <w:r w:rsidRPr="00E27443">
        <w:t>other</w:t>
      </w:r>
      <w:r w:rsidR="00C63F8F" w:rsidRPr="00E27443">
        <w:t xml:space="preserve"> </w:t>
      </w:r>
      <w:r w:rsidRPr="00E27443">
        <w:t>employees,</w:t>
      </w:r>
      <w:r w:rsidR="00C63F8F" w:rsidRPr="00E27443">
        <w:t xml:space="preserve"> </w:t>
      </w:r>
      <w:r w:rsidRPr="00E27443">
        <w:t>for</w:t>
      </w:r>
      <w:r w:rsidR="00C63F8F" w:rsidRPr="00E27443">
        <w:t xml:space="preserve"> </w:t>
      </w:r>
      <w:r w:rsidRPr="00E27443">
        <w:t>example.</w:t>
      </w:r>
      <w:r w:rsidR="00C63F8F" w:rsidRPr="00E27443">
        <w:t xml:space="preserve"> </w:t>
      </w:r>
      <w:r w:rsidRPr="00E27443">
        <w:t>However,</w:t>
      </w:r>
      <w:r w:rsidR="00C63F8F" w:rsidRPr="00E27443">
        <w:t xml:space="preserve"> </w:t>
      </w:r>
      <w:r w:rsidRPr="00E27443">
        <w:t>persons</w:t>
      </w:r>
      <w:r w:rsidR="00C63F8F" w:rsidRPr="00E27443">
        <w:t xml:space="preserve"> </w:t>
      </w:r>
      <w:r w:rsidRPr="00E27443">
        <w:t>who</w:t>
      </w:r>
      <w:r w:rsidR="00C63F8F" w:rsidRPr="00E27443">
        <w:t xml:space="preserve"> </w:t>
      </w:r>
      <w:r w:rsidRPr="00E27443">
        <w:t>have</w:t>
      </w:r>
      <w:r w:rsidR="00C63F8F" w:rsidRPr="00E27443">
        <w:t xml:space="preserve"> </w:t>
      </w:r>
      <w:r w:rsidRPr="00E27443">
        <w:t>development</w:t>
      </w:r>
      <w:r w:rsidR="00C63F8F" w:rsidRPr="00E27443">
        <w:t xml:space="preserve"> </w:t>
      </w:r>
      <w:r w:rsidRPr="00E27443">
        <w:t>employment,</w:t>
      </w:r>
      <w:r w:rsidR="00C63F8F" w:rsidRPr="00E27443">
        <w:t xml:space="preserve"> </w:t>
      </w:r>
      <w:r w:rsidRPr="00E27443">
        <w:t>sheltered</w:t>
      </w:r>
      <w:r w:rsidR="00C63F8F" w:rsidRPr="00E27443">
        <w:t xml:space="preserve"> </w:t>
      </w:r>
      <w:r w:rsidRPr="00E27443">
        <w:t>employment</w:t>
      </w:r>
      <w:r w:rsidR="00C63F8F" w:rsidRPr="00E27443">
        <w:t xml:space="preserve"> </w:t>
      </w:r>
      <w:r w:rsidRPr="00E27443">
        <w:t>with</w:t>
      </w:r>
      <w:r w:rsidR="00C63F8F" w:rsidRPr="00E27443">
        <w:t xml:space="preserve"> </w:t>
      </w:r>
      <w:r w:rsidRPr="00E27443">
        <w:t>public</w:t>
      </w:r>
      <w:r w:rsidR="00C63F8F" w:rsidRPr="00E27443">
        <w:t xml:space="preserve"> </w:t>
      </w:r>
      <w:r w:rsidRPr="00E27443">
        <w:t>sector</w:t>
      </w:r>
      <w:r w:rsidR="00C63F8F" w:rsidRPr="00E27443">
        <w:t xml:space="preserve"> </w:t>
      </w:r>
      <w:r w:rsidRPr="00E27443">
        <w:t>employers</w:t>
      </w:r>
      <w:r w:rsidR="00C63F8F" w:rsidRPr="00E27443">
        <w:t xml:space="preserve"> </w:t>
      </w:r>
      <w:r w:rsidRPr="00E27443">
        <w:t>or</w:t>
      </w:r>
      <w:r w:rsidR="00C63F8F" w:rsidRPr="00E27443">
        <w:t xml:space="preserve"> </w:t>
      </w:r>
      <w:r w:rsidRPr="00E27443">
        <w:t>employment</w:t>
      </w:r>
      <w:r w:rsidR="00C63F8F" w:rsidRPr="00E27443">
        <w:t xml:space="preserve"> </w:t>
      </w:r>
      <w:r w:rsidRPr="00E27443">
        <w:t>with</w:t>
      </w:r>
      <w:r w:rsidR="00C63F8F" w:rsidRPr="00E27443">
        <w:t xml:space="preserve"> </w:t>
      </w:r>
      <w:smartTag w:uri="urn:schemas-microsoft-com:office:smarttags" w:element="place">
        <w:smartTag w:uri="urn:schemas-microsoft-com:office:smarttags" w:element="City">
          <w:r w:rsidRPr="00E27443">
            <w:t>Samhall</w:t>
          </w:r>
        </w:smartTag>
        <w:r w:rsidR="00C63F8F" w:rsidRPr="00E27443">
          <w:t xml:space="preserve"> </w:t>
        </w:r>
        <w:smartTag w:uri="urn:schemas-microsoft-com:office:smarttags" w:element="State">
          <w:r w:rsidRPr="00E27443">
            <w:t>AB</w:t>
          </w:r>
        </w:smartTag>
      </w:smartTag>
      <w:r w:rsidR="00C63F8F" w:rsidRPr="00E27443">
        <w:t xml:space="preserve"> </w:t>
      </w:r>
      <w:r w:rsidRPr="00E27443">
        <w:t>are</w:t>
      </w:r>
      <w:r w:rsidR="00C63F8F" w:rsidRPr="00E27443">
        <w:t xml:space="preserve"> </w:t>
      </w:r>
      <w:r w:rsidRPr="00E27443">
        <w:t>not</w:t>
      </w:r>
      <w:r w:rsidR="00C63F8F" w:rsidRPr="00E27443">
        <w:t xml:space="preserve"> </w:t>
      </w:r>
      <w:r w:rsidRPr="00E27443">
        <w:t>covered</w:t>
      </w:r>
      <w:r w:rsidR="00C63F8F" w:rsidRPr="00E27443">
        <w:t xml:space="preserve"> </w:t>
      </w:r>
      <w:r w:rsidRPr="00E27443">
        <w:t>by</w:t>
      </w:r>
      <w:r w:rsidR="00C63F8F" w:rsidRPr="00E27443">
        <w:t xml:space="preserve"> </w:t>
      </w:r>
      <w:r w:rsidRPr="00E27443">
        <w:t>this</w:t>
      </w:r>
      <w:r w:rsidR="00C63F8F" w:rsidRPr="00E27443">
        <w:t xml:space="preserve"> </w:t>
      </w:r>
      <w:r w:rsidRPr="00E27443">
        <w:t>Act.</w:t>
      </w:r>
    </w:p>
    <w:p w:rsidR="00321ADA" w:rsidRPr="00E27443" w:rsidRDefault="00321ADA" w:rsidP="00D10EB3">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Education</w:t>
      </w:r>
      <w:r w:rsidR="00C63F8F" w:rsidRPr="00E27443">
        <w:t xml:space="preserve"> </w:t>
      </w:r>
      <w:r w:rsidRPr="00E27443">
        <w:t>Act,</w:t>
      </w:r>
      <w:r w:rsidR="00C63F8F" w:rsidRPr="00E27443">
        <w:t xml:space="preserve"> </w:t>
      </w:r>
      <w:r w:rsidRPr="00E27443">
        <w:t>pupils</w:t>
      </w:r>
      <w:r w:rsidR="00C63F8F" w:rsidRPr="00E27443">
        <w:t xml:space="preserve"> </w:t>
      </w:r>
      <w:r w:rsidRPr="00E27443">
        <w:t>in</w:t>
      </w:r>
      <w:r w:rsidR="00C63F8F" w:rsidRPr="00E27443">
        <w:t xml:space="preserve"> </w:t>
      </w:r>
      <w:r w:rsidRPr="00E27443">
        <w:t>all</w:t>
      </w:r>
      <w:r w:rsidR="00C63F8F" w:rsidRPr="00E27443">
        <w:t xml:space="preserve"> </w:t>
      </w:r>
      <w:r w:rsidRPr="00E27443">
        <w:t>forms</w:t>
      </w:r>
      <w:r w:rsidR="00C63F8F" w:rsidRPr="00E27443">
        <w:t xml:space="preserve"> </w:t>
      </w:r>
      <w:r w:rsidRPr="00E27443">
        <w:t>of</w:t>
      </w:r>
      <w:r w:rsidR="00C63F8F" w:rsidRPr="00E27443">
        <w:t xml:space="preserve"> </w:t>
      </w:r>
      <w:r w:rsidRPr="00E27443">
        <w:t>school</w:t>
      </w:r>
      <w:r w:rsidR="00C63F8F" w:rsidRPr="00E27443">
        <w:t xml:space="preserve"> </w:t>
      </w:r>
      <w:r w:rsidRPr="00E27443">
        <w:t>apart</w:t>
      </w:r>
      <w:r w:rsidR="00C63F8F" w:rsidRPr="00E27443">
        <w:t xml:space="preserve"> </w:t>
      </w:r>
      <w:r w:rsidRPr="00E27443">
        <w:t>from</w:t>
      </w:r>
      <w:r w:rsidR="00C63F8F" w:rsidRPr="00E27443">
        <w:t xml:space="preserve"> </w:t>
      </w:r>
      <w:r w:rsidRPr="00E27443">
        <w:t>pre-school</w:t>
      </w:r>
      <w:r w:rsidR="00C63F8F" w:rsidRPr="00E27443">
        <w:t xml:space="preserve"> </w:t>
      </w:r>
      <w:r w:rsidRPr="00E27443">
        <w:t>and</w:t>
      </w:r>
      <w:r w:rsidR="00C63F8F" w:rsidRPr="00E27443">
        <w:t xml:space="preserve"> </w:t>
      </w:r>
      <w:r w:rsidRPr="00E27443">
        <w:t>the</w:t>
      </w:r>
      <w:r w:rsidR="00C63F8F" w:rsidRPr="00E27443">
        <w:t xml:space="preserve"> </w:t>
      </w:r>
      <w:r w:rsidRPr="00E27443">
        <w:t>pre-school</w:t>
      </w:r>
      <w:r w:rsidR="00C63F8F" w:rsidRPr="00E27443">
        <w:t xml:space="preserve"> </w:t>
      </w:r>
      <w:r w:rsidRPr="00E27443">
        <w:t>class</w:t>
      </w:r>
      <w:r w:rsidR="00C63F8F" w:rsidRPr="00E27443">
        <w:t xml:space="preserve"> </w:t>
      </w:r>
      <w:r w:rsidRPr="00E27443">
        <w:t>should</w:t>
      </w:r>
      <w:r w:rsidR="00C63F8F" w:rsidRPr="00E27443">
        <w:t xml:space="preserve"> </w:t>
      </w:r>
      <w:r w:rsidRPr="00E27443">
        <w:t>have</w:t>
      </w:r>
      <w:r w:rsidR="00C63F8F" w:rsidRPr="00E27443">
        <w:t xml:space="preserve"> </w:t>
      </w:r>
      <w:r w:rsidRPr="00E27443">
        <w:t>access</w:t>
      </w:r>
      <w:r w:rsidR="00C63F8F" w:rsidRPr="00E27443">
        <w:t xml:space="preserve"> </w:t>
      </w:r>
      <w:r w:rsidRPr="00E27443">
        <w:t>to</w:t>
      </w:r>
      <w:r w:rsidR="00C63F8F" w:rsidRPr="00E27443">
        <w:t xml:space="preserve"> </w:t>
      </w:r>
      <w:r w:rsidRPr="00E27443">
        <w:t>personnel</w:t>
      </w:r>
      <w:r w:rsidR="00C63F8F" w:rsidRPr="00E27443">
        <w:t xml:space="preserve"> </w:t>
      </w:r>
      <w:r w:rsidRPr="00E27443">
        <w:t>with</w:t>
      </w:r>
      <w:r w:rsidR="00C63F8F" w:rsidRPr="00E27443">
        <w:t xml:space="preserve"> </w:t>
      </w:r>
      <w:r w:rsidRPr="00E27443">
        <w:t>such</w:t>
      </w:r>
      <w:r w:rsidR="00C63F8F" w:rsidRPr="00E27443">
        <w:t xml:space="preserve"> </w:t>
      </w:r>
      <w:r w:rsidRPr="00E27443">
        <w:t>expertise</w:t>
      </w:r>
      <w:r w:rsidR="00C63F8F" w:rsidRPr="00E27443">
        <w:t xml:space="preserve"> </w:t>
      </w:r>
      <w:r w:rsidRPr="00E27443">
        <w:t>that</w:t>
      </w:r>
      <w:r w:rsidR="00C63F8F" w:rsidRPr="00E27443">
        <w:t xml:space="preserve"> </w:t>
      </w:r>
      <w:r w:rsidRPr="00E27443">
        <w:t>their</w:t>
      </w:r>
      <w:r w:rsidR="00C63F8F" w:rsidRPr="00E27443">
        <w:t xml:space="preserve"> </w:t>
      </w:r>
      <w:r w:rsidRPr="00E27443">
        <w:t>need</w:t>
      </w:r>
      <w:r w:rsidR="00C63F8F" w:rsidRPr="00E27443">
        <w:t xml:space="preserve"> </w:t>
      </w:r>
      <w:r w:rsidRPr="00E27443">
        <w:t>for</w:t>
      </w:r>
      <w:r w:rsidR="00C63F8F" w:rsidRPr="00E27443">
        <w:t xml:space="preserve"> </w:t>
      </w:r>
      <w:r w:rsidRPr="00E27443">
        <w:t>guidance</w:t>
      </w:r>
      <w:r w:rsidR="00C63F8F" w:rsidRPr="00E27443">
        <w:t xml:space="preserve"> </w:t>
      </w:r>
      <w:r w:rsidRPr="00E27443">
        <w:t>prior</w:t>
      </w:r>
      <w:r w:rsidR="00C63F8F" w:rsidRPr="00E27443">
        <w:t xml:space="preserve"> </w:t>
      </w:r>
      <w:r w:rsidRPr="00E27443">
        <w:t>to</w:t>
      </w:r>
      <w:r w:rsidR="00C63F8F" w:rsidRPr="00E27443">
        <w:t xml:space="preserve"> </w:t>
      </w:r>
      <w:r w:rsidRPr="00E27443">
        <w:t>choosing</w:t>
      </w:r>
      <w:r w:rsidR="00C63F8F" w:rsidRPr="00E27443">
        <w:t xml:space="preserve"> </w:t>
      </w:r>
      <w:r w:rsidRPr="00E27443">
        <w:t>educational</w:t>
      </w:r>
      <w:r w:rsidR="00C63F8F" w:rsidRPr="00E27443">
        <w:t xml:space="preserve"> </w:t>
      </w:r>
      <w:r w:rsidRPr="00E27443">
        <w:t>and</w:t>
      </w:r>
      <w:r w:rsidR="00C63F8F" w:rsidRPr="00E27443">
        <w:t xml:space="preserve"> </w:t>
      </w:r>
      <w:r w:rsidRPr="00E27443">
        <w:t>vocational</w:t>
      </w:r>
      <w:r w:rsidR="00C63F8F" w:rsidRPr="00E27443">
        <w:t xml:space="preserve"> </w:t>
      </w:r>
      <w:r w:rsidRPr="00E27443">
        <w:t>activities</w:t>
      </w:r>
      <w:r w:rsidR="00C63F8F" w:rsidRPr="00E27443">
        <w:t xml:space="preserve"> </w:t>
      </w:r>
      <w:r w:rsidRPr="00E27443">
        <w:t>can</w:t>
      </w:r>
      <w:r w:rsidR="00C63F8F" w:rsidRPr="00E27443">
        <w:t xml:space="preserve"> </w:t>
      </w:r>
      <w:r w:rsidRPr="00E27443">
        <w:t>be</w:t>
      </w:r>
      <w:r w:rsidR="00C63F8F" w:rsidRPr="00E27443">
        <w:t xml:space="preserve"> </w:t>
      </w:r>
      <w:r w:rsidRPr="00E27443">
        <w:t>satisfied.</w:t>
      </w:r>
      <w:r w:rsidR="00C63F8F" w:rsidRPr="00E27443">
        <w:t xml:space="preserve"> </w:t>
      </w:r>
      <w:r w:rsidRPr="00E27443">
        <w:t>Individuals</w:t>
      </w:r>
      <w:r w:rsidR="00C63F8F" w:rsidRPr="00E27443">
        <w:t xml:space="preserve"> </w:t>
      </w:r>
      <w:r w:rsidRPr="00E27443">
        <w:t>who</w:t>
      </w:r>
      <w:r w:rsidR="00C63F8F" w:rsidRPr="00E27443">
        <w:t xml:space="preserve"> </w:t>
      </w:r>
      <w:r w:rsidRPr="00E27443">
        <w:t>intend</w:t>
      </w:r>
      <w:r w:rsidR="00C63F8F" w:rsidRPr="00E27443">
        <w:t xml:space="preserve"> </w:t>
      </w:r>
      <w:r w:rsidRPr="00E27443">
        <w:t>to</w:t>
      </w:r>
      <w:r w:rsidR="00C63F8F" w:rsidRPr="00E27443">
        <w:t xml:space="preserve"> </w:t>
      </w:r>
      <w:r w:rsidRPr="00E27443">
        <w:t>commence</w:t>
      </w:r>
      <w:r w:rsidR="00C63F8F" w:rsidRPr="00E27443">
        <w:t xml:space="preserve"> </w:t>
      </w:r>
      <w:r w:rsidRPr="00E27443">
        <w:t>a</w:t>
      </w:r>
      <w:r w:rsidR="00C63F8F" w:rsidRPr="00E27443">
        <w:t xml:space="preserve"> </w:t>
      </w:r>
      <w:r w:rsidRPr="00E27443">
        <w:t>course</w:t>
      </w:r>
      <w:r w:rsidR="00C63F8F" w:rsidRPr="00E27443">
        <w:t xml:space="preserve"> </w:t>
      </w:r>
      <w:r w:rsidRPr="00E27443">
        <w:t>must</w:t>
      </w:r>
      <w:r w:rsidR="00C63F8F" w:rsidRPr="00E27443">
        <w:t xml:space="preserve"> </w:t>
      </w:r>
      <w:r w:rsidRPr="00E27443">
        <w:t>also</w:t>
      </w:r>
      <w:r w:rsidR="00C63F8F" w:rsidRPr="00E27443">
        <w:t xml:space="preserve"> </w:t>
      </w:r>
      <w:r w:rsidRPr="00E27443">
        <w:t>have</w:t>
      </w:r>
      <w:r w:rsidR="00C63F8F" w:rsidRPr="00E27443">
        <w:t xml:space="preserve"> </w:t>
      </w:r>
      <w:r w:rsidRPr="00E27443">
        <w:t>access</w:t>
      </w:r>
      <w:r w:rsidR="00C63F8F" w:rsidRPr="00E27443">
        <w:t xml:space="preserve"> </w:t>
      </w:r>
      <w:r w:rsidRPr="00E27443">
        <w:t>to</w:t>
      </w:r>
      <w:r w:rsidR="00C63F8F" w:rsidRPr="00E27443">
        <w:t xml:space="preserve"> </w:t>
      </w:r>
      <w:r w:rsidRPr="00E27443">
        <w:t>guidance</w:t>
      </w:r>
      <w:r w:rsidR="00C63F8F" w:rsidRPr="00E27443">
        <w:t xml:space="preserve"> </w:t>
      </w:r>
      <w:r w:rsidRPr="00E27443">
        <w:t>(Section</w:t>
      </w:r>
      <w:r w:rsidR="00C63F8F" w:rsidRPr="00E27443">
        <w:t xml:space="preserve"> </w:t>
      </w:r>
      <w:r w:rsidRPr="00E27443">
        <w:t>2,</w:t>
      </w:r>
      <w:r w:rsidR="00C63F8F" w:rsidRPr="00E27443">
        <w:t xml:space="preserve"> </w:t>
      </w:r>
      <w:r w:rsidRPr="00E27443">
        <w:t>§</w:t>
      </w:r>
      <w:r w:rsidR="00C63F8F" w:rsidRPr="00E27443">
        <w:t xml:space="preserve"> </w:t>
      </w:r>
      <w:r w:rsidRPr="00E27443">
        <w:t>29).</w:t>
      </w:r>
    </w:p>
    <w:p w:rsidR="00321ADA" w:rsidRPr="00E27443" w:rsidRDefault="00321ADA" w:rsidP="00B45FDC">
      <w:pPr>
        <w:pStyle w:val="SingleTxtG"/>
        <w:numPr>
          <w:ilvl w:val="0"/>
          <w:numId w:val="20"/>
        </w:numPr>
        <w:tabs>
          <w:tab w:val="left" w:pos="1843"/>
        </w:tabs>
        <w:ind w:left="1134" w:firstLine="0"/>
      </w:pPr>
      <w:r w:rsidRPr="00E27443">
        <w:t>The</w:t>
      </w:r>
      <w:r w:rsidR="00C63F8F" w:rsidRPr="00E27443">
        <w:t xml:space="preserve"> </w:t>
      </w:r>
      <w:r w:rsidRPr="00E27443">
        <w:t>transition</w:t>
      </w:r>
      <w:r w:rsidR="00C63F8F" w:rsidRPr="00E27443">
        <w:t xml:space="preserve"> </w:t>
      </w:r>
      <w:r w:rsidRPr="00E27443">
        <w:t>from</w:t>
      </w:r>
      <w:r w:rsidR="00C63F8F" w:rsidRPr="00E27443">
        <w:t xml:space="preserve"> </w:t>
      </w:r>
      <w:r w:rsidRPr="00E27443">
        <w:t>school</w:t>
      </w:r>
      <w:r w:rsidR="00C63F8F" w:rsidRPr="00E27443">
        <w:t xml:space="preserve"> </w:t>
      </w:r>
      <w:r w:rsidRPr="00E27443">
        <w:t>to</w:t>
      </w:r>
      <w:r w:rsidR="00C63F8F" w:rsidRPr="00E27443">
        <w:t xml:space="preserve"> </w:t>
      </w:r>
      <w:r w:rsidRPr="00E27443">
        <w:t>working</w:t>
      </w:r>
      <w:r w:rsidR="00C63F8F" w:rsidRPr="00E27443">
        <w:t xml:space="preserve"> </w:t>
      </w:r>
      <w:r w:rsidRPr="00E27443">
        <w:t>life</w:t>
      </w:r>
      <w:r w:rsidR="00C63F8F" w:rsidRPr="00E27443">
        <w:t xml:space="preserve"> </w:t>
      </w:r>
      <w:r w:rsidRPr="00E27443">
        <w:t>is</w:t>
      </w:r>
      <w:r w:rsidR="00C63F8F" w:rsidRPr="00E27443">
        <w:t xml:space="preserve"> </w:t>
      </w:r>
      <w:r w:rsidRPr="00E27443">
        <w:t>a</w:t>
      </w:r>
      <w:r w:rsidR="00C63F8F" w:rsidRPr="00E27443">
        <w:t xml:space="preserve"> </w:t>
      </w:r>
      <w:r w:rsidRPr="00E27443">
        <w:t>critical</w:t>
      </w:r>
      <w:r w:rsidR="00C63F8F" w:rsidRPr="00E27443">
        <w:t xml:space="preserve"> </w:t>
      </w:r>
      <w:r w:rsidRPr="00E27443">
        <w:t>time</w:t>
      </w:r>
      <w:r w:rsidR="00C63F8F" w:rsidRPr="00E27443">
        <w:t xml:space="preserve"> </w:t>
      </w:r>
      <w:r w:rsidRPr="00E27443">
        <w:t>for</w:t>
      </w:r>
      <w:r w:rsidR="00C63F8F" w:rsidRPr="00E27443">
        <w:t xml:space="preserve"> </w:t>
      </w:r>
      <w:r w:rsidRPr="00B45FDC">
        <w:t>young</w:t>
      </w:r>
      <w:r w:rsidR="00C63F8F" w:rsidRPr="00B45FDC">
        <w:t xml:space="preserve"> </w:t>
      </w:r>
      <w:r w:rsidRPr="00B45FDC">
        <w:t>persons</w:t>
      </w:r>
      <w:r w:rsidR="00C63F8F" w:rsidRPr="00B45FDC">
        <w:t xml:space="preserve"> </w:t>
      </w:r>
      <w:r w:rsidRPr="00B45FDC">
        <w:t>with</w:t>
      </w:r>
      <w:r w:rsidR="00C63F8F" w:rsidRPr="00B45FDC">
        <w:t xml:space="preserve"> </w:t>
      </w:r>
      <w:r w:rsidRPr="00B45FDC">
        <w:t>disabilities</w:t>
      </w:r>
      <w:r w:rsidRPr="00E27443">
        <w:t>.</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therefore</w:t>
      </w:r>
      <w:r w:rsidR="00C63F8F" w:rsidRPr="00E27443">
        <w:t xml:space="preserve"> </w:t>
      </w:r>
      <w:r w:rsidRPr="00E27443">
        <w:t>given</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a</w:t>
      </w:r>
      <w:r w:rsidR="00C63F8F" w:rsidRPr="00E27443">
        <w:t xml:space="preserve"> </w:t>
      </w:r>
      <w:r w:rsidRPr="00E27443">
        <w:t>specific</w:t>
      </w:r>
      <w:r w:rsidR="00C63F8F" w:rsidRPr="00E27443">
        <w:t xml:space="preserve"> </w:t>
      </w:r>
      <w:r w:rsidRPr="00E27443">
        <w:t>task,</w:t>
      </w:r>
      <w:r w:rsidR="00757BF4" w:rsidRPr="00B45FDC">
        <w:footnoteReference w:id="126"/>
      </w:r>
      <w:r w:rsidR="00C63F8F" w:rsidRPr="00E27443">
        <w:t xml:space="preserve"> </w:t>
      </w:r>
      <w:r w:rsidRPr="00E27443">
        <w:t>to</w:t>
      </w:r>
      <w:r w:rsidR="00C63F8F" w:rsidRPr="00E27443">
        <w:t xml:space="preserve"> </w:t>
      </w:r>
      <w:r w:rsidRPr="00E27443">
        <w:t>conduct</w:t>
      </w:r>
      <w:r w:rsidR="00C63F8F" w:rsidRPr="00E27443">
        <w:t xml:space="preserve"> </w:t>
      </w:r>
      <w:r w:rsidRPr="00E27443">
        <w:t>activities</w:t>
      </w:r>
      <w:r w:rsidR="00C63F8F" w:rsidRPr="00E27443">
        <w:t xml:space="preserve"> </w:t>
      </w:r>
      <w:r w:rsidRPr="00E27443">
        <w:t>on</w:t>
      </w:r>
      <w:r w:rsidR="00C63F8F" w:rsidRPr="00E27443">
        <w:t xml:space="preserve"> </w:t>
      </w:r>
      <w:r w:rsidRPr="00E27443">
        <w:t>behalf</w:t>
      </w:r>
      <w:r w:rsidR="00C63F8F" w:rsidRPr="00E27443">
        <w:t xml:space="preserve"> </w:t>
      </w:r>
      <w:r w:rsidRPr="00E27443">
        <w:t>of</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includes</w:t>
      </w:r>
      <w:r w:rsidR="00C63F8F" w:rsidRPr="00E27443">
        <w:t xml:space="preserve"> </w:t>
      </w:r>
      <w:r w:rsidRPr="00E27443">
        <w:t>upper</w:t>
      </w:r>
      <w:r w:rsidR="00C63F8F" w:rsidRPr="00E27443">
        <w:t xml:space="preserve"> </w:t>
      </w:r>
      <w:r w:rsidRPr="00E27443">
        <w:t>secondary</w:t>
      </w:r>
      <w:r w:rsidR="00C63F8F" w:rsidRPr="00E27443">
        <w:t xml:space="preserve"> </w:t>
      </w:r>
      <w:r w:rsidRPr="00E27443">
        <w:t>pupils</w:t>
      </w:r>
      <w:r w:rsidR="00C63F8F" w:rsidRPr="00E27443">
        <w:t xml:space="preserve"> </w:t>
      </w:r>
      <w:r w:rsidRPr="00E27443">
        <w:t>aged</w:t>
      </w:r>
      <w:r w:rsidR="00C63F8F" w:rsidRPr="00E27443">
        <w:t xml:space="preserve"> </w:t>
      </w:r>
      <w:r w:rsidRPr="00E27443">
        <w:t>at</w:t>
      </w:r>
      <w:r w:rsidR="00C63F8F" w:rsidRPr="00E27443">
        <w:t xml:space="preserve"> </w:t>
      </w:r>
      <w:r w:rsidRPr="00E27443">
        <w:t>least</w:t>
      </w:r>
      <w:r w:rsidR="00C63F8F" w:rsidRPr="00E27443">
        <w:t xml:space="preserve"> </w:t>
      </w:r>
      <w:r w:rsidRPr="00E27443">
        <w:t>16</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persons</w:t>
      </w:r>
      <w:r w:rsidR="00C63F8F" w:rsidRPr="00E27443">
        <w:t xml:space="preserve"> </w:t>
      </w:r>
      <w:r w:rsidRPr="00E27443">
        <w:t>below</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30</w:t>
      </w:r>
      <w:r w:rsidR="00C63F8F" w:rsidRPr="00E27443">
        <w:t xml:space="preserve"> </w:t>
      </w:r>
      <w:r w:rsidRPr="00E27443">
        <w:t>who</w:t>
      </w:r>
      <w:r w:rsidR="00C63F8F" w:rsidRPr="00E27443">
        <w:t xml:space="preserve"> </w:t>
      </w:r>
      <w:r w:rsidRPr="00E27443">
        <w:t>are</w:t>
      </w:r>
      <w:r w:rsidR="00C63F8F" w:rsidRPr="00E27443">
        <w:t xml:space="preserve"> </w:t>
      </w:r>
      <w:r w:rsidRPr="00E27443">
        <w:t>receiving</w:t>
      </w:r>
      <w:r w:rsidR="00C63F8F" w:rsidRPr="00E27443">
        <w:t xml:space="preserve"> </w:t>
      </w:r>
      <w:r w:rsidRPr="00E27443">
        <w:t>compensation</w:t>
      </w:r>
      <w:r w:rsidR="00C63F8F" w:rsidRPr="00E27443">
        <w:t xml:space="preserve"> </w:t>
      </w:r>
      <w:r w:rsidRPr="00E27443">
        <w:t>from</w:t>
      </w:r>
      <w:r w:rsidR="00C63F8F" w:rsidRPr="00E27443">
        <w:t xml:space="preserve"> </w:t>
      </w:r>
      <w:r w:rsidRPr="00E27443">
        <w:t>social</w:t>
      </w:r>
      <w:r w:rsidR="00C63F8F" w:rsidRPr="00E27443">
        <w:t xml:space="preserve"> </w:t>
      </w:r>
      <w:r w:rsidRPr="00E27443">
        <w:t>insurance.</w:t>
      </w:r>
      <w:r w:rsidR="00C63F8F" w:rsidRPr="00E27443">
        <w:t xml:space="preserve"> </w:t>
      </w:r>
    </w:p>
    <w:p w:rsidR="00321ADA" w:rsidRPr="00E27443" w:rsidRDefault="00321ADA" w:rsidP="00B45FDC">
      <w:pPr>
        <w:pStyle w:val="SingleTxtG"/>
        <w:numPr>
          <w:ilvl w:val="0"/>
          <w:numId w:val="20"/>
        </w:numPr>
        <w:tabs>
          <w:tab w:val="left" w:pos="1843"/>
        </w:tabs>
        <w:ind w:left="1134" w:firstLine="0"/>
      </w:pP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 xml:space="preserve"> </w:t>
      </w:r>
      <w:r w:rsidRPr="00E27443">
        <w:t>co-operates</w:t>
      </w:r>
      <w:r w:rsidR="00C63F8F" w:rsidRPr="00E27443">
        <w:t xml:space="preserve"> </w:t>
      </w:r>
      <w:r w:rsidRPr="00E27443">
        <w:t>with</w:t>
      </w:r>
      <w:r w:rsidR="00C63F8F" w:rsidRPr="00E27443">
        <w:t xml:space="preserve"> </w:t>
      </w:r>
      <w:r w:rsidRPr="00E27443">
        <w:t>schools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safeguard</w:t>
      </w:r>
      <w:r w:rsidR="00C63F8F" w:rsidRPr="00E27443">
        <w:t xml:space="preserve"> </w:t>
      </w:r>
      <w:r w:rsidRPr="00E27443">
        <w:t>the</w:t>
      </w:r>
      <w:r w:rsidR="00C63F8F" w:rsidRPr="00E27443">
        <w:t xml:space="preserve"> </w:t>
      </w:r>
      <w:r w:rsidRPr="00E27443">
        <w:t>transition</w:t>
      </w:r>
      <w:r w:rsidR="00C63F8F" w:rsidRPr="00E27443">
        <w:t xml:space="preserve"> </w:t>
      </w:r>
      <w:r w:rsidRPr="00E27443">
        <w:t>from</w:t>
      </w:r>
      <w:r w:rsidR="00C63F8F" w:rsidRPr="00E27443">
        <w:t xml:space="preserve"> </w:t>
      </w:r>
      <w:r w:rsidRPr="00E27443">
        <w:t>school</w:t>
      </w:r>
      <w:r w:rsidR="00C63F8F" w:rsidRPr="00E27443">
        <w:t xml:space="preserve"> </w:t>
      </w:r>
      <w:r w:rsidRPr="00E27443">
        <w:t>to</w:t>
      </w:r>
      <w:r w:rsidR="00C63F8F" w:rsidRPr="00E27443">
        <w:t xml:space="preserve"> </w:t>
      </w:r>
      <w:r w:rsidRPr="00E27443">
        <w:t>work</w:t>
      </w:r>
      <w:r w:rsidR="00C63F8F" w:rsidRPr="00E27443">
        <w:t xml:space="preserve"> </w:t>
      </w:r>
      <w:r w:rsidRPr="00E27443">
        <w:t>for</w:t>
      </w:r>
      <w:r w:rsidR="00C63F8F" w:rsidRPr="00E27443">
        <w:t xml:space="preserve"> </w:t>
      </w:r>
      <w:r w:rsidRPr="00E27443">
        <w:t>pupils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Within</w:t>
      </w:r>
      <w:r w:rsidR="00C63F8F" w:rsidRPr="00E27443">
        <w:t xml:space="preserve"> </w:t>
      </w:r>
      <w:r w:rsidRPr="00E27443">
        <w:t>each</w:t>
      </w:r>
      <w:r w:rsidR="00C63F8F" w:rsidRPr="00E27443">
        <w:t xml:space="preserve"> </w:t>
      </w:r>
      <w:r w:rsidRPr="00E27443">
        <w:t>labour</w:t>
      </w:r>
      <w:r w:rsidR="00C63F8F" w:rsidRPr="00E27443">
        <w:t xml:space="preserve"> </w:t>
      </w:r>
      <w:r w:rsidRPr="00E27443">
        <w:t>market</w:t>
      </w:r>
      <w:r w:rsidR="00C63F8F" w:rsidRPr="00E27443">
        <w:t xml:space="preserve"> </w:t>
      </w:r>
      <w:r w:rsidRPr="00E27443">
        <w:t>area,</w:t>
      </w:r>
      <w:r w:rsidR="00C63F8F" w:rsidRPr="00E27443">
        <w:t xml:space="preserve"> </w:t>
      </w:r>
      <w:r w:rsidRPr="00E27443">
        <w:t>there</w:t>
      </w:r>
      <w:r w:rsidR="00C63F8F" w:rsidRPr="00E27443">
        <w:t xml:space="preserve"> </w:t>
      </w:r>
      <w:r w:rsidRPr="00E27443">
        <w:t>must</w:t>
      </w:r>
      <w:r w:rsidR="00C63F8F" w:rsidRPr="00E27443">
        <w:t xml:space="preserve"> </w:t>
      </w:r>
      <w:r w:rsidRPr="00E27443">
        <w:t>also</w:t>
      </w:r>
      <w:r w:rsidR="00C63F8F" w:rsidRPr="00E27443">
        <w:t xml:space="preserve"> </w:t>
      </w:r>
      <w:r w:rsidRPr="00E27443">
        <w:t>be</w:t>
      </w:r>
      <w:r w:rsidR="00C63F8F" w:rsidRPr="00E27443">
        <w:t xml:space="preserve"> </w:t>
      </w:r>
      <w:r w:rsidRPr="00E27443">
        <w:t>an</w:t>
      </w:r>
      <w:r w:rsidR="00C63F8F" w:rsidRPr="00E27443">
        <w:t xml:space="preserve"> </w:t>
      </w:r>
      <w:r w:rsidRPr="00E27443">
        <w:t>appointed</w:t>
      </w:r>
      <w:r w:rsidR="00C63F8F" w:rsidRPr="00E27443">
        <w:t xml:space="preserve"> </w:t>
      </w:r>
      <w:r w:rsidRPr="00E27443">
        <w:t>employment</w:t>
      </w:r>
      <w:r w:rsidR="00C63F8F" w:rsidRPr="00E27443">
        <w:t xml:space="preserve"> </w:t>
      </w:r>
      <w:r w:rsidRPr="00E27443">
        <w:t>officer</w:t>
      </w:r>
      <w:r w:rsidR="00C63F8F" w:rsidRPr="00E27443">
        <w:t xml:space="preserve"> </w:t>
      </w:r>
      <w:r w:rsidRPr="00E27443">
        <w:t>who</w:t>
      </w:r>
      <w:r w:rsidR="00C63F8F" w:rsidRPr="00E27443">
        <w:t xml:space="preserve"> </w:t>
      </w:r>
      <w:r w:rsidRPr="00E27443">
        <w:t>possesses</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working</w:t>
      </w:r>
      <w:r w:rsidR="00C63F8F" w:rsidRPr="00E27443">
        <w:t xml:space="preserve"> </w:t>
      </w:r>
      <w:r w:rsidRPr="00E27443">
        <w:t>life-oriented</w:t>
      </w:r>
      <w:r w:rsidR="00C63F8F" w:rsidRPr="00E27443">
        <w:t xml:space="preserve"> </w:t>
      </w:r>
      <w:r w:rsidRPr="00E27443">
        <w:t>rehabilitation</w:t>
      </w:r>
      <w:r w:rsidR="00C63F8F" w:rsidRPr="00E27443">
        <w:t xml:space="preserve"> </w:t>
      </w:r>
      <w:r w:rsidRPr="00E27443">
        <w:t>and</w:t>
      </w:r>
      <w:r w:rsidR="00C63F8F" w:rsidRPr="00E27443">
        <w:t xml:space="preserve"> </w:t>
      </w:r>
      <w:r w:rsidRPr="00E27443">
        <w:t>who</w:t>
      </w:r>
      <w:r w:rsidR="00C63F8F" w:rsidRPr="00E27443">
        <w:t xml:space="preserve"> </w:t>
      </w:r>
      <w:r w:rsidRPr="00E27443">
        <w:t>co-operates</w:t>
      </w:r>
      <w:r w:rsidR="00C63F8F" w:rsidRPr="00E27443">
        <w:t xml:space="preserve"> </w:t>
      </w:r>
      <w:r w:rsidRPr="00E27443">
        <w:t>with</w:t>
      </w:r>
      <w:r w:rsidR="00C63F8F" w:rsidRPr="00E27443">
        <w:t xml:space="preserve"> </w:t>
      </w:r>
      <w:r w:rsidRPr="00E27443">
        <w:t>e.g.</w:t>
      </w:r>
      <w:r w:rsidR="00C63F8F" w:rsidRPr="00E27443">
        <w:t xml:space="preserve"> </w:t>
      </w:r>
      <w:r w:rsidRPr="00E27443">
        <w:t>the</w:t>
      </w:r>
      <w:r w:rsidR="00C63F8F" w:rsidRPr="00E27443">
        <w:t xml:space="preserve"> </w:t>
      </w:r>
      <w:r w:rsidRPr="00E27443">
        <w:t>school,</w:t>
      </w:r>
      <w:r w:rsidR="00C63F8F" w:rsidRPr="00E27443">
        <w:t xml:space="preserve"> </w:t>
      </w:r>
      <w:r w:rsidRPr="00E27443">
        <w:t>the</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Office</w:t>
      </w:r>
      <w:r w:rsidR="00C63F8F" w:rsidRPr="00E27443">
        <w:t xml:space="preserve"> </w:t>
      </w:r>
      <w:r w:rsidRPr="00E27443">
        <w:t>and</w:t>
      </w:r>
      <w:r w:rsidR="00C63F8F" w:rsidRPr="00E27443">
        <w:t xml:space="preserve"> </w:t>
      </w:r>
      <w:r w:rsidRPr="00E27443">
        <w:t>the</w:t>
      </w:r>
      <w:r w:rsidR="00C63F8F" w:rsidRPr="00E27443">
        <w:t xml:space="preserve"> </w:t>
      </w:r>
      <w:r w:rsidRPr="00E27443">
        <w:t>municipality</w:t>
      </w:r>
      <w:r w:rsidR="00C63F8F" w:rsidRPr="00E27443">
        <w:t>’</w:t>
      </w:r>
      <w:r w:rsidRPr="00E27443">
        <w:t>s</w:t>
      </w:r>
      <w:r w:rsidR="00C63F8F" w:rsidRPr="00E27443">
        <w:t xml:space="preserve"> </w:t>
      </w:r>
      <w:r w:rsidRPr="00E27443">
        <w:t>daily</w:t>
      </w:r>
      <w:r w:rsidR="00C63F8F" w:rsidRPr="00E27443">
        <w:t xml:space="preserve"> </w:t>
      </w:r>
      <w:r w:rsidRPr="00E27443">
        <w:t>activities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inte</w:t>
      </w:r>
      <w:r w:rsidR="000A0284" w:rsidRPr="00E27443">
        <w:t>l</w:t>
      </w:r>
      <w:r w:rsidRPr="00E27443">
        <w:t>lectual</w:t>
      </w:r>
      <w:r w:rsidR="00C63F8F" w:rsidRPr="00E27443">
        <w:t xml:space="preserve"> </w:t>
      </w:r>
      <w:r w:rsidRPr="00E27443">
        <w:t>disabilities</w:t>
      </w:r>
      <w:r w:rsidR="00C63F8F" w:rsidRPr="00E27443">
        <w:t xml:space="preserve"> </w:t>
      </w:r>
      <w:r w:rsidRPr="00E27443">
        <w:t>(see</w:t>
      </w:r>
      <w:r w:rsidR="00C63F8F" w:rsidRPr="00E27443">
        <w:t xml:space="preserve"> </w:t>
      </w:r>
      <w:r w:rsidRPr="00E27443">
        <w:t>LSS</w:t>
      </w:r>
      <w:r w:rsidR="00C63F8F" w:rsidRPr="00E27443">
        <w:t xml:space="preserve"> </w:t>
      </w:r>
      <w:r w:rsidRPr="00E27443">
        <w:t>under</w:t>
      </w:r>
      <w:r w:rsidR="00C63F8F" w:rsidRPr="00E27443">
        <w:t xml:space="preserve"> </w:t>
      </w:r>
      <w:r w:rsidRPr="00E27443">
        <w:t>Article</w:t>
      </w:r>
      <w:r w:rsidR="00C63F8F" w:rsidRPr="00E27443">
        <w:t xml:space="preserve"> </w:t>
      </w:r>
      <w:r w:rsidRPr="00E27443">
        <w:t>19).</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highlighted</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000A0284" w:rsidRPr="00E27443">
        <w:t>intellectual</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have</w:t>
      </w:r>
      <w:r w:rsidR="00C63F8F" w:rsidRPr="00E27443">
        <w:t xml:space="preserve"> </w:t>
      </w:r>
      <w:r w:rsidRPr="00E27443">
        <w:t>daily</w:t>
      </w:r>
      <w:r w:rsidR="00C63F8F" w:rsidRPr="00E27443">
        <w:t xml:space="preserve"> </w:t>
      </w:r>
      <w:r w:rsidRPr="00E27443">
        <w:t>activities</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LSS,</w:t>
      </w:r>
      <w:r w:rsidR="00C63F8F" w:rsidRPr="00E27443">
        <w:t xml:space="preserve"> </w:t>
      </w:r>
      <w:r w:rsidRPr="00E27443">
        <w:t>have</w:t>
      </w:r>
      <w:r w:rsidR="00C63F8F" w:rsidRPr="00E27443">
        <w:t xml:space="preserve"> </w:t>
      </w:r>
      <w:r w:rsidRPr="00E27443">
        <w:t>remained</w:t>
      </w:r>
      <w:r w:rsidR="00C63F8F" w:rsidRPr="00E27443">
        <w:t xml:space="preserve"> </w:t>
      </w:r>
      <w:r w:rsidRPr="00E27443">
        <w:t>in</w:t>
      </w:r>
      <w:r w:rsidR="00C63F8F" w:rsidRPr="00E27443">
        <w:t xml:space="preserve"> </w:t>
      </w:r>
      <w:r w:rsidRPr="00E27443">
        <w:t>that</w:t>
      </w:r>
      <w:r w:rsidR="00C63F8F" w:rsidRPr="00E27443">
        <w:t xml:space="preserve"> </w:t>
      </w:r>
      <w:r w:rsidRPr="00E27443">
        <w:t>activity</w:t>
      </w:r>
      <w:r w:rsidR="00C63F8F" w:rsidRPr="00E27443">
        <w:t xml:space="preserve"> </w:t>
      </w:r>
      <w:r w:rsidRPr="00E27443">
        <w:t>without</w:t>
      </w:r>
      <w:r w:rsidR="00C63F8F" w:rsidRPr="00E27443">
        <w:t xml:space="preserve"> </w:t>
      </w:r>
      <w:r w:rsidRPr="00E27443">
        <w:t>moving</w:t>
      </w:r>
      <w:r w:rsidR="00C63F8F" w:rsidRPr="00E27443">
        <w:t xml:space="preserve"> </w:t>
      </w:r>
      <w:r w:rsidRPr="00E27443">
        <w:t>on</w:t>
      </w:r>
      <w:r w:rsidR="00C63F8F" w:rsidRPr="00E27443">
        <w:t xml:space="preserve"> </w:t>
      </w:r>
      <w:r w:rsidRPr="00E27443">
        <w:t>into</w:t>
      </w:r>
      <w:r w:rsidR="00C63F8F" w:rsidRPr="00E27443">
        <w:t xml:space="preserve"> </w:t>
      </w:r>
      <w:r w:rsidRPr="00E27443">
        <w:t>working</w:t>
      </w:r>
      <w:r w:rsidR="00C63F8F" w:rsidRPr="00E27443">
        <w:t xml:space="preserve"> </w:t>
      </w:r>
      <w:r w:rsidRPr="00E27443">
        <w:t>life.</w:t>
      </w:r>
      <w:r w:rsidR="00C63F8F" w:rsidRPr="00E27443">
        <w:t xml:space="preserve"> </w:t>
      </w:r>
      <w:r w:rsidRPr="00E27443">
        <w:t>In</w:t>
      </w:r>
      <w:r w:rsidR="00C63F8F" w:rsidRPr="00E27443">
        <w:t xml:space="preserve"> </w:t>
      </w:r>
      <w:r w:rsidRPr="00E27443">
        <w:t>2008,</w:t>
      </w:r>
      <w:r w:rsidR="00C63F8F" w:rsidRPr="00E27443">
        <w:t xml:space="preserve"> </w:t>
      </w:r>
      <w:r w:rsidRPr="00E27443">
        <w:t>as</w:t>
      </w:r>
      <w:r w:rsidR="00C63F8F" w:rsidRPr="00E27443">
        <w:t xml:space="preserve"> </w:t>
      </w:r>
      <w:r w:rsidRPr="00E27443">
        <w:t>a</w:t>
      </w:r>
      <w:r w:rsidR="00C63F8F" w:rsidRPr="00E27443">
        <w:t xml:space="preserve"> </w:t>
      </w:r>
      <w:r w:rsidRPr="00E27443">
        <w:t>result,</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commissioned</w:t>
      </w:r>
      <w:r w:rsidR="00C63F8F" w:rsidRPr="00E27443">
        <w:t xml:space="preserve"> </w:t>
      </w:r>
      <w:r w:rsidRPr="00E27443">
        <w:t>responsible</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players</w:t>
      </w:r>
      <w:r w:rsidR="00C63F8F" w:rsidRPr="00E27443">
        <w:t xml:space="preserve"> </w:t>
      </w:r>
      <w:r w:rsidRPr="00E27443">
        <w:t>to</w:t>
      </w:r>
      <w:r w:rsidR="00C63F8F" w:rsidRPr="00E27443">
        <w:t xml:space="preserve"> </w:t>
      </w:r>
      <w:r w:rsidRPr="00E27443">
        <w:t>co-operate</w:t>
      </w:r>
      <w:r w:rsidR="00C63F8F" w:rsidRPr="00E27443">
        <w:t xml:space="preserve"> </w:t>
      </w:r>
      <w:r w:rsidRPr="00E27443">
        <w:t>so</w:t>
      </w:r>
      <w:r w:rsidR="00C63F8F" w:rsidRPr="00E27443">
        <w:t xml:space="preserve"> </w:t>
      </w:r>
      <w:r w:rsidRPr="00E27443">
        <w:t>that</w:t>
      </w:r>
      <w:r w:rsidR="00C63F8F" w:rsidRPr="00E27443">
        <w:t xml:space="preserve"> </w:t>
      </w:r>
      <w:r w:rsidRPr="00E27443">
        <w:t>the</w:t>
      </w:r>
      <w:r w:rsidR="00C63F8F" w:rsidRPr="00E27443">
        <w:t xml:space="preserve"> </w:t>
      </w:r>
      <w:r w:rsidRPr="00E27443">
        <w:t>group</w:t>
      </w:r>
      <w:r w:rsidR="00C63F8F" w:rsidRPr="00E27443">
        <w:t xml:space="preserve"> </w:t>
      </w:r>
      <w:r w:rsidRPr="00E27443">
        <w:t>in</w:t>
      </w:r>
      <w:r w:rsidR="00C63F8F" w:rsidRPr="00E27443">
        <w:t xml:space="preserve"> </w:t>
      </w:r>
      <w:r w:rsidRPr="00E27443">
        <w:t>daily</w:t>
      </w:r>
      <w:r w:rsidR="00C63F8F" w:rsidRPr="00E27443">
        <w:t xml:space="preserve"> </w:t>
      </w:r>
      <w:r w:rsidRPr="00E27443">
        <w:t>activities,</w:t>
      </w:r>
      <w:r w:rsidR="00C63F8F" w:rsidRPr="00E27443">
        <w:t xml:space="preserve"> </w:t>
      </w:r>
      <w:r w:rsidRPr="00E27443">
        <w:t>who</w:t>
      </w:r>
      <w:r w:rsidR="00C63F8F" w:rsidRPr="00E27443">
        <w:t xml:space="preserve"> </w:t>
      </w:r>
      <w:r w:rsidRPr="00E27443">
        <w:t>are</w:t>
      </w:r>
      <w:r w:rsidR="00C63F8F" w:rsidRPr="00E27443">
        <w:t xml:space="preserve"> </w:t>
      </w:r>
      <w:r w:rsidRPr="00E27443">
        <w:t>close</w:t>
      </w:r>
      <w:r w:rsidR="00C63F8F" w:rsidRPr="00E27443">
        <w:t xml:space="preserve"> </w:t>
      </w:r>
      <w:r w:rsidRPr="00E27443">
        <w:t>to</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have</w:t>
      </w:r>
      <w:r w:rsidR="00C63F8F" w:rsidRPr="00E27443">
        <w:t xml:space="preserve"> </w:t>
      </w:r>
      <w:r w:rsidRPr="00E27443">
        <w:t>increased</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t>paid</w:t>
      </w:r>
      <w:r w:rsidR="00C63F8F" w:rsidRPr="00E27443">
        <w:t xml:space="preserve"> </w:t>
      </w:r>
      <w:r w:rsidRPr="00E27443">
        <w:t>work.</w:t>
      </w:r>
      <w:r w:rsidR="00C63F8F" w:rsidRPr="00E27443">
        <w:t xml:space="preserve"> </w:t>
      </w:r>
    </w:p>
    <w:p w:rsidR="00321ADA" w:rsidRPr="00E27443" w:rsidRDefault="00321ADA" w:rsidP="00B45FDC">
      <w:pPr>
        <w:pStyle w:val="SingleTxtG"/>
        <w:numPr>
          <w:ilvl w:val="0"/>
          <w:numId w:val="20"/>
        </w:numPr>
        <w:tabs>
          <w:tab w:val="left" w:pos="1843"/>
        </w:tabs>
        <w:ind w:left="1134" w:firstLine="0"/>
      </w:pP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that</w:t>
      </w:r>
      <w:r w:rsidR="00C63F8F" w:rsidRPr="00E27443">
        <w:t xml:space="preserve"> </w:t>
      </w:r>
      <w:r w:rsidRPr="00E27443">
        <w:t>entails</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are</w:t>
      </w:r>
      <w:r w:rsidR="00C63F8F" w:rsidRPr="00E27443">
        <w:t xml:space="preserve"> </w:t>
      </w:r>
      <w:r w:rsidRPr="00E27443">
        <w:t>exempted</w:t>
      </w:r>
      <w:r w:rsidR="00C63F8F" w:rsidRPr="00E27443">
        <w:t xml:space="preserve"> </w:t>
      </w:r>
      <w:r w:rsidRPr="00E27443">
        <w:t>from</w:t>
      </w:r>
      <w:r w:rsidR="00C63F8F" w:rsidRPr="00E27443">
        <w:t xml:space="preserve"> </w:t>
      </w:r>
      <w:r w:rsidRPr="00E27443">
        <w:t>the</w:t>
      </w:r>
      <w:r w:rsidR="00C63F8F" w:rsidRPr="00E27443">
        <w:t xml:space="preserve"> </w:t>
      </w:r>
      <w:r w:rsidRPr="00E27443">
        <w:t>requirement</w:t>
      </w:r>
      <w:r w:rsidR="00C63F8F" w:rsidRPr="00E27443">
        <w:t xml:space="preserve"> </w:t>
      </w:r>
      <w:r w:rsidRPr="00E27443">
        <w:t>to</w:t>
      </w:r>
      <w:r w:rsidR="00C63F8F" w:rsidRPr="00E27443">
        <w:t xml:space="preserve"> </w:t>
      </w:r>
      <w:r w:rsidRPr="00E27443">
        <w:t>have</w:t>
      </w:r>
      <w:r w:rsidR="00C63F8F" w:rsidRPr="00E27443">
        <w:t xml:space="preserve"> </w:t>
      </w:r>
      <w:r w:rsidRPr="00E27443">
        <w:t>reached</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25</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labour</w:t>
      </w:r>
      <w:r w:rsidR="00C63F8F" w:rsidRPr="00E27443">
        <w:t xml:space="preserve"> </w:t>
      </w:r>
      <w:r w:rsidRPr="00E27443">
        <w:t>market</w:t>
      </w:r>
      <w:r w:rsidR="00C63F8F" w:rsidRPr="00E27443">
        <w:t xml:space="preserve"> </w:t>
      </w:r>
      <w:r w:rsidRPr="00E27443">
        <w:t>policy</w:t>
      </w:r>
      <w:r w:rsidR="00C63F8F" w:rsidRPr="00E27443">
        <w:t xml:space="preserve"> </w:t>
      </w:r>
      <w:r w:rsidRPr="00E27443">
        <w:t>programmes.</w:t>
      </w:r>
      <w:r w:rsidR="00757BF4" w:rsidRPr="00B45FDC">
        <w:footnoteReference w:id="127"/>
      </w:r>
      <w:r w:rsidR="00C63F8F" w:rsidRPr="00E27443">
        <w:t xml:space="preserve"> </w:t>
      </w:r>
      <w:r w:rsidRPr="00E27443">
        <w:t>If</w:t>
      </w:r>
      <w:r w:rsidR="00C63F8F" w:rsidRPr="00E27443">
        <w:t xml:space="preserve"> </w:t>
      </w:r>
      <w:r w:rsidRPr="00E27443">
        <w:t>the</w:t>
      </w:r>
      <w:r w:rsidR="00C63F8F" w:rsidRPr="00E27443">
        <w:t xml:space="preserve"> </w:t>
      </w:r>
      <w:r w:rsidRPr="00E27443">
        <w:t>Public</w:t>
      </w:r>
      <w:r w:rsidR="00C63F8F" w:rsidRPr="00E27443">
        <w:t xml:space="preserve"> </w:t>
      </w:r>
      <w:r w:rsidRPr="00E27443">
        <w:t>Employment</w:t>
      </w:r>
      <w:r w:rsidR="00C63F8F" w:rsidRPr="00E27443">
        <w:t xml:space="preserve"> </w:t>
      </w:r>
      <w:r w:rsidRPr="00E27443">
        <w:t>Service</w:t>
      </w:r>
      <w:r w:rsidR="00C63F8F" w:rsidRPr="00E27443">
        <w:t>’</w:t>
      </w:r>
      <w:r w:rsidRPr="00E27443">
        <w:t>s</w:t>
      </w:r>
      <w:r w:rsidR="00C63F8F" w:rsidRPr="00E27443">
        <w:t xml:space="preserve"> </w:t>
      </w:r>
      <w:r w:rsidRPr="00E27443">
        <w:t>work</w:t>
      </w:r>
      <w:r w:rsidR="00C63F8F" w:rsidRPr="00E27443">
        <w:t xml:space="preserve"> </w:t>
      </w:r>
      <w:r w:rsidRPr="00E27443">
        <w:t>on</w:t>
      </w:r>
      <w:r w:rsidR="00C63F8F" w:rsidRPr="00E27443">
        <w:t xml:space="preserve"> </w:t>
      </w:r>
      <w:r w:rsidRPr="00E27443">
        <w:t>matching</w:t>
      </w:r>
      <w:r w:rsidR="00C63F8F" w:rsidRPr="00E27443">
        <w:t xml:space="preserve"> </w:t>
      </w:r>
      <w:r w:rsidRPr="00E27443">
        <w:t>jobs</w:t>
      </w:r>
      <w:r w:rsidR="00C63F8F" w:rsidRPr="00E27443">
        <w:t xml:space="preserve"> </w:t>
      </w:r>
      <w:r w:rsidRPr="00E27443">
        <w:t>does</w:t>
      </w:r>
      <w:r w:rsidR="00C63F8F" w:rsidRPr="00E27443">
        <w:t xml:space="preserve"> </w:t>
      </w:r>
      <w:r w:rsidRPr="00E27443">
        <w:t>not</w:t>
      </w:r>
      <w:r w:rsidR="00C63F8F" w:rsidRPr="00E27443">
        <w:t xml:space="preserve"> </w:t>
      </w:r>
      <w:r w:rsidRPr="00E27443">
        <w:t>produce</w:t>
      </w:r>
      <w:r w:rsidR="00C63F8F" w:rsidRPr="00E27443">
        <w:t xml:space="preserve"> </w:t>
      </w:r>
      <w:r w:rsidRPr="00E27443">
        <w:t>results,</w:t>
      </w:r>
      <w:r w:rsidR="00C63F8F" w:rsidRPr="00E27443">
        <w:t xml:space="preserve"> </w:t>
      </w:r>
      <w:r w:rsidRPr="00E27443">
        <w:t>a</w:t>
      </w:r>
      <w:r w:rsidR="00C63F8F" w:rsidRPr="00E27443">
        <w:t xml:space="preserve"> </w:t>
      </w:r>
      <w:r w:rsidRPr="00E27443">
        <w:t>period</w:t>
      </w:r>
      <w:r w:rsidR="00C63F8F" w:rsidRPr="00E27443">
        <w:t xml:space="preserve"> </w:t>
      </w:r>
      <w:r w:rsidRPr="00E27443">
        <w:t>of</w:t>
      </w:r>
      <w:r w:rsidR="00C63F8F" w:rsidRPr="00E27443">
        <w:t xml:space="preserve"> </w:t>
      </w:r>
      <w:r w:rsidRPr="00E27443">
        <w:t>work</w:t>
      </w:r>
      <w:r w:rsidR="00C63F8F" w:rsidRPr="00E27443">
        <w:t xml:space="preserve"> </w:t>
      </w:r>
      <w:r w:rsidRPr="00E27443">
        <w:t>experience</w:t>
      </w:r>
      <w:r w:rsidR="00C63F8F" w:rsidRPr="00E27443">
        <w:t xml:space="preserve"> </w:t>
      </w:r>
      <w:r w:rsidRPr="00E27443">
        <w:t>or</w:t>
      </w:r>
      <w:r w:rsidR="00C63F8F" w:rsidRPr="00E27443">
        <w:t xml:space="preserve"> </w:t>
      </w:r>
      <w:r w:rsidRPr="00E27443">
        <w:t>working</w:t>
      </w:r>
      <w:r w:rsidR="00C63F8F" w:rsidRPr="00E27443">
        <w:t xml:space="preserve"> </w:t>
      </w:r>
      <w:r w:rsidRPr="00E27443">
        <w:t>life-oriented</w:t>
      </w:r>
      <w:r w:rsidR="00C63F8F" w:rsidRPr="00E27443">
        <w:t xml:space="preserve"> </w:t>
      </w:r>
      <w:r w:rsidRPr="00E27443">
        <w:t>rehabilitation</w:t>
      </w:r>
      <w:r w:rsidR="00C63F8F" w:rsidRPr="00E27443">
        <w:t xml:space="preserve"> </w:t>
      </w:r>
      <w:r w:rsidRPr="00E27443">
        <w:t>may</w:t>
      </w:r>
      <w:r w:rsidR="00C63F8F" w:rsidRPr="00E27443">
        <w:t xml:space="preserve"> </w:t>
      </w:r>
      <w:r w:rsidRPr="00E27443">
        <w:t>be</w:t>
      </w:r>
      <w:r w:rsidR="00C63F8F" w:rsidRPr="00E27443">
        <w:t xml:space="preserve"> </w:t>
      </w:r>
      <w:r w:rsidRPr="00E27443">
        <w:t>offered.</w:t>
      </w:r>
      <w:r w:rsidR="00C63F8F" w:rsidRPr="00E27443">
        <w:t xml:space="preserve"> </w:t>
      </w:r>
    </w:p>
    <w:p w:rsidR="00321ADA" w:rsidRPr="00E27443" w:rsidRDefault="00321ADA" w:rsidP="00B45FDC">
      <w:pPr>
        <w:pStyle w:val="SingleTxtG"/>
        <w:numPr>
          <w:ilvl w:val="0"/>
          <w:numId w:val="20"/>
        </w:numPr>
        <w:tabs>
          <w:tab w:val="left" w:pos="1843"/>
        </w:tabs>
        <w:ind w:left="1134" w:firstLine="0"/>
      </w:pPr>
      <w:r w:rsidRPr="00E27443">
        <w:t>The</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prohibition</w:t>
      </w:r>
      <w:r w:rsidR="00C63F8F" w:rsidRPr="00E27443">
        <w:t xml:space="preserve"> </w:t>
      </w:r>
      <w:r w:rsidRPr="00E27443">
        <w:t>of</w:t>
      </w:r>
      <w:r w:rsidR="00C63F8F" w:rsidRPr="00E27443">
        <w:t xml:space="preserve"> </w:t>
      </w:r>
      <w:r w:rsidRPr="00E27443">
        <w:t>slavery</w:t>
      </w:r>
      <w:r w:rsidR="00C63F8F" w:rsidRPr="00E27443">
        <w:t xml:space="preserve"> </w:t>
      </w:r>
      <w:r w:rsidRPr="00E27443">
        <w:t>and</w:t>
      </w:r>
      <w:r w:rsidR="00C63F8F" w:rsidRPr="00E27443">
        <w:t xml:space="preserve"> </w:t>
      </w:r>
      <w:r w:rsidRPr="00E27443">
        <w:t>forced</w:t>
      </w:r>
      <w:r w:rsidR="00C63F8F" w:rsidRPr="00E27443">
        <w:t xml:space="preserve"> </w:t>
      </w:r>
      <w:r w:rsidRPr="00E27443">
        <w:t>labour</w:t>
      </w:r>
      <w:r w:rsidR="00C63F8F" w:rsidRPr="00E27443">
        <w:t xml:space="preserve"> </w:t>
      </w:r>
      <w:r w:rsidRPr="00E27443">
        <w:t>are</w:t>
      </w:r>
      <w:r w:rsidR="00C63F8F" w:rsidRPr="00E27443">
        <w:t xml:space="preserve"> </w:t>
      </w:r>
      <w:r w:rsidRPr="00E27443">
        <w:t>contained</w:t>
      </w:r>
      <w:r w:rsidR="00C63F8F" w:rsidRPr="00E27443">
        <w:t xml:space="preserve"> </w:t>
      </w:r>
      <w:r w:rsidRPr="00E27443">
        <w:t>in</w:t>
      </w:r>
      <w:r w:rsidR="00C63F8F" w:rsidRPr="00E27443">
        <w:t xml:space="preserve"> </w:t>
      </w:r>
      <w:r w:rsidRPr="00E27443">
        <w:t>Article</w:t>
      </w:r>
      <w:r w:rsidR="00C63F8F" w:rsidRPr="00E27443">
        <w:t xml:space="preserve"> </w:t>
      </w:r>
      <w:r w:rsidRPr="00E27443">
        <w:t>4</w:t>
      </w:r>
      <w:r w:rsidR="00C63F8F" w:rsidRPr="00E27443">
        <w:t xml:space="preserve"> </w:t>
      </w:r>
      <w:r w:rsidRPr="00E27443">
        <w:t>of</w:t>
      </w:r>
      <w:r w:rsidR="00C63F8F" w:rsidRPr="00E27443">
        <w:t xml:space="preserve"> </w:t>
      </w:r>
      <w:r w:rsidRPr="00E27443">
        <w:t>the</w:t>
      </w:r>
      <w:r w:rsidR="00C63F8F" w:rsidRPr="00E27443">
        <w:t xml:space="preserve"> </w:t>
      </w:r>
      <w:r w:rsidRPr="00E27443">
        <w:t>European</w:t>
      </w:r>
      <w:r w:rsidR="00C63F8F" w:rsidRPr="00E27443">
        <w:t xml:space="preserve"> </w:t>
      </w:r>
      <w:r w:rsidRPr="00E27443">
        <w:t>Convention</w:t>
      </w:r>
      <w:r w:rsidR="00C63F8F" w:rsidRPr="00E27443">
        <w:t xml:space="preserve"> </w:t>
      </w:r>
      <w:r w:rsidRPr="00E27443">
        <w:t>on</w:t>
      </w:r>
      <w:r w:rsidR="00C63F8F" w:rsidRPr="00E27443">
        <w:t xml:space="preserve"> </w:t>
      </w:r>
      <w:r w:rsidRPr="00E27443">
        <w:t>Human</w:t>
      </w:r>
      <w:r w:rsidR="00C63F8F" w:rsidRPr="00E27443">
        <w:t xml:space="preserve"> </w:t>
      </w:r>
      <w:r w:rsidRPr="00E27443">
        <w:t>Rights,</w:t>
      </w:r>
      <w:r w:rsidR="00C63F8F" w:rsidRPr="00E27443">
        <w:t xml:space="preserve"> </w:t>
      </w:r>
      <w:r w:rsidRPr="00E27443">
        <w:t>which</w:t>
      </w:r>
      <w:r w:rsidR="00C63F8F" w:rsidRPr="00E27443">
        <w:t xml:space="preserve"> </w:t>
      </w:r>
      <w:r w:rsidRPr="00E27443">
        <w:t>applies</w:t>
      </w:r>
      <w:r w:rsidR="00C63F8F" w:rsidRPr="00E27443">
        <w:t xml:space="preserve"> </w:t>
      </w:r>
      <w:r w:rsidRPr="00E27443">
        <w:t>as</w:t>
      </w:r>
      <w:r w:rsidR="00C63F8F" w:rsidRPr="00E27443">
        <w:t xml:space="preserve"> </w:t>
      </w:r>
      <w:r w:rsidRPr="00E27443">
        <w:t>Swedish</w:t>
      </w:r>
      <w:r w:rsidR="00C63F8F" w:rsidRPr="00E27443">
        <w:t xml:space="preserve"> </w:t>
      </w:r>
      <w:r w:rsidRPr="00E27443">
        <w:t>law.</w:t>
      </w:r>
      <w:r w:rsidR="00C63F8F" w:rsidRPr="00E27443">
        <w:t xml:space="preserve"> </w:t>
      </w:r>
      <w:r w:rsidRPr="00E27443">
        <w:t>The</w:t>
      </w:r>
      <w:r w:rsidR="00C63F8F" w:rsidRPr="00E27443">
        <w:t xml:space="preserve"> </w:t>
      </w:r>
      <w:r w:rsidRPr="00E27443">
        <w:t>provisions</w:t>
      </w:r>
      <w:r w:rsidR="00C63F8F" w:rsidRPr="00E27443">
        <w:t xml:space="preserve"> </w:t>
      </w:r>
      <w:r w:rsidRPr="00E27443">
        <w:t>are</w:t>
      </w:r>
      <w:r w:rsidR="00C63F8F" w:rsidRPr="00E27443">
        <w:t xml:space="preserve"> </w:t>
      </w:r>
      <w:r w:rsidRPr="00E27443">
        <w:t>universally</w:t>
      </w:r>
      <w:r w:rsidR="00C63F8F" w:rsidRPr="00E27443">
        <w:t xml:space="preserve"> </w:t>
      </w:r>
      <w:r w:rsidRPr="00E27443">
        <w:t>valid</w:t>
      </w:r>
      <w:r w:rsidR="00C63F8F" w:rsidRPr="00E27443">
        <w:t xml:space="preserve"> </w:t>
      </w:r>
      <w:r w:rsidRPr="00E27443">
        <w:t>and,</w:t>
      </w:r>
      <w:r w:rsidR="00C63F8F" w:rsidRPr="00E27443">
        <w:t xml:space="preserve"> </w:t>
      </w:r>
      <w:r w:rsidRPr="00E27443">
        <w:t>like</w:t>
      </w:r>
      <w:r w:rsidR="00C63F8F" w:rsidRPr="00E27443">
        <w:t xml:space="preserve"> </w:t>
      </w:r>
      <w:r w:rsidRPr="00E27443">
        <w:t>the</w:t>
      </w:r>
      <w:r w:rsidR="00C63F8F" w:rsidRPr="00E27443">
        <w:t xml:space="preserve"> </w:t>
      </w:r>
      <w:r w:rsidRPr="00E27443">
        <w:t>criminal</w:t>
      </w:r>
      <w:r w:rsidR="00C63F8F" w:rsidRPr="00E27443">
        <w:t xml:space="preserve"> </w:t>
      </w:r>
      <w:r w:rsidRPr="00E27443">
        <w:t>provisions</w:t>
      </w:r>
      <w:r w:rsidR="00C63F8F" w:rsidRPr="00E27443">
        <w:t xml:space="preserve"> </w:t>
      </w:r>
      <w:r w:rsidRPr="00E27443">
        <w:t>referred</w:t>
      </w:r>
      <w:r w:rsidR="00C63F8F" w:rsidRPr="00E27443">
        <w:t xml:space="preserve"> </w:t>
      </w:r>
      <w:r w:rsidRPr="00E27443">
        <w:t>to</w:t>
      </w:r>
      <w:r w:rsidR="00C63F8F" w:rsidRPr="00E27443">
        <w:t xml:space="preserve"> </w:t>
      </w:r>
      <w:r w:rsidRPr="00E27443">
        <w:t>below,</w:t>
      </w:r>
      <w:r w:rsidR="00C63F8F" w:rsidRPr="00E27443">
        <w:t xml:space="preserve"> </w:t>
      </w:r>
      <w:r w:rsidRPr="00E27443">
        <w:t>relate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or</w:t>
      </w:r>
      <w:r w:rsidR="00C63F8F" w:rsidRPr="00E27443">
        <w:t xml:space="preserve"> </w:t>
      </w:r>
      <w:r w:rsidRPr="00E27443">
        <w:t>without</w:t>
      </w:r>
      <w:r w:rsidR="00C63F8F" w:rsidRPr="00E27443">
        <w:t xml:space="preserve"> </w:t>
      </w:r>
      <w:r w:rsidRPr="00E27443">
        <w:t>disabilities.</w:t>
      </w:r>
    </w:p>
    <w:p w:rsidR="00321ADA" w:rsidRPr="00E27443" w:rsidRDefault="00757BF4" w:rsidP="00757BF4">
      <w:pPr>
        <w:pStyle w:val="H1G"/>
      </w:pPr>
      <w:r w:rsidRPr="00E27443">
        <w:tab/>
      </w:r>
      <w:r w:rsidRPr="00E27443">
        <w:tab/>
      </w:r>
      <w:bookmarkStart w:id="30" w:name="_Toc290623313"/>
      <w:r w:rsidR="00321ADA" w:rsidRPr="00E27443">
        <w:t>Article</w:t>
      </w:r>
      <w:r w:rsidR="00C63F8F" w:rsidRPr="00E27443">
        <w:t xml:space="preserve"> </w:t>
      </w:r>
      <w:r w:rsidR="00321ADA" w:rsidRPr="00E27443">
        <w:t>28</w:t>
      </w:r>
      <w:r w:rsidR="00B45FDC">
        <w:t>:</w:t>
      </w:r>
      <w:r w:rsidR="00C63F8F" w:rsidRPr="00E27443">
        <w:t xml:space="preserve"> </w:t>
      </w:r>
      <w:r w:rsidR="00321ADA" w:rsidRPr="00E27443">
        <w:t>Adequate</w:t>
      </w:r>
      <w:r w:rsidR="00C63F8F" w:rsidRPr="00E27443">
        <w:t xml:space="preserve"> </w:t>
      </w:r>
      <w:r w:rsidR="00321ADA" w:rsidRPr="00E27443">
        <w:t>standard</w:t>
      </w:r>
      <w:r w:rsidR="00C63F8F" w:rsidRPr="00E27443">
        <w:t xml:space="preserve"> </w:t>
      </w:r>
      <w:r w:rsidR="00321ADA" w:rsidRPr="00E27443">
        <w:t>of</w:t>
      </w:r>
      <w:r w:rsidR="00C63F8F" w:rsidRPr="00E27443">
        <w:t xml:space="preserve"> </w:t>
      </w:r>
      <w:r w:rsidR="00321ADA" w:rsidRPr="00E27443">
        <w:t>living</w:t>
      </w:r>
      <w:r w:rsidR="00C63F8F" w:rsidRPr="00E27443">
        <w:t xml:space="preserve"> </w:t>
      </w:r>
      <w:r w:rsidR="00321ADA" w:rsidRPr="00E27443">
        <w:t>and</w:t>
      </w:r>
      <w:r w:rsidR="00C63F8F" w:rsidRPr="00E27443">
        <w:t xml:space="preserve"> </w:t>
      </w:r>
      <w:r w:rsidR="00321ADA" w:rsidRPr="00E27443">
        <w:t>social</w:t>
      </w:r>
      <w:r w:rsidR="00C63F8F" w:rsidRPr="00E27443">
        <w:t xml:space="preserve"> </w:t>
      </w:r>
      <w:r w:rsidR="00321ADA" w:rsidRPr="00E27443">
        <w:t>protection</w:t>
      </w:r>
      <w:bookmarkEnd w:id="30"/>
    </w:p>
    <w:p w:rsidR="00321ADA" w:rsidRPr="00E27443" w:rsidRDefault="00321ADA" w:rsidP="00B45FDC">
      <w:pPr>
        <w:pStyle w:val="SingleTxtG"/>
        <w:numPr>
          <w:ilvl w:val="0"/>
          <w:numId w:val="20"/>
        </w:numPr>
        <w:tabs>
          <w:tab w:val="left" w:pos="1843"/>
        </w:tabs>
        <w:ind w:left="1134" w:firstLine="0"/>
      </w:pP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specifies</w:t>
      </w:r>
      <w:r w:rsidR="00C63F8F" w:rsidRPr="00E27443">
        <w:t xml:space="preserve"> </w:t>
      </w:r>
      <w:r w:rsidRPr="00E27443">
        <w:t>that</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must</w:t>
      </w:r>
      <w:r w:rsidR="00C63F8F" w:rsidRPr="00E27443">
        <w:t xml:space="preserve"> </w:t>
      </w:r>
      <w:r w:rsidRPr="00E27443">
        <w:t>promote</w:t>
      </w:r>
      <w:r w:rsidR="00C63F8F" w:rsidRPr="00E27443">
        <w:t xml:space="preserve"> </w:t>
      </w:r>
      <w:r w:rsidRPr="00E27443">
        <w:t>people</w:t>
      </w:r>
      <w:r w:rsidR="00C63F8F" w:rsidRPr="00E27443">
        <w:t>’</w:t>
      </w:r>
      <w:r w:rsidRPr="00E27443">
        <w:t>s</w:t>
      </w:r>
      <w:r w:rsidR="00C63F8F" w:rsidRPr="00E27443">
        <w:t xml:space="preserve"> </w:t>
      </w:r>
      <w:r w:rsidRPr="00E27443">
        <w:t>economic</w:t>
      </w:r>
      <w:r w:rsidR="00C63F8F" w:rsidRPr="00E27443">
        <w:t xml:space="preserve"> </w:t>
      </w:r>
      <w:r w:rsidRPr="00E27443">
        <w:t>and</w:t>
      </w:r>
      <w:r w:rsidR="00C63F8F" w:rsidRPr="00E27443">
        <w:t xml:space="preserve"> </w:t>
      </w:r>
      <w:r w:rsidRPr="00E27443">
        <w:t>social</w:t>
      </w:r>
      <w:r w:rsidR="00C63F8F" w:rsidRPr="00E27443">
        <w:t xml:space="preserve"> </w:t>
      </w:r>
      <w:r w:rsidRPr="00E27443">
        <w:t>protection.</w:t>
      </w:r>
      <w:r w:rsidR="00C63F8F" w:rsidRPr="00E27443">
        <w:t xml:space="preserve"> </w:t>
      </w:r>
      <w:r w:rsidRPr="00E27443">
        <w:t>The</w:t>
      </w:r>
      <w:r w:rsidR="00C63F8F" w:rsidRPr="00E27443">
        <w:t xml:space="preserve"> </w:t>
      </w:r>
      <w:r w:rsidRPr="00E27443">
        <w:t>Act</w:t>
      </w:r>
      <w:r w:rsidR="00C63F8F" w:rsidRPr="00E27443">
        <w:t xml:space="preserve"> </w:t>
      </w:r>
      <w:r w:rsidRPr="00E27443">
        <w:t>gives</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the</w:t>
      </w:r>
      <w:r w:rsidR="00C63F8F" w:rsidRPr="00E27443">
        <w:t xml:space="preserve"> </w:t>
      </w:r>
      <w:r w:rsidRPr="00E27443">
        <w:t>ultimate</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ensuring</w:t>
      </w:r>
      <w:r w:rsidR="00C63F8F" w:rsidRPr="00E27443">
        <w:t xml:space="preserve"> </w:t>
      </w:r>
      <w:r w:rsidRPr="00E27443">
        <w:t>that</w:t>
      </w:r>
      <w:r w:rsidR="00C63F8F" w:rsidRPr="00E27443">
        <w:t xml:space="preserve"> </w:t>
      </w:r>
      <w:r w:rsidRPr="00E27443">
        <w:t>those</w:t>
      </w:r>
      <w:r w:rsidR="00C63F8F" w:rsidRPr="00E27443">
        <w:t xml:space="preserve"> </w:t>
      </w:r>
      <w:r w:rsidRPr="00E27443">
        <w:t>who</w:t>
      </w:r>
      <w:r w:rsidR="00C63F8F" w:rsidRPr="00E27443">
        <w:t xml:space="preserve"> </w:t>
      </w:r>
      <w:r w:rsidRPr="00E27443">
        <w:t>reside</w:t>
      </w:r>
      <w:r w:rsidR="00C63F8F" w:rsidRPr="00E27443">
        <w:t xml:space="preserve"> </w:t>
      </w:r>
      <w:r w:rsidRPr="00E27443">
        <w:t>in</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receive</w:t>
      </w:r>
      <w:r w:rsidR="00C63F8F" w:rsidRPr="00E27443">
        <w:t xml:space="preserve"> </w:t>
      </w:r>
      <w:r w:rsidRPr="00E27443">
        <w:t>the</w:t>
      </w:r>
      <w:r w:rsidR="00C63F8F" w:rsidRPr="00E27443">
        <w:t xml:space="preserve"> </w:t>
      </w:r>
      <w:r w:rsidRPr="00E27443">
        <w:t>support</w:t>
      </w:r>
      <w:r w:rsidR="00C63F8F" w:rsidRPr="00E27443">
        <w:t xml:space="preserve"> </w:t>
      </w:r>
      <w:r w:rsidRPr="00E27443">
        <w:t>and</w:t>
      </w:r>
      <w:r w:rsidR="00C63F8F" w:rsidRPr="00E27443">
        <w:t xml:space="preserve"> </w:t>
      </w:r>
      <w:r w:rsidRPr="00E27443">
        <w:t>assistance</w:t>
      </w:r>
      <w:r w:rsidR="00C63F8F" w:rsidRPr="00E27443">
        <w:t xml:space="preserve"> </w:t>
      </w:r>
      <w:r w:rsidRPr="00E27443">
        <w:t>they</w:t>
      </w:r>
      <w:r w:rsidR="00C63F8F" w:rsidRPr="00E27443">
        <w:t xml:space="preserve"> </w:t>
      </w:r>
      <w:r w:rsidRPr="00E27443">
        <w:t>require.</w:t>
      </w:r>
      <w:r w:rsidR="00C63F8F" w:rsidRPr="00E27443">
        <w:t xml:space="preserve"> </w:t>
      </w:r>
      <w:r w:rsidRPr="00E27443">
        <w:t>Financial</w:t>
      </w:r>
      <w:r w:rsidR="00C63F8F" w:rsidRPr="00E27443">
        <w:t xml:space="preserve"> </w:t>
      </w:r>
      <w:r w:rsidRPr="00E27443">
        <w:t>assistance</w:t>
      </w:r>
      <w:r w:rsidR="00C63F8F" w:rsidRPr="00E27443">
        <w:t xml:space="preserve"> </w:t>
      </w:r>
      <w:r w:rsidRPr="00E27443">
        <w:t>constitutes</w:t>
      </w:r>
      <w:r w:rsidR="00C63F8F" w:rsidRPr="00E27443">
        <w:t xml:space="preserve"> </w:t>
      </w:r>
      <w:r w:rsidRPr="00E27443">
        <w:t>the</w:t>
      </w:r>
      <w:r w:rsidR="00C63F8F" w:rsidRPr="00E27443">
        <w:t xml:space="preserve"> </w:t>
      </w:r>
      <w:r w:rsidRPr="00E27443">
        <w:t>ultimate</w:t>
      </w:r>
      <w:r w:rsidR="00C63F8F" w:rsidRPr="00E27443">
        <w:t xml:space="preserve"> </w:t>
      </w:r>
      <w:r w:rsidRPr="00E27443">
        <w:t>safety</w:t>
      </w:r>
      <w:r w:rsidR="00C63F8F" w:rsidRPr="00E27443">
        <w:t xml:space="preserve"> </w:t>
      </w:r>
      <w:r w:rsidRPr="00E27443">
        <w:t>net</w:t>
      </w:r>
      <w:r w:rsidR="00C63F8F" w:rsidRPr="00E27443">
        <w:t xml:space="preserve"> </w:t>
      </w:r>
      <w:r w:rsidRPr="00E27443">
        <w:t>when</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cannot</w:t>
      </w:r>
      <w:r w:rsidR="00C63F8F" w:rsidRPr="00E27443">
        <w:t xml:space="preserve"> </w:t>
      </w:r>
      <w:r w:rsidRPr="00E27443">
        <w:t>provide</w:t>
      </w:r>
      <w:r w:rsidR="00C63F8F" w:rsidRPr="00E27443">
        <w:t xml:space="preserve"> </w:t>
      </w:r>
      <w:r w:rsidRPr="00E27443">
        <w:t>for</w:t>
      </w:r>
      <w:r w:rsidR="00C63F8F" w:rsidRPr="00E27443">
        <w:t xml:space="preserve"> </w:t>
      </w:r>
      <w:r w:rsidRPr="00E27443">
        <w:t>him</w:t>
      </w:r>
      <w:r w:rsidR="00C63F8F" w:rsidRPr="00E27443">
        <w:t xml:space="preserve"> </w:t>
      </w:r>
      <w:r w:rsidRPr="00E27443">
        <w:t>or</w:t>
      </w:r>
      <w:r w:rsidR="00C63F8F" w:rsidRPr="00E27443">
        <w:t xml:space="preserve"> </w:t>
      </w:r>
      <w:r w:rsidRPr="00E27443">
        <w:t>herself</w:t>
      </w:r>
      <w:r w:rsidR="00C63F8F" w:rsidRPr="00E27443">
        <w:t xml:space="preserve"> </w:t>
      </w:r>
      <w:r w:rsidRPr="00E27443">
        <w:t>in</w:t>
      </w:r>
      <w:r w:rsidR="00C63F8F" w:rsidRPr="00E27443">
        <w:t xml:space="preserve"> </w:t>
      </w:r>
      <w:r w:rsidRPr="00E27443">
        <w:t>any</w:t>
      </w:r>
      <w:r w:rsidR="00C63F8F" w:rsidRPr="00E27443">
        <w:t xml:space="preserve"> </w:t>
      </w:r>
      <w:r w:rsidRPr="00E27443">
        <w:t>other</w:t>
      </w:r>
      <w:r w:rsidR="00C63F8F" w:rsidRPr="00E27443">
        <w:t xml:space="preserve"> </w:t>
      </w:r>
      <w:r w:rsidRPr="00E27443">
        <w:t>way,</w:t>
      </w:r>
      <w:r w:rsidR="00C63F8F" w:rsidRPr="00E27443">
        <w:t xml:space="preserve"> </w:t>
      </w:r>
      <w:r w:rsidRPr="00E27443">
        <w:t>e.g.</w:t>
      </w:r>
      <w:r w:rsidR="00C63F8F" w:rsidRPr="00E27443">
        <w:t xml:space="preserve"> </w:t>
      </w:r>
      <w:r w:rsidRPr="00E27443">
        <w:t>through</w:t>
      </w:r>
      <w:r w:rsidR="00C63F8F" w:rsidRPr="00E27443">
        <w:t xml:space="preserve"> </w:t>
      </w:r>
      <w:r w:rsidRPr="00E27443">
        <w:t>work</w:t>
      </w:r>
      <w:r w:rsidR="00C63F8F" w:rsidRPr="00E27443">
        <w:t xml:space="preserve"> </w:t>
      </w:r>
      <w:r w:rsidRPr="00E27443">
        <w:t>or</w:t>
      </w:r>
      <w:r w:rsidR="00C63F8F" w:rsidRPr="00E27443">
        <w:t xml:space="preserve"> </w:t>
      </w:r>
      <w:r w:rsidRPr="00E27443">
        <w:t>through</w:t>
      </w:r>
      <w:r w:rsidR="00C63F8F" w:rsidRPr="00E27443">
        <w:t xml:space="preserve"> </w:t>
      </w:r>
      <w:r w:rsidRPr="00E27443">
        <w:t>the</w:t>
      </w:r>
      <w:r w:rsidR="00C63F8F" w:rsidRPr="00E27443">
        <w:t xml:space="preserve"> </w:t>
      </w:r>
      <w:r w:rsidRPr="00E27443">
        <w:t>general</w:t>
      </w:r>
      <w:r w:rsidR="00C63F8F" w:rsidRPr="00E27443">
        <w:t xml:space="preserve"> </w:t>
      </w:r>
      <w:r w:rsidRPr="00E27443">
        <w:t>social</w:t>
      </w:r>
      <w:r w:rsidR="00C63F8F" w:rsidRPr="00E27443">
        <w:t xml:space="preserve"> </w:t>
      </w:r>
      <w:r w:rsidRPr="00E27443">
        <w:t>policy</w:t>
      </w:r>
      <w:r w:rsidR="00C63F8F" w:rsidRPr="00E27443">
        <w:t xml:space="preserve"> </w:t>
      </w:r>
      <w:r w:rsidRPr="00E27443">
        <w:t>system.</w:t>
      </w:r>
      <w:r w:rsidR="00C63F8F" w:rsidRPr="00E27443">
        <w:t xml:space="preserve"> </w:t>
      </w:r>
      <w:r w:rsidRPr="00E27443">
        <w:t>The</w:t>
      </w:r>
      <w:r w:rsidR="00C63F8F" w:rsidRPr="00E27443">
        <w:t xml:space="preserve"> </w:t>
      </w:r>
      <w:r w:rsidRPr="00E27443">
        <w:t>assistance</w:t>
      </w:r>
      <w:r w:rsidR="00C63F8F" w:rsidRPr="00E27443">
        <w:t xml:space="preserve"> </w:t>
      </w:r>
      <w:r w:rsidRPr="00E27443">
        <w:t>is</w:t>
      </w:r>
      <w:r w:rsidR="00C63F8F" w:rsidRPr="00E27443">
        <w:t xml:space="preserve"> </w:t>
      </w:r>
      <w:r w:rsidRPr="00E27443">
        <w:t>individually</w:t>
      </w:r>
      <w:r w:rsidR="00C63F8F" w:rsidRPr="00E27443">
        <w:t xml:space="preserve"> </w:t>
      </w:r>
      <w:r w:rsidRPr="00E27443">
        <w:t>means-tested.</w:t>
      </w:r>
      <w:r w:rsidR="00C63F8F" w:rsidRPr="00E27443">
        <w:t xml:space="preserve"> </w:t>
      </w:r>
      <w:r w:rsidRPr="00E27443">
        <w:t>This</w:t>
      </w:r>
      <w:r w:rsidR="00C63F8F" w:rsidRPr="00E27443">
        <w:t xml:space="preserve"> </w:t>
      </w:r>
      <w:r w:rsidRPr="00E27443">
        <w:t>assessment</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household</w:t>
      </w:r>
      <w:r w:rsidR="00C63F8F" w:rsidRPr="00E27443">
        <w:t>’</w:t>
      </w:r>
      <w:r w:rsidRPr="00E27443">
        <w:t>s</w:t>
      </w:r>
      <w:r w:rsidR="00C63F8F" w:rsidRPr="00E27443">
        <w:t xml:space="preserve"> </w:t>
      </w:r>
      <w:r w:rsidRPr="00E27443">
        <w:t>overall</w:t>
      </w:r>
      <w:r w:rsidR="00C63F8F" w:rsidRPr="00E27443">
        <w:t xml:space="preserve"> </w:t>
      </w:r>
      <w:r w:rsidRPr="00E27443">
        <w:t>financial</w:t>
      </w:r>
      <w:r w:rsidR="00C63F8F" w:rsidRPr="00E27443">
        <w:t xml:space="preserve"> </w:t>
      </w:r>
      <w:r w:rsidRPr="00E27443">
        <w:t>situation.</w:t>
      </w:r>
      <w:r w:rsidR="00C63F8F" w:rsidRPr="00E27443">
        <w:t xml:space="preserve"> </w:t>
      </w:r>
      <w:r w:rsidRPr="00E27443">
        <w:t>Through</w:t>
      </w:r>
      <w:r w:rsidR="00C63F8F" w:rsidRPr="00E27443">
        <w:t xml:space="preserve"> </w:t>
      </w:r>
      <w:r w:rsidRPr="00E27443">
        <w:t>this</w:t>
      </w:r>
      <w:r w:rsidR="00C63F8F" w:rsidRPr="00E27443">
        <w:t xml:space="preserve"> </w:t>
      </w:r>
      <w:r w:rsidRPr="00E27443">
        <w:t>assistance,</w:t>
      </w:r>
      <w:r w:rsidR="00C63F8F" w:rsidRPr="00E27443">
        <w:t xml:space="preserve"> </w:t>
      </w:r>
      <w:r w:rsidRPr="00E27443">
        <w:t>the</w:t>
      </w:r>
      <w:r w:rsidR="00C63F8F" w:rsidRPr="00E27443">
        <w:t xml:space="preserve"> </w:t>
      </w:r>
      <w:r w:rsidRPr="00E27443">
        <w:t>individual</w:t>
      </w:r>
      <w:r w:rsidR="00C63F8F" w:rsidRPr="00E27443">
        <w:t xml:space="preserve"> </w:t>
      </w:r>
      <w:r w:rsidRPr="00E27443">
        <w:t>will</w:t>
      </w:r>
      <w:r w:rsidR="00C63F8F" w:rsidRPr="00E27443">
        <w:t xml:space="preserve"> </w:t>
      </w:r>
      <w:r w:rsidRPr="00E27443">
        <w:t>be</w:t>
      </w:r>
      <w:r w:rsidR="00C63F8F" w:rsidRPr="00E27443">
        <w:t xml:space="preserve"> </w:t>
      </w:r>
      <w:r w:rsidRPr="00E27443">
        <w:t>assured</w:t>
      </w:r>
      <w:r w:rsidR="00C63F8F" w:rsidRPr="00E27443">
        <w:t xml:space="preserve"> </w:t>
      </w:r>
      <w:r w:rsidRPr="00E27443">
        <w:t>a</w:t>
      </w:r>
      <w:r w:rsidR="00C63F8F" w:rsidRPr="00E27443">
        <w:t xml:space="preserve"> </w:t>
      </w:r>
      <w:r w:rsidRPr="00E27443">
        <w:t>reasonable</w:t>
      </w:r>
      <w:r w:rsidR="00C63F8F" w:rsidRPr="00E27443">
        <w:t xml:space="preserve"> </w:t>
      </w:r>
      <w:r w:rsidRPr="00E27443">
        <w:t>standard</w:t>
      </w:r>
      <w:r w:rsidR="00C63F8F" w:rsidRPr="00E27443">
        <w:t xml:space="preserve"> </w:t>
      </w:r>
      <w:r w:rsidRPr="00E27443">
        <w:t>of</w:t>
      </w:r>
      <w:r w:rsidR="00C63F8F" w:rsidRPr="00E27443">
        <w:t xml:space="preserve"> </w:t>
      </w:r>
      <w:r w:rsidRPr="00E27443">
        <w:t>living.</w:t>
      </w:r>
      <w:r w:rsidR="00C63F8F" w:rsidRPr="00E27443">
        <w:t xml:space="preserve"> </w:t>
      </w:r>
      <w:r w:rsidRPr="00E27443">
        <w:t>The</w:t>
      </w:r>
      <w:r w:rsidR="00C63F8F" w:rsidRPr="00E27443">
        <w:t xml:space="preserve"> </w:t>
      </w:r>
      <w:r w:rsidRPr="00E27443">
        <w:t>assistance</w:t>
      </w:r>
      <w:r w:rsidR="00C63F8F" w:rsidRPr="00E27443">
        <w:t xml:space="preserve"> </w:t>
      </w:r>
      <w:r w:rsidRPr="00E27443">
        <w:t>will</w:t>
      </w:r>
      <w:r w:rsidR="00C63F8F" w:rsidRPr="00E27443">
        <w:t xml:space="preserve"> </w:t>
      </w:r>
      <w:r w:rsidRPr="00E27443">
        <w:t>be</w:t>
      </w:r>
      <w:r w:rsidR="00C63F8F" w:rsidRPr="00E27443">
        <w:t xml:space="preserve"> </w:t>
      </w:r>
      <w:r w:rsidRPr="00E27443">
        <w:t>formulated</w:t>
      </w:r>
      <w:r w:rsidR="00C63F8F" w:rsidRPr="00E27443">
        <w:t xml:space="preserve"> </w:t>
      </w:r>
      <w:r w:rsidRPr="00E27443">
        <w:t>so</w:t>
      </w:r>
      <w:r w:rsidR="00C63F8F" w:rsidRPr="00E27443">
        <w:t xml:space="preserve"> </w:t>
      </w:r>
      <w:r w:rsidRPr="00E27443">
        <w:t>that</w:t>
      </w:r>
      <w:r w:rsidR="00C63F8F" w:rsidRPr="00E27443">
        <w:t xml:space="preserve"> </w:t>
      </w:r>
      <w:r w:rsidRPr="00E27443">
        <w:t>it</w:t>
      </w:r>
      <w:r w:rsidR="00C63F8F" w:rsidRPr="00E27443">
        <w:t xml:space="preserve"> </w:t>
      </w:r>
      <w:r w:rsidRPr="00E27443">
        <w:t>strengthens</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potential</w:t>
      </w:r>
      <w:r w:rsidR="00C63F8F" w:rsidRPr="00E27443">
        <w:t xml:space="preserve"> </w:t>
      </w:r>
      <w:r w:rsidRPr="00E27443">
        <w:t>to</w:t>
      </w:r>
      <w:r w:rsidR="00C63F8F" w:rsidRPr="00E27443">
        <w:t xml:space="preserve"> </w:t>
      </w:r>
      <w:r w:rsidRPr="00E27443">
        <w:t>live</w:t>
      </w:r>
      <w:r w:rsidR="00C63F8F" w:rsidRPr="00E27443">
        <w:t xml:space="preserve"> </w:t>
      </w:r>
      <w:r w:rsidRPr="00E27443">
        <w:t>an</w:t>
      </w:r>
      <w:r w:rsidR="00C63F8F" w:rsidRPr="00E27443">
        <w:t xml:space="preserve"> </w:t>
      </w:r>
      <w:r w:rsidRPr="00E27443">
        <w:t>independent</w:t>
      </w:r>
      <w:r w:rsidR="00C63F8F" w:rsidRPr="00E27443">
        <w:t xml:space="preserve"> </w:t>
      </w:r>
      <w:r w:rsidRPr="00E27443">
        <w:t>life.</w:t>
      </w:r>
      <w:r w:rsidR="004E333F" w:rsidRPr="00E27443">
        <w:rPr>
          <w:rStyle w:val="FootnoteReference"/>
        </w:rPr>
        <w:footnoteReference w:id="128"/>
      </w:r>
      <w:r w:rsidR="00C63F8F" w:rsidRPr="00E27443">
        <w:t xml:space="preserve"> </w:t>
      </w:r>
    </w:p>
    <w:p w:rsidR="00321ADA" w:rsidRPr="00E27443" w:rsidRDefault="00321ADA" w:rsidP="00F26C3C">
      <w:pPr>
        <w:pStyle w:val="SingleTxtG"/>
        <w:numPr>
          <w:ilvl w:val="0"/>
          <w:numId w:val="20"/>
        </w:numPr>
        <w:tabs>
          <w:tab w:val="left" w:pos="1843"/>
        </w:tabs>
        <w:ind w:left="1134" w:firstLine="0"/>
      </w:pP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are</w:t>
      </w:r>
      <w:r w:rsidR="00C63F8F" w:rsidRPr="00E27443">
        <w:t xml:space="preserve"> </w:t>
      </w:r>
      <w:r w:rsidRPr="00E27443">
        <w:t>good</w:t>
      </w:r>
      <w:r w:rsidR="00C63F8F" w:rsidRPr="00E27443">
        <w:t xml:space="preserve"> </w:t>
      </w:r>
      <w:r w:rsidRPr="00E27443">
        <w:t>for</w:t>
      </w:r>
      <w:r w:rsidR="00C63F8F" w:rsidRPr="00E27443">
        <w:t xml:space="preserve"> </w:t>
      </w:r>
      <w:r w:rsidRPr="00E27443">
        <w:t>highlighting</w:t>
      </w:r>
      <w:r w:rsidR="00C63F8F" w:rsidRPr="00E27443">
        <w:t xml:space="preserve"> </w:t>
      </w:r>
      <w:r w:rsidRPr="00E27443">
        <w:t>and</w:t>
      </w:r>
      <w:r w:rsidR="00C63F8F" w:rsidRPr="00E27443">
        <w:t xml:space="preserve"> </w:t>
      </w:r>
      <w:r w:rsidRPr="00E27443">
        <w:t>monitoring</w:t>
      </w:r>
      <w:r w:rsidR="00C63F8F" w:rsidRPr="00E27443">
        <w:t xml:space="preserve"> </w:t>
      </w:r>
      <w:r w:rsidRPr="00E27443">
        <w:rPr>
          <w:i/>
        </w:rPr>
        <w:t>poverty</w:t>
      </w:r>
      <w:r w:rsidR="00C63F8F" w:rsidRPr="00E27443">
        <w:rPr>
          <w:i/>
        </w:rPr>
        <w:t xml:space="preserve"> </w:t>
      </w:r>
      <w:r w:rsidR="00684090" w:rsidRPr="00E27443">
        <w:rPr>
          <w:i/>
        </w:rPr>
        <w:t>develop</w:t>
      </w:r>
      <w:r w:rsidRPr="00E27443">
        <w:rPr>
          <w:i/>
        </w:rPr>
        <w:t>ment</w:t>
      </w:r>
      <w:r w:rsidR="00C63F8F" w:rsidRPr="00E27443">
        <w:t xml:space="preserve"> </w:t>
      </w:r>
      <w:r w:rsidRPr="00E27443">
        <w:t>over</w:t>
      </w:r>
      <w:r w:rsidR="00C63F8F" w:rsidRPr="00E27443">
        <w:t xml:space="preserve"> </w:t>
      </w:r>
      <w:r w:rsidRPr="00E27443">
        <w:t>time</w:t>
      </w:r>
      <w:r w:rsidR="00C63F8F" w:rsidRPr="00E27443">
        <w:t xml:space="preserve"> </w:t>
      </w:r>
      <w:r w:rsidRPr="00E27443">
        <w:t>among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both</w:t>
      </w:r>
      <w:r w:rsidR="00C63F8F" w:rsidRPr="00E27443">
        <w:t xml:space="preserve"> </w:t>
      </w:r>
      <w:r w:rsidRPr="00E27443">
        <w:t>through</w:t>
      </w:r>
      <w:r w:rsidR="00C63F8F" w:rsidRPr="00E27443">
        <w:t xml:space="preserve"> </w:t>
      </w:r>
      <w:r w:rsidRPr="00E27443">
        <w:t>registration</w:t>
      </w:r>
      <w:r w:rsidR="00C63F8F" w:rsidRPr="00E27443">
        <w:t xml:space="preserve"> </w:t>
      </w:r>
      <w:r w:rsidRPr="00E27443">
        <w:t>data</w:t>
      </w:r>
      <w:r w:rsidR="00C63F8F" w:rsidRPr="00E27443">
        <w:t xml:space="preserve"> </w:t>
      </w:r>
      <w:r w:rsidRPr="00E27443">
        <w:t>and</w:t>
      </w:r>
      <w:r w:rsidR="00C63F8F" w:rsidRPr="00E27443">
        <w:t xml:space="preserve"> </w:t>
      </w:r>
      <w:r w:rsidRPr="00E27443">
        <w:t>recurring</w:t>
      </w:r>
      <w:r w:rsidR="00C63F8F" w:rsidRPr="00E27443">
        <w:t xml:space="preserve"> </w:t>
      </w:r>
      <w:r w:rsidRPr="00E27443">
        <w:t>questionnaires.</w:t>
      </w:r>
      <w:r w:rsidR="00C63F8F" w:rsidRPr="00E27443">
        <w:t xml:space="preserve"> </w:t>
      </w:r>
    </w:p>
    <w:p w:rsidR="00321ADA" w:rsidRPr="00E27443" w:rsidRDefault="00321ADA" w:rsidP="00F26C3C">
      <w:pPr>
        <w:pStyle w:val="SingleTxtG"/>
        <w:numPr>
          <w:ilvl w:val="0"/>
          <w:numId w:val="20"/>
        </w:numPr>
        <w:tabs>
          <w:tab w:val="left" w:pos="1843"/>
        </w:tabs>
        <w:ind w:left="1134" w:firstLine="0"/>
      </w:pPr>
      <w:r w:rsidRPr="00E27443">
        <w:t>Every</w:t>
      </w:r>
      <w:r w:rsidR="00C63F8F" w:rsidRPr="00E27443">
        <w:t xml:space="preserve"> </w:t>
      </w:r>
      <w:r w:rsidRPr="00E27443">
        <w:t>four</w:t>
      </w:r>
      <w:r w:rsidR="00C63F8F" w:rsidRPr="00E27443">
        <w:t xml:space="preserve"> </w:t>
      </w:r>
      <w:r w:rsidRPr="00E27443">
        <w:t>years,</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publishes</w:t>
      </w:r>
      <w:r w:rsidR="00C63F8F" w:rsidRPr="00E27443">
        <w:t xml:space="preserve"> </w:t>
      </w:r>
      <w:r w:rsidRPr="00E27443">
        <w:t>a</w:t>
      </w:r>
      <w:r w:rsidR="00C63F8F" w:rsidRPr="00E27443">
        <w:t xml:space="preserve"> </w:t>
      </w:r>
      <w:r w:rsidRPr="00E27443">
        <w:t>social</w:t>
      </w:r>
      <w:r w:rsidR="00C63F8F" w:rsidRPr="00E27443">
        <w:t xml:space="preserve"> </w:t>
      </w:r>
      <w:r w:rsidRPr="00E27443">
        <w:t>report</w:t>
      </w:r>
      <w:r w:rsidR="00C63F8F" w:rsidRPr="00E27443">
        <w:t xml:space="preserve"> </w:t>
      </w:r>
      <w:r w:rsidRPr="00E27443">
        <w:t>that</w:t>
      </w:r>
      <w:r w:rsidR="00C63F8F" w:rsidRPr="00E27443">
        <w:t xml:space="preserve"> </w:t>
      </w:r>
      <w:r w:rsidRPr="00E27443">
        <w:t>highlights</w:t>
      </w:r>
      <w:r w:rsidR="00C63F8F" w:rsidRPr="00E27443">
        <w:t xml:space="preserve"> </w:t>
      </w:r>
      <w:r w:rsidRPr="00E27443">
        <w:t>social</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in</w:t>
      </w:r>
      <w:r w:rsidR="00C63F8F" w:rsidRPr="00E27443">
        <w:t xml:space="preserve"> </w:t>
      </w:r>
      <w:r w:rsidRPr="00E27443">
        <w:t>the</w:t>
      </w:r>
      <w:r w:rsidR="00C63F8F" w:rsidRPr="00E27443">
        <w:t xml:space="preserve"> </w:t>
      </w:r>
      <w:r w:rsidRPr="00E27443">
        <w:t>country.</w:t>
      </w:r>
      <w:r w:rsidR="00C63F8F" w:rsidRPr="00E27443">
        <w:t xml:space="preserve"> </w:t>
      </w:r>
      <w:r w:rsidRPr="00E27443">
        <w:t>The</w:t>
      </w:r>
      <w:r w:rsidR="00C63F8F" w:rsidRPr="00E27443">
        <w:t xml:space="preserve"> </w:t>
      </w:r>
      <w:r w:rsidRPr="00E27443">
        <w:t>2006</w:t>
      </w:r>
      <w:r w:rsidR="00C63F8F" w:rsidRPr="00E27443">
        <w:t xml:space="preserve"> </w:t>
      </w:r>
      <w:r w:rsidRPr="00E27443">
        <w:t>Social</w:t>
      </w:r>
      <w:r w:rsidR="00C63F8F" w:rsidRPr="00E27443">
        <w:t xml:space="preserve"> </w:t>
      </w:r>
      <w:r w:rsidRPr="00E27443">
        <w:t>report</w:t>
      </w:r>
      <w:r w:rsidR="00C63F8F" w:rsidRPr="00E27443">
        <w:t xml:space="preserve"> </w:t>
      </w:r>
      <w:r w:rsidRPr="00E27443">
        <w:t>analysed</w:t>
      </w:r>
      <w:r w:rsidR="00C63F8F" w:rsidRPr="00E27443">
        <w:t xml:space="preserve"> </w:t>
      </w:r>
      <w:r w:rsidRPr="00E27443">
        <w:t>the</w:t>
      </w:r>
      <w:r w:rsidR="00C63F8F" w:rsidRPr="00E27443">
        <w:t xml:space="preserve"> </w:t>
      </w:r>
      <w:r w:rsidRPr="00E27443">
        <w:t>financial</w:t>
      </w:r>
      <w:r w:rsidR="00C63F8F" w:rsidRPr="00E27443">
        <w:t xml:space="preserve"> </w:t>
      </w:r>
      <w:r w:rsidRPr="00E27443">
        <w:t>consequences</w:t>
      </w:r>
      <w:r w:rsidR="00C63F8F" w:rsidRPr="00E27443">
        <w:t xml:space="preserve"> </w:t>
      </w:r>
      <w:r w:rsidRPr="00E27443">
        <w:t>of</w:t>
      </w:r>
      <w:r w:rsidR="00C63F8F" w:rsidRPr="00E27443">
        <w:t xml:space="preserve"> </w:t>
      </w:r>
      <w:r w:rsidRPr="00E27443">
        <w:t>having</w:t>
      </w:r>
      <w:r w:rsidR="00C63F8F" w:rsidRPr="00E27443">
        <w:t xml:space="preserve"> </w:t>
      </w:r>
      <w:r w:rsidRPr="00E27443">
        <w:t>a</w:t>
      </w:r>
      <w:r w:rsidR="00C63F8F" w:rsidRPr="00E27443">
        <w:t xml:space="preserve"> </w:t>
      </w:r>
      <w:r w:rsidRPr="00E27443">
        <w:t>child</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The</w:t>
      </w:r>
      <w:r w:rsidR="00C63F8F" w:rsidRPr="00E27443">
        <w:t xml:space="preserve"> </w:t>
      </w:r>
      <w:r w:rsidRPr="00E27443">
        <w:t>report</w:t>
      </w:r>
      <w:r w:rsidR="00C63F8F" w:rsidRPr="00E27443">
        <w:t xml:space="preserve"> </w:t>
      </w:r>
      <w:r w:rsidRPr="00E27443">
        <w:t>shows</w:t>
      </w:r>
      <w:r w:rsidR="00C63F8F" w:rsidRPr="00E27443">
        <w:t xml:space="preserve"> </w:t>
      </w:r>
      <w:r w:rsidRPr="00E27443">
        <w:t>that</w:t>
      </w:r>
      <w:r w:rsidR="00C63F8F" w:rsidRPr="00E27443">
        <w:t xml:space="preserve"> </w:t>
      </w:r>
      <w:r w:rsidRPr="00E27443">
        <w:t>almost</w:t>
      </w:r>
      <w:r w:rsidR="00C63F8F" w:rsidRPr="00E27443">
        <w:t xml:space="preserve"> </w:t>
      </w:r>
      <w:r w:rsidRPr="00E27443">
        <w:t>half</w:t>
      </w:r>
      <w:r w:rsidR="00C63F8F" w:rsidRPr="00E27443">
        <w:t xml:space="preserve"> </w:t>
      </w:r>
      <w:r w:rsidRPr="00E27443">
        <w:t>the</w:t>
      </w:r>
      <w:r w:rsidR="00C63F8F" w:rsidRPr="00E27443">
        <w:t xml:space="preserve"> </w:t>
      </w:r>
      <w:r w:rsidRPr="00E27443">
        <w:t>families</w:t>
      </w:r>
      <w:r w:rsidR="00C63F8F" w:rsidRPr="00E27443">
        <w:t xml:space="preserve"> </w:t>
      </w:r>
      <w:r w:rsidRPr="00E27443">
        <w:t>had</w:t>
      </w:r>
      <w:r w:rsidR="00C63F8F" w:rsidRPr="00E27443">
        <w:t xml:space="preserve"> </w:t>
      </w:r>
      <w:r w:rsidRPr="00E27443">
        <w:t>a</w:t>
      </w:r>
      <w:r w:rsidR="00C63F8F" w:rsidRPr="00E27443">
        <w:t xml:space="preserve"> </w:t>
      </w:r>
      <w:r w:rsidRPr="00E27443">
        <w:t>series</w:t>
      </w:r>
      <w:r w:rsidR="00C63F8F" w:rsidRPr="00E27443">
        <w:t xml:space="preserve"> </w:t>
      </w:r>
      <w:r w:rsidRPr="00E27443">
        <w:t>of</w:t>
      </w:r>
      <w:r w:rsidR="00C63F8F" w:rsidRPr="00E27443">
        <w:t xml:space="preserve"> </w:t>
      </w:r>
      <w:r w:rsidRPr="00E27443">
        <w:t>costs</w:t>
      </w:r>
      <w:r w:rsidR="00C63F8F" w:rsidRPr="00E27443">
        <w:t xml:space="preserve"> </w:t>
      </w:r>
      <w:r w:rsidRPr="00E27443">
        <w:t>as</w:t>
      </w:r>
      <w:r w:rsidR="00C63F8F" w:rsidRPr="00E27443">
        <w:t xml:space="preserve"> </w:t>
      </w:r>
      <w:r w:rsidRPr="00E27443">
        <w:t>a</w:t>
      </w:r>
      <w:r w:rsidR="00C63F8F" w:rsidRPr="00E27443">
        <w:t xml:space="preserve"> </w:t>
      </w:r>
      <w:r w:rsidRPr="00E27443">
        <w:t>consequence</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disability,</w:t>
      </w:r>
      <w:r w:rsidR="00C63F8F" w:rsidRPr="00E27443">
        <w:t xml:space="preserve"> </w:t>
      </w:r>
      <w:r w:rsidRPr="00E27443">
        <w:t>which</w:t>
      </w:r>
      <w:r w:rsidR="00C63F8F" w:rsidRPr="00E27443">
        <w:t xml:space="preserve"> </w:t>
      </w:r>
      <w:r w:rsidRPr="00E27443">
        <w:t>were</w:t>
      </w:r>
      <w:r w:rsidR="00C63F8F" w:rsidRPr="00E27443">
        <w:t xml:space="preserve"> </w:t>
      </w:r>
      <w:r w:rsidRPr="00E27443">
        <w:t>not</w:t>
      </w:r>
      <w:r w:rsidR="00C63F8F" w:rsidRPr="00E27443">
        <w:t xml:space="preserve"> </w:t>
      </w:r>
      <w:r w:rsidRPr="00E27443">
        <w:t>covered</w:t>
      </w:r>
      <w:r w:rsidR="00C63F8F" w:rsidRPr="00E27443">
        <w:t xml:space="preserve"> </w:t>
      </w:r>
      <w:r w:rsidRPr="00E27443">
        <w:t>by</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from</w:t>
      </w:r>
      <w:r w:rsidR="00C63F8F" w:rsidRPr="00E27443">
        <w:t xml:space="preserve"> </w:t>
      </w:r>
      <w:r w:rsidRPr="00E27443">
        <w:t>the</w:t>
      </w:r>
      <w:r w:rsidR="00C63F8F" w:rsidRPr="00E27443">
        <w:t xml:space="preserve"> </w:t>
      </w:r>
      <w:r w:rsidRPr="00E27443">
        <w:t>community</w:t>
      </w:r>
      <w:r w:rsidR="00C63F8F" w:rsidRPr="00E27443">
        <w:t xml:space="preserve"> </w:t>
      </w:r>
      <w:r w:rsidRPr="00E27443">
        <w:t>at</w:t>
      </w:r>
      <w:r w:rsidR="00C63F8F" w:rsidRPr="00E27443">
        <w:t xml:space="preserve"> </w:t>
      </w:r>
      <w:r w:rsidRPr="00E27443">
        <w:t>large.</w:t>
      </w:r>
      <w:r w:rsidR="00C63F8F" w:rsidRPr="00E27443">
        <w:t xml:space="preserve"> </w:t>
      </w:r>
      <w:r w:rsidRPr="00E27443">
        <w:t>Similarly,</w:t>
      </w:r>
      <w:r w:rsidR="00C63F8F" w:rsidRPr="00E27443">
        <w:t xml:space="preserve"> </w:t>
      </w:r>
      <w:r w:rsidRPr="00E27443">
        <w:t>a</w:t>
      </w:r>
      <w:r w:rsidR="00C63F8F" w:rsidRPr="00E27443">
        <w:t xml:space="preserve"> </w:t>
      </w:r>
      <w:r w:rsidRPr="00E27443">
        <w:t>proportion</w:t>
      </w:r>
      <w:r w:rsidR="00C63F8F" w:rsidRPr="00E27443">
        <w:t xml:space="preserve"> </w:t>
      </w:r>
      <w:r w:rsidRPr="00E27443">
        <w:t>of</w:t>
      </w:r>
      <w:r w:rsidR="00C63F8F" w:rsidRPr="00E27443">
        <w:t xml:space="preserve"> </w:t>
      </w:r>
      <w:r w:rsidRPr="00E27443">
        <w:t>the</w:t>
      </w:r>
      <w:r w:rsidR="00C63F8F" w:rsidRPr="00E27443">
        <w:t xml:space="preserve"> </w:t>
      </w:r>
      <w:r w:rsidRPr="00E27443">
        <w:t>mothers</w:t>
      </w:r>
      <w:r w:rsidR="00C63F8F" w:rsidRPr="00E27443">
        <w:t xml:space="preserve"> </w:t>
      </w:r>
      <w:r w:rsidRPr="00E27443">
        <w:t>with</w:t>
      </w:r>
      <w:r w:rsidR="00C63F8F" w:rsidRPr="00E27443">
        <w:t xml:space="preserve"> </w:t>
      </w:r>
      <w:r w:rsidRPr="00E27443">
        <w:t>a</w:t>
      </w:r>
      <w:r w:rsidR="00C63F8F" w:rsidRPr="00E27443">
        <w:t xml:space="preserve"> </w:t>
      </w:r>
      <w:r w:rsidRPr="00E27443">
        <w:t>child</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gave</w:t>
      </w:r>
      <w:r w:rsidR="00C63F8F" w:rsidRPr="00E27443">
        <w:t xml:space="preserve"> </w:t>
      </w:r>
      <w:r w:rsidRPr="00E27443">
        <w:t>up</w:t>
      </w:r>
      <w:r w:rsidR="00C63F8F" w:rsidRPr="00E27443">
        <w:t xml:space="preserve"> </w:t>
      </w:r>
      <w:r w:rsidRPr="00E27443">
        <w:t>gainful</w:t>
      </w:r>
      <w:r w:rsidR="00C63F8F" w:rsidRPr="00E27443">
        <w:t xml:space="preserve"> </w:t>
      </w:r>
      <w:r w:rsidRPr="00E27443">
        <w:t>employment</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work</w:t>
      </w:r>
      <w:r w:rsidR="00C63F8F" w:rsidRPr="00E27443">
        <w:t xml:space="preserve"> </w:t>
      </w:r>
      <w:r w:rsidRPr="00E27443">
        <w:t>in</w:t>
      </w:r>
      <w:r w:rsidR="00C63F8F" w:rsidRPr="00E27443">
        <w:t xml:space="preserve"> </w:t>
      </w:r>
      <w:r w:rsidRPr="00E27443">
        <w:t>the</w:t>
      </w:r>
      <w:r w:rsidR="00C63F8F" w:rsidRPr="00E27443">
        <w:t xml:space="preserve"> </w:t>
      </w:r>
      <w:r w:rsidRPr="00E27443">
        <w:t>home,</w:t>
      </w:r>
      <w:r w:rsidR="00C63F8F" w:rsidRPr="00E27443">
        <w:t xml:space="preserve"> </w:t>
      </w:r>
      <w:r w:rsidRPr="00E27443">
        <w:t>with</w:t>
      </w:r>
      <w:r w:rsidR="00C63F8F" w:rsidRPr="00E27443">
        <w:t xml:space="preserve"> </w:t>
      </w:r>
      <w:r w:rsidRPr="00E27443">
        <w:t>or</w:t>
      </w:r>
      <w:r w:rsidR="00C63F8F" w:rsidRPr="00E27443">
        <w:t xml:space="preserve"> </w:t>
      </w:r>
      <w:r w:rsidRPr="00E27443">
        <w:t>with</w:t>
      </w:r>
      <w:r w:rsidR="00C63F8F" w:rsidRPr="00E27443">
        <w:t xml:space="preserve"> </w:t>
      </w:r>
      <w:r w:rsidRPr="00E27443">
        <w:t>care</w:t>
      </w:r>
      <w:r w:rsidR="00C63F8F" w:rsidRPr="00E27443">
        <w:t xml:space="preserve"> </w:t>
      </w:r>
      <w:r w:rsidRPr="00E27443">
        <w:t>grants,</w:t>
      </w:r>
      <w:r w:rsidR="00C63F8F" w:rsidRPr="00E27443">
        <w:t xml:space="preserve"> </w:t>
      </w:r>
      <w:r w:rsidRPr="00E27443">
        <w:t>see</w:t>
      </w:r>
      <w:r w:rsidR="00C63F8F" w:rsidRPr="00E27443">
        <w:t xml:space="preserve"> </w:t>
      </w:r>
      <w:r w:rsidRPr="00E27443">
        <w:t>bellow.</w:t>
      </w:r>
      <w:r w:rsidR="00C63F8F" w:rsidRPr="00E27443">
        <w:t xml:space="preserve"> </w:t>
      </w:r>
      <w:r w:rsidRPr="00E27443">
        <w:t>Despite</w:t>
      </w:r>
      <w:r w:rsidR="00C63F8F" w:rsidRPr="00E27443">
        <w:t xml:space="preserve"> </w:t>
      </w:r>
      <w:r w:rsidRPr="00E27443">
        <w:t>this,</w:t>
      </w:r>
      <w:r w:rsidR="00C63F8F" w:rsidRPr="00E27443">
        <w:t xml:space="preserve"> </w:t>
      </w:r>
      <w:r w:rsidRPr="00E27443">
        <w:t>it</w:t>
      </w:r>
      <w:r w:rsidR="00C63F8F" w:rsidRPr="00E27443">
        <w:t xml:space="preserve"> </w:t>
      </w:r>
      <w:r w:rsidRPr="00E27443">
        <w:t>was</w:t>
      </w:r>
      <w:r w:rsidR="00C63F8F" w:rsidRPr="00E27443">
        <w:t xml:space="preserve"> </w:t>
      </w:r>
      <w:r w:rsidRPr="00E27443">
        <w:t>established</w:t>
      </w:r>
      <w:r w:rsidR="00C63F8F" w:rsidRPr="00E27443">
        <w:t xml:space="preserve"> </w:t>
      </w:r>
      <w:r w:rsidRPr="00E27443">
        <w:t>that</w:t>
      </w:r>
      <w:r w:rsidR="00C63F8F" w:rsidRPr="00E27443">
        <w:t xml:space="preserve"> </w:t>
      </w:r>
      <w:r w:rsidRPr="00E27443">
        <w:t>few</w:t>
      </w:r>
      <w:r w:rsidR="00C63F8F" w:rsidRPr="00E27443">
        <w:t xml:space="preserve"> </w:t>
      </w:r>
      <w:r w:rsidRPr="00E27443">
        <w:t>families</w:t>
      </w:r>
      <w:r w:rsidR="00C63F8F" w:rsidRPr="00E27443">
        <w:t xml:space="preserve"> </w:t>
      </w:r>
      <w:r w:rsidRPr="00E27443">
        <w:t>were</w:t>
      </w:r>
      <w:r w:rsidR="00C63F8F" w:rsidRPr="00E27443">
        <w:t xml:space="preserve"> </w:t>
      </w:r>
      <w:r w:rsidRPr="00E27443">
        <w:t>seriously</w:t>
      </w:r>
      <w:r w:rsidR="00C63F8F" w:rsidRPr="00E27443">
        <w:t xml:space="preserve"> </w:t>
      </w:r>
      <w:r w:rsidRPr="00E27443">
        <w:t>economically</w:t>
      </w:r>
      <w:r w:rsidR="00C63F8F" w:rsidRPr="00E27443">
        <w:t xml:space="preserve"> </w:t>
      </w:r>
      <w:r w:rsidRPr="00E27443">
        <w:t>affected</w:t>
      </w:r>
      <w:r w:rsidR="00C63F8F" w:rsidRPr="00E27443">
        <w:t xml:space="preserve"> </w:t>
      </w:r>
      <w:r w:rsidRPr="00E27443">
        <w:t>as</w:t>
      </w:r>
      <w:r w:rsidR="00C63F8F" w:rsidRPr="00E27443">
        <w:t xml:space="preserve"> </w:t>
      </w:r>
      <w:r w:rsidRPr="00E27443">
        <w:t>a</w:t>
      </w:r>
      <w:r w:rsidR="00C63F8F" w:rsidRPr="00E27443">
        <w:t xml:space="preserve"> </w:t>
      </w:r>
      <w:r w:rsidRPr="00E27443">
        <w:t>result</w:t>
      </w:r>
      <w:r w:rsidR="00C63F8F" w:rsidRPr="00E27443">
        <w:t xml:space="preserve"> </w:t>
      </w:r>
      <w:r w:rsidRPr="00E27443">
        <w:t>of</w:t>
      </w:r>
      <w:r w:rsidR="00C63F8F" w:rsidRPr="00E27443">
        <w:t xml:space="preserve"> </w:t>
      </w:r>
      <w:r w:rsidRPr="00E27443">
        <w:t>having</w:t>
      </w:r>
      <w:r w:rsidR="00C63F8F" w:rsidRPr="00E27443">
        <w:t xml:space="preserve"> </w:t>
      </w:r>
      <w:r w:rsidRPr="00E27443">
        <w:t>a</w:t>
      </w:r>
      <w:r w:rsidR="00C63F8F" w:rsidRPr="00E27443">
        <w:t xml:space="preserve"> </w:t>
      </w:r>
      <w:r w:rsidRPr="00E27443">
        <w:t>child</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p>
    <w:p w:rsidR="00321ADA" w:rsidRPr="00E27443" w:rsidRDefault="00321ADA" w:rsidP="00F26C3C">
      <w:pPr>
        <w:pStyle w:val="SingleTxtG"/>
        <w:numPr>
          <w:ilvl w:val="0"/>
          <w:numId w:val="20"/>
        </w:numPr>
        <w:tabs>
          <w:tab w:val="left" w:pos="1843"/>
        </w:tabs>
        <w:ind w:left="1134" w:firstLine="0"/>
      </w:pPr>
      <w:r w:rsidRPr="00E27443">
        <w:t>Poverty</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means</w:t>
      </w:r>
      <w:r w:rsidR="00C63F8F" w:rsidRPr="00E27443">
        <w:t xml:space="preserve"> </w:t>
      </w:r>
      <w:r w:rsidRPr="00E27443">
        <w:t>being</w:t>
      </w:r>
      <w:r w:rsidR="00C63F8F" w:rsidRPr="00E27443">
        <w:t xml:space="preserve"> </w:t>
      </w:r>
      <w:r w:rsidRPr="00E27443">
        <w:t>outside</w:t>
      </w:r>
      <w:r w:rsidR="00C63F8F" w:rsidRPr="00E27443">
        <w:t xml:space="preserve"> </w:t>
      </w:r>
      <w:r w:rsidRPr="00E27443">
        <w:t>of</w:t>
      </w:r>
      <w:r w:rsidR="00C63F8F" w:rsidRPr="00E27443">
        <w:t xml:space="preserve"> </w:t>
      </w:r>
      <w:r w:rsidRPr="00E27443">
        <w:t>both</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and</w:t>
      </w:r>
      <w:r w:rsidR="00C63F8F" w:rsidRPr="00E27443">
        <w:t xml:space="preserve"> </w:t>
      </w:r>
      <w:r w:rsidRPr="00E27443">
        <w:t>the</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systems.</w:t>
      </w:r>
      <w:r w:rsidR="00C63F8F" w:rsidRPr="00E27443">
        <w:t xml:space="preserve"> </w:t>
      </w:r>
      <w:r w:rsidRPr="00E27443">
        <w:t>Being</w:t>
      </w:r>
      <w:r w:rsidR="00C63F8F" w:rsidRPr="00E27443">
        <w:t xml:space="preserve"> </w:t>
      </w:r>
      <w:r w:rsidRPr="00E27443">
        <w:t>employed</w:t>
      </w:r>
      <w:r w:rsidR="00C63F8F" w:rsidRPr="00E27443">
        <w:t xml:space="preserve"> </w:t>
      </w:r>
      <w:r w:rsidRPr="00E27443">
        <w:t>is</w:t>
      </w:r>
      <w:r w:rsidR="00C63F8F" w:rsidRPr="00E27443">
        <w:t xml:space="preserve"> </w:t>
      </w:r>
      <w:r w:rsidRPr="00E27443">
        <w:t>therefore</w:t>
      </w:r>
      <w:r w:rsidR="00C63F8F" w:rsidRPr="00E27443">
        <w:t xml:space="preserve"> </w:t>
      </w:r>
      <w:r w:rsidRPr="00E27443">
        <w:t>decisive</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avoid</w:t>
      </w:r>
      <w:r w:rsidR="00C63F8F" w:rsidRPr="00E27443">
        <w:t xml:space="preserve"> </w:t>
      </w:r>
      <w:r w:rsidRPr="00E27443">
        <w:t>poverty.</w:t>
      </w:r>
      <w:r w:rsidR="00C63F8F" w:rsidRPr="00E27443">
        <w:t xml:space="preserve"> </w:t>
      </w:r>
      <w:r w:rsidRPr="00E27443">
        <w:t>It</w:t>
      </w:r>
      <w:r w:rsidR="00C63F8F" w:rsidRPr="00E27443">
        <w:t xml:space="preserve"> </w:t>
      </w:r>
      <w:r w:rsidRPr="00E27443">
        <w:t>can</w:t>
      </w:r>
      <w:r w:rsidR="00C63F8F" w:rsidRPr="00E27443">
        <w:t xml:space="preserve"> </w:t>
      </w:r>
      <w:r w:rsidRPr="00E27443">
        <w:t>be</w:t>
      </w:r>
      <w:r w:rsidR="00C63F8F" w:rsidRPr="00E27443">
        <w:t xml:space="preserve"> </w:t>
      </w:r>
      <w:r w:rsidRPr="00E27443">
        <w:t>seen</w:t>
      </w:r>
      <w:r w:rsidR="00C63F8F" w:rsidRPr="00E27443">
        <w:t xml:space="preserve"> </w:t>
      </w:r>
      <w:r w:rsidRPr="00E27443">
        <w:t>from</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communication,</w:t>
      </w:r>
      <w:r w:rsidR="004E333F" w:rsidRPr="00E27443">
        <w:rPr>
          <w:rStyle w:val="FootnoteReference"/>
        </w:rPr>
        <w:footnoteReference w:id="129"/>
      </w:r>
      <w:r w:rsidR="00C63F8F" w:rsidRPr="00E27443">
        <w:t xml:space="preserve"> ‘</w:t>
      </w:r>
      <w:r w:rsidRPr="00E27443">
        <w:t>Following</w:t>
      </w:r>
      <w:r w:rsidR="00C63F8F" w:rsidRPr="00E27443">
        <w:t xml:space="preserve"> </w:t>
      </w:r>
      <w:r w:rsidRPr="00E27443">
        <w:t>up</w:t>
      </w:r>
      <w:r w:rsidR="00C63F8F" w:rsidRPr="00E27443">
        <w:t xml:space="preserve"> </w:t>
      </w:r>
      <w:r w:rsidRPr="00E27443">
        <w:t>the</w:t>
      </w:r>
      <w:r w:rsidR="00C63F8F" w:rsidRPr="00E27443">
        <w:t xml:space="preserve"> </w:t>
      </w:r>
      <w:r w:rsidRPr="00E27443">
        <w:t>national</w:t>
      </w:r>
      <w:r w:rsidR="00C63F8F" w:rsidRPr="00E27443">
        <w:t xml:space="preserve"> </w:t>
      </w:r>
      <w:r w:rsidRPr="00E27443">
        <w:t>action</w:t>
      </w:r>
      <w:r w:rsidR="00C63F8F" w:rsidRPr="00E27443">
        <w:t xml:space="preserve"> </w:t>
      </w:r>
      <w:r w:rsidRPr="00E27443">
        <w:t>plan</w:t>
      </w:r>
      <w:r w:rsidR="00C63F8F" w:rsidRPr="00E27443">
        <w:t xml:space="preserve"> </w:t>
      </w:r>
      <w:r w:rsidRPr="00E27443">
        <w:t>for</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and</w:t>
      </w:r>
      <w:r w:rsidR="00C63F8F" w:rsidRPr="00E27443">
        <w:t xml:space="preserve"> </w:t>
      </w:r>
      <w:r w:rsidRPr="00E27443">
        <w:t>the</w:t>
      </w:r>
      <w:r w:rsidR="00C63F8F" w:rsidRPr="00E27443">
        <w:t xml:space="preserve"> </w:t>
      </w:r>
      <w:r w:rsidRPr="00E27443">
        <w:t>foundation</w:t>
      </w:r>
      <w:r w:rsidR="00C63F8F" w:rsidRPr="00E27443">
        <w:t xml:space="preserve"> </w:t>
      </w:r>
      <w:r w:rsidRPr="00E27443">
        <w:t>for</w:t>
      </w:r>
      <w:r w:rsidR="00C63F8F" w:rsidRPr="00E27443">
        <w:t xml:space="preserve"> </w:t>
      </w:r>
      <w:r w:rsidRPr="00E27443">
        <w:t>a</w:t>
      </w:r>
      <w:r w:rsidR="00C63F8F" w:rsidRPr="00E27443">
        <w:t xml:space="preserve"> </w:t>
      </w:r>
      <w:r w:rsidRPr="00E27443">
        <w:t>future</w:t>
      </w:r>
      <w:r w:rsidR="00C63F8F" w:rsidRPr="00E27443">
        <w:t xml:space="preserve"> </w:t>
      </w:r>
      <w:r w:rsidRPr="00E27443">
        <w:t>strategy</w:t>
      </w:r>
      <w:r w:rsidR="00C63F8F" w:rsidRPr="00E27443">
        <w:t>’</w:t>
      </w:r>
      <w:r w:rsidRPr="00E27443">
        <w:t>,</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that</w:t>
      </w:r>
      <w:r w:rsidR="00C63F8F" w:rsidRPr="00E27443">
        <w:t xml:space="preserve"> </w:t>
      </w:r>
      <w:r w:rsidRPr="00E27443">
        <w:t>entails</w:t>
      </w:r>
      <w:r w:rsidR="00C63F8F" w:rsidRPr="00E27443">
        <w:t xml:space="preserve"> </w:t>
      </w:r>
      <w:r w:rsidRPr="00E27443">
        <w:t>a</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are</w:t>
      </w:r>
      <w:r w:rsidR="00C63F8F" w:rsidRPr="00E27443">
        <w:t xml:space="preserve"> </w:t>
      </w:r>
      <w:r w:rsidRPr="00E27443">
        <w:t>employed</w:t>
      </w:r>
      <w:r w:rsidR="00C63F8F" w:rsidRPr="00E27443">
        <w:t xml:space="preserve"> </w:t>
      </w:r>
      <w:r w:rsidRPr="00E27443">
        <w:t>to</w:t>
      </w:r>
      <w:r w:rsidR="00C63F8F" w:rsidRPr="00E27443">
        <w:t xml:space="preserve"> </w:t>
      </w:r>
      <w:r w:rsidRPr="00E27443">
        <w:t>a</w:t>
      </w:r>
      <w:r w:rsidR="00C63F8F" w:rsidRPr="00E27443">
        <w:t xml:space="preserve"> </w:t>
      </w:r>
      <w:r w:rsidRPr="00E27443">
        <w:t>significantly</w:t>
      </w:r>
      <w:r w:rsidR="00C63F8F" w:rsidRPr="00E27443">
        <w:t xml:space="preserve"> </w:t>
      </w:r>
      <w:r w:rsidRPr="00E27443">
        <w:t>lower</w:t>
      </w:r>
      <w:r w:rsidR="00C63F8F" w:rsidRPr="00E27443">
        <w:t xml:space="preserve"> </w:t>
      </w:r>
      <w:r w:rsidRPr="00E27443">
        <w:t>extent</w:t>
      </w:r>
      <w:r w:rsidR="00C63F8F" w:rsidRPr="00E27443">
        <w:t xml:space="preserve"> </w:t>
      </w:r>
      <w:r w:rsidRPr="00E27443">
        <w:t>that</w:t>
      </w:r>
      <w:r w:rsidR="00C63F8F" w:rsidRPr="00E27443">
        <w:t xml:space="preserve"> </w:t>
      </w:r>
      <w:r w:rsidRPr="00E27443">
        <w:t>the</w:t>
      </w:r>
      <w:r w:rsidR="00C63F8F" w:rsidRPr="00E27443">
        <w:t xml:space="preserve"> </w:t>
      </w:r>
      <w:r w:rsidRPr="00E27443">
        <w:t>rest</w:t>
      </w:r>
      <w:r w:rsidR="00C63F8F" w:rsidRPr="00E27443">
        <w:t xml:space="preserve"> </w:t>
      </w:r>
      <w:r w:rsidRPr="00E27443">
        <w:t>of</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Out</w:t>
      </w:r>
      <w:r w:rsidR="00C63F8F" w:rsidRPr="00E27443">
        <w:t xml:space="preserve"> </w:t>
      </w:r>
      <w:r w:rsidRPr="00E27443">
        <w:t>of</w:t>
      </w:r>
      <w:r w:rsidR="00C63F8F" w:rsidRPr="00E27443">
        <w:t xml:space="preserve"> </w:t>
      </w:r>
      <w:r w:rsidRPr="00E27443">
        <w:t>the</w:t>
      </w:r>
      <w:r w:rsidR="00C63F8F" w:rsidRPr="00E27443">
        <w:t xml:space="preserve"> </w:t>
      </w:r>
      <w:r w:rsidRPr="00E27443">
        <w:t>working</w:t>
      </w:r>
      <w:r w:rsidR="00C63F8F" w:rsidRPr="00E27443">
        <w:t xml:space="preserve"> </w:t>
      </w:r>
      <w:r w:rsidRPr="00E27443">
        <w:t>population</w:t>
      </w:r>
      <w:r w:rsidR="00C63F8F" w:rsidRPr="00E27443">
        <w:t xml:space="preserve"> </w:t>
      </w:r>
      <w:r w:rsidRPr="00E27443">
        <w:t>in</w:t>
      </w:r>
      <w:r w:rsidR="00C63F8F" w:rsidRPr="00E27443">
        <w:t xml:space="preserve"> </w:t>
      </w:r>
      <w:r w:rsidRPr="00E27443">
        <w:t>2008,</w:t>
      </w:r>
      <w:r w:rsidR="00C63F8F" w:rsidRPr="00E27443">
        <w:t xml:space="preserve"> </w:t>
      </w:r>
      <w:r w:rsidRPr="00E27443">
        <w:t>77</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the</w:t>
      </w:r>
      <w:r w:rsidR="00C63F8F" w:rsidRPr="00E27443">
        <w:t xml:space="preserve"> </w:t>
      </w:r>
      <w:r w:rsidRPr="00E27443">
        <w:t>persons</w:t>
      </w:r>
      <w:r w:rsidR="00C63F8F" w:rsidRPr="00E27443">
        <w:t xml:space="preserve"> </w:t>
      </w:r>
      <w:r w:rsidRPr="00E27443">
        <w:t>without</w:t>
      </w:r>
      <w:r w:rsidR="00C63F8F" w:rsidRPr="00E27443">
        <w:t xml:space="preserve"> </w:t>
      </w:r>
      <w:r w:rsidRPr="00E27443">
        <w:t>a</w:t>
      </w:r>
      <w:r w:rsidR="00C63F8F" w:rsidRPr="00E27443">
        <w:t xml:space="preserve"> </w:t>
      </w:r>
      <w:r w:rsidRPr="00E27443">
        <w:t>disability</w:t>
      </w:r>
      <w:r w:rsidR="00C63F8F" w:rsidRPr="00E27443">
        <w:t xml:space="preserve"> </w:t>
      </w:r>
      <w:r w:rsidRPr="00E27443">
        <w:t>were</w:t>
      </w:r>
      <w:r w:rsidR="00C63F8F" w:rsidRPr="00E27443">
        <w:t xml:space="preserve"> </w:t>
      </w:r>
      <w:r w:rsidRPr="00E27443">
        <w:t>employed.</w:t>
      </w:r>
      <w:r w:rsidR="00C63F8F" w:rsidRPr="00E27443">
        <w:t xml:space="preserve"> </w:t>
      </w:r>
      <w:r w:rsidRPr="00E27443">
        <w:t>Out</w:t>
      </w:r>
      <w:r w:rsidR="00C63F8F" w:rsidRPr="00E27443">
        <w:t xml:space="preserve"> </w:t>
      </w:r>
      <w:r w:rsidRPr="00E27443">
        <w:t>of</w:t>
      </w:r>
      <w:r w:rsidR="00C63F8F" w:rsidRPr="00E27443">
        <w:t xml:space="preserve"> </w:t>
      </w:r>
      <w:r w:rsidRPr="00E27443">
        <w:t>those</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and</w:t>
      </w:r>
      <w:r w:rsidR="00C63F8F" w:rsidRPr="00E27443">
        <w:t xml:space="preserve"> </w:t>
      </w:r>
      <w:r w:rsidRPr="00E27443">
        <w:t>a</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50</w:t>
      </w:r>
      <w:r w:rsidR="00C63F8F" w:rsidRPr="00E27443">
        <w:t xml:space="preserve"> </w:t>
      </w:r>
      <w:r w:rsidRPr="00E27443">
        <w:t>per</w:t>
      </w:r>
      <w:r w:rsidR="00C63F8F" w:rsidRPr="00E27443">
        <w:t xml:space="preserve"> </w:t>
      </w:r>
      <w:r w:rsidRPr="00E27443">
        <w:t>cent</w:t>
      </w:r>
      <w:r w:rsidR="00C63F8F" w:rsidRPr="00E27443">
        <w:t xml:space="preserve"> </w:t>
      </w:r>
      <w:r w:rsidRPr="00E27443">
        <w:t>were</w:t>
      </w:r>
      <w:r w:rsidR="00C63F8F" w:rsidRPr="00E27443">
        <w:t xml:space="preserve"> </w:t>
      </w:r>
      <w:r w:rsidRPr="00E27443">
        <w:t>in</w:t>
      </w:r>
      <w:r w:rsidR="00C63F8F" w:rsidRPr="00E27443">
        <w:t xml:space="preserve"> </w:t>
      </w:r>
      <w:r w:rsidRPr="00E27443">
        <w:t>employment.</w:t>
      </w:r>
      <w:r w:rsidR="00C63F8F" w:rsidRPr="00E27443">
        <w:t xml:space="preserve"> </w:t>
      </w:r>
      <w:r w:rsidRPr="00E27443">
        <w:t>Women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and</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r w:rsidR="00C63F8F" w:rsidRPr="00E27443">
        <w:t xml:space="preserve"> </w:t>
      </w:r>
      <w:r w:rsidRPr="00E27443">
        <w:t>participate</w:t>
      </w:r>
      <w:r w:rsidR="00C63F8F" w:rsidRPr="00E27443">
        <w:t xml:space="preserve"> </w:t>
      </w:r>
      <w:r w:rsidRPr="00E27443">
        <w:t>on</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to</w:t>
      </w:r>
      <w:r w:rsidR="00C63F8F" w:rsidRPr="00E27443">
        <w:t xml:space="preserve"> </w:t>
      </w:r>
      <w:r w:rsidRPr="00E27443">
        <w:t>a</w:t>
      </w:r>
      <w:r w:rsidR="00C63F8F" w:rsidRPr="00E27443">
        <w:t xml:space="preserve"> </w:t>
      </w:r>
      <w:r w:rsidRPr="00E27443">
        <w:t>lower</w:t>
      </w:r>
      <w:r w:rsidR="00C63F8F" w:rsidRPr="00E27443">
        <w:t xml:space="preserve"> </w:t>
      </w:r>
      <w:r w:rsidRPr="00E27443">
        <w:t>extent</w:t>
      </w:r>
      <w:r w:rsidR="00C63F8F" w:rsidRPr="00E27443">
        <w:t xml:space="preserve"> </w:t>
      </w:r>
      <w:r w:rsidRPr="00E27443">
        <w:t>than</w:t>
      </w:r>
      <w:r w:rsidR="00C63F8F" w:rsidRPr="00E27443">
        <w:t xml:space="preserve"> </w:t>
      </w:r>
      <w:r w:rsidRPr="00E27443">
        <w:t>men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and</w:t>
      </w:r>
      <w:r w:rsidR="00C63F8F" w:rsidRPr="00E27443">
        <w:t xml:space="preserve"> </w:t>
      </w:r>
      <w:r w:rsidRPr="00E27443">
        <w:t>reduced</w:t>
      </w:r>
      <w:r w:rsidR="00C63F8F" w:rsidRPr="00E27443">
        <w:t xml:space="preserve"> </w:t>
      </w:r>
      <w:r w:rsidRPr="00E27443">
        <w:t>capacity</w:t>
      </w:r>
      <w:r w:rsidR="00C63F8F" w:rsidRPr="00E27443">
        <w:t xml:space="preserve"> </w:t>
      </w:r>
      <w:r w:rsidRPr="00E27443">
        <w:t>to</w:t>
      </w:r>
      <w:r w:rsidR="00C63F8F" w:rsidRPr="00E27443">
        <w:t xml:space="preserve"> </w:t>
      </w:r>
      <w:r w:rsidRPr="00E27443">
        <w:t>work.</w:t>
      </w:r>
    </w:p>
    <w:p w:rsidR="00321ADA" w:rsidRPr="00E27443" w:rsidRDefault="00321ADA" w:rsidP="00F26C3C">
      <w:pPr>
        <w:pStyle w:val="SingleTxtG"/>
        <w:numPr>
          <w:ilvl w:val="0"/>
          <w:numId w:val="20"/>
        </w:numPr>
        <w:tabs>
          <w:tab w:val="left" w:pos="1843"/>
        </w:tabs>
        <w:ind w:left="1134" w:firstLine="0"/>
      </w:pP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w:t>
      </w:r>
      <w:r w:rsidRPr="00E27443">
        <w:t>s</w:t>
      </w:r>
      <w:r w:rsidR="00C63F8F" w:rsidRPr="00E27443">
        <w:t xml:space="preserve"> </w:t>
      </w:r>
      <w:r w:rsidRPr="00E27443">
        <w:t>2010</w:t>
      </w:r>
      <w:r w:rsidR="00C63F8F" w:rsidRPr="00E27443">
        <w:t xml:space="preserve"> </w:t>
      </w:r>
      <w:r w:rsidRPr="00E27443">
        <w:t>Social</w:t>
      </w:r>
      <w:r w:rsidR="00C63F8F" w:rsidRPr="00E27443">
        <w:t xml:space="preserve"> </w:t>
      </w:r>
      <w:r w:rsidRPr="00E27443">
        <w:t>report</w:t>
      </w:r>
      <w:r w:rsidR="00C63F8F" w:rsidRPr="00E27443">
        <w:t xml:space="preserve"> </w:t>
      </w:r>
      <w:r w:rsidRPr="00E27443">
        <w:t>highlights</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the</w:t>
      </w:r>
      <w:r w:rsidR="00C63F8F" w:rsidRPr="00E27443">
        <w:t xml:space="preserve"> </w:t>
      </w:r>
      <w:r w:rsidRPr="00E27443">
        <w:t>poverty</w:t>
      </w:r>
      <w:r w:rsidR="00C63F8F" w:rsidRPr="00E27443">
        <w:t xml:space="preserve"> </w:t>
      </w:r>
      <w:r w:rsidRPr="00E27443">
        <w:t>risk</w:t>
      </w:r>
      <w:r w:rsidR="00C63F8F" w:rsidRPr="00E27443">
        <w:t xml:space="preserve"> </w:t>
      </w:r>
      <w:r w:rsidRPr="00E27443">
        <w:t>to</w:t>
      </w:r>
      <w:r w:rsidR="00C63F8F" w:rsidRPr="00E27443">
        <w:t xml:space="preserve"> </w:t>
      </w:r>
      <w:r w:rsidRPr="00E27443">
        <w:t>a</w:t>
      </w:r>
      <w:r w:rsidR="00C63F8F" w:rsidRPr="00E27443">
        <w:t xml:space="preserve"> </w:t>
      </w:r>
      <w:r w:rsidRPr="00E27443">
        <w:t>great</w:t>
      </w:r>
      <w:r w:rsidR="00C63F8F" w:rsidRPr="00E27443">
        <w:t xml:space="preserve"> </w:t>
      </w:r>
      <w:r w:rsidRPr="00E27443">
        <w:t>extent</w:t>
      </w:r>
      <w:r w:rsidR="00C63F8F" w:rsidRPr="00E27443">
        <w:t xml:space="preserve"> </w:t>
      </w:r>
      <w:r w:rsidRPr="00E27443">
        <w:t>is</w:t>
      </w:r>
      <w:r w:rsidR="00C63F8F" w:rsidRPr="00E27443">
        <w:t xml:space="preserve"> </w:t>
      </w:r>
      <w:r w:rsidRPr="00E27443">
        <w:t>related</w:t>
      </w:r>
      <w:r w:rsidR="00C63F8F" w:rsidRPr="00E27443">
        <w:t xml:space="preserve"> </w:t>
      </w:r>
      <w:r w:rsidRPr="00E27443">
        <w:t>to</w:t>
      </w:r>
      <w:r w:rsidR="00C63F8F" w:rsidRPr="00E27443">
        <w:t xml:space="preserve"> </w:t>
      </w:r>
      <w:r w:rsidRPr="00E27443">
        <w:t>the</w:t>
      </w:r>
      <w:r w:rsidR="00C63F8F" w:rsidRPr="00E27443">
        <w:t xml:space="preserve"> </w:t>
      </w:r>
      <w:r w:rsidRPr="00E27443">
        <w:t>absence</w:t>
      </w:r>
      <w:r w:rsidR="00C63F8F" w:rsidRPr="00E27443">
        <w:t xml:space="preserve"> </w:t>
      </w:r>
      <w:r w:rsidRPr="00E27443">
        <w:t>of</w:t>
      </w:r>
      <w:r w:rsidR="00C63F8F" w:rsidRPr="00E27443">
        <w:t xml:space="preserve"> </w:t>
      </w:r>
      <w:r w:rsidRPr="00E27443">
        <w:t>income</w:t>
      </w:r>
      <w:r w:rsidR="00C63F8F" w:rsidRPr="00E27443">
        <w:t xml:space="preserve"> </w:t>
      </w:r>
      <w:r w:rsidRPr="00E27443">
        <w:t>due</w:t>
      </w:r>
      <w:r w:rsidR="00C63F8F" w:rsidRPr="00E27443">
        <w:t xml:space="preserve"> </w:t>
      </w:r>
      <w:r w:rsidRPr="00E27443">
        <w:t>to</w:t>
      </w:r>
      <w:r w:rsidR="00C63F8F" w:rsidRPr="00E27443">
        <w:t xml:space="preserve"> </w:t>
      </w:r>
      <w:r w:rsidRPr="00E27443">
        <w:t>unemployment</w:t>
      </w:r>
      <w:r w:rsidR="00C63F8F" w:rsidRPr="00E27443">
        <w:t xml:space="preserve"> </w:t>
      </w:r>
      <w:r w:rsidRPr="00E27443">
        <w:t>(particularly</w:t>
      </w:r>
      <w:r w:rsidR="00C63F8F" w:rsidRPr="00E27443">
        <w:t xml:space="preserve"> </w:t>
      </w:r>
      <w:r w:rsidRPr="00E27443">
        <w:t>for</w:t>
      </w:r>
      <w:r w:rsidR="00C63F8F" w:rsidRPr="00E27443">
        <w:t xml:space="preserve"> </w:t>
      </w:r>
      <w:r w:rsidRPr="00E27443">
        <w:t>those</w:t>
      </w:r>
      <w:r w:rsidR="00C63F8F" w:rsidRPr="00E27443">
        <w:t xml:space="preserve"> </w:t>
      </w:r>
      <w:r w:rsidRPr="00E27443">
        <w:t>who</w:t>
      </w:r>
      <w:r w:rsidR="00C63F8F" w:rsidRPr="00E27443">
        <w:t xml:space="preserve"> </w:t>
      </w:r>
      <w:r w:rsidRPr="00E27443">
        <w:t>have</w:t>
      </w:r>
      <w:r w:rsidR="00C63F8F" w:rsidRPr="00E27443">
        <w:t xml:space="preserve"> </w:t>
      </w:r>
      <w:r w:rsidRPr="00E27443">
        <w:t>not</w:t>
      </w:r>
      <w:r w:rsidR="00C63F8F" w:rsidRPr="00E27443">
        <w:t xml:space="preserve"> </w:t>
      </w:r>
      <w:r w:rsidRPr="00E27443">
        <w:t>entered</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illness</w:t>
      </w:r>
      <w:r w:rsidR="00C63F8F" w:rsidRPr="00E27443">
        <w:t xml:space="preserve"> </w:t>
      </w:r>
      <w:r w:rsidRPr="00E27443">
        <w:t>or</w:t>
      </w:r>
      <w:r w:rsidR="00C63F8F" w:rsidRPr="00E27443">
        <w:t xml:space="preserve"> </w:t>
      </w:r>
      <w:r w:rsidRPr="00E27443">
        <w:t>studies.</w:t>
      </w:r>
      <w:r w:rsidR="00C63F8F" w:rsidRPr="00E27443">
        <w:t xml:space="preserve"> </w:t>
      </w:r>
      <w:r w:rsidRPr="00E27443">
        <w:t>The</w:t>
      </w:r>
      <w:r w:rsidR="00C63F8F" w:rsidRPr="00E27443">
        <w:t xml:space="preserve"> </w:t>
      </w:r>
      <w:r w:rsidRPr="00E27443">
        <w:t>increase</w:t>
      </w:r>
      <w:r w:rsidR="00C63F8F" w:rsidRPr="00E27443">
        <w:t xml:space="preserve"> </w:t>
      </w:r>
      <w:r w:rsidRPr="00E27443">
        <w:t>in</w:t>
      </w:r>
      <w:r w:rsidR="00C63F8F" w:rsidRPr="00E27443">
        <w:t xml:space="preserve"> </w:t>
      </w:r>
      <w:r w:rsidRPr="00E27443">
        <w:t>the</w:t>
      </w:r>
      <w:r w:rsidR="00C63F8F" w:rsidRPr="00E27443">
        <w:t xml:space="preserve"> </w:t>
      </w:r>
      <w:r w:rsidRPr="00E27443">
        <w:t>financial</w:t>
      </w:r>
      <w:r w:rsidR="00C63F8F" w:rsidRPr="00E27443">
        <w:t xml:space="preserve"> </w:t>
      </w:r>
      <w:r w:rsidRPr="00E27443">
        <w:t>standard</w:t>
      </w:r>
      <w:r w:rsidR="00C63F8F" w:rsidRPr="00E27443">
        <w:t xml:space="preserve"> </w:t>
      </w:r>
      <w:r w:rsidRPr="00E27443">
        <w:t>of</w:t>
      </w:r>
      <w:r w:rsidR="00C63F8F" w:rsidRPr="00E27443">
        <w:t xml:space="preserve"> </w:t>
      </w:r>
      <w:r w:rsidRPr="00E27443">
        <w:t>living</w:t>
      </w:r>
      <w:r w:rsidR="00C63F8F" w:rsidRPr="00E27443">
        <w:t xml:space="preserve"> </w:t>
      </w:r>
      <w:r w:rsidRPr="00E27443">
        <w:t>after</w:t>
      </w:r>
      <w:r w:rsidR="00C63F8F" w:rsidRPr="00E27443">
        <w:t xml:space="preserve"> </w:t>
      </w:r>
      <w:r w:rsidRPr="00E27443">
        <w:t>the</w:t>
      </w:r>
      <w:r w:rsidR="00C63F8F" w:rsidRPr="00E27443">
        <w:t xml:space="preserve"> </w:t>
      </w:r>
      <w:r w:rsidRPr="00E27443">
        <w:t>recession</w:t>
      </w:r>
      <w:r w:rsidR="00C63F8F" w:rsidRPr="00E27443">
        <w:t xml:space="preserve"> </w:t>
      </w:r>
      <w:r w:rsidRPr="00E27443">
        <w:t>is</w:t>
      </w:r>
      <w:r w:rsidR="00C63F8F" w:rsidRPr="00E27443">
        <w:t xml:space="preserve"> </w:t>
      </w:r>
      <w:r w:rsidRPr="00E27443">
        <w:t>primarily</w:t>
      </w:r>
      <w:r w:rsidR="00C63F8F" w:rsidRPr="00E27443">
        <w:t xml:space="preserve"> </w:t>
      </w:r>
      <w:r w:rsidRPr="00E27443">
        <w:t>related</w:t>
      </w:r>
      <w:r w:rsidR="00C63F8F" w:rsidRPr="00E27443">
        <w:t xml:space="preserve"> </w:t>
      </w:r>
      <w:r w:rsidRPr="00E27443">
        <w:t>to</w:t>
      </w:r>
      <w:r w:rsidR="00C63F8F" w:rsidRPr="00E27443">
        <w:t xml:space="preserve"> </w:t>
      </w:r>
      <w:r w:rsidRPr="00E27443">
        <w:t>an</w:t>
      </w:r>
      <w:r w:rsidR="00C63F8F" w:rsidRPr="00E27443">
        <w:t xml:space="preserve"> </w:t>
      </w:r>
      <w:r w:rsidRPr="00E27443">
        <w:t>increase</w:t>
      </w:r>
      <w:r w:rsidR="00C63F8F" w:rsidRPr="00E27443">
        <w:t xml:space="preserve"> </w:t>
      </w:r>
      <w:r w:rsidRPr="00E27443">
        <w:t>in</w:t>
      </w:r>
      <w:r w:rsidR="00C63F8F" w:rsidRPr="00E27443">
        <w:t xml:space="preserve"> </w:t>
      </w:r>
      <w:r w:rsidRPr="00E27443">
        <w:t>salary</w:t>
      </w:r>
      <w:r w:rsidR="00C63F8F" w:rsidRPr="00E27443">
        <w:t xml:space="preserve"> </w:t>
      </w:r>
      <w:r w:rsidRPr="00E27443">
        <w:t>income,</w:t>
      </w:r>
      <w:r w:rsidR="00C63F8F" w:rsidRPr="00E27443">
        <w:t xml:space="preserve"> </w:t>
      </w:r>
      <w:r w:rsidRPr="00E27443">
        <w:t>in</w:t>
      </w:r>
      <w:r w:rsidR="00C63F8F" w:rsidRPr="00E27443">
        <w:t xml:space="preserve"> </w:t>
      </w:r>
      <w:r w:rsidRPr="00E27443">
        <w:t>part</w:t>
      </w:r>
      <w:r w:rsidR="00C63F8F" w:rsidRPr="00E27443">
        <w:t xml:space="preserve"> </w:t>
      </w:r>
      <w:r w:rsidRPr="00E27443">
        <w:t>because</w:t>
      </w:r>
      <w:r w:rsidR="00C63F8F" w:rsidRPr="00E27443">
        <w:t xml:space="preserve"> </w:t>
      </w:r>
      <w:r w:rsidRPr="00E27443">
        <w:t>more</w:t>
      </w:r>
      <w:r w:rsidR="00C63F8F" w:rsidRPr="00E27443">
        <w:t xml:space="preserve"> </w:t>
      </w:r>
      <w:r w:rsidRPr="00E27443">
        <w:t>people</w:t>
      </w:r>
      <w:r w:rsidR="00C63F8F" w:rsidRPr="00E27443">
        <w:t xml:space="preserve"> </w:t>
      </w:r>
      <w:r w:rsidRPr="00E27443">
        <w:t>have</w:t>
      </w:r>
      <w:r w:rsidR="00C63F8F" w:rsidRPr="00E27443">
        <w:t xml:space="preserve"> </w:t>
      </w:r>
      <w:r w:rsidRPr="00E27443">
        <w:t>found</w:t>
      </w:r>
      <w:r w:rsidR="00C63F8F" w:rsidRPr="00E27443">
        <w:t xml:space="preserve"> </w:t>
      </w:r>
      <w:r w:rsidRPr="00E27443">
        <w:t>work.</w:t>
      </w:r>
      <w:r w:rsidR="00C63F8F" w:rsidRPr="00E27443">
        <w:t xml:space="preserve"> </w:t>
      </w:r>
      <w:r w:rsidRPr="00E27443">
        <w:t>This</w:t>
      </w:r>
      <w:r w:rsidR="00C63F8F" w:rsidRPr="00E27443">
        <w:t xml:space="preserve"> </w:t>
      </w:r>
      <w:r w:rsidRPr="00E27443">
        <w:t>means</w:t>
      </w:r>
      <w:r w:rsidR="00C63F8F" w:rsidRPr="00E27443">
        <w:t xml:space="preserve"> </w:t>
      </w:r>
      <w:r w:rsidRPr="00E27443">
        <w:t>that</w:t>
      </w:r>
      <w:r w:rsidR="00C63F8F" w:rsidRPr="00E27443">
        <w:t xml:space="preserve"> </w:t>
      </w:r>
      <w:r w:rsidRPr="00E27443">
        <w:t>the</w:t>
      </w:r>
      <w:r w:rsidR="00C63F8F" w:rsidRPr="00E27443">
        <w:t xml:space="preserve"> </w:t>
      </w:r>
      <w:r w:rsidRPr="00E27443">
        <w:t>financial</w:t>
      </w:r>
      <w:r w:rsidR="00C63F8F" w:rsidRPr="00E27443">
        <w:t xml:space="preserve"> </w:t>
      </w:r>
      <w:r w:rsidRPr="00E27443">
        <w:t>standard</w:t>
      </w:r>
      <w:r w:rsidR="00C63F8F" w:rsidRPr="00E27443">
        <w:t xml:space="preserve"> </w:t>
      </w:r>
      <w:r w:rsidRPr="00E27443">
        <w:t>of</w:t>
      </w:r>
      <w:r w:rsidR="00C63F8F" w:rsidRPr="00E27443">
        <w:t xml:space="preserve"> </w:t>
      </w:r>
      <w:r w:rsidRPr="00E27443">
        <w:t>living</w:t>
      </w:r>
      <w:r w:rsidR="00C63F8F" w:rsidRPr="00E27443">
        <w:t xml:space="preserve"> </w:t>
      </w:r>
      <w:r w:rsidRPr="00E27443">
        <w:t>has</w:t>
      </w:r>
      <w:r w:rsidR="00C63F8F" w:rsidRPr="00E27443">
        <w:t xml:space="preserve"> </w:t>
      </w:r>
      <w:r w:rsidRPr="00E27443">
        <w:t>not</w:t>
      </w:r>
      <w:r w:rsidR="00C63F8F" w:rsidRPr="00E27443">
        <w:t xml:space="preserve"> </w:t>
      </w:r>
      <w:r w:rsidRPr="00E27443">
        <w:t>increased</w:t>
      </w:r>
      <w:r w:rsidR="00C63F8F" w:rsidRPr="00E27443">
        <w:t xml:space="preserve"> </w:t>
      </w:r>
      <w:r w:rsidRPr="00E27443">
        <w:t>as</w:t>
      </w:r>
      <w:r w:rsidR="00C63F8F" w:rsidRPr="00E27443">
        <w:t xml:space="preserve"> </w:t>
      </w:r>
      <w:r w:rsidRPr="00E27443">
        <w:t>much</w:t>
      </w:r>
      <w:r w:rsidR="00C63F8F" w:rsidRPr="00E27443">
        <w:t xml:space="preserve"> </w:t>
      </w:r>
      <w:r w:rsidRPr="00E27443">
        <w:t>for</w:t>
      </w:r>
      <w:r w:rsidR="00C63F8F" w:rsidRPr="00E27443">
        <w:t xml:space="preserve"> </w:t>
      </w:r>
      <w:r w:rsidRPr="00E27443">
        <w:t>those</w:t>
      </w:r>
      <w:r w:rsidR="00C63F8F" w:rsidRPr="00E27443">
        <w:t xml:space="preserve"> </w:t>
      </w:r>
      <w:r w:rsidRPr="00E27443">
        <w:t>groups</w:t>
      </w:r>
      <w:r w:rsidR="00C63F8F" w:rsidRPr="00E27443">
        <w:t xml:space="preserve"> </w:t>
      </w:r>
      <w:r w:rsidRPr="00E27443">
        <w:t>that</w:t>
      </w:r>
      <w:r w:rsidR="00C63F8F" w:rsidRPr="00E27443">
        <w:t xml:space="preserve"> </w:t>
      </w:r>
      <w:r w:rsidRPr="00E27443">
        <w:t>receive</w:t>
      </w:r>
      <w:r w:rsidR="00C63F8F" w:rsidRPr="00E27443">
        <w:t xml:space="preserve"> </w:t>
      </w:r>
      <w:r w:rsidRPr="00E27443">
        <w:t>a</w:t>
      </w:r>
      <w:r w:rsidR="00C63F8F" w:rsidRPr="00E27443">
        <w:t xml:space="preserve"> </w:t>
      </w:r>
      <w:r w:rsidRPr="00E27443">
        <w:t>larger</w:t>
      </w:r>
      <w:r w:rsidR="00C63F8F" w:rsidRPr="00E27443">
        <w:t xml:space="preserve"> </w:t>
      </w:r>
      <w:r w:rsidRPr="00E27443">
        <w:t>proportion</w:t>
      </w:r>
      <w:r w:rsidR="00C63F8F" w:rsidRPr="00E27443">
        <w:t xml:space="preserve"> </w:t>
      </w:r>
      <w:r w:rsidRPr="00E27443">
        <w:t>of</w:t>
      </w:r>
      <w:r w:rsidR="00C63F8F" w:rsidRPr="00E27443">
        <w:t xml:space="preserve"> </w:t>
      </w:r>
      <w:r w:rsidRPr="00E27443">
        <w:t>their</w:t>
      </w:r>
      <w:r w:rsidR="00C63F8F" w:rsidRPr="00E27443">
        <w:t xml:space="preserve"> </w:t>
      </w:r>
      <w:r w:rsidRPr="00E27443">
        <w:t>support</w:t>
      </w:r>
      <w:r w:rsidR="00C63F8F" w:rsidRPr="00E27443">
        <w:t xml:space="preserve"> </w:t>
      </w:r>
      <w:r w:rsidRPr="00E27443">
        <w:t>from</w:t>
      </w:r>
      <w:r w:rsidR="00C63F8F" w:rsidRPr="00E27443">
        <w:t xml:space="preserve"> </w:t>
      </w:r>
      <w:r w:rsidRPr="00E27443">
        <w:t>subsidies</w:t>
      </w:r>
      <w:r w:rsidR="00C63F8F" w:rsidRPr="00E27443">
        <w:t xml:space="preserve"> </w:t>
      </w:r>
      <w:r w:rsidRPr="00E27443">
        <w:t>or</w:t>
      </w:r>
      <w:r w:rsidR="00C63F8F" w:rsidRPr="00E27443">
        <w:t xml:space="preserve"> </w:t>
      </w:r>
      <w:r w:rsidRPr="00E27443">
        <w:t>social</w:t>
      </w:r>
      <w:r w:rsidR="00C63F8F" w:rsidRPr="00E27443">
        <w:t xml:space="preserve"> </w:t>
      </w:r>
      <w:r w:rsidRPr="00E27443">
        <w:t>insurance.</w:t>
      </w:r>
      <w:r w:rsidR="00C63F8F" w:rsidRPr="00E27443">
        <w:t xml:space="preserve"> </w:t>
      </w:r>
      <w:r w:rsidRPr="00E27443">
        <w:t>The</w:t>
      </w:r>
      <w:r w:rsidR="00C63F8F" w:rsidRPr="00E27443">
        <w:t xml:space="preserve"> </w:t>
      </w:r>
      <w:r w:rsidRPr="00E27443">
        <w:t>trend</w:t>
      </w:r>
      <w:r w:rsidR="00C63F8F" w:rsidRPr="00E27443">
        <w:t xml:space="preserve"> </w:t>
      </w:r>
      <w:r w:rsidRPr="00E27443">
        <w:t>in</w:t>
      </w:r>
      <w:r w:rsidR="00C63F8F" w:rsidRPr="00E27443">
        <w:t xml:space="preserve"> </w:t>
      </w:r>
      <w:r w:rsidRPr="00E27443">
        <w:t>Sweden</w:t>
      </w:r>
      <w:r w:rsidR="00C63F8F" w:rsidRPr="00E27443">
        <w:t xml:space="preserve"> </w:t>
      </w:r>
      <w:r w:rsidRPr="00E27443">
        <w:t>as</w:t>
      </w:r>
      <w:r w:rsidR="00C63F8F" w:rsidRPr="00E27443">
        <w:t xml:space="preserve"> </w:t>
      </w:r>
      <w:r w:rsidRPr="00E27443">
        <w:t>regards</w:t>
      </w:r>
      <w:r w:rsidR="00C63F8F" w:rsidRPr="00E27443">
        <w:t xml:space="preserve"> </w:t>
      </w:r>
      <w:r w:rsidRPr="00E27443">
        <w:t>the</w:t>
      </w:r>
      <w:r w:rsidR="00C63F8F" w:rsidRPr="00E27443">
        <w:t xml:space="preserve"> </w:t>
      </w:r>
      <w:r w:rsidRPr="00E27443">
        <w:t>level</w:t>
      </w:r>
      <w:r w:rsidR="00C63F8F" w:rsidRPr="00E27443">
        <w:t xml:space="preserve"> </w:t>
      </w:r>
      <w:r w:rsidRPr="00E27443">
        <w:t>of</w:t>
      </w:r>
      <w:r w:rsidR="00C63F8F" w:rsidRPr="00E27443">
        <w:t xml:space="preserve"> </w:t>
      </w:r>
      <w:r w:rsidRPr="00E27443">
        <w:t>income</w:t>
      </w:r>
      <w:r w:rsidR="00C63F8F" w:rsidRPr="00E27443">
        <w:t xml:space="preserve"> </w:t>
      </w:r>
      <w:r w:rsidRPr="00E27443">
        <w:t>in</w:t>
      </w:r>
      <w:r w:rsidR="00C63F8F" w:rsidRPr="00E27443">
        <w:t xml:space="preserve"> </w:t>
      </w:r>
      <w:r w:rsidRPr="00E27443">
        <w:t>relation</w:t>
      </w:r>
      <w:r w:rsidR="00C63F8F" w:rsidRPr="00E27443">
        <w:t xml:space="preserve"> </w:t>
      </w:r>
      <w:r w:rsidRPr="00E27443">
        <w:t>to</w:t>
      </w:r>
      <w:r w:rsidR="00C63F8F" w:rsidRPr="00E27443">
        <w:t xml:space="preserve"> </w:t>
      </w:r>
      <w:r w:rsidRPr="00E27443">
        <w:t>the</w:t>
      </w:r>
      <w:r w:rsidR="00C63F8F" w:rsidRPr="00E27443">
        <w:t xml:space="preserve"> </w:t>
      </w:r>
      <w:r w:rsidRPr="00E27443">
        <w:t>absolute</w:t>
      </w:r>
      <w:r w:rsidR="00C63F8F" w:rsidRPr="00E27443">
        <w:t xml:space="preserve"> </w:t>
      </w:r>
      <w:r w:rsidRPr="00E27443">
        <w:t>poverty</w:t>
      </w:r>
      <w:r w:rsidR="00C63F8F" w:rsidRPr="00E27443">
        <w:t xml:space="preserve"> </w:t>
      </w:r>
      <w:r w:rsidRPr="00E27443">
        <w:t>line</w:t>
      </w:r>
      <w:r w:rsidR="00C63F8F" w:rsidRPr="00E27443">
        <w:t xml:space="preserve"> </w:t>
      </w:r>
      <w:r w:rsidRPr="00E27443">
        <w:t>(defined</w:t>
      </w:r>
      <w:r w:rsidR="00C63F8F" w:rsidRPr="00E27443">
        <w:t xml:space="preserve"> </w:t>
      </w:r>
      <w:r w:rsidRPr="00E27443">
        <w:t>as</w:t>
      </w:r>
      <w:r w:rsidR="00C63F8F" w:rsidRPr="00E27443">
        <w:t xml:space="preserve"> </w:t>
      </w:r>
      <w:r w:rsidRPr="00E27443">
        <w:t>the</w:t>
      </w:r>
      <w:r w:rsidR="00C63F8F" w:rsidRPr="00E27443">
        <w:t xml:space="preserve"> </w:t>
      </w:r>
      <w:r w:rsidRPr="00E27443">
        <w:t>income</w:t>
      </w:r>
      <w:r w:rsidR="00C63F8F" w:rsidRPr="00E27443">
        <w:t xml:space="preserve"> </w:t>
      </w:r>
      <w:r w:rsidRPr="00E27443">
        <w:t>support</w:t>
      </w:r>
      <w:r w:rsidR="00C63F8F" w:rsidRPr="00E27443">
        <w:t xml:space="preserve"> </w:t>
      </w:r>
      <w:r w:rsidRPr="00E27443">
        <w:t>standard</w:t>
      </w:r>
      <w:r w:rsidR="00C63F8F" w:rsidRPr="00E27443">
        <w:t xml:space="preserve"> </w:t>
      </w:r>
      <w:r w:rsidRPr="00E27443">
        <w:t>in</w:t>
      </w:r>
      <w:r w:rsidR="00C63F8F" w:rsidRPr="00E27443">
        <w:t xml:space="preserve"> </w:t>
      </w:r>
      <w:r w:rsidRPr="00E27443">
        <w:t>1985</w:t>
      </w:r>
      <w:r w:rsidR="00C63F8F" w:rsidRPr="00E27443">
        <w:t xml:space="preserve"> </w:t>
      </w:r>
      <w:r w:rsidRPr="00E27443">
        <w:t>calculated</w:t>
      </w:r>
      <w:r w:rsidR="00C63F8F" w:rsidRPr="00E27443">
        <w:t xml:space="preserve"> </w:t>
      </w:r>
      <w:r w:rsidRPr="00E27443">
        <w:t>using</w:t>
      </w:r>
      <w:r w:rsidR="00C63F8F" w:rsidRPr="00E27443">
        <w:t xml:space="preserve"> </w:t>
      </w:r>
      <w:r w:rsidRPr="00E27443">
        <w:t>the</w:t>
      </w:r>
      <w:r w:rsidR="00C63F8F" w:rsidRPr="00E27443">
        <w:t xml:space="preserve"> </w:t>
      </w:r>
      <w:r w:rsidRPr="00E27443">
        <w:t>consumer</w:t>
      </w:r>
      <w:r w:rsidR="00C63F8F" w:rsidRPr="00E27443">
        <w:t xml:space="preserve"> </w:t>
      </w:r>
      <w:r w:rsidRPr="00E27443">
        <w:t>price</w:t>
      </w:r>
      <w:r w:rsidR="00C63F8F" w:rsidRPr="00E27443">
        <w:t xml:space="preserve"> </w:t>
      </w:r>
      <w:r w:rsidRPr="00E27443">
        <w:t>index</w:t>
      </w:r>
      <w:r w:rsidR="00C63F8F" w:rsidRPr="00E27443">
        <w:t xml:space="preserve"> </w:t>
      </w:r>
      <w:r w:rsidRPr="00E27443">
        <w:t>to</w:t>
      </w:r>
      <w:r w:rsidR="00C63F8F" w:rsidRPr="00E27443">
        <w:t xml:space="preserve"> </w:t>
      </w:r>
      <w:r w:rsidRPr="00E27443">
        <w:t>compensate</w:t>
      </w:r>
      <w:r w:rsidR="00C63F8F" w:rsidRPr="00E27443">
        <w:t xml:space="preserve"> </w:t>
      </w:r>
      <w:r w:rsidRPr="00E27443">
        <w:t>for</w:t>
      </w:r>
      <w:r w:rsidR="00C63F8F" w:rsidRPr="00E27443">
        <w:t xml:space="preserve"> </w:t>
      </w:r>
      <w:r w:rsidRPr="00E27443">
        <w:t>inflation),</w:t>
      </w:r>
      <w:r w:rsidR="00C63F8F" w:rsidRPr="00E27443">
        <w:t xml:space="preserve"> </w:t>
      </w:r>
      <w:r w:rsidRPr="00E27443">
        <w:t>shows</w:t>
      </w:r>
      <w:r w:rsidR="00C63F8F" w:rsidRPr="00E27443">
        <w:t xml:space="preserve"> </w:t>
      </w:r>
      <w:r w:rsidRPr="00E27443">
        <w:t>that</w:t>
      </w:r>
      <w:r w:rsidR="00C63F8F" w:rsidRPr="00E27443">
        <w:t xml:space="preserve"> </w:t>
      </w:r>
      <w:r w:rsidRPr="00E27443">
        <w:t>the</w:t>
      </w:r>
      <w:r w:rsidR="00C63F8F" w:rsidRPr="00E27443">
        <w:t xml:space="preserve"> </w:t>
      </w:r>
      <w:r w:rsidRPr="00E27443">
        <w:t>proportion</w:t>
      </w:r>
      <w:r w:rsidR="00C63F8F" w:rsidRPr="00E27443">
        <w:t xml:space="preserve"> </w:t>
      </w:r>
      <w:r w:rsidRPr="00E27443">
        <w:t>in</w:t>
      </w:r>
      <w:r w:rsidR="00C63F8F" w:rsidRPr="00E27443">
        <w:t xml:space="preserve"> </w:t>
      </w:r>
      <w:r w:rsidRPr="00E27443">
        <w:t>the</w:t>
      </w:r>
      <w:r w:rsidR="00C63F8F" w:rsidRPr="00E27443">
        <w:t xml:space="preserve"> </w:t>
      </w:r>
      <w:r w:rsidRPr="00E27443">
        <w:t>group</w:t>
      </w:r>
      <w:r w:rsidR="00C63F8F" w:rsidRPr="00E27443">
        <w:t xml:space="preserve"> ‘</w:t>
      </w:r>
      <w:r w:rsidRPr="00E27443">
        <w:t>unemployed,</w:t>
      </w:r>
      <w:r w:rsidR="00C63F8F" w:rsidRPr="00E27443">
        <w:t xml:space="preserve"> </w:t>
      </w:r>
      <w:r w:rsidRPr="00E27443">
        <w:t>ill,</w:t>
      </w:r>
      <w:r w:rsidR="00C63F8F" w:rsidRPr="00E27443">
        <w:t xml:space="preserve"> </w:t>
      </w:r>
      <w:r w:rsidRPr="00E27443">
        <w:t>early</w:t>
      </w:r>
      <w:r w:rsidR="00C63F8F" w:rsidRPr="00E27443">
        <w:t xml:space="preserve"> </w:t>
      </w:r>
      <w:r w:rsidRPr="00E27443">
        <w:t>retirement</w:t>
      </w:r>
      <w:r w:rsidR="00C63F8F" w:rsidRPr="00E27443">
        <w:t xml:space="preserve">’ </w:t>
      </w:r>
      <w:r w:rsidRPr="00E27443">
        <w:t>who</w:t>
      </w:r>
      <w:r w:rsidR="00C63F8F" w:rsidRPr="00E27443">
        <w:t xml:space="preserve"> </w:t>
      </w:r>
      <w:r w:rsidRPr="00E27443">
        <w:t>are</w:t>
      </w:r>
      <w:r w:rsidR="00C63F8F" w:rsidRPr="00E27443">
        <w:t xml:space="preserve"> </w:t>
      </w:r>
      <w:r w:rsidRPr="00E27443">
        <w:t>living</w:t>
      </w:r>
      <w:r w:rsidR="00C63F8F" w:rsidRPr="00E27443">
        <w:t xml:space="preserve"> </w:t>
      </w:r>
      <w:r w:rsidRPr="00E27443">
        <w:t>at</w:t>
      </w:r>
      <w:r w:rsidR="00C63F8F" w:rsidRPr="00E27443">
        <w:t xml:space="preserve"> </w:t>
      </w:r>
      <w:r w:rsidRPr="00E27443">
        <w:t>or</w:t>
      </w:r>
      <w:r w:rsidR="00C63F8F" w:rsidRPr="00E27443">
        <w:t xml:space="preserve"> </w:t>
      </w:r>
      <w:r w:rsidRPr="00E27443">
        <w:t>below</w:t>
      </w:r>
      <w:r w:rsidR="00C63F8F" w:rsidRPr="00E27443">
        <w:t xml:space="preserve"> </w:t>
      </w:r>
      <w:r w:rsidRPr="00E27443">
        <w:t>the</w:t>
      </w:r>
      <w:r w:rsidR="00C63F8F" w:rsidRPr="00E27443">
        <w:t xml:space="preserve"> </w:t>
      </w:r>
      <w:r w:rsidRPr="00E27443">
        <w:t>poverty</w:t>
      </w:r>
      <w:r w:rsidR="00C63F8F" w:rsidRPr="00E27443">
        <w:t xml:space="preserve"> </w:t>
      </w:r>
      <w:r w:rsidRPr="00E27443">
        <w:t>line</w:t>
      </w:r>
      <w:r w:rsidR="00C63F8F" w:rsidRPr="00E27443">
        <w:t xml:space="preserve"> </w:t>
      </w:r>
      <w:r w:rsidRPr="00E27443">
        <w:t>has</w:t>
      </w:r>
      <w:r w:rsidR="00C63F8F" w:rsidRPr="00E27443">
        <w:t xml:space="preserve"> </w:t>
      </w:r>
      <w:r w:rsidRPr="00E27443">
        <w:t>fallen</w:t>
      </w:r>
      <w:r w:rsidR="00C63F8F" w:rsidRPr="00E27443">
        <w:t xml:space="preserve"> </w:t>
      </w:r>
      <w:r w:rsidRPr="00E27443">
        <w:t>between</w:t>
      </w:r>
      <w:r w:rsidR="00C63F8F" w:rsidRPr="00E27443">
        <w:t xml:space="preserve"> </w:t>
      </w:r>
      <w:r w:rsidRPr="00E27443">
        <w:t>1993</w:t>
      </w:r>
      <w:r w:rsidR="00C63F8F" w:rsidRPr="00E27443">
        <w:t xml:space="preserve"> </w:t>
      </w:r>
      <w:r w:rsidRPr="00E27443">
        <w:t>and</w:t>
      </w:r>
      <w:r w:rsidR="00C63F8F" w:rsidRPr="00E27443">
        <w:t xml:space="preserve"> </w:t>
      </w:r>
      <w:r w:rsidRPr="00E27443">
        <w:t>2007.</w:t>
      </w:r>
      <w:r w:rsidR="00C63F8F" w:rsidRPr="00E27443">
        <w:t xml:space="preserve"> </w:t>
      </w:r>
      <w:r w:rsidRPr="00E27443">
        <w:t>During</w:t>
      </w:r>
      <w:r w:rsidR="00C63F8F" w:rsidRPr="00E27443">
        <w:t xml:space="preserve"> </w:t>
      </w:r>
      <w:r w:rsidRPr="00E27443">
        <w:t>the</w:t>
      </w:r>
      <w:r w:rsidR="00C63F8F" w:rsidRPr="00E27443">
        <w:t xml:space="preserve"> </w:t>
      </w:r>
      <w:r w:rsidRPr="00E27443">
        <w:t>same</w:t>
      </w:r>
      <w:r w:rsidR="00C63F8F" w:rsidRPr="00E27443">
        <w:t xml:space="preserve"> </w:t>
      </w:r>
      <w:r w:rsidRPr="00E27443">
        <w:t>period,</w:t>
      </w:r>
      <w:r w:rsidR="00C63F8F" w:rsidRPr="00E27443">
        <w:t xml:space="preserve"> </w:t>
      </w:r>
      <w:r w:rsidRPr="00E27443">
        <w:t>the</w:t>
      </w:r>
      <w:r w:rsidR="00C63F8F" w:rsidRPr="00E27443">
        <w:t xml:space="preserve"> </w:t>
      </w:r>
      <w:r w:rsidRPr="00E27443">
        <w:t>proportion</w:t>
      </w:r>
      <w:r w:rsidR="00C63F8F" w:rsidRPr="00E27443">
        <w:t xml:space="preserve"> </w:t>
      </w:r>
      <w:r w:rsidRPr="00E27443">
        <w:t>of</w:t>
      </w:r>
      <w:r w:rsidR="00C63F8F" w:rsidRPr="00E27443">
        <w:t xml:space="preserve"> </w:t>
      </w:r>
      <w:r w:rsidRPr="00E27443">
        <w:t>relatively</w:t>
      </w:r>
      <w:r w:rsidR="00C63F8F" w:rsidRPr="00E27443">
        <w:t xml:space="preserve"> </w:t>
      </w:r>
      <w:r w:rsidRPr="00E27443">
        <w:t>poor</w:t>
      </w:r>
      <w:r w:rsidR="00C63F8F" w:rsidRPr="00E27443">
        <w:t xml:space="preserve"> </w:t>
      </w:r>
      <w:r w:rsidRPr="00E27443">
        <w:t>people</w:t>
      </w:r>
      <w:r w:rsidR="00C63F8F" w:rsidRPr="00E27443">
        <w:t xml:space="preserve"> </w:t>
      </w:r>
      <w:r w:rsidRPr="00E27443">
        <w:t>in</w:t>
      </w:r>
      <w:r w:rsidR="00C63F8F" w:rsidRPr="00E27443">
        <w:t xml:space="preserve"> </w:t>
      </w:r>
      <w:r w:rsidRPr="00E27443">
        <w:t>this</w:t>
      </w:r>
      <w:r w:rsidR="00C63F8F" w:rsidRPr="00E27443">
        <w:t xml:space="preserve"> </w:t>
      </w:r>
      <w:r w:rsidRPr="00E27443">
        <w:t>group,</w:t>
      </w:r>
      <w:r w:rsidR="00C63F8F" w:rsidRPr="00E27443">
        <w:t xml:space="preserve"> </w:t>
      </w:r>
      <w:r w:rsidRPr="00E27443">
        <w:t>defined</w:t>
      </w:r>
      <w:r w:rsidR="00C63F8F" w:rsidRPr="00E27443">
        <w:t xml:space="preserve"> </w:t>
      </w:r>
      <w:r w:rsidRPr="00E27443">
        <w:t>as</w:t>
      </w:r>
      <w:r w:rsidR="00C63F8F" w:rsidRPr="00E27443">
        <w:t xml:space="preserve"> </w:t>
      </w:r>
      <w:r w:rsidRPr="00E27443">
        <w:t>those</w:t>
      </w:r>
      <w:r w:rsidR="00C63F8F" w:rsidRPr="00E27443">
        <w:t xml:space="preserve"> </w:t>
      </w:r>
      <w:r w:rsidRPr="00E27443">
        <w:t>with</w:t>
      </w:r>
      <w:r w:rsidR="00C63F8F" w:rsidRPr="00E27443">
        <w:t xml:space="preserve"> </w:t>
      </w:r>
      <w:r w:rsidRPr="00E27443">
        <w:t>incomes</w:t>
      </w:r>
      <w:r w:rsidR="00C63F8F" w:rsidRPr="00E27443">
        <w:t xml:space="preserve"> </w:t>
      </w:r>
      <w:r w:rsidRPr="00E27443">
        <w:t>below</w:t>
      </w:r>
      <w:r w:rsidR="00C63F8F" w:rsidRPr="00E27443">
        <w:t xml:space="preserve"> </w:t>
      </w:r>
      <w:r w:rsidRPr="00E27443">
        <w:t>60</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the</w:t>
      </w:r>
      <w:r w:rsidR="00C63F8F" w:rsidRPr="00E27443">
        <w:t xml:space="preserve"> </w:t>
      </w:r>
      <w:r w:rsidRPr="00E27443">
        <w:t>median</w:t>
      </w:r>
      <w:r w:rsidR="00C63F8F" w:rsidRPr="00E27443">
        <w:t xml:space="preserve"> </w:t>
      </w:r>
      <w:r w:rsidRPr="00E27443">
        <w:t>income,</w:t>
      </w:r>
      <w:r w:rsidR="00C63F8F" w:rsidRPr="00E27443">
        <w:t xml:space="preserve"> </w:t>
      </w:r>
      <w:r w:rsidRPr="00E27443">
        <w:t>has</w:t>
      </w:r>
      <w:r w:rsidR="00C63F8F" w:rsidRPr="00E27443">
        <w:t xml:space="preserve"> </w:t>
      </w:r>
      <w:r w:rsidRPr="00E27443">
        <w:t>increased.</w:t>
      </w:r>
      <w:r w:rsidR="00684090" w:rsidRPr="00E27443">
        <w:rPr>
          <w:rStyle w:val="FootnoteReference"/>
        </w:rPr>
        <w:footnoteReference w:id="130"/>
      </w:r>
      <w:r w:rsidR="00C63F8F" w:rsidRPr="00E27443">
        <w:t xml:space="preserve"> </w:t>
      </w:r>
    </w:p>
    <w:p w:rsidR="00321ADA" w:rsidRPr="00E27443" w:rsidRDefault="00321ADA" w:rsidP="00F26C3C">
      <w:pPr>
        <w:pStyle w:val="SingleTxtG"/>
        <w:numPr>
          <w:ilvl w:val="0"/>
          <w:numId w:val="20"/>
        </w:numPr>
        <w:tabs>
          <w:tab w:val="left" w:pos="1843"/>
        </w:tabs>
        <w:ind w:left="1134" w:firstLine="0"/>
      </w:pPr>
      <w:r w:rsidRPr="00E27443">
        <w:t>In</w:t>
      </w:r>
      <w:r w:rsidR="00C63F8F" w:rsidRPr="00E27443">
        <w:t xml:space="preserve"> </w:t>
      </w:r>
      <w:r w:rsidRPr="00E27443">
        <w:t>2008,</w:t>
      </w:r>
      <w:r w:rsidR="00C63F8F" w:rsidRPr="00E27443">
        <w:t xml:space="preserve"> </w:t>
      </w:r>
      <w:r w:rsidRPr="00E27443">
        <w:t>the</w:t>
      </w:r>
      <w:r w:rsidR="00C63F8F" w:rsidRPr="00E27443">
        <w:t xml:space="preserve"> </w:t>
      </w:r>
      <w:r w:rsidRPr="00E27443">
        <w:t>National</w:t>
      </w:r>
      <w:r w:rsidR="00C63F8F" w:rsidRPr="00E27443">
        <w:t xml:space="preserve"> </w:t>
      </w:r>
      <w:r w:rsidRPr="00E27443">
        <w:t>Institute</w:t>
      </w:r>
      <w:r w:rsidR="00C63F8F" w:rsidRPr="00E27443">
        <w:t xml:space="preserve"> </w:t>
      </w:r>
      <w:r w:rsidRPr="00E27443">
        <w:t>of</w:t>
      </w:r>
      <w:r w:rsidR="00C63F8F" w:rsidRPr="00E27443">
        <w:t xml:space="preserve"> </w:t>
      </w:r>
      <w:r w:rsidRPr="00E27443">
        <w:t>Public</w:t>
      </w:r>
      <w:r w:rsidR="00C63F8F" w:rsidRPr="00E27443">
        <w:t xml:space="preserve"> </w:t>
      </w:r>
      <w:r w:rsidRPr="00E27443">
        <w:t>Health</w:t>
      </w:r>
      <w:r w:rsidR="00C63F8F" w:rsidRPr="00E27443">
        <w:t xml:space="preserve"> </w:t>
      </w:r>
      <w:r w:rsidRPr="00E27443">
        <w:t>published</w:t>
      </w:r>
      <w:r w:rsidR="00C63F8F" w:rsidRPr="00E27443">
        <w:t xml:space="preserve"> </w:t>
      </w:r>
      <w:r w:rsidRPr="00E27443">
        <w:t>a</w:t>
      </w:r>
      <w:r w:rsidR="00C63F8F" w:rsidRPr="00E27443">
        <w:t xml:space="preserve"> </w:t>
      </w:r>
      <w:r w:rsidRPr="00E27443">
        <w:t>report</w:t>
      </w:r>
      <w:r w:rsidR="00684090" w:rsidRPr="00E27443">
        <w:rPr>
          <w:rStyle w:val="FootnoteReference"/>
        </w:rPr>
        <w:footnoteReference w:id="131"/>
      </w:r>
      <w:r w:rsidR="00C63F8F" w:rsidRPr="00E27443">
        <w:t xml:space="preserve"> </w:t>
      </w:r>
      <w:r w:rsidRPr="00E27443">
        <w:t>on</w:t>
      </w:r>
      <w:r w:rsidR="00C63F8F" w:rsidRPr="00E27443">
        <w:t xml:space="preserve"> </w:t>
      </w:r>
      <w:r w:rsidRPr="00E27443">
        <w:t>the</w:t>
      </w:r>
      <w:r w:rsidR="00C63F8F" w:rsidRPr="00E27443">
        <w:t xml:space="preserve"> </w:t>
      </w:r>
      <w:r w:rsidRPr="00E27443">
        <w:t>health</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Institute</w:t>
      </w:r>
      <w:r w:rsidR="00C63F8F" w:rsidRPr="00E27443">
        <w:t>’</w:t>
      </w:r>
      <w:r w:rsidRPr="00E27443">
        <w:t>s</w:t>
      </w:r>
      <w:r w:rsidR="00C63F8F" w:rsidRPr="00E27443">
        <w:t xml:space="preserve"> </w:t>
      </w:r>
      <w:r w:rsidRPr="00E27443">
        <w:t>public</w:t>
      </w:r>
      <w:r w:rsidR="00C63F8F" w:rsidRPr="00E27443">
        <w:t xml:space="preserve"> </w:t>
      </w:r>
      <w:r w:rsidRPr="00E27443">
        <w:t>health</w:t>
      </w:r>
      <w:r w:rsidR="00C63F8F" w:rsidRPr="00E27443">
        <w:t xml:space="preserve"> </w:t>
      </w:r>
      <w:r w:rsidRPr="00E27443">
        <w:t>questionnaires</w:t>
      </w:r>
      <w:r w:rsidR="00C63F8F" w:rsidRPr="00E27443">
        <w:t xml:space="preserve"> </w:t>
      </w:r>
      <w:r w:rsidRPr="00E27443">
        <w:t>between</w:t>
      </w:r>
      <w:r w:rsidR="00C63F8F" w:rsidRPr="00E27443">
        <w:t xml:space="preserve"> </w:t>
      </w:r>
      <w:r w:rsidRPr="00E27443">
        <w:t>2005–2007,</w:t>
      </w:r>
      <w:r w:rsidR="00C63F8F" w:rsidRPr="00E27443">
        <w:t xml:space="preserve"> </w:t>
      </w:r>
      <w:r w:rsidRPr="00E27443">
        <w:t>poor</w:t>
      </w:r>
      <w:r w:rsidR="00C63F8F" w:rsidRPr="00E27443">
        <w:t xml:space="preserve"> </w:t>
      </w:r>
      <w:r w:rsidRPr="00E27443">
        <w:t>health</w:t>
      </w:r>
      <w:r w:rsidR="00C63F8F" w:rsidRPr="00E27443">
        <w:t xml:space="preserve"> </w:t>
      </w:r>
      <w:r w:rsidRPr="00E27443">
        <w:t>is</w:t>
      </w:r>
      <w:r w:rsidR="00C63F8F" w:rsidRPr="00E27443">
        <w:t xml:space="preserve"> </w:t>
      </w:r>
      <w:r w:rsidRPr="00E27443">
        <w:t>around</w:t>
      </w:r>
      <w:r w:rsidR="00C63F8F" w:rsidRPr="00E27443">
        <w:t xml:space="preserve"> </w:t>
      </w:r>
      <w:r w:rsidRPr="00E27443">
        <w:t>ten</w:t>
      </w:r>
      <w:r w:rsidR="00C63F8F" w:rsidRPr="00E27443">
        <w:t xml:space="preserve"> </w:t>
      </w:r>
      <w:r w:rsidRPr="00E27443">
        <w:t>times</w:t>
      </w:r>
      <w:r w:rsidR="00C63F8F" w:rsidRPr="00E27443">
        <w:t xml:space="preserve"> </w:t>
      </w:r>
      <w:r w:rsidRPr="00E27443">
        <w:t>more</w:t>
      </w:r>
      <w:r w:rsidR="00C63F8F" w:rsidRPr="00E27443">
        <w:t xml:space="preserve"> </w:t>
      </w:r>
      <w:r w:rsidRPr="00E27443">
        <w:t>common</w:t>
      </w:r>
      <w:r w:rsidR="00C63F8F" w:rsidRPr="00E27443">
        <w:t xml:space="preserve"> </w:t>
      </w:r>
      <w:r w:rsidRPr="00E27443">
        <w:t>in</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compared</w:t>
      </w:r>
      <w:r w:rsidR="00C63F8F" w:rsidRPr="00E27443">
        <w:t xml:space="preserve"> </w:t>
      </w:r>
      <w:r w:rsidRPr="00E27443">
        <w:t>to</w:t>
      </w:r>
      <w:r w:rsidR="00C63F8F" w:rsidRPr="00E27443">
        <w:t xml:space="preserve"> </w:t>
      </w:r>
      <w:r w:rsidRPr="00E27443">
        <w:t>the</w:t>
      </w:r>
      <w:r w:rsidR="00C63F8F" w:rsidRPr="00E27443">
        <w:t xml:space="preserve"> </w:t>
      </w:r>
      <w:r w:rsidRPr="00E27443">
        <w:t>rest</w:t>
      </w:r>
      <w:r w:rsidR="00C63F8F" w:rsidRPr="00E27443">
        <w:t xml:space="preserve"> </w:t>
      </w:r>
      <w:r w:rsidRPr="00E27443">
        <w:t>of</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Within</w:t>
      </w:r>
      <w:r w:rsidR="00C63F8F" w:rsidRPr="00E27443">
        <w:t xml:space="preserve"> </w:t>
      </w:r>
      <w:r w:rsidRPr="00E27443">
        <w:t>all</w:t>
      </w:r>
      <w:r w:rsidR="00C63F8F" w:rsidRPr="00E27443">
        <w:t xml:space="preserve"> </w:t>
      </w:r>
      <w:r w:rsidRPr="00E27443">
        <w:t>of</w:t>
      </w:r>
      <w:r w:rsidR="00C63F8F" w:rsidRPr="00E27443">
        <w:t xml:space="preserve"> </w:t>
      </w:r>
      <w:r w:rsidRPr="00E27443">
        <w:t>the</w:t>
      </w:r>
      <w:r w:rsidR="00C63F8F" w:rsidRPr="00E27443">
        <w:t xml:space="preserve"> </w:t>
      </w:r>
      <w:r w:rsidRPr="00E27443">
        <w:t>investigated</w:t>
      </w:r>
      <w:r w:rsidR="00C63F8F" w:rsidRPr="00E27443">
        <w:t xml:space="preserve"> </w:t>
      </w:r>
      <w:r w:rsidRPr="00E27443">
        <w:t>areas,</w:t>
      </w:r>
      <w:r w:rsidR="00C63F8F" w:rsidRPr="00E27443">
        <w:t xml:space="preserve"> </w:t>
      </w:r>
      <w:r w:rsidRPr="00E27443">
        <w:t>with</w:t>
      </w:r>
      <w:r w:rsidR="00C63F8F" w:rsidRPr="00E27443">
        <w:t xml:space="preserve"> </w:t>
      </w:r>
      <w:r w:rsidRPr="00E27443">
        <w:t>the</w:t>
      </w:r>
      <w:r w:rsidR="00C63F8F" w:rsidRPr="00E27443">
        <w:t xml:space="preserve"> </w:t>
      </w:r>
      <w:r w:rsidRPr="00E27443">
        <w:t>exception</w:t>
      </w:r>
      <w:r w:rsidR="00C63F8F" w:rsidRPr="00E27443">
        <w:t xml:space="preserve"> </w:t>
      </w:r>
      <w:r w:rsidRPr="00E27443">
        <w:t>of</w:t>
      </w:r>
      <w:r w:rsidR="00C63F8F" w:rsidRPr="00E27443">
        <w:t xml:space="preserve"> </w:t>
      </w:r>
      <w:r w:rsidRPr="00E27443">
        <w:t>accommodation</w:t>
      </w:r>
      <w:r w:rsidR="00C63F8F" w:rsidRPr="00E27443">
        <w:t xml:space="preserve"> </w:t>
      </w:r>
      <w:r w:rsidRPr="00E27443">
        <w:t>standard,</w:t>
      </w:r>
      <w:r w:rsidR="00C63F8F" w:rsidRPr="00E27443">
        <w:t xml:space="preserve"> </w:t>
      </w:r>
      <w:r w:rsidRPr="00E27443">
        <w:t>the</w:t>
      </w:r>
      <w:r w:rsidR="00C63F8F" w:rsidRPr="00E27443">
        <w:t xml:space="preserve"> </w:t>
      </w:r>
      <w:r w:rsidRPr="00E27443">
        <w:t>study</w:t>
      </w:r>
      <w:r w:rsidR="00C63F8F" w:rsidRPr="00E27443">
        <w:t xml:space="preserve"> </w:t>
      </w:r>
      <w:r w:rsidRPr="00E27443">
        <w:t>group</w:t>
      </w:r>
      <w:r w:rsidR="00C63F8F" w:rsidRPr="00E27443">
        <w:t xml:space="preserve"> </w:t>
      </w:r>
      <w:r w:rsidRPr="00E27443">
        <w:t>has</w:t>
      </w:r>
      <w:r w:rsidR="00C63F8F" w:rsidRPr="00E27443">
        <w:t xml:space="preserve"> </w:t>
      </w:r>
      <w:r w:rsidRPr="00E27443">
        <w:t>poorer</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than</w:t>
      </w:r>
      <w:r w:rsidR="00C63F8F" w:rsidRPr="00E27443">
        <w:t xml:space="preserve"> </w:t>
      </w:r>
      <w:r w:rsidRPr="00E27443">
        <w:t>the</w:t>
      </w:r>
      <w:r w:rsidR="00C63F8F" w:rsidRPr="00E27443">
        <w:t xml:space="preserve"> </w:t>
      </w:r>
      <w:r w:rsidRPr="00E27443">
        <w:t>average</w:t>
      </w:r>
      <w:r w:rsidR="00C63F8F" w:rsidRPr="00E27443">
        <w:t xml:space="preserve"> </w:t>
      </w:r>
      <w:r w:rsidRPr="00E27443">
        <w:t>for</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The</w:t>
      </w:r>
      <w:r w:rsidR="00C63F8F" w:rsidRPr="00E27443">
        <w:t xml:space="preserve"> </w:t>
      </w:r>
      <w:r w:rsidRPr="00E27443">
        <w:t>proportion</w:t>
      </w:r>
      <w:r w:rsidR="00C63F8F" w:rsidRPr="00E27443">
        <w:t xml:space="preserve"> </w:t>
      </w:r>
      <w:r w:rsidRPr="00E27443">
        <w:t>with</w:t>
      </w:r>
      <w:r w:rsidR="00C63F8F" w:rsidRPr="00E27443">
        <w:t xml:space="preserve"> </w:t>
      </w:r>
      <w:r w:rsidRPr="00E27443">
        <w:t>poor</w:t>
      </w:r>
      <w:r w:rsidR="00C63F8F" w:rsidRPr="00E27443">
        <w:t xml:space="preserve"> </w:t>
      </w:r>
      <w:r w:rsidRPr="00E27443">
        <w:t>health</w:t>
      </w:r>
      <w:r w:rsidR="00C63F8F" w:rsidRPr="00E27443">
        <w:t xml:space="preserve"> </w:t>
      </w:r>
      <w:r w:rsidRPr="00E27443">
        <w:t>was</w:t>
      </w:r>
      <w:r w:rsidR="00C63F8F" w:rsidRPr="00E27443">
        <w:t xml:space="preserve"> </w:t>
      </w:r>
      <w:r w:rsidRPr="00E27443">
        <w:t>largest</w:t>
      </w:r>
      <w:r w:rsidR="00C63F8F" w:rsidRPr="00E27443">
        <w:t xml:space="preserve"> </w:t>
      </w:r>
      <w:r w:rsidRPr="00E27443">
        <w:t>among</w:t>
      </w:r>
      <w:r w:rsidR="00C63F8F" w:rsidRPr="00E27443">
        <w:t xml:space="preserve"> </w:t>
      </w:r>
      <w:r w:rsidRPr="00E27443">
        <w:t>men</w:t>
      </w:r>
      <w:r w:rsidR="00C63F8F" w:rsidRPr="00E27443">
        <w:t xml:space="preserve"> </w:t>
      </w:r>
      <w:r w:rsidRPr="00E27443">
        <w:t>and</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of</w:t>
      </w:r>
      <w:r w:rsidR="00C63F8F" w:rsidRPr="00E27443">
        <w:t xml:space="preserve"> </w:t>
      </w:r>
      <w:r w:rsidRPr="00E27443">
        <w:t>which</w:t>
      </w:r>
      <w:r w:rsidR="00C63F8F" w:rsidRPr="00E27443">
        <w:t xml:space="preserve"> </w:t>
      </w:r>
      <w:r w:rsidRPr="00E27443">
        <w:t>43</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men</w:t>
      </w:r>
      <w:r w:rsidR="00C63F8F" w:rsidRPr="00E27443">
        <w:t xml:space="preserve"> </w:t>
      </w:r>
      <w:r w:rsidRPr="00E27443">
        <w:t>and</w:t>
      </w:r>
      <w:r w:rsidR="00C63F8F" w:rsidRPr="00E27443">
        <w:t xml:space="preserve"> </w:t>
      </w:r>
      <w:r w:rsidRPr="00E27443">
        <w:t>32</w:t>
      </w:r>
      <w:r w:rsidR="00C63F8F" w:rsidRPr="00E27443">
        <w:t xml:space="preserve"> </w:t>
      </w:r>
      <w:r w:rsidRPr="00E27443">
        <w:t>per</w:t>
      </w:r>
      <w:r w:rsidR="00C63F8F" w:rsidRPr="00E27443">
        <w:t xml:space="preserve"> </w:t>
      </w:r>
      <w:r w:rsidRPr="00E27443">
        <w:t>cent</w:t>
      </w:r>
      <w:r w:rsidR="00C63F8F" w:rsidRPr="00E27443">
        <w:t xml:space="preserve"> </w:t>
      </w:r>
      <w:r w:rsidRPr="00E27443">
        <w:t>of</w:t>
      </w:r>
      <w:r w:rsidR="00C63F8F" w:rsidRPr="00E27443">
        <w:t xml:space="preserve"> </w:t>
      </w:r>
      <w:r w:rsidRPr="00E27443">
        <w:t>women</w:t>
      </w:r>
      <w:r w:rsidR="00C63F8F" w:rsidRPr="00E27443">
        <w:t xml:space="preserve"> </w:t>
      </w:r>
      <w:r w:rsidRPr="00E27443">
        <w:t>reported</w:t>
      </w:r>
      <w:r w:rsidR="00C63F8F" w:rsidRPr="00E27443">
        <w:t xml:space="preserve"> </w:t>
      </w:r>
      <w:r w:rsidRPr="00E27443">
        <w:t>a</w:t>
      </w:r>
      <w:r w:rsidR="00C63F8F" w:rsidRPr="00E27443">
        <w:t xml:space="preserve"> </w:t>
      </w:r>
      <w:r w:rsidRPr="00E27443">
        <w:t>poor</w:t>
      </w:r>
      <w:r w:rsidR="00C63F8F" w:rsidRPr="00E27443">
        <w:t xml:space="preserve"> </w:t>
      </w:r>
      <w:r w:rsidRPr="00E27443">
        <w:t>general</w:t>
      </w:r>
      <w:r w:rsidR="00C63F8F" w:rsidRPr="00E27443">
        <w:t xml:space="preserve"> </w:t>
      </w:r>
      <w:r w:rsidRPr="00E27443">
        <w:t>state</w:t>
      </w:r>
      <w:r w:rsidR="00C63F8F" w:rsidRPr="00E27443">
        <w:t xml:space="preserve"> </w:t>
      </w:r>
      <w:r w:rsidRPr="00E27443">
        <w:t>of</w:t>
      </w:r>
      <w:r w:rsidR="00C63F8F" w:rsidRPr="00E27443">
        <w:t xml:space="preserve"> </w:t>
      </w:r>
      <w:r w:rsidRPr="00E27443">
        <w:t>health.</w:t>
      </w:r>
      <w:r w:rsidR="00C63F8F" w:rsidRPr="00E27443">
        <w:t xml:space="preserve"> </w:t>
      </w:r>
      <w:r w:rsidRPr="00E27443">
        <w:t>In</w:t>
      </w:r>
      <w:r w:rsidR="00C63F8F" w:rsidRPr="00E27443">
        <w:t xml:space="preserve"> </w:t>
      </w:r>
      <w:r w:rsidRPr="00E27443">
        <w:t>many</w:t>
      </w:r>
      <w:r w:rsidR="00C63F8F" w:rsidRPr="00E27443">
        <w:t xml:space="preserve"> </w:t>
      </w:r>
      <w:r w:rsidRPr="00E27443">
        <w:t>cases,</w:t>
      </w:r>
      <w:r w:rsidR="00C63F8F" w:rsidRPr="00E27443">
        <w:t xml:space="preserve"> </w:t>
      </w:r>
      <w:r w:rsidRPr="00E27443">
        <w:t>this</w:t>
      </w:r>
      <w:r w:rsidR="00C63F8F" w:rsidRPr="00E27443">
        <w:t xml:space="preserve"> </w:t>
      </w:r>
      <w:r w:rsidRPr="00E27443">
        <w:t>ill</w:t>
      </w:r>
      <w:r w:rsidR="00C63F8F" w:rsidRPr="00E27443">
        <w:t xml:space="preserve"> </w:t>
      </w:r>
      <w:r w:rsidRPr="00E27443">
        <w:t>health</w:t>
      </w:r>
      <w:r w:rsidR="00C63F8F" w:rsidRPr="00E27443">
        <w:t xml:space="preserve"> </w:t>
      </w:r>
      <w:r w:rsidRPr="00E27443">
        <w:t>is</w:t>
      </w:r>
      <w:r w:rsidR="00C63F8F" w:rsidRPr="00E27443">
        <w:t xml:space="preserve"> </w:t>
      </w:r>
      <w:r w:rsidRPr="00E27443">
        <w:t>directly</w:t>
      </w:r>
      <w:r w:rsidR="00C63F8F" w:rsidRPr="00E27443">
        <w:t xml:space="preserve"> </w:t>
      </w:r>
      <w:r w:rsidRPr="00E27443">
        <w:t>linked</w:t>
      </w:r>
      <w:r w:rsidR="00C63F8F" w:rsidRPr="00E27443">
        <w:t xml:space="preserve"> </w:t>
      </w:r>
      <w:r w:rsidRPr="00E27443">
        <w:t>to</w:t>
      </w:r>
      <w:r w:rsidR="00C63F8F" w:rsidRPr="00E27443">
        <w:t xml:space="preserve"> </w:t>
      </w:r>
      <w:r w:rsidRPr="00E27443">
        <w:t>their</w:t>
      </w:r>
      <w:r w:rsidR="00C63F8F" w:rsidRPr="00E27443">
        <w:t xml:space="preserve"> </w:t>
      </w:r>
      <w:r w:rsidRPr="00E27443">
        <w:t>disability,</w:t>
      </w:r>
      <w:r w:rsidR="00C63F8F" w:rsidRPr="00E27443">
        <w:t xml:space="preserve"> </w:t>
      </w:r>
      <w:r w:rsidRPr="00E27443">
        <w:t>although</w:t>
      </w:r>
      <w:r w:rsidR="00C63F8F" w:rsidRPr="00E27443">
        <w:t xml:space="preserve"> </w:t>
      </w:r>
      <w:r w:rsidRPr="00E27443">
        <w:t>a</w:t>
      </w:r>
      <w:r w:rsidR="00C63F8F" w:rsidRPr="00E27443">
        <w:t xml:space="preserve"> </w:t>
      </w:r>
      <w:r w:rsidRPr="00E27443">
        <w:t>considerable</w:t>
      </w:r>
      <w:r w:rsidR="00C63F8F" w:rsidRPr="00E27443">
        <w:t xml:space="preserve"> </w:t>
      </w:r>
      <w:r w:rsidRPr="00E27443">
        <w:t>proportion</w:t>
      </w:r>
      <w:r w:rsidR="00C63F8F" w:rsidRPr="00E27443">
        <w:t xml:space="preserve"> </w:t>
      </w:r>
      <w:r w:rsidRPr="00E27443">
        <w:t>of</w:t>
      </w:r>
      <w:r w:rsidR="00C63F8F" w:rsidRPr="00E27443">
        <w:t xml:space="preserve"> </w:t>
      </w:r>
      <w:r w:rsidRPr="00E27443">
        <w:t>ill</w:t>
      </w:r>
      <w:r w:rsidR="00C63F8F" w:rsidRPr="00E27443">
        <w:t xml:space="preserve"> </w:t>
      </w:r>
      <w:r w:rsidRPr="00E27443">
        <w:t>health</w:t>
      </w:r>
      <w:r w:rsidR="00C63F8F" w:rsidRPr="00E27443">
        <w:t xml:space="preserve"> </w:t>
      </w:r>
      <w:r w:rsidRPr="00E27443">
        <w:t>is</w:t>
      </w:r>
      <w:r w:rsidR="00C63F8F" w:rsidRPr="00E27443">
        <w:t xml:space="preserve"> </w:t>
      </w:r>
      <w:r w:rsidRPr="00E27443">
        <w:t>also</w:t>
      </w:r>
      <w:r w:rsidR="00C63F8F" w:rsidRPr="00E27443">
        <w:t xml:space="preserve"> </w:t>
      </w:r>
      <w:r w:rsidRPr="00E27443">
        <w:t>linked</w:t>
      </w:r>
      <w:r w:rsidR="00C63F8F" w:rsidRPr="00E27443">
        <w:t xml:space="preserve"> </w:t>
      </w:r>
      <w:r w:rsidRPr="00E27443">
        <w:t>to</w:t>
      </w:r>
      <w:r w:rsidR="00C63F8F" w:rsidRPr="00E27443">
        <w:t xml:space="preserve"> </w:t>
      </w:r>
      <w:r w:rsidRPr="00E27443">
        <w:t>known</w:t>
      </w:r>
      <w:r w:rsidR="00C63F8F" w:rsidRPr="00E27443">
        <w:t xml:space="preserve"> </w:t>
      </w:r>
      <w:r w:rsidRPr="00E27443">
        <w:t>determining</w:t>
      </w:r>
      <w:r w:rsidR="00C63F8F" w:rsidRPr="00E27443">
        <w:t xml:space="preserve"> </w:t>
      </w:r>
      <w:r w:rsidRPr="00E27443">
        <w:t>factors,</w:t>
      </w:r>
      <w:r w:rsidR="00C63F8F" w:rsidRPr="00E27443">
        <w:t xml:space="preserve"> </w:t>
      </w:r>
      <w:r w:rsidRPr="00E27443">
        <w:t>such</w:t>
      </w:r>
      <w:r w:rsidR="00C63F8F" w:rsidRPr="00E27443">
        <w:t xml:space="preserve"> </w:t>
      </w:r>
      <w:r w:rsidRPr="00E27443">
        <w:t>as</w:t>
      </w:r>
      <w:r w:rsidR="00C63F8F" w:rsidRPr="00E27443">
        <w:t xml:space="preserve"> </w:t>
      </w:r>
      <w:r w:rsidRPr="00E27443">
        <w:t>financial</w:t>
      </w:r>
      <w:r w:rsidR="00C63F8F" w:rsidRPr="00E27443">
        <w:t xml:space="preserve"> </w:t>
      </w:r>
      <w:r w:rsidRPr="00E27443">
        <w:t>insecurity,</w:t>
      </w:r>
      <w:r w:rsidR="00C63F8F" w:rsidRPr="00E27443">
        <w:t xml:space="preserve"> </w:t>
      </w:r>
      <w:r w:rsidRPr="00E27443">
        <w:t>discrimination</w:t>
      </w:r>
      <w:r w:rsidR="00C63F8F" w:rsidRPr="00E27443">
        <w:t xml:space="preserve"> </w:t>
      </w:r>
      <w:r w:rsidRPr="00E27443">
        <w:t>and</w:t>
      </w:r>
      <w:r w:rsidR="00C63F8F" w:rsidRPr="00E27443">
        <w:t xml:space="preserve"> </w:t>
      </w:r>
      <w:r w:rsidRPr="00E27443">
        <w:t>lack</w:t>
      </w:r>
      <w:r w:rsidR="00C63F8F" w:rsidRPr="00E27443">
        <w:t xml:space="preserve"> </w:t>
      </w:r>
      <w:r w:rsidRPr="00E27443">
        <w:t>of</w:t>
      </w:r>
      <w:r w:rsidR="00C63F8F" w:rsidRPr="00E27443">
        <w:t xml:space="preserve"> </w:t>
      </w:r>
      <w:r w:rsidRPr="00E27443">
        <w:t>accessibility.</w:t>
      </w:r>
    </w:p>
    <w:p w:rsidR="00321ADA" w:rsidRPr="00E27443" w:rsidRDefault="00321ADA" w:rsidP="00F26C3C">
      <w:pPr>
        <w:pStyle w:val="SingleTxtG"/>
        <w:numPr>
          <w:ilvl w:val="0"/>
          <w:numId w:val="20"/>
        </w:numPr>
        <w:tabs>
          <w:tab w:val="left" w:pos="1843"/>
        </w:tabs>
        <w:ind w:left="1134" w:firstLine="0"/>
      </w:pPr>
      <w:r w:rsidRPr="00E27443">
        <w:t>The</w:t>
      </w:r>
      <w:r w:rsidR="00C63F8F" w:rsidRPr="00E27443">
        <w:t xml:space="preserve"> </w:t>
      </w:r>
      <w:r w:rsidRPr="00E27443">
        <w:t>report</w:t>
      </w:r>
      <w:r w:rsidR="00C63F8F" w:rsidRPr="00E27443">
        <w:t xml:space="preserve"> </w:t>
      </w:r>
      <w:r w:rsidRPr="00E27443">
        <w:t>also</w:t>
      </w:r>
      <w:r w:rsidR="00C63F8F" w:rsidRPr="00E27443">
        <w:t xml:space="preserve"> </w:t>
      </w:r>
      <w:r w:rsidRPr="00E27443">
        <w:t>shows</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have</w:t>
      </w:r>
      <w:r w:rsidR="00C63F8F" w:rsidRPr="00E27443">
        <w:t xml:space="preserve"> </w:t>
      </w:r>
      <w:r w:rsidRPr="00E27443">
        <w:t>a</w:t>
      </w:r>
      <w:r w:rsidR="00C63F8F" w:rsidRPr="00E27443">
        <w:t xml:space="preserve"> </w:t>
      </w:r>
      <w:r w:rsidRPr="00E27443">
        <w:t>much</w:t>
      </w:r>
      <w:r w:rsidR="00C63F8F" w:rsidRPr="00E27443">
        <w:t xml:space="preserve"> </w:t>
      </w:r>
      <w:r w:rsidRPr="00E27443">
        <w:t>lower</w:t>
      </w:r>
      <w:r w:rsidR="00C63F8F" w:rsidRPr="00E27443">
        <w:t xml:space="preserve"> </w:t>
      </w:r>
      <w:r w:rsidRPr="00E27443">
        <w:t>income</w:t>
      </w:r>
      <w:r w:rsidR="00C63F8F" w:rsidRPr="00E27443">
        <w:t xml:space="preserve"> </w:t>
      </w:r>
      <w:r w:rsidRPr="00E27443">
        <w:t>and</w:t>
      </w:r>
      <w:r w:rsidR="00C63F8F" w:rsidRPr="00E27443">
        <w:t xml:space="preserve"> </w:t>
      </w:r>
      <w:r w:rsidRPr="00E27443">
        <w:t>poorer</w:t>
      </w:r>
      <w:r w:rsidR="00C63F8F" w:rsidRPr="00E27443">
        <w:t xml:space="preserve"> </w:t>
      </w:r>
      <w:r w:rsidRPr="00E27443">
        <w:t>cash</w:t>
      </w:r>
      <w:r w:rsidR="00C63F8F" w:rsidRPr="00E27443">
        <w:t xml:space="preserve"> </w:t>
      </w:r>
      <w:r w:rsidRPr="00E27443">
        <w:t>margins</w:t>
      </w:r>
      <w:r w:rsidR="00C63F8F" w:rsidRPr="00E27443">
        <w:t xml:space="preserve"> </w:t>
      </w:r>
      <w:r w:rsidRPr="00E27443">
        <w:t>than</w:t>
      </w:r>
      <w:r w:rsidR="00C63F8F" w:rsidRPr="00E27443">
        <w:t xml:space="preserve"> </w:t>
      </w:r>
      <w:r w:rsidRPr="00E27443">
        <w:t>the</w:t>
      </w:r>
      <w:r w:rsidR="00C63F8F" w:rsidRPr="00E27443">
        <w:t xml:space="preserve"> </w:t>
      </w:r>
      <w:r w:rsidRPr="00E27443">
        <w:t>majority</w:t>
      </w:r>
      <w:r w:rsidR="00C63F8F" w:rsidRPr="00E27443">
        <w:t xml:space="preserve"> </w:t>
      </w:r>
      <w:r w:rsidRPr="00E27443">
        <w:t>of</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This</w:t>
      </w:r>
      <w:r w:rsidR="00C63F8F" w:rsidRPr="00E27443">
        <w:t xml:space="preserve"> </w:t>
      </w:r>
      <w:r w:rsidRPr="00E27443">
        <w:t>financial</w:t>
      </w:r>
      <w:r w:rsidR="00C63F8F" w:rsidRPr="00E27443">
        <w:t xml:space="preserve"> </w:t>
      </w:r>
      <w:r w:rsidRPr="00E27443">
        <w:t>difference</w:t>
      </w:r>
      <w:r w:rsidR="00C63F8F" w:rsidRPr="00E27443">
        <w:t xml:space="preserve"> </w:t>
      </w:r>
      <w:r w:rsidRPr="00E27443">
        <w:t>is</w:t>
      </w:r>
      <w:r w:rsidR="00C63F8F" w:rsidRPr="00E27443">
        <w:t xml:space="preserve"> </w:t>
      </w:r>
      <w:r w:rsidRPr="00E27443">
        <w:t>hence</w:t>
      </w:r>
      <w:r w:rsidR="00C63F8F" w:rsidRPr="00E27443">
        <w:t xml:space="preserve"> </w:t>
      </w:r>
      <w:r w:rsidRPr="00E27443">
        <w:t>a</w:t>
      </w:r>
      <w:r w:rsidR="00C63F8F" w:rsidRPr="00E27443">
        <w:t xml:space="preserve"> </w:t>
      </w:r>
      <w:r w:rsidRPr="00E27443">
        <w:t>separate</w:t>
      </w:r>
      <w:r w:rsidR="00C63F8F" w:rsidRPr="00E27443">
        <w:t xml:space="preserve"> </w:t>
      </w:r>
      <w:r w:rsidRPr="00E27443">
        <w:t>and</w:t>
      </w:r>
      <w:r w:rsidR="00C63F8F" w:rsidRPr="00E27443">
        <w:t xml:space="preserve"> </w:t>
      </w:r>
      <w:r w:rsidRPr="00E27443">
        <w:t>important</w:t>
      </w:r>
      <w:r w:rsidR="00C63F8F" w:rsidRPr="00E27443">
        <w:t xml:space="preserve"> </w:t>
      </w:r>
      <w:r w:rsidRPr="00E27443">
        <w:t>determining</w:t>
      </w:r>
      <w:r w:rsidR="00C63F8F" w:rsidRPr="00E27443">
        <w:t xml:space="preserve"> </w:t>
      </w:r>
      <w:r w:rsidRPr="00E27443">
        <w:t>factor</w:t>
      </w:r>
      <w:r w:rsidR="00C63F8F" w:rsidRPr="00E27443">
        <w:t xml:space="preserve"> </w:t>
      </w:r>
      <w:r w:rsidRPr="00E27443">
        <w:t>for</w:t>
      </w:r>
      <w:r w:rsidR="00C63F8F" w:rsidRPr="00E27443">
        <w:t xml:space="preserve"> </w:t>
      </w:r>
      <w:r w:rsidRPr="00E27443">
        <w:t>impaired</w:t>
      </w:r>
      <w:r w:rsidR="00C63F8F" w:rsidRPr="00E27443">
        <w:t xml:space="preserve"> </w:t>
      </w:r>
      <w:r w:rsidRPr="00E27443">
        <w:t>health</w:t>
      </w:r>
      <w:r w:rsidR="00C63F8F" w:rsidRPr="00E27443">
        <w:t xml:space="preserve"> </w:t>
      </w:r>
      <w:r w:rsidRPr="00E27443">
        <w:t>in</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report</w:t>
      </w:r>
      <w:r w:rsidR="00C63F8F" w:rsidRPr="00E27443">
        <w:t xml:space="preserve"> </w:t>
      </w:r>
      <w:r w:rsidRPr="00E27443">
        <w:t>also</w:t>
      </w:r>
      <w:r w:rsidR="00C63F8F" w:rsidRPr="00E27443">
        <w:t xml:space="preserve"> </w:t>
      </w:r>
      <w:r w:rsidRPr="00E27443">
        <w:t>highlights</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a</w:t>
      </w:r>
      <w:r w:rsidR="00C63F8F" w:rsidRPr="00E27443">
        <w:t xml:space="preserve"> </w:t>
      </w:r>
      <w:r w:rsidRPr="00E27443">
        <w:t>person</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may</w:t>
      </w:r>
      <w:r w:rsidR="00C63F8F" w:rsidRPr="00E27443">
        <w:t xml:space="preserve"> </w:t>
      </w:r>
      <w:r w:rsidRPr="00E27443">
        <w:t>also</w:t>
      </w:r>
      <w:r w:rsidR="00C63F8F" w:rsidRPr="00E27443">
        <w:t xml:space="preserve"> </w:t>
      </w:r>
      <w:r w:rsidRPr="00E27443">
        <w:t>have</w:t>
      </w:r>
      <w:r w:rsidR="00C63F8F" w:rsidRPr="00E27443">
        <w:t xml:space="preserve"> </w:t>
      </w:r>
      <w:r w:rsidRPr="00E27443">
        <w:t>additional</w:t>
      </w:r>
      <w:r w:rsidR="00C63F8F" w:rsidRPr="00E27443">
        <w:t xml:space="preserve"> </w:t>
      </w:r>
      <w:r w:rsidRPr="00E27443">
        <w:t>expenditure,</w:t>
      </w:r>
      <w:r w:rsidR="00C63F8F" w:rsidRPr="00E27443">
        <w:t xml:space="preserve"> </w:t>
      </w:r>
      <w:r w:rsidRPr="00E27443">
        <w:t>for</w:t>
      </w:r>
      <w:r w:rsidR="00C63F8F" w:rsidRPr="00E27443">
        <w:t xml:space="preserve"> </w:t>
      </w:r>
      <w:r w:rsidRPr="00E27443">
        <w:t>example</w:t>
      </w:r>
      <w:r w:rsidR="00C63F8F" w:rsidRPr="00E27443">
        <w:t xml:space="preserve"> </w:t>
      </w:r>
      <w:r w:rsidRPr="00E27443">
        <w:t>for</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medication,</w:t>
      </w:r>
      <w:r w:rsidR="00C63F8F" w:rsidRPr="00E27443">
        <w:t xml:space="preserve"> </w:t>
      </w:r>
      <w:r w:rsidRPr="00E27443">
        <w:t>adaptation,</w:t>
      </w:r>
      <w:r w:rsidR="00C63F8F" w:rsidRPr="00E27443">
        <w:t xml:space="preserve"> </w:t>
      </w:r>
      <w:r w:rsidRPr="00E27443">
        <w:t>assistance</w:t>
      </w:r>
      <w:r w:rsidR="00C63F8F" w:rsidRPr="00E27443">
        <w:t xml:space="preserve"> </w:t>
      </w:r>
      <w:r w:rsidRPr="00E27443">
        <w:t>with</w:t>
      </w:r>
      <w:r w:rsidR="00C63F8F" w:rsidRPr="00E27443">
        <w:t xml:space="preserve"> </w:t>
      </w:r>
      <w:r w:rsidRPr="00E27443">
        <w:t>practical</w:t>
      </w:r>
      <w:r w:rsidR="00C63F8F" w:rsidRPr="00E27443">
        <w:t xml:space="preserve"> </w:t>
      </w:r>
      <w:r w:rsidRPr="00E27443">
        <w:t>duties,</w:t>
      </w:r>
      <w:r w:rsidR="00C63F8F" w:rsidRPr="00E27443">
        <w:t xml:space="preserve"> </w:t>
      </w:r>
      <w:r w:rsidRPr="00E27443">
        <w:t>etc.</w:t>
      </w:r>
    </w:p>
    <w:p w:rsidR="00321ADA" w:rsidRPr="00E27443" w:rsidRDefault="00321ADA" w:rsidP="00230C11">
      <w:pPr>
        <w:pStyle w:val="SingleTxtG"/>
        <w:numPr>
          <w:ilvl w:val="0"/>
          <w:numId w:val="20"/>
        </w:numPr>
        <w:tabs>
          <w:tab w:val="left" w:pos="1843"/>
        </w:tabs>
        <w:ind w:left="1134" w:firstLine="0"/>
      </w:pPr>
      <w:r w:rsidRPr="00230C11">
        <w:t>Disability</w:t>
      </w:r>
      <w:r w:rsidR="00C63F8F" w:rsidRPr="00230C11">
        <w:t xml:space="preserve"> </w:t>
      </w:r>
      <w:r w:rsidRPr="00230C11">
        <w:t>compensation</w:t>
      </w:r>
      <w:r w:rsidR="00C63F8F" w:rsidRPr="00E27443">
        <w:t xml:space="preserve"> </w:t>
      </w:r>
      <w:r w:rsidRPr="00E27443">
        <w:t>is</w:t>
      </w:r>
      <w:r w:rsidR="00C63F8F" w:rsidRPr="00E27443">
        <w:t xml:space="preserve"> </w:t>
      </w:r>
      <w:r w:rsidRPr="00E27443">
        <w:t>a</w:t>
      </w:r>
      <w:r w:rsidR="00C63F8F" w:rsidRPr="00E27443">
        <w:t xml:space="preserve"> </w:t>
      </w:r>
      <w:r w:rsidRPr="00E27443">
        <w:t>form</w:t>
      </w:r>
      <w:r w:rsidR="00C63F8F" w:rsidRPr="00E27443">
        <w:t xml:space="preserve"> </w:t>
      </w:r>
      <w:r w:rsidRPr="00E27443">
        <w:t>of</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that</w:t>
      </w:r>
      <w:r w:rsidR="00C63F8F" w:rsidRPr="00E27443">
        <w:t xml:space="preserve"> </w:t>
      </w:r>
      <w:r w:rsidRPr="00E27443">
        <w:t>is</w:t>
      </w:r>
      <w:r w:rsidR="00C63F8F" w:rsidRPr="00E27443">
        <w:t xml:space="preserve"> </w:t>
      </w:r>
      <w:r w:rsidRPr="00E27443">
        <w:t>intended</w:t>
      </w:r>
      <w:r w:rsidR="00C63F8F" w:rsidRPr="00E27443">
        <w:t xml:space="preserve"> </w:t>
      </w:r>
      <w:r w:rsidRPr="00E27443">
        <w:t>in</w:t>
      </w:r>
      <w:r w:rsidR="00C63F8F" w:rsidRPr="00E27443">
        <w:t xml:space="preserve"> </w:t>
      </w:r>
      <w:r w:rsidRPr="00E27443">
        <w:t>principle</w:t>
      </w:r>
      <w:r w:rsidR="00C63F8F" w:rsidRPr="00E27443">
        <w:t xml:space="preserve"> </w:t>
      </w:r>
      <w:r w:rsidRPr="00E27443">
        <w:t>to</w:t>
      </w:r>
      <w:r w:rsidR="00C63F8F" w:rsidRPr="00E27443">
        <w:t xml:space="preserve"> </w:t>
      </w:r>
      <w:r w:rsidRPr="00E27443">
        <w:t>cover</w:t>
      </w:r>
      <w:r w:rsidR="00C63F8F" w:rsidRPr="00E27443">
        <w:t xml:space="preserve"> </w:t>
      </w:r>
      <w:r w:rsidRPr="00E27443">
        <w:t>those</w:t>
      </w:r>
      <w:r w:rsidR="00C63F8F" w:rsidRPr="00E27443">
        <w:t xml:space="preserve"> </w:t>
      </w:r>
      <w:r w:rsidRPr="00E27443">
        <w:t>additional</w:t>
      </w:r>
      <w:r w:rsidR="00C63F8F" w:rsidRPr="00E27443">
        <w:t xml:space="preserve"> </w:t>
      </w:r>
      <w:r w:rsidRPr="00E27443">
        <w:t>costs</w:t>
      </w:r>
      <w:r w:rsidR="00C63F8F" w:rsidRPr="00E27443">
        <w:t xml:space="preserve"> </w:t>
      </w:r>
      <w:r w:rsidRPr="00E27443">
        <w:t>a</w:t>
      </w:r>
      <w:r w:rsidR="00C63F8F" w:rsidRPr="00E27443">
        <w:t xml:space="preserve"> </w:t>
      </w:r>
      <w:r w:rsidRPr="00E27443">
        <w:t>person</w:t>
      </w:r>
      <w:r w:rsidR="00C63F8F" w:rsidRPr="00E27443">
        <w:t xml:space="preserve"> </w:t>
      </w:r>
      <w:r w:rsidRPr="00E27443">
        <w:t>may</w:t>
      </w:r>
      <w:r w:rsidR="00C63F8F" w:rsidRPr="00E27443">
        <w:t xml:space="preserve"> </w:t>
      </w:r>
      <w:r w:rsidRPr="00E27443">
        <w:t>have</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disability.</w:t>
      </w:r>
      <w:r w:rsidR="00C63F8F" w:rsidRPr="00E27443">
        <w:t xml:space="preserve"> </w:t>
      </w:r>
      <w:r w:rsidRPr="00E27443">
        <w:t>A</w:t>
      </w:r>
      <w:r w:rsidR="00C63F8F" w:rsidRPr="00E27443">
        <w:t xml:space="preserve"> </w:t>
      </w:r>
      <w:r w:rsidRPr="00E27443">
        <w:t>person</w:t>
      </w:r>
      <w:r w:rsidR="00C63F8F" w:rsidRPr="00E27443">
        <w:t xml:space="preserve"> </w:t>
      </w:r>
      <w:r w:rsidRPr="00E27443">
        <w:t>can</w:t>
      </w:r>
      <w:r w:rsidR="00C63F8F" w:rsidRPr="00E27443">
        <w:t xml:space="preserve"> </w:t>
      </w:r>
      <w:r w:rsidRPr="00E27443">
        <w:t>also</w:t>
      </w:r>
      <w:r w:rsidR="00C63F8F" w:rsidRPr="00E27443">
        <w:t xml:space="preserve"> </w:t>
      </w:r>
      <w:r w:rsidRPr="00E27443">
        <w:t>receive</w:t>
      </w:r>
      <w:r w:rsidR="00C63F8F" w:rsidRPr="00E27443">
        <w:t xml:space="preserve"> </w:t>
      </w:r>
      <w:r w:rsidRPr="00E27443">
        <w:t>disability</w:t>
      </w:r>
      <w:r w:rsidR="00C63F8F" w:rsidRPr="00E27443">
        <w:t xml:space="preserve"> </w:t>
      </w:r>
      <w:r w:rsidRPr="00E27443">
        <w:t>compensation</w:t>
      </w:r>
      <w:r w:rsidR="00C63F8F" w:rsidRPr="00E27443">
        <w:t xml:space="preserve"> </w:t>
      </w:r>
      <w:r w:rsidRPr="00E27443">
        <w:t>due</w:t>
      </w:r>
      <w:r w:rsidR="00C63F8F" w:rsidRPr="00E27443">
        <w:t xml:space="preserve"> </w:t>
      </w:r>
      <w:r w:rsidRPr="00E27443">
        <w:t>to</w:t>
      </w:r>
      <w:r w:rsidR="00C63F8F" w:rsidRPr="00E27443">
        <w:t xml:space="preserve"> </w:t>
      </w:r>
      <w:r w:rsidRPr="00E27443">
        <w:t>a</w:t>
      </w:r>
      <w:r w:rsidR="00C63F8F" w:rsidRPr="00E27443">
        <w:t xml:space="preserve"> </w:t>
      </w:r>
      <w:r w:rsidRPr="00E27443">
        <w:t>need</w:t>
      </w:r>
      <w:r w:rsidR="00C63F8F" w:rsidRPr="00E27443">
        <w:t xml:space="preserve"> </w:t>
      </w:r>
      <w:r w:rsidRPr="00E27443">
        <w:t>for</w:t>
      </w:r>
      <w:r w:rsidR="00C63F8F" w:rsidRPr="00E27443">
        <w:t xml:space="preserve"> </w:t>
      </w:r>
      <w:r w:rsidRPr="00E27443">
        <w:t>assistance.</w:t>
      </w:r>
      <w:r w:rsidR="00C63F8F" w:rsidRPr="00E27443">
        <w:t xml:space="preserve"> </w:t>
      </w:r>
      <w:r w:rsidRPr="00E27443">
        <w:t>This</w:t>
      </w:r>
      <w:r w:rsidR="00C63F8F" w:rsidRPr="00E27443">
        <w:t xml:space="preserve"> </w:t>
      </w:r>
      <w:r w:rsidRPr="00E27443">
        <w:t>compensation</w:t>
      </w:r>
      <w:r w:rsidR="00C63F8F" w:rsidRPr="00E27443">
        <w:t xml:space="preserve"> </w:t>
      </w:r>
      <w:r w:rsidRPr="00E27443">
        <w:t>promotes</w:t>
      </w:r>
      <w:r w:rsidR="00C63F8F" w:rsidRPr="00E27443">
        <w:t xml:space="preserve"> </w:t>
      </w:r>
      <w:r w:rsidRPr="00E27443">
        <w:t>equality</w:t>
      </w:r>
      <w:r w:rsidR="00C63F8F" w:rsidRPr="00E27443">
        <w:t xml:space="preserve"> </w:t>
      </w:r>
      <w:r w:rsidRPr="00E27443">
        <w:t>of</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between</w:t>
      </w:r>
      <w:r w:rsidR="00C63F8F" w:rsidRPr="00E27443">
        <w:t xml:space="preserve"> </w:t>
      </w:r>
      <w:r w:rsidRPr="00E27443">
        <w:t>persons</w:t>
      </w:r>
      <w:r w:rsidR="00C63F8F" w:rsidRPr="00E27443">
        <w:t xml:space="preserve"> </w:t>
      </w:r>
      <w:r w:rsidRPr="00E27443">
        <w:t>with</w:t>
      </w:r>
      <w:r w:rsidR="00C63F8F" w:rsidRPr="00E27443">
        <w:t xml:space="preserve"> </w:t>
      </w:r>
      <w:r w:rsidRPr="00E27443">
        <w:t>and</w:t>
      </w:r>
      <w:r w:rsidR="00C63F8F" w:rsidRPr="00E27443">
        <w:t xml:space="preserve"> </w:t>
      </w:r>
      <w:r w:rsidRPr="00E27443">
        <w:t>without</w:t>
      </w:r>
      <w:r w:rsidR="00C63F8F" w:rsidRPr="00E27443">
        <w:t xml:space="preserve"> </w:t>
      </w:r>
      <w:r w:rsidRPr="00E27443">
        <w:t>disabilities</w:t>
      </w:r>
      <w:r w:rsidR="00C63F8F" w:rsidRPr="00E27443">
        <w:t xml:space="preserve"> </w:t>
      </w:r>
      <w:r w:rsidRPr="00E27443">
        <w:t>by</w:t>
      </w:r>
      <w:r w:rsidR="00C63F8F" w:rsidRPr="00E27443">
        <w:t xml:space="preserve"> </w:t>
      </w:r>
      <w:r w:rsidRPr="00E27443">
        <w:t>compensating</w:t>
      </w:r>
      <w:r w:rsidR="00C63F8F" w:rsidRPr="00E27443">
        <w:t xml:space="preserve"> </w:t>
      </w:r>
      <w:r w:rsidRPr="00E27443">
        <w:t>for</w:t>
      </w:r>
      <w:r w:rsidR="00C63F8F" w:rsidRPr="00E27443">
        <w:t xml:space="preserve"> </w:t>
      </w:r>
      <w:r w:rsidRPr="00E27443">
        <w:t>additional</w:t>
      </w:r>
      <w:r w:rsidR="00C63F8F" w:rsidRPr="00E27443">
        <w:t xml:space="preserve"> </w:t>
      </w:r>
      <w:r w:rsidRPr="00E27443">
        <w:t>costs</w:t>
      </w:r>
      <w:r w:rsidR="00C63F8F" w:rsidRPr="00E27443">
        <w:t xml:space="preserve"> </w:t>
      </w:r>
      <w:r w:rsidRPr="00E27443">
        <w:t>that</w:t>
      </w:r>
      <w:r w:rsidR="00C63F8F" w:rsidRPr="00E27443">
        <w:t xml:space="preserve"> </w:t>
      </w:r>
      <w:r w:rsidRPr="00E27443">
        <w:t>a</w:t>
      </w:r>
      <w:r w:rsidR="00C63F8F" w:rsidRPr="00E27443">
        <w:t xml:space="preserve"> </w:t>
      </w:r>
      <w:r w:rsidRPr="00E27443">
        <w:t>disability</w:t>
      </w:r>
      <w:r w:rsidR="00C63F8F" w:rsidRPr="00E27443">
        <w:t xml:space="preserve"> </w:t>
      </w:r>
      <w:r w:rsidRPr="00E27443">
        <w:t>can</w:t>
      </w:r>
      <w:r w:rsidR="00C63F8F" w:rsidRPr="00E27443">
        <w:t xml:space="preserve"> </w:t>
      </w:r>
      <w:r w:rsidRPr="00E27443">
        <w:t>entail.</w:t>
      </w:r>
      <w:r w:rsidR="00C63F8F" w:rsidRPr="00E27443">
        <w:t xml:space="preserve"> </w:t>
      </w:r>
    </w:p>
    <w:p w:rsidR="00321ADA" w:rsidRPr="00E27443" w:rsidRDefault="00321ADA" w:rsidP="00230C11">
      <w:pPr>
        <w:pStyle w:val="SingleTxtG"/>
        <w:numPr>
          <w:ilvl w:val="0"/>
          <w:numId w:val="20"/>
        </w:numPr>
        <w:tabs>
          <w:tab w:val="left" w:pos="1843"/>
        </w:tabs>
        <w:ind w:left="1134" w:firstLine="0"/>
      </w:pPr>
      <w:r w:rsidRPr="00E27443">
        <w:t>A</w:t>
      </w:r>
      <w:r w:rsidR="00C63F8F" w:rsidRPr="00E27443">
        <w:t xml:space="preserve"> </w:t>
      </w:r>
      <w:r w:rsidRPr="00E27443">
        <w:t>child</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often</w:t>
      </w:r>
      <w:r w:rsidR="00C63F8F" w:rsidRPr="00E27443">
        <w:t xml:space="preserve"> </w:t>
      </w:r>
      <w:r w:rsidRPr="00E27443">
        <w:t>requires</w:t>
      </w:r>
      <w:r w:rsidR="00C63F8F" w:rsidRPr="00E27443">
        <w:t xml:space="preserve"> </w:t>
      </w:r>
      <w:r w:rsidRPr="00E27443">
        <w:t>significant</w:t>
      </w:r>
      <w:r w:rsidR="00C63F8F" w:rsidRPr="00E27443">
        <w:t xml:space="preserve"> </w:t>
      </w:r>
      <w:r w:rsidRPr="00E27443">
        <w:t>input</w:t>
      </w:r>
      <w:r w:rsidR="00C63F8F" w:rsidRPr="00E27443">
        <w:t xml:space="preserve"> </w:t>
      </w:r>
      <w:r w:rsidRPr="00E27443">
        <w:t>that</w:t>
      </w:r>
      <w:r w:rsidR="00C63F8F" w:rsidRPr="00E27443">
        <w:t xml:space="preserve"> </w:t>
      </w:r>
      <w:r w:rsidRPr="00E27443">
        <w:t>takes</w:t>
      </w:r>
      <w:r w:rsidR="00C63F8F" w:rsidRPr="00E27443">
        <w:t xml:space="preserve"> </w:t>
      </w:r>
      <w:r w:rsidRPr="00E27443">
        <w:t>up</w:t>
      </w:r>
      <w:r w:rsidR="00C63F8F" w:rsidRPr="00E27443">
        <w:t xml:space="preserve"> </w:t>
      </w:r>
      <w:r w:rsidRPr="00E27443">
        <w:t>the</w:t>
      </w:r>
      <w:r w:rsidR="00C63F8F" w:rsidRPr="00E27443">
        <w:t xml:space="preserve"> </w:t>
      </w:r>
      <w:r w:rsidRPr="00E27443">
        <w:t>parents</w:t>
      </w:r>
      <w:r w:rsidR="00C63F8F" w:rsidRPr="00E27443">
        <w:t xml:space="preserve">’ </w:t>
      </w:r>
      <w:r w:rsidRPr="00E27443">
        <w:t>time.</w:t>
      </w:r>
      <w:r w:rsidR="00C63F8F" w:rsidRPr="00E27443">
        <w:t xml:space="preserve"> </w:t>
      </w:r>
      <w:r w:rsidRPr="00E27443">
        <w:t>There</w:t>
      </w:r>
      <w:r w:rsidR="00C63F8F" w:rsidRPr="00E27443">
        <w:t xml:space="preserve"> </w:t>
      </w:r>
      <w:r w:rsidRPr="00E27443">
        <w:t>can</w:t>
      </w:r>
      <w:r w:rsidR="00C63F8F" w:rsidRPr="00E27443">
        <w:t xml:space="preserve"> </w:t>
      </w:r>
      <w:r w:rsidRPr="00E27443">
        <w:t>be</w:t>
      </w:r>
      <w:r w:rsidR="00C63F8F" w:rsidRPr="00E27443">
        <w:t xml:space="preserve"> </w:t>
      </w:r>
      <w:r w:rsidRPr="00E27443">
        <w:t>a</w:t>
      </w:r>
      <w:r w:rsidR="00C63F8F" w:rsidRPr="00E27443">
        <w:t xml:space="preserve"> </w:t>
      </w:r>
      <w:r w:rsidRPr="00E27443">
        <w:t>considerable</w:t>
      </w:r>
      <w:r w:rsidR="00C63F8F" w:rsidRPr="00E27443">
        <w:t xml:space="preserve"> </w:t>
      </w:r>
      <w:r w:rsidRPr="00E27443">
        <w:t>need</w:t>
      </w:r>
      <w:r w:rsidR="00C63F8F" w:rsidRPr="00E27443">
        <w:t xml:space="preserve"> </w:t>
      </w:r>
      <w:r w:rsidRPr="00E27443">
        <w:t>for</w:t>
      </w:r>
      <w:r w:rsidR="00C63F8F" w:rsidRPr="00E27443">
        <w:t xml:space="preserve"> </w:t>
      </w:r>
      <w:r w:rsidRPr="00E27443">
        <w:t>care</w:t>
      </w:r>
      <w:r w:rsidR="00C63F8F" w:rsidRPr="00E27443">
        <w:t xml:space="preserve"> </w:t>
      </w:r>
      <w:r w:rsidRPr="00E27443">
        <w:t>and</w:t>
      </w:r>
      <w:r w:rsidR="00C63F8F" w:rsidRPr="00E27443">
        <w:t xml:space="preserve"> </w:t>
      </w:r>
      <w:r w:rsidRPr="00E27443">
        <w:t>supervision.</w:t>
      </w:r>
      <w:r w:rsidR="00C63F8F" w:rsidRPr="00E27443">
        <w:t xml:space="preserve"> </w:t>
      </w:r>
      <w:r w:rsidRPr="00E27443">
        <w:t>In</w:t>
      </w:r>
      <w:r w:rsidR="00C63F8F" w:rsidRPr="00E27443">
        <w:t xml:space="preserve"> </w:t>
      </w:r>
      <w:r w:rsidRPr="00E27443">
        <w:t>addition,</w:t>
      </w:r>
      <w:r w:rsidR="00C63F8F" w:rsidRPr="00E27443">
        <w:t xml:space="preserve"> </w:t>
      </w:r>
      <w:r w:rsidRPr="00E27443">
        <w:t>the</w:t>
      </w:r>
      <w:r w:rsidR="00C63F8F" w:rsidRPr="00E27443">
        <w:t xml:space="preserve"> </w:t>
      </w:r>
      <w:r w:rsidRPr="00E27443">
        <w:t>parents</w:t>
      </w:r>
      <w:r w:rsidR="00C63F8F" w:rsidRPr="00E27443">
        <w:t xml:space="preserve"> </w:t>
      </w:r>
      <w:r w:rsidRPr="00E27443">
        <w:t>can</w:t>
      </w:r>
      <w:r w:rsidR="00C63F8F" w:rsidRPr="00E27443">
        <w:t xml:space="preserve"> </w:t>
      </w:r>
      <w:r w:rsidRPr="00E27443">
        <w:t>incur</w:t>
      </w:r>
      <w:r w:rsidR="00C63F8F" w:rsidRPr="00E27443">
        <w:t xml:space="preserve"> </w:t>
      </w:r>
      <w:r w:rsidRPr="00E27443">
        <w:t>various</w:t>
      </w:r>
      <w:r w:rsidR="00C63F8F" w:rsidRPr="00E27443">
        <w:t xml:space="preserve"> </w:t>
      </w:r>
      <w:r w:rsidRPr="00E27443">
        <w:t>additional</w:t>
      </w:r>
      <w:r w:rsidR="00C63F8F" w:rsidRPr="00E27443">
        <w:t xml:space="preserve"> </w:t>
      </w:r>
      <w:r w:rsidRPr="00E27443">
        <w:t>costs.</w:t>
      </w:r>
      <w:r w:rsidR="00C63F8F" w:rsidRPr="00E27443">
        <w:t xml:space="preserve"> </w:t>
      </w:r>
      <w:r w:rsidRPr="00E27443">
        <w:t>For</w:t>
      </w:r>
      <w:r w:rsidR="00C63F8F" w:rsidRPr="00E27443">
        <w:t xml:space="preserve"> </w:t>
      </w:r>
      <w:r w:rsidRPr="00E27443">
        <w:t>this</w:t>
      </w:r>
      <w:r w:rsidR="00C63F8F" w:rsidRPr="00E27443">
        <w:t xml:space="preserve"> </w:t>
      </w:r>
      <w:r w:rsidRPr="00E27443">
        <w:t>reason</w:t>
      </w:r>
      <w:r w:rsidR="00C63F8F" w:rsidRPr="00E27443">
        <w:t xml:space="preserve"> </w:t>
      </w:r>
      <w:r w:rsidRPr="00E27443">
        <w:t>there</w:t>
      </w:r>
      <w:r w:rsidR="00C63F8F" w:rsidRPr="00E27443">
        <w:t xml:space="preserve"> </w:t>
      </w:r>
      <w:r w:rsidRPr="00E27443">
        <w:t>is</w:t>
      </w:r>
      <w:r w:rsidR="00C63F8F" w:rsidRPr="00E27443">
        <w:t xml:space="preserve"> </w:t>
      </w:r>
      <w:r w:rsidRPr="00E27443">
        <w:t>the</w:t>
      </w:r>
      <w:r w:rsidR="00C63F8F" w:rsidRPr="00E27443">
        <w:t xml:space="preserve"> </w:t>
      </w:r>
      <w:r w:rsidRPr="00230C11">
        <w:t>care</w:t>
      </w:r>
      <w:r w:rsidR="00C63F8F" w:rsidRPr="00230C11">
        <w:t xml:space="preserve"> </w:t>
      </w:r>
      <w:r w:rsidRPr="00230C11">
        <w:t>grant</w:t>
      </w:r>
      <w:r w:rsidRPr="00E27443">
        <w:t>,</w:t>
      </w:r>
      <w:r w:rsidR="00C63F8F" w:rsidRPr="00E27443">
        <w:t xml:space="preserve"> </w:t>
      </w:r>
      <w:r w:rsidRPr="00E27443">
        <w:t>for</w:t>
      </w:r>
      <w:r w:rsidR="00C63F8F" w:rsidRPr="00E27443">
        <w:t xml:space="preserve"> </w:t>
      </w:r>
      <w:r w:rsidRPr="00E27443">
        <w:t>example,</w:t>
      </w:r>
      <w:r w:rsidR="00C63F8F" w:rsidRPr="00E27443">
        <w:t xml:space="preserve"> </w:t>
      </w:r>
      <w:r w:rsidRPr="00E27443">
        <w:t>a</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that</w:t>
      </w:r>
      <w:r w:rsidR="00C63F8F" w:rsidRPr="00E27443">
        <w:t xml:space="preserve"> </w:t>
      </w:r>
      <w:r w:rsidRPr="00E27443">
        <w:t>varies</w:t>
      </w:r>
      <w:r w:rsidR="00C63F8F" w:rsidRPr="00E27443">
        <w:t xml:space="preserve"> </w:t>
      </w:r>
      <w:r w:rsidRPr="00E27443">
        <w:t>in</w:t>
      </w:r>
      <w:r w:rsidR="00C63F8F" w:rsidRPr="00E27443">
        <w:t xml:space="preserve"> </w:t>
      </w:r>
      <w:r w:rsidRPr="00E27443">
        <w:t>size</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size</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needs.</w:t>
      </w:r>
      <w:r w:rsidR="00C63F8F" w:rsidRPr="00E27443">
        <w:t xml:space="preserve"> </w:t>
      </w:r>
      <w:r w:rsidRPr="00E27443">
        <w:t>The</w:t>
      </w:r>
      <w:r w:rsidR="00C63F8F" w:rsidRPr="00E27443">
        <w:t xml:space="preserve"> </w:t>
      </w:r>
      <w:r w:rsidRPr="00E27443">
        <w:t>care</w:t>
      </w:r>
      <w:r w:rsidR="00C63F8F" w:rsidRPr="00E27443">
        <w:t xml:space="preserve"> </w:t>
      </w:r>
      <w:r w:rsidRPr="00E27443">
        <w:t>grant</w:t>
      </w:r>
      <w:r w:rsidR="00C63F8F" w:rsidRPr="00E27443">
        <w:t xml:space="preserve"> </w:t>
      </w:r>
      <w:r w:rsidRPr="00E27443">
        <w:t>can</w:t>
      </w:r>
      <w:r w:rsidR="00C63F8F" w:rsidRPr="00E27443">
        <w:t xml:space="preserve"> </w:t>
      </w:r>
      <w:r w:rsidRPr="00E27443">
        <w:t>also</w:t>
      </w:r>
      <w:r w:rsidR="00C63F8F" w:rsidRPr="00E27443">
        <w:t xml:space="preserve"> </w:t>
      </w:r>
      <w:r w:rsidRPr="00E27443">
        <w:t>provide</w:t>
      </w:r>
      <w:r w:rsidR="00C63F8F" w:rsidRPr="00E27443">
        <w:t xml:space="preserve"> </w:t>
      </w:r>
      <w:r w:rsidRPr="00E27443">
        <w:t>some</w:t>
      </w:r>
      <w:r w:rsidR="00C63F8F" w:rsidRPr="00E27443">
        <w:t xml:space="preserve"> </w:t>
      </w:r>
      <w:r w:rsidRPr="00E27443">
        <w:t>compensation</w:t>
      </w:r>
      <w:r w:rsidR="00C63F8F" w:rsidRPr="00E27443">
        <w:t xml:space="preserve"> </w:t>
      </w:r>
      <w:r w:rsidRPr="00E27443">
        <w:t>for</w:t>
      </w:r>
      <w:r w:rsidR="00C63F8F" w:rsidRPr="00E27443">
        <w:t xml:space="preserve"> </w:t>
      </w:r>
      <w:r w:rsidRPr="00E27443">
        <w:t>the</w:t>
      </w:r>
      <w:r w:rsidR="00C63F8F" w:rsidRPr="00E27443">
        <w:t xml:space="preserve"> </w:t>
      </w:r>
      <w:r w:rsidRPr="00E27443">
        <w:t>loss</w:t>
      </w:r>
      <w:r w:rsidR="00C63F8F" w:rsidRPr="00E27443">
        <w:t xml:space="preserve"> </w:t>
      </w:r>
      <w:r w:rsidRPr="00E27443">
        <w:t>of</w:t>
      </w:r>
      <w:r w:rsidR="00C63F8F" w:rsidRPr="00E27443">
        <w:t xml:space="preserve"> </w:t>
      </w:r>
      <w:r w:rsidRPr="00E27443">
        <w:t>income</w:t>
      </w:r>
      <w:r w:rsidR="00C63F8F" w:rsidRPr="00E27443">
        <w:t xml:space="preserve"> </w:t>
      </w:r>
      <w:r w:rsidRPr="00E27443">
        <w:t>entailed</w:t>
      </w:r>
      <w:r w:rsidR="00C63F8F" w:rsidRPr="00E27443">
        <w:t xml:space="preserve"> </w:t>
      </w:r>
      <w:r w:rsidRPr="00E27443">
        <w:t>by</w:t>
      </w:r>
      <w:r w:rsidR="00C63F8F" w:rsidRPr="00E27443">
        <w:t xml:space="preserve"> </w:t>
      </w:r>
      <w:r w:rsidRPr="00E27443">
        <w:t>caring</w:t>
      </w:r>
      <w:r w:rsidR="00C63F8F" w:rsidRPr="00E27443">
        <w:t xml:space="preserve"> </w:t>
      </w:r>
      <w:r w:rsidRPr="00E27443">
        <w:t>for</w:t>
      </w:r>
      <w:r w:rsidR="00C63F8F" w:rsidRPr="00E27443">
        <w:t xml:space="preserve"> </w:t>
      </w:r>
      <w:r w:rsidRPr="00E27443">
        <w:t>a</w:t>
      </w:r>
      <w:r w:rsidR="00C63F8F" w:rsidRPr="00E27443">
        <w:t xml:space="preserve"> </w:t>
      </w:r>
      <w:r w:rsidRPr="00E27443">
        <w:t>child</w:t>
      </w:r>
      <w:r w:rsidR="00C63F8F" w:rsidRPr="00E27443">
        <w:t xml:space="preserve"> </w:t>
      </w:r>
      <w:r w:rsidRPr="00E27443">
        <w:t>with</w:t>
      </w:r>
      <w:r w:rsidR="00C63F8F" w:rsidRPr="00E27443">
        <w:t xml:space="preserve"> </w:t>
      </w:r>
      <w:r w:rsidRPr="00E27443">
        <w:t>a</w:t>
      </w:r>
      <w:r w:rsidR="00C63F8F" w:rsidRPr="00E27443">
        <w:t xml:space="preserve"> </w:t>
      </w:r>
      <w:r w:rsidRPr="00E27443">
        <w:t>disability.</w:t>
      </w:r>
      <w:r w:rsidR="00C63F8F" w:rsidRPr="00E27443">
        <w:t xml:space="preserve"> </w:t>
      </w:r>
      <w:r w:rsidRPr="00E27443">
        <w:t>The</w:t>
      </w:r>
      <w:r w:rsidR="00C63F8F" w:rsidRPr="00E27443">
        <w:t xml:space="preserve"> </w:t>
      </w:r>
      <w:r w:rsidRPr="00E27443">
        <w:t>right</w:t>
      </w:r>
      <w:r w:rsidR="00C63F8F" w:rsidRPr="00E27443">
        <w:t xml:space="preserve"> </w:t>
      </w:r>
      <w:r w:rsidRPr="00E27443">
        <w:t>of</w:t>
      </w:r>
      <w:r w:rsidR="00C63F8F" w:rsidRPr="00E27443">
        <w:t xml:space="preserve"> </w:t>
      </w:r>
      <w:r w:rsidRPr="00E27443">
        <w:t>children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grow</w:t>
      </w:r>
      <w:r w:rsidR="00C63F8F" w:rsidRPr="00E27443">
        <w:t xml:space="preserve"> </w:t>
      </w:r>
      <w:r w:rsidRPr="00E27443">
        <w:t>up</w:t>
      </w:r>
      <w:r w:rsidR="00C63F8F" w:rsidRPr="00E27443">
        <w:t xml:space="preserve"> </w:t>
      </w:r>
      <w:r w:rsidRPr="00E27443">
        <w:t>in</w:t>
      </w:r>
      <w:r w:rsidR="00C63F8F" w:rsidRPr="00E27443">
        <w:t xml:space="preserve"> </w:t>
      </w:r>
      <w:r w:rsidRPr="00E27443">
        <w:t>their</w:t>
      </w:r>
      <w:r w:rsidR="00C63F8F" w:rsidRPr="00E27443">
        <w:t xml:space="preserve"> </w:t>
      </w:r>
      <w:r w:rsidRPr="00E27443">
        <w:t>families</w:t>
      </w:r>
      <w:r w:rsidR="00C63F8F" w:rsidRPr="00E27443">
        <w:t xml:space="preserve"> </w:t>
      </w:r>
      <w:r w:rsidRPr="00E27443">
        <w:t>was</w:t>
      </w:r>
      <w:r w:rsidR="00C63F8F" w:rsidRPr="00E27443">
        <w:t xml:space="preserve"> </w:t>
      </w:r>
      <w:r w:rsidRPr="00E27443">
        <w:t>an</w:t>
      </w:r>
      <w:r w:rsidR="00C63F8F" w:rsidRPr="00E27443">
        <w:t xml:space="preserve"> </w:t>
      </w:r>
      <w:r w:rsidRPr="00E27443">
        <w:t>important</w:t>
      </w:r>
      <w:r w:rsidR="00C63F8F" w:rsidRPr="00E27443">
        <w:t xml:space="preserve"> </w:t>
      </w:r>
      <w:r w:rsidRPr="00E27443">
        <w:t>starting</w:t>
      </w:r>
      <w:r w:rsidR="00C63F8F" w:rsidRPr="00E27443">
        <w:t xml:space="preserve"> </w:t>
      </w:r>
      <w:r w:rsidRPr="00E27443">
        <w:t>point</w:t>
      </w:r>
      <w:r w:rsidR="00C63F8F" w:rsidRPr="00E27443">
        <w:t xml:space="preserve"> </w:t>
      </w:r>
      <w:r w:rsidRPr="00E27443">
        <w:t>when</w:t>
      </w:r>
      <w:r w:rsidR="00C63F8F" w:rsidRPr="00E27443">
        <w:t xml:space="preserve"> </w:t>
      </w:r>
      <w:r w:rsidRPr="00E27443">
        <w:t>the</w:t>
      </w:r>
      <w:r w:rsidR="00C63F8F" w:rsidRPr="00E27443">
        <w:t xml:space="preserve"> </w:t>
      </w:r>
      <w:r w:rsidRPr="00E27443">
        <w:t>care</w:t>
      </w:r>
      <w:r w:rsidR="00C63F8F" w:rsidRPr="00E27443">
        <w:t xml:space="preserve"> </w:t>
      </w:r>
      <w:r w:rsidRPr="00E27443">
        <w:t>grant</w:t>
      </w:r>
      <w:r w:rsidR="00C63F8F" w:rsidRPr="00E27443">
        <w:t xml:space="preserve"> </w:t>
      </w:r>
      <w:r w:rsidRPr="00E27443">
        <w:t>was</w:t>
      </w:r>
      <w:r w:rsidR="00C63F8F" w:rsidRPr="00E27443">
        <w:t xml:space="preserve"> </w:t>
      </w:r>
      <w:r w:rsidRPr="00E27443">
        <w:t>introduced.</w:t>
      </w:r>
      <w:r w:rsidR="00C63F8F" w:rsidRPr="00E27443">
        <w:t xml:space="preserve"> </w:t>
      </w:r>
      <w:r w:rsidRPr="00E27443">
        <w:t>Car</w:t>
      </w:r>
      <w:r w:rsidR="00C63F8F" w:rsidRPr="00E27443">
        <w:t xml:space="preserve"> </w:t>
      </w:r>
      <w:r w:rsidRPr="00E27443">
        <w:t>support,</w:t>
      </w:r>
      <w:r w:rsidR="00C63F8F" w:rsidRPr="00E27443">
        <w:t xml:space="preserve"> </w:t>
      </w:r>
      <w:r w:rsidRPr="00E27443">
        <w:t>grants</w:t>
      </w:r>
      <w:r w:rsidR="00C63F8F" w:rsidRPr="00E27443">
        <w:t xml:space="preserve"> </w:t>
      </w:r>
      <w:r w:rsidRPr="00E27443">
        <w:t>for</w:t>
      </w:r>
      <w:r w:rsidR="00C63F8F" w:rsidRPr="00E27443">
        <w:t xml:space="preserve"> </w:t>
      </w:r>
      <w:r w:rsidRPr="00E27443">
        <w:t>adaptation</w:t>
      </w:r>
      <w:r w:rsidR="00C63F8F" w:rsidRPr="00E27443">
        <w:t xml:space="preserve"> </w:t>
      </w:r>
      <w:r w:rsidRPr="00E27443">
        <w:t>of</w:t>
      </w:r>
      <w:r w:rsidR="00C63F8F" w:rsidRPr="00E27443">
        <w:t xml:space="preserve"> </w:t>
      </w:r>
      <w:r w:rsidRPr="00E27443">
        <w:t>the</w:t>
      </w:r>
      <w:r w:rsidR="00C63F8F" w:rsidRPr="00E27443">
        <w:t xml:space="preserve"> </w:t>
      </w:r>
      <w:r w:rsidRPr="00E27443">
        <w:t>home</w:t>
      </w:r>
      <w:r w:rsidR="00C63F8F" w:rsidRPr="00E27443">
        <w:t xml:space="preserve"> </w:t>
      </w:r>
      <w:r w:rsidRPr="00E27443">
        <w:t>and</w:t>
      </w:r>
      <w:r w:rsidR="00C63F8F" w:rsidRPr="00E27443">
        <w:t xml:space="preserve"> </w:t>
      </w:r>
      <w:r w:rsidRPr="00E27443">
        <w:t>State</w:t>
      </w:r>
      <w:r w:rsidR="00C63F8F" w:rsidRPr="00E27443">
        <w:t xml:space="preserve"> </w:t>
      </w:r>
      <w:r w:rsidRPr="00E27443">
        <w:t>assistance</w:t>
      </w:r>
      <w:r w:rsidR="00C63F8F" w:rsidRPr="00E27443">
        <w:t xml:space="preserve"> </w:t>
      </w:r>
      <w:r w:rsidRPr="00E27443">
        <w:t>benefit</w:t>
      </w:r>
      <w:r w:rsidR="00C63F8F" w:rsidRPr="00E27443">
        <w:t xml:space="preserve"> </w:t>
      </w:r>
      <w:r w:rsidRPr="00E27443">
        <w:t>are</w:t>
      </w:r>
      <w:r w:rsidR="00C63F8F" w:rsidRPr="00E27443">
        <w:t xml:space="preserve"> </w:t>
      </w:r>
      <w:r w:rsidRPr="00E27443">
        <w:t>other</w:t>
      </w:r>
      <w:r w:rsidR="00C63F8F" w:rsidRPr="00E27443">
        <w:t xml:space="preserve"> </w:t>
      </w:r>
      <w:r w:rsidRPr="00E27443">
        <w:t>examples</w:t>
      </w:r>
      <w:r w:rsidR="00C63F8F" w:rsidRPr="00E27443">
        <w:t xml:space="preserve"> </w:t>
      </w:r>
      <w:r w:rsidRPr="00E27443">
        <w:t>of</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(see</w:t>
      </w:r>
      <w:r w:rsidR="00C63F8F" w:rsidRPr="00E27443">
        <w:t xml:space="preserve"> </w:t>
      </w:r>
      <w:r w:rsidRPr="00E27443">
        <w:t>more</w:t>
      </w:r>
      <w:r w:rsidR="00C63F8F" w:rsidRPr="00E27443">
        <w:t xml:space="preserve"> </w:t>
      </w:r>
      <w:r w:rsidRPr="00E27443">
        <w:t>under</w:t>
      </w:r>
      <w:r w:rsidR="00C63F8F" w:rsidRPr="00E27443">
        <w:t xml:space="preserve"> </w:t>
      </w:r>
      <w:r w:rsidRPr="00E27443">
        <w:t>Article</w:t>
      </w:r>
      <w:r w:rsidR="00C63F8F" w:rsidRPr="00E27443">
        <w:t xml:space="preserve"> </w:t>
      </w:r>
      <w:r w:rsidRPr="00E27443">
        <w:t>19).</w:t>
      </w:r>
    </w:p>
    <w:p w:rsidR="00321ADA" w:rsidRPr="00E27443" w:rsidRDefault="00684090" w:rsidP="00684090">
      <w:pPr>
        <w:pStyle w:val="H1G"/>
      </w:pPr>
      <w:r w:rsidRPr="00E27443">
        <w:tab/>
      </w:r>
      <w:r w:rsidRPr="00E27443">
        <w:tab/>
      </w:r>
      <w:bookmarkStart w:id="31" w:name="_Toc290623314"/>
      <w:r w:rsidR="00321ADA" w:rsidRPr="00E27443">
        <w:t>Article</w:t>
      </w:r>
      <w:r w:rsidR="00C63F8F" w:rsidRPr="00E27443">
        <w:t xml:space="preserve"> </w:t>
      </w:r>
      <w:r w:rsidR="00321ADA" w:rsidRPr="00E27443">
        <w:t>29</w:t>
      </w:r>
      <w:r w:rsidR="00AC1761">
        <w:t>:</w:t>
      </w:r>
      <w:r w:rsidR="00C63F8F" w:rsidRPr="00E27443">
        <w:t xml:space="preserve"> </w:t>
      </w:r>
      <w:r w:rsidR="00321ADA" w:rsidRPr="00E27443">
        <w:t>Participation</w:t>
      </w:r>
      <w:r w:rsidR="00C63F8F" w:rsidRPr="00E27443">
        <w:t xml:space="preserve"> </w:t>
      </w:r>
      <w:r w:rsidR="00321ADA" w:rsidRPr="00E27443">
        <w:t>in</w:t>
      </w:r>
      <w:r w:rsidR="00C63F8F" w:rsidRPr="00E27443">
        <w:t xml:space="preserve"> </w:t>
      </w:r>
      <w:r w:rsidR="00321ADA" w:rsidRPr="00E27443">
        <w:t>political</w:t>
      </w:r>
      <w:r w:rsidR="00C63F8F" w:rsidRPr="00E27443">
        <w:t xml:space="preserve"> </w:t>
      </w:r>
      <w:r w:rsidR="00321ADA" w:rsidRPr="00E27443">
        <w:t>and</w:t>
      </w:r>
      <w:r w:rsidR="00C63F8F" w:rsidRPr="00E27443">
        <w:t xml:space="preserve"> </w:t>
      </w:r>
      <w:r w:rsidR="00321ADA" w:rsidRPr="00E27443">
        <w:t>public</w:t>
      </w:r>
      <w:r w:rsidR="00C63F8F" w:rsidRPr="00E27443">
        <w:t xml:space="preserve"> </w:t>
      </w:r>
      <w:r w:rsidR="00321ADA" w:rsidRPr="00E27443">
        <w:t>life</w:t>
      </w:r>
      <w:bookmarkEnd w:id="31"/>
    </w:p>
    <w:p w:rsidR="00321ADA" w:rsidRPr="00E27443" w:rsidRDefault="00321ADA" w:rsidP="00AC1761">
      <w:pPr>
        <w:pStyle w:val="SingleTxtG"/>
        <w:numPr>
          <w:ilvl w:val="0"/>
          <w:numId w:val="20"/>
        </w:numPr>
        <w:tabs>
          <w:tab w:val="left" w:pos="1843"/>
        </w:tabs>
        <w:ind w:left="1134" w:firstLine="0"/>
      </w:pPr>
      <w:r w:rsidRPr="00E27443">
        <w:t>The</w:t>
      </w:r>
      <w:r w:rsidR="00C63F8F" w:rsidRPr="00E27443">
        <w:t xml:space="preserve"> </w:t>
      </w:r>
      <w:r w:rsidRPr="00E27443">
        <w:t>Elections</w:t>
      </w:r>
      <w:r w:rsidR="00C63F8F" w:rsidRPr="00E27443">
        <w:t xml:space="preserve"> </w:t>
      </w:r>
      <w:r w:rsidRPr="00E27443">
        <w:t>Act</w:t>
      </w:r>
      <w:r w:rsidR="00684090" w:rsidRPr="00E27443">
        <w:rPr>
          <w:rStyle w:val="FootnoteReference"/>
        </w:rPr>
        <w:footnoteReference w:id="132"/>
      </w:r>
      <w:r w:rsidR="00C63F8F" w:rsidRPr="00E27443">
        <w:t xml:space="preserve"> </w:t>
      </w:r>
      <w:r w:rsidRPr="00E27443">
        <w:t>contains</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accessibility</w:t>
      </w:r>
      <w:r w:rsidR="00C63F8F" w:rsidRPr="00E27443">
        <w:t xml:space="preserve"> </w:t>
      </w:r>
      <w:r w:rsidRPr="00E27443">
        <w:t>to</w:t>
      </w:r>
      <w:r w:rsidR="00C63F8F" w:rsidRPr="00E27443">
        <w:t xml:space="preserve"> </w:t>
      </w:r>
      <w:r w:rsidRPr="00E27443">
        <w:rPr>
          <w:i/>
        </w:rPr>
        <w:t>polling</w:t>
      </w:r>
      <w:r w:rsidR="00C63F8F" w:rsidRPr="00E27443">
        <w:rPr>
          <w:i/>
        </w:rPr>
        <w:t xml:space="preserve"> </w:t>
      </w:r>
      <w:r w:rsidRPr="00E27443">
        <w:rPr>
          <w:i/>
        </w:rPr>
        <w:t>stations</w:t>
      </w:r>
      <w:r w:rsidRPr="00E27443">
        <w:t>.</w:t>
      </w:r>
      <w:r w:rsidR="00C63F8F" w:rsidRPr="00E27443">
        <w:t xml:space="preserve"> </w:t>
      </w:r>
      <w:r w:rsidRPr="00E27443">
        <w:t>Each</w:t>
      </w:r>
      <w:r w:rsidR="00C63F8F" w:rsidRPr="00E27443">
        <w:t xml:space="preserve"> </w:t>
      </w:r>
      <w:r w:rsidRPr="00E27443">
        <w:t>municipality</w:t>
      </w:r>
      <w:r w:rsidR="00C63F8F" w:rsidRPr="00E27443">
        <w:t xml:space="preserve"> </w:t>
      </w:r>
      <w:r w:rsidRPr="00E27443">
        <w:t>must</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there</w:t>
      </w:r>
      <w:r w:rsidR="00C63F8F" w:rsidRPr="00E27443">
        <w:t xml:space="preserve"> </w:t>
      </w:r>
      <w:r w:rsidRPr="00E27443">
        <w:t>are</w:t>
      </w:r>
      <w:r w:rsidR="00C63F8F" w:rsidRPr="00E27443">
        <w:t xml:space="preserve"> </w:t>
      </w:r>
      <w:r w:rsidRPr="00E27443">
        <w:t>suitable</w:t>
      </w:r>
      <w:r w:rsidR="00C63F8F" w:rsidRPr="00E27443">
        <w:t xml:space="preserve"> </w:t>
      </w:r>
      <w:r w:rsidRPr="00E27443">
        <w:t>premises</w:t>
      </w:r>
      <w:r w:rsidR="00C63F8F" w:rsidRPr="00E27443">
        <w:t xml:space="preserve"> </w:t>
      </w:r>
      <w:r w:rsidRPr="00E27443">
        <w:t>that</w:t>
      </w:r>
      <w:r w:rsidR="00C63F8F" w:rsidRPr="00E27443">
        <w:t xml:space="preserve"> </w:t>
      </w:r>
      <w:r w:rsidRPr="00E27443">
        <w:t>can</w:t>
      </w:r>
      <w:r w:rsidR="00C63F8F" w:rsidRPr="00E27443">
        <w:t xml:space="preserve"> </w:t>
      </w:r>
      <w:r w:rsidRPr="00E27443">
        <w:t>be</w:t>
      </w:r>
      <w:r w:rsidR="00C63F8F" w:rsidRPr="00E27443">
        <w:t xml:space="preserve"> </w:t>
      </w:r>
      <w:r w:rsidRPr="00E27443">
        <w:t>used</w:t>
      </w:r>
      <w:r w:rsidR="00C63F8F" w:rsidRPr="00E27443">
        <w:t xml:space="preserve"> </w:t>
      </w:r>
      <w:r w:rsidRPr="00E27443">
        <w:t>as</w:t>
      </w:r>
      <w:r w:rsidR="00C63F8F" w:rsidRPr="00E27443">
        <w:t xml:space="preserve"> </w:t>
      </w:r>
      <w:r w:rsidRPr="00E27443">
        <w:t>polling</w:t>
      </w:r>
      <w:r w:rsidR="00C63F8F" w:rsidRPr="00E27443">
        <w:t xml:space="preserve"> </w:t>
      </w:r>
      <w:r w:rsidRPr="00E27443">
        <w:t>stations</w:t>
      </w:r>
      <w:r w:rsidR="00684090" w:rsidRPr="00E27443">
        <w:rPr>
          <w:rStyle w:val="FootnoteReference"/>
        </w:rPr>
        <w:footnoteReference w:id="133"/>
      </w:r>
      <w:r w:rsidR="00C63F8F" w:rsidRPr="00E27443">
        <w:t xml:space="preserve"> </w:t>
      </w:r>
      <w:r w:rsidRPr="00E27443">
        <w:t>and</w:t>
      </w:r>
      <w:r w:rsidR="00C63F8F" w:rsidRPr="00E27443">
        <w:t xml:space="preserve"> </w:t>
      </w:r>
      <w:r w:rsidRPr="00E27443">
        <w:t>that,</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their</w:t>
      </w:r>
      <w:r w:rsidR="00C63F8F" w:rsidRPr="00E27443">
        <w:t xml:space="preserve"> </w:t>
      </w:r>
      <w:r w:rsidRPr="00E27443">
        <w:t>location,</w:t>
      </w:r>
      <w:r w:rsidR="00C63F8F" w:rsidRPr="00E27443">
        <w:t xml:space="preserve"> </w:t>
      </w:r>
      <w:r w:rsidRPr="00E27443">
        <w:t>accessibility</w:t>
      </w:r>
      <w:r w:rsidR="00C63F8F" w:rsidRPr="00E27443">
        <w:t xml:space="preserve"> </w:t>
      </w:r>
      <w:r w:rsidRPr="00E27443">
        <w:t>and</w:t>
      </w:r>
      <w:r w:rsidR="00C63F8F" w:rsidRPr="00E27443">
        <w:t xml:space="preserve"> </w:t>
      </w:r>
      <w:r w:rsidRPr="00E27443">
        <w:t>opening</w:t>
      </w:r>
      <w:r w:rsidR="00C63F8F" w:rsidRPr="00E27443">
        <w:t xml:space="preserve"> </w:t>
      </w:r>
      <w:r w:rsidRPr="00E27443">
        <w:t>times,</w:t>
      </w:r>
      <w:r w:rsidR="00C63F8F" w:rsidRPr="00E27443">
        <w:t xml:space="preserve"> </w:t>
      </w:r>
      <w:r w:rsidRPr="00E27443">
        <w:t>provide</w:t>
      </w:r>
      <w:r w:rsidR="00C63F8F" w:rsidRPr="00E27443">
        <w:t xml:space="preserve"> </w:t>
      </w:r>
      <w:r w:rsidRPr="00E27443">
        <w:t>the</w:t>
      </w:r>
      <w:r w:rsidR="00C63F8F" w:rsidRPr="00E27443">
        <w:t xml:space="preserve"> </w:t>
      </w:r>
      <w:r w:rsidRPr="00E27443">
        <w:t>voters</w:t>
      </w:r>
      <w:r w:rsidR="00C63F8F" w:rsidRPr="00E27443">
        <w:t xml:space="preserve"> </w:t>
      </w:r>
      <w:r w:rsidRPr="00E27443">
        <w:t>with</w:t>
      </w:r>
      <w:r w:rsidR="00C63F8F" w:rsidRPr="00E27443">
        <w:t xml:space="preserve"> </w:t>
      </w:r>
      <w:r w:rsidRPr="00E27443">
        <w:t>good</w:t>
      </w:r>
      <w:r w:rsidR="00C63F8F" w:rsidRPr="00E27443">
        <w:t xml:space="preserve"> </w:t>
      </w:r>
      <w:r w:rsidRPr="00E27443">
        <w:t>opportunities</w:t>
      </w:r>
      <w:r w:rsidR="00C63F8F" w:rsidRPr="00E27443">
        <w:t xml:space="preserve"> </w:t>
      </w:r>
      <w:r w:rsidRPr="00E27443">
        <w:t>to</w:t>
      </w:r>
      <w:r w:rsidR="00C63F8F" w:rsidRPr="00E27443">
        <w:t xml:space="preserve"> </w:t>
      </w:r>
      <w:r w:rsidRPr="00E27443">
        <w:t>vote.</w:t>
      </w:r>
      <w:r w:rsidR="00C63F8F" w:rsidRPr="00E27443">
        <w:t xml:space="preserve"> </w:t>
      </w:r>
    </w:p>
    <w:p w:rsidR="00321ADA" w:rsidRPr="00E27443" w:rsidRDefault="00321ADA" w:rsidP="00AC1761">
      <w:pPr>
        <w:pStyle w:val="SingleTxtG"/>
        <w:numPr>
          <w:ilvl w:val="0"/>
          <w:numId w:val="20"/>
        </w:numPr>
        <w:tabs>
          <w:tab w:val="left" w:pos="1843"/>
        </w:tabs>
        <w:ind w:left="1134" w:firstLine="0"/>
      </w:pPr>
      <w:r w:rsidRPr="00E27443">
        <w:t>A</w:t>
      </w:r>
      <w:r w:rsidR="00C63F8F" w:rsidRPr="00E27443">
        <w:t xml:space="preserve"> </w:t>
      </w:r>
      <w:r w:rsidRPr="00E27443">
        <w:t>fundamental</w:t>
      </w:r>
      <w:r w:rsidR="00C63F8F" w:rsidRPr="00E27443">
        <w:t xml:space="preserve"> </w:t>
      </w:r>
      <w:r w:rsidRPr="00E27443">
        <w:t>starting</w:t>
      </w:r>
      <w:r w:rsidR="00C63F8F" w:rsidRPr="00E27443">
        <w:t xml:space="preserve"> </w:t>
      </w:r>
      <w:r w:rsidRPr="00E27443">
        <w:t>point</w:t>
      </w:r>
      <w:r w:rsidR="00C63F8F" w:rsidRPr="00E27443">
        <w:t xml:space="preserve"> </w:t>
      </w:r>
      <w:r w:rsidRPr="00E27443">
        <w:t>for</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of</w:t>
      </w:r>
      <w:r w:rsidR="00C63F8F" w:rsidRPr="00E27443">
        <w:t xml:space="preserve"> </w:t>
      </w:r>
      <w:r w:rsidRPr="00E27443">
        <w:t>the</w:t>
      </w:r>
      <w:r w:rsidR="00C63F8F" w:rsidRPr="00E27443">
        <w:t xml:space="preserve"> </w:t>
      </w:r>
      <w:r w:rsidRPr="00E27443">
        <w:t>community</w:t>
      </w:r>
      <w:r w:rsidR="00C63F8F" w:rsidRPr="00E27443">
        <w:t xml:space="preserve"> </w:t>
      </w:r>
      <w:r w:rsidRPr="00E27443">
        <w:t>at</w:t>
      </w:r>
      <w:r w:rsidR="00C63F8F" w:rsidRPr="00E27443">
        <w:t xml:space="preserve"> </w:t>
      </w:r>
      <w:r w:rsidRPr="00E27443">
        <w:t>large</w:t>
      </w:r>
      <w:r w:rsidR="00C63F8F" w:rsidRPr="00E27443">
        <w:t xml:space="preserve"> </w:t>
      </w:r>
      <w:r w:rsidRPr="00E27443">
        <w:t>is</w:t>
      </w:r>
      <w:r w:rsidR="00C63F8F" w:rsidRPr="00E27443">
        <w:t xml:space="preserve"> </w:t>
      </w:r>
      <w:r w:rsidRPr="00E27443">
        <w:t>that</w:t>
      </w:r>
      <w:r w:rsidR="00C63F8F" w:rsidRPr="00E27443">
        <w:t xml:space="preserve"> </w:t>
      </w:r>
      <w:r w:rsidRPr="00E27443">
        <w:t>they</w:t>
      </w:r>
      <w:r w:rsidR="00C63F8F" w:rsidRPr="00E27443">
        <w:t xml:space="preserve"> </w:t>
      </w:r>
      <w:r w:rsidRPr="00E27443">
        <w:t>must</w:t>
      </w:r>
      <w:r w:rsidR="00C63F8F" w:rsidRPr="00E27443">
        <w:t xml:space="preserve"> </w:t>
      </w:r>
      <w:r w:rsidRPr="00E27443">
        <w:t>be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all</w:t>
      </w:r>
      <w:r w:rsidR="00C63F8F" w:rsidRPr="00E27443">
        <w:t xml:space="preserve"> </w:t>
      </w:r>
      <w:r w:rsidRPr="00E27443">
        <w:t>citizens,</w:t>
      </w:r>
      <w:r w:rsidR="00C63F8F" w:rsidRPr="00E27443">
        <w:t xml:space="preserve"> </w:t>
      </w:r>
      <w:r w:rsidRPr="00E27443">
        <w:t>and</w:t>
      </w:r>
      <w:r w:rsidR="00C63F8F" w:rsidRPr="00E27443">
        <w:t xml:space="preserve"> </w:t>
      </w:r>
      <w:r w:rsidRPr="00E27443">
        <w:t>that</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must</w:t>
      </w:r>
      <w:r w:rsidR="00C63F8F" w:rsidRPr="00E27443">
        <w:t xml:space="preserve"> </w:t>
      </w:r>
      <w:r w:rsidRPr="00E27443">
        <w:t>make</w:t>
      </w:r>
      <w:r w:rsidR="00C63F8F" w:rsidRPr="00E27443">
        <w:t xml:space="preserve"> </w:t>
      </w:r>
      <w:r w:rsidRPr="00E27443">
        <w:t>all</w:t>
      </w:r>
      <w:r w:rsidR="00C63F8F" w:rsidRPr="00E27443">
        <w:t xml:space="preserve"> </w:t>
      </w:r>
      <w:r w:rsidRPr="00E27443">
        <w:t>reasonable</w:t>
      </w:r>
      <w:r w:rsidR="00C63F8F" w:rsidRPr="00E27443">
        <w:t xml:space="preserve"> </w:t>
      </w:r>
      <w:r w:rsidRPr="00E27443">
        <w:t>efforts</w:t>
      </w:r>
      <w:r w:rsidR="00C63F8F" w:rsidRPr="00E27443">
        <w:t xml:space="preserve"> </w:t>
      </w:r>
      <w:r w:rsidRPr="00E27443">
        <w:t>to</w:t>
      </w:r>
      <w:r w:rsidR="00C63F8F" w:rsidRPr="00E27443">
        <w:t xml:space="preserve"> </w:t>
      </w:r>
      <w:r w:rsidRPr="00E27443">
        <w:t>supply</w:t>
      </w:r>
      <w:r w:rsidR="00C63F8F" w:rsidRPr="00E27443">
        <w:t xml:space="preserve"> </w:t>
      </w:r>
      <w:r w:rsidRPr="00E27443">
        <w:t>polling</w:t>
      </w:r>
      <w:r w:rsidR="00C63F8F" w:rsidRPr="00E27443">
        <w:t xml:space="preserve"> </w:t>
      </w:r>
      <w:r w:rsidRPr="00E27443">
        <w:t>stations</w:t>
      </w:r>
      <w:r w:rsidR="00C63F8F" w:rsidRPr="00E27443">
        <w:t xml:space="preserve"> </w:t>
      </w:r>
      <w:r w:rsidRPr="00E27443">
        <w:t>that</w:t>
      </w:r>
      <w:r w:rsidR="00C63F8F" w:rsidRPr="00E27443">
        <w:t xml:space="preserve"> </w:t>
      </w:r>
      <w:r w:rsidRPr="00E27443">
        <w:t>are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all</w:t>
      </w:r>
      <w:r w:rsidR="00C63F8F" w:rsidRPr="00E27443">
        <w:t xml:space="preserve"> </w:t>
      </w:r>
      <w:r w:rsidRPr="00E27443">
        <w:t>voters.</w:t>
      </w:r>
      <w:r w:rsidR="00C63F8F" w:rsidRPr="00E27443">
        <w:t xml:space="preserve"> </w:t>
      </w:r>
      <w:r w:rsidRPr="00E27443">
        <w:t>However,</w:t>
      </w:r>
      <w:r w:rsidR="00C63F8F" w:rsidRPr="00E27443">
        <w:t xml:space="preserve"> </w:t>
      </w:r>
      <w:r w:rsidRPr="00E27443">
        <w:t>it</w:t>
      </w:r>
      <w:r w:rsidR="00C63F8F" w:rsidRPr="00E27443">
        <w:t xml:space="preserve"> </w:t>
      </w:r>
      <w:r w:rsidRPr="00E27443">
        <w:t>cannot</w:t>
      </w:r>
      <w:r w:rsidR="00C63F8F" w:rsidRPr="00E27443">
        <w:t xml:space="preserve"> </w:t>
      </w:r>
      <w:r w:rsidRPr="00E27443">
        <w:t>be</w:t>
      </w:r>
      <w:r w:rsidR="00C63F8F" w:rsidRPr="00E27443">
        <w:t xml:space="preserve"> </w:t>
      </w:r>
      <w:r w:rsidRPr="00E27443">
        <w:t>ruled</w:t>
      </w:r>
      <w:r w:rsidR="00C63F8F" w:rsidRPr="00E27443">
        <w:t xml:space="preserve"> </w:t>
      </w:r>
      <w:r w:rsidRPr="00E27443">
        <w:t>out</w:t>
      </w:r>
      <w:r w:rsidR="00C63F8F" w:rsidRPr="00E27443">
        <w:t xml:space="preserve"> </w:t>
      </w:r>
      <w:r w:rsidRPr="00E27443">
        <w:t>that</w:t>
      </w:r>
      <w:r w:rsidR="00C63F8F" w:rsidRPr="00E27443">
        <w:t xml:space="preserve"> </w:t>
      </w:r>
      <w:r w:rsidRPr="00E27443">
        <w:t>very</w:t>
      </w:r>
      <w:r w:rsidR="00C63F8F" w:rsidRPr="00E27443">
        <w:t xml:space="preserve"> </w:t>
      </w:r>
      <w:r w:rsidRPr="00E27443">
        <w:t>occasionally</w:t>
      </w:r>
      <w:r w:rsidR="00C63F8F" w:rsidRPr="00E27443">
        <w:t xml:space="preserve"> </w:t>
      </w:r>
      <w:r w:rsidRPr="00E27443">
        <w:t>it</w:t>
      </w:r>
      <w:r w:rsidR="00C63F8F" w:rsidRPr="00E27443">
        <w:t xml:space="preserve"> </w:t>
      </w:r>
      <w:r w:rsidRPr="00E27443">
        <w:t>may</w:t>
      </w:r>
      <w:r w:rsidR="00C63F8F" w:rsidRPr="00E27443">
        <w:t xml:space="preserve"> </w:t>
      </w:r>
      <w:r w:rsidRPr="00E27443">
        <w:t>prove</w:t>
      </w:r>
      <w:r w:rsidR="00C63F8F" w:rsidRPr="00E27443">
        <w:t xml:space="preserve"> </w:t>
      </w:r>
      <w:r w:rsidRPr="00E27443">
        <w:t>necessary</w:t>
      </w:r>
      <w:r w:rsidR="00C63F8F" w:rsidRPr="00E27443">
        <w:t xml:space="preserve"> </w:t>
      </w:r>
      <w:r w:rsidRPr="00E27443">
        <w:t>to</w:t>
      </w:r>
      <w:r w:rsidR="00C63F8F" w:rsidRPr="00E27443">
        <w:t xml:space="preserve"> </w:t>
      </w:r>
      <w:r w:rsidRPr="00E27443">
        <w:t>use</w:t>
      </w:r>
      <w:r w:rsidR="00C63F8F" w:rsidRPr="00E27443">
        <w:t xml:space="preserve"> </w:t>
      </w:r>
      <w:r w:rsidRPr="00E27443">
        <w:t>premises</w:t>
      </w:r>
      <w:r w:rsidR="00C63F8F" w:rsidRPr="00E27443">
        <w:t xml:space="preserve"> </w:t>
      </w:r>
      <w:r w:rsidRPr="00E27443">
        <w:t>that</w:t>
      </w:r>
      <w:r w:rsidR="00C63F8F" w:rsidRPr="00E27443">
        <w:t xml:space="preserve"> </w:t>
      </w:r>
      <w:r w:rsidRPr="00E27443">
        <w:t>do</w:t>
      </w:r>
      <w:r w:rsidR="00C63F8F" w:rsidRPr="00E27443">
        <w:t xml:space="preserve"> </w:t>
      </w:r>
      <w:r w:rsidRPr="00E27443">
        <w:t>not</w:t>
      </w:r>
      <w:r w:rsidR="00C63F8F" w:rsidRPr="00E27443">
        <w:t xml:space="preserve"> </w:t>
      </w:r>
      <w:r w:rsidRPr="00E27443">
        <w:t>satisfy</w:t>
      </w:r>
      <w:r w:rsidR="00C63F8F" w:rsidRPr="00E27443">
        <w:t xml:space="preserve"> </w:t>
      </w:r>
      <w:r w:rsidRPr="00E27443">
        <w:t>this</w:t>
      </w:r>
      <w:r w:rsidR="00C63F8F" w:rsidRPr="00E27443">
        <w:t xml:space="preserve"> </w:t>
      </w:r>
      <w:r w:rsidRPr="00E27443">
        <w:t>requirement.</w:t>
      </w:r>
      <w:r w:rsidR="00C63F8F" w:rsidRPr="00E27443">
        <w:t xml:space="preserve"> </w:t>
      </w:r>
      <w:r w:rsidRPr="00E27443">
        <w:t>If</w:t>
      </w:r>
      <w:r w:rsidR="00C63F8F" w:rsidRPr="00E27443">
        <w:t xml:space="preserve"> </w:t>
      </w:r>
      <w:r w:rsidRPr="00E27443">
        <w:t>this</w:t>
      </w:r>
      <w:r w:rsidR="00C63F8F" w:rsidRPr="00E27443">
        <w:t xml:space="preserve"> </w:t>
      </w:r>
      <w:r w:rsidRPr="00E27443">
        <w:t>requirement</w:t>
      </w:r>
      <w:r w:rsidR="00C63F8F" w:rsidRPr="00E27443">
        <w:t xml:space="preserve"> </w:t>
      </w:r>
      <w:r w:rsidRPr="00E27443">
        <w:t>cannot</w:t>
      </w:r>
      <w:r w:rsidR="00C63F8F" w:rsidRPr="00E27443">
        <w:t xml:space="preserve"> </w:t>
      </w:r>
      <w:r w:rsidRPr="00E27443">
        <w:t>be</w:t>
      </w:r>
      <w:r w:rsidR="00C63F8F" w:rsidRPr="00E27443">
        <w:t xml:space="preserve"> </w:t>
      </w:r>
      <w:r w:rsidRPr="00E27443">
        <w:t>set</w:t>
      </w:r>
      <w:r w:rsidR="00C63F8F" w:rsidRPr="00E27443">
        <w:t xml:space="preserve"> </w:t>
      </w:r>
      <w:r w:rsidRPr="00E27443">
        <w:t>aside,</w:t>
      </w:r>
      <w:r w:rsidR="00C63F8F" w:rsidRPr="00E27443">
        <w:t xml:space="preserve"> </w:t>
      </w:r>
      <w:r w:rsidRPr="00E27443">
        <w:t>the</w:t>
      </w:r>
      <w:r w:rsidR="00C63F8F" w:rsidRPr="00E27443">
        <w:t xml:space="preserve"> </w:t>
      </w:r>
      <w:r w:rsidRPr="00E27443">
        <w:t>consequence</w:t>
      </w:r>
      <w:r w:rsidR="00C63F8F" w:rsidRPr="00E27443">
        <w:t xml:space="preserve"> </w:t>
      </w:r>
      <w:r w:rsidRPr="00E27443">
        <w:t>could</w:t>
      </w:r>
      <w:r w:rsidR="00C63F8F" w:rsidRPr="00E27443">
        <w:t xml:space="preserve"> </w:t>
      </w:r>
      <w:r w:rsidRPr="00E27443">
        <w:t>be</w:t>
      </w:r>
      <w:r w:rsidR="00C63F8F" w:rsidRPr="00E27443">
        <w:t xml:space="preserve"> </w:t>
      </w:r>
      <w:r w:rsidRPr="00E27443">
        <w:t>that</w:t>
      </w:r>
      <w:r w:rsidR="00C63F8F" w:rsidRPr="00E27443">
        <w:t xml:space="preserve"> </w:t>
      </w:r>
      <w:r w:rsidRPr="00E27443">
        <w:t>voting</w:t>
      </w:r>
      <w:r w:rsidR="00C63F8F" w:rsidRPr="00E27443">
        <w:t xml:space="preserve"> </w:t>
      </w:r>
      <w:r w:rsidRPr="00E27443">
        <w:t>districts</w:t>
      </w:r>
      <w:r w:rsidR="00C63F8F" w:rsidRPr="00E27443">
        <w:t xml:space="preserve"> </w:t>
      </w:r>
      <w:r w:rsidRPr="00E27443">
        <w:t>must</w:t>
      </w:r>
      <w:r w:rsidR="00C63F8F" w:rsidRPr="00E27443">
        <w:t xml:space="preserve"> </w:t>
      </w:r>
      <w:r w:rsidRPr="00E27443">
        <w:t>be</w:t>
      </w:r>
      <w:r w:rsidR="00C63F8F" w:rsidRPr="00E27443">
        <w:t xml:space="preserve"> </w:t>
      </w:r>
      <w:r w:rsidRPr="00E27443">
        <w:t>merged</w:t>
      </w:r>
      <w:r w:rsidR="00C63F8F" w:rsidRPr="00E27443">
        <w:t xml:space="preserve"> </w:t>
      </w:r>
      <w:r w:rsidRPr="00E27443">
        <w:t>or</w:t>
      </w:r>
      <w:r w:rsidR="00C63F8F" w:rsidRPr="00E27443">
        <w:t xml:space="preserve"> </w:t>
      </w:r>
      <w:r w:rsidRPr="00E27443">
        <w:t>the</w:t>
      </w:r>
      <w:r w:rsidR="00C63F8F" w:rsidRPr="00E27443">
        <w:t xml:space="preserve"> </w:t>
      </w:r>
      <w:r w:rsidRPr="00E27443">
        <w:t>number</w:t>
      </w:r>
      <w:r w:rsidR="00C63F8F" w:rsidRPr="00E27443">
        <w:t xml:space="preserve"> </w:t>
      </w:r>
      <w:r w:rsidRPr="00E27443">
        <w:t>of</w:t>
      </w:r>
      <w:r w:rsidR="00C63F8F" w:rsidRPr="00E27443">
        <w:t xml:space="preserve"> </w:t>
      </w:r>
      <w:r w:rsidRPr="00E27443">
        <w:t>polling</w:t>
      </w:r>
      <w:r w:rsidR="00C63F8F" w:rsidRPr="00E27443">
        <w:t xml:space="preserve"> </w:t>
      </w:r>
      <w:r w:rsidRPr="00E27443">
        <w:t>stations</w:t>
      </w:r>
      <w:r w:rsidR="00C63F8F" w:rsidRPr="00E27443">
        <w:t xml:space="preserve"> </w:t>
      </w:r>
      <w:r w:rsidRPr="00E27443">
        <w:t>limited</w:t>
      </w:r>
      <w:r w:rsidR="00C63F8F" w:rsidRPr="00E27443">
        <w:t xml:space="preserve"> </w:t>
      </w:r>
      <w:r w:rsidRPr="00E27443">
        <w:t>in</w:t>
      </w:r>
      <w:r w:rsidR="00C63F8F" w:rsidRPr="00E27443">
        <w:t xml:space="preserve"> </w:t>
      </w:r>
      <w:r w:rsidRPr="00E27443">
        <w:t>such</w:t>
      </w:r>
      <w:r w:rsidR="00C63F8F" w:rsidRPr="00E27443">
        <w:t xml:space="preserve"> </w:t>
      </w:r>
      <w:r w:rsidRPr="00E27443">
        <w:t>a</w:t>
      </w:r>
      <w:r w:rsidR="00C63F8F" w:rsidRPr="00E27443">
        <w:t xml:space="preserve"> </w:t>
      </w:r>
      <w:r w:rsidRPr="00E27443">
        <w:t>way</w:t>
      </w:r>
      <w:r w:rsidR="00C63F8F" w:rsidRPr="00E27443">
        <w:t xml:space="preserve"> </w:t>
      </w:r>
      <w:r w:rsidRPr="00E27443">
        <w:t>that</w:t>
      </w:r>
      <w:r w:rsidR="00C63F8F" w:rsidRPr="00E27443">
        <w:t xml:space="preserve"> </w:t>
      </w:r>
      <w:r w:rsidRPr="00E27443">
        <w:t>impairs</w:t>
      </w:r>
      <w:r w:rsidR="00C63F8F" w:rsidRPr="00E27443">
        <w:t xml:space="preserve"> </w:t>
      </w:r>
      <w:r w:rsidRPr="00E27443">
        <w:t>the</w:t>
      </w:r>
      <w:r w:rsidR="00C63F8F" w:rsidRPr="00E27443">
        <w:t xml:space="preserve"> </w:t>
      </w:r>
      <w:r w:rsidRPr="00E27443">
        <w:t>potential</w:t>
      </w:r>
      <w:r w:rsidR="00C63F8F" w:rsidRPr="00E27443">
        <w:t xml:space="preserve"> </w:t>
      </w:r>
      <w:r w:rsidRPr="00E27443">
        <w:t>for</w:t>
      </w:r>
      <w:r w:rsidR="00C63F8F" w:rsidRPr="00E27443">
        <w:t xml:space="preserve"> </w:t>
      </w:r>
      <w:r w:rsidRPr="00E27443">
        <w:t>all</w:t>
      </w:r>
      <w:r w:rsidR="00C63F8F" w:rsidRPr="00E27443">
        <w:t xml:space="preserve"> </w:t>
      </w:r>
      <w:r w:rsidRPr="00E27443">
        <w:t>authorised</w:t>
      </w:r>
      <w:r w:rsidR="00C63F8F" w:rsidRPr="00E27443">
        <w:t xml:space="preserve"> </w:t>
      </w:r>
      <w:r w:rsidRPr="00E27443">
        <w:t>voters</w:t>
      </w:r>
      <w:r w:rsidR="00C63F8F" w:rsidRPr="00E27443">
        <w:t xml:space="preserve"> </w:t>
      </w:r>
      <w:r w:rsidRPr="00E27443">
        <w:t>to</w:t>
      </w:r>
      <w:r w:rsidR="00C63F8F" w:rsidRPr="00E27443">
        <w:t xml:space="preserve"> </w:t>
      </w:r>
      <w:r w:rsidRPr="00E27443">
        <w:t>vote.</w:t>
      </w:r>
      <w:r w:rsidR="00C63F8F" w:rsidRPr="00E27443">
        <w:t xml:space="preserve"> </w:t>
      </w:r>
      <w:r w:rsidRPr="00E27443">
        <w:t>Such</w:t>
      </w:r>
      <w:r w:rsidR="00C63F8F" w:rsidRPr="00E27443">
        <w:t xml:space="preserve"> </w:t>
      </w:r>
      <w:r w:rsidRPr="00E27443">
        <w:t>an</w:t>
      </w:r>
      <w:r w:rsidR="00C63F8F" w:rsidRPr="00E27443">
        <w:t xml:space="preserve"> </w:t>
      </w:r>
      <w:r w:rsidRPr="00E27443">
        <w:t>arrangement</w:t>
      </w:r>
      <w:r w:rsidR="00C63F8F" w:rsidRPr="00E27443">
        <w:t xml:space="preserve"> </w:t>
      </w:r>
      <w:r w:rsidRPr="00E27443">
        <w:t>is</w:t>
      </w:r>
      <w:r w:rsidR="00C63F8F" w:rsidRPr="00E27443">
        <w:t xml:space="preserve"> </w:t>
      </w:r>
      <w:r w:rsidRPr="00E27443">
        <w:t>not</w:t>
      </w:r>
      <w:r w:rsidR="00C63F8F" w:rsidRPr="00E27443">
        <w:t xml:space="preserve"> </w:t>
      </w:r>
      <w:r w:rsidRPr="00E27443">
        <w:t>considered</w:t>
      </w:r>
      <w:r w:rsidR="00C63F8F" w:rsidRPr="00E27443">
        <w:t xml:space="preserve"> </w:t>
      </w:r>
      <w:r w:rsidRPr="00E27443">
        <w:t>democratically</w:t>
      </w:r>
      <w:r w:rsidR="00C63F8F" w:rsidRPr="00E27443">
        <w:t xml:space="preserve"> </w:t>
      </w:r>
      <w:r w:rsidRPr="00E27443">
        <w:t>acceptable.</w:t>
      </w:r>
      <w:r w:rsidR="00C63F8F" w:rsidRPr="00E27443">
        <w:t xml:space="preserve"> </w:t>
      </w:r>
    </w:p>
    <w:p w:rsidR="00321ADA" w:rsidRPr="00E27443" w:rsidRDefault="00321ADA" w:rsidP="00AC1761">
      <w:pPr>
        <w:pStyle w:val="SingleTxtG"/>
        <w:numPr>
          <w:ilvl w:val="0"/>
          <w:numId w:val="20"/>
        </w:numPr>
        <w:tabs>
          <w:tab w:val="left" w:pos="1843"/>
        </w:tabs>
        <w:ind w:left="1134" w:firstLine="0"/>
      </w:pPr>
      <w:r w:rsidRPr="00E27443">
        <w:t>Instead,</w:t>
      </w:r>
      <w:r w:rsidR="00C63F8F" w:rsidRPr="00E27443">
        <w:t xml:space="preserve"> </w:t>
      </w:r>
      <w:r w:rsidRPr="00E27443">
        <w:t>the</w:t>
      </w:r>
      <w:r w:rsidR="00C63F8F" w:rsidRPr="00E27443">
        <w:t xml:space="preserve"> </w:t>
      </w:r>
      <w:r w:rsidRPr="00E27443">
        <w:t>Elections</w:t>
      </w:r>
      <w:r w:rsidR="00C63F8F" w:rsidRPr="00E27443">
        <w:t xml:space="preserve"> </w:t>
      </w:r>
      <w:r w:rsidRPr="00E27443">
        <w:t>Act</w:t>
      </w:r>
      <w:r w:rsidR="00C63F8F" w:rsidRPr="00E27443">
        <w:t xml:space="preserve"> </w:t>
      </w:r>
      <w:r w:rsidRPr="00E27443">
        <w:t>has</w:t>
      </w:r>
      <w:r w:rsidR="00C63F8F" w:rsidRPr="00E27443">
        <w:t xml:space="preserve"> </w:t>
      </w:r>
      <w:r w:rsidRPr="00E27443">
        <w:t>been</w:t>
      </w:r>
      <w:r w:rsidR="00C63F8F" w:rsidRPr="00E27443">
        <w:t xml:space="preserve"> </w:t>
      </w:r>
      <w:r w:rsidRPr="00E27443">
        <w:t>formulated</w:t>
      </w:r>
      <w:r w:rsidR="00C63F8F" w:rsidRPr="00E27443">
        <w:t xml:space="preserve"> </w:t>
      </w:r>
      <w:r w:rsidRPr="00E27443">
        <w:t>such</w:t>
      </w:r>
      <w:r w:rsidR="00C63F8F" w:rsidRPr="00E27443">
        <w:t xml:space="preserve"> </w:t>
      </w:r>
      <w:r w:rsidRPr="00E27443">
        <w:t>that</w:t>
      </w:r>
      <w:r w:rsidR="00C63F8F" w:rsidRPr="00E27443">
        <w:t xml:space="preserve"> </w:t>
      </w:r>
      <w:r w:rsidRPr="00E27443">
        <w:t>if</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considers</w:t>
      </w:r>
      <w:r w:rsidR="00C63F8F" w:rsidRPr="00E27443">
        <w:t xml:space="preserve"> </w:t>
      </w:r>
      <w:r w:rsidRPr="00E27443">
        <w:t>that,</w:t>
      </w:r>
      <w:r w:rsidR="00C63F8F" w:rsidRPr="00E27443">
        <w:t xml:space="preserve"> </w:t>
      </w:r>
      <w:r w:rsidRPr="00E27443">
        <w:t>for</w:t>
      </w:r>
      <w:r w:rsidR="00C63F8F" w:rsidRPr="00E27443">
        <w:t xml:space="preserve"> </w:t>
      </w:r>
      <w:r w:rsidRPr="00E27443">
        <w:t>specific</w:t>
      </w:r>
      <w:r w:rsidR="00C63F8F" w:rsidRPr="00E27443">
        <w:t xml:space="preserve"> </w:t>
      </w:r>
      <w:r w:rsidRPr="00E27443">
        <w:t>reasons,</w:t>
      </w:r>
      <w:r w:rsidR="00C63F8F" w:rsidRPr="00E27443">
        <w:t xml:space="preserve"> </w:t>
      </w:r>
      <w:r w:rsidRPr="00E27443">
        <w:t>it</w:t>
      </w:r>
      <w:r w:rsidR="00C63F8F" w:rsidRPr="00E27443">
        <w:t xml:space="preserve"> </w:t>
      </w:r>
      <w:r w:rsidRPr="00E27443">
        <w:t>is</w:t>
      </w:r>
      <w:r w:rsidR="00C63F8F" w:rsidRPr="00E27443">
        <w:t xml:space="preserve"> </w:t>
      </w:r>
      <w:r w:rsidRPr="00E27443">
        <w:t>necessary</w:t>
      </w:r>
      <w:r w:rsidR="00C63F8F" w:rsidRPr="00E27443">
        <w:t xml:space="preserve"> </w:t>
      </w:r>
      <w:r w:rsidRPr="00E27443">
        <w:t>to</w:t>
      </w:r>
      <w:r w:rsidR="00C63F8F" w:rsidRPr="00E27443">
        <w:t xml:space="preserve"> </w:t>
      </w:r>
      <w:r w:rsidRPr="00E27443">
        <w:t>use</w:t>
      </w:r>
      <w:r w:rsidR="00C63F8F" w:rsidRPr="00E27443">
        <w:t xml:space="preserve"> </w:t>
      </w:r>
      <w:r w:rsidRPr="00E27443">
        <w:t>inaccessible</w:t>
      </w:r>
      <w:r w:rsidR="00C63F8F" w:rsidRPr="00E27443">
        <w:t xml:space="preserve"> </w:t>
      </w:r>
      <w:r w:rsidRPr="00E27443">
        <w:t>premises,</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must</w:t>
      </w:r>
      <w:r w:rsidR="00C63F8F" w:rsidRPr="00E27443">
        <w:t xml:space="preserve"> </w:t>
      </w:r>
      <w:r w:rsidRPr="00E27443">
        <w:t>notify</w:t>
      </w:r>
      <w:r w:rsidR="00C63F8F" w:rsidRPr="00E27443">
        <w:t xml:space="preserve"> </w:t>
      </w:r>
      <w:r w:rsidRPr="00E27443">
        <w:t>this</w:t>
      </w:r>
      <w:r w:rsidR="00C63F8F" w:rsidRPr="00E27443">
        <w:t xml:space="preserve"> </w:t>
      </w:r>
      <w:r w:rsidRPr="00E27443">
        <w:t>to</w:t>
      </w:r>
      <w:r w:rsidR="00C63F8F" w:rsidRPr="00E27443">
        <w:t xml:space="preserve"> </w:t>
      </w:r>
      <w:r w:rsidRPr="00E27443">
        <w:t>the</w:t>
      </w:r>
      <w:r w:rsidR="00C63F8F" w:rsidRPr="00E27443">
        <w:t xml:space="preserve"> </w:t>
      </w:r>
      <w:r w:rsidRPr="00E27443">
        <w:t>county</w:t>
      </w:r>
      <w:r w:rsidR="00C63F8F" w:rsidRPr="00E27443">
        <w:t xml:space="preserve"> </w:t>
      </w:r>
      <w:r w:rsidRPr="00E27443">
        <w:t>administrative</w:t>
      </w:r>
      <w:r w:rsidR="00C63F8F" w:rsidRPr="00E27443">
        <w:t xml:space="preserve"> </w:t>
      </w:r>
      <w:r w:rsidRPr="00E27443">
        <w:t>board.</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must</w:t>
      </w:r>
      <w:r w:rsidR="00C63F8F" w:rsidRPr="00E27443">
        <w:t xml:space="preserve"> </w:t>
      </w:r>
      <w:r w:rsidRPr="00E27443">
        <w:t>then</w:t>
      </w:r>
      <w:r w:rsidR="00C63F8F" w:rsidRPr="00E27443">
        <w:t xml:space="preserve"> </w:t>
      </w:r>
      <w:r w:rsidRPr="00E27443">
        <w:t>specify</w:t>
      </w:r>
      <w:r w:rsidR="00C63F8F" w:rsidRPr="00E27443">
        <w:t xml:space="preserve"> </w:t>
      </w:r>
      <w:r w:rsidRPr="00E27443">
        <w:t>why</w:t>
      </w:r>
      <w:r w:rsidR="00C63F8F" w:rsidRPr="00E27443">
        <w:t xml:space="preserve"> </w:t>
      </w:r>
      <w:r w:rsidRPr="00E27443">
        <w:t>other</w:t>
      </w:r>
      <w:r w:rsidR="00C63F8F" w:rsidRPr="00E27443">
        <w:t xml:space="preserve"> </w:t>
      </w:r>
      <w:r w:rsidRPr="00E27443">
        <w:t>premises</w:t>
      </w:r>
      <w:r w:rsidR="00C63F8F" w:rsidRPr="00E27443">
        <w:t xml:space="preserve"> </w:t>
      </w:r>
      <w:r w:rsidRPr="00E27443">
        <w:t>cannot</w:t>
      </w:r>
      <w:r w:rsidR="00C63F8F" w:rsidRPr="00E27443">
        <w:t xml:space="preserve"> </w:t>
      </w:r>
      <w:r w:rsidRPr="00E27443">
        <w:t>be</w:t>
      </w:r>
      <w:r w:rsidR="00C63F8F" w:rsidRPr="00E27443">
        <w:t xml:space="preserve"> </w:t>
      </w:r>
      <w:r w:rsidRPr="00E27443">
        <w:t>used,</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what</w:t>
      </w:r>
      <w:r w:rsidR="00C63F8F" w:rsidRPr="00E27443">
        <w:t xml:space="preserve"> </w:t>
      </w:r>
      <w:r w:rsidRPr="00E27443">
        <w:t>measures</w:t>
      </w:r>
      <w:r w:rsidR="00C63F8F" w:rsidRPr="00E27443">
        <w:t xml:space="preserve"> </w:t>
      </w:r>
      <w:r w:rsidRPr="00E27443">
        <w:t>it</w:t>
      </w:r>
      <w:r w:rsidR="00C63F8F" w:rsidRPr="00E27443">
        <w:t xml:space="preserve"> </w:t>
      </w:r>
      <w:r w:rsidRPr="00E27443">
        <w:t>will</w:t>
      </w:r>
      <w:r w:rsidR="00C63F8F" w:rsidRPr="00E27443">
        <w:t xml:space="preserve"> </w:t>
      </w:r>
      <w:r w:rsidRPr="00E27443">
        <w:t>implement</w:t>
      </w:r>
      <w:r w:rsidR="00C63F8F" w:rsidRPr="00E27443">
        <w:t xml:space="preserve"> </w:t>
      </w:r>
      <w:r w:rsidRPr="00E27443">
        <w:t>to</w:t>
      </w:r>
      <w:r w:rsidR="00C63F8F" w:rsidRPr="00E27443">
        <w:t xml:space="preserve"> </w:t>
      </w:r>
      <w:r w:rsidRPr="00E27443">
        <w:t>correct</w:t>
      </w:r>
      <w:r w:rsidR="00C63F8F" w:rsidRPr="00E27443">
        <w:t xml:space="preserve"> </w:t>
      </w:r>
      <w:r w:rsidRPr="00E27443">
        <w:t>the</w:t>
      </w:r>
      <w:r w:rsidR="00C63F8F" w:rsidRPr="00E27443">
        <w:t xml:space="preserve"> </w:t>
      </w:r>
      <w:r w:rsidRPr="00E27443">
        <w:t>shortcomings</w:t>
      </w:r>
      <w:r w:rsidR="00C63F8F" w:rsidRPr="00E27443">
        <w:t xml:space="preserve"> </w:t>
      </w:r>
      <w:r w:rsidRPr="00E27443">
        <w:t>in</w:t>
      </w:r>
      <w:r w:rsidR="00C63F8F" w:rsidRPr="00E27443">
        <w:t xml:space="preserve"> </w:t>
      </w:r>
      <w:r w:rsidRPr="00E27443">
        <w:t>subsequent</w:t>
      </w:r>
      <w:r w:rsidR="00C63F8F" w:rsidRPr="00E27443">
        <w:t xml:space="preserve"> </w:t>
      </w:r>
      <w:r w:rsidRPr="00E27443">
        <w:t>elections.</w:t>
      </w:r>
      <w:r w:rsidR="00C63F8F" w:rsidRPr="00E27443">
        <w:t xml:space="preserve"> </w:t>
      </w:r>
      <w:r w:rsidRPr="00E27443">
        <w:t>The</w:t>
      </w:r>
      <w:r w:rsidR="00C63F8F" w:rsidRPr="00E27443">
        <w:t xml:space="preserve"> </w:t>
      </w:r>
      <w:r w:rsidRPr="00E27443">
        <w:t>county</w:t>
      </w:r>
      <w:r w:rsidR="00C63F8F" w:rsidRPr="00E27443">
        <w:t xml:space="preserve"> </w:t>
      </w:r>
      <w:r w:rsidRPr="00E27443">
        <w:t>administrative</w:t>
      </w:r>
      <w:r w:rsidR="00C63F8F" w:rsidRPr="00E27443">
        <w:t xml:space="preserve"> </w:t>
      </w:r>
      <w:r w:rsidRPr="00E27443">
        <w:t>board</w:t>
      </w:r>
      <w:r w:rsidR="00C63F8F" w:rsidRPr="00E27443">
        <w:t xml:space="preserve"> </w:t>
      </w:r>
      <w:r w:rsidRPr="00E27443">
        <w:t>then</w:t>
      </w:r>
      <w:r w:rsidR="00C63F8F" w:rsidRPr="00E27443">
        <w:t xml:space="preserve"> </w:t>
      </w:r>
      <w:r w:rsidRPr="00E27443">
        <w:t>decides</w:t>
      </w:r>
      <w:r w:rsidR="00A57488" w:rsidRPr="00E27443">
        <w:rPr>
          <w:rStyle w:val="FootnoteReference"/>
        </w:rPr>
        <w:footnoteReference w:id="134"/>
      </w:r>
      <w:r w:rsidR="00C63F8F" w:rsidRPr="00E27443">
        <w:t xml:space="preserve"> </w:t>
      </w:r>
      <w:r w:rsidRPr="00E27443">
        <w:t>whether</w:t>
      </w:r>
      <w:r w:rsidR="00C63F8F" w:rsidRPr="00E27443">
        <w:t xml:space="preserve"> </w:t>
      </w:r>
      <w:r w:rsidRPr="00E27443">
        <w:t>the</w:t>
      </w:r>
      <w:r w:rsidR="00C63F8F" w:rsidRPr="00E27443">
        <w:t xml:space="preserve"> </w:t>
      </w:r>
      <w:r w:rsidRPr="00E27443">
        <w:t>municipality</w:t>
      </w:r>
      <w:r w:rsidR="00C63F8F" w:rsidRPr="00E27443">
        <w:t xml:space="preserve"> </w:t>
      </w:r>
      <w:r w:rsidRPr="00E27443">
        <w:t>may</w:t>
      </w:r>
      <w:r w:rsidR="00C63F8F" w:rsidRPr="00E27443">
        <w:t xml:space="preserve"> </w:t>
      </w:r>
      <w:r w:rsidRPr="00E27443">
        <w:t>use</w:t>
      </w:r>
      <w:r w:rsidR="00C63F8F" w:rsidRPr="00E27443">
        <w:t xml:space="preserve"> </w:t>
      </w:r>
      <w:r w:rsidRPr="00E27443">
        <w:t>the</w:t>
      </w:r>
      <w:r w:rsidR="00C63F8F" w:rsidRPr="00E27443">
        <w:t xml:space="preserve"> </w:t>
      </w:r>
      <w:r w:rsidRPr="00E27443">
        <w:t>inaccessible</w:t>
      </w:r>
      <w:r w:rsidR="00C63F8F" w:rsidRPr="00E27443">
        <w:t xml:space="preserve"> </w:t>
      </w:r>
      <w:r w:rsidRPr="00E27443">
        <w:t>premises.</w:t>
      </w:r>
      <w:r w:rsidR="00C63F8F" w:rsidRPr="00E27443">
        <w:t xml:space="preserve"> </w:t>
      </w:r>
      <w:r w:rsidRPr="00E27443">
        <w:t>If</w:t>
      </w:r>
      <w:r w:rsidR="00C63F8F" w:rsidRPr="00E27443">
        <w:t xml:space="preserve"> </w:t>
      </w:r>
      <w:r w:rsidRPr="00E27443">
        <w:t>voting</w:t>
      </w:r>
      <w:r w:rsidR="00C63F8F" w:rsidRPr="00E27443">
        <w:t xml:space="preserve"> </w:t>
      </w:r>
      <w:r w:rsidRPr="00E27443">
        <w:t>is</w:t>
      </w:r>
      <w:r w:rsidR="00C63F8F" w:rsidRPr="00E27443">
        <w:t xml:space="preserve"> </w:t>
      </w:r>
      <w:r w:rsidRPr="00E27443">
        <w:t>allowed</w:t>
      </w:r>
      <w:r w:rsidR="00C63F8F" w:rsidRPr="00E27443">
        <w:t xml:space="preserve"> </w:t>
      </w:r>
      <w:r w:rsidRPr="00E27443">
        <w:t>to</w:t>
      </w:r>
      <w:r w:rsidR="00C63F8F" w:rsidRPr="00E27443">
        <w:t xml:space="preserve"> </w:t>
      </w:r>
      <w:r w:rsidRPr="00E27443">
        <w:t>take</w:t>
      </w:r>
      <w:r w:rsidR="00C63F8F" w:rsidRPr="00E27443">
        <w:t xml:space="preserve"> </w:t>
      </w:r>
      <w:r w:rsidRPr="00E27443">
        <w:t>place</w:t>
      </w:r>
      <w:r w:rsidR="00C63F8F" w:rsidRPr="00E27443">
        <w:t xml:space="preserve"> </w:t>
      </w:r>
      <w:r w:rsidRPr="00E27443">
        <w:t>in</w:t>
      </w:r>
      <w:r w:rsidR="00C63F8F" w:rsidRPr="00E27443">
        <w:t xml:space="preserve"> </w:t>
      </w:r>
      <w:r w:rsidRPr="00E27443">
        <w:t>inaccessible</w:t>
      </w:r>
      <w:r w:rsidR="00C63F8F" w:rsidRPr="00E27443">
        <w:t xml:space="preserve"> </w:t>
      </w:r>
      <w:r w:rsidRPr="00E27443">
        <w:t>premises,</w:t>
      </w:r>
      <w:r w:rsidR="00C63F8F" w:rsidRPr="00E27443">
        <w:t xml:space="preserve"> </w:t>
      </w:r>
      <w:r w:rsidRPr="00E27443">
        <w:t>the</w:t>
      </w:r>
      <w:r w:rsidR="00C63F8F" w:rsidRPr="00E27443">
        <w:t xml:space="preserve"> </w:t>
      </w:r>
      <w:r w:rsidRPr="00E27443">
        <w:t>election</w:t>
      </w:r>
      <w:r w:rsidR="00C63F8F" w:rsidRPr="00E27443">
        <w:t xml:space="preserve"> </w:t>
      </w:r>
      <w:r w:rsidRPr="00E27443">
        <w:t>officers</w:t>
      </w:r>
      <w:r w:rsidR="00C63F8F" w:rsidRPr="00E27443">
        <w:t xml:space="preserve"> </w:t>
      </w:r>
      <w:r w:rsidRPr="00E27443">
        <w:t>may</w:t>
      </w:r>
      <w:r w:rsidR="00C63F8F" w:rsidRPr="00E27443">
        <w:t xml:space="preserve"> </w:t>
      </w:r>
      <w:r w:rsidRPr="00E27443">
        <w:t>receive</w:t>
      </w:r>
      <w:r w:rsidR="00C63F8F" w:rsidRPr="00E27443">
        <w:t xml:space="preserve"> </w:t>
      </w:r>
      <w:r w:rsidRPr="00E27443">
        <w:t>voting</w:t>
      </w:r>
      <w:r w:rsidR="00C63F8F" w:rsidRPr="00E27443">
        <w:t xml:space="preserve"> </w:t>
      </w:r>
      <w:r w:rsidRPr="00E27443">
        <w:t>envelopes</w:t>
      </w:r>
      <w:r w:rsidR="00C63F8F" w:rsidRPr="00E27443">
        <w:t xml:space="preserve"> </w:t>
      </w:r>
      <w:r w:rsidRPr="00E27443">
        <w:t>outside</w:t>
      </w:r>
      <w:r w:rsidR="00C63F8F" w:rsidRPr="00E27443">
        <w:t xml:space="preserve"> </w:t>
      </w:r>
      <w:r w:rsidRPr="00E27443">
        <w:t>of</w:t>
      </w:r>
      <w:r w:rsidR="00C63F8F" w:rsidRPr="00E27443">
        <w:t xml:space="preserve"> </w:t>
      </w:r>
      <w:r w:rsidRPr="00E27443">
        <w:t>the</w:t>
      </w:r>
      <w:r w:rsidR="00C63F8F" w:rsidRPr="00E27443">
        <w:t xml:space="preserve"> </w:t>
      </w:r>
      <w:r w:rsidRPr="00E27443">
        <w:t>polling</w:t>
      </w:r>
      <w:r w:rsidR="00C63F8F" w:rsidRPr="00E27443">
        <w:t xml:space="preserve"> </w:t>
      </w:r>
      <w:r w:rsidRPr="00E27443">
        <w:t>stations</w:t>
      </w:r>
      <w:r w:rsidR="00C63F8F" w:rsidRPr="00E27443">
        <w:t xml:space="preserve"> </w:t>
      </w:r>
      <w:r w:rsidRPr="00E27443">
        <w:t>if</w:t>
      </w:r>
      <w:r w:rsidR="00C63F8F" w:rsidRPr="00E27443">
        <w:t xml:space="preserve"> </w:t>
      </w:r>
      <w:r w:rsidRPr="00E27443">
        <w:t>this</w:t>
      </w:r>
      <w:r w:rsidR="00C63F8F" w:rsidRPr="00E27443">
        <w:t xml:space="preserve"> </w:t>
      </w:r>
      <w:r w:rsidRPr="00E27443">
        <w:t>can</w:t>
      </w:r>
      <w:r w:rsidR="00C63F8F" w:rsidRPr="00E27443">
        <w:t xml:space="preserve"> </w:t>
      </w:r>
      <w:r w:rsidRPr="00E27443">
        <w:t>take</w:t>
      </w:r>
      <w:r w:rsidR="00C63F8F" w:rsidRPr="00E27443">
        <w:t xml:space="preserve"> </w:t>
      </w:r>
      <w:r w:rsidRPr="00E27443">
        <w:t>place</w:t>
      </w:r>
      <w:r w:rsidR="00C63F8F" w:rsidRPr="00E27443">
        <w:t xml:space="preserve"> </w:t>
      </w:r>
      <w:r w:rsidRPr="00E27443">
        <w:t>in</w:t>
      </w:r>
      <w:r w:rsidR="00C63F8F" w:rsidRPr="00E27443">
        <w:t xml:space="preserve"> </w:t>
      </w:r>
      <w:r w:rsidRPr="00E27443">
        <w:t>a</w:t>
      </w:r>
      <w:r w:rsidR="00C63F8F" w:rsidRPr="00E27443">
        <w:t xml:space="preserve"> </w:t>
      </w:r>
      <w:r w:rsidRPr="00E27443">
        <w:t>secure</w:t>
      </w:r>
      <w:r w:rsidR="00C63F8F" w:rsidRPr="00E27443">
        <w:t xml:space="preserve"> </w:t>
      </w:r>
      <w:r w:rsidRPr="00E27443">
        <w:t>manner.</w:t>
      </w:r>
      <w:r w:rsidR="00A57488" w:rsidRPr="00E27443">
        <w:rPr>
          <w:rStyle w:val="FootnoteReference"/>
        </w:rPr>
        <w:footnoteReference w:id="135"/>
      </w:r>
    </w:p>
    <w:p w:rsidR="00321ADA" w:rsidRPr="00E27443" w:rsidRDefault="00321ADA" w:rsidP="00AC1761">
      <w:pPr>
        <w:pStyle w:val="SingleTxtG"/>
        <w:numPr>
          <w:ilvl w:val="0"/>
          <w:numId w:val="20"/>
        </w:numPr>
        <w:tabs>
          <w:tab w:val="left" w:pos="1843"/>
        </w:tabs>
        <w:ind w:left="1134" w:firstLine="0"/>
      </w:pPr>
      <w:r w:rsidRPr="00E27443">
        <w:t>Voters</w:t>
      </w:r>
      <w:r w:rsidR="00C63F8F" w:rsidRPr="00E27443">
        <w:t xml:space="preserve"> </w:t>
      </w:r>
      <w:r w:rsidRPr="00E27443">
        <w:t>who,</w:t>
      </w:r>
      <w:r w:rsidR="00C63F8F" w:rsidRPr="00E27443">
        <w:t xml:space="preserve"> </w:t>
      </w:r>
      <w:r w:rsidRPr="00E27443">
        <w:t>as</w:t>
      </w:r>
      <w:r w:rsidR="00C63F8F" w:rsidRPr="00E27443">
        <w:t xml:space="preserve"> </w:t>
      </w:r>
      <w:r w:rsidRPr="00E27443">
        <w:t>a</w:t>
      </w:r>
      <w:r w:rsidR="00C63F8F" w:rsidRPr="00E27443">
        <w:t xml:space="preserve"> </w:t>
      </w:r>
      <w:r w:rsidRPr="00E27443">
        <w:t>result</w:t>
      </w:r>
      <w:r w:rsidR="00C63F8F" w:rsidRPr="00E27443">
        <w:t xml:space="preserve"> </w:t>
      </w:r>
      <w:r w:rsidRPr="00E27443">
        <w:t>of</w:t>
      </w:r>
      <w:r w:rsidR="00C63F8F" w:rsidRPr="00E27443">
        <w:t xml:space="preserve"> </w:t>
      </w:r>
      <w:r w:rsidRPr="00E27443">
        <w:t>a</w:t>
      </w:r>
      <w:r w:rsidR="00C63F8F" w:rsidRPr="00E27443">
        <w:t xml:space="preserve"> </w:t>
      </w:r>
      <w:r w:rsidRPr="00E27443">
        <w:t>disability</w:t>
      </w:r>
      <w:r w:rsidR="00C63F8F" w:rsidRPr="00E27443">
        <w:t xml:space="preserve"> </w:t>
      </w:r>
      <w:r w:rsidRPr="00E27443">
        <w:t>or</w:t>
      </w:r>
      <w:r w:rsidR="00C63F8F" w:rsidRPr="00E27443">
        <w:t xml:space="preserve"> </w:t>
      </w:r>
      <w:r w:rsidRPr="00E27443">
        <w:t>similar,</w:t>
      </w:r>
      <w:r w:rsidR="00C63F8F" w:rsidRPr="00E27443">
        <w:t xml:space="preserve"> </w:t>
      </w:r>
      <w:r w:rsidRPr="00E27443">
        <w:t>are</w:t>
      </w:r>
      <w:r w:rsidR="00C63F8F" w:rsidRPr="00E27443">
        <w:t xml:space="preserve"> </w:t>
      </w:r>
      <w:r w:rsidRPr="00E27443">
        <w:t>not</w:t>
      </w:r>
      <w:r w:rsidR="00C63F8F" w:rsidRPr="00E27443">
        <w:t xml:space="preserve"> </w:t>
      </w:r>
      <w:r w:rsidRPr="00E27443">
        <w:t>themselves</w:t>
      </w:r>
      <w:r w:rsidR="00C63F8F" w:rsidRPr="00E27443">
        <w:t xml:space="preserve"> </w:t>
      </w:r>
      <w:r w:rsidRPr="00E27443">
        <w:t>able</w:t>
      </w:r>
      <w:r w:rsidR="00C63F8F" w:rsidRPr="00E27443">
        <w:t xml:space="preserve"> </w:t>
      </w:r>
      <w:r w:rsidRPr="00E27443">
        <w:t>to</w:t>
      </w:r>
      <w:r w:rsidR="00C63F8F" w:rsidRPr="00E27443">
        <w:t xml:space="preserve"> </w:t>
      </w:r>
      <w:r w:rsidRPr="00E27443">
        <w:t>prepare</w:t>
      </w:r>
      <w:r w:rsidR="00C63F8F" w:rsidRPr="00E27443">
        <w:t xml:space="preserve"> </w:t>
      </w:r>
      <w:r w:rsidRPr="00E27443">
        <w:t>their</w:t>
      </w:r>
      <w:r w:rsidR="00C63F8F" w:rsidRPr="00E27443">
        <w:t xml:space="preserve"> </w:t>
      </w:r>
      <w:r w:rsidRPr="00E27443">
        <w:t>votes,</w:t>
      </w:r>
      <w:r w:rsidR="00C63F8F" w:rsidRPr="00E27443">
        <w:t xml:space="preserve"> </w:t>
      </w:r>
      <w:r w:rsidRPr="00E27443">
        <w:t>shall</w:t>
      </w:r>
      <w:r w:rsidR="00C63F8F" w:rsidRPr="00E27443">
        <w:t xml:space="preserve"> </w:t>
      </w:r>
      <w:r w:rsidRPr="00E27443">
        <w:t>on</w:t>
      </w:r>
      <w:r w:rsidR="00C63F8F" w:rsidRPr="00E27443">
        <w:t xml:space="preserve"> </w:t>
      </w:r>
      <w:r w:rsidRPr="00E27443">
        <w:t>request</w:t>
      </w:r>
      <w:r w:rsidR="00C63F8F" w:rsidRPr="00E27443">
        <w:t xml:space="preserve"> </w:t>
      </w:r>
      <w:r w:rsidRPr="00E27443">
        <w:t>receive</w:t>
      </w:r>
      <w:r w:rsidR="00C63F8F" w:rsidRPr="00E27443">
        <w:t xml:space="preserve"> </w:t>
      </w:r>
      <w:r w:rsidRPr="00E27443">
        <w:t>assistance</w:t>
      </w:r>
      <w:r w:rsidR="00C63F8F" w:rsidRPr="00E27443">
        <w:t xml:space="preserve"> </w:t>
      </w:r>
      <w:r w:rsidRPr="00E27443">
        <w:t>with</w:t>
      </w:r>
      <w:r w:rsidR="00C63F8F" w:rsidRPr="00E27443">
        <w:t xml:space="preserve"> </w:t>
      </w:r>
      <w:r w:rsidRPr="00E27443">
        <w:t>this</w:t>
      </w:r>
      <w:r w:rsidR="00C63F8F" w:rsidRPr="00E27443">
        <w:t xml:space="preserve"> </w:t>
      </w:r>
      <w:r w:rsidRPr="00E27443">
        <w:t>from</w:t>
      </w:r>
      <w:r w:rsidR="00C63F8F" w:rsidRPr="00E27443">
        <w:t xml:space="preserve"> </w:t>
      </w:r>
      <w:r w:rsidRPr="00E27443">
        <w:t>the</w:t>
      </w:r>
      <w:r w:rsidR="00C63F8F" w:rsidRPr="00E27443">
        <w:t xml:space="preserve"> </w:t>
      </w:r>
      <w:r w:rsidRPr="00E27443">
        <w:t>election</w:t>
      </w:r>
      <w:r w:rsidR="00C63F8F" w:rsidRPr="00E27443">
        <w:t xml:space="preserve"> </w:t>
      </w:r>
      <w:r w:rsidRPr="00E27443">
        <w:t>officers</w:t>
      </w:r>
      <w:r w:rsidR="00C63F8F" w:rsidRPr="00E27443">
        <w:t xml:space="preserve"> </w:t>
      </w:r>
      <w:r w:rsidRPr="00E27443">
        <w:t>to</w:t>
      </w:r>
      <w:r w:rsidR="00C63F8F" w:rsidRPr="00E27443">
        <w:t xml:space="preserve"> </w:t>
      </w:r>
      <w:r w:rsidRPr="00E27443">
        <w:t>the</w:t>
      </w:r>
      <w:r w:rsidR="00C63F8F" w:rsidRPr="00E27443">
        <w:t xml:space="preserve"> </w:t>
      </w:r>
      <w:r w:rsidRPr="00E27443">
        <w:t>extent</w:t>
      </w:r>
      <w:r w:rsidR="00C63F8F" w:rsidRPr="00E27443">
        <w:t xml:space="preserve"> </w:t>
      </w:r>
      <w:r w:rsidRPr="00E27443">
        <w:t>necessary.</w:t>
      </w:r>
      <w:r w:rsidR="00A57488" w:rsidRPr="00E27443">
        <w:rPr>
          <w:rStyle w:val="FootnoteReference"/>
        </w:rPr>
        <w:footnoteReference w:id="136"/>
      </w:r>
      <w:r w:rsidR="00C63F8F" w:rsidRPr="00E27443">
        <w:t xml:space="preserve"> </w:t>
      </w:r>
      <w:r w:rsidRPr="00E27443">
        <w:t>There</w:t>
      </w:r>
      <w:r w:rsidR="00C63F8F" w:rsidRPr="00E27443">
        <w:t xml:space="preserve"> </w:t>
      </w:r>
      <w:r w:rsidRPr="00E27443">
        <w:t>are</w:t>
      </w:r>
      <w:r w:rsidR="00C63F8F" w:rsidRPr="00E27443">
        <w:t xml:space="preserve"> </w:t>
      </w:r>
      <w:r w:rsidRPr="00E27443">
        <w:t>also</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vote</w:t>
      </w:r>
      <w:r w:rsidR="00C63F8F" w:rsidRPr="00E27443">
        <w:t xml:space="preserve"> </w:t>
      </w:r>
      <w:r w:rsidRPr="00E27443">
        <w:t>by</w:t>
      </w:r>
      <w:r w:rsidR="00C63F8F" w:rsidRPr="00E27443">
        <w:t xml:space="preserve"> </w:t>
      </w:r>
      <w:r w:rsidRPr="00E27443">
        <w:t>proxy</w:t>
      </w:r>
      <w:r w:rsidR="00C63F8F" w:rsidRPr="00E27443">
        <w:t xml:space="preserve"> </w:t>
      </w:r>
      <w:r w:rsidRPr="00E27443">
        <w:t>if</w:t>
      </w:r>
      <w:r w:rsidR="00C63F8F" w:rsidRPr="00E27443">
        <w:t xml:space="preserve"> </w:t>
      </w:r>
      <w:r w:rsidRPr="00E27443">
        <w:t>the</w:t>
      </w:r>
      <w:r w:rsidR="00C63F8F" w:rsidRPr="00E27443">
        <w:t xml:space="preserve"> </w:t>
      </w:r>
      <w:r w:rsidRPr="00E27443">
        <w:t>voter,</w:t>
      </w:r>
      <w:r w:rsidR="00C63F8F" w:rsidRPr="00E27443">
        <w:t xml:space="preserve"> </w:t>
      </w:r>
      <w:r w:rsidRPr="00E27443">
        <w:t>due</w:t>
      </w:r>
      <w:r w:rsidR="00C63F8F" w:rsidRPr="00E27443">
        <w:t xml:space="preserve"> </w:t>
      </w:r>
      <w:r w:rsidRPr="00E27443">
        <w:t>to</w:t>
      </w:r>
      <w:r w:rsidR="00C63F8F" w:rsidRPr="00E27443">
        <w:t xml:space="preserve"> </w:t>
      </w:r>
      <w:r w:rsidRPr="00E27443">
        <w:t>illness,</w:t>
      </w:r>
      <w:r w:rsidR="00C63F8F" w:rsidRPr="00E27443">
        <w:t xml:space="preserve"> </w:t>
      </w:r>
      <w:r w:rsidRPr="00E27443">
        <w:t>disability</w:t>
      </w:r>
      <w:r w:rsidR="00C63F8F" w:rsidRPr="00E27443">
        <w:t xml:space="preserve"> </w:t>
      </w:r>
      <w:r w:rsidRPr="00E27443">
        <w:t>or</w:t>
      </w:r>
      <w:r w:rsidR="00C63F8F" w:rsidRPr="00E27443">
        <w:t xml:space="preserve"> </w:t>
      </w:r>
      <w:r w:rsidRPr="00E27443">
        <w:t>age,</w:t>
      </w:r>
      <w:r w:rsidR="00C63F8F" w:rsidRPr="00E27443">
        <w:t xml:space="preserve"> </w:t>
      </w:r>
      <w:r w:rsidRPr="00E27443">
        <w:t>is</w:t>
      </w:r>
      <w:r w:rsidR="00C63F8F" w:rsidRPr="00E27443">
        <w:t xml:space="preserve"> </w:t>
      </w:r>
      <w:r w:rsidRPr="00E27443">
        <w:t>unable</w:t>
      </w:r>
      <w:r w:rsidR="00C63F8F" w:rsidRPr="00E27443">
        <w:t xml:space="preserve"> </w:t>
      </w:r>
      <w:r w:rsidRPr="00E27443">
        <w:t>to</w:t>
      </w:r>
      <w:r w:rsidR="00C63F8F" w:rsidRPr="00E27443">
        <w:t xml:space="preserve"> </w:t>
      </w:r>
      <w:r w:rsidRPr="00E27443">
        <w:t>get</w:t>
      </w:r>
      <w:r w:rsidR="00C63F8F" w:rsidRPr="00E27443">
        <w:t xml:space="preserve"> </w:t>
      </w:r>
      <w:r w:rsidRPr="00E27443">
        <w:t>to</w:t>
      </w:r>
      <w:r w:rsidR="00C63F8F" w:rsidRPr="00E27443">
        <w:t xml:space="preserve"> </w:t>
      </w:r>
      <w:r w:rsidRPr="00E27443">
        <w:t>the</w:t>
      </w:r>
      <w:r w:rsidR="00C63F8F" w:rsidRPr="00E27443">
        <w:t xml:space="preserve"> </w:t>
      </w:r>
      <w:r w:rsidRPr="00E27443">
        <w:t>voting</w:t>
      </w:r>
      <w:r w:rsidR="00C63F8F" w:rsidRPr="00E27443">
        <w:t xml:space="preserve"> </w:t>
      </w:r>
      <w:r w:rsidRPr="00E27443">
        <w:t>station</w:t>
      </w:r>
      <w:r w:rsidR="00C63F8F" w:rsidRPr="00E27443">
        <w:t xml:space="preserve"> </w:t>
      </w:r>
      <w:r w:rsidRPr="00E27443">
        <w:t>him</w:t>
      </w:r>
      <w:r w:rsidR="00C63F8F" w:rsidRPr="00E27443">
        <w:t xml:space="preserve"> </w:t>
      </w:r>
      <w:r w:rsidRPr="00E27443">
        <w:t>or</w:t>
      </w:r>
      <w:r w:rsidR="00C63F8F" w:rsidRPr="00E27443">
        <w:t xml:space="preserve"> </w:t>
      </w:r>
      <w:r w:rsidRPr="00E27443">
        <w:t>herself.</w:t>
      </w:r>
      <w:r w:rsidR="00A57488" w:rsidRPr="00E27443">
        <w:rPr>
          <w:rStyle w:val="FootnoteReference"/>
        </w:rPr>
        <w:footnoteReference w:id="137"/>
      </w:r>
    </w:p>
    <w:p w:rsidR="00321ADA" w:rsidRPr="00E27443" w:rsidRDefault="00321ADA" w:rsidP="00272B46">
      <w:pPr>
        <w:pStyle w:val="SingleTxtG"/>
        <w:numPr>
          <w:ilvl w:val="0"/>
          <w:numId w:val="20"/>
        </w:numPr>
        <w:tabs>
          <w:tab w:val="left" w:pos="1843"/>
        </w:tabs>
        <w:ind w:left="1134" w:firstLine="0"/>
      </w:pPr>
      <w:r w:rsidRPr="00E27443">
        <w:t>The</w:t>
      </w:r>
      <w:r w:rsidR="00C63F8F" w:rsidRPr="00E27443">
        <w:t xml:space="preserve"> </w:t>
      </w:r>
      <w:r w:rsidRPr="00E27443">
        <w:t>Local</w:t>
      </w:r>
      <w:r w:rsidR="00C63F8F" w:rsidRPr="00E27443">
        <w:t xml:space="preserve"> </w:t>
      </w:r>
      <w:r w:rsidRPr="00E27443">
        <w:t>Government</w:t>
      </w:r>
      <w:r w:rsidR="00C63F8F" w:rsidRPr="00E27443">
        <w:t xml:space="preserve"> </w:t>
      </w:r>
      <w:r w:rsidRPr="00E27443">
        <w:t>Act</w:t>
      </w:r>
      <w:r w:rsidR="00A57488" w:rsidRPr="00272B46">
        <w:footnoteReference w:id="138"/>
      </w:r>
      <w:r w:rsidR="00286B6C">
        <w:t xml:space="preserve"> </w:t>
      </w:r>
      <w:r w:rsidRPr="00E27443">
        <w:t>contains</w:t>
      </w:r>
      <w:r w:rsidR="00C63F8F" w:rsidRPr="00E27443">
        <w:t xml:space="preserve"> </w:t>
      </w:r>
      <w:r w:rsidRPr="00E27443">
        <w:t>provisions</w:t>
      </w:r>
      <w:r w:rsidR="00C63F8F" w:rsidRPr="00E27443">
        <w:t xml:space="preserve"> </w:t>
      </w:r>
      <w:r w:rsidRPr="00E27443">
        <w:t>that</w:t>
      </w:r>
      <w:r w:rsidR="00C63F8F" w:rsidRPr="00E27443">
        <w:t xml:space="preserve"> </w:t>
      </w:r>
      <w:r w:rsidRPr="00E27443">
        <w:t>have</w:t>
      </w:r>
      <w:r w:rsidR="00C63F8F" w:rsidRPr="00E27443">
        <w:t xml:space="preserve"> </w:t>
      </w:r>
      <w:r w:rsidRPr="00E27443">
        <w:t>a</w:t>
      </w:r>
      <w:r w:rsidR="00C63F8F" w:rsidRPr="00E27443">
        <w:t xml:space="preserve"> </w:t>
      </w:r>
      <w:r w:rsidRPr="00E27443">
        <w:t>direct</w:t>
      </w:r>
      <w:r w:rsidR="00C63F8F" w:rsidRPr="00E27443">
        <w:t xml:space="preserve"> </w:t>
      </w:r>
      <w:r w:rsidRPr="00E27443">
        <w:t>bearing</w:t>
      </w:r>
      <w:r w:rsidR="00C63F8F" w:rsidRPr="00E27443">
        <w:t xml:space="preserve"> </w:t>
      </w:r>
      <w:r w:rsidRPr="00E27443">
        <w:t>on</w:t>
      </w:r>
      <w:r w:rsidR="00C63F8F" w:rsidRPr="00E27443">
        <w:t xml:space="preserve"> </w:t>
      </w:r>
      <w:r w:rsidRPr="00E27443">
        <w:t>political</w:t>
      </w:r>
      <w:r w:rsidR="00C63F8F" w:rsidRPr="00E27443">
        <w:t xml:space="preserve"> </w:t>
      </w:r>
      <w:r w:rsidRPr="00E27443">
        <w:t>participation</w:t>
      </w:r>
      <w:r w:rsidR="00C63F8F" w:rsidRPr="00E27443">
        <w:t xml:space="preserve"> </w:t>
      </w:r>
      <w:r w:rsidRPr="00E27443">
        <w:t>for</w:t>
      </w:r>
      <w:r w:rsidR="00C63F8F" w:rsidRPr="00E27443">
        <w:t xml:space="preserve"> </w:t>
      </w:r>
      <w:r w:rsidRPr="00E27443">
        <w:t>elected</w:t>
      </w:r>
      <w:r w:rsidR="00C63F8F" w:rsidRPr="00E27443">
        <w:t xml:space="preserve"> </w:t>
      </w:r>
      <w:r w:rsidRPr="00E27443">
        <w:t>representatives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Act</w:t>
      </w:r>
      <w:r w:rsidR="00A57488" w:rsidRPr="00272B46">
        <w:footnoteReference w:id="139"/>
      </w:r>
      <w:r w:rsidR="00C63F8F" w:rsidRPr="00E27443">
        <w:t xml:space="preserve"> </w:t>
      </w:r>
      <w:r w:rsidRPr="00E27443">
        <w:t>stipulates</w:t>
      </w:r>
      <w:r w:rsidR="00C63F8F" w:rsidRPr="00E27443">
        <w:t xml:space="preserve"> </w:t>
      </w:r>
      <w:r w:rsidRPr="00E27443">
        <w:t>that</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must</w:t>
      </w:r>
      <w:r w:rsidR="00C63F8F" w:rsidRPr="00E27443">
        <w:t xml:space="preserve"> </w:t>
      </w:r>
      <w:r w:rsidRPr="00E27443">
        <w:t>work</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elected</w:t>
      </w:r>
      <w:r w:rsidR="00C63F8F" w:rsidRPr="00E27443">
        <w:t xml:space="preserve"> </w:t>
      </w:r>
      <w:r w:rsidRPr="00E27443">
        <w:t>representatives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the</w:t>
      </w:r>
      <w:r w:rsidR="00C63F8F" w:rsidRPr="00E27443">
        <w:t xml:space="preserve"> </w:t>
      </w:r>
      <w:r w:rsidRPr="00E27443">
        <w:t>handling</w:t>
      </w:r>
      <w:r w:rsidR="00C63F8F" w:rsidRPr="00E27443">
        <w:t xml:space="preserve"> </w:t>
      </w:r>
      <w:r w:rsidRPr="00E27443">
        <w:t>of</w:t>
      </w:r>
      <w:r w:rsidR="00C63F8F" w:rsidRPr="00E27443">
        <w:t xml:space="preserve"> </w:t>
      </w:r>
      <w:r w:rsidRPr="00E27443">
        <w:t>matters</w:t>
      </w:r>
      <w:r w:rsidR="00C63F8F" w:rsidRPr="00E27443">
        <w:t xml:space="preserve"> </w:t>
      </w:r>
      <w:r w:rsidRPr="00E27443">
        <w:t>in</w:t>
      </w:r>
      <w:r w:rsidR="00C63F8F" w:rsidRPr="00E27443">
        <w:t xml:space="preserve"> </w:t>
      </w:r>
      <w:r w:rsidRPr="00E27443">
        <w:t>the</w:t>
      </w:r>
      <w:r w:rsidR="00C63F8F" w:rsidRPr="00E27443">
        <w:t xml:space="preserve"> </w:t>
      </w:r>
      <w:r w:rsidRPr="00E27443">
        <w:t>same</w:t>
      </w:r>
      <w:r w:rsidR="00C63F8F" w:rsidRPr="00E27443">
        <w:t xml:space="preserve"> </w:t>
      </w:r>
      <w:r w:rsidRPr="00E27443">
        <w:t>way</w:t>
      </w:r>
      <w:r w:rsidR="00C63F8F" w:rsidRPr="00E27443">
        <w:t xml:space="preserve"> </w:t>
      </w:r>
      <w:r w:rsidRPr="00E27443">
        <w:t>as</w:t>
      </w:r>
      <w:r w:rsidR="00C63F8F" w:rsidRPr="00E27443">
        <w:t xml:space="preserve"> </w:t>
      </w:r>
      <w:r w:rsidRPr="00E27443">
        <w:t>other</w:t>
      </w:r>
      <w:r w:rsidR="00C63F8F" w:rsidRPr="00E27443">
        <w:t xml:space="preserve"> </w:t>
      </w:r>
      <w:r w:rsidRPr="00E27443">
        <w:t>elected</w:t>
      </w:r>
      <w:r w:rsidR="00C63F8F" w:rsidRPr="00E27443">
        <w:t xml:space="preserve"> </w:t>
      </w:r>
      <w:r w:rsidRPr="00E27443">
        <w:t>representatives.</w:t>
      </w:r>
      <w:r w:rsidR="00C63F8F" w:rsidRPr="00E27443">
        <w:t xml:space="preserve"> </w:t>
      </w:r>
      <w:r w:rsidRPr="00E27443">
        <w:t>The</w:t>
      </w:r>
      <w:r w:rsidR="00C63F8F" w:rsidRPr="00E27443">
        <w:t xml:space="preserve"> </w:t>
      </w:r>
      <w:r w:rsidRPr="00E27443">
        <w:t>same</w:t>
      </w:r>
      <w:r w:rsidR="00C63F8F" w:rsidRPr="00E27443">
        <w:t xml:space="preserve"> </w:t>
      </w:r>
      <w:r w:rsidRPr="00E27443">
        <w:t>Act</w:t>
      </w:r>
      <w:r w:rsidR="00C63F8F" w:rsidRPr="00E27443">
        <w:t xml:space="preserve"> </w:t>
      </w:r>
      <w:r w:rsidRPr="00E27443">
        <w:t>also</w:t>
      </w:r>
      <w:r w:rsidR="00C63F8F" w:rsidRPr="00E27443">
        <w:t xml:space="preserve"> </w:t>
      </w:r>
      <w:r w:rsidRPr="00E27443">
        <w:t>contains</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right</w:t>
      </w:r>
      <w:r w:rsidR="00C63F8F" w:rsidRPr="00E27443">
        <w:t xml:space="preserve"> </w:t>
      </w:r>
      <w:r w:rsidRPr="00E27443">
        <w:t>to</w:t>
      </w:r>
      <w:r w:rsidR="00C63F8F" w:rsidRPr="00E27443">
        <w:t xml:space="preserve"> </w:t>
      </w:r>
      <w:r w:rsidRPr="00E27443">
        <w:t>compensation</w:t>
      </w:r>
      <w:r w:rsidR="00C63F8F" w:rsidRPr="00E27443">
        <w:t xml:space="preserve"> </w:t>
      </w:r>
      <w:r w:rsidRPr="00E27443">
        <w:t>for</w:t>
      </w:r>
      <w:r w:rsidR="00C63F8F" w:rsidRPr="00E27443">
        <w:t xml:space="preserve"> </w:t>
      </w:r>
      <w:r w:rsidRPr="00E27443">
        <w:t>travel</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A57488" w:rsidRPr="00272B46">
        <w:footnoteReference w:id="140"/>
      </w:r>
    </w:p>
    <w:p w:rsidR="00321ADA" w:rsidRPr="00E27443" w:rsidRDefault="00321ADA" w:rsidP="00272B46">
      <w:pPr>
        <w:pStyle w:val="SingleTxtG"/>
        <w:numPr>
          <w:ilvl w:val="0"/>
          <w:numId w:val="20"/>
        </w:numPr>
        <w:tabs>
          <w:tab w:val="left" w:pos="1843"/>
        </w:tabs>
        <w:ind w:left="1134" w:firstLine="0"/>
      </w:pPr>
      <w:r w:rsidRPr="00E27443">
        <w:t>In</w:t>
      </w:r>
      <w:r w:rsidR="00C63F8F" w:rsidRPr="00E27443">
        <w:t xml:space="preserve"> </w:t>
      </w:r>
      <w:r w:rsidRPr="00E27443">
        <w:t>May</w:t>
      </w:r>
      <w:r w:rsidR="00C63F8F" w:rsidRPr="00E27443">
        <w:t xml:space="preserve"> </w:t>
      </w:r>
      <w:r w:rsidRPr="00E27443">
        <w:t>2008,</w:t>
      </w:r>
      <w:r w:rsidR="00C63F8F" w:rsidRPr="00E27443">
        <w:t xml:space="preserve"> </w:t>
      </w:r>
      <w:r w:rsidRPr="00E27443">
        <w:t>an</w:t>
      </w:r>
      <w:r w:rsidR="00C63F8F" w:rsidRPr="00E27443">
        <w:t xml:space="preserve"> </w:t>
      </w:r>
      <w:r w:rsidRPr="00E27443">
        <w:t>assignment</w:t>
      </w:r>
      <w:r w:rsidR="00C63F8F" w:rsidRPr="00E27443">
        <w:t xml:space="preserve"> </w:t>
      </w:r>
      <w:r w:rsidRPr="00E27443">
        <w:t>was</w:t>
      </w:r>
      <w:r w:rsidR="00C63F8F" w:rsidRPr="00E27443">
        <w:t xml:space="preserve"> </w:t>
      </w:r>
      <w:r w:rsidRPr="00E27443">
        <w:t>presented</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regarding</w:t>
      </w:r>
      <w:r w:rsidR="00C63F8F" w:rsidRPr="00E27443">
        <w:t xml:space="preserve"> </w:t>
      </w:r>
      <w:r w:rsidRPr="00E27443">
        <w:t>remote</w:t>
      </w:r>
      <w:r w:rsidR="00C63F8F" w:rsidRPr="00E27443">
        <w:t xml:space="preserve"> </w:t>
      </w:r>
      <w:r w:rsidRPr="00E27443">
        <w:t>decision-making.</w:t>
      </w:r>
      <w:r w:rsidR="00A57488" w:rsidRPr="00272B46">
        <w:footnoteReference w:id="141"/>
      </w:r>
      <w:r w:rsidR="00C63F8F" w:rsidRPr="00E27443">
        <w:t xml:space="preserve"> </w:t>
      </w:r>
      <w:r w:rsidRPr="00E27443">
        <w:t>The</w:t>
      </w:r>
      <w:r w:rsidR="00C63F8F" w:rsidRPr="00E27443">
        <w:t xml:space="preserve"> </w:t>
      </w:r>
      <w:r w:rsidRPr="00E27443">
        <w:t>conclusion</w:t>
      </w:r>
      <w:r w:rsidR="00C63F8F" w:rsidRPr="00E27443">
        <w:t xml:space="preserve"> </w:t>
      </w:r>
      <w:r w:rsidRPr="00E27443">
        <w:t>of</w:t>
      </w:r>
      <w:r w:rsidR="00C63F8F" w:rsidRPr="00E27443">
        <w:t xml:space="preserve"> </w:t>
      </w:r>
      <w:r w:rsidRPr="00E27443">
        <w:t>the</w:t>
      </w:r>
      <w:r w:rsidR="00C63F8F" w:rsidRPr="00E27443">
        <w:t xml:space="preserve"> </w:t>
      </w:r>
      <w:r w:rsidRPr="00E27443">
        <w:t>report</w:t>
      </w:r>
      <w:r w:rsidR="00C63F8F" w:rsidRPr="00E27443">
        <w:t xml:space="preserve"> </w:t>
      </w:r>
      <w:r w:rsidRPr="00E27443">
        <w:t>was</w:t>
      </w:r>
      <w:r w:rsidR="00C63F8F" w:rsidRPr="00E27443">
        <w:t xml:space="preserve"> </w:t>
      </w:r>
      <w:r w:rsidRPr="00E27443">
        <w:t>that</w:t>
      </w:r>
      <w:r w:rsidR="00C63F8F" w:rsidRPr="00E27443">
        <w:t xml:space="preserve"> </w:t>
      </w:r>
      <w:r w:rsidRPr="00E27443">
        <w:t>there</w:t>
      </w:r>
      <w:r w:rsidR="00C63F8F" w:rsidRPr="00E27443">
        <w:t xml:space="preserve"> </w:t>
      </w:r>
      <w:r w:rsidRPr="00E27443">
        <w:t>are</w:t>
      </w:r>
      <w:r w:rsidR="00C63F8F" w:rsidRPr="00E27443">
        <w:t xml:space="preserve"> </w:t>
      </w:r>
      <w:r w:rsidRPr="00E27443">
        <w:t>no</w:t>
      </w:r>
      <w:r w:rsidR="00C63F8F" w:rsidRPr="00E27443">
        <w:t xml:space="preserve"> </w:t>
      </w:r>
      <w:r w:rsidRPr="00E27443">
        <w:t>actual</w:t>
      </w:r>
      <w:r w:rsidR="00C63F8F" w:rsidRPr="00E27443">
        <w:t xml:space="preserve"> </w:t>
      </w:r>
      <w:r w:rsidRPr="00E27443">
        <w:t>legal</w:t>
      </w:r>
      <w:r w:rsidR="00C63F8F" w:rsidRPr="00E27443">
        <w:t xml:space="preserve"> </w:t>
      </w:r>
      <w:r w:rsidRPr="00E27443">
        <w:t>obstacles</w:t>
      </w:r>
      <w:r w:rsidR="00C63F8F" w:rsidRPr="00E27443">
        <w:t xml:space="preserve"> </w:t>
      </w:r>
      <w:r w:rsidRPr="00E27443">
        <w:t>to</w:t>
      </w:r>
      <w:r w:rsidR="00C63F8F" w:rsidRPr="00E27443">
        <w:t xml:space="preserve"> </w:t>
      </w:r>
      <w:r w:rsidRPr="00E27443">
        <w:t>introducing</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meetings</w:t>
      </w:r>
      <w:r w:rsidR="00C63F8F" w:rsidRPr="00E27443">
        <w:t xml:space="preserve"> </w:t>
      </w:r>
      <w:r w:rsidRPr="00E27443">
        <w:t>remotely</w:t>
      </w:r>
      <w:r w:rsidR="00C63F8F" w:rsidRPr="00E27443">
        <w:t xml:space="preserve"> </w:t>
      </w:r>
      <w:r w:rsidRPr="00E27443">
        <w:t>via</w:t>
      </w:r>
      <w:r w:rsidR="00C63F8F" w:rsidRPr="00E27443">
        <w:t xml:space="preserve"> </w:t>
      </w:r>
      <w:r w:rsidRPr="00E27443">
        <w:t>a</w:t>
      </w:r>
      <w:r w:rsidR="00C63F8F" w:rsidRPr="00E27443">
        <w:t xml:space="preserve"> </w:t>
      </w:r>
      <w:r w:rsidRPr="00E27443">
        <w:t>two-way</w:t>
      </w:r>
      <w:r w:rsidR="00C63F8F" w:rsidRPr="00E27443">
        <w:t xml:space="preserve"> </w:t>
      </w:r>
      <w:r w:rsidRPr="00E27443">
        <w:t>audiovisual</w:t>
      </w:r>
      <w:r w:rsidR="00C63F8F" w:rsidRPr="00E27443">
        <w:t xml:space="preserve"> </w:t>
      </w:r>
      <w:r w:rsidRPr="00E27443">
        <w:t>transmission.</w:t>
      </w:r>
      <w:r w:rsidR="00C63F8F" w:rsidRPr="00E27443">
        <w:t xml:space="preserve"> </w:t>
      </w:r>
      <w:r w:rsidRPr="00E27443">
        <w:t>However,</w:t>
      </w:r>
      <w:r w:rsidR="00C63F8F" w:rsidRPr="00E27443">
        <w:t xml:space="preserve"> </w:t>
      </w:r>
      <w:r w:rsidRPr="00E27443">
        <w:t>the</w:t>
      </w:r>
      <w:r w:rsidR="00C63F8F" w:rsidRPr="00E27443">
        <w:t xml:space="preserve"> </w:t>
      </w:r>
      <w:r w:rsidRPr="00E27443">
        <w:t>report</w:t>
      </w:r>
      <w:r w:rsidR="00C63F8F" w:rsidRPr="00E27443">
        <w:t xml:space="preserve"> </w:t>
      </w:r>
      <w:r w:rsidRPr="00E27443">
        <w:t>recommended</w:t>
      </w:r>
      <w:r w:rsidR="00C63F8F" w:rsidRPr="00E27443">
        <w:t xml:space="preserve"> </w:t>
      </w:r>
      <w:r w:rsidRPr="00E27443">
        <w:t>that,</w:t>
      </w:r>
      <w:r w:rsidR="00C63F8F" w:rsidRPr="00E27443">
        <w:t xml:space="preserve"> </w:t>
      </w:r>
      <w:r w:rsidRPr="00E27443">
        <w:t>for</w:t>
      </w:r>
      <w:r w:rsidR="00C63F8F" w:rsidRPr="00E27443">
        <w:t xml:space="preserve"> </w:t>
      </w:r>
      <w:r w:rsidRPr="00E27443">
        <w:t>the</w:t>
      </w:r>
      <w:r w:rsidR="00C63F8F" w:rsidRPr="00E27443">
        <w:t xml:space="preserve"> </w:t>
      </w:r>
      <w:r w:rsidRPr="00E27443">
        <w:t>sake</w:t>
      </w:r>
      <w:r w:rsidR="00C63F8F" w:rsidRPr="00E27443">
        <w:t xml:space="preserve"> </w:t>
      </w:r>
      <w:r w:rsidRPr="00E27443">
        <w:t>of</w:t>
      </w:r>
      <w:r w:rsidR="00C63F8F" w:rsidRPr="00E27443">
        <w:t xml:space="preserve"> </w:t>
      </w:r>
      <w:r w:rsidRPr="00E27443">
        <w:t>clarity,</w:t>
      </w:r>
      <w:r w:rsidR="00C63F8F" w:rsidRPr="00E27443">
        <w:t xml:space="preserve"> </w:t>
      </w:r>
      <w:r w:rsidRPr="00E27443">
        <w:t>this</w:t>
      </w:r>
      <w:r w:rsidR="00C63F8F" w:rsidRPr="00E27443">
        <w:t xml:space="preserve"> </w:t>
      </w:r>
      <w:r w:rsidRPr="00E27443">
        <w:t>potential</w:t>
      </w:r>
      <w:r w:rsidR="00C63F8F" w:rsidRPr="00E27443">
        <w:t xml:space="preserve"> </w:t>
      </w:r>
      <w:r w:rsidRPr="00E27443">
        <w:t>should</w:t>
      </w:r>
      <w:r w:rsidR="00C63F8F" w:rsidRPr="00E27443">
        <w:t xml:space="preserve"> </w:t>
      </w:r>
      <w:r w:rsidRPr="00E27443">
        <w:t>be</w:t>
      </w:r>
      <w:r w:rsidR="00C63F8F" w:rsidRPr="00E27443">
        <w:t xml:space="preserve"> </w:t>
      </w:r>
      <w:r w:rsidRPr="00E27443">
        <w:t>expressly</w:t>
      </w:r>
      <w:r w:rsidR="00C63F8F" w:rsidRPr="00E27443">
        <w:t xml:space="preserve"> </w:t>
      </w:r>
      <w:r w:rsidRPr="00E27443">
        <w:t>included</w:t>
      </w:r>
      <w:r w:rsidR="00C63F8F" w:rsidRPr="00E27443">
        <w:t xml:space="preserve"> </w:t>
      </w:r>
      <w:r w:rsidRPr="00E27443">
        <w:t>in</w:t>
      </w:r>
      <w:r w:rsidR="00C63F8F" w:rsidRPr="00E27443">
        <w:t xml:space="preserve"> </w:t>
      </w:r>
      <w:r w:rsidRPr="00E27443">
        <w:t>the</w:t>
      </w:r>
      <w:r w:rsidR="00C63F8F" w:rsidRPr="00E27443">
        <w:t xml:space="preserve"> </w:t>
      </w:r>
      <w:r w:rsidRPr="00E27443">
        <w:t>Local</w:t>
      </w:r>
      <w:r w:rsidR="00C63F8F" w:rsidRPr="00E27443">
        <w:t xml:space="preserve"> </w:t>
      </w:r>
      <w:r w:rsidRPr="00E27443">
        <w:t>Government</w:t>
      </w:r>
      <w:r w:rsidR="00C63F8F" w:rsidRPr="00E27443">
        <w:t xml:space="preserve"> </w:t>
      </w:r>
      <w:r w:rsidRPr="00E27443">
        <w:t>Act.</w:t>
      </w:r>
      <w:r w:rsidR="00C63F8F" w:rsidRPr="00E27443">
        <w:t xml:space="preserve"> </w:t>
      </w:r>
      <w:r w:rsidRPr="00E27443">
        <w:t>This</w:t>
      </w:r>
      <w:r w:rsidR="00C63F8F" w:rsidRPr="00E27443">
        <w:t xml:space="preserve"> </w:t>
      </w:r>
      <w:r w:rsidRPr="00E27443">
        <w:t>report</w:t>
      </w:r>
      <w:r w:rsidR="00C63F8F" w:rsidRPr="00E27443">
        <w:t xml:space="preserve"> </w:t>
      </w:r>
      <w:r w:rsidRPr="00E27443">
        <w:t>resulted</w:t>
      </w:r>
      <w:r w:rsidR="00C63F8F" w:rsidRPr="00E27443">
        <w:t xml:space="preserve"> </w:t>
      </w:r>
      <w:r w:rsidRPr="00E27443">
        <w:t>in</w:t>
      </w:r>
      <w:r w:rsidR="00C63F8F" w:rsidRPr="00E27443">
        <w:t xml:space="preserve"> </w:t>
      </w:r>
      <w:r w:rsidRPr="00E27443">
        <w:t>the</w:t>
      </w:r>
      <w:r w:rsidR="00C63F8F" w:rsidRPr="00E27443">
        <w:t xml:space="preserve"> </w:t>
      </w:r>
      <w:r w:rsidRPr="00E27443">
        <w:t>need</w:t>
      </w:r>
      <w:r w:rsidR="00C63F8F" w:rsidRPr="00E27443">
        <w:t xml:space="preserve"> </w:t>
      </w:r>
      <w:r w:rsidRPr="00E27443">
        <w:t>for</w:t>
      </w:r>
      <w:r w:rsidR="00C63F8F" w:rsidRPr="00E27443">
        <w:t xml:space="preserve"> </w:t>
      </w:r>
      <w:r w:rsidRPr="00E27443">
        <w:t>regulation</w:t>
      </w:r>
      <w:r w:rsidR="00C63F8F" w:rsidRPr="00E27443">
        <w:t xml:space="preserve"> </w:t>
      </w:r>
      <w:r w:rsidRPr="00E27443">
        <w:t>regarding</w:t>
      </w:r>
      <w:r w:rsidR="00C63F8F" w:rsidRPr="00E27443">
        <w:t xml:space="preserve"> </w:t>
      </w:r>
      <w:r w:rsidRPr="00E27443">
        <w:t>remote</w:t>
      </w:r>
      <w:r w:rsidR="00C63F8F" w:rsidRPr="00E27443">
        <w:t xml:space="preserve"> </w:t>
      </w:r>
      <w:r w:rsidRPr="00E27443">
        <w:t>decision-making</w:t>
      </w:r>
      <w:r w:rsidR="00C63F8F" w:rsidRPr="00E27443">
        <w:t xml:space="preserve"> </w:t>
      </w:r>
      <w:r w:rsidRPr="00E27443">
        <w:t>now</w:t>
      </w:r>
      <w:r w:rsidR="00C63F8F" w:rsidRPr="00E27443">
        <w:t xml:space="preserve"> </w:t>
      </w:r>
      <w:r w:rsidRPr="00E27443">
        <w:t>being</w:t>
      </w:r>
      <w:r w:rsidR="00C63F8F" w:rsidRPr="00E27443">
        <w:t xml:space="preserve"> </w:t>
      </w:r>
      <w:r w:rsidRPr="00E27443">
        <w:t>examined</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a</w:t>
      </w:r>
      <w:r w:rsidR="00C63F8F" w:rsidRPr="00E27443">
        <w:t xml:space="preserve"> </w:t>
      </w:r>
      <w:r w:rsidRPr="00E27443">
        <w:t>Parliamentary</w:t>
      </w:r>
      <w:r w:rsidR="00C63F8F" w:rsidRPr="00E27443">
        <w:t xml:space="preserve"> </w:t>
      </w:r>
      <w:r w:rsidRPr="00E27443">
        <w:t>committee.</w:t>
      </w:r>
      <w:r w:rsidR="00A57488" w:rsidRPr="00272B46">
        <w:footnoteReference w:id="142"/>
      </w:r>
      <w:r w:rsidR="00C63F8F" w:rsidRPr="00E27443">
        <w:t xml:space="preserve"> </w:t>
      </w:r>
      <w:r w:rsidRPr="00E27443">
        <w:t>The</w:t>
      </w:r>
      <w:r w:rsidR="00C63F8F" w:rsidRPr="00E27443">
        <w:t xml:space="preserve"> </w:t>
      </w:r>
      <w:r w:rsidRPr="00E27443">
        <w:t>directive</w:t>
      </w:r>
      <w:r w:rsidR="00C63F8F" w:rsidRPr="00E27443">
        <w:t xml:space="preserve"> </w:t>
      </w:r>
      <w:r w:rsidRPr="00E27443">
        <w:t>specifies</w:t>
      </w:r>
      <w:r w:rsidR="00C63F8F" w:rsidRPr="00E27443">
        <w:t xml:space="preserve"> </w:t>
      </w:r>
      <w:r w:rsidRPr="00E27443">
        <w:t>that</w:t>
      </w:r>
      <w:r w:rsidR="00C63F8F" w:rsidRPr="00E27443">
        <w:t xml:space="preserve"> </w:t>
      </w:r>
      <w:r w:rsidRPr="00E27443">
        <w:t>remote</w:t>
      </w:r>
      <w:r w:rsidR="00C63F8F" w:rsidRPr="00E27443">
        <w:t xml:space="preserve"> </w:t>
      </w:r>
      <w:r w:rsidRPr="00E27443">
        <w:t>decision-making</w:t>
      </w:r>
      <w:r w:rsidR="00C63F8F" w:rsidRPr="00E27443">
        <w:t xml:space="preserve"> </w:t>
      </w:r>
      <w:r w:rsidRPr="00E27443">
        <w:t>could</w:t>
      </w:r>
      <w:r w:rsidR="00C63F8F" w:rsidRPr="00E27443">
        <w:t xml:space="preserve"> </w:t>
      </w:r>
      <w:r w:rsidRPr="00E27443">
        <w:t>facilitate</w:t>
      </w:r>
      <w:r w:rsidR="00C63F8F" w:rsidRPr="00E27443">
        <w:t xml:space="preserve"> </w:t>
      </w:r>
      <w:r w:rsidRPr="00E27443">
        <w:t>the</w:t>
      </w:r>
      <w:r w:rsidR="00C63F8F" w:rsidRPr="00E27443">
        <w:t xml:space="preserve"> </w:t>
      </w:r>
      <w:r w:rsidRPr="00E27443">
        <w:t>recruitment</w:t>
      </w:r>
      <w:r w:rsidR="00C63F8F" w:rsidRPr="00E27443">
        <w:t xml:space="preserve"> </w:t>
      </w:r>
      <w:r w:rsidRPr="00E27443">
        <w:t>of</w:t>
      </w:r>
      <w:r w:rsidR="00C63F8F" w:rsidRPr="00E27443">
        <w:t xml:space="preserve"> </w:t>
      </w:r>
      <w:r w:rsidRPr="00E27443">
        <w:t>elected</w:t>
      </w:r>
      <w:r w:rsidR="00C63F8F" w:rsidRPr="00E27443">
        <w:t xml:space="preserve"> </w:t>
      </w:r>
      <w:r w:rsidRPr="00E27443">
        <w:t>representatives.</w:t>
      </w:r>
      <w:r w:rsidR="00C63F8F" w:rsidRPr="00E27443">
        <w:t xml:space="preserve"> </w:t>
      </w:r>
      <w:r w:rsidRPr="00E27443">
        <w:t>The</w:t>
      </w:r>
      <w:r w:rsidR="00C63F8F" w:rsidRPr="00E27443">
        <w:t xml:space="preserve"> </w:t>
      </w:r>
      <w:r w:rsidRPr="00E27443">
        <w:t>directive</w:t>
      </w:r>
      <w:r w:rsidR="00C63F8F" w:rsidRPr="00E27443">
        <w:t xml:space="preserve"> </w:t>
      </w:r>
      <w:r w:rsidRPr="00E27443">
        <w:t>maintains</w:t>
      </w:r>
      <w:r w:rsidR="00C63F8F" w:rsidRPr="00E27443">
        <w:t xml:space="preserve"> </w:t>
      </w:r>
      <w:r w:rsidRPr="00E27443">
        <w:t>that</w:t>
      </w:r>
      <w:r w:rsidR="00C63F8F" w:rsidRPr="00E27443">
        <w:t xml:space="preserve"> “</w:t>
      </w:r>
      <w:r w:rsidRPr="00E27443">
        <w:t>particularly</w:t>
      </w:r>
      <w:r w:rsidR="00C63F8F" w:rsidRPr="00E27443">
        <w:t xml:space="preserve"> </w:t>
      </w:r>
      <w:r w:rsidRPr="00E27443">
        <w:t>within</w:t>
      </w:r>
      <w:r w:rsidR="00C63F8F" w:rsidRPr="00E27443">
        <w:t xml:space="preserve"> </w:t>
      </w:r>
      <w:r w:rsidRPr="00E27443">
        <w:t>certain</w:t>
      </w:r>
      <w:r w:rsidR="00C63F8F" w:rsidRPr="00E27443">
        <w:t xml:space="preserve"> </w:t>
      </w:r>
      <w:r w:rsidRPr="00E27443">
        <w:t>groups,</w:t>
      </w:r>
      <w:r w:rsidR="00C63F8F" w:rsidRPr="00E27443">
        <w:t xml:space="preserve"> </w:t>
      </w:r>
      <w:r w:rsidRPr="00E27443">
        <w:t>such</w:t>
      </w:r>
      <w:r w:rsidR="00C63F8F" w:rsidRPr="00E27443">
        <w:t xml:space="preserve"> </w:t>
      </w:r>
      <w:r w:rsidRPr="00E27443">
        <w:t>as</w:t>
      </w:r>
      <w:r w:rsidR="00C63F8F" w:rsidRPr="00E27443">
        <w:t xml:space="preserve"> </w:t>
      </w:r>
      <w:r w:rsidRPr="00E27443">
        <w:t>disabled</w:t>
      </w:r>
      <w:r w:rsidR="00C63F8F" w:rsidRPr="00E27443">
        <w:t xml:space="preserve"> </w:t>
      </w:r>
      <w:r w:rsidRPr="00E27443">
        <w:t>persons</w:t>
      </w:r>
      <w:r w:rsidR="00C63F8F" w:rsidRPr="00E27443">
        <w:t xml:space="preserve"> </w:t>
      </w:r>
      <w:r w:rsidRPr="00E27443">
        <w:t>and</w:t>
      </w:r>
      <w:r w:rsidR="00C63F8F" w:rsidRPr="00E27443">
        <w:t xml:space="preserve"> </w:t>
      </w:r>
      <w:r w:rsidRPr="00E27443">
        <w:t>persons</w:t>
      </w:r>
      <w:r w:rsidR="00C63F8F" w:rsidRPr="00E27443">
        <w:t xml:space="preserve"> </w:t>
      </w:r>
      <w:r w:rsidRPr="00E27443">
        <w:t>living</w:t>
      </w:r>
      <w:r w:rsidR="00C63F8F" w:rsidRPr="00E27443">
        <w:t xml:space="preserve"> </w:t>
      </w:r>
      <w:r w:rsidRPr="00E27443">
        <w:t>in</w:t>
      </w:r>
      <w:r w:rsidR="00C63F8F" w:rsidRPr="00E27443">
        <w:t xml:space="preserve"> </w:t>
      </w:r>
      <w:r w:rsidRPr="00E27443">
        <w:t>sparsely</w:t>
      </w:r>
      <w:r w:rsidR="00C63F8F" w:rsidRPr="00E27443">
        <w:t xml:space="preserve"> </w:t>
      </w:r>
      <w:r w:rsidRPr="00E27443">
        <w:t>populated</w:t>
      </w:r>
      <w:r w:rsidR="00C63F8F" w:rsidRPr="00E27443">
        <w:t xml:space="preserve"> </w:t>
      </w:r>
      <w:r w:rsidRPr="00E27443">
        <w:t>areas,</w:t>
      </w:r>
      <w:r w:rsidR="00C63F8F" w:rsidRPr="00E27443">
        <w:t xml:space="preserve"> </w:t>
      </w:r>
      <w:r w:rsidRPr="00E27443">
        <w:t>this</w:t>
      </w:r>
      <w:r w:rsidR="00C63F8F" w:rsidRPr="00E27443">
        <w:t xml:space="preserve"> </w:t>
      </w:r>
      <w:r w:rsidRPr="00E27443">
        <w:t>could</w:t>
      </w:r>
      <w:r w:rsidR="00C63F8F" w:rsidRPr="00E27443">
        <w:t xml:space="preserve"> </w:t>
      </w:r>
      <w:r w:rsidRPr="00E27443">
        <w:t>be</w:t>
      </w:r>
      <w:r w:rsidR="00C63F8F" w:rsidRPr="00E27443">
        <w:t xml:space="preserve"> </w:t>
      </w:r>
      <w:r w:rsidRPr="00E27443">
        <w:t>extremely</w:t>
      </w:r>
      <w:r w:rsidR="00C63F8F" w:rsidRPr="00E27443">
        <w:t xml:space="preserve"> </w:t>
      </w:r>
      <w:r w:rsidRPr="00E27443">
        <w:t>important</w:t>
      </w:r>
      <w:r w:rsidR="00C63F8F" w:rsidRPr="00E27443">
        <w:t xml:space="preserve"> </w:t>
      </w:r>
      <w:r w:rsidRPr="00E27443">
        <w:t>for</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become</w:t>
      </w:r>
      <w:r w:rsidR="00C63F8F" w:rsidRPr="00E27443">
        <w:t xml:space="preserve"> </w:t>
      </w:r>
      <w:r w:rsidRPr="00E27443">
        <w:t>an</w:t>
      </w:r>
      <w:r w:rsidR="00C63F8F" w:rsidRPr="00E27443">
        <w:t xml:space="preserve"> </w:t>
      </w:r>
      <w:r w:rsidRPr="00E27443">
        <w:t>elected</w:t>
      </w:r>
      <w:r w:rsidR="00C63F8F" w:rsidRPr="00E27443">
        <w:t xml:space="preserve"> </w:t>
      </w:r>
      <w:r w:rsidRPr="00E27443">
        <w:t>representative</w:t>
      </w:r>
      <w:r w:rsidR="00C63F8F" w:rsidRPr="00E27443">
        <w:t>”</w:t>
      </w:r>
      <w:r w:rsidRPr="00E27443">
        <w:t>.</w:t>
      </w:r>
      <w:r w:rsidR="00C63F8F" w:rsidRPr="00E27443">
        <w:t xml:space="preserve"> </w:t>
      </w:r>
      <w:r w:rsidRPr="00E27443">
        <w:t>The</w:t>
      </w:r>
      <w:r w:rsidR="00C63F8F" w:rsidRPr="00E27443">
        <w:t xml:space="preserve"> </w:t>
      </w:r>
      <w:r w:rsidRPr="00E27443">
        <w:t>local</w:t>
      </w:r>
      <w:r w:rsidR="00C63F8F" w:rsidRPr="00E27443">
        <w:t xml:space="preserve"> </w:t>
      </w:r>
      <w:r w:rsidRPr="00E27443">
        <w:t>government</w:t>
      </w:r>
      <w:r w:rsidR="00C63F8F" w:rsidRPr="00E27443">
        <w:t xml:space="preserve"> </w:t>
      </w:r>
      <w:r w:rsidRPr="00E27443">
        <w:t>democracy</w:t>
      </w:r>
      <w:r w:rsidR="00C63F8F" w:rsidRPr="00E27443">
        <w:t xml:space="preserve"> </w:t>
      </w:r>
      <w:r w:rsidRPr="00E27443">
        <w:t>study</w:t>
      </w:r>
      <w:r w:rsidR="00C63F8F" w:rsidRPr="00E27443">
        <w:t xml:space="preserve"> </w:t>
      </w:r>
      <w:r w:rsidRPr="00E27443">
        <w:t>will</w:t>
      </w:r>
      <w:r w:rsidR="00C63F8F" w:rsidRPr="00E27443">
        <w:t xml:space="preserve"> </w:t>
      </w:r>
      <w:r w:rsidRPr="00E27443">
        <w:t>present</w:t>
      </w:r>
      <w:r w:rsidR="00C63F8F" w:rsidRPr="00E27443">
        <w:t xml:space="preserve"> </w:t>
      </w:r>
      <w:r w:rsidRPr="00E27443">
        <w:t>its</w:t>
      </w:r>
      <w:r w:rsidR="00C63F8F" w:rsidRPr="00E27443">
        <w:t xml:space="preserve"> </w:t>
      </w:r>
      <w:r w:rsidRPr="00E27443">
        <w:t>final</w:t>
      </w:r>
      <w:r w:rsidR="00C63F8F" w:rsidRPr="00E27443">
        <w:t xml:space="preserve"> </w:t>
      </w:r>
      <w:r w:rsidRPr="00E27443">
        <w:t>report</w:t>
      </w:r>
      <w:r w:rsidR="00C63F8F" w:rsidRPr="00E27443">
        <w:t xml:space="preserve"> </w:t>
      </w:r>
      <w:r w:rsidRPr="00E27443">
        <w:t>no</w:t>
      </w:r>
      <w:r w:rsidR="00C63F8F" w:rsidRPr="00E27443">
        <w:t xml:space="preserve"> </w:t>
      </w:r>
      <w:r w:rsidRPr="00E27443">
        <w:t>later</w:t>
      </w:r>
      <w:r w:rsidR="00C63F8F" w:rsidRPr="00E27443">
        <w:t xml:space="preserve"> </w:t>
      </w:r>
      <w:r w:rsidRPr="00E27443">
        <w:t>than</w:t>
      </w:r>
      <w:r w:rsidR="00C63F8F" w:rsidRPr="00E27443">
        <w:t xml:space="preserve"> </w:t>
      </w:r>
      <w:r w:rsidRPr="00E27443">
        <w:t>1</w:t>
      </w:r>
      <w:r w:rsidR="00C63F8F" w:rsidRPr="00E27443">
        <w:t xml:space="preserve"> </w:t>
      </w:r>
      <w:r w:rsidRPr="00E27443">
        <w:t>May</w:t>
      </w:r>
      <w:r w:rsidR="00C63F8F" w:rsidRPr="00E27443">
        <w:t xml:space="preserve"> </w:t>
      </w:r>
      <w:r w:rsidRPr="00E27443">
        <w:t>2012.</w:t>
      </w:r>
    </w:p>
    <w:p w:rsidR="00321ADA" w:rsidRPr="00E27443" w:rsidRDefault="00A57488" w:rsidP="00A57488">
      <w:pPr>
        <w:pStyle w:val="H1G"/>
      </w:pPr>
      <w:r w:rsidRPr="00E27443">
        <w:tab/>
      </w:r>
      <w:r w:rsidRPr="00E27443">
        <w:tab/>
      </w:r>
      <w:bookmarkStart w:id="32" w:name="_Toc290623315"/>
      <w:r w:rsidR="00321ADA" w:rsidRPr="00E27443">
        <w:t>Article</w:t>
      </w:r>
      <w:r w:rsidR="00C63F8F" w:rsidRPr="00E27443">
        <w:t xml:space="preserve"> </w:t>
      </w:r>
      <w:r w:rsidRPr="00E27443">
        <w:t>30</w:t>
      </w:r>
      <w:r w:rsidR="00272B46">
        <w:t xml:space="preserve">: </w:t>
      </w:r>
      <w:r w:rsidR="00321ADA" w:rsidRPr="00E27443">
        <w:t>Participation</w:t>
      </w:r>
      <w:r w:rsidR="00C63F8F" w:rsidRPr="00E27443">
        <w:t xml:space="preserve"> </w:t>
      </w:r>
      <w:r w:rsidR="00321ADA" w:rsidRPr="00E27443">
        <w:t>in</w:t>
      </w:r>
      <w:r w:rsidR="00C63F8F" w:rsidRPr="00E27443">
        <w:t xml:space="preserve"> </w:t>
      </w:r>
      <w:r w:rsidR="00321ADA" w:rsidRPr="00E27443">
        <w:t>cultural</w:t>
      </w:r>
      <w:r w:rsidR="00C63F8F" w:rsidRPr="00E27443">
        <w:t xml:space="preserve"> </w:t>
      </w:r>
      <w:r w:rsidR="00321ADA" w:rsidRPr="00E27443">
        <w:t>life,</w:t>
      </w:r>
      <w:r w:rsidR="00C63F8F" w:rsidRPr="00E27443">
        <w:t xml:space="preserve"> </w:t>
      </w:r>
      <w:r w:rsidR="00321ADA" w:rsidRPr="00E27443">
        <w:t>recreation,</w:t>
      </w:r>
      <w:r w:rsidR="00C63F8F" w:rsidRPr="00E27443">
        <w:t xml:space="preserve"> </w:t>
      </w:r>
      <w:r w:rsidR="00321ADA" w:rsidRPr="00E27443">
        <w:t>leisure</w:t>
      </w:r>
      <w:r w:rsidR="00C63F8F" w:rsidRPr="00E27443">
        <w:t xml:space="preserve"> </w:t>
      </w:r>
      <w:r w:rsidR="00321ADA" w:rsidRPr="00E27443">
        <w:t>and</w:t>
      </w:r>
      <w:r w:rsidR="00C63F8F" w:rsidRPr="00E27443">
        <w:t xml:space="preserve"> </w:t>
      </w:r>
      <w:r w:rsidR="00321ADA" w:rsidRPr="00E27443">
        <w:t>sport</w:t>
      </w:r>
      <w:bookmarkEnd w:id="32"/>
    </w:p>
    <w:p w:rsidR="00321ADA" w:rsidRPr="00E27443" w:rsidRDefault="00321ADA" w:rsidP="00272B46">
      <w:pPr>
        <w:pStyle w:val="SingleTxtG"/>
        <w:numPr>
          <w:ilvl w:val="0"/>
          <w:numId w:val="20"/>
        </w:numPr>
        <w:tabs>
          <w:tab w:val="left" w:pos="1843"/>
        </w:tabs>
        <w:ind w:left="1134" w:firstLine="0"/>
      </w:pPr>
      <w:r w:rsidRPr="00E27443">
        <w:t>Culture</w:t>
      </w:r>
      <w:r w:rsidR="00C63F8F" w:rsidRPr="00E27443">
        <w:t xml:space="preserve"> </w:t>
      </w:r>
      <w:r w:rsidRPr="00E27443">
        <w:t>should</w:t>
      </w:r>
      <w:r w:rsidR="00C63F8F" w:rsidRPr="00E27443">
        <w:t xml:space="preserve"> </w:t>
      </w:r>
      <w:r w:rsidRPr="00E27443">
        <w:t>be</w:t>
      </w:r>
      <w:r w:rsidR="00C63F8F" w:rsidRPr="00E27443">
        <w:t xml:space="preserve"> </w:t>
      </w:r>
      <w:r w:rsidRPr="00E27443">
        <w:t>available</w:t>
      </w:r>
      <w:r w:rsidR="00C63F8F" w:rsidRPr="00E27443">
        <w:t xml:space="preserve"> </w:t>
      </w:r>
      <w:r w:rsidRPr="00E27443">
        <w:t>to</w:t>
      </w:r>
      <w:r w:rsidR="00C63F8F" w:rsidRPr="00E27443">
        <w:t xml:space="preserve"> </w:t>
      </w:r>
      <w:r w:rsidRPr="00E27443">
        <w:t>everyone</w:t>
      </w:r>
      <w:r w:rsidR="00C63F8F" w:rsidRPr="00E27443">
        <w:t xml:space="preserve"> </w:t>
      </w:r>
      <w:r w:rsidRPr="00E27443">
        <w:t>–</w:t>
      </w:r>
      <w:r w:rsidR="00C63F8F" w:rsidRPr="00E27443">
        <w:t xml:space="preserve"> </w:t>
      </w:r>
      <w:r w:rsidRPr="00E27443">
        <w:t>in</w:t>
      </w:r>
      <w:r w:rsidR="00C63F8F" w:rsidRPr="00E27443">
        <w:t xml:space="preserve"> </w:t>
      </w:r>
      <w:r w:rsidRPr="00E27443">
        <w:t>the</w:t>
      </w:r>
      <w:r w:rsidR="00C63F8F" w:rsidRPr="00E27443">
        <w:t xml:space="preserve"> </w:t>
      </w:r>
      <w:r w:rsidRPr="00E27443">
        <w:t>form</w:t>
      </w:r>
      <w:r w:rsidR="00C63F8F" w:rsidRPr="00E27443">
        <w:t xml:space="preserve"> </w:t>
      </w:r>
      <w:r w:rsidRPr="00E27443">
        <w:t>of</w:t>
      </w:r>
      <w:r w:rsidR="00C63F8F" w:rsidRPr="00E27443">
        <w:t xml:space="preserve"> </w:t>
      </w:r>
      <w:r w:rsidRPr="00E27443">
        <w:t>educational</w:t>
      </w:r>
      <w:r w:rsidR="00C63F8F" w:rsidRPr="00E27443">
        <w:t xml:space="preserve"> </w:t>
      </w:r>
      <w:r w:rsidRPr="00E27443">
        <w:t>work,</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t>personal</w:t>
      </w:r>
      <w:r w:rsidR="00C63F8F" w:rsidRPr="00E27443">
        <w:t xml:space="preserve"> </w:t>
      </w:r>
      <w:r w:rsidRPr="00E27443">
        <w:t>creation</w:t>
      </w:r>
      <w:r w:rsidR="00C63F8F" w:rsidRPr="00E27443">
        <w:t xml:space="preserve"> </w:t>
      </w:r>
      <w:r w:rsidRPr="00E27443">
        <w:t>and</w:t>
      </w:r>
      <w:r w:rsidR="00C63F8F" w:rsidRPr="00E27443">
        <w:t xml:space="preserve"> </w:t>
      </w:r>
      <w:r w:rsidRPr="00E27443">
        <w:t>opportunities</w:t>
      </w:r>
      <w:r w:rsidR="00C63F8F" w:rsidRPr="00E27443">
        <w:t xml:space="preserve"> </w:t>
      </w:r>
      <w:r w:rsidRPr="00E27443">
        <w:t>to</w:t>
      </w:r>
      <w:r w:rsidR="00C63F8F" w:rsidRPr="00E27443">
        <w:t xml:space="preserve"> </w:t>
      </w:r>
      <w:r w:rsidRPr="00E27443">
        <w:t>share</w:t>
      </w:r>
      <w:r w:rsidR="00C63F8F" w:rsidRPr="00E27443">
        <w:t xml:space="preserve"> </w:t>
      </w:r>
      <w:r w:rsidRPr="00E27443">
        <w:t>in</w:t>
      </w:r>
      <w:r w:rsidR="00C63F8F" w:rsidRPr="00E27443">
        <w:t xml:space="preserve"> </w:t>
      </w:r>
      <w:r w:rsidRPr="00E27443">
        <w:t>professional</w:t>
      </w:r>
      <w:r w:rsidR="00C63F8F" w:rsidRPr="00E27443">
        <w:t xml:space="preserve"> </w:t>
      </w:r>
      <w:r w:rsidRPr="00E27443">
        <w:t>artistic</w:t>
      </w:r>
      <w:r w:rsidR="00C63F8F" w:rsidRPr="00E27443">
        <w:t xml:space="preserve"> </w:t>
      </w:r>
      <w:r w:rsidRPr="00E27443">
        <w:t>creation.</w:t>
      </w:r>
      <w:r w:rsidR="00C63F8F" w:rsidRPr="00E27443">
        <w:t xml:space="preserve"> </w:t>
      </w:r>
      <w:r w:rsidRPr="00E27443">
        <w:t>A</w:t>
      </w:r>
      <w:r w:rsidR="00C63F8F" w:rsidRPr="00E27443">
        <w:t xml:space="preserve"> </w:t>
      </w:r>
      <w:r w:rsidRPr="00E27443">
        <w:t>disability</w:t>
      </w:r>
      <w:r w:rsidR="00C63F8F" w:rsidRPr="00E27443">
        <w:t xml:space="preserve"> </w:t>
      </w:r>
      <w:r w:rsidRPr="00E27443">
        <w:t>perspective</w:t>
      </w:r>
      <w:r w:rsidR="00C63F8F" w:rsidRPr="00E27443">
        <w:t xml:space="preserve"> </w:t>
      </w:r>
      <w:r w:rsidRPr="00E27443">
        <w:t>must</w:t>
      </w:r>
      <w:r w:rsidR="00C63F8F" w:rsidRPr="00E27443">
        <w:t xml:space="preserve"> </w:t>
      </w:r>
      <w:r w:rsidRPr="00E27443">
        <w:t>therefore</w:t>
      </w:r>
      <w:r w:rsidR="00C63F8F" w:rsidRPr="00E27443">
        <w:t xml:space="preserve"> </w:t>
      </w:r>
      <w:r w:rsidRPr="00E27443">
        <w:t>be</w:t>
      </w:r>
      <w:r w:rsidR="00C63F8F" w:rsidRPr="00E27443">
        <w:t xml:space="preserve"> </w:t>
      </w:r>
      <w:r w:rsidRPr="00E27443">
        <w:t>taken</w:t>
      </w:r>
      <w:r w:rsidR="00C63F8F" w:rsidRPr="00E27443">
        <w:t xml:space="preserve"> </w:t>
      </w:r>
      <w:r w:rsidRPr="00E27443">
        <w:t>into</w:t>
      </w:r>
      <w:r w:rsidR="00C63F8F" w:rsidRPr="00E27443">
        <w:t xml:space="preserve"> </w:t>
      </w:r>
      <w:r w:rsidRPr="00E27443">
        <w:t>consideration</w:t>
      </w:r>
      <w:r w:rsidR="00C63F8F" w:rsidRPr="00E27443">
        <w:t xml:space="preserve"> </w:t>
      </w:r>
      <w:r w:rsidRPr="00E27443">
        <w:t>in</w:t>
      </w:r>
      <w:r w:rsidR="00C63F8F" w:rsidRPr="00E27443">
        <w:t xml:space="preserve"> </w:t>
      </w:r>
      <w:r w:rsidRPr="00E27443">
        <w:t>all</w:t>
      </w:r>
      <w:r w:rsidR="00C63F8F" w:rsidRPr="00E27443">
        <w:t xml:space="preserve"> </w:t>
      </w:r>
      <w:r w:rsidRPr="00E27443">
        <w:t>Government</w:t>
      </w:r>
      <w:r w:rsidR="00C63F8F" w:rsidRPr="00E27443">
        <w:t xml:space="preserve"> </w:t>
      </w:r>
      <w:r w:rsidRPr="00E27443">
        <w:t>initiatives</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culture.</w:t>
      </w:r>
      <w:r w:rsidR="00C63F8F" w:rsidRPr="00E27443">
        <w:t xml:space="preserve"> </w:t>
      </w:r>
    </w:p>
    <w:p w:rsidR="00321ADA" w:rsidRPr="00E27443" w:rsidRDefault="00321ADA" w:rsidP="00272B46">
      <w:pPr>
        <w:pStyle w:val="SingleTxtG"/>
        <w:numPr>
          <w:ilvl w:val="0"/>
          <w:numId w:val="20"/>
        </w:numPr>
        <w:tabs>
          <w:tab w:val="left" w:pos="1843"/>
        </w:tabs>
        <w:ind w:left="1134" w:firstLine="0"/>
      </w:pPr>
      <w:r w:rsidRPr="00E27443">
        <w:t>The</w:t>
      </w:r>
      <w:r w:rsidR="00C63F8F" w:rsidRPr="00E27443">
        <w:t xml:space="preserve"> </w:t>
      </w:r>
      <w:r w:rsidRPr="00E27443">
        <w:t>overall</w:t>
      </w:r>
      <w:r w:rsidR="00C63F8F" w:rsidRPr="00E27443">
        <w:t xml:space="preserve"> </w:t>
      </w:r>
      <w:r w:rsidRPr="00E27443">
        <w:t>goal</w:t>
      </w:r>
      <w:r w:rsidR="00C63F8F" w:rsidRPr="00E27443">
        <w:t xml:space="preserve"> </w:t>
      </w:r>
      <w:r w:rsidRPr="00E27443">
        <w:t>within</w:t>
      </w:r>
      <w:r w:rsidR="00C63F8F" w:rsidRPr="00E27443">
        <w:t xml:space="preserve"> </w:t>
      </w:r>
      <w:r w:rsidRPr="00E27443">
        <w:t>culture,</w:t>
      </w:r>
      <w:r w:rsidR="00C63F8F" w:rsidRPr="00E27443">
        <w:t xml:space="preserve"> </w:t>
      </w:r>
      <w:r w:rsidRPr="00E27443">
        <w:t>media</w:t>
      </w:r>
      <w:r w:rsidR="00C63F8F" w:rsidRPr="00E27443">
        <w:t xml:space="preserve"> </w:t>
      </w:r>
      <w:r w:rsidRPr="00E27443">
        <w:t>and</w:t>
      </w:r>
      <w:r w:rsidR="00C63F8F" w:rsidRPr="00E27443">
        <w:t xml:space="preserve"> </w:t>
      </w:r>
      <w:r w:rsidRPr="00E27443">
        <w:t>sport</w:t>
      </w:r>
      <w:r w:rsidR="00C63F8F" w:rsidRPr="00E27443">
        <w:t xml:space="preserve"> </w:t>
      </w:r>
      <w:r w:rsidRPr="00E27443">
        <w:t>is</w:t>
      </w:r>
      <w:r w:rsidR="00C63F8F" w:rsidRPr="00E27443">
        <w:t xml:space="preserve"> </w:t>
      </w:r>
      <w:r w:rsidRPr="00E27443">
        <w:t>to</w:t>
      </w:r>
      <w:r w:rsidR="00C63F8F" w:rsidRPr="00E27443">
        <w:t xml:space="preserve"> </w:t>
      </w:r>
      <w:r w:rsidRPr="00E27443">
        <w:t>improve</w:t>
      </w:r>
      <w:r w:rsidR="00A57488" w:rsidRPr="00E27443">
        <w:t xml:space="preserve"> </w:t>
      </w:r>
      <w:r w:rsidRPr="00E27443">
        <w:t>the</w:t>
      </w:r>
      <w:r w:rsidR="00C63F8F" w:rsidRPr="00E27443">
        <w:t xml:space="preserve"> </w:t>
      </w:r>
      <w:r w:rsidRPr="00E27443">
        <w:t>potential</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cultural-</w:t>
      </w:r>
      <w:r w:rsidR="00C63F8F" w:rsidRPr="00E27443">
        <w:t xml:space="preserve"> </w:t>
      </w:r>
      <w:r w:rsidRPr="00E27443">
        <w:t>and</w:t>
      </w:r>
      <w:r w:rsidR="00C63F8F" w:rsidRPr="00E27443">
        <w:t xml:space="preserve"> </w:t>
      </w:r>
      <w:r w:rsidRPr="00E27443">
        <w:t>sports</w:t>
      </w:r>
      <w:r w:rsidR="00C63F8F" w:rsidRPr="00E27443">
        <w:t xml:space="preserve"> </w:t>
      </w:r>
      <w:r w:rsidRPr="00E27443">
        <w:t>life.</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perspective</w:t>
      </w:r>
      <w:r w:rsidR="00C63F8F" w:rsidRPr="00E27443">
        <w:t xml:space="preserve"> </w:t>
      </w:r>
      <w:r w:rsidRPr="00E27443">
        <w:t>must</w:t>
      </w:r>
      <w:r w:rsidR="00C63F8F" w:rsidRPr="00E27443">
        <w:t xml:space="preserve"> </w:t>
      </w:r>
      <w:r w:rsidRPr="00E27443">
        <w:t>be</w:t>
      </w:r>
      <w:r w:rsidR="00C63F8F" w:rsidRPr="00E27443">
        <w:t xml:space="preserve"> </w:t>
      </w:r>
      <w:r w:rsidRPr="00E27443">
        <w:t>integrated</w:t>
      </w:r>
      <w:r w:rsidR="00C63F8F" w:rsidRPr="00E27443">
        <w:t xml:space="preserve"> </w:t>
      </w:r>
      <w:r w:rsidRPr="00E27443">
        <w:t>in</w:t>
      </w:r>
      <w:r w:rsidR="00C63F8F" w:rsidRPr="00E27443">
        <w:t xml:space="preserve"> </w:t>
      </w:r>
      <w:r w:rsidRPr="00E27443">
        <w:t>the</w:t>
      </w:r>
      <w:r w:rsidR="00C63F8F" w:rsidRPr="00E27443">
        <w:t xml:space="preserve"> </w:t>
      </w:r>
      <w:r w:rsidRPr="00E27443">
        <w:t>regular</w:t>
      </w:r>
      <w:r w:rsidR="00C63F8F" w:rsidRPr="00E27443">
        <w:t xml:space="preserve"> </w:t>
      </w:r>
      <w:r w:rsidRPr="00E27443">
        <w:t>granting</w:t>
      </w:r>
      <w:r w:rsidR="00C63F8F" w:rsidRPr="00E27443">
        <w:t xml:space="preserve"> </w:t>
      </w:r>
      <w:r w:rsidRPr="00E27443">
        <w:t>of</w:t>
      </w:r>
      <w:r w:rsidR="00C63F8F" w:rsidRPr="00E27443">
        <w:t xml:space="preserve"> </w:t>
      </w:r>
      <w:r w:rsidRPr="00E27443">
        <w:t>subsidies</w:t>
      </w:r>
      <w:r w:rsidR="00C63F8F" w:rsidRPr="00E27443">
        <w:t xml:space="preserve"> </w:t>
      </w:r>
      <w:r w:rsidRPr="00E27443">
        <w:t>within</w:t>
      </w:r>
      <w:r w:rsidR="00C63F8F" w:rsidRPr="00E27443">
        <w:t xml:space="preserve"> </w:t>
      </w:r>
      <w:r w:rsidRPr="00E27443">
        <w:t>the</w:t>
      </w:r>
      <w:r w:rsidR="00C63F8F" w:rsidRPr="00E27443">
        <w:t xml:space="preserve"> </w:t>
      </w:r>
      <w:r w:rsidRPr="00E27443">
        <w:t>fields</w:t>
      </w:r>
      <w:r w:rsidR="00C63F8F" w:rsidRPr="00E27443">
        <w:t xml:space="preserve"> </w:t>
      </w:r>
      <w:r w:rsidRPr="00E27443">
        <w:t>of</w:t>
      </w:r>
      <w:r w:rsidR="00C63F8F" w:rsidRPr="00E27443">
        <w:t xml:space="preserve"> </w:t>
      </w:r>
      <w:r w:rsidRPr="00E27443">
        <w:t>culture</w:t>
      </w:r>
      <w:r w:rsidR="00C63F8F" w:rsidRPr="00E27443">
        <w:t xml:space="preserve"> </w:t>
      </w:r>
      <w:r w:rsidRPr="00E27443">
        <w:t>and</w:t>
      </w:r>
      <w:r w:rsidR="00C63F8F" w:rsidRPr="00E27443">
        <w:t xml:space="preserve"> </w:t>
      </w:r>
      <w:r w:rsidRPr="00E27443">
        <w:t>sport.</w:t>
      </w:r>
    </w:p>
    <w:p w:rsidR="00321ADA" w:rsidRPr="00E27443" w:rsidRDefault="00321ADA" w:rsidP="00272B46">
      <w:pPr>
        <w:pStyle w:val="SingleTxtG"/>
        <w:numPr>
          <w:ilvl w:val="0"/>
          <w:numId w:val="20"/>
        </w:numPr>
        <w:tabs>
          <w:tab w:val="left" w:pos="1843"/>
        </w:tabs>
        <w:ind w:left="1134" w:firstLine="0"/>
      </w:pPr>
      <w:r w:rsidRPr="00E27443">
        <w:t>Media</w:t>
      </w:r>
      <w:r w:rsidR="00C63F8F" w:rsidRPr="00E27443">
        <w:t xml:space="preserve"> </w:t>
      </w:r>
      <w:r w:rsidRPr="00E27443">
        <w:t>services</w:t>
      </w:r>
      <w:r w:rsidR="00C63F8F" w:rsidRPr="00E27443">
        <w:t xml:space="preserve"> </w:t>
      </w:r>
      <w:r w:rsidRPr="00E27443">
        <w:t>and</w:t>
      </w:r>
      <w:r w:rsidR="00C63F8F" w:rsidRPr="00E27443">
        <w:t xml:space="preserve"> </w:t>
      </w:r>
      <w:r w:rsidRPr="00E27443">
        <w:t>film</w:t>
      </w:r>
      <w:r w:rsidR="00C63F8F" w:rsidRPr="00E27443">
        <w:t xml:space="preserve"> </w:t>
      </w:r>
      <w:r w:rsidRPr="00E27443">
        <w:t>should,</w:t>
      </w:r>
      <w:r w:rsidR="00C63F8F" w:rsidRPr="00E27443">
        <w:t xml:space="preserve"> </w:t>
      </w:r>
      <w:r w:rsidRPr="00E27443">
        <w:t>to</w:t>
      </w:r>
      <w:r w:rsidR="00C63F8F" w:rsidRPr="00E27443">
        <w:t xml:space="preserve"> </w:t>
      </w:r>
      <w:r w:rsidRPr="00E27443">
        <w:t>a</w:t>
      </w:r>
      <w:r w:rsidR="00C63F8F" w:rsidRPr="00E27443">
        <w:t xml:space="preserve"> </w:t>
      </w:r>
      <w:r w:rsidRPr="00E27443">
        <w:t>greater</w:t>
      </w:r>
      <w:r w:rsidR="00C63F8F" w:rsidRPr="00E27443">
        <w:t xml:space="preserve"> </w:t>
      </w:r>
      <w:r w:rsidRPr="00E27443">
        <w:t>extent,</w:t>
      </w:r>
      <w:r w:rsidR="00C63F8F" w:rsidRPr="00E27443">
        <w:t xml:space="preserve"> </w:t>
      </w:r>
      <w:r w:rsidRPr="00E27443">
        <w:t>be</w:t>
      </w:r>
      <w:r w:rsidR="00C63F8F" w:rsidRPr="00E27443">
        <w:t xml:space="preserve"> </w:t>
      </w:r>
      <w:r w:rsidRPr="00E27443">
        <w:t>formulated</w:t>
      </w:r>
      <w:r w:rsidR="00C63F8F" w:rsidRPr="00E27443">
        <w:t xml:space="preserve"> </w:t>
      </w:r>
      <w:r w:rsidRPr="00E27443">
        <w:t>in</w:t>
      </w:r>
      <w:r w:rsidR="00C63F8F" w:rsidRPr="00E27443">
        <w:t xml:space="preserve"> </w:t>
      </w:r>
      <w:r w:rsidRPr="00E27443">
        <w:t>a</w:t>
      </w:r>
      <w:r w:rsidR="00C63F8F" w:rsidRPr="00E27443">
        <w:t xml:space="preserve"> </w:t>
      </w:r>
      <w:r w:rsidRPr="00E27443">
        <w:t>way</w:t>
      </w:r>
      <w:r w:rsidR="00C63F8F" w:rsidRPr="00E27443">
        <w:t xml:space="preserve"> </w:t>
      </w:r>
      <w:r w:rsidRPr="00E27443">
        <w:t>that</w:t>
      </w:r>
      <w:r w:rsidR="00C63F8F" w:rsidRPr="00E27443">
        <w:t xml:space="preserve"> </w:t>
      </w:r>
      <w:r w:rsidRPr="00E27443">
        <w:t>makes</w:t>
      </w:r>
      <w:r w:rsidR="00C63F8F" w:rsidRPr="00E27443">
        <w:t xml:space="preserve"> </w:t>
      </w:r>
      <w:r w:rsidRPr="00E27443">
        <w:t>them</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p>
    <w:p w:rsidR="00321ADA" w:rsidRPr="00E27443" w:rsidRDefault="00321ADA" w:rsidP="00272B46">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made</w:t>
      </w:r>
      <w:r w:rsidR="00C63F8F" w:rsidRPr="00E27443">
        <w:t xml:space="preserve"> </w:t>
      </w:r>
      <w:r w:rsidRPr="00E27443">
        <w:t>major</w:t>
      </w:r>
      <w:r w:rsidR="00C63F8F" w:rsidRPr="00E27443">
        <w:t xml:space="preserve"> </w:t>
      </w:r>
      <w:r w:rsidRPr="00E27443">
        <w:t>investments</w:t>
      </w:r>
      <w:r w:rsidR="00C63F8F" w:rsidRPr="00E27443">
        <w:t xml:space="preserve"> </w:t>
      </w:r>
      <w:r w:rsidRPr="00E27443">
        <w:t>with</w:t>
      </w:r>
      <w:r w:rsidR="00C63F8F" w:rsidRPr="00E27443">
        <w:t xml:space="preserve"> </w:t>
      </w:r>
      <w:r w:rsidRPr="00E27443">
        <w:t>culture</w:t>
      </w:r>
      <w:r w:rsidR="00C63F8F" w:rsidRPr="00E27443">
        <w:t xml:space="preserve"> </w:t>
      </w:r>
      <w:r w:rsidRPr="00E27443">
        <w:t>and</w:t>
      </w:r>
      <w:r w:rsidR="00C63F8F" w:rsidRPr="00E27443">
        <w:t xml:space="preserve"> </w:t>
      </w:r>
      <w:r w:rsidRPr="00E27443">
        <w:t>media</w:t>
      </w:r>
      <w:r w:rsidR="00C63F8F" w:rsidRPr="00E27443">
        <w:t xml:space="preserve"> </w:t>
      </w:r>
      <w:r w:rsidRPr="00E27443">
        <w:t>over</w:t>
      </w:r>
      <w:r w:rsidR="00C63F8F" w:rsidRPr="00E27443">
        <w:t xml:space="preserve"> </w:t>
      </w:r>
      <w:r w:rsidRPr="00E27443">
        <w:t>the</w:t>
      </w:r>
      <w:r w:rsidR="00C63F8F" w:rsidRPr="00E27443">
        <w:t xml:space="preserve"> </w:t>
      </w:r>
      <w:r w:rsidRPr="00E27443">
        <w:t>past</w:t>
      </w:r>
      <w:r w:rsidR="00C63F8F" w:rsidRPr="00E27443">
        <w:t xml:space="preserve"> </w:t>
      </w:r>
      <w:r w:rsidRPr="00E27443">
        <w:t>decade.</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taken</w:t>
      </w:r>
      <w:r w:rsidR="00C63F8F" w:rsidRPr="00E27443">
        <w:t xml:space="preserve"> </w:t>
      </w:r>
      <w:r w:rsidRPr="00E27443">
        <w:t>the</w:t>
      </w:r>
      <w:r w:rsidR="00C63F8F" w:rsidRPr="00E27443">
        <w:t xml:space="preserve"> </w:t>
      </w:r>
      <w:r w:rsidRPr="00E27443">
        <w:t>initiative</w:t>
      </w:r>
      <w:r w:rsidR="00C63F8F" w:rsidRPr="00E27443">
        <w:t xml:space="preserve"> </w:t>
      </w:r>
      <w:r w:rsidRPr="00E27443">
        <w:t>for</w:t>
      </w:r>
      <w:r w:rsidR="00C63F8F" w:rsidRPr="00E27443">
        <w:t xml:space="preserve"> </w:t>
      </w:r>
      <w:r w:rsidRPr="00E27443">
        <w:t>a</w:t>
      </w:r>
      <w:r w:rsidR="00C63F8F" w:rsidRPr="00E27443">
        <w:t xml:space="preserve"> </w:t>
      </w:r>
      <w:r w:rsidRPr="00E27443">
        <w:t>national</w:t>
      </w:r>
      <w:r w:rsidR="00C63F8F" w:rsidRPr="00E27443">
        <w:t xml:space="preserve"> </w:t>
      </w:r>
      <w:r w:rsidRPr="00E27443">
        <w:t>strategy</w:t>
      </w:r>
      <w:r w:rsidR="00C63F8F" w:rsidRPr="00E27443">
        <w:t xml:space="preserve"> </w:t>
      </w:r>
      <w:r w:rsidRPr="00E27443">
        <w:t>for</w:t>
      </w:r>
      <w:r w:rsidR="00C63F8F" w:rsidRPr="00E27443">
        <w:t xml:space="preserve"> </w:t>
      </w:r>
      <w:r w:rsidRPr="00E27443">
        <w:t>digitisation,</w:t>
      </w:r>
      <w:r w:rsidR="00C63F8F" w:rsidRPr="00E27443">
        <w:t xml:space="preserve"> </w:t>
      </w:r>
      <w:r w:rsidRPr="00E27443">
        <w:t>electronic</w:t>
      </w:r>
      <w:r w:rsidR="00C63F8F" w:rsidRPr="00E27443">
        <w:t xml:space="preserve"> </w:t>
      </w:r>
      <w:r w:rsidRPr="00E27443">
        <w:t>access</w:t>
      </w:r>
      <w:r w:rsidR="00C63F8F" w:rsidRPr="00E27443">
        <w:t xml:space="preserve"> </w:t>
      </w:r>
      <w:r w:rsidRPr="00E27443">
        <w:t>and</w:t>
      </w:r>
      <w:r w:rsidR="00C63F8F" w:rsidRPr="00E27443">
        <w:t xml:space="preserve"> </w:t>
      </w:r>
      <w:r w:rsidRPr="00E27443">
        <w:t>digital</w:t>
      </w:r>
      <w:r w:rsidR="00C63F8F" w:rsidRPr="00E27443">
        <w:t xml:space="preserve"> </w:t>
      </w:r>
      <w:r w:rsidRPr="00E27443">
        <w:t>curation,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aim</w:t>
      </w:r>
      <w:r w:rsidR="00C63F8F" w:rsidRPr="00E27443">
        <w:t xml:space="preserve"> </w:t>
      </w:r>
      <w:r w:rsidRPr="00E27443">
        <w:t>of</w:t>
      </w:r>
      <w:r w:rsidR="00C63F8F" w:rsidRPr="00E27443">
        <w:t xml:space="preserve"> </w:t>
      </w:r>
      <w:r w:rsidRPr="00E27443">
        <w:t>increasing</w:t>
      </w:r>
      <w:r w:rsidR="00C63F8F" w:rsidRPr="00E27443">
        <w:t xml:space="preserve"> </w:t>
      </w:r>
      <w:r w:rsidRPr="00E27443">
        <w:t>accessibility</w:t>
      </w:r>
      <w:r w:rsidR="00C63F8F" w:rsidRPr="00E27443">
        <w:t xml:space="preserve"> </w:t>
      </w:r>
      <w:r w:rsidRPr="00E27443">
        <w:t>for</w:t>
      </w:r>
      <w:r w:rsidR="00C63F8F" w:rsidRPr="00E27443">
        <w:t xml:space="preserve"> </w:t>
      </w:r>
      <w:r w:rsidRPr="00E27443">
        <w:t>all,</w:t>
      </w:r>
      <w:r w:rsidR="00C63F8F" w:rsidRPr="00E27443">
        <w:t xml:space="preserve"> </w:t>
      </w:r>
      <w:r w:rsidRPr="00E27443">
        <w:t>although</w:t>
      </w:r>
      <w:r w:rsidR="00C63F8F" w:rsidRPr="00E27443">
        <w:t xml:space="preserve"> </w:t>
      </w:r>
      <w:r w:rsidRPr="00E27443">
        <w:t>in</w:t>
      </w:r>
      <w:r w:rsidR="00C63F8F" w:rsidRPr="00E27443">
        <w:t xml:space="preserve"> </w:t>
      </w:r>
      <w:r w:rsidRPr="00E27443">
        <w:t>particular</w:t>
      </w:r>
      <w:r w:rsidR="00C63F8F" w:rsidRPr="00E27443">
        <w:t xml:space="preserve"> </w:t>
      </w:r>
      <w:r w:rsidRPr="00E27443">
        <w:t>for</w:t>
      </w:r>
      <w:r w:rsidR="00C63F8F" w:rsidRPr="00E27443">
        <w:t xml:space="preserve"> </w:t>
      </w:r>
      <w:r w:rsidRPr="00E27443">
        <w:t>groups</w:t>
      </w:r>
      <w:r w:rsidR="00C63F8F" w:rsidRPr="00E27443">
        <w:t xml:space="preserve"> </w:t>
      </w:r>
      <w:r w:rsidRPr="00E27443">
        <w:t>with</w:t>
      </w:r>
      <w:r w:rsidR="00C63F8F" w:rsidRPr="00E27443">
        <w:t xml:space="preserve"> </w:t>
      </w:r>
      <w:r w:rsidRPr="00E27443">
        <w:t>specific</w:t>
      </w:r>
      <w:r w:rsidR="00C63F8F" w:rsidRPr="00E27443">
        <w:t xml:space="preserve"> </w:t>
      </w:r>
      <w:r w:rsidRPr="00E27443">
        <w:t>needs.</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a</w:t>
      </w:r>
      <w:r w:rsidR="00C63F8F" w:rsidRPr="00E27443">
        <w:t xml:space="preserve"> </w:t>
      </w:r>
      <w:r w:rsidRPr="00E27443">
        <w:t>new</w:t>
      </w:r>
      <w:r w:rsidR="00C63F8F" w:rsidRPr="00E27443">
        <w:t xml:space="preserve"> </w:t>
      </w:r>
      <w:r w:rsidRPr="00E27443">
        <w:t>Language</w:t>
      </w:r>
      <w:r w:rsidR="00C63F8F" w:rsidRPr="00E27443">
        <w:t xml:space="preserve"> </w:t>
      </w:r>
      <w:r w:rsidRPr="00E27443">
        <w:t>Act,</w:t>
      </w:r>
      <w:r w:rsidR="00C63F8F" w:rsidRPr="00E27443">
        <w:t xml:space="preserve"> </w:t>
      </w:r>
      <w:r w:rsidRPr="00E27443">
        <w:t>see</w:t>
      </w:r>
      <w:r w:rsidR="00C63F8F" w:rsidRPr="00E27443">
        <w:t xml:space="preserve"> </w:t>
      </w:r>
      <w:r w:rsidRPr="00E27443">
        <w:t>Article</w:t>
      </w:r>
      <w:r w:rsidR="00C63F8F" w:rsidRPr="00E27443">
        <w:t xml:space="preserve"> </w:t>
      </w:r>
      <w:r w:rsidRPr="00E27443">
        <w:t>24.</w:t>
      </w:r>
    </w:p>
    <w:p w:rsidR="00321ADA" w:rsidRPr="00E27443" w:rsidRDefault="00321ADA" w:rsidP="00272B46">
      <w:pPr>
        <w:pStyle w:val="SingleTxtG"/>
        <w:numPr>
          <w:ilvl w:val="0"/>
          <w:numId w:val="20"/>
        </w:numPr>
        <w:tabs>
          <w:tab w:val="left" w:pos="1843"/>
        </w:tabs>
        <w:ind w:left="1134" w:firstLine="0"/>
      </w:pPr>
      <w:r w:rsidRPr="00E27443">
        <w:t>Another</w:t>
      </w:r>
      <w:r w:rsidR="00C63F8F" w:rsidRPr="00E27443">
        <w:t xml:space="preserve"> </w:t>
      </w:r>
      <w:r w:rsidRPr="00E27443">
        <w:t>venture</w:t>
      </w:r>
      <w:r w:rsidR="00C63F8F" w:rsidRPr="00E27443">
        <w:t xml:space="preserve"> </w:t>
      </w:r>
      <w:r w:rsidRPr="00E27443">
        <w:t>is</w:t>
      </w:r>
      <w:r w:rsidR="00C63F8F" w:rsidRPr="00E27443">
        <w:t xml:space="preserve"> </w:t>
      </w:r>
      <w:r w:rsidRPr="00E27443">
        <w:t>the</w:t>
      </w:r>
      <w:r w:rsidR="00C63F8F" w:rsidRPr="00E27443">
        <w:t xml:space="preserve"> </w:t>
      </w:r>
      <w:r w:rsidRPr="00E27443">
        <w:t>creation</w:t>
      </w:r>
      <w:r w:rsidR="00C63F8F" w:rsidRPr="00E27443">
        <w:t xml:space="preserve"> </w:t>
      </w:r>
      <w:r w:rsidRPr="00E27443">
        <w:t>of</w:t>
      </w:r>
      <w:r w:rsidR="00C63F8F" w:rsidRPr="00E27443">
        <w:t xml:space="preserve"> </w:t>
      </w:r>
      <w:r w:rsidRPr="00E27443">
        <w:t>a</w:t>
      </w:r>
      <w:r w:rsidR="00C63F8F" w:rsidRPr="00E27443">
        <w:t xml:space="preserve"> </w:t>
      </w:r>
      <w:r w:rsidRPr="00E27443">
        <w:t>school</w:t>
      </w:r>
      <w:r w:rsidR="00C63F8F" w:rsidRPr="00E27443">
        <w:t xml:space="preserve"> </w:t>
      </w:r>
      <w:r w:rsidRPr="00E27443">
        <w:t>that,</w:t>
      </w:r>
      <w:r w:rsidR="00C63F8F" w:rsidRPr="00E27443">
        <w:t xml:space="preserve"> </w:t>
      </w:r>
      <w:r w:rsidRPr="00E27443">
        <w:t>from</w:t>
      </w:r>
      <w:r w:rsidR="00C63F8F" w:rsidRPr="00E27443">
        <w:t xml:space="preserve"> </w:t>
      </w:r>
      <w:r w:rsidRPr="00E27443">
        <w:t>2011,</w:t>
      </w:r>
      <w:r w:rsidR="00C63F8F" w:rsidRPr="00E27443">
        <w:t xml:space="preserve"> </w:t>
      </w:r>
      <w:r w:rsidRPr="00E27443">
        <w:t>will</w:t>
      </w:r>
      <w:r w:rsidR="00C63F8F" w:rsidRPr="00E27443">
        <w:t xml:space="preserve"> </w:t>
      </w:r>
      <w:r w:rsidRPr="00E27443">
        <w:t>focus</w:t>
      </w:r>
      <w:r w:rsidR="00C63F8F" w:rsidRPr="00E27443">
        <w:t xml:space="preserve"> </w:t>
      </w:r>
      <w:r w:rsidRPr="00E27443">
        <w:t>on</w:t>
      </w:r>
      <w:r w:rsidR="00C63F8F" w:rsidRPr="00E27443">
        <w:t xml:space="preserve"> </w:t>
      </w:r>
      <w:r w:rsidRPr="00E27443">
        <w:t>Years</w:t>
      </w:r>
      <w:r w:rsidR="00C63F8F" w:rsidRPr="00E27443">
        <w:t xml:space="preserve"> </w:t>
      </w:r>
      <w:r w:rsidRPr="00E27443">
        <w:t>1</w:t>
      </w:r>
      <w:r w:rsidR="00C63F8F" w:rsidRPr="00E27443">
        <w:t>–</w:t>
      </w:r>
      <w:r w:rsidRPr="00E27443">
        <w:t>9.</w:t>
      </w:r>
      <w:r w:rsidR="00C63F8F" w:rsidRPr="00E27443">
        <w:t xml:space="preserve"> </w:t>
      </w:r>
      <w:r w:rsidRPr="00E27443">
        <w:t>This</w:t>
      </w:r>
      <w:r w:rsidR="00C63F8F" w:rsidRPr="00E27443">
        <w:t xml:space="preserve"> </w:t>
      </w:r>
      <w:r w:rsidRPr="00E27443">
        <w:t>venture,</w:t>
      </w:r>
      <w:r w:rsidR="00C63F8F" w:rsidRPr="00E27443">
        <w:t xml:space="preserve"> </w:t>
      </w:r>
      <w:r w:rsidRPr="00E27443">
        <w:t>through</w:t>
      </w:r>
      <w:r w:rsidR="00C63F8F" w:rsidRPr="00E27443">
        <w:t xml:space="preserve"> </w:t>
      </w:r>
      <w:r w:rsidRPr="00E27443">
        <w:t>various</w:t>
      </w:r>
      <w:r w:rsidR="00C63F8F" w:rsidRPr="00E27443">
        <w:t xml:space="preserve"> </w:t>
      </w:r>
      <w:r w:rsidRPr="00E27443">
        <w:t>cultural</w:t>
      </w:r>
      <w:r w:rsidR="00C63F8F" w:rsidRPr="00E27443">
        <w:t xml:space="preserve"> </w:t>
      </w:r>
      <w:r w:rsidRPr="00E27443">
        <w:t>means</w:t>
      </w:r>
      <w:r w:rsidR="00C63F8F" w:rsidRPr="00E27443">
        <w:t xml:space="preserve"> </w:t>
      </w:r>
      <w:r w:rsidRPr="00E27443">
        <w:t>of</w:t>
      </w:r>
      <w:r w:rsidR="00C63F8F" w:rsidRPr="00E27443">
        <w:t xml:space="preserve"> </w:t>
      </w:r>
      <w:r w:rsidRPr="00E27443">
        <w:t>expression,</w:t>
      </w:r>
      <w:r w:rsidR="00C63F8F" w:rsidRPr="00E27443">
        <w:t xml:space="preserve"> </w:t>
      </w:r>
      <w:r w:rsidRPr="00E27443">
        <w:t>has</w:t>
      </w:r>
      <w:r w:rsidR="00C63F8F" w:rsidRPr="00E27443">
        <w:t xml:space="preserve"> </w:t>
      </w:r>
      <w:r w:rsidRPr="00E27443">
        <w:t>also</w:t>
      </w:r>
      <w:r w:rsidR="00C63F8F" w:rsidRPr="00E27443">
        <w:t xml:space="preserve"> </w:t>
      </w:r>
      <w:r w:rsidRPr="00E27443">
        <w:t>facilitated</w:t>
      </w:r>
      <w:r w:rsidR="00C63F8F" w:rsidRPr="00E27443">
        <w:t xml:space="preserve"> </w:t>
      </w:r>
      <w:r w:rsidRPr="00E27443">
        <w:t>increased</w:t>
      </w:r>
      <w:r w:rsidR="00C63F8F" w:rsidRPr="00E27443">
        <w:t xml:space="preserve"> </w:t>
      </w:r>
      <w:r w:rsidRPr="00E27443">
        <w:t>participation</w:t>
      </w:r>
      <w:r w:rsidR="00C63F8F" w:rsidRPr="00E27443">
        <w:t xml:space="preserve"> </w:t>
      </w:r>
      <w:r w:rsidRPr="00E27443">
        <w:t>in</w:t>
      </w:r>
      <w:r w:rsidR="00C63F8F" w:rsidRPr="00E27443">
        <w:t xml:space="preserve"> </w:t>
      </w:r>
      <w:r w:rsidRPr="00E27443">
        <w:t>cultural</w:t>
      </w:r>
      <w:r w:rsidR="00C63F8F" w:rsidRPr="00E27443">
        <w:t xml:space="preserve"> </w:t>
      </w:r>
      <w:r w:rsidRPr="00E27443">
        <w:t>life</w:t>
      </w:r>
      <w:r w:rsidR="00C63F8F" w:rsidRPr="00E27443">
        <w:t xml:space="preserve"> </w:t>
      </w:r>
      <w:r w:rsidRPr="00E27443">
        <w:t>for</w:t>
      </w:r>
      <w:r w:rsidR="00C63F8F" w:rsidRPr="00E27443">
        <w:t xml:space="preserve"> </w:t>
      </w:r>
      <w:r w:rsidRPr="00E27443">
        <w:t>pupils</w:t>
      </w:r>
      <w:r w:rsidR="00C63F8F" w:rsidRPr="00E27443">
        <w:t xml:space="preserve"> </w:t>
      </w:r>
      <w:r w:rsidRPr="00E27443">
        <w:t>in</w:t>
      </w:r>
      <w:r w:rsidR="00C63F8F" w:rsidRPr="00E27443">
        <w:t xml:space="preserve"> </w:t>
      </w:r>
      <w:r w:rsidRPr="00E27443">
        <w:t>special</w:t>
      </w:r>
      <w:r w:rsidR="00C63F8F" w:rsidRPr="00E27443">
        <w:t xml:space="preserve"> </w:t>
      </w:r>
      <w:r w:rsidRPr="00E27443">
        <w:t>schools.</w:t>
      </w:r>
      <w:r w:rsidR="00C63F8F" w:rsidRPr="00E27443">
        <w:t xml:space="preserve"> </w:t>
      </w:r>
      <w:r w:rsidRPr="00E27443">
        <w:t>The</w:t>
      </w:r>
      <w:r w:rsidR="00C63F8F" w:rsidRPr="00E27443">
        <w:t xml:space="preserve"> </w:t>
      </w:r>
      <w:r w:rsidRPr="00E27443">
        <w:t>venture</w:t>
      </w:r>
      <w:r w:rsidR="00C63F8F" w:rsidRPr="00E27443">
        <w:t xml:space="preserve"> </w:t>
      </w:r>
      <w:r w:rsidRPr="00E27443">
        <w:t>is</w:t>
      </w:r>
      <w:r w:rsidR="00C63F8F" w:rsidRPr="00E27443">
        <w:t xml:space="preserve"> </w:t>
      </w:r>
      <w:r w:rsidRPr="00E27443">
        <w:t>intended,</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the</w:t>
      </w:r>
      <w:r w:rsidR="00C63F8F" w:rsidRPr="00E27443">
        <w:t xml:space="preserve"> </w:t>
      </w:r>
      <w:r w:rsidRPr="00E27443">
        <w:t>school</w:t>
      </w:r>
      <w:r w:rsidR="00C63F8F" w:rsidRPr="00E27443">
        <w:t>’</w:t>
      </w:r>
      <w:r w:rsidRPr="00E27443">
        <w:t>s</w:t>
      </w:r>
      <w:r w:rsidR="00C63F8F" w:rsidRPr="00E27443">
        <w:t xml:space="preserve"> </w:t>
      </w:r>
      <w:r w:rsidRPr="00E27443">
        <w:t>curriculum,</w:t>
      </w:r>
      <w:r w:rsidR="00C63F8F" w:rsidRPr="00E27443">
        <w:t xml:space="preserve"> </w:t>
      </w:r>
      <w:r w:rsidRPr="00E27443">
        <w:t>to</w:t>
      </w:r>
      <w:r w:rsidR="00C63F8F" w:rsidRPr="00E27443">
        <w:t xml:space="preserve"> </w:t>
      </w:r>
      <w:r w:rsidRPr="00E27443">
        <w:t>increase</w:t>
      </w:r>
      <w:r w:rsidR="00C63F8F" w:rsidRPr="00E27443">
        <w:t xml:space="preserve"> </w:t>
      </w:r>
      <w:r w:rsidRPr="00E27443">
        <w:t>collaboration</w:t>
      </w:r>
      <w:r w:rsidR="00C63F8F" w:rsidRPr="00E27443">
        <w:t xml:space="preserve"> </w:t>
      </w:r>
      <w:r w:rsidRPr="00E27443">
        <w:t>between</w:t>
      </w:r>
      <w:r w:rsidR="00C63F8F" w:rsidRPr="00E27443">
        <w:t xml:space="preserve"> </w:t>
      </w:r>
      <w:r w:rsidRPr="00E27443">
        <w:t>the</w:t>
      </w:r>
      <w:r w:rsidR="00C63F8F" w:rsidRPr="00E27443">
        <w:t xml:space="preserve"> </w:t>
      </w:r>
      <w:r w:rsidRPr="00E27443">
        <w:t>school</w:t>
      </w:r>
      <w:r w:rsidR="00C63F8F" w:rsidRPr="00E27443">
        <w:t xml:space="preserve"> </w:t>
      </w:r>
      <w:r w:rsidRPr="00E27443">
        <w:t>and</w:t>
      </w:r>
      <w:r w:rsidR="00C63F8F" w:rsidRPr="00E27443">
        <w:t xml:space="preserve"> </w:t>
      </w:r>
      <w:r w:rsidRPr="00E27443">
        <w:t>professional</w:t>
      </w:r>
      <w:r w:rsidR="00C63F8F" w:rsidRPr="00E27443">
        <w:t xml:space="preserve"> </w:t>
      </w:r>
      <w:r w:rsidRPr="00E27443">
        <w:t>cultural</w:t>
      </w:r>
      <w:r w:rsidR="00C63F8F" w:rsidRPr="00E27443">
        <w:t xml:space="preserve"> </w:t>
      </w:r>
      <w:r w:rsidRPr="00E27443">
        <w:t>life</w:t>
      </w:r>
      <w:r w:rsidR="00C63F8F" w:rsidRPr="00E27443">
        <w:t xml:space="preserve"> </w:t>
      </w:r>
      <w:r w:rsidRPr="00E27443">
        <w:t>and</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pupils</w:t>
      </w:r>
      <w:r w:rsidR="00C63F8F" w:rsidRPr="00E27443">
        <w:t xml:space="preserve">’ </w:t>
      </w:r>
      <w:r w:rsidRPr="00E27443">
        <w:t>own</w:t>
      </w:r>
      <w:r w:rsidR="00C63F8F" w:rsidRPr="00E27443">
        <w:t xml:space="preserve"> </w:t>
      </w:r>
      <w:r w:rsidRPr="00E27443">
        <w:t>creation.</w:t>
      </w:r>
      <w:r w:rsidR="00C63F8F" w:rsidRPr="00E27443">
        <w:t xml:space="preserve"> </w:t>
      </w:r>
    </w:p>
    <w:p w:rsidR="00321ADA" w:rsidRPr="00E27443" w:rsidRDefault="00321ADA" w:rsidP="00272B46">
      <w:pPr>
        <w:pStyle w:val="SingleTxtG"/>
        <w:numPr>
          <w:ilvl w:val="0"/>
          <w:numId w:val="20"/>
        </w:numPr>
        <w:tabs>
          <w:tab w:val="left" w:pos="1843"/>
        </w:tabs>
        <w:ind w:left="1134" w:firstLine="0"/>
      </w:pPr>
      <w:r w:rsidRPr="00E27443">
        <w:t>The</w:t>
      </w:r>
      <w:r w:rsidR="00C63F8F" w:rsidRPr="00E27443">
        <w:t xml:space="preserve"> </w:t>
      </w:r>
      <w:r w:rsidRPr="00E27443">
        <w:t>State</w:t>
      </w:r>
      <w:r w:rsidR="00C63F8F" w:rsidRPr="00E27443">
        <w:t xml:space="preserve"> </w:t>
      </w:r>
      <w:r w:rsidRPr="00E27443">
        <w:t>provides</w:t>
      </w:r>
      <w:r w:rsidR="00C63F8F" w:rsidRPr="00E27443">
        <w:t xml:space="preserve"> </w:t>
      </w:r>
      <w:r w:rsidRPr="00E27443">
        <w:t>support</w:t>
      </w:r>
      <w:r w:rsidR="00C63F8F" w:rsidRPr="00E27443">
        <w:t xml:space="preserve"> </w:t>
      </w:r>
      <w:r w:rsidRPr="00E27443">
        <w:t>annually</w:t>
      </w:r>
      <w:r w:rsidR="00C63F8F" w:rsidRPr="00E27443">
        <w:t xml:space="preserve"> </w:t>
      </w:r>
      <w:r w:rsidRPr="00E27443">
        <w:t>to</w:t>
      </w:r>
      <w:r w:rsidR="00C63F8F" w:rsidRPr="00E27443">
        <w:t xml:space="preserve"> </w:t>
      </w:r>
      <w:r w:rsidRPr="00E27443">
        <w:t>the</w:t>
      </w:r>
      <w:r w:rsidR="00C63F8F" w:rsidRPr="00E27443">
        <w:t xml:space="preserve"> </w:t>
      </w:r>
      <w:r w:rsidRPr="00E27443">
        <w:t>non-profit</w:t>
      </w:r>
      <w:r w:rsidR="00C63F8F" w:rsidRPr="00E27443">
        <w:t xml:space="preserve"> </w:t>
      </w:r>
      <w:r w:rsidRPr="00E27443">
        <w:t>National</w:t>
      </w:r>
      <w:r w:rsidR="00C63F8F" w:rsidRPr="00E27443">
        <w:t xml:space="preserve"> </w:t>
      </w:r>
      <w:r w:rsidRPr="00E27443">
        <w:t>Theatre</w:t>
      </w:r>
      <w:r w:rsidR="00C63F8F" w:rsidRPr="00E27443">
        <w:t xml:space="preserve"> </w:t>
      </w:r>
      <w:r w:rsidRPr="00E27443">
        <w:t>Company.</w:t>
      </w:r>
      <w:r w:rsidR="00C63F8F" w:rsidRPr="00E27443">
        <w:t xml:space="preserve"> </w:t>
      </w:r>
      <w:r w:rsidRPr="00E27443">
        <w:t>Within</w:t>
      </w:r>
      <w:r w:rsidR="00C63F8F" w:rsidRPr="00E27443">
        <w:t xml:space="preserve"> </w:t>
      </w:r>
      <w:r w:rsidRPr="00E27443">
        <w:t>the</w:t>
      </w:r>
      <w:r w:rsidR="00C63F8F" w:rsidRPr="00E27443">
        <w:t xml:space="preserve"> </w:t>
      </w:r>
      <w:r w:rsidRPr="00E27443">
        <w:t>National</w:t>
      </w:r>
      <w:r w:rsidR="00C63F8F" w:rsidRPr="00E27443">
        <w:t xml:space="preserve"> </w:t>
      </w:r>
      <w:r w:rsidRPr="00E27443">
        <w:t>Theatre</w:t>
      </w:r>
      <w:r w:rsidR="00C63F8F" w:rsidRPr="00E27443">
        <w:t xml:space="preserve"> </w:t>
      </w:r>
      <w:r w:rsidRPr="00E27443">
        <w:t>Company</w:t>
      </w:r>
      <w:r w:rsidR="00C63F8F" w:rsidRPr="00E27443">
        <w:t xml:space="preserve"> </w:t>
      </w:r>
      <w:r w:rsidRPr="00E27443">
        <w:t>there</w:t>
      </w:r>
      <w:r w:rsidR="00C63F8F" w:rsidRPr="00E27443">
        <w:t xml:space="preserve"> </w:t>
      </w:r>
      <w:r w:rsidRPr="00E27443">
        <w:t>is</w:t>
      </w:r>
      <w:r w:rsidR="00C63F8F" w:rsidRPr="00E27443">
        <w:t xml:space="preserve"> </w:t>
      </w:r>
      <w:r w:rsidRPr="00E27443">
        <w:t>the</w:t>
      </w:r>
      <w:r w:rsidR="00C63F8F" w:rsidRPr="00E27443">
        <w:t xml:space="preserve"> </w:t>
      </w:r>
      <w:r w:rsidRPr="00E27443">
        <w:t>Quiet</w:t>
      </w:r>
      <w:r w:rsidR="00C63F8F" w:rsidRPr="00E27443">
        <w:t xml:space="preserve"> </w:t>
      </w:r>
      <w:r w:rsidRPr="00E27443">
        <w:t>Theatre,</w:t>
      </w:r>
      <w:r w:rsidR="00C63F8F" w:rsidRPr="00E27443">
        <w:t xml:space="preserve"> </w:t>
      </w:r>
      <w:r w:rsidRPr="00E27443">
        <w:t>for</w:t>
      </w:r>
      <w:r w:rsidR="00C63F8F" w:rsidRPr="00E27443">
        <w:t xml:space="preserve"> </w:t>
      </w:r>
      <w:r w:rsidRPr="00E27443">
        <w:t>example,</w:t>
      </w:r>
      <w:r w:rsidR="00C63F8F" w:rsidRPr="00E27443">
        <w:t xml:space="preserve"> </w:t>
      </w:r>
      <w:r w:rsidRPr="00E27443">
        <w:t>which</w:t>
      </w:r>
      <w:r w:rsidR="00C63F8F" w:rsidRPr="00E27443">
        <w:t xml:space="preserve"> </w:t>
      </w:r>
      <w:r w:rsidRPr="00E27443">
        <w:t>has</w:t>
      </w:r>
      <w:r w:rsidR="00C63F8F" w:rsidRPr="00E27443">
        <w:t xml:space="preserve"> </w:t>
      </w:r>
      <w:r w:rsidRPr="00E27443">
        <w:t>more</w:t>
      </w:r>
      <w:r w:rsidR="00C63F8F" w:rsidRPr="00E27443">
        <w:t xml:space="preserve"> </w:t>
      </w:r>
      <w:r w:rsidRPr="00E27443">
        <w:t>than</w:t>
      </w:r>
      <w:r w:rsidR="00C63F8F" w:rsidRPr="00E27443">
        <w:t xml:space="preserve"> </w:t>
      </w:r>
      <w:r w:rsidRPr="00E27443">
        <w:t>thirty</w:t>
      </w:r>
      <w:r w:rsidR="00C63F8F" w:rsidRPr="00E27443">
        <w:t xml:space="preserve"> </w:t>
      </w:r>
      <w:r w:rsidRPr="00E27443">
        <w:t>years</w:t>
      </w:r>
      <w:r w:rsidR="00C63F8F" w:rsidRPr="00E27443">
        <w:t xml:space="preserve">’ </w:t>
      </w:r>
      <w:r w:rsidRPr="00E27443">
        <w:t>experience</w:t>
      </w:r>
      <w:r w:rsidR="00C63F8F" w:rsidRPr="00E27443">
        <w:t xml:space="preserve"> </w:t>
      </w:r>
      <w:r w:rsidRPr="00E27443">
        <w:t>of</w:t>
      </w:r>
      <w:r w:rsidR="00C63F8F" w:rsidRPr="00E27443">
        <w:t xml:space="preserve"> </w:t>
      </w:r>
      <w:r w:rsidRPr="00E27443">
        <w:t>producing</w:t>
      </w:r>
      <w:r w:rsidR="00C63F8F" w:rsidRPr="00E27443">
        <w:t xml:space="preserve"> </w:t>
      </w:r>
      <w:r w:rsidRPr="00E27443">
        <w:t>drama</w:t>
      </w:r>
      <w:r w:rsidR="00C63F8F" w:rsidRPr="00E27443">
        <w:t xml:space="preserve"> </w:t>
      </w:r>
      <w:r w:rsidRPr="00E27443">
        <w:t>using</w:t>
      </w:r>
      <w:r w:rsidR="00C63F8F" w:rsidRPr="00E27443">
        <w:t xml:space="preserve"> </w:t>
      </w:r>
      <w:r w:rsidRPr="00E27443">
        <w:t>sign</w:t>
      </w:r>
      <w:r w:rsidR="00C63F8F" w:rsidRPr="00E27443">
        <w:t xml:space="preserve"> </w:t>
      </w:r>
      <w:r w:rsidRPr="00E27443">
        <w:t>language.</w:t>
      </w:r>
      <w:r w:rsidR="00C63F8F" w:rsidRPr="00E27443">
        <w:t xml:space="preserve"> </w:t>
      </w:r>
      <w:r w:rsidRPr="00E27443">
        <w:t>This</w:t>
      </w:r>
      <w:r w:rsidR="00C63F8F" w:rsidRPr="00E27443">
        <w:t xml:space="preserve"> </w:t>
      </w:r>
      <w:r w:rsidRPr="00E27443">
        <w:t>Theatre</w:t>
      </w:r>
      <w:r w:rsidR="00C63F8F" w:rsidRPr="00E27443">
        <w:t xml:space="preserve"> </w:t>
      </w:r>
      <w:r w:rsidRPr="00E27443">
        <w:t>works</w:t>
      </w:r>
      <w:r w:rsidR="00C63F8F" w:rsidRPr="00E27443">
        <w:t xml:space="preserve"> </w:t>
      </w:r>
      <w:r w:rsidRPr="00E27443">
        <w:t>with</w:t>
      </w:r>
      <w:r w:rsidR="00C63F8F" w:rsidRPr="00E27443">
        <w:t xml:space="preserve"> </w:t>
      </w:r>
      <w:r w:rsidRPr="00E27443">
        <w:t>drama,</w:t>
      </w:r>
      <w:r w:rsidR="00C63F8F" w:rsidRPr="00E27443">
        <w:t xml:space="preserve"> </w:t>
      </w:r>
      <w:r w:rsidRPr="00E27443">
        <w:t>educational</w:t>
      </w:r>
      <w:r w:rsidR="00C63F8F" w:rsidRPr="00E27443">
        <w:t xml:space="preserve"> </w:t>
      </w:r>
      <w:r w:rsidRPr="00E27443">
        <w:t>issues,</w:t>
      </w:r>
      <w:r w:rsidR="00C63F8F" w:rsidRPr="00E27443">
        <w:t xml:space="preserve"> </w:t>
      </w:r>
      <w:r w:rsidRPr="00E27443">
        <w:t>new</w:t>
      </w:r>
      <w:r w:rsidR="00C63F8F" w:rsidRPr="00E27443">
        <w:t xml:space="preserve"> </w:t>
      </w:r>
      <w:r w:rsidRPr="00E27443">
        <w:t>technology</w:t>
      </w:r>
      <w:r w:rsidR="00C63F8F" w:rsidRPr="00E27443">
        <w:t xml:space="preserve"> </w:t>
      </w:r>
      <w:r w:rsidRPr="00E27443">
        <w:t>for</w:t>
      </w:r>
      <w:r w:rsidR="00C63F8F" w:rsidRPr="00E27443">
        <w:t xml:space="preserve"> </w:t>
      </w:r>
      <w:r w:rsidRPr="00E27443">
        <w:t>accessibility</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international</w:t>
      </w:r>
      <w:r w:rsidR="00C63F8F" w:rsidRPr="00E27443">
        <w:t xml:space="preserve"> </w:t>
      </w:r>
      <w:r w:rsidRPr="00E27443">
        <w:t>collaboration</w:t>
      </w:r>
      <w:r w:rsidR="00C63F8F" w:rsidRPr="00E27443">
        <w:t xml:space="preserve"> </w:t>
      </w:r>
      <w:r w:rsidRPr="00E27443">
        <w:t>for</w:t>
      </w:r>
      <w:r w:rsidR="00C63F8F" w:rsidRPr="00E27443">
        <w:t xml:space="preserve"> </w:t>
      </w:r>
      <w:r w:rsidRPr="00E27443">
        <w:t>strengthening</w:t>
      </w:r>
      <w:r w:rsidR="00C63F8F" w:rsidRPr="00E27443">
        <w:t xml:space="preserve"> </w:t>
      </w:r>
      <w:r w:rsidRPr="00E27443">
        <w:t>and</w:t>
      </w:r>
      <w:r w:rsidR="00C63F8F" w:rsidRPr="00E27443">
        <w:t xml:space="preserve"> </w:t>
      </w:r>
      <w:r w:rsidRPr="00E27443">
        <w:t>developing</w:t>
      </w:r>
      <w:r w:rsidR="00C63F8F" w:rsidRPr="00E27443">
        <w:t xml:space="preserve"> </w:t>
      </w:r>
      <w:r w:rsidRPr="00E27443">
        <w:t>deaf</w:t>
      </w:r>
      <w:r w:rsidR="00C63F8F" w:rsidRPr="00E27443">
        <w:t xml:space="preserve"> </w:t>
      </w:r>
      <w:r w:rsidRPr="00E27443">
        <w:t>drama</w:t>
      </w:r>
      <w:r w:rsidR="00C63F8F" w:rsidRPr="00E27443">
        <w:t xml:space="preserve"> </w:t>
      </w:r>
      <w:r w:rsidRPr="00E27443">
        <w:t>internationally.</w:t>
      </w:r>
    </w:p>
    <w:p w:rsidR="00321ADA" w:rsidRPr="00E27443" w:rsidRDefault="00321ADA" w:rsidP="00272B46">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Arts</w:t>
      </w:r>
      <w:r w:rsidR="00C63F8F" w:rsidRPr="00E27443">
        <w:t xml:space="preserve"> </w:t>
      </w:r>
      <w:r w:rsidRPr="00E27443">
        <w:t>Council</w:t>
      </w:r>
      <w:r w:rsidR="00A57488" w:rsidRPr="00272B46">
        <w:footnoteReference w:id="143"/>
      </w:r>
      <w:r w:rsidR="00C63F8F" w:rsidRPr="00E27443">
        <w:t xml:space="preserve"> </w:t>
      </w:r>
      <w:r w:rsidRPr="00E27443">
        <w:t>and</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Heritage</w:t>
      </w:r>
      <w:r w:rsidR="00C63F8F" w:rsidRPr="00E27443">
        <w:t xml:space="preserve"> </w:t>
      </w:r>
      <w:r w:rsidRPr="00E27443">
        <w:t>Board</w:t>
      </w:r>
      <w:r w:rsidR="00A57488" w:rsidRPr="00272B46">
        <w:footnoteReference w:id="144"/>
      </w:r>
      <w:r w:rsidR="00C63F8F" w:rsidRPr="00E27443">
        <w:t xml:space="preserve"> </w:t>
      </w:r>
      <w:r w:rsidRPr="00E27443">
        <w:t>are</w:t>
      </w:r>
      <w:r w:rsidR="00C63F8F" w:rsidRPr="00E27443">
        <w:t xml:space="preserve"> </w:t>
      </w:r>
      <w:r w:rsidRPr="00E27443">
        <w:t>sectoral</w:t>
      </w:r>
      <w:r w:rsidR="00C63F8F" w:rsidRPr="00E27443">
        <w:t xml:space="preserve"> </w:t>
      </w:r>
      <w:r w:rsidRPr="00E27443">
        <w:t>authorities</w:t>
      </w:r>
      <w:r w:rsidR="00C63F8F" w:rsidRPr="00E27443">
        <w:t xml:space="preserve"> </w:t>
      </w:r>
      <w:r w:rsidRPr="00E27443">
        <w:t>that</w:t>
      </w:r>
      <w:r w:rsidR="00C63F8F" w:rsidRPr="00E27443">
        <w:t xml:space="preserve"> </w:t>
      </w:r>
      <w:r w:rsidRPr="00E27443">
        <w:t>are</w:t>
      </w:r>
      <w:r w:rsidR="00C63F8F" w:rsidRPr="00E27443">
        <w:t xml:space="preserve"> </w:t>
      </w:r>
      <w:r w:rsidRPr="00E27443">
        <w:t>charged</w:t>
      </w:r>
      <w:r w:rsidR="00C63F8F" w:rsidRPr="00E27443">
        <w:t xml:space="preserve"> </w:t>
      </w:r>
      <w:r w:rsidRPr="00E27443">
        <w:t>with</w:t>
      </w:r>
      <w:r w:rsidR="00C63F8F" w:rsidRPr="00E27443">
        <w:t xml:space="preserve"> </w:t>
      </w:r>
      <w:r w:rsidRPr="00E27443">
        <w:t>co-ordinating,</w:t>
      </w:r>
      <w:r w:rsidR="00C63F8F" w:rsidRPr="00E27443">
        <w:t xml:space="preserve"> </w:t>
      </w:r>
      <w:r w:rsidRPr="00E27443">
        <w:t>supporting</w:t>
      </w:r>
      <w:r w:rsidR="00C63F8F" w:rsidRPr="00E27443">
        <w:t xml:space="preserve"> </w:t>
      </w:r>
      <w:r w:rsidRPr="00E27443">
        <w:t>and</w:t>
      </w:r>
      <w:r w:rsidR="00C63F8F" w:rsidRPr="00E27443">
        <w:t xml:space="preserve"> </w:t>
      </w:r>
      <w:r w:rsidRPr="00E27443">
        <w:t>driving</w:t>
      </w:r>
      <w:r w:rsidR="00C63F8F" w:rsidRPr="00E27443">
        <w:t xml:space="preserve"> </w:t>
      </w:r>
      <w:r w:rsidRPr="00E27443">
        <w:t>forward</w:t>
      </w:r>
      <w:r w:rsidR="00C63F8F" w:rsidRPr="00E27443">
        <w:t xml:space="preserve"> </w:t>
      </w:r>
      <w:r w:rsidRPr="00E27443">
        <w:t>developments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achieve</w:t>
      </w:r>
      <w:r w:rsidR="00C63F8F" w:rsidRPr="00E27443">
        <w:t xml:space="preserve"> </w:t>
      </w:r>
      <w:r w:rsidRPr="00E27443">
        <w:t>the</w:t>
      </w:r>
      <w:r w:rsidR="00C63F8F" w:rsidRPr="00E27443">
        <w:t xml:space="preserve"> </w:t>
      </w:r>
      <w:r w:rsidRPr="00E27443">
        <w:t>national</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goals.</w:t>
      </w:r>
      <w:r w:rsidR="00C63F8F" w:rsidRPr="00E27443">
        <w:t xml:space="preserve"> </w:t>
      </w:r>
      <w:r w:rsidRPr="00E27443">
        <w:t>The</w:t>
      </w:r>
      <w:r w:rsidR="00C63F8F" w:rsidRPr="00E27443">
        <w:t xml:space="preserve"> </w:t>
      </w:r>
      <w:r w:rsidRPr="00E27443">
        <w:t>authorities</w:t>
      </w:r>
      <w:r w:rsidR="00C63F8F" w:rsidRPr="00E27443">
        <w:t xml:space="preserve">’ </w:t>
      </w:r>
      <w:r w:rsidRPr="00E27443">
        <w:t>work</w:t>
      </w:r>
      <w:r w:rsidR="00C63F8F" w:rsidRPr="00E27443">
        <w:t xml:space="preserve"> </w:t>
      </w:r>
      <w:r w:rsidRPr="00E27443">
        <w:t>should</w:t>
      </w:r>
      <w:r w:rsidR="00C63F8F" w:rsidRPr="00E27443">
        <w:t xml:space="preserve"> </w:t>
      </w:r>
      <w:r w:rsidRPr="00E27443">
        <w:t>form</w:t>
      </w:r>
      <w:r w:rsidR="00C63F8F" w:rsidRPr="00E27443">
        <w:t xml:space="preserve"> </w:t>
      </w:r>
      <w:r w:rsidRPr="00E27443">
        <w:t>a</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realisation</w:t>
      </w:r>
      <w:r w:rsidR="00C63F8F" w:rsidRPr="00E27443">
        <w:t xml:space="preserve"> </w:t>
      </w:r>
      <w:r w:rsidRPr="00E27443">
        <w:t>of</w:t>
      </w:r>
      <w:r w:rsidR="00C63F8F" w:rsidRPr="00E27443">
        <w:t xml:space="preserve"> </w:t>
      </w:r>
      <w:r w:rsidRPr="00E27443">
        <w:t>the</w:t>
      </w:r>
      <w:r w:rsidR="00C63F8F" w:rsidRPr="00E27443">
        <w:t xml:space="preserve"> </w:t>
      </w:r>
      <w:r w:rsidRPr="00E27443">
        <w:t>cultural</w:t>
      </w:r>
      <w:r w:rsidR="00C63F8F" w:rsidRPr="00E27443">
        <w:t xml:space="preserve"> </w:t>
      </w:r>
      <w:r w:rsidRPr="00E27443">
        <w:t>policy</w:t>
      </w:r>
      <w:r w:rsidR="00C63F8F" w:rsidRPr="00E27443">
        <w:t xml:space="preserve"> </w:t>
      </w:r>
      <w:r w:rsidRPr="00E27443">
        <w:t>goals</w:t>
      </w:r>
      <w:r w:rsidR="00C63F8F" w:rsidRPr="00E27443">
        <w:t xml:space="preserve"> </w:t>
      </w:r>
      <w:r w:rsidRPr="00E27443">
        <w:t>of</w:t>
      </w:r>
      <w:r w:rsidR="00C63F8F" w:rsidRPr="00E27443">
        <w:t xml:space="preserve"> </w:t>
      </w:r>
      <w:r w:rsidRPr="00E27443">
        <w:t>promoting</w:t>
      </w:r>
      <w:r w:rsidR="00C63F8F" w:rsidRPr="00E27443">
        <w:t xml:space="preserve"> </w:t>
      </w:r>
      <w:r w:rsidRPr="00E27443">
        <w:t>everyone</w:t>
      </w:r>
      <w:r w:rsidR="00C63F8F" w:rsidRPr="00E27443">
        <w:t>’</w:t>
      </w:r>
      <w:r w:rsidRPr="00E27443">
        <w:t>s</w:t>
      </w:r>
      <w:r w:rsidR="00C63F8F" w:rsidRPr="00E27443">
        <w:t xml:space="preserve"> </w:t>
      </w:r>
      <w:r w:rsidRPr="00E27443">
        <w:t>opportunities</w:t>
      </w:r>
      <w:r w:rsidR="00C63F8F" w:rsidRPr="00E27443">
        <w:t xml:space="preserve"> </w:t>
      </w:r>
      <w:r w:rsidRPr="00E27443">
        <w:t>to</w:t>
      </w:r>
      <w:r w:rsidR="00C63F8F" w:rsidRPr="00E27443">
        <w:t xml:space="preserve"> </w:t>
      </w:r>
      <w:r w:rsidRPr="00E27443">
        <w:t>enjoy</w:t>
      </w:r>
      <w:r w:rsidR="00C63F8F" w:rsidRPr="00E27443">
        <w:t xml:space="preserve"> </w:t>
      </w:r>
      <w:r w:rsidRPr="00E27443">
        <w:t>cultural</w:t>
      </w:r>
      <w:r w:rsidR="00C63F8F" w:rsidRPr="00E27443">
        <w:t xml:space="preserve"> </w:t>
      </w:r>
      <w:r w:rsidRPr="00E27443">
        <w:t>experiences,</w:t>
      </w:r>
      <w:r w:rsidR="00C63F8F" w:rsidRPr="00E27443">
        <w:t xml:space="preserve"> </w:t>
      </w:r>
      <w:r w:rsidRPr="00E27443">
        <w:t>education</w:t>
      </w:r>
      <w:r w:rsidR="00C63F8F" w:rsidRPr="00E27443">
        <w:t xml:space="preserve"> </w:t>
      </w:r>
      <w:r w:rsidRPr="00E27443">
        <w:t>and</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their</w:t>
      </w:r>
      <w:r w:rsidR="00C63F8F" w:rsidRPr="00E27443">
        <w:t xml:space="preserve"> </w:t>
      </w:r>
      <w:r w:rsidRPr="00E27443">
        <w:t>creative</w:t>
      </w:r>
      <w:r w:rsidR="00C63F8F" w:rsidRPr="00E27443">
        <w:t xml:space="preserve"> </w:t>
      </w:r>
      <w:r w:rsidRPr="00E27443">
        <w:t>skills,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promoting</w:t>
      </w:r>
      <w:r w:rsidR="00C63F8F" w:rsidRPr="00E27443">
        <w:t xml:space="preserve"> </w:t>
      </w:r>
      <w:r w:rsidRPr="00E27443">
        <w:t>a</w:t>
      </w:r>
      <w:r w:rsidR="00C63F8F" w:rsidRPr="00E27443">
        <w:t xml:space="preserve"> </w:t>
      </w:r>
      <w:r w:rsidRPr="00E27443">
        <w:t>living</w:t>
      </w:r>
      <w:r w:rsidR="00C63F8F" w:rsidRPr="00E27443">
        <w:t xml:space="preserve"> </w:t>
      </w:r>
      <w:r w:rsidRPr="00E27443">
        <w:t>cultural</w:t>
      </w:r>
      <w:r w:rsidR="00C63F8F" w:rsidRPr="00E27443">
        <w:t xml:space="preserve"> </w:t>
      </w:r>
      <w:r w:rsidRPr="00E27443">
        <w:t>heritage</w:t>
      </w:r>
      <w:r w:rsidR="00C63F8F" w:rsidRPr="00E27443">
        <w:t xml:space="preserve"> </w:t>
      </w:r>
      <w:r w:rsidRPr="00E27443">
        <w:t>that</w:t>
      </w:r>
      <w:r w:rsidR="00C63F8F" w:rsidRPr="00E27443">
        <w:t xml:space="preserve"> </w:t>
      </w:r>
      <w:r w:rsidRPr="00E27443">
        <w:t>is</w:t>
      </w:r>
      <w:r w:rsidR="00C63F8F" w:rsidRPr="00E27443">
        <w:t xml:space="preserve"> </w:t>
      </w:r>
      <w:r w:rsidRPr="00E27443">
        <w:t>preserved,</w:t>
      </w:r>
      <w:r w:rsidR="00C63F8F" w:rsidRPr="00E27443">
        <w:t xml:space="preserve"> </w:t>
      </w:r>
      <w:r w:rsidRPr="00E27443">
        <w:t>used</w:t>
      </w:r>
      <w:r w:rsidR="00C63F8F" w:rsidRPr="00E27443">
        <w:t xml:space="preserve"> </w:t>
      </w:r>
      <w:r w:rsidRPr="00E27443">
        <w:t>and</w:t>
      </w:r>
      <w:r w:rsidR="00C63F8F" w:rsidRPr="00E27443">
        <w:t xml:space="preserve"> </w:t>
      </w:r>
      <w:r w:rsidRPr="00E27443">
        <w:t>developed.</w:t>
      </w:r>
      <w:r w:rsidR="00C63F8F" w:rsidRPr="00E27443">
        <w:t xml:space="preserve"> </w:t>
      </w:r>
      <w:r w:rsidRPr="00E27443">
        <w:t>The</w:t>
      </w:r>
      <w:r w:rsidR="00C63F8F" w:rsidRPr="00E27443">
        <w:t xml:space="preserve"> </w:t>
      </w:r>
      <w:r w:rsidRPr="00E27443">
        <w:t>work</w:t>
      </w:r>
      <w:r w:rsidR="00C63F8F" w:rsidRPr="00E27443">
        <w:t xml:space="preserve"> </w:t>
      </w:r>
      <w:r w:rsidRPr="00E27443">
        <w:t>should</w:t>
      </w:r>
      <w:r w:rsidR="00C63F8F" w:rsidRPr="00E27443">
        <w:t xml:space="preserve"> </w:t>
      </w:r>
      <w:r w:rsidRPr="00E27443">
        <w:t>lead</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having</w:t>
      </w:r>
      <w:r w:rsidR="00C63F8F" w:rsidRPr="00E27443">
        <w:t xml:space="preserve"> </w:t>
      </w:r>
      <w:r w:rsidRPr="00E27443">
        <w:t>better</w:t>
      </w:r>
      <w:r w:rsidR="00C63F8F" w:rsidRPr="00E27443">
        <w:t xml:space="preserve"> </w:t>
      </w:r>
      <w:r w:rsidRPr="00E27443">
        <w:t>opportunities</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cultural</w:t>
      </w:r>
      <w:r w:rsidR="00C63F8F" w:rsidRPr="00E27443">
        <w:t xml:space="preserve"> </w:t>
      </w:r>
      <w:r w:rsidRPr="00E27443">
        <w:t>life,</w:t>
      </w:r>
      <w:r w:rsidR="00C63F8F" w:rsidRPr="00E27443">
        <w:t xml:space="preserve"> </w:t>
      </w:r>
      <w:r w:rsidRPr="00E27443">
        <w:t>and</w:t>
      </w:r>
      <w:r w:rsidR="00C63F8F" w:rsidRPr="00E27443">
        <w:t xml:space="preserve"> </w:t>
      </w:r>
      <w:r w:rsidRPr="00E27443">
        <w:t>to</w:t>
      </w:r>
      <w:r w:rsidR="00C63F8F" w:rsidRPr="00E27443">
        <w:t xml:space="preserve"> </w:t>
      </w:r>
      <w:r w:rsidRPr="00E27443">
        <w:t>a</w:t>
      </w:r>
      <w:r w:rsidR="00C63F8F" w:rsidRPr="00E27443">
        <w:t xml:space="preserve"> </w:t>
      </w:r>
      <w:r w:rsidRPr="00E27443">
        <w:t>disability</w:t>
      </w:r>
      <w:r w:rsidR="00C63F8F" w:rsidRPr="00E27443">
        <w:t xml:space="preserve"> </w:t>
      </w:r>
      <w:r w:rsidRPr="00E27443">
        <w:t>perspective</w:t>
      </w:r>
      <w:r w:rsidR="00C63F8F" w:rsidRPr="00E27443">
        <w:t xml:space="preserve"> </w:t>
      </w:r>
      <w:r w:rsidRPr="00E27443">
        <w:t>being</w:t>
      </w:r>
      <w:r w:rsidR="00C63F8F" w:rsidRPr="00E27443">
        <w:t xml:space="preserve"> </w:t>
      </w:r>
      <w:r w:rsidRPr="00E27443">
        <w:t>incorporated</w:t>
      </w:r>
      <w:r w:rsidR="00C63F8F" w:rsidRPr="00E27443">
        <w:t xml:space="preserve"> </w:t>
      </w:r>
      <w:r w:rsidRPr="00E27443">
        <w:t>in</w:t>
      </w:r>
      <w:r w:rsidR="00C63F8F" w:rsidRPr="00E27443">
        <w:t xml:space="preserve"> </w:t>
      </w:r>
      <w:r w:rsidRPr="00E27443">
        <w:t>all</w:t>
      </w:r>
      <w:r w:rsidR="00C63F8F" w:rsidRPr="00E27443">
        <w:t xml:space="preserve"> </w:t>
      </w:r>
      <w:r w:rsidRPr="00E27443">
        <w:t>granting</w:t>
      </w:r>
      <w:r w:rsidR="00C63F8F" w:rsidRPr="00E27443">
        <w:t xml:space="preserve"> </w:t>
      </w:r>
      <w:r w:rsidRPr="00E27443">
        <w:t>of</w:t>
      </w:r>
      <w:r w:rsidR="00C63F8F" w:rsidRPr="00E27443">
        <w:t xml:space="preserve"> </w:t>
      </w:r>
      <w:r w:rsidRPr="00E27443">
        <w:t>subsidies</w:t>
      </w:r>
      <w:r w:rsidR="00C63F8F" w:rsidRPr="00E27443">
        <w:t xml:space="preserve"> </w:t>
      </w:r>
      <w:r w:rsidRPr="00E27443">
        <w:t>within</w:t>
      </w:r>
      <w:r w:rsidR="00C63F8F" w:rsidRPr="00E27443">
        <w:t xml:space="preserve"> </w:t>
      </w:r>
      <w:r w:rsidRPr="00E27443">
        <w:t>the</w:t>
      </w:r>
      <w:r w:rsidR="00C63F8F" w:rsidRPr="00E27443">
        <w:t xml:space="preserve"> </w:t>
      </w:r>
      <w:r w:rsidRPr="00E27443">
        <w:t>areas</w:t>
      </w:r>
      <w:r w:rsidR="00C63F8F" w:rsidRPr="00E27443">
        <w:t xml:space="preserve"> </w:t>
      </w:r>
      <w:r w:rsidRPr="00E27443">
        <w:t>of</w:t>
      </w:r>
      <w:r w:rsidR="00C63F8F" w:rsidRPr="00E27443">
        <w:t xml:space="preserve"> </w:t>
      </w:r>
      <w:r w:rsidRPr="00E27443">
        <w:t>responsibility.</w:t>
      </w:r>
    </w:p>
    <w:p w:rsidR="00321ADA" w:rsidRPr="00E27443" w:rsidRDefault="00321ADA" w:rsidP="00272B46">
      <w:pPr>
        <w:pStyle w:val="SingleTxtG"/>
        <w:numPr>
          <w:ilvl w:val="0"/>
          <w:numId w:val="20"/>
        </w:numPr>
        <w:tabs>
          <w:tab w:val="left" w:pos="1843"/>
        </w:tabs>
        <w:ind w:left="1134" w:firstLine="0"/>
      </w:pPr>
      <w:r w:rsidRPr="00E27443">
        <w:t>The</w:t>
      </w:r>
      <w:r w:rsidR="00C63F8F" w:rsidRPr="00E27443">
        <w:t xml:space="preserve"> </w:t>
      </w:r>
      <w:r w:rsidRPr="00E27443">
        <w:t>Council</w:t>
      </w:r>
      <w:r w:rsidR="00C63F8F" w:rsidRPr="00E27443">
        <w:t>’</w:t>
      </w:r>
      <w:r w:rsidRPr="00E27443">
        <w:t>s</w:t>
      </w:r>
      <w:r w:rsidR="00C63F8F" w:rsidRPr="00E27443">
        <w:t xml:space="preserve"> </w:t>
      </w:r>
      <w:r w:rsidRPr="00E27443">
        <w:t>work</w:t>
      </w:r>
      <w:r w:rsidR="00C63F8F" w:rsidRPr="00E27443">
        <w:t xml:space="preserve"> </w:t>
      </w:r>
      <w:r w:rsidRPr="00E27443">
        <w:t>has</w:t>
      </w:r>
      <w:r w:rsidR="00C63F8F" w:rsidRPr="00E27443">
        <w:t xml:space="preserve"> </w:t>
      </w:r>
      <w:r w:rsidRPr="00E27443">
        <w:t>previously</w:t>
      </w:r>
      <w:r w:rsidR="00C63F8F" w:rsidRPr="00E27443">
        <w:t xml:space="preserve"> </w:t>
      </w:r>
      <w:r w:rsidRPr="00E27443">
        <w:t>been</w:t>
      </w:r>
      <w:r w:rsidR="00C63F8F" w:rsidRPr="00E27443">
        <w:t xml:space="preserve"> </w:t>
      </w:r>
      <w:r w:rsidRPr="00E27443">
        <w:t>focused</w:t>
      </w:r>
      <w:r w:rsidR="00C63F8F" w:rsidRPr="00E27443">
        <w:t xml:space="preserve"> </w:t>
      </w:r>
      <w:r w:rsidRPr="00E27443">
        <w:t>on</w:t>
      </w:r>
      <w:r w:rsidR="00C63F8F" w:rsidRPr="00E27443">
        <w:t xml:space="preserve"> </w:t>
      </w:r>
      <w:r w:rsidRPr="00E27443">
        <w:t>museums</w:t>
      </w:r>
      <w:r w:rsidR="00C63F8F" w:rsidRPr="00E27443">
        <w:t xml:space="preserve"> </w:t>
      </w:r>
      <w:r w:rsidRPr="00E27443">
        <w:t>and</w:t>
      </w:r>
      <w:r w:rsidR="00C63F8F" w:rsidRPr="00E27443">
        <w:t xml:space="preserve"> </w:t>
      </w:r>
      <w:r w:rsidRPr="00E27443">
        <w:t>libraries,</w:t>
      </w:r>
      <w:r w:rsidR="00C63F8F" w:rsidRPr="00E27443">
        <w:t xml:space="preserve"> </w:t>
      </w:r>
      <w:r w:rsidRPr="00E27443">
        <w:t>where</w:t>
      </w:r>
      <w:r w:rsidR="00C63F8F" w:rsidRPr="00E27443">
        <w:t xml:space="preserve"> </w:t>
      </w:r>
      <w:r w:rsidRPr="00E27443">
        <w:t>the</w:t>
      </w:r>
      <w:r w:rsidR="00C63F8F" w:rsidRPr="00E27443">
        <w:t xml:space="preserve"> </w:t>
      </w:r>
      <w:r w:rsidRPr="00E27443">
        <w:t>work</w:t>
      </w:r>
      <w:r w:rsidR="00C63F8F" w:rsidRPr="00E27443">
        <w:t xml:space="preserve"> </w:t>
      </w:r>
      <w:r w:rsidRPr="00E27443">
        <w:t>of</w:t>
      </w:r>
      <w:r w:rsidR="00C63F8F" w:rsidRPr="00E27443">
        <w:t xml:space="preserve"> </w:t>
      </w:r>
      <w:r w:rsidRPr="00E27443">
        <w:t>increasing</w:t>
      </w:r>
      <w:r w:rsidR="00C63F8F" w:rsidRPr="00E27443">
        <w:t xml:space="preserve"> </w:t>
      </w:r>
      <w:r w:rsidRPr="00E27443">
        <w:t>accessibility</w:t>
      </w:r>
      <w:r w:rsidR="00C63F8F" w:rsidRPr="00E27443">
        <w:t xml:space="preserve"> </w:t>
      </w:r>
      <w:r w:rsidRPr="00E27443">
        <w:t>has</w:t>
      </w:r>
      <w:r w:rsidR="00C63F8F" w:rsidRPr="00E27443">
        <w:t xml:space="preserve"> </w:t>
      </w:r>
      <w:r w:rsidRPr="00E27443">
        <w:t>progressed</w:t>
      </w:r>
      <w:r w:rsidR="00C63F8F" w:rsidRPr="00E27443">
        <w:t xml:space="preserve"> </w:t>
      </w:r>
      <w:r w:rsidRPr="00E27443">
        <w:t>relatively</w:t>
      </w:r>
      <w:r w:rsidR="00C63F8F" w:rsidRPr="00E27443">
        <w:t xml:space="preserve"> </w:t>
      </w:r>
      <w:r w:rsidRPr="00E27443">
        <w:t>far.</w:t>
      </w:r>
      <w:r w:rsidR="00C63F8F" w:rsidRPr="00E27443">
        <w:t xml:space="preserve"> </w:t>
      </w:r>
      <w:r w:rsidRPr="00E27443">
        <w:t>Within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drama,</w:t>
      </w:r>
      <w:r w:rsidR="00C63F8F" w:rsidRPr="00E27443">
        <w:t xml:space="preserve"> </w:t>
      </w:r>
      <w:r w:rsidRPr="00E27443">
        <w:t>positions</w:t>
      </w:r>
      <w:r w:rsidR="00C63F8F" w:rsidRPr="00E27443">
        <w:t xml:space="preserve"> </w:t>
      </w:r>
      <w:r w:rsidRPr="00E27443">
        <w:t>have</w:t>
      </w:r>
      <w:r w:rsidR="00C63F8F" w:rsidRPr="00E27443">
        <w:t xml:space="preserve"> </w:t>
      </w:r>
      <w:r w:rsidRPr="00E27443">
        <w:t>also</w:t>
      </w:r>
      <w:r w:rsidR="00C63F8F" w:rsidRPr="00E27443">
        <w:t xml:space="preserve"> </w:t>
      </w:r>
      <w:r w:rsidRPr="00E27443">
        <w:t>been</w:t>
      </w:r>
      <w:r w:rsidR="00C63F8F" w:rsidRPr="00E27443">
        <w:t xml:space="preserve"> </w:t>
      </w:r>
      <w:r w:rsidRPr="00E27443">
        <w:t>advanced,</w:t>
      </w:r>
      <w:r w:rsidR="00C63F8F" w:rsidRPr="00E27443">
        <w:t xml:space="preserve"> </w:t>
      </w:r>
      <w:r w:rsidRPr="00E27443">
        <w:t>in</w:t>
      </w:r>
      <w:r w:rsidR="00C63F8F" w:rsidRPr="00E27443">
        <w:t xml:space="preserve"> </w:t>
      </w:r>
      <w:r w:rsidRPr="00E27443">
        <w:t>part</w:t>
      </w:r>
      <w:r w:rsidR="00C63F8F" w:rsidRPr="00E27443">
        <w:t xml:space="preserve"> </w:t>
      </w:r>
      <w:r w:rsidRPr="00E27443">
        <w:t>with</w:t>
      </w:r>
      <w:r w:rsidR="00C63F8F" w:rsidRPr="00E27443">
        <w:t xml:space="preserve"> </w:t>
      </w:r>
      <w:r w:rsidRPr="00E27443">
        <w:t>the</w:t>
      </w:r>
      <w:r w:rsidR="00C63F8F" w:rsidRPr="00E27443">
        <w:t xml:space="preserve"> </w:t>
      </w:r>
      <w:r w:rsidRPr="00E27443">
        <w:t>aid</w:t>
      </w:r>
      <w:r w:rsidR="00C63F8F" w:rsidRPr="00E27443">
        <w:t xml:space="preserve"> </w:t>
      </w:r>
      <w:r w:rsidRPr="00E27443">
        <w:t>of</w:t>
      </w:r>
      <w:r w:rsidR="00C63F8F" w:rsidRPr="00E27443">
        <w:t xml:space="preserve"> </w:t>
      </w:r>
      <w:r w:rsidRPr="00E27443">
        <w:t>Nordic</w:t>
      </w:r>
      <w:r w:rsidR="00C63F8F" w:rsidRPr="00E27443">
        <w:t xml:space="preserve"> </w:t>
      </w:r>
      <w:r w:rsidRPr="00E27443">
        <w:t>collaboration</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improve</w:t>
      </w:r>
      <w:r w:rsidR="00C63F8F" w:rsidRPr="00E27443">
        <w:t xml:space="preserve"> </w:t>
      </w:r>
      <w:r w:rsidRPr="00E27443">
        <w:t>access</w:t>
      </w:r>
      <w:r w:rsidR="00C63F8F" w:rsidRPr="00E27443">
        <w:t xml:space="preserve"> </w:t>
      </w:r>
      <w:r w:rsidRPr="00E27443">
        <w:t>to</w:t>
      </w:r>
      <w:r w:rsidR="00C63F8F" w:rsidRPr="00E27443">
        <w:t xml:space="preserve"> </w:t>
      </w:r>
      <w:r w:rsidRPr="00E27443">
        <w:t>information,</w:t>
      </w:r>
      <w:r w:rsidR="00C63F8F" w:rsidRPr="00E27443">
        <w:t xml:space="preserve"> </w:t>
      </w:r>
      <w:r w:rsidRPr="00E27443">
        <w:t>premises</w:t>
      </w:r>
      <w:r w:rsidR="00C63F8F" w:rsidRPr="00E27443">
        <w:t xml:space="preserve"> </w:t>
      </w:r>
      <w:r w:rsidRPr="00E27443">
        <w:t>and</w:t>
      </w:r>
      <w:r w:rsidR="00C63F8F" w:rsidRPr="00E27443">
        <w:t xml:space="preserve"> </w:t>
      </w:r>
      <w:r w:rsidRPr="00E27443">
        <w:t>activities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increase</w:t>
      </w:r>
      <w:r w:rsidR="00C63F8F" w:rsidRPr="00E27443">
        <w:t xml:space="preserve"> </w:t>
      </w:r>
      <w:r w:rsidRPr="00E27443">
        <w:t>access</w:t>
      </w:r>
      <w:r w:rsidR="00C63F8F" w:rsidRPr="00E27443">
        <w:t xml:space="preserve"> </w:t>
      </w:r>
      <w:r w:rsidRPr="00E27443">
        <w:t>to</w:t>
      </w:r>
      <w:r w:rsidR="00C63F8F" w:rsidRPr="00E27443">
        <w:t xml:space="preserve"> </w:t>
      </w:r>
      <w:r w:rsidRPr="00E27443">
        <w:t>touring</w:t>
      </w:r>
      <w:r w:rsidR="00C63F8F" w:rsidRPr="00E27443">
        <w:t xml:space="preserve"> </w:t>
      </w:r>
      <w:r w:rsidRPr="00E27443">
        <w:t>theatre</w:t>
      </w:r>
      <w:r w:rsidR="00C63F8F" w:rsidRPr="00E27443">
        <w:t xml:space="preserve"> </w:t>
      </w:r>
      <w:r w:rsidRPr="00E27443">
        <w:t>companies,</w:t>
      </w:r>
      <w:r w:rsidR="00C63F8F" w:rsidRPr="00E27443">
        <w:t xml:space="preserve"> </w:t>
      </w:r>
      <w:r w:rsidRPr="00E27443">
        <w:t>the</w:t>
      </w:r>
      <w:r w:rsidR="00C63F8F" w:rsidRPr="00E27443">
        <w:t xml:space="preserve"> </w:t>
      </w:r>
      <w:r w:rsidRPr="00E27443">
        <w:t>Swedish</w:t>
      </w:r>
      <w:r w:rsidR="00C63F8F" w:rsidRPr="00E27443">
        <w:t xml:space="preserve"> </w:t>
      </w:r>
      <w:r w:rsidRPr="00E27443">
        <w:t>Arts</w:t>
      </w:r>
      <w:r w:rsidR="00C63F8F" w:rsidRPr="00E27443">
        <w:t xml:space="preserve"> </w:t>
      </w:r>
      <w:r w:rsidRPr="00E27443">
        <w:t>Council</w:t>
      </w:r>
      <w:r w:rsidR="00C63F8F" w:rsidRPr="00E27443">
        <w:t xml:space="preserve"> </w:t>
      </w:r>
      <w:r w:rsidRPr="00E27443">
        <w:t>is</w:t>
      </w:r>
      <w:r w:rsidR="00C63F8F" w:rsidRPr="00E27443">
        <w:t xml:space="preserve"> </w:t>
      </w:r>
      <w:r w:rsidRPr="00E27443">
        <w:t>supporting</w:t>
      </w:r>
      <w:r w:rsidR="00C63F8F" w:rsidRPr="00E27443">
        <w:t xml:space="preserve"> </w:t>
      </w:r>
      <w:r w:rsidRPr="00E27443">
        <w:t>work</w:t>
      </w:r>
      <w:r w:rsidR="00C63F8F" w:rsidRPr="00E27443">
        <w:t xml:space="preserve"> </w:t>
      </w:r>
      <w:r w:rsidRPr="00E27443">
        <w:t>aimed</w:t>
      </w:r>
      <w:r w:rsidR="00C63F8F" w:rsidRPr="00E27443">
        <w:t xml:space="preserve"> </w:t>
      </w:r>
      <w:r w:rsidRPr="00E27443">
        <w:t>at</w:t>
      </w:r>
      <w:r w:rsidR="00C63F8F" w:rsidRPr="00E27443">
        <w:t xml:space="preserve"> </w:t>
      </w:r>
      <w:r w:rsidRPr="00E27443">
        <w:t>developing</w:t>
      </w:r>
      <w:r w:rsidR="00C63F8F" w:rsidRPr="00E27443">
        <w:t xml:space="preserve"> </w:t>
      </w:r>
      <w:r w:rsidRPr="00E27443">
        <w:t>portable</w:t>
      </w:r>
      <w:r w:rsidR="00C63F8F" w:rsidRPr="00E27443">
        <w:t xml:space="preserve"> </w:t>
      </w:r>
      <w:r w:rsidRPr="00E27443">
        <w:t>devices</w:t>
      </w:r>
      <w:r w:rsidR="00C63F8F" w:rsidRPr="00E27443">
        <w:t xml:space="preserve"> </w:t>
      </w:r>
      <w:r w:rsidRPr="00E27443">
        <w:t>for</w:t>
      </w:r>
      <w:r w:rsidR="00C63F8F" w:rsidRPr="00E27443">
        <w:t xml:space="preserve"> </w:t>
      </w:r>
      <w:r w:rsidRPr="00E27443">
        <w:t>visual</w:t>
      </w:r>
      <w:r w:rsidR="00C63F8F" w:rsidRPr="00E27443">
        <w:t xml:space="preserve"> </w:t>
      </w:r>
      <w:r w:rsidRPr="00E27443">
        <w:t>and</w:t>
      </w:r>
      <w:r w:rsidR="00C63F8F" w:rsidRPr="00E27443">
        <w:t xml:space="preserve"> </w:t>
      </w:r>
      <w:r w:rsidRPr="00E27443">
        <w:t>sign</w:t>
      </w:r>
      <w:r w:rsidR="00C63F8F" w:rsidRPr="00E27443">
        <w:t xml:space="preserve"> </w:t>
      </w:r>
      <w:r w:rsidRPr="00E27443">
        <w:t>language</w:t>
      </w:r>
      <w:r w:rsidR="00C63F8F" w:rsidRPr="00E27443">
        <w:t xml:space="preserve"> </w:t>
      </w:r>
      <w:r w:rsidRPr="00E27443">
        <w:t>interpreting</w:t>
      </w:r>
      <w:r w:rsidR="00C63F8F" w:rsidRPr="00E27443">
        <w:t xml:space="preserve"> </w:t>
      </w:r>
      <w:r w:rsidRPr="00E27443">
        <w:t>in</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the</w:t>
      </w:r>
      <w:r w:rsidR="00C63F8F" w:rsidRPr="00E27443">
        <w:t xml:space="preserve"> </w:t>
      </w:r>
      <w:r w:rsidRPr="00E27443">
        <w:t>disabili</w:t>
      </w:r>
      <w:r w:rsidR="00285D49" w:rsidRPr="00E27443">
        <w:t>t</w:t>
      </w:r>
      <w:r w:rsidRPr="00E27443">
        <w:t>y</w:t>
      </w:r>
      <w:r w:rsidR="00C63F8F" w:rsidRPr="00E27443">
        <w:t xml:space="preserve"> </w:t>
      </w:r>
      <w:r w:rsidRPr="00E27443">
        <w:t>organisations.</w:t>
      </w:r>
      <w:r w:rsidR="00C63F8F" w:rsidRPr="00E27443">
        <w:t xml:space="preserve"> </w:t>
      </w:r>
      <w:r w:rsidRPr="00E27443">
        <w:t>It</w:t>
      </w:r>
      <w:r w:rsidR="00C63F8F" w:rsidRPr="00E27443">
        <w:t xml:space="preserve"> </w:t>
      </w:r>
      <w:r w:rsidRPr="00E27443">
        <w:t>is</w:t>
      </w:r>
      <w:r w:rsidR="00C63F8F" w:rsidRPr="00E27443">
        <w:t xml:space="preserve"> </w:t>
      </w:r>
      <w:r w:rsidRPr="00E27443">
        <w:t>becoming</w:t>
      </w:r>
      <w:r w:rsidR="00C63F8F" w:rsidRPr="00E27443">
        <w:t xml:space="preserve"> </w:t>
      </w:r>
      <w:r w:rsidRPr="00E27443">
        <w:t>increasingly</w:t>
      </w:r>
      <w:r w:rsidR="00C63F8F" w:rsidRPr="00E27443">
        <w:t xml:space="preserve"> </w:t>
      </w:r>
      <w:r w:rsidRPr="00E27443">
        <w:t>common</w:t>
      </w:r>
      <w:r w:rsidR="00C63F8F" w:rsidRPr="00E27443">
        <w:t xml:space="preserve"> </w:t>
      </w:r>
      <w:r w:rsidRPr="00E27443">
        <w:t>for</w:t>
      </w:r>
      <w:r w:rsidR="00C63F8F" w:rsidRPr="00E27443">
        <w:t xml:space="preserve"> </w:t>
      </w:r>
      <w:r w:rsidRPr="00E27443">
        <w:t>professional</w:t>
      </w:r>
      <w:r w:rsidR="00C63F8F" w:rsidRPr="00E27443">
        <w:t xml:space="preserve"> </w:t>
      </w:r>
      <w:r w:rsidRPr="00E27443">
        <w:t>theatre</w:t>
      </w:r>
      <w:r w:rsidR="00C63F8F" w:rsidRPr="00E27443">
        <w:t xml:space="preserve"> </w:t>
      </w:r>
      <w:r w:rsidRPr="00E27443">
        <w:t>and</w:t>
      </w:r>
      <w:r w:rsidR="00C63F8F" w:rsidRPr="00E27443">
        <w:t xml:space="preserve"> </w:t>
      </w:r>
      <w:r w:rsidRPr="00E27443">
        <w:t>dance</w:t>
      </w:r>
      <w:r w:rsidR="00C63F8F" w:rsidRPr="00E27443">
        <w:t xml:space="preserve"> </w:t>
      </w:r>
      <w:r w:rsidRPr="00E27443">
        <w:t>groups</w:t>
      </w:r>
      <w:r w:rsidR="00C63F8F" w:rsidRPr="00E27443">
        <w:t xml:space="preserve"> </w:t>
      </w:r>
      <w:r w:rsidRPr="00E27443">
        <w:t>to</w:t>
      </w:r>
      <w:r w:rsidR="00C63F8F" w:rsidRPr="00E27443">
        <w:t xml:space="preserve"> </w:t>
      </w:r>
      <w:r w:rsidRPr="00E27443">
        <w:t>include</w:t>
      </w:r>
      <w:r w:rsidR="00C63F8F" w:rsidRPr="00E27443">
        <w:t xml:space="preserve"> </w:t>
      </w:r>
      <w:r w:rsidRPr="00E27443">
        <w:t>actors</w:t>
      </w:r>
      <w:r w:rsidR="00C63F8F" w:rsidRPr="00E27443">
        <w:t xml:space="preserve"> </w:t>
      </w:r>
      <w:r w:rsidRPr="00E27443">
        <w:t>and</w:t>
      </w:r>
      <w:r w:rsidR="00C63F8F" w:rsidRPr="00E27443">
        <w:t xml:space="preserve"> </w:t>
      </w:r>
      <w:r w:rsidRPr="00E27443">
        <w:t>dancers</w:t>
      </w:r>
      <w:r w:rsidR="00C63F8F" w:rsidRPr="00E27443">
        <w:t xml:space="preserve"> </w:t>
      </w:r>
      <w:r w:rsidRPr="00E27443">
        <w:t>both</w:t>
      </w:r>
      <w:r w:rsidR="00C63F8F" w:rsidRPr="00E27443">
        <w:t xml:space="preserve"> </w:t>
      </w:r>
      <w:r w:rsidRPr="00E27443">
        <w:t>with</w:t>
      </w:r>
      <w:r w:rsidR="00C63F8F" w:rsidRPr="00E27443">
        <w:t xml:space="preserve"> </w:t>
      </w:r>
      <w:r w:rsidRPr="00E27443">
        <w:t>and</w:t>
      </w:r>
      <w:r w:rsidR="00C63F8F" w:rsidRPr="00E27443">
        <w:t xml:space="preserve"> </w:t>
      </w:r>
      <w:r w:rsidRPr="00E27443">
        <w:t>without</w:t>
      </w:r>
      <w:r w:rsidR="00C63F8F" w:rsidRPr="00E27443">
        <w:t xml:space="preserve"> </w:t>
      </w:r>
      <w:r w:rsidRPr="00E27443">
        <w:t>disabilities.</w:t>
      </w:r>
    </w:p>
    <w:p w:rsidR="00321ADA" w:rsidRPr="00E27443" w:rsidRDefault="00321ADA" w:rsidP="00272B46">
      <w:pPr>
        <w:pStyle w:val="SingleTxtG"/>
        <w:numPr>
          <w:ilvl w:val="0"/>
          <w:numId w:val="20"/>
        </w:numPr>
        <w:tabs>
          <w:tab w:val="left" w:pos="1843"/>
        </w:tabs>
        <w:ind w:left="1134" w:firstLine="0"/>
      </w:pPr>
      <w:r w:rsidRPr="00E27443">
        <w:t>Within</w:t>
      </w:r>
      <w:r w:rsidR="00C63F8F" w:rsidRPr="00E27443">
        <w:t xml:space="preserve"> </w:t>
      </w:r>
      <w:r w:rsidRPr="00E27443">
        <w:t>the</w:t>
      </w:r>
      <w:r w:rsidR="00C63F8F" w:rsidRPr="00E27443">
        <w:t xml:space="preserve"> </w:t>
      </w:r>
      <w:r w:rsidRPr="00E27443">
        <w:t>Nordic</w:t>
      </w:r>
      <w:r w:rsidR="00C63F8F" w:rsidRPr="00E27443">
        <w:t xml:space="preserve"> </w:t>
      </w:r>
      <w:r w:rsidRPr="00E27443">
        <w:t>Council</w:t>
      </w:r>
      <w:r w:rsidR="00C63F8F" w:rsidRPr="00E27443">
        <w:t xml:space="preserve"> </w:t>
      </w:r>
      <w:r w:rsidRPr="00E27443">
        <w:t>of</w:t>
      </w:r>
      <w:r w:rsidR="00C63F8F" w:rsidRPr="00E27443">
        <w:t xml:space="preserve"> </w:t>
      </w:r>
      <w:r w:rsidRPr="00E27443">
        <w:t>Ministers,</w:t>
      </w:r>
      <w:r w:rsidR="00C63F8F" w:rsidRPr="00E27443">
        <w:t xml:space="preserve"> </w:t>
      </w:r>
      <w:r w:rsidRPr="00E27443">
        <w:t>the</w:t>
      </w:r>
      <w:r w:rsidR="00C63F8F" w:rsidRPr="00E27443">
        <w:t xml:space="preserve"> </w:t>
      </w:r>
      <w:r w:rsidRPr="00E27443">
        <w:t>Swedish</w:t>
      </w:r>
      <w:r w:rsidR="00C63F8F" w:rsidRPr="00E27443">
        <w:t xml:space="preserve"> </w:t>
      </w:r>
      <w:r w:rsidRPr="00E27443">
        <w:t>National</w:t>
      </w:r>
      <w:r w:rsidR="00C63F8F" w:rsidRPr="00E27443">
        <w:t xml:space="preserve"> </w:t>
      </w:r>
      <w:r w:rsidRPr="00E27443">
        <w:t>Heritage</w:t>
      </w:r>
      <w:r w:rsidR="00C63F8F" w:rsidRPr="00E27443">
        <w:t xml:space="preserve"> </w:t>
      </w:r>
      <w:r w:rsidRPr="00E27443">
        <w:t>Board</w:t>
      </w:r>
      <w:r w:rsidR="00C63F8F" w:rsidRPr="00E27443">
        <w:t xml:space="preserve"> </w:t>
      </w:r>
      <w:r w:rsidRPr="00E27443">
        <w:t>has</w:t>
      </w:r>
      <w:r w:rsidR="00C63F8F" w:rsidRPr="00E27443">
        <w:t xml:space="preserve"> </w:t>
      </w:r>
      <w:r w:rsidRPr="00E27443">
        <w:t>participated</w:t>
      </w:r>
      <w:r w:rsidR="00C63F8F" w:rsidRPr="00E27443">
        <w:t xml:space="preserve"> </w:t>
      </w:r>
      <w:r w:rsidRPr="00E27443">
        <w:t>in</w:t>
      </w:r>
      <w:r w:rsidR="00C63F8F" w:rsidRPr="00E27443">
        <w:t xml:space="preserve"> </w:t>
      </w:r>
      <w:r w:rsidRPr="00E27443">
        <w:t>a</w:t>
      </w:r>
      <w:r w:rsidR="00C63F8F" w:rsidRPr="00E27443">
        <w:t xml:space="preserve"> </w:t>
      </w:r>
      <w:r w:rsidRPr="00E27443">
        <w:t>collaborative</w:t>
      </w:r>
      <w:r w:rsidR="00C63F8F" w:rsidRPr="00E27443">
        <w:t xml:space="preserve"> </w:t>
      </w:r>
      <w:r w:rsidRPr="00E27443">
        <w:t>project</w:t>
      </w:r>
      <w:r w:rsidR="00C63F8F" w:rsidRPr="00E27443">
        <w:t xml:space="preserve"> </w:t>
      </w:r>
      <w:r w:rsidRPr="00E27443">
        <w:t>regarding</w:t>
      </w:r>
      <w:r w:rsidR="00C63F8F" w:rsidRPr="00E27443">
        <w:t xml:space="preserve"> </w:t>
      </w:r>
      <w:r w:rsidRPr="00E27443">
        <w:t>accessibility</w:t>
      </w:r>
      <w:r w:rsidR="00C63F8F" w:rsidRPr="00E27443">
        <w:t xml:space="preserve"> </w:t>
      </w:r>
      <w:r w:rsidRPr="00E27443">
        <w:t>to</w:t>
      </w:r>
      <w:r w:rsidR="00C63F8F" w:rsidRPr="00E27443">
        <w:t xml:space="preserve"> </w:t>
      </w:r>
      <w:r w:rsidRPr="00E27443">
        <w:t>various</w:t>
      </w:r>
      <w:r w:rsidR="00C63F8F" w:rsidRPr="00E27443">
        <w:t xml:space="preserve"> </w:t>
      </w:r>
      <w:r w:rsidRPr="00E27443">
        <w:t>culturally</w:t>
      </w:r>
      <w:r w:rsidR="00C63F8F" w:rsidRPr="00E27443">
        <w:t xml:space="preserve"> </w:t>
      </w:r>
      <w:r w:rsidRPr="00E27443">
        <w:t>historical</w:t>
      </w:r>
      <w:r w:rsidR="00C63F8F" w:rsidRPr="00E27443">
        <w:t xml:space="preserve"> </w:t>
      </w:r>
      <w:r w:rsidRPr="00E27443">
        <w:t>settings,</w:t>
      </w:r>
      <w:r w:rsidR="00C63F8F" w:rsidRPr="00E27443">
        <w:t xml:space="preserve"> </w:t>
      </w:r>
      <w:r w:rsidRPr="00E27443">
        <w:t>such</w:t>
      </w:r>
      <w:r w:rsidR="00C63F8F" w:rsidRPr="00E27443">
        <w:t xml:space="preserve"> </w:t>
      </w:r>
      <w:r w:rsidRPr="00E27443">
        <w:t>as</w:t>
      </w:r>
      <w:r w:rsidR="00C63F8F" w:rsidRPr="00E27443">
        <w:t xml:space="preserve"> </w:t>
      </w:r>
      <w:r w:rsidRPr="00E27443">
        <w:t>extensive</w:t>
      </w:r>
      <w:r w:rsidR="00C63F8F" w:rsidRPr="00E27443">
        <w:t xml:space="preserve"> </w:t>
      </w:r>
      <w:r w:rsidRPr="00E27443">
        <w:t>historical</w:t>
      </w:r>
      <w:r w:rsidR="00C63F8F" w:rsidRPr="00E27443">
        <w:t xml:space="preserve"> </w:t>
      </w:r>
      <w:r w:rsidRPr="00E27443">
        <w:t>landscapes</w:t>
      </w:r>
      <w:r w:rsidR="00C63F8F" w:rsidRPr="00E27443">
        <w:t xml:space="preserve"> </w:t>
      </w:r>
      <w:r w:rsidRPr="00E27443">
        <w:t>and</w:t>
      </w:r>
      <w:r w:rsidR="00C63F8F" w:rsidRPr="00E27443">
        <w:t xml:space="preserve"> </w:t>
      </w:r>
      <w:r w:rsidRPr="00E27443">
        <w:t>ancient</w:t>
      </w:r>
      <w:r w:rsidR="00C63F8F" w:rsidRPr="00E27443">
        <w:t xml:space="preserve"> </w:t>
      </w:r>
      <w:r w:rsidRPr="00E27443">
        <w:t>monuments.</w:t>
      </w:r>
      <w:r w:rsidR="00C63F8F" w:rsidRPr="00E27443">
        <w:t xml:space="preserve"> </w:t>
      </w:r>
      <w:r w:rsidRPr="00E27443">
        <w:t>The</w:t>
      </w:r>
      <w:r w:rsidR="00C63F8F" w:rsidRPr="00E27443">
        <w:t xml:space="preserve"> </w:t>
      </w:r>
      <w:r w:rsidRPr="00E27443">
        <w:t>Board</w:t>
      </w:r>
      <w:r w:rsidR="00C63F8F" w:rsidRPr="00E27443">
        <w:t xml:space="preserve"> </w:t>
      </w:r>
      <w:r w:rsidRPr="00E27443">
        <w:t>has</w:t>
      </w:r>
      <w:r w:rsidR="00C63F8F" w:rsidRPr="00E27443">
        <w:t xml:space="preserve"> </w:t>
      </w:r>
      <w:r w:rsidRPr="00E27443">
        <w:t>also</w:t>
      </w:r>
      <w:r w:rsidR="00C63F8F" w:rsidRPr="00E27443">
        <w:t xml:space="preserve"> </w:t>
      </w:r>
      <w:r w:rsidRPr="00E27443">
        <w:t>participated</w:t>
      </w:r>
      <w:r w:rsidR="00C63F8F" w:rsidRPr="00E27443">
        <w:t xml:space="preserve"> </w:t>
      </w:r>
      <w:r w:rsidRPr="00E27443">
        <w:t>towards</w:t>
      </w:r>
      <w:r w:rsidR="00C63F8F" w:rsidRPr="00E27443">
        <w:t xml:space="preserve"> </w:t>
      </w:r>
      <w:r w:rsidRPr="00E27443">
        <w:t>accessibility</w:t>
      </w:r>
      <w:r w:rsidR="00C63F8F" w:rsidRPr="00E27443">
        <w:t xml:space="preserve"> </w:t>
      </w:r>
      <w:r w:rsidRPr="00E27443">
        <w:t>issues</w:t>
      </w:r>
      <w:r w:rsidR="00C63F8F" w:rsidRPr="00E27443">
        <w:t xml:space="preserve"> </w:t>
      </w:r>
      <w:r w:rsidRPr="00E27443">
        <w:t>being</w:t>
      </w:r>
      <w:r w:rsidR="00C63F8F" w:rsidRPr="00E27443">
        <w:t xml:space="preserve"> </w:t>
      </w:r>
      <w:r w:rsidRPr="00E27443">
        <w:t>introduced</w:t>
      </w:r>
      <w:r w:rsidR="00C63F8F" w:rsidRPr="00E27443">
        <w:t xml:space="preserve"> </w:t>
      </w:r>
      <w:r w:rsidRPr="00E27443">
        <w:t>in</w:t>
      </w:r>
      <w:r w:rsidR="00C63F8F" w:rsidRPr="00E27443">
        <w:t xml:space="preserve"> </w:t>
      </w:r>
      <w:r w:rsidRPr="00E27443">
        <w:t>cultural</w:t>
      </w:r>
      <w:r w:rsidR="00C63F8F" w:rsidRPr="00E27443">
        <w:t xml:space="preserve"> </w:t>
      </w:r>
      <w:r w:rsidRPr="00E27443">
        <w:t>heritage</w:t>
      </w:r>
      <w:r w:rsidR="00C63F8F" w:rsidRPr="00E27443">
        <w:t xml:space="preserve"> </w:t>
      </w:r>
      <w:r w:rsidRPr="00E27443">
        <w:t>education</w:t>
      </w:r>
      <w:r w:rsidR="00C63F8F" w:rsidRPr="00E27443">
        <w:t xml:space="preserve"> </w:t>
      </w:r>
      <w:r w:rsidRPr="00E27443">
        <w:t>at</w:t>
      </w:r>
      <w:r w:rsidR="00C63F8F" w:rsidRPr="00E27443">
        <w:t xml:space="preserve"> </w:t>
      </w:r>
      <w:smartTag w:uri="urn:schemas-microsoft-com:office:smarttags" w:element="place">
        <w:smartTag w:uri="urn:schemas-microsoft-com:office:smarttags" w:element="PlaceName">
          <w:r w:rsidRPr="00E27443">
            <w:t>Stockholm</w:t>
          </w:r>
        </w:smartTag>
        <w:r w:rsidR="00C63F8F" w:rsidRPr="00E27443">
          <w:t xml:space="preserve"> </w:t>
        </w:r>
        <w:smartTag w:uri="urn:schemas-microsoft-com:office:smarttags" w:element="PlaceType">
          <w:r w:rsidRPr="00E27443">
            <w:t>University</w:t>
          </w:r>
        </w:smartTag>
      </w:smartTag>
      <w:r w:rsidRPr="00E27443">
        <w:t>.</w:t>
      </w:r>
      <w:r w:rsidR="00C63F8F" w:rsidRPr="00E27443">
        <w:t xml:space="preserve"> </w:t>
      </w:r>
      <w:r w:rsidRPr="00E27443">
        <w:t>Particular</w:t>
      </w:r>
      <w:r w:rsidR="00C63F8F" w:rsidRPr="00E27443">
        <w:t xml:space="preserve"> </w:t>
      </w:r>
      <w:r w:rsidRPr="00E27443">
        <w:t>attention</w:t>
      </w:r>
      <w:r w:rsidR="00C63F8F" w:rsidRPr="00E27443">
        <w:t xml:space="preserve"> </w:t>
      </w:r>
      <w:r w:rsidRPr="00E27443">
        <w:t>has</w:t>
      </w:r>
      <w:r w:rsidR="00C63F8F" w:rsidRPr="00E27443">
        <w:t xml:space="preserve"> </w:t>
      </w:r>
      <w:r w:rsidRPr="00E27443">
        <w:t>also</w:t>
      </w:r>
      <w:r w:rsidR="00C63F8F" w:rsidRPr="00E27443">
        <w:t xml:space="preserve"> </w:t>
      </w:r>
      <w:r w:rsidRPr="00E27443">
        <w:t>been</w:t>
      </w:r>
      <w:r w:rsidR="00C63F8F" w:rsidRPr="00E27443">
        <w:t xml:space="preserve"> </w:t>
      </w:r>
      <w:r w:rsidRPr="00E27443">
        <w:t>focused</w:t>
      </w:r>
      <w:r w:rsidR="00C63F8F" w:rsidRPr="00E27443">
        <w:t xml:space="preserve"> </w:t>
      </w:r>
      <w:r w:rsidRPr="00E27443">
        <w:t>on</w:t>
      </w:r>
      <w:r w:rsidR="00C63F8F" w:rsidRPr="00E27443">
        <w:t xml:space="preserve"> </w:t>
      </w:r>
      <w:r w:rsidRPr="00E27443">
        <w:t>issues</w:t>
      </w:r>
      <w:r w:rsidR="00C63F8F" w:rsidRPr="00E27443">
        <w:t xml:space="preserve"> </w:t>
      </w:r>
      <w:r w:rsidRPr="00E27443">
        <w:t>regarding</w:t>
      </w:r>
      <w:r w:rsidR="00C63F8F" w:rsidRPr="00E27443">
        <w:t xml:space="preserve"> </w:t>
      </w:r>
      <w:r w:rsidRPr="00E27443">
        <w:t>accessibility</w:t>
      </w:r>
      <w:r w:rsidR="00C63F8F" w:rsidRPr="00E27443">
        <w:t xml:space="preserve"> </w:t>
      </w:r>
      <w:r w:rsidRPr="00E27443">
        <w:t>in</w:t>
      </w:r>
      <w:r w:rsidR="00C63F8F" w:rsidRPr="00E27443">
        <w:t xml:space="preserve"> </w:t>
      </w:r>
      <w:r w:rsidRPr="00E27443">
        <w:t>cultural</w:t>
      </w:r>
      <w:r w:rsidR="00C63F8F" w:rsidRPr="00E27443">
        <w:t xml:space="preserve"> </w:t>
      </w:r>
      <w:r w:rsidRPr="00E27443">
        <w:t>reserves.</w:t>
      </w:r>
      <w:r w:rsidR="00C63F8F" w:rsidRPr="00E27443">
        <w:t xml:space="preserve"> </w:t>
      </w:r>
    </w:p>
    <w:p w:rsidR="00321ADA" w:rsidRPr="00E27443" w:rsidRDefault="00321ADA" w:rsidP="00272B46">
      <w:pPr>
        <w:pStyle w:val="SingleTxtG"/>
        <w:numPr>
          <w:ilvl w:val="0"/>
          <w:numId w:val="20"/>
        </w:numPr>
        <w:tabs>
          <w:tab w:val="left" w:pos="1843"/>
        </w:tabs>
        <w:ind w:left="1134" w:firstLine="0"/>
      </w:pPr>
      <w:r w:rsidRPr="00E27443">
        <w:t>Access</w:t>
      </w:r>
      <w:r w:rsidR="00C63F8F" w:rsidRPr="00E27443">
        <w:t xml:space="preserve"> </w:t>
      </w:r>
      <w:r w:rsidRPr="00E27443">
        <w:t>to</w:t>
      </w:r>
      <w:r w:rsidR="00C63F8F" w:rsidRPr="00E27443">
        <w:t xml:space="preserve"> </w:t>
      </w:r>
      <w:r w:rsidRPr="00E27443">
        <w:t>the</w:t>
      </w:r>
      <w:r w:rsidR="00C63F8F" w:rsidRPr="00E27443">
        <w:t xml:space="preserve"> </w:t>
      </w:r>
      <w:r w:rsidRPr="00272B46">
        <w:t>media</w:t>
      </w:r>
      <w:r w:rsidR="00C63F8F" w:rsidRPr="00E27443">
        <w:t xml:space="preserve"> </w:t>
      </w:r>
      <w:r w:rsidRPr="00E27443">
        <w:t>is</w:t>
      </w:r>
      <w:r w:rsidR="00C63F8F" w:rsidRPr="00E27443">
        <w:t xml:space="preserve"> </w:t>
      </w:r>
      <w:r w:rsidRPr="00E27443">
        <w:t>important</w:t>
      </w:r>
      <w:r w:rsidR="00C63F8F" w:rsidRPr="00E27443">
        <w:t xml:space="preserve"> </w:t>
      </w:r>
      <w:r w:rsidRPr="00E27443">
        <w:t>from</w:t>
      </w:r>
      <w:r w:rsidR="00C63F8F" w:rsidRPr="00E27443">
        <w:t xml:space="preserve"> </w:t>
      </w:r>
      <w:r w:rsidRPr="00E27443">
        <w:t>a</w:t>
      </w:r>
      <w:r w:rsidR="00C63F8F" w:rsidRPr="00E27443">
        <w:t xml:space="preserve"> </w:t>
      </w:r>
      <w:r w:rsidRPr="00E27443">
        <w:t>democratic</w:t>
      </w:r>
      <w:r w:rsidR="00C63F8F" w:rsidRPr="00E27443">
        <w:t xml:space="preserve"> </w:t>
      </w:r>
      <w:r w:rsidRPr="00E27443">
        <w:t>and</w:t>
      </w:r>
      <w:r w:rsidR="00C63F8F" w:rsidRPr="00E27443">
        <w:t xml:space="preserve"> </w:t>
      </w:r>
      <w:r w:rsidRPr="00E27443">
        <w:t>participation</w:t>
      </w:r>
      <w:r w:rsidR="00C63F8F" w:rsidRPr="00E27443">
        <w:t xml:space="preserve"> </w:t>
      </w:r>
      <w:r w:rsidRPr="00E27443">
        <w:t>perspective.</w:t>
      </w:r>
      <w:r w:rsidR="00C63F8F" w:rsidRPr="00E27443">
        <w:t xml:space="preserve"> </w:t>
      </w:r>
      <w:r w:rsidRPr="00E27443">
        <w:t>New</w:t>
      </w:r>
      <w:r w:rsidR="00C63F8F" w:rsidRPr="00E27443">
        <w:t xml:space="preserve"> </w:t>
      </w:r>
      <w:r w:rsidRPr="00E27443">
        <w:t>technologies</w:t>
      </w:r>
      <w:r w:rsidR="00C63F8F" w:rsidRPr="00E27443">
        <w:t xml:space="preserve"> </w:t>
      </w:r>
      <w:r w:rsidRPr="00E27443">
        <w:t>entail</w:t>
      </w:r>
      <w:r w:rsidR="00C63F8F" w:rsidRPr="00E27443">
        <w:t xml:space="preserve"> </w:t>
      </w:r>
      <w:r w:rsidRPr="00E27443">
        <w:t>opportunities</w:t>
      </w:r>
      <w:r w:rsidR="00C63F8F" w:rsidRPr="00E27443">
        <w:t xml:space="preserve"> </w:t>
      </w:r>
      <w:r w:rsidRPr="00E27443">
        <w:t>for</w:t>
      </w:r>
      <w:r w:rsidR="00C63F8F" w:rsidRPr="00E27443">
        <w:t xml:space="preserve"> </w:t>
      </w:r>
      <w:r w:rsidRPr="00E27443">
        <w:t>increased</w:t>
      </w:r>
      <w:r w:rsidR="00C63F8F" w:rsidRPr="00E27443">
        <w:t xml:space="preserve"> </w:t>
      </w:r>
      <w:r w:rsidRPr="00E27443">
        <w:t>access</w:t>
      </w:r>
      <w:r w:rsidR="00C63F8F" w:rsidRPr="00E27443">
        <w:t xml:space="preserve"> </w:t>
      </w:r>
      <w:r w:rsidRPr="00E27443">
        <w:t>to</w:t>
      </w:r>
      <w:r w:rsidR="00C63F8F" w:rsidRPr="00E27443">
        <w:t xml:space="preserve"> </w:t>
      </w:r>
      <w:r w:rsidRPr="00E27443">
        <w:t>both</w:t>
      </w:r>
      <w:r w:rsidR="00C63F8F" w:rsidRPr="00E27443">
        <w:t xml:space="preserve"> </w:t>
      </w:r>
      <w:r w:rsidRPr="00E27443">
        <w:t>culture</w:t>
      </w:r>
      <w:r w:rsidR="00C63F8F" w:rsidRPr="00E27443">
        <w:t xml:space="preserve"> </w:t>
      </w:r>
      <w:r w:rsidRPr="00E27443">
        <w:t>and</w:t>
      </w:r>
      <w:r w:rsidR="00C63F8F" w:rsidRPr="00E27443">
        <w:t xml:space="preserve"> </w:t>
      </w:r>
      <w:r w:rsidRPr="00E27443">
        <w:t>the</w:t>
      </w:r>
      <w:r w:rsidR="00C63F8F" w:rsidRPr="00E27443">
        <w:t xml:space="preserve"> </w:t>
      </w:r>
      <w:r w:rsidRPr="00E27443">
        <w:t>media.</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initiatives,</w:t>
      </w:r>
      <w:r w:rsidR="00C63F8F" w:rsidRPr="00E27443">
        <w:t xml:space="preserve"> </w:t>
      </w:r>
      <w:r w:rsidRPr="00E27443">
        <w:t>including</w:t>
      </w:r>
      <w:r w:rsidR="00C63F8F" w:rsidRPr="00E27443">
        <w:t xml:space="preserve"> </w:t>
      </w:r>
      <w:r w:rsidRPr="00E27443">
        <w:t>legislation</w:t>
      </w:r>
      <w:r w:rsidR="00C63F8F" w:rsidRPr="00E27443">
        <w:t xml:space="preserve"> </w:t>
      </w:r>
      <w:r w:rsidRPr="00E27443">
        <w:t>in</w:t>
      </w:r>
      <w:r w:rsidR="00C63F8F" w:rsidRPr="00E27443">
        <w:t xml:space="preserve"> </w:t>
      </w:r>
      <w:r w:rsidRPr="00E27443">
        <w:t>the</w:t>
      </w:r>
      <w:r w:rsidR="00C63F8F" w:rsidRPr="00E27443">
        <w:t xml:space="preserve"> </w:t>
      </w:r>
      <w:r w:rsidRPr="00E27443">
        <w:t>media</w:t>
      </w:r>
      <w:r w:rsidR="00C63F8F" w:rsidRPr="00E27443">
        <w:t xml:space="preserve"> </w:t>
      </w:r>
      <w:r w:rsidRPr="00E27443">
        <w:t>field,</w:t>
      </w:r>
      <w:r w:rsidR="00C63F8F" w:rsidRPr="00E27443">
        <w:t xml:space="preserve"> </w:t>
      </w:r>
      <w:r w:rsidRPr="00E27443">
        <w:t>are</w:t>
      </w:r>
      <w:r w:rsidR="00C63F8F" w:rsidRPr="00E27443">
        <w:t xml:space="preserve"> </w:t>
      </w:r>
      <w:r w:rsidRPr="00E27443">
        <w:t>expected</w:t>
      </w:r>
      <w:r w:rsidR="00C63F8F" w:rsidRPr="00E27443">
        <w:t xml:space="preserve"> </w:t>
      </w:r>
      <w:r w:rsidRPr="00E27443">
        <w:t>to</w:t>
      </w:r>
      <w:r w:rsidR="00C63F8F" w:rsidRPr="00E27443">
        <w:t xml:space="preserve"> </w:t>
      </w:r>
      <w:r w:rsidRPr="00E27443">
        <w:t>be</w:t>
      </w:r>
      <w:r w:rsidR="00C63F8F" w:rsidRPr="00E27443">
        <w:t xml:space="preserve"> </w:t>
      </w:r>
      <w:r w:rsidRPr="00E27443">
        <w:t>able</w:t>
      </w:r>
      <w:r w:rsidR="00C63F8F" w:rsidRPr="00E27443">
        <w:t xml:space="preserve"> </w:t>
      </w:r>
      <w:r w:rsidRPr="00E27443">
        <w:t>to</w:t>
      </w:r>
      <w:r w:rsidR="00C63F8F" w:rsidRPr="00E27443">
        <w:t xml:space="preserve"> </w:t>
      </w:r>
      <w:r w:rsidRPr="00E27443">
        <w:t>contribute</w:t>
      </w:r>
      <w:r w:rsidR="00C63F8F" w:rsidRPr="00E27443">
        <w:t xml:space="preserve"> </w:t>
      </w:r>
      <w:r w:rsidRPr="00E27443">
        <w:t>to</w:t>
      </w:r>
      <w:r w:rsidR="00C63F8F" w:rsidRPr="00E27443">
        <w:t xml:space="preserve"> </w:t>
      </w:r>
      <w:r w:rsidRPr="00E27443">
        <w:t>the</w:t>
      </w:r>
      <w:r w:rsidR="00C63F8F" w:rsidRPr="00E27443">
        <w:t xml:space="preserve"> </w:t>
      </w:r>
      <w:r w:rsidRPr="00E27443">
        <w:t>utilisation</w:t>
      </w:r>
      <w:r w:rsidR="00C63F8F" w:rsidRPr="00E27443">
        <w:t xml:space="preserve"> </w:t>
      </w:r>
      <w:r w:rsidRPr="00E27443">
        <w:t>of</w:t>
      </w:r>
      <w:r w:rsidR="00C63F8F" w:rsidRPr="00E27443">
        <w:t xml:space="preserve"> </w:t>
      </w:r>
      <w:r w:rsidRPr="00E27443">
        <w:t>these</w:t>
      </w:r>
      <w:r w:rsidR="00C63F8F" w:rsidRPr="00E27443">
        <w:t xml:space="preserve"> </w:t>
      </w:r>
      <w:r w:rsidRPr="00E27443">
        <w:t>opportunities.</w:t>
      </w:r>
      <w:r w:rsidR="00C63F8F" w:rsidRPr="00E27443">
        <w:t xml:space="preserve"> </w:t>
      </w:r>
    </w:p>
    <w:p w:rsidR="00321ADA" w:rsidRPr="00E27443" w:rsidRDefault="00321ADA" w:rsidP="00272B46">
      <w:pPr>
        <w:pStyle w:val="SingleTxtG"/>
        <w:numPr>
          <w:ilvl w:val="0"/>
          <w:numId w:val="20"/>
        </w:numPr>
        <w:tabs>
          <w:tab w:val="left" w:pos="1843"/>
        </w:tabs>
        <w:ind w:left="1134" w:firstLine="0"/>
      </w:pPr>
      <w:r w:rsidRPr="00E27443">
        <w:t>For</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years,</w:t>
      </w:r>
      <w:r w:rsidR="00C63F8F" w:rsidRPr="00E27443">
        <w:t xml:space="preserve"> </w:t>
      </w:r>
      <w:r w:rsidRPr="00E27443">
        <w:t>the</w:t>
      </w:r>
      <w:r w:rsidR="00C63F8F" w:rsidRPr="00E27443">
        <w:t xml:space="preserve"> </w:t>
      </w:r>
      <w:r w:rsidRPr="00E27443">
        <w:rPr>
          <w:i/>
        </w:rPr>
        <w:t>Copyright</w:t>
      </w:r>
      <w:r w:rsidR="00C63F8F" w:rsidRPr="00E27443">
        <w:rPr>
          <w:i/>
        </w:rPr>
        <w:t xml:space="preserve"> </w:t>
      </w:r>
      <w:r w:rsidRPr="00E27443">
        <w:rPr>
          <w:i/>
        </w:rPr>
        <w:t>Act</w:t>
      </w:r>
      <w:r w:rsidR="00285D49" w:rsidRPr="00E27443">
        <w:rPr>
          <w:rStyle w:val="FootnoteReference"/>
        </w:rPr>
        <w:footnoteReference w:id="145"/>
      </w:r>
      <w:r w:rsidR="00C63F8F" w:rsidRPr="00E27443">
        <w:t xml:space="preserve"> </w:t>
      </w:r>
      <w:r w:rsidRPr="00E27443">
        <w:t>has</w:t>
      </w:r>
      <w:r w:rsidR="00C63F8F" w:rsidRPr="00E27443">
        <w:t xml:space="preserve"> </w:t>
      </w:r>
      <w:r w:rsidRPr="00E27443">
        <w:t>included</w:t>
      </w:r>
      <w:r w:rsidR="00C63F8F" w:rsidRPr="00E27443">
        <w:t xml:space="preserve"> </w:t>
      </w:r>
      <w:r w:rsidRPr="00E27443">
        <w:t>technology-neutral</w:t>
      </w:r>
      <w:r w:rsidR="00C63F8F" w:rsidRPr="00E27443">
        <w:t xml:space="preserve"> </w:t>
      </w:r>
      <w:r w:rsidRPr="00E27443">
        <w:t>provisions</w:t>
      </w:r>
      <w:r w:rsidR="00C63F8F" w:rsidRPr="00E27443">
        <w:t xml:space="preserve"> </w:t>
      </w:r>
      <w:r w:rsidRPr="00E27443">
        <w:t>which</w:t>
      </w:r>
      <w:r w:rsidR="00C63F8F" w:rsidRPr="00E27443">
        <w:t xml:space="preserve"> </w:t>
      </w:r>
      <w:r w:rsidRPr="00E27443">
        <w:t>guarantee</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can</w:t>
      </w:r>
      <w:r w:rsidR="00C63F8F" w:rsidRPr="00E27443">
        <w:t xml:space="preserve"> </w:t>
      </w:r>
      <w:r w:rsidRPr="00E27443">
        <w:t>have</w:t>
      </w:r>
      <w:r w:rsidR="00C63F8F" w:rsidRPr="00E27443">
        <w:t xml:space="preserve"> </w:t>
      </w:r>
      <w:r w:rsidRPr="00E27443">
        <w:t>access</w:t>
      </w:r>
      <w:r w:rsidR="00C63F8F" w:rsidRPr="00E27443">
        <w:t xml:space="preserve"> </w:t>
      </w:r>
      <w:r w:rsidRPr="00E27443">
        <w:t>to</w:t>
      </w:r>
      <w:r w:rsidR="00C63F8F" w:rsidRPr="00E27443">
        <w:t xml:space="preserve"> </w:t>
      </w:r>
      <w:r w:rsidRPr="00E27443">
        <w:t>copyright-protected</w:t>
      </w:r>
      <w:r w:rsidR="00C63F8F" w:rsidRPr="00E27443">
        <w:t xml:space="preserve"> </w:t>
      </w:r>
      <w:r w:rsidRPr="00E27443">
        <w:t>works.</w:t>
      </w:r>
      <w:r w:rsidR="00C63F8F" w:rsidRPr="00E27443">
        <w:t xml:space="preserve"> </w:t>
      </w:r>
      <w:r w:rsidRPr="00E27443">
        <w:t>See</w:t>
      </w:r>
      <w:r w:rsidR="00C63F8F" w:rsidRPr="00E27443">
        <w:t xml:space="preserve"> </w:t>
      </w:r>
      <w:r w:rsidRPr="00E27443">
        <w:t>more</w:t>
      </w:r>
      <w:r w:rsidR="00C63F8F" w:rsidRPr="00E27443">
        <w:t xml:space="preserve"> </w:t>
      </w:r>
      <w:r w:rsidRPr="00E27443">
        <w:t>under</w:t>
      </w:r>
      <w:r w:rsidR="00C63F8F" w:rsidRPr="00E27443">
        <w:t xml:space="preserve"> </w:t>
      </w:r>
      <w:r w:rsidRPr="00E27443">
        <w:t>Article</w:t>
      </w:r>
      <w:r w:rsidR="00C63F8F" w:rsidRPr="00E27443">
        <w:t xml:space="preserve"> </w:t>
      </w:r>
      <w:r w:rsidRPr="00E27443">
        <w:t>21.</w:t>
      </w:r>
    </w:p>
    <w:p w:rsidR="00321ADA" w:rsidRPr="00E27443" w:rsidRDefault="00321ADA" w:rsidP="009247D7">
      <w:pPr>
        <w:pStyle w:val="SingleTxtG"/>
        <w:numPr>
          <w:ilvl w:val="0"/>
          <w:numId w:val="20"/>
        </w:numPr>
        <w:tabs>
          <w:tab w:val="left" w:pos="1843"/>
        </w:tabs>
        <w:ind w:left="1134" w:firstLine="0"/>
      </w:pPr>
      <w:r w:rsidRPr="00E27443">
        <w:t>In</w:t>
      </w:r>
      <w:r w:rsidR="00C63F8F" w:rsidRPr="00E27443">
        <w:t xml:space="preserve"> </w:t>
      </w:r>
      <w:r w:rsidRPr="00E27443">
        <w:t>its</w:t>
      </w:r>
      <w:r w:rsidR="00C63F8F" w:rsidRPr="00E27443">
        <w:t xml:space="preserve"> </w:t>
      </w:r>
      <w:r w:rsidRPr="009247D7">
        <w:t>broadcasting</w:t>
      </w:r>
      <w:r w:rsidR="00C63F8F" w:rsidRPr="00E27443">
        <w:t xml:space="preserve"> </w:t>
      </w:r>
      <w:r w:rsidRPr="00E27443">
        <w:t>licences</w:t>
      </w:r>
      <w:r w:rsidR="00C63F8F" w:rsidRPr="00E27443">
        <w:t xml:space="preserve"> </w:t>
      </w:r>
      <w:r w:rsidRPr="00E27443">
        <w:t>for</w:t>
      </w:r>
      <w:r w:rsidR="00C63F8F" w:rsidRPr="00E27443">
        <w:t xml:space="preserve"> </w:t>
      </w:r>
      <w:r w:rsidRPr="00E27443">
        <w:t>Sveriges</w:t>
      </w:r>
      <w:r w:rsidR="00C63F8F" w:rsidRPr="00E27443">
        <w:t xml:space="preserve"> </w:t>
      </w:r>
      <w:smartTag w:uri="urn:schemas-microsoft-com:office:smarttags" w:element="place">
        <w:smartTag w:uri="urn:schemas-microsoft-com:office:smarttags" w:element="City">
          <w:r w:rsidRPr="00E27443">
            <w:t>Radio</w:t>
          </w:r>
        </w:smartTag>
        <w:r w:rsidR="00C63F8F" w:rsidRPr="00E27443">
          <w:t xml:space="preserve"> </w:t>
        </w:r>
        <w:smartTag w:uri="urn:schemas-microsoft-com:office:smarttags" w:element="State">
          <w:r w:rsidRPr="00E27443">
            <w:t>AB</w:t>
          </w:r>
        </w:smartTag>
      </w:smartTag>
      <w:r w:rsidRPr="00E27443">
        <w:t>,</w:t>
      </w:r>
      <w:r w:rsidR="00C63F8F" w:rsidRPr="00E27443">
        <w:t xml:space="preserve"> </w:t>
      </w:r>
      <w:r w:rsidRPr="00E27443">
        <w:t>Sveriges</w:t>
      </w:r>
      <w:r w:rsidR="00C63F8F" w:rsidRPr="00E27443">
        <w:t xml:space="preserve"> </w:t>
      </w:r>
      <w:r w:rsidRPr="00E27443">
        <w:t>Television</w:t>
      </w:r>
      <w:r w:rsidR="00C63F8F" w:rsidRPr="00E27443">
        <w:t xml:space="preserve"> </w:t>
      </w:r>
      <w:r w:rsidRPr="00E27443">
        <w:t>AB</w:t>
      </w:r>
      <w:r w:rsidR="00C63F8F" w:rsidRPr="00E27443">
        <w:t xml:space="preserve"> </w:t>
      </w:r>
      <w:r w:rsidRPr="00E27443">
        <w:t>(SVT)</w:t>
      </w:r>
      <w:r w:rsidR="00C63F8F" w:rsidRPr="00E27443">
        <w:t xml:space="preserve"> </w:t>
      </w:r>
      <w:r w:rsidRPr="00E27443">
        <w:t>and</w:t>
      </w:r>
      <w:r w:rsidR="00C63F8F" w:rsidRPr="00E27443">
        <w:t xml:space="preserve"> </w:t>
      </w:r>
      <w:r w:rsidRPr="00E27443">
        <w:t>Sveriges</w:t>
      </w:r>
      <w:r w:rsidR="00C63F8F" w:rsidRPr="00E27443">
        <w:t xml:space="preserve"> </w:t>
      </w:r>
      <w:r w:rsidRPr="00E27443">
        <w:t>Utbildningsradio</w:t>
      </w:r>
      <w:r w:rsidR="00C63F8F" w:rsidRPr="00E27443">
        <w:t xml:space="preserve"> </w:t>
      </w:r>
      <w:r w:rsidRPr="00E27443">
        <w:t>AB,</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stipulates</w:t>
      </w:r>
      <w:r w:rsidR="00C63F8F" w:rsidRPr="00E27443">
        <w:t xml:space="preserve"> </w:t>
      </w:r>
      <w:r w:rsidRPr="00E27443">
        <w:t>that</w:t>
      </w:r>
      <w:r w:rsidR="00C63F8F" w:rsidRPr="00E27443">
        <w:t xml:space="preserve"> </w:t>
      </w:r>
      <w:r w:rsidRPr="00E27443">
        <w:t>these</w:t>
      </w:r>
      <w:r w:rsidR="00C63F8F" w:rsidRPr="00E27443">
        <w:t xml:space="preserve"> </w:t>
      </w:r>
      <w:r w:rsidRPr="00E27443">
        <w:t>companies</w:t>
      </w:r>
      <w:r w:rsidR="00C63F8F" w:rsidRPr="00E27443">
        <w:t xml:space="preserve"> </w:t>
      </w:r>
      <w:r w:rsidRPr="00E27443">
        <w:t>must</w:t>
      </w:r>
      <w:r w:rsidR="00C63F8F" w:rsidRPr="00E27443">
        <w:t xml:space="preserve"> </w:t>
      </w:r>
      <w:r w:rsidRPr="00E27443">
        <w:t>take</w:t>
      </w:r>
      <w:r w:rsidR="00C63F8F" w:rsidRPr="00E27443">
        <w:t xml:space="preserve"> </w:t>
      </w:r>
      <w:r w:rsidRPr="00E27443">
        <w:t>the</w:t>
      </w:r>
      <w:r w:rsidR="00C63F8F" w:rsidRPr="00E27443">
        <w:t xml:space="preserve"> </w:t>
      </w:r>
      <w:r w:rsidRPr="00E27443">
        <w:t>needs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into</w:t>
      </w:r>
      <w:r w:rsidR="00C63F8F" w:rsidRPr="00E27443">
        <w:t xml:space="preserve"> </w:t>
      </w:r>
      <w:r w:rsidRPr="00E27443">
        <w:t>consideration.</w:t>
      </w:r>
      <w:r w:rsidR="00C63F8F" w:rsidRPr="00E27443">
        <w:t xml:space="preserve"> </w:t>
      </w:r>
      <w:r w:rsidRPr="00E27443">
        <w:t>In</w:t>
      </w:r>
      <w:r w:rsidR="00C63F8F" w:rsidRPr="00E27443">
        <w:t xml:space="preserve"> </w:t>
      </w:r>
      <w:r w:rsidRPr="00E27443">
        <w:t>the</w:t>
      </w:r>
      <w:r w:rsidR="00C63F8F" w:rsidRPr="00E27443">
        <w:t xml:space="preserve"> </w:t>
      </w:r>
      <w:r w:rsidRPr="00E27443">
        <w:t>broadcasting</w:t>
      </w:r>
      <w:r w:rsidR="00C63F8F" w:rsidRPr="00E27443">
        <w:t xml:space="preserve"> </w:t>
      </w:r>
      <w:r w:rsidRPr="00E27443">
        <w:t>licences</w:t>
      </w:r>
      <w:r w:rsidR="00C63F8F" w:rsidRPr="00E27443">
        <w:t xml:space="preserve"> </w:t>
      </w:r>
      <w:r w:rsidRPr="00E27443">
        <w:t>for</w:t>
      </w:r>
      <w:r w:rsidR="00C63F8F" w:rsidRPr="00E27443">
        <w:t xml:space="preserve"> </w:t>
      </w:r>
      <w:r w:rsidRPr="00E27443">
        <w:t>the</w:t>
      </w:r>
      <w:r w:rsidR="00C63F8F" w:rsidRPr="00E27443">
        <w:t xml:space="preserve"> </w:t>
      </w:r>
      <w:r w:rsidRPr="00E27443">
        <w:t>period</w:t>
      </w:r>
      <w:r w:rsidR="00C63F8F" w:rsidRPr="00E27443">
        <w:t xml:space="preserve"> </w:t>
      </w:r>
      <w:r w:rsidRPr="00E27443">
        <w:t>2010</w:t>
      </w:r>
      <w:r w:rsidR="00C63F8F" w:rsidRPr="00E27443">
        <w:t>–</w:t>
      </w:r>
      <w:r w:rsidRPr="00E27443">
        <w:t>2013,</w:t>
      </w:r>
      <w:r w:rsidR="00C63F8F" w:rsidRPr="00E27443">
        <w:t xml:space="preserve"> </w:t>
      </w:r>
      <w:r w:rsidRPr="00E27443">
        <w:t>the</w:t>
      </w:r>
      <w:r w:rsidR="00C63F8F" w:rsidRPr="00E27443">
        <w:t xml:space="preserve"> </w:t>
      </w:r>
      <w:r w:rsidRPr="00E27443">
        <w:t>goals</w:t>
      </w:r>
      <w:r w:rsidR="00C63F8F" w:rsidRPr="00E27443">
        <w:t xml:space="preserve"> </w:t>
      </w:r>
      <w:r w:rsidRPr="00E27443">
        <w:t>have</w:t>
      </w:r>
      <w:r w:rsidR="00C63F8F" w:rsidRPr="00E27443">
        <w:t xml:space="preserve"> </w:t>
      </w:r>
      <w:r w:rsidRPr="00E27443">
        <w:t>been</w:t>
      </w:r>
      <w:r w:rsidR="00C63F8F" w:rsidRPr="00E27443">
        <w:t xml:space="preserve"> </w:t>
      </w:r>
      <w:r w:rsidRPr="00E27443">
        <w:t>increased</w:t>
      </w:r>
      <w:r w:rsidR="00C63F8F" w:rsidRPr="00E27443">
        <w:t xml:space="preserve"> </w:t>
      </w:r>
      <w:r w:rsidRPr="00E27443">
        <w:t>for</w:t>
      </w:r>
      <w:r w:rsidR="00C63F8F" w:rsidRPr="00E27443">
        <w:t xml:space="preserve"> </w:t>
      </w:r>
      <w:r w:rsidRPr="00E27443">
        <w:t>example</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the</w:t>
      </w:r>
      <w:r w:rsidR="00C63F8F" w:rsidRPr="00E27443">
        <w:t xml:space="preserve"> </w:t>
      </w:r>
      <w:r w:rsidRPr="00E27443">
        <w:t>subtitling</w:t>
      </w:r>
      <w:r w:rsidR="00C63F8F" w:rsidRPr="00E27443">
        <w:t xml:space="preserve"> </w:t>
      </w:r>
      <w:r w:rsidRPr="00E27443">
        <w:t>of</w:t>
      </w:r>
      <w:r w:rsidR="00C63F8F" w:rsidRPr="00E27443">
        <w:t xml:space="preserve"> </w:t>
      </w:r>
      <w:r w:rsidRPr="00E27443">
        <w:t>TV</w:t>
      </w:r>
      <w:r w:rsidR="00C63F8F" w:rsidRPr="00E27443">
        <w:t xml:space="preserve"> </w:t>
      </w:r>
      <w:r w:rsidRPr="00E27443">
        <w:t>programmes.</w:t>
      </w:r>
      <w:r w:rsidR="00C63F8F" w:rsidRPr="00E27443">
        <w:t xml:space="preserve"> </w:t>
      </w:r>
    </w:p>
    <w:p w:rsidR="00321ADA" w:rsidRPr="00E27443" w:rsidRDefault="00321ADA" w:rsidP="009247D7">
      <w:pPr>
        <w:pStyle w:val="SingleTxtG"/>
        <w:numPr>
          <w:ilvl w:val="0"/>
          <w:numId w:val="20"/>
        </w:numPr>
        <w:tabs>
          <w:tab w:val="left" w:pos="1843"/>
        </w:tabs>
        <w:ind w:left="1134" w:firstLine="0"/>
      </w:pPr>
      <w:r w:rsidRPr="00E27443">
        <w:t>A</w:t>
      </w:r>
      <w:r w:rsidR="00C63F8F" w:rsidRPr="00E27443">
        <w:t xml:space="preserve"> </w:t>
      </w:r>
      <w:r w:rsidRPr="00E27443">
        <w:t>new</w:t>
      </w:r>
      <w:r w:rsidR="00C63F8F" w:rsidRPr="00E27443">
        <w:t xml:space="preserve"> </w:t>
      </w:r>
      <w:r w:rsidRPr="00E27443">
        <w:t>Radio</w:t>
      </w:r>
      <w:r w:rsidR="00C63F8F" w:rsidRPr="00E27443">
        <w:t xml:space="preserve"> </w:t>
      </w:r>
      <w:r w:rsidRPr="00E27443">
        <w:t>and</w:t>
      </w:r>
      <w:r w:rsidR="00C63F8F" w:rsidRPr="00E27443">
        <w:t xml:space="preserve"> </w:t>
      </w:r>
      <w:r w:rsidRPr="00E27443">
        <w:t>Television</w:t>
      </w:r>
      <w:r w:rsidR="00C63F8F" w:rsidRPr="00E27443">
        <w:t xml:space="preserve"> </w:t>
      </w:r>
      <w:r w:rsidRPr="00E27443">
        <w:t>Act</w:t>
      </w:r>
      <w:r w:rsidR="00285D49" w:rsidRPr="009247D7">
        <w:footnoteReference w:id="146"/>
      </w:r>
      <w:r w:rsidR="00C63F8F" w:rsidRPr="00E27443">
        <w:t xml:space="preserve"> </w:t>
      </w:r>
      <w:r w:rsidRPr="00E27443">
        <w:t>entered</w:t>
      </w:r>
      <w:r w:rsidR="00C63F8F" w:rsidRPr="00E27443">
        <w:t xml:space="preserve"> </w:t>
      </w:r>
      <w:r w:rsidRPr="00E27443">
        <w:t>into</w:t>
      </w:r>
      <w:r w:rsidR="00C63F8F" w:rsidRPr="00E27443">
        <w:t xml:space="preserve"> </w:t>
      </w:r>
      <w:r w:rsidRPr="00E27443">
        <w:t>force</w:t>
      </w:r>
      <w:r w:rsidR="00C63F8F" w:rsidRPr="00E27443">
        <w:t xml:space="preserve"> </w:t>
      </w:r>
      <w:r w:rsidRPr="00E27443">
        <w:t>on</w:t>
      </w:r>
      <w:r w:rsidR="00C63F8F" w:rsidRPr="00E27443">
        <w:t xml:space="preserve"> </w:t>
      </w:r>
      <w:r w:rsidRPr="00E27443">
        <w:t>1</w:t>
      </w:r>
      <w:r w:rsidR="00C63F8F" w:rsidRPr="00E27443">
        <w:t xml:space="preserve"> </w:t>
      </w:r>
      <w:r w:rsidRPr="00E27443">
        <w:t>August</w:t>
      </w:r>
      <w:r w:rsidR="00C63F8F" w:rsidRPr="00E27443">
        <w:t xml:space="preserve"> </w:t>
      </w:r>
      <w:r w:rsidRPr="00E27443">
        <w:t>2010.</w:t>
      </w:r>
      <w:r w:rsidR="00C63F8F" w:rsidRPr="00E27443">
        <w:t xml:space="preserve"> </w:t>
      </w:r>
      <w:r w:rsidRPr="00E27443">
        <w:t>This</w:t>
      </w:r>
      <w:r w:rsidR="00C63F8F" w:rsidRPr="00E27443">
        <w:t xml:space="preserve"> </w:t>
      </w:r>
      <w:r w:rsidRPr="00E27443">
        <w:t>includes</w:t>
      </w:r>
      <w:r w:rsidR="00C63F8F" w:rsidRPr="00E27443">
        <w:t xml:space="preserve"> </w:t>
      </w:r>
      <w:r w:rsidRPr="00E27443">
        <w:t>a</w:t>
      </w:r>
      <w:r w:rsidR="00C63F8F" w:rsidRPr="00E27443">
        <w:t xml:space="preserve"> </w:t>
      </w:r>
      <w:r w:rsidRPr="00E27443">
        <w:t>new</w:t>
      </w:r>
      <w:r w:rsidR="00C63F8F" w:rsidRPr="00E27443">
        <w:t xml:space="preserve"> </w:t>
      </w:r>
      <w:r w:rsidRPr="00E27443">
        <w:t>provision</w:t>
      </w:r>
      <w:r w:rsidR="00C63F8F" w:rsidRPr="00E27443">
        <w:t xml:space="preserve"> </w:t>
      </w:r>
      <w:r w:rsidRPr="00E27443">
        <w:t>whereby</w:t>
      </w:r>
      <w:r w:rsidR="00C63F8F" w:rsidRPr="00E27443">
        <w:t xml:space="preserve"> </w:t>
      </w:r>
      <w:r w:rsidRPr="00E27443">
        <w:t>TV</w:t>
      </w:r>
      <w:r w:rsidR="00C63F8F" w:rsidRPr="00E27443">
        <w:t xml:space="preserve"> </w:t>
      </w:r>
      <w:r w:rsidRPr="00E27443">
        <w:t>broadcasts</w:t>
      </w:r>
      <w:r w:rsidR="00C63F8F" w:rsidRPr="00E27443">
        <w:t xml:space="preserve"> </w:t>
      </w:r>
      <w:r w:rsidRPr="00E27443">
        <w:t>must</w:t>
      </w:r>
      <w:r w:rsidR="00C63F8F" w:rsidRPr="00E27443">
        <w:t xml:space="preserve"> </w:t>
      </w:r>
      <w:r w:rsidRPr="00E27443">
        <w:t>be</w:t>
      </w:r>
      <w:r w:rsidR="00C63F8F" w:rsidRPr="00E27443">
        <w:t xml:space="preserve"> </w:t>
      </w:r>
      <w:r w:rsidRPr="00E27443">
        <w:t>formulated</w:t>
      </w:r>
      <w:r w:rsidR="00C63F8F" w:rsidRPr="00E27443">
        <w:t xml:space="preserve"> </w:t>
      </w:r>
      <w:r w:rsidRPr="00E27443">
        <w:t>such</w:t>
      </w:r>
      <w:r w:rsidR="00C63F8F" w:rsidRPr="00E27443">
        <w:t xml:space="preserve"> </w:t>
      </w:r>
      <w:r w:rsidRPr="00E27443">
        <w:t>that</w:t>
      </w:r>
      <w:r w:rsidR="00C63F8F" w:rsidRPr="00E27443">
        <w:t xml:space="preserve"> </w:t>
      </w:r>
      <w:r w:rsidRPr="00E27443">
        <w:t>the</w:t>
      </w:r>
      <w:r w:rsidR="00C63F8F" w:rsidRPr="00E27443">
        <w:t xml:space="preserve"> </w:t>
      </w:r>
      <w:r w:rsidRPr="00E27443">
        <w:t>programmes</w:t>
      </w:r>
      <w:r w:rsidR="00C63F8F" w:rsidRPr="00E27443">
        <w:t xml:space="preserve"> </w:t>
      </w:r>
      <w:r w:rsidRPr="00E27443">
        <w:t>are</w:t>
      </w:r>
      <w:r w:rsidR="00C63F8F" w:rsidRPr="00E27443">
        <w:t xml:space="preserve"> </w:t>
      </w:r>
      <w:r w:rsidRPr="00E27443">
        <w:t>accessible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This</w:t>
      </w:r>
      <w:r w:rsidR="00C63F8F" w:rsidRPr="00E27443">
        <w:t xml:space="preserve"> </w:t>
      </w:r>
      <w:r w:rsidRPr="00E27443">
        <w:t>must</w:t>
      </w:r>
      <w:r w:rsidR="00C63F8F" w:rsidRPr="00E27443">
        <w:t xml:space="preserve"> </w:t>
      </w:r>
      <w:r w:rsidRPr="00E27443">
        <w:t>take</w:t>
      </w:r>
      <w:r w:rsidR="00C63F8F" w:rsidRPr="00E27443">
        <w:t xml:space="preserve"> </w:t>
      </w:r>
      <w:r w:rsidRPr="00E27443">
        <w:t>place</w:t>
      </w:r>
      <w:r w:rsidR="00C63F8F" w:rsidRPr="00E27443">
        <w:t xml:space="preserve"> </w:t>
      </w:r>
      <w:r w:rsidRPr="00E27443">
        <w:t>through</w:t>
      </w:r>
      <w:r w:rsidR="00C63F8F" w:rsidRPr="00E27443">
        <w:t xml:space="preserve"> </w:t>
      </w:r>
      <w:r w:rsidRPr="00E27443">
        <w:t>subtitling,</w:t>
      </w:r>
      <w:r w:rsidR="00C63F8F" w:rsidRPr="00E27443">
        <w:t xml:space="preserve"> </w:t>
      </w:r>
      <w:r w:rsidRPr="00E27443">
        <w:t>interpreting,</w:t>
      </w:r>
      <w:r w:rsidR="00C63F8F" w:rsidRPr="00E27443">
        <w:t xml:space="preserve"> </w:t>
      </w:r>
      <w:r w:rsidRPr="00E27443">
        <w:t>spoken</w:t>
      </w:r>
      <w:r w:rsidR="00C63F8F" w:rsidRPr="00E27443">
        <w:t xml:space="preserve"> </w:t>
      </w:r>
      <w:r w:rsidRPr="00E27443">
        <w:t>text</w:t>
      </w:r>
      <w:r w:rsidR="00C63F8F" w:rsidRPr="00E27443">
        <w:t xml:space="preserve"> </w:t>
      </w:r>
      <w:r w:rsidRPr="00E27443">
        <w:t>or</w:t>
      </w:r>
      <w:r w:rsidR="00C63F8F" w:rsidRPr="00E27443">
        <w:t xml:space="preserve"> </w:t>
      </w:r>
      <w:r w:rsidRPr="00E27443">
        <w:t>similar</w:t>
      </w:r>
      <w:r w:rsidR="00C63F8F" w:rsidRPr="00E27443">
        <w:t xml:space="preserve"> </w:t>
      </w:r>
      <w:r w:rsidRPr="00E27443">
        <w:t>technologies,</w:t>
      </w:r>
      <w:r w:rsidR="00C63F8F" w:rsidRPr="00E27443">
        <w:t xml:space="preserve"> </w:t>
      </w:r>
      <w:r w:rsidRPr="00E27443">
        <w:t>to</w:t>
      </w:r>
      <w:r w:rsidR="00C63F8F" w:rsidRPr="00E27443">
        <w:t xml:space="preserve"> </w:t>
      </w:r>
      <w:r w:rsidRPr="00E27443">
        <w:t>the</w:t>
      </w:r>
      <w:r w:rsidR="00C63F8F" w:rsidRPr="00E27443">
        <w:t xml:space="preserve"> </w:t>
      </w:r>
      <w:r w:rsidRPr="00E27443">
        <w:t>extent</w:t>
      </w:r>
      <w:r w:rsidR="00C63F8F" w:rsidRPr="00E27443">
        <w:t xml:space="preserve"> </w:t>
      </w:r>
      <w:r w:rsidRPr="00E27443">
        <w:t>decided</w:t>
      </w:r>
      <w:r w:rsidR="00C63F8F" w:rsidRPr="00E27443">
        <w:t xml:space="preserve"> </w:t>
      </w:r>
      <w:r w:rsidRPr="00E27443">
        <w:t>by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or</w:t>
      </w:r>
      <w:r w:rsidR="00C63F8F" w:rsidRPr="00E27443">
        <w:t xml:space="preserve"> </w:t>
      </w:r>
      <w:r w:rsidRPr="00E27443">
        <w:t>the</w:t>
      </w:r>
      <w:r w:rsidR="00C63F8F" w:rsidRPr="00E27443">
        <w:t xml:space="preserve"> </w:t>
      </w:r>
      <w:r w:rsidRPr="00E27443">
        <w:t>Swedish</w:t>
      </w:r>
      <w:r w:rsidR="00C63F8F" w:rsidRPr="00E27443">
        <w:t xml:space="preserve"> </w:t>
      </w:r>
      <w:r w:rsidRPr="00E27443">
        <w:t>Broadcasting</w:t>
      </w:r>
      <w:r w:rsidR="00C63F8F" w:rsidRPr="00E27443">
        <w:t xml:space="preserve"> </w:t>
      </w:r>
      <w:r w:rsidRPr="00E27443">
        <w:t>Authority.</w:t>
      </w:r>
      <w:r w:rsidR="00C63F8F" w:rsidRPr="00E27443">
        <w:t xml:space="preserve"> </w:t>
      </w:r>
    </w:p>
    <w:p w:rsidR="00321ADA" w:rsidRPr="00E27443" w:rsidRDefault="00321ADA" w:rsidP="009247D7">
      <w:pPr>
        <w:pStyle w:val="SingleTxtG"/>
        <w:numPr>
          <w:ilvl w:val="0"/>
          <w:numId w:val="20"/>
        </w:numPr>
        <w:tabs>
          <w:tab w:val="left" w:pos="1843"/>
        </w:tabs>
        <w:ind w:left="1134" w:firstLine="0"/>
      </w:pPr>
      <w:r w:rsidRPr="00E27443">
        <w:t>The</w:t>
      </w:r>
      <w:r w:rsidR="00C63F8F" w:rsidRPr="00E27443">
        <w:t xml:space="preserve"> </w:t>
      </w:r>
      <w:r w:rsidRPr="009247D7">
        <w:t>Swedish</w:t>
      </w:r>
      <w:r w:rsidR="00C63F8F" w:rsidRPr="009247D7">
        <w:t xml:space="preserve"> </w:t>
      </w:r>
      <w:r w:rsidRPr="009247D7">
        <w:t>Library</w:t>
      </w:r>
      <w:r w:rsidR="00C63F8F" w:rsidRPr="009247D7">
        <w:t xml:space="preserve"> </w:t>
      </w:r>
      <w:r w:rsidRPr="009247D7">
        <w:t>of</w:t>
      </w:r>
      <w:r w:rsidR="00C63F8F" w:rsidRPr="009247D7">
        <w:t xml:space="preserve"> </w:t>
      </w:r>
      <w:r w:rsidRPr="009247D7">
        <w:t>Talking</w:t>
      </w:r>
      <w:r w:rsidR="00C63F8F" w:rsidRPr="009247D7">
        <w:t xml:space="preserve"> </w:t>
      </w:r>
      <w:r w:rsidRPr="009247D7">
        <w:t>Books</w:t>
      </w:r>
      <w:r w:rsidR="00C63F8F" w:rsidRPr="009247D7">
        <w:t xml:space="preserve"> </w:t>
      </w:r>
      <w:r w:rsidRPr="009247D7">
        <w:t>and</w:t>
      </w:r>
      <w:r w:rsidR="00C63F8F" w:rsidRPr="009247D7">
        <w:t xml:space="preserve"> </w:t>
      </w:r>
      <w:r w:rsidRPr="009247D7">
        <w:t>Braille</w:t>
      </w:r>
      <w:r w:rsidR="00C63F8F" w:rsidRPr="00E27443">
        <w:t xml:space="preserve"> </w:t>
      </w:r>
      <w:r w:rsidRPr="00E27443">
        <w:t>(TPB)</w:t>
      </w:r>
      <w:r w:rsidR="00285D49" w:rsidRPr="009247D7">
        <w:footnoteReference w:id="147"/>
      </w:r>
      <w:r w:rsidR="00C63F8F" w:rsidRPr="00E27443">
        <w:t xml:space="preserve"> </w:t>
      </w:r>
      <w:r w:rsidRPr="00E27443">
        <w:t>is</w:t>
      </w:r>
      <w:r w:rsidR="00C63F8F" w:rsidRPr="00E27443">
        <w:t xml:space="preserve"> </w:t>
      </w:r>
      <w:r w:rsidRPr="00E27443">
        <w:t>conducting</w:t>
      </w:r>
      <w:r w:rsidR="00C63F8F" w:rsidRPr="00E27443">
        <w:t xml:space="preserve"> </w:t>
      </w:r>
      <w:r w:rsidRPr="00E27443">
        <w:t>extensive</w:t>
      </w:r>
      <w:r w:rsidR="00C63F8F" w:rsidRPr="00E27443">
        <w:t xml:space="preserve"> </w:t>
      </w:r>
      <w:r w:rsidRPr="00E27443">
        <w:t>work</w:t>
      </w:r>
      <w:r w:rsidR="00C63F8F" w:rsidRPr="00E27443">
        <w:t xml:space="preserve"> </w:t>
      </w:r>
      <w:r w:rsidRPr="00E27443">
        <w:t>on</w:t>
      </w:r>
      <w:r w:rsidR="00C63F8F" w:rsidRPr="00E27443">
        <w:t xml:space="preserve"> </w:t>
      </w:r>
      <w:r w:rsidRPr="00E27443">
        <w:t>change,</w:t>
      </w:r>
      <w:r w:rsidR="00C63F8F" w:rsidRPr="00E27443">
        <w:t xml:space="preserve"> </w:t>
      </w:r>
      <w:r w:rsidRPr="00E27443">
        <w:t>with</w:t>
      </w:r>
      <w:r w:rsidR="00C63F8F" w:rsidRPr="00E27443">
        <w:t xml:space="preserve"> </w:t>
      </w:r>
      <w:r w:rsidRPr="00E27443">
        <w:t>digital</w:t>
      </w:r>
      <w:r w:rsidR="00C63F8F" w:rsidRPr="00E27443">
        <w:t xml:space="preserve"> </w:t>
      </w:r>
      <w:r w:rsidRPr="00E27443">
        <w:t>technology</w:t>
      </w:r>
      <w:r w:rsidR="00C63F8F" w:rsidRPr="00E27443">
        <w:t xml:space="preserve"> </w:t>
      </w:r>
      <w:r w:rsidRPr="00E27443">
        <w:t>being</w:t>
      </w:r>
      <w:r w:rsidR="00C63F8F" w:rsidRPr="00E27443">
        <w:t xml:space="preserve"> </w:t>
      </w:r>
      <w:r w:rsidRPr="00E27443">
        <w:t>used</w:t>
      </w:r>
      <w:r w:rsidR="00C63F8F" w:rsidRPr="00E27443">
        <w:t xml:space="preserve"> </w:t>
      </w:r>
      <w:r w:rsidRPr="00E27443">
        <w:t>for</w:t>
      </w:r>
      <w:r w:rsidR="00C63F8F" w:rsidRPr="00E27443">
        <w:t xml:space="preserve"> </w:t>
      </w:r>
      <w:r w:rsidRPr="00E27443">
        <w:t>example</w:t>
      </w:r>
      <w:r w:rsidR="00C63F8F" w:rsidRPr="00E27443">
        <w:t xml:space="preserve"> </w:t>
      </w:r>
      <w:r w:rsidRPr="00E27443">
        <w:t>for</w:t>
      </w:r>
      <w:r w:rsidR="00C63F8F" w:rsidRPr="00E27443">
        <w:t xml:space="preserve"> </w:t>
      </w:r>
      <w:r w:rsidRPr="00E27443">
        <w:t>the</w:t>
      </w:r>
      <w:r w:rsidR="00C63F8F" w:rsidRPr="00E27443">
        <w:t xml:space="preserve"> </w:t>
      </w:r>
      <w:r w:rsidRPr="00E27443">
        <w:t>downloading</w:t>
      </w:r>
      <w:r w:rsidR="00C63F8F" w:rsidRPr="00E27443">
        <w:t xml:space="preserve"> </w:t>
      </w:r>
      <w:r w:rsidRPr="00E27443">
        <w:t>of</w:t>
      </w:r>
      <w:r w:rsidR="00C63F8F" w:rsidRPr="00E27443">
        <w:t xml:space="preserve"> </w:t>
      </w:r>
      <w:r w:rsidRPr="00E27443">
        <w:t>talking</w:t>
      </w:r>
      <w:r w:rsidR="00C63F8F" w:rsidRPr="00E27443">
        <w:t xml:space="preserve"> </w:t>
      </w:r>
      <w:r w:rsidRPr="00E27443">
        <w:t>books.</w:t>
      </w:r>
      <w:r w:rsidR="00C63F8F" w:rsidRPr="00E27443">
        <w:t xml:space="preserve"> </w:t>
      </w:r>
      <w:r w:rsidRPr="00E27443">
        <w:t>TPB,</w:t>
      </w:r>
      <w:r w:rsidR="00C63F8F" w:rsidRPr="00E27443">
        <w:t xml:space="preserve"> </w:t>
      </w:r>
      <w:r w:rsidRPr="00E27443">
        <w:t>the</w:t>
      </w:r>
      <w:r w:rsidR="00C63F8F" w:rsidRPr="00E27443">
        <w:t xml:space="preserve"> </w:t>
      </w:r>
      <w:r w:rsidRPr="00E27443">
        <w:t>Talking</w:t>
      </w:r>
      <w:r w:rsidR="00C63F8F" w:rsidRPr="00E27443">
        <w:t xml:space="preserve"> </w:t>
      </w:r>
      <w:r w:rsidRPr="00E27443">
        <w:t>Newspapers</w:t>
      </w:r>
      <w:r w:rsidR="00C63F8F" w:rsidRPr="00E27443">
        <w:t xml:space="preserve"> </w:t>
      </w:r>
      <w:r w:rsidRPr="00E27443">
        <w:t>Council</w:t>
      </w:r>
      <w:r w:rsidR="00C63F8F" w:rsidRPr="00E27443">
        <w:t xml:space="preserve"> </w:t>
      </w:r>
      <w:r w:rsidRPr="00E27443">
        <w:t>and</w:t>
      </w:r>
      <w:r w:rsidR="00C63F8F" w:rsidRPr="00E27443">
        <w:t xml:space="preserve"> </w:t>
      </w:r>
      <w:r w:rsidRPr="00E27443">
        <w:t>the</w:t>
      </w:r>
      <w:r w:rsidR="00C63F8F" w:rsidRPr="00E27443">
        <w:t xml:space="preserve"> </w:t>
      </w:r>
      <w:r w:rsidRPr="00E27443">
        <w:t>Swedish</w:t>
      </w:r>
      <w:r w:rsidR="00C63F8F" w:rsidRPr="00E27443">
        <w:t xml:space="preserve"> </w:t>
      </w:r>
      <w:r w:rsidRPr="00E27443">
        <w:t>Post</w:t>
      </w:r>
      <w:r w:rsidR="00C63F8F" w:rsidRPr="00E27443">
        <w:t xml:space="preserve"> </w:t>
      </w:r>
      <w:r w:rsidRPr="00E27443">
        <w:t>and</w:t>
      </w:r>
      <w:r w:rsidR="00C63F8F" w:rsidRPr="00E27443">
        <w:t xml:space="preserve"> </w:t>
      </w:r>
      <w:r w:rsidRPr="00E27443">
        <w:t>Telecom</w:t>
      </w:r>
      <w:r w:rsidR="00C63F8F" w:rsidRPr="00E27443">
        <w:t xml:space="preserve"> </w:t>
      </w:r>
      <w:r w:rsidRPr="00E27443">
        <w:t>Agency</w:t>
      </w:r>
      <w:r w:rsidR="00C63F8F" w:rsidRPr="00E27443">
        <w:t xml:space="preserve"> </w:t>
      </w:r>
      <w:r w:rsidRPr="00E27443">
        <w:t>have</w:t>
      </w:r>
      <w:r w:rsidR="00C63F8F" w:rsidRPr="00E27443">
        <w:t xml:space="preserve"> </w:t>
      </w:r>
      <w:r w:rsidRPr="00E27443">
        <w:t>received</w:t>
      </w:r>
      <w:r w:rsidR="00C63F8F" w:rsidRPr="00E27443">
        <w:t xml:space="preserve"> </w:t>
      </w:r>
      <w:r w:rsidRPr="00E27443">
        <w:t>commissions</w:t>
      </w:r>
      <w:r w:rsidR="00C63F8F" w:rsidRPr="00E27443">
        <w:t xml:space="preserve"> </w:t>
      </w:r>
      <w:r w:rsidRPr="00E27443">
        <w:t>relating</w:t>
      </w:r>
      <w:r w:rsidR="00C63F8F" w:rsidRPr="00E27443">
        <w:t xml:space="preserve"> </w:t>
      </w:r>
      <w:r w:rsidRPr="00E27443">
        <w:t>to</w:t>
      </w:r>
      <w:r w:rsidR="00C63F8F" w:rsidRPr="00E27443">
        <w:t xml:space="preserve"> </w:t>
      </w:r>
      <w:r w:rsidRPr="00E27443">
        <w:t>e.g.</w:t>
      </w:r>
      <w:r w:rsidR="00C63F8F" w:rsidRPr="00E27443">
        <w:t xml:space="preserve"> </w:t>
      </w:r>
      <w:r w:rsidRPr="00E27443">
        <w:t>talking</w:t>
      </w:r>
      <w:r w:rsidR="00C63F8F" w:rsidRPr="00E27443">
        <w:t xml:space="preserve"> </w:t>
      </w:r>
      <w:r w:rsidRPr="00E27443">
        <w:t>newspapers.</w:t>
      </w:r>
      <w:r w:rsidR="00C63F8F" w:rsidRPr="00E27443">
        <w:t xml:space="preserve"> </w:t>
      </w:r>
      <w:r w:rsidRPr="00E27443">
        <w:t>Operations</w:t>
      </w:r>
      <w:r w:rsidR="00C63F8F" w:rsidRPr="00E27443">
        <w:t xml:space="preserve"> </w:t>
      </w:r>
      <w:r w:rsidRPr="00E27443">
        <w:t>at</w:t>
      </w:r>
      <w:r w:rsidR="00C63F8F" w:rsidRPr="00E27443">
        <w:t xml:space="preserve"> </w:t>
      </w:r>
      <w:r w:rsidRPr="00E27443">
        <w:t>the</w:t>
      </w:r>
      <w:r w:rsidR="00C63F8F" w:rsidRPr="00E27443">
        <w:t xml:space="preserve"> </w:t>
      </w:r>
      <w:r w:rsidRPr="00E27443">
        <w:t>Talking</w:t>
      </w:r>
      <w:r w:rsidR="00C63F8F" w:rsidRPr="00E27443">
        <w:t xml:space="preserve"> </w:t>
      </w:r>
      <w:r w:rsidRPr="00E27443">
        <w:t>Newspapers</w:t>
      </w:r>
      <w:r w:rsidR="00C63F8F" w:rsidRPr="00E27443">
        <w:t xml:space="preserve"> </w:t>
      </w:r>
      <w:r w:rsidRPr="00E27443">
        <w:t>Council</w:t>
      </w:r>
      <w:r w:rsidR="00C63F8F" w:rsidRPr="00E27443">
        <w:t xml:space="preserve"> </w:t>
      </w:r>
      <w:r w:rsidRPr="00E27443">
        <w:t>were</w:t>
      </w:r>
      <w:r w:rsidR="00C63F8F" w:rsidRPr="00E27443">
        <w:t xml:space="preserve"> </w:t>
      </w:r>
      <w:r w:rsidRPr="00E27443">
        <w:t>transferred</w:t>
      </w:r>
      <w:r w:rsidR="00C63F8F" w:rsidRPr="00E27443">
        <w:t xml:space="preserve"> </w:t>
      </w:r>
      <w:r w:rsidRPr="00E27443">
        <w:t>to</w:t>
      </w:r>
      <w:r w:rsidR="00C63F8F" w:rsidRPr="00E27443">
        <w:t xml:space="preserve"> </w:t>
      </w:r>
      <w:r w:rsidRPr="00E27443">
        <w:t>TPB</w:t>
      </w:r>
      <w:r w:rsidR="00C63F8F" w:rsidRPr="00E27443">
        <w:t xml:space="preserve"> </w:t>
      </w:r>
      <w:r w:rsidRPr="00E27443">
        <w:t>on</w:t>
      </w:r>
      <w:r w:rsidR="00C63F8F" w:rsidRPr="00E27443">
        <w:t xml:space="preserve"> </w:t>
      </w:r>
      <w:r w:rsidRPr="00E27443">
        <w:t>1</w:t>
      </w:r>
      <w:r w:rsidR="00C63F8F" w:rsidRPr="00E27443">
        <w:t xml:space="preserve"> </w:t>
      </w:r>
      <w:r w:rsidRPr="00E27443">
        <w:t>August</w:t>
      </w:r>
      <w:r w:rsidR="00C63F8F" w:rsidRPr="00E27443">
        <w:t xml:space="preserve"> </w:t>
      </w:r>
      <w:r w:rsidRPr="00E27443">
        <w:t>2010.</w:t>
      </w:r>
      <w:r w:rsidR="00C63F8F" w:rsidRPr="00E27443">
        <w:t xml:space="preserve"> </w:t>
      </w:r>
      <w:r w:rsidRPr="00E27443">
        <w:t>One</w:t>
      </w:r>
      <w:r w:rsidR="00C63F8F" w:rsidRPr="00E27443">
        <w:t xml:space="preserve"> </w:t>
      </w:r>
      <w:r w:rsidRPr="00E27443">
        <w:t>reason</w:t>
      </w:r>
      <w:r w:rsidR="00C63F8F" w:rsidRPr="00E27443">
        <w:t xml:space="preserve"> </w:t>
      </w:r>
      <w:r w:rsidRPr="00E27443">
        <w:t>for</w:t>
      </w:r>
      <w:r w:rsidR="00C63F8F" w:rsidRPr="00E27443">
        <w:t xml:space="preserve"> </w:t>
      </w:r>
      <w:r w:rsidRPr="00E27443">
        <w:t>this</w:t>
      </w:r>
      <w:r w:rsidR="00C63F8F" w:rsidRPr="00E27443">
        <w:t xml:space="preserve"> </w:t>
      </w:r>
      <w:r w:rsidRPr="00E27443">
        <w:t>was</w:t>
      </w:r>
      <w:r w:rsidR="00C63F8F" w:rsidRPr="00E27443">
        <w:t xml:space="preserve"> </w:t>
      </w:r>
      <w:r w:rsidRPr="00E27443">
        <w:t>that</w:t>
      </w:r>
      <w:r w:rsidR="00C63F8F" w:rsidRPr="00E27443">
        <w:t xml:space="preserve"> </w:t>
      </w:r>
      <w:r w:rsidRPr="00E27443">
        <w:t>the</w:t>
      </w:r>
      <w:r w:rsidR="00C63F8F" w:rsidRPr="00E27443">
        <w:t xml:space="preserve"> </w:t>
      </w:r>
      <w:r w:rsidRPr="00E27443">
        <w:t>two</w:t>
      </w:r>
      <w:r w:rsidR="00C63F8F" w:rsidRPr="00E27443">
        <w:t xml:space="preserve"> </w:t>
      </w:r>
      <w:r w:rsidRPr="00E27443">
        <w:t>authorities</w:t>
      </w:r>
      <w:r w:rsidR="00C63F8F" w:rsidRPr="00E27443">
        <w:t xml:space="preserve"> </w:t>
      </w:r>
      <w:r w:rsidRPr="00E27443">
        <w:t>were</w:t>
      </w:r>
      <w:r w:rsidR="00C63F8F" w:rsidRPr="00E27443">
        <w:t xml:space="preserve"> </w:t>
      </w:r>
      <w:r w:rsidRPr="00E27443">
        <w:t>both</w:t>
      </w:r>
      <w:r w:rsidR="00C63F8F" w:rsidRPr="00E27443">
        <w:t xml:space="preserve"> </w:t>
      </w:r>
      <w:r w:rsidRPr="00E27443">
        <w:t>aiming</w:t>
      </w:r>
      <w:r w:rsidR="00C63F8F" w:rsidRPr="00E27443">
        <w:t xml:space="preserve"> </w:t>
      </w:r>
      <w:r w:rsidRPr="00E27443">
        <w:t>at</w:t>
      </w:r>
      <w:r w:rsidR="00C63F8F" w:rsidRPr="00E27443">
        <w:t xml:space="preserve"> </w:t>
      </w:r>
      <w:r w:rsidRPr="00E27443">
        <w:t>the</w:t>
      </w:r>
      <w:r w:rsidR="00C63F8F" w:rsidRPr="00E27443">
        <w:t xml:space="preserve"> </w:t>
      </w:r>
      <w:r w:rsidRPr="00E27443">
        <w:t>same</w:t>
      </w:r>
      <w:r w:rsidR="00C63F8F" w:rsidRPr="00E27443">
        <w:t xml:space="preserve"> </w:t>
      </w:r>
      <w:r w:rsidRPr="00E27443">
        <w:t>target</w:t>
      </w:r>
      <w:r w:rsidR="00C63F8F" w:rsidRPr="00E27443">
        <w:t xml:space="preserve"> </w:t>
      </w:r>
      <w:r w:rsidRPr="00E27443">
        <w:t>group,</w:t>
      </w:r>
      <w:r w:rsidR="00C63F8F" w:rsidRPr="00E27443">
        <w:t xml:space="preserve"> </w:t>
      </w:r>
      <w:r w:rsidRPr="00E27443">
        <w:t>i.e.</w:t>
      </w:r>
      <w:r w:rsidR="00C63F8F" w:rsidRPr="00E27443">
        <w:t xml:space="preserve"> </w:t>
      </w:r>
      <w:r w:rsidRPr="00E27443">
        <w:t>persons</w:t>
      </w:r>
      <w:r w:rsidR="00C63F8F" w:rsidRPr="00E27443">
        <w:t xml:space="preserve"> </w:t>
      </w:r>
      <w:r w:rsidRPr="00E27443">
        <w:t>who,</w:t>
      </w:r>
      <w:r w:rsidR="00C63F8F" w:rsidRPr="00E27443">
        <w:t xml:space="preserve"> </w:t>
      </w:r>
      <w:r w:rsidRPr="00E27443">
        <w:t>due</w:t>
      </w:r>
      <w:r w:rsidR="00C63F8F" w:rsidRPr="00E27443">
        <w:t xml:space="preserve"> </w:t>
      </w:r>
      <w:r w:rsidRPr="00E27443">
        <w:t>to</w:t>
      </w:r>
      <w:r w:rsidR="00C63F8F" w:rsidRPr="00E27443">
        <w:t xml:space="preserve"> </w:t>
      </w:r>
      <w:r w:rsidRPr="00E27443">
        <w:t>some</w:t>
      </w:r>
      <w:r w:rsidR="00C63F8F" w:rsidRPr="00E27443">
        <w:t xml:space="preserve"> </w:t>
      </w:r>
      <w:r w:rsidRPr="00E27443">
        <w:t>form</w:t>
      </w:r>
      <w:r w:rsidR="00C63F8F" w:rsidRPr="00E27443">
        <w:t xml:space="preserve"> </w:t>
      </w:r>
      <w:r w:rsidRPr="00E27443">
        <w:t>of</w:t>
      </w:r>
      <w:r w:rsidR="00C63F8F" w:rsidRPr="00E27443">
        <w:t xml:space="preserve"> </w:t>
      </w:r>
      <w:r w:rsidRPr="00E27443">
        <w:t>reading</w:t>
      </w:r>
      <w:r w:rsidR="00C63F8F" w:rsidRPr="00E27443">
        <w:t xml:space="preserve"> </w:t>
      </w:r>
      <w:r w:rsidRPr="00E27443">
        <w:t>impediment,</w:t>
      </w:r>
      <w:r w:rsidR="00C63F8F" w:rsidRPr="00E27443">
        <w:t xml:space="preserve"> </w:t>
      </w:r>
      <w:r w:rsidRPr="00E27443">
        <w:t>need</w:t>
      </w:r>
      <w:r w:rsidR="00C63F8F" w:rsidRPr="00E27443">
        <w:t xml:space="preserve"> </w:t>
      </w:r>
      <w:r w:rsidRPr="00E27443">
        <w:t>special</w:t>
      </w:r>
      <w:r w:rsidR="00C63F8F" w:rsidRPr="00E27443">
        <w:t xml:space="preserve"> </w:t>
      </w:r>
      <w:r w:rsidRPr="00E27443">
        <w:t>adaptations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have</w:t>
      </w:r>
      <w:r w:rsidR="00C63F8F" w:rsidRPr="00E27443">
        <w:t xml:space="preserve"> </w:t>
      </w:r>
      <w:r w:rsidRPr="00E27443">
        <w:t>access</w:t>
      </w:r>
      <w:r w:rsidR="00C63F8F" w:rsidRPr="00E27443">
        <w:t xml:space="preserve"> </w:t>
      </w:r>
      <w:r w:rsidRPr="00E27443">
        <w:t>to</w:t>
      </w:r>
      <w:r w:rsidR="00C63F8F" w:rsidRPr="00E27443">
        <w:t xml:space="preserve"> </w:t>
      </w:r>
      <w:r w:rsidRPr="00E27443">
        <w:t>text-based</w:t>
      </w:r>
      <w:r w:rsidR="00C63F8F" w:rsidRPr="00E27443">
        <w:t xml:space="preserve"> </w:t>
      </w:r>
      <w:r w:rsidRPr="00E27443">
        <w:t>information</w:t>
      </w:r>
      <w:r w:rsidR="00C63F8F" w:rsidRPr="00E27443">
        <w:t xml:space="preserve"> </w:t>
      </w:r>
      <w:r w:rsidRPr="00E27443">
        <w:t>in</w:t>
      </w:r>
      <w:r w:rsidR="00C63F8F" w:rsidRPr="00E27443">
        <w:t xml:space="preserve"> </w:t>
      </w:r>
      <w:r w:rsidRPr="00E27443">
        <w:t>the</w:t>
      </w:r>
      <w:r w:rsidR="00C63F8F" w:rsidRPr="00E27443">
        <w:t xml:space="preserve"> </w:t>
      </w:r>
      <w:r w:rsidRPr="00E27443">
        <w:t>form</w:t>
      </w:r>
      <w:r w:rsidR="00C63F8F" w:rsidRPr="00E27443">
        <w:t xml:space="preserve"> </w:t>
      </w:r>
      <w:r w:rsidRPr="00E27443">
        <w:t>of</w:t>
      </w:r>
      <w:r w:rsidR="00C63F8F" w:rsidRPr="00E27443">
        <w:t xml:space="preserve"> </w:t>
      </w:r>
      <w:r w:rsidRPr="00E27443">
        <w:t>e.g.</w:t>
      </w:r>
      <w:r w:rsidR="00C63F8F" w:rsidRPr="00E27443">
        <w:t xml:space="preserve"> </w:t>
      </w:r>
      <w:r w:rsidRPr="00E27443">
        <w:t>literature</w:t>
      </w:r>
      <w:r w:rsidR="00C63F8F" w:rsidRPr="00E27443">
        <w:t xml:space="preserve"> </w:t>
      </w:r>
      <w:r w:rsidRPr="00E27443">
        <w:t>and</w:t>
      </w:r>
      <w:r w:rsidR="00C63F8F" w:rsidRPr="00E27443">
        <w:t xml:space="preserve"> </w:t>
      </w:r>
      <w:r w:rsidRPr="00E27443">
        <w:t>daily</w:t>
      </w:r>
      <w:r w:rsidR="00C63F8F" w:rsidRPr="00E27443">
        <w:t xml:space="preserve"> </w:t>
      </w:r>
      <w:r w:rsidRPr="00E27443">
        <w:t>newspapers.</w:t>
      </w:r>
      <w:r w:rsidR="00C63F8F" w:rsidRPr="00E27443">
        <w:t xml:space="preserve"> </w:t>
      </w:r>
      <w:r w:rsidRPr="00E27443">
        <w:t>The</w:t>
      </w:r>
      <w:r w:rsidR="00C63F8F" w:rsidRPr="00E27443">
        <w:t xml:space="preserve"> </w:t>
      </w:r>
      <w:r w:rsidRPr="00E27443">
        <w:t>change</w:t>
      </w:r>
      <w:r w:rsidR="00C63F8F" w:rsidRPr="00E27443">
        <w:t xml:space="preserve"> </w:t>
      </w:r>
      <w:r w:rsidRPr="00E27443">
        <w:t>is</w:t>
      </w:r>
      <w:r w:rsidR="00C63F8F" w:rsidRPr="00E27443">
        <w:t xml:space="preserve"> </w:t>
      </w:r>
      <w:r w:rsidRPr="00E27443">
        <w:t>expected</w:t>
      </w:r>
      <w:r w:rsidR="00C63F8F" w:rsidRPr="00E27443">
        <w:t xml:space="preserve"> </w:t>
      </w:r>
      <w:r w:rsidRPr="00E27443">
        <w:t>to</w:t>
      </w:r>
      <w:r w:rsidR="00C63F8F" w:rsidRPr="00E27443">
        <w:t xml:space="preserve"> </w:t>
      </w:r>
      <w:r w:rsidRPr="00E27443">
        <w:t>generate</w:t>
      </w:r>
      <w:r w:rsidR="00C63F8F" w:rsidRPr="00E27443">
        <w:t xml:space="preserve"> </w:t>
      </w:r>
      <w:r w:rsidRPr="00E27443">
        <w:t>good</w:t>
      </w:r>
      <w:r w:rsidR="00C63F8F" w:rsidRPr="00E27443">
        <w:t xml:space="preserve"> </w:t>
      </w:r>
      <w:r w:rsidRPr="00E27443">
        <w:t>conditions</w:t>
      </w:r>
      <w:r w:rsidR="00C63F8F" w:rsidRPr="00E27443">
        <w:t xml:space="preserve"> </w:t>
      </w:r>
      <w:r w:rsidRPr="00E27443">
        <w:t>in</w:t>
      </w:r>
      <w:r w:rsidR="00C63F8F" w:rsidRPr="00E27443">
        <w:t xml:space="preserve"> </w:t>
      </w:r>
      <w:r w:rsidRPr="00E27443">
        <w:t>the</w:t>
      </w:r>
      <w:r w:rsidR="00C63F8F" w:rsidRPr="00E27443">
        <w:t xml:space="preserve"> </w:t>
      </w:r>
      <w:r w:rsidRPr="00E27443">
        <w:t>continued</w:t>
      </w:r>
      <w:r w:rsidR="00C63F8F" w:rsidRPr="00E27443">
        <w:t xml:space="preserve"> </w:t>
      </w:r>
      <w:r w:rsidRPr="00E27443">
        <w:t>work</w:t>
      </w:r>
      <w:r w:rsidR="00C63F8F" w:rsidRPr="00E27443">
        <w:t xml:space="preserve"> </w:t>
      </w:r>
      <w:r w:rsidRPr="00E27443">
        <w:t>on</w:t>
      </w:r>
      <w:r w:rsidR="00C63F8F" w:rsidRPr="00E27443">
        <w:t xml:space="preserve"> </w:t>
      </w:r>
      <w:r w:rsidRPr="00E27443">
        <w:t>solutions</w:t>
      </w:r>
      <w:r w:rsidR="00C63F8F" w:rsidRPr="00E27443">
        <w:t xml:space="preserve"> </w:t>
      </w:r>
      <w:r w:rsidRPr="00E27443">
        <w:t>for</w:t>
      </w:r>
      <w:r w:rsidR="00C63F8F" w:rsidRPr="00E27443">
        <w:t xml:space="preserve"> </w:t>
      </w:r>
      <w:r w:rsidRPr="00E27443">
        <w:t>the</w:t>
      </w:r>
      <w:r w:rsidR="00C63F8F" w:rsidRPr="00E27443">
        <w:t xml:space="preserve"> </w:t>
      </w:r>
      <w:r w:rsidRPr="00E27443">
        <w:t>production,</w:t>
      </w:r>
      <w:r w:rsidR="00C63F8F" w:rsidRPr="00E27443">
        <w:t xml:space="preserve"> </w:t>
      </w:r>
      <w:r w:rsidRPr="00E27443">
        <w:t>distribution</w:t>
      </w:r>
      <w:r w:rsidR="00C63F8F" w:rsidRPr="00E27443">
        <w:t xml:space="preserve"> </w:t>
      </w:r>
      <w:r w:rsidRPr="00E27443">
        <w:t>and</w:t>
      </w:r>
      <w:r w:rsidR="00C63F8F" w:rsidRPr="00E27443">
        <w:t xml:space="preserve"> </w:t>
      </w:r>
      <w:r w:rsidRPr="00E27443">
        <w:t>consumption</w:t>
      </w:r>
      <w:r w:rsidR="00C63F8F" w:rsidRPr="00E27443">
        <w:t xml:space="preserve"> </w:t>
      </w:r>
      <w:r w:rsidRPr="00E27443">
        <w:t>of</w:t>
      </w:r>
      <w:r w:rsidR="00C63F8F" w:rsidRPr="00E27443">
        <w:t xml:space="preserve"> </w:t>
      </w:r>
      <w:r w:rsidRPr="00E27443">
        <w:t>talking</w:t>
      </w:r>
      <w:r w:rsidR="00C63F8F" w:rsidRPr="00E27443">
        <w:t xml:space="preserve"> </w:t>
      </w:r>
      <w:r w:rsidRPr="00E27443">
        <w:t>books</w:t>
      </w:r>
      <w:r w:rsidR="00C63F8F" w:rsidRPr="00E27443">
        <w:t xml:space="preserve"> </w:t>
      </w:r>
      <w:r w:rsidRPr="00E27443">
        <w:t>and</w:t>
      </w:r>
      <w:r w:rsidR="00C63F8F" w:rsidRPr="00E27443">
        <w:t xml:space="preserve"> </w:t>
      </w:r>
      <w:r w:rsidRPr="00E27443">
        <w:t>talking</w:t>
      </w:r>
      <w:r w:rsidR="00C63F8F" w:rsidRPr="00E27443">
        <w:t xml:space="preserve"> </w:t>
      </w:r>
      <w:r w:rsidRPr="00E27443">
        <w:t>newspapers.</w:t>
      </w:r>
    </w:p>
    <w:p w:rsidR="00321ADA" w:rsidRPr="00E27443" w:rsidRDefault="00321ADA" w:rsidP="009247D7">
      <w:pPr>
        <w:pStyle w:val="SingleTxtG"/>
        <w:numPr>
          <w:ilvl w:val="0"/>
          <w:numId w:val="20"/>
        </w:numPr>
        <w:tabs>
          <w:tab w:val="left" w:pos="1843"/>
        </w:tabs>
        <w:ind w:left="1134" w:firstLine="0"/>
      </w:pPr>
      <w:r w:rsidRPr="00E27443">
        <w:t>The</w:t>
      </w:r>
      <w:r w:rsidR="00C63F8F" w:rsidRPr="00E27443">
        <w:t xml:space="preserve"> </w:t>
      </w:r>
      <w:r w:rsidRPr="009247D7">
        <w:t>Easy-to-Read</w:t>
      </w:r>
      <w:r w:rsidR="00C63F8F" w:rsidRPr="009247D7">
        <w:t xml:space="preserve"> </w:t>
      </w:r>
      <w:r w:rsidRPr="009247D7">
        <w:t>Foundation</w:t>
      </w:r>
      <w:r w:rsidRPr="00E27443">
        <w:t>,</w:t>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by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and</w:t>
      </w:r>
      <w:r w:rsidR="00C63F8F" w:rsidRPr="00E27443">
        <w:t xml:space="preserve"> </w:t>
      </w:r>
      <w:r w:rsidRPr="00E27443">
        <w:t>Parliament</w:t>
      </w:r>
      <w:r w:rsidR="00C63F8F" w:rsidRPr="00E27443">
        <w:t xml:space="preserve"> </w:t>
      </w:r>
      <w:r w:rsidRPr="00E27443">
        <w:t>to</w:t>
      </w:r>
      <w:r w:rsidR="00C63F8F" w:rsidRPr="00E27443">
        <w:t xml:space="preserve"> </w:t>
      </w:r>
      <w:r w:rsidRPr="00E27443">
        <w:t>make</w:t>
      </w:r>
      <w:r w:rsidR="00C63F8F" w:rsidRPr="00E27443">
        <w:t xml:space="preserve"> </w:t>
      </w:r>
      <w:r w:rsidRPr="00E27443">
        <w:t>news</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literature</w:t>
      </w:r>
      <w:r w:rsidR="00C63F8F" w:rsidRPr="00E27443">
        <w:t xml:space="preserve"> </w:t>
      </w:r>
      <w:r w:rsidRPr="00E27443">
        <w:t>available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reading</w:t>
      </w:r>
      <w:r w:rsidR="00C63F8F" w:rsidRPr="00E27443">
        <w:t xml:space="preserve"> </w:t>
      </w:r>
      <w:r w:rsidRPr="00E27443">
        <w:t>difficulties</w:t>
      </w:r>
      <w:r w:rsidR="00C63F8F" w:rsidRPr="00E27443">
        <w:t xml:space="preserve"> </w:t>
      </w:r>
      <w:r w:rsidRPr="00E27443">
        <w:t>or</w:t>
      </w:r>
      <w:r w:rsidR="00C63F8F" w:rsidRPr="00E27443">
        <w:t xml:space="preserve"> </w:t>
      </w:r>
      <w:r w:rsidRPr="00E27443">
        <w:t>who</w:t>
      </w:r>
      <w:r w:rsidR="00C63F8F" w:rsidRPr="00E27443">
        <w:t xml:space="preserve"> </w:t>
      </w:r>
      <w:r w:rsidRPr="00E27443">
        <w:t>are</w:t>
      </w:r>
      <w:r w:rsidR="00C63F8F" w:rsidRPr="00E27443">
        <w:t xml:space="preserve"> </w:t>
      </w:r>
      <w:r w:rsidRPr="00E27443">
        <w:t>not</w:t>
      </w:r>
      <w:r w:rsidR="00C63F8F" w:rsidRPr="00E27443">
        <w:t xml:space="preserve"> </w:t>
      </w:r>
      <w:r w:rsidRPr="00E27443">
        <w:t>trained</w:t>
      </w:r>
      <w:r w:rsidR="00C63F8F" w:rsidRPr="00E27443">
        <w:t xml:space="preserve"> </w:t>
      </w:r>
      <w:r w:rsidRPr="00E27443">
        <w:t>in</w:t>
      </w:r>
      <w:r w:rsidR="00C63F8F" w:rsidRPr="00E27443">
        <w:t xml:space="preserve"> </w:t>
      </w:r>
      <w:r w:rsidRPr="00E27443">
        <w:t>the</w:t>
      </w:r>
      <w:r w:rsidR="00C63F8F" w:rsidRPr="00E27443">
        <w:t xml:space="preserve"> </w:t>
      </w:r>
      <w:r w:rsidRPr="00E27443">
        <w:t>Swedish</w:t>
      </w:r>
      <w:r w:rsidR="00C63F8F" w:rsidRPr="00E27443">
        <w:t xml:space="preserve"> </w:t>
      </w:r>
      <w:r w:rsidRPr="00E27443">
        <w:t>language.</w:t>
      </w:r>
      <w:r w:rsidR="00C63F8F" w:rsidRPr="00E27443">
        <w:t xml:space="preserve"> </w:t>
      </w: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the</w:t>
      </w:r>
      <w:r w:rsidR="00C63F8F" w:rsidRPr="00E27443">
        <w:t xml:space="preserve"> </w:t>
      </w:r>
      <w:r w:rsidRPr="00E27443">
        <w:t>initiatives</w:t>
      </w:r>
      <w:r w:rsidR="00C63F8F" w:rsidRPr="00E27443">
        <w:t xml:space="preserve"> </w:t>
      </w:r>
      <w:r w:rsidRPr="00E27443">
        <w:t>aimed</w:t>
      </w:r>
      <w:r w:rsidR="00C63F8F" w:rsidRPr="00E27443">
        <w:t xml:space="preserve"> </w:t>
      </w:r>
      <w:r w:rsidRPr="00E27443">
        <w:t>at</w:t>
      </w:r>
      <w:r w:rsidR="00C63F8F" w:rsidRPr="00E27443">
        <w:t xml:space="preserve"> </w:t>
      </w:r>
      <w:r w:rsidRPr="00E27443">
        <w:t>schools</w:t>
      </w:r>
      <w:r w:rsidR="00C63F8F" w:rsidRPr="00E27443">
        <w:t xml:space="preserve"> </w:t>
      </w:r>
      <w:r w:rsidRPr="00E27443">
        <w:t>have</w:t>
      </w:r>
      <w:r w:rsidR="00C63F8F" w:rsidRPr="00E27443">
        <w:t xml:space="preserve"> </w:t>
      </w:r>
      <w:r w:rsidRPr="00E27443">
        <w:t>been</w:t>
      </w:r>
      <w:r w:rsidR="00C63F8F" w:rsidRPr="00E27443">
        <w:t xml:space="preserve"> </w:t>
      </w:r>
      <w:r w:rsidRPr="00E27443">
        <w:t>prioritised.</w:t>
      </w:r>
      <w:r w:rsidR="00C63F8F" w:rsidRPr="00E27443">
        <w:t xml:space="preserve"> </w:t>
      </w:r>
      <w:r w:rsidRPr="00E27443">
        <w:t>For</w:t>
      </w:r>
      <w:r w:rsidR="00C63F8F" w:rsidRPr="00E27443">
        <w:t xml:space="preserve"> </w:t>
      </w:r>
      <w:r w:rsidRPr="00E27443">
        <w:t>example,</w:t>
      </w:r>
      <w:r w:rsidR="00C63F8F" w:rsidRPr="00E27443">
        <w:t xml:space="preserve"> </w:t>
      </w:r>
      <w:r w:rsidRPr="00E27443">
        <w:t>the</w:t>
      </w:r>
      <w:r w:rsidR="00C63F8F" w:rsidRPr="00E27443">
        <w:t xml:space="preserve"> </w:t>
      </w:r>
      <w:r w:rsidRPr="00E27443">
        <w:t>Foundation</w:t>
      </w:r>
      <w:r w:rsidR="00C63F8F" w:rsidRPr="00E27443">
        <w:t xml:space="preserve"> </w:t>
      </w:r>
      <w:r w:rsidRPr="00E27443">
        <w:t>has</w:t>
      </w:r>
      <w:r w:rsidR="00C63F8F" w:rsidRPr="00E27443">
        <w:t xml:space="preserve"> </w:t>
      </w:r>
      <w:r w:rsidRPr="00E27443">
        <w:t>worked</w:t>
      </w:r>
      <w:r w:rsidR="00C63F8F" w:rsidRPr="00E27443">
        <w:t xml:space="preserve"> </w:t>
      </w:r>
      <w:r w:rsidRPr="00E27443">
        <w:t>on</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DVD</w:t>
      </w:r>
      <w:r w:rsidR="00C63F8F" w:rsidRPr="00E27443">
        <w:t xml:space="preserve"> </w:t>
      </w:r>
      <w:r w:rsidRPr="00E27443">
        <w:t>productions</w:t>
      </w:r>
      <w:r w:rsidR="00C63F8F" w:rsidRPr="00E27443">
        <w:t xml:space="preserve"> </w:t>
      </w:r>
      <w:r w:rsidRPr="00E27443">
        <w:t>for</w:t>
      </w:r>
      <w:r w:rsidR="00C63F8F" w:rsidRPr="00E27443">
        <w:t xml:space="preserve"> </w:t>
      </w:r>
      <w:r w:rsidRPr="00E27443">
        <w:t>young</w:t>
      </w:r>
      <w:r w:rsidR="00C63F8F" w:rsidRPr="00E27443">
        <w:t xml:space="preserve"> </w:t>
      </w:r>
      <w:r w:rsidRPr="00E27443">
        <w:t>persons</w:t>
      </w:r>
      <w:r w:rsidR="00C63F8F" w:rsidRPr="00E27443">
        <w:t xml:space="preserve"> </w:t>
      </w:r>
      <w:r w:rsidRPr="00E27443">
        <w:t>in</w:t>
      </w:r>
      <w:r w:rsidR="00C63F8F" w:rsidRPr="00E27443">
        <w:t xml:space="preserve"> </w:t>
      </w:r>
      <w:r w:rsidRPr="00E27443">
        <w:t>special</w:t>
      </w:r>
      <w:r w:rsidR="00C63F8F" w:rsidRPr="00E27443">
        <w:t xml:space="preserve"> </w:t>
      </w:r>
      <w:r w:rsidRPr="00E27443">
        <w:t>schools.</w:t>
      </w:r>
      <w:r w:rsidR="00C63F8F" w:rsidRPr="00E27443">
        <w:t xml:space="preserve"> </w:t>
      </w:r>
    </w:p>
    <w:p w:rsidR="00321ADA" w:rsidRPr="00E27443" w:rsidRDefault="00321ADA" w:rsidP="009247D7">
      <w:pPr>
        <w:pStyle w:val="SingleTxtG"/>
        <w:numPr>
          <w:ilvl w:val="0"/>
          <w:numId w:val="20"/>
        </w:numPr>
        <w:tabs>
          <w:tab w:val="left" w:pos="1843"/>
        </w:tabs>
        <w:ind w:left="1134" w:firstLine="0"/>
      </w:pPr>
      <w:r w:rsidRPr="00E27443">
        <w:t>All</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within</w:t>
      </w:r>
      <w:r w:rsidR="00C63F8F" w:rsidRPr="00E27443">
        <w:t xml:space="preserve"> </w:t>
      </w:r>
      <w:r w:rsidRPr="00E27443">
        <w:t>child</w:t>
      </w:r>
      <w:r w:rsidR="00C63F8F" w:rsidRPr="00E27443">
        <w:t xml:space="preserve"> </w:t>
      </w:r>
      <w:r w:rsidRPr="00E27443">
        <w:t>and</w:t>
      </w:r>
      <w:r w:rsidR="00C63F8F" w:rsidRPr="00E27443">
        <w:t xml:space="preserve"> </w:t>
      </w:r>
      <w:r w:rsidRPr="00E27443">
        <w:t>youth</w:t>
      </w:r>
      <w:r w:rsidR="00C63F8F" w:rsidRPr="00E27443">
        <w:t xml:space="preserve"> </w:t>
      </w:r>
      <w:r w:rsidRPr="009247D7">
        <w:t>sport</w:t>
      </w:r>
      <w:r w:rsidR="00C63F8F" w:rsidRPr="00E27443">
        <w:t xml:space="preserve"> </w:t>
      </w:r>
      <w:r w:rsidRPr="00E27443">
        <w:t>that</w:t>
      </w:r>
      <w:r w:rsidR="00C63F8F" w:rsidRPr="00E27443">
        <w:t xml:space="preserve"> </w:t>
      </w:r>
      <w:r w:rsidRPr="00E27443">
        <w:t>receive</w:t>
      </w:r>
      <w:r w:rsidR="00C63F8F" w:rsidRPr="00E27443">
        <w:t xml:space="preserve"> </w:t>
      </w:r>
      <w:r w:rsidRPr="00E27443">
        <w:t>State</w:t>
      </w:r>
      <w:r w:rsidR="00C63F8F" w:rsidRPr="00E27443">
        <w:t xml:space="preserve"> </w:t>
      </w:r>
      <w:r w:rsidRPr="00E27443">
        <w:t>subsidies</w:t>
      </w:r>
      <w:r w:rsidR="00C63F8F" w:rsidRPr="00E27443">
        <w:t xml:space="preserve"> </w:t>
      </w:r>
      <w:r w:rsidRPr="00E27443">
        <w:t>should</w:t>
      </w:r>
      <w:r w:rsidR="00C63F8F" w:rsidRPr="00E27443">
        <w:t xml:space="preserve"> </w:t>
      </w:r>
      <w:r w:rsidRPr="00E27443">
        <w:t>be</w:t>
      </w:r>
      <w:r w:rsidR="00C63F8F" w:rsidRPr="00E27443">
        <w:t xml:space="preserve"> </w:t>
      </w:r>
      <w:r w:rsidRPr="00E27443">
        <w:t>compatible</w:t>
      </w:r>
      <w:r w:rsidR="00C63F8F" w:rsidRPr="00E27443">
        <w:t xml:space="preserve"> </w:t>
      </w:r>
      <w:r w:rsidRPr="00E27443">
        <w:t>with</w:t>
      </w:r>
      <w:r w:rsidR="00C63F8F" w:rsidRPr="00E27443">
        <w:t xml:space="preserve"> </w:t>
      </w:r>
      <w:r w:rsidRPr="00E27443">
        <w:t>the</w:t>
      </w:r>
      <w:r w:rsidR="00C63F8F" w:rsidRPr="00E27443">
        <w:t xml:space="preserve"> </w:t>
      </w:r>
      <w:r w:rsidRPr="00E27443">
        <w:t>UN</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considers</w:t>
      </w:r>
      <w:r w:rsidR="00C63F8F" w:rsidRPr="00E27443">
        <w:t xml:space="preserve"> </w:t>
      </w:r>
      <w:r w:rsidRPr="00E27443">
        <w:t>that</w:t>
      </w:r>
      <w:r w:rsidR="00C63F8F" w:rsidRPr="00E27443">
        <w:t xml:space="preserve"> </w:t>
      </w:r>
      <w:r w:rsidRPr="00E27443">
        <w:t>only</w:t>
      </w:r>
      <w:r w:rsidR="00C63F8F" w:rsidRPr="00E27443">
        <w:t xml:space="preserve"> </w:t>
      </w:r>
      <w:r w:rsidRPr="00E27443">
        <w:t>those</w:t>
      </w:r>
      <w:r w:rsidR="00C63F8F" w:rsidRPr="00E27443">
        <w:t xml:space="preserve"> </w:t>
      </w:r>
      <w:r w:rsidRPr="00E27443">
        <w:t>sports</w:t>
      </w:r>
      <w:r w:rsidR="00C63F8F" w:rsidRPr="00E27443">
        <w:t xml:space="preserve"> </w:t>
      </w:r>
      <w:r w:rsidRPr="00E27443">
        <w:t>associations</w:t>
      </w:r>
      <w:r w:rsidR="00C63F8F" w:rsidRPr="00E27443">
        <w:t xml:space="preserve"> </w:t>
      </w:r>
      <w:r w:rsidRPr="00E27443">
        <w:t>that</w:t>
      </w:r>
      <w:r w:rsidR="00C63F8F" w:rsidRPr="00E27443">
        <w:t xml:space="preserve"> </w:t>
      </w:r>
      <w:r w:rsidRPr="00E27443">
        <w:t>conduct</w:t>
      </w:r>
      <w:r w:rsidR="00C63F8F" w:rsidRPr="00E27443">
        <w:t xml:space="preserve"> </w:t>
      </w:r>
      <w:r w:rsidRPr="00E27443">
        <w:t>activities</w:t>
      </w:r>
      <w:r w:rsidR="00C63F8F" w:rsidRPr="00E27443">
        <w:t xml:space="preserve"> </w:t>
      </w:r>
      <w:r w:rsidRPr="00E27443">
        <w:t>that</w:t>
      </w:r>
      <w:r w:rsidR="00C63F8F" w:rsidRPr="00E27443">
        <w:t xml:space="preserve"> </w:t>
      </w:r>
      <w:r w:rsidRPr="00E27443">
        <w:t>are</w:t>
      </w:r>
      <w:r w:rsidR="00C63F8F" w:rsidRPr="00E27443">
        <w:t xml:space="preserve"> </w:t>
      </w:r>
      <w:r w:rsidRPr="00E27443">
        <w:t>compatible</w:t>
      </w:r>
      <w:r w:rsidR="00C63F8F" w:rsidRPr="00E27443">
        <w:t xml:space="preserve"> </w:t>
      </w:r>
      <w:r w:rsidRPr="00E27443">
        <w:t>with</w:t>
      </w:r>
      <w:r w:rsidR="00C63F8F" w:rsidRPr="00E27443">
        <w:t xml:space="preserve"> </w:t>
      </w:r>
      <w:r w:rsidRPr="00E27443">
        <w:t>the</w:t>
      </w:r>
      <w:r w:rsidR="00C63F8F" w:rsidRPr="00E27443">
        <w:t xml:space="preserve"> </w:t>
      </w:r>
      <w:r w:rsidRPr="00E27443">
        <w:t>Child</w:t>
      </w:r>
      <w:r w:rsidR="00C63F8F" w:rsidRPr="00E27443">
        <w:t xml:space="preserve"> </w:t>
      </w:r>
      <w:r w:rsidRPr="00E27443">
        <w:t>Convention</w:t>
      </w:r>
      <w:r w:rsidR="00C63F8F" w:rsidRPr="00E27443">
        <w:t xml:space="preserve"> </w:t>
      </w:r>
      <w:r w:rsidRPr="00E27443">
        <w:t>should</w:t>
      </w:r>
      <w:r w:rsidR="00C63F8F" w:rsidRPr="00E27443">
        <w:t xml:space="preserve"> </w:t>
      </w:r>
      <w:r w:rsidRPr="00E27443">
        <w:t>receive</w:t>
      </w:r>
      <w:r w:rsidR="00C63F8F" w:rsidRPr="00E27443">
        <w:t xml:space="preserve"> </w:t>
      </w:r>
      <w:r w:rsidRPr="00E27443">
        <w:t>the</w:t>
      </w:r>
      <w:r w:rsidR="00C63F8F" w:rsidRPr="00E27443">
        <w:t xml:space="preserve"> </w:t>
      </w:r>
      <w:r w:rsidRPr="00E27443">
        <w:t>State</w:t>
      </w:r>
      <w:r w:rsidR="00C63F8F" w:rsidRPr="00E27443">
        <w:t xml:space="preserve"> </w:t>
      </w:r>
      <w:r w:rsidRPr="00E27443">
        <w:t>support.</w:t>
      </w:r>
    </w:p>
    <w:p w:rsidR="00321ADA" w:rsidRPr="00E27443" w:rsidRDefault="00321ADA" w:rsidP="009247D7">
      <w:pPr>
        <w:pStyle w:val="SingleTxtG"/>
        <w:numPr>
          <w:ilvl w:val="0"/>
          <w:numId w:val="20"/>
        </w:numPr>
        <w:tabs>
          <w:tab w:val="left" w:pos="1843"/>
        </w:tabs>
        <w:ind w:left="1134" w:firstLine="0"/>
      </w:pPr>
      <w:r w:rsidRPr="00E27443">
        <w:t>Sport</w:t>
      </w:r>
      <w:r w:rsidR="00C63F8F" w:rsidRPr="00E27443">
        <w:t xml:space="preserve"> </w:t>
      </w:r>
      <w:r w:rsidRPr="00E27443">
        <w:t>for</w:t>
      </w:r>
      <w:r w:rsidR="00C63F8F" w:rsidRPr="00E27443">
        <w:t xml:space="preserve"> </w:t>
      </w:r>
      <w:r w:rsidRPr="00E27443">
        <w:t>competition</w:t>
      </w:r>
      <w:r w:rsidR="00C63F8F" w:rsidRPr="00E27443">
        <w:t xml:space="preserve"> </w:t>
      </w:r>
      <w:r w:rsidRPr="00E27443">
        <w:t>and</w:t>
      </w:r>
      <w:r w:rsidR="00C63F8F" w:rsidRPr="00E27443">
        <w:t xml:space="preserve"> </w:t>
      </w:r>
      <w:r w:rsidRPr="00E27443">
        <w:t>for</w:t>
      </w:r>
      <w:r w:rsidR="00C63F8F" w:rsidRPr="00E27443">
        <w:t xml:space="preserve"> </w:t>
      </w:r>
      <w:r w:rsidRPr="00E27443">
        <w:t>exercise</w:t>
      </w:r>
      <w:r w:rsidR="00C63F8F" w:rsidRPr="00E27443">
        <w:t xml:space="preserve"> </w:t>
      </w:r>
      <w:r w:rsidRPr="00E27443">
        <w:t>must</w:t>
      </w:r>
      <w:r w:rsidR="00C63F8F" w:rsidRPr="00E27443">
        <w:t xml:space="preserve"> </w:t>
      </w:r>
      <w:r w:rsidRPr="00E27443">
        <w:t>be</w:t>
      </w:r>
      <w:r w:rsidR="00C63F8F" w:rsidRPr="00E27443">
        <w:t xml:space="preserve"> </w:t>
      </w:r>
      <w:r w:rsidRPr="00E27443">
        <w:t>designed</w:t>
      </w:r>
      <w:r w:rsidR="00C63F8F" w:rsidRPr="00E27443">
        <w:t xml:space="preserve"> </w:t>
      </w:r>
      <w:r w:rsidRPr="00E27443">
        <w:t>so</w:t>
      </w:r>
      <w:r w:rsidR="00C63F8F" w:rsidRPr="00E27443">
        <w:t xml:space="preserve"> </w:t>
      </w:r>
      <w:r w:rsidRPr="00E27443">
        <w:t>that</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and</w:t>
      </w:r>
      <w:r w:rsidR="00C63F8F" w:rsidRPr="00E27443">
        <w:t xml:space="preserve"> </w:t>
      </w:r>
      <w:r w:rsidRPr="00E27443">
        <w:t>feel</w:t>
      </w:r>
      <w:r w:rsidR="00C63F8F" w:rsidRPr="00E27443">
        <w:t xml:space="preserve"> </w:t>
      </w:r>
      <w:r w:rsidRPr="00E27443">
        <w:t>included.</w:t>
      </w:r>
      <w:r w:rsidR="00C63F8F" w:rsidRPr="00E27443">
        <w:t xml:space="preserve"> </w:t>
      </w:r>
      <w:r w:rsidRPr="00E27443">
        <w:t>This</w:t>
      </w:r>
      <w:r w:rsidR="00C63F8F" w:rsidRPr="00E27443">
        <w:t xml:space="preserve"> </w:t>
      </w:r>
      <w:r w:rsidRPr="00E27443">
        <w:t>means</w:t>
      </w:r>
      <w:r w:rsidR="00C63F8F" w:rsidRPr="00E27443">
        <w:t xml:space="preserve"> </w:t>
      </w:r>
      <w:r w:rsidRPr="00E27443">
        <w:t>that</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who</w:t>
      </w:r>
      <w:r w:rsidR="00C63F8F" w:rsidRPr="00E27443">
        <w:t xml:space="preserve"> </w:t>
      </w:r>
      <w:r w:rsidRPr="00E27443">
        <w:t>can</w:t>
      </w:r>
      <w:r w:rsidR="00C63F8F" w:rsidRPr="00E27443">
        <w:t xml:space="preserve"> </w:t>
      </w:r>
      <w:r w:rsidRPr="00E27443">
        <w:t>compete</w:t>
      </w:r>
      <w:r w:rsidR="00C63F8F" w:rsidRPr="00E27443">
        <w:t xml:space="preserve"> </w:t>
      </w:r>
      <w:r w:rsidRPr="00E27443">
        <w:t>with</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without</w:t>
      </w:r>
      <w:r w:rsidR="00C63F8F" w:rsidRPr="00E27443">
        <w:t xml:space="preserve"> </w:t>
      </w:r>
      <w:r w:rsidRPr="00E27443">
        <w:t>disabilities</w:t>
      </w:r>
      <w:r w:rsidR="00C63F8F" w:rsidRPr="00E27443">
        <w:t xml:space="preserve"> </w:t>
      </w:r>
      <w:r w:rsidRPr="00E27443">
        <w:t>should</w:t>
      </w:r>
      <w:r w:rsidR="00C63F8F" w:rsidRPr="00E27443">
        <w:t xml:space="preserve"> </w:t>
      </w:r>
      <w:r w:rsidRPr="00E27443">
        <w:t>be</w:t>
      </w:r>
      <w:r w:rsidR="00C63F8F" w:rsidRPr="00E27443">
        <w:t xml:space="preserve"> </w:t>
      </w:r>
      <w:r w:rsidRPr="00E27443">
        <w:t>encouraged</w:t>
      </w:r>
      <w:r w:rsidR="00C63F8F" w:rsidRPr="00E27443">
        <w:t xml:space="preserve"> </w:t>
      </w:r>
      <w:r w:rsidRPr="00E27443">
        <w:t>and</w:t>
      </w:r>
      <w:r w:rsidR="00C63F8F" w:rsidRPr="00E27443">
        <w:t xml:space="preserve"> </w:t>
      </w:r>
      <w:r w:rsidRPr="00E27443">
        <w:t>receive</w:t>
      </w:r>
      <w:r w:rsidR="00C63F8F" w:rsidRPr="00E27443">
        <w:t xml:space="preserve"> </w:t>
      </w:r>
      <w:r w:rsidRPr="00E27443">
        <w:t>support</w:t>
      </w:r>
      <w:r w:rsidR="00C63F8F" w:rsidRPr="00E27443">
        <w:t xml:space="preserve"> </w:t>
      </w:r>
      <w:r w:rsidRPr="00E27443">
        <w:t>to</w:t>
      </w:r>
      <w:r w:rsidR="00C63F8F" w:rsidRPr="00E27443">
        <w:t xml:space="preserve"> </w:t>
      </w:r>
      <w:r w:rsidRPr="00E27443">
        <w:t>do</w:t>
      </w:r>
      <w:r w:rsidR="00C63F8F" w:rsidRPr="00E27443">
        <w:t xml:space="preserve"> </w:t>
      </w:r>
      <w:r w:rsidRPr="00E27443">
        <w:t>so.</w:t>
      </w:r>
      <w:r w:rsidR="00C63F8F" w:rsidRPr="00E27443">
        <w:t xml:space="preserve"> </w:t>
      </w:r>
    </w:p>
    <w:p w:rsidR="00321ADA" w:rsidRPr="00E27443" w:rsidRDefault="00321ADA" w:rsidP="009247D7">
      <w:pPr>
        <w:pStyle w:val="SingleTxtG"/>
        <w:numPr>
          <w:ilvl w:val="0"/>
          <w:numId w:val="20"/>
        </w:numPr>
        <w:tabs>
          <w:tab w:val="left" w:pos="1843"/>
        </w:tabs>
        <w:ind w:left="1134" w:firstLine="0"/>
      </w:pPr>
      <w:r w:rsidRPr="00E27443">
        <w:t>The</w:t>
      </w:r>
      <w:r w:rsidR="00C63F8F" w:rsidRPr="00E27443">
        <w:t xml:space="preserve"> </w:t>
      </w:r>
      <w:r w:rsidRPr="00E27443">
        <w:t>Sports</w:t>
      </w:r>
      <w:r w:rsidR="00C63F8F" w:rsidRPr="00E27443">
        <w:t xml:space="preserve"> </w:t>
      </w:r>
      <w:r w:rsidRPr="00E27443">
        <w:t>Research</w:t>
      </w:r>
      <w:r w:rsidR="00C63F8F" w:rsidRPr="00E27443">
        <w:t xml:space="preserve"> </w:t>
      </w:r>
      <w:r w:rsidRPr="00E27443">
        <w:t>Centre</w:t>
      </w:r>
      <w:r w:rsidR="00C63F8F" w:rsidRPr="00E27443">
        <w:t xml:space="preserve"> </w:t>
      </w:r>
      <w:r w:rsidRPr="00E27443">
        <w:t>at</w:t>
      </w:r>
      <w:r w:rsidR="00C63F8F" w:rsidRPr="00E27443">
        <w:t xml:space="preserve"> </w:t>
      </w:r>
      <w:r w:rsidRPr="00E27443">
        <w:t>the</w:t>
      </w:r>
      <w:r w:rsidR="00C63F8F" w:rsidRPr="00E27443">
        <w:t xml:space="preserve"> </w:t>
      </w:r>
      <w:smartTag w:uri="urn:schemas-microsoft-com:office:smarttags" w:element="place">
        <w:smartTag w:uri="urn:schemas-microsoft-com:office:smarttags" w:element="PlaceName">
          <w:r w:rsidRPr="00E27443">
            <w:t>Swedish</w:t>
          </w:r>
        </w:smartTag>
        <w:r w:rsidR="00C63F8F" w:rsidRPr="00E27443">
          <w:t xml:space="preserve"> </w:t>
        </w:r>
        <w:smartTag w:uri="urn:schemas-microsoft-com:office:smarttags" w:element="PlaceType">
          <w:r w:rsidRPr="00E27443">
            <w:t>School</w:t>
          </w:r>
        </w:smartTag>
      </w:smartTag>
      <w:r w:rsidR="00C63F8F" w:rsidRPr="00E27443">
        <w:t xml:space="preserve"> </w:t>
      </w:r>
      <w:r w:rsidRPr="00E27443">
        <w:t>of</w:t>
      </w:r>
      <w:r w:rsidR="00C63F8F" w:rsidRPr="00E27443">
        <w:t xml:space="preserve"> </w:t>
      </w:r>
      <w:r w:rsidRPr="00E27443">
        <w:t>Sport</w:t>
      </w:r>
      <w:r w:rsidR="00C63F8F" w:rsidRPr="00E27443">
        <w:t xml:space="preserve"> </w:t>
      </w:r>
      <w:r w:rsidRPr="00E27443">
        <w:t>and</w:t>
      </w:r>
      <w:r w:rsidR="00C63F8F" w:rsidRPr="00E27443">
        <w:t xml:space="preserve"> </w:t>
      </w:r>
      <w:r w:rsidRPr="00E27443">
        <w:t>Health</w:t>
      </w:r>
      <w:r w:rsidR="00C63F8F" w:rsidRPr="00E27443">
        <w:t xml:space="preserve"> </w:t>
      </w:r>
      <w:r w:rsidRPr="00E27443">
        <w:t>Sciences</w:t>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follow</w:t>
      </w:r>
      <w:r w:rsidR="00C63F8F" w:rsidRPr="00E27443">
        <w:t xml:space="preserve"> </w:t>
      </w:r>
      <w:r w:rsidRPr="00E27443">
        <w:t>up</w:t>
      </w:r>
      <w:r w:rsidR="00C63F8F" w:rsidRPr="00E27443">
        <w:t xml:space="preserve"> </w:t>
      </w:r>
      <w:r w:rsidRPr="00E27443">
        <w:t>State</w:t>
      </w:r>
      <w:r w:rsidR="00C63F8F" w:rsidRPr="00E27443">
        <w:t xml:space="preserve"> </w:t>
      </w:r>
      <w:r w:rsidRPr="00E27443">
        <w:t>subsidies</w:t>
      </w:r>
      <w:r w:rsidR="00C63F8F" w:rsidRPr="00E27443">
        <w:t xml:space="preserve"> </w:t>
      </w:r>
      <w:r w:rsidRPr="00E27443">
        <w:t>to</w:t>
      </w:r>
      <w:r w:rsidR="00C63F8F" w:rsidRPr="00E27443">
        <w:t xml:space="preserve"> </w:t>
      </w:r>
      <w:r w:rsidRPr="00E27443">
        <w:t>sport.</w:t>
      </w:r>
      <w:r w:rsidR="00C63F8F" w:rsidRPr="00E27443">
        <w:t xml:space="preserve"> </w:t>
      </w:r>
      <w:r w:rsidRPr="00E27443">
        <w:t>One</w:t>
      </w:r>
      <w:r w:rsidR="00C63F8F" w:rsidRPr="00E27443">
        <w:t xml:space="preserve"> </w:t>
      </w:r>
      <w:r w:rsidRPr="00E27443">
        <w:t>indicator</w:t>
      </w:r>
      <w:r w:rsidR="00C63F8F" w:rsidRPr="00E27443">
        <w:t xml:space="preserve"> </w:t>
      </w:r>
      <w:r w:rsidRPr="00E27443">
        <w:t>that</w:t>
      </w:r>
      <w:r w:rsidR="00C63F8F" w:rsidRPr="00E27443">
        <w:t xml:space="preserve"> </w:t>
      </w:r>
      <w:r w:rsidRPr="00E27443">
        <w:t>has</w:t>
      </w:r>
      <w:r w:rsidR="00C63F8F" w:rsidRPr="00E27443">
        <w:t xml:space="preserve"> </w:t>
      </w:r>
      <w:r w:rsidRPr="00E27443">
        <w:t>been</w:t>
      </w:r>
      <w:r w:rsidR="00C63F8F" w:rsidRPr="00E27443">
        <w:t xml:space="preserve"> </w:t>
      </w:r>
      <w:r w:rsidRPr="00E27443">
        <w:t>devised</w:t>
      </w:r>
      <w:r w:rsidR="00C63F8F" w:rsidRPr="00E27443">
        <w:t xml:space="preserve"> </w:t>
      </w:r>
      <w:r w:rsidRPr="00E27443">
        <w:t>is</w:t>
      </w:r>
      <w:r w:rsidR="00C63F8F" w:rsidRPr="00E27443">
        <w:t xml:space="preserve"> </w:t>
      </w:r>
      <w:r w:rsidRPr="00E27443">
        <w:t>what</w:t>
      </w:r>
      <w:r w:rsidR="00C63F8F" w:rsidRPr="00E27443">
        <w:t xml:space="preserve"> </w:t>
      </w:r>
      <w:r w:rsidRPr="00E27443">
        <w:t>type</w:t>
      </w:r>
      <w:r w:rsidR="00C63F8F" w:rsidRPr="00E27443">
        <w:t xml:space="preserve"> </w:t>
      </w:r>
      <w:r w:rsidRPr="00E27443">
        <w:t>of</w:t>
      </w:r>
      <w:r w:rsidR="00C63F8F" w:rsidRPr="00E27443">
        <w:t xml:space="preserve"> </w:t>
      </w:r>
      <w:r w:rsidRPr="00E27443">
        <w:t>sports</w:t>
      </w:r>
      <w:r w:rsidR="00C63F8F" w:rsidRPr="00E27443">
        <w:t xml:space="preserve"> </w:t>
      </w:r>
      <w:r w:rsidRPr="00E27443">
        <w:t>facility</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visit</w:t>
      </w:r>
      <w:r w:rsidR="00C63F8F" w:rsidRPr="00E27443">
        <w:t xml:space="preserve"> </w:t>
      </w:r>
      <w:r w:rsidRPr="00E27443">
        <w:t>in</w:t>
      </w:r>
      <w:r w:rsidR="00C63F8F" w:rsidRPr="00E27443">
        <w:t xml:space="preserve"> </w:t>
      </w:r>
      <w:r w:rsidRPr="00E27443">
        <w:t>their</w:t>
      </w:r>
      <w:r w:rsidR="00C63F8F" w:rsidRPr="00E27443">
        <w:t xml:space="preserve"> </w:t>
      </w:r>
      <w:r w:rsidRPr="00E27443">
        <w:t>free</w:t>
      </w:r>
      <w:r w:rsidR="00C63F8F" w:rsidRPr="00E27443">
        <w:t xml:space="preserve"> </w:t>
      </w:r>
      <w:r w:rsidRPr="00E27443">
        <w:t>time.</w:t>
      </w:r>
      <w:r w:rsidR="00C63F8F" w:rsidRPr="00E27443">
        <w:t xml:space="preserve"> </w:t>
      </w:r>
      <w:r w:rsidRPr="00E27443">
        <w:t>This</w:t>
      </w:r>
      <w:r w:rsidR="00C63F8F" w:rsidRPr="00E27443">
        <w:t xml:space="preserve"> </w:t>
      </w:r>
      <w:r w:rsidRPr="00E27443">
        <w:t>is</w:t>
      </w:r>
      <w:r w:rsidR="00C63F8F" w:rsidRPr="00E27443">
        <w:t xml:space="preserve"> </w:t>
      </w:r>
      <w:r w:rsidRPr="00E27443">
        <w:t>reported</w:t>
      </w:r>
      <w:r w:rsidR="00C63F8F" w:rsidRPr="00E27443">
        <w:t xml:space="preserve"> </w:t>
      </w:r>
      <w:r w:rsidRPr="00E27443">
        <w:t>separately</w:t>
      </w:r>
      <w:r w:rsidR="00C63F8F" w:rsidRPr="00E27443">
        <w:t xml:space="preserve"> </w:t>
      </w:r>
      <w:r w:rsidRPr="00E27443">
        <w:t>with</w:t>
      </w:r>
      <w:r w:rsidR="00C63F8F" w:rsidRPr="00E27443">
        <w:t xml:space="preserve"> </w:t>
      </w:r>
      <w:r w:rsidRPr="00E27443">
        <w:t>regard</w:t>
      </w:r>
      <w:r w:rsidR="00C63F8F" w:rsidRPr="00E27443">
        <w:t xml:space="preserve"> </w:t>
      </w:r>
      <w:r w:rsidRPr="00E27443">
        <w:t>e.g.</w:t>
      </w:r>
      <w:r w:rsidR="00C63F8F" w:rsidRPr="00E27443">
        <w:t xml:space="preserve"> </w:t>
      </w:r>
      <w:r w:rsidRPr="00E27443">
        <w:t>to</w:t>
      </w:r>
      <w:r w:rsidR="00C63F8F" w:rsidRPr="00E27443">
        <w:t xml:space="preserve"> </w:t>
      </w:r>
      <w:r w:rsidRPr="00E27443">
        <w:t>gender,</w:t>
      </w:r>
      <w:r w:rsidR="00C63F8F" w:rsidRPr="00E27443">
        <w:t xml:space="preserve"> </w:t>
      </w:r>
      <w:r w:rsidRPr="00E27443">
        <w:t>age,</w:t>
      </w:r>
      <w:r w:rsidR="00C63F8F" w:rsidRPr="00E27443">
        <w:t xml:space="preserve"> </w:t>
      </w:r>
      <w:r w:rsidRPr="00E27443">
        <w:t>family,</w:t>
      </w:r>
      <w:r w:rsidR="00C63F8F" w:rsidRPr="00E27443">
        <w:t xml:space="preserve"> </w:t>
      </w:r>
      <w:r w:rsidRPr="00E27443">
        <w:t>socioecono</w:t>
      </w:r>
      <w:r w:rsidRPr="00E27443">
        <w:softHyphen/>
        <w:t>mics,</w:t>
      </w:r>
      <w:r w:rsidR="00C63F8F" w:rsidRPr="00E27443">
        <w:t xml:space="preserve"> </w:t>
      </w:r>
      <w:r w:rsidRPr="00E27443">
        <w:t>ethnicity,</w:t>
      </w:r>
      <w:r w:rsidR="00C63F8F" w:rsidRPr="00E27443">
        <w:t xml:space="preserve"> </w:t>
      </w:r>
      <w:r w:rsidRPr="00E27443">
        <w:t>disability,</w:t>
      </w:r>
      <w:r w:rsidR="00C63F8F" w:rsidRPr="00E27443">
        <w:t xml:space="preserve"> </w:t>
      </w:r>
      <w:r w:rsidRPr="00E27443">
        <w:t>etc.</w:t>
      </w:r>
    </w:p>
    <w:p w:rsidR="00321ADA" w:rsidRPr="00E27443" w:rsidRDefault="00321ADA" w:rsidP="009D7CEA">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Disability</w:t>
      </w:r>
      <w:r w:rsidR="00C63F8F" w:rsidRPr="00E27443">
        <w:t xml:space="preserve"> </w:t>
      </w:r>
      <w:r w:rsidRPr="00E27443">
        <w:t>Sports</w:t>
      </w:r>
      <w:r w:rsidR="00C63F8F" w:rsidRPr="00E27443">
        <w:t xml:space="preserve"> </w:t>
      </w:r>
      <w:r w:rsidRPr="00E27443">
        <w:t>Association</w:t>
      </w:r>
      <w:r w:rsidR="00C63F8F" w:rsidRPr="00E27443">
        <w:t xml:space="preserve"> </w:t>
      </w:r>
      <w:r w:rsidRPr="00E27443">
        <w:t>and</w:t>
      </w:r>
      <w:r w:rsidR="00C63F8F" w:rsidRPr="00E27443">
        <w:t xml:space="preserve"> </w:t>
      </w:r>
      <w:r w:rsidRPr="00E27443">
        <w:t>the</w:t>
      </w:r>
      <w:r w:rsidR="00C63F8F" w:rsidRPr="00E27443">
        <w:t xml:space="preserve"> </w:t>
      </w:r>
      <w:r w:rsidRPr="00E27443">
        <w:t>Swedish</w:t>
      </w:r>
      <w:r w:rsidR="00C63F8F" w:rsidRPr="00E27443">
        <w:t xml:space="preserve"> </w:t>
      </w:r>
      <w:r w:rsidRPr="00E27443">
        <w:t>Paralympic</w:t>
      </w:r>
      <w:r w:rsidR="00C63F8F" w:rsidRPr="00E27443">
        <w:t xml:space="preserve"> </w:t>
      </w:r>
      <w:r w:rsidRPr="00E27443">
        <w:t>Committee</w:t>
      </w:r>
      <w:r w:rsidR="00C63F8F" w:rsidRPr="00E27443">
        <w:t xml:space="preserve"> </w:t>
      </w:r>
      <w:r w:rsidRPr="00E27443">
        <w:t>(SHIF/SPK)</w:t>
      </w:r>
      <w:r w:rsidR="00C63F8F" w:rsidRPr="00E27443">
        <w:t xml:space="preserve"> </w:t>
      </w:r>
      <w:r w:rsidRPr="00E27443">
        <w:t>is</w:t>
      </w:r>
      <w:r w:rsidR="00C63F8F" w:rsidRPr="00E27443">
        <w:t xml:space="preserve"> </w:t>
      </w:r>
      <w:r w:rsidRPr="00E27443">
        <w:t>a</w:t>
      </w:r>
      <w:r w:rsidR="00C63F8F" w:rsidRPr="00E27443">
        <w:t xml:space="preserve"> </w:t>
      </w:r>
      <w:r w:rsidRPr="00E27443">
        <w:t>sports</w:t>
      </w:r>
      <w:r w:rsidR="00C63F8F" w:rsidRPr="00E27443">
        <w:t xml:space="preserve"> </w:t>
      </w:r>
      <w:r w:rsidRPr="00E27443">
        <w:t>association</w:t>
      </w:r>
      <w:r w:rsidR="00C63F8F" w:rsidRPr="00E27443">
        <w:t xml:space="preserve"> </w:t>
      </w:r>
      <w:r w:rsidRPr="00E27443">
        <w:t>that</w:t>
      </w:r>
      <w:r w:rsidR="00C63F8F" w:rsidRPr="00E27443">
        <w:t xml:space="preserve"> </w:t>
      </w:r>
      <w:r w:rsidRPr="00E27443">
        <w:t>organises</w:t>
      </w:r>
      <w:r w:rsidR="00C63F8F" w:rsidRPr="00E27443">
        <w:t xml:space="preserve"> </w:t>
      </w:r>
      <w:r w:rsidRPr="00E27443">
        <w:t>sport</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impaired</w:t>
      </w:r>
      <w:r w:rsidR="00C63F8F" w:rsidRPr="00E27443">
        <w:t xml:space="preserve"> </w:t>
      </w:r>
      <w:r w:rsidRPr="00E27443">
        <w:t>vision</w:t>
      </w:r>
      <w:r w:rsidR="00C63F8F" w:rsidRPr="00E27443">
        <w:t xml:space="preserve"> </w:t>
      </w:r>
      <w:r w:rsidRPr="00E27443">
        <w:t>and</w:t>
      </w:r>
      <w:r w:rsidR="00C63F8F" w:rsidRPr="00E27443">
        <w:t xml:space="preserve"> </w:t>
      </w:r>
      <w:r w:rsidRPr="00E27443">
        <w:t>developmental</w:t>
      </w:r>
      <w:r w:rsidR="00C63F8F" w:rsidRPr="00E27443">
        <w:t xml:space="preserve"> </w:t>
      </w:r>
      <w:r w:rsidRPr="00E27443">
        <w:t>disabilities</w:t>
      </w:r>
      <w:r w:rsidR="00C63F8F" w:rsidRPr="00E27443">
        <w:t xml:space="preserve"> </w:t>
      </w:r>
      <w:r w:rsidRPr="00E27443">
        <w:t>within</w:t>
      </w:r>
      <w:r w:rsidR="00C63F8F" w:rsidRPr="00E27443">
        <w:t xml:space="preserve"> </w:t>
      </w:r>
      <w:r w:rsidRPr="00E27443">
        <w:t>18</w:t>
      </w:r>
      <w:r w:rsidR="00C63F8F" w:rsidRPr="00E27443">
        <w:t xml:space="preserve"> </w:t>
      </w:r>
      <w:r w:rsidRPr="00E27443">
        <w:t>different</w:t>
      </w:r>
      <w:r w:rsidR="00C63F8F" w:rsidRPr="00E27443">
        <w:t xml:space="preserve"> </w:t>
      </w:r>
      <w:r w:rsidRPr="00E27443">
        <w:t>sports.</w:t>
      </w:r>
      <w:r w:rsidR="00C63F8F" w:rsidRPr="00E27443">
        <w:t xml:space="preserve"> </w:t>
      </w:r>
      <w:r w:rsidRPr="00E27443">
        <w:t>The</w:t>
      </w:r>
      <w:r w:rsidR="00C63F8F" w:rsidRPr="00E27443">
        <w:t xml:space="preserve"> </w:t>
      </w:r>
      <w:r w:rsidRPr="00E27443">
        <w:t>Association</w:t>
      </w:r>
      <w:r w:rsidR="00C63F8F" w:rsidRPr="00E27443">
        <w:t xml:space="preserve"> </w:t>
      </w:r>
      <w:r w:rsidRPr="00E27443">
        <w:t>was</w:t>
      </w:r>
      <w:r w:rsidR="00C63F8F" w:rsidRPr="00E27443">
        <w:t xml:space="preserve"> </w:t>
      </w:r>
      <w:r w:rsidRPr="00E27443">
        <w:t>formed</w:t>
      </w:r>
      <w:r w:rsidR="00C63F8F" w:rsidRPr="00E27443">
        <w:t xml:space="preserve"> </w:t>
      </w:r>
      <w:r w:rsidRPr="00E27443">
        <w:t>in</w:t>
      </w:r>
      <w:r w:rsidR="00C63F8F" w:rsidRPr="00E27443">
        <w:t xml:space="preserve"> </w:t>
      </w:r>
      <w:r w:rsidRPr="00E27443">
        <w:t>1969</w:t>
      </w:r>
      <w:r w:rsidR="00C63F8F" w:rsidRPr="00E27443">
        <w:t xml:space="preserve"> </w:t>
      </w:r>
      <w:r w:rsidRPr="00E27443">
        <w:t>and</w:t>
      </w:r>
      <w:r w:rsidR="00C63F8F" w:rsidRPr="00E27443">
        <w:t xml:space="preserve"> </w:t>
      </w:r>
      <w:r w:rsidRPr="00E27443">
        <w:t>became</w:t>
      </w:r>
      <w:r w:rsidR="00C63F8F" w:rsidRPr="00E27443">
        <w:t xml:space="preserve"> </w:t>
      </w:r>
      <w:r w:rsidRPr="00E27443">
        <w:t>a</w:t>
      </w:r>
      <w:r w:rsidR="00C63F8F" w:rsidRPr="00E27443">
        <w:t xml:space="preserve"> </w:t>
      </w:r>
      <w:r w:rsidRPr="00E27443">
        <w:t>member</w:t>
      </w:r>
      <w:r w:rsidR="00C63F8F" w:rsidRPr="00E27443">
        <w:t xml:space="preserve"> </w:t>
      </w:r>
      <w:r w:rsidRPr="00E27443">
        <w:t>of</w:t>
      </w:r>
      <w:r w:rsidR="00C63F8F" w:rsidRPr="00E27443">
        <w:t xml:space="preserve"> </w:t>
      </w:r>
      <w:r w:rsidRPr="00E27443">
        <w:t>the</w:t>
      </w:r>
      <w:r w:rsidR="00C63F8F" w:rsidRPr="00E27443">
        <w:t xml:space="preserve"> </w:t>
      </w:r>
      <w:r w:rsidRPr="00E27443">
        <w:t>Swedish</w:t>
      </w:r>
      <w:r w:rsidR="00C63F8F" w:rsidRPr="00E27443">
        <w:t xml:space="preserve"> </w:t>
      </w:r>
      <w:r w:rsidRPr="00E27443">
        <w:t>Sports</w:t>
      </w:r>
      <w:r w:rsidR="00C63F8F" w:rsidRPr="00E27443">
        <w:t xml:space="preserve"> </w:t>
      </w:r>
      <w:r w:rsidRPr="00E27443">
        <w:t>Confederation</w:t>
      </w:r>
      <w:r w:rsidR="00C63F8F" w:rsidRPr="00E27443">
        <w:t xml:space="preserve"> </w:t>
      </w:r>
      <w:r w:rsidRPr="00E27443">
        <w:t>(RF).</w:t>
      </w:r>
      <w:r w:rsidR="00C63F8F" w:rsidRPr="00E27443">
        <w:t xml:space="preserve"> </w:t>
      </w:r>
      <w:r w:rsidRPr="00E27443">
        <w:t>The</w:t>
      </w:r>
      <w:r w:rsidR="00C63F8F" w:rsidRPr="00E27443">
        <w:t xml:space="preserve"> </w:t>
      </w:r>
      <w:r w:rsidRPr="00E27443">
        <w:t>Confederation</w:t>
      </w:r>
      <w:r w:rsidR="00C63F8F" w:rsidRPr="00E27443">
        <w:t xml:space="preserve"> </w:t>
      </w:r>
      <w:r w:rsidRPr="00E27443">
        <w:t>has</w:t>
      </w:r>
      <w:r w:rsidR="00C63F8F" w:rsidRPr="00E27443">
        <w:t xml:space="preserve"> </w:t>
      </w:r>
      <w:r w:rsidRPr="00E27443">
        <w:t>approximately</w:t>
      </w:r>
      <w:r w:rsidR="00C63F8F" w:rsidRPr="00E27443">
        <w:t xml:space="preserve"> </w:t>
      </w:r>
      <w:r w:rsidRPr="00E27443">
        <w:t>480</w:t>
      </w:r>
      <w:r w:rsidR="00C63F8F" w:rsidRPr="00E27443">
        <w:t xml:space="preserve"> </w:t>
      </w:r>
      <w:r w:rsidRPr="00E27443">
        <w:t>affiliated</w:t>
      </w:r>
      <w:r w:rsidR="00C63F8F" w:rsidRPr="00E27443">
        <w:t xml:space="preserve"> </w:t>
      </w:r>
      <w:r w:rsidRPr="00E27443">
        <w:t>associations,</w:t>
      </w:r>
      <w:r w:rsidR="00C63F8F" w:rsidRPr="00E27443">
        <w:t xml:space="preserve"> </w:t>
      </w:r>
      <w:r w:rsidRPr="00E27443">
        <w:t>21</w:t>
      </w:r>
      <w:r w:rsidR="00C63F8F" w:rsidRPr="00E27443">
        <w:t xml:space="preserve"> </w:t>
      </w:r>
      <w:r w:rsidRPr="00E27443">
        <w:t>specialised</w:t>
      </w:r>
      <w:r w:rsidR="00C63F8F" w:rsidRPr="00E27443">
        <w:t xml:space="preserve"> </w:t>
      </w:r>
      <w:r w:rsidRPr="00E27443">
        <w:t>sports</w:t>
      </w:r>
      <w:r w:rsidR="00C63F8F" w:rsidRPr="00E27443">
        <w:t xml:space="preserve"> </w:t>
      </w:r>
      <w:r w:rsidRPr="00E27443">
        <w:t>federations</w:t>
      </w:r>
      <w:r w:rsidR="00C63F8F" w:rsidRPr="00E27443">
        <w:t xml:space="preserve"> </w:t>
      </w:r>
      <w:r w:rsidRPr="00E27443">
        <w:t>and</w:t>
      </w:r>
      <w:r w:rsidR="00C63F8F" w:rsidRPr="00E27443">
        <w:t xml:space="preserve"> </w:t>
      </w:r>
      <w:r w:rsidRPr="00E27443">
        <w:t>approximately</w:t>
      </w:r>
      <w:r w:rsidR="00C63F8F" w:rsidRPr="00E27443">
        <w:t xml:space="preserve"> </w:t>
      </w:r>
      <w:r w:rsidRPr="00E27443">
        <w:t>37,000</w:t>
      </w:r>
      <w:r w:rsidR="00C63F8F" w:rsidRPr="00E27443">
        <w:t xml:space="preserve"> </w:t>
      </w:r>
      <w:r w:rsidRPr="00E27443">
        <w:t>members,</w:t>
      </w:r>
      <w:r w:rsidR="00C63F8F" w:rsidRPr="00E27443">
        <w:t xml:space="preserve"> </w:t>
      </w:r>
      <w:r w:rsidRPr="00E27443">
        <w:t>of</w:t>
      </w:r>
      <w:r w:rsidR="00C63F8F" w:rsidRPr="00E27443">
        <w:t xml:space="preserve"> </w:t>
      </w:r>
      <w:r w:rsidRPr="00E27443">
        <w:t>whom</w:t>
      </w:r>
      <w:r w:rsidR="00C63F8F" w:rsidRPr="00E27443">
        <w:t xml:space="preserve"> </w:t>
      </w:r>
      <w:r w:rsidRPr="00E27443">
        <w:t>around</w:t>
      </w:r>
      <w:r w:rsidR="00C63F8F" w:rsidRPr="00E27443">
        <w:t xml:space="preserve"> </w:t>
      </w:r>
      <w:r w:rsidRPr="00E27443">
        <w:t>20,000</w:t>
      </w:r>
      <w:r w:rsidR="00C63F8F" w:rsidRPr="00E27443">
        <w:t xml:space="preserve"> </w:t>
      </w:r>
      <w:r w:rsidRPr="00E27443">
        <w:t>are</w:t>
      </w:r>
      <w:r w:rsidR="00C63F8F" w:rsidRPr="00E27443">
        <w:t xml:space="preserve"> </w:t>
      </w:r>
      <w:r w:rsidRPr="00E27443">
        <w:t>active.</w:t>
      </w:r>
      <w:r w:rsidR="00C63F8F" w:rsidRPr="00E27443">
        <w:t xml:space="preserve"> </w:t>
      </w:r>
      <w:r w:rsidRPr="00E27443">
        <w:t>The</w:t>
      </w:r>
      <w:r w:rsidR="00C63F8F" w:rsidRPr="00E27443">
        <w:t xml:space="preserve"> </w:t>
      </w:r>
      <w:r w:rsidRPr="00E27443">
        <w:t>Swedish</w:t>
      </w:r>
      <w:r w:rsidR="00C63F8F" w:rsidRPr="00E27443">
        <w:t xml:space="preserve"> </w:t>
      </w:r>
      <w:r w:rsidRPr="00E27443">
        <w:t>Deaf</w:t>
      </w:r>
      <w:r w:rsidR="00C63F8F" w:rsidRPr="00E27443">
        <w:t xml:space="preserve"> </w:t>
      </w:r>
      <w:r w:rsidRPr="00E27443">
        <w:t>Sports</w:t>
      </w:r>
      <w:r w:rsidR="00C63F8F" w:rsidRPr="00E27443">
        <w:t xml:space="preserve"> </w:t>
      </w:r>
      <w:r w:rsidRPr="00E27443">
        <w:t>Federation</w:t>
      </w:r>
      <w:r w:rsidR="00C63F8F" w:rsidRPr="00E27443">
        <w:t xml:space="preserve"> </w:t>
      </w:r>
      <w:r w:rsidRPr="00E27443">
        <w:t>organises</w:t>
      </w:r>
      <w:r w:rsidR="00C63F8F" w:rsidRPr="00E27443">
        <w:t xml:space="preserve"> </w:t>
      </w:r>
      <w:r w:rsidRPr="00E27443">
        <w:t>sports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who</w:t>
      </w:r>
      <w:r w:rsidR="00C63F8F" w:rsidRPr="00E27443">
        <w:t xml:space="preserve"> </w:t>
      </w:r>
      <w:r w:rsidRPr="00E27443">
        <w:t>are</w:t>
      </w:r>
      <w:r w:rsidR="00C63F8F" w:rsidRPr="00E27443">
        <w:t xml:space="preserve"> </w:t>
      </w:r>
      <w:r w:rsidRPr="00E27443">
        <w:t>deaf</w:t>
      </w:r>
      <w:r w:rsidR="00C63F8F" w:rsidRPr="00E27443">
        <w:t xml:space="preserve"> </w:t>
      </w:r>
      <w:r w:rsidRPr="00E27443">
        <w:t>and</w:t>
      </w:r>
      <w:r w:rsidR="00C63F8F" w:rsidRPr="00E27443">
        <w:t xml:space="preserve"> </w:t>
      </w:r>
      <w:r w:rsidRPr="00E27443">
        <w:t>hearing</w:t>
      </w:r>
      <w:r w:rsidR="00C63F8F" w:rsidRPr="00E27443">
        <w:t xml:space="preserve"> </w:t>
      </w:r>
      <w:r w:rsidRPr="00E27443">
        <w:t>impaired.</w:t>
      </w:r>
      <w:r w:rsidR="00C63F8F" w:rsidRPr="00E27443">
        <w:t xml:space="preserve"> </w:t>
      </w:r>
      <w:r w:rsidRPr="00E27443">
        <w:t>The</w:t>
      </w:r>
      <w:r w:rsidR="00C63F8F" w:rsidRPr="00E27443">
        <w:t xml:space="preserve"> </w:t>
      </w:r>
      <w:r w:rsidRPr="00E27443">
        <w:t>Federation</w:t>
      </w:r>
      <w:r w:rsidR="00C63F8F" w:rsidRPr="00E27443">
        <w:t xml:space="preserve"> </w:t>
      </w:r>
      <w:r w:rsidRPr="00E27443">
        <w:t>was</w:t>
      </w:r>
      <w:r w:rsidR="00C63F8F" w:rsidRPr="00E27443">
        <w:t xml:space="preserve"> </w:t>
      </w:r>
      <w:r w:rsidRPr="00E27443">
        <w:t>founded</w:t>
      </w:r>
      <w:r w:rsidR="00C63F8F" w:rsidRPr="00E27443">
        <w:t xml:space="preserve"> </w:t>
      </w:r>
      <w:r w:rsidRPr="00E27443">
        <w:t>in</w:t>
      </w:r>
      <w:r w:rsidR="00C63F8F" w:rsidRPr="00E27443">
        <w:t xml:space="preserve"> </w:t>
      </w:r>
      <w:r w:rsidRPr="00E27443">
        <w:t>1913</w:t>
      </w:r>
      <w:r w:rsidR="00C63F8F" w:rsidRPr="00E27443">
        <w:t xml:space="preserve"> </w:t>
      </w:r>
      <w:r w:rsidRPr="00E27443">
        <w:t>and</w:t>
      </w:r>
      <w:r w:rsidR="00C63F8F" w:rsidRPr="00E27443">
        <w:t xml:space="preserve"> </w:t>
      </w:r>
      <w:r w:rsidRPr="00E27443">
        <w:t>was</w:t>
      </w:r>
      <w:r w:rsidR="00C63F8F" w:rsidRPr="00E27443">
        <w:t xml:space="preserve"> </w:t>
      </w:r>
      <w:r w:rsidRPr="00E27443">
        <w:t>elected</w:t>
      </w:r>
      <w:r w:rsidR="00C63F8F" w:rsidRPr="00E27443">
        <w:t xml:space="preserve"> </w:t>
      </w:r>
      <w:r w:rsidRPr="00E27443">
        <w:t>to</w:t>
      </w:r>
      <w:r w:rsidR="00C63F8F" w:rsidRPr="00E27443">
        <w:t xml:space="preserve"> </w:t>
      </w:r>
      <w:r w:rsidRPr="00E27443">
        <w:t>the</w:t>
      </w:r>
      <w:r w:rsidR="00C63F8F" w:rsidRPr="00E27443">
        <w:t xml:space="preserve"> </w:t>
      </w:r>
      <w:r w:rsidRPr="00E27443">
        <w:t>Swedish</w:t>
      </w:r>
      <w:r w:rsidR="00C63F8F" w:rsidRPr="00E27443">
        <w:t xml:space="preserve"> </w:t>
      </w:r>
      <w:r w:rsidRPr="00E27443">
        <w:t>Sports</w:t>
      </w:r>
      <w:r w:rsidR="00C63F8F" w:rsidRPr="00E27443">
        <w:t xml:space="preserve"> </w:t>
      </w:r>
      <w:r w:rsidRPr="00E27443">
        <w:t>Confederation</w:t>
      </w:r>
      <w:r w:rsidR="00C63F8F" w:rsidRPr="00E27443">
        <w:t xml:space="preserve"> </w:t>
      </w:r>
      <w:r w:rsidRPr="00E27443">
        <w:t>in</w:t>
      </w:r>
      <w:r w:rsidR="00C63F8F" w:rsidRPr="00E27443">
        <w:t xml:space="preserve"> </w:t>
      </w:r>
      <w:r w:rsidRPr="00E27443">
        <w:t>1995.</w:t>
      </w:r>
      <w:r w:rsidR="00C63F8F" w:rsidRPr="00E27443">
        <w:t xml:space="preserve"> </w:t>
      </w:r>
      <w:r w:rsidRPr="00E27443">
        <w:t>The</w:t>
      </w:r>
      <w:r w:rsidR="00C63F8F" w:rsidRPr="00E27443">
        <w:t xml:space="preserve"> </w:t>
      </w:r>
      <w:r w:rsidRPr="00E27443">
        <w:t>Federation</w:t>
      </w:r>
      <w:r w:rsidR="00C63F8F" w:rsidRPr="00E27443">
        <w:t xml:space="preserve"> </w:t>
      </w:r>
      <w:r w:rsidRPr="00E27443">
        <w:t>has</w:t>
      </w:r>
      <w:r w:rsidR="00C63F8F" w:rsidRPr="00E27443">
        <w:t xml:space="preserve"> </w:t>
      </w:r>
      <w:r w:rsidRPr="00E27443">
        <w:t>38</w:t>
      </w:r>
      <w:r w:rsidR="00C63F8F" w:rsidRPr="00E27443">
        <w:t xml:space="preserve"> </w:t>
      </w:r>
      <w:r w:rsidRPr="00E27443">
        <w:t>local</w:t>
      </w:r>
      <w:r w:rsidR="00C63F8F" w:rsidRPr="00E27443">
        <w:t xml:space="preserve"> </w:t>
      </w:r>
      <w:r w:rsidRPr="00E27443">
        <w:t>associations</w:t>
      </w:r>
      <w:r w:rsidR="00C63F8F" w:rsidRPr="00E27443">
        <w:t xml:space="preserve"> </w:t>
      </w:r>
      <w:r w:rsidRPr="00E27443">
        <w:t>with</w:t>
      </w:r>
      <w:r w:rsidR="00C63F8F" w:rsidRPr="00E27443">
        <w:t xml:space="preserve"> </w:t>
      </w:r>
      <w:r w:rsidRPr="00E27443">
        <w:t>5,500</w:t>
      </w:r>
      <w:r w:rsidR="00C63F8F" w:rsidRPr="00E27443">
        <w:t xml:space="preserve"> </w:t>
      </w:r>
      <w:r w:rsidRPr="00E27443">
        <w:t>members.</w:t>
      </w:r>
    </w:p>
    <w:p w:rsidR="00321ADA" w:rsidRPr="00E27443" w:rsidRDefault="00321ADA" w:rsidP="009D7CEA">
      <w:pPr>
        <w:pStyle w:val="SingleTxtG"/>
        <w:numPr>
          <w:ilvl w:val="0"/>
          <w:numId w:val="20"/>
        </w:numPr>
        <w:tabs>
          <w:tab w:val="left" w:pos="1843"/>
        </w:tabs>
        <w:ind w:left="1134" w:firstLine="0"/>
      </w:pPr>
      <w:r w:rsidRPr="00E27443">
        <w:t>Prior</w:t>
      </w:r>
      <w:r w:rsidR="00C63F8F" w:rsidRPr="00E27443">
        <w:t xml:space="preserve"> </w:t>
      </w:r>
      <w:r w:rsidRPr="00E27443">
        <w:t>to</w:t>
      </w:r>
      <w:r w:rsidR="00C63F8F" w:rsidRPr="00E27443">
        <w:t xml:space="preserve"> </w:t>
      </w:r>
      <w:r w:rsidRPr="00E27443">
        <w:t>the</w:t>
      </w:r>
      <w:r w:rsidR="00C63F8F" w:rsidRPr="00E27443">
        <w:t xml:space="preserve"> </w:t>
      </w:r>
      <w:r w:rsidRPr="00E27443">
        <w:t>start</w:t>
      </w:r>
      <w:r w:rsidR="00C63F8F" w:rsidRPr="00E27443">
        <w:t xml:space="preserve"> </w:t>
      </w:r>
      <w:r w:rsidRPr="00E27443">
        <w:t>of</w:t>
      </w:r>
      <w:r w:rsidR="00C63F8F" w:rsidRPr="00E27443">
        <w:t xml:space="preserve"> </w:t>
      </w:r>
      <w:r w:rsidRPr="00E27443">
        <w:t>1999,</w:t>
      </w:r>
      <w:r w:rsidR="00C63F8F" w:rsidRPr="00E27443">
        <w:t xml:space="preserve"> </w:t>
      </w:r>
      <w:r w:rsidRPr="00E27443">
        <w:t>the</w:t>
      </w:r>
      <w:r w:rsidR="00C63F8F" w:rsidRPr="00E27443">
        <w:t xml:space="preserve"> </w:t>
      </w:r>
      <w:r w:rsidRPr="00E27443">
        <w:t>Swedish</w:t>
      </w:r>
      <w:r w:rsidR="00C63F8F" w:rsidRPr="00E27443">
        <w:t xml:space="preserve"> </w:t>
      </w:r>
      <w:r w:rsidRPr="00E27443">
        <w:t>Sports</w:t>
      </w:r>
      <w:r w:rsidR="00C63F8F" w:rsidRPr="00E27443">
        <w:t xml:space="preserve"> </w:t>
      </w:r>
      <w:r w:rsidRPr="00E27443">
        <w:t>Gala</w:t>
      </w:r>
      <w:r w:rsidR="00C63F8F" w:rsidRPr="00E27443">
        <w:t xml:space="preserve"> </w:t>
      </w:r>
      <w:r w:rsidRPr="00E27443">
        <w:t>established</w:t>
      </w:r>
      <w:r w:rsidR="00C63F8F" w:rsidRPr="00E27443">
        <w:t xml:space="preserve"> </w:t>
      </w:r>
      <w:r w:rsidRPr="00E27443">
        <w:t>the</w:t>
      </w:r>
      <w:r w:rsidR="00C63F8F" w:rsidRPr="00E27443">
        <w:t xml:space="preserve"> </w:t>
      </w:r>
      <w:r w:rsidRPr="00E27443">
        <w:t>Swedish</w:t>
      </w:r>
      <w:r w:rsidR="00C63F8F" w:rsidRPr="00E27443">
        <w:t xml:space="preserve"> </w:t>
      </w:r>
      <w:r w:rsidRPr="00E27443">
        <w:t>Sports</w:t>
      </w:r>
      <w:r w:rsidR="00C63F8F" w:rsidRPr="00E27443">
        <w:t xml:space="preserve"> </w:t>
      </w:r>
      <w:r w:rsidRPr="00E27443">
        <w:t>Academy</w:t>
      </w:r>
      <w:r w:rsidR="00285D49" w:rsidRPr="009D7CEA">
        <w:footnoteReference w:id="148"/>
      </w:r>
      <w:r w:rsidR="00C63F8F" w:rsidRPr="00E27443">
        <w:t xml:space="preserve"> </w:t>
      </w:r>
      <w:r w:rsidRPr="00E27443">
        <w:t>to</w:t>
      </w:r>
      <w:r w:rsidR="00C63F8F" w:rsidRPr="00E27443">
        <w:t xml:space="preserve"> </w:t>
      </w:r>
      <w:r w:rsidRPr="00E27443">
        <w:t>provide</w:t>
      </w:r>
      <w:r w:rsidR="00C63F8F" w:rsidRPr="00E27443">
        <w:t xml:space="preserve"> </w:t>
      </w:r>
      <w:r w:rsidRPr="00E27443">
        <w:t>the</w:t>
      </w:r>
      <w:r w:rsidR="00C63F8F" w:rsidRPr="00E27443">
        <w:t xml:space="preserve"> </w:t>
      </w:r>
      <w:r w:rsidRPr="00E27443">
        <w:t>Gala</w:t>
      </w:r>
      <w:r w:rsidR="00C63F8F" w:rsidRPr="00E27443">
        <w:t xml:space="preserve"> </w:t>
      </w:r>
      <w:r w:rsidRPr="00E27443">
        <w:t>with</w:t>
      </w:r>
      <w:r w:rsidR="00C63F8F" w:rsidRPr="00E27443">
        <w:t xml:space="preserve"> </w:t>
      </w:r>
      <w:r w:rsidRPr="00E27443">
        <w:t>a</w:t>
      </w:r>
      <w:r w:rsidR="00C63F8F" w:rsidRPr="00E27443">
        <w:t xml:space="preserve"> </w:t>
      </w:r>
      <w:r w:rsidRPr="00E27443">
        <w:t>broad</w:t>
      </w:r>
      <w:r w:rsidR="00C63F8F" w:rsidRPr="00E27443">
        <w:t xml:space="preserve"> </w:t>
      </w:r>
      <w:r w:rsidRPr="00E27443">
        <w:t>non-profit</w:t>
      </w:r>
      <w:r w:rsidR="00C63F8F" w:rsidRPr="00E27443">
        <w:t xml:space="preserve"> </w:t>
      </w:r>
      <w:r w:rsidRPr="00E27443">
        <w:t>base,</w:t>
      </w:r>
      <w:r w:rsidR="00C63F8F" w:rsidRPr="00E27443">
        <w:t xml:space="preserve"> </w:t>
      </w:r>
      <w:r w:rsidRPr="00E27443">
        <w:t>to</w:t>
      </w:r>
      <w:r w:rsidR="00C63F8F" w:rsidRPr="00E27443">
        <w:t xml:space="preserve"> </w:t>
      </w:r>
      <w:r w:rsidRPr="00E27443">
        <w:t>establish</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prizes</w:t>
      </w:r>
      <w:r w:rsidR="00C63F8F" w:rsidRPr="00E27443">
        <w:t xml:space="preserve"> </w:t>
      </w:r>
      <w:r w:rsidRPr="00E27443">
        <w:t>to</w:t>
      </w:r>
      <w:r w:rsidR="00C63F8F" w:rsidRPr="00E27443">
        <w:t xml:space="preserve"> </w:t>
      </w:r>
      <w:r w:rsidRPr="00E27443">
        <w:t>be</w:t>
      </w:r>
      <w:r w:rsidR="00C63F8F" w:rsidRPr="00E27443">
        <w:t xml:space="preserve"> </w:t>
      </w:r>
      <w:r w:rsidRPr="00E27443">
        <w:t>awarded</w:t>
      </w:r>
      <w:r w:rsidR="00C63F8F" w:rsidRPr="00E27443">
        <w:t xml:space="preserve"> </w:t>
      </w:r>
      <w:r w:rsidRPr="00E27443">
        <w:t>annually</w:t>
      </w:r>
      <w:r w:rsidR="00C63F8F" w:rsidRPr="00E27443">
        <w:t xml:space="preserve"> </w:t>
      </w:r>
      <w:r w:rsidRPr="00E27443">
        <w:t>at</w:t>
      </w:r>
      <w:r w:rsidR="00C63F8F" w:rsidRPr="00E27443">
        <w:t xml:space="preserve"> </w:t>
      </w:r>
      <w:r w:rsidRPr="00E27443">
        <w:t>the</w:t>
      </w:r>
      <w:r w:rsidR="00C63F8F" w:rsidRPr="00E27443">
        <w:t xml:space="preserve"> </w:t>
      </w:r>
      <w:r w:rsidRPr="00E27443">
        <w:t>Sports</w:t>
      </w:r>
      <w:r w:rsidR="00C63F8F" w:rsidRPr="00E27443">
        <w:t xml:space="preserve"> </w:t>
      </w:r>
      <w:r w:rsidRPr="00E27443">
        <w:t>Gala,</w:t>
      </w:r>
      <w:r w:rsidR="00C63F8F" w:rsidRPr="00E27443">
        <w:t xml:space="preserve"> </w:t>
      </w:r>
      <w:r w:rsidRPr="00E27443">
        <w:t>including</w:t>
      </w:r>
      <w:r w:rsidR="00C63F8F" w:rsidRPr="00E27443">
        <w:t xml:space="preserve"> </w:t>
      </w:r>
      <w:r w:rsidRPr="00E27443">
        <w:t>a</w:t>
      </w:r>
      <w:r w:rsidR="00C63F8F" w:rsidRPr="00E27443">
        <w:t xml:space="preserve"> </w:t>
      </w:r>
      <w:r w:rsidRPr="00E27443">
        <w:t>prize</w:t>
      </w:r>
      <w:r w:rsidR="00C63F8F" w:rsidRPr="00E27443">
        <w:t xml:space="preserve"> </w:t>
      </w:r>
      <w:r w:rsidRPr="00E27443">
        <w:t>for</w:t>
      </w:r>
      <w:r w:rsidR="00C63F8F" w:rsidRPr="00E27443">
        <w:t xml:space="preserve"> </w:t>
      </w:r>
      <w:r w:rsidRPr="00E27443">
        <w:t>the</w:t>
      </w:r>
      <w:r w:rsidR="00C63F8F" w:rsidRPr="00E27443">
        <w:t xml:space="preserve"> </w:t>
      </w:r>
      <w:r w:rsidRPr="00E27443">
        <w:t>disabled</w:t>
      </w:r>
      <w:r w:rsidR="00C63F8F" w:rsidRPr="00E27443">
        <w:t xml:space="preserve"> </w:t>
      </w:r>
      <w:r w:rsidRPr="00E27443">
        <w:t>sportsperson</w:t>
      </w:r>
      <w:r w:rsidR="00C63F8F" w:rsidRPr="00E27443">
        <w:t xml:space="preserve"> </w:t>
      </w:r>
      <w:r w:rsidRPr="00E27443">
        <w:t>of</w:t>
      </w:r>
      <w:r w:rsidR="00C63F8F" w:rsidRPr="00E27443">
        <w:t xml:space="preserve"> </w:t>
      </w:r>
      <w:r w:rsidRPr="00E27443">
        <w:t>the</w:t>
      </w:r>
      <w:r w:rsidR="00C63F8F" w:rsidRPr="00E27443">
        <w:t xml:space="preserve"> </w:t>
      </w:r>
      <w:r w:rsidRPr="00E27443">
        <w:t>year,</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to</w:t>
      </w:r>
      <w:r w:rsidR="00C63F8F" w:rsidRPr="00E27443">
        <w:t xml:space="preserve"> </w:t>
      </w:r>
      <w:r w:rsidRPr="00E27443">
        <w:t>develop</w:t>
      </w:r>
      <w:r w:rsidR="00C63F8F" w:rsidRPr="00E27443">
        <w:t xml:space="preserve"> </w:t>
      </w:r>
      <w:r w:rsidRPr="00E27443">
        <w:t>and</w:t>
      </w:r>
      <w:r w:rsidR="00C63F8F" w:rsidRPr="00E27443">
        <w:t xml:space="preserve"> </w:t>
      </w:r>
      <w:r w:rsidRPr="00E27443">
        <w:t>manage</w:t>
      </w:r>
      <w:r w:rsidR="00C63F8F" w:rsidRPr="00E27443">
        <w:t xml:space="preserve"> </w:t>
      </w:r>
      <w:r w:rsidRPr="00E27443">
        <w:t>the</w:t>
      </w:r>
      <w:r w:rsidR="00C63F8F" w:rsidRPr="00E27443">
        <w:t xml:space="preserve"> </w:t>
      </w:r>
      <w:r w:rsidRPr="00E27443">
        <w:t>nomination</w:t>
      </w:r>
      <w:r w:rsidR="00C63F8F" w:rsidRPr="00E27443">
        <w:t xml:space="preserve"> </w:t>
      </w:r>
      <w:r w:rsidRPr="00E27443">
        <w:t>and</w:t>
      </w:r>
      <w:r w:rsidR="00C63F8F" w:rsidRPr="00E27443">
        <w:t xml:space="preserve"> </w:t>
      </w:r>
      <w:r w:rsidRPr="00E27443">
        <w:t>voting</w:t>
      </w:r>
      <w:r w:rsidR="00C63F8F" w:rsidRPr="00E27443">
        <w:t xml:space="preserve"> </w:t>
      </w:r>
      <w:r w:rsidRPr="00E27443">
        <w:t>process</w:t>
      </w:r>
      <w:r w:rsidR="00C63F8F" w:rsidRPr="00E27443">
        <w:t xml:space="preserve"> </w:t>
      </w:r>
      <w:r w:rsidRPr="00E27443">
        <w:t>preceding</w:t>
      </w:r>
      <w:r w:rsidR="00C63F8F" w:rsidRPr="00E27443">
        <w:t xml:space="preserve"> </w:t>
      </w:r>
      <w:r w:rsidRPr="00E27443">
        <w:t>the</w:t>
      </w:r>
      <w:r w:rsidR="00C63F8F" w:rsidRPr="00E27443">
        <w:t xml:space="preserve"> </w:t>
      </w:r>
      <w:r w:rsidRPr="00E27443">
        <w:t>awarding</w:t>
      </w:r>
      <w:r w:rsidR="00C63F8F" w:rsidRPr="00E27443">
        <w:t xml:space="preserve"> </w:t>
      </w:r>
      <w:r w:rsidRPr="00E27443">
        <w:t>of</w:t>
      </w:r>
      <w:r w:rsidR="00C63F8F" w:rsidRPr="00E27443">
        <w:t xml:space="preserve"> </w:t>
      </w:r>
      <w:r w:rsidRPr="00E27443">
        <w:t>prizes.</w:t>
      </w:r>
      <w:r w:rsidR="00C63F8F" w:rsidRPr="00E27443">
        <w:t xml:space="preserve"> </w:t>
      </w:r>
    </w:p>
    <w:p w:rsidR="00321ADA" w:rsidRPr="00E27443" w:rsidRDefault="00321ADA" w:rsidP="009D7CEA">
      <w:pPr>
        <w:pStyle w:val="SingleTxtG"/>
        <w:numPr>
          <w:ilvl w:val="0"/>
          <w:numId w:val="20"/>
        </w:numPr>
        <w:tabs>
          <w:tab w:val="left" w:pos="1843"/>
        </w:tabs>
        <w:ind w:left="1134" w:firstLine="0"/>
      </w:pP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children</w:t>
      </w:r>
      <w:r w:rsidR="00C63F8F" w:rsidRPr="00E27443">
        <w:t>’</w:t>
      </w:r>
      <w:r w:rsidRPr="00E27443">
        <w:t>s</w:t>
      </w:r>
      <w:r w:rsidR="00C63F8F" w:rsidRPr="00E27443">
        <w:t xml:space="preserve"> </w:t>
      </w:r>
      <w:r w:rsidRPr="00E27443">
        <w:t>opportunities</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leisure</w:t>
      </w:r>
      <w:r w:rsidR="00C63F8F" w:rsidRPr="00E27443">
        <w:t xml:space="preserve"> </w:t>
      </w:r>
      <w:r w:rsidRPr="00E27443">
        <w:t>and</w:t>
      </w:r>
      <w:r w:rsidR="00C63F8F" w:rsidRPr="00E27443">
        <w:t xml:space="preserve"> </w:t>
      </w:r>
      <w:r w:rsidRPr="00E27443">
        <w:t>sporting</w:t>
      </w:r>
      <w:r w:rsidR="00C63F8F" w:rsidRPr="00E27443">
        <w:t xml:space="preserve"> </w:t>
      </w:r>
      <w:r w:rsidRPr="00E27443">
        <w:t>activities</w:t>
      </w:r>
      <w:r w:rsidR="00C63F8F" w:rsidRPr="00E27443">
        <w:t xml:space="preserve"> </w:t>
      </w:r>
      <w:r w:rsidRPr="00E27443">
        <w:t>on</w:t>
      </w:r>
      <w:r w:rsidR="00C63F8F" w:rsidRPr="00E27443">
        <w:t xml:space="preserve"> </w:t>
      </w:r>
      <w:r w:rsidRPr="00E27443">
        <w:t>the</w:t>
      </w:r>
      <w:r w:rsidR="00C63F8F" w:rsidRPr="00E27443">
        <w:t xml:space="preserve"> </w:t>
      </w:r>
      <w:r w:rsidRPr="00E27443">
        <w:t>same</w:t>
      </w:r>
      <w:r w:rsidR="00C63F8F" w:rsidRPr="00E27443">
        <w:t xml:space="preserve"> </w:t>
      </w:r>
      <w:r w:rsidRPr="00E27443">
        <w:t>terms</w:t>
      </w:r>
      <w:r w:rsidR="00C63F8F" w:rsidRPr="00E27443">
        <w:t xml:space="preserve"> </w:t>
      </w:r>
      <w:r w:rsidRPr="00E27443">
        <w:t>as</w:t>
      </w:r>
      <w:r w:rsidR="00C63F8F" w:rsidRPr="00E27443">
        <w:t xml:space="preserve"> </w:t>
      </w:r>
      <w:r w:rsidRPr="00E27443">
        <w:t>others,</w:t>
      </w:r>
      <w:r w:rsidR="00C63F8F" w:rsidRPr="00E27443">
        <w:t xml:space="preserve"> </w:t>
      </w:r>
      <w:r w:rsidRPr="00E27443">
        <w:t>see</w:t>
      </w:r>
      <w:r w:rsidR="00C63F8F" w:rsidRPr="00E27443">
        <w:t xml:space="preserve"> </w:t>
      </w:r>
      <w:r w:rsidRPr="00E27443">
        <w:t>also</w:t>
      </w:r>
      <w:r w:rsidR="00C63F8F" w:rsidRPr="00E27443">
        <w:t xml:space="preserve"> </w:t>
      </w:r>
      <w:r w:rsidRPr="00E27443">
        <w:t>Article</w:t>
      </w:r>
      <w:r w:rsidR="00C63F8F" w:rsidRPr="00E27443">
        <w:t xml:space="preserve"> </w:t>
      </w:r>
      <w:r w:rsidRPr="00E27443">
        <w:t>24.</w:t>
      </w:r>
    </w:p>
    <w:p w:rsidR="00321ADA" w:rsidRPr="00E27443" w:rsidRDefault="00321ADA" w:rsidP="009D7CEA">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curricula</w:t>
      </w:r>
      <w:r w:rsidR="00C63F8F" w:rsidRPr="00E27443">
        <w:t xml:space="preserve"> </w:t>
      </w:r>
      <w:r w:rsidRPr="00E27443">
        <w:t>for</w:t>
      </w:r>
      <w:r w:rsidR="00C63F8F" w:rsidRPr="00E27443">
        <w:t xml:space="preserve"> </w:t>
      </w:r>
      <w:r w:rsidRPr="00E27443">
        <w:t>both</w:t>
      </w:r>
      <w:r w:rsidR="00C63F8F" w:rsidRPr="00E27443">
        <w:t xml:space="preserve"> </w:t>
      </w:r>
      <w:r w:rsidRPr="00E27443">
        <w:t>the</w:t>
      </w:r>
      <w:r w:rsidR="00C63F8F" w:rsidRPr="00E27443">
        <w:t xml:space="preserve"> </w:t>
      </w:r>
      <w:r w:rsidRPr="00E27443">
        <w:t>compulsory</w:t>
      </w:r>
      <w:r w:rsidR="00C63F8F" w:rsidRPr="00E27443">
        <w:t xml:space="preserve"> </w:t>
      </w:r>
      <w:r w:rsidRPr="00E27443">
        <w:t>and</w:t>
      </w:r>
      <w:r w:rsidR="00C63F8F" w:rsidRPr="00E27443">
        <w:t xml:space="preserve"> </w:t>
      </w:r>
      <w:r w:rsidRPr="00E27443">
        <w:t>the</w:t>
      </w:r>
      <w:r w:rsidR="00C63F8F" w:rsidRPr="00E27443">
        <w:t xml:space="preserve"> </w:t>
      </w:r>
      <w:r w:rsidRPr="00E27443">
        <w:t>voluntary</w:t>
      </w:r>
      <w:r w:rsidR="00C63F8F" w:rsidRPr="00E27443">
        <w:t xml:space="preserve"> </w:t>
      </w:r>
      <w:r w:rsidRPr="00E27443">
        <w:t>forms</w:t>
      </w:r>
      <w:r w:rsidR="00C63F8F" w:rsidRPr="00E27443">
        <w:t xml:space="preserve"> </w:t>
      </w:r>
      <w:r w:rsidRPr="00E27443">
        <w:t>of</w:t>
      </w:r>
      <w:r w:rsidR="00C63F8F" w:rsidRPr="00E27443">
        <w:t xml:space="preserve"> </w:t>
      </w:r>
      <w:r w:rsidRPr="00E27443">
        <w:t>schooling,</w:t>
      </w:r>
      <w:r w:rsidR="00C63F8F" w:rsidRPr="00E27443">
        <w:t xml:space="preserve"> </w:t>
      </w:r>
      <w:r w:rsidRPr="00E27443">
        <w:t>all</w:t>
      </w:r>
      <w:r w:rsidR="00C63F8F" w:rsidRPr="00E27443">
        <w:t xml:space="preserve"> </w:t>
      </w:r>
      <w:r w:rsidRPr="00E27443">
        <w:t>those</w:t>
      </w:r>
      <w:r w:rsidR="00C63F8F" w:rsidRPr="00E27443">
        <w:t xml:space="preserve"> </w:t>
      </w:r>
      <w:r w:rsidRPr="00E27443">
        <w:t>who</w:t>
      </w:r>
      <w:r w:rsidR="00C63F8F" w:rsidRPr="00E27443">
        <w:t xml:space="preserve"> </w:t>
      </w:r>
      <w:r w:rsidRPr="00E27443">
        <w:t>work</w:t>
      </w:r>
      <w:r w:rsidR="00C63F8F" w:rsidRPr="00E27443">
        <w:t xml:space="preserve"> </w:t>
      </w:r>
      <w:r w:rsidRPr="00E27443">
        <w:t>in</w:t>
      </w:r>
      <w:r w:rsidR="00C63F8F" w:rsidRPr="00E27443">
        <w:t xml:space="preserve"> </w:t>
      </w:r>
      <w:r w:rsidRPr="00E27443">
        <w:t>schools</w:t>
      </w:r>
      <w:r w:rsidR="00C63F8F" w:rsidRPr="00E27443">
        <w:t xml:space="preserve"> </w:t>
      </w:r>
      <w:r w:rsidRPr="00E27443">
        <w:t>must</w:t>
      </w:r>
      <w:r w:rsidR="00C63F8F" w:rsidRPr="00E27443">
        <w:t xml:space="preserve"> </w:t>
      </w:r>
      <w:r w:rsidRPr="00E27443">
        <w:t>contribute</w:t>
      </w:r>
      <w:r w:rsidR="00C63F8F" w:rsidRPr="00E27443">
        <w:t xml:space="preserve"> </w:t>
      </w:r>
      <w:r w:rsidRPr="00E27443">
        <w:t>to</w:t>
      </w:r>
      <w:r w:rsidR="00C63F8F" w:rsidRPr="00E27443">
        <w:t xml:space="preserve"> </w:t>
      </w:r>
      <w:r w:rsidRPr="00E27443">
        <w:t>developing</w:t>
      </w:r>
      <w:r w:rsidR="00C63F8F" w:rsidRPr="00E27443">
        <w:t xml:space="preserve"> </w:t>
      </w:r>
      <w:r w:rsidRPr="00E27443">
        <w:t>the</w:t>
      </w:r>
      <w:r w:rsidR="00C63F8F" w:rsidRPr="00E27443">
        <w:t xml:space="preserve"> </w:t>
      </w:r>
      <w:r w:rsidRPr="00E27443">
        <w:t>pupils</w:t>
      </w:r>
      <w:r w:rsidR="00C63F8F" w:rsidRPr="00E27443">
        <w:t xml:space="preserve">’ </w:t>
      </w:r>
      <w:r w:rsidRPr="00E27443">
        <w:t>sense</w:t>
      </w:r>
      <w:r w:rsidR="00C63F8F" w:rsidRPr="00E27443">
        <w:t xml:space="preserve"> </w:t>
      </w:r>
      <w:r w:rsidRPr="00E27443">
        <w:t>of</w:t>
      </w:r>
      <w:r w:rsidR="00C63F8F" w:rsidRPr="00E27443">
        <w:t xml:space="preserve"> </w:t>
      </w:r>
      <w:r w:rsidRPr="00E27443">
        <w:t>affinity,</w:t>
      </w:r>
      <w:r w:rsidR="00C63F8F" w:rsidRPr="00E27443">
        <w:t xml:space="preserve"> </w:t>
      </w:r>
      <w:r w:rsidRPr="00E27443">
        <w:t>solidarity</w:t>
      </w:r>
      <w:r w:rsidR="00C63F8F" w:rsidRPr="00E27443">
        <w:t xml:space="preserve"> </w:t>
      </w:r>
      <w:r w:rsidRPr="00E27443">
        <w:t>and</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people,</w:t>
      </w:r>
      <w:r w:rsidR="00C63F8F" w:rsidRPr="00E27443">
        <w:t xml:space="preserve"> </w:t>
      </w:r>
      <w:r w:rsidRPr="00E27443">
        <w:t>including</w:t>
      </w:r>
      <w:r w:rsidR="00C63F8F" w:rsidRPr="00E27443">
        <w:t xml:space="preserve"> </w:t>
      </w:r>
      <w:r w:rsidRPr="00E27443">
        <w:t>outside</w:t>
      </w:r>
      <w:r w:rsidR="00C63F8F" w:rsidRPr="00E27443">
        <w:t xml:space="preserve"> </w:t>
      </w:r>
      <w:r w:rsidRPr="00E27443">
        <w:t>of</w:t>
      </w:r>
      <w:r w:rsidR="00C63F8F" w:rsidRPr="00E27443">
        <w:t xml:space="preserve"> </w:t>
      </w:r>
      <w:r w:rsidRPr="00E27443">
        <w:t>their</w:t>
      </w:r>
      <w:r w:rsidR="00C63F8F" w:rsidRPr="00E27443">
        <w:t xml:space="preserve"> </w:t>
      </w:r>
      <w:r w:rsidRPr="00E27443">
        <w:t>immediate</w:t>
      </w:r>
      <w:r w:rsidR="00C63F8F" w:rsidRPr="00E27443">
        <w:t xml:space="preserve"> </w:t>
      </w:r>
      <w:r w:rsidRPr="00E27443">
        <w:t>group.</w:t>
      </w:r>
      <w:r w:rsidR="00C63F8F" w:rsidRPr="00E27443">
        <w:t xml:space="preserve"> </w:t>
      </w:r>
      <w:r w:rsidRPr="00E27443">
        <w:t>Nobody</w:t>
      </w:r>
      <w:r w:rsidR="00C63F8F" w:rsidRPr="00E27443">
        <w:t xml:space="preserve"> </w:t>
      </w:r>
      <w:r w:rsidRPr="00E27443">
        <w:t>in</w:t>
      </w:r>
      <w:r w:rsidR="00C63F8F" w:rsidRPr="00E27443">
        <w:t xml:space="preserve"> </w:t>
      </w:r>
      <w:r w:rsidRPr="00E27443">
        <w:t>school</w:t>
      </w:r>
      <w:r w:rsidR="00C63F8F" w:rsidRPr="00E27443">
        <w:t xml:space="preserve"> </w:t>
      </w:r>
      <w:r w:rsidRPr="00E27443">
        <w:t>may</w:t>
      </w:r>
      <w:r w:rsidR="00C63F8F" w:rsidRPr="00E27443">
        <w:t xml:space="preserve"> </w:t>
      </w:r>
      <w:r w:rsidRPr="00E27443">
        <w:t>be</w:t>
      </w:r>
      <w:r w:rsidR="00C63F8F" w:rsidRPr="00E27443">
        <w:t xml:space="preserve"> </w:t>
      </w:r>
      <w:r w:rsidRPr="00E27443">
        <w:t>subjected</w:t>
      </w:r>
      <w:r w:rsidR="00C63F8F" w:rsidRPr="00E27443">
        <w:t xml:space="preserve"> </w:t>
      </w:r>
      <w:r w:rsidRPr="00E27443">
        <w:t>to</w:t>
      </w:r>
      <w:r w:rsidR="00C63F8F" w:rsidRPr="00E27443">
        <w:t xml:space="preserve"> </w:t>
      </w:r>
      <w:r w:rsidRPr="00E27443">
        <w:t>discrimination</w:t>
      </w:r>
      <w:r w:rsidR="00C63F8F" w:rsidRPr="00E27443">
        <w:t xml:space="preserve"> </w:t>
      </w:r>
      <w:r w:rsidRPr="00E27443">
        <w:t>on</w:t>
      </w:r>
      <w:r w:rsidR="00C63F8F" w:rsidRPr="00E27443">
        <w:t xml:space="preserve"> </w:t>
      </w:r>
      <w:r w:rsidRPr="00E27443">
        <w:t>the</w:t>
      </w:r>
      <w:r w:rsidR="00C63F8F" w:rsidRPr="00E27443">
        <w:t xml:space="preserve"> </w:t>
      </w:r>
      <w:r w:rsidRPr="00E27443">
        <w:t>grounds</w:t>
      </w:r>
      <w:r w:rsidR="00C63F8F" w:rsidRPr="00E27443">
        <w:t xml:space="preserve"> </w:t>
      </w:r>
      <w:r w:rsidRPr="00E27443">
        <w:t>of</w:t>
      </w:r>
      <w:r w:rsidR="00C63F8F" w:rsidRPr="00E27443">
        <w:t xml:space="preserve"> </w:t>
      </w:r>
      <w:r w:rsidRPr="00E27443">
        <w:t>gender,</w:t>
      </w:r>
      <w:r w:rsidR="00C63F8F" w:rsidRPr="00E27443">
        <w:t xml:space="preserve"> </w:t>
      </w:r>
      <w:r w:rsidRPr="00E27443">
        <w:t>ethnicity,</w:t>
      </w:r>
      <w:r w:rsidR="00C63F8F" w:rsidRPr="00E27443">
        <w:t xml:space="preserve"> </w:t>
      </w:r>
      <w:r w:rsidRPr="00E27443">
        <w:t>religion</w:t>
      </w:r>
      <w:r w:rsidR="00C63F8F" w:rsidRPr="00E27443">
        <w:t xml:space="preserve"> </w:t>
      </w:r>
      <w:r w:rsidRPr="00E27443">
        <w:t>or</w:t>
      </w:r>
      <w:r w:rsidR="00C63F8F" w:rsidRPr="00E27443">
        <w:t xml:space="preserve"> </w:t>
      </w:r>
      <w:r w:rsidRPr="00E27443">
        <w:t>other</w:t>
      </w:r>
      <w:r w:rsidR="00C63F8F" w:rsidRPr="00E27443">
        <w:t xml:space="preserve"> </w:t>
      </w:r>
      <w:r w:rsidRPr="00E27443">
        <w:t>belief,</w:t>
      </w:r>
      <w:r w:rsidR="00C63F8F" w:rsidRPr="00E27443">
        <w:t xml:space="preserve"> </w:t>
      </w:r>
      <w:r w:rsidRPr="00E27443">
        <w:t>sexual</w:t>
      </w:r>
      <w:r w:rsidR="00C63F8F" w:rsidRPr="00E27443">
        <w:t xml:space="preserve"> </w:t>
      </w:r>
      <w:r w:rsidRPr="00E27443">
        <w:t>orientation</w:t>
      </w:r>
      <w:r w:rsidR="00C63F8F" w:rsidRPr="00E27443">
        <w:t xml:space="preserve"> </w:t>
      </w:r>
      <w:r w:rsidRPr="00E27443">
        <w:t>or</w:t>
      </w:r>
      <w:r w:rsidR="00C63F8F" w:rsidRPr="00E27443">
        <w:t xml:space="preserve"> </w:t>
      </w:r>
      <w:r w:rsidRPr="00E27443">
        <w:t>disability,</w:t>
      </w:r>
      <w:r w:rsidR="00C63F8F" w:rsidRPr="00E27443">
        <w:t xml:space="preserve"> </w:t>
      </w:r>
      <w:r w:rsidRPr="00E27443">
        <w:t>nor</w:t>
      </w:r>
      <w:r w:rsidR="00C63F8F" w:rsidRPr="00E27443">
        <w:t xml:space="preserve"> </w:t>
      </w:r>
      <w:r w:rsidRPr="00E27443">
        <w:t>to</w:t>
      </w:r>
      <w:r w:rsidR="00C63F8F" w:rsidRPr="00E27443">
        <w:t xml:space="preserve"> </w:t>
      </w:r>
      <w:r w:rsidRPr="00E27443">
        <w:t>any</w:t>
      </w:r>
      <w:r w:rsidR="00C63F8F" w:rsidRPr="00E27443">
        <w:t xml:space="preserve"> </w:t>
      </w:r>
      <w:r w:rsidRPr="00E27443">
        <w:t>other</w:t>
      </w:r>
      <w:r w:rsidR="00C63F8F" w:rsidRPr="00E27443">
        <w:t xml:space="preserve"> </w:t>
      </w:r>
      <w:r w:rsidRPr="00E27443">
        <w:t>degrading</w:t>
      </w:r>
      <w:r w:rsidR="00C63F8F" w:rsidRPr="00E27443">
        <w:t xml:space="preserve"> </w:t>
      </w:r>
      <w:r w:rsidRPr="00E27443">
        <w:t>treatment.</w:t>
      </w:r>
    </w:p>
    <w:p w:rsidR="00321ADA" w:rsidRPr="00E27443" w:rsidRDefault="00285D49" w:rsidP="00285D49">
      <w:pPr>
        <w:pStyle w:val="HChG"/>
      </w:pPr>
      <w:r w:rsidRPr="00E27443">
        <w:tab/>
      </w:r>
      <w:bookmarkStart w:id="33" w:name="_Toc290623316"/>
      <w:r w:rsidR="00321ADA" w:rsidRPr="00E27443">
        <w:t>III.</w:t>
      </w:r>
      <w:r w:rsidRPr="00E27443">
        <w:tab/>
      </w:r>
      <w:r w:rsidR="00321ADA" w:rsidRPr="00E27443">
        <w:t>The</w:t>
      </w:r>
      <w:r w:rsidR="00C63F8F" w:rsidRPr="00E27443">
        <w:t xml:space="preserve"> </w:t>
      </w:r>
      <w:r w:rsidR="00321ADA" w:rsidRPr="00E27443">
        <w:t>situation</w:t>
      </w:r>
      <w:r w:rsidR="00C63F8F" w:rsidRPr="00E27443">
        <w:t xml:space="preserve"> </w:t>
      </w:r>
      <w:r w:rsidR="00321ADA" w:rsidRPr="00E27443">
        <w:t>for</w:t>
      </w:r>
      <w:r w:rsidR="00C63F8F" w:rsidRPr="00E27443">
        <w:t xml:space="preserve"> </w:t>
      </w:r>
      <w:r w:rsidR="00321ADA" w:rsidRPr="00E27443">
        <w:t>boys,</w:t>
      </w:r>
      <w:r w:rsidR="00C63F8F" w:rsidRPr="00E27443">
        <w:t xml:space="preserve"> </w:t>
      </w:r>
      <w:r w:rsidR="00321ADA" w:rsidRPr="00E27443">
        <w:t>girls</w:t>
      </w:r>
      <w:r w:rsidR="00C63F8F" w:rsidRPr="00E27443">
        <w:t xml:space="preserve"> </w:t>
      </w:r>
      <w:r w:rsidR="00321ADA" w:rsidRPr="00E27443">
        <w:t>and</w:t>
      </w:r>
      <w:r w:rsidR="00C63F8F" w:rsidRPr="00E27443">
        <w:t xml:space="preserve"> </w:t>
      </w:r>
      <w:r w:rsidR="00321ADA" w:rsidRPr="00E27443">
        <w:t>women</w:t>
      </w:r>
      <w:r w:rsidR="00C63F8F" w:rsidRPr="00E27443">
        <w:t xml:space="preserve"> </w:t>
      </w:r>
      <w:r w:rsidR="00321ADA" w:rsidRPr="00E27443">
        <w:t>with</w:t>
      </w:r>
      <w:r w:rsidR="00C63F8F" w:rsidRPr="00E27443">
        <w:t xml:space="preserve"> </w:t>
      </w:r>
      <w:r w:rsidR="00321ADA" w:rsidRPr="00E27443">
        <w:t>a</w:t>
      </w:r>
      <w:r w:rsidR="00C63F8F" w:rsidRPr="00E27443">
        <w:t xml:space="preserve"> </w:t>
      </w:r>
      <w:r w:rsidR="00321ADA" w:rsidRPr="00E27443">
        <w:t>disability</w:t>
      </w:r>
      <w:bookmarkEnd w:id="33"/>
    </w:p>
    <w:p w:rsidR="00321ADA" w:rsidRPr="00E27443" w:rsidRDefault="00285D49" w:rsidP="00285D49">
      <w:pPr>
        <w:pStyle w:val="H1G"/>
      </w:pPr>
      <w:r w:rsidRPr="00E27443">
        <w:tab/>
      </w:r>
      <w:r w:rsidRPr="00E27443">
        <w:tab/>
      </w:r>
      <w:bookmarkStart w:id="34" w:name="_Toc290623317"/>
      <w:r w:rsidR="00321ADA" w:rsidRPr="00E27443">
        <w:t>Article</w:t>
      </w:r>
      <w:r w:rsidR="00C63F8F" w:rsidRPr="00E27443">
        <w:t xml:space="preserve"> </w:t>
      </w:r>
      <w:r w:rsidR="00321ADA" w:rsidRPr="00E27443">
        <w:t>6</w:t>
      </w:r>
      <w:r w:rsidR="00025D8C">
        <w:t>:</w:t>
      </w:r>
      <w:r w:rsidR="00C63F8F" w:rsidRPr="00E27443">
        <w:t xml:space="preserve"> </w:t>
      </w:r>
      <w:r w:rsidR="00321ADA" w:rsidRPr="00E27443">
        <w:t>Women</w:t>
      </w:r>
      <w:r w:rsidR="00C63F8F" w:rsidRPr="00E27443">
        <w:t xml:space="preserve"> </w:t>
      </w:r>
      <w:r w:rsidR="00321ADA" w:rsidRPr="00E27443">
        <w:t>with</w:t>
      </w:r>
      <w:r w:rsidR="00C63F8F" w:rsidRPr="00E27443">
        <w:t xml:space="preserve"> </w:t>
      </w:r>
      <w:r w:rsidR="00321ADA" w:rsidRPr="00E27443">
        <w:t>disabilities</w:t>
      </w:r>
      <w:bookmarkEnd w:id="34"/>
    </w:p>
    <w:p w:rsidR="00321ADA" w:rsidRPr="00E27443" w:rsidRDefault="00321ADA" w:rsidP="00025D8C">
      <w:pPr>
        <w:pStyle w:val="SingleTxtG"/>
        <w:numPr>
          <w:ilvl w:val="0"/>
          <w:numId w:val="20"/>
        </w:numPr>
        <w:tabs>
          <w:tab w:val="left" w:pos="1843"/>
        </w:tabs>
        <w:ind w:left="1134" w:firstLine="0"/>
      </w:pPr>
      <w:r w:rsidRPr="00E27443">
        <w:t>The</w:t>
      </w:r>
      <w:r w:rsidR="00C63F8F" w:rsidRPr="00E27443">
        <w:t xml:space="preserve"> </w:t>
      </w:r>
      <w:r w:rsidRPr="00E27443">
        <w:t>goal</w:t>
      </w:r>
      <w:r w:rsidR="00C63F8F" w:rsidRPr="00E27443">
        <w:t xml:space="preserve"> </w:t>
      </w:r>
      <w:r w:rsidRPr="00E27443">
        <w:t>for</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policy</w:t>
      </w:r>
      <w:r w:rsidR="00C63F8F" w:rsidRPr="00E27443">
        <w:t xml:space="preserve"> </w:t>
      </w:r>
      <w:r w:rsidRPr="00E27443">
        <w:t>is</w:t>
      </w:r>
      <w:r w:rsidR="00C63F8F" w:rsidRPr="00E27443">
        <w:t xml:space="preserve"> </w:t>
      </w:r>
      <w:r w:rsidRPr="00E27443">
        <w:t>that</w:t>
      </w:r>
      <w:r w:rsidR="00C63F8F" w:rsidRPr="00E27443">
        <w:t xml:space="preserve"> </w:t>
      </w:r>
      <w:r w:rsidRPr="00E27443">
        <w:t>women</w:t>
      </w:r>
      <w:r w:rsidR="00C63F8F" w:rsidRPr="00E27443">
        <w:t xml:space="preserve"> </w:t>
      </w:r>
      <w:r w:rsidRPr="00E27443">
        <w:t>and</w:t>
      </w:r>
      <w:r w:rsidR="00C63F8F" w:rsidRPr="00E27443">
        <w:t xml:space="preserve"> </w:t>
      </w:r>
      <w:r w:rsidRPr="00E27443">
        <w:t>men</w:t>
      </w:r>
      <w:r w:rsidR="00C63F8F" w:rsidRPr="00E27443">
        <w:t xml:space="preserve"> </w:t>
      </w:r>
      <w:r w:rsidRPr="00E27443">
        <w:t>should</w:t>
      </w:r>
      <w:r w:rsidR="00C63F8F" w:rsidRPr="00E27443">
        <w:t xml:space="preserve"> </w:t>
      </w:r>
      <w:r w:rsidRPr="00E27443">
        <w:t>have</w:t>
      </w:r>
      <w:r w:rsidR="00C63F8F" w:rsidRPr="00E27443">
        <w:t xml:space="preserve"> </w:t>
      </w:r>
      <w:r w:rsidRPr="00E27443">
        <w:t>the</w:t>
      </w:r>
      <w:r w:rsidR="00C63F8F" w:rsidRPr="00E27443">
        <w:t xml:space="preserve"> </w:t>
      </w:r>
      <w:r w:rsidRPr="00E27443">
        <w:t>same</w:t>
      </w:r>
      <w:r w:rsidR="00C63F8F" w:rsidRPr="00E27443">
        <w:t xml:space="preserve"> </w:t>
      </w:r>
      <w:r w:rsidRPr="00E27443">
        <w:t>power</w:t>
      </w:r>
      <w:r w:rsidR="00C63F8F" w:rsidRPr="00E27443">
        <w:t xml:space="preserve"> </w:t>
      </w:r>
      <w:r w:rsidRPr="00E27443">
        <w:t>to</w:t>
      </w:r>
      <w:r w:rsidR="00C63F8F" w:rsidRPr="00E27443">
        <w:t xml:space="preserve"> </w:t>
      </w:r>
      <w:r w:rsidRPr="00E27443">
        <w:t>shape</w:t>
      </w:r>
      <w:r w:rsidR="00C63F8F" w:rsidRPr="00E27443">
        <w:t xml:space="preserve"> </w:t>
      </w:r>
      <w:r w:rsidRPr="00E27443">
        <w:t>society</w:t>
      </w:r>
      <w:r w:rsidR="00C63F8F" w:rsidRPr="00E27443">
        <w:t xml:space="preserve"> </w:t>
      </w:r>
      <w:r w:rsidRPr="00E27443">
        <w:t>and</w:t>
      </w:r>
      <w:r w:rsidR="00C63F8F" w:rsidRPr="00E27443">
        <w:t xml:space="preserve"> </w:t>
      </w:r>
      <w:r w:rsidRPr="00E27443">
        <w:t>their</w:t>
      </w:r>
      <w:r w:rsidR="00C63F8F" w:rsidRPr="00E27443">
        <w:t xml:space="preserve"> </w:t>
      </w:r>
      <w:r w:rsidRPr="00E27443">
        <w:t>own</w:t>
      </w:r>
      <w:r w:rsidR="00C63F8F" w:rsidRPr="00E27443">
        <w:t xml:space="preserve"> </w:t>
      </w:r>
      <w:r w:rsidRPr="00E27443">
        <w:t>lives.</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policy</w:t>
      </w:r>
      <w:r w:rsidR="00C63F8F" w:rsidRPr="00E27443">
        <w:t xml:space="preserve"> </w:t>
      </w:r>
      <w:r w:rsidRPr="00E27443">
        <w:t>applies</w:t>
      </w:r>
      <w:r w:rsidR="00C63F8F" w:rsidRPr="00E27443">
        <w:t xml:space="preserve"> </w:t>
      </w:r>
      <w:r w:rsidRPr="00E27443">
        <w:t>to</w:t>
      </w:r>
      <w:r w:rsidR="00C63F8F" w:rsidRPr="00E27443">
        <w:t xml:space="preserve"> </w:t>
      </w:r>
      <w:r w:rsidRPr="00E27443">
        <w:t>all</w:t>
      </w:r>
      <w:r w:rsidR="00C63F8F" w:rsidRPr="00E27443">
        <w:t xml:space="preserve"> </w:t>
      </w:r>
      <w:r w:rsidRPr="00E27443">
        <w:t>people,</w:t>
      </w:r>
      <w:r w:rsidR="00C63F8F" w:rsidRPr="00E27443">
        <w:t xml:space="preserve"> </w:t>
      </w:r>
      <w:r w:rsidRPr="00E27443">
        <w:t>in</w:t>
      </w:r>
      <w:r w:rsidR="00C63F8F" w:rsidRPr="00E27443">
        <w:t xml:space="preserve"> </w:t>
      </w:r>
      <w:r w:rsidRPr="00E27443">
        <w:t>different</w:t>
      </w:r>
      <w:r w:rsidR="00C63F8F" w:rsidRPr="00E27443">
        <w:t xml:space="preserve"> </w:t>
      </w:r>
      <w:r w:rsidRPr="00E27443">
        <w:t>life</w:t>
      </w:r>
      <w:r w:rsidR="00C63F8F" w:rsidRPr="00E27443">
        <w:t xml:space="preserve"> </w:t>
      </w:r>
      <w:r w:rsidRPr="00E27443">
        <w:t>situations</w:t>
      </w:r>
      <w:r w:rsidR="00C63F8F" w:rsidRPr="00E27443">
        <w:t xml:space="preserve"> </w:t>
      </w:r>
      <w:r w:rsidRPr="00E27443">
        <w:t>and</w:t>
      </w:r>
      <w:r w:rsidR="00C63F8F" w:rsidRPr="00E27443">
        <w:t xml:space="preserve"> </w:t>
      </w:r>
      <w:r w:rsidRPr="00E27443">
        <w:t>in</w:t>
      </w:r>
      <w:r w:rsidR="00C63F8F" w:rsidRPr="00E27443">
        <w:t xml:space="preserve"> </w:t>
      </w:r>
      <w:r w:rsidRPr="00E27443">
        <w:t>different</w:t>
      </w:r>
      <w:r w:rsidR="00C63F8F" w:rsidRPr="00E27443">
        <w:t xml:space="preserve"> </w:t>
      </w:r>
      <w:r w:rsidRPr="00E27443">
        <w:t>stages</w:t>
      </w:r>
      <w:r w:rsidR="00C63F8F" w:rsidRPr="00E27443">
        <w:t xml:space="preserve"> </w:t>
      </w:r>
      <w:r w:rsidRPr="00E27443">
        <w:t>of</w:t>
      </w:r>
      <w:r w:rsidR="00C63F8F" w:rsidRPr="00E27443">
        <w:t xml:space="preserve"> </w:t>
      </w:r>
      <w:r w:rsidRPr="00E27443">
        <w:t>their</w:t>
      </w:r>
      <w:r w:rsidR="00C63F8F" w:rsidRPr="00E27443">
        <w:t xml:space="preserve"> </w:t>
      </w:r>
      <w:r w:rsidRPr="00E27443">
        <w:t>life,</w:t>
      </w:r>
      <w:r w:rsidR="00C63F8F" w:rsidRPr="00E27443">
        <w:t xml:space="preserve"> </w:t>
      </w:r>
      <w:r w:rsidRPr="00E27443">
        <w:t>i.e.</w:t>
      </w:r>
      <w:r w:rsidR="00C63F8F" w:rsidRPr="00E27443">
        <w:t xml:space="preserve"> </w:t>
      </w:r>
      <w:r w:rsidRPr="00E27443">
        <w:t>irrespective</w:t>
      </w:r>
      <w:r w:rsidR="00C63F8F" w:rsidRPr="00E27443">
        <w:t xml:space="preserve"> </w:t>
      </w:r>
      <w:r w:rsidRPr="00E27443">
        <w:t>of</w:t>
      </w:r>
      <w:r w:rsidR="00C63F8F" w:rsidRPr="00E27443">
        <w:t xml:space="preserve"> </w:t>
      </w:r>
      <w:r w:rsidRPr="00E27443">
        <w:t>e.g.</w:t>
      </w:r>
      <w:r w:rsidR="00C63F8F" w:rsidRPr="00E27443">
        <w:t xml:space="preserve"> </w:t>
      </w:r>
      <w:r w:rsidRPr="00E27443">
        <w:t>age,</w:t>
      </w:r>
      <w:r w:rsidR="00C63F8F" w:rsidRPr="00E27443">
        <w:t xml:space="preserve"> </w:t>
      </w:r>
      <w:r w:rsidRPr="00E27443">
        <w:t>ethnicity,</w:t>
      </w:r>
      <w:r w:rsidR="00C63F8F" w:rsidRPr="00E27443">
        <w:t xml:space="preserve"> </w:t>
      </w:r>
      <w:r w:rsidRPr="00E27443">
        <w:t>disability</w:t>
      </w:r>
      <w:r w:rsidR="00C63F8F" w:rsidRPr="00E27443">
        <w:t xml:space="preserve"> </w:t>
      </w:r>
      <w:r w:rsidRPr="00E27443">
        <w:t>or</w:t>
      </w:r>
      <w:r w:rsidR="00C63F8F" w:rsidRPr="00E27443">
        <w:t xml:space="preserve"> </w:t>
      </w:r>
      <w:r w:rsidRPr="00E27443">
        <w:t>where</w:t>
      </w:r>
      <w:r w:rsidR="00C63F8F" w:rsidRPr="00E27443">
        <w:t xml:space="preserve"> </w:t>
      </w:r>
      <w:r w:rsidRPr="00E27443">
        <w:t>in</w:t>
      </w:r>
      <w:r w:rsidR="00C63F8F" w:rsidRPr="00E27443">
        <w:t xml:space="preserve"> </w:t>
      </w:r>
      <w:r w:rsidRPr="00E27443">
        <w:t>the</w:t>
      </w:r>
      <w:r w:rsidR="00C63F8F" w:rsidRPr="00E27443">
        <w:t xml:space="preserve"> </w:t>
      </w:r>
      <w:r w:rsidRPr="00E27443">
        <w:t>country</w:t>
      </w:r>
      <w:r w:rsidR="00C63F8F" w:rsidRPr="00E27443">
        <w:t xml:space="preserve"> </w:t>
      </w:r>
      <w:r w:rsidRPr="00E27443">
        <w:t>they</w:t>
      </w:r>
      <w:r w:rsidR="00C63F8F" w:rsidRPr="00E27443">
        <w:t xml:space="preserve"> </w:t>
      </w:r>
      <w:r w:rsidRPr="00E27443">
        <w:t>live.</w:t>
      </w:r>
      <w:r w:rsidR="00C63F8F" w:rsidRPr="00E27443">
        <w:t xml:space="preserve"> </w:t>
      </w:r>
      <w:r w:rsidRPr="00E27443">
        <w:t>In</w:t>
      </w:r>
      <w:r w:rsidR="00C63F8F" w:rsidRPr="00E27443">
        <w:t xml:space="preserve"> </w:t>
      </w:r>
      <w:r w:rsidRPr="00E27443">
        <w:t>addition</w:t>
      </w:r>
      <w:r w:rsidR="00C63F8F" w:rsidRPr="00E27443">
        <w:t xml:space="preserve"> </w:t>
      </w:r>
      <w:r w:rsidRPr="00E27443">
        <w:t>to</w:t>
      </w:r>
      <w:r w:rsidR="00C63F8F" w:rsidRPr="00E27443">
        <w:t xml:space="preserve"> </w:t>
      </w:r>
      <w:r w:rsidRPr="00E27443">
        <w:t>the</w:t>
      </w:r>
      <w:r w:rsidR="00C63F8F" w:rsidRPr="00E27443">
        <w:t xml:space="preserve"> </w:t>
      </w:r>
      <w:r w:rsidRPr="00E27443">
        <w:t>overall</w:t>
      </w:r>
      <w:r w:rsidR="00C63F8F" w:rsidRPr="00E27443">
        <w:t xml:space="preserve"> </w:t>
      </w:r>
      <w:r w:rsidRPr="00E27443">
        <w:t>goal</w:t>
      </w:r>
      <w:r w:rsidR="00C63F8F" w:rsidRPr="00E27443">
        <w:t xml:space="preserve"> </w:t>
      </w:r>
      <w:r w:rsidRPr="00E27443">
        <w:t>for</w:t>
      </w:r>
      <w:r w:rsidR="00C63F8F" w:rsidRPr="00E27443">
        <w:t xml:space="preserve"> </w:t>
      </w:r>
      <w:r w:rsidRPr="00E27443">
        <w:t>the</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policy,</w:t>
      </w:r>
      <w:r w:rsidR="00C63F8F" w:rsidRPr="00E27443">
        <w:t xml:space="preserve"> </w:t>
      </w:r>
      <w:r w:rsidRPr="00E27443">
        <w:t>there</w:t>
      </w:r>
      <w:r w:rsidR="00C63F8F" w:rsidRPr="00E27443">
        <w:t xml:space="preserve"> </w:t>
      </w:r>
      <w:r w:rsidRPr="00E27443">
        <w:t>are</w:t>
      </w:r>
      <w:r w:rsidR="00C63F8F" w:rsidRPr="00E27443">
        <w:t xml:space="preserve"> </w:t>
      </w:r>
      <w:r w:rsidRPr="00E27443">
        <w:t>also</w:t>
      </w:r>
      <w:r w:rsidR="00C63F8F" w:rsidRPr="00E27443">
        <w:t xml:space="preserve"> </w:t>
      </w:r>
      <w:r w:rsidRPr="00E27443">
        <w:t>four</w:t>
      </w:r>
      <w:r w:rsidR="00C63F8F" w:rsidRPr="00E27443">
        <w:t xml:space="preserve"> </w:t>
      </w:r>
      <w:r w:rsidRPr="00E27443">
        <w:t>sub-goals:</w:t>
      </w:r>
      <w:r w:rsidR="00C63F8F" w:rsidRPr="00E27443">
        <w:t xml:space="preserve"> </w:t>
      </w:r>
      <w:r w:rsidRPr="00E27443">
        <w:t>an</w:t>
      </w:r>
      <w:r w:rsidR="00C63F8F" w:rsidRPr="00E27443">
        <w:t xml:space="preserve"> </w:t>
      </w:r>
      <w:r w:rsidRPr="00E27443">
        <w:t>even</w:t>
      </w:r>
      <w:r w:rsidR="00C63F8F" w:rsidRPr="00E27443">
        <w:t xml:space="preserve"> </w:t>
      </w:r>
      <w:r w:rsidRPr="00E27443">
        <w:t>distribution</w:t>
      </w:r>
      <w:r w:rsidR="00C63F8F" w:rsidRPr="00E27443">
        <w:t xml:space="preserve"> </w:t>
      </w:r>
      <w:r w:rsidRPr="00E27443">
        <w:t>of</w:t>
      </w:r>
      <w:r w:rsidR="00C63F8F" w:rsidRPr="00E27443">
        <w:t xml:space="preserve"> </w:t>
      </w:r>
      <w:r w:rsidRPr="00E27443">
        <w:t>power</w:t>
      </w:r>
      <w:r w:rsidR="00C63F8F" w:rsidRPr="00E27443">
        <w:t xml:space="preserve"> </w:t>
      </w:r>
      <w:r w:rsidRPr="00E27443">
        <w:t>and</w:t>
      </w:r>
      <w:r w:rsidR="00C63F8F" w:rsidRPr="00E27443">
        <w:t xml:space="preserve"> </w:t>
      </w:r>
      <w:r w:rsidRPr="00E27443">
        <w:t>influence,</w:t>
      </w:r>
      <w:r w:rsidR="00C63F8F" w:rsidRPr="00E27443">
        <w:t xml:space="preserve"> </w:t>
      </w:r>
      <w:r w:rsidRPr="00E27443">
        <w:t>economic</w:t>
      </w:r>
      <w:r w:rsidR="00C63F8F" w:rsidRPr="00E27443">
        <w:t xml:space="preserve"> </w:t>
      </w:r>
      <w:r w:rsidRPr="00E27443">
        <w:t>equality</w:t>
      </w:r>
      <w:r w:rsidR="00C63F8F" w:rsidRPr="00E27443">
        <w:t xml:space="preserve"> </w:t>
      </w:r>
      <w:r w:rsidRPr="00E27443">
        <w:t>between</w:t>
      </w:r>
      <w:r w:rsidR="00C63F8F" w:rsidRPr="00E27443">
        <w:t xml:space="preserve"> </w:t>
      </w:r>
      <w:r w:rsidRPr="00E27443">
        <w:t>women</w:t>
      </w:r>
      <w:r w:rsidR="00C63F8F" w:rsidRPr="00E27443">
        <w:t xml:space="preserve"> </w:t>
      </w:r>
      <w:r w:rsidRPr="00E27443">
        <w:t>and</w:t>
      </w:r>
      <w:r w:rsidR="00C63F8F" w:rsidRPr="00E27443">
        <w:t xml:space="preserve"> </w:t>
      </w:r>
      <w:r w:rsidRPr="00E27443">
        <w:t>men,</w:t>
      </w:r>
      <w:r w:rsidR="00C63F8F" w:rsidRPr="00E27443">
        <w:t xml:space="preserve"> </w:t>
      </w:r>
      <w:r w:rsidRPr="00E27443">
        <w:t>equal</w:t>
      </w:r>
      <w:r w:rsidR="00C63F8F" w:rsidRPr="00E27443">
        <w:t xml:space="preserve"> </w:t>
      </w:r>
      <w:r w:rsidRPr="00E27443">
        <w:t>distribution</w:t>
      </w:r>
      <w:r w:rsidR="00C63F8F" w:rsidRPr="00E27443">
        <w:t xml:space="preserve"> </w:t>
      </w:r>
      <w:r w:rsidRPr="00E27443">
        <w:t>of</w:t>
      </w:r>
      <w:r w:rsidR="00C63F8F" w:rsidRPr="00E27443">
        <w:t xml:space="preserve"> </w:t>
      </w:r>
      <w:r w:rsidRPr="00E27443">
        <w:t>unpaid</w:t>
      </w:r>
      <w:r w:rsidR="00C63F8F" w:rsidRPr="00E27443">
        <w:t xml:space="preserve"> </w:t>
      </w:r>
      <w:r w:rsidRPr="00E27443">
        <w:t>care</w:t>
      </w:r>
      <w:r w:rsidR="00C63F8F" w:rsidRPr="00E27443">
        <w:t xml:space="preserve"> </w:t>
      </w:r>
      <w:r w:rsidRPr="00E27443">
        <w:t>and</w:t>
      </w:r>
      <w:r w:rsidR="00C63F8F" w:rsidRPr="00E27443">
        <w:t xml:space="preserve"> </w:t>
      </w:r>
      <w:r w:rsidR="008472FF" w:rsidRPr="00E27443">
        <w:t>household</w:t>
      </w:r>
      <w:r w:rsidR="00C63F8F" w:rsidRPr="00E27443">
        <w:t xml:space="preserve"> </w:t>
      </w:r>
      <w:r w:rsidRPr="00E27443">
        <w:t>work</w:t>
      </w:r>
      <w:r w:rsidR="00C63F8F" w:rsidRPr="00E27443">
        <w:t xml:space="preserve"> </w:t>
      </w:r>
      <w:r w:rsidRPr="00E27443">
        <w:t>and</w:t>
      </w:r>
      <w:r w:rsidR="00C63F8F" w:rsidRPr="00E27443">
        <w:t xml:space="preserve"> </w:t>
      </w:r>
      <w:r w:rsidRPr="00E27443">
        <w:t>the</w:t>
      </w:r>
      <w:r w:rsidR="00C63F8F" w:rsidRPr="00E27443">
        <w:t xml:space="preserve"> </w:t>
      </w:r>
      <w:r w:rsidRPr="00E27443">
        <w:t>elimination</w:t>
      </w:r>
      <w:r w:rsidR="00C63F8F" w:rsidRPr="00E27443">
        <w:t xml:space="preserve"> </w:t>
      </w:r>
      <w:r w:rsidRPr="00E27443">
        <w:t>of</w:t>
      </w:r>
      <w:r w:rsidR="00C63F8F" w:rsidRPr="00E27443">
        <w:t xml:space="preserve"> </w:t>
      </w:r>
      <w:r w:rsidRPr="00E27443">
        <w:t>men</w:t>
      </w:r>
      <w:r w:rsidR="00C63F8F" w:rsidRPr="00E27443">
        <w:t>’</w:t>
      </w:r>
      <w:r w:rsidRPr="00E27443">
        <w:t>s</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women.</w:t>
      </w:r>
      <w:r w:rsidR="00C63F8F" w:rsidRPr="00E27443">
        <w:t xml:space="preserve"> </w:t>
      </w:r>
    </w:p>
    <w:p w:rsidR="00321ADA" w:rsidRPr="00E27443" w:rsidRDefault="00321ADA" w:rsidP="00025D8C">
      <w:pPr>
        <w:pStyle w:val="SingleTxtG"/>
        <w:numPr>
          <w:ilvl w:val="0"/>
          <w:numId w:val="20"/>
        </w:numPr>
        <w:tabs>
          <w:tab w:val="left" w:pos="1843"/>
        </w:tabs>
        <w:ind w:left="1134" w:firstLine="0"/>
      </w:pPr>
      <w:r w:rsidRPr="00E27443">
        <w:t>The</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policy</w:t>
      </w:r>
      <w:r w:rsidR="00C63F8F" w:rsidRPr="00E27443">
        <w:t>’</w:t>
      </w:r>
      <w:r w:rsidRPr="00E27443">
        <w:t>s</w:t>
      </w:r>
      <w:r w:rsidR="00C63F8F" w:rsidRPr="00E27443">
        <w:t xml:space="preserve"> </w:t>
      </w:r>
      <w:r w:rsidRPr="00E27443">
        <w:t>sub-goals</w:t>
      </w:r>
      <w:r w:rsidR="00C63F8F" w:rsidRPr="00E27443">
        <w:t xml:space="preserve"> </w:t>
      </w:r>
      <w:r w:rsidRPr="00E27443">
        <w:t>will</w:t>
      </w:r>
      <w:r w:rsidR="00C63F8F" w:rsidRPr="00E27443">
        <w:t xml:space="preserve"> </w:t>
      </w:r>
      <w:r w:rsidRPr="00E27443">
        <w:t>be</w:t>
      </w:r>
      <w:r w:rsidR="00C63F8F" w:rsidRPr="00E27443">
        <w:t xml:space="preserve"> </w:t>
      </w:r>
      <w:r w:rsidRPr="00E27443">
        <w:t>achieved</w:t>
      </w:r>
      <w:r w:rsidR="00C63F8F" w:rsidRPr="00E27443">
        <w:t xml:space="preserve"> </w:t>
      </w:r>
      <w:r w:rsidRPr="00E27443">
        <w:t>through</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mainstreaming,</w:t>
      </w:r>
      <w:r w:rsidR="00C63F8F" w:rsidRPr="00E27443">
        <w:t xml:space="preserve"> </w:t>
      </w:r>
      <w:r w:rsidRPr="00E27443">
        <w:t>i.e.</w:t>
      </w:r>
      <w:r w:rsidR="00C63F8F" w:rsidRPr="00E27443">
        <w:t xml:space="preserve"> </w:t>
      </w:r>
      <w:r w:rsidRPr="00E27443">
        <w:t>that</w:t>
      </w:r>
      <w:r w:rsidR="00C63F8F" w:rsidRPr="00E27443">
        <w:t xml:space="preserve"> </w:t>
      </w:r>
      <w:r w:rsidRPr="00E27443">
        <w:t>decisions</w:t>
      </w:r>
      <w:r w:rsidR="00C63F8F" w:rsidRPr="00E27443">
        <w:t xml:space="preserve"> </w:t>
      </w:r>
      <w:r w:rsidRPr="00E27443">
        <w:t>within</w:t>
      </w:r>
      <w:r w:rsidR="00C63F8F" w:rsidRPr="00E27443">
        <w:t xml:space="preserve"> </w:t>
      </w:r>
      <w:r w:rsidRPr="00E27443">
        <w:t>all</w:t>
      </w:r>
      <w:r w:rsidR="00C63F8F" w:rsidRPr="00E27443">
        <w:t xml:space="preserve"> </w:t>
      </w:r>
      <w:r w:rsidRPr="00E27443">
        <w:t>policy</w:t>
      </w:r>
      <w:r w:rsidR="00C63F8F" w:rsidRPr="00E27443">
        <w:t xml:space="preserve"> </w:t>
      </w:r>
      <w:r w:rsidRPr="00E27443">
        <w:t>areas</w:t>
      </w:r>
      <w:r w:rsidR="00C63F8F" w:rsidRPr="00E27443">
        <w:t xml:space="preserve"> </w:t>
      </w:r>
      <w:r w:rsidRPr="00E27443">
        <w:t>will</w:t>
      </w:r>
      <w:r w:rsidR="00C63F8F" w:rsidRPr="00E27443">
        <w:t xml:space="preserve"> </w:t>
      </w:r>
      <w:r w:rsidRPr="00E27443">
        <w:t>be</w:t>
      </w:r>
      <w:r w:rsidR="00C63F8F" w:rsidRPr="00E27443">
        <w:t xml:space="preserve"> </w:t>
      </w:r>
      <w:r w:rsidRPr="00E27443">
        <w:t>characterised</w:t>
      </w:r>
      <w:r w:rsidR="00C63F8F" w:rsidRPr="00E27443">
        <w:t xml:space="preserve"> </w:t>
      </w:r>
      <w:r w:rsidRPr="00E27443">
        <w:t>by</w:t>
      </w:r>
      <w:r w:rsidR="00C63F8F" w:rsidRPr="00E27443">
        <w:t xml:space="preserve"> </w:t>
      </w:r>
      <w:r w:rsidRPr="00E27443">
        <w:t>a</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perspective,</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through</w:t>
      </w:r>
      <w:r w:rsidR="00C63F8F" w:rsidRPr="00E27443">
        <w:t xml:space="preserve"> </w:t>
      </w:r>
      <w:r w:rsidRPr="00E27443">
        <w:t>specific</w:t>
      </w:r>
      <w:r w:rsidR="00C63F8F" w:rsidRPr="00E27443">
        <w:t xml:space="preserve"> </w:t>
      </w:r>
      <w:r w:rsidRPr="00E27443">
        <w:t>measures</w:t>
      </w:r>
      <w:r w:rsidR="00C63F8F" w:rsidRPr="00E27443">
        <w:t xml:space="preserve"> </w:t>
      </w:r>
      <w:r w:rsidRPr="00E27443">
        <w:t>within</w:t>
      </w:r>
      <w:r w:rsidR="00C63F8F" w:rsidRPr="00E27443">
        <w:t xml:space="preserve"> </w:t>
      </w:r>
      <w:r w:rsidRPr="00E27443">
        <w:t>areas</w:t>
      </w:r>
      <w:r w:rsidR="00C63F8F" w:rsidRPr="00E27443">
        <w:t xml:space="preserve"> </w:t>
      </w:r>
      <w:r w:rsidRPr="00E27443">
        <w:t>where</w:t>
      </w:r>
      <w:r w:rsidR="00C63F8F" w:rsidRPr="00E27443">
        <w:t xml:space="preserve"> </w:t>
      </w:r>
      <w:r w:rsidRPr="00E27443">
        <w:t>gender</w:t>
      </w:r>
      <w:r w:rsidR="00C63F8F" w:rsidRPr="00E27443">
        <w:t xml:space="preserve"> </w:t>
      </w:r>
      <w:r w:rsidRPr="00E27443">
        <w:t>inequality</w:t>
      </w:r>
      <w:r w:rsidR="00C63F8F" w:rsidRPr="00E27443">
        <w:t xml:space="preserve"> </w:t>
      </w:r>
      <w:r w:rsidRPr="00E27443">
        <w:t>is</w:t>
      </w:r>
      <w:r w:rsidR="00C63F8F" w:rsidRPr="00E27443">
        <w:t xml:space="preserve"> </w:t>
      </w:r>
      <w:r w:rsidRPr="00E27443">
        <w:t>particularly</w:t>
      </w:r>
      <w:r w:rsidR="00C63F8F" w:rsidRPr="00E27443">
        <w:t xml:space="preserve"> </w:t>
      </w:r>
      <w:r w:rsidRPr="00E27443">
        <w:t>marked.</w:t>
      </w:r>
      <w:r w:rsidR="00C63F8F" w:rsidRPr="00E27443">
        <w:t xml:space="preserve"> </w:t>
      </w:r>
    </w:p>
    <w:p w:rsidR="00321ADA" w:rsidRPr="00E27443" w:rsidRDefault="00321ADA" w:rsidP="00025D8C">
      <w:pPr>
        <w:pStyle w:val="SingleTxtG"/>
        <w:numPr>
          <w:ilvl w:val="0"/>
          <w:numId w:val="20"/>
        </w:numPr>
        <w:tabs>
          <w:tab w:val="left" w:pos="1843"/>
        </w:tabs>
        <w:ind w:left="1134" w:firstLine="0"/>
      </w:pPr>
      <w:r w:rsidRPr="00E27443">
        <w:t>To</w:t>
      </w:r>
      <w:r w:rsidR="00C63F8F" w:rsidRPr="00E27443">
        <w:t xml:space="preserve"> </w:t>
      </w:r>
      <w:r w:rsidRPr="00E27443">
        <w:t>safeguard</w:t>
      </w:r>
      <w:r w:rsidR="00C63F8F" w:rsidRPr="00E27443">
        <w:t xml:space="preserve"> </w:t>
      </w:r>
      <w:r w:rsidRPr="00E27443">
        <w:t>rights</w:t>
      </w:r>
      <w:r w:rsidR="00C63F8F" w:rsidRPr="00E27443">
        <w:t xml:space="preserve"> </w:t>
      </w:r>
      <w:r w:rsidRPr="00E27443">
        <w:t>for</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Discrimination</w:t>
      </w:r>
      <w:r w:rsidR="00C63F8F" w:rsidRPr="00E27443">
        <w:t xml:space="preserve"> </w:t>
      </w:r>
      <w:r w:rsidRPr="00E27443">
        <w:t>Act</w:t>
      </w:r>
      <w:r w:rsidR="00285D49" w:rsidRPr="00025D8C">
        <w:footnoteReference w:id="149"/>
      </w:r>
      <w:r w:rsidR="00C63F8F" w:rsidRPr="00E27443">
        <w:t xml:space="preserve"> </w:t>
      </w:r>
      <w:r w:rsidRPr="00E27443">
        <w:t>includes</w:t>
      </w:r>
      <w:r w:rsidR="00C63F8F" w:rsidRPr="00E27443">
        <w:t xml:space="preserve"> </w:t>
      </w:r>
      <w:r w:rsidRPr="00E27443">
        <w:t>a</w:t>
      </w:r>
      <w:r w:rsidR="00C63F8F" w:rsidRPr="00E27443">
        <w:t xml:space="preserve"> </w:t>
      </w:r>
      <w:r w:rsidRPr="00E27443">
        <w:t>prohibition</w:t>
      </w:r>
      <w:r w:rsidR="00C63F8F" w:rsidRPr="00E27443">
        <w:t xml:space="preserve"> </w:t>
      </w:r>
      <w:r w:rsidRPr="00E27443">
        <w:t>against</w:t>
      </w:r>
      <w:r w:rsidR="00C63F8F" w:rsidRPr="00E27443">
        <w:t xml:space="preserve"> </w:t>
      </w:r>
      <w:r w:rsidRPr="00E27443">
        <w:t>discrimination</w:t>
      </w:r>
      <w:r w:rsidR="00C63F8F" w:rsidRPr="00E27443">
        <w:t xml:space="preserve"> </w:t>
      </w:r>
      <w:r w:rsidRPr="00E27443">
        <w:t>due</w:t>
      </w:r>
      <w:r w:rsidR="00C63F8F" w:rsidRPr="00E27443">
        <w:t xml:space="preserve"> </w:t>
      </w:r>
      <w:r w:rsidRPr="00E27443">
        <w:t>to</w:t>
      </w:r>
      <w:r w:rsidR="00C63F8F" w:rsidRPr="00E27443">
        <w:t xml:space="preserve"> </w:t>
      </w:r>
      <w:r w:rsidRPr="00E27443">
        <w:t>gender</w:t>
      </w:r>
      <w:r w:rsidR="00C63F8F" w:rsidRPr="00E27443">
        <w:t xml:space="preserve"> </w:t>
      </w:r>
      <w:r w:rsidRPr="00E27443">
        <w:t>and</w:t>
      </w:r>
      <w:r w:rsidR="00C63F8F" w:rsidRPr="00E27443">
        <w:t xml:space="preserve"> </w:t>
      </w:r>
      <w:r w:rsidRPr="00E27443">
        <w:t>disability.</w:t>
      </w:r>
      <w:r w:rsidR="00C63F8F" w:rsidRPr="00E27443">
        <w:t xml:space="preserve"> </w:t>
      </w:r>
      <w:r w:rsidRPr="00E27443">
        <w:t>The</w:t>
      </w:r>
      <w:r w:rsidR="00C63F8F" w:rsidRPr="00E27443">
        <w:t xml:space="preserve"> </w:t>
      </w:r>
      <w:r w:rsidRPr="00E27443">
        <w:t>Equality</w:t>
      </w:r>
      <w:r w:rsidR="00C63F8F" w:rsidRPr="00E27443">
        <w:t xml:space="preserve"> </w:t>
      </w:r>
      <w:r w:rsidRPr="00E27443">
        <w:t>Ombudsman</w:t>
      </w:r>
      <w:r w:rsidR="00C63F8F" w:rsidRPr="00E27443">
        <w:t xml:space="preserve"> </w:t>
      </w:r>
      <w:r w:rsidRPr="00E27443">
        <w:t>supervises</w:t>
      </w:r>
      <w:r w:rsidR="00C63F8F" w:rsidRPr="00E27443">
        <w:t xml:space="preserve"> </w:t>
      </w:r>
      <w:r w:rsidRPr="00E27443">
        <w:t>compliance</w:t>
      </w:r>
      <w:r w:rsidR="00C63F8F" w:rsidRPr="00E27443">
        <w:t xml:space="preserve"> </w:t>
      </w:r>
      <w:r w:rsidRPr="00E27443">
        <w:t>with</w:t>
      </w:r>
      <w:r w:rsidR="00C63F8F" w:rsidRPr="00E27443">
        <w:t xml:space="preserve"> </w:t>
      </w:r>
      <w:r w:rsidRPr="00E27443">
        <w:t>this</w:t>
      </w:r>
      <w:r w:rsidR="00C63F8F" w:rsidRPr="00E27443">
        <w:t xml:space="preserve"> </w:t>
      </w:r>
      <w:r w:rsidRPr="00E27443">
        <w:t>Act.</w:t>
      </w:r>
      <w:r w:rsidR="00C63F8F" w:rsidRPr="00E27443">
        <w:t xml:space="preserve"> </w:t>
      </w:r>
    </w:p>
    <w:p w:rsidR="00321ADA" w:rsidRPr="00E27443" w:rsidRDefault="00321ADA" w:rsidP="00B86C8B">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curricula</w:t>
      </w:r>
      <w:r w:rsidR="00C63F8F" w:rsidRPr="00E27443">
        <w:t xml:space="preserve"> </w:t>
      </w:r>
      <w:r w:rsidRPr="00E27443">
        <w:t>state</w:t>
      </w:r>
      <w:r w:rsidR="00C63F8F" w:rsidRPr="00E27443">
        <w:t xml:space="preserve"> </w:t>
      </w:r>
      <w:r w:rsidRPr="00E27443">
        <w:t>that</w:t>
      </w:r>
      <w:r w:rsidR="00C63F8F" w:rsidRPr="00E27443">
        <w:t xml:space="preserve"> </w:t>
      </w:r>
      <w:r w:rsidRPr="00E27443">
        <w:t>school</w:t>
      </w:r>
      <w:r w:rsidR="00C63F8F" w:rsidRPr="00E27443">
        <w:t xml:space="preserve"> </w:t>
      </w:r>
      <w:r w:rsidRPr="00E27443">
        <w:t>has</w:t>
      </w:r>
      <w:r w:rsidR="00C63F8F" w:rsidRPr="00E27443">
        <w:t xml:space="preserve"> </w:t>
      </w:r>
      <w:r w:rsidRPr="00E27443">
        <w:t>a</w:t>
      </w:r>
      <w:r w:rsidR="00C63F8F" w:rsidRPr="00E27443">
        <w:t xml:space="preserve"> </w:t>
      </w:r>
      <w:r w:rsidRPr="00E27443">
        <w:t>responsibility</w:t>
      </w:r>
      <w:r w:rsidR="00C63F8F" w:rsidRPr="00E27443">
        <w:t xml:space="preserve"> </w:t>
      </w:r>
      <w:r w:rsidRPr="00E27443">
        <w:t>to</w:t>
      </w:r>
      <w:r w:rsidR="00C63F8F" w:rsidRPr="00E27443">
        <w:t xml:space="preserve"> </w:t>
      </w:r>
      <w:r w:rsidRPr="00E27443">
        <w:t>counteract</w:t>
      </w:r>
      <w:r w:rsidR="00C63F8F" w:rsidRPr="00E27443">
        <w:t xml:space="preserve"> </w:t>
      </w:r>
      <w:r w:rsidRPr="00E27443">
        <w:t>traditional</w:t>
      </w:r>
      <w:r w:rsidR="00C63F8F" w:rsidRPr="00E27443">
        <w:t xml:space="preserve"> </w:t>
      </w:r>
      <w:r w:rsidRPr="00E27443">
        <w:t>gender</w:t>
      </w:r>
      <w:r w:rsidR="00C63F8F" w:rsidRPr="00E27443">
        <w:t xml:space="preserve"> </w:t>
      </w:r>
      <w:r w:rsidRPr="00E27443">
        <w:t>roles</w:t>
      </w:r>
      <w:r w:rsidR="00C63F8F" w:rsidRPr="00E27443">
        <w:t xml:space="preserve"> </w:t>
      </w:r>
      <w:r w:rsidRPr="00E27443">
        <w:t>and</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pupils</w:t>
      </w:r>
      <w:r w:rsidR="00C63F8F" w:rsidRPr="00E27443">
        <w:t xml:space="preserve"> </w:t>
      </w:r>
      <w:r w:rsidRPr="00E27443">
        <w:t>have</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develop</w:t>
      </w:r>
      <w:r w:rsidR="00C63F8F" w:rsidRPr="00E27443">
        <w:t xml:space="preserve"> </w:t>
      </w:r>
      <w:r w:rsidRPr="00E27443">
        <w:t>their</w:t>
      </w:r>
      <w:r w:rsidR="00C63F8F" w:rsidRPr="00E27443">
        <w:t xml:space="preserve"> </w:t>
      </w:r>
      <w:r w:rsidRPr="00E27443">
        <w:t>own</w:t>
      </w:r>
      <w:r w:rsidR="00C63F8F" w:rsidRPr="00E27443">
        <w:t xml:space="preserve"> </w:t>
      </w:r>
      <w:r w:rsidRPr="00E27443">
        <w:t>skills</w:t>
      </w:r>
      <w:r w:rsidR="00C63F8F" w:rsidRPr="00E27443">
        <w:t xml:space="preserve"> </w:t>
      </w:r>
      <w:r w:rsidRPr="00E27443">
        <w:t>and</w:t>
      </w:r>
      <w:r w:rsidR="00C63F8F" w:rsidRPr="00E27443">
        <w:t xml:space="preserve"> </w:t>
      </w:r>
      <w:r w:rsidRPr="00E27443">
        <w:t>interests,</w:t>
      </w:r>
      <w:r w:rsidR="00C63F8F" w:rsidRPr="00E27443">
        <w:t xml:space="preserve"> </w:t>
      </w:r>
      <w:r w:rsidRPr="00E27443">
        <w:t>regardless</w:t>
      </w:r>
      <w:r w:rsidR="00C63F8F" w:rsidRPr="00E27443">
        <w:t xml:space="preserve"> </w:t>
      </w:r>
      <w:r w:rsidRPr="00E27443">
        <w:t>of</w:t>
      </w:r>
      <w:r w:rsidR="00C63F8F" w:rsidRPr="00E27443">
        <w:t xml:space="preserve"> </w:t>
      </w:r>
      <w:r w:rsidRPr="00E27443">
        <w:t>their</w:t>
      </w:r>
      <w:r w:rsidR="00C63F8F" w:rsidRPr="00E27443">
        <w:t xml:space="preserve"> </w:t>
      </w:r>
      <w:r w:rsidRPr="00E27443">
        <w:t>sex.</w:t>
      </w:r>
      <w:r w:rsidR="00C63F8F" w:rsidRPr="00E27443">
        <w:t xml:space="preserve"> </w:t>
      </w:r>
      <w:r w:rsidRPr="00E27443">
        <w:t>School</w:t>
      </w:r>
      <w:r w:rsidR="00C63F8F" w:rsidRPr="00E27443">
        <w:t xml:space="preserve"> </w:t>
      </w:r>
      <w:r w:rsidRPr="00E27443">
        <w:t>must</w:t>
      </w:r>
      <w:r w:rsidR="00C63F8F" w:rsidRPr="00E27443">
        <w:t xml:space="preserve"> </w:t>
      </w:r>
      <w:r w:rsidRPr="00E27443">
        <w:t>actively</w:t>
      </w:r>
      <w:r w:rsidR="00C63F8F" w:rsidRPr="00E27443">
        <w:t xml:space="preserve"> </w:t>
      </w:r>
      <w:r w:rsidRPr="00E27443">
        <w:t>and</w:t>
      </w:r>
      <w:r w:rsidR="00C63F8F" w:rsidRPr="00E27443">
        <w:t xml:space="preserve"> </w:t>
      </w:r>
      <w:r w:rsidRPr="00E27443">
        <w:t>consciously</w:t>
      </w:r>
      <w:r w:rsidR="00C63F8F" w:rsidRPr="00E27443">
        <w:t xml:space="preserve"> </w:t>
      </w:r>
      <w:r w:rsidRPr="00B86C8B">
        <w:t>promote</w:t>
      </w:r>
      <w:r w:rsidR="00C63F8F" w:rsidRPr="00B86C8B">
        <w:t xml:space="preserve"> </w:t>
      </w:r>
      <w:r w:rsidRPr="00B86C8B">
        <w:t>men</w:t>
      </w:r>
      <w:r w:rsidR="00C63F8F" w:rsidRPr="00B86C8B">
        <w:t>’</w:t>
      </w:r>
      <w:r w:rsidRPr="00B86C8B">
        <w:t>s</w:t>
      </w:r>
      <w:r w:rsidR="00C63F8F" w:rsidRPr="00B86C8B">
        <w:t xml:space="preserve"> </w:t>
      </w:r>
      <w:r w:rsidRPr="00B86C8B">
        <w:t>and</w:t>
      </w:r>
      <w:r w:rsidR="00C63F8F" w:rsidRPr="00B86C8B">
        <w:t xml:space="preserve"> </w:t>
      </w:r>
      <w:r w:rsidRPr="00B86C8B">
        <w:t>women</w:t>
      </w:r>
      <w:r w:rsidR="00C63F8F" w:rsidRPr="00B86C8B">
        <w:t>’</w:t>
      </w:r>
      <w:r w:rsidRPr="00B86C8B">
        <w:t>s</w:t>
      </w:r>
      <w:r w:rsidR="00C63F8F" w:rsidRPr="00B86C8B">
        <w:t xml:space="preserve"> </w:t>
      </w:r>
      <w:r w:rsidRPr="00B86C8B">
        <w:t>equal</w:t>
      </w:r>
      <w:r w:rsidR="00C63F8F" w:rsidRPr="00B86C8B">
        <w:t xml:space="preserve"> </w:t>
      </w:r>
      <w:r w:rsidRPr="00B86C8B">
        <w:t>rights</w:t>
      </w:r>
      <w:r w:rsidR="00C63F8F" w:rsidRPr="00B86C8B">
        <w:t xml:space="preserve"> </w:t>
      </w:r>
      <w:r w:rsidRPr="00B86C8B">
        <w:t>and</w:t>
      </w:r>
      <w:r w:rsidR="00C63F8F" w:rsidRPr="00B86C8B">
        <w:t xml:space="preserve"> </w:t>
      </w:r>
      <w:r w:rsidRPr="00B86C8B">
        <w:t>opportunities</w:t>
      </w:r>
      <w:r w:rsidRPr="00E27443">
        <w:t>.</w:t>
      </w:r>
      <w:r w:rsidR="00C63F8F" w:rsidRPr="00E27443">
        <w:t xml:space="preserve"> </w:t>
      </w:r>
      <w:r w:rsidRPr="00E27443">
        <w:t>Analysing</w:t>
      </w:r>
      <w:r w:rsidR="00C63F8F" w:rsidRPr="00E27443">
        <w:t xml:space="preserve"> </w:t>
      </w:r>
      <w:r w:rsidRPr="00E27443">
        <w:t>and</w:t>
      </w:r>
      <w:r w:rsidR="00C63F8F" w:rsidRPr="00E27443">
        <w:t xml:space="preserve"> </w:t>
      </w:r>
      <w:r w:rsidRPr="00E27443">
        <w:t>focusing</w:t>
      </w:r>
      <w:r w:rsidR="00C63F8F" w:rsidRPr="00E27443">
        <w:t xml:space="preserve"> </w:t>
      </w:r>
      <w:r w:rsidRPr="00E27443">
        <w:t>awareness</w:t>
      </w:r>
      <w:r w:rsidR="00C63F8F" w:rsidRPr="00E27443">
        <w:t xml:space="preserve"> </w:t>
      </w:r>
      <w:r w:rsidRPr="00E27443">
        <w:t>on</w:t>
      </w:r>
      <w:r w:rsidR="00C63F8F" w:rsidRPr="00E27443">
        <w:t xml:space="preserve"> </w:t>
      </w:r>
      <w:r w:rsidRPr="00E27443">
        <w:t>these</w:t>
      </w:r>
      <w:r w:rsidR="00C63F8F" w:rsidRPr="00E27443">
        <w:t xml:space="preserve"> </w:t>
      </w:r>
      <w:r w:rsidRPr="00E27443">
        <w:t>issues</w:t>
      </w:r>
      <w:r w:rsidR="00C63F8F" w:rsidRPr="00E27443">
        <w:t xml:space="preserve"> </w:t>
      </w:r>
      <w:r w:rsidRPr="00E27443">
        <w:t>are</w:t>
      </w:r>
      <w:r w:rsidR="00C63F8F" w:rsidRPr="00E27443">
        <w:t xml:space="preserve"> </w:t>
      </w:r>
      <w:r w:rsidRPr="00E27443">
        <w:t>core</w:t>
      </w:r>
      <w:r w:rsidR="00C63F8F" w:rsidRPr="00E27443">
        <w:t xml:space="preserve"> </w:t>
      </w:r>
      <w:r w:rsidRPr="00E27443">
        <w:t>tasks</w:t>
      </w:r>
      <w:r w:rsidR="00C63F8F" w:rsidRPr="00E27443">
        <w:t xml:space="preserve"> </w:t>
      </w:r>
      <w:r w:rsidRPr="00E27443">
        <w:t>for</w:t>
      </w:r>
      <w:r w:rsidR="00C63F8F" w:rsidRPr="00E27443">
        <w:t xml:space="preserve"> </w:t>
      </w:r>
      <w:r w:rsidRPr="00E27443">
        <w:t>the</w:t>
      </w:r>
      <w:r w:rsidR="00C63F8F" w:rsidRPr="00E27443">
        <w:t xml:space="preserve"> </w:t>
      </w:r>
      <w:r w:rsidRPr="00E27443">
        <w:t>Delegation</w:t>
      </w:r>
      <w:r w:rsidR="00C63F8F" w:rsidRPr="00E27443">
        <w:t xml:space="preserve"> </w:t>
      </w:r>
      <w:r w:rsidRPr="00E27443">
        <w:t>for</w:t>
      </w:r>
      <w:r w:rsidR="00C63F8F" w:rsidRPr="00E27443">
        <w:t xml:space="preserve"> </w:t>
      </w:r>
      <w:r w:rsidRPr="00E27443">
        <w:t>Equality</w:t>
      </w:r>
      <w:r w:rsidR="00C63F8F" w:rsidRPr="00E27443">
        <w:t xml:space="preserve"> </w:t>
      </w:r>
      <w:r w:rsidRPr="00E27443">
        <w:t>in</w:t>
      </w:r>
      <w:r w:rsidR="00C63F8F" w:rsidRPr="00E27443">
        <w:t xml:space="preserve"> </w:t>
      </w:r>
      <w:r w:rsidRPr="00E27443">
        <w:t>Schools</w:t>
      </w:r>
      <w:r w:rsidR="00C63F8F" w:rsidRPr="00E27443">
        <w:t xml:space="preserve"> </w:t>
      </w:r>
      <w:r w:rsidRPr="00E27443">
        <w:t>and</w:t>
      </w:r>
      <w:r w:rsidR="00C63F8F" w:rsidRPr="00E27443">
        <w:t xml:space="preserve"> </w:t>
      </w:r>
      <w:r w:rsidRPr="00E27443">
        <w:t>the</w:t>
      </w:r>
      <w:r w:rsidR="00C63F8F" w:rsidRPr="00E27443">
        <w:t xml:space="preserve"> </w:t>
      </w:r>
      <w:r w:rsidRPr="00E27443">
        <w:t>Delegation</w:t>
      </w:r>
      <w:r w:rsidR="00C63F8F" w:rsidRPr="00E27443">
        <w:t xml:space="preserve"> </w:t>
      </w:r>
      <w:r w:rsidRPr="00E27443">
        <w:t>for</w:t>
      </w:r>
      <w:r w:rsidR="00C63F8F" w:rsidRPr="00E27443">
        <w:t xml:space="preserve"> </w:t>
      </w:r>
      <w:r w:rsidRPr="00E27443">
        <w:t>Equality</w:t>
      </w:r>
      <w:r w:rsidR="00C63F8F" w:rsidRPr="00E27443">
        <w:t xml:space="preserve"> </w:t>
      </w:r>
      <w:r w:rsidRPr="00E27443">
        <w:t>in</w:t>
      </w:r>
      <w:r w:rsidR="00C63F8F" w:rsidRPr="00E27443">
        <w:t xml:space="preserve"> </w:t>
      </w:r>
      <w:r w:rsidRPr="00E27443">
        <w:t>Higher</w:t>
      </w:r>
      <w:r w:rsidR="00C63F8F" w:rsidRPr="00E27443">
        <w:t xml:space="preserve"> </w:t>
      </w:r>
      <w:r w:rsidRPr="00E27443">
        <w:t>Education.</w:t>
      </w:r>
      <w:r w:rsidR="00C63F8F" w:rsidRPr="00E27443">
        <w:t xml:space="preserve"> </w:t>
      </w:r>
      <w:r w:rsidRPr="00E27443">
        <w:t>The</w:t>
      </w:r>
      <w:r w:rsidR="00C63F8F" w:rsidRPr="00E27443">
        <w:t xml:space="preserve"> </w:t>
      </w:r>
      <w:r w:rsidRPr="00E27443">
        <w:t>appointment</w:t>
      </w:r>
      <w:r w:rsidR="00C63F8F" w:rsidRPr="00E27443">
        <w:t xml:space="preserve"> </w:t>
      </w:r>
      <w:r w:rsidRPr="00E27443">
        <w:t>of</w:t>
      </w:r>
      <w:r w:rsidR="00C63F8F" w:rsidRPr="00E27443">
        <w:t xml:space="preserve"> </w:t>
      </w:r>
      <w:r w:rsidRPr="00E27443">
        <w:t>these</w:t>
      </w:r>
      <w:r w:rsidR="00C63F8F" w:rsidRPr="00E27443">
        <w:t xml:space="preserve"> </w:t>
      </w:r>
      <w:r w:rsidRPr="00E27443">
        <w:t>committees</w:t>
      </w:r>
      <w:r w:rsidR="00C63F8F" w:rsidRPr="00E27443">
        <w:t xml:space="preserve"> </w:t>
      </w:r>
      <w:r w:rsidRPr="00E27443">
        <w:t>is</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equal</w:t>
      </w:r>
      <w:r w:rsidR="00C63F8F" w:rsidRPr="00E27443">
        <w:t xml:space="preserve"> </w:t>
      </w:r>
      <w:r w:rsidRPr="00E27443">
        <w:t>opportunities</w:t>
      </w:r>
      <w:r w:rsidR="00C63F8F" w:rsidRPr="00E27443">
        <w:t xml:space="preserve"> </w:t>
      </w:r>
      <w:r w:rsidRPr="00E27443">
        <w:t>work.</w:t>
      </w:r>
      <w:r w:rsidR="00C63F8F" w:rsidRPr="00E27443">
        <w:t xml:space="preserve"> </w:t>
      </w:r>
    </w:p>
    <w:p w:rsidR="00321ADA" w:rsidRPr="00E27443" w:rsidRDefault="00321ADA" w:rsidP="00B86C8B">
      <w:pPr>
        <w:pStyle w:val="SingleTxtG"/>
        <w:numPr>
          <w:ilvl w:val="0"/>
          <w:numId w:val="20"/>
        </w:numPr>
        <w:tabs>
          <w:tab w:val="left" w:pos="1843"/>
        </w:tabs>
        <w:ind w:left="1134" w:firstLine="0"/>
      </w:pPr>
      <w:r w:rsidRPr="00E27443">
        <w:t>For</w:t>
      </w:r>
      <w:r w:rsidR="00C63F8F" w:rsidRPr="00E27443">
        <w:t xml:space="preserve"> </w:t>
      </w:r>
      <w:r w:rsidRPr="00E27443">
        <w:t>specific</w:t>
      </w:r>
      <w:r w:rsidR="00C63F8F" w:rsidRPr="00E27443">
        <w:t xml:space="preserve"> </w:t>
      </w:r>
      <w:r w:rsidRPr="00E27443">
        <w:t>equality</w:t>
      </w:r>
      <w:r w:rsidR="00C63F8F" w:rsidRPr="00E27443">
        <w:t xml:space="preserve"> </w:t>
      </w:r>
      <w:r w:rsidRPr="00E27443">
        <w:t>measures</w:t>
      </w:r>
      <w:r w:rsidR="00C63F8F" w:rsidRPr="00E27443">
        <w:t xml:space="preserve"> </w:t>
      </w:r>
      <w:r w:rsidRPr="00E27443">
        <w:t>within</w:t>
      </w:r>
      <w:r w:rsidR="00C63F8F" w:rsidRPr="00E27443">
        <w:t xml:space="preserve"> </w:t>
      </w:r>
      <w:r w:rsidRPr="00E27443">
        <w:t>working</w:t>
      </w:r>
      <w:r w:rsidR="00C63F8F" w:rsidRPr="00E27443">
        <w:t xml:space="preserve"> </w:t>
      </w:r>
      <w:r w:rsidRPr="00E27443">
        <w:t>life,</w:t>
      </w:r>
      <w:r w:rsidR="00C63F8F" w:rsidRPr="00E27443">
        <w:t xml:space="preserve"> </w:t>
      </w:r>
      <w:r w:rsidRPr="00E27443">
        <w:t>see</w:t>
      </w:r>
      <w:r w:rsidR="00C63F8F" w:rsidRPr="00E27443">
        <w:t xml:space="preserve"> </w:t>
      </w:r>
      <w:r w:rsidRPr="00E27443">
        <w:t>Article</w:t>
      </w:r>
      <w:r w:rsidR="00C63F8F" w:rsidRPr="00E27443">
        <w:t xml:space="preserve"> </w:t>
      </w:r>
      <w:r w:rsidRPr="00E27443">
        <w:t>27.</w:t>
      </w:r>
    </w:p>
    <w:p w:rsidR="00321ADA" w:rsidRPr="00E27443" w:rsidRDefault="00321ADA" w:rsidP="00B86C8B">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taken</w:t>
      </w:r>
      <w:r w:rsidR="00C63F8F" w:rsidRPr="00E27443">
        <w:t xml:space="preserve"> </w:t>
      </w:r>
      <w:r w:rsidRPr="00E27443">
        <w:t>decisions</w:t>
      </w:r>
      <w:r w:rsidR="00C63F8F" w:rsidRPr="00E27443">
        <w:t xml:space="preserve"> </w:t>
      </w:r>
      <w:r w:rsidRPr="00E27443">
        <w:t>regarding</w:t>
      </w:r>
      <w:r w:rsidR="00C63F8F" w:rsidRPr="00E27443">
        <w:t xml:space="preserve"> </w:t>
      </w:r>
      <w:r w:rsidRPr="00E27443">
        <w:t>specific</w:t>
      </w:r>
      <w:r w:rsidR="00C63F8F" w:rsidRPr="00E27443">
        <w:t xml:space="preserve"> </w:t>
      </w:r>
      <w:r w:rsidRPr="00E27443">
        <w:t>measures</w:t>
      </w:r>
      <w:r w:rsidR="00C63F8F" w:rsidRPr="00E27443">
        <w:t xml:space="preserve"> </w:t>
      </w:r>
      <w:r w:rsidRPr="00E27443">
        <w:t>for</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w:t>
      </w:r>
      <w:r w:rsidR="00C63F8F" w:rsidRPr="00E27443">
        <w:t xml:space="preserve"> </w:t>
      </w:r>
      <w:r w:rsidRPr="00E27443">
        <w:t>labour</w:t>
      </w:r>
      <w:r w:rsidR="00C63F8F" w:rsidRPr="00E27443">
        <w:t xml:space="preserve"> </w:t>
      </w:r>
      <w:r w:rsidRPr="00E27443">
        <w:t>market</w:t>
      </w:r>
      <w:r w:rsidR="00C63F8F" w:rsidRPr="00E27443">
        <w:t xml:space="preserve"> </w:t>
      </w:r>
      <w:r w:rsidRPr="00E27443">
        <w:t>policy,</w:t>
      </w:r>
      <w:r w:rsidR="00C63F8F" w:rsidRPr="00E27443">
        <w:t xml:space="preserve"> </w:t>
      </w:r>
      <w:r w:rsidRPr="00E27443">
        <w:t>within</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service,</w:t>
      </w:r>
      <w:r w:rsidR="00C63F8F" w:rsidRPr="00E27443">
        <w:t xml:space="preserve"> </w:t>
      </w:r>
      <w:r w:rsidRPr="00E27443">
        <w:t>and</w:t>
      </w:r>
      <w:r w:rsidR="00C63F8F" w:rsidRPr="00E27443">
        <w:t xml:space="preserve"> </w:t>
      </w:r>
      <w:r w:rsidRPr="00E27443">
        <w:t>in</w:t>
      </w:r>
      <w:r w:rsidR="00C63F8F" w:rsidRPr="00E27443">
        <w:t xml:space="preserve"> </w:t>
      </w:r>
      <w:r w:rsidRPr="00E27443">
        <w:t>the</w:t>
      </w:r>
      <w:r w:rsidR="00C63F8F" w:rsidRPr="00E27443">
        <w:t xml:space="preserve"> </w:t>
      </w:r>
      <w:r w:rsidRPr="00E27443">
        <w:t>work</w:t>
      </w:r>
      <w:r w:rsidR="00C63F8F" w:rsidRPr="00E27443">
        <w:t xml:space="preserve"> </w:t>
      </w:r>
      <w:r w:rsidRPr="00E27443">
        <w:t>on</w:t>
      </w:r>
      <w:r w:rsidR="00C63F8F" w:rsidRPr="00E27443">
        <w:t xml:space="preserve"> </w:t>
      </w:r>
      <w:r w:rsidR="008472FF" w:rsidRPr="00E27443">
        <w:t>combating</w:t>
      </w:r>
      <w:r w:rsidR="00C63F8F" w:rsidRPr="00E27443">
        <w:t xml:space="preserve"> </w:t>
      </w:r>
      <w:r w:rsidRPr="00E27443">
        <w:t>men</w:t>
      </w:r>
      <w:r w:rsidR="00C63F8F" w:rsidRPr="00E27443">
        <w:t>’</w:t>
      </w:r>
      <w:r w:rsidRPr="00E27443">
        <w:t>s</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women.</w:t>
      </w:r>
    </w:p>
    <w:p w:rsidR="00321ADA" w:rsidRPr="00E27443" w:rsidRDefault="00321ADA" w:rsidP="00B86C8B">
      <w:pPr>
        <w:pStyle w:val="SingleTxtG"/>
        <w:numPr>
          <w:ilvl w:val="0"/>
          <w:numId w:val="20"/>
        </w:numPr>
        <w:tabs>
          <w:tab w:val="left" w:pos="1843"/>
        </w:tabs>
        <w:ind w:left="1134" w:firstLine="0"/>
      </w:pPr>
      <w:r w:rsidRPr="00E27443">
        <w:t>Studies</w:t>
      </w:r>
      <w:r w:rsidR="00C63F8F" w:rsidRPr="00E27443">
        <w:t xml:space="preserve"> </w:t>
      </w:r>
      <w:r w:rsidRPr="00E27443">
        <w:t>on</w:t>
      </w:r>
      <w:r w:rsidR="00C63F8F" w:rsidRPr="00E27443">
        <w:t xml:space="preserve"> </w:t>
      </w:r>
      <w:r w:rsidRPr="00E27443">
        <w:t>victims</w:t>
      </w:r>
      <w:r w:rsidR="00C63F8F" w:rsidRPr="00E27443">
        <w:t xml:space="preserve"> </w:t>
      </w:r>
      <w:r w:rsidRPr="00E27443">
        <w:t>of</w:t>
      </w:r>
      <w:r w:rsidR="00C63F8F" w:rsidRPr="00E27443">
        <w:t xml:space="preserve"> </w:t>
      </w:r>
      <w:r w:rsidRPr="00E27443">
        <w:t>violence</w:t>
      </w:r>
      <w:r w:rsidR="00C63F8F" w:rsidRPr="00E27443">
        <w:t xml:space="preserve"> </w:t>
      </w:r>
      <w:r w:rsidRPr="00E27443">
        <w:t>show</w:t>
      </w:r>
      <w:r w:rsidR="00C63F8F" w:rsidRPr="00E27443">
        <w:t xml:space="preserve"> </w:t>
      </w:r>
      <w:r w:rsidRPr="00E27443">
        <w:t>that</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particularly</w:t>
      </w:r>
      <w:r w:rsidR="00C63F8F" w:rsidRPr="00E27443">
        <w:t xml:space="preserve"> </w:t>
      </w:r>
      <w:r w:rsidRPr="00E27443">
        <w:t>vulnerable.</w:t>
      </w:r>
      <w:r w:rsidR="00C63F8F" w:rsidRPr="00E27443">
        <w:t xml:space="preserve"> </w:t>
      </w:r>
      <w:r w:rsidRPr="00E27443">
        <w:t>It</w:t>
      </w:r>
      <w:r w:rsidR="00C63F8F" w:rsidRPr="00E27443">
        <w:t xml:space="preserve"> </w:t>
      </w:r>
      <w:r w:rsidRPr="00E27443">
        <w:t>is</w:t>
      </w:r>
      <w:r w:rsidR="00C63F8F" w:rsidRPr="00E27443">
        <w:t xml:space="preserve"> </w:t>
      </w:r>
      <w:r w:rsidRPr="00E27443">
        <w:t>therefore</w:t>
      </w:r>
      <w:r w:rsidR="00C63F8F" w:rsidRPr="00E27443">
        <w:t xml:space="preserve"> </w:t>
      </w:r>
      <w:r w:rsidRPr="00E27443">
        <w:t>vital</w:t>
      </w:r>
      <w:r w:rsidR="00C63F8F" w:rsidRPr="00E27443">
        <w:t xml:space="preserve"> </w:t>
      </w:r>
      <w:r w:rsidRPr="00E27443">
        <w:t>to</w:t>
      </w:r>
      <w:r w:rsidR="00C63F8F" w:rsidRPr="00E27443">
        <w:t xml:space="preserve"> </w:t>
      </w:r>
      <w:r w:rsidRPr="00E27443">
        <w:t>combat</w:t>
      </w:r>
      <w:r w:rsidR="00C63F8F" w:rsidRPr="00E27443">
        <w:t xml:space="preserve"> </w:t>
      </w:r>
      <w:r w:rsidRPr="00E27443">
        <w:t>violence</w:t>
      </w:r>
      <w:r w:rsidR="00C63F8F" w:rsidRPr="00E27443">
        <w:t xml:space="preserve"> </w:t>
      </w:r>
      <w:r w:rsidRPr="00E27443">
        <w:t>and</w:t>
      </w:r>
      <w:r w:rsidR="00C63F8F" w:rsidRPr="00E27443">
        <w:t xml:space="preserve"> </w:t>
      </w:r>
      <w:r w:rsidRPr="00E27443">
        <w:t>assaults</w:t>
      </w:r>
      <w:r w:rsidR="00C63F8F" w:rsidRPr="00E27443">
        <w:t xml:space="preserve"> </w:t>
      </w:r>
      <w:r w:rsidRPr="00E27443">
        <w:t>against</w:t>
      </w:r>
      <w:r w:rsidR="00C63F8F" w:rsidRPr="00E27443">
        <w:t xml:space="preserve"> </w:t>
      </w:r>
      <w:r w:rsidRPr="00E27443">
        <w:t>women</w:t>
      </w:r>
      <w:r w:rsidR="00C63F8F" w:rsidRPr="00E27443">
        <w:t xml:space="preserve"> </w:t>
      </w:r>
      <w:r w:rsidRPr="00E27443">
        <w:t>with</w:t>
      </w:r>
      <w:r w:rsidR="00C63F8F" w:rsidRPr="00E27443">
        <w:t xml:space="preserve"> </w:t>
      </w:r>
      <w:r w:rsidRPr="00E27443">
        <w:t>mental</w:t>
      </w:r>
      <w:r w:rsidR="00C63F8F" w:rsidRPr="00E27443">
        <w:t xml:space="preserve"> </w:t>
      </w:r>
      <w:r w:rsidRPr="00E27443">
        <w:t>and</w:t>
      </w:r>
      <w:r w:rsidR="00C63F8F" w:rsidRPr="00E27443">
        <w:t xml:space="preserve"> </w:t>
      </w:r>
      <w:r w:rsidRPr="00E27443">
        <w:t>physical</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knowledge</w:t>
      </w:r>
      <w:r w:rsidR="00C63F8F" w:rsidRPr="00E27443">
        <w:t xml:space="preserve"> </w:t>
      </w:r>
      <w:r w:rsidRPr="00E27443">
        <w:t>within</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aimed</w:t>
      </w:r>
      <w:r w:rsidR="00C63F8F" w:rsidRPr="00E27443">
        <w:t xml:space="preserve"> </w:t>
      </w:r>
      <w:r w:rsidRPr="00E27443">
        <w:t>at</w:t>
      </w:r>
      <w:r w:rsidR="00C63F8F" w:rsidRPr="00E27443">
        <w:t xml:space="preserve"> </w:t>
      </w:r>
      <w:r w:rsidRPr="00E27443">
        <w:t>improving</w:t>
      </w:r>
      <w:r w:rsidR="00C63F8F" w:rsidRPr="00E27443">
        <w:t xml:space="preserve"> </w:t>
      </w:r>
      <w:r w:rsidRPr="00E27443">
        <w:t>the</w:t>
      </w:r>
      <w:r w:rsidR="00C63F8F" w:rsidRPr="00E27443">
        <w:t xml:space="preserve"> </w:t>
      </w:r>
      <w:r w:rsidRPr="00E27443">
        <w:t>application</w:t>
      </w:r>
      <w:r w:rsidR="00C63F8F" w:rsidRPr="00E27443">
        <w:t xml:space="preserve"> </w:t>
      </w:r>
      <w:r w:rsidRPr="00E27443">
        <w:t>of</w:t>
      </w:r>
      <w:r w:rsidR="00C63F8F" w:rsidRPr="00E27443">
        <w:t xml:space="preserve"> </w:t>
      </w:r>
      <w:r w:rsidRPr="00E27443">
        <w:t>the</w:t>
      </w:r>
      <w:r w:rsidR="00C63F8F" w:rsidRPr="00E27443">
        <w:t xml:space="preserve"> </w:t>
      </w:r>
      <w:r w:rsidRPr="00E27443">
        <w:t>Social</w:t>
      </w:r>
      <w:r w:rsidR="00C63F8F" w:rsidRPr="00E27443">
        <w:t xml:space="preserve"> </w:t>
      </w:r>
      <w:r w:rsidRPr="00E27443">
        <w:t>Services</w:t>
      </w:r>
      <w:r w:rsidR="00C63F8F" w:rsidRPr="00E27443">
        <w:t xml:space="preserve"> </w:t>
      </w:r>
      <w:r w:rsidRPr="00E27443">
        <w:t>Act,</w:t>
      </w:r>
      <w:r w:rsidR="00C63F8F" w:rsidRPr="00E27443">
        <w:t xml:space="preserve"> </w:t>
      </w:r>
      <w:r w:rsidRPr="00E27443">
        <w:t>so</w:t>
      </w:r>
      <w:r w:rsidR="00C63F8F" w:rsidRPr="00E27443">
        <w:t xml:space="preserve"> </w:t>
      </w:r>
      <w:r w:rsidRPr="00E27443">
        <w:t>that</w:t>
      </w:r>
      <w:r w:rsidR="00C63F8F" w:rsidRPr="00E27443">
        <w:t xml:space="preserve"> </w:t>
      </w:r>
      <w:r w:rsidRPr="00E27443">
        <w:t>abused</w:t>
      </w:r>
      <w:r w:rsidR="00C63F8F" w:rsidRPr="00E27443">
        <w:t xml:space="preserve"> </w:t>
      </w:r>
      <w:r w:rsidRPr="00E27443">
        <w:t>women,</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women</w:t>
      </w:r>
      <w:r w:rsidR="00C63F8F" w:rsidRPr="00E27443">
        <w:t xml:space="preserve"> </w:t>
      </w:r>
      <w:r w:rsidRPr="00E27443">
        <w:t>subjected</w:t>
      </w:r>
      <w:r w:rsidR="00C63F8F" w:rsidRPr="00E27443">
        <w:t xml:space="preserve"> </w:t>
      </w:r>
      <w:r w:rsidRPr="00E27443">
        <w:t>to</w:t>
      </w:r>
      <w:r w:rsidR="00C63F8F" w:rsidRPr="00E27443">
        <w:t xml:space="preserve"> </w:t>
      </w:r>
      <w:r w:rsidRPr="00E27443">
        <w:t>honour</w:t>
      </w:r>
      <w:r w:rsidR="00C63F8F" w:rsidRPr="00E27443">
        <w:t xml:space="preserve"> </w:t>
      </w:r>
      <w:r w:rsidRPr="00E27443">
        <w:t>violence,</w:t>
      </w:r>
      <w:r w:rsidR="00C63F8F" w:rsidRPr="00E27443">
        <w:t xml:space="preserve"> </w:t>
      </w:r>
      <w:r w:rsidRPr="00E27443">
        <w:t>etc.</w:t>
      </w:r>
      <w:r w:rsidR="00C63F8F" w:rsidRPr="00E27443">
        <w:t xml:space="preserve"> </w:t>
      </w:r>
      <w:r w:rsidRPr="00E27443">
        <w:t>also</w:t>
      </w:r>
      <w:r w:rsidR="00C63F8F" w:rsidRPr="00E27443">
        <w:t xml:space="preserve"> </w:t>
      </w:r>
      <w:r w:rsidRPr="00E27443">
        <w:t>receive</w:t>
      </w:r>
      <w:r w:rsidR="00C63F8F" w:rsidRPr="00E27443">
        <w:t xml:space="preserve"> </w:t>
      </w:r>
      <w:r w:rsidRPr="00E27443">
        <w:t>the</w:t>
      </w:r>
      <w:r w:rsidR="00C63F8F" w:rsidRPr="00E27443">
        <w:t xml:space="preserve"> </w:t>
      </w:r>
      <w:r w:rsidRPr="00E27443">
        <w:t>help</w:t>
      </w:r>
      <w:r w:rsidR="00C63F8F" w:rsidRPr="00E27443">
        <w:t xml:space="preserve"> </w:t>
      </w:r>
      <w:r w:rsidRPr="00E27443">
        <w:t>and</w:t>
      </w:r>
      <w:r w:rsidR="00C63F8F" w:rsidRPr="00E27443">
        <w:t xml:space="preserve"> </w:t>
      </w:r>
      <w:r w:rsidRPr="00E27443">
        <w:t>support</w:t>
      </w:r>
      <w:r w:rsidR="00C63F8F" w:rsidRPr="00E27443">
        <w:t xml:space="preserve"> </w:t>
      </w:r>
      <w:r w:rsidRPr="00E27443">
        <w:t>they</w:t>
      </w:r>
      <w:r w:rsidR="00C63F8F" w:rsidRPr="00E27443">
        <w:t xml:space="preserve"> </w:t>
      </w:r>
      <w:r w:rsidRPr="00E27443">
        <w:t>need,</w:t>
      </w:r>
      <w:r w:rsidR="00C63F8F" w:rsidRPr="00E27443">
        <w:t xml:space="preserve"> </w:t>
      </w:r>
      <w:r w:rsidRPr="00E27443">
        <w:t>is</w:t>
      </w:r>
      <w:r w:rsidR="00C63F8F" w:rsidRPr="00E27443">
        <w:t xml:space="preserve"> </w:t>
      </w:r>
      <w:r w:rsidRPr="00E27443">
        <w:t>described</w:t>
      </w:r>
      <w:r w:rsidR="00C63F8F" w:rsidRPr="00E27443">
        <w:t xml:space="preserve"> </w:t>
      </w:r>
      <w:r w:rsidRPr="00E27443">
        <w:t>under</w:t>
      </w:r>
      <w:r w:rsidR="00C63F8F" w:rsidRPr="00E27443">
        <w:t xml:space="preserve"> </w:t>
      </w:r>
      <w:r w:rsidRPr="00E27443">
        <w:t>Article</w:t>
      </w:r>
      <w:r w:rsidR="00C63F8F" w:rsidRPr="00E27443">
        <w:t xml:space="preserve"> </w:t>
      </w:r>
      <w:r w:rsidRPr="00E27443">
        <w:t>16.</w:t>
      </w:r>
    </w:p>
    <w:p w:rsidR="00321ADA" w:rsidRPr="00E27443" w:rsidRDefault="00321ADA" w:rsidP="00B86C8B">
      <w:pPr>
        <w:pStyle w:val="SingleTxtG"/>
        <w:numPr>
          <w:ilvl w:val="0"/>
          <w:numId w:val="20"/>
        </w:numPr>
        <w:tabs>
          <w:tab w:val="left" w:pos="1843"/>
        </w:tabs>
        <w:ind w:left="1134" w:firstLine="0"/>
      </w:pPr>
      <w:r w:rsidRPr="00E27443">
        <w:t>In</w:t>
      </w:r>
      <w:r w:rsidR="00C63F8F" w:rsidRPr="00E27443">
        <w:t xml:space="preserve"> </w:t>
      </w:r>
      <w:r w:rsidRPr="00E27443">
        <w:t>2007,</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decided</w:t>
      </w:r>
      <w:r w:rsidR="00C63F8F" w:rsidRPr="00E27443">
        <w:t xml:space="preserve"> </w:t>
      </w:r>
      <w:r w:rsidRPr="00E27443">
        <w:t>on</w:t>
      </w:r>
      <w:r w:rsidR="00C63F8F" w:rsidRPr="00E27443">
        <w:t xml:space="preserve"> </w:t>
      </w:r>
      <w:r w:rsidRPr="00E27443">
        <w:t>action</w:t>
      </w:r>
      <w:r w:rsidR="00C63F8F" w:rsidRPr="00E27443">
        <w:t xml:space="preserve"> </w:t>
      </w:r>
      <w:r w:rsidRPr="00E27443">
        <w:t>plan</w:t>
      </w:r>
      <w:r w:rsidR="00C63F8F" w:rsidRPr="00E27443">
        <w:t xml:space="preserve"> </w:t>
      </w:r>
      <w:r w:rsidRPr="00E27443">
        <w:t>to</w:t>
      </w:r>
      <w:r w:rsidR="00C63F8F" w:rsidRPr="00E27443">
        <w:t xml:space="preserve"> </w:t>
      </w:r>
      <w:r w:rsidRPr="00E27443">
        <w:t>combat</w:t>
      </w:r>
      <w:r w:rsidR="00C63F8F" w:rsidRPr="00E27443">
        <w:t xml:space="preserve"> </w:t>
      </w:r>
      <w:r w:rsidRPr="00E27443">
        <w:t>men</w:t>
      </w:r>
      <w:r w:rsidR="00C63F8F" w:rsidRPr="00E27443">
        <w:t>’</w:t>
      </w:r>
      <w:r w:rsidRPr="00E27443">
        <w:t>s</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women,</w:t>
      </w:r>
      <w:r w:rsidR="00C63F8F" w:rsidRPr="00E27443">
        <w:t xml:space="preserve"> </w:t>
      </w:r>
      <w:r w:rsidRPr="00E27443">
        <w:t>violence</w:t>
      </w:r>
      <w:r w:rsidR="00C63F8F" w:rsidRPr="00E27443">
        <w:t xml:space="preserve"> </w:t>
      </w:r>
      <w:r w:rsidRPr="00E27443">
        <w:t>and</w:t>
      </w:r>
      <w:r w:rsidR="00C63F8F" w:rsidRPr="00E27443">
        <w:t xml:space="preserve"> </w:t>
      </w:r>
      <w:r w:rsidRPr="00E27443">
        <w:t>oppression</w:t>
      </w:r>
      <w:r w:rsidR="00C63F8F" w:rsidRPr="00E27443">
        <w:t xml:space="preserve"> </w:t>
      </w:r>
      <w:r w:rsidRPr="00E27443">
        <w:t>in</w:t>
      </w:r>
      <w:r w:rsidR="00C63F8F" w:rsidRPr="00E27443">
        <w:t xml:space="preserve"> </w:t>
      </w:r>
      <w:r w:rsidRPr="00E27443">
        <w:t>the</w:t>
      </w:r>
      <w:r w:rsidR="00C63F8F" w:rsidRPr="00E27443">
        <w:t xml:space="preserve"> </w:t>
      </w:r>
      <w:r w:rsidRPr="00E27443">
        <w:t>name</w:t>
      </w:r>
      <w:r w:rsidR="00C63F8F" w:rsidRPr="00E27443">
        <w:t xml:space="preserve"> </w:t>
      </w:r>
      <w:r w:rsidRPr="00E27443">
        <w:t>of</w:t>
      </w:r>
      <w:r w:rsidR="00C63F8F" w:rsidRPr="00E27443">
        <w:t xml:space="preserve"> </w:t>
      </w:r>
      <w:r w:rsidRPr="00E27443">
        <w:t>honour,</w:t>
      </w:r>
      <w:r w:rsidR="00C63F8F" w:rsidRPr="00E27443">
        <w:t xml:space="preserve"> </w:t>
      </w:r>
      <w:r w:rsidRPr="00E27443">
        <w:t>and</w:t>
      </w:r>
      <w:r w:rsidR="00C63F8F" w:rsidRPr="00E27443">
        <w:t xml:space="preserve"> </w:t>
      </w:r>
      <w:r w:rsidRPr="00E27443">
        <w:t>violence</w:t>
      </w:r>
      <w:r w:rsidR="00C63F8F" w:rsidRPr="00E27443">
        <w:t xml:space="preserve"> </w:t>
      </w:r>
      <w:r w:rsidRPr="00E27443">
        <w:t>in</w:t>
      </w:r>
      <w:r w:rsidR="00C63F8F" w:rsidRPr="00E27443">
        <w:t xml:space="preserve"> </w:t>
      </w:r>
      <w:r w:rsidRPr="00E27443">
        <w:t>same-sex</w:t>
      </w:r>
      <w:r w:rsidR="00C63F8F" w:rsidRPr="00E27443">
        <w:t xml:space="preserve"> </w:t>
      </w:r>
      <w:r w:rsidRPr="00E27443">
        <w:t>relationships.</w:t>
      </w:r>
      <w:r w:rsidR="00285D49" w:rsidRPr="00B86C8B">
        <w:footnoteReference w:id="150"/>
      </w:r>
      <w:r w:rsidR="00C63F8F" w:rsidRPr="00E27443">
        <w:t xml:space="preserve"> </w:t>
      </w:r>
      <w:r w:rsidRPr="00E27443">
        <w:t>This</w:t>
      </w:r>
      <w:r w:rsidR="00C63F8F" w:rsidRPr="00E27443">
        <w:t xml:space="preserve"> </w:t>
      </w:r>
      <w:r w:rsidRPr="00E27443">
        <w:t>action</w:t>
      </w:r>
      <w:r w:rsidR="00C63F8F" w:rsidRPr="00E27443">
        <w:t xml:space="preserve"> </w:t>
      </w:r>
      <w:r w:rsidRPr="00E27443">
        <w:t>plan</w:t>
      </w:r>
      <w:r w:rsidR="00C63F8F" w:rsidRPr="00E27443">
        <w:t xml:space="preserve"> </w:t>
      </w:r>
      <w:r w:rsidRPr="00E27443">
        <w:t>highlights</w:t>
      </w:r>
      <w:r w:rsidR="00C63F8F" w:rsidRPr="00E27443">
        <w:t xml:space="preserve"> </w:t>
      </w:r>
      <w:r w:rsidRPr="00E27443">
        <w:t>the</w:t>
      </w:r>
      <w:r w:rsidR="00C63F8F" w:rsidRPr="00E27443">
        <w:t xml:space="preserve"> </w:t>
      </w:r>
      <w:r w:rsidRPr="00E27443">
        <w:t>fact</w:t>
      </w:r>
      <w:r w:rsidR="00C63F8F" w:rsidRPr="00E27443">
        <w:t xml:space="preserve"> </w:t>
      </w:r>
      <w:r w:rsidRPr="00E27443">
        <w:t>that</w:t>
      </w:r>
      <w:r w:rsidR="00C63F8F" w:rsidRPr="00E27443">
        <w:t xml:space="preserve"> </w:t>
      </w:r>
      <w:r w:rsidRPr="00E27443">
        <w:t>certain</w:t>
      </w:r>
      <w:r w:rsidR="00C63F8F" w:rsidRPr="00E27443">
        <w:t xml:space="preserve"> </w:t>
      </w:r>
      <w:r w:rsidRPr="00E27443">
        <w:t>groups</w:t>
      </w:r>
      <w:r w:rsidR="00C63F8F" w:rsidRPr="00E27443">
        <w:t xml:space="preserve"> </w:t>
      </w:r>
      <w:r w:rsidRPr="00E27443">
        <w:t>of</w:t>
      </w:r>
      <w:r w:rsidR="00C63F8F" w:rsidRPr="00E27443">
        <w:t xml:space="preserve"> </w:t>
      </w:r>
      <w:r w:rsidRPr="00E27443">
        <w:t>women</w:t>
      </w:r>
      <w:r w:rsidR="00C63F8F" w:rsidRPr="00E27443">
        <w:t xml:space="preserve"> </w:t>
      </w:r>
      <w:r w:rsidRPr="00E27443">
        <w:t>may</w:t>
      </w:r>
      <w:r w:rsidR="00C63F8F" w:rsidRPr="00E27443">
        <w:t xml:space="preserve"> </w:t>
      </w:r>
      <w:r w:rsidRPr="00E27443">
        <w:t>be</w:t>
      </w:r>
      <w:r w:rsidR="00C63F8F" w:rsidRPr="00E27443">
        <w:t xml:space="preserve"> </w:t>
      </w:r>
      <w:r w:rsidRPr="00E27443">
        <w:t>particularly</w:t>
      </w:r>
      <w:r w:rsidR="00C63F8F" w:rsidRPr="00E27443">
        <w:t xml:space="preserve"> </w:t>
      </w:r>
      <w:r w:rsidRPr="00E27443">
        <w:t>vulnerable</w:t>
      </w:r>
      <w:r w:rsidR="00C63F8F" w:rsidRPr="00E27443">
        <w:t xml:space="preserve"> </w:t>
      </w:r>
      <w:r w:rsidRPr="00E27443">
        <w:t>to</w:t>
      </w:r>
      <w:r w:rsidR="00C63F8F" w:rsidRPr="00E27443">
        <w:t xml:space="preserve"> </w:t>
      </w:r>
      <w:r w:rsidRPr="00E27443">
        <w:t>violence,</w:t>
      </w:r>
      <w:r w:rsidR="00C63F8F" w:rsidRPr="00E27443">
        <w:t xml:space="preserve"> </w:t>
      </w:r>
      <w:r w:rsidRPr="00E27443">
        <w:t>e.g.</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These</w:t>
      </w:r>
      <w:r w:rsidR="00C63F8F" w:rsidRPr="00E27443">
        <w:t xml:space="preserve"> </w:t>
      </w:r>
      <w:r w:rsidRPr="00E27443">
        <w:t>women</w:t>
      </w:r>
      <w:r w:rsidR="00C63F8F" w:rsidRPr="00E27443">
        <w:t xml:space="preserve"> </w:t>
      </w:r>
      <w:r w:rsidRPr="00E27443">
        <w:t>are</w:t>
      </w:r>
      <w:r w:rsidR="00C63F8F" w:rsidRPr="00E27443">
        <w:t xml:space="preserve"> </w:t>
      </w:r>
      <w:r w:rsidRPr="00E27443">
        <w:t>covered</w:t>
      </w:r>
      <w:r w:rsidR="00C63F8F" w:rsidRPr="00E27443">
        <w:t xml:space="preserve"> </w:t>
      </w:r>
      <w:r w:rsidRPr="00E27443">
        <w:t>by</w:t>
      </w:r>
      <w:r w:rsidR="00C63F8F" w:rsidRPr="00E27443">
        <w:t xml:space="preserve"> </w:t>
      </w:r>
      <w:r w:rsidRPr="00E27443">
        <w:t>more</w:t>
      </w:r>
      <w:r w:rsidR="00C63F8F" w:rsidRPr="00E27443">
        <w:t xml:space="preserve"> </w:t>
      </w:r>
      <w:r w:rsidRPr="00E27443">
        <w:t>than</w:t>
      </w:r>
      <w:r w:rsidR="00C63F8F" w:rsidRPr="00E27443">
        <w:t xml:space="preserve"> </w:t>
      </w:r>
      <w:r w:rsidRPr="00E27443">
        <w:t>50</w:t>
      </w:r>
      <w:r w:rsidR="00C63F8F" w:rsidRPr="00E27443">
        <w:t xml:space="preserve"> </w:t>
      </w:r>
      <w:r w:rsidRPr="00E27443">
        <w:t>different</w:t>
      </w:r>
      <w:r w:rsidR="00C63F8F" w:rsidRPr="00E27443">
        <w:t xml:space="preserve"> </w:t>
      </w:r>
      <w:r w:rsidRPr="00E27443">
        <w:t>initiatives</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E27443">
        <w:t>action</w:t>
      </w:r>
      <w:r w:rsidR="00C63F8F" w:rsidRPr="00E27443">
        <w:t xml:space="preserve"> </w:t>
      </w:r>
      <w:r w:rsidRPr="00E27443">
        <w:t>plan.</w:t>
      </w:r>
      <w:r w:rsidR="00C63F8F" w:rsidRPr="00E27443">
        <w:t xml:space="preserve"> </w:t>
      </w:r>
      <w:r w:rsidRPr="00E27443">
        <w:t>In</w:t>
      </w:r>
      <w:r w:rsidR="00C63F8F" w:rsidRPr="00E27443">
        <w:t xml:space="preserve"> </w:t>
      </w:r>
      <w:r w:rsidRPr="00E27443">
        <w:t>addition</w:t>
      </w:r>
      <w:r w:rsidR="00C63F8F" w:rsidRPr="00E27443">
        <w:t xml:space="preserve"> </w:t>
      </w:r>
      <w:r w:rsidRPr="00E27443">
        <w:t>to</w:t>
      </w:r>
      <w:r w:rsidR="00C63F8F" w:rsidRPr="00E27443">
        <w:t xml:space="preserve"> </w:t>
      </w:r>
      <w:r w:rsidRPr="00E27443">
        <w:t>the</w:t>
      </w:r>
      <w:r w:rsidR="00C63F8F" w:rsidRPr="00E27443">
        <w:t xml:space="preserve"> </w:t>
      </w:r>
      <w:r w:rsidRPr="00E27443">
        <w:t>general</w:t>
      </w:r>
      <w:r w:rsidR="00C63F8F" w:rsidRPr="00E27443">
        <w:t xml:space="preserve"> </w:t>
      </w:r>
      <w:r w:rsidRPr="00E27443">
        <w:t>assignments,</w:t>
      </w:r>
      <w:r w:rsidR="00C63F8F" w:rsidRPr="00E27443">
        <w:t xml:space="preserve"> </w:t>
      </w:r>
      <w:r w:rsidRPr="00E27443">
        <w:t>there</w:t>
      </w:r>
      <w:r w:rsidR="00C63F8F" w:rsidRPr="00E27443">
        <w:t xml:space="preserve"> </w:t>
      </w:r>
      <w:r w:rsidRPr="00E27443">
        <w:t>are</w:t>
      </w:r>
      <w:r w:rsidR="00C63F8F" w:rsidRPr="00E27443">
        <w:t xml:space="preserve"> </w:t>
      </w:r>
      <w:r w:rsidRPr="00E27443">
        <w:t>two</w:t>
      </w:r>
      <w:r w:rsidR="00C63F8F" w:rsidRPr="00E27443">
        <w:t xml:space="preserve"> </w:t>
      </w:r>
      <w:r w:rsidRPr="00E27443">
        <w:t>initiatives</w:t>
      </w:r>
      <w:r w:rsidR="00C63F8F" w:rsidRPr="00E27443">
        <w:t xml:space="preserve"> </w:t>
      </w:r>
      <w:r w:rsidRPr="00E27443">
        <w:t>that</w:t>
      </w:r>
      <w:r w:rsidR="00C63F8F" w:rsidRPr="00E27443">
        <w:t xml:space="preserve"> </w:t>
      </w:r>
      <w:r w:rsidRPr="00E27443">
        <w:t>are</w:t>
      </w:r>
      <w:r w:rsidR="00C63F8F" w:rsidRPr="00E27443">
        <w:t xml:space="preserve"> </w:t>
      </w:r>
      <w:r w:rsidRPr="00E27443">
        <w:t>particularly</w:t>
      </w:r>
      <w:r w:rsidR="00C63F8F" w:rsidRPr="00E27443">
        <w:t xml:space="preserve"> </w:t>
      </w:r>
      <w:r w:rsidRPr="00E27443">
        <w:t>targeted</w:t>
      </w:r>
      <w:r w:rsidR="00C63F8F" w:rsidRPr="00E27443">
        <w:t xml:space="preserve"> </w:t>
      </w:r>
      <w:r w:rsidRPr="00E27443">
        <w:t>at</w:t>
      </w:r>
      <w:r w:rsidR="00C63F8F" w:rsidRPr="00E27443">
        <w:t xml:space="preserve"> </w:t>
      </w:r>
      <w:r w:rsidRPr="00E27443">
        <w:t>women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and</w:t>
      </w:r>
      <w:r w:rsidR="00C63F8F" w:rsidRPr="00E27443">
        <w:t xml:space="preserve"> </w:t>
      </w:r>
      <w:r w:rsidRPr="00E27443">
        <w:t>that</w:t>
      </w:r>
      <w:r w:rsidR="00C63F8F" w:rsidRPr="00E27443">
        <w:t xml:space="preserve"> </w:t>
      </w:r>
      <w:r w:rsidRPr="00E27443">
        <w:t>are</w:t>
      </w:r>
      <w:r w:rsidR="00C63F8F" w:rsidRPr="00E27443">
        <w:t xml:space="preserve"> </w:t>
      </w:r>
      <w:r w:rsidRPr="00E27443">
        <w:t>managed</w:t>
      </w:r>
      <w:r w:rsidR="00C63F8F" w:rsidRPr="00E27443">
        <w:t xml:space="preserve"> </w:t>
      </w:r>
      <w:r w:rsidRPr="00E27443">
        <w:t>by</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These</w:t>
      </w:r>
      <w:r w:rsidR="00C63F8F" w:rsidRPr="00E27443">
        <w:t xml:space="preserve"> </w:t>
      </w:r>
      <w:r w:rsidRPr="00E27443">
        <w:t>measures</w:t>
      </w:r>
      <w:r w:rsidR="00C63F8F" w:rsidRPr="00E27443">
        <w:t xml:space="preserve"> </w:t>
      </w:r>
      <w:r w:rsidRPr="00E27443">
        <w:t>cover</w:t>
      </w:r>
      <w:r w:rsidR="00C63F8F" w:rsidRPr="00E27443">
        <w:t xml:space="preserve"> </w:t>
      </w:r>
      <w:r w:rsidRPr="00E27443">
        <w:t>training</w:t>
      </w:r>
      <w:r w:rsidR="00C63F8F" w:rsidRPr="00E27443">
        <w:t xml:space="preserve"> </w:t>
      </w:r>
      <w:r w:rsidRPr="00E27443">
        <w:t>for</w:t>
      </w:r>
      <w:r w:rsidR="00C63F8F" w:rsidRPr="00E27443">
        <w:t xml:space="preserve"> </w:t>
      </w:r>
      <w:r w:rsidRPr="00E27443">
        <w:t>personnel</w:t>
      </w:r>
      <w:r w:rsidR="00C63F8F" w:rsidRPr="00E27443">
        <w:t xml:space="preserve"> </w:t>
      </w:r>
      <w:r w:rsidRPr="00E27443">
        <w:t>who</w:t>
      </w:r>
      <w:r w:rsidR="00C63F8F" w:rsidRPr="00E27443">
        <w:t xml:space="preserve"> </w:t>
      </w:r>
      <w:r w:rsidRPr="00E27443">
        <w:t>provide</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funds</w:t>
      </w:r>
      <w:r w:rsidR="00C63F8F" w:rsidRPr="00E27443">
        <w:t xml:space="preserve"> </w:t>
      </w:r>
      <w:r w:rsidRPr="00E27443">
        <w:t>to</w:t>
      </w:r>
      <w:r w:rsidR="00C63F8F" w:rsidRPr="00E27443">
        <w:t xml:space="preserve"> </w:t>
      </w:r>
      <w:r w:rsidRPr="00E27443">
        <w:t>disability</w:t>
      </w:r>
      <w:r w:rsidR="00C63F8F" w:rsidRPr="00E27443">
        <w:t xml:space="preserve"> </w:t>
      </w:r>
      <w:r w:rsidRPr="00E27443">
        <w:t>organisations</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their</w:t>
      </w:r>
      <w:r w:rsidR="00C63F8F" w:rsidRPr="00E27443">
        <w:t xml:space="preserve"> </w:t>
      </w:r>
      <w:r w:rsidRPr="00E27443">
        <w:t>potential</w:t>
      </w:r>
      <w:r w:rsidR="00C63F8F" w:rsidRPr="00E27443">
        <w:t xml:space="preserve"> </w:t>
      </w:r>
      <w:r w:rsidRPr="00E27443">
        <w:t>to</w:t>
      </w:r>
      <w:r w:rsidR="00C63F8F" w:rsidRPr="00E27443">
        <w:t xml:space="preserve"> </w:t>
      </w:r>
      <w:r w:rsidRPr="00E27443">
        <w:t>highlight</w:t>
      </w:r>
      <w:r w:rsidR="00C63F8F" w:rsidRPr="00E27443">
        <w:t xml:space="preserve"> </w:t>
      </w:r>
      <w:r w:rsidRPr="00E27443">
        <w:t>and</w:t>
      </w:r>
      <w:r w:rsidR="00C63F8F" w:rsidRPr="00E27443">
        <w:t xml:space="preserve"> </w:t>
      </w:r>
      <w:r w:rsidRPr="00E27443">
        <w:t>prevent</w:t>
      </w:r>
      <w:r w:rsidR="00C63F8F" w:rsidRPr="00E27443">
        <w:t xml:space="preserve"> </w:t>
      </w:r>
      <w:r w:rsidRPr="00E27443">
        <w:t>violence</w:t>
      </w:r>
      <w:r w:rsidR="00C63F8F" w:rsidRPr="00E27443">
        <w:t xml:space="preserve"> </w:t>
      </w:r>
      <w:r w:rsidRPr="00E27443">
        <w:t>against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and</w:t>
      </w:r>
      <w:r w:rsidR="00C63F8F" w:rsidRPr="00E27443">
        <w:t xml:space="preserve"> </w:t>
      </w:r>
      <w:r w:rsidRPr="00E27443">
        <w:t>to</w:t>
      </w:r>
      <w:r w:rsidR="00C63F8F" w:rsidRPr="00E27443">
        <w:t xml:space="preserve"> </w:t>
      </w:r>
      <w:r w:rsidRPr="00E27443">
        <w:t>provide</w:t>
      </w:r>
      <w:r w:rsidR="00C63F8F" w:rsidRPr="00E27443">
        <w:t xml:space="preserve"> </w:t>
      </w:r>
      <w:r w:rsidRPr="00E27443">
        <w:t>support</w:t>
      </w:r>
      <w:r w:rsidR="00C63F8F" w:rsidRPr="00E27443">
        <w:t xml:space="preserve"> </w:t>
      </w:r>
      <w:r w:rsidRPr="00E27443">
        <w:t>to</w:t>
      </w:r>
      <w:r w:rsidR="00C63F8F" w:rsidRPr="00E27443">
        <w:t xml:space="preserve"> </w:t>
      </w:r>
      <w:r w:rsidRPr="00E27443">
        <w:t>those</w:t>
      </w:r>
      <w:r w:rsidR="00C63F8F" w:rsidRPr="00E27443">
        <w:t xml:space="preserve"> </w:t>
      </w:r>
      <w:r w:rsidRPr="00E27443">
        <w:t>who</w:t>
      </w:r>
      <w:r w:rsidR="00C63F8F" w:rsidRPr="00E27443">
        <w:t xml:space="preserve"> </w:t>
      </w:r>
      <w:r w:rsidRPr="00E27443">
        <w:t>have</w:t>
      </w:r>
      <w:r w:rsidR="00C63F8F" w:rsidRPr="00E27443">
        <w:t xml:space="preserve"> </w:t>
      </w:r>
      <w:r w:rsidRPr="00E27443">
        <w:t>been</w:t>
      </w:r>
      <w:r w:rsidR="00C63F8F" w:rsidRPr="00E27443">
        <w:t xml:space="preserve"> </w:t>
      </w:r>
      <w:r w:rsidRPr="00E27443">
        <w:t>subjected</w:t>
      </w:r>
      <w:r w:rsidR="00C63F8F" w:rsidRPr="00E27443">
        <w:t xml:space="preserve"> </w:t>
      </w:r>
      <w:r w:rsidRPr="00E27443">
        <w:t>to</w:t>
      </w:r>
      <w:r w:rsidR="00C63F8F" w:rsidRPr="00E27443">
        <w:t xml:space="preserve"> </w:t>
      </w:r>
      <w:r w:rsidRPr="00E27443">
        <w:t>violence.</w:t>
      </w:r>
      <w:r w:rsidR="00C63F8F" w:rsidRPr="00E27443">
        <w:t xml:space="preserve"> </w:t>
      </w:r>
    </w:p>
    <w:p w:rsidR="00321ADA" w:rsidRPr="00E27443" w:rsidRDefault="008472FF" w:rsidP="008472FF">
      <w:pPr>
        <w:pStyle w:val="H1G"/>
      </w:pPr>
      <w:r w:rsidRPr="00E27443">
        <w:tab/>
      </w:r>
      <w:r w:rsidRPr="00E27443">
        <w:tab/>
      </w:r>
      <w:bookmarkStart w:id="35" w:name="_Toc290623318"/>
      <w:r w:rsidR="00321ADA" w:rsidRPr="00E27443">
        <w:t>Article</w:t>
      </w:r>
      <w:r w:rsidR="00C63F8F" w:rsidRPr="00E27443">
        <w:t xml:space="preserve"> </w:t>
      </w:r>
      <w:r w:rsidR="00321ADA" w:rsidRPr="00E27443">
        <w:t>7</w:t>
      </w:r>
      <w:r w:rsidR="00B86C8B">
        <w:t>:</w:t>
      </w:r>
      <w:r w:rsidR="00C63F8F" w:rsidRPr="00E27443">
        <w:t xml:space="preserve"> </w:t>
      </w:r>
      <w:r w:rsidR="00321ADA" w:rsidRPr="00E27443">
        <w:t>Children</w:t>
      </w:r>
      <w:r w:rsidR="00C63F8F" w:rsidRPr="00E27443">
        <w:t xml:space="preserve"> </w:t>
      </w:r>
      <w:r w:rsidR="00321ADA" w:rsidRPr="00E27443">
        <w:t>with</w:t>
      </w:r>
      <w:r w:rsidR="00C63F8F" w:rsidRPr="00E27443">
        <w:t xml:space="preserve"> </w:t>
      </w:r>
      <w:r w:rsidR="00321ADA" w:rsidRPr="00E27443">
        <w:t>disabilities</w:t>
      </w:r>
      <w:bookmarkEnd w:id="35"/>
    </w:p>
    <w:p w:rsidR="00321ADA" w:rsidRPr="00E27443" w:rsidRDefault="00321ADA" w:rsidP="00B86C8B">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child</w:t>
      </w:r>
      <w:r w:rsidR="00C63F8F" w:rsidRPr="00E27443">
        <w:t xml:space="preserve"> </w:t>
      </w:r>
      <w:r w:rsidRPr="00E27443">
        <w:t>rights</w:t>
      </w:r>
      <w:r w:rsidR="00C63F8F" w:rsidRPr="00E27443">
        <w:t xml:space="preserve"> </w:t>
      </w:r>
      <w:r w:rsidRPr="00E27443">
        <w:t>policy</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fundamental</w:t>
      </w:r>
      <w:r w:rsidR="00C63F8F" w:rsidRPr="00E27443">
        <w:t xml:space="preserve"> </w:t>
      </w:r>
      <w:r w:rsidRPr="00E27443">
        <w:t>principles</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the</w:t>
      </w:r>
      <w:r w:rsidR="00C63F8F" w:rsidRPr="00E27443">
        <w:t xml:space="preserve"> </w:t>
      </w:r>
      <w:r w:rsidRPr="00B86C8B">
        <w:t>Convention</w:t>
      </w:r>
      <w:r w:rsidR="00C63F8F" w:rsidRPr="00B86C8B">
        <w:t xml:space="preserve"> </w:t>
      </w:r>
      <w:r w:rsidRPr="00B86C8B">
        <w:t>on</w:t>
      </w:r>
      <w:r w:rsidR="00C63F8F" w:rsidRPr="00B86C8B">
        <w:t xml:space="preserve"> </w:t>
      </w:r>
      <w:r w:rsidRPr="00B86C8B">
        <w:t>the</w:t>
      </w:r>
      <w:r w:rsidR="00C63F8F" w:rsidRPr="00B86C8B">
        <w:t xml:space="preserve"> </w:t>
      </w:r>
      <w:r w:rsidRPr="00B86C8B">
        <w:t>Rights</w:t>
      </w:r>
      <w:r w:rsidR="00C63F8F" w:rsidRPr="00B86C8B">
        <w:t xml:space="preserve"> </w:t>
      </w:r>
      <w:r w:rsidRPr="00B86C8B">
        <w:t>of</w:t>
      </w:r>
      <w:r w:rsidR="00C63F8F" w:rsidRPr="00B86C8B">
        <w:t xml:space="preserve"> </w:t>
      </w:r>
      <w:r w:rsidRPr="00B86C8B">
        <w:t>the</w:t>
      </w:r>
      <w:r w:rsidR="00C63F8F" w:rsidRPr="00B86C8B">
        <w:t xml:space="preserve"> </w:t>
      </w:r>
      <w:r w:rsidRPr="00B86C8B">
        <w:t>Child</w:t>
      </w:r>
      <w:r w:rsidRPr="00E27443">
        <w:t>,</w:t>
      </w:r>
      <w:r w:rsidR="00C63F8F" w:rsidRPr="00E27443">
        <w:t xml:space="preserve"> </w:t>
      </w:r>
      <w:r w:rsidRPr="00E27443">
        <w:t>and</w:t>
      </w:r>
      <w:r w:rsidR="00C63F8F" w:rsidRPr="00E27443">
        <w:t xml:space="preserve"> </w:t>
      </w:r>
      <w:r w:rsidRPr="00E27443">
        <w:t>is</w:t>
      </w:r>
      <w:r w:rsidR="00C63F8F" w:rsidRPr="00E27443">
        <w:t xml:space="preserve"> </w:t>
      </w:r>
      <w:r w:rsidRPr="00E27443">
        <w:t>targeted</w:t>
      </w:r>
      <w:r w:rsidR="00C63F8F" w:rsidRPr="00E27443">
        <w:t xml:space="preserve"> </w:t>
      </w:r>
      <w:r w:rsidRPr="00E27443">
        <w:t>for</w:t>
      </w:r>
      <w:r w:rsidR="00C63F8F" w:rsidRPr="00E27443">
        <w:t xml:space="preserve"> </w:t>
      </w:r>
      <w:r w:rsidRPr="00E27443">
        <w:t>example</w:t>
      </w:r>
      <w:r w:rsidR="00C63F8F" w:rsidRPr="00E27443">
        <w:t xml:space="preserve"> </w:t>
      </w:r>
      <w:r w:rsidRPr="00E27443">
        <w:t>at</w:t>
      </w:r>
      <w:r w:rsidR="00C63F8F" w:rsidRPr="00E27443">
        <w:t xml:space="preserve"> </w:t>
      </w:r>
      <w:r w:rsidRPr="00E27443">
        <w:t>ensuring</w:t>
      </w:r>
      <w:r w:rsidR="00C63F8F" w:rsidRPr="00E27443">
        <w:t xml:space="preserve"> </w:t>
      </w:r>
      <w:r w:rsidRPr="00E27443">
        <w:t>that</w:t>
      </w:r>
      <w:r w:rsidR="00C63F8F" w:rsidRPr="00E27443">
        <w:t xml:space="preserve"> </w:t>
      </w:r>
      <w:r w:rsidRPr="00E27443">
        <w:t>no</w:t>
      </w:r>
      <w:r w:rsidR="00C63F8F" w:rsidRPr="00E27443">
        <w:t xml:space="preserve"> </w:t>
      </w:r>
      <w:r w:rsidRPr="00E27443">
        <w:t>child</w:t>
      </w:r>
      <w:r w:rsidR="00C63F8F" w:rsidRPr="00E27443">
        <w:t xml:space="preserve"> </w:t>
      </w:r>
      <w:r w:rsidRPr="00E27443">
        <w:t>be</w:t>
      </w:r>
      <w:r w:rsidR="00C63F8F" w:rsidRPr="00E27443">
        <w:t xml:space="preserve"> </w:t>
      </w:r>
      <w:r w:rsidRPr="00E27443">
        <w:t>discriminated</w:t>
      </w:r>
      <w:r w:rsidR="00C63F8F" w:rsidRPr="00E27443">
        <w:t xml:space="preserve"> </w:t>
      </w:r>
      <w:r w:rsidRPr="00E27443">
        <w:t>against</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race,</w:t>
      </w:r>
      <w:r w:rsidR="00C63F8F" w:rsidRPr="00E27443">
        <w:t xml:space="preserve"> </w:t>
      </w:r>
      <w:r w:rsidRPr="00E27443">
        <w:t>skin</w:t>
      </w:r>
      <w:r w:rsidR="00C63F8F" w:rsidRPr="00E27443">
        <w:t xml:space="preserve"> </w:t>
      </w:r>
      <w:r w:rsidRPr="00E27443">
        <w:t>colour,</w:t>
      </w:r>
      <w:r w:rsidR="00C63F8F" w:rsidRPr="00E27443">
        <w:t xml:space="preserve"> </w:t>
      </w:r>
      <w:r w:rsidRPr="00E27443">
        <w:t>national,</w:t>
      </w:r>
      <w:r w:rsidR="00C63F8F" w:rsidRPr="00E27443">
        <w:t xml:space="preserve"> </w:t>
      </w:r>
      <w:r w:rsidRPr="00E27443">
        <w:t>ethnic</w:t>
      </w:r>
      <w:r w:rsidR="00C63F8F" w:rsidRPr="00E27443">
        <w:t xml:space="preserve"> </w:t>
      </w:r>
      <w:r w:rsidRPr="00E27443">
        <w:t>or</w:t>
      </w:r>
      <w:r w:rsidR="00C63F8F" w:rsidRPr="00E27443">
        <w:t xml:space="preserve"> </w:t>
      </w:r>
      <w:r w:rsidRPr="00E27443">
        <w:t>social</w:t>
      </w:r>
      <w:r w:rsidR="00C63F8F" w:rsidRPr="00E27443">
        <w:t xml:space="preserve"> </w:t>
      </w:r>
      <w:r w:rsidRPr="00E27443">
        <w:t>origins,</w:t>
      </w:r>
      <w:r w:rsidR="00C63F8F" w:rsidRPr="00E27443">
        <w:t xml:space="preserve"> </w:t>
      </w:r>
      <w:r w:rsidRPr="00E27443">
        <w:t>gender,</w:t>
      </w:r>
      <w:r w:rsidR="00C63F8F" w:rsidRPr="00E27443">
        <w:t xml:space="preserve"> </w:t>
      </w:r>
      <w:r w:rsidRPr="00E27443">
        <w:t>religion,</w:t>
      </w:r>
      <w:r w:rsidR="00C63F8F" w:rsidRPr="00E27443">
        <w:t xml:space="preserve"> </w:t>
      </w:r>
      <w:r w:rsidRPr="00E27443">
        <w:t>disability</w:t>
      </w:r>
      <w:r w:rsidR="00C63F8F" w:rsidRPr="00E27443">
        <w:t xml:space="preserve"> </w:t>
      </w:r>
      <w:r w:rsidRPr="00E27443">
        <w:t>or</w:t>
      </w:r>
      <w:r w:rsidR="00C63F8F" w:rsidRPr="00E27443">
        <w:t xml:space="preserve"> </w:t>
      </w:r>
      <w:r w:rsidRPr="00E27443">
        <w:t>some</w:t>
      </w:r>
      <w:r w:rsidR="00C63F8F" w:rsidRPr="00E27443">
        <w:t xml:space="preserve"> </w:t>
      </w:r>
      <w:r w:rsidRPr="00E27443">
        <w:t>other</w:t>
      </w:r>
      <w:r w:rsidR="00C63F8F" w:rsidRPr="00E27443">
        <w:t xml:space="preserve"> </w:t>
      </w:r>
      <w:r w:rsidRPr="00E27443">
        <w:t>similar</w:t>
      </w:r>
      <w:r w:rsidR="00C63F8F" w:rsidRPr="00E27443">
        <w:t xml:space="preserve"> </w:t>
      </w:r>
      <w:r w:rsidRPr="00E27443">
        <w:t>reason,</w:t>
      </w:r>
      <w:r w:rsidR="00C63F8F" w:rsidRPr="00E27443">
        <w:t xml:space="preserve"> </w:t>
      </w:r>
      <w:r w:rsidRPr="00E27443">
        <w:t>and</w:t>
      </w:r>
      <w:r w:rsidR="00C63F8F" w:rsidRPr="00E27443">
        <w:t xml:space="preserve"> </w:t>
      </w:r>
      <w:r w:rsidRPr="00E27443">
        <w:t>that</w:t>
      </w:r>
      <w:r w:rsidR="00C63F8F" w:rsidRPr="00E27443">
        <w:t xml:space="preserve"> </w:t>
      </w:r>
      <w:r w:rsidRPr="00E27443">
        <w:t>children</w:t>
      </w:r>
      <w:r w:rsidR="00C63F8F" w:rsidRPr="00E27443">
        <w:t xml:space="preserve"> </w:t>
      </w:r>
      <w:r w:rsidRPr="00E27443">
        <w:t>must</w:t>
      </w:r>
      <w:r w:rsidR="00C63F8F" w:rsidRPr="00E27443">
        <w:t xml:space="preserve"> </w:t>
      </w:r>
      <w:r w:rsidRPr="00E27443">
        <w:t>be</w:t>
      </w:r>
      <w:r w:rsidR="00C63F8F" w:rsidRPr="00E27443">
        <w:t xml:space="preserve"> </w:t>
      </w:r>
      <w:r w:rsidRPr="00E27443">
        <w:t>allowed</w:t>
      </w:r>
      <w:r w:rsidR="00C63F8F" w:rsidRPr="00E27443">
        <w:t xml:space="preserve"> </w:t>
      </w:r>
      <w:r w:rsidRPr="00E27443">
        <w:t>to</w:t>
      </w:r>
      <w:r w:rsidR="00C63F8F" w:rsidRPr="00E27443">
        <w:t xml:space="preserve"> </w:t>
      </w:r>
      <w:r w:rsidRPr="00E27443">
        <w:t>develop</w:t>
      </w:r>
      <w:r w:rsidR="00C63F8F" w:rsidRPr="00E27443">
        <w:t xml:space="preserve"> </w:t>
      </w:r>
      <w:r w:rsidRPr="00E27443">
        <w:t>at</w:t>
      </w:r>
      <w:r w:rsidR="00C63F8F" w:rsidRPr="00E27443">
        <w:t xml:space="preserve"> </w:t>
      </w:r>
      <w:r w:rsidRPr="00E27443">
        <w:t>their</w:t>
      </w:r>
      <w:r w:rsidR="00C63F8F" w:rsidRPr="00E27443">
        <w:t xml:space="preserve"> </w:t>
      </w:r>
      <w:r w:rsidRPr="00E27443">
        <w:t>own</w:t>
      </w:r>
      <w:r w:rsidR="00C63F8F" w:rsidRPr="00E27443">
        <w:t xml:space="preserve"> </w:t>
      </w:r>
      <w:r w:rsidRPr="00E27443">
        <w:t>speed</w:t>
      </w:r>
      <w:r w:rsidR="00C63F8F" w:rsidRPr="00E27443">
        <w:t xml:space="preserve"> </w:t>
      </w:r>
      <w:r w:rsidRPr="00E27443">
        <w:t>and</w:t>
      </w:r>
      <w:r w:rsidR="00C63F8F" w:rsidRPr="00E27443">
        <w:t xml:space="preserve"> </w:t>
      </w:r>
      <w:r w:rsidRPr="00E27443">
        <w:t>based</w:t>
      </w:r>
      <w:r w:rsidR="00C63F8F" w:rsidRPr="00E27443">
        <w:t xml:space="preserve"> </w:t>
      </w:r>
      <w:r w:rsidRPr="00E27443">
        <w:t>on</w:t>
      </w:r>
      <w:r w:rsidR="00C63F8F" w:rsidRPr="00E27443">
        <w:t xml:space="preserve"> </w:t>
      </w:r>
      <w:r w:rsidRPr="00E27443">
        <w:t>their</w:t>
      </w:r>
      <w:r w:rsidR="00C63F8F" w:rsidRPr="00E27443">
        <w:t xml:space="preserve"> </w:t>
      </w:r>
      <w:r w:rsidRPr="00E27443">
        <w:t>own</w:t>
      </w:r>
      <w:r w:rsidR="00C63F8F" w:rsidRPr="00E27443">
        <w:t xml:space="preserve"> </w:t>
      </w:r>
      <w:r w:rsidRPr="00E27443">
        <w:t>conditions.</w:t>
      </w:r>
      <w:r w:rsidR="00C63F8F" w:rsidRPr="00E27443">
        <w:t xml:space="preserve"> </w:t>
      </w:r>
    </w:p>
    <w:p w:rsidR="00321ADA" w:rsidRPr="00E27443" w:rsidRDefault="00321ADA" w:rsidP="00B86C8B">
      <w:pPr>
        <w:pStyle w:val="SingleTxtG"/>
        <w:numPr>
          <w:ilvl w:val="0"/>
          <w:numId w:val="20"/>
        </w:numPr>
        <w:tabs>
          <w:tab w:val="left" w:pos="1843"/>
        </w:tabs>
        <w:ind w:left="1134" w:firstLine="0"/>
      </w:pPr>
      <w:r w:rsidRPr="00E27443">
        <w:t>Section</w:t>
      </w:r>
      <w:r w:rsidR="00C63F8F" w:rsidRPr="00E27443">
        <w:t xml:space="preserve"> </w:t>
      </w:r>
      <w:r w:rsidRPr="00E27443">
        <w:t>1,</w:t>
      </w:r>
      <w:r w:rsidR="00C63F8F" w:rsidRPr="00E27443">
        <w:t xml:space="preserve"> </w:t>
      </w:r>
      <w:r w:rsidRPr="00E27443">
        <w:t>§</w:t>
      </w:r>
      <w:r w:rsidR="00C63F8F" w:rsidRPr="00E27443">
        <w:t xml:space="preserve"> </w:t>
      </w:r>
      <w:r w:rsidRPr="00E27443">
        <w:t>2,</w:t>
      </w:r>
      <w:r w:rsidR="00C63F8F" w:rsidRPr="00E27443">
        <w:t xml:space="preserve"> </w:t>
      </w:r>
      <w:r w:rsidRPr="00E27443">
        <w:t>of</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new</w:t>
      </w:r>
      <w:r w:rsidR="00C63F8F" w:rsidRPr="00E27443">
        <w:t xml:space="preserve"> </w:t>
      </w:r>
      <w:r w:rsidRPr="00E27443">
        <w:t>Constitution,</w:t>
      </w:r>
      <w:r w:rsidR="00C63F8F" w:rsidRPr="00E27443">
        <w:t xml:space="preserve"> </w:t>
      </w:r>
      <w:r w:rsidRPr="00E27443">
        <w:t>which</w:t>
      </w:r>
      <w:r w:rsidR="00C63F8F" w:rsidRPr="00E27443">
        <w:t xml:space="preserve"> </w:t>
      </w:r>
      <w:r w:rsidRPr="00E27443">
        <w:t>enters</w:t>
      </w:r>
      <w:r w:rsidR="00C63F8F" w:rsidRPr="00E27443">
        <w:t xml:space="preserve"> </w:t>
      </w:r>
      <w:r w:rsidRPr="00E27443">
        <w:t>into</w:t>
      </w:r>
      <w:r w:rsidR="00C63F8F" w:rsidRPr="00E27443">
        <w:t xml:space="preserve"> </w:t>
      </w:r>
      <w:r w:rsidRPr="00E27443">
        <w:t>force</w:t>
      </w:r>
      <w:r w:rsidR="00C63F8F" w:rsidRPr="00E27443">
        <w:t xml:space="preserve"> </w:t>
      </w:r>
      <w:r w:rsidRPr="00E27443">
        <w:t>on</w:t>
      </w:r>
      <w:r w:rsidR="00C63F8F" w:rsidRPr="00E27443">
        <w:t xml:space="preserve"> </w:t>
      </w:r>
      <w:r w:rsidRPr="00E27443">
        <w:t>1</w:t>
      </w:r>
      <w:r w:rsidR="00C63F8F" w:rsidRPr="00E27443">
        <w:t xml:space="preserve"> </w:t>
      </w:r>
      <w:r w:rsidRPr="00E27443">
        <w:t>January</w:t>
      </w:r>
      <w:r w:rsidR="00C63F8F" w:rsidRPr="00E27443">
        <w:t xml:space="preserve"> </w:t>
      </w:r>
      <w:r w:rsidRPr="00E27443">
        <w:t>2011,</w:t>
      </w:r>
      <w:r w:rsidR="00C63F8F" w:rsidRPr="00E27443">
        <w:t xml:space="preserve"> </w:t>
      </w:r>
      <w:r w:rsidRPr="00E27443">
        <w:t>contains</w:t>
      </w:r>
      <w:r w:rsidR="00C63F8F" w:rsidRPr="00E27443">
        <w:t xml:space="preserve"> </w:t>
      </w:r>
      <w:r w:rsidRPr="00E27443">
        <w:t>a</w:t>
      </w:r>
      <w:r w:rsidR="00C63F8F" w:rsidRPr="00E27443">
        <w:t xml:space="preserve"> </w:t>
      </w:r>
      <w:r w:rsidRPr="00E27443">
        <w:t>new</w:t>
      </w:r>
      <w:r w:rsidR="00C63F8F" w:rsidRPr="00E27443">
        <w:t xml:space="preserve"> </w:t>
      </w:r>
      <w:r w:rsidRPr="00E27443">
        <w:t>provision</w:t>
      </w:r>
      <w:r w:rsidR="00C63F8F" w:rsidRPr="00E27443">
        <w:t xml:space="preserve"> </w:t>
      </w:r>
      <w:r w:rsidRPr="00E27443">
        <w:t>regarding</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new</w:t>
      </w:r>
      <w:r w:rsidR="00C63F8F" w:rsidRPr="00E27443">
        <w:t xml:space="preserve"> </w:t>
      </w:r>
      <w:r w:rsidRPr="00E27443">
        <w:t>provision,</w:t>
      </w:r>
      <w:r w:rsidR="00C63F8F" w:rsidRPr="00E27443">
        <w:t xml:space="preserve"> </w:t>
      </w:r>
      <w:r w:rsidRPr="00E27443">
        <w:t>the</w:t>
      </w:r>
      <w:r w:rsidR="00C63F8F" w:rsidRPr="00E27443">
        <w:t xml:space="preserve"> </w:t>
      </w:r>
      <w:r w:rsidRPr="00E27443">
        <w:t>public</w:t>
      </w:r>
      <w:r w:rsidR="00C63F8F" w:rsidRPr="00E27443">
        <w:t xml:space="preserve"> </w:t>
      </w:r>
      <w:r w:rsidRPr="00E27443">
        <w:t>must</w:t>
      </w:r>
      <w:r w:rsidR="00C63F8F" w:rsidRPr="00E27443">
        <w:t xml:space="preserve"> </w:t>
      </w:r>
      <w:r w:rsidRPr="00E27443">
        <w:t>work</w:t>
      </w:r>
      <w:r w:rsidR="00C63F8F" w:rsidRPr="00E27443">
        <w:t xml:space="preserve"> </w:t>
      </w:r>
      <w:r w:rsidRPr="00E27443">
        <w:t>to</w:t>
      </w:r>
      <w:r w:rsidR="00C63F8F" w:rsidRPr="00E27443">
        <w:t xml:space="preserve"> </w:t>
      </w:r>
      <w:r w:rsidRPr="00E27443">
        <w:t>ensure</w:t>
      </w:r>
      <w:r w:rsidR="00C63F8F" w:rsidRPr="00E27443">
        <w:t xml:space="preserve"> </w:t>
      </w:r>
      <w:r w:rsidRPr="00E27443">
        <w:t>that</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children</w:t>
      </w:r>
      <w:r w:rsidR="00C63F8F" w:rsidRPr="00E27443">
        <w:t xml:space="preserve"> </w:t>
      </w:r>
      <w:r w:rsidRPr="00E27443">
        <w:t>are</w:t>
      </w:r>
      <w:r w:rsidR="00C63F8F" w:rsidRPr="00E27443">
        <w:t xml:space="preserve"> </w:t>
      </w:r>
      <w:r w:rsidRPr="00E27443">
        <w:t>looked</w:t>
      </w:r>
      <w:r w:rsidR="00C63F8F" w:rsidRPr="00E27443">
        <w:t xml:space="preserve"> </w:t>
      </w:r>
      <w:r w:rsidRPr="00E27443">
        <w:t>after.</w:t>
      </w:r>
    </w:p>
    <w:p w:rsidR="00321ADA" w:rsidRPr="00E27443" w:rsidRDefault="00321ADA" w:rsidP="00B86C8B">
      <w:pPr>
        <w:pStyle w:val="SingleTxtG"/>
        <w:numPr>
          <w:ilvl w:val="0"/>
          <w:numId w:val="20"/>
        </w:numPr>
        <w:tabs>
          <w:tab w:val="left" w:pos="1843"/>
        </w:tabs>
        <w:ind w:left="1134" w:firstLine="0"/>
      </w:pPr>
      <w:r w:rsidRPr="00E27443">
        <w:t>In</w:t>
      </w:r>
      <w:r w:rsidR="00C63F8F" w:rsidRPr="00E27443">
        <w:t xml:space="preserve"> </w:t>
      </w:r>
      <w:r w:rsidRPr="00E27443">
        <w:t>June</w:t>
      </w:r>
      <w:r w:rsidR="00C63F8F" w:rsidRPr="00E27443">
        <w:t xml:space="preserve"> </w:t>
      </w:r>
      <w:r w:rsidRPr="00E27443">
        <w:t>2010,</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presented</w:t>
      </w:r>
      <w:r w:rsidR="00C63F8F" w:rsidRPr="00E27443">
        <w:t xml:space="preserve"> </w:t>
      </w:r>
      <w:r w:rsidRPr="00E27443">
        <w:t>a</w:t>
      </w:r>
      <w:r w:rsidR="00C63F8F" w:rsidRPr="00E27443">
        <w:t xml:space="preserve"> </w:t>
      </w:r>
      <w:r w:rsidRPr="00E27443">
        <w:t>proposal</w:t>
      </w:r>
      <w:r w:rsidR="00C63F8F" w:rsidRPr="00E27443">
        <w:t xml:space="preserve"> </w:t>
      </w:r>
      <w:r w:rsidRPr="00E27443">
        <w:t>to</w:t>
      </w:r>
      <w:r w:rsidR="00C63F8F" w:rsidRPr="00E27443">
        <w:t xml:space="preserve"> </w:t>
      </w:r>
      <w:r w:rsidRPr="00E27443">
        <w:t>Parliament</w:t>
      </w:r>
      <w:r w:rsidR="00C63F8F" w:rsidRPr="00E27443">
        <w:t xml:space="preserve"> </w:t>
      </w:r>
      <w:r w:rsidRPr="00E27443">
        <w:t>regarding</w:t>
      </w:r>
      <w:r w:rsidR="00C63F8F" w:rsidRPr="00E27443">
        <w:t xml:space="preserve"> </w:t>
      </w:r>
      <w:r w:rsidRPr="00E27443">
        <w:t>a</w:t>
      </w:r>
      <w:r w:rsidR="00C63F8F" w:rsidRPr="00E27443">
        <w:t xml:space="preserve"> </w:t>
      </w:r>
      <w:r w:rsidRPr="00E27443">
        <w:t>new</w:t>
      </w:r>
      <w:r w:rsidR="00C63F8F" w:rsidRPr="00E27443">
        <w:t xml:space="preserve"> </w:t>
      </w:r>
      <w:r w:rsidRPr="00E27443">
        <w:t>strategy</w:t>
      </w:r>
      <w:r w:rsidR="008472FF" w:rsidRPr="00B86C8B">
        <w:footnoteReference w:id="151"/>
      </w:r>
      <w:r w:rsidR="00C63F8F" w:rsidRPr="00E27443">
        <w:t xml:space="preserve"> </w:t>
      </w:r>
      <w:r w:rsidRPr="00E27443">
        <w:t>intended</w:t>
      </w:r>
      <w:r w:rsidR="00C63F8F" w:rsidRPr="00E27443">
        <w:t xml:space="preserve"> </w:t>
      </w:r>
      <w:r w:rsidRPr="00E27443">
        <w:t>to</w:t>
      </w:r>
      <w:r w:rsidR="00C63F8F" w:rsidRPr="00E27443">
        <w:t xml:space="preserve"> </w:t>
      </w:r>
      <w:r w:rsidRPr="00E27443">
        <w:t>strengthen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This</w:t>
      </w:r>
      <w:r w:rsidR="00C63F8F" w:rsidRPr="00E27443">
        <w:t xml:space="preserve"> </w:t>
      </w:r>
      <w:r w:rsidRPr="00E27443">
        <w:t>will</w:t>
      </w:r>
      <w:r w:rsidR="00C63F8F" w:rsidRPr="00E27443">
        <w:t xml:space="preserve"> </w:t>
      </w:r>
      <w:r w:rsidRPr="00E27443">
        <w:t>replace</w:t>
      </w:r>
      <w:r w:rsidR="00C63F8F" w:rsidRPr="00E27443">
        <w:t xml:space="preserve"> </w:t>
      </w:r>
      <w:r w:rsidRPr="00E27443">
        <w:t>the</w:t>
      </w:r>
      <w:r w:rsidR="00C63F8F" w:rsidRPr="00E27443">
        <w:t xml:space="preserve"> </w:t>
      </w:r>
      <w:r w:rsidRPr="00E27443">
        <w:t>previous</w:t>
      </w:r>
      <w:r w:rsidR="00C63F8F" w:rsidRPr="00E27443">
        <w:t xml:space="preserve"> </w:t>
      </w:r>
      <w:r w:rsidRPr="00E27443">
        <w:t>strategy</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implement</w:t>
      </w:r>
      <w:r w:rsidR="00C63F8F" w:rsidRPr="00E27443">
        <w:t xml:space="preserve"> </w:t>
      </w:r>
      <w:r w:rsidRPr="00E27443">
        <w:t>the</w:t>
      </w:r>
      <w:r w:rsidR="00C63F8F" w:rsidRPr="00E27443">
        <w:t xml:space="preserve"> </w:t>
      </w:r>
      <w:r w:rsidRPr="00E27443">
        <w:t>UN</w:t>
      </w:r>
      <w:r w:rsidR="00C63F8F" w:rsidRPr="00E27443">
        <w:t>’</w:t>
      </w:r>
      <w:r w:rsidRPr="00E27443">
        <w:t>s</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which</w:t>
      </w:r>
      <w:r w:rsidR="00C63F8F" w:rsidRPr="00E27443">
        <w:t xml:space="preserve"> </w:t>
      </w:r>
      <w:r w:rsidRPr="00E27443">
        <w:t>has</w:t>
      </w:r>
      <w:r w:rsidR="00C63F8F" w:rsidRPr="00E27443">
        <w:t xml:space="preserve"> </w:t>
      </w:r>
      <w:r w:rsidRPr="00E27443">
        <w:t>applied</w:t>
      </w:r>
      <w:r w:rsidR="00C63F8F" w:rsidRPr="00E27443">
        <w:t xml:space="preserve"> </w:t>
      </w:r>
      <w:r w:rsidRPr="00E27443">
        <w:t>since</w:t>
      </w:r>
      <w:r w:rsidR="00C63F8F" w:rsidRPr="00E27443">
        <w:t xml:space="preserve"> </w:t>
      </w:r>
      <w:r w:rsidRPr="00E27443">
        <w:t>1999.</w:t>
      </w:r>
      <w:r w:rsidR="00C63F8F" w:rsidRPr="00E27443">
        <w:t xml:space="preserve"> </w:t>
      </w:r>
      <w:r w:rsidRPr="00E27443">
        <w:t>The</w:t>
      </w:r>
      <w:r w:rsidR="00C63F8F" w:rsidRPr="00E27443">
        <w:t xml:space="preserve"> </w:t>
      </w:r>
      <w:r w:rsidRPr="00E27443">
        <w:t>strategy</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human</w:t>
      </w:r>
      <w:r w:rsidR="00C63F8F" w:rsidRPr="00E27443">
        <w:t xml:space="preserve"> </w:t>
      </w:r>
      <w:r w:rsidRPr="00E27443">
        <w:t>rights</w:t>
      </w:r>
      <w:r w:rsidR="00C63F8F" w:rsidRPr="00E27443">
        <w:t xml:space="preserve"> </w:t>
      </w:r>
      <w:r w:rsidRPr="00E27443">
        <w:t>that</w:t>
      </w:r>
      <w:r w:rsidR="00C63F8F" w:rsidRPr="00E27443">
        <w:t xml:space="preserve"> </w:t>
      </w:r>
      <w:r w:rsidRPr="00E27443">
        <w:t>all</w:t>
      </w:r>
      <w:r w:rsidR="00C63F8F" w:rsidRPr="00E27443">
        <w:t xml:space="preserve"> </w:t>
      </w:r>
      <w:r w:rsidRPr="00E27443">
        <w:t>children</w:t>
      </w:r>
      <w:r w:rsidR="00C63F8F" w:rsidRPr="00E27443">
        <w:t xml:space="preserve"> </w:t>
      </w:r>
      <w:r w:rsidRPr="00E27443">
        <w:t>up</w:t>
      </w:r>
      <w:r w:rsidR="00C63F8F" w:rsidRPr="00E27443">
        <w:t xml:space="preserve"> </w:t>
      </w:r>
      <w:r w:rsidRPr="00E27443">
        <w:t>to</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18</w:t>
      </w:r>
      <w:r w:rsidR="00C63F8F" w:rsidRPr="00E27443">
        <w:t xml:space="preserve"> </w:t>
      </w:r>
      <w:r w:rsidRPr="00E27443">
        <w:t>must</w:t>
      </w:r>
      <w:r w:rsidR="00C63F8F" w:rsidRPr="00E27443">
        <w:t xml:space="preserve"> </w:t>
      </w:r>
      <w:r w:rsidRPr="00E27443">
        <w:t>be</w:t>
      </w:r>
      <w:r w:rsidR="00C63F8F" w:rsidRPr="00E27443">
        <w:t xml:space="preserve"> </w:t>
      </w:r>
      <w:r w:rsidRPr="00E27443">
        <w:t>guaranteed</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international</w:t>
      </w:r>
      <w:r w:rsidR="00C63F8F" w:rsidRPr="00E27443">
        <w:t xml:space="preserve"> </w:t>
      </w:r>
      <w:r w:rsidRPr="00E27443">
        <w:t>agreements,</w:t>
      </w:r>
      <w:r w:rsidR="00C63F8F" w:rsidRPr="00E27443">
        <w:t xml:space="preserve"> </w:t>
      </w:r>
      <w:r w:rsidRPr="00E27443">
        <w:t>particularly</w:t>
      </w:r>
      <w:r w:rsidR="00C63F8F" w:rsidRPr="00E27443">
        <w:t xml:space="preserve"> </w:t>
      </w:r>
      <w:r w:rsidRPr="00E27443">
        <w:t>those</w:t>
      </w:r>
      <w:r w:rsidR="00C63F8F" w:rsidRPr="00E27443">
        <w:t xml:space="preserve"> </w:t>
      </w:r>
      <w:r w:rsidRPr="00E27443">
        <w:t>undertakings</w:t>
      </w:r>
      <w:r w:rsidR="00C63F8F" w:rsidRPr="00E27443">
        <w:t xml:space="preserve"> </w:t>
      </w:r>
      <w:r w:rsidRPr="00E27443">
        <w:t>that</w:t>
      </w:r>
      <w:r w:rsidR="00C63F8F" w:rsidRPr="00E27443">
        <w:t xml:space="preserve"> </w:t>
      </w:r>
      <w:r w:rsidRPr="00E27443">
        <w:t>follow</w:t>
      </w:r>
      <w:r w:rsidR="00C63F8F" w:rsidRPr="00E27443">
        <w:t xml:space="preserve"> </w:t>
      </w:r>
      <w:r w:rsidRPr="00E27443">
        <w:t>from</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The</w:t>
      </w:r>
      <w:r w:rsidR="00C63F8F" w:rsidRPr="00E27443">
        <w:t xml:space="preserve"> </w:t>
      </w:r>
      <w:r w:rsidRPr="00E27443">
        <w:t>intention</w:t>
      </w:r>
      <w:r w:rsidR="00C63F8F" w:rsidRPr="00E27443">
        <w:t xml:space="preserve"> </w:t>
      </w:r>
      <w:r w:rsidRPr="00E27443">
        <w:t>is</w:t>
      </w:r>
      <w:r w:rsidR="00C63F8F" w:rsidRPr="00E27443">
        <w:t xml:space="preserve"> </w:t>
      </w:r>
      <w:r w:rsidRPr="00E27443">
        <w:t>that</w:t>
      </w:r>
      <w:r w:rsidR="00C63F8F" w:rsidRPr="00E27443">
        <w:t xml:space="preserve"> </w:t>
      </w:r>
      <w:r w:rsidRPr="00E27443">
        <w:t>the</w:t>
      </w:r>
      <w:r w:rsidR="00C63F8F" w:rsidRPr="00E27443">
        <w:t xml:space="preserve"> </w:t>
      </w:r>
      <w:r w:rsidRPr="00E27443">
        <w:t>strategy,</w:t>
      </w:r>
      <w:r w:rsidR="00C63F8F" w:rsidRPr="00E27443">
        <w:t xml:space="preserve"> </w:t>
      </w:r>
      <w:r w:rsidRPr="00E27443">
        <w:t>which</w:t>
      </w:r>
      <w:r w:rsidR="00C63F8F" w:rsidRPr="00E27443">
        <w:t xml:space="preserve"> </w:t>
      </w:r>
      <w:r w:rsidRPr="00E27443">
        <w:t>comprises</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fundamental</w:t>
      </w:r>
      <w:r w:rsidR="00C63F8F" w:rsidRPr="00E27443">
        <w:t xml:space="preserve"> </w:t>
      </w:r>
      <w:r w:rsidRPr="00E27443">
        <w:t>principles,</w:t>
      </w:r>
      <w:r w:rsidR="00C63F8F" w:rsidRPr="00E27443">
        <w:t xml:space="preserve"> </w:t>
      </w:r>
      <w:r w:rsidRPr="00E27443">
        <w:t>should</w:t>
      </w:r>
      <w:r w:rsidR="00C63F8F" w:rsidRPr="00E27443">
        <w:t xml:space="preserve"> </w:t>
      </w:r>
      <w:r w:rsidRPr="00E27443">
        <w:t>act</w:t>
      </w:r>
      <w:r w:rsidR="00C63F8F" w:rsidRPr="00E27443">
        <w:t xml:space="preserve"> </w:t>
      </w:r>
      <w:r w:rsidRPr="00E27443">
        <w:t>as</w:t>
      </w:r>
      <w:r w:rsidR="00C63F8F" w:rsidRPr="00E27443">
        <w:t xml:space="preserve"> </w:t>
      </w:r>
      <w:r w:rsidRPr="00E27443">
        <w:t>a</w:t>
      </w:r>
      <w:r w:rsidR="00C63F8F" w:rsidRPr="00E27443">
        <w:t xml:space="preserve"> </w:t>
      </w:r>
      <w:r w:rsidRPr="00E27443">
        <w:t>guide</w:t>
      </w:r>
      <w:r w:rsidR="00C63F8F" w:rsidRPr="00E27443">
        <w:t xml:space="preserve"> </w:t>
      </w:r>
      <w:r w:rsidRPr="00E27443">
        <w:t>for</w:t>
      </w:r>
      <w:r w:rsidR="00C63F8F" w:rsidRPr="00E27443">
        <w:t xml:space="preserve"> </w:t>
      </w:r>
      <w:r w:rsidRPr="00E27443">
        <w:t>public</w:t>
      </w:r>
      <w:r w:rsidR="00C63F8F" w:rsidRPr="00E27443">
        <w:t xml:space="preserve"> </w:t>
      </w:r>
      <w:r w:rsidRPr="00E27443">
        <w:t>players</w:t>
      </w:r>
      <w:r w:rsidR="00C63F8F" w:rsidRPr="00E27443">
        <w:t xml:space="preserve"> </w:t>
      </w:r>
      <w:r w:rsidRPr="00E27443">
        <w:t>at</w:t>
      </w:r>
      <w:r w:rsidR="00C63F8F" w:rsidRPr="00E27443">
        <w:t xml:space="preserve"> </w:t>
      </w:r>
      <w:r w:rsidRPr="00E27443">
        <w:t>national</w:t>
      </w:r>
      <w:r w:rsidR="00C63F8F" w:rsidRPr="00E27443">
        <w:t xml:space="preserve"> </w:t>
      </w:r>
      <w:r w:rsidRPr="00E27443">
        <w:t>and</w:t>
      </w:r>
      <w:r w:rsidR="00C63F8F" w:rsidRPr="00E27443">
        <w:t xml:space="preserve"> </w:t>
      </w:r>
      <w:r w:rsidRPr="00E27443">
        <w:t>municipal</w:t>
      </w:r>
      <w:r w:rsidR="00C63F8F" w:rsidRPr="00E27443">
        <w:t xml:space="preserve"> </w:t>
      </w:r>
      <w:r w:rsidRPr="00E27443">
        <w:t>level,</w:t>
      </w:r>
      <w:r w:rsidR="00C63F8F" w:rsidRPr="00E27443">
        <w:t xml:space="preserve"> </w:t>
      </w:r>
      <w:r w:rsidRPr="00E27443">
        <w:t>who</w:t>
      </w:r>
      <w:r w:rsidR="00C63F8F" w:rsidRPr="00E27443">
        <w:t xml:space="preserve"> </w:t>
      </w:r>
      <w:r w:rsidRPr="00E27443">
        <w:t>in</w:t>
      </w:r>
      <w:r w:rsidR="00C63F8F" w:rsidRPr="00E27443">
        <w:t xml:space="preserve"> </w:t>
      </w:r>
      <w:r w:rsidRPr="00E27443">
        <w:t>their</w:t>
      </w:r>
      <w:r w:rsidR="00C63F8F" w:rsidRPr="00E27443">
        <w:t xml:space="preserve"> </w:t>
      </w:r>
      <w:r w:rsidRPr="00E27443">
        <w:t>activities</w:t>
      </w:r>
      <w:r w:rsidR="00C63F8F" w:rsidRPr="00E27443">
        <w:t xml:space="preserve"> </w:t>
      </w:r>
      <w:r w:rsidRPr="00E27443">
        <w:t>will</w:t>
      </w:r>
      <w:r w:rsidR="00C63F8F" w:rsidRPr="00E27443">
        <w:t xml:space="preserve"> </w:t>
      </w:r>
      <w:r w:rsidRPr="00E27443">
        <w:t>safeguard</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p>
    <w:p w:rsidR="00321ADA" w:rsidRPr="00E27443" w:rsidRDefault="00321ADA" w:rsidP="00B86C8B">
      <w:pPr>
        <w:pStyle w:val="SingleTxtG"/>
        <w:numPr>
          <w:ilvl w:val="0"/>
          <w:numId w:val="20"/>
        </w:numPr>
        <w:tabs>
          <w:tab w:val="left" w:pos="1843"/>
        </w:tabs>
        <w:ind w:left="1134" w:firstLine="0"/>
      </w:pPr>
      <w:r w:rsidRPr="00E27443">
        <w:t>Most</w:t>
      </w:r>
      <w:r w:rsidR="00C63F8F" w:rsidRPr="00E27443">
        <w:t xml:space="preserve"> </w:t>
      </w:r>
      <w:r w:rsidRPr="00E27443">
        <w:t>of</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relating</w:t>
      </w:r>
      <w:r w:rsidR="00C63F8F" w:rsidRPr="00E27443">
        <w:t xml:space="preserve"> </w:t>
      </w:r>
      <w:r w:rsidRPr="00E27443">
        <w:t>to</w:t>
      </w:r>
      <w:r w:rsidR="00C63F8F" w:rsidRPr="00E27443">
        <w:t xml:space="preserve"> </w:t>
      </w:r>
      <w:r w:rsidRPr="00E27443">
        <w:t>children</w:t>
      </w:r>
      <w:r w:rsidR="00C63F8F" w:rsidRPr="00E27443">
        <w:t xml:space="preserve"> </w:t>
      </w:r>
      <w:r w:rsidRPr="00E27443">
        <w:t>are</w:t>
      </w:r>
      <w:r w:rsidR="00C63F8F" w:rsidRPr="00E27443">
        <w:t xml:space="preserve"> </w:t>
      </w:r>
      <w:r w:rsidRPr="00E27443">
        <w:t>to</w:t>
      </w:r>
      <w:r w:rsidR="00C63F8F" w:rsidRPr="00E27443">
        <w:t xml:space="preserve"> </w:t>
      </w:r>
      <w:r w:rsidRPr="00E27443">
        <w:t>be</w:t>
      </w:r>
      <w:r w:rsidR="00C63F8F" w:rsidRPr="00E27443">
        <w:t xml:space="preserve"> </w:t>
      </w:r>
      <w:r w:rsidRPr="00E27443">
        <w:t>found</w:t>
      </w:r>
      <w:r w:rsidR="00C63F8F" w:rsidRPr="00E27443">
        <w:t xml:space="preserve"> </w:t>
      </w:r>
      <w:r w:rsidRPr="00E27443">
        <w:t>in</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It</w:t>
      </w:r>
      <w:r w:rsidR="00C63F8F" w:rsidRPr="00E27443">
        <w:t xml:space="preserve"> </w:t>
      </w:r>
      <w:r w:rsidRPr="00E27443">
        <w:t>is</w:t>
      </w:r>
      <w:r w:rsidR="00C63F8F" w:rsidRPr="00E27443">
        <w:t xml:space="preserve"> </w:t>
      </w:r>
      <w:r w:rsidRPr="00E27443">
        <w:t>also</w:t>
      </w:r>
      <w:r w:rsidR="00C63F8F" w:rsidRPr="00E27443">
        <w:t xml:space="preserve"> </w:t>
      </w:r>
      <w:r w:rsidRPr="00E27443">
        <w:t>there</w:t>
      </w:r>
      <w:r w:rsidR="00C63F8F" w:rsidRPr="00E27443">
        <w:t xml:space="preserve"> </w:t>
      </w:r>
      <w:r w:rsidRPr="00E27443">
        <w:t>that</w:t>
      </w:r>
      <w:r w:rsidR="00C63F8F" w:rsidRPr="00E27443">
        <w:t xml:space="preserve"> </w:t>
      </w:r>
      <w:r w:rsidRPr="00E27443">
        <w:t>decisions</w:t>
      </w:r>
      <w:r w:rsidR="00C63F8F" w:rsidRPr="00E27443">
        <w:t xml:space="preserve"> </w:t>
      </w:r>
      <w:r w:rsidRPr="00E27443">
        <w:t>are</w:t>
      </w:r>
      <w:r w:rsidR="00C63F8F" w:rsidRPr="00E27443">
        <w:t xml:space="preserve"> </w:t>
      </w:r>
      <w:r w:rsidRPr="00E27443">
        <w:t>taken</w:t>
      </w:r>
      <w:r w:rsidR="00C63F8F" w:rsidRPr="00E27443">
        <w:t xml:space="preserve"> </w:t>
      </w:r>
      <w:r w:rsidRPr="00E27443">
        <w:t>that</w:t>
      </w:r>
      <w:r w:rsidR="00C63F8F" w:rsidRPr="00E27443">
        <w:t xml:space="preserve"> </w:t>
      </w:r>
      <w:r w:rsidRPr="00E27443">
        <w:t>have</w:t>
      </w:r>
      <w:r w:rsidR="00C63F8F" w:rsidRPr="00E27443">
        <w:t xml:space="preserve"> </w:t>
      </w:r>
      <w:r w:rsidRPr="00E27443">
        <w:t>a</w:t>
      </w:r>
      <w:r w:rsidR="00C63F8F" w:rsidRPr="00E27443">
        <w:t xml:space="preserve"> </w:t>
      </w:r>
      <w:r w:rsidRPr="00E27443">
        <w:t>direct</w:t>
      </w:r>
      <w:r w:rsidR="00C63F8F" w:rsidRPr="00E27443">
        <w:t xml:space="preserve"> </w:t>
      </w:r>
      <w:r w:rsidRPr="00E27443">
        <w:t>impact</w:t>
      </w:r>
      <w:r w:rsidR="00C63F8F" w:rsidRPr="00E27443">
        <w:t xml:space="preserve"> </w:t>
      </w:r>
      <w:r w:rsidRPr="00E27443">
        <w:t>on</w:t>
      </w:r>
      <w:r w:rsidR="00C63F8F" w:rsidRPr="00E27443">
        <w:t xml:space="preserve"> </w:t>
      </w:r>
      <w:r w:rsidRPr="00E27443">
        <w:t>children</w:t>
      </w:r>
      <w:r w:rsidR="00C63F8F" w:rsidRPr="00E27443">
        <w:t>’</w:t>
      </w:r>
      <w:r w:rsidRPr="00E27443">
        <w:t>s</w:t>
      </w:r>
      <w:r w:rsidR="00C63F8F" w:rsidRPr="00E27443">
        <w:t xml:space="preserve"> </w:t>
      </w:r>
      <w:r w:rsidRPr="00E27443">
        <w:t>day-to-day</w:t>
      </w:r>
      <w:r w:rsidR="00C63F8F" w:rsidRPr="00E27443">
        <w:t xml:space="preserve"> </w:t>
      </w:r>
      <w:r w:rsidRPr="00E27443">
        <w:t>lives</w:t>
      </w:r>
      <w:r w:rsidR="00C63F8F" w:rsidRPr="00E27443">
        <w:t xml:space="preserve"> </w:t>
      </w:r>
      <w:r w:rsidRPr="00E27443">
        <w:t>and</w:t>
      </w:r>
      <w:r w:rsidR="00C63F8F" w:rsidRPr="00E27443">
        <w:t xml:space="preserve"> </w:t>
      </w:r>
      <w:r w:rsidRPr="00E27443">
        <w:t>life</w:t>
      </w:r>
      <w:r w:rsidR="00C63F8F" w:rsidRPr="00E27443">
        <w:t xml:space="preserve"> </w:t>
      </w:r>
      <w:r w:rsidRPr="00E27443">
        <w:t>situations.</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strategic</w:t>
      </w:r>
      <w:r w:rsidR="00C63F8F" w:rsidRPr="00E27443">
        <w:t xml:space="preserve"> </w:t>
      </w:r>
      <w:r w:rsidRPr="00E27443">
        <w:t>approach</w:t>
      </w:r>
      <w:r w:rsidR="00C63F8F" w:rsidRPr="00E27443">
        <w:t xml:space="preserve"> </w:t>
      </w:r>
      <w:r w:rsidRPr="00E27443">
        <w:t>is</w:t>
      </w:r>
      <w:r w:rsidR="00C63F8F" w:rsidRPr="00E27443">
        <w:t xml:space="preserve"> </w:t>
      </w:r>
      <w:r w:rsidRPr="00E27443">
        <w:t>that</w:t>
      </w:r>
      <w:r w:rsidR="00C63F8F" w:rsidRPr="00E27443">
        <w:t xml:space="preserve"> </w:t>
      </w:r>
      <w:r w:rsidRPr="00E27443">
        <w:t>decision-makers</w:t>
      </w:r>
      <w:r w:rsidR="00C63F8F" w:rsidRPr="00E27443">
        <w:t xml:space="preserve"> </w:t>
      </w:r>
      <w:r w:rsidRPr="00E27443">
        <w:t>and</w:t>
      </w:r>
      <w:r w:rsidR="00C63F8F" w:rsidRPr="00E27443">
        <w:t xml:space="preserve"> </w:t>
      </w:r>
      <w:r w:rsidRPr="00E27443">
        <w:t>various</w:t>
      </w:r>
      <w:r w:rsidR="00C63F8F" w:rsidRPr="00E27443">
        <w:t xml:space="preserve"> </w:t>
      </w:r>
      <w:r w:rsidRPr="00E27443">
        <w:t>professional</w:t>
      </w:r>
      <w:r w:rsidR="00C63F8F" w:rsidRPr="00E27443">
        <w:t xml:space="preserve"> </w:t>
      </w:r>
      <w:r w:rsidRPr="00E27443">
        <w:t>groups</w:t>
      </w:r>
      <w:r w:rsidR="00C63F8F" w:rsidRPr="00E27443">
        <w:t xml:space="preserve"> </w:t>
      </w:r>
      <w:r w:rsidRPr="00E27443">
        <w:t>must</w:t>
      </w:r>
      <w:r w:rsidR="00C63F8F" w:rsidRPr="00E27443">
        <w:t xml:space="preserve"> </w:t>
      </w:r>
      <w:r w:rsidRPr="00E27443">
        <w:t>have</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children</w:t>
      </w:r>
      <w:r w:rsidR="00C63F8F" w:rsidRPr="00E27443">
        <w:t>’</w:t>
      </w:r>
      <w:r w:rsidRPr="00E27443">
        <w:t>s</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and</w:t>
      </w:r>
      <w:r w:rsidR="00C63F8F" w:rsidRPr="00E27443">
        <w:t xml:space="preserve"> </w:t>
      </w:r>
      <w:r w:rsidRPr="00E27443">
        <w:t>about</w:t>
      </w:r>
      <w:r w:rsidR="00C63F8F" w:rsidRPr="00E27443">
        <w:t xml:space="preserve"> </w:t>
      </w:r>
      <w:r w:rsidRPr="00E27443">
        <w:t>how</w:t>
      </w:r>
      <w:r w:rsidR="00C63F8F" w:rsidRPr="00E27443">
        <w:t xml:space="preserve"> </w:t>
      </w:r>
      <w:r w:rsidRPr="00E27443">
        <w:t>children</w:t>
      </w:r>
      <w:r w:rsidR="00C63F8F" w:rsidRPr="00E27443">
        <w:t>’</w:t>
      </w:r>
      <w:r w:rsidRPr="00E27443">
        <w:t>s</w:t>
      </w:r>
      <w:r w:rsidR="00C63F8F" w:rsidRPr="00E27443">
        <w:t xml:space="preserve"> </w:t>
      </w:r>
      <w:r w:rsidRPr="00E27443">
        <w:t>rights</w:t>
      </w:r>
      <w:r w:rsidR="00C63F8F" w:rsidRPr="00E27443">
        <w:t xml:space="preserve"> </w:t>
      </w:r>
      <w:r w:rsidRPr="00E27443">
        <w:t>are</w:t>
      </w:r>
      <w:r w:rsidR="00C63F8F" w:rsidRPr="00E27443">
        <w:t xml:space="preserve"> </w:t>
      </w:r>
      <w:r w:rsidRPr="00E27443">
        <w:t>to</w:t>
      </w:r>
      <w:r w:rsidR="00C63F8F" w:rsidRPr="00E27443">
        <w:t xml:space="preserve"> </w:t>
      </w:r>
      <w:r w:rsidRPr="00E27443">
        <w:t>be</w:t>
      </w:r>
      <w:r w:rsidR="00C63F8F" w:rsidRPr="00E27443">
        <w:t xml:space="preserve"> </w:t>
      </w:r>
      <w:r w:rsidRPr="00E27443">
        <w:t>translated</w:t>
      </w:r>
      <w:r w:rsidR="00C63F8F" w:rsidRPr="00E27443">
        <w:t xml:space="preserve"> </w:t>
      </w:r>
      <w:r w:rsidRPr="00E27443">
        <w:t>into</w:t>
      </w:r>
      <w:r w:rsidR="00C63F8F" w:rsidRPr="00E27443">
        <w:t xml:space="preserve"> </w:t>
      </w:r>
      <w:r w:rsidRPr="00E27443">
        <w:t>decisions</w:t>
      </w:r>
      <w:r w:rsidR="00C63F8F" w:rsidRPr="00E27443">
        <w:t xml:space="preserve"> </w:t>
      </w:r>
      <w:r w:rsidRPr="00E27443">
        <w:t>and</w:t>
      </w:r>
      <w:r w:rsidR="00C63F8F" w:rsidRPr="00E27443">
        <w:t xml:space="preserve"> </w:t>
      </w:r>
      <w:r w:rsidRPr="00E27443">
        <w:t>actions</w:t>
      </w:r>
      <w:r w:rsidR="00C63F8F" w:rsidRPr="00E27443">
        <w:t xml:space="preserve"> </w:t>
      </w:r>
      <w:r w:rsidRPr="00E27443">
        <w:t>that</w:t>
      </w:r>
      <w:r w:rsidR="00C63F8F" w:rsidRPr="00E27443">
        <w:t xml:space="preserve"> </w:t>
      </w:r>
      <w:r w:rsidRPr="00E27443">
        <w:t>affect</w:t>
      </w:r>
      <w:r w:rsidR="00C63F8F" w:rsidRPr="00E27443">
        <w:t xml:space="preserve"> </w:t>
      </w:r>
      <w:r w:rsidRPr="00E27443">
        <w:t>children,</w:t>
      </w:r>
      <w:r w:rsidR="00C63F8F" w:rsidRPr="00E27443">
        <w:t xml:space="preserve"> </w:t>
      </w:r>
      <w:r w:rsidRPr="00E27443">
        <w:t>and</w:t>
      </w:r>
      <w:r w:rsidR="00C63F8F" w:rsidRPr="00E27443">
        <w:t xml:space="preserve"> </w:t>
      </w:r>
      <w:r w:rsidRPr="00E27443">
        <w:t>must</w:t>
      </w:r>
      <w:r w:rsidR="00C63F8F" w:rsidRPr="00E27443">
        <w:t xml:space="preserve"> </w:t>
      </w:r>
      <w:r w:rsidRPr="00E27443">
        <w:t>follow</w:t>
      </w:r>
      <w:r w:rsidR="00C63F8F" w:rsidRPr="00E27443">
        <w:t xml:space="preserve"> </w:t>
      </w:r>
      <w:r w:rsidRPr="00E27443">
        <w:t>up</w:t>
      </w:r>
      <w:r w:rsidR="00C63F8F" w:rsidRPr="00E27443">
        <w:t xml:space="preserve"> </w:t>
      </w:r>
      <w:r w:rsidRPr="00E27443">
        <w:t>such</w:t>
      </w:r>
      <w:r w:rsidR="00C63F8F" w:rsidRPr="00E27443">
        <w:t xml:space="preserve"> </w:t>
      </w:r>
      <w:r w:rsidRPr="00E27443">
        <w:t>decisions</w:t>
      </w:r>
      <w:r w:rsidR="00C63F8F" w:rsidRPr="00E27443">
        <w:t xml:space="preserve"> </w:t>
      </w:r>
      <w:r w:rsidRPr="00E27443">
        <w:t>and</w:t>
      </w:r>
      <w:r w:rsidR="00C63F8F" w:rsidRPr="00E27443">
        <w:t xml:space="preserve"> </w:t>
      </w:r>
      <w:r w:rsidRPr="00E27443">
        <w:t>actions</w:t>
      </w:r>
      <w:r w:rsidR="00C63F8F" w:rsidRPr="00E27443">
        <w:t xml:space="preserve"> </w:t>
      </w:r>
      <w:r w:rsidRPr="00E27443">
        <w:t>from</w:t>
      </w:r>
      <w:r w:rsidR="00C63F8F" w:rsidRPr="00E27443">
        <w:t xml:space="preserve"> </w:t>
      </w:r>
      <w:r w:rsidRPr="00E27443">
        <w:t>a</w:t>
      </w:r>
      <w:r w:rsidR="00C63F8F" w:rsidRPr="00E27443">
        <w:t xml:space="preserve"> </w:t>
      </w:r>
      <w:r w:rsidRPr="00E27443">
        <w:t>children</w:t>
      </w:r>
      <w:r w:rsidR="00C63F8F" w:rsidRPr="00E27443">
        <w:t>’</w:t>
      </w:r>
      <w:r w:rsidRPr="00E27443">
        <w:t>s</w:t>
      </w:r>
      <w:r w:rsidR="00C63F8F" w:rsidRPr="00E27443">
        <w:t xml:space="preserve"> </w:t>
      </w:r>
      <w:r w:rsidRPr="00E27443">
        <w:t>rights</w:t>
      </w:r>
      <w:r w:rsidR="00C63F8F" w:rsidRPr="00E27443">
        <w:t xml:space="preserve"> </w:t>
      </w:r>
      <w:r w:rsidRPr="00E27443">
        <w:t>perspective.</w:t>
      </w:r>
      <w:r w:rsidR="00C63F8F" w:rsidRPr="00E27443">
        <w:t xml:space="preserve"> </w:t>
      </w:r>
      <w:r w:rsidRPr="00E27443">
        <w:t>The</w:t>
      </w:r>
      <w:r w:rsidR="00C63F8F" w:rsidRPr="00E27443">
        <w:t xml:space="preserve"> </w:t>
      </w:r>
      <w:r w:rsidRPr="00E27443">
        <w:t>interaction</w:t>
      </w:r>
      <w:r w:rsidR="00C63F8F" w:rsidRPr="00E27443">
        <w:t xml:space="preserve"> </w:t>
      </w:r>
      <w:r w:rsidRPr="00E27443">
        <w:t>between</w:t>
      </w:r>
      <w:r w:rsidR="00C63F8F" w:rsidRPr="00E27443">
        <w:t xml:space="preserve"> </w:t>
      </w:r>
      <w:r w:rsidRPr="00E27443">
        <w:t>various</w:t>
      </w:r>
      <w:r w:rsidR="00C63F8F" w:rsidRPr="00E27443">
        <w:t xml:space="preserve"> </w:t>
      </w:r>
      <w:r w:rsidRPr="00E27443">
        <w:t>players</w:t>
      </w:r>
      <w:r w:rsidR="00C63F8F" w:rsidRPr="00E27443">
        <w:t xml:space="preserve"> </w:t>
      </w:r>
      <w:r w:rsidRPr="00E27443">
        <w:t>and</w:t>
      </w:r>
      <w:r w:rsidR="00C63F8F" w:rsidRPr="00E27443">
        <w:t xml:space="preserve"> </w:t>
      </w:r>
      <w:r w:rsidRPr="00E27443">
        <w:t>activities</w:t>
      </w:r>
      <w:r w:rsidR="00C63F8F" w:rsidRPr="00E27443">
        <w:t xml:space="preserve"> </w:t>
      </w:r>
      <w:r w:rsidRPr="00E27443">
        <w:t>in</w:t>
      </w:r>
      <w:r w:rsidR="00C63F8F" w:rsidRPr="00E27443">
        <w:t xml:space="preserve"> </w:t>
      </w:r>
      <w:r w:rsidRPr="00E27443">
        <w:t>issues</w:t>
      </w:r>
      <w:r w:rsidR="00C63F8F" w:rsidRPr="00E27443">
        <w:t xml:space="preserve"> </w:t>
      </w:r>
      <w:r w:rsidRPr="00E27443">
        <w:t>relating</w:t>
      </w:r>
      <w:r w:rsidR="00C63F8F" w:rsidRPr="00E27443">
        <w:t xml:space="preserve"> </w:t>
      </w:r>
      <w:r w:rsidRPr="00E27443">
        <w:t>to</w:t>
      </w:r>
      <w:r w:rsidR="00C63F8F" w:rsidRPr="00E27443">
        <w:t xml:space="preserve"> </w:t>
      </w:r>
      <w:r w:rsidRPr="00E27443">
        <w:t>children</w:t>
      </w:r>
      <w:r w:rsidR="00C63F8F" w:rsidRPr="00E27443">
        <w:t xml:space="preserve"> </w:t>
      </w:r>
      <w:r w:rsidRPr="00E27443">
        <w:t>is</w:t>
      </w:r>
      <w:r w:rsidR="00C63F8F" w:rsidRPr="00E27443">
        <w:t xml:space="preserve"> </w:t>
      </w:r>
      <w:r w:rsidRPr="00E27443">
        <w:t>also</w:t>
      </w:r>
      <w:r w:rsidR="00C63F8F" w:rsidRPr="00E27443">
        <w:t xml:space="preserve"> </w:t>
      </w:r>
      <w:r w:rsidRPr="00E27443">
        <w:t>particularly</w:t>
      </w:r>
      <w:r w:rsidR="00C63F8F" w:rsidRPr="00E27443">
        <w:t xml:space="preserve"> </w:t>
      </w:r>
      <w:r w:rsidRPr="00E27443">
        <w:t>important</w:t>
      </w:r>
      <w:r w:rsidR="00C63F8F" w:rsidRPr="00E27443">
        <w:t xml:space="preserve"> </w:t>
      </w:r>
      <w:r w:rsidRPr="00E27443">
        <w:t>in</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safeguard</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each</w:t>
      </w:r>
      <w:r w:rsidR="00C63F8F" w:rsidRPr="00E27443">
        <w:t xml:space="preserve"> </w:t>
      </w:r>
      <w:r w:rsidRPr="00E27443">
        <w:t>child.</w:t>
      </w:r>
      <w:r w:rsidR="00C63F8F" w:rsidRPr="00E27443">
        <w:t xml:space="preserve"> </w:t>
      </w:r>
    </w:p>
    <w:p w:rsidR="00321ADA" w:rsidRPr="00E27443" w:rsidRDefault="00321ADA" w:rsidP="00B86C8B">
      <w:pPr>
        <w:pStyle w:val="SingleTxtG"/>
        <w:numPr>
          <w:ilvl w:val="0"/>
          <w:numId w:val="20"/>
        </w:numPr>
        <w:tabs>
          <w:tab w:val="left" w:pos="1843"/>
        </w:tabs>
        <w:ind w:left="1134" w:firstLine="0"/>
      </w:pPr>
      <w:r w:rsidRPr="00E27443">
        <w:t>Co-ordination</w:t>
      </w:r>
      <w:r w:rsidR="00C63F8F" w:rsidRPr="00E27443">
        <w:t xml:space="preserve"> </w:t>
      </w:r>
      <w:r w:rsidRPr="00E27443">
        <w:t>and</w:t>
      </w:r>
      <w:r w:rsidR="00C63F8F" w:rsidRPr="00E27443">
        <w:t xml:space="preserve"> </w:t>
      </w:r>
      <w:r w:rsidRPr="00E27443">
        <w:t>co-operation</w:t>
      </w:r>
      <w:r w:rsidR="00C63F8F" w:rsidRPr="00E27443">
        <w:t xml:space="preserve"> </w:t>
      </w:r>
      <w:r w:rsidRPr="00E27443">
        <w:t>between</w:t>
      </w:r>
      <w:r w:rsidR="00C63F8F" w:rsidRPr="00E27443">
        <w:t xml:space="preserve"> </w:t>
      </w:r>
      <w:r w:rsidRPr="00E27443">
        <w:t>the</w:t>
      </w:r>
      <w:r w:rsidR="00C63F8F" w:rsidRPr="00E27443">
        <w:t xml:space="preserve"> </w:t>
      </w:r>
      <w:r w:rsidRPr="00E27443">
        <w:t>State</w:t>
      </w:r>
      <w:r w:rsidR="00C63F8F" w:rsidRPr="00E27443">
        <w:t xml:space="preserve"> </w:t>
      </w:r>
      <w:r w:rsidRPr="00E27443">
        <w:t>and</w:t>
      </w:r>
      <w:r w:rsidR="00C63F8F" w:rsidRPr="00E27443">
        <w:t xml:space="preserve"> </w:t>
      </w:r>
      <w:r w:rsidRPr="00E27443">
        <w:t>the</w:t>
      </w:r>
      <w:r w:rsidR="00C63F8F" w:rsidRPr="00E27443">
        <w:t xml:space="preserve"> </w:t>
      </w:r>
      <w:r w:rsidRPr="00E27443">
        <w:t>municipal</w:t>
      </w:r>
      <w:r w:rsidR="00C63F8F" w:rsidRPr="00E27443">
        <w:t xml:space="preserve"> </w:t>
      </w:r>
      <w:r w:rsidRPr="00E27443">
        <w:t>level</w:t>
      </w:r>
      <w:r w:rsidR="00C63F8F" w:rsidRPr="00E27443">
        <w:t xml:space="preserve"> </w:t>
      </w:r>
      <w:r w:rsidRPr="00E27443">
        <w:t>are</w:t>
      </w:r>
      <w:r w:rsidR="00C63F8F" w:rsidRPr="00E27443">
        <w:t xml:space="preserve"> </w:t>
      </w:r>
      <w:r w:rsidRPr="00E27443">
        <w:t>important</w:t>
      </w:r>
      <w:r w:rsidR="00C63F8F" w:rsidRPr="00E27443">
        <w:t xml:space="preserve"> </w:t>
      </w:r>
      <w:r w:rsidRPr="00E27443">
        <w:t>for</w:t>
      </w:r>
      <w:r w:rsidR="00C63F8F" w:rsidRPr="00E27443">
        <w:t xml:space="preserve"> </w:t>
      </w:r>
      <w:r w:rsidRPr="00E27443">
        <w:t>the</w:t>
      </w:r>
      <w:r w:rsidR="00C63F8F" w:rsidRPr="00E27443">
        <w:t xml:space="preserve"> </w:t>
      </w:r>
      <w:r w:rsidRPr="00E27443">
        <w:t>application</w:t>
      </w:r>
      <w:r w:rsidR="00C63F8F" w:rsidRPr="00E27443">
        <w:t xml:space="preserve"> </w:t>
      </w:r>
      <w:r w:rsidRPr="00E27443">
        <w:t>of</w:t>
      </w:r>
      <w:r w:rsidR="00C63F8F" w:rsidRPr="00E27443">
        <w:t xml:space="preserve"> </w:t>
      </w:r>
      <w:r w:rsidRPr="00E27443">
        <w:t>children</w:t>
      </w:r>
      <w:r w:rsidR="00C63F8F" w:rsidRPr="00E27443">
        <w:t>’</w:t>
      </w:r>
      <w:r w:rsidRPr="00E27443">
        <w:t>s</w:t>
      </w:r>
      <w:r w:rsidR="00C63F8F" w:rsidRPr="00E27443">
        <w:t xml:space="preserve"> </w:t>
      </w:r>
      <w:r w:rsidRPr="00E27443">
        <w:t>rights.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and</w:t>
      </w:r>
      <w:r w:rsidR="00C63F8F" w:rsidRPr="00E27443">
        <w:t xml:space="preserve"> </w:t>
      </w:r>
      <w:r w:rsidRPr="00E27443">
        <w:t>Swedish</w:t>
      </w:r>
      <w:r w:rsidR="00C63F8F" w:rsidRPr="00E27443">
        <w:t xml:space="preserve"> </w:t>
      </w:r>
      <w:r w:rsidRPr="00E27443">
        <w:t>Association</w:t>
      </w:r>
      <w:r w:rsidR="00C63F8F" w:rsidRPr="00E27443">
        <w:t xml:space="preserve"> </w:t>
      </w:r>
      <w:r w:rsidRPr="00E27443">
        <w:t>of</w:t>
      </w:r>
      <w:r w:rsidR="00C63F8F" w:rsidRPr="00E27443">
        <w:t xml:space="preserve"> </w:t>
      </w:r>
      <w:r w:rsidRPr="00E27443">
        <w:t>Local</w:t>
      </w:r>
      <w:r w:rsidR="00C63F8F" w:rsidRPr="00E27443">
        <w:t xml:space="preserve"> </w:t>
      </w:r>
      <w:r w:rsidRPr="00E27443">
        <w:t>Authorities</w:t>
      </w:r>
      <w:r w:rsidR="00C63F8F" w:rsidRPr="00E27443">
        <w:t xml:space="preserve"> </w:t>
      </w:r>
      <w:r w:rsidRPr="00E27443">
        <w:t>and</w:t>
      </w:r>
      <w:r w:rsidR="00C63F8F" w:rsidRPr="00E27443">
        <w:t xml:space="preserve"> </w:t>
      </w:r>
      <w:r w:rsidRPr="00E27443">
        <w:t>Regions</w:t>
      </w:r>
      <w:r w:rsidR="00C63F8F" w:rsidRPr="00E27443">
        <w:t xml:space="preserve"> </w:t>
      </w:r>
      <w:r w:rsidRPr="00E27443">
        <w:t>have</w:t>
      </w:r>
      <w:r w:rsidR="00C63F8F" w:rsidRPr="00E27443">
        <w:t xml:space="preserve"> </w:t>
      </w:r>
      <w:r w:rsidRPr="00E27443">
        <w:t>entered</w:t>
      </w:r>
      <w:r w:rsidR="00C63F8F" w:rsidRPr="00E27443">
        <w:t xml:space="preserve"> </w:t>
      </w:r>
      <w:r w:rsidRPr="00E27443">
        <w:t>into</w:t>
      </w:r>
      <w:r w:rsidR="00C63F8F" w:rsidRPr="00E27443">
        <w:t xml:space="preserve"> </w:t>
      </w:r>
      <w:r w:rsidRPr="00E27443">
        <w:t>an</w:t>
      </w:r>
      <w:r w:rsidR="00C63F8F" w:rsidRPr="00E27443">
        <w:t xml:space="preserve"> </w:t>
      </w:r>
      <w:r w:rsidRPr="00E27443">
        <w:t>agreement</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proposed</w:t>
      </w:r>
      <w:r w:rsidR="00C63F8F" w:rsidRPr="00E27443">
        <w:t xml:space="preserve"> </w:t>
      </w:r>
      <w:r w:rsidRPr="00E27443">
        <w:t>strategy</w:t>
      </w:r>
      <w:r w:rsidR="00C63F8F" w:rsidRPr="00E27443">
        <w:t xml:space="preserve"> </w:t>
      </w:r>
      <w:r w:rsidRPr="00E27443">
        <w:t>to</w:t>
      </w:r>
      <w:r w:rsidR="00C63F8F" w:rsidRPr="00E27443">
        <w:t xml:space="preserve"> </w:t>
      </w:r>
      <w:r w:rsidRPr="00E27443">
        <w:t>strengthen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children</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Pr="00E27443">
        <w:t>.</w:t>
      </w:r>
      <w:r w:rsidR="00C63F8F" w:rsidRPr="00E27443">
        <w:t xml:space="preserve"> </w:t>
      </w:r>
      <w:r w:rsidRPr="00E27443">
        <w:t>The</w:t>
      </w:r>
      <w:r w:rsidR="00C63F8F" w:rsidRPr="00E27443">
        <w:t xml:space="preserve"> </w:t>
      </w:r>
      <w:r w:rsidRPr="00E27443">
        <w:t>purpose</w:t>
      </w:r>
      <w:r w:rsidR="00C63F8F" w:rsidRPr="00E27443">
        <w:t xml:space="preserve"> </w:t>
      </w:r>
      <w:r w:rsidRPr="00E27443">
        <w:t>is</w:t>
      </w:r>
      <w:r w:rsidR="00C63F8F" w:rsidRPr="00E27443">
        <w:t xml:space="preserve"> </w:t>
      </w:r>
      <w:r w:rsidRPr="00E27443">
        <w:t>to</w:t>
      </w:r>
      <w:r w:rsidR="00C63F8F" w:rsidRPr="00E27443">
        <w:t xml:space="preserve"> </w:t>
      </w:r>
      <w:r w:rsidRPr="00E27443">
        <w:t>intensify</w:t>
      </w:r>
      <w:r w:rsidR="00C63F8F" w:rsidRPr="00E27443">
        <w:t xml:space="preserve"> </w:t>
      </w:r>
      <w:r w:rsidRPr="00E27443">
        <w:t>and</w:t>
      </w:r>
      <w:r w:rsidR="00C63F8F" w:rsidRPr="00E27443">
        <w:t xml:space="preserve"> </w:t>
      </w:r>
      <w:r w:rsidRPr="00E27443">
        <w:t>develop</w:t>
      </w:r>
      <w:r w:rsidR="00C63F8F" w:rsidRPr="00E27443">
        <w:t xml:space="preserve"> </w:t>
      </w:r>
      <w:r w:rsidRPr="00E27443">
        <w:t>the</w:t>
      </w:r>
      <w:r w:rsidR="00C63F8F" w:rsidRPr="00E27443">
        <w:t xml:space="preserve"> </w:t>
      </w:r>
      <w:r w:rsidRPr="00E27443">
        <w:t>work</w:t>
      </w:r>
      <w:r w:rsidR="00C63F8F" w:rsidRPr="00E27443">
        <w:t xml:space="preserve"> </w:t>
      </w:r>
      <w:r w:rsidRPr="00E27443">
        <w:t>on</w:t>
      </w:r>
      <w:r w:rsidR="00C63F8F" w:rsidRPr="00E27443">
        <w:t xml:space="preserve"> </w:t>
      </w:r>
      <w:r w:rsidRPr="00E27443">
        <w:t>children</w:t>
      </w:r>
      <w:r w:rsidR="00C63F8F" w:rsidRPr="00E27443">
        <w:t>’</w:t>
      </w:r>
      <w:r w:rsidRPr="00E27443">
        <w:t>s</w:t>
      </w:r>
      <w:r w:rsidR="00C63F8F" w:rsidRPr="00E27443">
        <w:t xml:space="preserve"> </w:t>
      </w:r>
      <w:r w:rsidRPr="00E27443">
        <w:t>rights</w:t>
      </w:r>
      <w:r w:rsidR="00C63F8F" w:rsidRPr="00E27443">
        <w:t xml:space="preserve"> </w:t>
      </w:r>
      <w:r w:rsidRPr="00E27443">
        <w:t>in</w:t>
      </w:r>
      <w:r w:rsidR="00C63F8F" w:rsidRPr="00E27443">
        <w:t xml:space="preserve"> </w:t>
      </w:r>
      <w:r w:rsidRPr="00E27443">
        <w:t>activities</w:t>
      </w:r>
      <w:r w:rsidR="00C63F8F" w:rsidRPr="00E27443">
        <w:t xml:space="preserve"> </w:t>
      </w:r>
      <w:r w:rsidRPr="00E27443">
        <w:t>within</w:t>
      </w:r>
      <w:r w:rsidR="00C63F8F" w:rsidRPr="00E27443">
        <w:t xml:space="preserve"> </w:t>
      </w:r>
      <w:r w:rsidRPr="00E27443">
        <w:t>municipalities</w:t>
      </w:r>
      <w:r w:rsidR="00C63F8F" w:rsidRPr="00E27443">
        <w:t xml:space="preserve"> </w:t>
      </w:r>
      <w:r w:rsidRPr="00E27443">
        <w:t>and</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This</w:t>
      </w:r>
      <w:r w:rsidR="00C63F8F" w:rsidRPr="00E27443">
        <w:t xml:space="preserve"> </w:t>
      </w:r>
      <w:r w:rsidRPr="00E27443">
        <w:t>will</w:t>
      </w:r>
      <w:r w:rsidR="00C63F8F" w:rsidRPr="00E27443">
        <w:t xml:space="preserve"> </w:t>
      </w:r>
      <w:r w:rsidRPr="00E27443">
        <w:t>apply</w:t>
      </w:r>
      <w:r w:rsidR="00C63F8F" w:rsidRPr="00E27443">
        <w:t xml:space="preserve"> </w:t>
      </w:r>
      <w:r w:rsidRPr="00E27443">
        <w:t>during</w:t>
      </w:r>
      <w:r w:rsidR="00C63F8F" w:rsidRPr="00E27443">
        <w:t xml:space="preserve"> </w:t>
      </w:r>
      <w:r w:rsidRPr="00E27443">
        <w:t>the</w:t>
      </w:r>
      <w:r w:rsidR="00C63F8F" w:rsidRPr="00E27443">
        <w:t xml:space="preserve"> </w:t>
      </w:r>
      <w:r w:rsidRPr="00E27443">
        <w:t>period</w:t>
      </w:r>
      <w:r w:rsidR="00C63F8F" w:rsidRPr="00E27443">
        <w:t xml:space="preserve"> </w:t>
      </w:r>
      <w:r w:rsidRPr="00E27443">
        <w:t>2010–2013</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that</w:t>
      </w:r>
      <w:r w:rsidR="00C63F8F" w:rsidRPr="00E27443">
        <w:t xml:space="preserve"> </w:t>
      </w:r>
      <w:r w:rsidRPr="00E27443">
        <w:t>the</w:t>
      </w:r>
      <w:r w:rsidR="00C63F8F" w:rsidRPr="00E27443">
        <w:t xml:space="preserve"> </w:t>
      </w:r>
      <w:r w:rsidRPr="00E27443">
        <w:t>work</w:t>
      </w:r>
      <w:r w:rsidR="00C63F8F" w:rsidRPr="00E27443">
        <w:t xml:space="preserve"> </w:t>
      </w:r>
      <w:r w:rsidRPr="00E27443">
        <w:t>must</w:t>
      </w:r>
      <w:r w:rsidR="00C63F8F" w:rsidRPr="00E27443">
        <w:t xml:space="preserve"> </w:t>
      </w:r>
      <w:r w:rsidRPr="00E27443">
        <w:t>be</w:t>
      </w:r>
      <w:r w:rsidR="00C63F8F" w:rsidRPr="00E27443">
        <w:t xml:space="preserve"> </w:t>
      </w:r>
      <w:r w:rsidRPr="00E27443">
        <w:t>long-term</w:t>
      </w:r>
      <w:r w:rsidR="00C63F8F" w:rsidRPr="00E27443">
        <w:t xml:space="preserve"> </w:t>
      </w:r>
      <w:r w:rsidRPr="00E27443">
        <w:t>in</w:t>
      </w:r>
      <w:r w:rsidR="00C63F8F" w:rsidRPr="00E27443">
        <w:t xml:space="preserve"> </w:t>
      </w:r>
      <w:r w:rsidRPr="00E27443">
        <w:t>nature.</w:t>
      </w:r>
      <w:r w:rsidR="00C63F8F" w:rsidRPr="00E27443">
        <w:t xml:space="preserve"> </w:t>
      </w:r>
    </w:p>
    <w:p w:rsidR="00321ADA" w:rsidRPr="00E27443" w:rsidRDefault="00321ADA" w:rsidP="00B86C8B">
      <w:pPr>
        <w:pStyle w:val="SingleTxtG"/>
        <w:numPr>
          <w:ilvl w:val="0"/>
          <w:numId w:val="20"/>
        </w:numPr>
        <w:tabs>
          <w:tab w:val="left" w:pos="1843"/>
        </w:tabs>
        <w:ind w:left="1134" w:firstLine="0"/>
      </w:pPr>
      <w:r w:rsidRPr="00E27443">
        <w:t>The</w:t>
      </w:r>
      <w:r w:rsidR="00C63F8F" w:rsidRPr="00E27443">
        <w:t xml:space="preserve"> </w:t>
      </w:r>
      <w:r w:rsidRPr="00E27443">
        <w:t>Act</w:t>
      </w:r>
      <w:r w:rsidR="00C63F8F" w:rsidRPr="00E27443">
        <w:t xml:space="preserve"> </w:t>
      </w:r>
      <w:r w:rsidRPr="00E27443">
        <w:t>concerning</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Certain</w:t>
      </w:r>
      <w:r w:rsidR="00C63F8F" w:rsidRPr="00E27443">
        <w:t xml:space="preserve"> </w:t>
      </w:r>
      <w:r w:rsidRPr="00E27443">
        <w:t>Functional</w:t>
      </w:r>
      <w:r w:rsidR="00C63F8F" w:rsidRPr="00E27443">
        <w:t xml:space="preserve"> </w:t>
      </w:r>
      <w:r w:rsidRPr="00E27443">
        <w:t>Impairments</w:t>
      </w:r>
      <w:r w:rsidR="00C63F8F" w:rsidRPr="00E27443">
        <w:t xml:space="preserve"> </w:t>
      </w:r>
      <w:r w:rsidRPr="00E27443">
        <w:t>(LSS)</w:t>
      </w:r>
      <w:r w:rsidR="00C63F8F" w:rsidRPr="00E27443">
        <w:t xml:space="preserve"> </w:t>
      </w:r>
      <w:r w:rsidRPr="00E27443">
        <w:t>has</w:t>
      </w:r>
      <w:r w:rsidR="00C63F8F" w:rsidRPr="00E27443">
        <w:t xml:space="preserve"> </w:t>
      </w:r>
      <w:r w:rsidRPr="00E27443">
        <w:t>recently</w:t>
      </w:r>
      <w:r w:rsidR="00C63F8F" w:rsidRPr="00E27443">
        <w:t xml:space="preserve"> </w:t>
      </w:r>
      <w:r w:rsidRPr="00E27443">
        <w:t>been</w:t>
      </w:r>
      <w:r w:rsidR="00C63F8F" w:rsidRPr="00E27443">
        <w:t xml:space="preserve"> </w:t>
      </w:r>
      <w:r w:rsidRPr="00E27443">
        <w:t>amended</w:t>
      </w:r>
      <w:r w:rsidR="00C63F8F" w:rsidRPr="00E27443">
        <w:t xml:space="preserve"> </w:t>
      </w:r>
      <w:r w:rsidRPr="00E27443">
        <w:t>in</w:t>
      </w:r>
      <w:r w:rsidR="00C63F8F" w:rsidRPr="00E27443">
        <w:t xml:space="preserve"> </w:t>
      </w:r>
      <w:r w:rsidRPr="00E27443">
        <w:t>a</w:t>
      </w:r>
      <w:r w:rsidR="00C63F8F" w:rsidRPr="00E27443">
        <w:t xml:space="preserve"> </w:t>
      </w:r>
      <w:r w:rsidRPr="00E27443">
        <w:t>number</w:t>
      </w:r>
      <w:r w:rsidR="00C63F8F" w:rsidRPr="00E27443">
        <w:t xml:space="preserve"> </w:t>
      </w:r>
      <w:r w:rsidRPr="00E27443">
        <w:t>of</w:t>
      </w:r>
      <w:r w:rsidR="00C63F8F" w:rsidRPr="00E27443">
        <w:t xml:space="preserve"> </w:t>
      </w:r>
      <w:r w:rsidRPr="00E27443">
        <w:t>respects</w:t>
      </w:r>
      <w:r w:rsidR="00C63F8F" w:rsidRPr="00E27443">
        <w:t xml:space="preserve"> </w:t>
      </w:r>
      <w:r w:rsidRPr="00E27443">
        <w:t>as</w:t>
      </w:r>
      <w:r w:rsidR="00C63F8F" w:rsidRPr="00E27443">
        <w:t xml:space="preserve"> </w:t>
      </w:r>
      <w:r w:rsidRPr="00E27443">
        <w:t>regards</w:t>
      </w:r>
      <w:r w:rsidR="00C63F8F" w:rsidRPr="00E27443">
        <w:t xml:space="preserve"> </w:t>
      </w:r>
      <w:r w:rsidRPr="00E27443">
        <w:t>initiatives</w:t>
      </w:r>
      <w:r w:rsidR="00C63F8F" w:rsidRPr="00E27443">
        <w:t xml:space="preserve"> </w:t>
      </w:r>
      <w:r w:rsidRPr="00E27443">
        <w:t>for</w:t>
      </w:r>
      <w:r w:rsidR="00C63F8F" w:rsidRPr="00E27443">
        <w:t xml:space="preserve"> </w:t>
      </w:r>
      <w:r w:rsidRPr="00E27443">
        <w:t>children.</w:t>
      </w:r>
      <w:r w:rsidR="00C63F8F" w:rsidRPr="00E27443">
        <w:t xml:space="preserve"> </w:t>
      </w:r>
      <w:r w:rsidRPr="00E27443">
        <w:t>A</w:t>
      </w:r>
      <w:r w:rsidR="00C63F8F" w:rsidRPr="00E27443">
        <w:t xml:space="preserve"> </w:t>
      </w:r>
      <w:r w:rsidRPr="00E27443">
        <w:t>regulation</w:t>
      </w:r>
      <w:r w:rsidR="00C63F8F" w:rsidRPr="00E27443">
        <w:t xml:space="preserve"> </w:t>
      </w:r>
      <w:r w:rsidRPr="00E27443">
        <w:t>has</w:t>
      </w:r>
      <w:r w:rsidR="00C63F8F" w:rsidRPr="00E27443">
        <w:t xml:space="preserve"> </w:t>
      </w:r>
      <w:r w:rsidRPr="00E27443">
        <w:t>been</w:t>
      </w:r>
      <w:r w:rsidR="00C63F8F" w:rsidRPr="00E27443">
        <w:t xml:space="preserve"> </w:t>
      </w:r>
      <w:r w:rsidRPr="00E27443">
        <w:t>introduced</w:t>
      </w:r>
      <w:r w:rsidR="00C63F8F" w:rsidRPr="00E27443">
        <w:t xml:space="preserve"> </w:t>
      </w:r>
      <w:r w:rsidRPr="00E27443">
        <w:t>into</w:t>
      </w:r>
      <w:r w:rsidR="00C63F8F" w:rsidRPr="00E27443">
        <w:t xml:space="preserve"> </w:t>
      </w:r>
      <w:r w:rsidRPr="00E27443">
        <w:t>LSS</w:t>
      </w:r>
      <w:r w:rsidR="00C63F8F" w:rsidRPr="00E27443">
        <w:t xml:space="preserve"> </w:t>
      </w:r>
      <w:r w:rsidRPr="00E27443">
        <w:t>to</w:t>
      </w:r>
      <w:r w:rsidR="00C63F8F" w:rsidRPr="00E27443">
        <w:t xml:space="preserve"> </w:t>
      </w:r>
      <w:r w:rsidRPr="00E27443">
        <w:t>the</w:t>
      </w:r>
      <w:r w:rsidR="00C63F8F" w:rsidRPr="00E27443">
        <w:t xml:space="preserve"> </w:t>
      </w:r>
      <w:r w:rsidRPr="00E27443">
        <w:t>effect</w:t>
      </w:r>
      <w:r w:rsidR="00C63F8F" w:rsidRPr="00E27443">
        <w:t xml:space="preserve"> </w:t>
      </w:r>
      <w:r w:rsidRPr="00E27443">
        <w:t>that</w:t>
      </w:r>
      <w:r w:rsidR="00C63F8F" w:rsidRPr="00E27443">
        <w:t xml:space="preserve"> </w:t>
      </w:r>
      <w:r w:rsidRPr="00E27443">
        <w:t>when</w:t>
      </w:r>
      <w:r w:rsidR="00C63F8F" w:rsidRPr="00E27443">
        <w:t xml:space="preserve"> </w:t>
      </w:r>
      <w:r w:rsidRPr="00E27443">
        <w:t>a</w:t>
      </w:r>
      <w:r w:rsidR="00C63F8F" w:rsidRPr="00E27443">
        <w:t xml:space="preserve"> </w:t>
      </w:r>
      <w:r w:rsidRPr="00E27443">
        <w:t>measure</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this</w:t>
      </w:r>
      <w:r w:rsidR="00C63F8F" w:rsidRPr="00E27443">
        <w:t xml:space="preserve"> </w:t>
      </w:r>
      <w:r w:rsidRPr="00E27443">
        <w:t>Act</w:t>
      </w:r>
      <w:r w:rsidR="00C63F8F" w:rsidRPr="00E27443">
        <w:t xml:space="preserve"> </w:t>
      </w:r>
      <w:r w:rsidRPr="00E27443">
        <w:t>relates</w:t>
      </w:r>
      <w:r w:rsidR="00C63F8F" w:rsidRPr="00E27443">
        <w:t xml:space="preserve"> </w:t>
      </w:r>
      <w:r w:rsidRPr="00E27443">
        <w:t>to</w:t>
      </w:r>
      <w:r w:rsidR="00C63F8F" w:rsidRPr="00E27443">
        <w:t xml:space="preserve"> </w:t>
      </w:r>
      <w:r w:rsidRPr="00E27443">
        <w:t>a</w:t>
      </w:r>
      <w:r w:rsidR="00C63F8F" w:rsidRPr="00E27443">
        <w:t xml:space="preserve"> </w:t>
      </w:r>
      <w:r w:rsidRPr="00E27443">
        <w:t>child,</w:t>
      </w:r>
      <w:r w:rsidR="00C63F8F" w:rsidRPr="00E27443">
        <w:t xml:space="preserve"> </w:t>
      </w:r>
      <w:r w:rsidRPr="00E27443">
        <w:t>particular</w:t>
      </w:r>
      <w:r w:rsidR="00C63F8F" w:rsidRPr="00E27443">
        <w:t xml:space="preserve"> </w:t>
      </w:r>
      <w:r w:rsidRPr="00E27443">
        <w:t>attention</w:t>
      </w:r>
      <w:r w:rsidR="00C63F8F" w:rsidRPr="00E27443">
        <w:t xml:space="preserve"> </w:t>
      </w:r>
      <w:r w:rsidRPr="00E27443">
        <w:t>must</w:t>
      </w:r>
      <w:r w:rsidR="00C63F8F" w:rsidRPr="00E27443">
        <w:t xml:space="preserve"> </w:t>
      </w:r>
      <w:r w:rsidRPr="00E27443">
        <w:t>be</w:t>
      </w:r>
      <w:r w:rsidR="00C63F8F" w:rsidRPr="00E27443">
        <w:t xml:space="preserve"> </w:t>
      </w:r>
      <w:r w:rsidRPr="00E27443">
        <w:t>paid</w:t>
      </w:r>
      <w:r w:rsidR="00C63F8F" w:rsidRPr="00E27443">
        <w:t xml:space="preserve"> </w:t>
      </w:r>
      <w:r w:rsidRPr="00E27443">
        <w:t>to</w:t>
      </w:r>
      <w:r w:rsidR="00C63F8F" w:rsidRPr="00E27443">
        <w:t xml:space="preserve"> </w:t>
      </w:r>
      <w:r w:rsidRPr="00E27443">
        <w:t>the</w:t>
      </w:r>
      <w:r w:rsidR="00C63F8F" w:rsidRPr="00E27443">
        <w:t xml:space="preserve"> </w:t>
      </w:r>
      <w:r w:rsidRPr="00E27443">
        <w:t>best</w:t>
      </w:r>
      <w:r w:rsidR="00C63F8F" w:rsidRPr="00E27443">
        <w:t xml:space="preserve"> </w:t>
      </w:r>
      <w:r w:rsidRPr="00E27443">
        <w:t>interests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Furthermore,</w:t>
      </w:r>
      <w:r w:rsidR="00C63F8F" w:rsidRPr="00E27443">
        <w:t xml:space="preserve"> </w:t>
      </w:r>
      <w:r w:rsidRPr="00E27443">
        <w:t>regulations</w:t>
      </w:r>
      <w:r w:rsidR="00C63F8F" w:rsidRPr="00E27443">
        <w:t xml:space="preserve"> </w:t>
      </w:r>
      <w:r w:rsidRPr="00E27443">
        <w:t>have</w:t>
      </w:r>
      <w:r w:rsidR="00C63F8F" w:rsidRPr="00E27443">
        <w:t xml:space="preserve"> </w:t>
      </w:r>
      <w:r w:rsidRPr="00E27443">
        <w:t>been</w:t>
      </w:r>
      <w:r w:rsidR="00C63F8F" w:rsidRPr="00E27443">
        <w:t xml:space="preserve"> </w:t>
      </w:r>
      <w:r w:rsidRPr="00E27443">
        <w:t>introduced</w:t>
      </w:r>
      <w:r w:rsidR="00C63F8F" w:rsidRPr="00E27443">
        <w:t xml:space="preserve"> </w:t>
      </w:r>
      <w:r w:rsidRPr="00E27443">
        <w:t>into</w:t>
      </w:r>
      <w:r w:rsidR="00C63F8F" w:rsidRPr="00E27443">
        <w:t xml:space="preserve"> </w:t>
      </w:r>
      <w:r w:rsidRPr="00E27443">
        <w:t>LSS</w:t>
      </w:r>
      <w:r w:rsidR="00C63F8F" w:rsidRPr="00E27443">
        <w:t xml:space="preserve"> </w:t>
      </w:r>
      <w:r w:rsidRPr="00E27443">
        <w:t>to</w:t>
      </w:r>
      <w:r w:rsidR="00C63F8F" w:rsidRPr="00E27443">
        <w:t xml:space="preserve"> </w:t>
      </w:r>
      <w:r w:rsidRPr="00E27443">
        <w:t>the</w:t>
      </w:r>
      <w:r w:rsidR="00C63F8F" w:rsidRPr="00E27443">
        <w:t xml:space="preserve"> </w:t>
      </w:r>
      <w:r w:rsidRPr="00E27443">
        <w:t>effect</w:t>
      </w:r>
      <w:r w:rsidR="00C63F8F" w:rsidRPr="00E27443">
        <w:t xml:space="preserve"> </w:t>
      </w:r>
      <w:r w:rsidRPr="00E27443">
        <w:t>that</w:t>
      </w:r>
      <w:r w:rsidR="00C63F8F" w:rsidRPr="00E27443">
        <w:t xml:space="preserve"> </w:t>
      </w:r>
      <w:r w:rsidRPr="00E27443">
        <w:t>when</w:t>
      </w:r>
      <w:r w:rsidR="00C63F8F" w:rsidRPr="00E27443">
        <w:t xml:space="preserve"> </w:t>
      </w:r>
      <w:r w:rsidRPr="00E27443">
        <w:t>initiatives</w:t>
      </w:r>
      <w:r w:rsidR="00C63F8F" w:rsidRPr="00E27443">
        <w:t xml:space="preserve"> </w:t>
      </w:r>
      <w:r w:rsidRPr="00E27443">
        <w:t>affect</w:t>
      </w:r>
      <w:r w:rsidR="00C63F8F" w:rsidRPr="00E27443">
        <w:t xml:space="preserve"> </w:t>
      </w:r>
      <w:r w:rsidRPr="00E27443">
        <w:t>a</w:t>
      </w:r>
      <w:r w:rsidR="00C63F8F" w:rsidRPr="00E27443">
        <w:t xml:space="preserve"> </w:t>
      </w:r>
      <w:r w:rsidRPr="00E27443">
        <w:t>child,</w:t>
      </w:r>
      <w:r w:rsidR="00C63F8F" w:rsidRPr="00E27443">
        <w:t xml:space="preserve"> </w:t>
      </w:r>
      <w:r w:rsidRPr="00E27443">
        <w:t>the</w:t>
      </w:r>
      <w:r w:rsidR="00C63F8F" w:rsidRPr="00E27443">
        <w:t xml:space="preserve"> </w:t>
      </w:r>
      <w:r w:rsidRPr="00E27443">
        <w:t>child</w:t>
      </w:r>
      <w:r w:rsidR="00C63F8F" w:rsidRPr="00E27443">
        <w:t xml:space="preserve"> </w:t>
      </w:r>
      <w:r w:rsidRPr="00E27443">
        <w:t>must</w:t>
      </w:r>
      <w:r w:rsidR="00C63F8F" w:rsidRPr="00E27443">
        <w:t xml:space="preserve"> </w:t>
      </w:r>
      <w:r w:rsidRPr="00E27443">
        <w:t>receive</w:t>
      </w:r>
      <w:r w:rsidR="00C63F8F" w:rsidRPr="00E27443">
        <w:t xml:space="preserve"> </w:t>
      </w:r>
      <w:r w:rsidRPr="00E27443">
        <w:t>relevant</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be</w:t>
      </w:r>
      <w:r w:rsidR="00C63F8F" w:rsidRPr="00E27443">
        <w:t xml:space="preserve"> </w:t>
      </w:r>
      <w:r w:rsidRPr="00E27443">
        <w:t>given</w:t>
      </w:r>
      <w:r w:rsidR="00C63F8F" w:rsidRPr="00E27443">
        <w:t xml:space="preserve"> </w:t>
      </w:r>
      <w:r w:rsidRPr="00E27443">
        <w:t>the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put</w:t>
      </w:r>
      <w:r w:rsidR="00C63F8F" w:rsidRPr="00E27443">
        <w:t xml:space="preserve"> </w:t>
      </w:r>
      <w:r w:rsidRPr="00E27443">
        <w:t>forward</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opinions.</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opinions</w:t>
      </w:r>
      <w:r w:rsidR="00C63F8F" w:rsidRPr="00E27443">
        <w:t xml:space="preserve"> </w:t>
      </w:r>
      <w:r w:rsidRPr="00E27443">
        <w:t>must</w:t>
      </w:r>
      <w:r w:rsidR="00C63F8F" w:rsidRPr="00E27443">
        <w:t xml:space="preserve"> </w:t>
      </w:r>
      <w:r w:rsidRPr="00E27443">
        <w:t>be</w:t>
      </w:r>
      <w:r w:rsidR="00C63F8F" w:rsidRPr="00E27443">
        <w:t xml:space="preserve"> </w:t>
      </w:r>
      <w:r w:rsidRPr="00E27443">
        <w:t>attached</w:t>
      </w:r>
      <w:r w:rsidR="00C63F8F" w:rsidRPr="00E27443">
        <w:t xml:space="preserve"> </w:t>
      </w:r>
      <w:r w:rsidRPr="00E27443">
        <w:t>importance</w:t>
      </w:r>
      <w:r w:rsidR="00C63F8F" w:rsidRPr="00E27443">
        <w:t xml:space="preserve"> </w:t>
      </w:r>
      <w:r w:rsidRPr="00E27443">
        <w:t>in</w:t>
      </w:r>
      <w:r w:rsidR="00C63F8F" w:rsidRPr="00E27443">
        <w:t xml:space="preserve"> </w:t>
      </w:r>
      <w:r w:rsidRPr="00E27443">
        <w:t>relation</w:t>
      </w:r>
      <w:r w:rsidR="00C63F8F" w:rsidRPr="00E27443">
        <w:t xml:space="preserve"> </w:t>
      </w:r>
      <w:r w:rsidRPr="00E27443">
        <w:t>the</w:t>
      </w:r>
      <w:r w:rsidR="00C63F8F" w:rsidRPr="00E27443">
        <w:t xml:space="preserve"> </w:t>
      </w:r>
      <w:r w:rsidRPr="00E27443">
        <w:t>age</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Regulations</w:t>
      </w:r>
      <w:r w:rsidR="00C63F8F" w:rsidRPr="00E27443">
        <w:t xml:space="preserve"> </w:t>
      </w:r>
      <w:r w:rsidRPr="00E27443">
        <w:t>have</w:t>
      </w:r>
      <w:r w:rsidR="00C63F8F" w:rsidRPr="00E27443">
        <w:t xml:space="preserve"> </w:t>
      </w:r>
      <w:r w:rsidRPr="00E27443">
        <w:t>also</w:t>
      </w:r>
      <w:r w:rsidR="00C63F8F" w:rsidRPr="00E27443">
        <w:t xml:space="preserve"> </w:t>
      </w:r>
      <w:r w:rsidRPr="00E27443">
        <w:t>been</w:t>
      </w:r>
      <w:r w:rsidR="00C63F8F" w:rsidRPr="00E27443">
        <w:t xml:space="preserve"> </w:t>
      </w:r>
      <w:r w:rsidRPr="00E27443">
        <w:t>adopted</w:t>
      </w:r>
      <w:r w:rsidR="00C63F8F" w:rsidRPr="00E27443">
        <w:t xml:space="preserve"> </w:t>
      </w:r>
      <w:r w:rsidRPr="00E27443">
        <w:t>regarding</w:t>
      </w:r>
      <w:r w:rsidR="00C63F8F" w:rsidRPr="00E27443">
        <w:t xml:space="preserve"> </w:t>
      </w:r>
      <w:r w:rsidRPr="00E27443">
        <w:t>the</w:t>
      </w:r>
      <w:r w:rsidR="00C63F8F" w:rsidRPr="00E27443">
        <w:t xml:space="preserve"> </w:t>
      </w:r>
      <w:r w:rsidRPr="00E27443">
        <w:t>mandatory</w:t>
      </w:r>
      <w:r w:rsidR="00C63F8F" w:rsidRPr="00E27443">
        <w:t xml:space="preserve"> </w:t>
      </w:r>
      <w:r w:rsidRPr="00E27443">
        <w:t>record</w:t>
      </w:r>
      <w:r w:rsidR="00C63F8F" w:rsidRPr="00E27443">
        <w:t xml:space="preserve"> </w:t>
      </w:r>
      <w:r w:rsidRPr="00E27443">
        <w:t>checks</w:t>
      </w:r>
      <w:r w:rsidR="00C63F8F" w:rsidRPr="00E27443">
        <w:t xml:space="preserve"> </w:t>
      </w:r>
      <w:r w:rsidRPr="00E27443">
        <w:t>of</w:t>
      </w:r>
      <w:r w:rsidR="00C63F8F" w:rsidRPr="00E27443">
        <w:t xml:space="preserve"> </w:t>
      </w:r>
      <w:r w:rsidRPr="00E27443">
        <w:t>personnel.</w:t>
      </w:r>
      <w:r w:rsidR="00C63F8F" w:rsidRPr="00E27443">
        <w:t xml:space="preserve"> </w:t>
      </w:r>
      <w:r w:rsidRPr="00E27443">
        <w:t>A</w:t>
      </w:r>
      <w:r w:rsidR="00C63F8F" w:rsidRPr="00E27443">
        <w:t xml:space="preserve"> </w:t>
      </w:r>
      <w:r w:rsidRPr="00E27443">
        <w:t>person</w:t>
      </w:r>
      <w:r w:rsidR="00C63F8F" w:rsidRPr="00E27443">
        <w:t xml:space="preserve"> </w:t>
      </w:r>
      <w:r w:rsidRPr="00E27443">
        <w:t>who</w:t>
      </w:r>
      <w:r w:rsidR="00C63F8F" w:rsidRPr="00E27443">
        <w:t xml:space="preserve"> </w:t>
      </w:r>
      <w:r w:rsidRPr="00E27443">
        <w:t>conducts</w:t>
      </w:r>
      <w:r w:rsidR="00C63F8F" w:rsidRPr="00E27443">
        <w:t xml:space="preserve"> </w:t>
      </w:r>
      <w:r w:rsidRPr="00E27443">
        <w:t>activities</w:t>
      </w:r>
      <w:r w:rsidR="00C63F8F" w:rsidRPr="00E27443">
        <w:t xml:space="preserve"> </w:t>
      </w:r>
      <w:r w:rsidRPr="00E27443">
        <w:t>according</w:t>
      </w:r>
      <w:r w:rsidR="00C63F8F" w:rsidRPr="00E27443">
        <w:t xml:space="preserve"> </w:t>
      </w:r>
      <w:r w:rsidRPr="00E27443">
        <w:t>to</w:t>
      </w:r>
      <w:r w:rsidR="00C63F8F" w:rsidRPr="00E27443">
        <w:t xml:space="preserve"> </w:t>
      </w:r>
      <w:r w:rsidRPr="00E27443">
        <w:t>LSS</w:t>
      </w:r>
      <w:r w:rsidR="00C63F8F" w:rsidRPr="00E27443">
        <w:t xml:space="preserve"> </w:t>
      </w:r>
      <w:r w:rsidRPr="00E27443">
        <w:t>that</w:t>
      </w:r>
      <w:r w:rsidR="00C63F8F" w:rsidRPr="00E27443">
        <w:t xml:space="preserve"> </w:t>
      </w:r>
      <w:r w:rsidRPr="00E27443">
        <w:t>include</w:t>
      </w:r>
      <w:r w:rsidR="00C63F8F" w:rsidRPr="00E27443">
        <w:t xml:space="preserve"> </w:t>
      </w:r>
      <w:r w:rsidRPr="00E27443">
        <w:t>initiatives</w:t>
      </w:r>
      <w:r w:rsidR="00C63F8F" w:rsidRPr="00E27443">
        <w:t xml:space="preserve"> </w:t>
      </w:r>
      <w:r w:rsidRPr="00E27443">
        <w:t>for</w:t>
      </w:r>
      <w:r w:rsidR="00C63F8F" w:rsidRPr="00E27443">
        <w:t xml:space="preserve"> </w:t>
      </w:r>
      <w:r w:rsidRPr="00E27443">
        <w:t>children</w:t>
      </w:r>
      <w:r w:rsidR="00C63F8F" w:rsidRPr="00E27443">
        <w:t xml:space="preserve"> </w:t>
      </w:r>
      <w:r w:rsidRPr="00E27443">
        <w:t>may</w:t>
      </w:r>
      <w:r w:rsidR="00C63F8F" w:rsidRPr="00E27443">
        <w:t xml:space="preserve"> </w:t>
      </w:r>
      <w:r w:rsidRPr="00E27443">
        <w:t>not</w:t>
      </w:r>
      <w:r w:rsidR="00C63F8F" w:rsidRPr="00E27443">
        <w:t xml:space="preserve"> </w:t>
      </w:r>
      <w:r w:rsidRPr="00E27443">
        <w:t>employ</w:t>
      </w:r>
      <w:r w:rsidR="00C63F8F" w:rsidRPr="00E27443">
        <w:t xml:space="preserve"> </w:t>
      </w:r>
      <w:r w:rsidRPr="00E27443">
        <w:t>a</w:t>
      </w:r>
      <w:r w:rsidR="00C63F8F" w:rsidRPr="00E27443">
        <w:t xml:space="preserve"> </w:t>
      </w:r>
      <w:r w:rsidRPr="00E27443">
        <w:t>person</w:t>
      </w:r>
      <w:r w:rsidR="00C63F8F" w:rsidRPr="00E27443">
        <w:t xml:space="preserve"> </w:t>
      </w:r>
      <w:r w:rsidRPr="00E27443">
        <w:t>for</w:t>
      </w:r>
      <w:r w:rsidR="00C63F8F" w:rsidRPr="00E27443">
        <w:t xml:space="preserve"> </w:t>
      </w:r>
      <w:r w:rsidRPr="00E27443">
        <w:t>such</w:t>
      </w:r>
      <w:r w:rsidR="00C63F8F" w:rsidRPr="00E27443">
        <w:t xml:space="preserve"> </w:t>
      </w:r>
      <w:r w:rsidRPr="00E27443">
        <w:t>initiatives</w:t>
      </w:r>
      <w:r w:rsidR="00C63F8F" w:rsidRPr="00E27443">
        <w:t xml:space="preserve"> </w:t>
      </w:r>
      <w:r w:rsidRPr="00E27443">
        <w:t>without</w:t>
      </w:r>
      <w:r w:rsidR="00C63F8F" w:rsidRPr="00E27443">
        <w:t xml:space="preserve"> </w:t>
      </w:r>
      <w:r w:rsidRPr="00E27443">
        <w:t>first</w:t>
      </w:r>
      <w:r w:rsidR="00C63F8F" w:rsidRPr="00E27443">
        <w:t xml:space="preserve"> </w:t>
      </w:r>
      <w:r w:rsidRPr="00E27443">
        <w:t>checking</w:t>
      </w:r>
      <w:r w:rsidR="00C63F8F" w:rsidRPr="00E27443">
        <w:t xml:space="preserve"> </w:t>
      </w:r>
      <w:r w:rsidRPr="00E27443">
        <w:t>the</w:t>
      </w:r>
      <w:r w:rsidR="00C63F8F" w:rsidRPr="00E27443">
        <w:t xml:space="preserve"> </w:t>
      </w:r>
      <w:r w:rsidRPr="00E27443">
        <w:t>criminal</w:t>
      </w:r>
      <w:r w:rsidR="00C63F8F" w:rsidRPr="00E27443">
        <w:t xml:space="preserve"> </w:t>
      </w:r>
      <w:r w:rsidRPr="00E27443">
        <w:t>records</w:t>
      </w:r>
      <w:r w:rsidR="00C63F8F" w:rsidRPr="00E27443">
        <w:t xml:space="preserve"> </w:t>
      </w:r>
      <w:r w:rsidRPr="00E27443">
        <w:t>register</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the</w:t>
      </w:r>
      <w:r w:rsidR="00C63F8F" w:rsidRPr="00E27443">
        <w:t xml:space="preserve"> </w:t>
      </w:r>
      <w:r w:rsidRPr="00E27443">
        <w:t>person</w:t>
      </w:r>
      <w:r w:rsidR="00C63F8F" w:rsidRPr="00E27443">
        <w:t xml:space="preserve"> </w:t>
      </w:r>
      <w:r w:rsidRPr="00E27443">
        <w:t>to</w:t>
      </w:r>
      <w:r w:rsidR="00C63F8F" w:rsidRPr="00E27443">
        <w:t xml:space="preserve"> </w:t>
      </w:r>
      <w:r w:rsidRPr="00E27443">
        <w:t>be</w:t>
      </w:r>
      <w:r w:rsidR="00C63F8F" w:rsidRPr="00E27443">
        <w:t xml:space="preserve"> </w:t>
      </w:r>
      <w:r w:rsidRPr="00E27443">
        <w:t>employed.</w:t>
      </w:r>
    </w:p>
    <w:p w:rsidR="00321ADA" w:rsidRPr="00E27443" w:rsidRDefault="00321ADA" w:rsidP="00B86C8B">
      <w:pPr>
        <w:pStyle w:val="SingleTxtG"/>
        <w:numPr>
          <w:ilvl w:val="0"/>
          <w:numId w:val="20"/>
        </w:numPr>
        <w:tabs>
          <w:tab w:val="left" w:pos="1843"/>
        </w:tabs>
        <w:ind w:left="1134" w:firstLine="0"/>
      </w:pPr>
      <w:r w:rsidRPr="00E27443">
        <w:t>Children</w:t>
      </w:r>
      <w:r w:rsidR="00C63F8F" w:rsidRPr="00E27443">
        <w:t xml:space="preserve"> </w:t>
      </w:r>
      <w:r w:rsidRPr="00E27443">
        <w:t>often</w:t>
      </w:r>
      <w:r w:rsidR="00C63F8F" w:rsidRPr="00E27443">
        <w:t xml:space="preserve"> </w:t>
      </w:r>
      <w:r w:rsidRPr="00E27443">
        <w:t>have</w:t>
      </w:r>
      <w:r w:rsidR="00C63F8F" w:rsidRPr="00E27443">
        <w:t xml:space="preserve"> </w:t>
      </w:r>
      <w:r w:rsidRPr="00E27443">
        <w:t>little</w:t>
      </w:r>
      <w:r w:rsidR="00C63F8F" w:rsidRPr="00E27443">
        <w:t xml:space="preserve"> </w:t>
      </w:r>
      <w:r w:rsidRPr="00E27443">
        <w:t>opportunity</w:t>
      </w:r>
      <w:r w:rsidR="00C63F8F" w:rsidRPr="00E27443">
        <w:t xml:space="preserve"> </w:t>
      </w:r>
      <w:r w:rsidRPr="00E27443">
        <w:t>to</w:t>
      </w:r>
      <w:r w:rsidR="00C63F8F" w:rsidRPr="00E27443">
        <w:t xml:space="preserve"> </w:t>
      </w:r>
      <w:r w:rsidRPr="00E27443">
        <w:t>make</w:t>
      </w:r>
      <w:r w:rsidR="00C63F8F" w:rsidRPr="00E27443">
        <w:t xml:space="preserve"> </w:t>
      </w:r>
      <w:r w:rsidRPr="00E27443">
        <w:t>their</w:t>
      </w:r>
      <w:r w:rsidR="00C63F8F" w:rsidRPr="00E27443">
        <w:t xml:space="preserve"> </w:t>
      </w:r>
      <w:r w:rsidRPr="00E27443">
        <w:t>voice</w:t>
      </w:r>
      <w:r w:rsidR="00C63F8F" w:rsidRPr="00E27443">
        <w:t xml:space="preserve"> </w:t>
      </w:r>
      <w:r w:rsidRPr="00E27443">
        <w:t>heard.</w:t>
      </w:r>
      <w:r w:rsidR="00C63F8F" w:rsidRPr="00E27443">
        <w:t xml:space="preserve"> </w:t>
      </w:r>
      <w:r w:rsidRPr="00E27443">
        <w:t>There</w:t>
      </w:r>
      <w:r w:rsidR="00C63F8F" w:rsidRPr="00E27443">
        <w:t xml:space="preserve"> </w:t>
      </w:r>
      <w:r w:rsidRPr="00E27443">
        <w:t>has</w:t>
      </w:r>
      <w:r w:rsidR="00C63F8F" w:rsidRPr="00E27443">
        <w:t xml:space="preserve"> </w:t>
      </w:r>
      <w:r w:rsidRPr="00E27443">
        <w:t>not</w:t>
      </w:r>
      <w:r w:rsidR="00C63F8F" w:rsidRPr="00E27443">
        <w:t xml:space="preserve"> </w:t>
      </w:r>
      <w:r w:rsidRPr="00E27443">
        <w:t>been</w:t>
      </w:r>
      <w:r w:rsidR="00C63F8F" w:rsidRPr="00E27443">
        <w:t xml:space="preserve"> </w:t>
      </w:r>
      <w:r w:rsidRPr="00E27443">
        <w:t>much</w:t>
      </w:r>
      <w:r w:rsidR="00C63F8F" w:rsidRPr="00E27443">
        <w:t xml:space="preserve"> </w:t>
      </w:r>
      <w:r w:rsidRPr="00E27443">
        <w:t>research</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regarding</w:t>
      </w:r>
      <w:r w:rsidR="00C63F8F" w:rsidRPr="00E27443">
        <w:t xml:space="preserve"> </w:t>
      </w:r>
      <w:r w:rsidRPr="00E27443">
        <w:t>children</w:t>
      </w:r>
      <w:r w:rsidR="00C63F8F" w:rsidRPr="00E27443">
        <w:t>’</w:t>
      </w:r>
      <w:r w:rsidRPr="00E27443">
        <w:t>s</w:t>
      </w:r>
      <w:r w:rsidR="00C63F8F" w:rsidRPr="00E27443">
        <w:t xml:space="preserve"> </w:t>
      </w:r>
      <w:r w:rsidRPr="00E27443">
        <w:t>potential</w:t>
      </w:r>
      <w:r w:rsidR="00C63F8F" w:rsidRPr="00E27443">
        <w:t xml:space="preserve"> </w:t>
      </w:r>
      <w:r w:rsidRPr="00E27443">
        <w:t>to</w:t>
      </w:r>
      <w:r w:rsidR="00C63F8F" w:rsidRPr="00E27443">
        <w:t xml:space="preserve"> </w:t>
      </w:r>
      <w:r w:rsidRPr="00E27443">
        <w:t>participate</w:t>
      </w:r>
      <w:r w:rsidR="00C63F8F" w:rsidRPr="00E27443">
        <w:t xml:space="preserve"> </w:t>
      </w:r>
      <w:r w:rsidRPr="00E27443">
        <w:t>in</w:t>
      </w:r>
      <w:r w:rsidR="00C63F8F" w:rsidRPr="00E27443">
        <w:t xml:space="preserve"> </w:t>
      </w:r>
      <w:r w:rsidRPr="00E27443">
        <w:t>society</w:t>
      </w:r>
      <w:r w:rsidR="00C63F8F" w:rsidRPr="00E27443">
        <w:t>’</w:t>
      </w:r>
      <w:r w:rsidRPr="00E27443">
        <w:t>s</w:t>
      </w:r>
      <w:r w:rsidR="00C63F8F" w:rsidRPr="00E27443">
        <w:t xml:space="preserve"> </w:t>
      </w:r>
      <w:r w:rsidRPr="00E27443">
        <w:t>support</w:t>
      </w:r>
      <w:r w:rsidR="00C63F8F" w:rsidRPr="00E27443">
        <w:t xml:space="preserve"> </w:t>
      </w:r>
      <w:r w:rsidRPr="00E27443">
        <w:t>systems.</w:t>
      </w:r>
      <w:r w:rsidR="00C63F8F" w:rsidRPr="00E27443">
        <w:t xml:space="preserve"> </w:t>
      </w:r>
      <w:r w:rsidRPr="00E27443">
        <w:t>The</w:t>
      </w:r>
      <w:r w:rsidR="00C63F8F" w:rsidRPr="00E27443">
        <w:t xml:space="preserve"> </w:t>
      </w:r>
      <w:r w:rsidRPr="00E27443">
        <w:t>Swedish</w:t>
      </w:r>
      <w:r w:rsidR="00C63F8F" w:rsidRPr="00E27443">
        <w:t xml:space="preserve"> </w:t>
      </w:r>
      <w:r w:rsidRPr="00E27443">
        <w:t>Disability</w:t>
      </w:r>
      <w:r w:rsidR="00C63F8F" w:rsidRPr="00E27443">
        <w:t xml:space="preserve"> </w:t>
      </w:r>
      <w:r w:rsidRPr="00E27443">
        <w:t>Federation</w:t>
      </w:r>
      <w:r w:rsidR="00C63F8F" w:rsidRPr="00E27443">
        <w:t xml:space="preserve"> </w:t>
      </w:r>
      <w:r w:rsidRPr="00E27443">
        <w:t>has</w:t>
      </w:r>
      <w:r w:rsidR="00C63F8F" w:rsidRPr="00E27443">
        <w:t xml:space="preserve"> </w:t>
      </w:r>
      <w:r w:rsidRPr="00E27443">
        <w:t>been</w:t>
      </w:r>
      <w:r w:rsidR="00C63F8F" w:rsidRPr="00E27443">
        <w:t xml:space="preserve"> </w:t>
      </w:r>
      <w:r w:rsidRPr="00E27443">
        <w:t>granted</w:t>
      </w:r>
      <w:r w:rsidR="00C63F8F" w:rsidRPr="00E27443">
        <w:t xml:space="preserve"> </w:t>
      </w:r>
      <w:r w:rsidRPr="00E27443">
        <w:t>funds</w:t>
      </w:r>
      <w:r w:rsidR="00C63F8F" w:rsidRPr="00E27443">
        <w:t xml:space="preserve"> </w:t>
      </w:r>
      <w:r w:rsidRPr="00E27443">
        <w:t>from</w:t>
      </w:r>
      <w:r w:rsidR="00C63F8F" w:rsidRPr="00E27443">
        <w:t xml:space="preserve"> </w:t>
      </w:r>
      <w:r w:rsidRPr="00E27443">
        <w:t>the</w:t>
      </w:r>
      <w:r w:rsidR="00C63F8F" w:rsidRPr="00E27443">
        <w:t xml:space="preserve"> </w:t>
      </w:r>
      <w:r w:rsidRPr="00E27443">
        <w:t>Swedish</w:t>
      </w:r>
      <w:r w:rsidR="00C63F8F" w:rsidRPr="00E27443">
        <w:t xml:space="preserve"> </w:t>
      </w:r>
      <w:r w:rsidRPr="00E27443">
        <w:t>Inheritance</w:t>
      </w:r>
      <w:r w:rsidR="00C63F8F" w:rsidRPr="00E27443">
        <w:t xml:space="preserve"> </w:t>
      </w:r>
      <w:r w:rsidRPr="00E27443">
        <w:t>Fund</w:t>
      </w:r>
      <w:r w:rsidR="00C63F8F" w:rsidRPr="00E27443">
        <w:t xml:space="preserve"> </w:t>
      </w:r>
      <w:r w:rsidRPr="00E27443">
        <w:t>for</w:t>
      </w:r>
      <w:r w:rsidR="00C63F8F" w:rsidRPr="00E27443">
        <w:t xml:space="preserve"> </w:t>
      </w:r>
      <w:r w:rsidRPr="00E27443">
        <w:t>a</w:t>
      </w:r>
      <w:r w:rsidR="00C63F8F" w:rsidRPr="00E27443">
        <w:t xml:space="preserve"> </w:t>
      </w:r>
      <w:r w:rsidRPr="00E27443">
        <w:t>project</w:t>
      </w:r>
      <w:r w:rsidR="00C63F8F" w:rsidRPr="00E27443">
        <w:t xml:space="preserve"> </w:t>
      </w:r>
      <w:r w:rsidRPr="00E27443">
        <w:t>that</w:t>
      </w:r>
      <w:r w:rsidR="00C63F8F" w:rsidRPr="00E27443">
        <w:t xml:space="preserve"> </w:t>
      </w:r>
      <w:r w:rsidRPr="00E27443">
        <w:t>aims</w:t>
      </w:r>
      <w:r w:rsidR="00C63F8F" w:rsidRPr="00E27443">
        <w:t xml:space="preserve"> </w:t>
      </w:r>
      <w:r w:rsidRPr="00E27443">
        <w:t>to</w:t>
      </w:r>
      <w:r w:rsidR="00C63F8F" w:rsidRPr="00E27443">
        <w:t xml:space="preserve"> </w:t>
      </w:r>
      <w:r w:rsidRPr="00E27443">
        <w:t>investigate</w:t>
      </w:r>
      <w:r w:rsidR="00C63F8F" w:rsidRPr="00E27443">
        <w:t xml:space="preserve"> </w:t>
      </w:r>
      <w:r w:rsidRPr="00E27443">
        <w:t>how</w:t>
      </w:r>
      <w:r w:rsidR="00C63F8F" w:rsidRPr="00E27443">
        <w:t xml:space="preserve"> </w:t>
      </w:r>
      <w:r w:rsidRPr="00E27443">
        <w:t>participation</w:t>
      </w:r>
      <w:r w:rsidR="00C63F8F" w:rsidRPr="00E27443">
        <w:t xml:space="preserve"> </w:t>
      </w:r>
      <w:r w:rsidRPr="00E27443">
        <w:t>and</w:t>
      </w:r>
      <w:r w:rsidR="00C63F8F" w:rsidRPr="00E27443">
        <w:t xml:space="preserve"> </w:t>
      </w:r>
      <w:r w:rsidRPr="00E27443">
        <w:t>self-determination</w:t>
      </w:r>
      <w:r w:rsidR="00C63F8F" w:rsidRPr="00E27443">
        <w:t xml:space="preserve"> </w:t>
      </w:r>
      <w:r w:rsidRPr="00E27443">
        <w:t>can</w:t>
      </w:r>
      <w:r w:rsidR="00C63F8F" w:rsidRPr="00E27443">
        <w:t xml:space="preserve"> </w:t>
      </w:r>
      <w:r w:rsidRPr="00E27443">
        <w:t>be</w:t>
      </w:r>
      <w:r w:rsidR="00C63F8F" w:rsidRPr="00E27443">
        <w:t xml:space="preserve"> </w:t>
      </w:r>
      <w:r w:rsidRPr="00E27443">
        <w:t>improved</w:t>
      </w:r>
      <w:r w:rsidR="00C63F8F" w:rsidRPr="00E27443">
        <w:t xml:space="preserve"> </w:t>
      </w:r>
      <w:r w:rsidRPr="00E27443">
        <w:t>for</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a</w:t>
      </w:r>
      <w:r w:rsidR="00C63F8F" w:rsidRPr="00E27443">
        <w:t xml:space="preserve"> </w:t>
      </w:r>
      <w:r w:rsidRPr="00E27443">
        <w:t>need</w:t>
      </w:r>
      <w:r w:rsidR="00C63F8F" w:rsidRPr="00E27443">
        <w:t xml:space="preserve"> </w:t>
      </w:r>
      <w:r w:rsidRPr="00E27443">
        <w:t>for</w:t>
      </w:r>
      <w:r w:rsidR="00C63F8F" w:rsidRPr="00E27443">
        <w:t xml:space="preserve"> </w:t>
      </w:r>
      <w:r w:rsidRPr="00E27443">
        <w:t>habilitation</w:t>
      </w:r>
      <w:r w:rsidR="00C63F8F" w:rsidRPr="00E27443">
        <w:t xml:space="preserve"> </w:t>
      </w:r>
      <w:r w:rsidRPr="00E27443">
        <w:t>initiatives,</w:t>
      </w:r>
      <w:r w:rsidR="00C63F8F" w:rsidRPr="00E27443">
        <w:t xml:space="preserve"> </w:t>
      </w:r>
      <w:r w:rsidRPr="00E27443">
        <w:t>thereby</w:t>
      </w:r>
      <w:r w:rsidR="00C63F8F" w:rsidRPr="00E27443">
        <w:t xml:space="preserve"> </w:t>
      </w:r>
      <w:r w:rsidRPr="00E27443">
        <w:t>improving</w:t>
      </w:r>
      <w:r w:rsidR="00C63F8F" w:rsidRPr="00E27443">
        <w:t xml:space="preserve"> </w:t>
      </w:r>
      <w:r w:rsidRPr="00E27443">
        <w:t>their</w:t>
      </w:r>
      <w:r w:rsidR="00C63F8F" w:rsidRPr="00E27443">
        <w:t xml:space="preserve"> </w:t>
      </w:r>
      <w:r w:rsidRPr="00E27443">
        <w:t>preconditions</w:t>
      </w:r>
      <w:r w:rsidR="00C63F8F" w:rsidRPr="00E27443">
        <w:t xml:space="preserve"> </w:t>
      </w:r>
      <w:r w:rsidRPr="00E27443">
        <w:t>for</w:t>
      </w:r>
      <w:r w:rsidR="00C63F8F" w:rsidRPr="00E27443">
        <w:t xml:space="preserve"> </w:t>
      </w:r>
      <w:r w:rsidRPr="00E27443">
        <w:t>an</w:t>
      </w:r>
      <w:r w:rsidR="00C63F8F" w:rsidRPr="00E27443">
        <w:t xml:space="preserve"> </w:t>
      </w:r>
      <w:r w:rsidRPr="00E27443">
        <w:t>independent</w:t>
      </w:r>
      <w:r w:rsidR="00C63F8F" w:rsidRPr="00E27443">
        <w:t xml:space="preserve"> </w:t>
      </w:r>
      <w:r w:rsidRPr="00E27443">
        <w:t>life.</w:t>
      </w:r>
      <w:r w:rsidR="00C63F8F" w:rsidRPr="00E27443">
        <w:t xml:space="preserve"> </w:t>
      </w:r>
      <w:r w:rsidRPr="00E27443">
        <w:t>A</w:t>
      </w:r>
      <w:r w:rsidR="00C63F8F" w:rsidRPr="00E27443">
        <w:t xml:space="preserve"> </w:t>
      </w:r>
      <w:r w:rsidRPr="00E27443">
        <w:t>central</w:t>
      </w:r>
      <w:r w:rsidR="00C63F8F" w:rsidRPr="00E27443">
        <w:t xml:space="preserve"> </w:t>
      </w:r>
      <w:r w:rsidRPr="00E27443">
        <w:t>issue</w:t>
      </w:r>
      <w:r w:rsidR="00C63F8F" w:rsidRPr="00E27443">
        <w:t xml:space="preserve"> </w:t>
      </w:r>
      <w:r w:rsidRPr="00E27443">
        <w:t>is</w:t>
      </w:r>
      <w:r w:rsidR="00C63F8F" w:rsidRPr="00E27443">
        <w:t xml:space="preserve"> </w:t>
      </w:r>
      <w:r w:rsidRPr="00E27443">
        <w:t>the</w:t>
      </w:r>
      <w:r w:rsidR="00C63F8F" w:rsidRPr="00E27443">
        <w:t xml:space="preserve"> </w:t>
      </w:r>
      <w:r w:rsidRPr="00E27443">
        <w:t>extent</w:t>
      </w:r>
      <w:r w:rsidR="00C63F8F" w:rsidRPr="00E27443">
        <w:t xml:space="preserve"> </w:t>
      </w:r>
      <w:r w:rsidRPr="00E27443">
        <w:t>to</w:t>
      </w:r>
      <w:r w:rsidR="00C63F8F" w:rsidRPr="00E27443">
        <w:t xml:space="preserve"> </w:t>
      </w:r>
      <w:r w:rsidRPr="00E27443">
        <w:t>which</w:t>
      </w:r>
      <w:r w:rsidR="00C63F8F" w:rsidRPr="00E27443">
        <w:t xml:space="preserve"> </w:t>
      </w:r>
      <w:r w:rsidRPr="00E27443">
        <w:t>individual</w:t>
      </w:r>
      <w:r w:rsidR="00C63F8F" w:rsidRPr="00E27443">
        <w:t xml:space="preserve"> </w:t>
      </w:r>
      <w:r w:rsidRPr="00E27443">
        <w:t>planning</w:t>
      </w:r>
      <w:r w:rsidR="00C63F8F" w:rsidRPr="00E27443">
        <w:t xml:space="preserve"> </w:t>
      </w:r>
      <w:r w:rsidRPr="00E27443">
        <w:t>can</w:t>
      </w:r>
      <w:r w:rsidR="00C63F8F" w:rsidRPr="00E27443">
        <w:t xml:space="preserve"> </w:t>
      </w:r>
      <w:r w:rsidRPr="00E27443">
        <w:t>contribute</w:t>
      </w:r>
      <w:r w:rsidR="00C63F8F" w:rsidRPr="00E27443">
        <w:t xml:space="preserve"> </w:t>
      </w:r>
      <w:r w:rsidRPr="00E27443">
        <w:t>to</w:t>
      </w:r>
      <w:r w:rsidR="00C63F8F" w:rsidRPr="00E27443">
        <w:t xml:space="preserve"> </w:t>
      </w:r>
      <w:r w:rsidRPr="00E27443">
        <w:t>strengthening</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process</w:t>
      </w:r>
      <w:r w:rsidR="00C63F8F" w:rsidRPr="00E27443">
        <w:t xml:space="preserve"> </w:t>
      </w:r>
      <w:r w:rsidRPr="00E27443">
        <w:t>of</w:t>
      </w:r>
      <w:r w:rsidR="00C63F8F" w:rsidRPr="00E27443">
        <w:t xml:space="preserve"> </w:t>
      </w:r>
      <w:r w:rsidRPr="00E27443">
        <w:t>liberation.</w:t>
      </w:r>
      <w:r w:rsidR="00C63F8F" w:rsidRPr="00E27443">
        <w:t xml:space="preserve"> </w:t>
      </w:r>
      <w:r w:rsidRPr="00E27443">
        <w:t>The</w:t>
      </w:r>
      <w:r w:rsidR="00C63F8F" w:rsidRPr="00E27443">
        <w:t xml:space="preserve"> </w:t>
      </w:r>
      <w:r w:rsidRPr="00E27443">
        <w:t>project</w:t>
      </w:r>
      <w:r w:rsidR="00C63F8F" w:rsidRPr="00E27443">
        <w:t xml:space="preserve"> </w:t>
      </w:r>
      <w:r w:rsidRPr="00E27443">
        <w:t>will</w:t>
      </w:r>
      <w:r w:rsidR="00C63F8F" w:rsidRPr="00E27443">
        <w:t xml:space="preserve"> </w:t>
      </w:r>
      <w:r w:rsidRPr="00E27443">
        <w:t>result</w:t>
      </w:r>
      <w:r w:rsidR="00C63F8F" w:rsidRPr="00E27443">
        <w:t xml:space="preserve"> </w:t>
      </w:r>
      <w:r w:rsidRPr="00E27443">
        <w:t>in</w:t>
      </w:r>
      <w:r w:rsidR="00C63F8F" w:rsidRPr="00E27443">
        <w:t xml:space="preserve"> </w:t>
      </w:r>
      <w:r w:rsidRPr="00E27443">
        <w:t>part</w:t>
      </w:r>
      <w:r w:rsidR="00C63F8F" w:rsidRPr="00E27443">
        <w:t xml:space="preserve"> </w:t>
      </w:r>
      <w:r w:rsidRPr="00E27443">
        <w:t>in</w:t>
      </w:r>
      <w:r w:rsidR="00C63F8F" w:rsidRPr="00E27443">
        <w:t xml:space="preserve"> </w:t>
      </w:r>
      <w:r w:rsidRPr="00E27443">
        <w:t>a</w:t>
      </w:r>
      <w:r w:rsidR="00C63F8F" w:rsidRPr="00E27443">
        <w:t xml:space="preserve"> </w:t>
      </w:r>
      <w:r w:rsidRPr="00E27443">
        <w:t>handbook</w:t>
      </w:r>
      <w:r w:rsidR="00C63F8F" w:rsidRPr="00E27443">
        <w:t xml:space="preserve"> </w:t>
      </w:r>
      <w:r w:rsidRPr="00E27443">
        <w:t>detailing</w:t>
      </w:r>
      <w:r w:rsidR="00C63F8F" w:rsidRPr="00E27443">
        <w:t xml:space="preserve"> </w:t>
      </w:r>
      <w:r w:rsidRPr="00E27443">
        <w:t>success</w:t>
      </w:r>
      <w:r w:rsidR="00C63F8F" w:rsidRPr="00E27443">
        <w:t xml:space="preserve"> </w:t>
      </w:r>
      <w:r w:rsidRPr="00E27443">
        <w:t>factors</w:t>
      </w:r>
      <w:r w:rsidR="00C63F8F" w:rsidRPr="00E27443">
        <w:t xml:space="preserve"> </w:t>
      </w:r>
      <w:r w:rsidRPr="00E27443">
        <w:t>for</w:t>
      </w:r>
      <w:r w:rsidR="00C63F8F" w:rsidRPr="00E27443">
        <w:t xml:space="preserve"> </w:t>
      </w:r>
      <w:r w:rsidRPr="00E27443">
        <w:t>successful</w:t>
      </w:r>
      <w:r w:rsidR="00C63F8F" w:rsidRPr="00E27443">
        <w:t xml:space="preserve"> </w:t>
      </w:r>
      <w:r w:rsidRPr="00E27443">
        <w:t>habilitation</w:t>
      </w:r>
      <w:r w:rsidR="00C63F8F" w:rsidRPr="00E27443">
        <w:t xml:space="preserve"> </w:t>
      </w:r>
      <w:r w:rsidRPr="00E27443">
        <w:t>initiatives</w:t>
      </w:r>
      <w:r w:rsidR="00C63F8F" w:rsidRPr="00E27443">
        <w:t xml:space="preserve"> </w:t>
      </w:r>
      <w:r w:rsidRPr="00E27443">
        <w:t>and</w:t>
      </w:r>
      <w:r w:rsidR="00C63F8F" w:rsidRPr="00E27443">
        <w:t xml:space="preserve"> </w:t>
      </w:r>
      <w:r w:rsidRPr="00E27443">
        <w:t>successful</w:t>
      </w:r>
      <w:r w:rsidR="00C63F8F" w:rsidRPr="00E27443">
        <w:t xml:space="preserve"> </w:t>
      </w:r>
      <w:r w:rsidRPr="00E27443">
        <w:t>planning</w:t>
      </w:r>
      <w:r w:rsidR="00C63F8F" w:rsidRPr="00E27443">
        <w:t xml:space="preserve"> </w:t>
      </w:r>
      <w:r w:rsidRPr="00E27443">
        <w:t>processes</w:t>
      </w:r>
      <w:r w:rsidR="00C63F8F" w:rsidRPr="00E27443">
        <w:t xml:space="preserve"> </w:t>
      </w:r>
      <w:r w:rsidRPr="00E27443">
        <w:t>from</w:t>
      </w:r>
      <w:r w:rsidR="00C63F8F" w:rsidRPr="00E27443">
        <w:t xml:space="preserve"> </w:t>
      </w:r>
      <w:r w:rsidRPr="00E27443">
        <w:t>a</w:t>
      </w:r>
      <w:r w:rsidR="00C63F8F" w:rsidRPr="00E27443">
        <w:t xml:space="preserve"> </w:t>
      </w:r>
      <w:r w:rsidRPr="00E27443">
        <w:t>child</w:t>
      </w:r>
      <w:r w:rsidR="00C63F8F" w:rsidRPr="00E27443">
        <w:t>’</w:t>
      </w:r>
      <w:r w:rsidRPr="00E27443">
        <w:t>s</w:t>
      </w:r>
      <w:r w:rsidR="00C63F8F" w:rsidRPr="00E27443">
        <w:t xml:space="preserve"> </w:t>
      </w:r>
      <w:r w:rsidRPr="00E27443">
        <w:t>perspective.</w:t>
      </w:r>
      <w:r w:rsidR="00C63F8F" w:rsidRPr="00E27443">
        <w:t xml:space="preserve"> </w:t>
      </w:r>
      <w:r w:rsidRPr="00E27443">
        <w:t>The</w:t>
      </w:r>
      <w:r w:rsidR="00C63F8F" w:rsidRPr="00E27443">
        <w:t xml:space="preserve"> </w:t>
      </w:r>
      <w:r w:rsidRPr="00E27443">
        <w:t>handbook</w:t>
      </w:r>
      <w:r w:rsidR="00C63F8F" w:rsidRPr="00E27443">
        <w:t xml:space="preserve"> </w:t>
      </w:r>
      <w:r w:rsidRPr="00E27443">
        <w:t>will</w:t>
      </w:r>
      <w:r w:rsidR="00C63F8F" w:rsidRPr="00E27443">
        <w:t xml:space="preserve"> </w:t>
      </w:r>
      <w:r w:rsidRPr="00E27443">
        <w:t>act</w:t>
      </w:r>
      <w:r w:rsidR="00C63F8F" w:rsidRPr="00E27443">
        <w:t xml:space="preserve"> </w:t>
      </w:r>
      <w:r w:rsidRPr="00E27443">
        <w:t>as</w:t>
      </w:r>
      <w:r w:rsidR="00C63F8F" w:rsidRPr="00E27443">
        <w:t xml:space="preserve"> </w:t>
      </w:r>
      <w:r w:rsidRPr="00E27443">
        <w:t>a</w:t>
      </w:r>
      <w:r w:rsidR="00C63F8F" w:rsidRPr="00E27443">
        <w:t xml:space="preserve"> </w:t>
      </w:r>
      <w:r w:rsidRPr="00E27443">
        <w:t>guide</w:t>
      </w:r>
      <w:r w:rsidR="00C63F8F" w:rsidRPr="00E27443">
        <w:t xml:space="preserve"> </w:t>
      </w:r>
      <w:r w:rsidRPr="00E27443">
        <w:t>and</w:t>
      </w:r>
      <w:r w:rsidR="00C63F8F" w:rsidRPr="00E27443">
        <w:t xml:space="preserve"> </w:t>
      </w:r>
      <w:r w:rsidRPr="00E27443">
        <w:t>inspiration</w:t>
      </w:r>
      <w:r w:rsidR="00C63F8F" w:rsidRPr="00E27443">
        <w:t xml:space="preserve"> </w:t>
      </w:r>
      <w:r w:rsidRPr="00E27443">
        <w:t>to</w:t>
      </w:r>
      <w:r w:rsidR="00C63F8F" w:rsidRPr="00E27443">
        <w:t xml:space="preserve"> </w:t>
      </w:r>
      <w:r w:rsidRPr="00E27443">
        <w:t>decision-makers</w:t>
      </w:r>
      <w:r w:rsidR="00C63F8F" w:rsidRPr="00E27443">
        <w:t xml:space="preserve"> </w:t>
      </w:r>
      <w:r w:rsidRPr="00E27443">
        <w:t>within</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and</w:t>
      </w:r>
      <w:r w:rsidR="00C63F8F" w:rsidRPr="00E27443">
        <w:t xml:space="preserve"> </w:t>
      </w:r>
      <w:r w:rsidRPr="00E27443">
        <w:t>personnel</w:t>
      </w:r>
      <w:r w:rsidR="00C63F8F" w:rsidRPr="00E27443">
        <w:t xml:space="preserve"> </w:t>
      </w:r>
      <w:r w:rsidRPr="00E27443">
        <w:t>within</w:t>
      </w:r>
      <w:r w:rsidR="00C63F8F" w:rsidRPr="00E27443">
        <w:t xml:space="preserve"> </w:t>
      </w:r>
      <w:r w:rsidRPr="00E27443">
        <w:t>affected</w:t>
      </w:r>
      <w:r w:rsidR="00C63F8F" w:rsidRPr="00E27443">
        <w:t xml:space="preserve"> </w:t>
      </w:r>
      <w:r w:rsidRPr="00E27443">
        <w:t>activities.</w:t>
      </w:r>
      <w:r w:rsidR="00C63F8F" w:rsidRPr="00E27443">
        <w:t xml:space="preserve"> </w:t>
      </w:r>
      <w:r w:rsidRPr="00E27443">
        <w:t>The</w:t>
      </w:r>
      <w:r w:rsidR="00C63F8F" w:rsidRPr="00E27443">
        <w:t xml:space="preserve"> </w:t>
      </w:r>
      <w:r w:rsidRPr="00E27443">
        <w:t>Ombudsman</w:t>
      </w:r>
      <w:r w:rsidR="00C63F8F" w:rsidRPr="00E27443">
        <w:t xml:space="preserve"> </w:t>
      </w:r>
      <w:r w:rsidRPr="00E27443">
        <w:t>for</w:t>
      </w:r>
      <w:r w:rsidR="00C63F8F" w:rsidRPr="00E27443">
        <w:t xml:space="preserve"> </w:t>
      </w:r>
      <w:r w:rsidRPr="00E27443">
        <w:t>Children</w:t>
      </w:r>
      <w:r w:rsidR="008472FF" w:rsidRPr="00B86C8B">
        <w:footnoteReference w:id="152"/>
      </w:r>
      <w:r w:rsidR="00C63F8F" w:rsidRPr="00E27443">
        <w:t xml:space="preserve"> </w:t>
      </w:r>
      <w:r w:rsidRPr="00E27443">
        <w:t>is</w:t>
      </w:r>
      <w:r w:rsidR="00C63F8F" w:rsidRPr="00E27443">
        <w:t xml:space="preserve"> </w:t>
      </w:r>
      <w:r w:rsidRPr="00E27443">
        <w:t>a</w:t>
      </w:r>
      <w:r w:rsidR="00C63F8F" w:rsidRPr="00E27443">
        <w:t xml:space="preserve"> </w:t>
      </w:r>
      <w:r w:rsidRPr="00E27443">
        <w:t>partner</w:t>
      </w:r>
      <w:r w:rsidR="00C63F8F" w:rsidRPr="00E27443">
        <w:t xml:space="preserve"> </w:t>
      </w:r>
      <w:r w:rsidRPr="00E27443">
        <w:t>in</w:t>
      </w:r>
      <w:r w:rsidR="00C63F8F" w:rsidRPr="00E27443">
        <w:t xml:space="preserve"> </w:t>
      </w:r>
      <w:r w:rsidRPr="00E27443">
        <w:t>this</w:t>
      </w:r>
      <w:r w:rsidR="00C63F8F" w:rsidRPr="00E27443">
        <w:t xml:space="preserve"> </w:t>
      </w:r>
      <w:r w:rsidRPr="00E27443">
        <w:t>initiative.</w:t>
      </w:r>
    </w:p>
    <w:p w:rsidR="00321ADA" w:rsidRPr="00E27443" w:rsidRDefault="00321ADA" w:rsidP="00B86C8B">
      <w:pPr>
        <w:pStyle w:val="SingleTxtG"/>
        <w:numPr>
          <w:ilvl w:val="0"/>
          <w:numId w:val="20"/>
        </w:numPr>
        <w:tabs>
          <w:tab w:val="left" w:pos="1843"/>
        </w:tabs>
        <w:ind w:left="1134" w:firstLine="0"/>
      </w:pPr>
      <w:r w:rsidRPr="00E27443">
        <w:t>The</w:t>
      </w:r>
      <w:r w:rsidR="00C63F8F" w:rsidRPr="00E27443">
        <w:t xml:space="preserve"> </w:t>
      </w:r>
      <w:r w:rsidRPr="00E27443">
        <w:t>Swedish</w:t>
      </w:r>
      <w:r w:rsidR="00C63F8F" w:rsidRPr="00E27443">
        <w:t xml:space="preserve"> </w:t>
      </w:r>
      <w:r w:rsidRPr="00E27443">
        <w:t>education</w:t>
      </w:r>
      <w:r w:rsidR="00C63F8F" w:rsidRPr="00E27443">
        <w:t xml:space="preserve"> </w:t>
      </w:r>
      <w:r w:rsidRPr="00E27443">
        <w:t>system</w:t>
      </w:r>
      <w:r w:rsidR="00C63F8F" w:rsidRPr="00E27443">
        <w:t xml:space="preserve"> </w:t>
      </w:r>
      <w:r w:rsidRPr="00E27443">
        <w:t>places</w:t>
      </w:r>
      <w:r w:rsidR="00C63F8F" w:rsidRPr="00E27443">
        <w:t xml:space="preserve"> </w:t>
      </w:r>
      <w:r w:rsidRPr="00E27443">
        <w:t>great</w:t>
      </w:r>
      <w:r w:rsidR="00C63F8F" w:rsidRPr="00E27443">
        <w:t xml:space="preserve"> </w:t>
      </w:r>
      <w:r w:rsidRPr="00E27443">
        <w:t>emphasis</w:t>
      </w:r>
      <w:r w:rsidR="00C63F8F" w:rsidRPr="00E27443">
        <w:t xml:space="preserve"> </w:t>
      </w:r>
      <w:r w:rsidRPr="00E27443">
        <w:t>on</w:t>
      </w:r>
      <w:r w:rsidR="00C63F8F" w:rsidRPr="00E27443">
        <w:t xml:space="preserve"> </w:t>
      </w:r>
      <w:r w:rsidRPr="00E27443">
        <w:t>issues</w:t>
      </w:r>
      <w:r w:rsidR="00C63F8F" w:rsidRPr="00E27443">
        <w:t xml:space="preserve"> </w:t>
      </w:r>
      <w:r w:rsidRPr="00E27443">
        <w:t>relating</w:t>
      </w:r>
      <w:r w:rsidR="00C63F8F" w:rsidRPr="00E27443">
        <w:t xml:space="preserve"> </w:t>
      </w:r>
      <w:r w:rsidRPr="00E27443">
        <w:t>to</w:t>
      </w:r>
      <w:r w:rsidR="00C63F8F" w:rsidRPr="00E27443">
        <w:t xml:space="preserve"> </w:t>
      </w:r>
      <w:r w:rsidRPr="00E27443">
        <w:t>democracy,</w:t>
      </w:r>
      <w:r w:rsidR="00C63F8F" w:rsidRPr="00E27443">
        <w:t xml:space="preserve"> </w:t>
      </w:r>
      <w:r w:rsidRPr="00E27443">
        <w:t>gender</w:t>
      </w:r>
      <w:r w:rsidR="00C63F8F" w:rsidRPr="00E27443">
        <w:t xml:space="preserve"> </w:t>
      </w:r>
      <w:r w:rsidRPr="00E27443">
        <w:t>equality</w:t>
      </w:r>
      <w:r w:rsidR="00C63F8F" w:rsidRPr="00E27443">
        <w:t xml:space="preserve"> </w:t>
      </w:r>
      <w:r w:rsidRPr="00E27443">
        <w:t>and</w:t>
      </w:r>
      <w:r w:rsidR="00C63F8F" w:rsidRPr="00E27443">
        <w:t xml:space="preserve"> </w:t>
      </w:r>
      <w:r w:rsidRPr="00E27443">
        <w:t>human</w:t>
      </w:r>
      <w:r w:rsidR="00C63F8F" w:rsidRPr="00E27443">
        <w:t xml:space="preserve"> </w:t>
      </w:r>
      <w:r w:rsidRPr="00E27443">
        <w:t>rights,</w:t>
      </w:r>
      <w:r w:rsidR="00C63F8F" w:rsidRPr="00E27443">
        <w:t xml:space="preserve"> </w:t>
      </w:r>
      <w:r w:rsidRPr="00E27443">
        <w:t>for</w:t>
      </w:r>
      <w:r w:rsidR="00C63F8F" w:rsidRPr="00E27443">
        <w:t xml:space="preserve"> </w:t>
      </w:r>
      <w:r w:rsidRPr="00E27443">
        <w:t>example</w:t>
      </w:r>
      <w:r w:rsidR="00C63F8F" w:rsidRPr="00E27443">
        <w:t xml:space="preserve"> </w:t>
      </w:r>
      <w:r w:rsidRPr="00E27443">
        <w:t>in</w:t>
      </w:r>
      <w:r w:rsidR="00C63F8F" w:rsidRPr="00E27443">
        <w:t xml:space="preserve"> </w:t>
      </w:r>
      <w:r w:rsidRPr="00E27443">
        <w:t>pre-school</w:t>
      </w:r>
      <w:r w:rsidR="00C63F8F" w:rsidRPr="00E27443">
        <w:t xml:space="preserve"> </w:t>
      </w:r>
      <w:r w:rsidRPr="00E27443">
        <w:t>activities,</w:t>
      </w:r>
      <w:r w:rsidR="00C63F8F" w:rsidRPr="00E27443">
        <w:t xml:space="preserve"> </w:t>
      </w:r>
      <w:r w:rsidRPr="00E27443">
        <w:t>the</w:t>
      </w:r>
      <w:r w:rsidR="00C63F8F" w:rsidRPr="00E27443">
        <w:t xml:space="preserve"> </w:t>
      </w:r>
      <w:r w:rsidRPr="00E27443">
        <w:t>care</w:t>
      </w:r>
      <w:r w:rsidR="00C63F8F" w:rsidRPr="00E27443">
        <w:t xml:space="preserve"> </w:t>
      </w:r>
      <w:r w:rsidRPr="00E27443">
        <w:t>of</w:t>
      </w:r>
      <w:r w:rsidR="00C63F8F" w:rsidRPr="00E27443">
        <w:t xml:space="preserve"> </w:t>
      </w:r>
      <w:r w:rsidRPr="00E27443">
        <w:t>schoolchildren</w:t>
      </w:r>
      <w:r w:rsidR="00C63F8F" w:rsidRPr="00E27443">
        <w:t xml:space="preserve"> </w:t>
      </w:r>
      <w:r w:rsidRPr="00E27443">
        <w:t>and</w:t>
      </w:r>
      <w:r w:rsidR="00C63F8F" w:rsidRPr="00E27443">
        <w:t xml:space="preserve"> </w:t>
      </w:r>
      <w:r w:rsidRPr="00E27443">
        <w:t>school.</w:t>
      </w:r>
      <w:r w:rsidR="00C63F8F" w:rsidRPr="00E27443">
        <w:t xml:space="preserve"> </w:t>
      </w:r>
      <w:r w:rsidRPr="00E27443">
        <w:t>The</w:t>
      </w:r>
      <w:r w:rsidR="00C63F8F" w:rsidRPr="00E27443">
        <w:t xml:space="preserve"> </w:t>
      </w:r>
      <w:r w:rsidRPr="00E27443">
        <w:t>activities</w:t>
      </w:r>
      <w:r w:rsidR="00C63F8F" w:rsidRPr="00E27443">
        <w:t xml:space="preserve"> </w:t>
      </w:r>
      <w:r w:rsidRPr="00E27443">
        <w:t>must</w:t>
      </w:r>
      <w:r w:rsidR="00C63F8F" w:rsidRPr="00E27443">
        <w:t xml:space="preserve"> </w:t>
      </w:r>
      <w:r w:rsidRPr="00E27443">
        <w:t>actively</w:t>
      </w:r>
      <w:r w:rsidR="00C63F8F" w:rsidRPr="00E27443">
        <w:t xml:space="preserve"> </w:t>
      </w:r>
      <w:r w:rsidRPr="00E27443">
        <w:t>work</w:t>
      </w:r>
      <w:r w:rsidR="00C63F8F" w:rsidRPr="00E27443">
        <w:t xml:space="preserve"> </w:t>
      </w:r>
      <w:r w:rsidRPr="00E27443">
        <w:t>for</w:t>
      </w:r>
      <w:r w:rsidR="00C63F8F" w:rsidRPr="00E27443">
        <w:t xml:space="preserve"> </w:t>
      </w:r>
      <w:r w:rsidRPr="00E27443">
        <w:t>fundamental</w:t>
      </w:r>
      <w:r w:rsidR="00C63F8F" w:rsidRPr="00E27443">
        <w:t xml:space="preserve"> </w:t>
      </w:r>
      <w:r w:rsidRPr="00E27443">
        <w:t>democratic</w:t>
      </w:r>
      <w:r w:rsidR="00C63F8F" w:rsidRPr="00E27443">
        <w:t xml:space="preserve"> </w:t>
      </w:r>
      <w:r w:rsidRPr="00E27443">
        <w:t>principles</w:t>
      </w:r>
      <w:r w:rsidR="00C63F8F" w:rsidRPr="00E27443">
        <w:t xml:space="preserve"> </w:t>
      </w:r>
      <w:r w:rsidRPr="00E27443">
        <w:t>such</w:t>
      </w:r>
      <w:r w:rsidR="00C63F8F" w:rsidRPr="00E27443">
        <w:t xml:space="preserve"> </w:t>
      </w:r>
      <w:r w:rsidRPr="00E27443">
        <w:t>as</w:t>
      </w:r>
      <w:r w:rsidR="00C63F8F" w:rsidRPr="00E27443">
        <w:t xml:space="preserve"> </w:t>
      </w:r>
      <w:r w:rsidRPr="00E27443">
        <w:t>the</w:t>
      </w:r>
      <w:r w:rsidR="00C63F8F" w:rsidRPr="00E27443">
        <w:t xml:space="preserve"> </w:t>
      </w:r>
      <w:r w:rsidRPr="00E27443">
        <w:t>equal</w:t>
      </w:r>
      <w:r w:rsidR="00C63F8F" w:rsidRPr="00E27443">
        <w:t xml:space="preserve"> </w:t>
      </w:r>
      <w:r w:rsidRPr="00E27443">
        <w:t>value</w:t>
      </w:r>
      <w:r w:rsidR="00C63F8F" w:rsidRPr="00E27443">
        <w:t xml:space="preserve"> </w:t>
      </w:r>
      <w:r w:rsidRPr="00E27443">
        <w:t>of</w:t>
      </w:r>
      <w:r w:rsidR="00C63F8F" w:rsidRPr="00E27443">
        <w:t xml:space="preserve"> </w:t>
      </w:r>
      <w:r w:rsidRPr="00E27443">
        <w:t>all</w:t>
      </w:r>
      <w:r w:rsidR="00C63F8F" w:rsidRPr="00E27443">
        <w:t xml:space="preserve"> </w:t>
      </w:r>
      <w:r w:rsidRPr="00E27443">
        <w:t>people</w:t>
      </w:r>
      <w:r w:rsidR="00C63F8F" w:rsidRPr="00E27443">
        <w:t xml:space="preserve"> </w:t>
      </w:r>
      <w:r w:rsidRPr="00E27443">
        <w:t>regardless</w:t>
      </w:r>
      <w:r w:rsidR="00C63F8F" w:rsidRPr="00E27443">
        <w:t xml:space="preserve"> </w:t>
      </w:r>
      <w:r w:rsidRPr="00E27443">
        <w:t>of</w:t>
      </w:r>
      <w:r w:rsidR="00C63F8F" w:rsidRPr="00E27443">
        <w:t xml:space="preserve"> </w:t>
      </w:r>
      <w:r w:rsidRPr="00E27443">
        <w:t>race,</w:t>
      </w:r>
      <w:r w:rsidR="00C63F8F" w:rsidRPr="00E27443">
        <w:t xml:space="preserve"> </w:t>
      </w:r>
      <w:r w:rsidRPr="00E27443">
        <w:t>skin</w:t>
      </w:r>
      <w:r w:rsidR="00C63F8F" w:rsidRPr="00E27443">
        <w:t xml:space="preserve"> </w:t>
      </w:r>
      <w:r w:rsidRPr="00E27443">
        <w:t>colour,</w:t>
      </w:r>
      <w:r w:rsidR="00C63F8F" w:rsidRPr="00E27443">
        <w:t xml:space="preserve"> </w:t>
      </w:r>
      <w:r w:rsidRPr="00E27443">
        <w:t>ethnicity,</w:t>
      </w:r>
      <w:r w:rsidR="00C63F8F" w:rsidRPr="00E27443">
        <w:t xml:space="preserve"> </w:t>
      </w:r>
      <w:r w:rsidRPr="00E27443">
        <w:t>religion</w:t>
      </w:r>
      <w:r w:rsidR="00C63F8F" w:rsidRPr="00E27443">
        <w:t xml:space="preserve"> </w:t>
      </w:r>
      <w:r w:rsidRPr="00E27443">
        <w:t>and</w:t>
      </w:r>
      <w:r w:rsidR="00C63F8F" w:rsidRPr="00E27443">
        <w:t xml:space="preserve"> </w:t>
      </w:r>
      <w:r w:rsidRPr="00E27443">
        <w:t>other</w:t>
      </w:r>
      <w:r w:rsidR="00C63F8F" w:rsidRPr="00E27443">
        <w:t xml:space="preserve"> </w:t>
      </w:r>
      <w:r w:rsidRPr="00E27443">
        <w:t>beliefs,</w:t>
      </w:r>
      <w:r w:rsidR="00C63F8F" w:rsidRPr="00E27443">
        <w:t xml:space="preserve"> </w:t>
      </w:r>
      <w:r w:rsidRPr="00E27443">
        <w:t>sexual</w:t>
      </w:r>
      <w:r w:rsidR="00C63F8F" w:rsidRPr="00E27443">
        <w:t xml:space="preserve"> </w:t>
      </w:r>
      <w:r w:rsidRPr="00E27443">
        <w:t>orientation</w:t>
      </w:r>
      <w:r w:rsidR="00C63F8F" w:rsidRPr="00E27443">
        <w:t xml:space="preserve"> </w:t>
      </w:r>
      <w:r w:rsidRPr="00E27443">
        <w:t>or</w:t>
      </w:r>
      <w:r w:rsidR="00C63F8F" w:rsidRPr="00E27443">
        <w:t xml:space="preserve"> </w:t>
      </w:r>
      <w:r w:rsidRPr="00E27443">
        <w:t>disability,</w:t>
      </w:r>
      <w:r w:rsidR="00C63F8F" w:rsidRPr="00E27443">
        <w:t xml:space="preserve"> </w:t>
      </w:r>
      <w:r w:rsidRPr="00E27443">
        <w:t>and</w:t>
      </w:r>
      <w:r w:rsidR="00C63F8F" w:rsidRPr="00E27443">
        <w:t xml:space="preserve"> </w:t>
      </w:r>
      <w:r w:rsidRPr="00E27443">
        <w:t>the</w:t>
      </w:r>
      <w:r w:rsidR="00C63F8F" w:rsidRPr="00E27443">
        <w:t xml:space="preserve"> </w:t>
      </w:r>
      <w:r w:rsidRPr="00E27443">
        <w:t>right</w:t>
      </w:r>
      <w:r w:rsidR="00C63F8F" w:rsidRPr="00E27443">
        <w:t xml:space="preserve"> </w:t>
      </w:r>
      <w:r w:rsidRPr="00E27443">
        <w:t>of</w:t>
      </w:r>
      <w:r w:rsidR="00C63F8F" w:rsidRPr="00E27443">
        <w:t xml:space="preserve"> </w:t>
      </w:r>
      <w:r w:rsidRPr="00E27443">
        <w:t>everyone</w:t>
      </w:r>
      <w:r w:rsidR="00C63F8F" w:rsidRPr="00E27443">
        <w:t xml:space="preserve"> </w:t>
      </w:r>
      <w:r w:rsidRPr="00E27443">
        <w:t>to</w:t>
      </w:r>
      <w:r w:rsidR="00C63F8F" w:rsidRPr="00E27443">
        <w:t xml:space="preserve"> </w:t>
      </w:r>
      <w:r w:rsidRPr="00E27443">
        <w:t>express</w:t>
      </w:r>
      <w:r w:rsidR="00C63F8F" w:rsidRPr="00E27443">
        <w:t xml:space="preserve"> </w:t>
      </w:r>
      <w:r w:rsidRPr="00E27443">
        <w:t>themselves</w:t>
      </w:r>
      <w:r w:rsidR="00C63F8F" w:rsidRPr="00E27443">
        <w:t xml:space="preserve"> </w:t>
      </w:r>
      <w:r w:rsidRPr="00E27443">
        <w:t>and</w:t>
      </w:r>
      <w:r w:rsidR="00C63F8F" w:rsidRPr="00E27443">
        <w:t xml:space="preserve"> </w:t>
      </w:r>
      <w:r w:rsidRPr="00E27443">
        <w:t>be</w:t>
      </w:r>
      <w:r w:rsidR="00C63F8F" w:rsidRPr="00E27443">
        <w:t xml:space="preserve"> </w:t>
      </w:r>
      <w:r w:rsidRPr="00E27443">
        <w:t>respected</w:t>
      </w:r>
      <w:r w:rsidR="00C63F8F" w:rsidRPr="00E27443">
        <w:t xml:space="preserve"> </w:t>
      </w:r>
      <w:r w:rsidRPr="00E27443">
        <w:t>for</w:t>
      </w:r>
      <w:r w:rsidR="00C63F8F" w:rsidRPr="00E27443">
        <w:t xml:space="preserve"> </w:t>
      </w:r>
      <w:r w:rsidRPr="00E27443">
        <w:t>their</w:t>
      </w:r>
      <w:r w:rsidR="00C63F8F" w:rsidRPr="00E27443">
        <w:t xml:space="preserve"> </w:t>
      </w:r>
      <w:r w:rsidRPr="00E27443">
        <w:t>opinions.</w:t>
      </w:r>
      <w:r w:rsidR="00C63F8F" w:rsidRPr="00E27443">
        <w:t xml:space="preserve"> </w:t>
      </w:r>
    </w:p>
    <w:p w:rsidR="00321ADA" w:rsidRPr="00E27443" w:rsidRDefault="00321ADA" w:rsidP="00555974">
      <w:pPr>
        <w:pStyle w:val="SingleTxtG"/>
        <w:numPr>
          <w:ilvl w:val="0"/>
          <w:numId w:val="20"/>
        </w:numPr>
        <w:tabs>
          <w:tab w:val="left" w:pos="1843"/>
        </w:tabs>
        <w:ind w:left="1134" w:firstLine="0"/>
      </w:pPr>
      <w:r w:rsidRPr="00E27443">
        <w:t>The</w:t>
      </w:r>
      <w:r w:rsidR="00C63F8F" w:rsidRPr="00E27443">
        <w:t xml:space="preserve"> </w:t>
      </w:r>
      <w:r w:rsidRPr="00E27443">
        <w:t>Discrimination</w:t>
      </w:r>
      <w:r w:rsidR="00C63F8F" w:rsidRPr="00E27443">
        <w:t xml:space="preserve"> </w:t>
      </w:r>
      <w:r w:rsidRPr="00E27443">
        <w:t>Act</w:t>
      </w:r>
      <w:r w:rsidR="00C63F8F" w:rsidRPr="00E27443">
        <w:t xml:space="preserve"> </w:t>
      </w:r>
      <w:r w:rsidRPr="00E27443">
        <w:t>contains</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ban</w:t>
      </w:r>
      <w:r w:rsidR="00C63F8F" w:rsidRPr="00E27443">
        <w:t xml:space="preserve"> </w:t>
      </w:r>
      <w:r w:rsidRPr="00E27443">
        <w:t>on</w:t>
      </w:r>
      <w:r w:rsidR="00C63F8F" w:rsidRPr="00E27443">
        <w:t xml:space="preserve"> </w:t>
      </w:r>
      <w:r w:rsidRPr="00E27443">
        <w:t>discrimination</w:t>
      </w:r>
      <w:r w:rsidR="00C63F8F" w:rsidRPr="00E27443">
        <w:t xml:space="preserve"> </w:t>
      </w:r>
      <w:r w:rsidRPr="00E27443">
        <w:t>within</w:t>
      </w:r>
      <w:r w:rsidR="00C63F8F" w:rsidRPr="00E27443">
        <w:t xml:space="preserve"> </w:t>
      </w:r>
      <w:r w:rsidRPr="00E27443">
        <w:t>education</w:t>
      </w:r>
      <w:r w:rsidR="00C63F8F" w:rsidRPr="00E27443">
        <w:t xml:space="preserve"> </w:t>
      </w:r>
      <w:r w:rsidRPr="00E27443">
        <w:t>on</w:t>
      </w:r>
      <w:r w:rsidR="00C63F8F" w:rsidRPr="00E27443">
        <w:t xml:space="preserve"> </w:t>
      </w:r>
      <w:r w:rsidRPr="00E27443">
        <w:t>the</w:t>
      </w:r>
      <w:r w:rsidR="00C63F8F" w:rsidRPr="00E27443">
        <w:t xml:space="preserve"> </w:t>
      </w:r>
      <w:r w:rsidRPr="00E27443">
        <w:t>basis</w:t>
      </w:r>
      <w:r w:rsidR="00C63F8F" w:rsidRPr="00E27443">
        <w:t xml:space="preserve"> </w:t>
      </w:r>
      <w:r w:rsidRPr="00E27443">
        <w:t>of</w:t>
      </w:r>
      <w:r w:rsidR="00C63F8F" w:rsidRPr="00E27443">
        <w:t xml:space="preserve"> </w:t>
      </w:r>
      <w:r w:rsidRPr="00E27443">
        <w:t>gender,</w:t>
      </w:r>
      <w:r w:rsidR="00C63F8F" w:rsidRPr="00E27443">
        <w:t xml:space="preserve"> </w:t>
      </w:r>
      <w:r w:rsidRPr="00E27443">
        <w:t>transgender</w:t>
      </w:r>
      <w:r w:rsidR="00C63F8F" w:rsidRPr="00E27443">
        <w:t xml:space="preserve"> </w:t>
      </w:r>
      <w:r w:rsidRPr="00E27443">
        <w:t>identity</w:t>
      </w:r>
      <w:r w:rsidR="00C63F8F" w:rsidRPr="00E27443">
        <w:t xml:space="preserve"> </w:t>
      </w:r>
      <w:r w:rsidRPr="00E27443">
        <w:t>or</w:t>
      </w:r>
      <w:r w:rsidR="00C63F8F" w:rsidRPr="00E27443">
        <w:t xml:space="preserve"> </w:t>
      </w:r>
      <w:r w:rsidRPr="00E27443">
        <w:t>expression,</w:t>
      </w:r>
      <w:r w:rsidR="00C63F8F" w:rsidRPr="00E27443">
        <w:t xml:space="preserve"> </w:t>
      </w:r>
      <w:r w:rsidRPr="00E27443">
        <w:t>ethnicity,</w:t>
      </w:r>
      <w:r w:rsidR="00C63F8F" w:rsidRPr="00E27443">
        <w:t xml:space="preserve"> </w:t>
      </w:r>
      <w:r w:rsidRPr="00E27443">
        <w:t>religion</w:t>
      </w:r>
      <w:r w:rsidR="00C63F8F" w:rsidRPr="00E27443">
        <w:t xml:space="preserve"> </w:t>
      </w:r>
      <w:r w:rsidRPr="00E27443">
        <w:t>or</w:t>
      </w:r>
      <w:r w:rsidR="00C63F8F" w:rsidRPr="00E27443">
        <w:t xml:space="preserve"> </w:t>
      </w:r>
      <w:r w:rsidRPr="00E27443">
        <w:t>other</w:t>
      </w:r>
      <w:r w:rsidR="00C63F8F" w:rsidRPr="00E27443">
        <w:t xml:space="preserve"> </w:t>
      </w:r>
      <w:r w:rsidRPr="00E27443">
        <w:t>belief,</w:t>
      </w:r>
      <w:r w:rsidR="00C63F8F" w:rsidRPr="00E27443">
        <w:t xml:space="preserve"> </w:t>
      </w:r>
      <w:r w:rsidRPr="00E27443">
        <w:t>disability,</w:t>
      </w:r>
      <w:r w:rsidR="00C63F8F" w:rsidRPr="00E27443">
        <w:t xml:space="preserve"> </w:t>
      </w:r>
      <w:r w:rsidRPr="00E27443">
        <w:t>sexual</w:t>
      </w:r>
      <w:r w:rsidR="00C63F8F" w:rsidRPr="00E27443">
        <w:t xml:space="preserve"> </w:t>
      </w:r>
      <w:r w:rsidRPr="00E27443">
        <w:t>orientation</w:t>
      </w:r>
      <w:r w:rsidR="00C63F8F" w:rsidRPr="00E27443">
        <w:t xml:space="preserve"> </w:t>
      </w:r>
      <w:r w:rsidRPr="00E27443">
        <w:t>or</w:t>
      </w:r>
      <w:r w:rsidR="00C63F8F" w:rsidRPr="00E27443">
        <w:t xml:space="preserve"> </w:t>
      </w:r>
      <w:r w:rsidRPr="00E27443">
        <w:t>age.</w:t>
      </w:r>
      <w:r w:rsidR="00C63F8F" w:rsidRPr="00E27443">
        <w:t xml:space="preserve"> </w:t>
      </w:r>
    </w:p>
    <w:p w:rsidR="00321ADA" w:rsidRPr="00E27443" w:rsidRDefault="00321ADA" w:rsidP="00555974">
      <w:pPr>
        <w:pStyle w:val="SingleTxtG"/>
        <w:numPr>
          <w:ilvl w:val="0"/>
          <w:numId w:val="20"/>
        </w:numPr>
        <w:tabs>
          <w:tab w:val="left" w:pos="1843"/>
        </w:tabs>
        <w:ind w:left="1134" w:firstLine="0"/>
      </w:pPr>
      <w:r w:rsidRPr="00E27443">
        <w:t>The</w:t>
      </w:r>
      <w:r w:rsidR="00C63F8F" w:rsidRPr="00E27443">
        <w:t xml:space="preserve"> </w:t>
      </w:r>
      <w:r w:rsidRPr="00E27443">
        <w:t>Education</w:t>
      </w:r>
      <w:r w:rsidR="00C63F8F" w:rsidRPr="00E27443">
        <w:t xml:space="preserve"> </w:t>
      </w:r>
      <w:r w:rsidRPr="00E27443">
        <w:t>Act</w:t>
      </w:r>
      <w:r w:rsidR="00C63F8F" w:rsidRPr="00E27443">
        <w:t xml:space="preserve"> </w:t>
      </w:r>
      <w:r w:rsidRPr="00E27443">
        <w:t>also</w:t>
      </w:r>
      <w:r w:rsidR="00C63F8F" w:rsidRPr="00E27443">
        <w:t xml:space="preserve"> </w:t>
      </w:r>
      <w:r w:rsidRPr="00E27443">
        <w:t>contains</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prohibition</w:t>
      </w:r>
      <w:r w:rsidR="00C63F8F" w:rsidRPr="00E27443">
        <w:t xml:space="preserve"> </w:t>
      </w:r>
      <w:r w:rsidRPr="00E27443">
        <w:t>of</w:t>
      </w:r>
      <w:r w:rsidR="00C63F8F" w:rsidRPr="00E27443">
        <w:t xml:space="preserve"> </w:t>
      </w:r>
      <w:r w:rsidRPr="00E27443">
        <w:t>other</w:t>
      </w:r>
      <w:r w:rsidR="00C63F8F" w:rsidRPr="00E27443">
        <w:t xml:space="preserve"> </w:t>
      </w:r>
      <w:r w:rsidRPr="00E27443">
        <w:t>degrading</w:t>
      </w:r>
      <w:r w:rsidR="00C63F8F" w:rsidRPr="00E27443">
        <w:t xml:space="preserve"> </w:t>
      </w:r>
      <w:r w:rsidRPr="00E27443">
        <w:t>treatment</w:t>
      </w:r>
      <w:r w:rsidR="00C63F8F" w:rsidRPr="00E27443">
        <w:t xml:space="preserve"> </w:t>
      </w:r>
      <w:r w:rsidRPr="00E27443">
        <w:t>of</w:t>
      </w:r>
      <w:r w:rsidR="00C63F8F" w:rsidRPr="00E27443">
        <w:t xml:space="preserve"> </w:t>
      </w:r>
      <w:r w:rsidRPr="00E27443">
        <w:t>children</w:t>
      </w:r>
      <w:r w:rsidR="00C63F8F" w:rsidRPr="00E27443">
        <w:t xml:space="preserve"> </w:t>
      </w:r>
      <w:r w:rsidRPr="00E27443">
        <w:t>and</w:t>
      </w:r>
      <w:r w:rsidR="00C63F8F" w:rsidRPr="00E27443">
        <w:t xml:space="preserve"> </w:t>
      </w:r>
      <w:r w:rsidRPr="00E27443">
        <w:t>students,</w:t>
      </w:r>
      <w:r w:rsidR="008472FF" w:rsidRPr="00555974">
        <w:footnoteReference w:id="153"/>
      </w:r>
      <w:r w:rsidR="00C63F8F" w:rsidRPr="00E27443">
        <w:t xml:space="preserve"> </w:t>
      </w:r>
      <w:r w:rsidRPr="00E27443">
        <w:t>such</w:t>
      </w:r>
      <w:r w:rsidR="00C63F8F" w:rsidRPr="00E27443">
        <w:t xml:space="preserve"> </w:t>
      </w:r>
      <w:r w:rsidRPr="00E27443">
        <w:t>as</w:t>
      </w:r>
      <w:r w:rsidR="00C63F8F" w:rsidRPr="00E27443">
        <w:t xml:space="preserve"> </w:t>
      </w:r>
      <w:r w:rsidRPr="00E27443">
        <w:t>bullying</w:t>
      </w:r>
      <w:r w:rsidR="00C63F8F" w:rsidRPr="00E27443">
        <w:t xml:space="preserve"> </w:t>
      </w:r>
      <w:r w:rsidRPr="00E27443">
        <w:t>that</w:t>
      </w:r>
      <w:r w:rsidR="00C63F8F" w:rsidRPr="00E27443">
        <w:t xml:space="preserve"> </w:t>
      </w:r>
      <w:r w:rsidRPr="00E27443">
        <w:t>is</w:t>
      </w:r>
      <w:r w:rsidR="00C63F8F" w:rsidRPr="00E27443">
        <w:t xml:space="preserve"> </w:t>
      </w:r>
      <w:r w:rsidRPr="00E27443">
        <w:t>not</w:t>
      </w:r>
      <w:r w:rsidR="00C63F8F" w:rsidRPr="00E27443">
        <w:t xml:space="preserve"> </w:t>
      </w:r>
      <w:r w:rsidRPr="00E27443">
        <w:t>linked</w:t>
      </w:r>
      <w:r w:rsidR="00C63F8F" w:rsidRPr="00E27443">
        <w:t xml:space="preserve"> </w:t>
      </w:r>
      <w:r w:rsidRPr="00E27443">
        <w:t>to</w:t>
      </w:r>
      <w:r w:rsidR="00C63F8F" w:rsidRPr="00E27443">
        <w:t xml:space="preserve"> </w:t>
      </w:r>
      <w:r w:rsidRPr="00E27443">
        <w:t>any</w:t>
      </w:r>
      <w:r w:rsidR="00C63F8F" w:rsidRPr="00E27443">
        <w:t xml:space="preserve"> </w:t>
      </w:r>
      <w:r w:rsidRPr="00E27443">
        <w:t>grounds</w:t>
      </w:r>
      <w:r w:rsidR="00C63F8F" w:rsidRPr="00E27443">
        <w:t xml:space="preserve"> </w:t>
      </w:r>
      <w:r w:rsidRPr="00E27443">
        <w:t>for</w:t>
      </w:r>
      <w:r w:rsidR="00C63F8F" w:rsidRPr="00E27443">
        <w:t xml:space="preserve"> </w:t>
      </w:r>
      <w:r w:rsidRPr="00E27443">
        <w:t>discrimination.</w:t>
      </w:r>
      <w:r w:rsidR="00C63F8F" w:rsidRPr="00E27443">
        <w:t xml:space="preserve"> </w:t>
      </w:r>
      <w:r w:rsidRPr="00E27443">
        <w:t>The</w:t>
      </w:r>
      <w:r w:rsidR="00C63F8F" w:rsidRPr="00E27443">
        <w:t xml:space="preserve"> </w:t>
      </w:r>
      <w:r w:rsidRPr="00E27443">
        <w:t>Swedish</w:t>
      </w:r>
      <w:r w:rsidR="00C63F8F" w:rsidRPr="00E27443">
        <w:t xml:space="preserve"> </w:t>
      </w:r>
      <w:r w:rsidRPr="00E27443">
        <w:t>Schools</w:t>
      </w:r>
      <w:r w:rsidR="00C63F8F" w:rsidRPr="00E27443">
        <w:t xml:space="preserve"> </w:t>
      </w:r>
      <w:r w:rsidRPr="00E27443">
        <w:t>Inspectorate</w:t>
      </w:r>
      <w:r w:rsidR="00C63F8F" w:rsidRPr="00E27443">
        <w:t xml:space="preserve"> </w:t>
      </w:r>
      <w:r w:rsidRPr="00E27443">
        <w:t>monitors</w:t>
      </w:r>
      <w:r w:rsidR="00C63F8F" w:rsidRPr="00E27443">
        <w:t xml:space="preserve"> </w:t>
      </w:r>
      <w:r w:rsidRPr="00E27443">
        <w:t>comp</w:t>
      </w:r>
      <w:r w:rsidRPr="00E27443">
        <w:softHyphen/>
        <w:t>liance</w:t>
      </w:r>
      <w:r w:rsidR="00C63F8F" w:rsidRPr="00E27443">
        <w:t xml:space="preserve"> </w:t>
      </w:r>
      <w:r w:rsidRPr="00E27443">
        <w:t>with</w:t>
      </w:r>
      <w:r w:rsidR="00C63F8F" w:rsidRPr="00E27443">
        <w:t xml:space="preserve"> </w:t>
      </w:r>
      <w:r w:rsidRPr="00E27443">
        <w:t>these</w:t>
      </w:r>
      <w:r w:rsidR="00C63F8F" w:rsidRPr="00E27443">
        <w:t xml:space="preserve"> </w:t>
      </w:r>
      <w:r w:rsidRPr="00E27443">
        <w:t>provisions.</w:t>
      </w:r>
      <w:r w:rsidR="00C63F8F" w:rsidRPr="00E27443">
        <w:t xml:space="preserve"> </w:t>
      </w:r>
    </w:p>
    <w:p w:rsidR="00321ADA" w:rsidRPr="00E27443" w:rsidRDefault="00321ADA" w:rsidP="00555974">
      <w:pPr>
        <w:pStyle w:val="SingleTxtG"/>
        <w:numPr>
          <w:ilvl w:val="0"/>
          <w:numId w:val="20"/>
        </w:numPr>
        <w:tabs>
          <w:tab w:val="left" w:pos="1843"/>
        </w:tabs>
        <w:ind w:left="1134" w:firstLine="0"/>
      </w:pPr>
      <w:r w:rsidRPr="00E27443">
        <w:t>Since</w:t>
      </w:r>
      <w:r w:rsidR="00C63F8F" w:rsidRPr="00E27443">
        <w:t xml:space="preserve"> </w:t>
      </w:r>
      <w:r w:rsidRPr="00E27443">
        <w:t>1</w:t>
      </w:r>
      <w:r w:rsidR="00C63F8F" w:rsidRPr="00E27443">
        <w:t xml:space="preserve"> </w:t>
      </w:r>
      <w:r w:rsidRPr="00E27443">
        <w:t>January</w:t>
      </w:r>
      <w:r w:rsidR="00C63F8F" w:rsidRPr="00E27443">
        <w:t xml:space="preserve"> </w:t>
      </w:r>
      <w:r w:rsidRPr="00E27443">
        <w:t>2010,</w:t>
      </w:r>
      <w:r w:rsidR="00C63F8F" w:rsidRPr="00E27443">
        <w:t xml:space="preserve"> </w:t>
      </w:r>
      <w:r w:rsidRPr="00E27443">
        <w:t>the</w:t>
      </w:r>
      <w:r w:rsidR="00C63F8F" w:rsidRPr="00E27443">
        <w:t xml:space="preserve"> </w:t>
      </w:r>
      <w:r w:rsidRPr="00E27443">
        <w:t>healthcare</w:t>
      </w:r>
      <w:r w:rsidR="00C63F8F" w:rsidRPr="00E27443">
        <w:t xml:space="preserve"> </w:t>
      </w:r>
      <w:r w:rsidRPr="00E27443">
        <w:t>service</w:t>
      </w:r>
      <w:r w:rsidR="00C63F8F" w:rsidRPr="00E27443">
        <w:t xml:space="preserve"> </w:t>
      </w:r>
      <w:r w:rsidRPr="00E27443">
        <w:t>and</w:t>
      </w:r>
      <w:r w:rsidR="00C63F8F" w:rsidRPr="00E27443">
        <w:t xml:space="preserve"> </w:t>
      </w:r>
      <w:r w:rsidRPr="00E27443">
        <w:t>its</w:t>
      </w:r>
      <w:r w:rsidR="00C63F8F" w:rsidRPr="00E27443">
        <w:t xml:space="preserve"> </w:t>
      </w:r>
      <w:r w:rsidRPr="00E27443">
        <w:t>personnel</w:t>
      </w:r>
      <w:r w:rsidR="00C63F8F" w:rsidRPr="00E27443">
        <w:t xml:space="preserve"> </w:t>
      </w:r>
      <w:r w:rsidRPr="00E27443">
        <w:t>have</w:t>
      </w:r>
      <w:r w:rsidR="00C63F8F" w:rsidRPr="00E27443">
        <w:t xml:space="preserve"> </w:t>
      </w:r>
      <w:r w:rsidRPr="00E27443">
        <w:t>been</w:t>
      </w:r>
      <w:r w:rsidR="00C63F8F" w:rsidRPr="00E27443">
        <w:t xml:space="preserve"> </w:t>
      </w:r>
      <w:r w:rsidRPr="00E27443">
        <w:t>obliged</w:t>
      </w:r>
      <w:r w:rsidR="00C63F8F" w:rsidRPr="00E27443">
        <w:t xml:space="preserve"> </w:t>
      </w:r>
      <w:r w:rsidRPr="00E27443">
        <w:t>to</w:t>
      </w:r>
      <w:r w:rsidR="00C63F8F" w:rsidRPr="00E27443">
        <w:t xml:space="preserve"> </w:t>
      </w:r>
      <w:r w:rsidRPr="00E27443">
        <w:t>pay</w:t>
      </w:r>
      <w:r w:rsidR="00C63F8F" w:rsidRPr="00E27443">
        <w:t xml:space="preserve"> </w:t>
      </w:r>
      <w:r w:rsidRPr="00E27443">
        <w:t>particular</w:t>
      </w:r>
      <w:r w:rsidR="00C63F8F" w:rsidRPr="00E27443">
        <w:t xml:space="preserve"> </w:t>
      </w:r>
      <w:r w:rsidRPr="00E27443">
        <w:t>attention</w:t>
      </w:r>
      <w:r w:rsidR="00C63F8F" w:rsidRPr="00E27443">
        <w:t xml:space="preserve"> </w:t>
      </w:r>
      <w:r w:rsidRPr="00E27443">
        <w:t>to</w:t>
      </w:r>
      <w:r w:rsidR="00C63F8F" w:rsidRPr="00E27443">
        <w:t xml:space="preserve"> </w:t>
      </w:r>
      <w:r w:rsidRPr="00E27443">
        <w:t>a</w:t>
      </w:r>
      <w:r w:rsidR="00C63F8F" w:rsidRPr="00E27443">
        <w:t xml:space="preserve"> </w:t>
      </w:r>
      <w:r w:rsidRPr="00E27443">
        <w:t>child</w:t>
      </w:r>
      <w:r w:rsidR="00C63F8F" w:rsidRPr="00E27443">
        <w:t>’</w:t>
      </w:r>
      <w:r w:rsidRPr="00E27443">
        <w:t>s</w:t>
      </w:r>
      <w:r w:rsidR="00C63F8F" w:rsidRPr="00E27443">
        <w:t xml:space="preserve"> </w:t>
      </w:r>
      <w:r w:rsidRPr="00E27443">
        <w:t>need</w:t>
      </w:r>
      <w:r w:rsidR="00C63F8F" w:rsidRPr="00E27443">
        <w:t xml:space="preserve"> </w:t>
      </w:r>
      <w:r w:rsidRPr="00E27443">
        <w:t>for</w:t>
      </w:r>
      <w:r w:rsidR="00C63F8F" w:rsidRPr="00E27443">
        <w:t xml:space="preserve"> </w:t>
      </w:r>
      <w:r w:rsidRPr="00E27443">
        <w:t>information,</w:t>
      </w:r>
      <w:r w:rsidR="00C63F8F" w:rsidRPr="00E27443">
        <w:t xml:space="preserve"> </w:t>
      </w:r>
      <w:r w:rsidRPr="00E27443">
        <w:t>advice</w:t>
      </w:r>
      <w:r w:rsidR="00C63F8F" w:rsidRPr="00E27443">
        <w:t xml:space="preserve"> </w:t>
      </w:r>
      <w:r w:rsidRPr="00E27443">
        <w:t>and</w:t>
      </w:r>
      <w:r w:rsidR="00C63F8F" w:rsidRPr="00E27443">
        <w:t xml:space="preserve"> </w:t>
      </w:r>
      <w:r w:rsidRPr="00E27443">
        <w:t>support</w:t>
      </w:r>
      <w:r w:rsidR="00C63F8F" w:rsidRPr="00E27443">
        <w:t xml:space="preserve"> </w:t>
      </w:r>
      <w:r w:rsidRPr="00E27443">
        <w:t>if</w:t>
      </w:r>
      <w:r w:rsidR="00C63F8F" w:rsidRPr="00E27443">
        <w:t xml:space="preserve"> </w:t>
      </w:r>
      <w:r w:rsidRPr="00E27443">
        <w:t>the</w:t>
      </w:r>
      <w:r w:rsidR="00C63F8F" w:rsidRPr="00E27443">
        <w:t xml:space="preserve"> </w:t>
      </w:r>
      <w:r w:rsidRPr="00E27443">
        <w:t>child</w:t>
      </w:r>
      <w:r w:rsidR="00C63F8F" w:rsidRPr="00E27443">
        <w:t>’</w:t>
      </w:r>
      <w:r w:rsidRPr="00E27443">
        <w:t>s</w:t>
      </w:r>
      <w:r w:rsidR="00C63F8F" w:rsidRPr="00E27443">
        <w:t xml:space="preserve"> </w:t>
      </w:r>
      <w:r w:rsidRPr="00E27443">
        <w:t>parent</w:t>
      </w:r>
      <w:r w:rsidR="00C63F8F" w:rsidRPr="00E27443">
        <w:t xml:space="preserve"> </w:t>
      </w:r>
      <w:r w:rsidRPr="00E27443">
        <w:t>or</w:t>
      </w:r>
      <w:r w:rsidR="00C63F8F" w:rsidRPr="00E27443">
        <w:t xml:space="preserve"> </w:t>
      </w:r>
      <w:r w:rsidRPr="00E27443">
        <w:t>some</w:t>
      </w:r>
      <w:r w:rsidR="00C63F8F" w:rsidRPr="00E27443">
        <w:t xml:space="preserve"> </w:t>
      </w:r>
      <w:r w:rsidRPr="00E27443">
        <w:t>other</w:t>
      </w:r>
      <w:r w:rsidR="00C63F8F" w:rsidRPr="00E27443">
        <w:t xml:space="preserve"> </w:t>
      </w:r>
      <w:r w:rsidRPr="00E27443">
        <w:t>adult</w:t>
      </w:r>
      <w:r w:rsidR="00C63F8F" w:rsidRPr="00E27443">
        <w:t xml:space="preserve"> </w:t>
      </w:r>
      <w:r w:rsidRPr="00E27443">
        <w:t>with</w:t>
      </w:r>
      <w:r w:rsidR="00C63F8F" w:rsidRPr="00E27443">
        <w:t xml:space="preserve"> </w:t>
      </w:r>
      <w:r w:rsidRPr="00E27443">
        <w:t>whom</w:t>
      </w:r>
      <w:r w:rsidR="00C63F8F" w:rsidRPr="00E27443">
        <w:t xml:space="preserve"> </w:t>
      </w:r>
      <w:r w:rsidRPr="00E27443">
        <w:t>the</w:t>
      </w:r>
      <w:r w:rsidR="00C63F8F" w:rsidRPr="00E27443">
        <w:t xml:space="preserve"> </w:t>
      </w:r>
      <w:r w:rsidRPr="00E27443">
        <w:t>child</w:t>
      </w:r>
      <w:r w:rsidR="00C63F8F" w:rsidRPr="00E27443">
        <w:t xml:space="preserve"> </w:t>
      </w:r>
      <w:r w:rsidRPr="00E27443">
        <w:t>lives</w:t>
      </w:r>
      <w:r w:rsidR="00C63F8F" w:rsidRPr="00E27443">
        <w:t xml:space="preserve"> </w:t>
      </w:r>
      <w:r w:rsidRPr="00E27443">
        <w:t>permanently</w:t>
      </w:r>
      <w:r w:rsidR="00C63F8F" w:rsidRPr="00E27443">
        <w:t xml:space="preserve"> </w:t>
      </w:r>
      <w:r w:rsidRPr="00E27443">
        <w:t>has</w:t>
      </w:r>
      <w:r w:rsidR="00C63F8F" w:rsidRPr="00E27443">
        <w:t xml:space="preserve"> </w:t>
      </w:r>
      <w:r w:rsidRPr="00E27443">
        <w:t>a</w:t>
      </w:r>
      <w:r w:rsidR="00C63F8F" w:rsidRPr="00E27443">
        <w:t xml:space="preserve"> </w:t>
      </w:r>
      <w:r w:rsidRPr="00E27443">
        <w:t>mental</w:t>
      </w:r>
      <w:r w:rsidR="00C63F8F" w:rsidRPr="00E27443">
        <w:t xml:space="preserve"> </w:t>
      </w:r>
      <w:r w:rsidRPr="00E27443">
        <w:t>illness</w:t>
      </w:r>
      <w:r w:rsidR="00C63F8F" w:rsidRPr="00E27443">
        <w:t xml:space="preserve"> </w:t>
      </w:r>
      <w:r w:rsidRPr="00E27443">
        <w:t>or</w:t>
      </w:r>
      <w:r w:rsidR="00C63F8F" w:rsidRPr="00E27443">
        <w:t xml:space="preserve"> </w:t>
      </w:r>
      <w:r w:rsidRPr="00E27443">
        <w:t>a</w:t>
      </w:r>
      <w:r w:rsidR="00C63F8F" w:rsidRPr="00E27443">
        <w:t xml:space="preserve"> </w:t>
      </w:r>
      <w:r w:rsidRPr="00E27443">
        <w:t>mental</w:t>
      </w:r>
      <w:r w:rsidR="00C63F8F" w:rsidRPr="00E27443">
        <w:t xml:space="preserve"> </w:t>
      </w:r>
      <w:r w:rsidRPr="00E27443">
        <w:t>disability,</w:t>
      </w:r>
      <w:r w:rsidR="00C63F8F" w:rsidRPr="00E27443">
        <w:t xml:space="preserve"> </w:t>
      </w:r>
      <w:r w:rsidRPr="00E27443">
        <w:t>a</w:t>
      </w:r>
      <w:r w:rsidR="00C63F8F" w:rsidRPr="00E27443">
        <w:t xml:space="preserve"> </w:t>
      </w:r>
      <w:r w:rsidRPr="00E27443">
        <w:t>serious</w:t>
      </w:r>
      <w:r w:rsidR="00C63F8F" w:rsidRPr="00E27443">
        <w:t xml:space="preserve"> </w:t>
      </w:r>
      <w:r w:rsidRPr="00E27443">
        <w:t>physical</w:t>
      </w:r>
      <w:r w:rsidR="00C63F8F" w:rsidRPr="00E27443">
        <w:t xml:space="preserve"> </w:t>
      </w:r>
      <w:r w:rsidRPr="00E27443">
        <w:t>illness</w:t>
      </w:r>
      <w:r w:rsidR="00C63F8F" w:rsidRPr="00E27443">
        <w:t xml:space="preserve"> </w:t>
      </w:r>
      <w:r w:rsidRPr="00E27443">
        <w:t>or</w:t>
      </w:r>
      <w:r w:rsidR="00C63F8F" w:rsidRPr="00E27443">
        <w:t xml:space="preserve"> </w:t>
      </w:r>
      <w:r w:rsidRPr="00E27443">
        <w:t>injury,</w:t>
      </w:r>
      <w:r w:rsidR="00C63F8F" w:rsidRPr="00E27443">
        <w:t xml:space="preserve"> </w:t>
      </w:r>
      <w:r w:rsidRPr="00E27443">
        <w:t>or</w:t>
      </w:r>
      <w:r w:rsidR="00C63F8F" w:rsidRPr="00E27443">
        <w:t xml:space="preserve"> </w:t>
      </w:r>
      <w:r w:rsidRPr="00E27443">
        <w:t>misuses</w:t>
      </w:r>
      <w:r w:rsidR="00C63F8F" w:rsidRPr="00E27443">
        <w:t xml:space="preserve"> </w:t>
      </w:r>
      <w:r w:rsidRPr="00E27443">
        <w:t>alcohol</w:t>
      </w:r>
      <w:r w:rsidR="00C63F8F" w:rsidRPr="00E27443">
        <w:t xml:space="preserve"> </w:t>
      </w:r>
      <w:r w:rsidRPr="00E27443">
        <w:t>or</w:t>
      </w:r>
      <w:r w:rsidR="00C63F8F" w:rsidRPr="00E27443">
        <w:t xml:space="preserve"> </w:t>
      </w:r>
      <w:r w:rsidRPr="00E27443">
        <w:t>some</w:t>
      </w:r>
      <w:r w:rsidR="00C63F8F" w:rsidRPr="00E27443">
        <w:t xml:space="preserve"> </w:t>
      </w:r>
      <w:r w:rsidRPr="00E27443">
        <w:t>other</w:t>
      </w:r>
      <w:r w:rsidR="00C63F8F" w:rsidRPr="00E27443">
        <w:t xml:space="preserve"> </w:t>
      </w:r>
      <w:r w:rsidRPr="00E27443">
        <w:t>addictive</w:t>
      </w:r>
      <w:r w:rsidR="00C63F8F" w:rsidRPr="00E27443">
        <w:t xml:space="preserve"> </w:t>
      </w:r>
      <w:r w:rsidRPr="00E27443">
        <w:t>substance.</w:t>
      </w:r>
      <w:r w:rsidR="008472FF" w:rsidRPr="00555974">
        <w:footnoteReference w:id="154"/>
      </w:r>
    </w:p>
    <w:p w:rsidR="00321ADA" w:rsidRPr="00E27443" w:rsidRDefault="00321ADA" w:rsidP="00555974">
      <w:pPr>
        <w:pStyle w:val="SingleTxtG"/>
        <w:numPr>
          <w:ilvl w:val="0"/>
          <w:numId w:val="20"/>
        </w:numPr>
        <w:tabs>
          <w:tab w:val="left" w:pos="1843"/>
        </w:tabs>
        <w:ind w:left="1134" w:firstLine="0"/>
      </w:pP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the</w:t>
      </w:r>
      <w:r w:rsidR="00C63F8F" w:rsidRPr="00E27443">
        <w:t xml:space="preserve"> </w:t>
      </w:r>
      <w:r w:rsidRPr="00E27443">
        <w:t>psychiatry</w:t>
      </w:r>
      <w:r w:rsidR="00C63F8F" w:rsidRPr="00E27443">
        <w:t xml:space="preserve"> </w:t>
      </w:r>
      <w:r w:rsidRPr="00E27443">
        <w:t>initiative,</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initiated</w:t>
      </w:r>
      <w:r w:rsidR="00C63F8F" w:rsidRPr="00E27443">
        <w:t xml:space="preserve"> </w:t>
      </w:r>
      <w:r w:rsidRPr="00E27443">
        <w:t>a</w:t>
      </w:r>
      <w:r w:rsidR="00C63F8F" w:rsidRPr="00E27443">
        <w:t xml:space="preserve"> </w:t>
      </w:r>
      <w:r w:rsidRPr="00E27443">
        <w:t>national</w:t>
      </w:r>
      <w:r w:rsidR="00C63F8F" w:rsidRPr="00E27443">
        <w:t xml:space="preserve"> </w:t>
      </w:r>
      <w:r w:rsidRPr="00E27443">
        <w:t>project</w:t>
      </w:r>
      <w:r w:rsidR="00C63F8F" w:rsidRPr="00E27443">
        <w:t xml:space="preserve"> </w:t>
      </w:r>
      <w:r w:rsidRPr="00E27443">
        <w:t>to</w:t>
      </w:r>
      <w:r w:rsidR="00C63F8F" w:rsidRPr="00E27443">
        <w:t xml:space="preserve"> </w:t>
      </w:r>
      <w:r w:rsidRPr="00E27443">
        <w:t>train</w:t>
      </w:r>
      <w:r w:rsidR="00C63F8F" w:rsidRPr="00E27443">
        <w:t xml:space="preserve"> </w:t>
      </w:r>
      <w:r w:rsidRPr="00E27443">
        <w:t>personnel</w:t>
      </w:r>
      <w:r w:rsidR="00C63F8F" w:rsidRPr="00E27443">
        <w:t xml:space="preserve"> </w:t>
      </w:r>
      <w:r w:rsidRPr="00E27443">
        <w:t>within</w:t>
      </w:r>
      <w:r w:rsidR="00C63F8F" w:rsidRPr="00E27443">
        <w:t xml:space="preserve"> </w:t>
      </w:r>
      <w:r w:rsidRPr="00E27443">
        <w:t>psychiatry</w:t>
      </w:r>
      <w:r w:rsidR="00C63F8F" w:rsidRPr="00E27443">
        <w:t xml:space="preserve"> </w:t>
      </w:r>
      <w:r w:rsidRPr="00E27443">
        <w:t>and</w:t>
      </w:r>
      <w:r w:rsidR="00C63F8F" w:rsidRPr="00E27443">
        <w:t xml:space="preserve"> </w:t>
      </w:r>
      <w:r w:rsidRPr="00E27443">
        <w:t>primary</w:t>
      </w:r>
      <w:r w:rsidR="00C63F8F" w:rsidRPr="00E27443">
        <w:t xml:space="preserve"> </w:t>
      </w:r>
      <w:r w:rsidRPr="00E27443">
        <w:t>care</w:t>
      </w:r>
      <w:r w:rsidR="00C63F8F" w:rsidRPr="00E27443">
        <w:t xml:space="preserve"> </w:t>
      </w:r>
      <w:r w:rsidRPr="00E27443">
        <w:t>in</w:t>
      </w:r>
      <w:r w:rsidR="00C63F8F" w:rsidRPr="00E27443">
        <w:t xml:space="preserve"> </w:t>
      </w:r>
      <w:r w:rsidRPr="00E27443">
        <w:t>Beardslee</w:t>
      </w:r>
      <w:r w:rsidR="00C63F8F" w:rsidRPr="00E27443">
        <w:t>’</w:t>
      </w:r>
      <w:r w:rsidRPr="00E27443">
        <w:t>s</w:t>
      </w:r>
      <w:r w:rsidR="00C63F8F" w:rsidRPr="00E27443">
        <w:t xml:space="preserve"> </w:t>
      </w:r>
      <w:r w:rsidRPr="00E27443">
        <w:t>family</w:t>
      </w:r>
      <w:r w:rsidR="00C63F8F" w:rsidRPr="00E27443">
        <w:t xml:space="preserve"> </w:t>
      </w:r>
      <w:r w:rsidRPr="00E27443">
        <w:t>intervention</w:t>
      </w:r>
      <w:r w:rsidR="00C63F8F" w:rsidRPr="00E27443">
        <w:t xml:space="preserve"> </w:t>
      </w:r>
      <w:r w:rsidRPr="00E27443">
        <w:t>method</w:t>
      </w:r>
      <w:r w:rsidR="00C63F8F" w:rsidRPr="00E27443">
        <w:t xml:space="preserve"> </w:t>
      </w:r>
      <w:r w:rsidRPr="00E27443">
        <w:t>for</w:t>
      </w:r>
      <w:r w:rsidR="00C63F8F" w:rsidRPr="00E27443">
        <w:t xml:space="preserve"> </w:t>
      </w:r>
      <w:r w:rsidRPr="00E27443">
        <w:t>the</w:t>
      </w:r>
      <w:r w:rsidR="00C63F8F" w:rsidRPr="00E27443">
        <w:t xml:space="preserve"> </w:t>
      </w:r>
      <w:r w:rsidRPr="00E27443">
        <w:t>target</w:t>
      </w:r>
      <w:r w:rsidR="00C63F8F" w:rsidRPr="00E27443">
        <w:t xml:space="preserve"> </w:t>
      </w:r>
      <w:r w:rsidRPr="00E27443">
        <w:t>group</w:t>
      </w:r>
      <w:r w:rsidR="00C63F8F" w:rsidRPr="00E27443">
        <w:t xml:space="preserve"> </w:t>
      </w:r>
      <w:r w:rsidRPr="00E27443">
        <w:t>comprising</w:t>
      </w:r>
      <w:r w:rsidR="00C63F8F" w:rsidRPr="00E27443">
        <w:t xml:space="preserve"> </w:t>
      </w:r>
      <w:r w:rsidRPr="00E27443">
        <w:t>children</w:t>
      </w:r>
      <w:r w:rsidR="00C63F8F" w:rsidRPr="00E27443">
        <w:t xml:space="preserve"> </w:t>
      </w:r>
      <w:r w:rsidRPr="00E27443">
        <w:t>of</w:t>
      </w:r>
      <w:r w:rsidR="00C63F8F" w:rsidRPr="00E27443">
        <w:t xml:space="preserve"> </w:t>
      </w:r>
      <w:r w:rsidRPr="00E27443">
        <w:t>parents</w:t>
      </w:r>
      <w:r w:rsidR="00C63F8F" w:rsidRPr="00E27443">
        <w:t xml:space="preserve"> </w:t>
      </w:r>
      <w:r w:rsidRPr="00E27443">
        <w:t>with</w:t>
      </w:r>
      <w:r w:rsidR="00C63F8F" w:rsidRPr="00E27443">
        <w:t xml:space="preserve"> </w:t>
      </w:r>
      <w:r w:rsidRPr="00E27443">
        <w:t>a</w:t>
      </w:r>
      <w:r w:rsidR="00C63F8F" w:rsidRPr="00E27443">
        <w:t xml:space="preserve"> </w:t>
      </w:r>
      <w:r w:rsidRPr="00E27443">
        <w:t>mental</w:t>
      </w:r>
      <w:r w:rsidR="00C63F8F" w:rsidRPr="00E27443">
        <w:t xml:space="preserve"> </w:t>
      </w:r>
      <w:r w:rsidRPr="00E27443">
        <w:t>illness.</w:t>
      </w:r>
      <w:r w:rsidR="00C63F8F" w:rsidRPr="00E27443">
        <w:t xml:space="preserve"> </w:t>
      </w:r>
      <w:r w:rsidRPr="00E27443">
        <w:t>This</w:t>
      </w:r>
      <w:r w:rsidR="00C63F8F" w:rsidRPr="00E27443">
        <w:t xml:space="preserve"> </w:t>
      </w:r>
      <w:r w:rsidRPr="00E27443">
        <w:t>method</w:t>
      </w:r>
      <w:r w:rsidR="00C63F8F" w:rsidRPr="00E27443">
        <w:t xml:space="preserve"> </w:t>
      </w:r>
      <w:r w:rsidRPr="00E27443">
        <w:t>is</w:t>
      </w:r>
      <w:r w:rsidR="00C63F8F" w:rsidRPr="00E27443">
        <w:t xml:space="preserve"> </w:t>
      </w:r>
      <w:r w:rsidRPr="00E27443">
        <w:t>an</w:t>
      </w:r>
      <w:r w:rsidR="00C63F8F" w:rsidRPr="00E27443">
        <w:t xml:space="preserve"> </w:t>
      </w:r>
      <w:r w:rsidRPr="00E27443">
        <w:t>instrument</w:t>
      </w:r>
      <w:r w:rsidR="00C63F8F" w:rsidRPr="00E27443">
        <w:t xml:space="preserve"> </w:t>
      </w:r>
      <w:r w:rsidRPr="00E27443">
        <w:t>for</w:t>
      </w:r>
      <w:r w:rsidR="00C63F8F" w:rsidRPr="00E27443">
        <w:t xml:space="preserve"> </w:t>
      </w:r>
      <w:r w:rsidRPr="00E27443">
        <w:t>working</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new</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paying</w:t>
      </w:r>
      <w:r w:rsidR="00C63F8F" w:rsidRPr="00E27443">
        <w:t xml:space="preserve"> </w:t>
      </w:r>
      <w:r w:rsidRPr="00E27443">
        <w:t>special</w:t>
      </w:r>
      <w:r w:rsidR="00C63F8F" w:rsidRPr="00E27443">
        <w:t xml:space="preserve"> </w:t>
      </w:r>
      <w:r w:rsidRPr="00E27443">
        <w:t>attention</w:t>
      </w:r>
      <w:r w:rsidR="00C63F8F" w:rsidRPr="00E27443">
        <w:t xml:space="preserve"> </w:t>
      </w:r>
      <w:r w:rsidRPr="00E27443">
        <w:t>to</w:t>
      </w:r>
      <w:r w:rsidR="00C63F8F" w:rsidRPr="00E27443">
        <w:t xml:space="preserve"> </w:t>
      </w:r>
      <w:r w:rsidRPr="00E27443">
        <w:t>children</w:t>
      </w:r>
      <w:r w:rsidR="00C63F8F" w:rsidRPr="00E27443">
        <w:t>’</w:t>
      </w:r>
      <w:r w:rsidRPr="00E27443">
        <w:t>s</w:t>
      </w:r>
      <w:r w:rsidR="00C63F8F" w:rsidRPr="00E27443">
        <w:t xml:space="preserve"> </w:t>
      </w:r>
      <w:r w:rsidRPr="00E27443">
        <w:t>need</w:t>
      </w:r>
      <w:r w:rsidR="00C63F8F" w:rsidRPr="00E27443">
        <w:t xml:space="preserve"> </w:t>
      </w:r>
      <w:r w:rsidRPr="00E27443">
        <w:t>for</w:t>
      </w:r>
      <w:r w:rsidR="00C63F8F" w:rsidRPr="00E27443">
        <w:t xml:space="preserve"> </w:t>
      </w:r>
      <w:r w:rsidRPr="00E27443">
        <w:t>information,</w:t>
      </w:r>
      <w:r w:rsidR="00C63F8F" w:rsidRPr="00E27443">
        <w:t xml:space="preserve"> </w:t>
      </w:r>
      <w:r w:rsidRPr="00E27443">
        <w:t>advice</w:t>
      </w:r>
      <w:r w:rsidR="00C63F8F" w:rsidRPr="00E27443">
        <w:t xml:space="preserve"> </w:t>
      </w:r>
      <w:r w:rsidRPr="00E27443">
        <w:t>and</w:t>
      </w:r>
      <w:r w:rsidR="00C63F8F" w:rsidRPr="00E27443">
        <w:t xml:space="preserve"> </w:t>
      </w:r>
      <w:r w:rsidRPr="00E27443">
        <w:t>support.</w:t>
      </w:r>
      <w:r w:rsidR="00C63F8F" w:rsidRPr="00E27443">
        <w:t xml:space="preserve"> </w:t>
      </w:r>
    </w:p>
    <w:p w:rsidR="00321ADA" w:rsidRPr="00E27443" w:rsidRDefault="00321ADA" w:rsidP="00555974">
      <w:pPr>
        <w:pStyle w:val="SingleTxtG"/>
        <w:numPr>
          <w:ilvl w:val="0"/>
          <w:numId w:val="20"/>
        </w:numPr>
        <w:tabs>
          <w:tab w:val="left" w:pos="1843"/>
        </w:tabs>
        <w:ind w:left="1134" w:firstLine="0"/>
      </w:pP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 xml:space="preserve"> </w:t>
      </w:r>
      <w:r w:rsidRPr="00E27443">
        <w:t>has</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analyse</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co-ordinating</w:t>
      </w:r>
      <w:r w:rsidR="00C63F8F" w:rsidRPr="00E27443">
        <w:t xml:space="preserve"> </w:t>
      </w:r>
      <w:r w:rsidRPr="00E27443">
        <w:t>various</w:t>
      </w:r>
      <w:r w:rsidR="00C63F8F" w:rsidRPr="00E27443">
        <w:t xml:space="preserve"> </w:t>
      </w:r>
      <w:r w:rsidRPr="00E27443">
        <w:t>individual</w:t>
      </w:r>
      <w:r w:rsidR="00C63F8F" w:rsidRPr="00E27443">
        <w:t xml:space="preserve"> </w:t>
      </w:r>
      <w:r w:rsidRPr="00E27443">
        <w:t>plans</w:t>
      </w:r>
      <w:r w:rsidR="00C63F8F" w:rsidRPr="00E27443">
        <w:t xml:space="preserve"> </w:t>
      </w:r>
      <w:r w:rsidRPr="00E27443">
        <w:t>relating</w:t>
      </w:r>
      <w:r w:rsidR="00C63F8F" w:rsidRPr="00E27443">
        <w:t xml:space="preserve"> </w:t>
      </w:r>
      <w:r w:rsidRPr="00E27443">
        <w:t>to</w:t>
      </w:r>
      <w:r w:rsidR="00C63F8F" w:rsidRPr="00E27443">
        <w:t xml:space="preserve"> </w:t>
      </w:r>
      <w:r w:rsidRPr="00E27443">
        <w:t>children,</w:t>
      </w:r>
      <w:r w:rsidR="00C63F8F" w:rsidRPr="00E27443">
        <w:t xml:space="preserve"> </w:t>
      </w:r>
      <w:r w:rsidRPr="00E27443">
        <w:t>young</w:t>
      </w:r>
      <w:r w:rsidR="00C63F8F" w:rsidRPr="00E27443">
        <w:t xml:space="preserve"> </w:t>
      </w:r>
      <w:r w:rsidRPr="00E27443">
        <w:t>persons</w:t>
      </w:r>
      <w:r w:rsidR="00C63F8F" w:rsidRPr="00E27443">
        <w:t xml:space="preserve"> </w:t>
      </w:r>
      <w:r w:rsidRPr="00E27443">
        <w:t>and</w:t>
      </w:r>
      <w:r w:rsidR="00C63F8F" w:rsidRPr="00E27443">
        <w:t xml:space="preserve"> </w:t>
      </w:r>
      <w:r w:rsidRPr="00E27443">
        <w:t>adults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w:t>
      </w:r>
      <w:r w:rsidR="00C63F8F" w:rsidRPr="00E27443">
        <w:t xml:space="preserve"> </w:t>
      </w:r>
      <w:r w:rsidRPr="00E27443">
        <w:t>assignment</w:t>
      </w:r>
      <w:r w:rsidR="00C63F8F" w:rsidRPr="00E27443">
        <w:t xml:space="preserve"> </w:t>
      </w:r>
      <w:r w:rsidRPr="00E27443">
        <w:t>included</w:t>
      </w:r>
      <w:r w:rsidR="00C63F8F" w:rsidRPr="00E27443">
        <w:t xml:space="preserve"> </w:t>
      </w:r>
      <w:r w:rsidRPr="00E27443">
        <w:t>highlighting</w:t>
      </w:r>
      <w:r w:rsidR="00C63F8F" w:rsidRPr="00E27443">
        <w:t xml:space="preserve"> </w:t>
      </w:r>
      <w:r w:rsidRPr="00E27443">
        <w:t>the</w:t>
      </w:r>
      <w:r w:rsidR="00C63F8F" w:rsidRPr="00E27443">
        <w:t xml:space="preserve"> </w:t>
      </w:r>
      <w:r w:rsidRPr="00E27443">
        <w:t>need</w:t>
      </w:r>
      <w:r w:rsidR="00C63F8F" w:rsidRPr="00E27443">
        <w:t xml:space="preserve"> </w:t>
      </w:r>
      <w:r w:rsidRPr="00E27443">
        <w:t>for</w:t>
      </w:r>
      <w:r w:rsidR="00C63F8F" w:rsidRPr="00E27443">
        <w:t xml:space="preserve"> </w:t>
      </w:r>
      <w:r w:rsidRPr="00E27443">
        <w:t>changes</w:t>
      </w:r>
      <w:r w:rsidR="00C63F8F" w:rsidRPr="00E27443">
        <w:t xml:space="preserve"> </w:t>
      </w:r>
      <w:r w:rsidRPr="00E27443">
        <w:t>in</w:t>
      </w:r>
      <w:r w:rsidR="00C63F8F" w:rsidRPr="00E27443">
        <w:t xml:space="preserve"> </w:t>
      </w:r>
      <w:r w:rsidRPr="00E27443">
        <w:t>statutes</w:t>
      </w:r>
      <w:r w:rsidR="00C63F8F" w:rsidRPr="00E27443">
        <w:t xml:space="preserve"> </w:t>
      </w:r>
      <w:r w:rsidRPr="00E27443">
        <w:t>and</w:t>
      </w:r>
      <w:r w:rsidR="00C63F8F" w:rsidRPr="00E27443">
        <w:t xml:space="preserve"> </w:t>
      </w:r>
      <w:r w:rsidRPr="00E27443">
        <w:t>other</w:t>
      </w:r>
      <w:r w:rsidR="00C63F8F" w:rsidRPr="00E27443">
        <w:t xml:space="preserve"> </w:t>
      </w:r>
      <w:r w:rsidRPr="00E27443">
        <w:t>regulations.</w:t>
      </w:r>
      <w:r w:rsidR="00C63F8F" w:rsidRPr="00E27443">
        <w:t xml:space="preserve"> </w:t>
      </w:r>
      <w:r w:rsidRPr="00E27443">
        <w:t>Just</w:t>
      </w:r>
      <w:r w:rsidR="00C63F8F" w:rsidRPr="00E27443">
        <w:t xml:space="preserve"> </w:t>
      </w:r>
      <w:r w:rsidRPr="00E27443">
        <w:t>about</w:t>
      </w:r>
      <w:r w:rsidR="00C63F8F" w:rsidRPr="00E27443">
        <w:t xml:space="preserve"> </w:t>
      </w:r>
      <w:r w:rsidRPr="00E27443">
        <w:t>all</w:t>
      </w:r>
      <w:r w:rsidR="00C63F8F" w:rsidRPr="00E27443">
        <w:t xml:space="preserve"> </w:t>
      </w:r>
      <w:r w:rsidRPr="00E27443">
        <w:t>county</w:t>
      </w:r>
      <w:r w:rsidR="00C63F8F" w:rsidRPr="00E27443">
        <w:t xml:space="preserve"> </w:t>
      </w:r>
      <w:r w:rsidRPr="00E27443">
        <w:t>administrative</w:t>
      </w:r>
      <w:r w:rsidR="00C63F8F" w:rsidRPr="00E27443">
        <w:t xml:space="preserve"> </w:t>
      </w:r>
      <w:r w:rsidRPr="00E27443">
        <w:t>boards</w:t>
      </w:r>
      <w:r w:rsidR="00C63F8F" w:rsidRPr="00E27443">
        <w:t xml:space="preserve"> </w:t>
      </w:r>
      <w:r w:rsidRPr="00E27443">
        <w:t>have</w:t>
      </w:r>
      <w:r w:rsidR="00C63F8F" w:rsidRPr="00E27443">
        <w:t xml:space="preserve"> </w:t>
      </w:r>
      <w:r w:rsidRPr="00E27443">
        <w:t>implemented</w:t>
      </w:r>
      <w:r w:rsidR="00C63F8F" w:rsidRPr="00E27443">
        <w:t xml:space="preserve"> </w:t>
      </w:r>
      <w:r w:rsidRPr="00E27443">
        <w:t>specific</w:t>
      </w:r>
      <w:r w:rsidR="00C63F8F" w:rsidRPr="00E27443">
        <w:t xml:space="preserve"> </w:t>
      </w:r>
      <w:r w:rsidRPr="00E27443">
        <w:t>initiatives</w:t>
      </w:r>
      <w:r w:rsidR="00C63F8F" w:rsidRPr="00E27443">
        <w:t xml:space="preserve"> </w:t>
      </w:r>
      <w:r w:rsidRPr="00E27443">
        <w:t>to</w:t>
      </w:r>
      <w:r w:rsidR="00C63F8F" w:rsidRPr="00E27443">
        <w:t xml:space="preserve"> </w:t>
      </w:r>
      <w:r w:rsidRPr="00E27443">
        <w:t>increase</w:t>
      </w:r>
      <w:r w:rsidR="00C63F8F" w:rsidRPr="00E27443">
        <w:t xml:space="preserve"> </w:t>
      </w:r>
      <w:r w:rsidRPr="00E27443">
        <w:t>the</w:t>
      </w:r>
      <w:r w:rsidR="00C63F8F" w:rsidRPr="00E27443">
        <w:t xml:space="preserve"> </w:t>
      </w:r>
      <w:r w:rsidRPr="00E27443">
        <w:t>number</w:t>
      </w:r>
      <w:r w:rsidR="00C63F8F" w:rsidRPr="00E27443">
        <w:t xml:space="preserve"> </w:t>
      </w:r>
      <w:r w:rsidRPr="00E27443">
        <w:t>of</w:t>
      </w:r>
      <w:r w:rsidR="00C63F8F" w:rsidRPr="00E27443">
        <w:t xml:space="preserve"> </w:t>
      </w:r>
      <w:r w:rsidRPr="00E27443">
        <w:t>individual</w:t>
      </w:r>
      <w:r w:rsidR="00C63F8F" w:rsidRPr="00E27443">
        <w:t xml:space="preserve"> </w:t>
      </w:r>
      <w:r w:rsidRPr="00E27443">
        <w:t>plans</w:t>
      </w:r>
      <w:r w:rsidR="00C63F8F" w:rsidRPr="00E27443">
        <w:t xml:space="preserve"> </w:t>
      </w:r>
      <w:r w:rsidRPr="00E27443">
        <w:t>for</w:t>
      </w:r>
      <w:r w:rsidR="00C63F8F" w:rsidRPr="00E27443">
        <w:t xml:space="preserve"> </w:t>
      </w:r>
      <w:r w:rsidRPr="00E27443">
        <w:t>children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for</w:t>
      </w:r>
      <w:r w:rsidR="00C63F8F" w:rsidRPr="00E27443">
        <w:t xml:space="preserve"> </w:t>
      </w:r>
      <w:r w:rsidRPr="00E27443">
        <w:t>example</w:t>
      </w:r>
      <w:r w:rsidR="00C63F8F" w:rsidRPr="00E27443">
        <w:t xml:space="preserve"> </w:t>
      </w:r>
      <w:r w:rsidRPr="00E27443">
        <w:t>through</w:t>
      </w:r>
      <w:r w:rsidR="00C63F8F" w:rsidRPr="00E27443">
        <w:t xml:space="preserve"> </w:t>
      </w:r>
      <w:r w:rsidRPr="00E27443">
        <w:t>seminars,</w:t>
      </w:r>
      <w:r w:rsidR="00C63F8F" w:rsidRPr="00E27443">
        <w:t xml:space="preserve"> </w:t>
      </w:r>
      <w:r w:rsidRPr="00E27443">
        <w:t>supervision</w:t>
      </w:r>
      <w:r w:rsidR="00C63F8F" w:rsidRPr="00E27443">
        <w:t xml:space="preserve"> </w:t>
      </w:r>
      <w:r w:rsidRPr="00E27443">
        <w:t>and</w:t>
      </w:r>
      <w:r w:rsidR="00C63F8F" w:rsidRPr="00E27443">
        <w:t xml:space="preserve"> </w:t>
      </w:r>
      <w:r w:rsidRPr="00E27443">
        <w:t>following</w:t>
      </w:r>
      <w:r w:rsidR="00C63F8F" w:rsidRPr="00E27443">
        <w:t xml:space="preserve"> </w:t>
      </w:r>
      <w:r w:rsidRPr="00E27443">
        <w:t>up</w:t>
      </w:r>
      <w:r w:rsidR="00C63F8F" w:rsidRPr="00E27443">
        <w:t xml:space="preserve"> </w:t>
      </w:r>
      <w:r w:rsidRPr="00E27443">
        <w:t>questionnaires.</w:t>
      </w:r>
      <w:r w:rsidR="00C63F8F" w:rsidRPr="00E27443">
        <w:t xml:space="preserve"> </w:t>
      </w:r>
      <w:r w:rsidRPr="00E27443">
        <w:t>The</w:t>
      </w:r>
      <w:r w:rsidR="00C63F8F" w:rsidRPr="00E27443">
        <w:t xml:space="preserve"> </w:t>
      </w:r>
      <w:r w:rsidRPr="00E27443">
        <w:t>initiatives</w:t>
      </w:r>
      <w:r w:rsidR="00C63F8F" w:rsidRPr="00E27443">
        <w:t xml:space="preserve"> </w:t>
      </w:r>
      <w:r w:rsidRPr="00E27443">
        <w:t>that</w:t>
      </w:r>
      <w:r w:rsidR="00C63F8F" w:rsidRPr="00E27443">
        <w:t xml:space="preserve"> </w:t>
      </w:r>
      <w:r w:rsidRPr="00E27443">
        <w:t>are</w:t>
      </w:r>
      <w:r w:rsidR="00C63F8F" w:rsidRPr="00E27443">
        <w:t xml:space="preserve"> </w:t>
      </w:r>
      <w:r w:rsidRPr="00E27443">
        <w:t>carried</w:t>
      </w:r>
      <w:r w:rsidR="00C63F8F" w:rsidRPr="00E27443">
        <w:t xml:space="preserve"> </w:t>
      </w:r>
      <w:r w:rsidRPr="00E27443">
        <w:t>out</w:t>
      </w:r>
      <w:r w:rsidR="00C63F8F" w:rsidRPr="00E27443">
        <w:t xml:space="preserve"> </w:t>
      </w:r>
      <w:r w:rsidRPr="00E27443">
        <w:t>in</w:t>
      </w:r>
      <w:r w:rsidR="00C63F8F" w:rsidRPr="00E27443">
        <w:t xml:space="preserve"> </w:t>
      </w:r>
      <w:r w:rsidRPr="00E27443">
        <w:t>collaboration</w:t>
      </w:r>
      <w:r w:rsidR="00C63F8F" w:rsidRPr="00E27443">
        <w:t xml:space="preserve"> </w:t>
      </w:r>
      <w:r w:rsidRPr="00E27443">
        <w:t>with</w:t>
      </w:r>
      <w:r w:rsidR="00C63F8F" w:rsidRPr="00E27443">
        <w:t xml:space="preserve"> </w:t>
      </w:r>
      <w:r w:rsidRPr="00E27443">
        <w:t>county</w:t>
      </w:r>
      <w:r w:rsidR="00C63F8F" w:rsidRPr="00E27443">
        <w:t xml:space="preserve"> </w:t>
      </w:r>
      <w:r w:rsidRPr="00E27443">
        <w:t>councils</w:t>
      </w:r>
      <w:r w:rsidR="00C63F8F" w:rsidRPr="00E27443">
        <w:t xml:space="preserve"> </w:t>
      </w:r>
      <w:r w:rsidRPr="00E27443">
        <w:t>and</w:t>
      </w:r>
      <w:r w:rsidR="00C63F8F" w:rsidRPr="00E27443">
        <w:t xml:space="preserve"> </w:t>
      </w:r>
      <w:r w:rsidRPr="00E27443">
        <w:t>municipalities,</w:t>
      </w:r>
      <w:r w:rsidR="00C63F8F" w:rsidRPr="00E27443">
        <w:t xml:space="preserve"> </w:t>
      </w:r>
      <w:r w:rsidRPr="00E27443">
        <w:t>or</w:t>
      </w:r>
      <w:r w:rsidR="00C63F8F" w:rsidRPr="00E27443">
        <w:t xml:space="preserve"> </w:t>
      </w:r>
      <w:r w:rsidRPr="00E27443">
        <w:t>in</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users,</w:t>
      </w:r>
      <w:r w:rsidR="00C63F8F" w:rsidRPr="00E27443">
        <w:t xml:space="preserve"> </w:t>
      </w:r>
      <w:r w:rsidRPr="00E27443">
        <w:t>constitute</w:t>
      </w:r>
      <w:r w:rsidR="00C63F8F" w:rsidRPr="00E27443">
        <w:t xml:space="preserve"> </w:t>
      </w:r>
      <w:r w:rsidRPr="00E27443">
        <w:t>positive</w:t>
      </w:r>
      <w:r w:rsidR="00C63F8F" w:rsidRPr="00E27443">
        <w:t xml:space="preserve"> </w:t>
      </w:r>
      <w:r w:rsidRPr="00E27443">
        <w:t>elements.</w:t>
      </w:r>
      <w:r w:rsidR="00C63F8F" w:rsidRPr="00E27443">
        <w:t xml:space="preserve"> </w:t>
      </w:r>
    </w:p>
    <w:p w:rsidR="00321ADA" w:rsidRPr="00E27443" w:rsidRDefault="00321ADA" w:rsidP="00555974">
      <w:pPr>
        <w:pStyle w:val="SingleTxtG"/>
        <w:numPr>
          <w:ilvl w:val="0"/>
          <w:numId w:val="20"/>
        </w:numPr>
        <w:tabs>
          <w:tab w:val="left" w:pos="1843"/>
        </w:tabs>
        <w:ind w:left="1134" w:firstLine="0"/>
      </w:pPr>
      <w:r w:rsidRPr="00E27443">
        <w:t>The</w:t>
      </w:r>
      <w:r w:rsidR="00C63F8F" w:rsidRPr="00E27443">
        <w:t xml:space="preserve"> </w:t>
      </w:r>
      <w:r w:rsidRPr="00E27443">
        <w:t>best</w:t>
      </w:r>
      <w:r w:rsidR="00C63F8F" w:rsidRPr="00E27443">
        <w:t xml:space="preserve"> </w:t>
      </w:r>
      <w:r w:rsidRPr="00E27443">
        <w:t>interests</w:t>
      </w:r>
      <w:r w:rsidR="00C63F8F" w:rsidRPr="00E27443">
        <w:t xml:space="preserve"> </w:t>
      </w:r>
      <w:r w:rsidRPr="00E27443">
        <w:t>of</w:t>
      </w:r>
      <w:r w:rsidR="00C63F8F" w:rsidRPr="00E27443">
        <w:t xml:space="preserve"> </w:t>
      </w:r>
      <w:r w:rsidRPr="00E27443">
        <w:t>the</w:t>
      </w:r>
      <w:r w:rsidR="00C63F8F" w:rsidRPr="00E27443">
        <w:t xml:space="preserve"> </w:t>
      </w:r>
      <w:r w:rsidRPr="00E27443">
        <w:t>child</w:t>
      </w:r>
      <w:r w:rsidR="00C63F8F" w:rsidRPr="00E27443">
        <w:t xml:space="preserve"> </w:t>
      </w:r>
      <w:r w:rsidRPr="00E27443">
        <w:t>represent</w:t>
      </w:r>
      <w:r w:rsidR="00C63F8F" w:rsidRPr="00E27443">
        <w:t xml:space="preserve"> </w:t>
      </w:r>
      <w:r w:rsidRPr="00E27443">
        <w:t>the</w:t>
      </w:r>
      <w:r w:rsidR="00C63F8F" w:rsidRPr="00E27443">
        <w:t xml:space="preserve"> </w:t>
      </w:r>
      <w:r w:rsidRPr="00E27443">
        <w:t>starting</w:t>
      </w:r>
      <w:r w:rsidR="00C63F8F" w:rsidRPr="00E27443">
        <w:t xml:space="preserve"> </w:t>
      </w:r>
      <w:r w:rsidRPr="00E27443">
        <w:t>point</w:t>
      </w:r>
      <w:r w:rsidR="00C63F8F" w:rsidRPr="00E27443">
        <w:t xml:space="preserve"> </w:t>
      </w:r>
      <w:r w:rsidRPr="00E27443">
        <w:t>for</w:t>
      </w:r>
      <w:r w:rsidR="00C63F8F" w:rsidRPr="00E27443">
        <w:t xml:space="preserve"> </w:t>
      </w:r>
      <w:r w:rsidRPr="00E27443">
        <w:t>the</w:t>
      </w:r>
      <w:r w:rsidR="00C63F8F" w:rsidRPr="00E27443">
        <w:t xml:space="preserve"> </w:t>
      </w:r>
      <w:r w:rsidRPr="00E27443">
        <w:t>formulation</w:t>
      </w:r>
      <w:r w:rsidR="00C63F8F" w:rsidRPr="00E27443">
        <w:t xml:space="preserve"> </w:t>
      </w:r>
      <w:r w:rsidRPr="00E27443">
        <w:t>of</w:t>
      </w:r>
      <w:r w:rsidR="00C63F8F" w:rsidRPr="00E27443">
        <w:t xml:space="preserve"> </w:t>
      </w:r>
      <w:r w:rsidRPr="00E27443">
        <w:t>the</w:t>
      </w:r>
      <w:r w:rsidR="00C63F8F" w:rsidRPr="00E27443">
        <w:t xml:space="preserve"> </w:t>
      </w:r>
      <w:r w:rsidRPr="00E27443">
        <w:t>family</w:t>
      </w:r>
      <w:r w:rsidR="00C63F8F" w:rsidRPr="00E27443">
        <w:t xml:space="preserve"> </w:t>
      </w:r>
      <w:r w:rsidRPr="00E27443">
        <w:t>policy.</w:t>
      </w:r>
      <w:r w:rsidR="00C63F8F" w:rsidRPr="00E27443">
        <w:t xml:space="preserve"> </w:t>
      </w:r>
      <w:r w:rsidRPr="00E27443">
        <w:t>One</w:t>
      </w:r>
      <w:r w:rsidR="00C63F8F" w:rsidRPr="00E27443">
        <w:t xml:space="preserve"> </w:t>
      </w:r>
      <w:r w:rsidRPr="00E27443">
        <w:t>basic</w:t>
      </w:r>
      <w:r w:rsidR="00C63F8F" w:rsidRPr="00E27443">
        <w:t xml:space="preserve"> </w:t>
      </w:r>
      <w:r w:rsidRPr="00E27443">
        <w:t>aim</w:t>
      </w:r>
      <w:r w:rsidR="00C63F8F" w:rsidRPr="00E27443">
        <w:t xml:space="preserve"> </w:t>
      </w:r>
      <w:r w:rsidRPr="00E27443">
        <w:t>is</w:t>
      </w:r>
      <w:r w:rsidR="00C63F8F" w:rsidRPr="00E27443">
        <w:t xml:space="preserve"> </w:t>
      </w:r>
      <w:r w:rsidRPr="00E27443">
        <w:t>to</w:t>
      </w:r>
      <w:r w:rsidR="00C63F8F" w:rsidRPr="00E27443">
        <w:t xml:space="preserve"> </w:t>
      </w:r>
      <w:r w:rsidRPr="00E27443">
        <w:t>create</w:t>
      </w:r>
      <w:r w:rsidR="00C63F8F" w:rsidRPr="00E27443">
        <w:t xml:space="preserve"> </w:t>
      </w:r>
      <w:r w:rsidRPr="00E27443">
        <w:t>the</w:t>
      </w:r>
      <w:r w:rsidR="00C63F8F" w:rsidRPr="00E27443">
        <w:t xml:space="preserve"> </w:t>
      </w:r>
      <w:r w:rsidRPr="00E27443">
        <w:t>circumstances</w:t>
      </w:r>
      <w:r w:rsidR="00C63F8F" w:rsidRPr="00E27443">
        <w:t xml:space="preserve"> </w:t>
      </w:r>
      <w:r w:rsidRPr="00E27443">
        <w:t>so</w:t>
      </w:r>
      <w:r w:rsidR="00C63F8F" w:rsidRPr="00E27443">
        <w:t xml:space="preserve"> </w:t>
      </w:r>
      <w:r w:rsidRPr="00E27443">
        <w:t>that</w:t>
      </w:r>
      <w:r w:rsidR="00C63F8F" w:rsidRPr="00E27443">
        <w:t xml:space="preserve"> </w:t>
      </w:r>
      <w:r w:rsidRPr="00E27443">
        <w:t>all</w:t>
      </w:r>
      <w:r w:rsidR="00C63F8F" w:rsidRPr="00E27443">
        <w:t xml:space="preserve"> </w:t>
      </w:r>
      <w:r w:rsidRPr="00E27443">
        <w:t>children</w:t>
      </w:r>
      <w:r w:rsidR="00C63F8F" w:rsidRPr="00E27443">
        <w:t xml:space="preserve"> </w:t>
      </w:r>
      <w:r w:rsidRPr="00E27443">
        <w:t>can</w:t>
      </w:r>
      <w:r w:rsidR="00C63F8F" w:rsidRPr="00E27443">
        <w:t xml:space="preserve"> </w:t>
      </w:r>
      <w:r w:rsidRPr="00E27443">
        <w:t>grow</w:t>
      </w:r>
      <w:r w:rsidR="00C63F8F" w:rsidRPr="00E27443">
        <w:t xml:space="preserve"> </w:t>
      </w:r>
      <w:r w:rsidRPr="00E27443">
        <w:t>up</w:t>
      </w:r>
      <w:r w:rsidR="00C63F8F" w:rsidRPr="00E27443">
        <w:t xml:space="preserve"> </w:t>
      </w:r>
      <w:r w:rsidRPr="00E27443">
        <w:t>under</w:t>
      </w:r>
      <w:r w:rsidR="00C63F8F" w:rsidRPr="00E27443">
        <w:t xml:space="preserve"> </w:t>
      </w:r>
      <w:r w:rsidRPr="00E27443">
        <w:t>equal</w:t>
      </w:r>
      <w:r w:rsidR="00C63F8F" w:rsidRPr="00E27443">
        <w:t xml:space="preserve"> </w:t>
      </w:r>
      <w:r w:rsidRPr="00E27443">
        <w:t>conditions.</w:t>
      </w:r>
      <w:r w:rsidR="00C63F8F" w:rsidRPr="00E27443">
        <w:t xml:space="preserve"> </w:t>
      </w:r>
      <w:r w:rsidRPr="00E27443">
        <w:t>This</w:t>
      </w:r>
      <w:r w:rsidR="00C63F8F" w:rsidRPr="00E27443">
        <w:t xml:space="preserve"> </w:t>
      </w:r>
      <w:r w:rsidRPr="00E27443">
        <w:t>can</w:t>
      </w:r>
      <w:r w:rsidR="00C63F8F" w:rsidRPr="00E27443">
        <w:t xml:space="preserve"> </w:t>
      </w:r>
      <w:r w:rsidRPr="00E27443">
        <w:t>be</w:t>
      </w:r>
      <w:r w:rsidR="00C63F8F" w:rsidRPr="00E27443">
        <w:t xml:space="preserve"> </w:t>
      </w:r>
      <w:r w:rsidRPr="00E27443">
        <w:t>achieved</w:t>
      </w:r>
      <w:r w:rsidR="00C63F8F" w:rsidRPr="00E27443">
        <w:t xml:space="preserve"> </w:t>
      </w:r>
      <w:r w:rsidRPr="00E27443">
        <w:t>in</w:t>
      </w:r>
      <w:r w:rsidR="00C63F8F" w:rsidRPr="00E27443">
        <w:t xml:space="preserve"> </w:t>
      </w:r>
      <w:r w:rsidRPr="00E27443">
        <w:t>part</w:t>
      </w:r>
      <w:r w:rsidR="00C63F8F" w:rsidRPr="00E27443">
        <w:t xml:space="preserve"> </w:t>
      </w:r>
      <w:r w:rsidRPr="00E27443">
        <w:t>by</w:t>
      </w:r>
      <w:r w:rsidR="00C63F8F" w:rsidRPr="00E27443">
        <w:t xml:space="preserve"> </w:t>
      </w:r>
      <w:r w:rsidRPr="00E27443">
        <w:t>supporting</w:t>
      </w:r>
      <w:r w:rsidR="00C63F8F" w:rsidRPr="00E27443">
        <w:t xml:space="preserve"> </w:t>
      </w:r>
      <w:r w:rsidRPr="00E27443">
        <w:t>the</w:t>
      </w:r>
      <w:r w:rsidR="00C63F8F" w:rsidRPr="00E27443">
        <w:t xml:space="preserve"> </w:t>
      </w:r>
      <w:r w:rsidRPr="00E27443">
        <w:t>parents</w:t>
      </w:r>
      <w:r w:rsidR="00C63F8F" w:rsidRPr="00E27443">
        <w:t xml:space="preserve"> </w:t>
      </w:r>
      <w:r w:rsidRPr="00E27443">
        <w:t>to</w:t>
      </w:r>
      <w:r w:rsidR="00C63F8F" w:rsidRPr="00E27443">
        <w:t xml:space="preserve"> </w:t>
      </w:r>
      <w:r w:rsidRPr="00E27443">
        <w:t>cope</w:t>
      </w:r>
      <w:r w:rsidR="00C63F8F" w:rsidRPr="00E27443">
        <w:t xml:space="preserve"> </w:t>
      </w:r>
      <w:r w:rsidRPr="00E27443">
        <w:t>with</w:t>
      </w:r>
      <w:r w:rsidR="00C63F8F" w:rsidRPr="00E27443">
        <w:t xml:space="preserve"> </w:t>
      </w:r>
      <w:r w:rsidRPr="00E27443">
        <w:t>the</w:t>
      </w:r>
      <w:r w:rsidR="00C63F8F" w:rsidRPr="00E27443">
        <w:t xml:space="preserve"> </w:t>
      </w:r>
      <w:r w:rsidRPr="00E27443">
        <w:t>financial</w:t>
      </w:r>
      <w:r w:rsidR="00C63F8F" w:rsidRPr="00E27443">
        <w:t xml:space="preserve"> </w:t>
      </w:r>
      <w:r w:rsidRPr="00E27443">
        <w:t>commitments</w:t>
      </w:r>
      <w:r w:rsidR="00C63F8F" w:rsidRPr="00E27443">
        <w:t xml:space="preserve"> </w:t>
      </w:r>
      <w:r w:rsidRPr="00E27443">
        <w:t>that</w:t>
      </w:r>
      <w:r w:rsidR="00C63F8F" w:rsidRPr="00E27443">
        <w:t xml:space="preserve"> </w:t>
      </w:r>
      <w:r w:rsidRPr="00E27443">
        <w:t>are</w:t>
      </w:r>
      <w:r w:rsidR="00C63F8F" w:rsidRPr="00E27443">
        <w:t xml:space="preserve"> </w:t>
      </w:r>
      <w:r w:rsidRPr="00E27443">
        <w:t>important</w:t>
      </w:r>
      <w:r w:rsidR="00C63F8F" w:rsidRPr="00E27443">
        <w:t xml:space="preserve"> </w:t>
      </w:r>
      <w:r w:rsidRPr="00E27443">
        <w:t>for</w:t>
      </w:r>
      <w:r w:rsidR="00C63F8F" w:rsidRPr="00E27443">
        <w:t xml:space="preserve"> </w:t>
      </w:r>
      <w:r w:rsidRPr="00E27443">
        <w:t>the</w:t>
      </w:r>
      <w:r w:rsidR="00C63F8F" w:rsidRPr="00E27443">
        <w:t xml:space="preserve"> </w:t>
      </w:r>
      <w:r w:rsidRPr="00E27443">
        <w:t>wellbeing</w:t>
      </w:r>
      <w:r w:rsidR="00C63F8F" w:rsidRPr="00E27443">
        <w:t xml:space="preserve"> </w:t>
      </w:r>
      <w:r w:rsidRPr="00E27443">
        <w:t>of</w:t>
      </w:r>
      <w:r w:rsidR="00C63F8F" w:rsidRPr="00E27443">
        <w:t xml:space="preserve"> </w:t>
      </w:r>
      <w:r w:rsidRPr="00E27443">
        <w:t>children</w:t>
      </w:r>
      <w:r w:rsidR="00C63F8F" w:rsidRPr="00E27443">
        <w:t xml:space="preserve"> </w:t>
      </w:r>
      <w:r w:rsidRPr="00E27443">
        <w:t>as</w:t>
      </w:r>
      <w:r w:rsidR="00C63F8F" w:rsidRPr="00E27443">
        <w:t xml:space="preserve"> </w:t>
      </w:r>
      <w:r w:rsidRPr="00E27443">
        <w:t>they</w:t>
      </w:r>
      <w:r w:rsidR="00C63F8F" w:rsidRPr="00E27443">
        <w:t xml:space="preserve"> </w:t>
      </w:r>
      <w:r w:rsidRPr="00E27443">
        <w:t>grow</w:t>
      </w:r>
      <w:r w:rsidR="00C63F8F" w:rsidRPr="00E27443">
        <w:t xml:space="preserve"> </w:t>
      </w:r>
      <w:r w:rsidRPr="00E27443">
        <w:t>up,</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by</w:t>
      </w:r>
      <w:r w:rsidR="00C63F8F" w:rsidRPr="00E27443">
        <w:t xml:space="preserve"> </w:t>
      </w:r>
      <w:r w:rsidRPr="00E27443">
        <w:t>offering</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combine</w:t>
      </w:r>
      <w:r w:rsidR="00C63F8F" w:rsidRPr="00E27443">
        <w:t xml:space="preserve"> </w:t>
      </w:r>
      <w:r w:rsidRPr="00E27443">
        <w:t>parent</w:t>
      </w:r>
      <w:r w:rsidRPr="00E27443">
        <w:softHyphen/>
        <w:t>hood</w:t>
      </w:r>
      <w:r w:rsidR="00C63F8F" w:rsidRPr="00E27443">
        <w:t xml:space="preserve"> </w:t>
      </w:r>
      <w:r w:rsidRPr="00E27443">
        <w:t>with</w:t>
      </w:r>
      <w:r w:rsidR="00C63F8F" w:rsidRPr="00E27443">
        <w:t xml:space="preserve"> </w:t>
      </w:r>
      <w:r w:rsidRPr="00E27443">
        <w:t>gainful</w:t>
      </w:r>
      <w:r w:rsidR="00C63F8F" w:rsidRPr="00E27443">
        <w:t xml:space="preserve"> </w:t>
      </w:r>
      <w:r w:rsidRPr="00E27443">
        <w:t>employment</w:t>
      </w:r>
      <w:r w:rsidR="00C63F8F" w:rsidRPr="00E27443">
        <w:t xml:space="preserve"> </w:t>
      </w:r>
      <w:r w:rsidRPr="00E27443">
        <w:t>or</w:t>
      </w:r>
      <w:r w:rsidR="00C63F8F" w:rsidRPr="00E27443">
        <w:t xml:space="preserve"> </w:t>
      </w:r>
      <w:r w:rsidRPr="00E27443">
        <w:t>studies.</w:t>
      </w:r>
      <w:r w:rsidR="00C63F8F" w:rsidRPr="00E27443">
        <w:t xml:space="preserve"> </w:t>
      </w:r>
      <w:r w:rsidRPr="00E27443">
        <w:t>The</w:t>
      </w:r>
      <w:r w:rsidR="00C63F8F" w:rsidRPr="00E27443">
        <w:t xml:space="preserve"> </w:t>
      </w:r>
      <w:r w:rsidRPr="00E27443">
        <w:t>financial</w:t>
      </w:r>
      <w:r w:rsidR="00C63F8F" w:rsidRPr="00E27443">
        <w:t xml:space="preserve"> </w:t>
      </w:r>
      <w:r w:rsidRPr="00E27443">
        <w:t>family</w:t>
      </w:r>
      <w:r w:rsidR="00C63F8F" w:rsidRPr="00E27443">
        <w:t xml:space="preserve"> </w:t>
      </w:r>
      <w:r w:rsidRPr="00E27443">
        <w:t>policy</w:t>
      </w:r>
      <w:r w:rsidR="00C63F8F" w:rsidRPr="00E27443">
        <w:t xml:space="preserve"> </w:t>
      </w:r>
      <w:r w:rsidRPr="00E27443">
        <w:t>support</w:t>
      </w:r>
      <w:r w:rsidR="00C63F8F" w:rsidRPr="00E27443">
        <w:t xml:space="preserve"> </w:t>
      </w:r>
      <w:r w:rsidRPr="00E27443">
        <w:t>is</w:t>
      </w:r>
      <w:r w:rsidR="00C63F8F" w:rsidRPr="00E27443">
        <w:t xml:space="preserve"> </w:t>
      </w:r>
      <w:r w:rsidRPr="00E27443">
        <w:t>designed</w:t>
      </w:r>
      <w:r w:rsidR="00C63F8F" w:rsidRPr="00E27443">
        <w:t xml:space="preserve"> </w:t>
      </w:r>
      <w:r w:rsidRPr="00E27443">
        <w:t>in</w:t>
      </w:r>
      <w:r w:rsidR="00C63F8F" w:rsidRPr="00E27443">
        <w:t xml:space="preserve"> </w:t>
      </w:r>
      <w:r w:rsidRPr="00E27443">
        <w:t>such</w:t>
      </w:r>
      <w:r w:rsidR="00C63F8F" w:rsidRPr="00E27443">
        <w:t xml:space="preserve"> </w:t>
      </w:r>
      <w:r w:rsidRPr="00E27443">
        <w:t>a</w:t>
      </w:r>
      <w:r w:rsidR="00C63F8F" w:rsidRPr="00E27443">
        <w:t xml:space="preserve"> </w:t>
      </w:r>
      <w:r w:rsidRPr="00E27443">
        <w:t>way</w:t>
      </w:r>
      <w:r w:rsidR="00C63F8F" w:rsidRPr="00E27443">
        <w:t xml:space="preserve"> </w:t>
      </w:r>
      <w:r w:rsidRPr="00E27443">
        <w:t>that</w:t>
      </w:r>
      <w:r w:rsidR="00C63F8F" w:rsidRPr="00E27443">
        <w:t xml:space="preserve"> </w:t>
      </w:r>
      <w:r w:rsidRPr="00E27443">
        <w:t>it</w:t>
      </w:r>
      <w:r w:rsidR="00C63F8F" w:rsidRPr="00E27443">
        <w:t xml:space="preserve"> </w:t>
      </w:r>
      <w:r w:rsidRPr="00E27443">
        <w:t>provides</w:t>
      </w:r>
      <w:r w:rsidR="00C63F8F" w:rsidRPr="00E27443">
        <w:t xml:space="preserve"> </w:t>
      </w:r>
      <w:r w:rsidRPr="00E27443">
        <w:t>economic</w:t>
      </w:r>
      <w:r w:rsidR="00C63F8F" w:rsidRPr="00E27443">
        <w:t xml:space="preserve"> </w:t>
      </w:r>
      <w:r w:rsidRPr="00E27443">
        <w:t>security</w:t>
      </w:r>
      <w:r w:rsidR="00C63F8F" w:rsidRPr="00E27443">
        <w:t xml:space="preserve"> </w:t>
      </w:r>
      <w:r w:rsidRPr="00E27443">
        <w:t>in</w:t>
      </w:r>
      <w:r w:rsidR="00C63F8F" w:rsidRPr="00E27443">
        <w:t xml:space="preserve"> </w:t>
      </w:r>
      <w:r w:rsidRPr="00E27443">
        <w:t>the</w:t>
      </w:r>
      <w:r w:rsidR="00C63F8F" w:rsidRPr="00E27443">
        <w:t xml:space="preserve"> </w:t>
      </w:r>
      <w:r w:rsidRPr="00E27443">
        <w:t>event</w:t>
      </w:r>
      <w:r w:rsidR="00C63F8F" w:rsidRPr="00E27443">
        <w:t xml:space="preserve"> </w:t>
      </w:r>
      <w:r w:rsidRPr="00E27443">
        <w:t>of</w:t>
      </w:r>
      <w:r w:rsidR="00C63F8F" w:rsidRPr="00E27443">
        <w:t xml:space="preserve"> </w:t>
      </w:r>
      <w:r w:rsidRPr="00E27443">
        <w:t>a</w:t>
      </w:r>
      <w:r w:rsidR="00C63F8F" w:rsidRPr="00E27443">
        <w:t xml:space="preserve"> </w:t>
      </w:r>
      <w:r w:rsidRPr="00E27443">
        <w:t>significant</w:t>
      </w:r>
      <w:r w:rsidR="00C63F8F" w:rsidRPr="00E27443">
        <w:t xml:space="preserve"> </w:t>
      </w:r>
      <w:r w:rsidRPr="00E27443">
        <w:t>dependency</w:t>
      </w:r>
      <w:r w:rsidR="00C63F8F" w:rsidRPr="00E27443">
        <w:t xml:space="preserve"> </w:t>
      </w:r>
      <w:r w:rsidRPr="00E27443">
        <w:t>burden.</w:t>
      </w:r>
      <w:r w:rsidR="00C63F8F" w:rsidRPr="00E27443">
        <w:t xml:space="preserve"> </w:t>
      </w:r>
    </w:p>
    <w:p w:rsidR="00321ADA" w:rsidRPr="00E27443" w:rsidRDefault="00321ADA" w:rsidP="00555974">
      <w:pPr>
        <w:pStyle w:val="SingleTxtG"/>
        <w:numPr>
          <w:ilvl w:val="0"/>
          <w:numId w:val="20"/>
        </w:numPr>
        <w:tabs>
          <w:tab w:val="left" w:pos="1843"/>
        </w:tabs>
        <w:ind w:left="1134" w:firstLine="0"/>
      </w:pPr>
      <w:r w:rsidRPr="00E27443">
        <w:t>According</w:t>
      </w:r>
      <w:r w:rsidR="00C63F8F" w:rsidRPr="00E27443">
        <w:t xml:space="preserve"> </w:t>
      </w:r>
      <w:r w:rsidRPr="00E27443">
        <w:t>to</w:t>
      </w:r>
      <w:r w:rsidR="00C63F8F" w:rsidRPr="00E27443">
        <w:t xml:space="preserve"> </w:t>
      </w:r>
      <w:r w:rsidRPr="00E27443">
        <w:t>an</w:t>
      </w:r>
      <w:r w:rsidR="00C63F8F" w:rsidRPr="00E27443">
        <w:t xml:space="preserve"> </w:t>
      </w:r>
      <w:r w:rsidRPr="00E27443">
        <w:t>analysis</w:t>
      </w:r>
      <w:r w:rsidR="00C63F8F" w:rsidRPr="00E27443">
        <w:t xml:space="preserve"> </w:t>
      </w:r>
      <w:r w:rsidRPr="00E27443">
        <w:t>by</w:t>
      </w:r>
      <w:r w:rsidR="00C63F8F" w:rsidRPr="00E27443">
        <w:t xml:space="preserve"> </w:t>
      </w:r>
      <w:r w:rsidRPr="00E27443">
        <w:t>the</w:t>
      </w:r>
      <w:r w:rsidR="00C63F8F" w:rsidRPr="00E27443">
        <w:t xml:space="preserve"> </w:t>
      </w:r>
      <w:r w:rsidRPr="00E27443">
        <w:t>Ombudsman</w:t>
      </w:r>
      <w:r w:rsidR="00C63F8F" w:rsidRPr="00E27443">
        <w:t xml:space="preserve"> </w:t>
      </w:r>
      <w:r w:rsidRPr="00E27443">
        <w:t>for</w:t>
      </w:r>
      <w:r w:rsidR="00C63F8F" w:rsidRPr="00E27443">
        <w:t xml:space="preserve"> </w:t>
      </w:r>
      <w:r w:rsidRPr="00E27443">
        <w:t>Children,</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still</w:t>
      </w:r>
      <w:r w:rsidR="00C63F8F" w:rsidRPr="00E27443">
        <w:t xml:space="preserve"> </w:t>
      </w:r>
      <w:r w:rsidRPr="00E27443">
        <w:t>an</w:t>
      </w:r>
      <w:r w:rsidR="00C63F8F" w:rsidRPr="00E27443">
        <w:t xml:space="preserve"> </w:t>
      </w:r>
      <w:r w:rsidRPr="00E27443">
        <w:t>invisible</w:t>
      </w:r>
      <w:r w:rsidR="00C63F8F" w:rsidRPr="00E27443">
        <w:t xml:space="preserve"> </w:t>
      </w:r>
      <w:r w:rsidRPr="00E27443">
        <w:t>group</w:t>
      </w:r>
      <w:r w:rsidR="00C63F8F" w:rsidRPr="00E27443">
        <w:t xml:space="preserve"> </w:t>
      </w:r>
      <w:r w:rsidRPr="00E27443">
        <w:t>in</w:t>
      </w:r>
      <w:r w:rsidR="00C63F8F" w:rsidRPr="00E27443">
        <w:t xml:space="preserve"> </w:t>
      </w:r>
      <w:r w:rsidRPr="00E27443">
        <w:t>society.</w:t>
      </w:r>
      <w:r w:rsidR="00C63F8F" w:rsidRPr="00E27443">
        <w:t xml:space="preserve"> </w:t>
      </w:r>
      <w:r w:rsidRPr="00E27443">
        <w:t>The</w:t>
      </w:r>
      <w:r w:rsidR="00C63F8F" w:rsidRPr="00E27443">
        <w:t xml:space="preserve"> </w:t>
      </w:r>
      <w:r w:rsidRPr="00E27443">
        <w:t>focus</w:t>
      </w:r>
      <w:r w:rsidR="00C63F8F" w:rsidRPr="00E27443">
        <w:t xml:space="preserve"> </w:t>
      </w:r>
      <w:r w:rsidRPr="00E27443">
        <w:t>is</w:t>
      </w:r>
      <w:r w:rsidR="00C63F8F" w:rsidRPr="00E27443">
        <w:t xml:space="preserve"> </w:t>
      </w:r>
      <w:r w:rsidRPr="00E27443">
        <w:t>often</w:t>
      </w:r>
      <w:r w:rsidR="00C63F8F" w:rsidRPr="00E27443">
        <w:t xml:space="preserve"> </w:t>
      </w:r>
      <w:r w:rsidRPr="00E27443">
        <w:t>placed</w:t>
      </w:r>
      <w:r w:rsidR="00C63F8F" w:rsidRPr="00E27443">
        <w:t xml:space="preserve"> </w:t>
      </w:r>
      <w:r w:rsidRPr="00E27443">
        <w:t>on</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The</w:t>
      </w:r>
      <w:r w:rsidR="00C63F8F" w:rsidRPr="00E27443">
        <w:t xml:space="preserve"> </w:t>
      </w:r>
      <w:r w:rsidRPr="00E27443">
        <w:t>individuals</w:t>
      </w:r>
      <w:r w:rsidR="00C63F8F" w:rsidRPr="00E27443">
        <w:t xml:space="preserve"> </w:t>
      </w:r>
      <w:r w:rsidRPr="00E27443">
        <w:t>or</w:t>
      </w:r>
      <w:r w:rsidR="00C63F8F" w:rsidRPr="00E27443">
        <w:t xml:space="preserve"> </w:t>
      </w:r>
      <w:r w:rsidRPr="00E27443">
        <w:t>their</w:t>
      </w:r>
      <w:r w:rsidR="00C63F8F" w:rsidRPr="00E27443">
        <w:t xml:space="preserve"> </w:t>
      </w:r>
      <w:r w:rsidRPr="00E27443">
        <w:t>parents</w:t>
      </w:r>
      <w:r w:rsidR="00C63F8F" w:rsidRPr="00E27443">
        <w:t xml:space="preserve"> </w:t>
      </w:r>
      <w:r w:rsidRPr="00E27443">
        <w:t>are</w:t>
      </w:r>
      <w:r w:rsidR="00C63F8F" w:rsidRPr="00E27443">
        <w:t xml:space="preserve"> </w:t>
      </w:r>
      <w:r w:rsidRPr="00E27443">
        <w:t>not</w:t>
      </w:r>
      <w:r w:rsidR="00C63F8F" w:rsidRPr="00E27443">
        <w:t xml:space="preserve"> </w:t>
      </w:r>
      <w:r w:rsidRPr="00E27443">
        <w:t>often</w:t>
      </w:r>
      <w:r w:rsidR="00C63F8F" w:rsidRPr="00E27443">
        <w:t xml:space="preserve"> </w:t>
      </w:r>
      <w:r w:rsidRPr="00E27443">
        <w:t>heard</w:t>
      </w:r>
      <w:r w:rsidR="00C63F8F" w:rsidRPr="00E27443">
        <w:t xml:space="preserve"> </w:t>
      </w:r>
      <w:r w:rsidRPr="00E27443">
        <w:t>in</w:t>
      </w:r>
      <w:r w:rsidR="00C63F8F" w:rsidRPr="00E27443">
        <w:t xml:space="preserve"> </w:t>
      </w:r>
      <w:r w:rsidRPr="00E27443">
        <w:t>the</w:t>
      </w:r>
      <w:r w:rsidR="00C63F8F" w:rsidRPr="00E27443">
        <w:t xml:space="preserve"> </w:t>
      </w:r>
      <w:r w:rsidRPr="00E27443">
        <w:t>debate</w:t>
      </w:r>
      <w:r w:rsidR="00C63F8F" w:rsidRPr="00E27443">
        <w:t xml:space="preserve"> </w:t>
      </w:r>
      <w:r w:rsidRPr="00E27443">
        <w:t>either.</w:t>
      </w:r>
      <w:r w:rsidR="00C63F8F" w:rsidRPr="00E27443">
        <w:t xml:space="preserve"> </w:t>
      </w:r>
      <w:r w:rsidRPr="00E27443">
        <w:t>The</w:t>
      </w:r>
      <w:r w:rsidR="00C63F8F" w:rsidRPr="00E27443">
        <w:t xml:space="preserve"> </w:t>
      </w:r>
      <w:r w:rsidRPr="00E27443">
        <w:t>Ombudsman</w:t>
      </w:r>
      <w:r w:rsidR="00C63F8F" w:rsidRPr="00E27443">
        <w:t xml:space="preserve"> </w:t>
      </w:r>
      <w:r w:rsidRPr="00E27443">
        <w:t>for</w:t>
      </w:r>
      <w:r w:rsidR="00C63F8F" w:rsidRPr="00E27443">
        <w:t xml:space="preserve"> </w:t>
      </w:r>
      <w:r w:rsidRPr="00E27443">
        <w:t>children</w:t>
      </w:r>
      <w:r w:rsidR="00C63F8F" w:rsidRPr="00E27443">
        <w:t xml:space="preserve"> </w:t>
      </w:r>
      <w:r w:rsidRPr="00E27443">
        <w:t>has</w:t>
      </w:r>
      <w:r w:rsidR="00C63F8F" w:rsidRPr="00E27443">
        <w:t xml:space="preserve"> </w:t>
      </w:r>
      <w:r w:rsidRPr="00E27443">
        <w:t>conducted</w:t>
      </w:r>
      <w:r w:rsidR="00C63F8F" w:rsidRPr="00E27443">
        <w:t xml:space="preserve"> </w:t>
      </w:r>
      <w:r w:rsidRPr="00E27443">
        <w:t>questionnaires</w:t>
      </w:r>
      <w:r w:rsidR="00C63F8F" w:rsidRPr="00E27443">
        <w:t xml:space="preserve"> </w:t>
      </w:r>
      <w:r w:rsidRPr="00E27443">
        <w:t>to</w:t>
      </w:r>
      <w:r w:rsidR="00C63F8F" w:rsidRPr="00E27443">
        <w:t xml:space="preserve"> </w:t>
      </w:r>
      <w:r w:rsidRPr="00E27443">
        <w:t>obtain</w:t>
      </w:r>
      <w:r w:rsidR="00C63F8F" w:rsidRPr="00E27443">
        <w:t xml:space="preserve"> </w:t>
      </w:r>
      <w:r w:rsidRPr="00E27443">
        <w:t>the</w:t>
      </w:r>
      <w:r w:rsidR="00C63F8F" w:rsidRPr="00E27443">
        <w:t xml:space="preserve"> </w:t>
      </w:r>
      <w:r w:rsidRPr="00E27443">
        <w:t>children</w:t>
      </w:r>
      <w:r w:rsidR="00C63F8F" w:rsidRPr="00E27443">
        <w:t>’</w:t>
      </w:r>
      <w:r w:rsidRPr="00E27443">
        <w:t>s</w:t>
      </w:r>
      <w:r w:rsidR="00C63F8F" w:rsidRPr="00E27443">
        <w:t xml:space="preserve"> </w:t>
      </w:r>
      <w:r w:rsidRPr="00E27443">
        <w:t>own</w:t>
      </w:r>
      <w:r w:rsidR="00C63F8F" w:rsidRPr="00E27443">
        <w:t xml:space="preserve"> </w:t>
      </w:r>
      <w:r w:rsidRPr="00E27443">
        <w:t>views</w:t>
      </w:r>
      <w:r w:rsidR="00C63F8F" w:rsidRPr="00E27443">
        <w:t xml:space="preserve"> </w:t>
      </w:r>
      <w:r w:rsidRPr="00E27443">
        <w:t>of</w:t>
      </w:r>
      <w:r w:rsidR="00C63F8F" w:rsidRPr="00E27443">
        <w:t xml:space="preserve"> </w:t>
      </w:r>
      <w:r w:rsidRPr="00E27443">
        <w:t>the</w:t>
      </w:r>
      <w:r w:rsidR="00C63F8F" w:rsidRPr="00E27443">
        <w:t xml:space="preserve"> </w:t>
      </w:r>
      <w:r w:rsidRPr="00E27443">
        <w:t>extent</w:t>
      </w:r>
      <w:r w:rsidR="00C63F8F" w:rsidRPr="00E27443">
        <w:t xml:space="preserve"> </w:t>
      </w:r>
      <w:r w:rsidRPr="00E27443">
        <w:t>to</w:t>
      </w:r>
      <w:r w:rsidR="00C63F8F" w:rsidRPr="00E27443">
        <w:t xml:space="preserve"> </w:t>
      </w:r>
      <w:r w:rsidRPr="00E27443">
        <w:t>which</w:t>
      </w:r>
      <w:r w:rsidR="00C63F8F" w:rsidRPr="00E27443">
        <w:t xml:space="preserve"> </w:t>
      </w:r>
      <w:r w:rsidRPr="00E27443">
        <w:t>they</w:t>
      </w:r>
      <w:r w:rsidR="00C63F8F" w:rsidRPr="00E27443">
        <w:t xml:space="preserve"> </w:t>
      </w:r>
      <w:r w:rsidRPr="00E27443">
        <w:t>themselves</w:t>
      </w:r>
      <w:r w:rsidR="00C63F8F" w:rsidRPr="00E27443">
        <w:t xml:space="preserve"> </w:t>
      </w:r>
      <w:r w:rsidRPr="00E27443">
        <w:t>consider</w:t>
      </w:r>
      <w:r w:rsidR="00C63F8F" w:rsidRPr="00E27443">
        <w:t xml:space="preserve"> </w:t>
      </w:r>
      <w:r w:rsidRPr="00E27443">
        <w:t>they</w:t>
      </w:r>
      <w:r w:rsidR="00C63F8F" w:rsidRPr="00E27443">
        <w:t xml:space="preserve"> </w:t>
      </w:r>
      <w:r w:rsidRPr="00E27443">
        <w:t>have</w:t>
      </w:r>
      <w:r w:rsidR="00C63F8F" w:rsidRPr="00E27443">
        <w:t xml:space="preserve"> </w:t>
      </w:r>
      <w:r w:rsidRPr="00E27443">
        <w:t>influence,</w:t>
      </w:r>
      <w:r w:rsidR="00C63F8F" w:rsidRPr="00E27443">
        <w:t xml:space="preserve"> </w:t>
      </w:r>
      <w:r w:rsidRPr="00E27443">
        <w:t>for</w:t>
      </w:r>
      <w:r w:rsidR="00C63F8F" w:rsidRPr="00E27443">
        <w:t xml:space="preserve"> </w:t>
      </w:r>
      <w:r w:rsidRPr="00E27443">
        <w:t>example</w:t>
      </w:r>
      <w:r w:rsidR="00C63F8F" w:rsidRPr="00E27443">
        <w:t xml:space="preserve"> </w:t>
      </w:r>
      <w:r w:rsidRPr="00E27443">
        <w:t>over</w:t>
      </w:r>
      <w:r w:rsidR="00C63F8F" w:rsidRPr="00E27443">
        <w:t xml:space="preserve"> </w:t>
      </w:r>
      <w:r w:rsidRPr="00E27443">
        <w:t>their</w:t>
      </w:r>
      <w:r w:rsidR="00C63F8F" w:rsidRPr="00E27443">
        <w:t xml:space="preserve"> </w:t>
      </w:r>
      <w:r w:rsidRPr="00E27443">
        <w:t>immediate</w:t>
      </w:r>
      <w:r w:rsidR="00C63F8F" w:rsidRPr="00E27443">
        <w:t xml:space="preserve"> </w:t>
      </w:r>
      <w:r w:rsidRPr="00E27443">
        <w:t>environment,</w:t>
      </w:r>
      <w:r w:rsidR="00C63F8F" w:rsidRPr="00E27443">
        <w:t xml:space="preserve"> </w:t>
      </w:r>
      <w:r w:rsidRPr="00E27443">
        <w:t>in</w:t>
      </w:r>
      <w:r w:rsidR="00C63F8F" w:rsidRPr="00E27443">
        <w:t xml:space="preserve"> </w:t>
      </w:r>
      <w:r w:rsidRPr="00E27443">
        <w:t>school</w:t>
      </w:r>
      <w:r w:rsidR="00C63F8F" w:rsidRPr="00E27443">
        <w:t xml:space="preserve"> </w:t>
      </w:r>
      <w:r w:rsidRPr="00E27443">
        <w:t>and</w:t>
      </w:r>
      <w:r w:rsidR="00C63F8F" w:rsidRPr="00E27443">
        <w:t xml:space="preserve"> </w:t>
      </w:r>
      <w:r w:rsidRPr="00E27443">
        <w:t>in</w:t>
      </w:r>
      <w:r w:rsidR="00C63F8F" w:rsidRPr="00E27443">
        <w:t xml:space="preserve"> </w:t>
      </w:r>
      <w:r w:rsidRPr="00E27443">
        <w:t>the</w:t>
      </w:r>
      <w:r w:rsidR="00C63F8F" w:rsidRPr="00E27443">
        <w:t xml:space="preserve"> </w:t>
      </w:r>
      <w:r w:rsidRPr="00E27443">
        <w:t>family.</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influence</w:t>
      </w:r>
      <w:r w:rsidR="00C63F8F" w:rsidRPr="00E27443">
        <w:t xml:space="preserve"> </w:t>
      </w:r>
      <w:r w:rsidRPr="00E27443">
        <w:t>in</w:t>
      </w:r>
      <w:r w:rsidR="00C63F8F" w:rsidRPr="00E27443">
        <w:t xml:space="preserve"> </w:t>
      </w:r>
      <w:r w:rsidRPr="00E27443">
        <w:t>their</w:t>
      </w:r>
      <w:r w:rsidR="00C63F8F" w:rsidRPr="00E27443">
        <w:t xml:space="preserve"> </w:t>
      </w:r>
      <w:r w:rsidRPr="00E27443">
        <w:t>immediate</w:t>
      </w:r>
      <w:r w:rsidR="00C63F8F" w:rsidRPr="00E27443">
        <w:t xml:space="preserve"> </w:t>
      </w:r>
      <w:r w:rsidRPr="00E27443">
        <w:t>environment,</w:t>
      </w:r>
      <w:r w:rsidR="00C63F8F" w:rsidRPr="00E27443">
        <w:t xml:space="preserve"> </w:t>
      </w:r>
      <w:r w:rsidRPr="00E27443">
        <w:t>it</w:t>
      </w:r>
      <w:r w:rsidR="00C63F8F" w:rsidRPr="00E27443">
        <w:t xml:space="preserve"> </w:t>
      </w:r>
      <w:r w:rsidRPr="00E27443">
        <w:t>emerges</w:t>
      </w:r>
      <w:r w:rsidR="00C63F8F" w:rsidRPr="00E27443">
        <w:t xml:space="preserve"> </w:t>
      </w:r>
      <w:r w:rsidRPr="00E27443">
        <w:t>that</w:t>
      </w:r>
      <w:r w:rsidR="00C63F8F" w:rsidRPr="00E27443">
        <w:t xml:space="preserve"> </w:t>
      </w:r>
      <w:r w:rsidRPr="00E27443">
        <w:t>a</w:t>
      </w:r>
      <w:r w:rsidR="00C63F8F" w:rsidRPr="00E27443">
        <w:t xml:space="preserve"> </w:t>
      </w:r>
      <w:r w:rsidRPr="00E27443">
        <w:t>large</w:t>
      </w:r>
      <w:r w:rsidR="00C63F8F" w:rsidRPr="00E27443">
        <w:t xml:space="preserve"> </w:t>
      </w:r>
      <w:r w:rsidRPr="00E27443">
        <w:t>proportion</w:t>
      </w:r>
      <w:r w:rsidR="00C63F8F" w:rsidRPr="00E27443">
        <w:t xml:space="preserve"> </w:t>
      </w:r>
      <w:r w:rsidRPr="00E27443">
        <w:t>of</w:t>
      </w:r>
      <w:r w:rsidR="00C63F8F" w:rsidRPr="00E27443">
        <w:t xml:space="preserve"> </w:t>
      </w:r>
      <w:r w:rsidRPr="00E27443">
        <w:t>the</w:t>
      </w:r>
      <w:r w:rsidR="00C63F8F" w:rsidRPr="00E27443">
        <w:t xml:space="preserve"> </w:t>
      </w:r>
      <w:r w:rsidRPr="00E27443">
        <w:t>children</w:t>
      </w:r>
      <w:r w:rsidR="00C63F8F" w:rsidRPr="00E27443">
        <w:t xml:space="preserve"> </w:t>
      </w:r>
      <w:r w:rsidRPr="00E27443">
        <w:t>and</w:t>
      </w:r>
      <w:r w:rsidR="00C63F8F" w:rsidRPr="00E27443">
        <w:t xml:space="preserve"> </w:t>
      </w:r>
      <w:r w:rsidRPr="00E27443">
        <w:t>young</w:t>
      </w:r>
      <w:r w:rsidR="00C63F8F" w:rsidRPr="00E27443">
        <w:t xml:space="preserve"> </w:t>
      </w:r>
      <w:r w:rsidRPr="00E27443">
        <w:t>persons</w:t>
      </w:r>
      <w:r w:rsidR="00C63F8F" w:rsidRPr="00E27443">
        <w:t xml:space="preserve"> </w:t>
      </w:r>
      <w:r w:rsidRPr="00E27443">
        <w:t>consider</w:t>
      </w:r>
      <w:r w:rsidR="00C63F8F" w:rsidRPr="00E27443">
        <w:t xml:space="preserve"> </w:t>
      </w:r>
      <w:r w:rsidRPr="00E27443">
        <w:t>that</w:t>
      </w:r>
      <w:r w:rsidR="00C63F8F" w:rsidRPr="00E27443">
        <w:t xml:space="preserve"> </w:t>
      </w:r>
      <w:r w:rsidRPr="00E27443">
        <w:t>decision-makers</w:t>
      </w:r>
      <w:r w:rsidR="00C63F8F" w:rsidRPr="00E27443">
        <w:t xml:space="preserve"> </w:t>
      </w:r>
      <w:r w:rsidRPr="00E27443">
        <w:t>in</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do</w:t>
      </w:r>
      <w:r w:rsidR="00C63F8F" w:rsidRPr="00E27443">
        <w:t xml:space="preserve"> </w:t>
      </w:r>
      <w:r w:rsidRPr="00E27443">
        <w:t>not</w:t>
      </w:r>
      <w:r w:rsidR="00C63F8F" w:rsidRPr="00E27443">
        <w:t xml:space="preserve"> </w:t>
      </w:r>
      <w:r w:rsidRPr="00E27443">
        <w:t>ask</w:t>
      </w:r>
      <w:r w:rsidR="00C63F8F" w:rsidRPr="00E27443">
        <w:t xml:space="preserve"> </w:t>
      </w:r>
      <w:r w:rsidRPr="00E27443">
        <w:t>them</w:t>
      </w:r>
      <w:r w:rsidR="00C63F8F" w:rsidRPr="00E27443">
        <w:t xml:space="preserve"> </w:t>
      </w:r>
      <w:r w:rsidRPr="00E27443">
        <w:t>what</w:t>
      </w:r>
      <w:r w:rsidR="00C63F8F" w:rsidRPr="00E27443">
        <w:t xml:space="preserve"> </w:t>
      </w:r>
      <w:r w:rsidRPr="00E27443">
        <w:t>they</w:t>
      </w:r>
      <w:r w:rsidR="00C63F8F" w:rsidRPr="00E27443">
        <w:t xml:space="preserve"> </w:t>
      </w:r>
      <w:r w:rsidRPr="00E27443">
        <w:t>think.</w:t>
      </w:r>
      <w:r w:rsidR="00C63F8F" w:rsidRPr="00E27443">
        <w:t xml:space="preserve"> </w:t>
      </w:r>
      <w:r w:rsidRPr="00E27443">
        <w:t>Children</w:t>
      </w:r>
      <w:r w:rsidR="00C63F8F" w:rsidRPr="00E27443">
        <w:t xml:space="preserve"> </w:t>
      </w:r>
      <w:r w:rsidRPr="00E27443">
        <w:t>do</w:t>
      </w:r>
      <w:r w:rsidR="00C63F8F" w:rsidRPr="00E27443">
        <w:t xml:space="preserve"> </w:t>
      </w:r>
      <w:r w:rsidRPr="00E27443">
        <w:t>not</w:t>
      </w:r>
      <w:r w:rsidR="00C63F8F" w:rsidRPr="00E27443">
        <w:t xml:space="preserve"> </w:t>
      </w:r>
      <w:r w:rsidRPr="00E27443">
        <w:t>feel</w:t>
      </w:r>
      <w:r w:rsidR="00C63F8F" w:rsidRPr="00E27443">
        <w:t xml:space="preserve"> </w:t>
      </w:r>
      <w:r w:rsidRPr="00E27443">
        <w:t>they</w:t>
      </w:r>
      <w:r w:rsidR="00C63F8F" w:rsidRPr="00E27443">
        <w:t xml:space="preserve"> </w:t>
      </w:r>
      <w:r w:rsidRPr="00E27443">
        <w:t>have</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exert</w:t>
      </w:r>
      <w:r w:rsidR="00C63F8F" w:rsidRPr="00E27443">
        <w:t xml:space="preserve"> </w:t>
      </w:r>
      <w:r w:rsidRPr="00E27443">
        <w:t>an</w:t>
      </w:r>
      <w:r w:rsidR="00C63F8F" w:rsidRPr="00E27443">
        <w:t xml:space="preserve"> </w:t>
      </w:r>
      <w:r w:rsidRPr="00E27443">
        <w:t>influence</w:t>
      </w:r>
      <w:r w:rsidR="00C63F8F" w:rsidRPr="00E27443">
        <w:t xml:space="preserve"> </w:t>
      </w:r>
      <w:r w:rsidRPr="00E27443">
        <w:t>in</w:t>
      </w:r>
      <w:r w:rsidR="00C63F8F" w:rsidRPr="00E27443">
        <w:t xml:space="preserve"> </w:t>
      </w:r>
      <w:r w:rsidRPr="00E27443">
        <w:t>issues</w:t>
      </w:r>
      <w:r w:rsidR="00C63F8F" w:rsidRPr="00E27443">
        <w:t xml:space="preserve"> </w:t>
      </w:r>
      <w:r w:rsidRPr="00E27443">
        <w:t>that</w:t>
      </w:r>
      <w:r w:rsidR="00C63F8F" w:rsidRPr="00E27443">
        <w:t xml:space="preserve"> </w:t>
      </w:r>
      <w:r w:rsidRPr="00E27443">
        <w:t>affect</w:t>
      </w:r>
      <w:r w:rsidR="00C63F8F" w:rsidRPr="00E27443">
        <w:t xml:space="preserve"> </w:t>
      </w:r>
      <w:r w:rsidRPr="00E27443">
        <w:t>them,</w:t>
      </w:r>
      <w:r w:rsidR="00C63F8F" w:rsidRPr="00E27443">
        <w:t xml:space="preserve"> </w:t>
      </w:r>
      <w:r w:rsidRPr="00E27443">
        <w:t>and</w:t>
      </w:r>
      <w:r w:rsidR="00C63F8F" w:rsidRPr="00E27443">
        <w:t xml:space="preserve"> </w:t>
      </w:r>
      <w:r w:rsidRPr="00E27443">
        <w:t>they</w:t>
      </w:r>
      <w:r w:rsidR="00C63F8F" w:rsidRPr="00E27443">
        <w:t xml:space="preserve"> </w:t>
      </w:r>
      <w:r w:rsidRPr="00E27443">
        <w:t>also</w:t>
      </w:r>
      <w:r w:rsidR="00C63F8F" w:rsidRPr="00E27443">
        <w:t xml:space="preserve"> </w:t>
      </w:r>
      <w:r w:rsidRPr="00E27443">
        <w:t>do</w:t>
      </w:r>
      <w:r w:rsidR="00C63F8F" w:rsidRPr="00E27443">
        <w:t xml:space="preserve"> </w:t>
      </w:r>
      <w:r w:rsidRPr="00E27443">
        <w:t>not</w:t>
      </w:r>
      <w:r w:rsidR="00C63F8F" w:rsidRPr="00E27443">
        <w:t xml:space="preserve"> </w:t>
      </w:r>
      <w:r w:rsidRPr="00E27443">
        <w:t>know</w:t>
      </w:r>
      <w:r w:rsidR="00C63F8F" w:rsidRPr="00E27443">
        <w:t xml:space="preserve"> </w:t>
      </w:r>
      <w:r w:rsidRPr="00E27443">
        <w:t>where</w:t>
      </w:r>
      <w:r w:rsidR="00C63F8F" w:rsidRPr="00E27443">
        <w:t xml:space="preserve"> </w:t>
      </w:r>
      <w:r w:rsidRPr="00E27443">
        <w:t>to</w:t>
      </w:r>
      <w:r w:rsidR="00C63F8F" w:rsidRPr="00E27443">
        <w:t xml:space="preserve"> </w:t>
      </w:r>
      <w:r w:rsidRPr="00E27443">
        <w:t>turn</w:t>
      </w:r>
      <w:r w:rsidR="00C63F8F" w:rsidRPr="00E27443">
        <w:t xml:space="preserve"> </w:t>
      </w:r>
      <w:r w:rsidRPr="00E27443">
        <w:t>to</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have</w:t>
      </w:r>
      <w:r w:rsidR="00C63F8F" w:rsidRPr="00E27443">
        <w:t xml:space="preserve"> </w:t>
      </w:r>
      <w:r w:rsidRPr="00E27443">
        <w:t>an</w:t>
      </w:r>
      <w:r w:rsidR="00C63F8F" w:rsidRPr="00E27443">
        <w:t xml:space="preserve"> </w:t>
      </w:r>
      <w:r w:rsidRPr="00E27443">
        <w:t>influence.</w:t>
      </w:r>
      <w:r w:rsidR="00C63F8F" w:rsidRPr="00E27443">
        <w:t xml:space="preserve"> </w:t>
      </w:r>
      <w:r w:rsidRPr="00E27443">
        <w:t>As</w:t>
      </w:r>
      <w:r w:rsidR="00C63F8F" w:rsidRPr="00E27443">
        <w:t xml:space="preserve"> </w:t>
      </w:r>
      <w:r w:rsidRPr="00E27443">
        <w:t>regards</w:t>
      </w:r>
      <w:r w:rsidR="00C63F8F" w:rsidRPr="00E27443">
        <w:t xml:space="preserve"> </w:t>
      </w:r>
      <w:r w:rsidRPr="00E27443">
        <w:t>influence</w:t>
      </w:r>
      <w:r w:rsidR="00C63F8F" w:rsidRPr="00E27443">
        <w:t xml:space="preserve"> </w:t>
      </w:r>
      <w:r w:rsidRPr="00E27443">
        <w:t>in</w:t>
      </w:r>
      <w:r w:rsidR="00C63F8F" w:rsidRPr="00E27443">
        <w:t xml:space="preserve"> </w:t>
      </w:r>
      <w:r w:rsidRPr="00E27443">
        <w:t>school,</w:t>
      </w:r>
      <w:r w:rsidR="00C63F8F" w:rsidRPr="00E27443">
        <w:t xml:space="preserve"> </w:t>
      </w:r>
      <w:r w:rsidRPr="00E27443">
        <w:t>the</w:t>
      </w:r>
      <w:r w:rsidR="00C63F8F" w:rsidRPr="00E27443">
        <w:t xml:space="preserve"> </w:t>
      </w:r>
      <w:r w:rsidRPr="00E27443">
        <w:t>majority</w:t>
      </w:r>
      <w:r w:rsidR="00C63F8F" w:rsidRPr="00E27443">
        <w:t xml:space="preserve"> </w:t>
      </w:r>
      <w:r w:rsidRPr="00E27443">
        <w:t>of</w:t>
      </w:r>
      <w:r w:rsidR="00C63F8F" w:rsidRPr="00E27443">
        <w:t xml:space="preserve"> </w:t>
      </w:r>
      <w:r w:rsidRPr="00E27443">
        <w:t>the</w:t>
      </w:r>
      <w:r w:rsidR="00C63F8F" w:rsidRPr="00E27443">
        <w:t xml:space="preserve"> </w:t>
      </w:r>
      <w:r w:rsidRPr="00E27443">
        <w:t>students</w:t>
      </w:r>
      <w:r w:rsidR="00C63F8F" w:rsidRPr="00E27443">
        <w:t xml:space="preserve"> </w:t>
      </w:r>
      <w:r w:rsidRPr="00E27443">
        <w:t>questioned</w:t>
      </w:r>
      <w:r w:rsidR="00C63F8F" w:rsidRPr="00E27443">
        <w:t xml:space="preserve"> </w:t>
      </w:r>
      <w:r w:rsidRPr="00E27443">
        <w:t>consider</w:t>
      </w:r>
      <w:r w:rsidR="00C63F8F" w:rsidRPr="00E27443">
        <w:t xml:space="preserve"> </w:t>
      </w:r>
      <w:r w:rsidRPr="00E27443">
        <w:t>that</w:t>
      </w:r>
      <w:r w:rsidR="00C63F8F" w:rsidRPr="00E27443">
        <w:t xml:space="preserve"> </w:t>
      </w:r>
      <w:r w:rsidRPr="00E27443">
        <w:t>the</w:t>
      </w:r>
      <w:r w:rsidR="00C63F8F" w:rsidRPr="00E27443">
        <w:t xml:space="preserve"> </w:t>
      </w:r>
      <w:r w:rsidRPr="00E27443">
        <w:t>adults</w:t>
      </w:r>
      <w:r w:rsidR="00C63F8F" w:rsidRPr="00E27443">
        <w:t xml:space="preserve"> </w:t>
      </w:r>
      <w:r w:rsidRPr="00E27443">
        <w:t>listen</w:t>
      </w:r>
      <w:r w:rsidR="00C63F8F" w:rsidRPr="00E27443">
        <w:t xml:space="preserve"> </w:t>
      </w:r>
      <w:r w:rsidRPr="00E27443">
        <w:t>to</w:t>
      </w:r>
      <w:r w:rsidR="00C63F8F" w:rsidRPr="00E27443">
        <w:t xml:space="preserve"> </w:t>
      </w:r>
      <w:r w:rsidRPr="00E27443">
        <w:t>suggestions</w:t>
      </w:r>
      <w:r w:rsidR="00C63F8F" w:rsidRPr="00E27443">
        <w:t xml:space="preserve"> </w:t>
      </w:r>
      <w:r w:rsidRPr="00E27443">
        <w:t>and</w:t>
      </w:r>
      <w:r w:rsidR="00C63F8F" w:rsidRPr="00E27443">
        <w:t xml:space="preserve"> </w:t>
      </w:r>
      <w:r w:rsidRPr="00E27443">
        <w:t>ideas.</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these</w:t>
      </w:r>
      <w:r w:rsidR="00C63F8F" w:rsidRPr="00E27443">
        <w:t xml:space="preserve"> </w:t>
      </w:r>
      <w:r w:rsidRPr="00E27443">
        <w:t>surveys,</w:t>
      </w:r>
      <w:r w:rsidR="00C63F8F" w:rsidRPr="00E27443">
        <w:t xml:space="preserve"> </w:t>
      </w:r>
      <w:r w:rsidRPr="00E27443">
        <w:t>the</w:t>
      </w:r>
      <w:r w:rsidR="00C63F8F" w:rsidRPr="00E27443">
        <w:t xml:space="preserve"> </w:t>
      </w:r>
      <w:r w:rsidRPr="00E27443">
        <w:t>students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appear</w:t>
      </w:r>
      <w:r w:rsidR="00C63F8F" w:rsidRPr="00E27443">
        <w:t xml:space="preserve"> </w:t>
      </w:r>
      <w:r w:rsidRPr="00E27443">
        <w:t>to</w:t>
      </w:r>
      <w:r w:rsidR="00C63F8F" w:rsidRPr="00E27443">
        <w:t xml:space="preserve"> </w:t>
      </w:r>
      <w:r w:rsidRPr="00E27443">
        <w:t>be</w:t>
      </w:r>
      <w:r w:rsidR="00C63F8F" w:rsidRPr="00E27443">
        <w:t xml:space="preserve"> </w:t>
      </w:r>
      <w:r w:rsidRPr="00E27443">
        <w:t>more</w:t>
      </w:r>
      <w:r w:rsidR="00C63F8F" w:rsidRPr="00E27443">
        <w:t xml:space="preserve"> </w:t>
      </w:r>
      <w:r w:rsidRPr="00E27443">
        <w:t>satisfied</w:t>
      </w:r>
      <w:r w:rsidR="00C63F8F" w:rsidRPr="00E27443">
        <w:t xml:space="preserve"> </w:t>
      </w:r>
      <w:r w:rsidRPr="00E27443">
        <w:t>and</w:t>
      </w:r>
      <w:r w:rsidR="00C63F8F" w:rsidRPr="00E27443">
        <w:t xml:space="preserve"> </w:t>
      </w:r>
      <w:r w:rsidRPr="00E27443">
        <w:t>active</w:t>
      </w:r>
      <w:r w:rsidR="00C63F8F" w:rsidRPr="00E27443">
        <w:t xml:space="preserve"> </w:t>
      </w:r>
      <w:r w:rsidRPr="00E27443">
        <w:t>in</w:t>
      </w:r>
      <w:r w:rsidR="00C63F8F" w:rsidRPr="00E27443">
        <w:t xml:space="preserve"> </w:t>
      </w:r>
      <w:r w:rsidRPr="00E27443">
        <w:t>the</w:t>
      </w:r>
      <w:r w:rsidR="00C63F8F" w:rsidRPr="00E27443">
        <w:t xml:space="preserve"> </w:t>
      </w:r>
      <w:r w:rsidRPr="00E27443">
        <w:t>school</w:t>
      </w:r>
      <w:r w:rsidR="00C63F8F" w:rsidRPr="00E27443">
        <w:t>’</w:t>
      </w:r>
      <w:r w:rsidRPr="00E27443">
        <w:t>s</w:t>
      </w:r>
      <w:r w:rsidR="00C63F8F" w:rsidRPr="00E27443">
        <w:t xml:space="preserve"> </w:t>
      </w:r>
      <w:r w:rsidRPr="00E27443">
        <w:t>work</w:t>
      </w:r>
      <w:r w:rsidR="00C63F8F" w:rsidRPr="00E27443">
        <w:t xml:space="preserve"> </w:t>
      </w:r>
      <w:r w:rsidRPr="00E27443">
        <w:t>relating</w:t>
      </w:r>
      <w:r w:rsidR="00C63F8F" w:rsidRPr="00E27443">
        <w:t xml:space="preserve"> </w:t>
      </w:r>
      <w:r w:rsidRPr="00E27443">
        <w:t>to</w:t>
      </w:r>
      <w:r w:rsidR="00C63F8F" w:rsidRPr="00E27443">
        <w:t xml:space="preserve"> </w:t>
      </w:r>
      <w:r w:rsidRPr="00E27443">
        <w:t>influence</w:t>
      </w:r>
      <w:r w:rsidR="00C63F8F" w:rsidRPr="00E27443">
        <w:t xml:space="preserve"> </w:t>
      </w:r>
      <w:r w:rsidRPr="00E27443">
        <w:t>than</w:t>
      </w:r>
      <w:r w:rsidR="00C63F8F" w:rsidRPr="00E27443">
        <w:t xml:space="preserve"> </w:t>
      </w:r>
      <w:r w:rsidRPr="00E27443">
        <w:t>children</w:t>
      </w:r>
      <w:r w:rsidR="00C63F8F" w:rsidRPr="00E27443">
        <w:t xml:space="preserve"> </w:t>
      </w:r>
      <w:r w:rsidRPr="00E27443">
        <w:t>without</w:t>
      </w:r>
      <w:r w:rsidR="00C63F8F" w:rsidRPr="00E27443">
        <w:t xml:space="preserve"> </w:t>
      </w:r>
      <w:r w:rsidRPr="00E27443">
        <w:t>disabilities.</w:t>
      </w:r>
    </w:p>
    <w:p w:rsidR="00321ADA" w:rsidRPr="00E27443" w:rsidRDefault="00321ADA" w:rsidP="000D09CE">
      <w:pPr>
        <w:pStyle w:val="SingleTxtG"/>
        <w:numPr>
          <w:ilvl w:val="0"/>
          <w:numId w:val="20"/>
        </w:numPr>
        <w:tabs>
          <w:tab w:val="left" w:pos="1843"/>
        </w:tabs>
        <w:ind w:left="1134" w:firstLine="0"/>
      </w:pPr>
      <w:r w:rsidRPr="00E27443">
        <w:t>Statistics</w:t>
      </w:r>
      <w:r w:rsidR="00C63F8F" w:rsidRPr="00E27443">
        <w:t xml:space="preserve"> </w:t>
      </w:r>
      <w:r w:rsidRPr="00E27443">
        <w:t>covering</w:t>
      </w:r>
      <w:r w:rsidR="00C63F8F" w:rsidRPr="00E27443">
        <w:t xml:space="preserve"> </w:t>
      </w:r>
      <w:r w:rsidRPr="00E27443">
        <w:t>children</w:t>
      </w:r>
      <w:r w:rsidR="00C63F8F" w:rsidRPr="00E27443">
        <w:t xml:space="preserve"> </w:t>
      </w:r>
      <w:r w:rsidRPr="00E27443">
        <w:t>and</w:t>
      </w:r>
      <w:r w:rsidR="00C63F8F" w:rsidRPr="00E27443">
        <w:t xml:space="preserve"> </w:t>
      </w:r>
      <w:r w:rsidRPr="00E27443">
        <w:t>children</w:t>
      </w:r>
      <w:r w:rsidR="00C63F8F" w:rsidRPr="00E27443">
        <w:t>’</w:t>
      </w:r>
      <w:r w:rsidRPr="00E27443">
        <w:t>s</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are</w:t>
      </w:r>
      <w:r w:rsidR="00C63F8F" w:rsidRPr="00E27443">
        <w:t xml:space="preserve"> </w:t>
      </w:r>
      <w:r w:rsidRPr="00E27443">
        <w:t>gathered</w:t>
      </w:r>
      <w:r w:rsidR="00C63F8F" w:rsidRPr="00E27443">
        <w:t xml:space="preserve"> </w:t>
      </w:r>
      <w:r w:rsidRPr="00E27443">
        <w:t>and</w:t>
      </w:r>
      <w:r w:rsidR="00C63F8F" w:rsidRPr="00E27443">
        <w:t xml:space="preserve"> </w:t>
      </w:r>
      <w:r w:rsidRPr="00E27443">
        <w:t>administered</w:t>
      </w:r>
      <w:r w:rsidR="00C63F8F" w:rsidRPr="00E27443">
        <w:t xml:space="preserve"> </w:t>
      </w:r>
      <w:r w:rsidRPr="00E27443">
        <w:t>by</w:t>
      </w:r>
      <w:r w:rsidR="00C63F8F" w:rsidRPr="00E27443">
        <w:t xml:space="preserve"> </w:t>
      </w:r>
      <w:r w:rsidRPr="00E27443">
        <w:t>a</w:t>
      </w:r>
      <w:r w:rsidR="00C63F8F" w:rsidRPr="00E27443">
        <w:t xml:space="preserve"> </w:t>
      </w:r>
      <w:r w:rsidRPr="00E27443">
        <w:t>wide</w:t>
      </w:r>
      <w:r w:rsidR="00C63F8F" w:rsidRPr="00E27443">
        <w:t xml:space="preserve"> </w:t>
      </w:r>
      <w:r w:rsidRPr="00E27443">
        <w:t>range</w:t>
      </w:r>
      <w:r w:rsidR="00C63F8F" w:rsidRPr="00E27443">
        <w:t xml:space="preserve"> </w:t>
      </w:r>
      <w:r w:rsidRPr="00E27443">
        <w:t>of</w:t>
      </w:r>
      <w:r w:rsidR="00C63F8F" w:rsidRPr="00E27443">
        <w:t xml:space="preserve"> </w:t>
      </w:r>
      <w:r w:rsidRPr="00E27443">
        <w:t>authorities.</w:t>
      </w:r>
      <w:r w:rsidR="00C63F8F" w:rsidRPr="00E27443">
        <w:t xml:space="preserve"> </w:t>
      </w:r>
      <w:r w:rsidRPr="00E27443">
        <w:t>There</w:t>
      </w:r>
      <w:r w:rsidR="00C63F8F" w:rsidRPr="00E27443">
        <w:t xml:space="preserve"> </w:t>
      </w:r>
      <w:r w:rsidRPr="00E27443">
        <w:t>are</w:t>
      </w:r>
      <w:r w:rsidR="00C63F8F" w:rsidRPr="00E27443">
        <w:t xml:space="preserve"> </w:t>
      </w:r>
      <w:r w:rsidRPr="00E27443">
        <w:t>25</w:t>
      </w:r>
      <w:r w:rsidR="00C63F8F" w:rsidRPr="00E27443">
        <w:t xml:space="preserve"> </w:t>
      </w:r>
      <w:r w:rsidRPr="00E27443">
        <w:t>authorities</w:t>
      </w:r>
      <w:r w:rsidR="00C63F8F" w:rsidRPr="00E27443">
        <w:t xml:space="preserve"> </w:t>
      </w:r>
      <w:r w:rsidRPr="00E27443">
        <w:t>with</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statistics,</w:t>
      </w:r>
      <w:r w:rsidR="00C63F8F" w:rsidRPr="00E27443">
        <w:t xml:space="preserve"> </w:t>
      </w:r>
      <w:r w:rsidRPr="00E27443">
        <w:t>including</w:t>
      </w:r>
      <w:r w:rsidR="00C63F8F" w:rsidRPr="00E27443">
        <w:t xml:space="preserve"> </w:t>
      </w:r>
      <w:r w:rsidRPr="00E27443">
        <w:t>Statistics</w:t>
      </w:r>
      <w:r w:rsidR="00C63F8F" w:rsidRPr="00E27443">
        <w:t xml:space="preserve"> </w:t>
      </w:r>
      <w:r w:rsidRPr="00E27443">
        <w:t>Sweden</w:t>
      </w:r>
      <w:r w:rsidR="00C63F8F" w:rsidRPr="00E27443">
        <w:t xml:space="preserve"> </w:t>
      </w:r>
      <w:r w:rsidRPr="00E27443">
        <w:t>(SCB),</w:t>
      </w:r>
      <w:r w:rsidR="00C63F8F" w:rsidRPr="00E27443">
        <w:t xml:space="preserve"> </w:t>
      </w:r>
      <w:r w:rsidRPr="00E27443">
        <w:t>that</w:t>
      </w:r>
      <w:r w:rsidR="00C63F8F" w:rsidRPr="00E27443">
        <w:t xml:space="preserve"> </w:t>
      </w:r>
      <w:r w:rsidRPr="00E27443">
        <w:t>compile</w:t>
      </w:r>
      <w:r w:rsidR="00C63F8F" w:rsidRPr="00E27443">
        <w:t xml:space="preserve"> </w:t>
      </w:r>
      <w:r w:rsidRPr="00E27443">
        <w:t>child</w:t>
      </w:r>
      <w:r w:rsidR="00C63F8F" w:rsidRPr="00E27443">
        <w:t xml:space="preserve"> </w:t>
      </w:r>
      <w:r w:rsidRPr="00E27443">
        <w:t>statistics.</w:t>
      </w:r>
    </w:p>
    <w:p w:rsidR="00321ADA" w:rsidRPr="00E27443" w:rsidRDefault="00321ADA" w:rsidP="000D09CE">
      <w:pPr>
        <w:pStyle w:val="SingleTxtG"/>
        <w:numPr>
          <w:ilvl w:val="0"/>
          <w:numId w:val="20"/>
        </w:numPr>
        <w:tabs>
          <w:tab w:val="left" w:pos="1843"/>
        </w:tabs>
        <w:ind w:left="1134" w:firstLine="0"/>
      </w:pPr>
      <w:r w:rsidRPr="00E27443">
        <w:t>At</w:t>
      </w:r>
      <w:r w:rsidR="00C63F8F" w:rsidRPr="00E27443">
        <w:t xml:space="preserve"> </w:t>
      </w:r>
      <w:r w:rsidRPr="00E27443">
        <w:t>the</w:t>
      </w:r>
      <w:r w:rsidR="00C63F8F" w:rsidRPr="00E27443">
        <w:t xml:space="preserve"> </w:t>
      </w:r>
      <w:r w:rsidRPr="00E27443">
        <w:t>request</w:t>
      </w:r>
      <w:r w:rsidR="00C63F8F" w:rsidRPr="00E27443">
        <w:t xml:space="preserve"> </w:t>
      </w:r>
      <w:r w:rsidRPr="00E27443">
        <w:t>of</w:t>
      </w:r>
      <w:r w:rsidR="00C63F8F" w:rsidRPr="00E27443">
        <w:t xml:space="preserve"> </w:t>
      </w:r>
      <w:r w:rsidRPr="00E27443">
        <w:t>the</w:t>
      </w:r>
      <w:r w:rsidR="00C63F8F" w:rsidRPr="00E27443">
        <w:t xml:space="preserve"> </w:t>
      </w:r>
      <w:r w:rsidRPr="00E27443">
        <w:t>Ministry</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Social</w:t>
      </w:r>
      <w:r w:rsidR="00C63F8F" w:rsidRPr="00E27443">
        <w:t xml:space="preserve"> </w:t>
      </w:r>
      <w:r w:rsidRPr="00E27443">
        <w:t>Affairs,</w:t>
      </w:r>
      <w:r w:rsidR="00C63F8F" w:rsidRPr="00E27443">
        <w:t xml:space="preserve"> </w:t>
      </w:r>
      <w:r w:rsidRPr="00E27443">
        <w:t>SCB</w:t>
      </w:r>
      <w:r w:rsidR="00C63F8F" w:rsidRPr="00E27443">
        <w:t xml:space="preserve"> </w:t>
      </w:r>
      <w:r w:rsidRPr="00E27443">
        <w:t>produces</w:t>
      </w:r>
      <w:r w:rsidR="00C63F8F" w:rsidRPr="00E27443">
        <w:t xml:space="preserve"> </w:t>
      </w:r>
      <w:r w:rsidRPr="00E27443">
        <w:t>annual</w:t>
      </w:r>
      <w:r w:rsidR="00C63F8F" w:rsidRPr="00E27443">
        <w:t xml:space="preserve"> </w:t>
      </w:r>
      <w:r w:rsidRPr="00E27443">
        <w:t>statistics</w:t>
      </w:r>
      <w:r w:rsidR="00C63F8F" w:rsidRPr="00E27443">
        <w:t xml:space="preserve"> </w:t>
      </w:r>
      <w:r w:rsidRPr="00E27443">
        <w:t>regarding</w:t>
      </w:r>
      <w:r w:rsidR="00C63F8F" w:rsidRPr="00E27443">
        <w:t xml:space="preserve"> </w:t>
      </w:r>
      <w:r w:rsidRPr="00E27443">
        <w:t>children</w:t>
      </w:r>
      <w:r w:rsidR="00C63F8F" w:rsidRPr="00E27443">
        <w:t>’</w:t>
      </w:r>
      <w:r w:rsidRPr="00E27443">
        <w:t>s</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This</w:t>
      </w:r>
      <w:r w:rsidR="00C63F8F" w:rsidRPr="00E27443">
        <w:t xml:space="preserve"> </w:t>
      </w:r>
      <w:r w:rsidRPr="00E27443">
        <w:t>assignment</w:t>
      </w:r>
      <w:r w:rsidR="00C63F8F" w:rsidRPr="00E27443">
        <w:t xml:space="preserve"> </w:t>
      </w:r>
      <w:r w:rsidRPr="00E27443">
        <w:t>includes</w:t>
      </w:r>
      <w:r w:rsidR="00C63F8F" w:rsidRPr="00E27443">
        <w:t xml:space="preserve"> </w:t>
      </w:r>
      <w:r w:rsidRPr="00E27443">
        <w:t>both</w:t>
      </w:r>
      <w:r w:rsidR="00C63F8F" w:rsidRPr="00E27443">
        <w:t xml:space="preserve"> </w:t>
      </w:r>
      <w:r w:rsidRPr="00E27443">
        <w:t>the</w:t>
      </w:r>
      <w:r w:rsidR="00C63F8F" w:rsidRPr="00E27443">
        <w:t xml:space="preserve"> </w:t>
      </w:r>
      <w:r w:rsidRPr="00E27443">
        <w:t>production</w:t>
      </w:r>
      <w:r w:rsidR="00C63F8F" w:rsidRPr="00E27443">
        <w:t xml:space="preserve"> </w:t>
      </w:r>
      <w:r w:rsidRPr="00E27443">
        <w:t>of</w:t>
      </w:r>
      <w:r w:rsidR="00C63F8F" w:rsidRPr="00E27443">
        <w:t xml:space="preserve"> </w:t>
      </w:r>
      <w:r w:rsidRPr="00E27443">
        <w:t>an</w:t>
      </w:r>
      <w:r w:rsidR="00C63F8F" w:rsidRPr="00E27443">
        <w:t xml:space="preserve"> </w:t>
      </w:r>
      <w:r w:rsidRPr="00E27443">
        <w:t>annual</w:t>
      </w:r>
      <w:r w:rsidR="00C63F8F" w:rsidRPr="00E27443">
        <w:t xml:space="preserve"> </w:t>
      </w:r>
      <w:r w:rsidRPr="00E27443">
        <w:t>publication,</w:t>
      </w:r>
      <w:r w:rsidR="00C63F8F" w:rsidRPr="00E27443">
        <w:t xml:space="preserve"> “</w:t>
      </w:r>
      <w:r w:rsidRPr="00E27443">
        <w:t>Children</w:t>
      </w:r>
      <w:r w:rsidR="00C63F8F" w:rsidRPr="00E27443">
        <w:t xml:space="preserve"> </w:t>
      </w:r>
      <w:r w:rsidRPr="00E27443">
        <w:t>and</w:t>
      </w:r>
      <w:r w:rsidR="00C63F8F" w:rsidRPr="00E27443">
        <w:t xml:space="preserve"> </w:t>
      </w:r>
      <w:r w:rsidRPr="00E27443">
        <w:t>their</w:t>
      </w:r>
      <w:r w:rsidR="00C63F8F" w:rsidRPr="00E27443">
        <w:t xml:space="preserve"> </w:t>
      </w:r>
      <w:r w:rsidRPr="00E27443">
        <w:t>families</w:t>
      </w:r>
      <w:r w:rsidR="00C63F8F" w:rsidRPr="00E27443">
        <w:t>”</w:t>
      </w:r>
      <w:r w:rsidRPr="00E27443">
        <w:t>,</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the</w:t>
      </w:r>
      <w:r w:rsidR="00C63F8F" w:rsidRPr="00E27443">
        <w:t xml:space="preserve"> </w:t>
      </w:r>
      <w:r w:rsidRPr="00E27443">
        <w:t>production</w:t>
      </w:r>
      <w:r w:rsidR="00C63F8F" w:rsidRPr="00E27443">
        <w:t xml:space="preserve"> </w:t>
      </w:r>
      <w:r w:rsidRPr="00E27443">
        <w:t>of</w:t>
      </w:r>
      <w:r w:rsidR="00C63F8F" w:rsidRPr="00E27443">
        <w:t xml:space="preserve"> </w:t>
      </w:r>
      <w:r w:rsidRPr="00E27443">
        <w:t>reports</w:t>
      </w:r>
      <w:r w:rsidR="00C63F8F" w:rsidRPr="00E27443">
        <w:t xml:space="preserve"> </w:t>
      </w:r>
      <w:r w:rsidRPr="00E27443">
        <w:t>dealing</w:t>
      </w:r>
      <w:r w:rsidR="00C63F8F" w:rsidRPr="00E27443">
        <w:t xml:space="preserve"> </w:t>
      </w:r>
      <w:r w:rsidRPr="00E27443">
        <w:t>with</w:t>
      </w:r>
      <w:r w:rsidR="00C63F8F" w:rsidRPr="00E27443">
        <w:t xml:space="preserve"> </w:t>
      </w:r>
      <w:r w:rsidRPr="00E27443">
        <w:t>specific</w:t>
      </w:r>
      <w:r w:rsidR="00C63F8F" w:rsidRPr="00E27443">
        <w:t xml:space="preserve"> </w:t>
      </w:r>
      <w:r w:rsidRPr="00E27443">
        <w:t>issues.</w:t>
      </w:r>
      <w:r w:rsidR="00C63F8F" w:rsidRPr="00E27443">
        <w:t xml:space="preserve"> </w:t>
      </w:r>
      <w:r w:rsidRPr="00E27443">
        <w:t>The</w:t>
      </w:r>
      <w:r w:rsidR="00C63F8F" w:rsidRPr="00E27443">
        <w:t xml:space="preserve"> </w:t>
      </w:r>
      <w:r w:rsidRPr="00E27443">
        <w:t>report</w:t>
      </w:r>
      <w:r w:rsidR="00C63F8F" w:rsidRPr="00E27443">
        <w:t xml:space="preserve"> “</w:t>
      </w:r>
      <w:r w:rsidRPr="00E27443">
        <w:t>Children</w:t>
      </w:r>
      <w:r w:rsidR="00C63F8F" w:rsidRPr="00E27443">
        <w:t xml:space="preserve"> </w:t>
      </w:r>
      <w:r w:rsidRPr="00E27443">
        <w:t>and</w:t>
      </w:r>
      <w:r w:rsidR="00C63F8F" w:rsidRPr="00E27443">
        <w:t xml:space="preserve"> </w:t>
      </w:r>
      <w:r w:rsidRPr="00E27443">
        <w:t>their</w:t>
      </w:r>
      <w:r w:rsidR="00C63F8F" w:rsidRPr="00E27443">
        <w:t xml:space="preserve"> </w:t>
      </w:r>
      <w:r w:rsidRPr="00E27443">
        <w:t>families</w:t>
      </w:r>
      <w:r w:rsidR="00C63F8F" w:rsidRPr="00E27443">
        <w:t xml:space="preserve">” </w:t>
      </w:r>
      <w:r w:rsidRPr="00E27443">
        <w:t>contains</w:t>
      </w:r>
      <w:r w:rsidR="00C63F8F" w:rsidRPr="00E27443">
        <w:t xml:space="preserve"> </w:t>
      </w:r>
      <w:r w:rsidRPr="00E27443">
        <w:t>a</w:t>
      </w:r>
      <w:r w:rsidR="00C63F8F" w:rsidRPr="00E27443">
        <w:t xml:space="preserve"> </w:t>
      </w:r>
      <w:r w:rsidRPr="00E27443">
        <w:t>significant</w:t>
      </w:r>
      <w:r w:rsidR="00C63F8F" w:rsidRPr="00E27443">
        <w:t xml:space="preserve"> </w:t>
      </w:r>
      <w:r w:rsidRPr="00E27443">
        <w:t>amount</w:t>
      </w:r>
      <w:r w:rsidR="00C63F8F" w:rsidRPr="00E27443">
        <w:t xml:space="preserve"> </w:t>
      </w:r>
      <w:r w:rsidRPr="00E27443">
        <w:t>of</w:t>
      </w:r>
      <w:r w:rsidR="00C63F8F" w:rsidRPr="00E27443">
        <w:t xml:space="preserve"> </w:t>
      </w:r>
      <w:r w:rsidRPr="00E27443">
        <w:t>statistical</w:t>
      </w:r>
      <w:r w:rsidR="00C63F8F" w:rsidRPr="00E27443">
        <w:t xml:space="preserve"> </w:t>
      </w:r>
      <w:r w:rsidRPr="00E27443">
        <w:t>data</w:t>
      </w:r>
      <w:r w:rsidR="00C63F8F" w:rsidRPr="00E27443">
        <w:t xml:space="preserve"> </w:t>
      </w:r>
      <w:r w:rsidRPr="00E27443">
        <w:t>regarding</w:t>
      </w:r>
      <w:r w:rsidR="00C63F8F" w:rsidRPr="00E27443">
        <w:t xml:space="preserve"> </w:t>
      </w:r>
      <w:r w:rsidRPr="00E27443">
        <w:t>children</w:t>
      </w:r>
      <w:r w:rsidR="00C63F8F" w:rsidRPr="00E27443">
        <w:t xml:space="preserve"> </w:t>
      </w:r>
      <w:r w:rsidRPr="00E27443">
        <w:t>and</w:t>
      </w:r>
      <w:r w:rsidR="00C63F8F" w:rsidRPr="00E27443">
        <w:t xml:space="preserve"> </w:t>
      </w:r>
      <w:r w:rsidRPr="00E27443">
        <w:t>their</w:t>
      </w:r>
      <w:r w:rsidR="00C63F8F" w:rsidRPr="00E27443">
        <w:t xml:space="preserve"> </w:t>
      </w:r>
      <w:r w:rsidRPr="00E27443">
        <w:t>families.</w:t>
      </w:r>
      <w:r w:rsidR="00C63F8F" w:rsidRPr="00E27443">
        <w:t xml:space="preserve"> </w:t>
      </w:r>
      <w:r w:rsidRPr="00E27443">
        <w:t>An</w:t>
      </w:r>
      <w:r w:rsidR="00C63F8F" w:rsidRPr="00E27443">
        <w:t xml:space="preserve"> </w:t>
      </w:r>
      <w:r w:rsidRPr="00E27443">
        <w:t>important</w:t>
      </w:r>
      <w:r w:rsidR="00C63F8F" w:rsidRPr="00E27443">
        <w:t xml:space="preserve"> </w:t>
      </w:r>
      <w:r w:rsidRPr="00E27443">
        <w:t>feature</w:t>
      </w:r>
      <w:r w:rsidR="00C63F8F" w:rsidRPr="00E27443">
        <w:t xml:space="preserve"> </w:t>
      </w:r>
      <w:r w:rsidRPr="00E27443">
        <w:t>since</w:t>
      </w:r>
      <w:r w:rsidR="00C63F8F" w:rsidRPr="00E27443">
        <w:t xml:space="preserve"> </w:t>
      </w:r>
      <w:r w:rsidRPr="00E27443">
        <w:t>the</w:t>
      </w:r>
      <w:r w:rsidR="00C63F8F" w:rsidRPr="00E27443">
        <w:t xml:space="preserve"> </w:t>
      </w:r>
      <w:r w:rsidRPr="00E27443">
        <w:t>2004</w:t>
      </w:r>
      <w:r w:rsidR="00C63F8F" w:rsidRPr="00E27443">
        <w:t xml:space="preserve"> </w:t>
      </w:r>
      <w:r w:rsidRPr="00E27443">
        <w:t>report</w:t>
      </w:r>
      <w:r w:rsidR="00C63F8F" w:rsidRPr="00E27443">
        <w:t xml:space="preserve"> </w:t>
      </w:r>
      <w:r w:rsidRPr="00E27443">
        <w:t>is</w:t>
      </w:r>
      <w:r w:rsidR="00C63F8F" w:rsidRPr="00E27443">
        <w:t xml:space="preserve"> </w:t>
      </w:r>
      <w:r w:rsidRPr="00E27443">
        <w:t>the</w:t>
      </w:r>
      <w:r w:rsidR="00C63F8F" w:rsidRPr="00E27443">
        <w:t xml:space="preserve"> </w:t>
      </w:r>
      <w:r w:rsidRPr="00E27443">
        <w:t>information</w:t>
      </w:r>
      <w:r w:rsidR="00C63F8F" w:rsidRPr="00E27443">
        <w:t xml:space="preserve"> </w:t>
      </w:r>
      <w:r w:rsidRPr="00E27443">
        <w:t>from</w:t>
      </w:r>
      <w:r w:rsidR="00C63F8F" w:rsidRPr="00E27443">
        <w:t xml:space="preserve"> </w:t>
      </w:r>
      <w:r w:rsidRPr="00E27443">
        <w:t>the</w:t>
      </w:r>
      <w:r w:rsidR="00C63F8F" w:rsidRPr="00E27443">
        <w:t xml:space="preserve"> </w:t>
      </w:r>
      <w:r w:rsidRPr="00E27443">
        <w:t>Investigation</w:t>
      </w:r>
      <w:r w:rsidR="00C63F8F" w:rsidRPr="00E27443">
        <w:t xml:space="preserve"> </w:t>
      </w:r>
      <w:r w:rsidRPr="00E27443">
        <w:t>of</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in</w:t>
      </w:r>
      <w:r w:rsidR="00C63F8F" w:rsidRPr="00E27443">
        <w:t xml:space="preserve"> </w:t>
      </w:r>
      <w:r w:rsidRPr="00E27443">
        <w:t>which</w:t>
      </w:r>
      <w:r w:rsidR="00C63F8F" w:rsidRPr="00E27443">
        <w:t xml:space="preserve"> </w:t>
      </w:r>
      <w:r w:rsidRPr="00E27443">
        <w:t>children</w:t>
      </w:r>
      <w:r w:rsidR="00C63F8F" w:rsidRPr="00E27443">
        <w:t xml:space="preserve"> </w:t>
      </w:r>
      <w:r w:rsidRPr="00E27443">
        <w:t>between</w:t>
      </w:r>
      <w:r w:rsidR="00C63F8F" w:rsidRPr="00E27443">
        <w:t xml:space="preserve"> </w:t>
      </w:r>
      <w:r w:rsidRPr="00E27443">
        <w:t>the</w:t>
      </w:r>
      <w:r w:rsidR="00C63F8F" w:rsidRPr="00E27443">
        <w:t xml:space="preserve"> </w:t>
      </w:r>
      <w:r w:rsidRPr="00E27443">
        <w:t>ages</w:t>
      </w:r>
      <w:r w:rsidR="00C63F8F" w:rsidRPr="00E27443">
        <w:t xml:space="preserve"> </w:t>
      </w:r>
      <w:r w:rsidRPr="00E27443">
        <w:t>of</w:t>
      </w:r>
      <w:r w:rsidR="00C63F8F" w:rsidRPr="00E27443">
        <w:t xml:space="preserve"> </w:t>
      </w:r>
      <w:r w:rsidRPr="00E27443">
        <w:t>10–17</w:t>
      </w:r>
      <w:r w:rsidR="00C63F8F" w:rsidRPr="00E27443">
        <w:t xml:space="preserve"> </w:t>
      </w:r>
      <w:r w:rsidRPr="00E27443">
        <w:t>may</w:t>
      </w:r>
      <w:r w:rsidR="00C63F8F" w:rsidRPr="00E27443">
        <w:t xml:space="preserve"> </w:t>
      </w:r>
      <w:r w:rsidRPr="00E27443">
        <w:t>themselves</w:t>
      </w:r>
      <w:r w:rsidR="00C63F8F" w:rsidRPr="00E27443">
        <w:t xml:space="preserve"> </w:t>
      </w:r>
      <w:r w:rsidRPr="00E27443">
        <w:t>report</w:t>
      </w:r>
      <w:r w:rsidR="00C63F8F" w:rsidRPr="00E27443">
        <w:t xml:space="preserve"> </w:t>
      </w:r>
      <w:r w:rsidRPr="00E27443">
        <w:t>on</w:t>
      </w:r>
      <w:r w:rsidR="00C63F8F" w:rsidRPr="00E27443">
        <w:t xml:space="preserve"> </w:t>
      </w:r>
      <w:r w:rsidRPr="00E27443">
        <w:t>their</w:t>
      </w:r>
      <w:r w:rsidR="00C63F8F" w:rsidRPr="00E27443">
        <w:t xml:space="preserve"> </w:t>
      </w:r>
      <w:r w:rsidRPr="00E27443">
        <w:t>economic</w:t>
      </w:r>
      <w:r w:rsidR="00C63F8F" w:rsidRPr="00E27443">
        <w:t xml:space="preserve"> </w:t>
      </w:r>
      <w:r w:rsidRPr="00E27443">
        <w:t>standard,</w:t>
      </w:r>
      <w:r w:rsidR="00C63F8F" w:rsidRPr="00E27443">
        <w:t xml:space="preserve"> </w:t>
      </w:r>
      <w:r w:rsidRPr="00E27443">
        <w:t>time</w:t>
      </w:r>
      <w:r w:rsidR="00C63F8F" w:rsidRPr="00E27443">
        <w:t xml:space="preserve"> </w:t>
      </w:r>
      <w:r w:rsidRPr="00E27443">
        <w:t>with</w:t>
      </w:r>
      <w:r w:rsidR="00C63F8F" w:rsidRPr="00E27443">
        <w:t xml:space="preserve"> </w:t>
      </w:r>
      <w:r w:rsidRPr="00E27443">
        <w:t>their</w:t>
      </w:r>
      <w:r w:rsidR="00C63F8F" w:rsidRPr="00E27443">
        <w:t xml:space="preserve"> </w:t>
      </w:r>
      <w:r w:rsidRPr="00E27443">
        <w:t>parents</w:t>
      </w:r>
      <w:r w:rsidR="00C63F8F" w:rsidRPr="00E27443">
        <w:t xml:space="preserve"> </w:t>
      </w:r>
      <w:r w:rsidRPr="00E27443">
        <w:t>and</w:t>
      </w:r>
      <w:r w:rsidR="00C63F8F" w:rsidRPr="00E27443">
        <w:t xml:space="preserve"> </w:t>
      </w:r>
      <w:r w:rsidRPr="00E27443">
        <w:t>family</w:t>
      </w:r>
      <w:r w:rsidR="00C63F8F" w:rsidRPr="00E27443">
        <w:t xml:space="preserve"> </w:t>
      </w:r>
      <w:r w:rsidRPr="00E27443">
        <w:t>conditions.</w:t>
      </w:r>
      <w:r w:rsidR="00C63F8F" w:rsidRPr="00E27443">
        <w:t xml:space="preserve"> </w:t>
      </w:r>
      <w:r w:rsidRPr="00E27443">
        <w:t>In</w:t>
      </w:r>
      <w:r w:rsidR="00C63F8F" w:rsidRPr="00E27443">
        <w:t xml:space="preserve"> </w:t>
      </w:r>
      <w:r w:rsidRPr="00E27443">
        <w:t>addition,</w:t>
      </w:r>
      <w:r w:rsidR="00C63F8F" w:rsidRPr="00E27443">
        <w:t xml:space="preserve"> </w:t>
      </w:r>
      <w:r w:rsidRPr="00E27443">
        <w:t>the</w:t>
      </w:r>
      <w:r w:rsidR="00C63F8F" w:rsidRPr="00E27443">
        <w:t xml:space="preserve"> </w:t>
      </w:r>
      <w:r w:rsidRPr="00E27443">
        <w:t>Ombudsman</w:t>
      </w:r>
      <w:r w:rsidR="00C63F8F" w:rsidRPr="00E27443">
        <w:t xml:space="preserve"> </w:t>
      </w:r>
      <w:r w:rsidRPr="00E27443">
        <w:t>for</w:t>
      </w:r>
      <w:r w:rsidR="00C63F8F" w:rsidRPr="00E27443">
        <w:t xml:space="preserve"> </w:t>
      </w:r>
      <w:r w:rsidRPr="00E27443">
        <w:t>Children</w:t>
      </w:r>
      <w:r w:rsidR="00C63F8F" w:rsidRPr="00E27443">
        <w:t xml:space="preserve"> </w:t>
      </w:r>
      <w:r w:rsidRPr="00E27443">
        <w:t>and</w:t>
      </w:r>
      <w:r w:rsidR="00C63F8F" w:rsidRPr="00E27443">
        <w:t xml:space="preserve"> </w:t>
      </w:r>
      <w:r w:rsidRPr="00E27443">
        <w:t>Statistics</w:t>
      </w:r>
      <w:r w:rsidR="00C63F8F" w:rsidRPr="00E27443">
        <w:t xml:space="preserve"> </w:t>
      </w:r>
      <w:r w:rsidRPr="00E27443">
        <w:t>Sweden</w:t>
      </w:r>
      <w:r w:rsidR="00C63F8F" w:rsidRPr="00E27443">
        <w:t xml:space="preserve"> </w:t>
      </w:r>
      <w:r w:rsidRPr="00E27443">
        <w:t>issue</w:t>
      </w:r>
      <w:r w:rsidR="00C63F8F" w:rsidRPr="00E27443">
        <w:t xml:space="preserve"> </w:t>
      </w:r>
      <w:r w:rsidRPr="00E27443">
        <w:t>a</w:t>
      </w:r>
      <w:r w:rsidR="00C63F8F" w:rsidRPr="00E27443">
        <w:t xml:space="preserve"> </w:t>
      </w:r>
      <w:r w:rsidRPr="00E27443">
        <w:t>compilation</w:t>
      </w:r>
      <w:r w:rsidR="00C63F8F" w:rsidRPr="00E27443">
        <w:t xml:space="preserve"> </w:t>
      </w:r>
      <w:r w:rsidRPr="00E27443">
        <w:t>of</w:t>
      </w:r>
      <w:r w:rsidR="00C63F8F" w:rsidRPr="00E27443">
        <w:t xml:space="preserve"> </w:t>
      </w:r>
      <w:r w:rsidRPr="00E27443">
        <w:t>statistics</w:t>
      </w:r>
      <w:r w:rsidR="00C63F8F" w:rsidRPr="00E27443">
        <w:t xml:space="preserve"> </w:t>
      </w:r>
      <w:r w:rsidRPr="00E27443">
        <w:t>regarding</w:t>
      </w:r>
      <w:r w:rsidR="00C63F8F" w:rsidRPr="00E27443">
        <w:t xml:space="preserve"> </w:t>
      </w:r>
      <w:r w:rsidRPr="00E27443">
        <w:t>children</w:t>
      </w:r>
      <w:r w:rsidR="00C63F8F" w:rsidRPr="00E27443">
        <w:t xml:space="preserve"> </w:t>
      </w:r>
      <w:r w:rsidRPr="00E27443">
        <w:t>every</w:t>
      </w:r>
      <w:r w:rsidR="00C63F8F" w:rsidRPr="00E27443">
        <w:t xml:space="preserve"> </w:t>
      </w:r>
      <w:r w:rsidRPr="00E27443">
        <w:t>three</w:t>
      </w:r>
      <w:r w:rsidR="00C63F8F" w:rsidRPr="00E27443">
        <w:t xml:space="preserve"> </w:t>
      </w:r>
      <w:r w:rsidRPr="00E27443">
        <w:t>years,</w:t>
      </w:r>
      <w:r w:rsidR="00C63F8F" w:rsidRPr="00E27443">
        <w:t xml:space="preserve"> </w:t>
      </w:r>
      <w:r w:rsidRPr="00E27443">
        <w:t>entitled</w:t>
      </w:r>
      <w:r w:rsidR="00C63F8F" w:rsidRPr="00E27443">
        <w:t xml:space="preserve"> “</w:t>
      </w:r>
      <w:r w:rsidRPr="00E27443">
        <w:t>Up</w:t>
      </w:r>
      <w:r w:rsidR="00C63F8F" w:rsidRPr="00E27443">
        <w:t xml:space="preserve"> </w:t>
      </w:r>
      <w:r w:rsidRPr="00E27443">
        <w:t>to</w:t>
      </w:r>
      <w:r w:rsidR="00C63F8F" w:rsidRPr="00E27443">
        <w:t xml:space="preserve"> </w:t>
      </w:r>
      <w:r w:rsidRPr="00E27443">
        <w:t>18</w:t>
      </w:r>
      <w:r w:rsidR="00C63F8F" w:rsidRPr="00E27443">
        <w:t>”</w:t>
      </w:r>
      <w:r w:rsidRPr="00E27443">
        <w:t>.</w:t>
      </w:r>
      <w:r w:rsidR="00C63F8F" w:rsidRPr="00E27443">
        <w:t xml:space="preserve"> </w:t>
      </w:r>
      <w:r w:rsidRPr="00E27443">
        <w:t>This</w:t>
      </w:r>
      <w:r w:rsidR="00C63F8F" w:rsidRPr="00E27443">
        <w:t xml:space="preserve"> </w:t>
      </w:r>
      <w:r w:rsidRPr="00E27443">
        <w:t>report</w:t>
      </w:r>
      <w:r w:rsidR="00C63F8F" w:rsidRPr="00E27443">
        <w:t xml:space="preserve"> </w:t>
      </w:r>
      <w:r w:rsidRPr="00E27443">
        <w:t>has</w:t>
      </w:r>
      <w:r w:rsidR="00C63F8F" w:rsidRPr="00E27443">
        <w:t xml:space="preserve"> </w:t>
      </w:r>
      <w:r w:rsidRPr="00E27443">
        <w:t>been</w:t>
      </w:r>
      <w:r w:rsidR="00C63F8F" w:rsidRPr="00E27443">
        <w:t xml:space="preserve"> </w:t>
      </w:r>
      <w:r w:rsidRPr="00E27443">
        <w:t>issued</w:t>
      </w:r>
      <w:r w:rsidR="00C63F8F" w:rsidRPr="00E27443">
        <w:t xml:space="preserve"> </w:t>
      </w:r>
      <w:r w:rsidRPr="00E27443">
        <w:t>since</w:t>
      </w:r>
      <w:r w:rsidR="00C63F8F" w:rsidRPr="00E27443">
        <w:t xml:space="preserve"> </w:t>
      </w:r>
      <w:r w:rsidRPr="00E27443">
        <w:t>1995.</w:t>
      </w:r>
      <w:r w:rsidR="00C63F8F" w:rsidRPr="00E27443">
        <w:t xml:space="preserve"> </w:t>
      </w:r>
    </w:p>
    <w:p w:rsidR="00321ADA" w:rsidRPr="00E27443" w:rsidRDefault="00321ADA" w:rsidP="000D09CE">
      <w:pPr>
        <w:pStyle w:val="SingleTxtG"/>
        <w:numPr>
          <w:ilvl w:val="0"/>
          <w:numId w:val="20"/>
        </w:numPr>
        <w:tabs>
          <w:tab w:val="left" w:pos="1843"/>
        </w:tabs>
        <w:ind w:left="1134" w:firstLine="0"/>
      </w:pP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E27443">
        <w:t>children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there</w:t>
      </w:r>
      <w:r w:rsidR="00C63F8F" w:rsidRPr="00E27443">
        <w:t xml:space="preserve"> </w:t>
      </w:r>
      <w:r w:rsidRPr="00E27443">
        <w:t>is</w:t>
      </w:r>
      <w:r w:rsidR="00C63F8F" w:rsidRPr="00E27443">
        <w:t xml:space="preserve"> </w:t>
      </w:r>
      <w:r w:rsidRPr="00E27443">
        <w:t>a</w:t>
      </w:r>
      <w:r w:rsidR="00C63F8F" w:rsidRPr="00E27443">
        <w:t xml:space="preserve"> </w:t>
      </w:r>
      <w:r w:rsidRPr="00E27443">
        <w:t>risk</w:t>
      </w:r>
      <w:r w:rsidR="00C63F8F" w:rsidRPr="00E27443">
        <w:t xml:space="preserve"> </w:t>
      </w:r>
      <w:r w:rsidRPr="00E27443">
        <w:t>that</w:t>
      </w:r>
      <w:r w:rsidR="00C63F8F" w:rsidRPr="00E27443">
        <w:t xml:space="preserve"> </w:t>
      </w:r>
      <w:r w:rsidRPr="00E27443">
        <w:t>an</w:t>
      </w:r>
      <w:r w:rsidR="00C63F8F" w:rsidRPr="00E27443">
        <w:t xml:space="preserve"> </w:t>
      </w:r>
      <w:r w:rsidRPr="00E27443">
        <w:t>overly</w:t>
      </w:r>
      <w:r w:rsidR="00C63F8F" w:rsidRPr="00E27443">
        <w:t xml:space="preserve"> </w:t>
      </w:r>
      <w:r w:rsidRPr="00E27443">
        <w:t>extensive</w:t>
      </w:r>
      <w:r w:rsidR="00C63F8F" w:rsidRPr="00E27443">
        <w:t xml:space="preserve"> </w:t>
      </w:r>
      <w:r w:rsidRPr="00E27443">
        <w:t>breakdown</w:t>
      </w:r>
      <w:r w:rsidR="00C63F8F" w:rsidRPr="00E27443">
        <w:t xml:space="preserve"> </w:t>
      </w:r>
      <w:r w:rsidRPr="00E27443">
        <w:t>of</w:t>
      </w:r>
      <w:r w:rsidR="00C63F8F" w:rsidRPr="00E27443">
        <w:t xml:space="preserve"> </w:t>
      </w:r>
      <w:r w:rsidRPr="00E27443">
        <w:t>data</w:t>
      </w:r>
      <w:r w:rsidR="00C63F8F" w:rsidRPr="00E27443">
        <w:t xml:space="preserve"> </w:t>
      </w:r>
      <w:r w:rsidRPr="00E27443">
        <w:t>in</w:t>
      </w:r>
      <w:r w:rsidR="00C63F8F" w:rsidRPr="00E27443">
        <w:t xml:space="preserve"> </w:t>
      </w:r>
      <w:r w:rsidRPr="00E27443">
        <w:t>relation</w:t>
      </w:r>
      <w:r w:rsidR="00C63F8F" w:rsidRPr="00E27443">
        <w:t xml:space="preserve"> </w:t>
      </w:r>
      <w:r w:rsidRPr="00E27443">
        <w:t>to</w:t>
      </w:r>
      <w:r w:rsidR="00C63F8F" w:rsidRPr="00E27443">
        <w:t xml:space="preserve"> </w:t>
      </w:r>
      <w:r w:rsidRPr="00E27443">
        <w:t>the</w:t>
      </w:r>
      <w:r w:rsidR="00C63F8F" w:rsidRPr="00E27443">
        <w:t xml:space="preserve"> </w:t>
      </w:r>
      <w:r w:rsidRPr="00E27443">
        <w:t>type</w:t>
      </w:r>
      <w:r w:rsidR="00C63F8F" w:rsidRPr="00E27443">
        <w:t xml:space="preserve"> </w:t>
      </w:r>
      <w:r w:rsidRPr="00E27443">
        <w:t>of</w:t>
      </w:r>
      <w:r w:rsidR="00C63F8F" w:rsidRPr="00E27443">
        <w:t xml:space="preserve"> </w:t>
      </w:r>
      <w:r w:rsidRPr="00E27443">
        <w:t>disability</w:t>
      </w:r>
      <w:r w:rsidR="00C63F8F" w:rsidRPr="00E27443">
        <w:t xml:space="preserve"> </w:t>
      </w:r>
      <w:r w:rsidRPr="00E27443">
        <w:t>can</w:t>
      </w:r>
      <w:r w:rsidR="00C63F8F" w:rsidRPr="00E27443">
        <w:t xml:space="preserve"> </w:t>
      </w:r>
      <w:r w:rsidRPr="00E27443">
        <w:t>infringe</w:t>
      </w:r>
      <w:r w:rsidR="00C63F8F" w:rsidRPr="00E27443">
        <w:t xml:space="preserve"> </w:t>
      </w:r>
      <w:r w:rsidRPr="00E27443">
        <w:t>the</w:t>
      </w:r>
      <w:r w:rsidR="00C63F8F" w:rsidRPr="00E27443">
        <w:t xml:space="preserve"> </w:t>
      </w:r>
      <w:r w:rsidRPr="00E27443">
        <w:t>individual</w:t>
      </w:r>
      <w:r w:rsidR="00C63F8F" w:rsidRPr="00E27443">
        <w:t>’</w:t>
      </w:r>
      <w:r w:rsidRPr="00E27443">
        <w:t>s</w:t>
      </w:r>
      <w:r w:rsidR="00C63F8F" w:rsidRPr="00E27443">
        <w:t xml:space="preserve"> </w:t>
      </w:r>
      <w:r w:rsidRPr="00E27443">
        <w:t>integrity.</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has</w:t>
      </w:r>
      <w:r w:rsidR="00C63F8F" w:rsidRPr="00E27443">
        <w:t xml:space="preserve"> </w:t>
      </w:r>
      <w:r w:rsidRPr="00E27443">
        <w:t>therefore</w:t>
      </w:r>
      <w:r w:rsidR="00C63F8F" w:rsidRPr="00E27443">
        <w:t xml:space="preserve"> </w:t>
      </w:r>
      <w:r w:rsidRPr="00E27443">
        <w:t>decided</w:t>
      </w:r>
      <w:r w:rsidR="00C63F8F" w:rsidRPr="00E27443">
        <w:t xml:space="preserve"> </w:t>
      </w:r>
      <w:r w:rsidRPr="00E27443">
        <w:t>to</w:t>
      </w:r>
      <w:r w:rsidR="00C63F8F" w:rsidRPr="00E27443">
        <w:t xml:space="preserve"> </w:t>
      </w:r>
      <w:r w:rsidRPr="00E27443">
        <w:t>gather</w:t>
      </w:r>
      <w:r w:rsidR="00C63F8F" w:rsidRPr="00E27443">
        <w:t xml:space="preserve"> </w:t>
      </w:r>
      <w:r w:rsidRPr="00E27443">
        <w:t>knowledge</w:t>
      </w:r>
      <w:r w:rsidR="00C63F8F" w:rsidRPr="00E27443">
        <w:t xml:space="preserve"> </w:t>
      </w:r>
      <w:r w:rsidRPr="00E27443">
        <w:t>about</w:t>
      </w:r>
      <w:r w:rsidR="00C63F8F" w:rsidRPr="00E27443">
        <w:t xml:space="preserve"> </w:t>
      </w:r>
      <w:r w:rsidRPr="00E27443">
        <w:t>the</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of</w:t>
      </w:r>
      <w:r w:rsidR="00C63F8F" w:rsidRPr="00E27443">
        <w:t xml:space="preserve"> </w:t>
      </w:r>
      <w:r w:rsidRPr="00E27443">
        <w:t>children</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another</w:t>
      </w:r>
      <w:r w:rsidR="00C63F8F" w:rsidRPr="00E27443">
        <w:t xml:space="preserve"> </w:t>
      </w:r>
      <w:r w:rsidRPr="00E27443">
        <w:t>way.</w:t>
      </w:r>
      <w:r w:rsidR="00C63F8F" w:rsidRPr="00E27443">
        <w:t xml:space="preserve"> </w:t>
      </w:r>
    </w:p>
    <w:p w:rsidR="00321ADA" w:rsidRPr="00E27443" w:rsidRDefault="004E04AD" w:rsidP="004E04AD">
      <w:pPr>
        <w:pStyle w:val="HChG"/>
      </w:pPr>
      <w:r w:rsidRPr="00E27443">
        <w:tab/>
      </w:r>
      <w:bookmarkStart w:id="36" w:name="_Toc290623319"/>
      <w:r w:rsidR="00321ADA" w:rsidRPr="00E27443">
        <w:t>IV.</w:t>
      </w:r>
      <w:r w:rsidR="00C63F8F" w:rsidRPr="00E27443">
        <w:t xml:space="preserve"> </w:t>
      </w:r>
      <w:r w:rsidRPr="00E27443">
        <w:tab/>
      </w:r>
      <w:r w:rsidR="00321ADA" w:rsidRPr="00E27443">
        <w:t>Specific</w:t>
      </w:r>
      <w:r w:rsidR="00C63F8F" w:rsidRPr="00E27443">
        <w:t xml:space="preserve"> </w:t>
      </w:r>
      <w:r w:rsidR="00321ADA" w:rsidRPr="00E27443">
        <w:t>obligations</w:t>
      </w:r>
      <w:bookmarkEnd w:id="36"/>
    </w:p>
    <w:p w:rsidR="00321ADA" w:rsidRPr="00E27443" w:rsidRDefault="004E04AD" w:rsidP="004E04AD">
      <w:pPr>
        <w:pStyle w:val="H1G"/>
      </w:pPr>
      <w:r w:rsidRPr="00E27443">
        <w:tab/>
      </w:r>
      <w:r w:rsidRPr="00E27443">
        <w:tab/>
      </w:r>
      <w:bookmarkStart w:id="37" w:name="_Toc290623320"/>
      <w:r w:rsidR="00321ADA" w:rsidRPr="00E27443">
        <w:t>Article</w:t>
      </w:r>
      <w:r w:rsidR="00C63F8F" w:rsidRPr="00E27443">
        <w:t xml:space="preserve"> </w:t>
      </w:r>
      <w:r w:rsidR="00321ADA" w:rsidRPr="00E27443">
        <w:t>31</w:t>
      </w:r>
      <w:r w:rsidR="000D09CE">
        <w:t>:</w:t>
      </w:r>
      <w:r w:rsidR="00C63F8F" w:rsidRPr="00E27443">
        <w:t xml:space="preserve"> </w:t>
      </w:r>
      <w:r w:rsidR="00321ADA" w:rsidRPr="00E27443">
        <w:t>Statistics</w:t>
      </w:r>
      <w:r w:rsidR="00C63F8F" w:rsidRPr="00E27443">
        <w:t xml:space="preserve"> </w:t>
      </w:r>
      <w:r w:rsidR="00321ADA" w:rsidRPr="00E27443">
        <w:t>and</w:t>
      </w:r>
      <w:r w:rsidR="00C63F8F" w:rsidRPr="00E27443">
        <w:t xml:space="preserve"> </w:t>
      </w:r>
      <w:r w:rsidR="00321ADA" w:rsidRPr="00E27443">
        <w:t>data</w:t>
      </w:r>
      <w:r w:rsidR="00C63F8F" w:rsidRPr="00E27443">
        <w:t xml:space="preserve"> </w:t>
      </w:r>
      <w:r w:rsidR="00321ADA" w:rsidRPr="00E27443">
        <w:t>collection</w:t>
      </w:r>
      <w:bookmarkEnd w:id="37"/>
    </w:p>
    <w:p w:rsidR="00321ADA" w:rsidRPr="00E27443" w:rsidRDefault="00321ADA" w:rsidP="000D09CE">
      <w:pPr>
        <w:pStyle w:val="SingleTxtG"/>
        <w:numPr>
          <w:ilvl w:val="0"/>
          <w:numId w:val="20"/>
        </w:numPr>
        <w:tabs>
          <w:tab w:val="left" w:pos="1843"/>
        </w:tabs>
        <w:ind w:left="1134" w:firstLine="0"/>
      </w:pPr>
      <w:r w:rsidRPr="00E27443">
        <w:t>The</w:t>
      </w:r>
      <w:r w:rsidR="00C63F8F" w:rsidRPr="00E27443">
        <w:t xml:space="preserve"> </w:t>
      </w:r>
      <w:r w:rsidRPr="00E27443">
        <w:t>fundamental</w:t>
      </w:r>
      <w:r w:rsidR="00C63F8F" w:rsidRPr="00E27443">
        <w:t xml:space="preserve"> </w:t>
      </w:r>
      <w:r w:rsidRPr="00E27443">
        <w:t>provision</w:t>
      </w:r>
      <w:r w:rsidR="00C63F8F" w:rsidRPr="00E27443">
        <w:t xml:space="preserve"> </w:t>
      </w:r>
      <w:r w:rsidRPr="00E27443">
        <w:t>regarding</w:t>
      </w:r>
      <w:r w:rsidR="00C63F8F" w:rsidRPr="00E27443">
        <w:t xml:space="preserve"> </w:t>
      </w:r>
      <w:r w:rsidRPr="00E27443">
        <w:t>integrity</w:t>
      </w:r>
      <w:r w:rsidR="00C63F8F" w:rsidRPr="00E27443">
        <w:t xml:space="preserve"> </w:t>
      </w:r>
      <w:r w:rsidRPr="00E27443">
        <w:t>protection</w:t>
      </w:r>
      <w:r w:rsidR="00C63F8F" w:rsidRPr="00E27443">
        <w:t xml:space="preserve"> </w:t>
      </w:r>
      <w:r w:rsidRPr="00E27443">
        <w:t>in</w:t>
      </w:r>
      <w:r w:rsidR="00C63F8F" w:rsidRPr="00E27443">
        <w:t xml:space="preserve"> </w:t>
      </w:r>
      <w:r w:rsidRPr="00E27443">
        <w:t>the</w:t>
      </w:r>
      <w:r w:rsidR="00C63F8F" w:rsidRPr="00E27443">
        <w:t xml:space="preserve"> </w:t>
      </w:r>
      <w:r w:rsidRPr="00E27443">
        <w:t>field</w:t>
      </w:r>
      <w:r w:rsidR="00C63F8F" w:rsidRPr="00E27443">
        <w:t xml:space="preserve"> </w:t>
      </w:r>
      <w:r w:rsidRPr="00E27443">
        <w:t>of</w:t>
      </w:r>
      <w:r w:rsidR="00C63F8F" w:rsidRPr="00E27443">
        <w:t xml:space="preserve"> </w:t>
      </w:r>
      <w:r w:rsidRPr="00E27443">
        <w:t>IT</w:t>
      </w:r>
      <w:r w:rsidR="00C63F8F" w:rsidRPr="00E27443">
        <w:t xml:space="preserve"> </w:t>
      </w:r>
      <w:r w:rsidRPr="00E27443">
        <w:t>can</w:t>
      </w:r>
      <w:r w:rsidR="00C63F8F" w:rsidRPr="00E27443">
        <w:t xml:space="preserve"> </w:t>
      </w:r>
      <w:r w:rsidRPr="00E27443">
        <w:t>be</w:t>
      </w:r>
      <w:r w:rsidR="00C63F8F" w:rsidRPr="00E27443">
        <w:t xml:space="preserve"> </w:t>
      </w:r>
      <w:r w:rsidRPr="00E27443">
        <w:t>found</w:t>
      </w:r>
      <w:r w:rsidR="00C63F8F" w:rsidRPr="00E27443">
        <w:t xml:space="preserve"> </w:t>
      </w:r>
      <w:r w:rsidRPr="00E27443">
        <w:t>in</w:t>
      </w:r>
      <w:r w:rsidR="00C63F8F" w:rsidRPr="00E27443">
        <w:t xml:space="preserve"> </w:t>
      </w:r>
      <w:r w:rsidRPr="00E27443">
        <w:t>the</w:t>
      </w:r>
      <w:r w:rsidR="00C63F8F" w:rsidRPr="00E27443">
        <w:t xml:space="preserve"> </w:t>
      </w:r>
      <w:r w:rsidRPr="00E27443">
        <w:t>Constitution</w:t>
      </w:r>
      <w:r w:rsidR="00C63F8F" w:rsidRPr="00E27443">
        <w:t xml:space="preserve"> </w:t>
      </w:r>
      <w:r w:rsidRPr="00E27443">
        <w:t>Act.</w:t>
      </w:r>
      <w:r w:rsidR="004E04AD" w:rsidRPr="000D09CE">
        <w:footnoteReference w:id="155"/>
      </w:r>
      <w:r w:rsidR="00C63F8F" w:rsidRPr="00E27443">
        <w:t xml:space="preserve"> </w:t>
      </w:r>
      <w:r w:rsidRPr="00E27443">
        <w:t>This</w:t>
      </w:r>
      <w:r w:rsidR="00C63F8F" w:rsidRPr="00E27443">
        <w:t xml:space="preserve"> </w:t>
      </w:r>
      <w:r w:rsidRPr="00E27443">
        <w:t>states</w:t>
      </w:r>
      <w:r w:rsidR="00C63F8F" w:rsidRPr="00E27443">
        <w:t xml:space="preserve"> </w:t>
      </w:r>
      <w:r w:rsidRPr="00E27443">
        <w:t>that</w:t>
      </w:r>
      <w:r w:rsidR="00C63F8F" w:rsidRPr="00E27443">
        <w:t xml:space="preserve"> </w:t>
      </w:r>
      <w:r w:rsidRPr="00E27443">
        <w:t>every</w:t>
      </w:r>
      <w:r w:rsidR="00C63F8F" w:rsidRPr="00E27443">
        <w:t xml:space="preserve"> </w:t>
      </w:r>
      <w:r w:rsidRPr="00E27443">
        <w:t>citizen,</w:t>
      </w:r>
      <w:r w:rsidR="00C63F8F" w:rsidRPr="00E27443">
        <w:t xml:space="preserve"> </w:t>
      </w:r>
      <w:r w:rsidRPr="00E27443">
        <w:t>to</w:t>
      </w:r>
      <w:r w:rsidR="00C63F8F" w:rsidRPr="00E27443">
        <w:t xml:space="preserve"> </w:t>
      </w:r>
      <w:r w:rsidRPr="00E27443">
        <w:t>the</w:t>
      </w:r>
      <w:r w:rsidR="00C63F8F" w:rsidRPr="00E27443">
        <w:t xml:space="preserve"> </w:t>
      </w:r>
      <w:r w:rsidRPr="00E27443">
        <w:t>extent</w:t>
      </w:r>
      <w:r w:rsidR="00C63F8F" w:rsidRPr="00E27443">
        <w:t xml:space="preserve"> </w:t>
      </w:r>
      <w:r w:rsidRPr="00E27443">
        <w:t>set</w:t>
      </w:r>
      <w:r w:rsidR="00C63F8F" w:rsidRPr="00E27443">
        <w:t xml:space="preserve"> </w:t>
      </w:r>
      <w:r w:rsidRPr="00E27443">
        <w:t>out</w:t>
      </w:r>
      <w:r w:rsidR="00C63F8F" w:rsidRPr="00E27443">
        <w:t xml:space="preserve"> </w:t>
      </w:r>
      <w:r w:rsidRPr="00E27443">
        <w:t>by</w:t>
      </w:r>
      <w:r w:rsidR="00C63F8F" w:rsidRPr="00E27443">
        <w:t xml:space="preserve"> </w:t>
      </w:r>
      <w:r w:rsidRPr="00E27443">
        <w:t>law,</w:t>
      </w:r>
      <w:r w:rsidR="00C63F8F" w:rsidRPr="00E27443">
        <w:t xml:space="preserve"> </w:t>
      </w:r>
      <w:r w:rsidRPr="00E27443">
        <w:t>must</w:t>
      </w:r>
      <w:r w:rsidR="00C63F8F" w:rsidRPr="00E27443">
        <w:t xml:space="preserve"> </w:t>
      </w:r>
      <w:r w:rsidRPr="00E27443">
        <w:t>be</w:t>
      </w:r>
      <w:r w:rsidR="00C63F8F" w:rsidRPr="00E27443">
        <w:t xml:space="preserve"> </w:t>
      </w:r>
      <w:r w:rsidRPr="00E27443">
        <w:t>protected</w:t>
      </w:r>
      <w:r w:rsidR="00C63F8F" w:rsidRPr="00E27443">
        <w:t xml:space="preserve"> </w:t>
      </w:r>
      <w:r w:rsidRPr="00E27443">
        <w:t>against</w:t>
      </w:r>
      <w:r w:rsidR="00C63F8F" w:rsidRPr="00E27443">
        <w:t xml:space="preserve"> </w:t>
      </w:r>
      <w:r w:rsidRPr="00E27443">
        <w:t>the</w:t>
      </w:r>
      <w:r w:rsidR="00C63F8F" w:rsidRPr="00E27443">
        <w:t xml:space="preserve"> </w:t>
      </w:r>
      <w:r w:rsidRPr="00E27443">
        <w:t>infringement</w:t>
      </w:r>
      <w:r w:rsidR="00C63F8F" w:rsidRPr="00E27443">
        <w:t xml:space="preserve"> </w:t>
      </w:r>
      <w:r w:rsidRPr="00E27443">
        <w:t>of</w:t>
      </w:r>
      <w:r w:rsidR="00C63F8F" w:rsidRPr="00E27443">
        <w:t xml:space="preserve"> </w:t>
      </w:r>
      <w:r w:rsidRPr="00E27443">
        <w:t>his</w:t>
      </w:r>
      <w:r w:rsidR="00C63F8F" w:rsidRPr="00E27443">
        <w:t xml:space="preserve"> </w:t>
      </w:r>
      <w:r w:rsidRPr="00E27443">
        <w:t>or</w:t>
      </w:r>
      <w:r w:rsidR="00C63F8F" w:rsidRPr="00E27443">
        <w:t xml:space="preserve"> </w:t>
      </w:r>
      <w:r w:rsidRPr="00E27443">
        <w:t>her</w:t>
      </w:r>
      <w:r w:rsidR="00C63F8F" w:rsidRPr="00E27443">
        <w:t xml:space="preserve"> </w:t>
      </w:r>
      <w:r w:rsidRPr="00E27443">
        <w:t>personal</w:t>
      </w:r>
      <w:r w:rsidR="00C63F8F" w:rsidRPr="00E27443">
        <w:t xml:space="preserve"> </w:t>
      </w:r>
      <w:r w:rsidRPr="00E27443">
        <w:t>integrity</w:t>
      </w:r>
      <w:r w:rsidR="00C63F8F" w:rsidRPr="00E27443">
        <w:t xml:space="preserve"> </w:t>
      </w:r>
      <w:r w:rsidRPr="00E27443">
        <w:t>by</w:t>
      </w:r>
      <w:r w:rsidR="00C63F8F" w:rsidRPr="00E27443">
        <w:t xml:space="preserve"> </w:t>
      </w:r>
      <w:r w:rsidRPr="00E27443">
        <w:t>means</w:t>
      </w:r>
      <w:r w:rsidR="00C63F8F" w:rsidRPr="00E27443">
        <w:t xml:space="preserve"> </w:t>
      </w:r>
      <w:r w:rsidRPr="00E27443">
        <w:t>of</w:t>
      </w:r>
      <w:r w:rsidR="00C63F8F" w:rsidRPr="00E27443">
        <w:t xml:space="preserve"> </w:t>
      </w:r>
      <w:r w:rsidRPr="00E27443">
        <w:t>information</w:t>
      </w:r>
      <w:r w:rsidR="00C63F8F" w:rsidRPr="00E27443">
        <w:t xml:space="preserve"> </w:t>
      </w:r>
      <w:r w:rsidRPr="00E27443">
        <w:t>about</w:t>
      </w:r>
      <w:r w:rsidR="00C63F8F" w:rsidRPr="00E27443">
        <w:t xml:space="preserve"> </w:t>
      </w:r>
      <w:r w:rsidRPr="00E27443">
        <w:t>him</w:t>
      </w:r>
      <w:r w:rsidR="00C63F8F" w:rsidRPr="00E27443">
        <w:t xml:space="preserve"> </w:t>
      </w:r>
      <w:r w:rsidRPr="00E27443">
        <w:t>or</w:t>
      </w:r>
      <w:r w:rsidR="00C63F8F" w:rsidRPr="00E27443">
        <w:t xml:space="preserve"> </w:t>
      </w:r>
      <w:r w:rsidRPr="00E27443">
        <w:t>her</w:t>
      </w:r>
      <w:r w:rsidR="00C63F8F" w:rsidRPr="00E27443">
        <w:t xml:space="preserve"> </w:t>
      </w:r>
      <w:r w:rsidRPr="00E27443">
        <w:t>being</w:t>
      </w:r>
      <w:r w:rsidR="00C63F8F" w:rsidRPr="00E27443">
        <w:t xml:space="preserve"> </w:t>
      </w:r>
      <w:r w:rsidRPr="00E27443">
        <w:t>registered</w:t>
      </w:r>
      <w:r w:rsidR="00C63F8F" w:rsidRPr="00E27443">
        <w:t xml:space="preserve"> </w:t>
      </w:r>
      <w:r w:rsidRPr="00E27443">
        <w:t>with</w:t>
      </w:r>
      <w:r w:rsidR="00C63F8F" w:rsidRPr="00E27443">
        <w:t xml:space="preserve"> </w:t>
      </w:r>
      <w:r w:rsidRPr="00E27443">
        <w:t>the</w:t>
      </w:r>
      <w:r w:rsidR="00C63F8F" w:rsidRPr="00E27443">
        <w:t xml:space="preserve"> </w:t>
      </w:r>
      <w:r w:rsidRPr="00E27443">
        <w:t>aid</w:t>
      </w:r>
      <w:r w:rsidR="00C63F8F" w:rsidRPr="00E27443">
        <w:t xml:space="preserve"> </w:t>
      </w:r>
      <w:r w:rsidRPr="00E27443">
        <w:t>of</w:t>
      </w:r>
      <w:r w:rsidR="00C63F8F" w:rsidRPr="00E27443">
        <w:t xml:space="preserve"> </w:t>
      </w:r>
      <w:r w:rsidRPr="00E27443">
        <w:t>electronic</w:t>
      </w:r>
      <w:r w:rsidR="00C63F8F" w:rsidRPr="00E27443">
        <w:t xml:space="preserve"> </w:t>
      </w:r>
      <w:r w:rsidRPr="00E27443">
        <w:t>data</w:t>
      </w:r>
      <w:r w:rsidR="00C63F8F" w:rsidRPr="00E27443">
        <w:t xml:space="preserve"> </w:t>
      </w:r>
      <w:r w:rsidRPr="00E27443">
        <w:t>processing.</w:t>
      </w:r>
      <w:r w:rsidR="00C63F8F" w:rsidRPr="00E27443">
        <w:t xml:space="preserve"> </w:t>
      </w:r>
      <w:r w:rsidRPr="00E27443">
        <w:t>The</w:t>
      </w:r>
      <w:r w:rsidR="00C63F8F" w:rsidRPr="00E27443">
        <w:t xml:space="preserve"> </w:t>
      </w:r>
      <w:r w:rsidRPr="00E27443">
        <w:t>provision</w:t>
      </w:r>
      <w:r w:rsidR="00C63F8F" w:rsidRPr="00E27443">
        <w:t xml:space="preserve"> </w:t>
      </w:r>
      <w:r w:rsidRPr="00E27443">
        <w:t>does</w:t>
      </w:r>
      <w:r w:rsidR="00C63F8F" w:rsidRPr="00E27443">
        <w:t xml:space="preserve"> </w:t>
      </w:r>
      <w:r w:rsidRPr="00E27443">
        <w:t>not</w:t>
      </w:r>
      <w:r w:rsidR="00C63F8F" w:rsidRPr="00E27443">
        <w:t xml:space="preserve"> </w:t>
      </w:r>
      <w:r w:rsidRPr="00E27443">
        <w:t>set</w:t>
      </w:r>
      <w:r w:rsidR="00C63F8F" w:rsidRPr="00E27443">
        <w:t xml:space="preserve"> </w:t>
      </w:r>
      <w:r w:rsidRPr="00E27443">
        <w:t>out</w:t>
      </w:r>
      <w:r w:rsidR="00C63F8F" w:rsidRPr="00E27443">
        <w:t xml:space="preserve"> </w:t>
      </w:r>
      <w:r w:rsidRPr="00E27443">
        <w:t>in</w:t>
      </w:r>
      <w:r w:rsidR="00C63F8F" w:rsidRPr="00E27443">
        <w:t xml:space="preserve"> </w:t>
      </w:r>
      <w:r w:rsidRPr="00E27443">
        <w:t>detail</w:t>
      </w:r>
      <w:r w:rsidR="00C63F8F" w:rsidRPr="00E27443">
        <w:t xml:space="preserve"> </w:t>
      </w:r>
      <w:r w:rsidRPr="00E27443">
        <w:t>how</w:t>
      </w:r>
      <w:r w:rsidR="00C63F8F" w:rsidRPr="00E27443">
        <w:t xml:space="preserve"> </w:t>
      </w:r>
      <w:r w:rsidRPr="00E27443">
        <w:t>this</w:t>
      </w:r>
      <w:r w:rsidR="00C63F8F" w:rsidRPr="00E27443">
        <w:t xml:space="preserve"> </w:t>
      </w:r>
      <w:r w:rsidRPr="00E27443">
        <w:t>protection</w:t>
      </w:r>
      <w:r w:rsidR="00C63F8F" w:rsidRPr="00E27443">
        <w:t xml:space="preserve"> </w:t>
      </w:r>
      <w:r w:rsidRPr="00E27443">
        <w:t>should</w:t>
      </w:r>
      <w:r w:rsidR="00C63F8F" w:rsidRPr="00E27443">
        <w:t xml:space="preserve"> </w:t>
      </w:r>
      <w:r w:rsidRPr="00E27443">
        <w:t>be</w:t>
      </w:r>
      <w:r w:rsidR="00C63F8F" w:rsidRPr="00E27443">
        <w:t xml:space="preserve"> </w:t>
      </w:r>
      <w:r w:rsidRPr="00E27443">
        <w:t>formulated,</w:t>
      </w:r>
      <w:r w:rsidR="00C63F8F" w:rsidRPr="00E27443">
        <w:t xml:space="preserve"> </w:t>
      </w:r>
      <w:r w:rsidRPr="00E27443">
        <w:t>the</w:t>
      </w:r>
      <w:r w:rsidR="00C63F8F" w:rsidRPr="00E27443">
        <w:t xml:space="preserve"> </w:t>
      </w:r>
      <w:r w:rsidRPr="00E27443">
        <w:t>circumstances</w:t>
      </w:r>
      <w:r w:rsidR="00C63F8F" w:rsidRPr="00E27443">
        <w:t xml:space="preserve"> </w:t>
      </w:r>
      <w:r w:rsidRPr="00E27443">
        <w:t>under</w:t>
      </w:r>
      <w:r w:rsidR="00C63F8F" w:rsidRPr="00E27443">
        <w:t xml:space="preserve"> </w:t>
      </w:r>
      <w:r w:rsidRPr="00E27443">
        <w:t>which</w:t>
      </w:r>
      <w:r w:rsidR="00C63F8F" w:rsidRPr="00E27443">
        <w:t xml:space="preserve"> </w:t>
      </w:r>
      <w:r w:rsidRPr="00E27443">
        <w:t>it</w:t>
      </w:r>
      <w:r w:rsidR="00C63F8F" w:rsidRPr="00E27443">
        <w:t xml:space="preserve"> </w:t>
      </w:r>
      <w:r w:rsidRPr="00E27443">
        <w:t>is</w:t>
      </w:r>
      <w:r w:rsidR="00C63F8F" w:rsidRPr="00E27443">
        <w:t xml:space="preserve"> </w:t>
      </w:r>
      <w:r w:rsidRPr="00E27443">
        <w:t>permitted</w:t>
      </w:r>
      <w:r w:rsidR="00C63F8F" w:rsidRPr="00E27443">
        <w:t xml:space="preserve"> </w:t>
      </w:r>
      <w:r w:rsidRPr="00E27443">
        <w:t>to</w:t>
      </w:r>
      <w:r w:rsidR="00C63F8F" w:rsidRPr="00E27443">
        <w:t xml:space="preserve"> </w:t>
      </w:r>
      <w:r w:rsidRPr="00E27443">
        <w:t>maintain</w:t>
      </w:r>
      <w:r w:rsidR="00C63F8F" w:rsidRPr="00E27443">
        <w:t xml:space="preserve"> </w:t>
      </w:r>
      <w:r w:rsidRPr="00E27443">
        <w:t>a</w:t>
      </w:r>
      <w:r w:rsidR="00C63F8F" w:rsidRPr="00E27443">
        <w:t xml:space="preserve"> </w:t>
      </w:r>
      <w:r w:rsidRPr="00E27443">
        <w:t>personal</w:t>
      </w:r>
      <w:r w:rsidR="00C63F8F" w:rsidRPr="00E27443">
        <w:t xml:space="preserve"> </w:t>
      </w:r>
      <w:r w:rsidRPr="00E27443">
        <w:t>register,</w:t>
      </w:r>
      <w:r w:rsidR="00C63F8F" w:rsidRPr="00E27443">
        <w:t xml:space="preserve"> </w:t>
      </w:r>
      <w:r w:rsidRPr="00E27443">
        <w:t>nor</w:t>
      </w:r>
      <w:r w:rsidR="00C63F8F" w:rsidRPr="00E27443">
        <w:t xml:space="preserve"> </w:t>
      </w:r>
      <w:r w:rsidRPr="00E27443">
        <w:t>the</w:t>
      </w:r>
      <w:r w:rsidR="00C63F8F" w:rsidRPr="00E27443">
        <w:t xml:space="preserve"> </w:t>
      </w:r>
      <w:r w:rsidRPr="00E27443">
        <w:t>conditions</w:t>
      </w:r>
      <w:r w:rsidR="00C63F8F" w:rsidRPr="00E27443">
        <w:t xml:space="preserve"> </w:t>
      </w:r>
      <w:r w:rsidRPr="00E27443">
        <w:t>under</w:t>
      </w:r>
      <w:r w:rsidR="00C63F8F" w:rsidRPr="00E27443">
        <w:t xml:space="preserve"> </w:t>
      </w:r>
      <w:r w:rsidRPr="00E27443">
        <w:t>which</w:t>
      </w:r>
      <w:r w:rsidR="00C63F8F" w:rsidRPr="00E27443">
        <w:t xml:space="preserve"> </w:t>
      </w:r>
      <w:r w:rsidRPr="00E27443">
        <w:t>personal</w:t>
      </w:r>
      <w:r w:rsidR="00C63F8F" w:rsidRPr="00E27443">
        <w:t xml:space="preserve"> </w:t>
      </w:r>
      <w:r w:rsidRPr="00E27443">
        <w:t>data</w:t>
      </w:r>
      <w:r w:rsidR="00C63F8F" w:rsidRPr="00E27443">
        <w:t xml:space="preserve"> </w:t>
      </w:r>
      <w:r w:rsidRPr="00E27443">
        <w:t>may</w:t>
      </w:r>
      <w:r w:rsidR="00C63F8F" w:rsidRPr="00E27443">
        <w:t xml:space="preserve"> </w:t>
      </w:r>
      <w:r w:rsidRPr="00E27443">
        <w:t>be</w:t>
      </w:r>
      <w:r w:rsidR="00C63F8F" w:rsidRPr="00E27443">
        <w:t xml:space="preserve"> </w:t>
      </w:r>
      <w:r w:rsidRPr="00E27443">
        <w:t>co-ordinated.</w:t>
      </w:r>
      <w:r w:rsidR="00C63F8F" w:rsidRPr="00E27443">
        <w:t xml:space="preserve"> </w:t>
      </w:r>
      <w:r w:rsidRPr="00E27443">
        <w:t>The</w:t>
      </w:r>
      <w:r w:rsidR="00C63F8F" w:rsidRPr="00E27443">
        <w:t xml:space="preserve"> </w:t>
      </w:r>
      <w:r w:rsidRPr="00E27443">
        <w:t>more</w:t>
      </w:r>
      <w:r w:rsidR="00C63F8F" w:rsidRPr="00E27443">
        <w:t xml:space="preserve"> </w:t>
      </w:r>
      <w:r w:rsidRPr="00E27443">
        <w:t>detailed</w:t>
      </w:r>
      <w:r w:rsidR="00C63F8F" w:rsidRPr="00E27443">
        <w:t xml:space="preserve"> </w:t>
      </w:r>
      <w:r w:rsidRPr="00E27443">
        <w:t>regulation</w:t>
      </w:r>
      <w:r w:rsidR="00C63F8F" w:rsidRPr="00E27443">
        <w:t xml:space="preserve"> </w:t>
      </w:r>
      <w:r w:rsidRPr="00E27443">
        <w:t>of</w:t>
      </w:r>
      <w:r w:rsidR="00C63F8F" w:rsidRPr="00E27443">
        <w:t xml:space="preserve"> </w:t>
      </w:r>
      <w:r w:rsidRPr="00E27443">
        <w:t>integrity</w:t>
      </w:r>
      <w:r w:rsidR="00C63F8F" w:rsidRPr="00E27443">
        <w:t xml:space="preserve"> </w:t>
      </w:r>
      <w:r w:rsidRPr="00E27443">
        <w:t>protection</w:t>
      </w:r>
      <w:r w:rsidR="00C63F8F" w:rsidRPr="00E27443">
        <w:t xml:space="preserve"> </w:t>
      </w:r>
      <w:r w:rsidRPr="00E27443">
        <w:t>will</w:t>
      </w:r>
      <w:r w:rsidR="00C63F8F" w:rsidRPr="00E27443">
        <w:t xml:space="preserve"> </w:t>
      </w:r>
      <w:r w:rsidRPr="00E27443">
        <w:t>be</w:t>
      </w:r>
      <w:r w:rsidR="00C63F8F" w:rsidRPr="00E27443">
        <w:t xml:space="preserve"> </w:t>
      </w:r>
      <w:r w:rsidRPr="00E27443">
        <w:t>specified</w:t>
      </w:r>
      <w:r w:rsidR="00C63F8F" w:rsidRPr="00E27443">
        <w:t xml:space="preserve"> </w:t>
      </w:r>
      <w:r w:rsidRPr="00E27443">
        <w:t>in</w:t>
      </w:r>
      <w:r w:rsidR="00C63F8F" w:rsidRPr="00E27443">
        <w:t xml:space="preserve"> </w:t>
      </w:r>
      <w:r w:rsidRPr="00E27443">
        <w:t>laws.</w:t>
      </w:r>
      <w:r w:rsidR="00C63F8F" w:rsidRPr="00E27443">
        <w:t xml:space="preserve"> </w:t>
      </w:r>
      <w:r w:rsidRPr="00E27443">
        <w:t>Such</w:t>
      </w:r>
      <w:r w:rsidR="00C63F8F" w:rsidRPr="00E27443">
        <w:t xml:space="preserve"> </w:t>
      </w:r>
      <w:r w:rsidRPr="00E27443">
        <w:t>rules</w:t>
      </w:r>
      <w:r w:rsidR="00C63F8F" w:rsidRPr="00E27443">
        <w:t xml:space="preserve"> </w:t>
      </w:r>
      <w:r w:rsidRPr="00E27443">
        <w:t>for</w:t>
      </w:r>
      <w:r w:rsidR="00C63F8F" w:rsidRPr="00E27443">
        <w:t xml:space="preserve"> </w:t>
      </w:r>
      <w:r w:rsidRPr="00E27443">
        <w:t>protecting</w:t>
      </w:r>
      <w:r w:rsidR="00C63F8F" w:rsidRPr="00E27443">
        <w:t xml:space="preserve"> </w:t>
      </w:r>
      <w:r w:rsidRPr="00E27443">
        <w:t>integrity</w:t>
      </w:r>
      <w:r w:rsidR="00C63F8F" w:rsidRPr="00E27443">
        <w:t xml:space="preserve"> </w:t>
      </w:r>
      <w:r w:rsidRPr="00E27443">
        <w:t>are</w:t>
      </w:r>
      <w:r w:rsidR="00C63F8F" w:rsidRPr="00E27443">
        <w:t xml:space="preserve"> </w:t>
      </w:r>
      <w:r w:rsidRPr="00E27443">
        <w:t>primarily</w:t>
      </w:r>
      <w:r w:rsidR="00C63F8F" w:rsidRPr="00E27443">
        <w:t xml:space="preserve"> </w:t>
      </w:r>
      <w:r w:rsidRPr="00E27443">
        <w:t>contained</w:t>
      </w:r>
      <w:r w:rsidR="00C63F8F" w:rsidRPr="00E27443">
        <w:t xml:space="preserve"> </w:t>
      </w:r>
      <w:r w:rsidRPr="00E27443">
        <w:t>in</w:t>
      </w:r>
      <w:r w:rsidR="00C63F8F" w:rsidRPr="00E27443">
        <w:t xml:space="preserve"> </w:t>
      </w:r>
      <w:r w:rsidRPr="00E27443">
        <w:t>the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4E04AD" w:rsidRPr="000D09CE">
        <w:footnoteReference w:id="156"/>
      </w:r>
      <w:r w:rsidR="00C63F8F" w:rsidRPr="00E27443">
        <w:t xml:space="preserve"> </w:t>
      </w:r>
      <w:r w:rsidRPr="00E27443">
        <w:t>which</w:t>
      </w:r>
      <w:r w:rsidR="00C63F8F" w:rsidRPr="00E27443">
        <w:t xml:space="preserve"> </w:t>
      </w:r>
      <w:r w:rsidRPr="00E27443">
        <w:t>entered</w:t>
      </w:r>
      <w:r w:rsidR="00C63F8F" w:rsidRPr="00E27443">
        <w:t xml:space="preserve"> </w:t>
      </w:r>
      <w:r w:rsidRPr="00E27443">
        <w:t>into</w:t>
      </w:r>
      <w:r w:rsidR="00C63F8F" w:rsidRPr="00E27443">
        <w:t xml:space="preserve"> </w:t>
      </w:r>
      <w:r w:rsidRPr="00E27443">
        <w:t>force</w:t>
      </w:r>
      <w:r w:rsidR="00C63F8F" w:rsidRPr="00E27443">
        <w:t xml:space="preserve"> </w:t>
      </w:r>
      <w:r w:rsidRPr="00E27443">
        <w:t>in</w:t>
      </w:r>
      <w:r w:rsidR="00C63F8F" w:rsidRPr="00E27443">
        <w:t xml:space="preserve"> </w:t>
      </w:r>
      <w:r w:rsidRPr="00E27443">
        <w:t>October</w:t>
      </w:r>
      <w:r w:rsidR="00C63F8F" w:rsidRPr="00E27443">
        <w:t xml:space="preserve"> </w:t>
      </w:r>
      <w:r w:rsidRPr="00E27443">
        <w:t>1998.</w:t>
      </w:r>
      <w:r w:rsidR="00C63F8F" w:rsidRPr="00E27443">
        <w:t xml:space="preserve"> </w:t>
      </w:r>
      <w:r w:rsidRPr="00E27443">
        <w:t>The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C63F8F" w:rsidRPr="00E27443">
        <w:t xml:space="preserve"> </w:t>
      </w:r>
      <w:r w:rsidRPr="00E27443">
        <w:t>replaced</w:t>
      </w:r>
      <w:r w:rsidR="00C63F8F" w:rsidRPr="00E27443">
        <w:t xml:space="preserve"> </w:t>
      </w:r>
      <w:r w:rsidRPr="00E27443">
        <w:t>the</w:t>
      </w:r>
      <w:r w:rsidR="00C63F8F" w:rsidRPr="00E27443">
        <w:t xml:space="preserve"> </w:t>
      </w:r>
      <w:r w:rsidRPr="00E27443">
        <w:t>Data</w:t>
      </w:r>
      <w:r w:rsidR="00C63F8F" w:rsidRPr="00E27443">
        <w:t xml:space="preserve"> </w:t>
      </w:r>
      <w:r w:rsidRPr="00E27443">
        <w:t>Act.</w:t>
      </w:r>
      <w:r w:rsidR="004E04AD" w:rsidRPr="000D09CE">
        <w:footnoteReference w:id="157"/>
      </w:r>
    </w:p>
    <w:p w:rsidR="00321ADA" w:rsidRPr="00E27443" w:rsidRDefault="00321ADA" w:rsidP="000D09CE">
      <w:pPr>
        <w:pStyle w:val="SingleTxtG"/>
        <w:numPr>
          <w:ilvl w:val="0"/>
          <w:numId w:val="20"/>
        </w:numPr>
        <w:tabs>
          <w:tab w:val="left" w:pos="1843"/>
        </w:tabs>
        <w:ind w:left="1134" w:firstLine="0"/>
      </w:pPr>
      <w:r w:rsidRPr="00E27443">
        <w:t>The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the</w:t>
      </w:r>
      <w:r w:rsidR="00C63F8F" w:rsidRPr="00E27443">
        <w:t xml:space="preserve"> </w:t>
      </w:r>
      <w:r w:rsidRPr="00E27443">
        <w:t>Directive</w:t>
      </w:r>
      <w:r w:rsidR="00C63F8F" w:rsidRPr="00E27443">
        <w:t xml:space="preserve"> </w:t>
      </w:r>
      <w:r w:rsidRPr="00E27443">
        <w:t>of</w:t>
      </w:r>
      <w:r w:rsidR="00C63F8F" w:rsidRPr="00E27443">
        <w:t xml:space="preserve"> </w:t>
      </w:r>
      <w:r w:rsidRPr="00E27443">
        <w:t>the</w:t>
      </w:r>
      <w:r w:rsidR="00C63F8F" w:rsidRPr="00E27443">
        <w:t xml:space="preserve"> </w:t>
      </w:r>
      <w:r w:rsidRPr="00E27443">
        <w:t>European</w:t>
      </w:r>
      <w:r w:rsidR="00C63F8F" w:rsidRPr="00E27443">
        <w:t xml:space="preserve"> </w:t>
      </w:r>
      <w:r w:rsidRPr="00E27443">
        <w:t>Parliament</w:t>
      </w:r>
      <w:r w:rsidR="00C63F8F" w:rsidRPr="00E27443">
        <w:t xml:space="preserve"> </w:t>
      </w:r>
      <w:r w:rsidRPr="00E27443">
        <w:t>and</w:t>
      </w:r>
      <w:r w:rsidR="00C63F8F" w:rsidRPr="00E27443">
        <w:t xml:space="preserve"> </w:t>
      </w:r>
      <w:r w:rsidRPr="00E27443">
        <w:t>of</w:t>
      </w:r>
      <w:r w:rsidR="00C63F8F" w:rsidRPr="00E27443">
        <w:t xml:space="preserve"> </w:t>
      </w:r>
      <w:r w:rsidRPr="00E27443">
        <w:t>the</w:t>
      </w:r>
      <w:r w:rsidR="00C63F8F" w:rsidRPr="00E27443">
        <w:t xml:space="preserve"> </w:t>
      </w:r>
      <w:r w:rsidRPr="00E27443">
        <w:t>Council</w:t>
      </w:r>
      <w:r w:rsidR="004E04AD" w:rsidRPr="000D09CE">
        <w:footnoteReference w:id="158"/>
      </w:r>
      <w:r w:rsidR="00C63F8F" w:rsidRPr="00E27443">
        <w:t xml:space="preserve"> </w:t>
      </w:r>
      <w:r w:rsidRPr="00E27443">
        <w:t>on</w:t>
      </w:r>
      <w:r w:rsidR="00C63F8F" w:rsidRPr="00E27443">
        <w:t xml:space="preserve"> </w:t>
      </w:r>
      <w:r w:rsidRPr="00E27443">
        <w:t>the</w:t>
      </w:r>
      <w:r w:rsidR="00C63F8F" w:rsidRPr="00E27443">
        <w:t xml:space="preserve"> </w:t>
      </w:r>
      <w:r w:rsidRPr="00E27443">
        <w:t>protection</w:t>
      </w:r>
      <w:r w:rsidR="00C63F8F" w:rsidRPr="00E27443">
        <w:t xml:space="preserve"> </w:t>
      </w:r>
      <w:r w:rsidRPr="00E27443">
        <w:t>of</w:t>
      </w:r>
      <w:r w:rsidR="00C63F8F" w:rsidRPr="00E27443">
        <w:t xml:space="preserve"> </w:t>
      </w:r>
      <w:r w:rsidRPr="00E27443">
        <w:t>individuals</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the</w:t>
      </w:r>
      <w:r w:rsidR="00C63F8F" w:rsidRPr="00E27443">
        <w:t xml:space="preserve"> </w:t>
      </w:r>
      <w:r w:rsidRPr="00E27443">
        <w:t>processing</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and</w:t>
      </w:r>
      <w:r w:rsidR="00C63F8F" w:rsidRPr="00E27443">
        <w:t xml:space="preserve"> </w:t>
      </w:r>
      <w:r w:rsidRPr="00E27443">
        <w:t>on</w:t>
      </w:r>
      <w:r w:rsidR="00C63F8F" w:rsidRPr="00E27443">
        <w:t xml:space="preserve"> </w:t>
      </w:r>
      <w:r w:rsidRPr="00E27443">
        <w:t>the</w:t>
      </w:r>
      <w:r w:rsidR="00C63F8F" w:rsidRPr="00E27443">
        <w:t xml:space="preserve"> </w:t>
      </w:r>
      <w:r w:rsidRPr="00E27443">
        <w:t>free</w:t>
      </w:r>
      <w:r w:rsidR="00C63F8F" w:rsidRPr="00E27443">
        <w:t xml:space="preserve"> </w:t>
      </w:r>
      <w:r w:rsidRPr="00E27443">
        <w:t>movement</w:t>
      </w:r>
      <w:r w:rsidR="00C63F8F" w:rsidRPr="00E27443">
        <w:t xml:space="preserve"> </w:t>
      </w:r>
      <w:r w:rsidRPr="00E27443">
        <w:t>of</w:t>
      </w:r>
      <w:r w:rsidR="00C63F8F" w:rsidRPr="00E27443">
        <w:t xml:space="preserve"> </w:t>
      </w:r>
      <w:r w:rsidRPr="00E27443">
        <w:t>such</w:t>
      </w:r>
      <w:r w:rsidR="00C63F8F" w:rsidRPr="00E27443">
        <w:t xml:space="preserve"> </w:t>
      </w:r>
      <w:r w:rsidRPr="00E27443">
        <w:t>data,</w:t>
      </w:r>
      <w:r w:rsidR="00C63F8F" w:rsidRPr="00E27443">
        <w:t xml:space="preserve"> </w:t>
      </w:r>
      <w:r w:rsidRPr="00E27443">
        <w:t>known</w:t>
      </w:r>
      <w:r w:rsidR="00C63F8F" w:rsidRPr="00E27443">
        <w:t xml:space="preserve"> </w:t>
      </w:r>
      <w:r w:rsidRPr="00E27443">
        <w:t>as</w:t>
      </w:r>
      <w:r w:rsidR="00C63F8F" w:rsidRPr="00E27443">
        <w:t xml:space="preserve"> </w:t>
      </w:r>
      <w:r w:rsidRPr="00E27443">
        <w:t>the</w:t>
      </w:r>
      <w:r w:rsidR="00C63F8F" w:rsidRPr="00E27443">
        <w:t xml:space="preserve"> </w:t>
      </w:r>
      <w:r w:rsidRPr="00E27443">
        <w:t>Data</w:t>
      </w:r>
      <w:r w:rsidR="00C63F8F" w:rsidRPr="00E27443">
        <w:t xml:space="preserve"> </w:t>
      </w:r>
      <w:r w:rsidRPr="00E27443">
        <w:t>Protection</w:t>
      </w:r>
      <w:r w:rsidR="00C63F8F" w:rsidRPr="00E27443">
        <w:t xml:space="preserve"> </w:t>
      </w:r>
      <w:r w:rsidRPr="00E27443">
        <w:t>Directive.</w:t>
      </w:r>
      <w:r w:rsidR="00C63F8F" w:rsidRPr="00E27443">
        <w:t xml:space="preserve"> </w:t>
      </w:r>
      <w:r w:rsidRPr="00E27443">
        <w:t>Since</w:t>
      </w:r>
      <w:r w:rsidR="00C63F8F" w:rsidRPr="00E27443">
        <w:t xml:space="preserve"> </w:t>
      </w:r>
      <w:r w:rsidRPr="00E27443">
        <w:t>1</w:t>
      </w:r>
      <w:r w:rsidR="00C63F8F" w:rsidRPr="00E27443">
        <w:t xml:space="preserve"> </w:t>
      </w:r>
      <w:r w:rsidRPr="00E27443">
        <w:t>October</w:t>
      </w:r>
      <w:r w:rsidR="00C63F8F" w:rsidRPr="00E27443">
        <w:t xml:space="preserve"> </w:t>
      </w:r>
      <w:r w:rsidRPr="00E27443">
        <w:t>2001,</w:t>
      </w:r>
      <w:r w:rsidR="00C63F8F" w:rsidRPr="00E27443">
        <w:t xml:space="preserve"> </w:t>
      </w:r>
      <w:r w:rsidRPr="00E27443">
        <w:t>the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C63F8F" w:rsidRPr="00E27443">
        <w:t xml:space="preserve"> </w:t>
      </w:r>
      <w:r w:rsidRPr="00E27443">
        <w:t>has</w:t>
      </w:r>
      <w:r w:rsidR="00C63F8F" w:rsidRPr="00E27443">
        <w:t xml:space="preserve"> </w:t>
      </w:r>
      <w:r w:rsidRPr="00E27443">
        <w:t>in</w:t>
      </w:r>
      <w:r w:rsidR="00C63F8F" w:rsidRPr="00E27443">
        <w:t xml:space="preserve"> </w:t>
      </w:r>
      <w:r w:rsidRPr="00E27443">
        <w:t>principle</w:t>
      </w:r>
      <w:r w:rsidR="00C63F8F" w:rsidRPr="00E27443">
        <w:t xml:space="preserve"> </w:t>
      </w:r>
      <w:r w:rsidRPr="00E27443">
        <w:t>been</w:t>
      </w:r>
      <w:r w:rsidR="00C63F8F" w:rsidRPr="00E27443">
        <w:t xml:space="preserve"> </w:t>
      </w:r>
      <w:r w:rsidRPr="00E27443">
        <w:t>applied</w:t>
      </w:r>
      <w:r w:rsidR="00C63F8F" w:rsidRPr="00E27443">
        <w:t xml:space="preserve"> </w:t>
      </w:r>
      <w:r w:rsidRPr="00E27443">
        <w:t>in</w:t>
      </w:r>
      <w:r w:rsidR="00C63F8F" w:rsidRPr="00E27443">
        <w:t xml:space="preserve"> </w:t>
      </w:r>
      <w:r w:rsidRPr="00E27443">
        <w:t>full</w:t>
      </w:r>
      <w:r w:rsidR="00C63F8F" w:rsidRPr="00E27443">
        <w:t xml:space="preserve"> </w:t>
      </w:r>
      <w:r w:rsidRPr="00E27443">
        <w:t>for</w:t>
      </w:r>
      <w:r w:rsidR="00C63F8F" w:rsidRPr="00E27443">
        <w:t xml:space="preserve"> </w:t>
      </w:r>
      <w:r w:rsidRPr="00E27443">
        <w:t>all</w:t>
      </w:r>
      <w:r w:rsidR="00C63F8F" w:rsidRPr="00E27443">
        <w:t xml:space="preserve"> </w:t>
      </w:r>
      <w:r w:rsidRPr="00E27443">
        <w:t>automated</w:t>
      </w:r>
      <w:r w:rsidR="00C63F8F" w:rsidRPr="00E27443">
        <w:t xml:space="preserve"> </w:t>
      </w:r>
      <w:r w:rsidRPr="00E27443">
        <w:t>processing</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unless</w:t>
      </w:r>
      <w:r w:rsidR="00C63F8F" w:rsidRPr="00E27443">
        <w:t xml:space="preserve"> </w:t>
      </w:r>
      <w:r w:rsidRPr="00E27443">
        <w:t>otherwise</w:t>
      </w:r>
      <w:r w:rsidR="00C63F8F" w:rsidRPr="00E27443">
        <w:t xml:space="preserve"> </w:t>
      </w:r>
      <w:r w:rsidRPr="00E27443">
        <w:t>indicated</w:t>
      </w:r>
      <w:r w:rsidR="00C63F8F" w:rsidRPr="00E27443">
        <w:t xml:space="preserve"> </w:t>
      </w:r>
      <w:r w:rsidRPr="00E27443">
        <w:t>by</w:t>
      </w:r>
      <w:r w:rsidR="00C63F8F" w:rsidRPr="00E27443">
        <w:t xml:space="preserve"> </w:t>
      </w:r>
      <w:r w:rsidRPr="00E27443">
        <w:t>some</w:t>
      </w:r>
      <w:r w:rsidR="00C63F8F" w:rsidRPr="00E27443">
        <w:t xml:space="preserve"> </w:t>
      </w:r>
      <w:r w:rsidRPr="00E27443">
        <w:t>other</w:t>
      </w:r>
      <w:r w:rsidR="00C63F8F" w:rsidRPr="00E27443">
        <w:t xml:space="preserve"> </w:t>
      </w:r>
      <w:r w:rsidRPr="00E27443">
        <w:t>statute.</w:t>
      </w:r>
      <w:r w:rsidR="00C63F8F" w:rsidRPr="00E27443">
        <w:t xml:space="preserve"> </w:t>
      </w:r>
      <w:r w:rsidRPr="00E27443">
        <w:t>The</w:t>
      </w:r>
      <w:r w:rsidR="00C63F8F" w:rsidRPr="00E27443">
        <w:t xml:space="preserve"> </w:t>
      </w:r>
      <w:r w:rsidRPr="00E27443">
        <w:t>purpose</w:t>
      </w:r>
      <w:r w:rsidR="00C63F8F" w:rsidRPr="00E27443">
        <w:t xml:space="preserve"> </w:t>
      </w:r>
      <w:r w:rsidRPr="00E27443">
        <w:t>of</w:t>
      </w:r>
      <w:r w:rsidR="00C63F8F" w:rsidRPr="00E27443">
        <w:t xml:space="preserve"> </w:t>
      </w:r>
      <w:r w:rsidRPr="00E27443">
        <w:t>the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C63F8F" w:rsidRPr="00E27443">
        <w:t xml:space="preserve"> </w:t>
      </w:r>
      <w:r w:rsidRPr="00E27443">
        <w:t>is</w:t>
      </w:r>
      <w:r w:rsidR="00C63F8F" w:rsidRPr="00E27443">
        <w:t xml:space="preserve"> </w:t>
      </w:r>
      <w:r w:rsidRPr="00E27443">
        <w:t>to</w:t>
      </w:r>
      <w:r w:rsidR="00C63F8F" w:rsidRPr="00E27443">
        <w:t xml:space="preserve"> </w:t>
      </w:r>
      <w:r w:rsidRPr="00E27443">
        <w:t>protect</w:t>
      </w:r>
      <w:r w:rsidR="00C63F8F" w:rsidRPr="00E27443">
        <w:t xml:space="preserve"> </w:t>
      </w:r>
      <w:r w:rsidRPr="00E27443">
        <w:t>people</w:t>
      </w:r>
      <w:r w:rsidR="00C63F8F" w:rsidRPr="00E27443">
        <w:t xml:space="preserve"> </w:t>
      </w:r>
      <w:r w:rsidRPr="00E27443">
        <w:t>against</w:t>
      </w:r>
      <w:r w:rsidR="00C63F8F" w:rsidRPr="00E27443">
        <w:t xml:space="preserve"> </w:t>
      </w:r>
      <w:r w:rsidRPr="00E27443">
        <w:t>the</w:t>
      </w:r>
      <w:r w:rsidR="00C63F8F" w:rsidRPr="00E27443">
        <w:t xml:space="preserve"> </w:t>
      </w:r>
      <w:r w:rsidRPr="00E27443">
        <w:t>infringement</w:t>
      </w:r>
      <w:r w:rsidR="00C63F8F" w:rsidRPr="00E27443">
        <w:t xml:space="preserve"> </w:t>
      </w:r>
      <w:r w:rsidRPr="00E27443">
        <w:t>of</w:t>
      </w:r>
      <w:r w:rsidR="00C63F8F" w:rsidRPr="00E27443">
        <w:t xml:space="preserve"> </w:t>
      </w:r>
      <w:r w:rsidRPr="00E27443">
        <w:t>their</w:t>
      </w:r>
      <w:r w:rsidR="00C63F8F" w:rsidRPr="00E27443">
        <w:t xml:space="preserve"> </w:t>
      </w:r>
      <w:r w:rsidRPr="00E27443">
        <w:t>personal</w:t>
      </w:r>
      <w:r w:rsidR="00C63F8F" w:rsidRPr="00E27443">
        <w:t xml:space="preserve"> </w:t>
      </w:r>
      <w:r w:rsidRPr="00E27443">
        <w:t>integrity</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the</w:t>
      </w:r>
      <w:r w:rsidR="00C63F8F" w:rsidRPr="00E27443">
        <w:t xml:space="preserve"> </w:t>
      </w:r>
      <w:r w:rsidRPr="00E27443">
        <w:t>processing</w:t>
      </w:r>
      <w:r w:rsidR="00C63F8F" w:rsidRPr="00E27443">
        <w:t xml:space="preserve"> </w:t>
      </w:r>
      <w:r w:rsidRPr="00E27443">
        <w:t>of</w:t>
      </w:r>
      <w:r w:rsidR="00C63F8F" w:rsidRPr="00E27443">
        <w:t xml:space="preserve"> </w:t>
      </w:r>
      <w:r w:rsidRPr="00E27443">
        <w:t>their</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Data</w:t>
      </w:r>
      <w:r w:rsidR="00C63F8F" w:rsidRPr="00E27443">
        <w:t xml:space="preserve"> </w:t>
      </w:r>
      <w:r w:rsidRPr="00E27443">
        <w:t>Protection</w:t>
      </w:r>
      <w:r w:rsidR="00C63F8F" w:rsidRPr="00E27443">
        <w:t xml:space="preserve"> </w:t>
      </w:r>
      <w:r w:rsidRPr="00E27443">
        <w:t>Directive,</w:t>
      </w:r>
      <w:r w:rsidR="00C63F8F" w:rsidRPr="00E27443">
        <w:t xml:space="preserve"> </w:t>
      </w:r>
      <w:r w:rsidRPr="00E27443">
        <w:t>however,</w:t>
      </w:r>
      <w:r w:rsidR="00C63F8F" w:rsidRPr="00E27443">
        <w:t xml:space="preserve"> </w:t>
      </w:r>
      <w:r w:rsidRPr="00E27443">
        <w:t>the</w:t>
      </w:r>
      <w:r w:rsidR="00C63F8F" w:rsidRPr="00E27443">
        <w:t xml:space="preserve"> </w:t>
      </w:r>
      <w:r w:rsidRPr="00E27443">
        <w:t>Member</w:t>
      </w:r>
      <w:r w:rsidR="00C63F8F" w:rsidRPr="00E27443">
        <w:t xml:space="preserve"> </w:t>
      </w:r>
      <w:r w:rsidRPr="00E27443">
        <w:t>States</w:t>
      </w:r>
      <w:r w:rsidR="00C63F8F" w:rsidRPr="00E27443">
        <w:t xml:space="preserve"> </w:t>
      </w:r>
      <w:r w:rsidRPr="00E27443">
        <w:t>may</w:t>
      </w:r>
      <w:r w:rsidR="00C63F8F" w:rsidRPr="00E27443">
        <w:t xml:space="preserve"> </w:t>
      </w:r>
      <w:r w:rsidRPr="00E27443">
        <w:t>not</w:t>
      </w:r>
      <w:r w:rsidR="00C63F8F" w:rsidRPr="00E27443">
        <w:t xml:space="preserve"> </w:t>
      </w:r>
      <w:r w:rsidRPr="00E27443">
        <w:t>restrict</w:t>
      </w:r>
      <w:r w:rsidR="00C63F8F" w:rsidRPr="00E27443">
        <w:t xml:space="preserve"> </w:t>
      </w:r>
      <w:r w:rsidRPr="00E27443">
        <w:t>or</w:t>
      </w:r>
      <w:r w:rsidR="00C63F8F" w:rsidRPr="00E27443">
        <w:t xml:space="preserve"> </w:t>
      </w:r>
      <w:r w:rsidRPr="00E27443">
        <w:t>prohibit</w:t>
      </w:r>
      <w:r w:rsidR="00C63F8F" w:rsidRPr="00E27443">
        <w:t xml:space="preserve"> </w:t>
      </w:r>
      <w:r w:rsidRPr="00E27443">
        <w:t>the</w:t>
      </w:r>
      <w:r w:rsidR="00C63F8F" w:rsidRPr="00E27443">
        <w:t xml:space="preserve"> </w:t>
      </w:r>
      <w:r w:rsidRPr="00E27443">
        <w:t>free</w:t>
      </w:r>
      <w:r w:rsidR="00C63F8F" w:rsidRPr="00E27443">
        <w:t xml:space="preserve"> </w:t>
      </w:r>
      <w:r w:rsidRPr="00E27443">
        <w:t>flow</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between</w:t>
      </w:r>
      <w:r w:rsidR="00C63F8F" w:rsidRPr="00E27443">
        <w:t xml:space="preserve"> </w:t>
      </w:r>
      <w:r w:rsidRPr="00E27443">
        <w:t>Member</w:t>
      </w:r>
      <w:r w:rsidR="00C63F8F" w:rsidRPr="00E27443">
        <w:t xml:space="preserve"> </w:t>
      </w:r>
      <w:r w:rsidRPr="00E27443">
        <w:t>States</w:t>
      </w:r>
      <w:r w:rsidR="00C63F8F" w:rsidRPr="00E27443">
        <w:t xml:space="preserve"> </w:t>
      </w:r>
      <w:r w:rsidRPr="00E27443">
        <w:t>for</w:t>
      </w:r>
      <w:r w:rsidR="00C63F8F" w:rsidRPr="00E27443">
        <w:t xml:space="preserve"> </w:t>
      </w:r>
      <w:r w:rsidRPr="00E27443">
        <w:t>reasons</w:t>
      </w:r>
      <w:r w:rsidR="00C63F8F" w:rsidRPr="00E27443">
        <w:t xml:space="preserve"> </w:t>
      </w:r>
      <w:r w:rsidRPr="00E27443">
        <w:t>linked</w:t>
      </w:r>
      <w:r w:rsidR="00C63F8F" w:rsidRPr="00E27443">
        <w:t xml:space="preserve"> </w:t>
      </w:r>
      <w:r w:rsidRPr="00E27443">
        <w:t>to</w:t>
      </w:r>
      <w:r w:rsidR="00C63F8F" w:rsidRPr="00E27443">
        <w:t xml:space="preserve"> </w:t>
      </w:r>
      <w:r w:rsidRPr="00E27443">
        <w:t>the</w:t>
      </w:r>
      <w:r w:rsidR="00C63F8F" w:rsidRPr="00E27443">
        <w:t xml:space="preserve"> </w:t>
      </w:r>
      <w:r w:rsidRPr="00E27443">
        <w:t>protection</w:t>
      </w:r>
      <w:r w:rsidR="00C63F8F" w:rsidRPr="00E27443">
        <w:t xml:space="preserve"> </w:t>
      </w:r>
      <w:r w:rsidRPr="00E27443">
        <w:t>of</w:t>
      </w:r>
      <w:r w:rsidR="00C63F8F" w:rsidRPr="00E27443">
        <w:t xml:space="preserve"> </w:t>
      </w:r>
      <w:r w:rsidRPr="00E27443">
        <w:t>physical</w:t>
      </w:r>
      <w:r w:rsidR="00C63F8F" w:rsidRPr="00E27443">
        <w:t xml:space="preserve"> </w:t>
      </w:r>
      <w:r w:rsidRPr="00E27443">
        <w:t>persons</w:t>
      </w:r>
      <w:r w:rsidR="00C63F8F" w:rsidRPr="00E27443">
        <w:t xml:space="preserve">’ </w:t>
      </w:r>
      <w:r w:rsidRPr="00E27443">
        <w:t>fundamental</w:t>
      </w:r>
      <w:r w:rsidR="00C63F8F" w:rsidRPr="00E27443">
        <w:t xml:space="preserve"> </w:t>
      </w:r>
      <w:r w:rsidRPr="00E27443">
        <w:t>liberties</w:t>
      </w:r>
      <w:r w:rsidR="00C63F8F" w:rsidRPr="00E27443">
        <w:t xml:space="preserve"> </w:t>
      </w:r>
      <w:r w:rsidRPr="00E27443">
        <w:t>and</w:t>
      </w:r>
      <w:r w:rsidR="00C63F8F" w:rsidRPr="00E27443">
        <w:t xml:space="preserve"> </w:t>
      </w:r>
      <w:r w:rsidRPr="00E27443">
        <w:t>rights.</w:t>
      </w:r>
      <w:r w:rsidR="00C63F8F" w:rsidRPr="00E27443">
        <w:t xml:space="preserve"> </w:t>
      </w:r>
      <w:r w:rsidRPr="00E27443">
        <w:t>The</w:t>
      </w:r>
      <w:r w:rsidR="00C63F8F" w:rsidRPr="00E27443">
        <w:t xml:space="preserve"> </w:t>
      </w:r>
      <w:r w:rsidRPr="00E27443">
        <w:t>regulation</w:t>
      </w:r>
      <w:r w:rsidR="00C63F8F" w:rsidRPr="00E27443">
        <w:t xml:space="preserve"> </w:t>
      </w:r>
      <w:r w:rsidRPr="00E27443">
        <w:t>of</w:t>
      </w:r>
      <w:r w:rsidR="00C63F8F" w:rsidRPr="00E27443">
        <w:t xml:space="preserve"> </w:t>
      </w:r>
      <w:r w:rsidRPr="00E27443">
        <w:t>the</w:t>
      </w:r>
      <w:r w:rsidR="00C63F8F" w:rsidRPr="00E27443">
        <w:t xml:space="preserve"> </w:t>
      </w:r>
      <w:r w:rsidRPr="00E27443">
        <w:t>processing</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according</w:t>
      </w:r>
      <w:r w:rsidR="00C63F8F" w:rsidRPr="00E27443">
        <w:t xml:space="preserve"> </w:t>
      </w:r>
      <w:r w:rsidRPr="00E27443">
        <w:t>to</w:t>
      </w:r>
      <w:r w:rsidR="00C63F8F" w:rsidRPr="00E27443">
        <w:t xml:space="preserve"> </w:t>
      </w:r>
      <w:r w:rsidRPr="00E27443">
        <w:t>the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C63F8F" w:rsidRPr="00E27443">
        <w:t xml:space="preserve"> </w:t>
      </w:r>
      <w:r w:rsidRPr="00E27443">
        <w:t>is</w:t>
      </w:r>
      <w:r w:rsidR="00C63F8F" w:rsidRPr="00E27443">
        <w:t xml:space="preserve"> </w:t>
      </w:r>
      <w:r w:rsidRPr="00E27443">
        <w:t>based</w:t>
      </w:r>
      <w:r w:rsidR="00C63F8F" w:rsidRPr="00E27443">
        <w:t xml:space="preserve"> </w:t>
      </w:r>
      <w:r w:rsidRPr="00E27443">
        <w:t>on</w:t>
      </w:r>
      <w:r w:rsidR="00C63F8F" w:rsidRPr="00E27443">
        <w:t xml:space="preserve"> </w:t>
      </w:r>
      <w:r w:rsidRPr="00E27443">
        <w:t>all</w:t>
      </w:r>
      <w:r w:rsidR="00C63F8F" w:rsidRPr="00E27443">
        <w:t xml:space="preserve"> </w:t>
      </w:r>
      <w:r w:rsidRPr="00E27443">
        <w:t>processing</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only</w:t>
      </w:r>
      <w:r w:rsidR="00C63F8F" w:rsidRPr="00E27443">
        <w:t xml:space="preserve"> </w:t>
      </w:r>
      <w:r w:rsidRPr="00E27443">
        <w:t>being</w:t>
      </w:r>
      <w:r w:rsidR="00C63F8F" w:rsidRPr="00E27443">
        <w:t xml:space="preserve"> </w:t>
      </w:r>
      <w:r w:rsidRPr="00E27443">
        <w:t>permitted</w:t>
      </w:r>
      <w:r w:rsidR="00C63F8F" w:rsidRPr="00E27443">
        <w:t xml:space="preserve"> </w:t>
      </w:r>
      <w:r w:rsidRPr="00E27443">
        <w:t>to</w:t>
      </w:r>
      <w:r w:rsidR="00C63F8F" w:rsidRPr="00E27443">
        <w:t xml:space="preserve"> </w:t>
      </w:r>
      <w:r w:rsidRPr="00E27443">
        <w:t>take</w:t>
      </w:r>
      <w:r w:rsidR="00C63F8F" w:rsidRPr="00E27443">
        <w:t xml:space="preserve"> </w:t>
      </w:r>
      <w:r w:rsidRPr="00E27443">
        <w:t>place</w:t>
      </w:r>
      <w:r w:rsidR="00C63F8F" w:rsidRPr="00E27443">
        <w:t xml:space="preserve"> </w:t>
      </w:r>
      <w:r w:rsidRPr="00E27443">
        <w:t>if</w:t>
      </w:r>
      <w:r w:rsidR="00C63F8F" w:rsidRPr="00E27443">
        <w:t xml:space="preserve"> </w:t>
      </w:r>
      <w:r w:rsidRPr="00E27443">
        <w:t>this</w:t>
      </w:r>
      <w:r w:rsidR="00C63F8F" w:rsidRPr="00E27443">
        <w:t xml:space="preserve"> </w:t>
      </w:r>
      <w:r w:rsidRPr="00E27443">
        <w:t>is</w:t>
      </w:r>
      <w:r w:rsidR="00C63F8F" w:rsidRPr="00E27443">
        <w:t xml:space="preserve"> </w:t>
      </w:r>
      <w:r w:rsidRPr="00E27443">
        <w:t>compatible</w:t>
      </w:r>
      <w:r w:rsidR="00C63F8F" w:rsidRPr="00E27443">
        <w:t xml:space="preserve"> </w:t>
      </w:r>
      <w:r w:rsidRPr="00E27443">
        <w:t>with</w:t>
      </w:r>
      <w:r w:rsidR="00C63F8F" w:rsidRPr="00E27443">
        <w:t xml:space="preserve"> </w:t>
      </w:r>
      <w:r w:rsidRPr="00E27443">
        <w:t>the</w:t>
      </w:r>
      <w:r w:rsidR="00C63F8F" w:rsidRPr="00E27443">
        <w:t xml:space="preserve"> </w:t>
      </w:r>
      <w:r w:rsidRPr="00E27443">
        <w:t>specific</w:t>
      </w:r>
      <w:r w:rsidR="00C63F8F" w:rsidRPr="00E27443">
        <w:t xml:space="preserve"> </w:t>
      </w:r>
      <w:r w:rsidRPr="00E27443">
        <w:t>processing</w:t>
      </w:r>
      <w:r w:rsidR="00C63F8F" w:rsidRPr="00E27443">
        <w:t xml:space="preserve"> </w:t>
      </w:r>
      <w:r w:rsidRPr="00E27443">
        <w:t>rules</w:t>
      </w:r>
      <w:r w:rsidR="00C63F8F" w:rsidRPr="00E27443">
        <w:t xml:space="preserve"> </w:t>
      </w:r>
      <w:r w:rsidRPr="00E27443">
        <w:t>stipulated</w:t>
      </w:r>
      <w:r w:rsidR="00C63F8F" w:rsidRPr="00E27443">
        <w:t xml:space="preserve"> </w:t>
      </w:r>
      <w:r w:rsidRPr="00E27443">
        <w:t>by</w:t>
      </w:r>
      <w:r w:rsidR="00C63F8F" w:rsidRPr="00E27443">
        <w:t xml:space="preserve"> </w:t>
      </w:r>
      <w:r w:rsidRPr="00E27443">
        <w:t>the</w:t>
      </w:r>
      <w:r w:rsidR="00C63F8F" w:rsidRPr="00E27443">
        <w:t xml:space="preserve"> </w:t>
      </w:r>
      <w:r w:rsidRPr="00E27443">
        <w:t>Act.</w:t>
      </w:r>
      <w:r w:rsidR="00C63F8F" w:rsidRPr="00E27443">
        <w:t xml:space="preserve"> </w:t>
      </w:r>
      <w:r w:rsidRPr="00E27443">
        <w:t>The</w:t>
      </w:r>
      <w:r w:rsidR="00C63F8F" w:rsidRPr="00E27443">
        <w:t xml:space="preserve"> </w:t>
      </w:r>
      <w:r w:rsidRPr="00E27443">
        <w:t>Act</w:t>
      </w:r>
      <w:r w:rsidR="00C63F8F" w:rsidRPr="00E27443">
        <w:t xml:space="preserve"> </w:t>
      </w:r>
      <w:r w:rsidRPr="00E27443">
        <w:t>only</w:t>
      </w:r>
      <w:r w:rsidR="00C63F8F" w:rsidRPr="00E27443">
        <w:t xml:space="preserve"> </w:t>
      </w:r>
      <w:r w:rsidRPr="00E27443">
        <w:t>contains</w:t>
      </w:r>
      <w:r w:rsidR="00C63F8F" w:rsidRPr="00E27443">
        <w:t xml:space="preserve"> </w:t>
      </w:r>
      <w:r w:rsidRPr="00E27443">
        <w:t>general</w:t>
      </w:r>
      <w:r w:rsidR="00C63F8F" w:rsidRPr="00E27443">
        <w:t xml:space="preserve"> </w:t>
      </w:r>
      <w:r w:rsidRPr="00E27443">
        <w:t>regulations,</w:t>
      </w:r>
      <w:r w:rsidR="00C63F8F" w:rsidRPr="00E27443">
        <w:t xml:space="preserve"> </w:t>
      </w:r>
      <w:r w:rsidRPr="00E27443">
        <w:t>and</w:t>
      </w:r>
      <w:r w:rsidR="00C63F8F" w:rsidRPr="00E27443">
        <w:t xml:space="preserve"> </w:t>
      </w:r>
      <w:r w:rsidRPr="00E27443">
        <w:t>it</w:t>
      </w:r>
      <w:r w:rsidR="00C63F8F" w:rsidRPr="00E27443">
        <w:t xml:space="preserve"> </w:t>
      </w:r>
      <w:r w:rsidRPr="00E27443">
        <w:t>was</w:t>
      </w:r>
      <w:r w:rsidR="00C63F8F" w:rsidRPr="00E27443">
        <w:t xml:space="preserve"> </w:t>
      </w:r>
      <w:r w:rsidRPr="00E27443">
        <w:t>assumed</w:t>
      </w:r>
      <w:r w:rsidR="00C63F8F" w:rsidRPr="00E27443">
        <w:t xml:space="preserve"> </w:t>
      </w:r>
      <w:r w:rsidRPr="00E27443">
        <w:t>when</w:t>
      </w:r>
      <w:r w:rsidR="00C63F8F" w:rsidRPr="00E27443">
        <w:t xml:space="preserve"> </w:t>
      </w:r>
      <w:r w:rsidRPr="00E27443">
        <w:t>this</w:t>
      </w:r>
      <w:r w:rsidR="00C63F8F" w:rsidRPr="00E27443">
        <w:t xml:space="preserve"> </w:t>
      </w:r>
      <w:r w:rsidRPr="00E27443">
        <w:t>entered</w:t>
      </w:r>
      <w:r w:rsidR="00C63F8F" w:rsidRPr="00E27443">
        <w:t xml:space="preserve"> </w:t>
      </w:r>
      <w:r w:rsidRPr="00E27443">
        <w:t>into</w:t>
      </w:r>
      <w:r w:rsidR="00C63F8F" w:rsidRPr="00E27443">
        <w:t xml:space="preserve"> </w:t>
      </w:r>
      <w:r w:rsidRPr="00E27443">
        <w:t>force</w:t>
      </w:r>
      <w:r w:rsidR="00C63F8F" w:rsidRPr="00E27443">
        <w:t xml:space="preserve"> </w:t>
      </w:r>
      <w:r w:rsidRPr="00E27443">
        <w:t>that</w:t>
      </w:r>
      <w:r w:rsidR="00C63F8F" w:rsidRPr="00E27443">
        <w:t xml:space="preserve"> </w:t>
      </w:r>
      <w:r w:rsidRPr="00E27443">
        <w:t>the</w:t>
      </w:r>
      <w:r w:rsidR="00C63F8F" w:rsidRPr="00E27443">
        <w:t xml:space="preserve"> </w:t>
      </w:r>
      <w:r w:rsidRPr="00E27443">
        <w:t>need</w:t>
      </w:r>
      <w:r w:rsidR="00C63F8F" w:rsidRPr="00E27443">
        <w:t xml:space="preserve"> </w:t>
      </w:r>
      <w:r w:rsidRPr="00E27443">
        <w:t>for</w:t>
      </w:r>
      <w:r w:rsidR="00C63F8F" w:rsidRPr="00E27443">
        <w:t xml:space="preserve"> </w:t>
      </w:r>
      <w:r w:rsidRPr="00E27443">
        <w:t>exemptions</w:t>
      </w:r>
      <w:r w:rsidR="00C63F8F" w:rsidRPr="00E27443">
        <w:t xml:space="preserve"> </w:t>
      </w:r>
      <w:r w:rsidRPr="00E27443">
        <w:t>and</w:t>
      </w:r>
      <w:r w:rsidR="00C63F8F" w:rsidRPr="00E27443">
        <w:t xml:space="preserve"> </w:t>
      </w:r>
      <w:r w:rsidRPr="00E27443">
        <w:t>specifications</w:t>
      </w:r>
      <w:r w:rsidR="00C63F8F" w:rsidRPr="00E27443">
        <w:t xml:space="preserve"> </w:t>
      </w:r>
      <w:r w:rsidRPr="00E27443">
        <w:t>for</w:t>
      </w:r>
      <w:r w:rsidR="00C63F8F" w:rsidRPr="00E27443">
        <w:t xml:space="preserve"> </w:t>
      </w:r>
      <w:r w:rsidRPr="00E27443">
        <w:t>particular</w:t>
      </w:r>
      <w:r w:rsidR="00C63F8F" w:rsidRPr="00E27443">
        <w:t xml:space="preserve"> </w:t>
      </w:r>
      <w:r w:rsidRPr="00E27443">
        <w:t>areas</w:t>
      </w:r>
      <w:r w:rsidR="00C63F8F" w:rsidRPr="00E27443">
        <w:t xml:space="preserve"> </w:t>
      </w:r>
      <w:r w:rsidRPr="00E27443">
        <w:t>would</w:t>
      </w:r>
      <w:r w:rsidR="00C63F8F" w:rsidRPr="00E27443">
        <w:t xml:space="preserve"> </w:t>
      </w:r>
      <w:r w:rsidRPr="00E27443">
        <w:t>be</w:t>
      </w:r>
      <w:r w:rsidR="00C63F8F" w:rsidRPr="00E27443">
        <w:t xml:space="preserve"> </w:t>
      </w:r>
      <w:r w:rsidRPr="00E27443">
        <w:t>satisfied</w:t>
      </w:r>
      <w:r w:rsidR="00C63F8F" w:rsidRPr="00E27443">
        <w:t xml:space="preserve"> </w:t>
      </w:r>
      <w:r w:rsidRPr="00E27443">
        <w:t>through</w:t>
      </w:r>
      <w:r w:rsidR="00C63F8F" w:rsidRPr="00E27443">
        <w:t xml:space="preserve"> </w:t>
      </w:r>
      <w:r w:rsidRPr="00E27443">
        <w:t>separate</w:t>
      </w:r>
      <w:r w:rsidR="00C63F8F" w:rsidRPr="00E27443">
        <w:t xml:space="preserve"> </w:t>
      </w:r>
      <w:r w:rsidRPr="00E27443">
        <w:t>legislation.</w:t>
      </w:r>
      <w:r w:rsidR="00C63F8F" w:rsidRPr="00E27443">
        <w:t xml:space="preserve"> </w:t>
      </w:r>
      <w:r w:rsidRPr="00E27443">
        <w:t>Special</w:t>
      </w:r>
      <w:r w:rsidR="00C63F8F" w:rsidRPr="00E27443">
        <w:t xml:space="preserve"> </w:t>
      </w:r>
      <w:r w:rsidRPr="00E27443">
        <w:t>rules</w:t>
      </w:r>
      <w:r w:rsidR="00C63F8F" w:rsidRPr="00E27443">
        <w:t xml:space="preserve"> </w:t>
      </w:r>
      <w:r w:rsidRPr="00E27443">
        <w:t>concerning</w:t>
      </w:r>
      <w:r w:rsidR="00C63F8F" w:rsidRPr="00E27443">
        <w:t xml:space="preserve"> </w:t>
      </w:r>
      <w:r w:rsidRPr="00E27443">
        <w:t>the</w:t>
      </w:r>
      <w:r w:rsidR="00C63F8F" w:rsidRPr="00E27443">
        <w:t xml:space="preserve"> </w:t>
      </w:r>
      <w:r w:rsidRPr="00E27443">
        <w:t>processing</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exist</w:t>
      </w:r>
      <w:r w:rsidR="00C63F8F" w:rsidRPr="00E27443">
        <w:t xml:space="preserve"> </w:t>
      </w:r>
      <w:r w:rsidRPr="00E27443">
        <w:t>e.g.</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health</w:t>
      </w:r>
      <w:r w:rsidR="00C63F8F" w:rsidRPr="00E27443">
        <w:t xml:space="preserve"> </w:t>
      </w:r>
      <w:r w:rsidRPr="00E27443">
        <w:t>and</w:t>
      </w:r>
      <w:r w:rsidR="00C63F8F" w:rsidRPr="00E27443">
        <w:t xml:space="preserve"> </w:t>
      </w:r>
      <w:r w:rsidRPr="00E27443">
        <w:t>medical</w:t>
      </w:r>
      <w:r w:rsidR="00C63F8F" w:rsidRPr="00E27443">
        <w:t xml:space="preserve"> </w:t>
      </w:r>
      <w:r w:rsidRPr="00E27443">
        <w:t>and</w:t>
      </w:r>
      <w:r w:rsidR="00C63F8F" w:rsidRPr="00E27443">
        <w:t xml:space="preserve"> </w:t>
      </w:r>
      <w:r w:rsidRPr="00E27443">
        <w:t>social</w:t>
      </w:r>
      <w:r w:rsidR="00C63F8F" w:rsidRPr="00E27443">
        <w:t xml:space="preserve"> </w:t>
      </w:r>
      <w:r w:rsidRPr="00E27443">
        <w:t>services.</w:t>
      </w:r>
    </w:p>
    <w:p w:rsidR="00321ADA" w:rsidRPr="00E27443" w:rsidRDefault="00321ADA" w:rsidP="000D09CE">
      <w:pPr>
        <w:pStyle w:val="SingleTxtG"/>
        <w:numPr>
          <w:ilvl w:val="0"/>
          <w:numId w:val="20"/>
        </w:numPr>
        <w:tabs>
          <w:tab w:val="left" w:pos="1843"/>
        </w:tabs>
        <w:ind w:left="1134" w:firstLine="0"/>
      </w:pPr>
      <w:r w:rsidRPr="00E27443">
        <w:t>On</w:t>
      </w:r>
      <w:r w:rsidR="00C63F8F" w:rsidRPr="00E27443">
        <w:t xml:space="preserve"> </w:t>
      </w:r>
      <w:r w:rsidRPr="00E27443">
        <w:t>1</w:t>
      </w:r>
      <w:r w:rsidR="00C63F8F" w:rsidRPr="00E27443">
        <w:t xml:space="preserve"> </w:t>
      </w:r>
      <w:r w:rsidRPr="00E27443">
        <w:t>January</w:t>
      </w:r>
      <w:r w:rsidR="00C63F8F" w:rsidRPr="00E27443">
        <w:t xml:space="preserve"> </w:t>
      </w:r>
      <w:r w:rsidRPr="00E27443">
        <w:t>2007,</w:t>
      </w:r>
      <w:r w:rsidR="00C63F8F" w:rsidRPr="00E27443">
        <w:t xml:space="preserve"> </w:t>
      </w:r>
      <w:r w:rsidRPr="00E27443">
        <w:t>certain</w:t>
      </w:r>
      <w:r w:rsidR="00C63F8F" w:rsidRPr="00E27443">
        <w:t xml:space="preserve"> </w:t>
      </w:r>
      <w:r w:rsidRPr="00E27443">
        <w:t>amendments</w:t>
      </w:r>
      <w:r w:rsidR="00C63F8F" w:rsidRPr="00E27443">
        <w:t xml:space="preserve"> </w:t>
      </w:r>
      <w:r w:rsidRPr="00E27443">
        <w:t>to</w:t>
      </w:r>
      <w:r w:rsidR="00C63F8F" w:rsidRPr="00E27443">
        <w:t xml:space="preserve"> </w:t>
      </w:r>
      <w:r w:rsidRPr="00E27443">
        <w:t>the</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Act</w:t>
      </w:r>
      <w:r w:rsidR="00C63F8F" w:rsidRPr="00E27443">
        <w:t xml:space="preserve"> </w:t>
      </w:r>
      <w:r w:rsidRPr="00E27443">
        <w:t>entered</w:t>
      </w:r>
      <w:r w:rsidR="00C63F8F" w:rsidRPr="00E27443">
        <w:t xml:space="preserve"> </w:t>
      </w:r>
      <w:r w:rsidRPr="00E27443">
        <w:t>into</w:t>
      </w:r>
      <w:r w:rsidR="00C63F8F" w:rsidRPr="00E27443">
        <w:t xml:space="preserve"> </w:t>
      </w:r>
      <w:r w:rsidRPr="00E27443">
        <w:t>force.</w:t>
      </w:r>
      <w:r w:rsidR="00C63F8F" w:rsidRPr="00E27443">
        <w:t xml:space="preserve"> </w:t>
      </w:r>
      <w:r w:rsidRPr="00E27443">
        <w:t>These</w:t>
      </w:r>
      <w:r w:rsidR="00C63F8F" w:rsidRPr="00E27443">
        <w:t xml:space="preserve"> </w:t>
      </w:r>
      <w:r w:rsidRPr="00E27443">
        <w:t>amendments</w:t>
      </w:r>
      <w:r w:rsidR="00C63F8F" w:rsidRPr="00E27443">
        <w:t xml:space="preserve"> </w:t>
      </w:r>
      <w:r w:rsidRPr="00E27443">
        <w:t>supplemented</w:t>
      </w:r>
      <w:r w:rsidR="00C63F8F" w:rsidRPr="00E27443">
        <w:t xml:space="preserve"> </w:t>
      </w:r>
      <w:r w:rsidRPr="00E27443">
        <w:t>the</w:t>
      </w:r>
      <w:r w:rsidR="00C63F8F" w:rsidRPr="00E27443">
        <w:t xml:space="preserve"> </w:t>
      </w:r>
      <w:r w:rsidRPr="00E27443">
        <w:t>Act</w:t>
      </w:r>
      <w:r w:rsidR="00C63F8F" w:rsidRPr="00E27443">
        <w:t>’</w:t>
      </w:r>
      <w:r w:rsidRPr="00E27443">
        <w:t>s</w:t>
      </w:r>
      <w:r w:rsidR="00C63F8F" w:rsidRPr="00E27443">
        <w:t xml:space="preserve"> </w:t>
      </w:r>
      <w:r w:rsidRPr="00E27443">
        <w:t>handling</w:t>
      </w:r>
      <w:r w:rsidR="00C63F8F" w:rsidRPr="00E27443">
        <w:t xml:space="preserve"> </w:t>
      </w:r>
      <w:r w:rsidRPr="00E27443">
        <w:t>regulations</w:t>
      </w:r>
      <w:r w:rsidR="00C63F8F" w:rsidRPr="00E27443">
        <w:t xml:space="preserve"> </w:t>
      </w:r>
      <w:r w:rsidRPr="00E27443">
        <w:t>with</w:t>
      </w:r>
      <w:r w:rsidR="00C63F8F" w:rsidRPr="00E27443">
        <w:t xml:space="preserve"> </w:t>
      </w:r>
      <w:r w:rsidRPr="00E27443">
        <w:t>provisions</w:t>
      </w:r>
      <w:r w:rsidR="00C63F8F" w:rsidRPr="00E27443">
        <w:t xml:space="preserve"> </w:t>
      </w:r>
      <w:r w:rsidRPr="00E27443">
        <w:t>that,</w:t>
      </w:r>
      <w:r w:rsidR="00C63F8F" w:rsidRPr="00E27443">
        <w:t xml:space="preserve"> </w:t>
      </w:r>
      <w:r w:rsidRPr="00E27443">
        <w:t>with</w:t>
      </w:r>
      <w:r w:rsidR="00C63F8F" w:rsidRPr="00E27443">
        <w:t xml:space="preserve"> </w:t>
      </w:r>
      <w:r w:rsidRPr="00E27443">
        <w:t>regard</w:t>
      </w:r>
      <w:r w:rsidR="00C63F8F" w:rsidRPr="00E27443">
        <w:t xml:space="preserve"> </w:t>
      </w:r>
      <w:r w:rsidRPr="00E27443">
        <w:t>to</w:t>
      </w:r>
      <w:r w:rsidR="00C63F8F" w:rsidRPr="00E27443">
        <w:t xml:space="preserve"> </w:t>
      </w:r>
      <w:r w:rsidRPr="00E27443">
        <w:t>unstructured</w:t>
      </w:r>
      <w:r w:rsidR="00C63F8F" w:rsidRPr="00E27443">
        <w:t xml:space="preserve"> </w:t>
      </w:r>
      <w:r w:rsidRPr="00E27443">
        <w:t>personal</w:t>
      </w:r>
      <w:r w:rsidR="00C63F8F" w:rsidRPr="00E27443">
        <w:t xml:space="preserve"> </w:t>
      </w:r>
      <w:r w:rsidRPr="00E27443">
        <w:t>data,</w:t>
      </w:r>
      <w:r w:rsidR="00C63F8F" w:rsidRPr="00E27443">
        <w:t xml:space="preserve"> </w:t>
      </w:r>
      <w:r w:rsidRPr="00E27443">
        <w:t>are</w:t>
      </w:r>
      <w:r w:rsidR="00C63F8F" w:rsidRPr="00E27443">
        <w:t xml:space="preserve"> </w:t>
      </w:r>
      <w:r w:rsidRPr="00E27443">
        <w:t>based</w:t>
      </w:r>
      <w:r w:rsidR="00C63F8F" w:rsidRPr="00E27443">
        <w:t xml:space="preserve"> </w:t>
      </w:r>
      <w:r w:rsidRPr="00E27443">
        <w:t>more</w:t>
      </w:r>
      <w:r w:rsidR="00C63F8F" w:rsidRPr="00E27443">
        <w:t xml:space="preserve"> </w:t>
      </w:r>
      <w:r w:rsidRPr="00E27443">
        <w:t>on</w:t>
      </w:r>
      <w:r w:rsidR="00C63F8F" w:rsidRPr="00E27443">
        <w:t xml:space="preserve"> </w:t>
      </w:r>
      <w:r w:rsidRPr="00E27443">
        <w:t>prohibiting</w:t>
      </w:r>
      <w:r w:rsidR="00C63F8F" w:rsidRPr="00E27443">
        <w:t xml:space="preserve"> </w:t>
      </w:r>
      <w:r w:rsidRPr="00E27443">
        <w:t>the</w:t>
      </w:r>
      <w:r w:rsidR="00C63F8F" w:rsidRPr="00E27443">
        <w:t xml:space="preserve"> </w:t>
      </w:r>
      <w:r w:rsidRPr="00E27443">
        <w:t>misuse</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The</w:t>
      </w:r>
      <w:r w:rsidR="00C63F8F" w:rsidRPr="00E27443">
        <w:t xml:space="preserve"> </w:t>
      </w:r>
      <w:r w:rsidRPr="00E27443">
        <w:t>processing</w:t>
      </w:r>
      <w:r w:rsidR="00C63F8F" w:rsidRPr="00E27443">
        <w:t xml:space="preserve"> </w:t>
      </w:r>
      <w:r w:rsidRPr="00E27443">
        <w:t>of</w:t>
      </w:r>
      <w:r w:rsidR="00C63F8F" w:rsidRPr="00E27443">
        <w:t xml:space="preserve"> </w:t>
      </w:r>
      <w:r w:rsidRPr="00E27443">
        <w:t>personal</w:t>
      </w:r>
      <w:r w:rsidR="00C63F8F" w:rsidRPr="00E27443">
        <w:t xml:space="preserve"> </w:t>
      </w:r>
      <w:r w:rsidRPr="00E27443">
        <w:t>data</w:t>
      </w:r>
      <w:r w:rsidR="00C63F8F" w:rsidRPr="00E27443">
        <w:t xml:space="preserve"> </w:t>
      </w:r>
      <w:r w:rsidRPr="00E27443">
        <w:t>in</w:t>
      </w:r>
      <w:r w:rsidR="00C63F8F" w:rsidRPr="00E27443">
        <w:t xml:space="preserve"> </w:t>
      </w:r>
      <w:r w:rsidRPr="00E27443">
        <w:t>unstructured</w:t>
      </w:r>
      <w:r w:rsidR="00C63F8F" w:rsidRPr="00E27443">
        <w:t xml:space="preserve"> </w:t>
      </w:r>
      <w:r w:rsidRPr="00E27443">
        <w:t>material</w:t>
      </w:r>
      <w:r w:rsidR="00C63F8F" w:rsidRPr="00E27443">
        <w:t xml:space="preserve"> </w:t>
      </w:r>
      <w:r w:rsidRPr="00E27443">
        <w:t>may</w:t>
      </w:r>
      <w:r w:rsidR="00C63F8F" w:rsidRPr="00E27443">
        <w:t xml:space="preserve"> </w:t>
      </w:r>
      <w:r w:rsidRPr="00E27443">
        <w:t>not</w:t>
      </w:r>
      <w:r w:rsidR="00C63F8F" w:rsidRPr="00E27443">
        <w:t xml:space="preserve"> </w:t>
      </w:r>
      <w:r w:rsidRPr="00E27443">
        <w:t>take</w:t>
      </w:r>
      <w:r w:rsidR="00C63F8F" w:rsidRPr="00E27443">
        <w:t xml:space="preserve"> </w:t>
      </w:r>
      <w:r w:rsidRPr="00E27443">
        <w:t>place</w:t>
      </w:r>
      <w:r w:rsidR="00C63F8F" w:rsidRPr="00E27443">
        <w:t xml:space="preserve"> </w:t>
      </w:r>
      <w:r w:rsidRPr="00E27443">
        <w:t>if</w:t>
      </w:r>
      <w:r w:rsidR="00C63F8F" w:rsidRPr="00E27443">
        <w:t xml:space="preserve"> </w:t>
      </w:r>
      <w:r w:rsidRPr="00E27443">
        <w:t>this</w:t>
      </w:r>
      <w:r w:rsidR="00C63F8F" w:rsidRPr="00E27443">
        <w:t xml:space="preserve"> </w:t>
      </w:r>
      <w:r w:rsidRPr="00E27443">
        <w:t>entails</w:t>
      </w:r>
      <w:r w:rsidR="00C63F8F" w:rsidRPr="00E27443">
        <w:t xml:space="preserve"> </w:t>
      </w:r>
      <w:r w:rsidRPr="00E27443">
        <w:t>an</w:t>
      </w:r>
      <w:r w:rsidR="00C63F8F" w:rsidRPr="00E27443">
        <w:t xml:space="preserve"> </w:t>
      </w:r>
      <w:r w:rsidRPr="00E27443">
        <w:t>infringement</w:t>
      </w:r>
      <w:r w:rsidR="00C63F8F" w:rsidRPr="00E27443">
        <w:t xml:space="preserve"> </w:t>
      </w:r>
      <w:r w:rsidRPr="00E27443">
        <w:t>of</w:t>
      </w:r>
      <w:r w:rsidR="00C63F8F" w:rsidRPr="00E27443">
        <w:t xml:space="preserve"> </w:t>
      </w:r>
      <w:r w:rsidRPr="00E27443">
        <w:t>the</w:t>
      </w:r>
      <w:r w:rsidR="00C63F8F" w:rsidRPr="00E27443">
        <w:t xml:space="preserve"> </w:t>
      </w:r>
      <w:r w:rsidRPr="00E27443">
        <w:t>registered</w:t>
      </w:r>
      <w:r w:rsidR="00C63F8F" w:rsidRPr="00E27443">
        <w:t xml:space="preserve"> </w:t>
      </w:r>
      <w:r w:rsidRPr="00E27443">
        <w:t>individual</w:t>
      </w:r>
      <w:r w:rsidR="00C63F8F" w:rsidRPr="00E27443">
        <w:t>’</w:t>
      </w:r>
      <w:r w:rsidRPr="00E27443">
        <w:t>s</w:t>
      </w:r>
      <w:r w:rsidR="00C63F8F" w:rsidRPr="00E27443">
        <w:t xml:space="preserve"> </w:t>
      </w:r>
      <w:r w:rsidRPr="00E27443">
        <w:t>personal</w:t>
      </w:r>
      <w:r w:rsidR="00C63F8F" w:rsidRPr="00E27443">
        <w:t xml:space="preserve"> </w:t>
      </w:r>
      <w:r w:rsidRPr="00E27443">
        <w:t>integrity.</w:t>
      </w:r>
      <w:r w:rsidR="004E04AD" w:rsidRPr="000D09CE">
        <w:footnoteReference w:id="159"/>
      </w:r>
      <w:r w:rsidR="00C63F8F" w:rsidRPr="00E27443">
        <w:t xml:space="preserve"> </w:t>
      </w:r>
    </w:p>
    <w:p w:rsidR="00321ADA" w:rsidRPr="00E27443" w:rsidRDefault="00321ADA" w:rsidP="000D09CE">
      <w:pPr>
        <w:pStyle w:val="SingleTxtG"/>
        <w:numPr>
          <w:ilvl w:val="0"/>
          <w:numId w:val="20"/>
        </w:numPr>
        <w:tabs>
          <w:tab w:val="left" w:pos="1843"/>
        </w:tabs>
        <w:ind w:left="1134" w:firstLine="0"/>
      </w:pPr>
      <w:r w:rsidRPr="00E27443">
        <w:t>Statistics</w:t>
      </w:r>
      <w:r w:rsidR="00C63F8F" w:rsidRPr="00E27443">
        <w:t xml:space="preserve"> </w:t>
      </w:r>
      <w:r w:rsidRPr="00E27443">
        <w:t>regarding</w:t>
      </w:r>
      <w:r w:rsidR="00C63F8F" w:rsidRPr="00E27443">
        <w:t xml:space="preserve"> </w:t>
      </w:r>
      <w:r w:rsidRPr="00E27443">
        <w:t>people</w:t>
      </w:r>
      <w:r w:rsidR="00C63F8F" w:rsidRPr="00E27443">
        <w:t xml:space="preserve"> </w:t>
      </w:r>
      <w:r w:rsidRPr="00E27443">
        <w:t>receiving</w:t>
      </w:r>
      <w:r w:rsidR="00C63F8F" w:rsidRPr="00E27443">
        <w:t xml:space="preserve"> </w:t>
      </w:r>
      <w:r w:rsidRPr="00E27443">
        <w:t>initiatives</w:t>
      </w:r>
      <w:r w:rsidR="00C63F8F" w:rsidRPr="00E27443">
        <w:t xml:space="preserve"> </w:t>
      </w:r>
      <w:r w:rsidRPr="00E27443">
        <w:t>in</w:t>
      </w:r>
      <w:r w:rsidR="00C63F8F" w:rsidRPr="00E27443">
        <w:t xml:space="preserve"> </w:t>
      </w:r>
      <w:r w:rsidRPr="00E27443">
        <w:t>accordance</w:t>
      </w:r>
      <w:r w:rsidR="00C63F8F" w:rsidRPr="00E27443">
        <w:t xml:space="preserve"> </w:t>
      </w:r>
      <w:r w:rsidRPr="00E27443">
        <w:t>with</w:t>
      </w:r>
      <w:r w:rsidR="00C63F8F" w:rsidRPr="00E27443">
        <w:t xml:space="preserve"> </w:t>
      </w:r>
      <w:r w:rsidRPr="00E27443">
        <w:t>the</w:t>
      </w:r>
      <w:r w:rsidR="00C63F8F" w:rsidRPr="00E27443">
        <w:t xml:space="preserve"> </w:t>
      </w:r>
      <w:r w:rsidRPr="00E27443">
        <w:t>Act</w:t>
      </w:r>
      <w:r w:rsidR="00C63F8F" w:rsidRPr="00E27443">
        <w:t xml:space="preserve"> </w:t>
      </w:r>
      <w:r w:rsidRPr="00E27443">
        <w:t>concerning</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Certain</w:t>
      </w:r>
      <w:r w:rsidR="00C63F8F" w:rsidRPr="00E27443">
        <w:t xml:space="preserve"> </w:t>
      </w:r>
      <w:r w:rsidRPr="00E27443">
        <w:t>Functional</w:t>
      </w:r>
      <w:r w:rsidR="00C63F8F" w:rsidRPr="00E27443">
        <w:t xml:space="preserve"> </w:t>
      </w:r>
      <w:r w:rsidRPr="00E27443">
        <w:t>Impairments</w:t>
      </w:r>
      <w:r w:rsidR="00C63F8F" w:rsidRPr="00E27443">
        <w:t xml:space="preserve"> </w:t>
      </w:r>
      <w:r w:rsidRPr="00E27443">
        <w:t>(LSS)</w:t>
      </w:r>
      <w:r w:rsidR="00C63F8F" w:rsidRPr="00E27443">
        <w:t xml:space="preserve"> </w:t>
      </w:r>
      <w:r w:rsidRPr="00E27443">
        <w:t>have</w:t>
      </w:r>
      <w:r w:rsidR="00C63F8F" w:rsidRPr="00E27443">
        <w:t xml:space="preserve"> </w:t>
      </w:r>
      <w:r w:rsidRPr="00E27443">
        <w:t>been</w:t>
      </w:r>
      <w:r w:rsidR="00C63F8F" w:rsidRPr="00E27443">
        <w:t xml:space="preserve"> </w:t>
      </w:r>
      <w:r w:rsidRPr="00E27443">
        <w:t>included</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official</w:t>
      </w:r>
      <w:r w:rsidR="00C63F8F" w:rsidRPr="00E27443">
        <w:t xml:space="preserve"> </w:t>
      </w:r>
      <w:r w:rsidRPr="00E27443">
        <w:t>statistics</w:t>
      </w:r>
      <w:r w:rsidR="00C63F8F" w:rsidRPr="00E27443">
        <w:t xml:space="preserve"> </w:t>
      </w:r>
      <w:r w:rsidRPr="00E27443">
        <w:t>since</w:t>
      </w:r>
      <w:r w:rsidR="00C63F8F" w:rsidRPr="00E27443">
        <w:t xml:space="preserve"> </w:t>
      </w:r>
      <w:r w:rsidRPr="00E27443">
        <w:t>2004.</w:t>
      </w:r>
      <w:r w:rsidR="00C63F8F" w:rsidRPr="00E27443">
        <w:t xml:space="preserve"> </w:t>
      </w:r>
      <w:r w:rsidRPr="00E27443">
        <w:t>The</w:t>
      </w:r>
      <w:r w:rsidR="00C63F8F" w:rsidRPr="00E27443">
        <w:t xml:space="preserve"> </w:t>
      </w:r>
      <w:r w:rsidRPr="00E27443">
        <w:t>information</w:t>
      </w:r>
      <w:r w:rsidR="00C63F8F" w:rsidRPr="00E27443">
        <w:t xml:space="preserve"> </w:t>
      </w:r>
      <w:r w:rsidRPr="00E27443">
        <w:t>is</w:t>
      </w:r>
      <w:r w:rsidR="00C63F8F" w:rsidRPr="00E27443">
        <w:t xml:space="preserve"> </w:t>
      </w:r>
      <w:r w:rsidRPr="00E27443">
        <w:t>gathered</w:t>
      </w:r>
      <w:r w:rsidR="00C63F8F" w:rsidRPr="00E27443">
        <w:t xml:space="preserve"> </w:t>
      </w:r>
      <w:r w:rsidRPr="00E27443">
        <w:t>with</w:t>
      </w:r>
      <w:r w:rsidR="00C63F8F" w:rsidRPr="00E27443">
        <w:t xml:space="preserve"> </w:t>
      </w:r>
      <w:r w:rsidRPr="00E27443">
        <w:t>the</w:t>
      </w:r>
      <w:r w:rsidR="00C63F8F" w:rsidRPr="00E27443">
        <w:t xml:space="preserve"> </w:t>
      </w:r>
      <w:r w:rsidRPr="00E27443">
        <w:t>support</w:t>
      </w:r>
      <w:r w:rsidR="00C63F8F" w:rsidRPr="00E27443">
        <w:t xml:space="preserve"> </w:t>
      </w:r>
      <w:r w:rsidRPr="00E27443">
        <w:t>of</w:t>
      </w:r>
      <w:r w:rsidR="00C63F8F" w:rsidRPr="00E27443">
        <w:t xml:space="preserve"> </w:t>
      </w:r>
      <w:r w:rsidRPr="00E27443">
        <w:t>the</w:t>
      </w:r>
      <w:r w:rsidR="00C63F8F" w:rsidRPr="00E27443">
        <w:t xml:space="preserve"> </w:t>
      </w:r>
      <w:r w:rsidRPr="00E27443">
        <w:t>Official</w:t>
      </w:r>
      <w:r w:rsidR="00C63F8F" w:rsidRPr="00E27443">
        <w:t xml:space="preserve"> </w:t>
      </w:r>
      <w:r w:rsidRPr="00E27443">
        <w:t>Statistics</w:t>
      </w:r>
      <w:r w:rsidR="00C63F8F" w:rsidRPr="00E27443">
        <w:t xml:space="preserve"> </w:t>
      </w:r>
      <w:r w:rsidRPr="00E27443">
        <w:t>Act</w:t>
      </w:r>
      <w:r w:rsidR="004E04AD" w:rsidRPr="000D09CE">
        <w:footnoteReference w:id="160"/>
      </w:r>
      <w:r w:rsidR="00C63F8F" w:rsidRPr="00E27443">
        <w:t xml:space="preserve"> </w:t>
      </w:r>
      <w:r w:rsidRPr="00E27443">
        <w:t>and</w:t>
      </w:r>
      <w:r w:rsidR="00C63F8F" w:rsidRPr="00E27443">
        <w:t xml:space="preserve"> </w:t>
      </w:r>
      <w:r w:rsidRPr="00E27443">
        <w:t>the</w:t>
      </w:r>
      <w:r w:rsidR="00C63F8F" w:rsidRPr="00E27443">
        <w:t xml:space="preserve"> </w:t>
      </w:r>
      <w:r w:rsidRPr="00E27443">
        <w:t>Official</w:t>
      </w:r>
      <w:r w:rsidR="00C63F8F" w:rsidRPr="00E27443">
        <w:t xml:space="preserve"> </w:t>
      </w:r>
      <w:r w:rsidRPr="00E27443">
        <w:t>Statistics</w:t>
      </w:r>
      <w:r w:rsidR="00C63F8F" w:rsidRPr="00E27443">
        <w:t xml:space="preserve"> </w:t>
      </w:r>
      <w:r w:rsidR="004E04AD" w:rsidRPr="00E27443">
        <w:t>Ordi</w:t>
      </w:r>
      <w:r w:rsidRPr="00E27443">
        <w:t>nance,</w:t>
      </w:r>
      <w:r w:rsidR="004E04AD" w:rsidRPr="000D09CE">
        <w:footnoteReference w:id="161"/>
      </w:r>
      <w:r w:rsidR="00C63F8F" w:rsidRPr="00E27443">
        <w:t xml:space="preserve"> </w:t>
      </w:r>
      <w:r w:rsidRPr="00E27443">
        <w:t>which</w:t>
      </w:r>
      <w:r w:rsidR="00C63F8F" w:rsidRPr="00E27443">
        <w:t xml:space="preserve"> </w:t>
      </w:r>
      <w:r w:rsidRPr="00E27443">
        <w:t>entails</w:t>
      </w:r>
      <w:r w:rsidR="00C63F8F" w:rsidRPr="00E27443">
        <w:t xml:space="preserve"> </w:t>
      </w:r>
      <w:r w:rsidRPr="00E27443">
        <w:t>an</w:t>
      </w:r>
      <w:r w:rsidR="00C63F8F" w:rsidRPr="00E27443">
        <w:t xml:space="preserve"> </w:t>
      </w:r>
      <w:r w:rsidRPr="00E27443">
        <w:t>obligation</w:t>
      </w:r>
      <w:r w:rsidR="00C63F8F" w:rsidRPr="00E27443">
        <w:t xml:space="preserve"> </w:t>
      </w:r>
      <w:r w:rsidRPr="00E27443">
        <w:t>for</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to</w:t>
      </w:r>
      <w:r w:rsidR="00C63F8F" w:rsidRPr="00E27443">
        <w:t xml:space="preserve"> </w:t>
      </w:r>
      <w:r w:rsidRPr="00E27443">
        <w:t>submit</w:t>
      </w:r>
      <w:r w:rsidR="00C63F8F" w:rsidRPr="00E27443">
        <w:t xml:space="preserve"> </w:t>
      </w:r>
      <w:r w:rsidRPr="00E27443">
        <w:t>the</w:t>
      </w:r>
      <w:r w:rsidR="00C63F8F" w:rsidRPr="00E27443">
        <w:t xml:space="preserve"> </w:t>
      </w:r>
      <w:r w:rsidRPr="00E27443">
        <w:t>requested</w:t>
      </w:r>
      <w:r w:rsidR="00C63F8F" w:rsidRPr="00E27443">
        <w:t xml:space="preserve"> </w:t>
      </w:r>
      <w:r w:rsidRPr="00E27443">
        <w:t>information.</w:t>
      </w:r>
      <w:r w:rsidR="00C63F8F" w:rsidRPr="00E27443">
        <w:t xml:space="preserve"> </w:t>
      </w:r>
      <w:r w:rsidRPr="00E27443">
        <w:t>The</w:t>
      </w:r>
      <w:r w:rsidR="00C63F8F" w:rsidRPr="00E27443">
        <w:t xml:space="preserve"> </w:t>
      </w:r>
      <w:r w:rsidRPr="00E27443">
        <w:t>Ordinance</w:t>
      </w:r>
      <w:r w:rsidR="00C63F8F" w:rsidRPr="00E27443">
        <w:t xml:space="preserve"> </w:t>
      </w:r>
      <w:r w:rsidRPr="00E27443">
        <w:t>on</w:t>
      </w:r>
      <w:r w:rsidR="00C63F8F" w:rsidRPr="00E27443">
        <w:t xml:space="preserve"> </w:t>
      </w:r>
      <w:r w:rsidRPr="00E27443">
        <w:t>the</w:t>
      </w:r>
      <w:r w:rsidR="00C63F8F" w:rsidRPr="00E27443">
        <w:t xml:space="preserve"> </w:t>
      </w:r>
      <w:r w:rsidRPr="00E27443">
        <w:t>handing</w:t>
      </w:r>
      <w:r w:rsidR="00C63F8F" w:rsidRPr="00E27443">
        <w:t xml:space="preserve"> </w:t>
      </w:r>
      <w:r w:rsidRPr="00E27443">
        <w:t>out</w:t>
      </w:r>
      <w:r w:rsidR="00C63F8F" w:rsidRPr="00E27443">
        <w:t xml:space="preserve"> </w:t>
      </w:r>
      <w:r w:rsidRPr="00E27443">
        <w:t>of</w:t>
      </w:r>
      <w:r w:rsidR="00C63F8F" w:rsidRPr="00E27443">
        <w:t xml:space="preserve"> </w:t>
      </w:r>
      <w:r w:rsidRPr="00E27443">
        <w:t>information</w:t>
      </w:r>
      <w:r w:rsidR="00C63F8F" w:rsidRPr="00E27443">
        <w:t xml:space="preserve"> </w:t>
      </w:r>
      <w:r w:rsidRPr="00E27443">
        <w:t>relating</w:t>
      </w:r>
      <w:r w:rsidR="00C63F8F" w:rsidRPr="00E27443">
        <w:t xml:space="preserve"> </w:t>
      </w:r>
      <w:r w:rsidRPr="00E27443">
        <w:t>to</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to</w:t>
      </w:r>
      <w:r w:rsidR="00C63F8F" w:rsidRPr="00E27443">
        <w:t xml:space="preserve"> </w:t>
      </w:r>
      <w:r w:rsidRPr="00E27443">
        <w:t>certain</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D008F7" w:rsidRPr="000D09CE">
        <w:footnoteReference w:id="162"/>
      </w:r>
      <w:r w:rsidR="00C63F8F" w:rsidRPr="00E27443">
        <w:t xml:space="preserve"> </w:t>
      </w:r>
      <w:r w:rsidRPr="00E27443">
        <w:t>and</w:t>
      </w:r>
      <w:r w:rsidR="00C63F8F" w:rsidRPr="00E27443">
        <w:t xml:space="preserve"> </w:t>
      </w:r>
      <w:r w:rsidRPr="00E27443">
        <w:t>the</w:t>
      </w:r>
      <w:r w:rsidR="00C63F8F" w:rsidRPr="00E27443">
        <w:t xml:space="preserve"> </w:t>
      </w:r>
      <w:r w:rsidRPr="00E27443">
        <w:t>National</w:t>
      </w:r>
      <w:r w:rsidR="00C63F8F" w:rsidRPr="00E27443">
        <w:t xml:space="preserve"> </w:t>
      </w:r>
      <w:r w:rsidRPr="00E27443">
        <w:t>Board</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Welfare</w:t>
      </w:r>
      <w:r w:rsidR="00C63F8F" w:rsidRPr="00E27443">
        <w:t>’</w:t>
      </w:r>
      <w:r w:rsidRPr="00E27443">
        <w:t>s</w:t>
      </w:r>
      <w:r w:rsidR="00C63F8F" w:rsidRPr="00E27443">
        <w:t xml:space="preserve"> </w:t>
      </w:r>
      <w:r w:rsidRPr="00E27443">
        <w:t>regulations</w:t>
      </w:r>
      <w:r w:rsidR="00D008F7" w:rsidRPr="000D09CE">
        <w:footnoteReference w:id="163"/>
      </w:r>
      <w:r w:rsidR="00C63F8F" w:rsidRPr="00E27443">
        <w:t xml:space="preserve"> </w:t>
      </w:r>
      <w:r w:rsidRPr="00E27443">
        <w:t>regarding</w:t>
      </w:r>
      <w:r w:rsidR="00C63F8F" w:rsidRPr="00E27443">
        <w:t xml:space="preserve"> </w:t>
      </w:r>
      <w:r w:rsidRPr="00E27443">
        <w:t>municipalities</w:t>
      </w:r>
      <w:r w:rsidR="00C63F8F" w:rsidRPr="00E27443">
        <w:t xml:space="preserve">’ </w:t>
      </w:r>
      <w:r w:rsidRPr="00E27443">
        <w:t>obligation</w:t>
      </w:r>
      <w:r w:rsidR="00C63F8F" w:rsidRPr="00E27443">
        <w:t xml:space="preserve"> </w:t>
      </w:r>
      <w:r w:rsidRPr="00E27443">
        <w:t>to</w:t>
      </w:r>
      <w:r w:rsidR="00C63F8F" w:rsidRPr="00E27443">
        <w:t xml:space="preserve"> </w:t>
      </w:r>
      <w:r w:rsidRPr="00E27443">
        <w:t>provide</w:t>
      </w:r>
      <w:r w:rsidR="00C63F8F" w:rsidRPr="00E27443">
        <w:t xml:space="preserve"> </w:t>
      </w:r>
      <w:r w:rsidRPr="00E27443">
        <w:t>information</w:t>
      </w:r>
      <w:r w:rsidR="00C63F8F" w:rsidRPr="00E27443">
        <w:t xml:space="preserve"> </w:t>
      </w:r>
      <w:r w:rsidRPr="00E27443">
        <w:t>for</w:t>
      </w:r>
      <w:r w:rsidR="00C63F8F" w:rsidRPr="00E27443">
        <w:t xml:space="preserve"> </w:t>
      </w:r>
      <w:r w:rsidRPr="00E27443">
        <w:t>statistics</w:t>
      </w:r>
      <w:r w:rsidR="00C63F8F" w:rsidRPr="00E27443">
        <w:t xml:space="preserve"> </w:t>
      </w:r>
      <w:r w:rsidRPr="00E27443">
        <w:t>about</w:t>
      </w:r>
      <w:r w:rsidR="00C63F8F" w:rsidRPr="00E27443">
        <w:t xml:space="preserve"> </w:t>
      </w:r>
      <w:r w:rsidRPr="00E27443">
        <w:t>support</w:t>
      </w:r>
      <w:r w:rsidR="00C63F8F" w:rsidRPr="00E27443">
        <w:t xml:space="preserve"> </w:t>
      </w:r>
      <w:r w:rsidRPr="00E27443">
        <w:t>and</w:t>
      </w:r>
      <w:r w:rsidR="00C63F8F" w:rsidRPr="00E27443">
        <w:t xml:space="preserve"> </w:t>
      </w:r>
      <w:r w:rsidRPr="00E27443">
        <w:t>service</w:t>
      </w:r>
      <w:r w:rsidR="00C63F8F" w:rsidRPr="00E27443">
        <w:t xml:space="preserve"> </w:t>
      </w:r>
      <w:r w:rsidRPr="00E27443">
        <w:t>to</w:t>
      </w:r>
      <w:r w:rsidR="00C63F8F" w:rsidRPr="00E27443">
        <w:t xml:space="preserve"> </w:t>
      </w:r>
      <w:r w:rsidRPr="00E27443">
        <w:t>certain</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regulate</w:t>
      </w:r>
      <w:r w:rsidR="00C63F8F" w:rsidRPr="00E27443">
        <w:t xml:space="preserve"> </w:t>
      </w:r>
      <w:r w:rsidRPr="00E27443">
        <w:t>which</w:t>
      </w:r>
      <w:r w:rsidR="00C63F8F" w:rsidRPr="00E27443">
        <w:t xml:space="preserve"> </w:t>
      </w:r>
      <w:r w:rsidRPr="00E27443">
        <w:t>personal</w:t>
      </w:r>
      <w:r w:rsidR="00C63F8F" w:rsidRPr="00E27443">
        <w:t xml:space="preserve"> </w:t>
      </w:r>
      <w:r w:rsidRPr="00E27443">
        <w:t>identity</w:t>
      </w:r>
      <w:r w:rsidR="00C63F8F" w:rsidRPr="00E27443">
        <w:t xml:space="preserve"> </w:t>
      </w:r>
      <w:r w:rsidRPr="00E27443">
        <w:t>number-based</w:t>
      </w:r>
      <w:r w:rsidR="00C63F8F" w:rsidRPr="00E27443">
        <w:t xml:space="preserve"> </w:t>
      </w:r>
      <w:r w:rsidRPr="00E27443">
        <w:t>information</w:t>
      </w:r>
      <w:r w:rsidR="00C63F8F" w:rsidRPr="00E27443">
        <w:t xml:space="preserve"> </w:t>
      </w:r>
      <w:r w:rsidRPr="00E27443">
        <w:t>the</w:t>
      </w:r>
      <w:r w:rsidR="00C63F8F" w:rsidRPr="00E27443">
        <w:t xml:space="preserve"> </w:t>
      </w:r>
      <w:r w:rsidRPr="00E27443">
        <w:t>municipalities</w:t>
      </w:r>
      <w:r w:rsidR="00C63F8F" w:rsidRPr="00E27443">
        <w:t xml:space="preserve"> </w:t>
      </w:r>
      <w:r w:rsidRPr="00E27443">
        <w:t>should</w:t>
      </w:r>
      <w:r w:rsidR="00C63F8F" w:rsidRPr="00E27443">
        <w:t xml:space="preserve"> </w:t>
      </w:r>
      <w:r w:rsidRPr="00E27443">
        <w:t>provide.</w:t>
      </w:r>
      <w:r w:rsidR="00C63F8F" w:rsidRPr="00E27443">
        <w:t xml:space="preserve"> </w:t>
      </w:r>
      <w:r w:rsidRPr="00E27443">
        <w:t>The</w:t>
      </w:r>
      <w:r w:rsidR="00C63F8F" w:rsidRPr="00E27443">
        <w:t xml:space="preserve"> </w:t>
      </w:r>
      <w:r w:rsidRPr="00E27443">
        <w:t>Public</w:t>
      </w:r>
      <w:r w:rsidR="00C63F8F" w:rsidRPr="00E27443">
        <w:t xml:space="preserve"> </w:t>
      </w:r>
      <w:r w:rsidRPr="00E27443">
        <w:t>Access</w:t>
      </w:r>
      <w:r w:rsidR="00C63F8F" w:rsidRPr="00E27443">
        <w:t xml:space="preserve"> </w:t>
      </w:r>
      <w:r w:rsidRPr="00E27443">
        <w:t>to</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Secrecy</w:t>
      </w:r>
      <w:r w:rsidR="00C63F8F" w:rsidRPr="00E27443">
        <w:t xml:space="preserve"> </w:t>
      </w:r>
      <w:r w:rsidRPr="00E27443">
        <w:t>Act</w:t>
      </w:r>
      <w:r w:rsidR="00D008F7" w:rsidRPr="000D09CE">
        <w:footnoteReference w:id="164"/>
      </w:r>
      <w:r w:rsidR="00C63F8F" w:rsidRPr="00E27443">
        <w:t xml:space="preserve"> </w:t>
      </w:r>
      <w:r w:rsidRPr="00E27443">
        <w:t>contains</w:t>
      </w:r>
      <w:r w:rsidR="00C63F8F" w:rsidRPr="00E27443">
        <w:t xml:space="preserve"> </w:t>
      </w:r>
      <w:r w:rsidRPr="00E27443">
        <w:t>provisions</w:t>
      </w:r>
      <w:r w:rsidR="00C63F8F" w:rsidRPr="00E27443">
        <w:t xml:space="preserve"> </w:t>
      </w:r>
      <w:r w:rsidRPr="00E27443">
        <w:t>regarding</w:t>
      </w:r>
      <w:r w:rsidR="00C63F8F" w:rsidRPr="00E27443">
        <w:t xml:space="preserve"> </w:t>
      </w:r>
      <w:r w:rsidRPr="00E27443">
        <w:t>the</w:t>
      </w:r>
      <w:r w:rsidR="00C63F8F" w:rsidRPr="00E27443">
        <w:t xml:space="preserve"> </w:t>
      </w:r>
      <w:r w:rsidRPr="00E27443">
        <w:t>confidentiality</w:t>
      </w:r>
      <w:r w:rsidR="00C63F8F" w:rsidRPr="00E27443">
        <w:t xml:space="preserve"> </w:t>
      </w:r>
      <w:r w:rsidRPr="00E27443">
        <w:t>of</w:t>
      </w:r>
      <w:r w:rsidR="00C63F8F" w:rsidRPr="00E27443">
        <w:t xml:space="preserve"> </w:t>
      </w:r>
      <w:r w:rsidRPr="00E27443">
        <w:t>the</w:t>
      </w:r>
      <w:r w:rsidR="00C63F8F" w:rsidRPr="00E27443">
        <w:t xml:space="preserve"> </w:t>
      </w:r>
      <w:r w:rsidRPr="00E27443">
        <w:t>information,</w:t>
      </w:r>
      <w:r w:rsidR="00C63F8F" w:rsidRPr="00E27443">
        <w:t xml:space="preserve"> </w:t>
      </w:r>
      <w:r w:rsidRPr="00E27443">
        <w:t>specifying</w:t>
      </w:r>
      <w:r w:rsidR="00C63F8F" w:rsidRPr="00E27443">
        <w:t xml:space="preserve"> </w:t>
      </w:r>
      <w:r w:rsidRPr="00E27443">
        <w:t>which</w:t>
      </w:r>
      <w:r w:rsidR="00C63F8F" w:rsidRPr="00E27443">
        <w:t xml:space="preserve"> </w:t>
      </w:r>
      <w:r w:rsidRPr="00E27443">
        <w:t>legislation</w:t>
      </w:r>
      <w:r w:rsidR="00C63F8F" w:rsidRPr="00E27443">
        <w:t xml:space="preserve"> </w:t>
      </w:r>
      <w:r w:rsidRPr="00E27443">
        <w:t>governs</w:t>
      </w:r>
      <w:r w:rsidR="00C63F8F" w:rsidRPr="00E27443">
        <w:t xml:space="preserve"> </w:t>
      </w:r>
      <w:r w:rsidRPr="00E27443">
        <w:t>the</w:t>
      </w:r>
      <w:r w:rsidR="00C63F8F" w:rsidRPr="00E27443">
        <w:t xml:space="preserve"> </w:t>
      </w:r>
      <w:r w:rsidRPr="00E27443">
        <w:t>potential</w:t>
      </w:r>
      <w:r w:rsidR="00C63F8F" w:rsidRPr="00E27443">
        <w:t xml:space="preserve"> </w:t>
      </w:r>
      <w:r w:rsidRPr="00E27443">
        <w:t>to</w:t>
      </w:r>
      <w:r w:rsidR="00C63F8F" w:rsidRPr="00E27443">
        <w:t xml:space="preserve"> </w:t>
      </w:r>
      <w:r w:rsidRPr="00E27443">
        <w:t>hand</w:t>
      </w:r>
      <w:r w:rsidR="00C63F8F" w:rsidRPr="00E27443">
        <w:t xml:space="preserve"> </w:t>
      </w:r>
      <w:r w:rsidRPr="00E27443">
        <w:t>out</w:t>
      </w:r>
      <w:r w:rsidR="00C63F8F" w:rsidRPr="00E27443">
        <w:t xml:space="preserve"> </w:t>
      </w:r>
      <w:r w:rsidRPr="00E27443">
        <w:t>information.</w:t>
      </w:r>
    </w:p>
    <w:p w:rsidR="00321ADA" w:rsidRPr="00E27443" w:rsidRDefault="00321ADA" w:rsidP="000D09CE">
      <w:pPr>
        <w:pStyle w:val="SingleTxtG"/>
        <w:numPr>
          <w:ilvl w:val="0"/>
          <w:numId w:val="20"/>
        </w:numPr>
        <w:tabs>
          <w:tab w:val="left" w:pos="1843"/>
        </w:tabs>
        <w:ind w:left="1134" w:firstLine="0"/>
      </w:pPr>
      <w:r w:rsidRPr="00E27443">
        <w:t>Statistics</w:t>
      </w:r>
      <w:r w:rsidR="00C63F8F" w:rsidRPr="00E27443">
        <w:t xml:space="preserve"> </w:t>
      </w:r>
      <w:r w:rsidRPr="00E27443">
        <w:t>following</w:t>
      </w:r>
      <w:r w:rsidR="00C63F8F" w:rsidRPr="00E27443">
        <w:t xml:space="preserve"> </w:t>
      </w:r>
      <w:r w:rsidRPr="00E27443">
        <w:t>the</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relation</w:t>
      </w:r>
      <w:r w:rsidR="00C63F8F" w:rsidRPr="00E27443">
        <w:t xml:space="preserve"> </w:t>
      </w:r>
      <w:r w:rsidRPr="00E27443">
        <w:t>to</w:t>
      </w:r>
      <w:r w:rsidR="00C63F8F" w:rsidRPr="00E27443">
        <w:t xml:space="preserve"> </w:t>
      </w:r>
      <w:r w:rsidRPr="00E27443">
        <w:t>the</w:t>
      </w:r>
      <w:r w:rsidR="00C63F8F" w:rsidRPr="00E27443">
        <w:t xml:space="preserve"> </w:t>
      </w:r>
      <w:r w:rsidRPr="00E27443">
        <w:t>rest</w:t>
      </w:r>
      <w:r w:rsidR="00C63F8F" w:rsidRPr="00E27443">
        <w:t xml:space="preserve"> </w:t>
      </w:r>
      <w:r w:rsidRPr="00E27443">
        <w:t>of</w:t>
      </w:r>
      <w:r w:rsidR="00C63F8F" w:rsidRPr="00E27443">
        <w:t xml:space="preserve"> </w:t>
      </w:r>
      <w:r w:rsidRPr="00E27443">
        <w:t>the</w:t>
      </w:r>
      <w:r w:rsidR="00C63F8F" w:rsidRPr="00E27443">
        <w:t xml:space="preserve"> </w:t>
      </w:r>
      <w:r w:rsidRPr="00E27443">
        <w:t>population</w:t>
      </w:r>
      <w:r w:rsidR="00C63F8F" w:rsidRPr="00E27443">
        <w:t xml:space="preserve"> </w:t>
      </w:r>
      <w:r w:rsidRPr="00E27443">
        <w:t>are</w:t>
      </w:r>
      <w:r w:rsidR="00C63F8F" w:rsidRPr="00E27443">
        <w:t xml:space="preserve"> </w:t>
      </w:r>
      <w:r w:rsidRPr="00E27443">
        <w:t>a</w:t>
      </w:r>
      <w:r w:rsidR="00C63F8F" w:rsidRPr="00E27443">
        <w:t xml:space="preserve"> </w:t>
      </w:r>
      <w:r w:rsidRPr="00E27443">
        <w:t>precondition</w:t>
      </w:r>
      <w:r w:rsidR="00C63F8F" w:rsidRPr="00E27443">
        <w:t xml:space="preserve"> </w:t>
      </w:r>
      <w:r w:rsidRPr="00E27443">
        <w:t>for</w:t>
      </w:r>
      <w:r w:rsidR="00C63F8F" w:rsidRPr="00E27443">
        <w:t xml:space="preserve"> </w:t>
      </w:r>
      <w:r w:rsidRPr="00E27443">
        <w:t>being</w:t>
      </w:r>
      <w:r w:rsidR="00C63F8F" w:rsidRPr="00E27443">
        <w:t xml:space="preserve"> </w:t>
      </w:r>
      <w:r w:rsidRPr="00E27443">
        <w:t>able</w:t>
      </w:r>
      <w:r w:rsidR="00C63F8F" w:rsidRPr="00E27443">
        <w:t xml:space="preserve"> </w:t>
      </w:r>
      <w:r w:rsidRPr="00E27443">
        <w:t>to</w:t>
      </w:r>
      <w:r w:rsidR="00C63F8F" w:rsidRPr="00E27443">
        <w:t xml:space="preserve"> </w:t>
      </w:r>
      <w:r w:rsidRPr="00E27443">
        <w:t>measure</w:t>
      </w:r>
      <w:r w:rsidR="00C63F8F" w:rsidRPr="00E27443">
        <w:t xml:space="preserve"> </w:t>
      </w:r>
      <w:r w:rsidRPr="00E27443">
        <w:t>the</w:t>
      </w:r>
      <w:r w:rsidR="00C63F8F" w:rsidRPr="00E27443">
        <w:t xml:space="preserve"> </w:t>
      </w:r>
      <w:r w:rsidRPr="00E27443">
        <w:t>results</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disability</w:t>
      </w:r>
      <w:r w:rsidR="00C63F8F" w:rsidRPr="00E27443">
        <w:t xml:space="preserve"> </w:t>
      </w:r>
      <w:r w:rsidRPr="00E27443">
        <w:t>policy.</w:t>
      </w:r>
      <w:r w:rsidR="00C63F8F" w:rsidRPr="00E27443">
        <w:t xml:space="preserve"> </w:t>
      </w:r>
    </w:p>
    <w:p w:rsidR="00321ADA" w:rsidRPr="00E27443" w:rsidRDefault="00321ADA" w:rsidP="000D09CE">
      <w:pPr>
        <w:pStyle w:val="SingleTxtG"/>
        <w:numPr>
          <w:ilvl w:val="0"/>
          <w:numId w:val="20"/>
        </w:numPr>
        <w:tabs>
          <w:tab w:val="left" w:pos="1843"/>
        </w:tabs>
        <w:ind w:left="1134" w:firstLine="0"/>
      </w:pPr>
      <w:r w:rsidRPr="00E27443">
        <w:t>In</w:t>
      </w:r>
      <w:r w:rsidR="00C63F8F" w:rsidRPr="00E27443">
        <w:t xml:space="preserve"> </w:t>
      </w:r>
      <w:r w:rsidRPr="00E27443">
        <w:t>the</w:t>
      </w:r>
      <w:r w:rsidR="00C63F8F" w:rsidRPr="00E27443">
        <w:t xml:space="preserve"> </w:t>
      </w:r>
      <w:r w:rsidRPr="00E27443">
        <w:t>work</w:t>
      </w:r>
      <w:r w:rsidR="00C63F8F" w:rsidRPr="00E27443">
        <w:t xml:space="preserve"> </w:t>
      </w:r>
      <w:r w:rsidRPr="00E27443">
        <w:t>that</w:t>
      </w:r>
      <w:r w:rsidR="00C63F8F" w:rsidRPr="00E27443">
        <w:t xml:space="preserve"> </w:t>
      </w:r>
      <w:r w:rsidRPr="00E27443">
        <w:t>is</w:t>
      </w:r>
      <w:r w:rsidR="00C63F8F" w:rsidRPr="00E27443">
        <w:t xml:space="preserve"> </w:t>
      </w:r>
      <w:r w:rsidRPr="00E27443">
        <w:t>being</w:t>
      </w:r>
      <w:r w:rsidR="00C63F8F" w:rsidRPr="00E27443">
        <w:t xml:space="preserve"> </w:t>
      </w:r>
      <w:r w:rsidRPr="00E27443">
        <w:t>conducted</w:t>
      </w:r>
      <w:r w:rsidR="00C63F8F" w:rsidRPr="00E27443">
        <w:t xml:space="preserve"> </w:t>
      </w:r>
      <w:r w:rsidRPr="00E27443">
        <w:t>to</w:t>
      </w:r>
      <w:r w:rsidR="00C63F8F" w:rsidRPr="00E27443">
        <w:t xml:space="preserve"> </w:t>
      </w:r>
      <w:r w:rsidRPr="00E27443">
        <w:t>create</w:t>
      </w:r>
      <w:r w:rsidR="00C63F8F" w:rsidRPr="00E27443">
        <w:t xml:space="preserve"> </w:t>
      </w:r>
      <w:r w:rsidRPr="00E27443">
        <w:t>a</w:t>
      </w:r>
      <w:r w:rsidR="00C63F8F" w:rsidRPr="00E27443">
        <w:t xml:space="preserve"> </w:t>
      </w:r>
      <w:r w:rsidRPr="00E27443">
        <w:t>better</w:t>
      </w:r>
      <w:r w:rsidR="00C63F8F" w:rsidRPr="00E27443">
        <w:t xml:space="preserve"> </w:t>
      </w:r>
      <w:r w:rsidRPr="00E27443">
        <w:t>picture</w:t>
      </w:r>
      <w:r w:rsidR="00C63F8F" w:rsidRPr="00E27443">
        <w:t xml:space="preserve"> </w:t>
      </w:r>
      <w:r w:rsidRPr="00E27443">
        <w:t>of</w:t>
      </w:r>
      <w:r w:rsidR="00C63F8F" w:rsidRPr="00E27443">
        <w:t xml:space="preserve"> </w:t>
      </w:r>
      <w:r w:rsidRPr="00E27443">
        <w:t>the</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Statistics</w:t>
      </w:r>
      <w:r w:rsidR="00C63F8F" w:rsidRPr="00E27443">
        <w:t xml:space="preserve"> </w:t>
      </w:r>
      <w:r w:rsidRPr="00E27443">
        <w:t>Sweden</w:t>
      </w:r>
      <w:r w:rsidR="00C63F8F" w:rsidRPr="00E27443">
        <w:t xml:space="preserve"> </w:t>
      </w:r>
      <w:r w:rsidRPr="00E27443">
        <w:t>(SCB),</w:t>
      </w:r>
      <w:r w:rsidR="00D008F7" w:rsidRPr="000D09CE">
        <w:footnoteReference w:id="165"/>
      </w:r>
      <w:r w:rsidR="00C63F8F" w:rsidRPr="00E27443">
        <w:t xml:space="preserve"> </w:t>
      </w:r>
      <w:r w:rsidRPr="00E27443">
        <w:t>at</w:t>
      </w:r>
      <w:r w:rsidR="00C63F8F" w:rsidRPr="00E27443">
        <w:t xml:space="preserve"> </w:t>
      </w:r>
      <w:r w:rsidRPr="00E27443">
        <w:t>the</w:t>
      </w:r>
      <w:r w:rsidR="00C63F8F" w:rsidRPr="00E27443">
        <w:t xml:space="preserve"> </w:t>
      </w:r>
      <w:r w:rsidRPr="00E27443">
        <w:t>request</w:t>
      </w:r>
      <w:r w:rsidR="00C63F8F" w:rsidRPr="00E27443">
        <w:t xml:space="preserve"> </w:t>
      </w:r>
      <w:r w:rsidRPr="00E27443">
        <w:t>of</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w:t>
      </w:r>
      <w:r w:rsidR="00C63F8F" w:rsidRPr="00E27443">
        <w:t xml:space="preserve"> </w:t>
      </w:r>
      <w:r w:rsidRPr="00E27443">
        <w:t>autumn</w:t>
      </w:r>
      <w:r w:rsidR="00C63F8F" w:rsidRPr="00E27443">
        <w:t xml:space="preserve"> </w:t>
      </w:r>
      <w:r w:rsidRPr="00E27443">
        <w:t>2010,</w:t>
      </w:r>
      <w:r w:rsidR="00C63F8F" w:rsidRPr="00E27443">
        <w:t xml:space="preserve"> </w:t>
      </w:r>
      <w:r w:rsidRPr="00E27443">
        <w:t>has</w:t>
      </w:r>
      <w:r w:rsidR="00C63F8F" w:rsidRPr="00E27443">
        <w:t xml:space="preserve"> </w:t>
      </w:r>
      <w:r w:rsidRPr="00E27443">
        <w:t>supplied</w:t>
      </w:r>
      <w:r w:rsidR="00C63F8F" w:rsidRPr="00E27443">
        <w:t xml:space="preserve"> </w:t>
      </w:r>
      <w:r w:rsidRPr="00E27443">
        <w:t>information</w:t>
      </w:r>
      <w:r w:rsidR="00C63F8F" w:rsidRPr="00E27443">
        <w:t xml:space="preserve"> </w:t>
      </w:r>
      <w:r w:rsidRPr="00E27443">
        <w:t>specific</w:t>
      </w:r>
      <w:r w:rsidR="00C63F8F" w:rsidRPr="00E27443">
        <w:t xml:space="preserve"> </w:t>
      </w:r>
      <w:r w:rsidRPr="00E27443">
        <w:t>to</w:t>
      </w:r>
      <w:r w:rsidR="00C63F8F" w:rsidRPr="00E27443">
        <w:t xml:space="preserve"> </w:t>
      </w:r>
      <w:r w:rsidRPr="00E27443">
        <w:t>the</w:t>
      </w:r>
      <w:r w:rsidR="00C63F8F" w:rsidRPr="00E27443">
        <w:t xml:space="preserve"> </w:t>
      </w:r>
      <w:r w:rsidRPr="00E27443">
        <w:t>target</w:t>
      </w:r>
      <w:r w:rsidR="00C63F8F" w:rsidRPr="00E27443">
        <w:t xml:space="preserve"> </w:t>
      </w:r>
      <w:r w:rsidRPr="00E27443">
        <w:t>group</w:t>
      </w:r>
      <w:r w:rsidR="00C63F8F" w:rsidRPr="00E27443">
        <w:t xml:space="preserve"> </w:t>
      </w:r>
      <w:r w:rsidRPr="00E27443">
        <w:t>based</w:t>
      </w:r>
      <w:r w:rsidR="00C63F8F" w:rsidRPr="00E27443">
        <w:t xml:space="preserve"> </w:t>
      </w:r>
      <w:r w:rsidRPr="00E27443">
        <w:t>on</w:t>
      </w:r>
      <w:r w:rsidR="00C63F8F" w:rsidRPr="00E27443">
        <w:t xml:space="preserve"> </w:t>
      </w:r>
      <w:r w:rsidRPr="00E27443">
        <w:t>an</w:t>
      </w:r>
      <w:r w:rsidR="00C63F8F" w:rsidRPr="00E27443">
        <w:t xml:space="preserve"> </w:t>
      </w:r>
      <w:r w:rsidRPr="00E27443">
        <w:t>established</w:t>
      </w:r>
      <w:r w:rsidR="00C63F8F" w:rsidRPr="00E27443">
        <w:t xml:space="preserve"> </w:t>
      </w:r>
      <w:r w:rsidRPr="00E27443">
        <w:t>investigation</w:t>
      </w:r>
      <w:r w:rsidR="00C63F8F" w:rsidRPr="00E27443">
        <w:t xml:space="preserve"> </w:t>
      </w:r>
      <w:r w:rsidRPr="00E27443">
        <w:t>into</w:t>
      </w:r>
      <w:r w:rsidR="00C63F8F" w:rsidRPr="00E27443">
        <w:t xml:space="preserve"> </w:t>
      </w:r>
      <w:r w:rsidRPr="00E27443">
        <w:t>the</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of</w:t>
      </w:r>
      <w:r w:rsidR="00C63F8F" w:rsidRPr="00E27443">
        <w:t xml:space="preserve"> </w:t>
      </w:r>
      <w:r w:rsidRPr="00E27443">
        <w:t>the</w:t>
      </w:r>
      <w:r w:rsidR="00C63F8F" w:rsidRPr="00E27443">
        <w:t xml:space="preserve"> </w:t>
      </w:r>
      <w:r w:rsidRPr="00E27443">
        <w:t>Swedish</w:t>
      </w:r>
      <w:r w:rsidR="00C63F8F" w:rsidRPr="00E27443">
        <w:t xml:space="preserve"> </w:t>
      </w:r>
      <w:r w:rsidRPr="00E27443">
        <w:t>people.</w:t>
      </w:r>
    </w:p>
    <w:p w:rsidR="00321ADA" w:rsidRPr="00E27443" w:rsidRDefault="00321ADA" w:rsidP="000D09CE">
      <w:pPr>
        <w:pStyle w:val="SingleTxtG"/>
        <w:numPr>
          <w:ilvl w:val="0"/>
          <w:numId w:val="20"/>
        </w:numPr>
        <w:tabs>
          <w:tab w:val="left" w:pos="1843"/>
        </w:tabs>
        <w:ind w:left="1134" w:firstLine="0"/>
      </w:pPr>
      <w:r w:rsidRPr="00E27443">
        <w:t>The</w:t>
      </w:r>
      <w:r w:rsidR="00C63F8F" w:rsidRPr="00E27443">
        <w:t xml:space="preserve"> </w:t>
      </w:r>
      <w:r w:rsidRPr="00E27443">
        <w:t>material</w:t>
      </w:r>
      <w:r w:rsidR="00C63F8F" w:rsidRPr="00E27443">
        <w:t xml:space="preserve"> </w:t>
      </w:r>
      <w:r w:rsidRPr="00E27443">
        <w:t>is</w:t>
      </w:r>
      <w:r w:rsidR="00C63F8F" w:rsidRPr="00E27443">
        <w:t xml:space="preserve"> </w:t>
      </w:r>
      <w:r w:rsidRPr="00E27443">
        <w:t>currently</w:t>
      </w:r>
      <w:r w:rsidR="00C63F8F" w:rsidRPr="00E27443">
        <w:t xml:space="preserve"> </w:t>
      </w:r>
      <w:r w:rsidRPr="00E27443">
        <w:t>being</w:t>
      </w:r>
      <w:r w:rsidR="00C63F8F" w:rsidRPr="00E27443">
        <w:t xml:space="preserve"> </w:t>
      </w:r>
      <w:r w:rsidRPr="00E27443">
        <w:t>processed,</w:t>
      </w:r>
      <w:r w:rsidR="00C63F8F" w:rsidRPr="00E27443">
        <w:t xml:space="preserve"> </w:t>
      </w:r>
      <w:r w:rsidRPr="00E27443">
        <w:t>and</w:t>
      </w:r>
      <w:r w:rsidR="00C63F8F" w:rsidRPr="00E27443">
        <w:t xml:space="preserve"> </w:t>
      </w:r>
      <w:r w:rsidRPr="00E27443">
        <w:t>the</w:t>
      </w:r>
      <w:r w:rsidR="00C63F8F" w:rsidRPr="00E27443">
        <w:t xml:space="preserve"> </w:t>
      </w:r>
      <w:r w:rsidRPr="00E27443">
        <w:t>results</w:t>
      </w:r>
      <w:r w:rsidR="00C63F8F" w:rsidRPr="00E27443">
        <w:t xml:space="preserve"> </w:t>
      </w:r>
      <w:r w:rsidRPr="00E27443">
        <w:t>will</w:t>
      </w:r>
      <w:r w:rsidR="00C63F8F" w:rsidRPr="00E27443">
        <w:t xml:space="preserve"> </w:t>
      </w:r>
      <w:r w:rsidRPr="00E27443">
        <w:t>be</w:t>
      </w:r>
      <w:r w:rsidR="00C63F8F" w:rsidRPr="00E27443">
        <w:t xml:space="preserve"> </w:t>
      </w:r>
      <w:r w:rsidRPr="00E27443">
        <w:t>presented</w:t>
      </w:r>
      <w:r w:rsidR="00C63F8F" w:rsidRPr="00E27443">
        <w:t xml:space="preserve"> </w:t>
      </w:r>
      <w:r w:rsidRPr="00E27443">
        <w:t>in</w:t>
      </w:r>
      <w:r w:rsidR="00C63F8F" w:rsidRPr="00E27443">
        <w:t xml:space="preserve"> </w:t>
      </w:r>
      <w:r w:rsidRPr="00E27443">
        <w:t>a</w:t>
      </w:r>
      <w:r w:rsidR="00C63F8F" w:rsidRPr="00E27443">
        <w:t xml:space="preserve"> </w:t>
      </w:r>
      <w:r w:rsidRPr="00E27443">
        <w:t>report</w:t>
      </w:r>
      <w:r w:rsidR="00C63F8F" w:rsidRPr="00E27443">
        <w:t xml:space="preserve"> </w:t>
      </w:r>
      <w:r w:rsidRPr="00E27443">
        <w:t>including</w:t>
      </w:r>
      <w:r w:rsidR="00C63F8F" w:rsidRPr="00E27443">
        <w:t xml:space="preserve"> </w:t>
      </w:r>
      <w:r w:rsidRPr="00E27443">
        <w:t>conclusions</w:t>
      </w:r>
      <w:r w:rsidR="00C63F8F" w:rsidRPr="00E27443">
        <w:t xml:space="preserve"> </w:t>
      </w:r>
      <w:r w:rsidRPr="00E27443">
        <w:t>regarding</w:t>
      </w:r>
      <w:r w:rsidR="00C63F8F" w:rsidRPr="00E27443">
        <w:t xml:space="preserve"> </w:t>
      </w:r>
      <w:r w:rsidRPr="00E27443">
        <w:t>both</w:t>
      </w:r>
      <w:r w:rsidR="00C63F8F" w:rsidRPr="00E27443">
        <w:t xml:space="preserve"> </w:t>
      </w:r>
      <w:r w:rsidRPr="00E27443">
        <w:t>living</w:t>
      </w:r>
      <w:r w:rsidR="00C63F8F" w:rsidRPr="00E27443">
        <w:t xml:space="preserve"> </w:t>
      </w:r>
      <w:r w:rsidRPr="00E27443">
        <w:t>conditions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what</w:t>
      </w:r>
      <w:r w:rsidR="00C63F8F" w:rsidRPr="00E27443">
        <w:t xml:space="preserve"> </w:t>
      </w:r>
      <w:r w:rsidRPr="00E27443">
        <w:t>improvements</w:t>
      </w:r>
      <w:r w:rsidR="00C63F8F" w:rsidRPr="00E27443">
        <w:t xml:space="preserve"> </w:t>
      </w:r>
      <w:r w:rsidRPr="00E27443">
        <w:t>to</w:t>
      </w:r>
      <w:r w:rsidR="00C63F8F" w:rsidRPr="00E27443">
        <w:t xml:space="preserve"> </w:t>
      </w:r>
      <w:r w:rsidRPr="00E27443">
        <w:t>the</w:t>
      </w:r>
      <w:r w:rsidR="00C63F8F" w:rsidRPr="00E27443">
        <w:t xml:space="preserve"> </w:t>
      </w:r>
      <w:r w:rsidRPr="00E27443">
        <w:t>investigation</w:t>
      </w:r>
      <w:r w:rsidR="00C63F8F" w:rsidRPr="00E27443">
        <w:t xml:space="preserve"> </w:t>
      </w:r>
      <w:r w:rsidRPr="00E27443">
        <w:t>methodology</w:t>
      </w:r>
      <w:r w:rsidR="00C63F8F" w:rsidRPr="00E27443">
        <w:t xml:space="preserve"> </w:t>
      </w:r>
      <w:r w:rsidRPr="00E27443">
        <w:t>should</w:t>
      </w:r>
      <w:r w:rsidR="00C63F8F" w:rsidRPr="00E27443">
        <w:t xml:space="preserve"> </w:t>
      </w:r>
      <w:r w:rsidRPr="00E27443">
        <w:t>be</w:t>
      </w:r>
      <w:r w:rsidR="00C63F8F" w:rsidRPr="00E27443">
        <w:t xml:space="preserve"> </w:t>
      </w:r>
      <w:r w:rsidRPr="00E27443">
        <w:t>implemented</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achieve</w:t>
      </w:r>
      <w:r w:rsidR="00C63F8F" w:rsidRPr="00E27443">
        <w:t xml:space="preserve"> </w:t>
      </w:r>
      <w:r w:rsidRPr="00E27443">
        <w:t>a</w:t>
      </w:r>
      <w:r w:rsidR="00C63F8F" w:rsidRPr="00E27443">
        <w:t xml:space="preserve"> </w:t>
      </w:r>
      <w:r w:rsidRPr="00E27443">
        <w:t>good</w:t>
      </w:r>
      <w:r w:rsidR="00C63F8F" w:rsidRPr="00E27443">
        <w:t xml:space="preserve"> </w:t>
      </w:r>
      <w:r w:rsidRPr="00E27443">
        <w:t>statistical</w:t>
      </w:r>
      <w:r w:rsidR="00C63F8F" w:rsidRPr="00E27443">
        <w:t xml:space="preserve"> </w:t>
      </w:r>
      <w:r w:rsidRPr="00E27443">
        <w:t>description</w:t>
      </w:r>
      <w:r w:rsidR="00C63F8F" w:rsidRPr="00E27443">
        <w:t xml:space="preserve"> </w:t>
      </w:r>
      <w:r w:rsidRPr="00E27443">
        <w:t>in</w:t>
      </w:r>
      <w:r w:rsidR="00C63F8F" w:rsidRPr="00E27443">
        <w:t xml:space="preserve"> </w:t>
      </w:r>
      <w:r w:rsidRPr="00E27443">
        <w:t>future.</w:t>
      </w:r>
    </w:p>
    <w:p w:rsidR="00321ADA" w:rsidRPr="00E27443" w:rsidRDefault="00321ADA" w:rsidP="000D09CE">
      <w:pPr>
        <w:pStyle w:val="SingleTxtG"/>
        <w:numPr>
          <w:ilvl w:val="0"/>
          <w:numId w:val="20"/>
        </w:numPr>
        <w:tabs>
          <w:tab w:val="left" w:pos="1843"/>
        </w:tabs>
        <w:ind w:left="1134" w:firstLine="0"/>
      </w:pPr>
      <w:r w:rsidRPr="00E27443">
        <w:t>The</w:t>
      </w:r>
      <w:r w:rsidR="00C63F8F" w:rsidRPr="00E27443">
        <w:t xml:space="preserve"> </w:t>
      </w:r>
      <w:r w:rsidRPr="00E27443">
        <w:t>Government</w:t>
      </w:r>
      <w:r w:rsidR="00C63F8F" w:rsidRPr="00E27443">
        <w:t>’</w:t>
      </w:r>
      <w:r w:rsidRPr="00E27443">
        <w:t>s</w:t>
      </w:r>
      <w:r w:rsidR="00C63F8F" w:rsidRPr="00E27443">
        <w:t xml:space="preserve"> </w:t>
      </w:r>
      <w:r w:rsidRPr="00E27443">
        <w:t>aim</w:t>
      </w:r>
      <w:r w:rsidR="00C63F8F" w:rsidRPr="00E27443">
        <w:t xml:space="preserve"> </w:t>
      </w:r>
      <w:r w:rsidRPr="00E27443">
        <w:t>is</w:t>
      </w:r>
      <w:r w:rsidR="00C63F8F" w:rsidRPr="00E27443">
        <w:t xml:space="preserve"> </w:t>
      </w:r>
      <w:r w:rsidRPr="00E27443">
        <w:t>also</w:t>
      </w:r>
      <w:r w:rsidR="00C63F8F" w:rsidRPr="00E27443">
        <w:t xml:space="preserve"> </w:t>
      </w:r>
      <w:r w:rsidRPr="00E27443">
        <w:t>to</w:t>
      </w:r>
      <w:r w:rsidR="00C63F8F" w:rsidRPr="00E27443">
        <w:t xml:space="preserve"> </w:t>
      </w:r>
      <w:r w:rsidRPr="00E27443">
        <w:t>identify</w:t>
      </w:r>
      <w:r w:rsidR="00C63F8F" w:rsidRPr="00E27443">
        <w:t xml:space="preserve"> </w:t>
      </w:r>
      <w:r w:rsidRPr="00E27443">
        <w:t>methods</w:t>
      </w:r>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compare</w:t>
      </w:r>
      <w:r w:rsidR="00C63F8F" w:rsidRPr="00E27443">
        <w:t xml:space="preserve"> </w:t>
      </w:r>
      <w:r w:rsidRPr="00E27443">
        <w:t>living</w:t>
      </w:r>
      <w:r w:rsidR="00C63F8F" w:rsidRPr="00E27443">
        <w:t xml:space="preserve"> </w:t>
      </w:r>
      <w:r w:rsidRPr="00E27443">
        <w:t>condi</w:t>
      </w:r>
      <w:r w:rsidRPr="00E27443">
        <w:softHyphen/>
        <w:t>tions</w:t>
      </w:r>
      <w:r w:rsidR="00C63F8F" w:rsidRPr="00E27443">
        <w:t xml:space="preserve"> </w:t>
      </w:r>
      <w:r w:rsidRPr="00E27443">
        <w:t>for</w:t>
      </w:r>
      <w:r w:rsidR="00C63F8F" w:rsidRPr="00E27443">
        <w:t xml:space="preserve"> </w:t>
      </w:r>
      <w:r w:rsidRPr="00E27443">
        <w:t>children.</w:t>
      </w:r>
    </w:p>
    <w:p w:rsidR="00321ADA" w:rsidRPr="00E27443" w:rsidRDefault="00D008F7" w:rsidP="00D008F7">
      <w:pPr>
        <w:pStyle w:val="H1G"/>
      </w:pPr>
      <w:r w:rsidRPr="00E27443">
        <w:tab/>
      </w:r>
      <w:r w:rsidRPr="00E27443">
        <w:tab/>
      </w:r>
      <w:bookmarkStart w:id="38" w:name="_Toc290623321"/>
      <w:r w:rsidR="00321ADA" w:rsidRPr="00E27443">
        <w:t>Article</w:t>
      </w:r>
      <w:r w:rsidR="00C63F8F" w:rsidRPr="00E27443">
        <w:t xml:space="preserve"> </w:t>
      </w:r>
      <w:r w:rsidR="00321ADA" w:rsidRPr="00E27443">
        <w:t>32</w:t>
      </w:r>
      <w:r w:rsidR="00877AB3">
        <w:t>:</w:t>
      </w:r>
      <w:r w:rsidR="00C63F8F" w:rsidRPr="00E27443">
        <w:t xml:space="preserve"> </w:t>
      </w:r>
      <w:r w:rsidR="00321ADA" w:rsidRPr="00E27443">
        <w:t>International</w:t>
      </w:r>
      <w:r w:rsidR="00C63F8F" w:rsidRPr="00E27443">
        <w:t xml:space="preserve"> </w:t>
      </w:r>
      <w:r w:rsidR="00321ADA" w:rsidRPr="00E27443">
        <w:t>co-operation</w:t>
      </w:r>
      <w:bookmarkEnd w:id="38"/>
    </w:p>
    <w:p w:rsidR="00321ADA" w:rsidRPr="00E27443" w:rsidRDefault="00321ADA" w:rsidP="00877AB3">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a</w:t>
      </w:r>
      <w:r w:rsidR="00C63F8F" w:rsidRPr="00E27443">
        <w:t xml:space="preserve"> </w:t>
      </w:r>
      <w:r w:rsidRPr="00E27443">
        <w:t>strong,</w:t>
      </w:r>
      <w:r w:rsidR="00C63F8F" w:rsidRPr="00E27443">
        <w:t xml:space="preserve"> </w:t>
      </w:r>
      <w:r w:rsidRPr="00E27443">
        <w:t>long-term</w:t>
      </w:r>
      <w:r w:rsidR="00C63F8F" w:rsidRPr="00E27443">
        <w:t xml:space="preserve"> </w:t>
      </w:r>
      <w:r w:rsidRPr="00E27443">
        <w:t>commitment</w:t>
      </w:r>
      <w:r w:rsidR="00C63F8F" w:rsidRPr="00E27443">
        <w:t xml:space="preserve"> </w:t>
      </w:r>
      <w:r w:rsidRPr="00E27443">
        <w:t>to</w:t>
      </w:r>
      <w:r w:rsidR="00C63F8F" w:rsidRPr="00E27443">
        <w:t xml:space="preserve"> </w:t>
      </w:r>
      <w:r w:rsidRPr="00E27443">
        <w:t>strengthening</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globally,</w:t>
      </w:r>
      <w:r w:rsidR="00C63F8F" w:rsidRPr="00E27443">
        <w:t xml:space="preserve"> </w:t>
      </w:r>
      <w:r w:rsidRPr="00E27443">
        <w:t>and</w:t>
      </w:r>
      <w:r w:rsidR="00C63F8F" w:rsidRPr="00E27443">
        <w:t xml:space="preserve"> </w:t>
      </w:r>
      <w:r w:rsidRPr="00E27443">
        <w:t>the</w:t>
      </w:r>
      <w:r w:rsidR="00C63F8F" w:rsidRPr="00E27443">
        <w:t xml:space="preserve"> </w:t>
      </w:r>
      <w:r w:rsidRPr="00E27443">
        <w:t>Swedish</w:t>
      </w:r>
      <w:r w:rsidR="00C63F8F" w:rsidRPr="00E27443">
        <w:t xml:space="preserve"> </w:t>
      </w:r>
      <w:r w:rsidRPr="00E27443">
        <w:t>Government</w:t>
      </w:r>
      <w:r w:rsidR="00C63F8F" w:rsidRPr="00E27443">
        <w:t xml:space="preserve"> </w:t>
      </w:r>
      <w:r w:rsidRPr="00E27443">
        <w:t>welcomes</w:t>
      </w:r>
      <w:r w:rsidR="00C63F8F" w:rsidRPr="00E27443">
        <w:t xml:space="preserve"> </w:t>
      </w:r>
      <w:r w:rsidRPr="00E27443">
        <w:t>international</w:t>
      </w:r>
      <w:r w:rsidR="00C63F8F" w:rsidRPr="00E27443">
        <w:t xml:space="preserve"> </w:t>
      </w:r>
      <w:r w:rsidRPr="00E27443">
        <w:t>collaboration</w:t>
      </w:r>
      <w:r w:rsidR="00C63F8F" w:rsidRPr="00E27443">
        <w:t xml:space="preserve"> </w:t>
      </w:r>
      <w:r w:rsidRPr="00E27443">
        <w:t>in</w:t>
      </w:r>
      <w:r w:rsidR="00C63F8F" w:rsidRPr="00E27443">
        <w:t xml:space="preserve"> </w:t>
      </w:r>
      <w:r w:rsidRPr="00E27443">
        <w:t>those</w:t>
      </w:r>
      <w:r w:rsidR="00C63F8F" w:rsidRPr="00E27443">
        <w:t xml:space="preserve"> </w:t>
      </w:r>
      <w:r w:rsidRPr="00E27443">
        <w:t>forms</w:t>
      </w:r>
      <w:r w:rsidR="00C63F8F" w:rsidRPr="00E27443">
        <w:t xml:space="preserve"> </w:t>
      </w:r>
      <w:r w:rsidRPr="00E27443">
        <w:t>and</w:t>
      </w:r>
      <w:r w:rsidR="00C63F8F" w:rsidRPr="00E27443">
        <w:t xml:space="preserve"> </w:t>
      </w:r>
      <w:r w:rsidRPr="00E27443">
        <w:t>for</w:t>
      </w:r>
      <w:r w:rsidR="00C63F8F" w:rsidRPr="00E27443">
        <w:t xml:space="preserve"> </w:t>
      </w:r>
      <w:r w:rsidRPr="00E27443">
        <w:t>those</w:t>
      </w:r>
      <w:r w:rsidR="00C63F8F" w:rsidRPr="00E27443">
        <w:t xml:space="preserve"> </w:t>
      </w:r>
      <w:r w:rsidRPr="00E27443">
        <w:t>purposes</w:t>
      </w:r>
      <w:r w:rsidR="00C63F8F" w:rsidRPr="00E27443">
        <w:t xml:space="preserve"> </w:t>
      </w:r>
      <w:r w:rsidRPr="00E27443">
        <w:t>expressed</w:t>
      </w:r>
      <w:r w:rsidR="00C63F8F" w:rsidRPr="00E27443">
        <w:t xml:space="preserve"> </w:t>
      </w:r>
      <w:r w:rsidRPr="00E27443">
        <w:t>by</w:t>
      </w:r>
      <w:r w:rsidR="00C63F8F" w:rsidRPr="00E27443">
        <w:t xml:space="preserve"> </w:t>
      </w:r>
      <w:r w:rsidRPr="00E27443">
        <w:t>the</w:t>
      </w:r>
      <w:r w:rsidR="00C63F8F" w:rsidRPr="00E27443">
        <w:t xml:space="preserve"> </w:t>
      </w:r>
      <w:r w:rsidRPr="00E27443">
        <w:t>Article.</w:t>
      </w:r>
      <w:r w:rsidR="00C63F8F" w:rsidRPr="00E27443">
        <w:t xml:space="preserve"> </w:t>
      </w:r>
    </w:p>
    <w:p w:rsidR="00321ADA" w:rsidRPr="00E27443" w:rsidRDefault="00321ADA" w:rsidP="00877AB3">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policy</w:t>
      </w:r>
      <w:r w:rsidR="00C63F8F" w:rsidRPr="00E27443">
        <w:t xml:space="preserve"> </w:t>
      </w:r>
      <w:r w:rsidRPr="00E27443">
        <w:t>for</w:t>
      </w:r>
      <w:r w:rsidR="00C63F8F" w:rsidRPr="00E27443">
        <w:t xml:space="preserve"> </w:t>
      </w:r>
      <w:r w:rsidRPr="00E27443">
        <w:t>global</w:t>
      </w:r>
      <w:r w:rsidR="00C63F8F" w:rsidRPr="00E27443">
        <w:t xml:space="preserve"> </w:t>
      </w:r>
      <w:r w:rsidRPr="00E27443">
        <w:t>development,</w:t>
      </w:r>
      <w:r w:rsidR="00C63F8F" w:rsidRPr="00E27443">
        <w:t xml:space="preserve"> </w:t>
      </w:r>
      <w:r w:rsidRPr="00E27443">
        <w:t>which</w:t>
      </w:r>
      <w:r w:rsidR="00C63F8F" w:rsidRPr="00E27443">
        <w:t xml:space="preserve"> </w:t>
      </w:r>
      <w:r w:rsidRPr="00E27443">
        <w:t>was</w:t>
      </w:r>
      <w:r w:rsidR="00C63F8F" w:rsidRPr="00E27443">
        <w:t xml:space="preserve"> </w:t>
      </w:r>
      <w:r w:rsidRPr="00E27443">
        <w:t>adopted</w:t>
      </w:r>
      <w:r w:rsidR="00C63F8F" w:rsidRPr="00E27443">
        <w:t xml:space="preserve"> </w:t>
      </w:r>
      <w:r w:rsidRPr="00E27443">
        <w:t>by</w:t>
      </w:r>
      <w:r w:rsidR="00C63F8F" w:rsidRPr="00E27443">
        <w:t xml:space="preserve"> </w:t>
      </w:r>
      <w:r w:rsidRPr="00E27443">
        <w:t>Parliament</w:t>
      </w:r>
      <w:r w:rsidR="00C63F8F" w:rsidRPr="00E27443">
        <w:t xml:space="preserve"> </w:t>
      </w:r>
      <w:r w:rsidRPr="00E27443">
        <w:t>in</w:t>
      </w:r>
      <w:r w:rsidR="00C63F8F" w:rsidRPr="00E27443">
        <w:t xml:space="preserve"> </w:t>
      </w:r>
      <w:r w:rsidRPr="00E27443">
        <w:t>2003,</w:t>
      </w:r>
      <w:r w:rsidR="00C63F8F" w:rsidRPr="00E27443">
        <w:t xml:space="preserve"> </w:t>
      </w:r>
      <w:r w:rsidRPr="00E27443">
        <w:t>states</w:t>
      </w:r>
      <w:r w:rsidR="00C63F8F" w:rsidRPr="00E27443">
        <w:t xml:space="preserve"> </w:t>
      </w:r>
      <w:r w:rsidRPr="00E27443">
        <w:t>in</w:t>
      </w:r>
      <w:r w:rsidR="00C63F8F" w:rsidRPr="00E27443">
        <w:t xml:space="preserve"> </w:t>
      </w:r>
      <w:r w:rsidRPr="00E27443">
        <w:t>particular</w:t>
      </w:r>
      <w:r w:rsidR="00C63F8F" w:rsidRPr="00E27443">
        <w:t xml:space="preserve"> </w:t>
      </w:r>
      <w:r w:rsidRPr="00E27443">
        <w:t>that</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are</w:t>
      </w:r>
      <w:r w:rsidR="00C63F8F" w:rsidRPr="00E27443">
        <w:t xml:space="preserve"> </w:t>
      </w:r>
      <w:r w:rsidRPr="00E27443">
        <w:t>a</w:t>
      </w:r>
      <w:r w:rsidR="00C63F8F" w:rsidRPr="00E27443">
        <w:t xml:space="preserve"> </w:t>
      </w:r>
      <w:r w:rsidRPr="00E27443">
        <w:t>prioritised</w:t>
      </w:r>
      <w:r w:rsidR="00C63F8F" w:rsidRPr="00E27443">
        <w:t xml:space="preserve"> </w:t>
      </w:r>
      <w:r w:rsidRPr="00E27443">
        <w:t>group</w:t>
      </w:r>
      <w:r w:rsidR="00C63F8F" w:rsidRPr="00E27443">
        <w:t xml:space="preserve"> </w:t>
      </w:r>
      <w:r w:rsidRPr="00E27443">
        <w:t>in</w:t>
      </w:r>
      <w:r w:rsidR="00C63F8F" w:rsidRPr="00E27443">
        <w:t xml:space="preserve"> </w:t>
      </w:r>
      <w:r w:rsidRPr="00E27443">
        <w:t>the</w:t>
      </w:r>
      <w:r w:rsidR="00C63F8F" w:rsidRPr="00E27443">
        <w:t xml:space="preserve"> </w:t>
      </w:r>
      <w:r w:rsidRPr="00E27443">
        <w:t>work</w:t>
      </w:r>
      <w:r w:rsidR="00C63F8F" w:rsidRPr="00E27443">
        <w:t xml:space="preserve"> </w:t>
      </w:r>
      <w:r w:rsidRPr="00E27443">
        <w:t>aimed</w:t>
      </w:r>
      <w:r w:rsidR="00C63F8F" w:rsidRPr="00E27443">
        <w:t xml:space="preserve"> </w:t>
      </w:r>
      <w:r w:rsidRPr="00E27443">
        <w:t>at</w:t>
      </w:r>
      <w:r w:rsidR="00C63F8F" w:rsidRPr="00E27443">
        <w:t xml:space="preserve"> </w:t>
      </w:r>
      <w:r w:rsidRPr="00E27443">
        <w:t>strengthening</w:t>
      </w:r>
      <w:r w:rsidR="00C63F8F" w:rsidRPr="00E27443">
        <w:t xml:space="preserve"> </w:t>
      </w:r>
      <w:r w:rsidRPr="00E27443">
        <w:t>human</w:t>
      </w:r>
      <w:r w:rsidR="00C63F8F" w:rsidRPr="00E27443">
        <w:t xml:space="preserve"> </w:t>
      </w:r>
      <w:r w:rsidRPr="00E27443">
        <w:t>rights.</w:t>
      </w:r>
      <w:r w:rsidR="00C63F8F" w:rsidRPr="00E27443">
        <w:t xml:space="preserve"> </w:t>
      </w:r>
      <w:r w:rsidRPr="00E27443">
        <w:t>This</w:t>
      </w:r>
      <w:r w:rsidR="00C63F8F" w:rsidRPr="00E27443">
        <w:t xml:space="preserve"> </w:t>
      </w:r>
      <w:r w:rsidRPr="00E27443">
        <w:t>establishes</w:t>
      </w:r>
      <w:r w:rsidR="00C63F8F" w:rsidRPr="00E27443">
        <w:t xml:space="preserve"> </w:t>
      </w:r>
      <w:r w:rsidRPr="00E27443">
        <w:t>that</w:t>
      </w:r>
      <w:r w:rsidR="00C63F8F" w:rsidRPr="00E27443">
        <w:t xml:space="preserve"> </w:t>
      </w:r>
      <w:r w:rsidRPr="00E27443">
        <w:t>Swedish</w:t>
      </w:r>
      <w:r w:rsidR="00C63F8F" w:rsidRPr="00E27443">
        <w:t xml:space="preserve"> </w:t>
      </w:r>
      <w:r w:rsidRPr="00E27443">
        <w:t>development</w:t>
      </w:r>
      <w:r w:rsidR="00C63F8F" w:rsidRPr="00E27443">
        <w:t xml:space="preserve"> </w:t>
      </w:r>
      <w:r w:rsidRPr="00E27443">
        <w:t>collaboration</w:t>
      </w:r>
      <w:r w:rsidR="00C63F8F" w:rsidRPr="00E27443">
        <w:t xml:space="preserve"> </w:t>
      </w:r>
      <w:r w:rsidRPr="00E27443">
        <w:t>must</w:t>
      </w:r>
      <w:r w:rsidR="00C63F8F" w:rsidRPr="00E27443">
        <w:t xml:space="preserve"> </w:t>
      </w:r>
      <w:r w:rsidRPr="00E27443">
        <w:t>be</w:t>
      </w:r>
      <w:r w:rsidR="00C63F8F" w:rsidRPr="00E27443">
        <w:t xml:space="preserve"> </w:t>
      </w:r>
      <w:r w:rsidRPr="00E27443">
        <w:t>based</w:t>
      </w:r>
      <w:r w:rsidR="00C63F8F" w:rsidRPr="00E27443">
        <w:t xml:space="preserve"> </w:t>
      </w:r>
      <w:r w:rsidRPr="00E27443">
        <w:t>on</w:t>
      </w:r>
      <w:r w:rsidR="00C63F8F" w:rsidRPr="00E27443">
        <w:t xml:space="preserve"> </w:t>
      </w:r>
      <w:r w:rsidRPr="00E27443">
        <w:t>two</w:t>
      </w:r>
      <w:r w:rsidR="00C63F8F" w:rsidRPr="00E27443">
        <w:t xml:space="preserve"> </w:t>
      </w:r>
      <w:r w:rsidRPr="00E27443">
        <w:t>perspectives</w:t>
      </w:r>
      <w:r w:rsidR="00C63F8F" w:rsidRPr="00E27443">
        <w:t xml:space="preserve"> </w:t>
      </w:r>
      <w:r w:rsidRPr="00E27443">
        <w:t>of</w:t>
      </w:r>
      <w:r w:rsidR="00C63F8F" w:rsidRPr="00E27443">
        <w:t xml:space="preserve"> </w:t>
      </w:r>
      <w:r w:rsidRPr="00E27443">
        <w:t>development,</w:t>
      </w:r>
      <w:r w:rsidR="00C63F8F" w:rsidRPr="00E27443">
        <w:t xml:space="preserve"> </w:t>
      </w:r>
      <w:r w:rsidRPr="00E27443">
        <w:t>a</w:t>
      </w:r>
      <w:r w:rsidR="00C63F8F" w:rsidRPr="00E27443">
        <w:t xml:space="preserve"> </w:t>
      </w:r>
      <w:r w:rsidRPr="00E27443">
        <w:t>human</w:t>
      </w:r>
      <w:r w:rsidR="00C63F8F" w:rsidRPr="00E27443">
        <w:t xml:space="preserve"> </w:t>
      </w:r>
      <w:r w:rsidRPr="00E27443">
        <w:t>rights</w:t>
      </w:r>
      <w:r w:rsidR="00C63F8F" w:rsidRPr="00E27443">
        <w:t xml:space="preserve"> </w:t>
      </w:r>
      <w:r w:rsidRPr="00E27443">
        <w:t>perspective</w:t>
      </w:r>
      <w:r w:rsidR="00C63F8F" w:rsidRPr="00E27443">
        <w:t xml:space="preserve"> </w:t>
      </w:r>
      <w:r w:rsidRPr="00E27443">
        <w:t>and</w:t>
      </w:r>
      <w:r w:rsidR="00C63F8F" w:rsidRPr="00E27443">
        <w:t xml:space="preserve"> </w:t>
      </w:r>
      <w:r w:rsidRPr="00E27443">
        <w:t>the</w:t>
      </w:r>
      <w:r w:rsidR="00C63F8F" w:rsidRPr="00E27443">
        <w:t xml:space="preserve"> </w:t>
      </w:r>
      <w:r w:rsidRPr="00E27443">
        <w:t>perspective</w:t>
      </w:r>
      <w:r w:rsidR="00C63F8F" w:rsidRPr="00E27443">
        <w:t xml:space="preserve"> </w:t>
      </w:r>
      <w:r w:rsidRPr="00E27443">
        <w:t>of</w:t>
      </w:r>
      <w:r w:rsidR="00C63F8F" w:rsidRPr="00E27443">
        <w:t xml:space="preserve"> </w:t>
      </w:r>
      <w:r w:rsidRPr="00E27443">
        <w:t>poor</w:t>
      </w:r>
      <w:r w:rsidR="00C63F8F" w:rsidRPr="00E27443">
        <w:t xml:space="preserve"> </w:t>
      </w:r>
      <w:r w:rsidRPr="00E27443">
        <w:t>people</w:t>
      </w:r>
      <w:r w:rsidR="00C63F8F" w:rsidRPr="00E27443">
        <w:t xml:space="preserve"> </w:t>
      </w:r>
      <w:r w:rsidRPr="00E27443">
        <w:t>on</w:t>
      </w:r>
      <w:r w:rsidR="00C63F8F" w:rsidRPr="00E27443">
        <w:t xml:space="preserve"> </w:t>
      </w:r>
      <w:r w:rsidRPr="00E27443">
        <w:t>development.</w:t>
      </w:r>
    </w:p>
    <w:p w:rsidR="00321ADA" w:rsidRPr="00E27443" w:rsidRDefault="00321ADA" w:rsidP="00877AB3">
      <w:pPr>
        <w:pStyle w:val="SingleTxtG"/>
        <w:numPr>
          <w:ilvl w:val="0"/>
          <w:numId w:val="20"/>
        </w:numPr>
        <w:tabs>
          <w:tab w:val="left" w:pos="1843"/>
        </w:tabs>
        <w:ind w:left="1134" w:firstLine="0"/>
      </w:pPr>
      <w:r w:rsidRPr="00E27443">
        <w:t>In</w:t>
      </w:r>
      <w:r w:rsidR="00C63F8F" w:rsidRPr="00E27443">
        <w:t xml:space="preserve"> </w:t>
      </w:r>
      <w:r w:rsidRPr="00E27443">
        <w:t>its</w:t>
      </w:r>
      <w:r w:rsidR="00C63F8F" w:rsidRPr="00E27443">
        <w:t xml:space="preserve"> </w:t>
      </w:r>
      <w:r w:rsidRPr="00E27443">
        <w:t>2009</w:t>
      </w:r>
      <w:r w:rsidR="00C63F8F" w:rsidRPr="00E27443">
        <w:t xml:space="preserve"> </w:t>
      </w:r>
      <w:r w:rsidRPr="00E27443">
        <w:t>letter</w:t>
      </w:r>
      <w:r w:rsidR="00C63F8F" w:rsidRPr="00E27443">
        <w:t xml:space="preserve"> </w:t>
      </w:r>
      <w:r w:rsidRPr="00E27443">
        <w:t>of</w:t>
      </w:r>
      <w:r w:rsidR="00C63F8F" w:rsidRPr="00E27443">
        <w:t xml:space="preserve"> </w:t>
      </w:r>
      <w:r w:rsidRPr="00E27443">
        <w:t>appropriations,</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commissioned</w:t>
      </w:r>
      <w:r w:rsidR="00C63F8F" w:rsidRPr="00E27443">
        <w:t xml:space="preserve"> </w:t>
      </w:r>
      <w:r w:rsidRPr="00E27443">
        <w:t>Sida</w:t>
      </w:r>
      <w:r w:rsidR="00C63F8F" w:rsidRPr="00E27443">
        <w:t xml:space="preserve"> </w:t>
      </w:r>
      <w:r w:rsidRPr="00E27443">
        <w:t>to</w:t>
      </w:r>
      <w:r w:rsidR="00C63F8F" w:rsidRPr="00E27443">
        <w:t xml:space="preserve"> </w:t>
      </w:r>
      <w:r w:rsidRPr="00E27443">
        <w:t>draw</w:t>
      </w:r>
      <w:r w:rsidR="00C63F8F" w:rsidRPr="00E27443">
        <w:t xml:space="preserve"> </w:t>
      </w:r>
      <w:r w:rsidRPr="00E27443">
        <w:t>up</w:t>
      </w:r>
      <w:r w:rsidR="00C63F8F" w:rsidRPr="00E27443">
        <w:t xml:space="preserve"> </w:t>
      </w:r>
      <w:r w:rsidRPr="00E27443">
        <w:t>a</w:t>
      </w:r>
      <w:r w:rsidR="00C63F8F" w:rsidRPr="00E27443">
        <w:t xml:space="preserve"> </w:t>
      </w:r>
      <w:r w:rsidRPr="00E27443">
        <w:t>plan</w:t>
      </w:r>
      <w:r w:rsidR="00C63F8F" w:rsidRPr="00E27443">
        <w:t xml:space="preserve"> </w:t>
      </w:r>
      <w:r w:rsidRPr="00E27443">
        <w:t>for</w:t>
      </w:r>
      <w:r w:rsidR="00C63F8F" w:rsidRPr="00E27443">
        <w:t xml:space="preserve"> </w:t>
      </w:r>
      <w:r w:rsidRPr="00E27443">
        <w:t>ensuring</w:t>
      </w:r>
      <w:r w:rsidR="00C63F8F" w:rsidRPr="00E27443">
        <w:t xml:space="preserve"> </w:t>
      </w:r>
      <w:r w:rsidRPr="00E27443">
        <w:t>the</w:t>
      </w:r>
      <w:r w:rsidR="00C63F8F" w:rsidRPr="00E27443">
        <w:t xml:space="preserve"> </w:t>
      </w:r>
      <w:r w:rsidRPr="00E27443">
        <w:t>observance</w:t>
      </w:r>
      <w:r w:rsidR="00C63F8F" w:rsidRPr="00E27443">
        <w:t xml:space="preserve"> </w:t>
      </w:r>
      <w:r w:rsidRPr="00E27443">
        <w:t>of</w:t>
      </w:r>
      <w:r w:rsidR="00C63F8F" w:rsidRPr="00E27443">
        <w:t xml:space="preserve"> </w:t>
      </w:r>
      <w:r w:rsidRPr="00E27443">
        <w:t>human</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both</w:t>
      </w:r>
      <w:r w:rsidR="00C63F8F" w:rsidRPr="00E27443">
        <w:t xml:space="preserve"> </w:t>
      </w:r>
      <w:r w:rsidRPr="00E27443">
        <w:t>in</w:t>
      </w:r>
      <w:r w:rsidR="00C63F8F" w:rsidRPr="00E27443">
        <w:t xml:space="preserve"> </w:t>
      </w:r>
      <w:r w:rsidRPr="00E27443">
        <w:t>Sida</w:t>
      </w:r>
      <w:r w:rsidR="00C63F8F" w:rsidRPr="00E27443">
        <w:t>’</w:t>
      </w:r>
      <w:r w:rsidRPr="00E27443">
        <w:t>s</w:t>
      </w:r>
      <w:r w:rsidR="00C63F8F" w:rsidRPr="00E27443">
        <w:t xml:space="preserve"> </w:t>
      </w:r>
      <w:r w:rsidRPr="00E27443">
        <w:t>internal</w:t>
      </w:r>
      <w:r w:rsidR="00C63F8F" w:rsidRPr="00E27443">
        <w:t xml:space="preserve"> </w:t>
      </w:r>
      <w:r w:rsidRPr="00E27443">
        <w:t>work</w:t>
      </w:r>
      <w:r w:rsidR="00C63F8F" w:rsidRPr="00E27443">
        <w:t xml:space="preserve"> </w:t>
      </w:r>
      <w:r w:rsidRPr="00E27443">
        <w:t>and</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Sweden</w:t>
      </w:r>
      <w:r w:rsidR="00C63F8F" w:rsidRPr="00E27443">
        <w:t>’</w:t>
      </w:r>
      <w:r w:rsidRPr="00E27443">
        <w:t>s</w:t>
      </w:r>
      <w:r w:rsidR="00C63F8F" w:rsidRPr="00E27443">
        <w:t xml:space="preserve"> </w:t>
      </w:r>
      <w:r w:rsidRPr="00E27443">
        <w:t>bilateral</w:t>
      </w:r>
      <w:r w:rsidR="00C63F8F" w:rsidRPr="00E27443">
        <w:t xml:space="preserve"> </w:t>
      </w:r>
      <w:r w:rsidRPr="00E27443">
        <w:t>development</w:t>
      </w:r>
      <w:r w:rsidR="00C63F8F" w:rsidRPr="00E27443">
        <w:t xml:space="preserve"> </w:t>
      </w:r>
      <w:r w:rsidRPr="00E27443">
        <w:t>co-operation</w:t>
      </w:r>
      <w:r w:rsidR="00C63F8F" w:rsidRPr="00E27443">
        <w:t xml:space="preserve"> </w:t>
      </w:r>
      <w:r w:rsidRPr="00E27443">
        <w:t>A</w:t>
      </w:r>
      <w:r w:rsidR="00C63F8F" w:rsidRPr="00E27443">
        <w:t xml:space="preserve"> </w:t>
      </w:r>
      <w:r w:rsidRPr="00E27443">
        <w:t>work</w:t>
      </w:r>
      <w:r w:rsidR="00C63F8F" w:rsidRPr="00E27443">
        <w:t xml:space="preserve"> </w:t>
      </w:r>
      <w:r w:rsidRPr="00E27443">
        <w:t>plan</w:t>
      </w:r>
      <w:r w:rsidR="00C63F8F" w:rsidRPr="00E27443">
        <w:t xml:space="preserve"> </w:t>
      </w:r>
      <w:r w:rsidRPr="00E27443">
        <w:t>for</w:t>
      </w:r>
      <w:r w:rsidR="00C63F8F" w:rsidRPr="00E27443">
        <w:t xml:space="preserve"> </w:t>
      </w:r>
      <w:r w:rsidRPr="00E27443">
        <w:t>the</w:t>
      </w:r>
      <w:r w:rsidR="00C63F8F" w:rsidRPr="00E27443">
        <w:t xml:space="preserve"> </w:t>
      </w:r>
      <w:r w:rsidRPr="00E27443">
        <w:t>period</w:t>
      </w:r>
      <w:r w:rsidR="00C63F8F" w:rsidRPr="00E27443">
        <w:t xml:space="preserve"> </w:t>
      </w:r>
      <w:r w:rsidRPr="00E27443">
        <w:t>2009</w:t>
      </w:r>
      <w:r w:rsidR="00C63F8F" w:rsidRPr="00E27443">
        <w:t>–</w:t>
      </w:r>
      <w:r w:rsidRPr="00E27443">
        <w:t>2012</w:t>
      </w:r>
      <w:r w:rsidR="00C63F8F" w:rsidRPr="00E27443">
        <w:t xml:space="preserve"> </w:t>
      </w:r>
      <w:r w:rsidRPr="00E27443">
        <w:t>was</w:t>
      </w:r>
      <w:r w:rsidR="00C63F8F" w:rsidRPr="00E27443">
        <w:t xml:space="preserve"> </w:t>
      </w:r>
      <w:r w:rsidRPr="00E27443">
        <w:t>then</w:t>
      </w:r>
      <w:r w:rsidR="00C63F8F" w:rsidRPr="00E27443">
        <w:t xml:space="preserve"> </w:t>
      </w:r>
      <w:r w:rsidRPr="00E27443">
        <w:t>drawn</w:t>
      </w:r>
      <w:r w:rsidR="00C63F8F" w:rsidRPr="00E27443">
        <w:t xml:space="preserve"> </w:t>
      </w:r>
      <w:r w:rsidRPr="00E27443">
        <w:t>up</w:t>
      </w:r>
      <w:r w:rsidR="00C63F8F" w:rsidRPr="00E27443">
        <w:t xml:space="preserve"> </w:t>
      </w:r>
      <w:r w:rsidRPr="00E27443">
        <w:t>in</w:t>
      </w:r>
      <w:r w:rsidR="00C63F8F" w:rsidRPr="00E27443">
        <w:t xml:space="preserve"> </w:t>
      </w:r>
      <w:r w:rsidRPr="00E27443">
        <w:t>close</w:t>
      </w:r>
      <w:r w:rsidR="00C63F8F" w:rsidRPr="00E27443">
        <w:t xml:space="preserve"> </w:t>
      </w:r>
      <w:r w:rsidRPr="00E27443">
        <w:t>co-operation</w:t>
      </w:r>
      <w:r w:rsidR="00C63F8F" w:rsidRPr="00E27443">
        <w:t xml:space="preserve"> </w:t>
      </w:r>
      <w:r w:rsidRPr="00E27443">
        <w:t>with</w:t>
      </w:r>
      <w:r w:rsidR="00C63F8F" w:rsidRPr="00E27443">
        <w:t xml:space="preserve"> </w:t>
      </w:r>
      <w:r w:rsidRPr="00E27443">
        <w:t>representatives</w:t>
      </w:r>
      <w:r w:rsidR="00C63F8F" w:rsidRPr="00E27443">
        <w:t xml:space="preserve"> </w:t>
      </w:r>
      <w:r w:rsidRPr="00E27443">
        <w:t>of</w:t>
      </w:r>
      <w:r w:rsidR="00C63F8F" w:rsidRPr="00E27443">
        <w:t xml:space="preserve"> </w:t>
      </w:r>
      <w:r w:rsidRPr="00E27443">
        <w:t>Sweden</w:t>
      </w:r>
      <w:r w:rsidR="00C63F8F" w:rsidRPr="00E27443">
        <w:t>’</w:t>
      </w:r>
      <w:r w:rsidRPr="00E27443">
        <w:t>s</w:t>
      </w:r>
      <w:r w:rsidR="00C63F8F" w:rsidRPr="00E27443">
        <w:t xml:space="preserve"> </w:t>
      </w:r>
      <w:r w:rsidRPr="00E27443">
        <w:t>disabled</w:t>
      </w:r>
      <w:r w:rsidR="00C63F8F" w:rsidRPr="00E27443">
        <w:t xml:space="preserve"> </w:t>
      </w:r>
      <w:r w:rsidRPr="00E27443">
        <w:t>person</w:t>
      </w:r>
      <w:r w:rsidR="00C63F8F" w:rsidRPr="00E27443">
        <w:t>’</w:t>
      </w:r>
      <w:r w:rsidRPr="00E27443">
        <w:t>s</w:t>
      </w:r>
      <w:r w:rsidR="00C63F8F" w:rsidRPr="00E27443">
        <w:t xml:space="preserve"> </w:t>
      </w:r>
      <w:r w:rsidRPr="00E27443">
        <w:t>movement.</w:t>
      </w:r>
      <w:r w:rsidR="00C63F8F" w:rsidRPr="00E27443">
        <w:t xml:space="preserve"> </w:t>
      </w:r>
      <w:r w:rsidRPr="00E27443">
        <w:t>This</w:t>
      </w:r>
      <w:r w:rsidR="00C63F8F" w:rsidRPr="00E27443">
        <w:t xml:space="preserve"> </w:t>
      </w:r>
      <w:r w:rsidRPr="00E27443">
        <w:t>plan</w:t>
      </w:r>
      <w:r w:rsidR="00C63F8F" w:rsidRPr="00E27443">
        <w:t xml:space="preserve"> </w:t>
      </w:r>
      <w:r w:rsidRPr="00E27443">
        <w:t>is</w:t>
      </w:r>
      <w:r w:rsidR="00C63F8F" w:rsidRPr="00E27443">
        <w:t xml:space="preserve"> </w:t>
      </w:r>
      <w:r w:rsidRPr="00E27443">
        <w:t>now</w:t>
      </w:r>
      <w:r w:rsidR="00C63F8F" w:rsidRPr="00E27443">
        <w:t xml:space="preserve"> </w:t>
      </w:r>
      <w:r w:rsidRPr="00E27443">
        <w:t>being</w:t>
      </w:r>
      <w:r w:rsidR="00C63F8F" w:rsidRPr="00E27443">
        <w:t xml:space="preserve"> </w:t>
      </w:r>
      <w:r w:rsidRPr="00E27443">
        <w:t>implemented.</w:t>
      </w:r>
      <w:r w:rsidR="00C63F8F" w:rsidRPr="00E27443">
        <w:t xml:space="preserve"> </w:t>
      </w:r>
    </w:p>
    <w:p w:rsidR="00321ADA" w:rsidRPr="00E27443" w:rsidRDefault="00321ADA" w:rsidP="00877AB3">
      <w:pPr>
        <w:pStyle w:val="SingleTxtG"/>
        <w:numPr>
          <w:ilvl w:val="0"/>
          <w:numId w:val="20"/>
        </w:numPr>
        <w:tabs>
          <w:tab w:val="left" w:pos="1843"/>
        </w:tabs>
        <w:ind w:left="1134" w:firstLine="0"/>
      </w:pPr>
      <w:r w:rsidRPr="00E27443">
        <w:t>The</w:t>
      </w:r>
      <w:r w:rsidR="00C63F8F" w:rsidRPr="00E27443">
        <w:t xml:space="preserve"> </w:t>
      </w:r>
      <w:r w:rsidRPr="00E27443">
        <w:t>following</w:t>
      </w:r>
      <w:r w:rsidR="00C63F8F" w:rsidRPr="00E27443">
        <w:t xml:space="preserve"> </w:t>
      </w:r>
      <w:r w:rsidRPr="00E27443">
        <w:t>parts</w:t>
      </w:r>
      <w:r w:rsidR="00C63F8F" w:rsidRPr="00E27443">
        <w:t xml:space="preserve"> </w:t>
      </w:r>
      <w:r w:rsidRPr="00E27443">
        <w:t>of</w:t>
      </w:r>
      <w:r w:rsidR="00C63F8F" w:rsidRPr="00E27443">
        <w:t xml:space="preserve"> </w:t>
      </w:r>
      <w:r w:rsidRPr="00E27443">
        <w:t>the</w:t>
      </w:r>
      <w:r w:rsidR="00C63F8F" w:rsidRPr="00E27443">
        <w:t xml:space="preserve"> </w:t>
      </w:r>
      <w:r w:rsidRPr="00E27443">
        <w:t>work</w:t>
      </w:r>
      <w:r w:rsidR="00C63F8F" w:rsidRPr="00E27443">
        <w:t xml:space="preserve"> </w:t>
      </w:r>
      <w:r w:rsidRPr="00E27443">
        <w:t>plan</w:t>
      </w:r>
      <w:r w:rsidR="00C63F8F" w:rsidRPr="00E27443">
        <w:t xml:space="preserve"> </w:t>
      </w:r>
      <w:r w:rsidRPr="00E27443">
        <w:t>have</w:t>
      </w:r>
      <w:r w:rsidR="00C63F8F" w:rsidRPr="00E27443">
        <w:t xml:space="preserve"> </w:t>
      </w:r>
      <w:r w:rsidRPr="00E27443">
        <w:t>been</w:t>
      </w:r>
      <w:r w:rsidR="00C63F8F" w:rsidRPr="00E27443">
        <w:t xml:space="preserve"> </w:t>
      </w:r>
      <w:r w:rsidRPr="00E27443">
        <w:t>implemented</w:t>
      </w:r>
      <w:r w:rsidR="00C63F8F" w:rsidRPr="00E27443">
        <w:t xml:space="preserve"> </w:t>
      </w:r>
      <w:r w:rsidRPr="00E27443">
        <w:t>to</w:t>
      </w:r>
      <w:r w:rsidR="00C63F8F" w:rsidRPr="00E27443">
        <w:t xml:space="preserve"> </w:t>
      </w:r>
      <w:r w:rsidRPr="00E27443">
        <w:t>date.</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have</w:t>
      </w:r>
      <w:r w:rsidR="00C63F8F" w:rsidRPr="00E27443">
        <w:t xml:space="preserve"> </w:t>
      </w:r>
      <w:r w:rsidRPr="00E27443">
        <w:t>been</w:t>
      </w:r>
      <w:r w:rsidR="00C63F8F" w:rsidRPr="00E27443">
        <w:t xml:space="preserve"> </w:t>
      </w:r>
      <w:r w:rsidRPr="00E27443">
        <w:t>highlighted</w:t>
      </w:r>
      <w:r w:rsidR="00C63F8F" w:rsidRPr="00E27443">
        <w:t xml:space="preserve"> </w:t>
      </w:r>
      <w:r w:rsidRPr="00E27443">
        <w:t>in</w:t>
      </w:r>
      <w:r w:rsidR="00C63F8F" w:rsidRPr="00E27443">
        <w:t xml:space="preserve"> </w:t>
      </w:r>
      <w:r w:rsidRPr="00E27443">
        <w:t>twelve</w:t>
      </w:r>
      <w:r w:rsidR="00C63F8F" w:rsidRPr="00E27443">
        <w:t xml:space="preserve"> </w:t>
      </w:r>
      <w:r w:rsidRPr="00E27443">
        <w:t>of</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w:t>
      </w:r>
      <w:r w:rsidRPr="00E27443">
        <w:t>s</w:t>
      </w:r>
      <w:r w:rsidR="00C63F8F" w:rsidRPr="00E27443">
        <w:t xml:space="preserve"> </w:t>
      </w:r>
      <w:r w:rsidRPr="00E27443">
        <w:t>45</w:t>
      </w:r>
      <w:r w:rsidR="00C63F8F" w:rsidRPr="00E27443">
        <w:t xml:space="preserve"> </w:t>
      </w:r>
      <w:r w:rsidRPr="00E27443">
        <w:t>country</w:t>
      </w:r>
      <w:r w:rsidR="00C63F8F" w:rsidRPr="00E27443">
        <w:t xml:space="preserve"> </w:t>
      </w:r>
      <w:r w:rsidRPr="00E27443">
        <w:t>strategies</w:t>
      </w:r>
      <w:r w:rsidR="00C63F8F" w:rsidRPr="00E27443">
        <w:t xml:space="preserve"> </w:t>
      </w:r>
      <w:r w:rsidRPr="00E27443">
        <w:t>(27%),</w:t>
      </w:r>
      <w:r w:rsidR="00C63F8F" w:rsidRPr="00E27443">
        <w:t xml:space="preserve"> </w:t>
      </w:r>
      <w:r w:rsidRPr="00E27443">
        <w:t>often</w:t>
      </w:r>
      <w:r w:rsidR="00C63F8F" w:rsidRPr="00E27443">
        <w:t xml:space="preserve"> </w:t>
      </w:r>
      <w:r w:rsidRPr="00E27443">
        <w:t>in</w:t>
      </w:r>
      <w:r w:rsidR="00C63F8F" w:rsidRPr="00E27443">
        <w:t xml:space="preserve"> </w:t>
      </w:r>
      <w:r w:rsidRPr="00E27443">
        <w:t>the</w:t>
      </w:r>
      <w:r w:rsidR="00C63F8F" w:rsidRPr="00E27443">
        <w:t xml:space="preserve"> </w:t>
      </w:r>
      <w:r w:rsidRPr="00E27443">
        <w:t>analytical</w:t>
      </w:r>
      <w:r w:rsidR="00C63F8F" w:rsidRPr="00E27443">
        <w:t xml:space="preserve"> </w:t>
      </w:r>
      <w:r w:rsidRPr="00E27443">
        <w:t>part</w:t>
      </w:r>
      <w:r w:rsidR="00C63F8F" w:rsidRPr="00E27443">
        <w:t xml:space="preserve"> </w:t>
      </w:r>
      <w:r w:rsidRPr="00E27443">
        <w:t>of</w:t>
      </w:r>
      <w:r w:rsidR="00C63F8F" w:rsidRPr="00E27443">
        <w:t xml:space="preserve"> </w:t>
      </w:r>
      <w:r w:rsidRPr="00E27443">
        <w:t>the</w:t>
      </w:r>
      <w:r w:rsidR="00C63F8F" w:rsidRPr="00E27443">
        <w:t xml:space="preserve"> </w:t>
      </w:r>
      <w:r w:rsidRPr="00E27443">
        <w:t>strategy,</w:t>
      </w:r>
      <w:r w:rsidR="00C63F8F" w:rsidRPr="00E27443">
        <w:t xml:space="preserve"> </w:t>
      </w:r>
      <w:r w:rsidRPr="00E27443">
        <w:t>as</w:t>
      </w:r>
      <w:r w:rsidR="00C63F8F" w:rsidRPr="00E27443">
        <w:t xml:space="preserve"> </w:t>
      </w:r>
      <w:r w:rsidRPr="00E27443">
        <w:t>an</w:t>
      </w:r>
      <w:r w:rsidR="00C63F8F" w:rsidRPr="00E27443">
        <w:t xml:space="preserve"> </w:t>
      </w:r>
      <w:r w:rsidRPr="00E27443">
        <w:t>example</w:t>
      </w:r>
      <w:r w:rsidR="00C63F8F" w:rsidRPr="00E27443">
        <w:t xml:space="preserve"> </w:t>
      </w:r>
      <w:r w:rsidRPr="00E27443">
        <w:t>of</w:t>
      </w:r>
      <w:r w:rsidR="00C63F8F" w:rsidRPr="00E27443">
        <w:t xml:space="preserve"> </w:t>
      </w:r>
      <w:r w:rsidRPr="00E27443">
        <w:t>a</w:t>
      </w:r>
      <w:r w:rsidR="00C63F8F" w:rsidRPr="00E27443">
        <w:t xml:space="preserve"> </w:t>
      </w:r>
      <w:r w:rsidRPr="00E27443">
        <w:t>group</w:t>
      </w:r>
      <w:r w:rsidR="00C63F8F" w:rsidRPr="00E27443">
        <w:t xml:space="preserve"> </w:t>
      </w:r>
      <w:r w:rsidRPr="00E27443">
        <w:t>that</w:t>
      </w:r>
      <w:r w:rsidR="00C63F8F" w:rsidRPr="00E27443">
        <w:t xml:space="preserve"> </w:t>
      </w:r>
      <w:r w:rsidRPr="00E27443">
        <w:t>is</w:t>
      </w:r>
      <w:r w:rsidR="00C63F8F" w:rsidRPr="00E27443">
        <w:t xml:space="preserve"> </w:t>
      </w:r>
      <w:r w:rsidRPr="00E27443">
        <w:t>in</w:t>
      </w:r>
      <w:r w:rsidR="00C63F8F" w:rsidRPr="00E27443">
        <w:t xml:space="preserve"> </w:t>
      </w:r>
      <w:r w:rsidRPr="00E27443">
        <w:t>a</w:t>
      </w:r>
      <w:r w:rsidR="00C63F8F" w:rsidRPr="00E27443">
        <w:t xml:space="preserve"> </w:t>
      </w:r>
      <w:r w:rsidRPr="00E27443">
        <w:t>vulnerable</w:t>
      </w:r>
      <w:r w:rsidR="00C63F8F" w:rsidRPr="00E27443">
        <w:t xml:space="preserve"> </w:t>
      </w:r>
      <w:r w:rsidRPr="00E27443">
        <w:t>situation.</w:t>
      </w:r>
      <w:r w:rsidR="00C63F8F" w:rsidRPr="00E27443">
        <w:t xml:space="preserve"> </w:t>
      </w:r>
      <w:r w:rsidRPr="00E27443">
        <w:t>During</w:t>
      </w:r>
      <w:r w:rsidR="00C63F8F" w:rsidRPr="00E27443">
        <w:t xml:space="preserve"> </w:t>
      </w:r>
      <w:r w:rsidRPr="00E27443">
        <w:t>2009,</w:t>
      </w:r>
      <w:r w:rsidR="00C63F8F" w:rsidRPr="00E27443">
        <w:t xml:space="preserve"> </w:t>
      </w:r>
      <w:r w:rsidRPr="00E27443">
        <w:t>Sida</w:t>
      </w:r>
      <w:r w:rsidR="00C63F8F" w:rsidRPr="00E27443">
        <w:t xml:space="preserve"> </w:t>
      </w:r>
      <w:r w:rsidRPr="00E27443">
        <w:t>has</w:t>
      </w:r>
      <w:r w:rsidR="00C63F8F" w:rsidRPr="00E27443">
        <w:t xml:space="preserve"> </w:t>
      </w:r>
      <w:r w:rsidRPr="00E27443">
        <w:t>also</w:t>
      </w:r>
      <w:r w:rsidR="00C63F8F" w:rsidRPr="00E27443">
        <w:t xml:space="preserve"> </w:t>
      </w:r>
      <w:r w:rsidRPr="00E27443">
        <w:t>supported</w:t>
      </w:r>
      <w:r w:rsidR="00C63F8F" w:rsidRPr="00E27443">
        <w:t xml:space="preserve"> </w:t>
      </w:r>
      <w:r w:rsidRPr="00E27443">
        <w:t>specific</w:t>
      </w:r>
      <w:r w:rsidR="00C63F8F" w:rsidRPr="00E27443">
        <w:t xml:space="preserve"> </w:t>
      </w:r>
      <w:r w:rsidRPr="00E27443">
        <w:t>initiatives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in</w:t>
      </w:r>
      <w:r w:rsidR="00C63F8F" w:rsidRPr="00E27443">
        <w:t xml:space="preserve"> </w:t>
      </w:r>
      <w:r w:rsidRPr="00E27443">
        <w:t>ten</w:t>
      </w:r>
      <w:r w:rsidR="00C63F8F" w:rsidRPr="00E27443">
        <w:t xml:space="preserve"> </w:t>
      </w:r>
      <w:r w:rsidRPr="00E27443">
        <w:t>different</w:t>
      </w:r>
      <w:r w:rsidR="00C63F8F" w:rsidRPr="00E27443">
        <w:t xml:space="preserve"> </w:t>
      </w:r>
      <w:r w:rsidRPr="00E27443">
        <w:t>countries.</w:t>
      </w:r>
      <w:r w:rsidR="00C63F8F" w:rsidRPr="00E27443">
        <w:t xml:space="preserve"> </w:t>
      </w:r>
      <w:r w:rsidRPr="00E27443">
        <w:t>Furthermore,</w:t>
      </w:r>
      <w:r w:rsidR="00C63F8F" w:rsidRPr="00E27443">
        <w:t xml:space="preserve"> </w:t>
      </w:r>
      <w:r w:rsidRPr="00E27443">
        <w:t>Sida</w:t>
      </w:r>
      <w:r w:rsidR="00C63F8F" w:rsidRPr="00E27443">
        <w:t xml:space="preserve"> </w:t>
      </w:r>
      <w:r w:rsidRPr="00E27443">
        <w:t>has</w:t>
      </w:r>
      <w:r w:rsidR="00C63F8F" w:rsidRPr="00E27443">
        <w:t xml:space="preserve"> </w:t>
      </w:r>
      <w:r w:rsidRPr="00E27443">
        <w:t>incorporated</w:t>
      </w:r>
      <w:r w:rsidR="00C63F8F" w:rsidRPr="00E27443">
        <w:t xml:space="preserve"> </w:t>
      </w:r>
      <w:r w:rsidRPr="00E27443">
        <w:t>a</w:t>
      </w:r>
      <w:r w:rsidR="00C63F8F" w:rsidRPr="00E27443">
        <w:t xml:space="preserve"> </w:t>
      </w:r>
      <w:r w:rsidRPr="00E27443">
        <w:t>disability</w:t>
      </w:r>
      <w:r w:rsidR="00C63F8F" w:rsidRPr="00E27443">
        <w:t xml:space="preserve"> </w:t>
      </w:r>
      <w:r w:rsidRPr="00E27443">
        <w:t>perspective</w:t>
      </w:r>
      <w:r w:rsidR="00C63F8F" w:rsidRPr="00E27443">
        <w:t xml:space="preserve"> </w:t>
      </w:r>
      <w:r w:rsidRPr="00E27443">
        <w:t>in</w:t>
      </w:r>
      <w:r w:rsidR="00C63F8F" w:rsidRPr="00E27443">
        <w:t xml:space="preserve"> </w:t>
      </w:r>
      <w:r w:rsidRPr="00E27443">
        <w:t>educational</w:t>
      </w:r>
      <w:r w:rsidR="00C63F8F" w:rsidRPr="00E27443">
        <w:t xml:space="preserve"> </w:t>
      </w:r>
      <w:r w:rsidRPr="00E27443">
        <w:t>sector</w:t>
      </w:r>
      <w:r w:rsidR="00C63F8F" w:rsidRPr="00E27443">
        <w:t xml:space="preserve"> </w:t>
      </w:r>
      <w:r w:rsidRPr="00E27443">
        <w:t>programmes</w:t>
      </w:r>
      <w:r w:rsidR="00C63F8F" w:rsidRPr="00E27443">
        <w:t xml:space="preserve"> </w:t>
      </w:r>
      <w:r w:rsidRPr="00E27443">
        <w:t>in</w:t>
      </w:r>
      <w:r w:rsidR="00C63F8F" w:rsidRPr="00E27443">
        <w:t xml:space="preserve"> </w:t>
      </w:r>
      <w:r w:rsidRPr="00E27443">
        <w:t>nine</w:t>
      </w:r>
      <w:r w:rsidR="00C63F8F" w:rsidRPr="00E27443">
        <w:t xml:space="preserve"> </w:t>
      </w:r>
      <w:r w:rsidRPr="00E27443">
        <w:t>different</w:t>
      </w:r>
      <w:r w:rsidR="00C63F8F" w:rsidRPr="00E27443">
        <w:t xml:space="preserve"> </w:t>
      </w:r>
      <w:r w:rsidRPr="00E27443">
        <w:t>countries,</w:t>
      </w:r>
      <w:r w:rsidR="00C63F8F" w:rsidRPr="00E27443">
        <w:t xml:space="preserve"> </w:t>
      </w:r>
      <w:r w:rsidRPr="00E27443">
        <w:t>in</w:t>
      </w:r>
      <w:r w:rsidR="00C63F8F" w:rsidRPr="00E27443">
        <w:t xml:space="preserve"> </w:t>
      </w:r>
      <w:r w:rsidRPr="00E27443">
        <w:t>health</w:t>
      </w:r>
      <w:r w:rsidR="00C63F8F" w:rsidRPr="00E27443">
        <w:t xml:space="preserve"> </w:t>
      </w:r>
      <w:r w:rsidRPr="00E27443">
        <w:t>sector</w:t>
      </w:r>
      <w:r w:rsidR="00C63F8F" w:rsidRPr="00E27443">
        <w:t xml:space="preserve"> </w:t>
      </w:r>
      <w:r w:rsidRPr="00E27443">
        <w:t>programmes</w:t>
      </w:r>
      <w:r w:rsidR="00C63F8F" w:rsidRPr="00E27443">
        <w:t xml:space="preserve"> </w:t>
      </w:r>
      <w:r w:rsidRPr="00E27443">
        <w:t>in</w:t>
      </w:r>
      <w:r w:rsidR="00C63F8F" w:rsidRPr="00E27443">
        <w:t xml:space="preserve"> </w:t>
      </w:r>
      <w:r w:rsidRPr="00E27443">
        <w:t>three</w:t>
      </w:r>
      <w:r w:rsidR="00C63F8F" w:rsidRPr="00E27443">
        <w:t xml:space="preserve"> </w:t>
      </w:r>
      <w:r w:rsidRPr="00E27443">
        <w:t>countries</w:t>
      </w:r>
      <w:r w:rsidR="00C63F8F" w:rsidRPr="00E27443">
        <w:t xml:space="preserve"> </w:t>
      </w:r>
      <w:r w:rsidRPr="00E27443">
        <w:t>and</w:t>
      </w:r>
      <w:r w:rsidR="00C63F8F" w:rsidRPr="00E27443">
        <w:t xml:space="preserve"> </w:t>
      </w:r>
      <w:r w:rsidRPr="00E27443">
        <w:t>in</w:t>
      </w:r>
      <w:r w:rsidR="00C63F8F" w:rsidRPr="00E27443">
        <w:t xml:space="preserve"> </w:t>
      </w:r>
      <w:r w:rsidRPr="00E27443">
        <w:t>agriculture</w:t>
      </w:r>
      <w:r w:rsidR="00C63F8F" w:rsidRPr="00E27443">
        <w:t xml:space="preserve"> </w:t>
      </w:r>
      <w:r w:rsidRPr="00E27443">
        <w:t>and</w:t>
      </w:r>
      <w:r w:rsidR="00C63F8F" w:rsidRPr="00E27443">
        <w:t xml:space="preserve"> </w:t>
      </w:r>
      <w:r w:rsidRPr="00E27443">
        <w:t>infrastructure</w:t>
      </w:r>
      <w:r w:rsidR="00C63F8F" w:rsidRPr="00E27443">
        <w:t xml:space="preserve"> </w:t>
      </w:r>
      <w:r w:rsidRPr="00E27443">
        <w:t>support</w:t>
      </w:r>
      <w:r w:rsidR="00C63F8F" w:rsidRPr="00E27443">
        <w:t xml:space="preserve"> </w:t>
      </w:r>
      <w:r w:rsidRPr="00E27443">
        <w:t>in</w:t>
      </w:r>
      <w:r w:rsidR="00C63F8F" w:rsidRPr="00E27443">
        <w:t xml:space="preserve"> </w:t>
      </w:r>
      <w:r w:rsidRPr="00E27443">
        <w:t>one</w:t>
      </w:r>
      <w:r w:rsidR="00C63F8F" w:rsidRPr="00E27443">
        <w:t xml:space="preserve"> </w:t>
      </w:r>
      <w:r w:rsidRPr="00E27443">
        <w:t>country.</w:t>
      </w:r>
      <w:r w:rsidR="00C63F8F" w:rsidRPr="00E27443">
        <w:t xml:space="preserve"> </w:t>
      </w:r>
      <w:r w:rsidRPr="00E27443">
        <w:t>These</w:t>
      </w:r>
      <w:r w:rsidR="00C63F8F" w:rsidRPr="00E27443">
        <w:t xml:space="preserve"> </w:t>
      </w:r>
      <w:r w:rsidRPr="00E27443">
        <w:t>initiatives</w:t>
      </w:r>
      <w:r w:rsidR="00C63F8F" w:rsidRPr="00E27443">
        <w:t xml:space="preserve"> </w:t>
      </w:r>
      <w:r w:rsidRPr="00E27443">
        <w:t>have</w:t>
      </w:r>
      <w:r w:rsidR="00C63F8F" w:rsidRPr="00E27443">
        <w:t xml:space="preserve"> </w:t>
      </w:r>
      <w:r w:rsidRPr="00E27443">
        <w:t>been</w:t>
      </w:r>
      <w:r w:rsidR="00C63F8F" w:rsidRPr="00E27443">
        <w:t xml:space="preserve"> </w:t>
      </w:r>
      <w:r w:rsidRPr="00E27443">
        <w:t>implemented</w:t>
      </w:r>
      <w:r w:rsidR="00C63F8F" w:rsidRPr="00E27443">
        <w:t xml:space="preserve"> </w:t>
      </w:r>
      <w:r w:rsidRPr="00E27443">
        <w:t>in</w:t>
      </w:r>
      <w:r w:rsidR="00C63F8F" w:rsidRPr="00E27443">
        <w:t xml:space="preserve"> </w:t>
      </w:r>
      <w:r w:rsidRPr="00E27443">
        <w:t>conflict</w:t>
      </w:r>
      <w:r w:rsidR="00C63F8F" w:rsidRPr="00E27443">
        <w:t xml:space="preserve"> </w:t>
      </w:r>
      <w:r w:rsidRPr="00E27443">
        <w:t>and</w:t>
      </w:r>
      <w:r w:rsidR="00C63F8F" w:rsidRPr="00E27443">
        <w:t xml:space="preserve"> </w:t>
      </w:r>
      <w:r w:rsidRPr="00E27443">
        <w:t>post-conflict</w:t>
      </w:r>
      <w:r w:rsidR="00C63F8F" w:rsidRPr="00E27443">
        <w:t xml:space="preserve"> </w:t>
      </w:r>
      <w:r w:rsidRPr="00E27443">
        <w:t>countries,</w:t>
      </w:r>
      <w:r w:rsidR="00C63F8F" w:rsidRPr="00E27443">
        <w:t xml:space="preserve"> </w:t>
      </w:r>
      <w:r w:rsidRPr="00E27443">
        <w:t>and</w:t>
      </w:r>
      <w:r w:rsidR="00C63F8F" w:rsidRPr="00E27443">
        <w:t xml:space="preserve"> </w:t>
      </w:r>
      <w:r w:rsidRPr="00E27443">
        <w:t>are</w:t>
      </w:r>
      <w:r w:rsidR="00C63F8F" w:rsidRPr="00E27443">
        <w:t xml:space="preserve"> </w:t>
      </w:r>
      <w:r w:rsidRPr="00E27443">
        <w:t>related</w:t>
      </w:r>
      <w:r w:rsidR="00C63F8F" w:rsidRPr="00E27443">
        <w:t xml:space="preserve"> </w:t>
      </w:r>
      <w:r w:rsidRPr="00E27443">
        <w:t>to</w:t>
      </w:r>
      <w:r w:rsidR="00C63F8F" w:rsidRPr="00E27443">
        <w:t xml:space="preserve"> </w:t>
      </w:r>
      <w:r w:rsidRPr="00E27443">
        <w:t>the</w:t>
      </w:r>
      <w:r w:rsidR="00C63F8F" w:rsidRPr="00E27443">
        <w:t xml:space="preserve"> </w:t>
      </w:r>
      <w:r w:rsidRPr="00E27443">
        <w:t>rehabilitation</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p>
    <w:p w:rsidR="00321ADA" w:rsidRPr="00E27443" w:rsidRDefault="00321ADA" w:rsidP="00877AB3">
      <w:pPr>
        <w:pStyle w:val="SingleTxtG"/>
        <w:numPr>
          <w:ilvl w:val="0"/>
          <w:numId w:val="20"/>
        </w:numPr>
        <w:tabs>
          <w:tab w:val="left" w:pos="1843"/>
        </w:tabs>
        <w:ind w:left="1134" w:firstLine="0"/>
      </w:pPr>
      <w:r w:rsidRPr="00E27443">
        <w:t>For</w:t>
      </w:r>
      <w:r w:rsidR="00C63F8F" w:rsidRPr="00E27443">
        <w:t xml:space="preserve"> </w:t>
      </w:r>
      <w:r w:rsidRPr="00E27443">
        <w:t>example,</w:t>
      </w:r>
      <w:r w:rsidR="00C63F8F" w:rsidRPr="00E27443">
        <w:t xml:space="preserve"> </w:t>
      </w:r>
      <w:r w:rsidRPr="00E27443">
        <w:t>Sida</w:t>
      </w:r>
      <w:r w:rsidR="00C63F8F" w:rsidRPr="00E27443">
        <w:t xml:space="preserve"> </w:t>
      </w:r>
      <w:r w:rsidRPr="00E27443">
        <w:t>is</w:t>
      </w:r>
      <w:r w:rsidR="00C63F8F" w:rsidRPr="00E27443">
        <w:t xml:space="preserve"> </w:t>
      </w:r>
      <w:r w:rsidRPr="00E27443">
        <w:t>conducting</w:t>
      </w:r>
      <w:r w:rsidR="00C63F8F" w:rsidRPr="00E27443">
        <w:t xml:space="preserve"> </w:t>
      </w:r>
      <w:r w:rsidRPr="00E27443">
        <w:t>dialogues</w:t>
      </w:r>
      <w:r w:rsidR="00C63F8F" w:rsidRPr="00E27443">
        <w:t xml:space="preserve"> </w:t>
      </w:r>
      <w:r w:rsidRPr="00E27443">
        <w:t>with</w:t>
      </w:r>
      <w:r w:rsidR="00C63F8F" w:rsidRPr="00E27443">
        <w:t xml:space="preserve"> </w:t>
      </w:r>
      <w:r w:rsidRPr="00E27443">
        <w:t>the</w:t>
      </w:r>
      <w:r w:rsidR="00C63F8F" w:rsidRPr="00E27443">
        <w:t xml:space="preserve"> </w:t>
      </w:r>
      <w:r w:rsidRPr="00E27443">
        <w:t>governments</w:t>
      </w:r>
      <w:r w:rsidR="00C63F8F" w:rsidRPr="00E27443">
        <w:t xml:space="preserve"> </w:t>
      </w:r>
      <w:r w:rsidRPr="00E27443">
        <w:t>of</w:t>
      </w:r>
      <w:r w:rsidR="00C63F8F" w:rsidRPr="00E27443">
        <w:t xml:space="preserve"> </w:t>
      </w:r>
      <w:smartTag w:uri="urn:schemas-microsoft-com:office:smarttags" w:element="country-region">
        <w:r w:rsidRPr="00E27443">
          <w:t>Bangladesh</w:t>
        </w:r>
      </w:smartTag>
      <w:r w:rsidRPr="00E27443">
        <w:t>,</w:t>
      </w:r>
      <w:r w:rsidR="00C63F8F" w:rsidRPr="00E27443">
        <w:t xml:space="preserve"> </w:t>
      </w:r>
      <w:smartTag w:uri="urn:schemas-microsoft-com:office:smarttags" w:element="country-region">
        <w:r w:rsidRPr="00E27443">
          <w:t>Bolivia</w:t>
        </w:r>
      </w:smartTag>
      <w:r w:rsidRPr="00E27443">
        <w:t>,</w:t>
      </w:r>
      <w:r w:rsidR="00C63F8F" w:rsidRPr="00E27443">
        <w:t xml:space="preserve"> </w:t>
      </w:r>
      <w:smartTag w:uri="urn:schemas-microsoft-com:office:smarttags" w:element="country-region">
        <w:r w:rsidRPr="00E27443">
          <w:t>Tanzania</w:t>
        </w:r>
      </w:smartTag>
      <w:r w:rsidR="00C63F8F" w:rsidRPr="00E27443">
        <w:t xml:space="preserve"> </w:t>
      </w:r>
      <w:r w:rsidRPr="00E27443">
        <w:t>and</w:t>
      </w:r>
      <w:r w:rsidR="00C63F8F" w:rsidRPr="00E27443">
        <w:t xml:space="preserve"> </w:t>
      </w:r>
      <w:smartTag w:uri="urn:schemas-microsoft-com:office:smarttags" w:element="place">
        <w:smartTag w:uri="urn:schemas-microsoft-com:office:smarttags" w:element="country-region">
          <w:r w:rsidRPr="00E27443">
            <w:t>South</w:t>
          </w:r>
          <w:r w:rsidR="00C63F8F" w:rsidRPr="00E27443">
            <w:t xml:space="preserve"> </w:t>
          </w:r>
          <w:r w:rsidRPr="00E27443">
            <w:t>Africa</w:t>
          </w:r>
        </w:smartTag>
      </w:smartTag>
      <w:r w:rsidR="00C63F8F" w:rsidRPr="00E27443">
        <w:t xml:space="preserve"> </w:t>
      </w:r>
      <w:r w:rsidRPr="00E27443">
        <w:t>in</w:t>
      </w:r>
      <w:r w:rsidR="00C63F8F" w:rsidRPr="00E27443">
        <w:t xml:space="preserve"> </w:t>
      </w:r>
      <w:r w:rsidRPr="00E27443">
        <w:t>order</w:t>
      </w:r>
      <w:r w:rsidR="00C63F8F" w:rsidRPr="00E27443">
        <w:t xml:space="preserve"> </w:t>
      </w:r>
      <w:r w:rsidRPr="00E27443">
        <w:t>to</w:t>
      </w:r>
      <w:r w:rsidR="00C63F8F" w:rsidRPr="00E27443">
        <w:t xml:space="preserve"> </w:t>
      </w:r>
      <w:r w:rsidRPr="00E27443">
        <w:t>raise</w:t>
      </w:r>
      <w:r w:rsidR="00C63F8F" w:rsidRPr="00E27443">
        <w:t xml:space="preserve"> </w:t>
      </w:r>
      <w:r w:rsidRPr="00E27443">
        <w:t>the</w:t>
      </w:r>
      <w:r w:rsidR="00C63F8F" w:rsidRPr="00E27443">
        <w:t xml:space="preserve"> </w:t>
      </w:r>
      <w:r w:rsidRPr="00E27443">
        <w:t>issue</w:t>
      </w:r>
      <w:r w:rsidR="00C63F8F" w:rsidRPr="00E27443">
        <w:t xml:space="preserve"> </w:t>
      </w:r>
      <w:r w:rsidRPr="00E27443">
        <w:t>of</w:t>
      </w:r>
      <w:r w:rsidR="00C63F8F" w:rsidRPr="00E27443">
        <w:t xml:space="preserve"> </w:t>
      </w:r>
      <w:r w:rsidRPr="00E27443">
        <w:t>inclusive</w:t>
      </w:r>
      <w:r w:rsidR="00C63F8F" w:rsidRPr="00E27443">
        <w:t xml:space="preserve"> </w:t>
      </w:r>
      <w:r w:rsidRPr="00E27443">
        <w:t>education</w:t>
      </w:r>
      <w:r w:rsidR="00C63F8F" w:rsidRPr="00E27443">
        <w:t xml:space="preserve"> </w:t>
      </w:r>
      <w:r w:rsidRPr="00E27443">
        <w:t>for</w:t>
      </w:r>
      <w:r w:rsidR="00C63F8F" w:rsidRPr="00E27443">
        <w:t xml:space="preserve"> </w:t>
      </w:r>
      <w:r w:rsidRPr="00E27443">
        <w:t>children</w:t>
      </w:r>
      <w:r w:rsidR="00C63F8F" w:rsidRPr="00E27443">
        <w:t xml:space="preserve"> </w:t>
      </w:r>
      <w:r w:rsidRPr="00E27443">
        <w:t>with</w:t>
      </w:r>
      <w:r w:rsidR="00C63F8F" w:rsidRPr="00E27443">
        <w:t xml:space="preserve"> </w:t>
      </w:r>
      <w:r w:rsidRPr="00E27443">
        <w:t>disabilities.</w:t>
      </w:r>
    </w:p>
    <w:p w:rsidR="00321ADA" w:rsidRPr="00E27443" w:rsidRDefault="00321ADA" w:rsidP="00877AB3">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also</w:t>
      </w:r>
      <w:r w:rsidR="00C63F8F" w:rsidRPr="00E27443">
        <w:t xml:space="preserve"> </w:t>
      </w:r>
      <w:r w:rsidRPr="00E27443">
        <w:t>supported</w:t>
      </w:r>
      <w:r w:rsidR="00C63F8F" w:rsidRPr="00E27443">
        <w:t xml:space="preserve"> </w:t>
      </w:r>
      <w:r w:rsidRPr="00E27443">
        <w:t>the</w:t>
      </w:r>
      <w:r w:rsidR="00C63F8F" w:rsidRPr="00E27443">
        <w:t xml:space="preserve"> </w:t>
      </w:r>
      <w:r w:rsidRPr="00E27443">
        <w:t>capacity</w:t>
      </w:r>
      <w:r w:rsidR="00C63F8F" w:rsidRPr="00E27443">
        <w:t xml:space="preserve"> </w:t>
      </w:r>
      <w:r w:rsidRPr="00E27443">
        <w:t>development</w:t>
      </w:r>
      <w:r w:rsidR="00C63F8F" w:rsidRPr="00E27443">
        <w:t xml:space="preserve"> </w:t>
      </w:r>
      <w:r w:rsidRPr="00E27443">
        <w:t>of</w:t>
      </w:r>
      <w:r w:rsidR="00C63F8F" w:rsidRPr="00E27443">
        <w:t xml:space="preserve"> </w:t>
      </w:r>
      <w:r w:rsidRPr="00E27443">
        <w:t>disability</w:t>
      </w:r>
      <w:r w:rsidR="00C63F8F" w:rsidRPr="00E27443">
        <w:t xml:space="preserve"> </w:t>
      </w:r>
      <w:r w:rsidRPr="00E27443">
        <w:t>organisations.</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supports</w:t>
      </w:r>
      <w:r w:rsidR="00C63F8F" w:rsidRPr="00E27443">
        <w:t xml:space="preserve"> </w:t>
      </w:r>
      <w:r w:rsidRPr="00E27443">
        <w:t>local</w:t>
      </w:r>
      <w:r w:rsidR="00C63F8F" w:rsidRPr="00E27443">
        <w:t xml:space="preserve"> </w:t>
      </w:r>
      <w:r w:rsidRPr="00E27443">
        <w:t>projects,</w:t>
      </w:r>
      <w:r w:rsidR="00C63F8F" w:rsidRPr="00E27443">
        <w:t xml:space="preserve"> </w:t>
      </w:r>
      <w:r w:rsidRPr="00E27443">
        <w:t>primarily</w:t>
      </w:r>
      <w:r w:rsidR="00C63F8F" w:rsidRPr="00E27443">
        <w:t xml:space="preserve"> </w:t>
      </w:r>
      <w:r w:rsidRPr="00E27443">
        <w:t>via</w:t>
      </w:r>
      <w:r w:rsidR="00C63F8F" w:rsidRPr="00E27443">
        <w:t xml:space="preserve"> </w:t>
      </w:r>
      <w:r w:rsidRPr="00E27443">
        <w:t>two</w:t>
      </w:r>
      <w:r w:rsidR="00C63F8F" w:rsidRPr="00E27443">
        <w:t xml:space="preserve"> </w:t>
      </w:r>
      <w:r w:rsidRPr="00E27443">
        <w:t>global</w:t>
      </w:r>
      <w:r w:rsidR="00C63F8F" w:rsidRPr="00E27443">
        <w:t xml:space="preserve"> </w:t>
      </w:r>
      <w:r w:rsidRPr="00E27443">
        <w:t>players:</w:t>
      </w:r>
      <w:r w:rsidR="00C63F8F" w:rsidRPr="00E27443">
        <w:t xml:space="preserve"> </w:t>
      </w:r>
      <w:r w:rsidRPr="00E27443">
        <w:t>Disability</w:t>
      </w:r>
      <w:r w:rsidR="00C63F8F" w:rsidRPr="00E27443">
        <w:t xml:space="preserve"> </w:t>
      </w:r>
      <w:r w:rsidRPr="00E27443">
        <w:t>Rights</w:t>
      </w:r>
      <w:r w:rsidR="00C63F8F" w:rsidRPr="00E27443">
        <w:t xml:space="preserve"> </w:t>
      </w:r>
      <w:r w:rsidRPr="00E27443">
        <w:t>Promotion</w:t>
      </w:r>
      <w:r w:rsidR="00C63F8F" w:rsidRPr="00E27443">
        <w:t xml:space="preserve"> </w:t>
      </w:r>
      <w:r w:rsidRPr="00E27443">
        <w:t>International</w:t>
      </w:r>
      <w:r w:rsidR="00C63F8F" w:rsidRPr="00E27443">
        <w:t xml:space="preserve"> </w:t>
      </w:r>
      <w:r w:rsidRPr="00E27443">
        <w:t>(DRPI),</w:t>
      </w:r>
      <w:r w:rsidR="00C63F8F" w:rsidRPr="00E27443">
        <w:t xml:space="preserve"> </w:t>
      </w:r>
      <w:r w:rsidRPr="00E27443">
        <w:t>a</w:t>
      </w:r>
      <w:r w:rsidR="00C63F8F" w:rsidRPr="00E27443">
        <w:t xml:space="preserve"> </w:t>
      </w:r>
      <w:r w:rsidRPr="00E27443">
        <w:t>project</w:t>
      </w:r>
      <w:r w:rsidR="00C63F8F" w:rsidRPr="00E27443">
        <w:t xml:space="preserve"> </w:t>
      </w:r>
      <w:r w:rsidRPr="00E27443">
        <w:t>that</w:t>
      </w:r>
      <w:r w:rsidR="00C63F8F" w:rsidRPr="00E27443">
        <w:t xml:space="preserve"> </w:t>
      </w:r>
      <w:r w:rsidRPr="00E27443">
        <w:t>aims</w:t>
      </w:r>
      <w:r w:rsidR="00C63F8F" w:rsidRPr="00E27443">
        <w:t xml:space="preserve"> </w:t>
      </w:r>
      <w:r w:rsidRPr="00E27443">
        <w:t>to</w:t>
      </w:r>
      <w:r w:rsidR="00C63F8F" w:rsidRPr="00E27443">
        <w:t xml:space="preserve"> </w:t>
      </w:r>
      <w:r w:rsidRPr="00E27443">
        <w:t>develop</w:t>
      </w:r>
      <w:r w:rsidR="00C63F8F" w:rsidRPr="00E27443">
        <w:t xml:space="preserve"> </w:t>
      </w:r>
      <w:r w:rsidRPr="00E27443">
        <w:t>tools</w:t>
      </w:r>
      <w:r w:rsidR="00C63F8F" w:rsidRPr="00E27443">
        <w:t xml:space="preserve"> </w:t>
      </w:r>
      <w:r w:rsidRPr="00E27443">
        <w:t>for</w:t>
      </w:r>
      <w:r w:rsidR="00C63F8F" w:rsidRPr="00E27443">
        <w:t xml:space="preserve"> </w:t>
      </w:r>
      <w:r w:rsidRPr="00E27443">
        <w:t>monitoring</w:t>
      </w:r>
      <w:r w:rsidR="00C63F8F" w:rsidRPr="00E27443">
        <w:t xml:space="preserve"> </w:t>
      </w:r>
      <w:r w:rsidRPr="00E27443">
        <w:t>compliance</w:t>
      </w:r>
      <w:r w:rsidR="00C63F8F" w:rsidRPr="00E27443">
        <w:t xml:space="preserve"> </w:t>
      </w:r>
      <w:r w:rsidRPr="00E27443">
        <w:t>with</w:t>
      </w:r>
      <w:r w:rsidR="00C63F8F" w:rsidRPr="00E27443">
        <w:t xml:space="preserve"> </w:t>
      </w:r>
      <w:r w:rsidRPr="00E27443">
        <w:t>the</w:t>
      </w:r>
      <w:r w:rsidR="00C63F8F" w:rsidRPr="00E27443">
        <w:t xml:space="preserve"> </w:t>
      </w:r>
      <w:r w:rsidRPr="00E27443">
        <w:t>new</w:t>
      </w:r>
      <w:r w:rsidR="00C63F8F" w:rsidRPr="00E27443">
        <w:t xml:space="preserve"> </w:t>
      </w:r>
      <w:r w:rsidRPr="00E27443">
        <w:t>Convention;</w:t>
      </w:r>
      <w:r w:rsidR="00C63F8F" w:rsidRPr="00E27443">
        <w:t xml:space="preserve"> </w:t>
      </w:r>
      <w:r w:rsidRPr="00E27443">
        <w:t>and</w:t>
      </w:r>
      <w:r w:rsidR="00C63F8F" w:rsidRPr="00E27443">
        <w:t xml:space="preserve"> </w:t>
      </w:r>
      <w:r w:rsidRPr="00E27443">
        <w:t>the</w:t>
      </w:r>
      <w:r w:rsidR="00C63F8F" w:rsidRPr="00E27443">
        <w:t xml:space="preserve"> </w:t>
      </w:r>
      <w:r w:rsidRPr="00E27443">
        <w:t>International</w:t>
      </w:r>
      <w:r w:rsidR="00C63F8F" w:rsidRPr="00E27443">
        <w:t xml:space="preserve"> </w:t>
      </w:r>
      <w:r w:rsidRPr="00E27443">
        <w:t>Disability</w:t>
      </w:r>
      <w:r w:rsidR="00C63F8F" w:rsidRPr="00E27443">
        <w:t xml:space="preserve"> </w:t>
      </w:r>
      <w:r w:rsidRPr="00E27443">
        <w:t>Alliance</w:t>
      </w:r>
      <w:r w:rsidR="00C63F8F" w:rsidRPr="00E27443">
        <w:t xml:space="preserve"> </w:t>
      </w:r>
      <w:r w:rsidRPr="00E27443">
        <w:t>(IDA),</w:t>
      </w:r>
      <w:r w:rsidR="00C63F8F" w:rsidRPr="00E27443">
        <w:t xml:space="preserve"> </w:t>
      </w:r>
      <w:r w:rsidRPr="00E27443">
        <w:t>which</w:t>
      </w:r>
      <w:r w:rsidR="00C63F8F" w:rsidRPr="00E27443">
        <w:t xml:space="preserve"> </w:t>
      </w:r>
      <w:r w:rsidRPr="00E27443">
        <w:t>constitutes</w:t>
      </w:r>
      <w:r w:rsidR="00C63F8F" w:rsidRPr="00E27443">
        <w:t xml:space="preserve"> </w:t>
      </w:r>
      <w:r w:rsidRPr="00E27443">
        <w:t>a</w:t>
      </w:r>
      <w:r w:rsidR="00C63F8F" w:rsidRPr="00E27443">
        <w:t xml:space="preserve"> </w:t>
      </w:r>
      <w:r w:rsidRPr="00E27443">
        <w:t>combined</w:t>
      </w:r>
      <w:r w:rsidR="00C63F8F" w:rsidRPr="00E27443">
        <w:t xml:space="preserve"> </w:t>
      </w:r>
      <w:r w:rsidRPr="00E27443">
        <w:t>international</w:t>
      </w:r>
      <w:r w:rsidR="00C63F8F" w:rsidRPr="00E27443">
        <w:t xml:space="preserve"> </w:t>
      </w:r>
      <w:r w:rsidRPr="00E27443">
        <w:t>voice</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IDA</w:t>
      </w:r>
      <w:r w:rsidR="00C63F8F" w:rsidRPr="00E27443">
        <w:t>’</w:t>
      </w:r>
      <w:r w:rsidRPr="00E27443">
        <w:t>s</w:t>
      </w:r>
      <w:r w:rsidR="00C63F8F" w:rsidRPr="00E27443">
        <w:t xml:space="preserve"> </w:t>
      </w:r>
      <w:r w:rsidRPr="00E27443">
        <w:t>activities</w:t>
      </w:r>
      <w:r w:rsidR="00C63F8F" w:rsidRPr="00E27443">
        <w:t xml:space="preserve"> </w:t>
      </w:r>
      <w:r w:rsidRPr="00E27443">
        <w:t>are</w:t>
      </w:r>
      <w:r w:rsidR="00C63F8F" w:rsidRPr="00E27443">
        <w:t xml:space="preserve"> </w:t>
      </w:r>
      <w:r w:rsidRPr="00E27443">
        <w:t>also</w:t>
      </w:r>
      <w:r w:rsidR="00C63F8F" w:rsidRPr="00E27443">
        <w:t xml:space="preserve"> </w:t>
      </w:r>
      <w:r w:rsidRPr="00E27443">
        <w:t>intended</w:t>
      </w:r>
      <w:r w:rsidR="00C63F8F" w:rsidRPr="00E27443">
        <w:t xml:space="preserve"> </w:t>
      </w:r>
      <w:r w:rsidRPr="00E27443">
        <w:t>to</w:t>
      </w:r>
      <w:r w:rsidR="00C63F8F" w:rsidRPr="00E27443">
        <w:t xml:space="preserve"> </w:t>
      </w:r>
      <w:r w:rsidRPr="00E27443">
        <w:t>strengthen</w:t>
      </w:r>
      <w:r w:rsidR="00C63F8F" w:rsidRPr="00E27443">
        <w:t xml:space="preserve"> </w:t>
      </w:r>
      <w:r w:rsidRPr="00E27443">
        <w:t>national,</w:t>
      </w:r>
      <w:r w:rsidR="00C63F8F" w:rsidRPr="00E27443">
        <w:t xml:space="preserve"> </w:t>
      </w:r>
      <w:r w:rsidRPr="00E27443">
        <w:t>regional</w:t>
      </w:r>
      <w:r w:rsidR="00C63F8F" w:rsidRPr="00E27443">
        <w:t xml:space="preserve"> </w:t>
      </w:r>
      <w:r w:rsidRPr="00E27443">
        <w:t>and</w:t>
      </w:r>
      <w:r w:rsidR="00C63F8F" w:rsidRPr="00E27443">
        <w:t xml:space="preserve"> </w:t>
      </w:r>
      <w:r w:rsidRPr="00E27443">
        <w:t>global</w:t>
      </w:r>
      <w:r w:rsidR="00C63F8F" w:rsidRPr="00E27443">
        <w:t xml:space="preserve"> </w:t>
      </w:r>
      <w:r w:rsidRPr="00E27443">
        <w:t>organi</w:t>
      </w:r>
      <w:r w:rsidRPr="00E27443">
        <w:softHyphen/>
        <w:t>sations</w:t>
      </w:r>
      <w:r w:rsidR="00C63F8F" w:rsidRPr="00E27443">
        <w:t xml:space="preserve">’ </w:t>
      </w:r>
      <w:r w:rsidRPr="00E27443">
        <w:t>knowledge</w:t>
      </w:r>
      <w:r w:rsidR="00C63F8F" w:rsidRPr="00E27443">
        <w:t xml:space="preserve"> </w:t>
      </w:r>
      <w:r w:rsidRPr="00E27443">
        <w:t>of</w:t>
      </w:r>
      <w:r w:rsidR="00C63F8F" w:rsidRPr="00E27443">
        <w:t xml:space="preserve"> </w:t>
      </w:r>
      <w:r w:rsidRPr="00E27443">
        <w:t>the</w:t>
      </w:r>
      <w:r w:rsidR="00C63F8F" w:rsidRPr="00E27443">
        <w:t xml:space="preserve"> </w:t>
      </w:r>
      <w:r w:rsidRPr="00E27443">
        <w:t>UN</w:t>
      </w:r>
      <w:r w:rsidR="00C63F8F" w:rsidRPr="00E27443">
        <w:t xml:space="preserve"> </w:t>
      </w:r>
      <w:r w:rsidRPr="00E27443">
        <w:t>human</w:t>
      </w:r>
      <w:r w:rsidR="00C63F8F" w:rsidRPr="00E27443">
        <w:t xml:space="preserve"> </w:t>
      </w:r>
      <w:r w:rsidRPr="00E27443">
        <w:t>rights</w:t>
      </w:r>
      <w:r w:rsidR="00C63F8F" w:rsidRPr="00E27443">
        <w:t xml:space="preserve"> </w:t>
      </w:r>
      <w:r w:rsidRPr="00E27443">
        <w:t>system.</w:t>
      </w:r>
    </w:p>
    <w:p w:rsidR="00321ADA" w:rsidRPr="00E27443" w:rsidRDefault="00321ADA" w:rsidP="00877AB3">
      <w:pPr>
        <w:pStyle w:val="SingleTxtG"/>
        <w:numPr>
          <w:ilvl w:val="0"/>
          <w:numId w:val="20"/>
        </w:numPr>
        <w:tabs>
          <w:tab w:val="left" w:pos="1843"/>
        </w:tabs>
        <w:ind w:left="1134" w:firstLine="0"/>
      </w:pPr>
      <w:r w:rsidRPr="00E27443">
        <w:t>Sida</w:t>
      </w:r>
      <w:r w:rsidR="00C63F8F" w:rsidRPr="00E27443">
        <w:t>’</w:t>
      </w:r>
      <w:r w:rsidRPr="00E27443">
        <w:t>s</w:t>
      </w:r>
      <w:r w:rsidR="00C63F8F" w:rsidRPr="00E27443">
        <w:t xml:space="preserve"> </w:t>
      </w:r>
      <w:r w:rsidRPr="00E27443">
        <w:t>humanitarian</w:t>
      </w:r>
      <w:r w:rsidR="00C63F8F" w:rsidRPr="00E27443">
        <w:t xml:space="preserve"> </w:t>
      </w:r>
      <w:r w:rsidRPr="00E27443">
        <w:t>support</w:t>
      </w:r>
      <w:r w:rsidR="00C63F8F" w:rsidRPr="00E27443">
        <w:t xml:space="preserve"> </w:t>
      </w:r>
      <w:r w:rsidRPr="00E27443">
        <w:t>is</w:t>
      </w:r>
      <w:r w:rsidR="00C63F8F" w:rsidRPr="00E27443">
        <w:t xml:space="preserve"> </w:t>
      </w:r>
      <w:r w:rsidRPr="00E27443">
        <w:t>primarily</w:t>
      </w:r>
      <w:r w:rsidR="00C63F8F" w:rsidRPr="00E27443">
        <w:t xml:space="preserve"> </w:t>
      </w:r>
      <w:r w:rsidRPr="00E27443">
        <w:t>needs-based,</w:t>
      </w:r>
      <w:r w:rsidR="00C63F8F" w:rsidRPr="00E27443">
        <w:t xml:space="preserve"> </w:t>
      </w:r>
      <w:r w:rsidRPr="00E27443">
        <w:t>and</w:t>
      </w:r>
      <w:r w:rsidR="00C63F8F" w:rsidRPr="00E27443">
        <w:t xml:space="preserve"> </w:t>
      </w:r>
      <w:r w:rsidRPr="00E27443">
        <w:t>particular</w:t>
      </w:r>
      <w:r w:rsidR="00C63F8F" w:rsidRPr="00E27443">
        <w:t xml:space="preserve"> </w:t>
      </w:r>
      <w:r w:rsidRPr="00E27443">
        <w:t>consideration</w:t>
      </w:r>
      <w:r w:rsidR="00C63F8F" w:rsidRPr="00E27443">
        <w:t xml:space="preserve"> </w:t>
      </w:r>
      <w:r w:rsidRPr="00E27443">
        <w:t>is</w:t>
      </w:r>
      <w:r w:rsidR="00C63F8F" w:rsidRPr="00E27443">
        <w:t xml:space="preserve"> </w:t>
      </w:r>
      <w:r w:rsidRPr="00E27443">
        <w:t>given,</w:t>
      </w:r>
      <w:r w:rsidR="00C63F8F" w:rsidRPr="00E27443">
        <w:t xml:space="preserve"> </w:t>
      </w:r>
      <w:r w:rsidRPr="00E27443">
        <w:t>as</w:t>
      </w:r>
      <w:r w:rsidR="00C63F8F" w:rsidRPr="00E27443">
        <w:t xml:space="preserve"> </w:t>
      </w:r>
      <w:r w:rsidRPr="00E27443">
        <w:t>far</w:t>
      </w:r>
      <w:r w:rsidR="00C63F8F" w:rsidRPr="00E27443">
        <w:t xml:space="preserve"> </w:t>
      </w:r>
      <w:r w:rsidRPr="00E27443">
        <w:t>as</w:t>
      </w:r>
      <w:r w:rsidR="00C63F8F" w:rsidRPr="00E27443">
        <w:t xml:space="preserve"> </w:t>
      </w:r>
      <w:r w:rsidRPr="00E27443">
        <w:t>possible,</w:t>
      </w:r>
      <w:r w:rsidR="00C63F8F" w:rsidRPr="00E27443">
        <w:t xml:space="preserve"> </w:t>
      </w:r>
      <w:r w:rsidRPr="00E27443">
        <w:t>to</w:t>
      </w:r>
      <w:r w:rsidR="00C63F8F" w:rsidRPr="00E27443">
        <w:t xml:space="preserve"> </w:t>
      </w:r>
      <w:r w:rsidRPr="00E27443">
        <w:t>groups</w:t>
      </w:r>
      <w:r w:rsidR="00C63F8F" w:rsidRPr="00E27443">
        <w:t xml:space="preserve"> </w:t>
      </w:r>
      <w:r w:rsidRPr="00E27443">
        <w:t>in</w:t>
      </w:r>
      <w:r w:rsidR="00C63F8F" w:rsidRPr="00E27443">
        <w:t xml:space="preserve"> </w:t>
      </w:r>
      <w:r w:rsidRPr="00E27443">
        <w:t>vulnerable</w:t>
      </w:r>
      <w:r w:rsidR="00C63F8F" w:rsidRPr="00E27443">
        <w:t xml:space="preserve"> </w:t>
      </w:r>
      <w:r w:rsidRPr="00E27443">
        <w:t>situations.</w:t>
      </w:r>
      <w:r w:rsidR="00C63F8F" w:rsidRPr="00E27443">
        <w:t xml:space="preserve"> </w:t>
      </w:r>
      <w:r w:rsidRPr="00E27443">
        <w:t>Targeted</w:t>
      </w:r>
      <w:r w:rsidR="00C63F8F" w:rsidRPr="00E27443">
        <w:t xml:space="preserve"> </w:t>
      </w:r>
      <w:r w:rsidRPr="00E27443">
        <w:t>support</w:t>
      </w:r>
      <w:r w:rsidR="00C63F8F" w:rsidRPr="00E27443">
        <w:t xml:space="preserve"> </w:t>
      </w:r>
      <w:r w:rsidRPr="00E27443">
        <w:t>has</w:t>
      </w:r>
      <w:r w:rsidR="00C63F8F" w:rsidRPr="00E27443">
        <w:t xml:space="preserve"> </w:t>
      </w:r>
      <w:r w:rsidRPr="00E27443">
        <w:t>occasionally</w:t>
      </w:r>
      <w:r w:rsidR="00C63F8F" w:rsidRPr="00E27443">
        <w:t xml:space="preserve"> </w:t>
      </w:r>
      <w:r w:rsidRPr="00E27443">
        <w:t>been</w:t>
      </w:r>
      <w:r w:rsidR="00C63F8F" w:rsidRPr="00E27443">
        <w:t xml:space="preserve"> </w:t>
      </w:r>
      <w:r w:rsidRPr="00E27443">
        <w:t>provided</w:t>
      </w:r>
      <w:r w:rsidR="00C63F8F" w:rsidRPr="00E27443">
        <w:t xml:space="preserve"> </w:t>
      </w:r>
      <w:r w:rsidRPr="00E27443">
        <w:t>to</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usually</w:t>
      </w:r>
      <w:r w:rsidR="00C63F8F" w:rsidRPr="00E27443">
        <w:t xml:space="preserve"> </w:t>
      </w:r>
      <w:r w:rsidRPr="00E27443">
        <w:t>via</w:t>
      </w:r>
      <w:r w:rsidR="00C63F8F" w:rsidRPr="00E27443">
        <w:t xml:space="preserve"> </w:t>
      </w:r>
      <w:r w:rsidRPr="00E27443">
        <w:t>Handicap</w:t>
      </w:r>
      <w:r w:rsidR="00C63F8F" w:rsidRPr="00E27443">
        <w:t xml:space="preserve"> </w:t>
      </w:r>
      <w:r w:rsidR="00C56B1C" w:rsidRPr="00E27443">
        <w:t>Inter</w:t>
      </w:r>
      <w:r w:rsidRPr="00E27443">
        <w:t>national.</w:t>
      </w:r>
      <w:r w:rsidR="00C63F8F" w:rsidRPr="00E27443">
        <w:t xml:space="preserve"> </w:t>
      </w:r>
      <w:r w:rsidRPr="00E27443">
        <w:t>This</w:t>
      </w:r>
      <w:r w:rsidR="00C63F8F" w:rsidRPr="00E27443">
        <w:t xml:space="preserve"> </w:t>
      </w:r>
      <w:r w:rsidRPr="00E27443">
        <w:t>occurred</w:t>
      </w:r>
      <w:r w:rsidR="00C63F8F" w:rsidRPr="00E27443">
        <w:t xml:space="preserve"> </w:t>
      </w:r>
      <w:r w:rsidRPr="00E27443">
        <w:t>most</w:t>
      </w:r>
      <w:r w:rsidR="00C63F8F" w:rsidRPr="00E27443">
        <w:t xml:space="preserve"> </w:t>
      </w:r>
      <w:r w:rsidRPr="00E27443">
        <w:t>recently</w:t>
      </w:r>
      <w:r w:rsidR="00C63F8F" w:rsidRPr="00E27443">
        <w:t xml:space="preserve"> </w:t>
      </w:r>
      <w:r w:rsidRPr="00E27443">
        <w:t>in</w:t>
      </w:r>
      <w:r w:rsidR="00C63F8F" w:rsidRPr="00E27443">
        <w:t xml:space="preserve"> </w:t>
      </w:r>
      <w:r w:rsidRPr="00E27443">
        <w:t>conjunction</w:t>
      </w:r>
      <w:r w:rsidR="00C63F8F" w:rsidRPr="00E27443">
        <w:t xml:space="preserve"> </w:t>
      </w:r>
      <w:r w:rsidRPr="00E27443">
        <w:t>with</w:t>
      </w:r>
      <w:r w:rsidR="00C63F8F" w:rsidRPr="00E27443">
        <w:t xml:space="preserve"> </w:t>
      </w:r>
      <w:r w:rsidRPr="00E27443">
        <w:t>the</w:t>
      </w:r>
      <w:r w:rsidR="00C63F8F" w:rsidRPr="00E27443">
        <w:t xml:space="preserve"> </w:t>
      </w:r>
      <w:r w:rsidRPr="00E27443">
        <w:t>earthquake</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Haiti</w:t>
          </w:r>
        </w:smartTag>
      </w:smartTag>
      <w:r w:rsidRPr="00E27443">
        <w:t>.</w:t>
      </w:r>
      <w:r w:rsidR="00C63F8F" w:rsidRPr="00E27443">
        <w:t xml:space="preserve"> </w:t>
      </w:r>
    </w:p>
    <w:p w:rsidR="00321ADA" w:rsidRPr="00E27443" w:rsidRDefault="00321ADA" w:rsidP="00877AB3">
      <w:pPr>
        <w:pStyle w:val="SingleTxtG"/>
        <w:numPr>
          <w:ilvl w:val="0"/>
          <w:numId w:val="20"/>
        </w:numPr>
        <w:tabs>
          <w:tab w:val="left" w:pos="1843"/>
        </w:tabs>
        <w:ind w:left="1134" w:firstLine="0"/>
      </w:pPr>
      <w:r w:rsidRPr="00E27443">
        <w:t>For</w:t>
      </w:r>
      <w:r w:rsidR="00C63F8F" w:rsidRPr="00E27443">
        <w:t xml:space="preserve"> </w:t>
      </w:r>
      <w:r w:rsidRPr="00E27443">
        <w:t>the</w:t>
      </w:r>
      <w:r w:rsidR="00C63F8F" w:rsidRPr="00E27443">
        <w:t xml:space="preserve"> </w:t>
      </w:r>
      <w:r w:rsidRPr="00E27443">
        <w:t>Swedish</w:t>
      </w:r>
      <w:r w:rsidR="00C63F8F" w:rsidRPr="00E27443">
        <w:t xml:space="preserve"> </w:t>
      </w:r>
      <w:r w:rsidRPr="00E27443">
        <w:t>Government,</w:t>
      </w:r>
      <w:r w:rsidR="00C63F8F" w:rsidRPr="00E27443">
        <w:t xml:space="preserve"> </w:t>
      </w:r>
      <w:r w:rsidRPr="00E27443">
        <w:t>it</w:t>
      </w:r>
      <w:r w:rsidR="00C63F8F" w:rsidRPr="00E27443">
        <w:t xml:space="preserve"> </w:t>
      </w:r>
      <w:r w:rsidRPr="00E27443">
        <w:t>is</w:t>
      </w:r>
      <w:r w:rsidR="00C63F8F" w:rsidRPr="00E27443">
        <w:t xml:space="preserve"> </w:t>
      </w:r>
      <w:r w:rsidRPr="00E27443">
        <w:t>important</w:t>
      </w:r>
      <w:r w:rsidR="00C63F8F" w:rsidRPr="00E27443">
        <w:t xml:space="preserve"> </w:t>
      </w:r>
      <w:r w:rsidRPr="00E27443">
        <w:t>for</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to</w:t>
      </w:r>
      <w:r w:rsidR="00C63F8F" w:rsidRPr="00E27443">
        <w:t xml:space="preserve"> </w:t>
      </w:r>
      <w:r w:rsidRPr="00E27443">
        <w:t>be</w:t>
      </w:r>
      <w:r w:rsidR="00C63F8F" w:rsidRPr="00E27443">
        <w:t xml:space="preserve"> </w:t>
      </w:r>
      <w:r w:rsidRPr="00E27443">
        <w:t>a</w:t>
      </w:r>
      <w:r w:rsidR="00C63F8F" w:rsidRPr="00E27443">
        <w:t xml:space="preserve"> </w:t>
      </w:r>
      <w:r w:rsidRPr="00E27443">
        <w:t>part</w:t>
      </w:r>
      <w:r w:rsidR="00C63F8F" w:rsidRPr="00E27443">
        <w:t xml:space="preserve"> </w:t>
      </w:r>
      <w:r w:rsidRPr="00E27443">
        <w:t>of</w:t>
      </w:r>
      <w:r w:rsidR="00C63F8F" w:rsidRPr="00E27443">
        <w:t xml:space="preserve"> </w:t>
      </w:r>
      <w:r w:rsidRPr="00E27443">
        <w:t>all</w:t>
      </w:r>
      <w:r w:rsidR="00C63F8F" w:rsidRPr="00E27443">
        <w:t xml:space="preserve"> </w:t>
      </w:r>
      <w:r w:rsidRPr="00E27443">
        <w:t>policy</w:t>
      </w:r>
      <w:r w:rsidR="00C63F8F" w:rsidRPr="00E27443">
        <w:t xml:space="preserve"> </w:t>
      </w:r>
      <w:r w:rsidRPr="00E27443">
        <w:t>areas,</w:t>
      </w:r>
      <w:r w:rsidR="00C63F8F" w:rsidRPr="00E27443">
        <w:t xml:space="preserve"> </w:t>
      </w:r>
      <w:r w:rsidRPr="00E27443">
        <w:t>and</w:t>
      </w:r>
      <w:r w:rsidR="00C63F8F" w:rsidRPr="00E27443">
        <w:t xml:space="preserve"> </w:t>
      </w:r>
      <w:r w:rsidRPr="00E27443">
        <w:t>not</w:t>
      </w:r>
      <w:r w:rsidR="00C63F8F" w:rsidRPr="00E27443">
        <w:t xml:space="preserve"> </w:t>
      </w:r>
      <w:r w:rsidRPr="00E27443">
        <w:t>to</w:t>
      </w:r>
      <w:r w:rsidR="00C63F8F" w:rsidRPr="00E27443">
        <w:t xml:space="preserve"> </w:t>
      </w:r>
      <w:r w:rsidRPr="00E27443">
        <w:t>be</w:t>
      </w:r>
      <w:r w:rsidR="00C63F8F" w:rsidRPr="00E27443">
        <w:t xml:space="preserve"> </w:t>
      </w:r>
      <w:r w:rsidRPr="00E27443">
        <w:t>treated</w:t>
      </w:r>
      <w:r w:rsidR="00C63F8F" w:rsidRPr="00E27443">
        <w:t xml:space="preserve"> </w:t>
      </w:r>
      <w:r w:rsidRPr="00E27443">
        <w:t>separately.</w:t>
      </w:r>
      <w:r w:rsidR="00C63F8F" w:rsidRPr="00E27443">
        <w:t xml:space="preserve"> </w:t>
      </w:r>
      <w:smartTag w:uri="urn:schemas-microsoft-com:office:smarttags" w:element="country-region">
        <w:r w:rsidRPr="00E27443">
          <w:t>Sweden</w:t>
        </w:r>
      </w:smartTag>
      <w:r w:rsidR="00C63F8F" w:rsidRPr="00E27443">
        <w:t xml:space="preserve"> </w:t>
      </w:r>
      <w:r w:rsidRPr="00E27443">
        <w:t>therefore</w:t>
      </w:r>
      <w:r w:rsidR="00C63F8F" w:rsidRPr="00E27443">
        <w:t xml:space="preserve"> </w:t>
      </w:r>
      <w:r w:rsidRPr="00E27443">
        <w:t>deals</w:t>
      </w:r>
      <w:r w:rsidR="00C63F8F" w:rsidRPr="00E27443">
        <w:t xml:space="preserve"> </w:t>
      </w:r>
      <w:r w:rsidRPr="00E27443">
        <w:t>with</w:t>
      </w:r>
      <w:r w:rsidR="00C63F8F" w:rsidRPr="00E27443">
        <w:t xml:space="preserve"> </w:t>
      </w:r>
      <w:r w:rsidRPr="00E27443">
        <w:t>the</w:t>
      </w:r>
      <w:r w:rsidR="00C63F8F" w:rsidRPr="00E27443">
        <w:t xml:space="preserve"> </w:t>
      </w:r>
      <w:r w:rsidRPr="00E27443">
        <w:t>issue</w:t>
      </w:r>
      <w:r w:rsidR="00C63F8F" w:rsidRPr="00E27443">
        <w:t xml:space="preserve"> </w:t>
      </w:r>
      <w:r w:rsidRPr="00E27443">
        <w:t>of</w:t>
      </w:r>
      <w:r w:rsidR="00C63F8F" w:rsidRPr="00E27443">
        <w:t xml:space="preserve"> </w:t>
      </w:r>
      <w:r w:rsidRPr="00E27443">
        <w:t>rights</w:t>
      </w:r>
      <w:r w:rsidR="00C63F8F" w:rsidRPr="00E27443">
        <w:t xml:space="preserve"> </w:t>
      </w:r>
      <w:r w:rsidRPr="00E27443">
        <w:t>for</w:t>
      </w:r>
      <w:r w:rsidR="00C63F8F" w:rsidRPr="00E27443">
        <w:t xml:space="preserve"> </w:t>
      </w:r>
      <w:r w:rsidRPr="00E27443">
        <w:t>persons</w:t>
      </w:r>
      <w:r w:rsidR="00C63F8F" w:rsidRPr="00E27443">
        <w:t xml:space="preserve"> </w:t>
      </w:r>
      <w:r w:rsidRPr="00E27443">
        <w:t>with</w:t>
      </w:r>
      <w:r w:rsidR="00C63F8F" w:rsidRPr="00E27443">
        <w:t xml:space="preserve"> </w:t>
      </w:r>
      <w:r w:rsidRPr="00E27443">
        <w:t>disabilities</w:t>
      </w:r>
      <w:r w:rsidR="00C63F8F" w:rsidRPr="00E27443">
        <w:t xml:space="preserve"> </w:t>
      </w:r>
      <w:r w:rsidRPr="00E27443">
        <w:t>within</w:t>
      </w:r>
      <w:r w:rsidR="00C63F8F" w:rsidRPr="00E27443">
        <w:t xml:space="preserve"> </w:t>
      </w:r>
      <w:r w:rsidRPr="00E27443">
        <w:t>the</w:t>
      </w:r>
      <w:r w:rsidR="00C63F8F" w:rsidRPr="00E27443">
        <w:t xml:space="preserve"> </w:t>
      </w:r>
      <w:r w:rsidRPr="00E27443">
        <w:t>framework</w:t>
      </w:r>
      <w:r w:rsidR="00C63F8F" w:rsidRPr="00E27443">
        <w:t xml:space="preserve"> </w:t>
      </w:r>
      <w:r w:rsidRPr="00E27443">
        <w:t>of</w:t>
      </w:r>
      <w:r w:rsidR="00C63F8F" w:rsidRPr="00E27443">
        <w:t xml:space="preserve"> </w:t>
      </w:r>
      <w:r w:rsidRPr="00E27443">
        <w:t>bilateral</w:t>
      </w:r>
      <w:r w:rsidR="00C63F8F" w:rsidRPr="00E27443">
        <w:t xml:space="preserve"> </w:t>
      </w:r>
      <w:r w:rsidRPr="00E27443">
        <w:t>and</w:t>
      </w:r>
      <w:r w:rsidR="00C63F8F" w:rsidRPr="00E27443">
        <w:t xml:space="preserve"> </w:t>
      </w:r>
      <w:r w:rsidRPr="00E27443">
        <w:t>regional</w:t>
      </w:r>
      <w:r w:rsidR="00C63F8F" w:rsidRPr="00E27443">
        <w:t xml:space="preserve"> </w:t>
      </w:r>
      <w:r w:rsidRPr="00E27443">
        <w:t>dialogues</w:t>
      </w:r>
      <w:r w:rsidR="00C63F8F" w:rsidRPr="00E27443">
        <w:t xml:space="preserve"> </w:t>
      </w:r>
      <w:r w:rsidRPr="00E27443">
        <w:t>regarding</w:t>
      </w:r>
      <w:r w:rsidR="00C63F8F" w:rsidRPr="00E27443">
        <w:t xml:space="preserve"> </w:t>
      </w:r>
      <w:r w:rsidRPr="00E27443">
        <w:t>human</w:t>
      </w:r>
      <w:r w:rsidR="00C63F8F" w:rsidRPr="00E27443">
        <w:t xml:space="preserve"> </w:t>
      </w:r>
      <w:r w:rsidRPr="00E27443">
        <w:t>rights</w:t>
      </w:r>
      <w:r w:rsidR="00C63F8F" w:rsidRPr="00E27443">
        <w:t xml:space="preserve"> </w:t>
      </w:r>
      <w:r w:rsidRPr="00E27443">
        <w:t>(for</w:t>
      </w:r>
      <w:r w:rsidR="00C63F8F" w:rsidRPr="00E27443">
        <w:t xml:space="preserve"> </w:t>
      </w:r>
      <w:r w:rsidRPr="00E27443">
        <w:t>example</w:t>
      </w:r>
      <w:r w:rsidR="00C63F8F" w:rsidRPr="00E27443">
        <w:t xml:space="preserve"> </w:t>
      </w:r>
      <w:r w:rsidRPr="00E27443">
        <w:t>with</w:t>
      </w:r>
      <w:r w:rsidR="00C63F8F" w:rsidRPr="00E27443">
        <w:t xml:space="preserve"> </w:t>
      </w:r>
      <w:r w:rsidRPr="00E27443">
        <w:t>the</w:t>
      </w:r>
      <w:r w:rsidR="00C63F8F" w:rsidRPr="00E27443">
        <w:t xml:space="preserve"> </w:t>
      </w:r>
      <w:r w:rsidRPr="00E27443">
        <w:t>African</w:t>
      </w:r>
      <w:r w:rsidR="00C63F8F" w:rsidRPr="00E27443">
        <w:t xml:space="preserve"> </w:t>
      </w:r>
      <w:r w:rsidRPr="00E27443">
        <w:t>Union,</w:t>
      </w:r>
      <w:r w:rsidR="00C63F8F" w:rsidRPr="00E27443">
        <w:t xml:space="preserve"> </w:t>
      </w:r>
      <w:smartTag w:uri="urn:schemas-microsoft-com:office:smarttags" w:element="country-region">
        <w:r w:rsidRPr="00E27443">
          <w:t>China</w:t>
        </w:r>
      </w:smartTag>
      <w:r w:rsidRPr="00E27443">
        <w:t>,</w:t>
      </w:r>
      <w:r w:rsidR="00C63F8F" w:rsidRPr="00E27443">
        <w:t xml:space="preserve"> </w:t>
      </w:r>
      <w:smartTag w:uri="urn:schemas-microsoft-com:office:smarttags" w:element="country-region">
        <w:r w:rsidRPr="00E27443">
          <w:t>India</w:t>
        </w:r>
      </w:smartTag>
      <w:r w:rsidRPr="00E27443">
        <w:t>,</w:t>
      </w:r>
      <w:r w:rsidR="00C63F8F" w:rsidRPr="00E27443">
        <w:t xml:space="preserve"> </w:t>
      </w:r>
      <w:smartTag w:uri="urn:schemas-microsoft-com:office:smarttags" w:element="place">
        <w:smartTag w:uri="urn:schemas-microsoft-com:office:smarttags" w:element="country-region">
          <w:r w:rsidRPr="00E27443">
            <w:t>Indonesia</w:t>
          </w:r>
        </w:smartTag>
      </w:smartTag>
      <w:r w:rsidRPr="00E27443">
        <w:t>,</w:t>
      </w:r>
      <w:r w:rsidR="00C63F8F" w:rsidRPr="00E27443">
        <w:t xml:space="preserve"> </w:t>
      </w:r>
      <w:r w:rsidRPr="00E27443">
        <w:t>etc.).</w:t>
      </w:r>
      <w:r w:rsidR="00C63F8F" w:rsidRPr="00E27443">
        <w:t xml:space="preserve"> </w:t>
      </w:r>
    </w:p>
    <w:p w:rsidR="00321ADA" w:rsidRPr="00E27443" w:rsidRDefault="00321ADA" w:rsidP="00877AB3">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participates</w:t>
      </w:r>
      <w:r w:rsidR="00C63F8F" w:rsidRPr="00E27443">
        <w:t xml:space="preserve"> </w:t>
      </w:r>
      <w:r w:rsidRPr="00E27443">
        <w:t>actively</w:t>
      </w:r>
      <w:r w:rsidR="00C63F8F" w:rsidRPr="00E27443">
        <w:t xml:space="preserve"> </w:t>
      </w:r>
      <w:r w:rsidRPr="00E27443">
        <w:t>in</w:t>
      </w:r>
      <w:r w:rsidR="00C63F8F" w:rsidRPr="00E27443">
        <w:t xml:space="preserve"> </w:t>
      </w:r>
      <w:r w:rsidRPr="00E27443">
        <w:t>the</w:t>
      </w:r>
      <w:r w:rsidR="00C63F8F" w:rsidRPr="00E27443">
        <w:t xml:space="preserve"> </w:t>
      </w:r>
      <w:r w:rsidRPr="00E27443">
        <w:t>work</w:t>
      </w:r>
      <w:r w:rsidR="00C63F8F" w:rsidRPr="00E27443">
        <w:t xml:space="preserve"> </w:t>
      </w:r>
      <w:r w:rsidRPr="00E27443">
        <w:t>in</w:t>
      </w:r>
      <w:r w:rsidR="00C63F8F" w:rsidRPr="00E27443">
        <w:t xml:space="preserve"> </w:t>
      </w:r>
      <w:r w:rsidRPr="00E27443">
        <w:t>this</w:t>
      </w:r>
      <w:r w:rsidR="00C63F8F" w:rsidRPr="00E27443">
        <w:t xml:space="preserve"> </w:t>
      </w:r>
      <w:r w:rsidRPr="00E27443">
        <w:t>area</w:t>
      </w:r>
      <w:r w:rsidR="00C63F8F" w:rsidRPr="00E27443">
        <w:t xml:space="preserve"> </w:t>
      </w:r>
      <w:r w:rsidRPr="00E27443">
        <w:t>within</w:t>
      </w:r>
      <w:r w:rsidR="00C63F8F" w:rsidRPr="00E27443">
        <w:t xml:space="preserve"> </w:t>
      </w:r>
      <w:r w:rsidRPr="00E27443">
        <w:t>the</w:t>
      </w:r>
      <w:r w:rsidR="00C63F8F" w:rsidRPr="00E27443">
        <w:t xml:space="preserve"> </w:t>
      </w:r>
      <w:r w:rsidRPr="00E27443">
        <w:t>UN</w:t>
      </w:r>
      <w:r w:rsidR="00C63F8F" w:rsidRPr="00E27443">
        <w:t xml:space="preserve"> </w:t>
      </w:r>
      <w:r w:rsidRPr="00E27443">
        <w:t>General</w:t>
      </w:r>
      <w:r w:rsidR="00C63F8F" w:rsidRPr="00E27443">
        <w:t xml:space="preserve"> </w:t>
      </w:r>
      <w:r w:rsidRPr="00E27443">
        <w:t>Assembly</w:t>
      </w:r>
      <w:r w:rsidR="00C63F8F" w:rsidRPr="00E27443">
        <w:t xml:space="preserve"> </w:t>
      </w:r>
      <w:r w:rsidRPr="00E27443">
        <w:t>and</w:t>
      </w:r>
      <w:r w:rsidR="00C63F8F" w:rsidRPr="00E27443">
        <w:t xml:space="preserve"> </w:t>
      </w:r>
      <w:r w:rsidRPr="00E27443">
        <w:t>the</w:t>
      </w:r>
      <w:r w:rsidR="00C63F8F" w:rsidRPr="00E27443">
        <w:t xml:space="preserve"> </w:t>
      </w:r>
      <w:r w:rsidRPr="00E27443">
        <w:t>Human</w:t>
      </w:r>
      <w:r w:rsidR="00C63F8F" w:rsidRPr="00E27443">
        <w:t xml:space="preserve"> </w:t>
      </w:r>
      <w:r w:rsidRPr="00E27443">
        <w:t>Rights</w:t>
      </w:r>
      <w:r w:rsidR="00C63F8F" w:rsidRPr="00E27443">
        <w:t xml:space="preserve"> </w:t>
      </w:r>
      <w:r w:rsidRPr="00E27443">
        <w:t>Council,</w:t>
      </w:r>
      <w:r w:rsidR="00C63F8F" w:rsidRPr="00E27443">
        <w:t xml:space="preserve"> </w:t>
      </w:r>
      <w:r w:rsidRPr="00E27443">
        <w:t>for</w:t>
      </w:r>
      <w:r w:rsidR="00C63F8F" w:rsidRPr="00E27443">
        <w:t xml:space="preserve"> </w:t>
      </w:r>
      <w:r w:rsidRPr="00E27443">
        <w:t>example</w:t>
      </w:r>
      <w:r w:rsidR="00C63F8F" w:rsidRPr="00E27443">
        <w:t xml:space="preserve"> </w:t>
      </w:r>
      <w:r w:rsidRPr="00E27443">
        <w:t>by</w:t>
      </w:r>
      <w:r w:rsidR="00C63F8F" w:rsidRPr="00E27443">
        <w:t xml:space="preserve"> </w:t>
      </w:r>
      <w:r w:rsidRPr="00E27443">
        <w:t>supporting</w:t>
      </w:r>
      <w:r w:rsidR="00C63F8F" w:rsidRPr="00E27443">
        <w:t xml:space="preserve"> </w:t>
      </w:r>
      <w:r w:rsidRPr="00E27443">
        <w:t>the</w:t>
      </w:r>
      <w:r w:rsidR="00C63F8F" w:rsidRPr="00E27443">
        <w:t xml:space="preserve"> </w:t>
      </w:r>
      <w:r w:rsidRPr="00E27443">
        <w:t>General</w:t>
      </w:r>
      <w:r w:rsidR="00C63F8F" w:rsidRPr="00E27443">
        <w:t xml:space="preserve"> </w:t>
      </w:r>
      <w:r w:rsidRPr="00E27443">
        <w:t>Assembly</w:t>
      </w:r>
      <w:r w:rsidR="00C63F8F" w:rsidRPr="00E27443">
        <w:t>’</w:t>
      </w:r>
      <w:r w:rsidRPr="00E27443">
        <w:t>s</w:t>
      </w:r>
      <w:r w:rsidR="00C63F8F" w:rsidRPr="00E27443">
        <w:t xml:space="preserve"> </w:t>
      </w:r>
      <w:r w:rsidRPr="00E27443">
        <w:t>recurring</w:t>
      </w:r>
      <w:r w:rsidR="00C63F8F" w:rsidRPr="00E27443">
        <w:t xml:space="preserve"> </w:t>
      </w:r>
      <w:r w:rsidRPr="00E27443">
        <w:t>resolution</w:t>
      </w:r>
      <w:r w:rsidR="00C63F8F" w:rsidRPr="00E27443">
        <w:t xml:space="preserve"> </w:t>
      </w:r>
      <w:r w:rsidRPr="00E27443">
        <w:t>regarding</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on</w:t>
      </w:r>
      <w:r w:rsidR="00C63F8F" w:rsidRPr="00E27443">
        <w:t xml:space="preserve"> </w:t>
      </w:r>
      <w:r w:rsidRPr="00E27443">
        <w:t>the</w:t>
      </w:r>
      <w:r w:rsidR="00C63F8F" w:rsidRPr="00E27443">
        <w:t xml:space="preserve"> </w:t>
      </w:r>
      <w:r w:rsidRPr="00E27443">
        <w:t>Rights</w:t>
      </w:r>
      <w:r w:rsidR="00C63F8F" w:rsidRPr="00E27443">
        <w:t xml:space="preserve"> </w:t>
      </w:r>
      <w:r w:rsidRPr="00E27443">
        <w:t>of</w:t>
      </w:r>
      <w:r w:rsidR="00C63F8F" w:rsidRPr="00E27443">
        <w:t xml:space="preserve"> </w:t>
      </w:r>
      <w:r w:rsidRPr="00E27443">
        <w:t>Persons</w:t>
      </w:r>
      <w:r w:rsidR="00C63F8F" w:rsidRPr="00E27443">
        <w:t xml:space="preserve"> </w:t>
      </w:r>
      <w:r w:rsidRPr="00E27443">
        <w:t>with</w:t>
      </w:r>
      <w:r w:rsidR="00C63F8F" w:rsidRPr="00E27443">
        <w:t xml:space="preserve"> </w:t>
      </w:r>
      <w:r w:rsidR="00C56B1C" w:rsidRPr="00E27443">
        <w:t>Disabi</w:t>
      </w:r>
      <w:r w:rsidRPr="00E27443">
        <w:t>lities.</w:t>
      </w:r>
    </w:p>
    <w:p w:rsidR="00321ADA" w:rsidRPr="00E27443" w:rsidRDefault="00321ADA" w:rsidP="00877AB3">
      <w:pPr>
        <w:pStyle w:val="SingleTxtG"/>
        <w:numPr>
          <w:ilvl w:val="0"/>
          <w:numId w:val="20"/>
        </w:numPr>
        <w:tabs>
          <w:tab w:val="left" w:pos="1843"/>
        </w:tabs>
        <w:ind w:left="1134" w:firstLine="0"/>
      </w:pPr>
      <w:smartTag w:uri="urn:schemas-microsoft-com:office:smarttags" w:element="place">
        <w:smartTag w:uri="urn:schemas-microsoft-com:office:smarttags" w:element="country-region">
          <w:r w:rsidRPr="00E27443">
            <w:t>Sweden</w:t>
          </w:r>
        </w:smartTag>
      </w:smartTag>
      <w:r w:rsidR="00C63F8F" w:rsidRPr="00E27443">
        <w:t xml:space="preserve"> </w:t>
      </w:r>
      <w:r w:rsidRPr="00E27443">
        <w:t>has</w:t>
      </w:r>
      <w:r w:rsidR="00C63F8F" w:rsidRPr="00E27443">
        <w:t xml:space="preserve"> </w:t>
      </w:r>
      <w:r w:rsidRPr="00E27443">
        <w:t>also</w:t>
      </w:r>
      <w:r w:rsidR="00C63F8F" w:rsidRPr="00E27443">
        <w:t xml:space="preserve"> </w:t>
      </w:r>
      <w:r w:rsidRPr="00E27443">
        <w:t>provided</w:t>
      </w:r>
      <w:r w:rsidR="00C63F8F" w:rsidRPr="00E27443">
        <w:t xml:space="preserve"> </w:t>
      </w:r>
      <w:r w:rsidRPr="00E27443">
        <w:t>financial</w:t>
      </w:r>
      <w:r w:rsidR="00C63F8F" w:rsidRPr="00E27443">
        <w:t xml:space="preserve"> </w:t>
      </w:r>
      <w:r w:rsidRPr="00E27443">
        <w:t>support</w:t>
      </w:r>
      <w:r w:rsidR="00C63F8F" w:rsidRPr="00E27443">
        <w:t xml:space="preserve"> </w:t>
      </w:r>
      <w:r w:rsidRPr="00E27443">
        <w:t>to</w:t>
      </w:r>
      <w:r w:rsidR="00C63F8F" w:rsidRPr="00E27443">
        <w:t xml:space="preserve"> </w:t>
      </w:r>
      <w:r w:rsidRPr="00E27443">
        <w:t>the</w:t>
      </w:r>
      <w:r w:rsidR="00C63F8F" w:rsidRPr="00E27443">
        <w:t xml:space="preserve"> </w:t>
      </w:r>
      <w:r w:rsidRPr="00E27443">
        <w:t>UN</w:t>
      </w:r>
      <w:r w:rsidR="00C63F8F" w:rsidRPr="00E27443">
        <w:t>’</w:t>
      </w:r>
      <w:r w:rsidRPr="00E27443">
        <w:t>s</w:t>
      </w:r>
      <w:r w:rsidR="00C63F8F" w:rsidRPr="00E27443">
        <w:t xml:space="preserve"> </w:t>
      </w:r>
      <w:r w:rsidRPr="00E27443">
        <w:t>special</w:t>
      </w:r>
      <w:r w:rsidR="00C63F8F" w:rsidRPr="00E27443">
        <w:t xml:space="preserve"> </w:t>
      </w:r>
      <w:r w:rsidRPr="00E27443">
        <w:t>rapporteur</w:t>
      </w:r>
      <w:r w:rsidR="00C63F8F" w:rsidRPr="00E27443">
        <w:t xml:space="preserve"> </w:t>
      </w:r>
      <w:r w:rsidRPr="00E27443">
        <w:t>on</w:t>
      </w:r>
      <w:r w:rsidR="00C63F8F" w:rsidRPr="00E27443">
        <w:t xml:space="preserve"> </w:t>
      </w:r>
      <w:r w:rsidRPr="00E27443">
        <w:t>disability.</w:t>
      </w:r>
    </w:p>
    <w:p w:rsidR="00321ADA" w:rsidRPr="00E27443" w:rsidRDefault="00321ADA" w:rsidP="00877AB3">
      <w:pPr>
        <w:pStyle w:val="SingleTxtG"/>
        <w:numPr>
          <w:ilvl w:val="0"/>
          <w:numId w:val="20"/>
        </w:numPr>
        <w:tabs>
          <w:tab w:val="left" w:pos="1843"/>
        </w:tabs>
        <w:ind w:left="1134" w:firstLine="0"/>
      </w:pPr>
      <w:r w:rsidRPr="00E27443">
        <w:t>Internationally</w:t>
      </w:r>
      <w:r w:rsidR="00C63F8F" w:rsidRPr="00E27443">
        <w:t xml:space="preserve"> </w:t>
      </w:r>
      <w:r w:rsidRPr="00E27443">
        <w:t>speaking,</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is</w:t>
      </w:r>
      <w:r w:rsidR="00C63F8F" w:rsidRPr="00E27443">
        <w:t xml:space="preserve"> </w:t>
      </w:r>
      <w:r w:rsidRPr="00E27443">
        <w:t>well</w:t>
      </w:r>
      <w:r w:rsidR="00C63F8F" w:rsidRPr="00E27443">
        <w:t xml:space="preserve"> </w:t>
      </w:r>
      <w:r w:rsidRPr="00E27443">
        <w:t>advanced</w:t>
      </w:r>
      <w:r w:rsidR="00C63F8F" w:rsidRPr="00E27443">
        <w:t xml:space="preserve"> </w:t>
      </w:r>
      <w:r w:rsidRPr="00E27443">
        <w:t>in</w:t>
      </w:r>
      <w:r w:rsidR="00C63F8F" w:rsidRPr="00E27443">
        <w:t xml:space="preserve"> </w:t>
      </w:r>
      <w:r w:rsidRPr="00E27443">
        <w:t>the</w:t>
      </w:r>
      <w:r w:rsidR="00C63F8F" w:rsidRPr="00E27443">
        <w:t xml:space="preserve"> </w:t>
      </w:r>
      <w:r w:rsidRPr="00E27443">
        <w:t>use</w:t>
      </w:r>
      <w:r w:rsidR="00C63F8F" w:rsidRPr="00E27443">
        <w:t xml:space="preserve"> </w:t>
      </w:r>
      <w:r w:rsidRPr="00E27443">
        <w:t>of</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There</w:t>
      </w:r>
      <w:r w:rsidR="00C63F8F" w:rsidRPr="00E27443">
        <w:t xml:space="preserve"> </w:t>
      </w:r>
      <w:r w:rsidRPr="00E27443">
        <w:t>is</w:t>
      </w:r>
      <w:r w:rsidR="00C63F8F" w:rsidRPr="00E27443">
        <w:t xml:space="preserve"> </w:t>
      </w:r>
      <w:r w:rsidRPr="00E27443">
        <w:t>therefore</w:t>
      </w:r>
      <w:r w:rsidR="00C63F8F" w:rsidRPr="00E27443">
        <w:t xml:space="preserve"> </w:t>
      </w:r>
      <w:r w:rsidRPr="00E27443">
        <w:t>international</w:t>
      </w:r>
      <w:r w:rsidR="00C63F8F" w:rsidRPr="00E27443">
        <w:t xml:space="preserve"> </w:t>
      </w:r>
      <w:r w:rsidRPr="00E27443">
        <w:t>interest</w:t>
      </w:r>
      <w:r w:rsidR="00C63F8F" w:rsidRPr="00E27443">
        <w:t xml:space="preserve"> </w:t>
      </w:r>
      <w:r w:rsidRPr="00E27443">
        <w:t>in</w:t>
      </w:r>
      <w:r w:rsidR="00C63F8F" w:rsidRPr="00E27443">
        <w:t xml:space="preserve"> </w:t>
      </w:r>
      <w:r w:rsidRPr="00E27443">
        <w:t>Swedish</w:t>
      </w:r>
      <w:r w:rsidR="00C63F8F" w:rsidRPr="00E27443">
        <w:t xml:space="preserve"> </w:t>
      </w:r>
      <w:r w:rsidRPr="00E27443">
        <w:t>products</w:t>
      </w:r>
      <w:r w:rsidR="00C63F8F" w:rsidRPr="00E27443">
        <w:t xml:space="preserve"> </w:t>
      </w:r>
      <w:r w:rsidRPr="00E27443">
        <w:t>and</w:t>
      </w:r>
      <w:r w:rsidR="00C63F8F" w:rsidRPr="00E27443">
        <w:t xml:space="preserve"> </w:t>
      </w:r>
      <w:r w:rsidRPr="00E27443">
        <w:t>expertise</w:t>
      </w:r>
      <w:r w:rsidR="00C63F8F" w:rsidRPr="00E27443">
        <w:t xml:space="preserve"> </w:t>
      </w:r>
      <w:r w:rsidRPr="00E27443">
        <w:t>in</w:t>
      </w:r>
      <w:r w:rsidR="00C63F8F" w:rsidRPr="00E27443">
        <w:t xml:space="preserve"> </w:t>
      </w:r>
      <w:r w:rsidRPr="00E27443">
        <w:t>the</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field.</w:t>
      </w:r>
      <w:r w:rsidR="00C63F8F" w:rsidRPr="00E27443">
        <w:t xml:space="preserve"> </w:t>
      </w:r>
      <w:r w:rsidRPr="00E27443">
        <w:t>The</w:t>
      </w:r>
      <w:r w:rsidR="00C63F8F" w:rsidRPr="00E27443">
        <w:t xml:space="preserve"> </w:t>
      </w:r>
      <w:r w:rsidRPr="00E27443">
        <w:t>Swedish</w:t>
      </w:r>
      <w:r w:rsidR="00C63F8F" w:rsidRPr="00E27443">
        <w:t xml:space="preserve"> </w:t>
      </w:r>
      <w:r w:rsidRPr="00E27443">
        <w:t>Institute</w:t>
      </w:r>
      <w:r w:rsidR="00C63F8F" w:rsidRPr="00E27443">
        <w:t xml:space="preserve"> </w:t>
      </w:r>
      <w:r w:rsidRPr="00E27443">
        <w:t>of</w:t>
      </w:r>
      <w:r w:rsidR="00C63F8F" w:rsidRPr="00E27443">
        <w:t xml:space="preserve"> </w:t>
      </w:r>
      <w:r w:rsidRPr="00E27443">
        <w:t>Assistive</w:t>
      </w:r>
      <w:r w:rsidR="00C63F8F" w:rsidRPr="00E27443">
        <w:t xml:space="preserve"> </w:t>
      </w:r>
      <w:r w:rsidRPr="00E27443">
        <w:t>Technology,</w:t>
      </w:r>
      <w:r w:rsidR="00C63F8F" w:rsidRPr="00E27443">
        <w:t xml:space="preserve"> </w:t>
      </w:r>
      <w:r w:rsidRPr="00E27443">
        <w:t>which</w:t>
      </w:r>
      <w:r w:rsidR="00C63F8F" w:rsidRPr="00E27443">
        <w:t xml:space="preserve"> </w:t>
      </w:r>
      <w:r w:rsidRPr="00E27443">
        <w:t>is</w:t>
      </w:r>
      <w:r w:rsidR="00C63F8F" w:rsidRPr="00E27443">
        <w:t xml:space="preserve"> </w:t>
      </w:r>
      <w:r w:rsidRPr="00E27443">
        <w:t>a</w:t>
      </w:r>
      <w:r w:rsidR="00C63F8F" w:rsidRPr="00E27443">
        <w:t xml:space="preserve"> </w:t>
      </w:r>
      <w:r w:rsidRPr="00E27443">
        <w:t>national</w:t>
      </w:r>
      <w:r w:rsidR="00C63F8F" w:rsidRPr="00E27443">
        <w:t xml:space="preserve"> </w:t>
      </w:r>
      <w:r w:rsidRPr="00E27443">
        <w:t>knowledge</w:t>
      </w:r>
      <w:r w:rsidR="00C63F8F" w:rsidRPr="00E27443">
        <w:t xml:space="preserve"> </w:t>
      </w:r>
      <w:r w:rsidRPr="00E27443">
        <w:t>centre,</w:t>
      </w:r>
      <w:r w:rsidR="00C63F8F" w:rsidRPr="00E27443">
        <w:t xml:space="preserve"> </w:t>
      </w:r>
      <w:r w:rsidRPr="00E27443">
        <w:t>exchanges</w:t>
      </w:r>
      <w:r w:rsidR="00C63F8F" w:rsidRPr="00E27443">
        <w:t xml:space="preserve"> </w:t>
      </w:r>
      <w:r w:rsidRPr="00E27443">
        <w:t>knowledge</w:t>
      </w:r>
      <w:r w:rsidR="00C63F8F" w:rsidRPr="00E27443">
        <w:t xml:space="preserve"> </w:t>
      </w:r>
      <w:r w:rsidRPr="00E27443">
        <w:t>with</w:t>
      </w:r>
      <w:r w:rsidR="00C63F8F" w:rsidRPr="00E27443">
        <w:t xml:space="preserve"> </w:t>
      </w:r>
      <w:r w:rsidRPr="00E27443">
        <w:t>other</w:t>
      </w:r>
      <w:r w:rsidR="00C63F8F" w:rsidRPr="00E27443">
        <w:t xml:space="preserve"> </w:t>
      </w:r>
      <w:r w:rsidRPr="00E27443">
        <w:t>countries</w:t>
      </w:r>
      <w:r w:rsidR="00C63F8F" w:rsidRPr="00E27443">
        <w:t xml:space="preserve"> </w:t>
      </w:r>
      <w:r w:rsidRPr="00E27443">
        <w:t>in</w:t>
      </w:r>
      <w:r w:rsidR="00C63F8F" w:rsidRPr="00E27443">
        <w:t xml:space="preserve"> </w:t>
      </w:r>
      <w:r w:rsidRPr="00E27443">
        <w:t>the</w:t>
      </w:r>
      <w:r w:rsidR="00C63F8F" w:rsidRPr="00E27443">
        <w:t xml:space="preserve"> </w:t>
      </w:r>
      <w:r w:rsidRPr="00E27443">
        <w:t>form</w:t>
      </w:r>
      <w:r w:rsidR="00C63F8F" w:rsidRPr="00E27443">
        <w:t xml:space="preserve"> </w:t>
      </w:r>
      <w:r w:rsidRPr="00E27443">
        <w:t>of</w:t>
      </w:r>
      <w:r w:rsidR="00C63F8F" w:rsidRPr="00E27443">
        <w:t xml:space="preserve"> </w:t>
      </w:r>
      <w:r w:rsidRPr="00E27443">
        <w:t>in</w:t>
      </w:r>
      <w:r w:rsidRPr="00E27443">
        <w:softHyphen/>
        <w:t>formation,</w:t>
      </w:r>
      <w:r w:rsidR="00C63F8F" w:rsidRPr="00E27443">
        <w:t xml:space="preserve"> </w:t>
      </w:r>
      <w:r w:rsidRPr="00E27443">
        <w:t>the</w:t>
      </w:r>
      <w:r w:rsidR="00C63F8F" w:rsidRPr="00E27443">
        <w:t xml:space="preserve"> </w:t>
      </w:r>
      <w:r w:rsidRPr="00E27443">
        <w:t>export</w:t>
      </w:r>
      <w:r w:rsidR="00C63F8F" w:rsidRPr="00E27443">
        <w:t xml:space="preserve"> </w:t>
      </w:r>
      <w:r w:rsidRPr="00E27443">
        <w:t>of</w:t>
      </w:r>
      <w:r w:rsidR="00C63F8F" w:rsidRPr="00E27443">
        <w:t xml:space="preserve"> </w:t>
      </w:r>
      <w:r w:rsidRPr="00E27443">
        <w:t>services</w:t>
      </w:r>
      <w:r w:rsidR="00C63F8F" w:rsidRPr="00E27443">
        <w:t xml:space="preserve"> </w:t>
      </w:r>
      <w:r w:rsidRPr="00E27443">
        <w:t>and</w:t>
      </w:r>
      <w:r w:rsidR="00C63F8F" w:rsidRPr="00E27443">
        <w:t xml:space="preserve"> </w:t>
      </w:r>
      <w:r w:rsidRPr="00E27443">
        <w:t>aid</w:t>
      </w:r>
      <w:r w:rsidR="00C63F8F" w:rsidRPr="00E27443">
        <w:t xml:space="preserve"> </w:t>
      </w:r>
      <w:r w:rsidRPr="00E27443">
        <w:t>work</w:t>
      </w:r>
      <w:r w:rsidR="00C63F8F" w:rsidRPr="00E27443">
        <w:t xml:space="preserve"> </w:t>
      </w:r>
      <w:r w:rsidRPr="00E27443">
        <w:t>on</w:t>
      </w:r>
      <w:r w:rsidR="00C63F8F" w:rsidRPr="00E27443">
        <w:t xml:space="preserve"> </w:t>
      </w:r>
      <w:r w:rsidRPr="00E27443">
        <w:t>a</w:t>
      </w:r>
      <w:r w:rsidR="00C63F8F" w:rsidRPr="00E27443">
        <w:t xml:space="preserve"> </w:t>
      </w:r>
      <w:r w:rsidRPr="00E27443">
        <w:t>consultancy</w:t>
      </w:r>
      <w:r w:rsidR="00C63F8F" w:rsidRPr="00E27443">
        <w:t xml:space="preserve"> </w:t>
      </w:r>
      <w:r w:rsidRPr="00E27443">
        <w:t>basis.</w:t>
      </w:r>
      <w:r w:rsidR="00C63F8F" w:rsidRPr="00E27443">
        <w:t xml:space="preserve"> </w:t>
      </w:r>
    </w:p>
    <w:p w:rsidR="00321ADA" w:rsidRPr="00E27443" w:rsidRDefault="00321ADA" w:rsidP="00877AB3">
      <w:pPr>
        <w:pStyle w:val="SingleTxtG"/>
        <w:numPr>
          <w:ilvl w:val="0"/>
          <w:numId w:val="20"/>
        </w:numPr>
        <w:tabs>
          <w:tab w:val="left" w:pos="1843"/>
        </w:tabs>
        <w:ind w:left="1134" w:firstLine="0"/>
      </w:pPr>
      <w:r w:rsidRPr="00E27443">
        <w:t>In</w:t>
      </w:r>
      <w:r w:rsidR="00C63F8F" w:rsidRPr="00E27443">
        <w:t xml:space="preserve"> </w:t>
      </w:r>
      <w:r w:rsidRPr="00E27443">
        <w:t>recent</w:t>
      </w:r>
      <w:r w:rsidR="00C63F8F" w:rsidRPr="00E27443">
        <w:t xml:space="preserve"> </w:t>
      </w:r>
      <w:r w:rsidRPr="00E27443">
        <w:t>years,</w:t>
      </w:r>
      <w:r w:rsidR="00C63F8F" w:rsidRPr="00E27443">
        <w:t xml:space="preserve"> </w:t>
      </w:r>
      <w:r w:rsidRPr="00E27443">
        <w:t>the</w:t>
      </w:r>
      <w:r w:rsidR="00C63F8F" w:rsidRPr="00E27443">
        <w:t xml:space="preserve"> </w:t>
      </w:r>
      <w:r w:rsidRPr="00E27443">
        <w:t>Institute</w:t>
      </w:r>
      <w:r w:rsidR="00C63F8F" w:rsidRPr="00E27443">
        <w:t xml:space="preserve"> </w:t>
      </w:r>
      <w:r w:rsidRPr="00E27443">
        <w:t>has</w:t>
      </w:r>
      <w:r w:rsidR="00C63F8F" w:rsidRPr="00E27443">
        <w:t xml:space="preserve"> </w:t>
      </w:r>
      <w:r w:rsidRPr="00E27443">
        <w:t>participated</w:t>
      </w:r>
      <w:r w:rsidR="00C63F8F" w:rsidRPr="00E27443">
        <w:t xml:space="preserve"> </w:t>
      </w:r>
      <w:r w:rsidRPr="00E27443">
        <w:t>in</w:t>
      </w:r>
      <w:r w:rsidR="00C63F8F" w:rsidRPr="00E27443">
        <w:t xml:space="preserve"> </w:t>
      </w:r>
      <w:r w:rsidRPr="00E27443">
        <w:t>aid</w:t>
      </w:r>
      <w:r w:rsidR="00C63F8F" w:rsidRPr="00E27443">
        <w:t xml:space="preserve"> </w:t>
      </w:r>
      <w:r w:rsidRPr="00E27443">
        <w:t>projects</w:t>
      </w:r>
      <w:r w:rsidR="00C63F8F" w:rsidRPr="00E27443">
        <w:t xml:space="preserve"> </w:t>
      </w:r>
      <w:r w:rsidRPr="00E27443">
        <w:t>with</w:t>
      </w:r>
      <w:r w:rsidR="00C63F8F" w:rsidRPr="00E27443">
        <w:t xml:space="preserve"> </w:t>
      </w:r>
      <w:r w:rsidRPr="00E27443">
        <w:t>the</w:t>
      </w:r>
      <w:r w:rsidR="00C63F8F" w:rsidRPr="00E27443">
        <w:t xml:space="preserve"> </w:t>
      </w:r>
      <w:r w:rsidRPr="00E27443">
        <w:t>support</w:t>
      </w:r>
      <w:r w:rsidR="00C63F8F" w:rsidRPr="00E27443">
        <w:t xml:space="preserve"> </w:t>
      </w:r>
      <w:r w:rsidRPr="00E27443">
        <w:t>of</w:t>
      </w:r>
      <w:r w:rsidR="00C63F8F" w:rsidRPr="00E27443">
        <w:t xml:space="preserve"> </w:t>
      </w:r>
      <w:r w:rsidRPr="00E27443">
        <w:t>Sida,</w:t>
      </w:r>
      <w:r w:rsidR="00C63F8F" w:rsidRPr="00E27443">
        <w:t xml:space="preserve"> </w:t>
      </w:r>
      <w:r w:rsidRPr="00E27443">
        <w:t>aimed</w:t>
      </w:r>
      <w:r w:rsidR="00C63F8F" w:rsidRPr="00E27443">
        <w:t xml:space="preserve"> </w:t>
      </w:r>
      <w:r w:rsidRPr="00E27443">
        <w:t>at</w:t>
      </w:r>
      <w:r w:rsidR="00C63F8F" w:rsidRPr="00E27443">
        <w:t xml:space="preserve"> </w:t>
      </w:r>
      <w:r w:rsidRPr="00E27443">
        <w:t>promoting</w:t>
      </w:r>
      <w:r w:rsidR="00C63F8F" w:rsidRPr="00E27443">
        <w:t xml:space="preserve"> </w:t>
      </w:r>
      <w:r w:rsidRPr="00E27443">
        <w:t>access</w:t>
      </w:r>
      <w:r w:rsidR="00C63F8F" w:rsidRPr="00E27443">
        <w:t xml:space="preserve"> </w:t>
      </w:r>
      <w:r w:rsidRPr="00E27443">
        <w:t>to</w:t>
      </w:r>
      <w:r w:rsidR="00C63F8F" w:rsidRPr="00E27443">
        <w:t xml:space="preserve"> </w:t>
      </w:r>
      <w:r w:rsidRPr="00E27443">
        <w:t>and</w:t>
      </w:r>
      <w:r w:rsidR="00C63F8F" w:rsidRPr="00E27443">
        <w:t xml:space="preserve"> </w:t>
      </w:r>
      <w:r w:rsidRPr="00E27443">
        <w:t>the</w:t>
      </w:r>
      <w:r w:rsidR="00C63F8F" w:rsidRPr="00E27443">
        <w:t xml:space="preserve"> </w:t>
      </w:r>
      <w:r w:rsidRPr="00E27443">
        <w:t>use</w:t>
      </w:r>
      <w:r w:rsidR="00C63F8F" w:rsidRPr="00E27443">
        <w:t xml:space="preserve"> </w:t>
      </w:r>
      <w:r w:rsidRPr="00E27443">
        <w:t>of</w:t>
      </w:r>
      <w:r w:rsidR="00C63F8F" w:rsidRPr="00E27443">
        <w:t xml:space="preserve"> </w:t>
      </w:r>
      <w:r w:rsidRPr="00E27443">
        <w:t>assistive</w:t>
      </w:r>
      <w:r w:rsidR="00C63F8F" w:rsidRPr="00E27443">
        <w:t xml:space="preserve"> </w:t>
      </w:r>
      <w:r w:rsidRPr="00E27443">
        <w:t>devices,</w:t>
      </w:r>
      <w:r w:rsidR="00C63F8F" w:rsidRPr="00E27443">
        <w:t xml:space="preserve"> </w:t>
      </w:r>
      <w:r w:rsidRPr="00E27443">
        <w:t>as</w:t>
      </w:r>
      <w:r w:rsidR="00C63F8F" w:rsidRPr="00E27443">
        <w:t xml:space="preserve"> </w:t>
      </w:r>
      <w:r w:rsidRPr="00E27443">
        <w:t>well</w:t>
      </w:r>
      <w:r w:rsidR="00C63F8F" w:rsidRPr="00E27443">
        <w:t xml:space="preserve"> </w:t>
      </w:r>
      <w:r w:rsidRPr="00E27443">
        <w:t>as</w:t>
      </w:r>
      <w:r w:rsidR="00C63F8F" w:rsidRPr="00E27443">
        <w:t xml:space="preserve"> </w:t>
      </w:r>
      <w:r w:rsidRPr="00E27443">
        <w:t>skills</w:t>
      </w:r>
      <w:r w:rsidR="00C63F8F" w:rsidRPr="00E27443">
        <w:t xml:space="preserve"> </w:t>
      </w:r>
      <w:r w:rsidRPr="00E27443">
        <w:t>development</w:t>
      </w:r>
      <w:r w:rsidR="00C63F8F" w:rsidRPr="00E27443">
        <w:t xml:space="preserve"> </w:t>
      </w:r>
      <w:r w:rsidRPr="00E27443">
        <w:t>for</w:t>
      </w:r>
      <w:r w:rsidR="00C63F8F" w:rsidRPr="00E27443">
        <w:t xml:space="preserve"> </w:t>
      </w:r>
      <w:r w:rsidRPr="00E27443">
        <w:t>example</w:t>
      </w:r>
      <w:r w:rsidR="00C63F8F" w:rsidRPr="00E27443">
        <w:t xml:space="preserve"> </w:t>
      </w:r>
      <w:r w:rsidRPr="00E27443">
        <w:t>in</w:t>
      </w:r>
      <w:r w:rsidR="00C63F8F" w:rsidRPr="00E27443">
        <w:t xml:space="preserve"> </w:t>
      </w:r>
      <w:r w:rsidRPr="00E27443">
        <w:t>Russia</w:t>
      </w:r>
      <w:r w:rsidR="00C63F8F" w:rsidRPr="00E27443">
        <w:t xml:space="preserve"> </w:t>
      </w:r>
      <w:r w:rsidRPr="00E27443">
        <w:t>and</w:t>
      </w:r>
      <w:r w:rsidR="00C63F8F" w:rsidRPr="00E27443">
        <w:t xml:space="preserve"> </w:t>
      </w:r>
      <w:r w:rsidRPr="00E27443">
        <w:t>West</w:t>
      </w:r>
      <w:r w:rsidR="00C63F8F" w:rsidRPr="00E27443">
        <w:t xml:space="preserve"> </w:t>
      </w:r>
      <w:r w:rsidRPr="00E27443">
        <w:t>Africa.</w:t>
      </w:r>
    </w:p>
    <w:p w:rsidR="00321ADA" w:rsidRPr="00E27443" w:rsidRDefault="00C56B1C" w:rsidP="00C56B1C">
      <w:pPr>
        <w:pStyle w:val="H1G"/>
      </w:pPr>
      <w:r w:rsidRPr="00E27443">
        <w:tab/>
      </w:r>
      <w:r w:rsidRPr="00E27443">
        <w:tab/>
      </w:r>
      <w:bookmarkStart w:id="39" w:name="_Toc290623322"/>
      <w:r w:rsidR="00321ADA" w:rsidRPr="00E27443">
        <w:t>Article</w:t>
      </w:r>
      <w:r w:rsidR="00C63F8F" w:rsidRPr="00E27443">
        <w:t xml:space="preserve"> </w:t>
      </w:r>
      <w:r w:rsidR="00321ADA" w:rsidRPr="00E27443">
        <w:t>33</w:t>
      </w:r>
      <w:r w:rsidR="00877AB3">
        <w:t>:</w:t>
      </w:r>
      <w:r w:rsidR="00C63F8F" w:rsidRPr="00E27443">
        <w:t xml:space="preserve"> </w:t>
      </w:r>
      <w:r w:rsidR="00321ADA" w:rsidRPr="00E27443">
        <w:t>National</w:t>
      </w:r>
      <w:r w:rsidR="00C63F8F" w:rsidRPr="00E27443">
        <w:t xml:space="preserve"> </w:t>
      </w:r>
      <w:r w:rsidR="00321ADA" w:rsidRPr="00E27443">
        <w:t>implementation</w:t>
      </w:r>
      <w:r w:rsidR="00C63F8F" w:rsidRPr="00E27443">
        <w:t xml:space="preserve"> </w:t>
      </w:r>
      <w:r w:rsidR="00321ADA" w:rsidRPr="00E27443">
        <w:t>and</w:t>
      </w:r>
      <w:r w:rsidR="00C63F8F" w:rsidRPr="00E27443">
        <w:t xml:space="preserve"> </w:t>
      </w:r>
      <w:r w:rsidR="00321ADA" w:rsidRPr="00E27443">
        <w:t>monitoring</w:t>
      </w:r>
      <w:bookmarkEnd w:id="39"/>
    </w:p>
    <w:p w:rsidR="00321ADA" w:rsidRPr="00E27443" w:rsidRDefault="00321ADA" w:rsidP="00877AB3">
      <w:pPr>
        <w:pStyle w:val="SingleTxtG"/>
        <w:numPr>
          <w:ilvl w:val="0"/>
          <w:numId w:val="20"/>
        </w:numPr>
        <w:tabs>
          <w:tab w:val="left" w:pos="1843"/>
        </w:tabs>
        <w:ind w:left="1134" w:firstLine="0"/>
      </w:pPr>
      <w:r w:rsidRPr="00E27443">
        <w:t>When</w:t>
      </w:r>
      <w:r w:rsidR="00C63F8F" w:rsidRPr="00E27443">
        <w:t xml:space="preserve"> </w:t>
      </w:r>
      <w:r w:rsidRPr="00E27443">
        <w:t>it</w:t>
      </w:r>
      <w:r w:rsidR="00C63F8F" w:rsidRPr="00E27443">
        <w:t xml:space="preserve"> </w:t>
      </w:r>
      <w:r w:rsidRPr="00E27443">
        <w:t>comes</w:t>
      </w:r>
      <w:r w:rsidR="00C63F8F" w:rsidRPr="00E27443">
        <w:t xml:space="preserve"> </w:t>
      </w:r>
      <w:r w:rsidRPr="00E27443">
        <w:t>to</w:t>
      </w:r>
      <w:r w:rsidR="00C63F8F" w:rsidRPr="00E27443">
        <w:t xml:space="preserve"> </w:t>
      </w:r>
      <w:r w:rsidRPr="00E27443">
        <w:t>the</w:t>
      </w:r>
      <w:r w:rsidR="00C63F8F" w:rsidRPr="00E27443">
        <w:t xml:space="preserve"> </w:t>
      </w:r>
      <w:r w:rsidRPr="00E27443">
        <w:t>implementation</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the</w:t>
      </w:r>
      <w:r w:rsidR="00C63F8F" w:rsidRPr="00E27443">
        <w:t xml:space="preserve"> </w:t>
      </w:r>
      <w:r w:rsidRPr="00E27443">
        <w:t>Ministry</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Social</w:t>
      </w:r>
      <w:r w:rsidR="00C63F8F" w:rsidRPr="00E27443">
        <w:t xml:space="preserve"> </w:t>
      </w:r>
      <w:r w:rsidRPr="00E27443">
        <w:t>Affairs</w:t>
      </w:r>
      <w:r w:rsidR="00C63F8F" w:rsidRPr="00E27443">
        <w:t xml:space="preserve"> </w:t>
      </w:r>
      <w:r w:rsidRPr="00E27443">
        <w:t>is</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being</w:t>
      </w:r>
      <w:r w:rsidR="00C63F8F" w:rsidRPr="00E27443">
        <w:t xml:space="preserve"> </w:t>
      </w:r>
      <w:r w:rsidRPr="00E27443">
        <w:t>the</w:t>
      </w:r>
      <w:r w:rsidR="00C63F8F" w:rsidRPr="00E27443">
        <w:t xml:space="preserve"> </w:t>
      </w:r>
      <w:r w:rsidRPr="00E27443">
        <w:t>focal</w:t>
      </w:r>
      <w:r w:rsidR="00C63F8F" w:rsidRPr="00E27443">
        <w:t xml:space="preserve"> </w:t>
      </w:r>
      <w:r w:rsidRPr="00E27443">
        <w:t>point</w:t>
      </w:r>
      <w:r w:rsidR="00C63F8F" w:rsidRPr="00E27443">
        <w:t xml:space="preserve"> </w:t>
      </w:r>
      <w:r w:rsidRPr="00E27443">
        <w:t>within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Within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Offices</w:t>
      </w:r>
      <w:r w:rsidR="00C63F8F" w:rsidRPr="00E27443">
        <w:t xml:space="preserve"> </w:t>
      </w:r>
      <w:r w:rsidRPr="00E27443">
        <w:t>of</w:t>
      </w:r>
      <w:r w:rsidR="00C63F8F" w:rsidRPr="00E27443">
        <w:t xml:space="preserve"> </w:t>
      </w:r>
      <w:r w:rsidRPr="00E27443">
        <w:t>Sweden,</w:t>
      </w:r>
      <w:r w:rsidR="00C63F8F" w:rsidRPr="00E27443">
        <w:t xml:space="preserve"> </w:t>
      </w:r>
      <w:r w:rsidRPr="00E27443">
        <w:t>there</w:t>
      </w:r>
      <w:r w:rsidR="00C63F8F" w:rsidRPr="00E27443">
        <w:t xml:space="preserve"> </w:t>
      </w:r>
      <w:r w:rsidRPr="00E27443">
        <w:t>is</w:t>
      </w:r>
      <w:r w:rsidR="00C63F8F" w:rsidRPr="00E27443">
        <w:t xml:space="preserve"> </w:t>
      </w:r>
      <w:r w:rsidRPr="00E27443">
        <w:t>a</w:t>
      </w:r>
      <w:r w:rsidR="00C63F8F" w:rsidRPr="00E27443">
        <w:t xml:space="preserve"> </w:t>
      </w:r>
      <w:r w:rsidRPr="00E27443">
        <w:t>high</w:t>
      </w:r>
      <w:r w:rsidR="00C63F8F" w:rsidRPr="00E27443">
        <w:t xml:space="preserve"> </w:t>
      </w:r>
      <w:r w:rsidRPr="00E27443">
        <w:t>level</w:t>
      </w:r>
      <w:r w:rsidR="00C63F8F" w:rsidRPr="00E27443">
        <w:t xml:space="preserve"> </w:t>
      </w:r>
      <w:r w:rsidRPr="00E27443">
        <w:t>inter-departmental</w:t>
      </w:r>
      <w:r w:rsidR="00C63F8F" w:rsidRPr="00E27443">
        <w:t xml:space="preserve"> </w:t>
      </w:r>
      <w:r w:rsidRPr="00E27443">
        <w:t>working</w:t>
      </w:r>
      <w:r w:rsidR="00C63F8F" w:rsidRPr="00E27443">
        <w:t xml:space="preserve"> </w:t>
      </w:r>
      <w:r w:rsidRPr="00E27443">
        <w:t>group</w:t>
      </w:r>
      <w:r w:rsidR="00C63F8F" w:rsidRPr="00E27443">
        <w:t xml:space="preserve"> </w:t>
      </w:r>
      <w:r w:rsidRPr="00E27443">
        <w:t>comprising</w:t>
      </w:r>
      <w:r w:rsidR="00C63F8F" w:rsidRPr="00E27443">
        <w:t xml:space="preserve"> </w:t>
      </w:r>
      <w:r w:rsidRPr="00E27443">
        <w:t>representatives</w:t>
      </w:r>
      <w:r w:rsidR="00C63F8F" w:rsidRPr="00E27443">
        <w:t xml:space="preserve"> </w:t>
      </w:r>
      <w:r w:rsidRPr="00E27443">
        <w:t>from</w:t>
      </w:r>
      <w:r w:rsidR="00C63F8F" w:rsidRPr="00E27443">
        <w:t xml:space="preserve"> </w:t>
      </w:r>
      <w:r w:rsidRPr="00E27443">
        <w:t>most</w:t>
      </w:r>
      <w:r w:rsidR="00C63F8F" w:rsidRPr="00E27443">
        <w:t xml:space="preserve"> </w:t>
      </w:r>
      <w:r w:rsidRPr="00E27443">
        <w:t>of</w:t>
      </w:r>
      <w:r w:rsidR="00C63F8F" w:rsidRPr="00E27443">
        <w:t xml:space="preserve"> </w:t>
      </w:r>
      <w:r w:rsidRPr="00E27443">
        <w:t>the</w:t>
      </w:r>
      <w:r w:rsidR="00C63F8F" w:rsidRPr="00E27443">
        <w:t xml:space="preserve"> </w:t>
      </w:r>
      <w:r w:rsidRPr="00E27443">
        <w:t>departments.</w:t>
      </w:r>
      <w:r w:rsidR="00C63F8F" w:rsidRPr="00E27443">
        <w:t xml:space="preserve"> </w:t>
      </w:r>
      <w:r w:rsidRPr="00E27443">
        <w:t>The</w:t>
      </w:r>
      <w:r w:rsidR="00C63F8F" w:rsidRPr="00E27443">
        <w:t xml:space="preserve"> </w:t>
      </w:r>
      <w:r w:rsidRPr="00E27443">
        <w:t>Minister</w:t>
      </w:r>
      <w:r w:rsidR="00C63F8F" w:rsidRPr="00E27443">
        <w:t xml:space="preserve"> </w:t>
      </w:r>
      <w:r w:rsidRPr="00E27443">
        <w:t>within</w:t>
      </w:r>
      <w:r w:rsidR="00C63F8F" w:rsidRPr="00E27443">
        <w:t xml:space="preserve"> </w:t>
      </w:r>
      <w:r w:rsidRPr="00E27443">
        <w:t>the</w:t>
      </w:r>
      <w:r w:rsidR="00C63F8F" w:rsidRPr="00E27443">
        <w:t xml:space="preserve"> </w:t>
      </w:r>
      <w:r w:rsidRPr="00E27443">
        <w:t>Ministry</w:t>
      </w:r>
      <w:r w:rsidR="00C63F8F" w:rsidRPr="00E27443">
        <w:t xml:space="preserve"> </w:t>
      </w:r>
      <w:r w:rsidRPr="00E27443">
        <w:t>of</w:t>
      </w:r>
      <w:r w:rsidR="00C63F8F" w:rsidRPr="00E27443">
        <w:t xml:space="preserve"> </w:t>
      </w:r>
      <w:r w:rsidRPr="00E27443">
        <w:t>Health</w:t>
      </w:r>
      <w:r w:rsidR="00C63F8F" w:rsidRPr="00E27443">
        <w:t xml:space="preserve"> </w:t>
      </w:r>
      <w:r w:rsidRPr="00E27443">
        <w:t>and</w:t>
      </w:r>
      <w:r w:rsidR="00C63F8F" w:rsidRPr="00E27443">
        <w:t xml:space="preserve"> </w:t>
      </w:r>
      <w:r w:rsidRPr="00E27443">
        <w:t>Social</w:t>
      </w:r>
      <w:r w:rsidR="00C63F8F" w:rsidRPr="00E27443">
        <w:t xml:space="preserve"> </w:t>
      </w:r>
      <w:r w:rsidRPr="00E27443">
        <w:t>Affairs</w:t>
      </w:r>
      <w:r w:rsidR="00C63F8F" w:rsidRPr="00E27443">
        <w:t xml:space="preserve"> </w:t>
      </w:r>
      <w:r w:rsidRPr="00E27443">
        <w:t>who</w:t>
      </w:r>
      <w:r w:rsidR="00C63F8F" w:rsidRPr="00E27443">
        <w:t xml:space="preserve"> </w:t>
      </w:r>
      <w:r w:rsidRPr="00E27443">
        <w:t>has</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the</w:t>
      </w:r>
      <w:r w:rsidR="00C63F8F" w:rsidRPr="00E27443">
        <w:t xml:space="preserve"> </w:t>
      </w:r>
      <w:r w:rsidRPr="00E27443">
        <w:t>disability</w:t>
      </w:r>
      <w:r w:rsidR="00C63F8F" w:rsidRPr="00E27443">
        <w:t xml:space="preserve"> </w:t>
      </w:r>
      <w:r w:rsidRPr="00E27443">
        <w:t>policy</w:t>
      </w:r>
      <w:r w:rsidR="00C63F8F" w:rsidRPr="00E27443">
        <w:t xml:space="preserve"> </w:t>
      </w:r>
      <w:r w:rsidRPr="00E27443">
        <w:t>regularly</w:t>
      </w:r>
      <w:r w:rsidR="00C63F8F" w:rsidRPr="00E27443">
        <w:t xml:space="preserve"> </w:t>
      </w:r>
      <w:r w:rsidRPr="00E27443">
        <w:t>convenes</w:t>
      </w:r>
      <w:r w:rsidR="00C63F8F" w:rsidRPr="00E27443">
        <w:t xml:space="preserve"> </w:t>
      </w:r>
      <w:r w:rsidRPr="00E27443">
        <w:t>a</w:t>
      </w:r>
      <w:r w:rsidR="00C63F8F" w:rsidRPr="00E27443">
        <w:t xml:space="preserve"> </w:t>
      </w:r>
      <w:r w:rsidRPr="00E27443">
        <w:t>delegation,</w:t>
      </w:r>
      <w:r w:rsidR="00C63F8F" w:rsidRPr="00E27443">
        <w:t xml:space="preserve"> </w:t>
      </w:r>
      <w:r w:rsidRPr="00E27443">
        <w:t>comprising</w:t>
      </w:r>
      <w:r w:rsidR="00C63F8F" w:rsidRPr="00E27443">
        <w:t xml:space="preserve"> </w:t>
      </w:r>
      <w:r w:rsidRPr="00E27443">
        <w:t>representatives</w:t>
      </w:r>
      <w:r w:rsidR="00C63F8F" w:rsidRPr="00E27443">
        <w:t xml:space="preserve"> </w:t>
      </w:r>
      <w:r w:rsidRPr="00E27443">
        <w:t>of</w:t>
      </w:r>
      <w:r w:rsidR="00C63F8F" w:rsidRPr="00E27443">
        <w:t xml:space="preserve"> </w:t>
      </w:r>
      <w:r w:rsidRPr="00E27443">
        <w:t>the</w:t>
      </w:r>
      <w:r w:rsidR="00C63F8F" w:rsidRPr="00E27443">
        <w:t xml:space="preserve"> </w:t>
      </w:r>
      <w:r w:rsidRPr="00E27443">
        <w:t>disabled</w:t>
      </w:r>
      <w:r w:rsidR="00C63F8F" w:rsidRPr="00E27443">
        <w:t xml:space="preserve"> </w:t>
      </w:r>
      <w:r w:rsidRPr="00E27443">
        <w:t>persons</w:t>
      </w:r>
      <w:r w:rsidR="00C63F8F" w:rsidRPr="00E27443">
        <w:t xml:space="preserve">’ </w:t>
      </w:r>
      <w:r w:rsidRPr="00E27443">
        <w:t>movement</w:t>
      </w:r>
      <w:r w:rsidR="00C63F8F" w:rsidRPr="00E27443">
        <w:t xml:space="preserve"> </w:t>
      </w:r>
      <w:r w:rsidRPr="00E27443">
        <w:t>and</w:t>
      </w:r>
      <w:r w:rsidR="00C63F8F" w:rsidRPr="00E27443">
        <w:t xml:space="preserve"> </w:t>
      </w:r>
      <w:r w:rsidRPr="00E27443">
        <w:t>Secretaries</w:t>
      </w:r>
      <w:r w:rsidR="00C63F8F" w:rsidRPr="00E27443">
        <w:t xml:space="preserve"> </w:t>
      </w:r>
      <w:r w:rsidRPr="00E27443">
        <w:t>of</w:t>
      </w:r>
      <w:r w:rsidR="00C63F8F" w:rsidRPr="00E27443">
        <w:t xml:space="preserve"> </w:t>
      </w:r>
      <w:r w:rsidRPr="00E27443">
        <w:t>State</w:t>
      </w:r>
      <w:r w:rsidR="00C63F8F" w:rsidRPr="00E27443">
        <w:t xml:space="preserve"> </w:t>
      </w:r>
      <w:r w:rsidRPr="00E27443">
        <w:t>for</w:t>
      </w:r>
      <w:r w:rsidR="00C63F8F" w:rsidRPr="00E27443">
        <w:t xml:space="preserve"> </w:t>
      </w:r>
      <w:r w:rsidRPr="00E27443">
        <w:t>most</w:t>
      </w:r>
      <w:r w:rsidR="00C63F8F" w:rsidRPr="00E27443">
        <w:t xml:space="preserve"> </w:t>
      </w:r>
      <w:r w:rsidRPr="00E27443">
        <w:t>of</w:t>
      </w:r>
      <w:r w:rsidR="00C63F8F" w:rsidRPr="00E27443">
        <w:t xml:space="preserve"> </w:t>
      </w:r>
      <w:r w:rsidRPr="00E27443">
        <w:t>the</w:t>
      </w:r>
      <w:r w:rsidR="00C63F8F" w:rsidRPr="00E27443">
        <w:t xml:space="preserve"> </w:t>
      </w:r>
      <w:r w:rsidRPr="00E27443">
        <w:t>departments,</w:t>
      </w:r>
      <w:r w:rsidR="00C63F8F" w:rsidRPr="00E27443">
        <w:t xml:space="preserve"> </w:t>
      </w:r>
      <w:r w:rsidRPr="00E27443">
        <w:t>for</w:t>
      </w:r>
      <w:r w:rsidR="00C63F8F" w:rsidRPr="00E27443">
        <w:t xml:space="preserve"> </w:t>
      </w:r>
      <w:r w:rsidRPr="00E27443">
        <w:t>con</w:t>
      </w:r>
      <w:r w:rsidRPr="00E27443">
        <w:softHyphen/>
        <w:t>sultation</w:t>
      </w:r>
      <w:r w:rsidR="00C63F8F" w:rsidRPr="00E27443">
        <w:t xml:space="preserve"> </w:t>
      </w:r>
      <w:r w:rsidRPr="00E27443">
        <w:t>and</w:t>
      </w:r>
      <w:r w:rsidR="00C63F8F" w:rsidRPr="00E27443">
        <w:t xml:space="preserve"> </w:t>
      </w:r>
      <w:r w:rsidRPr="00E27443">
        <w:t>the</w:t>
      </w:r>
      <w:r w:rsidR="00C63F8F" w:rsidRPr="00E27443">
        <w:t xml:space="preserve"> </w:t>
      </w:r>
      <w:r w:rsidRPr="00E27443">
        <w:t>exchange</w:t>
      </w:r>
      <w:r w:rsidR="00C63F8F" w:rsidRPr="00E27443">
        <w:t xml:space="preserve"> </w:t>
      </w:r>
      <w:r w:rsidRPr="00E27443">
        <w:t>of</w:t>
      </w:r>
      <w:r w:rsidR="00C63F8F" w:rsidRPr="00E27443">
        <w:t xml:space="preserve"> </w:t>
      </w:r>
      <w:r w:rsidRPr="00E27443">
        <w:t>information.</w:t>
      </w:r>
    </w:p>
    <w:p w:rsidR="00321ADA" w:rsidRPr="00E27443" w:rsidRDefault="00321ADA" w:rsidP="00877AB3">
      <w:pPr>
        <w:pStyle w:val="SingleTxtG"/>
        <w:numPr>
          <w:ilvl w:val="0"/>
          <w:numId w:val="20"/>
        </w:numPr>
        <w:tabs>
          <w:tab w:val="left" w:pos="1843"/>
        </w:tabs>
        <w:ind w:left="1134" w:firstLine="0"/>
      </w:pPr>
      <w:r w:rsidRPr="00E27443">
        <w:t>In</w:t>
      </w:r>
      <w:r w:rsidR="00C63F8F" w:rsidRPr="00E27443">
        <w:t xml:space="preserve"> </w:t>
      </w:r>
      <w:r w:rsidRPr="00E27443">
        <w:t>July</w:t>
      </w:r>
      <w:r w:rsidR="00C63F8F" w:rsidRPr="00E27443">
        <w:t xml:space="preserve"> </w:t>
      </w:r>
      <w:r w:rsidRPr="00E27443">
        <w:t>2008,</w:t>
      </w:r>
      <w:r w:rsidR="00C63F8F" w:rsidRPr="00E27443">
        <w:t xml:space="preserve"> </w:t>
      </w:r>
      <w:r w:rsidRPr="00E27443">
        <w:t>the</w:t>
      </w:r>
      <w:r w:rsidR="00C63F8F" w:rsidRPr="00E27443">
        <w:t xml:space="preserve"> </w:t>
      </w:r>
      <w:r w:rsidRPr="00E27443">
        <w:t>Delegation</w:t>
      </w:r>
      <w:r w:rsidR="00C63F8F" w:rsidRPr="00E27443">
        <w:t xml:space="preserve"> </w:t>
      </w:r>
      <w:r w:rsidRPr="00E27443">
        <w:t>for</w:t>
      </w:r>
      <w:r w:rsidR="00C63F8F" w:rsidRPr="00E27443">
        <w:t xml:space="preserve"> </w:t>
      </w:r>
      <w:r w:rsidRPr="00E27443">
        <w:t>Human</w:t>
      </w:r>
      <w:r w:rsidR="00C63F8F" w:rsidRPr="00E27443">
        <w:t xml:space="preserve"> </w:t>
      </w:r>
      <w:r w:rsidRPr="00E27443">
        <w:t>Rights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was</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investigate</w:t>
      </w:r>
      <w:r w:rsidR="00C63F8F" w:rsidRPr="00E27443">
        <w:t xml:space="preserve"> </w:t>
      </w:r>
      <w:r w:rsidRPr="00E27443">
        <w:t>whether</w:t>
      </w:r>
      <w:r w:rsidR="00C63F8F" w:rsidRPr="00E27443">
        <w:t xml:space="preserve"> </w:t>
      </w:r>
      <w:r w:rsidRPr="00E27443">
        <w:t>Handisam,</w:t>
      </w:r>
      <w:r w:rsidR="00C63F8F" w:rsidRPr="00E27443">
        <w:t xml:space="preserve"> </w:t>
      </w:r>
      <w:r w:rsidRPr="00E27443">
        <w:t>the</w:t>
      </w:r>
      <w:r w:rsidR="00C63F8F" w:rsidRPr="00E27443">
        <w:t xml:space="preserve"> </w:t>
      </w:r>
      <w:r w:rsidRPr="00E27443">
        <w:t>Equality</w:t>
      </w:r>
      <w:r w:rsidR="00C63F8F" w:rsidRPr="00E27443">
        <w:t xml:space="preserve"> </w:t>
      </w:r>
      <w:r w:rsidRPr="00E27443">
        <w:t>Ombudsman</w:t>
      </w:r>
      <w:r w:rsidR="00C63F8F" w:rsidRPr="00E27443">
        <w:t xml:space="preserve"> </w:t>
      </w:r>
      <w:r w:rsidRPr="00E27443">
        <w:t>or</w:t>
      </w:r>
      <w:r w:rsidR="00C63F8F" w:rsidRPr="00E27443">
        <w:t xml:space="preserve"> </w:t>
      </w:r>
      <w:r w:rsidRPr="00E27443">
        <w:t>some</w:t>
      </w:r>
      <w:r w:rsidR="00C63F8F" w:rsidRPr="00E27443">
        <w:t xml:space="preserve"> </w:t>
      </w:r>
      <w:r w:rsidRPr="00E27443">
        <w:t>other</w:t>
      </w:r>
      <w:r w:rsidR="00C63F8F" w:rsidRPr="00E27443">
        <w:t xml:space="preserve"> </w:t>
      </w:r>
      <w:r w:rsidRPr="00E27443">
        <w:t>body</w:t>
      </w:r>
      <w:r w:rsidR="00C63F8F" w:rsidRPr="00E27443">
        <w:t xml:space="preserve"> </w:t>
      </w:r>
      <w:r w:rsidRPr="00E27443">
        <w:t>should</w:t>
      </w:r>
      <w:r w:rsidR="00C63F8F" w:rsidRPr="00E27443">
        <w:t xml:space="preserve"> </w:t>
      </w:r>
      <w:r w:rsidRPr="00E27443">
        <w:t>be</w:t>
      </w:r>
      <w:r w:rsidR="00C63F8F" w:rsidRPr="00E27443">
        <w:t xml:space="preserve"> </w:t>
      </w:r>
      <w:r w:rsidRPr="00E27443">
        <w:t>entrusted</w:t>
      </w:r>
      <w:r w:rsidR="00C63F8F" w:rsidRPr="00E27443">
        <w:t xml:space="preserve"> </w:t>
      </w:r>
      <w:r w:rsidRPr="00E27443">
        <w:t>with</w:t>
      </w:r>
      <w:r w:rsidR="00C63F8F" w:rsidRPr="00E27443">
        <w:t xml:space="preserve"> </w:t>
      </w:r>
      <w:r w:rsidRPr="00E27443">
        <w:t>the</w:t>
      </w:r>
      <w:r w:rsidR="00C63F8F" w:rsidRPr="00E27443">
        <w:t xml:space="preserve"> </w:t>
      </w:r>
      <w:r w:rsidRPr="00E27443">
        <w:t>task</w:t>
      </w:r>
      <w:r w:rsidR="00C63F8F" w:rsidRPr="00E27443">
        <w:t xml:space="preserve"> </w:t>
      </w:r>
      <w:r w:rsidRPr="00E27443">
        <w:t>of</w:t>
      </w:r>
      <w:r w:rsidR="00C63F8F" w:rsidRPr="00E27443">
        <w:t xml:space="preserve"> </w:t>
      </w:r>
      <w:r w:rsidRPr="00E27443">
        <w:t>promoting,</w:t>
      </w:r>
      <w:r w:rsidR="00C63F8F" w:rsidRPr="00E27443">
        <w:t xml:space="preserve"> </w:t>
      </w:r>
      <w:r w:rsidRPr="00E27443">
        <w:t>protecting</w:t>
      </w:r>
      <w:r w:rsidR="00C63F8F" w:rsidRPr="00E27443">
        <w:t xml:space="preserve"> </w:t>
      </w:r>
      <w:r w:rsidRPr="00E27443">
        <w:t>and</w:t>
      </w:r>
      <w:r w:rsidR="00C63F8F" w:rsidRPr="00E27443">
        <w:t xml:space="preserve"> </w:t>
      </w:r>
      <w:r w:rsidRPr="00E27443">
        <w:t>monitoring</w:t>
      </w:r>
      <w:r w:rsidR="00C63F8F" w:rsidRPr="00E27443">
        <w:t xml:space="preserve"> </w:t>
      </w:r>
      <w:r w:rsidRPr="00E27443">
        <w:t>compliance</w:t>
      </w:r>
      <w:r w:rsidR="00C63F8F" w:rsidRPr="00E27443">
        <w:t xml:space="preserve"> </w:t>
      </w:r>
      <w:r w:rsidRPr="00E27443">
        <w:t>with</w:t>
      </w:r>
      <w:r w:rsidR="00C63F8F" w:rsidRPr="00E27443">
        <w:t xml:space="preserve"> </w:t>
      </w:r>
      <w:r w:rsidRPr="00E27443">
        <w:t>the</w:t>
      </w:r>
      <w:r w:rsidR="00C63F8F" w:rsidRPr="00E27443">
        <w:t xml:space="preserve"> </w:t>
      </w:r>
      <w:r w:rsidRPr="00E27443">
        <w:t>Convention.</w:t>
      </w:r>
      <w:r w:rsidR="00C63F8F" w:rsidRPr="00E27443">
        <w:t xml:space="preserve"> </w:t>
      </w:r>
      <w:r w:rsidRPr="00E27443">
        <w:t>The</w:t>
      </w:r>
      <w:r w:rsidR="00C63F8F" w:rsidRPr="00E27443">
        <w:t xml:space="preserve"> </w:t>
      </w:r>
      <w:r w:rsidRPr="00E27443">
        <w:t>Delegation</w:t>
      </w:r>
      <w:r w:rsidR="00C63F8F" w:rsidRPr="00E27443">
        <w:t>’</w:t>
      </w:r>
      <w:r w:rsidRPr="00E27443">
        <w:t>s</w:t>
      </w:r>
      <w:r w:rsidR="00C63F8F" w:rsidRPr="00E27443">
        <w:t xml:space="preserve"> </w:t>
      </w:r>
      <w:r w:rsidRPr="00E27443">
        <w:t>preliminary</w:t>
      </w:r>
      <w:r w:rsidR="00C63F8F" w:rsidRPr="00E27443">
        <w:t xml:space="preserve"> </w:t>
      </w:r>
      <w:r w:rsidRPr="00E27443">
        <w:t>report</w:t>
      </w:r>
      <w:r w:rsidR="00C63F8F" w:rsidRPr="00E27443">
        <w:t xml:space="preserve"> </w:t>
      </w:r>
      <w:r w:rsidRPr="00E27443">
        <w:t>states</w:t>
      </w:r>
      <w:r w:rsidR="00C63F8F" w:rsidRPr="00E27443">
        <w:t xml:space="preserve"> </w:t>
      </w:r>
      <w:r w:rsidRPr="00E27443">
        <w:t>that</w:t>
      </w:r>
      <w:r w:rsidR="00C63F8F" w:rsidRPr="00E27443">
        <w:t xml:space="preserve"> </w:t>
      </w:r>
      <w:r w:rsidRPr="00E27443">
        <w:t>the</w:t>
      </w:r>
      <w:r w:rsidR="00C63F8F" w:rsidRPr="00E27443">
        <w:t xml:space="preserve"> </w:t>
      </w:r>
      <w:r w:rsidR="000A0284" w:rsidRPr="00E27443">
        <w:t>Equa</w:t>
      </w:r>
      <w:r w:rsidRPr="00E27443">
        <w:t>lity</w:t>
      </w:r>
      <w:r w:rsidR="000A0284" w:rsidRPr="00E27443">
        <w:t xml:space="preserve"> </w:t>
      </w:r>
      <w:r w:rsidRPr="00E27443">
        <w:t>Ombudsman</w:t>
      </w:r>
      <w:r w:rsidR="00C63F8F" w:rsidRPr="00E27443">
        <w:t xml:space="preserve"> </w:t>
      </w:r>
      <w:r w:rsidRPr="00E27443">
        <w:t>is</w:t>
      </w:r>
      <w:r w:rsidR="00C63F8F" w:rsidRPr="00E27443">
        <w:t xml:space="preserve"> </w:t>
      </w:r>
      <w:r w:rsidRPr="00E27443">
        <w:t>the</w:t>
      </w:r>
      <w:r w:rsidR="00C63F8F" w:rsidRPr="00E27443">
        <w:t xml:space="preserve"> </w:t>
      </w:r>
      <w:r w:rsidRPr="00E27443">
        <w:t>authority</w:t>
      </w:r>
      <w:r w:rsidR="00C63F8F" w:rsidRPr="00E27443">
        <w:t xml:space="preserve"> </w:t>
      </w:r>
      <w:r w:rsidRPr="00E27443">
        <w:t>that</w:t>
      </w:r>
      <w:r w:rsidR="00C63F8F" w:rsidRPr="00E27443">
        <w:t xml:space="preserve"> </w:t>
      </w:r>
      <w:r w:rsidRPr="00E27443">
        <w:t>most</w:t>
      </w:r>
      <w:r w:rsidR="00C63F8F" w:rsidRPr="00E27443">
        <w:t xml:space="preserve"> </w:t>
      </w:r>
      <w:r w:rsidRPr="00E27443">
        <w:t>closely</w:t>
      </w:r>
      <w:r w:rsidR="00C63F8F" w:rsidRPr="00E27443">
        <w:t xml:space="preserve"> </w:t>
      </w:r>
      <w:r w:rsidRPr="00E27443">
        <w:t>lives</w:t>
      </w:r>
      <w:r w:rsidR="00C63F8F" w:rsidRPr="00E27443">
        <w:t xml:space="preserve"> </w:t>
      </w:r>
      <w:r w:rsidRPr="00E27443">
        <w:t>up</w:t>
      </w:r>
      <w:r w:rsidR="00C63F8F" w:rsidRPr="00E27443">
        <w:t xml:space="preserve"> </w:t>
      </w:r>
      <w:r w:rsidRPr="00E27443">
        <w:t>to</w:t>
      </w:r>
      <w:r w:rsidR="00C63F8F" w:rsidRPr="00E27443">
        <w:t xml:space="preserve"> </w:t>
      </w:r>
      <w:r w:rsidRPr="00E27443">
        <w:t>the</w:t>
      </w:r>
      <w:r w:rsidR="00C63F8F" w:rsidRPr="00E27443">
        <w:t xml:space="preserve"> </w:t>
      </w:r>
      <w:r w:rsidRPr="00E27443">
        <w:t>Paris</w:t>
      </w:r>
      <w:r w:rsidR="00C63F8F" w:rsidRPr="00E27443">
        <w:t xml:space="preserve"> </w:t>
      </w:r>
      <w:r w:rsidRPr="00E27443">
        <w:t>Principles,</w:t>
      </w:r>
      <w:r w:rsidR="00C63F8F" w:rsidRPr="00E27443">
        <w:t xml:space="preserve"> </w:t>
      </w:r>
      <w:r w:rsidRPr="00E27443">
        <w:t>and</w:t>
      </w:r>
      <w:r w:rsidR="00C63F8F" w:rsidRPr="00E27443">
        <w:t xml:space="preserve"> </w:t>
      </w:r>
      <w:r w:rsidRPr="00E27443">
        <w:t>the</w:t>
      </w:r>
      <w:r w:rsidR="00C63F8F" w:rsidRPr="00E27443">
        <w:t xml:space="preserve"> </w:t>
      </w:r>
      <w:r w:rsidRPr="00E27443">
        <w:t>Delegation</w:t>
      </w:r>
      <w:r w:rsidR="00C63F8F" w:rsidRPr="00E27443">
        <w:t xml:space="preserve"> </w:t>
      </w:r>
      <w:r w:rsidRPr="00E27443">
        <w:t>therefore</w:t>
      </w:r>
      <w:r w:rsidR="00C63F8F" w:rsidRPr="00E27443">
        <w:t xml:space="preserve"> </w:t>
      </w:r>
      <w:r w:rsidRPr="00E27443">
        <w:t>proposes</w:t>
      </w:r>
      <w:r w:rsidR="00C63F8F" w:rsidRPr="00E27443">
        <w:t xml:space="preserve"> </w:t>
      </w:r>
      <w:r w:rsidRPr="00E27443">
        <w:t>that</w:t>
      </w:r>
      <w:r w:rsidR="00C63F8F" w:rsidRPr="00E27443">
        <w:t xml:space="preserve"> </w:t>
      </w:r>
      <w:r w:rsidRPr="00E27443">
        <w:t>the</w:t>
      </w:r>
      <w:r w:rsidR="00C63F8F" w:rsidRPr="00E27443">
        <w:t xml:space="preserve"> </w:t>
      </w:r>
      <w:r w:rsidRPr="00E27443">
        <w:t>task</w:t>
      </w:r>
      <w:r w:rsidR="00C63F8F" w:rsidRPr="00E27443">
        <w:t xml:space="preserve"> </w:t>
      </w:r>
      <w:r w:rsidRPr="00E27443">
        <w:t>should</w:t>
      </w:r>
      <w:r w:rsidR="00C63F8F" w:rsidRPr="00E27443">
        <w:t xml:space="preserve"> </w:t>
      </w:r>
      <w:r w:rsidRPr="00E27443">
        <w:t>be</w:t>
      </w:r>
      <w:r w:rsidR="00C63F8F" w:rsidRPr="00E27443">
        <w:t xml:space="preserve"> </w:t>
      </w:r>
      <w:r w:rsidRPr="00E27443">
        <w:t>given</w:t>
      </w:r>
      <w:r w:rsidR="00C63F8F" w:rsidRPr="00E27443">
        <w:t xml:space="preserve"> </w:t>
      </w:r>
      <w:r w:rsidRPr="00E27443">
        <w:t>to</w:t>
      </w:r>
      <w:r w:rsidR="00C63F8F" w:rsidRPr="00E27443">
        <w:t xml:space="preserve"> </w:t>
      </w:r>
      <w:r w:rsidRPr="00E27443">
        <w:t>them.</w:t>
      </w:r>
      <w:r w:rsidR="00C63F8F" w:rsidRPr="00E27443">
        <w:t xml:space="preserve"> </w:t>
      </w:r>
      <w:r w:rsidRPr="00E27443">
        <w:t>However,</w:t>
      </w:r>
      <w:r w:rsidR="00C63F8F" w:rsidRPr="00E27443">
        <w:t xml:space="preserve"> </w:t>
      </w:r>
      <w:r w:rsidRPr="00E27443">
        <w:t>it</w:t>
      </w:r>
      <w:r w:rsidR="00C63F8F" w:rsidRPr="00E27443">
        <w:t xml:space="preserve"> </w:t>
      </w:r>
      <w:r w:rsidRPr="00E27443">
        <w:t>is</w:t>
      </w:r>
      <w:r w:rsidR="00C63F8F" w:rsidRPr="00E27443">
        <w:t xml:space="preserve"> </w:t>
      </w:r>
      <w:r w:rsidRPr="00E27443">
        <w:t>proposed</w:t>
      </w:r>
      <w:r w:rsidR="00C63F8F" w:rsidRPr="00E27443">
        <w:t xml:space="preserve"> </w:t>
      </w:r>
      <w:r w:rsidRPr="00E27443">
        <w:t>that</w:t>
      </w:r>
      <w:r w:rsidR="00C63F8F" w:rsidRPr="00E27443">
        <w:t xml:space="preserve"> </w:t>
      </w:r>
      <w:r w:rsidRPr="00E27443">
        <w:t>responsibility</w:t>
      </w:r>
      <w:r w:rsidR="00C63F8F" w:rsidRPr="00E27443">
        <w:t xml:space="preserve"> </w:t>
      </w:r>
      <w:r w:rsidRPr="00E27443">
        <w:t>for</w:t>
      </w:r>
      <w:r w:rsidR="00C63F8F" w:rsidRPr="00E27443">
        <w:t xml:space="preserve"> </w:t>
      </w:r>
      <w:r w:rsidRPr="00E27443">
        <w:t>information</w:t>
      </w:r>
      <w:r w:rsidR="00C63F8F" w:rsidRPr="00E27443">
        <w:t xml:space="preserve"> </w:t>
      </w:r>
      <w:r w:rsidRPr="00E27443">
        <w:t>and</w:t>
      </w:r>
      <w:r w:rsidR="00C63F8F" w:rsidRPr="00E27443">
        <w:t xml:space="preserve"> </w:t>
      </w:r>
      <w:r w:rsidRPr="00E27443">
        <w:t>training</w:t>
      </w:r>
      <w:r w:rsidR="00C63F8F" w:rsidRPr="00E27443">
        <w:t xml:space="preserve"> </w:t>
      </w:r>
      <w:r w:rsidRPr="00E27443">
        <w:t>be</w:t>
      </w:r>
      <w:r w:rsidR="00C63F8F" w:rsidRPr="00E27443">
        <w:t xml:space="preserve"> </w:t>
      </w:r>
      <w:r w:rsidRPr="00E27443">
        <w:t>given</w:t>
      </w:r>
      <w:r w:rsidR="00C63F8F" w:rsidRPr="00E27443">
        <w:t xml:space="preserve"> </w:t>
      </w:r>
      <w:r w:rsidRPr="00E27443">
        <w:t>to</w:t>
      </w:r>
      <w:r w:rsidR="00C63F8F" w:rsidRPr="00E27443">
        <w:t xml:space="preserve"> </w:t>
      </w:r>
      <w:r w:rsidRPr="00E27443">
        <w:t>Handisam.</w:t>
      </w:r>
      <w:r w:rsidR="00C63F8F" w:rsidRPr="00E27443">
        <w:t xml:space="preserve"> </w:t>
      </w:r>
    </w:p>
    <w:p w:rsidR="00321ADA" w:rsidRPr="00E27443" w:rsidRDefault="00321ADA" w:rsidP="00877AB3">
      <w:pPr>
        <w:pStyle w:val="SingleTxtG"/>
        <w:numPr>
          <w:ilvl w:val="0"/>
          <w:numId w:val="20"/>
        </w:numPr>
        <w:tabs>
          <w:tab w:val="left" w:pos="1843"/>
        </w:tabs>
        <w:ind w:left="1134" w:firstLine="0"/>
      </w:pPr>
      <w:r w:rsidRPr="00E27443">
        <w:t>The</w:t>
      </w:r>
      <w:r w:rsidR="00C63F8F" w:rsidRPr="00E27443">
        <w:t xml:space="preserve"> </w:t>
      </w:r>
      <w:r w:rsidRPr="00E27443">
        <w:t>Delegation</w:t>
      </w:r>
      <w:r w:rsidR="00C63F8F" w:rsidRPr="00E27443">
        <w:t xml:space="preserve"> </w:t>
      </w:r>
      <w:r w:rsidRPr="00E27443">
        <w:t>for</w:t>
      </w:r>
      <w:r w:rsidR="00C63F8F" w:rsidRPr="00E27443">
        <w:t xml:space="preserve"> </w:t>
      </w:r>
      <w:r w:rsidRPr="00E27443">
        <w:t>Human</w:t>
      </w:r>
      <w:r w:rsidR="00C63F8F" w:rsidRPr="00E27443">
        <w:t xml:space="preserve"> </w:t>
      </w:r>
      <w:r w:rsidRPr="00E27443">
        <w:t>Rights</w:t>
      </w:r>
      <w:r w:rsidR="00C63F8F" w:rsidRPr="00E27443">
        <w:t xml:space="preserve"> </w:t>
      </w:r>
      <w:r w:rsidRPr="00E27443">
        <w:t>has</w:t>
      </w:r>
      <w:r w:rsidR="00C63F8F" w:rsidRPr="00E27443">
        <w:t xml:space="preserve"> </w:t>
      </w:r>
      <w:r w:rsidRPr="00E27443">
        <w:t>also</w:t>
      </w:r>
      <w:r w:rsidR="00C63F8F" w:rsidRPr="00E27443">
        <w:t xml:space="preserve"> </w:t>
      </w:r>
      <w:r w:rsidRPr="00E27443">
        <w:t>been</w:t>
      </w:r>
      <w:r w:rsidR="00C63F8F" w:rsidRPr="00E27443">
        <w:t xml:space="preserve"> </w:t>
      </w:r>
      <w:r w:rsidRPr="00E27443">
        <w:t>commissioned</w:t>
      </w:r>
      <w:r w:rsidR="00C63F8F" w:rsidRPr="00E27443">
        <w:t xml:space="preserve"> </w:t>
      </w:r>
      <w:r w:rsidRPr="00E27443">
        <w:t>to</w:t>
      </w:r>
      <w:r w:rsidR="00C63F8F" w:rsidRPr="00E27443">
        <w:t xml:space="preserve"> </w:t>
      </w:r>
      <w:r w:rsidRPr="00E27443">
        <w:t>draw</w:t>
      </w:r>
      <w:r w:rsidR="00C63F8F" w:rsidRPr="00E27443">
        <w:t xml:space="preserve"> </w:t>
      </w:r>
      <w:r w:rsidRPr="00E27443">
        <w:t>up</w:t>
      </w:r>
      <w:r w:rsidR="00C63F8F" w:rsidRPr="00E27443">
        <w:t xml:space="preserve"> </w:t>
      </w:r>
      <w:r w:rsidRPr="00E27443">
        <w:t>proposals</w:t>
      </w:r>
      <w:r w:rsidR="00C63F8F" w:rsidRPr="00E27443">
        <w:t xml:space="preserve"> </w:t>
      </w:r>
      <w:r w:rsidRPr="00E27443">
        <w:t>regarding</w:t>
      </w:r>
      <w:r w:rsidR="00C63F8F" w:rsidRPr="00E27443">
        <w:t xml:space="preserve"> </w:t>
      </w:r>
      <w:r w:rsidRPr="00E27443">
        <w:t>how</w:t>
      </w:r>
      <w:r w:rsidR="00C63F8F" w:rsidRPr="00E27443">
        <w:t xml:space="preserve"> </w:t>
      </w:r>
      <w:r w:rsidRPr="00E27443">
        <w:t>to</w:t>
      </w:r>
      <w:r w:rsidR="00C63F8F" w:rsidRPr="00E27443">
        <w:t xml:space="preserve"> </w:t>
      </w:r>
      <w:r w:rsidRPr="00E27443">
        <w:t>provide</w:t>
      </w:r>
      <w:r w:rsidR="00C63F8F" w:rsidRPr="00E27443">
        <w:t xml:space="preserve"> </w:t>
      </w:r>
      <w:r w:rsidRPr="00E27443">
        <w:t>continued</w:t>
      </w:r>
      <w:r w:rsidR="00C63F8F" w:rsidRPr="00E27443">
        <w:t xml:space="preserve"> </w:t>
      </w:r>
      <w:r w:rsidRPr="00E27443">
        <w:t>support</w:t>
      </w:r>
      <w:r w:rsidR="00C63F8F" w:rsidRPr="00E27443">
        <w:t xml:space="preserve"> </w:t>
      </w:r>
      <w:r w:rsidRPr="00E27443">
        <w:t>for</w:t>
      </w:r>
      <w:r w:rsidR="00C63F8F" w:rsidRPr="00E27443">
        <w:t xml:space="preserve"> </w:t>
      </w:r>
      <w:r w:rsidRPr="00E27443">
        <w:t>the</w:t>
      </w:r>
      <w:r w:rsidR="00C63F8F" w:rsidRPr="00E27443">
        <w:t xml:space="preserve"> </w:t>
      </w:r>
      <w:r w:rsidRPr="00E27443">
        <w:t>work</w:t>
      </w:r>
      <w:r w:rsidR="00C63F8F" w:rsidRPr="00E27443">
        <w:t xml:space="preserve"> </w:t>
      </w:r>
      <w:r w:rsidRPr="00E27443">
        <w:t>regarding</w:t>
      </w:r>
      <w:r w:rsidR="00C63F8F" w:rsidRPr="00E27443">
        <w:t xml:space="preserve"> </w:t>
      </w:r>
      <w:r w:rsidRPr="00E27443">
        <w:t>full</w:t>
      </w:r>
      <w:r w:rsidR="00C63F8F" w:rsidRPr="00E27443">
        <w:t xml:space="preserve"> </w:t>
      </w:r>
      <w:r w:rsidRPr="00E27443">
        <w:t>respect</w:t>
      </w:r>
      <w:r w:rsidR="00C63F8F" w:rsidRPr="00E27443">
        <w:t xml:space="preserve"> </w:t>
      </w:r>
      <w:r w:rsidRPr="00E27443">
        <w:t>for</w:t>
      </w:r>
      <w:r w:rsidR="00C63F8F" w:rsidRPr="00E27443">
        <w:t xml:space="preserve"> </w:t>
      </w:r>
      <w:r w:rsidRPr="00E27443">
        <w:t>human</w:t>
      </w:r>
      <w:r w:rsidR="00C63F8F" w:rsidRPr="00E27443">
        <w:t xml:space="preserve"> </w:t>
      </w:r>
      <w:r w:rsidRPr="00E27443">
        <w:t>rights</w:t>
      </w:r>
      <w:r w:rsidR="00C63F8F" w:rsidRPr="00E27443">
        <w:t xml:space="preserve"> </w:t>
      </w:r>
      <w:r w:rsidRPr="00E27443">
        <w:t>in</w:t>
      </w:r>
      <w:r w:rsidR="00C63F8F" w:rsidRPr="00E27443">
        <w:t xml:space="preserve"> </w:t>
      </w:r>
      <w:smartTag w:uri="urn:schemas-microsoft-com:office:smarttags" w:element="place">
        <w:smartTag w:uri="urn:schemas-microsoft-com:office:smarttags" w:element="country-region">
          <w:r w:rsidRPr="00E27443">
            <w:t>Sweden</w:t>
          </w:r>
        </w:smartTag>
      </w:smartTag>
      <w:r w:rsidR="00C63F8F" w:rsidRPr="00E27443">
        <w:t xml:space="preserve"> </w:t>
      </w:r>
      <w:r w:rsidRPr="00E27443">
        <w:t>in</w:t>
      </w:r>
      <w:r w:rsidR="00C63F8F" w:rsidRPr="00E27443">
        <w:t xml:space="preserve"> </w:t>
      </w:r>
      <w:r w:rsidRPr="00E27443">
        <w:t>general.</w:t>
      </w:r>
      <w:r w:rsidR="00C63F8F" w:rsidRPr="00E27443">
        <w:t xml:space="preserve"> </w:t>
      </w:r>
      <w:r w:rsidRPr="00E27443">
        <w:t>The</w:t>
      </w:r>
      <w:r w:rsidR="00C63F8F" w:rsidRPr="00E27443">
        <w:t xml:space="preserve"> </w:t>
      </w:r>
      <w:r w:rsidRPr="00E27443">
        <w:t>Delegation</w:t>
      </w:r>
      <w:r w:rsidR="00C63F8F" w:rsidRPr="00E27443">
        <w:t>’</w:t>
      </w:r>
      <w:r w:rsidRPr="00E27443">
        <w:t>s</w:t>
      </w:r>
      <w:r w:rsidR="00C63F8F" w:rsidRPr="00E27443">
        <w:t xml:space="preserve"> </w:t>
      </w:r>
      <w:r w:rsidRPr="00E27443">
        <w:t>final</w:t>
      </w:r>
      <w:r w:rsidR="00C63F8F" w:rsidRPr="00E27443">
        <w:t xml:space="preserve"> </w:t>
      </w:r>
      <w:r w:rsidRPr="00E27443">
        <w:t>report</w:t>
      </w:r>
      <w:r w:rsidR="00C63F8F" w:rsidRPr="00E27443">
        <w:t xml:space="preserve"> </w:t>
      </w:r>
      <w:r w:rsidRPr="00E27443">
        <w:t>was</w:t>
      </w:r>
      <w:r w:rsidR="00C63F8F" w:rsidRPr="00E27443">
        <w:t xml:space="preserve"> </w:t>
      </w:r>
      <w:r w:rsidRPr="00E27443">
        <w:t>submitted</w:t>
      </w:r>
      <w:r w:rsidR="00C63F8F" w:rsidRPr="00E27443">
        <w:t xml:space="preserve"> </w:t>
      </w:r>
      <w:r w:rsidRPr="00E27443">
        <w:t>to</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in</w:t>
      </w:r>
      <w:r w:rsidR="00C63F8F" w:rsidRPr="00E27443">
        <w:t xml:space="preserve"> </w:t>
      </w:r>
      <w:r w:rsidRPr="00E27443">
        <w:t>October</w:t>
      </w:r>
      <w:r w:rsidR="00C63F8F" w:rsidRPr="00E27443">
        <w:t xml:space="preserve"> </w:t>
      </w:r>
      <w:r w:rsidRPr="00E27443">
        <w:t>2010.</w:t>
      </w:r>
      <w:r w:rsidR="00C63F8F" w:rsidRPr="00E27443">
        <w:t xml:space="preserve"> </w:t>
      </w:r>
      <w:r w:rsidRPr="00E27443">
        <w:t>The</w:t>
      </w:r>
      <w:r w:rsidR="00C63F8F" w:rsidRPr="00E27443">
        <w:t xml:space="preserve"> </w:t>
      </w:r>
      <w:r w:rsidRPr="00E27443">
        <w:t>proposals</w:t>
      </w:r>
      <w:r w:rsidR="00C63F8F" w:rsidRPr="00E27443">
        <w:t xml:space="preserve"> </w:t>
      </w:r>
      <w:r w:rsidRPr="00E27443">
        <w:t>within</w:t>
      </w:r>
      <w:r w:rsidR="00C63F8F" w:rsidRPr="00E27443">
        <w:t xml:space="preserve"> </w:t>
      </w:r>
      <w:r w:rsidRPr="00E27443">
        <w:t>this</w:t>
      </w:r>
      <w:r w:rsidR="00C63F8F" w:rsidRPr="00E27443">
        <w:t xml:space="preserve"> </w:t>
      </w:r>
      <w:r w:rsidRPr="00E27443">
        <w:t>more</w:t>
      </w:r>
      <w:r w:rsidR="00C63F8F" w:rsidRPr="00E27443">
        <w:t xml:space="preserve"> </w:t>
      </w:r>
      <w:r w:rsidRPr="00E27443">
        <w:t>wide-ranging</w:t>
      </w:r>
      <w:r w:rsidR="00C63F8F" w:rsidRPr="00E27443">
        <w:t xml:space="preserve"> </w:t>
      </w:r>
      <w:r w:rsidRPr="00E27443">
        <w:t>issue</w:t>
      </w:r>
      <w:r w:rsidR="00C63F8F" w:rsidRPr="00E27443">
        <w:t xml:space="preserve"> </w:t>
      </w:r>
      <w:r w:rsidRPr="00E27443">
        <w:t>may</w:t>
      </w:r>
      <w:r w:rsidR="00C63F8F" w:rsidRPr="00E27443">
        <w:t xml:space="preserve"> </w:t>
      </w:r>
      <w:r w:rsidRPr="00E27443">
        <w:t>influence</w:t>
      </w:r>
      <w:r w:rsidR="00C63F8F" w:rsidRPr="00E27443">
        <w:t xml:space="preserve"> </w:t>
      </w:r>
      <w:r w:rsidRPr="00E27443">
        <w:t>and</w:t>
      </w:r>
      <w:r w:rsidR="00C63F8F" w:rsidRPr="00E27443">
        <w:t xml:space="preserve"> </w:t>
      </w:r>
      <w:r w:rsidRPr="00E27443">
        <w:t>alter</w:t>
      </w:r>
      <w:r w:rsidR="00C63F8F" w:rsidRPr="00E27443">
        <w:t xml:space="preserve"> </w:t>
      </w:r>
      <w:r w:rsidRPr="00E27443">
        <w:t>the</w:t>
      </w:r>
      <w:r w:rsidR="00C63F8F" w:rsidRPr="00E27443">
        <w:t xml:space="preserve"> </w:t>
      </w:r>
      <w:r w:rsidRPr="00E27443">
        <w:t>duties</w:t>
      </w:r>
      <w:r w:rsidR="00C63F8F" w:rsidRPr="00E27443">
        <w:t xml:space="preserve"> </w:t>
      </w:r>
      <w:r w:rsidRPr="00E27443">
        <w:t>of</w:t>
      </w:r>
      <w:r w:rsidR="00C63F8F" w:rsidRPr="00E27443">
        <w:t xml:space="preserve"> </w:t>
      </w:r>
      <w:r w:rsidRPr="00E27443">
        <w:t>those</w:t>
      </w:r>
      <w:r w:rsidR="00C63F8F" w:rsidRPr="00E27443">
        <w:t xml:space="preserve"> </w:t>
      </w:r>
      <w:r w:rsidRPr="00E27443">
        <w:t>authorities</w:t>
      </w:r>
      <w:r w:rsidR="00C63F8F" w:rsidRPr="00E27443">
        <w:t xml:space="preserve"> </w:t>
      </w:r>
      <w:r w:rsidRPr="00E27443">
        <w:t>that</w:t>
      </w:r>
      <w:r w:rsidR="00C63F8F" w:rsidRPr="00E27443">
        <w:t xml:space="preserve"> </w:t>
      </w:r>
      <w:r w:rsidRPr="00E27443">
        <w:t>the</w:t>
      </w:r>
      <w:r w:rsidR="00C63F8F" w:rsidRPr="00E27443">
        <w:t xml:space="preserve"> </w:t>
      </w:r>
      <w:r w:rsidRPr="00E27443">
        <w:t>Delegation</w:t>
      </w:r>
      <w:r w:rsidR="00C63F8F" w:rsidRPr="00E27443">
        <w:t xml:space="preserve"> </w:t>
      </w:r>
      <w:r w:rsidRPr="00E27443">
        <w:t>proposed</w:t>
      </w:r>
      <w:r w:rsidR="00C63F8F" w:rsidRPr="00E27443">
        <w:t xml:space="preserve"> </w:t>
      </w:r>
      <w:r w:rsidRPr="00E27443">
        <w:t>should</w:t>
      </w:r>
      <w:r w:rsidR="00C63F8F" w:rsidRPr="00E27443">
        <w:t xml:space="preserve"> </w:t>
      </w:r>
      <w:r w:rsidRPr="00E27443">
        <w:t>monitor</w:t>
      </w:r>
      <w:r w:rsidR="00C63F8F" w:rsidRPr="00E27443">
        <w:t xml:space="preserve"> </w:t>
      </w:r>
      <w:r w:rsidRPr="00E27443">
        <w:t>the</w:t>
      </w:r>
      <w:r w:rsidR="00C63F8F" w:rsidRPr="00E27443">
        <w:t xml:space="preserve"> </w:t>
      </w:r>
      <w:r w:rsidRPr="00E27443">
        <w:t>Convention.</w:t>
      </w:r>
      <w:r w:rsidR="00C63F8F" w:rsidRPr="00E27443">
        <w:t xml:space="preserve"> </w:t>
      </w:r>
    </w:p>
    <w:p w:rsidR="001C6663" w:rsidRPr="00E27443" w:rsidRDefault="00321ADA" w:rsidP="00877AB3">
      <w:pPr>
        <w:pStyle w:val="SingleTxtG"/>
        <w:numPr>
          <w:ilvl w:val="0"/>
          <w:numId w:val="20"/>
        </w:numPr>
        <w:tabs>
          <w:tab w:val="left" w:pos="1843"/>
        </w:tabs>
        <w:ind w:left="1134" w:firstLine="0"/>
      </w:pPr>
      <w:r w:rsidRPr="00E27443">
        <w:t>The</w:t>
      </w:r>
      <w:r w:rsidR="00C63F8F" w:rsidRPr="00E27443">
        <w:t xml:space="preserve"> </w:t>
      </w:r>
      <w:r w:rsidRPr="00E27443">
        <w:t>Delegation</w:t>
      </w:r>
      <w:r w:rsidR="00C63F8F" w:rsidRPr="00E27443">
        <w:t>’</w:t>
      </w:r>
      <w:r w:rsidRPr="00E27443">
        <w:t>s</w:t>
      </w:r>
      <w:r w:rsidR="00C63F8F" w:rsidRPr="00E27443">
        <w:t xml:space="preserve"> </w:t>
      </w:r>
      <w:r w:rsidRPr="00E27443">
        <w:t>preliminary</w:t>
      </w:r>
      <w:r w:rsidR="00C63F8F" w:rsidRPr="00E27443">
        <w:t xml:space="preserve"> </w:t>
      </w:r>
      <w:r w:rsidRPr="00E27443">
        <w:t>report</w:t>
      </w:r>
      <w:r w:rsidR="00C63F8F" w:rsidRPr="00E27443">
        <w:t xml:space="preserve"> </w:t>
      </w:r>
      <w:r w:rsidRPr="00E27443">
        <w:t>is</w:t>
      </w:r>
      <w:r w:rsidR="00C63F8F" w:rsidRPr="00E27443">
        <w:t xml:space="preserve"> </w:t>
      </w:r>
      <w:r w:rsidRPr="00E27443">
        <w:t>currently</w:t>
      </w:r>
      <w:r w:rsidR="00C63F8F" w:rsidRPr="00E27443">
        <w:t xml:space="preserve"> </w:t>
      </w:r>
      <w:r w:rsidRPr="00E27443">
        <w:t>being</w:t>
      </w:r>
      <w:r w:rsidR="00C63F8F" w:rsidRPr="00E27443">
        <w:t xml:space="preserve"> </w:t>
      </w:r>
      <w:r w:rsidRPr="00E27443">
        <w:t>prepared</w:t>
      </w:r>
      <w:r w:rsidR="00C63F8F" w:rsidRPr="00E27443">
        <w:t xml:space="preserve"> </w:t>
      </w:r>
      <w:r w:rsidRPr="00E27443">
        <w:t>within</w:t>
      </w:r>
      <w:r w:rsidR="00C63F8F" w:rsidRPr="00E27443">
        <w:t xml:space="preserve"> </w:t>
      </w:r>
      <w:r w:rsidRPr="00E27443">
        <w:t>the</w:t>
      </w:r>
      <w:r w:rsidR="00C63F8F" w:rsidRPr="00E27443">
        <w:t xml:space="preserve"> </w:t>
      </w:r>
      <w:r w:rsidRPr="00E27443">
        <w:t>Government</w:t>
      </w:r>
      <w:r w:rsidR="00C63F8F" w:rsidRPr="00E27443">
        <w:t xml:space="preserve"> </w:t>
      </w:r>
      <w:r w:rsidRPr="00E27443">
        <w:t>Offices</w:t>
      </w:r>
      <w:r w:rsidR="00C63F8F" w:rsidRPr="00E27443">
        <w:t xml:space="preserve"> </w:t>
      </w:r>
      <w:r w:rsidRPr="00E27443">
        <w:t>of</w:t>
      </w:r>
      <w:r w:rsidR="00C63F8F" w:rsidRPr="00E27443">
        <w:t xml:space="preserve"> </w:t>
      </w:r>
      <w:r w:rsidRPr="00E27443">
        <w:t>Sweden,</w:t>
      </w:r>
      <w:r w:rsidR="00C63F8F" w:rsidRPr="00E27443">
        <w:t xml:space="preserve"> </w:t>
      </w:r>
      <w:r w:rsidRPr="00E27443">
        <w:t>and</w:t>
      </w:r>
      <w:r w:rsidR="00C63F8F" w:rsidRPr="00E27443">
        <w:t xml:space="preserve"> </w:t>
      </w:r>
      <w:r w:rsidRPr="00E27443">
        <w:t>the</w:t>
      </w:r>
      <w:r w:rsidR="00C63F8F" w:rsidRPr="00E27443">
        <w:t xml:space="preserve"> </w:t>
      </w:r>
      <w:r w:rsidRPr="00E27443">
        <w:t>Delegation</w:t>
      </w:r>
      <w:r w:rsidR="00C63F8F" w:rsidRPr="00E27443">
        <w:t>’</w:t>
      </w:r>
      <w:r w:rsidRPr="00E27443">
        <w:t>s</w:t>
      </w:r>
      <w:r w:rsidR="00C63F8F" w:rsidRPr="00E27443">
        <w:t xml:space="preserve"> </w:t>
      </w:r>
      <w:r w:rsidRPr="00E27443">
        <w:t>final</w:t>
      </w:r>
      <w:r w:rsidR="00C63F8F" w:rsidRPr="00E27443">
        <w:t xml:space="preserve"> </w:t>
      </w:r>
      <w:r w:rsidRPr="00E27443">
        <w:t>report</w:t>
      </w:r>
      <w:r w:rsidR="00C63F8F" w:rsidRPr="00E27443">
        <w:t xml:space="preserve"> </w:t>
      </w:r>
      <w:r w:rsidRPr="00E27443">
        <w:t>will</w:t>
      </w:r>
      <w:r w:rsidR="00C63F8F" w:rsidRPr="00E27443">
        <w:t xml:space="preserve"> </w:t>
      </w:r>
      <w:r w:rsidRPr="00E27443">
        <w:t>also</w:t>
      </w:r>
      <w:r w:rsidR="00C63F8F" w:rsidRPr="00E27443">
        <w:t xml:space="preserve"> </w:t>
      </w:r>
      <w:r w:rsidRPr="00E27443">
        <w:t>be</w:t>
      </w:r>
      <w:r w:rsidR="00C63F8F" w:rsidRPr="00E27443">
        <w:t xml:space="preserve"> </w:t>
      </w:r>
      <w:r w:rsidRPr="00E27443">
        <w:t>considered</w:t>
      </w:r>
      <w:r w:rsidR="00C63F8F" w:rsidRPr="00E27443">
        <w:t xml:space="preserve"> </w:t>
      </w:r>
      <w:r w:rsidRPr="00E27443">
        <w:t>in</w:t>
      </w:r>
      <w:r w:rsidR="00C63F8F" w:rsidRPr="00E27443">
        <w:t xml:space="preserve"> </w:t>
      </w:r>
      <w:r w:rsidRPr="00E27443">
        <w:t>the</w:t>
      </w:r>
      <w:r w:rsidR="00C63F8F" w:rsidRPr="00E27443">
        <w:t xml:space="preserve"> </w:t>
      </w:r>
      <w:r w:rsidRPr="00E27443">
        <w:t>final</w:t>
      </w:r>
      <w:r w:rsidR="00C63F8F" w:rsidRPr="00E27443">
        <w:t xml:space="preserve"> </w:t>
      </w:r>
      <w:r w:rsidRPr="00E27443">
        <w:t>position</w:t>
      </w:r>
      <w:r w:rsidR="00C63F8F" w:rsidRPr="00E27443">
        <w:t xml:space="preserve"> </w:t>
      </w:r>
      <w:r w:rsidRPr="00E27443">
        <w:t>with</w:t>
      </w:r>
      <w:r w:rsidR="00C63F8F" w:rsidRPr="00E27443">
        <w:t xml:space="preserve"> </w:t>
      </w:r>
      <w:r w:rsidRPr="00E27443">
        <w:t>respect</w:t>
      </w:r>
      <w:r w:rsidR="00C63F8F" w:rsidRPr="00E27443">
        <w:t xml:space="preserve"> </w:t>
      </w:r>
      <w:r w:rsidRPr="00E27443">
        <w:t>to</w:t>
      </w:r>
      <w:r w:rsidR="00C63F8F" w:rsidRPr="00E27443">
        <w:t xml:space="preserve"> </w:t>
      </w:r>
      <w:r w:rsidRPr="00E27443">
        <w:t>which</w:t>
      </w:r>
      <w:r w:rsidR="00C63F8F" w:rsidRPr="00E27443">
        <w:t xml:space="preserve"> </w:t>
      </w:r>
      <w:r w:rsidRPr="00E27443">
        <w:t>body</w:t>
      </w:r>
      <w:r w:rsidR="00C63F8F" w:rsidRPr="00E27443">
        <w:t xml:space="preserve"> </w:t>
      </w:r>
      <w:r w:rsidRPr="00E27443">
        <w:t>will</w:t>
      </w:r>
      <w:r w:rsidR="00C63F8F" w:rsidRPr="00E27443">
        <w:t xml:space="preserve"> </w:t>
      </w:r>
      <w:r w:rsidRPr="00E27443">
        <w:t>be</w:t>
      </w:r>
      <w:r w:rsidR="00C63F8F" w:rsidRPr="00E27443">
        <w:t xml:space="preserve"> </w:t>
      </w:r>
      <w:r w:rsidRPr="00E27443">
        <w:t>responsible</w:t>
      </w:r>
      <w:r w:rsidR="00C63F8F" w:rsidRPr="00E27443">
        <w:t xml:space="preserve"> </w:t>
      </w:r>
      <w:r w:rsidRPr="00E27443">
        <w:t>for</w:t>
      </w:r>
      <w:r w:rsidR="00C63F8F" w:rsidRPr="00E27443">
        <w:t xml:space="preserve"> </w:t>
      </w:r>
      <w:r w:rsidRPr="00E27443">
        <w:t>the</w:t>
      </w:r>
      <w:r w:rsidR="00C63F8F" w:rsidRPr="00E27443">
        <w:t xml:space="preserve"> </w:t>
      </w:r>
      <w:r w:rsidRPr="00E27443">
        <w:t>national</w:t>
      </w:r>
      <w:r w:rsidR="00C63F8F" w:rsidRPr="00E27443">
        <w:t xml:space="preserve"> </w:t>
      </w:r>
      <w:r w:rsidRPr="00E27443">
        <w:t>implementation</w:t>
      </w:r>
      <w:r w:rsidR="00C63F8F" w:rsidRPr="00E27443">
        <w:t xml:space="preserve"> </w:t>
      </w:r>
      <w:r w:rsidRPr="00E27443">
        <w:t>and</w:t>
      </w:r>
      <w:r w:rsidR="00C63F8F" w:rsidRPr="00E27443">
        <w:t xml:space="preserve"> </w:t>
      </w:r>
      <w:r w:rsidRPr="00E27443">
        <w:t>monitoring</w:t>
      </w:r>
      <w:r w:rsidR="00C63F8F" w:rsidRPr="00E27443">
        <w:t xml:space="preserve"> </w:t>
      </w:r>
      <w:r w:rsidRPr="00E27443">
        <w:t>of</w:t>
      </w:r>
      <w:r w:rsidR="00C63F8F" w:rsidRPr="00E27443">
        <w:t xml:space="preserve"> </w:t>
      </w:r>
      <w:r w:rsidRPr="00E27443">
        <w:t>the</w:t>
      </w:r>
      <w:r w:rsidR="00C63F8F" w:rsidRPr="00E27443">
        <w:t xml:space="preserve"> </w:t>
      </w:r>
      <w:r w:rsidRPr="00E27443">
        <w:t>Convention.</w:t>
      </w:r>
    </w:p>
    <w:p w:rsidR="00FE4AE8" w:rsidRPr="00E27443" w:rsidRDefault="00C56B1C">
      <w:pPr>
        <w:spacing w:before="240"/>
        <w:jc w:val="center"/>
        <w:rPr>
          <w:u w:val="single"/>
        </w:rPr>
      </w:pPr>
      <w:r w:rsidRPr="00E27443">
        <w:rPr>
          <w:u w:val="single"/>
        </w:rPr>
        <w:tab/>
      </w:r>
      <w:r w:rsidRPr="00E27443">
        <w:rPr>
          <w:u w:val="single"/>
        </w:rPr>
        <w:tab/>
      </w:r>
      <w:r w:rsidRPr="00E27443">
        <w:rPr>
          <w:u w:val="single"/>
        </w:rPr>
        <w:tab/>
      </w:r>
    </w:p>
    <w:sectPr w:rsidR="00FE4AE8" w:rsidRPr="00E27443" w:rsidSect="00321AD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A2" w:rsidRDefault="00B92EA2"/>
  </w:endnote>
  <w:endnote w:type="continuationSeparator" w:id="0">
    <w:p w:rsidR="00B92EA2" w:rsidRDefault="00B92EA2"/>
  </w:endnote>
  <w:endnote w:type="continuationNotice" w:id="1">
    <w:p w:rsidR="00B92EA2" w:rsidRDefault="00B92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49" w:rsidRPr="00321ADA" w:rsidRDefault="000E3949" w:rsidP="00321ADA">
    <w:pPr>
      <w:pStyle w:val="Footer"/>
      <w:tabs>
        <w:tab w:val="right" w:pos="9638"/>
      </w:tabs>
    </w:pPr>
    <w:r w:rsidRPr="00321ADA">
      <w:rPr>
        <w:b/>
        <w:sz w:val="18"/>
      </w:rPr>
      <w:fldChar w:fldCharType="begin"/>
    </w:r>
    <w:r w:rsidRPr="00321ADA">
      <w:rPr>
        <w:b/>
        <w:sz w:val="18"/>
      </w:rPr>
      <w:instrText xml:space="preserve"> PAGE  \* MERGEFORMAT </w:instrText>
    </w:r>
    <w:r w:rsidRPr="00321ADA">
      <w:rPr>
        <w:b/>
        <w:sz w:val="18"/>
      </w:rPr>
      <w:fldChar w:fldCharType="separate"/>
    </w:r>
    <w:r w:rsidR="008C4B94">
      <w:rPr>
        <w:b/>
        <w:noProof/>
        <w:sz w:val="18"/>
      </w:rPr>
      <w:t>56</w:t>
    </w:r>
    <w:r w:rsidRPr="00321ADA">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49" w:rsidRPr="00321ADA" w:rsidRDefault="000E3949" w:rsidP="00321ADA">
    <w:pPr>
      <w:pStyle w:val="Footer"/>
      <w:tabs>
        <w:tab w:val="right" w:pos="9638"/>
      </w:tabs>
      <w:rPr>
        <w:b/>
        <w:sz w:val="18"/>
      </w:rPr>
    </w:pPr>
    <w:r>
      <w:tab/>
    </w:r>
    <w:r w:rsidRPr="00321ADA">
      <w:rPr>
        <w:b/>
        <w:sz w:val="18"/>
      </w:rPr>
      <w:fldChar w:fldCharType="begin"/>
    </w:r>
    <w:r w:rsidRPr="00321ADA">
      <w:rPr>
        <w:b/>
        <w:sz w:val="18"/>
      </w:rPr>
      <w:instrText xml:space="preserve"> PAGE  \* MERGEFORMAT </w:instrText>
    </w:r>
    <w:r w:rsidRPr="00321ADA">
      <w:rPr>
        <w:b/>
        <w:sz w:val="18"/>
      </w:rPr>
      <w:fldChar w:fldCharType="separate"/>
    </w:r>
    <w:r w:rsidR="008C4B94">
      <w:rPr>
        <w:b/>
        <w:noProof/>
        <w:sz w:val="18"/>
      </w:rPr>
      <w:t>57</w:t>
    </w:r>
    <w:r w:rsidRPr="00321A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49" w:rsidRPr="00CF679D" w:rsidRDefault="000E3949" w:rsidP="00321ADA">
    <w:pPr>
      <w:pStyle w:val="Footer"/>
      <w:spacing w:before="240"/>
      <w:rPr>
        <w:lang w:val="es-ES"/>
      </w:rPr>
    </w:pPr>
    <w:r w:rsidRPr="00CF679D">
      <w:rPr>
        <w:sz w:val="20"/>
        <w:lang w:val="es-ES"/>
      </w:rPr>
      <w:t>GE.1</w:t>
    </w:r>
    <w:r w:rsidR="008916B4">
      <w:rPr>
        <w:sz w:val="20"/>
        <w:lang w:val="es-ES"/>
      </w:rPr>
      <w:t>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4.25pt;width:73.25pt;height:18.15pt;z-index:1;mso-position-horizontal-relative:text;mso-position-vertical-relative:text">
          <v:imagedata r:id="rId1" o:title="recycle_English"/>
          <w10:anchorlock/>
        </v:shape>
      </w:pict>
    </w:r>
    <w:r w:rsidR="0078449F">
      <w:rPr>
        <w:sz w:val="20"/>
        <w:lang w:val="es-ES"/>
      </w:rPr>
      <w:t>-46131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A2" w:rsidRPr="000B175B" w:rsidRDefault="00B92EA2" w:rsidP="000B175B">
      <w:pPr>
        <w:tabs>
          <w:tab w:val="right" w:pos="2155"/>
        </w:tabs>
        <w:spacing w:after="80"/>
        <w:ind w:left="680"/>
        <w:rPr>
          <w:u w:val="single"/>
        </w:rPr>
      </w:pPr>
      <w:r>
        <w:rPr>
          <w:u w:val="single"/>
        </w:rPr>
        <w:tab/>
      </w:r>
    </w:p>
  </w:footnote>
  <w:footnote w:type="continuationSeparator" w:id="0">
    <w:p w:rsidR="00B92EA2" w:rsidRPr="00FC68B7" w:rsidRDefault="00B92EA2" w:rsidP="00FC68B7">
      <w:pPr>
        <w:tabs>
          <w:tab w:val="left" w:pos="2155"/>
        </w:tabs>
        <w:spacing w:after="80"/>
        <w:ind w:left="680"/>
        <w:rPr>
          <w:u w:val="single"/>
        </w:rPr>
      </w:pPr>
      <w:r>
        <w:rPr>
          <w:u w:val="single"/>
        </w:rPr>
        <w:tab/>
      </w:r>
    </w:p>
  </w:footnote>
  <w:footnote w:type="continuationNotice" w:id="1">
    <w:p w:rsidR="00B92EA2" w:rsidRDefault="00B92EA2"/>
  </w:footnote>
  <w:footnote w:id="2">
    <w:p w:rsidR="000E3949" w:rsidRDefault="000E3949" w:rsidP="00CF679D">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0E3949" w:rsidRPr="000A0284" w:rsidRDefault="000E3949" w:rsidP="00D9332D">
      <w:pPr>
        <w:pStyle w:val="FootnoteText"/>
        <w:widowControl w:val="0"/>
        <w:tabs>
          <w:tab w:val="clear" w:pos="1021"/>
          <w:tab w:val="right" w:pos="1020"/>
        </w:tabs>
        <w:ind w:firstLine="0"/>
      </w:pPr>
      <w:r w:rsidRPr="000A0284">
        <w:rPr>
          <w:rStyle w:val="FootnoteReference"/>
        </w:rPr>
        <w:footnoteRef/>
      </w:r>
      <w:r w:rsidRPr="000A0284">
        <w:tab/>
        <w:t xml:space="preserve">Guidelines on treaty-specific document to be submitted by states parties under article 35, paragraph 1, of the Convention on the Rights of Persons with Disabilities, 18 November 2009, CRPD/C/2/3. </w:t>
      </w:r>
    </w:p>
  </w:footnote>
  <w:footnote w:id="4">
    <w:p w:rsidR="000E3949" w:rsidRPr="000A0284" w:rsidRDefault="000E3949" w:rsidP="00D9332D">
      <w:pPr>
        <w:pStyle w:val="FootnoteText"/>
        <w:widowControl w:val="0"/>
        <w:tabs>
          <w:tab w:val="clear" w:pos="1021"/>
          <w:tab w:val="right" w:pos="1020"/>
        </w:tabs>
        <w:ind w:firstLine="0"/>
      </w:pPr>
      <w:r w:rsidRPr="000A0284">
        <w:rPr>
          <w:rStyle w:val="FootnoteReference"/>
        </w:rPr>
        <w:footnoteRef/>
      </w:r>
      <w:r w:rsidRPr="000A0284">
        <w:tab/>
        <w:t xml:space="preserve">Government bill 2008/09:28. </w:t>
      </w:r>
    </w:p>
  </w:footnote>
  <w:footnote w:id="5">
    <w:p w:rsidR="000E3949" w:rsidRPr="000A0284" w:rsidRDefault="000E3949" w:rsidP="00D9332D">
      <w:pPr>
        <w:pStyle w:val="FootnoteText"/>
        <w:widowControl w:val="0"/>
        <w:tabs>
          <w:tab w:val="clear" w:pos="1021"/>
          <w:tab w:val="right" w:pos="1020"/>
        </w:tabs>
        <w:ind w:firstLine="0"/>
      </w:pPr>
      <w:r w:rsidRPr="000A0284">
        <w:rPr>
          <w:rStyle w:val="FootnoteReference"/>
        </w:rPr>
        <w:footnoteRef/>
      </w:r>
      <w:r w:rsidRPr="000A0284">
        <w:tab/>
        <w:t xml:space="preserve">Government bill 2008/09:28. </w:t>
      </w:r>
    </w:p>
  </w:footnote>
  <w:footnote w:id="6">
    <w:p w:rsidR="000E3949" w:rsidRPr="000A0284" w:rsidRDefault="000E3949" w:rsidP="00D9332D">
      <w:pPr>
        <w:pStyle w:val="FootnoteText"/>
        <w:widowControl w:val="0"/>
        <w:tabs>
          <w:tab w:val="clear" w:pos="1021"/>
          <w:tab w:val="right" w:pos="1020"/>
        </w:tabs>
        <w:ind w:firstLine="0"/>
      </w:pPr>
      <w:r w:rsidRPr="000A0284">
        <w:rPr>
          <w:rStyle w:val="FootnoteReference"/>
        </w:rPr>
        <w:footnoteRef/>
      </w:r>
      <w:r w:rsidRPr="000A0284">
        <w:tab/>
        <w:t xml:space="preserve">Departmental communication 2008:78. </w:t>
      </w:r>
    </w:p>
  </w:footnote>
  <w:footnote w:id="7">
    <w:p w:rsidR="000E3949" w:rsidRPr="000A0284" w:rsidRDefault="000E3949" w:rsidP="00D9332D">
      <w:pPr>
        <w:pStyle w:val="FootnoteText"/>
        <w:widowControl w:val="0"/>
        <w:tabs>
          <w:tab w:val="clear" w:pos="1021"/>
          <w:tab w:val="right" w:pos="1020"/>
        </w:tabs>
        <w:ind w:firstLine="0"/>
      </w:pPr>
      <w:r w:rsidRPr="000A0284">
        <w:rPr>
          <w:rStyle w:val="FootnoteReference"/>
        </w:rPr>
        <w:footnoteRef/>
      </w:r>
      <w:r w:rsidRPr="000A0284">
        <w:tab/>
        <w:t xml:space="preserve">SFS 1987:10. </w:t>
      </w:r>
    </w:p>
  </w:footnote>
  <w:footnote w:id="8">
    <w:p w:rsidR="000E3949" w:rsidRPr="000A0284" w:rsidRDefault="000E3949" w:rsidP="00D9332D">
      <w:pPr>
        <w:pStyle w:val="FootnoteText"/>
        <w:widowControl w:val="0"/>
        <w:tabs>
          <w:tab w:val="clear" w:pos="1021"/>
          <w:tab w:val="right" w:pos="1020"/>
        </w:tabs>
        <w:ind w:firstLine="0"/>
      </w:pPr>
      <w:r w:rsidRPr="000A0284">
        <w:rPr>
          <w:rStyle w:val="FootnoteReference"/>
        </w:rPr>
        <w:footnoteRef/>
      </w:r>
      <w:r w:rsidRPr="000A0284">
        <w:tab/>
        <w:t xml:space="preserve">SFS 1987:10, § 15, first subsection, point 5. </w:t>
      </w:r>
    </w:p>
  </w:footnote>
  <w:footnote w:id="9">
    <w:p w:rsidR="000E3949" w:rsidRPr="000A0284" w:rsidRDefault="000E3949" w:rsidP="00D9332D">
      <w:pPr>
        <w:pStyle w:val="FootnoteText"/>
        <w:widowControl w:val="0"/>
        <w:tabs>
          <w:tab w:val="clear" w:pos="1021"/>
          <w:tab w:val="right" w:pos="1020"/>
        </w:tabs>
        <w:ind w:firstLine="0"/>
      </w:pPr>
      <w:r w:rsidRPr="000A0284">
        <w:rPr>
          <w:rStyle w:val="FootnoteReference"/>
        </w:rPr>
        <w:footnoteRef/>
      </w:r>
      <w:r w:rsidRPr="000A0284">
        <w:tab/>
        <w:t xml:space="preserve">SFS 2008:567. </w:t>
      </w:r>
    </w:p>
  </w:footnote>
  <w:footnote w:id="10">
    <w:p w:rsidR="000E3949" w:rsidRPr="000A0284" w:rsidRDefault="000E3949" w:rsidP="00064780">
      <w:pPr>
        <w:pStyle w:val="FootnoteText"/>
        <w:widowControl w:val="0"/>
        <w:tabs>
          <w:tab w:val="clear" w:pos="1021"/>
          <w:tab w:val="right" w:pos="1020"/>
        </w:tabs>
        <w:ind w:firstLine="0"/>
      </w:pPr>
      <w:r w:rsidRPr="000A0284">
        <w:rPr>
          <w:rStyle w:val="FootnoteReference"/>
        </w:rPr>
        <w:footnoteRef/>
      </w:r>
      <w:r w:rsidRPr="000A0284">
        <w:tab/>
      </w:r>
      <w:r w:rsidRPr="000A0284">
        <w:rPr>
          <w:i/>
        </w:rPr>
        <w:t>Alltjämt ojämlikt! [Increasingly unequal!]</w:t>
      </w:r>
      <w:r w:rsidRPr="000A0284">
        <w:t xml:space="preserve">, </w:t>
      </w:r>
      <w:r w:rsidRPr="000A0284">
        <w:rPr>
          <w:i/>
        </w:rPr>
        <w:t>June 2010</w:t>
      </w:r>
      <w:r w:rsidRPr="000A0284">
        <w:t xml:space="preserve">. </w:t>
      </w:r>
    </w:p>
  </w:footnote>
  <w:footnote w:id="11">
    <w:p w:rsidR="000E3949" w:rsidRPr="000A0284" w:rsidRDefault="000E3949" w:rsidP="00064780">
      <w:pPr>
        <w:pStyle w:val="FootnoteText"/>
        <w:widowControl w:val="0"/>
        <w:tabs>
          <w:tab w:val="clear" w:pos="1021"/>
          <w:tab w:val="right" w:pos="1020"/>
        </w:tabs>
        <w:ind w:firstLine="0"/>
      </w:pPr>
      <w:r w:rsidRPr="000A0284">
        <w:rPr>
          <w:rStyle w:val="FootnoteReference"/>
        </w:rPr>
        <w:footnoteRef/>
      </w:r>
      <w:r w:rsidRPr="000A0284">
        <w:tab/>
        <w:t xml:space="preserve">The Constitution Act, Section 1, § 2. </w:t>
      </w:r>
    </w:p>
  </w:footnote>
  <w:footnote w:id="12">
    <w:p w:rsidR="000E3949" w:rsidRPr="000A0284" w:rsidRDefault="000E3949" w:rsidP="00064780">
      <w:pPr>
        <w:pStyle w:val="FootnoteText"/>
        <w:widowControl w:val="0"/>
        <w:tabs>
          <w:tab w:val="clear" w:pos="1021"/>
          <w:tab w:val="right" w:pos="1020"/>
        </w:tabs>
        <w:ind w:firstLine="0"/>
      </w:pPr>
      <w:r w:rsidRPr="000A0284">
        <w:rPr>
          <w:rStyle w:val="FootnoteReference"/>
        </w:rPr>
        <w:footnoteRef/>
      </w:r>
      <w:r w:rsidRPr="000A0284">
        <w:tab/>
        <w:t xml:space="preserve">SFS 2008:567. </w:t>
      </w:r>
    </w:p>
  </w:footnote>
  <w:footnote w:id="13">
    <w:p w:rsidR="000E3949" w:rsidRPr="000A0284" w:rsidRDefault="000E3949" w:rsidP="00064780">
      <w:pPr>
        <w:pStyle w:val="FootnoteText"/>
        <w:widowControl w:val="0"/>
        <w:tabs>
          <w:tab w:val="clear" w:pos="1021"/>
          <w:tab w:val="right" w:pos="1020"/>
        </w:tabs>
        <w:ind w:firstLine="0"/>
      </w:pPr>
      <w:r w:rsidRPr="000A0284">
        <w:rPr>
          <w:rStyle w:val="FootnoteReference"/>
        </w:rPr>
        <w:footnoteRef/>
      </w:r>
      <w:r w:rsidRPr="000A0284">
        <w:tab/>
        <w:t xml:space="preserve">SFS 1994:260. </w:t>
      </w:r>
    </w:p>
  </w:footnote>
  <w:footnote w:id="14">
    <w:p w:rsidR="000E3949" w:rsidRPr="000A0284" w:rsidRDefault="000E3949" w:rsidP="00064780">
      <w:pPr>
        <w:pStyle w:val="FootnoteText"/>
        <w:widowControl w:val="0"/>
        <w:tabs>
          <w:tab w:val="clear" w:pos="1021"/>
          <w:tab w:val="right" w:pos="1020"/>
        </w:tabs>
        <w:ind w:firstLine="0"/>
      </w:pPr>
      <w:r w:rsidRPr="000A0284">
        <w:rPr>
          <w:rStyle w:val="FootnoteReference"/>
        </w:rPr>
        <w:footnoteRef/>
      </w:r>
      <w:r w:rsidRPr="000A0284">
        <w:tab/>
        <w:t xml:space="preserve">SFS 2008:567, Section 2, § 1. </w:t>
      </w:r>
    </w:p>
  </w:footnote>
  <w:footnote w:id="15">
    <w:p w:rsidR="000E3949" w:rsidRPr="000A0284" w:rsidRDefault="000E3949" w:rsidP="00940EC1">
      <w:pPr>
        <w:pStyle w:val="FootnoteText"/>
        <w:widowControl w:val="0"/>
        <w:tabs>
          <w:tab w:val="clear" w:pos="1021"/>
          <w:tab w:val="right" w:pos="1020"/>
        </w:tabs>
        <w:ind w:firstLine="0"/>
      </w:pPr>
      <w:r w:rsidRPr="000A0284">
        <w:rPr>
          <w:rStyle w:val="FootnoteReference"/>
        </w:rPr>
        <w:footnoteRef/>
      </w:r>
      <w:r w:rsidRPr="000A0284">
        <w:tab/>
        <w:t xml:space="preserve">SFS 2008:567, Section 2, § 5. </w:t>
      </w:r>
    </w:p>
  </w:footnote>
  <w:footnote w:id="16">
    <w:p w:rsidR="000E3949" w:rsidRPr="000A0284" w:rsidRDefault="000E3949" w:rsidP="00940EC1">
      <w:pPr>
        <w:pStyle w:val="FootnoteText"/>
        <w:widowControl w:val="0"/>
        <w:tabs>
          <w:tab w:val="clear" w:pos="1021"/>
          <w:tab w:val="right" w:pos="1020"/>
        </w:tabs>
        <w:ind w:firstLine="0"/>
      </w:pPr>
      <w:r w:rsidRPr="000A0284">
        <w:rPr>
          <w:rStyle w:val="FootnoteReference"/>
        </w:rPr>
        <w:footnoteRef/>
      </w:r>
      <w:r w:rsidRPr="000A0284">
        <w:tab/>
        <w:t xml:space="preserve">SFS 1992:1434. </w:t>
      </w:r>
    </w:p>
  </w:footnote>
  <w:footnote w:id="17">
    <w:p w:rsidR="000E3949" w:rsidRPr="000A0284" w:rsidRDefault="000E3949" w:rsidP="00940EC1">
      <w:pPr>
        <w:pStyle w:val="FootnoteText"/>
        <w:widowControl w:val="0"/>
        <w:tabs>
          <w:tab w:val="clear" w:pos="1021"/>
          <w:tab w:val="right" w:pos="1020"/>
        </w:tabs>
        <w:ind w:firstLine="0"/>
      </w:pPr>
      <w:r w:rsidRPr="000A0284">
        <w:rPr>
          <w:rStyle w:val="FootnoteReference"/>
        </w:rPr>
        <w:footnoteRef/>
      </w:r>
      <w:r w:rsidRPr="000A0284">
        <w:tab/>
        <w:t xml:space="preserve">SFS 1993:792. </w:t>
      </w:r>
    </w:p>
  </w:footnote>
  <w:footnote w:id="18">
    <w:p w:rsidR="000E3949" w:rsidRPr="000A0284" w:rsidRDefault="000E3949" w:rsidP="00940EC1">
      <w:pPr>
        <w:pStyle w:val="FootnoteText"/>
        <w:widowControl w:val="0"/>
        <w:tabs>
          <w:tab w:val="clear" w:pos="1021"/>
          <w:tab w:val="right" w:pos="1020"/>
        </w:tabs>
        <w:ind w:firstLine="0"/>
      </w:pPr>
      <w:r w:rsidRPr="000A0284">
        <w:rPr>
          <w:rStyle w:val="FootnoteReference"/>
        </w:rPr>
        <w:footnoteRef/>
      </w:r>
      <w:r w:rsidRPr="000A0284">
        <w:tab/>
        <w:t xml:space="preserve">SFS 2008:567, Section 2, § 5, second paragraph. </w:t>
      </w:r>
    </w:p>
  </w:footnote>
  <w:footnote w:id="19">
    <w:p w:rsidR="000E3949" w:rsidRPr="000A0284" w:rsidRDefault="000E3949" w:rsidP="00940EC1">
      <w:pPr>
        <w:pStyle w:val="FootnoteText"/>
        <w:widowControl w:val="0"/>
        <w:tabs>
          <w:tab w:val="clear" w:pos="1021"/>
          <w:tab w:val="right" w:pos="1020"/>
        </w:tabs>
        <w:ind w:firstLine="0"/>
      </w:pPr>
      <w:r w:rsidRPr="000A0284">
        <w:rPr>
          <w:rStyle w:val="FootnoteReference"/>
        </w:rPr>
        <w:footnoteRef/>
      </w:r>
      <w:r w:rsidRPr="000A0284">
        <w:tab/>
        <w:t xml:space="preserve">SFS 2008:567, Section 3, §§ 14 and 16. </w:t>
      </w:r>
    </w:p>
  </w:footnote>
  <w:footnote w:id="20">
    <w:p w:rsidR="000E3949" w:rsidRPr="000A0284" w:rsidRDefault="000E3949" w:rsidP="00940EC1">
      <w:pPr>
        <w:pStyle w:val="FootnoteText"/>
        <w:widowControl w:val="0"/>
        <w:tabs>
          <w:tab w:val="clear" w:pos="1021"/>
          <w:tab w:val="right" w:pos="1020"/>
        </w:tabs>
        <w:ind w:firstLine="0"/>
      </w:pPr>
      <w:r w:rsidRPr="000A0284">
        <w:rPr>
          <w:rStyle w:val="FootnoteReference"/>
        </w:rPr>
        <w:footnoteRef/>
      </w:r>
      <w:r w:rsidRPr="000A0284">
        <w:tab/>
        <w:t xml:space="preserve">Government Bill 2008/09:158. </w:t>
      </w:r>
    </w:p>
  </w:footnote>
  <w:footnote w:id="21">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task of the Swedish National Courts Administration is to provide administrative support and service to the Swedish Courts. The Administration is responsible for overall co-ordination and joint issues that relate to the courts, but has no powers over final judgments or decisions of the courts. </w:t>
      </w:r>
    </w:p>
  </w:footnote>
  <w:footnote w:id="22">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Swedish Association of Local Authorities and Regions (SALAR) is an employer and trade association. SALAR’s membership comprises </w:t>
      </w:r>
      <w:smartTag w:uri="urn:schemas-microsoft-com:office:smarttags" w:element="place">
        <w:smartTag w:uri="urn:schemas-microsoft-com:office:smarttags" w:element="country-region">
          <w:r w:rsidRPr="000A0284">
            <w:t>Sweden</w:t>
          </w:r>
        </w:smartTag>
      </w:smartTag>
      <w:r w:rsidRPr="000A0284">
        <w:t xml:space="preserve">’s 290 municipalities and 20 county councils. </w:t>
      </w:r>
    </w:p>
  </w:footnote>
  <w:footnote w:id="23">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Swedish Association of the Visually Impaired, Forum – Women and Disability in </w:t>
      </w:r>
      <w:smartTag w:uri="urn:schemas-microsoft-com:office:smarttags" w:element="place">
        <w:smartTag w:uri="urn:schemas-microsoft-com:office:smarttags" w:element="country-region">
          <w:r w:rsidRPr="000A0284">
            <w:t>Sweden</w:t>
          </w:r>
        </w:smartTag>
      </w:smartTag>
      <w:r w:rsidRPr="000A0284">
        <w:t xml:space="preserve">, the Swedish Committee of Rehabilitation International. </w:t>
      </w:r>
    </w:p>
  </w:footnote>
  <w:footnote w:id="24">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Swedish Inheritance Fund is a Swedish national fund, which receives the funds from deceased estates that do not have any beneficiaries or where there is no written will. The Fund will use project funds etc. to promote activities of a non-profit nature to the benefit of children, young people and people with disabilities. </w:t>
      </w:r>
    </w:p>
  </w:footnote>
  <w:footnote w:id="25">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code of conduct is an agreement between the Council, the </w:t>
      </w:r>
      <w:smartTag w:uri="urn:schemas-microsoft-com:office:smarttags" w:element="place">
        <w:smartTag w:uri="urn:schemas-microsoft-com:office:smarttags" w:element="PlaceName">
          <w:r w:rsidRPr="000A0284">
            <w:t>Member</w:t>
          </w:r>
        </w:smartTag>
        <w:r w:rsidRPr="000A0284">
          <w:t xml:space="preserve"> </w:t>
        </w:r>
        <w:smartTag w:uri="urn:schemas-microsoft-com:office:smarttags" w:element="PlaceType">
          <w:r w:rsidRPr="000A0284">
            <w:t>States</w:t>
          </w:r>
        </w:smartTag>
      </w:smartTag>
      <w:r w:rsidRPr="000A0284">
        <w:t xml:space="preserve"> of the EU and the European Commission, prior to the implementation of the Convention, and specifies who will represent the EU in relation to the UN. </w:t>
      </w:r>
    </w:p>
  </w:footnote>
  <w:footnote w:id="26">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Council of Europe Action Plan to promote the rights and full participation of people with disabilities in society (2006–2015). </w:t>
      </w:r>
    </w:p>
  </w:footnote>
  <w:footnote w:id="27">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report: Kartläggning över initiativ för e-Inkludering i EU och Sverige [Charting initiatives for e-Inclusion in the EU and </w:t>
      </w:r>
      <w:smartTag w:uri="urn:schemas-microsoft-com:office:smarttags" w:element="place">
        <w:smartTag w:uri="urn:schemas-microsoft-com:office:smarttags" w:element="country-region">
          <w:r w:rsidRPr="000A0284">
            <w:t>Sweden</w:t>
          </w:r>
        </w:smartTag>
      </w:smartTag>
      <w:r w:rsidRPr="000A0284">
        <w:t xml:space="preserve">], 2010. </w:t>
      </w:r>
    </w:p>
  </w:footnote>
  <w:footnote w:id="28">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report: Rätt från början [Right from the beginning], 2009. </w:t>
      </w:r>
    </w:p>
  </w:footnote>
  <w:footnote w:id="29">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N2010/5802/ITP. </w:t>
      </w:r>
    </w:p>
  </w:footnote>
  <w:footnote w:id="30">
    <w:p w:rsidR="000E3949" w:rsidRDefault="000E3949" w:rsidP="00BD2984">
      <w:pPr>
        <w:pStyle w:val="FootnoteText"/>
        <w:widowControl w:val="0"/>
        <w:tabs>
          <w:tab w:val="clear" w:pos="1021"/>
          <w:tab w:val="right" w:pos="1020"/>
        </w:tabs>
        <w:spacing w:after="60"/>
        <w:ind w:firstLine="0"/>
      </w:pPr>
      <w:r w:rsidRPr="000A0284">
        <w:rPr>
          <w:rStyle w:val="FootnoteReference"/>
        </w:rPr>
        <w:footnoteRef/>
      </w:r>
      <w:r w:rsidRPr="000A0284">
        <w:tab/>
        <w:t xml:space="preserve">The Lisbon Agenda was a ten-year strategy that was adopted by the Council of Europe in </w:t>
      </w:r>
      <w:smartTag w:uri="urn:schemas-microsoft-com:office:smarttags" w:element="place">
        <w:smartTag w:uri="urn:schemas-microsoft-com:office:smarttags" w:element="City">
          <w:r w:rsidRPr="000A0284">
            <w:t>Lisbon</w:t>
          </w:r>
        </w:smartTag>
      </w:smartTag>
      <w:r w:rsidRPr="000A0284">
        <w:t xml:space="preserve"> in March 2000, with the aim of making the European economy more competitive and dynamic between 2000 and 2010. The </w:t>
      </w:r>
      <w:smartTag w:uri="urn:schemas-microsoft-com:office:smarttags" w:element="place">
        <w:r w:rsidRPr="000A0284">
          <w:t>Union</w:t>
        </w:r>
      </w:smartTag>
      <w:r w:rsidRPr="000A0284">
        <w:t xml:space="preserve"> did not manage to achieve several of the goals in the strategy.</w:t>
      </w:r>
    </w:p>
    <w:p w:rsidR="000E3949" w:rsidRPr="000A0284" w:rsidRDefault="000E3949" w:rsidP="00BD2984">
      <w:pPr>
        <w:pStyle w:val="FootnoteText"/>
        <w:widowControl w:val="0"/>
        <w:tabs>
          <w:tab w:val="clear" w:pos="1021"/>
          <w:tab w:val="right" w:pos="1020"/>
        </w:tabs>
        <w:spacing w:after="60"/>
        <w:ind w:firstLine="0"/>
      </w:pPr>
      <w:r>
        <w:tab/>
        <w:t xml:space="preserve">In June 2010, the </w:t>
      </w:r>
      <w:smartTag w:uri="urn:schemas-microsoft-com:office:smarttags" w:element="place">
        <w:r>
          <w:t>Union</w:t>
        </w:r>
      </w:smartTag>
      <w:r>
        <w:t xml:space="preserve"> adopted a new ten-year strategy, called Europa 2020.</w:t>
      </w:r>
      <w:r w:rsidRPr="000A0284">
        <w:t xml:space="preserve"> </w:t>
      </w:r>
    </w:p>
  </w:footnote>
  <w:footnote w:id="31">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SFS 2001:526. </w:t>
      </w:r>
    </w:p>
  </w:footnote>
  <w:footnote w:id="32">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Swedish National Agency for Education is the administrative authority for the Swedish public school system. </w:t>
      </w:r>
    </w:p>
  </w:footnote>
  <w:footnote w:id="33">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National Agency for Special Needs Education and Schools is responsible for the State’s overall support to municipalities and to schools and pre-schools with regard to special needs education issues. </w:t>
      </w:r>
    </w:p>
  </w:footnote>
  <w:footnote w:id="34">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Planning and Building Act (PBL), SFS 1987:10. </w:t>
      </w:r>
    </w:p>
  </w:footnote>
  <w:footnote w:id="35">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SFS 1987:1017 Section 21 a §. </w:t>
      </w:r>
    </w:p>
  </w:footnote>
  <w:footnote w:id="36">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Swedish National Board of Housing, Building and Planning is an authority that has responsibility for social planning, town and settlement development, construction and administration, as well as housing issues. The Board has sectoral responsibility for disability issues. </w:t>
      </w:r>
    </w:p>
  </w:footnote>
  <w:footnote w:id="37">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r>
      <w:smartTag w:uri="urn:schemas-microsoft-com:office:smarttags" w:element="place">
        <w:smartTag w:uri="urn:schemas-microsoft-com:office:smarttags" w:element="country-region">
          <w:r w:rsidRPr="000A0284">
            <w:t>Sweden</w:t>
          </w:r>
        </w:smartTag>
      </w:smartTag>
      <w:r w:rsidRPr="000A0284">
        <w:t xml:space="preserve"> is divided into 21 counties, each of which has a county administrative board. The county administrative board is a governmental co-ordinating authority with supervisory responsibility, a service authority and an appeal body. </w:t>
      </w:r>
    </w:p>
  </w:footnote>
  <w:footnote w:id="38">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SFS 1992:1574. </w:t>
      </w:r>
    </w:p>
  </w:footnote>
  <w:footnote w:id="39">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National Board of Health and Welfare is an authority that works with health and medical service and other medical activities, dental care, health protection, infection protection, social services, support and services to certain people with disabilities etc. The Board has an overall responsibility — sectoral responsibility — for disability issues within social services as well as health and medical service. </w:t>
      </w:r>
    </w:p>
  </w:footnote>
  <w:footnote w:id="40">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Year of publication: 2010, Article number: 2010-5-6. </w:t>
      </w:r>
    </w:p>
  </w:footnote>
  <w:footnote w:id="41">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The Swedish Institute of Assistive Technology is a national knowledge centre working in the field of assistive devices and accessibility for people with disabilities. </w:t>
      </w:r>
    </w:p>
  </w:footnote>
  <w:footnote w:id="42">
    <w:p w:rsidR="000E3949" w:rsidRPr="000A0284" w:rsidRDefault="000E3949" w:rsidP="00BD2984">
      <w:pPr>
        <w:pStyle w:val="FootnoteText"/>
        <w:widowControl w:val="0"/>
        <w:tabs>
          <w:tab w:val="clear" w:pos="1021"/>
          <w:tab w:val="right" w:pos="1020"/>
        </w:tabs>
        <w:ind w:firstLine="0"/>
      </w:pPr>
      <w:r w:rsidRPr="000A0284">
        <w:rPr>
          <w:rStyle w:val="FootnoteReference"/>
        </w:rPr>
        <w:footnoteRef/>
      </w:r>
      <w:r w:rsidRPr="000A0284">
        <w:tab/>
        <w:t xml:space="preserve">Government Bill 2008/09:93, Goals for future travel and transport. </w:t>
      </w:r>
    </w:p>
  </w:footnote>
  <w:footnote w:id="43">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Disability and Public Transportation Act (1979:558) contains e.g. provisions to the effect that the body that supervises public transport and the body that plans and exercises such transport must ensure that the services and the means of transport that are used are accessible to persons with disabilities as far as possible. </w:t>
      </w:r>
    </w:p>
  </w:footnote>
  <w:footnote w:id="44">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Special Transport Services Act (SFS 1997:736) regulates an obligation for each municipality to arrange passenger transport for individuals who, due to a disability that is not only temporary, have significant difficulties in moving about themselves or in travelling by public transport. </w:t>
      </w:r>
    </w:p>
  </w:footnote>
  <w:footnote w:id="45">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National Special Transport Services Act (SFS 1997:735) entitles people who have a significant, permanent disability — and who as a result of this have to travel by more expensive methods than others — to receive compensation for the excess transport cost. The purpose of the travel should be recreation, leisure activities or an individual matter, and the travel must take place from one municipality to another. </w:t>
      </w:r>
    </w:p>
  </w:footnote>
  <w:footnote w:id="46">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Education Act (2010:800) specifies that pupils in compulsory school and equivalent forms of school, as well as in upper secondary school for pupils with learning difficulties, are entitled to free school transport if such transport is required with regard to the length of the journey, the traffic conditions, the pupil’s disability or some other specific circumstance. According to the Act on municipalities’ obligation to assume liability for certain school transport (1991:1110), the municipality must, under certain circumstances, assume responsibility for upper secondary students’ costs for daily travel between the home and school. </w:t>
      </w:r>
    </w:p>
  </w:footnote>
  <w:footnote w:id="47">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Swedish Maritime Administration is a central administrative authority with operations that are conducted as a central government enterprise. The Administration is responsible for the safety and accessibility of shipping. </w:t>
      </w:r>
    </w:p>
  </w:footnote>
  <w:footnote w:id="48">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(EC) No. 1371/2007 of 23 October 2007. </w:t>
      </w:r>
    </w:p>
  </w:footnote>
  <w:footnote w:id="49">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(EC) No. 1107/2006. </w:t>
      </w:r>
    </w:p>
  </w:footnote>
  <w:footnote w:id="50">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Swedish Post and Telecom Agency (PTS) is the authority with overall responsibility within the fields of electronic communication and post in </w:t>
      </w:r>
      <w:smartTag w:uri="urn:schemas-microsoft-com:office:smarttags" w:element="place">
        <w:smartTag w:uri="urn:schemas-microsoft-com:office:smarttags" w:element="country-region">
          <w:r w:rsidRPr="000A0284">
            <w:t>Sweden</w:t>
          </w:r>
        </w:smartTag>
      </w:smartTag>
      <w:r w:rsidRPr="000A0284">
        <w:t xml:space="preserve">. PTS is one of the authorities to have responsibility for the disability policy within its sector. </w:t>
      </w:r>
    </w:p>
  </w:footnote>
  <w:footnote w:id="51">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Parliamentary communication 2009/10:166. </w:t>
      </w:r>
    </w:p>
  </w:footnote>
  <w:footnote w:id="52">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Constitution Act, Section 2, § 4. </w:t>
      </w:r>
    </w:p>
  </w:footnote>
  <w:footnote w:id="53">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MSB is responsible for a wide range of issues related to civil protection, emergency/crisis management and civil defence. </w:t>
      </w:r>
    </w:p>
  </w:footnote>
  <w:footnote w:id="54">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Swedish International Development Cooperation Agency.</w:t>
      </w:r>
    </w:p>
  </w:footnote>
  <w:footnote w:id="55">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Shia – Solidarity, Human Rights, Inclusion, Accessibility. </w:t>
      </w:r>
    </w:p>
  </w:footnote>
  <w:footnote w:id="56">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French NGO. </w:t>
      </w:r>
    </w:p>
  </w:footnote>
  <w:footnote w:id="57">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Swedish National Council for Crime Prevention (BRÅ) is a centre for research and development activities within the judicial system. The judicial system comprises authorities such as the police, prosecutors, courts and the Swedish Prison and Probation Service. </w:t>
      </w:r>
    </w:p>
  </w:footnote>
  <w:footnote w:id="58">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(2007:26). </w:t>
      </w:r>
    </w:p>
  </w:footnote>
  <w:footnote w:id="59">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The Crime Victim Compensation and Support Authority’s task is to promote the rights of all victims of crime, highlight their needs and interests, and be an information and knowledge centre for issues relating to victims of crime. For example, the Authority should gather and dissemination information and research results in order to contribute to the improved treatment of crime victims. </w:t>
      </w:r>
    </w:p>
  </w:footnote>
  <w:footnote w:id="60">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SFS 2001:453. </w:t>
      </w:r>
    </w:p>
  </w:footnote>
  <w:footnote w:id="61">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SFS 1993:387. </w:t>
      </w:r>
    </w:p>
  </w:footnote>
  <w:footnote w:id="62">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Government Bill 2009/10:135. </w:t>
      </w:r>
    </w:p>
  </w:footnote>
  <w:footnote w:id="63">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Government Bill 2008/09:160. </w:t>
      </w:r>
    </w:p>
  </w:footnote>
  <w:footnote w:id="64">
    <w:p w:rsidR="000E3949" w:rsidRPr="000A0284" w:rsidRDefault="000E3949" w:rsidP="003D4F7B">
      <w:pPr>
        <w:pStyle w:val="FootnoteText"/>
        <w:widowControl w:val="0"/>
        <w:tabs>
          <w:tab w:val="clear" w:pos="1021"/>
          <w:tab w:val="right" w:pos="1020"/>
        </w:tabs>
        <w:ind w:firstLine="0"/>
      </w:pPr>
      <w:r w:rsidRPr="000A0284">
        <w:rPr>
          <w:rStyle w:val="FootnoteReference"/>
        </w:rPr>
        <w:footnoteRef/>
      </w:r>
      <w:r w:rsidRPr="000A0284">
        <w:tab/>
        <w:t xml:space="preserve">Communication 2007/08:39. </w:t>
      </w:r>
    </w:p>
  </w:footnote>
  <w:footnote w:id="65">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SFS 1974:152. </w:t>
      </w:r>
    </w:p>
  </w:footnote>
  <w:footnote w:id="66">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SFS 1949:105. </w:t>
      </w:r>
    </w:p>
  </w:footnote>
  <w:footnote w:id="67">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SFS 1991:1469. </w:t>
      </w:r>
    </w:p>
  </w:footnote>
  <w:footnote w:id="68">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The absolute rights include freedom of religion, protection against compulsion from authorities to disseminate an opinion in a political, religious, cultural or similar context, protection against compulsion to participate in meetings for opinion forming, to belong to a political association, a religious body or some other such association. </w:t>
      </w:r>
    </w:p>
  </w:footnote>
  <w:footnote w:id="69">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They cover freedom of expression, including freedom of information, freedom of assembly, freedom to demonstrate, freedom of association, the right to protection against the deprivation of personal liberty, the right to education, the right to property and the right to the protection of privacy. </w:t>
      </w:r>
    </w:p>
  </w:footnote>
  <w:footnote w:id="70">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SFS 1974:152, Section 2, § 6. </w:t>
      </w:r>
    </w:p>
  </w:footnote>
  <w:footnote w:id="71">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SFS 1982:763, § 2a. </w:t>
      </w:r>
    </w:p>
  </w:footnote>
  <w:footnote w:id="72">
    <w:p w:rsidR="000E3949" w:rsidRPr="000A0284" w:rsidRDefault="000E3949" w:rsidP="000E3949">
      <w:pPr>
        <w:pStyle w:val="FootnoteText"/>
        <w:widowControl w:val="0"/>
        <w:tabs>
          <w:tab w:val="clear" w:pos="1021"/>
          <w:tab w:val="right" w:pos="1020"/>
        </w:tabs>
        <w:ind w:firstLine="0"/>
      </w:pPr>
      <w:r w:rsidRPr="000A0284">
        <w:rPr>
          <w:rStyle w:val="FootnoteReference"/>
        </w:rPr>
        <w:footnoteRef/>
      </w:r>
      <w:r w:rsidRPr="000A0284">
        <w:tab/>
        <w:t xml:space="preserve">SFS 1991:1128. </w:t>
      </w:r>
    </w:p>
  </w:footnote>
  <w:footnote w:id="73">
    <w:p w:rsidR="000E3949" w:rsidRPr="000A0284" w:rsidRDefault="000E3949" w:rsidP="00B84771">
      <w:pPr>
        <w:pStyle w:val="FootnoteText"/>
        <w:widowControl w:val="0"/>
        <w:tabs>
          <w:tab w:val="clear" w:pos="1021"/>
          <w:tab w:val="right" w:pos="1020"/>
        </w:tabs>
        <w:ind w:firstLine="0"/>
      </w:pPr>
      <w:r w:rsidRPr="000A0284">
        <w:rPr>
          <w:rStyle w:val="FootnoteReference"/>
        </w:rPr>
        <w:footnoteRef/>
      </w:r>
      <w:r w:rsidRPr="000A0284">
        <w:tab/>
        <w:t xml:space="preserve">SFS 1991:1129. </w:t>
      </w:r>
    </w:p>
  </w:footnote>
  <w:footnote w:id="74">
    <w:p w:rsidR="000E3949" w:rsidRPr="000A0284" w:rsidRDefault="000E3949" w:rsidP="00B84771">
      <w:pPr>
        <w:pStyle w:val="FootnoteText"/>
        <w:widowControl w:val="0"/>
        <w:tabs>
          <w:tab w:val="clear" w:pos="1021"/>
          <w:tab w:val="right" w:pos="1020"/>
        </w:tabs>
        <w:ind w:firstLine="0"/>
      </w:pPr>
      <w:r w:rsidRPr="000A0284">
        <w:rPr>
          <w:rStyle w:val="FootnoteReference"/>
        </w:rPr>
        <w:footnoteRef/>
      </w:r>
      <w:r w:rsidRPr="000A0284">
        <w:tab/>
        <w:t xml:space="preserve">Psykiatrilagsutredningen [Study into psychiatry law], S2008:09. </w:t>
      </w:r>
    </w:p>
  </w:footnote>
  <w:footnote w:id="75">
    <w:p w:rsidR="000E3949" w:rsidRPr="000A0284" w:rsidRDefault="000E3949" w:rsidP="00B84771">
      <w:pPr>
        <w:pStyle w:val="FootnoteText"/>
        <w:widowControl w:val="0"/>
        <w:tabs>
          <w:tab w:val="clear" w:pos="1021"/>
          <w:tab w:val="right" w:pos="1020"/>
        </w:tabs>
        <w:ind w:firstLine="0"/>
      </w:pPr>
      <w:r w:rsidRPr="000A0284">
        <w:rPr>
          <w:rStyle w:val="FootnoteReference"/>
        </w:rPr>
        <w:footnoteRef/>
      </w:r>
      <w:r w:rsidRPr="000A0284">
        <w:tab/>
        <w:t>SFS 1975:580.</w:t>
      </w:r>
    </w:p>
  </w:footnote>
  <w:footnote w:id="76">
    <w:p w:rsidR="000E3949" w:rsidRPr="000A0284" w:rsidRDefault="000E3949" w:rsidP="00B84771">
      <w:pPr>
        <w:pStyle w:val="FootnoteText"/>
        <w:widowControl w:val="0"/>
        <w:tabs>
          <w:tab w:val="clear" w:pos="1021"/>
          <w:tab w:val="right" w:pos="1020"/>
        </w:tabs>
        <w:ind w:firstLine="0"/>
      </w:pPr>
      <w:r w:rsidRPr="000A0284">
        <w:rPr>
          <w:rStyle w:val="FootnoteReference"/>
        </w:rPr>
        <w:footnoteRef/>
      </w:r>
      <w:r w:rsidRPr="000A0284">
        <w:tab/>
        <w:t xml:space="preserve">SFS 1974:152, Section 2, § 7. </w:t>
      </w:r>
    </w:p>
  </w:footnote>
  <w:footnote w:id="77">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2001:82. </w:t>
      </w:r>
    </w:p>
  </w:footnote>
  <w:footnote w:id="78">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1987:302. </w:t>
      </w:r>
    </w:p>
  </w:footnote>
  <w:footnote w:id="79">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1991:481. </w:t>
      </w:r>
    </w:p>
  </w:footnote>
  <w:footnote w:id="80">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1982:670. </w:t>
      </w:r>
    </w:p>
  </w:footnote>
  <w:footnote w:id="81">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2001:453, Section 1, § 1. </w:t>
      </w:r>
    </w:p>
  </w:footnote>
  <w:footnote w:id="82">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2001:453, Section 4, § 1. </w:t>
      </w:r>
    </w:p>
  </w:footnote>
  <w:footnote w:id="83">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1993:387. </w:t>
      </w:r>
    </w:p>
  </w:footnote>
  <w:footnote w:id="84">
    <w:p w:rsidR="000E3949" w:rsidRPr="000A0284" w:rsidRDefault="000E3949" w:rsidP="00BF6429">
      <w:pPr>
        <w:pStyle w:val="FootnoteText"/>
        <w:widowControl w:val="0"/>
        <w:tabs>
          <w:tab w:val="clear" w:pos="1021"/>
          <w:tab w:val="right" w:pos="1020"/>
        </w:tabs>
        <w:ind w:firstLine="0"/>
      </w:pPr>
      <w:r w:rsidRPr="000A0284">
        <w:rPr>
          <w:rStyle w:val="FootnoteReference"/>
        </w:rPr>
        <w:footnoteRef/>
      </w:r>
      <w:r w:rsidRPr="000A0284">
        <w:tab/>
        <w:t xml:space="preserve">SFS 1993:389. </w:t>
      </w:r>
    </w:p>
  </w:footnote>
  <w:footnote w:id="85">
    <w:p w:rsidR="000E3949" w:rsidRPr="000A0284" w:rsidRDefault="000E3949" w:rsidP="00BF6ACB">
      <w:pPr>
        <w:pStyle w:val="FootnoteText"/>
        <w:widowControl w:val="0"/>
        <w:tabs>
          <w:tab w:val="clear" w:pos="1021"/>
          <w:tab w:val="right" w:pos="1020"/>
        </w:tabs>
        <w:ind w:firstLine="0"/>
      </w:pPr>
      <w:r w:rsidRPr="000A0284">
        <w:rPr>
          <w:rStyle w:val="FootnoteReference"/>
        </w:rPr>
        <w:footnoteRef/>
      </w:r>
      <w:r w:rsidRPr="000A0284">
        <w:tab/>
        <w:t xml:space="preserve">SFS 2008:962. </w:t>
      </w:r>
    </w:p>
  </w:footnote>
  <w:footnote w:id="86">
    <w:p w:rsidR="000E3949" w:rsidRPr="000A0284" w:rsidRDefault="000E3949" w:rsidP="00BF6ACB">
      <w:pPr>
        <w:pStyle w:val="FootnoteText"/>
        <w:widowControl w:val="0"/>
        <w:tabs>
          <w:tab w:val="clear" w:pos="1021"/>
          <w:tab w:val="right" w:pos="1020"/>
        </w:tabs>
        <w:ind w:firstLine="0"/>
      </w:pPr>
      <w:r w:rsidRPr="000A0284">
        <w:rPr>
          <w:rStyle w:val="FootnoteReference"/>
        </w:rPr>
        <w:footnoteRef/>
      </w:r>
      <w:r w:rsidRPr="000A0284">
        <w:tab/>
        <w:t xml:space="preserve">Government Bill 1999/2000:79. </w:t>
      </w:r>
    </w:p>
  </w:footnote>
  <w:footnote w:id="87">
    <w:p w:rsidR="000E3949" w:rsidRPr="000A0284" w:rsidRDefault="000E3949" w:rsidP="00BF6ACB">
      <w:pPr>
        <w:pStyle w:val="FootnoteText"/>
        <w:widowControl w:val="0"/>
        <w:tabs>
          <w:tab w:val="clear" w:pos="1021"/>
          <w:tab w:val="right" w:pos="1020"/>
        </w:tabs>
        <w:ind w:firstLine="0"/>
      </w:pPr>
      <w:r w:rsidRPr="000A0284">
        <w:rPr>
          <w:rStyle w:val="FootnoteReference"/>
        </w:rPr>
        <w:footnoteRef/>
      </w:r>
      <w:r w:rsidRPr="000A0284">
        <w:tab/>
        <w:t xml:space="preserve">Ordinance 2001:526. </w:t>
      </w:r>
    </w:p>
  </w:footnote>
  <w:footnote w:id="88">
    <w:p w:rsidR="000E3949" w:rsidRPr="000A0284" w:rsidRDefault="000E3949" w:rsidP="00E03D51">
      <w:pPr>
        <w:pStyle w:val="FootnoteText"/>
        <w:widowControl w:val="0"/>
        <w:tabs>
          <w:tab w:val="clear" w:pos="1021"/>
          <w:tab w:val="right" w:pos="1020"/>
        </w:tabs>
        <w:ind w:firstLine="0"/>
      </w:pPr>
      <w:r w:rsidRPr="000A0284">
        <w:rPr>
          <w:rStyle w:val="FootnoteReference"/>
        </w:rPr>
        <w:footnoteRef/>
      </w:r>
      <w:r w:rsidRPr="000A0284">
        <w:tab/>
        <w:t xml:space="preserve">Government Bill 2004/05:84. </w:t>
      </w:r>
    </w:p>
  </w:footnote>
  <w:footnote w:id="89">
    <w:p w:rsidR="000E3949" w:rsidRPr="000A0284" w:rsidRDefault="000E3949" w:rsidP="00E03D51">
      <w:pPr>
        <w:pStyle w:val="FootnoteText"/>
        <w:widowControl w:val="0"/>
        <w:tabs>
          <w:tab w:val="clear" w:pos="1021"/>
          <w:tab w:val="right" w:pos="1134"/>
        </w:tabs>
        <w:ind w:firstLine="0"/>
      </w:pPr>
      <w:r w:rsidRPr="000A0284">
        <w:rPr>
          <w:rStyle w:val="FootnoteReference"/>
        </w:rPr>
        <w:footnoteRef/>
      </w:r>
      <w:r w:rsidRPr="000A0284">
        <w:tab/>
        <w:t xml:space="preserve">SFS 1974:152, Section 2, § 1. </w:t>
      </w:r>
    </w:p>
  </w:footnote>
  <w:footnote w:id="90">
    <w:p w:rsidR="000E3949" w:rsidRPr="000A0284" w:rsidRDefault="000E3949" w:rsidP="00551C01">
      <w:pPr>
        <w:pStyle w:val="FootnoteText"/>
        <w:widowControl w:val="0"/>
        <w:tabs>
          <w:tab w:val="clear" w:pos="1021"/>
          <w:tab w:val="right" w:pos="1020"/>
        </w:tabs>
        <w:ind w:firstLine="0"/>
      </w:pPr>
      <w:r w:rsidRPr="000A0284">
        <w:rPr>
          <w:rStyle w:val="FootnoteReference"/>
        </w:rPr>
        <w:footnoteRef/>
      </w:r>
      <w:r w:rsidRPr="000A0284">
        <w:tab/>
        <w:t xml:space="preserve">SFS 1960:729. </w:t>
      </w:r>
    </w:p>
  </w:footnote>
  <w:footnote w:id="91">
    <w:p w:rsidR="000E3949" w:rsidRPr="000A0284" w:rsidRDefault="000E3949" w:rsidP="00551C01">
      <w:pPr>
        <w:pStyle w:val="FootnoteText"/>
        <w:widowControl w:val="0"/>
        <w:tabs>
          <w:tab w:val="clear" w:pos="1021"/>
          <w:tab w:val="right" w:pos="1020"/>
        </w:tabs>
        <w:ind w:firstLine="0"/>
      </w:pPr>
      <w:r w:rsidRPr="000A0284">
        <w:rPr>
          <w:rStyle w:val="FootnoteReference"/>
        </w:rPr>
        <w:footnoteRef/>
      </w:r>
      <w:r w:rsidRPr="000A0284">
        <w:tab/>
        <w:t xml:space="preserve">SFS 1980:100. </w:t>
      </w:r>
    </w:p>
  </w:footnote>
  <w:footnote w:id="92">
    <w:p w:rsidR="000E3949" w:rsidRPr="000A0284" w:rsidRDefault="000E3949" w:rsidP="00551C01">
      <w:pPr>
        <w:pStyle w:val="FootnoteText"/>
        <w:widowControl w:val="0"/>
        <w:tabs>
          <w:tab w:val="clear" w:pos="1021"/>
          <w:tab w:val="right" w:pos="1020"/>
        </w:tabs>
        <w:ind w:firstLine="0"/>
      </w:pPr>
      <w:r w:rsidRPr="000A0284">
        <w:rPr>
          <w:rStyle w:val="FootnoteReference"/>
        </w:rPr>
        <w:footnoteRef/>
      </w:r>
      <w:r w:rsidRPr="000A0284">
        <w:tab/>
        <w:t xml:space="preserve">SFS 1998:204, Section 6, § 2 a. </w:t>
      </w:r>
    </w:p>
  </w:footnote>
  <w:footnote w:id="93">
    <w:p w:rsidR="000E3949" w:rsidRPr="000A0284" w:rsidRDefault="000E3949" w:rsidP="0081312A">
      <w:pPr>
        <w:pStyle w:val="FootnoteText"/>
        <w:widowControl w:val="0"/>
        <w:tabs>
          <w:tab w:val="clear" w:pos="1021"/>
          <w:tab w:val="right" w:pos="1020"/>
        </w:tabs>
        <w:ind w:firstLine="0"/>
      </w:pPr>
      <w:r w:rsidRPr="000A0284">
        <w:rPr>
          <w:rStyle w:val="FootnoteReference"/>
        </w:rPr>
        <w:footnoteRef/>
      </w:r>
      <w:r w:rsidRPr="000A0284">
        <w:tab/>
        <w:t xml:space="preserve">SFS 1949:381. </w:t>
      </w:r>
    </w:p>
  </w:footnote>
  <w:footnote w:id="94">
    <w:p w:rsidR="000E3949" w:rsidRPr="000A0284" w:rsidRDefault="000E3949" w:rsidP="0081312A">
      <w:pPr>
        <w:pStyle w:val="FootnoteText"/>
        <w:widowControl w:val="0"/>
        <w:tabs>
          <w:tab w:val="clear" w:pos="1021"/>
          <w:tab w:val="right" w:pos="1020"/>
        </w:tabs>
        <w:ind w:firstLine="0"/>
      </w:pPr>
      <w:r w:rsidRPr="000A0284">
        <w:rPr>
          <w:rStyle w:val="FootnoteReference"/>
        </w:rPr>
        <w:footnoteRef/>
      </w:r>
      <w:r w:rsidRPr="000A0284">
        <w:tab/>
        <w:t xml:space="preserve">SFS 2001:453, Section 1, § 2. </w:t>
      </w:r>
    </w:p>
  </w:footnote>
  <w:footnote w:id="95">
    <w:p w:rsidR="000E3949" w:rsidRPr="000A0284" w:rsidRDefault="000E3949" w:rsidP="0081312A">
      <w:pPr>
        <w:pStyle w:val="FootnoteText"/>
        <w:widowControl w:val="0"/>
        <w:tabs>
          <w:tab w:val="clear" w:pos="1021"/>
          <w:tab w:val="right" w:pos="1020"/>
        </w:tabs>
        <w:ind w:firstLine="0"/>
      </w:pPr>
      <w:r w:rsidRPr="000A0284">
        <w:rPr>
          <w:rStyle w:val="FootnoteReference"/>
        </w:rPr>
        <w:footnoteRef/>
      </w:r>
      <w:r w:rsidRPr="000A0284">
        <w:tab/>
        <w:t xml:space="preserve">SFS 1949:381, Section 6, § 14. </w:t>
      </w:r>
    </w:p>
  </w:footnote>
  <w:footnote w:id="96">
    <w:p w:rsidR="000E3949" w:rsidRPr="000A0284" w:rsidRDefault="000E3949" w:rsidP="0081312A">
      <w:pPr>
        <w:pStyle w:val="FootnoteText"/>
        <w:widowControl w:val="0"/>
        <w:tabs>
          <w:tab w:val="clear" w:pos="1021"/>
          <w:tab w:val="right" w:pos="1020"/>
        </w:tabs>
        <w:ind w:firstLine="0"/>
      </w:pPr>
      <w:r w:rsidRPr="000A0284">
        <w:rPr>
          <w:rStyle w:val="FootnoteReference"/>
        </w:rPr>
        <w:footnoteRef/>
      </w:r>
      <w:r w:rsidRPr="000A0284">
        <w:tab/>
        <w:t xml:space="preserve">SFS 1990:52. </w:t>
      </w:r>
    </w:p>
  </w:footnote>
  <w:footnote w:id="97">
    <w:p w:rsidR="000E3949" w:rsidRPr="000A0284" w:rsidRDefault="000E3949" w:rsidP="0081312A">
      <w:pPr>
        <w:pStyle w:val="FootnoteText"/>
        <w:widowControl w:val="0"/>
        <w:tabs>
          <w:tab w:val="clear" w:pos="1021"/>
          <w:tab w:val="right" w:pos="1020"/>
        </w:tabs>
        <w:ind w:firstLine="0"/>
      </w:pPr>
      <w:r w:rsidRPr="000A0284">
        <w:rPr>
          <w:rStyle w:val="FootnoteReference"/>
        </w:rPr>
        <w:footnoteRef/>
      </w:r>
      <w:r w:rsidRPr="000A0284">
        <w:tab/>
        <w:t xml:space="preserve">SFS 2001:453, Section 5, § 1. </w:t>
      </w:r>
    </w:p>
  </w:footnote>
  <w:footnote w:id="98">
    <w:p w:rsidR="000E3949" w:rsidRPr="000A0284" w:rsidRDefault="000E3949" w:rsidP="00D56F1C">
      <w:pPr>
        <w:pStyle w:val="FootnoteText"/>
        <w:widowControl w:val="0"/>
        <w:tabs>
          <w:tab w:val="clear" w:pos="1021"/>
          <w:tab w:val="right" w:pos="1020"/>
        </w:tabs>
        <w:ind w:firstLine="0"/>
      </w:pPr>
      <w:r w:rsidRPr="000A0284">
        <w:rPr>
          <w:rStyle w:val="FootnoteReference"/>
        </w:rPr>
        <w:footnoteRef/>
      </w:r>
      <w:r w:rsidRPr="000A0284">
        <w:tab/>
        <w:t xml:space="preserve">SFS 2010:800. </w:t>
      </w:r>
    </w:p>
  </w:footnote>
  <w:footnote w:id="99">
    <w:p w:rsidR="000E3949" w:rsidRPr="000A0284" w:rsidRDefault="000E3949" w:rsidP="00DB3DFD">
      <w:pPr>
        <w:pStyle w:val="FootnoteText"/>
        <w:widowControl w:val="0"/>
        <w:tabs>
          <w:tab w:val="clear" w:pos="1021"/>
          <w:tab w:val="right" w:pos="1020"/>
        </w:tabs>
        <w:ind w:firstLine="0"/>
      </w:pPr>
      <w:r w:rsidRPr="000A0284">
        <w:rPr>
          <w:rStyle w:val="FootnoteReference"/>
        </w:rPr>
        <w:footnoteRef/>
      </w:r>
      <w:r w:rsidRPr="000A0284">
        <w:tab/>
        <w:t xml:space="preserve">Government Bill 2009/10:165. </w:t>
      </w:r>
    </w:p>
  </w:footnote>
  <w:footnote w:id="100">
    <w:p w:rsidR="000E3949" w:rsidRPr="000A0284" w:rsidRDefault="000E3949" w:rsidP="00DB3DFD">
      <w:pPr>
        <w:pStyle w:val="FootnoteText"/>
        <w:widowControl w:val="0"/>
        <w:tabs>
          <w:tab w:val="clear" w:pos="1021"/>
          <w:tab w:val="right" w:pos="1020"/>
        </w:tabs>
        <w:ind w:firstLine="0"/>
      </w:pPr>
      <w:r w:rsidRPr="000A0284">
        <w:rPr>
          <w:rStyle w:val="FootnoteReference"/>
        </w:rPr>
        <w:footnoteRef/>
      </w:r>
      <w:r w:rsidRPr="000A0284">
        <w:tab/>
        <w:t xml:space="preserve">The Swedish Schools Inspectorate works to ensure that all children, pupils and adult students have access to equivalent education and other good quality activities in a secure environment. The agency’s tasks include supervision, quality assessments and the investigation of complaints from pupils and guardians. </w:t>
      </w:r>
    </w:p>
  </w:footnote>
  <w:footnote w:id="101">
    <w:p w:rsidR="000E3949" w:rsidRPr="000A0284" w:rsidRDefault="000E3949" w:rsidP="00DB3DFD">
      <w:pPr>
        <w:pStyle w:val="FootnoteText"/>
        <w:widowControl w:val="0"/>
        <w:tabs>
          <w:tab w:val="clear" w:pos="1021"/>
          <w:tab w:val="right" w:pos="1020"/>
        </w:tabs>
        <w:ind w:firstLine="0"/>
      </w:pPr>
      <w:r w:rsidRPr="000A0284">
        <w:rPr>
          <w:rStyle w:val="FootnoteReference"/>
        </w:rPr>
        <w:footnoteRef/>
      </w:r>
      <w:r w:rsidRPr="000A0284">
        <w:tab/>
        <w:t xml:space="preserve">There are 150 folk high schools in </w:t>
      </w:r>
      <w:smartTag w:uri="urn:schemas-microsoft-com:office:smarttags" w:element="place">
        <w:smartTag w:uri="urn:schemas-microsoft-com:office:smarttags" w:element="country-region">
          <w:r w:rsidRPr="000A0284">
            <w:t>Sweden</w:t>
          </w:r>
        </w:smartTag>
      </w:smartTag>
      <w:r w:rsidRPr="000A0284">
        <w:t xml:space="preserve"> (2010), of which 107 are linked to various non-governmental organisations and non-profit organisations and 43 are run by county councils and regions. Each folk high school decides independently which courses it will offer and how it will profile itself. Folk high schools work according to their own business plans and are financed through state and county council subsidies.</w:t>
      </w:r>
      <w:r>
        <w:t xml:space="preserve"> </w:t>
      </w:r>
      <w:r w:rsidRPr="000A0284">
        <w:t xml:space="preserve">SFS 2008:567. </w:t>
      </w:r>
    </w:p>
  </w:footnote>
  <w:footnote w:id="102">
    <w:p w:rsidR="000E3949" w:rsidRPr="000A0284" w:rsidRDefault="000E3949" w:rsidP="002817DB">
      <w:pPr>
        <w:pStyle w:val="FootnoteText"/>
        <w:widowControl w:val="0"/>
        <w:tabs>
          <w:tab w:val="clear" w:pos="1021"/>
          <w:tab w:val="right" w:pos="1020"/>
        </w:tabs>
        <w:ind w:firstLine="0"/>
      </w:pPr>
      <w:r w:rsidRPr="000A0284">
        <w:rPr>
          <w:rStyle w:val="FootnoteReference"/>
        </w:rPr>
        <w:footnoteRef/>
      </w:r>
      <w:r w:rsidRPr="000A0284">
        <w:tab/>
        <w:t xml:space="preserve">The Swedish National Agency for Higher Education is responsible for supervising universities and university colleges, examining the quality of higher education, statistics, etc. </w:t>
      </w:r>
    </w:p>
  </w:footnote>
  <w:footnote w:id="103">
    <w:p w:rsidR="000E3949" w:rsidRPr="000A0284" w:rsidRDefault="000E3949" w:rsidP="002817DB">
      <w:pPr>
        <w:pStyle w:val="FootnoteText"/>
        <w:widowControl w:val="0"/>
        <w:tabs>
          <w:tab w:val="clear" w:pos="1021"/>
          <w:tab w:val="right" w:pos="1020"/>
        </w:tabs>
        <w:ind w:firstLine="0"/>
      </w:pPr>
      <w:r w:rsidRPr="000A0284">
        <w:rPr>
          <w:rStyle w:val="FootnoteReference"/>
        </w:rPr>
        <w:footnoteRef/>
      </w:r>
      <w:r w:rsidRPr="000A0284">
        <w:tab/>
        <w:t xml:space="preserve">The Higher Education Appeals Board is an authority that is tasked with assessing appeals against certain decisions taken within the university sector and the sector for vocational colleges. </w:t>
      </w:r>
    </w:p>
  </w:footnote>
  <w:footnote w:id="104">
    <w:p w:rsidR="000E3949" w:rsidRPr="000A0284" w:rsidRDefault="000E3949" w:rsidP="002817DB">
      <w:pPr>
        <w:pStyle w:val="FootnoteText"/>
        <w:widowControl w:val="0"/>
        <w:tabs>
          <w:tab w:val="clear" w:pos="1021"/>
          <w:tab w:val="right" w:pos="1020"/>
        </w:tabs>
        <w:ind w:firstLine="0"/>
      </w:pPr>
      <w:r w:rsidRPr="000A0284">
        <w:rPr>
          <w:rStyle w:val="FootnoteReference"/>
        </w:rPr>
        <w:footnoteRef/>
      </w:r>
      <w:r w:rsidRPr="000A0284">
        <w:tab/>
        <w:t xml:space="preserve">SFS 2009:600. </w:t>
      </w:r>
    </w:p>
  </w:footnote>
  <w:footnote w:id="105">
    <w:p w:rsidR="000E3949" w:rsidRPr="000A0284" w:rsidRDefault="000E3949" w:rsidP="002817DB">
      <w:pPr>
        <w:pStyle w:val="FootnoteText"/>
        <w:widowControl w:val="0"/>
        <w:tabs>
          <w:tab w:val="clear" w:pos="1021"/>
          <w:tab w:val="right" w:pos="1020"/>
        </w:tabs>
        <w:ind w:firstLine="0"/>
      </w:pPr>
      <w:r w:rsidRPr="000A0284">
        <w:rPr>
          <w:rStyle w:val="FootnoteReference"/>
        </w:rPr>
        <w:footnoteRef/>
      </w:r>
      <w:r w:rsidRPr="000A0284">
        <w:tab/>
        <w:t xml:space="preserve">The Institute is tasked with gathering, preserving, scientifically examining and distributing knowledge, for example about Swedish sign language. </w:t>
      </w:r>
    </w:p>
  </w:footnote>
  <w:footnote w:id="106">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The Language Council of Sweden is a unit within the Institute that is charged with acting as guardian of Swedish sign language.  </w:t>
      </w:r>
    </w:p>
  </w:footnote>
  <w:footnote w:id="107">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The Legal, Financial and Administrative Services Agency is a State authority with more than thirty different work duties, primarily within law, finance, procurement, risk management and administration. </w:t>
      </w:r>
    </w:p>
  </w:footnote>
  <w:footnote w:id="108">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The Act on Authorisation to Notify Regulations regarding Authorisation and Approval of Translators and Interpreters, SFS 1975:588. </w:t>
      </w:r>
    </w:p>
  </w:footnote>
  <w:footnote w:id="109">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Ordinance on authorisation of interpreters and translators (1985:613). </w:t>
      </w:r>
    </w:p>
  </w:footnote>
  <w:footnote w:id="110">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Health and Medical Services Act, SFS 1982:763, § 2. </w:t>
      </w:r>
    </w:p>
  </w:footnote>
  <w:footnote w:id="111">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SFS 1982:763, § 2 a. </w:t>
      </w:r>
    </w:p>
  </w:footnote>
  <w:footnote w:id="112">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Folkhälsopolitisk rapport 2010: Framtidens folkhälsa — allas ansvar [Public Health Policy Report 2010: Public health of the future — everyone’s responsibility], Statens folkhälsoinstitut [The Swedish National Institute of Public Health], 2010. </w:t>
      </w:r>
    </w:p>
  </w:footnote>
  <w:footnote w:id="113">
    <w:p w:rsidR="000E3949" w:rsidRPr="000A0284" w:rsidRDefault="000E3949" w:rsidP="00A00C00">
      <w:pPr>
        <w:pStyle w:val="FootnoteText"/>
        <w:widowControl w:val="0"/>
        <w:tabs>
          <w:tab w:val="clear" w:pos="1021"/>
          <w:tab w:val="right" w:pos="1020"/>
        </w:tabs>
        <w:ind w:firstLine="0"/>
      </w:pPr>
      <w:r w:rsidRPr="000A0284">
        <w:rPr>
          <w:rStyle w:val="FootnoteReference"/>
        </w:rPr>
        <w:footnoteRef/>
      </w:r>
      <w:r w:rsidRPr="000A0284">
        <w:tab/>
        <w:t xml:space="preserve">The National Institute of Public Health (FHI) has the following areas of responsibility: acting as a national knowledge centre for effective methods and strategies, following up and evaluating the public health policy, and exercising supervision with the fields of alcohol and tobacco as well as goods that are hazardous to health. </w:t>
      </w:r>
    </w:p>
  </w:footnote>
  <w:footnote w:id="114">
    <w:p w:rsidR="000E3949" w:rsidRPr="000A0284" w:rsidRDefault="000E3949" w:rsidP="00154C57">
      <w:pPr>
        <w:pStyle w:val="FootnoteText"/>
        <w:widowControl w:val="0"/>
        <w:tabs>
          <w:tab w:val="clear" w:pos="1021"/>
          <w:tab w:val="right" w:pos="1020"/>
        </w:tabs>
        <w:ind w:firstLine="0"/>
      </w:pPr>
      <w:r w:rsidRPr="000A0284">
        <w:rPr>
          <w:rStyle w:val="FootnoteReference"/>
        </w:rPr>
        <w:footnoteRef/>
      </w:r>
      <w:r w:rsidRPr="000A0284">
        <w:tab/>
        <w:t xml:space="preserve">The Swedish Public Employment Service is a government authority. The Service’s tasks include sectoral responsibility for disability issues within the labour market policy. </w:t>
      </w:r>
    </w:p>
  </w:footnote>
  <w:footnote w:id="115">
    <w:p w:rsidR="000E3949" w:rsidRPr="000A0284" w:rsidRDefault="000E3949" w:rsidP="00154C57">
      <w:pPr>
        <w:pStyle w:val="FootnoteText"/>
        <w:widowControl w:val="0"/>
        <w:tabs>
          <w:tab w:val="clear" w:pos="1021"/>
          <w:tab w:val="right" w:pos="1020"/>
        </w:tabs>
        <w:ind w:firstLine="0"/>
      </w:pPr>
      <w:r w:rsidRPr="000A0284">
        <w:rPr>
          <w:rStyle w:val="FootnoteReference"/>
        </w:rPr>
        <w:footnoteRef/>
      </w:r>
      <w:r w:rsidRPr="000A0284">
        <w:tab/>
        <w:t xml:space="preserve">The Act on Financial Coordination of Rehabilitation Measures (2003:1210). </w:t>
      </w:r>
    </w:p>
  </w:footnote>
  <w:footnote w:id="116">
    <w:p w:rsidR="000E3949" w:rsidRPr="000A0284" w:rsidRDefault="000E3949" w:rsidP="00154C57">
      <w:pPr>
        <w:pStyle w:val="FootnoteText"/>
        <w:widowControl w:val="0"/>
        <w:tabs>
          <w:tab w:val="clear" w:pos="1021"/>
          <w:tab w:val="right" w:pos="1020"/>
        </w:tabs>
        <w:ind w:firstLine="0"/>
      </w:pPr>
      <w:r w:rsidRPr="000A0284">
        <w:rPr>
          <w:rStyle w:val="FootnoteReference"/>
        </w:rPr>
        <w:footnoteRef/>
      </w:r>
      <w:r w:rsidRPr="000A0284">
        <w:tab/>
        <w:t xml:space="preserve">New Start jobs and work and development guarantees. </w:t>
      </w:r>
    </w:p>
  </w:footnote>
  <w:footnote w:id="117">
    <w:p w:rsidR="000E3949" w:rsidRPr="000A0284" w:rsidRDefault="000E3949" w:rsidP="00154C57">
      <w:pPr>
        <w:pStyle w:val="FootnoteText"/>
        <w:widowControl w:val="0"/>
        <w:tabs>
          <w:tab w:val="clear" w:pos="1021"/>
          <w:tab w:val="right" w:pos="1020"/>
        </w:tabs>
        <w:ind w:firstLine="0"/>
      </w:pPr>
      <w:r w:rsidRPr="000A0284">
        <w:rPr>
          <w:rStyle w:val="FootnoteReference"/>
        </w:rPr>
        <w:footnoteRef/>
      </w:r>
      <w:r w:rsidRPr="000A0284">
        <w:tab/>
        <w:t xml:space="preserve">Communication (2008/09:185) A policy for people with mental illness and mental disability, which the Government submitted to Parliament in April 2009. </w:t>
      </w:r>
    </w:p>
  </w:footnote>
  <w:footnote w:id="118">
    <w:p w:rsidR="000E3949" w:rsidRPr="000A0284" w:rsidRDefault="000E3949" w:rsidP="00154C57">
      <w:pPr>
        <w:pStyle w:val="FootnoteText"/>
        <w:widowControl w:val="0"/>
        <w:tabs>
          <w:tab w:val="clear" w:pos="1021"/>
          <w:tab w:val="right" w:pos="1020"/>
        </w:tabs>
        <w:ind w:firstLine="0"/>
      </w:pPr>
      <w:r w:rsidRPr="000A0284">
        <w:rPr>
          <w:rStyle w:val="FootnoteReference"/>
        </w:rPr>
        <w:footnoteRef/>
      </w:r>
      <w:r w:rsidRPr="000A0284">
        <w:tab/>
        <w:t xml:space="preserve">According to the Health and Medical Services Act (HSL § 3 b and § 18 b). </w:t>
      </w:r>
    </w:p>
  </w:footnote>
  <w:footnote w:id="119">
    <w:p w:rsidR="000E3949" w:rsidRPr="000A0284" w:rsidRDefault="000E3949" w:rsidP="00154C57">
      <w:pPr>
        <w:pStyle w:val="FootnoteText"/>
        <w:widowControl w:val="0"/>
        <w:tabs>
          <w:tab w:val="clear" w:pos="1021"/>
          <w:tab w:val="right" w:pos="1020"/>
        </w:tabs>
        <w:ind w:firstLine="0"/>
      </w:pPr>
      <w:r w:rsidRPr="000A0284">
        <w:rPr>
          <w:rStyle w:val="FootnoteReference"/>
        </w:rPr>
        <w:footnoteRef/>
      </w:r>
      <w:r w:rsidRPr="000A0284">
        <w:tab/>
        <w:t xml:space="preserve">Taltjänst exists to help people with speech, voice or language difficulties. The service is available in the form of speech, writing and reading support, as well as making third-party calls. The service is free of charge. </w:t>
      </w:r>
    </w:p>
  </w:footnote>
  <w:footnote w:id="120">
    <w:p w:rsidR="000E3949" w:rsidRPr="000A0284" w:rsidRDefault="000E3949" w:rsidP="00154C57">
      <w:pPr>
        <w:pStyle w:val="FootnoteText"/>
        <w:widowControl w:val="0"/>
        <w:tabs>
          <w:tab w:val="clear" w:pos="1021"/>
          <w:tab w:val="right" w:pos="1020"/>
        </w:tabs>
        <w:ind w:firstLine="0"/>
      </w:pPr>
      <w:r w:rsidRPr="000A0284">
        <w:rPr>
          <w:rStyle w:val="FootnoteReference"/>
        </w:rPr>
        <w:footnoteRef/>
      </w:r>
      <w:r w:rsidRPr="000A0284">
        <w:tab/>
        <w:t xml:space="preserve">Prohibition of discrimination in the field of working life, see Article 5. </w:t>
      </w:r>
    </w:p>
  </w:footnote>
  <w:footnote w:id="121">
    <w:p w:rsidR="000E3949" w:rsidRPr="000A0284" w:rsidRDefault="000E3949" w:rsidP="00FE0795">
      <w:pPr>
        <w:pStyle w:val="FootnoteText"/>
        <w:widowControl w:val="0"/>
        <w:tabs>
          <w:tab w:val="clear" w:pos="1021"/>
          <w:tab w:val="right" w:pos="1020"/>
        </w:tabs>
        <w:ind w:firstLine="0"/>
      </w:pPr>
      <w:r w:rsidRPr="000A0284">
        <w:rPr>
          <w:rStyle w:val="FootnoteReference"/>
        </w:rPr>
        <w:footnoteRef/>
      </w:r>
      <w:r w:rsidRPr="000A0284">
        <w:tab/>
      </w:r>
      <w:smartTag w:uri="urn:schemas-microsoft-com:office:smarttags" w:element="place">
        <w:smartTag w:uri="urn:schemas-microsoft-com:office:smarttags" w:element="City">
          <w:r w:rsidRPr="000A0284">
            <w:t>Samhall</w:t>
          </w:r>
        </w:smartTag>
        <w:r w:rsidRPr="000A0284">
          <w:t xml:space="preserve"> </w:t>
        </w:r>
        <w:smartTag w:uri="urn:schemas-microsoft-com:office:smarttags" w:element="State">
          <w:r w:rsidRPr="000A0284">
            <w:t>AB</w:t>
          </w:r>
        </w:smartTag>
      </w:smartTag>
      <w:r w:rsidRPr="000A0284">
        <w:t xml:space="preserve"> is a wholly-owned, national limited company, the purpose of which is to produce goods and services and thereby to create meaningful, stimulating work for persons with disabilities that entail a reduced capacity to work. </w:t>
      </w:r>
    </w:p>
  </w:footnote>
  <w:footnote w:id="122">
    <w:p w:rsidR="000E3949" w:rsidRPr="000A0284" w:rsidRDefault="000E3949" w:rsidP="00FE0795">
      <w:pPr>
        <w:pStyle w:val="FootnoteText"/>
        <w:widowControl w:val="0"/>
        <w:tabs>
          <w:tab w:val="clear" w:pos="1021"/>
          <w:tab w:val="right" w:pos="1020"/>
        </w:tabs>
        <w:ind w:firstLine="0"/>
      </w:pPr>
      <w:r w:rsidRPr="000A0284">
        <w:rPr>
          <w:rStyle w:val="FootnoteReference"/>
        </w:rPr>
        <w:footnoteRef/>
      </w:r>
      <w:r w:rsidRPr="000A0284">
        <w:tab/>
        <w:t xml:space="preserve">SFS 2000:630. </w:t>
      </w:r>
    </w:p>
  </w:footnote>
  <w:footnote w:id="123">
    <w:p w:rsidR="000E3949" w:rsidRPr="000A0284" w:rsidRDefault="000E3949" w:rsidP="00D10EB3">
      <w:pPr>
        <w:pStyle w:val="FootnoteText"/>
        <w:widowControl w:val="0"/>
        <w:tabs>
          <w:tab w:val="clear" w:pos="1021"/>
          <w:tab w:val="right" w:pos="1020"/>
        </w:tabs>
        <w:ind w:firstLine="0"/>
      </w:pPr>
      <w:r w:rsidRPr="000A0284">
        <w:rPr>
          <w:rStyle w:val="FootnoteReference"/>
        </w:rPr>
        <w:footnoteRef/>
      </w:r>
      <w:r w:rsidRPr="000A0284">
        <w:tab/>
        <w:t xml:space="preserve">Employment Protection Act, SFS 1982:80, § 7. </w:t>
      </w:r>
    </w:p>
  </w:footnote>
  <w:footnote w:id="124">
    <w:p w:rsidR="000E3949" w:rsidRPr="000A0284" w:rsidRDefault="000E3949" w:rsidP="00D10EB3">
      <w:pPr>
        <w:pStyle w:val="FootnoteText"/>
        <w:widowControl w:val="0"/>
        <w:tabs>
          <w:tab w:val="clear" w:pos="1021"/>
          <w:tab w:val="right" w:pos="1020"/>
        </w:tabs>
        <w:ind w:firstLine="0"/>
      </w:pPr>
      <w:r w:rsidRPr="000A0284">
        <w:rPr>
          <w:rStyle w:val="FootnoteReference"/>
        </w:rPr>
        <w:footnoteRef/>
      </w:r>
      <w:r w:rsidRPr="000A0284">
        <w:tab/>
        <w:t xml:space="preserve">Employment Protection Act, SFS 1982:80, § 23. </w:t>
      </w:r>
    </w:p>
  </w:footnote>
  <w:footnote w:id="125">
    <w:p w:rsidR="000E3949" w:rsidRPr="000A0284" w:rsidRDefault="000E3949" w:rsidP="00D10EB3">
      <w:pPr>
        <w:pStyle w:val="FootnoteText"/>
        <w:widowControl w:val="0"/>
        <w:tabs>
          <w:tab w:val="clear" w:pos="1021"/>
          <w:tab w:val="right" w:pos="1020"/>
        </w:tabs>
        <w:ind w:firstLine="0"/>
      </w:pPr>
      <w:r w:rsidRPr="000A0284">
        <w:rPr>
          <w:rStyle w:val="FootnoteReference"/>
        </w:rPr>
        <w:footnoteRef/>
      </w:r>
      <w:r w:rsidRPr="000A0284">
        <w:tab/>
        <w:t xml:space="preserve">SFS 1976:580. </w:t>
      </w:r>
    </w:p>
  </w:footnote>
  <w:footnote w:id="126">
    <w:p w:rsidR="000E3949" w:rsidRPr="000A0284" w:rsidRDefault="000E3949" w:rsidP="00B45FDC">
      <w:pPr>
        <w:pStyle w:val="FootnoteText"/>
        <w:widowControl w:val="0"/>
        <w:tabs>
          <w:tab w:val="clear" w:pos="1021"/>
          <w:tab w:val="right" w:pos="1020"/>
        </w:tabs>
        <w:ind w:firstLine="0"/>
      </w:pPr>
      <w:r w:rsidRPr="000A0284">
        <w:rPr>
          <w:rStyle w:val="FootnoteReference"/>
        </w:rPr>
        <w:footnoteRef/>
      </w:r>
      <w:r w:rsidRPr="000A0284">
        <w:tab/>
        <w:t xml:space="preserve">Ordinance (2000:628) on Labour Market Policy. </w:t>
      </w:r>
    </w:p>
  </w:footnote>
  <w:footnote w:id="127">
    <w:p w:rsidR="000E3949" w:rsidRPr="000A0284" w:rsidRDefault="000E3949" w:rsidP="00B45FDC">
      <w:pPr>
        <w:pStyle w:val="FootnoteText"/>
        <w:widowControl w:val="0"/>
        <w:tabs>
          <w:tab w:val="clear" w:pos="1021"/>
          <w:tab w:val="right" w:pos="1020"/>
        </w:tabs>
        <w:ind w:firstLine="0"/>
      </w:pPr>
      <w:r w:rsidRPr="000A0284">
        <w:rPr>
          <w:rStyle w:val="FootnoteReference"/>
        </w:rPr>
        <w:footnoteRef/>
      </w:r>
      <w:r w:rsidRPr="000A0284">
        <w:tab/>
        <w:t xml:space="preserve">Ordinance (2000:634) on Labour Market Policy Programmes. </w:t>
      </w:r>
    </w:p>
  </w:footnote>
  <w:footnote w:id="128">
    <w:p w:rsidR="000E3949" w:rsidRPr="000A0284" w:rsidRDefault="000E3949" w:rsidP="00B45FDC">
      <w:pPr>
        <w:pStyle w:val="FootnoteText"/>
        <w:widowControl w:val="0"/>
        <w:tabs>
          <w:tab w:val="clear" w:pos="1021"/>
          <w:tab w:val="right" w:pos="1020"/>
        </w:tabs>
        <w:ind w:firstLine="0"/>
      </w:pPr>
      <w:r w:rsidRPr="000A0284">
        <w:rPr>
          <w:rStyle w:val="FootnoteReference"/>
        </w:rPr>
        <w:footnoteRef/>
      </w:r>
      <w:r w:rsidRPr="000A0284">
        <w:tab/>
        <w:t xml:space="preserve">SFS 2001:453, Section 4, § 1. </w:t>
      </w:r>
    </w:p>
  </w:footnote>
  <w:footnote w:id="129">
    <w:p w:rsidR="000E3949" w:rsidRPr="000A0284" w:rsidRDefault="000E3949" w:rsidP="00F26C3C">
      <w:pPr>
        <w:pStyle w:val="FootnoteText"/>
        <w:widowControl w:val="0"/>
        <w:tabs>
          <w:tab w:val="clear" w:pos="1021"/>
          <w:tab w:val="right" w:pos="1020"/>
        </w:tabs>
        <w:ind w:firstLine="0"/>
      </w:pPr>
      <w:r w:rsidRPr="000A0284">
        <w:rPr>
          <w:rStyle w:val="FootnoteReference"/>
        </w:rPr>
        <w:footnoteRef/>
      </w:r>
      <w:r w:rsidRPr="000A0284">
        <w:tab/>
        <w:t xml:space="preserve">Communication 2009/10:166. </w:t>
      </w:r>
    </w:p>
  </w:footnote>
  <w:footnote w:id="130">
    <w:p w:rsidR="000E3949" w:rsidRPr="000A0284" w:rsidRDefault="000E3949" w:rsidP="00F26C3C">
      <w:pPr>
        <w:pStyle w:val="FootnoteText"/>
        <w:widowControl w:val="0"/>
        <w:tabs>
          <w:tab w:val="clear" w:pos="1021"/>
          <w:tab w:val="right" w:pos="1020"/>
        </w:tabs>
        <w:ind w:firstLine="0"/>
      </w:pPr>
      <w:r w:rsidRPr="000A0284">
        <w:rPr>
          <w:rStyle w:val="FootnoteReference"/>
        </w:rPr>
        <w:footnoteRef/>
      </w:r>
      <w:r w:rsidRPr="000A0284">
        <w:tab/>
        <w:t xml:space="preserve">The Government’s report ‘Fattigdomen i Sverige och EU’ [Poverty in </w:t>
      </w:r>
      <w:smartTag w:uri="urn:schemas-microsoft-com:office:smarttags" w:element="place">
        <w:smartTag w:uri="urn:schemas-microsoft-com:office:smarttags" w:element="country-region">
          <w:r w:rsidRPr="000A0284">
            <w:t>Sweden</w:t>
          </w:r>
        </w:smartTag>
      </w:smartTag>
      <w:r w:rsidRPr="000A0284">
        <w:t xml:space="preserve"> and the EU], 2010. </w:t>
      </w:r>
    </w:p>
  </w:footnote>
  <w:footnote w:id="131">
    <w:p w:rsidR="000E3949" w:rsidRPr="000A0284" w:rsidRDefault="000E3949" w:rsidP="00F26C3C">
      <w:pPr>
        <w:pStyle w:val="FootnoteText"/>
        <w:widowControl w:val="0"/>
        <w:tabs>
          <w:tab w:val="clear" w:pos="1021"/>
          <w:tab w:val="right" w:pos="1020"/>
        </w:tabs>
        <w:ind w:firstLine="0"/>
      </w:pPr>
      <w:r w:rsidRPr="000A0284">
        <w:rPr>
          <w:rStyle w:val="FootnoteReference"/>
        </w:rPr>
        <w:footnoteRef/>
      </w:r>
      <w:r w:rsidRPr="000A0284">
        <w:tab/>
        <w:t xml:space="preserve">Onödig ohälsa, Hälsoläget för personer med funktionsnedsättning [Unnecessary ill health, The state of health of people with disabilities], National Institute of Public Health 2008. </w:t>
      </w:r>
    </w:p>
  </w:footnote>
  <w:footnote w:id="132">
    <w:p w:rsidR="000E3949" w:rsidRPr="000A0284" w:rsidRDefault="000E3949" w:rsidP="00AC1761">
      <w:pPr>
        <w:pStyle w:val="FootnoteText"/>
        <w:widowControl w:val="0"/>
        <w:tabs>
          <w:tab w:val="clear" w:pos="1021"/>
          <w:tab w:val="right" w:pos="1020"/>
        </w:tabs>
        <w:ind w:firstLine="0"/>
      </w:pPr>
      <w:r w:rsidRPr="000A0284">
        <w:rPr>
          <w:rStyle w:val="FootnoteReference"/>
        </w:rPr>
        <w:footnoteRef/>
      </w:r>
      <w:r w:rsidRPr="000A0284">
        <w:tab/>
        <w:t xml:space="preserve">SFS 2005:837. </w:t>
      </w:r>
    </w:p>
  </w:footnote>
  <w:footnote w:id="133">
    <w:p w:rsidR="000E3949" w:rsidRPr="000A0284" w:rsidRDefault="000E3949" w:rsidP="00AC1761">
      <w:pPr>
        <w:pStyle w:val="FootnoteText"/>
        <w:widowControl w:val="0"/>
        <w:tabs>
          <w:tab w:val="clear" w:pos="1021"/>
          <w:tab w:val="right" w:pos="1020"/>
        </w:tabs>
        <w:ind w:firstLine="0"/>
      </w:pPr>
      <w:r w:rsidRPr="000A0284">
        <w:rPr>
          <w:rStyle w:val="FootnoteReference"/>
        </w:rPr>
        <w:footnoteRef/>
      </w:r>
      <w:r w:rsidRPr="000A0284">
        <w:tab/>
        <w:t xml:space="preserve">SFS 2005:837, Section 4, § 20. </w:t>
      </w:r>
    </w:p>
  </w:footnote>
  <w:footnote w:id="134">
    <w:p w:rsidR="000E3949" w:rsidRPr="000A0284" w:rsidRDefault="000E3949" w:rsidP="00AC1761">
      <w:pPr>
        <w:pStyle w:val="FootnoteText"/>
        <w:widowControl w:val="0"/>
        <w:tabs>
          <w:tab w:val="clear" w:pos="1021"/>
          <w:tab w:val="right" w:pos="1020"/>
        </w:tabs>
        <w:ind w:firstLine="0"/>
      </w:pPr>
      <w:r w:rsidRPr="000A0284">
        <w:rPr>
          <w:rStyle w:val="FootnoteReference"/>
        </w:rPr>
        <w:footnoteRef/>
      </w:r>
      <w:r w:rsidRPr="000A0284">
        <w:tab/>
        <w:t xml:space="preserve">SFS 2005:837, Section 3, § 3, third paragraph.  </w:t>
      </w:r>
    </w:p>
  </w:footnote>
  <w:footnote w:id="135">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SFS 2005:837, Section 9, § 4. </w:t>
      </w:r>
    </w:p>
  </w:footnote>
  <w:footnote w:id="136">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SFS 2005:837, Section 7, § 3. </w:t>
      </w:r>
    </w:p>
  </w:footnote>
  <w:footnote w:id="137">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2005:837, Section 7, § 4. </w:t>
      </w:r>
    </w:p>
  </w:footnote>
  <w:footnote w:id="138">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SFS 1991:900. </w:t>
      </w:r>
    </w:p>
  </w:footnote>
  <w:footnote w:id="139">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SFS 1991:900, Section 4, § 33. </w:t>
      </w:r>
    </w:p>
  </w:footnote>
  <w:footnote w:id="140">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Section 4, § 12 a of the Local Government Act. </w:t>
      </w:r>
    </w:p>
  </w:footnote>
  <w:footnote w:id="141">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(IJ2008/927/DEM). </w:t>
      </w:r>
    </w:p>
  </w:footnote>
  <w:footnote w:id="142">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Directive (2010:53) Reinforcing the functioning of local government democracy. </w:t>
      </w:r>
    </w:p>
  </w:footnote>
  <w:footnote w:id="143">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The Swedish Arts Council is a state authority that is responsible for distributing State cultural support for the following art and culture areas: theatre, dance, music, literature, cultural journals and public libraries, as well as art, museums and exhibitions. </w:t>
      </w:r>
    </w:p>
  </w:footnote>
  <w:footnote w:id="144">
    <w:p w:rsidR="000E3949" w:rsidRPr="000A0284" w:rsidRDefault="000E3949" w:rsidP="00272B46">
      <w:pPr>
        <w:pStyle w:val="FootnoteText"/>
        <w:widowControl w:val="0"/>
        <w:tabs>
          <w:tab w:val="clear" w:pos="1021"/>
          <w:tab w:val="right" w:pos="1020"/>
        </w:tabs>
        <w:ind w:firstLine="0"/>
      </w:pPr>
      <w:r w:rsidRPr="000A0284">
        <w:rPr>
          <w:rStyle w:val="FootnoteReference"/>
        </w:rPr>
        <w:footnoteRef/>
      </w:r>
      <w:r w:rsidRPr="000A0284">
        <w:tab/>
        <w:t xml:space="preserve">The Swedish National Heritage Board is the central administrative authority for issues relating to the cultural environment and cultural heritage. The Board must assist in the cultural policy goals of promoting everyone’s opportunities to enjoy cultural experiences, education and the development of their creative skills, as well as promoting a living cultural heritage that is preserved, used and developed. </w:t>
      </w:r>
    </w:p>
  </w:footnote>
  <w:footnote w:id="145">
    <w:p w:rsidR="000E3949" w:rsidRPr="000A0284" w:rsidRDefault="000E3949" w:rsidP="009247D7">
      <w:pPr>
        <w:pStyle w:val="FootnoteText"/>
        <w:widowControl w:val="0"/>
        <w:tabs>
          <w:tab w:val="clear" w:pos="1021"/>
          <w:tab w:val="right" w:pos="1020"/>
        </w:tabs>
        <w:ind w:firstLine="0"/>
      </w:pPr>
      <w:r w:rsidRPr="000A0284">
        <w:rPr>
          <w:rStyle w:val="FootnoteReference"/>
        </w:rPr>
        <w:footnoteRef/>
      </w:r>
      <w:r w:rsidRPr="000A0284">
        <w:tab/>
        <w:t xml:space="preserve">The Act on Copyright in Literary and Artistic Works (1960:729). </w:t>
      </w:r>
    </w:p>
  </w:footnote>
  <w:footnote w:id="146">
    <w:p w:rsidR="000E3949" w:rsidRPr="000A0284" w:rsidRDefault="000E3949" w:rsidP="009247D7">
      <w:pPr>
        <w:pStyle w:val="FootnoteText"/>
        <w:widowControl w:val="0"/>
        <w:tabs>
          <w:tab w:val="clear" w:pos="1021"/>
          <w:tab w:val="right" w:pos="1020"/>
        </w:tabs>
        <w:ind w:firstLine="0"/>
      </w:pPr>
      <w:r w:rsidRPr="000A0284">
        <w:rPr>
          <w:rStyle w:val="FootnoteReference"/>
        </w:rPr>
        <w:footnoteRef/>
      </w:r>
      <w:r w:rsidRPr="000A0284">
        <w:tab/>
        <w:t xml:space="preserve">SFS 2010:696. </w:t>
      </w:r>
    </w:p>
  </w:footnote>
  <w:footnote w:id="147">
    <w:p w:rsidR="000E3949" w:rsidRPr="000A0284" w:rsidRDefault="000E3949" w:rsidP="009247D7">
      <w:pPr>
        <w:pStyle w:val="FootnoteText"/>
        <w:widowControl w:val="0"/>
        <w:tabs>
          <w:tab w:val="clear" w:pos="1021"/>
          <w:tab w:val="right" w:pos="1020"/>
        </w:tabs>
        <w:ind w:firstLine="0"/>
      </w:pPr>
      <w:r w:rsidRPr="000A0284">
        <w:rPr>
          <w:rStyle w:val="FootnoteReference"/>
        </w:rPr>
        <w:footnoteRef/>
      </w:r>
      <w:r w:rsidRPr="000A0284">
        <w:tab/>
        <w:t xml:space="preserve">The Swedish Library of Talking Books and Braille is a State authority that is tasked with working to ensure that persons with disabilities have access to such copies of literary works that they require in order to study the works, e.g. producing and transferring talking books and braille books, as well as supplying and participating in the development of new technology regarding adapted media. </w:t>
      </w:r>
    </w:p>
  </w:footnote>
  <w:footnote w:id="148">
    <w:p w:rsidR="000E3949" w:rsidRPr="000A0284" w:rsidRDefault="000E3949" w:rsidP="00025D8C">
      <w:pPr>
        <w:pStyle w:val="FootnoteText"/>
        <w:widowControl w:val="0"/>
        <w:tabs>
          <w:tab w:val="clear" w:pos="1021"/>
          <w:tab w:val="right" w:pos="1020"/>
        </w:tabs>
        <w:ind w:firstLine="0"/>
      </w:pPr>
      <w:r w:rsidRPr="000A0284">
        <w:rPr>
          <w:rStyle w:val="FootnoteReference"/>
        </w:rPr>
        <w:footnoteRef/>
      </w:r>
      <w:r w:rsidRPr="000A0284">
        <w:tab/>
        <w:t xml:space="preserve">The </w:t>
      </w:r>
      <w:smartTag w:uri="urn:schemas-microsoft-com:office:smarttags" w:element="place">
        <w:smartTag w:uri="urn:schemas-microsoft-com:office:smarttags" w:element="PlaceName">
          <w:r w:rsidRPr="000A0284">
            <w:t>Swedish</w:t>
          </w:r>
        </w:smartTag>
        <w:r w:rsidRPr="000A0284">
          <w:t xml:space="preserve"> </w:t>
        </w:r>
        <w:smartTag w:uri="urn:schemas-microsoft-com:office:smarttags" w:element="PlaceName">
          <w:r w:rsidRPr="000A0284">
            <w:t>Sports</w:t>
          </w:r>
        </w:smartTag>
        <w:r w:rsidRPr="000A0284">
          <w:t xml:space="preserve"> </w:t>
        </w:r>
        <w:smartTag w:uri="urn:schemas-microsoft-com:office:smarttags" w:element="PlaceType">
          <w:r w:rsidRPr="000A0284">
            <w:t>Academy</w:t>
          </w:r>
        </w:smartTag>
      </w:smartTag>
      <w:r w:rsidRPr="000A0284">
        <w:t xml:space="preserve"> is a non-profit amalgamation, whose members comprise prominent representatives of Swedish sport who love sport and want to see it develop.  </w:t>
      </w:r>
    </w:p>
  </w:footnote>
  <w:footnote w:id="149">
    <w:p w:rsidR="000E3949" w:rsidRPr="000A0284" w:rsidRDefault="000E3949" w:rsidP="00025D8C">
      <w:pPr>
        <w:pStyle w:val="FootnoteText"/>
        <w:widowControl w:val="0"/>
        <w:tabs>
          <w:tab w:val="clear" w:pos="1021"/>
          <w:tab w:val="right" w:pos="1020"/>
        </w:tabs>
        <w:ind w:firstLine="0"/>
      </w:pPr>
      <w:r w:rsidRPr="000A0284">
        <w:rPr>
          <w:rStyle w:val="FootnoteReference"/>
        </w:rPr>
        <w:footnoteRef/>
      </w:r>
      <w:r w:rsidRPr="000A0284">
        <w:tab/>
        <w:t xml:space="preserve">SFS 2008:567. </w:t>
      </w:r>
    </w:p>
  </w:footnote>
  <w:footnote w:id="150">
    <w:p w:rsidR="000E3949" w:rsidRPr="000A0284" w:rsidRDefault="000E3949" w:rsidP="00B86C8B">
      <w:pPr>
        <w:pStyle w:val="FootnoteText"/>
        <w:widowControl w:val="0"/>
        <w:tabs>
          <w:tab w:val="clear" w:pos="1021"/>
          <w:tab w:val="right" w:pos="1020"/>
        </w:tabs>
        <w:ind w:firstLine="0"/>
      </w:pPr>
      <w:r w:rsidRPr="000A0284">
        <w:rPr>
          <w:rStyle w:val="FootnoteReference"/>
        </w:rPr>
        <w:footnoteRef/>
      </w:r>
      <w:r w:rsidRPr="000A0284">
        <w:tab/>
        <w:t xml:space="preserve">Communication 2007/08:39. </w:t>
      </w:r>
    </w:p>
  </w:footnote>
  <w:footnote w:id="151">
    <w:p w:rsidR="000E3949" w:rsidRPr="000A0284" w:rsidRDefault="000E3949" w:rsidP="00B86C8B">
      <w:pPr>
        <w:pStyle w:val="FootnoteText"/>
        <w:widowControl w:val="0"/>
        <w:tabs>
          <w:tab w:val="clear" w:pos="1021"/>
          <w:tab w:val="right" w:pos="1020"/>
        </w:tabs>
        <w:ind w:firstLine="0"/>
      </w:pPr>
      <w:r w:rsidRPr="000A0284">
        <w:rPr>
          <w:rStyle w:val="FootnoteReference"/>
        </w:rPr>
        <w:footnoteRef/>
      </w:r>
      <w:r w:rsidRPr="000A0284">
        <w:tab/>
        <w:t xml:space="preserve">Governments Bill 2009/10:232. </w:t>
      </w:r>
    </w:p>
  </w:footnote>
  <w:footnote w:id="152">
    <w:p w:rsidR="000E3949" w:rsidRPr="000A0284" w:rsidRDefault="000E3949" w:rsidP="00B86C8B">
      <w:pPr>
        <w:pStyle w:val="FootnoteText"/>
        <w:widowControl w:val="0"/>
        <w:tabs>
          <w:tab w:val="clear" w:pos="1021"/>
          <w:tab w:val="right" w:pos="1020"/>
        </w:tabs>
        <w:ind w:firstLine="0"/>
      </w:pPr>
      <w:r w:rsidRPr="000A0284">
        <w:rPr>
          <w:rStyle w:val="FootnoteReference"/>
        </w:rPr>
        <w:footnoteRef/>
      </w:r>
      <w:r w:rsidRPr="000A0284">
        <w:tab/>
        <w:t xml:space="preserve">The Ombudsman for Children is a state authority that is charged with representing the rights and interests of children and young people on the basis of the UN’s Convention on the Rights of the Child. </w:t>
      </w:r>
    </w:p>
  </w:footnote>
  <w:footnote w:id="153">
    <w:p w:rsidR="000E3949" w:rsidRPr="000A0284" w:rsidRDefault="000E3949" w:rsidP="00555974">
      <w:pPr>
        <w:pStyle w:val="FootnoteText"/>
        <w:widowControl w:val="0"/>
        <w:tabs>
          <w:tab w:val="clear" w:pos="1021"/>
          <w:tab w:val="right" w:pos="1020"/>
        </w:tabs>
        <w:ind w:firstLine="0"/>
      </w:pPr>
      <w:r w:rsidRPr="000A0284">
        <w:rPr>
          <w:rStyle w:val="FootnoteReference"/>
        </w:rPr>
        <w:footnoteRef/>
      </w:r>
      <w:r w:rsidRPr="000A0284">
        <w:tab/>
        <w:t xml:space="preserve">Government Bill 2008/09:193. </w:t>
      </w:r>
    </w:p>
  </w:footnote>
  <w:footnote w:id="154">
    <w:p w:rsidR="000E3949" w:rsidRPr="000A0284" w:rsidRDefault="000E3949" w:rsidP="00555974">
      <w:pPr>
        <w:pStyle w:val="FootnoteText"/>
        <w:widowControl w:val="0"/>
        <w:tabs>
          <w:tab w:val="clear" w:pos="1021"/>
          <w:tab w:val="right" w:pos="1020"/>
        </w:tabs>
        <w:ind w:firstLine="0"/>
      </w:pPr>
      <w:r w:rsidRPr="000A0284">
        <w:rPr>
          <w:rStyle w:val="FootnoteReference"/>
        </w:rPr>
        <w:footnoteRef/>
      </w:r>
      <w:r w:rsidRPr="000A0284">
        <w:tab/>
        <w:t xml:space="preserve">Government Bill 2008/09:193. </w:t>
      </w:r>
    </w:p>
  </w:footnote>
  <w:footnote w:id="155">
    <w:p w:rsidR="000E3949" w:rsidRPr="000A0284" w:rsidRDefault="000E3949" w:rsidP="000D09CE">
      <w:pPr>
        <w:pStyle w:val="FootnoteText"/>
        <w:widowControl w:val="0"/>
        <w:tabs>
          <w:tab w:val="clear" w:pos="1021"/>
          <w:tab w:val="right" w:pos="1020"/>
        </w:tabs>
        <w:ind w:firstLine="0"/>
      </w:pPr>
      <w:r w:rsidRPr="000A0284">
        <w:rPr>
          <w:rStyle w:val="FootnoteReference"/>
        </w:rPr>
        <w:footnoteRef/>
      </w:r>
      <w:r w:rsidRPr="000A0284">
        <w:tab/>
        <w:t xml:space="preserve">The Constitution Act, Section 2, § 3.  </w:t>
      </w:r>
    </w:p>
  </w:footnote>
  <w:footnote w:id="156">
    <w:p w:rsidR="000E3949" w:rsidRPr="000A0284" w:rsidRDefault="000E3949" w:rsidP="000D09CE">
      <w:pPr>
        <w:pStyle w:val="FootnoteText"/>
        <w:widowControl w:val="0"/>
        <w:tabs>
          <w:tab w:val="clear" w:pos="1021"/>
          <w:tab w:val="right" w:pos="1020"/>
        </w:tabs>
        <w:ind w:firstLine="0"/>
      </w:pPr>
      <w:r w:rsidRPr="000A0284">
        <w:rPr>
          <w:rStyle w:val="FootnoteReference"/>
        </w:rPr>
        <w:footnoteRef/>
      </w:r>
      <w:r w:rsidRPr="000A0284">
        <w:tab/>
        <w:t xml:space="preserve">SFS 1998:204. </w:t>
      </w:r>
    </w:p>
  </w:footnote>
  <w:footnote w:id="157">
    <w:p w:rsidR="000E3949" w:rsidRPr="000A0284" w:rsidRDefault="000E3949" w:rsidP="000D09CE">
      <w:pPr>
        <w:pStyle w:val="FootnoteText"/>
        <w:widowControl w:val="0"/>
        <w:tabs>
          <w:tab w:val="clear" w:pos="1021"/>
          <w:tab w:val="right" w:pos="1020"/>
        </w:tabs>
        <w:ind w:firstLine="0"/>
      </w:pPr>
      <w:r w:rsidRPr="000A0284">
        <w:rPr>
          <w:rStyle w:val="FootnoteReference"/>
        </w:rPr>
        <w:footnoteRef/>
      </w:r>
      <w:r w:rsidRPr="000A0284">
        <w:tab/>
        <w:t xml:space="preserve">SFS 1973:289. </w:t>
      </w:r>
    </w:p>
  </w:footnote>
  <w:footnote w:id="158">
    <w:p w:rsidR="000E3949" w:rsidRPr="000A0284" w:rsidRDefault="000E3949" w:rsidP="000D09CE">
      <w:pPr>
        <w:pStyle w:val="FootnoteText"/>
        <w:widowControl w:val="0"/>
        <w:tabs>
          <w:tab w:val="clear" w:pos="1021"/>
          <w:tab w:val="right" w:pos="1020"/>
        </w:tabs>
        <w:ind w:firstLine="0"/>
      </w:pPr>
      <w:r w:rsidRPr="000A0284">
        <w:rPr>
          <w:rStyle w:val="FootnoteReference"/>
        </w:rPr>
        <w:footnoteRef/>
      </w:r>
      <w:r w:rsidRPr="000A0284">
        <w:tab/>
        <w:t xml:space="preserve">95/46/EC of 24 October 1995. </w:t>
      </w:r>
    </w:p>
  </w:footnote>
  <w:footnote w:id="159">
    <w:p w:rsidR="000E3949" w:rsidRPr="000A0284" w:rsidRDefault="000E3949" w:rsidP="00877AB3">
      <w:pPr>
        <w:pStyle w:val="FootnoteText"/>
        <w:widowControl w:val="0"/>
        <w:tabs>
          <w:tab w:val="clear" w:pos="1021"/>
          <w:tab w:val="right" w:pos="1020"/>
        </w:tabs>
        <w:ind w:firstLine="0"/>
      </w:pPr>
      <w:r w:rsidRPr="000A0284">
        <w:rPr>
          <w:rStyle w:val="FootnoteReference"/>
        </w:rPr>
        <w:footnoteRef/>
      </w:r>
      <w:r w:rsidRPr="000A0284">
        <w:tab/>
        <w:t xml:space="preserve">Government Bill 2005/06:173. </w:t>
      </w:r>
    </w:p>
  </w:footnote>
  <w:footnote w:id="160">
    <w:p w:rsidR="000E3949" w:rsidRPr="000A0284" w:rsidRDefault="000E3949" w:rsidP="00877AB3">
      <w:pPr>
        <w:pStyle w:val="FootnoteText"/>
        <w:widowControl w:val="0"/>
        <w:tabs>
          <w:tab w:val="clear" w:pos="1021"/>
          <w:tab w:val="right" w:pos="1020"/>
        </w:tabs>
        <w:ind w:firstLine="0"/>
      </w:pPr>
      <w:r w:rsidRPr="000A0284">
        <w:rPr>
          <w:rStyle w:val="FootnoteReference"/>
        </w:rPr>
        <w:footnoteRef/>
      </w:r>
      <w:r w:rsidRPr="000A0284">
        <w:tab/>
        <w:t xml:space="preserve">SFS 2001:99. </w:t>
      </w:r>
    </w:p>
  </w:footnote>
  <w:footnote w:id="161">
    <w:p w:rsidR="000E3949" w:rsidRPr="000A0284" w:rsidRDefault="000E3949" w:rsidP="00877AB3">
      <w:pPr>
        <w:pStyle w:val="FootnoteText"/>
        <w:widowControl w:val="0"/>
        <w:tabs>
          <w:tab w:val="clear" w:pos="1021"/>
          <w:tab w:val="right" w:pos="1020"/>
        </w:tabs>
        <w:ind w:firstLine="0"/>
      </w:pPr>
      <w:r w:rsidRPr="000A0284">
        <w:rPr>
          <w:rStyle w:val="FootnoteReference"/>
        </w:rPr>
        <w:footnoteRef/>
      </w:r>
      <w:r w:rsidRPr="000A0284">
        <w:tab/>
        <w:t xml:space="preserve">SFS 2001:100. </w:t>
      </w:r>
    </w:p>
  </w:footnote>
  <w:footnote w:id="162">
    <w:p w:rsidR="000E3949" w:rsidRPr="000A0284" w:rsidRDefault="000E3949" w:rsidP="00877AB3">
      <w:pPr>
        <w:pStyle w:val="FootnoteText"/>
        <w:widowControl w:val="0"/>
        <w:tabs>
          <w:tab w:val="clear" w:pos="1021"/>
          <w:tab w:val="right" w:pos="1020"/>
        </w:tabs>
        <w:ind w:firstLine="0"/>
      </w:pPr>
      <w:r w:rsidRPr="000A0284">
        <w:rPr>
          <w:rStyle w:val="FootnoteReference"/>
        </w:rPr>
        <w:footnoteRef/>
      </w:r>
      <w:r w:rsidRPr="000A0284">
        <w:tab/>
        <w:t xml:space="preserve">SFS 2004:16. </w:t>
      </w:r>
    </w:p>
  </w:footnote>
  <w:footnote w:id="163">
    <w:p w:rsidR="000E3949" w:rsidRPr="000A0284" w:rsidRDefault="000E3949" w:rsidP="00877AB3">
      <w:pPr>
        <w:pStyle w:val="FootnoteText"/>
        <w:widowControl w:val="0"/>
        <w:tabs>
          <w:tab w:val="clear" w:pos="1021"/>
          <w:tab w:val="right" w:pos="1020"/>
        </w:tabs>
        <w:ind w:firstLine="0"/>
      </w:pPr>
      <w:r w:rsidRPr="000A0284">
        <w:rPr>
          <w:rStyle w:val="FootnoteReference"/>
        </w:rPr>
        <w:footnoteRef/>
      </w:r>
      <w:r w:rsidRPr="000A0284">
        <w:tab/>
        <w:t xml:space="preserve">SOSFS 2005:21. </w:t>
      </w:r>
    </w:p>
  </w:footnote>
  <w:footnote w:id="164">
    <w:p w:rsidR="000E3949" w:rsidRPr="000A0284" w:rsidRDefault="000E3949" w:rsidP="00877AB3">
      <w:pPr>
        <w:pStyle w:val="FootnoteText"/>
        <w:widowControl w:val="0"/>
        <w:tabs>
          <w:tab w:val="clear" w:pos="1021"/>
          <w:tab w:val="right" w:pos="1020"/>
        </w:tabs>
        <w:ind w:firstLine="0"/>
      </w:pPr>
      <w:r w:rsidRPr="000A0284">
        <w:rPr>
          <w:rStyle w:val="FootnoteReference"/>
        </w:rPr>
        <w:footnoteRef/>
      </w:r>
      <w:r w:rsidRPr="000A0284">
        <w:tab/>
        <w:t xml:space="preserve">SFS 2009:40. </w:t>
      </w:r>
    </w:p>
  </w:footnote>
  <w:footnote w:id="165">
    <w:p w:rsidR="000E3949" w:rsidRPr="000A0284" w:rsidRDefault="000E3949" w:rsidP="00877AB3">
      <w:pPr>
        <w:pStyle w:val="FootnoteText"/>
        <w:widowControl w:val="0"/>
        <w:tabs>
          <w:tab w:val="clear" w:pos="1021"/>
          <w:tab w:val="right" w:pos="1020"/>
        </w:tabs>
        <w:ind w:firstLine="0"/>
      </w:pPr>
      <w:r w:rsidRPr="000A0284">
        <w:rPr>
          <w:rStyle w:val="FootnoteReference"/>
        </w:rPr>
        <w:footnoteRef/>
      </w:r>
      <w:r w:rsidRPr="000A0284">
        <w:tab/>
        <w:t xml:space="preserve">Statistics </w:t>
      </w:r>
      <w:smartTag w:uri="urn:schemas-microsoft-com:office:smarttags" w:element="place">
        <w:smartTag w:uri="urn:schemas-microsoft-com:office:smarttags" w:element="country-region">
          <w:r w:rsidRPr="000A0284">
            <w:t>Sweden</w:t>
          </w:r>
        </w:smartTag>
      </w:smartTag>
      <w:r w:rsidRPr="000A0284">
        <w:t xml:space="preserve"> is an administrative authority whose primary task is to supply customers with statistics for decision-making, debate and research, often at the request of the Government.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49" w:rsidRDefault="000E3949">
    <w:pPr>
      <w:pStyle w:val="Header"/>
    </w:pPr>
    <w:r>
      <w:t>CRPD/C/SWE/1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49" w:rsidRPr="00321ADA" w:rsidRDefault="000E3949" w:rsidP="00321ADA">
    <w:pPr>
      <w:pStyle w:val="Header"/>
      <w:jc w:val="right"/>
    </w:pPr>
    <w:r>
      <w:t>CRPD/C/SWE/1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9F" w:rsidRDefault="00784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078D1"/>
    <w:multiLevelType w:val="hybridMultilevel"/>
    <w:tmpl w:val="8F7AA648"/>
    <w:lvl w:ilvl="0" w:tplc="0809000F">
      <w:start w:val="1"/>
      <w:numFmt w:val="decimal"/>
      <w:lvlText w:val="%1."/>
      <w:lvlJc w:val="left"/>
      <w:pPr>
        <w:ind w:left="2426" w:hanging="360"/>
      </w:pPr>
    </w:lvl>
    <w:lvl w:ilvl="1" w:tplc="08090019" w:tentative="1">
      <w:start w:val="1"/>
      <w:numFmt w:val="lowerLetter"/>
      <w:lvlText w:val="%2."/>
      <w:lvlJc w:val="left"/>
      <w:pPr>
        <w:ind w:left="3146" w:hanging="360"/>
      </w:pPr>
    </w:lvl>
    <w:lvl w:ilvl="2" w:tplc="0809001B" w:tentative="1">
      <w:start w:val="1"/>
      <w:numFmt w:val="lowerRoman"/>
      <w:lvlText w:val="%3."/>
      <w:lvlJc w:val="right"/>
      <w:pPr>
        <w:ind w:left="3866" w:hanging="180"/>
      </w:pPr>
    </w:lvl>
    <w:lvl w:ilvl="3" w:tplc="0809000F" w:tentative="1">
      <w:start w:val="1"/>
      <w:numFmt w:val="decimal"/>
      <w:lvlText w:val="%4."/>
      <w:lvlJc w:val="left"/>
      <w:pPr>
        <w:ind w:left="4586" w:hanging="360"/>
      </w:pPr>
    </w:lvl>
    <w:lvl w:ilvl="4" w:tplc="08090019" w:tentative="1">
      <w:start w:val="1"/>
      <w:numFmt w:val="lowerLetter"/>
      <w:lvlText w:val="%5."/>
      <w:lvlJc w:val="left"/>
      <w:pPr>
        <w:ind w:left="5306" w:hanging="360"/>
      </w:pPr>
    </w:lvl>
    <w:lvl w:ilvl="5" w:tplc="0809001B" w:tentative="1">
      <w:start w:val="1"/>
      <w:numFmt w:val="lowerRoman"/>
      <w:lvlText w:val="%6."/>
      <w:lvlJc w:val="right"/>
      <w:pPr>
        <w:ind w:left="6026" w:hanging="180"/>
      </w:pPr>
    </w:lvl>
    <w:lvl w:ilvl="6" w:tplc="0809000F" w:tentative="1">
      <w:start w:val="1"/>
      <w:numFmt w:val="decimal"/>
      <w:lvlText w:val="%7."/>
      <w:lvlJc w:val="left"/>
      <w:pPr>
        <w:ind w:left="6746" w:hanging="360"/>
      </w:pPr>
    </w:lvl>
    <w:lvl w:ilvl="7" w:tplc="08090019" w:tentative="1">
      <w:start w:val="1"/>
      <w:numFmt w:val="lowerLetter"/>
      <w:lvlText w:val="%8."/>
      <w:lvlJc w:val="left"/>
      <w:pPr>
        <w:ind w:left="7466" w:hanging="360"/>
      </w:pPr>
    </w:lvl>
    <w:lvl w:ilvl="8" w:tplc="0809001B" w:tentative="1">
      <w:start w:val="1"/>
      <w:numFmt w:val="lowerRoman"/>
      <w:lvlText w:val="%9."/>
      <w:lvlJc w:val="right"/>
      <w:pPr>
        <w:ind w:left="8186" w:hanging="180"/>
      </w:p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926E9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4363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FAA5E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8"/>
  </w:num>
  <w:num w:numId="15">
    <w:abstractNumId w:val="14"/>
  </w:num>
  <w:num w:numId="16">
    <w:abstractNumId w:val="12"/>
  </w:num>
  <w:num w:numId="17">
    <w:abstractNumId w:val="19"/>
  </w:num>
  <w:num w:numId="18">
    <w:abstractNumId w:val="17"/>
  </w:num>
  <w:num w:numId="19">
    <w:abstractNumId w:val="13"/>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AD9"/>
    <w:rsid w:val="00000B2D"/>
    <w:rsid w:val="000038A8"/>
    <w:rsid w:val="00003AE9"/>
    <w:rsid w:val="00006790"/>
    <w:rsid w:val="00025D8C"/>
    <w:rsid w:val="000266A9"/>
    <w:rsid w:val="00027624"/>
    <w:rsid w:val="000303D4"/>
    <w:rsid w:val="000312F5"/>
    <w:rsid w:val="00031A02"/>
    <w:rsid w:val="0003497E"/>
    <w:rsid w:val="00037AED"/>
    <w:rsid w:val="00041B4C"/>
    <w:rsid w:val="00050F6B"/>
    <w:rsid w:val="00051199"/>
    <w:rsid w:val="000611E1"/>
    <w:rsid w:val="00064780"/>
    <w:rsid w:val="00072C8C"/>
    <w:rsid w:val="00073B44"/>
    <w:rsid w:val="00081CE0"/>
    <w:rsid w:val="00082053"/>
    <w:rsid w:val="00084D30"/>
    <w:rsid w:val="000931C0"/>
    <w:rsid w:val="00094421"/>
    <w:rsid w:val="000A0284"/>
    <w:rsid w:val="000A2E09"/>
    <w:rsid w:val="000B175B"/>
    <w:rsid w:val="000B3A0F"/>
    <w:rsid w:val="000D09CE"/>
    <w:rsid w:val="000D2E67"/>
    <w:rsid w:val="000E0415"/>
    <w:rsid w:val="000E3949"/>
    <w:rsid w:val="000F0A76"/>
    <w:rsid w:val="000F4815"/>
    <w:rsid w:val="000F7715"/>
    <w:rsid w:val="00116E36"/>
    <w:rsid w:val="00126E70"/>
    <w:rsid w:val="0013705C"/>
    <w:rsid w:val="00146CDE"/>
    <w:rsid w:val="00154C57"/>
    <w:rsid w:val="00156B99"/>
    <w:rsid w:val="00166124"/>
    <w:rsid w:val="00167F1F"/>
    <w:rsid w:val="001775F1"/>
    <w:rsid w:val="00184DDA"/>
    <w:rsid w:val="001900CD"/>
    <w:rsid w:val="001B4B04"/>
    <w:rsid w:val="001C6663"/>
    <w:rsid w:val="001C7895"/>
    <w:rsid w:val="001D26DF"/>
    <w:rsid w:val="001D4144"/>
    <w:rsid w:val="001F1599"/>
    <w:rsid w:val="001F19C4"/>
    <w:rsid w:val="002043F0"/>
    <w:rsid w:val="00211E0B"/>
    <w:rsid w:val="00213753"/>
    <w:rsid w:val="002241B1"/>
    <w:rsid w:val="00230C11"/>
    <w:rsid w:val="00240663"/>
    <w:rsid w:val="00247258"/>
    <w:rsid w:val="00257CAC"/>
    <w:rsid w:val="00272B46"/>
    <w:rsid w:val="0028086E"/>
    <w:rsid w:val="002817DB"/>
    <w:rsid w:val="00282DD4"/>
    <w:rsid w:val="00285D49"/>
    <w:rsid w:val="00286B6C"/>
    <w:rsid w:val="002974E9"/>
    <w:rsid w:val="002A114B"/>
    <w:rsid w:val="002A531A"/>
    <w:rsid w:val="002B109A"/>
    <w:rsid w:val="002B5735"/>
    <w:rsid w:val="002C590F"/>
    <w:rsid w:val="002D6E53"/>
    <w:rsid w:val="002E2E0C"/>
    <w:rsid w:val="002E3532"/>
    <w:rsid w:val="002F046D"/>
    <w:rsid w:val="00301764"/>
    <w:rsid w:val="00321ADA"/>
    <w:rsid w:val="003229D8"/>
    <w:rsid w:val="00336C97"/>
    <w:rsid w:val="00342432"/>
    <w:rsid w:val="00352AE7"/>
    <w:rsid w:val="0035638C"/>
    <w:rsid w:val="00380792"/>
    <w:rsid w:val="003A0A0F"/>
    <w:rsid w:val="003A46BB"/>
    <w:rsid w:val="003A4EC7"/>
    <w:rsid w:val="003A7295"/>
    <w:rsid w:val="003C2CC4"/>
    <w:rsid w:val="003C55F6"/>
    <w:rsid w:val="003D4B23"/>
    <w:rsid w:val="003D4F7B"/>
    <w:rsid w:val="003E278A"/>
    <w:rsid w:val="003F520A"/>
    <w:rsid w:val="00410A38"/>
    <w:rsid w:val="00413520"/>
    <w:rsid w:val="00427B8E"/>
    <w:rsid w:val="004325CB"/>
    <w:rsid w:val="00440A07"/>
    <w:rsid w:val="004716EF"/>
    <w:rsid w:val="004819F9"/>
    <w:rsid w:val="00495E10"/>
    <w:rsid w:val="004A0146"/>
    <w:rsid w:val="004A5943"/>
    <w:rsid w:val="004A7D87"/>
    <w:rsid w:val="004B01B2"/>
    <w:rsid w:val="004B1EAA"/>
    <w:rsid w:val="004B2AB0"/>
    <w:rsid w:val="004C1608"/>
    <w:rsid w:val="004C55B0"/>
    <w:rsid w:val="004E04AD"/>
    <w:rsid w:val="004E333F"/>
    <w:rsid w:val="004F6BA0"/>
    <w:rsid w:val="00503BEA"/>
    <w:rsid w:val="00511B00"/>
    <w:rsid w:val="005158D8"/>
    <w:rsid w:val="00533616"/>
    <w:rsid w:val="00533C9A"/>
    <w:rsid w:val="00535ABA"/>
    <w:rsid w:val="0053768B"/>
    <w:rsid w:val="005420F2"/>
    <w:rsid w:val="0054285C"/>
    <w:rsid w:val="00551C01"/>
    <w:rsid w:val="00555974"/>
    <w:rsid w:val="0055730D"/>
    <w:rsid w:val="00571E9A"/>
    <w:rsid w:val="00584173"/>
    <w:rsid w:val="005879B6"/>
    <w:rsid w:val="00590C1E"/>
    <w:rsid w:val="005A44B9"/>
    <w:rsid w:val="005B1AA5"/>
    <w:rsid w:val="005B1BA0"/>
    <w:rsid w:val="005B3DB3"/>
    <w:rsid w:val="005D15CA"/>
    <w:rsid w:val="005F083F"/>
    <w:rsid w:val="005F3E61"/>
    <w:rsid w:val="006115CC"/>
    <w:rsid w:val="00611FC4"/>
    <w:rsid w:val="006176FB"/>
    <w:rsid w:val="00630FCB"/>
    <w:rsid w:val="00635AD9"/>
    <w:rsid w:val="006375D6"/>
    <w:rsid w:val="00640B26"/>
    <w:rsid w:val="00656141"/>
    <w:rsid w:val="006770B2"/>
    <w:rsid w:val="00684090"/>
    <w:rsid w:val="006847ED"/>
    <w:rsid w:val="00686DB5"/>
    <w:rsid w:val="006940E1"/>
    <w:rsid w:val="006A3C72"/>
    <w:rsid w:val="006A7392"/>
    <w:rsid w:val="006B03A1"/>
    <w:rsid w:val="006B1A31"/>
    <w:rsid w:val="006C5535"/>
    <w:rsid w:val="006D4CF5"/>
    <w:rsid w:val="006E2834"/>
    <w:rsid w:val="006E564B"/>
    <w:rsid w:val="006E667A"/>
    <w:rsid w:val="006E7154"/>
    <w:rsid w:val="007003CD"/>
    <w:rsid w:val="007030D2"/>
    <w:rsid w:val="0072632A"/>
    <w:rsid w:val="007358E8"/>
    <w:rsid w:val="00736ECE"/>
    <w:rsid w:val="0074533B"/>
    <w:rsid w:val="00753CAD"/>
    <w:rsid w:val="00757BF4"/>
    <w:rsid w:val="007643BC"/>
    <w:rsid w:val="00764872"/>
    <w:rsid w:val="007829EA"/>
    <w:rsid w:val="00783E51"/>
    <w:rsid w:val="0078449F"/>
    <w:rsid w:val="007959FE"/>
    <w:rsid w:val="007A0CF1"/>
    <w:rsid w:val="007B6BA5"/>
    <w:rsid w:val="007C0BDF"/>
    <w:rsid w:val="007C3390"/>
    <w:rsid w:val="007C42D8"/>
    <w:rsid w:val="007C4F4B"/>
    <w:rsid w:val="007E00DE"/>
    <w:rsid w:val="007E0E9D"/>
    <w:rsid w:val="007F5CE2"/>
    <w:rsid w:val="007F6611"/>
    <w:rsid w:val="00810BAC"/>
    <w:rsid w:val="0081312A"/>
    <w:rsid w:val="00816674"/>
    <w:rsid w:val="008175E9"/>
    <w:rsid w:val="008238A7"/>
    <w:rsid w:val="008242D7"/>
    <w:rsid w:val="00832F12"/>
    <w:rsid w:val="008472FF"/>
    <w:rsid w:val="0085233E"/>
    <w:rsid w:val="00855B1B"/>
    <w:rsid w:val="00855B5C"/>
    <w:rsid w:val="00866893"/>
    <w:rsid w:val="00866F02"/>
    <w:rsid w:val="00867D18"/>
    <w:rsid w:val="00871FD5"/>
    <w:rsid w:val="00877AB3"/>
    <w:rsid w:val="0088320A"/>
    <w:rsid w:val="008916B4"/>
    <w:rsid w:val="0089486F"/>
    <w:rsid w:val="008979B1"/>
    <w:rsid w:val="008A6B25"/>
    <w:rsid w:val="008A6C4F"/>
    <w:rsid w:val="008B389E"/>
    <w:rsid w:val="008C4B94"/>
    <w:rsid w:val="008D045E"/>
    <w:rsid w:val="008D3F25"/>
    <w:rsid w:val="008D4D82"/>
    <w:rsid w:val="008E0E46"/>
    <w:rsid w:val="008F3882"/>
    <w:rsid w:val="008F3C6A"/>
    <w:rsid w:val="008F4B7C"/>
    <w:rsid w:val="00923190"/>
    <w:rsid w:val="009247D7"/>
    <w:rsid w:val="00926E47"/>
    <w:rsid w:val="00940EC1"/>
    <w:rsid w:val="00947162"/>
    <w:rsid w:val="009662E6"/>
    <w:rsid w:val="0097095E"/>
    <w:rsid w:val="009736AF"/>
    <w:rsid w:val="00981E04"/>
    <w:rsid w:val="0098592B"/>
    <w:rsid w:val="00985FC4"/>
    <w:rsid w:val="00990766"/>
    <w:rsid w:val="00991261"/>
    <w:rsid w:val="009964C4"/>
    <w:rsid w:val="00997567"/>
    <w:rsid w:val="009A7B81"/>
    <w:rsid w:val="009B2197"/>
    <w:rsid w:val="009D6A08"/>
    <w:rsid w:val="009D7CEA"/>
    <w:rsid w:val="009E0A16"/>
    <w:rsid w:val="009E14A9"/>
    <w:rsid w:val="009E453C"/>
    <w:rsid w:val="009E617E"/>
    <w:rsid w:val="009E7970"/>
    <w:rsid w:val="009F1878"/>
    <w:rsid w:val="009F2EAC"/>
    <w:rsid w:val="009F57E3"/>
    <w:rsid w:val="00A00C00"/>
    <w:rsid w:val="00A11067"/>
    <w:rsid w:val="00A11309"/>
    <w:rsid w:val="00A1704A"/>
    <w:rsid w:val="00A40F9F"/>
    <w:rsid w:val="00A425EB"/>
    <w:rsid w:val="00A55FDA"/>
    <w:rsid w:val="00A57488"/>
    <w:rsid w:val="00A72F22"/>
    <w:rsid w:val="00A733BC"/>
    <w:rsid w:val="00A748A6"/>
    <w:rsid w:val="00A76A69"/>
    <w:rsid w:val="00A76E8E"/>
    <w:rsid w:val="00A8177A"/>
    <w:rsid w:val="00A879A4"/>
    <w:rsid w:val="00AB0402"/>
    <w:rsid w:val="00AB688E"/>
    <w:rsid w:val="00AC0808"/>
    <w:rsid w:val="00AC0F2C"/>
    <w:rsid w:val="00AC1761"/>
    <w:rsid w:val="00AC502A"/>
    <w:rsid w:val="00AC701B"/>
    <w:rsid w:val="00AF58C1"/>
    <w:rsid w:val="00AF58C6"/>
    <w:rsid w:val="00B06643"/>
    <w:rsid w:val="00B11212"/>
    <w:rsid w:val="00B15055"/>
    <w:rsid w:val="00B30179"/>
    <w:rsid w:val="00B3562F"/>
    <w:rsid w:val="00B37B15"/>
    <w:rsid w:val="00B45C02"/>
    <w:rsid w:val="00B45CA1"/>
    <w:rsid w:val="00B45FDC"/>
    <w:rsid w:val="00B5579B"/>
    <w:rsid w:val="00B7077B"/>
    <w:rsid w:val="00B72A1E"/>
    <w:rsid w:val="00B81E12"/>
    <w:rsid w:val="00B84473"/>
    <w:rsid w:val="00B84771"/>
    <w:rsid w:val="00B86BBF"/>
    <w:rsid w:val="00B86C8B"/>
    <w:rsid w:val="00B92EA2"/>
    <w:rsid w:val="00BA339B"/>
    <w:rsid w:val="00BA7472"/>
    <w:rsid w:val="00BC0EBF"/>
    <w:rsid w:val="00BC1E7E"/>
    <w:rsid w:val="00BC27CC"/>
    <w:rsid w:val="00BC74E9"/>
    <w:rsid w:val="00BD2984"/>
    <w:rsid w:val="00BE36A9"/>
    <w:rsid w:val="00BE618E"/>
    <w:rsid w:val="00BE7BEC"/>
    <w:rsid w:val="00BF0E63"/>
    <w:rsid w:val="00BF12A3"/>
    <w:rsid w:val="00BF16D7"/>
    <w:rsid w:val="00BF2373"/>
    <w:rsid w:val="00BF499D"/>
    <w:rsid w:val="00BF6429"/>
    <w:rsid w:val="00BF6ACB"/>
    <w:rsid w:val="00BF7981"/>
    <w:rsid w:val="00C02566"/>
    <w:rsid w:val="00C044E2"/>
    <w:rsid w:val="00C048CB"/>
    <w:rsid w:val="00C162BF"/>
    <w:rsid w:val="00C23EFE"/>
    <w:rsid w:val="00C325A6"/>
    <w:rsid w:val="00C463DD"/>
    <w:rsid w:val="00C52A38"/>
    <w:rsid w:val="00C56B1C"/>
    <w:rsid w:val="00C605E6"/>
    <w:rsid w:val="00C63DE6"/>
    <w:rsid w:val="00C63F8F"/>
    <w:rsid w:val="00C7177D"/>
    <w:rsid w:val="00C745C3"/>
    <w:rsid w:val="00C92B24"/>
    <w:rsid w:val="00CB348D"/>
    <w:rsid w:val="00CC585F"/>
    <w:rsid w:val="00CD425B"/>
    <w:rsid w:val="00CD46F5"/>
    <w:rsid w:val="00CE0AE2"/>
    <w:rsid w:val="00CE1615"/>
    <w:rsid w:val="00CE4A8F"/>
    <w:rsid w:val="00CF071D"/>
    <w:rsid w:val="00CF2CB6"/>
    <w:rsid w:val="00CF679D"/>
    <w:rsid w:val="00CF6E19"/>
    <w:rsid w:val="00D008F7"/>
    <w:rsid w:val="00D06195"/>
    <w:rsid w:val="00D10EB3"/>
    <w:rsid w:val="00D15B04"/>
    <w:rsid w:val="00D2031B"/>
    <w:rsid w:val="00D23D53"/>
    <w:rsid w:val="00D25FE2"/>
    <w:rsid w:val="00D35457"/>
    <w:rsid w:val="00D406A7"/>
    <w:rsid w:val="00D43252"/>
    <w:rsid w:val="00D50B7D"/>
    <w:rsid w:val="00D556BB"/>
    <w:rsid w:val="00D56F1C"/>
    <w:rsid w:val="00D704E5"/>
    <w:rsid w:val="00D72727"/>
    <w:rsid w:val="00D9332D"/>
    <w:rsid w:val="00D978C6"/>
    <w:rsid w:val="00DA0956"/>
    <w:rsid w:val="00DA357F"/>
    <w:rsid w:val="00DA3E12"/>
    <w:rsid w:val="00DB3DFD"/>
    <w:rsid w:val="00DC18AD"/>
    <w:rsid w:val="00DD1594"/>
    <w:rsid w:val="00DF3CCB"/>
    <w:rsid w:val="00DF7CAE"/>
    <w:rsid w:val="00E00609"/>
    <w:rsid w:val="00E01652"/>
    <w:rsid w:val="00E03D51"/>
    <w:rsid w:val="00E04A95"/>
    <w:rsid w:val="00E07C4A"/>
    <w:rsid w:val="00E27443"/>
    <w:rsid w:val="00E423C0"/>
    <w:rsid w:val="00E56DE5"/>
    <w:rsid w:val="00E6414C"/>
    <w:rsid w:val="00E7260F"/>
    <w:rsid w:val="00E75253"/>
    <w:rsid w:val="00E76D90"/>
    <w:rsid w:val="00E82BCA"/>
    <w:rsid w:val="00E85D7B"/>
    <w:rsid w:val="00E8702D"/>
    <w:rsid w:val="00E87CEB"/>
    <w:rsid w:val="00E916DE"/>
    <w:rsid w:val="00E96630"/>
    <w:rsid w:val="00EB3DFD"/>
    <w:rsid w:val="00EC1A1A"/>
    <w:rsid w:val="00ED18DC"/>
    <w:rsid w:val="00ED7A2A"/>
    <w:rsid w:val="00EF17DF"/>
    <w:rsid w:val="00EF1D7F"/>
    <w:rsid w:val="00EF3BE0"/>
    <w:rsid w:val="00F0137E"/>
    <w:rsid w:val="00F21786"/>
    <w:rsid w:val="00F26C3C"/>
    <w:rsid w:val="00F3742B"/>
    <w:rsid w:val="00F60372"/>
    <w:rsid w:val="00F716B0"/>
    <w:rsid w:val="00F855DC"/>
    <w:rsid w:val="00F867EC"/>
    <w:rsid w:val="00F91B2B"/>
    <w:rsid w:val="00FB0BD4"/>
    <w:rsid w:val="00FB3B3A"/>
    <w:rsid w:val="00FC03CD"/>
    <w:rsid w:val="00FC0646"/>
    <w:rsid w:val="00FC68B7"/>
    <w:rsid w:val="00FD23AB"/>
    <w:rsid w:val="00FE0795"/>
    <w:rsid w:val="00FE23FB"/>
    <w:rsid w:val="00FE4AE8"/>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FE4AE8"/>
  </w:style>
  <w:style w:type="character" w:customStyle="1" w:styleId="FootnoteTextChar">
    <w:name w:val="Footnote Text Char"/>
    <w:aliases w:val="5_G Char"/>
    <w:link w:val="FootnoteText"/>
    <w:locked/>
    <w:rsid w:val="00CF679D"/>
    <w:rPr>
      <w:sz w:val="18"/>
      <w:lang w:eastAsia="en-US"/>
    </w:rPr>
  </w:style>
  <w:style w:type="paragraph" w:styleId="BalloonText">
    <w:name w:val="Balloon Text"/>
    <w:basedOn w:val="Normal"/>
    <w:semiHidden/>
    <w:rsid w:val="00C71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26685</Words>
  <Characters>152105</Characters>
  <Application>Microsoft Office Word</Application>
  <DocSecurity>4</DocSecurity>
  <Lines>1267</Lines>
  <Paragraphs>356</Paragraphs>
  <ScaleCrop>false</ScaleCrop>
  <HeadingPairs>
    <vt:vector size="2" baseType="variant">
      <vt:variant>
        <vt:lpstr>Title</vt:lpstr>
      </vt:variant>
      <vt:variant>
        <vt:i4>1</vt:i4>
      </vt:variant>
    </vt:vector>
  </HeadingPairs>
  <TitlesOfParts>
    <vt:vector size="1" baseType="lpstr">
      <vt:lpstr>1141339</vt:lpstr>
    </vt:vector>
  </TitlesOfParts>
  <Company>CSD</Company>
  <LinksUpToDate>false</LinksUpToDate>
  <CharactersWithSpaces>178434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1141339</dc:title>
  <dc:subject/>
  <dc:creator>Brigoli</dc:creator>
  <cp:keywords>CRPD/C/SWE/1</cp:keywords>
  <dc:description>Final</dc:description>
  <cp:lastModifiedBy>DCM</cp:lastModifiedBy>
  <cp:revision>3</cp:revision>
  <cp:lastPrinted>2012-09-17T14:18:00Z</cp:lastPrinted>
  <dcterms:created xsi:type="dcterms:W3CDTF">2012-09-26T09:44:00Z</dcterms:created>
  <dcterms:modified xsi:type="dcterms:W3CDTF">2012-09-26T09:45:00Z</dcterms:modified>
</cp:coreProperties>
</file>