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77609">
        <w:trPr>
          <w:trHeight w:hRule="exact" w:val="851"/>
        </w:trPr>
        <w:tc>
          <w:tcPr>
            <w:tcW w:w="142" w:type="dxa"/>
            <w:tcBorders>
              <w:bottom w:val="single" w:sz="4" w:space="0" w:color="auto"/>
            </w:tcBorders>
          </w:tcPr>
          <w:p w:rsidR="002D5AAC" w:rsidRDefault="002D5AAC" w:rsidP="00E5616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56168" w:rsidP="00E56168">
            <w:pPr>
              <w:jc w:val="right"/>
            </w:pPr>
            <w:r w:rsidRPr="00E56168">
              <w:rPr>
                <w:sz w:val="40"/>
              </w:rPr>
              <w:t>CED</w:t>
            </w:r>
            <w:r>
              <w:t>/C/17/2</w:t>
            </w:r>
          </w:p>
        </w:tc>
      </w:tr>
      <w:tr w:rsidR="002D5AAC" w:rsidRPr="00682BE8" w:rsidTr="00877609">
        <w:trPr>
          <w:trHeight w:hRule="exact" w:val="2835"/>
        </w:trPr>
        <w:tc>
          <w:tcPr>
            <w:tcW w:w="1280" w:type="dxa"/>
            <w:gridSpan w:val="2"/>
            <w:tcBorders>
              <w:top w:val="single" w:sz="4" w:space="0" w:color="auto"/>
              <w:bottom w:val="single" w:sz="12" w:space="0" w:color="auto"/>
            </w:tcBorders>
          </w:tcPr>
          <w:p w:rsidR="002D5AAC" w:rsidRDefault="002E5067" w:rsidP="00877609">
            <w:pPr>
              <w:spacing w:before="120"/>
              <w:jc w:val="center"/>
            </w:pPr>
            <w:r>
              <w:rPr>
                <w:noProof/>
                <w:lang w:val="en-US"/>
              </w:rPr>
              <w:drawing>
                <wp:inline distT="0" distB="0" distL="0" distR="0" wp14:anchorId="2616C312" wp14:editId="524651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rsidR="002D5AAC" w:rsidRPr="00E56168" w:rsidRDefault="00E56168" w:rsidP="00877609">
            <w:pPr>
              <w:spacing w:before="240"/>
              <w:rPr>
                <w:lang w:val="en-US"/>
              </w:rPr>
            </w:pPr>
            <w:r w:rsidRPr="00E56168">
              <w:rPr>
                <w:lang w:val="en-US"/>
              </w:rPr>
              <w:t>Distr.: General</w:t>
            </w:r>
          </w:p>
          <w:p w:rsidR="00E56168" w:rsidRPr="00E56168" w:rsidRDefault="00E56168" w:rsidP="00E56168">
            <w:pPr>
              <w:spacing w:line="240" w:lineRule="exact"/>
              <w:rPr>
                <w:lang w:val="en-US"/>
              </w:rPr>
            </w:pPr>
            <w:r w:rsidRPr="00E56168">
              <w:rPr>
                <w:lang w:val="en-US"/>
              </w:rPr>
              <w:t>18 November 2019</w:t>
            </w:r>
          </w:p>
          <w:p w:rsidR="00E56168" w:rsidRPr="00E56168" w:rsidRDefault="00E56168" w:rsidP="00E56168">
            <w:pPr>
              <w:spacing w:line="240" w:lineRule="exact"/>
              <w:rPr>
                <w:lang w:val="en-US"/>
              </w:rPr>
            </w:pPr>
            <w:r w:rsidRPr="00E56168">
              <w:rPr>
                <w:lang w:val="en-US"/>
              </w:rPr>
              <w:t>Russian</w:t>
            </w:r>
          </w:p>
          <w:p w:rsidR="00E56168" w:rsidRPr="00E56168" w:rsidRDefault="00E56168" w:rsidP="00E56168">
            <w:pPr>
              <w:spacing w:line="240" w:lineRule="exact"/>
              <w:rPr>
                <w:lang w:val="en-US"/>
              </w:rPr>
            </w:pPr>
            <w:r w:rsidRPr="00E56168">
              <w:rPr>
                <w:lang w:val="en-US"/>
              </w:rPr>
              <w:t>Original: Spanish</w:t>
            </w:r>
          </w:p>
        </w:tc>
      </w:tr>
    </w:tbl>
    <w:p w:rsidR="00E56168" w:rsidRPr="00E56168" w:rsidRDefault="00E56168" w:rsidP="00E56168">
      <w:pPr>
        <w:spacing w:before="120"/>
        <w:rPr>
          <w:sz w:val="24"/>
          <w:szCs w:val="24"/>
        </w:rPr>
      </w:pPr>
      <w:r w:rsidRPr="00E56168">
        <w:rPr>
          <w:b/>
          <w:bCs/>
          <w:sz w:val="24"/>
          <w:szCs w:val="24"/>
        </w:rPr>
        <w:t>Комитет по насильственным исчезновениям</w:t>
      </w:r>
    </w:p>
    <w:p w:rsidR="00E56168" w:rsidRPr="001421D5" w:rsidRDefault="00E56168" w:rsidP="00E56168">
      <w:pPr>
        <w:pStyle w:val="HChG"/>
        <w:rPr>
          <w:sz w:val="20"/>
        </w:rPr>
      </w:pPr>
      <w:r>
        <w:rPr>
          <w:bCs/>
        </w:rPr>
        <w:tab/>
      </w:r>
      <w:r>
        <w:rPr>
          <w:bCs/>
        </w:rPr>
        <w:tab/>
        <w:t>Доклад о просьбах о принятии срочных мер, представленных в соответствии со статьей 30 Конвенции</w:t>
      </w:r>
      <w:r w:rsidRPr="00E56168">
        <w:rPr>
          <w:rStyle w:val="aa"/>
          <w:b w:val="0"/>
          <w:sz w:val="20"/>
          <w:vertAlign w:val="baseline"/>
        </w:rPr>
        <w:footnoteReference w:customMarkFollows="1" w:id="1"/>
        <w:t>*</w:t>
      </w:r>
    </w:p>
    <w:p w:rsidR="00E56168" w:rsidRPr="001421D5" w:rsidRDefault="00E56168" w:rsidP="00E56168">
      <w:pPr>
        <w:pStyle w:val="H1G"/>
      </w:pPr>
      <w:r>
        <w:tab/>
        <w:t>A.</w:t>
      </w:r>
      <w:r>
        <w:tab/>
        <w:t>Введение</w:t>
      </w:r>
    </w:p>
    <w:p w:rsidR="00E56168" w:rsidRPr="001421D5" w:rsidRDefault="00E56168" w:rsidP="00E56168">
      <w:pPr>
        <w:pStyle w:val="SingleTxtG"/>
      </w:pPr>
      <w:r>
        <w:t>1.</w:t>
      </w:r>
      <w:r>
        <w:tab/>
        <w:t>Правила 57 и 58 правил процедуры Комитета устанавливают, что все просьбы о принятии срочных мер, представленные на его рассмотрение согласно статье 30 Конвенции, должны быть доведены до сведения Комитета. Полный текст любой такой просьбы может быть представлен на языке ее представления любому члену Комитета по его запросу. В настоящем докладе кратко излагаются основные вопросы, касающиеся просьб о принятии срочных мер, полученных Комитетом в соответствии со статьей 30 Конвенции, и решения, принятые в этой связи после проведения его шестнадцатой сессии.</w:t>
      </w:r>
    </w:p>
    <w:p w:rsidR="00E56168" w:rsidRPr="001421D5" w:rsidRDefault="00E56168" w:rsidP="00E56168">
      <w:pPr>
        <w:pStyle w:val="H1G"/>
      </w:pPr>
      <w:r>
        <w:tab/>
        <w:t>B.</w:t>
      </w:r>
      <w:r>
        <w:tab/>
        <w:t>Просьбы о принятии срочных мер, полученные после шестнадцатой сессии Комитета</w:t>
      </w:r>
    </w:p>
    <w:p w:rsidR="00E56168" w:rsidRPr="001421D5" w:rsidRDefault="00E56168" w:rsidP="00E56168">
      <w:pPr>
        <w:pStyle w:val="SingleTxtG"/>
      </w:pPr>
      <w:r>
        <w:t>2.</w:t>
      </w:r>
      <w:r>
        <w:tab/>
      </w:r>
      <w:proofErr w:type="gramStart"/>
      <w:r>
        <w:t>В</w:t>
      </w:r>
      <w:proofErr w:type="gramEnd"/>
      <w:r>
        <w:t xml:space="preserve"> своей записке о просьбах о принятии срочных мер, которая была принята на его шестнадцатой сессии, Комитет включил информацию о решениях по 569 просьб</w:t>
      </w:r>
      <w:r w:rsidR="0097769A">
        <w:t>ам</w:t>
      </w:r>
      <w:r>
        <w:t xml:space="preserve"> о принятии срочных мер, зарегистрированных до 4 апреля 2019 года. За период, истекший с этой даты по 30 сентября 2019 года, Комитет получил 220 новых просьб о принятии срочных мер, все из которых были зарегистрированы. Эти 220 новых зарегистрированных просьб о принятии срочных мер связаны с событиями, которые произошли в Ираке, Мексике и Тунисе. К настоящему докладу прилагается перечень зарегистрированных просьб о принятии срочных мер (см. таблицу).</w:t>
      </w:r>
    </w:p>
    <w:p w:rsidR="00E56168" w:rsidRDefault="00E56168" w:rsidP="00E56168">
      <w:pPr>
        <w:pStyle w:val="SingleTxtG"/>
      </w:pPr>
      <w:r>
        <w:t>3.</w:t>
      </w:r>
      <w:r>
        <w:tab/>
      </w:r>
      <w:proofErr w:type="gramStart"/>
      <w:r>
        <w:t>В</w:t>
      </w:r>
      <w:proofErr w:type="gramEnd"/>
      <w:r>
        <w:t xml:space="preserve"> период с 2012 года по 30 сентября 2019 года Комитет зарегистрировал в общей сложности 782 просьбы о принятии срочных мер от различных стран, как это показано в таблице ниже.</w:t>
      </w:r>
    </w:p>
    <w:p w:rsidR="00682BE8" w:rsidRDefault="00682BE8">
      <w:pPr>
        <w:suppressAutoHyphens w:val="0"/>
        <w:spacing w:line="240" w:lineRule="auto"/>
        <w:rPr>
          <w:rFonts w:eastAsia="Times New Roman" w:cs="Times New Roman"/>
          <w:szCs w:val="20"/>
        </w:rPr>
      </w:pPr>
      <w:r>
        <w:br w:type="page"/>
      </w:r>
    </w:p>
    <w:p w:rsidR="00682BE8" w:rsidRPr="001421D5" w:rsidRDefault="00682BE8" w:rsidP="00E56168">
      <w:pPr>
        <w:pStyle w:val="SingleTxtG"/>
      </w:pP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56"/>
        <w:gridCol w:w="318"/>
        <w:gridCol w:w="373"/>
        <w:gridCol w:w="373"/>
        <w:gridCol w:w="372"/>
        <w:gridCol w:w="417"/>
        <w:gridCol w:w="373"/>
        <w:gridCol w:w="373"/>
        <w:gridCol w:w="388"/>
        <w:gridCol w:w="373"/>
        <w:gridCol w:w="373"/>
        <w:gridCol w:w="373"/>
        <w:gridCol w:w="373"/>
        <w:gridCol w:w="417"/>
        <w:gridCol w:w="373"/>
        <w:gridCol w:w="373"/>
        <w:gridCol w:w="373"/>
        <w:gridCol w:w="599"/>
      </w:tblGrid>
      <w:tr w:rsidR="00E56168" w:rsidRPr="00E56168" w:rsidTr="00E56168">
        <w:trPr>
          <w:cantSplit/>
          <w:trHeight w:val="1134"/>
          <w:tblHeader/>
        </w:trPr>
        <w:tc>
          <w:tcPr>
            <w:tcW w:w="756" w:type="dxa"/>
            <w:tcBorders>
              <w:top w:val="single" w:sz="4" w:space="0" w:color="auto"/>
              <w:bottom w:val="single" w:sz="12" w:space="0" w:color="auto"/>
            </w:tcBorders>
            <w:shd w:val="clear" w:color="auto" w:fill="auto"/>
            <w:vAlign w:val="bottom"/>
          </w:tcPr>
          <w:p w:rsidR="00E56168" w:rsidRPr="00E56168" w:rsidRDefault="00E56168" w:rsidP="00D46EE7">
            <w:pPr>
              <w:pStyle w:val="SingleTxtG"/>
              <w:spacing w:before="80" w:after="80" w:line="200" w:lineRule="exact"/>
              <w:ind w:left="0" w:right="0"/>
              <w:jc w:val="left"/>
              <w:rPr>
                <w:i/>
                <w:sz w:val="16"/>
                <w:szCs w:val="16"/>
              </w:rPr>
            </w:pPr>
            <w:bookmarkStart w:id="0" w:name="_Hlk24720911"/>
            <w:r w:rsidRPr="00E56168">
              <w:rPr>
                <w:i/>
                <w:iCs/>
                <w:sz w:val="16"/>
                <w:szCs w:val="16"/>
              </w:rPr>
              <w:t>Год</w:t>
            </w:r>
          </w:p>
        </w:tc>
        <w:tc>
          <w:tcPr>
            <w:tcW w:w="318"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Аргентина</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Армения</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Бразилия</w:t>
            </w:r>
          </w:p>
        </w:tc>
        <w:tc>
          <w:tcPr>
            <w:tcW w:w="372"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Камбоджа</w:t>
            </w:r>
          </w:p>
        </w:tc>
        <w:tc>
          <w:tcPr>
            <w:tcW w:w="417"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Колумбия</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Куба</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Гондурас</w:t>
            </w:r>
          </w:p>
        </w:tc>
        <w:tc>
          <w:tcPr>
            <w:tcW w:w="388"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Ирак</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Казахстан</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Литва</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Марокко</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Мавритания</w:t>
            </w:r>
          </w:p>
        </w:tc>
        <w:tc>
          <w:tcPr>
            <w:tcW w:w="417"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Мексика</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Шри-Ланка</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Того</w:t>
            </w:r>
          </w:p>
        </w:tc>
        <w:tc>
          <w:tcPr>
            <w:tcW w:w="373" w:type="dxa"/>
            <w:tcBorders>
              <w:top w:val="single" w:sz="4" w:space="0" w:color="auto"/>
              <w:bottom w:val="single" w:sz="12" w:space="0" w:color="auto"/>
            </w:tcBorders>
            <w:shd w:val="clear" w:color="auto" w:fill="auto"/>
            <w:textDirection w:val="btLr"/>
            <w:vAlign w:val="bottom"/>
          </w:tcPr>
          <w:p w:rsidR="00E56168" w:rsidRPr="00E56168" w:rsidRDefault="00E56168" w:rsidP="00682BE8">
            <w:pPr>
              <w:pStyle w:val="SingleTxtG"/>
              <w:spacing w:after="0" w:line="200" w:lineRule="exact"/>
              <w:ind w:left="0" w:right="0"/>
              <w:jc w:val="left"/>
              <w:rPr>
                <w:i/>
                <w:sz w:val="16"/>
                <w:szCs w:val="16"/>
              </w:rPr>
            </w:pPr>
            <w:r w:rsidRPr="00E56168">
              <w:rPr>
                <w:i/>
                <w:iCs/>
                <w:sz w:val="16"/>
                <w:szCs w:val="16"/>
              </w:rPr>
              <w:t>Тунис</w:t>
            </w:r>
          </w:p>
        </w:tc>
        <w:tc>
          <w:tcPr>
            <w:tcW w:w="599" w:type="dxa"/>
            <w:tcBorders>
              <w:top w:val="single" w:sz="4" w:space="0" w:color="auto"/>
              <w:bottom w:val="single" w:sz="12" w:space="0" w:color="auto"/>
            </w:tcBorders>
            <w:shd w:val="clear" w:color="auto" w:fill="auto"/>
            <w:tcMar>
              <w:right w:w="28" w:type="dxa"/>
            </w:tcMar>
            <w:textDirection w:val="btLr"/>
            <w:vAlign w:val="bottom"/>
          </w:tcPr>
          <w:p w:rsidR="00E56168" w:rsidRPr="00E56168" w:rsidRDefault="00E56168" w:rsidP="00682BE8">
            <w:pPr>
              <w:pStyle w:val="SingleTxtG"/>
              <w:spacing w:after="0" w:line="200" w:lineRule="exact"/>
              <w:ind w:left="0" w:right="0"/>
              <w:jc w:val="left"/>
              <w:rPr>
                <w:i/>
                <w:iCs/>
                <w:sz w:val="16"/>
                <w:szCs w:val="16"/>
              </w:rPr>
            </w:pPr>
            <w:r w:rsidRPr="00E56168">
              <w:rPr>
                <w:i/>
                <w:iCs/>
                <w:sz w:val="16"/>
                <w:szCs w:val="16"/>
              </w:rPr>
              <w:t>Всего</w:t>
            </w:r>
          </w:p>
        </w:tc>
      </w:tr>
      <w:tr w:rsidR="00E56168" w:rsidRPr="00234864" w:rsidTr="00E56168">
        <w:trPr>
          <w:trHeight w:val="240"/>
        </w:trPr>
        <w:tc>
          <w:tcPr>
            <w:tcW w:w="756" w:type="dxa"/>
            <w:tcBorders>
              <w:top w:val="single" w:sz="12" w:space="0" w:color="auto"/>
            </w:tcBorders>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2012</w:t>
            </w:r>
          </w:p>
        </w:tc>
        <w:tc>
          <w:tcPr>
            <w:tcW w:w="318"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tcBorders>
              <w:top w:val="single" w:sz="12" w:space="0" w:color="auto"/>
            </w:tcBorders>
            <w:shd w:val="clear" w:color="auto" w:fill="auto"/>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tcBorders>
              <w:top w:val="single" w:sz="12" w:space="0" w:color="auto"/>
            </w:tcBorders>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5</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2013</w:t>
            </w:r>
          </w:p>
        </w:tc>
        <w:tc>
          <w:tcPr>
            <w:tcW w:w="318"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shd w:val="clear" w:color="auto" w:fill="auto"/>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6</w:t>
            </w:r>
            <w:r w:rsidRPr="0097769A">
              <w:rPr>
                <w:i/>
                <w:sz w:val="18"/>
                <w:szCs w:val="18"/>
                <w:vertAlign w:val="superscript"/>
              </w:rPr>
              <w:t>a</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7</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2014</w:t>
            </w:r>
          </w:p>
        </w:tc>
        <w:tc>
          <w:tcPr>
            <w:tcW w:w="318"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2"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shd w:val="clear" w:color="auto" w:fill="auto"/>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5</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43</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51</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2015</w:t>
            </w:r>
          </w:p>
        </w:tc>
        <w:tc>
          <w:tcPr>
            <w:tcW w:w="318"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3</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shd w:val="clear" w:color="auto" w:fill="auto"/>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42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165</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210</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2016</w:t>
            </w:r>
          </w:p>
        </w:tc>
        <w:tc>
          <w:tcPr>
            <w:tcW w:w="318"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4</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shd w:val="clear" w:color="auto" w:fill="auto"/>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58</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85</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2017</w:t>
            </w:r>
          </w:p>
        </w:tc>
        <w:tc>
          <w:tcPr>
            <w:tcW w:w="318"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3</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shd w:val="clear" w:color="auto" w:fill="auto"/>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43</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31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86</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2018</w:t>
            </w:r>
          </w:p>
        </w:tc>
        <w:tc>
          <w:tcPr>
            <w:tcW w:w="318"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9</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14</w:t>
            </w:r>
          </w:p>
        </w:tc>
        <w:tc>
          <w:tcPr>
            <w:tcW w:w="388" w:type="dxa"/>
            <w:shd w:val="clear" w:color="auto" w:fill="auto"/>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50</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42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118</w:t>
            </w:r>
          </w:p>
        </w:tc>
      </w:tr>
      <w:tr w:rsidR="00E56168" w:rsidRPr="00234864" w:rsidTr="00E56168">
        <w:trPr>
          <w:trHeight w:val="240"/>
        </w:trPr>
        <w:tc>
          <w:tcPr>
            <w:tcW w:w="756" w:type="dxa"/>
            <w:shd w:val="clear" w:color="auto" w:fill="auto"/>
          </w:tcPr>
          <w:p w:rsidR="00E56168" w:rsidRPr="00E56168" w:rsidRDefault="00E56168" w:rsidP="00D46EE7">
            <w:pPr>
              <w:pStyle w:val="SingleTxtG"/>
              <w:spacing w:before="40" w:after="40" w:line="220" w:lineRule="exact"/>
              <w:ind w:left="0" w:right="0"/>
              <w:jc w:val="left"/>
              <w:rPr>
                <w:sz w:val="18"/>
                <w:szCs w:val="18"/>
              </w:rPr>
            </w:pPr>
            <w:r w:rsidRPr="00E56168">
              <w:rPr>
                <w:sz w:val="18"/>
                <w:szCs w:val="18"/>
              </w:rPr>
              <w:t>2019</w:t>
            </w:r>
            <w:r w:rsidRPr="0097769A">
              <w:rPr>
                <w:i/>
                <w:sz w:val="18"/>
                <w:szCs w:val="18"/>
                <w:vertAlign w:val="superscript"/>
              </w:rPr>
              <w:t>b</w:t>
            </w:r>
          </w:p>
        </w:tc>
        <w:tc>
          <w:tcPr>
            <w:tcW w:w="318" w:type="dxa"/>
            <w:shd w:val="clear" w:color="auto" w:fill="auto"/>
            <w:tcMar>
              <w:right w:w="28" w:type="dxa"/>
            </w:tcMar>
            <w:vAlign w:val="bottom"/>
          </w:tcPr>
          <w:p w:rsidR="00E56168" w:rsidRPr="00E56168" w:rsidDel="0020050B"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Del="0020050B"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2" w:type="dxa"/>
            <w:shd w:val="clear" w:color="auto" w:fill="auto"/>
            <w:tcMar>
              <w:right w:w="28" w:type="dxa"/>
            </w:tcMar>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88" w:type="dxa"/>
            <w:shd w:val="clear" w:color="auto" w:fill="auto"/>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209</w:t>
            </w:r>
          </w:p>
        </w:tc>
        <w:tc>
          <w:tcPr>
            <w:tcW w:w="373" w:type="dxa"/>
            <w:shd w:val="clear" w:color="auto" w:fill="auto"/>
            <w:tcMar>
              <w:right w:w="28" w:type="dxa"/>
            </w:tcMar>
            <w:vAlign w:val="bottom"/>
          </w:tcPr>
          <w:p w:rsidR="00E56168" w:rsidRPr="00E56168" w:rsidDel="0020050B"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373" w:type="dxa"/>
            <w:shd w:val="clear" w:color="auto" w:fill="auto"/>
            <w:tcMar>
              <w:right w:w="28" w:type="dxa"/>
            </w:tcMar>
            <w:vAlign w:val="bottom"/>
          </w:tcPr>
          <w:p w:rsidR="00E56168" w:rsidRPr="00E56168" w:rsidDel="0020050B"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w:t>
            </w:r>
          </w:p>
        </w:tc>
        <w:tc>
          <w:tcPr>
            <w:tcW w:w="417"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7</w:t>
            </w:r>
          </w:p>
        </w:tc>
        <w:tc>
          <w:tcPr>
            <w:tcW w:w="373" w:type="dxa"/>
            <w:shd w:val="clear" w:color="auto" w:fill="auto"/>
            <w:tcMar>
              <w:right w:w="28" w:type="dxa"/>
            </w:tcMar>
            <w:vAlign w:val="bottom"/>
          </w:tcPr>
          <w:p w:rsidR="00E56168" w:rsidRPr="00E56168" w:rsidDel="0020050B"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w:t>
            </w:r>
          </w:p>
        </w:tc>
        <w:tc>
          <w:tcPr>
            <w:tcW w:w="373" w:type="dxa"/>
            <w:shd w:val="clear" w:color="auto" w:fill="auto"/>
            <w:tcMar>
              <w:right w:w="28" w:type="dxa"/>
            </w:tcMar>
            <w:vAlign w:val="bottom"/>
          </w:tcPr>
          <w:p w:rsidR="00E56168" w:rsidRPr="00E56168" w:rsidDel="007D665C" w:rsidRDefault="00E56168" w:rsidP="00D46EE7">
            <w:pPr>
              <w:pStyle w:val="SingleTxtG"/>
              <w:spacing w:before="40" w:after="40" w:line="220" w:lineRule="exact"/>
              <w:ind w:left="113" w:right="0"/>
              <w:jc w:val="right"/>
              <w:rPr>
                <w:sz w:val="18"/>
                <w:szCs w:val="18"/>
              </w:rPr>
            </w:pPr>
            <w:r w:rsidRPr="00E56168">
              <w:rPr>
                <w:sz w:val="18"/>
                <w:szCs w:val="18"/>
              </w:rPr>
              <w:t>1</w:t>
            </w:r>
          </w:p>
        </w:tc>
        <w:tc>
          <w:tcPr>
            <w:tcW w:w="599" w:type="dxa"/>
            <w:shd w:val="clear" w:color="auto" w:fill="auto"/>
            <w:tcMar>
              <w:right w:w="28" w:type="dxa"/>
            </w:tcMar>
            <w:vAlign w:val="bottom"/>
          </w:tcPr>
          <w:p w:rsidR="00E56168" w:rsidRPr="00E56168" w:rsidRDefault="00E56168" w:rsidP="00D46EE7">
            <w:pPr>
              <w:pStyle w:val="SingleTxtG"/>
              <w:spacing w:before="40" w:after="40" w:line="220" w:lineRule="exact"/>
              <w:ind w:left="113" w:right="0"/>
              <w:jc w:val="right"/>
              <w:rPr>
                <w:sz w:val="18"/>
                <w:szCs w:val="18"/>
              </w:rPr>
            </w:pPr>
            <w:r w:rsidRPr="00E56168">
              <w:rPr>
                <w:sz w:val="18"/>
                <w:szCs w:val="18"/>
              </w:rPr>
              <w:t>220</w:t>
            </w:r>
          </w:p>
        </w:tc>
      </w:tr>
      <w:tr w:rsidR="00E56168" w:rsidRPr="00234864" w:rsidTr="00E56168">
        <w:trPr>
          <w:trHeight w:val="240"/>
        </w:trPr>
        <w:tc>
          <w:tcPr>
            <w:tcW w:w="756" w:type="dxa"/>
            <w:tcBorders>
              <w:top w:val="single" w:sz="4" w:space="0" w:color="auto"/>
              <w:bottom w:val="single" w:sz="12" w:space="0" w:color="auto"/>
            </w:tcBorders>
            <w:shd w:val="clear" w:color="auto" w:fill="auto"/>
          </w:tcPr>
          <w:p w:rsidR="00E56168" w:rsidRPr="00E56168" w:rsidRDefault="00E56168" w:rsidP="00D46EE7">
            <w:pPr>
              <w:pStyle w:val="SingleTxtG"/>
              <w:spacing w:before="80" w:after="80" w:line="220" w:lineRule="exact"/>
              <w:ind w:left="283" w:right="0"/>
              <w:jc w:val="left"/>
              <w:rPr>
                <w:b/>
                <w:sz w:val="18"/>
                <w:szCs w:val="18"/>
              </w:rPr>
            </w:pPr>
            <w:r w:rsidRPr="00E56168">
              <w:rPr>
                <w:b/>
                <w:bCs/>
                <w:sz w:val="18"/>
                <w:szCs w:val="18"/>
              </w:rPr>
              <w:t>Всего</w:t>
            </w:r>
          </w:p>
        </w:tc>
        <w:tc>
          <w:tcPr>
            <w:tcW w:w="318"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2</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372"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417"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22</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14</w:t>
            </w:r>
          </w:p>
        </w:tc>
        <w:tc>
          <w:tcPr>
            <w:tcW w:w="388" w:type="dxa"/>
            <w:tcBorders>
              <w:top w:val="single" w:sz="4" w:space="0" w:color="auto"/>
              <w:bottom w:val="single" w:sz="12" w:space="0" w:color="auto"/>
            </w:tcBorders>
            <w:shd w:val="clear" w:color="auto" w:fill="auto"/>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371</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2</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3</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417"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357</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2</w:t>
            </w:r>
          </w:p>
        </w:tc>
        <w:tc>
          <w:tcPr>
            <w:tcW w:w="373"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1</w:t>
            </w:r>
          </w:p>
        </w:tc>
        <w:tc>
          <w:tcPr>
            <w:tcW w:w="599" w:type="dxa"/>
            <w:tcBorders>
              <w:top w:val="single" w:sz="4" w:space="0" w:color="auto"/>
              <w:bottom w:val="single" w:sz="12" w:space="0" w:color="auto"/>
            </w:tcBorders>
            <w:shd w:val="clear" w:color="auto" w:fill="auto"/>
            <w:tcMar>
              <w:right w:w="28" w:type="dxa"/>
            </w:tcMar>
            <w:vAlign w:val="bottom"/>
          </w:tcPr>
          <w:p w:rsidR="00E56168" w:rsidRPr="00E56168" w:rsidRDefault="00E56168" w:rsidP="00D46EE7">
            <w:pPr>
              <w:pStyle w:val="SingleTxtG"/>
              <w:spacing w:before="80" w:after="80" w:line="220" w:lineRule="exact"/>
              <w:ind w:left="0" w:right="0"/>
              <w:jc w:val="right"/>
              <w:rPr>
                <w:b/>
                <w:sz w:val="18"/>
                <w:szCs w:val="18"/>
              </w:rPr>
            </w:pPr>
            <w:r w:rsidRPr="00E56168">
              <w:rPr>
                <w:b/>
                <w:bCs/>
                <w:sz w:val="18"/>
                <w:szCs w:val="18"/>
              </w:rPr>
              <w:t>782</w:t>
            </w:r>
          </w:p>
        </w:tc>
      </w:tr>
    </w:tbl>
    <w:bookmarkEnd w:id="0"/>
    <w:p w:rsidR="00E56168" w:rsidRPr="00E56168" w:rsidRDefault="00E56168" w:rsidP="00E56168">
      <w:pPr>
        <w:pStyle w:val="SingleTxtG"/>
        <w:spacing w:before="120" w:after="0" w:line="220" w:lineRule="exact"/>
        <w:ind w:firstLine="170"/>
        <w:jc w:val="left"/>
        <w:rPr>
          <w:sz w:val="18"/>
          <w:szCs w:val="18"/>
        </w:rPr>
      </w:pPr>
      <w:proofErr w:type="gramStart"/>
      <w:r w:rsidRPr="00E56168">
        <w:rPr>
          <w:i/>
          <w:sz w:val="18"/>
          <w:szCs w:val="18"/>
          <w:vertAlign w:val="superscript"/>
        </w:rPr>
        <w:t>a</w:t>
      </w:r>
      <w:r w:rsidRPr="00E56168">
        <w:rPr>
          <w:sz w:val="18"/>
          <w:szCs w:val="18"/>
        </w:rPr>
        <w:t xml:space="preserve">  Просьба</w:t>
      </w:r>
      <w:proofErr w:type="gramEnd"/>
      <w:r w:rsidRPr="00E56168">
        <w:rPr>
          <w:sz w:val="18"/>
          <w:szCs w:val="18"/>
        </w:rPr>
        <w:t xml:space="preserve"> о принятии срочных мер № 9/2013 была подана в отношении двух лиц. Поэтому для целей учета она рассматривается в качестве двух просьб о принятии срочных мер.</w:t>
      </w:r>
    </w:p>
    <w:p w:rsidR="00E56168" w:rsidRPr="00E56168" w:rsidRDefault="00E56168" w:rsidP="00E56168">
      <w:pPr>
        <w:pStyle w:val="SingleTxtG"/>
        <w:spacing w:after="0" w:line="220" w:lineRule="exact"/>
        <w:ind w:firstLine="170"/>
        <w:jc w:val="left"/>
        <w:rPr>
          <w:sz w:val="18"/>
          <w:szCs w:val="18"/>
        </w:rPr>
      </w:pPr>
      <w:proofErr w:type="gramStart"/>
      <w:r w:rsidRPr="00E56168">
        <w:rPr>
          <w:i/>
          <w:sz w:val="18"/>
          <w:szCs w:val="18"/>
          <w:vertAlign w:val="superscript"/>
        </w:rPr>
        <w:t>b</w:t>
      </w:r>
      <w:r w:rsidRPr="00E56168">
        <w:rPr>
          <w:sz w:val="18"/>
          <w:szCs w:val="18"/>
        </w:rPr>
        <w:t xml:space="preserve">  По</w:t>
      </w:r>
      <w:proofErr w:type="gramEnd"/>
      <w:r w:rsidRPr="00E56168">
        <w:rPr>
          <w:sz w:val="18"/>
          <w:szCs w:val="18"/>
        </w:rPr>
        <w:t xml:space="preserve"> состоянию на 30 сентября 2019 года.</w:t>
      </w:r>
    </w:p>
    <w:p w:rsidR="00E56168" w:rsidRPr="001421D5" w:rsidRDefault="00E56168" w:rsidP="00E56168">
      <w:pPr>
        <w:pStyle w:val="H1G"/>
      </w:pPr>
      <w:r>
        <w:tab/>
        <w:t>C.</w:t>
      </w:r>
      <w:r>
        <w:tab/>
        <w:t>Последующие действия в связи с просьбами о принятии срочных мер после их регистрации: тенденции, наблюдавшиеся после</w:t>
      </w:r>
      <w:r>
        <w:rPr>
          <w:lang w:val="en-US"/>
        </w:rPr>
        <w:t> </w:t>
      </w:r>
      <w:r>
        <w:t>шестнадцатой сессии (до 30 сентября 2019 года)</w:t>
      </w:r>
    </w:p>
    <w:p w:rsidR="00E56168" w:rsidRPr="001421D5" w:rsidRDefault="00E56168" w:rsidP="00E56168">
      <w:pPr>
        <w:pStyle w:val="SingleTxtG"/>
      </w:pPr>
      <w:r>
        <w:t>4.</w:t>
      </w:r>
      <w:r>
        <w:tab/>
        <w:t>Комитет продолжает поддерживать постоянные контакты с государствами-участниками через их соответствующие постоянные представительства и с авторами просьб о принятии срочных мер, направляя ноты и письма от имени Комитета, а также в связи с проведением заседаний или посредством телефонных звонков.</w:t>
      </w:r>
    </w:p>
    <w:p w:rsidR="00E56168" w:rsidRPr="001421D5" w:rsidRDefault="00E56168" w:rsidP="00E56168">
      <w:pPr>
        <w:pStyle w:val="SingleTxtG"/>
      </w:pPr>
      <w:r>
        <w:t>5.</w:t>
      </w:r>
      <w:r>
        <w:tab/>
        <w:t>Информация, представленная в рамках процедуры срочных мер, подтверждает ряд тенденций, которые были отмечены в докладах, принятых на одиннадцатой–шестнадцатой сессиях (CED/C/11/3, CED/C/12/2, CED/C/13/3, CED/C/14/2 и CED/C/15/3). Большинство дел, по которым были зарегистрированы просьбы о принятии срочных мер, по-прежнему связаны с событиями в Мексике и Ираке. В период, охватываемый настоящим докладом, Комитет отметил следующие тенденции в отношении соответствующих государств-участников.</w:t>
      </w:r>
    </w:p>
    <w:p w:rsidR="00E56168" w:rsidRPr="001421D5" w:rsidRDefault="00E56168" w:rsidP="00E56168">
      <w:pPr>
        <w:pStyle w:val="H23G"/>
      </w:pPr>
      <w:r>
        <w:tab/>
        <w:t>1.</w:t>
      </w:r>
      <w:r>
        <w:tab/>
      </w:r>
      <w:r>
        <w:rPr>
          <w:bCs/>
        </w:rPr>
        <w:t>Тенденции, касающиеся Мексики и Ирака</w:t>
      </w:r>
    </w:p>
    <w:p w:rsidR="00E56168" w:rsidRPr="001421D5" w:rsidRDefault="00E56168" w:rsidP="00E56168">
      <w:pPr>
        <w:pStyle w:val="H23G"/>
      </w:pPr>
      <w:r>
        <w:tab/>
        <w:t>a)</w:t>
      </w:r>
      <w:r>
        <w:tab/>
      </w:r>
      <w:r>
        <w:rPr>
          <w:bCs/>
        </w:rPr>
        <w:t>Мексика</w:t>
      </w:r>
    </w:p>
    <w:p w:rsidR="00E56168" w:rsidRPr="001421D5" w:rsidRDefault="00E56168" w:rsidP="00E56168">
      <w:pPr>
        <w:pStyle w:val="SingleTxtG"/>
      </w:pPr>
      <w:r>
        <w:t>6.</w:t>
      </w:r>
      <w:r>
        <w:tab/>
        <w:t xml:space="preserve">Государство-участник представило ответы в связи с большинством недавно зарегистрированных дел. Вместе с тем сроки представления ответа на последующие ноты все больше увеличивались: с течением времени представляемая информация становилась все более поверхностной, а полученные ответы нередко свидетельствовали о том, что активность поиска и расследований в отношении исчезнувших лиц сходит на нет. </w:t>
      </w:r>
    </w:p>
    <w:p w:rsidR="00E56168" w:rsidRPr="001421D5" w:rsidRDefault="00E56168" w:rsidP="00E56168">
      <w:pPr>
        <w:pStyle w:val="SingleTxtG"/>
      </w:pPr>
      <w:r>
        <w:t>7.</w:t>
      </w:r>
      <w:r>
        <w:tab/>
        <w:t xml:space="preserve">Информация, полученная от государства-участника, по-прежнему свидетельствует о том, что предпринимаются спорадические, разобщенные и в основном формальные действия, которые, как представляется, не являются частью предварительно разработанной стратегии расследования и поиска. Инициатива членов семьи, родственников и представителей исчезнувших лиц остается ключевым фактором ускорения процессов расследования и поиска. </w:t>
      </w:r>
    </w:p>
    <w:p w:rsidR="00E56168" w:rsidRPr="001421D5" w:rsidRDefault="00E56168" w:rsidP="00E56168">
      <w:pPr>
        <w:pStyle w:val="SingleTxtG"/>
      </w:pPr>
      <w:r>
        <w:t>8.</w:t>
      </w:r>
      <w:r>
        <w:tab/>
      </w:r>
      <w:proofErr w:type="gramStart"/>
      <w:r>
        <w:t>В</w:t>
      </w:r>
      <w:proofErr w:type="gramEnd"/>
      <w:r>
        <w:t xml:space="preserve"> подавляющем большинстве случаев авторы признаются в том, что отсутствие надлежащего прогресса в процессах поиска и расследования приводит их в отчаяние. В этой связи они выражают сожаление в связи с отсутствием расследований на местах, а также в связи с отсутствием мер по обеспечению комплексного и всестороннего изучения имеющихся доказательств или информации, которую они предоставляют органам, ответственным за проведение поиска и расследования. </w:t>
      </w:r>
    </w:p>
    <w:p w:rsidR="00E56168" w:rsidRPr="001421D5" w:rsidRDefault="00E56168" w:rsidP="00E56168">
      <w:pPr>
        <w:pStyle w:val="SingleTxtG"/>
      </w:pPr>
      <w:r>
        <w:t>9.</w:t>
      </w:r>
      <w:r>
        <w:tab/>
        <w:t>Авторы по-прежнему регулярно утверждают, что органы, отвечающие за поиск и расследование, прямо или косвенно причастны к событиям, связанным с исчезновениями, и поэтому процесс заходит в тупик. В таких случаях Комитет настаивал на важности создания механизмов привлечения к ответственности государственных должностных лиц, отвечающих за поиск и расследование</w:t>
      </w:r>
      <w:r w:rsidR="0097769A">
        <w:t>, и </w:t>
      </w:r>
      <w:r>
        <w:t xml:space="preserve">обращался к государству-участнику с просьбой расследовать сообщения о случаях вмешательства со стороны государственных субъектов, которое может нарушить ход процесса. </w:t>
      </w:r>
    </w:p>
    <w:p w:rsidR="00E56168" w:rsidRPr="001421D5" w:rsidRDefault="00E56168" w:rsidP="00E56168">
      <w:pPr>
        <w:pStyle w:val="SingleTxtG"/>
      </w:pPr>
      <w:r>
        <w:t>10.</w:t>
      </w:r>
      <w:r>
        <w:tab/>
        <w:t xml:space="preserve">Комитет хотел бы подчеркнуть свою обеспокоенность в связи с полученной информацией об угрозах и запугивании родственников исчезнувших лиц вследствие попыток содействовать расследованию фактов, связанных с насильственным исчезновением их близких. Эти угрозы принимают различные формы, включая угрозы убийством, навязчивое присутствие в непосредственной близости от их жилищ или принятие процессуальных решений, ослабляющих защиту соответствующих лиц (например, отмена мер по защите личной неприкосновенности свидетеля, имеющего ключевое значение для следственных действий, путем передачи следственных материалов в прокуратуру штата </w:t>
      </w:r>
      <w:proofErr w:type="spellStart"/>
      <w:r>
        <w:t>Герреро</w:t>
      </w:r>
      <w:proofErr w:type="spellEnd"/>
      <w:r>
        <w:t xml:space="preserve">). В таких случаях Комитет по-прежнему требует от государства-участника принятия временных мер защиты, включающих: а) меры, необходимые для сохранения жизни и личной неприкосновенности соответствующих лиц; b) меры, необходимые для того, чтобы они могли осуществлять деятельность, связанную с розыском членов своей семьи, не подвергаясь при этом актам насилия и преследования. При необходимости, Комитет также требует принятия более конкретных мер (например, обеспечения конфиденциальности личности соответствующего лица, несмотря на передачу следственных материалов). </w:t>
      </w:r>
    </w:p>
    <w:p w:rsidR="00E56168" w:rsidRPr="001421D5" w:rsidRDefault="00E56168" w:rsidP="00E56168">
      <w:pPr>
        <w:pStyle w:val="H23G"/>
      </w:pPr>
      <w:r>
        <w:tab/>
        <w:t>b)</w:t>
      </w:r>
      <w:r>
        <w:tab/>
      </w:r>
      <w:r>
        <w:rPr>
          <w:bCs/>
        </w:rPr>
        <w:t>Ирак</w:t>
      </w:r>
    </w:p>
    <w:p w:rsidR="00E56168" w:rsidRPr="001421D5" w:rsidRDefault="00E56168" w:rsidP="00E56168">
      <w:pPr>
        <w:pStyle w:val="SingleTxtG"/>
      </w:pPr>
      <w:r>
        <w:t>11.</w:t>
      </w:r>
      <w:r>
        <w:tab/>
        <w:t>Что касается срочных мер, принятых в связи с событиями в Ираке, то Комитет глубоко обеспокоен тем, что государство-участник не ответило на большинство соответствующих просьб, несмотря на направление нескольких напоминаний. В</w:t>
      </w:r>
      <w:r>
        <w:rPr>
          <w:lang w:val="en-US"/>
        </w:rPr>
        <w:t> </w:t>
      </w:r>
      <w:r>
        <w:t>53</w:t>
      </w:r>
      <w:r>
        <w:rPr>
          <w:lang w:val="en-US"/>
        </w:rPr>
        <w:t> </w:t>
      </w:r>
      <w:r>
        <w:t xml:space="preserve">зарегистрированных случаях принятия срочных мер </w:t>
      </w:r>
      <w:r w:rsidR="0097769A">
        <w:t>4</w:t>
      </w:r>
      <w:r>
        <w:t xml:space="preserve"> направленных напоминания были оставлены государством-участником без ответа. В тех случаях, когда ответы были получены, государство-участник не представило никакой информации о принятых мерах с целью поиска исчезнувших лиц и расследования их предполагаемого насильственного исчезновения. Равным образом не разъяснялись доступные для жертв процедуры, при том что информация, получаемая от членов семьи и родственников исчезнувших лиц, по-прежнему свидетельствует о том, что в целом они, по всей видимости, подвергаются ненадлежащему обращению со стороны государственных органов, когда запрашивают информацию или поддержку в связи с процессами поиска исчезнувших лиц и расследования их предполагаемых насильственных исчезновений. </w:t>
      </w:r>
    </w:p>
    <w:p w:rsidR="00E56168" w:rsidRPr="001421D5" w:rsidRDefault="00E56168" w:rsidP="00E56168">
      <w:pPr>
        <w:pStyle w:val="SingleTxtG"/>
      </w:pPr>
      <w:r>
        <w:t>12.</w:t>
      </w:r>
      <w:r>
        <w:tab/>
        <w:t>Кроме того, в ряде ответов государство-участник ограничивается ссылкой на то, что предполагаемые жертвы были связаны с террористическими группами. Так, за отчетный период Комитет зарегистрировал 192 новых просьбы о принятии срочных мер в связи с предполагаемым насильственным исчезновением 192 лиц на контрольно-пропускном пункте «Аль-</w:t>
      </w:r>
      <w:proofErr w:type="spellStart"/>
      <w:r>
        <w:t>Разаза</w:t>
      </w:r>
      <w:proofErr w:type="spellEnd"/>
      <w:r>
        <w:t xml:space="preserve">» в провинции </w:t>
      </w:r>
      <w:proofErr w:type="spellStart"/>
      <w:r>
        <w:t>Анбар</w:t>
      </w:r>
      <w:proofErr w:type="spellEnd"/>
      <w:r>
        <w:t xml:space="preserve">. Комитет получил информацию о том, что в контексте борьбы против Исламского государства Ирака и Леванта 26 октября 2014 года многие семьи, проживавшие в </w:t>
      </w:r>
      <w:proofErr w:type="spellStart"/>
      <w:r>
        <w:t>Джурф</w:t>
      </w:r>
      <w:proofErr w:type="spellEnd"/>
      <w:r>
        <w:t xml:space="preserve"> ас-</w:t>
      </w:r>
      <w:proofErr w:type="spellStart"/>
      <w:r>
        <w:t>Сахре</w:t>
      </w:r>
      <w:proofErr w:type="spellEnd"/>
      <w:r>
        <w:t>, Вавилон, бежали в более безопасные районы через данный контрольно-пропускной пункт, который в тот момент контролировался отрядами «</w:t>
      </w:r>
      <w:proofErr w:type="spellStart"/>
      <w:r>
        <w:t>Хезболлы</w:t>
      </w:r>
      <w:proofErr w:type="spellEnd"/>
      <w:r>
        <w:t>». Комитету было сообщено, что 192 человека, пытавшихся проехать через этот контрольно-пропускной пункт, были задержаны и насильственно увезены «</w:t>
      </w:r>
      <w:proofErr w:type="spellStart"/>
      <w:r>
        <w:t>Хезболлой</w:t>
      </w:r>
      <w:proofErr w:type="spellEnd"/>
      <w:r>
        <w:t xml:space="preserve">» в неизвестное место. Местонахождение этих людей остается неизвестным, несмотря на неоднократные жалобы их родственников в адрес властей государства-участника. Комитет просил государство-участник принять незамедлительные меры по поиску и установлению местонахождения исчезнувших лиц, выяснить обстоятельства их предполагаемого насильственного исчезновения и обеспечить им защиту закона, а также принять необходимые меры для установления личности виновных. В ответ государство-участник заявило, что все лица, упомянутые в этих просьбах о срочных мерах, были связаны с Исламским государством Ирака и Леванта и что семь из них были убиты. Эта информация была доведена до сведения авторов просьб о принятии срочных мер с целью получения от них комментариев. В более общем плане Комитет с обеспокоенностью обращает внимание на полученную им информацию о нескольких случаях, когда члены семьи и родственники исчезнувших лиц становились жертвами репрессий после того, как они сообщали компетентным властям об этих фактах, а также на то, что такая ситуация затрудняет для соответствующих лиц возможность требовать вмешательства органов, отвечающих за поиск исчезнувших лиц и расследование их исчезновения. </w:t>
      </w:r>
    </w:p>
    <w:p w:rsidR="00E56168" w:rsidRPr="001421D5" w:rsidRDefault="00E56168" w:rsidP="00E56168">
      <w:pPr>
        <w:pStyle w:val="H23G"/>
      </w:pPr>
      <w:r>
        <w:tab/>
        <w:t>2.</w:t>
      </w:r>
      <w:r>
        <w:tab/>
      </w:r>
      <w:r>
        <w:rPr>
          <w:bCs/>
        </w:rPr>
        <w:t>Просьбы о принятии срочных мер в отношении других государств-участников</w:t>
      </w:r>
    </w:p>
    <w:p w:rsidR="00E56168" w:rsidRPr="00730309" w:rsidRDefault="00E56168" w:rsidP="00E56168">
      <w:pPr>
        <w:pStyle w:val="SingleTxtG"/>
        <w:rPr>
          <w:b/>
        </w:rPr>
      </w:pPr>
      <w:r w:rsidRPr="00730309">
        <w:t>13.</w:t>
      </w:r>
      <w:r w:rsidRPr="00730309">
        <w:tab/>
        <w:t>Что касается просьб о принятии срочных мер в отношении других государств-участников, то Комитет считает, что количество зарегистрированных просьб не позволяет сделать выводы, отражающие общую тенденцию. Вместе с тем Комитет хотел бы обратить внимание на некоторые элементы, касающиеся некоторых</w:t>
      </w:r>
      <w:r>
        <w:t xml:space="preserve"> из</w:t>
      </w:r>
      <w:r w:rsidRPr="00730309">
        <w:t xml:space="preserve"> полученных просьб о принятии срочных мер.</w:t>
      </w:r>
    </w:p>
    <w:p w:rsidR="00E56168" w:rsidRPr="001421D5" w:rsidRDefault="00E56168" w:rsidP="00E56168">
      <w:pPr>
        <w:pStyle w:val="H23G"/>
      </w:pPr>
      <w:r>
        <w:tab/>
        <w:t>a)</w:t>
      </w:r>
      <w:r>
        <w:tab/>
      </w:r>
      <w:r>
        <w:rPr>
          <w:bCs/>
        </w:rPr>
        <w:t>Бразилия</w:t>
      </w:r>
    </w:p>
    <w:p w:rsidR="00E56168" w:rsidRPr="001421D5" w:rsidRDefault="00E56168" w:rsidP="00E56168">
      <w:pPr>
        <w:pStyle w:val="SingleTxtG"/>
      </w:pPr>
      <w:r>
        <w:t>14.</w:t>
      </w:r>
      <w:r>
        <w:tab/>
        <w:t xml:space="preserve">Что касается случая </w:t>
      </w:r>
      <w:proofErr w:type="spellStart"/>
      <w:r>
        <w:t>Деви</w:t>
      </w:r>
      <w:proofErr w:type="spellEnd"/>
      <w:r>
        <w:t xml:space="preserve"> </w:t>
      </w:r>
      <w:proofErr w:type="spellStart"/>
      <w:r>
        <w:t>Сантуша</w:t>
      </w:r>
      <w:proofErr w:type="spellEnd"/>
      <w:r>
        <w:t xml:space="preserve"> </w:t>
      </w:r>
      <w:proofErr w:type="spellStart"/>
      <w:r>
        <w:t>Фьюзы</w:t>
      </w:r>
      <w:proofErr w:type="spellEnd"/>
      <w:r>
        <w:t xml:space="preserve"> (просьба о принятии срочных мер № 61/2014), то государству-участнику была направлена новая нота с учетом полученной информации о том, что результаты осуществлявшихся полицией в течение четырех лет мер с целью поиска этого лица и расследования факта его исчезновения были препровождены в Генеральную прокуратуру штата </w:t>
      </w:r>
      <w:proofErr w:type="spellStart"/>
      <w:r>
        <w:t>Баия</w:t>
      </w:r>
      <w:proofErr w:type="spellEnd"/>
      <w:r>
        <w:t xml:space="preserve">; что полицейские власти сообщили о возможной причастности 17 сотрудников полиции (подразделение военной полиции) штата </w:t>
      </w:r>
      <w:proofErr w:type="spellStart"/>
      <w:r>
        <w:t>Баия</w:t>
      </w:r>
      <w:proofErr w:type="spellEnd"/>
      <w:r>
        <w:t>; и что Генеральный прокурор в настоящее время изучает документацию по этому делу для определения индивидуальной ответственности каждого из 17 сотрудников полиции штата в целях привлечения виновных к судебной ответственности. Вместе с тем, с учетом информации, собранной в контексте просьбы о принятии срочных мер, Комитет выразил сожаление по поводу задержек с расследованием этого дела Генеральной прокуратурой несмотря на полученные ею результаты полицейского расследования, а также по поводу того, что не было принято никаких дополнительных мер для поиска и определения местонахождения г</w:t>
      </w:r>
      <w:r>
        <w:noBreakHyphen/>
        <w:t>на </w:t>
      </w:r>
      <w:proofErr w:type="spellStart"/>
      <w:r>
        <w:t>Сантуша</w:t>
      </w:r>
      <w:proofErr w:type="spellEnd"/>
      <w:r>
        <w:t xml:space="preserve"> </w:t>
      </w:r>
      <w:proofErr w:type="spellStart"/>
      <w:r>
        <w:t>Фьюзы</w:t>
      </w:r>
      <w:proofErr w:type="spellEnd"/>
      <w:r>
        <w:t>.</w:t>
      </w:r>
    </w:p>
    <w:p w:rsidR="00E56168" w:rsidRPr="001421D5" w:rsidRDefault="00E56168" w:rsidP="00E56168">
      <w:pPr>
        <w:pStyle w:val="H23G"/>
      </w:pPr>
      <w:r>
        <w:tab/>
        <w:t>b)</w:t>
      </w:r>
      <w:r>
        <w:tab/>
      </w:r>
      <w:r>
        <w:rPr>
          <w:bCs/>
        </w:rPr>
        <w:t>Колумбия</w:t>
      </w:r>
    </w:p>
    <w:p w:rsidR="00E56168" w:rsidRPr="001421D5" w:rsidRDefault="00E56168" w:rsidP="00E56168">
      <w:pPr>
        <w:pStyle w:val="SingleTxtG"/>
      </w:pPr>
      <w:r>
        <w:t>15.</w:t>
      </w:r>
      <w:r>
        <w:tab/>
        <w:t xml:space="preserve">Как отмечается в ноте, опубликованной в ходе предыдущих сессий, информация, представленная государством-участником в связи с 21 зарегистрированной просьбой о принятии срочных мер, указывает на то, что расследование и поиски нередко прекращаются уже через несколько месяцев после их начала. </w:t>
      </w:r>
    </w:p>
    <w:p w:rsidR="00E56168" w:rsidRPr="001421D5" w:rsidRDefault="00E56168" w:rsidP="00E56168">
      <w:pPr>
        <w:pStyle w:val="SingleTxtG"/>
      </w:pPr>
      <w:r>
        <w:t>16.</w:t>
      </w:r>
      <w:r>
        <w:tab/>
      </w:r>
      <w:proofErr w:type="gramStart"/>
      <w:r>
        <w:t>В</w:t>
      </w:r>
      <w:proofErr w:type="gramEnd"/>
      <w:r>
        <w:t xml:space="preserve"> рамках просьб о принятии срочных мер № 378/2017, 379/2017 и 380/2017 Комитет был проинформирован о том, что были задержаны четыре лица, которые раскрыли информацию о местонахождении останков исчезнувших детей. Этим лицам было предъявлено обвинение в насильственном исчезновении. Трое детей были найдены мертвыми в </w:t>
      </w:r>
      <w:proofErr w:type="spellStart"/>
      <w:r>
        <w:t>Серро</w:t>
      </w:r>
      <w:proofErr w:type="spellEnd"/>
      <w:r>
        <w:t xml:space="preserve">-Норте, община </w:t>
      </w:r>
      <w:proofErr w:type="spellStart"/>
      <w:r>
        <w:t>Усакен</w:t>
      </w:r>
      <w:proofErr w:type="spellEnd"/>
      <w:r>
        <w:t xml:space="preserve">, в мае 2019 года. Эта информация была направлена авторам просьб о принятии срочных мер для представления комментариев. </w:t>
      </w:r>
    </w:p>
    <w:p w:rsidR="00E56168" w:rsidRPr="001421D5" w:rsidRDefault="009C7FF1" w:rsidP="00E56168">
      <w:pPr>
        <w:pStyle w:val="H23G"/>
      </w:pPr>
      <w:r>
        <w:tab/>
      </w:r>
      <w:r w:rsidR="00E56168">
        <w:t>c)</w:t>
      </w:r>
      <w:r w:rsidR="00E56168">
        <w:tab/>
      </w:r>
      <w:r w:rsidR="00E56168">
        <w:rPr>
          <w:bCs/>
        </w:rPr>
        <w:t>Того</w:t>
      </w:r>
    </w:p>
    <w:p w:rsidR="00E56168" w:rsidRPr="001421D5" w:rsidRDefault="00E56168" w:rsidP="00E56168">
      <w:pPr>
        <w:pStyle w:val="SingleTxtG"/>
      </w:pPr>
      <w:r>
        <w:t>17.</w:t>
      </w:r>
      <w:r>
        <w:tab/>
        <w:t xml:space="preserve">Что касается случаев </w:t>
      </w:r>
      <w:proofErr w:type="spellStart"/>
      <w:r>
        <w:t>Ацу</w:t>
      </w:r>
      <w:proofErr w:type="spellEnd"/>
      <w:r>
        <w:t xml:space="preserve"> </w:t>
      </w:r>
      <w:proofErr w:type="spellStart"/>
      <w:r>
        <w:t>Адзи</w:t>
      </w:r>
      <w:proofErr w:type="spellEnd"/>
      <w:r>
        <w:t xml:space="preserve"> и </w:t>
      </w:r>
      <w:proofErr w:type="spellStart"/>
      <w:r>
        <w:t>Мессана</w:t>
      </w:r>
      <w:proofErr w:type="spellEnd"/>
      <w:r>
        <w:t xml:space="preserve"> Коку </w:t>
      </w:r>
      <w:proofErr w:type="spellStart"/>
      <w:r>
        <w:t>Адзи</w:t>
      </w:r>
      <w:proofErr w:type="spellEnd"/>
      <w:r>
        <w:t xml:space="preserve"> (просьбы о принятии срочных мер № 543/2018 и 544/2018), то 17 июля 2019 года государство-участник представило свой ответ, в котором сообщало, что проведенное тоголезскими властями расследование по этим случаям исчезновений показало, что </w:t>
      </w:r>
      <w:proofErr w:type="spellStart"/>
      <w:r>
        <w:t>Ацу</w:t>
      </w:r>
      <w:proofErr w:type="spellEnd"/>
      <w:r>
        <w:t xml:space="preserve"> </w:t>
      </w:r>
      <w:proofErr w:type="spellStart"/>
      <w:r>
        <w:t>Адзи</w:t>
      </w:r>
      <w:proofErr w:type="spellEnd"/>
      <w:r>
        <w:t xml:space="preserve"> умер 3 января 2014 года вследствие проблем со здоровьем. Этот факт, как представляется, подтвердили различные лица, в том числе дядя </w:t>
      </w:r>
      <w:proofErr w:type="spellStart"/>
      <w:r>
        <w:t>Ацу</w:t>
      </w:r>
      <w:proofErr w:type="spellEnd"/>
      <w:r>
        <w:t xml:space="preserve"> </w:t>
      </w:r>
      <w:proofErr w:type="spellStart"/>
      <w:r>
        <w:t>Адзи</w:t>
      </w:r>
      <w:proofErr w:type="spellEnd"/>
      <w:r>
        <w:t xml:space="preserve">, который организовывал похороны, а также глава района </w:t>
      </w:r>
      <w:proofErr w:type="spellStart"/>
      <w:r>
        <w:t>Гапе</w:t>
      </w:r>
      <w:proofErr w:type="spellEnd"/>
      <w:r>
        <w:t xml:space="preserve">. Что касается </w:t>
      </w:r>
      <w:proofErr w:type="spellStart"/>
      <w:r>
        <w:t>Мессана</w:t>
      </w:r>
      <w:proofErr w:type="spellEnd"/>
      <w:r>
        <w:t xml:space="preserve"> Коку </w:t>
      </w:r>
      <w:proofErr w:type="spellStart"/>
      <w:r>
        <w:t>Адзи</w:t>
      </w:r>
      <w:proofErr w:type="spellEnd"/>
      <w:r>
        <w:t xml:space="preserve">, то 29 июня 2019 года власти Того разыскали его в Ломе, где он, как представляется, проживает. </w:t>
      </w:r>
      <w:proofErr w:type="spellStart"/>
      <w:r>
        <w:t>Мессан</w:t>
      </w:r>
      <w:proofErr w:type="spellEnd"/>
      <w:r>
        <w:t xml:space="preserve"> Коку </w:t>
      </w:r>
      <w:proofErr w:type="spellStart"/>
      <w:r>
        <w:t>Адзи</w:t>
      </w:r>
      <w:proofErr w:type="spellEnd"/>
      <w:r>
        <w:t xml:space="preserve">, как представляется, поддерживает связи со своей семьей в </w:t>
      </w:r>
      <w:proofErr w:type="spellStart"/>
      <w:r>
        <w:t>Гапе</w:t>
      </w:r>
      <w:proofErr w:type="spellEnd"/>
      <w:r>
        <w:t xml:space="preserve">. После расследования этого дела власти пришли к выводу, что речь идет о вымышленной истории, которую придумали два человека. Замечания государства-участника были препровождены авторам просьб о незамедлительных действиях с целью получения от них комментариев. Комитет примет решение по этим просьбам о принятии срочных мер с учетом представленного ответа. </w:t>
      </w:r>
    </w:p>
    <w:p w:rsidR="00E56168" w:rsidRPr="001421D5" w:rsidRDefault="009C7FF1" w:rsidP="00E56168">
      <w:pPr>
        <w:pStyle w:val="H23G"/>
      </w:pPr>
      <w:r>
        <w:tab/>
      </w:r>
      <w:r w:rsidR="00E56168">
        <w:t>d)</w:t>
      </w:r>
      <w:r w:rsidR="00E56168">
        <w:tab/>
      </w:r>
      <w:r w:rsidR="00E56168">
        <w:rPr>
          <w:bCs/>
        </w:rPr>
        <w:t>Тунис</w:t>
      </w:r>
    </w:p>
    <w:p w:rsidR="00E56168" w:rsidRPr="001421D5" w:rsidRDefault="00E56168" w:rsidP="00E56168">
      <w:pPr>
        <w:pStyle w:val="SingleTxtG"/>
      </w:pPr>
      <w:r>
        <w:t>18.</w:t>
      </w:r>
      <w:r>
        <w:tab/>
        <w:t xml:space="preserve">За отчетный период был зарегистрирован случай </w:t>
      </w:r>
      <w:proofErr w:type="spellStart"/>
      <w:r>
        <w:t>Мохамеда</w:t>
      </w:r>
      <w:proofErr w:type="spellEnd"/>
      <w:r>
        <w:t xml:space="preserve"> </w:t>
      </w:r>
      <w:proofErr w:type="spellStart"/>
      <w:r>
        <w:t>Гефасса</w:t>
      </w:r>
      <w:proofErr w:type="spellEnd"/>
      <w:r>
        <w:t xml:space="preserve"> (просьба о срочных мерах № 768/2019), гражданина Алжира, пропавшего в территориальных водах Туниса в ночь на 2 октября 2016 года, после того, как он был задержан тунисской береговой охраной во время нелегального следования из Алжира на итальянский остров Сардиния. Согласно представленной Комитету информации, г-н </w:t>
      </w:r>
      <w:proofErr w:type="spellStart"/>
      <w:r>
        <w:t>Гефасса</w:t>
      </w:r>
      <w:proofErr w:type="spellEnd"/>
      <w:r>
        <w:t xml:space="preserve"> может незаконно содержаться под стражей в Тунисе по обвинениям, связанным с терроризмом. Комитет просил государство-участник незамедлительно принять все необходимые меры для поиска, установления местонахождения и защиты г</w:t>
      </w:r>
      <w:r w:rsidR="009C7FF1">
        <w:noBreakHyphen/>
      </w:r>
      <w:r>
        <w:t>на</w:t>
      </w:r>
      <w:r w:rsidR="009C7FF1">
        <w:t> </w:t>
      </w:r>
      <w:proofErr w:type="spellStart"/>
      <w:r>
        <w:t>Гефассы</w:t>
      </w:r>
      <w:proofErr w:type="spellEnd"/>
      <w:r>
        <w:t xml:space="preserve">. На момент подготовки настоящего доклада государство-участник не представило ответ на вербальную ноту Комитета. Направлено напоминание. </w:t>
      </w:r>
    </w:p>
    <w:p w:rsidR="00E56168" w:rsidRPr="001421D5" w:rsidRDefault="009C7FF1" w:rsidP="00E56168">
      <w:pPr>
        <w:pStyle w:val="H23G"/>
      </w:pPr>
      <w:r>
        <w:tab/>
      </w:r>
      <w:r w:rsidR="00E56168">
        <w:t>3.</w:t>
      </w:r>
      <w:r w:rsidR="00E56168">
        <w:tab/>
      </w:r>
      <w:r w:rsidR="00E56168">
        <w:rPr>
          <w:bCs/>
        </w:rPr>
        <w:t>Последние изменения</w:t>
      </w:r>
    </w:p>
    <w:p w:rsidR="00E56168" w:rsidRPr="001421D5" w:rsidRDefault="00E56168" w:rsidP="00E56168">
      <w:pPr>
        <w:pStyle w:val="SingleTxtG"/>
      </w:pPr>
      <w:r>
        <w:t>19.</w:t>
      </w:r>
      <w:r>
        <w:tab/>
      </w:r>
      <w:proofErr w:type="gramStart"/>
      <w:r>
        <w:t>С</w:t>
      </w:r>
      <w:proofErr w:type="gramEnd"/>
      <w:r>
        <w:t xml:space="preserve"> августа 2019 года после принятия и публикации Руководящих принципов поиска пропавших без вести лиц (CED/C/7) Комитет включает конкретные ссылки на них в свои ноты о последующих мерах с целью дальнейшего уточнения содержания рекомендаций, направляемых государствам-участникам. Кроме того, в надлежащих случаях Руководящие принципы направлялись в качестве приложений к нотам о последующих мерах. </w:t>
      </w:r>
    </w:p>
    <w:p w:rsidR="00E56168" w:rsidRPr="001421D5" w:rsidRDefault="009C7FF1" w:rsidP="00E56168">
      <w:pPr>
        <w:pStyle w:val="H1G"/>
      </w:pPr>
      <w:r>
        <w:tab/>
      </w:r>
      <w:r w:rsidR="00E56168">
        <w:t>D.</w:t>
      </w:r>
      <w:r w:rsidR="00E56168">
        <w:tab/>
      </w:r>
      <w:r w:rsidR="00E56168">
        <w:rPr>
          <w:bCs/>
        </w:rPr>
        <w:t>Приостановление, прекращение или продолжение рассмотрения просьб о принятии срочных мер по защите лиц, в отношении которых были приняты временные меры</w:t>
      </w:r>
    </w:p>
    <w:p w:rsidR="00E56168" w:rsidRPr="001421D5" w:rsidRDefault="00E56168" w:rsidP="00E56168">
      <w:pPr>
        <w:pStyle w:val="SingleTxtG"/>
      </w:pPr>
      <w:r>
        <w:t>20.</w:t>
      </w:r>
      <w:r>
        <w:tab/>
        <w:t>В соответствии с критериями, принятыми на пленарных заседаниях Комитета в ходе его восьмой сессии:</w:t>
      </w:r>
    </w:p>
    <w:p w:rsidR="00E56168" w:rsidRPr="001421D5" w:rsidRDefault="00E56168" w:rsidP="00E56168">
      <w:pPr>
        <w:pStyle w:val="SingleTxtG"/>
        <w:ind w:firstLine="567"/>
      </w:pPr>
      <w:r>
        <w:tab/>
        <w:t>a)</w:t>
      </w:r>
      <w:r>
        <w:tab/>
        <w:t>рассмотрение просьбы о принятии срочных мер приостанавливается, когда исчезнувшее лицо обнаруживается, но пока остается под стражей. Основанием служит высокая степень риска того, что такое лицо может вновь подвергнуться исчезновению и лишиться защиты закона;</w:t>
      </w:r>
    </w:p>
    <w:p w:rsidR="00E56168" w:rsidRPr="001421D5" w:rsidRDefault="00E56168" w:rsidP="00E56168">
      <w:pPr>
        <w:pStyle w:val="SingleTxtG"/>
        <w:ind w:firstLine="567"/>
      </w:pPr>
      <w:r>
        <w:tab/>
        <w:t>b)</w:t>
      </w:r>
      <w:r>
        <w:tab/>
        <w:t>рассмотрение просьбы о принятии срочных мер прекращается, когда исчезнувшее лицо обнаружено на свободе, когда оно обнаружено и после этого освобождено, когда его находят мертвым и когда родственники и/или авторы не оспаривают этих фактов;</w:t>
      </w:r>
    </w:p>
    <w:p w:rsidR="00E56168" w:rsidRPr="001421D5" w:rsidRDefault="00E56168" w:rsidP="00E56168">
      <w:pPr>
        <w:pStyle w:val="SingleTxtG"/>
        <w:ind w:firstLine="567"/>
      </w:pPr>
      <w:r>
        <w:tab/>
        <w:t>c)</w:t>
      </w:r>
      <w:r>
        <w:tab/>
        <w:t>рассмотрение просьбы о принятии срочных мерах продолжается, когда исчезнувшее лицо обнаружено, но лицам, для защиты которых в рамках процедуры срочных мер было рекомендовано принять временные меры, продолжает угрожать опасность. В этих случаях действия Комитета ограничиваются наблюдением за применением рекомендованных временных мер защиты.</w:t>
      </w:r>
    </w:p>
    <w:p w:rsidR="00E56168" w:rsidRPr="001421D5" w:rsidRDefault="00E56168" w:rsidP="00E56168">
      <w:pPr>
        <w:pStyle w:val="SingleTxtG"/>
      </w:pPr>
      <w:r>
        <w:t>21.</w:t>
      </w:r>
      <w:r>
        <w:tab/>
        <w:t>На момент подготовки настоящего доклада Комитет прекратил рассмотрение в общей сложности 52 просьб о принятии срочных мер: в 29 из этих случаев исчезнувшее лицо было обнаружено и освобождено живым, а в 23 случаях исчезнувшие лица были найдены мертвыми.</w:t>
      </w:r>
    </w:p>
    <w:p w:rsidR="00E56168" w:rsidRPr="001421D5" w:rsidRDefault="00E56168" w:rsidP="00E56168">
      <w:pPr>
        <w:pStyle w:val="SingleTxtG"/>
      </w:pPr>
      <w:r>
        <w:t>22.</w:t>
      </w:r>
      <w:r>
        <w:tab/>
        <w:t>Кроме того, Комитет приостановил рассмотрение 13 просьб о принятии срочных мер, поскольку исчезнувшие лица были обнаружены, но продолжают оставаться под стражей.</w:t>
      </w:r>
    </w:p>
    <w:p w:rsidR="00E56168" w:rsidRPr="001421D5" w:rsidRDefault="00E56168" w:rsidP="00E56168">
      <w:pPr>
        <w:pStyle w:val="SingleTxtG"/>
      </w:pPr>
      <w:r>
        <w:t>23.</w:t>
      </w:r>
      <w:r>
        <w:tab/>
      </w:r>
      <w:proofErr w:type="gramStart"/>
      <w:r>
        <w:t>В</w:t>
      </w:r>
      <w:proofErr w:type="gramEnd"/>
      <w:r>
        <w:t xml:space="preserve"> двух случаях просьб о принятии срочных мер было установлено, что исчезнувшее лицо было найдено мертвым, но процедура не была прекращена, поскольку лица, в отношении которых были приняты временные меры, все еще находятся под угрозой.</w:t>
      </w:r>
    </w:p>
    <w:p w:rsidR="00E56168" w:rsidRPr="001421D5" w:rsidRDefault="00E56168" w:rsidP="00E56168">
      <w:pPr>
        <w:pStyle w:val="SingleTxtG"/>
      </w:pPr>
      <w:r>
        <w:t>24.</w:t>
      </w:r>
      <w:r>
        <w:tab/>
      </w:r>
      <w:proofErr w:type="gramStart"/>
      <w:r>
        <w:t>В</w:t>
      </w:r>
      <w:proofErr w:type="gramEnd"/>
      <w:r>
        <w:t xml:space="preserve"> одной из просьб о принятии срочных мер автор сообщила, что были обнаружены останки ее мужа. Вместе с тем она не считает себя удовлетворенной, поскольку власти якобы не сочли необходимым продолжить поиск других частей тела. Она полагает, что властям следует продолжить поиск, и указывает государству-участнику на то, что в случае обнаружения и идентификации лишь части останков, решение о продолжении поиска и идентификации останков должно учитывать реальные возможности в отношении идентификации недостающих останков и заявленные членами семьи потребности с точки зрения их погребальных традиций. Решение о прекращении поиска исчезнувших лиц должно приниматься </w:t>
      </w:r>
      <w:proofErr w:type="spellStart"/>
      <w:r>
        <w:t>транспарентным</w:t>
      </w:r>
      <w:proofErr w:type="spellEnd"/>
      <w:r>
        <w:t xml:space="preserve"> образом и с предварительного и осознанного согласия членов семьи в соответствии с принципом 7 Руководящих принципов поиска пропавших без вести лиц. С учетом вышеизложенного Комитет постановил оставить вопрос о принятии срочных мер открытым. </w:t>
      </w:r>
    </w:p>
    <w:p w:rsidR="00E56168" w:rsidRPr="001421D5" w:rsidRDefault="009C7FF1" w:rsidP="00E56168">
      <w:pPr>
        <w:pStyle w:val="H1G"/>
      </w:pPr>
      <w:r>
        <w:tab/>
      </w:r>
      <w:r w:rsidR="00E56168">
        <w:t>E.</w:t>
      </w:r>
      <w:r w:rsidR="00E56168">
        <w:tab/>
      </w:r>
      <w:r w:rsidR="00E56168">
        <w:rPr>
          <w:bCs/>
        </w:rPr>
        <w:t>Тем</w:t>
      </w:r>
      <w:r>
        <w:rPr>
          <w:bCs/>
        </w:rPr>
        <w:t>а</w:t>
      </w:r>
      <w:r w:rsidR="00E56168">
        <w:rPr>
          <w:bCs/>
        </w:rPr>
        <w:t xml:space="preserve"> для обсуждения на пленарном заседании семнадцатой сессии</w:t>
      </w:r>
    </w:p>
    <w:p w:rsidR="00E56168" w:rsidRPr="001421D5" w:rsidRDefault="00E56168" w:rsidP="00E56168">
      <w:pPr>
        <w:pStyle w:val="SingleTxtG"/>
      </w:pPr>
      <w:r>
        <w:t>25.</w:t>
      </w:r>
      <w:r>
        <w:tab/>
        <w:t>Комитет вновь заявляет, что с учетом увеличения количества зарегистрированных просьб о принятии срочных мер существует настоятельная необходимость в увеличении числа сотрудников секретариата Управления Верховного комиссара Организации Объединенных Наций по правам человека, занимающихся рассмотрением просьб о принятии срочных мер.</w:t>
      </w:r>
    </w:p>
    <w:p w:rsidR="00E56168" w:rsidRPr="001421D5" w:rsidRDefault="00E56168" w:rsidP="00E56168">
      <w:pPr>
        <w:pStyle w:val="SingleTxtG"/>
      </w:pPr>
      <w:r>
        <w:t>26.</w:t>
      </w:r>
      <w:r>
        <w:tab/>
        <w:t>Пленарное заседание утвердило состав Рабочей группы по просьбам о принятии срочных мер и напомнило, что распределение работы между ее членами осуществляется в зависимости от языка</w:t>
      </w:r>
      <w:r w:rsidR="009C7FF1">
        <w:t>,</w:t>
      </w:r>
      <w:r>
        <w:t xml:space="preserve"> на котором представляется просьба о принятии срочных мер. Секретариат напомнил о методах работы Комитета в отношении просьб о принятии срочных мер, которые были подтверждены на пленарном заседании.</w:t>
      </w:r>
    </w:p>
    <w:p w:rsidR="00E56168" w:rsidRPr="001421D5" w:rsidRDefault="00E56168" w:rsidP="00E56168">
      <w:pPr>
        <w:pStyle w:val="SingleTxtG"/>
      </w:pPr>
      <w:r>
        <w:t>27.</w:t>
      </w:r>
      <w:r>
        <w:tab/>
        <w:t>Комитет подтвердил, что при необходимости будет делаться ссылка на обязательство государств-участников, без ущерба для обязательства продолжать расследование до полного прояснения судьбы исчезнувшего лица, принимать надлежащие меры, каса</w:t>
      </w:r>
      <w:bookmarkStart w:id="1" w:name="_GoBack"/>
      <w:bookmarkEnd w:id="1"/>
      <w:r>
        <w:t>ющиеся правового положения исчезнувших лиц, судьба которых неизвестна, и их родственников, в частности, в таких областях, как социальная защита, финансовые вопросы, семейное право и право собственности. Во</w:t>
      </w:r>
      <w:r w:rsidR="009C7FF1">
        <w:t> </w:t>
      </w:r>
      <w:r>
        <w:t>многих случаях насильственных исчезновений финансовая и социальная поддержка имеет важнейшее значение для того, чтобы члены семьи и родственники исчезнувшего лица могли участвовать в процессах поиска и расследования.</w:t>
      </w:r>
    </w:p>
    <w:p w:rsidR="00381C24" w:rsidRPr="00E56168" w:rsidRDefault="00E56168" w:rsidP="00E56168">
      <w:pPr>
        <w:pStyle w:val="SingleTxtG"/>
      </w:pPr>
      <w:r>
        <w:t>28.</w:t>
      </w:r>
      <w:r>
        <w:tab/>
        <w:t>Комитет постановил пересмотреть формат представления просьб о принятии срочных мер с учетом опыта, накопленного с момента начала этой процедуры.</w:t>
      </w:r>
    </w:p>
    <w:p w:rsidR="00E56168" w:rsidRPr="00E56168" w:rsidRDefault="00E56168" w:rsidP="00E56168">
      <w:pPr>
        <w:pStyle w:val="SingleTxtG"/>
        <w:spacing w:before="240" w:after="0"/>
        <w:jc w:val="center"/>
        <w:rPr>
          <w:u w:val="single"/>
        </w:rPr>
      </w:pPr>
      <w:r>
        <w:rPr>
          <w:u w:val="single"/>
        </w:rPr>
        <w:tab/>
      </w:r>
      <w:r>
        <w:rPr>
          <w:u w:val="single"/>
        </w:rPr>
        <w:tab/>
      </w:r>
      <w:r>
        <w:rPr>
          <w:u w:val="single"/>
        </w:rPr>
        <w:tab/>
      </w:r>
      <w:r>
        <w:rPr>
          <w:u w:val="single"/>
        </w:rPr>
        <w:tab/>
      </w:r>
    </w:p>
    <w:sectPr w:rsidR="00E56168" w:rsidRPr="00E56168" w:rsidSect="00E5616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85" w:rsidRPr="00A312BC" w:rsidRDefault="002A5185" w:rsidP="00A312BC"/>
  </w:endnote>
  <w:endnote w:type="continuationSeparator" w:id="0">
    <w:p w:rsidR="002A5185" w:rsidRPr="00A312BC" w:rsidRDefault="002A51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68" w:rsidRPr="00E56168" w:rsidRDefault="00E56168">
    <w:pPr>
      <w:pStyle w:val="a8"/>
    </w:pPr>
    <w:r w:rsidRPr="00E56168">
      <w:rPr>
        <w:b/>
        <w:sz w:val="18"/>
      </w:rPr>
      <w:fldChar w:fldCharType="begin"/>
    </w:r>
    <w:r w:rsidRPr="00E56168">
      <w:rPr>
        <w:b/>
        <w:sz w:val="18"/>
      </w:rPr>
      <w:instrText xml:space="preserve"> PAGE  \* MERGEFORMAT </w:instrText>
    </w:r>
    <w:r w:rsidRPr="00E56168">
      <w:rPr>
        <w:b/>
        <w:sz w:val="18"/>
      </w:rPr>
      <w:fldChar w:fldCharType="separate"/>
    </w:r>
    <w:r w:rsidR="00001FFF">
      <w:rPr>
        <w:b/>
        <w:noProof/>
        <w:sz w:val="18"/>
      </w:rPr>
      <w:t>6</w:t>
    </w:r>
    <w:r w:rsidRPr="00E56168">
      <w:rPr>
        <w:b/>
        <w:sz w:val="18"/>
      </w:rPr>
      <w:fldChar w:fldCharType="end"/>
    </w:r>
    <w:r>
      <w:rPr>
        <w:b/>
        <w:sz w:val="18"/>
      </w:rPr>
      <w:tab/>
    </w:r>
    <w:r>
      <w:t>GE.19-19861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68" w:rsidRPr="00E56168" w:rsidRDefault="00E56168" w:rsidP="00E56168">
    <w:pPr>
      <w:pStyle w:val="a8"/>
      <w:tabs>
        <w:tab w:val="clear" w:pos="9639"/>
        <w:tab w:val="right" w:pos="9638"/>
      </w:tabs>
      <w:rPr>
        <w:b/>
        <w:sz w:val="18"/>
      </w:rPr>
    </w:pPr>
    <w:r>
      <w:t>GE.19-19861</w:t>
    </w:r>
    <w:r>
      <w:tab/>
    </w:r>
    <w:r w:rsidRPr="00E56168">
      <w:rPr>
        <w:b/>
        <w:sz w:val="18"/>
      </w:rPr>
      <w:fldChar w:fldCharType="begin"/>
    </w:r>
    <w:r w:rsidRPr="00E56168">
      <w:rPr>
        <w:b/>
        <w:sz w:val="18"/>
      </w:rPr>
      <w:instrText xml:space="preserve"> PAGE  \* MERGEFORMAT </w:instrText>
    </w:r>
    <w:r w:rsidRPr="00E56168">
      <w:rPr>
        <w:b/>
        <w:sz w:val="18"/>
      </w:rPr>
      <w:fldChar w:fldCharType="separate"/>
    </w:r>
    <w:r w:rsidR="00001FFF">
      <w:rPr>
        <w:b/>
        <w:noProof/>
        <w:sz w:val="18"/>
      </w:rPr>
      <w:t>5</w:t>
    </w:r>
    <w:r w:rsidRPr="00E561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56168" w:rsidRDefault="00E56168" w:rsidP="00E56168">
    <w:pPr>
      <w:spacing w:before="120" w:line="240" w:lineRule="auto"/>
    </w:pPr>
    <w:r>
      <w:t>GE.</w:t>
    </w:r>
    <w:r w:rsidR="00DF71B9">
      <w:rPr>
        <w:b/>
        <w:noProof/>
        <w:lang w:val="en-US"/>
      </w:rPr>
      <w:drawing>
        <wp:anchor distT="0" distB="0" distL="114300" distR="114300" simplePos="0" relativeHeight="251658240" behindDoc="0" locked="0" layoutInCell="1" allowOverlap="1" wp14:anchorId="665A08FA" wp14:editId="27175DF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19861  (</w:t>
    </w:r>
    <w:proofErr w:type="gramEnd"/>
    <w:r>
      <w:t>R)</w:t>
    </w:r>
    <w:r>
      <w:rPr>
        <w:lang w:val="en-US"/>
      </w:rPr>
      <w:t xml:space="preserve">  271119  281119</w:t>
    </w:r>
    <w:r>
      <w:br/>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sidRPr="00E56168">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D/C/17/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7/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85" w:rsidRPr="001075E9" w:rsidRDefault="002A5185" w:rsidP="001075E9">
      <w:pPr>
        <w:tabs>
          <w:tab w:val="right" w:pos="2155"/>
        </w:tabs>
        <w:spacing w:after="80" w:line="240" w:lineRule="auto"/>
        <w:ind w:left="680"/>
        <w:rPr>
          <w:u w:val="single"/>
        </w:rPr>
      </w:pPr>
      <w:r>
        <w:rPr>
          <w:u w:val="single"/>
        </w:rPr>
        <w:tab/>
      </w:r>
    </w:p>
  </w:footnote>
  <w:footnote w:type="continuationSeparator" w:id="0">
    <w:p w:rsidR="002A5185" w:rsidRDefault="002A5185" w:rsidP="00407B78">
      <w:pPr>
        <w:tabs>
          <w:tab w:val="right" w:pos="2155"/>
        </w:tabs>
        <w:spacing w:after="80"/>
        <w:ind w:left="680"/>
        <w:rPr>
          <w:u w:val="single"/>
        </w:rPr>
      </w:pPr>
      <w:r>
        <w:rPr>
          <w:u w:val="single"/>
        </w:rPr>
        <w:tab/>
      </w:r>
    </w:p>
  </w:footnote>
  <w:footnote w:id="1">
    <w:p w:rsidR="00E56168" w:rsidRPr="001421D5" w:rsidRDefault="00E56168" w:rsidP="00E56168">
      <w:pPr>
        <w:pStyle w:val="ad"/>
        <w:rPr>
          <w:sz w:val="20"/>
        </w:rPr>
      </w:pPr>
      <w:r>
        <w:tab/>
      </w:r>
      <w:r w:rsidRPr="00E56168">
        <w:rPr>
          <w:sz w:val="20"/>
        </w:rPr>
        <w:t>*</w:t>
      </w:r>
      <w:r>
        <w:tab/>
        <w:t>Принято Комитетом на его семнадцатой сессии (30 сентября – 11 октября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68" w:rsidRPr="00E56168" w:rsidRDefault="00001FFF">
    <w:pPr>
      <w:pStyle w:val="a5"/>
    </w:pPr>
    <w:r>
      <w:fldChar w:fldCharType="begin"/>
    </w:r>
    <w:r>
      <w:instrText xml:space="preserve"> TITLE  \* MERGEFORMAT </w:instrText>
    </w:r>
    <w:r>
      <w:fldChar w:fldCharType="separate"/>
    </w:r>
    <w:r>
      <w:t>CED/C/17/2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68" w:rsidRPr="00E56168" w:rsidRDefault="00001FFF" w:rsidP="00E56168">
    <w:pPr>
      <w:pStyle w:val="a5"/>
      <w:jc w:val="right"/>
    </w:pPr>
    <w:r>
      <w:fldChar w:fldCharType="begin"/>
    </w:r>
    <w:r>
      <w:instrText xml:space="preserve"> TITLE  \* MERGEFORMAT </w:instrText>
    </w:r>
    <w:r>
      <w:fldChar w:fldCharType="separate"/>
    </w:r>
    <w:r>
      <w:t>CED/C/17/2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85"/>
    <w:rsid w:val="00001FFF"/>
    <w:rsid w:val="00033EE1"/>
    <w:rsid w:val="00042B72"/>
    <w:rsid w:val="00046E2F"/>
    <w:rsid w:val="00052360"/>
    <w:rsid w:val="000558BD"/>
    <w:rsid w:val="000B57E7"/>
    <w:rsid w:val="000B6373"/>
    <w:rsid w:val="000F09DF"/>
    <w:rsid w:val="000F2F61"/>
    <w:rsid w:val="000F61B2"/>
    <w:rsid w:val="001075E9"/>
    <w:rsid w:val="00180183"/>
    <w:rsid w:val="0018024D"/>
    <w:rsid w:val="0018649F"/>
    <w:rsid w:val="00196389"/>
    <w:rsid w:val="001B3EF6"/>
    <w:rsid w:val="001C7A89"/>
    <w:rsid w:val="00206F9C"/>
    <w:rsid w:val="00215F21"/>
    <w:rsid w:val="00277A08"/>
    <w:rsid w:val="002A2EFC"/>
    <w:rsid w:val="002A5185"/>
    <w:rsid w:val="002C0E18"/>
    <w:rsid w:val="002D1699"/>
    <w:rsid w:val="002D5AAC"/>
    <w:rsid w:val="002E5067"/>
    <w:rsid w:val="002F405F"/>
    <w:rsid w:val="002F7EEC"/>
    <w:rsid w:val="00301299"/>
    <w:rsid w:val="00305C08"/>
    <w:rsid w:val="00307FB6"/>
    <w:rsid w:val="00317339"/>
    <w:rsid w:val="00322004"/>
    <w:rsid w:val="003402C2"/>
    <w:rsid w:val="00381C24"/>
    <w:rsid w:val="003958D0"/>
    <w:rsid w:val="003B00E5"/>
    <w:rsid w:val="00407B78"/>
    <w:rsid w:val="00424203"/>
    <w:rsid w:val="00452493"/>
    <w:rsid w:val="00454E07"/>
    <w:rsid w:val="00472C5C"/>
    <w:rsid w:val="00475A37"/>
    <w:rsid w:val="004E4CB3"/>
    <w:rsid w:val="004F21B5"/>
    <w:rsid w:val="004F2C88"/>
    <w:rsid w:val="0050108D"/>
    <w:rsid w:val="00513081"/>
    <w:rsid w:val="00517901"/>
    <w:rsid w:val="00526683"/>
    <w:rsid w:val="00536A7D"/>
    <w:rsid w:val="005709E0"/>
    <w:rsid w:val="00572E19"/>
    <w:rsid w:val="005961C8"/>
    <w:rsid w:val="005D7914"/>
    <w:rsid w:val="005E2B41"/>
    <w:rsid w:val="005F0B42"/>
    <w:rsid w:val="00681A10"/>
    <w:rsid w:val="00682BE8"/>
    <w:rsid w:val="006A1ED8"/>
    <w:rsid w:val="006C2031"/>
    <w:rsid w:val="006D461A"/>
    <w:rsid w:val="006F35EE"/>
    <w:rsid w:val="007021FF"/>
    <w:rsid w:val="00712895"/>
    <w:rsid w:val="00720715"/>
    <w:rsid w:val="00725545"/>
    <w:rsid w:val="00757357"/>
    <w:rsid w:val="008027E5"/>
    <w:rsid w:val="008227B1"/>
    <w:rsid w:val="00825F8D"/>
    <w:rsid w:val="00834B71"/>
    <w:rsid w:val="0086445C"/>
    <w:rsid w:val="00877609"/>
    <w:rsid w:val="00894693"/>
    <w:rsid w:val="008A08D7"/>
    <w:rsid w:val="008B6909"/>
    <w:rsid w:val="00906890"/>
    <w:rsid w:val="00911BE4"/>
    <w:rsid w:val="00942A43"/>
    <w:rsid w:val="00951972"/>
    <w:rsid w:val="009608F3"/>
    <w:rsid w:val="0097769A"/>
    <w:rsid w:val="009A24AC"/>
    <w:rsid w:val="009C7FF1"/>
    <w:rsid w:val="00A14DA8"/>
    <w:rsid w:val="00A312BC"/>
    <w:rsid w:val="00A84021"/>
    <w:rsid w:val="00A84D35"/>
    <w:rsid w:val="00A917B3"/>
    <w:rsid w:val="00AB4B51"/>
    <w:rsid w:val="00B10CC7"/>
    <w:rsid w:val="00B36DF7"/>
    <w:rsid w:val="00B50F47"/>
    <w:rsid w:val="00B539E7"/>
    <w:rsid w:val="00B54E04"/>
    <w:rsid w:val="00B62458"/>
    <w:rsid w:val="00BC18B2"/>
    <w:rsid w:val="00BD33EE"/>
    <w:rsid w:val="00C106D6"/>
    <w:rsid w:val="00C60F0C"/>
    <w:rsid w:val="00C805C9"/>
    <w:rsid w:val="00C92939"/>
    <w:rsid w:val="00CA1679"/>
    <w:rsid w:val="00CB151C"/>
    <w:rsid w:val="00CE5A1A"/>
    <w:rsid w:val="00CF55F6"/>
    <w:rsid w:val="00D33D63"/>
    <w:rsid w:val="00D36B65"/>
    <w:rsid w:val="00D55C9D"/>
    <w:rsid w:val="00D90028"/>
    <w:rsid w:val="00D90138"/>
    <w:rsid w:val="00DB0902"/>
    <w:rsid w:val="00DD78D1"/>
    <w:rsid w:val="00DE32CD"/>
    <w:rsid w:val="00DF71B9"/>
    <w:rsid w:val="00E56168"/>
    <w:rsid w:val="00E61978"/>
    <w:rsid w:val="00E73F76"/>
    <w:rsid w:val="00EA2C9F"/>
    <w:rsid w:val="00EA420E"/>
    <w:rsid w:val="00ED0BDA"/>
    <w:rsid w:val="00EF1360"/>
    <w:rsid w:val="00EF3220"/>
    <w:rsid w:val="00F41C74"/>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0295D"/>
  <w15:docId w15:val="{575DE720-5943-4EFD-B144-A68C4ED3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0F2F61"/>
    <w:pPr>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Texto de nota al pie,Appel note de bas de page,Footnotes refss"/>
    <w:basedOn w:val="a0"/>
    <w:uiPriority w:val="99"/>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numbering" w:styleId="1ai">
    <w:name w:val="Outline List 1"/>
    <w:basedOn w:val="a2"/>
    <w:semiHidden/>
    <w:rsid w:val="00E56168"/>
    <w:pPr>
      <w:numPr>
        <w:numId w:val="22"/>
      </w:numPr>
    </w:pPr>
  </w:style>
  <w:style w:type="character" w:customStyle="1" w:styleId="SingleTxtGChar">
    <w:name w:val="_ Single Txt_G Char"/>
    <w:link w:val="SingleTxtG"/>
    <w:rsid w:val="00E5616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6</Pages>
  <Words>2757</Words>
  <Characters>15716</Characters>
  <Application>Microsoft Office Word</Application>
  <DocSecurity>0</DocSecurity>
  <Lines>130</Lines>
  <Paragraphs>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CED/C/17/2</vt:lpstr>
      <vt:lpstr>A/</vt:lpstr>
      <vt:lpstr>A/</vt:lpstr>
    </vt:vector>
  </TitlesOfParts>
  <Company>DCM</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CED/C/17/2</dc:title>
  <dc:subject/>
  <dc:creator>Marina KOROTKOVA</dc:creator>
  <cp:keywords/>
  <cp:lastModifiedBy>Tatiana Chvets</cp:lastModifiedBy>
  <cp:revision>3</cp:revision>
  <cp:lastPrinted>2019-11-28T09:54:00Z</cp:lastPrinted>
  <dcterms:created xsi:type="dcterms:W3CDTF">2019-11-28T09:54:00Z</dcterms:created>
  <dcterms:modified xsi:type="dcterms:W3CDTF">2019-11-28T09:55:00Z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