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A39C4" w:rsidRPr="00052360" w14:paraId="60226F7C" w14:textId="77777777" w:rsidTr="00B14033">
        <w:trPr>
          <w:trHeight w:hRule="exact" w:val="851"/>
        </w:trPr>
        <w:tc>
          <w:tcPr>
            <w:tcW w:w="1277" w:type="dxa"/>
            <w:tcBorders>
              <w:bottom w:val="single" w:sz="4" w:space="0" w:color="auto"/>
            </w:tcBorders>
          </w:tcPr>
          <w:p w14:paraId="43679251" w14:textId="77777777" w:rsidR="00AA39C4" w:rsidRPr="00735423" w:rsidRDefault="00AA39C4" w:rsidP="00B14033">
            <w:pPr>
              <w:rPr>
                <w:lang w:val="fr-FR"/>
              </w:rPr>
            </w:pPr>
          </w:p>
        </w:tc>
        <w:tc>
          <w:tcPr>
            <w:tcW w:w="2268" w:type="dxa"/>
            <w:tcBorders>
              <w:bottom w:val="single" w:sz="4" w:space="0" w:color="auto"/>
            </w:tcBorders>
            <w:vAlign w:val="bottom"/>
          </w:tcPr>
          <w:p w14:paraId="77651220" w14:textId="77777777" w:rsidR="00AA39C4" w:rsidRPr="00735423" w:rsidRDefault="00AA39C4" w:rsidP="00B14033">
            <w:pPr>
              <w:spacing w:after="80" w:line="300" w:lineRule="exact"/>
              <w:rPr>
                <w:sz w:val="28"/>
                <w:lang w:val="fr-FR"/>
              </w:rPr>
            </w:pPr>
            <w:r w:rsidRPr="00735423">
              <w:rPr>
                <w:sz w:val="28"/>
                <w:lang w:val="fr-FR"/>
              </w:rPr>
              <w:t>Nations Unies</w:t>
            </w:r>
          </w:p>
        </w:tc>
        <w:tc>
          <w:tcPr>
            <w:tcW w:w="6094" w:type="dxa"/>
            <w:gridSpan w:val="2"/>
            <w:tcBorders>
              <w:bottom w:val="single" w:sz="4" w:space="0" w:color="auto"/>
            </w:tcBorders>
            <w:vAlign w:val="bottom"/>
          </w:tcPr>
          <w:p w14:paraId="7B755A9F" w14:textId="0194F455" w:rsidR="00AA39C4" w:rsidRPr="00243D8F" w:rsidRDefault="00F53AC6" w:rsidP="008E5AC9">
            <w:pPr>
              <w:jc w:val="right"/>
              <w:rPr>
                <w:lang w:val="en-US"/>
              </w:rPr>
            </w:pPr>
            <w:r w:rsidRPr="00243D8F">
              <w:rPr>
                <w:sz w:val="40"/>
                <w:szCs w:val="40"/>
                <w:lang w:val="en-US"/>
              </w:rPr>
              <w:t>CED</w:t>
            </w:r>
            <w:r w:rsidR="001E5A68" w:rsidRPr="00243D8F">
              <w:rPr>
                <w:szCs w:val="40"/>
                <w:lang w:val="en-US"/>
              </w:rPr>
              <w:t>/C/</w:t>
            </w:r>
            <w:r w:rsidR="00097A16" w:rsidRPr="00243D8F">
              <w:rPr>
                <w:szCs w:val="40"/>
                <w:lang w:val="en-US"/>
              </w:rPr>
              <w:t>SEN</w:t>
            </w:r>
            <w:r w:rsidR="005E54DB" w:rsidRPr="00243D8F">
              <w:rPr>
                <w:szCs w:val="40"/>
                <w:lang w:val="en-US"/>
              </w:rPr>
              <w:t>/CO/1</w:t>
            </w:r>
          </w:p>
        </w:tc>
      </w:tr>
      <w:tr w:rsidR="00AA39C4" w:rsidRPr="00735423" w14:paraId="3EDACE57" w14:textId="77777777" w:rsidTr="00B14033">
        <w:trPr>
          <w:trHeight w:hRule="exact" w:val="2835"/>
        </w:trPr>
        <w:tc>
          <w:tcPr>
            <w:tcW w:w="1276" w:type="dxa"/>
            <w:tcBorders>
              <w:top w:val="single" w:sz="4" w:space="0" w:color="auto"/>
              <w:bottom w:val="single" w:sz="12" w:space="0" w:color="auto"/>
            </w:tcBorders>
          </w:tcPr>
          <w:p w14:paraId="241BCD47" w14:textId="77777777" w:rsidR="00AA39C4" w:rsidRPr="00735423" w:rsidRDefault="00EB703F" w:rsidP="00B14033">
            <w:pPr>
              <w:spacing w:before="120"/>
              <w:jc w:val="center"/>
              <w:rPr>
                <w:lang w:val="fr-FR"/>
              </w:rPr>
            </w:pPr>
            <w:r w:rsidRPr="001818DA">
              <w:rPr>
                <w:noProof/>
                <w:lang w:eastAsia="fr-CH"/>
              </w:rPr>
              <w:drawing>
                <wp:inline distT="0" distB="0" distL="0" distR="0" wp14:anchorId="31905126" wp14:editId="0885FEDE">
                  <wp:extent cx="690245" cy="56959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45" cy="5695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9EDF7A" w14:textId="77777777" w:rsidR="00AA39C4" w:rsidRPr="00735423" w:rsidRDefault="00AA39C4" w:rsidP="00B14033">
            <w:pPr>
              <w:spacing w:before="120" w:line="380" w:lineRule="exact"/>
              <w:rPr>
                <w:b/>
                <w:sz w:val="40"/>
                <w:szCs w:val="40"/>
                <w:lang w:val="fr-FR"/>
              </w:rPr>
            </w:pPr>
            <w:r w:rsidRPr="00735423">
              <w:rPr>
                <w:b/>
                <w:sz w:val="34"/>
                <w:szCs w:val="34"/>
                <w:lang w:val="fr-FR"/>
              </w:rPr>
              <w:t>Convention internationale pour la protection de toutes les personnes contre les disparitions forcées</w:t>
            </w:r>
          </w:p>
        </w:tc>
        <w:tc>
          <w:tcPr>
            <w:tcW w:w="2835" w:type="dxa"/>
            <w:tcBorders>
              <w:top w:val="single" w:sz="4" w:space="0" w:color="auto"/>
              <w:bottom w:val="single" w:sz="12" w:space="0" w:color="auto"/>
            </w:tcBorders>
          </w:tcPr>
          <w:p w14:paraId="3EF03E7C" w14:textId="4A6E0418" w:rsidR="00EB703F" w:rsidRPr="00243D8F" w:rsidRDefault="00AA39C4" w:rsidP="00B14033">
            <w:pPr>
              <w:suppressAutoHyphens w:val="0"/>
              <w:spacing w:before="240" w:line="240" w:lineRule="exact"/>
              <w:rPr>
                <w:lang w:val="fr-FR"/>
              </w:rPr>
            </w:pPr>
            <w:proofErr w:type="spellStart"/>
            <w:r w:rsidRPr="00243D8F">
              <w:rPr>
                <w:lang w:val="fr-FR"/>
              </w:rPr>
              <w:t>Distr</w:t>
            </w:r>
            <w:proofErr w:type="spellEnd"/>
            <w:r w:rsidRPr="00243D8F">
              <w:rPr>
                <w:lang w:val="fr-FR"/>
              </w:rPr>
              <w:t xml:space="preserve">. </w:t>
            </w:r>
            <w:r w:rsidR="008E5AC9">
              <w:rPr>
                <w:lang w:val="fr-FR"/>
              </w:rPr>
              <w:t>générale</w:t>
            </w:r>
          </w:p>
          <w:p w14:paraId="2199FBDB" w14:textId="15454378" w:rsidR="00F53AC6" w:rsidRPr="00735423" w:rsidRDefault="00B54A78" w:rsidP="00DE69D1">
            <w:pPr>
              <w:suppressAutoHyphens w:val="0"/>
              <w:rPr>
                <w:lang w:val="fr-FR"/>
              </w:rPr>
            </w:pPr>
            <w:r>
              <w:rPr>
                <w:lang w:val="fr-FR"/>
              </w:rPr>
              <w:t>1</w:t>
            </w:r>
            <w:r w:rsidR="00DE69D1">
              <w:rPr>
                <w:lang w:val="fr-FR"/>
              </w:rPr>
              <w:t>8</w:t>
            </w:r>
            <w:r w:rsidR="002E3C8E">
              <w:rPr>
                <w:lang w:val="fr-FR"/>
              </w:rPr>
              <w:t xml:space="preserve"> avril</w:t>
            </w:r>
            <w:r w:rsidR="00AA39C4" w:rsidRPr="00DC485D">
              <w:rPr>
                <w:lang w:val="fr-FR"/>
              </w:rPr>
              <w:t xml:space="preserve"> 201</w:t>
            </w:r>
            <w:r w:rsidR="009A1832" w:rsidRPr="00DC485D">
              <w:rPr>
                <w:lang w:val="fr-FR"/>
              </w:rPr>
              <w:t>7</w:t>
            </w:r>
          </w:p>
          <w:p w14:paraId="2B5FCE1C" w14:textId="77777777" w:rsidR="00EB703F" w:rsidRPr="00735423" w:rsidRDefault="00EB703F" w:rsidP="008B4E0E">
            <w:pPr>
              <w:suppressAutoHyphens w:val="0"/>
              <w:rPr>
                <w:lang w:val="fr-FR"/>
              </w:rPr>
            </w:pPr>
          </w:p>
          <w:p w14:paraId="1572E1F0" w14:textId="77777777" w:rsidR="00EB703F" w:rsidRDefault="00AA39C4" w:rsidP="000E6F6E">
            <w:pPr>
              <w:rPr>
                <w:lang w:val="fr-FR"/>
              </w:rPr>
            </w:pPr>
            <w:r w:rsidRPr="00735423">
              <w:rPr>
                <w:lang w:val="fr-FR"/>
              </w:rPr>
              <w:t>Original</w:t>
            </w:r>
            <w:r w:rsidR="00F62D5B">
              <w:rPr>
                <w:lang w:val="fr-FR"/>
              </w:rPr>
              <w:t> </w:t>
            </w:r>
            <w:r w:rsidRPr="00735423">
              <w:rPr>
                <w:lang w:val="fr-FR"/>
              </w:rPr>
              <w:t>: français</w:t>
            </w:r>
          </w:p>
          <w:p w14:paraId="73527EE3" w14:textId="6823AA10" w:rsidR="00A8217C" w:rsidRPr="00735423" w:rsidRDefault="00A8217C" w:rsidP="00CE1425">
            <w:pPr>
              <w:rPr>
                <w:lang w:val="fr-FR"/>
              </w:rPr>
            </w:pPr>
          </w:p>
        </w:tc>
      </w:tr>
    </w:tbl>
    <w:p w14:paraId="6B2AAD74" w14:textId="77777777" w:rsidR="007423FE" w:rsidRPr="00243D8F" w:rsidRDefault="00AA39C4" w:rsidP="001818DA">
      <w:pPr>
        <w:spacing w:before="120"/>
        <w:rPr>
          <w:b/>
          <w:sz w:val="24"/>
          <w:szCs w:val="24"/>
          <w:lang w:val="fr-FR"/>
        </w:rPr>
      </w:pPr>
      <w:r w:rsidRPr="00243D8F">
        <w:rPr>
          <w:b/>
          <w:sz w:val="24"/>
          <w:szCs w:val="24"/>
          <w:lang w:val="fr-FR"/>
        </w:rPr>
        <w:t>Comité des disparitions forcées</w:t>
      </w:r>
    </w:p>
    <w:p w14:paraId="5F4D30C7" w14:textId="74666E9B" w:rsidR="00A8217C" w:rsidRPr="00782F2D" w:rsidRDefault="00AA39C4" w:rsidP="00782F2D">
      <w:pPr>
        <w:pStyle w:val="HChG"/>
        <w:rPr>
          <w:lang w:val="fr-FR"/>
        </w:rPr>
      </w:pPr>
      <w:r w:rsidRPr="00243D8F">
        <w:tab/>
      </w:r>
      <w:r w:rsidRPr="00243D8F">
        <w:tab/>
      </w:r>
      <w:r w:rsidRPr="00735423">
        <w:rPr>
          <w:lang w:val="fr-FR"/>
        </w:rPr>
        <w:t>Observations finales concernant le r</w:t>
      </w:r>
      <w:r w:rsidR="001E5A68" w:rsidRPr="00735423">
        <w:rPr>
          <w:lang w:val="fr-FR"/>
        </w:rPr>
        <w:t xml:space="preserve">apport soumis par le </w:t>
      </w:r>
      <w:r w:rsidR="00097A16">
        <w:rPr>
          <w:lang w:val="fr-FR"/>
        </w:rPr>
        <w:t>Sénégal</w:t>
      </w:r>
      <w:r w:rsidRPr="00735423">
        <w:rPr>
          <w:lang w:val="fr-FR"/>
        </w:rPr>
        <w:t xml:space="preserve"> en application du paragraphe 1 de l</w:t>
      </w:r>
      <w:r w:rsidR="00F53AC6" w:rsidRPr="00735423">
        <w:rPr>
          <w:lang w:val="fr-FR"/>
        </w:rPr>
        <w:t>’</w:t>
      </w:r>
      <w:r w:rsidRPr="00735423">
        <w:rPr>
          <w:lang w:val="fr-FR"/>
        </w:rPr>
        <w:t xml:space="preserve">article 29 </w:t>
      </w:r>
      <w:r w:rsidR="00DE69D1">
        <w:rPr>
          <w:lang w:val="fr-FR"/>
        </w:rPr>
        <w:br/>
      </w:r>
      <w:r w:rsidRPr="00735423">
        <w:rPr>
          <w:lang w:val="fr-FR"/>
        </w:rPr>
        <w:t>de</w:t>
      </w:r>
      <w:r w:rsidR="004707E4" w:rsidRPr="00735423">
        <w:rPr>
          <w:lang w:val="fr-FR"/>
        </w:rPr>
        <w:t xml:space="preserve"> </w:t>
      </w:r>
      <w:r w:rsidRPr="00735423">
        <w:rPr>
          <w:lang w:val="fr-FR"/>
        </w:rPr>
        <w:t>la Convention</w:t>
      </w:r>
      <w:r w:rsidR="00EB703F" w:rsidRPr="001818DA">
        <w:rPr>
          <w:rStyle w:val="Appelnotedebasdep"/>
          <w:b w:val="0"/>
          <w:bCs/>
          <w:sz w:val="20"/>
          <w:vertAlign w:val="baseline"/>
          <w:lang w:val="fr-FR"/>
        </w:rPr>
        <w:footnoteReference w:customMarkFollows="1" w:id="2"/>
        <w:t>*</w:t>
      </w:r>
    </w:p>
    <w:p w14:paraId="2F552307" w14:textId="5061BF29" w:rsidR="00DD4CB0" w:rsidRPr="00735423" w:rsidRDefault="00B12B59" w:rsidP="00B12B59">
      <w:pPr>
        <w:pStyle w:val="SingleTxtG"/>
        <w:rPr>
          <w:lang w:val="fr-FR"/>
        </w:rPr>
      </w:pPr>
      <w:r w:rsidRPr="00735423">
        <w:rPr>
          <w:lang w:val="fr-FR"/>
        </w:rPr>
        <w:t>1.</w:t>
      </w:r>
      <w:r w:rsidRPr="00735423">
        <w:rPr>
          <w:lang w:val="fr-FR"/>
        </w:rPr>
        <w:tab/>
      </w:r>
      <w:r w:rsidR="00DD4CB0" w:rsidRPr="00735423">
        <w:rPr>
          <w:rStyle w:val="SingleTxtGCar"/>
          <w:lang w:val="fr-FR"/>
        </w:rPr>
        <w:t xml:space="preserve">Le Comité des disparitions forcées a examiné le rapport soumis par </w:t>
      </w:r>
      <w:r w:rsidR="00DD4CB0" w:rsidRPr="00450561">
        <w:rPr>
          <w:rStyle w:val="SingleTxtGCar"/>
          <w:lang w:val="fr-FR"/>
        </w:rPr>
        <w:t>le Sénégal en application du paragraphe 1 de l’article 29 de la Convention (CED/C/SEN/1), à ses 201</w:t>
      </w:r>
      <w:r w:rsidR="00DD4CB0" w:rsidRPr="00450561">
        <w:rPr>
          <w:rStyle w:val="SingleTxtGCar"/>
          <w:vertAlign w:val="superscript"/>
          <w:lang w:val="fr-FR"/>
        </w:rPr>
        <w:t>e</w:t>
      </w:r>
      <w:r w:rsidR="00DD4CB0" w:rsidRPr="00450561">
        <w:rPr>
          <w:rStyle w:val="SingleTxtGCar"/>
          <w:lang w:val="fr-FR"/>
        </w:rPr>
        <w:t xml:space="preserve"> et 202</w:t>
      </w:r>
      <w:r w:rsidR="00DD4CB0" w:rsidRPr="00450561">
        <w:rPr>
          <w:rStyle w:val="SingleTxtGCar"/>
          <w:vertAlign w:val="superscript"/>
          <w:lang w:val="fr-FR"/>
        </w:rPr>
        <w:t>e</w:t>
      </w:r>
      <w:r w:rsidR="00DD4CB0" w:rsidRPr="00450561">
        <w:rPr>
          <w:rStyle w:val="SingleTxtGCar"/>
          <w:lang w:val="fr-FR"/>
        </w:rPr>
        <w:t xml:space="preserve"> séa</w:t>
      </w:r>
      <w:r w:rsidR="00DD4CB0" w:rsidRPr="00E573D7">
        <w:rPr>
          <w:rStyle w:val="SingleTxtGCar"/>
          <w:lang w:val="fr-FR"/>
        </w:rPr>
        <w:t>nces (CED/C/SR</w:t>
      </w:r>
      <w:r w:rsidR="00DD4CB0" w:rsidRPr="00F83371">
        <w:rPr>
          <w:rStyle w:val="SingleTxtGCar"/>
          <w:lang w:val="fr-FR"/>
        </w:rPr>
        <w:t xml:space="preserve">.201 et </w:t>
      </w:r>
      <w:r w:rsidR="00DD4CB0">
        <w:rPr>
          <w:rStyle w:val="SingleTxtGCar"/>
          <w:lang w:val="fr-FR"/>
        </w:rPr>
        <w:t>202</w:t>
      </w:r>
      <w:r w:rsidR="00DD4CB0" w:rsidRPr="00E573D7">
        <w:rPr>
          <w:rStyle w:val="SingleTxtGCar"/>
          <w:lang w:val="fr-FR"/>
        </w:rPr>
        <w:t xml:space="preserve">), les </w:t>
      </w:r>
      <w:r w:rsidR="00DD4CB0">
        <w:rPr>
          <w:rStyle w:val="SingleTxtGCar"/>
          <w:lang w:val="fr-FR"/>
        </w:rPr>
        <w:t>7 et 8</w:t>
      </w:r>
      <w:r w:rsidR="00DD4CB0" w:rsidRPr="00E573D7">
        <w:rPr>
          <w:rStyle w:val="SingleTxtGCar"/>
          <w:lang w:val="fr-FR"/>
        </w:rPr>
        <w:t xml:space="preserve"> </w:t>
      </w:r>
      <w:r w:rsidR="00DD4CB0">
        <w:rPr>
          <w:rStyle w:val="SingleTxtGCar"/>
          <w:lang w:val="fr-FR"/>
        </w:rPr>
        <w:t>mars 2017</w:t>
      </w:r>
      <w:r w:rsidR="00DD4CB0" w:rsidRPr="00E573D7">
        <w:rPr>
          <w:rStyle w:val="SingleTxtGCar"/>
          <w:lang w:val="fr-FR"/>
        </w:rPr>
        <w:t xml:space="preserve">. </w:t>
      </w:r>
      <w:r w:rsidR="00DD4CB0" w:rsidRPr="00450561">
        <w:rPr>
          <w:rStyle w:val="SingleTxtGCar"/>
          <w:lang w:val="fr-FR"/>
        </w:rPr>
        <w:t>À sa 212</w:t>
      </w:r>
      <w:r w:rsidR="00DD4CB0" w:rsidRPr="00450561">
        <w:rPr>
          <w:rStyle w:val="SingleTxtGCar"/>
          <w:vertAlign w:val="superscript"/>
          <w:lang w:val="fr-FR"/>
        </w:rPr>
        <w:t>e</w:t>
      </w:r>
      <w:r w:rsidR="00DD4CB0" w:rsidRPr="00450561">
        <w:rPr>
          <w:rStyle w:val="SingleTxtGCar"/>
          <w:lang w:val="fr-FR"/>
        </w:rPr>
        <w:t> séance</w:t>
      </w:r>
      <w:r w:rsidR="00DD4CB0" w:rsidRPr="00E573D7">
        <w:rPr>
          <w:rStyle w:val="SingleTxtGCar"/>
          <w:lang w:val="fr-FR"/>
        </w:rPr>
        <w:t xml:space="preserve">, le </w:t>
      </w:r>
      <w:r w:rsidR="00DD4CB0">
        <w:rPr>
          <w:rStyle w:val="SingleTxtGCar"/>
          <w:lang w:val="fr-FR"/>
        </w:rPr>
        <w:t>15</w:t>
      </w:r>
      <w:r w:rsidR="00DD4CB0" w:rsidRPr="00E573D7">
        <w:rPr>
          <w:rStyle w:val="SingleTxtGCar"/>
          <w:lang w:val="fr-FR"/>
        </w:rPr>
        <w:t xml:space="preserve"> mars</w:t>
      </w:r>
      <w:r w:rsidR="00DD4CB0">
        <w:rPr>
          <w:rStyle w:val="SingleTxtGCar"/>
          <w:lang w:val="fr-FR"/>
        </w:rPr>
        <w:t xml:space="preserve"> 2017</w:t>
      </w:r>
      <w:r w:rsidR="00DD4CB0" w:rsidRPr="00E573D7">
        <w:rPr>
          <w:rStyle w:val="SingleTxtGCar"/>
          <w:lang w:val="fr-FR"/>
        </w:rPr>
        <w:t>, il</w:t>
      </w:r>
      <w:r w:rsidR="00DD4CB0" w:rsidRPr="00735423">
        <w:rPr>
          <w:rStyle w:val="SingleTxtGCar"/>
          <w:lang w:val="fr-FR"/>
        </w:rPr>
        <w:t xml:space="preserve"> a adopté les observations finales ci-après</w:t>
      </w:r>
      <w:r w:rsidR="00DD4CB0" w:rsidRPr="00735423">
        <w:rPr>
          <w:lang w:val="fr-FR"/>
        </w:rPr>
        <w:t>.</w:t>
      </w:r>
    </w:p>
    <w:p w14:paraId="702D8A1F" w14:textId="77777777" w:rsidR="001C30A8" w:rsidRPr="00735423" w:rsidRDefault="001C30A8" w:rsidP="000B0480">
      <w:pPr>
        <w:pStyle w:val="H1G"/>
        <w:rPr>
          <w:lang w:val="fr-FR"/>
        </w:rPr>
      </w:pPr>
      <w:r w:rsidRPr="00735423">
        <w:rPr>
          <w:lang w:val="fr-FR"/>
        </w:rPr>
        <w:tab/>
        <w:t>A.</w:t>
      </w:r>
      <w:r w:rsidRPr="00735423">
        <w:rPr>
          <w:lang w:val="fr-FR"/>
        </w:rPr>
        <w:tab/>
        <w:t>Introduction</w:t>
      </w:r>
    </w:p>
    <w:p w14:paraId="1E18CB83" w14:textId="1B70C5D2" w:rsidR="001C30A8" w:rsidRPr="001818DA" w:rsidRDefault="00B12B59" w:rsidP="00B12B59">
      <w:pPr>
        <w:pStyle w:val="SingleTxtG"/>
        <w:rPr>
          <w:lang w:val="fr-FR"/>
        </w:rPr>
      </w:pPr>
      <w:r w:rsidRPr="001818DA">
        <w:rPr>
          <w:lang w:val="fr-FR"/>
        </w:rPr>
        <w:t>2.</w:t>
      </w:r>
      <w:r w:rsidRPr="001818DA">
        <w:rPr>
          <w:lang w:val="fr-FR"/>
        </w:rPr>
        <w:tab/>
      </w:r>
      <w:r w:rsidR="001C30A8" w:rsidRPr="00735423">
        <w:rPr>
          <w:rStyle w:val="SingleTxtGCar"/>
          <w:rFonts w:eastAsia="Calibri"/>
          <w:lang w:val="fr-FR"/>
        </w:rPr>
        <w:t xml:space="preserve">Le Comité accueille avec satisfaction </w:t>
      </w:r>
      <w:r w:rsidR="005D281B">
        <w:rPr>
          <w:rStyle w:val="SingleTxtGCar"/>
          <w:rFonts w:eastAsia="Calibri"/>
          <w:lang w:val="fr-FR"/>
        </w:rPr>
        <w:t>le</w:t>
      </w:r>
      <w:r w:rsidR="00992A9F">
        <w:rPr>
          <w:rStyle w:val="SingleTxtGCar"/>
          <w:rFonts w:eastAsia="Calibri"/>
          <w:lang w:val="fr-FR"/>
        </w:rPr>
        <w:t xml:space="preserve"> rapport </w:t>
      </w:r>
      <w:r w:rsidR="00277645">
        <w:rPr>
          <w:rStyle w:val="SingleTxtGCar"/>
          <w:rFonts w:eastAsia="Calibri"/>
          <w:lang w:val="fr-FR"/>
        </w:rPr>
        <w:t xml:space="preserve">présenté </w:t>
      </w:r>
      <w:r w:rsidR="00363C7A">
        <w:rPr>
          <w:rStyle w:val="SingleTxtGCar"/>
          <w:rFonts w:eastAsia="Calibri"/>
          <w:lang w:val="fr-FR"/>
        </w:rPr>
        <w:t xml:space="preserve">par le </w:t>
      </w:r>
      <w:r w:rsidR="00992A9F">
        <w:rPr>
          <w:rStyle w:val="SingleTxtGCar"/>
          <w:rFonts w:eastAsia="Calibri"/>
          <w:lang w:val="fr-FR"/>
        </w:rPr>
        <w:t xml:space="preserve">Sénégal </w:t>
      </w:r>
      <w:r w:rsidR="001C30A8" w:rsidRPr="00735423">
        <w:rPr>
          <w:rStyle w:val="SingleTxtGCar"/>
          <w:rFonts w:eastAsia="Calibri"/>
          <w:lang w:val="fr-FR"/>
        </w:rPr>
        <w:t>en application du paragraphe 1</w:t>
      </w:r>
      <w:r w:rsidR="00082331" w:rsidRPr="00B12B59">
        <w:rPr>
          <w:rStyle w:val="SingleTxtGCar"/>
          <w:rFonts w:eastAsia="Calibri"/>
          <w:lang w:val="fr-FR"/>
        </w:rPr>
        <w:t xml:space="preserve"> </w:t>
      </w:r>
      <w:r w:rsidR="001C30A8" w:rsidRPr="00735423">
        <w:rPr>
          <w:rStyle w:val="SingleTxtGCar"/>
          <w:rFonts w:eastAsia="Calibri"/>
          <w:lang w:val="fr-FR"/>
        </w:rPr>
        <w:t xml:space="preserve">de l’article 29 </w:t>
      </w:r>
      <w:r w:rsidR="001C30A8" w:rsidRPr="00735423">
        <w:rPr>
          <w:rStyle w:val="SingleTxtGCar"/>
          <w:lang w:val="fr-FR"/>
        </w:rPr>
        <w:t>de</w:t>
      </w:r>
      <w:r w:rsidR="001C30A8" w:rsidRPr="00735423">
        <w:rPr>
          <w:rStyle w:val="SingleTxtGCar"/>
          <w:rFonts w:eastAsia="Calibri"/>
          <w:lang w:val="fr-FR"/>
        </w:rPr>
        <w:t xml:space="preserve"> la Convention, </w:t>
      </w:r>
      <w:r w:rsidR="001C30A8" w:rsidRPr="001818DA">
        <w:rPr>
          <w:spacing w:val="-2"/>
          <w:szCs w:val="24"/>
          <w:lang w:val="fr-FR"/>
        </w:rPr>
        <w:t>ainsi que</w:t>
      </w:r>
      <w:r w:rsidR="001C30A8" w:rsidRPr="00735423">
        <w:rPr>
          <w:rStyle w:val="SingleTxtGCar"/>
          <w:rFonts w:eastAsia="Calibri"/>
          <w:lang w:val="fr-FR"/>
        </w:rPr>
        <w:t xml:space="preserve"> les informations qui y figurent. </w:t>
      </w:r>
      <w:r w:rsidR="00421F15">
        <w:t>Il se félicite du dialogue constructif qu’il a eu avec la délégation de l’État partie sur les mesures prises pour appliquer les dispositions de la Convention</w:t>
      </w:r>
      <w:r w:rsidR="001C30A8" w:rsidRPr="00735423">
        <w:rPr>
          <w:rStyle w:val="SingleTxtGCar"/>
          <w:rFonts w:eastAsia="Calibri"/>
          <w:lang w:val="fr-FR"/>
        </w:rPr>
        <w:t xml:space="preserve">. </w:t>
      </w:r>
      <w:r w:rsidR="001C30A8" w:rsidRPr="005C0BE5">
        <w:rPr>
          <w:rStyle w:val="SingleTxtGCar"/>
          <w:rFonts w:eastAsia="Calibri"/>
          <w:lang w:val="fr-FR"/>
        </w:rPr>
        <w:t>Le Comité remercie en</w:t>
      </w:r>
      <w:r w:rsidR="004707E4" w:rsidRPr="005C0BE5">
        <w:rPr>
          <w:rStyle w:val="SingleTxtGCar"/>
          <w:rFonts w:eastAsia="Calibri"/>
          <w:lang w:val="fr-FR"/>
        </w:rPr>
        <w:t xml:space="preserve"> </w:t>
      </w:r>
      <w:r w:rsidR="001C30A8" w:rsidRPr="005C0BE5">
        <w:rPr>
          <w:rStyle w:val="SingleTxtGCar"/>
          <w:rFonts w:eastAsia="Calibri"/>
          <w:lang w:val="fr-FR"/>
        </w:rPr>
        <w:t xml:space="preserve">outre l’État partie </w:t>
      </w:r>
      <w:r w:rsidR="00E0650F" w:rsidRPr="005C0BE5">
        <w:rPr>
          <w:rStyle w:val="SingleTxtGCar"/>
          <w:rFonts w:eastAsia="Calibri"/>
          <w:lang w:val="fr-FR"/>
        </w:rPr>
        <w:t>pour</w:t>
      </w:r>
      <w:r w:rsidR="001C30A8" w:rsidRPr="005C0BE5">
        <w:rPr>
          <w:rStyle w:val="SingleTxtGCar"/>
          <w:rFonts w:eastAsia="Calibri"/>
          <w:lang w:val="fr-FR"/>
        </w:rPr>
        <w:t xml:space="preserve"> ses réponses écrites </w:t>
      </w:r>
      <w:r w:rsidR="0028015C" w:rsidRPr="005C0BE5">
        <w:rPr>
          <w:rStyle w:val="SingleTxtGCar"/>
          <w:rFonts w:eastAsia="Calibri"/>
          <w:lang w:val="fr-FR"/>
        </w:rPr>
        <w:t>(CED/C/SEN</w:t>
      </w:r>
      <w:r w:rsidR="001C30A8" w:rsidRPr="005C0BE5">
        <w:rPr>
          <w:rStyle w:val="SingleTxtGCar"/>
          <w:rFonts w:eastAsia="Calibri"/>
          <w:lang w:val="fr-FR"/>
        </w:rPr>
        <w:t xml:space="preserve">/Q/1/Add.1) </w:t>
      </w:r>
      <w:r w:rsidR="0028015C" w:rsidRPr="005C0BE5">
        <w:rPr>
          <w:rStyle w:val="SingleTxtGCar"/>
          <w:rFonts w:eastAsia="Calibri"/>
          <w:lang w:val="fr-FR"/>
        </w:rPr>
        <w:t>à la liste de points (CED/C/SEN</w:t>
      </w:r>
      <w:r w:rsidR="005C0BE5">
        <w:rPr>
          <w:rStyle w:val="SingleTxtGCar"/>
          <w:rFonts w:eastAsia="Calibri"/>
          <w:lang w:val="fr-FR"/>
        </w:rPr>
        <w:t xml:space="preserve">/Q/1) ainsi que pour </w:t>
      </w:r>
      <w:r w:rsidR="005C0BE5" w:rsidRPr="005C0BE5">
        <w:rPr>
          <w:rStyle w:val="SingleTxtGCar"/>
          <w:rFonts w:eastAsia="Calibri"/>
          <w:lang w:val="fr-FR"/>
        </w:rPr>
        <w:t>les i</w:t>
      </w:r>
      <w:r w:rsidR="001C30A8" w:rsidRPr="005C0BE5">
        <w:rPr>
          <w:rStyle w:val="SingleTxtGCar"/>
          <w:rFonts w:eastAsia="Calibri"/>
          <w:lang w:val="fr-FR"/>
        </w:rPr>
        <w:t>nterventions orales de la délégation</w:t>
      </w:r>
      <w:r w:rsidR="00635DA4">
        <w:rPr>
          <w:rStyle w:val="SingleTxtGCar"/>
          <w:rFonts w:eastAsia="Calibri"/>
          <w:lang w:val="fr-FR"/>
        </w:rPr>
        <w:t>.</w:t>
      </w:r>
    </w:p>
    <w:p w14:paraId="38442AFF" w14:textId="77777777" w:rsidR="001E5A68" w:rsidRPr="0036263A" w:rsidRDefault="00D907D2">
      <w:pPr>
        <w:pStyle w:val="H1G"/>
        <w:rPr>
          <w:rStyle w:val="SingleTxtGCar"/>
        </w:rPr>
      </w:pPr>
      <w:r w:rsidRPr="00735423">
        <w:rPr>
          <w:sz w:val="28"/>
          <w:szCs w:val="28"/>
          <w:lang w:val="fr-FR"/>
        </w:rPr>
        <w:tab/>
      </w:r>
      <w:r w:rsidR="001E5A68" w:rsidRPr="001818DA">
        <w:t>B.</w:t>
      </w:r>
      <w:r w:rsidR="00B65823" w:rsidRPr="001818DA">
        <w:tab/>
      </w:r>
      <w:r w:rsidR="001E5A68" w:rsidRPr="0036263A">
        <w:t>Aspects positifs</w:t>
      </w:r>
    </w:p>
    <w:p w14:paraId="2A323A47" w14:textId="752B5BE1" w:rsidR="001E5A68" w:rsidRPr="0036263A" w:rsidRDefault="00B12B59" w:rsidP="00B12B59">
      <w:pPr>
        <w:pStyle w:val="SingleTxtG"/>
        <w:rPr>
          <w:lang w:val="fr-FR"/>
        </w:rPr>
      </w:pPr>
      <w:r w:rsidRPr="0036263A">
        <w:rPr>
          <w:lang w:val="fr-FR"/>
        </w:rPr>
        <w:t>3.</w:t>
      </w:r>
      <w:r w:rsidRPr="0036263A">
        <w:rPr>
          <w:lang w:val="fr-FR"/>
        </w:rPr>
        <w:tab/>
      </w:r>
      <w:r w:rsidR="001E5A68" w:rsidRPr="0036263A">
        <w:rPr>
          <w:rStyle w:val="SingleTxtGCar"/>
          <w:lang w:val="fr-FR"/>
        </w:rPr>
        <w:t>Le Comité félicite l’État partie d’avoir ratifié la quasi-totalité des principaux instruments des Nations Unies relatifs aux droits de l’homme ainsi que le Statut de Rome de la Cour pénale internationale</w:t>
      </w:r>
      <w:r w:rsidR="0076273E">
        <w:rPr>
          <w:rStyle w:val="SingleTxtGCar"/>
          <w:lang w:val="fr-FR"/>
        </w:rPr>
        <w:t>.</w:t>
      </w:r>
    </w:p>
    <w:p w14:paraId="63F26DC3" w14:textId="5B876B47" w:rsidR="0085626D" w:rsidRPr="0036263A" w:rsidRDefault="00B12B59" w:rsidP="00B12B59">
      <w:pPr>
        <w:pStyle w:val="SingleTxtG"/>
        <w:rPr>
          <w:lang w:val="fr-FR"/>
        </w:rPr>
      </w:pPr>
      <w:r w:rsidRPr="0036263A">
        <w:rPr>
          <w:lang w:val="fr-FR"/>
        </w:rPr>
        <w:t>4.</w:t>
      </w:r>
      <w:r w:rsidRPr="0036263A">
        <w:rPr>
          <w:lang w:val="fr-FR"/>
        </w:rPr>
        <w:tab/>
      </w:r>
      <w:r w:rsidR="0085626D" w:rsidRPr="0036263A">
        <w:rPr>
          <w:lang w:val="fr-FR"/>
        </w:rPr>
        <w:t xml:space="preserve">Le Comité note avec appréciation </w:t>
      </w:r>
      <w:r w:rsidR="00C77D7D" w:rsidRPr="0036263A">
        <w:rPr>
          <w:lang w:val="fr-FR"/>
        </w:rPr>
        <w:t xml:space="preserve">les mesures législatives et institutionnelles adoptées </w:t>
      </w:r>
      <w:r w:rsidR="005D281B">
        <w:rPr>
          <w:lang w:val="fr-FR"/>
        </w:rPr>
        <w:t>p</w:t>
      </w:r>
      <w:r w:rsidR="00B54A78">
        <w:rPr>
          <w:lang w:val="fr-FR"/>
        </w:rPr>
        <w:t>ar</w:t>
      </w:r>
      <w:r w:rsidR="005D281B" w:rsidRPr="0036263A">
        <w:rPr>
          <w:lang w:val="fr-FR"/>
        </w:rPr>
        <w:t xml:space="preserve"> </w:t>
      </w:r>
      <w:r w:rsidR="00C77D7D" w:rsidRPr="0036263A">
        <w:rPr>
          <w:lang w:val="fr-FR"/>
        </w:rPr>
        <w:t xml:space="preserve">l’État partie dans </w:t>
      </w:r>
      <w:r w:rsidR="008D0725">
        <w:rPr>
          <w:lang w:val="fr-FR"/>
        </w:rPr>
        <w:t xml:space="preserve">des </w:t>
      </w:r>
      <w:r w:rsidR="00C77D7D" w:rsidRPr="0036263A">
        <w:rPr>
          <w:lang w:val="fr-FR"/>
        </w:rPr>
        <w:t>domaines intéressant la Convention, notamment</w:t>
      </w:r>
      <w:r w:rsidR="003C2D90">
        <w:rPr>
          <w:lang w:val="fr-FR"/>
        </w:rPr>
        <w:t> </w:t>
      </w:r>
      <w:r w:rsidR="00E92B70" w:rsidRPr="0036263A">
        <w:rPr>
          <w:lang w:val="fr-FR"/>
        </w:rPr>
        <w:t>:</w:t>
      </w:r>
    </w:p>
    <w:p w14:paraId="6669C5FA" w14:textId="00405B1C" w:rsidR="00AC537B" w:rsidRPr="00E13683" w:rsidRDefault="00CE1425" w:rsidP="00873D46">
      <w:pPr>
        <w:pStyle w:val="SingleTxtG"/>
      </w:pPr>
      <w:r>
        <w:rPr>
          <w:lang w:val="fr-FR"/>
        </w:rPr>
        <w:tab/>
      </w:r>
      <w:r w:rsidR="00E92B70" w:rsidRPr="0036263A">
        <w:rPr>
          <w:lang w:val="fr-FR"/>
        </w:rPr>
        <w:t>a)</w:t>
      </w:r>
      <w:r w:rsidR="00E92B70" w:rsidRPr="0036263A">
        <w:rPr>
          <w:lang w:val="fr-FR"/>
        </w:rPr>
        <w:tab/>
      </w:r>
      <w:r w:rsidR="00AC537B">
        <w:rPr>
          <w:lang w:val="fr-FR"/>
        </w:rPr>
        <w:t>L’adoption par l’Assemblée nationale</w:t>
      </w:r>
      <w:r w:rsidR="003A001A">
        <w:rPr>
          <w:lang w:val="fr-FR"/>
        </w:rPr>
        <w:t>,</w:t>
      </w:r>
      <w:r w:rsidR="00AC537B">
        <w:rPr>
          <w:lang w:val="fr-FR"/>
        </w:rPr>
        <w:t xml:space="preserve"> le 28 octobre 2016</w:t>
      </w:r>
      <w:r w:rsidR="003A001A">
        <w:rPr>
          <w:lang w:val="fr-FR"/>
        </w:rPr>
        <w:t>,</w:t>
      </w:r>
      <w:r w:rsidR="00AC537B">
        <w:rPr>
          <w:lang w:val="fr-FR"/>
        </w:rPr>
        <w:t xml:space="preserve"> d’un projet de loi modifiant la loi n</w:t>
      </w:r>
      <w:r w:rsidR="00D95BCC" w:rsidRPr="00B12B59">
        <w:rPr>
          <w:vertAlign w:val="superscript"/>
          <w:lang w:eastAsia="en-GB"/>
        </w:rPr>
        <w:t>o</w:t>
      </w:r>
      <w:r w:rsidR="00D95BCC">
        <w:rPr>
          <w:lang w:eastAsia="en-GB"/>
        </w:rPr>
        <w:t> </w:t>
      </w:r>
      <w:r w:rsidR="00AC537B">
        <w:rPr>
          <w:lang w:val="fr-FR"/>
        </w:rPr>
        <w:t>65-61 du 21 juillet 1965 portant Code de procédure pénale instituant</w:t>
      </w:r>
      <w:r w:rsidR="00E13683">
        <w:rPr>
          <w:lang w:val="fr-FR"/>
        </w:rPr>
        <w:t xml:space="preserve">, entre autres, </w:t>
      </w:r>
      <w:r w:rsidR="00AC537B">
        <w:rPr>
          <w:lang w:val="fr-FR"/>
        </w:rPr>
        <w:t xml:space="preserve">la présence de l’avocat dès </w:t>
      </w:r>
      <w:r w:rsidR="00207548">
        <w:rPr>
          <w:lang w:val="fr-FR"/>
        </w:rPr>
        <w:t>le début de la garde à vue</w:t>
      </w:r>
      <w:r w:rsidR="003C2D90">
        <w:rPr>
          <w:lang w:val="fr-FR"/>
        </w:rPr>
        <w:t> </w:t>
      </w:r>
      <w:r w:rsidR="00363DCD">
        <w:rPr>
          <w:lang w:val="fr-FR"/>
        </w:rPr>
        <w:t>;</w:t>
      </w:r>
      <w:r w:rsidR="0062678B">
        <w:rPr>
          <w:lang w:val="fr-FR"/>
        </w:rPr>
        <w:t xml:space="preserve"> </w:t>
      </w:r>
    </w:p>
    <w:p w14:paraId="02DCF67E" w14:textId="0B1D6293" w:rsidR="00207548" w:rsidRDefault="00CE1425" w:rsidP="00873D46">
      <w:pPr>
        <w:pStyle w:val="SingleTxtG"/>
        <w:rPr>
          <w:lang w:eastAsia="en-GB"/>
        </w:rPr>
      </w:pPr>
      <w:r>
        <w:tab/>
      </w:r>
      <w:r w:rsidR="00A67B6D">
        <w:t>b</w:t>
      </w:r>
      <w:r w:rsidR="0075740E" w:rsidRPr="0036263A">
        <w:t>)</w:t>
      </w:r>
      <w:r w:rsidR="0075740E" w:rsidRPr="0036263A">
        <w:tab/>
      </w:r>
      <w:r w:rsidR="00363C7A" w:rsidRPr="0036263A">
        <w:t>La mise en place, par l</w:t>
      </w:r>
      <w:r w:rsidR="0075740E" w:rsidRPr="0036263A">
        <w:t>a</w:t>
      </w:r>
      <w:r w:rsidR="0075740E" w:rsidRPr="0036263A">
        <w:rPr>
          <w:lang w:eastAsia="en-GB"/>
        </w:rPr>
        <w:t xml:space="preserve"> loi n</w:t>
      </w:r>
      <w:r w:rsidR="00D95BCC" w:rsidRPr="00B12B59">
        <w:rPr>
          <w:vertAlign w:val="superscript"/>
          <w:lang w:eastAsia="en-GB"/>
        </w:rPr>
        <w:t>o</w:t>
      </w:r>
      <w:r w:rsidR="00D95BCC">
        <w:rPr>
          <w:lang w:eastAsia="en-GB"/>
        </w:rPr>
        <w:t> </w:t>
      </w:r>
      <w:r w:rsidR="0075740E" w:rsidRPr="0036263A">
        <w:rPr>
          <w:lang w:eastAsia="en-GB"/>
        </w:rPr>
        <w:t>2009-13 du 2 mars 2009</w:t>
      </w:r>
      <w:r w:rsidR="00363C7A" w:rsidRPr="0036263A">
        <w:rPr>
          <w:lang w:eastAsia="en-GB"/>
        </w:rPr>
        <w:t>, de</w:t>
      </w:r>
      <w:r w:rsidR="0075740E" w:rsidRPr="0036263A">
        <w:rPr>
          <w:lang w:eastAsia="en-GB"/>
        </w:rPr>
        <w:t xml:space="preserve"> l’Observatoire national des lieux de privation de liberté en tant que mécanisme national de prévention </w:t>
      </w:r>
      <w:r w:rsidR="00363C7A" w:rsidRPr="0036263A">
        <w:rPr>
          <w:lang w:eastAsia="en-GB"/>
        </w:rPr>
        <w:t>de la torture</w:t>
      </w:r>
      <w:r w:rsidR="00DD5B0E">
        <w:rPr>
          <w:lang w:eastAsia="en-GB"/>
        </w:rPr>
        <w:t>.</w:t>
      </w:r>
    </w:p>
    <w:p w14:paraId="71E8FE1C" w14:textId="41830C9B" w:rsidR="00D67E4F" w:rsidRDefault="00B12B59" w:rsidP="00B12B59">
      <w:pPr>
        <w:pStyle w:val="SingleTxtG"/>
        <w:spacing w:after="100"/>
        <w:rPr>
          <w:lang w:eastAsia="en-GB"/>
        </w:rPr>
      </w:pPr>
      <w:r>
        <w:rPr>
          <w:lang w:eastAsia="en-GB"/>
        </w:rPr>
        <w:t>5.</w:t>
      </w:r>
      <w:r>
        <w:rPr>
          <w:lang w:eastAsia="en-GB"/>
        </w:rPr>
        <w:tab/>
      </w:r>
      <w:r w:rsidR="00207548">
        <w:rPr>
          <w:lang w:eastAsia="en-GB"/>
        </w:rPr>
        <w:t xml:space="preserve">Le Comité note également la création des </w:t>
      </w:r>
      <w:r w:rsidR="008F23AC">
        <w:rPr>
          <w:lang w:eastAsia="en-GB"/>
        </w:rPr>
        <w:t>c</w:t>
      </w:r>
      <w:r w:rsidR="008F23AC" w:rsidRPr="00207548">
        <w:rPr>
          <w:lang w:eastAsia="en-GB"/>
        </w:rPr>
        <w:t xml:space="preserve">hambres </w:t>
      </w:r>
      <w:r w:rsidR="00207548" w:rsidRPr="00207548">
        <w:rPr>
          <w:lang w:eastAsia="en-GB"/>
        </w:rPr>
        <w:t xml:space="preserve">africaines extraordinaires au sein des juridictions sénégalaises </w:t>
      </w:r>
      <w:r w:rsidR="00207548">
        <w:rPr>
          <w:lang w:eastAsia="en-GB"/>
        </w:rPr>
        <w:t xml:space="preserve">pour juger </w:t>
      </w:r>
      <w:proofErr w:type="spellStart"/>
      <w:r w:rsidR="00207548">
        <w:rPr>
          <w:lang w:eastAsia="en-GB"/>
        </w:rPr>
        <w:t>Hissène</w:t>
      </w:r>
      <w:proofErr w:type="spellEnd"/>
      <w:r w:rsidR="00207548">
        <w:rPr>
          <w:lang w:eastAsia="en-GB"/>
        </w:rPr>
        <w:t xml:space="preserve"> Habré.</w:t>
      </w:r>
    </w:p>
    <w:p w14:paraId="12697D2D" w14:textId="77777777" w:rsidR="001E5A68" w:rsidRPr="0036263A" w:rsidRDefault="00B65823">
      <w:pPr>
        <w:pStyle w:val="H1G"/>
      </w:pPr>
      <w:r w:rsidRPr="0036263A">
        <w:rPr>
          <w:lang w:val="fr-FR"/>
        </w:rPr>
        <w:lastRenderedPageBreak/>
        <w:tab/>
      </w:r>
      <w:r w:rsidR="001E5A68" w:rsidRPr="0036263A">
        <w:rPr>
          <w:lang w:val="fr-FR"/>
        </w:rPr>
        <w:t>C.</w:t>
      </w:r>
      <w:r w:rsidRPr="0036263A">
        <w:rPr>
          <w:lang w:val="fr-FR"/>
        </w:rPr>
        <w:tab/>
      </w:r>
      <w:r w:rsidR="001E5A68" w:rsidRPr="0036263A">
        <w:rPr>
          <w:lang w:val="fr-FR"/>
        </w:rPr>
        <w:t>Principaux sujets de préoccupation et recommandations</w:t>
      </w:r>
    </w:p>
    <w:p w14:paraId="73F3DB45" w14:textId="0E6B32A8" w:rsidR="005E0539" w:rsidRPr="0036263A" w:rsidRDefault="00B12B59" w:rsidP="00B12B59">
      <w:pPr>
        <w:pStyle w:val="SingleTxtG"/>
        <w:rPr>
          <w:lang w:val="fr-FR"/>
        </w:rPr>
      </w:pPr>
      <w:r w:rsidRPr="0036263A">
        <w:rPr>
          <w:lang w:val="fr-FR"/>
        </w:rPr>
        <w:t>6.</w:t>
      </w:r>
      <w:r w:rsidRPr="0036263A">
        <w:rPr>
          <w:lang w:val="fr-FR"/>
        </w:rPr>
        <w:tab/>
      </w:r>
      <w:r w:rsidR="001E5A68" w:rsidRPr="0036263A">
        <w:rPr>
          <w:rStyle w:val="SingleTxtGCar"/>
          <w:lang w:val="fr-FR"/>
        </w:rPr>
        <w:t xml:space="preserve">Le Comité estime </w:t>
      </w:r>
      <w:r w:rsidR="00E247B7" w:rsidRPr="0036263A">
        <w:rPr>
          <w:rStyle w:val="SingleTxtGCar"/>
          <w:lang w:val="fr-FR"/>
        </w:rPr>
        <w:t>qu’au</w:t>
      </w:r>
      <w:r w:rsidR="001E5A68" w:rsidRPr="0036263A">
        <w:rPr>
          <w:rStyle w:val="SingleTxtGCar"/>
          <w:lang w:val="fr-FR"/>
        </w:rPr>
        <w:t xml:space="preserve"> moment de la rédaction des présentes observations finales le cadre législatif en vigueur dans l’État partie n’était pas pleinement conforme aux obligations que la Convention impose aux États l’ayant ratifiée. Tout en </w:t>
      </w:r>
      <w:r w:rsidR="00DD77DD">
        <w:rPr>
          <w:rStyle w:val="SingleTxtGCar"/>
          <w:lang w:val="fr-FR"/>
        </w:rPr>
        <w:t>saluant</w:t>
      </w:r>
      <w:r w:rsidR="001E5A68" w:rsidRPr="0036263A">
        <w:rPr>
          <w:rStyle w:val="SingleTxtGCar"/>
          <w:lang w:val="fr-FR"/>
        </w:rPr>
        <w:t xml:space="preserve"> </w:t>
      </w:r>
      <w:r w:rsidR="00207548">
        <w:rPr>
          <w:rStyle w:val="SingleTxtGCar"/>
          <w:lang w:val="fr-FR"/>
        </w:rPr>
        <w:t xml:space="preserve">la mise en route </w:t>
      </w:r>
      <w:r w:rsidR="00DE56D1">
        <w:rPr>
          <w:rStyle w:val="SingleTxtGCar"/>
          <w:lang w:val="fr-FR"/>
        </w:rPr>
        <w:t>par l’État partie d’un</w:t>
      </w:r>
      <w:r w:rsidR="001E5A68" w:rsidRPr="0036263A">
        <w:rPr>
          <w:rStyle w:val="SingleTxtGCar"/>
          <w:lang w:val="fr-FR"/>
        </w:rPr>
        <w:t xml:space="preserve"> processus législatif visant à </w:t>
      </w:r>
      <w:r w:rsidR="00B04A31">
        <w:rPr>
          <w:rStyle w:val="SingleTxtGCar"/>
          <w:lang w:val="fr-FR"/>
        </w:rPr>
        <w:t>pleinement</w:t>
      </w:r>
      <w:r w:rsidR="001E5A68" w:rsidRPr="0036263A">
        <w:rPr>
          <w:rStyle w:val="SingleTxtGCar"/>
          <w:lang w:val="fr-FR"/>
        </w:rPr>
        <w:t xml:space="preserve"> </w:t>
      </w:r>
      <w:r w:rsidR="00B04A31">
        <w:rPr>
          <w:rStyle w:val="SingleTxtGCar"/>
          <w:lang w:val="fr-FR"/>
        </w:rPr>
        <w:t>mettre</w:t>
      </w:r>
      <w:r w:rsidR="00B04A31" w:rsidRPr="0036263A">
        <w:rPr>
          <w:rStyle w:val="SingleTxtGCar"/>
          <w:lang w:val="fr-FR"/>
        </w:rPr>
        <w:t xml:space="preserve"> </w:t>
      </w:r>
      <w:r w:rsidR="001E5A68" w:rsidRPr="0036263A">
        <w:rPr>
          <w:rStyle w:val="SingleTxtGCar"/>
          <w:lang w:val="fr-FR"/>
        </w:rPr>
        <w:t xml:space="preserve">en œuvre la Convention, le Comité </w:t>
      </w:r>
      <w:r w:rsidR="00DE56D1">
        <w:rPr>
          <w:rStyle w:val="SingleTxtGCar"/>
          <w:lang w:val="fr-FR"/>
        </w:rPr>
        <w:t>lui recommande</w:t>
      </w:r>
      <w:r w:rsidR="001E5A68" w:rsidRPr="0036263A">
        <w:rPr>
          <w:rStyle w:val="SingleTxtGCar"/>
          <w:lang w:val="fr-FR"/>
        </w:rPr>
        <w:t xml:space="preserve"> de tenir compte </w:t>
      </w:r>
      <w:r w:rsidR="00B757D9">
        <w:rPr>
          <w:rStyle w:val="SingleTxtGCar"/>
          <w:lang w:val="fr-FR"/>
        </w:rPr>
        <w:t>des</w:t>
      </w:r>
      <w:r w:rsidR="001E5A68" w:rsidRPr="0036263A">
        <w:rPr>
          <w:rStyle w:val="SingleTxtGCar"/>
          <w:lang w:val="fr-FR"/>
        </w:rPr>
        <w:t xml:space="preserve"> recommandations</w:t>
      </w:r>
      <w:r w:rsidR="00B757D9">
        <w:rPr>
          <w:rStyle w:val="SingleTxtGCar"/>
          <w:lang w:val="fr-FR"/>
        </w:rPr>
        <w:t xml:space="preserve"> </w:t>
      </w:r>
      <w:r w:rsidR="00B5774A">
        <w:rPr>
          <w:rStyle w:val="SingleTxtGCar"/>
          <w:lang w:val="fr-FR"/>
        </w:rPr>
        <w:t>contenues</w:t>
      </w:r>
      <w:r w:rsidR="00B757D9">
        <w:rPr>
          <w:rStyle w:val="SingleTxtGCar"/>
          <w:lang w:val="fr-FR"/>
        </w:rPr>
        <w:t xml:space="preserve"> dans le</w:t>
      </w:r>
      <w:r w:rsidR="005D281B">
        <w:rPr>
          <w:rStyle w:val="SingleTxtGCar"/>
          <w:lang w:val="fr-FR"/>
        </w:rPr>
        <w:t>s</w:t>
      </w:r>
      <w:r w:rsidR="00B757D9">
        <w:rPr>
          <w:rStyle w:val="SingleTxtGCar"/>
          <w:lang w:val="fr-FR"/>
        </w:rPr>
        <w:t xml:space="preserve"> présent</w:t>
      </w:r>
      <w:r w:rsidR="005D281B">
        <w:rPr>
          <w:rStyle w:val="SingleTxtGCar"/>
          <w:lang w:val="fr-FR"/>
        </w:rPr>
        <w:t>es observations finales. Ces recommandations</w:t>
      </w:r>
      <w:r w:rsidR="001E5A68" w:rsidRPr="0036263A">
        <w:rPr>
          <w:rStyle w:val="SingleTxtGCar"/>
          <w:lang w:val="fr-FR"/>
        </w:rPr>
        <w:t xml:space="preserve"> ont été formulées dans un esprit constructif et coopératif, </w:t>
      </w:r>
      <w:r w:rsidR="009F292A" w:rsidRPr="0036263A">
        <w:rPr>
          <w:rStyle w:val="SingleTxtGCar"/>
          <w:lang w:val="fr-FR"/>
        </w:rPr>
        <w:t>afin de renforcer</w:t>
      </w:r>
      <w:r w:rsidR="001E5A68" w:rsidRPr="0036263A">
        <w:rPr>
          <w:rStyle w:val="SingleTxtGCar"/>
          <w:lang w:val="fr-FR"/>
        </w:rPr>
        <w:t xml:space="preserve">, dans les meilleurs délais, le cadre législatif et la manière dont il est appliqué par les autorités de l’État partie </w:t>
      </w:r>
      <w:r w:rsidR="009F292A" w:rsidRPr="0036263A">
        <w:rPr>
          <w:rStyle w:val="SingleTxtGCar"/>
          <w:lang w:val="fr-FR"/>
        </w:rPr>
        <w:t>pour respecter</w:t>
      </w:r>
      <w:r w:rsidR="001E5A68" w:rsidRPr="0036263A">
        <w:rPr>
          <w:rStyle w:val="SingleTxtGCar"/>
          <w:lang w:val="fr-FR"/>
        </w:rPr>
        <w:t xml:space="preserve"> pleinement les droits et les obligations énoncés dans la Convention</w:t>
      </w:r>
      <w:r w:rsidR="001E5A68" w:rsidRPr="0036263A">
        <w:rPr>
          <w:lang w:val="fr-FR"/>
        </w:rPr>
        <w:t>.</w:t>
      </w:r>
    </w:p>
    <w:p w14:paraId="6D2FE18C" w14:textId="77777777" w:rsidR="001E5A68" w:rsidRPr="0036263A" w:rsidRDefault="000B5CEB" w:rsidP="001818DA">
      <w:pPr>
        <w:pStyle w:val="H1G"/>
      </w:pPr>
      <w:r w:rsidRPr="0036263A">
        <w:rPr>
          <w:lang w:val="fr-FR"/>
        </w:rPr>
        <w:tab/>
      </w:r>
      <w:r w:rsidRPr="0036263A">
        <w:rPr>
          <w:lang w:val="fr-FR"/>
        </w:rPr>
        <w:tab/>
      </w:r>
      <w:r w:rsidR="001E5A68" w:rsidRPr="0036263A">
        <w:rPr>
          <w:lang w:val="fr-FR"/>
        </w:rPr>
        <w:t>Renseignements d’ordre général</w:t>
      </w:r>
    </w:p>
    <w:p w14:paraId="60EC9EE2" w14:textId="77777777" w:rsidR="001E5A68" w:rsidRPr="0036263A" w:rsidRDefault="005E0539" w:rsidP="00EB703F">
      <w:pPr>
        <w:pStyle w:val="H23G"/>
        <w:rPr>
          <w:lang w:val="fr-FR"/>
        </w:rPr>
      </w:pPr>
      <w:r w:rsidRPr="0036263A">
        <w:rPr>
          <w:lang w:val="fr-FR"/>
        </w:rPr>
        <w:tab/>
      </w:r>
      <w:r w:rsidRPr="0036263A">
        <w:rPr>
          <w:lang w:val="fr-FR"/>
        </w:rPr>
        <w:tab/>
      </w:r>
      <w:r w:rsidR="001E5A68" w:rsidRPr="0036263A">
        <w:rPr>
          <w:lang w:val="fr-FR"/>
        </w:rPr>
        <w:t>Compétence du Comité au titre des articles 31 et 32 de la Convention</w:t>
      </w:r>
    </w:p>
    <w:p w14:paraId="70983B03" w14:textId="2C387EF4" w:rsidR="001E5A68" w:rsidRPr="0036263A" w:rsidRDefault="00B12B59" w:rsidP="00B12B59">
      <w:pPr>
        <w:pStyle w:val="SingleTxtG"/>
        <w:rPr>
          <w:lang w:val="fr-FR"/>
        </w:rPr>
      </w:pPr>
      <w:r w:rsidRPr="0036263A">
        <w:rPr>
          <w:lang w:val="fr-FR"/>
        </w:rPr>
        <w:t>7.</w:t>
      </w:r>
      <w:r w:rsidRPr="0036263A">
        <w:rPr>
          <w:lang w:val="fr-FR"/>
        </w:rPr>
        <w:tab/>
      </w:r>
      <w:r w:rsidR="001E5A68" w:rsidRPr="0036263A">
        <w:rPr>
          <w:lang w:val="fr-FR"/>
        </w:rPr>
        <w:t xml:space="preserve">Le Comité </w:t>
      </w:r>
      <w:r w:rsidR="00207548">
        <w:rPr>
          <w:lang w:val="fr-FR"/>
        </w:rPr>
        <w:t>remarque</w:t>
      </w:r>
      <w:r w:rsidR="00207548" w:rsidRPr="0036263A">
        <w:rPr>
          <w:lang w:val="fr-FR"/>
        </w:rPr>
        <w:t xml:space="preserve"> </w:t>
      </w:r>
      <w:r w:rsidR="001E5A68" w:rsidRPr="0036263A">
        <w:rPr>
          <w:lang w:val="fr-FR"/>
        </w:rPr>
        <w:t>que l’</w:t>
      </w:r>
      <w:r w:rsidR="00735423" w:rsidRPr="0036263A">
        <w:rPr>
          <w:lang w:val="fr-FR"/>
        </w:rPr>
        <w:t>État</w:t>
      </w:r>
      <w:r w:rsidR="001E5A68" w:rsidRPr="0036263A">
        <w:rPr>
          <w:lang w:val="fr-FR"/>
        </w:rPr>
        <w:t xml:space="preserve"> partie n’a pas encore fait les déclarations </w:t>
      </w:r>
      <w:r w:rsidR="007230AF">
        <w:rPr>
          <w:lang w:val="fr-FR"/>
        </w:rPr>
        <w:t xml:space="preserve">prévues </w:t>
      </w:r>
      <w:r w:rsidR="001E5A68" w:rsidRPr="0036263A">
        <w:rPr>
          <w:lang w:val="fr-FR"/>
        </w:rPr>
        <w:t>au titre des articles</w:t>
      </w:r>
      <w:r w:rsidR="002F7F2C" w:rsidRPr="0036263A">
        <w:rPr>
          <w:lang w:val="fr-FR"/>
        </w:rPr>
        <w:t> </w:t>
      </w:r>
      <w:r w:rsidR="001E5A68" w:rsidRPr="0036263A">
        <w:rPr>
          <w:lang w:val="fr-FR"/>
        </w:rPr>
        <w:t xml:space="preserve">31 et 32 afin de permettre </w:t>
      </w:r>
      <w:r w:rsidR="00712285">
        <w:rPr>
          <w:lang w:val="fr-FR"/>
        </w:rPr>
        <w:t>la</w:t>
      </w:r>
      <w:r w:rsidR="00712285" w:rsidRPr="0036263A">
        <w:rPr>
          <w:lang w:val="fr-FR"/>
        </w:rPr>
        <w:t xml:space="preserve"> </w:t>
      </w:r>
      <w:r w:rsidR="001E5A68" w:rsidRPr="0036263A">
        <w:rPr>
          <w:lang w:val="fr-FR"/>
        </w:rPr>
        <w:t>pleine application de la Convention (art.</w:t>
      </w:r>
      <w:r w:rsidR="00AF4BAA" w:rsidRPr="0036263A">
        <w:rPr>
          <w:lang w:val="fr-FR"/>
        </w:rPr>
        <w:t> </w:t>
      </w:r>
      <w:r w:rsidR="001E5A68" w:rsidRPr="0036263A">
        <w:rPr>
          <w:lang w:val="fr-FR"/>
        </w:rPr>
        <w:t>31 et</w:t>
      </w:r>
      <w:r w:rsidR="00DE69D1">
        <w:rPr>
          <w:lang w:val="fr-FR"/>
        </w:rPr>
        <w:t> </w:t>
      </w:r>
      <w:r w:rsidR="001E5A68" w:rsidRPr="0036263A">
        <w:rPr>
          <w:lang w:val="fr-FR"/>
        </w:rPr>
        <w:t>32)</w:t>
      </w:r>
      <w:r w:rsidR="00332B61" w:rsidRPr="0036263A">
        <w:rPr>
          <w:lang w:val="fr-FR"/>
        </w:rPr>
        <w:t>.</w:t>
      </w:r>
    </w:p>
    <w:p w14:paraId="1B1CC60C" w14:textId="1667EE95" w:rsidR="001E5A68" w:rsidRPr="0036263A" w:rsidRDefault="00B12B59" w:rsidP="00B12B59">
      <w:pPr>
        <w:pStyle w:val="SingleTxtG"/>
        <w:rPr>
          <w:b/>
          <w:lang w:val="fr-FR"/>
        </w:rPr>
      </w:pPr>
      <w:r w:rsidRPr="0036263A">
        <w:rPr>
          <w:lang w:val="fr-FR"/>
        </w:rPr>
        <w:t>8.</w:t>
      </w:r>
      <w:r w:rsidRPr="0036263A">
        <w:rPr>
          <w:lang w:val="fr-FR"/>
        </w:rPr>
        <w:tab/>
      </w:r>
      <w:r w:rsidR="001E5A68" w:rsidRPr="0036263A">
        <w:rPr>
          <w:b/>
          <w:lang w:val="fr-FR"/>
        </w:rPr>
        <w:t>Le Comité invite l’</w:t>
      </w:r>
      <w:r w:rsidR="00735423" w:rsidRPr="0036263A">
        <w:rPr>
          <w:b/>
          <w:lang w:val="fr-FR"/>
        </w:rPr>
        <w:t>État</w:t>
      </w:r>
      <w:r w:rsidR="001E5A68" w:rsidRPr="0036263A">
        <w:rPr>
          <w:b/>
          <w:lang w:val="fr-FR"/>
        </w:rPr>
        <w:t xml:space="preserve"> partie à reconnaître</w:t>
      </w:r>
      <w:r w:rsidR="003E4C42">
        <w:rPr>
          <w:b/>
          <w:lang w:val="fr-FR"/>
        </w:rPr>
        <w:t>, dans les meilleurs délais,</w:t>
      </w:r>
      <w:r w:rsidR="004F38EE">
        <w:rPr>
          <w:b/>
          <w:lang w:val="fr-FR"/>
        </w:rPr>
        <w:t xml:space="preserve"> </w:t>
      </w:r>
      <w:r w:rsidR="001E5A68" w:rsidRPr="0036263A">
        <w:rPr>
          <w:b/>
          <w:lang w:val="fr-FR"/>
        </w:rPr>
        <w:t>la compétence du Comité au titre des articles 31 et 32 de la Convention</w:t>
      </w:r>
      <w:r w:rsidR="005F640D" w:rsidRPr="0036263A">
        <w:rPr>
          <w:b/>
          <w:lang w:val="fr-FR"/>
        </w:rPr>
        <w:t xml:space="preserve">, </w:t>
      </w:r>
      <w:r w:rsidR="005F640D" w:rsidRPr="0036263A">
        <w:rPr>
          <w:b/>
          <w:bCs/>
          <w:lang w:val="fr-FR"/>
        </w:rPr>
        <w:t>afin de renforcer le système de protection contre les disparitions forcées prévu dans la Convention</w:t>
      </w:r>
      <w:r w:rsidR="001E5A68" w:rsidRPr="0036263A">
        <w:rPr>
          <w:b/>
          <w:lang w:val="fr-FR"/>
        </w:rPr>
        <w:t>.</w:t>
      </w:r>
    </w:p>
    <w:p w14:paraId="39E679D3" w14:textId="77777777" w:rsidR="001E5A68" w:rsidRPr="0036263A" w:rsidRDefault="005C735B" w:rsidP="00EB703F">
      <w:pPr>
        <w:pStyle w:val="H23G"/>
        <w:rPr>
          <w:lang w:val="fr-FR"/>
        </w:rPr>
      </w:pPr>
      <w:r w:rsidRPr="0036263A">
        <w:rPr>
          <w:lang w:val="fr-FR"/>
        </w:rPr>
        <w:tab/>
      </w:r>
      <w:r w:rsidRPr="0036263A">
        <w:rPr>
          <w:lang w:val="fr-FR"/>
        </w:rPr>
        <w:tab/>
      </w:r>
      <w:r w:rsidR="001E5A68" w:rsidRPr="0036263A">
        <w:rPr>
          <w:lang w:val="fr-FR"/>
        </w:rPr>
        <w:t>Institution nationale des droits de l’homme</w:t>
      </w:r>
    </w:p>
    <w:p w14:paraId="59DC67B8" w14:textId="7ED3977F" w:rsidR="001E5A68" w:rsidRPr="0036263A" w:rsidRDefault="00B12B59" w:rsidP="00B12B59">
      <w:pPr>
        <w:pStyle w:val="SingleTxtG"/>
      </w:pPr>
      <w:r w:rsidRPr="0036263A">
        <w:t>9.</w:t>
      </w:r>
      <w:r w:rsidRPr="0036263A">
        <w:tab/>
      </w:r>
      <w:r w:rsidR="001E5A68" w:rsidRPr="0036263A">
        <w:rPr>
          <w:lang w:val="fr-FR"/>
        </w:rPr>
        <w:t xml:space="preserve">Le Comité </w:t>
      </w:r>
      <w:r w:rsidR="00207548">
        <w:rPr>
          <w:lang w:val="fr-FR"/>
        </w:rPr>
        <w:t xml:space="preserve">note que le </w:t>
      </w:r>
      <w:r w:rsidR="000C48A7" w:rsidRPr="0036263A">
        <w:rPr>
          <w:lang w:val="fr-FR"/>
        </w:rPr>
        <w:t>Comité sénégalais des droits de l’homme</w:t>
      </w:r>
      <w:r w:rsidR="00207548">
        <w:rPr>
          <w:lang w:val="fr-FR"/>
        </w:rPr>
        <w:t xml:space="preserve"> a perdu</w:t>
      </w:r>
      <w:r w:rsidR="00BF7FF1">
        <w:rPr>
          <w:lang w:val="fr-FR"/>
        </w:rPr>
        <w:t xml:space="preserve"> </w:t>
      </w:r>
      <w:r w:rsidR="00092423" w:rsidRPr="0036263A">
        <w:rPr>
          <w:lang w:val="fr-FR"/>
        </w:rPr>
        <w:t>en 2012 son statut A</w:t>
      </w:r>
      <w:r w:rsidR="00F63053" w:rsidRPr="0036263A">
        <w:rPr>
          <w:lang w:val="fr-FR"/>
        </w:rPr>
        <w:t xml:space="preserve"> au titre des Principes </w:t>
      </w:r>
      <w:r w:rsidR="00B83DAF" w:rsidRPr="0036263A">
        <w:rPr>
          <w:lang w:val="fr-FR"/>
        </w:rPr>
        <w:t>concernant le statut des institutions nationales pour la promotion et la protection des droits de l’homme (Principes de Paris</w:t>
      </w:r>
      <w:r w:rsidR="00F63053" w:rsidRPr="0036263A">
        <w:rPr>
          <w:lang w:val="fr-FR"/>
        </w:rPr>
        <w:t>)</w:t>
      </w:r>
      <w:r w:rsidR="006C6968">
        <w:rPr>
          <w:lang w:val="fr-FR"/>
        </w:rPr>
        <w:t>.</w:t>
      </w:r>
      <w:r w:rsidR="00E05CB5" w:rsidRPr="0036263A">
        <w:rPr>
          <w:lang w:val="fr-FR"/>
        </w:rPr>
        <w:t xml:space="preserve"> </w:t>
      </w:r>
      <w:r w:rsidR="003A3C04">
        <w:rPr>
          <w:lang w:val="fr-FR"/>
        </w:rPr>
        <w:t xml:space="preserve">Le Comité </w:t>
      </w:r>
      <w:r w:rsidR="00B30A0B">
        <w:rPr>
          <w:lang w:val="fr-FR"/>
        </w:rPr>
        <w:t xml:space="preserve">note </w:t>
      </w:r>
      <w:r w:rsidR="00C572F5">
        <w:rPr>
          <w:lang w:val="fr-FR"/>
        </w:rPr>
        <w:t>les</w:t>
      </w:r>
      <w:r w:rsidR="003A3C04">
        <w:rPr>
          <w:lang w:val="fr-FR"/>
        </w:rPr>
        <w:t xml:space="preserve"> informations communiquées par l’État partie</w:t>
      </w:r>
      <w:r w:rsidR="00C572F5">
        <w:rPr>
          <w:lang w:val="fr-FR"/>
        </w:rPr>
        <w:t xml:space="preserve"> indiquant qu’il</w:t>
      </w:r>
      <w:r w:rsidR="003A3C04">
        <w:rPr>
          <w:lang w:val="fr-FR"/>
        </w:rPr>
        <w:t xml:space="preserve"> </w:t>
      </w:r>
      <w:r w:rsidR="00B0770D">
        <w:rPr>
          <w:lang w:val="fr-FR"/>
        </w:rPr>
        <w:t>e</w:t>
      </w:r>
      <w:r w:rsidR="00421F15">
        <w:rPr>
          <w:lang w:val="fr-FR"/>
        </w:rPr>
        <w:t xml:space="preserve">nvisage </w:t>
      </w:r>
      <w:r w:rsidR="00C572F5">
        <w:rPr>
          <w:lang w:val="fr-FR"/>
        </w:rPr>
        <w:t xml:space="preserve">d’adopter une loi portant création </w:t>
      </w:r>
      <w:r w:rsidR="00B0770D">
        <w:rPr>
          <w:lang w:val="fr-FR"/>
        </w:rPr>
        <w:t>d’une commission nationale</w:t>
      </w:r>
      <w:r w:rsidR="00C572F5">
        <w:rPr>
          <w:lang w:val="fr-FR"/>
        </w:rPr>
        <w:t xml:space="preserve"> </w:t>
      </w:r>
      <w:r w:rsidR="00683FC9">
        <w:rPr>
          <w:lang w:val="fr-FR"/>
        </w:rPr>
        <w:t xml:space="preserve">sénégalaise des droits de l’homme afin de </w:t>
      </w:r>
      <w:r w:rsidR="00020341">
        <w:rPr>
          <w:lang w:val="fr-FR"/>
        </w:rPr>
        <w:t xml:space="preserve">se </w:t>
      </w:r>
      <w:r w:rsidR="00683FC9">
        <w:rPr>
          <w:lang w:val="fr-FR"/>
        </w:rPr>
        <w:t>conformer avec les Principes de Paris.</w:t>
      </w:r>
    </w:p>
    <w:p w14:paraId="7783F666" w14:textId="7BBC3895" w:rsidR="001E5A68" w:rsidRPr="0036263A" w:rsidRDefault="00B12B59" w:rsidP="00B12B59">
      <w:pPr>
        <w:pStyle w:val="SingleTxtG"/>
        <w:rPr>
          <w:bCs/>
          <w:lang w:val="fr-FR"/>
        </w:rPr>
      </w:pPr>
      <w:r w:rsidRPr="0036263A">
        <w:rPr>
          <w:bCs/>
          <w:lang w:val="fr-FR"/>
        </w:rPr>
        <w:t>10.</w:t>
      </w:r>
      <w:r w:rsidRPr="0036263A">
        <w:rPr>
          <w:bCs/>
          <w:lang w:val="fr-FR"/>
        </w:rPr>
        <w:tab/>
      </w:r>
      <w:r w:rsidR="00421626" w:rsidRPr="0036263A">
        <w:rPr>
          <w:rStyle w:val="SingleTxtGCar"/>
          <w:b/>
          <w:bCs/>
          <w:lang w:val="fr-FR"/>
        </w:rPr>
        <w:t xml:space="preserve">Le </w:t>
      </w:r>
      <w:r w:rsidR="001E5A68" w:rsidRPr="0036263A">
        <w:rPr>
          <w:rStyle w:val="SingleTxtGCar"/>
          <w:b/>
          <w:bCs/>
          <w:lang w:val="fr-FR"/>
        </w:rPr>
        <w:t xml:space="preserve">Comité encourage l’État partie à </w:t>
      </w:r>
      <w:r w:rsidR="006D405D">
        <w:rPr>
          <w:rStyle w:val="SingleTxtGCar"/>
          <w:b/>
          <w:bCs/>
          <w:lang w:val="fr-FR"/>
        </w:rPr>
        <w:t xml:space="preserve">poursuivre ses efforts </w:t>
      </w:r>
      <w:r w:rsidR="004146FB" w:rsidRPr="0036263A">
        <w:rPr>
          <w:rStyle w:val="SingleTxtGCar"/>
          <w:b/>
          <w:bCs/>
          <w:lang w:val="fr-FR"/>
        </w:rPr>
        <w:t xml:space="preserve">pour </w:t>
      </w:r>
      <w:r w:rsidR="00EA6FE4">
        <w:rPr>
          <w:rStyle w:val="SingleTxtGCar"/>
          <w:b/>
          <w:bCs/>
          <w:lang w:val="fr-FR"/>
        </w:rPr>
        <w:t xml:space="preserve">se doter d’une institution nationale des droits de l’homme conforme aux Principes de Paris, en </w:t>
      </w:r>
      <w:r w:rsidR="004146FB" w:rsidRPr="0036263A">
        <w:rPr>
          <w:rStyle w:val="SingleTxtGCar"/>
          <w:b/>
          <w:bCs/>
          <w:lang w:val="fr-FR"/>
        </w:rPr>
        <w:t>lui allou</w:t>
      </w:r>
      <w:r w:rsidR="00BF7FF1">
        <w:rPr>
          <w:rStyle w:val="SingleTxtGCar"/>
          <w:b/>
          <w:bCs/>
          <w:lang w:val="fr-FR"/>
        </w:rPr>
        <w:t>ant</w:t>
      </w:r>
      <w:r w:rsidR="004146FB" w:rsidRPr="0036263A">
        <w:rPr>
          <w:rStyle w:val="SingleTxtGCar"/>
          <w:b/>
          <w:bCs/>
          <w:lang w:val="fr-FR"/>
        </w:rPr>
        <w:t xml:space="preserve"> des ressources humaines et financières suffisantes pour son fonctionnement. </w:t>
      </w:r>
      <w:r w:rsidR="00BB03D3" w:rsidRPr="0036263A">
        <w:rPr>
          <w:b/>
          <w:bCs/>
          <w:lang w:val="fr-FR"/>
        </w:rPr>
        <w:t xml:space="preserve">Il </w:t>
      </w:r>
      <w:r w:rsidR="001E5A68" w:rsidRPr="0036263A">
        <w:rPr>
          <w:b/>
          <w:bCs/>
          <w:lang w:val="fr-FR"/>
        </w:rPr>
        <w:t>invite l’</w:t>
      </w:r>
      <w:r w:rsidR="00735423" w:rsidRPr="0036263A">
        <w:rPr>
          <w:b/>
          <w:bCs/>
          <w:lang w:val="fr-FR"/>
        </w:rPr>
        <w:t>État</w:t>
      </w:r>
      <w:r w:rsidR="001E5A68" w:rsidRPr="0036263A">
        <w:rPr>
          <w:b/>
          <w:bCs/>
          <w:lang w:val="fr-FR"/>
        </w:rPr>
        <w:t xml:space="preserve"> partie à </w:t>
      </w:r>
      <w:r w:rsidR="0078000F" w:rsidRPr="0036263A">
        <w:rPr>
          <w:b/>
          <w:bCs/>
          <w:lang w:val="fr-FR"/>
        </w:rPr>
        <w:t>inclure explicitement dans son mandat la question des disparitions forcées.</w:t>
      </w:r>
    </w:p>
    <w:p w14:paraId="1C90B13A" w14:textId="76ADD4DD" w:rsidR="001E5A68" w:rsidRPr="0036263A" w:rsidRDefault="007B5D6D" w:rsidP="00BA748E">
      <w:pPr>
        <w:pStyle w:val="H1G"/>
        <w:ind w:left="0" w:firstLine="0"/>
        <w:rPr>
          <w:lang w:val="fr-FR"/>
        </w:rPr>
      </w:pPr>
      <w:r w:rsidRPr="0036263A">
        <w:rPr>
          <w:lang w:val="fr-FR"/>
        </w:rPr>
        <w:tab/>
      </w:r>
      <w:r w:rsidRPr="0036263A">
        <w:rPr>
          <w:lang w:val="fr-FR"/>
        </w:rPr>
        <w:tab/>
      </w:r>
      <w:r w:rsidR="001E5A68" w:rsidRPr="0036263A">
        <w:rPr>
          <w:lang w:val="fr-FR"/>
        </w:rPr>
        <w:t xml:space="preserve">Définition et </w:t>
      </w:r>
      <w:r w:rsidR="002560D2" w:rsidRPr="0036263A">
        <w:rPr>
          <w:lang w:val="fr-FR"/>
        </w:rPr>
        <w:t>incrimination</w:t>
      </w:r>
      <w:r w:rsidR="001E5A68" w:rsidRPr="0036263A">
        <w:rPr>
          <w:lang w:val="fr-FR"/>
        </w:rPr>
        <w:t xml:space="preserve"> de la disparition forcée (art. 1</w:t>
      </w:r>
      <w:r w:rsidR="001C1194" w:rsidRPr="0036263A">
        <w:rPr>
          <w:vertAlign w:val="superscript"/>
          <w:lang w:val="fr-FR"/>
        </w:rPr>
        <w:t>er</w:t>
      </w:r>
      <w:r w:rsidR="001C1194" w:rsidRPr="0036263A">
        <w:rPr>
          <w:lang w:val="fr-FR"/>
        </w:rPr>
        <w:t xml:space="preserve"> </w:t>
      </w:r>
      <w:r w:rsidR="001E5A68" w:rsidRPr="0036263A">
        <w:rPr>
          <w:lang w:val="fr-FR"/>
        </w:rPr>
        <w:t>à 7)</w:t>
      </w:r>
    </w:p>
    <w:p w14:paraId="75EBAF72" w14:textId="77777777" w:rsidR="00810342" w:rsidRPr="0036263A" w:rsidRDefault="00810342" w:rsidP="00810342">
      <w:pPr>
        <w:pStyle w:val="H23G"/>
        <w:ind w:left="0" w:firstLine="0"/>
        <w:rPr>
          <w:lang w:val="fr-FR"/>
        </w:rPr>
      </w:pPr>
      <w:r w:rsidRPr="0036263A">
        <w:rPr>
          <w:lang w:val="fr-FR"/>
        </w:rPr>
        <w:tab/>
      </w:r>
      <w:r w:rsidRPr="0036263A">
        <w:rPr>
          <w:lang w:val="fr-FR"/>
        </w:rPr>
        <w:tab/>
        <w:t>Impossibilité de déroger à l’interdiction de la disparition forcée</w:t>
      </w:r>
    </w:p>
    <w:p w14:paraId="6DB69D26" w14:textId="68CF8207" w:rsidR="00174304" w:rsidRPr="0036263A" w:rsidRDefault="00B12B59" w:rsidP="00B12B59">
      <w:pPr>
        <w:pStyle w:val="SingleTxtG"/>
        <w:rPr>
          <w:rFonts w:eastAsia="Calibri"/>
          <w:lang w:val="fr-FR"/>
        </w:rPr>
      </w:pPr>
      <w:r w:rsidRPr="0036263A">
        <w:rPr>
          <w:rFonts w:eastAsia="Calibri"/>
          <w:lang w:val="fr-FR"/>
        </w:rPr>
        <w:t>11.</w:t>
      </w:r>
      <w:r w:rsidRPr="0036263A">
        <w:rPr>
          <w:rFonts w:eastAsia="Calibri"/>
          <w:lang w:val="fr-FR"/>
        </w:rPr>
        <w:tab/>
      </w:r>
      <w:r w:rsidR="00810342" w:rsidRPr="0036263A">
        <w:rPr>
          <w:lang w:val="fr-FR"/>
        </w:rPr>
        <w:t xml:space="preserve">Le Comité </w:t>
      </w:r>
      <w:r w:rsidR="003A5021">
        <w:rPr>
          <w:lang w:val="fr-FR"/>
        </w:rPr>
        <w:t xml:space="preserve">note </w:t>
      </w:r>
      <w:r w:rsidR="00DF0A95" w:rsidRPr="0036263A">
        <w:rPr>
          <w:lang w:val="fr-FR"/>
        </w:rPr>
        <w:t>l’intention</w:t>
      </w:r>
      <w:r w:rsidR="00174304" w:rsidRPr="0036263A">
        <w:rPr>
          <w:lang w:val="fr-FR"/>
        </w:rPr>
        <w:t xml:space="preserve"> </w:t>
      </w:r>
      <w:r w:rsidR="00DF0A95" w:rsidRPr="0036263A">
        <w:rPr>
          <w:lang w:val="fr-FR"/>
        </w:rPr>
        <w:t xml:space="preserve">manifestée par </w:t>
      </w:r>
      <w:r w:rsidR="00174304" w:rsidRPr="0036263A">
        <w:rPr>
          <w:lang w:val="fr-FR"/>
        </w:rPr>
        <w:t xml:space="preserve">l’État partie d’incorporer l’impossibilité de déroger à l’interdiction de la disparition forcée dans </w:t>
      </w:r>
      <w:r w:rsidR="002D5352" w:rsidRPr="0036263A">
        <w:rPr>
          <w:lang w:val="fr-FR"/>
        </w:rPr>
        <w:t>son</w:t>
      </w:r>
      <w:r w:rsidR="00174304" w:rsidRPr="0036263A">
        <w:rPr>
          <w:lang w:val="fr-FR"/>
        </w:rPr>
        <w:t xml:space="preserve"> projet de réforme du </w:t>
      </w:r>
      <w:r w:rsidR="00F340C0">
        <w:rPr>
          <w:lang w:val="fr-FR"/>
        </w:rPr>
        <w:t>C</w:t>
      </w:r>
      <w:r w:rsidR="00F340C0" w:rsidRPr="0036263A">
        <w:rPr>
          <w:lang w:val="fr-FR"/>
        </w:rPr>
        <w:t xml:space="preserve">ode </w:t>
      </w:r>
      <w:r w:rsidR="00174304" w:rsidRPr="0036263A">
        <w:rPr>
          <w:lang w:val="fr-FR"/>
        </w:rPr>
        <w:t xml:space="preserve">pénal </w:t>
      </w:r>
      <w:r w:rsidR="0036616E" w:rsidRPr="0036263A">
        <w:rPr>
          <w:lang w:val="fr-FR"/>
        </w:rPr>
        <w:t>(art.</w:t>
      </w:r>
      <w:r w:rsidR="00DE69D1">
        <w:rPr>
          <w:lang w:val="fr-FR"/>
        </w:rPr>
        <w:t> </w:t>
      </w:r>
      <w:r w:rsidR="0036616E" w:rsidRPr="0036263A">
        <w:rPr>
          <w:lang w:val="fr-FR"/>
        </w:rPr>
        <w:t>1</w:t>
      </w:r>
      <w:r w:rsidR="008652BB" w:rsidRPr="0036263A">
        <w:rPr>
          <w:vertAlign w:val="superscript"/>
          <w:lang w:val="fr-FR"/>
        </w:rPr>
        <w:t>er</w:t>
      </w:r>
      <w:r w:rsidR="0036616E" w:rsidRPr="0036263A">
        <w:rPr>
          <w:lang w:val="fr-FR"/>
        </w:rPr>
        <w:t>)</w:t>
      </w:r>
      <w:r w:rsidR="00FE52E8" w:rsidRPr="0036263A">
        <w:rPr>
          <w:lang w:val="fr-FR"/>
        </w:rPr>
        <w:t>.</w:t>
      </w:r>
    </w:p>
    <w:p w14:paraId="11B7BB03" w14:textId="2F72F937" w:rsidR="00810342" w:rsidRPr="0036263A" w:rsidRDefault="00B12B59" w:rsidP="00B12B59">
      <w:pPr>
        <w:pStyle w:val="SingleTxtG"/>
        <w:kinsoku w:val="0"/>
        <w:overflowPunct w:val="0"/>
        <w:autoSpaceDE w:val="0"/>
        <w:autoSpaceDN w:val="0"/>
        <w:adjustRightInd w:val="0"/>
        <w:snapToGrid w:val="0"/>
        <w:rPr>
          <w:lang w:val="fr-FR"/>
        </w:rPr>
      </w:pPr>
      <w:r w:rsidRPr="0036263A">
        <w:rPr>
          <w:lang w:val="fr-FR"/>
        </w:rPr>
        <w:t>12.</w:t>
      </w:r>
      <w:r w:rsidRPr="0036263A">
        <w:rPr>
          <w:lang w:val="fr-FR"/>
        </w:rPr>
        <w:tab/>
      </w:r>
      <w:r w:rsidR="00810342" w:rsidRPr="0036263A">
        <w:rPr>
          <w:b/>
          <w:bCs/>
          <w:lang w:val="fr-FR"/>
        </w:rPr>
        <w:t xml:space="preserve">Le </w:t>
      </w:r>
      <w:r w:rsidR="00810342" w:rsidRPr="0036263A">
        <w:rPr>
          <w:b/>
          <w:lang w:val="fr-FR"/>
        </w:rPr>
        <w:t>Comité recommande à l’État partie de prendre les mesures</w:t>
      </w:r>
      <w:r w:rsidR="00B61CDE">
        <w:rPr>
          <w:b/>
          <w:lang w:val="fr-FR"/>
        </w:rPr>
        <w:t xml:space="preserve"> </w:t>
      </w:r>
      <w:r w:rsidR="00810342" w:rsidRPr="0036263A">
        <w:rPr>
          <w:b/>
          <w:lang w:val="fr-FR"/>
        </w:rPr>
        <w:t xml:space="preserve">nécessaires pour </w:t>
      </w:r>
      <w:r w:rsidR="00D242BD" w:rsidRPr="0036263A">
        <w:rPr>
          <w:b/>
          <w:lang w:val="fr-FR"/>
        </w:rPr>
        <w:t>établir</w:t>
      </w:r>
      <w:r w:rsidR="00810342" w:rsidRPr="0036263A">
        <w:rPr>
          <w:b/>
          <w:lang w:val="fr-FR"/>
        </w:rPr>
        <w:t xml:space="preserve"> expressément dans le droit </w:t>
      </w:r>
      <w:r w:rsidR="00D242BD" w:rsidRPr="0036263A">
        <w:rPr>
          <w:b/>
          <w:lang w:val="fr-FR"/>
        </w:rPr>
        <w:t>qu’aucune circonstance exceptionnelle, quelle qu’elle soit, ne peut être invoquée pour déroger à l’interdiction de la disparition forcée</w:t>
      </w:r>
      <w:r w:rsidR="00810342" w:rsidRPr="0036263A">
        <w:rPr>
          <w:b/>
          <w:lang w:val="fr-FR"/>
        </w:rPr>
        <w:t>, conformément au paragraphe 2 de l’article premier de la Convention.</w:t>
      </w:r>
      <w:r w:rsidR="00AD45BB" w:rsidRPr="0036263A">
        <w:rPr>
          <w:b/>
          <w:lang w:val="fr-FR"/>
        </w:rPr>
        <w:t xml:space="preserve"> </w:t>
      </w:r>
    </w:p>
    <w:p w14:paraId="508E0D79" w14:textId="343C090F" w:rsidR="001E5A68" w:rsidRPr="0036263A" w:rsidRDefault="00BA744D" w:rsidP="001B666D">
      <w:pPr>
        <w:pStyle w:val="H23G"/>
        <w:rPr>
          <w:sz w:val="24"/>
          <w:szCs w:val="24"/>
          <w:lang w:val="fr-FR"/>
        </w:rPr>
      </w:pPr>
      <w:r w:rsidRPr="0036263A">
        <w:rPr>
          <w:lang w:val="fr-FR"/>
        </w:rPr>
        <w:tab/>
      </w:r>
      <w:r w:rsidRPr="0036263A">
        <w:rPr>
          <w:lang w:val="fr-FR"/>
        </w:rPr>
        <w:tab/>
      </w:r>
      <w:r w:rsidR="00810342" w:rsidRPr="0036263A">
        <w:rPr>
          <w:lang w:val="fr-FR"/>
        </w:rPr>
        <w:t>I</w:t>
      </w:r>
      <w:r w:rsidR="001E5A68" w:rsidRPr="0036263A">
        <w:rPr>
          <w:lang w:val="fr-FR"/>
        </w:rPr>
        <w:t xml:space="preserve">ncorporation de la définition et </w:t>
      </w:r>
      <w:r w:rsidR="001D7FDE" w:rsidRPr="0036263A">
        <w:rPr>
          <w:lang w:val="fr-FR"/>
        </w:rPr>
        <w:t>incrimination</w:t>
      </w:r>
      <w:r w:rsidR="001E5A68" w:rsidRPr="0036263A">
        <w:rPr>
          <w:lang w:val="fr-FR"/>
        </w:rPr>
        <w:t xml:space="preserve"> de la dispar</w:t>
      </w:r>
      <w:r w:rsidR="002560D2" w:rsidRPr="0036263A">
        <w:rPr>
          <w:lang w:val="fr-FR"/>
        </w:rPr>
        <w:t xml:space="preserve">ition forcée </w:t>
      </w:r>
      <w:r w:rsidR="00DE69D1">
        <w:rPr>
          <w:lang w:val="fr-FR"/>
        </w:rPr>
        <w:br/>
      </w:r>
      <w:r w:rsidR="001E5A68" w:rsidRPr="0036263A">
        <w:rPr>
          <w:lang w:val="fr-FR"/>
        </w:rPr>
        <w:t>dans le Code pénal</w:t>
      </w:r>
    </w:p>
    <w:p w14:paraId="74A7BB50" w14:textId="704C0544" w:rsidR="001E5A68" w:rsidRPr="0036263A" w:rsidRDefault="00B12B59" w:rsidP="00B12B59">
      <w:pPr>
        <w:pStyle w:val="SingleTxtG"/>
        <w:rPr>
          <w:lang w:val="fr-FR"/>
        </w:rPr>
      </w:pPr>
      <w:r w:rsidRPr="0036263A">
        <w:rPr>
          <w:lang w:val="fr-FR"/>
        </w:rPr>
        <w:t>13.</w:t>
      </w:r>
      <w:r w:rsidRPr="0036263A">
        <w:rPr>
          <w:lang w:val="fr-FR"/>
        </w:rPr>
        <w:tab/>
      </w:r>
      <w:r w:rsidR="00040481">
        <w:rPr>
          <w:rStyle w:val="SingleTxtGCar"/>
          <w:lang w:val="fr-FR"/>
        </w:rPr>
        <w:t xml:space="preserve">Le </w:t>
      </w:r>
      <w:r w:rsidR="0080781B" w:rsidRPr="0036263A">
        <w:rPr>
          <w:rStyle w:val="SingleTxtGCar"/>
          <w:lang w:val="fr-FR"/>
        </w:rPr>
        <w:t>Comité</w:t>
      </w:r>
      <w:r w:rsidR="001E5A68" w:rsidRPr="0036263A">
        <w:rPr>
          <w:rStyle w:val="SingleTxtGCar"/>
          <w:lang w:val="fr-FR"/>
        </w:rPr>
        <w:t xml:space="preserve"> </w:t>
      </w:r>
      <w:r w:rsidR="00040481">
        <w:rPr>
          <w:rStyle w:val="SingleTxtGCar"/>
          <w:lang w:val="fr-FR"/>
        </w:rPr>
        <w:t>note avec intérêt que</w:t>
      </w:r>
      <w:r w:rsidR="00040481" w:rsidRPr="0036263A">
        <w:rPr>
          <w:rStyle w:val="SingleTxtGCar"/>
          <w:lang w:val="fr-FR"/>
        </w:rPr>
        <w:t xml:space="preserve"> </w:t>
      </w:r>
      <w:r w:rsidR="001E5A68" w:rsidRPr="0036263A">
        <w:rPr>
          <w:rStyle w:val="SingleTxtGCar"/>
          <w:lang w:val="fr-FR"/>
        </w:rPr>
        <w:t xml:space="preserve">l’État partie </w:t>
      </w:r>
      <w:r w:rsidR="00040481">
        <w:rPr>
          <w:rStyle w:val="SingleTxtGCar"/>
          <w:lang w:val="fr-FR"/>
        </w:rPr>
        <w:t>a</w:t>
      </w:r>
      <w:r w:rsidR="001E5A68" w:rsidRPr="0036263A">
        <w:rPr>
          <w:rStyle w:val="SingleTxtGCar"/>
          <w:lang w:val="fr-FR"/>
        </w:rPr>
        <w:t xml:space="preserve"> entamé un processus législatif visant à </w:t>
      </w:r>
      <w:r w:rsidR="0000361D" w:rsidRPr="0036263A">
        <w:rPr>
          <w:rStyle w:val="SingleTxtGCar"/>
          <w:lang w:val="fr-FR"/>
        </w:rPr>
        <w:t>réviser le Code pénal</w:t>
      </w:r>
      <w:r w:rsidR="007F6903" w:rsidRPr="0036263A">
        <w:rPr>
          <w:rStyle w:val="SingleTxtGCar"/>
          <w:lang w:val="fr-FR"/>
        </w:rPr>
        <w:t xml:space="preserve"> et le Code de procédure pénale</w:t>
      </w:r>
      <w:r w:rsidR="005C50E6">
        <w:rPr>
          <w:rStyle w:val="SingleTxtGCar"/>
          <w:lang w:val="fr-FR"/>
        </w:rPr>
        <w:t xml:space="preserve"> qui permettra</w:t>
      </w:r>
      <w:r w:rsidR="0000361D" w:rsidRPr="0036263A">
        <w:rPr>
          <w:rStyle w:val="SingleTxtGCar"/>
          <w:lang w:val="fr-FR"/>
        </w:rPr>
        <w:t xml:space="preserve"> </w:t>
      </w:r>
      <w:r w:rsidR="0010488D" w:rsidRPr="0036263A">
        <w:rPr>
          <w:rStyle w:val="SingleTxtGCar"/>
          <w:lang w:val="fr-FR"/>
        </w:rPr>
        <w:t>de</w:t>
      </w:r>
      <w:r w:rsidR="0000361D" w:rsidRPr="0036263A">
        <w:rPr>
          <w:rStyle w:val="SingleTxtGCar"/>
          <w:lang w:val="fr-FR"/>
        </w:rPr>
        <w:t xml:space="preserve"> </w:t>
      </w:r>
      <w:r w:rsidR="007F6903" w:rsidRPr="0036263A">
        <w:rPr>
          <w:rStyle w:val="SingleTxtGCar"/>
          <w:lang w:val="fr-FR"/>
        </w:rPr>
        <w:t xml:space="preserve">mettre en œuvre l’intégralité des dispositions de la Convention. </w:t>
      </w:r>
      <w:r w:rsidR="00E82FBD" w:rsidRPr="0036263A">
        <w:rPr>
          <w:rStyle w:val="SingleTxtGCar"/>
          <w:lang w:val="fr-FR"/>
        </w:rPr>
        <w:t xml:space="preserve">Le Comité </w:t>
      </w:r>
      <w:r w:rsidR="009E4DA3" w:rsidRPr="0036263A">
        <w:rPr>
          <w:rStyle w:val="SingleTxtGCar"/>
          <w:lang w:val="fr-FR"/>
        </w:rPr>
        <w:t>note</w:t>
      </w:r>
      <w:r w:rsidR="00E82FBD" w:rsidRPr="0036263A">
        <w:rPr>
          <w:rStyle w:val="SingleTxtGCar"/>
          <w:lang w:val="fr-FR"/>
        </w:rPr>
        <w:t xml:space="preserve"> avec satisfaction </w:t>
      </w:r>
      <w:r w:rsidR="009E4DA3" w:rsidRPr="0036263A">
        <w:rPr>
          <w:rStyle w:val="SingleTxtGCar"/>
          <w:lang w:val="fr-FR"/>
        </w:rPr>
        <w:t xml:space="preserve">que </w:t>
      </w:r>
      <w:r w:rsidR="00FE01C9">
        <w:rPr>
          <w:rStyle w:val="SingleTxtGCar"/>
          <w:lang w:val="fr-FR"/>
        </w:rPr>
        <w:t>le projet d’article</w:t>
      </w:r>
      <w:r w:rsidR="005C50E6">
        <w:rPr>
          <w:rStyle w:val="SingleTxtGCar"/>
          <w:lang w:val="fr-FR"/>
        </w:rPr>
        <w:t xml:space="preserve"> 153</w:t>
      </w:r>
      <w:r w:rsidR="009E4DA3" w:rsidRPr="0036263A">
        <w:rPr>
          <w:rStyle w:val="SingleTxtGCar"/>
          <w:lang w:val="fr-FR"/>
        </w:rPr>
        <w:t xml:space="preserve"> </w:t>
      </w:r>
      <w:r w:rsidR="00E82FBD" w:rsidRPr="0036263A">
        <w:rPr>
          <w:rStyle w:val="SingleTxtGCar"/>
          <w:lang w:val="fr-FR"/>
        </w:rPr>
        <w:t xml:space="preserve">du </w:t>
      </w:r>
      <w:r w:rsidR="009E4DA3" w:rsidRPr="0036263A">
        <w:rPr>
          <w:rStyle w:val="SingleTxtGCar"/>
          <w:lang w:val="fr-FR"/>
        </w:rPr>
        <w:t xml:space="preserve">nouveau </w:t>
      </w:r>
      <w:r w:rsidR="00E82FBD" w:rsidRPr="0036263A">
        <w:rPr>
          <w:rStyle w:val="SingleTxtGCar"/>
          <w:lang w:val="fr-FR"/>
        </w:rPr>
        <w:t>Code péna</w:t>
      </w:r>
      <w:r w:rsidR="009E4DA3" w:rsidRPr="0036263A">
        <w:rPr>
          <w:rStyle w:val="SingleTxtGCar"/>
          <w:lang w:val="fr-FR"/>
        </w:rPr>
        <w:t>l</w:t>
      </w:r>
      <w:r w:rsidR="00E82FBD" w:rsidRPr="0036263A">
        <w:rPr>
          <w:rStyle w:val="SingleTxtGCar"/>
          <w:lang w:val="fr-FR"/>
        </w:rPr>
        <w:t xml:space="preserve"> reprend la définition de la disparition forcée </w:t>
      </w:r>
      <w:r w:rsidR="00655ED4">
        <w:rPr>
          <w:rStyle w:val="SingleTxtGCar"/>
          <w:lang w:val="fr-FR"/>
        </w:rPr>
        <w:t>figurant</w:t>
      </w:r>
      <w:r w:rsidR="00655ED4" w:rsidRPr="0036263A">
        <w:rPr>
          <w:rStyle w:val="SingleTxtGCar"/>
          <w:lang w:val="fr-FR"/>
        </w:rPr>
        <w:t xml:space="preserve"> </w:t>
      </w:r>
      <w:r w:rsidR="00E82FBD" w:rsidRPr="0036263A">
        <w:rPr>
          <w:rStyle w:val="SingleTxtGCar"/>
          <w:lang w:val="fr-FR"/>
        </w:rPr>
        <w:t>à l’article 2 de la Convention</w:t>
      </w:r>
      <w:r w:rsidR="009E4DA3" w:rsidRPr="0036263A">
        <w:rPr>
          <w:rStyle w:val="SingleTxtGCar"/>
          <w:lang w:val="fr-FR"/>
        </w:rPr>
        <w:t xml:space="preserve"> et l’érige en infraction </w:t>
      </w:r>
      <w:r w:rsidR="0046015D" w:rsidRPr="0036263A">
        <w:rPr>
          <w:rStyle w:val="SingleTxtGCar"/>
          <w:lang w:val="fr-FR"/>
        </w:rPr>
        <w:t xml:space="preserve">autonome </w:t>
      </w:r>
      <w:r w:rsidR="009E4DA3" w:rsidRPr="0036263A">
        <w:rPr>
          <w:rStyle w:val="SingleTxtGCar"/>
          <w:lang w:val="fr-FR"/>
        </w:rPr>
        <w:t>passible de sanctions</w:t>
      </w:r>
      <w:r w:rsidR="00E82FBD" w:rsidRPr="0036263A">
        <w:rPr>
          <w:rStyle w:val="SingleTxtGCar"/>
          <w:lang w:val="fr-FR"/>
        </w:rPr>
        <w:t xml:space="preserve"> </w:t>
      </w:r>
      <w:r w:rsidR="001E5A68" w:rsidRPr="0036263A">
        <w:rPr>
          <w:rStyle w:val="SingleTxtGCar"/>
          <w:lang w:val="fr-FR"/>
        </w:rPr>
        <w:t>(art. 2, 4</w:t>
      </w:r>
      <w:r w:rsidR="008B4DE1" w:rsidRPr="0036263A">
        <w:rPr>
          <w:rStyle w:val="SingleTxtGCar"/>
          <w:lang w:val="fr-FR"/>
        </w:rPr>
        <w:t>, 6</w:t>
      </w:r>
      <w:r w:rsidR="001E5A68" w:rsidRPr="0036263A">
        <w:rPr>
          <w:rStyle w:val="SingleTxtGCar"/>
          <w:lang w:val="fr-FR"/>
        </w:rPr>
        <w:t xml:space="preserve"> et 7</w:t>
      </w:r>
      <w:r w:rsidR="001E5A68" w:rsidRPr="0036263A">
        <w:rPr>
          <w:lang w:val="fr-FR"/>
        </w:rPr>
        <w:t>).</w:t>
      </w:r>
    </w:p>
    <w:p w14:paraId="61C9DC87" w14:textId="7D7AEFBC" w:rsidR="00AD45BB" w:rsidRDefault="00B12B59" w:rsidP="00B12B59">
      <w:pPr>
        <w:pStyle w:val="SingleTxtG"/>
        <w:rPr>
          <w:rStyle w:val="singletxtgcar0"/>
          <w:b/>
          <w:bCs/>
          <w:lang w:val="fr-FR"/>
        </w:rPr>
      </w:pPr>
      <w:r>
        <w:rPr>
          <w:rStyle w:val="singletxtgcar0"/>
          <w:bCs/>
          <w:lang w:val="fr-FR"/>
        </w:rPr>
        <w:lastRenderedPageBreak/>
        <w:t>14.</w:t>
      </w:r>
      <w:r>
        <w:rPr>
          <w:rStyle w:val="singletxtgcar0"/>
          <w:bCs/>
          <w:lang w:val="fr-FR"/>
        </w:rPr>
        <w:tab/>
      </w:r>
      <w:r w:rsidR="002E70B0" w:rsidRPr="0036263A">
        <w:rPr>
          <w:rStyle w:val="singletxtgcar0"/>
          <w:b/>
          <w:bCs/>
          <w:lang w:val="fr-FR"/>
        </w:rPr>
        <w:t xml:space="preserve">Le Comité recommande à </w:t>
      </w:r>
      <w:r w:rsidR="002E70B0" w:rsidRPr="0036263A">
        <w:rPr>
          <w:b/>
          <w:lang w:val="fr-FR"/>
        </w:rPr>
        <w:t>l’</w:t>
      </w:r>
      <w:r w:rsidR="002E70B0" w:rsidRPr="0036263A">
        <w:rPr>
          <w:rStyle w:val="singletxtgcar0"/>
          <w:b/>
          <w:bCs/>
          <w:lang w:val="fr-FR"/>
        </w:rPr>
        <w:t>État partie d’accélérer le processus de révision du Code pénal visant à mettre e</w:t>
      </w:r>
      <w:r w:rsidR="002A06FC" w:rsidRPr="0036263A">
        <w:rPr>
          <w:rStyle w:val="singletxtgcar0"/>
          <w:b/>
          <w:bCs/>
          <w:lang w:val="fr-FR"/>
        </w:rPr>
        <w:t>n œuvre la Convention afin de</w:t>
      </w:r>
      <w:r w:rsidR="00655ED4">
        <w:rPr>
          <w:rStyle w:val="singletxtgcar0"/>
          <w:b/>
          <w:bCs/>
          <w:lang w:val="fr-FR"/>
        </w:rPr>
        <w:t xml:space="preserve"> </w:t>
      </w:r>
      <w:r w:rsidR="002E70B0" w:rsidRPr="0036263A">
        <w:rPr>
          <w:b/>
          <w:lang w:val="fr-FR"/>
        </w:rPr>
        <w:t>d</w:t>
      </w:r>
      <w:r w:rsidR="002E70B0" w:rsidRPr="0036263A">
        <w:rPr>
          <w:rStyle w:val="singletxtgcar0"/>
          <w:b/>
          <w:bCs/>
          <w:lang w:val="fr-FR"/>
        </w:rPr>
        <w:t xml:space="preserve">éfinir et </w:t>
      </w:r>
      <w:r w:rsidR="00655ED4">
        <w:rPr>
          <w:rStyle w:val="singletxtgcar0"/>
          <w:b/>
          <w:bCs/>
          <w:lang w:val="fr-FR"/>
        </w:rPr>
        <w:t>d</w:t>
      </w:r>
      <w:r w:rsidR="00655ED4" w:rsidRPr="00655ED4">
        <w:rPr>
          <w:rStyle w:val="singletxtgcar0"/>
          <w:b/>
          <w:bCs/>
          <w:lang w:val="fr-FR"/>
        </w:rPr>
        <w:t>’</w:t>
      </w:r>
      <w:r w:rsidR="002E70B0" w:rsidRPr="0036263A">
        <w:rPr>
          <w:rStyle w:val="singletxtgcar0"/>
          <w:b/>
          <w:bCs/>
          <w:lang w:val="fr-FR"/>
        </w:rPr>
        <w:t xml:space="preserve">incriminer la disparition forcée en tant qu’infraction autonome, </w:t>
      </w:r>
      <w:r w:rsidR="002E70B0" w:rsidRPr="0036263A">
        <w:rPr>
          <w:rStyle w:val="singletxtgcar0"/>
          <w:b/>
          <w:lang w:val="fr-FR"/>
        </w:rPr>
        <w:t>conformément</w:t>
      </w:r>
      <w:r w:rsidR="002E70B0" w:rsidRPr="0036263A">
        <w:rPr>
          <w:rStyle w:val="singletxtgcar0"/>
          <w:b/>
          <w:bCs/>
          <w:lang w:val="fr-FR"/>
        </w:rPr>
        <w:t xml:space="preserve"> à la définition </w:t>
      </w:r>
      <w:r w:rsidR="00655ED4">
        <w:rPr>
          <w:rStyle w:val="singletxtgcar0"/>
          <w:b/>
          <w:bCs/>
          <w:lang w:val="fr-FR"/>
        </w:rPr>
        <w:t>figurant</w:t>
      </w:r>
      <w:r w:rsidR="00655ED4" w:rsidRPr="0036263A">
        <w:rPr>
          <w:rStyle w:val="singletxtgcar0"/>
          <w:b/>
          <w:bCs/>
          <w:lang w:val="fr-FR"/>
        </w:rPr>
        <w:t xml:space="preserve"> </w:t>
      </w:r>
      <w:r w:rsidR="004C6B3D" w:rsidRPr="0036263A">
        <w:rPr>
          <w:rStyle w:val="singletxtgcar0"/>
          <w:b/>
          <w:bCs/>
          <w:lang w:val="fr-FR"/>
        </w:rPr>
        <w:t>à</w:t>
      </w:r>
      <w:r w:rsidR="002E70B0" w:rsidRPr="0036263A">
        <w:rPr>
          <w:rStyle w:val="singletxtgcar0"/>
          <w:b/>
          <w:bCs/>
          <w:lang w:val="fr-FR"/>
        </w:rPr>
        <w:t xml:space="preserve"> l’article 2 de la Convention, et passible de peines appropriées qui prennent en compte son extrême gravité.</w:t>
      </w:r>
      <w:r w:rsidR="006E23BC" w:rsidRPr="0036263A">
        <w:rPr>
          <w:rStyle w:val="singletxtgcar0"/>
          <w:b/>
          <w:bCs/>
          <w:lang w:val="fr-FR"/>
        </w:rPr>
        <w:t xml:space="preserve"> </w:t>
      </w:r>
    </w:p>
    <w:p w14:paraId="181E199C" w14:textId="29246383" w:rsidR="006E4BFB" w:rsidRPr="006E4BFB" w:rsidRDefault="006E4BFB" w:rsidP="006E4BFB">
      <w:pPr>
        <w:pStyle w:val="H23G"/>
        <w:rPr>
          <w:rStyle w:val="singletxtgcar0"/>
          <w:bCs/>
          <w:lang w:val="fr-FR"/>
        </w:rPr>
      </w:pPr>
      <w:r>
        <w:rPr>
          <w:rStyle w:val="singletxtgcar0"/>
          <w:b w:val="0"/>
          <w:bCs/>
          <w:lang w:val="fr-FR"/>
        </w:rPr>
        <w:tab/>
      </w:r>
      <w:r>
        <w:rPr>
          <w:rStyle w:val="singletxtgcar0"/>
          <w:b w:val="0"/>
          <w:bCs/>
          <w:lang w:val="fr-FR"/>
        </w:rPr>
        <w:tab/>
      </w:r>
      <w:r w:rsidRPr="006E4BFB">
        <w:rPr>
          <w:rStyle w:val="singletxtgcar0"/>
          <w:bCs/>
          <w:lang w:val="fr-FR"/>
        </w:rPr>
        <w:t>Agents non</w:t>
      </w:r>
      <w:r w:rsidR="00B77371">
        <w:rPr>
          <w:rStyle w:val="singletxtgcar0"/>
          <w:bCs/>
          <w:lang w:val="fr-FR"/>
        </w:rPr>
        <w:t xml:space="preserve"> </w:t>
      </w:r>
      <w:r w:rsidRPr="006E4BFB">
        <w:rPr>
          <w:rStyle w:val="singletxtgcar0"/>
          <w:bCs/>
          <w:lang w:val="fr-FR"/>
        </w:rPr>
        <w:t>étatiques</w:t>
      </w:r>
    </w:p>
    <w:p w14:paraId="55C94518" w14:textId="19E190C1" w:rsidR="00255437" w:rsidRPr="00885B91" w:rsidRDefault="00B12B59" w:rsidP="00B12B59">
      <w:pPr>
        <w:pStyle w:val="SingleTxtG"/>
        <w:rPr>
          <w:rStyle w:val="singletxtgcar0"/>
          <w:b/>
          <w:bCs/>
          <w:lang w:val="fr-FR"/>
        </w:rPr>
      </w:pPr>
      <w:r w:rsidRPr="00885B91">
        <w:rPr>
          <w:rStyle w:val="singletxtgcar0"/>
          <w:bCs/>
          <w:lang w:val="fr-FR"/>
        </w:rPr>
        <w:t>15.</w:t>
      </w:r>
      <w:r w:rsidRPr="00885B91">
        <w:rPr>
          <w:rStyle w:val="singletxtgcar0"/>
          <w:bCs/>
          <w:lang w:val="fr-FR"/>
        </w:rPr>
        <w:tab/>
      </w:r>
      <w:r w:rsidR="00255437" w:rsidRPr="00885B91">
        <w:rPr>
          <w:rStyle w:val="singletxtgcar0"/>
          <w:bCs/>
          <w:lang w:val="fr-FR"/>
        </w:rPr>
        <w:t xml:space="preserve">Le Comité constate </w:t>
      </w:r>
      <w:r w:rsidR="00E8458E">
        <w:rPr>
          <w:rStyle w:val="singletxtgcar0"/>
          <w:bCs/>
          <w:lang w:val="fr-FR"/>
        </w:rPr>
        <w:t xml:space="preserve">qu’il existe </w:t>
      </w:r>
      <w:r w:rsidR="00255437" w:rsidRPr="00885B91">
        <w:rPr>
          <w:rStyle w:val="singletxtgcar0"/>
          <w:bCs/>
          <w:lang w:val="fr-FR"/>
        </w:rPr>
        <w:t xml:space="preserve">une incertitude </w:t>
      </w:r>
      <w:r w:rsidR="00E8458E">
        <w:rPr>
          <w:rStyle w:val="singletxtgcar0"/>
          <w:bCs/>
          <w:lang w:val="fr-FR"/>
        </w:rPr>
        <w:t xml:space="preserve">dans le droit sénégalais </w:t>
      </w:r>
      <w:r w:rsidR="00873D46">
        <w:rPr>
          <w:rStyle w:val="singletxtgcar0"/>
          <w:bCs/>
          <w:lang w:val="fr-FR"/>
        </w:rPr>
        <w:t>quant à</w:t>
      </w:r>
      <w:r w:rsidR="00873D46" w:rsidRPr="00885B91">
        <w:rPr>
          <w:rStyle w:val="singletxtgcar0"/>
          <w:bCs/>
          <w:lang w:val="fr-FR"/>
        </w:rPr>
        <w:t xml:space="preserve"> </w:t>
      </w:r>
      <w:r w:rsidR="00255437" w:rsidRPr="00885B91">
        <w:rPr>
          <w:rStyle w:val="singletxtgcar0"/>
          <w:bCs/>
          <w:lang w:val="fr-FR"/>
        </w:rPr>
        <w:t>l’application de la Convention à des agissements commis par des agents non</w:t>
      </w:r>
      <w:r w:rsidR="00B77371">
        <w:rPr>
          <w:rStyle w:val="singletxtgcar0"/>
          <w:bCs/>
          <w:lang w:val="fr-FR"/>
        </w:rPr>
        <w:t xml:space="preserve"> </w:t>
      </w:r>
      <w:r w:rsidR="00255437" w:rsidRPr="00885B91">
        <w:rPr>
          <w:rStyle w:val="singletxtgcar0"/>
          <w:bCs/>
          <w:lang w:val="fr-FR"/>
        </w:rPr>
        <w:t xml:space="preserve">étatiques et </w:t>
      </w:r>
      <w:r w:rsidR="00873D46">
        <w:rPr>
          <w:rStyle w:val="singletxtgcar0"/>
          <w:bCs/>
          <w:lang w:val="fr-FR"/>
        </w:rPr>
        <w:t>aux</w:t>
      </w:r>
      <w:r w:rsidR="00E8458E">
        <w:rPr>
          <w:rStyle w:val="singletxtgcar0"/>
          <w:bCs/>
          <w:lang w:val="fr-FR"/>
        </w:rPr>
        <w:t xml:space="preserve"> </w:t>
      </w:r>
      <w:r w:rsidR="00255437" w:rsidRPr="00885B91">
        <w:rPr>
          <w:rStyle w:val="singletxtgcar0"/>
          <w:bCs/>
          <w:lang w:val="fr-FR"/>
        </w:rPr>
        <w:t>conséquences qui en sont tirées pour les droits des victimes (art. 3)</w:t>
      </w:r>
      <w:r w:rsidR="00885B91">
        <w:rPr>
          <w:rStyle w:val="singletxtgcar0"/>
          <w:bCs/>
          <w:lang w:val="fr-FR"/>
        </w:rPr>
        <w:t>.</w:t>
      </w:r>
    </w:p>
    <w:p w14:paraId="256C983D" w14:textId="1072A99C" w:rsidR="00255437" w:rsidRPr="00707E14" w:rsidRDefault="00B12B59" w:rsidP="00B12B59">
      <w:pPr>
        <w:pStyle w:val="SingleTxtG"/>
        <w:rPr>
          <w:rStyle w:val="singletxtgcar0"/>
          <w:b/>
          <w:bCs/>
          <w:lang w:val="fr-FR"/>
        </w:rPr>
      </w:pPr>
      <w:r w:rsidRPr="00707E14">
        <w:rPr>
          <w:rStyle w:val="singletxtgcar0"/>
          <w:bCs/>
          <w:lang w:val="fr-FR"/>
        </w:rPr>
        <w:t>16.</w:t>
      </w:r>
      <w:r w:rsidRPr="00707E14">
        <w:rPr>
          <w:rStyle w:val="singletxtgcar0"/>
          <w:bCs/>
          <w:lang w:val="fr-FR"/>
        </w:rPr>
        <w:tab/>
      </w:r>
      <w:r w:rsidR="00255437" w:rsidRPr="00707E14">
        <w:rPr>
          <w:rStyle w:val="singletxtgcar0"/>
          <w:b/>
          <w:bCs/>
          <w:lang w:val="fr-FR"/>
        </w:rPr>
        <w:t xml:space="preserve">Le Comité </w:t>
      </w:r>
      <w:r w:rsidR="00707E14">
        <w:rPr>
          <w:rStyle w:val="singletxtgcar0"/>
          <w:b/>
          <w:bCs/>
          <w:lang w:val="fr-FR"/>
        </w:rPr>
        <w:t>encourage l’État partie à</w:t>
      </w:r>
      <w:r w:rsidR="00707E14" w:rsidRPr="00707E14">
        <w:rPr>
          <w:b/>
          <w:bCs/>
        </w:rPr>
        <w:t xml:space="preserve"> </w:t>
      </w:r>
      <w:r w:rsidR="00707E14">
        <w:rPr>
          <w:b/>
          <w:bCs/>
        </w:rPr>
        <w:t xml:space="preserve">intégrer dans le droit interne </w:t>
      </w:r>
      <w:r w:rsidR="00C2575D">
        <w:rPr>
          <w:b/>
          <w:bCs/>
        </w:rPr>
        <w:t>les mesures énoncées à l’article 3 de la Convention relatives aux</w:t>
      </w:r>
      <w:r w:rsidR="00707E14">
        <w:rPr>
          <w:b/>
          <w:bCs/>
        </w:rPr>
        <w:t xml:space="preserve"> </w:t>
      </w:r>
      <w:r w:rsidR="00707E14" w:rsidRPr="00707E14">
        <w:rPr>
          <w:b/>
          <w:bCs/>
        </w:rPr>
        <w:t xml:space="preserve">agissements définis à l’article 2 de la Convention commis par des groupes de personnes sans l’autorisation, l’appui ou l’acquiescement d’agents de l’État. </w:t>
      </w:r>
    </w:p>
    <w:p w14:paraId="521932ED" w14:textId="77777777" w:rsidR="00253A35" w:rsidRPr="0036263A" w:rsidRDefault="006E4BFB" w:rsidP="006E4BFB">
      <w:pPr>
        <w:pStyle w:val="H23G"/>
        <w:rPr>
          <w:bCs/>
          <w:lang w:val="fr-FR"/>
        </w:rPr>
      </w:pPr>
      <w:r>
        <w:rPr>
          <w:lang w:val="fr-FR"/>
        </w:rPr>
        <w:tab/>
      </w:r>
      <w:r>
        <w:rPr>
          <w:lang w:val="fr-FR"/>
        </w:rPr>
        <w:tab/>
      </w:r>
      <w:r w:rsidR="00253A35" w:rsidRPr="0036263A">
        <w:rPr>
          <w:lang w:val="fr-FR"/>
        </w:rPr>
        <w:t>Incrimination de la disparition forcée constitutive d’un crime contre l’humanité</w:t>
      </w:r>
    </w:p>
    <w:p w14:paraId="2BC394FA" w14:textId="23871663" w:rsidR="0091557A" w:rsidRPr="0036263A" w:rsidRDefault="00B12B59" w:rsidP="00B12B59">
      <w:pPr>
        <w:pStyle w:val="SingleTxtG"/>
        <w:rPr>
          <w:lang w:val="fr-FR"/>
        </w:rPr>
      </w:pPr>
      <w:r w:rsidRPr="0036263A">
        <w:rPr>
          <w:lang w:val="fr-FR"/>
        </w:rPr>
        <w:t>17.</w:t>
      </w:r>
      <w:r w:rsidRPr="0036263A">
        <w:rPr>
          <w:lang w:val="fr-FR"/>
        </w:rPr>
        <w:tab/>
      </w:r>
      <w:r w:rsidR="00727106" w:rsidRPr="0036263A">
        <w:rPr>
          <w:lang w:val="fr-FR"/>
        </w:rPr>
        <w:t xml:space="preserve">Le Comité </w:t>
      </w:r>
      <w:r w:rsidR="00120DEA" w:rsidRPr="0036263A">
        <w:rPr>
          <w:lang w:val="fr-FR"/>
        </w:rPr>
        <w:t xml:space="preserve">prend acte </w:t>
      </w:r>
      <w:r w:rsidR="00D143CE">
        <w:rPr>
          <w:lang w:val="fr-FR"/>
        </w:rPr>
        <w:t xml:space="preserve">de ce qu’en vertu de </w:t>
      </w:r>
      <w:r w:rsidR="009222F3" w:rsidRPr="0036263A">
        <w:rPr>
          <w:lang w:val="fr-FR"/>
        </w:rPr>
        <w:t>l’article 431-2</w:t>
      </w:r>
      <w:r w:rsidR="009222F3">
        <w:rPr>
          <w:lang w:val="fr-FR"/>
        </w:rPr>
        <w:t xml:space="preserve"> du </w:t>
      </w:r>
      <w:r w:rsidR="00F340C0">
        <w:rPr>
          <w:lang w:val="fr-FR"/>
        </w:rPr>
        <w:t xml:space="preserve">Code </w:t>
      </w:r>
      <w:r w:rsidR="009222F3">
        <w:rPr>
          <w:lang w:val="fr-FR"/>
        </w:rPr>
        <w:t>pénal sénégalais</w:t>
      </w:r>
      <w:r w:rsidR="00D143CE">
        <w:rPr>
          <w:lang w:val="fr-FR"/>
        </w:rPr>
        <w:t xml:space="preserve">, </w:t>
      </w:r>
      <w:r w:rsidR="00D85386" w:rsidRPr="0036263A">
        <w:rPr>
          <w:lang w:val="fr-FR"/>
        </w:rPr>
        <w:t xml:space="preserve">« la réduction en esclavage ou </w:t>
      </w:r>
      <w:r w:rsidR="009727C5" w:rsidRPr="0036263A">
        <w:rPr>
          <w:lang w:val="fr-FR"/>
        </w:rPr>
        <w:t xml:space="preserve">la pratique massive et systématique </w:t>
      </w:r>
      <w:r w:rsidR="00D85386" w:rsidRPr="0036263A">
        <w:rPr>
          <w:lang w:val="fr-FR"/>
        </w:rPr>
        <w:t xml:space="preserve">d’exécutions sommaires, </w:t>
      </w:r>
      <w:r w:rsidR="009727C5" w:rsidRPr="0036263A">
        <w:rPr>
          <w:lang w:val="fr-FR"/>
        </w:rPr>
        <w:t>d’enlèvement de personnes suivi de leur disparition</w:t>
      </w:r>
      <w:r w:rsidR="00D85386" w:rsidRPr="0036263A">
        <w:rPr>
          <w:lang w:val="fr-FR"/>
        </w:rPr>
        <w:t> »</w:t>
      </w:r>
      <w:r w:rsidR="00727106" w:rsidRPr="0036263A">
        <w:rPr>
          <w:lang w:val="fr-FR"/>
        </w:rPr>
        <w:t xml:space="preserve"> </w:t>
      </w:r>
      <w:r w:rsidR="00F14980" w:rsidRPr="0036263A">
        <w:rPr>
          <w:lang w:val="fr-FR"/>
        </w:rPr>
        <w:t>constitue un</w:t>
      </w:r>
      <w:r w:rsidR="00727106" w:rsidRPr="0036263A">
        <w:rPr>
          <w:lang w:val="fr-FR"/>
        </w:rPr>
        <w:t xml:space="preserve"> crime contre l’humanité</w:t>
      </w:r>
      <w:r w:rsidR="007070DC" w:rsidRPr="0036263A">
        <w:rPr>
          <w:lang w:val="fr-FR"/>
        </w:rPr>
        <w:t>.</w:t>
      </w:r>
      <w:r w:rsidR="00D85386" w:rsidRPr="0036263A">
        <w:rPr>
          <w:lang w:val="fr-FR"/>
        </w:rPr>
        <w:t xml:space="preserve"> Cependant, le </w:t>
      </w:r>
      <w:r w:rsidR="000230E1" w:rsidRPr="0036263A">
        <w:rPr>
          <w:lang w:val="fr-FR"/>
        </w:rPr>
        <w:t xml:space="preserve">Comité note avec préoccupation </w:t>
      </w:r>
      <w:r w:rsidR="009A1AC1">
        <w:rPr>
          <w:lang w:val="fr-FR"/>
        </w:rPr>
        <w:t xml:space="preserve">que </w:t>
      </w:r>
      <w:r w:rsidR="00DD5B0E">
        <w:rPr>
          <w:lang w:val="fr-FR"/>
        </w:rPr>
        <w:t>cette disposition</w:t>
      </w:r>
      <w:r w:rsidR="009A1AC1">
        <w:rPr>
          <w:lang w:val="fr-FR"/>
        </w:rPr>
        <w:t xml:space="preserve">, qui omet de définir la disparition forcée, </w:t>
      </w:r>
      <w:r w:rsidR="00471597" w:rsidRPr="0036263A">
        <w:rPr>
          <w:lang w:val="fr-FR"/>
        </w:rPr>
        <w:t>n’évoque pas les</w:t>
      </w:r>
      <w:r w:rsidR="00785F1D" w:rsidRPr="0036263A">
        <w:rPr>
          <w:lang w:val="fr-FR"/>
        </w:rPr>
        <w:t xml:space="preserve"> conséquences que la pratique systématique ou généralisée de la disparition forcée entraîne, comme le </w:t>
      </w:r>
      <w:r w:rsidR="000C651D" w:rsidRPr="0036263A">
        <w:rPr>
          <w:lang w:val="fr-FR"/>
        </w:rPr>
        <w:t>requi</w:t>
      </w:r>
      <w:r w:rsidR="000C651D">
        <w:rPr>
          <w:lang w:val="fr-FR"/>
        </w:rPr>
        <w:t>ert</w:t>
      </w:r>
      <w:r w:rsidR="000C651D" w:rsidRPr="0036263A">
        <w:rPr>
          <w:lang w:val="fr-FR"/>
        </w:rPr>
        <w:t xml:space="preserve"> </w:t>
      </w:r>
      <w:r w:rsidR="00785F1D" w:rsidRPr="0036263A">
        <w:rPr>
          <w:lang w:val="fr-FR"/>
        </w:rPr>
        <w:t>l’article 5 de la Convention</w:t>
      </w:r>
      <w:r w:rsidR="000230E1" w:rsidRPr="0036263A">
        <w:rPr>
          <w:lang w:val="fr-FR"/>
        </w:rPr>
        <w:t xml:space="preserve">. </w:t>
      </w:r>
      <w:r w:rsidR="007D01F9" w:rsidRPr="0036263A">
        <w:rPr>
          <w:lang w:val="fr-FR"/>
        </w:rPr>
        <w:t xml:space="preserve">En </w:t>
      </w:r>
      <w:r w:rsidR="00255437">
        <w:rPr>
          <w:lang w:val="fr-FR"/>
        </w:rPr>
        <w:t>particulier</w:t>
      </w:r>
      <w:r w:rsidR="007D01F9" w:rsidRPr="0036263A">
        <w:rPr>
          <w:lang w:val="fr-FR"/>
        </w:rPr>
        <w:t xml:space="preserve">, la formulation de l’article 431-2 suggère </w:t>
      </w:r>
      <w:r w:rsidR="00484D6D">
        <w:rPr>
          <w:lang w:val="fr-FR"/>
        </w:rPr>
        <w:t xml:space="preserve">à tort </w:t>
      </w:r>
      <w:r w:rsidR="007D01F9" w:rsidRPr="0036263A">
        <w:rPr>
          <w:lang w:val="fr-FR"/>
        </w:rPr>
        <w:t xml:space="preserve">que la disparition forcée ne constitue un crime contre l’humanité que si elle est précédée </w:t>
      </w:r>
      <w:r w:rsidR="00CC1181">
        <w:rPr>
          <w:lang w:val="fr-FR"/>
        </w:rPr>
        <w:t>de</w:t>
      </w:r>
      <w:r w:rsidR="00CC1181" w:rsidRPr="0036263A">
        <w:rPr>
          <w:lang w:val="fr-FR"/>
        </w:rPr>
        <w:t xml:space="preserve"> </w:t>
      </w:r>
      <w:r w:rsidR="007D01F9" w:rsidRPr="0036263A">
        <w:rPr>
          <w:lang w:val="fr-FR"/>
        </w:rPr>
        <w:t xml:space="preserve">l’enlèvement de personnes </w:t>
      </w:r>
      <w:r w:rsidR="002E70B0" w:rsidRPr="0036263A">
        <w:rPr>
          <w:lang w:val="fr-FR"/>
        </w:rPr>
        <w:t>(art. 5).</w:t>
      </w:r>
    </w:p>
    <w:p w14:paraId="0936FD5C" w14:textId="05FBAF77" w:rsidR="003A1E74" w:rsidRPr="0036263A" w:rsidRDefault="00B12B59" w:rsidP="00B12B59">
      <w:pPr>
        <w:pStyle w:val="SingleTxtG"/>
      </w:pPr>
      <w:r w:rsidRPr="0036263A">
        <w:t>18.</w:t>
      </w:r>
      <w:r w:rsidRPr="0036263A">
        <w:tab/>
      </w:r>
      <w:r w:rsidR="002E70B0" w:rsidRPr="0053586E">
        <w:rPr>
          <w:b/>
          <w:lang w:val="fr-FR"/>
        </w:rPr>
        <w:t xml:space="preserve">Le Comité recommande à l’État partie de </w:t>
      </w:r>
      <w:r w:rsidR="00884671">
        <w:rPr>
          <w:b/>
          <w:lang w:val="fr-FR"/>
        </w:rPr>
        <w:t>modifier</w:t>
      </w:r>
      <w:r w:rsidR="002E70B0" w:rsidRPr="0053586E">
        <w:rPr>
          <w:b/>
          <w:lang w:val="fr-FR"/>
        </w:rPr>
        <w:t xml:space="preserve"> sa législation pénale relative à la disparition forcée constitutive d’un crime contre l’humanité (notamment </w:t>
      </w:r>
      <w:r w:rsidR="00A1044C">
        <w:rPr>
          <w:b/>
          <w:lang w:val="fr-FR"/>
        </w:rPr>
        <w:t>l</w:t>
      </w:r>
      <w:r w:rsidR="00A1044C" w:rsidRPr="00A1044C">
        <w:rPr>
          <w:b/>
          <w:lang w:val="fr-FR"/>
        </w:rPr>
        <w:t>’</w:t>
      </w:r>
      <w:r w:rsidR="00A1044C">
        <w:rPr>
          <w:b/>
          <w:lang w:val="fr-FR"/>
        </w:rPr>
        <w:t>alinéa</w:t>
      </w:r>
      <w:r w:rsidR="00DE69D1">
        <w:rPr>
          <w:b/>
          <w:lang w:val="fr-FR"/>
        </w:rPr>
        <w:t> </w:t>
      </w:r>
      <w:r w:rsidR="00A1044C">
        <w:rPr>
          <w:b/>
          <w:lang w:val="fr-FR"/>
        </w:rPr>
        <w:t>6 du</w:t>
      </w:r>
      <w:r w:rsidR="002E70B0" w:rsidRPr="0053586E">
        <w:rPr>
          <w:b/>
          <w:lang w:val="fr-FR"/>
        </w:rPr>
        <w:t xml:space="preserve"> paragraphe 1 de l’article 431-2 du Code pénal) afin d’en garantir sa conformité avec l’article 5 de la Convention</w:t>
      </w:r>
      <w:r w:rsidR="009A1AC1" w:rsidRPr="0053586E">
        <w:rPr>
          <w:b/>
          <w:lang w:val="fr-FR"/>
        </w:rPr>
        <w:t>. L</w:t>
      </w:r>
      <w:r w:rsidR="002E70B0" w:rsidRPr="0053586E">
        <w:rPr>
          <w:b/>
          <w:lang w:val="fr-FR"/>
        </w:rPr>
        <w:t xml:space="preserve">e Comité </w:t>
      </w:r>
      <w:r w:rsidR="002A06FC" w:rsidRPr="0053586E">
        <w:rPr>
          <w:b/>
          <w:lang w:val="fr-FR"/>
        </w:rPr>
        <w:t>r</w:t>
      </w:r>
      <w:r w:rsidR="00292C06" w:rsidRPr="0053586E">
        <w:rPr>
          <w:b/>
          <w:lang w:val="fr-FR"/>
        </w:rPr>
        <w:t xml:space="preserve">ecommande </w:t>
      </w:r>
      <w:r w:rsidR="0053586E" w:rsidRPr="0053586E">
        <w:rPr>
          <w:b/>
          <w:lang w:val="fr-FR"/>
        </w:rPr>
        <w:t>en particulier</w:t>
      </w:r>
      <w:r w:rsidR="00595D12">
        <w:rPr>
          <w:b/>
          <w:lang w:val="fr-FR"/>
        </w:rPr>
        <w:t xml:space="preserve"> </w:t>
      </w:r>
      <w:r w:rsidR="0053586E" w:rsidRPr="0053586E">
        <w:rPr>
          <w:b/>
          <w:lang w:val="fr-FR"/>
        </w:rPr>
        <w:t>q</w:t>
      </w:r>
      <w:r w:rsidR="009A1AC1" w:rsidRPr="0053586E">
        <w:rPr>
          <w:b/>
          <w:lang w:val="fr-FR"/>
        </w:rPr>
        <w:t xml:space="preserve">ue </w:t>
      </w:r>
      <w:r w:rsidR="00114222" w:rsidRPr="0053586E">
        <w:rPr>
          <w:b/>
          <w:lang w:val="fr-FR"/>
        </w:rPr>
        <w:t>la disparition forcée</w:t>
      </w:r>
      <w:r w:rsidR="002E70B0" w:rsidRPr="0053586E">
        <w:rPr>
          <w:b/>
          <w:lang w:val="fr-FR"/>
        </w:rPr>
        <w:t xml:space="preserve"> soit mentionné</w:t>
      </w:r>
      <w:r w:rsidR="00E64596" w:rsidRPr="0053586E">
        <w:rPr>
          <w:b/>
          <w:lang w:val="fr-FR"/>
        </w:rPr>
        <w:t>e</w:t>
      </w:r>
      <w:r w:rsidR="002E70B0" w:rsidRPr="0053586E">
        <w:rPr>
          <w:b/>
          <w:lang w:val="fr-FR"/>
        </w:rPr>
        <w:t xml:space="preserve"> séparément de la réduction en esclava</w:t>
      </w:r>
      <w:r w:rsidR="00114222" w:rsidRPr="0053586E">
        <w:rPr>
          <w:b/>
          <w:lang w:val="fr-FR"/>
        </w:rPr>
        <w:t xml:space="preserve">ge et </w:t>
      </w:r>
      <w:r w:rsidR="00B73A3C">
        <w:rPr>
          <w:b/>
          <w:lang w:val="fr-FR"/>
        </w:rPr>
        <w:t xml:space="preserve">de </w:t>
      </w:r>
      <w:r w:rsidR="00114222" w:rsidRPr="0053586E">
        <w:rPr>
          <w:b/>
          <w:lang w:val="fr-FR"/>
        </w:rPr>
        <w:t>l’enlèvement de personnes</w:t>
      </w:r>
      <w:r w:rsidR="00282587">
        <w:rPr>
          <w:b/>
          <w:lang w:val="fr-FR"/>
        </w:rPr>
        <w:t>,</w:t>
      </w:r>
      <w:r w:rsidR="00850E73" w:rsidRPr="0053586E">
        <w:rPr>
          <w:b/>
          <w:lang w:val="fr-FR"/>
        </w:rPr>
        <w:t xml:space="preserve"> </w:t>
      </w:r>
      <w:r w:rsidR="0053586E" w:rsidRPr="0053586E">
        <w:rPr>
          <w:b/>
          <w:lang w:val="fr-FR"/>
        </w:rPr>
        <w:t xml:space="preserve">et que </w:t>
      </w:r>
      <w:r w:rsidR="00850E73" w:rsidRPr="0053586E">
        <w:rPr>
          <w:b/>
          <w:lang w:val="fr-FR"/>
        </w:rPr>
        <w:t xml:space="preserve">l’article 431-2 fasse </w:t>
      </w:r>
      <w:r w:rsidR="00D3419D" w:rsidRPr="0053586E">
        <w:rPr>
          <w:b/>
          <w:lang w:val="fr-FR"/>
        </w:rPr>
        <w:t>explicitement</w:t>
      </w:r>
      <w:r w:rsidR="00850E73" w:rsidRPr="0053586E">
        <w:rPr>
          <w:b/>
          <w:lang w:val="fr-FR"/>
        </w:rPr>
        <w:t xml:space="preserve"> mention </w:t>
      </w:r>
      <w:r w:rsidR="00471597" w:rsidRPr="0053586E">
        <w:rPr>
          <w:b/>
          <w:lang w:val="fr-FR"/>
        </w:rPr>
        <w:t xml:space="preserve">de l’acte de </w:t>
      </w:r>
      <w:r w:rsidR="00850E73" w:rsidRPr="0053586E">
        <w:rPr>
          <w:b/>
          <w:lang w:val="fr-FR"/>
        </w:rPr>
        <w:t>disparition forcée constituti</w:t>
      </w:r>
      <w:r w:rsidR="00FE0381" w:rsidRPr="0053586E">
        <w:rPr>
          <w:b/>
          <w:lang w:val="fr-FR"/>
        </w:rPr>
        <w:t>ve d’un crime contre l’humanité</w:t>
      </w:r>
      <w:r w:rsidR="00850E73" w:rsidRPr="0053586E">
        <w:rPr>
          <w:b/>
          <w:lang w:val="fr-FR"/>
        </w:rPr>
        <w:t xml:space="preserve">. </w:t>
      </w:r>
    </w:p>
    <w:p w14:paraId="1DA2714A" w14:textId="55FF7B50" w:rsidR="003A1E74" w:rsidRPr="0036263A" w:rsidRDefault="006E4BFB" w:rsidP="006E4BFB">
      <w:pPr>
        <w:pStyle w:val="H23G"/>
        <w:rPr>
          <w:b w:val="0"/>
        </w:rPr>
      </w:pPr>
      <w:r>
        <w:rPr>
          <w:lang w:val="fr-FR"/>
        </w:rPr>
        <w:tab/>
      </w:r>
      <w:r>
        <w:rPr>
          <w:lang w:val="fr-FR"/>
        </w:rPr>
        <w:tab/>
      </w:r>
      <w:r w:rsidR="004E40F9">
        <w:rPr>
          <w:lang w:val="fr-FR"/>
        </w:rPr>
        <w:t>Responsabilité pénale des supérieurs hiérarchiques</w:t>
      </w:r>
    </w:p>
    <w:p w14:paraId="7BE0E691" w14:textId="0AF577A5" w:rsidR="003A1E74" w:rsidRPr="0036263A" w:rsidRDefault="00B12B59" w:rsidP="00B12B59">
      <w:pPr>
        <w:pStyle w:val="SingleTxtG"/>
        <w:rPr>
          <w:b/>
          <w:lang w:val="fr-FR"/>
        </w:rPr>
      </w:pPr>
      <w:r w:rsidRPr="0036263A">
        <w:rPr>
          <w:lang w:val="fr-FR"/>
        </w:rPr>
        <w:t>19.</w:t>
      </w:r>
      <w:r w:rsidRPr="0036263A">
        <w:rPr>
          <w:lang w:val="fr-FR"/>
        </w:rPr>
        <w:tab/>
      </w:r>
      <w:r w:rsidR="00B23B9E" w:rsidRPr="0036263A">
        <w:rPr>
          <w:lang w:val="fr-FR"/>
        </w:rPr>
        <w:t xml:space="preserve">Le Comité prend </w:t>
      </w:r>
      <w:r w:rsidR="003A1E74" w:rsidRPr="0036263A">
        <w:rPr>
          <w:lang w:val="fr-FR"/>
        </w:rPr>
        <w:t>act</w:t>
      </w:r>
      <w:r w:rsidR="00B23B9E" w:rsidRPr="0036263A">
        <w:rPr>
          <w:lang w:val="fr-FR"/>
        </w:rPr>
        <w:t>e du fait</w:t>
      </w:r>
      <w:r w:rsidR="00D443AF" w:rsidRPr="0036263A">
        <w:rPr>
          <w:szCs w:val="18"/>
        </w:rPr>
        <w:t xml:space="preserve"> </w:t>
      </w:r>
      <w:r w:rsidR="00B23B9E" w:rsidRPr="0036263A">
        <w:rPr>
          <w:szCs w:val="18"/>
        </w:rPr>
        <w:t>qu</w:t>
      </w:r>
      <w:r w:rsidR="0090481D">
        <w:rPr>
          <w:szCs w:val="18"/>
        </w:rPr>
        <w:t xml:space="preserve">e la </w:t>
      </w:r>
      <w:r w:rsidR="00B23B9E" w:rsidRPr="0036263A">
        <w:rPr>
          <w:szCs w:val="18"/>
        </w:rPr>
        <w:t>réforme du</w:t>
      </w:r>
      <w:r w:rsidR="00D443AF" w:rsidRPr="0036263A">
        <w:rPr>
          <w:szCs w:val="18"/>
        </w:rPr>
        <w:t xml:space="preserve"> Code pénal sénégalais </w:t>
      </w:r>
      <w:r w:rsidR="0090481D">
        <w:rPr>
          <w:szCs w:val="18"/>
        </w:rPr>
        <w:t>prévoit</w:t>
      </w:r>
      <w:r w:rsidR="00B23B9E" w:rsidRPr="0036263A">
        <w:rPr>
          <w:szCs w:val="18"/>
        </w:rPr>
        <w:t xml:space="preserve"> </w:t>
      </w:r>
      <w:r w:rsidR="00800A08">
        <w:rPr>
          <w:szCs w:val="18"/>
        </w:rPr>
        <w:t>d’incorporer</w:t>
      </w:r>
      <w:r w:rsidR="003C4EB9" w:rsidRPr="0036263A">
        <w:rPr>
          <w:szCs w:val="18"/>
        </w:rPr>
        <w:t xml:space="preserve"> les dispositions de l’article 6 de la Convention concernant</w:t>
      </w:r>
      <w:r w:rsidR="00D443AF" w:rsidRPr="0036263A">
        <w:rPr>
          <w:szCs w:val="18"/>
        </w:rPr>
        <w:t xml:space="preserve"> la responsabilité du supérieur hiérarchique et l’exclusion de </w:t>
      </w:r>
      <w:r w:rsidR="00A74DE2" w:rsidRPr="0036263A">
        <w:rPr>
          <w:szCs w:val="18"/>
        </w:rPr>
        <w:t>tout</w:t>
      </w:r>
      <w:r w:rsidR="00D443AF" w:rsidRPr="0036263A">
        <w:rPr>
          <w:szCs w:val="18"/>
        </w:rPr>
        <w:t xml:space="preserve"> ordre ou instruction comme justification</w:t>
      </w:r>
      <w:r w:rsidR="00951424">
        <w:rPr>
          <w:szCs w:val="18"/>
        </w:rPr>
        <w:t>, contrairement à l’état actuel du droit</w:t>
      </w:r>
      <w:r w:rsidR="00D443AF" w:rsidRPr="0036263A">
        <w:rPr>
          <w:szCs w:val="18"/>
        </w:rPr>
        <w:t xml:space="preserve"> </w:t>
      </w:r>
      <w:r w:rsidR="00CF3053" w:rsidRPr="0036263A">
        <w:rPr>
          <w:szCs w:val="18"/>
        </w:rPr>
        <w:t>(art. 1</w:t>
      </w:r>
      <w:r w:rsidR="00BA748E" w:rsidRPr="00B12B59">
        <w:rPr>
          <w:szCs w:val="18"/>
          <w:vertAlign w:val="superscript"/>
        </w:rPr>
        <w:t>er</w:t>
      </w:r>
      <w:r w:rsidR="00CF3053" w:rsidRPr="0036263A">
        <w:rPr>
          <w:szCs w:val="18"/>
        </w:rPr>
        <w:t>, 2, 4, 6 et 7).</w:t>
      </w:r>
    </w:p>
    <w:p w14:paraId="7DFA3BD6" w14:textId="74480BB1" w:rsidR="00914AD8" w:rsidRDefault="00B12B59" w:rsidP="00B12B59">
      <w:pPr>
        <w:pStyle w:val="SingleTxtG"/>
        <w:rPr>
          <w:b/>
          <w:lang w:val="fr-FR"/>
        </w:rPr>
      </w:pPr>
      <w:r>
        <w:rPr>
          <w:lang w:val="fr-FR"/>
        </w:rPr>
        <w:t>20.</w:t>
      </w:r>
      <w:r>
        <w:rPr>
          <w:lang w:val="fr-FR"/>
        </w:rPr>
        <w:tab/>
      </w:r>
      <w:r w:rsidR="001E5A68" w:rsidRPr="00914AD8">
        <w:rPr>
          <w:b/>
          <w:lang w:val="fr-FR"/>
        </w:rPr>
        <w:t>Le Comité recommande à l’</w:t>
      </w:r>
      <w:r w:rsidR="00735423" w:rsidRPr="00914AD8">
        <w:rPr>
          <w:b/>
          <w:lang w:val="fr-FR"/>
        </w:rPr>
        <w:t>État</w:t>
      </w:r>
      <w:r w:rsidR="001E5A68" w:rsidRPr="00914AD8">
        <w:rPr>
          <w:b/>
          <w:lang w:val="fr-FR"/>
        </w:rPr>
        <w:t xml:space="preserve"> partie</w:t>
      </w:r>
      <w:r w:rsidR="00134458" w:rsidRPr="00914AD8">
        <w:rPr>
          <w:b/>
          <w:lang w:val="fr-FR"/>
        </w:rPr>
        <w:t xml:space="preserve"> de</w:t>
      </w:r>
      <w:r w:rsidR="003C4EB9" w:rsidRPr="00914AD8">
        <w:rPr>
          <w:b/>
          <w:lang w:val="fr-FR"/>
        </w:rPr>
        <w:t xml:space="preserve"> faire en sorte que le nouveau texte du Code pénal</w:t>
      </w:r>
      <w:r w:rsidR="00134458" w:rsidRPr="00914AD8">
        <w:rPr>
          <w:b/>
          <w:lang w:val="fr-FR"/>
        </w:rPr>
        <w:t xml:space="preserve"> soit</w:t>
      </w:r>
      <w:r w:rsidR="00943084" w:rsidRPr="00914AD8">
        <w:rPr>
          <w:b/>
          <w:lang w:val="fr-FR"/>
        </w:rPr>
        <w:t xml:space="preserve"> pleinement conforme aux dispositions </w:t>
      </w:r>
      <w:r w:rsidR="003A5021" w:rsidRPr="00914AD8">
        <w:rPr>
          <w:b/>
          <w:lang w:val="fr-FR"/>
        </w:rPr>
        <w:t>de la Convention</w:t>
      </w:r>
      <w:r w:rsidR="00951424">
        <w:rPr>
          <w:b/>
          <w:lang w:val="fr-FR"/>
        </w:rPr>
        <w:t>, en prévoyant la responsabilité du supérieur hiérarchique au sens du paragraphe 2 de l’article 6.</w:t>
      </w:r>
    </w:p>
    <w:p w14:paraId="03D687FE" w14:textId="77777777" w:rsidR="00914AD8" w:rsidRDefault="006E4BFB" w:rsidP="006E4BFB">
      <w:pPr>
        <w:pStyle w:val="H23G"/>
        <w:rPr>
          <w:b w:val="0"/>
          <w:lang w:val="fr-FR"/>
        </w:rPr>
      </w:pPr>
      <w:r>
        <w:rPr>
          <w:lang w:val="fr-FR"/>
        </w:rPr>
        <w:tab/>
      </w:r>
      <w:r>
        <w:rPr>
          <w:lang w:val="fr-FR"/>
        </w:rPr>
        <w:tab/>
      </w:r>
      <w:r w:rsidR="00914AD8" w:rsidRPr="003A5021">
        <w:rPr>
          <w:lang w:val="fr-FR"/>
        </w:rPr>
        <w:t xml:space="preserve">Circonstances atténuantes et aggravantes </w:t>
      </w:r>
    </w:p>
    <w:p w14:paraId="582BC981" w14:textId="61B83EA4" w:rsidR="003A1E74" w:rsidRPr="00914AD8" w:rsidRDefault="00B12B59" w:rsidP="00B12B59">
      <w:pPr>
        <w:pStyle w:val="SingleTxtG"/>
        <w:rPr>
          <w:rStyle w:val="SingleTxtGCar"/>
          <w:b/>
          <w:lang w:val="fr-FR"/>
        </w:rPr>
      </w:pPr>
      <w:r w:rsidRPr="00914AD8">
        <w:rPr>
          <w:rStyle w:val="SingleTxtGCar"/>
          <w:lang w:val="fr-FR"/>
        </w:rPr>
        <w:t>21.</w:t>
      </w:r>
      <w:r w:rsidRPr="00914AD8">
        <w:rPr>
          <w:rStyle w:val="SingleTxtGCar"/>
          <w:lang w:val="fr-FR"/>
        </w:rPr>
        <w:tab/>
      </w:r>
      <w:r w:rsidR="001E5A68" w:rsidRPr="00914AD8">
        <w:rPr>
          <w:rStyle w:val="SingleTxtGCar"/>
          <w:lang w:val="fr-FR"/>
        </w:rPr>
        <w:t>Le Comité note que l’</w:t>
      </w:r>
      <w:r w:rsidR="00A400A2" w:rsidRPr="00914AD8">
        <w:rPr>
          <w:rStyle w:val="SingleTxtGCar"/>
          <w:lang w:val="fr-FR"/>
        </w:rPr>
        <w:t>État</w:t>
      </w:r>
      <w:r w:rsidR="001E5A68" w:rsidRPr="00914AD8">
        <w:rPr>
          <w:rStyle w:val="SingleTxtGCar"/>
          <w:lang w:val="fr-FR"/>
        </w:rPr>
        <w:t xml:space="preserve"> partie prévoit </w:t>
      </w:r>
      <w:r w:rsidR="008D615E" w:rsidRPr="00914AD8">
        <w:rPr>
          <w:rStyle w:val="SingleTxtGCar"/>
          <w:lang w:val="fr-FR"/>
        </w:rPr>
        <w:t>de faire référence</w:t>
      </w:r>
      <w:r w:rsidR="003A5021" w:rsidRPr="00914AD8">
        <w:rPr>
          <w:rStyle w:val="SingleTxtGCar"/>
          <w:lang w:val="fr-FR"/>
        </w:rPr>
        <w:t xml:space="preserve">, dans le </w:t>
      </w:r>
      <w:r w:rsidR="003775D6" w:rsidRPr="00914AD8">
        <w:rPr>
          <w:rStyle w:val="SingleTxtGCar"/>
          <w:lang w:val="fr-FR"/>
        </w:rPr>
        <w:t>nouveau Code pénal,</w:t>
      </w:r>
      <w:r w:rsidR="008D615E" w:rsidRPr="00914AD8">
        <w:rPr>
          <w:rStyle w:val="SingleTxtGCar"/>
          <w:lang w:val="fr-FR"/>
        </w:rPr>
        <w:t xml:space="preserve"> à l’article 7 de la Convention en </w:t>
      </w:r>
      <w:r w:rsidR="003775D6" w:rsidRPr="00914AD8">
        <w:rPr>
          <w:rStyle w:val="SingleTxtGCar"/>
          <w:lang w:val="fr-FR"/>
        </w:rPr>
        <w:t>établissant</w:t>
      </w:r>
      <w:r w:rsidR="008D615E" w:rsidRPr="00914AD8">
        <w:rPr>
          <w:rStyle w:val="SingleTxtGCar"/>
          <w:lang w:val="fr-FR"/>
        </w:rPr>
        <w:t xml:space="preserve"> les circonstances </w:t>
      </w:r>
      <w:r w:rsidR="00DC041A" w:rsidRPr="00914AD8">
        <w:rPr>
          <w:rStyle w:val="SingleTxtGCar"/>
          <w:lang w:val="fr-FR"/>
        </w:rPr>
        <w:t xml:space="preserve">atténuantes </w:t>
      </w:r>
      <w:r w:rsidR="00DC041A">
        <w:rPr>
          <w:rStyle w:val="SingleTxtGCar"/>
          <w:lang w:val="fr-FR"/>
        </w:rPr>
        <w:t xml:space="preserve">et </w:t>
      </w:r>
      <w:r w:rsidR="008D615E" w:rsidRPr="00914AD8">
        <w:rPr>
          <w:rStyle w:val="SingleTxtGCar"/>
          <w:lang w:val="fr-FR"/>
        </w:rPr>
        <w:t>aggravantes pr</w:t>
      </w:r>
      <w:r w:rsidR="003775D6" w:rsidRPr="00914AD8">
        <w:rPr>
          <w:rStyle w:val="SingleTxtGCar"/>
          <w:lang w:val="fr-FR"/>
        </w:rPr>
        <w:t>opres aux disparitions forcées</w:t>
      </w:r>
      <w:r w:rsidR="001E5A68" w:rsidRPr="00914AD8">
        <w:rPr>
          <w:rStyle w:val="SingleTxtGCar"/>
          <w:lang w:val="fr-FR"/>
        </w:rPr>
        <w:t xml:space="preserve"> </w:t>
      </w:r>
      <w:r w:rsidR="00114222">
        <w:rPr>
          <w:rStyle w:val="SingleTxtGCar"/>
          <w:lang w:val="fr-FR"/>
        </w:rPr>
        <w:t>(art. 7</w:t>
      </w:r>
      <w:r w:rsidR="002D7D1B" w:rsidRPr="00914AD8">
        <w:rPr>
          <w:rStyle w:val="SingleTxtGCar"/>
          <w:lang w:val="fr-FR"/>
        </w:rPr>
        <w:t>)</w:t>
      </w:r>
      <w:r w:rsidR="00114222">
        <w:rPr>
          <w:rStyle w:val="SingleTxtGCar"/>
          <w:lang w:val="fr-FR"/>
        </w:rPr>
        <w:t>.</w:t>
      </w:r>
    </w:p>
    <w:p w14:paraId="22DE367A" w14:textId="7E000477" w:rsidR="00CA4392" w:rsidRPr="0036263A" w:rsidRDefault="00B12B59" w:rsidP="00B12B59">
      <w:pPr>
        <w:pStyle w:val="SingleTxtG"/>
        <w:rPr>
          <w:b/>
        </w:rPr>
      </w:pPr>
      <w:r w:rsidRPr="0036263A">
        <w:t>22.</w:t>
      </w:r>
      <w:r w:rsidRPr="0036263A">
        <w:tab/>
      </w:r>
      <w:r w:rsidR="001E5A68" w:rsidRPr="0036263A">
        <w:rPr>
          <w:rStyle w:val="SingleTxtGCar"/>
          <w:b/>
          <w:bCs/>
          <w:lang w:val="fr-FR"/>
        </w:rPr>
        <w:t xml:space="preserve">Le Comité </w:t>
      </w:r>
      <w:r w:rsidR="00951424">
        <w:rPr>
          <w:rStyle w:val="SingleTxtGCar"/>
          <w:b/>
          <w:bCs/>
          <w:lang w:val="fr-FR"/>
        </w:rPr>
        <w:t>encourage</w:t>
      </w:r>
      <w:r w:rsidR="001E5A68" w:rsidRPr="0036263A">
        <w:rPr>
          <w:rStyle w:val="SingleTxtGCar"/>
          <w:b/>
          <w:bCs/>
          <w:lang w:val="fr-FR"/>
        </w:rPr>
        <w:t xml:space="preserve"> </w:t>
      </w:r>
      <w:r w:rsidR="001E5A68" w:rsidRPr="0036263A">
        <w:rPr>
          <w:b/>
          <w:bCs/>
          <w:lang w:val="fr-FR"/>
        </w:rPr>
        <w:t>l’</w:t>
      </w:r>
      <w:r w:rsidR="001E5A68" w:rsidRPr="0036263A">
        <w:rPr>
          <w:rStyle w:val="SingleTxtGCar"/>
          <w:b/>
          <w:bCs/>
          <w:lang w:val="fr-FR"/>
        </w:rPr>
        <w:t>État partie</w:t>
      </w:r>
      <w:r w:rsidR="00F02A40">
        <w:rPr>
          <w:rStyle w:val="SingleTxtGCar"/>
          <w:b/>
          <w:bCs/>
          <w:lang w:val="fr-FR"/>
        </w:rPr>
        <w:t xml:space="preserve"> </w:t>
      </w:r>
      <w:r w:rsidR="00F36F2C">
        <w:rPr>
          <w:rStyle w:val="SingleTxtGCar"/>
          <w:b/>
          <w:bCs/>
          <w:lang w:val="fr-FR"/>
        </w:rPr>
        <w:t xml:space="preserve">à </w:t>
      </w:r>
      <w:r w:rsidR="001E5A68" w:rsidRPr="0036263A">
        <w:rPr>
          <w:rStyle w:val="SingleTxtGCar"/>
          <w:b/>
          <w:bCs/>
          <w:lang w:val="fr-FR"/>
        </w:rPr>
        <w:t xml:space="preserve">prévoir des circonstances atténuantes </w:t>
      </w:r>
      <w:r w:rsidR="001E5A68" w:rsidRPr="00B55B75">
        <w:rPr>
          <w:rStyle w:val="SingleTxtGCar"/>
          <w:b/>
          <w:bCs/>
          <w:lang w:val="fr-FR"/>
        </w:rPr>
        <w:t>et</w:t>
      </w:r>
      <w:r w:rsidR="001E5A68" w:rsidRPr="0036263A">
        <w:rPr>
          <w:rStyle w:val="SingleTxtGCar"/>
          <w:b/>
          <w:bCs/>
          <w:lang w:val="fr-FR"/>
        </w:rPr>
        <w:t xml:space="preserve"> aggravantes applicables à l’acte de disparition forcée, qui recouvrent tous les éléments prévus </w:t>
      </w:r>
      <w:r w:rsidR="000E2AFE">
        <w:rPr>
          <w:rStyle w:val="SingleTxtGCar"/>
          <w:b/>
          <w:bCs/>
          <w:lang w:val="fr-FR"/>
        </w:rPr>
        <w:t>au paragraphe 2 de l’</w:t>
      </w:r>
      <w:r w:rsidR="001E5A68" w:rsidRPr="0036263A">
        <w:rPr>
          <w:rStyle w:val="SingleTxtGCar"/>
          <w:b/>
          <w:bCs/>
          <w:lang w:val="fr-FR"/>
        </w:rPr>
        <w:t>article 7 de la Convention</w:t>
      </w:r>
      <w:r w:rsidR="009A3744" w:rsidRPr="0036263A">
        <w:rPr>
          <w:rStyle w:val="SingleTxtGCar"/>
          <w:b/>
          <w:bCs/>
          <w:lang w:val="fr-FR"/>
        </w:rPr>
        <w:t xml:space="preserve">. </w:t>
      </w:r>
      <w:r w:rsidR="001E5A68" w:rsidRPr="0036263A">
        <w:rPr>
          <w:b/>
          <w:lang w:val="fr-FR"/>
        </w:rPr>
        <w:t xml:space="preserve">Il </w:t>
      </w:r>
      <w:r w:rsidR="00951424">
        <w:rPr>
          <w:b/>
          <w:lang w:val="fr-FR"/>
        </w:rPr>
        <w:t>l’encourage</w:t>
      </w:r>
      <w:r w:rsidR="001E5A68" w:rsidRPr="0036263A">
        <w:rPr>
          <w:b/>
          <w:lang w:val="fr-FR"/>
        </w:rPr>
        <w:t xml:space="preserve"> également </w:t>
      </w:r>
      <w:r w:rsidR="000C679D">
        <w:rPr>
          <w:b/>
          <w:lang w:val="fr-FR"/>
        </w:rPr>
        <w:t>à</w:t>
      </w:r>
      <w:r w:rsidR="000C679D" w:rsidRPr="0036263A">
        <w:rPr>
          <w:b/>
          <w:lang w:val="fr-FR"/>
        </w:rPr>
        <w:t xml:space="preserve"> </w:t>
      </w:r>
      <w:r w:rsidR="001E5A68" w:rsidRPr="0036263A">
        <w:rPr>
          <w:b/>
          <w:lang w:val="fr-FR"/>
        </w:rPr>
        <w:t xml:space="preserve">faire en sorte que les circonstances atténuantes ne donnent en aucun cas lieu à </w:t>
      </w:r>
      <w:r w:rsidR="000C679D">
        <w:rPr>
          <w:b/>
          <w:lang w:val="fr-FR"/>
        </w:rPr>
        <w:t xml:space="preserve">une </w:t>
      </w:r>
      <w:r w:rsidR="000C679D" w:rsidRPr="0036263A">
        <w:rPr>
          <w:b/>
          <w:lang w:val="fr-FR"/>
        </w:rPr>
        <w:t xml:space="preserve">absence </w:t>
      </w:r>
      <w:r w:rsidR="001E5A68" w:rsidRPr="0036263A">
        <w:rPr>
          <w:b/>
          <w:lang w:val="fr-FR"/>
        </w:rPr>
        <w:t>de sanction appropriée.</w:t>
      </w:r>
      <w:r w:rsidR="003775D6" w:rsidRPr="0036263A">
        <w:rPr>
          <w:b/>
          <w:lang w:val="fr-FR"/>
        </w:rPr>
        <w:t xml:space="preserve"> </w:t>
      </w:r>
    </w:p>
    <w:p w14:paraId="41DCAD47" w14:textId="61BDB060" w:rsidR="001E5A68" w:rsidRPr="0036263A" w:rsidRDefault="00BA744D" w:rsidP="00BA748E">
      <w:pPr>
        <w:pStyle w:val="H1G"/>
        <w:rPr>
          <w:lang w:val="fr-FR"/>
        </w:rPr>
      </w:pPr>
      <w:r w:rsidRPr="0036263A">
        <w:lastRenderedPageBreak/>
        <w:tab/>
      </w:r>
      <w:r w:rsidRPr="0036263A">
        <w:tab/>
      </w:r>
      <w:r w:rsidR="001E5A68" w:rsidRPr="0036263A">
        <w:rPr>
          <w:lang w:val="fr-FR"/>
        </w:rPr>
        <w:t xml:space="preserve">Responsabilité pénale et </w:t>
      </w:r>
      <w:r w:rsidR="004608FE" w:rsidRPr="0036263A">
        <w:rPr>
          <w:lang w:val="fr-FR"/>
        </w:rPr>
        <w:t>coopération</w:t>
      </w:r>
      <w:r w:rsidR="001E5A68" w:rsidRPr="0036263A">
        <w:rPr>
          <w:lang w:val="fr-FR"/>
        </w:rPr>
        <w:t xml:space="preserve"> judiciaire en matière </w:t>
      </w:r>
      <w:r w:rsidR="00D643BC">
        <w:rPr>
          <w:lang w:val="fr-FR"/>
        </w:rPr>
        <w:t>de</w:t>
      </w:r>
      <w:r w:rsidR="00DE69D1">
        <w:rPr>
          <w:lang w:val="fr-FR"/>
        </w:rPr>
        <w:t> </w:t>
      </w:r>
      <w:r w:rsidR="001E5A68" w:rsidRPr="0036263A">
        <w:rPr>
          <w:lang w:val="fr-FR"/>
        </w:rPr>
        <w:t>disparition forcée (art. 8 à 15)</w:t>
      </w:r>
      <w:r w:rsidR="001C1194" w:rsidRPr="0036263A">
        <w:rPr>
          <w:lang w:val="fr-FR"/>
        </w:rPr>
        <w:t xml:space="preserve"> </w:t>
      </w:r>
    </w:p>
    <w:p w14:paraId="49F05728" w14:textId="77777777" w:rsidR="001E5A68" w:rsidRPr="0036263A" w:rsidRDefault="00BA744D" w:rsidP="00EB703F">
      <w:pPr>
        <w:pStyle w:val="H23G"/>
        <w:rPr>
          <w:lang w:val="fr-FR"/>
        </w:rPr>
      </w:pPr>
      <w:r w:rsidRPr="0036263A">
        <w:rPr>
          <w:lang w:val="fr-FR"/>
        </w:rPr>
        <w:tab/>
      </w:r>
      <w:r w:rsidRPr="0036263A">
        <w:rPr>
          <w:lang w:val="fr-FR"/>
        </w:rPr>
        <w:tab/>
      </w:r>
      <w:r w:rsidR="00517C96" w:rsidRPr="0036263A">
        <w:rPr>
          <w:lang w:val="fr-FR"/>
        </w:rPr>
        <w:t>Caractère continu</w:t>
      </w:r>
      <w:r w:rsidR="001E5A68" w:rsidRPr="0036263A">
        <w:rPr>
          <w:lang w:val="fr-FR"/>
        </w:rPr>
        <w:t xml:space="preserve"> de l’infraction de disparition forcée et prescription</w:t>
      </w:r>
    </w:p>
    <w:p w14:paraId="244C759F" w14:textId="7A49D868" w:rsidR="003A1E74" w:rsidRPr="0036263A" w:rsidRDefault="00B12B59" w:rsidP="00B12B59">
      <w:pPr>
        <w:pStyle w:val="SingleTxtG"/>
        <w:rPr>
          <w:b/>
          <w:bCs/>
        </w:rPr>
      </w:pPr>
      <w:r w:rsidRPr="0036263A">
        <w:rPr>
          <w:bCs/>
        </w:rPr>
        <w:t>23.</w:t>
      </w:r>
      <w:r w:rsidRPr="0036263A">
        <w:rPr>
          <w:bCs/>
        </w:rPr>
        <w:tab/>
      </w:r>
      <w:r w:rsidR="006A6518" w:rsidRPr="0036263A">
        <w:t>L</w:t>
      </w:r>
      <w:r w:rsidR="00253C05" w:rsidRPr="0036263A">
        <w:t xml:space="preserve">e Comité </w:t>
      </w:r>
      <w:r w:rsidR="00F53775">
        <w:t>note</w:t>
      </w:r>
      <w:r w:rsidR="00253C05" w:rsidRPr="0036263A">
        <w:t xml:space="preserve"> qu</w:t>
      </w:r>
      <w:r w:rsidR="00F53775">
        <w:t>e</w:t>
      </w:r>
      <w:r w:rsidR="003E6B3D">
        <w:t>,</w:t>
      </w:r>
      <w:r w:rsidR="00F53775">
        <w:t xml:space="preserve"> selon l’État partie, </w:t>
      </w:r>
      <w:r w:rsidR="0044402F" w:rsidRPr="0036263A">
        <w:t>les crimes contre l’humanité</w:t>
      </w:r>
      <w:r w:rsidR="006A6518" w:rsidRPr="0036263A">
        <w:t xml:space="preserve"> sont imprescriptibles</w:t>
      </w:r>
      <w:r w:rsidR="00F53775">
        <w:t xml:space="preserve"> au regard du droit interne</w:t>
      </w:r>
      <w:r w:rsidR="006A6518" w:rsidRPr="0036263A">
        <w:t xml:space="preserve">. </w:t>
      </w:r>
      <w:r w:rsidR="00517C96" w:rsidRPr="0036263A">
        <w:t>Cependant, l</w:t>
      </w:r>
      <w:r w:rsidR="00517C96" w:rsidRPr="0036263A">
        <w:rPr>
          <w:lang w:val="fr-FR"/>
        </w:rPr>
        <w:t xml:space="preserve">e Comité regrette </w:t>
      </w:r>
      <w:r w:rsidR="00F31F94" w:rsidRPr="0036263A">
        <w:rPr>
          <w:lang w:val="fr-FR"/>
        </w:rPr>
        <w:t xml:space="preserve">la déclaration de l’État partie </w:t>
      </w:r>
      <w:r w:rsidR="002360D6">
        <w:rPr>
          <w:lang w:val="fr-FR"/>
        </w:rPr>
        <w:t xml:space="preserve">selon laquelle </w:t>
      </w:r>
      <w:r w:rsidR="002360D6" w:rsidRPr="0036263A">
        <w:rPr>
          <w:lang w:val="fr-FR"/>
        </w:rPr>
        <w:t xml:space="preserve">il </w:t>
      </w:r>
      <w:r w:rsidR="00F31F94" w:rsidRPr="0036263A">
        <w:rPr>
          <w:lang w:val="fr-FR"/>
        </w:rPr>
        <w:t xml:space="preserve">ne lui </w:t>
      </w:r>
      <w:r w:rsidR="00517C96" w:rsidRPr="0036263A">
        <w:rPr>
          <w:lang w:val="fr-FR"/>
        </w:rPr>
        <w:t xml:space="preserve">apparaît pas nécessaire de </w:t>
      </w:r>
      <w:r w:rsidR="00517C96" w:rsidRPr="0036263A">
        <w:t xml:space="preserve">préciser dans la </w:t>
      </w:r>
      <w:r w:rsidR="00766F30" w:rsidRPr="0036263A">
        <w:t xml:space="preserve">nouvelle </w:t>
      </w:r>
      <w:r w:rsidR="00517C96" w:rsidRPr="0036263A">
        <w:t xml:space="preserve">définition de l’acte de disparition forcée son caractère continu. </w:t>
      </w:r>
      <w:r w:rsidR="00146D30">
        <w:t>Le</w:t>
      </w:r>
      <w:r w:rsidR="00766F30" w:rsidRPr="0036263A">
        <w:t xml:space="preserve"> Comité </w:t>
      </w:r>
      <w:r w:rsidR="00387AC0" w:rsidRPr="0036263A">
        <w:t xml:space="preserve">souhaite souligner </w:t>
      </w:r>
      <w:r w:rsidR="00BA5CED">
        <w:t>qu</w:t>
      </w:r>
      <w:r w:rsidR="00BA5CED" w:rsidRPr="00926DC8">
        <w:t>’</w:t>
      </w:r>
      <w:r w:rsidR="00BA5CED">
        <w:t xml:space="preserve">il est </w:t>
      </w:r>
      <w:r w:rsidR="00387AC0" w:rsidRPr="0036263A">
        <w:t>importan</w:t>
      </w:r>
      <w:r w:rsidR="00BA5CED">
        <w:t>t</w:t>
      </w:r>
      <w:r w:rsidR="00387AC0" w:rsidRPr="0036263A">
        <w:t xml:space="preserve"> </w:t>
      </w:r>
      <w:r w:rsidR="00766F30" w:rsidRPr="0036263A">
        <w:t xml:space="preserve">de reconnaître expressément le caractère continu </w:t>
      </w:r>
      <w:r w:rsidR="004D6066" w:rsidRPr="0036263A">
        <w:t>de la disparition forcée</w:t>
      </w:r>
      <w:r w:rsidR="00146D30">
        <w:t xml:space="preserve"> et</w:t>
      </w:r>
      <w:r w:rsidR="00C0400A">
        <w:t xml:space="preserve"> </w:t>
      </w:r>
      <w:r w:rsidR="00EC0B90">
        <w:t xml:space="preserve">note avec intérêt les affirmations de la délégation </w:t>
      </w:r>
      <w:r w:rsidR="00F8632B">
        <w:t xml:space="preserve">selon lesquelles </w:t>
      </w:r>
      <w:r w:rsidR="00EC0B90">
        <w:t>l</w:t>
      </w:r>
      <w:r w:rsidR="00C0400A">
        <w:t xml:space="preserve">’État partie est disposé à poursuivre </w:t>
      </w:r>
      <w:r w:rsidR="00B147DC">
        <w:t>s</w:t>
      </w:r>
      <w:r w:rsidR="00C0400A">
        <w:t>es réflexions à ce sujet</w:t>
      </w:r>
      <w:r w:rsidR="00C0400A" w:rsidRPr="0036263A">
        <w:t xml:space="preserve"> </w:t>
      </w:r>
      <w:r w:rsidR="006A6518" w:rsidRPr="0036263A">
        <w:t>(art. 8)</w:t>
      </w:r>
      <w:r w:rsidR="006A6518" w:rsidRPr="0036263A">
        <w:rPr>
          <w:lang w:val="fr-FR"/>
        </w:rPr>
        <w:t>.</w:t>
      </w:r>
    </w:p>
    <w:p w14:paraId="2449114E" w14:textId="6882BAEC" w:rsidR="001E5A68" w:rsidRPr="0036263A" w:rsidRDefault="00B12B59" w:rsidP="00B12B59">
      <w:pPr>
        <w:pStyle w:val="SingleTxtG"/>
        <w:rPr>
          <w:b/>
          <w:bCs/>
        </w:rPr>
      </w:pPr>
      <w:r w:rsidRPr="0036263A">
        <w:rPr>
          <w:bCs/>
        </w:rPr>
        <w:t>24.</w:t>
      </w:r>
      <w:r w:rsidRPr="0036263A">
        <w:rPr>
          <w:bCs/>
        </w:rPr>
        <w:tab/>
      </w:r>
      <w:r w:rsidR="001E5A68" w:rsidRPr="0036263A">
        <w:rPr>
          <w:b/>
          <w:lang w:val="fr-FR"/>
        </w:rPr>
        <w:t>Le Comité recommand</w:t>
      </w:r>
      <w:r w:rsidR="009A3744" w:rsidRPr="0036263A">
        <w:rPr>
          <w:b/>
          <w:lang w:val="fr-FR"/>
        </w:rPr>
        <w:t xml:space="preserve">e </w:t>
      </w:r>
      <w:r w:rsidR="001E5A68" w:rsidRPr="0036263A">
        <w:rPr>
          <w:b/>
          <w:lang w:val="fr-FR"/>
        </w:rPr>
        <w:t xml:space="preserve">à l’État partie </w:t>
      </w:r>
      <w:r w:rsidR="00082331" w:rsidRPr="0036263A">
        <w:rPr>
          <w:b/>
          <w:lang w:val="fr-FR"/>
        </w:rPr>
        <w:t>d’intégrer</w:t>
      </w:r>
      <w:r w:rsidR="001E5A68" w:rsidRPr="0036263A">
        <w:rPr>
          <w:b/>
          <w:lang w:val="fr-FR"/>
        </w:rPr>
        <w:t xml:space="preserve"> dans le nouveau Code pénal </w:t>
      </w:r>
      <w:r w:rsidR="008B1034" w:rsidRPr="0036263A">
        <w:rPr>
          <w:b/>
          <w:lang w:val="fr-FR"/>
        </w:rPr>
        <w:t>l</w:t>
      </w:r>
      <w:r w:rsidR="001E5A68" w:rsidRPr="0036263A">
        <w:rPr>
          <w:b/>
          <w:lang w:val="fr-FR"/>
        </w:rPr>
        <w:t>es dispositions nécessaires afin que la nature continue du crime de disparition forcée soit spécifiquement reconnue</w:t>
      </w:r>
      <w:r w:rsidR="00F62D5B" w:rsidRPr="0036263A">
        <w:rPr>
          <w:b/>
          <w:lang w:val="fr-FR"/>
        </w:rPr>
        <w:t> </w:t>
      </w:r>
      <w:r w:rsidR="001E5A68" w:rsidRPr="0036263A">
        <w:rPr>
          <w:b/>
          <w:lang w:val="fr-FR"/>
        </w:rPr>
        <w:t>;</w:t>
      </w:r>
      <w:r w:rsidR="00865D76" w:rsidRPr="0036263A">
        <w:rPr>
          <w:b/>
          <w:lang w:val="fr-FR"/>
        </w:rPr>
        <w:t xml:space="preserve"> </w:t>
      </w:r>
      <w:r w:rsidR="001E5A68" w:rsidRPr="0036263A">
        <w:rPr>
          <w:b/>
          <w:lang w:val="fr-FR"/>
        </w:rPr>
        <w:t>et de s’assurer que le délai de prescription de l’action pénale pren</w:t>
      </w:r>
      <w:r w:rsidR="004914CF">
        <w:rPr>
          <w:b/>
          <w:lang w:val="fr-FR"/>
        </w:rPr>
        <w:t>d</w:t>
      </w:r>
      <w:r w:rsidR="001E5A68" w:rsidRPr="0036263A">
        <w:rPr>
          <w:b/>
          <w:lang w:val="fr-FR"/>
        </w:rPr>
        <w:t xml:space="preserve"> en compte l’extrême gravité du crime de disparition forcée</w:t>
      </w:r>
      <w:r w:rsidR="0078000F" w:rsidRPr="0036263A">
        <w:rPr>
          <w:b/>
          <w:lang w:val="fr-FR"/>
        </w:rPr>
        <w:t xml:space="preserve"> et ne commence à courir que lorsque c</w:t>
      </w:r>
      <w:r w:rsidR="005854BE" w:rsidRPr="0036263A">
        <w:rPr>
          <w:b/>
          <w:lang w:val="fr-FR"/>
        </w:rPr>
        <w:t>elui-ci cesse</w:t>
      </w:r>
      <w:r w:rsidR="001E5A68" w:rsidRPr="0036263A">
        <w:rPr>
          <w:b/>
          <w:lang w:val="fr-FR"/>
        </w:rPr>
        <w:t>.</w:t>
      </w:r>
      <w:r w:rsidR="004D3CF1" w:rsidRPr="0036263A">
        <w:rPr>
          <w:b/>
          <w:lang w:val="fr-FR"/>
        </w:rPr>
        <w:t xml:space="preserve"> </w:t>
      </w:r>
    </w:p>
    <w:p w14:paraId="2229AE30" w14:textId="77777777" w:rsidR="00F01A8B" w:rsidRPr="0036263A" w:rsidRDefault="006E4BFB" w:rsidP="006E4BFB">
      <w:pPr>
        <w:pStyle w:val="H23G"/>
        <w:rPr>
          <w:lang w:val="fr-FR"/>
        </w:rPr>
      </w:pPr>
      <w:r>
        <w:rPr>
          <w:lang w:val="fr-FR"/>
        </w:rPr>
        <w:tab/>
      </w:r>
      <w:r>
        <w:rPr>
          <w:lang w:val="fr-FR"/>
        </w:rPr>
        <w:tab/>
      </w:r>
      <w:r w:rsidR="00F01A8B" w:rsidRPr="0036263A">
        <w:rPr>
          <w:lang w:val="fr-FR"/>
        </w:rPr>
        <w:t>Compétence extraterritoriale dans les cas de disparition forcée</w:t>
      </w:r>
    </w:p>
    <w:p w14:paraId="340C1A8A" w14:textId="32E078B0" w:rsidR="00F01A8B" w:rsidRPr="0036263A" w:rsidRDefault="00B12B59" w:rsidP="00B12B59">
      <w:pPr>
        <w:pStyle w:val="SingleTxtG"/>
        <w:rPr>
          <w:lang w:val="fr-FR"/>
        </w:rPr>
      </w:pPr>
      <w:r w:rsidRPr="0036263A">
        <w:rPr>
          <w:lang w:val="fr-FR"/>
        </w:rPr>
        <w:t>25.</w:t>
      </w:r>
      <w:r w:rsidRPr="0036263A">
        <w:rPr>
          <w:lang w:val="fr-FR"/>
        </w:rPr>
        <w:tab/>
      </w:r>
      <w:r w:rsidR="00F01A8B" w:rsidRPr="0036263A">
        <w:rPr>
          <w:lang w:val="fr-FR"/>
        </w:rPr>
        <w:t xml:space="preserve">Le Comité </w:t>
      </w:r>
      <w:r w:rsidR="00FE1769" w:rsidRPr="0036263A">
        <w:rPr>
          <w:lang w:val="fr-FR"/>
        </w:rPr>
        <w:t>prend bonne note du</w:t>
      </w:r>
      <w:r w:rsidR="00F01A8B" w:rsidRPr="0036263A">
        <w:rPr>
          <w:lang w:val="fr-FR"/>
        </w:rPr>
        <w:t xml:space="preserve"> régime de la compétence extraterritoriale </w:t>
      </w:r>
      <w:r w:rsidR="00E07D07" w:rsidRPr="0036263A">
        <w:rPr>
          <w:lang w:val="fr-FR"/>
        </w:rPr>
        <w:t xml:space="preserve">prévu </w:t>
      </w:r>
      <w:r w:rsidR="00F01A8B" w:rsidRPr="0036263A">
        <w:rPr>
          <w:lang w:val="fr-FR"/>
        </w:rPr>
        <w:t xml:space="preserve">à l’article 669 du Code de procédure pénale dans les cas de disparition forcée </w:t>
      </w:r>
      <w:r w:rsidR="00CF226A" w:rsidRPr="0036263A">
        <w:rPr>
          <w:lang w:val="fr-FR"/>
        </w:rPr>
        <w:t>constitutive d’un</w:t>
      </w:r>
      <w:r w:rsidR="00F01A8B" w:rsidRPr="0036263A">
        <w:rPr>
          <w:lang w:val="fr-FR"/>
        </w:rPr>
        <w:t xml:space="preserve"> crime contre l’humanité</w:t>
      </w:r>
      <w:r w:rsidR="009304A8" w:rsidRPr="0036263A">
        <w:rPr>
          <w:lang w:val="fr-FR"/>
        </w:rPr>
        <w:t xml:space="preserve"> et </w:t>
      </w:r>
      <w:r w:rsidR="0024634A">
        <w:rPr>
          <w:lang w:val="fr-FR"/>
        </w:rPr>
        <w:t>constate</w:t>
      </w:r>
      <w:r w:rsidR="003A09AC">
        <w:rPr>
          <w:lang w:val="fr-FR"/>
        </w:rPr>
        <w:t xml:space="preserve"> avec intérêt que</w:t>
      </w:r>
      <w:r w:rsidR="009304A8" w:rsidRPr="0036263A">
        <w:rPr>
          <w:lang w:val="fr-FR"/>
        </w:rPr>
        <w:t xml:space="preserve"> l’État partie </w:t>
      </w:r>
      <w:r w:rsidR="003A09AC">
        <w:rPr>
          <w:lang w:val="fr-FR"/>
        </w:rPr>
        <w:t xml:space="preserve">envisage </w:t>
      </w:r>
      <w:r w:rsidR="009304A8" w:rsidRPr="0036263A">
        <w:rPr>
          <w:rFonts w:eastAsia="Calibri"/>
          <w:lang w:val="fr-FR"/>
        </w:rPr>
        <w:t>d’adopter une disposition expresse pour tous les autres cas de disparition forcée, conformément à l’article 11 de la Convention</w:t>
      </w:r>
      <w:r w:rsidR="003B4FB1" w:rsidRPr="0036263A">
        <w:rPr>
          <w:lang w:val="fr-FR"/>
        </w:rPr>
        <w:t xml:space="preserve"> </w:t>
      </w:r>
      <w:r w:rsidR="00530C47" w:rsidRPr="0036263A">
        <w:rPr>
          <w:lang w:val="fr-FR"/>
        </w:rPr>
        <w:t>(art.</w:t>
      </w:r>
      <w:r w:rsidR="00602DBF" w:rsidRPr="0036263A">
        <w:rPr>
          <w:lang w:val="fr-FR"/>
        </w:rPr>
        <w:t xml:space="preserve"> 9 et</w:t>
      </w:r>
      <w:r w:rsidR="00114222">
        <w:rPr>
          <w:lang w:val="fr-FR"/>
        </w:rPr>
        <w:t xml:space="preserve"> 11</w:t>
      </w:r>
      <w:r w:rsidR="00530C47" w:rsidRPr="0036263A">
        <w:rPr>
          <w:lang w:val="fr-FR"/>
        </w:rPr>
        <w:t>)</w:t>
      </w:r>
      <w:r w:rsidR="00114222">
        <w:rPr>
          <w:lang w:val="fr-FR"/>
        </w:rPr>
        <w:t>.</w:t>
      </w:r>
    </w:p>
    <w:p w14:paraId="4F62F553" w14:textId="0944E3B6" w:rsidR="00CF226A" w:rsidRPr="0036263A" w:rsidRDefault="00B12B59" w:rsidP="00B12B59">
      <w:pPr>
        <w:pStyle w:val="SingleTxtG"/>
        <w:rPr>
          <w:b/>
        </w:rPr>
      </w:pPr>
      <w:r w:rsidRPr="0036263A">
        <w:t>26.</w:t>
      </w:r>
      <w:r w:rsidRPr="0036263A">
        <w:tab/>
      </w:r>
      <w:r w:rsidR="00AD03DE" w:rsidRPr="0036263A">
        <w:rPr>
          <w:b/>
          <w:lang w:val="fr-FR"/>
        </w:rPr>
        <w:t>Le Comité recommande à l’État partie d’adopter les mesures nécessaires pour garantir l’exercice de la compétence des tribunaux nationaux pour connaître d’infractions de disparition forcée, conformément aux obligations qui découlent de l’article 9 de la Convention</w:t>
      </w:r>
      <w:r w:rsidR="00804FD1">
        <w:rPr>
          <w:b/>
          <w:lang w:val="fr-FR"/>
        </w:rPr>
        <w:t>,</w:t>
      </w:r>
      <w:r w:rsidR="00AD03DE" w:rsidRPr="0036263A">
        <w:rPr>
          <w:b/>
          <w:lang w:val="fr-FR"/>
        </w:rPr>
        <w:t xml:space="preserve"> et notamment au principe </w:t>
      </w:r>
      <w:proofErr w:type="spellStart"/>
      <w:r w:rsidR="00AD03DE" w:rsidRPr="0036263A">
        <w:rPr>
          <w:b/>
          <w:i/>
        </w:rPr>
        <w:t>aut</w:t>
      </w:r>
      <w:proofErr w:type="spellEnd"/>
      <w:r w:rsidR="00AD03DE" w:rsidRPr="0036263A">
        <w:rPr>
          <w:b/>
          <w:i/>
        </w:rPr>
        <w:t xml:space="preserve"> </w:t>
      </w:r>
      <w:proofErr w:type="spellStart"/>
      <w:r w:rsidR="00AD03DE" w:rsidRPr="0036263A">
        <w:rPr>
          <w:b/>
          <w:i/>
        </w:rPr>
        <w:t>dedere</w:t>
      </w:r>
      <w:proofErr w:type="spellEnd"/>
      <w:r w:rsidR="00AD03DE" w:rsidRPr="0036263A">
        <w:rPr>
          <w:b/>
          <w:i/>
        </w:rPr>
        <w:t xml:space="preserve"> </w:t>
      </w:r>
      <w:proofErr w:type="spellStart"/>
      <w:r w:rsidR="00AD03DE" w:rsidRPr="0036263A">
        <w:rPr>
          <w:b/>
          <w:i/>
        </w:rPr>
        <w:t>aut</w:t>
      </w:r>
      <w:proofErr w:type="spellEnd"/>
      <w:r w:rsidR="00AD03DE" w:rsidRPr="0036263A">
        <w:rPr>
          <w:b/>
          <w:i/>
        </w:rPr>
        <w:t xml:space="preserve"> </w:t>
      </w:r>
      <w:proofErr w:type="spellStart"/>
      <w:r w:rsidR="00AD03DE" w:rsidRPr="0036263A">
        <w:rPr>
          <w:b/>
          <w:i/>
        </w:rPr>
        <w:t>judicare</w:t>
      </w:r>
      <w:proofErr w:type="spellEnd"/>
      <w:r w:rsidR="00AD03DE" w:rsidRPr="0036263A">
        <w:rPr>
          <w:b/>
          <w:lang w:val="fr-FR"/>
        </w:rPr>
        <w:t xml:space="preserve"> énoncé dans celui-ci, ainsi que </w:t>
      </w:r>
      <w:r w:rsidR="00804FD1">
        <w:rPr>
          <w:b/>
          <w:lang w:val="fr-FR"/>
        </w:rPr>
        <w:t xml:space="preserve">de </w:t>
      </w:r>
      <w:r w:rsidR="00AD03DE" w:rsidRPr="0036263A">
        <w:rPr>
          <w:b/>
          <w:lang w:val="fr-FR"/>
        </w:rPr>
        <w:t xml:space="preserve">l’article 11 de la Convention. </w:t>
      </w:r>
    </w:p>
    <w:p w14:paraId="226A5F26" w14:textId="77777777" w:rsidR="00831F99" w:rsidRPr="0036263A" w:rsidRDefault="0002468C" w:rsidP="0002468C">
      <w:pPr>
        <w:pStyle w:val="H23G"/>
        <w:rPr>
          <w:b w:val="0"/>
        </w:rPr>
      </w:pPr>
      <w:r>
        <w:rPr>
          <w:bCs/>
        </w:rPr>
        <w:tab/>
      </w:r>
      <w:r>
        <w:rPr>
          <w:bCs/>
        </w:rPr>
        <w:tab/>
      </w:r>
      <w:r w:rsidR="00162E35" w:rsidRPr="0036263A">
        <w:rPr>
          <w:bCs/>
        </w:rPr>
        <w:t xml:space="preserve">Enquêtes sur les cas de disparition forcée </w:t>
      </w:r>
    </w:p>
    <w:p w14:paraId="65D10128" w14:textId="3F3C5991" w:rsidR="00831F99" w:rsidRPr="0036263A" w:rsidRDefault="00B12B59" w:rsidP="00B12B59">
      <w:pPr>
        <w:pStyle w:val="SingleTxtG"/>
      </w:pPr>
      <w:r w:rsidRPr="0036263A">
        <w:t>27.</w:t>
      </w:r>
      <w:r w:rsidRPr="0036263A">
        <w:tab/>
      </w:r>
      <w:r w:rsidR="00162E35" w:rsidRPr="0036263A">
        <w:t xml:space="preserve">Le Comité </w:t>
      </w:r>
      <w:r w:rsidR="007643B0" w:rsidRPr="0036263A">
        <w:t xml:space="preserve">constate </w:t>
      </w:r>
      <w:r w:rsidR="00AE6CBB" w:rsidRPr="0036263A">
        <w:t xml:space="preserve">avec inquiétude </w:t>
      </w:r>
      <w:r w:rsidR="007643B0" w:rsidRPr="0036263A">
        <w:t>que</w:t>
      </w:r>
      <w:r w:rsidR="007752C7">
        <w:t>,</w:t>
      </w:r>
      <w:r w:rsidR="007643B0" w:rsidRPr="0036263A">
        <w:t xml:space="preserve"> selon les informations fournies par l’</w:t>
      </w:r>
      <w:r w:rsidR="009A3C10" w:rsidRPr="0036263A">
        <w:t xml:space="preserve">État partie, pour élucider des cas de disparition, les autorités internes utilisent les </w:t>
      </w:r>
      <w:r w:rsidR="007643B0" w:rsidRPr="0036263A">
        <w:t xml:space="preserve">procédures d’enquête </w:t>
      </w:r>
      <w:r w:rsidR="009A3C10" w:rsidRPr="0036263A">
        <w:t xml:space="preserve">prévues par le Code de procédure pénale </w:t>
      </w:r>
      <w:r w:rsidR="000B08EA">
        <w:t xml:space="preserve">qui concernent des faits </w:t>
      </w:r>
      <w:r w:rsidR="00463B9A">
        <w:t xml:space="preserve">tels que </w:t>
      </w:r>
      <w:r w:rsidR="000B08EA">
        <w:t>l’</w:t>
      </w:r>
      <w:r w:rsidR="009A3C10" w:rsidRPr="0036263A">
        <w:t>enlèvement</w:t>
      </w:r>
      <w:r w:rsidR="00463B9A">
        <w:t xml:space="preserve"> ou</w:t>
      </w:r>
      <w:r w:rsidR="00463B9A" w:rsidRPr="0036263A">
        <w:t xml:space="preserve"> </w:t>
      </w:r>
      <w:r w:rsidR="000B08EA">
        <w:t xml:space="preserve">la </w:t>
      </w:r>
      <w:r w:rsidR="009A3C10" w:rsidRPr="0036263A">
        <w:t>séquestration</w:t>
      </w:r>
      <w:r w:rsidR="001C4ECF" w:rsidRPr="0036263A">
        <w:t>.</w:t>
      </w:r>
      <w:r w:rsidR="00EF7C40" w:rsidRPr="0036263A">
        <w:t xml:space="preserve"> </w:t>
      </w:r>
      <w:r w:rsidR="004A154E">
        <w:rPr>
          <w:lang w:val="fr-FR"/>
        </w:rPr>
        <w:t>L</w:t>
      </w:r>
      <w:r w:rsidR="00EF7C40" w:rsidRPr="0036263A">
        <w:rPr>
          <w:lang w:val="fr-FR"/>
        </w:rPr>
        <w:t xml:space="preserve">e Comité considère que les informations </w:t>
      </w:r>
      <w:r w:rsidR="004A154E">
        <w:rPr>
          <w:lang w:val="fr-FR"/>
        </w:rPr>
        <w:t>communiquées</w:t>
      </w:r>
      <w:r w:rsidR="00EF7C40" w:rsidRPr="0036263A">
        <w:rPr>
          <w:lang w:val="fr-FR"/>
        </w:rPr>
        <w:t xml:space="preserve"> </w:t>
      </w:r>
      <w:r w:rsidR="00EB5EB4" w:rsidRPr="0036263A">
        <w:t xml:space="preserve">ne </w:t>
      </w:r>
      <w:r w:rsidR="0045023D" w:rsidRPr="0036263A">
        <w:t>satisfont</w:t>
      </w:r>
      <w:r w:rsidR="00EB5EB4" w:rsidRPr="0036263A">
        <w:t xml:space="preserve"> pas à elles seules </w:t>
      </w:r>
      <w:r w:rsidR="0045023D" w:rsidRPr="0036263A">
        <w:t xml:space="preserve">les obligations découlant de </w:t>
      </w:r>
      <w:r w:rsidR="00135B17" w:rsidRPr="0036263A">
        <w:t>l’article 12 de la Convention</w:t>
      </w:r>
      <w:r w:rsidR="009A3C10" w:rsidRPr="0036263A">
        <w:t xml:space="preserve"> </w:t>
      </w:r>
      <w:r w:rsidR="00162E35" w:rsidRPr="0036263A">
        <w:t>(art.</w:t>
      </w:r>
      <w:r w:rsidR="00DE69D1">
        <w:t> </w:t>
      </w:r>
      <w:r w:rsidR="00162E35" w:rsidRPr="0036263A">
        <w:t xml:space="preserve">12). </w:t>
      </w:r>
    </w:p>
    <w:p w14:paraId="1E2638E5" w14:textId="2276B64C" w:rsidR="005B0714" w:rsidRPr="0036263A" w:rsidRDefault="00B12B59" w:rsidP="00B12B59">
      <w:pPr>
        <w:pStyle w:val="SingleTxtG"/>
        <w:spacing w:line="240" w:lineRule="auto"/>
      </w:pPr>
      <w:r w:rsidRPr="0036263A">
        <w:t>28.</w:t>
      </w:r>
      <w:r w:rsidRPr="0036263A">
        <w:tab/>
      </w:r>
      <w:r w:rsidR="00162E35" w:rsidRPr="0036263A">
        <w:rPr>
          <w:b/>
          <w:bCs/>
        </w:rPr>
        <w:t xml:space="preserve">L’État partie devrait </w:t>
      </w:r>
      <w:r w:rsidR="00AE6CBB" w:rsidRPr="0036263A">
        <w:rPr>
          <w:b/>
          <w:bCs/>
        </w:rPr>
        <w:t>adopter des mesures</w:t>
      </w:r>
      <w:r w:rsidR="00162E35" w:rsidRPr="0036263A">
        <w:rPr>
          <w:b/>
          <w:bCs/>
        </w:rPr>
        <w:t xml:space="preserve"> pour </w:t>
      </w:r>
      <w:r w:rsidR="00AE6CBB" w:rsidRPr="0036263A">
        <w:rPr>
          <w:b/>
          <w:bCs/>
        </w:rPr>
        <w:t>garantir</w:t>
      </w:r>
      <w:r w:rsidR="00162E35" w:rsidRPr="0036263A">
        <w:rPr>
          <w:b/>
          <w:bCs/>
        </w:rPr>
        <w:t xml:space="preserve"> que, lorsqu’il existe des motifs raisonnables de croire qu’une personne a été </w:t>
      </w:r>
      <w:r w:rsidR="00E139C5">
        <w:rPr>
          <w:b/>
          <w:bCs/>
        </w:rPr>
        <w:t>victime d</w:t>
      </w:r>
      <w:r w:rsidR="00E139C5" w:rsidRPr="00E139C5">
        <w:rPr>
          <w:b/>
          <w:bCs/>
        </w:rPr>
        <w:t>’</w:t>
      </w:r>
      <w:r w:rsidR="00E139C5">
        <w:rPr>
          <w:b/>
          <w:bCs/>
        </w:rPr>
        <w:t>une</w:t>
      </w:r>
      <w:r w:rsidR="00162E35" w:rsidRPr="0036263A">
        <w:rPr>
          <w:b/>
          <w:bCs/>
        </w:rPr>
        <w:t xml:space="preserve"> disparition forcée, une enquête exhaustive et impartiale soit menée sans tarder, y compris en l’absence de plainte formelle, et que les auteurs présumés soient traduits en justice et, s’ils sont reconnus coupables, soient condamnés à des peines proportionnées à la gravité de leurs actes.</w:t>
      </w:r>
      <w:r w:rsidR="005B0714">
        <w:rPr>
          <w:b/>
          <w:bCs/>
        </w:rPr>
        <w:t xml:space="preserve"> </w:t>
      </w:r>
      <w:r w:rsidR="005B0714" w:rsidRPr="0036263A">
        <w:rPr>
          <w:b/>
          <w:bCs/>
        </w:rPr>
        <w:t>À cet effet, l’État partie devrait</w:t>
      </w:r>
      <w:r w:rsidR="003C2D90">
        <w:rPr>
          <w:b/>
          <w:bCs/>
        </w:rPr>
        <w:t> </w:t>
      </w:r>
      <w:r w:rsidR="005B0714" w:rsidRPr="0036263A">
        <w:rPr>
          <w:b/>
          <w:bCs/>
        </w:rPr>
        <w:t xml:space="preserve">: </w:t>
      </w:r>
    </w:p>
    <w:p w14:paraId="3B61691B" w14:textId="33631E45" w:rsidR="005B0714" w:rsidRPr="00CE1425" w:rsidRDefault="00CE1425" w:rsidP="00CE1425">
      <w:pPr>
        <w:pStyle w:val="SingleTxtG"/>
        <w:rPr>
          <w:b/>
        </w:rPr>
      </w:pPr>
      <w:r>
        <w:rPr>
          <w:b/>
        </w:rPr>
        <w:tab/>
      </w:r>
      <w:r w:rsidR="006E4BFB" w:rsidRPr="00CE1425">
        <w:rPr>
          <w:b/>
        </w:rPr>
        <w:t>a)</w:t>
      </w:r>
      <w:r w:rsidR="005B0714" w:rsidRPr="00CE1425">
        <w:rPr>
          <w:b/>
        </w:rPr>
        <w:tab/>
        <w:t>Faire en sorte que, lorsque des indices laissent supposer qu’un crime de disparition forcée a été commis, il soit procédé sans retard et avec efficacité à une enquête sur tous les agents ou organismes publics susceptibles d’être impliqués, et que toutes les pistes soient explorées</w:t>
      </w:r>
      <w:r w:rsidR="003C2D90">
        <w:rPr>
          <w:b/>
        </w:rPr>
        <w:t> </w:t>
      </w:r>
      <w:r w:rsidR="005B0714" w:rsidRPr="00CE1425">
        <w:rPr>
          <w:b/>
        </w:rPr>
        <w:t xml:space="preserve">; </w:t>
      </w:r>
    </w:p>
    <w:p w14:paraId="230A0854" w14:textId="7C8D19F9" w:rsidR="005B0714" w:rsidRPr="00CE1425" w:rsidRDefault="00CE1425" w:rsidP="00CE1425">
      <w:pPr>
        <w:pStyle w:val="SingleTxtG"/>
        <w:rPr>
          <w:b/>
          <w:bCs/>
          <w:lang w:val="fr-FR"/>
        </w:rPr>
      </w:pPr>
      <w:r>
        <w:rPr>
          <w:b/>
          <w:bCs/>
        </w:rPr>
        <w:tab/>
      </w:r>
      <w:r w:rsidR="006E4BFB" w:rsidRPr="00CE1425">
        <w:rPr>
          <w:b/>
          <w:bCs/>
        </w:rPr>
        <w:t>b)</w:t>
      </w:r>
      <w:r w:rsidR="005B0714" w:rsidRPr="00CE1425">
        <w:rPr>
          <w:b/>
          <w:bCs/>
        </w:rPr>
        <w:tab/>
        <w:t>S</w:t>
      </w:r>
      <w:r w:rsidR="005B0714" w:rsidRPr="00CE1425">
        <w:rPr>
          <w:b/>
          <w:bCs/>
          <w:lang w:val="fr-FR"/>
        </w:rPr>
        <w:t xml:space="preserve">’assurer que le Code de procédure pénale donne aux victimes de disparition forcée la possibilité de participer activement et sans réserve aux procédures judiciaires relatives à de tels actes ; </w:t>
      </w:r>
    </w:p>
    <w:p w14:paraId="52EE37FC" w14:textId="4C2A6EA6" w:rsidR="005B0714" w:rsidRPr="00CE1425" w:rsidRDefault="00CE1425" w:rsidP="00CE1425">
      <w:pPr>
        <w:pStyle w:val="SingleTxtG"/>
        <w:rPr>
          <w:b/>
          <w:bCs/>
          <w:lang w:val="fr-FR"/>
        </w:rPr>
      </w:pPr>
      <w:r>
        <w:rPr>
          <w:b/>
          <w:bCs/>
        </w:rPr>
        <w:tab/>
      </w:r>
      <w:r w:rsidR="005B0714" w:rsidRPr="00CE1425">
        <w:rPr>
          <w:b/>
          <w:bCs/>
        </w:rPr>
        <w:t>c)</w:t>
      </w:r>
      <w:r w:rsidR="005B0714" w:rsidRPr="00CE1425">
        <w:rPr>
          <w:b/>
          <w:bCs/>
        </w:rPr>
        <w:tab/>
        <w:t>Envisager de former spécifiquement certains agents au sein de la police</w:t>
      </w:r>
      <w:r w:rsidR="005B0714" w:rsidRPr="00CE1425">
        <w:rPr>
          <w:b/>
          <w:bCs/>
          <w:lang w:val="fr-FR"/>
        </w:rPr>
        <w:t xml:space="preserve"> judiciaire et des juridictions qui pourraient enquêter, le cas échéant, sur les cas présumés de disparition forcée et mener des poursuites pénales dans les affaires de cette nature ;</w:t>
      </w:r>
    </w:p>
    <w:p w14:paraId="17E6A49A" w14:textId="4747A651" w:rsidR="005B0714" w:rsidRPr="00CE1425" w:rsidRDefault="00CE1425" w:rsidP="00CE1425">
      <w:pPr>
        <w:pStyle w:val="SingleTxtG"/>
        <w:rPr>
          <w:b/>
        </w:rPr>
      </w:pPr>
      <w:r>
        <w:rPr>
          <w:b/>
          <w:bCs/>
          <w:lang w:val="fr-FR"/>
        </w:rPr>
        <w:lastRenderedPageBreak/>
        <w:tab/>
      </w:r>
      <w:r w:rsidR="005B0714" w:rsidRPr="00CE1425">
        <w:rPr>
          <w:b/>
          <w:bCs/>
          <w:lang w:val="fr-FR"/>
        </w:rPr>
        <w:t>d</w:t>
      </w:r>
      <w:r w:rsidR="006E4BFB" w:rsidRPr="00CE1425">
        <w:rPr>
          <w:b/>
          <w:bCs/>
        </w:rPr>
        <w:t>)</w:t>
      </w:r>
      <w:r w:rsidR="005B0714" w:rsidRPr="00CE1425">
        <w:rPr>
          <w:b/>
          <w:bCs/>
        </w:rPr>
        <w:tab/>
        <w:t>Garantir la coordination effective et la coopération de tous les organes chargés de l’enquête et veiller à ce qu’ils disposent des structures et des ressources techniques, financières et humaines ainsi que de l’expertise nécessaires pour s’acquitter de leurs fonctio</w:t>
      </w:r>
      <w:r w:rsidR="00E476A4" w:rsidRPr="00CE1425">
        <w:rPr>
          <w:b/>
          <w:bCs/>
        </w:rPr>
        <w:t>ns avec diligence et efficacité</w:t>
      </w:r>
      <w:r w:rsidR="003C2D90">
        <w:rPr>
          <w:b/>
          <w:bCs/>
        </w:rPr>
        <w:t> </w:t>
      </w:r>
      <w:r w:rsidR="005B0714" w:rsidRPr="00CE1425">
        <w:rPr>
          <w:b/>
          <w:bCs/>
        </w:rPr>
        <w:t xml:space="preserve">; </w:t>
      </w:r>
    </w:p>
    <w:p w14:paraId="06456A8F" w14:textId="5E299127" w:rsidR="005B0714" w:rsidRPr="00CE1425" w:rsidRDefault="00CE1425" w:rsidP="00CE1425">
      <w:pPr>
        <w:pStyle w:val="SingleTxtG"/>
        <w:rPr>
          <w:b/>
        </w:rPr>
      </w:pPr>
      <w:r>
        <w:rPr>
          <w:b/>
          <w:bCs/>
        </w:rPr>
        <w:tab/>
      </w:r>
      <w:r w:rsidR="005B0714" w:rsidRPr="00CE1425">
        <w:rPr>
          <w:b/>
          <w:bCs/>
        </w:rPr>
        <w:t>e)</w:t>
      </w:r>
      <w:r w:rsidR="005B0714" w:rsidRPr="00CE1425">
        <w:rPr>
          <w:b/>
          <w:bCs/>
        </w:rPr>
        <w:tab/>
        <w:t>A</w:t>
      </w:r>
      <w:proofErr w:type="spellStart"/>
      <w:r w:rsidR="005B0714" w:rsidRPr="00CE1425">
        <w:rPr>
          <w:b/>
          <w:lang w:val="fr-FR"/>
        </w:rPr>
        <w:t>dopter</w:t>
      </w:r>
      <w:proofErr w:type="spellEnd"/>
      <w:r w:rsidR="005B0714" w:rsidRPr="00CE1425">
        <w:rPr>
          <w:b/>
          <w:lang w:val="fr-FR"/>
        </w:rPr>
        <w:t xml:space="preserve"> toutes les mesures nécessaires, conformément au paragraphe 4 de l’article 12 de la Convention, pour garantir que les personnes soupçonnées d’avoir commis un crime de disparition forcée et les fonctionnaires appartenant à leurs unités ne soient pas en mesure de participer à</w:t>
      </w:r>
      <w:r w:rsidR="00260B00">
        <w:rPr>
          <w:b/>
          <w:lang w:val="fr-FR"/>
        </w:rPr>
        <w:t xml:space="preserve"> </w:t>
      </w:r>
      <w:r w:rsidR="005B0714" w:rsidRPr="00CE1425">
        <w:rPr>
          <w:b/>
          <w:lang w:val="fr-FR"/>
        </w:rPr>
        <w:t>l’enquête ou d’influer, directement ou indirectement, elles-mêmes ou par l’intermédiaire de tiers, sur le cours de l’enquête.</w:t>
      </w:r>
      <w:r w:rsidR="005B0714" w:rsidRPr="00CE1425">
        <w:rPr>
          <w:b/>
          <w:bCs/>
        </w:rPr>
        <w:t xml:space="preserve"> </w:t>
      </w:r>
    </w:p>
    <w:p w14:paraId="3015B5C9" w14:textId="4A3058FF" w:rsidR="001E5A68" w:rsidRPr="005B0714" w:rsidRDefault="006E4BFB" w:rsidP="000D7664">
      <w:pPr>
        <w:pStyle w:val="H23G"/>
        <w:rPr>
          <w:lang w:val="fr-FR"/>
        </w:rPr>
      </w:pPr>
      <w:r>
        <w:rPr>
          <w:lang w:val="fr-FR"/>
        </w:rPr>
        <w:tab/>
      </w:r>
      <w:r>
        <w:rPr>
          <w:lang w:val="fr-FR"/>
        </w:rPr>
        <w:tab/>
      </w:r>
      <w:r w:rsidR="001E5A68" w:rsidRPr="005B0714">
        <w:rPr>
          <w:lang w:val="fr-FR"/>
        </w:rPr>
        <w:t xml:space="preserve">Protection des plaignants, des témoins, des proches de la personne disparue </w:t>
      </w:r>
      <w:r w:rsidR="00B12B59">
        <w:rPr>
          <w:lang w:val="fr-FR"/>
        </w:rPr>
        <w:br/>
      </w:r>
      <w:r w:rsidR="001E5A68" w:rsidRPr="005B0714">
        <w:rPr>
          <w:lang w:val="fr-FR"/>
        </w:rPr>
        <w:t>et de leurs conseils ainsi que de ceux qui participent à l’enquête</w:t>
      </w:r>
    </w:p>
    <w:p w14:paraId="4BEB9E96" w14:textId="0BED1CCE" w:rsidR="001E5A68" w:rsidRPr="0036263A" w:rsidRDefault="00B12B59" w:rsidP="00B12B59">
      <w:pPr>
        <w:pStyle w:val="SingleTxtG"/>
        <w:rPr>
          <w:lang w:val="fr-FR"/>
        </w:rPr>
      </w:pPr>
      <w:r w:rsidRPr="0036263A">
        <w:rPr>
          <w:lang w:val="fr-FR"/>
        </w:rPr>
        <w:t>29.</w:t>
      </w:r>
      <w:r w:rsidRPr="0036263A">
        <w:rPr>
          <w:lang w:val="fr-FR"/>
        </w:rPr>
        <w:tab/>
      </w:r>
      <w:r w:rsidR="001E5A68" w:rsidRPr="0036263A">
        <w:rPr>
          <w:lang w:val="fr-FR"/>
        </w:rPr>
        <w:t>Le Comité prend note des informations de l’</w:t>
      </w:r>
      <w:r w:rsidR="00A400A2" w:rsidRPr="0036263A">
        <w:rPr>
          <w:lang w:val="fr-FR"/>
        </w:rPr>
        <w:t>État</w:t>
      </w:r>
      <w:r w:rsidR="007C62D1" w:rsidRPr="0036263A">
        <w:rPr>
          <w:lang w:val="fr-FR"/>
        </w:rPr>
        <w:t xml:space="preserve"> partie</w:t>
      </w:r>
      <w:r w:rsidR="001E5A68" w:rsidRPr="0036263A">
        <w:rPr>
          <w:lang w:val="fr-FR"/>
        </w:rPr>
        <w:t xml:space="preserve"> selon lesquelles la protection des catégories des plaignants et des témoins </w:t>
      </w:r>
      <w:r w:rsidR="007C62D1" w:rsidRPr="0036263A">
        <w:rPr>
          <w:lang w:val="fr-FR"/>
        </w:rPr>
        <w:t xml:space="preserve">est prévue par le Code </w:t>
      </w:r>
      <w:r w:rsidR="007C62D1" w:rsidRPr="00B55B75">
        <w:rPr>
          <w:lang w:val="fr-FR"/>
        </w:rPr>
        <w:t>pénal</w:t>
      </w:r>
      <w:r w:rsidR="007C62D1" w:rsidRPr="0036263A">
        <w:rPr>
          <w:lang w:val="fr-FR"/>
        </w:rPr>
        <w:t xml:space="preserve">. </w:t>
      </w:r>
      <w:r w:rsidR="001E5A68" w:rsidRPr="0036263A">
        <w:rPr>
          <w:lang w:val="fr-FR"/>
        </w:rPr>
        <w:t xml:space="preserve">Le Comité relève que, d’une part, </w:t>
      </w:r>
      <w:r w:rsidR="006F75FA" w:rsidRPr="0036263A">
        <w:rPr>
          <w:lang w:val="fr-FR"/>
        </w:rPr>
        <w:t>cette référence est très générale</w:t>
      </w:r>
      <w:r w:rsidR="001E5A68" w:rsidRPr="0036263A">
        <w:rPr>
          <w:lang w:val="fr-FR"/>
        </w:rPr>
        <w:t xml:space="preserve"> </w:t>
      </w:r>
      <w:r w:rsidR="006F75FA" w:rsidRPr="0036263A">
        <w:rPr>
          <w:lang w:val="fr-FR"/>
        </w:rPr>
        <w:t xml:space="preserve">et </w:t>
      </w:r>
      <w:r w:rsidR="001E5A68" w:rsidRPr="0036263A">
        <w:rPr>
          <w:lang w:val="fr-FR"/>
        </w:rPr>
        <w:t xml:space="preserve">que, d’autre part, </w:t>
      </w:r>
      <w:r w:rsidR="006F75FA" w:rsidRPr="0036263A">
        <w:rPr>
          <w:lang w:val="fr-FR"/>
        </w:rPr>
        <w:t>elle n’est ni suffisante</w:t>
      </w:r>
      <w:r w:rsidR="001E5A68" w:rsidRPr="0036263A">
        <w:rPr>
          <w:lang w:val="fr-FR"/>
        </w:rPr>
        <w:t>, ni</w:t>
      </w:r>
      <w:r w:rsidR="009A3744" w:rsidRPr="0036263A">
        <w:rPr>
          <w:lang w:val="fr-FR"/>
        </w:rPr>
        <w:t xml:space="preserve"> suffisamment </w:t>
      </w:r>
      <w:r w:rsidR="006F75FA" w:rsidRPr="0036263A">
        <w:rPr>
          <w:lang w:val="fr-FR"/>
        </w:rPr>
        <w:t>explicite</w:t>
      </w:r>
      <w:r w:rsidR="001E5A68" w:rsidRPr="0036263A">
        <w:rPr>
          <w:lang w:val="fr-FR"/>
        </w:rPr>
        <w:t xml:space="preserve"> sur la protection</w:t>
      </w:r>
      <w:r w:rsidR="009A3744" w:rsidRPr="0036263A">
        <w:rPr>
          <w:lang w:val="fr-FR"/>
        </w:rPr>
        <w:t xml:space="preserve"> de toutes les catégories prévues au paragraphe</w:t>
      </w:r>
      <w:r w:rsidR="00B16828" w:rsidRPr="0036263A">
        <w:rPr>
          <w:lang w:val="fr-FR"/>
        </w:rPr>
        <w:t> </w:t>
      </w:r>
      <w:r w:rsidR="009A3744" w:rsidRPr="0036263A">
        <w:rPr>
          <w:lang w:val="fr-FR"/>
        </w:rPr>
        <w:t>1 de l’article</w:t>
      </w:r>
      <w:r w:rsidR="00B16828" w:rsidRPr="0036263A">
        <w:rPr>
          <w:lang w:val="fr-FR"/>
        </w:rPr>
        <w:t> </w:t>
      </w:r>
      <w:r w:rsidR="009A3744" w:rsidRPr="0036263A">
        <w:rPr>
          <w:lang w:val="fr-FR"/>
        </w:rPr>
        <w:t>12 de la Convention</w:t>
      </w:r>
      <w:r w:rsidR="00B16828" w:rsidRPr="0036263A">
        <w:rPr>
          <w:lang w:val="fr-FR"/>
        </w:rPr>
        <w:t>,</w:t>
      </w:r>
      <w:r w:rsidR="009A3744" w:rsidRPr="0036263A">
        <w:rPr>
          <w:lang w:val="fr-FR"/>
        </w:rPr>
        <w:t xml:space="preserve"> et</w:t>
      </w:r>
      <w:r w:rsidR="00B16828" w:rsidRPr="0036263A">
        <w:rPr>
          <w:lang w:val="fr-FR"/>
        </w:rPr>
        <w:t xml:space="preserve"> que</w:t>
      </w:r>
      <w:r w:rsidR="009A3744" w:rsidRPr="0036263A">
        <w:rPr>
          <w:lang w:val="fr-FR"/>
        </w:rPr>
        <w:t xml:space="preserve">, </w:t>
      </w:r>
      <w:r w:rsidR="001E5A68" w:rsidRPr="0036263A">
        <w:rPr>
          <w:lang w:val="fr-FR"/>
        </w:rPr>
        <w:t xml:space="preserve">par conséquent, </w:t>
      </w:r>
      <w:r w:rsidR="006F75FA" w:rsidRPr="0036263A">
        <w:rPr>
          <w:lang w:val="fr-FR"/>
        </w:rPr>
        <w:t>elle</w:t>
      </w:r>
      <w:r w:rsidR="00B16828" w:rsidRPr="0036263A">
        <w:rPr>
          <w:lang w:val="fr-FR"/>
        </w:rPr>
        <w:t xml:space="preserve"> </w:t>
      </w:r>
      <w:r w:rsidR="006F75FA" w:rsidRPr="0036263A">
        <w:rPr>
          <w:lang w:val="fr-FR"/>
        </w:rPr>
        <w:t>n’en remplit</w:t>
      </w:r>
      <w:r w:rsidR="009A3744" w:rsidRPr="0036263A">
        <w:rPr>
          <w:lang w:val="fr-FR"/>
        </w:rPr>
        <w:t xml:space="preserve"> pas </w:t>
      </w:r>
      <w:r w:rsidR="001E5A68" w:rsidRPr="0036263A">
        <w:rPr>
          <w:lang w:val="fr-FR"/>
        </w:rPr>
        <w:t>les exigences</w:t>
      </w:r>
      <w:r w:rsidR="00E07D07" w:rsidRPr="0036263A">
        <w:rPr>
          <w:lang w:val="fr-FR"/>
        </w:rPr>
        <w:t xml:space="preserve"> </w:t>
      </w:r>
      <w:r w:rsidR="001E5A68" w:rsidRPr="0036263A">
        <w:rPr>
          <w:lang w:val="fr-FR"/>
        </w:rPr>
        <w:t>(art.</w:t>
      </w:r>
      <w:r w:rsidR="00A400A2" w:rsidRPr="0036263A">
        <w:rPr>
          <w:lang w:val="fr-FR"/>
        </w:rPr>
        <w:t> </w:t>
      </w:r>
      <w:r w:rsidR="001E5A68" w:rsidRPr="0036263A">
        <w:rPr>
          <w:lang w:val="fr-FR"/>
        </w:rPr>
        <w:t>12).</w:t>
      </w:r>
    </w:p>
    <w:p w14:paraId="292FADAC" w14:textId="02F8554D" w:rsidR="001E5A68" w:rsidRPr="0036263A" w:rsidRDefault="00B12B59" w:rsidP="00B12B59">
      <w:pPr>
        <w:pStyle w:val="SingleTxtG"/>
        <w:rPr>
          <w:b/>
          <w:bCs/>
          <w:lang w:val="fr-FR"/>
        </w:rPr>
      </w:pPr>
      <w:r w:rsidRPr="0036263A">
        <w:rPr>
          <w:bCs/>
          <w:lang w:val="fr-FR"/>
        </w:rPr>
        <w:t>30.</w:t>
      </w:r>
      <w:r w:rsidRPr="0036263A">
        <w:rPr>
          <w:bCs/>
          <w:lang w:val="fr-FR"/>
        </w:rPr>
        <w:tab/>
      </w:r>
      <w:r w:rsidR="001E5A68" w:rsidRPr="0036263A">
        <w:rPr>
          <w:rStyle w:val="SingleTxtGCar"/>
          <w:b/>
          <w:bCs/>
          <w:lang w:val="fr-FR"/>
        </w:rPr>
        <w:t xml:space="preserve">Le Comité recommande à </w:t>
      </w:r>
      <w:r w:rsidR="001E5A68" w:rsidRPr="0036263A">
        <w:rPr>
          <w:b/>
          <w:bCs/>
          <w:lang w:val="fr-FR"/>
        </w:rPr>
        <w:t>l’</w:t>
      </w:r>
      <w:r w:rsidR="001E5A68" w:rsidRPr="0036263A">
        <w:rPr>
          <w:rStyle w:val="SingleTxtGCar"/>
          <w:b/>
          <w:bCs/>
          <w:lang w:val="fr-FR"/>
        </w:rPr>
        <w:t>État partie</w:t>
      </w:r>
      <w:r w:rsidR="009E5A2E">
        <w:rPr>
          <w:rStyle w:val="SingleTxtGCar"/>
          <w:b/>
          <w:bCs/>
          <w:lang w:val="fr-FR"/>
        </w:rPr>
        <w:t>, dans le cadre de la r</w:t>
      </w:r>
      <w:r w:rsidR="009E5A2E" w:rsidRPr="00B12B59">
        <w:rPr>
          <w:b/>
          <w:bCs/>
          <w:szCs w:val="18"/>
        </w:rPr>
        <w:t>é</w:t>
      </w:r>
      <w:r w:rsidR="009E5A2E">
        <w:rPr>
          <w:rStyle w:val="SingleTxtGCar"/>
          <w:b/>
          <w:bCs/>
          <w:lang w:val="fr-FR"/>
        </w:rPr>
        <w:t xml:space="preserve">forme de son </w:t>
      </w:r>
      <w:r w:rsidR="009E5A2E" w:rsidRPr="00DC637A">
        <w:rPr>
          <w:rStyle w:val="SingleTxtGCar"/>
          <w:b/>
          <w:bCs/>
          <w:lang w:val="fr-FR"/>
        </w:rPr>
        <w:t>Code p</w:t>
      </w:r>
      <w:r w:rsidR="009E5A2E" w:rsidRPr="00270EC4">
        <w:rPr>
          <w:b/>
          <w:szCs w:val="18"/>
        </w:rPr>
        <w:t>é</w:t>
      </w:r>
      <w:proofErr w:type="spellStart"/>
      <w:r w:rsidR="009E5A2E" w:rsidRPr="00DC637A">
        <w:rPr>
          <w:rStyle w:val="SingleTxtGCar"/>
          <w:b/>
          <w:bCs/>
          <w:lang w:val="fr-FR"/>
        </w:rPr>
        <w:t>nal</w:t>
      </w:r>
      <w:proofErr w:type="spellEnd"/>
      <w:r w:rsidR="009E5A2E">
        <w:rPr>
          <w:rStyle w:val="SingleTxtGCar"/>
          <w:b/>
          <w:bCs/>
          <w:lang w:val="fr-FR"/>
        </w:rPr>
        <w:t>,</w:t>
      </w:r>
      <w:r w:rsidR="001E5A68" w:rsidRPr="0036263A">
        <w:rPr>
          <w:rStyle w:val="SingleTxtGCar"/>
          <w:b/>
          <w:bCs/>
          <w:lang w:val="fr-FR"/>
        </w:rPr>
        <w:t xml:space="preserve"> de prendre </w:t>
      </w:r>
      <w:r w:rsidR="00260B00">
        <w:rPr>
          <w:rStyle w:val="SingleTxtGCar"/>
          <w:b/>
          <w:bCs/>
          <w:lang w:val="fr-FR"/>
        </w:rPr>
        <w:t>l</w:t>
      </w:r>
      <w:r w:rsidR="00260B00" w:rsidRPr="0036263A">
        <w:rPr>
          <w:rStyle w:val="SingleTxtGCar"/>
          <w:b/>
          <w:bCs/>
          <w:lang w:val="fr-FR"/>
        </w:rPr>
        <w:t xml:space="preserve">es </w:t>
      </w:r>
      <w:r w:rsidR="001E5A68" w:rsidRPr="0036263A">
        <w:rPr>
          <w:rStyle w:val="SingleTxtGCar"/>
          <w:b/>
          <w:bCs/>
          <w:lang w:val="fr-FR"/>
        </w:rPr>
        <w:t xml:space="preserve">mesures nécessaires afin de </w:t>
      </w:r>
      <w:r w:rsidR="001E5A68" w:rsidRPr="0036263A">
        <w:rPr>
          <w:b/>
          <w:lang w:val="fr-FR"/>
        </w:rPr>
        <w:t>garantir</w:t>
      </w:r>
      <w:r w:rsidR="001E5A68" w:rsidRPr="0036263A">
        <w:rPr>
          <w:rStyle w:val="SingleTxtGCar"/>
          <w:b/>
          <w:bCs/>
          <w:lang w:val="fr-FR"/>
        </w:rPr>
        <w:t xml:space="preserve"> de manière </w:t>
      </w:r>
      <w:r w:rsidR="006A4E23">
        <w:rPr>
          <w:rStyle w:val="SingleTxtGCar"/>
          <w:b/>
          <w:bCs/>
          <w:lang w:val="fr-FR"/>
        </w:rPr>
        <w:t>effective</w:t>
      </w:r>
      <w:r w:rsidR="001E5A68" w:rsidRPr="0036263A">
        <w:rPr>
          <w:rStyle w:val="SingleTxtGCar"/>
          <w:b/>
          <w:bCs/>
          <w:lang w:val="fr-FR"/>
        </w:rPr>
        <w:t xml:space="preserve"> </w:t>
      </w:r>
      <w:r w:rsidR="009A3744" w:rsidRPr="0036263A">
        <w:rPr>
          <w:rStyle w:val="SingleTxtGCar"/>
          <w:b/>
          <w:bCs/>
          <w:lang w:val="fr-FR"/>
        </w:rPr>
        <w:t xml:space="preserve">la protection de toutes </w:t>
      </w:r>
      <w:r w:rsidR="00BD7709" w:rsidRPr="0036263A">
        <w:rPr>
          <w:rStyle w:val="SingleTxtGCar"/>
          <w:b/>
          <w:bCs/>
          <w:lang w:val="fr-FR"/>
        </w:rPr>
        <w:t xml:space="preserve">les </w:t>
      </w:r>
      <w:r w:rsidR="009A3744" w:rsidRPr="0036263A">
        <w:rPr>
          <w:rStyle w:val="SingleTxtGCar"/>
          <w:b/>
          <w:bCs/>
          <w:lang w:val="fr-FR"/>
        </w:rPr>
        <w:t xml:space="preserve">catégories </w:t>
      </w:r>
      <w:r w:rsidR="0078000F" w:rsidRPr="0036263A">
        <w:rPr>
          <w:rStyle w:val="SingleTxtGCar"/>
          <w:b/>
          <w:bCs/>
          <w:lang w:val="fr-FR"/>
        </w:rPr>
        <w:t xml:space="preserve">de personnes </w:t>
      </w:r>
      <w:r w:rsidR="009A3744" w:rsidRPr="0036263A">
        <w:rPr>
          <w:rStyle w:val="SingleTxtGCar"/>
          <w:b/>
          <w:bCs/>
          <w:lang w:val="fr-FR"/>
        </w:rPr>
        <w:t xml:space="preserve">citées </w:t>
      </w:r>
      <w:r w:rsidR="009A3744" w:rsidRPr="0036263A">
        <w:rPr>
          <w:b/>
          <w:lang w:val="fr-FR"/>
        </w:rPr>
        <w:t>au paragraphe</w:t>
      </w:r>
      <w:r w:rsidR="00E81FB1" w:rsidRPr="0036263A">
        <w:rPr>
          <w:b/>
          <w:lang w:val="fr-FR"/>
        </w:rPr>
        <w:t> </w:t>
      </w:r>
      <w:r w:rsidR="009A3744" w:rsidRPr="0036263A">
        <w:rPr>
          <w:b/>
          <w:lang w:val="fr-FR"/>
        </w:rPr>
        <w:t>1 de l’article</w:t>
      </w:r>
      <w:r w:rsidR="00DE69D1">
        <w:rPr>
          <w:b/>
          <w:lang w:val="fr-FR"/>
        </w:rPr>
        <w:t> </w:t>
      </w:r>
      <w:r w:rsidR="009A3744" w:rsidRPr="0036263A">
        <w:rPr>
          <w:b/>
          <w:lang w:val="fr-FR"/>
        </w:rPr>
        <w:t>12 de la Convention</w:t>
      </w:r>
      <w:r w:rsidR="009A3744" w:rsidRPr="0036263A">
        <w:rPr>
          <w:rStyle w:val="SingleTxtGCar"/>
          <w:b/>
          <w:bCs/>
          <w:lang w:val="fr-FR"/>
        </w:rPr>
        <w:t xml:space="preserve"> </w:t>
      </w:r>
      <w:r w:rsidR="001E5A68" w:rsidRPr="0036263A">
        <w:rPr>
          <w:rStyle w:val="SingleTxtGCar"/>
          <w:b/>
          <w:bCs/>
          <w:lang w:val="fr-FR"/>
        </w:rPr>
        <w:t>contre tout mauvais traitement ou toute intimidation en raison de la plainte déposée ou de toute déposition faite</w:t>
      </w:r>
      <w:r w:rsidR="001E5A68" w:rsidRPr="0036263A">
        <w:rPr>
          <w:b/>
          <w:bCs/>
          <w:lang w:val="fr-FR"/>
        </w:rPr>
        <w:t xml:space="preserve">. </w:t>
      </w:r>
    </w:p>
    <w:p w14:paraId="25265669" w14:textId="77777777" w:rsidR="001E5A68" w:rsidRPr="0036263A" w:rsidRDefault="00BA744D" w:rsidP="00F70A00">
      <w:pPr>
        <w:pStyle w:val="H1G"/>
        <w:ind w:left="0" w:firstLine="0"/>
        <w:rPr>
          <w:lang w:val="fr-FR"/>
        </w:rPr>
      </w:pPr>
      <w:r w:rsidRPr="0036263A">
        <w:tab/>
      </w:r>
      <w:r w:rsidRPr="0036263A">
        <w:tab/>
      </w:r>
      <w:r w:rsidR="001E5A68" w:rsidRPr="0036263A">
        <w:rPr>
          <w:lang w:val="fr-FR"/>
        </w:rPr>
        <w:t>Mesures de prévention des disparitions forcées (art. 16 à 23)</w:t>
      </w:r>
    </w:p>
    <w:p w14:paraId="4ACDB317" w14:textId="77777777" w:rsidR="001E5A68" w:rsidRPr="0036263A" w:rsidRDefault="00BA744D" w:rsidP="00661B40">
      <w:pPr>
        <w:pStyle w:val="H23G"/>
        <w:rPr>
          <w:lang w:val="fr-FR"/>
        </w:rPr>
      </w:pPr>
      <w:r w:rsidRPr="0036263A">
        <w:rPr>
          <w:lang w:val="fr-FR"/>
        </w:rPr>
        <w:tab/>
      </w:r>
      <w:r w:rsidRPr="0036263A">
        <w:rPr>
          <w:lang w:val="fr-FR"/>
        </w:rPr>
        <w:tab/>
      </w:r>
      <w:r w:rsidR="001E5A68" w:rsidRPr="0036263A">
        <w:rPr>
          <w:lang w:val="fr-FR"/>
        </w:rPr>
        <w:t>Non</w:t>
      </w:r>
      <w:r w:rsidR="00AE58D8" w:rsidRPr="0036263A">
        <w:rPr>
          <w:lang w:val="fr-FR"/>
        </w:rPr>
        <w:t>-</w:t>
      </w:r>
      <w:r w:rsidR="001E5A68" w:rsidRPr="0036263A">
        <w:rPr>
          <w:lang w:val="fr-FR"/>
        </w:rPr>
        <w:t>refoulement</w:t>
      </w:r>
    </w:p>
    <w:p w14:paraId="505C54FE" w14:textId="7EDD1840" w:rsidR="001E5A68" w:rsidRPr="0036263A" w:rsidRDefault="00B12B59" w:rsidP="00B12B59">
      <w:pPr>
        <w:pStyle w:val="SingleTxtG"/>
        <w:rPr>
          <w:lang w:val="fr-FR"/>
        </w:rPr>
      </w:pPr>
      <w:r w:rsidRPr="0036263A">
        <w:rPr>
          <w:lang w:val="fr-FR"/>
        </w:rPr>
        <w:t>31.</w:t>
      </w:r>
      <w:r w:rsidRPr="0036263A">
        <w:rPr>
          <w:lang w:val="fr-FR"/>
        </w:rPr>
        <w:tab/>
      </w:r>
      <w:r w:rsidR="00CC5FA7">
        <w:rPr>
          <w:lang w:val="fr-FR"/>
        </w:rPr>
        <w:t xml:space="preserve">Tout en notant les affirmations de la délégation quant à la possibilité de faire appel, avec effet suspensif, d’une décision d’expulsion devant la </w:t>
      </w:r>
      <w:r w:rsidR="00113C15">
        <w:rPr>
          <w:lang w:val="fr-FR"/>
        </w:rPr>
        <w:t xml:space="preserve">chambre </w:t>
      </w:r>
      <w:r w:rsidR="00CC5FA7">
        <w:rPr>
          <w:lang w:val="fr-FR"/>
        </w:rPr>
        <w:t xml:space="preserve">administrative de la Cour suprême, </w:t>
      </w:r>
      <w:r w:rsidR="00516BAB">
        <w:rPr>
          <w:lang w:val="fr-FR"/>
        </w:rPr>
        <w:t>l</w:t>
      </w:r>
      <w:r w:rsidR="001E5A68" w:rsidRPr="0036263A">
        <w:rPr>
          <w:lang w:val="fr-FR"/>
        </w:rPr>
        <w:t xml:space="preserve">e Comité </w:t>
      </w:r>
      <w:r w:rsidR="00516BAB">
        <w:rPr>
          <w:lang w:val="fr-FR"/>
        </w:rPr>
        <w:t xml:space="preserve">considère </w:t>
      </w:r>
      <w:r w:rsidR="002F710C">
        <w:rPr>
          <w:lang w:val="fr-FR"/>
        </w:rPr>
        <w:t xml:space="preserve">comme insuffisantes les informations </w:t>
      </w:r>
      <w:r w:rsidR="00570BEA" w:rsidRPr="0036263A">
        <w:rPr>
          <w:lang w:val="fr-FR"/>
        </w:rPr>
        <w:t>communiquées</w:t>
      </w:r>
      <w:r w:rsidR="00916597" w:rsidRPr="0036263A">
        <w:rPr>
          <w:lang w:val="fr-FR"/>
        </w:rPr>
        <w:t xml:space="preserve"> par l’État partie </w:t>
      </w:r>
      <w:r w:rsidR="002F710C">
        <w:rPr>
          <w:lang w:val="fr-FR"/>
        </w:rPr>
        <w:t>relatives aux</w:t>
      </w:r>
      <w:r w:rsidR="00916597" w:rsidRPr="0036263A">
        <w:rPr>
          <w:lang w:val="fr-FR"/>
        </w:rPr>
        <w:t xml:space="preserve"> mesures et critères mis en place pour évaluer les risques de disparition forcée et autres risques d’atteinte à la vie ou l’intégrité physique en cas de refoulement, </w:t>
      </w:r>
      <w:r w:rsidR="00113C15">
        <w:rPr>
          <w:lang w:val="fr-FR"/>
        </w:rPr>
        <w:t>d</w:t>
      </w:r>
      <w:r w:rsidR="00113C15" w:rsidRPr="00113C15">
        <w:rPr>
          <w:lang w:val="fr-FR"/>
        </w:rPr>
        <w:t>’</w:t>
      </w:r>
      <w:r w:rsidR="00916597" w:rsidRPr="0036263A">
        <w:rPr>
          <w:lang w:val="fr-FR"/>
        </w:rPr>
        <w:t xml:space="preserve">expulsion, </w:t>
      </w:r>
      <w:r w:rsidR="00113C15">
        <w:rPr>
          <w:lang w:val="fr-FR"/>
        </w:rPr>
        <w:t xml:space="preserve">de </w:t>
      </w:r>
      <w:r w:rsidR="00916597" w:rsidRPr="0036263A">
        <w:rPr>
          <w:lang w:val="fr-FR"/>
        </w:rPr>
        <w:t xml:space="preserve">reconduite à la frontière ou </w:t>
      </w:r>
      <w:r w:rsidR="00113C15">
        <w:rPr>
          <w:lang w:val="fr-FR"/>
        </w:rPr>
        <w:t>d</w:t>
      </w:r>
      <w:r w:rsidR="00113C15" w:rsidRPr="00113C15">
        <w:rPr>
          <w:lang w:val="fr-FR"/>
        </w:rPr>
        <w:t>’</w:t>
      </w:r>
      <w:r w:rsidR="00916597" w:rsidRPr="0036263A">
        <w:rPr>
          <w:lang w:val="fr-FR"/>
        </w:rPr>
        <w:t>extradition.</w:t>
      </w:r>
      <w:r w:rsidR="004D7B58">
        <w:t xml:space="preserve"> </w:t>
      </w:r>
      <w:r w:rsidR="007E0E23">
        <w:t>En revanche, le Comité</w:t>
      </w:r>
      <w:r w:rsidR="0089598A" w:rsidRPr="0036263A">
        <w:t xml:space="preserve"> note avec intérêt l’intention exprimée par l’État partie d’inscrire </w:t>
      </w:r>
      <w:r w:rsidR="007E0E23" w:rsidRPr="0036263A">
        <w:t>expressément</w:t>
      </w:r>
      <w:r w:rsidR="007E0E23">
        <w:t xml:space="preserve">, </w:t>
      </w:r>
      <w:r w:rsidR="002B6B76">
        <w:t>dans le cadre</w:t>
      </w:r>
      <w:r w:rsidR="002B6B76" w:rsidRPr="0036263A">
        <w:t xml:space="preserve"> </w:t>
      </w:r>
      <w:r w:rsidR="007E0E23" w:rsidRPr="0036263A">
        <w:t>de la réforme du Code pénal</w:t>
      </w:r>
      <w:r w:rsidR="007E0E23">
        <w:t xml:space="preserve">, l’interdiction </w:t>
      </w:r>
      <w:r w:rsidR="003C72F0">
        <w:t xml:space="preserve">d’expulser, de refouler, de remettre ou d’extrader une personne </w:t>
      </w:r>
      <w:r w:rsidR="007E0E23" w:rsidRPr="0036263A">
        <w:t>dans les cas où il y a des motifs sérieux de croire que l’intéressé risque d’être v</w:t>
      </w:r>
      <w:r w:rsidR="007E0E23">
        <w:t>ictime d’une disparition forcée</w:t>
      </w:r>
      <w:r w:rsidR="0089598A" w:rsidRPr="0036263A">
        <w:t xml:space="preserve"> </w:t>
      </w:r>
      <w:r w:rsidR="001E5A68" w:rsidRPr="0036263A">
        <w:rPr>
          <w:lang w:val="fr-FR"/>
        </w:rPr>
        <w:t>(art. 16).</w:t>
      </w:r>
    </w:p>
    <w:p w14:paraId="013573BC" w14:textId="34FA3C03" w:rsidR="001E5A68" w:rsidRPr="00C503C8" w:rsidRDefault="00B12B59" w:rsidP="00B12B59">
      <w:pPr>
        <w:pStyle w:val="SingleTxtG"/>
        <w:kinsoku w:val="0"/>
        <w:overflowPunct w:val="0"/>
        <w:autoSpaceDE w:val="0"/>
        <w:autoSpaceDN w:val="0"/>
        <w:adjustRightInd w:val="0"/>
        <w:snapToGrid w:val="0"/>
        <w:rPr>
          <w:b/>
          <w:lang w:val="fr-FR"/>
        </w:rPr>
      </w:pPr>
      <w:r w:rsidRPr="00C503C8">
        <w:rPr>
          <w:lang w:val="fr-FR"/>
        </w:rPr>
        <w:t>32.</w:t>
      </w:r>
      <w:r w:rsidRPr="00C503C8">
        <w:rPr>
          <w:lang w:val="fr-FR"/>
        </w:rPr>
        <w:tab/>
      </w:r>
      <w:r w:rsidR="006C530D" w:rsidRPr="0036263A">
        <w:rPr>
          <w:b/>
          <w:bCs/>
        </w:rPr>
        <w:t xml:space="preserve">Le Comité recommande à l’État partie de veiller à ce que le principe de non-refoulement que consacre le paragraphe 1 de l’article 16 de la Convention soit strictement respecté en toutes circonstances. </w:t>
      </w:r>
    </w:p>
    <w:p w14:paraId="7AA5B681" w14:textId="0A8E205D" w:rsidR="00A26B0D" w:rsidRDefault="00DE69D1" w:rsidP="00B12B59">
      <w:pPr>
        <w:pStyle w:val="H23G"/>
      </w:pPr>
      <w:r>
        <w:tab/>
      </w:r>
      <w:r>
        <w:tab/>
      </w:r>
      <w:r w:rsidR="00FE0645" w:rsidRPr="0036263A">
        <w:t xml:space="preserve">Registre des personnes privées de liberté </w:t>
      </w:r>
    </w:p>
    <w:p w14:paraId="42577072" w14:textId="06FD0D77" w:rsidR="00087CC9" w:rsidRPr="00A26B0D" w:rsidRDefault="00B12B59" w:rsidP="00B12B59">
      <w:pPr>
        <w:pStyle w:val="SingleTxtG"/>
        <w:rPr>
          <w:b/>
        </w:rPr>
      </w:pPr>
      <w:r w:rsidRPr="00A26B0D">
        <w:t>33.</w:t>
      </w:r>
      <w:r w:rsidRPr="00A26B0D">
        <w:tab/>
      </w:r>
      <w:r w:rsidR="00FE0645" w:rsidRPr="0036263A">
        <w:t xml:space="preserve">Le Comité prend note des renseignements fournis par l’État partie </w:t>
      </w:r>
      <w:r w:rsidR="00212773">
        <w:t xml:space="preserve">et des déclarations de la délégation </w:t>
      </w:r>
      <w:r w:rsidR="00FE0645" w:rsidRPr="0036263A">
        <w:t xml:space="preserve">sur l’obligation en vertu du droit interne d’enregistrer toute privation de liberté dans des registres officiels comprenant les </w:t>
      </w:r>
      <w:r w:rsidR="00FE0645" w:rsidRPr="0036263A">
        <w:rPr>
          <w:rFonts w:eastAsia="Calibri"/>
          <w:lang w:val="fr-FR"/>
        </w:rPr>
        <w:t>éléments mentionnés au paragraphe 3 de l’article 17 de la Convention.</w:t>
      </w:r>
      <w:r w:rsidR="00A12B2E" w:rsidRPr="0036263A">
        <w:rPr>
          <w:spacing w:val="-2"/>
          <w:lang w:val="fr-FR"/>
        </w:rPr>
        <w:t xml:space="preserve"> </w:t>
      </w:r>
      <w:r w:rsidR="004B62E7" w:rsidRPr="0036263A">
        <w:rPr>
          <w:spacing w:val="-2"/>
          <w:lang w:val="fr-FR"/>
        </w:rPr>
        <w:t>Cependant, l</w:t>
      </w:r>
      <w:r w:rsidR="00FE0645" w:rsidRPr="0036263A">
        <w:rPr>
          <w:spacing w:val="-2"/>
          <w:lang w:val="fr-FR"/>
        </w:rPr>
        <w:t xml:space="preserve">e Comité regrette </w:t>
      </w:r>
      <w:r w:rsidR="00905917" w:rsidRPr="0036263A">
        <w:rPr>
          <w:spacing w:val="-2"/>
          <w:lang w:val="fr-FR"/>
        </w:rPr>
        <w:t>le manque de précision concernant les</w:t>
      </w:r>
      <w:r w:rsidR="00FE0645" w:rsidRPr="0036263A">
        <w:rPr>
          <w:spacing w:val="-2"/>
          <w:lang w:val="fr-FR"/>
        </w:rPr>
        <w:t xml:space="preserve"> dispositions juridiques pertinentes à ce sujet, et f</w:t>
      </w:r>
      <w:r w:rsidR="00FE0645" w:rsidRPr="0036263A">
        <w:t>ait observer en outre que les éléments fournis sur le contenu de</w:t>
      </w:r>
      <w:r w:rsidR="00FE0645" w:rsidRPr="0036263A">
        <w:rPr>
          <w:szCs w:val="18"/>
        </w:rPr>
        <w:t xml:space="preserve">s registres d’écrou ne remplissent pas entièrement les critères requis </w:t>
      </w:r>
      <w:r w:rsidR="00BF4A31">
        <w:rPr>
          <w:szCs w:val="18"/>
        </w:rPr>
        <w:t>au</w:t>
      </w:r>
      <w:r w:rsidR="00FE0645" w:rsidRPr="0036263A">
        <w:rPr>
          <w:szCs w:val="18"/>
        </w:rPr>
        <w:t xml:space="preserve"> paragraphe 3 de l’article 17 de la Convention.</w:t>
      </w:r>
      <w:r w:rsidR="00FE0645" w:rsidRPr="0036263A">
        <w:rPr>
          <w:spacing w:val="-2"/>
          <w:lang w:val="fr-FR"/>
        </w:rPr>
        <w:t xml:space="preserve"> </w:t>
      </w:r>
      <w:r w:rsidR="003B0CB6" w:rsidRPr="00E240A9">
        <w:rPr>
          <w:spacing w:val="-2"/>
        </w:rPr>
        <w:t xml:space="preserve">Enfin, le Comité constate que </w:t>
      </w:r>
      <w:r w:rsidR="003B0CB6">
        <w:t xml:space="preserve">le droit sénégalais ne prévoit pas de </w:t>
      </w:r>
      <w:r w:rsidR="00AF1DA9">
        <w:t>voies</w:t>
      </w:r>
      <w:r w:rsidR="003B0CB6">
        <w:t xml:space="preserve"> de recours pour les tiers cherchant à obtenir </w:t>
      </w:r>
      <w:r w:rsidR="007C53A9">
        <w:t xml:space="preserve">un accès </w:t>
      </w:r>
      <w:r w:rsidR="003B0CB6">
        <w:t>aux informations visé</w:t>
      </w:r>
      <w:r w:rsidR="00863CDB">
        <w:t>e</w:t>
      </w:r>
      <w:r w:rsidR="003B0CB6">
        <w:t>s au paragraphe 1 de l’article 18 de la Convention (art. 17, 18</w:t>
      </w:r>
      <w:r w:rsidR="0041060B">
        <w:t xml:space="preserve"> et</w:t>
      </w:r>
      <w:r w:rsidR="00BD5A08">
        <w:t xml:space="preserve"> 22</w:t>
      </w:r>
      <w:r w:rsidR="003B0CB6">
        <w:t>).</w:t>
      </w:r>
    </w:p>
    <w:p w14:paraId="2F8194EA" w14:textId="1D98B8FA" w:rsidR="00DA6FA6" w:rsidRPr="00DA6FA6" w:rsidRDefault="00B12B59" w:rsidP="00B12B59">
      <w:pPr>
        <w:pStyle w:val="SingleTxtG"/>
        <w:keepNext/>
        <w:rPr>
          <w:b/>
          <w:lang w:val="fr-FR"/>
        </w:rPr>
      </w:pPr>
      <w:r w:rsidRPr="00DA6FA6">
        <w:rPr>
          <w:lang w:val="fr-FR"/>
        </w:rPr>
        <w:lastRenderedPageBreak/>
        <w:t>34.</w:t>
      </w:r>
      <w:r w:rsidRPr="00DA6FA6">
        <w:rPr>
          <w:lang w:val="fr-FR"/>
        </w:rPr>
        <w:tab/>
      </w:r>
      <w:r w:rsidR="00FE0645" w:rsidRPr="0036263A">
        <w:rPr>
          <w:b/>
          <w:spacing w:val="-2"/>
          <w:lang w:val="fr-FR"/>
        </w:rPr>
        <w:t>Le Comité recommande à l’État partie d</w:t>
      </w:r>
      <w:r w:rsidR="00DA6FA6">
        <w:rPr>
          <w:b/>
          <w:spacing w:val="-2"/>
          <w:lang w:val="fr-FR"/>
        </w:rPr>
        <w:t>’adopter les mesures nécessaires pour garantir que</w:t>
      </w:r>
      <w:r w:rsidR="003C2D90">
        <w:rPr>
          <w:b/>
          <w:spacing w:val="-2"/>
          <w:lang w:val="fr-FR"/>
        </w:rPr>
        <w:t> </w:t>
      </w:r>
      <w:r w:rsidR="00DA6FA6">
        <w:rPr>
          <w:b/>
          <w:spacing w:val="-2"/>
          <w:lang w:val="fr-FR"/>
        </w:rPr>
        <w:t>:</w:t>
      </w:r>
    </w:p>
    <w:p w14:paraId="193AA423" w14:textId="5D043645" w:rsidR="00DA6FA6" w:rsidRPr="00CE1425" w:rsidRDefault="00CE1425" w:rsidP="00CE1425">
      <w:pPr>
        <w:pStyle w:val="SingleTxtG"/>
        <w:rPr>
          <w:b/>
          <w:lang w:val="fr-FR"/>
        </w:rPr>
      </w:pPr>
      <w:r>
        <w:rPr>
          <w:b/>
          <w:lang w:val="fr-FR"/>
        </w:rPr>
        <w:tab/>
      </w:r>
      <w:r w:rsidR="00DA6FA6" w:rsidRPr="00CE1425">
        <w:rPr>
          <w:b/>
          <w:lang w:val="fr-FR"/>
        </w:rPr>
        <w:t>a)</w:t>
      </w:r>
      <w:r w:rsidR="00DA6FA6" w:rsidRPr="00CE1425">
        <w:rPr>
          <w:b/>
          <w:lang w:val="fr-FR"/>
        </w:rPr>
        <w:tab/>
        <w:t>T</w:t>
      </w:r>
      <w:r w:rsidR="00FE0645" w:rsidRPr="00CE1425">
        <w:rPr>
          <w:b/>
          <w:lang w:val="fr-FR"/>
        </w:rPr>
        <w:t xml:space="preserve">ous les registres et dossiers de personnes privées de liberté soient correctement et rapidement complétés et mis à jour, de manière à contenir </w:t>
      </w:r>
      <w:r w:rsidR="00E37059" w:rsidRPr="00CE1425">
        <w:rPr>
          <w:b/>
          <w:lang w:val="fr-FR"/>
        </w:rPr>
        <w:t>tous</w:t>
      </w:r>
      <w:r w:rsidR="00FE0645" w:rsidRPr="00CE1425">
        <w:rPr>
          <w:b/>
          <w:lang w:val="fr-FR"/>
        </w:rPr>
        <w:t xml:space="preserve"> les renseignements requis en vertu du paragraphe 3 de l’article 17 de la </w:t>
      </w:r>
      <w:r w:rsidR="008D59E4" w:rsidRPr="00CE1425">
        <w:rPr>
          <w:b/>
          <w:lang w:val="fr-FR"/>
        </w:rPr>
        <w:t>Convention ;</w:t>
      </w:r>
    </w:p>
    <w:p w14:paraId="79B77EFF" w14:textId="544B273D" w:rsidR="00DA6FA6" w:rsidRPr="00CE1425" w:rsidRDefault="00CE1425" w:rsidP="0054662F">
      <w:pPr>
        <w:pStyle w:val="SingleTxtG"/>
        <w:rPr>
          <w:b/>
          <w:spacing w:val="-2"/>
          <w:lang w:val="fr-FR"/>
        </w:rPr>
      </w:pPr>
      <w:r>
        <w:rPr>
          <w:b/>
          <w:spacing w:val="-2"/>
          <w:lang w:val="fr-FR"/>
        </w:rPr>
        <w:tab/>
      </w:r>
      <w:r w:rsidR="00DA6FA6" w:rsidRPr="00CE1425">
        <w:rPr>
          <w:b/>
          <w:spacing w:val="-2"/>
          <w:lang w:val="fr-FR"/>
        </w:rPr>
        <w:t>b)</w:t>
      </w:r>
      <w:r w:rsidR="00DA6FA6" w:rsidRPr="00CE1425">
        <w:rPr>
          <w:b/>
          <w:spacing w:val="-2"/>
          <w:lang w:val="fr-FR"/>
        </w:rPr>
        <w:tab/>
        <w:t>L</w:t>
      </w:r>
      <w:r w:rsidR="00FE0645" w:rsidRPr="00CE1425">
        <w:rPr>
          <w:b/>
          <w:spacing w:val="-2"/>
          <w:lang w:val="fr-FR"/>
        </w:rPr>
        <w:t>es dossiers fassent régulièrement l’objet de vérifications et que, au cas où ces registres ne seraient pas correctement complétés et mis à jour, les agents responsables soient dûment sanctionnés</w:t>
      </w:r>
      <w:r w:rsidR="00CD405F">
        <w:rPr>
          <w:b/>
          <w:spacing w:val="-2"/>
          <w:lang w:val="fr-FR"/>
        </w:rPr>
        <w:t xml:space="preserve">, y compris sur le plan </w:t>
      </w:r>
      <w:r w:rsidR="00CD405F" w:rsidRPr="004F0D65">
        <w:rPr>
          <w:b/>
          <w:spacing w:val="-2"/>
          <w:lang w:val="fr-FR"/>
        </w:rPr>
        <w:t>p</w:t>
      </w:r>
      <w:proofErr w:type="spellStart"/>
      <w:r w:rsidR="00CD405F" w:rsidRPr="004F0D65">
        <w:rPr>
          <w:b/>
          <w:szCs w:val="18"/>
        </w:rPr>
        <w:t>énal</w:t>
      </w:r>
      <w:proofErr w:type="spellEnd"/>
      <w:r w:rsidR="00CD405F">
        <w:rPr>
          <w:szCs w:val="18"/>
        </w:rPr>
        <w:t>,</w:t>
      </w:r>
      <w:r w:rsidR="00CD405F" w:rsidRPr="00B12B59">
        <w:t xml:space="preserve"> </w:t>
      </w:r>
      <w:r w:rsidR="00FE0645" w:rsidRPr="00CE1425">
        <w:rPr>
          <w:b/>
          <w:spacing w:val="-2"/>
          <w:lang w:val="fr-FR"/>
        </w:rPr>
        <w:t xml:space="preserve">conformément </w:t>
      </w:r>
      <w:r w:rsidR="000A4FD8">
        <w:rPr>
          <w:b/>
          <w:spacing w:val="-2"/>
          <w:lang w:val="fr-FR"/>
        </w:rPr>
        <w:t>aux</w:t>
      </w:r>
      <w:r w:rsidR="00FE0645" w:rsidRPr="00CE1425">
        <w:rPr>
          <w:b/>
          <w:spacing w:val="-2"/>
          <w:lang w:val="fr-FR"/>
        </w:rPr>
        <w:t xml:space="preserve"> lois établies à cet effet</w:t>
      </w:r>
      <w:r w:rsidR="000A4FD8">
        <w:rPr>
          <w:b/>
          <w:spacing w:val="-2"/>
          <w:lang w:val="fr-FR"/>
        </w:rPr>
        <w:t> ;</w:t>
      </w:r>
      <w:r w:rsidR="00FE0645" w:rsidRPr="00CE1425">
        <w:rPr>
          <w:b/>
          <w:spacing w:val="-2"/>
          <w:lang w:val="fr-FR"/>
        </w:rPr>
        <w:t xml:space="preserve"> </w:t>
      </w:r>
    </w:p>
    <w:p w14:paraId="0F8FE3E4" w14:textId="7C36D7E4" w:rsidR="005C627F" w:rsidRPr="00CE1425" w:rsidRDefault="00CE1425" w:rsidP="00CE1425">
      <w:pPr>
        <w:pStyle w:val="SingleTxtG"/>
        <w:rPr>
          <w:b/>
          <w:lang w:val="fr-FR"/>
        </w:rPr>
      </w:pPr>
      <w:r>
        <w:rPr>
          <w:b/>
          <w:lang w:val="fr-FR"/>
        </w:rPr>
        <w:tab/>
      </w:r>
      <w:r w:rsidR="001A1A4F" w:rsidRPr="00CE1425">
        <w:rPr>
          <w:b/>
          <w:lang w:val="fr-FR"/>
        </w:rPr>
        <w:t>c</w:t>
      </w:r>
      <w:r w:rsidR="00DA6FA6" w:rsidRPr="00CE1425">
        <w:rPr>
          <w:b/>
          <w:lang w:val="fr-FR"/>
        </w:rPr>
        <w:t>)</w:t>
      </w:r>
      <w:r w:rsidR="00DA6FA6" w:rsidRPr="00CE1425">
        <w:rPr>
          <w:b/>
          <w:lang w:val="fr-FR"/>
        </w:rPr>
        <w:tab/>
        <w:t>Tou</w:t>
      </w:r>
      <w:r w:rsidR="00D53A51" w:rsidRPr="00CE1425">
        <w:rPr>
          <w:b/>
          <w:lang w:val="fr-FR"/>
        </w:rPr>
        <w:t>tes les personnes privées de liberté, indépendamment de l’infraction dont elles sont accusées, jouissent</w:t>
      </w:r>
      <w:r w:rsidR="00421459" w:rsidRPr="00CE1425">
        <w:rPr>
          <w:b/>
          <w:lang w:val="fr-FR"/>
        </w:rPr>
        <w:t xml:space="preserve"> </w:t>
      </w:r>
      <w:r w:rsidR="00D53A51" w:rsidRPr="00CE1425">
        <w:rPr>
          <w:b/>
          <w:lang w:val="fr-FR"/>
        </w:rPr>
        <w:t>de toutes les garanties juridiques fondamentales énoncées à l’article 17 de la Convention dès le début de leur privation de liberté</w:t>
      </w:r>
      <w:r w:rsidR="000A4FD8">
        <w:rPr>
          <w:b/>
          <w:lang w:val="fr-FR"/>
        </w:rPr>
        <w:t> ;</w:t>
      </w:r>
      <w:r w:rsidR="005C627F" w:rsidRPr="00CE1425">
        <w:rPr>
          <w:b/>
          <w:lang w:val="fr-FR"/>
        </w:rPr>
        <w:t xml:space="preserve"> </w:t>
      </w:r>
    </w:p>
    <w:p w14:paraId="1E2660FF" w14:textId="650998EE" w:rsidR="003B0CB6" w:rsidRPr="00CE1425" w:rsidRDefault="00CE1425" w:rsidP="0054662F">
      <w:pPr>
        <w:pStyle w:val="SingleTxtG"/>
        <w:rPr>
          <w:b/>
          <w:lang w:val="fr-FR"/>
        </w:rPr>
      </w:pPr>
      <w:r>
        <w:rPr>
          <w:b/>
          <w:lang w:val="fr-FR"/>
        </w:rPr>
        <w:tab/>
      </w:r>
      <w:r w:rsidR="003B0CB6" w:rsidRPr="00CE1425">
        <w:rPr>
          <w:b/>
          <w:lang w:val="fr-FR"/>
        </w:rPr>
        <w:t>d)</w:t>
      </w:r>
      <w:r w:rsidR="003B0CB6" w:rsidRPr="00CE1425">
        <w:rPr>
          <w:b/>
          <w:lang w:val="fr-FR"/>
        </w:rPr>
        <w:tab/>
        <w:t xml:space="preserve">Toute personne ayant un intérêt légitime puisse avoir rapidement et facilement accès au minimum </w:t>
      </w:r>
      <w:r w:rsidR="00DA6966">
        <w:rPr>
          <w:b/>
          <w:lang w:val="fr-FR"/>
        </w:rPr>
        <w:t>de</w:t>
      </w:r>
      <w:r w:rsidR="00DA6966" w:rsidRPr="00CE1425">
        <w:rPr>
          <w:b/>
          <w:lang w:val="fr-FR"/>
        </w:rPr>
        <w:t xml:space="preserve"> </w:t>
      </w:r>
      <w:r w:rsidR="003B0CB6" w:rsidRPr="00CE1425">
        <w:rPr>
          <w:b/>
          <w:lang w:val="fr-FR"/>
        </w:rPr>
        <w:t>renseignements énumérés au paragraphe 1 de l’article 18 de la Convention, y compris pendant la garde à vue, ainsi qu’un droit de recours en cas de rejet de la demande d’accès.</w:t>
      </w:r>
    </w:p>
    <w:p w14:paraId="4163CED5" w14:textId="77777777" w:rsidR="001E5A68" w:rsidRPr="006D7033" w:rsidRDefault="006E4BFB" w:rsidP="006E4BFB">
      <w:pPr>
        <w:pStyle w:val="H23G"/>
        <w:rPr>
          <w:b w:val="0"/>
        </w:rPr>
      </w:pPr>
      <w:r>
        <w:rPr>
          <w:lang w:val="fr-FR"/>
        </w:rPr>
        <w:tab/>
      </w:r>
      <w:r>
        <w:rPr>
          <w:lang w:val="fr-FR"/>
        </w:rPr>
        <w:tab/>
      </w:r>
      <w:r w:rsidR="001E5A68" w:rsidRPr="006D7033">
        <w:rPr>
          <w:lang w:val="fr-FR"/>
        </w:rPr>
        <w:t>Formation aux droits de l’homme, en particulier aux dispositions de la Convention</w:t>
      </w:r>
    </w:p>
    <w:p w14:paraId="2D02A410" w14:textId="42A3B663" w:rsidR="001E5A68" w:rsidRPr="0036263A" w:rsidRDefault="00B12B59" w:rsidP="00B12B59">
      <w:pPr>
        <w:pStyle w:val="SingleTxtG"/>
        <w:rPr>
          <w:lang w:val="fr-FR"/>
        </w:rPr>
      </w:pPr>
      <w:r w:rsidRPr="0036263A">
        <w:rPr>
          <w:lang w:val="fr-FR"/>
        </w:rPr>
        <w:t>35.</w:t>
      </w:r>
      <w:r w:rsidRPr="0036263A">
        <w:rPr>
          <w:lang w:val="fr-FR"/>
        </w:rPr>
        <w:tab/>
      </w:r>
      <w:r w:rsidR="001E5A68" w:rsidRPr="0036263A">
        <w:rPr>
          <w:rStyle w:val="SingleTxtGCar"/>
          <w:lang w:val="fr-FR"/>
        </w:rPr>
        <w:t xml:space="preserve">Le </w:t>
      </w:r>
      <w:r w:rsidR="001E5A68" w:rsidRPr="0036263A">
        <w:rPr>
          <w:lang w:val="fr-FR"/>
        </w:rPr>
        <w:t>Comité</w:t>
      </w:r>
      <w:r w:rsidR="001E5A68" w:rsidRPr="0036263A">
        <w:rPr>
          <w:rStyle w:val="SingleTxtGCar"/>
          <w:lang w:val="fr-FR"/>
        </w:rPr>
        <w:t xml:space="preserve"> prend note des renseignements concernant la formation du personnel de la police et des agents pénitentiaires aux droits de l’homme et aux normes régissant la privation de liberté. </w:t>
      </w:r>
      <w:r w:rsidR="0080644B" w:rsidRPr="0036263A">
        <w:rPr>
          <w:rStyle w:val="SingleTxtGCar"/>
          <w:lang w:val="fr-FR"/>
        </w:rPr>
        <w:t>Cependant, l</w:t>
      </w:r>
      <w:r w:rsidR="001E5A68" w:rsidRPr="0036263A">
        <w:rPr>
          <w:rStyle w:val="SingleTxtGCar"/>
          <w:lang w:val="fr-FR"/>
        </w:rPr>
        <w:t>e Comité constate que ces formations ne portent pas expressément sur la Convention</w:t>
      </w:r>
      <w:r w:rsidR="002821FA" w:rsidRPr="0036263A">
        <w:rPr>
          <w:rStyle w:val="SingleTxtGCar"/>
          <w:lang w:val="fr-FR"/>
        </w:rPr>
        <w:t xml:space="preserve"> </w:t>
      </w:r>
      <w:r w:rsidR="001E5A68" w:rsidRPr="0036263A">
        <w:rPr>
          <w:rStyle w:val="SingleTxtGCar"/>
          <w:lang w:val="fr-FR"/>
        </w:rPr>
        <w:t>(art. 23</w:t>
      </w:r>
      <w:r w:rsidR="001E5A68" w:rsidRPr="0036263A">
        <w:rPr>
          <w:lang w:val="fr-FR"/>
        </w:rPr>
        <w:t>).</w:t>
      </w:r>
    </w:p>
    <w:p w14:paraId="595CB5C1" w14:textId="2421E039" w:rsidR="001E5A68" w:rsidRPr="0036263A" w:rsidRDefault="00B12B59" w:rsidP="00B12B59">
      <w:pPr>
        <w:pStyle w:val="SingleTxtG"/>
        <w:rPr>
          <w:rStyle w:val="SingleTxtGCar"/>
          <w:b/>
          <w:lang w:val="fr-FR"/>
        </w:rPr>
      </w:pPr>
      <w:r w:rsidRPr="0036263A">
        <w:rPr>
          <w:rStyle w:val="SingleTxtGCar"/>
          <w:lang w:val="fr-FR"/>
        </w:rPr>
        <w:t>36.</w:t>
      </w:r>
      <w:r w:rsidRPr="0036263A">
        <w:rPr>
          <w:rStyle w:val="SingleTxtGCar"/>
          <w:lang w:val="fr-FR"/>
        </w:rPr>
        <w:tab/>
      </w:r>
      <w:r w:rsidR="001E5A68" w:rsidRPr="0036263A">
        <w:rPr>
          <w:rStyle w:val="SingleTxtGCar"/>
          <w:b/>
          <w:bCs/>
          <w:lang w:val="fr-FR"/>
        </w:rPr>
        <w:t xml:space="preserve">Le Comité encourage </w:t>
      </w:r>
      <w:r w:rsidR="001E5A68" w:rsidRPr="0036263A">
        <w:rPr>
          <w:b/>
          <w:bCs/>
          <w:lang w:val="fr-FR"/>
        </w:rPr>
        <w:t>l’</w:t>
      </w:r>
      <w:r w:rsidR="001E5A68" w:rsidRPr="0036263A">
        <w:rPr>
          <w:rStyle w:val="SingleTxtGCar"/>
          <w:b/>
          <w:bCs/>
          <w:lang w:val="fr-FR"/>
        </w:rPr>
        <w:t>État partie à s’assurer que les formations dispensées au personnel militaire et civil chargé de l’application des lois, au personnel médical, aux agents de la fonction publique et aux autres personnes qui peuvent intervenir dans la garde ou le traitement de toute personne privée de liberté, y compris les juges, les procureurs et autres praticiens du droit de tous rangs, intègrent l’enseignement de la Convention, conformément à son article 23.</w:t>
      </w:r>
    </w:p>
    <w:p w14:paraId="54B592F1" w14:textId="76CD7436" w:rsidR="001E5A68" w:rsidRPr="0036263A" w:rsidRDefault="00BA744D" w:rsidP="0054662F">
      <w:pPr>
        <w:pStyle w:val="H1G"/>
        <w:rPr>
          <w:lang w:val="fr-FR"/>
        </w:rPr>
      </w:pPr>
      <w:r w:rsidRPr="0036263A">
        <w:rPr>
          <w:b w:val="0"/>
          <w:lang w:val="fr-FR"/>
        </w:rPr>
        <w:tab/>
      </w:r>
      <w:r w:rsidRPr="0036263A">
        <w:rPr>
          <w:b w:val="0"/>
          <w:lang w:val="fr-FR"/>
        </w:rPr>
        <w:tab/>
      </w:r>
      <w:r w:rsidR="001E5A68" w:rsidRPr="0036263A">
        <w:rPr>
          <w:lang w:val="fr-FR"/>
        </w:rPr>
        <w:t>Mesures de réparation et mesures de protection des enfants contre les</w:t>
      </w:r>
      <w:r w:rsidR="00DE69D1">
        <w:rPr>
          <w:lang w:val="fr-FR"/>
        </w:rPr>
        <w:t> </w:t>
      </w:r>
      <w:r w:rsidR="001E5A68" w:rsidRPr="0036263A">
        <w:rPr>
          <w:lang w:val="fr-FR"/>
        </w:rPr>
        <w:t>disparitions forcées (art. 24 et 25)</w:t>
      </w:r>
    </w:p>
    <w:p w14:paraId="54D2FB9F" w14:textId="77777777" w:rsidR="001E5A68" w:rsidRPr="00336954" w:rsidRDefault="00BA744D" w:rsidP="00EB703F">
      <w:pPr>
        <w:pStyle w:val="H23G"/>
      </w:pPr>
      <w:r w:rsidRPr="0036263A">
        <w:rPr>
          <w:lang w:val="fr-FR"/>
        </w:rPr>
        <w:tab/>
      </w:r>
      <w:r w:rsidRPr="0036263A">
        <w:rPr>
          <w:lang w:val="fr-FR"/>
        </w:rPr>
        <w:tab/>
      </w:r>
      <w:r w:rsidR="00336954" w:rsidRPr="004E1621">
        <w:rPr>
          <w:lang w:val="fr-FR"/>
        </w:rPr>
        <w:t xml:space="preserve">Définition de la victime et droit d’obtenir </w:t>
      </w:r>
      <w:r w:rsidR="00996521" w:rsidRPr="00336954">
        <w:t>r</w:t>
      </w:r>
      <w:r w:rsidR="001E5A68" w:rsidRPr="00336954">
        <w:t>éparation</w:t>
      </w:r>
    </w:p>
    <w:p w14:paraId="3D0BD4F5" w14:textId="3CA86B1C" w:rsidR="00943474" w:rsidRPr="0036263A" w:rsidRDefault="00B12B59" w:rsidP="00B12B59">
      <w:pPr>
        <w:pStyle w:val="SingleTxtG"/>
        <w:rPr>
          <w:rFonts w:eastAsiaTheme="minorHAnsi"/>
        </w:rPr>
      </w:pPr>
      <w:r w:rsidRPr="0036263A">
        <w:rPr>
          <w:rFonts w:eastAsiaTheme="minorHAnsi"/>
        </w:rPr>
        <w:t>37.</w:t>
      </w:r>
      <w:r w:rsidRPr="0036263A">
        <w:rPr>
          <w:rFonts w:eastAsiaTheme="minorHAnsi"/>
        </w:rPr>
        <w:tab/>
      </w:r>
      <w:r w:rsidR="00336954">
        <w:rPr>
          <w:rFonts w:eastAsiaTheme="minorHAnsi"/>
        </w:rPr>
        <w:t xml:space="preserve">Le Comité considère que la définition de la victime formulée à l’article 2 du Code de procédure pénale n’est pas conforme à celle </w:t>
      </w:r>
      <w:r w:rsidR="001A1A4F">
        <w:rPr>
          <w:rFonts w:eastAsiaTheme="minorHAnsi"/>
        </w:rPr>
        <w:t>énoncée au</w:t>
      </w:r>
      <w:r w:rsidR="00336954">
        <w:rPr>
          <w:rFonts w:eastAsiaTheme="minorHAnsi"/>
        </w:rPr>
        <w:t xml:space="preserve"> paragraphe 1 de l’article 24 de la Convention. </w:t>
      </w:r>
      <w:r w:rsidR="00647824">
        <w:rPr>
          <w:rFonts w:eastAsiaTheme="minorHAnsi"/>
        </w:rPr>
        <w:t xml:space="preserve">De plus, </w:t>
      </w:r>
      <w:r w:rsidR="00F32B93">
        <w:rPr>
          <w:rFonts w:eastAsiaTheme="minorHAnsi"/>
        </w:rPr>
        <w:t>l</w:t>
      </w:r>
      <w:r w:rsidR="00E72454" w:rsidRPr="0036263A">
        <w:rPr>
          <w:rFonts w:eastAsiaTheme="minorHAnsi"/>
        </w:rPr>
        <w:t xml:space="preserve">e Comité </w:t>
      </w:r>
      <w:r w:rsidR="006D11C8" w:rsidRPr="0036263A">
        <w:rPr>
          <w:rFonts w:eastAsiaTheme="minorHAnsi"/>
        </w:rPr>
        <w:t>regrette</w:t>
      </w:r>
      <w:r w:rsidR="00E72454" w:rsidRPr="0036263A">
        <w:rPr>
          <w:rFonts w:eastAsiaTheme="minorHAnsi"/>
        </w:rPr>
        <w:t xml:space="preserve"> </w:t>
      </w:r>
      <w:r w:rsidR="00D15A94" w:rsidRPr="0036263A">
        <w:rPr>
          <w:rFonts w:eastAsiaTheme="minorHAnsi"/>
        </w:rPr>
        <w:t>que</w:t>
      </w:r>
      <w:r w:rsidR="00943474" w:rsidRPr="0036263A">
        <w:rPr>
          <w:rFonts w:eastAsiaTheme="minorHAnsi"/>
        </w:rPr>
        <w:t xml:space="preserve"> le droit interne </w:t>
      </w:r>
      <w:r w:rsidR="00D15A94" w:rsidRPr="0036263A">
        <w:rPr>
          <w:rFonts w:eastAsiaTheme="minorHAnsi"/>
        </w:rPr>
        <w:t xml:space="preserve">ne </w:t>
      </w:r>
      <w:r w:rsidR="00A023AD" w:rsidRPr="0036263A">
        <w:rPr>
          <w:rFonts w:eastAsiaTheme="minorHAnsi"/>
        </w:rPr>
        <w:t>prévoie</w:t>
      </w:r>
      <w:r w:rsidR="00D75790" w:rsidRPr="0036263A">
        <w:rPr>
          <w:rFonts w:eastAsiaTheme="minorHAnsi"/>
        </w:rPr>
        <w:t xml:space="preserve"> </w:t>
      </w:r>
      <w:r w:rsidR="00D15A94" w:rsidRPr="0036263A">
        <w:rPr>
          <w:rFonts w:eastAsiaTheme="minorHAnsi"/>
        </w:rPr>
        <w:t>pas expressément</w:t>
      </w:r>
      <w:r w:rsidR="00943474" w:rsidRPr="0036263A">
        <w:rPr>
          <w:rFonts w:eastAsiaTheme="minorHAnsi"/>
        </w:rPr>
        <w:t xml:space="preserve"> toutes les formes de réparation énoncées au paragraphe 5 de l’article 24 de la Convention pour les personnes physiques ayant subi un préjudice direct du fait d’une disparition forcée</w:t>
      </w:r>
      <w:r w:rsidR="009F52E1" w:rsidRPr="0036263A">
        <w:rPr>
          <w:rFonts w:eastAsiaTheme="minorHAnsi"/>
        </w:rPr>
        <w:t xml:space="preserve"> </w:t>
      </w:r>
      <w:r w:rsidR="001867CE">
        <w:rPr>
          <w:rFonts w:eastAsiaTheme="minorHAnsi"/>
        </w:rPr>
        <w:t>(art. 24</w:t>
      </w:r>
      <w:r w:rsidR="005743B2" w:rsidRPr="0036263A">
        <w:rPr>
          <w:rFonts w:eastAsiaTheme="minorHAnsi"/>
        </w:rPr>
        <w:t>)</w:t>
      </w:r>
      <w:r w:rsidR="001867CE">
        <w:rPr>
          <w:rFonts w:eastAsiaTheme="minorHAnsi"/>
        </w:rPr>
        <w:t>.</w:t>
      </w:r>
    </w:p>
    <w:p w14:paraId="09F59ED0" w14:textId="3433A75D" w:rsidR="002B7D10" w:rsidRPr="004E1621" w:rsidRDefault="00B12B59" w:rsidP="00B12B59">
      <w:pPr>
        <w:pStyle w:val="SingleTxtG"/>
        <w:kinsoku w:val="0"/>
        <w:overflowPunct w:val="0"/>
        <w:autoSpaceDE w:val="0"/>
        <w:autoSpaceDN w:val="0"/>
        <w:adjustRightInd w:val="0"/>
        <w:snapToGrid w:val="0"/>
        <w:rPr>
          <w:b/>
          <w:lang w:val="fr-FR"/>
        </w:rPr>
      </w:pPr>
      <w:r w:rsidRPr="004E1621">
        <w:rPr>
          <w:lang w:val="fr-FR"/>
        </w:rPr>
        <w:t>38.</w:t>
      </w:r>
      <w:r w:rsidRPr="004E1621">
        <w:rPr>
          <w:lang w:val="fr-FR"/>
        </w:rPr>
        <w:tab/>
      </w:r>
      <w:r w:rsidR="002B7D10" w:rsidRPr="004E1621">
        <w:rPr>
          <w:b/>
          <w:lang w:val="fr-FR"/>
        </w:rPr>
        <w:t xml:space="preserve">Le Comité recommande à l’État partie de prendre toutes les mesures </w:t>
      </w:r>
      <w:r w:rsidR="002B7D10">
        <w:rPr>
          <w:b/>
          <w:lang w:val="fr-FR"/>
        </w:rPr>
        <w:t>nécessaires</w:t>
      </w:r>
      <w:r w:rsidR="002B7D10" w:rsidRPr="004E1621">
        <w:rPr>
          <w:b/>
          <w:lang w:val="fr-FR"/>
        </w:rPr>
        <w:t xml:space="preserve"> po</w:t>
      </w:r>
      <w:r w:rsidR="002B7D10">
        <w:rPr>
          <w:b/>
          <w:lang w:val="fr-FR"/>
        </w:rPr>
        <w:t>ur que le droit interne prévoie </w:t>
      </w:r>
      <w:r w:rsidR="002B7D10" w:rsidRPr="004E1621">
        <w:rPr>
          <w:b/>
          <w:lang w:val="fr-FR"/>
        </w:rPr>
        <w:t>:</w:t>
      </w:r>
    </w:p>
    <w:p w14:paraId="2EDA42F1" w14:textId="5ED33082" w:rsidR="002B7D10" w:rsidRPr="00CE1425" w:rsidRDefault="00CE1425" w:rsidP="00CE1425">
      <w:pPr>
        <w:pStyle w:val="SingleTxtG"/>
        <w:rPr>
          <w:b/>
          <w:lang w:val="fr-FR"/>
        </w:rPr>
      </w:pPr>
      <w:r>
        <w:rPr>
          <w:b/>
          <w:lang w:val="fr-FR"/>
        </w:rPr>
        <w:tab/>
      </w:r>
      <w:r w:rsidR="002B7D10" w:rsidRPr="00CE1425">
        <w:rPr>
          <w:b/>
          <w:lang w:val="fr-FR"/>
        </w:rPr>
        <w:t>a)</w:t>
      </w:r>
      <w:r w:rsidR="002B7D10" w:rsidRPr="00CE1425">
        <w:rPr>
          <w:b/>
          <w:lang w:val="fr-FR"/>
        </w:rPr>
        <w:tab/>
        <w:t>Une définition de la victime qui soit conforme à celle énoncée au paragraphe 1 de l’article 24 de la Convention ;</w:t>
      </w:r>
    </w:p>
    <w:p w14:paraId="0646E5EE" w14:textId="66F8CEBB" w:rsidR="002B7D10" w:rsidRPr="00CE1425" w:rsidRDefault="00CE1425" w:rsidP="00CE1425">
      <w:pPr>
        <w:pStyle w:val="SingleTxtG"/>
        <w:rPr>
          <w:b/>
          <w:lang w:val="fr-FR"/>
        </w:rPr>
      </w:pPr>
      <w:r>
        <w:rPr>
          <w:b/>
          <w:lang w:val="fr-FR"/>
        </w:rPr>
        <w:tab/>
      </w:r>
      <w:r w:rsidR="002B7D10" w:rsidRPr="00CE1425">
        <w:rPr>
          <w:b/>
          <w:lang w:val="fr-FR"/>
        </w:rPr>
        <w:t>b)</w:t>
      </w:r>
      <w:r w:rsidR="002B7D10" w:rsidRPr="00CE1425">
        <w:rPr>
          <w:b/>
          <w:lang w:val="fr-FR"/>
        </w:rPr>
        <w:tab/>
        <w:t>Un dispositif de réparation et d’indemnisation complet qui soit pleinement conforme aux paragraphes 4 et 5 de l’article 24 de la Convention ainsi qu’aux autres nor</w:t>
      </w:r>
      <w:r w:rsidR="00F0334E" w:rsidRPr="00CE1425">
        <w:rPr>
          <w:b/>
          <w:lang w:val="fr-FR"/>
        </w:rPr>
        <w:t>mes internationales applicables</w:t>
      </w:r>
      <w:r w:rsidR="002B7D10" w:rsidRPr="00CE1425">
        <w:rPr>
          <w:b/>
          <w:lang w:val="fr-FR"/>
        </w:rPr>
        <w:t>.</w:t>
      </w:r>
    </w:p>
    <w:p w14:paraId="68EF8EC9" w14:textId="77777777" w:rsidR="004243BA" w:rsidRPr="0036263A" w:rsidRDefault="00FD6BA9" w:rsidP="00EB703F">
      <w:pPr>
        <w:pStyle w:val="H23G"/>
        <w:rPr>
          <w:lang w:val="fr-FR"/>
        </w:rPr>
      </w:pPr>
      <w:r w:rsidRPr="0036263A">
        <w:rPr>
          <w:lang w:val="fr-FR"/>
        </w:rPr>
        <w:tab/>
      </w:r>
      <w:r w:rsidRPr="0036263A">
        <w:rPr>
          <w:lang w:val="fr-FR"/>
        </w:rPr>
        <w:tab/>
      </w:r>
      <w:r w:rsidR="00D63EC0" w:rsidRPr="0036263A">
        <w:t>Situation légale des personnes disparues et de leurs proches</w:t>
      </w:r>
    </w:p>
    <w:p w14:paraId="49459F1E" w14:textId="2D626E71" w:rsidR="00DC27CD" w:rsidRPr="0036263A" w:rsidRDefault="00B12B59" w:rsidP="00B12B59">
      <w:pPr>
        <w:pStyle w:val="SingleTxtG"/>
        <w:spacing w:line="240" w:lineRule="auto"/>
        <w:rPr>
          <w:lang w:val="fr-FR"/>
        </w:rPr>
      </w:pPr>
      <w:r w:rsidRPr="0036263A">
        <w:rPr>
          <w:lang w:val="fr-FR"/>
        </w:rPr>
        <w:t>39.</w:t>
      </w:r>
      <w:r w:rsidRPr="0036263A">
        <w:rPr>
          <w:lang w:val="fr-FR"/>
        </w:rPr>
        <w:tab/>
      </w:r>
      <w:r w:rsidR="00D75BAA" w:rsidRPr="0036263A">
        <w:rPr>
          <w:lang w:val="fr-FR"/>
        </w:rPr>
        <w:t xml:space="preserve">Tout </w:t>
      </w:r>
      <w:r w:rsidR="008839A8">
        <w:rPr>
          <w:lang w:val="fr-FR"/>
        </w:rPr>
        <w:t>en notant l</w:t>
      </w:r>
      <w:r w:rsidR="00871CB4" w:rsidRPr="0036263A">
        <w:rPr>
          <w:lang w:val="fr-FR"/>
        </w:rPr>
        <w:t>es informations fournies par l’État partie aux paragraphes 345 à 356 de son rapport</w:t>
      </w:r>
      <w:r w:rsidR="008839A8">
        <w:rPr>
          <w:lang w:val="fr-FR"/>
        </w:rPr>
        <w:t xml:space="preserve">, ainsi que les déclarations de la délégation </w:t>
      </w:r>
      <w:r w:rsidR="00625E1F">
        <w:rPr>
          <w:lang w:val="fr-FR"/>
        </w:rPr>
        <w:t>portant sur</w:t>
      </w:r>
      <w:r w:rsidR="008839A8">
        <w:rPr>
          <w:lang w:val="fr-FR"/>
        </w:rPr>
        <w:t xml:space="preserve"> l’assistance assurée au</w:t>
      </w:r>
      <w:r w:rsidR="006B00D4">
        <w:rPr>
          <w:lang w:val="fr-FR"/>
        </w:rPr>
        <w:t>x</w:t>
      </w:r>
      <w:r w:rsidR="008839A8">
        <w:rPr>
          <w:lang w:val="fr-FR"/>
        </w:rPr>
        <w:t xml:space="preserve"> victimes dans le cadre des services sociaux</w:t>
      </w:r>
      <w:r w:rsidR="00871CB4" w:rsidRPr="0036263A">
        <w:rPr>
          <w:lang w:val="fr-FR"/>
        </w:rPr>
        <w:t>, l</w:t>
      </w:r>
      <w:r w:rsidR="00DC27CD" w:rsidRPr="0036263A">
        <w:rPr>
          <w:lang w:val="fr-FR"/>
        </w:rPr>
        <w:t>e Comité considère qu’il n</w:t>
      </w:r>
      <w:r w:rsidR="00871CB4" w:rsidRPr="0036263A">
        <w:rPr>
          <w:lang w:val="fr-FR"/>
        </w:rPr>
        <w:t>’en</w:t>
      </w:r>
      <w:r w:rsidR="00DC27CD" w:rsidRPr="0036263A">
        <w:rPr>
          <w:lang w:val="fr-FR"/>
        </w:rPr>
        <w:t xml:space="preserve"> ressort pas clairement quelle </w:t>
      </w:r>
      <w:r w:rsidR="003A6C2E">
        <w:rPr>
          <w:lang w:val="fr-FR"/>
        </w:rPr>
        <w:t>serait</w:t>
      </w:r>
      <w:r w:rsidR="003A6C2E" w:rsidRPr="0036263A">
        <w:rPr>
          <w:lang w:val="fr-FR"/>
        </w:rPr>
        <w:t xml:space="preserve"> </w:t>
      </w:r>
      <w:r w:rsidR="00DC27CD" w:rsidRPr="0036263A">
        <w:rPr>
          <w:lang w:val="fr-FR"/>
        </w:rPr>
        <w:t>la situation légale des proches d’</w:t>
      </w:r>
      <w:r w:rsidR="00030AFB" w:rsidRPr="0036263A">
        <w:rPr>
          <w:lang w:val="fr-FR"/>
        </w:rPr>
        <w:t>une personne disparue</w:t>
      </w:r>
      <w:r w:rsidR="00DC27CD" w:rsidRPr="0036263A">
        <w:rPr>
          <w:lang w:val="fr-FR"/>
        </w:rPr>
        <w:t xml:space="preserve"> et quels sont </w:t>
      </w:r>
      <w:r w:rsidR="00DC27CD" w:rsidRPr="0036263A">
        <w:rPr>
          <w:lang w:val="fr-FR"/>
        </w:rPr>
        <w:lastRenderedPageBreak/>
        <w:t>leurs droits en ma</w:t>
      </w:r>
      <w:r w:rsidR="00097253" w:rsidRPr="0036263A">
        <w:rPr>
          <w:lang w:val="fr-FR"/>
        </w:rPr>
        <w:t xml:space="preserve">tière de questions financières, protection </w:t>
      </w:r>
      <w:r w:rsidR="00030AFB" w:rsidRPr="0036263A">
        <w:rPr>
          <w:lang w:val="fr-FR"/>
        </w:rPr>
        <w:t>sociale, droit de</w:t>
      </w:r>
      <w:r w:rsidR="00DC27CD" w:rsidRPr="0036263A">
        <w:rPr>
          <w:lang w:val="fr-FR"/>
        </w:rPr>
        <w:t xml:space="preserve"> la famille et droits de propriété </w:t>
      </w:r>
      <w:r w:rsidR="001867CE">
        <w:rPr>
          <w:lang w:val="fr-FR"/>
        </w:rPr>
        <w:t>(art. 24</w:t>
      </w:r>
      <w:r w:rsidR="005743B2" w:rsidRPr="0036263A">
        <w:rPr>
          <w:lang w:val="fr-FR"/>
        </w:rPr>
        <w:t>)</w:t>
      </w:r>
      <w:r w:rsidR="001867CE">
        <w:rPr>
          <w:lang w:val="fr-FR"/>
        </w:rPr>
        <w:t>.</w:t>
      </w:r>
    </w:p>
    <w:p w14:paraId="0EF62389" w14:textId="4DF43A03" w:rsidR="00C51A0C" w:rsidRPr="0036263A" w:rsidRDefault="00B12B59" w:rsidP="00B12B59">
      <w:pPr>
        <w:pStyle w:val="ParNoG"/>
        <w:ind w:left="1134"/>
        <w:rPr>
          <w:b/>
        </w:rPr>
      </w:pPr>
      <w:r w:rsidRPr="0036263A">
        <w:t>40.</w:t>
      </w:r>
      <w:r w:rsidRPr="0036263A">
        <w:tab/>
      </w:r>
      <w:r w:rsidR="00C51A0C" w:rsidRPr="0036263A">
        <w:rPr>
          <w:b/>
        </w:rPr>
        <w:t xml:space="preserve">Le Comité </w:t>
      </w:r>
      <w:r w:rsidR="00D725E9">
        <w:rPr>
          <w:b/>
        </w:rPr>
        <w:t xml:space="preserve">recommande </w:t>
      </w:r>
      <w:r w:rsidR="004F0D65">
        <w:rPr>
          <w:b/>
        </w:rPr>
        <w:t>à</w:t>
      </w:r>
      <w:r w:rsidR="00D725E9" w:rsidRPr="0036263A">
        <w:rPr>
          <w:b/>
        </w:rPr>
        <w:t xml:space="preserve"> </w:t>
      </w:r>
      <w:r w:rsidR="00C51A0C" w:rsidRPr="0036263A">
        <w:rPr>
          <w:b/>
        </w:rPr>
        <w:t>l’État partie</w:t>
      </w:r>
      <w:r w:rsidR="00A41B8A">
        <w:rPr>
          <w:b/>
        </w:rPr>
        <w:t xml:space="preserve"> </w:t>
      </w:r>
      <w:r w:rsidR="00D725E9">
        <w:rPr>
          <w:b/>
        </w:rPr>
        <w:t>de</w:t>
      </w:r>
      <w:r w:rsidR="00A41B8A">
        <w:rPr>
          <w:b/>
        </w:rPr>
        <w:t xml:space="preserve"> traiter </w:t>
      </w:r>
      <w:r w:rsidR="00C51A0C" w:rsidRPr="0036263A">
        <w:rPr>
          <w:b/>
        </w:rPr>
        <w:t xml:space="preserve">de manière appropriée la situation légale des personnes disparues et celle de leurs proches dans des domaines tels que la protection sociale, les questions financières, le droit de la famille et les droits de propriété. </w:t>
      </w:r>
    </w:p>
    <w:p w14:paraId="13BDE5E3" w14:textId="77777777" w:rsidR="001E5A68" w:rsidRPr="0036263A" w:rsidRDefault="003306D0">
      <w:pPr>
        <w:pStyle w:val="H23G"/>
        <w:rPr>
          <w:lang w:val="fr-FR"/>
        </w:rPr>
      </w:pPr>
      <w:r w:rsidRPr="0036263A">
        <w:rPr>
          <w:lang w:val="fr-FR"/>
        </w:rPr>
        <w:tab/>
      </w:r>
      <w:r w:rsidRPr="0036263A">
        <w:rPr>
          <w:lang w:val="fr-FR"/>
        </w:rPr>
        <w:tab/>
      </w:r>
      <w:r w:rsidR="00CE3E5B" w:rsidRPr="0036263A">
        <w:rPr>
          <w:lang w:val="fr-FR"/>
        </w:rPr>
        <w:t>L</w:t>
      </w:r>
      <w:r w:rsidR="0091725B" w:rsidRPr="0036263A">
        <w:rPr>
          <w:lang w:val="fr-FR"/>
        </w:rPr>
        <w:t>é</w:t>
      </w:r>
      <w:r w:rsidR="00CE3E5B" w:rsidRPr="0036263A">
        <w:rPr>
          <w:lang w:val="fr-FR"/>
        </w:rPr>
        <w:t xml:space="preserve">gislation relative </w:t>
      </w:r>
      <w:r w:rsidR="0091725B" w:rsidRPr="0036263A">
        <w:rPr>
          <w:lang w:val="fr-FR"/>
        </w:rPr>
        <w:t>à</w:t>
      </w:r>
      <w:r w:rsidR="00CE3E5B" w:rsidRPr="0036263A">
        <w:rPr>
          <w:lang w:val="fr-FR"/>
        </w:rPr>
        <w:t xml:space="preserve"> la protection des enfants</w:t>
      </w:r>
    </w:p>
    <w:p w14:paraId="7728E1E5" w14:textId="27E66D1A" w:rsidR="002C6BF9" w:rsidRPr="0036263A" w:rsidRDefault="00B12B59" w:rsidP="00B12B59">
      <w:pPr>
        <w:pStyle w:val="SingleTxtG"/>
        <w:rPr>
          <w:rFonts w:eastAsia="Calibri"/>
          <w:lang w:val="fr-FR"/>
        </w:rPr>
      </w:pPr>
      <w:r w:rsidRPr="0036263A">
        <w:rPr>
          <w:rFonts w:eastAsia="Calibri"/>
          <w:lang w:val="fr-FR"/>
        </w:rPr>
        <w:t>41.</w:t>
      </w:r>
      <w:r w:rsidRPr="0036263A">
        <w:rPr>
          <w:rFonts w:eastAsia="Calibri"/>
          <w:lang w:val="fr-FR"/>
        </w:rPr>
        <w:tab/>
      </w:r>
      <w:r w:rsidR="002C6BF9" w:rsidRPr="0036263A">
        <w:rPr>
          <w:lang w:val="fr-FR"/>
        </w:rPr>
        <w:t>L</w:t>
      </w:r>
      <w:r w:rsidR="001E5A68" w:rsidRPr="0036263A">
        <w:rPr>
          <w:lang w:val="fr-FR"/>
        </w:rPr>
        <w:t xml:space="preserve">e Comité </w:t>
      </w:r>
      <w:r w:rsidR="00C30656" w:rsidRPr="0036263A">
        <w:rPr>
          <w:lang w:val="fr-FR"/>
        </w:rPr>
        <w:t xml:space="preserve">constate </w:t>
      </w:r>
      <w:r w:rsidR="002C6BF9" w:rsidRPr="0036263A">
        <w:rPr>
          <w:lang w:val="fr-FR"/>
        </w:rPr>
        <w:t xml:space="preserve">avec préoccupation </w:t>
      </w:r>
      <w:r w:rsidR="00C30656" w:rsidRPr="0036263A">
        <w:rPr>
          <w:lang w:val="fr-FR"/>
        </w:rPr>
        <w:t xml:space="preserve">l’absence </w:t>
      </w:r>
      <w:r w:rsidR="00A41B8A">
        <w:rPr>
          <w:rFonts w:eastAsiaTheme="minorHAnsi"/>
        </w:rPr>
        <w:t xml:space="preserve">de </w:t>
      </w:r>
      <w:r w:rsidR="005C13D2" w:rsidRPr="0036263A">
        <w:rPr>
          <w:rFonts w:eastAsiaTheme="minorHAnsi"/>
        </w:rPr>
        <w:t xml:space="preserve">mesures </w:t>
      </w:r>
      <w:r w:rsidR="00A41B8A">
        <w:rPr>
          <w:rFonts w:eastAsiaTheme="minorHAnsi"/>
        </w:rPr>
        <w:t xml:space="preserve">de </w:t>
      </w:r>
      <w:r w:rsidR="005C13D2" w:rsidRPr="0036263A">
        <w:rPr>
          <w:rFonts w:eastAsiaTheme="minorHAnsi"/>
        </w:rPr>
        <w:t>droit interne</w:t>
      </w:r>
      <w:r w:rsidR="00C30656" w:rsidRPr="0036263A">
        <w:rPr>
          <w:rFonts w:eastAsiaTheme="minorHAnsi"/>
        </w:rPr>
        <w:t xml:space="preserve"> pour </w:t>
      </w:r>
      <w:r w:rsidR="00A41B8A">
        <w:rPr>
          <w:rFonts w:eastAsiaTheme="minorHAnsi"/>
        </w:rPr>
        <w:t xml:space="preserve">mettre en œuvre l’article 25 de la Convention, et notamment pour </w:t>
      </w:r>
      <w:r w:rsidR="00C30656" w:rsidRPr="0036263A">
        <w:rPr>
          <w:rFonts w:eastAsiaTheme="minorHAnsi"/>
        </w:rPr>
        <w:t xml:space="preserve">prévenir ou réprimer pénalement </w:t>
      </w:r>
      <w:r w:rsidR="00A41B8A">
        <w:rPr>
          <w:rFonts w:eastAsiaTheme="minorHAnsi"/>
        </w:rPr>
        <w:t xml:space="preserve">la soustraction d’enfants et </w:t>
      </w:r>
      <w:r w:rsidR="00C30656" w:rsidRPr="0036263A">
        <w:rPr>
          <w:rFonts w:eastAsiaTheme="minorHAnsi"/>
        </w:rPr>
        <w:t xml:space="preserve">la falsification, la dissimulation ou la destruction de documents attestant la véritable identité des enfants visés </w:t>
      </w:r>
      <w:r w:rsidR="00282587">
        <w:rPr>
          <w:rFonts w:eastAsiaTheme="minorHAnsi"/>
        </w:rPr>
        <w:t>à l</w:t>
      </w:r>
      <w:r w:rsidR="00282587" w:rsidRPr="00282587">
        <w:rPr>
          <w:rFonts w:eastAsiaTheme="minorHAnsi"/>
        </w:rPr>
        <w:t>’</w:t>
      </w:r>
      <w:r w:rsidR="00282587">
        <w:rPr>
          <w:rFonts w:eastAsiaTheme="minorHAnsi"/>
        </w:rPr>
        <w:t>alinéa a) du</w:t>
      </w:r>
      <w:r w:rsidR="00C30656" w:rsidRPr="0036263A">
        <w:rPr>
          <w:rFonts w:eastAsiaTheme="minorHAnsi"/>
        </w:rPr>
        <w:t xml:space="preserve"> paragraphe 1 de l’article 25 </w:t>
      </w:r>
      <w:r w:rsidR="00E22D16">
        <w:rPr>
          <w:rFonts w:eastAsiaTheme="minorHAnsi"/>
        </w:rPr>
        <w:t>(art. 25).</w:t>
      </w:r>
    </w:p>
    <w:p w14:paraId="766F0360" w14:textId="41E922BC" w:rsidR="001E5A68" w:rsidRDefault="00B12B59" w:rsidP="00B12B59">
      <w:pPr>
        <w:pStyle w:val="SingleTxtG"/>
        <w:rPr>
          <w:b/>
          <w:lang w:val="fr-FR"/>
        </w:rPr>
      </w:pPr>
      <w:r>
        <w:rPr>
          <w:lang w:val="fr-FR"/>
        </w:rPr>
        <w:t>42.</w:t>
      </w:r>
      <w:r>
        <w:rPr>
          <w:lang w:val="fr-FR"/>
        </w:rPr>
        <w:tab/>
      </w:r>
      <w:r w:rsidR="001E5A68" w:rsidRPr="0036263A">
        <w:rPr>
          <w:b/>
          <w:lang w:val="fr-FR"/>
        </w:rPr>
        <w:t>Le Comité recommande à l’</w:t>
      </w:r>
      <w:r w:rsidR="003306D0" w:rsidRPr="0036263A">
        <w:rPr>
          <w:b/>
          <w:lang w:val="fr-FR"/>
        </w:rPr>
        <w:t>État</w:t>
      </w:r>
      <w:r w:rsidR="001E5A68" w:rsidRPr="0036263A">
        <w:rPr>
          <w:b/>
          <w:lang w:val="fr-FR"/>
        </w:rPr>
        <w:t xml:space="preserve"> partie de renforcer sa législation pénale pour </w:t>
      </w:r>
      <w:r w:rsidR="00515ABF">
        <w:rPr>
          <w:b/>
          <w:lang w:val="fr-FR"/>
        </w:rPr>
        <w:t>y inscrire en tant qu’infractions spécifiques les agissements énoncés au paragraphe 1 de l’article 25 de la Convention et de prévoir des peines appropriées tenant compte de l’extrême gravité des faits.</w:t>
      </w:r>
    </w:p>
    <w:p w14:paraId="1BE17D60" w14:textId="67264BE7" w:rsidR="00863438" w:rsidRPr="0036263A" w:rsidRDefault="00863438" w:rsidP="00863438">
      <w:pPr>
        <w:pStyle w:val="H1G"/>
      </w:pPr>
      <w:r>
        <w:rPr>
          <w:lang w:val="fr-FR" w:eastAsia="en-GB"/>
        </w:rPr>
        <w:tab/>
      </w:r>
      <w:r w:rsidRPr="0036263A">
        <w:rPr>
          <w:lang w:val="fr-FR" w:eastAsia="en-GB"/>
        </w:rPr>
        <w:t>D.</w:t>
      </w:r>
      <w:r w:rsidRPr="0036263A">
        <w:rPr>
          <w:lang w:val="fr-FR" w:eastAsia="en-GB"/>
        </w:rPr>
        <w:tab/>
        <w:t>Diffusion et suivi</w:t>
      </w:r>
    </w:p>
    <w:p w14:paraId="34939D53" w14:textId="6837DB68" w:rsidR="00863438" w:rsidRPr="0036263A" w:rsidRDefault="00B12B59" w:rsidP="00B12B59">
      <w:pPr>
        <w:pStyle w:val="ParNoG"/>
        <w:ind w:left="1134"/>
        <w:rPr>
          <w:lang w:val="fr-FR" w:eastAsia="en-GB"/>
        </w:rPr>
      </w:pPr>
      <w:r w:rsidRPr="0036263A">
        <w:rPr>
          <w:lang w:val="fr-FR" w:eastAsia="en-GB"/>
        </w:rPr>
        <w:t>43.</w:t>
      </w:r>
      <w:r w:rsidRPr="0036263A">
        <w:rPr>
          <w:lang w:val="fr-FR" w:eastAsia="en-GB"/>
        </w:rPr>
        <w:tab/>
      </w:r>
      <w:r w:rsidR="00863438" w:rsidRPr="0036263A">
        <w:rPr>
          <w:rStyle w:val="SingleTxtGCar"/>
          <w:lang w:val="fr-FR"/>
        </w:rPr>
        <w:t xml:space="preserve">Le Comité tient à rappeler les obligations auxquelles les États ont souscrit en ratifiant la Convention et, à ce propos, engage l’État partie à s’assurer que toutes les mesures qu’il adopte, quelles que soient leur nature et l’autorité dont elles émanent, sont pleinement conformes aux obligations qu’il a assumées en ratifiant la Convention et d’autres instruments internationaux pertinents. </w:t>
      </w:r>
      <w:r w:rsidR="00863438" w:rsidRPr="0036263A">
        <w:rPr>
          <w:lang w:val="fr-FR"/>
        </w:rPr>
        <w:t>À cet égard, le Comité exhorte l’État partie à garantir spécifiquement l’efficacité des enquêtes sur toutes les disparitions forcées et la pleine satisfaction des droits des victimes tels qu’inscrits dans la Convention.</w:t>
      </w:r>
    </w:p>
    <w:p w14:paraId="1E073DA4" w14:textId="0BC6E47A" w:rsidR="00863438" w:rsidRPr="0036263A" w:rsidRDefault="00B12B59" w:rsidP="00B12B59">
      <w:pPr>
        <w:pStyle w:val="ParNoG"/>
        <w:ind w:left="1134"/>
        <w:rPr>
          <w:lang w:val="fr-FR" w:eastAsia="en-GB"/>
        </w:rPr>
      </w:pPr>
      <w:r w:rsidRPr="0036263A">
        <w:rPr>
          <w:lang w:val="fr-FR" w:eastAsia="en-GB"/>
        </w:rPr>
        <w:t>44.</w:t>
      </w:r>
      <w:r w:rsidRPr="0036263A">
        <w:rPr>
          <w:lang w:val="fr-FR" w:eastAsia="en-GB"/>
        </w:rPr>
        <w:tab/>
      </w:r>
      <w:r w:rsidR="00863438" w:rsidRPr="0036263A">
        <w:rPr>
          <w:rStyle w:val="SingleTxtGCar"/>
          <w:lang w:val="fr-FR"/>
        </w:rPr>
        <w:t xml:space="preserve">Le Comité tient également à souligner que les disparitions forcées ont des effets particulièrement cruels sur les droits des femmes et des enfants. Les femmes victimes de disparition forcée sont particulièrement vulnérables à la violence </w:t>
      </w:r>
      <w:r w:rsidR="00863438" w:rsidRPr="0036263A">
        <w:rPr>
          <w:lang w:val="fr-FR"/>
        </w:rPr>
        <w:t>sexuelle</w:t>
      </w:r>
      <w:r w:rsidR="00863438" w:rsidRPr="0036263A">
        <w:rPr>
          <w:rStyle w:val="SingleTxtGCar"/>
          <w:lang w:val="fr-FR"/>
        </w:rPr>
        <w:t xml:space="preserve"> et à d’autres formes de violence sexiste. Lorsqu’elles sont les parentes d’une personne disparue, les femmes sont particulièrement exposées à des conséquences sociales et économiques graves ainsi qu’à la violence, aux persécutions et aux représailles du fait des efforts qu’elles déploient pour localiser leur proche. Pour leur part, les enfants victimes de disparition forcée, qu’ils soient eux-mêmes soumis à une disparition ou qu’ils subissent les conséquences de la disparition de membres de leur famille, sont particulièrement exposés à de multiples violations des droits de l’homme, notamment la substitution d’identité. C’est pourquoi le Comité insiste sur la nécessité</w:t>
      </w:r>
      <w:r w:rsidR="00B13F64">
        <w:rPr>
          <w:rStyle w:val="SingleTxtGCar"/>
          <w:lang w:val="fr-FR"/>
        </w:rPr>
        <w:t xml:space="preserve"> </w:t>
      </w:r>
      <w:r w:rsidR="00863438" w:rsidRPr="0036263A">
        <w:rPr>
          <w:rStyle w:val="SingleTxtGCar"/>
          <w:lang w:val="fr-FR"/>
        </w:rPr>
        <w:t>de tenir compte des questions de genre et de la sensibilité des enfants dans l’application des droits et le respect des obligations qui découlent de la Convention</w:t>
      </w:r>
      <w:r w:rsidR="00863438" w:rsidRPr="0036263A">
        <w:rPr>
          <w:lang w:val="fr-FR" w:eastAsia="en-GB"/>
        </w:rPr>
        <w:t>.</w:t>
      </w:r>
    </w:p>
    <w:p w14:paraId="16D470CE" w14:textId="1EDC7D7D" w:rsidR="00863438" w:rsidRPr="0036263A" w:rsidRDefault="00B12B59" w:rsidP="00B12B59">
      <w:pPr>
        <w:pStyle w:val="ParNoG"/>
        <w:ind w:left="1134"/>
        <w:rPr>
          <w:lang w:val="fr-FR" w:eastAsia="en-GB"/>
        </w:rPr>
      </w:pPr>
      <w:r w:rsidRPr="0036263A">
        <w:rPr>
          <w:lang w:val="fr-FR" w:eastAsia="en-GB"/>
        </w:rPr>
        <w:t>45.</w:t>
      </w:r>
      <w:r w:rsidRPr="0036263A">
        <w:rPr>
          <w:lang w:val="fr-FR" w:eastAsia="en-GB"/>
        </w:rPr>
        <w:tab/>
      </w:r>
      <w:r w:rsidR="00863438" w:rsidRPr="0036263A">
        <w:rPr>
          <w:rStyle w:val="SingleTxtGCar"/>
          <w:lang w:val="fr-FR"/>
        </w:rPr>
        <w:t>L’État partie est invité à diffuser largement la Convention, le rapport qu’il a soumis en application du paragraphe 1 de l’article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l’État partie à encourager la société civile à participer à la mise en œuvre des présentes observations finales</w:t>
      </w:r>
      <w:r w:rsidR="00863438" w:rsidRPr="0036263A">
        <w:rPr>
          <w:lang w:val="fr-FR" w:eastAsia="en-GB"/>
        </w:rPr>
        <w:t>.</w:t>
      </w:r>
    </w:p>
    <w:p w14:paraId="6EF85976" w14:textId="4563C07E" w:rsidR="00863438" w:rsidRPr="00F57464" w:rsidRDefault="00B12B59" w:rsidP="00B12B59">
      <w:pPr>
        <w:pStyle w:val="ParNoG"/>
        <w:ind w:left="1134"/>
        <w:rPr>
          <w:lang w:val="fr-FR" w:eastAsia="en-GB"/>
        </w:rPr>
      </w:pPr>
      <w:r w:rsidRPr="00F57464">
        <w:rPr>
          <w:lang w:val="fr-FR" w:eastAsia="en-GB"/>
        </w:rPr>
        <w:t>46.</w:t>
      </w:r>
      <w:r w:rsidRPr="00F57464">
        <w:rPr>
          <w:lang w:val="fr-FR" w:eastAsia="en-GB"/>
        </w:rPr>
        <w:tab/>
      </w:r>
      <w:r w:rsidR="00863438" w:rsidRPr="00F57464">
        <w:rPr>
          <w:rStyle w:val="SingleTxtGCar"/>
          <w:lang w:val="fr-FR"/>
        </w:rPr>
        <w:t xml:space="preserve">Conformément au règlement intérieur du Comité, l’État partie doit communiquer, au plus tard le </w:t>
      </w:r>
      <w:r w:rsidR="00863438" w:rsidRPr="003D4990">
        <w:rPr>
          <w:rStyle w:val="SingleTxtGCar"/>
          <w:lang w:val="fr-FR"/>
        </w:rPr>
        <w:t>17 mars 2018,</w:t>
      </w:r>
      <w:r w:rsidR="00863438" w:rsidRPr="00F57464">
        <w:rPr>
          <w:rStyle w:val="SingleTxtGCar"/>
          <w:lang w:val="fr-FR"/>
        </w:rPr>
        <w:t xml:space="preserve"> des informations utiles sur la suite qu’il aura donnée aux recommandations du Comité figurant aux paragraphes</w:t>
      </w:r>
      <w:r w:rsidR="00863438">
        <w:rPr>
          <w:rStyle w:val="SingleTxtGCar"/>
          <w:lang w:val="fr-FR"/>
        </w:rPr>
        <w:t> </w:t>
      </w:r>
      <w:r w:rsidR="00566F4E">
        <w:rPr>
          <w:rStyle w:val="SingleTxtGCar"/>
          <w:lang w:val="fr-FR"/>
        </w:rPr>
        <w:t>14, 18 et 34</w:t>
      </w:r>
      <w:r w:rsidR="00863438" w:rsidRPr="00F57464">
        <w:rPr>
          <w:rStyle w:val="SingleTxtGCar"/>
          <w:lang w:val="fr-FR"/>
        </w:rPr>
        <w:t xml:space="preserve">. </w:t>
      </w:r>
    </w:p>
    <w:p w14:paraId="488D00C6" w14:textId="500405EA" w:rsidR="00863438" w:rsidRPr="00F92177" w:rsidRDefault="00B12B59" w:rsidP="00B12B59">
      <w:pPr>
        <w:pStyle w:val="ParNoG"/>
        <w:keepLines/>
        <w:ind w:left="1134"/>
        <w:rPr>
          <w:lang w:val="fr-FR"/>
        </w:rPr>
      </w:pPr>
      <w:r w:rsidRPr="00F92177">
        <w:rPr>
          <w:lang w:val="fr-FR"/>
        </w:rPr>
        <w:lastRenderedPageBreak/>
        <w:t>47.</w:t>
      </w:r>
      <w:r w:rsidRPr="00F92177">
        <w:rPr>
          <w:lang w:val="fr-FR"/>
        </w:rPr>
        <w:tab/>
      </w:r>
      <w:r w:rsidR="00863438" w:rsidRPr="00F57464">
        <w:rPr>
          <w:rStyle w:val="SingleTxtGCar"/>
          <w:lang w:val="fr-FR"/>
        </w:rPr>
        <w:t xml:space="preserve">En application du paragraphe 4 de l’article 29 de la Convention, le Comité demande à l’État partie de lui soumettre, au plus tard le </w:t>
      </w:r>
      <w:r w:rsidR="00863438" w:rsidRPr="00A31798">
        <w:rPr>
          <w:rStyle w:val="SingleTxtGCar"/>
          <w:lang w:val="fr-FR"/>
        </w:rPr>
        <w:t>17 mars 2023</w:t>
      </w:r>
      <w:r w:rsidR="00863438" w:rsidRPr="00F57464">
        <w:rPr>
          <w:rStyle w:val="SingleTxtGCar"/>
          <w:lang w:val="fr-FR"/>
        </w:rPr>
        <w:t>, 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 39 des Directives concernant la forme et le contenu des rapports que les États parties doivent soumettre en application de l’article 29 de la Convention (CED/C/2). Le Comité encourage l’État partie à promouvoir et à faciliter la participation de la société civile</w:t>
      </w:r>
      <w:r w:rsidR="00863438">
        <w:rPr>
          <w:rStyle w:val="SingleTxtGCar"/>
          <w:lang w:val="fr-FR"/>
        </w:rPr>
        <w:t>, notamment les associations de victimes,</w:t>
      </w:r>
      <w:r w:rsidR="00863438" w:rsidRPr="00F57464">
        <w:rPr>
          <w:rStyle w:val="SingleTxtGCar"/>
          <w:lang w:val="fr-FR"/>
        </w:rPr>
        <w:t xml:space="preserve"> à la compilation de ces informations.</w:t>
      </w:r>
    </w:p>
    <w:p w14:paraId="64637DF9" w14:textId="77777777" w:rsidR="00863438" w:rsidRPr="00735423" w:rsidRDefault="00863438" w:rsidP="00863438">
      <w:pPr>
        <w:pStyle w:val="SingleTxtG"/>
        <w:spacing w:before="240" w:after="0"/>
        <w:jc w:val="center"/>
        <w:rPr>
          <w:lang w:val="fr-FR"/>
        </w:rPr>
      </w:pPr>
      <w:r w:rsidRPr="00735423">
        <w:rPr>
          <w:u w:val="single"/>
          <w:lang w:val="fr-FR"/>
        </w:rPr>
        <w:tab/>
      </w:r>
      <w:r w:rsidRPr="00735423">
        <w:rPr>
          <w:u w:val="single"/>
          <w:lang w:val="fr-FR"/>
        </w:rPr>
        <w:tab/>
      </w:r>
      <w:r w:rsidRPr="00735423">
        <w:rPr>
          <w:u w:val="single"/>
          <w:lang w:val="fr-FR"/>
        </w:rPr>
        <w:tab/>
      </w:r>
    </w:p>
    <w:p w14:paraId="57E4B5B0" w14:textId="77777777" w:rsidR="001E5A68" w:rsidRPr="00735423" w:rsidRDefault="001E5A68" w:rsidP="00885B91">
      <w:pPr>
        <w:pStyle w:val="SingleTxtG"/>
        <w:spacing w:before="240" w:after="0"/>
        <w:jc w:val="center"/>
        <w:rPr>
          <w:lang w:val="fr-FR"/>
        </w:rPr>
      </w:pPr>
      <w:bookmarkStart w:id="0" w:name="_GoBack"/>
      <w:bookmarkEnd w:id="0"/>
    </w:p>
    <w:sectPr w:rsidR="001E5A68" w:rsidRPr="00735423" w:rsidSect="00B12B59">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3F21" w14:textId="77777777" w:rsidR="00057DBA" w:rsidRDefault="00057DBA"/>
  </w:endnote>
  <w:endnote w:type="continuationSeparator" w:id="0">
    <w:p w14:paraId="726C21A3" w14:textId="77777777" w:rsidR="00057DBA" w:rsidRDefault="00057DBA">
      <w:pPr>
        <w:pStyle w:val="Pieddepage"/>
      </w:pPr>
    </w:p>
  </w:endnote>
  <w:endnote w:type="continuationNotice" w:id="1">
    <w:p w14:paraId="4CA584F8" w14:textId="77777777" w:rsidR="00057DBA" w:rsidRPr="00C451B9" w:rsidRDefault="00057DB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C891" w14:textId="77777777" w:rsidR="00635DA4" w:rsidRPr="00443CBE" w:rsidRDefault="00635DA4" w:rsidP="00443CBE">
    <w:pPr>
      <w:pStyle w:val="Pieddepage"/>
      <w:tabs>
        <w:tab w:val="right" w:pos="9638"/>
      </w:tabs>
    </w:pPr>
    <w:r w:rsidRPr="00443CBE">
      <w:rPr>
        <w:b/>
        <w:sz w:val="18"/>
      </w:rPr>
      <w:fldChar w:fldCharType="begin"/>
    </w:r>
    <w:r w:rsidRPr="00443CBE">
      <w:rPr>
        <w:b/>
        <w:sz w:val="18"/>
      </w:rPr>
      <w:instrText xml:space="preserve"> PAGE  \* MERGEFORMAT </w:instrText>
    </w:r>
    <w:r w:rsidRPr="00443CBE">
      <w:rPr>
        <w:b/>
        <w:sz w:val="18"/>
      </w:rPr>
      <w:fldChar w:fldCharType="separate"/>
    </w:r>
    <w:r w:rsidR="000C2479">
      <w:rPr>
        <w:b/>
        <w:noProof/>
        <w:sz w:val="18"/>
      </w:rPr>
      <w:t>8</w:t>
    </w:r>
    <w:r w:rsidRPr="00443CB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88DB" w14:textId="77777777" w:rsidR="00635DA4" w:rsidRPr="00443CBE" w:rsidRDefault="00635DA4" w:rsidP="00443CBE">
    <w:pPr>
      <w:pStyle w:val="Pieddepage"/>
      <w:tabs>
        <w:tab w:val="right" w:pos="9638"/>
      </w:tabs>
      <w:rPr>
        <w:b/>
        <w:sz w:val="18"/>
      </w:rPr>
    </w:pPr>
    <w:r>
      <w:tab/>
    </w:r>
    <w:r w:rsidRPr="00443CBE">
      <w:rPr>
        <w:b/>
        <w:sz w:val="18"/>
      </w:rPr>
      <w:fldChar w:fldCharType="begin"/>
    </w:r>
    <w:r w:rsidRPr="00443CBE">
      <w:rPr>
        <w:b/>
        <w:sz w:val="18"/>
      </w:rPr>
      <w:instrText xml:space="preserve"> PAGE  \* MERGEFORMAT </w:instrText>
    </w:r>
    <w:r w:rsidRPr="00443CBE">
      <w:rPr>
        <w:b/>
        <w:sz w:val="18"/>
      </w:rPr>
      <w:fldChar w:fldCharType="separate"/>
    </w:r>
    <w:r w:rsidR="000C2479">
      <w:rPr>
        <w:b/>
        <w:noProof/>
        <w:sz w:val="18"/>
      </w:rPr>
      <w:t>7</w:t>
    </w:r>
    <w:r w:rsidRPr="00443C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628C" w14:textId="1A445B9D" w:rsidR="00635DA4" w:rsidRPr="002B13D0" w:rsidRDefault="002B13D0" w:rsidP="002B13D0">
    <w:pPr>
      <w:pStyle w:val="Pieddepage"/>
      <w:rPr>
        <w:rFonts w:ascii="C39T30Lfz" w:hAnsi="C39T30Lfz"/>
        <w:sz w:val="56"/>
      </w:rPr>
    </w:pPr>
    <w:r>
      <w:rPr>
        <w:noProof/>
        <w:lang w:eastAsia="fr-CH"/>
      </w:rPr>
      <w:drawing>
        <wp:anchor distT="0" distB="0" distL="114300" distR="114300" simplePos="0" relativeHeight="251660288" behindDoc="0" locked="0" layoutInCell="1" allowOverlap="1" wp14:anchorId="039A4026" wp14:editId="55CDA49F">
          <wp:simplePos x="0" y="0"/>
          <wp:positionH relativeFrom="margin">
            <wp:posOffset>5490845</wp:posOffset>
          </wp:positionH>
          <wp:positionV relativeFrom="margin">
            <wp:posOffset>8893175</wp:posOffset>
          </wp:positionV>
          <wp:extent cx="637200" cy="637200"/>
          <wp:effectExtent l="0" t="0" r="0" b="0"/>
          <wp:wrapNone/>
          <wp:docPr id="4" name="Image 2" descr="http://undocs.org/m2/QRCode.ashx?DS=CED/C/SE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ED/C/SEN/CO/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5A95BE0D" wp14:editId="3DA8D87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w:t>
    </w:r>
    <w:r>
      <w:rPr>
        <w:sz w:val="20"/>
      </w:rPr>
      <w:t>154</w:t>
    </w:r>
    <w:r>
      <w:rPr>
        <w:sz w:val="20"/>
      </w:rPr>
      <w:t xml:space="preserve">  (F)</w:t>
    </w:r>
    <w:r>
      <w:br/>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r w:rsidRPr="002B13D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0349" w14:textId="77777777" w:rsidR="00057DBA" w:rsidRPr="00D27D5E" w:rsidRDefault="00057DBA" w:rsidP="00D27D5E">
      <w:pPr>
        <w:tabs>
          <w:tab w:val="right" w:pos="2155"/>
        </w:tabs>
        <w:spacing w:after="80"/>
        <w:ind w:left="680"/>
        <w:rPr>
          <w:u w:val="single"/>
        </w:rPr>
      </w:pPr>
      <w:r>
        <w:rPr>
          <w:u w:val="single"/>
        </w:rPr>
        <w:tab/>
      </w:r>
    </w:p>
  </w:footnote>
  <w:footnote w:type="continuationSeparator" w:id="0">
    <w:p w14:paraId="0C357934" w14:textId="77777777" w:rsidR="00057DBA" w:rsidRPr="00D171D4" w:rsidRDefault="00057DBA" w:rsidP="00D171D4">
      <w:pPr>
        <w:tabs>
          <w:tab w:val="right" w:pos="2155"/>
        </w:tabs>
        <w:spacing w:after="80"/>
        <w:ind w:left="680"/>
        <w:rPr>
          <w:u w:val="single"/>
        </w:rPr>
      </w:pPr>
      <w:r w:rsidRPr="00D171D4">
        <w:rPr>
          <w:u w:val="single"/>
        </w:rPr>
        <w:tab/>
      </w:r>
    </w:p>
  </w:footnote>
  <w:footnote w:type="continuationNotice" w:id="1">
    <w:p w14:paraId="56604E7D" w14:textId="77777777" w:rsidR="00057DBA" w:rsidRPr="00C451B9" w:rsidRDefault="00057DBA" w:rsidP="00C451B9">
      <w:pPr>
        <w:spacing w:line="240" w:lineRule="auto"/>
        <w:rPr>
          <w:sz w:val="2"/>
          <w:szCs w:val="2"/>
        </w:rPr>
      </w:pPr>
    </w:p>
  </w:footnote>
  <w:footnote w:id="2">
    <w:p w14:paraId="7C1B00EB" w14:textId="745084D0" w:rsidR="00635DA4" w:rsidRPr="00655CE3" w:rsidRDefault="00DE69D1" w:rsidP="00B12B59">
      <w:pPr>
        <w:pStyle w:val="Notedebasdepage"/>
        <w:jc w:val="both"/>
        <w:rPr>
          <w:szCs w:val="18"/>
        </w:rPr>
      </w:pPr>
      <w:r>
        <w:rPr>
          <w:sz w:val="20"/>
        </w:rPr>
        <w:tab/>
      </w:r>
      <w:r w:rsidR="00635DA4" w:rsidRPr="00B12B59">
        <w:rPr>
          <w:rStyle w:val="Appelnotedebasdep"/>
          <w:sz w:val="20"/>
          <w:vertAlign w:val="baseline"/>
        </w:rPr>
        <w:t>*</w:t>
      </w:r>
      <w:r w:rsidR="00635DA4" w:rsidRPr="00655CE3">
        <w:rPr>
          <w:szCs w:val="18"/>
        </w:rPr>
        <w:tab/>
      </w:r>
      <w:r w:rsidR="008E5AC9">
        <w:t xml:space="preserve">Adoptées par le Comité à sa douzième session </w:t>
      </w:r>
      <w:r w:rsidR="008E5AC9">
        <w:rPr>
          <w:szCs w:val="18"/>
        </w:rPr>
        <w:t>(6-17 mars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2B5C" w14:textId="5280AF7C" w:rsidR="00635DA4" w:rsidRPr="004215E5" w:rsidRDefault="00A9366A">
    <w:pPr>
      <w:pStyle w:val="En-tte"/>
      <w:rPr>
        <w:lang w:val="en-GB"/>
      </w:rPr>
    </w:pPr>
    <w:r>
      <w:rPr>
        <w:lang w:val="en-GB"/>
      </w:rPr>
      <w:t>CED/C/SEN/CO/</w:t>
    </w:r>
    <w:r w:rsidR="00635DA4">
      <w:rPr>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4A1D" w14:textId="2DD904BC" w:rsidR="00635DA4" w:rsidRPr="004215E5" w:rsidRDefault="00A9366A" w:rsidP="00443CBE">
    <w:pPr>
      <w:pStyle w:val="En-tte"/>
      <w:jc w:val="right"/>
      <w:rPr>
        <w:lang w:val="en-GB"/>
      </w:rPr>
    </w:pPr>
    <w:r>
      <w:rPr>
        <w:lang w:val="en-GB"/>
      </w:rPr>
      <w:t>CED/C/SEN/CO/</w:t>
    </w:r>
    <w:r w:rsidR="00635DA4">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006"/>
    <w:multiLevelType w:val="hybridMultilevel"/>
    <w:tmpl w:val="819CB996"/>
    <w:lvl w:ilvl="0" w:tplc="CE96CA1A">
      <w:start w:val="1"/>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1563FA2"/>
    <w:multiLevelType w:val="hybridMultilevel"/>
    <w:tmpl w:val="BC7424C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30C7862"/>
    <w:multiLevelType w:val="hybridMultilevel"/>
    <w:tmpl w:val="373EC6CE"/>
    <w:lvl w:ilvl="0" w:tplc="0409001B">
      <w:start w:val="1"/>
      <w:numFmt w:val="lowerRoman"/>
      <w:lvlText w:val="%1."/>
      <w:lvlJc w:val="right"/>
      <w:pPr>
        <w:ind w:left="131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0C09"/>
    <w:multiLevelType w:val="hybridMultilevel"/>
    <w:tmpl w:val="7766F9EC"/>
    <w:lvl w:ilvl="0" w:tplc="951A85F2">
      <w:start w:val="1"/>
      <w:numFmt w:val="decimal"/>
      <w:lvlText w:val="%1."/>
      <w:lvlJc w:val="left"/>
      <w:pPr>
        <w:ind w:left="2268" w:firstLine="0"/>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604552D"/>
    <w:multiLevelType w:val="hybridMultilevel"/>
    <w:tmpl w:val="B15491C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7E972B8"/>
    <w:multiLevelType w:val="hybridMultilevel"/>
    <w:tmpl w:val="F8940B1C"/>
    <w:lvl w:ilvl="0" w:tplc="0409001B">
      <w:start w:val="1"/>
      <w:numFmt w:val="lowerRoman"/>
      <w:lvlText w:val="%1."/>
      <w:lvlJc w:val="right"/>
      <w:pPr>
        <w:ind w:left="329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10CA"/>
    <w:multiLevelType w:val="hybridMultilevel"/>
    <w:tmpl w:val="A6941768"/>
    <w:lvl w:ilvl="0" w:tplc="3E5A8FF8">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E375CC6"/>
    <w:multiLevelType w:val="hybridMultilevel"/>
    <w:tmpl w:val="9DC62E76"/>
    <w:lvl w:ilvl="0" w:tplc="CE96CA1A">
      <w:start w:val="1"/>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E7C3E14"/>
    <w:multiLevelType w:val="hybridMultilevel"/>
    <w:tmpl w:val="86281B2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F8A2D87"/>
    <w:multiLevelType w:val="hybridMultilevel"/>
    <w:tmpl w:val="8052356A"/>
    <w:lvl w:ilvl="0" w:tplc="47421CB4">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4FD4708"/>
    <w:multiLevelType w:val="hybridMultilevel"/>
    <w:tmpl w:val="032AC0A8"/>
    <w:lvl w:ilvl="0" w:tplc="737A9B76">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2A36156D"/>
    <w:multiLevelType w:val="hybridMultilevel"/>
    <w:tmpl w:val="33A4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61A50"/>
    <w:multiLevelType w:val="hybridMultilevel"/>
    <w:tmpl w:val="3692E55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C417D25"/>
    <w:multiLevelType w:val="hybridMultilevel"/>
    <w:tmpl w:val="9070BAB8"/>
    <w:lvl w:ilvl="0" w:tplc="CE96CA1A">
      <w:start w:val="1"/>
      <w:numFmt w:val="decimal"/>
      <w:lvlText w:val="%1."/>
      <w:lvlJc w:val="left"/>
      <w:pPr>
        <w:ind w:left="1134" w:firstLine="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20754CD"/>
    <w:multiLevelType w:val="hybridMultilevel"/>
    <w:tmpl w:val="1F58F70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4F935C2"/>
    <w:multiLevelType w:val="hybridMultilevel"/>
    <w:tmpl w:val="1FFC55E6"/>
    <w:lvl w:ilvl="0" w:tplc="CE96CA1A">
      <w:start w:val="1"/>
      <w:numFmt w:val="decimal"/>
      <w:lvlText w:val="%1."/>
      <w:lvlJc w:val="left"/>
      <w:pPr>
        <w:ind w:left="1134" w:firstLine="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05805DF"/>
    <w:multiLevelType w:val="hybridMultilevel"/>
    <w:tmpl w:val="E6084872"/>
    <w:lvl w:ilvl="0" w:tplc="ECC03062">
      <w:start w:val="42"/>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60E2B52"/>
    <w:multiLevelType w:val="hybridMultilevel"/>
    <w:tmpl w:val="64823ECA"/>
    <w:lvl w:ilvl="0" w:tplc="ECC03062">
      <w:start w:val="42"/>
      <w:numFmt w:val="decimal"/>
      <w:lvlText w:val="%1."/>
      <w:lvlJc w:val="left"/>
      <w:pPr>
        <w:ind w:left="1134" w:firstLine="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1942DB6"/>
    <w:multiLevelType w:val="hybridMultilevel"/>
    <w:tmpl w:val="A99A0B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1AE1159"/>
    <w:multiLevelType w:val="hybridMultilevel"/>
    <w:tmpl w:val="5C90885C"/>
    <w:lvl w:ilvl="0" w:tplc="0409000F">
      <w:start w:val="1"/>
      <w:numFmt w:val="decimal"/>
      <w:lvlText w:val="%1."/>
      <w:lvlJc w:val="left"/>
      <w:pPr>
        <w:ind w:left="298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64513C1F"/>
    <w:multiLevelType w:val="hybridMultilevel"/>
    <w:tmpl w:val="43FCA710"/>
    <w:lvl w:ilvl="0" w:tplc="0409001B">
      <w:start w:val="1"/>
      <w:numFmt w:val="lowerRoman"/>
      <w:lvlText w:val="%1."/>
      <w:lvlJc w:val="right"/>
      <w:pPr>
        <w:ind w:left="329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C7E23"/>
    <w:multiLevelType w:val="hybridMultilevel"/>
    <w:tmpl w:val="D53849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9E37756"/>
    <w:multiLevelType w:val="hybridMultilevel"/>
    <w:tmpl w:val="D3B6AF56"/>
    <w:lvl w:ilvl="0" w:tplc="E910D25A">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6">
    <w:nsid w:val="75DA6CEB"/>
    <w:multiLevelType w:val="hybridMultilevel"/>
    <w:tmpl w:val="812CF6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779D14CE"/>
    <w:multiLevelType w:val="hybridMultilevel"/>
    <w:tmpl w:val="794027CC"/>
    <w:lvl w:ilvl="0" w:tplc="0409001B">
      <w:start w:val="1"/>
      <w:numFmt w:val="lowerRoman"/>
      <w:lvlText w:val="%1."/>
      <w:lvlJc w:val="right"/>
      <w:pPr>
        <w:ind w:left="1314" w:hanging="18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24"/>
  </w:num>
  <w:num w:numId="2">
    <w:abstractNumId w:val="15"/>
  </w:num>
  <w:num w:numId="3">
    <w:abstractNumId w:val="7"/>
  </w:num>
  <w:num w:numId="4">
    <w:abstractNumId w:val="1"/>
  </w:num>
  <w:num w:numId="5">
    <w:abstractNumId w:val="11"/>
  </w:num>
  <w:num w:numId="6">
    <w:abstractNumId w:val="14"/>
  </w:num>
  <w:num w:numId="7">
    <w:abstractNumId w:val="16"/>
  </w:num>
  <w:num w:numId="8">
    <w:abstractNumId w:val="12"/>
  </w:num>
  <w:num w:numId="9">
    <w:abstractNumId w:val="20"/>
  </w:num>
  <w:num w:numId="10">
    <w:abstractNumId w:val="4"/>
  </w:num>
  <w:num w:numId="11">
    <w:abstractNumId w:val="6"/>
  </w:num>
  <w:num w:numId="12">
    <w:abstractNumId w:val="22"/>
  </w:num>
  <w:num w:numId="13">
    <w:abstractNumId w:val="27"/>
  </w:num>
  <w:num w:numId="14">
    <w:abstractNumId w:val="3"/>
  </w:num>
  <w:num w:numId="15">
    <w:abstractNumId w:val="8"/>
  </w:num>
  <w:num w:numId="16">
    <w:abstractNumId w:val="2"/>
  </w:num>
  <w:num w:numId="17">
    <w:abstractNumId w:val="13"/>
  </w:num>
  <w:num w:numId="18">
    <w:abstractNumId w:val="21"/>
  </w:num>
  <w:num w:numId="19">
    <w:abstractNumId w:val="17"/>
  </w:num>
  <w:num w:numId="20">
    <w:abstractNumId w:val="25"/>
  </w:num>
  <w:num w:numId="21">
    <w:abstractNumId w:val="19"/>
  </w:num>
  <w:num w:numId="22">
    <w:abstractNumId w:val="5"/>
  </w:num>
  <w:num w:numId="23">
    <w:abstractNumId w:val="9"/>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18"/>
  </w:num>
  <w:num w:numId="32">
    <w:abstractNumId w:val="10"/>
  </w:num>
  <w:num w:numId="33">
    <w:abstractNumId w:val="23"/>
  </w:num>
  <w:num w:numId="34">
    <w:abstractNumId w:val="0"/>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FE"/>
    <w:rsid w:val="000007BB"/>
    <w:rsid w:val="00001DDF"/>
    <w:rsid w:val="0000361D"/>
    <w:rsid w:val="00003D0C"/>
    <w:rsid w:val="00004B37"/>
    <w:rsid w:val="000074BA"/>
    <w:rsid w:val="0001084C"/>
    <w:rsid w:val="00010CFE"/>
    <w:rsid w:val="00010D74"/>
    <w:rsid w:val="000110C0"/>
    <w:rsid w:val="00011E9F"/>
    <w:rsid w:val="000124CF"/>
    <w:rsid w:val="000125D0"/>
    <w:rsid w:val="000132D8"/>
    <w:rsid w:val="0001470D"/>
    <w:rsid w:val="00014C29"/>
    <w:rsid w:val="00016165"/>
    <w:rsid w:val="00016AC5"/>
    <w:rsid w:val="000177F7"/>
    <w:rsid w:val="00020341"/>
    <w:rsid w:val="00020734"/>
    <w:rsid w:val="00021907"/>
    <w:rsid w:val="000225B5"/>
    <w:rsid w:val="000230E1"/>
    <w:rsid w:val="000233A5"/>
    <w:rsid w:val="0002357D"/>
    <w:rsid w:val="0002445D"/>
    <w:rsid w:val="0002468C"/>
    <w:rsid w:val="00024C50"/>
    <w:rsid w:val="000252B5"/>
    <w:rsid w:val="00025910"/>
    <w:rsid w:val="00025E92"/>
    <w:rsid w:val="000276A3"/>
    <w:rsid w:val="00027F4E"/>
    <w:rsid w:val="00030AFB"/>
    <w:rsid w:val="00030BFE"/>
    <w:rsid w:val="00032060"/>
    <w:rsid w:val="00032B15"/>
    <w:rsid w:val="000332DC"/>
    <w:rsid w:val="000340AE"/>
    <w:rsid w:val="000401C0"/>
    <w:rsid w:val="000401CF"/>
    <w:rsid w:val="00040481"/>
    <w:rsid w:val="00040539"/>
    <w:rsid w:val="00040598"/>
    <w:rsid w:val="00043F0E"/>
    <w:rsid w:val="000450C7"/>
    <w:rsid w:val="00046017"/>
    <w:rsid w:val="0004674B"/>
    <w:rsid w:val="00046926"/>
    <w:rsid w:val="000470E3"/>
    <w:rsid w:val="00047775"/>
    <w:rsid w:val="00047DDA"/>
    <w:rsid w:val="00047F10"/>
    <w:rsid w:val="00051EB4"/>
    <w:rsid w:val="00052157"/>
    <w:rsid w:val="00052245"/>
    <w:rsid w:val="00052360"/>
    <w:rsid w:val="0005346D"/>
    <w:rsid w:val="000544F7"/>
    <w:rsid w:val="00054F34"/>
    <w:rsid w:val="00055280"/>
    <w:rsid w:val="00055FE4"/>
    <w:rsid w:val="00056656"/>
    <w:rsid w:val="00057DBA"/>
    <w:rsid w:val="00057F54"/>
    <w:rsid w:val="00061837"/>
    <w:rsid w:val="0006268C"/>
    <w:rsid w:val="0006396D"/>
    <w:rsid w:val="000639FB"/>
    <w:rsid w:val="000641CE"/>
    <w:rsid w:val="00064ED9"/>
    <w:rsid w:val="0006610F"/>
    <w:rsid w:val="00066C84"/>
    <w:rsid w:val="00067310"/>
    <w:rsid w:val="00067410"/>
    <w:rsid w:val="00067A7A"/>
    <w:rsid w:val="00074DAB"/>
    <w:rsid w:val="00076587"/>
    <w:rsid w:val="00076AEC"/>
    <w:rsid w:val="000777F9"/>
    <w:rsid w:val="00077DAA"/>
    <w:rsid w:val="00077E35"/>
    <w:rsid w:val="00082331"/>
    <w:rsid w:val="00084C47"/>
    <w:rsid w:val="0008669E"/>
    <w:rsid w:val="00086B75"/>
    <w:rsid w:val="00087CC9"/>
    <w:rsid w:val="00090599"/>
    <w:rsid w:val="00092423"/>
    <w:rsid w:val="0009396B"/>
    <w:rsid w:val="000966BB"/>
    <w:rsid w:val="00097253"/>
    <w:rsid w:val="000977E2"/>
    <w:rsid w:val="00097A16"/>
    <w:rsid w:val="000A1501"/>
    <w:rsid w:val="000A2494"/>
    <w:rsid w:val="000A3535"/>
    <w:rsid w:val="000A48AE"/>
    <w:rsid w:val="000A4ACC"/>
    <w:rsid w:val="000A4FD8"/>
    <w:rsid w:val="000A56D8"/>
    <w:rsid w:val="000A5A6A"/>
    <w:rsid w:val="000A6B7E"/>
    <w:rsid w:val="000A6EA0"/>
    <w:rsid w:val="000A7B1E"/>
    <w:rsid w:val="000B0480"/>
    <w:rsid w:val="000B0898"/>
    <w:rsid w:val="000B08EA"/>
    <w:rsid w:val="000B4CA2"/>
    <w:rsid w:val="000B5CEB"/>
    <w:rsid w:val="000C0310"/>
    <w:rsid w:val="000C1ED2"/>
    <w:rsid w:val="000C2479"/>
    <w:rsid w:val="000C2C92"/>
    <w:rsid w:val="000C48A7"/>
    <w:rsid w:val="000C651D"/>
    <w:rsid w:val="000C679D"/>
    <w:rsid w:val="000C6CDB"/>
    <w:rsid w:val="000C6CF2"/>
    <w:rsid w:val="000D2A9D"/>
    <w:rsid w:val="000D3184"/>
    <w:rsid w:val="000D3940"/>
    <w:rsid w:val="000D5C25"/>
    <w:rsid w:val="000D7664"/>
    <w:rsid w:val="000E0CC2"/>
    <w:rsid w:val="000E15FE"/>
    <w:rsid w:val="000E2AFE"/>
    <w:rsid w:val="000E4F06"/>
    <w:rsid w:val="000E5601"/>
    <w:rsid w:val="000E5E0D"/>
    <w:rsid w:val="000E6790"/>
    <w:rsid w:val="000E6C6D"/>
    <w:rsid w:val="000E6F6E"/>
    <w:rsid w:val="000F174E"/>
    <w:rsid w:val="000F1F8C"/>
    <w:rsid w:val="000F289D"/>
    <w:rsid w:val="000F41F2"/>
    <w:rsid w:val="00101125"/>
    <w:rsid w:val="0010156C"/>
    <w:rsid w:val="0010373B"/>
    <w:rsid w:val="0010488D"/>
    <w:rsid w:val="00105261"/>
    <w:rsid w:val="00107331"/>
    <w:rsid w:val="00110C1C"/>
    <w:rsid w:val="00110D0F"/>
    <w:rsid w:val="00110DF5"/>
    <w:rsid w:val="00112A13"/>
    <w:rsid w:val="00112FFF"/>
    <w:rsid w:val="00113C15"/>
    <w:rsid w:val="00114222"/>
    <w:rsid w:val="0011465D"/>
    <w:rsid w:val="00114899"/>
    <w:rsid w:val="00120D73"/>
    <w:rsid w:val="00120DEA"/>
    <w:rsid w:val="00120EC1"/>
    <w:rsid w:val="00122A49"/>
    <w:rsid w:val="00122EB2"/>
    <w:rsid w:val="00123C56"/>
    <w:rsid w:val="0012477E"/>
    <w:rsid w:val="001251A1"/>
    <w:rsid w:val="00125446"/>
    <w:rsid w:val="001302F4"/>
    <w:rsid w:val="00131BCF"/>
    <w:rsid w:val="00132700"/>
    <w:rsid w:val="001340DE"/>
    <w:rsid w:val="00134458"/>
    <w:rsid w:val="0013480F"/>
    <w:rsid w:val="0013485F"/>
    <w:rsid w:val="001353C6"/>
    <w:rsid w:val="001358D9"/>
    <w:rsid w:val="00135A1F"/>
    <w:rsid w:val="00135B17"/>
    <w:rsid w:val="00140949"/>
    <w:rsid w:val="00141E26"/>
    <w:rsid w:val="00143310"/>
    <w:rsid w:val="00143EB9"/>
    <w:rsid w:val="00146BC9"/>
    <w:rsid w:val="00146D30"/>
    <w:rsid w:val="00146D5D"/>
    <w:rsid w:val="0015174C"/>
    <w:rsid w:val="00153216"/>
    <w:rsid w:val="0015389C"/>
    <w:rsid w:val="00153CF7"/>
    <w:rsid w:val="00154172"/>
    <w:rsid w:val="00160540"/>
    <w:rsid w:val="00160B4B"/>
    <w:rsid w:val="00162E35"/>
    <w:rsid w:val="001658FB"/>
    <w:rsid w:val="001667DA"/>
    <w:rsid w:val="00166C68"/>
    <w:rsid w:val="0017352C"/>
    <w:rsid w:val="001736F9"/>
    <w:rsid w:val="00174304"/>
    <w:rsid w:val="00174814"/>
    <w:rsid w:val="001761B5"/>
    <w:rsid w:val="00177821"/>
    <w:rsid w:val="001810B4"/>
    <w:rsid w:val="001818DA"/>
    <w:rsid w:val="00181A90"/>
    <w:rsid w:val="001838F8"/>
    <w:rsid w:val="00183ABD"/>
    <w:rsid w:val="001851BE"/>
    <w:rsid w:val="00185C32"/>
    <w:rsid w:val="001867CE"/>
    <w:rsid w:val="0019086F"/>
    <w:rsid w:val="00190D5D"/>
    <w:rsid w:val="001911E8"/>
    <w:rsid w:val="00192C1E"/>
    <w:rsid w:val="00192EEB"/>
    <w:rsid w:val="00193131"/>
    <w:rsid w:val="00194484"/>
    <w:rsid w:val="00194E39"/>
    <w:rsid w:val="00195925"/>
    <w:rsid w:val="00197B27"/>
    <w:rsid w:val="001A0D73"/>
    <w:rsid w:val="001A18C4"/>
    <w:rsid w:val="001A191A"/>
    <w:rsid w:val="001A1A4F"/>
    <w:rsid w:val="001A2040"/>
    <w:rsid w:val="001A20FB"/>
    <w:rsid w:val="001A2D38"/>
    <w:rsid w:val="001A35B7"/>
    <w:rsid w:val="001A376F"/>
    <w:rsid w:val="001B09BB"/>
    <w:rsid w:val="001B2508"/>
    <w:rsid w:val="001B33E7"/>
    <w:rsid w:val="001B38FB"/>
    <w:rsid w:val="001B5E14"/>
    <w:rsid w:val="001B666D"/>
    <w:rsid w:val="001C1194"/>
    <w:rsid w:val="001C2468"/>
    <w:rsid w:val="001C2DF7"/>
    <w:rsid w:val="001C30A8"/>
    <w:rsid w:val="001C3601"/>
    <w:rsid w:val="001C3654"/>
    <w:rsid w:val="001C3D8D"/>
    <w:rsid w:val="001C4C6E"/>
    <w:rsid w:val="001C4ECF"/>
    <w:rsid w:val="001C4FAA"/>
    <w:rsid w:val="001C5AED"/>
    <w:rsid w:val="001C6445"/>
    <w:rsid w:val="001C6497"/>
    <w:rsid w:val="001C7131"/>
    <w:rsid w:val="001C7B51"/>
    <w:rsid w:val="001D196D"/>
    <w:rsid w:val="001D547C"/>
    <w:rsid w:val="001D6C5D"/>
    <w:rsid w:val="001D6E7E"/>
    <w:rsid w:val="001D7372"/>
    <w:rsid w:val="001D7F8A"/>
    <w:rsid w:val="001D7FDE"/>
    <w:rsid w:val="001E011A"/>
    <w:rsid w:val="001E0447"/>
    <w:rsid w:val="001E0543"/>
    <w:rsid w:val="001E1042"/>
    <w:rsid w:val="001E1208"/>
    <w:rsid w:val="001E1495"/>
    <w:rsid w:val="001E2A22"/>
    <w:rsid w:val="001E32FB"/>
    <w:rsid w:val="001E333A"/>
    <w:rsid w:val="001E34CB"/>
    <w:rsid w:val="001E367D"/>
    <w:rsid w:val="001E3FEB"/>
    <w:rsid w:val="001E4541"/>
    <w:rsid w:val="001E4A02"/>
    <w:rsid w:val="001E4E3F"/>
    <w:rsid w:val="001E589A"/>
    <w:rsid w:val="001E5A68"/>
    <w:rsid w:val="001E653B"/>
    <w:rsid w:val="001E69B5"/>
    <w:rsid w:val="001E6BCA"/>
    <w:rsid w:val="001E6DC6"/>
    <w:rsid w:val="001E6DF0"/>
    <w:rsid w:val="001E7624"/>
    <w:rsid w:val="001F0BEA"/>
    <w:rsid w:val="001F3E68"/>
    <w:rsid w:val="001F408F"/>
    <w:rsid w:val="001F4931"/>
    <w:rsid w:val="001F5601"/>
    <w:rsid w:val="001F751C"/>
    <w:rsid w:val="002009B9"/>
    <w:rsid w:val="00200CBA"/>
    <w:rsid w:val="0020146B"/>
    <w:rsid w:val="00201CF1"/>
    <w:rsid w:val="00203FFB"/>
    <w:rsid w:val="00204B66"/>
    <w:rsid w:val="00204DCF"/>
    <w:rsid w:val="002059CE"/>
    <w:rsid w:val="00205F9E"/>
    <w:rsid w:val="0020648D"/>
    <w:rsid w:val="00206AD4"/>
    <w:rsid w:val="00206D09"/>
    <w:rsid w:val="00207548"/>
    <w:rsid w:val="00210F61"/>
    <w:rsid w:val="002122B9"/>
    <w:rsid w:val="00212761"/>
    <w:rsid w:val="00212773"/>
    <w:rsid w:val="00221B4A"/>
    <w:rsid w:val="00222F55"/>
    <w:rsid w:val="0022439A"/>
    <w:rsid w:val="00224B8B"/>
    <w:rsid w:val="00225A8C"/>
    <w:rsid w:val="00231166"/>
    <w:rsid w:val="00231A7F"/>
    <w:rsid w:val="002322A8"/>
    <w:rsid w:val="00235376"/>
    <w:rsid w:val="002360D6"/>
    <w:rsid w:val="00240DA4"/>
    <w:rsid w:val="0024245D"/>
    <w:rsid w:val="00242BBD"/>
    <w:rsid w:val="00242DE1"/>
    <w:rsid w:val="00243D8F"/>
    <w:rsid w:val="00244F88"/>
    <w:rsid w:val="0024586F"/>
    <w:rsid w:val="0024634A"/>
    <w:rsid w:val="00246BC8"/>
    <w:rsid w:val="00247534"/>
    <w:rsid w:val="002507CF"/>
    <w:rsid w:val="0025163D"/>
    <w:rsid w:val="00251F21"/>
    <w:rsid w:val="00251F95"/>
    <w:rsid w:val="00252317"/>
    <w:rsid w:val="002533D1"/>
    <w:rsid w:val="00253A35"/>
    <w:rsid w:val="00253C05"/>
    <w:rsid w:val="0025498B"/>
    <w:rsid w:val="002552BE"/>
    <w:rsid w:val="00255437"/>
    <w:rsid w:val="002560D2"/>
    <w:rsid w:val="002579ED"/>
    <w:rsid w:val="00257C72"/>
    <w:rsid w:val="00260AB4"/>
    <w:rsid w:val="00260B00"/>
    <w:rsid w:val="00262427"/>
    <w:rsid w:val="002629D2"/>
    <w:rsid w:val="00264567"/>
    <w:rsid w:val="0026555A"/>
    <w:rsid w:val="002659F1"/>
    <w:rsid w:val="00265B36"/>
    <w:rsid w:val="002662CA"/>
    <w:rsid w:val="00266308"/>
    <w:rsid w:val="00266A6F"/>
    <w:rsid w:val="00266D97"/>
    <w:rsid w:val="002700E1"/>
    <w:rsid w:val="00270B7A"/>
    <w:rsid w:val="00270BA3"/>
    <w:rsid w:val="00270EC4"/>
    <w:rsid w:val="00271E41"/>
    <w:rsid w:val="00273A90"/>
    <w:rsid w:val="00274EDE"/>
    <w:rsid w:val="002752B8"/>
    <w:rsid w:val="002771E2"/>
    <w:rsid w:val="00277645"/>
    <w:rsid w:val="0028015C"/>
    <w:rsid w:val="002807AC"/>
    <w:rsid w:val="002821ED"/>
    <w:rsid w:val="002821FA"/>
    <w:rsid w:val="00282587"/>
    <w:rsid w:val="002826ED"/>
    <w:rsid w:val="00282726"/>
    <w:rsid w:val="00284C19"/>
    <w:rsid w:val="0028635F"/>
    <w:rsid w:val="00286E23"/>
    <w:rsid w:val="002876A1"/>
    <w:rsid w:val="00287CA6"/>
    <w:rsid w:val="00287E79"/>
    <w:rsid w:val="00287EF4"/>
    <w:rsid w:val="00291B48"/>
    <w:rsid w:val="002928F9"/>
    <w:rsid w:val="00292C06"/>
    <w:rsid w:val="0029492F"/>
    <w:rsid w:val="00294D5B"/>
    <w:rsid w:val="002A06FC"/>
    <w:rsid w:val="002A0FC0"/>
    <w:rsid w:val="002A27AE"/>
    <w:rsid w:val="002A2A2C"/>
    <w:rsid w:val="002A5D07"/>
    <w:rsid w:val="002A630C"/>
    <w:rsid w:val="002A64C3"/>
    <w:rsid w:val="002A689C"/>
    <w:rsid w:val="002B13D0"/>
    <w:rsid w:val="002B3796"/>
    <w:rsid w:val="002B3B4F"/>
    <w:rsid w:val="002B5521"/>
    <w:rsid w:val="002B5612"/>
    <w:rsid w:val="002B5A51"/>
    <w:rsid w:val="002B6B76"/>
    <w:rsid w:val="002B7D10"/>
    <w:rsid w:val="002C1806"/>
    <w:rsid w:val="002C1809"/>
    <w:rsid w:val="002C6242"/>
    <w:rsid w:val="002C6BF9"/>
    <w:rsid w:val="002D0B20"/>
    <w:rsid w:val="002D25CA"/>
    <w:rsid w:val="002D3DA4"/>
    <w:rsid w:val="002D46B2"/>
    <w:rsid w:val="002D4B41"/>
    <w:rsid w:val="002D5352"/>
    <w:rsid w:val="002D61D7"/>
    <w:rsid w:val="002D65BF"/>
    <w:rsid w:val="002D6724"/>
    <w:rsid w:val="002D781B"/>
    <w:rsid w:val="002D7D1B"/>
    <w:rsid w:val="002E0034"/>
    <w:rsid w:val="002E0F6C"/>
    <w:rsid w:val="002E1F3C"/>
    <w:rsid w:val="002E2C8B"/>
    <w:rsid w:val="002E2F5C"/>
    <w:rsid w:val="002E3072"/>
    <w:rsid w:val="002E3544"/>
    <w:rsid w:val="002E3C8E"/>
    <w:rsid w:val="002E5444"/>
    <w:rsid w:val="002E5B5E"/>
    <w:rsid w:val="002E644A"/>
    <w:rsid w:val="002E70B0"/>
    <w:rsid w:val="002F0C48"/>
    <w:rsid w:val="002F1E56"/>
    <w:rsid w:val="002F1EA4"/>
    <w:rsid w:val="002F710C"/>
    <w:rsid w:val="002F7F2C"/>
    <w:rsid w:val="0030136E"/>
    <w:rsid w:val="003016B7"/>
    <w:rsid w:val="00301B7A"/>
    <w:rsid w:val="003021F2"/>
    <w:rsid w:val="003046BB"/>
    <w:rsid w:val="0030754C"/>
    <w:rsid w:val="00307796"/>
    <w:rsid w:val="00307D6D"/>
    <w:rsid w:val="0031041E"/>
    <w:rsid w:val="00314777"/>
    <w:rsid w:val="003153C9"/>
    <w:rsid w:val="0031718B"/>
    <w:rsid w:val="00317E54"/>
    <w:rsid w:val="003201FA"/>
    <w:rsid w:val="00321078"/>
    <w:rsid w:val="00321598"/>
    <w:rsid w:val="00322DF1"/>
    <w:rsid w:val="003234AA"/>
    <w:rsid w:val="00324EBF"/>
    <w:rsid w:val="0032556C"/>
    <w:rsid w:val="00325AAD"/>
    <w:rsid w:val="003265FC"/>
    <w:rsid w:val="003268ED"/>
    <w:rsid w:val="00330508"/>
    <w:rsid w:val="003306D0"/>
    <w:rsid w:val="0033286A"/>
    <w:rsid w:val="00332B61"/>
    <w:rsid w:val="00332F62"/>
    <w:rsid w:val="00333130"/>
    <w:rsid w:val="00333337"/>
    <w:rsid w:val="00336106"/>
    <w:rsid w:val="00336954"/>
    <w:rsid w:val="00340039"/>
    <w:rsid w:val="003421BC"/>
    <w:rsid w:val="00342295"/>
    <w:rsid w:val="00343585"/>
    <w:rsid w:val="00343C9A"/>
    <w:rsid w:val="00346E32"/>
    <w:rsid w:val="003501C7"/>
    <w:rsid w:val="003515AA"/>
    <w:rsid w:val="0035169B"/>
    <w:rsid w:val="00354F81"/>
    <w:rsid w:val="00355677"/>
    <w:rsid w:val="00355A45"/>
    <w:rsid w:val="00355BAD"/>
    <w:rsid w:val="003576F8"/>
    <w:rsid w:val="00357B7F"/>
    <w:rsid w:val="003622FE"/>
    <w:rsid w:val="0036263A"/>
    <w:rsid w:val="00363C7A"/>
    <w:rsid w:val="00363DCD"/>
    <w:rsid w:val="003641BB"/>
    <w:rsid w:val="00364C52"/>
    <w:rsid w:val="00364C79"/>
    <w:rsid w:val="00364F13"/>
    <w:rsid w:val="00365801"/>
    <w:rsid w:val="0036616E"/>
    <w:rsid w:val="00366592"/>
    <w:rsid w:val="0036776C"/>
    <w:rsid w:val="003701A0"/>
    <w:rsid w:val="003708CD"/>
    <w:rsid w:val="003713A8"/>
    <w:rsid w:val="00372A7A"/>
    <w:rsid w:val="00372D1D"/>
    <w:rsid w:val="00374106"/>
    <w:rsid w:val="00374CDD"/>
    <w:rsid w:val="00375F52"/>
    <w:rsid w:val="003760F0"/>
    <w:rsid w:val="0037654D"/>
    <w:rsid w:val="0037679A"/>
    <w:rsid w:val="003772AC"/>
    <w:rsid w:val="003775D6"/>
    <w:rsid w:val="00377C4F"/>
    <w:rsid w:val="0038047C"/>
    <w:rsid w:val="00383428"/>
    <w:rsid w:val="003835BD"/>
    <w:rsid w:val="00385D53"/>
    <w:rsid w:val="00385F77"/>
    <w:rsid w:val="003867F1"/>
    <w:rsid w:val="00387AC0"/>
    <w:rsid w:val="003904E3"/>
    <w:rsid w:val="00390EEF"/>
    <w:rsid w:val="00392031"/>
    <w:rsid w:val="00392F44"/>
    <w:rsid w:val="003934EA"/>
    <w:rsid w:val="00394410"/>
    <w:rsid w:val="00396085"/>
    <w:rsid w:val="003976D5"/>
    <w:rsid w:val="003978CE"/>
    <w:rsid w:val="003A001A"/>
    <w:rsid w:val="003A09AC"/>
    <w:rsid w:val="003A0B65"/>
    <w:rsid w:val="003A16D7"/>
    <w:rsid w:val="003A187A"/>
    <w:rsid w:val="003A1E74"/>
    <w:rsid w:val="003A3C04"/>
    <w:rsid w:val="003A4032"/>
    <w:rsid w:val="003A4E98"/>
    <w:rsid w:val="003A5021"/>
    <w:rsid w:val="003A570D"/>
    <w:rsid w:val="003A6C2E"/>
    <w:rsid w:val="003B0CB6"/>
    <w:rsid w:val="003B186A"/>
    <w:rsid w:val="003B22A6"/>
    <w:rsid w:val="003B4A78"/>
    <w:rsid w:val="003B4FB1"/>
    <w:rsid w:val="003B5104"/>
    <w:rsid w:val="003B53B6"/>
    <w:rsid w:val="003B6AF0"/>
    <w:rsid w:val="003B75BC"/>
    <w:rsid w:val="003C2D90"/>
    <w:rsid w:val="003C4EB9"/>
    <w:rsid w:val="003C57AC"/>
    <w:rsid w:val="003C72F0"/>
    <w:rsid w:val="003C776A"/>
    <w:rsid w:val="003C7A3A"/>
    <w:rsid w:val="003C7FB6"/>
    <w:rsid w:val="003D0594"/>
    <w:rsid w:val="003D0DC3"/>
    <w:rsid w:val="003D14A4"/>
    <w:rsid w:val="003D1B29"/>
    <w:rsid w:val="003D4990"/>
    <w:rsid w:val="003D54C9"/>
    <w:rsid w:val="003D6C68"/>
    <w:rsid w:val="003D71D6"/>
    <w:rsid w:val="003E01D0"/>
    <w:rsid w:val="003E07E7"/>
    <w:rsid w:val="003E1FA7"/>
    <w:rsid w:val="003E39A2"/>
    <w:rsid w:val="003E49B9"/>
    <w:rsid w:val="003E4C42"/>
    <w:rsid w:val="003E5F12"/>
    <w:rsid w:val="003E6B3D"/>
    <w:rsid w:val="003E786C"/>
    <w:rsid w:val="003F02C5"/>
    <w:rsid w:val="003F0D4C"/>
    <w:rsid w:val="003F0FB8"/>
    <w:rsid w:val="003F279B"/>
    <w:rsid w:val="003F2A89"/>
    <w:rsid w:val="003F448F"/>
    <w:rsid w:val="003F4A54"/>
    <w:rsid w:val="003F582E"/>
    <w:rsid w:val="003F770F"/>
    <w:rsid w:val="003F77E1"/>
    <w:rsid w:val="00400046"/>
    <w:rsid w:val="00400184"/>
    <w:rsid w:val="0040144C"/>
    <w:rsid w:val="004024D8"/>
    <w:rsid w:val="0040356C"/>
    <w:rsid w:val="00403F34"/>
    <w:rsid w:val="004043BC"/>
    <w:rsid w:val="004045AF"/>
    <w:rsid w:val="00405024"/>
    <w:rsid w:val="00405A32"/>
    <w:rsid w:val="004067AE"/>
    <w:rsid w:val="004104DF"/>
    <w:rsid w:val="00410521"/>
    <w:rsid w:val="0041060B"/>
    <w:rsid w:val="00410C19"/>
    <w:rsid w:val="00413379"/>
    <w:rsid w:val="00413BB0"/>
    <w:rsid w:val="004146FB"/>
    <w:rsid w:val="00414856"/>
    <w:rsid w:val="004159D0"/>
    <w:rsid w:val="00417326"/>
    <w:rsid w:val="004175C1"/>
    <w:rsid w:val="004179F8"/>
    <w:rsid w:val="00417E8A"/>
    <w:rsid w:val="00420261"/>
    <w:rsid w:val="00420931"/>
    <w:rsid w:val="00421459"/>
    <w:rsid w:val="004215E5"/>
    <w:rsid w:val="00421626"/>
    <w:rsid w:val="00421F15"/>
    <w:rsid w:val="00422499"/>
    <w:rsid w:val="00423C9A"/>
    <w:rsid w:val="004243BA"/>
    <w:rsid w:val="004277D4"/>
    <w:rsid w:val="004306CD"/>
    <w:rsid w:val="00431D32"/>
    <w:rsid w:val="00431DB7"/>
    <w:rsid w:val="004330F0"/>
    <w:rsid w:val="00433426"/>
    <w:rsid w:val="004342E2"/>
    <w:rsid w:val="00434354"/>
    <w:rsid w:val="0043691C"/>
    <w:rsid w:val="004401F6"/>
    <w:rsid w:val="00440BC8"/>
    <w:rsid w:val="00442F5F"/>
    <w:rsid w:val="00443CBE"/>
    <w:rsid w:val="0044402F"/>
    <w:rsid w:val="00444EA8"/>
    <w:rsid w:val="004452D3"/>
    <w:rsid w:val="0045023D"/>
    <w:rsid w:val="00450561"/>
    <w:rsid w:val="0045320C"/>
    <w:rsid w:val="004544B7"/>
    <w:rsid w:val="00454F8D"/>
    <w:rsid w:val="004567EB"/>
    <w:rsid w:val="0046015D"/>
    <w:rsid w:val="004608FE"/>
    <w:rsid w:val="00460E72"/>
    <w:rsid w:val="00461480"/>
    <w:rsid w:val="00462268"/>
    <w:rsid w:val="00462DBB"/>
    <w:rsid w:val="00463745"/>
    <w:rsid w:val="00463B9A"/>
    <w:rsid w:val="00463C14"/>
    <w:rsid w:val="00464509"/>
    <w:rsid w:val="00464DED"/>
    <w:rsid w:val="00466F8E"/>
    <w:rsid w:val="00467412"/>
    <w:rsid w:val="00467F48"/>
    <w:rsid w:val="00470764"/>
    <w:rsid w:val="004707E4"/>
    <w:rsid w:val="004713C9"/>
    <w:rsid w:val="00471597"/>
    <w:rsid w:val="00471B09"/>
    <w:rsid w:val="00471CDB"/>
    <w:rsid w:val="00471E39"/>
    <w:rsid w:val="00472F42"/>
    <w:rsid w:val="00473A67"/>
    <w:rsid w:val="00474E38"/>
    <w:rsid w:val="00475E19"/>
    <w:rsid w:val="00475E3C"/>
    <w:rsid w:val="00476265"/>
    <w:rsid w:val="0047662F"/>
    <w:rsid w:val="0048050E"/>
    <w:rsid w:val="00480A05"/>
    <w:rsid w:val="004832FA"/>
    <w:rsid w:val="00484D6D"/>
    <w:rsid w:val="00484E13"/>
    <w:rsid w:val="00490F56"/>
    <w:rsid w:val="004914CF"/>
    <w:rsid w:val="00491F39"/>
    <w:rsid w:val="004937B6"/>
    <w:rsid w:val="00496C48"/>
    <w:rsid w:val="004A154E"/>
    <w:rsid w:val="004A1839"/>
    <w:rsid w:val="004A1AB2"/>
    <w:rsid w:val="004A1ACF"/>
    <w:rsid w:val="004A49A5"/>
    <w:rsid w:val="004A5620"/>
    <w:rsid w:val="004A609D"/>
    <w:rsid w:val="004A66A2"/>
    <w:rsid w:val="004B11D3"/>
    <w:rsid w:val="004B279F"/>
    <w:rsid w:val="004B51CD"/>
    <w:rsid w:val="004B5F75"/>
    <w:rsid w:val="004B62E7"/>
    <w:rsid w:val="004C06AE"/>
    <w:rsid w:val="004C1147"/>
    <w:rsid w:val="004C176A"/>
    <w:rsid w:val="004C1ADA"/>
    <w:rsid w:val="004C526E"/>
    <w:rsid w:val="004C54C0"/>
    <w:rsid w:val="004C56B2"/>
    <w:rsid w:val="004C62E2"/>
    <w:rsid w:val="004C6B3D"/>
    <w:rsid w:val="004C6DA1"/>
    <w:rsid w:val="004C7673"/>
    <w:rsid w:val="004C7B1E"/>
    <w:rsid w:val="004C7B44"/>
    <w:rsid w:val="004D0091"/>
    <w:rsid w:val="004D00B2"/>
    <w:rsid w:val="004D017B"/>
    <w:rsid w:val="004D07B8"/>
    <w:rsid w:val="004D1A9A"/>
    <w:rsid w:val="004D25C7"/>
    <w:rsid w:val="004D2E18"/>
    <w:rsid w:val="004D3CF1"/>
    <w:rsid w:val="004D3EF4"/>
    <w:rsid w:val="004D5F57"/>
    <w:rsid w:val="004D6066"/>
    <w:rsid w:val="004D64CF"/>
    <w:rsid w:val="004D6596"/>
    <w:rsid w:val="004D7B58"/>
    <w:rsid w:val="004E0B7B"/>
    <w:rsid w:val="004E28C7"/>
    <w:rsid w:val="004E40F9"/>
    <w:rsid w:val="004E4963"/>
    <w:rsid w:val="004E49D0"/>
    <w:rsid w:val="004E66C2"/>
    <w:rsid w:val="004E6809"/>
    <w:rsid w:val="004E6938"/>
    <w:rsid w:val="004E695A"/>
    <w:rsid w:val="004E76DE"/>
    <w:rsid w:val="004E78A0"/>
    <w:rsid w:val="004E7C64"/>
    <w:rsid w:val="004E7F24"/>
    <w:rsid w:val="004F0D65"/>
    <w:rsid w:val="004F2A67"/>
    <w:rsid w:val="004F2CBB"/>
    <w:rsid w:val="004F3414"/>
    <w:rsid w:val="004F38EE"/>
    <w:rsid w:val="004F3EB5"/>
    <w:rsid w:val="004F4F58"/>
    <w:rsid w:val="0050010A"/>
    <w:rsid w:val="005002AC"/>
    <w:rsid w:val="005007E7"/>
    <w:rsid w:val="00503B85"/>
    <w:rsid w:val="00504255"/>
    <w:rsid w:val="00506F35"/>
    <w:rsid w:val="005079C4"/>
    <w:rsid w:val="00510F11"/>
    <w:rsid w:val="005111B1"/>
    <w:rsid w:val="0051264A"/>
    <w:rsid w:val="0051265F"/>
    <w:rsid w:val="00513D55"/>
    <w:rsid w:val="0051457E"/>
    <w:rsid w:val="00514598"/>
    <w:rsid w:val="00515ABF"/>
    <w:rsid w:val="00516BAB"/>
    <w:rsid w:val="0051714B"/>
    <w:rsid w:val="00517401"/>
    <w:rsid w:val="00517C96"/>
    <w:rsid w:val="00520098"/>
    <w:rsid w:val="00520ED3"/>
    <w:rsid w:val="00520F80"/>
    <w:rsid w:val="005211D8"/>
    <w:rsid w:val="00522D6F"/>
    <w:rsid w:val="0052388B"/>
    <w:rsid w:val="005239FF"/>
    <w:rsid w:val="00523DB8"/>
    <w:rsid w:val="005251D8"/>
    <w:rsid w:val="00530C47"/>
    <w:rsid w:val="00532ABF"/>
    <w:rsid w:val="00533150"/>
    <w:rsid w:val="0053416C"/>
    <w:rsid w:val="0053586E"/>
    <w:rsid w:val="00536A5C"/>
    <w:rsid w:val="0053779F"/>
    <w:rsid w:val="0054281E"/>
    <w:rsid w:val="00542DDE"/>
    <w:rsid w:val="0054347D"/>
    <w:rsid w:val="00543B57"/>
    <w:rsid w:val="00543C47"/>
    <w:rsid w:val="00543D5E"/>
    <w:rsid w:val="00543F3F"/>
    <w:rsid w:val="00544336"/>
    <w:rsid w:val="00545151"/>
    <w:rsid w:val="0054662F"/>
    <w:rsid w:val="00546C4B"/>
    <w:rsid w:val="00547F44"/>
    <w:rsid w:val="00547FDD"/>
    <w:rsid w:val="00551EA1"/>
    <w:rsid w:val="00552260"/>
    <w:rsid w:val="00552777"/>
    <w:rsid w:val="00555494"/>
    <w:rsid w:val="00555CBA"/>
    <w:rsid w:val="005576D5"/>
    <w:rsid w:val="00560094"/>
    <w:rsid w:val="00561DE3"/>
    <w:rsid w:val="005647D2"/>
    <w:rsid w:val="00564A4F"/>
    <w:rsid w:val="00565B29"/>
    <w:rsid w:val="00566F4E"/>
    <w:rsid w:val="0056710A"/>
    <w:rsid w:val="00567B91"/>
    <w:rsid w:val="00570BEA"/>
    <w:rsid w:val="00571BC1"/>
    <w:rsid w:val="00571F41"/>
    <w:rsid w:val="00573F27"/>
    <w:rsid w:val="005743B2"/>
    <w:rsid w:val="00575476"/>
    <w:rsid w:val="00576B0A"/>
    <w:rsid w:val="00577C5E"/>
    <w:rsid w:val="00580749"/>
    <w:rsid w:val="00581075"/>
    <w:rsid w:val="0058117A"/>
    <w:rsid w:val="00581761"/>
    <w:rsid w:val="005828E3"/>
    <w:rsid w:val="00584373"/>
    <w:rsid w:val="005854BE"/>
    <w:rsid w:val="00586604"/>
    <w:rsid w:val="00587D08"/>
    <w:rsid w:val="00591DB3"/>
    <w:rsid w:val="0059363E"/>
    <w:rsid w:val="005939ED"/>
    <w:rsid w:val="005947BC"/>
    <w:rsid w:val="00595CA4"/>
    <w:rsid w:val="00595D12"/>
    <w:rsid w:val="00595E8A"/>
    <w:rsid w:val="005A0268"/>
    <w:rsid w:val="005A5B7F"/>
    <w:rsid w:val="005A6014"/>
    <w:rsid w:val="005B0714"/>
    <w:rsid w:val="005B28F5"/>
    <w:rsid w:val="005B3BD8"/>
    <w:rsid w:val="005B473C"/>
    <w:rsid w:val="005B6F02"/>
    <w:rsid w:val="005B7ED4"/>
    <w:rsid w:val="005C0BE5"/>
    <w:rsid w:val="005C13D2"/>
    <w:rsid w:val="005C2373"/>
    <w:rsid w:val="005C50E6"/>
    <w:rsid w:val="005C549A"/>
    <w:rsid w:val="005C627F"/>
    <w:rsid w:val="005C6B2D"/>
    <w:rsid w:val="005C735B"/>
    <w:rsid w:val="005C7B2D"/>
    <w:rsid w:val="005D0AB1"/>
    <w:rsid w:val="005D18B6"/>
    <w:rsid w:val="005D271D"/>
    <w:rsid w:val="005D281B"/>
    <w:rsid w:val="005D3115"/>
    <w:rsid w:val="005D38AC"/>
    <w:rsid w:val="005D6920"/>
    <w:rsid w:val="005D73A7"/>
    <w:rsid w:val="005D7719"/>
    <w:rsid w:val="005D7D0B"/>
    <w:rsid w:val="005E0539"/>
    <w:rsid w:val="005E1B9B"/>
    <w:rsid w:val="005E32D1"/>
    <w:rsid w:val="005E507D"/>
    <w:rsid w:val="005E54DB"/>
    <w:rsid w:val="005E5D1F"/>
    <w:rsid w:val="005E6897"/>
    <w:rsid w:val="005E6E58"/>
    <w:rsid w:val="005E7233"/>
    <w:rsid w:val="005F0344"/>
    <w:rsid w:val="005F2511"/>
    <w:rsid w:val="005F4348"/>
    <w:rsid w:val="005F5F69"/>
    <w:rsid w:val="005F6250"/>
    <w:rsid w:val="005F640D"/>
    <w:rsid w:val="005F67B7"/>
    <w:rsid w:val="005F759F"/>
    <w:rsid w:val="005F76F9"/>
    <w:rsid w:val="0060007C"/>
    <w:rsid w:val="00600A1E"/>
    <w:rsid w:val="00600F09"/>
    <w:rsid w:val="0060282F"/>
    <w:rsid w:val="00602DBF"/>
    <w:rsid w:val="00603291"/>
    <w:rsid w:val="00603A96"/>
    <w:rsid w:val="0060537C"/>
    <w:rsid w:val="00607764"/>
    <w:rsid w:val="00610A14"/>
    <w:rsid w:val="00610B70"/>
    <w:rsid w:val="00610C5E"/>
    <w:rsid w:val="00610E2B"/>
    <w:rsid w:val="0061113B"/>
    <w:rsid w:val="0061167F"/>
    <w:rsid w:val="00611D43"/>
    <w:rsid w:val="006124FE"/>
    <w:rsid w:val="00612D48"/>
    <w:rsid w:val="00613A31"/>
    <w:rsid w:val="00613A5E"/>
    <w:rsid w:val="006169A1"/>
    <w:rsid w:val="00616B45"/>
    <w:rsid w:val="00616C3A"/>
    <w:rsid w:val="00617047"/>
    <w:rsid w:val="006174DD"/>
    <w:rsid w:val="00620B85"/>
    <w:rsid w:val="00621518"/>
    <w:rsid w:val="00621F11"/>
    <w:rsid w:val="006241C6"/>
    <w:rsid w:val="00625E1F"/>
    <w:rsid w:val="0062678B"/>
    <w:rsid w:val="00630508"/>
    <w:rsid w:val="00630D9B"/>
    <w:rsid w:val="00631952"/>
    <w:rsid w:val="00631953"/>
    <w:rsid w:val="0063208D"/>
    <w:rsid w:val="0063410B"/>
    <w:rsid w:val="006344A0"/>
    <w:rsid w:val="00635DA4"/>
    <w:rsid w:val="00635DCC"/>
    <w:rsid w:val="0064273D"/>
    <w:rsid w:val="00643059"/>
    <w:rsid w:val="00643814"/>
    <w:rsid w:val="006439EC"/>
    <w:rsid w:val="0064507E"/>
    <w:rsid w:val="00645090"/>
    <w:rsid w:val="00647059"/>
    <w:rsid w:val="00647162"/>
    <w:rsid w:val="00647824"/>
    <w:rsid w:val="0065011A"/>
    <w:rsid w:val="0065029A"/>
    <w:rsid w:val="006527CA"/>
    <w:rsid w:val="00652FA4"/>
    <w:rsid w:val="0065389C"/>
    <w:rsid w:val="00653989"/>
    <w:rsid w:val="00654BAF"/>
    <w:rsid w:val="0065528C"/>
    <w:rsid w:val="00655CE3"/>
    <w:rsid w:val="00655ED4"/>
    <w:rsid w:val="0066176B"/>
    <w:rsid w:val="00661B40"/>
    <w:rsid w:val="00661E96"/>
    <w:rsid w:val="00662259"/>
    <w:rsid w:val="00663627"/>
    <w:rsid w:val="006655C6"/>
    <w:rsid w:val="00665786"/>
    <w:rsid w:val="00666AC6"/>
    <w:rsid w:val="00666E85"/>
    <w:rsid w:val="00670552"/>
    <w:rsid w:val="00670903"/>
    <w:rsid w:val="00670921"/>
    <w:rsid w:val="00670A08"/>
    <w:rsid w:val="0067172B"/>
    <w:rsid w:val="00671C93"/>
    <w:rsid w:val="00671F00"/>
    <w:rsid w:val="00672442"/>
    <w:rsid w:val="006729C8"/>
    <w:rsid w:val="00674A95"/>
    <w:rsid w:val="00675501"/>
    <w:rsid w:val="0067657F"/>
    <w:rsid w:val="006776FC"/>
    <w:rsid w:val="00677CD0"/>
    <w:rsid w:val="006809E6"/>
    <w:rsid w:val="00683FC9"/>
    <w:rsid w:val="00684C34"/>
    <w:rsid w:val="00684CE3"/>
    <w:rsid w:val="0068562A"/>
    <w:rsid w:val="00686F43"/>
    <w:rsid w:val="0068726C"/>
    <w:rsid w:val="00687BA3"/>
    <w:rsid w:val="00690DF9"/>
    <w:rsid w:val="006926CE"/>
    <w:rsid w:val="0069297F"/>
    <w:rsid w:val="00692B70"/>
    <w:rsid w:val="00693356"/>
    <w:rsid w:val="00693A25"/>
    <w:rsid w:val="0069531C"/>
    <w:rsid w:val="00695D16"/>
    <w:rsid w:val="006970B7"/>
    <w:rsid w:val="00697F5D"/>
    <w:rsid w:val="006A138B"/>
    <w:rsid w:val="006A14F9"/>
    <w:rsid w:val="006A1731"/>
    <w:rsid w:val="006A2B12"/>
    <w:rsid w:val="006A3D58"/>
    <w:rsid w:val="006A4704"/>
    <w:rsid w:val="006A4E23"/>
    <w:rsid w:val="006A5B67"/>
    <w:rsid w:val="006A6518"/>
    <w:rsid w:val="006A6B31"/>
    <w:rsid w:val="006A6C95"/>
    <w:rsid w:val="006A768F"/>
    <w:rsid w:val="006A7B29"/>
    <w:rsid w:val="006B00D4"/>
    <w:rsid w:val="006B09E8"/>
    <w:rsid w:val="006B0E8C"/>
    <w:rsid w:val="006B0EB2"/>
    <w:rsid w:val="006B0FF8"/>
    <w:rsid w:val="006B3954"/>
    <w:rsid w:val="006B4590"/>
    <w:rsid w:val="006B76B7"/>
    <w:rsid w:val="006C1903"/>
    <w:rsid w:val="006C340C"/>
    <w:rsid w:val="006C5136"/>
    <w:rsid w:val="006C530D"/>
    <w:rsid w:val="006C6091"/>
    <w:rsid w:val="006C67F3"/>
    <w:rsid w:val="006C6968"/>
    <w:rsid w:val="006C6C00"/>
    <w:rsid w:val="006D11C8"/>
    <w:rsid w:val="006D12EE"/>
    <w:rsid w:val="006D3A30"/>
    <w:rsid w:val="006D3F53"/>
    <w:rsid w:val="006D405D"/>
    <w:rsid w:val="006D7003"/>
    <w:rsid w:val="006D7033"/>
    <w:rsid w:val="006D7B20"/>
    <w:rsid w:val="006E050B"/>
    <w:rsid w:val="006E23BC"/>
    <w:rsid w:val="006E41CE"/>
    <w:rsid w:val="006E4BFB"/>
    <w:rsid w:val="006E5F1E"/>
    <w:rsid w:val="006E60EE"/>
    <w:rsid w:val="006E6571"/>
    <w:rsid w:val="006E703B"/>
    <w:rsid w:val="006E7524"/>
    <w:rsid w:val="006E7542"/>
    <w:rsid w:val="006F0437"/>
    <w:rsid w:val="006F0A89"/>
    <w:rsid w:val="006F0F6F"/>
    <w:rsid w:val="006F14AA"/>
    <w:rsid w:val="006F19F5"/>
    <w:rsid w:val="006F1D0B"/>
    <w:rsid w:val="006F20AF"/>
    <w:rsid w:val="006F27A8"/>
    <w:rsid w:val="006F3493"/>
    <w:rsid w:val="006F3544"/>
    <w:rsid w:val="006F38E5"/>
    <w:rsid w:val="006F5209"/>
    <w:rsid w:val="006F75FA"/>
    <w:rsid w:val="006F7DF4"/>
    <w:rsid w:val="00701A2C"/>
    <w:rsid w:val="00701B47"/>
    <w:rsid w:val="00701E57"/>
    <w:rsid w:val="0070347C"/>
    <w:rsid w:val="00706E19"/>
    <w:rsid w:val="007070DC"/>
    <w:rsid w:val="00707E14"/>
    <w:rsid w:val="007102D2"/>
    <w:rsid w:val="0071084C"/>
    <w:rsid w:val="00710C5E"/>
    <w:rsid w:val="00711248"/>
    <w:rsid w:val="00711A27"/>
    <w:rsid w:val="00712285"/>
    <w:rsid w:val="00712AF8"/>
    <w:rsid w:val="007130DC"/>
    <w:rsid w:val="00714A66"/>
    <w:rsid w:val="0071607E"/>
    <w:rsid w:val="0071634F"/>
    <w:rsid w:val="007176C1"/>
    <w:rsid w:val="00717A8E"/>
    <w:rsid w:val="00717CA7"/>
    <w:rsid w:val="00720BC0"/>
    <w:rsid w:val="0072116B"/>
    <w:rsid w:val="007230AF"/>
    <w:rsid w:val="00723508"/>
    <w:rsid w:val="007243E4"/>
    <w:rsid w:val="00725063"/>
    <w:rsid w:val="00727106"/>
    <w:rsid w:val="00731287"/>
    <w:rsid w:val="00732E72"/>
    <w:rsid w:val="00732FF0"/>
    <w:rsid w:val="007345A5"/>
    <w:rsid w:val="00735423"/>
    <w:rsid w:val="0073672B"/>
    <w:rsid w:val="00736DBB"/>
    <w:rsid w:val="007373E5"/>
    <w:rsid w:val="00740A40"/>
    <w:rsid w:val="00741D90"/>
    <w:rsid w:val="007423FE"/>
    <w:rsid w:val="00742666"/>
    <w:rsid w:val="00742912"/>
    <w:rsid w:val="0074458E"/>
    <w:rsid w:val="007450EE"/>
    <w:rsid w:val="00751BDD"/>
    <w:rsid w:val="00752796"/>
    <w:rsid w:val="007535D8"/>
    <w:rsid w:val="007538CF"/>
    <w:rsid w:val="00755D63"/>
    <w:rsid w:val="00757109"/>
    <w:rsid w:val="0075740E"/>
    <w:rsid w:val="0076011A"/>
    <w:rsid w:val="007607B1"/>
    <w:rsid w:val="007609B8"/>
    <w:rsid w:val="00761CD9"/>
    <w:rsid w:val="0076273E"/>
    <w:rsid w:val="007642B4"/>
    <w:rsid w:val="007643B0"/>
    <w:rsid w:val="00765296"/>
    <w:rsid w:val="00765833"/>
    <w:rsid w:val="00766250"/>
    <w:rsid w:val="00766D28"/>
    <w:rsid w:val="00766F30"/>
    <w:rsid w:val="0076736D"/>
    <w:rsid w:val="0077054C"/>
    <w:rsid w:val="00770D37"/>
    <w:rsid w:val="00771A15"/>
    <w:rsid w:val="007723C2"/>
    <w:rsid w:val="00773D37"/>
    <w:rsid w:val="007752C7"/>
    <w:rsid w:val="00775487"/>
    <w:rsid w:val="00775E6A"/>
    <w:rsid w:val="00776967"/>
    <w:rsid w:val="0077784B"/>
    <w:rsid w:val="0078000F"/>
    <w:rsid w:val="007815B9"/>
    <w:rsid w:val="00782F2D"/>
    <w:rsid w:val="00783A3A"/>
    <w:rsid w:val="00784615"/>
    <w:rsid w:val="007853AC"/>
    <w:rsid w:val="00785F1D"/>
    <w:rsid w:val="00785F1F"/>
    <w:rsid w:val="00786D7D"/>
    <w:rsid w:val="007878D7"/>
    <w:rsid w:val="00790B9D"/>
    <w:rsid w:val="00791EE0"/>
    <w:rsid w:val="00796316"/>
    <w:rsid w:val="007A0930"/>
    <w:rsid w:val="007A1C58"/>
    <w:rsid w:val="007A20D2"/>
    <w:rsid w:val="007A5655"/>
    <w:rsid w:val="007A5A0C"/>
    <w:rsid w:val="007A70A7"/>
    <w:rsid w:val="007A7445"/>
    <w:rsid w:val="007A79CD"/>
    <w:rsid w:val="007B09EE"/>
    <w:rsid w:val="007B0F32"/>
    <w:rsid w:val="007B4FA4"/>
    <w:rsid w:val="007B5D6D"/>
    <w:rsid w:val="007C273D"/>
    <w:rsid w:val="007C408D"/>
    <w:rsid w:val="007C5362"/>
    <w:rsid w:val="007C53A9"/>
    <w:rsid w:val="007C62D1"/>
    <w:rsid w:val="007C6C44"/>
    <w:rsid w:val="007D01F9"/>
    <w:rsid w:val="007D06D3"/>
    <w:rsid w:val="007D0E9D"/>
    <w:rsid w:val="007D2668"/>
    <w:rsid w:val="007D3119"/>
    <w:rsid w:val="007E030C"/>
    <w:rsid w:val="007E09B0"/>
    <w:rsid w:val="007E0E23"/>
    <w:rsid w:val="007E1C3B"/>
    <w:rsid w:val="007E3B4A"/>
    <w:rsid w:val="007E529A"/>
    <w:rsid w:val="007E6B17"/>
    <w:rsid w:val="007F078B"/>
    <w:rsid w:val="007F1867"/>
    <w:rsid w:val="007F1EC4"/>
    <w:rsid w:val="007F358B"/>
    <w:rsid w:val="007F49FA"/>
    <w:rsid w:val="007F55CB"/>
    <w:rsid w:val="007F6026"/>
    <w:rsid w:val="007F6903"/>
    <w:rsid w:val="007F6974"/>
    <w:rsid w:val="007F768E"/>
    <w:rsid w:val="007F7E5A"/>
    <w:rsid w:val="00800A08"/>
    <w:rsid w:val="008021D4"/>
    <w:rsid w:val="008039E5"/>
    <w:rsid w:val="00804FD1"/>
    <w:rsid w:val="008057BE"/>
    <w:rsid w:val="0080644B"/>
    <w:rsid w:val="0080781B"/>
    <w:rsid w:val="00810342"/>
    <w:rsid w:val="00810628"/>
    <w:rsid w:val="00810D23"/>
    <w:rsid w:val="008120F7"/>
    <w:rsid w:val="008149F9"/>
    <w:rsid w:val="008159CC"/>
    <w:rsid w:val="00823F09"/>
    <w:rsid w:val="0082414F"/>
    <w:rsid w:val="0082419D"/>
    <w:rsid w:val="008245B7"/>
    <w:rsid w:val="0082531F"/>
    <w:rsid w:val="00826294"/>
    <w:rsid w:val="00826685"/>
    <w:rsid w:val="00826A75"/>
    <w:rsid w:val="0082755E"/>
    <w:rsid w:val="00827B93"/>
    <w:rsid w:val="0083065D"/>
    <w:rsid w:val="008310B3"/>
    <w:rsid w:val="00831A18"/>
    <w:rsid w:val="00831F99"/>
    <w:rsid w:val="00832843"/>
    <w:rsid w:val="00836A46"/>
    <w:rsid w:val="00837345"/>
    <w:rsid w:val="008401DA"/>
    <w:rsid w:val="00842044"/>
    <w:rsid w:val="00843320"/>
    <w:rsid w:val="00844750"/>
    <w:rsid w:val="00844998"/>
    <w:rsid w:val="00846758"/>
    <w:rsid w:val="00847C10"/>
    <w:rsid w:val="00850E73"/>
    <w:rsid w:val="00851A74"/>
    <w:rsid w:val="00852208"/>
    <w:rsid w:val="00853A30"/>
    <w:rsid w:val="00853AB8"/>
    <w:rsid w:val="00854879"/>
    <w:rsid w:val="00854C34"/>
    <w:rsid w:val="0085586A"/>
    <w:rsid w:val="00855D3C"/>
    <w:rsid w:val="0085626D"/>
    <w:rsid w:val="00857288"/>
    <w:rsid w:val="00857E11"/>
    <w:rsid w:val="00861175"/>
    <w:rsid w:val="00861BEB"/>
    <w:rsid w:val="008624C3"/>
    <w:rsid w:val="00863438"/>
    <w:rsid w:val="00863CDB"/>
    <w:rsid w:val="008652BB"/>
    <w:rsid w:val="008653A5"/>
    <w:rsid w:val="00865AB4"/>
    <w:rsid w:val="00865D76"/>
    <w:rsid w:val="0086697A"/>
    <w:rsid w:val="008709B5"/>
    <w:rsid w:val="00870BBB"/>
    <w:rsid w:val="00871CB4"/>
    <w:rsid w:val="00872CC7"/>
    <w:rsid w:val="00873D46"/>
    <w:rsid w:val="00875749"/>
    <w:rsid w:val="00875AEA"/>
    <w:rsid w:val="00877C23"/>
    <w:rsid w:val="008806CE"/>
    <w:rsid w:val="0088079D"/>
    <w:rsid w:val="0088168B"/>
    <w:rsid w:val="008839A8"/>
    <w:rsid w:val="00884671"/>
    <w:rsid w:val="008858B3"/>
    <w:rsid w:val="00885963"/>
    <w:rsid w:val="00885B91"/>
    <w:rsid w:val="00886220"/>
    <w:rsid w:val="008862B5"/>
    <w:rsid w:val="00886465"/>
    <w:rsid w:val="008877C7"/>
    <w:rsid w:val="00887EE4"/>
    <w:rsid w:val="008915AB"/>
    <w:rsid w:val="00893428"/>
    <w:rsid w:val="0089598A"/>
    <w:rsid w:val="00895DE5"/>
    <w:rsid w:val="00896772"/>
    <w:rsid w:val="0089690A"/>
    <w:rsid w:val="00896FE2"/>
    <w:rsid w:val="00897FE9"/>
    <w:rsid w:val="008A0FA8"/>
    <w:rsid w:val="008A0FAA"/>
    <w:rsid w:val="008A1EC0"/>
    <w:rsid w:val="008A20A5"/>
    <w:rsid w:val="008A3B22"/>
    <w:rsid w:val="008A5444"/>
    <w:rsid w:val="008A57C1"/>
    <w:rsid w:val="008A59E0"/>
    <w:rsid w:val="008A625B"/>
    <w:rsid w:val="008B1034"/>
    <w:rsid w:val="008B2CD8"/>
    <w:rsid w:val="008B2D04"/>
    <w:rsid w:val="008B43A3"/>
    <w:rsid w:val="008B44C4"/>
    <w:rsid w:val="008B4DE1"/>
    <w:rsid w:val="008B4E0E"/>
    <w:rsid w:val="008B4E54"/>
    <w:rsid w:val="008C2847"/>
    <w:rsid w:val="008C28CD"/>
    <w:rsid w:val="008C322B"/>
    <w:rsid w:val="008C4A1D"/>
    <w:rsid w:val="008C4B74"/>
    <w:rsid w:val="008C6E68"/>
    <w:rsid w:val="008C7990"/>
    <w:rsid w:val="008D0725"/>
    <w:rsid w:val="008D0B74"/>
    <w:rsid w:val="008D1156"/>
    <w:rsid w:val="008D3E47"/>
    <w:rsid w:val="008D59DB"/>
    <w:rsid w:val="008D59E4"/>
    <w:rsid w:val="008D615E"/>
    <w:rsid w:val="008D6FC3"/>
    <w:rsid w:val="008E0319"/>
    <w:rsid w:val="008E0EEE"/>
    <w:rsid w:val="008E3115"/>
    <w:rsid w:val="008E3289"/>
    <w:rsid w:val="008E4DE2"/>
    <w:rsid w:val="008E5AC9"/>
    <w:rsid w:val="008E7CE2"/>
    <w:rsid w:val="008E7FAE"/>
    <w:rsid w:val="008F23AC"/>
    <w:rsid w:val="008F2A9C"/>
    <w:rsid w:val="008F3A4F"/>
    <w:rsid w:val="008F44BC"/>
    <w:rsid w:val="008F69C9"/>
    <w:rsid w:val="008F7F76"/>
    <w:rsid w:val="0090195B"/>
    <w:rsid w:val="00902AC8"/>
    <w:rsid w:val="00902FA7"/>
    <w:rsid w:val="0090481D"/>
    <w:rsid w:val="00905917"/>
    <w:rsid w:val="00911BF7"/>
    <w:rsid w:val="00912A6E"/>
    <w:rsid w:val="00914AD8"/>
    <w:rsid w:val="00915193"/>
    <w:rsid w:val="0091557A"/>
    <w:rsid w:val="009157EF"/>
    <w:rsid w:val="0091594A"/>
    <w:rsid w:val="00916597"/>
    <w:rsid w:val="0091725B"/>
    <w:rsid w:val="0092175D"/>
    <w:rsid w:val="009222F3"/>
    <w:rsid w:val="009230F1"/>
    <w:rsid w:val="0092526C"/>
    <w:rsid w:val="0092533E"/>
    <w:rsid w:val="009304A8"/>
    <w:rsid w:val="00932325"/>
    <w:rsid w:val="00935490"/>
    <w:rsid w:val="00935D94"/>
    <w:rsid w:val="00936E3C"/>
    <w:rsid w:val="009375C8"/>
    <w:rsid w:val="00940ED9"/>
    <w:rsid w:val="00941693"/>
    <w:rsid w:val="009418DE"/>
    <w:rsid w:val="00943084"/>
    <w:rsid w:val="00943379"/>
    <w:rsid w:val="00943474"/>
    <w:rsid w:val="0094494F"/>
    <w:rsid w:val="009450DB"/>
    <w:rsid w:val="009502F7"/>
    <w:rsid w:val="00951424"/>
    <w:rsid w:val="009516B7"/>
    <w:rsid w:val="00951879"/>
    <w:rsid w:val="00957125"/>
    <w:rsid w:val="00957C26"/>
    <w:rsid w:val="00957CCE"/>
    <w:rsid w:val="00957CE5"/>
    <w:rsid w:val="009601C8"/>
    <w:rsid w:val="009602FC"/>
    <w:rsid w:val="00960428"/>
    <w:rsid w:val="009624E2"/>
    <w:rsid w:val="0096275B"/>
    <w:rsid w:val="0096306C"/>
    <w:rsid w:val="0096309C"/>
    <w:rsid w:val="009632C7"/>
    <w:rsid w:val="009635B5"/>
    <w:rsid w:val="00964A0C"/>
    <w:rsid w:val="00966651"/>
    <w:rsid w:val="009671F0"/>
    <w:rsid w:val="00970933"/>
    <w:rsid w:val="00971E62"/>
    <w:rsid w:val="009727C5"/>
    <w:rsid w:val="00972A8D"/>
    <w:rsid w:val="00974460"/>
    <w:rsid w:val="00975003"/>
    <w:rsid w:val="00975243"/>
    <w:rsid w:val="00975C44"/>
    <w:rsid w:val="00975F08"/>
    <w:rsid w:val="0097613F"/>
    <w:rsid w:val="0097633D"/>
    <w:rsid w:val="00976E13"/>
    <w:rsid w:val="009778A3"/>
    <w:rsid w:val="00977EC8"/>
    <w:rsid w:val="00977ED9"/>
    <w:rsid w:val="00981025"/>
    <w:rsid w:val="00981240"/>
    <w:rsid w:val="00981272"/>
    <w:rsid w:val="00981B64"/>
    <w:rsid w:val="0098633A"/>
    <w:rsid w:val="00986698"/>
    <w:rsid w:val="00986EF7"/>
    <w:rsid w:val="00990B18"/>
    <w:rsid w:val="00992A9F"/>
    <w:rsid w:val="00994822"/>
    <w:rsid w:val="00994FC8"/>
    <w:rsid w:val="00996521"/>
    <w:rsid w:val="009976EE"/>
    <w:rsid w:val="009A0054"/>
    <w:rsid w:val="009A028D"/>
    <w:rsid w:val="009A1832"/>
    <w:rsid w:val="009A1AC1"/>
    <w:rsid w:val="009A3048"/>
    <w:rsid w:val="009A324B"/>
    <w:rsid w:val="009A3744"/>
    <w:rsid w:val="009A3C10"/>
    <w:rsid w:val="009A3C8A"/>
    <w:rsid w:val="009A6C26"/>
    <w:rsid w:val="009B0EA9"/>
    <w:rsid w:val="009B17AD"/>
    <w:rsid w:val="009B3F8C"/>
    <w:rsid w:val="009B41D7"/>
    <w:rsid w:val="009B45E0"/>
    <w:rsid w:val="009B540F"/>
    <w:rsid w:val="009C0141"/>
    <w:rsid w:val="009C2737"/>
    <w:rsid w:val="009C4A49"/>
    <w:rsid w:val="009C4DB2"/>
    <w:rsid w:val="009D03A7"/>
    <w:rsid w:val="009D26D9"/>
    <w:rsid w:val="009D3A8C"/>
    <w:rsid w:val="009D4113"/>
    <w:rsid w:val="009E127A"/>
    <w:rsid w:val="009E1BA9"/>
    <w:rsid w:val="009E2876"/>
    <w:rsid w:val="009E2F0B"/>
    <w:rsid w:val="009E4DA3"/>
    <w:rsid w:val="009E52DB"/>
    <w:rsid w:val="009E5590"/>
    <w:rsid w:val="009E5A2E"/>
    <w:rsid w:val="009E6476"/>
    <w:rsid w:val="009E7956"/>
    <w:rsid w:val="009F072F"/>
    <w:rsid w:val="009F168E"/>
    <w:rsid w:val="009F26C1"/>
    <w:rsid w:val="009F28F7"/>
    <w:rsid w:val="009F292A"/>
    <w:rsid w:val="009F2ACD"/>
    <w:rsid w:val="009F2AF8"/>
    <w:rsid w:val="009F3A07"/>
    <w:rsid w:val="009F3F95"/>
    <w:rsid w:val="009F4177"/>
    <w:rsid w:val="009F528C"/>
    <w:rsid w:val="009F52E1"/>
    <w:rsid w:val="009F52F1"/>
    <w:rsid w:val="009F53DD"/>
    <w:rsid w:val="009F6008"/>
    <w:rsid w:val="009F60C1"/>
    <w:rsid w:val="009F629E"/>
    <w:rsid w:val="009F7780"/>
    <w:rsid w:val="009F78F7"/>
    <w:rsid w:val="00A0187E"/>
    <w:rsid w:val="00A023AD"/>
    <w:rsid w:val="00A023FC"/>
    <w:rsid w:val="00A0338D"/>
    <w:rsid w:val="00A05ABA"/>
    <w:rsid w:val="00A05DD1"/>
    <w:rsid w:val="00A077E9"/>
    <w:rsid w:val="00A1044C"/>
    <w:rsid w:val="00A12B2E"/>
    <w:rsid w:val="00A1327E"/>
    <w:rsid w:val="00A1362D"/>
    <w:rsid w:val="00A1501E"/>
    <w:rsid w:val="00A16425"/>
    <w:rsid w:val="00A16703"/>
    <w:rsid w:val="00A17B17"/>
    <w:rsid w:val="00A21D26"/>
    <w:rsid w:val="00A23907"/>
    <w:rsid w:val="00A24072"/>
    <w:rsid w:val="00A2485F"/>
    <w:rsid w:val="00A2492E"/>
    <w:rsid w:val="00A2504E"/>
    <w:rsid w:val="00A26B0D"/>
    <w:rsid w:val="00A273F8"/>
    <w:rsid w:val="00A27464"/>
    <w:rsid w:val="00A30ACE"/>
    <w:rsid w:val="00A30ADF"/>
    <w:rsid w:val="00A30BEE"/>
    <w:rsid w:val="00A31163"/>
    <w:rsid w:val="00A31798"/>
    <w:rsid w:val="00A31804"/>
    <w:rsid w:val="00A32F58"/>
    <w:rsid w:val="00A33B84"/>
    <w:rsid w:val="00A34244"/>
    <w:rsid w:val="00A34593"/>
    <w:rsid w:val="00A364DB"/>
    <w:rsid w:val="00A36A08"/>
    <w:rsid w:val="00A36B56"/>
    <w:rsid w:val="00A37014"/>
    <w:rsid w:val="00A3740D"/>
    <w:rsid w:val="00A3745B"/>
    <w:rsid w:val="00A400A2"/>
    <w:rsid w:val="00A4069E"/>
    <w:rsid w:val="00A41237"/>
    <w:rsid w:val="00A41B8A"/>
    <w:rsid w:val="00A41DCF"/>
    <w:rsid w:val="00A4299F"/>
    <w:rsid w:val="00A45E90"/>
    <w:rsid w:val="00A45F28"/>
    <w:rsid w:val="00A4770F"/>
    <w:rsid w:val="00A500DB"/>
    <w:rsid w:val="00A50D6B"/>
    <w:rsid w:val="00A51050"/>
    <w:rsid w:val="00A51B4E"/>
    <w:rsid w:val="00A56945"/>
    <w:rsid w:val="00A56CDE"/>
    <w:rsid w:val="00A57027"/>
    <w:rsid w:val="00A5750C"/>
    <w:rsid w:val="00A6217B"/>
    <w:rsid w:val="00A63E59"/>
    <w:rsid w:val="00A65FC4"/>
    <w:rsid w:val="00A665DE"/>
    <w:rsid w:val="00A6797E"/>
    <w:rsid w:val="00A67B6D"/>
    <w:rsid w:val="00A727DE"/>
    <w:rsid w:val="00A72C35"/>
    <w:rsid w:val="00A7328D"/>
    <w:rsid w:val="00A74DE2"/>
    <w:rsid w:val="00A752BB"/>
    <w:rsid w:val="00A75E8C"/>
    <w:rsid w:val="00A77595"/>
    <w:rsid w:val="00A81F93"/>
    <w:rsid w:val="00A8217C"/>
    <w:rsid w:val="00A85048"/>
    <w:rsid w:val="00A8552D"/>
    <w:rsid w:val="00A85BF9"/>
    <w:rsid w:val="00A85DA1"/>
    <w:rsid w:val="00A901FE"/>
    <w:rsid w:val="00A9247E"/>
    <w:rsid w:val="00A926D5"/>
    <w:rsid w:val="00A9351E"/>
    <w:rsid w:val="00A9366A"/>
    <w:rsid w:val="00A9378E"/>
    <w:rsid w:val="00A94744"/>
    <w:rsid w:val="00A94867"/>
    <w:rsid w:val="00A95519"/>
    <w:rsid w:val="00AA12A2"/>
    <w:rsid w:val="00AA1314"/>
    <w:rsid w:val="00AA1C25"/>
    <w:rsid w:val="00AA228D"/>
    <w:rsid w:val="00AA39C4"/>
    <w:rsid w:val="00AA4158"/>
    <w:rsid w:val="00AA4D92"/>
    <w:rsid w:val="00AA5F97"/>
    <w:rsid w:val="00AA7796"/>
    <w:rsid w:val="00AB076A"/>
    <w:rsid w:val="00AB13A9"/>
    <w:rsid w:val="00AB1EDC"/>
    <w:rsid w:val="00AB3ADD"/>
    <w:rsid w:val="00AC1409"/>
    <w:rsid w:val="00AC41C0"/>
    <w:rsid w:val="00AC4EDE"/>
    <w:rsid w:val="00AC534B"/>
    <w:rsid w:val="00AC537B"/>
    <w:rsid w:val="00AC67A1"/>
    <w:rsid w:val="00AC7977"/>
    <w:rsid w:val="00AC7E56"/>
    <w:rsid w:val="00AC7EAB"/>
    <w:rsid w:val="00AD03DE"/>
    <w:rsid w:val="00AD0EE9"/>
    <w:rsid w:val="00AD1DD8"/>
    <w:rsid w:val="00AD2C97"/>
    <w:rsid w:val="00AD371F"/>
    <w:rsid w:val="00AD45BB"/>
    <w:rsid w:val="00AE0097"/>
    <w:rsid w:val="00AE1247"/>
    <w:rsid w:val="00AE2617"/>
    <w:rsid w:val="00AE352C"/>
    <w:rsid w:val="00AE3A4A"/>
    <w:rsid w:val="00AE42B3"/>
    <w:rsid w:val="00AE58D8"/>
    <w:rsid w:val="00AE6CBB"/>
    <w:rsid w:val="00AE79AC"/>
    <w:rsid w:val="00AF1DA9"/>
    <w:rsid w:val="00AF30B7"/>
    <w:rsid w:val="00AF3412"/>
    <w:rsid w:val="00AF34FB"/>
    <w:rsid w:val="00AF4BAA"/>
    <w:rsid w:val="00AF7234"/>
    <w:rsid w:val="00AF746A"/>
    <w:rsid w:val="00B01AAD"/>
    <w:rsid w:val="00B020D6"/>
    <w:rsid w:val="00B024EE"/>
    <w:rsid w:val="00B037A3"/>
    <w:rsid w:val="00B04264"/>
    <w:rsid w:val="00B0492F"/>
    <w:rsid w:val="00B04A31"/>
    <w:rsid w:val="00B0770D"/>
    <w:rsid w:val="00B07C31"/>
    <w:rsid w:val="00B07CBF"/>
    <w:rsid w:val="00B101DB"/>
    <w:rsid w:val="00B110FF"/>
    <w:rsid w:val="00B12B59"/>
    <w:rsid w:val="00B13F64"/>
    <w:rsid w:val="00B14033"/>
    <w:rsid w:val="00B147DC"/>
    <w:rsid w:val="00B16828"/>
    <w:rsid w:val="00B1689F"/>
    <w:rsid w:val="00B169B9"/>
    <w:rsid w:val="00B16DB1"/>
    <w:rsid w:val="00B17AFC"/>
    <w:rsid w:val="00B17D43"/>
    <w:rsid w:val="00B216A1"/>
    <w:rsid w:val="00B21751"/>
    <w:rsid w:val="00B23B9E"/>
    <w:rsid w:val="00B256F0"/>
    <w:rsid w:val="00B30A0B"/>
    <w:rsid w:val="00B30B9A"/>
    <w:rsid w:val="00B30E97"/>
    <w:rsid w:val="00B30EAF"/>
    <w:rsid w:val="00B319F1"/>
    <w:rsid w:val="00B31D7D"/>
    <w:rsid w:val="00B32E2D"/>
    <w:rsid w:val="00B3603D"/>
    <w:rsid w:val="00B36197"/>
    <w:rsid w:val="00B3729D"/>
    <w:rsid w:val="00B42A4D"/>
    <w:rsid w:val="00B43741"/>
    <w:rsid w:val="00B45642"/>
    <w:rsid w:val="00B458E9"/>
    <w:rsid w:val="00B469F2"/>
    <w:rsid w:val="00B47C89"/>
    <w:rsid w:val="00B50272"/>
    <w:rsid w:val="00B5178D"/>
    <w:rsid w:val="00B524AA"/>
    <w:rsid w:val="00B52CFD"/>
    <w:rsid w:val="00B52F29"/>
    <w:rsid w:val="00B535A5"/>
    <w:rsid w:val="00B5388D"/>
    <w:rsid w:val="00B54A78"/>
    <w:rsid w:val="00B54BA2"/>
    <w:rsid w:val="00B5582E"/>
    <w:rsid w:val="00B55B75"/>
    <w:rsid w:val="00B55E85"/>
    <w:rsid w:val="00B565BB"/>
    <w:rsid w:val="00B566BE"/>
    <w:rsid w:val="00B5774A"/>
    <w:rsid w:val="00B57C3A"/>
    <w:rsid w:val="00B61990"/>
    <w:rsid w:val="00B61CDE"/>
    <w:rsid w:val="00B6249B"/>
    <w:rsid w:val="00B6548B"/>
    <w:rsid w:val="00B6554A"/>
    <w:rsid w:val="00B65823"/>
    <w:rsid w:val="00B65CA8"/>
    <w:rsid w:val="00B665AE"/>
    <w:rsid w:val="00B66B42"/>
    <w:rsid w:val="00B70A06"/>
    <w:rsid w:val="00B70AA6"/>
    <w:rsid w:val="00B70CCD"/>
    <w:rsid w:val="00B71537"/>
    <w:rsid w:val="00B7176C"/>
    <w:rsid w:val="00B72E79"/>
    <w:rsid w:val="00B7316A"/>
    <w:rsid w:val="00B73802"/>
    <w:rsid w:val="00B73A3C"/>
    <w:rsid w:val="00B74B43"/>
    <w:rsid w:val="00B75689"/>
    <w:rsid w:val="00B757D9"/>
    <w:rsid w:val="00B75E66"/>
    <w:rsid w:val="00B76B4C"/>
    <w:rsid w:val="00B77371"/>
    <w:rsid w:val="00B773BF"/>
    <w:rsid w:val="00B824FC"/>
    <w:rsid w:val="00B83DAF"/>
    <w:rsid w:val="00B86CB4"/>
    <w:rsid w:val="00B87971"/>
    <w:rsid w:val="00B915E9"/>
    <w:rsid w:val="00B9493F"/>
    <w:rsid w:val="00B9732F"/>
    <w:rsid w:val="00B97A64"/>
    <w:rsid w:val="00B97DBB"/>
    <w:rsid w:val="00BA0653"/>
    <w:rsid w:val="00BA1AB4"/>
    <w:rsid w:val="00BA3652"/>
    <w:rsid w:val="00BA46CC"/>
    <w:rsid w:val="00BA5850"/>
    <w:rsid w:val="00BA5CED"/>
    <w:rsid w:val="00BA744D"/>
    <w:rsid w:val="00BA748E"/>
    <w:rsid w:val="00BB03D3"/>
    <w:rsid w:val="00BB1391"/>
    <w:rsid w:val="00BB25BF"/>
    <w:rsid w:val="00BB2CCF"/>
    <w:rsid w:val="00BB43FA"/>
    <w:rsid w:val="00BB488E"/>
    <w:rsid w:val="00BB493E"/>
    <w:rsid w:val="00BB6E0C"/>
    <w:rsid w:val="00BB7623"/>
    <w:rsid w:val="00BB7660"/>
    <w:rsid w:val="00BC2E33"/>
    <w:rsid w:val="00BC3448"/>
    <w:rsid w:val="00BC3591"/>
    <w:rsid w:val="00BC3F20"/>
    <w:rsid w:val="00BC6663"/>
    <w:rsid w:val="00BC7E3A"/>
    <w:rsid w:val="00BD0365"/>
    <w:rsid w:val="00BD0A15"/>
    <w:rsid w:val="00BD28B2"/>
    <w:rsid w:val="00BD5299"/>
    <w:rsid w:val="00BD5338"/>
    <w:rsid w:val="00BD5A08"/>
    <w:rsid w:val="00BD5A8D"/>
    <w:rsid w:val="00BD5C17"/>
    <w:rsid w:val="00BD601A"/>
    <w:rsid w:val="00BD64E5"/>
    <w:rsid w:val="00BD7343"/>
    <w:rsid w:val="00BD7709"/>
    <w:rsid w:val="00BD7726"/>
    <w:rsid w:val="00BE2B82"/>
    <w:rsid w:val="00BE38DE"/>
    <w:rsid w:val="00BE447A"/>
    <w:rsid w:val="00BE4E89"/>
    <w:rsid w:val="00BE5387"/>
    <w:rsid w:val="00BF02CA"/>
    <w:rsid w:val="00BF0556"/>
    <w:rsid w:val="00BF0999"/>
    <w:rsid w:val="00BF0ECB"/>
    <w:rsid w:val="00BF23AA"/>
    <w:rsid w:val="00BF37EE"/>
    <w:rsid w:val="00BF4A31"/>
    <w:rsid w:val="00BF5391"/>
    <w:rsid w:val="00BF5EE1"/>
    <w:rsid w:val="00BF6A09"/>
    <w:rsid w:val="00BF7979"/>
    <w:rsid w:val="00BF7FF1"/>
    <w:rsid w:val="00C019D1"/>
    <w:rsid w:val="00C024A1"/>
    <w:rsid w:val="00C02C42"/>
    <w:rsid w:val="00C035D3"/>
    <w:rsid w:val="00C0400A"/>
    <w:rsid w:val="00C067D1"/>
    <w:rsid w:val="00C06B95"/>
    <w:rsid w:val="00C07E54"/>
    <w:rsid w:val="00C10C42"/>
    <w:rsid w:val="00C10FB1"/>
    <w:rsid w:val="00C110D5"/>
    <w:rsid w:val="00C11282"/>
    <w:rsid w:val="00C12D14"/>
    <w:rsid w:val="00C14108"/>
    <w:rsid w:val="00C15C7B"/>
    <w:rsid w:val="00C16385"/>
    <w:rsid w:val="00C17772"/>
    <w:rsid w:val="00C20A9E"/>
    <w:rsid w:val="00C212DB"/>
    <w:rsid w:val="00C223C4"/>
    <w:rsid w:val="00C2260E"/>
    <w:rsid w:val="00C2575D"/>
    <w:rsid w:val="00C261F8"/>
    <w:rsid w:val="00C2624B"/>
    <w:rsid w:val="00C27662"/>
    <w:rsid w:val="00C30656"/>
    <w:rsid w:val="00C307E4"/>
    <w:rsid w:val="00C3182A"/>
    <w:rsid w:val="00C33100"/>
    <w:rsid w:val="00C35F52"/>
    <w:rsid w:val="00C409BE"/>
    <w:rsid w:val="00C44F8C"/>
    <w:rsid w:val="00C451B9"/>
    <w:rsid w:val="00C465C8"/>
    <w:rsid w:val="00C46E49"/>
    <w:rsid w:val="00C47001"/>
    <w:rsid w:val="00C503C8"/>
    <w:rsid w:val="00C50F24"/>
    <w:rsid w:val="00C51A0C"/>
    <w:rsid w:val="00C51D9C"/>
    <w:rsid w:val="00C522D4"/>
    <w:rsid w:val="00C524A3"/>
    <w:rsid w:val="00C54DA4"/>
    <w:rsid w:val="00C55118"/>
    <w:rsid w:val="00C55608"/>
    <w:rsid w:val="00C5642B"/>
    <w:rsid w:val="00C572F5"/>
    <w:rsid w:val="00C577D1"/>
    <w:rsid w:val="00C57A2D"/>
    <w:rsid w:val="00C57AD5"/>
    <w:rsid w:val="00C6018C"/>
    <w:rsid w:val="00C6039D"/>
    <w:rsid w:val="00C620D7"/>
    <w:rsid w:val="00C6224F"/>
    <w:rsid w:val="00C632FD"/>
    <w:rsid w:val="00C63ACA"/>
    <w:rsid w:val="00C63E16"/>
    <w:rsid w:val="00C65657"/>
    <w:rsid w:val="00C67024"/>
    <w:rsid w:val="00C6740A"/>
    <w:rsid w:val="00C67D23"/>
    <w:rsid w:val="00C70AA4"/>
    <w:rsid w:val="00C71827"/>
    <w:rsid w:val="00C72849"/>
    <w:rsid w:val="00C72ABA"/>
    <w:rsid w:val="00C72BA2"/>
    <w:rsid w:val="00C75D6F"/>
    <w:rsid w:val="00C762BA"/>
    <w:rsid w:val="00C77358"/>
    <w:rsid w:val="00C775C3"/>
    <w:rsid w:val="00C77D7D"/>
    <w:rsid w:val="00C8149F"/>
    <w:rsid w:val="00C825E5"/>
    <w:rsid w:val="00C8325A"/>
    <w:rsid w:val="00C83516"/>
    <w:rsid w:val="00C86015"/>
    <w:rsid w:val="00C86C1A"/>
    <w:rsid w:val="00C914A3"/>
    <w:rsid w:val="00C93C3B"/>
    <w:rsid w:val="00C95EB8"/>
    <w:rsid w:val="00CA0BFC"/>
    <w:rsid w:val="00CA4392"/>
    <w:rsid w:val="00CA4983"/>
    <w:rsid w:val="00CB02C5"/>
    <w:rsid w:val="00CB09A5"/>
    <w:rsid w:val="00CB132E"/>
    <w:rsid w:val="00CB1873"/>
    <w:rsid w:val="00CB2A65"/>
    <w:rsid w:val="00CB39CD"/>
    <w:rsid w:val="00CB3B9E"/>
    <w:rsid w:val="00CB3D6B"/>
    <w:rsid w:val="00CB4758"/>
    <w:rsid w:val="00CB4B0F"/>
    <w:rsid w:val="00CB7A57"/>
    <w:rsid w:val="00CC0E09"/>
    <w:rsid w:val="00CC1132"/>
    <w:rsid w:val="00CC1181"/>
    <w:rsid w:val="00CC4B32"/>
    <w:rsid w:val="00CC50AE"/>
    <w:rsid w:val="00CC5FA7"/>
    <w:rsid w:val="00CC69A2"/>
    <w:rsid w:val="00CC7480"/>
    <w:rsid w:val="00CC7CE6"/>
    <w:rsid w:val="00CD0004"/>
    <w:rsid w:val="00CD044C"/>
    <w:rsid w:val="00CD0EC9"/>
    <w:rsid w:val="00CD1A71"/>
    <w:rsid w:val="00CD1D50"/>
    <w:rsid w:val="00CD1FBB"/>
    <w:rsid w:val="00CD35F4"/>
    <w:rsid w:val="00CD405F"/>
    <w:rsid w:val="00CE033D"/>
    <w:rsid w:val="00CE08E5"/>
    <w:rsid w:val="00CE1425"/>
    <w:rsid w:val="00CE3E5B"/>
    <w:rsid w:val="00CE48E6"/>
    <w:rsid w:val="00CE53A4"/>
    <w:rsid w:val="00CE65E8"/>
    <w:rsid w:val="00CE7BE7"/>
    <w:rsid w:val="00CF03F2"/>
    <w:rsid w:val="00CF0B52"/>
    <w:rsid w:val="00CF2158"/>
    <w:rsid w:val="00CF226A"/>
    <w:rsid w:val="00CF3053"/>
    <w:rsid w:val="00CF34E1"/>
    <w:rsid w:val="00CF4D9E"/>
    <w:rsid w:val="00CF5547"/>
    <w:rsid w:val="00CF5743"/>
    <w:rsid w:val="00CF5A95"/>
    <w:rsid w:val="00D01469"/>
    <w:rsid w:val="00D016B5"/>
    <w:rsid w:val="00D01EF5"/>
    <w:rsid w:val="00D034F1"/>
    <w:rsid w:val="00D04FD9"/>
    <w:rsid w:val="00D0533D"/>
    <w:rsid w:val="00D06843"/>
    <w:rsid w:val="00D06F5A"/>
    <w:rsid w:val="00D077D0"/>
    <w:rsid w:val="00D13BB5"/>
    <w:rsid w:val="00D143CE"/>
    <w:rsid w:val="00D14877"/>
    <w:rsid w:val="00D14F42"/>
    <w:rsid w:val="00D15A94"/>
    <w:rsid w:val="00D171D4"/>
    <w:rsid w:val="00D20175"/>
    <w:rsid w:val="00D20176"/>
    <w:rsid w:val="00D22714"/>
    <w:rsid w:val="00D22738"/>
    <w:rsid w:val="00D242BD"/>
    <w:rsid w:val="00D2712E"/>
    <w:rsid w:val="00D27704"/>
    <w:rsid w:val="00D27D5E"/>
    <w:rsid w:val="00D31623"/>
    <w:rsid w:val="00D3183C"/>
    <w:rsid w:val="00D31D20"/>
    <w:rsid w:val="00D32B08"/>
    <w:rsid w:val="00D3419D"/>
    <w:rsid w:val="00D34882"/>
    <w:rsid w:val="00D35149"/>
    <w:rsid w:val="00D35C0D"/>
    <w:rsid w:val="00D37921"/>
    <w:rsid w:val="00D400CE"/>
    <w:rsid w:val="00D407D1"/>
    <w:rsid w:val="00D43AD7"/>
    <w:rsid w:val="00D43E5F"/>
    <w:rsid w:val="00D443AF"/>
    <w:rsid w:val="00D44CFD"/>
    <w:rsid w:val="00D46552"/>
    <w:rsid w:val="00D46716"/>
    <w:rsid w:val="00D51CE6"/>
    <w:rsid w:val="00D52171"/>
    <w:rsid w:val="00D53A51"/>
    <w:rsid w:val="00D53EBE"/>
    <w:rsid w:val="00D54097"/>
    <w:rsid w:val="00D5536F"/>
    <w:rsid w:val="00D55D76"/>
    <w:rsid w:val="00D561AF"/>
    <w:rsid w:val="00D601DD"/>
    <w:rsid w:val="00D60E29"/>
    <w:rsid w:val="00D639BD"/>
    <w:rsid w:val="00D63EC0"/>
    <w:rsid w:val="00D643BC"/>
    <w:rsid w:val="00D65777"/>
    <w:rsid w:val="00D66378"/>
    <w:rsid w:val="00D66E0D"/>
    <w:rsid w:val="00D67E4F"/>
    <w:rsid w:val="00D70AB8"/>
    <w:rsid w:val="00D70FA0"/>
    <w:rsid w:val="00D71AAE"/>
    <w:rsid w:val="00D725E9"/>
    <w:rsid w:val="00D7425A"/>
    <w:rsid w:val="00D74F7E"/>
    <w:rsid w:val="00D75790"/>
    <w:rsid w:val="00D75BAA"/>
    <w:rsid w:val="00D76955"/>
    <w:rsid w:val="00D7695F"/>
    <w:rsid w:val="00D8198B"/>
    <w:rsid w:val="00D827FD"/>
    <w:rsid w:val="00D836E7"/>
    <w:rsid w:val="00D83892"/>
    <w:rsid w:val="00D85386"/>
    <w:rsid w:val="00D855FD"/>
    <w:rsid w:val="00D86A18"/>
    <w:rsid w:val="00D9039B"/>
    <w:rsid w:val="00D907D2"/>
    <w:rsid w:val="00D93582"/>
    <w:rsid w:val="00D942CF"/>
    <w:rsid w:val="00D94AAE"/>
    <w:rsid w:val="00D95475"/>
    <w:rsid w:val="00D95840"/>
    <w:rsid w:val="00D95BCC"/>
    <w:rsid w:val="00D95F41"/>
    <w:rsid w:val="00D97680"/>
    <w:rsid w:val="00DA0F37"/>
    <w:rsid w:val="00DA22CC"/>
    <w:rsid w:val="00DA41A2"/>
    <w:rsid w:val="00DA43A1"/>
    <w:rsid w:val="00DA4986"/>
    <w:rsid w:val="00DA5852"/>
    <w:rsid w:val="00DA5E1D"/>
    <w:rsid w:val="00DA6966"/>
    <w:rsid w:val="00DA6FA6"/>
    <w:rsid w:val="00DA75D7"/>
    <w:rsid w:val="00DA7B4B"/>
    <w:rsid w:val="00DB1B56"/>
    <w:rsid w:val="00DC0359"/>
    <w:rsid w:val="00DC041A"/>
    <w:rsid w:val="00DC05BB"/>
    <w:rsid w:val="00DC27CD"/>
    <w:rsid w:val="00DC33A6"/>
    <w:rsid w:val="00DC3AD3"/>
    <w:rsid w:val="00DC41EA"/>
    <w:rsid w:val="00DC485D"/>
    <w:rsid w:val="00DC4F43"/>
    <w:rsid w:val="00DC575A"/>
    <w:rsid w:val="00DC637A"/>
    <w:rsid w:val="00DD04F5"/>
    <w:rsid w:val="00DD1F43"/>
    <w:rsid w:val="00DD4CB0"/>
    <w:rsid w:val="00DD5B0E"/>
    <w:rsid w:val="00DD77DD"/>
    <w:rsid w:val="00DE4356"/>
    <w:rsid w:val="00DE56D1"/>
    <w:rsid w:val="00DE6818"/>
    <w:rsid w:val="00DE69D1"/>
    <w:rsid w:val="00DE6D90"/>
    <w:rsid w:val="00DE72E2"/>
    <w:rsid w:val="00DF002F"/>
    <w:rsid w:val="00DF099D"/>
    <w:rsid w:val="00DF0A95"/>
    <w:rsid w:val="00DF410A"/>
    <w:rsid w:val="00DF5F8A"/>
    <w:rsid w:val="00E020EC"/>
    <w:rsid w:val="00E0244D"/>
    <w:rsid w:val="00E026DF"/>
    <w:rsid w:val="00E02C3C"/>
    <w:rsid w:val="00E02F48"/>
    <w:rsid w:val="00E03712"/>
    <w:rsid w:val="00E04655"/>
    <w:rsid w:val="00E05691"/>
    <w:rsid w:val="00E056AC"/>
    <w:rsid w:val="00E05CB5"/>
    <w:rsid w:val="00E0650F"/>
    <w:rsid w:val="00E06955"/>
    <w:rsid w:val="00E06B3F"/>
    <w:rsid w:val="00E06E39"/>
    <w:rsid w:val="00E0794D"/>
    <w:rsid w:val="00E079C3"/>
    <w:rsid w:val="00E07D07"/>
    <w:rsid w:val="00E07FD0"/>
    <w:rsid w:val="00E10A73"/>
    <w:rsid w:val="00E1138B"/>
    <w:rsid w:val="00E11FFC"/>
    <w:rsid w:val="00E13683"/>
    <w:rsid w:val="00E139C5"/>
    <w:rsid w:val="00E13A72"/>
    <w:rsid w:val="00E13D30"/>
    <w:rsid w:val="00E14E15"/>
    <w:rsid w:val="00E14E3D"/>
    <w:rsid w:val="00E14F27"/>
    <w:rsid w:val="00E171D2"/>
    <w:rsid w:val="00E175D7"/>
    <w:rsid w:val="00E17AB9"/>
    <w:rsid w:val="00E17FB5"/>
    <w:rsid w:val="00E2030C"/>
    <w:rsid w:val="00E2032A"/>
    <w:rsid w:val="00E22D16"/>
    <w:rsid w:val="00E243F9"/>
    <w:rsid w:val="00E247B7"/>
    <w:rsid w:val="00E25534"/>
    <w:rsid w:val="00E26102"/>
    <w:rsid w:val="00E268AB"/>
    <w:rsid w:val="00E26E0F"/>
    <w:rsid w:val="00E27576"/>
    <w:rsid w:val="00E27977"/>
    <w:rsid w:val="00E30AB4"/>
    <w:rsid w:val="00E319B6"/>
    <w:rsid w:val="00E32145"/>
    <w:rsid w:val="00E3252F"/>
    <w:rsid w:val="00E32F5A"/>
    <w:rsid w:val="00E34C76"/>
    <w:rsid w:val="00E3576E"/>
    <w:rsid w:val="00E3618D"/>
    <w:rsid w:val="00E37059"/>
    <w:rsid w:val="00E4043B"/>
    <w:rsid w:val="00E419BE"/>
    <w:rsid w:val="00E43723"/>
    <w:rsid w:val="00E45633"/>
    <w:rsid w:val="00E476A4"/>
    <w:rsid w:val="00E510F3"/>
    <w:rsid w:val="00E512F9"/>
    <w:rsid w:val="00E51E30"/>
    <w:rsid w:val="00E5250F"/>
    <w:rsid w:val="00E532EC"/>
    <w:rsid w:val="00E53465"/>
    <w:rsid w:val="00E54385"/>
    <w:rsid w:val="00E54676"/>
    <w:rsid w:val="00E549A3"/>
    <w:rsid w:val="00E560AF"/>
    <w:rsid w:val="00E573D7"/>
    <w:rsid w:val="00E60012"/>
    <w:rsid w:val="00E606E5"/>
    <w:rsid w:val="00E61850"/>
    <w:rsid w:val="00E62CFF"/>
    <w:rsid w:val="00E64596"/>
    <w:rsid w:val="00E656B3"/>
    <w:rsid w:val="00E665EE"/>
    <w:rsid w:val="00E67168"/>
    <w:rsid w:val="00E67733"/>
    <w:rsid w:val="00E679AE"/>
    <w:rsid w:val="00E71570"/>
    <w:rsid w:val="00E71BBC"/>
    <w:rsid w:val="00E72454"/>
    <w:rsid w:val="00E7247A"/>
    <w:rsid w:val="00E73B13"/>
    <w:rsid w:val="00E75C58"/>
    <w:rsid w:val="00E760E3"/>
    <w:rsid w:val="00E76819"/>
    <w:rsid w:val="00E77C81"/>
    <w:rsid w:val="00E77EA6"/>
    <w:rsid w:val="00E77F5B"/>
    <w:rsid w:val="00E81E94"/>
    <w:rsid w:val="00E81FB1"/>
    <w:rsid w:val="00E82607"/>
    <w:rsid w:val="00E829CC"/>
    <w:rsid w:val="00E82FBD"/>
    <w:rsid w:val="00E833B2"/>
    <w:rsid w:val="00E83592"/>
    <w:rsid w:val="00E8458E"/>
    <w:rsid w:val="00E84A82"/>
    <w:rsid w:val="00E84B2D"/>
    <w:rsid w:val="00E85025"/>
    <w:rsid w:val="00E868CA"/>
    <w:rsid w:val="00E87514"/>
    <w:rsid w:val="00E920B1"/>
    <w:rsid w:val="00E92B70"/>
    <w:rsid w:val="00E9483E"/>
    <w:rsid w:val="00E95FFD"/>
    <w:rsid w:val="00E96710"/>
    <w:rsid w:val="00E97640"/>
    <w:rsid w:val="00E9797C"/>
    <w:rsid w:val="00EA042D"/>
    <w:rsid w:val="00EA1DE2"/>
    <w:rsid w:val="00EA3B1D"/>
    <w:rsid w:val="00EA43F5"/>
    <w:rsid w:val="00EA6FE4"/>
    <w:rsid w:val="00EB172F"/>
    <w:rsid w:val="00EB2506"/>
    <w:rsid w:val="00EB4148"/>
    <w:rsid w:val="00EB5946"/>
    <w:rsid w:val="00EB5EB4"/>
    <w:rsid w:val="00EB61C4"/>
    <w:rsid w:val="00EB703F"/>
    <w:rsid w:val="00EB77B9"/>
    <w:rsid w:val="00EB7C5F"/>
    <w:rsid w:val="00EB7D07"/>
    <w:rsid w:val="00EC0B90"/>
    <w:rsid w:val="00EC1AD5"/>
    <w:rsid w:val="00EC4417"/>
    <w:rsid w:val="00EC4426"/>
    <w:rsid w:val="00EC4846"/>
    <w:rsid w:val="00ED306A"/>
    <w:rsid w:val="00ED3A26"/>
    <w:rsid w:val="00ED44BB"/>
    <w:rsid w:val="00ED494B"/>
    <w:rsid w:val="00ED4CEC"/>
    <w:rsid w:val="00ED7BFD"/>
    <w:rsid w:val="00EE01E5"/>
    <w:rsid w:val="00EE1766"/>
    <w:rsid w:val="00EE3E85"/>
    <w:rsid w:val="00EE4451"/>
    <w:rsid w:val="00EF37F8"/>
    <w:rsid w:val="00EF593E"/>
    <w:rsid w:val="00EF70BB"/>
    <w:rsid w:val="00EF7C40"/>
    <w:rsid w:val="00F00369"/>
    <w:rsid w:val="00F00753"/>
    <w:rsid w:val="00F00E26"/>
    <w:rsid w:val="00F01A8B"/>
    <w:rsid w:val="00F021E2"/>
    <w:rsid w:val="00F02A40"/>
    <w:rsid w:val="00F02FA9"/>
    <w:rsid w:val="00F0334E"/>
    <w:rsid w:val="00F0471B"/>
    <w:rsid w:val="00F058E7"/>
    <w:rsid w:val="00F06660"/>
    <w:rsid w:val="00F0719E"/>
    <w:rsid w:val="00F1141D"/>
    <w:rsid w:val="00F116EB"/>
    <w:rsid w:val="00F125F0"/>
    <w:rsid w:val="00F12E0C"/>
    <w:rsid w:val="00F13677"/>
    <w:rsid w:val="00F136A6"/>
    <w:rsid w:val="00F14980"/>
    <w:rsid w:val="00F14BB4"/>
    <w:rsid w:val="00F1788E"/>
    <w:rsid w:val="00F1794E"/>
    <w:rsid w:val="00F211AF"/>
    <w:rsid w:val="00F230D6"/>
    <w:rsid w:val="00F2313C"/>
    <w:rsid w:val="00F235D9"/>
    <w:rsid w:val="00F23A51"/>
    <w:rsid w:val="00F2431A"/>
    <w:rsid w:val="00F25EC3"/>
    <w:rsid w:val="00F30844"/>
    <w:rsid w:val="00F30879"/>
    <w:rsid w:val="00F31C30"/>
    <w:rsid w:val="00F31F94"/>
    <w:rsid w:val="00F32ADB"/>
    <w:rsid w:val="00F32B93"/>
    <w:rsid w:val="00F32C98"/>
    <w:rsid w:val="00F340C0"/>
    <w:rsid w:val="00F359BA"/>
    <w:rsid w:val="00F36B54"/>
    <w:rsid w:val="00F36F2C"/>
    <w:rsid w:val="00F37C12"/>
    <w:rsid w:val="00F37E12"/>
    <w:rsid w:val="00F37E74"/>
    <w:rsid w:val="00F4160F"/>
    <w:rsid w:val="00F41F33"/>
    <w:rsid w:val="00F424BD"/>
    <w:rsid w:val="00F4305E"/>
    <w:rsid w:val="00F43281"/>
    <w:rsid w:val="00F4552C"/>
    <w:rsid w:val="00F45D59"/>
    <w:rsid w:val="00F47163"/>
    <w:rsid w:val="00F473E2"/>
    <w:rsid w:val="00F47BB8"/>
    <w:rsid w:val="00F515AD"/>
    <w:rsid w:val="00F53311"/>
    <w:rsid w:val="00F53775"/>
    <w:rsid w:val="00F53AC6"/>
    <w:rsid w:val="00F53AD0"/>
    <w:rsid w:val="00F54A91"/>
    <w:rsid w:val="00F5503C"/>
    <w:rsid w:val="00F55473"/>
    <w:rsid w:val="00F5614E"/>
    <w:rsid w:val="00F57464"/>
    <w:rsid w:val="00F579E3"/>
    <w:rsid w:val="00F57DD7"/>
    <w:rsid w:val="00F61C2D"/>
    <w:rsid w:val="00F6204B"/>
    <w:rsid w:val="00F6212D"/>
    <w:rsid w:val="00F62D5B"/>
    <w:rsid w:val="00F63053"/>
    <w:rsid w:val="00F636AD"/>
    <w:rsid w:val="00F637F2"/>
    <w:rsid w:val="00F63A32"/>
    <w:rsid w:val="00F70A00"/>
    <w:rsid w:val="00F72B88"/>
    <w:rsid w:val="00F734D9"/>
    <w:rsid w:val="00F73F83"/>
    <w:rsid w:val="00F7407C"/>
    <w:rsid w:val="00F74902"/>
    <w:rsid w:val="00F83371"/>
    <w:rsid w:val="00F83925"/>
    <w:rsid w:val="00F85A4E"/>
    <w:rsid w:val="00F85DFD"/>
    <w:rsid w:val="00F8632B"/>
    <w:rsid w:val="00F86EA0"/>
    <w:rsid w:val="00F8734B"/>
    <w:rsid w:val="00F91CFC"/>
    <w:rsid w:val="00F92177"/>
    <w:rsid w:val="00F9353A"/>
    <w:rsid w:val="00F965C2"/>
    <w:rsid w:val="00F96E16"/>
    <w:rsid w:val="00FA0F65"/>
    <w:rsid w:val="00FA1F67"/>
    <w:rsid w:val="00FA2761"/>
    <w:rsid w:val="00FA27D4"/>
    <w:rsid w:val="00FA56C6"/>
    <w:rsid w:val="00FA5A79"/>
    <w:rsid w:val="00FA6BD0"/>
    <w:rsid w:val="00FB0BFE"/>
    <w:rsid w:val="00FB1444"/>
    <w:rsid w:val="00FB14E3"/>
    <w:rsid w:val="00FB4300"/>
    <w:rsid w:val="00FB4C51"/>
    <w:rsid w:val="00FB5D9D"/>
    <w:rsid w:val="00FB6EC5"/>
    <w:rsid w:val="00FB6F4E"/>
    <w:rsid w:val="00FB734D"/>
    <w:rsid w:val="00FC027B"/>
    <w:rsid w:val="00FC218F"/>
    <w:rsid w:val="00FC2A03"/>
    <w:rsid w:val="00FC5380"/>
    <w:rsid w:val="00FC67BB"/>
    <w:rsid w:val="00FC6E20"/>
    <w:rsid w:val="00FD02A2"/>
    <w:rsid w:val="00FD0560"/>
    <w:rsid w:val="00FD56F6"/>
    <w:rsid w:val="00FD5E64"/>
    <w:rsid w:val="00FD6BA9"/>
    <w:rsid w:val="00FD7985"/>
    <w:rsid w:val="00FD7CE2"/>
    <w:rsid w:val="00FE01C9"/>
    <w:rsid w:val="00FE0381"/>
    <w:rsid w:val="00FE0645"/>
    <w:rsid w:val="00FE078B"/>
    <w:rsid w:val="00FE0DF9"/>
    <w:rsid w:val="00FE0E99"/>
    <w:rsid w:val="00FE1769"/>
    <w:rsid w:val="00FE22EE"/>
    <w:rsid w:val="00FE2F42"/>
    <w:rsid w:val="00FE3C38"/>
    <w:rsid w:val="00FE52E8"/>
    <w:rsid w:val="00FE6526"/>
    <w:rsid w:val="00FE6EEB"/>
    <w:rsid w:val="00FF1DBD"/>
    <w:rsid w:val="00FF1E4B"/>
    <w:rsid w:val="00FF3157"/>
    <w:rsid w:val="00FF5F8F"/>
    <w:rsid w:val="00FF61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qFormat="1"/>
    <w:lsdException w:name="caption" w:locked="1" w:semiHidden="1" w:unhideWhenUsed="1" w:qFormat="1"/>
    <w:lsdException w:name="footnote reference" w:uiPriority="99"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rsid w:val="00F7407C"/>
    <w:pPr>
      <w:outlineLvl w:val="3"/>
    </w:pPr>
  </w:style>
  <w:style w:type="paragraph" w:styleId="Titre5">
    <w:name w:val="heading 5"/>
    <w:basedOn w:val="Normal"/>
    <w:next w:val="Normal"/>
    <w:qFormat/>
    <w:rsid w:val="00F7407C"/>
    <w:pPr>
      <w:outlineLvl w:val="4"/>
    </w:pPr>
  </w:style>
  <w:style w:type="paragraph" w:styleId="Titre6">
    <w:name w:val="heading 6"/>
    <w:basedOn w:val="Normal"/>
    <w:next w:val="Normal"/>
    <w:qFormat/>
    <w:rsid w:val="00F7407C"/>
    <w:pPr>
      <w:outlineLvl w:val="5"/>
    </w:pPr>
  </w:style>
  <w:style w:type="paragraph" w:styleId="Titre7">
    <w:name w:val="heading 7"/>
    <w:basedOn w:val="Normal"/>
    <w:next w:val="Normal"/>
    <w:qFormat/>
    <w:rsid w:val="00F7407C"/>
    <w:pPr>
      <w:outlineLvl w:val="6"/>
    </w:pPr>
  </w:style>
  <w:style w:type="paragraph" w:styleId="Titre8">
    <w:name w:val="heading 8"/>
    <w:basedOn w:val="Normal"/>
    <w:next w:val="Normal"/>
    <w:qFormat/>
    <w:rsid w:val="00F7407C"/>
    <w:pPr>
      <w:outlineLvl w:val="7"/>
    </w:pPr>
  </w:style>
  <w:style w:type="paragraph" w:styleId="Titre9">
    <w:name w:val="heading 9"/>
    <w:basedOn w:val="Normal"/>
    <w:next w:val="Normal"/>
    <w:qFormat/>
    <w:rsid w:val="00F7407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qFormat/>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eastAsia="x-none"/>
    </w:rPr>
  </w:style>
  <w:style w:type="character" w:styleId="Appelnotedebasdep">
    <w:name w:val="footnote reference"/>
    <w:aliases w:val="4_G"/>
    <w:uiPriority w:val="99"/>
    <w:qFormat/>
    <w:rsid w:val="00D016B5"/>
    <w:rPr>
      <w:rFonts w:ascii="Times New Roman" w:hAnsi="Times New Roman"/>
      <w:sz w:val="18"/>
      <w:vertAlign w:val="superscript"/>
      <w:lang w:val="fr-CH" w:eastAsia="x-none"/>
    </w:rPr>
  </w:style>
  <w:style w:type="character" w:styleId="Numrodepage">
    <w:name w:val="page number"/>
    <w:aliases w:val="7_G"/>
    <w:rsid w:val="00287E79"/>
    <w:rPr>
      <w:rFonts w:ascii="Times New Roman" w:hAnsi="Times New Roman"/>
      <w:b/>
      <w:sz w:val="18"/>
      <w:lang w:val="fr-CH" w:eastAsia="x-none"/>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2D781B"/>
    <w:pPr>
      <w:ind w:left="0"/>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locked/>
    <w:rsid w:val="00443CBE"/>
    <w:rPr>
      <w:sz w:val="18"/>
      <w:lang w:val="fr-CH" w:eastAsia="en-US"/>
    </w:rPr>
  </w:style>
  <w:style w:type="character" w:customStyle="1" w:styleId="SingleTxtGCar">
    <w:name w:val="_ Single Txt_G Car"/>
    <w:link w:val="SingleTxtG"/>
    <w:locked/>
    <w:rsid w:val="00443CBE"/>
    <w:rPr>
      <w:lang w:val="fr-CH" w:eastAsia="en-US"/>
    </w:rPr>
  </w:style>
  <w:style w:type="paragraph" w:styleId="Textedebulles">
    <w:name w:val="Balloon Text"/>
    <w:basedOn w:val="Normal"/>
    <w:link w:val="TextedebullesCar"/>
    <w:rsid w:val="0092533E"/>
    <w:pPr>
      <w:spacing w:line="240" w:lineRule="auto"/>
    </w:pPr>
    <w:rPr>
      <w:rFonts w:ascii="Tahoma" w:hAnsi="Tahoma"/>
      <w:sz w:val="16"/>
      <w:szCs w:val="16"/>
    </w:rPr>
  </w:style>
  <w:style w:type="character" w:customStyle="1" w:styleId="TextedebullesCar">
    <w:name w:val="Texte de bulles Car"/>
    <w:link w:val="Textedebulles"/>
    <w:locked/>
    <w:rsid w:val="0092533E"/>
    <w:rPr>
      <w:rFonts w:ascii="Tahoma" w:hAnsi="Tahoma"/>
      <w:sz w:val="16"/>
      <w:lang w:val="fr-CH" w:eastAsia="en-US"/>
    </w:rPr>
  </w:style>
  <w:style w:type="paragraph" w:styleId="Paragraphedeliste">
    <w:name w:val="List Paragraph"/>
    <w:basedOn w:val="Normal"/>
    <w:uiPriority w:val="34"/>
    <w:qFormat/>
    <w:rsid w:val="00755D63"/>
    <w:pPr>
      <w:ind w:left="720"/>
    </w:pPr>
  </w:style>
  <w:style w:type="paragraph" w:styleId="Rvision">
    <w:name w:val="Revision"/>
    <w:hidden/>
    <w:semiHidden/>
    <w:rsid w:val="00966651"/>
    <w:rPr>
      <w:lang w:val="fr-CH" w:eastAsia="en-US"/>
    </w:rPr>
  </w:style>
  <w:style w:type="character" w:styleId="Marquedecommentaire">
    <w:name w:val="annotation reference"/>
    <w:rsid w:val="00C72849"/>
    <w:rPr>
      <w:rFonts w:cs="Times New Roman"/>
      <w:sz w:val="16"/>
      <w:szCs w:val="16"/>
    </w:rPr>
  </w:style>
  <w:style w:type="paragraph" w:styleId="Commentaire">
    <w:name w:val="annotation text"/>
    <w:basedOn w:val="Normal"/>
    <w:link w:val="CommentaireCar"/>
    <w:rsid w:val="00C72849"/>
  </w:style>
  <w:style w:type="character" w:customStyle="1" w:styleId="CommentaireCar">
    <w:name w:val="Commentaire Car"/>
    <w:link w:val="Commentaire"/>
    <w:locked/>
    <w:rsid w:val="00C72849"/>
    <w:rPr>
      <w:rFonts w:cs="Times New Roman"/>
      <w:lang w:val="fr-CH" w:eastAsia="en-US"/>
    </w:rPr>
  </w:style>
  <w:style w:type="paragraph" w:styleId="Objetducommentaire">
    <w:name w:val="annotation subject"/>
    <w:basedOn w:val="Commentaire"/>
    <w:next w:val="Commentaire"/>
    <w:link w:val="ObjetducommentaireCar"/>
    <w:rsid w:val="00C72849"/>
    <w:rPr>
      <w:b/>
      <w:bCs/>
    </w:rPr>
  </w:style>
  <w:style w:type="character" w:customStyle="1" w:styleId="ObjetducommentaireCar">
    <w:name w:val="Objet du commentaire Car"/>
    <w:link w:val="Objetducommentaire"/>
    <w:locked/>
    <w:rsid w:val="00C72849"/>
    <w:rPr>
      <w:rFonts w:cs="Times New Roman"/>
      <w:b/>
      <w:bCs/>
      <w:lang w:val="fr-CH" w:eastAsia="en-US"/>
    </w:rPr>
  </w:style>
  <w:style w:type="character" w:customStyle="1" w:styleId="singletxtgcar0">
    <w:name w:val="singletxtgcar"/>
    <w:rsid w:val="00DF5F8A"/>
  </w:style>
  <w:style w:type="character" w:customStyle="1" w:styleId="SingleTxtGChar">
    <w:name w:val="_ Single Txt_G Char"/>
    <w:locked/>
    <w:rsid w:val="0085626D"/>
    <w:rPr>
      <w:lang w:val="fr-CH" w:eastAsia="en-US"/>
    </w:rPr>
  </w:style>
  <w:style w:type="character" w:customStyle="1" w:styleId="H23GChar">
    <w:name w:val="_ H_2/3_G Char"/>
    <w:link w:val="H23G"/>
    <w:locked/>
    <w:rsid w:val="00EA1DE2"/>
    <w:rPr>
      <w:b/>
      <w:lang w:val="fr-CH" w:eastAsia="en-US"/>
    </w:rPr>
  </w:style>
  <w:style w:type="paragraph" w:styleId="NormalWeb">
    <w:name w:val="Normal (Web)"/>
    <w:basedOn w:val="Normal"/>
    <w:rsid w:val="00AD45BB"/>
    <w:rPr>
      <w:sz w:val="24"/>
      <w:szCs w:val="24"/>
    </w:rPr>
  </w:style>
  <w:style w:type="paragraph" w:customStyle="1" w:styleId="Default">
    <w:name w:val="Default"/>
    <w:rsid w:val="00530C47"/>
    <w:pPr>
      <w:autoSpaceDE w:val="0"/>
      <w:autoSpaceDN w:val="0"/>
      <w:adjustRightInd w:val="0"/>
    </w:pPr>
    <w:rPr>
      <w:color w:val="000000"/>
      <w:sz w:val="24"/>
      <w:szCs w:val="24"/>
      <w:lang w:val="en-US"/>
    </w:rPr>
  </w:style>
  <w:style w:type="paragraph" w:styleId="Sansinterligne">
    <w:name w:val="No Spacing"/>
    <w:uiPriority w:val="1"/>
    <w:qFormat/>
    <w:rsid w:val="00C77358"/>
    <w:rPr>
      <w:rFonts w:asciiTheme="minorHAnsi" w:eastAsiaTheme="minorEastAsia" w:hAnsiTheme="minorHAnsi" w:cstheme="minorBid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qFormat="1"/>
    <w:lsdException w:name="caption" w:locked="1" w:semiHidden="1" w:unhideWhenUsed="1" w:qFormat="1"/>
    <w:lsdException w:name="footnote reference" w:uiPriority="99"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rsid w:val="00F7407C"/>
    <w:pPr>
      <w:outlineLvl w:val="3"/>
    </w:pPr>
  </w:style>
  <w:style w:type="paragraph" w:styleId="Titre5">
    <w:name w:val="heading 5"/>
    <w:basedOn w:val="Normal"/>
    <w:next w:val="Normal"/>
    <w:qFormat/>
    <w:rsid w:val="00F7407C"/>
    <w:pPr>
      <w:outlineLvl w:val="4"/>
    </w:pPr>
  </w:style>
  <w:style w:type="paragraph" w:styleId="Titre6">
    <w:name w:val="heading 6"/>
    <w:basedOn w:val="Normal"/>
    <w:next w:val="Normal"/>
    <w:qFormat/>
    <w:rsid w:val="00F7407C"/>
    <w:pPr>
      <w:outlineLvl w:val="5"/>
    </w:pPr>
  </w:style>
  <w:style w:type="paragraph" w:styleId="Titre7">
    <w:name w:val="heading 7"/>
    <w:basedOn w:val="Normal"/>
    <w:next w:val="Normal"/>
    <w:qFormat/>
    <w:rsid w:val="00F7407C"/>
    <w:pPr>
      <w:outlineLvl w:val="6"/>
    </w:pPr>
  </w:style>
  <w:style w:type="paragraph" w:styleId="Titre8">
    <w:name w:val="heading 8"/>
    <w:basedOn w:val="Normal"/>
    <w:next w:val="Normal"/>
    <w:qFormat/>
    <w:rsid w:val="00F7407C"/>
    <w:pPr>
      <w:outlineLvl w:val="7"/>
    </w:pPr>
  </w:style>
  <w:style w:type="paragraph" w:styleId="Titre9">
    <w:name w:val="heading 9"/>
    <w:basedOn w:val="Normal"/>
    <w:next w:val="Normal"/>
    <w:qFormat/>
    <w:rsid w:val="00F7407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qFormat/>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eastAsia="x-none"/>
    </w:rPr>
  </w:style>
  <w:style w:type="character" w:styleId="Appelnotedebasdep">
    <w:name w:val="footnote reference"/>
    <w:aliases w:val="4_G"/>
    <w:uiPriority w:val="99"/>
    <w:qFormat/>
    <w:rsid w:val="00D016B5"/>
    <w:rPr>
      <w:rFonts w:ascii="Times New Roman" w:hAnsi="Times New Roman"/>
      <w:sz w:val="18"/>
      <w:vertAlign w:val="superscript"/>
      <w:lang w:val="fr-CH" w:eastAsia="x-none"/>
    </w:rPr>
  </w:style>
  <w:style w:type="character" w:styleId="Numrodepage">
    <w:name w:val="page number"/>
    <w:aliases w:val="7_G"/>
    <w:rsid w:val="00287E79"/>
    <w:rPr>
      <w:rFonts w:ascii="Times New Roman" w:hAnsi="Times New Roman"/>
      <w:b/>
      <w:sz w:val="18"/>
      <w:lang w:val="fr-CH" w:eastAsia="x-none"/>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2D781B"/>
    <w:pPr>
      <w:ind w:left="0"/>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locked/>
    <w:rsid w:val="00443CBE"/>
    <w:rPr>
      <w:sz w:val="18"/>
      <w:lang w:val="fr-CH" w:eastAsia="en-US"/>
    </w:rPr>
  </w:style>
  <w:style w:type="character" w:customStyle="1" w:styleId="SingleTxtGCar">
    <w:name w:val="_ Single Txt_G Car"/>
    <w:link w:val="SingleTxtG"/>
    <w:locked/>
    <w:rsid w:val="00443CBE"/>
    <w:rPr>
      <w:lang w:val="fr-CH" w:eastAsia="en-US"/>
    </w:rPr>
  </w:style>
  <w:style w:type="paragraph" w:styleId="Textedebulles">
    <w:name w:val="Balloon Text"/>
    <w:basedOn w:val="Normal"/>
    <w:link w:val="TextedebullesCar"/>
    <w:rsid w:val="0092533E"/>
    <w:pPr>
      <w:spacing w:line="240" w:lineRule="auto"/>
    </w:pPr>
    <w:rPr>
      <w:rFonts w:ascii="Tahoma" w:hAnsi="Tahoma"/>
      <w:sz w:val="16"/>
      <w:szCs w:val="16"/>
    </w:rPr>
  </w:style>
  <w:style w:type="character" w:customStyle="1" w:styleId="TextedebullesCar">
    <w:name w:val="Texte de bulles Car"/>
    <w:link w:val="Textedebulles"/>
    <w:locked/>
    <w:rsid w:val="0092533E"/>
    <w:rPr>
      <w:rFonts w:ascii="Tahoma" w:hAnsi="Tahoma"/>
      <w:sz w:val="16"/>
      <w:lang w:val="fr-CH" w:eastAsia="en-US"/>
    </w:rPr>
  </w:style>
  <w:style w:type="paragraph" w:styleId="Paragraphedeliste">
    <w:name w:val="List Paragraph"/>
    <w:basedOn w:val="Normal"/>
    <w:uiPriority w:val="34"/>
    <w:qFormat/>
    <w:rsid w:val="00755D63"/>
    <w:pPr>
      <w:ind w:left="720"/>
    </w:pPr>
  </w:style>
  <w:style w:type="paragraph" w:styleId="Rvision">
    <w:name w:val="Revision"/>
    <w:hidden/>
    <w:semiHidden/>
    <w:rsid w:val="00966651"/>
    <w:rPr>
      <w:lang w:val="fr-CH" w:eastAsia="en-US"/>
    </w:rPr>
  </w:style>
  <w:style w:type="character" w:styleId="Marquedecommentaire">
    <w:name w:val="annotation reference"/>
    <w:rsid w:val="00C72849"/>
    <w:rPr>
      <w:rFonts w:cs="Times New Roman"/>
      <w:sz w:val="16"/>
      <w:szCs w:val="16"/>
    </w:rPr>
  </w:style>
  <w:style w:type="paragraph" w:styleId="Commentaire">
    <w:name w:val="annotation text"/>
    <w:basedOn w:val="Normal"/>
    <w:link w:val="CommentaireCar"/>
    <w:rsid w:val="00C72849"/>
  </w:style>
  <w:style w:type="character" w:customStyle="1" w:styleId="CommentaireCar">
    <w:name w:val="Commentaire Car"/>
    <w:link w:val="Commentaire"/>
    <w:locked/>
    <w:rsid w:val="00C72849"/>
    <w:rPr>
      <w:rFonts w:cs="Times New Roman"/>
      <w:lang w:val="fr-CH" w:eastAsia="en-US"/>
    </w:rPr>
  </w:style>
  <w:style w:type="paragraph" w:styleId="Objetducommentaire">
    <w:name w:val="annotation subject"/>
    <w:basedOn w:val="Commentaire"/>
    <w:next w:val="Commentaire"/>
    <w:link w:val="ObjetducommentaireCar"/>
    <w:rsid w:val="00C72849"/>
    <w:rPr>
      <w:b/>
      <w:bCs/>
    </w:rPr>
  </w:style>
  <w:style w:type="character" w:customStyle="1" w:styleId="ObjetducommentaireCar">
    <w:name w:val="Objet du commentaire Car"/>
    <w:link w:val="Objetducommentaire"/>
    <w:locked/>
    <w:rsid w:val="00C72849"/>
    <w:rPr>
      <w:rFonts w:cs="Times New Roman"/>
      <w:b/>
      <w:bCs/>
      <w:lang w:val="fr-CH" w:eastAsia="en-US"/>
    </w:rPr>
  </w:style>
  <w:style w:type="character" w:customStyle="1" w:styleId="singletxtgcar0">
    <w:name w:val="singletxtgcar"/>
    <w:rsid w:val="00DF5F8A"/>
  </w:style>
  <w:style w:type="character" w:customStyle="1" w:styleId="SingleTxtGChar">
    <w:name w:val="_ Single Txt_G Char"/>
    <w:locked/>
    <w:rsid w:val="0085626D"/>
    <w:rPr>
      <w:lang w:val="fr-CH" w:eastAsia="en-US"/>
    </w:rPr>
  </w:style>
  <w:style w:type="character" w:customStyle="1" w:styleId="H23GChar">
    <w:name w:val="_ H_2/3_G Char"/>
    <w:link w:val="H23G"/>
    <w:locked/>
    <w:rsid w:val="00EA1DE2"/>
    <w:rPr>
      <w:b/>
      <w:lang w:val="fr-CH" w:eastAsia="en-US"/>
    </w:rPr>
  </w:style>
  <w:style w:type="paragraph" w:styleId="NormalWeb">
    <w:name w:val="Normal (Web)"/>
    <w:basedOn w:val="Normal"/>
    <w:rsid w:val="00AD45BB"/>
    <w:rPr>
      <w:sz w:val="24"/>
      <w:szCs w:val="24"/>
    </w:rPr>
  </w:style>
  <w:style w:type="paragraph" w:customStyle="1" w:styleId="Default">
    <w:name w:val="Default"/>
    <w:rsid w:val="00530C47"/>
    <w:pPr>
      <w:autoSpaceDE w:val="0"/>
      <w:autoSpaceDN w:val="0"/>
      <w:adjustRightInd w:val="0"/>
    </w:pPr>
    <w:rPr>
      <w:color w:val="000000"/>
      <w:sz w:val="24"/>
      <w:szCs w:val="24"/>
      <w:lang w:val="en-US"/>
    </w:rPr>
  </w:style>
  <w:style w:type="paragraph" w:styleId="Sansinterligne">
    <w:name w:val="No Spacing"/>
    <w:uiPriority w:val="1"/>
    <w:qFormat/>
    <w:rsid w:val="00C77358"/>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9932">
      <w:bodyDiv w:val="1"/>
      <w:marLeft w:val="0"/>
      <w:marRight w:val="0"/>
      <w:marTop w:val="0"/>
      <w:marBottom w:val="0"/>
      <w:divBdr>
        <w:top w:val="none" w:sz="0" w:space="0" w:color="auto"/>
        <w:left w:val="none" w:sz="0" w:space="0" w:color="auto"/>
        <w:bottom w:val="none" w:sz="0" w:space="0" w:color="auto"/>
        <w:right w:val="none" w:sz="0" w:space="0" w:color="auto"/>
      </w:divBdr>
      <w:divsChild>
        <w:div w:id="1251962875">
          <w:marLeft w:val="0"/>
          <w:marRight w:val="0"/>
          <w:marTop w:val="0"/>
          <w:marBottom w:val="0"/>
          <w:divBdr>
            <w:top w:val="none" w:sz="0" w:space="0" w:color="auto"/>
            <w:left w:val="none" w:sz="0" w:space="0" w:color="auto"/>
            <w:bottom w:val="none" w:sz="0" w:space="0" w:color="auto"/>
            <w:right w:val="none" w:sz="0" w:space="0" w:color="auto"/>
          </w:divBdr>
          <w:divsChild>
            <w:div w:id="1536696895">
              <w:marLeft w:val="0"/>
              <w:marRight w:val="0"/>
              <w:marTop w:val="0"/>
              <w:marBottom w:val="0"/>
              <w:divBdr>
                <w:top w:val="none" w:sz="0" w:space="0" w:color="auto"/>
                <w:left w:val="none" w:sz="0" w:space="0" w:color="auto"/>
                <w:bottom w:val="none" w:sz="0" w:space="0" w:color="auto"/>
                <w:right w:val="none" w:sz="0" w:space="0" w:color="auto"/>
              </w:divBdr>
              <w:divsChild>
                <w:div w:id="997226730">
                  <w:marLeft w:val="0"/>
                  <w:marRight w:val="0"/>
                  <w:marTop w:val="0"/>
                  <w:marBottom w:val="0"/>
                  <w:divBdr>
                    <w:top w:val="none" w:sz="0" w:space="0" w:color="auto"/>
                    <w:left w:val="none" w:sz="0" w:space="0" w:color="auto"/>
                    <w:bottom w:val="none" w:sz="0" w:space="0" w:color="auto"/>
                    <w:right w:val="none" w:sz="0" w:space="0" w:color="auto"/>
                  </w:divBdr>
                  <w:divsChild>
                    <w:div w:id="89083027">
                      <w:marLeft w:val="0"/>
                      <w:marRight w:val="0"/>
                      <w:marTop w:val="0"/>
                      <w:marBottom w:val="0"/>
                      <w:divBdr>
                        <w:top w:val="none" w:sz="0" w:space="0" w:color="auto"/>
                        <w:left w:val="none" w:sz="0" w:space="0" w:color="auto"/>
                        <w:bottom w:val="none" w:sz="0" w:space="0" w:color="auto"/>
                        <w:right w:val="none" w:sz="0" w:space="0" w:color="auto"/>
                      </w:divBdr>
                      <w:divsChild>
                        <w:div w:id="272712591">
                          <w:marLeft w:val="0"/>
                          <w:marRight w:val="0"/>
                          <w:marTop w:val="0"/>
                          <w:marBottom w:val="0"/>
                          <w:divBdr>
                            <w:top w:val="none" w:sz="0" w:space="0" w:color="auto"/>
                            <w:left w:val="none" w:sz="0" w:space="0" w:color="auto"/>
                            <w:bottom w:val="none" w:sz="0" w:space="0" w:color="auto"/>
                            <w:right w:val="none" w:sz="0" w:space="0" w:color="auto"/>
                          </w:divBdr>
                          <w:divsChild>
                            <w:div w:id="1481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50939">
      <w:bodyDiv w:val="1"/>
      <w:marLeft w:val="0"/>
      <w:marRight w:val="0"/>
      <w:marTop w:val="0"/>
      <w:marBottom w:val="0"/>
      <w:divBdr>
        <w:top w:val="none" w:sz="0" w:space="0" w:color="auto"/>
        <w:left w:val="none" w:sz="0" w:space="0" w:color="auto"/>
        <w:bottom w:val="none" w:sz="0" w:space="0" w:color="auto"/>
        <w:right w:val="none" w:sz="0" w:space="0" w:color="auto"/>
      </w:divBdr>
      <w:divsChild>
        <w:div w:id="747967908">
          <w:marLeft w:val="0"/>
          <w:marRight w:val="0"/>
          <w:marTop w:val="0"/>
          <w:marBottom w:val="0"/>
          <w:divBdr>
            <w:top w:val="none" w:sz="0" w:space="0" w:color="auto"/>
            <w:left w:val="none" w:sz="0" w:space="0" w:color="auto"/>
            <w:bottom w:val="none" w:sz="0" w:space="0" w:color="auto"/>
            <w:right w:val="none" w:sz="0" w:space="0" w:color="auto"/>
          </w:divBdr>
          <w:divsChild>
            <w:div w:id="194199527">
              <w:marLeft w:val="0"/>
              <w:marRight w:val="0"/>
              <w:marTop w:val="300"/>
              <w:marBottom w:val="300"/>
              <w:divBdr>
                <w:top w:val="none" w:sz="0" w:space="0" w:color="auto"/>
                <w:left w:val="none" w:sz="0" w:space="0" w:color="auto"/>
                <w:bottom w:val="none" w:sz="0" w:space="0" w:color="auto"/>
                <w:right w:val="none" w:sz="0" w:space="0" w:color="auto"/>
              </w:divBdr>
              <w:divsChild>
                <w:div w:id="1268345220">
                  <w:marLeft w:val="0"/>
                  <w:marRight w:val="0"/>
                  <w:marTop w:val="0"/>
                  <w:marBottom w:val="0"/>
                  <w:divBdr>
                    <w:top w:val="none" w:sz="0" w:space="0" w:color="auto"/>
                    <w:left w:val="none" w:sz="0" w:space="0" w:color="auto"/>
                    <w:bottom w:val="none" w:sz="0" w:space="0" w:color="auto"/>
                    <w:right w:val="none" w:sz="0" w:space="0" w:color="auto"/>
                  </w:divBdr>
                  <w:divsChild>
                    <w:div w:id="599219622">
                      <w:marLeft w:val="-300"/>
                      <w:marRight w:val="0"/>
                      <w:marTop w:val="0"/>
                      <w:marBottom w:val="0"/>
                      <w:divBdr>
                        <w:top w:val="none" w:sz="0" w:space="0" w:color="auto"/>
                        <w:left w:val="none" w:sz="0" w:space="0" w:color="auto"/>
                        <w:bottom w:val="none" w:sz="0" w:space="0" w:color="auto"/>
                        <w:right w:val="none" w:sz="0" w:space="0" w:color="auto"/>
                      </w:divBdr>
                      <w:divsChild>
                        <w:div w:id="1026373777">
                          <w:marLeft w:val="0"/>
                          <w:marRight w:val="0"/>
                          <w:marTop w:val="0"/>
                          <w:marBottom w:val="0"/>
                          <w:divBdr>
                            <w:top w:val="none" w:sz="0" w:space="0" w:color="auto"/>
                            <w:left w:val="none" w:sz="0" w:space="0" w:color="auto"/>
                            <w:bottom w:val="none" w:sz="0" w:space="0" w:color="auto"/>
                            <w:right w:val="none" w:sz="0" w:space="0" w:color="auto"/>
                          </w:divBdr>
                          <w:divsChild>
                            <w:div w:id="785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61461">
      <w:bodyDiv w:val="1"/>
      <w:marLeft w:val="0"/>
      <w:marRight w:val="0"/>
      <w:marTop w:val="0"/>
      <w:marBottom w:val="0"/>
      <w:divBdr>
        <w:top w:val="none" w:sz="0" w:space="0" w:color="auto"/>
        <w:left w:val="none" w:sz="0" w:space="0" w:color="auto"/>
        <w:bottom w:val="none" w:sz="0" w:space="0" w:color="auto"/>
        <w:right w:val="none" w:sz="0" w:space="0" w:color="auto"/>
      </w:divBdr>
    </w:div>
    <w:div w:id="1735734975">
      <w:bodyDiv w:val="1"/>
      <w:marLeft w:val="0"/>
      <w:marRight w:val="0"/>
      <w:marTop w:val="0"/>
      <w:marBottom w:val="0"/>
      <w:divBdr>
        <w:top w:val="none" w:sz="0" w:space="0" w:color="auto"/>
        <w:left w:val="none" w:sz="0" w:space="0" w:color="auto"/>
        <w:bottom w:val="none" w:sz="0" w:space="0" w:color="auto"/>
        <w:right w:val="none" w:sz="0" w:space="0" w:color="auto"/>
      </w:divBdr>
      <w:divsChild>
        <w:div w:id="832570444">
          <w:marLeft w:val="0"/>
          <w:marRight w:val="0"/>
          <w:marTop w:val="0"/>
          <w:marBottom w:val="0"/>
          <w:divBdr>
            <w:top w:val="none" w:sz="0" w:space="0" w:color="auto"/>
            <w:left w:val="none" w:sz="0" w:space="0" w:color="auto"/>
            <w:bottom w:val="none" w:sz="0" w:space="0" w:color="auto"/>
            <w:right w:val="none" w:sz="0" w:space="0" w:color="auto"/>
          </w:divBdr>
        </w:div>
      </w:divsChild>
    </w:div>
    <w:div w:id="2050445277">
      <w:bodyDiv w:val="1"/>
      <w:marLeft w:val="0"/>
      <w:marRight w:val="0"/>
      <w:marTop w:val="0"/>
      <w:marBottom w:val="0"/>
      <w:divBdr>
        <w:top w:val="none" w:sz="0" w:space="0" w:color="auto"/>
        <w:left w:val="none" w:sz="0" w:space="0" w:color="auto"/>
        <w:bottom w:val="none" w:sz="0" w:space="0" w:color="auto"/>
        <w:right w:val="none" w:sz="0" w:space="0" w:color="auto"/>
      </w:divBdr>
      <w:divsChild>
        <w:div w:id="81418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259E-F92D-4B88-AD4D-EB258692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3788</Words>
  <Characters>20876</Characters>
  <Application>Microsoft Office Word</Application>
  <DocSecurity>0</DocSecurity>
  <Lines>311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CED/C/SEN/CO/1</vt:lpstr>
      <vt:lpstr>CED/C/BFA/CO/1</vt:lpstr>
    </vt:vector>
  </TitlesOfParts>
  <Company>CSD</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CED/C/SEN/CO/1</dc:title>
  <dc:subject>qrcodes</dc:subject>
  <dc:creator>dvx</dc:creator>
  <cp:keywords/>
  <dc:description/>
  <cp:lastModifiedBy>Devouass</cp:lastModifiedBy>
  <cp:revision>2</cp:revision>
  <cp:lastPrinted>2017-04-05T15:54:00Z</cp:lastPrinted>
  <dcterms:created xsi:type="dcterms:W3CDTF">2017-04-18T08:54:00Z</dcterms:created>
  <dcterms:modified xsi:type="dcterms:W3CDTF">2017-04-18T08:54:00Z</dcterms:modified>
</cp:coreProperties>
</file>