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after="240"/>
        <w:ind w:left="62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5.05pt;margin-top:57.6pt;width:94.95pt;height:35.9pt;z-index:1;mso-position-horizontal-relative:page;mso-position-vertical-relative:page" o:allowincell="f" filled="f" stroked="f">
            <v:textbox inset="0">
              <w:txbxContent>
                <w:p w:rsidR="00000000" w:rsidRDefault="00000000">
                  <w:pPr>
                    <w:pStyle w:val="Heading2"/>
                    <w:spacing w:after="0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NATIONS</w:t>
                  </w:r>
                </w:p>
                <w:p w:rsidR="00000000" w:rsidRDefault="00000000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UNIES</w:t>
                  </w:r>
                </w:p>
              </w:txbxContent>
            </v:textbox>
            <w10:wrap anchorx="page" anchory="page"/>
          </v:shape>
        </w:pict>
      </w:r>
    </w:p>
    <w:p w:rsidR="00000000" w:rsidRDefault="00000000">
      <w:pPr>
        <w:spacing w:after="240"/>
        <w:ind w:left="6240"/>
      </w:pPr>
    </w:p>
    <w:p w:rsidR="00000000" w:rsidRDefault="00000000">
      <w:pPr>
        <w:ind w:left="624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82.65pt;margin-top:117.95pt;width:68.05pt;height:63.9pt;z-index:6;visibility:visible;mso-wrap-edited:f;mso-position-horizontal-relative:page;mso-position-vertical-relative:page">
            <v:imagedata r:id="rId7" o:title=""/>
            <w10:wrap anchorx="page" anchory="page"/>
          </v:shape>
          <o:OLEObject Type="Embed" ProgID="Word.Picture.8" ShapeID="_x0000_s1037" DrawAspect="Content" ObjectID="_1393001467" r:id="rId8"/>
        </w:pict>
      </w:r>
      <w:r>
        <w:pict>
          <v:shape id="_x0000_s1033" type="#_x0000_t202" style="position:absolute;left:0;text-align:left;margin-left:439.2pt;margin-top:51.05pt;width:113.6pt;height:44.2pt;z-index:2;mso-position-horizontal-relative:page;mso-position-vertical-relative:page" o:allowincell="f" filled="f" stroked="f">
            <v:textbox inset="0,0,0,0">
              <w:txbxContent>
                <w:p w:rsidR="00000000" w:rsidRDefault="00000000">
                  <w:pPr>
                    <w:pStyle w:val="BodyText"/>
                    <w:rPr>
                      <w:sz w:val="72"/>
                    </w:rPr>
                  </w:pPr>
                  <w:r>
                    <w:rPr>
                      <w:sz w:val="72"/>
                    </w:rPr>
                    <w:t>CCPR</w:t>
                  </w:r>
                </w:p>
              </w:txbxContent>
            </v:textbox>
            <w10:wrap anchorx="page" anchory="page"/>
          </v:shape>
        </w:pict>
      </w:r>
      <w:r>
        <w:pict>
          <v:rect id="_x0000_s1035" style="position:absolute;left:0;text-align:left;margin-left:0;margin-top:217.35pt;width:467.7pt;height:4.25pt;z-index:-4;mso-position-horizontal-relative:margin;mso-position-vertical-relative:page" fillcolor="black" stroked="f" strokeweight="0">
            <v:fill color2="black"/>
            <w10:wrap anchorx="margin" anchory="page"/>
            <w10:anchorlock/>
          </v:rect>
        </w:pict>
      </w:r>
      <w:r>
        <w:pict>
          <v:rect id="_x0000_s1034" style="position:absolute;left:0;text-align:left;margin-left:-.1pt;margin-top:104.9pt;width:467.7pt;height:.95pt;z-index:-5;mso-position-horizontal-relative:margin;mso-position-vertical-relative:page" o:allowincell="f" fillcolor="black" stroked="f" strokeweight="0">
            <v:fill color2="black"/>
            <w10:wrap anchorx="margin" anchory="page"/>
            <w10:anchorlock/>
          </v:rect>
        </w:pict>
      </w:r>
      <w:r>
        <w:pict>
          <v:rect id="_x0000_s1036" style="position:absolute;left:0;text-align:left;margin-left:165.6pt;margin-top:122.4pt;width:187.2pt;height:1in;z-index:-3;mso-position-horizontal-relative:page;mso-position-vertical-relative:page" o:allowincell="f" filled="f" stroked="f" strokeweight="0">
            <v:textbox style="mso-next-textbox:#_x0000_s1036" inset="0,0,0,0">
              <w:txbxContent>
                <w:p w:rsidR="00000000" w:rsidRDefault="00000000">
                  <w:pPr>
                    <w:pStyle w:val="Heading2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Pacte international relatif aux droits civils</w:t>
                  </w:r>
                  <w:r>
                    <w:rPr>
                      <w:sz w:val="32"/>
                      <w:szCs w:val="32"/>
                    </w:rPr>
                    <w:br/>
                    <w:t>et politiques</w:t>
                  </w:r>
                </w:p>
              </w:txbxContent>
            </v:textbox>
            <w10:wrap anchorx="page" anchory="page"/>
          </v:rect>
        </w:pict>
      </w:r>
      <w:r>
        <w:t>Distr.</w:t>
      </w:r>
      <w:r>
        <w:br/>
        <w:t>GÉNÉRALE</w:t>
      </w:r>
    </w:p>
    <w:p w:rsidR="00000000" w:rsidRDefault="00000000">
      <w:pPr>
        <w:ind w:left="6240"/>
      </w:pPr>
    </w:p>
    <w:p w:rsidR="00000000" w:rsidRDefault="00000000">
      <w:pPr>
        <w:ind w:left="6240" w:right="-244"/>
      </w:pPr>
      <w:r>
        <w:t>CCPR/C/DZA/Q/3/Add.1/Corr.1</w:t>
      </w:r>
      <w:r>
        <w:br/>
        <w:t>17 octobre 2007</w:t>
      </w:r>
    </w:p>
    <w:p w:rsidR="00000000" w:rsidRDefault="00000000">
      <w:pPr>
        <w:ind w:left="6237" w:right="-604"/>
      </w:pPr>
      <w:r>
        <w:br/>
      </w:r>
      <w:r>
        <w:tab/>
        <w:t>FRANÇAIS SEULEMENT</w:t>
      </w:r>
    </w:p>
    <w:p w:rsidR="00000000" w:rsidRDefault="00000000">
      <w:pPr>
        <w:outlineLvl w:val="0"/>
      </w:pPr>
    </w:p>
    <w:p w:rsidR="00000000" w:rsidRDefault="00000000">
      <w:pPr>
        <w:outlineLvl w:val="0"/>
      </w:pPr>
    </w:p>
    <w:p w:rsidR="00000000" w:rsidRDefault="00000000">
      <w:pPr>
        <w:tabs>
          <w:tab w:val="left" w:pos="6237"/>
        </w:tabs>
      </w:pPr>
      <w:r>
        <w:t>COMITÉ DES DROITS DE L’HOMME</w:t>
      </w:r>
      <w:r>
        <w:br/>
        <w:t>Quatre</w:t>
      </w:r>
      <w:r>
        <w:noBreakHyphen/>
        <w:t>vingt</w:t>
      </w:r>
      <w:r>
        <w:noBreakHyphen/>
        <w:t>onzième session</w:t>
      </w:r>
      <w:r>
        <w:br/>
        <w:t>Genève, 15 octobre</w:t>
      </w:r>
      <w:r>
        <w:noBreakHyphen/>
        <w:t>2 novembre 2007</w:t>
      </w:r>
    </w:p>
    <w:p w:rsidR="00000000" w:rsidRDefault="00000000">
      <w:pPr>
        <w:spacing w:after="240"/>
      </w:pPr>
    </w:p>
    <w:p w:rsidR="00000000" w:rsidRDefault="00000000">
      <w:pPr>
        <w:ind w:left="567"/>
        <w:rPr>
          <w:b/>
          <w:bCs/>
        </w:rPr>
      </w:pPr>
      <w:r>
        <w:rPr>
          <w:b/>
          <w:bCs/>
        </w:rPr>
        <w:t>RÉPONSES DU GOUVERNEMENT DE LA RÉPUBLIQUE ALGERIENNE</w:t>
      </w:r>
      <w:r>
        <w:rPr>
          <w:b/>
          <w:bCs/>
        </w:rPr>
        <w:br/>
        <w:t>À LA LISTE DES POINTS À TRAITER (CCPR/C/DZA/Q/3) À L’OCCASION</w:t>
      </w:r>
      <w:r>
        <w:rPr>
          <w:b/>
          <w:bCs/>
        </w:rPr>
        <w:br/>
        <w:t>DE L’EXAMEN DU TROISIÈME RAPPORT PÉRIODIQUE DE L’ALGÉRIE</w:t>
      </w:r>
    </w:p>
    <w:p w:rsidR="00000000" w:rsidRDefault="00000000">
      <w:pPr>
        <w:spacing w:after="240"/>
        <w:jc w:val="center"/>
        <w:rPr>
          <w:b/>
          <w:bCs/>
        </w:rPr>
      </w:pPr>
      <w:r>
        <w:rPr>
          <w:b/>
          <w:bCs/>
        </w:rPr>
        <w:t>(CCPR/C/DZA/3)</w:t>
      </w:r>
      <w:r>
        <w:rPr>
          <w:rStyle w:val="FootnoteReference"/>
          <w:b w:val="0"/>
          <w:bCs/>
        </w:rPr>
        <w:footnoteReference w:customMarkFollows="1" w:id="1"/>
        <w:t>*</w:t>
      </w:r>
    </w:p>
    <w:p w:rsidR="00000000" w:rsidRDefault="00000000">
      <w:pPr>
        <w:spacing w:after="240"/>
        <w:jc w:val="center"/>
        <w:rPr>
          <w:b/>
          <w:bCs/>
        </w:rPr>
      </w:pPr>
      <w:r>
        <w:rPr>
          <w:b/>
          <w:bCs/>
        </w:rPr>
        <w:t>Corrigendum</w:t>
      </w:r>
    </w:p>
    <w:p w:rsidR="00000000" w:rsidRDefault="00000000">
      <w:pPr>
        <w:autoSpaceDE w:val="0"/>
        <w:autoSpaceDN w:val="0"/>
        <w:adjustRightInd w:val="0"/>
        <w:spacing w:line="240" w:lineRule="atLeast"/>
        <w:rPr>
          <w:rFonts w:eastAsia="SimSun"/>
          <w:color w:val="000000"/>
          <w:szCs w:val="24"/>
          <w:lang w:val="fr-FR" w:eastAsia="zh-CN"/>
        </w:rPr>
      </w:pPr>
      <w:r>
        <w:rPr>
          <w:rFonts w:eastAsia="SimSun"/>
          <w:color w:val="000000"/>
          <w:szCs w:val="24"/>
          <w:lang w:val="fr-FR" w:eastAsia="zh-CN"/>
        </w:rPr>
        <w:t>A la réponse 10, point 3, les deux premiers paragraphes doivent se lire comme suit:</w:t>
      </w:r>
    </w:p>
    <w:p w:rsidR="00000000" w:rsidRDefault="00000000">
      <w:pPr>
        <w:autoSpaceDE w:val="0"/>
        <w:autoSpaceDN w:val="0"/>
        <w:adjustRightInd w:val="0"/>
        <w:spacing w:line="240" w:lineRule="atLeast"/>
        <w:rPr>
          <w:rFonts w:eastAsia="SimSun"/>
          <w:color w:val="000000"/>
          <w:szCs w:val="24"/>
          <w:lang w:val="fr-FR" w:eastAsia="zh-CN"/>
        </w:rPr>
      </w:pPr>
    </w:p>
    <w:p w:rsidR="00000000" w:rsidRDefault="00000000">
      <w:pPr>
        <w:autoSpaceDE w:val="0"/>
        <w:autoSpaceDN w:val="0"/>
        <w:adjustRightInd w:val="0"/>
        <w:spacing w:line="240" w:lineRule="atLeast"/>
        <w:ind w:left="360"/>
        <w:jc w:val="both"/>
        <w:rPr>
          <w:rFonts w:eastAsia="SimSun"/>
          <w:color w:val="000000"/>
          <w:szCs w:val="24"/>
          <w:lang w:val="fr-FR" w:eastAsia="zh-CN"/>
        </w:rPr>
      </w:pPr>
      <w:r>
        <w:rPr>
          <w:rFonts w:eastAsia="SimSun"/>
          <w:color w:val="000000"/>
          <w:szCs w:val="24"/>
          <w:lang w:val="fr-FR" w:eastAsia="zh-CN"/>
        </w:rPr>
        <w:t>Le nombre de condamnés à mort dont la peine n’a pas encore été commuée est de 112</w:t>
      </w:r>
      <w:r>
        <w:rPr>
          <w:rFonts w:eastAsia="SimSun"/>
          <w:b/>
          <w:bCs/>
          <w:color w:val="000000"/>
          <w:szCs w:val="24"/>
          <w:lang w:val="fr-FR" w:eastAsia="zh-CN"/>
        </w:rPr>
        <w:t xml:space="preserve"> </w:t>
      </w:r>
      <w:r>
        <w:rPr>
          <w:rFonts w:eastAsia="SimSun"/>
          <w:color w:val="000000"/>
          <w:szCs w:val="24"/>
          <w:lang w:val="fr-FR" w:eastAsia="zh-CN"/>
        </w:rPr>
        <w:t xml:space="preserve">réparti, selon les infractions commises, comme suit : </w:t>
      </w:r>
    </w:p>
    <w:p w:rsidR="00000000" w:rsidRDefault="00000000">
      <w:pPr>
        <w:autoSpaceDE w:val="0"/>
        <w:autoSpaceDN w:val="0"/>
        <w:adjustRightInd w:val="0"/>
        <w:spacing w:line="240" w:lineRule="atLeast"/>
        <w:ind w:left="360"/>
        <w:jc w:val="both"/>
        <w:rPr>
          <w:rFonts w:eastAsia="SimSun"/>
          <w:color w:val="000000"/>
          <w:szCs w:val="24"/>
          <w:lang w:val="fr-FR" w:eastAsia="zh-CN"/>
        </w:rPr>
      </w:pPr>
    </w:p>
    <w:p w:rsidR="00000000" w:rsidRDefault="00000000">
      <w:pPr>
        <w:autoSpaceDE w:val="0"/>
        <w:autoSpaceDN w:val="0"/>
        <w:adjustRightInd w:val="0"/>
        <w:spacing w:line="240" w:lineRule="atLeast"/>
        <w:ind w:left="360" w:firstLine="888"/>
        <w:jc w:val="both"/>
        <w:rPr>
          <w:rFonts w:eastAsia="SimSun"/>
          <w:color w:val="000000"/>
          <w:szCs w:val="24"/>
          <w:lang w:val="fr-FR" w:eastAsia="zh-CN"/>
        </w:rPr>
      </w:pPr>
      <w:r>
        <w:rPr>
          <w:rFonts w:eastAsia="SimSun"/>
          <w:b/>
          <w:bCs/>
          <w:color w:val="000000"/>
          <w:szCs w:val="24"/>
          <w:lang w:val="fr-FR" w:eastAsia="zh-CN"/>
        </w:rPr>
        <w:t xml:space="preserve">- </w:t>
      </w:r>
      <w:r>
        <w:rPr>
          <w:rFonts w:eastAsia="SimSun"/>
          <w:color w:val="000000"/>
          <w:szCs w:val="24"/>
          <w:lang w:val="fr-FR" w:eastAsia="zh-CN"/>
        </w:rPr>
        <w:t xml:space="preserve">28 pour assassinat, </w:t>
      </w:r>
    </w:p>
    <w:p w:rsidR="00000000" w:rsidRDefault="00000000">
      <w:pPr>
        <w:autoSpaceDE w:val="0"/>
        <w:autoSpaceDN w:val="0"/>
        <w:adjustRightInd w:val="0"/>
        <w:spacing w:line="240" w:lineRule="atLeast"/>
        <w:ind w:left="360" w:firstLine="888"/>
        <w:jc w:val="both"/>
        <w:rPr>
          <w:rFonts w:eastAsia="SimSun"/>
          <w:color w:val="000000"/>
          <w:szCs w:val="24"/>
          <w:lang w:val="fr-FR" w:eastAsia="zh-CN"/>
        </w:rPr>
      </w:pPr>
      <w:r>
        <w:rPr>
          <w:rFonts w:eastAsia="SimSun"/>
          <w:color w:val="000000"/>
          <w:szCs w:val="24"/>
          <w:lang w:val="fr-FR" w:eastAsia="zh-CN"/>
        </w:rPr>
        <w:t xml:space="preserve">- 07 pour association de malfaiteurs et vol aggravé, </w:t>
      </w:r>
    </w:p>
    <w:p w:rsidR="00000000" w:rsidRDefault="00000000">
      <w:pPr>
        <w:autoSpaceDE w:val="0"/>
        <w:autoSpaceDN w:val="0"/>
        <w:adjustRightInd w:val="0"/>
        <w:spacing w:line="240" w:lineRule="atLeast"/>
        <w:ind w:left="360" w:firstLine="888"/>
        <w:jc w:val="both"/>
        <w:rPr>
          <w:rFonts w:eastAsia="SimSun"/>
          <w:color w:val="000000"/>
          <w:szCs w:val="24"/>
          <w:lang w:val="fr-FR" w:eastAsia="zh-CN"/>
        </w:rPr>
      </w:pPr>
      <w:r>
        <w:rPr>
          <w:rFonts w:eastAsia="SimSun"/>
          <w:color w:val="000000"/>
          <w:szCs w:val="24"/>
          <w:lang w:val="fr-FR" w:eastAsia="zh-CN"/>
        </w:rPr>
        <w:t xml:space="preserve">- 74 pour actes terroristes, </w:t>
      </w:r>
    </w:p>
    <w:p w:rsidR="00000000" w:rsidRDefault="00000000">
      <w:pPr>
        <w:spacing w:after="240"/>
        <w:ind w:left="681" w:firstLine="567"/>
        <w:rPr>
          <w:szCs w:val="24"/>
          <w:lang w:val="fr-FR"/>
        </w:rPr>
      </w:pPr>
      <w:r>
        <w:rPr>
          <w:rFonts w:eastAsia="SimSun"/>
          <w:noProof/>
          <w:color w:val="000000"/>
          <w:sz w:val="20"/>
          <w:szCs w:val="24"/>
          <w:lang w:val="en-US"/>
        </w:rPr>
        <w:pict>
          <v:shape id="_x0000_s1038" type="#_x0000_t202" style="position:absolute;left:0;text-align:left;margin-left:-6pt;margin-top:246.4pt;width:102pt;height:27pt;z-index:7" stroked="f">
            <v:textbox>
              <w:txbxContent>
                <w:p w:rsidR="00000000" w:rsidRDefault="00000000">
                  <w:r>
                    <w:rPr>
                      <w:rFonts w:hint="eastAsia"/>
                    </w:rPr>
                    <w:t>GE.07-44</w:t>
                  </w:r>
                  <w:r>
                    <w:t>608</w:t>
                  </w:r>
                </w:p>
              </w:txbxContent>
            </v:textbox>
          </v:shape>
        </w:pict>
      </w:r>
      <w:r>
        <w:rPr>
          <w:rFonts w:eastAsia="SimSun"/>
          <w:color w:val="000000"/>
          <w:szCs w:val="24"/>
          <w:lang w:val="fr-FR" w:eastAsia="zh-CN"/>
        </w:rPr>
        <w:t>- 03 pour contrefaçon de monnaie et association de malfaiteurs.</w:t>
      </w:r>
    </w:p>
    <w:sectPr w:rsidR="00000000">
      <w:headerReference w:type="even" r:id="rId9"/>
      <w:headerReference w:type="default" r:id="rId10"/>
      <w:endnotePr>
        <w:numFmt w:val="decimal"/>
      </w:endnotePr>
      <w:pgSz w:w="11907" w:h="16840" w:code="9"/>
      <w:pgMar w:top="1134" w:right="850" w:bottom="1984" w:left="1701" w:header="850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  <w:footnote w:id="1">
    <w:p w:rsidR="00000000" w:rsidRDefault="00000000">
      <w:pPr>
        <w:pStyle w:val="FootnoteText"/>
      </w:pPr>
      <w:r>
        <w:rPr>
          <w:rStyle w:val="FootnoteReference"/>
        </w:rPr>
        <w:t>*</w:t>
      </w:r>
      <w:r>
        <w:t xml:space="preserve"> Conformément aux informations communiquées aux États parties concernant le traitement de leurs rapports, les services d’édition n’ont pas revu le présent document avant sa traduction par le secrétariat.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t>CCPR/C/DZA/Q/3</w:t>
    </w:r>
  </w:p>
  <w:p w:rsidR="00000000" w:rsidRDefault="00000000">
    <w:pPr>
      <w:pStyle w:val="Head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clear" w:pos="4320"/>
        <w:tab w:val="clear" w:pos="8640"/>
        <w:tab w:val="left" w:pos="6803"/>
      </w:tabs>
    </w:pPr>
    <w:r>
      <w:tab/>
      <w:t>CCPR/C/DZA/Q/3</w:t>
    </w:r>
  </w:p>
  <w:p w:rsidR="00000000" w:rsidRDefault="00000000">
    <w:pPr>
      <w:pStyle w:val="Header"/>
      <w:tabs>
        <w:tab w:val="clear" w:pos="4320"/>
        <w:tab w:val="clear" w:pos="8640"/>
        <w:tab w:val="left" w:pos="6803"/>
      </w:tabs>
    </w:pP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000000" w:rsidRDefault="00000000">
    <w:pPr>
      <w:pStyle w:val="Header"/>
      <w:tabs>
        <w:tab w:val="clear" w:pos="4320"/>
        <w:tab w:val="clear" w:pos="8640"/>
        <w:tab w:val="left" w:pos="680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49C6"/>
    <w:multiLevelType w:val="singleLevel"/>
    <w:tmpl w:val="E3B2C61A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">
    <w:nsid w:val="3CB061AB"/>
    <w:multiLevelType w:val="singleLevel"/>
    <w:tmpl w:val="243A09C4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">
    <w:nsid w:val="435556E9"/>
    <w:multiLevelType w:val="hybridMultilevel"/>
    <w:tmpl w:val="EBEC5F54"/>
    <w:lvl w:ilvl="0" w:tplc="E266290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71550D"/>
    <w:multiLevelType w:val="singleLevel"/>
    <w:tmpl w:val="2354CE3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">
    <w:nsid w:val="5C5200AE"/>
    <w:multiLevelType w:val="hybridMultilevel"/>
    <w:tmpl w:val="7B1C4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F349BD"/>
    <w:multiLevelType w:val="singleLevel"/>
    <w:tmpl w:val="1AEC463A"/>
    <w:lvl w:ilvl="0">
      <w:start w:val="1"/>
      <w:numFmt w:val="lowerRoman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5"/>
  </w:num>
  <w:num w:numId="5">
    <w:abstractNumId w:val="0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1"/>
  </w:num>
  <w:num w:numId="11">
    <w:abstractNumId w:val="1"/>
  </w:num>
  <w:num w:numId="12">
    <w:abstractNumId w:val="5"/>
  </w:num>
  <w:num w:numId="13">
    <w:abstractNumId w:val="1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  <w:num w:numId="26">
    <w:abstractNumId w:val="1"/>
  </w:num>
  <w:num w:numId="27">
    <w:abstractNumId w:val="0"/>
  </w:num>
  <w:num w:numId="28">
    <w:abstractNumId w:val="1"/>
  </w:num>
  <w:num w:numId="29">
    <w:abstractNumId w:val="1"/>
  </w:num>
  <w:num w:numId="30">
    <w:abstractNumId w:val="1"/>
  </w:num>
  <w:num w:numId="31">
    <w:abstractNumId w:val="0"/>
  </w:num>
  <w:num w:numId="32">
    <w:abstractNumId w:val="0"/>
  </w:num>
  <w:num w:numId="33">
    <w:abstractNumId w:val="5"/>
  </w:num>
  <w:num w:numId="34">
    <w:abstractNumId w:val="0"/>
  </w:num>
  <w:num w:numId="35">
    <w:abstractNumId w:val="5"/>
  </w:num>
  <w:num w:numId="36">
    <w:abstractNumId w:val="5"/>
  </w:num>
  <w:num w:numId="37">
    <w:abstractNumId w:val="0"/>
  </w:num>
  <w:num w:numId="38">
    <w:abstractNumId w:val="5"/>
  </w:num>
  <w:num w:numId="39">
    <w:abstractNumId w:val="0"/>
  </w:num>
  <w:num w:numId="40">
    <w:abstractNumId w:val="0"/>
  </w:num>
  <w:num w:numId="41">
    <w:abstractNumId w:val="0"/>
  </w:num>
  <w:num w:numId="42">
    <w:abstractNumId w:val="5"/>
  </w:num>
  <w:num w:numId="43">
    <w:abstractNumId w:val="0"/>
  </w:num>
  <w:num w:numId="44">
    <w:abstractNumId w:val="5"/>
  </w:num>
  <w:num w:numId="45">
    <w:abstractNumId w:val="0"/>
  </w:num>
  <w:num w:numId="46">
    <w:abstractNumId w:val="0"/>
  </w:num>
  <w:num w:numId="47">
    <w:abstractNumId w:val="3"/>
  </w:num>
  <w:num w:numId="48">
    <w:abstractNumId w:val="2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activeWritingStyle w:appName="MSWord" w:lang="fr-CH" w:vendorID="64" w:dllVersion="131078" w:nlCheck="1" w:checkStyle="1"/>
  <w:activeWritingStyle w:appName="MSWord" w:lang="en-GB" w:vendorID="64" w:dllVersion="131077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9" w:dllVersion="512" w:checkStyle="1"/>
  <w:activeWritingStyle w:appName="MSWord" w:lang="de-CH" w:vendorID="9" w:dllVersion="512" w:checkStyle="1"/>
  <w:trackRevisions/>
  <w:doNotTrackMoves/>
  <w:defaultTabStop w:val="567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240"/>
      <w:outlineLvl w:val="2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b/>
      <w:sz w:val="24"/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EndnoteReference">
    <w:name w:val="endnote reference"/>
    <w:semiHidden/>
    <w:rPr>
      <w:rFonts w:ascii="Times New Roman" w:hAnsi="Times New Roman"/>
      <w:b/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BodyText">
    <w:name w:val="Body Text"/>
    <w:basedOn w:val="Normal"/>
    <w:semiHidden/>
    <w:rPr>
      <w:rFonts w:ascii="Arial" w:hAnsi="Arial"/>
      <w:b/>
      <w:sz w:val="28"/>
      <w:lang w:eastAsia="fr-FR"/>
    </w:rPr>
  </w:style>
  <w:style w:type="character" w:styleId="Hyperlink">
    <w:name w:val="Hyperlink"/>
    <w:semiHidden/>
    <w:rPr>
      <w:strike w:val="0"/>
      <w:dstrike w:val="0"/>
      <w:color w:val="4488CC"/>
      <w:u w:val="none"/>
      <w:effect w:val="non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112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CCPR/C/DZA/Q/3/CRP.1</vt:lpstr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CCPR/C/DZA/Q/3/CRP.1</dc:title>
  <dc:subject/>
  <dc:creator>Dominique Toutain</dc:creator>
  <cp:keywords/>
  <dc:description/>
  <cp:lastModifiedBy>csd</cp:lastModifiedBy>
  <cp:revision>2</cp:revision>
  <cp:lastPrinted>2007-10-17T12:11:00Z</cp:lastPrinted>
  <dcterms:created xsi:type="dcterms:W3CDTF">2007-10-19T15:50:00Z</dcterms:created>
  <dcterms:modified xsi:type="dcterms:W3CDTF">2007-10-19T15:50:00Z</dcterms:modified>
</cp:coreProperties>
</file>