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FA1F7D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956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95629" w:rsidRDefault="00B95629" w:rsidP="00B95629">
            <w:pPr>
              <w:jc w:val="right"/>
              <w:rPr>
                <w:lang w:val="en-US"/>
              </w:rPr>
            </w:pPr>
            <w:r w:rsidRPr="00B95629">
              <w:rPr>
                <w:sz w:val="40"/>
                <w:lang w:val="en-US"/>
              </w:rPr>
              <w:t>CRPD</w:t>
            </w:r>
            <w:r w:rsidRPr="00B95629">
              <w:rPr>
                <w:lang w:val="en-US"/>
              </w:rPr>
              <w:t>/C/BIH/CO/1/Add.1</w:t>
            </w:r>
          </w:p>
        </w:tc>
      </w:tr>
      <w:tr w:rsidR="00B95629" w:rsidRPr="00FA1F7D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95629" w:rsidRDefault="00B95629" w:rsidP="00B95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EA1DE2" wp14:editId="2289212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95629" w:rsidRPr="00033EE1" w:rsidRDefault="00B95629" w:rsidP="00B9562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95629" w:rsidRPr="00B95629" w:rsidRDefault="00B95629" w:rsidP="00B95629">
            <w:pPr>
              <w:spacing w:before="240"/>
              <w:rPr>
                <w:lang w:val="en-US"/>
              </w:rPr>
            </w:pPr>
            <w:r w:rsidRPr="00B95629">
              <w:rPr>
                <w:lang w:val="en-US"/>
              </w:rPr>
              <w:t>Distr.: General</w:t>
            </w:r>
          </w:p>
          <w:p w:rsidR="00B95629" w:rsidRPr="00B95629" w:rsidRDefault="00B95629" w:rsidP="00B95629">
            <w:pPr>
              <w:suppressAutoHyphens w:val="0"/>
              <w:rPr>
                <w:lang w:val="en-US"/>
              </w:rPr>
            </w:pPr>
            <w:r w:rsidRPr="00B95629">
              <w:rPr>
                <w:lang w:val="en-US"/>
              </w:rPr>
              <w:t>3 June 2019</w:t>
            </w:r>
          </w:p>
          <w:p w:rsidR="00B95629" w:rsidRPr="00B95629" w:rsidRDefault="00B95629" w:rsidP="00B95629">
            <w:pPr>
              <w:suppressAutoHyphens w:val="0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95629" w:rsidRPr="00B95629" w:rsidRDefault="00B95629" w:rsidP="00B95629">
            <w:pPr>
              <w:suppressAutoHyphens w:val="0"/>
              <w:rPr>
                <w:lang w:val="en-US"/>
              </w:rPr>
            </w:pPr>
            <w:r w:rsidRPr="00B95629">
              <w:rPr>
                <w:lang w:val="en-US"/>
              </w:rPr>
              <w:t>Original: English</w:t>
            </w:r>
          </w:p>
          <w:p w:rsidR="00B95629" w:rsidRPr="00B95629" w:rsidRDefault="00B95629" w:rsidP="00B95629">
            <w:pPr>
              <w:suppressAutoHyphens w:val="0"/>
              <w:rPr>
                <w:lang w:val="en-US"/>
              </w:rPr>
            </w:pPr>
            <w:r w:rsidRPr="00B95629">
              <w:rPr>
                <w:lang w:val="en-US"/>
              </w:rPr>
              <w:t>English, Russian and Spanish only</w:t>
            </w:r>
          </w:p>
        </w:tc>
      </w:tr>
    </w:tbl>
    <w:p w:rsidR="00C31C82" w:rsidRPr="00451D46" w:rsidRDefault="00C31C82" w:rsidP="00451D46">
      <w:pPr>
        <w:spacing w:before="120"/>
        <w:rPr>
          <w:b/>
          <w:bCs/>
          <w:sz w:val="24"/>
          <w:szCs w:val="24"/>
        </w:rPr>
      </w:pPr>
      <w:r w:rsidRPr="00451D46">
        <w:rPr>
          <w:b/>
          <w:bCs/>
          <w:sz w:val="24"/>
          <w:szCs w:val="24"/>
        </w:rPr>
        <w:t>Комитет по правам инвалидов</w:t>
      </w:r>
    </w:p>
    <w:p w:rsidR="00C31C82" w:rsidRPr="00A32766" w:rsidRDefault="00C31C82" w:rsidP="00C31C82">
      <w:pPr>
        <w:rPr>
          <w:rFonts w:eastAsia="Times New Roman"/>
          <w:b/>
        </w:rPr>
      </w:pPr>
      <w:r>
        <w:rPr>
          <w:b/>
          <w:bCs/>
        </w:rPr>
        <w:t>Двадцать вторая сессия</w:t>
      </w:r>
    </w:p>
    <w:p w:rsidR="00C31C82" w:rsidRPr="00A32766" w:rsidRDefault="00C31C82" w:rsidP="00C31C82">
      <w:pPr>
        <w:rPr>
          <w:rFonts w:eastAsia="Times New Roman"/>
        </w:rPr>
      </w:pPr>
      <w:r>
        <w:t>26 августа – 20 сентября 2019 года</w:t>
      </w:r>
    </w:p>
    <w:p w:rsidR="00C31C82" w:rsidRPr="00A32766" w:rsidRDefault="00C31C82" w:rsidP="00C31C82">
      <w:pPr>
        <w:rPr>
          <w:rFonts w:eastAsia="Times New Roman"/>
        </w:rPr>
      </w:pPr>
      <w:r>
        <w:t>Пункт 5 предварительной повестки дня</w:t>
      </w:r>
      <w:bookmarkStart w:id="0" w:name="_GoBack"/>
      <w:bookmarkEnd w:id="0"/>
    </w:p>
    <w:p w:rsidR="00C31C82" w:rsidRPr="00A32766" w:rsidRDefault="00C31C82" w:rsidP="00C31C82">
      <w:pPr>
        <w:rPr>
          <w:rFonts w:eastAsia="Times New Roman"/>
          <w:b/>
          <w:bCs/>
        </w:rPr>
      </w:pPr>
      <w:r>
        <w:rPr>
          <w:b/>
          <w:bCs/>
        </w:rPr>
        <w:t xml:space="preserve">Рассмотрение докладов, представленных сторонами </w:t>
      </w:r>
      <w:r w:rsidR="00451D46">
        <w:rPr>
          <w:b/>
          <w:bCs/>
        </w:rPr>
        <w:br/>
      </w:r>
      <w:r>
        <w:rPr>
          <w:b/>
          <w:bCs/>
        </w:rPr>
        <w:t>Конвенции в соответствии со статьей 35</w:t>
      </w:r>
    </w:p>
    <w:p w:rsidR="00C31C82" w:rsidRPr="00A32766" w:rsidRDefault="00C31C82" w:rsidP="00C31C82">
      <w:pPr>
        <w:pStyle w:val="HChG"/>
      </w:pPr>
      <w:r>
        <w:tab/>
      </w:r>
      <w:r>
        <w:tab/>
        <w:t>Заключительные замечания по первоначальному докладу Боснии и Герцеговины</w:t>
      </w:r>
    </w:p>
    <w:p w:rsidR="00C31C82" w:rsidRPr="00A32766" w:rsidRDefault="00C31C82" w:rsidP="00C31C82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:rsidR="00C31C82" w:rsidRPr="00280B4F" w:rsidRDefault="00C31C82" w:rsidP="00C31C82">
      <w:pPr>
        <w:pStyle w:val="HChG"/>
        <w:rPr>
          <w:rStyle w:val="aa"/>
          <w:b w:val="0"/>
          <w:sz w:val="20"/>
          <w:vertAlign w:val="baseline"/>
        </w:rPr>
      </w:pPr>
      <w:r>
        <w:tab/>
      </w:r>
      <w:r>
        <w:tab/>
      </w:r>
      <w:r>
        <w:rPr>
          <w:bCs/>
        </w:rPr>
        <w:t>Информация, получ</w:t>
      </w:r>
      <w:r w:rsidR="00451D46">
        <w:rPr>
          <w:bCs/>
        </w:rPr>
        <w:t>енная от Боснии и Герцеговины в </w:t>
      </w:r>
      <w:r>
        <w:rPr>
          <w:bCs/>
        </w:rPr>
        <w:t>отношении пос</w:t>
      </w:r>
      <w:r w:rsidR="00451D46">
        <w:rPr>
          <w:bCs/>
        </w:rPr>
        <w:t>ледующей деятельности в связи с </w:t>
      </w:r>
      <w:r>
        <w:rPr>
          <w:bCs/>
        </w:rPr>
        <w:t>заключительными замечаниями</w:t>
      </w:r>
      <w:r w:rsidRPr="00280B4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C31C82" w:rsidRDefault="00C31C82" w:rsidP="00C31C82">
      <w:pPr>
        <w:pStyle w:val="SingleTxtG"/>
        <w:jc w:val="right"/>
      </w:pPr>
      <w:r>
        <w:t>[Дата получения: 19 февраля 2019 года]</w:t>
      </w:r>
    </w:p>
    <w:p w:rsidR="00C31C82" w:rsidRDefault="00C31C82" w:rsidP="00C31C82">
      <w:pPr>
        <w:suppressAutoHyphens w:val="0"/>
        <w:spacing w:after="200" w:line="276" w:lineRule="auto"/>
        <w:rPr>
          <w:rFonts w:eastAsia="Arial Unicode MS"/>
          <w:lang w:eastAsia="zh-CN"/>
        </w:rPr>
      </w:pPr>
      <w:r>
        <w:br w:type="page"/>
      </w:r>
    </w:p>
    <w:p w:rsidR="00C31C82" w:rsidRPr="00A32766" w:rsidRDefault="00C31C82" w:rsidP="00C31C82">
      <w:pPr>
        <w:pStyle w:val="HChG"/>
      </w:pPr>
      <w:r>
        <w:lastRenderedPageBreak/>
        <w:t xml:space="preserve"> </w:t>
      </w:r>
      <w:r>
        <w:tab/>
      </w:r>
      <w:r>
        <w:tab/>
        <w:t>Ответ Боснии и Ге</w:t>
      </w:r>
      <w:r w:rsidR="00280B4F">
        <w:t>рцеговины о последующих мерах в </w:t>
      </w:r>
      <w:r>
        <w:t>связи с рекомендациями 11 и 29 Комитета по правам инвалидов, изложенными в заключительных замечаниях по первоначальном</w:t>
      </w:r>
      <w:r w:rsidR="00280B4F">
        <w:t>у докладу Боснии и Герцеговины</w:t>
      </w:r>
    </w:p>
    <w:p w:rsidR="00C31C82" w:rsidRPr="00A32766" w:rsidRDefault="00C31C82" w:rsidP="00C31C82">
      <w:pPr>
        <w:pStyle w:val="SingleTxtG"/>
      </w:pPr>
      <w:r>
        <w:t>1.</w:t>
      </w:r>
      <w:r>
        <w:tab/>
        <w:t xml:space="preserve">Комитет по правам инвалидов 12 апреля 2017 года опубликовал </w:t>
      </w:r>
      <w:r w:rsidR="00572668">
        <w:t>«</w:t>
      </w:r>
      <w:r>
        <w:t>Заключительные замечания по первоначальному докладу Боснии и Герцеговины</w:t>
      </w:r>
      <w:r w:rsidR="00572668">
        <w:t>»</w:t>
      </w:r>
      <w:r>
        <w:t>, в которых содержатся рекомендации для Боснии и Герцеговины. После перевода этого документа в сентябре 2017 года он был препровожден всем соответствующим учреждениям всех уровней управления Боснии и Герцеговины, включая правительства Федерации БиГ, Республики Сербской и округа Брчко, для принятия последующих мер.</w:t>
      </w:r>
    </w:p>
    <w:p w:rsidR="00C31C82" w:rsidRPr="00A32766" w:rsidRDefault="00C31C82" w:rsidP="00C31C82">
      <w:pPr>
        <w:pStyle w:val="SingleTxtG"/>
      </w:pPr>
      <w:r>
        <w:t>2.</w:t>
      </w:r>
      <w:r>
        <w:tab/>
        <w:t>Приводимые ниже ответы излагаются в краткой</w:t>
      </w:r>
      <w:r w:rsidR="00FA1F7D">
        <w:t xml:space="preserve"> форме, с тем чтобы представить</w:t>
      </w:r>
      <w:r w:rsidR="00FA1F7D">
        <w:rPr>
          <w:lang w:val="en-US"/>
        </w:rPr>
        <w:t> </w:t>
      </w:r>
      <w:r>
        <w:t>–</w:t>
      </w:r>
      <w:r w:rsidR="00FA1F7D">
        <w:rPr>
          <w:lang w:val="en-US"/>
        </w:rPr>
        <w:t> </w:t>
      </w:r>
      <w:r>
        <w:t>без повторения – обновленную информацию, дополняющую содержащуюся в докладе об осуществлении Конвенции о правах инвалидов в Боснии и Герцеговине и в ответах на дополнительный перечень вопросов, составленный в феврале 2017 года.</w:t>
      </w:r>
    </w:p>
    <w:p w:rsidR="00C31C82" w:rsidRPr="00107461" w:rsidRDefault="00A05333" w:rsidP="00107461">
      <w:pPr>
        <w:pStyle w:val="H23G"/>
      </w:pPr>
      <w:r>
        <w:tab/>
      </w:r>
      <w:r w:rsidRPr="00107461">
        <w:tab/>
      </w:r>
      <w:r w:rsidR="00C31C82" w:rsidRPr="00107461">
        <w:t>Пункт 11 a)</w:t>
      </w:r>
    </w:p>
    <w:p w:rsidR="00C31C82" w:rsidRPr="00107461" w:rsidRDefault="00A05333" w:rsidP="00107461">
      <w:pPr>
        <w:pStyle w:val="SingleTxtG"/>
        <w:rPr>
          <w:b/>
        </w:rPr>
      </w:pPr>
      <w:r w:rsidRPr="00107461">
        <w:tab/>
      </w:r>
      <w:r w:rsidR="002A2403" w:rsidRPr="00107461">
        <w:rPr>
          <w:b/>
        </w:rPr>
        <w:tab/>
      </w:r>
      <w:r w:rsidR="00C31C82" w:rsidRPr="00107461">
        <w:rPr>
          <w:b/>
        </w:rPr>
        <w:t>Комитет рекомендует государству-участнику:</w:t>
      </w:r>
    </w:p>
    <w:p w:rsidR="00C31C82" w:rsidRPr="00107461" w:rsidRDefault="00C31C82" w:rsidP="00107461">
      <w:pPr>
        <w:pStyle w:val="SingleTxtG"/>
        <w:rPr>
          <w:b/>
        </w:rPr>
      </w:pPr>
      <w:r w:rsidRPr="00107461">
        <w:rPr>
          <w:b/>
        </w:rPr>
        <w:tab/>
      </w:r>
      <w:r w:rsidR="00B15F7E" w:rsidRPr="00107461">
        <w:rPr>
          <w:b/>
        </w:rPr>
        <w:tab/>
      </w:r>
      <w:r w:rsidRPr="00107461">
        <w:rPr>
          <w:b/>
        </w:rPr>
        <w:t>a)</w:t>
      </w:r>
      <w:r w:rsidRPr="00107461">
        <w:rPr>
          <w:b/>
        </w:rPr>
        <w:tab/>
        <w:t>пересмотреть свое законодательство на предмет включения в него определения дискриминации по признаку инвалидности, которое содержало бы четкую формулировку всех форм дискриминации по признаку инвалидности, включая множественные и перекрестные формы дискриминации, и выделить финансовые ресурсы для его эффективного применения</w:t>
      </w:r>
      <w:r w:rsidR="00107461">
        <w:rPr>
          <w:b/>
        </w:rPr>
        <w:t>;</w:t>
      </w:r>
    </w:p>
    <w:p w:rsidR="00C31C82" w:rsidRPr="00A32766" w:rsidRDefault="00C31C82" w:rsidP="00C31C82">
      <w:pPr>
        <w:pStyle w:val="SingleTxtG"/>
      </w:pPr>
      <w:r>
        <w:t>3.</w:t>
      </w:r>
      <w:r>
        <w:tab/>
      </w:r>
      <w:r w:rsidRPr="00DB0EAC">
        <w:t>Министерство по правам человека и по делам беженцев БиГ как учреждение, ответственное за сбор информации об осуществлении Конвенции о правах инвалидов в Боснии и Герцеговине, обратилось к делегации Европейского союза в БиГ с инициативой</w:t>
      </w:r>
      <w:r>
        <w:t xml:space="preserve"> провести обзор</w:t>
      </w:r>
      <w:r w:rsidRPr="00DB0EAC">
        <w:t xml:space="preserve"> потребностей и</w:t>
      </w:r>
      <w:r>
        <w:t>нвалидов в Боснии и Герцеговине</w:t>
      </w:r>
      <w:r w:rsidRPr="00DB0EAC">
        <w:t xml:space="preserve"> с уделением особого внимания выполнению рекомендации Комитета по правам инвалидов относительно пересмотра законодательства.</w:t>
      </w:r>
      <w:r>
        <w:t xml:space="preserve"> Идея заключается в том, что в этом обзоре должны участвовать представители всех правительств БиГ и представители всех учреждений, имеющих отношение к осуществлению Конвенции. Планируется разработать единую методологию упорядочения законодательства в БиГ. Планируется также, что эта методология станет практическим инструментом, содержащим толкование каждой статьи Конвенции в отдельности, а также четкие руководящие принципы и указания относительно согласования национальных законов и положений с отдельными положениями Конвенции.</w:t>
      </w:r>
    </w:p>
    <w:p w:rsidR="00C31C82" w:rsidRPr="00A32766" w:rsidRDefault="00C31C82" w:rsidP="00C31C82">
      <w:pPr>
        <w:pStyle w:val="SingleTxtG"/>
      </w:pPr>
      <w:r>
        <w:t>4.</w:t>
      </w:r>
      <w:r>
        <w:tab/>
        <w:t>Стратегия поощрения прав и улучшения положения инвалидов Федерации Боснии и Герцеговины (2016–2021 годы) предусматривает проведение обзора соответствия законов и положений Конвенции Организации Объединенных Наций о правах инвалидов, который будет реализован всеми ответственными за осуществление этой стратегии департаментами, которые в то же время являются всеми департаментами правительства ФБиГ, занимающимися вопросами осуществления Конвенции и отвечающими за них. Пересмотр законодательства еще не пров</w:t>
      </w:r>
      <w:r w:rsidR="002A2403">
        <w:t>еден. В </w:t>
      </w:r>
      <w:r>
        <w:t xml:space="preserve">этой стратегии в буквальном смысле скопировано определение понятия </w:t>
      </w:r>
      <w:r w:rsidR="00572668">
        <w:t>«</w:t>
      </w:r>
      <w:r>
        <w:t>инвалид</w:t>
      </w:r>
      <w:r w:rsidR="00572668">
        <w:t>»</w:t>
      </w:r>
      <w:r>
        <w:t>, содержащееся в Конвенции ООН о правах инвалидов, и в этом сегменте оно соответствует Конвенции.</w:t>
      </w:r>
    </w:p>
    <w:p w:rsidR="00C31C82" w:rsidRPr="00A32766" w:rsidRDefault="00C31C82" w:rsidP="00C31C82">
      <w:pPr>
        <w:pStyle w:val="SingleTxtG"/>
      </w:pPr>
      <w:r>
        <w:t>5.</w:t>
      </w:r>
      <w:r>
        <w:tab/>
        <w:t>Стратегия улучшения социального положения инвалидов в Республике Сербской на 2017–2026 годы также направлена на улучшение положения инвалидов путем внесения поправок и согласования делегированного законодательства в области инвалидности, а также на ликвидацию всех дискриминационных положений. Стратегия предусматривает принятие Закона о запрещении дискриминации инвалидов Республики Сербской, и ответственность за его разработку несет Министерство юстиции Республики Сербской.</w:t>
      </w:r>
    </w:p>
    <w:p w:rsidR="00C31C82" w:rsidRPr="00A32766" w:rsidRDefault="00C31C82" w:rsidP="00C31C82">
      <w:pPr>
        <w:pStyle w:val="SingleTxtG"/>
      </w:pPr>
      <w:r>
        <w:lastRenderedPageBreak/>
        <w:t>6.</w:t>
      </w:r>
      <w:r>
        <w:tab/>
        <w:t>В округе Брчко БиГ до сих пор нет стратегического документа, касающегося инвалидов.</w:t>
      </w:r>
    </w:p>
    <w:p w:rsidR="00C31C82" w:rsidRPr="00A32766" w:rsidRDefault="00C31C82" w:rsidP="00C31C82">
      <w:pPr>
        <w:pStyle w:val="SingleTxtG"/>
      </w:pPr>
      <w:r>
        <w:t>7.</w:t>
      </w:r>
      <w:r>
        <w:tab/>
        <w:t>В дополнение к Закону о запрещении дискриминации, который применяется на всей территории страны, все законы Федерации БиГ, Республики Сербской и округа Брчко БиГ в области занятости, здравоохранения, социальной защиты и образования содержат общие положения о запрещении дискриминации, включая дискриминацию по признаку инвалидности или физических недостатков. Все эти законы были перечислены ранее в докладе БиГ об осуществлении Конвенции и в ответе на дополнительный перечень вопросов, поступивший от Комитета по правам инвалидов.</w:t>
      </w:r>
    </w:p>
    <w:p w:rsidR="00C31C82" w:rsidRPr="00A32766" w:rsidRDefault="00C31C82" w:rsidP="00C31C82">
      <w:pPr>
        <w:pStyle w:val="SingleTxtG"/>
      </w:pPr>
      <w:r>
        <w:t>8.</w:t>
      </w:r>
      <w:r>
        <w:tab/>
        <w:t>К обновленной информации можно отнести тот факт, что в округе Брчко БиГ разрабатывается новый Закон о труде, который будет приведен в соответствие с Директивами ЕС о рабочих и трудовых отношениях</w:t>
      </w:r>
      <w:r w:rsidRPr="003842E6">
        <w:rPr>
          <w:rStyle w:val="aa"/>
        </w:rPr>
        <w:footnoteReference w:id="2"/>
      </w:r>
      <w:r>
        <w:t xml:space="preserve">. Этот закон будет более конкретно предусматривать защиту трудоустроенных инвалидов от увольнений, и в соответствии с Конвенцией о правах инвалидов в него будут включены определения </w:t>
      </w:r>
      <w:r w:rsidR="00572668">
        <w:t>«</w:t>
      </w:r>
      <w:r>
        <w:t>разумного приспособления</w:t>
      </w:r>
      <w:r w:rsidR="00572668">
        <w:t>»</w:t>
      </w:r>
      <w:r>
        <w:t xml:space="preserve"> и </w:t>
      </w:r>
      <w:r w:rsidR="00572668">
        <w:t>«</w:t>
      </w:r>
      <w:r>
        <w:t>универсального дизайна</w:t>
      </w:r>
      <w:r w:rsidR="00572668">
        <w:t>»</w:t>
      </w:r>
      <w:r>
        <w:t>. Цель этого закона – обеспечить, чтобы инвалидность не могла быть причиной отказа со стороны работодателя в найме инвалида, если тот имеет квалификацию, соответствующую выполняемой работе, и может эффективно выполнять эту работу при обеспечении разумного приспособления.</w:t>
      </w:r>
    </w:p>
    <w:p w:rsidR="00C31C82" w:rsidRPr="00A32766" w:rsidRDefault="00C31C82" w:rsidP="00C31C82">
      <w:pPr>
        <w:pStyle w:val="SingleTxtG"/>
      </w:pPr>
      <w:r>
        <w:t>9.</w:t>
      </w:r>
      <w:r>
        <w:tab/>
        <w:t>Министерство юстиции ФБиГ включило в Закон о внесении поправок в Уголовный кодекс ФБиГ</w:t>
      </w:r>
      <w:r w:rsidRPr="003842E6">
        <w:rPr>
          <w:rStyle w:val="aa"/>
        </w:rPr>
        <w:footnoteReference w:id="3"/>
      </w:r>
      <w:r>
        <w:t xml:space="preserve"> определение преступления на почве ненависти, предоставив особую защиту инвалидам, и если это уголовное преступление совершено по признаку инвалидности, это рассматривается в качестве отягчающего обстоятельства. </w:t>
      </w:r>
    </w:p>
    <w:p w:rsidR="00C31C82" w:rsidRPr="00107461" w:rsidRDefault="002A2403" w:rsidP="00107461">
      <w:pPr>
        <w:pStyle w:val="H23G"/>
      </w:pPr>
      <w:r>
        <w:tab/>
      </w:r>
      <w:r w:rsidRPr="00107461">
        <w:tab/>
      </w:r>
      <w:r w:rsidR="00C31C82" w:rsidRPr="00107461">
        <w:t>Пункт 11 b)</w:t>
      </w:r>
    </w:p>
    <w:p w:rsidR="00C31C82" w:rsidRPr="000D2AD3" w:rsidRDefault="00C31C82" w:rsidP="000D2AD3">
      <w:pPr>
        <w:pStyle w:val="SingleTxtG"/>
        <w:rPr>
          <w:b/>
        </w:rPr>
      </w:pPr>
      <w:r w:rsidRPr="000D2AD3">
        <w:rPr>
          <w:b/>
        </w:rPr>
        <w:t>Разработать и применять согласованные критерии, процедуры оценки и положения, закрепляющие права на получение пособий, с тем чтобы проводить оценку степени нарушения здоровья всех инвалидов независимо от причины нарушения здоровья</w:t>
      </w:r>
      <w:r w:rsidR="000D2AD3">
        <w:rPr>
          <w:b/>
        </w:rPr>
        <w:t>;</w:t>
      </w:r>
    </w:p>
    <w:p w:rsidR="00C31C82" w:rsidRPr="00A32766" w:rsidRDefault="00C31C82" w:rsidP="00C31C82">
      <w:pPr>
        <w:pStyle w:val="SingleTxtG"/>
      </w:pPr>
      <w:r>
        <w:t>10.</w:t>
      </w:r>
      <w:r>
        <w:tab/>
        <w:t>В Федерации БиГ Министерство труда и социальной политики Федерации подготовило Свод правил по единообразным критериям и процедурам оценки состояния здоровья с единым перечнем категорий инвалидности и представило его Институту оценки состояния здоровья для утверждения административными органами, а за его принятие и применение отвечают административные органы и другие компетентные министерства Федерации.</w:t>
      </w:r>
    </w:p>
    <w:p w:rsidR="00C31C82" w:rsidRPr="00A32766" w:rsidRDefault="00C31C82" w:rsidP="00C31C82">
      <w:pPr>
        <w:pStyle w:val="SingleTxtG"/>
      </w:pPr>
      <w:r>
        <w:t>11.</w:t>
      </w:r>
      <w:r>
        <w:tab/>
        <w:t>Что касается оценки процентной доли инвалидов в Республике Сербской, то она проводится несколькими компетентными органами, что зависит от вида и причины инвалидности, а также от времени ее наступления. Выполнение этой рекомендации предусмотрено Стратегией улучшения социального положения инвалидов на 2017–2026 годы путем согласования правовых положений об оценке инвалидности в различных системах; этой деятельностью руководит Межведомственное управление по поддержке инвалидов, сформированное в рамках правительства Республики Сербской, и ее проведение запланировано на период 2020–2026 годов.</w:t>
      </w:r>
    </w:p>
    <w:p w:rsidR="00C31C82" w:rsidRDefault="00107461" w:rsidP="000D2AD3">
      <w:pPr>
        <w:pStyle w:val="H23G"/>
      </w:pPr>
      <w:r>
        <w:tab/>
      </w:r>
      <w:r>
        <w:tab/>
      </w:r>
      <w:r w:rsidR="00C31C82">
        <w:t>П</w:t>
      </w:r>
      <w:r w:rsidR="00C31C82" w:rsidRPr="00511EA8">
        <w:t>ункт</w:t>
      </w:r>
      <w:r w:rsidR="00C31C82">
        <w:t xml:space="preserve"> 11 с)</w:t>
      </w:r>
    </w:p>
    <w:p w:rsidR="00C31C82" w:rsidRPr="000D2AD3" w:rsidRDefault="00C31C82" w:rsidP="000D2AD3">
      <w:pPr>
        <w:pStyle w:val="SingleTxtG"/>
        <w:rPr>
          <w:b/>
        </w:rPr>
      </w:pPr>
      <w:r w:rsidRPr="000D2AD3">
        <w:rPr>
          <w:b/>
        </w:rPr>
        <w:t>Принять и применять концепцию разумного приспособления и эффективные меры наказания, с тем чтобы отказ в разумном приспособлении считался дискриминацией по признаку инвалидности</w:t>
      </w:r>
      <w:r w:rsidR="000D2AD3" w:rsidRPr="000D2AD3">
        <w:rPr>
          <w:b/>
        </w:rPr>
        <w:t>;</w:t>
      </w:r>
    </w:p>
    <w:p w:rsidR="00C31C82" w:rsidRPr="00A32766" w:rsidRDefault="00C31C82" w:rsidP="00C31C82">
      <w:pPr>
        <w:pStyle w:val="SingleTxtG"/>
      </w:pPr>
      <w:r>
        <w:t>12.</w:t>
      </w:r>
      <w:r>
        <w:tab/>
      </w:r>
      <w:r w:rsidRPr="00CE3D81">
        <w:t xml:space="preserve">Вопрос о разумном приспособлении был определен в Стратегии поощрения прав и улучшения положения инвалидов Федерации БиГ (2016–2021 годы) </w:t>
      </w:r>
      <w:r>
        <w:t xml:space="preserve">в рамках </w:t>
      </w:r>
      <w:r>
        <w:lastRenderedPageBreak/>
        <w:t>различных секторов</w:t>
      </w:r>
      <w:r w:rsidRPr="00CE3D81">
        <w:t xml:space="preserve"> и в соответствии с Конвенцией. Министерство физического планирования Федерации выделило 2,5 млн боснийских конвертируемых марок на выполнение обязательств по Стратегии обеспечения доступности.</w:t>
      </w:r>
    </w:p>
    <w:p w:rsidR="00C31C82" w:rsidRPr="00A32766" w:rsidRDefault="00C31C82" w:rsidP="00C31C82">
      <w:pPr>
        <w:pStyle w:val="SingleTxtG"/>
      </w:pPr>
      <w:r>
        <w:t>13.</w:t>
      </w:r>
      <w:r>
        <w:tab/>
        <w:t xml:space="preserve">В целях реализации концепции разумного приспособления для инвалидов Закон ФБиГ </w:t>
      </w:r>
      <w:r w:rsidR="00572668">
        <w:t>«</w:t>
      </w:r>
      <w:r>
        <w:t>О правах, обязанностях и ответственности пациентов</w:t>
      </w:r>
      <w:r w:rsidR="00572668">
        <w:t>»</w:t>
      </w:r>
      <w:r>
        <w:t xml:space="preserve"> предусматривает обязанность любого медицинского учреждения предоставлять пациенту с инвалидностью, который не может быть проинформирован в обычном порядке, сурдопереводчика или письменную информацию, понятную пациенту. Кроме того, существует Свод правил ФБиГ, касающихся детальных требований к помещениям, оборудованию и персоналу для создания медицинских учреждений и осуществления медицинской деятельности и требований в отношении доступа инвалидов.</w:t>
      </w:r>
    </w:p>
    <w:p w:rsidR="00C31C82" w:rsidRPr="00A32766" w:rsidRDefault="00C31C82" w:rsidP="00C31C82">
      <w:pPr>
        <w:pStyle w:val="SingleTxtG"/>
      </w:pPr>
      <w:r>
        <w:t>14.</w:t>
      </w:r>
      <w:r>
        <w:tab/>
        <w:t>Стратегия улучшения социального положения инвалидов в Республике Сербской на 2017–2026 годы предусматривает концепцию разумной корректировки во всех областях на основе реализации различных целей и мероприятий.</w:t>
      </w:r>
    </w:p>
    <w:p w:rsidR="00C31C82" w:rsidRDefault="009D6636" w:rsidP="009D6636">
      <w:pPr>
        <w:pStyle w:val="H23G"/>
      </w:pPr>
      <w:r>
        <w:tab/>
      </w:r>
      <w:r>
        <w:tab/>
      </w:r>
      <w:r w:rsidR="00C31C82" w:rsidRPr="00511EA8">
        <w:t>Пункт 11</w:t>
      </w:r>
      <w:r w:rsidR="00C31C82">
        <w:t xml:space="preserve"> d)</w:t>
      </w:r>
    </w:p>
    <w:p w:rsidR="00C31C82" w:rsidRPr="00D164FC" w:rsidRDefault="00C31C82" w:rsidP="00D164FC">
      <w:pPr>
        <w:pStyle w:val="SingleTxtG"/>
        <w:rPr>
          <w:b/>
        </w:rPr>
      </w:pPr>
      <w:r w:rsidRPr="00D164FC">
        <w:rPr>
          <w:b/>
        </w:rPr>
        <w:t>Ввести эффективные и надлежащие средства правовой защиты, а также постепенно ужесточать санкции для государственного и частного секторов</w:t>
      </w:r>
      <w:r w:rsidR="00D164FC">
        <w:rPr>
          <w:b/>
        </w:rPr>
        <w:t>.</w:t>
      </w:r>
    </w:p>
    <w:p w:rsidR="00C31C82" w:rsidRPr="00A32766" w:rsidRDefault="00C31C82" w:rsidP="00C31C82">
      <w:pPr>
        <w:pStyle w:val="SingleTxtG"/>
      </w:pPr>
      <w:r>
        <w:t>15.</w:t>
      </w:r>
      <w:r>
        <w:tab/>
        <w:t>Для создания и функционирования государственных и частных медицинских учреждений в Федерации Боснии и Герцеговины необходимо соблюдать требования, изложенные в Своде правил ФБиГ, касающихся детальных требований к помещениям, оборудованию и персоналу для создания медицинских учреждений и осуществления медицинской деятельности. Контроль за работой медицинских учреждений возложен на медицинские инспекции.</w:t>
      </w:r>
    </w:p>
    <w:p w:rsidR="00C31C82" w:rsidRPr="009D6636" w:rsidRDefault="00D164FC" w:rsidP="009D6636">
      <w:pPr>
        <w:pStyle w:val="H23G"/>
      </w:pPr>
      <w:r>
        <w:tab/>
      </w:r>
      <w:r>
        <w:tab/>
      </w:r>
      <w:r w:rsidR="00C31C82" w:rsidRPr="00511EA8">
        <w:t>Пункт 29</w:t>
      </w:r>
    </w:p>
    <w:p w:rsidR="00C31C82" w:rsidRPr="00D164FC" w:rsidRDefault="00C31C82" w:rsidP="00D164FC">
      <w:pPr>
        <w:pStyle w:val="SingleTxtG"/>
        <w:rPr>
          <w:b/>
        </w:rPr>
      </w:pPr>
      <w:r w:rsidRPr="00D164FC">
        <w:rPr>
          <w:b/>
        </w:rPr>
        <w:tab/>
        <w:t>Комитет рекомендует государству-участнику принять эффективные правовые и административные меры для запрещения практики недобровольного освидетельствования или госпитализации и принудительного медицинского, в частности психиатрического, лечения на основании инвалидности, а также обеспечить достаточное число альтернатив на базе общин. Он также рекомендует государству-участнику пересмотреть действующее законодательство в отношении лиц, переживших пытки и сексуальное насилие, с уделением особого внимания предоставлению им надлежащей компенсации и доступа к эффективным средствам правовой защиты, а также рассмотреть вопрос о пересмотре применяемых в настоящее время подходов к вопросу о возложении на стороны бремени доказывания.</w:t>
      </w:r>
    </w:p>
    <w:p w:rsidR="00C31C82" w:rsidRPr="00A32766" w:rsidRDefault="00C31C82" w:rsidP="00C31C82">
      <w:pPr>
        <w:pStyle w:val="SingleTxtG"/>
      </w:pPr>
      <w:r>
        <w:t>16.</w:t>
      </w:r>
      <w:r>
        <w:tab/>
      </w:r>
      <w:r w:rsidRPr="00C70D57">
        <w:t xml:space="preserve">В 2006 году Министерство труда и социальной политики Федерации внесло поправки в Закон об основах социальной защиты, защиты гражданских жертв войны и защиты семей с детьми, в соответствии с которыми была введена новая группа бенефициаров – </w:t>
      </w:r>
      <w:r w:rsidR="00572668">
        <w:t>«</w:t>
      </w:r>
      <w:r w:rsidRPr="00C70D57">
        <w:t>специальная группа гражданских жертв войны</w:t>
      </w:r>
      <w:r w:rsidR="00572668">
        <w:t>»</w:t>
      </w:r>
      <w:r w:rsidRPr="00C70D57">
        <w:t xml:space="preserve">, включающая жертв сексуальных надругательств и изнасилований, и эта группа имеет право на </w:t>
      </w:r>
      <w:r w:rsidR="00572668">
        <w:t>«</w:t>
      </w:r>
      <w:r w:rsidRPr="00C70D57">
        <w:t>ежемесячное личное пособие</w:t>
      </w:r>
      <w:r w:rsidR="00572668">
        <w:t>»</w:t>
      </w:r>
      <w:r>
        <w:t xml:space="preserve">. Последние поправки к вышеупомянутому </w:t>
      </w:r>
      <w:r w:rsidR="00D000ED">
        <w:t>закону 2016 </w:t>
      </w:r>
      <w:r>
        <w:t>года предусматривают создание специальной экспертной и независимой комиссии, которая определяет факты</w:t>
      </w:r>
      <w:r w:rsidRPr="00C70D57">
        <w:t xml:space="preserve"> </w:t>
      </w:r>
      <w:r>
        <w:t>в ходе административного разбирательства и выносит на их основе свое заключение, с тем чтобы устранить ненужную повторную травматизацию жертвы.</w:t>
      </w:r>
    </w:p>
    <w:p w:rsidR="00C31C82" w:rsidRPr="00A32766" w:rsidRDefault="00C31C82" w:rsidP="00C31C82">
      <w:pPr>
        <w:pStyle w:val="SingleTxtG"/>
      </w:pPr>
      <w:r>
        <w:t>17.</w:t>
      </w:r>
      <w:r>
        <w:tab/>
        <w:t>Д</w:t>
      </w:r>
      <w:r w:rsidRPr="007637AD">
        <w:t xml:space="preserve">ля разработки </w:t>
      </w:r>
      <w:r>
        <w:t>с</w:t>
      </w:r>
      <w:r w:rsidRPr="007637AD">
        <w:t>тандартов индивидуальной оценки инвалидов в целях предоставления им медицинских и социальных услуг</w:t>
      </w:r>
      <w:r>
        <w:t xml:space="preserve"> в</w:t>
      </w:r>
      <w:r w:rsidRPr="007637AD">
        <w:t xml:space="preserve"> Федерации БиГ при поддержке экспертов </w:t>
      </w:r>
      <w:r>
        <w:t>по вопросам</w:t>
      </w:r>
      <w:r w:rsidRPr="007637AD">
        <w:t xml:space="preserve"> психического здоровья была назначена</w:t>
      </w:r>
      <w:r>
        <w:t xml:space="preserve"> </w:t>
      </w:r>
      <w:r w:rsidRPr="007637AD">
        <w:t>межсекторальная рабочая группа.</w:t>
      </w:r>
      <w:r>
        <w:t xml:space="preserve"> Рабочая группа проанализировала ситуацию, предложила дальнейшие действия и представила рекомендации в отношении улучшения положения и прав лиц с психическими расстройствами, особенно тех, кто нуждается в определенных общинных услугах и поддержке. Были изучены правовая база, потенциал и услуги, а также передовая практика других стран как в сфере социального обеспечения, так и в сфере здравоохранения. В ходе анализа были также рассмотрены случаи </w:t>
      </w:r>
      <w:r>
        <w:lastRenderedPageBreak/>
        <w:t>недобровольного помещения в учреждения социального обеспечения в связи с рядом решений Конституционного суда Боснии и Герцеговины и заключений, вынесенных судом по заявлениям лиц с психическими расстройствами, которые жаловались на их принудительное помещение в учреждения социального обеспечения в ФБиГ. Особое внимание в ходе этого рассмотрения уделялось развитию общинных служб, созданию центров и служб социальной помощи и центров психического здоровья, а также сотрудничеству медицинских учреждений высокого уровня со службами по оказанию первичной медико-санитарной помощи. Все это направлено на предоставление полного набора медицинских и социальных услуг, которые должны предоставляться своевременно и в соответствии с потребностями нуждающихся в них людей при одновременном обеспечении соблюдения их основных прав человека. Обзор включает вопросы экспертов, направленные на разработку стандартов индивидуальной оценки положения лиц с психическими расстройствами, устанавливающих четкие критерии для их помещения в учреждения или их пребывания в обществе. В документе содержатся рекомендации и выводы для компетентных директивных органов, направленные на решение спорных вопросов, касающихся приема лиц с психическими расстройствами в социальные учреждения, а также программ расширения прав и возможностей общин в целом.</w:t>
      </w:r>
    </w:p>
    <w:p w:rsidR="00C31C82" w:rsidRPr="00A32766" w:rsidRDefault="00C31C82" w:rsidP="00C31C82">
      <w:pPr>
        <w:pStyle w:val="SingleTxtG"/>
      </w:pPr>
      <w:r>
        <w:t>18.</w:t>
      </w:r>
      <w:r>
        <w:tab/>
      </w:r>
      <w:r w:rsidRPr="00C46642">
        <w:t xml:space="preserve">Правительство Республики Сербской приняло план действий, направленный на предотвращение будущих нарушений прав человека, которые были выявлены </w:t>
      </w:r>
      <w:r w:rsidRPr="00CE34DE">
        <w:rPr>
          <w:i/>
        </w:rPr>
        <w:t>Европейским судом по правам человека в решении по делу Хаджимейлича и др. против БиГ</w:t>
      </w:r>
      <w:r w:rsidRPr="00C46642">
        <w:t>.</w:t>
      </w:r>
      <w:r>
        <w:t xml:space="preserve"> В настоящее время ведется работа в рамках проекта по деинституционализации ухода за лицами с психическими расстройствами и заболеваниями, а также по укреплению служб для этих бенефициаров в местных общинах. Кроме того, были проведены консультации с учреждениями социального ухода на предмет помещения туда лиц и сбора данных о лицах с психическими расстройствами и заболеваниями. Проводилась подготовка по вопросам трудотерапии; в ней также приняли участие медсестры, работающие в учреждениях социального ухода, и в настоящее время проводятся мероприятия по организации непрерывного обучения. </w:t>
      </w:r>
      <w:r w:rsidRPr="00D00837">
        <w:t xml:space="preserve">Кроме того, в учреждениях для престарелых Геронтологического центра в Баня-Луке осуществлялся экспертный надзор, </w:t>
      </w:r>
      <w:r>
        <w:t>в ходе которого</w:t>
      </w:r>
      <w:r w:rsidRPr="00D00837">
        <w:t xml:space="preserve"> отслеживался ход выполнения рекомендаций по лечению лиц с психическими расстройствами и заболеваниями.</w:t>
      </w:r>
      <w:r>
        <w:t xml:space="preserve"> Для будущих мероприятий – помимо запланированных и вышеупомянутых – намечено внедрить более качественную, более подробную и более функциональную электронную базу данных и вести учет в учреждениях социального ухода с целью улучшения работы этих учреждений за счет облегчения мониторинга каждого бенефициара. Это позволит облегчить контроль за каждым бенефициаром, назначаемой терапией, трудовой терапией, передвижением бенефициаров, взаимодействием с родственниками и другими учреждениями, профессиональным персоналом и организацией работы и финансов учреждения. Таким образом, благодаря единообразной системе учета во всех учреждениях будет легче осуществлять экспертный надзор со стороны Министерства здравоохранения и социальной защиты Республики Сербской, а также проводить аналитическую и исследовательскую работу, по результатам которой можно было бы подготовить предложения о реальных мерах по улучшению работы учреждений и положения бенефициаров в этих учреждениях, а также по привлечению бенефициаров к оказанию различных услуг в местных общинах.</w:t>
      </w:r>
    </w:p>
    <w:p w:rsidR="00C31C82" w:rsidRPr="00A32766" w:rsidRDefault="00C31C82" w:rsidP="00C31C82">
      <w:pPr>
        <w:pStyle w:val="SingleTxtG"/>
      </w:pPr>
      <w:r>
        <w:t>19.</w:t>
      </w:r>
      <w:r>
        <w:tab/>
        <w:t>В настоящее время идет подготовка проекта закона Республики Сербской о защите жертв пыток во время войны, которая координируется Министерством труда и защиты ветеранов-инвалидов Республики Сербской, а оставшиеся в живых жертвы пыток и сексуального насилия пользуются различными правами в зависимости от происхождения их инвалидности (гражданские лица, ставшие инвалидами в военное время, лица, получившие инвалидность на работе, военные, получившие инвалидность в военное время, и гражданские лица – инвалиды согласно Закону о социальной защите).</w:t>
      </w:r>
    </w:p>
    <w:p w:rsidR="001B2903" w:rsidRDefault="00C31C82" w:rsidP="00C31C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2903" w:rsidSect="00B95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7C" w:rsidRPr="00A312BC" w:rsidRDefault="00F8727C" w:rsidP="00A312BC"/>
  </w:endnote>
  <w:endnote w:type="continuationSeparator" w:id="0">
    <w:p w:rsidR="00F8727C" w:rsidRPr="00A312BC" w:rsidRDefault="00F872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29" w:rsidRPr="00B95629" w:rsidRDefault="00B95629">
    <w:pPr>
      <w:pStyle w:val="a8"/>
    </w:pPr>
    <w:r w:rsidRPr="00B95629">
      <w:rPr>
        <w:b/>
        <w:sz w:val="18"/>
      </w:rPr>
      <w:fldChar w:fldCharType="begin"/>
    </w:r>
    <w:r w:rsidRPr="00B95629">
      <w:rPr>
        <w:b/>
        <w:sz w:val="18"/>
      </w:rPr>
      <w:instrText xml:space="preserve"> PAGE  \* MERGEFORMAT </w:instrText>
    </w:r>
    <w:r w:rsidRPr="00B95629">
      <w:rPr>
        <w:b/>
        <w:sz w:val="18"/>
      </w:rPr>
      <w:fldChar w:fldCharType="separate"/>
    </w:r>
    <w:r w:rsidR="00EB6155">
      <w:rPr>
        <w:b/>
        <w:noProof/>
        <w:sz w:val="18"/>
      </w:rPr>
      <w:t>4</w:t>
    </w:r>
    <w:r w:rsidRPr="00B95629">
      <w:rPr>
        <w:b/>
        <w:sz w:val="18"/>
      </w:rPr>
      <w:fldChar w:fldCharType="end"/>
    </w:r>
    <w:r>
      <w:rPr>
        <w:b/>
        <w:sz w:val="18"/>
      </w:rPr>
      <w:tab/>
    </w:r>
    <w:r>
      <w:t>GE.19-08961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29" w:rsidRPr="00B95629" w:rsidRDefault="00B95629" w:rsidP="00B95629">
    <w:pPr>
      <w:pStyle w:val="a8"/>
      <w:tabs>
        <w:tab w:val="clear" w:pos="9639"/>
        <w:tab w:val="right" w:pos="9638"/>
      </w:tabs>
      <w:rPr>
        <w:b/>
        <w:sz w:val="18"/>
      </w:rPr>
    </w:pPr>
    <w:r>
      <w:t>GE.19-08961</w:t>
    </w:r>
    <w:r>
      <w:tab/>
    </w:r>
    <w:r w:rsidRPr="00B95629">
      <w:rPr>
        <w:b/>
        <w:sz w:val="18"/>
      </w:rPr>
      <w:fldChar w:fldCharType="begin"/>
    </w:r>
    <w:r w:rsidRPr="00B95629">
      <w:rPr>
        <w:b/>
        <w:sz w:val="18"/>
      </w:rPr>
      <w:instrText xml:space="preserve"> PAGE  \* MERGEFORMAT </w:instrText>
    </w:r>
    <w:r w:rsidRPr="00B95629">
      <w:rPr>
        <w:b/>
        <w:sz w:val="18"/>
      </w:rPr>
      <w:fldChar w:fldCharType="separate"/>
    </w:r>
    <w:r w:rsidR="00EB6155">
      <w:rPr>
        <w:b/>
        <w:noProof/>
        <w:sz w:val="18"/>
      </w:rPr>
      <w:t>5</w:t>
    </w:r>
    <w:r w:rsidRPr="00B956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95629" w:rsidRDefault="00B95629" w:rsidP="00B9562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19-08961  (R)</w:t>
    </w:r>
    <w:r>
      <w:rPr>
        <w:lang w:val="en-US"/>
      </w:rPr>
      <w:t xml:space="preserve">  060619  070619</w:t>
    </w:r>
    <w:r>
      <w:br/>
    </w:r>
    <w:r w:rsidRPr="00B95629">
      <w:rPr>
        <w:rFonts w:ascii="C39T30Lfz" w:hAnsi="C39T30Lfz"/>
        <w:kern w:val="14"/>
        <w:sz w:val="56"/>
      </w:rPr>
      <w:t></w:t>
    </w:r>
    <w:r w:rsidRPr="00B95629">
      <w:rPr>
        <w:rFonts w:ascii="C39T30Lfz" w:hAnsi="C39T30Lfz"/>
        <w:kern w:val="14"/>
        <w:sz w:val="56"/>
      </w:rPr>
      <w:t></w:t>
    </w:r>
    <w:r w:rsidRPr="00B95629">
      <w:rPr>
        <w:rFonts w:ascii="C39T30Lfz" w:hAnsi="C39T30Lfz"/>
        <w:kern w:val="14"/>
        <w:sz w:val="56"/>
      </w:rPr>
      <w:t></w:t>
    </w:r>
    <w:r w:rsidRPr="00B95629">
      <w:rPr>
        <w:rFonts w:ascii="C39T30Lfz" w:hAnsi="C39T30Lfz"/>
        <w:kern w:val="14"/>
        <w:sz w:val="56"/>
      </w:rPr>
      <w:t></w:t>
    </w:r>
    <w:r w:rsidRPr="00B95629">
      <w:rPr>
        <w:rFonts w:ascii="C39T30Lfz" w:hAnsi="C39T30Lfz"/>
        <w:kern w:val="14"/>
        <w:sz w:val="56"/>
      </w:rPr>
      <w:t></w:t>
    </w:r>
    <w:r w:rsidRPr="00B95629">
      <w:rPr>
        <w:rFonts w:ascii="C39T30Lfz" w:hAnsi="C39T30Lfz"/>
        <w:kern w:val="14"/>
        <w:sz w:val="56"/>
      </w:rPr>
      <w:t></w:t>
    </w:r>
    <w:r w:rsidRPr="00B95629">
      <w:rPr>
        <w:rFonts w:ascii="C39T30Lfz" w:hAnsi="C39T30Lfz"/>
        <w:kern w:val="14"/>
        <w:sz w:val="56"/>
      </w:rPr>
      <w:t></w:t>
    </w:r>
    <w:r w:rsidRPr="00B95629">
      <w:rPr>
        <w:rFonts w:ascii="C39T30Lfz" w:hAnsi="C39T30Lfz"/>
        <w:kern w:val="14"/>
        <w:sz w:val="56"/>
      </w:rPr>
      <w:t></w:t>
    </w:r>
    <w:r w:rsidRPr="00B9562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BIH/CO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BIH/CO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7C" w:rsidRPr="001075E9" w:rsidRDefault="00F872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727C" w:rsidRDefault="00F872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31C82" w:rsidRPr="00A32766" w:rsidRDefault="00C31C82" w:rsidP="003842E6">
      <w:pPr>
        <w:pStyle w:val="ad"/>
      </w:pPr>
      <w:r>
        <w:tab/>
      </w:r>
      <w:r w:rsidRPr="005D7220">
        <w:rPr>
          <w:rStyle w:val="aa"/>
          <w:sz w:val="20"/>
          <w:vertAlign w:val="baseline"/>
        </w:rPr>
        <w:t>*</w:t>
      </w:r>
      <w:r>
        <w:tab/>
        <w:t>Настоящий документ выпускается без официального редактирования.</w:t>
      </w:r>
    </w:p>
  </w:footnote>
  <w:footnote w:id="2">
    <w:p w:rsidR="00C31C82" w:rsidRPr="00A32766" w:rsidRDefault="00C31C82" w:rsidP="003842E6">
      <w:pPr>
        <w:pStyle w:val="ad"/>
      </w:pPr>
      <w:r w:rsidRPr="00985374">
        <w:tab/>
      </w:r>
      <w:r w:rsidRPr="003842E6">
        <w:rPr>
          <w:rStyle w:val="aa"/>
        </w:rPr>
        <w:footnoteRef/>
      </w:r>
      <w:r>
        <w:tab/>
        <w:t>Директивы: 1991/533/EC; 1999/70/EC; 1997/81/EC; 2003/88/EC; 2000/78/EC; 2006/54/EC; 1994/33/EU; 1992/85/EC; 2010/18/EC; 2001/23/EC; 1998/59/EC; 2008/94/EC; 96/71/EC; 2008/104 и 2002/14/EC.</w:t>
      </w:r>
    </w:p>
  </w:footnote>
  <w:footnote w:id="3">
    <w:p w:rsidR="00C31C82" w:rsidRPr="00F13D07" w:rsidRDefault="00C31C82" w:rsidP="003842E6">
      <w:pPr>
        <w:pStyle w:val="ad"/>
      </w:pPr>
      <w:r w:rsidRPr="00985374">
        <w:tab/>
      </w:r>
      <w:r w:rsidRPr="003842E6">
        <w:rPr>
          <w:rStyle w:val="aa"/>
        </w:rPr>
        <w:footnoteRef/>
      </w:r>
      <w:r>
        <w:tab/>
      </w:r>
      <w:r w:rsidR="00572668">
        <w:t>«</w:t>
      </w:r>
      <w:r>
        <w:t>Официальный вестник ФБиГ</w:t>
      </w:r>
      <w:r w:rsidR="00572668">
        <w:t>»</w:t>
      </w:r>
      <w:r>
        <w:t>, № 46/16.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29" w:rsidRPr="00B95629" w:rsidRDefault="005F5F15">
    <w:pPr>
      <w:pStyle w:val="a5"/>
    </w:pPr>
    <w:fldSimple w:instr=" TITLE  \* MERGEFORMAT ">
      <w:r w:rsidR="00634E9E">
        <w:t>CRPD/C/BIH/CO/1/Add.1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29" w:rsidRPr="00B95629" w:rsidRDefault="005F5F15" w:rsidP="00B95629">
    <w:pPr>
      <w:pStyle w:val="a5"/>
      <w:jc w:val="right"/>
    </w:pPr>
    <w:fldSimple w:instr=" TITLE  \* MERGEFORMAT ">
      <w:r w:rsidR="00634E9E">
        <w:t>CRPD/C/BIH/CO/1/Add.1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29" w:rsidRDefault="00B95629" w:rsidP="00B9562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C"/>
    <w:rsid w:val="00011089"/>
    <w:rsid w:val="00026643"/>
    <w:rsid w:val="00033EE1"/>
    <w:rsid w:val="00042B72"/>
    <w:rsid w:val="000558BD"/>
    <w:rsid w:val="000A4EC9"/>
    <w:rsid w:val="000B3BFA"/>
    <w:rsid w:val="000B57E7"/>
    <w:rsid w:val="000B6373"/>
    <w:rsid w:val="000B732B"/>
    <w:rsid w:val="000C147B"/>
    <w:rsid w:val="000D2AD3"/>
    <w:rsid w:val="000F09DF"/>
    <w:rsid w:val="000F61B2"/>
    <w:rsid w:val="00107461"/>
    <w:rsid w:val="001075E9"/>
    <w:rsid w:val="00180183"/>
    <w:rsid w:val="0018024D"/>
    <w:rsid w:val="0018649F"/>
    <w:rsid w:val="00196389"/>
    <w:rsid w:val="001B2903"/>
    <w:rsid w:val="001B3EF6"/>
    <w:rsid w:val="001C499F"/>
    <w:rsid w:val="001C7A89"/>
    <w:rsid w:val="001E7B61"/>
    <w:rsid w:val="00215062"/>
    <w:rsid w:val="002417A0"/>
    <w:rsid w:val="0027441B"/>
    <w:rsid w:val="00280B4F"/>
    <w:rsid w:val="002846B3"/>
    <w:rsid w:val="002A240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842E6"/>
    <w:rsid w:val="003958D0"/>
    <w:rsid w:val="003B00E5"/>
    <w:rsid w:val="003D0BCD"/>
    <w:rsid w:val="003E79CF"/>
    <w:rsid w:val="00407B78"/>
    <w:rsid w:val="00424203"/>
    <w:rsid w:val="00442378"/>
    <w:rsid w:val="00450C76"/>
    <w:rsid w:val="00451D46"/>
    <w:rsid w:val="00452493"/>
    <w:rsid w:val="00453318"/>
    <w:rsid w:val="00454E07"/>
    <w:rsid w:val="00472C5C"/>
    <w:rsid w:val="00500C8A"/>
    <w:rsid w:val="0050108D"/>
    <w:rsid w:val="00513081"/>
    <w:rsid w:val="00517901"/>
    <w:rsid w:val="00526683"/>
    <w:rsid w:val="005709E0"/>
    <w:rsid w:val="00572668"/>
    <w:rsid w:val="00572E19"/>
    <w:rsid w:val="005961C8"/>
    <w:rsid w:val="005966F1"/>
    <w:rsid w:val="005B3517"/>
    <w:rsid w:val="005D7220"/>
    <w:rsid w:val="005D7914"/>
    <w:rsid w:val="005E2B41"/>
    <w:rsid w:val="005F0B42"/>
    <w:rsid w:val="005F5F15"/>
    <w:rsid w:val="006250A0"/>
    <w:rsid w:val="00634E9E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7E40D3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8E66C1"/>
    <w:rsid w:val="00903712"/>
    <w:rsid w:val="00906890"/>
    <w:rsid w:val="00906901"/>
    <w:rsid w:val="00911BE4"/>
    <w:rsid w:val="009322C5"/>
    <w:rsid w:val="00951972"/>
    <w:rsid w:val="009608F3"/>
    <w:rsid w:val="00983128"/>
    <w:rsid w:val="009A24AC"/>
    <w:rsid w:val="009A76D3"/>
    <w:rsid w:val="009D6406"/>
    <w:rsid w:val="009D6636"/>
    <w:rsid w:val="00A05333"/>
    <w:rsid w:val="00A14DA8"/>
    <w:rsid w:val="00A312BC"/>
    <w:rsid w:val="00A7316E"/>
    <w:rsid w:val="00A84021"/>
    <w:rsid w:val="00A84D35"/>
    <w:rsid w:val="00A917B3"/>
    <w:rsid w:val="00AB4B51"/>
    <w:rsid w:val="00AC12E8"/>
    <w:rsid w:val="00AD7E4D"/>
    <w:rsid w:val="00AF2193"/>
    <w:rsid w:val="00B03F9C"/>
    <w:rsid w:val="00B10CC7"/>
    <w:rsid w:val="00B15F7E"/>
    <w:rsid w:val="00B36DF7"/>
    <w:rsid w:val="00B539E7"/>
    <w:rsid w:val="00B62458"/>
    <w:rsid w:val="00B739FE"/>
    <w:rsid w:val="00B95629"/>
    <w:rsid w:val="00BC18B2"/>
    <w:rsid w:val="00BD00B8"/>
    <w:rsid w:val="00BD33EE"/>
    <w:rsid w:val="00C106D6"/>
    <w:rsid w:val="00C31C82"/>
    <w:rsid w:val="00C60F0C"/>
    <w:rsid w:val="00C805C9"/>
    <w:rsid w:val="00C92939"/>
    <w:rsid w:val="00CA1679"/>
    <w:rsid w:val="00CB151C"/>
    <w:rsid w:val="00CE34DE"/>
    <w:rsid w:val="00CE5A1A"/>
    <w:rsid w:val="00CF55F6"/>
    <w:rsid w:val="00D000ED"/>
    <w:rsid w:val="00D164FC"/>
    <w:rsid w:val="00D33D63"/>
    <w:rsid w:val="00D90028"/>
    <w:rsid w:val="00D90138"/>
    <w:rsid w:val="00DD78D1"/>
    <w:rsid w:val="00DE32CD"/>
    <w:rsid w:val="00DF71B9"/>
    <w:rsid w:val="00E13344"/>
    <w:rsid w:val="00E30B7B"/>
    <w:rsid w:val="00E73F76"/>
    <w:rsid w:val="00E77684"/>
    <w:rsid w:val="00E92F15"/>
    <w:rsid w:val="00EA2C9F"/>
    <w:rsid w:val="00EA420E"/>
    <w:rsid w:val="00EB6155"/>
    <w:rsid w:val="00ED0BDA"/>
    <w:rsid w:val="00EF1360"/>
    <w:rsid w:val="00EF3220"/>
    <w:rsid w:val="00F43903"/>
    <w:rsid w:val="00F70637"/>
    <w:rsid w:val="00F74B20"/>
    <w:rsid w:val="00F8727C"/>
    <w:rsid w:val="00F94155"/>
    <w:rsid w:val="00F9783F"/>
    <w:rsid w:val="00FA1F7D"/>
    <w:rsid w:val="00FB2BE5"/>
    <w:rsid w:val="00FD2EF7"/>
    <w:rsid w:val="00FE447E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E1A627"/>
  <w15:docId w15:val="{0F4C9ED9-DEF2-404C-A77C-649CFB5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C31C8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A029-54A5-493E-8FA9-F38C31B4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5</Pages>
  <Words>1894</Words>
  <Characters>13129</Characters>
  <Application>Microsoft Office Word</Application>
  <DocSecurity>0</DocSecurity>
  <Lines>235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CRPD/C/BIH/CO/1/Add.1</vt:lpstr>
      <vt:lpstr>A/</vt:lpstr>
      <vt:lpstr>A/</vt:lpstr>
    </vt:vector>
  </TitlesOfParts>
  <Company>DCM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CRPD/C/BIH/CO/1/Add.1</dc:title>
  <dc:subject/>
  <dc:creator>Nina STEPANOVA</dc:creator>
  <cp:keywords/>
  <cp:lastModifiedBy>Ioulia Goussarova</cp:lastModifiedBy>
  <cp:revision>4</cp:revision>
  <cp:lastPrinted>2019-06-07T12:33:00Z</cp:lastPrinted>
  <dcterms:created xsi:type="dcterms:W3CDTF">2019-06-07T12:33:00Z</dcterms:created>
  <dcterms:modified xsi:type="dcterms:W3CDTF">2019-06-07T12:34:00Z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