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514C7" w:rsidRDefault="00EC62E1" w:rsidP="00B614C4">
            <w:pPr>
              <w:spacing w:line="240" w:lineRule="atLeast"/>
              <w:jc w:val="right"/>
              <w:rPr>
                <w:sz w:val="20"/>
                <w:szCs w:val="21"/>
              </w:rPr>
            </w:pPr>
            <w:proofErr w:type="spellStart"/>
            <w:r>
              <w:rPr>
                <w:sz w:val="40"/>
                <w:szCs w:val="21"/>
              </w:rPr>
              <w:t>CCPR</w:t>
            </w:r>
            <w:proofErr w:type="spellEnd"/>
            <w:r w:rsidR="00E514C7">
              <w:rPr>
                <w:sz w:val="20"/>
                <w:szCs w:val="21"/>
              </w:rPr>
              <w:t>/</w:t>
            </w:r>
            <w:r>
              <w:rPr>
                <w:sz w:val="20"/>
                <w:szCs w:val="21"/>
              </w:rPr>
              <w:t>C</w:t>
            </w:r>
            <w:r w:rsidR="00E514C7">
              <w:rPr>
                <w:sz w:val="20"/>
                <w:szCs w:val="21"/>
              </w:rPr>
              <w:t>/</w:t>
            </w:r>
            <w:r>
              <w:rPr>
                <w:sz w:val="20"/>
                <w:szCs w:val="21"/>
              </w:rPr>
              <w:t>117</w:t>
            </w:r>
            <w:r w:rsidR="00E514C7">
              <w:rPr>
                <w:sz w:val="20"/>
                <w:szCs w:val="21"/>
              </w:rPr>
              <w:t>/</w:t>
            </w:r>
            <w:r>
              <w:rPr>
                <w:sz w:val="20"/>
                <w:szCs w:val="21"/>
              </w:rPr>
              <w:t>D</w:t>
            </w:r>
            <w:r w:rsidR="00E514C7">
              <w:rPr>
                <w:sz w:val="20"/>
                <w:szCs w:val="21"/>
              </w:rPr>
              <w:t>/</w:t>
            </w:r>
            <w:r>
              <w:rPr>
                <w:sz w:val="20"/>
                <w:szCs w:val="21"/>
              </w:rPr>
              <w:t>2124</w:t>
            </w:r>
            <w:r w:rsidR="00E514C7">
              <w:rPr>
                <w:sz w:val="20"/>
                <w:szCs w:val="21"/>
              </w:rPr>
              <w:t>/</w:t>
            </w:r>
            <w:r>
              <w:rPr>
                <w:sz w:val="20"/>
                <w:szCs w:val="21"/>
              </w:rPr>
              <w:t>2</w:t>
            </w:r>
            <w:r w:rsidR="00E514C7">
              <w:rPr>
                <w:sz w:val="20"/>
                <w:szCs w:val="21"/>
              </w:rPr>
              <w:t>0</w:t>
            </w:r>
            <w:r>
              <w:rPr>
                <w:sz w:val="20"/>
                <w:szCs w:val="21"/>
              </w:rPr>
              <w:t>11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1E00BF33" wp14:editId="1DB3B7B5">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EC62E1" w:rsidP="00E514C7">
            <w:pPr>
              <w:spacing w:before="240" w:line="240" w:lineRule="atLeast"/>
              <w:rPr>
                <w:sz w:val="20"/>
              </w:rPr>
            </w:pPr>
            <w:r>
              <w:rPr>
                <w:sz w:val="20"/>
              </w:rPr>
              <w:t>Distr.: General</w:t>
            </w:r>
          </w:p>
          <w:p w:rsidR="00CE1D1C" w:rsidRPr="00F124C6" w:rsidRDefault="00EC62E1" w:rsidP="00B614C4">
            <w:pPr>
              <w:spacing w:line="240" w:lineRule="atLeast"/>
              <w:rPr>
                <w:sz w:val="20"/>
              </w:rPr>
            </w:pPr>
            <w:r>
              <w:rPr>
                <w:rFonts w:hint="eastAsia"/>
                <w:sz w:val="20"/>
              </w:rPr>
              <w:t>29</w:t>
            </w:r>
            <w:r w:rsidR="00E514C7">
              <w:rPr>
                <w:rFonts w:hint="eastAsia"/>
                <w:sz w:val="20"/>
              </w:rPr>
              <w:t xml:space="preserve"> </w:t>
            </w:r>
            <w:r>
              <w:rPr>
                <w:sz w:val="20"/>
              </w:rPr>
              <w:t>March</w:t>
            </w:r>
            <w:r w:rsidR="00EA7E67">
              <w:rPr>
                <w:sz w:val="20"/>
              </w:rPr>
              <w:t xml:space="preserve"> </w:t>
            </w:r>
            <w:r>
              <w:rPr>
                <w:sz w:val="20"/>
              </w:rPr>
              <w:t>2</w:t>
            </w:r>
            <w:r w:rsidR="00EA7E67">
              <w:rPr>
                <w:sz w:val="20"/>
              </w:rPr>
              <w:t>0</w:t>
            </w:r>
            <w:r>
              <w:rPr>
                <w:sz w:val="20"/>
              </w:rPr>
              <w:t>1</w:t>
            </w:r>
            <w:r>
              <w:rPr>
                <w:rFonts w:hint="eastAsia"/>
                <w:sz w:val="20"/>
              </w:rPr>
              <w:t>7</w:t>
            </w:r>
          </w:p>
          <w:p w:rsidR="00CE1D1C" w:rsidRPr="00F124C6" w:rsidRDefault="00EC62E1" w:rsidP="00B614C4">
            <w:pPr>
              <w:spacing w:line="240" w:lineRule="atLeast"/>
              <w:rPr>
                <w:sz w:val="20"/>
              </w:rPr>
            </w:pPr>
            <w:r>
              <w:rPr>
                <w:sz w:val="20"/>
              </w:rPr>
              <w:t>Chinese</w:t>
            </w:r>
            <w:r w:rsidR="00CE1D1C" w:rsidRPr="00F124C6">
              <w:rPr>
                <w:sz w:val="20"/>
              </w:rPr>
              <w:t xml:space="preserve"> </w:t>
            </w:r>
          </w:p>
          <w:p w:rsidR="00CE1D1C" w:rsidRPr="00F124C6" w:rsidRDefault="00EC62E1" w:rsidP="00B614C4">
            <w:pPr>
              <w:spacing w:line="240" w:lineRule="atLeast"/>
            </w:pPr>
            <w:r>
              <w:rPr>
                <w:sz w:val="20"/>
              </w:rPr>
              <w:t>Original: English</w:t>
            </w:r>
          </w:p>
        </w:tc>
      </w:tr>
    </w:tbl>
    <w:p w:rsidR="00E514C7" w:rsidRDefault="00E514C7"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E514C7" w:rsidRDefault="00E514C7" w:rsidP="00E514C7">
      <w:pPr>
        <w:pStyle w:val="HChGC"/>
      </w:pPr>
      <w:r>
        <w:tab/>
      </w:r>
      <w:r>
        <w:tab/>
      </w:r>
      <w:r w:rsidRPr="00E514C7">
        <w:rPr>
          <w:lang w:val="en-GB"/>
        </w:rPr>
        <w:t>委员会根据《任择议定书》第五条第</w:t>
      </w:r>
      <w:r w:rsidR="00EC62E1">
        <w:rPr>
          <w:lang w:val="en-GB"/>
        </w:rPr>
        <w:t>4</w:t>
      </w:r>
      <w:r w:rsidRPr="00E514C7">
        <w:rPr>
          <w:lang w:val="en-GB"/>
        </w:rPr>
        <w:t>款通过的关于第</w:t>
      </w:r>
      <w:r w:rsidR="00EC62E1">
        <w:rPr>
          <w:lang w:val="en-GB"/>
        </w:rPr>
        <w:t>2124</w:t>
      </w:r>
      <w:r w:rsidRPr="00E514C7">
        <w:rPr>
          <w:lang w:val="en-GB"/>
        </w:rPr>
        <w:t>/</w:t>
      </w:r>
      <w:r w:rsidR="00EC62E1">
        <w:rPr>
          <w:lang w:val="en-GB"/>
        </w:rPr>
        <w:t>2</w:t>
      </w:r>
      <w:r w:rsidRPr="00E514C7">
        <w:rPr>
          <w:lang w:val="en-GB"/>
        </w:rPr>
        <w:t>0</w:t>
      </w:r>
      <w:r w:rsidR="00EC62E1">
        <w:rPr>
          <w:lang w:val="en-GB"/>
        </w:rPr>
        <w:t>11</w:t>
      </w:r>
      <w:r w:rsidRPr="00E514C7">
        <w:rPr>
          <w:lang w:val="en-GB"/>
        </w:rPr>
        <w:t>号来文的意见</w:t>
      </w:r>
      <w:r w:rsidRPr="00E514C7">
        <w:rPr>
          <w:rStyle w:val="a7"/>
          <w:sz w:val="28"/>
          <w:vertAlign w:val="baseline"/>
          <w:lang w:val="en-GB"/>
        </w:rPr>
        <w:footnoteReference w:customMarkFollows="1" w:id="2"/>
        <w:t>*</w:t>
      </w:r>
      <w:r w:rsidRPr="00E514C7">
        <w:rPr>
          <w:rFonts w:hint="eastAsia"/>
          <w:lang w:val="en-GB"/>
        </w:rPr>
        <w:t xml:space="preserve"> </w:t>
      </w:r>
      <w:r w:rsidRPr="00E514C7">
        <w:rPr>
          <w:rStyle w:val="a7"/>
          <w:sz w:val="28"/>
          <w:vertAlign w:val="baseline"/>
          <w:lang w:val="en-GB"/>
        </w:rPr>
        <w:footnoteReference w:customMarkFollows="1" w:id="3"/>
        <w:t>**</w:t>
      </w:r>
      <w:r w:rsidRPr="00E514C7">
        <w:rPr>
          <w:rFonts w:hint="eastAsia"/>
          <w:lang w:val="en-GB"/>
        </w:rPr>
        <w:t xml:space="preserve"> </w:t>
      </w:r>
      <w:r w:rsidRPr="00E514C7">
        <w:rPr>
          <w:rStyle w:val="a7"/>
          <w:sz w:val="28"/>
          <w:vertAlign w:val="baseline"/>
          <w:lang w:val="en-GB"/>
        </w:rPr>
        <w:footnoteReference w:customMarkFollows="1" w:id="4"/>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E514C7" w:rsidTr="00E514C7">
        <w:trPr>
          <w:cantSplit/>
        </w:trPr>
        <w:tc>
          <w:tcPr>
            <w:tcW w:w="2205" w:type="dxa"/>
          </w:tcPr>
          <w:p w:rsidR="00E514C7" w:rsidRPr="00172E04" w:rsidRDefault="00E514C7" w:rsidP="00E514C7">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E514C7" w:rsidRPr="00C74FB6" w:rsidRDefault="00EC62E1" w:rsidP="00834718">
            <w:pPr>
              <w:pStyle w:val="SingleTxtGC"/>
              <w:ind w:left="0" w:right="0"/>
            </w:pPr>
            <w:r>
              <w:rPr>
                <w:lang w:val="en-GB"/>
              </w:rPr>
              <w:t>Mohamed</w:t>
            </w:r>
            <w:r w:rsidR="00E514C7" w:rsidRPr="00E514C7">
              <w:rPr>
                <w:lang w:val="en-GB"/>
              </w:rPr>
              <w:t xml:space="preserve"> </w:t>
            </w:r>
            <w:r>
              <w:rPr>
                <w:lang w:val="en-GB"/>
              </w:rPr>
              <w:t>Rabbae, A</w:t>
            </w:r>
            <w:r w:rsidR="00E514C7" w:rsidRPr="00E514C7">
              <w:rPr>
                <w:lang w:val="en-GB"/>
              </w:rPr>
              <w:t>.</w:t>
            </w:r>
            <w:r>
              <w:rPr>
                <w:lang w:val="en-GB"/>
              </w:rPr>
              <w:t>B</w:t>
            </w:r>
            <w:r w:rsidR="00E514C7" w:rsidRPr="00E514C7">
              <w:rPr>
                <w:lang w:val="en-GB"/>
              </w:rPr>
              <w:t>.</w:t>
            </w:r>
            <w:r>
              <w:rPr>
                <w:lang w:val="en-GB"/>
              </w:rPr>
              <w:t>S</w:t>
            </w:r>
            <w:r w:rsidR="00E514C7" w:rsidRPr="00E514C7">
              <w:rPr>
                <w:rFonts w:hint="eastAsia"/>
                <w:lang w:val="en-GB"/>
              </w:rPr>
              <w:t>和</w:t>
            </w:r>
            <w:r>
              <w:rPr>
                <w:lang w:val="en-GB"/>
              </w:rPr>
              <w:t>N</w:t>
            </w:r>
            <w:r w:rsidR="00E514C7" w:rsidRPr="00E514C7">
              <w:rPr>
                <w:lang w:val="en-GB"/>
              </w:rPr>
              <w:t>.</w:t>
            </w:r>
            <w:r>
              <w:rPr>
                <w:lang w:val="en-GB"/>
              </w:rPr>
              <w:t>A</w:t>
            </w:r>
            <w:r w:rsidR="00834718">
              <w:rPr>
                <w:lang w:val="en-GB"/>
              </w:rPr>
              <w:t>.</w:t>
            </w:r>
            <w:r w:rsidR="00E514C7" w:rsidRPr="00E514C7">
              <w:rPr>
                <w:lang w:val="en-GB"/>
              </w:rPr>
              <w:t>(</w:t>
            </w:r>
            <w:r w:rsidR="00E514C7" w:rsidRPr="00E514C7">
              <w:rPr>
                <w:rFonts w:hint="eastAsia"/>
                <w:lang w:val="en-GB"/>
              </w:rPr>
              <w:t>由</w:t>
            </w:r>
            <w:r>
              <w:rPr>
                <w:lang w:val="en-GB"/>
              </w:rPr>
              <w:t>Ettina</w:t>
            </w:r>
            <w:r w:rsidR="00E514C7" w:rsidRPr="00E514C7">
              <w:rPr>
                <w:lang w:val="en-GB"/>
              </w:rPr>
              <w:t xml:space="preserve"> </w:t>
            </w:r>
            <w:r>
              <w:rPr>
                <w:lang w:val="en-GB"/>
              </w:rPr>
              <w:t>Prakken</w:t>
            </w:r>
            <w:r w:rsidR="00E514C7" w:rsidRPr="00E514C7">
              <w:rPr>
                <w:rFonts w:hint="eastAsia"/>
                <w:lang w:val="en-GB"/>
              </w:rPr>
              <w:t>和</w:t>
            </w:r>
            <w:r>
              <w:rPr>
                <w:lang w:val="en-GB"/>
              </w:rPr>
              <w:t>Michiel</w:t>
            </w:r>
            <w:r w:rsidR="00834718">
              <w:rPr>
                <w:rFonts w:hint="eastAsia"/>
                <w:lang w:val="en-GB"/>
              </w:rPr>
              <w:t xml:space="preserve"> </w:t>
            </w:r>
            <w:r>
              <w:rPr>
                <w:lang w:val="en-GB"/>
              </w:rPr>
              <w:t>Pestman</w:t>
            </w:r>
            <w:r w:rsidR="00E514C7" w:rsidRPr="00E514C7">
              <w:rPr>
                <w:rFonts w:hint="eastAsia"/>
                <w:lang w:val="en-GB"/>
              </w:rPr>
              <w:t>律师代理</w:t>
            </w:r>
            <w:r w:rsidR="00E514C7" w:rsidRPr="00E514C7">
              <w:rPr>
                <w:lang w:val="en-GB"/>
              </w:rPr>
              <w:t>)</w:t>
            </w:r>
          </w:p>
        </w:tc>
      </w:tr>
      <w:tr w:rsidR="00E514C7" w:rsidTr="00E514C7">
        <w:trPr>
          <w:cantSplit/>
        </w:trPr>
        <w:tc>
          <w:tcPr>
            <w:tcW w:w="2205" w:type="dxa"/>
          </w:tcPr>
          <w:p w:rsidR="00E514C7" w:rsidRPr="00172E04" w:rsidRDefault="00E514C7" w:rsidP="00E514C7">
            <w:pPr>
              <w:pStyle w:val="SingleTxtGC"/>
              <w:ind w:left="0" w:right="0"/>
              <w:rPr>
                <w:rFonts w:eastAsia="楷体"/>
              </w:rPr>
            </w:pPr>
            <w:r w:rsidRPr="00172E04">
              <w:rPr>
                <w:rFonts w:ascii="Time New Roman" w:eastAsia="楷体" w:hAnsi="Time New Roman" w:hint="eastAsia"/>
              </w:rPr>
              <w:t>据称受害人：</w:t>
            </w:r>
          </w:p>
        </w:tc>
        <w:tc>
          <w:tcPr>
            <w:tcW w:w="4726" w:type="dxa"/>
          </w:tcPr>
          <w:p w:rsidR="00E514C7" w:rsidRPr="00C74FB6" w:rsidRDefault="00E514C7" w:rsidP="00E514C7">
            <w:pPr>
              <w:pStyle w:val="SingleTxtGC"/>
              <w:ind w:left="0" w:right="0"/>
            </w:pPr>
            <w:r w:rsidRPr="00E514C7">
              <w:rPr>
                <w:rFonts w:hint="eastAsia"/>
                <w:lang w:val="en-GB"/>
              </w:rPr>
              <w:t>提交人</w:t>
            </w:r>
          </w:p>
        </w:tc>
      </w:tr>
      <w:tr w:rsidR="00E514C7" w:rsidTr="00E514C7">
        <w:trPr>
          <w:cantSplit/>
        </w:trPr>
        <w:tc>
          <w:tcPr>
            <w:tcW w:w="2205" w:type="dxa"/>
          </w:tcPr>
          <w:p w:rsidR="00E514C7" w:rsidRPr="00172E04" w:rsidRDefault="00E514C7" w:rsidP="00E514C7">
            <w:pPr>
              <w:pStyle w:val="SingleTxtGC"/>
              <w:ind w:left="0" w:right="0"/>
              <w:rPr>
                <w:rFonts w:eastAsia="楷体"/>
              </w:rPr>
            </w:pPr>
            <w:r w:rsidRPr="00172E04">
              <w:rPr>
                <w:rFonts w:ascii="Time New Roman" w:eastAsia="楷体" w:hAnsi="Time New Roman" w:hint="eastAsia"/>
              </w:rPr>
              <w:t>所涉缔约国：</w:t>
            </w:r>
          </w:p>
        </w:tc>
        <w:tc>
          <w:tcPr>
            <w:tcW w:w="4726" w:type="dxa"/>
          </w:tcPr>
          <w:p w:rsidR="00E514C7" w:rsidRPr="00C74FB6" w:rsidRDefault="00E514C7" w:rsidP="00E514C7">
            <w:pPr>
              <w:pStyle w:val="SingleTxtGC"/>
              <w:ind w:left="0" w:right="0"/>
            </w:pPr>
            <w:r w:rsidRPr="00E514C7">
              <w:rPr>
                <w:rFonts w:hint="eastAsia"/>
                <w:lang w:val="en-GB"/>
              </w:rPr>
              <w:t>荷兰</w:t>
            </w:r>
          </w:p>
        </w:tc>
      </w:tr>
      <w:tr w:rsidR="00E514C7" w:rsidTr="00E514C7">
        <w:trPr>
          <w:cantSplit/>
        </w:trPr>
        <w:tc>
          <w:tcPr>
            <w:tcW w:w="2205" w:type="dxa"/>
          </w:tcPr>
          <w:p w:rsidR="00E514C7" w:rsidRPr="00172E04" w:rsidRDefault="00E514C7" w:rsidP="00E514C7">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E514C7" w:rsidRPr="00C74FB6" w:rsidRDefault="00EC62E1" w:rsidP="00E514C7">
            <w:pPr>
              <w:pStyle w:val="SingleTxtGC"/>
              <w:ind w:left="0" w:right="0"/>
            </w:pPr>
            <w:r>
              <w:rPr>
                <w:lang w:val="en-GB"/>
              </w:rPr>
              <w:t>2</w:t>
            </w:r>
            <w:r w:rsidR="00E514C7" w:rsidRPr="00E514C7">
              <w:rPr>
                <w:lang w:val="en-GB"/>
              </w:rPr>
              <w:t>0</w:t>
            </w:r>
            <w:r>
              <w:rPr>
                <w:lang w:val="en-GB"/>
              </w:rPr>
              <w:t>11</w:t>
            </w:r>
            <w:r w:rsidR="00E514C7" w:rsidRPr="00E514C7">
              <w:rPr>
                <w:rFonts w:hint="eastAsia"/>
                <w:lang w:val="en-GB"/>
              </w:rPr>
              <w:t>年</w:t>
            </w:r>
            <w:r>
              <w:rPr>
                <w:rFonts w:hint="eastAsia"/>
                <w:lang w:val="en-GB"/>
              </w:rPr>
              <w:t>11</w:t>
            </w:r>
            <w:r w:rsidR="00E514C7" w:rsidRPr="00E514C7">
              <w:rPr>
                <w:rFonts w:hint="eastAsia"/>
                <w:lang w:val="en-GB"/>
              </w:rPr>
              <w:t>月</w:t>
            </w:r>
            <w:r>
              <w:rPr>
                <w:rFonts w:hint="eastAsia"/>
                <w:lang w:val="en-GB"/>
              </w:rPr>
              <w:t>15</w:t>
            </w:r>
            <w:r w:rsidR="00E514C7" w:rsidRPr="00E514C7">
              <w:rPr>
                <w:rFonts w:hint="eastAsia"/>
                <w:lang w:val="en-GB"/>
              </w:rPr>
              <w:t>日</w:t>
            </w:r>
            <w:r w:rsidR="00E514C7" w:rsidRPr="00E514C7">
              <w:rPr>
                <w:lang w:val="en-GB"/>
              </w:rPr>
              <w:t>(</w:t>
            </w:r>
            <w:r w:rsidR="00E514C7" w:rsidRPr="00E514C7">
              <w:rPr>
                <w:rFonts w:hint="eastAsia"/>
                <w:lang w:val="en-GB"/>
              </w:rPr>
              <w:t>首次提交</w:t>
            </w:r>
            <w:r w:rsidR="00E514C7" w:rsidRPr="00E514C7">
              <w:rPr>
                <w:lang w:val="en-GB"/>
              </w:rPr>
              <w:t>)</w:t>
            </w:r>
          </w:p>
        </w:tc>
      </w:tr>
      <w:tr w:rsidR="00E514C7" w:rsidTr="00E514C7">
        <w:trPr>
          <w:cantSplit/>
        </w:trPr>
        <w:tc>
          <w:tcPr>
            <w:tcW w:w="2205" w:type="dxa"/>
          </w:tcPr>
          <w:p w:rsidR="00E514C7" w:rsidRPr="00172E04" w:rsidRDefault="00E514C7" w:rsidP="00E514C7">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E514C7" w:rsidRPr="00C74FB6" w:rsidRDefault="00E514C7" w:rsidP="00E514C7">
            <w:pPr>
              <w:pStyle w:val="SingleTxtGC"/>
              <w:ind w:left="0" w:right="0"/>
              <w:rPr>
                <w:lang w:val="fr-CH"/>
              </w:rPr>
            </w:pPr>
            <w:r w:rsidRPr="00E514C7">
              <w:rPr>
                <w:lang w:val="en-GB"/>
              </w:rPr>
              <w:t>根据委员会议事规则第</w:t>
            </w:r>
            <w:r w:rsidR="00EC62E1">
              <w:rPr>
                <w:lang w:val="en-GB"/>
              </w:rPr>
              <w:t>97</w:t>
            </w:r>
            <w:r w:rsidRPr="00E514C7">
              <w:rPr>
                <w:lang w:val="en-GB"/>
              </w:rPr>
              <w:t>条作出的决定，己于</w:t>
            </w:r>
            <w:r w:rsidR="00EC62E1">
              <w:rPr>
                <w:lang w:val="en-GB"/>
              </w:rPr>
              <w:t>2</w:t>
            </w:r>
            <w:r w:rsidRPr="00E514C7">
              <w:rPr>
                <w:lang w:val="en-GB"/>
              </w:rPr>
              <w:t>0</w:t>
            </w:r>
            <w:r w:rsidR="00EC62E1">
              <w:rPr>
                <w:lang w:val="en-GB"/>
              </w:rPr>
              <w:t>1</w:t>
            </w:r>
            <w:r w:rsidR="00EC62E1">
              <w:rPr>
                <w:rFonts w:hint="eastAsia"/>
                <w:lang w:val="en-GB"/>
              </w:rPr>
              <w:t>1</w:t>
            </w:r>
            <w:r w:rsidRPr="00E514C7">
              <w:rPr>
                <w:lang w:val="en-GB"/>
              </w:rPr>
              <w:t>年</w:t>
            </w:r>
            <w:r w:rsidR="00EC62E1">
              <w:rPr>
                <w:lang w:val="en-GB"/>
              </w:rPr>
              <w:t>1</w:t>
            </w:r>
            <w:r w:rsidR="00EC62E1">
              <w:rPr>
                <w:rFonts w:hint="eastAsia"/>
                <w:lang w:val="en-GB"/>
              </w:rPr>
              <w:t>2</w:t>
            </w:r>
            <w:r w:rsidRPr="00E514C7">
              <w:rPr>
                <w:lang w:val="en-GB"/>
              </w:rPr>
              <w:t>月</w:t>
            </w:r>
            <w:r w:rsidR="00EC62E1">
              <w:rPr>
                <w:lang w:val="en-GB"/>
              </w:rPr>
              <w:t>2</w:t>
            </w:r>
            <w:r w:rsidRPr="00E514C7">
              <w:rPr>
                <w:lang w:val="en-GB"/>
              </w:rPr>
              <w:t>0</w:t>
            </w:r>
            <w:r w:rsidRPr="00E514C7">
              <w:rPr>
                <w:lang w:val="en-GB"/>
              </w:rPr>
              <w:t>日转交缔约国</w:t>
            </w:r>
            <w:r w:rsidRPr="00E514C7">
              <w:rPr>
                <w:lang w:val="en-GB"/>
              </w:rPr>
              <w:t>(</w:t>
            </w:r>
            <w:r w:rsidRPr="00E514C7">
              <w:rPr>
                <w:lang w:val="en-GB"/>
              </w:rPr>
              <w:t>未以文件形式分发</w:t>
            </w:r>
            <w:r w:rsidRPr="00E514C7">
              <w:rPr>
                <w:lang w:val="en-GB"/>
              </w:rPr>
              <w:t>)</w:t>
            </w:r>
          </w:p>
        </w:tc>
      </w:tr>
      <w:tr w:rsidR="00E514C7" w:rsidTr="00E514C7">
        <w:trPr>
          <w:cantSplit/>
        </w:trPr>
        <w:tc>
          <w:tcPr>
            <w:tcW w:w="2205" w:type="dxa"/>
          </w:tcPr>
          <w:p w:rsidR="00E514C7" w:rsidRPr="00172E04" w:rsidRDefault="00E514C7" w:rsidP="00E514C7">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E514C7" w:rsidRPr="00C74FB6" w:rsidRDefault="00EC62E1" w:rsidP="00E514C7">
            <w:pPr>
              <w:pStyle w:val="SingleTxtGC"/>
              <w:ind w:left="0" w:right="0"/>
              <w:rPr>
                <w:lang w:val="fr-CH"/>
              </w:rPr>
            </w:pPr>
            <w:r>
              <w:rPr>
                <w:snapToGrid/>
                <w:lang w:val="en-GB"/>
              </w:rPr>
              <w:t>2</w:t>
            </w:r>
            <w:r w:rsidR="00E514C7" w:rsidRPr="00E514C7">
              <w:rPr>
                <w:snapToGrid/>
                <w:lang w:val="en-GB"/>
              </w:rPr>
              <w:t>0</w:t>
            </w:r>
            <w:r>
              <w:rPr>
                <w:snapToGrid/>
                <w:lang w:val="en-GB"/>
              </w:rPr>
              <w:t>16</w:t>
            </w:r>
            <w:r w:rsidR="00E514C7" w:rsidRPr="00E514C7">
              <w:rPr>
                <w:rFonts w:hint="eastAsia"/>
                <w:snapToGrid/>
                <w:lang w:val="en-GB"/>
              </w:rPr>
              <w:t>年</w:t>
            </w:r>
            <w:r>
              <w:rPr>
                <w:rFonts w:hint="eastAsia"/>
                <w:snapToGrid/>
                <w:lang w:val="en-GB"/>
              </w:rPr>
              <w:t>7</w:t>
            </w:r>
            <w:r w:rsidR="00E514C7" w:rsidRPr="00E514C7">
              <w:rPr>
                <w:rFonts w:hint="eastAsia"/>
                <w:snapToGrid/>
                <w:lang w:val="en-GB"/>
              </w:rPr>
              <w:t>月</w:t>
            </w:r>
            <w:r>
              <w:rPr>
                <w:rFonts w:hint="eastAsia"/>
                <w:snapToGrid/>
                <w:lang w:val="en-GB"/>
              </w:rPr>
              <w:t>14</w:t>
            </w:r>
            <w:r w:rsidR="00E514C7" w:rsidRPr="00E514C7">
              <w:rPr>
                <w:rFonts w:hint="eastAsia"/>
                <w:snapToGrid/>
                <w:lang w:val="en-GB"/>
              </w:rPr>
              <w:t>日</w:t>
            </w:r>
          </w:p>
        </w:tc>
      </w:tr>
      <w:tr w:rsidR="00E514C7" w:rsidTr="00E514C7">
        <w:trPr>
          <w:cantSplit/>
        </w:trPr>
        <w:tc>
          <w:tcPr>
            <w:tcW w:w="2205" w:type="dxa"/>
          </w:tcPr>
          <w:p w:rsidR="00E514C7" w:rsidRPr="00172E04" w:rsidRDefault="00E514C7" w:rsidP="00E514C7">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E514C7" w:rsidRPr="00C74FB6" w:rsidRDefault="00E514C7" w:rsidP="00E514C7">
            <w:pPr>
              <w:pStyle w:val="SingleTxtGC"/>
              <w:ind w:left="0" w:right="0"/>
              <w:rPr>
                <w:snapToGrid/>
              </w:rPr>
            </w:pPr>
            <w:r w:rsidRPr="00E514C7">
              <w:rPr>
                <w:rFonts w:hint="eastAsia"/>
                <w:iCs/>
                <w:snapToGrid/>
                <w:lang w:val="en-GB"/>
              </w:rPr>
              <w:t>政客</w:t>
            </w:r>
            <w:r w:rsidRPr="00E514C7">
              <w:rPr>
                <w:snapToGrid/>
                <w:lang w:val="en-GB"/>
              </w:rPr>
              <w:t>煽动种族或宗教仇恨</w:t>
            </w:r>
          </w:p>
        </w:tc>
      </w:tr>
      <w:tr w:rsidR="00E514C7" w:rsidTr="00E514C7">
        <w:trPr>
          <w:cantSplit/>
        </w:trPr>
        <w:tc>
          <w:tcPr>
            <w:tcW w:w="2205" w:type="dxa"/>
          </w:tcPr>
          <w:p w:rsidR="00E514C7" w:rsidRPr="00172E04" w:rsidRDefault="00E514C7" w:rsidP="00E514C7">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E514C7" w:rsidRPr="00C74FB6" w:rsidRDefault="00E514C7" w:rsidP="00E514C7">
            <w:pPr>
              <w:pStyle w:val="SingleTxtGC"/>
              <w:ind w:left="0" w:right="0"/>
              <w:rPr>
                <w:snapToGrid/>
              </w:rPr>
            </w:pPr>
            <w:r w:rsidRPr="00E514C7">
              <w:rPr>
                <w:snapToGrid/>
                <w:lang w:val="en-GB"/>
              </w:rPr>
              <w:t>受害人地位</w:t>
            </w:r>
            <w:r w:rsidR="005D2190">
              <w:rPr>
                <w:snapToGrid/>
                <w:lang w:val="en-GB"/>
              </w:rPr>
              <w:t>；</w:t>
            </w:r>
            <w:r w:rsidRPr="00E514C7">
              <w:rPr>
                <w:snapToGrid/>
                <w:lang w:val="en-GB"/>
              </w:rPr>
              <w:t>属事</w:t>
            </w:r>
            <w:r w:rsidRPr="00E514C7">
              <w:rPr>
                <w:rFonts w:hint="eastAsia"/>
                <w:snapToGrid/>
                <w:lang w:val="en-GB"/>
              </w:rPr>
              <w:t>排除</w:t>
            </w:r>
            <w:r w:rsidR="005D2190">
              <w:rPr>
                <w:snapToGrid/>
                <w:lang w:val="en-GB"/>
              </w:rPr>
              <w:t>；</w:t>
            </w:r>
            <w:r w:rsidRPr="00E514C7">
              <w:rPr>
                <w:rFonts w:hint="eastAsia"/>
                <w:snapToGrid/>
                <w:lang w:val="en-GB"/>
              </w:rPr>
              <w:t>用尽国内补救办法</w:t>
            </w:r>
          </w:p>
        </w:tc>
      </w:tr>
      <w:tr w:rsidR="00E514C7" w:rsidTr="00E514C7">
        <w:trPr>
          <w:cantSplit/>
        </w:trPr>
        <w:tc>
          <w:tcPr>
            <w:tcW w:w="2205" w:type="dxa"/>
          </w:tcPr>
          <w:p w:rsidR="00E514C7" w:rsidRPr="00172E04" w:rsidRDefault="00E514C7" w:rsidP="00E514C7">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E514C7" w:rsidRPr="00C657A9" w:rsidRDefault="00E514C7" w:rsidP="00E514C7">
            <w:pPr>
              <w:pStyle w:val="SingleTxtGC"/>
              <w:ind w:left="0" w:right="0"/>
              <w:rPr>
                <w:snapToGrid/>
              </w:rPr>
            </w:pPr>
            <w:r w:rsidRPr="00E514C7">
              <w:rPr>
                <w:snapToGrid/>
                <w:lang w:val="en-GB"/>
              </w:rPr>
              <w:t>得</w:t>
            </w:r>
            <w:r w:rsidRPr="00E514C7">
              <w:rPr>
                <w:rFonts w:hint="eastAsia"/>
                <w:snapToGrid/>
                <w:lang w:val="en-GB"/>
              </w:rPr>
              <w:t>到</w:t>
            </w:r>
            <w:r w:rsidRPr="00E514C7">
              <w:rPr>
                <w:snapToGrid/>
                <w:lang w:val="en-GB"/>
              </w:rPr>
              <w:t>有效补救的权利</w:t>
            </w:r>
            <w:r w:rsidR="005D2190">
              <w:rPr>
                <w:snapToGrid/>
                <w:lang w:val="en-GB"/>
              </w:rPr>
              <w:t>；</w:t>
            </w:r>
            <w:r w:rsidRPr="00E514C7">
              <w:rPr>
                <w:snapToGrid/>
                <w:lang w:val="en-GB"/>
              </w:rPr>
              <w:t>获得公正审判的权利</w:t>
            </w:r>
            <w:r w:rsidR="005D2190">
              <w:rPr>
                <w:snapToGrid/>
                <w:lang w:val="en-GB"/>
              </w:rPr>
              <w:t>；</w:t>
            </w:r>
            <w:r w:rsidRPr="00E514C7">
              <w:rPr>
                <w:snapToGrid/>
                <w:lang w:val="en-GB"/>
              </w:rPr>
              <w:t>煽动种族或宗教仇恨</w:t>
            </w:r>
            <w:r w:rsidR="005D2190">
              <w:rPr>
                <w:snapToGrid/>
                <w:lang w:val="en-GB"/>
              </w:rPr>
              <w:t>；</w:t>
            </w:r>
            <w:r w:rsidRPr="00E514C7">
              <w:rPr>
                <w:snapToGrid/>
                <w:lang w:val="en-GB"/>
              </w:rPr>
              <w:t>法律面前平等</w:t>
            </w:r>
            <w:r w:rsidRPr="00E514C7">
              <w:rPr>
                <w:rFonts w:hint="eastAsia"/>
                <w:snapToGrid/>
                <w:lang w:val="en-GB"/>
              </w:rPr>
              <w:t>的权利和不受歧视获得法律的平等保护</w:t>
            </w:r>
            <w:r w:rsidR="005D2190">
              <w:rPr>
                <w:snapToGrid/>
                <w:lang w:val="en-GB"/>
              </w:rPr>
              <w:t>；</w:t>
            </w:r>
            <w:r w:rsidRPr="00E514C7">
              <w:rPr>
                <w:snapToGrid/>
                <w:lang w:val="en-GB"/>
              </w:rPr>
              <w:t>保护少数群体</w:t>
            </w:r>
          </w:p>
        </w:tc>
      </w:tr>
      <w:tr w:rsidR="00E514C7" w:rsidTr="00E514C7">
        <w:trPr>
          <w:cantSplit/>
        </w:trPr>
        <w:tc>
          <w:tcPr>
            <w:tcW w:w="2205" w:type="dxa"/>
          </w:tcPr>
          <w:p w:rsidR="00E514C7" w:rsidRPr="00172E04" w:rsidRDefault="00E514C7" w:rsidP="00E514C7">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E514C7" w:rsidRPr="00C657A9" w:rsidRDefault="00E514C7" w:rsidP="00E514C7">
            <w:pPr>
              <w:pStyle w:val="SingleTxtGC"/>
              <w:ind w:left="0" w:right="0"/>
              <w:rPr>
                <w:snapToGrid/>
              </w:rPr>
            </w:pPr>
            <w:r w:rsidRPr="00E514C7">
              <w:rPr>
                <w:rFonts w:hint="eastAsia"/>
                <w:snapToGrid/>
                <w:lang w:val="en-GB"/>
              </w:rPr>
              <w:t>第二条第</w:t>
            </w:r>
            <w:r w:rsidR="00EC62E1">
              <w:rPr>
                <w:rFonts w:hint="eastAsia"/>
                <w:snapToGrid/>
                <w:lang w:val="en-GB"/>
              </w:rPr>
              <w:t>3</w:t>
            </w:r>
            <w:r w:rsidRPr="00E514C7">
              <w:rPr>
                <w:rFonts w:hint="eastAsia"/>
                <w:snapToGrid/>
                <w:lang w:val="en-GB"/>
              </w:rPr>
              <w:t>款、第十四条第</w:t>
            </w:r>
            <w:r w:rsidR="00EC62E1">
              <w:rPr>
                <w:rFonts w:hint="eastAsia"/>
                <w:snapToGrid/>
                <w:lang w:val="en-GB"/>
              </w:rPr>
              <w:t>1</w:t>
            </w:r>
            <w:r w:rsidRPr="00E514C7">
              <w:rPr>
                <w:rFonts w:hint="eastAsia"/>
                <w:snapToGrid/>
                <w:lang w:val="en-GB"/>
              </w:rPr>
              <w:t>款、第十七条、第二十条第</w:t>
            </w:r>
            <w:r w:rsidR="00EC62E1">
              <w:rPr>
                <w:rFonts w:hint="eastAsia"/>
                <w:snapToGrid/>
                <w:lang w:val="en-GB"/>
              </w:rPr>
              <w:t>2</w:t>
            </w:r>
            <w:r w:rsidRPr="00E514C7">
              <w:rPr>
                <w:rFonts w:hint="eastAsia"/>
                <w:snapToGrid/>
                <w:lang w:val="en-GB"/>
              </w:rPr>
              <w:t>款、第二十六条和第二十七条</w:t>
            </w:r>
          </w:p>
        </w:tc>
      </w:tr>
      <w:tr w:rsidR="00E514C7" w:rsidTr="00E514C7">
        <w:trPr>
          <w:cantSplit/>
        </w:trPr>
        <w:tc>
          <w:tcPr>
            <w:tcW w:w="2205" w:type="dxa"/>
          </w:tcPr>
          <w:p w:rsidR="00E514C7" w:rsidRPr="00172E04" w:rsidRDefault="00E514C7" w:rsidP="00E514C7">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E514C7" w:rsidRDefault="00E514C7" w:rsidP="00E514C7">
            <w:pPr>
              <w:pStyle w:val="SingleTxtGC"/>
              <w:ind w:left="0" w:right="0"/>
              <w:rPr>
                <w:snapToGrid/>
              </w:rPr>
            </w:pPr>
            <w:r w:rsidRPr="00E514C7">
              <w:rPr>
                <w:rFonts w:hint="eastAsia"/>
                <w:snapToGrid/>
                <w:lang w:val="en-GB"/>
              </w:rPr>
              <w:t>第一条、第三条和</w:t>
            </w:r>
            <w:r w:rsidRPr="00E514C7">
              <w:rPr>
                <w:snapToGrid/>
                <w:lang w:val="en-GB"/>
              </w:rPr>
              <w:t>第五条第</w:t>
            </w:r>
            <w:r w:rsidR="00EC62E1">
              <w:rPr>
                <w:rFonts w:hint="eastAsia"/>
                <w:snapToGrid/>
                <w:lang w:val="en-GB"/>
              </w:rPr>
              <w:t>2</w:t>
            </w:r>
            <w:r w:rsidRPr="00E514C7">
              <w:rPr>
                <w:snapToGrid/>
                <w:lang w:val="en-GB"/>
              </w:rPr>
              <w:t>款</w:t>
            </w:r>
            <w:r w:rsidRPr="00E514C7">
              <w:rPr>
                <w:snapToGrid/>
                <w:lang w:val="en-GB"/>
              </w:rPr>
              <w:t>(</w:t>
            </w:r>
            <w:r w:rsidRPr="00E514C7">
              <w:rPr>
                <w:rFonts w:hint="eastAsia"/>
                <w:snapToGrid/>
                <w:lang w:val="en-GB"/>
              </w:rPr>
              <w:t>丑</w:t>
            </w:r>
            <w:r w:rsidRPr="00E514C7">
              <w:rPr>
                <w:snapToGrid/>
                <w:lang w:val="en-GB"/>
              </w:rPr>
              <w:t>)</w:t>
            </w:r>
            <w:r w:rsidRPr="00E514C7">
              <w:rPr>
                <w:rFonts w:hint="eastAsia"/>
                <w:snapToGrid/>
                <w:lang w:val="en-GB"/>
              </w:rPr>
              <w:t>项</w:t>
            </w:r>
          </w:p>
        </w:tc>
      </w:tr>
    </w:tbl>
    <w:p w:rsidR="00E514C7" w:rsidRDefault="00E514C7" w:rsidP="00172E04">
      <w:pPr>
        <w:spacing w:line="160" w:lineRule="exact"/>
      </w:pPr>
    </w:p>
    <w:p w:rsidR="00E514C7" w:rsidRPr="00E514C7" w:rsidRDefault="00EC62E1" w:rsidP="00834718">
      <w:pPr>
        <w:pStyle w:val="SingleTxtGC"/>
        <w:rPr>
          <w:szCs w:val="21"/>
          <w:lang w:val="en-GB"/>
        </w:rPr>
      </w:pPr>
      <w:r>
        <w:rPr>
          <w:szCs w:val="21"/>
          <w:lang w:val="en-GB"/>
        </w:rPr>
        <w:lastRenderedPageBreak/>
        <w:t>1</w:t>
      </w:r>
      <w:r w:rsidR="00E514C7" w:rsidRPr="00E514C7">
        <w:rPr>
          <w:szCs w:val="21"/>
          <w:lang w:val="en-GB"/>
        </w:rPr>
        <w:t>.</w:t>
      </w:r>
      <w:r w:rsidR="0031159F">
        <w:rPr>
          <w:rFonts w:hint="eastAsia"/>
          <w:szCs w:val="21"/>
          <w:lang w:val="en-GB"/>
        </w:rPr>
        <w:t xml:space="preserve">  </w:t>
      </w:r>
      <w:r w:rsidR="00E514C7" w:rsidRPr="00E514C7">
        <w:rPr>
          <w:szCs w:val="21"/>
          <w:lang w:val="en-GB"/>
        </w:rPr>
        <w:t>来文提交人</w:t>
      </w:r>
      <w:r w:rsidR="00E514C7" w:rsidRPr="00E514C7">
        <w:rPr>
          <w:rFonts w:hint="eastAsia"/>
          <w:szCs w:val="21"/>
          <w:lang w:val="en-GB"/>
        </w:rPr>
        <w:t>是</w:t>
      </w:r>
      <w:r>
        <w:rPr>
          <w:szCs w:val="21"/>
          <w:lang w:val="en-GB"/>
        </w:rPr>
        <w:t>Mohamed</w:t>
      </w:r>
      <w:r w:rsidR="00E514C7" w:rsidRPr="00E514C7">
        <w:rPr>
          <w:szCs w:val="21"/>
          <w:lang w:val="en-GB"/>
        </w:rPr>
        <w:t xml:space="preserve"> </w:t>
      </w:r>
      <w:r>
        <w:rPr>
          <w:szCs w:val="21"/>
          <w:lang w:val="en-GB"/>
        </w:rPr>
        <w:t>Rabbae</w:t>
      </w:r>
      <w:r w:rsidR="00E514C7" w:rsidRPr="00E514C7">
        <w:rPr>
          <w:rFonts w:hint="eastAsia"/>
          <w:szCs w:val="21"/>
          <w:lang w:val="en-GB"/>
        </w:rPr>
        <w:t>、</w:t>
      </w:r>
      <w:r>
        <w:rPr>
          <w:szCs w:val="21"/>
          <w:lang w:val="en-GB"/>
        </w:rPr>
        <w:t>A</w:t>
      </w:r>
      <w:r w:rsidR="00E514C7" w:rsidRPr="00E514C7">
        <w:rPr>
          <w:szCs w:val="21"/>
          <w:lang w:val="en-GB"/>
        </w:rPr>
        <w:t>.</w:t>
      </w:r>
      <w:r>
        <w:rPr>
          <w:szCs w:val="21"/>
          <w:lang w:val="en-GB"/>
        </w:rPr>
        <w:t>B</w:t>
      </w:r>
      <w:r w:rsidR="00E514C7" w:rsidRPr="00E514C7">
        <w:rPr>
          <w:szCs w:val="21"/>
          <w:lang w:val="en-GB"/>
        </w:rPr>
        <w:t>.</w:t>
      </w:r>
      <w:r>
        <w:rPr>
          <w:szCs w:val="21"/>
          <w:lang w:val="en-GB"/>
        </w:rPr>
        <w:t>S</w:t>
      </w:r>
      <w:r w:rsidR="00E514C7" w:rsidRPr="00E514C7">
        <w:rPr>
          <w:szCs w:val="21"/>
          <w:lang w:val="en-GB"/>
        </w:rPr>
        <w:t>.</w:t>
      </w:r>
      <w:r w:rsidR="00E514C7" w:rsidRPr="00E514C7">
        <w:rPr>
          <w:rFonts w:hint="eastAsia"/>
          <w:szCs w:val="21"/>
          <w:lang w:val="en-GB"/>
        </w:rPr>
        <w:t>和</w:t>
      </w:r>
      <w:r>
        <w:rPr>
          <w:szCs w:val="21"/>
          <w:lang w:val="en-GB"/>
        </w:rPr>
        <w:t>N</w:t>
      </w:r>
      <w:r w:rsidR="00E514C7" w:rsidRPr="00E514C7">
        <w:rPr>
          <w:szCs w:val="21"/>
          <w:lang w:val="en-GB"/>
        </w:rPr>
        <w:t>.</w:t>
      </w:r>
      <w:r>
        <w:rPr>
          <w:szCs w:val="21"/>
          <w:lang w:val="en-GB"/>
        </w:rPr>
        <w:t>A</w:t>
      </w:r>
      <w:r w:rsidR="00E514C7" w:rsidRPr="00E514C7">
        <w:rPr>
          <w:rFonts w:hint="eastAsia"/>
          <w:szCs w:val="21"/>
          <w:lang w:val="en-GB"/>
        </w:rPr>
        <w:t>.</w:t>
      </w:r>
      <w:r w:rsidR="00834718">
        <w:rPr>
          <w:rFonts w:hint="eastAsia"/>
          <w:szCs w:val="21"/>
          <w:lang w:val="en-GB"/>
        </w:rPr>
        <w:t xml:space="preserve">, </w:t>
      </w:r>
      <w:r w:rsidR="00E514C7" w:rsidRPr="00E514C7">
        <w:rPr>
          <w:rFonts w:hint="eastAsia"/>
          <w:szCs w:val="21"/>
          <w:lang w:val="en-GB"/>
        </w:rPr>
        <w:t>三人都拥有</w:t>
      </w:r>
      <w:r w:rsidR="00E514C7" w:rsidRPr="00E514C7">
        <w:rPr>
          <w:szCs w:val="21"/>
          <w:lang w:val="en-GB"/>
        </w:rPr>
        <w:t>荷兰和摩洛哥双重国</w:t>
      </w:r>
      <w:r w:rsidR="00E514C7" w:rsidRPr="00E514C7">
        <w:rPr>
          <w:rFonts w:hint="eastAsia"/>
          <w:szCs w:val="21"/>
          <w:lang w:val="en-GB"/>
        </w:rPr>
        <w:t>籍</w:t>
      </w:r>
      <w:r w:rsidR="00E514C7" w:rsidRPr="00E514C7">
        <w:rPr>
          <w:szCs w:val="21"/>
          <w:lang w:val="en-GB"/>
        </w:rPr>
        <w:t>。他们</w:t>
      </w:r>
      <w:r w:rsidR="00E514C7" w:rsidRPr="00E514C7">
        <w:rPr>
          <w:rFonts w:hint="eastAsia"/>
          <w:szCs w:val="21"/>
          <w:lang w:val="en-GB"/>
        </w:rPr>
        <w:t>说，他们因荷兰</w:t>
      </w:r>
      <w:r w:rsidR="00E514C7" w:rsidRPr="00E514C7">
        <w:rPr>
          <w:szCs w:val="21"/>
          <w:lang w:val="en-GB"/>
        </w:rPr>
        <w:t>侵犯其根据《公约》第二条</w:t>
      </w:r>
      <w:r w:rsidR="00E514C7" w:rsidRPr="00E514C7">
        <w:rPr>
          <w:rFonts w:hint="eastAsia"/>
          <w:szCs w:val="21"/>
          <w:lang w:val="en-GB"/>
        </w:rPr>
        <w:t>第</w:t>
      </w:r>
      <w:r>
        <w:rPr>
          <w:rFonts w:hint="eastAsia"/>
          <w:szCs w:val="21"/>
          <w:lang w:val="en-GB"/>
        </w:rPr>
        <w:t>3</w:t>
      </w:r>
      <w:r w:rsidR="00E514C7" w:rsidRPr="00E514C7">
        <w:rPr>
          <w:rFonts w:hint="eastAsia"/>
          <w:szCs w:val="21"/>
          <w:lang w:val="en-GB"/>
        </w:rPr>
        <w:t>款、第十四条第</w:t>
      </w:r>
      <w:r>
        <w:rPr>
          <w:rFonts w:hint="eastAsia"/>
          <w:szCs w:val="21"/>
          <w:lang w:val="en-GB"/>
        </w:rPr>
        <w:t>1</w:t>
      </w:r>
      <w:r w:rsidR="00E514C7" w:rsidRPr="00E514C7">
        <w:rPr>
          <w:rFonts w:hint="eastAsia"/>
          <w:szCs w:val="21"/>
          <w:lang w:val="en-GB"/>
        </w:rPr>
        <w:t>款、第十七条、第二十条、第二十六条和第二十七条</w:t>
      </w:r>
      <w:r w:rsidR="00E514C7" w:rsidRPr="00E514C7">
        <w:rPr>
          <w:szCs w:val="21"/>
          <w:lang w:val="en-GB"/>
        </w:rPr>
        <w:t>享有权利</w:t>
      </w:r>
      <w:r w:rsidR="00E514C7" w:rsidRPr="00E514C7">
        <w:rPr>
          <w:rFonts w:hint="eastAsia"/>
          <w:szCs w:val="21"/>
          <w:lang w:val="en-GB"/>
        </w:rPr>
        <w:t>的权利而受害</w:t>
      </w:r>
      <w:r w:rsidR="00E514C7" w:rsidRPr="00E514C7">
        <w:rPr>
          <w:szCs w:val="21"/>
          <w:lang w:val="en-GB"/>
        </w:rPr>
        <w:t>。《任择议定书》自</w:t>
      </w:r>
      <w:r>
        <w:rPr>
          <w:szCs w:val="21"/>
          <w:lang w:val="en-GB"/>
        </w:rPr>
        <w:t>1979</w:t>
      </w:r>
      <w:r w:rsidR="00E514C7" w:rsidRPr="00E514C7">
        <w:rPr>
          <w:szCs w:val="21"/>
          <w:lang w:val="en-GB"/>
        </w:rPr>
        <w:t>年</w:t>
      </w:r>
      <w:r>
        <w:rPr>
          <w:szCs w:val="21"/>
          <w:lang w:val="en-GB"/>
        </w:rPr>
        <w:t>3</w:t>
      </w:r>
      <w:r w:rsidR="00E514C7" w:rsidRPr="00E514C7">
        <w:rPr>
          <w:szCs w:val="21"/>
          <w:lang w:val="en-GB"/>
        </w:rPr>
        <w:t>月</w:t>
      </w:r>
      <w:r>
        <w:rPr>
          <w:rFonts w:hint="eastAsia"/>
          <w:szCs w:val="21"/>
          <w:lang w:val="en-GB"/>
        </w:rPr>
        <w:t>11</w:t>
      </w:r>
      <w:r w:rsidR="00E514C7" w:rsidRPr="00E514C7">
        <w:rPr>
          <w:szCs w:val="21"/>
          <w:lang w:val="en-GB"/>
        </w:rPr>
        <w:t>日起对</w:t>
      </w:r>
      <w:r w:rsidR="00E514C7" w:rsidRPr="00E514C7">
        <w:rPr>
          <w:rFonts w:hint="eastAsia"/>
          <w:szCs w:val="21"/>
          <w:lang w:val="en-GB"/>
        </w:rPr>
        <w:t>荷兰</w:t>
      </w:r>
      <w:r w:rsidR="00E514C7" w:rsidRPr="00E514C7">
        <w:rPr>
          <w:szCs w:val="21"/>
          <w:lang w:val="en-GB"/>
        </w:rPr>
        <w:t>生效。</w:t>
      </w:r>
      <w:r w:rsidR="00E514C7" w:rsidRPr="00E514C7">
        <w:rPr>
          <w:rFonts w:hint="eastAsia"/>
          <w:szCs w:val="21"/>
          <w:lang w:val="en-GB"/>
        </w:rPr>
        <w:t>提交人由律师代理。</w:t>
      </w:r>
    </w:p>
    <w:p w:rsidR="00E514C7" w:rsidRPr="00E514C7" w:rsidRDefault="00E514C7" w:rsidP="005D2190">
      <w:pPr>
        <w:pStyle w:val="H23GC"/>
        <w:rPr>
          <w:lang w:val="en-GB"/>
        </w:rPr>
      </w:pPr>
      <w:r w:rsidRPr="00E514C7">
        <w:rPr>
          <w:lang w:val="en-GB"/>
        </w:rPr>
        <w:tab/>
      </w:r>
      <w:r w:rsidRPr="00E514C7">
        <w:rPr>
          <w:lang w:val="en-GB"/>
        </w:rPr>
        <w:tab/>
      </w:r>
      <w:r w:rsidRPr="00E514C7">
        <w:rPr>
          <w:lang w:val="en-GB"/>
        </w:rPr>
        <w:t>提交人陈述的事实</w:t>
      </w:r>
    </w:p>
    <w:p w:rsidR="00E514C7" w:rsidRPr="00E514C7" w:rsidRDefault="00EC62E1" w:rsidP="0031159F">
      <w:pPr>
        <w:pStyle w:val="SingleTxtGC"/>
        <w:rPr>
          <w:szCs w:val="21"/>
        </w:rPr>
      </w:pPr>
      <w:r>
        <w:rPr>
          <w:szCs w:val="21"/>
          <w:lang w:val="en-GB"/>
        </w:rPr>
        <w:t>2</w:t>
      </w:r>
      <w:r w:rsidR="00E514C7" w:rsidRPr="00E514C7">
        <w:rPr>
          <w:szCs w:val="21"/>
          <w:lang w:val="en-GB"/>
        </w:rPr>
        <w:t>.</w:t>
      </w:r>
      <w:r>
        <w:rPr>
          <w:szCs w:val="21"/>
          <w:lang w:val="en-GB"/>
        </w:rPr>
        <w:t>1</w:t>
      </w:r>
      <w:r w:rsidR="0031159F">
        <w:rPr>
          <w:rFonts w:hint="eastAsia"/>
          <w:szCs w:val="21"/>
          <w:lang w:val="en-GB"/>
        </w:rPr>
        <w:t xml:space="preserve">  </w:t>
      </w:r>
      <w:r>
        <w:rPr>
          <w:szCs w:val="21"/>
          <w:lang w:val="en-GB"/>
        </w:rPr>
        <w:t>2</w:t>
      </w:r>
      <w:r w:rsidR="00E514C7" w:rsidRPr="00E514C7">
        <w:rPr>
          <w:szCs w:val="21"/>
          <w:lang w:val="en-GB"/>
        </w:rPr>
        <w:t>00</w:t>
      </w:r>
      <w:r>
        <w:rPr>
          <w:szCs w:val="21"/>
          <w:lang w:val="en-GB"/>
        </w:rPr>
        <w:t>6</w:t>
      </w:r>
      <w:r w:rsidR="00E514C7" w:rsidRPr="00E514C7">
        <w:rPr>
          <w:rFonts w:hint="eastAsia"/>
          <w:szCs w:val="21"/>
          <w:lang w:val="en-GB"/>
        </w:rPr>
        <w:t>年至</w:t>
      </w:r>
      <w:r>
        <w:rPr>
          <w:szCs w:val="21"/>
          <w:lang w:val="en-GB"/>
        </w:rPr>
        <w:t>2</w:t>
      </w:r>
      <w:r w:rsidR="00E514C7" w:rsidRPr="00E514C7">
        <w:rPr>
          <w:szCs w:val="21"/>
          <w:lang w:val="en-GB"/>
        </w:rPr>
        <w:t>00</w:t>
      </w:r>
      <w:r>
        <w:rPr>
          <w:szCs w:val="21"/>
          <w:lang w:val="en-GB"/>
        </w:rPr>
        <w:t>9</w:t>
      </w:r>
      <w:r w:rsidR="00E514C7" w:rsidRPr="00E514C7">
        <w:rPr>
          <w:szCs w:val="21"/>
          <w:lang w:val="en-GB"/>
        </w:rPr>
        <w:t>年间，</w:t>
      </w:r>
      <w:r w:rsidR="00E514C7" w:rsidRPr="00E514C7">
        <w:rPr>
          <w:rFonts w:hint="eastAsia"/>
          <w:szCs w:val="21"/>
        </w:rPr>
        <w:t>警方收到数百份个人和组织关于议会议员及极右翼政党治自由党创始人海尔特</w:t>
      </w:r>
      <w:r w:rsidR="005D2190">
        <w:rPr>
          <w:rFonts w:hint="eastAsia"/>
          <w:lang w:val="en-GB"/>
        </w:rPr>
        <w:t>·</w:t>
      </w:r>
      <w:r w:rsidR="00E514C7" w:rsidRPr="00E514C7">
        <w:rPr>
          <w:rFonts w:hint="eastAsia"/>
          <w:szCs w:val="21"/>
        </w:rPr>
        <w:t>维尔德斯诽谤和煽动歧视、暴力和仇恨的报告。但检察官决定不起诉威尔德斯先生，认为他的言论不构成犯罪行为，仍属公开辩论中言论自由允许范围之内。检察官给所有向警方举报威尔德斯先生言论的人员发出信件解释说，根据《刑法》，被据报的行为不会受到惩罚，所以不会提起起诉。</w:t>
      </w:r>
    </w:p>
    <w:p w:rsidR="00E514C7" w:rsidRPr="00E514C7" w:rsidRDefault="00EC62E1" w:rsidP="00EC62E1">
      <w:pPr>
        <w:pStyle w:val="SingleTxtGC"/>
        <w:rPr>
          <w:szCs w:val="21"/>
        </w:rPr>
      </w:pPr>
      <w:r>
        <w:rPr>
          <w:szCs w:val="21"/>
          <w:lang w:val="en-GB"/>
        </w:rPr>
        <w:t>2</w:t>
      </w:r>
      <w:r w:rsidR="00E514C7" w:rsidRPr="00E514C7">
        <w:rPr>
          <w:szCs w:val="21"/>
          <w:lang w:val="en-GB"/>
        </w:rPr>
        <w:t>.</w:t>
      </w:r>
      <w:r>
        <w:rPr>
          <w:szCs w:val="21"/>
          <w:lang w:val="en-GB"/>
        </w:rPr>
        <w:t>2</w:t>
      </w:r>
      <w:r w:rsidR="0031159F">
        <w:rPr>
          <w:rFonts w:hint="eastAsia"/>
          <w:szCs w:val="21"/>
          <w:lang w:val="en-GB"/>
        </w:rPr>
        <w:t xml:space="preserve">  </w:t>
      </w:r>
      <w:r w:rsidR="00E514C7" w:rsidRPr="00E514C7">
        <w:rPr>
          <w:rFonts w:hint="eastAsia"/>
          <w:szCs w:val="21"/>
        </w:rPr>
        <w:t>根据国内法律，认为自己是犯罪受害者的公民没有权利要求起诉据称犯罪者。他们要依靠检察官的决定。但是，与起诉有直接利害关系的公民，可以针对不予起诉的裁决向上诉法院提出申诉。</w:t>
      </w:r>
      <w:r w:rsidR="00E514C7" w:rsidRPr="00E514C7">
        <w:rPr>
          <w:szCs w:val="21"/>
          <w:vertAlign w:val="superscript"/>
        </w:rPr>
        <w:footnoteReference w:id="5"/>
      </w:r>
      <w:r>
        <w:rPr>
          <w:rFonts w:hint="eastAsia"/>
          <w:szCs w:val="21"/>
        </w:rPr>
        <w:t xml:space="preserve"> </w:t>
      </w:r>
      <w:r w:rsidR="00E514C7" w:rsidRPr="00E514C7">
        <w:rPr>
          <w:rFonts w:hint="eastAsia"/>
          <w:szCs w:val="21"/>
        </w:rPr>
        <w:t>一些受害者和其他利害关系人在本案中采取了这种行动。因此，</w:t>
      </w:r>
      <w:r>
        <w:rPr>
          <w:rFonts w:hint="eastAsia"/>
          <w:szCs w:val="21"/>
        </w:rPr>
        <w:t>2</w:t>
      </w:r>
      <w:r w:rsidR="00E514C7" w:rsidRPr="00E514C7">
        <w:rPr>
          <w:rFonts w:hint="eastAsia"/>
          <w:szCs w:val="21"/>
        </w:rPr>
        <w:t>00</w:t>
      </w:r>
      <w:r>
        <w:rPr>
          <w:rFonts w:hint="eastAsia"/>
          <w:szCs w:val="21"/>
        </w:rPr>
        <w:t>9</w:t>
      </w:r>
      <w:r w:rsidR="00E514C7" w:rsidRPr="00E514C7">
        <w:rPr>
          <w:rFonts w:hint="eastAsia"/>
          <w:szCs w:val="21"/>
        </w:rPr>
        <w:t>年</w:t>
      </w:r>
      <w:r>
        <w:rPr>
          <w:rFonts w:hint="eastAsia"/>
          <w:szCs w:val="21"/>
        </w:rPr>
        <w:t>11</w:t>
      </w:r>
      <w:r w:rsidR="00E514C7" w:rsidRPr="00E514C7">
        <w:rPr>
          <w:rFonts w:hint="eastAsia"/>
          <w:szCs w:val="21"/>
        </w:rPr>
        <w:t>月</w:t>
      </w:r>
      <w:r>
        <w:rPr>
          <w:rFonts w:hint="eastAsia"/>
          <w:szCs w:val="21"/>
        </w:rPr>
        <w:t>21</w:t>
      </w:r>
      <w:r w:rsidR="00E514C7" w:rsidRPr="00E514C7">
        <w:rPr>
          <w:rFonts w:hint="eastAsia"/>
          <w:szCs w:val="21"/>
        </w:rPr>
        <w:t>日，阿姆斯特丹上诉法院命令检察官在阿姆斯特丹地方法院起诉维尔德斯先生。根据该命令，检察官发出传票，请维尔德斯先生就由于《刑法》第</w:t>
      </w:r>
      <w:r>
        <w:rPr>
          <w:rFonts w:hint="eastAsia"/>
          <w:szCs w:val="21"/>
        </w:rPr>
        <w:t>137</w:t>
      </w:r>
      <w:r w:rsidR="00E514C7" w:rsidRPr="00E514C7">
        <w:rPr>
          <w:rFonts w:hint="eastAsia"/>
          <w:szCs w:val="21"/>
        </w:rPr>
        <w:t>条</w:t>
      </w:r>
      <w:r>
        <w:rPr>
          <w:rFonts w:hint="eastAsia"/>
          <w:szCs w:val="21"/>
        </w:rPr>
        <w:t>c</w:t>
      </w:r>
      <w:r w:rsidR="00E514C7" w:rsidRPr="00E514C7">
        <w:rPr>
          <w:rFonts w:hint="eastAsia"/>
          <w:szCs w:val="21"/>
        </w:rPr>
        <w:t>款之下因种族或宗教原因侮辱一群体</w:t>
      </w:r>
      <w:r w:rsidR="00E514C7" w:rsidRPr="00E514C7">
        <w:rPr>
          <w:szCs w:val="21"/>
          <w:vertAlign w:val="superscript"/>
        </w:rPr>
        <w:footnoteReference w:id="6"/>
      </w:r>
      <w:r w:rsidR="00E514C7" w:rsidRPr="00E514C7">
        <w:rPr>
          <w:rFonts w:hint="eastAsia"/>
          <w:szCs w:val="21"/>
        </w:rPr>
        <w:t>，以及由于第</w:t>
      </w:r>
      <w:r>
        <w:rPr>
          <w:rFonts w:hint="eastAsia"/>
          <w:szCs w:val="21"/>
        </w:rPr>
        <w:t>137</w:t>
      </w:r>
      <w:r w:rsidR="00E514C7" w:rsidRPr="00E514C7">
        <w:rPr>
          <w:rFonts w:hint="eastAsia"/>
          <w:szCs w:val="21"/>
        </w:rPr>
        <w:t>条</w:t>
      </w:r>
      <w:r>
        <w:rPr>
          <w:rFonts w:hint="eastAsia"/>
          <w:szCs w:val="21"/>
        </w:rPr>
        <w:t>d</w:t>
      </w:r>
      <w:r w:rsidR="00E514C7" w:rsidRPr="00E514C7">
        <w:rPr>
          <w:rFonts w:hint="eastAsia"/>
          <w:szCs w:val="21"/>
        </w:rPr>
        <w:t>款之下以宗教或种族为由煽动仇恨和歧视</w:t>
      </w:r>
      <w:r w:rsidR="00E514C7" w:rsidRPr="00E514C7">
        <w:rPr>
          <w:szCs w:val="21"/>
          <w:vertAlign w:val="superscript"/>
        </w:rPr>
        <w:footnoteReference w:id="7"/>
      </w:r>
      <w:r w:rsidR="00E514C7" w:rsidRPr="00E514C7">
        <w:rPr>
          <w:rFonts w:hint="eastAsia"/>
          <w:szCs w:val="21"/>
        </w:rPr>
        <w:t>而受指控，为自己辩护。</w:t>
      </w:r>
    </w:p>
    <w:p w:rsidR="00E514C7" w:rsidRPr="00E514C7" w:rsidRDefault="00EC62E1" w:rsidP="005D2190">
      <w:pPr>
        <w:pStyle w:val="SingleTxtGC"/>
        <w:rPr>
          <w:szCs w:val="21"/>
        </w:rPr>
      </w:pPr>
      <w:r>
        <w:rPr>
          <w:szCs w:val="21"/>
          <w:lang w:val="en-GB"/>
        </w:rPr>
        <w:t>2</w:t>
      </w:r>
      <w:r w:rsidR="00E514C7" w:rsidRPr="00E514C7">
        <w:rPr>
          <w:szCs w:val="21"/>
          <w:lang w:val="en-GB"/>
        </w:rPr>
        <w:t>.</w:t>
      </w:r>
      <w:r>
        <w:rPr>
          <w:rFonts w:hint="eastAsia"/>
          <w:szCs w:val="21"/>
          <w:lang w:val="en-GB"/>
        </w:rPr>
        <w:t>3</w:t>
      </w:r>
      <w:r w:rsidR="0031159F">
        <w:rPr>
          <w:rFonts w:hint="eastAsia"/>
          <w:szCs w:val="21"/>
          <w:lang w:val="en-GB"/>
        </w:rPr>
        <w:t xml:space="preserve"> </w:t>
      </w:r>
      <w:r w:rsidR="00E514C7" w:rsidRPr="00E514C7">
        <w:rPr>
          <w:rFonts w:hint="eastAsia"/>
          <w:szCs w:val="21"/>
          <w:lang w:val="en-GB"/>
        </w:rPr>
        <w:t xml:space="preserve"> </w:t>
      </w:r>
      <w:r w:rsidR="00E514C7" w:rsidRPr="00E514C7">
        <w:rPr>
          <w:rFonts w:hint="eastAsia"/>
          <w:szCs w:val="21"/>
        </w:rPr>
        <w:t>根据《刑事诉讼法》第</w:t>
      </w:r>
      <w:r>
        <w:rPr>
          <w:szCs w:val="21"/>
        </w:rPr>
        <w:t>51</w:t>
      </w:r>
      <w:r w:rsidR="00E514C7" w:rsidRPr="00E514C7">
        <w:rPr>
          <w:rFonts w:hint="eastAsia"/>
          <w:szCs w:val="21"/>
        </w:rPr>
        <w:t>条</w:t>
      </w:r>
      <w:r w:rsidR="005D2190">
        <w:rPr>
          <w:rFonts w:hint="eastAsia"/>
          <w:szCs w:val="21"/>
        </w:rPr>
        <w:t>(</w:t>
      </w:r>
      <w:r>
        <w:rPr>
          <w:szCs w:val="21"/>
        </w:rPr>
        <w:t>a</w:t>
      </w:r>
      <w:r w:rsidR="005D2190">
        <w:rPr>
          <w:rFonts w:hint="eastAsia"/>
          <w:szCs w:val="21"/>
        </w:rPr>
        <w:t>)</w:t>
      </w:r>
      <w:r w:rsidR="00E514C7" w:rsidRPr="00E514C7">
        <w:rPr>
          <w:rFonts w:hint="eastAsia"/>
          <w:szCs w:val="21"/>
        </w:rPr>
        <w:t>款和</w:t>
      </w:r>
      <w:r w:rsidR="005D2190">
        <w:rPr>
          <w:rFonts w:hint="eastAsia"/>
          <w:szCs w:val="21"/>
        </w:rPr>
        <w:t>(</w:t>
      </w:r>
      <w:r>
        <w:rPr>
          <w:szCs w:val="21"/>
        </w:rPr>
        <w:t>f</w:t>
      </w:r>
      <w:r w:rsidR="005D2190">
        <w:rPr>
          <w:rFonts w:hint="eastAsia"/>
          <w:szCs w:val="21"/>
        </w:rPr>
        <w:t>)</w:t>
      </w:r>
      <w:r w:rsidR="00E514C7" w:rsidRPr="00E514C7">
        <w:rPr>
          <w:rFonts w:hint="eastAsia"/>
          <w:szCs w:val="21"/>
        </w:rPr>
        <w:t>款，任何因刑事犯罪而遭受直接伤害的人，均可以作为受害方参加刑事诉讼，并要求赔偿。受害方有权获得有关诉讼的信息，获取案件文件。根据《刑事诉讼法》第</w:t>
      </w:r>
      <w:r>
        <w:rPr>
          <w:rFonts w:hint="eastAsia"/>
          <w:szCs w:val="21"/>
        </w:rPr>
        <w:t>334</w:t>
      </w:r>
      <w:r w:rsidR="00E514C7" w:rsidRPr="00E514C7">
        <w:rPr>
          <w:rFonts w:hint="eastAsia"/>
          <w:szCs w:val="21"/>
        </w:rPr>
        <w:t>条，受害方可以提交证据支持其民事权利请求，但不得就刑事案件的情节提供证人或提出意见。</w:t>
      </w:r>
      <w:r w:rsidR="00E514C7" w:rsidRPr="00E514C7">
        <w:rPr>
          <w:szCs w:val="21"/>
          <w:vertAlign w:val="superscript"/>
        </w:rPr>
        <w:footnoteReference w:id="8"/>
      </w:r>
    </w:p>
    <w:p w:rsidR="00E514C7" w:rsidRPr="00E514C7" w:rsidRDefault="00EC62E1" w:rsidP="0031159F">
      <w:pPr>
        <w:pStyle w:val="SingleTxtGC"/>
        <w:rPr>
          <w:szCs w:val="21"/>
        </w:rPr>
      </w:pPr>
      <w:r>
        <w:rPr>
          <w:szCs w:val="21"/>
          <w:lang w:val="en-GB"/>
        </w:rPr>
        <w:t>2</w:t>
      </w:r>
      <w:r w:rsidR="00E514C7" w:rsidRPr="00E514C7">
        <w:rPr>
          <w:szCs w:val="21"/>
          <w:lang w:val="en-GB"/>
        </w:rPr>
        <w:t>.</w:t>
      </w:r>
      <w:r>
        <w:rPr>
          <w:szCs w:val="21"/>
          <w:lang w:val="en-GB"/>
        </w:rPr>
        <w:t>4</w:t>
      </w:r>
      <w:r w:rsidR="0031159F">
        <w:rPr>
          <w:rFonts w:hint="eastAsia"/>
          <w:szCs w:val="21"/>
          <w:lang w:val="en-GB"/>
        </w:rPr>
        <w:t xml:space="preserve">  </w:t>
      </w:r>
      <w:r w:rsidR="00E514C7" w:rsidRPr="00E514C7">
        <w:rPr>
          <w:rFonts w:hint="eastAsia"/>
          <w:szCs w:val="21"/>
        </w:rPr>
        <w:t>提交人和其他几名人员及穆斯林和移民组织作为受害方参加了刑事诉讼，每一方均要求维尔德斯先生象征性地赔偿</w:t>
      </w:r>
      <w:r>
        <w:rPr>
          <w:rFonts w:hint="eastAsia"/>
          <w:szCs w:val="21"/>
        </w:rPr>
        <w:t>1</w:t>
      </w:r>
      <w:r w:rsidR="00E514C7" w:rsidRPr="00E514C7">
        <w:rPr>
          <w:rFonts w:hint="eastAsia"/>
          <w:szCs w:val="21"/>
        </w:rPr>
        <w:t>欧元，这样做是为了指出威尔德斯先生的言论属于煽动罪，从而影响司法判决。他们的目的是要澄清在政治辩论中发表言论的尺度范围，并确定他们应受到保护不受仇恨和歧视煽动及暴力伤害这一权利的实际意义。象征性赔偿请求旨在说服法官，由于给整个社会、种族和宗教</w:t>
      </w:r>
      <w:r w:rsidR="00E514C7" w:rsidRPr="00E514C7">
        <w:rPr>
          <w:rFonts w:hint="eastAsia"/>
          <w:szCs w:val="21"/>
        </w:rPr>
        <w:lastRenderedPageBreak/>
        <w:t>少数民族及提交者本人所造成的伤害，威尔德斯先生已经超出了民主社会能够接受和应受到惩罚这两者之间的界限。在民事诉讼中，法院的这类宣判本是不可能的。</w:t>
      </w:r>
    </w:p>
    <w:p w:rsidR="00E514C7" w:rsidRPr="00E514C7" w:rsidRDefault="00EC62E1" w:rsidP="0031159F">
      <w:pPr>
        <w:pStyle w:val="SingleTxtGC"/>
        <w:rPr>
          <w:szCs w:val="21"/>
        </w:rPr>
      </w:pPr>
      <w:r>
        <w:rPr>
          <w:szCs w:val="21"/>
          <w:lang w:val="en-GB"/>
        </w:rPr>
        <w:t>2</w:t>
      </w:r>
      <w:r w:rsidR="00E514C7" w:rsidRPr="00E514C7">
        <w:rPr>
          <w:szCs w:val="21"/>
          <w:lang w:val="en-GB"/>
        </w:rPr>
        <w:t>.</w:t>
      </w:r>
      <w:r>
        <w:rPr>
          <w:szCs w:val="21"/>
          <w:lang w:val="en-GB"/>
        </w:rPr>
        <w:t>5</w:t>
      </w:r>
      <w:r w:rsidR="0031159F">
        <w:rPr>
          <w:rFonts w:hint="eastAsia"/>
          <w:szCs w:val="21"/>
          <w:lang w:val="en-GB"/>
        </w:rPr>
        <w:t xml:space="preserve">  </w:t>
      </w:r>
      <w:r w:rsidR="00E514C7" w:rsidRPr="00E514C7">
        <w:rPr>
          <w:rFonts w:hint="eastAsia"/>
          <w:szCs w:val="21"/>
        </w:rPr>
        <w:t>在法庭辩论期间，检察官以提交人并未由于《刑法典》第</w:t>
      </w:r>
      <w:r>
        <w:rPr>
          <w:szCs w:val="21"/>
        </w:rPr>
        <w:t>137</w:t>
      </w:r>
      <w:r w:rsidR="00E514C7" w:rsidRPr="00E514C7">
        <w:rPr>
          <w:rFonts w:hint="eastAsia"/>
          <w:szCs w:val="21"/>
        </w:rPr>
        <w:t>条</w:t>
      </w:r>
      <w:r>
        <w:rPr>
          <w:szCs w:val="21"/>
        </w:rPr>
        <w:t>c</w:t>
      </w:r>
      <w:r w:rsidR="00E514C7" w:rsidRPr="00E514C7">
        <w:rPr>
          <w:rFonts w:hint="eastAsia"/>
          <w:szCs w:val="21"/>
        </w:rPr>
        <w:t>款和</w:t>
      </w:r>
      <w:r>
        <w:rPr>
          <w:szCs w:val="21"/>
        </w:rPr>
        <w:t>137</w:t>
      </w:r>
      <w:r w:rsidR="00E514C7" w:rsidRPr="00E514C7">
        <w:rPr>
          <w:rFonts w:hint="eastAsia"/>
          <w:szCs w:val="21"/>
        </w:rPr>
        <w:t>条</w:t>
      </w:r>
      <w:r>
        <w:rPr>
          <w:szCs w:val="21"/>
        </w:rPr>
        <w:t>d</w:t>
      </w:r>
      <w:r w:rsidR="00E514C7" w:rsidRPr="00E514C7">
        <w:rPr>
          <w:rFonts w:hint="eastAsia"/>
          <w:szCs w:val="21"/>
        </w:rPr>
        <w:t>款遭违反而遭受直接损害为由，要求驳回提交人的申诉。维尔德斯先生要求让几名专家发表意见，其中一些专家被法院拒绝，其他人则接受了调查法官的质询。提交人的律师未被允许参加质询。最初，法庭要提交人律师仅口头解释其受到的伤害，但最终允许他们就指控的事实是否应受到惩罚发表意见，因为根据侵权法，如认定是非法行为，这是民事赔偿请求的基础。律师们认为，维尔德斯先生的言论违反了第</w:t>
      </w:r>
      <w:r>
        <w:rPr>
          <w:szCs w:val="21"/>
        </w:rPr>
        <w:t>137</w:t>
      </w:r>
      <w:r w:rsidR="00E514C7" w:rsidRPr="00E514C7">
        <w:rPr>
          <w:rFonts w:hint="eastAsia"/>
          <w:szCs w:val="21"/>
        </w:rPr>
        <w:t>条</w:t>
      </w:r>
      <w:r>
        <w:rPr>
          <w:szCs w:val="21"/>
        </w:rPr>
        <w:t>c</w:t>
      </w:r>
      <w:r w:rsidR="00E514C7" w:rsidRPr="00E514C7">
        <w:rPr>
          <w:rFonts w:hint="eastAsia"/>
          <w:szCs w:val="21"/>
        </w:rPr>
        <w:t>款和</w:t>
      </w:r>
      <w:r>
        <w:rPr>
          <w:szCs w:val="21"/>
        </w:rPr>
        <w:t>137</w:t>
      </w:r>
      <w:r w:rsidR="00E514C7" w:rsidRPr="00E514C7">
        <w:rPr>
          <w:rFonts w:hint="eastAsia"/>
          <w:szCs w:val="21"/>
        </w:rPr>
        <w:t>条</w:t>
      </w:r>
      <w:r>
        <w:rPr>
          <w:rFonts w:hint="eastAsia"/>
          <w:szCs w:val="21"/>
        </w:rPr>
        <w:t>d</w:t>
      </w:r>
      <w:r w:rsidR="00E514C7" w:rsidRPr="00E514C7">
        <w:rPr>
          <w:rFonts w:hint="eastAsia"/>
          <w:szCs w:val="21"/>
        </w:rPr>
        <w:t>款，但他们无法就检察官不愿起诉一事发表意见，也无法就指控应该导致定罪提出理由。随后，法庭组成发生变化之后，法庭不允许提交人就威尔德斯先生的言论是否违法提出看法。</w:t>
      </w:r>
    </w:p>
    <w:p w:rsidR="00E514C7" w:rsidRPr="00E514C7" w:rsidRDefault="00EC62E1" w:rsidP="0031159F">
      <w:pPr>
        <w:pStyle w:val="SingleTxtGC"/>
        <w:rPr>
          <w:szCs w:val="21"/>
        </w:rPr>
      </w:pPr>
      <w:r>
        <w:rPr>
          <w:szCs w:val="21"/>
          <w:lang w:val="en-GB"/>
        </w:rPr>
        <w:t>2</w:t>
      </w:r>
      <w:r w:rsidR="00E514C7" w:rsidRPr="00E514C7">
        <w:rPr>
          <w:szCs w:val="21"/>
          <w:lang w:val="en-GB"/>
        </w:rPr>
        <w:t>.</w:t>
      </w:r>
      <w:r>
        <w:rPr>
          <w:szCs w:val="21"/>
          <w:lang w:val="en-GB"/>
        </w:rPr>
        <w:t>6</w:t>
      </w:r>
      <w:r w:rsidR="0031159F">
        <w:rPr>
          <w:rFonts w:hint="eastAsia"/>
          <w:szCs w:val="21"/>
          <w:lang w:val="en-GB"/>
        </w:rPr>
        <w:t xml:space="preserve">  </w:t>
      </w:r>
      <w:r w:rsidR="00E514C7" w:rsidRPr="00E514C7">
        <w:rPr>
          <w:rFonts w:hint="eastAsia"/>
          <w:szCs w:val="21"/>
          <w:lang w:val="en-GB"/>
        </w:rPr>
        <w:t>在</w:t>
      </w:r>
      <w:r>
        <w:rPr>
          <w:rFonts w:hint="eastAsia"/>
          <w:szCs w:val="21"/>
          <w:lang w:val="en-GB"/>
        </w:rPr>
        <w:t>2</w:t>
      </w:r>
      <w:r w:rsidR="00E514C7" w:rsidRPr="00E514C7">
        <w:rPr>
          <w:rFonts w:hint="eastAsia"/>
          <w:szCs w:val="21"/>
          <w:lang w:val="en-GB"/>
        </w:rPr>
        <w:t>0</w:t>
      </w:r>
      <w:r>
        <w:rPr>
          <w:rFonts w:hint="eastAsia"/>
          <w:szCs w:val="21"/>
          <w:lang w:val="en-GB"/>
        </w:rPr>
        <w:t>11</w:t>
      </w:r>
      <w:r w:rsidR="00E514C7" w:rsidRPr="00E514C7">
        <w:rPr>
          <w:rFonts w:hint="eastAsia"/>
          <w:szCs w:val="21"/>
          <w:lang w:val="en-GB"/>
        </w:rPr>
        <w:t>年</w:t>
      </w:r>
      <w:r>
        <w:rPr>
          <w:rFonts w:hint="eastAsia"/>
          <w:szCs w:val="21"/>
          <w:lang w:val="en-GB"/>
        </w:rPr>
        <w:t>6</w:t>
      </w:r>
      <w:r w:rsidR="00E514C7" w:rsidRPr="00E514C7">
        <w:rPr>
          <w:rFonts w:hint="eastAsia"/>
          <w:szCs w:val="21"/>
          <w:lang w:val="en-GB"/>
        </w:rPr>
        <w:t>月</w:t>
      </w:r>
      <w:r>
        <w:rPr>
          <w:rFonts w:hint="eastAsia"/>
          <w:szCs w:val="21"/>
          <w:lang w:val="en-GB"/>
        </w:rPr>
        <w:t>23</w:t>
      </w:r>
      <w:r w:rsidR="00E514C7" w:rsidRPr="00E514C7">
        <w:rPr>
          <w:rFonts w:hint="eastAsia"/>
          <w:szCs w:val="21"/>
          <w:lang w:val="en-GB"/>
        </w:rPr>
        <w:t>日的裁决中，</w:t>
      </w:r>
      <w:r w:rsidR="00E514C7" w:rsidRPr="00E514C7">
        <w:rPr>
          <w:rFonts w:hint="eastAsia"/>
          <w:szCs w:val="21"/>
        </w:rPr>
        <w:t>法庭在审查了起诉书中提出的各项陈述之后，裁定起诉书的内容无法得到证明，并宣判维尔德斯先生无罪。因此，法庭宣布提交人关于属于受害方的指称不予受理。检察官或维尔德斯先生均未对判决提出上诉。提交人无权提出上诉，因此也就无法利用进一步的国内补救办法。</w:t>
      </w:r>
    </w:p>
    <w:p w:rsidR="00E514C7" w:rsidRPr="00E514C7" w:rsidRDefault="00EC62E1" w:rsidP="0031159F">
      <w:pPr>
        <w:pStyle w:val="SingleTxtGC"/>
        <w:rPr>
          <w:szCs w:val="21"/>
        </w:rPr>
      </w:pPr>
      <w:r>
        <w:rPr>
          <w:szCs w:val="21"/>
          <w:lang w:val="en-GB"/>
        </w:rPr>
        <w:t>2</w:t>
      </w:r>
      <w:r w:rsidR="00E514C7" w:rsidRPr="00E514C7">
        <w:rPr>
          <w:szCs w:val="21"/>
          <w:lang w:val="en-GB"/>
        </w:rPr>
        <w:t>.</w:t>
      </w:r>
      <w:r>
        <w:rPr>
          <w:szCs w:val="21"/>
          <w:lang w:val="en-GB"/>
        </w:rPr>
        <w:t>7</w:t>
      </w:r>
      <w:r w:rsidR="0031159F">
        <w:rPr>
          <w:rFonts w:hint="eastAsia"/>
          <w:szCs w:val="21"/>
          <w:lang w:val="en-GB"/>
        </w:rPr>
        <w:t xml:space="preserve">  </w:t>
      </w:r>
      <w:r w:rsidR="00E514C7" w:rsidRPr="00E514C7">
        <w:rPr>
          <w:rFonts w:hint="eastAsia"/>
          <w:szCs w:val="21"/>
        </w:rPr>
        <w:t>提交人在国内诉讼中以及向委员会提出的指称均涉及维尔德斯先生的言论，他们认为这些言论超出具有侮辱性质的范围，构成煽动仇恨、歧视和暴力。这些言论没有针对伊斯兰教，而是针对作为人类的穆斯林或非西方移民，尽管攻击伊斯兰教和攻击穆斯林这两者很难加以区分。相关言论如下：</w:t>
      </w:r>
    </w:p>
    <w:p w:rsidR="00E514C7" w:rsidRPr="00E514C7" w:rsidRDefault="00E514C7" w:rsidP="0031159F">
      <w:pPr>
        <w:pStyle w:val="SingleTxtGC"/>
        <w:numPr>
          <w:ilvl w:val="0"/>
          <w:numId w:val="28"/>
        </w:numPr>
        <w:rPr>
          <w:szCs w:val="21"/>
        </w:rPr>
      </w:pPr>
      <w:r w:rsidRPr="00E514C7">
        <w:rPr>
          <w:rFonts w:hint="eastAsia"/>
          <w:szCs w:val="21"/>
        </w:rPr>
        <w:t>在接受</w:t>
      </w:r>
      <w:r w:rsidR="00EC62E1">
        <w:rPr>
          <w:szCs w:val="21"/>
        </w:rPr>
        <w:t>de</w:t>
      </w:r>
      <w:r w:rsidRPr="00E514C7">
        <w:rPr>
          <w:szCs w:val="21"/>
        </w:rPr>
        <w:t xml:space="preserve"> </w:t>
      </w:r>
      <w:r w:rsidR="00EC62E1">
        <w:rPr>
          <w:szCs w:val="21"/>
        </w:rPr>
        <w:t>Volkskrant</w:t>
      </w:r>
      <w:r w:rsidRPr="00E514C7">
        <w:rPr>
          <w:rFonts w:hint="eastAsia"/>
          <w:szCs w:val="21"/>
        </w:rPr>
        <w:t>的采访中，当被问到如果他第二天掌权会有什么改变时，威尔德斯回答说：</w:t>
      </w:r>
    </w:p>
    <w:p w:rsidR="00E514C7" w:rsidRPr="00E514C7" w:rsidRDefault="00EC62E1" w:rsidP="00FE25F2">
      <w:pPr>
        <w:pStyle w:val="SingleTxtGC"/>
        <w:numPr>
          <w:ilvl w:val="0"/>
          <w:numId w:val="30"/>
        </w:numPr>
        <w:tabs>
          <w:tab w:val="clear" w:pos="431"/>
          <w:tab w:val="clear" w:pos="1134"/>
          <w:tab w:val="clear" w:pos="1565"/>
          <w:tab w:val="clear" w:pos="1996"/>
          <w:tab w:val="clear" w:pos="2426"/>
        </w:tabs>
        <w:rPr>
          <w:szCs w:val="21"/>
        </w:rPr>
      </w:pPr>
      <w:r>
        <w:rPr>
          <w:rFonts w:hint="eastAsia"/>
          <w:szCs w:val="21"/>
        </w:rPr>
        <w:t>“</w:t>
      </w:r>
      <w:r w:rsidR="00E514C7" w:rsidRPr="00E514C7">
        <w:rPr>
          <w:rFonts w:hint="eastAsia"/>
          <w:szCs w:val="21"/>
        </w:rPr>
        <w:t>所有边界将在同一天向所有非西方居民关闭</w:t>
      </w:r>
      <w:r>
        <w:rPr>
          <w:rFonts w:hint="eastAsia"/>
          <w:szCs w:val="21"/>
        </w:rPr>
        <w:t>”</w:t>
      </w:r>
      <w:r w:rsidR="00E514C7" w:rsidRPr="00E514C7">
        <w:rPr>
          <w:rFonts w:hint="eastAsia"/>
          <w:szCs w:val="21"/>
        </w:rPr>
        <w:t>。</w:t>
      </w:r>
    </w:p>
    <w:p w:rsidR="00E514C7" w:rsidRPr="00E514C7" w:rsidRDefault="00EC62E1" w:rsidP="00E514C7">
      <w:pPr>
        <w:pStyle w:val="SingleTxtGC"/>
        <w:rPr>
          <w:szCs w:val="21"/>
        </w:rPr>
      </w:pPr>
      <w:r>
        <w:rPr>
          <w:rFonts w:hint="eastAsia"/>
          <w:szCs w:val="21"/>
        </w:rPr>
        <w:t>“</w:t>
      </w:r>
      <w:r w:rsidR="00E514C7" w:rsidRPr="00E514C7">
        <w:rPr>
          <w:rFonts w:hint="eastAsia"/>
          <w:szCs w:val="21"/>
        </w:rPr>
        <w:t>人口构成是荷兰最大的问题。如果看一下数字及其变化，我要说的是来到荷兰的人和在荷兰繁衍的人。穆斯林将从大城市转移到农村。我们要停止海啸般的伊斯兰化。这深深刺伤了我们的心灵、我们的身份认同、我们的文化。如果我们不进行自卫，那么我节目中的所有其他节目都将是毫无价值的</w:t>
      </w:r>
      <w:r>
        <w:rPr>
          <w:rFonts w:hint="eastAsia"/>
          <w:szCs w:val="21"/>
        </w:rPr>
        <w:t>”</w:t>
      </w:r>
      <w:r w:rsidR="00E514C7" w:rsidRPr="00E514C7">
        <w:rPr>
          <w:rFonts w:hint="eastAsia"/>
          <w:szCs w:val="21"/>
        </w:rPr>
        <w:t>。</w:t>
      </w:r>
    </w:p>
    <w:p w:rsidR="00E514C7" w:rsidRPr="00E514C7" w:rsidRDefault="00E514C7" w:rsidP="00FE25F2">
      <w:pPr>
        <w:pStyle w:val="SingleTxtGC"/>
        <w:numPr>
          <w:ilvl w:val="0"/>
          <w:numId w:val="30"/>
        </w:numPr>
        <w:tabs>
          <w:tab w:val="clear" w:pos="431"/>
          <w:tab w:val="clear" w:pos="1134"/>
          <w:tab w:val="clear" w:pos="1565"/>
          <w:tab w:val="clear" w:pos="1996"/>
          <w:tab w:val="clear" w:pos="2426"/>
        </w:tabs>
        <w:rPr>
          <w:szCs w:val="21"/>
        </w:rPr>
      </w:pPr>
      <w:r w:rsidRPr="00E514C7">
        <w:rPr>
          <w:rFonts w:hint="eastAsia"/>
          <w:szCs w:val="21"/>
        </w:rPr>
        <w:t>当被问到伊斯兰教和犯罪是否有关联时，他回答说：</w:t>
      </w:r>
    </w:p>
    <w:p w:rsidR="00E514C7" w:rsidRPr="00E514C7" w:rsidRDefault="00EC62E1" w:rsidP="00E514C7">
      <w:pPr>
        <w:pStyle w:val="SingleTxtGC"/>
        <w:rPr>
          <w:szCs w:val="21"/>
        </w:rPr>
      </w:pPr>
      <w:r>
        <w:rPr>
          <w:rFonts w:hint="eastAsia"/>
          <w:szCs w:val="21"/>
        </w:rPr>
        <w:t>“</w:t>
      </w:r>
      <w:r w:rsidR="00E514C7" w:rsidRPr="00E514C7">
        <w:rPr>
          <w:rFonts w:hint="eastAsia"/>
          <w:szCs w:val="21"/>
        </w:rPr>
        <w:t>绝对有关系。数字已经证明这点。五分之一的摩洛哥青少年有违警记录。他们的行为源于他们的宗教和文化。你不能将此割裂开来。教皇说过伊斯兰教是暴力宗教，这话完全正确。伊斯兰教是指非穆斯林的屈服和转变。这种解释仅适用于那些犯罪者的客厅和清真寺，适用于社区本身。</w:t>
      </w:r>
      <w:r>
        <w:rPr>
          <w:rFonts w:hint="eastAsia"/>
          <w:szCs w:val="21"/>
        </w:rPr>
        <w:t>”</w:t>
      </w:r>
      <w:r w:rsidR="00E514C7" w:rsidRPr="00E514C7">
        <w:rPr>
          <w:rFonts w:hint="eastAsia"/>
          <w:szCs w:val="21"/>
        </w:rPr>
        <w:t>。</w:t>
      </w:r>
    </w:p>
    <w:p w:rsidR="00E514C7" w:rsidRPr="00E514C7" w:rsidRDefault="00EC62E1" w:rsidP="00FE25F2">
      <w:pPr>
        <w:pStyle w:val="SingleTxtGC"/>
        <w:numPr>
          <w:ilvl w:val="0"/>
          <w:numId w:val="30"/>
        </w:numPr>
        <w:tabs>
          <w:tab w:val="clear" w:pos="431"/>
          <w:tab w:val="clear" w:pos="1134"/>
          <w:tab w:val="clear" w:pos="1565"/>
          <w:tab w:val="clear" w:pos="1996"/>
          <w:tab w:val="clear" w:pos="2426"/>
        </w:tabs>
        <w:rPr>
          <w:szCs w:val="21"/>
        </w:rPr>
      </w:pPr>
      <w:r>
        <w:rPr>
          <w:rFonts w:hint="eastAsia"/>
          <w:szCs w:val="21"/>
        </w:rPr>
        <w:t>“</w:t>
      </w:r>
      <w:r w:rsidR="00E514C7" w:rsidRPr="00E514C7">
        <w:rPr>
          <w:rFonts w:hint="eastAsia"/>
          <w:szCs w:val="21"/>
        </w:rPr>
        <w:t>每个人都接受我们的主流文化。</w:t>
      </w:r>
      <w:r>
        <w:rPr>
          <w:szCs w:val="21"/>
        </w:rPr>
        <w:t>2</w:t>
      </w:r>
      <w:r w:rsidR="00E514C7" w:rsidRPr="00E514C7">
        <w:rPr>
          <w:szCs w:val="21"/>
        </w:rPr>
        <w:t>0</w:t>
      </w:r>
      <w:r w:rsidR="00E514C7" w:rsidRPr="00E514C7">
        <w:rPr>
          <w:rFonts w:hint="eastAsia"/>
          <w:szCs w:val="21"/>
        </w:rPr>
        <w:t>年内那些不这样做的人将不能待在这里。他们将被驱逐</w:t>
      </w:r>
      <w:r>
        <w:rPr>
          <w:rFonts w:hint="eastAsia"/>
          <w:szCs w:val="21"/>
        </w:rPr>
        <w:t>”</w:t>
      </w:r>
      <w:r w:rsidR="00E514C7" w:rsidRPr="00E514C7">
        <w:rPr>
          <w:rFonts w:hint="eastAsia"/>
          <w:szCs w:val="21"/>
        </w:rPr>
        <w:t>。</w:t>
      </w:r>
    </w:p>
    <w:p w:rsidR="00E514C7" w:rsidRPr="00E514C7" w:rsidRDefault="00EC62E1" w:rsidP="00FE25F2">
      <w:pPr>
        <w:pStyle w:val="SingleTxtGC"/>
        <w:numPr>
          <w:ilvl w:val="0"/>
          <w:numId w:val="30"/>
        </w:numPr>
        <w:tabs>
          <w:tab w:val="clear" w:pos="431"/>
          <w:tab w:val="clear" w:pos="1134"/>
          <w:tab w:val="clear" w:pos="1565"/>
          <w:tab w:val="clear" w:pos="1996"/>
          <w:tab w:val="clear" w:pos="2426"/>
        </w:tabs>
        <w:rPr>
          <w:szCs w:val="21"/>
        </w:rPr>
      </w:pPr>
      <w:r>
        <w:rPr>
          <w:rFonts w:hint="eastAsia"/>
          <w:szCs w:val="21"/>
        </w:rPr>
        <w:t>“</w:t>
      </w:r>
      <w:r w:rsidR="00E514C7" w:rsidRPr="00E514C7">
        <w:rPr>
          <w:rFonts w:hint="eastAsia"/>
          <w:szCs w:val="21"/>
        </w:rPr>
        <w:t>那些摩洛哥人真的很暴力。他们因性起因打人。</w:t>
      </w:r>
      <w:r>
        <w:rPr>
          <w:rFonts w:hint="eastAsia"/>
          <w:szCs w:val="21"/>
        </w:rPr>
        <w:t>”</w:t>
      </w:r>
    </w:p>
    <w:p w:rsidR="00E514C7" w:rsidRPr="00E514C7" w:rsidRDefault="00E514C7" w:rsidP="0031159F">
      <w:pPr>
        <w:pStyle w:val="SingleTxtGC"/>
        <w:numPr>
          <w:ilvl w:val="0"/>
          <w:numId w:val="28"/>
        </w:numPr>
        <w:rPr>
          <w:szCs w:val="21"/>
        </w:rPr>
      </w:pPr>
      <w:r w:rsidRPr="00E514C7">
        <w:rPr>
          <w:rFonts w:hint="eastAsia"/>
          <w:szCs w:val="21"/>
        </w:rPr>
        <w:t>在威尔德斯先生党派的网站</w:t>
      </w:r>
      <w:r w:rsidR="005D2190">
        <w:rPr>
          <w:rFonts w:hint="eastAsia"/>
          <w:szCs w:val="21"/>
        </w:rPr>
        <w:t>(</w:t>
      </w:r>
      <w:hyperlink r:id="rId10" w:history="1">
        <w:r w:rsidR="00EC62E1">
          <w:rPr>
            <w:rStyle w:val="af5"/>
            <w:szCs w:val="21"/>
            <w:lang w:val="en-GB"/>
          </w:rPr>
          <w:t>www</w:t>
        </w:r>
        <w:r w:rsidRPr="00E514C7">
          <w:rPr>
            <w:rStyle w:val="af5"/>
            <w:szCs w:val="21"/>
            <w:lang w:val="en-GB"/>
          </w:rPr>
          <w:t>.</w:t>
        </w:r>
        <w:r w:rsidR="00EC62E1">
          <w:rPr>
            <w:rStyle w:val="af5"/>
            <w:szCs w:val="21"/>
            <w:lang w:val="en-GB"/>
          </w:rPr>
          <w:t>geenstijl</w:t>
        </w:r>
        <w:r w:rsidRPr="00E514C7">
          <w:rPr>
            <w:rStyle w:val="af5"/>
            <w:szCs w:val="21"/>
            <w:lang w:val="en-GB"/>
          </w:rPr>
          <w:t>.</w:t>
        </w:r>
        <w:r w:rsidR="00EC62E1">
          <w:rPr>
            <w:rStyle w:val="af5"/>
            <w:szCs w:val="21"/>
            <w:lang w:val="en-GB"/>
          </w:rPr>
          <w:t>nl</w:t>
        </w:r>
      </w:hyperlink>
      <w:r w:rsidRPr="00E514C7">
        <w:rPr>
          <w:rFonts w:hint="eastAsia"/>
          <w:szCs w:val="21"/>
          <w:lang w:val="en-GB"/>
        </w:rPr>
        <w:t>或</w:t>
      </w:r>
      <w:r w:rsidRPr="00E514C7">
        <w:rPr>
          <w:szCs w:val="21"/>
        </w:rPr>
        <w:fldChar w:fldCharType="begin"/>
      </w:r>
      <w:r w:rsidRPr="00E514C7">
        <w:rPr>
          <w:szCs w:val="21"/>
        </w:rPr>
        <w:instrText xml:space="preserve"> HYPERLINK "http://www.pvv.nl" </w:instrText>
      </w:r>
      <w:r w:rsidRPr="00E514C7">
        <w:rPr>
          <w:szCs w:val="21"/>
        </w:rPr>
        <w:fldChar w:fldCharType="separate"/>
      </w:r>
      <w:r w:rsidR="00EC62E1">
        <w:rPr>
          <w:rStyle w:val="af5"/>
          <w:szCs w:val="21"/>
          <w:lang w:val="en-GB"/>
        </w:rPr>
        <w:t>www</w:t>
      </w:r>
      <w:r w:rsidRPr="00E514C7">
        <w:rPr>
          <w:rStyle w:val="af5"/>
          <w:szCs w:val="21"/>
          <w:lang w:val="en-GB"/>
        </w:rPr>
        <w:t>.</w:t>
      </w:r>
      <w:r w:rsidR="00EC62E1">
        <w:rPr>
          <w:rStyle w:val="af5"/>
          <w:szCs w:val="21"/>
          <w:lang w:val="en-GB"/>
        </w:rPr>
        <w:t>pvv</w:t>
      </w:r>
      <w:r w:rsidRPr="00E514C7">
        <w:rPr>
          <w:rStyle w:val="af5"/>
          <w:szCs w:val="21"/>
          <w:lang w:val="en-GB"/>
        </w:rPr>
        <w:t>.</w:t>
      </w:r>
      <w:r w:rsidR="00EC62E1">
        <w:rPr>
          <w:rStyle w:val="af5"/>
          <w:szCs w:val="21"/>
          <w:lang w:val="en-GB"/>
        </w:rPr>
        <w:t>nl</w:t>
      </w:r>
      <w:r w:rsidRPr="00E514C7">
        <w:rPr>
          <w:szCs w:val="21"/>
        </w:rPr>
        <w:fldChar w:fldCharType="end"/>
      </w:r>
      <w:r w:rsidR="005D2190">
        <w:rPr>
          <w:rFonts w:hint="eastAsia"/>
          <w:szCs w:val="21"/>
          <w:lang w:val="en-GB"/>
        </w:rPr>
        <w:t>)</w:t>
      </w:r>
      <w:r w:rsidRPr="00E514C7">
        <w:rPr>
          <w:rFonts w:hint="eastAsia"/>
          <w:szCs w:val="21"/>
        </w:rPr>
        <w:t>的互联网专栏中，他指出：</w:t>
      </w:r>
    </w:p>
    <w:p w:rsidR="00E514C7" w:rsidRPr="00E514C7" w:rsidRDefault="00EC62E1" w:rsidP="005B7B19">
      <w:pPr>
        <w:pStyle w:val="SingleTxtGC"/>
        <w:ind w:left="1565"/>
        <w:rPr>
          <w:szCs w:val="21"/>
        </w:rPr>
      </w:pPr>
      <w:r>
        <w:rPr>
          <w:rFonts w:hint="eastAsia"/>
          <w:szCs w:val="21"/>
        </w:rPr>
        <w:t>“</w:t>
      </w:r>
      <w:r w:rsidR="00E514C7" w:rsidRPr="00E514C7">
        <w:rPr>
          <w:rFonts w:hint="eastAsia"/>
          <w:szCs w:val="21"/>
        </w:rPr>
        <w:t>上周六的荷兰</w:t>
      </w:r>
      <w:r>
        <w:rPr>
          <w:szCs w:val="21"/>
        </w:rPr>
        <w:t>Nederlands</w:t>
      </w:r>
      <w:r w:rsidR="00E514C7" w:rsidRPr="00E514C7">
        <w:rPr>
          <w:szCs w:val="21"/>
        </w:rPr>
        <w:t xml:space="preserve"> </w:t>
      </w:r>
      <w:r>
        <w:rPr>
          <w:szCs w:val="21"/>
        </w:rPr>
        <w:t>Dagblad</w:t>
      </w:r>
      <w:r w:rsidR="00E514C7" w:rsidRPr="00E514C7">
        <w:rPr>
          <w:rFonts w:hint="eastAsia"/>
          <w:szCs w:val="21"/>
        </w:rPr>
        <w:t>援引了教授</w:t>
      </w:r>
      <w:r>
        <w:rPr>
          <w:szCs w:val="21"/>
        </w:rPr>
        <w:t>Raphael</w:t>
      </w:r>
      <w:r w:rsidR="00E514C7" w:rsidRPr="00E514C7">
        <w:rPr>
          <w:szCs w:val="21"/>
          <w:lang w:val="en-GB"/>
        </w:rPr>
        <w:t xml:space="preserve"> </w:t>
      </w:r>
      <w:r>
        <w:rPr>
          <w:szCs w:val="21"/>
          <w:lang w:val="en-GB"/>
        </w:rPr>
        <w:t>Israeli</w:t>
      </w:r>
      <w:r w:rsidR="00E514C7" w:rsidRPr="00E514C7">
        <w:rPr>
          <w:rFonts w:hint="eastAsia"/>
          <w:szCs w:val="21"/>
        </w:rPr>
        <w:t>的话，他预言说，通过渗透、宣传、转换和人口构成变化等手段，伊斯兰将第三次入侵欧洲。据他介绍，随着伊斯兰教的进军，欧洲人正在实施人口自杀。</w:t>
      </w:r>
      <w:r>
        <w:rPr>
          <w:szCs w:val="21"/>
        </w:rPr>
        <w:t>732</w:t>
      </w:r>
      <w:r w:rsidR="00E514C7" w:rsidRPr="00E514C7">
        <w:rPr>
          <w:rFonts w:hint="eastAsia"/>
          <w:szCs w:val="21"/>
        </w:rPr>
        <w:lastRenderedPageBreak/>
        <w:t>年，在波特维斯，继征服西班牙、葡萄牙和法国南部后，第一次伊斯兰入侵被阻止。</w:t>
      </w:r>
      <w:r>
        <w:rPr>
          <w:szCs w:val="21"/>
        </w:rPr>
        <w:t>1683</w:t>
      </w:r>
      <w:r w:rsidR="00E514C7" w:rsidRPr="00E514C7">
        <w:rPr>
          <w:rFonts w:hint="eastAsia"/>
          <w:szCs w:val="21"/>
        </w:rPr>
        <w:t>年，奥斯曼土耳其人企图第二次入侵，这次入侵在维也纳城门之外受挫，当时，幸运的是，入侵者在那里被消灭。</w:t>
      </w:r>
      <w:r>
        <w:rPr>
          <w:szCs w:val="21"/>
          <w:lang w:val="en-GB"/>
        </w:rPr>
        <w:t>Israeli</w:t>
      </w:r>
      <w:r w:rsidR="00E514C7" w:rsidRPr="00E514C7">
        <w:rPr>
          <w:rFonts w:hint="eastAsia"/>
          <w:szCs w:val="21"/>
        </w:rPr>
        <w:t>教授认为，目前正在欧洲进行的第三次入侵企图取胜的机会要大得多。他说得完全正确</w:t>
      </w:r>
      <w:r>
        <w:rPr>
          <w:rFonts w:hint="eastAsia"/>
          <w:szCs w:val="21"/>
        </w:rPr>
        <w:t>”</w:t>
      </w:r>
      <w:r w:rsidR="00E514C7" w:rsidRPr="00E514C7">
        <w:rPr>
          <w:rFonts w:hint="eastAsia"/>
          <w:szCs w:val="21"/>
        </w:rPr>
        <w:t>。</w:t>
      </w:r>
    </w:p>
    <w:p w:rsidR="00E514C7" w:rsidRPr="00E514C7" w:rsidRDefault="00EC62E1" w:rsidP="0031159F">
      <w:pPr>
        <w:pStyle w:val="SingleTxtGC"/>
        <w:numPr>
          <w:ilvl w:val="0"/>
          <w:numId w:val="28"/>
        </w:numPr>
        <w:rPr>
          <w:szCs w:val="21"/>
        </w:rPr>
      </w:pPr>
      <w:r>
        <w:rPr>
          <w:rFonts w:hint="eastAsia"/>
          <w:szCs w:val="21"/>
        </w:rPr>
        <w:t>2</w:t>
      </w:r>
      <w:r w:rsidR="00E514C7" w:rsidRPr="00E514C7">
        <w:rPr>
          <w:rFonts w:hint="eastAsia"/>
          <w:szCs w:val="21"/>
        </w:rPr>
        <w:t>00</w:t>
      </w:r>
      <w:r>
        <w:rPr>
          <w:rFonts w:hint="eastAsia"/>
          <w:szCs w:val="21"/>
        </w:rPr>
        <w:t>7</w:t>
      </w:r>
      <w:r w:rsidR="00E514C7" w:rsidRPr="00E514C7">
        <w:rPr>
          <w:rFonts w:hint="eastAsia"/>
          <w:szCs w:val="21"/>
        </w:rPr>
        <w:t>年</w:t>
      </w:r>
      <w:r>
        <w:rPr>
          <w:rFonts w:hint="eastAsia"/>
          <w:szCs w:val="21"/>
        </w:rPr>
        <w:t>2</w:t>
      </w:r>
      <w:r w:rsidR="00E514C7" w:rsidRPr="00E514C7">
        <w:rPr>
          <w:rFonts w:hint="eastAsia"/>
          <w:szCs w:val="21"/>
        </w:rPr>
        <w:t>月</w:t>
      </w:r>
      <w:r>
        <w:rPr>
          <w:rFonts w:hint="eastAsia"/>
          <w:szCs w:val="21"/>
        </w:rPr>
        <w:t>13</w:t>
      </w:r>
      <w:r w:rsidR="00E514C7" w:rsidRPr="00E514C7">
        <w:rPr>
          <w:rFonts w:hint="eastAsia"/>
          <w:szCs w:val="21"/>
        </w:rPr>
        <w:t>日，在接受</w:t>
      </w:r>
      <w:r>
        <w:rPr>
          <w:rFonts w:hint="eastAsia"/>
          <w:szCs w:val="21"/>
        </w:rPr>
        <w:t>De</w:t>
      </w:r>
      <w:r w:rsidR="00E514C7" w:rsidRPr="00E514C7">
        <w:rPr>
          <w:rFonts w:hint="eastAsia"/>
          <w:szCs w:val="21"/>
        </w:rPr>
        <w:t xml:space="preserve"> </w:t>
      </w:r>
      <w:r>
        <w:rPr>
          <w:rFonts w:hint="eastAsia"/>
          <w:szCs w:val="21"/>
        </w:rPr>
        <w:t>Pers</w:t>
      </w:r>
      <w:r w:rsidR="00E514C7" w:rsidRPr="00E514C7">
        <w:rPr>
          <w:rFonts w:hint="eastAsia"/>
          <w:szCs w:val="21"/>
        </w:rPr>
        <w:t>的采访时，他说：</w:t>
      </w:r>
    </w:p>
    <w:p w:rsidR="00E514C7" w:rsidRPr="00E514C7" w:rsidRDefault="00EC62E1" w:rsidP="00EC62E1">
      <w:pPr>
        <w:pStyle w:val="SingleTxtGC"/>
        <w:numPr>
          <w:ilvl w:val="0"/>
          <w:numId w:val="31"/>
        </w:numPr>
        <w:tabs>
          <w:tab w:val="clear" w:pos="431"/>
          <w:tab w:val="clear" w:pos="1134"/>
          <w:tab w:val="clear" w:pos="1565"/>
          <w:tab w:val="clear" w:pos="1996"/>
          <w:tab w:val="clear" w:pos="2426"/>
        </w:tabs>
        <w:rPr>
          <w:szCs w:val="21"/>
        </w:rPr>
      </w:pPr>
      <w:r>
        <w:rPr>
          <w:rFonts w:hint="eastAsia"/>
          <w:szCs w:val="21"/>
        </w:rPr>
        <w:t>“</w:t>
      </w:r>
      <w:r w:rsidR="00E514C7" w:rsidRPr="00E514C7">
        <w:rPr>
          <w:rFonts w:hint="eastAsia"/>
          <w:szCs w:val="21"/>
        </w:rPr>
        <w:t>我们已经受够了。边界关闭，不再让更多的伊斯兰人来到荷兰，让更多的穆斯林离开荷兰，剥夺伊斯兰罪犯的国籍</w:t>
      </w:r>
      <w:r>
        <w:rPr>
          <w:rFonts w:hint="eastAsia"/>
          <w:szCs w:val="21"/>
        </w:rPr>
        <w:t>”</w:t>
      </w:r>
      <w:r w:rsidR="00E514C7" w:rsidRPr="00E514C7">
        <w:rPr>
          <w:rFonts w:hint="eastAsia"/>
          <w:szCs w:val="21"/>
        </w:rPr>
        <w:t>。</w:t>
      </w:r>
    </w:p>
    <w:p w:rsidR="00E514C7" w:rsidRPr="00E514C7" w:rsidRDefault="00EC62E1" w:rsidP="00EC62E1">
      <w:pPr>
        <w:pStyle w:val="SingleTxtGC"/>
        <w:numPr>
          <w:ilvl w:val="0"/>
          <w:numId w:val="31"/>
        </w:numPr>
        <w:tabs>
          <w:tab w:val="clear" w:pos="431"/>
          <w:tab w:val="clear" w:pos="1134"/>
          <w:tab w:val="clear" w:pos="1565"/>
          <w:tab w:val="clear" w:pos="1996"/>
          <w:tab w:val="clear" w:pos="2426"/>
        </w:tabs>
        <w:rPr>
          <w:szCs w:val="21"/>
        </w:rPr>
      </w:pPr>
      <w:r>
        <w:rPr>
          <w:rFonts w:hint="eastAsia"/>
          <w:szCs w:val="21"/>
        </w:rPr>
        <w:t>“</w:t>
      </w:r>
      <w:r w:rsidR="00E514C7" w:rsidRPr="00E514C7">
        <w:rPr>
          <w:rFonts w:hint="eastAsia"/>
          <w:szCs w:val="21"/>
        </w:rPr>
        <w:t>摩萨德前负责人说，第三次世界大战已经开战。这不是我说的话，但这话是正确的</w:t>
      </w:r>
      <w:r>
        <w:rPr>
          <w:rFonts w:hint="eastAsia"/>
          <w:szCs w:val="21"/>
        </w:rPr>
        <w:t>”</w:t>
      </w:r>
      <w:r w:rsidR="00E514C7" w:rsidRPr="00E514C7">
        <w:rPr>
          <w:rFonts w:hint="eastAsia"/>
          <w:szCs w:val="21"/>
        </w:rPr>
        <w:t>。</w:t>
      </w:r>
    </w:p>
    <w:p w:rsidR="00E514C7" w:rsidRPr="00E514C7" w:rsidRDefault="00EC62E1" w:rsidP="00EC62E1">
      <w:pPr>
        <w:pStyle w:val="SingleTxtGC"/>
        <w:numPr>
          <w:ilvl w:val="0"/>
          <w:numId w:val="31"/>
        </w:numPr>
        <w:tabs>
          <w:tab w:val="clear" w:pos="431"/>
          <w:tab w:val="clear" w:pos="1134"/>
          <w:tab w:val="clear" w:pos="1565"/>
          <w:tab w:val="clear" w:pos="1996"/>
          <w:tab w:val="clear" w:pos="2426"/>
        </w:tabs>
        <w:rPr>
          <w:szCs w:val="21"/>
        </w:rPr>
      </w:pPr>
      <w:r>
        <w:rPr>
          <w:rFonts w:hint="eastAsia"/>
          <w:szCs w:val="21"/>
        </w:rPr>
        <w:t>“</w:t>
      </w:r>
      <w:r w:rsidR="00E514C7" w:rsidRPr="00E514C7">
        <w:rPr>
          <w:rFonts w:hint="eastAsia"/>
          <w:szCs w:val="21"/>
        </w:rPr>
        <w:t>我怀有良好意愿。我们允许一些事情发生，结果却是变成一个完全不同的社会。我知道几十年来没有伊斯兰多数派，然而，这个数字在增长，带有侵略性成分在里面，帝国主义。走在街上，看看到哪里是个头。你觉得你不再住在自己的国家</w:t>
      </w:r>
      <w:r w:rsidR="0031159F">
        <w:rPr>
          <w:rFonts w:hint="eastAsia"/>
          <w:szCs w:val="21"/>
        </w:rPr>
        <w:t>。冲突正在发生，我们必须自卫。到一定时候，清真寺会比教堂更多！</w:t>
      </w:r>
      <w:r>
        <w:rPr>
          <w:rFonts w:hint="eastAsia"/>
          <w:szCs w:val="21"/>
        </w:rPr>
        <w:t>”</w:t>
      </w:r>
    </w:p>
    <w:p w:rsidR="00E514C7" w:rsidRPr="00E514C7" w:rsidRDefault="00EC62E1" w:rsidP="0031159F">
      <w:pPr>
        <w:pStyle w:val="SingleTxtGC"/>
        <w:numPr>
          <w:ilvl w:val="0"/>
          <w:numId w:val="28"/>
        </w:numPr>
        <w:rPr>
          <w:szCs w:val="21"/>
        </w:rPr>
      </w:pPr>
      <w:r>
        <w:rPr>
          <w:rFonts w:hint="eastAsia"/>
          <w:szCs w:val="21"/>
        </w:rPr>
        <w:t>2</w:t>
      </w:r>
      <w:r w:rsidR="00E514C7" w:rsidRPr="00E514C7">
        <w:rPr>
          <w:rFonts w:hint="eastAsia"/>
          <w:szCs w:val="21"/>
        </w:rPr>
        <w:t>00</w:t>
      </w:r>
      <w:r>
        <w:rPr>
          <w:rFonts w:hint="eastAsia"/>
          <w:szCs w:val="21"/>
        </w:rPr>
        <w:t>7</w:t>
      </w:r>
      <w:r w:rsidR="00E514C7" w:rsidRPr="00E514C7">
        <w:rPr>
          <w:rFonts w:hint="eastAsia"/>
          <w:szCs w:val="21"/>
        </w:rPr>
        <w:t>年</w:t>
      </w:r>
      <w:r>
        <w:rPr>
          <w:rFonts w:hint="eastAsia"/>
          <w:szCs w:val="21"/>
        </w:rPr>
        <w:t>8</w:t>
      </w:r>
      <w:r w:rsidR="00E514C7" w:rsidRPr="00E514C7">
        <w:rPr>
          <w:rFonts w:hint="eastAsia"/>
          <w:szCs w:val="21"/>
        </w:rPr>
        <w:t>月</w:t>
      </w:r>
      <w:r>
        <w:rPr>
          <w:rFonts w:hint="eastAsia"/>
          <w:szCs w:val="21"/>
        </w:rPr>
        <w:t>8</w:t>
      </w:r>
      <w:r w:rsidR="00E514C7" w:rsidRPr="00E514C7">
        <w:rPr>
          <w:rFonts w:hint="eastAsia"/>
          <w:szCs w:val="21"/>
        </w:rPr>
        <w:t>日，在接受</w:t>
      </w:r>
      <w:r>
        <w:rPr>
          <w:szCs w:val="21"/>
        </w:rPr>
        <w:t>In</w:t>
      </w:r>
      <w:r w:rsidR="00E514C7" w:rsidRPr="00E514C7">
        <w:rPr>
          <w:szCs w:val="21"/>
        </w:rPr>
        <w:t xml:space="preserve"> </w:t>
      </w:r>
      <w:r>
        <w:rPr>
          <w:szCs w:val="21"/>
        </w:rPr>
        <w:t>de</w:t>
      </w:r>
      <w:r w:rsidR="00E514C7" w:rsidRPr="00E514C7">
        <w:rPr>
          <w:szCs w:val="21"/>
        </w:rPr>
        <w:t xml:space="preserve"> </w:t>
      </w:r>
      <w:r>
        <w:rPr>
          <w:szCs w:val="21"/>
        </w:rPr>
        <w:t>Volkskrant</w:t>
      </w:r>
      <w:r w:rsidR="00E514C7" w:rsidRPr="00E514C7">
        <w:rPr>
          <w:rFonts w:hint="eastAsia"/>
          <w:szCs w:val="21"/>
        </w:rPr>
        <w:t>采访时，他说：</w:t>
      </w:r>
    </w:p>
    <w:p w:rsidR="00E514C7" w:rsidRPr="00E514C7" w:rsidRDefault="00EC62E1" w:rsidP="00EC62E1">
      <w:pPr>
        <w:pStyle w:val="SingleTxtGC"/>
        <w:numPr>
          <w:ilvl w:val="0"/>
          <w:numId w:val="32"/>
        </w:numPr>
        <w:tabs>
          <w:tab w:val="clear" w:pos="431"/>
          <w:tab w:val="clear" w:pos="1134"/>
          <w:tab w:val="clear" w:pos="1565"/>
          <w:tab w:val="clear" w:pos="1996"/>
          <w:tab w:val="clear" w:pos="2426"/>
        </w:tabs>
        <w:rPr>
          <w:szCs w:val="21"/>
        </w:rPr>
      </w:pPr>
      <w:r>
        <w:rPr>
          <w:rFonts w:hint="eastAsia"/>
          <w:szCs w:val="21"/>
        </w:rPr>
        <w:t>“</w:t>
      </w:r>
      <w:r w:rsidR="00E514C7" w:rsidRPr="00E514C7">
        <w:rPr>
          <w:rFonts w:hint="eastAsia"/>
          <w:szCs w:val="21"/>
        </w:rPr>
        <w:t>我为那些政府或议会内外所有拒绝阻止伊斯兰入侵荷兰的人感到羞耻！为那些日复一日地容忍越来越高的外国侨民犯罪率、而且不去寻求解决问题的荷兰政客感到耻辱。</w:t>
      </w:r>
    </w:p>
    <w:p w:rsidR="00E514C7" w:rsidRPr="00E514C7" w:rsidRDefault="00EC62E1" w:rsidP="00890059">
      <w:pPr>
        <w:pStyle w:val="SingleTxtGC"/>
        <w:numPr>
          <w:ilvl w:val="0"/>
          <w:numId w:val="32"/>
        </w:numPr>
        <w:tabs>
          <w:tab w:val="clear" w:pos="431"/>
          <w:tab w:val="clear" w:pos="1134"/>
          <w:tab w:val="clear" w:pos="1565"/>
          <w:tab w:val="clear" w:pos="1996"/>
          <w:tab w:val="clear" w:pos="2426"/>
        </w:tabs>
        <w:rPr>
          <w:szCs w:val="21"/>
        </w:rPr>
      </w:pPr>
      <w:r>
        <w:rPr>
          <w:rFonts w:hint="eastAsia"/>
          <w:szCs w:val="21"/>
        </w:rPr>
        <w:t>“</w:t>
      </w:r>
      <w:r w:rsidR="00E514C7" w:rsidRPr="00E514C7">
        <w:rPr>
          <w:rFonts w:hint="eastAsia"/>
          <w:szCs w:val="21"/>
        </w:rPr>
        <w:t>海牙充满了懦夫，吓破了胆的生性懦弱的人，将懦弱地死去的人，他们认为荷兰文化建立在犹太</w:t>
      </w:r>
      <w:r w:rsidR="00890059">
        <w:rPr>
          <w:rFonts w:hint="eastAsia"/>
          <w:szCs w:val="21"/>
        </w:rPr>
        <w:t>－</w:t>
      </w:r>
      <w:r w:rsidR="00E514C7" w:rsidRPr="00E514C7">
        <w:rPr>
          <w:rFonts w:hint="eastAsia"/>
          <w:szCs w:val="21"/>
        </w:rPr>
        <w:t>基督教</w:t>
      </w:r>
      <w:r w:rsidR="00890059">
        <w:rPr>
          <w:rFonts w:hint="eastAsia"/>
          <w:szCs w:val="21"/>
        </w:rPr>
        <w:t>－</w:t>
      </w:r>
      <w:r w:rsidR="00E514C7" w:rsidRPr="00E514C7">
        <w:rPr>
          <w:rFonts w:hint="eastAsia"/>
          <w:szCs w:val="21"/>
        </w:rPr>
        <w:t>穆斯林传统基础之上。他们赦免骗子和罪犯</w:t>
      </w:r>
      <w:r>
        <w:rPr>
          <w:rFonts w:hint="eastAsia"/>
          <w:szCs w:val="21"/>
        </w:rPr>
        <w:t>”</w:t>
      </w:r>
      <w:r w:rsidR="00E514C7" w:rsidRPr="00E514C7">
        <w:rPr>
          <w:rFonts w:hint="eastAsia"/>
          <w:szCs w:val="21"/>
        </w:rPr>
        <w:t>。</w:t>
      </w:r>
    </w:p>
    <w:p w:rsidR="00E514C7" w:rsidRPr="00E514C7" w:rsidRDefault="00EC62E1" w:rsidP="00EC62E1">
      <w:pPr>
        <w:pStyle w:val="SingleTxtGC"/>
        <w:numPr>
          <w:ilvl w:val="0"/>
          <w:numId w:val="32"/>
        </w:numPr>
        <w:tabs>
          <w:tab w:val="clear" w:pos="431"/>
          <w:tab w:val="clear" w:pos="1134"/>
          <w:tab w:val="clear" w:pos="1565"/>
          <w:tab w:val="clear" w:pos="1996"/>
          <w:tab w:val="clear" w:pos="2426"/>
        </w:tabs>
        <w:rPr>
          <w:szCs w:val="21"/>
        </w:rPr>
      </w:pPr>
      <w:r>
        <w:rPr>
          <w:rFonts w:hint="eastAsia"/>
          <w:szCs w:val="21"/>
        </w:rPr>
        <w:t>“</w:t>
      </w:r>
      <w:r w:rsidR="00E514C7" w:rsidRPr="00E514C7">
        <w:rPr>
          <w:rFonts w:hint="eastAsia"/>
          <w:szCs w:val="21"/>
        </w:rPr>
        <w:t>他们损害了荷兰公民的利益，并帮助将荷兰变成伊斯兰超级国家欧亚比亚的一个省</w:t>
      </w:r>
      <w:r>
        <w:rPr>
          <w:rFonts w:hint="eastAsia"/>
          <w:szCs w:val="21"/>
        </w:rPr>
        <w:t>”</w:t>
      </w:r>
      <w:r w:rsidR="00E514C7" w:rsidRPr="00E514C7">
        <w:rPr>
          <w:rFonts w:hint="eastAsia"/>
          <w:szCs w:val="21"/>
        </w:rPr>
        <w:t>。</w:t>
      </w:r>
    </w:p>
    <w:p w:rsidR="00E514C7" w:rsidRPr="00E514C7" w:rsidRDefault="00EC62E1" w:rsidP="00EC62E1">
      <w:pPr>
        <w:pStyle w:val="SingleTxtGC"/>
        <w:numPr>
          <w:ilvl w:val="0"/>
          <w:numId w:val="32"/>
        </w:numPr>
        <w:tabs>
          <w:tab w:val="clear" w:pos="431"/>
          <w:tab w:val="clear" w:pos="1134"/>
          <w:tab w:val="clear" w:pos="1565"/>
          <w:tab w:val="clear" w:pos="1996"/>
          <w:tab w:val="clear" w:pos="2426"/>
        </w:tabs>
        <w:rPr>
          <w:szCs w:val="21"/>
        </w:rPr>
      </w:pPr>
      <w:r>
        <w:rPr>
          <w:rFonts w:hint="eastAsia"/>
          <w:szCs w:val="21"/>
        </w:rPr>
        <w:t>“</w:t>
      </w:r>
      <w:r w:rsidR="00E514C7" w:rsidRPr="00E514C7">
        <w:rPr>
          <w:rFonts w:hint="eastAsia"/>
          <w:szCs w:val="21"/>
        </w:rPr>
        <w:t>我厌恶在荷兰的伊斯兰教，不能再接收穆斯林移民</w:t>
      </w:r>
      <w:r>
        <w:rPr>
          <w:rFonts w:hint="eastAsia"/>
          <w:szCs w:val="21"/>
        </w:rPr>
        <w:t>”</w:t>
      </w:r>
      <w:r w:rsidR="00E514C7" w:rsidRPr="00E514C7">
        <w:rPr>
          <w:rFonts w:hint="eastAsia"/>
          <w:szCs w:val="21"/>
        </w:rPr>
        <w:t>。</w:t>
      </w:r>
    </w:p>
    <w:p w:rsidR="00E514C7" w:rsidRPr="00E514C7" w:rsidRDefault="00E514C7" w:rsidP="0031159F">
      <w:pPr>
        <w:pStyle w:val="SingleTxtGC"/>
        <w:numPr>
          <w:ilvl w:val="0"/>
          <w:numId w:val="28"/>
        </w:numPr>
        <w:rPr>
          <w:szCs w:val="21"/>
        </w:rPr>
      </w:pPr>
      <w:r w:rsidRPr="00E514C7">
        <w:rPr>
          <w:rFonts w:hint="eastAsia"/>
          <w:szCs w:val="21"/>
        </w:rPr>
        <w:t>维尔德斯先生制作了一部关于伊斯兰和穆斯林问题的影片，片名为</w:t>
      </w:r>
      <w:r w:rsidR="00EC62E1">
        <w:rPr>
          <w:rFonts w:hint="eastAsia"/>
          <w:szCs w:val="21"/>
        </w:rPr>
        <w:t>Fitna</w:t>
      </w:r>
      <w:r w:rsidRPr="00E514C7">
        <w:rPr>
          <w:rFonts w:hint="eastAsia"/>
          <w:szCs w:val="21"/>
        </w:rPr>
        <w:t>。关于这部影片，有以下叙述。</w:t>
      </w:r>
    </w:p>
    <w:p w:rsidR="00E514C7" w:rsidRPr="00E514C7" w:rsidRDefault="00E514C7" w:rsidP="005B7B19">
      <w:pPr>
        <w:pStyle w:val="SingleTxtGC"/>
        <w:ind w:left="1565"/>
        <w:rPr>
          <w:szCs w:val="21"/>
          <w:lang w:val="en-GB"/>
        </w:rPr>
      </w:pPr>
      <w:r w:rsidRPr="00E514C7">
        <w:rPr>
          <w:rFonts w:hint="eastAsia"/>
          <w:szCs w:val="21"/>
          <w:lang w:val="en-GB"/>
        </w:rPr>
        <w:t>起诉书中对这部电影进行了描述。它将袭击纽约世贸中心双塔楼和袭击马德里阿托查火车站的影像与普通穆斯林在街上散步的影像合在一起，还展示了配有卫星天线的公寓。这</w:t>
      </w:r>
      <w:r w:rsidRPr="005B7B19">
        <w:rPr>
          <w:rFonts w:hint="eastAsia"/>
          <w:szCs w:val="21"/>
        </w:rPr>
        <w:t>似乎</w:t>
      </w:r>
      <w:r w:rsidRPr="00E514C7">
        <w:rPr>
          <w:rFonts w:hint="eastAsia"/>
          <w:szCs w:val="21"/>
          <w:lang w:val="en-GB"/>
        </w:rPr>
        <w:t>是在提示，穆斯林人和卫星天线越多，荷兰遭受的恐怖袭击就越多。影像同时配有激进的音乐。</w:t>
      </w:r>
    </w:p>
    <w:p w:rsidR="00E514C7" w:rsidRPr="00E514C7" w:rsidRDefault="00EC62E1" w:rsidP="00E514C7">
      <w:pPr>
        <w:pStyle w:val="SingleTxtGC"/>
        <w:rPr>
          <w:szCs w:val="21"/>
          <w:lang w:val="en-GB"/>
        </w:rPr>
      </w:pPr>
      <w:r>
        <w:rPr>
          <w:szCs w:val="21"/>
          <w:lang w:val="en-GB"/>
        </w:rPr>
        <w:t>2</w:t>
      </w:r>
      <w:r w:rsidR="00E514C7" w:rsidRPr="00E514C7">
        <w:rPr>
          <w:szCs w:val="21"/>
          <w:lang w:val="en-GB"/>
        </w:rPr>
        <w:t>.</w:t>
      </w:r>
      <w:r>
        <w:rPr>
          <w:szCs w:val="21"/>
          <w:lang w:val="en-GB"/>
        </w:rPr>
        <w:t>8</w:t>
      </w:r>
      <w:r>
        <w:rPr>
          <w:rFonts w:hint="eastAsia"/>
          <w:szCs w:val="21"/>
          <w:lang w:val="en-GB"/>
        </w:rPr>
        <w:t xml:space="preserve">  </w:t>
      </w:r>
      <w:r>
        <w:rPr>
          <w:szCs w:val="21"/>
          <w:lang w:val="en-GB"/>
        </w:rPr>
        <w:t>Rabbae</w:t>
      </w:r>
      <w:r w:rsidR="00E514C7" w:rsidRPr="00E514C7">
        <w:rPr>
          <w:szCs w:val="21"/>
          <w:lang w:val="en-GB"/>
        </w:rPr>
        <w:t>先生于</w:t>
      </w:r>
      <w:r>
        <w:rPr>
          <w:szCs w:val="21"/>
          <w:lang w:val="en-GB"/>
        </w:rPr>
        <w:t>1966</w:t>
      </w:r>
      <w:r w:rsidR="00E514C7" w:rsidRPr="00E514C7">
        <w:rPr>
          <w:szCs w:val="21"/>
          <w:lang w:val="en-GB"/>
        </w:rPr>
        <w:t>年</w:t>
      </w:r>
      <w:r w:rsidR="00E514C7" w:rsidRPr="00E514C7">
        <w:rPr>
          <w:rFonts w:hint="eastAsia"/>
          <w:szCs w:val="21"/>
          <w:lang w:val="en-GB"/>
        </w:rPr>
        <w:t>以</w:t>
      </w:r>
      <w:r w:rsidR="00E514C7" w:rsidRPr="00E514C7">
        <w:rPr>
          <w:szCs w:val="21"/>
          <w:lang w:val="en-GB"/>
        </w:rPr>
        <w:t>难民</w:t>
      </w:r>
      <w:r w:rsidR="00E514C7" w:rsidRPr="00E514C7">
        <w:rPr>
          <w:rFonts w:hint="eastAsia"/>
          <w:szCs w:val="21"/>
          <w:lang w:val="en-GB"/>
        </w:rPr>
        <w:t>身份来到</w:t>
      </w:r>
      <w:r w:rsidR="00E514C7" w:rsidRPr="00E514C7">
        <w:rPr>
          <w:szCs w:val="21"/>
          <w:lang w:val="en-GB"/>
        </w:rPr>
        <w:t>荷兰，</w:t>
      </w:r>
      <w:r w:rsidR="00E514C7" w:rsidRPr="00E514C7">
        <w:rPr>
          <w:rFonts w:hint="eastAsia"/>
          <w:szCs w:val="21"/>
          <w:lang w:val="en-GB"/>
        </w:rPr>
        <w:t>自</w:t>
      </w:r>
      <w:r>
        <w:rPr>
          <w:szCs w:val="21"/>
          <w:lang w:val="en-GB"/>
        </w:rPr>
        <w:t>1994</w:t>
      </w:r>
      <w:r w:rsidR="00E514C7" w:rsidRPr="00E514C7">
        <w:rPr>
          <w:rFonts w:hint="eastAsia"/>
          <w:szCs w:val="21"/>
          <w:lang w:val="en-GB"/>
        </w:rPr>
        <w:t>年至</w:t>
      </w:r>
      <w:r>
        <w:rPr>
          <w:rFonts w:hint="eastAsia"/>
          <w:szCs w:val="21"/>
          <w:lang w:val="en-GB"/>
        </w:rPr>
        <w:t>2</w:t>
      </w:r>
      <w:r w:rsidR="00E514C7" w:rsidRPr="00E514C7">
        <w:rPr>
          <w:rFonts w:hint="eastAsia"/>
          <w:szCs w:val="21"/>
          <w:lang w:val="en-GB"/>
        </w:rPr>
        <w:t>00</w:t>
      </w:r>
      <w:r>
        <w:rPr>
          <w:rFonts w:hint="eastAsia"/>
          <w:szCs w:val="21"/>
          <w:lang w:val="en-GB"/>
        </w:rPr>
        <w:t>2</w:t>
      </w:r>
      <w:r w:rsidR="00E514C7" w:rsidRPr="00E514C7">
        <w:rPr>
          <w:rFonts w:hint="eastAsia"/>
          <w:szCs w:val="21"/>
          <w:lang w:val="en-GB"/>
        </w:rPr>
        <w:t>年任</w:t>
      </w:r>
      <w:r w:rsidR="00E514C7" w:rsidRPr="00E514C7">
        <w:rPr>
          <w:szCs w:val="21"/>
          <w:lang w:val="en-GB"/>
        </w:rPr>
        <w:t>绿党</w:t>
      </w:r>
      <w:r w:rsidR="00E514C7" w:rsidRPr="00E514C7">
        <w:rPr>
          <w:rFonts w:hint="eastAsia"/>
          <w:szCs w:val="21"/>
          <w:lang w:val="en-GB"/>
        </w:rPr>
        <w:t>议会</w:t>
      </w:r>
      <w:r w:rsidR="00E514C7" w:rsidRPr="00E514C7">
        <w:rPr>
          <w:szCs w:val="21"/>
          <w:lang w:val="en-GB"/>
        </w:rPr>
        <w:t>议员。他</w:t>
      </w:r>
      <w:r w:rsidR="00E514C7" w:rsidRPr="00E514C7">
        <w:rPr>
          <w:rFonts w:hint="eastAsia"/>
          <w:szCs w:val="21"/>
          <w:lang w:val="en-GB"/>
        </w:rPr>
        <w:t>担任</w:t>
      </w:r>
      <w:r w:rsidR="00E514C7" w:rsidRPr="00E514C7">
        <w:rPr>
          <w:szCs w:val="21"/>
          <w:lang w:val="en-GB"/>
        </w:rPr>
        <w:t>荷兰摩洛哥人国家协商机构主席。他向警方</w:t>
      </w:r>
      <w:r w:rsidR="00E514C7" w:rsidRPr="00E514C7">
        <w:rPr>
          <w:rFonts w:hint="eastAsia"/>
          <w:szCs w:val="21"/>
          <w:lang w:val="en-GB"/>
        </w:rPr>
        <w:t>反映了</w:t>
      </w:r>
      <w:r>
        <w:rPr>
          <w:szCs w:val="21"/>
          <w:lang w:val="en-GB"/>
        </w:rPr>
        <w:t>Wilders</w:t>
      </w:r>
      <w:r w:rsidR="00E514C7" w:rsidRPr="00E514C7">
        <w:rPr>
          <w:szCs w:val="21"/>
          <w:lang w:val="en-GB"/>
        </w:rPr>
        <w:t>先生的</w:t>
      </w:r>
      <w:r w:rsidR="00E514C7" w:rsidRPr="00E514C7">
        <w:rPr>
          <w:rFonts w:hint="eastAsia"/>
          <w:szCs w:val="21"/>
          <w:lang w:val="en-GB"/>
        </w:rPr>
        <w:t>言论</w:t>
      </w:r>
      <w:r w:rsidR="00E514C7" w:rsidRPr="00E514C7">
        <w:rPr>
          <w:szCs w:val="21"/>
          <w:lang w:val="en-GB"/>
        </w:rPr>
        <w:t>。他在法庭</w:t>
      </w:r>
      <w:r w:rsidR="00E514C7" w:rsidRPr="00E514C7">
        <w:rPr>
          <w:rFonts w:hint="eastAsia"/>
          <w:szCs w:val="21"/>
          <w:lang w:val="en-GB"/>
        </w:rPr>
        <w:t>上</w:t>
      </w:r>
      <w:r w:rsidR="00E514C7" w:rsidRPr="00E514C7">
        <w:rPr>
          <w:szCs w:val="21"/>
          <w:lang w:val="en-GB"/>
        </w:rPr>
        <w:t>谈到了不容忍和种族主义问题的研究数据和摩洛哥人在荷兰社会的</w:t>
      </w:r>
      <w:r w:rsidR="00E514C7" w:rsidRPr="00E514C7">
        <w:rPr>
          <w:rFonts w:hint="eastAsia"/>
          <w:szCs w:val="21"/>
          <w:lang w:val="en-GB"/>
        </w:rPr>
        <w:t>地位</w:t>
      </w:r>
      <w:r w:rsidR="00E514C7" w:rsidRPr="00E514C7">
        <w:rPr>
          <w:szCs w:val="21"/>
          <w:lang w:val="en-GB"/>
        </w:rPr>
        <w:t>。</w:t>
      </w:r>
    </w:p>
    <w:p w:rsidR="00E514C7" w:rsidRPr="00E514C7" w:rsidRDefault="00EC62E1" w:rsidP="00E514C7">
      <w:pPr>
        <w:pStyle w:val="SingleTxtGC"/>
        <w:rPr>
          <w:szCs w:val="21"/>
          <w:lang w:val="en-GB"/>
        </w:rPr>
      </w:pPr>
      <w:r>
        <w:rPr>
          <w:szCs w:val="21"/>
          <w:lang w:val="en-GB"/>
        </w:rPr>
        <w:t>2</w:t>
      </w:r>
      <w:r w:rsidR="00E514C7" w:rsidRPr="00E514C7">
        <w:rPr>
          <w:szCs w:val="21"/>
          <w:lang w:val="en-GB"/>
        </w:rPr>
        <w:t>.</w:t>
      </w:r>
      <w:r>
        <w:rPr>
          <w:szCs w:val="21"/>
          <w:lang w:val="en-GB"/>
        </w:rPr>
        <w:t>9</w:t>
      </w:r>
      <w:r>
        <w:rPr>
          <w:rFonts w:hint="eastAsia"/>
          <w:szCs w:val="21"/>
          <w:lang w:val="en-GB"/>
        </w:rPr>
        <w:t xml:space="preserve">  </w:t>
      </w:r>
      <w:r>
        <w:rPr>
          <w:szCs w:val="21"/>
          <w:lang w:val="en-GB"/>
        </w:rPr>
        <w:t>A</w:t>
      </w:r>
      <w:r w:rsidR="00E514C7" w:rsidRPr="00E514C7">
        <w:rPr>
          <w:szCs w:val="21"/>
          <w:lang w:val="en-GB"/>
        </w:rPr>
        <w:t>.</w:t>
      </w:r>
      <w:r>
        <w:rPr>
          <w:szCs w:val="21"/>
          <w:lang w:val="en-GB"/>
        </w:rPr>
        <w:t>B.S.</w:t>
      </w:r>
      <w:r w:rsidR="00E514C7" w:rsidRPr="00E514C7">
        <w:rPr>
          <w:szCs w:val="21"/>
          <w:lang w:val="en-GB"/>
        </w:rPr>
        <w:t>是摩洛哥移民的女儿。她向法院提供证据，并报告</w:t>
      </w:r>
      <w:r w:rsidR="00E514C7" w:rsidRPr="00E514C7">
        <w:rPr>
          <w:rFonts w:hint="eastAsia"/>
          <w:szCs w:val="21"/>
          <w:lang w:val="en-GB"/>
        </w:rPr>
        <w:t>指出</w:t>
      </w:r>
      <w:r w:rsidR="00E514C7" w:rsidRPr="00E514C7">
        <w:rPr>
          <w:szCs w:val="21"/>
          <w:lang w:val="en-GB"/>
        </w:rPr>
        <w:t>，</w:t>
      </w:r>
      <w:r>
        <w:rPr>
          <w:szCs w:val="21"/>
          <w:lang w:val="en-GB"/>
        </w:rPr>
        <w:t>2</w:t>
      </w:r>
      <w:r w:rsidR="00E514C7" w:rsidRPr="00E514C7">
        <w:rPr>
          <w:szCs w:val="21"/>
          <w:lang w:val="en-GB"/>
        </w:rPr>
        <w:t>0</w:t>
      </w:r>
      <w:r>
        <w:rPr>
          <w:szCs w:val="21"/>
          <w:lang w:val="en-GB"/>
        </w:rPr>
        <w:t>1</w:t>
      </w:r>
      <w:r w:rsidR="00E514C7" w:rsidRPr="00E514C7">
        <w:rPr>
          <w:szCs w:val="21"/>
          <w:lang w:val="en-GB"/>
        </w:rPr>
        <w:t>0</w:t>
      </w:r>
      <w:r w:rsidR="00E514C7" w:rsidRPr="00E514C7">
        <w:rPr>
          <w:szCs w:val="21"/>
          <w:lang w:val="en-GB"/>
        </w:rPr>
        <w:t>年，在竞选期间，她在街上行走，</w:t>
      </w:r>
      <w:r w:rsidR="00E514C7" w:rsidRPr="00E514C7">
        <w:rPr>
          <w:rFonts w:hint="eastAsia"/>
          <w:szCs w:val="21"/>
          <w:lang w:val="en-GB"/>
        </w:rPr>
        <w:t>遭到</w:t>
      </w:r>
      <w:r w:rsidR="00E514C7" w:rsidRPr="00E514C7">
        <w:rPr>
          <w:szCs w:val="21"/>
          <w:lang w:val="en-GB"/>
        </w:rPr>
        <w:t>一名骑自行车</w:t>
      </w:r>
      <w:r w:rsidR="00E514C7" w:rsidRPr="00E514C7">
        <w:rPr>
          <w:rFonts w:hint="eastAsia"/>
          <w:szCs w:val="21"/>
          <w:lang w:val="en-GB"/>
        </w:rPr>
        <w:t>的</w:t>
      </w:r>
      <w:r w:rsidR="00E514C7" w:rsidRPr="00E514C7">
        <w:rPr>
          <w:szCs w:val="21"/>
          <w:lang w:val="en-GB"/>
        </w:rPr>
        <w:t>年轻男子</w:t>
      </w:r>
      <w:r w:rsidR="00E514C7" w:rsidRPr="00E514C7">
        <w:rPr>
          <w:rFonts w:hint="eastAsia"/>
          <w:szCs w:val="21"/>
          <w:lang w:val="en-GB"/>
        </w:rPr>
        <w:t>的冲撞，这名男子大喊大</w:t>
      </w:r>
      <w:r w:rsidR="00E514C7" w:rsidRPr="00E514C7">
        <w:rPr>
          <w:szCs w:val="21"/>
          <w:lang w:val="en-GB"/>
        </w:rPr>
        <w:t>叫</w:t>
      </w:r>
      <w:r>
        <w:rPr>
          <w:rFonts w:hint="eastAsia"/>
          <w:szCs w:val="21"/>
          <w:lang w:val="en-GB"/>
        </w:rPr>
        <w:t>“</w:t>
      </w:r>
      <w:r w:rsidR="00E514C7" w:rsidRPr="00E514C7">
        <w:rPr>
          <w:rFonts w:hint="eastAsia"/>
          <w:szCs w:val="21"/>
        </w:rPr>
        <w:t>维尔德斯没错</w:t>
      </w:r>
      <w:r w:rsidR="00E514C7" w:rsidRPr="00E514C7">
        <w:rPr>
          <w:szCs w:val="21"/>
          <w:lang w:val="en-GB"/>
        </w:rPr>
        <w:t>，</w:t>
      </w:r>
      <w:r w:rsidR="00E514C7" w:rsidRPr="00E514C7">
        <w:rPr>
          <w:rFonts w:hint="eastAsia"/>
          <w:szCs w:val="21"/>
          <w:lang w:val="en-GB"/>
        </w:rPr>
        <w:t>滚开</w:t>
      </w:r>
      <w:r w:rsidR="005D2190">
        <w:rPr>
          <w:szCs w:val="21"/>
          <w:lang w:val="en-GB"/>
        </w:rPr>
        <w:t>！</w:t>
      </w:r>
      <w:r>
        <w:rPr>
          <w:rFonts w:hint="eastAsia"/>
          <w:szCs w:val="21"/>
          <w:lang w:val="en-GB"/>
        </w:rPr>
        <w:t>”</w:t>
      </w:r>
    </w:p>
    <w:p w:rsidR="00E514C7" w:rsidRPr="00E514C7" w:rsidRDefault="00EC62E1" w:rsidP="00E514C7">
      <w:pPr>
        <w:pStyle w:val="SingleTxtGC"/>
        <w:rPr>
          <w:szCs w:val="21"/>
          <w:lang w:val="en-GB"/>
        </w:rPr>
      </w:pPr>
      <w:r>
        <w:rPr>
          <w:szCs w:val="21"/>
          <w:lang w:val="en-GB"/>
        </w:rPr>
        <w:lastRenderedPageBreak/>
        <w:t>2</w:t>
      </w:r>
      <w:r w:rsidR="00E514C7" w:rsidRPr="00E514C7">
        <w:rPr>
          <w:szCs w:val="21"/>
          <w:lang w:val="en-GB"/>
        </w:rPr>
        <w:t>.</w:t>
      </w:r>
      <w:r>
        <w:rPr>
          <w:szCs w:val="21"/>
          <w:lang w:val="en-GB"/>
        </w:rPr>
        <w:t>1</w:t>
      </w:r>
      <w:r w:rsidR="00E514C7" w:rsidRPr="00E514C7">
        <w:rPr>
          <w:szCs w:val="21"/>
          <w:lang w:val="en-GB"/>
        </w:rPr>
        <w:t>0</w:t>
      </w:r>
      <w:r>
        <w:rPr>
          <w:rFonts w:hint="eastAsia"/>
          <w:szCs w:val="21"/>
          <w:lang w:val="en-GB"/>
        </w:rPr>
        <w:t xml:space="preserve">  </w:t>
      </w:r>
      <w:r>
        <w:rPr>
          <w:szCs w:val="21"/>
          <w:lang w:val="en-GB"/>
        </w:rPr>
        <w:t>N.A.</w:t>
      </w:r>
      <w:r w:rsidR="00E514C7" w:rsidRPr="00E514C7">
        <w:rPr>
          <w:rFonts w:hint="eastAsia"/>
          <w:szCs w:val="21"/>
          <w:lang w:val="en-GB"/>
        </w:rPr>
        <w:t>在荷兰出生。她母亲是荷兰国民，父亲是摩洛哥国民。</w:t>
      </w:r>
      <w:r w:rsidR="00E514C7" w:rsidRPr="00E514C7">
        <w:rPr>
          <w:szCs w:val="21"/>
          <w:lang w:val="en-GB"/>
        </w:rPr>
        <w:t>她</w:t>
      </w:r>
      <w:r w:rsidR="00E514C7" w:rsidRPr="00E514C7">
        <w:rPr>
          <w:rFonts w:hint="eastAsia"/>
          <w:szCs w:val="21"/>
          <w:lang w:val="en-GB"/>
        </w:rPr>
        <w:t>在</w:t>
      </w:r>
      <w:r w:rsidR="00E514C7" w:rsidRPr="00E514C7">
        <w:rPr>
          <w:szCs w:val="21"/>
          <w:lang w:val="en-GB"/>
        </w:rPr>
        <w:t>法</w:t>
      </w:r>
      <w:r w:rsidR="00E514C7" w:rsidRPr="00E514C7">
        <w:rPr>
          <w:rFonts w:hint="eastAsia"/>
          <w:szCs w:val="21"/>
          <w:lang w:val="en-GB"/>
        </w:rPr>
        <w:t>庭第一次开庭时，谈到了</w:t>
      </w:r>
      <w:r w:rsidR="00E514C7" w:rsidRPr="00E514C7">
        <w:rPr>
          <w:rFonts w:hint="eastAsia"/>
          <w:szCs w:val="21"/>
        </w:rPr>
        <w:t>维尔德斯</w:t>
      </w:r>
      <w:r w:rsidR="00E514C7" w:rsidRPr="00E514C7">
        <w:rPr>
          <w:rFonts w:hint="eastAsia"/>
          <w:szCs w:val="21"/>
          <w:lang w:val="en-GB"/>
        </w:rPr>
        <w:t>先生的言论对有关的</w:t>
      </w:r>
      <w:r w:rsidR="00E514C7" w:rsidRPr="00E514C7">
        <w:rPr>
          <w:szCs w:val="21"/>
          <w:lang w:val="en-GB"/>
        </w:rPr>
        <w:t>人的</w:t>
      </w:r>
      <w:r w:rsidR="00E514C7" w:rsidRPr="00E514C7">
        <w:rPr>
          <w:rFonts w:hint="eastAsia"/>
          <w:szCs w:val="21"/>
          <w:lang w:val="en-GB"/>
        </w:rPr>
        <w:t>影响</w:t>
      </w:r>
      <w:r w:rsidR="00E514C7" w:rsidRPr="00E514C7">
        <w:rPr>
          <w:szCs w:val="21"/>
          <w:lang w:val="en-GB"/>
        </w:rPr>
        <w:t>。</w:t>
      </w:r>
      <w:r w:rsidR="00E514C7" w:rsidRPr="00E514C7">
        <w:rPr>
          <w:rFonts w:hint="eastAsia"/>
          <w:szCs w:val="21"/>
          <w:lang w:val="en-GB"/>
        </w:rPr>
        <w:t>之后，她收到了大量攻击性和威胁性电子邮件、推文和其他仇视性信件。因此，她决定不在第二次开庭时作证。她只是给法庭写了一封信，她在信中说，给她发送仇视性信件的人使用了威尔德斯先生的言论，如</w:t>
      </w:r>
      <w:r>
        <w:rPr>
          <w:rFonts w:hint="eastAsia"/>
          <w:szCs w:val="21"/>
          <w:lang w:val="en-GB"/>
        </w:rPr>
        <w:t>“</w:t>
      </w:r>
      <w:r>
        <w:rPr>
          <w:rFonts w:hint="eastAsia"/>
          <w:szCs w:val="21"/>
          <w:lang w:val="en-GB"/>
        </w:rPr>
        <w:t>kopvoddentax</w:t>
      </w:r>
      <w:r>
        <w:rPr>
          <w:rFonts w:hint="eastAsia"/>
          <w:szCs w:val="21"/>
          <w:lang w:val="en-GB"/>
        </w:rPr>
        <w:t>”</w:t>
      </w:r>
      <w:r w:rsidR="005D2190">
        <w:rPr>
          <w:rFonts w:hint="eastAsia"/>
          <w:szCs w:val="21"/>
          <w:lang w:val="en-GB"/>
        </w:rPr>
        <w:t>(</w:t>
      </w:r>
      <w:r w:rsidR="00E514C7" w:rsidRPr="00E514C7">
        <w:rPr>
          <w:rFonts w:hint="eastAsia"/>
          <w:szCs w:val="21"/>
          <w:lang w:val="en-GB"/>
        </w:rPr>
        <w:t>戴头巾税</w:t>
      </w:r>
      <w:r w:rsidR="005D2190">
        <w:rPr>
          <w:rFonts w:hint="eastAsia"/>
          <w:szCs w:val="21"/>
          <w:lang w:val="en-GB"/>
        </w:rPr>
        <w:t>)</w:t>
      </w:r>
      <w:r w:rsidR="00E514C7" w:rsidRPr="00E514C7">
        <w:rPr>
          <w:rFonts w:hint="eastAsia"/>
          <w:szCs w:val="21"/>
          <w:lang w:val="en-GB"/>
        </w:rPr>
        <w:t>，他们还和威尔德斯先生一样，把古兰经和《我的奋斗》一书相比较。</w:t>
      </w:r>
    </w:p>
    <w:p w:rsidR="00E514C7" w:rsidRPr="00E514C7" w:rsidRDefault="00EC62E1" w:rsidP="00E514C7">
      <w:pPr>
        <w:pStyle w:val="SingleTxtGC"/>
        <w:rPr>
          <w:szCs w:val="21"/>
        </w:rPr>
      </w:pPr>
      <w:r>
        <w:rPr>
          <w:szCs w:val="21"/>
          <w:lang w:val="en-GB"/>
        </w:rPr>
        <w:t>2</w:t>
      </w:r>
      <w:r w:rsidR="00E514C7" w:rsidRPr="00E514C7">
        <w:rPr>
          <w:szCs w:val="21"/>
          <w:lang w:val="en-GB"/>
        </w:rPr>
        <w:t>.</w:t>
      </w:r>
      <w:r>
        <w:rPr>
          <w:szCs w:val="21"/>
          <w:lang w:val="en-GB"/>
        </w:rPr>
        <w:t>11</w:t>
      </w:r>
      <w:r>
        <w:rPr>
          <w:rFonts w:hint="eastAsia"/>
          <w:szCs w:val="21"/>
          <w:lang w:val="en-GB"/>
        </w:rPr>
        <w:t xml:space="preserve">  </w:t>
      </w:r>
      <w:r w:rsidR="00E514C7" w:rsidRPr="00E514C7">
        <w:rPr>
          <w:rFonts w:hint="eastAsia"/>
          <w:szCs w:val="21"/>
          <w:lang w:val="en-GB"/>
        </w:rPr>
        <w:t>提交人身为摩洛哥人和穆斯林，威尔德斯先生的仇恨言论与他们本人直接相关，他们的日常生活也因此受到影响。他们不是受到人身攻击，就是在互联网上遭到威胁和侮辱。缔约国未能因维尔德斯先生的仇恨言论而将他定罪，以及向公众发出的他的行为不属于犯罪行为的信号，也使他们受到影响。这个信号使得提交人对他们在荷兰的未来感到忧虑。</w:t>
      </w:r>
    </w:p>
    <w:p w:rsidR="00E514C7" w:rsidRPr="00E514C7" w:rsidRDefault="00EC62E1" w:rsidP="00EC62E1">
      <w:pPr>
        <w:pStyle w:val="H23GC"/>
      </w:pPr>
      <w:r>
        <w:rPr>
          <w:rFonts w:hint="eastAsia"/>
        </w:rPr>
        <w:tab/>
      </w:r>
      <w:r>
        <w:rPr>
          <w:rFonts w:hint="eastAsia"/>
        </w:rPr>
        <w:tab/>
      </w:r>
      <w:r w:rsidR="00E514C7" w:rsidRPr="00E514C7">
        <w:rPr>
          <w:rFonts w:hint="eastAsia"/>
        </w:rPr>
        <w:t>申诉</w:t>
      </w:r>
    </w:p>
    <w:p w:rsidR="00E514C7" w:rsidRPr="00E514C7" w:rsidRDefault="00EC62E1" w:rsidP="00E514C7">
      <w:pPr>
        <w:pStyle w:val="SingleTxtGC"/>
        <w:rPr>
          <w:szCs w:val="21"/>
        </w:rPr>
      </w:pPr>
      <w:r>
        <w:rPr>
          <w:szCs w:val="21"/>
          <w:lang w:val="en-GB"/>
        </w:rPr>
        <w:t>3</w:t>
      </w:r>
      <w:r w:rsidR="00E514C7" w:rsidRPr="00E514C7">
        <w:rPr>
          <w:szCs w:val="21"/>
          <w:lang w:val="en-GB"/>
        </w:rPr>
        <w:t>.</w:t>
      </w:r>
      <w:r>
        <w:rPr>
          <w:szCs w:val="21"/>
          <w:lang w:val="en-GB"/>
        </w:rPr>
        <w:t>1</w:t>
      </w:r>
      <w:r>
        <w:rPr>
          <w:rFonts w:hint="eastAsia"/>
          <w:szCs w:val="21"/>
          <w:lang w:val="en-GB"/>
        </w:rPr>
        <w:t xml:space="preserve">  </w:t>
      </w:r>
      <w:r w:rsidR="00E514C7" w:rsidRPr="00E514C7">
        <w:rPr>
          <w:rFonts w:hint="eastAsia"/>
          <w:szCs w:val="21"/>
        </w:rPr>
        <w:t>提交人称，宣布威尔德斯先生无罪违反了</w:t>
      </w:r>
      <w:r w:rsidR="00E514C7" w:rsidRPr="00E514C7">
        <w:rPr>
          <w:rFonts w:hint="eastAsia"/>
          <w:szCs w:val="21"/>
          <w:lang w:val="en-GB"/>
        </w:rPr>
        <w:t>《</w:t>
      </w:r>
      <w:r w:rsidR="00E514C7" w:rsidRPr="00E514C7">
        <w:rPr>
          <w:rFonts w:hint="eastAsia"/>
          <w:szCs w:val="21"/>
        </w:rPr>
        <w:t>公约</w:t>
      </w:r>
      <w:r w:rsidR="00E514C7" w:rsidRPr="00E514C7">
        <w:rPr>
          <w:rFonts w:hint="eastAsia"/>
          <w:szCs w:val="21"/>
          <w:lang w:val="en-GB"/>
        </w:rPr>
        <w:t>》</w:t>
      </w:r>
      <w:r w:rsidR="00E514C7" w:rsidRPr="00E514C7">
        <w:rPr>
          <w:rFonts w:hint="eastAsia"/>
          <w:szCs w:val="21"/>
        </w:rPr>
        <w:t>第</w:t>
      </w:r>
      <w:r w:rsidR="00523BCC">
        <w:rPr>
          <w:rFonts w:hint="eastAsia"/>
          <w:szCs w:val="21"/>
        </w:rPr>
        <w:t>二十</w:t>
      </w:r>
      <w:r w:rsidR="00E514C7" w:rsidRPr="00E514C7">
        <w:rPr>
          <w:rFonts w:hint="eastAsia"/>
          <w:szCs w:val="21"/>
        </w:rPr>
        <w:t>条</w:t>
      </w:r>
      <w:r w:rsidR="00523BCC">
        <w:rPr>
          <w:rFonts w:hint="eastAsia"/>
          <w:szCs w:val="21"/>
        </w:rPr>
        <w:t>第二款</w:t>
      </w:r>
      <w:r w:rsidR="00E514C7" w:rsidRPr="00E514C7">
        <w:rPr>
          <w:rFonts w:hint="eastAsia"/>
          <w:szCs w:val="21"/>
        </w:rPr>
        <w:t>，判决书中的论断</w:t>
      </w:r>
      <w:r w:rsidR="005D2190">
        <w:rPr>
          <w:rFonts w:hint="eastAsia"/>
          <w:szCs w:val="21"/>
        </w:rPr>
        <w:t>(</w:t>
      </w:r>
      <w:r w:rsidR="00E514C7" w:rsidRPr="00E514C7">
        <w:rPr>
          <w:rFonts w:hint="eastAsia"/>
          <w:szCs w:val="21"/>
        </w:rPr>
        <w:t>除其他外</w:t>
      </w:r>
      <w:r w:rsidR="005D2190">
        <w:rPr>
          <w:rFonts w:hint="eastAsia"/>
          <w:szCs w:val="21"/>
        </w:rPr>
        <w:t>)</w:t>
      </w:r>
      <w:r w:rsidR="00E514C7" w:rsidRPr="00E514C7">
        <w:rPr>
          <w:rFonts w:hint="eastAsia"/>
          <w:szCs w:val="21"/>
        </w:rPr>
        <w:t>包含以下错误：</w:t>
      </w:r>
      <w:r w:rsidR="005D2190">
        <w:rPr>
          <w:rFonts w:hint="eastAsia"/>
          <w:szCs w:val="21"/>
        </w:rPr>
        <w:t>(</w:t>
      </w:r>
      <w:r>
        <w:rPr>
          <w:szCs w:val="21"/>
        </w:rPr>
        <w:t>a</w:t>
      </w:r>
      <w:r w:rsidR="005D2190">
        <w:rPr>
          <w:rFonts w:hint="eastAsia"/>
          <w:szCs w:val="21"/>
        </w:rPr>
        <w:t>)</w:t>
      </w:r>
      <w:r w:rsidR="00523BCC">
        <w:rPr>
          <w:rFonts w:hint="eastAsia"/>
          <w:szCs w:val="21"/>
        </w:rPr>
        <w:t xml:space="preserve"> </w:t>
      </w:r>
      <w:r w:rsidR="00E514C7" w:rsidRPr="00E514C7">
        <w:rPr>
          <w:rFonts w:hint="eastAsia"/>
          <w:szCs w:val="21"/>
        </w:rPr>
        <w:t>判决书将不同的言论分割开来，而不是看其累积效应。判定是否犯有煽动罪要考虑其言论的前后顺序和之间的关联。煽动罪的本质是它具有煽动成分；</w:t>
      </w:r>
      <w:r w:rsidR="005D2190">
        <w:rPr>
          <w:rFonts w:hint="eastAsia"/>
          <w:szCs w:val="21"/>
        </w:rPr>
        <w:t>(</w:t>
      </w:r>
      <w:r>
        <w:rPr>
          <w:szCs w:val="21"/>
        </w:rPr>
        <w:t>b</w:t>
      </w:r>
      <w:r w:rsidR="005D2190">
        <w:rPr>
          <w:rFonts w:hint="eastAsia"/>
          <w:szCs w:val="21"/>
        </w:rPr>
        <w:t>)</w:t>
      </w:r>
      <w:r w:rsidR="00523BCC">
        <w:rPr>
          <w:rFonts w:hint="eastAsia"/>
          <w:szCs w:val="21"/>
        </w:rPr>
        <w:t xml:space="preserve"> </w:t>
      </w:r>
      <w:r w:rsidR="00E514C7" w:rsidRPr="00E514C7">
        <w:rPr>
          <w:rFonts w:hint="eastAsia"/>
          <w:szCs w:val="21"/>
        </w:rPr>
        <w:t>它突出了批评伊斯兰教和羞辱穆斯林这两者之间的人为区别。批评伊斯兰教和将穆斯林标注为不受欢迎的人士之间的关联性，在韦尔德的发言中随处可见，例如他说过厌恶在荷兰的伊斯兰，不能再接收穆斯林移民等，使这两者无法分割开来；</w:t>
      </w:r>
      <w:r w:rsidR="005D2190">
        <w:rPr>
          <w:rFonts w:hint="eastAsia"/>
          <w:szCs w:val="21"/>
        </w:rPr>
        <w:t>(</w:t>
      </w:r>
      <w:r>
        <w:rPr>
          <w:szCs w:val="21"/>
        </w:rPr>
        <w:t>c</w:t>
      </w:r>
      <w:r w:rsidR="005D2190">
        <w:rPr>
          <w:rFonts w:hint="eastAsia"/>
          <w:szCs w:val="21"/>
        </w:rPr>
        <w:t>)</w:t>
      </w:r>
      <w:r w:rsidR="00523BCC">
        <w:rPr>
          <w:rFonts w:hint="eastAsia"/>
          <w:szCs w:val="21"/>
        </w:rPr>
        <w:t xml:space="preserve"> </w:t>
      </w:r>
      <w:r w:rsidR="00E514C7" w:rsidRPr="00E514C7">
        <w:rPr>
          <w:rFonts w:hint="eastAsia"/>
          <w:szCs w:val="21"/>
        </w:rPr>
        <w:t>因为</w:t>
      </w:r>
      <w:r>
        <w:rPr>
          <w:rFonts w:hint="eastAsia"/>
          <w:szCs w:val="21"/>
        </w:rPr>
        <w:t>“</w:t>
      </w:r>
      <w:r w:rsidR="00E514C7" w:rsidRPr="00E514C7">
        <w:rPr>
          <w:rFonts w:hint="eastAsia"/>
          <w:szCs w:val="21"/>
        </w:rPr>
        <w:t>摩洛哥人和非西方移民</w:t>
      </w:r>
      <w:r>
        <w:rPr>
          <w:rFonts w:hint="eastAsia"/>
          <w:szCs w:val="21"/>
        </w:rPr>
        <w:t>”</w:t>
      </w:r>
      <w:r w:rsidR="00E514C7" w:rsidRPr="00E514C7">
        <w:rPr>
          <w:rFonts w:hint="eastAsia"/>
          <w:szCs w:val="21"/>
        </w:rPr>
        <w:t>不是种族，所以拒绝判处以种族为由的煽动罪名；</w:t>
      </w:r>
      <w:r w:rsidR="005D2190">
        <w:rPr>
          <w:rFonts w:hint="eastAsia"/>
          <w:szCs w:val="21"/>
        </w:rPr>
        <w:t>(</w:t>
      </w:r>
      <w:r>
        <w:rPr>
          <w:szCs w:val="21"/>
        </w:rPr>
        <w:t>d</w:t>
      </w:r>
      <w:r w:rsidR="005D2190">
        <w:rPr>
          <w:rFonts w:hint="eastAsia"/>
          <w:szCs w:val="21"/>
        </w:rPr>
        <w:t>)</w:t>
      </w:r>
      <w:r w:rsidR="00523BCC">
        <w:rPr>
          <w:rFonts w:hint="eastAsia"/>
          <w:szCs w:val="21"/>
        </w:rPr>
        <w:t xml:space="preserve"> </w:t>
      </w:r>
      <w:r w:rsidR="00E514C7" w:rsidRPr="00E514C7">
        <w:rPr>
          <w:rFonts w:hint="eastAsia"/>
          <w:szCs w:val="21"/>
        </w:rPr>
        <w:t>它为煽动歧视或仇恨罪制造了一种普遍和绝对的例外。至于电影</w:t>
      </w:r>
      <w:r>
        <w:rPr>
          <w:rFonts w:hint="eastAsia"/>
          <w:szCs w:val="21"/>
        </w:rPr>
        <w:t>“</w:t>
      </w:r>
      <w:r w:rsidR="00E514C7" w:rsidRPr="00E514C7">
        <w:rPr>
          <w:rFonts w:hint="eastAsia"/>
          <w:szCs w:val="21"/>
        </w:rPr>
        <w:t>菲娜娜</w:t>
      </w:r>
      <w:r>
        <w:rPr>
          <w:rFonts w:hint="eastAsia"/>
          <w:szCs w:val="21"/>
        </w:rPr>
        <w:t>”</w:t>
      </w:r>
      <w:r w:rsidR="00E514C7" w:rsidRPr="00E514C7">
        <w:rPr>
          <w:rFonts w:hint="eastAsia"/>
          <w:szCs w:val="21"/>
        </w:rPr>
        <w:t>，法院认为，</w:t>
      </w:r>
      <w:r>
        <w:rPr>
          <w:rFonts w:hint="eastAsia"/>
          <w:szCs w:val="21"/>
        </w:rPr>
        <w:t>“</w:t>
      </w:r>
      <w:r w:rsidR="00E514C7" w:rsidRPr="00E514C7">
        <w:rPr>
          <w:rFonts w:hint="eastAsia"/>
          <w:szCs w:val="21"/>
        </w:rPr>
        <w:t>考虑到公众辩论的背景，其中被告人认为，只是强调了针对作为宗教的伊斯兰教的必要的告诫，整体而言，电影并未煽动仇恨</w:t>
      </w:r>
      <w:r>
        <w:rPr>
          <w:rFonts w:hint="eastAsia"/>
          <w:szCs w:val="21"/>
        </w:rPr>
        <w:t>”</w:t>
      </w:r>
      <w:r w:rsidR="00E514C7" w:rsidRPr="00E514C7">
        <w:rPr>
          <w:rFonts w:hint="eastAsia"/>
          <w:szCs w:val="21"/>
        </w:rPr>
        <w:t>。尽管电影描写在未来的荷兰人们因同性恋被吊死、妇女因不服从真主的法规被杀死，法院仍做出这一裁决。</w:t>
      </w:r>
    </w:p>
    <w:p w:rsidR="00E514C7" w:rsidRPr="00E514C7" w:rsidRDefault="00EC62E1" w:rsidP="000571A7">
      <w:pPr>
        <w:pStyle w:val="SingleTxtGC"/>
        <w:rPr>
          <w:szCs w:val="21"/>
        </w:rPr>
      </w:pPr>
      <w:r>
        <w:rPr>
          <w:szCs w:val="21"/>
          <w:lang w:val="en-GB"/>
        </w:rPr>
        <w:t>3</w:t>
      </w:r>
      <w:r w:rsidR="00E514C7" w:rsidRPr="00E514C7">
        <w:rPr>
          <w:szCs w:val="21"/>
          <w:lang w:val="en-GB"/>
        </w:rPr>
        <w:t>.</w:t>
      </w:r>
      <w:r>
        <w:rPr>
          <w:szCs w:val="21"/>
          <w:lang w:val="en-GB"/>
        </w:rPr>
        <w:t>2</w:t>
      </w:r>
      <w:r>
        <w:rPr>
          <w:rFonts w:hint="eastAsia"/>
          <w:szCs w:val="21"/>
          <w:lang w:val="en-GB"/>
        </w:rPr>
        <w:t xml:space="preserve">  </w:t>
      </w:r>
      <w:r w:rsidR="00E514C7" w:rsidRPr="00E514C7">
        <w:rPr>
          <w:rFonts w:hint="eastAsia"/>
          <w:szCs w:val="21"/>
        </w:rPr>
        <w:t>尽管《刑法》</w:t>
      </w:r>
      <w:r w:rsidR="000571A7" w:rsidRPr="00E514C7">
        <w:rPr>
          <w:rFonts w:hint="eastAsia"/>
          <w:szCs w:val="21"/>
        </w:rPr>
        <w:t>第</w:t>
      </w:r>
      <w:r w:rsidR="000571A7">
        <w:rPr>
          <w:szCs w:val="21"/>
        </w:rPr>
        <w:t>137</w:t>
      </w:r>
      <w:r w:rsidR="000571A7" w:rsidRPr="00E514C7">
        <w:rPr>
          <w:rFonts w:hint="eastAsia"/>
          <w:szCs w:val="21"/>
        </w:rPr>
        <w:t>条</w:t>
      </w:r>
      <w:r w:rsidR="000571A7">
        <w:rPr>
          <w:rFonts w:hint="eastAsia"/>
          <w:szCs w:val="21"/>
        </w:rPr>
        <w:t>d</w:t>
      </w:r>
      <w:r w:rsidR="000571A7">
        <w:rPr>
          <w:rFonts w:hint="eastAsia"/>
          <w:szCs w:val="21"/>
        </w:rPr>
        <w:t>款</w:t>
      </w:r>
      <w:r w:rsidR="00E514C7" w:rsidRPr="00E514C7">
        <w:rPr>
          <w:rFonts w:hint="eastAsia"/>
          <w:szCs w:val="21"/>
        </w:rPr>
        <w:t>的目的是旨在实施《</w:t>
      </w:r>
      <w:r w:rsidR="00726D1E">
        <w:t>消除一切形式种族歧视国际公约</w:t>
      </w:r>
      <w:r w:rsidR="00E514C7" w:rsidRPr="00E514C7">
        <w:rPr>
          <w:rFonts w:hint="eastAsia"/>
          <w:szCs w:val="21"/>
        </w:rPr>
        <w:t>》第</w:t>
      </w:r>
      <w:r w:rsidR="00726D1E">
        <w:rPr>
          <w:rFonts w:hint="eastAsia"/>
          <w:szCs w:val="21"/>
        </w:rPr>
        <w:t>四</w:t>
      </w:r>
      <w:r w:rsidR="00E514C7" w:rsidRPr="00E514C7">
        <w:rPr>
          <w:rFonts w:hint="eastAsia"/>
          <w:szCs w:val="21"/>
        </w:rPr>
        <w:t>条</w:t>
      </w:r>
      <w:r w:rsidR="00726D1E">
        <w:rPr>
          <w:rFonts w:hint="eastAsia"/>
          <w:szCs w:val="21"/>
        </w:rPr>
        <w:t>和第二十条</w:t>
      </w:r>
      <w:r w:rsidR="00E514C7" w:rsidRPr="00E514C7">
        <w:rPr>
          <w:rFonts w:hint="eastAsia"/>
          <w:szCs w:val="21"/>
        </w:rPr>
        <w:t>，但无罪释放使其失去其意义和效力，无罪释放也不符合国家法院关于仇恨言论的其他判决。由于维尔德斯先生身为政治家并因其在公开辩论中的角色，法院优先考虑言论自由权，而未能保护提交人免受日益强烈的种族主义和对穆斯林的仇恨。虽然</w:t>
      </w:r>
      <w:r w:rsidR="000571A7">
        <w:rPr>
          <w:rFonts w:hint="eastAsia"/>
          <w:szCs w:val="21"/>
        </w:rPr>
        <w:t>《</w:t>
      </w:r>
      <w:r w:rsidR="00E514C7" w:rsidRPr="00E514C7">
        <w:rPr>
          <w:rFonts w:hint="eastAsia"/>
          <w:szCs w:val="21"/>
        </w:rPr>
        <w:t>公约</w:t>
      </w:r>
      <w:r w:rsidR="000571A7">
        <w:rPr>
          <w:rFonts w:hint="eastAsia"/>
          <w:szCs w:val="21"/>
        </w:rPr>
        <w:t>》</w:t>
      </w:r>
      <w:r w:rsidR="00E514C7" w:rsidRPr="00E514C7">
        <w:rPr>
          <w:rFonts w:hint="eastAsia"/>
          <w:szCs w:val="21"/>
        </w:rPr>
        <w:t>第</w:t>
      </w:r>
      <w:r w:rsidR="000571A7">
        <w:rPr>
          <w:rFonts w:hint="eastAsia"/>
          <w:szCs w:val="21"/>
        </w:rPr>
        <w:t>二十</w:t>
      </w:r>
      <w:r w:rsidR="00E514C7" w:rsidRPr="00E514C7">
        <w:rPr>
          <w:rFonts w:hint="eastAsia"/>
          <w:szCs w:val="21"/>
        </w:rPr>
        <w:t>条表述的是国家的义务而非个人的权利，但这并不意味着这些事项交由国家内部处置，从而免受</w:t>
      </w:r>
      <w:r>
        <w:rPr>
          <w:rFonts w:hint="eastAsia"/>
          <w:szCs w:val="21"/>
        </w:rPr>
        <w:t>“</w:t>
      </w:r>
      <w:r w:rsidR="00E514C7" w:rsidRPr="00E514C7">
        <w:rPr>
          <w:rFonts w:hint="eastAsia"/>
          <w:szCs w:val="21"/>
        </w:rPr>
        <w:t>任择议定书</w:t>
      </w:r>
      <w:r>
        <w:rPr>
          <w:rFonts w:hint="eastAsia"/>
          <w:szCs w:val="21"/>
        </w:rPr>
        <w:t>”</w:t>
      </w:r>
      <w:r w:rsidR="00E514C7" w:rsidRPr="00E514C7">
        <w:rPr>
          <w:rFonts w:hint="eastAsia"/>
          <w:szCs w:val="21"/>
        </w:rPr>
        <w:t>的审查。如果是这样，</w:t>
      </w:r>
      <w:r w:rsidR="000571A7">
        <w:rPr>
          <w:rFonts w:hint="eastAsia"/>
          <w:szCs w:val="21"/>
        </w:rPr>
        <w:t>《</w:t>
      </w:r>
      <w:r w:rsidR="00E514C7" w:rsidRPr="00E514C7">
        <w:rPr>
          <w:rFonts w:hint="eastAsia"/>
          <w:szCs w:val="21"/>
        </w:rPr>
        <w:t>公约</w:t>
      </w:r>
      <w:r w:rsidR="000571A7">
        <w:rPr>
          <w:rFonts w:hint="eastAsia"/>
          <w:szCs w:val="21"/>
        </w:rPr>
        <w:t>》</w:t>
      </w:r>
      <w:r w:rsidR="00E514C7" w:rsidRPr="00E514C7">
        <w:rPr>
          <w:rFonts w:hint="eastAsia"/>
          <w:szCs w:val="21"/>
        </w:rPr>
        <w:t>所确立的保护制度将会大大削弱。</w:t>
      </w:r>
    </w:p>
    <w:p w:rsidR="00E514C7" w:rsidRPr="00E514C7" w:rsidRDefault="00EC62E1" w:rsidP="00E514C7">
      <w:pPr>
        <w:pStyle w:val="SingleTxtGC"/>
        <w:rPr>
          <w:szCs w:val="21"/>
        </w:rPr>
      </w:pPr>
      <w:r>
        <w:rPr>
          <w:szCs w:val="21"/>
          <w:lang w:val="en-GB"/>
        </w:rPr>
        <w:t>3</w:t>
      </w:r>
      <w:r w:rsidR="00E514C7" w:rsidRPr="00E514C7">
        <w:rPr>
          <w:szCs w:val="21"/>
          <w:lang w:val="en-GB"/>
        </w:rPr>
        <w:t>.</w:t>
      </w:r>
      <w:r>
        <w:rPr>
          <w:szCs w:val="21"/>
          <w:lang w:val="en-GB"/>
        </w:rPr>
        <w:t>3</w:t>
      </w:r>
      <w:r>
        <w:rPr>
          <w:rFonts w:hint="eastAsia"/>
          <w:szCs w:val="21"/>
          <w:lang w:val="en-GB"/>
        </w:rPr>
        <w:t xml:space="preserve">  </w:t>
      </w:r>
      <w:r w:rsidR="00E514C7" w:rsidRPr="00E514C7">
        <w:rPr>
          <w:rFonts w:hint="eastAsia"/>
          <w:szCs w:val="21"/>
        </w:rPr>
        <w:t>鉴于《公约》第</w:t>
      </w:r>
      <w:r w:rsidR="00726D1E">
        <w:rPr>
          <w:rFonts w:hint="eastAsia"/>
          <w:szCs w:val="21"/>
        </w:rPr>
        <w:t>二十</w:t>
      </w:r>
      <w:r w:rsidR="00E514C7" w:rsidRPr="00E514C7">
        <w:rPr>
          <w:rFonts w:hint="eastAsia"/>
          <w:szCs w:val="21"/>
        </w:rPr>
        <w:t>条</w:t>
      </w:r>
      <w:r w:rsidR="00726D1E">
        <w:rPr>
          <w:rFonts w:hint="eastAsia"/>
          <w:szCs w:val="21"/>
        </w:rPr>
        <w:t>与</w:t>
      </w:r>
      <w:r w:rsidR="00E514C7" w:rsidRPr="00E514C7">
        <w:rPr>
          <w:rFonts w:hint="eastAsia"/>
          <w:szCs w:val="21"/>
        </w:rPr>
        <w:t>第</w:t>
      </w:r>
      <w:r w:rsidR="00726D1E">
        <w:rPr>
          <w:rFonts w:hint="eastAsia"/>
          <w:szCs w:val="21"/>
        </w:rPr>
        <w:t>二十六</w:t>
      </w:r>
      <w:r w:rsidR="00E514C7" w:rsidRPr="00E514C7">
        <w:rPr>
          <w:rFonts w:hint="eastAsia"/>
          <w:szCs w:val="21"/>
        </w:rPr>
        <w:t>条</w:t>
      </w:r>
      <w:r w:rsidR="00726D1E">
        <w:rPr>
          <w:rFonts w:hint="eastAsia"/>
          <w:szCs w:val="21"/>
        </w:rPr>
        <w:t>和第二十七条</w:t>
      </w:r>
      <w:r w:rsidR="00E514C7" w:rsidRPr="00E514C7">
        <w:rPr>
          <w:rFonts w:hint="eastAsia"/>
          <w:szCs w:val="21"/>
        </w:rPr>
        <w:t>之间的联系，提交人作为荷兰少数民族成员也是违反这些规定的受害者，因为强烈的不容异己、种族主义和反穆斯林暴力，使他们被剥夺了作为穆斯林社区成员平静生活的权利。判决并没有在他们的利益与维尔德斯先生的言论自由权之间做出权衡。</w:t>
      </w:r>
    </w:p>
    <w:p w:rsidR="00E514C7" w:rsidRPr="00E514C7" w:rsidRDefault="00EC62E1" w:rsidP="00E514C7">
      <w:pPr>
        <w:pStyle w:val="SingleTxtGC"/>
        <w:rPr>
          <w:szCs w:val="21"/>
          <w:lang w:val="en-GB"/>
        </w:rPr>
      </w:pPr>
      <w:r>
        <w:rPr>
          <w:szCs w:val="21"/>
          <w:lang w:val="en-GB"/>
        </w:rPr>
        <w:t>3</w:t>
      </w:r>
      <w:r w:rsidR="00E514C7" w:rsidRPr="00E514C7">
        <w:rPr>
          <w:szCs w:val="21"/>
          <w:lang w:val="en-GB"/>
        </w:rPr>
        <w:t>.</w:t>
      </w:r>
      <w:r>
        <w:rPr>
          <w:szCs w:val="21"/>
          <w:lang w:val="en-GB"/>
        </w:rPr>
        <w:t>4</w:t>
      </w:r>
      <w:r>
        <w:rPr>
          <w:rFonts w:hint="eastAsia"/>
          <w:szCs w:val="21"/>
          <w:lang w:val="en-GB"/>
        </w:rPr>
        <w:t xml:space="preserve">  </w:t>
      </w:r>
      <w:r w:rsidR="00E514C7" w:rsidRPr="00E514C7">
        <w:rPr>
          <w:rFonts w:hint="eastAsia"/>
          <w:szCs w:val="21"/>
        </w:rPr>
        <w:t>根据国内法律，犯罪受害者在法律地位中处于劣势。他们没有权利提供证人作证言，并参与讨论刑事案件的事实和是非曲直。只允许他们解释提出的损害赔偿要求。在目前的案件中，问题的核心是威尔德斯先生的言论是否构成法律意义上的仇恨言论，提交人被排除在法庭诉讼之外，没有得到《公约》第二条</w:t>
      </w:r>
      <w:r w:rsidR="00726D1E">
        <w:rPr>
          <w:rFonts w:hint="eastAsia"/>
          <w:szCs w:val="21"/>
        </w:rPr>
        <w:t>第三款</w:t>
      </w:r>
      <w:r w:rsidR="00E514C7" w:rsidRPr="00E514C7">
        <w:rPr>
          <w:rFonts w:hint="eastAsia"/>
          <w:szCs w:val="21"/>
        </w:rPr>
        <w:t>规定的有效补救，也没有就他们</w:t>
      </w:r>
      <w:r w:rsidR="00726D1E">
        <w:rPr>
          <w:rFonts w:hint="eastAsia"/>
          <w:szCs w:val="21"/>
        </w:rPr>
        <w:t>根据《公约》第十四条第一款</w:t>
      </w:r>
      <w:r w:rsidR="00E514C7" w:rsidRPr="00E514C7">
        <w:rPr>
          <w:rFonts w:hint="eastAsia"/>
          <w:szCs w:val="21"/>
        </w:rPr>
        <w:t>提出的刑事案件赔偿要求进行公正审理。检察官要求宣告威尔德斯先生无罪，继而不对其提起起诉，这更加侵犯了提交人的公平审理权。</w:t>
      </w:r>
    </w:p>
    <w:p w:rsidR="00E514C7" w:rsidRPr="00E514C7" w:rsidRDefault="00E514C7" w:rsidP="00EC62E1">
      <w:pPr>
        <w:pStyle w:val="H23GC"/>
        <w:rPr>
          <w:lang w:val="en-GB"/>
        </w:rPr>
      </w:pPr>
      <w:r w:rsidRPr="00E514C7">
        <w:rPr>
          <w:lang w:val="en-GB"/>
        </w:rPr>
        <w:lastRenderedPageBreak/>
        <w:tab/>
      </w:r>
      <w:r w:rsidRPr="00E514C7">
        <w:rPr>
          <w:lang w:val="en-GB"/>
        </w:rPr>
        <w:tab/>
      </w:r>
      <w:r w:rsidRPr="00E514C7">
        <w:rPr>
          <w:lang w:val="en-GB"/>
        </w:rPr>
        <w:t>缔约国关于可否受理的意见</w:t>
      </w:r>
    </w:p>
    <w:p w:rsidR="00E514C7" w:rsidRPr="00E514C7" w:rsidRDefault="00EC62E1" w:rsidP="00E514C7">
      <w:pPr>
        <w:pStyle w:val="SingleTxtGC"/>
        <w:rPr>
          <w:szCs w:val="21"/>
          <w:lang w:val="en-GB"/>
        </w:rPr>
      </w:pPr>
      <w:r>
        <w:rPr>
          <w:szCs w:val="21"/>
          <w:lang w:val="en-GB"/>
        </w:rPr>
        <w:t>4</w:t>
      </w:r>
      <w:r w:rsidR="00E514C7" w:rsidRPr="00E514C7">
        <w:rPr>
          <w:szCs w:val="21"/>
          <w:lang w:val="en-GB"/>
        </w:rPr>
        <w:t>.</w:t>
      </w:r>
      <w:r>
        <w:rPr>
          <w:szCs w:val="21"/>
          <w:lang w:val="en-GB"/>
        </w:rPr>
        <w:t>1</w:t>
      </w:r>
      <w:r>
        <w:rPr>
          <w:rFonts w:hint="eastAsia"/>
          <w:szCs w:val="21"/>
          <w:lang w:val="en-GB"/>
        </w:rPr>
        <w:t xml:space="preserve">  2</w:t>
      </w:r>
      <w:r w:rsidR="00E514C7" w:rsidRPr="00E514C7">
        <w:rPr>
          <w:rFonts w:hint="eastAsia"/>
          <w:szCs w:val="21"/>
          <w:lang w:val="en-GB"/>
        </w:rPr>
        <w:t>0</w:t>
      </w:r>
      <w:r>
        <w:rPr>
          <w:rFonts w:hint="eastAsia"/>
          <w:szCs w:val="21"/>
          <w:lang w:val="en-GB"/>
        </w:rPr>
        <w:t>12</w:t>
      </w:r>
      <w:r w:rsidR="00E514C7" w:rsidRPr="00E514C7">
        <w:rPr>
          <w:rFonts w:hint="eastAsia"/>
          <w:szCs w:val="21"/>
          <w:lang w:val="en-GB"/>
        </w:rPr>
        <w:t>年</w:t>
      </w:r>
      <w:r>
        <w:rPr>
          <w:rFonts w:hint="eastAsia"/>
          <w:szCs w:val="21"/>
          <w:lang w:val="en-GB"/>
        </w:rPr>
        <w:t>2</w:t>
      </w:r>
      <w:r w:rsidR="00E514C7" w:rsidRPr="00E514C7">
        <w:rPr>
          <w:rFonts w:hint="eastAsia"/>
          <w:szCs w:val="21"/>
          <w:lang w:val="en-GB"/>
        </w:rPr>
        <w:t>月</w:t>
      </w:r>
      <w:r>
        <w:rPr>
          <w:rFonts w:hint="eastAsia"/>
          <w:szCs w:val="21"/>
          <w:lang w:val="en-GB"/>
        </w:rPr>
        <w:t>24</w:t>
      </w:r>
      <w:r w:rsidR="00E514C7" w:rsidRPr="00E514C7">
        <w:rPr>
          <w:rFonts w:hint="eastAsia"/>
          <w:szCs w:val="21"/>
          <w:lang w:val="en-GB"/>
        </w:rPr>
        <w:t>日和</w:t>
      </w:r>
      <w:r>
        <w:rPr>
          <w:rFonts w:hint="eastAsia"/>
          <w:szCs w:val="21"/>
          <w:lang w:val="en-GB"/>
        </w:rPr>
        <w:t>2</w:t>
      </w:r>
      <w:r w:rsidR="00E514C7" w:rsidRPr="00E514C7">
        <w:rPr>
          <w:rFonts w:hint="eastAsia"/>
          <w:szCs w:val="21"/>
          <w:lang w:val="en-GB"/>
        </w:rPr>
        <w:t>0</w:t>
      </w:r>
      <w:r>
        <w:rPr>
          <w:rFonts w:hint="eastAsia"/>
          <w:szCs w:val="21"/>
          <w:lang w:val="en-GB"/>
        </w:rPr>
        <w:t>15</w:t>
      </w:r>
      <w:r w:rsidR="00E514C7" w:rsidRPr="00E514C7">
        <w:rPr>
          <w:rFonts w:hint="eastAsia"/>
          <w:szCs w:val="21"/>
          <w:lang w:val="en-GB"/>
        </w:rPr>
        <w:t>年</w:t>
      </w:r>
      <w:r>
        <w:rPr>
          <w:rFonts w:hint="eastAsia"/>
          <w:szCs w:val="21"/>
          <w:lang w:val="en-GB"/>
        </w:rPr>
        <w:t>5</w:t>
      </w:r>
      <w:r w:rsidR="00E514C7" w:rsidRPr="00E514C7">
        <w:rPr>
          <w:rFonts w:hint="eastAsia"/>
          <w:szCs w:val="21"/>
          <w:lang w:val="en-GB"/>
        </w:rPr>
        <w:t>月</w:t>
      </w:r>
      <w:r>
        <w:rPr>
          <w:rFonts w:hint="eastAsia"/>
          <w:szCs w:val="21"/>
          <w:lang w:val="en-GB"/>
        </w:rPr>
        <w:t>28</w:t>
      </w:r>
      <w:r w:rsidR="00E514C7" w:rsidRPr="00E514C7">
        <w:rPr>
          <w:rFonts w:hint="eastAsia"/>
          <w:szCs w:val="21"/>
          <w:lang w:val="en-GB"/>
        </w:rPr>
        <w:t>日，缔约国就可否受理问题提交了意见。缔约国以没有用尽国内补救办法，不具备受害者地位为由，并基于属物理由，对来文的可受理性提出异议。</w:t>
      </w:r>
    </w:p>
    <w:p w:rsidR="00E514C7" w:rsidRPr="00E514C7" w:rsidRDefault="00EC62E1" w:rsidP="00E514C7">
      <w:pPr>
        <w:pStyle w:val="SingleTxtGC"/>
        <w:rPr>
          <w:szCs w:val="21"/>
          <w:lang w:val="en-GB"/>
        </w:rPr>
      </w:pPr>
      <w:r>
        <w:rPr>
          <w:szCs w:val="21"/>
          <w:lang w:val="en-GB"/>
        </w:rPr>
        <w:t>4</w:t>
      </w:r>
      <w:r w:rsidR="00E514C7" w:rsidRPr="00E514C7">
        <w:rPr>
          <w:szCs w:val="21"/>
          <w:lang w:val="en-GB"/>
        </w:rPr>
        <w:t>.</w:t>
      </w:r>
      <w:r>
        <w:rPr>
          <w:szCs w:val="21"/>
          <w:lang w:val="en-GB"/>
        </w:rPr>
        <w:t>2</w:t>
      </w:r>
      <w:r>
        <w:rPr>
          <w:rFonts w:hint="eastAsia"/>
          <w:szCs w:val="21"/>
          <w:lang w:val="en-GB"/>
        </w:rPr>
        <w:t xml:space="preserve">  2</w:t>
      </w:r>
      <w:r w:rsidR="00E514C7" w:rsidRPr="00E514C7">
        <w:rPr>
          <w:rFonts w:hint="eastAsia"/>
          <w:szCs w:val="21"/>
          <w:lang w:val="en-GB"/>
        </w:rPr>
        <w:t>00</w:t>
      </w:r>
      <w:r>
        <w:rPr>
          <w:rFonts w:hint="eastAsia"/>
          <w:szCs w:val="21"/>
          <w:lang w:val="en-GB"/>
        </w:rPr>
        <w:t>8</w:t>
      </w:r>
      <w:r w:rsidR="00E514C7" w:rsidRPr="00E514C7">
        <w:rPr>
          <w:rFonts w:hint="eastAsia"/>
          <w:szCs w:val="21"/>
          <w:lang w:val="en-GB"/>
        </w:rPr>
        <w:t>年</w:t>
      </w:r>
      <w:r>
        <w:rPr>
          <w:rFonts w:hint="eastAsia"/>
          <w:szCs w:val="21"/>
          <w:lang w:val="en-GB"/>
        </w:rPr>
        <w:t>3</w:t>
      </w:r>
      <w:r w:rsidR="00E514C7" w:rsidRPr="00E514C7">
        <w:rPr>
          <w:rFonts w:hint="eastAsia"/>
          <w:szCs w:val="21"/>
          <w:lang w:val="en-GB"/>
        </w:rPr>
        <w:t>月</w:t>
      </w:r>
      <w:r>
        <w:rPr>
          <w:rFonts w:hint="eastAsia"/>
          <w:szCs w:val="21"/>
          <w:lang w:val="en-GB"/>
        </w:rPr>
        <w:t>31</w:t>
      </w:r>
      <w:r w:rsidR="00E514C7" w:rsidRPr="00E514C7">
        <w:rPr>
          <w:rFonts w:hint="eastAsia"/>
          <w:szCs w:val="21"/>
          <w:lang w:val="en-GB"/>
        </w:rPr>
        <w:t>日，</w:t>
      </w:r>
      <w:r>
        <w:rPr>
          <w:rFonts w:hint="eastAsia"/>
          <w:szCs w:val="21"/>
          <w:lang w:val="en-GB"/>
        </w:rPr>
        <w:t>Rabbae</w:t>
      </w:r>
      <w:r w:rsidR="00E514C7" w:rsidRPr="00E514C7">
        <w:rPr>
          <w:rFonts w:hint="eastAsia"/>
          <w:szCs w:val="21"/>
          <w:lang w:val="en-GB"/>
        </w:rPr>
        <w:t>先生对维尔德斯先生提出刑事控告，但检察官决定不提起诉讼。</w:t>
      </w:r>
      <w:r>
        <w:rPr>
          <w:rFonts w:hint="eastAsia"/>
          <w:szCs w:val="21"/>
          <w:lang w:val="en-GB"/>
        </w:rPr>
        <w:t>2</w:t>
      </w:r>
      <w:r w:rsidR="00E514C7" w:rsidRPr="00E514C7">
        <w:rPr>
          <w:rFonts w:hint="eastAsia"/>
          <w:szCs w:val="21"/>
          <w:lang w:val="en-GB"/>
        </w:rPr>
        <w:t>00</w:t>
      </w:r>
      <w:r>
        <w:rPr>
          <w:rFonts w:hint="eastAsia"/>
          <w:szCs w:val="21"/>
          <w:lang w:val="en-GB"/>
        </w:rPr>
        <w:t>9</w:t>
      </w:r>
      <w:r w:rsidR="00E514C7" w:rsidRPr="00E514C7">
        <w:rPr>
          <w:rFonts w:hint="eastAsia"/>
          <w:szCs w:val="21"/>
          <w:lang w:val="en-GB"/>
        </w:rPr>
        <w:t>年</w:t>
      </w:r>
      <w:r>
        <w:rPr>
          <w:rFonts w:hint="eastAsia"/>
          <w:szCs w:val="21"/>
          <w:lang w:val="en-GB"/>
        </w:rPr>
        <w:t>9</w:t>
      </w:r>
      <w:r w:rsidR="00E514C7" w:rsidRPr="00E514C7">
        <w:rPr>
          <w:rFonts w:hint="eastAsia"/>
          <w:szCs w:val="21"/>
          <w:lang w:val="en-GB"/>
        </w:rPr>
        <w:t>月</w:t>
      </w:r>
      <w:r>
        <w:rPr>
          <w:rFonts w:hint="eastAsia"/>
          <w:szCs w:val="21"/>
          <w:lang w:val="en-GB"/>
        </w:rPr>
        <w:t>21</w:t>
      </w:r>
      <w:r w:rsidR="00E514C7" w:rsidRPr="00E514C7">
        <w:rPr>
          <w:rFonts w:hint="eastAsia"/>
          <w:szCs w:val="21"/>
          <w:lang w:val="en-GB"/>
        </w:rPr>
        <w:t>日，在其他当事方</w:t>
      </w:r>
      <w:r w:rsidR="005D2190">
        <w:rPr>
          <w:rFonts w:hint="eastAsia"/>
          <w:szCs w:val="21"/>
          <w:lang w:val="en-GB"/>
        </w:rPr>
        <w:t>(</w:t>
      </w:r>
      <w:r w:rsidR="00E514C7" w:rsidRPr="00E514C7">
        <w:rPr>
          <w:rFonts w:hint="eastAsia"/>
          <w:szCs w:val="21"/>
          <w:lang w:val="en-GB"/>
        </w:rPr>
        <w:t>这些当事方都不是本来文的提交人</w:t>
      </w:r>
      <w:r w:rsidR="005D2190">
        <w:rPr>
          <w:rFonts w:hint="eastAsia"/>
          <w:szCs w:val="21"/>
          <w:lang w:val="en-GB"/>
        </w:rPr>
        <w:t>)</w:t>
      </w:r>
      <w:r w:rsidR="00E514C7" w:rsidRPr="00E514C7">
        <w:rPr>
          <w:rFonts w:hint="eastAsia"/>
          <w:szCs w:val="21"/>
          <w:lang w:val="en-GB"/>
        </w:rPr>
        <w:t>提出控告之后，阿姆斯特丹上诉法院命令检察官因歧视和煽动仇恨而对维尔德斯先生提起诉讼。</w:t>
      </w:r>
      <w:r>
        <w:rPr>
          <w:rFonts w:hint="eastAsia"/>
          <w:szCs w:val="21"/>
          <w:lang w:val="en-GB"/>
        </w:rPr>
        <w:t>2</w:t>
      </w:r>
      <w:r w:rsidR="00E514C7" w:rsidRPr="00E514C7">
        <w:rPr>
          <w:rFonts w:hint="eastAsia"/>
          <w:szCs w:val="21"/>
          <w:lang w:val="en-GB"/>
        </w:rPr>
        <w:t>0</w:t>
      </w:r>
      <w:r>
        <w:rPr>
          <w:rFonts w:hint="eastAsia"/>
          <w:szCs w:val="21"/>
          <w:lang w:val="en-GB"/>
        </w:rPr>
        <w:t>1</w:t>
      </w:r>
      <w:r w:rsidR="00E514C7" w:rsidRPr="00E514C7">
        <w:rPr>
          <w:rFonts w:hint="eastAsia"/>
          <w:szCs w:val="21"/>
          <w:lang w:val="en-GB"/>
        </w:rPr>
        <w:t>0</w:t>
      </w:r>
      <w:r w:rsidR="00E514C7" w:rsidRPr="00E514C7">
        <w:rPr>
          <w:rFonts w:hint="eastAsia"/>
          <w:szCs w:val="21"/>
          <w:lang w:val="en-GB"/>
        </w:rPr>
        <w:t>年</w:t>
      </w:r>
      <w:r>
        <w:rPr>
          <w:rFonts w:hint="eastAsia"/>
          <w:szCs w:val="21"/>
          <w:lang w:val="en-GB"/>
        </w:rPr>
        <w:t>2</w:t>
      </w:r>
      <w:r w:rsidR="00E514C7" w:rsidRPr="00E514C7">
        <w:rPr>
          <w:rFonts w:hint="eastAsia"/>
          <w:szCs w:val="21"/>
          <w:lang w:val="en-GB"/>
        </w:rPr>
        <w:t>月</w:t>
      </w:r>
      <w:r>
        <w:rPr>
          <w:rFonts w:hint="eastAsia"/>
          <w:szCs w:val="21"/>
          <w:lang w:val="en-GB"/>
        </w:rPr>
        <w:t>21</w:t>
      </w:r>
      <w:r w:rsidR="00E514C7" w:rsidRPr="00E514C7">
        <w:rPr>
          <w:rFonts w:hint="eastAsia"/>
          <w:szCs w:val="21"/>
          <w:lang w:val="en-GB"/>
        </w:rPr>
        <w:t>日，提交人作为受害方参与诉讼。</w:t>
      </w:r>
      <w:r>
        <w:rPr>
          <w:rFonts w:hint="eastAsia"/>
          <w:szCs w:val="21"/>
          <w:lang w:val="en-GB"/>
        </w:rPr>
        <w:t>2</w:t>
      </w:r>
      <w:r w:rsidR="00E514C7" w:rsidRPr="00E514C7">
        <w:rPr>
          <w:rFonts w:hint="eastAsia"/>
          <w:szCs w:val="21"/>
          <w:lang w:val="en-GB"/>
        </w:rPr>
        <w:t>0</w:t>
      </w:r>
      <w:r>
        <w:rPr>
          <w:rFonts w:hint="eastAsia"/>
          <w:szCs w:val="21"/>
          <w:lang w:val="en-GB"/>
        </w:rPr>
        <w:t>11</w:t>
      </w:r>
      <w:r w:rsidR="00E514C7" w:rsidRPr="00E514C7">
        <w:rPr>
          <w:rFonts w:hint="eastAsia"/>
          <w:szCs w:val="21"/>
          <w:lang w:val="en-GB"/>
        </w:rPr>
        <w:t>年</w:t>
      </w:r>
      <w:r>
        <w:rPr>
          <w:rFonts w:hint="eastAsia"/>
          <w:szCs w:val="21"/>
          <w:lang w:val="en-GB"/>
        </w:rPr>
        <w:t>6</w:t>
      </w:r>
      <w:r w:rsidR="00E514C7" w:rsidRPr="00E514C7">
        <w:rPr>
          <w:rFonts w:hint="eastAsia"/>
          <w:szCs w:val="21"/>
          <w:lang w:val="en-GB"/>
        </w:rPr>
        <w:t>月</w:t>
      </w:r>
      <w:r>
        <w:rPr>
          <w:rFonts w:hint="eastAsia"/>
          <w:szCs w:val="21"/>
          <w:lang w:val="en-GB"/>
        </w:rPr>
        <w:t>23</w:t>
      </w:r>
      <w:r w:rsidR="00E514C7" w:rsidRPr="00E514C7">
        <w:rPr>
          <w:rFonts w:hint="eastAsia"/>
          <w:szCs w:val="21"/>
          <w:lang w:val="en-GB"/>
        </w:rPr>
        <w:t>日，法庭判决维尔德斯先生无罪。提交人的说法被宣布不予受理。</w:t>
      </w:r>
    </w:p>
    <w:p w:rsidR="00E514C7" w:rsidRPr="00E514C7" w:rsidRDefault="00EC62E1" w:rsidP="00E514C7">
      <w:pPr>
        <w:pStyle w:val="SingleTxtGC"/>
        <w:rPr>
          <w:szCs w:val="21"/>
          <w:lang w:val="en-GB"/>
        </w:rPr>
      </w:pPr>
      <w:r>
        <w:rPr>
          <w:szCs w:val="21"/>
          <w:lang w:val="en-GB"/>
        </w:rPr>
        <w:t>4</w:t>
      </w:r>
      <w:r w:rsidR="00E514C7" w:rsidRPr="00E514C7">
        <w:rPr>
          <w:szCs w:val="21"/>
          <w:lang w:val="en-GB"/>
        </w:rPr>
        <w:t>.</w:t>
      </w:r>
      <w:r>
        <w:rPr>
          <w:szCs w:val="21"/>
          <w:lang w:val="en-GB"/>
        </w:rPr>
        <w:t>3</w:t>
      </w:r>
      <w:r>
        <w:rPr>
          <w:rFonts w:hint="eastAsia"/>
          <w:szCs w:val="21"/>
          <w:lang w:val="en-GB"/>
        </w:rPr>
        <w:t xml:space="preserve">  </w:t>
      </w:r>
      <w:r w:rsidR="00E514C7" w:rsidRPr="00E514C7">
        <w:rPr>
          <w:rFonts w:hint="eastAsia"/>
          <w:szCs w:val="21"/>
          <w:lang w:val="en-GB"/>
        </w:rPr>
        <w:t>《公约》第二十条不是以人权的形式提出，而是规定了国家应尽义务制定禁止所述行为的立法。其他条款使用了诸如</w:t>
      </w:r>
      <w:r>
        <w:rPr>
          <w:rFonts w:hint="eastAsia"/>
          <w:szCs w:val="21"/>
          <w:lang w:val="en-GB"/>
        </w:rPr>
        <w:t>“</w:t>
      </w:r>
      <w:r w:rsidR="00E514C7" w:rsidRPr="00E514C7">
        <w:rPr>
          <w:rFonts w:hint="eastAsia"/>
          <w:szCs w:val="21"/>
          <w:lang w:val="en-GB"/>
        </w:rPr>
        <w:t>所有人</w:t>
      </w:r>
      <w:r>
        <w:rPr>
          <w:rFonts w:hint="eastAsia"/>
          <w:szCs w:val="21"/>
          <w:lang w:val="en-GB"/>
        </w:rPr>
        <w:t>”</w:t>
      </w:r>
      <w:r w:rsidR="00E514C7" w:rsidRPr="00E514C7">
        <w:rPr>
          <w:rFonts w:hint="eastAsia"/>
          <w:szCs w:val="21"/>
          <w:lang w:val="en-GB"/>
        </w:rPr>
        <w:t>和</w:t>
      </w:r>
      <w:r>
        <w:rPr>
          <w:rFonts w:hint="eastAsia"/>
          <w:szCs w:val="21"/>
          <w:lang w:val="en-GB"/>
        </w:rPr>
        <w:t>“</w:t>
      </w:r>
      <w:r w:rsidR="00E514C7" w:rsidRPr="00E514C7">
        <w:rPr>
          <w:rFonts w:hint="eastAsia"/>
          <w:szCs w:val="21"/>
          <w:lang w:val="en-GB"/>
        </w:rPr>
        <w:t>每个人</w:t>
      </w:r>
      <w:r>
        <w:rPr>
          <w:rFonts w:hint="eastAsia"/>
          <w:szCs w:val="21"/>
          <w:lang w:val="en-GB"/>
        </w:rPr>
        <w:t>”</w:t>
      </w:r>
      <w:r w:rsidR="00E514C7" w:rsidRPr="00E514C7">
        <w:rPr>
          <w:rFonts w:hint="eastAsia"/>
          <w:szCs w:val="21"/>
          <w:lang w:val="en-GB"/>
        </w:rPr>
        <w:t>等术语。以可裁决的人权来解读第</w:t>
      </w:r>
      <w:r w:rsidR="00726D1E">
        <w:rPr>
          <w:rFonts w:hint="eastAsia"/>
          <w:szCs w:val="21"/>
          <w:lang w:val="en-GB"/>
        </w:rPr>
        <w:t>二十</w:t>
      </w:r>
      <w:r w:rsidR="00E514C7" w:rsidRPr="00E514C7">
        <w:rPr>
          <w:rFonts w:hint="eastAsia"/>
          <w:szCs w:val="21"/>
          <w:lang w:val="en-GB"/>
        </w:rPr>
        <w:t>条款实质上会导致将人权的具体立法化，而这种权利不被承认。第</w:t>
      </w:r>
      <w:r w:rsidR="00726D1E">
        <w:rPr>
          <w:rFonts w:hint="eastAsia"/>
          <w:szCs w:val="21"/>
          <w:lang w:val="en-GB"/>
        </w:rPr>
        <w:t>二</w:t>
      </w:r>
      <w:r w:rsidR="00E514C7" w:rsidRPr="00E514C7">
        <w:rPr>
          <w:rFonts w:hint="eastAsia"/>
          <w:szCs w:val="21"/>
          <w:lang w:val="en-GB"/>
        </w:rPr>
        <w:t>款已经通过立法在荷兰得到适当施行，禁止构成煽动歧视、敌对或暴力的任何形式的民族主义、种族主义或宗教仇恨。</w:t>
      </w:r>
      <w:r w:rsidR="00726D1E">
        <w:rPr>
          <w:rFonts w:hint="eastAsia"/>
          <w:szCs w:val="21"/>
          <w:lang w:val="en-GB"/>
        </w:rPr>
        <w:t>委员会的判例法也表明，不能根据《任择议定书》援用第二十条第二款。</w:t>
      </w:r>
      <w:r w:rsidR="00E514C7" w:rsidRPr="00E514C7">
        <w:rPr>
          <w:szCs w:val="21"/>
          <w:vertAlign w:val="superscript"/>
        </w:rPr>
        <w:footnoteReference w:id="9"/>
      </w:r>
    </w:p>
    <w:p w:rsidR="00E514C7" w:rsidRPr="00E514C7" w:rsidRDefault="00EC62E1" w:rsidP="00E514C7">
      <w:pPr>
        <w:pStyle w:val="SingleTxtGC"/>
        <w:rPr>
          <w:szCs w:val="21"/>
          <w:lang w:val="en-GB"/>
        </w:rPr>
      </w:pPr>
      <w:r>
        <w:rPr>
          <w:szCs w:val="21"/>
          <w:lang w:val="en-GB"/>
        </w:rPr>
        <w:t>4</w:t>
      </w:r>
      <w:r w:rsidR="00E514C7" w:rsidRPr="00E514C7">
        <w:rPr>
          <w:szCs w:val="21"/>
          <w:lang w:val="en-GB"/>
        </w:rPr>
        <w:t>.</w:t>
      </w:r>
      <w:r>
        <w:rPr>
          <w:szCs w:val="21"/>
          <w:lang w:val="en-GB"/>
        </w:rPr>
        <w:t>4</w:t>
      </w:r>
      <w:r>
        <w:rPr>
          <w:rFonts w:hint="eastAsia"/>
          <w:szCs w:val="21"/>
          <w:lang w:val="en-GB"/>
        </w:rPr>
        <w:t xml:space="preserve">  </w:t>
      </w:r>
      <w:r w:rsidR="00E514C7" w:rsidRPr="00E514C7">
        <w:rPr>
          <w:rFonts w:hint="eastAsia"/>
          <w:szCs w:val="21"/>
          <w:lang w:val="en-GB"/>
        </w:rPr>
        <w:t>作为受害方参加针对维尔德斯先生的刑事诉讼，相当于在刑事案件的背景下提起民事诉讼。由于维尔德斯先生没有被定罪，所以无法审理民事权利请求。但是，提交人本可依据《民法》</w:t>
      </w:r>
      <w:r>
        <w:rPr>
          <w:bCs/>
          <w:szCs w:val="21"/>
        </w:rPr>
        <w:t>6:162</w:t>
      </w:r>
      <w:r w:rsidR="00E514C7" w:rsidRPr="00E514C7">
        <w:rPr>
          <w:rFonts w:hint="eastAsia"/>
          <w:szCs w:val="21"/>
          <w:lang w:val="en-GB"/>
        </w:rPr>
        <w:t>条，在民事法庭上对威尔德斯先生提起单独的民事诉讼。</w:t>
      </w:r>
      <w:r w:rsidR="00E514C7" w:rsidRPr="00E514C7">
        <w:rPr>
          <w:szCs w:val="21"/>
          <w:vertAlign w:val="superscript"/>
        </w:rPr>
        <w:footnoteReference w:id="10"/>
      </w:r>
      <w:r w:rsidR="000571A7">
        <w:rPr>
          <w:rFonts w:hint="eastAsia"/>
          <w:szCs w:val="21"/>
          <w:lang w:val="en-GB"/>
        </w:rPr>
        <w:t xml:space="preserve"> </w:t>
      </w:r>
      <w:r w:rsidR="00E514C7" w:rsidRPr="00E514C7">
        <w:rPr>
          <w:rFonts w:hint="eastAsia"/>
          <w:szCs w:val="21"/>
          <w:lang w:val="en-GB"/>
        </w:rPr>
        <w:t>如果犯有非法行为，行为人有过错，存在金钱或非金钱损失，并且行为与所造成的损害之间存在因果关系，则行为人应根据该条规定承担责任。如果侵犯了某项权利，该行为或不作为违反了法定义务，或者该行为或不作为违反了与适当的社会行为有关的不成文法规则，就属非法行为或不作为。法定责任包括直接生效的条约规定，《公约》的大部分规定都包含在内。即使在刑事诉讼中作出无罪宣判，以非法行为为由提起的民事诉讼也可以生效，并且有些裁定言论是否合法的诉讼最后胜诉。即使提交人没有要求赔偿，民事诉讼如果胜诉，提交人可以请求法庭禁止维尔德斯先生今后发表相关言论，或请法庭作出宣告式判决，宣布维尔德斯先生的言论具有非法性质。</w:t>
      </w:r>
    </w:p>
    <w:p w:rsidR="00E514C7" w:rsidRPr="00E514C7" w:rsidRDefault="00EC62E1" w:rsidP="0016694B">
      <w:pPr>
        <w:pStyle w:val="SingleTxtGC"/>
        <w:rPr>
          <w:szCs w:val="21"/>
          <w:lang w:val="en-GB"/>
        </w:rPr>
      </w:pPr>
      <w:r>
        <w:rPr>
          <w:szCs w:val="21"/>
          <w:lang w:val="en-GB"/>
        </w:rPr>
        <w:t>4</w:t>
      </w:r>
      <w:r w:rsidR="00E514C7" w:rsidRPr="00E514C7">
        <w:rPr>
          <w:szCs w:val="21"/>
          <w:lang w:val="en-GB"/>
        </w:rPr>
        <w:t>.</w:t>
      </w:r>
      <w:r>
        <w:rPr>
          <w:szCs w:val="21"/>
          <w:lang w:val="en-GB"/>
        </w:rPr>
        <w:t>5</w:t>
      </w:r>
      <w:r>
        <w:rPr>
          <w:rFonts w:hint="eastAsia"/>
          <w:szCs w:val="21"/>
          <w:lang w:val="en-GB"/>
        </w:rPr>
        <w:t xml:space="preserve">  Rabbae</w:t>
      </w:r>
      <w:r w:rsidR="00E514C7" w:rsidRPr="00E514C7">
        <w:rPr>
          <w:rFonts w:hint="eastAsia"/>
          <w:szCs w:val="21"/>
          <w:lang w:val="en-GB"/>
        </w:rPr>
        <w:t>先生并未表明他因《公约》遭到违反而受害。他只是说，他负责一个摩洛哥的国家咨询机构，他在维尔德斯先生的审判中做了发言。第二和第三提交人称，他们作为穆斯林社区成员，平静的生活被剥夺，没有得到缔约国的保护。然而，他们未能证实所涉言论给他们造成了什么具体后果，或者证实这种后果是迫在眉睫的，会对他们造成人身影响，需要国家的保护。如果他们需要这种保护，他们本可以提出刑事控告。消除种族歧视委员会对受害者的理解并不等同于人权事务委员会关于受害者的定义，特别是因为提交消除种族歧视委员会的来</w:t>
      </w:r>
      <w:r w:rsidR="00E514C7" w:rsidRPr="00E514C7">
        <w:rPr>
          <w:rFonts w:hint="eastAsia"/>
          <w:szCs w:val="21"/>
          <w:lang w:val="en-GB"/>
        </w:rPr>
        <w:lastRenderedPageBreak/>
        <w:t>文</w:t>
      </w:r>
      <w:r w:rsidR="005D2190">
        <w:rPr>
          <w:rFonts w:hint="eastAsia"/>
          <w:szCs w:val="21"/>
          <w:lang w:val="en-GB"/>
        </w:rPr>
        <w:t>(</w:t>
      </w:r>
      <w:r w:rsidR="00E514C7" w:rsidRPr="00C77BF3">
        <w:rPr>
          <w:rFonts w:ascii="Time New Roman" w:eastAsia="楷体" w:hAnsi="Time New Roman" w:hint="eastAsia"/>
          <w:szCs w:val="21"/>
          <w:lang w:val="en-GB"/>
        </w:rPr>
        <w:t>奥斯陆犹太人群体和其他人诉挪威</w:t>
      </w:r>
      <w:r w:rsidR="0016694B">
        <w:rPr>
          <w:rStyle w:val="a7"/>
          <w:szCs w:val="21"/>
          <w:lang w:val="en-GB"/>
        </w:rPr>
        <w:footnoteReference w:id="11"/>
      </w:r>
      <w:r w:rsidR="005D2190">
        <w:rPr>
          <w:rFonts w:hint="eastAsia"/>
          <w:szCs w:val="21"/>
          <w:lang w:val="en-GB"/>
        </w:rPr>
        <w:t>)</w:t>
      </w:r>
      <w:r w:rsidR="00E514C7" w:rsidRPr="00E514C7">
        <w:rPr>
          <w:rFonts w:hint="eastAsia"/>
          <w:szCs w:val="21"/>
          <w:lang w:val="en-GB"/>
        </w:rPr>
        <w:t>的提交人不得参加刑事诉讼，在该缔约国没有补救。即便提交人作为受害方参加了刑事诉讼，也不能等于国内法院承认受害人的地位。在该诉讼中，只有在被告被定罪之后，才能评估其受害人地位。因此，根据国内法律，初审法院无法评估其受害人地位。</w:t>
      </w:r>
    </w:p>
    <w:p w:rsidR="00E514C7" w:rsidRPr="00E514C7" w:rsidRDefault="00EC62E1" w:rsidP="00E514C7">
      <w:pPr>
        <w:pStyle w:val="SingleTxtGC"/>
        <w:rPr>
          <w:szCs w:val="21"/>
          <w:lang w:val="en-GB"/>
        </w:rPr>
      </w:pPr>
      <w:r>
        <w:rPr>
          <w:szCs w:val="21"/>
          <w:lang w:val="en-GB"/>
        </w:rPr>
        <w:t>4</w:t>
      </w:r>
      <w:r w:rsidR="00E514C7" w:rsidRPr="00E514C7">
        <w:rPr>
          <w:szCs w:val="21"/>
          <w:lang w:val="en-GB"/>
        </w:rPr>
        <w:t>.</w:t>
      </w:r>
      <w:r>
        <w:rPr>
          <w:szCs w:val="21"/>
          <w:lang w:val="en-GB"/>
        </w:rPr>
        <w:t>6</w:t>
      </w:r>
      <w:r>
        <w:rPr>
          <w:rFonts w:hint="eastAsia"/>
          <w:szCs w:val="21"/>
          <w:lang w:val="en-GB"/>
        </w:rPr>
        <w:t xml:space="preserve">  </w:t>
      </w:r>
      <w:r w:rsidR="00E514C7" w:rsidRPr="00E514C7">
        <w:rPr>
          <w:rFonts w:hint="eastAsia"/>
          <w:szCs w:val="21"/>
          <w:lang w:val="en-GB"/>
        </w:rPr>
        <w:t>来文本质上是一种民众诉讼，</w:t>
      </w:r>
      <w:r w:rsidR="00E514C7" w:rsidRPr="00E514C7">
        <w:rPr>
          <w:szCs w:val="21"/>
          <w:vertAlign w:val="superscript"/>
        </w:rPr>
        <w:footnoteReference w:id="12"/>
      </w:r>
      <w:r>
        <w:rPr>
          <w:rFonts w:hint="eastAsia"/>
          <w:szCs w:val="21"/>
          <w:lang w:val="en-GB"/>
        </w:rPr>
        <w:t xml:space="preserve"> </w:t>
      </w:r>
      <w:r w:rsidR="00E514C7" w:rsidRPr="00E514C7">
        <w:rPr>
          <w:rFonts w:hint="eastAsia"/>
          <w:szCs w:val="21"/>
          <w:lang w:val="en-GB"/>
        </w:rPr>
        <w:t>因为提交人没能证明言论将对他们本人造成影响。提交人只请求每人获得</w:t>
      </w:r>
      <w:r>
        <w:rPr>
          <w:szCs w:val="21"/>
          <w:lang w:val="en-GB"/>
        </w:rPr>
        <w:t>1</w:t>
      </w:r>
      <w:r w:rsidR="00E514C7" w:rsidRPr="00E514C7">
        <w:rPr>
          <w:rFonts w:hint="eastAsia"/>
          <w:szCs w:val="21"/>
          <w:lang w:val="en-GB"/>
        </w:rPr>
        <w:t>欧元的赔偿，并请求法庭作出一项一般性的宣告使声明，而不是请求因具体的违规行为获得赔偿。根据其判例，委员会不对这种假设的或潜在的违反《公约》行为做出评估。</w:t>
      </w:r>
    </w:p>
    <w:p w:rsidR="00E514C7" w:rsidRPr="00E514C7" w:rsidRDefault="00EC62E1" w:rsidP="00E514C7">
      <w:pPr>
        <w:pStyle w:val="SingleTxtGC"/>
        <w:rPr>
          <w:szCs w:val="21"/>
          <w:lang w:val="en-GB"/>
        </w:rPr>
      </w:pPr>
      <w:r>
        <w:rPr>
          <w:szCs w:val="21"/>
          <w:lang w:val="en-GB"/>
        </w:rPr>
        <w:t>4</w:t>
      </w:r>
      <w:r w:rsidR="00E514C7" w:rsidRPr="00E514C7">
        <w:rPr>
          <w:szCs w:val="21"/>
          <w:lang w:val="en-GB"/>
        </w:rPr>
        <w:t>.</w:t>
      </w:r>
      <w:r>
        <w:rPr>
          <w:szCs w:val="21"/>
          <w:lang w:val="en-GB"/>
        </w:rPr>
        <w:t>7</w:t>
      </w:r>
      <w:r>
        <w:rPr>
          <w:rFonts w:hint="eastAsia"/>
          <w:szCs w:val="21"/>
          <w:lang w:val="en-GB"/>
        </w:rPr>
        <w:t xml:space="preserve">  </w:t>
      </w:r>
      <w:r w:rsidR="00E514C7" w:rsidRPr="00E514C7">
        <w:rPr>
          <w:rFonts w:hint="eastAsia"/>
          <w:szCs w:val="21"/>
          <w:lang w:val="en-GB"/>
        </w:rPr>
        <w:t>来文不属于《公约》范围，因为根据委员会的判例，个人不得强迫国家对第三者提起刑事诉讼或者施加处罚。</w:t>
      </w:r>
    </w:p>
    <w:p w:rsidR="00E514C7" w:rsidRPr="00E514C7" w:rsidRDefault="00EC62E1" w:rsidP="00E514C7">
      <w:pPr>
        <w:pStyle w:val="SingleTxtGC"/>
        <w:rPr>
          <w:szCs w:val="21"/>
          <w:lang w:val="en-GB"/>
        </w:rPr>
      </w:pPr>
      <w:r>
        <w:rPr>
          <w:szCs w:val="21"/>
          <w:lang w:val="en-GB"/>
        </w:rPr>
        <w:t>4</w:t>
      </w:r>
      <w:r w:rsidR="00E514C7" w:rsidRPr="00E514C7">
        <w:rPr>
          <w:szCs w:val="21"/>
          <w:lang w:val="en-GB"/>
        </w:rPr>
        <w:t>.</w:t>
      </w:r>
      <w:r>
        <w:rPr>
          <w:szCs w:val="21"/>
          <w:lang w:val="en-GB"/>
        </w:rPr>
        <w:t>8</w:t>
      </w:r>
      <w:r>
        <w:rPr>
          <w:rFonts w:hint="eastAsia"/>
          <w:szCs w:val="21"/>
          <w:lang w:val="en-GB"/>
        </w:rPr>
        <w:t xml:space="preserve">  </w:t>
      </w:r>
      <w:r w:rsidR="00E514C7" w:rsidRPr="00E514C7">
        <w:rPr>
          <w:rFonts w:hint="eastAsia"/>
          <w:szCs w:val="21"/>
          <w:lang w:val="en-GB"/>
        </w:rPr>
        <w:t>缔约国指出，</w:t>
      </w:r>
      <w:r>
        <w:rPr>
          <w:rFonts w:hint="eastAsia"/>
          <w:szCs w:val="21"/>
          <w:lang w:val="en-GB"/>
        </w:rPr>
        <w:t>2</w:t>
      </w:r>
      <w:r w:rsidR="00E514C7" w:rsidRPr="00E514C7">
        <w:rPr>
          <w:rFonts w:hint="eastAsia"/>
          <w:szCs w:val="21"/>
          <w:lang w:val="en-GB"/>
        </w:rPr>
        <w:t>0</w:t>
      </w:r>
      <w:r>
        <w:rPr>
          <w:rFonts w:hint="eastAsia"/>
          <w:szCs w:val="21"/>
          <w:lang w:val="en-GB"/>
        </w:rPr>
        <w:t>14</w:t>
      </w:r>
      <w:r w:rsidR="00E514C7" w:rsidRPr="00E514C7">
        <w:rPr>
          <w:rFonts w:hint="eastAsia"/>
          <w:szCs w:val="21"/>
          <w:lang w:val="en-GB"/>
        </w:rPr>
        <w:t>年</w:t>
      </w:r>
      <w:r>
        <w:rPr>
          <w:rFonts w:hint="eastAsia"/>
          <w:szCs w:val="21"/>
          <w:lang w:val="en-GB"/>
        </w:rPr>
        <w:t>12</w:t>
      </w:r>
      <w:r w:rsidR="00E514C7" w:rsidRPr="00E514C7">
        <w:rPr>
          <w:rFonts w:hint="eastAsia"/>
          <w:szCs w:val="21"/>
          <w:lang w:val="en-GB"/>
        </w:rPr>
        <w:t>月，针对维尔德斯先生侮辱部分群体人员、因种族原因煽动对他人的歧视和仇恨、以及</w:t>
      </w:r>
      <w:r>
        <w:rPr>
          <w:rFonts w:hint="eastAsia"/>
          <w:szCs w:val="21"/>
          <w:lang w:val="en-GB"/>
        </w:rPr>
        <w:t>2</w:t>
      </w:r>
      <w:r w:rsidR="00E514C7" w:rsidRPr="00E514C7">
        <w:rPr>
          <w:rFonts w:hint="eastAsia"/>
          <w:szCs w:val="21"/>
          <w:lang w:val="en-GB"/>
        </w:rPr>
        <w:t>0</w:t>
      </w:r>
      <w:r>
        <w:rPr>
          <w:rFonts w:hint="eastAsia"/>
          <w:szCs w:val="21"/>
          <w:lang w:val="en-GB"/>
        </w:rPr>
        <w:t>14</w:t>
      </w:r>
      <w:r w:rsidR="00E514C7" w:rsidRPr="00E514C7">
        <w:rPr>
          <w:rFonts w:hint="eastAsia"/>
          <w:szCs w:val="21"/>
          <w:lang w:val="en-GB"/>
        </w:rPr>
        <w:t>年</w:t>
      </w:r>
      <w:r>
        <w:rPr>
          <w:rFonts w:hint="eastAsia"/>
          <w:szCs w:val="21"/>
          <w:lang w:val="en-GB"/>
        </w:rPr>
        <w:t>3</w:t>
      </w:r>
      <w:r w:rsidR="00E514C7" w:rsidRPr="00E514C7">
        <w:rPr>
          <w:rFonts w:hint="eastAsia"/>
          <w:szCs w:val="21"/>
          <w:lang w:val="en-GB"/>
        </w:rPr>
        <w:t>月</w:t>
      </w:r>
      <w:r>
        <w:rPr>
          <w:rFonts w:hint="eastAsia"/>
          <w:szCs w:val="21"/>
          <w:lang w:val="en-GB"/>
        </w:rPr>
        <w:t>12</w:t>
      </w:r>
      <w:r w:rsidR="00E514C7" w:rsidRPr="00E514C7">
        <w:rPr>
          <w:rFonts w:hint="eastAsia"/>
          <w:szCs w:val="21"/>
          <w:lang w:val="en-GB"/>
        </w:rPr>
        <w:t>日和</w:t>
      </w:r>
      <w:r>
        <w:rPr>
          <w:rFonts w:hint="eastAsia"/>
          <w:szCs w:val="21"/>
          <w:lang w:val="en-GB"/>
        </w:rPr>
        <w:t>19</w:t>
      </w:r>
      <w:r w:rsidR="00E514C7" w:rsidRPr="00E514C7">
        <w:rPr>
          <w:rFonts w:hint="eastAsia"/>
          <w:szCs w:val="21"/>
          <w:lang w:val="en-GB"/>
        </w:rPr>
        <w:t>日在海牙就摩洛哥血统人士的发表的言论等，公诉机关启动了对他的刑事诉讼。</w:t>
      </w:r>
    </w:p>
    <w:p w:rsidR="00E514C7" w:rsidRPr="00E514C7" w:rsidRDefault="00E514C7" w:rsidP="00EC62E1">
      <w:pPr>
        <w:pStyle w:val="H23GC"/>
        <w:rPr>
          <w:lang w:val="en-GB"/>
        </w:rPr>
      </w:pPr>
      <w:r w:rsidRPr="00E514C7">
        <w:rPr>
          <w:lang w:val="en-GB"/>
        </w:rPr>
        <w:tab/>
      </w:r>
      <w:r w:rsidRPr="00E514C7">
        <w:rPr>
          <w:lang w:val="en-GB"/>
        </w:rPr>
        <w:tab/>
      </w:r>
      <w:r w:rsidRPr="00E514C7">
        <w:rPr>
          <w:lang w:val="en-GB"/>
        </w:rPr>
        <w:t>提交人对缔约国关于可否受理的意见的评论</w:t>
      </w:r>
    </w:p>
    <w:p w:rsidR="00E514C7" w:rsidRPr="00E514C7" w:rsidRDefault="00EC62E1" w:rsidP="00C77BF3">
      <w:pPr>
        <w:pStyle w:val="SingleTxtGC"/>
        <w:rPr>
          <w:szCs w:val="21"/>
          <w:lang w:val="en-GB"/>
        </w:rPr>
      </w:pPr>
      <w:r>
        <w:rPr>
          <w:szCs w:val="21"/>
          <w:lang w:val="en-GB"/>
        </w:rPr>
        <w:t>5</w:t>
      </w:r>
      <w:r w:rsidR="00E514C7" w:rsidRPr="00E514C7">
        <w:rPr>
          <w:szCs w:val="21"/>
          <w:lang w:val="en-GB"/>
        </w:rPr>
        <w:t>.</w:t>
      </w:r>
      <w:r>
        <w:rPr>
          <w:szCs w:val="21"/>
          <w:lang w:val="en-GB"/>
        </w:rPr>
        <w:t>1</w:t>
      </w:r>
      <w:r>
        <w:rPr>
          <w:rFonts w:hint="eastAsia"/>
          <w:szCs w:val="21"/>
          <w:lang w:val="en-GB"/>
        </w:rPr>
        <w:t xml:space="preserve">  </w:t>
      </w:r>
      <w:r w:rsidR="00C77BF3">
        <w:rPr>
          <w:rFonts w:hint="eastAsia"/>
          <w:szCs w:val="21"/>
          <w:lang w:val="en-GB"/>
        </w:rPr>
        <w:t>提交人于</w:t>
      </w:r>
      <w:r>
        <w:rPr>
          <w:rFonts w:hint="eastAsia"/>
          <w:szCs w:val="21"/>
          <w:lang w:val="en-GB"/>
        </w:rPr>
        <w:t>2</w:t>
      </w:r>
      <w:r w:rsidR="00E514C7" w:rsidRPr="00E514C7">
        <w:rPr>
          <w:rFonts w:hint="eastAsia"/>
          <w:szCs w:val="21"/>
          <w:lang w:val="en-GB"/>
        </w:rPr>
        <w:t>0</w:t>
      </w:r>
      <w:r>
        <w:rPr>
          <w:rFonts w:hint="eastAsia"/>
          <w:szCs w:val="21"/>
          <w:lang w:val="en-GB"/>
        </w:rPr>
        <w:t>12</w:t>
      </w:r>
      <w:r w:rsidR="00E514C7" w:rsidRPr="00E514C7">
        <w:rPr>
          <w:rFonts w:hint="eastAsia"/>
          <w:szCs w:val="21"/>
          <w:lang w:val="en-GB"/>
        </w:rPr>
        <w:t>年</w:t>
      </w:r>
      <w:r>
        <w:rPr>
          <w:rFonts w:hint="eastAsia"/>
          <w:szCs w:val="21"/>
          <w:lang w:val="en-GB"/>
        </w:rPr>
        <w:t>3</w:t>
      </w:r>
      <w:r w:rsidR="00E514C7" w:rsidRPr="00E514C7">
        <w:rPr>
          <w:rFonts w:hint="eastAsia"/>
          <w:szCs w:val="21"/>
          <w:lang w:val="en-GB"/>
        </w:rPr>
        <w:t>月至</w:t>
      </w:r>
      <w:r>
        <w:rPr>
          <w:rFonts w:hint="eastAsia"/>
          <w:szCs w:val="21"/>
          <w:lang w:val="en-GB"/>
        </w:rPr>
        <w:t>2</w:t>
      </w:r>
      <w:r w:rsidR="00E514C7" w:rsidRPr="00E514C7">
        <w:rPr>
          <w:rFonts w:hint="eastAsia"/>
          <w:szCs w:val="21"/>
          <w:lang w:val="en-GB"/>
        </w:rPr>
        <w:t>0</w:t>
      </w:r>
      <w:r>
        <w:rPr>
          <w:rFonts w:hint="eastAsia"/>
          <w:szCs w:val="21"/>
          <w:lang w:val="en-GB"/>
        </w:rPr>
        <w:t>15</w:t>
      </w:r>
      <w:r w:rsidR="00E514C7" w:rsidRPr="00E514C7">
        <w:rPr>
          <w:rFonts w:hint="eastAsia"/>
          <w:szCs w:val="21"/>
          <w:lang w:val="en-GB"/>
        </w:rPr>
        <w:t>年</w:t>
      </w:r>
      <w:r>
        <w:rPr>
          <w:rFonts w:hint="eastAsia"/>
          <w:szCs w:val="21"/>
          <w:lang w:val="en-GB"/>
        </w:rPr>
        <w:t>11</w:t>
      </w:r>
      <w:r w:rsidR="00E514C7" w:rsidRPr="00E514C7">
        <w:rPr>
          <w:rFonts w:hint="eastAsia"/>
          <w:szCs w:val="21"/>
          <w:lang w:val="en-GB"/>
        </w:rPr>
        <w:t>月</w:t>
      </w:r>
      <w:r>
        <w:rPr>
          <w:rFonts w:hint="eastAsia"/>
          <w:szCs w:val="21"/>
          <w:lang w:val="en-GB"/>
        </w:rPr>
        <w:t>3</w:t>
      </w:r>
      <w:r w:rsidR="00E514C7" w:rsidRPr="00E514C7">
        <w:rPr>
          <w:rFonts w:hint="eastAsia"/>
          <w:szCs w:val="21"/>
          <w:lang w:val="en-GB"/>
        </w:rPr>
        <w:t>0</w:t>
      </w:r>
      <w:r w:rsidR="00E514C7" w:rsidRPr="00E514C7">
        <w:rPr>
          <w:rFonts w:hint="eastAsia"/>
          <w:szCs w:val="21"/>
          <w:lang w:val="en-GB"/>
        </w:rPr>
        <w:t>日</w:t>
      </w:r>
      <w:r w:rsidR="00C77BF3">
        <w:rPr>
          <w:rFonts w:hint="eastAsia"/>
          <w:szCs w:val="21"/>
          <w:lang w:val="en-GB"/>
        </w:rPr>
        <w:t>对缔约国关于可否受理的意见提出评论。</w:t>
      </w:r>
      <w:r w:rsidR="00E514C7" w:rsidRPr="00E514C7">
        <w:rPr>
          <w:rFonts w:hint="eastAsia"/>
          <w:szCs w:val="21"/>
          <w:lang w:val="en-GB"/>
        </w:rPr>
        <w:t>关于</w:t>
      </w:r>
      <w:r w:rsidR="00C77BF3" w:rsidRPr="00E514C7">
        <w:rPr>
          <w:rFonts w:hint="eastAsia"/>
          <w:szCs w:val="21"/>
          <w:lang w:val="en-GB"/>
        </w:rPr>
        <w:t>用尽</w:t>
      </w:r>
      <w:r w:rsidR="00E514C7" w:rsidRPr="00E514C7">
        <w:rPr>
          <w:rFonts w:hint="eastAsia"/>
          <w:szCs w:val="21"/>
          <w:lang w:val="en-GB"/>
        </w:rPr>
        <w:t>国内补救办法，他们认为，民事诉讼必须被视为无效。荷兰</w:t>
      </w:r>
      <w:r w:rsidR="000571A7">
        <w:rPr>
          <w:rFonts w:hint="eastAsia"/>
          <w:szCs w:val="21"/>
          <w:lang w:val="en-GB"/>
        </w:rPr>
        <w:t>通过《刑法典》第</w:t>
      </w:r>
      <w:r w:rsidR="000571A7">
        <w:rPr>
          <w:rFonts w:hint="eastAsia"/>
          <w:szCs w:val="21"/>
          <w:lang w:val="en-GB"/>
        </w:rPr>
        <w:t>137</w:t>
      </w:r>
      <w:r w:rsidR="000571A7">
        <w:rPr>
          <w:rFonts w:hint="eastAsia"/>
          <w:szCs w:val="21"/>
          <w:lang w:val="en-GB"/>
        </w:rPr>
        <w:t>条</w:t>
      </w:r>
      <w:r w:rsidR="000571A7">
        <w:rPr>
          <w:rFonts w:hint="eastAsia"/>
          <w:szCs w:val="21"/>
          <w:lang w:val="en-GB"/>
        </w:rPr>
        <w:t>d</w:t>
      </w:r>
      <w:r w:rsidR="000571A7">
        <w:rPr>
          <w:rFonts w:hint="eastAsia"/>
          <w:szCs w:val="21"/>
          <w:lang w:val="en-GB"/>
        </w:rPr>
        <w:t>款来</w:t>
      </w:r>
      <w:r w:rsidR="00E514C7" w:rsidRPr="00E514C7">
        <w:rPr>
          <w:rFonts w:hint="eastAsia"/>
          <w:szCs w:val="21"/>
          <w:lang w:val="en-GB"/>
        </w:rPr>
        <w:t>执行</w:t>
      </w:r>
      <w:r w:rsidR="000571A7">
        <w:rPr>
          <w:rFonts w:hint="eastAsia"/>
          <w:szCs w:val="21"/>
          <w:lang w:val="en-GB"/>
        </w:rPr>
        <w:t>《公约》</w:t>
      </w:r>
      <w:r w:rsidR="00E514C7" w:rsidRPr="00E514C7">
        <w:rPr>
          <w:rFonts w:hint="eastAsia"/>
          <w:szCs w:val="21"/>
          <w:lang w:val="en-GB"/>
        </w:rPr>
        <w:t>第</w:t>
      </w:r>
      <w:r w:rsidR="000571A7">
        <w:rPr>
          <w:rFonts w:hint="eastAsia"/>
          <w:szCs w:val="21"/>
          <w:lang w:val="en-GB"/>
        </w:rPr>
        <w:t>二十条第二款</w:t>
      </w:r>
      <w:r w:rsidR="00E514C7" w:rsidRPr="00E514C7">
        <w:rPr>
          <w:rFonts w:hint="eastAsia"/>
          <w:szCs w:val="21"/>
          <w:lang w:val="en-GB"/>
        </w:rPr>
        <w:t>。笔者并非寻求赔偿</w:t>
      </w:r>
      <w:r w:rsidR="005D2190">
        <w:rPr>
          <w:rFonts w:hint="eastAsia"/>
          <w:szCs w:val="21"/>
          <w:lang w:val="en-GB"/>
        </w:rPr>
        <w:t>；</w:t>
      </w:r>
      <w:r w:rsidR="00E514C7" w:rsidRPr="00E514C7">
        <w:rPr>
          <w:rFonts w:hint="eastAsia"/>
          <w:szCs w:val="21"/>
          <w:lang w:val="en-GB"/>
        </w:rPr>
        <w:t>他们寻求</w:t>
      </w:r>
      <w:r w:rsidR="00C77BF3">
        <w:rPr>
          <w:rFonts w:hint="eastAsia"/>
          <w:szCs w:val="21"/>
          <w:lang w:val="en-GB"/>
        </w:rPr>
        <w:t>刑事法庭针对</w:t>
      </w:r>
      <w:proofErr w:type="gramStart"/>
      <w:r w:rsidR="00E514C7" w:rsidRPr="00E514C7">
        <w:rPr>
          <w:rFonts w:hint="eastAsia"/>
          <w:szCs w:val="21"/>
          <w:lang w:val="en-GB"/>
        </w:rPr>
        <w:t>驳</w:t>
      </w:r>
      <w:proofErr w:type="gramEnd"/>
      <w:r w:rsidR="00E514C7" w:rsidRPr="00E514C7">
        <w:rPr>
          <w:rFonts w:hint="eastAsia"/>
          <w:szCs w:val="21"/>
          <w:lang w:val="en-GB"/>
        </w:rPr>
        <w:t>怀德先生</w:t>
      </w:r>
      <w:r w:rsidR="00C77BF3">
        <w:rPr>
          <w:rFonts w:hint="eastAsia"/>
          <w:szCs w:val="21"/>
          <w:lang w:val="en-GB"/>
        </w:rPr>
        <w:t>作出裁决，判定他有罪或无罪的判决书具有重要和独特的公共力量。</w:t>
      </w:r>
    </w:p>
    <w:p w:rsidR="00E514C7" w:rsidRPr="00E514C7" w:rsidRDefault="00EC62E1" w:rsidP="00E514C7">
      <w:pPr>
        <w:pStyle w:val="SingleTxtGC"/>
        <w:rPr>
          <w:szCs w:val="21"/>
        </w:rPr>
      </w:pPr>
      <w:r>
        <w:rPr>
          <w:szCs w:val="21"/>
          <w:lang w:val="en-GB"/>
        </w:rPr>
        <w:t>5</w:t>
      </w:r>
      <w:r w:rsidR="00E514C7" w:rsidRPr="00E514C7">
        <w:rPr>
          <w:szCs w:val="21"/>
          <w:lang w:val="en-GB"/>
        </w:rPr>
        <w:t>.</w:t>
      </w:r>
      <w:r>
        <w:rPr>
          <w:szCs w:val="21"/>
          <w:lang w:val="en-GB"/>
        </w:rPr>
        <w:t>2</w:t>
      </w:r>
      <w:r>
        <w:rPr>
          <w:rFonts w:hint="eastAsia"/>
          <w:szCs w:val="21"/>
          <w:lang w:val="en-GB"/>
        </w:rPr>
        <w:t xml:space="preserve">  </w:t>
      </w:r>
      <w:r w:rsidR="00E514C7" w:rsidRPr="00E514C7">
        <w:rPr>
          <w:rFonts w:hint="eastAsia"/>
          <w:szCs w:val="21"/>
        </w:rPr>
        <w:t>拉比先生认为，因自己是一名穆斯林和一名摩洛哥人，也是国家咨询机构的主席，他本人是维尔德斯先生仇恨言论的直接受害者。谈到威尔德斯先生的仇恨言论对他们个人生活的影响，提交人重申，</w:t>
      </w:r>
      <w:r>
        <w:rPr>
          <w:szCs w:val="21"/>
        </w:rPr>
        <w:t>N</w:t>
      </w:r>
      <w:r w:rsidR="00E514C7" w:rsidRPr="00E514C7">
        <w:rPr>
          <w:szCs w:val="21"/>
        </w:rPr>
        <w:t>.</w:t>
      </w:r>
      <w:r>
        <w:rPr>
          <w:szCs w:val="21"/>
        </w:rPr>
        <w:t>A</w:t>
      </w:r>
      <w:r w:rsidR="00E514C7" w:rsidRPr="00E514C7">
        <w:rPr>
          <w:szCs w:val="21"/>
        </w:rPr>
        <w:t>.</w:t>
      </w:r>
      <w:r w:rsidR="00E514C7" w:rsidRPr="00E514C7">
        <w:rPr>
          <w:rFonts w:hint="eastAsia"/>
          <w:szCs w:val="21"/>
        </w:rPr>
        <w:t>和</w:t>
      </w:r>
      <w:r>
        <w:rPr>
          <w:szCs w:val="21"/>
        </w:rPr>
        <w:t>A</w:t>
      </w:r>
      <w:r w:rsidR="00E514C7" w:rsidRPr="00E514C7">
        <w:rPr>
          <w:szCs w:val="21"/>
        </w:rPr>
        <w:t>.</w:t>
      </w:r>
      <w:r>
        <w:rPr>
          <w:szCs w:val="21"/>
        </w:rPr>
        <w:t>B</w:t>
      </w:r>
      <w:r w:rsidR="00E514C7" w:rsidRPr="00E514C7">
        <w:rPr>
          <w:szCs w:val="21"/>
        </w:rPr>
        <w:t>.</w:t>
      </w:r>
      <w:r>
        <w:rPr>
          <w:szCs w:val="21"/>
        </w:rPr>
        <w:t>S</w:t>
      </w:r>
      <w:r w:rsidR="00E514C7" w:rsidRPr="00E514C7">
        <w:rPr>
          <w:szCs w:val="21"/>
        </w:rPr>
        <w:t>.</w:t>
      </w:r>
      <w:r w:rsidR="00E514C7" w:rsidRPr="00E514C7">
        <w:rPr>
          <w:rFonts w:hint="eastAsia"/>
          <w:szCs w:val="21"/>
        </w:rPr>
        <w:t>均报道了他们在国内诉讼期间所遭受的经历，拉比亚先生还向警方报告了针对自己的仇恨言论。来文并非集体诉讼。</w:t>
      </w:r>
    </w:p>
    <w:p w:rsidR="00E514C7" w:rsidRPr="00E514C7" w:rsidRDefault="00EC62E1" w:rsidP="00E514C7">
      <w:pPr>
        <w:pStyle w:val="SingleTxtGC"/>
        <w:rPr>
          <w:szCs w:val="21"/>
          <w:lang w:val="en-GB"/>
        </w:rPr>
      </w:pPr>
      <w:r>
        <w:rPr>
          <w:szCs w:val="21"/>
          <w:lang w:val="en-GB"/>
        </w:rPr>
        <w:t>5</w:t>
      </w:r>
      <w:r w:rsidR="00E514C7" w:rsidRPr="00E514C7">
        <w:rPr>
          <w:szCs w:val="21"/>
          <w:lang w:val="en-GB"/>
        </w:rPr>
        <w:t>.</w:t>
      </w:r>
      <w:r>
        <w:rPr>
          <w:rFonts w:hint="eastAsia"/>
          <w:szCs w:val="21"/>
          <w:lang w:val="en-GB"/>
        </w:rPr>
        <w:t xml:space="preserve">3  </w:t>
      </w:r>
      <w:r w:rsidR="00E514C7" w:rsidRPr="00E514C7">
        <w:rPr>
          <w:szCs w:val="21"/>
          <w:lang w:val="en-GB"/>
        </w:rPr>
        <w:t>来文没有按属事理由不可受理。</w:t>
      </w:r>
      <w:r w:rsidR="00E514C7" w:rsidRPr="00E514C7">
        <w:rPr>
          <w:rFonts w:hint="eastAsia"/>
          <w:szCs w:val="21"/>
          <w:lang w:val="en-GB"/>
        </w:rPr>
        <w:t>提交人援引《公约》</w:t>
      </w:r>
      <w:r w:rsidR="00E514C7" w:rsidRPr="00E514C7">
        <w:rPr>
          <w:rFonts w:hint="eastAsia"/>
          <w:szCs w:val="21"/>
        </w:rPr>
        <w:t>第二十条第</w:t>
      </w:r>
      <w:r w:rsidR="000571A7">
        <w:rPr>
          <w:rFonts w:hint="eastAsia"/>
          <w:szCs w:val="21"/>
        </w:rPr>
        <w:t>二</w:t>
      </w:r>
      <w:r w:rsidR="00E514C7" w:rsidRPr="00E514C7">
        <w:rPr>
          <w:rFonts w:hint="eastAsia"/>
          <w:szCs w:val="21"/>
        </w:rPr>
        <w:t>款、第二十六条和第二十七条。</w:t>
      </w:r>
      <w:r w:rsidR="00E514C7" w:rsidRPr="00E514C7">
        <w:rPr>
          <w:szCs w:val="21"/>
          <w:lang w:val="en-GB"/>
        </w:rPr>
        <w:t>因此，他们的来文显然属于</w:t>
      </w:r>
      <w:r w:rsidR="00E514C7" w:rsidRPr="00E514C7">
        <w:rPr>
          <w:rFonts w:hint="eastAsia"/>
          <w:szCs w:val="21"/>
          <w:lang w:val="en-GB"/>
        </w:rPr>
        <w:t>《</w:t>
      </w:r>
      <w:r w:rsidR="00E514C7" w:rsidRPr="00E514C7">
        <w:rPr>
          <w:szCs w:val="21"/>
          <w:lang w:val="en-GB"/>
        </w:rPr>
        <w:t>公约</w:t>
      </w:r>
      <w:r w:rsidR="00E514C7" w:rsidRPr="00E514C7">
        <w:rPr>
          <w:rFonts w:hint="eastAsia"/>
          <w:szCs w:val="21"/>
          <w:lang w:val="en-GB"/>
        </w:rPr>
        <w:t>》</w:t>
      </w:r>
      <w:r w:rsidR="00E514C7" w:rsidRPr="00E514C7">
        <w:rPr>
          <w:szCs w:val="21"/>
          <w:lang w:val="en-GB"/>
        </w:rPr>
        <w:t>范围。</w:t>
      </w:r>
    </w:p>
    <w:p w:rsidR="00E514C7" w:rsidRPr="00E514C7" w:rsidRDefault="00EC62E1" w:rsidP="00E514C7">
      <w:pPr>
        <w:pStyle w:val="SingleTxtGC"/>
        <w:rPr>
          <w:szCs w:val="21"/>
        </w:rPr>
      </w:pPr>
      <w:r>
        <w:rPr>
          <w:szCs w:val="21"/>
          <w:lang w:val="en-GB"/>
        </w:rPr>
        <w:t>5</w:t>
      </w:r>
      <w:r w:rsidR="00E514C7" w:rsidRPr="00E514C7">
        <w:rPr>
          <w:szCs w:val="21"/>
          <w:lang w:val="en-GB"/>
        </w:rPr>
        <w:t>.</w:t>
      </w:r>
      <w:r>
        <w:rPr>
          <w:rFonts w:hint="eastAsia"/>
          <w:szCs w:val="21"/>
          <w:lang w:val="en-GB"/>
        </w:rPr>
        <w:t xml:space="preserve">4  </w:t>
      </w:r>
      <w:r w:rsidR="00E514C7" w:rsidRPr="00E514C7">
        <w:rPr>
          <w:rFonts w:hint="eastAsia"/>
          <w:szCs w:val="21"/>
        </w:rPr>
        <w:t>第二十条</w:t>
      </w:r>
      <w:r w:rsidR="000571A7">
        <w:rPr>
          <w:rFonts w:hint="eastAsia"/>
          <w:szCs w:val="21"/>
        </w:rPr>
        <w:t>第二款</w:t>
      </w:r>
      <w:r w:rsidR="00E514C7" w:rsidRPr="00E514C7">
        <w:rPr>
          <w:rFonts w:hint="eastAsia"/>
          <w:szCs w:val="21"/>
        </w:rPr>
        <w:t>不仅规定国家有义务立法禁止仇恨言论，而且还要赋予个人不受仇恨言论伤害的权利。《公约》第四条也是针对国家的义务而不是个人的权利，但这并没有妨碍委员会宣布违反该条款可以索赔。如果委员会认为没有给予个人第二十条规定的保护，这就应由第十七条规定解释。提交人辩称，他们援引与第二十六条</w:t>
      </w:r>
      <w:r w:rsidR="00726D1E">
        <w:rPr>
          <w:rFonts w:hint="eastAsia"/>
          <w:szCs w:val="21"/>
        </w:rPr>
        <w:t>和第二十七条</w:t>
      </w:r>
      <w:r w:rsidR="00E514C7" w:rsidRPr="00E514C7">
        <w:rPr>
          <w:rFonts w:hint="eastAsia"/>
          <w:szCs w:val="21"/>
        </w:rPr>
        <w:t>相关的第二十条，强调了其身份的集体认同权。但是，对个人身份的侵犯如种族诽谤等，也影响到个人享有集体身份认同的自由，反之亦然。因此，缔约国的行为也违反了根据第二十条第</w:t>
      </w:r>
      <w:r w:rsidR="00726D1E">
        <w:rPr>
          <w:rFonts w:hint="eastAsia"/>
          <w:szCs w:val="21"/>
        </w:rPr>
        <w:t>二</w:t>
      </w:r>
      <w:r w:rsidR="00E514C7" w:rsidRPr="00E514C7">
        <w:rPr>
          <w:rFonts w:hint="eastAsia"/>
          <w:szCs w:val="21"/>
        </w:rPr>
        <w:t>款解释的第十七条。</w:t>
      </w:r>
    </w:p>
    <w:p w:rsidR="00E514C7" w:rsidRPr="00E514C7" w:rsidRDefault="00EC62E1" w:rsidP="00E514C7">
      <w:pPr>
        <w:pStyle w:val="SingleTxtGC"/>
        <w:rPr>
          <w:szCs w:val="21"/>
        </w:rPr>
      </w:pPr>
      <w:r>
        <w:rPr>
          <w:szCs w:val="21"/>
          <w:lang w:val="en-GB"/>
        </w:rPr>
        <w:t>5</w:t>
      </w:r>
      <w:r w:rsidR="00E514C7" w:rsidRPr="00E514C7">
        <w:rPr>
          <w:szCs w:val="21"/>
          <w:lang w:val="en-GB"/>
        </w:rPr>
        <w:t>.</w:t>
      </w:r>
      <w:r>
        <w:rPr>
          <w:rFonts w:hint="eastAsia"/>
          <w:szCs w:val="21"/>
          <w:lang w:val="en-GB"/>
        </w:rPr>
        <w:t xml:space="preserve">5  </w:t>
      </w:r>
      <w:r w:rsidR="00E514C7" w:rsidRPr="00E514C7">
        <w:rPr>
          <w:rFonts w:hint="eastAsia"/>
          <w:szCs w:val="21"/>
        </w:rPr>
        <w:t>关于对威尔德斯先生提出的诉讼，检察官决定只有公众公开抗议他的行为后才再次起诉威尔德斯先生。</w:t>
      </w:r>
    </w:p>
    <w:p w:rsidR="00E514C7" w:rsidRPr="00E514C7" w:rsidRDefault="00EC62E1" w:rsidP="00EC62E1">
      <w:pPr>
        <w:pStyle w:val="H23GC"/>
        <w:rPr>
          <w:lang w:val="en-GB"/>
        </w:rPr>
      </w:pPr>
      <w:r>
        <w:rPr>
          <w:rFonts w:hint="eastAsia"/>
          <w:lang w:val="en-GB"/>
        </w:rPr>
        <w:lastRenderedPageBreak/>
        <w:tab/>
      </w:r>
      <w:r>
        <w:rPr>
          <w:rFonts w:hint="eastAsia"/>
          <w:lang w:val="en-GB"/>
        </w:rPr>
        <w:tab/>
      </w:r>
      <w:r w:rsidR="00E514C7" w:rsidRPr="00E514C7">
        <w:rPr>
          <w:lang w:val="en-GB"/>
        </w:rPr>
        <w:t>缔约国对案情的意见</w:t>
      </w:r>
    </w:p>
    <w:p w:rsidR="00E514C7" w:rsidRPr="00E514C7" w:rsidRDefault="00EC62E1" w:rsidP="00726D1E">
      <w:pPr>
        <w:pStyle w:val="SingleTxtGC"/>
        <w:rPr>
          <w:szCs w:val="21"/>
        </w:rPr>
      </w:pPr>
      <w:r>
        <w:rPr>
          <w:rFonts w:hint="eastAsia"/>
          <w:szCs w:val="21"/>
          <w:lang w:val="en-GB"/>
        </w:rPr>
        <w:t>6</w:t>
      </w:r>
      <w:r w:rsidR="00E514C7" w:rsidRPr="00E514C7">
        <w:rPr>
          <w:szCs w:val="21"/>
          <w:lang w:val="en-GB"/>
        </w:rPr>
        <w:t>.</w:t>
      </w:r>
      <w:r>
        <w:rPr>
          <w:rFonts w:hint="eastAsia"/>
          <w:szCs w:val="21"/>
          <w:lang w:val="en-GB"/>
        </w:rPr>
        <w:t xml:space="preserve">1  </w:t>
      </w:r>
      <w:r w:rsidR="00E514C7" w:rsidRPr="00E514C7">
        <w:rPr>
          <w:rFonts w:hint="eastAsia"/>
          <w:szCs w:val="21"/>
        </w:rPr>
        <w:t>缔约国在</w:t>
      </w:r>
      <w:r>
        <w:rPr>
          <w:rFonts w:hint="eastAsia"/>
          <w:szCs w:val="21"/>
        </w:rPr>
        <w:t>2</w:t>
      </w:r>
      <w:r w:rsidR="00E514C7" w:rsidRPr="00E514C7">
        <w:rPr>
          <w:rFonts w:hint="eastAsia"/>
          <w:szCs w:val="21"/>
        </w:rPr>
        <w:t>0</w:t>
      </w:r>
      <w:r>
        <w:rPr>
          <w:rFonts w:hint="eastAsia"/>
          <w:szCs w:val="21"/>
        </w:rPr>
        <w:t>15</w:t>
      </w:r>
      <w:r w:rsidR="00E514C7" w:rsidRPr="00E514C7">
        <w:rPr>
          <w:rFonts w:hint="eastAsia"/>
          <w:szCs w:val="21"/>
        </w:rPr>
        <w:t>年</w:t>
      </w:r>
      <w:r>
        <w:rPr>
          <w:rFonts w:hint="eastAsia"/>
          <w:szCs w:val="21"/>
        </w:rPr>
        <w:t>5</w:t>
      </w:r>
      <w:r w:rsidR="00E514C7" w:rsidRPr="00E514C7">
        <w:rPr>
          <w:rFonts w:hint="eastAsia"/>
          <w:szCs w:val="21"/>
        </w:rPr>
        <w:t>月</w:t>
      </w:r>
      <w:r>
        <w:rPr>
          <w:rFonts w:hint="eastAsia"/>
          <w:szCs w:val="21"/>
        </w:rPr>
        <w:t>28</w:t>
      </w:r>
      <w:r w:rsidR="00E514C7" w:rsidRPr="00E514C7">
        <w:rPr>
          <w:rFonts w:hint="eastAsia"/>
          <w:szCs w:val="21"/>
        </w:rPr>
        <w:t>日对案情提出了意见。它反对提交人根据《公约》第二条</w:t>
      </w:r>
      <w:r w:rsidR="00726D1E">
        <w:rPr>
          <w:rFonts w:hint="eastAsia"/>
          <w:szCs w:val="21"/>
        </w:rPr>
        <w:t>第三款</w:t>
      </w:r>
      <w:r w:rsidR="00E514C7" w:rsidRPr="00E514C7">
        <w:rPr>
          <w:rFonts w:hint="eastAsia"/>
          <w:szCs w:val="21"/>
        </w:rPr>
        <w:t>所提出的观点，即对威尔德斯先生的无罪释放没有构成有效执行立法。提交人曾有机会对检察官不进行调查的决定提起诉讼，并在诉讼期间详细讨论了与威尔德斯先生的陈述有关的各种法律论据。提交人称，他们的目的是澄清法律管辖的界限，而法院的判决意味着他们获得胜利。法院评估的最终结果对提交人不利这一事实，并不构成立法的无效执行。</w:t>
      </w:r>
      <w:r w:rsidR="00726D1E" w:rsidRPr="00E514C7">
        <w:rPr>
          <w:rFonts w:hint="eastAsia"/>
          <w:szCs w:val="21"/>
        </w:rPr>
        <w:t>第二条</w:t>
      </w:r>
      <w:r w:rsidR="00726D1E">
        <w:rPr>
          <w:rFonts w:hint="eastAsia"/>
          <w:szCs w:val="21"/>
        </w:rPr>
        <w:t>第三款</w:t>
      </w:r>
      <w:r w:rsidR="00E514C7" w:rsidRPr="00E514C7">
        <w:rPr>
          <w:rFonts w:hint="eastAsia"/>
          <w:szCs w:val="21"/>
        </w:rPr>
        <w:t>不能保证提交人获得有用补救的有利结果，更不用说定罪的权利。任何定罪的保证都不符合公正审判权的基本原则。因此，没有违反</w:t>
      </w:r>
      <w:r w:rsidR="00726D1E" w:rsidRPr="00E514C7">
        <w:rPr>
          <w:rFonts w:hint="eastAsia"/>
          <w:szCs w:val="21"/>
        </w:rPr>
        <w:t>第二条</w:t>
      </w:r>
      <w:r w:rsidR="00726D1E">
        <w:rPr>
          <w:rFonts w:hint="eastAsia"/>
          <w:szCs w:val="21"/>
        </w:rPr>
        <w:t>第三款</w:t>
      </w:r>
      <w:r w:rsidR="00E514C7" w:rsidRPr="00E514C7">
        <w:rPr>
          <w:rFonts w:hint="eastAsia"/>
          <w:szCs w:val="21"/>
        </w:rPr>
        <w:t>。</w:t>
      </w:r>
    </w:p>
    <w:p w:rsidR="00E514C7" w:rsidRPr="00E514C7" w:rsidRDefault="00EC62E1" w:rsidP="00E514C7">
      <w:pPr>
        <w:pStyle w:val="SingleTxtGC"/>
        <w:rPr>
          <w:szCs w:val="21"/>
        </w:rPr>
      </w:pPr>
      <w:r>
        <w:rPr>
          <w:rFonts w:hint="eastAsia"/>
          <w:szCs w:val="21"/>
          <w:lang w:val="en-GB"/>
        </w:rPr>
        <w:t>6</w:t>
      </w:r>
      <w:r w:rsidR="00E514C7" w:rsidRPr="00E514C7">
        <w:rPr>
          <w:szCs w:val="21"/>
          <w:lang w:val="en-GB"/>
        </w:rPr>
        <w:t>.</w:t>
      </w:r>
      <w:r>
        <w:rPr>
          <w:rFonts w:hint="eastAsia"/>
          <w:szCs w:val="21"/>
          <w:lang w:val="en-GB"/>
        </w:rPr>
        <w:t xml:space="preserve">2  </w:t>
      </w:r>
      <w:r w:rsidR="00E514C7" w:rsidRPr="00E514C7">
        <w:rPr>
          <w:rFonts w:hint="eastAsia"/>
          <w:szCs w:val="21"/>
        </w:rPr>
        <w:t>关于第十四条第</w:t>
      </w:r>
      <w:r w:rsidR="00726D1E">
        <w:rPr>
          <w:rFonts w:hint="eastAsia"/>
          <w:szCs w:val="21"/>
        </w:rPr>
        <w:t>一</w:t>
      </w:r>
      <w:r w:rsidR="00E514C7" w:rsidRPr="00E514C7">
        <w:rPr>
          <w:rFonts w:hint="eastAsia"/>
          <w:szCs w:val="21"/>
        </w:rPr>
        <w:t>款，国家刑法允许任何因刑事犯罪而遭受直接损害的人作为受害方加入刑事诉讼以寻求索赔。与国内法所承认的权利相比，第十四条没有要求在刑事诉讼中赋予被害方更多的权利保护。国内法规定的权利包括提交遭受损害的证据的权利、就赔偿向证人和专家质询以及就索赔做出解释。提交人的目的是影响刑事诉讼，并说服法官威尔德斯先生的行为已经超出了公开辩论允许的范围。然而，立法者旨在通过诉讼所保护的规范就是享有因受损害的赔偿权。根据国内法，提交人不得充当其他角色，例如影响刑事诉讼。</w:t>
      </w:r>
    </w:p>
    <w:p w:rsidR="00E514C7" w:rsidRPr="00E514C7" w:rsidRDefault="00EC62E1" w:rsidP="00EC62E1">
      <w:pPr>
        <w:pStyle w:val="SingleTxtGC"/>
        <w:rPr>
          <w:szCs w:val="21"/>
        </w:rPr>
      </w:pPr>
      <w:r>
        <w:rPr>
          <w:szCs w:val="21"/>
          <w:lang w:val="en-GB"/>
        </w:rPr>
        <w:t>6</w:t>
      </w:r>
      <w:r w:rsidR="00E514C7" w:rsidRPr="00E514C7">
        <w:rPr>
          <w:szCs w:val="21"/>
          <w:lang w:val="en-GB"/>
        </w:rPr>
        <w:t>.</w:t>
      </w:r>
      <w:r>
        <w:rPr>
          <w:rFonts w:hint="eastAsia"/>
          <w:szCs w:val="21"/>
          <w:lang w:val="en-GB"/>
        </w:rPr>
        <w:t>3</w:t>
      </w:r>
      <w:r w:rsidR="00E514C7" w:rsidRPr="00E514C7">
        <w:rPr>
          <w:rFonts w:hint="eastAsia"/>
          <w:szCs w:val="21"/>
          <w:lang w:val="en-GB"/>
        </w:rPr>
        <w:t xml:space="preserve">  </w:t>
      </w:r>
      <w:r w:rsidR="00E514C7" w:rsidRPr="00E514C7">
        <w:rPr>
          <w:rFonts w:hint="eastAsia"/>
          <w:szCs w:val="21"/>
        </w:rPr>
        <w:t>提交人关于没有向法庭提出有利于定罪的论据的说法是不正确的，他们忽视了法院在刑事诉讼中所起的核心作用。刑事法院力求独立确立真相，承担着确保在审判中全面审查的责任。控方和辩方的来文并不具有决定性作用。法官主持听证会、询问被告、检查证人，并与各方进行讨论，对判决中的所有要素做出反馈。</w:t>
      </w:r>
    </w:p>
    <w:p w:rsidR="00E514C7" w:rsidRPr="00E514C7" w:rsidRDefault="00EC62E1" w:rsidP="00EC62E1">
      <w:pPr>
        <w:pStyle w:val="SingleTxtGC"/>
        <w:rPr>
          <w:szCs w:val="21"/>
        </w:rPr>
      </w:pPr>
      <w:r>
        <w:rPr>
          <w:szCs w:val="21"/>
          <w:lang w:val="en-GB"/>
        </w:rPr>
        <w:t>6</w:t>
      </w:r>
      <w:r w:rsidR="00E514C7" w:rsidRPr="00E514C7">
        <w:rPr>
          <w:szCs w:val="21"/>
          <w:lang w:val="en-GB"/>
        </w:rPr>
        <w:t>.</w:t>
      </w:r>
      <w:r>
        <w:rPr>
          <w:rFonts w:hint="eastAsia"/>
          <w:szCs w:val="21"/>
          <w:lang w:val="en-GB"/>
        </w:rPr>
        <w:t>4</w:t>
      </w:r>
      <w:r w:rsidR="00E514C7" w:rsidRPr="00E514C7">
        <w:rPr>
          <w:rFonts w:hint="eastAsia"/>
          <w:szCs w:val="21"/>
          <w:lang w:val="en-GB"/>
        </w:rPr>
        <w:t xml:space="preserve">  </w:t>
      </w:r>
      <w:r>
        <w:rPr>
          <w:szCs w:val="21"/>
        </w:rPr>
        <w:t>2</w:t>
      </w:r>
      <w:r w:rsidR="00E514C7" w:rsidRPr="00E514C7">
        <w:rPr>
          <w:szCs w:val="21"/>
        </w:rPr>
        <w:t>00</w:t>
      </w:r>
      <w:r>
        <w:rPr>
          <w:szCs w:val="21"/>
        </w:rPr>
        <w:t>8</w:t>
      </w:r>
      <w:r w:rsidR="00E514C7" w:rsidRPr="00E514C7">
        <w:rPr>
          <w:rFonts w:hint="eastAsia"/>
          <w:szCs w:val="21"/>
        </w:rPr>
        <w:t>年，</w:t>
      </w:r>
      <w:r>
        <w:rPr>
          <w:szCs w:val="21"/>
        </w:rPr>
        <w:t>3</w:t>
      </w:r>
      <w:r w:rsidR="00E514C7" w:rsidRPr="00E514C7">
        <w:rPr>
          <w:rFonts w:hint="eastAsia"/>
          <w:szCs w:val="21"/>
        </w:rPr>
        <w:t>名法律学者分别就起诉的法律特点发表了报告，以协助检察机关决定是否要提起起诉。报告已增补到案件文件中。审判时进行了全面审查，证人受到质询。提交人希望提出的所有内容都呈至法庭面前。因此并没有违反第十四条。</w:t>
      </w:r>
    </w:p>
    <w:p w:rsidR="00E514C7" w:rsidRPr="00E514C7" w:rsidRDefault="00EC62E1" w:rsidP="000571A7">
      <w:pPr>
        <w:pStyle w:val="SingleTxtGC"/>
        <w:rPr>
          <w:szCs w:val="21"/>
        </w:rPr>
      </w:pPr>
      <w:r>
        <w:rPr>
          <w:szCs w:val="21"/>
          <w:lang w:val="en-GB"/>
        </w:rPr>
        <w:t>6</w:t>
      </w:r>
      <w:r w:rsidR="00E514C7" w:rsidRPr="00E514C7">
        <w:rPr>
          <w:szCs w:val="21"/>
          <w:lang w:val="en-GB"/>
        </w:rPr>
        <w:t>.</w:t>
      </w:r>
      <w:r>
        <w:rPr>
          <w:rFonts w:hint="eastAsia"/>
          <w:szCs w:val="21"/>
          <w:lang w:val="en-GB"/>
        </w:rPr>
        <w:t>5</w:t>
      </w:r>
      <w:r w:rsidR="00E514C7" w:rsidRPr="00E514C7">
        <w:rPr>
          <w:rFonts w:hint="eastAsia"/>
          <w:szCs w:val="21"/>
          <w:lang w:val="en-GB"/>
        </w:rPr>
        <w:t xml:space="preserve">  </w:t>
      </w:r>
      <w:r w:rsidR="00E514C7" w:rsidRPr="00E514C7">
        <w:rPr>
          <w:rFonts w:hint="eastAsia"/>
          <w:szCs w:val="21"/>
        </w:rPr>
        <w:t>关于第二十条提出的要求，该规定得到了正确实施，对此没有争议。《公约》第二十条和《刑法典》第</w:t>
      </w:r>
      <w:r>
        <w:rPr>
          <w:szCs w:val="21"/>
        </w:rPr>
        <w:t>137</w:t>
      </w:r>
      <w:r w:rsidR="00E514C7" w:rsidRPr="00E514C7">
        <w:rPr>
          <w:rFonts w:hint="eastAsia"/>
          <w:szCs w:val="21"/>
        </w:rPr>
        <w:t>条</w:t>
      </w:r>
      <w:r w:rsidR="000571A7">
        <w:rPr>
          <w:szCs w:val="21"/>
        </w:rPr>
        <w:t>d</w:t>
      </w:r>
      <w:r w:rsidR="000571A7">
        <w:rPr>
          <w:rFonts w:hint="eastAsia"/>
          <w:szCs w:val="21"/>
        </w:rPr>
        <w:t>款</w:t>
      </w:r>
      <w:r w:rsidR="00E514C7" w:rsidRPr="00E514C7">
        <w:rPr>
          <w:rFonts w:hint="eastAsia"/>
          <w:szCs w:val="21"/>
        </w:rPr>
        <w:t>均禁止煽动仇恨，但是要由国家法院来确定是否实际进行了煽动仇恨。第二十条在各国之间引起强烈争议，导致施行方式截然不同。就特定言语是否应受到惩罚，国内法院对评估最有发言权，因为它们掌控着全部案件档案，可以就有关行为是否涉罪进行充分评估。如果委员会有可能进行复审，则必须予以限制</w:t>
      </w:r>
      <w:r w:rsidR="005D2190">
        <w:rPr>
          <w:szCs w:val="21"/>
        </w:rPr>
        <w:t>；</w:t>
      </w:r>
      <w:r w:rsidR="00E514C7" w:rsidRPr="00E514C7">
        <w:rPr>
          <w:rFonts w:hint="eastAsia"/>
          <w:szCs w:val="21"/>
        </w:rPr>
        <w:t>不应由委员会来重新评估法庭根据刑法做出的维尔德斯先生的行为和言论是否应受到惩罚的判决结果。由于第二十条没有规定个人的权利，所以这一点尤为适用。</w:t>
      </w:r>
    </w:p>
    <w:p w:rsidR="00E514C7" w:rsidRPr="00E514C7" w:rsidRDefault="00EC62E1" w:rsidP="00EC62E1">
      <w:pPr>
        <w:pStyle w:val="SingleTxtGC"/>
        <w:rPr>
          <w:szCs w:val="21"/>
        </w:rPr>
      </w:pPr>
      <w:r>
        <w:rPr>
          <w:szCs w:val="21"/>
          <w:lang w:val="en-GB"/>
        </w:rPr>
        <w:t>6</w:t>
      </w:r>
      <w:r w:rsidR="00E514C7" w:rsidRPr="00E514C7">
        <w:rPr>
          <w:szCs w:val="21"/>
          <w:lang w:val="en-GB"/>
        </w:rPr>
        <w:t>.</w:t>
      </w:r>
      <w:r>
        <w:rPr>
          <w:rFonts w:hint="eastAsia"/>
          <w:szCs w:val="21"/>
          <w:lang w:val="en-GB"/>
        </w:rPr>
        <w:t>6</w:t>
      </w:r>
      <w:r w:rsidR="00E514C7" w:rsidRPr="00E514C7">
        <w:rPr>
          <w:rFonts w:hint="eastAsia"/>
          <w:szCs w:val="21"/>
          <w:lang w:val="en-GB"/>
        </w:rPr>
        <w:t xml:space="preserve">  </w:t>
      </w:r>
      <w:r w:rsidR="00E514C7" w:rsidRPr="00E514C7">
        <w:rPr>
          <w:rFonts w:hint="eastAsia"/>
          <w:szCs w:val="21"/>
        </w:rPr>
        <w:t>第二十条第二</w:t>
      </w:r>
      <w:r w:rsidR="00726D1E">
        <w:rPr>
          <w:rFonts w:hint="eastAsia"/>
          <w:szCs w:val="21"/>
        </w:rPr>
        <w:t>款</w:t>
      </w:r>
      <w:r w:rsidR="00E514C7" w:rsidRPr="00E514C7">
        <w:rPr>
          <w:rFonts w:hint="eastAsia"/>
          <w:szCs w:val="21"/>
        </w:rPr>
        <w:t>并未禁止人们对国家机构发表负面言论，但绝对禁止构成煽动歧视的言论。由于人们担心政府会滥用这一禁令或者会阻碍公民参加合法的民主辩论，因此对这一规定存有争议。两个条款之间的区别在于，只有符合第二十条中指定的特定形式的言论，国家才必须依法禁止。根据欧洲法院关于言论自由的判例，甚至冒犯他人、令人震惊或打扰他人的言论也是被允许的。政治人物的言论原则上应受到重视，但选举产生的代表应避免公开发表不公道的讲话，这一点至关重要。煽动对外国人的排斥从根本上破坏了人权，因此人们在言辞上应该非常谨慎。那些选择表达自己宗教信仰的人，要有理性地明白自己不能免于所</w:t>
      </w:r>
      <w:r w:rsidR="00E514C7" w:rsidRPr="00E514C7">
        <w:rPr>
          <w:rFonts w:hint="eastAsia"/>
          <w:szCs w:val="21"/>
        </w:rPr>
        <w:lastRenderedPageBreak/>
        <w:t>有的批评。对他人拒绝其宗教信仰、甚至传播与自身信仰敌对的教义的做法，他们必须能够容忍和接受。</w:t>
      </w:r>
    </w:p>
    <w:p w:rsidR="00E514C7" w:rsidRPr="00E514C7" w:rsidRDefault="00EC62E1" w:rsidP="00EC62E1">
      <w:pPr>
        <w:pStyle w:val="SingleTxtGC"/>
        <w:rPr>
          <w:szCs w:val="21"/>
        </w:rPr>
      </w:pPr>
      <w:r>
        <w:rPr>
          <w:szCs w:val="21"/>
          <w:lang w:val="en-GB"/>
        </w:rPr>
        <w:t>6</w:t>
      </w:r>
      <w:r w:rsidR="00E514C7" w:rsidRPr="00E514C7">
        <w:rPr>
          <w:szCs w:val="21"/>
          <w:lang w:val="en-GB"/>
        </w:rPr>
        <w:t>.</w:t>
      </w:r>
      <w:r>
        <w:rPr>
          <w:rFonts w:hint="eastAsia"/>
          <w:szCs w:val="21"/>
          <w:lang w:val="en-GB"/>
        </w:rPr>
        <w:t>7</w:t>
      </w:r>
      <w:r w:rsidR="00E514C7" w:rsidRPr="00E514C7">
        <w:rPr>
          <w:rFonts w:hint="eastAsia"/>
          <w:szCs w:val="21"/>
          <w:lang w:val="en-GB"/>
        </w:rPr>
        <w:t xml:space="preserve">  </w:t>
      </w:r>
      <w:r w:rsidR="00E514C7" w:rsidRPr="00E514C7">
        <w:rPr>
          <w:rFonts w:hint="eastAsia"/>
          <w:szCs w:val="21"/>
        </w:rPr>
        <w:t>联合国表示，除非证明这样做是为了煽动歧视，否则任何人不得因传播仇恨言论而受到惩罚。理事会认为，</w:t>
      </w:r>
      <w:r w:rsidR="00726D1E">
        <w:rPr>
          <w:rFonts w:hint="eastAsia"/>
          <w:szCs w:val="21"/>
        </w:rPr>
        <w:t>根据《公约》第十条，</w:t>
      </w:r>
      <w:r w:rsidR="00E514C7" w:rsidRPr="00E514C7">
        <w:rPr>
          <w:rFonts w:hint="eastAsia"/>
          <w:szCs w:val="21"/>
        </w:rPr>
        <w:t>在民主社会中，对通过宗教事务有意并严重扰乱公共秩序、号召人们实施公共暴力的行为有必要予以禁止</w:t>
      </w:r>
      <w:r w:rsidR="00726D1E">
        <w:rPr>
          <w:rFonts w:hint="eastAsia"/>
          <w:szCs w:val="21"/>
        </w:rPr>
        <w:t>(</w:t>
      </w:r>
      <w:r w:rsidR="00726D1E">
        <w:rPr>
          <w:rFonts w:hint="eastAsia"/>
          <w:szCs w:val="21"/>
        </w:rPr>
        <w:t>《欧洲人权公约》</w:t>
      </w:r>
      <w:r w:rsidR="00726D1E">
        <w:rPr>
          <w:rFonts w:hint="eastAsia"/>
          <w:szCs w:val="21"/>
        </w:rPr>
        <w:t>)</w:t>
      </w:r>
      <w:r w:rsidR="00E514C7" w:rsidRPr="00E514C7">
        <w:rPr>
          <w:rFonts w:hint="eastAsia"/>
          <w:szCs w:val="21"/>
        </w:rPr>
        <w:t>。应该受到限制的是那些不仅表达了要扰乱公共秩序、并且还呼吁进行公共暴力的言论。</w:t>
      </w:r>
    </w:p>
    <w:p w:rsidR="00E514C7" w:rsidRPr="00E514C7" w:rsidRDefault="00EC62E1" w:rsidP="00EC62E1">
      <w:pPr>
        <w:pStyle w:val="SingleTxtGC"/>
        <w:rPr>
          <w:szCs w:val="21"/>
        </w:rPr>
      </w:pPr>
      <w:r>
        <w:rPr>
          <w:szCs w:val="21"/>
          <w:lang w:val="en-GB"/>
        </w:rPr>
        <w:t>6</w:t>
      </w:r>
      <w:r w:rsidR="00E514C7" w:rsidRPr="00E514C7">
        <w:rPr>
          <w:szCs w:val="21"/>
          <w:lang w:val="en-GB"/>
        </w:rPr>
        <w:t>.</w:t>
      </w:r>
      <w:r>
        <w:rPr>
          <w:rFonts w:hint="eastAsia"/>
          <w:szCs w:val="21"/>
          <w:lang w:val="en-GB"/>
        </w:rPr>
        <w:t>8</w:t>
      </w:r>
      <w:r w:rsidR="00E514C7" w:rsidRPr="00E514C7">
        <w:rPr>
          <w:rFonts w:hint="eastAsia"/>
          <w:szCs w:val="21"/>
          <w:lang w:val="en-GB"/>
        </w:rPr>
        <w:t xml:space="preserve">  </w:t>
      </w:r>
      <w:r w:rsidR="00E514C7" w:rsidRPr="00E514C7">
        <w:rPr>
          <w:rFonts w:hint="eastAsia"/>
          <w:szCs w:val="21"/>
          <w:lang w:val="en-GB"/>
        </w:rPr>
        <w:t>界定哪些行为属于</w:t>
      </w:r>
      <w:r w:rsidR="00E514C7" w:rsidRPr="00E514C7">
        <w:rPr>
          <w:rFonts w:hint="eastAsia"/>
          <w:szCs w:val="21"/>
        </w:rPr>
        <w:t>第二十条涵盖的范围，仍然很困难。在即便被认为是冒犯性的批评与煽动歧视之间无法划出明确的界限。针对仇恨言论也没有普遍接受的定义。每一组事实都是特别的，只能根据具体情况和背景进行评估和裁决。那是要由法庭所承担的艰巨任务。提交人几乎只是根据定义就认定维尔德斯先生的言论符合第二十条，这是不对的。要由法院来判定每个具体的言论。任何其他方式都会侵害被告接受公平审判的权利。</w:t>
      </w:r>
    </w:p>
    <w:p w:rsidR="00E514C7" w:rsidRPr="00E514C7" w:rsidRDefault="00EC62E1" w:rsidP="000571A7">
      <w:pPr>
        <w:pStyle w:val="SingleTxtGC"/>
        <w:rPr>
          <w:szCs w:val="21"/>
        </w:rPr>
      </w:pPr>
      <w:r>
        <w:rPr>
          <w:szCs w:val="21"/>
          <w:lang w:val="en-GB"/>
        </w:rPr>
        <w:t>6</w:t>
      </w:r>
      <w:r w:rsidR="00E514C7" w:rsidRPr="00E514C7">
        <w:rPr>
          <w:szCs w:val="21"/>
          <w:lang w:val="en-GB"/>
        </w:rPr>
        <w:t>.</w:t>
      </w:r>
      <w:r>
        <w:rPr>
          <w:rFonts w:hint="eastAsia"/>
          <w:szCs w:val="21"/>
          <w:lang w:val="en-GB"/>
        </w:rPr>
        <w:t>9</w:t>
      </w:r>
      <w:r w:rsidR="00E514C7" w:rsidRPr="00E514C7">
        <w:rPr>
          <w:rFonts w:hint="eastAsia"/>
          <w:szCs w:val="21"/>
          <w:lang w:val="en-GB"/>
        </w:rPr>
        <w:t xml:space="preserve">  </w:t>
      </w:r>
      <w:r w:rsidR="00E514C7" w:rsidRPr="00E514C7">
        <w:rPr>
          <w:rFonts w:hint="eastAsia"/>
          <w:szCs w:val="21"/>
        </w:rPr>
        <w:t>《刑法典》第</w:t>
      </w:r>
      <w:r>
        <w:rPr>
          <w:szCs w:val="21"/>
        </w:rPr>
        <w:t>137</w:t>
      </w:r>
      <w:r w:rsidR="00E514C7" w:rsidRPr="00E514C7">
        <w:rPr>
          <w:rFonts w:hint="eastAsia"/>
          <w:szCs w:val="21"/>
        </w:rPr>
        <w:t>条</w:t>
      </w:r>
      <w:r w:rsidR="000571A7">
        <w:rPr>
          <w:rFonts w:hint="eastAsia"/>
          <w:szCs w:val="21"/>
        </w:rPr>
        <w:t>d</w:t>
      </w:r>
      <w:r w:rsidR="000571A7">
        <w:rPr>
          <w:rFonts w:hint="eastAsia"/>
          <w:szCs w:val="21"/>
        </w:rPr>
        <w:t>款</w:t>
      </w:r>
      <w:r w:rsidR="00E514C7" w:rsidRPr="00E514C7">
        <w:rPr>
          <w:rFonts w:hint="eastAsia"/>
          <w:szCs w:val="21"/>
        </w:rPr>
        <w:t>的立法史表明，其目的是将针对个人而非宗教的仇恨煽动或歧视定为刑事犯罪。针对根深蒂固的宗教信仰、信仰本身以及基于此的机构和组织的批评是可以接受的。由于必须在尽可能多的范围内允许对宗教或信仰的批评</w:t>
      </w:r>
      <w:r w:rsidR="005D2190">
        <w:rPr>
          <w:rFonts w:hint="eastAsia"/>
          <w:szCs w:val="21"/>
        </w:rPr>
        <w:t>(</w:t>
      </w:r>
      <w:r w:rsidR="00E514C7" w:rsidRPr="00E514C7">
        <w:rPr>
          <w:rFonts w:hint="eastAsia"/>
          <w:szCs w:val="21"/>
        </w:rPr>
        <w:t>即使这种批评触及信徒和宗教机构或组织最深的信念</w:t>
      </w:r>
      <w:r w:rsidR="005D2190">
        <w:rPr>
          <w:rFonts w:hint="eastAsia"/>
          <w:szCs w:val="21"/>
        </w:rPr>
        <w:t>)</w:t>
      </w:r>
      <w:r w:rsidR="00E514C7" w:rsidRPr="00E514C7">
        <w:rPr>
          <w:rFonts w:hint="eastAsia"/>
          <w:szCs w:val="21"/>
        </w:rPr>
        <w:t>，所以在将这种批评确定为不受</w:t>
      </w:r>
      <w:r w:rsidR="000571A7" w:rsidRPr="00E514C7">
        <w:rPr>
          <w:rFonts w:hint="eastAsia"/>
          <w:szCs w:val="21"/>
        </w:rPr>
        <w:t>第</w:t>
      </w:r>
      <w:r w:rsidR="000571A7">
        <w:rPr>
          <w:szCs w:val="21"/>
        </w:rPr>
        <w:t>137</w:t>
      </w:r>
      <w:r w:rsidR="000571A7" w:rsidRPr="00E514C7">
        <w:rPr>
          <w:rFonts w:hint="eastAsia"/>
          <w:szCs w:val="21"/>
        </w:rPr>
        <w:t>条</w:t>
      </w:r>
      <w:r w:rsidR="000571A7">
        <w:rPr>
          <w:rFonts w:hint="eastAsia"/>
          <w:szCs w:val="21"/>
        </w:rPr>
        <w:t>d</w:t>
      </w:r>
      <w:r w:rsidR="000571A7">
        <w:rPr>
          <w:rFonts w:hint="eastAsia"/>
          <w:szCs w:val="21"/>
        </w:rPr>
        <w:t>款</w:t>
      </w:r>
      <w:r w:rsidR="00E514C7" w:rsidRPr="00E514C7">
        <w:rPr>
          <w:rFonts w:hint="eastAsia"/>
          <w:szCs w:val="21"/>
        </w:rPr>
        <w:t>管辖范围方面，言论自由发挥了作用。但是，如果批评是明确针对个人而非简单地针对他们的观点、信念和行为，这时批评就是一种刑事犯罪。对某一信仰的侮辱性攻击并不自动构成对那些坚持信仰的人的攻击；根据法律，对某种信仰的侮辱性描述如果涉及到对持有信仰的人，就是对他人的侮辱。只有在涉及宗教而非种族或族裔出身时，这种区别才适用。立法沿革确定，在解释</w:t>
      </w:r>
      <w:r>
        <w:rPr>
          <w:rFonts w:hint="eastAsia"/>
          <w:szCs w:val="21"/>
        </w:rPr>
        <w:t>“</w:t>
      </w:r>
      <w:r w:rsidR="00E514C7" w:rsidRPr="00E514C7">
        <w:rPr>
          <w:rFonts w:hint="eastAsia"/>
          <w:szCs w:val="21"/>
        </w:rPr>
        <w:t>煽动</w:t>
      </w:r>
      <w:r>
        <w:rPr>
          <w:rFonts w:hint="eastAsia"/>
          <w:szCs w:val="21"/>
        </w:rPr>
        <w:t>”</w:t>
      </w:r>
      <w:r w:rsidR="00E514C7" w:rsidRPr="00E514C7">
        <w:rPr>
          <w:rFonts w:hint="eastAsia"/>
          <w:szCs w:val="21"/>
        </w:rPr>
        <w:t>一词时，立法者寻求与《刑法典》第</w:t>
      </w:r>
      <w:r>
        <w:rPr>
          <w:szCs w:val="21"/>
        </w:rPr>
        <w:t>131</w:t>
      </w:r>
      <w:r w:rsidR="00E514C7" w:rsidRPr="00E514C7">
        <w:rPr>
          <w:rFonts w:hint="eastAsia"/>
          <w:szCs w:val="21"/>
        </w:rPr>
        <w:t>条所定义的犯罪的关联性，即引发刑事犯罪的煽动性行为。</w:t>
      </w:r>
    </w:p>
    <w:p w:rsidR="00E514C7" w:rsidRPr="00E514C7" w:rsidRDefault="00EC62E1" w:rsidP="000571A7">
      <w:pPr>
        <w:pStyle w:val="SingleTxtGC"/>
        <w:rPr>
          <w:szCs w:val="21"/>
        </w:rPr>
      </w:pPr>
      <w:r>
        <w:rPr>
          <w:szCs w:val="21"/>
          <w:lang w:val="en-GB"/>
        </w:rPr>
        <w:t>6</w:t>
      </w:r>
      <w:r w:rsidR="00E514C7" w:rsidRPr="00E514C7">
        <w:rPr>
          <w:szCs w:val="21"/>
          <w:lang w:val="en-GB"/>
        </w:rPr>
        <w:t>.</w:t>
      </w:r>
      <w:r>
        <w:rPr>
          <w:rFonts w:hint="eastAsia"/>
          <w:szCs w:val="21"/>
          <w:lang w:val="en-GB"/>
        </w:rPr>
        <w:t>1</w:t>
      </w:r>
      <w:r w:rsidR="00E514C7" w:rsidRPr="00E514C7">
        <w:rPr>
          <w:rFonts w:hint="eastAsia"/>
          <w:szCs w:val="21"/>
          <w:lang w:val="en-GB"/>
        </w:rPr>
        <w:t xml:space="preserve">0  </w:t>
      </w:r>
      <w:r w:rsidR="00E514C7" w:rsidRPr="00E514C7">
        <w:rPr>
          <w:rFonts w:hint="eastAsia"/>
          <w:szCs w:val="21"/>
        </w:rPr>
        <w:t>《刑法典》</w:t>
      </w:r>
      <w:r w:rsidR="000571A7" w:rsidRPr="00E514C7">
        <w:rPr>
          <w:rFonts w:hint="eastAsia"/>
          <w:szCs w:val="21"/>
        </w:rPr>
        <w:t>第</w:t>
      </w:r>
      <w:r w:rsidR="000571A7">
        <w:rPr>
          <w:szCs w:val="21"/>
        </w:rPr>
        <w:t>137</w:t>
      </w:r>
      <w:r w:rsidR="000571A7" w:rsidRPr="00E514C7">
        <w:rPr>
          <w:rFonts w:hint="eastAsia"/>
          <w:szCs w:val="21"/>
        </w:rPr>
        <w:t>条</w:t>
      </w:r>
      <w:r w:rsidR="000571A7">
        <w:rPr>
          <w:rFonts w:hint="eastAsia"/>
          <w:szCs w:val="21"/>
        </w:rPr>
        <w:t>d</w:t>
      </w:r>
      <w:r w:rsidR="000571A7">
        <w:rPr>
          <w:rFonts w:hint="eastAsia"/>
          <w:szCs w:val="21"/>
        </w:rPr>
        <w:t>款</w:t>
      </w:r>
      <w:r w:rsidR="00E514C7" w:rsidRPr="00E514C7">
        <w:rPr>
          <w:rFonts w:hint="eastAsia"/>
          <w:szCs w:val="21"/>
        </w:rPr>
        <w:t>的起草符合《消除一切形式种族歧视国际公约》。第</w:t>
      </w:r>
      <w:r>
        <w:rPr>
          <w:szCs w:val="21"/>
        </w:rPr>
        <w:t>137</w:t>
      </w:r>
      <w:r w:rsidR="00E514C7" w:rsidRPr="00E514C7">
        <w:rPr>
          <w:rFonts w:hint="eastAsia"/>
          <w:szCs w:val="21"/>
        </w:rPr>
        <w:t>条</w:t>
      </w:r>
      <w:r>
        <w:rPr>
          <w:rFonts w:hint="eastAsia"/>
          <w:szCs w:val="21"/>
        </w:rPr>
        <w:t>d</w:t>
      </w:r>
      <w:r w:rsidR="00E514C7" w:rsidRPr="00E514C7">
        <w:rPr>
          <w:rFonts w:hint="eastAsia"/>
          <w:szCs w:val="21"/>
        </w:rPr>
        <w:t>款中构成歧视的要素是基于第九十条中术语的定义，其内容如下：</w:t>
      </w:r>
      <w:r>
        <w:rPr>
          <w:rFonts w:hint="eastAsia"/>
          <w:szCs w:val="21"/>
        </w:rPr>
        <w:t>“</w:t>
      </w:r>
      <w:r w:rsidR="00E514C7" w:rsidRPr="00E514C7">
        <w:rPr>
          <w:rFonts w:hint="eastAsia"/>
          <w:szCs w:val="21"/>
        </w:rPr>
        <w:t>任何旨在或实际消除或损害了人们在政治或经济领域、在社会或文化事务中或在其他社会生活领域中，基于平等地位的承认、享有或行使人权和基本自由权的区别、排斥、限制或偏好。</w:t>
      </w:r>
      <w:r>
        <w:rPr>
          <w:rFonts w:hint="eastAsia"/>
          <w:szCs w:val="21"/>
        </w:rPr>
        <w:t>”</w:t>
      </w:r>
      <w:r w:rsidR="00E514C7" w:rsidRPr="00E514C7">
        <w:rPr>
          <w:rFonts w:hint="eastAsia"/>
          <w:szCs w:val="21"/>
        </w:rPr>
        <w:t>歧视是一种明确定义的行为。与煽动仇恨</w:t>
      </w:r>
      <w:r w:rsidR="005D2190">
        <w:rPr>
          <w:rFonts w:hint="eastAsia"/>
          <w:szCs w:val="21"/>
        </w:rPr>
        <w:t>(</w:t>
      </w:r>
      <w:r w:rsidR="00E514C7" w:rsidRPr="00E514C7">
        <w:rPr>
          <w:rFonts w:hint="eastAsia"/>
          <w:szCs w:val="21"/>
        </w:rPr>
        <w:t>极端情绪</w:t>
      </w:r>
      <w:r w:rsidR="005D2190">
        <w:rPr>
          <w:rFonts w:hint="eastAsia"/>
          <w:szCs w:val="21"/>
        </w:rPr>
        <w:t>)</w:t>
      </w:r>
      <w:r w:rsidR="00E514C7" w:rsidRPr="00E514C7">
        <w:rPr>
          <w:rFonts w:hint="eastAsia"/>
          <w:szCs w:val="21"/>
        </w:rPr>
        <w:t>不同，煽动歧视并不需要强化的要素。</w:t>
      </w:r>
    </w:p>
    <w:p w:rsidR="00E514C7" w:rsidRPr="00E514C7" w:rsidRDefault="00EC62E1" w:rsidP="00EC62E1">
      <w:pPr>
        <w:pStyle w:val="SingleTxtGC"/>
        <w:rPr>
          <w:szCs w:val="21"/>
        </w:rPr>
      </w:pPr>
      <w:r>
        <w:rPr>
          <w:szCs w:val="21"/>
          <w:lang w:val="en-GB"/>
        </w:rPr>
        <w:t>6</w:t>
      </w:r>
      <w:r w:rsidR="00E514C7" w:rsidRPr="00E514C7">
        <w:rPr>
          <w:szCs w:val="21"/>
          <w:lang w:val="en-GB"/>
        </w:rPr>
        <w:t>.</w:t>
      </w:r>
      <w:r>
        <w:rPr>
          <w:rFonts w:hint="eastAsia"/>
          <w:szCs w:val="21"/>
          <w:lang w:val="en-GB"/>
        </w:rPr>
        <w:t>11</w:t>
      </w:r>
      <w:r w:rsidR="00E514C7" w:rsidRPr="00E514C7">
        <w:rPr>
          <w:rFonts w:hint="eastAsia"/>
          <w:szCs w:val="21"/>
          <w:lang w:val="en-GB"/>
        </w:rPr>
        <w:t xml:space="preserve">  </w:t>
      </w:r>
      <w:r w:rsidR="00E514C7" w:rsidRPr="00E514C7">
        <w:rPr>
          <w:rFonts w:hint="eastAsia"/>
          <w:szCs w:val="21"/>
        </w:rPr>
        <w:t>不能将该判决视为偏离现行的国内判例法。案件要求基于歧视的起诉需要对特定语言及其背景情况进行逐案评估。案件结果通常是定罪，但也经常导致无罪释放。在判决中，法院认为，</w:t>
      </w:r>
      <w:r>
        <w:rPr>
          <w:rFonts w:hint="eastAsia"/>
          <w:szCs w:val="21"/>
        </w:rPr>
        <w:t>“</w:t>
      </w:r>
      <w:r w:rsidR="00E514C7" w:rsidRPr="00E514C7">
        <w:rPr>
          <w:rFonts w:hint="eastAsia"/>
          <w:szCs w:val="21"/>
        </w:rPr>
        <w:t>将根据他们的措辞评估各种陈述、与其他采访或文章的关联、被告就本案的其他陈述以及案件档案中的陈述以及陈述的背景</w:t>
      </w:r>
      <w:r>
        <w:rPr>
          <w:rFonts w:hint="eastAsia"/>
          <w:szCs w:val="21"/>
        </w:rPr>
        <w:t>”</w:t>
      </w:r>
      <w:r w:rsidR="00E514C7" w:rsidRPr="00E514C7">
        <w:rPr>
          <w:rFonts w:hint="eastAsia"/>
          <w:szCs w:val="21"/>
        </w:rPr>
        <w:t>。起诉书并不涉及个别陈述；起诉书中的第二和第三项共列出了</w:t>
      </w:r>
      <w:r>
        <w:rPr>
          <w:szCs w:val="21"/>
        </w:rPr>
        <w:t>28</w:t>
      </w:r>
      <w:r w:rsidR="00E514C7" w:rsidRPr="00E514C7">
        <w:rPr>
          <w:rFonts w:hint="eastAsia"/>
          <w:szCs w:val="21"/>
        </w:rPr>
        <w:t>项陈述。因此，提交人认为法院没有考虑陈述的上下文关系及其累积效应的说法是不正确的。</w:t>
      </w:r>
    </w:p>
    <w:p w:rsidR="00E514C7" w:rsidRPr="00E514C7" w:rsidRDefault="00EC62E1" w:rsidP="000571A7">
      <w:pPr>
        <w:pStyle w:val="SingleTxtGC"/>
        <w:rPr>
          <w:szCs w:val="21"/>
        </w:rPr>
      </w:pPr>
      <w:r>
        <w:rPr>
          <w:szCs w:val="21"/>
          <w:lang w:val="en-GB"/>
        </w:rPr>
        <w:t>6</w:t>
      </w:r>
      <w:r w:rsidR="00E514C7" w:rsidRPr="00E514C7">
        <w:rPr>
          <w:szCs w:val="21"/>
          <w:lang w:val="en-GB"/>
        </w:rPr>
        <w:t>.</w:t>
      </w:r>
      <w:r>
        <w:rPr>
          <w:rFonts w:hint="eastAsia"/>
          <w:szCs w:val="21"/>
          <w:lang w:val="en-GB"/>
        </w:rPr>
        <w:t>12</w:t>
      </w:r>
      <w:r w:rsidR="00E514C7" w:rsidRPr="00E514C7">
        <w:rPr>
          <w:rFonts w:hint="eastAsia"/>
          <w:szCs w:val="21"/>
          <w:lang w:val="en-GB"/>
        </w:rPr>
        <w:t xml:space="preserve">  </w:t>
      </w:r>
      <w:r w:rsidR="00E514C7" w:rsidRPr="00E514C7">
        <w:rPr>
          <w:rFonts w:hint="eastAsia"/>
          <w:szCs w:val="21"/>
        </w:rPr>
        <w:t>在对伊斯兰教的批评和对穆斯林的批评之间，法庭没有人为加以区分。</w:t>
      </w:r>
      <w:r w:rsidR="000571A7" w:rsidRPr="00E514C7">
        <w:rPr>
          <w:rFonts w:hint="eastAsia"/>
          <w:szCs w:val="21"/>
        </w:rPr>
        <w:t>第</w:t>
      </w:r>
      <w:r w:rsidR="000571A7">
        <w:rPr>
          <w:szCs w:val="21"/>
        </w:rPr>
        <w:t>137</w:t>
      </w:r>
      <w:r w:rsidR="000571A7" w:rsidRPr="00E514C7">
        <w:rPr>
          <w:rFonts w:hint="eastAsia"/>
          <w:szCs w:val="21"/>
        </w:rPr>
        <w:t>条</w:t>
      </w:r>
      <w:r w:rsidR="000571A7">
        <w:rPr>
          <w:rFonts w:hint="eastAsia"/>
          <w:szCs w:val="21"/>
        </w:rPr>
        <w:t>d</w:t>
      </w:r>
      <w:r w:rsidR="000571A7">
        <w:rPr>
          <w:rFonts w:hint="eastAsia"/>
          <w:szCs w:val="21"/>
        </w:rPr>
        <w:t>款</w:t>
      </w:r>
      <w:r w:rsidR="00E514C7" w:rsidRPr="00E514C7">
        <w:rPr>
          <w:rFonts w:hint="eastAsia"/>
          <w:szCs w:val="21"/>
        </w:rPr>
        <w:t>规定，煽动仇恨或歧视，是指明确指向某个具有宗教特征、并以宗教与他人区分开来的特定群体的言论。判决也表明，对伊斯兰教的批评和对穆斯林的批评之间的区别不应在每个案例中都以文字列出。</w:t>
      </w:r>
    </w:p>
    <w:p w:rsidR="00E514C7" w:rsidRPr="00E514C7" w:rsidRDefault="00EC62E1" w:rsidP="00EC62E1">
      <w:pPr>
        <w:pStyle w:val="SingleTxtGC"/>
        <w:rPr>
          <w:szCs w:val="21"/>
        </w:rPr>
      </w:pPr>
      <w:r>
        <w:rPr>
          <w:szCs w:val="21"/>
          <w:lang w:val="en-GB"/>
        </w:rPr>
        <w:lastRenderedPageBreak/>
        <w:t>6</w:t>
      </w:r>
      <w:r w:rsidR="00E514C7" w:rsidRPr="00E514C7">
        <w:rPr>
          <w:szCs w:val="21"/>
          <w:lang w:val="en-GB"/>
        </w:rPr>
        <w:t>.</w:t>
      </w:r>
      <w:r>
        <w:rPr>
          <w:rFonts w:hint="eastAsia"/>
          <w:szCs w:val="21"/>
          <w:lang w:val="en-GB"/>
        </w:rPr>
        <w:t>13</w:t>
      </w:r>
      <w:r w:rsidR="00E514C7" w:rsidRPr="00E514C7">
        <w:rPr>
          <w:rFonts w:hint="eastAsia"/>
          <w:szCs w:val="21"/>
          <w:lang w:val="en-GB"/>
        </w:rPr>
        <w:t xml:space="preserve">  </w:t>
      </w:r>
      <w:r w:rsidR="00E514C7" w:rsidRPr="00E514C7">
        <w:rPr>
          <w:rFonts w:hint="eastAsia"/>
          <w:szCs w:val="21"/>
        </w:rPr>
        <w:t>提交人对威尔德斯先生煽动基于种族的仇恨和歧视却被宣告无罪提出批评，法庭认为，</w:t>
      </w:r>
      <w:r>
        <w:rPr>
          <w:rFonts w:hint="eastAsia"/>
          <w:szCs w:val="21"/>
        </w:rPr>
        <w:t>“</w:t>
      </w:r>
      <w:r w:rsidR="00E514C7" w:rsidRPr="00E514C7">
        <w:rPr>
          <w:rFonts w:hint="eastAsia"/>
          <w:szCs w:val="21"/>
        </w:rPr>
        <w:t>种族</w:t>
      </w:r>
      <w:r>
        <w:rPr>
          <w:rFonts w:hint="eastAsia"/>
          <w:szCs w:val="21"/>
        </w:rPr>
        <w:t>”</w:t>
      </w:r>
      <w:r w:rsidR="00E514C7" w:rsidRPr="00E514C7">
        <w:rPr>
          <w:rFonts w:hint="eastAsia"/>
          <w:szCs w:val="21"/>
        </w:rPr>
        <w:t>的理由不能适用于</w:t>
      </w:r>
      <w:bookmarkStart w:id="0" w:name="_GoBack"/>
      <w:bookmarkEnd w:id="0"/>
      <w:r w:rsidR="00E514C7" w:rsidRPr="00E514C7">
        <w:rPr>
          <w:rFonts w:hint="eastAsia"/>
          <w:szCs w:val="21"/>
        </w:rPr>
        <w:t>摩洛哥和非西方移民。法院确实认为，这项指控的种族成分无法证明。然而，这并不意味着法院认为这一理由永远不适用于摩洛哥和非西方移民。这样的结论也不符合现行的国内判例，其认为种族的定义也涵盖血统、民族和种族起源。</w:t>
      </w:r>
    </w:p>
    <w:p w:rsidR="00E514C7" w:rsidRPr="00E514C7" w:rsidRDefault="00EC62E1" w:rsidP="000571A7">
      <w:pPr>
        <w:pStyle w:val="SingleTxtGC"/>
        <w:rPr>
          <w:b/>
          <w:szCs w:val="21"/>
        </w:rPr>
      </w:pPr>
      <w:r>
        <w:rPr>
          <w:bCs/>
          <w:szCs w:val="21"/>
          <w:lang w:val="en-GB"/>
        </w:rPr>
        <w:t>6</w:t>
      </w:r>
      <w:r w:rsidR="00E514C7" w:rsidRPr="00E514C7">
        <w:rPr>
          <w:bCs/>
          <w:szCs w:val="21"/>
          <w:lang w:val="en-GB"/>
        </w:rPr>
        <w:t>.</w:t>
      </w:r>
      <w:r>
        <w:rPr>
          <w:bCs/>
          <w:szCs w:val="21"/>
          <w:lang w:val="en-GB"/>
        </w:rPr>
        <w:t>1</w:t>
      </w:r>
      <w:r>
        <w:rPr>
          <w:rFonts w:hint="eastAsia"/>
          <w:bCs/>
          <w:szCs w:val="21"/>
          <w:lang w:val="en-GB"/>
        </w:rPr>
        <w:t>4</w:t>
      </w:r>
      <w:r w:rsidR="00E514C7" w:rsidRPr="00E514C7">
        <w:rPr>
          <w:rFonts w:hint="eastAsia"/>
          <w:bCs/>
          <w:szCs w:val="21"/>
          <w:lang w:val="en-GB"/>
        </w:rPr>
        <w:t xml:space="preserve">  </w:t>
      </w:r>
      <w:r w:rsidR="00E514C7" w:rsidRPr="00E514C7">
        <w:rPr>
          <w:rFonts w:hint="eastAsia"/>
          <w:bCs/>
          <w:szCs w:val="21"/>
        </w:rPr>
        <w:t>对于其中一些言论，鉴于公开辩论的重要性，法庭作出了认定</w:t>
      </w:r>
      <w:r>
        <w:rPr>
          <w:rFonts w:hint="eastAsia"/>
          <w:bCs/>
          <w:szCs w:val="21"/>
        </w:rPr>
        <w:t>“</w:t>
      </w:r>
      <w:r w:rsidR="00E514C7" w:rsidRPr="00E514C7">
        <w:rPr>
          <w:rFonts w:hint="eastAsia"/>
          <w:bCs/>
          <w:szCs w:val="21"/>
        </w:rPr>
        <w:t>煽动歧视</w:t>
      </w:r>
      <w:r>
        <w:rPr>
          <w:rFonts w:hint="eastAsia"/>
          <w:bCs/>
          <w:szCs w:val="21"/>
        </w:rPr>
        <w:t>”</w:t>
      </w:r>
      <w:r w:rsidR="00E514C7" w:rsidRPr="00E514C7">
        <w:rPr>
          <w:rFonts w:hint="eastAsia"/>
          <w:bCs/>
          <w:szCs w:val="21"/>
        </w:rPr>
        <w:t>并没有得到证实的裁决。该评估符合欧洲法院根据《欧洲公约》第十条</w:t>
      </w:r>
      <w:r w:rsidR="000571A7">
        <w:rPr>
          <w:rFonts w:hint="eastAsia"/>
          <w:bCs/>
          <w:szCs w:val="21"/>
        </w:rPr>
        <w:t>第</w:t>
      </w:r>
      <w:r w:rsidR="000571A7">
        <w:rPr>
          <w:rFonts w:hint="eastAsia"/>
          <w:bCs/>
          <w:szCs w:val="21"/>
        </w:rPr>
        <w:t>(</w:t>
      </w:r>
      <w:r w:rsidR="000571A7">
        <w:rPr>
          <w:bCs/>
          <w:szCs w:val="21"/>
        </w:rPr>
        <w:t>2</w:t>
      </w:r>
      <w:r w:rsidR="000571A7">
        <w:rPr>
          <w:rFonts w:hint="eastAsia"/>
          <w:bCs/>
          <w:szCs w:val="21"/>
        </w:rPr>
        <w:t>)</w:t>
      </w:r>
      <w:r w:rsidR="000571A7">
        <w:rPr>
          <w:rFonts w:hint="eastAsia"/>
          <w:bCs/>
          <w:szCs w:val="21"/>
        </w:rPr>
        <w:t>款</w:t>
      </w:r>
      <w:r w:rsidR="00E514C7" w:rsidRPr="00E514C7">
        <w:rPr>
          <w:rFonts w:hint="eastAsia"/>
          <w:bCs/>
          <w:szCs w:val="21"/>
        </w:rPr>
        <w:t>的判例，该判例认为必须允许一定范围内的政治辩论，并且只有出于令人信服的理由才能对政治言论加以限制。</w:t>
      </w:r>
    </w:p>
    <w:p w:rsidR="00E514C7" w:rsidRPr="00E514C7" w:rsidRDefault="00EC62E1" w:rsidP="00EC62E1">
      <w:pPr>
        <w:pStyle w:val="SingleTxtGC"/>
        <w:rPr>
          <w:szCs w:val="21"/>
        </w:rPr>
      </w:pPr>
      <w:r>
        <w:rPr>
          <w:rFonts w:hint="eastAsia"/>
          <w:szCs w:val="21"/>
        </w:rPr>
        <w:t>6</w:t>
      </w:r>
      <w:r w:rsidR="00E514C7" w:rsidRPr="00E514C7">
        <w:rPr>
          <w:rFonts w:hint="eastAsia"/>
          <w:szCs w:val="21"/>
        </w:rPr>
        <w:t>.</w:t>
      </w:r>
      <w:r>
        <w:rPr>
          <w:rFonts w:hint="eastAsia"/>
          <w:szCs w:val="21"/>
        </w:rPr>
        <w:t>15</w:t>
      </w:r>
      <w:r w:rsidR="00E514C7" w:rsidRPr="00E514C7">
        <w:rPr>
          <w:rFonts w:hint="eastAsia"/>
          <w:szCs w:val="21"/>
        </w:rPr>
        <w:t xml:space="preserve">  </w:t>
      </w:r>
      <w:r w:rsidR="00E514C7" w:rsidRPr="00E514C7">
        <w:rPr>
          <w:rFonts w:hint="eastAsia"/>
          <w:szCs w:val="21"/>
        </w:rPr>
        <w:t>法庭认为，多元文化社会和移民是公开辩论中发言的主题。辩论越激烈，越需要更大范围的言论自由，在这种情况下，一些言论甚至可能会冒犯、震惊或打扰他人。法庭认为，维尔德斯先生的言论从性质上看，并没有严重到由于过激而应视为具有犯罪性质，因而应被排除在公开辩论之外的程度。因此，法院没有将公开辩论视为绝对例外，而是笼统地指出了可能会出现煽动歧视的范围。提交人也没有对电影</w:t>
      </w:r>
      <w:r>
        <w:rPr>
          <w:szCs w:val="21"/>
        </w:rPr>
        <w:t>Fitna</w:t>
      </w:r>
      <w:r w:rsidR="00E514C7" w:rsidRPr="00E514C7">
        <w:rPr>
          <w:rFonts w:hint="eastAsia"/>
          <w:szCs w:val="21"/>
        </w:rPr>
        <w:t>做出准确描述。</w:t>
      </w:r>
    </w:p>
    <w:p w:rsidR="00E514C7" w:rsidRPr="00E514C7" w:rsidRDefault="00EC62E1" w:rsidP="005B7B19">
      <w:pPr>
        <w:pStyle w:val="SingleTxtGC"/>
        <w:rPr>
          <w:szCs w:val="21"/>
        </w:rPr>
      </w:pPr>
      <w:r>
        <w:rPr>
          <w:szCs w:val="21"/>
          <w:lang w:val="en-GB"/>
        </w:rPr>
        <w:t>6</w:t>
      </w:r>
      <w:r w:rsidR="00E514C7" w:rsidRPr="00E514C7">
        <w:rPr>
          <w:szCs w:val="21"/>
          <w:lang w:val="en-GB"/>
        </w:rPr>
        <w:t>.</w:t>
      </w:r>
      <w:r>
        <w:rPr>
          <w:szCs w:val="21"/>
          <w:lang w:val="en-GB"/>
        </w:rPr>
        <w:t>16</w:t>
      </w:r>
      <w:r>
        <w:rPr>
          <w:rFonts w:hint="eastAsia"/>
          <w:szCs w:val="21"/>
          <w:lang w:val="en-GB"/>
        </w:rPr>
        <w:t xml:space="preserve">  </w:t>
      </w:r>
      <w:r w:rsidR="00E514C7" w:rsidRPr="00E514C7">
        <w:rPr>
          <w:rFonts w:hint="eastAsia"/>
          <w:szCs w:val="21"/>
        </w:rPr>
        <w:t>由于这些原因，缔约国认为来文并没有违反《公约》第二十条。鉴于提交人提及</w:t>
      </w:r>
      <w:r w:rsidR="005B7B19">
        <w:rPr>
          <w:rFonts w:hint="eastAsia"/>
          <w:szCs w:val="21"/>
        </w:rPr>
        <w:t>第二十六条和第二十七条与</w:t>
      </w:r>
      <w:r w:rsidR="00E514C7" w:rsidRPr="00E514C7">
        <w:rPr>
          <w:rFonts w:hint="eastAsia"/>
          <w:szCs w:val="21"/>
        </w:rPr>
        <w:t>第二十条之间的密切联系，并且鉴于他们没有就第二十六条</w:t>
      </w:r>
      <w:r w:rsidR="005B7B19">
        <w:rPr>
          <w:rFonts w:hint="eastAsia"/>
          <w:szCs w:val="21"/>
        </w:rPr>
        <w:t>和第二十七条</w:t>
      </w:r>
      <w:r w:rsidR="00E514C7" w:rsidRPr="00E514C7">
        <w:rPr>
          <w:rFonts w:hint="eastAsia"/>
          <w:szCs w:val="21"/>
        </w:rPr>
        <w:t>提出任何单独的理由，缔约国将意见局限在第二十条范围之内。</w:t>
      </w:r>
    </w:p>
    <w:p w:rsidR="00E514C7" w:rsidRPr="00E514C7" w:rsidRDefault="00E514C7" w:rsidP="00EC62E1">
      <w:pPr>
        <w:pStyle w:val="H23GC"/>
        <w:rPr>
          <w:lang w:val="en-GB"/>
        </w:rPr>
      </w:pPr>
      <w:r w:rsidRPr="00E514C7">
        <w:rPr>
          <w:lang w:val="en-GB"/>
        </w:rPr>
        <w:tab/>
      </w:r>
      <w:r w:rsidRPr="00E514C7">
        <w:rPr>
          <w:lang w:val="en-GB"/>
        </w:rPr>
        <w:tab/>
      </w:r>
      <w:r w:rsidRPr="00E514C7">
        <w:rPr>
          <w:lang w:val="en-GB"/>
        </w:rPr>
        <w:t>提交人对缔约国关于案情的意见作出的评论</w:t>
      </w:r>
    </w:p>
    <w:p w:rsidR="00E514C7" w:rsidRPr="00E514C7" w:rsidRDefault="00EC62E1" w:rsidP="00E514C7">
      <w:pPr>
        <w:pStyle w:val="SingleTxtGC"/>
        <w:rPr>
          <w:szCs w:val="21"/>
        </w:rPr>
      </w:pPr>
      <w:r>
        <w:rPr>
          <w:szCs w:val="21"/>
          <w:lang w:val="en-GB"/>
        </w:rPr>
        <w:t>7</w:t>
      </w:r>
      <w:r w:rsidR="00E514C7" w:rsidRPr="00E514C7">
        <w:rPr>
          <w:szCs w:val="21"/>
          <w:lang w:val="en-GB"/>
        </w:rPr>
        <w:t>.</w:t>
      </w:r>
      <w:r>
        <w:rPr>
          <w:szCs w:val="21"/>
          <w:lang w:val="en-GB"/>
        </w:rPr>
        <w:t>1</w:t>
      </w:r>
      <w:r>
        <w:rPr>
          <w:rFonts w:hint="eastAsia"/>
          <w:szCs w:val="21"/>
          <w:lang w:val="en-GB"/>
        </w:rPr>
        <w:t xml:space="preserve">  </w:t>
      </w:r>
      <w:r w:rsidR="00E514C7" w:rsidRPr="00E514C7">
        <w:rPr>
          <w:rFonts w:hint="eastAsia"/>
          <w:szCs w:val="21"/>
        </w:rPr>
        <w:t>提交人于</w:t>
      </w:r>
      <w:r>
        <w:rPr>
          <w:szCs w:val="21"/>
        </w:rPr>
        <w:t>2</w:t>
      </w:r>
      <w:r w:rsidR="00E514C7" w:rsidRPr="00E514C7">
        <w:rPr>
          <w:szCs w:val="21"/>
        </w:rPr>
        <w:t>0</w:t>
      </w:r>
      <w:r>
        <w:rPr>
          <w:szCs w:val="21"/>
        </w:rPr>
        <w:t>15</w:t>
      </w:r>
      <w:r w:rsidR="00E514C7" w:rsidRPr="00E514C7">
        <w:rPr>
          <w:rFonts w:hint="eastAsia"/>
          <w:szCs w:val="21"/>
        </w:rPr>
        <w:t>年</w:t>
      </w:r>
      <w:r>
        <w:rPr>
          <w:szCs w:val="21"/>
        </w:rPr>
        <w:t>11</w:t>
      </w:r>
      <w:r w:rsidR="00E514C7" w:rsidRPr="00E514C7">
        <w:rPr>
          <w:rFonts w:hint="eastAsia"/>
          <w:szCs w:val="21"/>
        </w:rPr>
        <w:t>月</w:t>
      </w:r>
      <w:r>
        <w:rPr>
          <w:szCs w:val="21"/>
        </w:rPr>
        <w:t>3</w:t>
      </w:r>
      <w:r w:rsidR="00E514C7" w:rsidRPr="00E514C7">
        <w:rPr>
          <w:szCs w:val="21"/>
        </w:rPr>
        <w:t>0</w:t>
      </w:r>
      <w:r w:rsidR="00E514C7" w:rsidRPr="00E514C7">
        <w:rPr>
          <w:rFonts w:hint="eastAsia"/>
          <w:szCs w:val="21"/>
        </w:rPr>
        <w:t>日提交了意见。他们认为，欧盟委员会在其</w:t>
      </w:r>
      <w:r w:rsidR="005B7B19">
        <w:rPr>
          <w:rFonts w:hint="eastAsia"/>
          <w:szCs w:val="21"/>
        </w:rPr>
        <w:t>2013</w:t>
      </w:r>
      <w:r w:rsidR="005B7B19">
        <w:rPr>
          <w:rFonts w:hint="eastAsia"/>
          <w:szCs w:val="21"/>
        </w:rPr>
        <w:t>年</w:t>
      </w:r>
      <w:r w:rsidR="005B7B19">
        <w:rPr>
          <w:rFonts w:hint="eastAsia"/>
          <w:szCs w:val="21"/>
        </w:rPr>
        <w:t>6</w:t>
      </w:r>
      <w:r w:rsidR="005B7B19">
        <w:rPr>
          <w:rFonts w:hint="eastAsia"/>
          <w:szCs w:val="21"/>
        </w:rPr>
        <w:t>月</w:t>
      </w:r>
      <w:r w:rsidR="005B7B19">
        <w:rPr>
          <w:rFonts w:hint="eastAsia"/>
          <w:szCs w:val="21"/>
        </w:rPr>
        <w:t>20</w:t>
      </w:r>
      <w:r w:rsidR="005B7B19">
        <w:rPr>
          <w:rFonts w:hint="eastAsia"/>
          <w:szCs w:val="21"/>
        </w:rPr>
        <w:t>日</w:t>
      </w:r>
      <w:r w:rsidR="00E514C7" w:rsidRPr="00E514C7">
        <w:rPr>
          <w:rFonts w:hint="eastAsia"/>
          <w:szCs w:val="21"/>
        </w:rPr>
        <w:t>关于荷兰的报告中，对阿姆斯特丹地方法院在审议维尔德斯先生案件中讨论了欧洲法院关于政治言论自由的判例法表示欢迎，但同时表示，欧洲法院指出，如果与所追求的立法目标相符合，则原则上在民主社会中有必要限制令人不能容忍的仇恨言论。因此，就威尔士先生的案件应准确反映欧洲法院判例法的呼吁是必要的。</w:t>
      </w:r>
    </w:p>
    <w:p w:rsidR="00E514C7" w:rsidRPr="00E514C7" w:rsidRDefault="00EC62E1" w:rsidP="005B7B19">
      <w:pPr>
        <w:pStyle w:val="SingleTxtGC"/>
        <w:rPr>
          <w:szCs w:val="21"/>
        </w:rPr>
      </w:pPr>
      <w:r>
        <w:rPr>
          <w:szCs w:val="21"/>
          <w:lang w:val="en-GB"/>
        </w:rPr>
        <w:t>7</w:t>
      </w:r>
      <w:r w:rsidR="00E514C7" w:rsidRPr="00E514C7">
        <w:rPr>
          <w:szCs w:val="21"/>
          <w:lang w:val="en-GB"/>
        </w:rPr>
        <w:t>.</w:t>
      </w:r>
      <w:r>
        <w:rPr>
          <w:szCs w:val="21"/>
          <w:lang w:val="en-GB"/>
        </w:rPr>
        <w:t>2</w:t>
      </w:r>
      <w:r>
        <w:rPr>
          <w:rFonts w:hint="eastAsia"/>
          <w:szCs w:val="21"/>
          <w:lang w:val="en-GB"/>
        </w:rPr>
        <w:t xml:space="preserve">  </w:t>
      </w:r>
      <w:r w:rsidR="00E514C7" w:rsidRPr="00E514C7">
        <w:rPr>
          <w:rFonts w:hint="eastAsia"/>
          <w:szCs w:val="21"/>
        </w:rPr>
        <w:t>关于第二条</w:t>
      </w:r>
      <w:r w:rsidR="005B7B19">
        <w:rPr>
          <w:rFonts w:hint="eastAsia"/>
          <w:szCs w:val="21"/>
        </w:rPr>
        <w:t>第三款</w:t>
      </w:r>
      <w:r w:rsidR="00E514C7" w:rsidRPr="00E514C7">
        <w:rPr>
          <w:rFonts w:hint="eastAsia"/>
          <w:szCs w:val="21"/>
        </w:rPr>
        <w:t>和第十四条</w:t>
      </w:r>
      <w:r w:rsidR="005B7B19">
        <w:rPr>
          <w:rFonts w:hint="eastAsia"/>
          <w:szCs w:val="21"/>
        </w:rPr>
        <w:t>第一款</w:t>
      </w:r>
      <w:r w:rsidR="00E514C7" w:rsidRPr="00E514C7">
        <w:rPr>
          <w:rFonts w:hint="eastAsia"/>
          <w:szCs w:val="21"/>
        </w:rPr>
        <w:t>，提交人否认他们曾声称有权给维尔德斯先生定罪。他们要求关注的是缺乏有效的起诉。检察官决定将起诉委托给最初决定不起诉的同一个人，这表明检察官几乎没有做出任何促使起诉生效的努力。加之没有诚意的定罪企图以及受害人在国家刑事诉讼中处于不利的法律地位，其结果是检察官事实上与辩方立场一致。在国内刑事诉讼中，受害人完全依赖法官和检察官。一个例子是检察官雇用了三名法律学者就是否起诉威尔德斯先生提供咨询意见。提交人对大部分意见都不同意，但不允许他们发表评论或者给自己的专家打电话。</w:t>
      </w:r>
    </w:p>
    <w:p w:rsidR="00E514C7" w:rsidRPr="00E514C7" w:rsidRDefault="00EC62E1" w:rsidP="005B7B19">
      <w:pPr>
        <w:pStyle w:val="SingleTxtGC"/>
        <w:rPr>
          <w:szCs w:val="21"/>
        </w:rPr>
      </w:pPr>
      <w:r>
        <w:rPr>
          <w:szCs w:val="21"/>
          <w:lang w:val="en-GB"/>
        </w:rPr>
        <w:t>7</w:t>
      </w:r>
      <w:r w:rsidR="00E514C7" w:rsidRPr="00E514C7">
        <w:rPr>
          <w:szCs w:val="21"/>
          <w:lang w:val="en-GB"/>
        </w:rPr>
        <w:t>.</w:t>
      </w:r>
      <w:r>
        <w:rPr>
          <w:szCs w:val="21"/>
          <w:lang w:val="en-GB"/>
        </w:rPr>
        <w:t>3</w:t>
      </w:r>
      <w:r>
        <w:rPr>
          <w:rFonts w:hint="eastAsia"/>
          <w:szCs w:val="21"/>
          <w:lang w:val="en-GB"/>
        </w:rPr>
        <w:t xml:space="preserve">  </w:t>
      </w:r>
      <w:r w:rsidR="005B7B19">
        <w:rPr>
          <w:rFonts w:hint="eastAsia"/>
          <w:szCs w:val="21"/>
        </w:rPr>
        <w:t>提交人表示同意缔约国在其立法中充分施行了第二十</w:t>
      </w:r>
      <w:r w:rsidR="00E514C7" w:rsidRPr="00E514C7">
        <w:rPr>
          <w:rFonts w:hint="eastAsia"/>
          <w:szCs w:val="21"/>
        </w:rPr>
        <w:t>条</w:t>
      </w:r>
      <w:r w:rsidR="005B7B19">
        <w:rPr>
          <w:rFonts w:hint="eastAsia"/>
          <w:szCs w:val="21"/>
        </w:rPr>
        <w:t>第二款</w:t>
      </w:r>
      <w:r w:rsidR="00E514C7" w:rsidRPr="00E514C7">
        <w:rPr>
          <w:rFonts w:hint="eastAsia"/>
          <w:szCs w:val="21"/>
        </w:rPr>
        <w:t>。问题在于本案的适用法律。该判决偏离了对仇恨言论并不宽容的国内判例。</w:t>
      </w:r>
    </w:p>
    <w:p w:rsidR="00E514C7" w:rsidRPr="00E514C7" w:rsidRDefault="00EC62E1" w:rsidP="00EC62E1">
      <w:pPr>
        <w:pStyle w:val="SingleTxtGC"/>
        <w:rPr>
          <w:szCs w:val="21"/>
        </w:rPr>
      </w:pPr>
      <w:r>
        <w:rPr>
          <w:szCs w:val="21"/>
          <w:lang w:val="en-GB"/>
        </w:rPr>
        <w:t>7</w:t>
      </w:r>
      <w:r w:rsidR="00E514C7" w:rsidRPr="00E514C7">
        <w:rPr>
          <w:szCs w:val="21"/>
          <w:lang w:val="en-GB"/>
        </w:rPr>
        <w:t>.</w:t>
      </w:r>
      <w:r>
        <w:rPr>
          <w:szCs w:val="21"/>
          <w:lang w:val="en-GB"/>
        </w:rPr>
        <w:t>4</w:t>
      </w:r>
      <w:r>
        <w:rPr>
          <w:rFonts w:hint="eastAsia"/>
          <w:szCs w:val="21"/>
          <w:lang w:val="en-GB"/>
        </w:rPr>
        <w:t xml:space="preserve">  </w:t>
      </w:r>
      <w:r w:rsidR="00E514C7" w:rsidRPr="00E514C7">
        <w:rPr>
          <w:rFonts w:hint="eastAsia"/>
          <w:szCs w:val="21"/>
        </w:rPr>
        <w:t>提交人坚持认为，言论自由不能旨在使仇恨言论合法化。在类似的情况下，欧洲法院已经明确界定了用于仇恨言论的言论自由。</w:t>
      </w:r>
    </w:p>
    <w:p w:rsidR="00E514C7" w:rsidRPr="00E514C7" w:rsidRDefault="00EC62E1" w:rsidP="00E514C7">
      <w:pPr>
        <w:pStyle w:val="SingleTxtGC"/>
        <w:rPr>
          <w:szCs w:val="21"/>
        </w:rPr>
      </w:pPr>
      <w:r>
        <w:rPr>
          <w:szCs w:val="21"/>
          <w:lang w:val="en-GB"/>
        </w:rPr>
        <w:t>7</w:t>
      </w:r>
      <w:r w:rsidR="00E514C7" w:rsidRPr="00E514C7">
        <w:rPr>
          <w:szCs w:val="21"/>
          <w:lang w:val="en-GB"/>
        </w:rPr>
        <w:t>.</w:t>
      </w:r>
      <w:r>
        <w:rPr>
          <w:szCs w:val="21"/>
          <w:lang w:val="en-GB"/>
        </w:rPr>
        <w:t>5</w:t>
      </w:r>
      <w:r>
        <w:rPr>
          <w:rFonts w:hint="eastAsia"/>
          <w:szCs w:val="21"/>
          <w:lang w:val="en-GB"/>
        </w:rPr>
        <w:t xml:space="preserve">  </w:t>
      </w:r>
      <w:r w:rsidR="00E514C7" w:rsidRPr="00E514C7">
        <w:rPr>
          <w:rFonts w:hint="eastAsia"/>
          <w:szCs w:val="21"/>
        </w:rPr>
        <w:t>尽管国家法院承认最高法院的裁决，却没有考虑到维尔德斯先生言论的累积效应，该裁决强调上下文在判断某些言论的犯罪性质方面的重要性。</w:t>
      </w:r>
    </w:p>
    <w:p w:rsidR="00E514C7" w:rsidRPr="00E514C7" w:rsidRDefault="00EC62E1" w:rsidP="00E514C7">
      <w:pPr>
        <w:pStyle w:val="SingleTxtGC"/>
        <w:rPr>
          <w:szCs w:val="21"/>
        </w:rPr>
      </w:pPr>
      <w:r>
        <w:rPr>
          <w:szCs w:val="21"/>
          <w:lang w:val="en-GB"/>
        </w:rPr>
        <w:lastRenderedPageBreak/>
        <w:t>7</w:t>
      </w:r>
      <w:r w:rsidR="00E514C7" w:rsidRPr="00E514C7">
        <w:rPr>
          <w:szCs w:val="21"/>
          <w:lang w:val="en-GB"/>
        </w:rPr>
        <w:t>.</w:t>
      </w:r>
      <w:r>
        <w:rPr>
          <w:szCs w:val="21"/>
          <w:lang w:val="en-GB"/>
        </w:rPr>
        <w:t>6</w:t>
      </w:r>
      <w:r>
        <w:rPr>
          <w:rFonts w:hint="eastAsia"/>
          <w:szCs w:val="21"/>
          <w:lang w:val="en-GB"/>
        </w:rPr>
        <w:t xml:space="preserve">  </w:t>
      </w:r>
      <w:r w:rsidR="00E514C7" w:rsidRPr="00E514C7">
        <w:rPr>
          <w:rFonts w:hint="eastAsia"/>
          <w:szCs w:val="21"/>
        </w:rPr>
        <w:t>宗教批评原则上不等于对群体的诽谤，因此不应该受到刑事制裁。法庭不承认诽谤和仇恨言论之间存在差异，而维尔德斯先生却一再将两者混淆。例如，关于上文第</w:t>
      </w:r>
      <w:r>
        <w:rPr>
          <w:szCs w:val="21"/>
        </w:rPr>
        <w:t>2</w:t>
      </w:r>
      <w:r w:rsidR="00E514C7" w:rsidRPr="00E514C7">
        <w:rPr>
          <w:szCs w:val="21"/>
        </w:rPr>
        <w:t>.</w:t>
      </w:r>
      <w:r>
        <w:rPr>
          <w:szCs w:val="21"/>
        </w:rPr>
        <w:t>7</w:t>
      </w:r>
      <w:r w:rsidR="005D2190">
        <w:rPr>
          <w:rFonts w:hint="eastAsia"/>
          <w:szCs w:val="21"/>
        </w:rPr>
        <w:t>(</w:t>
      </w:r>
      <w:r>
        <w:rPr>
          <w:szCs w:val="21"/>
        </w:rPr>
        <w:t>c</w:t>
      </w:r>
      <w:r w:rsidR="005D2190">
        <w:rPr>
          <w:rFonts w:hint="eastAsia"/>
          <w:szCs w:val="21"/>
        </w:rPr>
        <w:t>)(</w:t>
      </w:r>
      <w:r>
        <w:rPr>
          <w:szCs w:val="21"/>
        </w:rPr>
        <w:t>iii</w:t>
      </w:r>
      <w:r w:rsidR="005D2190">
        <w:rPr>
          <w:rFonts w:hint="eastAsia"/>
          <w:szCs w:val="21"/>
        </w:rPr>
        <w:t>)</w:t>
      </w:r>
      <w:r w:rsidR="00E514C7" w:rsidRPr="00E514C7">
        <w:rPr>
          <w:rFonts w:hint="eastAsia"/>
          <w:szCs w:val="21"/>
        </w:rPr>
        <w:t>段引用的话语，法院承认它被用来反对穆斯林，使用</w:t>
      </w:r>
      <w:r>
        <w:rPr>
          <w:rFonts w:hint="eastAsia"/>
          <w:szCs w:val="21"/>
        </w:rPr>
        <w:t>“</w:t>
      </w:r>
      <w:r w:rsidR="00E514C7" w:rsidRPr="00E514C7">
        <w:rPr>
          <w:rFonts w:hint="eastAsia"/>
          <w:szCs w:val="21"/>
        </w:rPr>
        <w:t>捍卫自己</w:t>
      </w:r>
      <w:r>
        <w:rPr>
          <w:rFonts w:hint="eastAsia"/>
          <w:szCs w:val="21"/>
        </w:rPr>
        <w:t>”</w:t>
      </w:r>
      <w:r w:rsidR="00E514C7" w:rsidRPr="00E514C7">
        <w:rPr>
          <w:rFonts w:hint="eastAsia"/>
          <w:szCs w:val="21"/>
        </w:rPr>
        <w:t>这个词具有挑衅性。法院甚至认为维尔德斯先生已近乎犯罪，但后来指出，</w:t>
      </w:r>
      <w:r>
        <w:rPr>
          <w:rFonts w:hint="eastAsia"/>
          <w:szCs w:val="21"/>
        </w:rPr>
        <w:t>“</w:t>
      </w:r>
      <w:r w:rsidR="00E514C7" w:rsidRPr="00E514C7">
        <w:rPr>
          <w:rFonts w:hint="eastAsia"/>
          <w:szCs w:val="21"/>
        </w:rPr>
        <w:t>被告在采访中说，他不是针对穆斯林而是反对伊斯兰教</w:t>
      </w:r>
      <w:r>
        <w:rPr>
          <w:rFonts w:hint="eastAsia"/>
          <w:szCs w:val="21"/>
        </w:rPr>
        <w:t>”</w:t>
      </w:r>
      <w:r w:rsidR="00E514C7" w:rsidRPr="00E514C7">
        <w:rPr>
          <w:rFonts w:hint="eastAsia"/>
          <w:szCs w:val="21"/>
        </w:rPr>
        <w:t>。因此，法院判定没有煽动种族仇恨。威尔斯先生强调伊斯兰教而不是穆斯林，表明他接受法律建议，但这并没有改变他的言论的本质和效果。</w:t>
      </w:r>
    </w:p>
    <w:p w:rsidR="00E514C7" w:rsidRPr="00E514C7" w:rsidRDefault="00EC62E1" w:rsidP="00E514C7">
      <w:pPr>
        <w:pStyle w:val="SingleTxtGC"/>
        <w:rPr>
          <w:szCs w:val="21"/>
        </w:rPr>
      </w:pPr>
      <w:r>
        <w:rPr>
          <w:szCs w:val="21"/>
          <w:lang w:val="en-GB"/>
        </w:rPr>
        <w:t>7</w:t>
      </w:r>
      <w:r w:rsidR="00E514C7" w:rsidRPr="00E514C7">
        <w:rPr>
          <w:szCs w:val="21"/>
          <w:lang w:val="en-GB"/>
        </w:rPr>
        <w:t>.</w:t>
      </w:r>
      <w:r>
        <w:rPr>
          <w:szCs w:val="21"/>
          <w:lang w:val="en-GB"/>
        </w:rPr>
        <w:t>7</w:t>
      </w:r>
      <w:r>
        <w:rPr>
          <w:rFonts w:hint="eastAsia"/>
          <w:szCs w:val="21"/>
          <w:lang w:val="en-GB"/>
        </w:rPr>
        <w:t xml:space="preserve">  </w:t>
      </w:r>
      <w:r w:rsidR="00E514C7" w:rsidRPr="00E514C7">
        <w:rPr>
          <w:rFonts w:hint="eastAsia"/>
          <w:szCs w:val="21"/>
        </w:rPr>
        <w:t>维尔德斯先生反复用</w:t>
      </w:r>
      <w:r>
        <w:rPr>
          <w:rFonts w:hint="eastAsia"/>
          <w:szCs w:val="21"/>
        </w:rPr>
        <w:t>“</w:t>
      </w:r>
      <w:r w:rsidR="00E514C7" w:rsidRPr="00E514C7">
        <w:rPr>
          <w:rFonts w:hint="eastAsia"/>
          <w:szCs w:val="21"/>
        </w:rPr>
        <w:t>摩洛哥人</w:t>
      </w:r>
      <w:r>
        <w:rPr>
          <w:rFonts w:hint="eastAsia"/>
          <w:szCs w:val="21"/>
        </w:rPr>
        <w:t>”</w:t>
      </w:r>
      <w:r w:rsidR="00E514C7" w:rsidRPr="00E514C7">
        <w:rPr>
          <w:rFonts w:hint="eastAsia"/>
          <w:szCs w:val="21"/>
        </w:rPr>
        <w:t>和</w:t>
      </w:r>
      <w:r>
        <w:rPr>
          <w:rFonts w:hint="eastAsia"/>
          <w:szCs w:val="21"/>
        </w:rPr>
        <w:t>“</w:t>
      </w:r>
      <w:r w:rsidR="00E514C7" w:rsidRPr="00E514C7">
        <w:rPr>
          <w:rFonts w:hint="eastAsia"/>
          <w:szCs w:val="21"/>
        </w:rPr>
        <w:t>非西方移民</w:t>
      </w:r>
      <w:r>
        <w:rPr>
          <w:rFonts w:hint="eastAsia"/>
          <w:szCs w:val="21"/>
        </w:rPr>
        <w:t>”</w:t>
      </w:r>
      <w:r w:rsidR="00E514C7" w:rsidRPr="00E514C7">
        <w:rPr>
          <w:rFonts w:hint="eastAsia"/>
          <w:szCs w:val="21"/>
        </w:rPr>
        <w:t>一词。法庭认为不能确定其中的种族因素，这表明法庭适用的种族定义有悖于最高法院和委员会。</w:t>
      </w:r>
    </w:p>
    <w:p w:rsidR="00E514C7" w:rsidRPr="00E514C7" w:rsidRDefault="00EC62E1" w:rsidP="00E514C7">
      <w:pPr>
        <w:pStyle w:val="SingleTxtGC"/>
        <w:rPr>
          <w:szCs w:val="21"/>
        </w:rPr>
      </w:pPr>
      <w:r>
        <w:rPr>
          <w:szCs w:val="21"/>
          <w:lang w:val="en-GB"/>
        </w:rPr>
        <w:t>7</w:t>
      </w:r>
      <w:r w:rsidR="00E514C7" w:rsidRPr="00E514C7">
        <w:rPr>
          <w:szCs w:val="21"/>
          <w:lang w:val="en-GB"/>
        </w:rPr>
        <w:t>.</w:t>
      </w:r>
      <w:r>
        <w:rPr>
          <w:szCs w:val="21"/>
          <w:lang w:val="en-GB"/>
        </w:rPr>
        <w:t>8</w:t>
      </w:r>
      <w:r>
        <w:rPr>
          <w:rFonts w:hint="eastAsia"/>
          <w:szCs w:val="21"/>
          <w:lang w:val="en-GB"/>
        </w:rPr>
        <w:t xml:space="preserve">  </w:t>
      </w:r>
      <w:r w:rsidR="00E514C7" w:rsidRPr="00E514C7">
        <w:rPr>
          <w:rFonts w:hint="eastAsia"/>
          <w:szCs w:val="21"/>
        </w:rPr>
        <w:t>提交人反对将公开辩论作为发表仇恨言论的借口，也反对法院只强调公开辩论的重要性，而不考虑政治家对辩论完整性应承担的责任。由于仇恨言论是即涉及发布者也涉及接听者的犯罪行为，因此在评估某个言论是否构成仇恨言论时，普通公民的看法至关重要。</w:t>
      </w:r>
    </w:p>
    <w:p w:rsidR="00E514C7" w:rsidRPr="00E514C7" w:rsidRDefault="00EC62E1" w:rsidP="00EC62E1">
      <w:pPr>
        <w:pStyle w:val="H23GC"/>
        <w:rPr>
          <w:lang w:val="en-GB"/>
        </w:rPr>
      </w:pPr>
      <w:r>
        <w:rPr>
          <w:rFonts w:hint="eastAsia"/>
          <w:lang w:val="en-GB"/>
        </w:rPr>
        <w:tab/>
      </w:r>
      <w:r>
        <w:rPr>
          <w:rFonts w:hint="eastAsia"/>
          <w:lang w:val="en-GB"/>
        </w:rPr>
        <w:tab/>
      </w:r>
      <w:r w:rsidR="00E514C7" w:rsidRPr="00E514C7">
        <w:rPr>
          <w:lang w:val="en-GB"/>
        </w:rPr>
        <w:t>缔约国的补充意见</w:t>
      </w:r>
    </w:p>
    <w:p w:rsidR="00E514C7" w:rsidRPr="00E514C7" w:rsidRDefault="00EC62E1" w:rsidP="00E514C7">
      <w:pPr>
        <w:pStyle w:val="SingleTxtGC"/>
        <w:rPr>
          <w:szCs w:val="21"/>
        </w:rPr>
      </w:pPr>
      <w:r>
        <w:rPr>
          <w:szCs w:val="21"/>
          <w:lang w:val="en-GB"/>
        </w:rPr>
        <w:t>8</w:t>
      </w:r>
      <w:r w:rsidR="00E514C7" w:rsidRPr="00E514C7">
        <w:rPr>
          <w:szCs w:val="21"/>
          <w:lang w:val="en-GB"/>
        </w:rPr>
        <w:t>.</w:t>
      </w:r>
      <w:r>
        <w:rPr>
          <w:szCs w:val="21"/>
          <w:lang w:val="en-GB"/>
        </w:rPr>
        <w:t>1</w:t>
      </w:r>
      <w:r>
        <w:rPr>
          <w:rFonts w:hint="eastAsia"/>
          <w:szCs w:val="21"/>
          <w:lang w:val="en-GB"/>
        </w:rPr>
        <w:t xml:space="preserve">  </w:t>
      </w:r>
      <w:r>
        <w:rPr>
          <w:szCs w:val="21"/>
          <w:lang w:val="en-GB"/>
        </w:rPr>
        <w:t>2</w:t>
      </w:r>
      <w:r w:rsidR="00E514C7" w:rsidRPr="00E514C7">
        <w:rPr>
          <w:szCs w:val="21"/>
          <w:lang w:val="en-GB"/>
        </w:rPr>
        <w:t>0</w:t>
      </w:r>
      <w:r>
        <w:rPr>
          <w:szCs w:val="21"/>
          <w:lang w:val="en-GB"/>
        </w:rPr>
        <w:t>16</w:t>
      </w:r>
      <w:r w:rsidR="00E514C7" w:rsidRPr="00E514C7">
        <w:rPr>
          <w:rFonts w:hint="eastAsia"/>
          <w:szCs w:val="21"/>
          <w:lang w:val="en-GB"/>
        </w:rPr>
        <w:t>年</w:t>
      </w:r>
      <w:r>
        <w:rPr>
          <w:rFonts w:hint="eastAsia"/>
          <w:szCs w:val="21"/>
          <w:lang w:val="en-GB"/>
        </w:rPr>
        <w:t>2</w:t>
      </w:r>
      <w:r w:rsidR="00E514C7" w:rsidRPr="00E514C7">
        <w:rPr>
          <w:rFonts w:hint="eastAsia"/>
          <w:szCs w:val="21"/>
          <w:lang w:val="en-GB"/>
        </w:rPr>
        <w:t>月</w:t>
      </w:r>
      <w:r>
        <w:rPr>
          <w:rFonts w:hint="eastAsia"/>
          <w:szCs w:val="21"/>
          <w:lang w:val="en-GB"/>
        </w:rPr>
        <w:t>2</w:t>
      </w:r>
      <w:r w:rsidR="00E514C7" w:rsidRPr="00E514C7">
        <w:rPr>
          <w:rFonts w:hint="eastAsia"/>
          <w:szCs w:val="21"/>
          <w:lang w:val="en-GB"/>
        </w:rPr>
        <w:t>日，</w:t>
      </w:r>
      <w:r w:rsidR="00E514C7" w:rsidRPr="00E514C7">
        <w:rPr>
          <w:szCs w:val="21"/>
          <w:lang w:val="en-GB"/>
        </w:rPr>
        <w:t>缔约国的补充意见</w:t>
      </w:r>
      <w:r w:rsidR="00E514C7" w:rsidRPr="00E514C7">
        <w:rPr>
          <w:rFonts w:hint="eastAsia"/>
          <w:szCs w:val="21"/>
        </w:rPr>
        <w:t>缔约国提出了补充意见。它指出，</w:t>
      </w:r>
      <w:r>
        <w:rPr>
          <w:szCs w:val="21"/>
        </w:rPr>
        <w:t>2</w:t>
      </w:r>
      <w:r w:rsidR="00E514C7" w:rsidRPr="00E514C7">
        <w:rPr>
          <w:szCs w:val="21"/>
        </w:rPr>
        <w:t>0</w:t>
      </w:r>
      <w:r>
        <w:rPr>
          <w:szCs w:val="21"/>
        </w:rPr>
        <w:t>14</w:t>
      </w:r>
      <w:r w:rsidR="00E514C7" w:rsidRPr="00E514C7">
        <w:rPr>
          <w:rFonts w:hint="eastAsia"/>
          <w:szCs w:val="21"/>
        </w:rPr>
        <w:t>年开始针对维尔德斯先生的第二次刑事案件，其第一次听证会将于</w:t>
      </w:r>
      <w:r>
        <w:rPr>
          <w:szCs w:val="21"/>
        </w:rPr>
        <w:t>2</w:t>
      </w:r>
      <w:r w:rsidR="00E514C7" w:rsidRPr="00E514C7">
        <w:rPr>
          <w:szCs w:val="21"/>
        </w:rPr>
        <w:t>0</w:t>
      </w:r>
      <w:r>
        <w:rPr>
          <w:szCs w:val="21"/>
        </w:rPr>
        <w:t>16</w:t>
      </w:r>
      <w:r w:rsidR="00E514C7" w:rsidRPr="00E514C7">
        <w:rPr>
          <w:rFonts w:hint="eastAsia"/>
          <w:szCs w:val="21"/>
        </w:rPr>
        <w:t>年</w:t>
      </w:r>
      <w:r>
        <w:rPr>
          <w:szCs w:val="21"/>
        </w:rPr>
        <w:t>3</w:t>
      </w:r>
      <w:r w:rsidR="00E514C7" w:rsidRPr="00E514C7">
        <w:rPr>
          <w:rFonts w:hint="eastAsia"/>
          <w:szCs w:val="21"/>
        </w:rPr>
        <w:t>月举行。</w:t>
      </w:r>
    </w:p>
    <w:p w:rsidR="00E514C7" w:rsidRPr="00E514C7" w:rsidRDefault="00EC62E1" w:rsidP="00E514C7">
      <w:pPr>
        <w:pStyle w:val="SingleTxtGC"/>
        <w:rPr>
          <w:szCs w:val="21"/>
        </w:rPr>
      </w:pPr>
      <w:r>
        <w:rPr>
          <w:szCs w:val="21"/>
          <w:lang w:val="en-GB"/>
        </w:rPr>
        <w:t>8</w:t>
      </w:r>
      <w:r w:rsidR="00E514C7" w:rsidRPr="00E514C7">
        <w:rPr>
          <w:szCs w:val="21"/>
          <w:lang w:val="en-GB"/>
        </w:rPr>
        <w:t>.</w:t>
      </w:r>
      <w:r>
        <w:rPr>
          <w:szCs w:val="21"/>
          <w:lang w:val="en-GB"/>
        </w:rPr>
        <w:t>2</w:t>
      </w:r>
      <w:r>
        <w:rPr>
          <w:rFonts w:hint="eastAsia"/>
          <w:szCs w:val="21"/>
          <w:lang w:val="en-GB"/>
        </w:rPr>
        <w:t xml:space="preserve">  </w:t>
      </w:r>
      <w:r w:rsidR="00E514C7" w:rsidRPr="00E514C7">
        <w:rPr>
          <w:rFonts w:hint="eastAsia"/>
          <w:szCs w:val="21"/>
        </w:rPr>
        <w:t>就本案而言，检察官所为完全符合阿姆斯特丹上诉法院的命令，提出了详细的法律和事实论据，其意见以法律为依据，并没有被维尔德斯先生的辩护牵着鼻子走。上诉法院的决定也成为案件档案的一部分。由检察机关起诉的这起案件，部分是由参与做出不起诉决定的检察官进行的，这一事实并不意味着在执行上诉法院起诉命令时缺乏诚意。检察官代表检察机关。临时救济法官认为，检察官全面遵守了上诉法院的命令。由于检察长认定该案件不适于上诉申请，所以没有就无罪宣判提起上诉。</w:t>
      </w:r>
    </w:p>
    <w:p w:rsidR="00E514C7" w:rsidRPr="00E514C7" w:rsidRDefault="00EC62E1" w:rsidP="00E514C7">
      <w:pPr>
        <w:pStyle w:val="SingleTxtGC"/>
        <w:rPr>
          <w:szCs w:val="21"/>
        </w:rPr>
      </w:pPr>
      <w:r>
        <w:rPr>
          <w:szCs w:val="21"/>
          <w:lang w:val="en-GB"/>
        </w:rPr>
        <w:t>8</w:t>
      </w:r>
      <w:r w:rsidR="00E514C7" w:rsidRPr="00E514C7">
        <w:rPr>
          <w:szCs w:val="21"/>
          <w:lang w:val="en-GB"/>
        </w:rPr>
        <w:t>.</w:t>
      </w:r>
      <w:r>
        <w:rPr>
          <w:szCs w:val="21"/>
          <w:lang w:val="en-GB"/>
        </w:rPr>
        <w:t>3</w:t>
      </w:r>
      <w:r>
        <w:rPr>
          <w:rFonts w:hint="eastAsia"/>
          <w:szCs w:val="21"/>
          <w:lang w:val="en-GB"/>
        </w:rPr>
        <w:t xml:space="preserve">  </w:t>
      </w:r>
      <w:r w:rsidR="00E514C7" w:rsidRPr="00E514C7">
        <w:rPr>
          <w:rFonts w:hint="eastAsia"/>
          <w:szCs w:val="21"/>
        </w:rPr>
        <w:t>在国内刑事诉讼中，受害人不具备与被告同等的地位，不是诉讼的一方。《公约》没有规定受害者应成为刑事诉讼中具有同等地位的一方。如果赋予受害者单独的起诉权，将会削弱检察官对起诉的垄断及追求公诉的公众利益。因此，受害人不能在审讯中提供证人、询问证人或令他人对证人询问。但是，受害人可以在审判前向检察官提出意见，并可以要求召集特定的证人。</w:t>
      </w:r>
    </w:p>
    <w:p w:rsidR="00E514C7" w:rsidRPr="00E514C7" w:rsidRDefault="00EC62E1" w:rsidP="00E514C7">
      <w:pPr>
        <w:pStyle w:val="SingleTxtGC"/>
        <w:rPr>
          <w:szCs w:val="21"/>
        </w:rPr>
      </w:pPr>
      <w:r>
        <w:rPr>
          <w:szCs w:val="21"/>
          <w:lang w:val="en-GB"/>
        </w:rPr>
        <w:t>8</w:t>
      </w:r>
      <w:r w:rsidR="00E514C7" w:rsidRPr="00E514C7">
        <w:rPr>
          <w:szCs w:val="21"/>
          <w:lang w:val="en-GB"/>
        </w:rPr>
        <w:t>.</w:t>
      </w:r>
      <w:r>
        <w:rPr>
          <w:szCs w:val="21"/>
          <w:lang w:val="en-GB"/>
        </w:rPr>
        <w:t>4</w:t>
      </w:r>
      <w:r>
        <w:rPr>
          <w:rFonts w:hint="eastAsia"/>
          <w:szCs w:val="21"/>
          <w:lang w:val="en-GB"/>
        </w:rPr>
        <w:t xml:space="preserve">  </w:t>
      </w:r>
      <w:r w:rsidR="00E514C7" w:rsidRPr="00E514C7">
        <w:rPr>
          <w:rFonts w:hint="eastAsia"/>
          <w:szCs w:val="21"/>
        </w:rPr>
        <w:t>社会批评与煽动暴力之间、敌对和歧视之间没有明确的界定。根据欧洲法院</w:t>
      </w:r>
      <w:r w:rsidR="005B7B19">
        <w:rPr>
          <w:rFonts w:hint="eastAsia"/>
          <w:szCs w:val="21"/>
        </w:rPr>
        <w:t>对</w:t>
      </w:r>
      <w:r w:rsidR="005B7B19" w:rsidRPr="005B7B19">
        <w:rPr>
          <w:iCs/>
          <w:sz w:val="20"/>
          <w:lang w:val="en-GB"/>
        </w:rPr>
        <w:t>Perinçek</w:t>
      </w:r>
      <w:r w:rsidR="005B7B19" w:rsidRPr="005B7B19">
        <w:rPr>
          <w:rFonts w:ascii="Time New Roman" w:eastAsia="楷体" w:hAnsi="Time New Roman" w:hint="eastAsia"/>
          <w:iCs/>
          <w:sz w:val="20"/>
          <w:lang w:val="en-GB"/>
        </w:rPr>
        <w:t>诉瑞士</w:t>
      </w:r>
      <w:r w:rsidR="005B7B19" w:rsidRPr="005B7B19">
        <w:rPr>
          <w:rFonts w:hint="eastAsia"/>
          <w:iCs/>
          <w:sz w:val="20"/>
          <w:lang w:val="en-GB"/>
        </w:rPr>
        <w:t>一案</w:t>
      </w:r>
      <w:r w:rsidR="00E514C7" w:rsidRPr="00E514C7">
        <w:rPr>
          <w:rFonts w:hint="eastAsia"/>
          <w:szCs w:val="21"/>
        </w:rPr>
        <w:t>的判例，要确定某些言论是否构成煽动仇恨或暴力行为，需要采取根据言论性质和潜在影响及其发生背景逐案审查的做法。在公开辩论的背景下发表的言论能够享有更多的保护措施。</w:t>
      </w:r>
    </w:p>
    <w:p w:rsidR="00E514C7" w:rsidRPr="00E514C7" w:rsidRDefault="00EC62E1" w:rsidP="00E514C7">
      <w:pPr>
        <w:pStyle w:val="SingleTxtGC"/>
        <w:rPr>
          <w:szCs w:val="21"/>
          <w:lang w:val="en-GB"/>
        </w:rPr>
      </w:pPr>
      <w:r>
        <w:rPr>
          <w:szCs w:val="21"/>
          <w:lang w:val="en-GB"/>
        </w:rPr>
        <w:t>8</w:t>
      </w:r>
      <w:r w:rsidR="00E514C7" w:rsidRPr="00E514C7">
        <w:rPr>
          <w:szCs w:val="21"/>
          <w:lang w:val="en-GB"/>
        </w:rPr>
        <w:t>.</w:t>
      </w:r>
      <w:r>
        <w:rPr>
          <w:szCs w:val="21"/>
          <w:lang w:val="en-GB"/>
        </w:rPr>
        <w:t>5</w:t>
      </w:r>
      <w:r>
        <w:rPr>
          <w:rFonts w:hint="eastAsia"/>
          <w:szCs w:val="21"/>
          <w:lang w:val="en-GB"/>
        </w:rPr>
        <w:t xml:space="preserve">  </w:t>
      </w:r>
      <w:r w:rsidR="00E514C7" w:rsidRPr="00E514C7">
        <w:rPr>
          <w:rFonts w:hint="eastAsia"/>
          <w:szCs w:val="21"/>
          <w:lang w:val="en-GB"/>
        </w:rPr>
        <w:t>对言论的评估应该是客观的，不能依赖感觉或受伤害的程度，因为感觉和伤害程度会因人或群体而异。这类评估是根据话语本身的含义和所发表声明结合其余话语一起表达的意思来进行的。还应考虑到信息的可能接收者，因为要理解所发表的言论，也许需要在案件情形内并根据这些情形所引起的关联来看待这些言论。</w:t>
      </w:r>
    </w:p>
    <w:p w:rsidR="00E514C7" w:rsidRPr="00E514C7" w:rsidRDefault="00EC62E1" w:rsidP="00E514C7">
      <w:pPr>
        <w:pStyle w:val="SingleTxtGC"/>
        <w:rPr>
          <w:szCs w:val="21"/>
          <w:lang w:val="en-GB"/>
        </w:rPr>
      </w:pPr>
      <w:r>
        <w:rPr>
          <w:szCs w:val="21"/>
          <w:lang w:val="en-GB"/>
        </w:rPr>
        <w:t>8</w:t>
      </w:r>
      <w:r w:rsidR="00E514C7" w:rsidRPr="00E514C7">
        <w:rPr>
          <w:szCs w:val="21"/>
          <w:lang w:val="en-GB"/>
        </w:rPr>
        <w:t>.</w:t>
      </w:r>
      <w:r>
        <w:rPr>
          <w:szCs w:val="21"/>
          <w:lang w:val="en-GB"/>
        </w:rPr>
        <w:t>6</w:t>
      </w:r>
      <w:r>
        <w:rPr>
          <w:rFonts w:hint="eastAsia"/>
          <w:szCs w:val="21"/>
          <w:lang w:val="en-GB"/>
        </w:rPr>
        <w:t xml:space="preserve">  </w:t>
      </w:r>
      <w:r w:rsidR="00E514C7" w:rsidRPr="00E514C7">
        <w:rPr>
          <w:rFonts w:hint="eastAsia"/>
          <w:szCs w:val="21"/>
          <w:lang w:val="en-GB"/>
        </w:rPr>
        <w:t>关于个人的言论和关于宗教言论之间的区别，除其他外，尤其是对言论自由允许批评宗教或个人行为至关重要。此外，虽然地区法院对其裁决没有给出更</w:t>
      </w:r>
      <w:r w:rsidR="00E514C7" w:rsidRPr="00E514C7">
        <w:rPr>
          <w:rFonts w:hint="eastAsia"/>
          <w:szCs w:val="21"/>
          <w:lang w:val="en-GB"/>
        </w:rPr>
        <w:lastRenderedPageBreak/>
        <w:t>多的论证，说明无法证实这项指控中的种族内容，但这并不意味着法院忽视了最高法院、消除种族歧视委员会和欧洲反对种族主义和不容忍委员会所采用的定义，而公诉人正是依据了这一定义。法院认定</w:t>
      </w:r>
      <w:r>
        <w:rPr>
          <w:rFonts w:hint="eastAsia"/>
          <w:szCs w:val="21"/>
          <w:lang w:val="en-GB"/>
        </w:rPr>
        <w:t>“</w:t>
      </w:r>
      <w:r w:rsidR="00E514C7" w:rsidRPr="00E514C7">
        <w:rPr>
          <w:rFonts w:hint="eastAsia"/>
          <w:szCs w:val="21"/>
          <w:lang w:val="en-GB"/>
        </w:rPr>
        <w:t>由于种族原因</w:t>
      </w:r>
      <w:r>
        <w:rPr>
          <w:rFonts w:hint="eastAsia"/>
          <w:szCs w:val="21"/>
          <w:lang w:val="en-GB"/>
        </w:rPr>
        <w:t>”</w:t>
      </w:r>
      <w:r w:rsidR="00E514C7" w:rsidRPr="00E514C7">
        <w:rPr>
          <w:rFonts w:hint="eastAsia"/>
          <w:szCs w:val="21"/>
          <w:lang w:val="en-GB"/>
        </w:rPr>
        <w:t>这一部分没有得到证实是十分可能的。</w:t>
      </w:r>
    </w:p>
    <w:p w:rsidR="00E514C7" w:rsidRPr="00E514C7" w:rsidRDefault="00EC62E1" w:rsidP="00EC62E1">
      <w:pPr>
        <w:pStyle w:val="SingleTxtGC"/>
        <w:rPr>
          <w:szCs w:val="21"/>
          <w:lang w:val="en-GB"/>
        </w:rPr>
      </w:pPr>
      <w:r>
        <w:rPr>
          <w:szCs w:val="21"/>
          <w:lang w:val="en-GB"/>
        </w:rPr>
        <w:t>8</w:t>
      </w:r>
      <w:r w:rsidR="00E514C7" w:rsidRPr="00E514C7">
        <w:rPr>
          <w:szCs w:val="21"/>
          <w:lang w:val="en-GB"/>
        </w:rPr>
        <w:t>.</w:t>
      </w:r>
      <w:r>
        <w:rPr>
          <w:szCs w:val="21"/>
          <w:lang w:val="en-GB"/>
        </w:rPr>
        <w:t>7</w:t>
      </w:r>
      <w:r>
        <w:rPr>
          <w:rFonts w:hint="eastAsia"/>
          <w:szCs w:val="21"/>
          <w:lang w:val="en-GB"/>
        </w:rPr>
        <w:t xml:space="preserve">  </w:t>
      </w:r>
      <w:r w:rsidR="00E514C7" w:rsidRPr="00E514C7">
        <w:rPr>
          <w:rFonts w:hint="eastAsia"/>
          <w:szCs w:val="21"/>
          <w:lang w:val="en-GB"/>
        </w:rPr>
        <w:t>提交人没有证实其根据第十七条提出的诉求，他们关于第十七条是保护集体身份认同权利的观点没有得到支持。此外，提交人也没有证明维尔德斯先生的言论妨碍了他们与社区其他人一起享受宗教或文化习俗和传统。</w:t>
      </w:r>
    </w:p>
    <w:p w:rsidR="00E514C7" w:rsidRPr="00E514C7" w:rsidRDefault="00E514C7" w:rsidP="00EC62E1">
      <w:pPr>
        <w:pStyle w:val="H23GC"/>
        <w:rPr>
          <w:lang w:val="en-GB"/>
        </w:rPr>
      </w:pPr>
      <w:r w:rsidRPr="00E514C7">
        <w:rPr>
          <w:lang w:val="en-GB"/>
        </w:rPr>
        <w:tab/>
      </w:r>
      <w:r w:rsidRPr="00E514C7">
        <w:rPr>
          <w:lang w:val="en-GB"/>
        </w:rPr>
        <w:tab/>
      </w:r>
      <w:r w:rsidRPr="00E514C7">
        <w:rPr>
          <w:lang w:val="en-GB"/>
        </w:rPr>
        <w:t>委员会需处理的问题和议事情况</w:t>
      </w:r>
    </w:p>
    <w:p w:rsidR="00E514C7" w:rsidRPr="00E514C7" w:rsidRDefault="00E514C7" w:rsidP="00EC62E1">
      <w:pPr>
        <w:pStyle w:val="H4GC"/>
        <w:rPr>
          <w:lang w:val="en-GB"/>
        </w:rPr>
      </w:pPr>
      <w:r w:rsidRPr="00E514C7">
        <w:rPr>
          <w:lang w:val="en-GB"/>
        </w:rPr>
        <w:tab/>
      </w:r>
      <w:r w:rsidRPr="00E514C7">
        <w:rPr>
          <w:lang w:val="en-GB"/>
        </w:rPr>
        <w:tab/>
      </w:r>
      <w:r w:rsidRPr="00E514C7">
        <w:rPr>
          <w:lang w:val="en-GB"/>
        </w:rPr>
        <w:t>审议可否受理</w:t>
      </w:r>
    </w:p>
    <w:p w:rsidR="00E514C7" w:rsidRPr="00E514C7" w:rsidRDefault="00EC62E1" w:rsidP="00E514C7">
      <w:pPr>
        <w:pStyle w:val="SingleTxtGC"/>
        <w:rPr>
          <w:szCs w:val="21"/>
          <w:lang w:val="en-GB"/>
        </w:rPr>
      </w:pPr>
      <w:r>
        <w:rPr>
          <w:szCs w:val="21"/>
          <w:lang w:val="en-GB"/>
        </w:rPr>
        <w:t>9</w:t>
      </w:r>
      <w:r w:rsidR="00E514C7" w:rsidRPr="00E514C7">
        <w:rPr>
          <w:szCs w:val="21"/>
          <w:lang w:val="en-GB"/>
        </w:rPr>
        <w:t>.</w:t>
      </w:r>
      <w:r>
        <w:rPr>
          <w:szCs w:val="21"/>
          <w:lang w:val="en-GB"/>
        </w:rPr>
        <w:t>1</w:t>
      </w:r>
      <w:r>
        <w:rPr>
          <w:rFonts w:hint="eastAsia"/>
          <w:szCs w:val="21"/>
          <w:lang w:val="en-GB"/>
        </w:rPr>
        <w:t xml:space="preserve">  </w:t>
      </w:r>
      <w:r w:rsidR="00E514C7" w:rsidRPr="00E514C7">
        <w:rPr>
          <w:szCs w:val="21"/>
          <w:lang w:val="en-GB"/>
        </w:rPr>
        <w:t>在审议来文所载的任何诉求之前，委员会必须根据其议事规则第</w:t>
      </w:r>
      <w:r>
        <w:rPr>
          <w:szCs w:val="21"/>
          <w:lang w:val="en-GB"/>
        </w:rPr>
        <w:t>93</w:t>
      </w:r>
      <w:r w:rsidR="00E514C7" w:rsidRPr="00E514C7">
        <w:rPr>
          <w:szCs w:val="21"/>
          <w:lang w:val="en-GB"/>
        </w:rPr>
        <w:t>条，决定该案件是否符合《公约任择议定书》规定的受理条件。</w:t>
      </w:r>
    </w:p>
    <w:p w:rsidR="00E514C7" w:rsidRPr="00E514C7" w:rsidRDefault="00EC62E1" w:rsidP="00E514C7">
      <w:pPr>
        <w:pStyle w:val="SingleTxtGC"/>
        <w:rPr>
          <w:szCs w:val="21"/>
          <w:lang w:val="en-GB"/>
        </w:rPr>
      </w:pPr>
      <w:r>
        <w:rPr>
          <w:szCs w:val="21"/>
          <w:lang w:val="en-GB"/>
        </w:rPr>
        <w:t>9</w:t>
      </w:r>
      <w:r w:rsidR="00E514C7" w:rsidRPr="00E514C7">
        <w:rPr>
          <w:szCs w:val="21"/>
          <w:lang w:val="en-GB"/>
        </w:rPr>
        <w:t>.</w:t>
      </w:r>
      <w:r>
        <w:rPr>
          <w:szCs w:val="21"/>
          <w:lang w:val="en-GB"/>
        </w:rPr>
        <w:t>2</w:t>
      </w:r>
      <w:r>
        <w:rPr>
          <w:rFonts w:hint="eastAsia"/>
          <w:szCs w:val="21"/>
          <w:lang w:val="en-GB"/>
        </w:rPr>
        <w:t xml:space="preserve">  </w:t>
      </w:r>
      <w:r w:rsidR="00E514C7" w:rsidRPr="00E514C7">
        <w:rPr>
          <w:szCs w:val="21"/>
          <w:lang w:val="en-GB"/>
        </w:rPr>
        <w:t>根据《任择议定书》第五条第</w:t>
      </w:r>
      <w:r w:rsidR="000571A7">
        <w:rPr>
          <w:rFonts w:hint="eastAsia"/>
          <w:szCs w:val="21"/>
          <w:lang w:val="en-GB"/>
        </w:rPr>
        <w:t>2</w:t>
      </w:r>
      <w:r w:rsidR="00E514C7" w:rsidRPr="00E514C7">
        <w:rPr>
          <w:szCs w:val="21"/>
          <w:lang w:val="en-GB"/>
        </w:rPr>
        <w:t>款</w:t>
      </w:r>
      <w:r w:rsidR="00E514C7" w:rsidRPr="00E514C7">
        <w:rPr>
          <w:szCs w:val="21"/>
          <w:lang w:val="en-GB"/>
        </w:rPr>
        <w:t>(</w:t>
      </w:r>
      <w:r w:rsidR="00E514C7" w:rsidRPr="00E514C7">
        <w:rPr>
          <w:szCs w:val="21"/>
          <w:lang w:val="en-GB"/>
        </w:rPr>
        <w:t>子</w:t>
      </w:r>
      <w:r w:rsidR="00E514C7" w:rsidRPr="00E514C7">
        <w:rPr>
          <w:szCs w:val="21"/>
          <w:lang w:val="en-GB"/>
        </w:rPr>
        <w:t>)</w:t>
      </w:r>
      <w:r w:rsidR="00E514C7" w:rsidRPr="00E514C7">
        <w:rPr>
          <w:szCs w:val="21"/>
          <w:lang w:val="en-GB"/>
        </w:rPr>
        <w:t>项的要求，委员会查明同一事项没有在另一国际调查或解决程序中接受审查。</w:t>
      </w:r>
    </w:p>
    <w:p w:rsidR="00E514C7" w:rsidRPr="00E514C7" w:rsidRDefault="00EC62E1" w:rsidP="000571A7">
      <w:pPr>
        <w:pStyle w:val="SingleTxtGC"/>
        <w:rPr>
          <w:szCs w:val="21"/>
        </w:rPr>
      </w:pPr>
      <w:r>
        <w:rPr>
          <w:szCs w:val="21"/>
          <w:lang w:val="en-GB"/>
        </w:rPr>
        <w:t>9</w:t>
      </w:r>
      <w:r w:rsidR="00E514C7" w:rsidRPr="00E514C7">
        <w:rPr>
          <w:szCs w:val="21"/>
          <w:lang w:val="en-GB"/>
        </w:rPr>
        <w:t>.</w:t>
      </w:r>
      <w:r>
        <w:rPr>
          <w:szCs w:val="21"/>
          <w:lang w:val="en-GB"/>
        </w:rPr>
        <w:t>3</w:t>
      </w:r>
      <w:r>
        <w:rPr>
          <w:rFonts w:hint="eastAsia"/>
          <w:szCs w:val="21"/>
          <w:lang w:val="en-GB"/>
        </w:rPr>
        <w:t xml:space="preserve">  </w:t>
      </w:r>
      <w:r w:rsidR="000571A7" w:rsidRPr="00E514C7">
        <w:rPr>
          <w:szCs w:val="21"/>
          <w:lang w:val="en-GB"/>
        </w:rPr>
        <w:t>根据《任择议定书》第五条第</w:t>
      </w:r>
      <w:r w:rsidR="000571A7">
        <w:rPr>
          <w:rFonts w:hint="eastAsia"/>
          <w:szCs w:val="21"/>
          <w:lang w:val="en-GB"/>
        </w:rPr>
        <w:t>2</w:t>
      </w:r>
      <w:r w:rsidR="000571A7" w:rsidRPr="00E514C7">
        <w:rPr>
          <w:szCs w:val="21"/>
          <w:lang w:val="en-GB"/>
        </w:rPr>
        <w:t>款</w:t>
      </w:r>
      <w:r w:rsidR="000571A7" w:rsidRPr="00E514C7">
        <w:rPr>
          <w:szCs w:val="21"/>
          <w:lang w:val="en-GB"/>
        </w:rPr>
        <w:t>(</w:t>
      </w:r>
      <w:r w:rsidR="000571A7">
        <w:rPr>
          <w:rFonts w:hint="eastAsia"/>
          <w:szCs w:val="21"/>
          <w:lang w:val="en-GB"/>
        </w:rPr>
        <w:t>丑</w:t>
      </w:r>
      <w:r w:rsidR="000571A7" w:rsidRPr="00E514C7">
        <w:rPr>
          <w:szCs w:val="21"/>
          <w:lang w:val="en-GB"/>
        </w:rPr>
        <w:t>)</w:t>
      </w:r>
      <w:r w:rsidR="000571A7" w:rsidRPr="00E514C7">
        <w:rPr>
          <w:szCs w:val="21"/>
          <w:lang w:val="en-GB"/>
        </w:rPr>
        <w:t>项的要求，</w:t>
      </w:r>
      <w:r w:rsidR="00E514C7" w:rsidRPr="00E514C7">
        <w:rPr>
          <w:rFonts w:hint="eastAsia"/>
          <w:szCs w:val="21"/>
        </w:rPr>
        <w:t>委员会注意到缔约国的观点，即由于维尔德斯先生未被定罪，因此无法审查提交人在刑事诉讼中提起的民事诉讼。此外，即使提交人不寻求赔偿，</w:t>
      </w:r>
      <w:r w:rsidR="000571A7">
        <w:rPr>
          <w:rFonts w:hint="eastAsia"/>
          <w:szCs w:val="21"/>
        </w:rPr>
        <w:t>根据</w:t>
      </w:r>
      <w:r w:rsidR="000571A7" w:rsidRPr="00E514C7">
        <w:rPr>
          <w:rFonts w:hint="eastAsia"/>
          <w:szCs w:val="21"/>
          <w:lang w:val="en-GB"/>
        </w:rPr>
        <w:t>《民法》第</w:t>
      </w:r>
      <w:r w:rsidR="000571A7">
        <w:rPr>
          <w:rFonts w:hint="eastAsia"/>
          <w:szCs w:val="21"/>
          <w:lang w:val="en-GB"/>
        </w:rPr>
        <w:t>6:162</w:t>
      </w:r>
      <w:r w:rsidR="000571A7" w:rsidRPr="00E514C7">
        <w:rPr>
          <w:rFonts w:hint="eastAsia"/>
          <w:szCs w:val="21"/>
          <w:lang w:val="en-GB"/>
        </w:rPr>
        <w:t>条</w:t>
      </w:r>
      <w:r w:rsidR="000571A7">
        <w:rPr>
          <w:rFonts w:hint="eastAsia"/>
          <w:szCs w:val="21"/>
          <w:lang w:val="en-GB"/>
        </w:rPr>
        <w:t>，</w:t>
      </w:r>
      <w:r w:rsidR="00E514C7" w:rsidRPr="00E514C7">
        <w:rPr>
          <w:rFonts w:hint="eastAsia"/>
          <w:szCs w:val="21"/>
        </w:rPr>
        <w:t>他们仍然能够以威尔德斯先生从事非法行为为由，向民事法庭提起单独的民事诉讼，对此也无争议。如果赢得民事诉讼，将使提交人能够要求禁止维尔德斯先生未来继续发表言论，或要求判决威尔德斯先生的言论非法。委员会还注意到提交人的论点，即本案中的这种民事诉讼不是有效的补救办法，因为他们的目的不是要求赔偿，而是依据《刑法典》</w:t>
      </w:r>
      <w:r w:rsidR="000571A7" w:rsidRPr="00E514C7">
        <w:rPr>
          <w:rFonts w:hint="eastAsia"/>
          <w:szCs w:val="21"/>
        </w:rPr>
        <w:t>第</w:t>
      </w:r>
      <w:r w:rsidR="000571A7">
        <w:rPr>
          <w:szCs w:val="21"/>
        </w:rPr>
        <w:t>137</w:t>
      </w:r>
      <w:r w:rsidR="000571A7" w:rsidRPr="00E514C7">
        <w:rPr>
          <w:rFonts w:hint="eastAsia"/>
          <w:szCs w:val="21"/>
        </w:rPr>
        <w:t>条</w:t>
      </w:r>
      <w:r w:rsidR="000571A7">
        <w:rPr>
          <w:rFonts w:hint="eastAsia"/>
          <w:szCs w:val="21"/>
        </w:rPr>
        <w:t>d</w:t>
      </w:r>
      <w:r w:rsidR="000571A7">
        <w:rPr>
          <w:rFonts w:hint="eastAsia"/>
          <w:szCs w:val="21"/>
        </w:rPr>
        <w:t>款</w:t>
      </w:r>
      <w:r w:rsidR="00E514C7" w:rsidRPr="00E514C7">
        <w:rPr>
          <w:rFonts w:hint="eastAsia"/>
          <w:szCs w:val="21"/>
        </w:rPr>
        <w:t>确定是否实施了犯罪。</w:t>
      </w:r>
    </w:p>
    <w:p w:rsidR="00E514C7" w:rsidRPr="00E514C7" w:rsidRDefault="00EC62E1" w:rsidP="00F3748E">
      <w:pPr>
        <w:pStyle w:val="SingleTxtGC"/>
        <w:rPr>
          <w:szCs w:val="21"/>
        </w:rPr>
      </w:pPr>
      <w:r>
        <w:rPr>
          <w:szCs w:val="21"/>
          <w:lang w:val="en-GB"/>
        </w:rPr>
        <w:t>9</w:t>
      </w:r>
      <w:r w:rsidR="00E514C7" w:rsidRPr="00E514C7">
        <w:rPr>
          <w:szCs w:val="21"/>
          <w:lang w:val="en-GB"/>
        </w:rPr>
        <w:t>.</w:t>
      </w:r>
      <w:r>
        <w:rPr>
          <w:szCs w:val="21"/>
          <w:lang w:val="en-GB"/>
        </w:rPr>
        <w:t>4</w:t>
      </w:r>
      <w:r>
        <w:rPr>
          <w:rFonts w:hint="eastAsia"/>
          <w:szCs w:val="21"/>
          <w:lang w:val="en-GB"/>
        </w:rPr>
        <w:t xml:space="preserve">  </w:t>
      </w:r>
      <w:r w:rsidR="00E514C7" w:rsidRPr="00E514C7">
        <w:rPr>
          <w:rFonts w:hint="eastAsia"/>
          <w:szCs w:val="21"/>
        </w:rPr>
        <w:t>委员会回顾了其判例，即根据《任择议定书》</w:t>
      </w:r>
      <w:r w:rsidR="00F3748E" w:rsidRPr="00E514C7">
        <w:rPr>
          <w:szCs w:val="21"/>
          <w:lang w:val="en-GB"/>
        </w:rPr>
        <w:t>第五条第</w:t>
      </w:r>
      <w:r w:rsidR="00F3748E">
        <w:rPr>
          <w:rFonts w:hint="eastAsia"/>
          <w:szCs w:val="21"/>
          <w:lang w:val="en-GB"/>
        </w:rPr>
        <w:t>2</w:t>
      </w:r>
      <w:r w:rsidR="00F3748E" w:rsidRPr="00E514C7">
        <w:rPr>
          <w:szCs w:val="21"/>
          <w:lang w:val="en-GB"/>
        </w:rPr>
        <w:t>款</w:t>
      </w:r>
      <w:r w:rsidR="00F3748E" w:rsidRPr="00E514C7">
        <w:rPr>
          <w:szCs w:val="21"/>
          <w:lang w:val="en-GB"/>
        </w:rPr>
        <w:t>(</w:t>
      </w:r>
      <w:r w:rsidR="00F3748E">
        <w:rPr>
          <w:rFonts w:hint="eastAsia"/>
          <w:szCs w:val="21"/>
          <w:lang w:val="en-GB"/>
        </w:rPr>
        <w:t>丑</w:t>
      </w:r>
      <w:r w:rsidR="00F3748E" w:rsidRPr="00E514C7">
        <w:rPr>
          <w:szCs w:val="21"/>
          <w:lang w:val="en-GB"/>
        </w:rPr>
        <w:t>)</w:t>
      </w:r>
      <w:r w:rsidR="00F3748E" w:rsidRPr="00E514C7">
        <w:rPr>
          <w:szCs w:val="21"/>
          <w:lang w:val="en-GB"/>
        </w:rPr>
        <w:t>项</w:t>
      </w:r>
      <w:r w:rsidR="00E514C7" w:rsidRPr="00E514C7">
        <w:rPr>
          <w:rFonts w:hint="eastAsia"/>
          <w:szCs w:val="21"/>
        </w:rPr>
        <w:t>，提交人必须利用可为其提供合理补救预期的所有司法或行政途径。</w:t>
      </w:r>
      <w:r w:rsidR="0016694B">
        <w:rPr>
          <w:rStyle w:val="a7"/>
          <w:szCs w:val="21"/>
        </w:rPr>
        <w:footnoteReference w:id="13"/>
      </w:r>
      <w:r w:rsidR="005B7B19">
        <w:rPr>
          <w:rFonts w:hint="eastAsia"/>
          <w:szCs w:val="21"/>
        </w:rPr>
        <w:t xml:space="preserve"> </w:t>
      </w:r>
      <w:r w:rsidR="000571A7">
        <w:rPr>
          <w:rFonts w:hint="eastAsia"/>
          <w:szCs w:val="21"/>
        </w:rPr>
        <w:t>委员会指出，根据《民法</w:t>
      </w:r>
      <w:r w:rsidR="00E514C7" w:rsidRPr="00E514C7">
        <w:rPr>
          <w:rFonts w:hint="eastAsia"/>
          <w:szCs w:val="21"/>
        </w:rPr>
        <w:t>》</w:t>
      </w:r>
      <w:r w:rsidR="000571A7" w:rsidRPr="00E514C7">
        <w:rPr>
          <w:rFonts w:hint="eastAsia"/>
          <w:szCs w:val="21"/>
          <w:lang w:val="en-GB"/>
        </w:rPr>
        <w:t>第</w:t>
      </w:r>
      <w:r w:rsidR="000571A7">
        <w:rPr>
          <w:rFonts w:hint="eastAsia"/>
          <w:szCs w:val="21"/>
          <w:lang w:val="en-GB"/>
        </w:rPr>
        <w:t>6:162</w:t>
      </w:r>
      <w:r w:rsidR="000571A7" w:rsidRPr="00E514C7">
        <w:rPr>
          <w:rFonts w:hint="eastAsia"/>
          <w:szCs w:val="21"/>
          <w:lang w:val="en-GB"/>
        </w:rPr>
        <w:t>条</w:t>
      </w:r>
      <w:r w:rsidR="00E514C7" w:rsidRPr="00E514C7">
        <w:rPr>
          <w:rFonts w:hint="eastAsia"/>
          <w:szCs w:val="21"/>
        </w:rPr>
        <w:t>，民事诉讼可允许提交人因维尔德斯先生所犯非法行为的侵权行为而寻求金钱或非金钱的损害赔偿及法律救济。但委员会还指出，提交人并没有就维尔德斯先生的任何侵权行为寻求民事赔偿。他们试图通过参与国家司法程序，促使刑事法院对其进行判决，根据刑法</w:t>
      </w:r>
      <w:r w:rsidR="000571A7" w:rsidRPr="00E514C7">
        <w:rPr>
          <w:rFonts w:hint="eastAsia"/>
          <w:szCs w:val="21"/>
        </w:rPr>
        <w:t>第</w:t>
      </w:r>
      <w:r w:rsidR="000571A7">
        <w:rPr>
          <w:szCs w:val="21"/>
        </w:rPr>
        <w:t>137</w:t>
      </w:r>
      <w:r w:rsidR="000571A7" w:rsidRPr="00E514C7">
        <w:rPr>
          <w:rFonts w:hint="eastAsia"/>
          <w:szCs w:val="21"/>
        </w:rPr>
        <w:t>条</w:t>
      </w:r>
      <w:r w:rsidR="000571A7">
        <w:rPr>
          <w:rFonts w:hint="eastAsia"/>
          <w:szCs w:val="21"/>
        </w:rPr>
        <w:t>d</w:t>
      </w:r>
      <w:r w:rsidR="000571A7">
        <w:rPr>
          <w:rFonts w:hint="eastAsia"/>
          <w:szCs w:val="21"/>
        </w:rPr>
        <w:t>款</w:t>
      </w:r>
      <w:r w:rsidR="00E514C7" w:rsidRPr="00E514C7">
        <w:rPr>
          <w:rFonts w:hint="eastAsia"/>
          <w:szCs w:val="21"/>
        </w:rPr>
        <w:t>，公开明确做出有罪或无罪的判决，该条款旨在履行缔约国根据</w:t>
      </w:r>
      <w:r w:rsidR="00F3748E">
        <w:rPr>
          <w:rFonts w:hint="eastAsia"/>
          <w:szCs w:val="21"/>
        </w:rPr>
        <w:t>《</w:t>
      </w:r>
      <w:r w:rsidR="00E514C7" w:rsidRPr="00E514C7">
        <w:rPr>
          <w:rFonts w:hint="eastAsia"/>
          <w:szCs w:val="21"/>
        </w:rPr>
        <w:t>公约</w:t>
      </w:r>
      <w:r w:rsidR="00F3748E">
        <w:rPr>
          <w:rFonts w:hint="eastAsia"/>
          <w:szCs w:val="21"/>
        </w:rPr>
        <w:t>》</w:t>
      </w:r>
      <w:r w:rsidR="00E514C7" w:rsidRPr="00E514C7">
        <w:rPr>
          <w:rFonts w:hint="eastAsia"/>
          <w:szCs w:val="21"/>
        </w:rPr>
        <w:t>第二十条第</w:t>
      </w:r>
      <w:r w:rsidR="005B7B19">
        <w:rPr>
          <w:rFonts w:hint="eastAsia"/>
          <w:szCs w:val="21"/>
        </w:rPr>
        <w:t>二</w:t>
      </w:r>
      <w:r w:rsidR="00E514C7" w:rsidRPr="00E514C7">
        <w:rPr>
          <w:rFonts w:hint="eastAsia"/>
          <w:szCs w:val="21"/>
        </w:rPr>
        <w:t>款应承担的义务。因此，提交人选择了缔约国提供的最符合其目的的补救办法。</w:t>
      </w:r>
      <w:r w:rsidR="0016694B">
        <w:rPr>
          <w:rStyle w:val="a7"/>
          <w:szCs w:val="21"/>
        </w:rPr>
        <w:footnoteReference w:id="14"/>
      </w:r>
      <w:r w:rsidR="0016694B">
        <w:rPr>
          <w:rFonts w:hint="eastAsia"/>
          <w:szCs w:val="21"/>
          <w:vertAlign w:val="superscript"/>
        </w:rPr>
        <w:t xml:space="preserve"> </w:t>
      </w:r>
      <w:r w:rsidR="00E514C7" w:rsidRPr="00E514C7">
        <w:rPr>
          <w:rFonts w:hint="eastAsia"/>
          <w:szCs w:val="21"/>
        </w:rPr>
        <w:t>委员会认为，只有在刑事诉讼中才能获得这种判决。所以，委员会认为，第五条第</w:t>
      </w:r>
      <w:r w:rsidR="00F3748E">
        <w:rPr>
          <w:rFonts w:hint="eastAsia"/>
          <w:szCs w:val="21"/>
        </w:rPr>
        <w:t>2</w:t>
      </w:r>
      <w:r w:rsidR="00E514C7" w:rsidRPr="00E514C7">
        <w:rPr>
          <w:rFonts w:hint="eastAsia"/>
          <w:szCs w:val="21"/>
        </w:rPr>
        <w:t>款</w:t>
      </w:r>
      <w:r w:rsidR="00E514C7" w:rsidRPr="00E514C7">
        <w:rPr>
          <w:rFonts w:hint="eastAsia"/>
          <w:szCs w:val="21"/>
        </w:rPr>
        <w:t>(</w:t>
      </w:r>
      <w:r w:rsidR="00E514C7" w:rsidRPr="00E514C7">
        <w:rPr>
          <w:rFonts w:hint="eastAsia"/>
          <w:szCs w:val="21"/>
        </w:rPr>
        <w:t>丑</w:t>
      </w:r>
      <w:r w:rsidR="00E514C7" w:rsidRPr="00E514C7">
        <w:rPr>
          <w:rFonts w:hint="eastAsia"/>
          <w:szCs w:val="21"/>
        </w:rPr>
        <w:t>)</w:t>
      </w:r>
      <w:r w:rsidR="00E514C7" w:rsidRPr="00E514C7">
        <w:rPr>
          <w:rFonts w:hint="eastAsia"/>
          <w:szCs w:val="21"/>
        </w:rPr>
        <w:t>项的规定并不妨碍委员会审议本来文。</w:t>
      </w:r>
    </w:p>
    <w:p w:rsidR="00E514C7" w:rsidRPr="00E514C7" w:rsidRDefault="00EC62E1" w:rsidP="0016694B">
      <w:pPr>
        <w:pStyle w:val="SingleTxtGC"/>
        <w:rPr>
          <w:szCs w:val="21"/>
        </w:rPr>
      </w:pPr>
      <w:r>
        <w:rPr>
          <w:szCs w:val="21"/>
          <w:lang w:val="en-GB"/>
        </w:rPr>
        <w:t>9</w:t>
      </w:r>
      <w:r w:rsidR="00E514C7" w:rsidRPr="00E514C7">
        <w:rPr>
          <w:szCs w:val="21"/>
          <w:lang w:val="en-GB"/>
        </w:rPr>
        <w:t>.</w:t>
      </w:r>
      <w:r>
        <w:rPr>
          <w:szCs w:val="21"/>
          <w:lang w:val="en-GB"/>
        </w:rPr>
        <w:t>5</w:t>
      </w:r>
      <w:r>
        <w:rPr>
          <w:rFonts w:hint="eastAsia"/>
          <w:szCs w:val="21"/>
          <w:lang w:val="en-GB"/>
        </w:rPr>
        <w:t xml:space="preserve">  </w:t>
      </w:r>
      <w:r w:rsidR="00E514C7" w:rsidRPr="00E514C7">
        <w:rPr>
          <w:rFonts w:hint="eastAsia"/>
          <w:szCs w:val="21"/>
        </w:rPr>
        <w:t>委员会注意到，缔约国拒绝受理，理由是提交人不具有受害者身份，而且来文本质上是一种民众诉讼，因为提交人未能证明维尔德斯先生的言论会对他们本人造成影响。在这方面，委员会提及其判例，即，</w:t>
      </w:r>
      <w:r>
        <w:rPr>
          <w:rFonts w:hint="eastAsia"/>
          <w:szCs w:val="21"/>
        </w:rPr>
        <w:t>“</w:t>
      </w:r>
      <w:r w:rsidR="00E514C7" w:rsidRPr="00E514C7">
        <w:rPr>
          <w:rFonts w:hint="eastAsia"/>
          <w:szCs w:val="21"/>
        </w:rPr>
        <w:t>个人只有在实际受到影响的情况下，才能称本人属于《任择议定书》第一条意义上的受害者。这项要求应当如何切实理解，这是个程度问题。不过，任何人都不能抽象地通过民众诉讼，</w:t>
      </w:r>
      <w:r w:rsidR="00E514C7" w:rsidRPr="00E514C7">
        <w:rPr>
          <w:rFonts w:hint="eastAsia"/>
          <w:szCs w:val="21"/>
        </w:rPr>
        <w:lastRenderedPageBreak/>
        <w:t>对据称违反《公约》的法律或做法提出异议</w:t>
      </w:r>
      <w:r>
        <w:rPr>
          <w:rFonts w:hint="eastAsia"/>
          <w:szCs w:val="21"/>
        </w:rPr>
        <w:t>”</w:t>
      </w:r>
      <w:r w:rsidR="00E514C7" w:rsidRPr="00E514C7">
        <w:rPr>
          <w:rFonts w:hint="eastAsia"/>
          <w:szCs w:val="21"/>
        </w:rPr>
        <w:t>。</w:t>
      </w:r>
      <w:r w:rsidR="0016694B">
        <w:rPr>
          <w:rStyle w:val="a7"/>
          <w:szCs w:val="21"/>
        </w:rPr>
        <w:footnoteReference w:id="15"/>
      </w:r>
      <w:r w:rsidR="0016694B">
        <w:rPr>
          <w:rFonts w:hint="eastAsia"/>
          <w:szCs w:val="21"/>
          <w:vertAlign w:val="superscript"/>
        </w:rPr>
        <w:t xml:space="preserve"> </w:t>
      </w:r>
      <w:r w:rsidR="00E514C7" w:rsidRPr="00E514C7">
        <w:rPr>
          <w:rFonts w:hint="eastAsia"/>
          <w:szCs w:val="21"/>
        </w:rPr>
        <w:t>据此，凡称因受《公约》保护的权利遭到侵犯而受害的人，都必须证明，缔约国通过作为或不作为，已经对他权利的行使造成损害，或证明这种损害即将发生，为此，他的论点应基于现行立法或司法或行政决定或做法。</w:t>
      </w:r>
      <w:r w:rsidR="0016694B">
        <w:rPr>
          <w:rStyle w:val="a7"/>
          <w:szCs w:val="21"/>
        </w:rPr>
        <w:footnoteReference w:id="16"/>
      </w:r>
      <w:r w:rsidR="0016694B">
        <w:rPr>
          <w:rFonts w:hint="eastAsia"/>
          <w:szCs w:val="21"/>
          <w:vertAlign w:val="superscript"/>
        </w:rPr>
        <w:t xml:space="preserve"> </w:t>
      </w:r>
      <w:r w:rsidR="00E514C7" w:rsidRPr="00E514C7">
        <w:rPr>
          <w:rFonts w:hint="eastAsia"/>
          <w:szCs w:val="21"/>
        </w:rPr>
        <w:t>在适用这项原则时，委员会确认，</w:t>
      </w:r>
      <w:r>
        <w:rPr>
          <w:rFonts w:hint="eastAsia"/>
          <w:szCs w:val="21"/>
        </w:rPr>
        <w:t>“</w:t>
      </w:r>
      <w:r w:rsidR="00E514C7" w:rsidRPr="00E514C7">
        <w:rPr>
          <w:rFonts w:hint="eastAsia"/>
          <w:szCs w:val="21"/>
        </w:rPr>
        <w:t>如果个人属于某一类人员，这些人的活动依据相关立法被视为违法，那么，他们可以称本人为</w:t>
      </w:r>
      <w:r w:rsidR="00E514C7" w:rsidRPr="00E514C7">
        <w:rPr>
          <w:szCs w:val="21"/>
          <w:lang w:val="en-GB"/>
        </w:rPr>
        <w:t>‘</w:t>
      </w:r>
      <w:r w:rsidR="00E514C7" w:rsidRPr="00E514C7">
        <w:rPr>
          <w:rFonts w:hint="eastAsia"/>
          <w:szCs w:val="21"/>
        </w:rPr>
        <w:t>受害者</w:t>
      </w:r>
      <w:r w:rsidR="00E514C7" w:rsidRPr="00E514C7">
        <w:rPr>
          <w:szCs w:val="21"/>
          <w:lang w:val="en-GB"/>
        </w:rPr>
        <w:t>’</w:t>
      </w:r>
      <w:r>
        <w:rPr>
          <w:rFonts w:hint="eastAsia"/>
          <w:szCs w:val="21"/>
          <w:lang w:val="en-GB"/>
        </w:rPr>
        <w:t>”</w:t>
      </w:r>
      <w:r w:rsidR="00E514C7" w:rsidRPr="00E514C7">
        <w:rPr>
          <w:rFonts w:hint="eastAsia"/>
          <w:szCs w:val="21"/>
          <w:lang w:val="en-GB"/>
        </w:rPr>
        <w:t>。</w:t>
      </w:r>
      <w:r w:rsidR="0016694B">
        <w:rPr>
          <w:rStyle w:val="a7"/>
          <w:szCs w:val="21"/>
          <w:lang w:val="en-GB"/>
        </w:rPr>
        <w:footnoteReference w:id="17"/>
      </w:r>
      <w:r w:rsidR="0016694B">
        <w:rPr>
          <w:rFonts w:hint="eastAsia"/>
          <w:szCs w:val="21"/>
          <w:vertAlign w:val="superscript"/>
          <w:lang w:val="en-GB"/>
        </w:rPr>
        <w:t xml:space="preserve"> </w:t>
      </w:r>
      <w:r w:rsidR="00E514C7" w:rsidRPr="00E514C7">
        <w:rPr>
          <w:rFonts w:hint="eastAsia"/>
          <w:szCs w:val="21"/>
        </w:rPr>
        <w:t>在</w:t>
      </w:r>
      <w:r>
        <w:rPr>
          <w:szCs w:val="21"/>
        </w:rPr>
        <w:t>Toonen</w:t>
      </w:r>
      <w:r w:rsidR="00E514C7" w:rsidRPr="00F3748E">
        <w:rPr>
          <w:rFonts w:ascii="Time New Roman" w:eastAsia="楷体" w:hAnsi="Time New Roman" w:hint="eastAsia"/>
          <w:szCs w:val="21"/>
        </w:rPr>
        <w:t>诉澳大利亚</w:t>
      </w:r>
      <w:r w:rsidR="00E514C7" w:rsidRPr="00E514C7">
        <w:rPr>
          <w:rFonts w:hint="eastAsia"/>
          <w:szCs w:val="21"/>
        </w:rPr>
        <w:t>案中，虽然提交人质疑的法规数年未被当局施行，但除其他外，提交人指出了贬低和侮辱性言论、以及针对同性恋者的</w:t>
      </w:r>
      <w:r>
        <w:rPr>
          <w:rFonts w:hint="eastAsia"/>
          <w:szCs w:val="21"/>
        </w:rPr>
        <w:t>“</w:t>
      </w:r>
      <w:r w:rsidR="00E514C7" w:rsidRPr="00E514C7">
        <w:rPr>
          <w:rFonts w:hint="eastAsia"/>
          <w:szCs w:val="21"/>
        </w:rPr>
        <w:t>官方和非官方的仇恨运动</w:t>
      </w:r>
      <w:r>
        <w:rPr>
          <w:rFonts w:hint="eastAsia"/>
          <w:szCs w:val="21"/>
        </w:rPr>
        <w:t>”</w:t>
      </w:r>
      <w:r w:rsidR="00E514C7" w:rsidRPr="00E514C7">
        <w:rPr>
          <w:rFonts w:hint="eastAsia"/>
          <w:szCs w:val="21"/>
        </w:rPr>
        <w:t>，并声称该立法助长了对同性恋社区的骚扰。委员会得出结论认为，提交人</w:t>
      </w:r>
      <w:r>
        <w:rPr>
          <w:rFonts w:hint="eastAsia"/>
          <w:szCs w:val="21"/>
        </w:rPr>
        <w:t>“</w:t>
      </w:r>
      <w:r w:rsidR="00E514C7" w:rsidRPr="00E514C7">
        <w:rPr>
          <w:rFonts w:hint="eastAsia"/>
          <w:szCs w:val="21"/>
        </w:rPr>
        <w:t>已做出合理努力，以证明相关法规可能得到执行和一直以来这些规定对行政实践和舆论的普遍影响，已经对他造成了影响，并继续影响到他个人</w:t>
      </w:r>
      <w:r>
        <w:rPr>
          <w:rFonts w:hint="eastAsia"/>
          <w:szCs w:val="21"/>
        </w:rPr>
        <w:t>”</w:t>
      </w:r>
      <w:r w:rsidR="00E514C7" w:rsidRPr="00E514C7">
        <w:rPr>
          <w:rFonts w:hint="eastAsia"/>
          <w:szCs w:val="21"/>
        </w:rPr>
        <w:t>，这足以能够确定他身为受害者的身份。</w:t>
      </w:r>
      <w:r w:rsidR="0016694B">
        <w:rPr>
          <w:rStyle w:val="a7"/>
          <w:szCs w:val="21"/>
        </w:rPr>
        <w:footnoteReference w:id="18"/>
      </w:r>
    </w:p>
    <w:p w:rsidR="00E514C7" w:rsidRPr="00E514C7" w:rsidRDefault="00EC62E1" w:rsidP="00F3748E">
      <w:pPr>
        <w:pStyle w:val="SingleTxtGC"/>
        <w:rPr>
          <w:szCs w:val="21"/>
        </w:rPr>
      </w:pPr>
      <w:r>
        <w:rPr>
          <w:szCs w:val="21"/>
          <w:lang w:val="en-GB"/>
        </w:rPr>
        <w:t>9</w:t>
      </w:r>
      <w:r w:rsidR="00E514C7" w:rsidRPr="00E514C7">
        <w:rPr>
          <w:szCs w:val="21"/>
          <w:lang w:val="en-GB"/>
        </w:rPr>
        <w:t>.</w:t>
      </w:r>
      <w:r>
        <w:rPr>
          <w:szCs w:val="21"/>
          <w:lang w:val="en-GB"/>
        </w:rPr>
        <w:t>6</w:t>
      </w:r>
      <w:r>
        <w:rPr>
          <w:rFonts w:hint="eastAsia"/>
          <w:szCs w:val="21"/>
          <w:lang w:val="en-GB"/>
        </w:rPr>
        <w:t xml:space="preserve">  </w:t>
      </w:r>
      <w:r w:rsidR="00E514C7" w:rsidRPr="00E514C7">
        <w:rPr>
          <w:rFonts w:hint="eastAsia"/>
          <w:szCs w:val="21"/>
        </w:rPr>
        <w:t>在本案中，委员会注意到，提交人没有作为缔约国的普通民众成员提出抽象的指称。提交人是穆斯林和摩洛哥国民，他们说维尔德斯先生的言论专门针对穆斯林。因此，提交人是维尔德斯先生的言论重点针对的那一类人。他们还指出，他们个人直接感受到尔德斯先生仇恨言论的影响，日常生活也受到包括互联网攻击等影响，无罪宣判给公众的信息是维尔德斯先生的行为不属犯罪，因而对提交人造成了不利影响。根据《刑事诉讼法》第</w:t>
      </w:r>
      <w:r w:rsidR="00F3748E">
        <w:rPr>
          <w:rFonts w:hint="eastAsia"/>
          <w:szCs w:val="21"/>
        </w:rPr>
        <w:t>51</w:t>
      </w:r>
      <w:r w:rsidR="00E514C7" w:rsidRPr="00E514C7">
        <w:rPr>
          <w:rFonts w:hint="eastAsia"/>
          <w:szCs w:val="21"/>
        </w:rPr>
        <w:t>条</w:t>
      </w:r>
      <w:r w:rsidR="00F3748E">
        <w:rPr>
          <w:rFonts w:hint="eastAsia"/>
          <w:szCs w:val="21"/>
        </w:rPr>
        <w:t>(</w:t>
      </w:r>
      <w:r w:rsidR="00F3748E">
        <w:rPr>
          <w:szCs w:val="21"/>
        </w:rPr>
        <w:t>a</w:t>
      </w:r>
      <w:r w:rsidR="00F3748E">
        <w:rPr>
          <w:rFonts w:hint="eastAsia"/>
          <w:szCs w:val="21"/>
        </w:rPr>
        <w:t>)</w:t>
      </w:r>
      <w:r w:rsidR="00F3748E">
        <w:rPr>
          <w:rFonts w:hint="eastAsia"/>
          <w:szCs w:val="21"/>
        </w:rPr>
        <w:t>款</w:t>
      </w:r>
      <w:r w:rsidR="00E514C7" w:rsidRPr="00E514C7">
        <w:rPr>
          <w:rFonts w:hint="eastAsia"/>
          <w:szCs w:val="21"/>
        </w:rPr>
        <w:t>，提交人作为所谓的受害方参加刑事诉讼。委员会还注意到，</w:t>
      </w:r>
      <w:r>
        <w:rPr>
          <w:rFonts w:hint="eastAsia"/>
          <w:szCs w:val="21"/>
        </w:rPr>
        <w:t>Rabbae</w:t>
      </w:r>
      <w:r w:rsidR="00E514C7" w:rsidRPr="00E514C7">
        <w:rPr>
          <w:rFonts w:hint="eastAsia"/>
          <w:szCs w:val="21"/>
        </w:rPr>
        <w:t>先生负责荷兰摩洛哥问题国家咨询机构，曾就维尔德斯先生的言论向警方提出申诉，并在法庭上就歧视和种族主义问题的研究数据以及摩洛哥人在缔约国的立场发表了讲话。</w:t>
      </w:r>
      <w:r>
        <w:rPr>
          <w:szCs w:val="21"/>
        </w:rPr>
        <w:t>A</w:t>
      </w:r>
      <w:r w:rsidR="00E514C7" w:rsidRPr="00E514C7">
        <w:rPr>
          <w:szCs w:val="21"/>
        </w:rPr>
        <w:t>.</w:t>
      </w:r>
      <w:r>
        <w:rPr>
          <w:szCs w:val="21"/>
        </w:rPr>
        <w:t>B</w:t>
      </w:r>
      <w:r w:rsidR="00E514C7" w:rsidRPr="00E514C7">
        <w:rPr>
          <w:szCs w:val="21"/>
        </w:rPr>
        <w:t>.</w:t>
      </w:r>
      <w:r>
        <w:rPr>
          <w:szCs w:val="21"/>
        </w:rPr>
        <w:t>S</w:t>
      </w:r>
      <w:r w:rsidR="00E514C7" w:rsidRPr="00E514C7">
        <w:rPr>
          <w:szCs w:val="21"/>
        </w:rPr>
        <w:t>.</w:t>
      </w:r>
      <w:r w:rsidR="00E514C7" w:rsidRPr="00E514C7">
        <w:rPr>
          <w:rFonts w:hint="eastAsia"/>
          <w:szCs w:val="21"/>
        </w:rPr>
        <w:t>在法庭上证实，</w:t>
      </w:r>
      <w:r>
        <w:rPr>
          <w:szCs w:val="21"/>
        </w:rPr>
        <w:t>2</w:t>
      </w:r>
      <w:r w:rsidR="00E514C7" w:rsidRPr="00E514C7">
        <w:rPr>
          <w:szCs w:val="21"/>
        </w:rPr>
        <w:t>0</w:t>
      </w:r>
      <w:r>
        <w:rPr>
          <w:szCs w:val="21"/>
        </w:rPr>
        <w:t>1</w:t>
      </w:r>
      <w:r w:rsidR="00E514C7" w:rsidRPr="00E514C7">
        <w:rPr>
          <w:szCs w:val="21"/>
        </w:rPr>
        <w:t>0</w:t>
      </w:r>
      <w:r w:rsidR="00E514C7" w:rsidRPr="00E514C7">
        <w:rPr>
          <w:rFonts w:hint="eastAsia"/>
          <w:szCs w:val="21"/>
        </w:rPr>
        <w:t>年，她被一名骑自行车的人撞到，对方向她发出尖叫，明确提到了维尔德斯先生的发言。第三位提交人在法庭上就维尔德斯先生的发言造成的影响作证后，收到了许多威胁性的信息，致使她决定不再出庭作证。鉴于上述情况，委员会认为，提交人是维尔德斯先生言论针对的特定群体的成员，因此属于第二十条第</w:t>
      </w:r>
      <w:r w:rsidR="005B7B19">
        <w:rPr>
          <w:rFonts w:hint="eastAsia"/>
          <w:szCs w:val="21"/>
        </w:rPr>
        <w:t>二</w:t>
      </w:r>
      <w:r w:rsidR="00E514C7" w:rsidRPr="00E514C7">
        <w:rPr>
          <w:rFonts w:hint="eastAsia"/>
          <w:szCs w:val="21"/>
        </w:rPr>
        <w:t>款旨在保护的人，维尔德斯先生的言论给他们造成了特别后果，包括引发了社会对该群体和作为群体成员的他们个人的歧视性态度。因此，委员会认为，提交人已经为了受理目的充分证明，他们的说法并非只是基于假设。</w:t>
      </w:r>
    </w:p>
    <w:p w:rsidR="00E514C7" w:rsidRPr="00E514C7" w:rsidRDefault="00EC62E1" w:rsidP="0016694B">
      <w:pPr>
        <w:pStyle w:val="SingleTxtGC"/>
        <w:rPr>
          <w:szCs w:val="21"/>
        </w:rPr>
      </w:pPr>
      <w:r>
        <w:rPr>
          <w:szCs w:val="21"/>
          <w:lang w:val="en-GB"/>
        </w:rPr>
        <w:t>9</w:t>
      </w:r>
      <w:r w:rsidR="00E514C7" w:rsidRPr="00E514C7">
        <w:rPr>
          <w:szCs w:val="21"/>
          <w:lang w:val="en-GB"/>
        </w:rPr>
        <w:t>.</w:t>
      </w:r>
      <w:r>
        <w:rPr>
          <w:szCs w:val="21"/>
          <w:lang w:val="en-GB"/>
        </w:rPr>
        <w:t>7</w:t>
      </w:r>
      <w:r>
        <w:rPr>
          <w:rFonts w:hint="eastAsia"/>
          <w:szCs w:val="21"/>
          <w:lang w:val="en-GB"/>
        </w:rPr>
        <w:t xml:space="preserve">  </w:t>
      </w:r>
      <w:r w:rsidR="00E514C7" w:rsidRPr="00E514C7">
        <w:rPr>
          <w:rFonts w:hint="eastAsia"/>
          <w:szCs w:val="21"/>
        </w:rPr>
        <w:t>委员会注意到缔约国的论点，即《公约》第二十条不是从一项受法院管辖的权利的角度制定的。但委员会认为，由于第二十条第</w:t>
      </w:r>
      <w:r w:rsidR="005B7B19">
        <w:rPr>
          <w:rFonts w:hint="eastAsia"/>
          <w:szCs w:val="21"/>
        </w:rPr>
        <w:t>二</w:t>
      </w:r>
      <w:r w:rsidR="00E514C7" w:rsidRPr="00E514C7">
        <w:rPr>
          <w:rFonts w:hint="eastAsia"/>
          <w:szCs w:val="21"/>
        </w:rPr>
        <w:t>款规定，</w:t>
      </w:r>
      <w:r>
        <w:rPr>
          <w:rFonts w:hint="eastAsia"/>
          <w:szCs w:val="21"/>
        </w:rPr>
        <w:t>“</w:t>
      </w:r>
      <w:r w:rsidR="00E514C7" w:rsidRPr="00E514C7">
        <w:rPr>
          <w:rFonts w:hint="eastAsia"/>
          <w:szCs w:val="21"/>
        </w:rPr>
        <w:t>任何鼓吹民族、种族或宗教仇恨的主张，构成煽动歧视、敌视或强暴者，应以法律加以禁止</w:t>
      </w:r>
      <w:r>
        <w:rPr>
          <w:rFonts w:hint="eastAsia"/>
          <w:szCs w:val="21"/>
        </w:rPr>
        <w:t>”</w:t>
      </w:r>
      <w:r w:rsidR="00E514C7" w:rsidRPr="00E514C7">
        <w:rPr>
          <w:rFonts w:hint="eastAsia"/>
          <w:szCs w:val="21"/>
        </w:rPr>
        <w:t>，因此，该条款可为人们</w:t>
      </w:r>
      <w:r w:rsidR="005D2190">
        <w:rPr>
          <w:rFonts w:hint="eastAsia"/>
          <w:szCs w:val="21"/>
        </w:rPr>
        <w:t>(</w:t>
      </w:r>
      <w:r w:rsidR="00E514C7" w:rsidRPr="00E514C7">
        <w:rPr>
          <w:rFonts w:hint="eastAsia"/>
          <w:szCs w:val="21"/>
        </w:rPr>
        <w:t>不论作为个人和群体成员</w:t>
      </w:r>
      <w:r w:rsidR="005D2190">
        <w:rPr>
          <w:rFonts w:hint="eastAsia"/>
          <w:szCs w:val="21"/>
        </w:rPr>
        <w:t>)</w:t>
      </w:r>
      <w:r w:rsidR="00E514C7" w:rsidRPr="00E514C7">
        <w:rPr>
          <w:rFonts w:hint="eastAsia"/>
          <w:szCs w:val="21"/>
        </w:rPr>
        <w:t>提供保护，使其免遭这类歧视。该条规定，缔约国必须对其它可强制执行的《公约》权利包括第十九条之下的言论自由原则实行限制，因此该条旨在明确承认对《公约》第二十六条所列歧视的禁止。</w:t>
      </w:r>
      <w:r w:rsidR="0016694B">
        <w:rPr>
          <w:rStyle w:val="a7"/>
          <w:szCs w:val="21"/>
        </w:rPr>
        <w:footnoteReference w:id="19"/>
      </w:r>
      <w:r w:rsidR="0016694B">
        <w:rPr>
          <w:rFonts w:hint="eastAsia"/>
          <w:szCs w:val="21"/>
        </w:rPr>
        <w:t xml:space="preserve"> </w:t>
      </w:r>
      <w:r w:rsidR="00E514C7" w:rsidRPr="00E514C7">
        <w:rPr>
          <w:rFonts w:hint="eastAsia"/>
          <w:szCs w:val="21"/>
        </w:rPr>
        <w:t>委员会认为，第二十条第</w:t>
      </w:r>
      <w:r w:rsidR="005B7B19">
        <w:rPr>
          <w:rFonts w:hint="eastAsia"/>
          <w:szCs w:val="21"/>
        </w:rPr>
        <w:t>二</w:t>
      </w:r>
      <w:r w:rsidR="00E514C7" w:rsidRPr="00E514C7">
        <w:rPr>
          <w:rFonts w:hint="eastAsia"/>
          <w:szCs w:val="21"/>
        </w:rPr>
        <w:t>款并不仅仅规定缔约国有义务通</w:t>
      </w:r>
      <w:r w:rsidR="00E514C7" w:rsidRPr="00E514C7">
        <w:rPr>
          <w:rFonts w:hint="eastAsia"/>
          <w:szCs w:val="21"/>
        </w:rPr>
        <w:lastRenderedPageBreak/>
        <w:t>过禁止这种行为的立法。如果没有诉讼程序和适当的制裁，这种法律就难以发挥作用。因此，遭受了不公正待遇的个人援引第二十条第</w:t>
      </w:r>
      <w:r w:rsidR="005B7B19">
        <w:rPr>
          <w:rFonts w:hint="eastAsia"/>
          <w:szCs w:val="21"/>
        </w:rPr>
        <w:t>二</w:t>
      </w:r>
      <w:r w:rsidR="00E514C7" w:rsidRPr="00E514C7">
        <w:rPr>
          <w:rFonts w:hint="eastAsia"/>
          <w:szCs w:val="21"/>
        </w:rPr>
        <w:t>款，正是遵循了作为整个《公约》基础的保护理念。</w:t>
      </w:r>
      <w:r w:rsidR="0016694B">
        <w:rPr>
          <w:rStyle w:val="a7"/>
          <w:szCs w:val="21"/>
        </w:rPr>
        <w:footnoteReference w:id="20"/>
      </w:r>
    </w:p>
    <w:p w:rsidR="00E514C7" w:rsidRPr="00E514C7" w:rsidRDefault="00EC62E1" w:rsidP="005B7B19">
      <w:pPr>
        <w:pStyle w:val="SingleTxtGC"/>
        <w:rPr>
          <w:szCs w:val="21"/>
        </w:rPr>
      </w:pPr>
      <w:r>
        <w:rPr>
          <w:szCs w:val="21"/>
          <w:lang w:val="en-GB"/>
        </w:rPr>
        <w:t>9</w:t>
      </w:r>
      <w:r w:rsidR="00E514C7" w:rsidRPr="00E514C7">
        <w:rPr>
          <w:szCs w:val="21"/>
          <w:lang w:val="en-GB"/>
        </w:rPr>
        <w:t>.</w:t>
      </w:r>
      <w:r>
        <w:rPr>
          <w:szCs w:val="21"/>
          <w:lang w:val="en-GB"/>
        </w:rPr>
        <w:t>8</w:t>
      </w:r>
      <w:r>
        <w:rPr>
          <w:rFonts w:hint="eastAsia"/>
          <w:szCs w:val="21"/>
          <w:lang w:val="en-GB"/>
        </w:rPr>
        <w:t xml:space="preserve">  </w:t>
      </w:r>
      <w:r w:rsidR="00E514C7" w:rsidRPr="00E514C7">
        <w:rPr>
          <w:rFonts w:hint="eastAsia"/>
          <w:szCs w:val="21"/>
        </w:rPr>
        <w:t>缔约国认为，该来文不属于《公约》的范围，因为根据委员会的判例，个人不能强迫国家对第三方提起刑事诉讼或者施加惩罚。委员会注意到提交人就此提出的意见，即他们认为缺乏有效的起诉。委员会还注意到，提交人说，他们作为受害方，在刑事诉讼中的作用有限，例如，在审查案件实情和实质过程中，他们无法就维尔德斯先生的言论是否构成煽动仇恨、歧视或暴力问题传唤证人、进行参与或提出论点，也无法对法庭的判决提出上诉。在这方面，委员会认为，为了受理目的，提交人已经充分证明他们在第十四条第</w:t>
      </w:r>
      <w:r w:rsidR="005B7B19">
        <w:rPr>
          <w:rFonts w:hint="eastAsia"/>
          <w:szCs w:val="21"/>
        </w:rPr>
        <w:t>一</w:t>
      </w:r>
      <w:r w:rsidR="00E514C7" w:rsidRPr="00E514C7">
        <w:rPr>
          <w:rFonts w:hint="eastAsia"/>
          <w:szCs w:val="21"/>
        </w:rPr>
        <w:t>款和第二条第</w:t>
      </w:r>
      <w:r w:rsidR="005B7B19">
        <w:rPr>
          <w:rFonts w:hint="eastAsia"/>
          <w:szCs w:val="21"/>
        </w:rPr>
        <w:t>三</w:t>
      </w:r>
      <w:r w:rsidR="00E514C7" w:rsidRPr="00E514C7">
        <w:rPr>
          <w:rFonts w:hint="eastAsia"/>
          <w:szCs w:val="21"/>
        </w:rPr>
        <w:t>款</w:t>
      </w:r>
      <w:r w:rsidR="005D2190">
        <w:rPr>
          <w:rFonts w:hint="eastAsia"/>
          <w:szCs w:val="21"/>
        </w:rPr>
        <w:t>(</w:t>
      </w:r>
      <w:r w:rsidR="00E514C7" w:rsidRPr="00E514C7">
        <w:rPr>
          <w:rFonts w:hint="eastAsia"/>
          <w:szCs w:val="21"/>
        </w:rPr>
        <w:t>与第二十条第</w:t>
      </w:r>
      <w:r w:rsidR="005B7B19">
        <w:rPr>
          <w:rFonts w:hint="eastAsia"/>
          <w:szCs w:val="21"/>
        </w:rPr>
        <w:t>二</w:t>
      </w:r>
      <w:r w:rsidR="00E514C7" w:rsidRPr="00E514C7">
        <w:rPr>
          <w:rFonts w:hint="eastAsia"/>
          <w:szCs w:val="21"/>
        </w:rPr>
        <w:t>款和第二十六条一并解读</w:t>
      </w:r>
      <w:r w:rsidR="005D2190">
        <w:rPr>
          <w:rFonts w:hint="eastAsia"/>
          <w:szCs w:val="21"/>
        </w:rPr>
        <w:t>)</w:t>
      </w:r>
      <w:r w:rsidR="00E514C7" w:rsidRPr="00E514C7">
        <w:rPr>
          <w:rFonts w:hint="eastAsia"/>
          <w:szCs w:val="21"/>
        </w:rPr>
        <w:t>之下的指称。</w:t>
      </w:r>
    </w:p>
    <w:p w:rsidR="00E514C7" w:rsidRPr="00E514C7" w:rsidRDefault="00EC62E1" w:rsidP="00E514C7">
      <w:pPr>
        <w:pStyle w:val="SingleTxtGC"/>
        <w:rPr>
          <w:szCs w:val="21"/>
          <w:lang w:val="en-GB"/>
        </w:rPr>
      </w:pPr>
      <w:r>
        <w:rPr>
          <w:szCs w:val="21"/>
          <w:lang w:val="en-GB"/>
        </w:rPr>
        <w:t>9</w:t>
      </w:r>
      <w:r w:rsidR="00E514C7" w:rsidRPr="00E514C7">
        <w:rPr>
          <w:szCs w:val="21"/>
          <w:lang w:val="en-GB"/>
        </w:rPr>
        <w:t>.</w:t>
      </w:r>
      <w:r>
        <w:rPr>
          <w:szCs w:val="21"/>
          <w:lang w:val="en-GB"/>
        </w:rPr>
        <w:t>9</w:t>
      </w:r>
      <w:r>
        <w:rPr>
          <w:rFonts w:hint="eastAsia"/>
          <w:szCs w:val="21"/>
          <w:lang w:val="en-GB"/>
        </w:rPr>
        <w:t xml:space="preserve">  </w:t>
      </w:r>
      <w:r w:rsidR="00E514C7" w:rsidRPr="00E514C7">
        <w:rPr>
          <w:szCs w:val="21"/>
          <w:lang w:val="en-GB"/>
        </w:rPr>
        <w:t>关于提交人</w:t>
      </w:r>
      <w:r w:rsidR="00E514C7" w:rsidRPr="00E514C7">
        <w:rPr>
          <w:rFonts w:hint="eastAsia"/>
          <w:szCs w:val="21"/>
          <w:lang w:val="en-GB"/>
        </w:rPr>
        <w:t>在《</w:t>
      </w:r>
      <w:r w:rsidR="00E514C7" w:rsidRPr="00E514C7">
        <w:rPr>
          <w:szCs w:val="21"/>
          <w:lang w:val="en-GB"/>
        </w:rPr>
        <w:t>该公约</w:t>
      </w:r>
      <w:r w:rsidR="00E514C7" w:rsidRPr="00E514C7">
        <w:rPr>
          <w:rFonts w:hint="eastAsia"/>
          <w:szCs w:val="21"/>
          <w:lang w:val="en-GB"/>
        </w:rPr>
        <w:t>》</w:t>
      </w:r>
      <w:r w:rsidR="00E514C7" w:rsidRPr="00E514C7">
        <w:rPr>
          <w:szCs w:val="21"/>
          <w:lang w:val="en-GB"/>
        </w:rPr>
        <w:t>第</w:t>
      </w:r>
      <w:r w:rsidR="00E514C7" w:rsidRPr="00E514C7">
        <w:rPr>
          <w:rFonts w:hint="eastAsia"/>
          <w:szCs w:val="21"/>
          <w:lang w:val="en-GB"/>
        </w:rPr>
        <w:t>十七</w:t>
      </w:r>
      <w:r w:rsidR="00E514C7" w:rsidRPr="00E514C7">
        <w:rPr>
          <w:szCs w:val="21"/>
          <w:lang w:val="en-GB"/>
        </w:rPr>
        <w:t>和</w:t>
      </w:r>
      <w:r w:rsidR="00E514C7" w:rsidRPr="00E514C7">
        <w:rPr>
          <w:rFonts w:hint="eastAsia"/>
          <w:szCs w:val="21"/>
          <w:lang w:val="en-GB"/>
        </w:rPr>
        <w:t>二十七</w:t>
      </w:r>
      <w:r w:rsidR="00E514C7" w:rsidRPr="00E514C7">
        <w:rPr>
          <w:szCs w:val="21"/>
          <w:lang w:val="en-GB"/>
        </w:rPr>
        <w:t>条</w:t>
      </w:r>
      <w:r w:rsidR="00E514C7" w:rsidRPr="00E514C7">
        <w:rPr>
          <w:rFonts w:hint="eastAsia"/>
          <w:szCs w:val="21"/>
          <w:lang w:val="en-GB"/>
        </w:rPr>
        <w:t>之下</w:t>
      </w:r>
      <w:r w:rsidR="00E514C7" w:rsidRPr="00E514C7">
        <w:rPr>
          <w:szCs w:val="21"/>
          <w:lang w:val="en-GB"/>
        </w:rPr>
        <w:t>的指称，委员会认为，提交人没有提出具体论据支持他们</w:t>
      </w:r>
      <w:r w:rsidR="00E514C7" w:rsidRPr="00E514C7">
        <w:rPr>
          <w:rFonts w:hint="eastAsia"/>
          <w:szCs w:val="21"/>
          <w:lang w:val="en-GB"/>
        </w:rPr>
        <w:t>在这些条款之下</w:t>
      </w:r>
      <w:r w:rsidR="00E514C7" w:rsidRPr="00E514C7">
        <w:rPr>
          <w:szCs w:val="21"/>
          <w:lang w:val="en-GB"/>
        </w:rPr>
        <w:t>的</w:t>
      </w:r>
      <w:r w:rsidR="00E514C7" w:rsidRPr="00E514C7">
        <w:rPr>
          <w:rFonts w:hint="eastAsia"/>
          <w:szCs w:val="21"/>
          <w:lang w:val="en-GB"/>
        </w:rPr>
        <w:t>指称</w:t>
      </w:r>
      <w:r w:rsidR="00E514C7" w:rsidRPr="00E514C7">
        <w:rPr>
          <w:szCs w:val="21"/>
          <w:lang w:val="en-GB"/>
        </w:rPr>
        <w:t>，</w:t>
      </w:r>
      <w:r w:rsidR="00E514C7" w:rsidRPr="00E514C7">
        <w:rPr>
          <w:rFonts w:hint="eastAsia"/>
          <w:szCs w:val="21"/>
          <w:lang w:val="en-GB"/>
        </w:rPr>
        <w:t>这些指称不同于他们在</w:t>
      </w:r>
      <w:r w:rsidR="00E514C7" w:rsidRPr="00E514C7">
        <w:rPr>
          <w:rFonts w:hint="eastAsia"/>
          <w:szCs w:val="21"/>
        </w:rPr>
        <w:t>第二十条第</w:t>
      </w:r>
      <w:r w:rsidR="005D2190">
        <w:rPr>
          <w:rFonts w:hint="eastAsia"/>
          <w:szCs w:val="21"/>
        </w:rPr>
        <w:t>(</w:t>
      </w:r>
      <w:r>
        <w:rPr>
          <w:rFonts w:hint="eastAsia"/>
          <w:szCs w:val="21"/>
        </w:rPr>
        <w:t>2</w:t>
      </w:r>
      <w:r w:rsidR="005D2190">
        <w:rPr>
          <w:rFonts w:hint="eastAsia"/>
          <w:szCs w:val="21"/>
        </w:rPr>
        <w:t>)</w:t>
      </w:r>
      <w:r w:rsidR="00E514C7" w:rsidRPr="00E514C7">
        <w:rPr>
          <w:rFonts w:hint="eastAsia"/>
          <w:szCs w:val="21"/>
        </w:rPr>
        <w:t>款和第二十六条之下的指称。</w:t>
      </w:r>
      <w:r w:rsidR="00E514C7" w:rsidRPr="00E514C7">
        <w:rPr>
          <w:rFonts w:hint="eastAsia"/>
          <w:szCs w:val="21"/>
          <w:lang w:val="en-GB"/>
        </w:rPr>
        <w:t>据此，委员会认为，这部分来文没有得到充分证明，并宣布这部分来文根据《任择议定书》第二条不予受理。</w:t>
      </w:r>
    </w:p>
    <w:p w:rsidR="00E514C7" w:rsidRPr="00E514C7" w:rsidRDefault="00EC62E1" w:rsidP="00F3748E">
      <w:pPr>
        <w:pStyle w:val="SingleTxtGC"/>
        <w:rPr>
          <w:szCs w:val="21"/>
        </w:rPr>
      </w:pPr>
      <w:r>
        <w:rPr>
          <w:szCs w:val="21"/>
          <w:lang w:val="en-GB"/>
        </w:rPr>
        <w:t>9</w:t>
      </w:r>
      <w:r w:rsidR="00E514C7" w:rsidRPr="00E514C7">
        <w:rPr>
          <w:szCs w:val="21"/>
          <w:lang w:val="en-GB"/>
        </w:rPr>
        <w:t>.</w:t>
      </w:r>
      <w:r>
        <w:rPr>
          <w:szCs w:val="21"/>
          <w:lang w:val="en-GB"/>
        </w:rPr>
        <w:t>1</w:t>
      </w:r>
      <w:r w:rsidR="00E514C7" w:rsidRPr="00E514C7">
        <w:rPr>
          <w:szCs w:val="21"/>
          <w:lang w:val="en-GB"/>
        </w:rPr>
        <w:t>0</w:t>
      </w:r>
      <w:r>
        <w:rPr>
          <w:rFonts w:hint="eastAsia"/>
          <w:szCs w:val="21"/>
          <w:lang w:val="en-GB"/>
        </w:rPr>
        <w:t xml:space="preserve">  </w:t>
      </w:r>
      <w:r w:rsidR="00E514C7" w:rsidRPr="00E514C7">
        <w:rPr>
          <w:rFonts w:hint="eastAsia"/>
          <w:szCs w:val="21"/>
          <w:lang w:val="en-GB"/>
        </w:rPr>
        <w:t>鉴于上述，</w:t>
      </w:r>
      <w:r w:rsidR="00E514C7" w:rsidRPr="00E514C7">
        <w:rPr>
          <w:szCs w:val="21"/>
          <w:lang w:val="en-GB"/>
        </w:rPr>
        <w:t>委员会</w:t>
      </w:r>
      <w:r w:rsidR="00E514C7" w:rsidRPr="00E514C7">
        <w:rPr>
          <w:rFonts w:hint="eastAsia"/>
          <w:szCs w:val="21"/>
          <w:lang w:val="en-GB"/>
        </w:rPr>
        <w:t>决定，就来文会引起与</w:t>
      </w:r>
      <w:r w:rsidR="00E514C7" w:rsidRPr="00E514C7">
        <w:rPr>
          <w:rFonts w:hint="eastAsia"/>
          <w:szCs w:val="21"/>
        </w:rPr>
        <w:t>第十四条第</w:t>
      </w:r>
      <w:r w:rsidR="00F3748E">
        <w:rPr>
          <w:rFonts w:hint="eastAsia"/>
          <w:szCs w:val="21"/>
        </w:rPr>
        <w:t>一</w:t>
      </w:r>
      <w:r w:rsidR="00E514C7" w:rsidRPr="00E514C7">
        <w:rPr>
          <w:rFonts w:hint="eastAsia"/>
          <w:szCs w:val="21"/>
        </w:rPr>
        <w:t>款和第二条第</w:t>
      </w:r>
      <w:r w:rsidR="00F3748E">
        <w:rPr>
          <w:rFonts w:hint="eastAsia"/>
          <w:szCs w:val="21"/>
        </w:rPr>
        <w:t>三</w:t>
      </w:r>
      <w:r w:rsidR="00E514C7" w:rsidRPr="00E514C7">
        <w:rPr>
          <w:rFonts w:hint="eastAsia"/>
          <w:szCs w:val="21"/>
        </w:rPr>
        <w:t>款</w:t>
      </w:r>
      <w:r w:rsidR="005D2190">
        <w:rPr>
          <w:rFonts w:hint="eastAsia"/>
          <w:szCs w:val="21"/>
        </w:rPr>
        <w:t>(</w:t>
      </w:r>
      <w:r w:rsidR="00E514C7" w:rsidRPr="00E514C7">
        <w:rPr>
          <w:rFonts w:hint="eastAsia"/>
          <w:szCs w:val="21"/>
        </w:rPr>
        <w:t>与《公约》第二十条第</w:t>
      </w:r>
      <w:r w:rsidR="00F3748E">
        <w:rPr>
          <w:rFonts w:hint="eastAsia"/>
          <w:szCs w:val="21"/>
        </w:rPr>
        <w:t>二</w:t>
      </w:r>
      <w:r w:rsidR="00E514C7" w:rsidRPr="00E514C7">
        <w:rPr>
          <w:rFonts w:hint="eastAsia"/>
          <w:szCs w:val="21"/>
        </w:rPr>
        <w:t>款和第二十六条一并解读</w:t>
      </w:r>
      <w:r w:rsidR="005D2190">
        <w:rPr>
          <w:rFonts w:hint="eastAsia"/>
          <w:szCs w:val="21"/>
        </w:rPr>
        <w:t>)</w:t>
      </w:r>
      <w:r w:rsidR="00E514C7" w:rsidRPr="00E514C7">
        <w:rPr>
          <w:rFonts w:hint="eastAsia"/>
          <w:szCs w:val="21"/>
        </w:rPr>
        <w:t>有关的问题这一点而言，来文可予接受。委员会着手根据案件实质审查这些指称。</w:t>
      </w:r>
    </w:p>
    <w:p w:rsidR="00E514C7" w:rsidRPr="00E514C7" w:rsidRDefault="00EC62E1" w:rsidP="00EC62E1">
      <w:pPr>
        <w:pStyle w:val="H4GC"/>
      </w:pPr>
      <w:r>
        <w:rPr>
          <w:rFonts w:hint="eastAsia"/>
        </w:rPr>
        <w:tab/>
      </w:r>
      <w:r>
        <w:rPr>
          <w:rFonts w:hint="eastAsia"/>
        </w:rPr>
        <w:tab/>
      </w:r>
      <w:r w:rsidR="00E514C7" w:rsidRPr="00E514C7">
        <w:rPr>
          <w:rFonts w:hint="eastAsia"/>
        </w:rPr>
        <w:t>对</w:t>
      </w:r>
      <w:r w:rsidR="00E514C7" w:rsidRPr="00E514C7">
        <w:rPr>
          <w:lang w:val="en-GB"/>
        </w:rPr>
        <w:t>案情实质</w:t>
      </w:r>
      <w:r w:rsidR="00E514C7" w:rsidRPr="00E514C7">
        <w:rPr>
          <w:rFonts w:hint="eastAsia"/>
          <w:lang w:val="en-GB"/>
        </w:rPr>
        <w:t>的审议</w:t>
      </w:r>
    </w:p>
    <w:p w:rsidR="00E514C7" w:rsidRPr="00E514C7" w:rsidRDefault="00EC62E1" w:rsidP="00E514C7">
      <w:pPr>
        <w:pStyle w:val="SingleTxtGC"/>
        <w:rPr>
          <w:szCs w:val="21"/>
          <w:lang w:val="en-GB"/>
        </w:rPr>
      </w:pPr>
      <w:r>
        <w:rPr>
          <w:szCs w:val="21"/>
          <w:lang w:val="en-GB"/>
        </w:rPr>
        <w:t>1</w:t>
      </w:r>
      <w:r w:rsidR="00E514C7" w:rsidRPr="00E514C7">
        <w:rPr>
          <w:szCs w:val="21"/>
          <w:lang w:val="en-GB"/>
        </w:rPr>
        <w:t>0.</w:t>
      </w:r>
      <w:r>
        <w:rPr>
          <w:szCs w:val="21"/>
          <w:lang w:val="en-GB"/>
        </w:rPr>
        <w:t>1</w:t>
      </w:r>
      <w:r>
        <w:rPr>
          <w:rFonts w:hint="eastAsia"/>
          <w:szCs w:val="21"/>
          <w:lang w:val="en-GB"/>
        </w:rPr>
        <w:t xml:space="preserve">  </w:t>
      </w:r>
      <w:r w:rsidR="00E514C7" w:rsidRPr="00E514C7">
        <w:rPr>
          <w:szCs w:val="21"/>
          <w:lang w:val="en-GB"/>
        </w:rPr>
        <w:t>委员会根据《任择议定书》第五条第</w:t>
      </w:r>
      <w:r>
        <w:rPr>
          <w:szCs w:val="21"/>
          <w:lang w:val="en-GB"/>
        </w:rPr>
        <w:t>1</w:t>
      </w:r>
      <w:r w:rsidR="00E514C7" w:rsidRPr="00E514C7">
        <w:rPr>
          <w:szCs w:val="21"/>
          <w:lang w:val="en-GB"/>
        </w:rPr>
        <w:t>款的要求，参照各方所提供的所有资料审议了本来文。</w:t>
      </w:r>
    </w:p>
    <w:p w:rsidR="00E514C7" w:rsidRPr="00E514C7" w:rsidRDefault="00EC62E1" w:rsidP="00E514C7">
      <w:pPr>
        <w:pStyle w:val="SingleTxtGC"/>
        <w:rPr>
          <w:szCs w:val="21"/>
          <w:lang w:val="en-GB"/>
        </w:rPr>
      </w:pPr>
      <w:r>
        <w:rPr>
          <w:szCs w:val="21"/>
          <w:lang w:val="en-GB"/>
        </w:rPr>
        <w:t>1</w:t>
      </w:r>
      <w:r w:rsidR="00E514C7" w:rsidRPr="00E514C7">
        <w:rPr>
          <w:szCs w:val="21"/>
          <w:lang w:val="en-GB"/>
        </w:rPr>
        <w:t>0.</w:t>
      </w:r>
      <w:r>
        <w:rPr>
          <w:szCs w:val="21"/>
          <w:lang w:val="en-GB"/>
        </w:rPr>
        <w:t>2</w:t>
      </w:r>
      <w:r>
        <w:rPr>
          <w:rFonts w:hint="eastAsia"/>
          <w:szCs w:val="21"/>
          <w:lang w:val="en-GB"/>
        </w:rPr>
        <w:t xml:space="preserve">  </w:t>
      </w:r>
      <w:r w:rsidR="00E514C7" w:rsidRPr="00E514C7">
        <w:rPr>
          <w:szCs w:val="21"/>
          <w:lang w:val="en-GB"/>
        </w:rPr>
        <w:t>委员会注意到提交人</w:t>
      </w:r>
      <w:r w:rsidR="00E514C7" w:rsidRPr="00E514C7">
        <w:rPr>
          <w:rFonts w:hint="eastAsia"/>
          <w:szCs w:val="21"/>
          <w:lang w:val="en-GB"/>
        </w:rPr>
        <w:t>的以下指</w:t>
      </w:r>
      <w:r w:rsidR="00E514C7" w:rsidRPr="00E514C7">
        <w:rPr>
          <w:szCs w:val="21"/>
          <w:lang w:val="en-GB"/>
        </w:rPr>
        <w:t>称，在</w:t>
      </w:r>
      <w:r w:rsidR="00E514C7" w:rsidRPr="00E514C7">
        <w:rPr>
          <w:rFonts w:hint="eastAsia"/>
          <w:szCs w:val="21"/>
          <w:lang w:val="en-GB"/>
        </w:rPr>
        <w:t>根据《刑法》第</w:t>
      </w:r>
      <w:r>
        <w:rPr>
          <w:rFonts w:hint="eastAsia"/>
          <w:szCs w:val="21"/>
          <w:lang w:val="en-GB"/>
        </w:rPr>
        <w:t>137</w:t>
      </w:r>
      <w:r w:rsidR="00E514C7" w:rsidRPr="00E514C7">
        <w:rPr>
          <w:rFonts w:hint="eastAsia"/>
          <w:szCs w:val="21"/>
          <w:lang w:val="en-GB"/>
        </w:rPr>
        <w:t>条</w:t>
      </w:r>
      <w:r>
        <w:rPr>
          <w:rFonts w:hint="eastAsia"/>
          <w:szCs w:val="21"/>
          <w:lang w:val="en-GB"/>
        </w:rPr>
        <w:t>d</w:t>
      </w:r>
      <w:r w:rsidR="00E514C7" w:rsidRPr="00E514C7">
        <w:rPr>
          <w:rFonts w:hint="eastAsia"/>
          <w:szCs w:val="21"/>
          <w:lang w:val="en-GB"/>
        </w:rPr>
        <w:t>款</w:t>
      </w:r>
      <w:r w:rsidR="005D2190">
        <w:rPr>
          <w:rFonts w:hint="eastAsia"/>
          <w:szCs w:val="21"/>
          <w:lang w:val="en-GB"/>
        </w:rPr>
        <w:t>(</w:t>
      </w:r>
      <w:r w:rsidR="00E514C7" w:rsidRPr="00E514C7">
        <w:rPr>
          <w:rFonts w:hint="eastAsia"/>
          <w:szCs w:val="21"/>
          <w:lang w:val="en-GB"/>
        </w:rPr>
        <w:t>该条款旨在履行缔约国在</w:t>
      </w:r>
      <w:r w:rsidR="00E514C7" w:rsidRPr="00E514C7">
        <w:rPr>
          <w:rFonts w:hint="eastAsia"/>
          <w:szCs w:val="21"/>
        </w:rPr>
        <w:t>《公约》第二十条第</w:t>
      </w:r>
      <w:r w:rsidR="00F3748E">
        <w:rPr>
          <w:rFonts w:hint="eastAsia"/>
          <w:szCs w:val="21"/>
        </w:rPr>
        <w:t>二</w:t>
      </w:r>
      <w:r w:rsidR="00E514C7" w:rsidRPr="00E514C7">
        <w:rPr>
          <w:rFonts w:hint="eastAsia"/>
          <w:szCs w:val="21"/>
        </w:rPr>
        <w:t>款之下的义务</w:t>
      </w:r>
      <w:r w:rsidR="005D2190">
        <w:rPr>
          <w:rFonts w:hint="eastAsia"/>
          <w:szCs w:val="21"/>
        </w:rPr>
        <w:t>)</w:t>
      </w:r>
      <w:r w:rsidR="00E514C7" w:rsidRPr="00E514C7">
        <w:rPr>
          <w:rFonts w:hint="eastAsia"/>
          <w:szCs w:val="21"/>
        </w:rPr>
        <w:t>对维尔德斯先生提起的</w:t>
      </w:r>
      <w:r w:rsidR="00E514C7" w:rsidRPr="00E514C7">
        <w:rPr>
          <w:szCs w:val="21"/>
          <w:lang w:val="en-GB"/>
        </w:rPr>
        <w:t>刑事诉讼</w:t>
      </w:r>
      <w:r w:rsidR="00E514C7" w:rsidRPr="00E514C7">
        <w:rPr>
          <w:rFonts w:hint="eastAsia"/>
          <w:szCs w:val="21"/>
          <w:lang w:val="en-GB"/>
        </w:rPr>
        <w:t>中，由于他们作为受害方发挥的作用有限以及</w:t>
      </w:r>
      <w:r w:rsidR="00E514C7" w:rsidRPr="00E514C7">
        <w:rPr>
          <w:szCs w:val="21"/>
          <w:lang w:val="en-GB"/>
        </w:rPr>
        <w:t>缺乏有效的起诉</w:t>
      </w:r>
      <w:r w:rsidR="00E514C7" w:rsidRPr="00E514C7">
        <w:rPr>
          <w:rFonts w:hint="eastAsia"/>
          <w:szCs w:val="21"/>
          <w:lang w:val="en-GB"/>
        </w:rPr>
        <w:t>，</w:t>
      </w:r>
      <w:r w:rsidR="00E514C7" w:rsidRPr="00E514C7">
        <w:rPr>
          <w:szCs w:val="21"/>
          <w:lang w:val="en-GB"/>
        </w:rPr>
        <w:t>他们的权利没有得到尊重</w:t>
      </w:r>
      <w:r w:rsidR="00E514C7" w:rsidRPr="00E514C7">
        <w:rPr>
          <w:rFonts w:hint="eastAsia"/>
          <w:szCs w:val="21"/>
          <w:lang w:val="en-GB"/>
        </w:rPr>
        <w:t>。</w:t>
      </w:r>
    </w:p>
    <w:p w:rsidR="00E514C7" w:rsidRPr="00E514C7" w:rsidRDefault="00EC62E1" w:rsidP="00E514C7">
      <w:pPr>
        <w:pStyle w:val="SingleTxtGC"/>
        <w:rPr>
          <w:szCs w:val="21"/>
          <w:lang w:val="en-GB"/>
        </w:rPr>
      </w:pPr>
      <w:r>
        <w:rPr>
          <w:szCs w:val="21"/>
          <w:lang w:val="en-GB"/>
        </w:rPr>
        <w:t>1</w:t>
      </w:r>
      <w:r w:rsidR="00E514C7" w:rsidRPr="00E514C7">
        <w:rPr>
          <w:szCs w:val="21"/>
          <w:lang w:val="en-GB"/>
        </w:rPr>
        <w:t>0.</w:t>
      </w:r>
      <w:r>
        <w:rPr>
          <w:szCs w:val="21"/>
          <w:lang w:val="en-GB"/>
        </w:rPr>
        <w:t>3</w:t>
      </w:r>
      <w:r>
        <w:rPr>
          <w:rFonts w:hint="eastAsia"/>
          <w:szCs w:val="21"/>
          <w:lang w:val="en-GB"/>
        </w:rPr>
        <w:t xml:space="preserve">  </w:t>
      </w:r>
      <w:r w:rsidR="00E514C7" w:rsidRPr="00E514C7">
        <w:rPr>
          <w:szCs w:val="21"/>
          <w:lang w:val="en-GB"/>
        </w:rPr>
        <w:t>委员会回顾其判例，即第</w:t>
      </w:r>
      <w:r w:rsidR="00F3748E">
        <w:rPr>
          <w:rFonts w:hint="eastAsia"/>
          <w:szCs w:val="21"/>
          <w:lang w:val="en-GB"/>
        </w:rPr>
        <w:t>十四</w:t>
      </w:r>
      <w:r w:rsidR="00E514C7" w:rsidRPr="00E514C7">
        <w:rPr>
          <w:szCs w:val="21"/>
          <w:lang w:val="en-GB"/>
        </w:rPr>
        <w:t>条并没有规定个人有权</w:t>
      </w:r>
      <w:r w:rsidR="00E514C7" w:rsidRPr="00E514C7">
        <w:rPr>
          <w:rFonts w:hint="eastAsia"/>
          <w:szCs w:val="21"/>
          <w:lang w:val="en-GB"/>
        </w:rPr>
        <w:t>要求对他人进行</w:t>
      </w:r>
      <w:r w:rsidR="00E514C7" w:rsidRPr="00E514C7">
        <w:rPr>
          <w:szCs w:val="21"/>
          <w:lang w:val="en-GB"/>
        </w:rPr>
        <w:t>起诉或惩</w:t>
      </w:r>
      <w:r w:rsidR="00E514C7" w:rsidRPr="00E514C7">
        <w:rPr>
          <w:rFonts w:hint="eastAsia"/>
          <w:szCs w:val="21"/>
          <w:lang w:val="en-GB"/>
        </w:rPr>
        <w:t>治。</w:t>
      </w:r>
      <w:r w:rsidR="0016694B">
        <w:rPr>
          <w:rStyle w:val="a7"/>
          <w:szCs w:val="21"/>
          <w:lang w:val="en-GB"/>
        </w:rPr>
        <w:footnoteReference w:id="21"/>
      </w:r>
      <w:r w:rsidR="0016694B">
        <w:rPr>
          <w:rFonts w:hint="eastAsia"/>
          <w:szCs w:val="21"/>
          <w:vertAlign w:val="superscript"/>
          <w:lang w:val="en-GB"/>
        </w:rPr>
        <w:t xml:space="preserve"> </w:t>
      </w:r>
      <w:r w:rsidR="00E514C7" w:rsidRPr="00E514C7">
        <w:rPr>
          <w:szCs w:val="21"/>
          <w:lang w:val="en-GB"/>
        </w:rPr>
        <w:t>然而，个人可根据第</w:t>
      </w:r>
      <w:r w:rsidR="00E514C7" w:rsidRPr="00E514C7">
        <w:rPr>
          <w:rFonts w:hint="eastAsia"/>
          <w:szCs w:val="21"/>
          <w:lang w:val="en-GB"/>
        </w:rPr>
        <w:t>十四</w:t>
      </w:r>
      <w:r w:rsidR="00E514C7" w:rsidRPr="00E514C7">
        <w:rPr>
          <w:szCs w:val="21"/>
          <w:lang w:val="en-GB"/>
        </w:rPr>
        <w:t>条</w:t>
      </w:r>
      <w:r w:rsidR="00E514C7" w:rsidRPr="00E514C7">
        <w:rPr>
          <w:rFonts w:hint="eastAsia"/>
          <w:szCs w:val="21"/>
          <w:lang w:val="en-GB"/>
        </w:rPr>
        <w:t>第</w:t>
      </w:r>
      <w:r w:rsidR="00F3748E">
        <w:rPr>
          <w:rFonts w:hint="eastAsia"/>
          <w:szCs w:val="21"/>
          <w:lang w:val="en-GB"/>
        </w:rPr>
        <w:t>一</w:t>
      </w:r>
      <w:r w:rsidR="00E514C7" w:rsidRPr="00E514C7">
        <w:rPr>
          <w:rFonts w:hint="eastAsia"/>
          <w:szCs w:val="21"/>
          <w:lang w:val="en-GB"/>
        </w:rPr>
        <w:t>款</w:t>
      </w:r>
      <w:r w:rsidR="00E514C7" w:rsidRPr="00E514C7">
        <w:rPr>
          <w:szCs w:val="21"/>
          <w:lang w:val="en-GB"/>
        </w:rPr>
        <w:t>，</w:t>
      </w:r>
      <w:r w:rsidR="00E514C7" w:rsidRPr="00E514C7">
        <w:rPr>
          <w:rFonts w:hint="eastAsia"/>
          <w:szCs w:val="21"/>
          <w:lang w:val="en-GB"/>
        </w:rPr>
        <w:t>请求享有诉讼过程中确定其权利和义务方面受到公正审理的权利。</w:t>
      </w:r>
      <w:r w:rsidR="00E514C7" w:rsidRPr="00E514C7">
        <w:rPr>
          <w:szCs w:val="21"/>
          <w:lang w:val="en-GB"/>
        </w:rPr>
        <w:t>在本案中，提交人</w:t>
      </w:r>
      <w:r w:rsidR="00E514C7" w:rsidRPr="00E514C7">
        <w:rPr>
          <w:rFonts w:hint="eastAsia"/>
          <w:szCs w:val="21"/>
          <w:lang w:val="en-GB"/>
        </w:rPr>
        <w:t>关于属于刑事诉讼中受害方</w:t>
      </w:r>
      <w:r w:rsidR="00E514C7" w:rsidRPr="00E514C7">
        <w:rPr>
          <w:szCs w:val="21"/>
          <w:lang w:val="en-GB"/>
        </w:rPr>
        <w:t>的</w:t>
      </w:r>
      <w:r w:rsidR="00E514C7" w:rsidRPr="00E514C7">
        <w:rPr>
          <w:rFonts w:hint="eastAsia"/>
          <w:szCs w:val="21"/>
          <w:lang w:val="en-GB"/>
        </w:rPr>
        <w:t>指称具有</w:t>
      </w:r>
      <w:r w:rsidR="00E514C7" w:rsidRPr="00E514C7">
        <w:rPr>
          <w:szCs w:val="21"/>
          <w:lang w:val="en-GB"/>
        </w:rPr>
        <w:t>民事性质，因此</w:t>
      </w:r>
      <w:r w:rsidR="00E514C7" w:rsidRPr="00E514C7">
        <w:rPr>
          <w:rFonts w:hint="eastAsia"/>
          <w:szCs w:val="21"/>
          <w:lang w:val="en-GB"/>
        </w:rPr>
        <w:t>，提交人在被告被判有罪情况下在民事赔偿请求方面的</w:t>
      </w:r>
      <w:r w:rsidR="00E514C7" w:rsidRPr="00E514C7">
        <w:rPr>
          <w:szCs w:val="21"/>
          <w:lang w:val="en-GB"/>
        </w:rPr>
        <w:t>权利和义务</w:t>
      </w:r>
      <w:r w:rsidR="00E514C7" w:rsidRPr="00E514C7">
        <w:rPr>
          <w:rFonts w:hint="eastAsia"/>
          <w:szCs w:val="21"/>
          <w:lang w:val="en-GB"/>
        </w:rPr>
        <w:t>，</w:t>
      </w:r>
      <w:r w:rsidR="00E514C7" w:rsidRPr="00E514C7">
        <w:rPr>
          <w:szCs w:val="21"/>
          <w:lang w:val="en-GB"/>
        </w:rPr>
        <w:t>应</w:t>
      </w:r>
      <w:r w:rsidR="00E514C7" w:rsidRPr="00E514C7">
        <w:rPr>
          <w:rFonts w:hint="eastAsia"/>
          <w:szCs w:val="21"/>
          <w:lang w:val="en-GB"/>
        </w:rPr>
        <w:t>当</w:t>
      </w:r>
      <w:r w:rsidR="00E514C7" w:rsidRPr="00E514C7">
        <w:rPr>
          <w:szCs w:val="21"/>
          <w:lang w:val="en-GB"/>
        </w:rPr>
        <w:t>得到保护。在这方面，委员会注意到，在阿姆斯特丹地区法院，提交人决定行使其权利，</w:t>
      </w:r>
      <w:r w:rsidR="00E514C7" w:rsidRPr="00E514C7">
        <w:rPr>
          <w:rFonts w:hint="eastAsia"/>
          <w:szCs w:val="21"/>
          <w:lang w:val="en-GB"/>
        </w:rPr>
        <w:t>根据《</w:t>
      </w:r>
      <w:r w:rsidR="00E514C7" w:rsidRPr="00E514C7">
        <w:rPr>
          <w:szCs w:val="21"/>
          <w:lang w:val="en-GB"/>
        </w:rPr>
        <w:t>刑事诉讼法</w:t>
      </w:r>
      <w:r w:rsidR="00E514C7" w:rsidRPr="00E514C7">
        <w:rPr>
          <w:rFonts w:hint="eastAsia"/>
          <w:szCs w:val="21"/>
          <w:lang w:val="en-GB"/>
        </w:rPr>
        <w:t>》第</w:t>
      </w:r>
      <w:r>
        <w:rPr>
          <w:rFonts w:hint="eastAsia"/>
          <w:szCs w:val="21"/>
          <w:lang w:val="en-GB"/>
        </w:rPr>
        <w:t>51</w:t>
      </w:r>
      <w:r w:rsidR="00E514C7" w:rsidRPr="00E514C7">
        <w:rPr>
          <w:rFonts w:hint="eastAsia"/>
          <w:szCs w:val="21"/>
          <w:lang w:val="en-GB"/>
        </w:rPr>
        <w:t>条，作为</w:t>
      </w:r>
      <w:r w:rsidR="00E514C7" w:rsidRPr="00E514C7">
        <w:rPr>
          <w:szCs w:val="21"/>
          <w:lang w:val="en-GB"/>
        </w:rPr>
        <w:t>受害方</w:t>
      </w:r>
      <w:r w:rsidR="00E514C7" w:rsidRPr="00E514C7">
        <w:rPr>
          <w:rFonts w:hint="eastAsia"/>
          <w:szCs w:val="21"/>
          <w:lang w:val="en-GB"/>
        </w:rPr>
        <w:t>提出民事权利请求。《</w:t>
      </w:r>
      <w:r w:rsidR="00E514C7" w:rsidRPr="00E514C7">
        <w:rPr>
          <w:szCs w:val="21"/>
          <w:lang w:val="en-GB"/>
        </w:rPr>
        <w:t>公约</w:t>
      </w:r>
      <w:r w:rsidR="00E514C7" w:rsidRPr="00E514C7">
        <w:rPr>
          <w:rFonts w:hint="eastAsia"/>
          <w:szCs w:val="21"/>
          <w:lang w:val="en-GB"/>
        </w:rPr>
        <w:t>》并没有要求建立这种机制，</w:t>
      </w:r>
      <w:r w:rsidR="00E514C7" w:rsidRPr="00E514C7">
        <w:rPr>
          <w:szCs w:val="21"/>
          <w:lang w:val="en-GB"/>
        </w:rPr>
        <w:t>但</w:t>
      </w:r>
      <w:r w:rsidR="00E514C7" w:rsidRPr="00E514C7">
        <w:rPr>
          <w:rFonts w:hint="eastAsia"/>
          <w:szCs w:val="21"/>
          <w:lang w:val="en-GB"/>
        </w:rPr>
        <w:t>依据</w:t>
      </w:r>
      <w:r w:rsidR="00E514C7" w:rsidRPr="00E514C7">
        <w:rPr>
          <w:szCs w:val="21"/>
          <w:lang w:val="en-GB"/>
        </w:rPr>
        <w:t>国内法</w:t>
      </w:r>
      <w:r w:rsidR="00E514C7" w:rsidRPr="00E514C7">
        <w:rPr>
          <w:rFonts w:hint="eastAsia"/>
          <w:szCs w:val="21"/>
          <w:lang w:val="en-GB"/>
        </w:rPr>
        <w:t>，可利用这一机制</w:t>
      </w:r>
      <w:r w:rsidR="00E514C7" w:rsidRPr="00E514C7">
        <w:rPr>
          <w:szCs w:val="21"/>
          <w:lang w:val="en-GB"/>
        </w:rPr>
        <w:t>。</w:t>
      </w:r>
      <w:r w:rsidR="00E514C7" w:rsidRPr="00E514C7">
        <w:rPr>
          <w:rFonts w:hint="eastAsia"/>
          <w:szCs w:val="21"/>
          <w:lang w:val="en-GB"/>
        </w:rPr>
        <w:t>委员会还注意到，依据这一程序，提交人的律师被允许就指控所涉事实是否表明被告应受惩罚作出陈述，并且被允许表示维尔德斯先生的言论违反了第</w:t>
      </w:r>
      <w:r>
        <w:rPr>
          <w:rFonts w:hint="eastAsia"/>
          <w:szCs w:val="21"/>
          <w:lang w:val="en-GB"/>
        </w:rPr>
        <w:t>137</w:t>
      </w:r>
      <w:r w:rsidR="00E514C7" w:rsidRPr="00E514C7">
        <w:rPr>
          <w:rFonts w:hint="eastAsia"/>
          <w:szCs w:val="21"/>
          <w:lang w:val="en-GB"/>
        </w:rPr>
        <w:t>条</w:t>
      </w:r>
      <w:r w:rsidR="00F3748E">
        <w:rPr>
          <w:rFonts w:hint="eastAsia"/>
          <w:szCs w:val="21"/>
          <w:lang w:val="en-GB"/>
        </w:rPr>
        <w:t>d</w:t>
      </w:r>
      <w:r w:rsidR="00E514C7" w:rsidRPr="00E514C7">
        <w:rPr>
          <w:rFonts w:hint="eastAsia"/>
          <w:szCs w:val="21"/>
          <w:lang w:val="en-GB"/>
        </w:rPr>
        <w:t>款。</w:t>
      </w:r>
      <w:r w:rsidR="00E514C7" w:rsidRPr="00E514C7">
        <w:rPr>
          <w:szCs w:val="21"/>
          <w:lang w:val="en-GB"/>
        </w:rPr>
        <w:t>委员会还注意到，提交人被允许提交文件和出庭作证。因此，委员会</w:t>
      </w:r>
      <w:r w:rsidR="00E514C7" w:rsidRPr="00E514C7">
        <w:rPr>
          <w:szCs w:val="21"/>
          <w:lang w:val="en-GB"/>
        </w:rPr>
        <w:lastRenderedPageBreak/>
        <w:t>认为，委员会面前的事实没有显示提交人</w:t>
      </w:r>
      <w:r w:rsidR="00E514C7" w:rsidRPr="00E514C7">
        <w:rPr>
          <w:rFonts w:hint="eastAsia"/>
          <w:szCs w:val="21"/>
          <w:lang w:val="en-GB"/>
        </w:rPr>
        <w:t>在第十四条第</w:t>
      </w:r>
      <w:r w:rsidR="00F3748E">
        <w:rPr>
          <w:rFonts w:hint="eastAsia"/>
          <w:szCs w:val="21"/>
          <w:lang w:val="en-GB"/>
        </w:rPr>
        <w:t>一</w:t>
      </w:r>
      <w:r w:rsidR="00E514C7" w:rsidRPr="00E514C7">
        <w:rPr>
          <w:rFonts w:hint="eastAsia"/>
          <w:szCs w:val="21"/>
          <w:lang w:val="en-GB"/>
        </w:rPr>
        <w:t>款之下的权利</w:t>
      </w:r>
      <w:r w:rsidR="005D2190">
        <w:rPr>
          <w:rFonts w:hint="eastAsia"/>
          <w:szCs w:val="21"/>
          <w:lang w:val="en-GB"/>
        </w:rPr>
        <w:t>(</w:t>
      </w:r>
      <w:r w:rsidR="00E514C7" w:rsidRPr="00E514C7">
        <w:rPr>
          <w:rFonts w:hint="eastAsia"/>
          <w:szCs w:val="21"/>
          <w:lang w:val="en-GB"/>
        </w:rPr>
        <w:t>结合诉讼过程中对其权利和义务的确定</w:t>
      </w:r>
      <w:r w:rsidR="005D2190">
        <w:rPr>
          <w:rFonts w:hint="eastAsia"/>
          <w:szCs w:val="21"/>
          <w:lang w:val="en-GB"/>
        </w:rPr>
        <w:t>)</w:t>
      </w:r>
      <w:r w:rsidR="00E514C7" w:rsidRPr="00E514C7">
        <w:rPr>
          <w:rFonts w:hint="eastAsia"/>
          <w:szCs w:val="21"/>
          <w:lang w:val="en-GB"/>
        </w:rPr>
        <w:t>遭到了侵犯。</w:t>
      </w:r>
    </w:p>
    <w:p w:rsidR="00E514C7" w:rsidRPr="00E514C7" w:rsidRDefault="00EC62E1" w:rsidP="00F3748E">
      <w:pPr>
        <w:pStyle w:val="SingleTxtGC"/>
        <w:rPr>
          <w:szCs w:val="21"/>
          <w:lang w:val="en-GB"/>
        </w:rPr>
      </w:pPr>
      <w:r>
        <w:rPr>
          <w:szCs w:val="21"/>
          <w:lang w:val="en-GB"/>
        </w:rPr>
        <w:t>1</w:t>
      </w:r>
      <w:r w:rsidR="00E514C7" w:rsidRPr="00E514C7">
        <w:rPr>
          <w:szCs w:val="21"/>
          <w:lang w:val="en-GB"/>
        </w:rPr>
        <w:t>0.</w:t>
      </w:r>
      <w:r>
        <w:rPr>
          <w:szCs w:val="21"/>
          <w:lang w:val="en-GB"/>
        </w:rPr>
        <w:t>4</w:t>
      </w:r>
      <w:r>
        <w:rPr>
          <w:rFonts w:hint="eastAsia"/>
          <w:szCs w:val="21"/>
          <w:lang w:val="en-GB"/>
        </w:rPr>
        <w:t xml:space="preserve">  </w:t>
      </w:r>
      <w:r w:rsidR="00E514C7" w:rsidRPr="00E514C7">
        <w:rPr>
          <w:szCs w:val="21"/>
          <w:lang w:val="en-GB"/>
        </w:rPr>
        <w:t>关于提交人</w:t>
      </w:r>
      <w:r w:rsidR="00E514C7" w:rsidRPr="00E514C7">
        <w:rPr>
          <w:rFonts w:hint="eastAsia"/>
          <w:szCs w:val="21"/>
          <w:lang w:val="en-GB"/>
        </w:rPr>
        <w:t>的这一说法，即由于宣布维尔德斯先生无罪，他们在第二条第</w:t>
      </w:r>
      <w:r w:rsidR="00F3748E">
        <w:rPr>
          <w:rFonts w:hint="eastAsia"/>
          <w:szCs w:val="21"/>
          <w:lang w:val="en-GB"/>
        </w:rPr>
        <w:t>三</w:t>
      </w:r>
      <w:r w:rsidR="00E514C7" w:rsidRPr="00E514C7">
        <w:rPr>
          <w:rFonts w:hint="eastAsia"/>
          <w:szCs w:val="21"/>
          <w:lang w:val="en-GB"/>
        </w:rPr>
        <w:t>款、第二十条第</w:t>
      </w:r>
      <w:r w:rsidR="00F3748E">
        <w:rPr>
          <w:rFonts w:hint="eastAsia"/>
          <w:szCs w:val="21"/>
          <w:lang w:val="en-GB"/>
        </w:rPr>
        <w:t>二</w:t>
      </w:r>
      <w:r w:rsidR="00E514C7" w:rsidRPr="00E514C7">
        <w:rPr>
          <w:rFonts w:hint="eastAsia"/>
          <w:szCs w:val="21"/>
          <w:lang w:val="en-GB"/>
        </w:rPr>
        <w:t>款及第二十六条之下的权利遭受损害，委员会指出，第二十条第</w:t>
      </w:r>
      <w:r w:rsidR="005D2190">
        <w:rPr>
          <w:rFonts w:hint="eastAsia"/>
          <w:szCs w:val="21"/>
          <w:lang w:val="en-GB"/>
        </w:rPr>
        <w:t>(</w:t>
      </w:r>
      <w:r>
        <w:rPr>
          <w:rFonts w:hint="eastAsia"/>
          <w:szCs w:val="21"/>
          <w:lang w:val="en-GB"/>
        </w:rPr>
        <w:t>2</w:t>
      </w:r>
      <w:r w:rsidR="00E514C7" w:rsidRPr="00E514C7">
        <w:rPr>
          <w:rFonts w:hint="eastAsia"/>
          <w:szCs w:val="21"/>
          <w:lang w:val="en-GB"/>
        </w:rPr>
        <w:t>)</w:t>
      </w:r>
      <w:r w:rsidR="00E514C7" w:rsidRPr="00E514C7">
        <w:rPr>
          <w:rFonts w:hint="eastAsia"/>
          <w:szCs w:val="21"/>
          <w:lang w:val="en-GB"/>
        </w:rPr>
        <w:t>款通过要求国家以法律禁止某种行为和言论，确保人们不论作为个人还是作为群体成员，在第二十六条之下有权免遭仇恨和歧视。</w:t>
      </w:r>
      <w:r w:rsidR="0016694B">
        <w:rPr>
          <w:rStyle w:val="a7"/>
          <w:szCs w:val="21"/>
          <w:lang w:val="en-GB"/>
        </w:rPr>
        <w:footnoteReference w:id="22"/>
      </w:r>
      <w:r w:rsidR="0016694B">
        <w:rPr>
          <w:rFonts w:hint="eastAsia"/>
          <w:szCs w:val="21"/>
          <w:vertAlign w:val="superscript"/>
          <w:lang w:val="en-GB"/>
        </w:rPr>
        <w:t xml:space="preserve"> </w:t>
      </w:r>
      <w:r w:rsidR="00E514C7" w:rsidRPr="00E514C7">
        <w:rPr>
          <w:rFonts w:hint="eastAsia"/>
          <w:szCs w:val="21"/>
          <w:lang w:val="en-GB"/>
        </w:rPr>
        <w:t>国家仅须针对第二十条列明的具体类型的言论制定法律禁令。</w:t>
      </w:r>
      <w:r w:rsidR="0016694B">
        <w:rPr>
          <w:rStyle w:val="a7"/>
          <w:szCs w:val="21"/>
          <w:lang w:val="en-GB"/>
        </w:rPr>
        <w:footnoteReference w:id="23"/>
      </w:r>
      <w:r w:rsidR="0016694B">
        <w:rPr>
          <w:rFonts w:hint="eastAsia"/>
          <w:szCs w:val="21"/>
          <w:vertAlign w:val="superscript"/>
          <w:lang w:val="en-GB"/>
        </w:rPr>
        <w:t xml:space="preserve"> </w:t>
      </w:r>
      <w:r w:rsidR="00E514C7" w:rsidRPr="00E514C7">
        <w:rPr>
          <w:rFonts w:hint="eastAsia"/>
          <w:szCs w:val="21"/>
          <w:lang w:val="en-GB"/>
        </w:rPr>
        <w:t>第二十条第</w:t>
      </w:r>
      <w:r w:rsidR="00F3748E">
        <w:rPr>
          <w:rFonts w:hint="eastAsia"/>
          <w:szCs w:val="21"/>
          <w:lang w:val="en-GB"/>
        </w:rPr>
        <w:t>二</w:t>
      </w:r>
      <w:r w:rsidR="00E514C7" w:rsidRPr="00E514C7">
        <w:rPr>
          <w:rFonts w:hint="eastAsia"/>
          <w:szCs w:val="21"/>
          <w:lang w:val="en-GB"/>
        </w:rPr>
        <w:t>款的涉及面有限，这是为了确保《公约》其他同样基本的权利，包括第十九条之下的言论自由，不受侵犯。</w:t>
      </w:r>
      <w:r w:rsidR="00E514C7" w:rsidRPr="00E514C7">
        <w:rPr>
          <w:szCs w:val="21"/>
          <w:lang w:val="en-GB"/>
        </w:rPr>
        <w:t>在这方面，委员会提醒注意，言论自由</w:t>
      </w:r>
      <w:r w:rsidR="00E514C7" w:rsidRPr="00E514C7">
        <w:rPr>
          <w:rFonts w:hint="eastAsia"/>
          <w:szCs w:val="21"/>
          <w:lang w:val="en-GB"/>
        </w:rPr>
        <w:t>甚至</w:t>
      </w:r>
      <w:r w:rsidR="00E514C7" w:rsidRPr="00E514C7">
        <w:rPr>
          <w:szCs w:val="21"/>
          <w:lang w:val="en-GB"/>
        </w:rPr>
        <w:t>包</w:t>
      </w:r>
      <w:r w:rsidR="00E514C7" w:rsidRPr="00E514C7">
        <w:rPr>
          <w:rFonts w:hint="eastAsia"/>
          <w:szCs w:val="21"/>
          <w:lang w:val="en-GB"/>
        </w:rPr>
        <w:t>含可被视为具有严重冒犯性质的言论。</w:t>
      </w:r>
      <w:r w:rsidR="0016694B">
        <w:rPr>
          <w:rStyle w:val="a7"/>
          <w:szCs w:val="21"/>
          <w:lang w:val="en-GB"/>
        </w:rPr>
        <w:footnoteReference w:id="24"/>
      </w:r>
      <w:r w:rsidR="0016694B">
        <w:rPr>
          <w:rFonts w:hint="eastAsia"/>
          <w:szCs w:val="21"/>
          <w:vertAlign w:val="superscript"/>
          <w:lang w:val="en-GB"/>
        </w:rPr>
        <w:t xml:space="preserve"> </w:t>
      </w:r>
      <w:r w:rsidR="00E514C7" w:rsidRPr="00E514C7">
        <w:rPr>
          <w:rFonts w:hint="eastAsia"/>
          <w:szCs w:val="21"/>
          <w:lang w:val="en-GB"/>
        </w:rPr>
        <w:t>另外，</w:t>
      </w:r>
      <w:r w:rsidR="00E514C7" w:rsidRPr="00E514C7">
        <w:rPr>
          <w:szCs w:val="21"/>
          <w:lang w:val="en-GB"/>
        </w:rPr>
        <w:t>公民、候选人和当选代表之间就公共和政治问题自由交流信息和交换意见</w:t>
      </w:r>
      <w:r w:rsidR="00E514C7" w:rsidRPr="00E514C7">
        <w:rPr>
          <w:rFonts w:hint="eastAsia"/>
          <w:szCs w:val="21"/>
          <w:lang w:val="en-GB"/>
        </w:rPr>
        <w:t>，对于促进和保护言论自由来说</w:t>
      </w:r>
      <w:r w:rsidR="00E514C7" w:rsidRPr="00E514C7">
        <w:rPr>
          <w:szCs w:val="21"/>
          <w:lang w:val="en-GB"/>
        </w:rPr>
        <w:t>至关重要。</w:t>
      </w:r>
      <w:r w:rsidR="0016694B">
        <w:rPr>
          <w:rStyle w:val="a7"/>
          <w:szCs w:val="21"/>
          <w:lang w:val="en-GB"/>
        </w:rPr>
        <w:footnoteReference w:id="25"/>
      </w:r>
      <w:r w:rsidR="0016694B">
        <w:rPr>
          <w:rFonts w:hint="eastAsia"/>
          <w:szCs w:val="21"/>
          <w:vertAlign w:val="superscript"/>
          <w:lang w:val="en-GB"/>
        </w:rPr>
        <w:t xml:space="preserve"> </w:t>
      </w:r>
      <w:r w:rsidR="00E514C7" w:rsidRPr="00E514C7">
        <w:rPr>
          <w:rFonts w:hint="eastAsia"/>
          <w:szCs w:val="21"/>
          <w:lang w:val="en-GB"/>
        </w:rPr>
        <w:t>委员会还提及其判例，即，对</w:t>
      </w:r>
      <w:r w:rsidR="00E514C7" w:rsidRPr="00E514C7">
        <w:rPr>
          <w:szCs w:val="21"/>
          <w:lang w:val="en-GB"/>
        </w:rPr>
        <w:t>不尊重宗教或其他信仰体系的表现</w:t>
      </w:r>
      <w:r w:rsidR="00E514C7" w:rsidRPr="00E514C7">
        <w:rPr>
          <w:rFonts w:hint="eastAsia"/>
          <w:szCs w:val="21"/>
          <w:lang w:val="en-GB"/>
        </w:rPr>
        <w:t>加以禁止</w:t>
      </w:r>
      <w:r w:rsidR="00E514C7" w:rsidRPr="00E514C7">
        <w:rPr>
          <w:szCs w:val="21"/>
          <w:lang w:val="en-GB"/>
        </w:rPr>
        <w:t>，包括亵渎</w:t>
      </w:r>
      <w:r w:rsidR="00E514C7" w:rsidRPr="00E514C7">
        <w:rPr>
          <w:rFonts w:hint="eastAsia"/>
          <w:szCs w:val="21"/>
          <w:lang w:val="en-GB"/>
        </w:rPr>
        <w:t>治罪</w:t>
      </w:r>
      <w:r w:rsidR="00E514C7" w:rsidRPr="00E514C7">
        <w:rPr>
          <w:szCs w:val="21"/>
          <w:lang w:val="en-GB"/>
        </w:rPr>
        <w:t>法，不符合《公约》，但《公约》第二十条第</w:t>
      </w:r>
      <w:r w:rsidR="00F3748E">
        <w:rPr>
          <w:rFonts w:hint="eastAsia"/>
          <w:szCs w:val="21"/>
          <w:lang w:val="en-GB"/>
        </w:rPr>
        <w:t>二</w:t>
      </w:r>
      <w:r w:rsidR="00E514C7" w:rsidRPr="00E514C7">
        <w:rPr>
          <w:szCs w:val="21"/>
          <w:lang w:val="en-GB"/>
        </w:rPr>
        <w:t>款规定的具体情况除外</w:t>
      </w:r>
      <w:r w:rsidR="00E514C7" w:rsidRPr="00E514C7">
        <w:rPr>
          <w:rFonts w:hint="eastAsia"/>
          <w:szCs w:val="21"/>
          <w:lang w:val="en-GB"/>
        </w:rPr>
        <w:t>。</w:t>
      </w:r>
      <w:r w:rsidR="0016694B">
        <w:rPr>
          <w:rStyle w:val="a7"/>
          <w:szCs w:val="21"/>
          <w:lang w:val="en-GB"/>
        </w:rPr>
        <w:footnoteReference w:id="26"/>
      </w:r>
      <w:r w:rsidR="0016694B">
        <w:rPr>
          <w:rFonts w:hint="eastAsia"/>
          <w:szCs w:val="21"/>
          <w:vertAlign w:val="superscript"/>
          <w:lang w:val="en-GB"/>
        </w:rPr>
        <w:t xml:space="preserve"> </w:t>
      </w:r>
      <w:r w:rsidR="00E514C7" w:rsidRPr="00E514C7">
        <w:rPr>
          <w:rFonts w:hint="eastAsia"/>
          <w:szCs w:val="21"/>
          <w:lang w:val="en-GB"/>
        </w:rPr>
        <w:t>同样，此种禁令不得用来阻止或惩治对宗教领袖的批评或对</w:t>
      </w:r>
      <w:r w:rsidR="00E514C7" w:rsidRPr="00E514C7">
        <w:rPr>
          <w:szCs w:val="21"/>
          <w:lang w:val="en-GB"/>
        </w:rPr>
        <w:t>宗教教义和信仰原则</w:t>
      </w:r>
      <w:r w:rsidR="00E514C7" w:rsidRPr="00E514C7">
        <w:rPr>
          <w:rFonts w:hint="eastAsia"/>
          <w:szCs w:val="21"/>
          <w:lang w:val="en-GB"/>
        </w:rPr>
        <w:t>的评论。</w:t>
      </w:r>
      <w:r w:rsidR="00AA24B7">
        <w:rPr>
          <w:rStyle w:val="a7"/>
          <w:szCs w:val="21"/>
          <w:lang w:val="en-GB"/>
        </w:rPr>
        <w:footnoteReference w:id="27"/>
      </w:r>
      <w:r w:rsidR="00E514C7" w:rsidRPr="00E514C7">
        <w:rPr>
          <w:rFonts w:hint="eastAsia"/>
          <w:szCs w:val="21"/>
          <w:lang w:val="en-GB"/>
        </w:rPr>
        <w:t xml:space="preserve"> </w:t>
      </w:r>
      <w:r w:rsidR="00E514C7" w:rsidRPr="00E514C7">
        <w:rPr>
          <w:rFonts w:hint="eastAsia"/>
          <w:szCs w:val="21"/>
          <w:lang w:val="en-GB"/>
        </w:rPr>
        <w:t>委员会还指出，</w:t>
      </w:r>
      <w:r w:rsidR="00E514C7" w:rsidRPr="00E514C7">
        <w:rPr>
          <w:szCs w:val="21"/>
          <w:lang w:val="en-GB"/>
        </w:rPr>
        <w:t>第十九条与第二十条</w:t>
      </w:r>
      <w:r w:rsidR="00E514C7" w:rsidRPr="00E514C7">
        <w:rPr>
          <w:rFonts w:hint="eastAsia"/>
          <w:szCs w:val="21"/>
          <w:lang w:val="en-GB"/>
        </w:rPr>
        <w:t>是</w:t>
      </w:r>
      <w:r w:rsidR="00E514C7" w:rsidRPr="00E514C7">
        <w:rPr>
          <w:szCs w:val="21"/>
          <w:lang w:val="en-GB"/>
        </w:rPr>
        <w:t>互相</w:t>
      </w:r>
      <w:r w:rsidR="00E514C7" w:rsidRPr="00E514C7">
        <w:rPr>
          <w:rFonts w:hint="eastAsia"/>
          <w:szCs w:val="21"/>
          <w:lang w:val="en-GB"/>
        </w:rPr>
        <w:t>一致</w:t>
      </w:r>
      <w:r w:rsidR="00E514C7" w:rsidRPr="00E514C7">
        <w:rPr>
          <w:szCs w:val="21"/>
          <w:lang w:val="en-GB"/>
        </w:rPr>
        <w:t>，互为补充</w:t>
      </w:r>
      <w:r w:rsidR="00E514C7" w:rsidRPr="00E514C7">
        <w:rPr>
          <w:rFonts w:hint="eastAsia"/>
          <w:szCs w:val="21"/>
          <w:lang w:val="en-GB"/>
        </w:rPr>
        <w:t>的</w:t>
      </w:r>
      <w:r w:rsidR="00E514C7" w:rsidRPr="00E514C7">
        <w:rPr>
          <w:szCs w:val="21"/>
          <w:lang w:val="en-GB"/>
        </w:rPr>
        <w:t>。</w:t>
      </w:r>
      <w:r w:rsidR="00AA24B7">
        <w:rPr>
          <w:rStyle w:val="a7"/>
          <w:szCs w:val="21"/>
          <w:lang w:val="en-GB"/>
        </w:rPr>
        <w:footnoteReference w:id="28"/>
      </w:r>
      <w:r w:rsidR="00AA24B7">
        <w:rPr>
          <w:rFonts w:hint="eastAsia"/>
          <w:szCs w:val="21"/>
          <w:vertAlign w:val="superscript"/>
          <w:lang w:val="en-GB"/>
        </w:rPr>
        <w:t xml:space="preserve"> </w:t>
      </w:r>
      <w:r w:rsidR="00E514C7" w:rsidRPr="00E514C7">
        <w:rPr>
          <w:rFonts w:hint="eastAsia"/>
          <w:szCs w:val="21"/>
          <w:lang w:val="en-GB"/>
        </w:rPr>
        <w:t>一项从第二十条的规定来看属于正当的禁令，还必须符合第十九条第</w:t>
      </w:r>
      <w:r w:rsidR="005D2190">
        <w:rPr>
          <w:rFonts w:hint="eastAsia"/>
          <w:szCs w:val="21"/>
          <w:lang w:val="en-GB"/>
        </w:rPr>
        <w:t>(</w:t>
      </w:r>
      <w:r>
        <w:rPr>
          <w:rFonts w:hint="eastAsia"/>
          <w:szCs w:val="21"/>
          <w:lang w:val="en-GB"/>
        </w:rPr>
        <w:t>3</w:t>
      </w:r>
      <w:r w:rsidR="005D2190">
        <w:rPr>
          <w:rFonts w:hint="eastAsia"/>
          <w:szCs w:val="21"/>
          <w:lang w:val="en-GB"/>
        </w:rPr>
        <w:t>)</w:t>
      </w:r>
      <w:r w:rsidR="00E514C7" w:rsidRPr="00E514C7">
        <w:rPr>
          <w:rFonts w:hint="eastAsia"/>
          <w:szCs w:val="21"/>
          <w:lang w:val="en-GB"/>
        </w:rPr>
        <w:t>款的严格规定。</w:t>
      </w:r>
      <w:r w:rsidR="00AA24B7">
        <w:rPr>
          <w:rStyle w:val="a7"/>
          <w:szCs w:val="21"/>
          <w:lang w:val="en-GB"/>
        </w:rPr>
        <w:footnoteReference w:id="29"/>
      </w:r>
      <w:r w:rsidR="00AA24B7">
        <w:rPr>
          <w:rFonts w:hint="eastAsia"/>
          <w:szCs w:val="21"/>
          <w:vertAlign w:val="superscript"/>
          <w:lang w:val="en-GB"/>
        </w:rPr>
        <w:t xml:space="preserve"> </w:t>
      </w:r>
      <w:r w:rsidR="00E514C7" w:rsidRPr="00E514C7">
        <w:rPr>
          <w:szCs w:val="21"/>
          <w:lang w:val="en-GB"/>
        </w:rPr>
        <w:t>因此，在每一种情况下，第</w:t>
      </w:r>
      <w:r>
        <w:rPr>
          <w:szCs w:val="21"/>
          <w:lang w:val="en-GB"/>
        </w:rPr>
        <w:t>2</w:t>
      </w:r>
      <w:r w:rsidR="00E514C7" w:rsidRPr="00E514C7">
        <w:rPr>
          <w:szCs w:val="21"/>
          <w:lang w:val="en-GB"/>
        </w:rPr>
        <w:t>0</w:t>
      </w:r>
      <w:r w:rsidR="00E514C7" w:rsidRPr="00E514C7">
        <w:rPr>
          <w:szCs w:val="21"/>
          <w:lang w:val="en-GB"/>
        </w:rPr>
        <w:t>条</w:t>
      </w:r>
      <w:r w:rsidR="00E514C7" w:rsidRPr="00E514C7">
        <w:rPr>
          <w:rFonts w:hint="eastAsia"/>
          <w:szCs w:val="21"/>
          <w:lang w:val="en-GB"/>
        </w:rPr>
        <w:t>第</w:t>
      </w:r>
      <w:r w:rsidR="00F3748E">
        <w:rPr>
          <w:rFonts w:hint="eastAsia"/>
          <w:szCs w:val="21"/>
          <w:lang w:val="en-GB"/>
        </w:rPr>
        <w:t>二</w:t>
      </w:r>
      <w:r w:rsidR="00E514C7" w:rsidRPr="00E514C7">
        <w:rPr>
          <w:rFonts w:hint="eastAsia"/>
          <w:szCs w:val="21"/>
          <w:lang w:val="en-GB"/>
        </w:rPr>
        <w:t>款之下</w:t>
      </w:r>
      <w:r w:rsidR="00E514C7" w:rsidRPr="00E514C7">
        <w:rPr>
          <w:szCs w:val="21"/>
          <w:lang w:val="en-GB"/>
        </w:rPr>
        <w:t>的禁止措施也必须</w:t>
      </w:r>
      <w:r>
        <w:rPr>
          <w:rFonts w:hint="eastAsia"/>
          <w:szCs w:val="21"/>
          <w:lang w:val="en-GB"/>
        </w:rPr>
        <w:t>“</w:t>
      </w:r>
      <w:r w:rsidR="00E514C7" w:rsidRPr="00E514C7">
        <w:rPr>
          <w:szCs w:val="21"/>
          <w:lang w:val="en-GB"/>
        </w:rPr>
        <w:t>由法律规定</w:t>
      </w:r>
      <w:r>
        <w:rPr>
          <w:rFonts w:hint="eastAsia"/>
          <w:szCs w:val="21"/>
          <w:lang w:val="en-GB"/>
        </w:rPr>
        <w:t>”</w:t>
      </w:r>
      <w:r w:rsidR="005D2190">
        <w:rPr>
          <w:szCs w:val="21"/>
          <w:lang w:val="en-GB"/>
        </w:rPr>
        <w:t>；</w:t>
      </w:r>
      <w:r w:rsidR="00E514C7" w:rsidRPr="00E514C7">
        <w:rPr>
          <w:rFonts w:hint="eastAsia"/>
          <w:szCs w:val="21"/>
          <w:lang w:val="en-GB"/>
        </w:rPr>
        <w:t>这些措施只能出于第十九条第</w:t>
      </w:r>
      <w:r w:rsidR="00F3748E">
        <w:rPr>
          <w:rFonts w:hint="eastAsia"/>
          <w:szCs w:val="21"/>
          <w:lang w:val="en-GB"/>
        </w:rPr>
        <w:t>三</w:t>
      </w:r>
      <w:r w:rsidR="00E514C7" w:rsidRPr="00E514C7">
        <w:rPr>
          <w:rFonts w:hint="eastAsia"/>
          <w:szCs w:val="21"/>
          <w:lang w:val="en-GB"/>
        </w:rPr>
        <w:t>款</w:t>
      </w:r>
      <w:r w:rsidR="005D2190">
        <w:rPr>
          <w:rFonts w:hint="eastAsia"/>
          <w:szCs w:val="21"/>
          <w:lang w:val="en-GB"/>
        </w:rPr>
        <w:t>(</w:t>
      </w:r>
      <w:r w:rsidR="00E514C7" w:rsidRPr="00E514C7">
        <w:rPr>
          <w:rFonts w:hint="eastAsia"/>
          <w:szCs w:val="21"/>
          <w:lang w:val="en-GB"/>
        </w:rPr>
        <w:t>甲</w:t>
      </w:r>
      <w:r w:rsidR="005D2190">
        <w:rPr>
          <w:rFonts w:hint="eastAsia"/>
          <w:szCs w:val="21"/>
          <w:lang w:val="en-GB"/>
        </w:rPr>
        <w:t>)</w:t>
      </w:r>
      <w:r w:rsidR="00E514C7" w:rsidRPr="00E514C7">
        <w:rPr>
          <w:rFonts w:hint="eastAsia"/>
          <w:szCs w:val="21"/>
          <w:lang w:val="en-GB"/>
        </w:rPr>
        <w:t>项和</w:t>
      </w:r>
      <w:r w:rsidR="005D2190">
        <w:rPr>
          <w:rFonts w:hint="eastAsia"/>
          <w:szCs w:val="21"/>
          <w:lang w:val="en-GB"/>
        </w:rPr>
        <w:t>(</w:t>
      </w:r>
      <w:r w:rsidR="00E514C7" w:rsidRPr="00E514C7">
        <w:rPr>
          <w:rFonts w:hint="eastAsia"/>
          <w:szCs w:val="21"/>
          <w:lang w:val="en-GB"/>
        </w:rPr>
        <w:t>乙</w:t>
      </w:r>
      <w:r w:rsidR="005D2190">
        <w:rPr>
          <w:rFonts w:hint="eastAsia"/>
          <w:szCs w:val="21"/>
          <w:lang w:val="en-GB"/>
        </w:rPr>
        <w:t>)</w:t>
      </w:r>
      <w:r w:rsidR="00E514C7" w:rsidRPr="00E514C7">
        <w:rPr>
          <w:rFonts w:hint="eastAsia"/>
          <w:szCs w:val="21"/>
          <w:lang w:val="en-GB"/>
        </w:rPr>
        <w:t>项列明的理由之一加以实行，而且必须符合必要性和相称性的严格标准。</w:t>
      </w:r>
      <w:r w:rsidR="00AA24B7">
        <w:rPr>
          <w:rStyle w:val="a7"/>
          <w:szCs w:val="21"/>
          <w:lang w:val="en-GB"/>
        </w:rPr>
        <w:footnoteReference w:id="30"/>
      </w:r>
      <w:r w:rsidR="00AA24B7">
        <w:rPr>
          <w:rFonts w:hint="eastAsia"/>
          <w:szCs w:val="21"/>
          <w:vertAlign w:val="superscript"/>
          <w:lang w:val="en-GB"/>
        </w:rPr>
        <w:t xml:space="preserve"> </w:t>
      </w:r>
      <w:r w:rsidR="00E514C7" w:rsidRPr="00E514C7">
        <w:rPr>
          <w:rFonts w:hint="eastAsia"/>
          <w:szCs w:val="21"/>
          <w:lang w:val="en-GB"/>
        </w:rPr>
        <w:t>委员会指出，第二十条第</w:t>
      </w:r>
      <w:r w:rsidR="005B7B19">
        <w:rPr>
          <w:rFonts w:hint="eastAsia"/>
          <w:szCs w:val="21"/>
          <w:lang w:val="en-GB"/>
        </w:rPr>
        <w:t>二</w:t>
      </w:r>
      <w:r w:rsidR="00E514C7" w:rsidRPr="00E514C7">
        <w:rPr>
          <w:rFonts w:hint="eastAsia"/>
          <w:szCs w:val="21"/>
          <w:lang w:val="en-GB"/>
        </w:rPr>
        <w:t>款并没有明确规定实行刑罚，而是规定这种</w:t>
      </w:r>
      <w:r>
        <w:rPr>
          <w:rFonts w:hint="eastAsia"/>
          <w:szCs w:val="21"/>
          <w:lang w:val="en-GB"/>
        </w:rPr>
        <w:t>“</w:t>
      </w:r>
      <w:r w:rsidR="00E514C7" w:rsidRPr="00E514C7">
        <w:rPr>
          <w:rFonts w:hint="eastAsia"/>
          <w:szCs w:val="21"/>
          <w:lang w:val="en-GB"/>
        </w:rPr>
        <w:t>鼓吹</w:t>
      </w:r>
      <w:r w:rsidR="00E514C7" w:rsidRPr="00E514C7">
        <w:rPr>
          <w:rFonts w:hint="eastAsia"/>
          <w:szCs w:val="21"/>
        </w:rPr>
        <w:t>……的言论</w:t>
      </w:r>
      <w:r>
        <w:rPr>
          <w:rFonts w:hint="eastAsia"/>
          <w:szCs w:val="21"/>
        </w:rPr>
        <w:t>”</w:t>
      </w:r>
      <w:r w:rsidR="00E514C7" w:rsidRPr="00E514C7">
        <w:rPr>
          <w:rFonts w:hint="eastAsia"/>
          <w:szCs w:val="21"/>
        </w:rPr>
        <w:t>应</w:t>
      </w:r>
      <w:r>
        <w:rPr>
          <w:rFonts w:hint="eastAsia"/>
          <w:szCs w:val="21"/>
        </w:rPr>
        <w:t>“</w:t>
      </w:r>
      <w:r w:rsidR="00E514C7" w:rsidRPr="00E514C7">
        <w:rPr>
          <w:rFonts w:hint="eastAsia"/>
          <w:szCs w:val="21"/>
        </w:rPr>
        <w:t>以法律加以禁止</w:t>
      </w:r>
      <w:r>
        <w:rPr>
          <w:rFonts w:hint="eastAsia"/>
          <w:szCs w:val="21"/>
        </w:rPr>
        <w:t>”</w:t>
      </w:r>
      <w:r w:rsidR="00E514C7" w:rsidRPr="00E514C7">
        <w:rPr>
          <w:rFonts w:hint="eastAsia"/>
          <w:szCs w:val="21"/>
        </w:rPr>
        <w:t>。此种</w:t>
      </w:r>
      <w:r w:rsidR="00E514C7" w:rsidRPr="00E514C7">
        <w:rPr>
          <w:rFonts w:hint="eastAsia"/>
          <w:szCs w:val="21"/>
          <w:lang w:val="en-GB"/>
        </w:rPr>
        <w:t>禁令可包括民事和行政处罚以及刑事处罚。</w:t>
      </w:r>
    </w:p>
    <w:p w:rsidR="00E514C7" w:rsidRPr="00E514C7" w:rsidRDefault="00EC62E1" w:rsidP="000571A7">
      <w:pPr>
        <w:pStyle w:val="SingleTxtGC"/>
        <w:rPr>
          <w:szCs w:val="21"/>
          <w:lang w:val="en-GB"/>
        </w:rPr>
      </w:pPr>
      <w:r>
        <w:rPr>
          <w:rFonts w:hint="eastAsia"/>
          <w:szCs w:val="21"/>
          <w:lang w:val="en-GB"/>
        </w:rPr>
        <w:t>1</w:t>
      </w:r>
      <w:r w:rsidR="00E514C7" w:rsidRPr="00E514C7">
        <w:rPr>
          <w:rFonts w:hint="eastAsia"/>
          <w:szCs w:val="21"/>
          <w:lang w:val="en-GB"/>
        </w:rPr>
        <w:t>0.</w:t>
      </w:r>
      <w:r>
        <w:rPr>
          <w:rFonts w:hint="eastAsia"/>
          <w:szCs w:val="21"/>
          <w:lang w:val="en-GB"/>
        </w:rPr>
        <w:t xml:space="preserve">5 </w:t>
      </w:r>
      <w:r w:rsidR="00E514C7" w:rsidRPr="00E514C7" w:rsidDel="002B52B2">
        <w:rPr>
          <w:rFonts w:hint="eastAsia"/>
          <w:szCs w:val="21"/>
          <w:lang w:val="en-GB"/>
        </w:rPr>
        <w:t xml:space="preserve"> </w:t>
      </w:r>
      <w:r w:rsidR="00E514C7" w:rsidRPr="00E514C7">
        <w:rPr>
          <w:rFonts w:hint="eastAsia"/>
          <w:szCs w:val="21"/>
          <w:lang w:val="en-GB"/>
        </w:rPr>
        <w:t>委员会注意到，提交人没有对缔约国选择在立法上执行第二十条第</w:t>
      </w:r>
      <w:r w:rsidR="005B7B19">
        <w:rPr>
          <w:rFonts w:hint="eastAsia"/>
          <w:szCs w:val="21"/>
          <w:lang w:val="en-GB"/>
        </w:rPr>
        <w:t>二</w:t>
      </w:r>
      <w:r w:rsidR="00E514C7" w:rsidRPr="00E514C7">
        <w:rPr>
          <w:rFonts w:hint="eastAsia"/>
          <w:szCs w:val="21"/>
          <w:lang w:val="en-GB"/>
        </w:rPr>
        <w:t>款的方式提出异议，而是认为，由于公诉方陈述不力，法庭推理有误，以及无法提出任何上诉，本案中的刑事检控没有起到作用。委员会注意到，缔约国选择通过《刑法》</w:t>
      </w:r>
      <w:r w:rsidR="000571A7" w:rsidRPr="00E514C7">
        <w:rPr>
          <w:rFonts w:hint="eastAsia"/>
          <w:szCs w:val="21"/>
        </w:rPr>
        <w:t>第</w:t>
      </w:r>
      <w:r w:rsidR="000571A7">
        <w:rPr>
          <w:szCs w:val="21"/>
        </w:rPr>
        <w:t>137</w:t>
      </w:r>
      <w:r w:rsidR="000571A7" w:rsidRPr="00E514C7">
        <w:rPr>
          <w:rFonts w:hint="eastAsia"/>
          <w:szCs w:val="21"/>
        </w:rPr>
        <w:t>条</w:t>
      </w:r>
      <w:r w:rsidR="000571A7">
        <w:rPr>
          <w:rFonts w:hint="eastAsia"/>
          <w:szCs w:val="21"/>
        </w:rPr>
        <w:t>d</w:t>
      </w:r>
      <w:r w:rsidR="000571A7">
        <w:rPr>
          <w:rFonts w:hint="eastAsia"/>
          <w:szCs w:val="21"/>
        </w:rPr>
        <w:t>款</w:t>
      </w:r>
      <w:r w:rsidR="00E514C7" w:rsidRPr="00E514C7">
        <w:rPr>
          <w:rFonts w:hint="eastAsia"/>
          <w:szCs w:val="21"/>
          <w:lang w:val="en-GB"/>
        </w:rPr>
        <w:t>实施第二十条第</w:t>
      </w:r>
      <w:r w:rsidR="005B7B19">
        <w:rPr>
          <w:rFonts w:hint="eastAsia"/>
          <w:szCs w:val="21"/>
          <w:lang w:val="en-GB"/>
        </w:rPr>
        <w:t>二</w:t>
      </w:r>
      <w:r w:rsidR="00E514C7" w:rsidRPr="00E514C7">
        <w:rPr>
          <w:rFonts w:hint="eastAsia"/>
          <w:szCs w:val="21"/>
          <w:lang w:val="en-GB"/>
        </w:rPr>
        <w:t>款，前者通过刑事检控得到执行。缔约国表示，还可通过《刑事诉讼法》第</w:t>
      </w:r>
      <w:r>
        <w:rPr>
          <w:rFonts w:hint="eastAsia"/>
          <w:szCs w:val="21"/>
          <w:lang w:val="en-GB"/>
        </w:rPr>
        <w:t>51</w:t>
      </w:r>
      <w:r w:rsidR="00E514C7" w:rsidRPr="00E514C7">
        <w:rPr>
          <w:rFonts w:hint="eastAsia"/>
          <w:szCs w:val="21"/>
          <w:lang w:val="en-GB"/>
        </w:rPr>
        <w:t>条之下的刑事诉讼所附的民事诉讼，以及通过《民法》第</w:t>
      </w:r>
      <w:r>
        <w:rPr>
          <w:rFonts w:hint="eastAsia"/>
          <w:szCs w:val="21"/>
          <w:lang w:val="en-GB"/>
        </w:rPr>
        <w:t>6:162</w:t>
      </w:r>
      <w:r w:rsidR="00E514C7" w:rsidRPr="00E514C7">
        <w:rPr>
          <w:rFonts w:hint="eastAsia"/>
          <w:szCs w:val="21"/>
          <w:lang w:val="en-GB"/>
        </w:rPr>
        <w:t>条，寻求个人补救办法。缔约国表示，《刑法》第</w:t>
      </w:r>
      <w:r>
        <w:rPr>
          <w:rFonts w:hint="eastAsia"/>
          <w:szCs w:val="21"/>
          <w:lang w:val="en-GB"/>
        </w:rPr>
        <w:t>137</w:t>
      </w:r>
      <w:r w:rsidR="00E514C7" w:rsidRPr="00E514C7">
        <w:rPr>
          <w:rFonts w:hint="eastAsia"/>
          <w:szCs w:val="21"/>
          <w:lang w:val="en-GB"/>
        </w:rPr>
        <w:t>条</w:t>
      </w:r>
      <w:r>
        <w:rPr>
          <w:rFonts w:hint="eastAsia"/>
          <w:szCs w:val="21"/>
          <w:lang w:val="en-GB"/>
        </w:rPr>
        <w:t>d</w:t>
      </w:r>
      <w:r w:rsidR="00E514C7" w:rsidRPr="00E514C7">
        <w:rPr>
          <w:rFonts w:hint="eastAsia"/>
          <w:szCs w:val="21"/>
          <w:lang w:val="en-GB"/>
        </w:rPr>
        <w:t>款中的</w:t>
      </w:r>
      <w:r>
        <w:rPr>
          <w:rFonts w:hint="eastAsia"/>
          <w:szCs w:val="21"/>
          <w:lang w:val="en-GB"/>
        </w:rPr>
        <w:t>“</w:t>
      </w:r>
      <w:r w:rsidR="00E514C7" w:rsidRPr="00E514C7">
        <w:rPr>
          <w:rFonts w:hint="eastAsia"/>
          <w:szCs w:val="21"/>
          <w:lang w:val="en-GB"/>
        </w:rPr>
        <w:t>煽动</w:t>
      </w:r>
      <w:r>
        <w:rPr>
          <w:rFonts w:hint="eastAsia"/>
          <w:szCs w:val="21"/>
          <w:lang w:val="en-GB"/>
        </w:rPr>
        <w:t>”</w:t>
      </w:r>
      <w:r w:rsidR="00E514C7" w:rsidRPr="00E514C7">
        <w:rPr>
          <w:rFonts w:hint="eastAsia"/>
          <w:szCs w:val="21"/>
          <w:lang w:val="en-GB"/>
        </w:rPr>
        <w:t>概念旨在涵盖</w:t>
      </w:r>
      <w:r>
        <w:rPr>
          <w:rFonts w:hint="eastAsia"/>
          <w:szCs w:val="21"/>
          <w:lang w:val="en-GB"/>
        </w:rPr>
        <w:t>“</w:t>
      </w:r>
      <w:r w:rsidR="00E514C7" w:rsidRPr="00E514C7">
        <w:rPr>
          <w:rFonts w:hint="eastAsia"/>
          <w:szCs w:val="21"/>
          <w:lang w:val="en-GB"/>
        </w:rPr>
        <w:t>鼓动犯下刑事罪或暴力行为的煽动性行为</w:t>
      </w:r>
      <w:r>
        <w:rPr>
          <w:rFonts w:hint="eastAsia"/>
          <w:szCs w:val="21"/>
          <w:lang w:val="en-GB"/>
        </w:rPr>
        <w:t>”</w:t>
      </w:r>
      <w:r w:rsidR="00E514C7" w:rsidRPr="00E514C7">
        <w:rPr>
          <w:rFonts w:hint="eastAsia"/>
          <w:szCs w:val="21"/>
          <w:lang w:val="en-GB"/>
        </w:rPr>
        <w:t>。委员会注意到缔约国的论点，即第</w:t>
      </w:r>
      <w:r>
        <w:rPr>
          <w:rFonts w:hint="eastAsia"/>
          <w:szCs w:val="21"/>
          <w:lang w:val="en-GB"/>
        </w:rPr>
        <w:t>137</w:t>
      </w:r>
      <w:r w:rsidR="00E514C7" w:rsidRPr="00E514C7">
        <w:rPr>
          <w:rFonts w:hint="eastAsia"/>
          <w:szCs w:val="21"/>
          <w:lang w:val="en-GB"/>
        </w:rPr>
        <w:t>条</w:t>
      </w:r>
      <w:r>
        <w:rPr>
          <w:rFonts w:hint="eastAsia"/>
          <w:szCs w:val="21"/>
          <w:lang w:val="en-GB"/>
        </w:rPr>
        <w:t>d</w:t>
      </w:r>
      <w:r w:rsidR="00E514C7" w:rsidRPr="00E514C7">
        <w:rPr>
          <w:rFonts w:hint="eastAsia"/>
          <w:szCs w:val="21"/>
          <w:lang w:val="en-GB"/>
        </w:rPr>
        <w:t>款规定，只有煽动针对个人</w:t>
      </w:r>
      <w:r w:rsidR="005D2190">
        <w:rPr>
          <w:rFonts w:hint="eastAsia"/>
          <w:szCs w:val="21"/>
          <w:lang w:val="en-GB"/>
        </w:rPr>
        <w:t>(</w:t>
      </w:r>
      <w:r w:rsidR="00E514C7" w:rsidRPr="00E514C7">
        <w:rPr>
          <w:rFonts w:hint="eastAsia"/>
          <w:szCs w:val="21"/>
          <w:lang w:val="en-GB"/>
        </w:rPr>
        <w:t>而非针对宗教信仰</w:t>
      </w:r>
      <w:r w:rsidR="005D2190">
        <w:rPr>
          <w:rFonts w:hint="eastAsia"/>
          <w:szCs w:val="21"/>
          <w:lang w:val="en-GB"/>
        </w:rPr>
        <w:t>)</w:t>
      </w:r>
      <w:r w:rsidR="00E514C7" w:rsidRPr="00E514C7">
        <w:rPr>
          <w:rFonts w:hint="eastAsia"/>
          <w:szCs w:val="21"/>
          <w:lang w:val="en-GB"/>
        </w:rPr>
        <w:t>的仇恨或歧视的行为才属于犯罪行为，因为即便是对教派信徒最为坚定的信念的批评，也是受言论自由的保护的。缔约国指出，在仇恨言论这个棘</w:t>
      </w:r>
      <w:r w:rsidR="00E514C7" w:rsidRPr="00E514C7">
        <w:rPr>
          <w:rFonts w:hint="eastAsia"/>
          <w:szCs w:val="21"/>
          <w:lang w:val="en-GB"/>
        </w:rPr>
        <w:lastRenderedPageBreak/>
        <w:t>手问题上，每一类事实都有其独特之处，都须由法庭或公正的裁决者视具体情况，并在考虑到特定背景的前提下进行评估。</w:t>
      </w:r>
    </w:p>
    <w:p w:rsidR="00E514C7" w:rsidRPr="00E514C7" w:rsidRDefault="00EC62E1" w:rsidP="00E514C7">
      <w:pPr>
        <w:pStyle w:val="SingleTxtGC"/>
        <w:rPr>
          <w:szCs w:val="21"/>
          <w:lang w:val="en-GB"/>
        </w:rPr>
      </w:pPr>
      <w:r>
        <w:rPr>
          <w:szCs w:val="21"/>
          <w:lang w:val="en-GB"/>
        </w:rPr>
        <w:t>1</w:t>
      </w:r>
      <w:r w:rsidR="00E514C7" w:rsidRPr="00E514C7">
        <w:rPr>
          <w:szCs w:val="21"/>
          <w:lang w:val="en-GB"/>
        </w:rPr>
        <w:t>0.</w:t>
      </w:r>
      <w:r>
        <w:rPr>
          <w:szCs w:val="21"/>
          <w:lang w:val="en-GB"/>
        </w:rPr>
        <w:t>6</w:t>
      </w:r>
      <w:r>
        <w:rPr>
          <w:rFonts w:hint="eastAsia"/>
          <w:szCs w:val="21"/>
          <w:lang w:val="en-GB"/>
        </w:rPr>
        <w:t xml:space="preserve">  </w:t>
      </w:r>
      <w:r w:rsidR="00E514C7" w:rsidRPr="00E514C7">
        <w:rPr>
          <w:rFonts w:hint="eastAsia"/>
          <w:szCs w:val="21"/>
          <w:lang w:val="en-GB"/>
        </w:rPr>
        <w:t>委员会注意到，在本案中，有关人员依据缔约国的国内法，得以让阿姆斯特丹上诉法院发出命令，指示公诉人对维尔德斯先生提起诉讼。由于提交人的材料中所述的所有言论，公诉人根据《刑法》第</w:t>
      </w:r>
      <w:r>
        <w:rPr>
          <w:rFonts w:hint="eastAsia"/>
          <w:szCs w:val="21"/>
          <w:lang w:val="en-GB"/>
        </w:rPr>
        <w:t>137</w:t>
      </w:r>
      <w:r w:rsidR="00E514C7" w:rsidRPr="00E514C7">
        <w:rPr>
          <w:rFonts w:hint="eastAsia"/>
          <w:szCs w:val="21"/>
          <w:lang w:val="en-GB"/>
        </w:rPr>
        <w:t>条</w:t>
      </w:r>
      <w:r>
        <w:rPr>
          <w:rFonts w:hint="eastAsia"/>
          <w:szCs w:val="21"/>
          <w:lang w:val="en-GB"/>
        </w:rPr>
        <w:t>c</w:t>
      </w:r>
      <w:r w:rsidR="00E514C7" w:rsidRPr="00E514C7">
        <w:rPr>
          <w:rFonts w:hint="eastAsia"/>
          <w:szCs w:val="21"/>
          <w:lang w:val="en-GB"/>
        </w:rPr>
        <w:t>款，指控维尔德斯先生</w:t>
      </w:r>
      <w:r>
        <w:rPr>
          <w:rFonts w:hint="eastAsia"/>
          <w:szCs w:val="21"/>
          <w:lang w:val="en-GB"/>
        </w:rPr>
        <w:t>“</w:t>
      </w:r>
      <w:r w:rsidR="00E514C7" w:rsidRPr="00E514C7">
        <w:rPr>
          <w:rFonts w:hint="eastAsia"/>
          <w:szCs w:val="21"/>
          <w:lang w:val="en-GB"/>
        </w:rPr>
        <w:t>因种族或宗教原因对一批人进行侮辱</w:t>
      </w:r>
      <w:r>
        <w:rPr>
          <w:rFonts w:hint="eastAsia"/>
          <w:szCs w:val="21"/>
          <w:lang w:val="en-GB"/>
        </w:rPr>
        <w:t>”</w:t>
      </w:r>
      <w:r w:rsidR="00E514C7" w:rsidRPr="00E514C7">
        <w:rPr>
          <w:rFonts w:hint="eastAsia"/>
          <w:szCs w:val="21"/>
          <w:lang w:val="en-GB"/>
        </w:rPr>
        <w:t>，并根据第</w:t>
      </w:r>
      <w:r>
        <w:rPr>
          <w:rFonts w:hint="eastAsia"/>
          <w:szCs w:val="21"/>
          <w:lang w:val="en-GB"/>
        </w:rPr>
        <w:t>137</w:t>
      </w:r>
      <w:r w:rsidR="00E514C7" w:rsidRPr="00E514C7">
        <w:rPr>
          <w:rFonts w:hint="eastAsia"/>
          <w:szCs w:val="21"/>
          <w:lang w:val="en-GB"/>
        </w:rPr>
        <w:t>条</w:t>
      </w:r>
      <w:r>
        <w:rPr>
          <w:rFonts w:hint="eastAsia"/>
          <w:szCs w:val="21"/>
          <w:lang w:val="en-GB"/>
        </w:rPr>
        <w:t>d</w:t>
      </w:r>
      <w:r w:rsidR="00E514C7" w:rsidRPr="00E514C7">
        <w:rPr>
          <w:rFonts w:hint="eastAsia"/>
          <w:szCs w:val="21"/>
          <w:lang w:val="en-GB"/>
        </w:rPr>
        <w:t>款，指控他</w:t>
      </w:r>
      <w:r>
        <w:rPr>
          <w:rFonts w:hint="eastAsia"/>
          <w:szCs w:val="21"/>
          <w:lang w:val="en-GB"/>
        </w:rPr>
        <w:t>“</w:t>
      </w:r>
      <w:r w:rsidR="00E514C7" w:rsidRPr="00E514C7">
        <w:rPr>
          <w:rFonts w:hint="eastAsia"/>
          <w:szCs w:val="21"/>
          <w:lang w:val="en-GB"/>
        </w:rPr>
        <w:t>以宗教或种族为由，煽动仇恨和歧视</w:t>
      </w:r>
      <w:r>
        <w:rPr>
          <w:rFonts w:hint="eastAsia"/>
          <w:szCs w:val="21"/>
          <w:lang w:val="en-GB"/>
        </w:rPr>
        <w:t>”</w:t>
      </w:r>
      <w:r w:rsidR="00E514C7" w:rsidRPr="00E514C7">
        <w:rPr>
          <w:rFonts w:hint="eastAsia"/>
          <w:szCs w:val="21"/>
          <w:lang w:val="en-GB"/>
        </w:rPr>
        <w:t>。依据《刑事诉讼法》第</w:t>
      </w:r>
      <w:r>
        <w:rPr>
          <w:rFonts w:hint="eastAsia"/>
          <w:szCs w:val="21"/>
          <w:lang w:val="en-GB"/>
        </w:rPr>
        <w:t>51</w:t>
      </w:r>
      <w:r w:rsidR="00E514C7" w:rsidRPr="00E514C7">
        <w:rPr>
          <w:rFonts w:hint="eastAsia"/>
          <w:szCs w:val="21"/>
          <w:lang w:val="en-GB"/>
        </w:rPr>
        <w:t>条</w:t>
      </w:r>
      <w:r w:rsidR="005D2190">
        <w:rPr>
          <w:rFonts w:hint="eastAsia"/>
          <w:szCs w:val="21"/>
          <w:lang w:val="en-GB"/>
        </w:rPr>
        <w:t>(</w:t>
      </w:r>
      <w:r>
        <w:rPr>
          <w:rFonts w:hint="eastAsia"/>
          <w:szCs w:val="21"/>
          <w:lang w:val="en-GB"/>
        </w:rPr>
        <w:t>a</w:t>
      </w:r>
      <w:r w:rsidR="00E514C7" w:rsidRPr="00E514C7">
        <w:rPr>
          <w:rFonts w:hint="eastAsia"/>
          <w:szCs w:val="21"/>
          <w:lang w:val="en-GB"/>
        </w:rPr>
        <w:t>)</w:t>
      </w:r>
      <w:r w:rsidR="00E514C7" w:rsidRPr="00E514C7">
        <w:rPr>
          <w:rFonts w:hint="eastAsia"/>
          <w:szCs w:val="21"/>
          <w:lang w:val="en-GB"/>
        </w:rPr>
        <w:t>款，提交人参与了刑事诉讼之下的民事诉讼，并且被允许提出论点，证明维尔德斯先生的行为违反了第</w:t>
      </w:r>
      <w:r>
        <w:rPr>
          <w:rFonts w:hint="eastAsia"/>
          <w:szCs w:val="21"/>
          <w:lang w:val="en-GB"/>
        </w:rPr>
        <w:t>137</w:t>
      </w:r>
      <w:r w:rsidR="00E514C7" w:rsidRPr="00E514C7">
        <w:rPr>
          <w:rFonts w:hint="eastAsia"/>
          <w:szCs w:val="21"/>
          <w:lang w:val="en-GB"/>
        </w:rPr>
        <w:t>条</w:t>
      </w:r>
      <w:r>
        <w:rPr>
          <w:rFonts w:hint="eastAsia"/>
          <w:szCs w:val="21"/>
          <w:lang w:val="en-GB"/>
        </w:rPr>
        <w:t>d</w:t>
      </w:r>
      <w:r w:rsidR="00E514C7" w:rsidRPr="00E514C7">
        <w:rPr>
          <w:rFonts w:hint="eastAsia"/>
          <w:szCs w:val="21"/>
          <w:lang w:val="en-GB"/>
        </w:rPr>
        <w:t>款。委员会注意到缔约国提出的以下论点：公诉人公正地履行了职责，详细陈述了案件的事实和法律问题；法庭对法律和证据作了独立评估，并在根据适用法律，对维尔德斯先生的所涉言论逐一进行仔细评估之后，作出了判决。</w:t>
      </w:r>
    </w:p>
    <w:p w:rsidR="00E514C7" w:rsidRPr="00E514C7" w:rsidRDefault="00EC62E1" w:rsidP="00F3748E">
      <w:pPr>
        <w:pStyle w:val="SingleTxtGC"/>
        <w:rPr>
          <w:szCs w:val="21"/>
          <w:lang w:val="en-GB"/>
        </w:rPr>
      </w:pPr>
      <w:r>
        <w:rPr>
          <w:szCs w:val="21"/>
          <w:lang w:val="en-GB"/>
        </w:rPr>
        <w:t>1</w:t>
      </w:r>
      <w:r w:rsidR="00E514C7" w:rsidRPr="00E514C7">
        <w:rPr>
          <w:szCs w:val="21"/>
          <w:lang w:val="en-GB"/>
        </w:rPr>
        <w:t>0.</w:t>
      </w:r>
      <w:r>
        <w:rPr>
          <w:szCs w:val="21"/>
          <w:lang w:val="en-GB"/>
        </w:rPr>
        <w:t>7</w:t>
      </w:r>
      <w:r>
        <w:rPr>
          <w:rFonts w:hint="eastAsia"/>
          <w:szCs w:val="21"/>
          <w:lang w:val="en-GB"/>
        </w:rPr>
        <w:t xml:space="preserve">  </w:t>
      </w:r>
      <w:r w:rsidR="00E514C7" w:rsidRPr="00E514C7">
        <w:rPr>
          <w:rFonts w:hint="eastAsia"/>
          <w:szCs w:val="21"/>
          <w:lang w:val="en-GB"/>
        </w:rPr>
        <w:t>缔约国选择建立一个立法框架，据以依据刑法对《公约》第二十条第</w:t>
      </w:r>
      <w:r w:rsidR="00F3748E">
        <w:rPr>
          <w:rFonts w:hint="eastAsia"/>
          <w:szCs w:val="21"/>
          <w:lang w:val="en-GB"/>
        </w:rPr>
        <w:t>二</w:t>
      </w:r>
      <w:r w:rsidR="00E514C7" w:rsidRPr="00E514C7">
        <w:rPr>
          <w:rFonts w:hint="eastAsia"/>
          <w:szCs w:val="21"/>
          <w:lang w:val="en-GB"/>
        </w:rPr>
        <w:t>款述及的言论予以禁止，该框架允许受害者提起并参与诉讼。在本案中，提起了此种诉讼，审判庭作出了详细判决，这个判决根据适用法，评估了维尔德斯先生的言论。因此，委员会认为，从论点和案情来看，缔约国已经采取了必要和相称的措施，</w:t>
      </w:r>
      <w:r>
        <w:rPr>
          <w:rFonts w:hint="eastAsia"/>
          <w:szCs w:val="21"/>
          <w:lang w:val="en-GB"/>
        </w:rPr>
        <w:t>“</w:t>
      </w:r>
      <w:r w:rsidR="00E514C7" w:rsidRPr="00E514C7">
        <w:rPr>
          <w:rFonts w:hint="eastAsia"/>
          <w:szCs w:val="21"/>
          <w:lang w:val="en-GB"/>
        </w:rPr>
        <w:t>禁止</w:t>
      </w:r>
      <w:r>
        <w:rPr>
          <w:rFonts w:hint="eastAsia"/>
          <w:szCs w:val="21"/>
          <w:lang w:val="en-GB"/>
        </w:rPr>
        <w:t>”</w:t>
      </w:r>
      <w:r w:rsidR="00E514C7" w:rsidRPr="00E514C7">
        <w:rPr>
          <w:rFonts w:hint="eastAsia"/>
          <w:szCs w:val="21"/>
          <w:lang w:val="en-GB"/>
        </w:rPr>
        <w:t>违反第二十条第</w:t>
      </w:r>
      <w:r w:rsidR="00F3748E">
        <w:rPr>
          <w:rFonts w:hint="eastAsia"/>
          <w:szCs w:val="21"/>
          <w:lang w:val="en-GB"/>
        </w:rPr>
        <w:t>二</w:t>
      </w:r>
      <w:r w:rsidR="00E514C7" w:rsidRPr="00E514C7">
        <w:rPr>
          <w:rFonts w:hint="eastAsia"/>
          <w:szCs w:val="21"/>
          <w:lang w:val="en-GB"/>
        </w:rPr>
        <w:t>款的言论，并确保提交人有权寻求有效补救，以便保护提交人，使其免遭此种言论造成的不利影响。但是，第二十条第</w:t>
      </w:r>
      <w:r w:rsidR="00F3748E">
        <w:rPr>
          <w:rFonts w:hint="eastAsia"/>
          <w:szCs w:val="21"/>
          <w:lang w:val="en-GB"/>
        </w:rPr>
        <w:t>二</w:t>
      </w:r>
      <w:r w:rsidR="00E514C7" w:rsidRPr="00E514C7">
        <w:rPr>
          <w:rFonts w:hint="eastAsia"/>
          <w:szCs w:val="21"/>
          <w:lang w:val="en-GB"/>
        </w:rPr>
        <w:t>款之下的义务，并不连带意味着缔约国有义务确保被控煽动歧视、敌视或暴力的人一律由一个独立和公正的法庭定罪。</w:t>
      </w:r>
      <w:r w:rsidR="00AA24B7">
        <w:rPr>
          <w:rStyle w:val="a7"/>
          <w:szCs w:val="21"/>
        </w:rPr>
        <w:footnoteReference w:id="31"/>
      </w:r>
      <w:r w:rsidR="00AA24B7">
        <w:rPr>
          <w:rFonts w:hint="eastAsia"/>
          <w:szCs w:val="21"/>
          <w:vertAlign w:val="superscript"/>
          <w:lang w:val="en-GB"/>
        </w:rPr>
        <w:t xml:space="preserve"> </w:t>
      </w:r>
      <w:r w:rsidR="00E514C7" w:rsidRPr="00E514C7">
        <w:rPr>
          <w:rFonts w:hint="eastAsia"/>
          <w:szCs w:val="21"/>
          <w:lang w:val="en-GB"/>
        </w:rPr>
        <w:t>所以，委员会无法得出结论认为，缔约国违反了第二条第</w:t>
      </w:r>
      <w:r w:rsidR="00F3748E">
        <w:rPr>
          <w:rFonts w:hint="eastAsia"/>
          <w:szCs w:val="21"/>
          <w:lang w:val="en-GB"/>
        </w:rPr>
        <w:t>三</w:t>
      </w:r>
      <w:r w:rsidR="00E514C7" w:rsidRPr="00E514C7">
        <w:rPr>
          <w:rFonts w:hint="eastAsia"/>
          <w:szCs w:val="21"/>
          <w:lang w:val="en-GB"/>
        </w:rPr>
        <w:t>款</w:t>
      </w:r>
      <w:r w:rsidR="005D2190">
        <w:rPr>
          <w:rFonts w:hint="eastAsia"/>
          <w:szCs w:val="21"/>
          <w:lang w:val="en-GB"/>
        </w:rPr>
        <w:t>(</w:t>
      </w:r>
      <w:r w:rsidR="00E514C7" w:rsidRPr="00E514C7">
        <w:rPr>
          <w:rFonts w:hint="eastAsia"/>
          <w:szCs w:val="21"/>
          <w:lang w:val="en-GB"/>
        </w:rPr>
        <w:t>与《公约》第二十六条和第二十条第</w:t>
      </w:r>
      <w:r w:rsidR="00F3748E">
        <w:rPr>
          <w:rFonts w:hint="eastAsia"/>
          <w:szCs w:val="21"/>
          <w:lang w:val="en-GB"/>
        </w:rPr>
        <w:t>二</w:t>
      </w:r>
      <w:r w:rsidR="00E514C7" w:rsidRPr="00E514C7">
        <w:rPr>
          <w:rFonts w:hint="eastAsia"/>
          <w:szCs w:val="21"/>
          <w:lang w:val="en-GB"/>
        </w:rPr>
        <w:t>款一并解读</w:t>
      </w:r>
      <w:r w:rsidR="005D2190">
        <w:rPr>
          <w:rFonts w:hint="eastAsia"/>
          <w:szCs w:val="21"/>
          <w:lang w:val="en-GB"/>
        </w:rPr>
        <w:t>)</w:t>
      </w:r>
      <w:r w:rsidR="00E514C7" w:rsidRPr="00E514C7">
        <w:rPr>
          <w:rFonts w:hint="eastAsia"/>
          <w:szCs w:val="21"/>
          <w:lang w:val="en-GB"/>
        </w:rPr>
        <w:t>。</w:t>
      </w:r>
    </w:p>
    <w:p w:rsidR="00E514C7" w:rsidRPr="00E514C7" w:rsidRDefault="00EC62E1" w:rsidP="00E514C7">
      <w:pPr>
        <w:pStyle w:val="SingleTxtGC"/>
        <w:rPr>
          <w:szCs w:val="21"/>
        </w:rPr>
      </w:pPr>
      <w:r>
        <w:rPr>
          <w:szCs w:val="21"/>
        </w:rPr>
        <w:t>11</w:t>
      </w:r>
      <w:r w:rsidR="00E514C7" w:rsidRPr="00E514C7">
        <w:rPr>
          <w:szCs w:val="21"/>
        </w:rPr>
        <w:t>.</w:t>
      </w:r>
      <w:r>
        <w:rPr>
          <w:rFonts w:hint="eastAsia"/>
          <w:szCs w:val="21"/>
        </w:rPr>
        <w:t xml:space="preserve">  </w:t>
      </w:r>
      <w:r w:rsidR="00E514C7" w:rsidRPr="00E514C7">
        <w:rPr>
          <w:szCs w:val="21"/>
          <w:lang w:val="en-GB"/>
        </w:rPr>
        <w:t>委员会根据《任择议定书》第五条第</w:t>
      </w:r>
      <w:r>
        <w:rPr>
          <w:szCs w:val="21"/>
          <w:lang w:val="en-GB"/>
        </w:rPr>
        <w:t>4</w:t>
      </w:r>
      <w:r w:rsidR="00E514C7" w:rsidRPr="00E514C7">
        <w:rPr>
          <w:szCs w:val="21"/>
          <w:lang w:val="en-GB"/>
        </w:rPr>
        <w:t>款行事，认为现有事实</w:t>
      </w:r>
      <w:r w:rsidR="00E514C7" w:rsidRPr="00E514C7">
        <w:rPr>
          <w:rFonts w:hint="eastAsia"/>
          <w:szCs w:val="21"/>
          <w:lang w:val="en-GB"/>
        </w:rPr>
        <w:t>并不</w:t>
      </w:r>
      <w:r w:rsidR="00E514C7" w:rsidRPr="00E514C7">
        <w:rPr>
          <w:szCs w:val="21"/>
          <w:lang w:val="en-GB"/>
        </w:rPr>
        <w:t>显示存在《公约》</w:t>
      </w:r>
      <w:r w:rsidR="00E514C7" w:rsidRPr="00E514C7">
        <w:rPr>
          <w:rFonts w:hint="eastAsia"/>
          <w:szCs w:val="21"/>
          <w:lang w:val="en-GB"/>
        </w:rPr>
        <w:t>任何</w:t>
      </w:r>
      <w:r w:rsidR="00E514C7" w:rsidRPr="00E514C7">
        <w:rPr>
          <w:szCs w:val="21"/>
          <w:lang w:val="en-GB"/>
        </w:rPr>
        <w:t>条</w:t>
      </w:r>
      <w:r w:rsidR="00E514C7" w:rsidRPr="00E514C7">
        <w:rPr>
          <w:rFonts w:hint="eastAsia"/>
          <w:szCs w:val="21"/>
          <w:lang w:val="en-GB"/>
        </w:rPr>
        <w:t>款遭到违反</w:t>
      </w:r>
      <w:r w:rsidR="00E514C7" w:rsidRPr="00E514C7">
        <w:rPr>
          <w:szCs w:val="21"/>
          <w:lang w:val="en-GB"/>
        </w:rPr>
        <w:t>的情况。</w:t>
      </w:r>
    </w:p>
    <w:p w:rsidR="00AA24B7" w:rsidRDefault="00AA24B7">
      <w:pPr>
        <w:tabs>
          <w:tab w:val="clear" w:pos="431"/>
        </w:tabs>
        <w:overflowPunct/>
        <w:adjustRightInd/>
        <w:snapToGrid/>
        <w:spacing w:line="240" w:lineRule="auto"/>
        <w:jc w:val="left"/>
      </w:pPr>
      <w:r>
        <w:br w:type="page"/>
      </w:r>
    </w:p>
    <w:p w:rsidR="00AA24B7" w:rsidRPr="00AA24B7" w:rsidRDefault="00AA24B7" w:rsidP="00AA24B7">
      <w:pPr>
        <w:keepNext/>
        <w:keepLines/>
        <w:tabs>
          <w:tab w:val="clear" w:pos="431"/>
          <w:tab w:val="left" w:pos="567"/>
          <w:tab w:val="right" w:pos="851"/>
        </w:tabs>
        <w:suppressAutoHyphens/>
        <w:overflowPunct/>
        <w:spacing w:before="360" w:after="240" w:line="300" w:lineRule="exact"/>
        <w:ind w:left="1134" w:right="1134" w:hanging="1134"/>
        <w:jc w:val="left"/>
        <w:rPr>
          <w:b/>
          <w:snapToGrid/>
          <w:sz w:val="28"/>
          <w:szCs w:val="24"/>
          <w:lang w:val="en-GB" w:eastAsia="en-US"/>
        </w:rPr>
      </w:pPr>
      <w:r w:rsidRPr="00AA24B7">
        <w:rPr>
          <w:b/>
          <w:snapToGrid/>
          <w:sz w:val="28"/>
          <w:szCs w:val="24"/>
          <w:lang w:val="en-GB" w:eastAsia="en-US"/>
        </w:rPr>
        <w:lastRenderedPageBreak/>
        <w:t>Annex I</w:t>
      </w:r>
    </w:p>
    <w:p w:rsidR="00AA24B7" w:rsidRPr="00AA24B7" w:rsidRDefault="00AA24B7" w:rsidP="00AA24B7">
      <w:pPr>
        <w:keepNext/>
        <w:keepLines/>
        <w:tabs>
          <w:tab w:val="clear" w:pos="431"/>
          <w:tab w:val="right" w:pos="851"/>
        </w:tabs>
        <w:suppressAutoHyphens/>
        <w:overflowPunct/>
        <w:spacing w:before="360" w:after="240" w:line="300" w:lineRule="exact"/>
        <w:ind w:left="1134" w:right="1134" w:hanging="1134"/>
        <w:jc w:val="left"/>
        <w:rPr>
          <w:b/>
          <w:snapToGrid/>
          <w:sz w:val="28"/>
          <w:szCs w:val="24"/>
          <w:lang w:val="en-GB" w:eastAsia="en-US"/>
        </w:rPr>
      </w:pPr>
      <w:r w:rsidRPr="00AA24B7">
        <w:rPr>
          <w:b/>
          <w:snapToGrid/>
          <w:sz w:val="28"/>
          <w:szCs w:val="24"/>
          <w:lang w:val="en-GB" w:eastAsia="en-US"/>
        </w:rPr>
        <w:tab/>
      </w:r>
      <w:r w:rsidRPr="00AA24B7">
        <w:rPr>
          <w:b/>
          <w:snapToGrid/>
          <w:sz w:val="28"/>
          <w:szCs w:val="24"/>
          <w:lang w:val="en-GB" w:eastAsia="en-US"/>
        </w:rPr>
        <w:tab/>
        <w:t xml:space="preserve">Individual opinion of Committee member </w:t>
      </w:r>
      <w:r w:rsidRPr="00AA24B7">
        <w:rPr>
          <w:b/>
          <w:snapToGrid/>
          <w:color w:val="000000"/>
          <w:sz w:val="28"/>
          <w:szCs w:val="24"/>
          <w:lang w:val="en-GB" w:eastAsia="en-US"/>
        </w:rPr>
        <w:t>Dheerujlall Seetulsingh</w:t>
      </w:r>
    </w:p>
    <w:p w:rsidR="00AA24B7" w:rsidRPr="00AA24B7" w:rsidRDefault="00AA24B7" w:rsidP="00AA24B7">
      <w:pPr>
        <w:tabs>
          <w:tab w:val="clear" w:pos="431"/>
          <w:tab w:val="left" w:pos="567"/>
        </w:tabs>
        <w:suppressAutoHyphens/>
        <w:overflowPunct/>
        <w:spacing w:after="120" w:line="240" w:lineRule="atLeast"/>
        <w:ind w:left="1134" w:right="1134"/>
        <w:rPr>
          <w:snapToGrid/>
          <w:color w:val="000000"/>
          <w:sz w:val="20"/>
          <w:lang w:val="en-GB" w:eastAsia="en-US"/>
        </w:rPr>
      </w:pPr>
      <w:r w:rsidRPr="00AA24B7">
        <w:rPr>
          <w:snapToGrid/>
          <w:color w:val="000000"/>
          <w:sz w:val="20"/>
          <w:lang w:val="en-GB" w:eastAsia="en-US"/>
        </w:rPr>
        <w:t>1.</w:t>
      </w:r>
      <w:r w:rsidRPr="00AA24B7">
        <w:rPr>
          <w:snapToGrid/>
          <w:color w:val="000000"/>
          <w:sz w:val="20"/>
          <w:lang w:val="en-GB" w:eastAsia="en-US"/>
        </w:rPr>
        <w:tab/>
        <w:t xml:space="preserve">All actions or words which tend to advocate or stir racial hatred or which may offend the dignity of fellow human beings are objectionable, reprehensible and morally condemnable. But before being legally condemned, the advocates of such </w:t>
      </w:r>
      <w:r w:rsidRPr="00AA24B7">
        <w:rPr>
          <w:snapToGrid/>
          <w:sz w:val="20"/>
          <w:lang w:val="en-GB" w:eastAsia="en-US"/>
        </w:rPr>
        <w:t>actions</w:t>
      </w:r>
      <w:r w:rsidRPr="00AA24B7">
        <w:rPr>
          <w:snapToGrid/>
          <w:color w:val="000000"/>
          <w:sz w:val="20"/>
          <w:lang w:val="en-GB" w:eastAsia="en-US"/>
        </w:rPr>
        <w:t xml:space="preserve"> or words, if prosecuted, must benefit from due process </w:t>
      </w:r>
      <w:r w:rsidRPr="00AA24B7">
        <w:rPr>
          <w:snapToGrid/>
          <w:sz w:val="20"/>
          <w:lang w:val="en-GB" w:eastAsia="en-US"/>
        </w:rPr>
        <w:t>in</w:t>
      </w:r>
      <w:r w:rsidRPr="00AA24B7">
        <w:rPr>
          <w:snapToGrid/>
          <w:color w:val="000000"/>
          <w:sz w:val="20"/>
          <w:lang w:val="en-GB" w:eastAsia="en-US"/>
        </w:rPr>
        <w:t xml:space="preserve"> Courts. And for them to be found in breach of the Covenant, all the provisions of the Covenant and its Optional Protocol must be complied with. In the present case the authors allege that the State Party has violated articles 2(3), 14(1), 17, 20, 26 and 27 of the Covenant because the Amsterdam District Court failed to find the alleged perpetrator (Mr. Wilders) guilty on charges of ‘insult of a group for reasons of race or religion’ under Section 137c of the Criminal Code and for ‘incitement to hatred and discrimination on grounds of religion or race’ under Section 137d of the Criminal Code. As stated in paragraph 2.3 of the facts presented by the authors of the Communication they were allowed to join the criminal proceedings as an aggrieved party and to claim compensation.</w:t>
      </w:r>
    </w:p>
    <w:p w:rsidR="00AA24B7" w:rsidRPr="00AA24B7" w:rsidRDefault="00AA24B7" w:rsidP="00AA24B7">
      <w:pPr>
        <w:tabs>
          <w:tab w:val="clear" w:pos="431"/>
          <w:tab w:val="left" w:pos="567"/>
        </w:tabs>
        <w:suppressAutoHyphens/>
        <w:overflowPunct/>
        <w:spacing w:after="120" w:line="240" w:lineRule="atLeast"/>
        <w:ind w:left="1134" w:right="1134"/>
        <w:rPr>
          <w:snapToGrid/>
          <w:color w:val="000000"/>
          <w:sz w:val="20"/>
          <w:lang w:val="en-GB" w:eastAsia="en-US"/>
        </w:rPr>
      </w:pPr>
      <w:r w:rsidRPr="00AA24B7">
        <w:rPr>
          <w:snapToGrid/>
          <w:color w:val="000000"/>
          <w:sz w:val="20"/>
          <w:lang w:val="en-GB" w:eastAsia="en-US"/>
        </w:rPr>
        <w:t>2.</w:t>
      </w:r>
      <w:r w:rsidRPr="00AA24B7">
        <w:rPr>
          <w:snapToGrid/>
          <w:color w:val="000000"/>
          <w:sz w:val="20"/>
          <w:lang w:val="en-GB" w:eastAsia="en-US"/>
        </w:rPr>
        <w:tab/>
        <w:t xml:space="preserve">On 23 June 2011 the District Court decided that the case against Wilders could not be proved and dismissed </w:t>
      </w:r>
      <w:r w:rsidRPr="00AA24B7">
        <w:rPr>
          <w:snapToGrid/>
          <w:sz w:val="20"/>
          <w:lang w:val="en-GB" w:eastAsia="en-US"/>
        </w:rPr>
        <w:t>all</w:t>
      </w:r>
      <w:r w:rsidRPr="00AA24B7">
        <w:rPr>
          <w:snapToGrid/>
          <w:color w:val="000000"/>
          <w:sz w:val="20"/>
          <w:lang w:val="en-GB" w:eastAsia="en-US"/>
        </w:rPr>
        <w:t xml:space="preserve"> the charges. This </w:t>
      </w:r>
      <w:r w:rsidRPr="00AA24B7">
        <w:rPr>
          <w:snapToGrid/>
          <w:sz w:val="20"/>
          <w:lang w:val="en-GB" w:eastAsia="en-US"/>
        </w:rPr>
        <w:t>resulted</w:t>
      </w:r>
      <w:r w:rsidRPr="00AA24B7">
        <w:rPr>
          <w:snapToGrid/>
          <w:color w:val="000000"/>
          <w:sz w:val="20"/>
          <w:lang w:val="en-GB" w:eastAsia="en-US"/>
        </w:rPr>
        <w:t xml:space="preserve"> in a dismissal of the authors’ claim as well. The prosecutor chose not to appeal against the decision. Under Dutch law the authors had no right to appeal in such proceedings.</w:t>
      </w:r>
    </w:p>
    <w:p w:rsidR="00AA24B7" w:rsidRPr="00AA24B7" w:rsidRDefault="00AA24B7" w:rsidP="00AA24B7">
      <w:pPr>
        <w:tabs>
          <w:tab w:val="clear" w:pos="431"/>
          <w:tab w:val="left" w:pos="567"/>
        </w:tabs>
        <w:suppressAutoHyphens/>
        <w:overflowPunct/>
        <w:spacing w:after="120" w:line="240" w:lineRule="atLeast"/>
        <w:ind w:left="1134" w:right="1134"/>
        <w:rPr>
          <w:snapToGrid/>
          <w:color w:val="000000"/>
          <w:sz w:val="20"/>
          <w:lang w:val="en-GB" w:eastAsia="en-US"/>
        </w:rPr>
      </w:pPr>
      <w:r w:rsidRPr="00AA24B7">
        <w:rPr>
          <w:snapToGrid/>
          <w:color w:val="000000"/>
          <w:sz w:val="20"/>
          <w:lang w:val="en-GB" w:eastAsia="en-US"/>
        </w:rPr>
        <w:t>3.</w:t>
      </w:r>
      <w:r w:rsidRPr="00AA24B7">
        <w:rPr>
          <w:snapToGrid/>
          <w:color w:val="000000"/>
          <w:sz w:val="20"/>
          <w:lang w:val="en-GB" w:eastAsia="en-US"/>
        </w:rPr>
        <w:tab/>
        <w:t xml:space="preserve">Normally a </w:t>
      </w:r>
      <w:r w:rsidRPr="00AA24B7">
        <w:rPr>
          <w:snapToGrid/>
          <w:sz w:val="20"/>
          <w:lang w:val="en-GB" w:eastAsia="en-US"/>
        </w:rPr>
        <w:t>complaint</w:t>
      </w:r>
      <w:r w:rsidRPr="00AA24B7">
        <w:rPr>
          <w:snapToGrid/>
          <w:color w:val="000000"/>
          <w:sz w:val="20"/>
          <w:lang w:val="en-GB" w:eastAsia="en-US"/>
        </w:rPr>
        <w:t xml:space="preserve"> in a communication to the Human Rights Committee is directed at a State Party for not having taken action against a perpetrator of a violation of human rights or for having taken unjustified action against an author in violation of the Covenant. The present complaint is directed at a State Party because a Court of Law dismissed a criminal case against an alleged perpetrator. The authors took the calculated risk of joining their civil claim to the criminal action. Due to the joinder of actions the civil claim was completely dependent on the outcome of the criminal action and the conduct of such criminal action was under the control of the Prosecutor. Furthermore, the standard of proof required for a successful outcome of a criminal action was undoubtedly higher than that required for a tort action, which compounded the risk taken by the authors. </w:t>
      </w:r>
    </w:p>
    <w:p w:rsidR="00AA24B7" w:rsidRPr="00AA24B7" w:rsidRDefault="00AA24B7" w:rsidP="00AA24B7">
      <w:pPr>
        <w:tabs>
          <w:tab w:val="clear" w:pos="431"/>
          <w:tab w:val="left" w:pos="567"/>
        </w:tabs>
        <w:suppressAutoHyphens/>
        <w:overflowPunct/>
        <w:spacing w:after="120" w:line="240" w:lineRule="atLeast"/>
        <w:ind w:left="1134" w:right="1134"/>
        <w:rPr>
          <w:snapToGrid/>
          <w:color w:val="000000"/>
          <w:sz w:val="20"/>
          <w:lang w:val="en-GB" w:eastAsia="en-US"/>
        </w:rPr>
      </w:pPr>
      <w:r w:rsidRPr="00AA24B7">
        <w:rPr>
          <w:snapToGrid/>
          <w:color w:val="000000"/>
          <w:sz w:val="20"/>
          <w:lang w:val="en-GB" w:eastAsia="en-US"/>
        </w:rPr>
        <w:t>4.</w:t>
      </w:r>
      <w:r w:rsidRPr="00AA24B7">
        <w:rPr>
          <w:snapToGrid/>
          <w:color w:val="000000"/>
          <w:sz w:val="20"/>
          <w:lang w:val="en-GB" w:eastAsia="en-US"/>
        </w:rPr>
        <w:tab/>
        <w:t xml:space="preserve">What the authors are now requesting the Committee to do is to enjoin the State Party to punish the </w:t>
      </w:r>
      <w:r w:rsidRPr="00AA24B7">
        <w:rPr>
          <w:snapToGrid/>
          <w:sz w:val="20"/>
          <w:lang w:val="en-GB" w:eastAsia="en-US"/>
        </w:rPr>
        <w:t>perpetrator</w:t>
      </w:r>
      <w:r w:rsidRPr="00AA24B7">
        <w:rPr>
          <w:snapToGrid/>
          <w:color w:val="000000"/>
          <w:sz w:val="20"/>
          <w:lang w:val="en-GB" w:eastAsia="en-US"/>
        </w:rPr>
        <w:t xml:space="preserve"> in spite of the decision reached by an independent Court of Law in the State Party. The latter is not the wrongdoer. It took the steps that it was required to take under its own Criminal Code by prosecuting the wrongdoer. The Committee cannot compel the State Party to punish the alleged wrongdoer in spite of an acquittal.</w:t>
      </w:r>
    </w:p>
    <w:p w:rsidR="00AA24B7" w:rsidRPr="00AA24B7" w:rsidRDefault="00AA24B7" w:rsidP="00AA24B7">
      <w:pPr>
        <w:tabs>
          <w:tab w:val="clear" w:pos="431"/>
          <w:tab w:val="left" w:pos="567"/>
        </w:tabs>
        <w:suppressAutoHyphens/>
        <w:overflowPunct/>
        <w:spacing w:after="120" w:line="240" w:lineRule="atLeast"/>
        <w:ind w:left="1134" w:right="1134"/>
        <w:rPr>
          <w:snapToGrid/>
          <w:color w:val="000000"/>
          <w:sz w:val="20"/>
          <w:lang w:val="en-GB" w:eastAsia="en-US"/>
        </w:rPr>
      </w:pPr>
      <w:r w:rsidRPr="00AA24B7">
        <w:rPr>
          <w:snapToGrid/>
          <w:color w:val="000000"/>
          <w:sz w:val="20"/>
          <w:lang w:val="en-GB" w:eastAsia="en-US"/>
        </w:rPr>
        <w:t>5.</w:t>
      </w:r>
      <w:r w:rsidRPr="00AA24B7">
        <w:rPr>
          <w:snapToGrid/>
          <w:color w:val="000000"/>
          <w:sz w:val="20"/>
          <w:lang w:val="en-GB" w:eastAsia="en-US"/>
        </w:rPr>
        <w:tab/>
        <w:t xml:space="preserve">Reference has been made to the decision of the Committee in </w:t>
      </w:r>
      <w:r w:rsidRPr="00AA24B7">
        <w:rPr>
          <w:i/>
          <w:snapToGrid/>
          <w:color w:val="000000"/>
          <w:sz w:val="20"/>
          <w:lang w:val="en-GB" w:eastAsia="en-US"/>
        </w:rPr>
        <w:t>Andersen v. Denmark (Communication No. 1868 of 2009)</w:t>
      </w:r>
      <w:r w:rsidRPr="00AA24B7">
        <w:rPr>
          <w:snapToGrid/>
          <w:color w:val="000000"/>
          <w:sz w:val="20"/>
          <w:lang w:val="en-GB" w:eastAsia="en-US"/>
        </w:rPr>
        <w:t xml:space="preserve"> to justify a finding of admissibility of the authors’ communication. However their case can be easily distinguished from </w:t>
      </w:r>
      <w:r w:rsidRPr="00AA24B7">
        <w:rPr>
          <w:snapToGrid/>
          <w:sz w:val="20"/>
          <w:lang w:val="en-GB" w:eastAsia="en-US"/>
        </w:rPr>
        <w:t>Andersen’s</w:t>
      </w:r>
      <w:r w:rsidRPr="00AA24B7">
        <w:rPr>
          <w:snapToGrid/>
          <w:color w:val="000000"/>
          <w:sz w:val="20"/>
          <w:lang w:val="en-GB" w:eastAsia="en-US"/>
        </w:rPr>
        <w:t xml:space="preserve"> case. Ms. Andersen reported a case to the Danish authorities concerning racially discriminating statements in violation of a specific provision of the Danish Criminal Code. The Public Prosecutor General </w:t>
      </w:r>
      <w:r w:rsidRPr="00AA24B7">
        <w:rPr>
          <w:snapToGrid/>
          <w:sz w:val="20"/>
          <w:lang w:val="en-GB" w:eastAsia="en-US"/>
        </w:rPr>
        <w:t>declined</w:t>
      </w:r>
      <w:r w:rsidRPr="00AA24B7">
        <w:rPr>
          <w:snapToGrid/>
          <w:color w:val="000000"/>
          <w:sz w:val="20"/>
          <w:lang w:val="en-GB" w:eastAsia="en-US"/>
        </w:rPr>
        <w:t xml:space="preserve"> to prosecute and his decision could not be appealed. The State Party contended that Ms. Andersen could have entered a private prosecution under a different provision of the Criminal Code and that she had not thereby exhausted all available domestic remedies. The Committee considered that it would be unreasonable to expect the author to start separate proceedings under the Criminal Code on her own initiative and found the plaint admissible. In the present case, however, we are concerned with the failure of an action under criminal law and with the possibility of entering a difference case under civil law where rules of evidence may vary and where the authors would have greater latitude in substantiating their case.</w:t>
      </w:r>
    </w:p>
    <w:p w:rsidR="00AA24B7" w:rsidRPr="00AA24B7" w:rsidRDefault="00AA24B7" w:rsidP="00AA24B7">
      <w:pPr>
        <w:tabs>
          <w:tab w:val="clear" w:pos="431"/>
          <w:tab w:val="left" w:pos="567"/>
        </w:tabs>
        <w:suppressAutoHyphens/>
        <w:overflowPunct/>
        <w:spacing w:after="120" w:line="240" w:lineRule="atLeast"/>
        <w:ind w:left="1134" w:right="1134"/>
        <w:rPr>
          <w:snapToGrid/>
          <w:color w:val="000000"/>
          <w:sz w:val="20"/>
          <w:lang w:val="en-GB" w:eastAsia="en-US"/>
        </w:rPr>
      </w:pPr>
      <w:r w:rsidRPr="00AA24B7">
        <w:rPr>
          <w:snapToGrid/>
          <w:color w:val="000000"/>
          <w:sz w:val="20"/>
          <w:lang w:val="en-GB" w:eastAsia="en-US"/>
        </w:rPr>
        <w:t>6.</w:t>
      </w:r>
      <w:r w:rsidRPr="00AA24B7">
        <w:rPr>
          <w:snapToGrid/>
          <w:color w:val="000000"/>
          <w:sz w:val="20"/>
          <w:lang w:val="en-GB" w:eastAsia="en-US"/>
        </w:rPr>
        <w:tab/>
        <w:t xml:space="preserve">The stand taken by the State Party is absolutely clear on this issue and is enunciated in paragraph 4.4 State Party’s Observations on admissibility. The authors still have the option of bringing a civil action in tort against Wilders pursuant to article 6:162 of the Civil Code. The State Party goes further in stating that a successful civil action would give the </w:t>
      </w:r>
      <w:r w:rsidRPr="00AA24B7">
        <w:rPr>
          <w:snapToGrid/>
          <w:color w:val="000000"/>
          <w:sz w:val="20"/>
          <w:lang w:val="en-GB" w:eastAsia="en-US"/>
        </w:rPr>
        <w:lastRenderedPageBreak/>
        <w:t>authors the opportunity to seek an injunction preventing Wilders from making future statements of the same nature and also to request a declaratory decision that Wilders’ statements were contrary to law. In taking this stand the State Party agrees that the authors may still claim victim status before a Civil Court. It is our view that the authors may well make out their case as victims and have a fair chance to secure the civil remedies available to them. They would even be able to appeal to higher courts should they fail to convince the Court at first instance.</w:t>
      </w:r>
    </w:p>
    <w:p w:rsidR="00AA24B7" w:rsidRPr="00AA24B7" w:rsidRDefault="00AA24B7" w:rsidP="00AA24B7">
      <w:pPr>
        <w:tabs>
          <w:tab w:val="clear" w:pos="431"/>
          <w:tab w:val="left" w:pos="567"/>
        </w:tabs>
        <w:suppressAutoHyphens/>
        <w:overflowPunct/>
        <w:spacing w:after="120" w:line="240" w:lineRule="atLeast"/>
        <w:ind w:left="1134" w:right="1134"/>
        <w:rPr>
          <w:rFonts w:eastAsiaTheme="minorEastAsia"/>
          <w:snapToGrid/>
          <w:color w:val="000000" w:themeColor="text1"/>
          <w:sz w:val="20"/>
          <w:lang w:val="en-GB" w:eastAsia="en-US"/>
        </w:rPr>
      </w:pPr>
      <w:r w:rsidRPr="00AA24B7">
        <w:rPr>
          <w:rFonts w:eastAsiaTheme="minorEastAsia"/>
          <w:snapToGrid/>
          <w:color w:val="000000" w:themeColor="text1"/>
          <w:sz w:val="20"/>
          <w:lang w:val="en-GB" w:eastAsia="en-US"/>
        </w:rPr>
        <w:t>7.</w:t>
      </w:r>
      <w:r w:rsidRPr="00AA24B7">
        <w:rPr>
          <w:rFonts w:eastAsiaTheme="minorEastAsia"/>
          <w:snapToGrid/>
          <w:color w:val="000000" w:themeColor="text1"/>
          <w:sz w:val="20"/>
          <w:lang w:val="en-GB" w:eastAsia="en-US"/>
        </w:rPr>
        <w:tab/>
        <w:t>In paragraph 4.8 of the State Party’s case it is mentioned that criminal proceedings have been instituted against Mr. Wilders for making similar statements in 2014. Thus an earlier independent civil action by the authors could have had a strong restraining effect on the subsequent conduct of Mr. Wilders.</w:t>
      </w:r>
    </w:p>
    <w:p w:rsidR="00AA24B7" w:rsidRPr="00AA24B7" w:rsidRDefault="00AA24B7" w:rsidP="00AA24B7">
      <w:pPr>
        <w:tabs>
          <w:tab w:val="clear" w:pos="431"/>
          <w:tab w:val="left" w:pos="567"/>
        </w:tabs>
        <w:suppressAutoHyphens/>
        <w:overflowPunct/>
        <w:spacing w:after="120" w:line="240" w:lineRule="atLeast"/>
        <w:ind w:left="1134" w:right="1134"/>
        <w:rPr>
          <w:rFonts w:eastAsiaTheme="minorEastAsia"/>
          <w:snapToGrid/>
          <w:color w:val="000000" w:themeColor="text1"/>
          <w:sz w:val="20"/>
          <w:lang w:val="en-GB" w:eastAsia="en-US"/>
        </w:rPr>
      </w:pPr>
      <w:r w:rsidRPr="00AA24B7">
        <w:rPr>
          <w:rFonts w:eastAsiaTheme="minorEastAsia"/>
          <w:snapToGrid/>
          <w:color w:val="000000" w:themeColor="text1"/>
          <w:sz w:val="20"/>
          <w:lang w:val="en-GB" w:eastAsia="en-US"/>
        </w:rPr>
        <w:t>8.</w:t>
      </w:r>
      <w:r w:rsidRPr="00AA24B7">
        <w:rPr>
          <w:rFonts w:eastAsiaTheme="minorEastAsia"/>
          <w:snapToGrid/>
          <w:color w:val="000000" w:themeColor="text1"/>
          <w:sz w:val="20"/>
          <w:lang w:val="en-GB" w:eastAsia="en-US"/>
        </w:rPr>
        <w:tab/>
        <w:t>For the above mentioned reasons, the authors’ claim is inadmissible under article 5(2</w:t>
      </w:r>
      <w:proofErr w:type="gramStart"/>
      <w:r w:rsidRPr="00AA24B7">
        <w:rPr>
          <w:rFonts w:eastAsiaTheme="minorEastAsia"/>
          <w:snapToGrid/>
          <w:color w:val="000000" w:themeColor="text1"/>
          <w:sz w:val="20"/>
          <w:lang w:val="en-GB" w:eastAsia="en-US"/>
        </w:rPr>
        <w:t>)(</w:t>
      </w:r>
      <w:proofErr w:type="gramEnd"/>
      <w:r w:rsidRPr="00AA24B7">
        <w:rPr>
          <w:rFonts w:eastAsiaTheme="minorEastAsia"/>
          <w:snapToGrid/>
          <w:color w:val="000000" w:themeColor="text1"/>
          <w:sz w:val="20"/>
          <w:lang w:val="en-GB" w:eastAsia="en-US"/>
        </w:rPr>
        <w:t>b) of the Optional Protocol as they have failed to show that they have exhausted the domestic remedies available to them.</w:t>
      </w:r>
    </w:p>
    <w:p w:rsidR="00AA24B7" w:rsidRDefault="00AA24B7" w:rsidP="00AA24B7">
      <w:pPr>
        <w:pStyle w:val="SingleTxtGC"/>
        <w:tabs>
          <w:tab w:val="left" w:pos="567"/>
        </w:tabs>
        <w:rPr>
          <w:lang w:val="en-GB"/>
        </w:rPr>
        <w:sectPr w:rsidR="00AA24B7" w:rsidSect="004D0A0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pPr>
    </w:p>
    <w:p w:rsidR="00AA24B7" w:rsidRPr="00E5388B" w:rsidRDefault="00AA24B7" w:rsidP="00AA24B7">
      <w:pPr>
        <w:pStyle w:val="HChG"/>
        <w:adjustRightInd w:val="0"/>
        <w:snapToGrid w:val="0"/>
        <w:rPr>
          <w:lang w:val="es-ES"/>
        </w:rPr>
      </w:pPr>
      <w:proofErr w:type="spellStart"/>
      <w:r w:rsidRPr="00F15147">
        <w:rPr>
          <w:lang w:val="es-ES"/>
        </w:rPr>
        <w:lastRenderedPageBreak/>
        <w:t>Ann</w:t>
      </w:r>
      <w:r>
        <w:rPr>
          <w:lang w:val="es-ES"/>
        </w:rPr>
        <w:t>ex</w:t>
      </w:r>
      <w:proofErr w:type="spellEnd"/>
      <w:r>
        <w:rPr>
          <w:lang w:val="es-ES"/>
        </w:rPr>
        <w:t xml:space="preserve"> II</w:t>
      </w:r>
    </w:p>
    <w:p w:rsidR="00AA24B7" w:rsidRPr="00F15147" w:rsidRDefault="00AA24B7" w:rsidP="00AA24B7">
      <w:pPr>
        <w:pStyle w:val="HChG"/>
        <w:adjustRightInd w:val="0"/>
        <w:snapToGrid w:val="0"/>
        <w:rPr>
          <w:lang w:val="es-ES"/>
        </w:rPr>
      </w:pPr>
      <w:r>
        <w:rPr>
          <w:lang w:val="es-ES"/>
        </w:rPr>
        <w:tab/>
      </w:r>
      <w:r>
        <w:rPr>
          <w:lang w:val="es-ES"/>
        </w:rPr>
        <w:tab/>
      </w:r>
      <w:r w:rsidRPr="00F15147">
        <w:rPr>
          <w:lang w:val="es-ES"/>
        </w:rPr>
        <w:t xml:space="preserve">Opinión disidente del miembro del Comité Fabián Omar </w:t>
      </w:r>
      <w:proofErr w:type="spellStart"/>
      <w:r w:rsidRPr="00F15147">
        <w:rPr>
          <w:lang w:val="es-ES"/>
        </w:rPr>
        <w:t>Salvioli</w:t>
      </w:r>
      <w:proofErr w:type="spellEnd"/>
    </w:p>
    <w:p w:rsidR="00AA24B7" w:rsidRPr="00F15147" w:rsidRDefault="00AA24B7" w:rsidP="00AA24B7">
      <w:pPr>
        <w:pStyle w:val="SingleTxtG"/>
        <w:adjustRightInd w:val="0"/>
        <w:snapToGrid w:val="0"/>
        <w:rPr>
          <w:sz w:val="20"/>
          <w:szCs w:val="20"/>
          <w:lang w:val="es-ES"/>
        </w:rPr>
      </w:pPr>
      <w:r w:rsidRPr="00F15147">
        <w:rPr>
          <w:sz w:val="20"/>
          <w:szCs w:val="20"/>
          <w:lang w:val="es-ES"/>
        </w:rPr>
        <w:t>1.</w:t>
      </w:r>
      <w:r w:rsidRPr="00F15147">
        <w:rPr>
          <w:sz w:val="20"/>
          <w:szCs w:val="20"/>
          <w:lang w:val="es-ES"/>
        </w:rPr>
        <w:tab/>
        <w:t xml:space="preserve">El dictamen del Comité en la comunicación 2124/2011 </w:t>
      </w:r>
      <w:proofErr w:type="spellStart"/>
      <w:r w:rsidRPr="00F15147">
        <w:rPr>
          <w:sz w:val="20"/>
          <w:szCs w:val="20"/>
          <w:lang w:val="es-ES"/>
        </w:rPr>
        <w:t>Rabbae</w:t>
      </w:r>
      <w:proofErr w:type="spellEnd"/>
      <w:r w:rsidRPr="00F15147">
        <w:rPr>
          <w:sz w:val="20"/>
          <w:szCs w:val="20"/>
          <w:lang w:val="es-ES"/>
        </w:rPr>
        <w:t xml:space="preserve"> vs. Países Bajos es pertinente y adecuado en el análisis de la admisibilidad, con el que estoy plenamente de acuerdo. Sin embargo, no puedo compartir la valoración ni las conclusiones de la mayoría del Comité sobre el fondo del asunto. Me refiero a ambas cuestiones en los párrafos que siguen.</w:t>
      </w:r>
    </w:p>
    <w:p w:rsidR="00AA24B7" w:rsidRPr="00F15147" w:rsidRDefault="00AA24B7" w:rsidP="00AA24B7">
      <w:pPr>
        <w:pStyle w:val="SingleTxtG"/>
        <w:adjustRightInd w:val="0"/>
        <w:snapToGrid w:val="0"/>
        <w:rPr>
          <w:sz w:val="20"/>
          <w:szCs w:val="20"/>
          <w:lang w:val="es-ES"/>
        </w:rPr>
      </w:pPr>
      <w:r w:rsidRPr="00F15147">
        <w:rPr>
          <w:sz w:val="20"/>
          <w:szCs w:val="20"/>
          <w:lang w:val="es-ES"/>
        </w:rPr>
        <w:t>2.</w:t>
      </w:r>
      <w:r w:rsidRPr="00F15147">
        <w:rPr>
          <w:sz w:val="20"/>
          <w:szCs w:val="20"/>
          <w:lang w:val="es-ES"/>
        </w:rPr>
        <w:tab/>
        <w:t>El Comité acierta al rechazar la excepción preliminar interpuesta por el Estado en torno a la falta de agotamiento de los recursos internos debido a que los autores no acudieron a la vía prevista en el artículo 6:162 del Código Civil. Dicho recurso no es el pertinente para remediar la violación alegada, y el Comité – de haber seguido la posición del Estado – habría generado un precedente penoso y una exigencia inédita para el acceso al plano internacional.</w:t>
      </w:r>
    </w:p>
    <w:p w:rsidR="00AA24B7" w:rsidRPr="00F15147" w:rsidRDefault="00AA24B7" w:rsidP="00AA24B7">
      <w:pPr>
        <w:pStyle w:val="SingleTxtG"/>
        <w:adjustRightInd w:val="0"/>
        <w:snapToGrid w:val="0"/>
        <w:rPr>
          <w:sz w:val="20"/>
          <w:szCs w:val="20"/>
          <w:lang w:val="es-ES"/>
        </w:rPr>
      </w:pPr>
      <w:r w:rsidRPr="00F15147">
        <w:rPr>
          <w:sz w:val="20"/>
          <w:szCs w:val="20"/>
          <w:lang w:val="es-ES"/>
        </w:rPr>
        <w:t>3.</w:t>
      </w:r>
      <w:r w:rsidRPr="00F15147">
        <w:rPr>
          <w:sz w:val="20"/>
          <w:szCs w:val="20"/>
          <w:lang w:val="es-ES"/>
        </w:rPr>
        <w:tab/>
        <w:t>También estoy de acuerdo con lo expresado en los párrafos 9.5 y 9.6 del dictamen, en lo relativo a la condición de presunta víctima que debe acreditarse a los efectos de presentar un caso ante el Comité. Si en el presente caso el Comité hubiese negado la admisibilidad por no reconocer el status de posible víctima a los autores, se le quitaría el debido efecto jurídico al artículo 20 del Pacto, resultando consecuentemente una tutela más débil, o directamente nula, de dicha disposición.</w:t>
      </w:r>
    </w:p>
    <w:p w:rsidR="00AA24B7" w:rsidRPr="00F15147" w:rsidRDefault="00AA24B7" w:rsidP="00AA24B7">
      <w:pPr>
        <w:pStyle w:val="SingleTxtG"/>
        <w:adjustRightInd w:val="0"/>
        <w:snapToGrid w:val="0"/>
        <w:rPr>
          <w:sz w:val="20"/>
          <w:szCs w:val="20"/>
          <w:lang w:val="es-ES"/>
        </w:rPr>
      </w:pPr>
      <w:r w:rsidRPr="00F15147">
        <w:rPr>
          <w:sz w:val="20"/>
          <w:szCs w:val="20"/>
          <w:lang w:val="es-ES"/>
        </w:rPr>
        <w:t>4.</w:t>
      </w:r>
      <w:r w:rsidRPr="00F15147">
        <w:rPr>
          <w:sz w:val="20"/>
          <w:szCs w:val="20"/>
          <w:lang w:val="es-ES"/>
        </w:rPr>
        <w:tab/>
        <w:t xml:space="preserve">Todos los derechos contenidos en el Pacto poseen una dimensión de respeto y otra de garantía; en este sentido, toda persona tiene derecho – conforme al artículo 20.2 – a que se le proteja debidamente contra la apología del odio nacional, racial o religioso, cuando dicha apología está dirigida a un colectivo del cual forma parte. Por ello los autores de la presente comunicación no incurren en </w:t>
      </w:r>
      <w:proofErr w:type="spellStart"/>
      <w:r w:rsidRPr="00F15147">
        <w:rPr>
          <w:sz w:val="20"/>
          <w:szCs w:val="20"/>
          <w:lang w:val="es-ES"/>
        </w:rPr>
        <w:t>actio</w:t>
      </w:r>
      <w:proofErr w:type="spellEnd"/>
      <w:r w:rsidRPr="00F15147">
        <w:rPr>
          <w:sz w:val="20"/>
          <w:szCs w:val="20"/>
          <w:lang w:val="es-ES"/>
        </w:rPr>
        <w:t xml:space="preserve"> </w:t>
      </w:r>
      <w:proofErr w:type="spellStart"/>
      <w:r w:rsidRPr="00F15147">
        <w:rPr>
          <w:sz w:val="20"/>
          <w:szCs w:val="20"/>
          <w:lang w:val="es-ES"/>
        </w:rPr>
        <w:t>popularis</w:t>
      </w:r>
      <w:proofErr w:type="spellEnd"/>
      <w:r w:rsidRPr="00F15147">
        <w:rPr>
          <w:sz w:val="20"/>
          <w:szCs w:val="20"/>
          <w:lang w:val="es-ES"/>
        </w:rPr>
        <w:t>, y los discursos bajo análisis no se dirigían en contra de la sociedad en general sino respecto de un colectivo específico; la naturaleza del artículo 20 es, en dicho sentido, similar a la que posee el artículo 27 del Pacto.</w:t>
      </w:r>
    </w:p>
    <w:p w:rsidR="00AA24B7" w:rsidRPr="00F15147" w:rsidRDefault="00AA24B7" w:rsidP="00AA24B7">
      <w:pPr>
        <w:pStyle w:val="SingleTxtG"/>
        <w:adjustRightInd w:val="0"/>
        <w:snapToGrid w:val="0"/>
        <w:rPr>
          <w:sz w:val="20"/>
          <w:szCs w:val="20"/>
          <w:lang w:val="es-ES"/>
        </w:rPr>
      </w:pPr>
      <w:r w:rsidRPr="00F15147">
        <w:rPr>
          <w:sz w:val="20"/>
          <w:szCs w:val="20"/>
          <w:lang w:val="es-ES"/>
        </w:rPr>
        <w:t>5.</w:t>
      </w:r>
      <w:r w:rsidRPr="00F15147">
        <w:rPr>
          <w:sz w:val="20"/>
          <w:szCs w:val="20"/>
          <w:lang w:val="es-ES"/>
        </w:rPr>
        <w:tab/>
        <w:t xml:space="preserve">El modo de protección a brindar a las personas </w:t>
      </w:r>
      <w:proofErr w:type="spellStart"/>
      <w:r w:rsidRPr="00F15147">
        <w:rPr>
          <w:sz w:val="20"/>
          <w:szCs w:val="20"/>
          <w:lang w:val="es-ES"/>
        </w:rPr>
        <w:t>pèrtenecientes</w:t>
      </w:r>
      <w:proofErr w:type="spellEnd"/>
      <w:r w:rsidRPr="00F15147">
        <w:rPr>
          <w:sz w:val="20"/>
          <w:szCs w:val="20"/>
          <w:lang w:val="es-ES"/>
        </w:rPr>
        <w:t xml:space="preserve"> a dichos colectivos lo elige el Estado, ya que el artículo 20 del Pacto Internacional de Derechos Civiles y Políticos no impone una forma determinada; en este caso, los Países Bajos optaron por sancionar la apología del odio a través de la vía criminal, tipificándola como delito en el artículo </w:t>
      </w:r>
      <w:proofErr w:type="spellStart"/>
      <w:r w:rsidRPr="00F15147">
        <w:rPr>
          <w:sz w:val="20"/>
          <w:szCs w:val="20"/>
          <w:lang w:val="es-ES"/>
        </w:rPr>
        <w:t>137.d</w:t>
      </w:r>
      <w:proofErr w:type="spellEnd"/>
      <w:r w:rsidRPr="00F15147">
        <w:rPr>
          <w:sz w:val="20"/>
          <w:szCs w:val="20"/>
          <w:lang w:val="es-ES"/>
        </w:rPr>
        <w:t xml:space="preserve"> del Código Penal.</w:t>
      </w:r>
    </w:p>
    <w:p w:rsidR="00AA24B7" w:rsidRPr="00F15147" w:rsidRDefault="00AA24B7" w:rsidP="00AA24B7">
      <w:pPr>
        <w:pStyle w:val="SingleTxtG"/>
        <w:adjustRightInd w:val="0"/>
        <w:snapToGrid w:val="0"/>
        <w:rPr>
          <w:sz w:val="20"/>
          <w:szCs w:val="20"/>
          <w:lang w:val="es-ES"/>
        </w:rPr>
      </w:pPr>
      <w:r w:rsidRPr="00F15147">
        <w:rPr>
          <w:sz w:val="20"/>
          <w:szCs w:val="20"/>
          <w:lang w:val="es-ES"/>
        </w:rPr>
        <w:t>6.</w:t>
      </w:r>
      <w:r w:rsidRPr="00F15147">
        <w:rPr>
          <w:sz w:val="20"/>
          <w:szCs w:val="20"/>
          <w:lang w:val="es-ES"/>
        </w:rPr>
        <w:tab/>
        <w:t>En el caso que nos ocupa, la insuficiente valoración conjunta de las declaraciones y hechos que fueron objeto de la querella, ha llevado al Tribunal local a emitir una decisión que dejó a los autores sin la protección debida frente a la apología del odio.</w:t>
      </w:r>
    </w:p>
    <w:p w:rsidR="00AA24B7" w:rsidRPr="00F15147" w:rsidRDefault="00AA24B7" w:rsidP="00AA24B7">
      <w:pPr>
        <w:pStyle w:val="SingleTxtG"/>
        <w:adjustRightInd w:val="0"/>
        <w:snapToGrid w:val="0"/>
        <w:rPr>
          <w:sz w:val="20"/>
          <w:szCs w:val="20"/>
          <w:lang w:val="es-ES"/>
        </w:rPr>
      </w:pPr>
      <w:r w:rsidRPr="00F15147">
        <w:rPr>
          <w:sz w:val="20"/>
          <w:szCs w:val="20"/>
          <w:lang w:val="es-ES"/>
        </w:rPr>
        <w:t>7.</w:t>
      </w:r>
      <w:r w:rsidRPr="00F15147">
        <w:rPr>
          <w:sz w:val="20"/>
          <w:szCs w:val="20"/>
          <w:lang w:val="es-ES"/>
        </w:rPr>
        <w:tab/>
        <w:t xml:space="preserve">En efecto: si bien es cierto que la libertad de expresión engloba incluso declaraciones que puedan considerarse profundamente ofensivas, aquí se ha superado dicho umbral. Dichas expresiones, entendiendo como tales no solamente las declaraciones públicas sino también el contenido de la película </w:t>
      </w:r>
      <w:proofErr w:type="spellStart"/>
      <w:r w:rsidRPr="00F15147">
        <w:rPr>
          <w:sz w:val="20"/>
          <w:szCs w:val="20"/>
          <w:lang w:val="es-ES"/>
        </w:rPr>
        <w:t>Fitna</w:t>
      </w:r>
      <w:proofErr w:type="spellEnd"/>
      <w:r w:rsidRPr="00F15147">
        <w:rPr>
          <w:sz w:val="20"/>
          <w:szCs w:val="20"/>
          <w:lang w:val="es-ES"/>
        </w:rPr>
        <w:t>, en su conjunto constituyen apología del odio, que debió ser sancionada para garantizar debidamente los derechos de los autores de la presente comunicación. A mi entender los autores contaron con un recurso que es eficaz en teoría pero que en la práctica no resultó efectivo.</w:t>
      </w:r>
    </w:p>
    <w:p w:rsidR="00AA24B7" w:rsidRPr="00F15147" w:rsidRDefault="00AA24B7" w:rsidP="00834718">
      <w:pPr>
        <w:pStyle w:val="SingleTxtG"/>
        <w:adjustRightInd w:val="0"/>
        <w:snapToGrid w:val="0"/>
        <w:rPr>
          <w:sz w:val="20"/>
          <w:szCs w:val="20"/>
          <w:lang w:val="es-ES"/>
        </w:rPr>
      </w:pPr>
      <w:r w:rsidRPr="00F15147">
        <w:rPr>
          <w:sz w:val="20"/>
          <w:szCs w:val="20"/>
          <w:lang w:val="es-ES"/>
        </w:rPr>
        <w:t>8.</w:t>
      </w:r>
      <w:r w:rsidRPr="00F15147">
        <w:rPr>
          <w:sz w:val="20"/>
          <w:szCs w:val="20"/>
          <w:lang w:val="es-ES"/>
        </w:rPr>
        <w:tab/>
        <w:t xml:space="preserve">Comparto el criterio del Comité respecto de que el Pacto no obliga a que toda persona acusada de apología del odio sea condenada penalmente, porque una acusación puede recaer sobre personas que resulten inocentes o culpables. Sin embargo, en caso de que efectivamente se haya incurrido en apología del odio la garantía no puede consistir en </w:t>
      </w:r>
      <w:r w:rsidRPr="00F15147">
        <w:rPr>
          <w:sz w:val="20"/>
          <w:szCs w:val="20"/>
          <w:lang w:val="es-ES"/>
        </w:rPr>
        <w:lastRenderedPageBreak/>
        <w:t>un mero enjuiciamiento, sino en la sanción efectiva de la conducta; ello es consistente con lo que ha señalado el Comité en diversas ocasiones</w:t>
      </w:r>
      <w:r>
        <w:rPr>
          <w:rStyle w:val="a7"/>
          <w:szCs w:val="20"/>
          <w:lang w:val="es-ES"/>
        </w:rPr>
        <w:footnoteReference w:id="32"/>
      </w:r>
      <w:r w:rsidRPr="00F15147">
        <w:rPr>
          <w:sz w:val="20"/>
          <w:szCs w:val="20"/>
          <w:lang w:val="es-ES"/>
        </w:rPr>
        <w:t>.</w:t>
      </w:r>
    </w:p>
    <w:p w:rsidR="00AA24B7" w:rsidRPr="00F15147" w:rsidRDefault="00AA24B7" w:rsidP="00AA24B7">
      <w:pPr>
        <w:pStyle w:val="SingleTxtG"/>
        <w:adjustRightInd w:val="0"/>
        <w:snapToGrid w:val="0"/>
        <w:rPr>
          <w:sz w:val="20"/>
          <w:szCs w:val="20"/>
          <w:lang w:val="es-ES"/>
        </w:rPr>
      </w:pPr>
      <w:r w:rsidRPr="00F15147">
        <w:rPr>
          <w:sz w:val="20"/>
          <w:szCs w:val="20"/>
          <w:lang w:val="es-ES"/>
        </w:rPr>
        <w:t>9.</w:t>
      </w:r>
      <w:r w:rsidRPr="00F15147">
        <w:rPr>
          <w:sz w:val="20"/>
          <w:szCs w:val="20"/>
          <w:lang w:val="es-ES"/>
        </w:rPr>
        <w:tab/>
        <w:t xml:space="preserve">Por eso, en el caso bajo análisis el Comité no debió limitarse a valorar en general si se habían cumplido los requisitos relativos al debido proceso, sino considerar los hechos denunciados para evaluar si quedaban comprendidos en la conducta que el artículo 20 del Pacto ordena prohibir. </w:t>
      </w:r>
    </w:p>
    <w:p w:rsidR="00AA24B7" w:rsidRPr="00F15147" w:rsidRDefault="00AA24B7" w:rsidP="00AA24B7">
      <w:pPr>
        <w:pStyle w:val="SingleTxtG"/>
        <w:adjustRightInd w:val="0"/>
        <w:snapToGrid w:val="0"/>
        <w:rPr>
          <w:sz w:val="20"/>
          <w:szCs w:val="20"/>
          <w:lang w:val="es-ES"/>
        </w:rPr>
      </w:pPr>
      <w:r w:rsidRPr="00F15147">
        <w:rPr>
          <w:sz w:val="20"/>
          <w:szCs w:val="20"/>
          <w:lang w:val="es-ES"/>
        </w:rPr>
        <w:t>10.</w:t>
      </w:r>
      <w:r w:rsidRPr="00F15147">
        <w:rPr>
          <w:sz w:val="20"/>
          <w:szCs w:val="20"/>
          <w:lang w:val="es-ES"/>
        </w:rPr>
        <w:tab/>
        <w:t>Ello no significa funcionar como una cuarta instancia; el Comité en muchas ocasiones considera que los tribunales internos no han tenido en cuenta debidamente todos los elementos a su disposición, lo que les ha conducido a una valoración inadecuada de los hechos</w:t>
      </w:r>
      <w:r>
        <w:rPr>
          <w:rStyle w:val="a7"/>
          <w:szCs w:val="20"/>
          <w:lang w:val="es-ES"/>
        </w:rPr>
        <w:footnoteReference w:id="33"/>
      </w:r>
      <w:r w:rsidRPr="00F15147">
        <w:rPr>
          <w:sz w:val="20"/>
          <w:szCs w:val="20"/>
          <w:lang w:val="es-ES"/>
        </w:rPr>
        <w:t>.</w:t>
      </w:r>
      <w:r w:rsidRPr="00F15147">
        <w:rPr>
          <w:rStyle w:val="a7"/>
          <w:szCs w:val="20"/>
          <w:lang w:val="es-ES"/>
        </w:rPr>
        <w:t xml:space="preserve"> </w:t>
      </w:r>
    </w:p>
    <w:p w:rsidR="00AA24B7" w:rsidRPr="00F15147" w:rsidRDefault="00AA24B7" w:rsidP="00AA24B7">
      <w:pPr>
        <w:pStyle w:val="SingleTxtG"/>
        <w:adjustRightInd w:val="0"/>
        <w:snapToGrid w:val="0"/>
        <w:rPr>
          <w:sz w:val="20"/>
          <w:szCs w:val="20"/>
          <w:lang w:val="es-ES"/>
        </w:rPr>
      </w:pPr>
      <w:r w:rsidRPr="00F15147">
        <w:rPr>
          <w:sz w:val="20"/>
          <w:szCs w:val="20"/>
          <w:lang w:val="es-ES"/>
        </w:rPr>
        <w:t>11.</w:t>
      </w:r>
      <w:r w:rsidRPr="00F15147">
        <w:rPr>
          <w:sz w:val="20"/>
          <w:szCs w:val="20"/>
          <w:lang w:val="es-ES"/>
        </w:rPr>
        <w:tab/>
        <w:t>El Comité debió, en consecuencia, hacer lugar al reclamo de los autores, disponer que el dictamen representa en sí mismo una forma de reparación, y señalar como garantía de no repetición la capacitación de funcionarios de la justicia en materia de protección de las personas frente a la apología del odio, desde una perspectiva de derechos humanos.</w:t>
      </w:r>
    </w:p>
    <w:p w:rsidR="00AA24B7" w:rsidRPr="00F15147" w:rsidRDefault="00AA24B7" w:rsidP="00AA24B7">
      <w:pPr>
        <w:pStyle w:val="SingleTxtG"/>
        <w:adjustRightInd w:val="0"/>
        <w:snapToGrid w:val="0"/>
        <w:rPr>
          <w:sz w:val="20"/>
          <w:szCs w:val="20"/>
          <w:lang w:val="es-ES"/>
        </w:rPr>
      </w:pPr>
      <w:r w:rsidRPr="00F15147">
        <w:rPr>
          <w:sz w:val="20"/>
          <w:szCs w:val="20"/>
          <w:lang w:val="es-ES"/>
        </w:rPr>
        <w:t>12.</w:t>
      </w:r>
      <w:r w:rsidRPr="00F15147">
        <w:rPr>
          <w:sz w:val="20"/>
          <w:szCs w:val="20"/>
          <w:lang w:val="es-ES"/>
        </w:rPr>
        <w:tab/>
        <w:t xml:space="preserve">Detrás del sano debate sobre las políticas públicas, que permite declaraciones ofensivas y las críticas más fuertes - incluso injustas - a quienes gobiernan en un Estado, no deben escudarse los discursos de odio nacional, racial o religioso. Los artículos 19 y 20 del Pacto son perfectamente compatibles, y tengo la esperanza de que en adelante las jurisdicciones nacionales de los Estados Partes </w:t>
      </w:r>
      <w:proofErr w:type="gramStart"/>
      <w:r w:rsidRPr="00F15147">
        <w:rPr>
          <w:sz w:val="20"/>
          <w:szCs w:val="20"/>
          <w:lang w:val="es-ES"/>
        </w:rPr>
        <w:t>actuarán</w:t>
      </w:r>
      <w:proofErr w:type="gramEnd"/>
      <w:r w:rsidRPr="00F15147">
        <w:rPr>
          <w:sz w:val="20"/>
          <w:szCs w:val="20"/>
          <w:lang w:val="es-ES"/>
        </w:rPr>
        <w:t xml:space="preserve"> de forma debida frente a la apología del odio, </w:t>
      </w:r>
      <w:proofErr w:type="spellStart"/>
      <w:r w:rsidRPr="00F15147">
        <w:rPr>
          <w:sz w:val="20"/>
          <w:szCs w:val="20"/>
          <w:lang w:val="es-ES"/>
        </w:rPr>
        <w:t>reaccionaando</w:t>
      </w:r>
      <w:proofErr w:type="spellEnd"/>
      <w:r w:rsidRPr="00F15147">
        <w:rPr>
          <w:sz w:val="20"/>
          <w:szCs w:val="20"/>
          <w:lang w:val="es-ES"/>
        </w:rPr>
        <w:t xml:space="preserve"> a tiempo y sancionando adecuadamente los discursos que derivaron – hace no demasiado tiempo – en la comisión de hechos atroces para la humanidad.</w:t>
      </w:r>
    </w:p>
    <w:p w:rsidR="00AA24B7" w:rsidRDefault="00AA24B7" w:rsidP="00AA24B7">
      <w:pPr>
        <w:pStyle w:val="SingleTxtGC"/>
        <w:tabs>
          <w:tab w:val="left" w:pos="567"/>
        </w:tabs>
        <w:rPr>
          <w:lang w:val="es-ES"/>
        </w:rPr>
        <w:sectPr w:rsidR="00AA24B7" w:rsidSect="00AA24B7">
          <w:headerReference w:type="first" r:id="rId16"/>
          <w:footerReference w:type="first" r:id="rId17"/>
          <w:footnotePr>
            <w:numFmt w:val="lowerLetter"/>
            <w:numRestart w:val="eachSect"/>
          </w:footnotePr>
          <w:endnotePr>
            <w:numFmt w:val="decimal"/>
          </w:endnotePr>
          <w:pgSz w:w="11906" w:h="16838" w:code="9"/>
          <w:pgMar w:top="1417" w:right="1134" w:bottom="1134" w:left="1134" w:header="850" w:footer="567" w:gutter="0"/>
          <w:cols w:space="425"/>
          <w:docGrid w:type="lines" w:linePitch="326"/>
        </w:sectPr>
      </w:pPr>
    </w:p>
    <w:p w:rsidR="00AA24B7" w:rsidRPr="00F15147" w:rsidRDefault="00AA24B7" w:rsidP="00834718">
      <w:pPr>
        <w:pStyle w:val="HChG"/>
        <w:adjustRightInd w:val="0"/>
        <w:snapToGrid w:val="0"/>
      </w:pPr>
      <w:r w:rsidRPr="00EC1FEE">
        <w:lastRenderedPageBreak/>
        <w:t>Annex III</w:t>
      </w:r>
    </w:p>
    <w:p w:rsidR="00AA24B7" w:rsidRPr="00F15147" w:rsidRDefault="00AA24B7" w:rsidP="00834718">
      <w:pPr>
        <w:pStyle w:val="HChG"/>
        <w:adjustRightInd w:val="0"/>
        <w:snapToGrid w:val="0"/>
      </w:pPr>
      <w:r w:rsidRPr="00EC1FEE">
        <w:tab/>
      </w:r>
      <w:r w:rsidRPr="00EC1FEE">
        <w:tab/>
      </w:r>
      <w:r w:rsidRPr="00F15147">
        <w:t>Individual opinion (</w:t>
      </w:r>
      <w:r w:rsidRPr="00F15147">
        <w:rPr>
          <w:lang w:bidi="he-IL"/>
        </w:rPr>
        <w:t xml:space="preserve">partly concurring and partly </w:t>
      </w:r>
      <w:proofErr w:type="gramStart"/>
      <w:r w:rsidRPr="00F15147">
        <w:rPr>
          <w:lang w:bidi="he-IL"/>
        </w:rPr>
        <w:t>dissenting</w:t>
      </w:r>
      <w:r w:rsidRPr="00F15147">
        <w:rPr>
          <w:rtl/>
          <w:lang w:bidi="he-IL"/>
        </w:rPr>
        <w:t>(</w:t>
      </w:r>
      <w:proofErr w:type="gramEnd"/>
      <w:r w:rsidRPr="00F15147">
        <w:t xml:space="preserve"> of Committee members </w:t>
      </w:r>
      <w:r w:rsidRPr="00F15147">
        <w:rPr>
          <w:lang w:bidi="he-IL"/>
        </w:rPr>
        <w:t xml:space="preserve">Yuval </w:t>
      </w:r>
      <w:proofErr w:type="spellStart"/>
      <w:r w:rsidRPr="00F15147">
        <w:rPr>
          <w:lang w:bidi="he-IL"/>
        </w:rPr>
        <w:t>Shany</w:t>
      </w:r>
      <w:proofErr w:type="spellEnd"/>
      <w:r w:rsidRPr="00F15147">
        <w:rPr>
          <w:lang w:bidi="he-IL"/>
        </w:rPr>
        <w:t xml:space="preserve"> and Sir Nigel </w:t>
      </w:r>
      <w:proofErr w:type="spellStart"/>
      <w:r w:rsidRPr="00F15147">
        <w:rPr>
          <w:lang w:bidi="he-IL"/>
        </w:rPr>
        <w:t>Rodley</w:t>
      </w:r>
      <w:proofErr w:type="spellEnd"/>
    </w:p>
    <w:p w:rsidR="00AA24B7" w:rsidRPr="00EC1FEE" w:rsidRDefault="00AA24B7" w:rsidP="00834718">
      <w:pPr>
        <w:pStyle w:val="SingleTxtG"/>
        <w:adjustRightInd w:val="0"/>
        <w:snapToGrid w:val="0"/>
        <w:rPr>
          <w:sz w:val="20"/>
          <w:szCs w:val="20"/>
          <w:lang w:val="en-GB" w:bidi="he-IL"/>
        </w:rPr>
      </w:pPr>
      <w:r w:rsidRPr="00EC1FEE">
        <w:rPr>
          <w:sz w:val="20"/>
          <w:szCs w:val="20"/>
          <w:lang w:val="en-GB" w:bidi="he-IL"/>
        </w:rPr>
        <w:t>1.</w:t>
      </w:r>
      <w:r w:rsidRPr="00EC1FEE">
        <w:rPr>
          <w:sz w:val="20"/>
          <w:szCs w:val="20"/>
          <w:lang w:val="en-GB" w:bidi="he-IL"/>
        </w:rPr>
        <w:tab/>
        <w:t xml:space="preserve">We agree with the Committee that there is no basis to find a violation of the Covenant in the present case. The Committee does not serve as a court of final appeal, and has no reason to doubt the outcome of a criminal case, involving the application in good faith by an independent court of a criminal law provision, which the authors themselves consider to meet the requirements of article 20 of the Covenant. </w:t>
      </w:r>
    </w:p>
    <w:p w:rsidR="00AA24B7" w:rsidRPr="00EC1FEE" w:rsidRDefault="00AA24B7" w:rsidP="00834718">
      <w:pPr>
        <w:pStyle w:val="SingleTxtG"/>
        <w:adjustRightInd w:val="0"/>
        <w:snapToGrid w:val="0"/>
        <w:rPr>
          <w:sz w:val="20"/>
          <w:szCs w:val="20"/>
          <w:lang w:val="en-GB" w:bidi="he-IL"/>
        </w:rPr>
      </w:pPr>
      <w:r w:rsidRPr="00EC1FEE">
        <w:rPr>
          <w:sz w:val="20"/>
          <w:szCs w:val="20"/>
          <w:lang w:val="en-GB" w:bidi="he-IL"/>
        </w:rPr>
        <w:t>2.</w:t>
      </w:r>
      <w:r w:rsidRPr="00EC1FEE">
        <w:rPr>
          <w:sz w:val="20"/>
          <w:szCs w:val="20"/>
          <w:lang w:val="en-GB" w:bidi="he-IL"/>
        </w:rPr>
        <w:tab/>
        <w:t xml:space="preserve">We are, however, not persuaded that the Committee should have taken jurisdiction over the case to begin with, since the failure of the authors to bring civil proceedings against </w:t>
      </w:r>
      <w:r>
        <w:rPr>
          <w:sz w:val="20"/>
          <w:szCs w:val="20"/>
          <w:lang w:val="en-GB" w:bidi="he-IL"/>
        </w:rPr>
        <w:t>Mr. </w:t>
      </w:r>
      <w:r w:rsidRPr="00EC1FEE">
        <w:rPr>
          <w:sz w:val="20"/>
          <w:szCs w:val="20"/>
          <w:lang w:val="en-GB" w:bidi="he-IL"/>
        </w:rPr>
        <w:t xml:space="preserve">Wilders pursuant to </w:t>
      </w:r>
      <w:r w:rsidRPr="00EC1FEE">
        <w:rPr>
          <w:sz w:val="20"/>
          <w:szCs w:val="20"/>
          <w:lang w:val="en-GB"/>
        </w:rPr>
        <w:t xml:space="preserve">article 6:162 of the Civil Code represents in our view a failure </w:t>
      </w:r>
      <w:r w:rsidRPr="00EC1FEE">
        <w:rPr>
          <w:sz w:val="20"/>
          <w:szCs w:val="20"/>
          <w:lang w:val="en-GB" w:bidi="he-IL"/>
        </w:rPr>
        <w:t xml:space="preserve">to exhaust domestic remedies. </w:t>
      </w:r>
    </w:p>
    <w:p w:rsidR="00AA24B7" w:rsidRPr="00EC1FEE" w:rsidRDefault="00AA24B7" w:rsidP="00834718">
      <w:pPr>
        <w:pStyle w:val="SingleTxtG"/>
        <w:adjustRightInd w:val="0"/>
        <w:snapToGrid w:val="0"/>
        <w:rPr>
          <w:sz w:val="20"/>
          <w:szCs w:val="20"/>
          <w:lang w:val="en-GB" w:bidi="he-IL"/>
        </w:rPr>
      </w:pPr>
      <w:r w:rsidRPr="00EC1FEE">
        <w:rPr>
          <w:sz w:val="20"/>
          <w:szCs w:val="20"/>
          <w:lang w:val="en-GB" w:bidi="he-IL"/>
        </w:rPr>
        <w:t>3.</w:t>
      </w:r>
      <w:r w:rsidRPr="00EC1FEE">
        <w:rPr>
          <w:sz w:val="20"/>
          <w:szCs w:val="20"/>
          <w:lang w:val="en-GB" w:bidi="he-IL"/>
        </w:rPr>
        <w:tab/>
        <w:t xml:space="preserve">The majority of members took the position that the authors sought </w:t>
      </w:r>
      <w:r w:rsidRPr="00C67E38">
        <w:rPr>
          <w:sz w:val="20"/>
          <w:szCs w:val="20"/>
          <w:lang w:val="en-GB"/>
        </w:rPr>
        <w:t xml:space="preserve">that </w:t>
      </w:r>
      <w:r>
        <w:rPr>
          <w:sz w:val="20"/>
          <w:szCs w:val="20"/>
          <w:lang w:val="en-GB"/>
        </w:rPr>
        <w:t>Mr. </w:t>
      </w:r>
      <w:r w:rsidRPr="00C67E38">
        <w:rPr>
          <w:sz w:val="20"/>
          <w:szCs w:val="20"/>
          <w:lang w:val="en-GB" w:bidi="he-IL"/>
        </w:rPr>
        <w:t>Wilders’</w:t>
      </w:r>
      <w:r w:rsidRPr="00C67E38">
        <w:rPr>
          <w:sz w:val="20"/>
          <w:szCs w:val="20"/>
          <w:lang w:val="en-GB"/>
        </w:rPr>
        <w:t xml:space="preserve"> conduct be evaluated and characterised as criminal within the definition contained in section </w:t>
      </w:r>
      <w:proofErr w:type="spellStart"/>
      <w:r w:rsidRPr="00C67E38">
        <w:rPr>
          <w:sz w:val="20"/>
          <w:szCs w:val="20"/>
          <w:lang w:val="en-GB"/>
        </w:rPr>
        <w:t>137d</w:t>
      </w:r>
      <w:proofErr w:type="spellEnd"/>
      <w:r w:rsidRPr="00C67E38">
        <w:rPr>
          <w:sz w:val="20"/>
          <w:szCs w:val="20"/>
          <w:lang w:val="en-GB"/>
        </w:rPr>
        <w:t xml:space="preserve"> </w:t>
      </w:r>
      <w:r w:rsidRPr="00C67E38">
        <w:rPr>
          <w:sz w:val="20"/>
          <w:lang w:val="en-GB"/>
        </w:rPr>
        <w:t>of the Criminal Code</w:t>
      </w:r>
      <w:r w:rsidRPr="00EC1FEE">
        <w:rPr>
          <w:sz w:val="20"/>
          <w:szCs w:val="20"/>
          <w:lang w:val="en-GB"/>
        </w:rPr>
        <w:t>, and that “th</w:t>
      </w:r>
      <w:r>
        <w:rPr>
          <w:sz w:val="20"/>
          <w:szCs w:val="20"/>
          <w:lang w:val="en-GB"/>
        </w:rPr>
        <w:t>at</w:t>
      </w:r>
      <w:r w:rsidRPr="00EC1FEE">
        <w:rPr>
          <w:sz w:val="20"/>
          <w:szCs w:val="20"/>
          <w:lang w:val="en-GB"/>
        </w:rPr>
        <w:t xml:space="preserve"> determination could be obtained </w:t>
      </w:r>
      <w:r>
        <w:rPr>
          <w:sz w:val="20"/>
          <w:szCs w:val="20"/>
          <w:lang w:val="en-GB"/>
        </w:rPr>
        <w:t xml:space="preserve">only </w:t>
      </w:r>
      <w:r w:rsidRPr="00EC1FEE">
        <w:rPr>
          <w:sz w:val="20"/>
          <w:szCs w:val="20"/>
          <w:lang w:val="en-GB"/>
        </w:rPr>
        <w:t>in criminal proceedings” (para. 9.4). As a result, they were of the opinion that the initiation of separate civil proceedings by the authors would not have constituted an effective remedy. This position stands, however, in marked contrast to the holding by the Committee on the merits (para. 10.4) that article 20 of the Covenant does not expressly require criminal penalties to accompany the prohibition of incitement to discrimination, hostility of violence, and that a legal prohibition effectively enforceable by administrative or civil remedies may also meet the requirements of article 20.</w:t>
      </w:r>
      <w:r>
        <w:rPr>
          <w:rStyle w:val="a7"/>
          <w:szCs w:val="20"/>
          <w:lang w:val="en-GB"/>
        </w:rPr>
        <w:footnoteReference w:id="34"/>
      </w:r>
      <w:r w:rsidRPr="00EC1FEE">
        <w:rPr>
          <w:sz w:val="20"/>
          <w:szCs w:val="20"/>
          <w:lang w:val="en-GB"/>
        </w:rPr>
        <w:t xml:space="preserve"> </w:t>
      </w:r>
    </w:p>
    <w:p w:rsidR="00AA24B7" w:rsidRPr="00EC1FEE" w:rsidRDefault="00AA24B7" w:rsidP="00834718">
      <w:pPr>
        <w:pStyle w:val="SingleTxtG"/>
        <w:adjustRightInd w:val="0"/>
        <w:snapToGrid w:val="0"/>
        <w:rPr>
          <w:sz w:val="20"/>
          <w:szCs w:val="20"/>
          <w:lang w:val="en-GB" w:bidi="he-IL"/>
        </w:rPr>
      </w:pPr>
      <w:r w:rsidRPr="00EC1FEE">
        <w:rPr>
          <w:sz w:val="20"/>
          <w:szCs w:val="20"/>
          <w:lang w:val="en-GB" w:bidi="he-IL"/>
        </w:rPr>
        <w:t>4.</w:t>
      </w:r>
      <w:r w:rsidRPr="00EC1FEE">
        <w:rPr>
          <w:sz w:val="20"/>
          <w:szCs w:val="20"/>
          <w:lang w:val="en-GB" w:bidi="he-IL"/>
        </w:rPr>
        <w:tab/>
        <w:t xml:space="preserve">To our mind, the authors have not adequately explained why proceedings based on </w:t>
      </w:r>
      <w:r w:rsidRPr="00EC1FEE">
        <w:rPr>
          <w:sz w:val="20"/>
          <w:szCs w:val="20"/>
          <w:lang w:val="en-GB"/>
        </w:rPr>
        <w:t xml:space="preserve">article 6:162 of the Civil Code, in which civil remedies for acts contrary to article 20 of the Covenant could be sought, would not offer </w:t>
      </w:r>
      <w:r w:rsidRPr="00EC1FEE">
        <w:rPr>
          <w:sz w:val="20"/>
          <w:szCs w:val="20"/>
          <w:lang w:val="en-GB" w:bidi="he-IL"/>
        </w:rPr>
        <w:t>them</w:t>
      </w:r>
      <w:r w:rsidRPr="00EC1FEE">
        <w:rPr>
          <w:sz w:val="20"/>
          <w:szCs w:val="20"/>
          <w:lang w:val="en-GB"/>
        </w:rPr>
        <w:t xml:space="preserve"> an effective </w:t>
      </w:r>
      <w:r w:rsidRPr="00EC1FEE">
        <w:rPr>
          <w:sz w:val="20"/>
          <w:szCs w:val="20"/>
          <w:lang w:val="en-GB" w:bidi="he-IL"/>
        </w:rPr>
        <w:t>remedy</w:t>
      </w:r>
      <w:r w:rsidRPr="00EC1FEE">
        <w:rPr>
          <w:sz w:val="20"/>
          <w:szCs w:val="20"/>
          <w:lang w:val="en-GB"/>
        </w:rPr>
        <w:t xml:space="preserve"> in the particular circumstances of the case. The authors have not contested the State party’s assertion that civil proceedings may result not only in the award of monetary compensation, but may also entail a legal ban on future statements by </w:t>
      </w:r>
      <w:r>
        <w:rPr>
          <w:sz w:val="20"/>
          <w:szCs w:val="20"/>
          <w:lang w:val="en-GB"/>
        </w:rPr>
        <w:t>Mr. </w:t>
      </w:r>
      <w:r w:rsidRPr="00EC1FEE">
        <w:rPr>
          <w:sz w:val="20"/>
          <w:szCs w:val="20"/>
          <w:lang w:val="en-GB"/>
        </w:rPr>
        <w:t>Wilders and a declaratory judgment proclaiming the illegality of his statements (para. 4.4). Such a set of remedies could be deemed, in principle, a reasonable way to implement the State party’s obligations under article 20, especially when complemented by the ‘chilling effect’ achieved by the mere existence of a criminal law prohibition, which can be applied in suitable cases.</w:t>
      </w:r>
      <w:r>
        <w:rPr>
          <w:sz w:val="20"/>
          <w:szCs w:val="20"/>
          <w:lang w:val="en-GB"/>
        </w:rPr>
        <w:t xml:space="preserve"> </w:t>
      </w:r>
    </w:p>
    <w:p w:rsidR="00AA24B7" w:rsidRPr="00EC1FEE" w:rsidRDefault="00AA24B7" w:rsidP="00834718">
      <w:pPr>
        <w:pStyle w:val="SingleTxtG"/>
        <w:adjustRightInd w:val="0"/>
        <w:snapToGrid w:val="0"/>
        <w:rPr>
          <w:sz w:val="20"/>
          <w:szCs w:val="20"/>
          <w:lang w:val="en-GB" w:bidi="he-IL"/>
        </w:rPr>
      </w:pPr>
      <w:r w:rsidRPr="00EC1FEE">
        <w:rPr>
          <w:sz w:val="20"/>
          <w:szCs w:val="20"/>
          <w:lang w:val="en-GB" w:bidi="he-IL"/>
        </w:rPr>
        <w:t>5.</w:t>
      </w:r>
      <w:r w:rsidRPr="00EC1FEE">
        <w:rPr>
          <w:sz w:val="20"/>
          <w:szCs w:val="20"/>
          <w:lang w:val="en-GB" w:bidi="he-IL"/>
        </w:rPr>
        <w:tab/>
      </w:r>
      <w:r w:rsidRPr="00EC1FEE">
        <w:rPr>
          <w:sz w:val="20"/>
          <w:szCs w:val="20"/>
          <w:lang w:val="en-GB"/>
        </w:rPr>
        <w:t xml:space="preserve">Thus, the question is not, as implied by the majority, what remedies the authors </w:t>
      </w:r>
      <w:r w:rsidRPr="00EC1FEE">
        <w:rPr>
          <w:i/>
          <w:iCs/>
          <w:sz w:val="20"/>
          <w:szCs w:val="20"/>
          <w:lang w:val="en-GB"/>
        </w:rPr>
        <w:t>sought</w:t>
      </w:r>
      <w:r w:rsidRPr="00EC1FEE">
        <w:rPr>
          <w:sz w:val="20"/>
          <w:szCs w:val="20"/>
          <w:lang w:val="en-GB"/>
        </w:rPr>
        <w:t xml:space="preserve"> to achieve, but rather what effective remedies the State party made available to them for enforcing their rights under the Covenant. In the circumstances of the case, we do not consider it refuted that the remedies offered in civil proceedings were sufficiently robust to be regarded as effective to implement the State party’s article 20 obligations. In fact, the lower burden of proof </w:t>
      </w:r>
      <w:r w:rsidRPr="00EC1FEE">
        <w:rPr>
          <w:sz w:val="20"/>
          <w:szCs w:val="20"/>
          <w:lang w:val="en-GB" w:bidi="he-IL"/>
        </w:rPr>
        <w:t>applicable</w:t>
      </w:r>
      <w:r w:rsidRPr="00EC1FEE">
        <w:rPr>
          <w:sz w:val="20"/>
          <w:szCs w:val="20"/>
          <w:lang w:val="en-GB"/>
        </w:rPr>
        <w:t xml:space="preserve"> in civil proceedings (which falls short of the criminal ‘beyond reasonable doubt’ standard) may render such proceedings more effective in curbing hate speech for aggrieved individuals than the ‘aggrieved parties’ procedure pursued by the authors, which allowed them to join as civil parties the criminal case against </w:t>
      </w:r>
      <w:r>
        <w:rPr>
          <w:sz w:val="20"/>
          <w:szCs w:val="20"/>
          <w:lang w:val="en-GB"/>
        </w:rPr>
        <w:t>Mr. </w:t>
      </w:r>
      <w:r w:rsidRPr="00EC1FEE">
        <w:rPr>
          <w:sz w:val="20"/>
          <w:szCs w:val="20"/>
          <w:lang w:val="en-GB"/>
        </w:rPr>
        <w:t>Wilders.</w:t>
      </w:r>
    </w:p>
    <w:p w:rsidR="00AA24B7" w:rsidRPr="00EC1FEE" w:rsidRDefault="00AA24B7" w:rsidP="00834718">
      <w:pPr>
        <w:pStyle w:val="SingleTxtG"/>
        <w:adjustRightInd w:val="0"/>
        <w:snapToGrid w:val="0"/>
        <w:rPr>
          <w:sz w:val="20"/>
          <w:szCs w:val="20"/>
          <w:lang w:val="en-GB" w:bidi="he-IL"/>
        </w:rPr>
      </w:pPr>
      <w:r w:rsidRPr="00EC1FEE">
        <w:rPr>
          <w:sz w:val="20"/>
          <w:szCs w:val="20"/>
          <w:lang w:val="en-GB" w:bidi="he-IL"/>
        </w:rPr>
        <w:t>6.</w:t>
      </w:r>
      <w:r w:rsidRPr="00EC1FEE">
        <w:rPr>
          <w:sz w:val="20"/>
          <w:szCs w:val="20"/>
          <w:lang w:val="en-GB" w:bidi="he-IL"/>
        </w:rPr>
        <w:tab/>
      </w:r>
      <w:r w:rsidRPr="00EC1FEE">
        <w:rPr>
          <w:sz w:val="20"/>
          <w:szCs w:val="20"/>
          <w:lang w:val="en-GB"/>
        </w:rPr>
        <w:t xml:space="preserve">Finally, we wish to register our position, according to which article 20(2) of the Covenant does not create an independent human right to be protected by legislation </w:t>
      </w:r>
      <w:r w:rsidRPr="00EC1FEE">
        <w:rPr>
          <w:sz w:val="20"/>
          <w:szCs w:val="20"/>
          <w:lang w:val="en-GB" w:bidi="he-IL"/>
        </w:rPr>
        <w:t>prohibiting</w:t>
      </w:r>
      <w:r w:rsidRPr="00EC1FEE">
        <w:rPr>
          <w:sz w:val="20"/>
          <w:szCs w:val="20"/>
          <w:lang w:val="en-GB"/>
        </w:rPr>
        <w:t xml:space="preserve"> hate speech. Instead, the article imposes an obligation on States parties to pass legislation in order to protect national, </w:t>
      </w:r>
      <w:r w:rsidRPr="00EC1FEE">
        <w:rPr>
          <w:color w:val="000000"/>
          <w:sz w:val="20"/>
          <w:szCs w:val="20"/>
          <w:shd w:val="clear" w:color="auto" w:fill="FFFFFF"/>
          <w:lang w:val="en-GB" w:bidi="he-IL"/>
        </w:rPr>
        <w:t>racial or religious</w:t>
      </w:r>
      <w:r>
        <w:rPr>
          <w:color w:val="000000"/>
          <w:sz w:val="20"/>
          <w:szCs w:val="20"/>
          <w:shd w:val="clear" w:color="auto" w:fill="FFFFFF"/>
          <w:lang w:val="en-GB" w:bidi="he-IL"/>
        </w:rPr>
        <w:t xml:space="preserve"> </w:t>
      </w:r>
      <w:r w:rsidRPr="00EC1FEE">
        <w:rPr>
          <w:color w:val="000000"/>
          <w:sz w:val="20"/>
          <w:szCs w:val="20"/>
          <w:shd w:val="clear" w:color="auto" w:fill="FFFFFF"/>
          <w:lang w:val="en-GB" w:bidi="he-IL"/>
        </w:rPr>
        <w:t xml:space="preserve">groups against discrimination, </w:t>
      </w:r>
      <w:r w:rsidRPr="00EC1FEE">
        <w:rPr>
          <w:color w:val="000000"/>
          <w:sz w:val="20"/>
          <w:szCs w:val="20"/>
          <w:shd w:val="clear" w:color="auto" w:fill="FFFFFF"/>
          <w:lang w:val="en-GB" w:bidi="he-IL"/>
        </w:rPr>
        <w:lastRenderedPageBreak/>
        <w:t xml:space="preserve">hostility and violence – i.e., to prohibit an infringement of certain aspects of Covenant rights, such as articles 6 (right to life), 7 (prohibition of ill-treatment), 9 (right to security of person) and 26 (prohibition of discrimination). </w:t>
      </w:r>
    </w:p>
    <w:p w:rsidR="00AA24B7" w:rsidRPr="00EC1FEE" w:rsidRDefault="00AA24B7" w:rsidP="00834718">
      <w:pPr>
        <w:pStyle w:val="SingleTxtG"/>
        <w:adjustRightInd w:val="0"/>
        <w:snapToGrid w:val="0"/>
        <w:rPr>
          <w:sz w:val="20"/>
          <w:szCs w:val="20"/>
          <w:lang w:val="en-GB" w:bidi="he-IL"/>
        </w:rPr>
      </w:pPr>
      <w:r w:rsidRPr="00EC1FEE">
        <w:rPr>
          <w:sz w:val="20"/>
          <w:szCs w:val="20"/>
          <w:lang w:val="en-GB" w:bidi="he-IL"/>
        </w:rPr>
        <w:t>7.</w:t>
      </w:r>
      <w:r w:rsidRPr="00EC1FEE">
        <w:rPr>
          <w:sz w:val="20"/>
          <w:szCs w:val="20"/>
          <w:lang w:val="en-GB" w:bidi="he-IL"/>
        </w:rPr>
        <w:tab/>
      </w:r>
      <w:r w:rsidRPr="00EC1FEE">
        <w:rPr>
          <w:color w:val="000000"/>
          <w:sz w:val="20"/>
          <w:szCs w:val="20"/>
          <w:shd w:val="clear" w:color="auto" w:fill="FFFFFF"/>
          <w:lang w:val="en-GB" w:bidi="he-IL"/>
        </w:rPr>
        <w:t>Like in the case of article 2(2) of the Covenant,</w:t>
      </w:r>
      <w:r>
        <w:rPr>
          <w:rStyle w:val="a7"/>
          <w:color w:val="000000"/>
          <w:szCs w:val="20"/>
          <w:shd w:val="clear" w:color="auto" w:fill="FFFFFF"/>
          <w:lang w:val="en-GB" w:bidi="he-IL"/>
        </w:rPr>
        <w:footnoteReference w:id="35"/>
      </w:r>
      <w:r w:rsidRPr="00EC1FEE">
        <w:rPr>
          <w:color w:val="000000"/>
          <w:sz w:val="20"/>
          <w:szCs w:val="20"/>
          <w:shd w:val="clear" w:color="auto" w:fill="FFFFFF"/>
          <w:lang w:val="en-GB" w:bidi="he-IL"/>
        </w:rPr>
        <w:t xml:space="preserve"> which lays out a general duty to implement the Covenant through laws or other measures, we consider the obligation to </w:t>
      </w:r>
      <w:r w:rsidRPr="00EC1FEE">
        <w:rPr>
          <w:sz w:val="20"/>
          <w:szCs w:val="20"/>
          <w:lang w:val="en-GB" w:bidi="he-IL"/>
        </w:rPr>
        <w:t>pass</w:t>
      </w:r>
      <w:r w:rsidRPr="00EC1FEE">
        <w:rPr>
          <w:color w:val="000000"/>
          <w:sz w:val="20"/>
          <w:szCs w:val="20"/>
          <w:shd w:val="clear" w:color="auto" w:fill="FFFFFF"/>
          <w:lang w:val="en-GB" w:bidi="he-IL"/>
        </w:rPr>
        <w:t xml:space="preserve"> implementing legislation protecting Covenant rights a ‘second-order obligation’ incapable of creating a right for individuals that is independent of the rights which the implementing legislation purports to protect. Thus, article 20(2) merely reinforces certain aspects of Covenant rights by requiring States parties to adopt specific legislative measures to prohibit their infringement. And it is only when these other rights have actually been put at risk of infringement or actually infringed – e.g., when hate speech had been in fact uttered – that the failure by the State party to pass prohibiting legislation may have contributed to a human rights violation occurring. </w:t>
      </w:r>
    </w:p>
    <w:p w:rsidR="00AA24B7" w:rsidRPr="00EC1FEE" w:rsidRDefault="00AA24B7" w:rsidP="00834718">
      <w:pPr>
        <w:pStyle w:val="SingleTxtG"/>
        <w:adjustRightInd w:val="0"/>
        <w:snapToGrid w:val="0"/>
        <w:rPr>
          <w:sz w:val="20"/>
          <w:szCs w:val="20"/>
          <w:lang w:val="en-GB" w:bidi="he-IL"/>
        </w:rPr>
      </w:pPr>
      <w:r w:rsidRPr="00EC1FEE">
        <w:rPr>
          <w:sz w:val="20"/>
          <w:szCs w:val="20"/>
          <w:lang w:val="en-GB" w:bidi="he-IL"/>
        </w:rPr>
        <w:t>8.</w:t>
      </w:r>
      <w:r w:rsidRPr="00EC1FEE">
        <w:rPr>
          <w:sz w:val="20"/>
          <w:szCs w:val="20"/>
          <w:lang w:val="en-GB" w:bidi="he-IL"/>
        </w:rPr>
        <w:tab/>
      </w:r>
      <w:r w:rsidRPr="00EC1FEE">
        <w:rPr>
          <w:color w:val="000000"/>
          <w:sz w:val="20"/>
          <w:szCs w:val="20"/>
          <w:shd w:val="clear" w:color="auto" w:fill="FFFFFF"/>
          <w:lang w:val="en-GB" w:bidi="he-IL"/>
        </w:rPr>
        <w:t>Consequently, we are</w:t>
      </w:r>
      <w:r>
        <w:rPr>
          <w:color w:val="000000"/>
          <w:sz w:val="20"/>
          <w:szCs w:val="20"/>
          <w:shd w:val="clear" w:color="auto" w:fill="FFFFFF"/>
          <w:lang w:val="en-GB" w:bidi="he-IL"/>
        </w:rPr>
        <w:t xml:space="preserve"> </w:t>
      </w:r>
      <w:r w:rsidRPr="00EC1FEE">
        <w:rPr>
          <w:color w:val="000000"/>
          <w:sz w:val="20"/>
          <w:szCs w:val="20"/>
          <w:shd w:val="clear" w:color="auto" w:fill="FFFFFF"/>
          <w:lang w:val="en-GB" w:bidi="he-IL"/>
        </w:rPr>
        <w:t xml:space="preserve">of the view that victims of human rights violations should not be </w:t>
      </w:r>
      <w:r w:rsidRPr="00EC1FEE">
        <w:rPr>
          <w:sz w:val="20"/>
          <w:szCs w:val="20"/>
          <w:lang w:val="en-GB" w:bidi="he-IL"/>
        </w:rPr>
        <w:t>able</w:t>
      </w:r>
      <w:r w:rsidRPr="00EC1FEE">
        <w:rPr>
          <w:color w:val="000000"/>
          <w:sz w:val="20"/>
          <w:szCs w:val="20"/>
          <w:shd w:val="clear" w:color="auto" w:fill="FFFFFF"/>
          <w:lang w:val="en-GB" w:bidi="he-IL"/>
        </w:rPr>
        <w:t xml:space="preserve"> to invoke article 20(2) separately, but only in conjunction with other Covenant rights, such as articles 6, 7, 9 and 26, which the prohibiting legislation was designed to protect.</w:t>
      </w:r>
      <w:r>
        <w:rPr>
          <w:rStyle w:val="a7"/>
          <w:color w:val="000000"/>
          <w:szCs w:val="20"/>
          <w:shd w:val="clear" w:color="auto" w:fill="FFFFFF"/>
          <w:lang w:val="en-GB" w:bidi="he-IL"/>
        </w:rPr>
        <w:footnoteReference w:id="36"/>
      </w:r>
      <w:r w:rsidRPr="00EC1FEE">
        <w:rPr>
          <w:color w:val="000000"/>
          <w:sz w:val="20"/>
          <w:szCs w:val="20"/>
          <w:shd w:val="clear" w:color="auto" w:fill="FFFFFF"/>
          <w:lang w:val="en-GB" w:bidi="he-IL"/>
        </w:rPr>
        <w:t xml:space="preserve"> </w:t>
      </w:r>
    </w:p>
    <w:p w:rsidR="00AA24B7" w:rsidRDefault="00AA24B7" w:rsidP="00834718">
      <w:pPr>
        <w:pStyle w:val="SingleTxtGC"/>
        <w:tabs>
          <w:tab w:val="left" w:pos="567"/>
        </w:tabs>
        <w:rPr>
          <w:lang w:val="en-GB"/>
        </w:rPr>
        <w:sectPr w:rsidR="00AA24B7" w:rsidSect="00AA24B7">
          <w:footnotePr>
            <w:numFmt w:val="lowerLetter"/>
            <w:numRestart w:val="eachSect"/>
          </w:footnotePr>
          <w:endnotePr>
            <w:numFmt w:val="decimal"/>
          </w:endnotePr>
          <w:pgSz w:w="11906" w:h="16838" w:code="9"/>
          <w:pgMar w:top="1417" w:right="1134" w:bottom="1134" w:left="1134" w:header="850" w:footer="567" w:gutter="0"/>
          <w:cols w:space="425"/>
          <w:docGrid w:type="lines" w:linePitch="326"/>
        </w:sectPr>
      </w:pPr>
    </w:p>
    <w:p w:rsidR="00AA24B7" w:rsidRPr="00F15147" w:rsidRDefault="00AA24B7" w:rsidP="00834718">
      <w:pPr>
        <w:pStyle w:val="HChG"/>
        <w:adjustRightInd w:val="0"/>
        <w:snapToGrid w:val="0"/>
      </w:pPr>
      <w:r w:rsidRPr="00EC1FEE">
        <w:lastRenderedPageBreak/>
        <w:t>Annex IV</w:t>
      </w:r>
    </w:p>
    <w:p w:rsidR="00AA24B7" w:rsidRPr="00F15147" w:rsidRDefault="00AA24B7" w:rsidP="00834718">
      <w:pPr>
        <w:pStyle w:val="HChG"/>
        <w:adjustRightInd w:val="0"/>
        <w:snapToGrid w:val="0"/>
      </w:pPr>
      <w:r w:rsidRPr="00EC1FEE">
        <w:tab/>
      </w:r>
      <w:r w:rsidRPr="00EC1FEE">
        <w:tab/>
      </w:r>
      <w:r w:rsidRPr="00F15147">
        <w:t xml:space="preserve">Individual opinion (concurring) of Committee members Sarah Cleveland and Mauro </w:t>
      </w:r>
      <w:proofErr w:type="spellStart"/>
      <w:r w:rsidRPr="00F15147">
        <w:t>Politi</w:t>
      </w:r>
      <w:proofErr w:type="spellEnd"/>
    </w:p>
    <w:p w:rsidR="00AA24B7" w:rsidRPr="00EC1FEE" w:rsidRDefault="00AA24B7" w:rsidP="00834718">
      <w:pPr>
        <w:pStyle w:val="SingleTxtG"/>
        <w:adjustRightInd w:val="0"/>
        <w:snapToGrid w:val="0"/>
        <w:rPr>
          <w:sz w:val="20"/>
          <w:szCs w:val="20"/>
          <w:lang w:val="en-GB"/>
        </w:rPr>
      </w:pPr>
      <w:r w:rsidRPr="00EC1FEE">
        <w:rPr>
          <w:sz w:val="20"/>
          <w:szCs w:val="20"/>
          <w:lang w:val="en-GB"/>
        </w:rPr>
        <w:t>1.</w:t>
      </w:r>
      <w:r>
        <w:rPr>
          <w:sz w:val="20"/>
          <w:szCs w:val="20"/>
          <w:lang w:val="en-GB"/>
        </w:rPr>
        <w:tab/>
      </w:r>
      <w:r w:rsidRPr="00EC1FEE">
        <w:rPr>
          <w:sz w:val="20"/>
          <w:szCs w:val="20"/>
          <w:lang w:val="en-GB"/>
        </w:rPr>
        <w:t>We support the Committee’s conclusion that the Netherlands did not violate its obligations under article 2(3) in conjunction with articles 20(2) and 26 in this case.</w:t>
      </w:r>
      <w:r>
        <w:rPr>
          <w:sz w:val="20"/>
          <w:szCs w:val="20"/>
          <w:lang w:val="en-GB"/>
        </w:rPr>
        <w:t xml:space="preserve"> </w:t>
      </w:r>
      <w:r w:rsidRPr="00EC1FEE">
        <w:rPr>
          <w:sz w:val="20"/>
          <w:szCs w:val="20"/>
          <w:lang w:val="en-GB"/>
        </w:rPr>
        <w:t xml:space="preserve">As this is the first time the Committee has had occasion to address article 20(2) on the merits, we write separately to elaborate on the meaning of that provision. </w:t>
      </w:r>
    </w:p>
    <w:p w:rsidR="00AA24B7" w:rsidRPr="00EC1FEE" w:rsidRDefault="00AA24B7" w:rsidP="00834718">
      <w:pPr>
        <w:pStyle w:val="SingleTxtG"/>
        <w:adjustRightInd w:val="0"/>
        <w:snapToGrid w:val="0"/>
        <w:rPr>
          <w:sz w:val="20"/>
          <w:szCs w:val="20"/>
          <w:lang w:val="en-GB"/>
        </w:rPr>
      </w:pPr>
      <w:r w:rsidRPr="00EC1FEE">
        <w:rPr>
          <w:sz w:val="20"/>
          <w:szCs w:val="20"/>
          <w:lang w:val="en-GB"/>
        </w:rPr>
        <w:t>2.</w:t>
      </w:r>
      <w:r>
        <w:rPr>
          <w:sz w:val="20"/>
          <w:szCs w:val="20"/>
          <w:lang w:val="en-GB"/>
        </w:rPr>
        <w:tab/>
      </w:r>
      <w:r w:rsidRPr="00EC1FEE">
        <w:rPr>
          <w:sz w:val="20"/>
          <w:szCs w:val="20"/>
          <w:lang w:val="en-GB"/>
        </w:rPr>
        <w:t>Advocacy of hatred and incitement to violence, hostility and discrimination, including on grounds of race, ethnicity, religion, or nationality, has no place in a pluralistic and human rights respecting society, and should be vigorously countered.</w:t>
      </w:r>
      <w:r>
        <w:rPr>
          <w:sz w:val="20"/>
          <w:szCs w:val="20"/>
          <w:lang w:val="en-GB"/>
        </w:rPr>
        <w:t xml:space="preserve"> </w:t>
      </w:r>
      <w:r w:rsidRPr="00EC1FEE">
        <w:rPr>
          <w:sz w:val="20"/>
          <w:szCs w:val="20"/>
          <w:lang w:val="en-GB"/>
        </w:rPr>
        <w:t xml:space="preserve">It is </w:t>
      </w:r>
      <w:proofErr w:type="gramStart"/>
      <w:r w:rsidRPr="00EC1FEE">
        <w:rPr>
          <w:sz w:val="20"/>
          <w:szCs w:val="20"/>
          <w:lang w:val="en-GB"/>
        </w:rPr>
        <w:t>axiomatic,</w:t>
      </w:r>
      <w:proofErr w:type="gramEnd"/>
      <w:r w:rsidRPr="00EC1FEE">
        <w:rPr>
          <w:sz w:val="20"/>
          <w:szCs w:val="20"/>
          <w:lang w:val="en-GB"/>
        </w:rPr>
        <w:t xml:space="preserve"> however, that a human rights protective society must also tolerate speech that deeply offends.</w:t>
      </w:r>
      <w:r>
        <w:rPr>
          <w:rStyle w:val="a7"/>
          <w:szCs w:val="20"/>
          <w:lang w:val="en-GB"/>
        </w:rPr>
        <w:footnoteReference w:id="37"/>
      </w:r>
      <w:r>
        <w:rPr>
          <w:sz w:val="20"/>
          <w:szCs w:val="20"/>
          <w:lang w:val="en-GB"/>
        </w:rPr>
        <w:t xml:space="preserve"> </w:t>
      </w:r>
      <w:r w:rsidRPr="00EC1FEE">
        <w:rPr>
          <w:sz w:val="20"/>
          <w:szCs w:val="20"/>
          <w:lang w:val="en-GB"/>
        </w:rPr>
        <w:t>In addition, societies have numerous positive and negative tools available to address hateful speech.</w:t>
      </w:r>
      <w:r>
        <w:rPr>
          <w:sz w:val="20"/>
          <w:szCs w:val="20"/>
          <w:lang w:val="en-GB"/>
        </w:rPr>
        <w:t xml:space="preserve"> </w:t>
      </w:r>
      <w:r w:rsidRPr="00EC1FEE">
        <w:rPr>
          <w:sz w:val="20"/>
          <w:szCs w:val="20"/>
          <w:lang w:val="en-GB"/>
        </w:rPr>
        <w:t>To the extent that restrictions on speech are warranted, a State must employ the least restrictive means available to secure that legitimate end.</w:t>
      </w:r>
      <w:r>
        <w:rPr>
          <w:rStyle w:val="a7"/>
          <w:szCs w:val="20"/>
          <w:lang w:val="en-GB"/>
        </w:rPr>
        <w:footnoteReference w:id="38"/>
      </w:r>
    </w:p>
    <w:p w:rsidR="00AA24B7" w:rsidRPr="00EC1FEE" w:rsidRDefault="00AA24B7" w:rsidP="00834718">
      <w:pPr>
        <w:pStyle w:val="SingleTxtG"/>
        <w:adjustRightInd w:val="0"/>
        <w:snapToGrid w:val="0"/>
        <w:rPr>
          <w:sz w:val="20"/>
          <w:szCs w:val="20"/>
          <w:lang w:val="en-GB"/>
        </w:rPr>
      </w:pPr>
      <w:r w:rsidRPr="00EC1FEE">
        <w:rPr>
          <w:sz w:val="20"/>
          <w:szCs w:val="20"/>
          <w:lang w:val="en-GB"/>
        </w:rPr>
        <w:t>3.</w:t>
      </w:r>
      <w:r>
        <w:rPr>
          <w:sz w:val="20"/>
          <w:szCs w:val="20"/>
          <w:lang w:val="en-GB"/>
        </w:rPr>
        <w:tab/>
      </w:r>
      <w:r w:rsidRPr="00EC1FEE">
        <w:rPr>
          <w:sz w:val="20"/>
          <w:szCs w:val="20"/>
          <w:lang w:val="en-GB"/>
        </w:rPr>
        <w:t>Article 20(2) obligates States to “prohibit by law” the “advocacy of national, racial or religious hatred that constitutes incitement to discrimination, hostility or violence.”</w:t>
      </w:r>
      <w:r>
        <w:rPr>
          <w:sz w:val="20"/>
          <w:szCs w:val="20"/>
          <w:lang w:val="en-GB"/>
        </w:rPr>
        <w:t xml:space="preserve"> </w:t>
      </w:r>
      <w:r w:rsidRPr="00EC1FEE">
        <w:rPr>
          <w:sz w:val="20"/>
          <w:szCs w:val="20"/>
          <w:lang w:val="en-GB"/>
        </w:rPr>
        <w:t>This provision originally was drafted as one of the obligations imposed by article 19 regarding freedom of expression, and it thus relates closely to that article.</w:t>
      </w:r>
      <w:r>
        <w:rPr>
          <w:sz w:val="20"/>
          <w:szCs w:val="20"/>
          <w:lang w:val="en-GB"/>
        </w:rPr>
        <w:t xml:space="preserve"> </w:t>
      </w:r>
      <w:r w:rsidRPr="00EC1FEE">
        <w:rPr>
          <w:sz w:val="20"/>
          <w:szCs w:val="20"/>
          <w:lang w:val="en-GB"/>
        </w:rPr>
        <w:t>Moreover, the obligation to prohibit conduct by law is not unique under the Covenant.</w:t>
      </w:r>
      <w:r>
        <w:rPr>
          <w:sz w:val="20"/>
          <w:szCs w:val="20"/>
          <w:lang w:val="en-GB"/>
        </w:rPr>
        <w:t xml:space="preserve"> </w:t>
      </w:r>
      <w:r w:rsidRPr="00EC1FEE">
        <w:rPr>
          <w:sz w:val="20"/>
          <w:szCs w:val="20"/>
          <w:lang w:val="en-GB"/>
        </w:rPr>
        <w:t>Other articles likewise obligate States parties to prohibit certain conduct, including article 8(1) (obligating States parties to prohibit slavery and the slave trade), article 26 (obligating States parties to prohibit discrimination), and article 6(1) (requiring protection by law of the right to life).</w:t>
      </w:r>
      <w:r>
        <w:rPr>
          <w:sz w:val="20"/>
          <w:szCs w:val="20"/>
          <w:lang w:val="en-GB"/>
        </w:rPr>
        <w:t xml:space="preserve"> </w:t>
      </w:r>
      <w:r w:rsidRPr="00EC1FEE">
        <w:rPr>
          <w:sz w:val="20"/>
          <w:szCs w:val="20"/>
          <w:lang w:val="en-GB"/>
        </w:rPr>
        <w:t>Article 20 is unique, however, in that it requires prohibition of conduct in an area that otherwise is highly protected freedom of expression under article 19.</w:t>
      </w:r>
      <w:r>
        <w:rPr>
          <w:sz w:val="20"/>
          <w:szCs w:val="20"/>
          <w:lang w:val="en-GB"/>
        </w:rPr>
        <w:t xml:space="preserve"> </w:t>
      </w:r>
    </w:p>
    <w:p w:rsidR="00AA24B7" w:rsidRPr="00EC1FEE" w:rsidRDefault="00AA24B7" w:rsidP="00834718">
      <w:pPr>
        <w:pStyle w:val="SingleTxtG"/>
        <w:adjustRightInd w:val="0"/>
        <w:snapToGrid w:val="0"/>
        <w:rPr>
          <w:sz w:val="20"/>
          <w:szCs w:val="20"/>
          <w:lang w:val="en-GB"/>
        </w:rPr>
      </w:pPr>
      <w:r w:rsidRPr="00EC1FEE">
        <w:rPr>
          <w:sz w:val="20"/>
          <w:szCs w:val="20"/>
          <w:lang w:val="en-GB"/>
        </w:rPr>
        <w:t>4.</w:t>
      </w:r>
      <w:r>
        <w:rPr>
          <w:sz w:val="20"/>
          <w:szCs w:val="20"/>
          <w:lang w:val="en-GB"/>
        </w:rPr>
        <w:tab/>
      </w:r>
      <w:r w:rsidRPr="00EC1FEE">
        <w:rPr>
          <w:sz w:val="20"/>
          <w:szCs w:val="20"/>
          <w:lang w:val="en-GB"/>
        </w:rPr>
        <w:t>For this reason, article 20(2) is narrowly circumscribed and sets a high bar for the expression that must be prohibited.</w:t>
      </w:r>
      <w:r>
        <w:rPr>
          <w:sz w:val="20"/>
          <w:szCs w:val="20"/>
          <w:lang w:val="en-GB"/>
        </w:rPr>
        <w:t xml:space="preserve"> </w:t>
      </w:r>
      <w:r w:rsidRPr="00EC1FEE">
        <w:rPr>
          <w:sz w:val="20"/>
          <w:szCs w:val="20"/>
          <w:lang w:val="en-GB"/>
        </w:rPr>
        <w:t>On its face, Article 20(2) does not require legal prohibition of all “</w:t>
      </w:r>
      <w:r w:rsidRPr="00EC1FEE">
        <w:rPr>
          <w:i/>
          <w:sz w:val="20"/>
          <w:szCs w:val="20"/>
          <w:lang w:val="en-GB"/>
        </w:rPr>
        <w:t>advocacy</w:t>
      </w:r>
      <w:r w:rsidRPr="00EC1FEE">
        <w:rPr>
          <w:sz w:val="20"/>
          <w:szCs w:val="20"/>
          <w:lang w:val="en-GB"/>
        </w:rPr>
        <w:t xml:space="preserve"> of national, racial or religious hatred,” but only of such advocacy that also “constitutes </w:t>
      </w:r>
      <w:r w:rsidRPr="00EC1FEE">
        <w:rPr>
          <w:i/>
          <w:sz w:val="20"/>
          <w:szCs w:val="20"/>
          <w:lang w:val="en-GB"/>
        </w:rPr>
        <w:t>incitement</w:t>
      </w:r>
      <w:r w:rsidRPr="00EC1FEE">
        <w:rPr>
          <w:sz w:val="20"/>
          <w:szCs w:val="20"/>
          <w:lang w:val="en-GB"/>
        </w:rPr>
        <w:t xml:space="preserve"> to discrimination, hostility or violence.”</w:t>
      </w:r>
      <w:r>
        <w:rPr>
          <w:rStyle w:val="a7"/>
          <w:szCs w:val="20"/>
          <w:lang w:val="en-GB"/>
        </w:rPr>
        <w:footnoteReference w:id="39"/>
      </w:r>
      <w:r w:rsidRPr="00EC1FEE">
        <w:rPr>
          <w:sz w:val="20"/>
          <w:szCs w:val="20"/>
          <w:vertAlign w:val="superscript"/>
          <w:lang w:val="en-GB"/>
        </w:rPr>
        <w:t xml:space="preserve"> </w:t>
      </w:r>
      <w:r w:rsidRPr="00EC1FEE">
        <w:rPr>
          <w:sz w:val="20"/>
          <w:szCs w:val="20"/>
          <w:lang w:val="en-GB"/>
        </w:rPr>
        <w:t>In other words, advocacy of national, racial or religious hatred alone is not sufficient. It must also have the intention of</w:t>
      </w:r>
      <w:r w:rsidRPr="00EC1FEE">
        <w:rPr>
          <w:i/>
          <w:sz w:val="20"/>
          <w:szCs w:val="20"/>
          <w:lang w:val="en-GB"/>
        </w:rPr>
        <w:t xml:space="preserve"> </w:t>
      </w:r>
      <w:r w:rsidRPr="00EC1FEE">
        <w:rPr>
          <w:sz w:val="20"/>
          <w:szCs w:val="20"/>
          <w:lang w:val="en-GB"/>
        </w:rPr>
        <w:t>inciting to discrimination, hostility or violence.</w:t>
      </w:r>
      <w:r>
        <w:rPr>
          <w:rStyle w:val="a7"/>
          <w:szCs w:val="20"/>
          <w:lang w:val="en-GB"/>
        </w:rPr>
        <w:footnoteReference w:id="40"/>
      </w:r>
      <w:r w:rsidRPr="00EC1FEE">
        <w:rPr>
          <w:sz w:val="20"/>
          <w:szCs w:val="20"/>
          <w:lang w:val="en-GB"/>
        </w:rPr>
        <w:t xml:space="preserve"> Article 20(2) thus is distinctly more limited than article 4 of the </w:t>
      </w:r>
      <w:r w:rsidRPr="002F5250">
        <w:rPr>
          <w:sz w:val="20"/>
          <w:szCs w:val="20"/>
          <w:lang w:val="en-GB"/>
        </w:rPr>
        <w:t>Internationa</w:t>
      </w:r>
      <w:r>
        <w:rPr>
          <w:sz w:val="20"/>
          <w:szCs w:val="20"/>
          <w:lang w:val="en-GB"/>
        </w:rPr>
        <w:t>l</w:t>
      </w:r>
      <w:r w:rsidRPr="002F5250">
        <w:rPr>
          <w:sz w:val="20"/>
          <w:szCs w:val="20"/>
          <w:lang w:val="en-GB"/>
        </w:rPr>
        <w:t xml:space="preserve"> </w:t>
      </w:r>
      <w:r w:rsidRPr="00EC1FEE">
        <w:rPr>
          <w:sz w:val="20"/>
          <w:szCs w:val="20"/>
          <w:lang w:val="en-GB"/>
        </w:rPr>
        <w:t xml:space="preserve">Convention on the Elimination of </w:t>
      </w:r>
      <w:r>
        <w:rPr>
          <w:sz w:val="20"/>
          <w:szCs w:val="20"/>
          <w:lang w:val="en-GB"/>
        </w:rPr>
        <w:t>A</w:t>
      </w:r>
      <w:r w:rsidRPr="00EC1FEE">
        <w:rPr>
          <w:sz w:val="20"/>
          <w:szCs w:val="20"/>
          <w:lang w:val="en-GB"/>
        </w:rPr>
        <w:t xml:space="preserve">ll </w:t>
      </w:r>
      <w:r>
        <w:rPr>
          <w:sz w:val="20"/>
          <w:szCs w:val="20"/>
          <w:lang w:val="en-GB"/>
        </w:rPr>
        <w:t>F</w:t>
      </w:r>
      <w:r w:rsidRPr="00EC1FEE">
        <w:rPr>
          <w:sz w:val="20"/>
          <w:szCs w:val="20"/>
          <w:lang w:val="en-GB"/>
        </w:rPr>
        <w:t>orms of Racial Discrimination (</w:t>
      </w:r>
      <w:proofErr w:type="spellStart"/>
      <w:r w:rsidRPr="00EC1FEE">
        <w:rPr>
          <w:sz w:val="20"/>
          <w:szCs w:val="20"/>
          <w:lang w:val="en-GB"/>
        </w:rPr>
        <w:t>CERD</w:t>
      </w:r>
      <w:proofErr w:type="spellEnd"/>
      <w:r w:rsidRPr="00EC1FEE">
        <w:rPr>
          <w:sz w:val="20"/>
          <w:szCs w:val="20"/>
          <w:lang w:val="en-GB"/>
        </w:rPr>
        <w:t xml:space="preserve">), which obligates States parties, </w:t>
      </w:r>
      <w:r w:rsidRPr="00F15147">
        <w:rPr>
          <w:iCs/>
          <w:sz w:val="20"/>
          <w:szCs w:val="20"/>
          <w:lang w:val="en-GB"/>
        </w:rPr>
        <w:t>inter alia</w:t>
      </w:r>
      <w:r>
        <w:rPr>
          <w:sz w:val="20"/>
          <w:szCs w:val="20"/>
          <w:lang w:val="en-GB"/>
        </w:rPr>
        <w:t>, to </w:t>
      </w:r>
      <w:r w:rsidRPr="00EC1FEE">
        <w:rPr>
          <w:sz w:val="20"/>
          <w:szCs w:val="20"/>
          <w:lang w:val="en-GB"/>
        </w:rPr>
        <w:t xml:space="preserve">punish “dissemination of ideas based on racial superiority or hatred”. Moreover, as this Committee correctly notes, not all the conduct that falls within the scope of article 20(2) </w:t>
      </w:r>
      <w:r w:rsidRPr="00EC1FEE">
        <w:rPr>
          <w:sz w:val="20"/>
          <w:szCs w:val="20"/>
          <w:lang w:val="en-GB"/>
        </w:rPr>
        <w:lastRenderedPageBreak/>
        <w:t>must be criminalized. The obligation is to “prohibit by law,” and civil or administrative sanctions can suffice (para. 10.4).</w:t>
      </w:r>
      <w:r>
        <w:rPr>
          <w:rStyle w:val="a7"/>
          <w:szCs w:val="20"/>
          <w:lang w:val="en-GB"/>
        </w:rPr>
        <w:footnoteReference w:id="41"/>
      </w:r>
      <w:r w:rsidRPr="00EC1FEE">
        <w:rPr>
          <w:sz w:val="20"/>
          <w:szCs w:val="20"/>
          <w:lang w:val="en-GB"/>
        </w:rPr>
        <w:t xml:space="preserve"> </w:t>
      </w:r>
    </w:p>
    <w:p w:rsidR="00AA24B7" w:rsidRPr="00EC1FEE" w:rsidRDefault="00AA24B7" w:rsidP="00834718">
      <w:pPr>
        <w:pStyle w:val="SingleTxtG"/>
        <w:adjustRightInd w:val="0"/>
        <w:snapToGrid w:val="0"/>
        <w:rPr>
          <w:sz w:val="20"/>
          <w:szCs w:val="20"/>
          <w:lang w:val="en-GB"/>
        </w:rPr>
      </w:pPr>
      <w:r w:rsidRPr="00EC1FEE">
        <w:rPr>
          <w:sz w:val="20"/>
          <w:szCs w:val="20"/>
          <w:lang w:val="en-GB"/>
        </w:rPr>
        <w:t>5.</w:t>
      </w:r>
      <w:r>
        <w:rPr>
          <w:sz w:val="20"/>
          <w:szCs w:val="20"/>
          <w:lang w:val="en-GB"/>
        </w:rPr>
        <w:tab/>
      </w:r>
      <w:r w:rsidRPr="00EC1FEE">
        <w:rPr>
          <w:sz w:val="20"/>
          <w:szCs w:val="20"/>
          <w:lang w:val="en-GB"/>
        </w:rPr>
        <w:t xml:space="preserve">It is uncontested in this case that both civil and criminal sanctions were available to address </w:t>
      </w:r>
      <w:r>
        <w:rPr>
          <w:sz w:val="20"/>
          <w:szCs w:val="20"/>
          <w:lang w:val="en-GB"/>
        </w:rPr>
        <w:t>Mr. </w:t>
      </w:r>
      <w:r w:rsidRPr="00EC1FEE">
        <w:rPr>
          <w:sz w:val="20"/>
          <w:szCs w:val="20"/>
          <w:lang w:val="en-GB"/>
        </w:rPr>
        <w:t>Wilders’ conduct under Dutch law.</w:t>
      </w:r>
      <w:r>
        <w:rPr>
          <w:sz w:val="20"/>
          <w:szCs w:val="20"/>
          <w:lang w:val="en-GB"/>
        </w:rPr>
        <w:t xml:space="preserve"> </w:t>
      </w:r>
      <w:r w:rsidRPr="00EC1FEE">
        <w:rPr>
          <w:sz w:val="20"/>
          <w:szCs w:val="20"/>
          <w:lang w:val="en-GB"/>
        </w:rPr>
        <w:t xml:space="preserve">Indeed, the State party had established three means for sanctioning </w:t>
      </w:r>
      <w:r>
        <w:rPr>
          <w:sz w:val="20"/>
          <w:szCs w:val="20"/>
          <w:lang w:val="en-GB"/>
        </w:rPr>
        <w:t>Mr. </w:t>
      </w:r>
      <w:r w:rsidRPr="00EC1FEE">
        <w:rPr>
          <w:sz w:val="20"/>
          <w:szCs w:val="20"/>
          <w:lang w:val="en-GB"/>
        </w:rPr>
        <w:t>Wilders’ statements:</w:t>
      </w:r>
      <w:r>
        <w:rPr>
          <w:sz w:val="20"/>
          <w:szCs w:val="20"/>
          <w:lang w:val="en-GB"/>
        </w:rPr>
        <w:t xml:space="preserve"> </w:t>
      </w:r>
      <w:r w:rsidRPr="00EC1FEE">
        <w:rPr>
          <w:sz w:val="20"/>
          <w:szCs w:val="20"/>
          <w:lang w:val="en-GB"/>
        </w:rPr>
        <w:t xml:space="preserve">criminal prosecution under articles </w:t>
      </w:r>
      <w:proofErr w:type="spellStart"/>
      <w:r w:rsidRPr="00EC1FEE">
        <w:rPr>
          <w:sz w:val="20"/>
          <w:szCs w:val="20"/>
          <w:lang w:val="en-GB"/>
        </w:rPr>
        <w:t>137c</w:t>
      </w:r>
      <w:proofErr w:type="spellEnd"/>
      <w:r w:rsidRPr="00EC1FEE">
        <w:rPr>
          <w:sz w:val="20"/>
          <w:szCs w:val="20"/>
          <w:lang w:val="en-GB"/>
        </w:rPr>
        <w:t xml:space="preserve"> and d of the Criminal Code, as well as two forms of a civil remedies – a civil claim under article 6:162 of the Civil Code, and an </w:t>
      </w:r>
      <w:r w:rsidRPr="00EC1FEE">
        <w:rPr>
          <w:i/>
          <w:sz w:val="20"/>
          <w:szCs w:val="20"/>
          <w:lang w:val="en-GB"/>
        </w:rPr>
        <w:t xml:space="preserve">action </w:t>
      </w:r>
      <w:proofErr w:type="spellStart"/>
      <w:r w:rsidRPr="00EC1FEE">
        <w:rPr>
          <w:i/>
          <w:sz w:val="20"/>
          <w:szCs w:val="20"/>
          <w:lang w:val="en-GB"/>
        </w:rPr>
        <w:t>civile</w:t>
      </w:r>
      <w:proofErr w:type="spellEnd"/>
      <w:r w:rsidRPr="00EC1FEE">
        <w:rPr>
          <w:sz w:val="20"/>
          <w:szCs w:val="20"/>
          <w:lang w:val="en-GB"/>
        </w:rPr>
        <w:t xml:space="preserve"> appended to a criminal prosecution under section 51(a) and (f) of the Code of Criminal Procedure.</w:t>
      </w:r>
      <w:r>
        <w:rPr>
          <w:sz w:val="20"/>
          <w:szCs w:val="20"/>
          <w:lang w:val="en-GB"/>
        </w:rPr>
        <w:t xml:space="preserve"> </w:t>
      </w:r>
      <w:r w:rsidRPr="00EC1FEE">
        <w:rPr>
          <w:sz w:val="20"/>
          <w:szCs w:val="20"/>
          <w:lang w:val="en-GB"/>
        </w:rPr>
        <w:t xml:space="preserve">The authors in this case chose to attempt to support a criminal judgment against </w:t>
      </w:r>
      <w:r>
        <w:rPr>
          <w:sz w:val="20"/>
          <w:szCs w:val="20"/>
          <w:lang w:val="en-GB"/>
        </w:rPr>
        <w:t>Mr. </w:t>
      </w:r>
      <w:r w:rsidRPr="00EC1FEE">
        <w:rPr>
          <w:sz w:val="20"/>
          <w:szCs w:val="20"/>
          <w:lang w:val="en-GB"/>
        </w:rPr>
        <w:t xml:space="preserve">Wilders by appending an </w:t>
      </w:r>
      <w:r w:rsidRPr="00EC1FEE">
        <w:rPr>
          <w:i/>
          <w:sz w:val="20"/>
          <w:szCs w:val="20"/>
          <w:lang w:val="en-GB"/>
        </w:rPr>
        <w:t xml:space="preserve">action </w:t>
      </w:r>
      <w:proofErr w:type="spellStart"/>
      <w:r w:rsidRPr="00EC1FEE">
        <w:rPr>
          <w:i/>
          <w:sz w:val="20"/>
          <w:szCs w:val="20"/>
          <w:lang w:val="en-GB"/>
        </w:rPr>
        <w:t>civile</w:t>
      </w:r>
      <w:proofErr w:type="spellEnd"/>
      <w:r w:rsidRPr="00EC1FEE">
        <w:rPr>
          <w:sz w:val="20"/>
          <w:szCs w:val="20"/>
          <w:lang w:val="en-GB"/>
        </w:rPr>
        <w:t xml:space="preserve"> to the criminal prosecution – a form of domestic remedy that the Committee makes clear is not required by the Covenant (para. 10.3).</w:t>
      </w:r>
      <w:r>
        <w:rPr>
          <w:sz w:val="20"/>
          <w:szCs w:val="20"/>
          <w:lang w:val="en-GB"/>
        </w:rPr>
        <w:t xml:space="preserve"> </w:t>
      </w:r>
      <w:r w:rsidRPr="00EC1FEE">
        <w:rPr>
          <w:sz w:val="20"/>
          <w:szCs w:val="20"/>
          <w:lang w:val="en-GB"/>
        </w:rPr>
        <w:t>In so doing, the authors pursued the most difficult path to a potential remedy.</w:t>
      </w:r>
      <w:r>
        <w:rPr>
          <w:sz w:val="20"/>
          <w:szCs w:val="20"/>
          <w:lang w:val="en-GB"/>
        </w:rPr>
        <w:t xml:space="preserve"> </w:t>
      </w:r>
      <w:r w:rsidRPr="00EC1FEE">
        <w:rPr>
          <w:sz w:val="20"/>
          <w:szCs w:val="20"/>
          <w:lang w:val="en-GB"/>
        </w:rPr>
        <w:t xml:space="preserve">Under the domestic law of the Netherlands, pursuit of an </w:t>
      </w:r>
      <w:r w:rsidRPr="00EC1FEE">
        <w:rPr>
          <w:i/>
          <w:sz w:val="20"/>
          <w:szCs w:val="20"/>
          <w:lang w:val="en-GB"/>
        </w:rPr>
        <w:t xml:space="preserve">action </w:t>
      </w:r>
      <w:proofErr w:type="spellStart"/>
      <w:r w:rsidRPr="00EC1FEE">
        <w:rPr>
          <w:i/>
          <w:sz w:val="20"/>
          <w:szCs w:val="20"/>
          <w:lang w:val="en-GB"/>
        </w:rPr>
        <w:t>civile</w:t>
      </w:r>
      <w:proofErr w:type="spellEnd"/>
      <w:r w:rsidRPr="00EC1FEE">
        <w:rPr>
          <w:sz w:val="20"/>
          <w:szCs w:val="20"/>
          <w:lang w:val="en-GB"/>
        </w:rPr>
        <w:t xml:space="preserve"> is dependent on the success of the underlying criminal prosecution, and the parties to an </w:t>
      </w:r>
      <w:r w:rsidRPr="00EC1FEE">
        <w:rPr>
          <w:i/>
          <w:sz w:val="20"/>
          <w:szCs w:val="20"/>
          <w:lang w:val="en-GB"/>
        </w:rPr>
        <w:t xml:space="preserve">action </w:t>
      </w:r>
      <w:proofErr w:type="spellStart"/>
      <w:r w:rsidRPr="00EC1FEE">
        <w:rPr>
          <w:i/>
          <w:sz w:val="20"/>
          <w:szCs w:val="20"/>
          <w:lang w:val="en-GB"/>
        </w:rPr>
        <w:t>civile</w:t>
      </w:r>
      <w:proofErr w:type="spellEnd"/>
      <w:r w:rsidRPr="00EC1FEE">
        <w:rPr>
          <w:sz w:val="20"/>
          <w:szCs w:val="20"/>
          <w:lang w:val="en-GB"/>
        </w:rPr>
        <w:t xml:space="preserve"> are circumscribed in their ability to participate in the criminal proceedings, for reasons the State party explains.</w:t>
      </w:r>
      <w:r>
        <w:rPr>
          <w:sz w:val="20"/>
          <w:szCs w:val="20"/>
          <w:lang w:val="en-GB"/>
        </w:rPr>
        <w:t xml:space="preserve"> </w:t>
      </w:r>
      <w:r w:rsidRPr="00EC1FEE">
        <w:rPr>
          <w:sz w:val="20"/>
          <w:szCs w:val="20"/>
          <w:lang w:val="en-GB"/>
        </w:rPr>
        <w:t>Moreover, securing a criminal conviction requires a higher standard of proof – beyond a reasonable doubt or its equivalent</w:t>
      </w:r>
      <w:r>
        <w:rPr>
          <w:rStyle w:val="a7"/>
          <w:szCs w:val="20"/>
          <w:lang w:val="en-GB"/>
        </w:rPr>
        <w:footnoteReference w:id="42"/>
      </w:r>
      <w:r w:rsidRPr="00EC1FEE">
        <w:rPr>
          <w:sz w:val="20"/>
          <w:szCs w:val="20"/>
          <w:lang w:val="en-GB"/>
        </w:rPr>
        <w:t xml:space="preserve"> – and generally a more demanding </w:t>
      </w:r>
      <w:proofErr w:type="spellStart"/>
      <w:r w:rsidRPr="00EC1FEE">
        <w:rPr>
          <w:i/>
          <w:sz w:val="20"/>
          <w:szCs w:val="20"/>
          <w:lang w:val="en-GB"/>
        </w:rPr>
        <w:t>mens</w:t>
      </w:r>
      <w:proofErr w:type="spellEnd"/>
      <w:r w:rsidRPr="00EC1FEE">
        <w:rPr>
          <w:i/>
          <w:sz w:val="20"/>
          <w:szCs w:val="20"/>
          <w:lang w:val="en-GB"/>
        </w:rPr>
        <w:t xml:space="preserve"> rea</w:t>
      </w:r>
      <w:r w:rsidRPr="00EC1FEE">
        <w:rPr>
          <w:sz w:val="20"/>
          <w:szCs w:val="20"/>
          <w:lang w:val="en-GB"/>
        </w:rPr>
        <w:t xml:space="preserve">, than a civil proceeding. Finally, it is well established under the Committee’s jurisprudence that no individual is entitled to secure the </w:t>
      </w:r>
      <w:r w:rsidRPr="00EC1FEE">
        <w:rPr>
          <w:i/>
          <w:sz w:val="20"/>
          <w:szCs w:val="20"/>
          <w:lang w:val="en-GB"/>
        </w:rPr>
        <w:t>prosecution</w:t>
      </w:r>
      <w:r w:rsidRPr="00EC1FEE">
        <w:rPr>
          <w:sz w:val="20"/>
          <w:szCs w:val="20"/>
          <w:lang w:val="en-GB"/>
        </w:rPr>
        <w:t xml:space="preserve"> of a particular person as a remedy for a violation of the Covenant.</w:t>
      </w:r>
      <w:r>
        <w:rPr>
          <w:sz w:val="20"/>
          <w:szCs w:val="20"/>
          <w:lang w:val="en-GB"/>
        </w:rPr>
        <w:t xml:space="preserve"> </w:t>
      </w:r>
      <w:r w:rsidRPr="00EC1FEE">
        <w:rPr>
          <w:sz w:val="20"/>
          <w:szCs w:val="20"/>
          <w:lang w:val="en-GB"/>
        </w:rPr>
        <w:t xml:space="preserve">The Committee has made equally clear, </w:t>
      </w:r>
      <w:r w:rsidRPr="00EC1FEE">
        <w:rPr>
          <w:i/>
          <w:sz w:val="20"/>
          <w:szCs w:val="20"/>
          <w:lang w:val="en-GB"/>
        </w:rPr>
        <w:t>ipso facto,</w:t>
      </w:r>
      <w:r w:rsidRPr="00EC1FEE">
        <w:rPr>
          <w:sz w:val="20"/>
          <w:szCs w:val="20"/>
          <w:lang w:val="en-GB"/>
        </w:rPr>
        <w:t xml:space="preserve"> that no person is entitled to secure the criminal </w:t>
      </w:r>
      <w:r w:rsidRPr="00EC1FEE">
        <w:rPr>
          <w:i/>
          <w:sz w:val="20"/>
          <w:szCs w:val="20"/>
          <w:lang w:val="en-GB"/>
        </w:rPr>
        <w:t xml:space="preserve">conviction </w:t>
      </w:r>
      <w:r w:rsidRPr="00EC1FEE">
        <w:rPr>
          <w:sz w:val="20"/>
          <w:szCs w:val="20"/>
          <w:lang w:val="en-GB"/>
        </w:rPr>
        <w:t>of another person</w:t>
      </w:r>
      <w:r>
        <w:rPr>
          <w:sz w:val="20"/>
          <w:szCs w:val="20"/>
          <w:lang w:val="en-GB"/>
        </w:rPr>
        <w:t>.</w:t>
      </w:r>
      <w:r>
        <w:rPr>
          <w:rStyle w:val="a7"/>
          <w:szCs w:val="20"/>
          <w:lang w:val="en-GB"/>
        </w:rPr>
        <w:footnoteReference w:id="43"/>
      </w:r>
    </w:p>
    <w:p w:rsidR="00AA24B7" w:rsidRPr="00EC1FEE" w:rsidRDefault="00AA24B7" w:rsidP="00834718">
      <w:pPr>
        <w:pStyle w:val="SingleTxtG"/>
        <w:adjustRightInd w:val="0"/>
        <w:snapToGrid w:val="0"/>
        <w:rPr>
          <w:sz w:val="20"/>
          <w:szCs w:val="20"/>
          <w:lang w:val="en-GB"/>
        </w:rPr>
      </w:pPr>
      <w:r w:rsidRPr="00EC1FEE">
        <w:rPr>
          <w:sz w:val="20"/>
          <w:szCs w:val="20"/>
          <w:lang w:val="en-GB"/>
        </w:rPr>
        <w:t>6.</w:t>
      </w:r>
      <w:r>
        <w:rPr>
          <w:sz w:val="20"/>
          <w:szCs w:val="20"/>
          <w:lang w:val="en-GB"/>
        </w:rPr>
        <w:tab/>
      </w:r>
      <w:r w:rsidRPr="00EC1FEE">
        <w:rPr>
          <w:sz w:val="20"/>
          <w:szCs w:val="20"/>
          <w:lang w:val="en-GB"/>
        </w:rPr>
        <w:t>The Committee has not defined what constitutes either “advocacy” of hatred or “incitement” to discrimination, hostility or violence.</w:t>
      </w:r>
      <w:r>
        <w:rPr>
          <w:sz w:val="20"/>
          <w:szCs w:val="20"/>
          <w:lang w:val="en-GB"/>
        </w:rPr>
        <w:t xml:space="preserve"> </w:t>
      </w:r>
      <w:r w:rsidRPr="00EC1FEE">
        <w:rPr>
          <w:sz w:val="20"/>
          <w:szCs w:val="20"/>
          <w:lang w:val="en-GB"/>
        </w:rPr>
        <w:t>Nor has the Committee specifically addressed what conduct should be understood as potentially warranting criminal penalties under article 20(2).</w:t>
      </w:r>
      <w:r>
        <w:rPr>
          <w:rStyle w:val="a7"/>
          <w:szCs w:val="20"/>
          <w:lang w:val="en-GB"/>
        </w:rPr>
        <w:footnoteReference w:id="44"/>
      </w:r>
      <w:r>
        <w:rPr>
          <w:sz w:val="20"/>
          <w:szCs w:val="20"/>
          <w:lang w:val="en-GB"/>
        </w:rPr>
        <w:t xml:space="preserve"> </w:t>
      </w:r>
      <w:r w:rsidRPr="00EC1FEE">
        <w:rPr>
          <w:sz w:val="20"/>
          <w:szCs w:val="20"/>
          <w:lang w:val="en-GB"/>
        </w:rPr>
        <w:t>Dutch law, however, criminally implements the concept of “incitement” under article 20(2) by punishing “inflammatory behaviour that incites the commission of criminal offences or acts of violence” (para. 6.9). The authors do not contest this standard as a proper implementation of article 20(2).</w:t>
      </w:r>
      <w:r>
        <w:rPr>
          <w:sz w:val="20"/>
          <w:szCs w:val="20"/>
          <w:lang w:val="en-GB"/>
        </w:rPr>
        <w:t xml:space="preserve"> </w:t>
      </w:r>
    </w:p>
    <w:p w:rsidR="00AA24B7" w:rsidRPr="00EC1FEE" w:rsidRDefault="00AA24B7" w:rsidP="00834718">
      <w:pPr>
        <w:pStyle w:val="SingleTxtG"/>
        <w:adjustRightInd w:val="0"/>
        <w:snapToGrid w:val="0"/>
        <w:rPr>
          <w:sz w:val="20"/>
          <w:szCs w:val="20"/>
          <w:lang w:val="en-GB"/>
        </w:rPr>
      </w:pPr>
      <w:r w:rsidRPr="00EC1FEE">
        <w:rPr>
          <w:sz w:val="20"/>
          <w:szCs w:val="20"/>
          <w:lang w:val="en-GB"/>
        </w:rPr>
        <w:t>7.</w:t>
      </w:r>
      <w:r>
        <w:rPr>
          <w:sz w:val="20"/>
          <w:szCs w:val="20"/>
          <w:lang w:val="en-GB"/>
        </w:rPr>
        <w:tab/>
      </w:r>
      <w:r w:rsidRPr="00EC1FEE">
        <w:rPr>
          <w:sz w:val="20"/>
          <w:szCs w:val="20"/>
          <w:lang w:val="en-GB"/>
        </w:rPr>
        <w:t>Requiring incitement of “criminal offences or acts of violence” for imposition of criminal penalties under article 20(2) is consistent with the article 19 jurisprudence of this Committee, which urges great caution in the imposition of criminal penalties that punish speech. The Committee accordingly has called on states to decriminalize defamation, and has concluded that, without more, “laws that penalize the expression of opinions about historical facts are incompatible” with Covenant obligations regarding freedom of opinion and expression.</w:t>
      </w:r>
      <w:r>
        <w:rPr>
          <w:rStyle w:val="a7"/>
          <w:szCs w:val="20"/>
          <w:lang w:val="en-GB"/>
        </w:rPr>
        <w:footnoteReference w:id="45"/>
      </w:r>
      <w:r w:rsidRPr="00EC1FEE">
        <w:rPr>
          <w:sz w:val="20"/>
          <w:szCs w:val="20"/>
          <w:lang w:val="en-GB"/>
        </w:rPr>
        <w:t xml:space="preserve"> Limiting criminal penalties to speech that incites the commission of </w:t>
      </w:r>
      <w:r w:rsidRPr="00EC1FEE">
        <w:rPr>
          <w:sz w:val="20"/>
          <w:szCs w:val="20"/>
          <w:lang w:val="en-GB"/>
        </w:rPr>
        <w:lastRenderedPageBreak/>
        <w:t>criminal offences or acts of violence</w:t>
      </w:r>
      <w:r w:rsidRPr="00EC1FEE">
        <w:rPr>
          <w:rStyle w:val="a7"/>
          <w:sz w:val="20"/>
          <w:szCs w:val="20"/>
          <w:lang w:val="en-GB"/>
        </w:rPr>
        <w:t xml:space="preserve"> </w:t>
      </w:r>
      <w:r w:rsidRPr="00EC1FEE">
        <w:rPr>
          <w:sz w:val="20"/>
          <w:szCs w:val="20"/>
          <w:lang w:val="en-GB"/>
        </w:rPr>
        <w:t>is also consistent with the positions of other human rights bodies</w:t>
      </w:r>
      <w:r>
        <w:rPr>
          <w:sz w:val="20"/>
          <w:szCs w:val="20"/>
          <w:lang w:val="en-GB"/>
        </w:rPr>
        <w:t>.</w:t>
      </w:r>
      <w:r>
        <w:rPr>
          <w:rStyle w:val="a7"/>
          <w:szCs w:val="20"/>
          <w:lang w:val="en-GB"/>
        </w:rPr>
        <w:footnoteReference w:id="46"/>
      </w:r>
    </w:p>
    <w:p w:rsidR="00AA24B7" w:rsidRPr="00EC1FEE" w:rsidRDefault="00AA24B7" w:rsidP="00834718">
      <w:pPr>
        <w:pStyle w:val="SingleTxtG"/>
        <w:adjustRightInd w:val="0"/>
        <w:snapToGrid w:val="0"/>
        <w:rPr>
          <w:sz w:val="20"/>
          <w:szCs w:val="20"/>
          <w:lang w:val="en-GB"/>
        </w:rPr>
      </w:pPr>
      <w:r w:rsidRPr="00EC1FEE">
        <w:rPr>
          <w:sz w:val="20"/>
          <w:szCs w:val="20"/>
          <w:lang w:val="en-GB"/>
        </w:rPr>
        <w:t>8.</w:t>
      </w:r>
      <w:r>
        <w:rPr>
          <w:sz w:val="20"/>
          <w:szCs w:val="20"/>
          <w:lang w:val="en-GB"/>
        </w:rPr>
        <w:tab/>
      </w:r>
      <w:r w:rsidRPr="00EC1FEE">
        <w:rPr>
          <w:sz w:val="20"/>
          <w:szCs w:val="20"/>
          <w:lang w:val="en-GB"/>
        </w:rPr>
        <w:t xml:space="preserve">Such a restrictive standard for imposing criminal punishment is also appropriate. As the UN, </w:t>
      </w:r>
      <w:proofErr w:type="spellStart"/>
      <w:r w:rsidRPr="00EC1FEE">
        <w:rPr>
          <w:sz w:val="20"/>
          <w:szCs w:val="20"/>
          <w:lang w:val="en-GB"/>
        </w:rPr>
        <w:t>OSCE</w:t>
      </w:r>
      <w:proofErr w:type="spellEnd"/>
      <w:r w:rsidRPr="00EC1FEE">
        <w:rPr>
          <w:sz w:val="20"/>
          <w:szCs w:val="20"/>
          <w:lang w:val="en-GB"/>
        </w:rPr>
        <w:t>, and OAS Special Rapporteurs have observed, “[</w:t>
      </w:r>
      <w:proofErr w:type="spellStart"/>
      <w:r w:rsidRPr="00EC1FEE">
        <w:rPr>
          <w:sz w:val="20"/>
          <w:szCs w:val="20"/>
          <w:lang w:val="en-GB"/>
        </w:rPr>
        <w:t>i</w:t>
      </w:r>
      <w:proofErr w:type="spellEnd"/>
      <w:r w:rsidRPr="00EC1FEE">
        <w:rPr>
          <w:sz w:val="20"/>
          <w:szCs w:val="20"/>
          <w:lang w:val="en-GB"/>
        </w:rPr>
        <w:t>]n many countries, overbroad rules in this area are abused by the powerful to limit non-traditional, dissenting, critical, or minority voices, or discussion about challenging social issues”.</w:t>
      </w:r>
      <w:r>
        <w:rPr>
          <w:rStyle w:val="a7"/>
          <w:szCs w:val="20"/>
          <w:lang w:val="en-GB"/>
        </w:rPr>
        <w:footnoteReference w:id="47"/>
      </w:r>
      <w:r>
        <w:rPr>
          <w:sz w:val="20"/>
          <w:szCs w:val="20"/>
          <w:lang w:val="en-GB"/>
        </w:rPr>
        <w:t xml:space="preserve"> </w:t>
      </w:r>
      <w:r w:rsidRPr="00EC1FEE">
        <w:rPr>
          <w:sz w:val="20"/>
          <w:szCs w:val="20"/>
          <w:lang w:val="en-GB"/>
        </w:rPr>
        <w:t>Hate speech and similar laws ironically are often employed to suppress the very minorities they purportedly are designed to protect. Thus, while appropriately tailored laws addressing hate speech and hate crimes have an important role, around the world today, abuse of overbroad criminal provisions to suppress speech by journalists, human rights defenders, political opponents, and other social critics is a frequent concern of this Committee.</w:t>
      </w:r>
      <w:r>
        <w:rPr>
          <w:rStyle w:val="a7"/>
          <w:szCs w:val="20"/>
          <w:lang w:val="en-GB"/>
        </w:rPr>
        <w:footnoteReference w:id="48"/>
      </w:r>
      <w:r w:rsidRPr="00EC1FEE">
        <w:rPr>
          <w:sz w:val="20"/>
          <w:szCs w:val="20"/>
          <w:lang w:val="en-GB"/>
        </w:rPr>
        <w:t xml:space="preserve"> </w:t>
      </w:r>
    </w:p>
    <w:p w:rsidR="00AA24B7" w:rsidRPr="00EC1FEE" w:rsidRDefault="00AA24B7" w:rsidP="00834718">
      <w:pPr>
        <w:pStyle w:val="SingleTxtG"/>
        <w:adjustRightInd w:val="0"/>
        <w:snapToGrid w:val="0"/>
        <w:rPr>
          <w:sz w:val="20"/>
          <w:szCs w:val="20"/>
          <w:lang w:val="en-GB"/>
        </w:rPr>
      </w:pPr>
      <w:r w:rsidRPr="00EC1FEE">
        <w:rPr>
          <w:sz w:val="20"/>
          <w:szCs w:val="20"/>
          <w:lang w:val="en-GB"/>
        </w:rPr>
        <w:t>9.</w:t>
      </w:r>
      <w:r>
        <w:rPr>
          <w:sz w:val="20"/>
          <w:szCs w:val="20"/>
          <w:lang w:val="en-GB"/>
        </w:rPr>
        <w:tab/>
      </w:r>
      <w:r w:rsidRPr="00EC1FEE">
        <w:rPr>
          <w:sz w:val="20"/>
          <w:szCs w:val="20"/>
          <w:lang w:val="en-GB"/>
        </w:rPr>
        <w:t xml:space="preserve">The State party in this case had a robust civil and criminal law framework in place to prohibit speech addressed by article 20(2), both through criminal prohibitions and civil remedies, and pursued a criminal prosecution against </w:t>
      </w:r>
      <w:r>
        <w:rPr>
          <w:sz w:val="20"/>
          <w:szCs w:val="20"/>
          <w:lang w:val="en-GB"/>
        </w:rPr>
        <w:t>Mr. </w:t>
      </w:r>
      <w:r w:rsidRPr="00EC1FEE">
        <w:rPr>
          <w:sz w:val="20"/>
          <w:szCs w:val="20"/>
          <w:lang w:val="en-GB"/>
        </w:rPr>
        <w:t xml:space="preserve">Wilders before an independent court. The authors pursued the remedy they preferred – an </w:t>
      </w:r>
      <w:r w:rsidRPr="00EC1FEE">
        <w:rPr>
          <w:i/>
          <w:sz w:val="20"/>
          <w:szCs w:val="20"/>
          <w:lang w:val="en-GB"/>
        </w:rPr>
        <w:t xml:space="preserve">action </w:t>
      </w:r>
      <w:proofErr w:type="spellStart"/>
      <w:r w:rsidRPr="00EC1FEE">
        <w:rPr>
          <w:i/>
          <w:sz w:val="20"/>
          <w:szCs w:val="20"/>
          <w:lang w:val="en-GB"/>
        </w:rPr>
        <w:t>civile</w:t>
      </w:r>
      <w:proofErr w:type="spellEnd"/>
      <w:r w:rsidRPr="00EC1FEE">
        <w:rPr>
          <w:sz w:val="20"/>
          <w:szCs w:val="20"/>
          <w:lang w:val="en-GB"/>
        </w:rPr>
        <w:t xml:space="preserve"> that depended on the success of the criminal proceeding, with its heightened standard of proof and standard for criminal incitement – and did not pursue the independent avenue for civil remedies available to them.</w:t>
      </w:r>
      <w:r>
        <w:rPr>
          <w:sz w:val="20"/>
          <w:szCs w:val="20"/>
          <w:lang w:val="en-GB"/>
        </w:rPr>
        <w:t xml:space="preserve"> </w:t>
      </w:r>
      <w:r w:rsidRPr="00EC1FEE">
        <w:rPr>
          <w:sz w:val="20"/>
          <w:szCs w:val="20"/>
          <w:lang w:val="en-GB"/>
        </w:rPr>
        <w:t>Criminal penalties are not mandated by article 20(2), and the authors had no personal entitlement under article 2(3) or any other provision of the Covenant to secure a successful criminal conviction. Under these circumstances, the authors have not demonstrated that the State party violated its obligation to “prohibit by law” the “advocacy of national, racial or religious hatred that constitutes incitement to discrimination, hostility or violence” under article 20(2) in conjunction with article 26. Nor have they demonstrated that it failed to provide them with a remedy for such violation.</w:t>
      </w:r>
    </w:p>
    <w:p w:rsidR="00AA24B7" w:rsidRDefault="00AA24B7" w:rsidP="00834718">
      <w:pPr>
        <w:pStyle w:val="SingleTxtGC"/>
        <w:tabs>
          <w:tab w:val="left" w:pos="567"/>
        </w:tabs>
        <w:rPr>
          <w:lang w:val="en-GB"/>
        </w:rPr>
        <w:sectPr w:rsidR="00AA24B7" w:rsidSect="00AA24B7">
          <w:footnotePr>
            <w:numFmt w:val="lowerLetter"/>
            <w:numRestart w:val="eachSect"/>
          </w:footnotePr>
          <w:endnotePr>
            <w:numFmt w:val="decimal"/>
          </w:endnotePr>
          <w:pgSz w:w="11906" w:h="16838" w:code="9"/>
          <w:pgMar w:top="1417" w:right="1134" w:bottom="1134" w:left="1134" w:header="850" w:footer="567" w:gutter="0"/>
          <w:cols w:space="425"/>
          <w:docGrid w:type="lines" w:linePitch="326"/>
        </w:sectPr>
      </w:pPr>
    </w:p>
    <w:p w:rsidR="00AA24B7" w:rsidRPr="00F15147" w:rsidRDefault="00AA24B7" w:rsidP="00834718">
      <w:pPr>
        <w:pStyle w:val="HChG"/>
        <w:adjustRightInd w:val="0"/>
        <w:snapToGrid w:val="0"/>
      </w:pPr>
      <w:r w:rsidRPr="00EC1FEE">
        <w:lastRenderedPageBreak/>
        <w:t>Annex V</w:t>
      </w:r>
    </w:p>
    <w:p w:rsidR="00AA24B7" w:rsidRPr="00F15147" w:rsidRDefault="00AA24B7" w:rsidP="00834718">
      <w:pPr>
        <w:pStyle w:val="HChG"/>
        <w:adjustRightInd w:val="0"/>
        <w:snapToGrid w:val="0"/>
      </w:pPr>
      <w:r w:rsidRPr="00EC1FEE">
        <w:tab/>
      </w:r>
      <w:r w:rsidRPr="00EC1FEE">
        <w:tab/>
      </w:r>
      <w:r w:rsidRPr="00F15147">
        <w:t>Individual opinion of Committee members Anja Seibert-</w:t>
      </w:r>
      <w:proofErr w:type="spellStart"/>
      <w:r w:rsidRPr="00F15147">
        <w:t>Fohr</w:t>
      </w:r>
      <w:proofErr w:type="spellEnd"/>
      <w:r w:rsidRPr="00F15147">
        <w:t xml:space="preserve">, Yuji </w:t>
      </w:r>
      <w:proofErr w:type="spellStart"/>
      <w:r w:rsidRPr="00F15147">
        <w:t>Iwasawa</w:t>
      </w:r>
      <w:proofErr w:type="spellEnd"/>
      <w:r w:rsidRPr="00F15147">
        <w:t xml:space="preserve"> and </w:t>
      </w:r>
      <w:hyperlink r:id="rId18" w:history="1">
        <w:proofErr w:type="spellStart"/>
        <w:r w:rsidRPr="00F15147">
          <w:t>Konstantine</w:t>
        </w:r>
        <w:proofErr w:type="spellEnd"/>
        <w:r w:rsidRPr="00F15147">
          <w:t xml:space="preserve"> </w:t>
        </w:r>
        <w:proofErr w:type="spellStart"/>
        <w:r w:rsidRPr="00F15147">
          <w:t>Vardzelashvili</w:t>
        </w:r>
        <w:proofErr w:type="spellEnd"/>
      </w:hyperlink>
    </w:p>
    <w:p w:rsidR="00AA24B7" w:rsidRPr="00EC1FEE" w:rsidRDefault="00AA24B7" w:rsidP="00834718">
      <w:pPr>
        <w:pStyle w:val="SingleTxtG"/>
        <w:adjustRightInd w:val="0"/>
        <w:snapToGrid w:val="0"/>
        <w:rPr>
          <w:sz w:val="20"/>
          <w:szCs w:val="20"/>
          <w:lang w:val="en-GB"/>
        </w:rPr>
      </w:pPr>
      <w:r w:rsidRPr="00EC1FEE">
        <w:rPr>
          <w:sz w:val="20"/>
          <w:szCs w:val="20"/>
          <w:lang w:val="en-GB"/>
        </w:rPr>
        <w:t>1.</w:t>
      </w:r>
      <w:r w:rsidRPr="00EC1FEE">
        <w:rPr>
          <w:sz w:val="20"/>
          <w:szCs w:val="20"/>
          <w:lang w:val="en-GB"/>
        </w:rPr>
        <w:tab/>
        <w:t xml:space="preserve">While we agree </w:t>
      </w:r>
      <w:r w:rsidRPr="00EC1FEE">
        <w:rPr>
          <w:sz w:val="20"/>
          <w:szCs w:val="20"/>
          <w:lang w:val="en-GB" w:eastAsia="ja-JP"/>
        </w:rPr>
        <w:t xml:space="preserve">with the majority of the Committee </w:t>
      </w:r>
      <w:r w:rsidRPr="00EC1FEE">
        <w:rPr>
          <w:sz w:val="20"/>
          <w:szCs w:val="20"/>
          <w:lang w:val="en-GB"/>
        </w:rPr>
        <w:t xml:space="preserve">that we cannot find a violation of the author’s rights under the Covenant in the present case, we </w:t>
      </w:r>
      <w:r w:rsidRPr="00EC1FEE">
        <w:rPr>
          <w:sz w:val="20"/>
          <w:szCs w:val="20"/>
          <w:lang w:val="en-GB" w:eastAsia="ja-JP"/>
        </w:rPr>
        <w:t>are</w:t>
      </w:r>
      <w:r w:rsidRPr="00EC1FEE">
        <w:rPr>
          <w:sz w:val="20"/>
          <w:szCs w:val="20"/>
          <w:lang w:val="en-GB"/>
        </w:rPr>
        <w:t xml:space="preserve"> unable to agree</w:t>
      </w:r>
      <w:r w:rsidRPr="00EC1FEE">
        <w:rPr>
          <w:sz w:val="20"/>
          <w:szCs w:val="20"/>
          <w:lang w:val="en-GB" w:eastAsia="ja-JP"/>
        </w:rPr>
        <w:t>,</w:t>
      </w:r>
      <w:r w:rsidRPr="00EC1FEE">
        <w:rPr>
          <w:sz w:val="20"/>
          <w:szCs w:val="20"/>
          <w:lang w:val="en-GB"/>
        </w:rPr>
        <w:t xml:space="preserve"> with respect to the admissibility of the communication. We would have found the communication inadmissible in the first place for the following reasons.</w:t>
      </w:r>
    </w:p>
    <w:p w:rsidR="00AA24B7" w:rsidRPr="00EC1FEE" w:rsidRDefault="00AA24B7" w:rsidP="00834718">
      <w:pPr>
        <w:pStyle w:val="SingleTxtG"/>
        <w:adjustRightInd w:val="0"/>
        <w:snapToGrid w:val="0"/>
        <w:rPr>
          <w:sz w:val="20"/>
          <w:szCs w:val="20"/>
          <w:lang w:val="en-GB"/>
        </w:rPr>
      </w:pPr>
      <w:r w:rsidRPr="00EC1FEE">
        <w:rPr>
          <w:sz w:val="20"/>
          <w:szCs w:val="20"/>
          <w:lang w:val="en-GB"/>
        </w:rPr>
        <w:t>2.</w:t>
      </w:r>
      <w:r w:rsidRPr="00EC1FEE">
        <w:rPr>
          <w:sz w:val="20"/>
          <w:szCs w:val="20"/>
          <w:lang w:val="en-GB"/>
        </w:rPr>
        <w:tab/>
        <w:t xml:space="preserve">The authors of the Communication claim to be victims of a violation of their Covenant rights, </w:t>
      </w:r>
      <w:r w:rsidRPr="00EC1FEE">
        <w:rPr>
          <w:i/>
          <w:sz w:val="20"/>
          <w:szCs w:val="20"/>
          <w:lang w:val="en-GB"/>
        </w:rPr>
        <w:t>inter alia</w:t>
      </w:r>
      <w:r w:rsidRPr="00EC1FEE">
        <w:rPr>
          <w:sz w:val="20"/>
          <w:szCs w:val="20"/>
          <w:lang w:val="en-GB"/>
        </w:rPr>
        <w:t xml:space="preserve"> because the authorities did not convict </w:t>
      </w:r>
      <w:r>
        <w:rPr>
          <w:sz w:val="20"/>
          <w:szCs w:val="20"/>
          <w:lang w:val="en-GB"/>
        </w:rPr>
        <w:t>Mr. </w:t>
      </w:r>
      <w:r w:rsidRPr="00EC1FEE">
        <w:rPr>
          <w:sz w:val="20"/>
          <w:szCs w:val="20"/>
          <w:lang w:val="en-GB"/>
        </w:rPr>
        <w:t xml:space="preserve">Wilders for hate speech. This claim is inadmissible </w:t>
      </w:r>
      <w:proofErr w:type="spellStart"/>
      <w:r w:rsidRPr="00EC1FEE">
        <w:rPr>
          <w:i/>
          <w:sz w:val="20"/>
          <w:szCs w:val="20"/>
          <w:lang w:val="en-GB"/>
        </w:rPr>
        <w:t>rationae</w:t>
      </w:r>
      <w:proofErr w:type="spellEnd"/>
      <w:r w:rsidRPr="00EC1FEE">
        <w:rPr>
          <w:i/>
          <w:sz w:val="20"/>
          <w:szCs w:val="20"/>
          <w:lang w:val="en-GB"/>
        </w:rPr>
        <w:t xml:space="preserve"> </w:t>
      </w:r>
      <w:proofErr w:type="spellStart"/>
      <w:r w:rsidRPr="00EC1FEE">
        <w:rPr>
          <w:i/>
          <w:sz w:val="20"/>
          <w:szCs w:val="20"/>
          <w:lang w:val="en-GB"/>
        </w:rPr>
        <w:t>materiae</w:t>
      </w:r>
      <w:proofErr w:type="spellEnd"/>
      <w:r w:rsidRPr="00EC1FEE">
        <w:rPr>
          <w:i/>
          <w:sz w:val="20"/>
          <w:szCs w:val="20"/>
          <w:lang w:val="en-GB"/>
        </w:rPr>
        <w:t>.</w:t>
      </w:r>
      <w:r w:rsidRPr="00EC1FEE">
        <w:rPr>
          <w:sz w:val="20"/>
          <w:szCs w:val="20"/>
          <w:lang w:val="en-GB"/>
        </w:rPr>
        <w:t xml:space="preserve"> According to the long-established jurisprudence of the Committee, the Covenant does not provide a right for individuals to require that the State criminally prosecute and punish a third party.</w:t>
      </w:r>
      <w:r>
        <w:rPr>
          <w:rStyle w:val="a7"/>
          <w:szCs w:val="20"/>
          <w:lang w:val="en-GB"/>
        </w:rPr>
        <w:footnoteReference w:id="49"/>
      </w:r>
      <w:r w:rsidRPr="00EC1FEE">
        <w:rPr>
          <w:sz w:val="20"/>
          <w:szCs w:val="20"/>
          <w:lang w:val="en-GB"/>
        </w:rPr>
        <w:t xml:space="preserve"> Neither does article 20 of the Covenant provide such a right nor can it be claimed under articles 14, 17, 26, 27 or 2</w:t>
      </w:r>
      <w:r>
        <w:rPr>
          <w:sz w:val="20"/>
          <w:szCs w:val="20"/>
          <w:lang w:val="en-GB"/>
        </w:rPr>
        <w:t> </w:t>
      </w:r>
      <w:r w:rsidRPr="00EC1FEE">
        <w:rPr>
          <w:sz w:val="20"/>
          <w:szCs w:val="20"/>
          <w:lang w:val="en-GB"/>
        </w:rPr>
        <w:t>(3). This claim of the authors is therefore incompatible with the provisions of the Covenant and inadmissible under article 3 of the Optional Protocol.</w:t>
      </w:r>
      <w:r w:rsidRPr="00EC1FEE" w:rsidDel="00D66DDC">
        <w:rPr>
          <w:rStyle w:val="a7"/>
          <w:sz w:val="20"/>
          <w:szCs w:val="20"/>
          <w:lang w:val="en-GB"/>
        </w:rPr>
        <w:t xml:space="preserve"> </w:t>
      </w:r>
    </w:p>
    <w:p w:rsidR="00AA24B7" w:rsidRDefault="00AA24B7" w:rsidP="00834718">
      <w:pPr>
        <w:pStyle w:val="SingleTxtG"/>
        <w:adjustRightInd w:val="0"/>
        <w:snapToGrid w:val="0"/>
        <w:rPr>
          <w:sz w:val="20"/>
          <w:szCs w:val="20"/>
          <w:lang w:val="en-GB"/>
        </w:rPr>
      </w:pPr>
      <w:r>
        <w:rPr>
          <w:sz w:val="20"/>
          <w:szCs w:val="20"/>
          <w:lang w:val="en-GB"/>
        </w:rPr>
        <w:t>3.</w:t>
      </w:r>
      <w:r>
        <w:rPr>
          <w:sz w:val="20"/>
          <w:szCs w:val="20"/>
          <w:lang w:val="en-GB"/>
        </w:rPr>
        <w:tab/>
      </w:r>
      <w:r w:rsidRPr="00EC1FEE">
        <w:rPr>
          <w:sz w:val="20"/>
          <w:szCs w:val="20"/>
          <w:lang w:val="en-GB" w:eastAsia="ja-JP"/>
        </w:rPr>
        <w:t>T</w:t>
      </w:r>
      <w:r w:rsidRPr="00EC1FEE">
        <w:rPr>
          <w:sz w:val="20"/>
          <w:szCs w:val="20"/>
          <w:lang w:val="en-GB"/>
        </w:rPr>
        <w:t xml:space="preserve">he authors </w:t>
      </w:r>
      <w:r w:rsidRPr="00EC1FEE">
        <w:rPr>
          <w:sz w:val="20"/>
          <w:szCs w:val="20"/>
          <w:lang w:val="en-GB" w:eastAsia="ja-JP"/>
        </w:rPr>
        <w:t xml:space="preserve">effectively </w:t>
      </w:r>
      <w:r w:rsidRPr="00EC1FEE">
        <w:rPr>
          <w:sz w:val="20"/>
          <w:szCs w:val="20"/>
          <w:lang w:val="en-GB"/>
        </w:rPr>
        <w:t xml:space="preserve">claim </w:t>
      </w:r>
      <w:r w:rsidRPr="00EC1FEE">
        <w:rPr>
          <w:sz w:val="20"/>
          <w:szCs w:val="20"/>
          <w:lang w:val="en-GB" w:eastAsia="ja-JP"/>
        </w:rPr>
        <w:t xml:space="preserve">also </w:t>
      </w:r>
      <w:r w:rsidRPr="00EC1FEE">
        <w:rPr>
          <w:sz w:val="20"/>
          <w:szCs w:val="20"/>
          <w:lang w:val="en-GB"/>
        </w:rPr>
        <w:t>that the State party has insufficiently protected them from threats to their physical integrity, from discrimination or advocacy of hatred that constitutes incitement to discrimination, hostility or violence. However, we consider that the</w:t>
      </w:r>
      <w:r w:rsidRPr="00EC1FEE">
        <w:rPr>
          <w:sz w:val="20"/>
          <w:szCs w:val="20"/>
          <w:lang w:val="en-GB" w:eastAsia="ja-JP"/>
        </w:rPr>
        <w:t>y</w:t>
      </w:r>
      <w:r w:rsidRPr="00EC1FEE">
        <w:rPr>
          <w:sz w:val="20"/>
          <w:szCs w:val="20"/>
          <w:lang w:val="en-GB"/>
        </w:rPr>
        <w:t xml:space="preserve"> have </w:t>
      </w:r>
      <w:r w:rsidRPr="00EC1FEE">
        <w:rPr>
          <w:sz w:val="20"/>
          <w:szCs w:val="20"/>
          <w:lang w:val="en-GB" w:eastAsia="ja-JP"/>
        </w:rPr>
        <w:t xml:space="preserve">not </w:t>
      </w:r>
      <w:r w:rsidRPr="00EC1FEE">
        <w:rPr>
          <w:sz w:val="20"/>
          <w:szCs w:val="20"/>
          <w:lang w:val="en-GB"/>
        </w:rPr>
        <w:t>sufficiently substantiated that the State party did not provide them with adequate protection in the present case. According to Dutch legislation</w:t>
      </w:r>
      <w:r w:rsidRPr="00EC1FEE">
        <w:rPr>
          <w:sz w:val="20"/>
          <w:szCs w:val="20"/>
          <w:lang w:val="en-GB" w:eastAsia="ja-JP"/>
        </w:rPr>
        <w:t>,</w:t>
      </w:r>
      <w:r w:rsidRPr="00EC1FEE">
        <w:rPr>
          <w:sz w:val="20"/>
          <w:szCs w:val="20"/>
          <w:lang w:val="en-GB"/>
        </w:rPr>
        <w:t xml:space="preserve"> the authors could have brought a civil action against </w:t>
      </w:r>
      <w:r>
        <w:rPr>
          <w:sz w:val="20"/>
          <w:szCs w:val="20"/>
          <w:lang w:val="en-GB"/>
        </w:rPr>
        <w:t>Mr. </w:t>
      </w:r>
      <w:r w:rsidRPr="00EC1FEE">
        <w:rPr>
          <w:sz w:val="20"/>
          <w:szCs w:val="20"/>
          <w:lang w:val="en-GB"/>
        </w:rPr>
        <w:t>Wilders pursuant to article 6:162 of the Civil Code. The</w:t>
      </w:r>
      <w:r w:rsidRPr="00EC1FEE">
        <w:rPr>
          <w:sz w:val="20"/>
          <w:szCs w:val="20"/>
          <w:lang w:val="en-GB" w:eastAsia="ja-JP"/>
        </w:rPr>
        <w:t>y</w:t>
      </w:r>
      <w:r w:rsidRPr="00EC1FEE">
        <w:rPr>
          <w:sz w:val="20"/>
          <w:szCs w:val="20"/>
          <w:lang w:val="en-GB"/>
        </w:rPr>
        <w:t xml:space="preserve"> have declined to take this path</w:t>
      </w:r>
      <w:r w:rsidRPr="00EC1FEE">
        <w:rPr>
          <w:sz w:val="20"/>
          <w:szCs w:val="20"/>
          <w:lang w:val="en-GB" w:eastAsia="ja-JP"/>
        </w:rPr>
        <w:t>;</w:t>
      </w:r>
      <w:r w:rsidRPr="00EC1FEE">
        <w:rPr>
          <w:sz w:val="20"/>
          <w:szCs w:val="20"/>
          <w:lang w:val="en-GB"/>
        </w:rPr>
        <w:t xml:space="preserve"> instead, they decided to resort exclusively to criminal proceedings by joining criminal proceedings against </w:t>
      </w:r>
      <w:r>
        <w:rPr>
          <w:sz w:val="20"/>
          <w:szCs w:val="20"/>
          <w:lang w:val="en-GB"/>
        </w:rPr>
        <w:t>Mr. </w:t>
      </w:r>
      <w:r w:rsidRPr="00EC1FEE">
        <w:rPr>
          <w:sz w:val="20"/>
          <w:szCs w:val="20"/>
          <w:lang w:val="en-GB"/>
        </w:rPr>
        <w:t>Wilders as an aggrieved party and claiming compensation. According to the State party’s uncontested submission</w:t>
      </w:r>
      <w:r w:rsidRPr="00EC1FEE">
        <w:rPr>
          <w:sz w:val="20"/>
          <w:szCs w:val="20"/>
          <w:lang w:val="en-GB" w:eastAsia="ja-JP"/>
        </w:rPr>
        <w:t>,</w:t>
      </w:r>
      <w:r w:rsidRPr="00EC1FEE">
        <w:rPr>
          <w:sz w:val="20"/>
          <w:szCs w:val="20"/>
          <w:lang w:val="en-GB"/>
        </w:rPr>
        <w:t xml:space="preserve"> a successful civil action before a civil court pursuant to article 6:162 of the Civil Code would have enabled the authors to ask for a ban of future abusive statements or to request a declaratory decision that </w:t>
      </w:r>
      <w:r>
        <w:rPr>
          <w:sz w:val="20"/>
          <w:szCs w:val="20"/>
          <w:lang w:val="en-GB"/>
        </w:rPr>
        <w:t>Mr. </w:t>
      </w:r>
      <w:r w:rsidRPr="00EC1FEE">
        <w:rPr>
          <w:sz w:val="20"/>
          <w:szCs w:val="20"/>
          <w:lang w:val="en-GB"/>
        </w:rPr>
        <w:t>Wilder’s statements were unlawful. This avenue is still available. There is no reason to assume that these proceedings would not offer them the protection required under the Covenant.</w:t>
      </w:r>
      <w:r>
        <w:rPr>
          <w:rStyle w:val="a7"/>
          <w:szCs w:val="20"/>
          <w:lang w:val="en-GB"/>
        </w:rPr>
        <w:footnoteReference w:id="50"/>
      </w:r>
      <w:r w:rsidRPr="00EC1FEE">
        <w:rPr>
          <w:sz w:val="20"/>
          <w:szCs w:val="20"/>
          <w:lang w:val="en-GB"/>
        </w:rPr>
        <w:t xml:space="preserve"> </w:t>
      </w:r>
      <w:proofErr w:type="gramStart"/>
      <w:r w:rsidRPr="00EC1FEE">
        <w:rPr>
          <w:sz w:val="20"/>
          <w:szCs w:val="20"/>
          <w:lang w:val="en-GB"/>
        </w:rPr>
        <w:t xml:space="preserve">Article 20 of the Covenant which requires States parties to </w:t>
      </w:r>
      <w:r w:rsidRPr="00EC1FEE">
        <w:rPr>
          <w:i/>
          <w:sz w:val="20"/>
          <w:szCs w:val="20"/>
          <w:lang w:val="en-GB"/>
        </w:rPr>
        <w:t xml:space="preserve">prohibit by law </w:t>
      </w:r>
      <w:r w:rsidRPr="00EC1FEE">
        <w:rPr>
          <w:sz w:val="20"/>
          <w:szCs w:val="20"/>
          <w:lang w:val="en-GB"/>
        </w:rPr>
        <w:t>any advocacy of national, racial or religious hatred that constitutes incitement to discrimination, hostility or violence</w:t>
      </w:r>
      <w:r w:rsidRPr="00EC1FEE">
        <w:rPr>
          <w:sz w:val="20"/>
          <w:szCs w:val="20"/>
          <w:lang w:val="en-GB" w:eastAsia="ja-JP"/>
        </w:rPr>
        <w:t>,</w:t>
      </w:r>
      <w:r w:rsidRPr="00EC1FEE">
        <w:rPr>
          <w:sz w:val="20"/>
          <w:szCs w:val="20"/>
          <w:lang w:val="en-GB"/>
        </w:rPr>
        <w:t xml:space="preserve"> does not strictly require the imposition of criminal penalties.</w:t>
      </w:r>
      <w:proofErr w:type="gramEnd"/>
      <w:r w:rsidRPr="00EC1FEE">
        <w:rPr>
          <w:sz w:val="20"/>
          <w:szCs w:val="20"/>
          <w:lang w:val="en-GB"/>
        </w:rPr>
        <w:t xml:space="preserve"> Without having tried to seek protection in civil proceedings which were available to them</w:t>
      </w:r>
      <w:r w:rsidRPr="00EC1FEE">
        <w:rPr>
          <w:sz w:val="20"/>
          <w:szCs w:val="20"/>
          <w:lang w:val="en-GB" w:eastAsia="ja-JP"/>
        </w:rPr>
        <w:t>,</w:t>
      </w:r>
      <w:r w:rsidRPr="00EC1FEE">
        <w:rPr>
          <w:sz w:val="20"/>
          <w:szCs w:val="20"/>
          <w:lang w:val="en-GB"/>
        </w:rPr>
        <w:t xml:space="preserve"> the authors cannot claim their inadequacy just on the basis that they are civil in nature. Thus, in the circumstances of the case, the authors have failed to demonstrate that the State party gave insufficient protection to the authors and that their right to protection under the Covenant was effectively impaired. For these reasons, this part of the author’s communication has been insufficiently substantiated for the purposes of admissibility and is inadmissible under article 2 of the Optional Protocol.</w:t>
      </w:r>
    </w:p>
    <w:p w:rsidR="00AA24B7" w:rsidRDefault="00AA24B7" w:rsidP="00834718">
      <w:pPr>
        <w:pStyle w:val="SingleTxtG"/>
        <w:adjustRightInd w:val="0"/>
        <w:snapToGrid w:val="0"/>
        <w:rPr>
          <w:sz w:val="20"/>
          <w:szCs w:val="20"/>
          <w:lang w:val="en-GB"/>
        </w:rPr>
      </w:pPr>
    </w:p>
    <w:p w:rsidR="00AA24B7" w:rsidRDefault="00AA24B7" w:rsidP="00834718">
      <w:pPr>
        <w:pStyle w:val="SingleTxtG"/>
        <w:adjustRightInd w:val="0"/>
        <w:snapToGrid w:val="0"/>
        <w:rPr>
          <w:sz w:val="20"/>
          <w:szCs w:val="20"/>
          <w:lang w:val="en-GB"/>
        </w:rPr>
        <w:sectPr w:rsidR="00AA24B7" w:rsidSect="00006840">
          <w:headerReference w:type="first" r:id="rId19"/>
          <w:footerReference w:type="first" r:id="rId20"/>
          <w:footnotePr>
            <w:numFmt w:val="lowerLetter"/>
            <w:numRestart w:val="eachSect"/>
          </w:footnotePr>
          <w:endnotePr>
            <w:numFmt w:val="decimal"/>
          </w:endnotePr>
          <w:pgSz w:w="11907" w:h="16840" w:code="9"/>
          <w:pgMar w:top="1418" w:right="1134" w:bottom="1134" w:left="1134" w:header="1134" w:footer="1701" w:gutter="0"/>
          <w:cols w:space="720"/>
          <w:titlePg/>
          <w:docGrid w:linePitch="272"/>
        </w:sectPr>
      </w:pPr>
    </w:p>
    <w:p w:rsidR="00AA24B7" w:rsidRPr="00F15147" w:rsidRDefault="00AA24B7" w:rsidP="00834718">
      <w:pPr>
        <w:pStyle w:val="HChG"/>
        <w:adjustRightInd w:val="0"/>
        <w:snapToGrid w:val="0"/>
        <w:rPr>
          <w:lang w:val="es-ES"/>
        </w:rPr>
      </w:pPr>
      <w:r w:rsidRPr="00EC1FEE">
        <w:lastRenderedPageBreak/>
        <w:tab/>
      </w:r>
      <w:proofErr w:type="spellStart"/>
      <w:r w:rsidRPr="00F15147">
        <w:rPr>
          <w:lang w:val="es-ES"/>
        </w:rPr>
        <w:t>Annex</w:t>
      </w:r>
      <w:proofErr w:type="spellEnd"/>
      <w:r w:rsidRPr="00F15147">
        <w:rPr>
          <w:lang w:val="es-ES"/>
        </w:rPr>
        <w:t xml:space="preserve"> VI</w:t>
      </w:r>
    </w:p>
    <w:p w:rsidR="00AA24B7" w:rsidRPr="00F15147" w:rsidRDefault="00AA24B7" w:rsidP="00834718">
      <w:pPr>
        <w:pStyle w:val="HChG"/>
        <w:adjustRightInd w:val="0"/>
        <w:snapToGrid w:val="0"/>
        <w:rPr>
          <w:lang w:val="es-ES"/>
        </w:rPr>
      </w:pPr>
      <w:r w:rsidRPr="00F15147">
        <w:rPr>
          <w:lang w:val="es-ES"/>
        </w:rPr>
        <w:tab/>
      </w:r>
      <w:r w:rsidRPr="00F15147">
        <w:rPr>
          <w:lang w:val="es-ES"/>
        </w:rPr>
        <w:tab/>
        <w:t xml:space="preserve">Opinión parcialmente disidente de Víctor Manuel Rodríguez </w:t>
      </w:r>
      <w:proofErr w:type="spellStart"/>
      <w:r w:rsidRPr="00F15147">
        <w:rPr>
          <w:bCs/>
          <w:lang w:val="es-ES"/>
        </w:rPr>
        <w:t>Rescia</w:t>
      </w:r>
      <w:proofErr w:type="spellEnd"/>
    </w:p>
    <w:p w:rsidR="00AA24B7" w:rsidRPr="00F15147" w:rsidRDefault="00AA24B7" w:rsidP="00834718">
      <w:pPr>
        <w:pStyle w:val="SingleTxtG"/>
        <w:adjustRightInd w:val="0"/>
        <w:snapToGrid w:val="0"/>
        <w:rPr>
          <w:rFonts w:cs="Arial"/>
          <w:sz w:val="20"/>
          <w:szCs w:val="20"/>
          <w:lang w:val="es-ES"/>
        </w:rPr>
      </w:pPr>
      <w:r w:rsidRPr="00F15147">
        <w:rPr>
          <w:sz w:val="20"/>
          <w:szCs w:val="20"/>
          <w:lang w:val="es-ES"/>
        </w:rPr>
        <w:t>1.</w:t>
      </w:r>
      <w:r w:rsidRPr="00F15147">
        <w:rPr>
          <w:sz w:val="20"/>
          <w:szCs w:val="20"/>
          <w:lang w:val="es-ES"/>
        </w:rPr>
        <w:tab/>
        <w:t xml:space="preserve">La presente opinión coincide con la decisión de admisibilidad del Comité de Derechos Humanos, pero difiere de la decisión de fondo, como se desarrollará más adelante. En relación con la admisibilidad, es digno de destacar el avance realizado por el Comité para admitir el estudio del caso en el marco de una supuesta violación relacionada con el artículo 20.2 (la prohibición por ley de la apología del odio nacional, racial o religioso que constituya incitación a la discriminación, la hostilidad o la violencia), en conjunción con otros artículos del Pacto (Artículos 14. 1; 2.3 y 26), y que el Comité considerara que el artículo 20.2 es un derecho justiciable que ofrece protección a personas individualmente </w:t>
      </w:r>
      <w:r w:rsidRPr="00F15147">
        <w:rPr>
          <w:bCs/>
          <w:sz w:val="20"/>
          <w:szCs w:val="20"/>
          <w:lang w:val="es-ES"/>
        </w:rPr>
        <w:t>y como miembros de grupos</w:t>
      </w:r>
      <w:r w:rsidRPr="00F15147">
        <w:rPr>
          <w:sz w:val="20"/>
          <w:szCs w:val="20"/>
          <w:lang w:val="es-ES"/>
        </w:rPr>
        <w:t xml:space="preserve"> contra ese tipo de discriminación. De igual importancia resulta la declaración del Comité de que “el artículo 20.2, no se limita a imponer una obligación formal a los Estados partes para que aprueben leyes que prohíban la discriminación, pues una ley de ese tipo no tendría efecto alguno sin procedimientos de denuncia y sanciones apropiadas”. También es destacable que el Comité haya considerado que la vía más adecuada para la determinación del cumplimiento de las obligaciones que incumben al Estado parte en virtud del 20.2 del Pacto sea la vía penal en el caso concreto (artículo </w:t>
      </w:r>
      <w:proofErr w:type="spellStart"/>
      <w:r w:rsidRPr="00F15147">
        <w:rPr>
          <w:sz w:val="20"/>
          <w:szCs w:val="20"/>
          <w:lang w:val="es-ES"/>
        </w:rPr>
        <w:t>137.d</w:t>
      </w:r>
      <w:proofErr w:type="spellEnd"/>
      <w:r w:rsidRPr="00F15147">
        <w:rPr>
          <w:sz w:val="20"/>
          <w:szCs w:val="20"/>
          <w:lang w:val="es-ES"/>
        </w:rPr>
        <w:t>. del Código Penal), que fue por la que optaron los autores.</w:t>
      </w:r>
    </w:p>
    <w:p w:rsidR="00AA24B7" w:rsidRPr="00F15147" w:rsidRDefault="00AA24B7" w:rsidP="00834718">
      <w:pPr>
        <w:pStyle w:val="SingleTxtG"/>
        <w:adjustRightInd w:val="0"/>
        <w:snapToGrid w:val="0"/>
        <w:rPr>
          <w:rFonts w:cs="Arial"/>
          <w:sz w:val="20"/>
          <w:szCs w:val="20"/>
          <w:lang w:val="es-ES"/>
        </w:rPr>
      </w:pPr>
      <w:r w:rsidRPr="00F15147">
        <w:rPr>
          <w:sz w:val="20"/>
          <w:szCs w:val="20"/>
          <w:lang w:val="es-ES"/>
        </w:rPr>
        <w:t>2.</w:t>
      </w:r>
      <w:r w:rsidRPr="00F15147">
        <w:rPr>
          <w:sz w:val="20"/>
          <w:szCs w:val="20"/>
          <w:lang w:val="es-ES"/>
        </w:rPr>
        <w:tab/>
        <w:t xml:space="preserve">En relación con el fondo del caso, los autores basaron su reclamación en una supuesta falta de una acción penal eficaz y el papel limitado que les correspondió, como partes lesionadas, en los procedimientos penales, “puesto que no pudieron, por ejemplo, presentar testigos; participar o plantear argumentos durante el examen de los hechos y del fondo de la causa para determinar si las declaraciones del Sr. </w:t>
      </w:r>
      <w:proofErr w:type="spellStart"/>
      <w:r w:rsidRPr="00F15147">
        <w:rPr>
          <w:sz w:val="20"/>
          <w:szCs w:val="20"/>
          <w:lang w:val="es-ES"/>
        </w:rPr>
        <w:t>Wilders</w:t>
      </w:r>
      <w:proofErr w:type="spellEnd"/>
      <w:r w:rsidRPr="00F15147">
        <w:rPr>
          <w:sz w:val="20"/>
          <w:szCs w:val="20"/>
          <w:lang w:val="es-ES"/>
        </w:rPr>
        <w:t xml:space="preserve"> suponían una incitación al odio, la discriminación o la violencia; ni recurrir la sentencia del tribunal”.</w:t>
      </w:r>
      <w:r>
        <w:rPr>
          <w:sz w:val="20"/>
          <w:szCs w:val="20"/>
          <w:lang w:val="es-ES"/>
        </w:rPr>
        <w:t xml:space="preserve"> </w:t>
      </w:r>
      <w:r w:rsidRPr="00F15147">
        <w:rPr>
          <w:sz w:val="20"/>
          <w:szCs w:val="20"/>
          <w:lang w:val="es-ES"/>
        </w:rPr>
        <w:t>Al respecto considero importante desentrañar los alcances que en mi interpretación corresponden al artículo 20.2 del Pacto, y esto me ayudará a definir si existe o no una violación a alguno de los derechos contemplados en el artículo 14 del mismo.</w:t>
      </w:r>
    </w:p>
    <w:p w:rsidR="00AA24B7" w:rsidRPr="00F15147" w:rsidRDefault="00AA24B7" w:rsidP="00834718">
      <w:pPr>
        <w:pStyle w:val="SingleTxtG"/>
        <w:adjustRightInd w:val="0"/>
        <w:snapToGrid w:val="0"/>
        <w:rPr>
          <w:rFonts w:cs="Arial"/>
          <w:sz w:val="20"/>
          <w:szCs w:val="20"/>
          <w:lang w:val="es-ES"/>
        </w:rPr>
      </w:pPr>
      <w:r w:rsidRPr="00F15147">
        <w:rPr>
          <w:sz w:val="20"/>
          <w:szCs w:val="20"/>
          <w:lang w:val="es-ES"/>
        </w:rPr>
        <w:t>3.</w:t>
      </w:r>
      <w:r w:rsidRPr="00F15147">
        <w:rPr>
          <w:sz w:val="20"/>
          <w:szCs w:val="20"/>
          <w:lang w:val="es-ES"/>
        </w:rPr>
        <w:tab/>
        <w:t xml:space="preserve">El artículo 20.2 del Pacto no puede ser interpretado como una norma aislada. Si bien impone una obligación dirigida al Estado para que prohíba por ley la apología del odio nacional, racial o religioso que constituya incitación a la discriminación, la hostilidad o la violencia, tal obligación no es más que una manifestación específica de la obligación de garantizar los derechos de las personas que se encuentra contemplado en el artículo 2.1 del Pacto. Tampoco se puede olvidar que la finalidad esencial de la garantía de los derechos, como lo contempla el artículo 2.2. </w:t>
      </w:r>
      <w:proofErr w:type="gramStart"/>
      <w:r w:rsidRPr="00F15147">
        <w:rPr>
          <w:sz w:val="20"/>
          <w:szCs w:val="20"/>
          <w:lang w:val="es-ES"/>
        </w:rPr>
        <w:t>del</w:t>
      </w:r>
      <w:proofErr w:type="gramEnd"/>
      <w:r w:rsidRPr="00F15147">
        <w:rPr>
          <w:sz w:val="20"/>
          <w:szCs w:val="20"/>
          <w:lang w:val="es-ES"/>
        </w:rPr>
        <w:t xml:space="preserve"> Pacto, es la efectividad de los mismos. Consecuentemente con ello, el artículo 20.2 </w:t>
      </w:r>
      <w:r w:rsidRPr="00F15147">
        <w:rPr>
          <w:bCs/>
          <w:iCs/>
          <w:sz w:val="20"/>
          <w:szCs w:val="20"/>
          <w:lang w:val="es-ES"/>
        </w:rPr>
        <w:t>no contempla un</w:t>
      </w:r>
      <w:r w:rsidRPr="00F15147">
        <w:rPr>
          <w:bCs/>
          <w:sz w:val="20"/>
          <w:szCs w:val="20"/>
          <w:lang w:val="es-ES"/>
        </w:rPr>
        <w:t xml:space="preserve"> derecho a la no existencia del discurso discriminatorio, hostil o violento</w:t>
      </w:r>
      <w:r w:rsidRPr="00F15147">
        <w:rPr>
          <w:sz w:val="20"/>
          <w:szCs w:val="20"/>
          <w:lang w:val="es-ES"/>
        </w:rPr>
        <w:t xml:space="preserve">, pero </w:t>
      </w:r>
      <w:r w:rsidRPr="00F15147">
        <w:rPr>
          <w:bCs/>
          <w:iCs/>
          <w:sz w:val="20"/>
          <w:szCs w:val="20"/>
          <w:lang w:val="es-ES"/>
        </w:rPr>
        <w:t>sí contempla un derecho a que no se incite la discriminación, hostilidad o violencia</w:t>
      </w:r>
      <w:r w:rsidRPr="00F15147">
        <w:rPr>
          <w:bCs/>
          <w:i/>
          <w:iCs/>
          <w:sz w:val="20"/>
          <w:szCs w:val="20"/>
          <w:lang w:val="es-ES"/>
        </w:rPr>
        <w:t xml:space="preserve"> </w:t>
      </w:r>
      <w:r w:rsidRPr="00F15147">
        <w:rPr>
          <w:color w:val="141414"/>
          <w:sz w:val="20"/>
          <w:szCs w:val="20"/>
          <w:lang w:val="es-ES"/>
        </w:rPr>
        <w:t>y ese derecho debe ser efectivo, y para ello, garantizado con medidas legislativas “o de otro carácter”.</w:t>
      </w:r>
    </w:p>
    <w:p w:rsidR="00AA24B7" w:rsidRPr="00F15147" w:rsidRDefault="00AA24B7" w:rsidP="00834718">
      <w:pPr>
        <w:pStyle w:val="SingleTxtG"/>
        <w:adjustRightInd w:val="0"/>
        <w:snapToGrid w:val="0"/>
        <w:rPr>
          <w:rFonts w:cs="Arial"/>
          <w:sz w:val="20"/>
          <w:szCs w:val="20"/>
          <w:lang w:val="es-ES"/>
        </w:rPr>
      </w:pPr>
      <w:r w:rsidRPr="00F15147">
        <w:rPr>
          <w:sz w:val="20"/>
          <w:szCs w:val="20"/>
          <w:lang w:val="es-ES"/>
        </w:rPr>
        <w:t>4.</w:t>
      </w:r>
      <w:r w:rsidRPr="00F15147">
        <w:rPr>
          <w:sz w:val="20"/>
          <w:szCs w:val="20"/>
          <w:lang w:val="es-ES"/>
        </w:rPr>
        <w:tab/>
        <w:t xml:space="preserve">Cuando el Pacto dispone medidas de otro carácter como una generalización de las medidas de garantía que se pueden adoptar, está buscando que se prevenga el discurso que haga aquella incitación. Entonces, lo que las autoridades judiciales debían analizar era si el discurso del señor </w:t>
      </w:r>
      <w:proofErr w:type="spellStart"/>
      <w:r w:rsidRPr="00F15147">
        <w:rPr>
          <w:sz w:val="20"/>
          <w:szCs w:val="20"/>
          <w:lang w:val="es-ES"/>
        </w:rPr>
        <w:t>Wilders</w:t>
      </w:r>
      <w:proofErr w:type="spellEnd"/>
      <w:r w:rsidRPr="00F15147">
        <w:rPr>
          <w:sz w:val="20"/>
          <w:szCs w:val="20"/>
          <w:lang w:val="es-ES"/>
        </w:rPr>
        <w:t xml:space="preserve"> incita discriminación, hostilidad o violencia. Deseo hacer hincapié en el hecho que no se trata de comprobar la efectiva producción de actos discriminatorios, hostiles o violentos, pues la prohibición del Pacto es que simplemente los incite.</w:t>
      </w:r>
    </w:p>
    <w:p w:rsidR="00AA24B7" w:rsidRPr="00F15147" w:rsidRDefault="00AA24B7" w:rsidP="00834718">
      <w:pPr>
        <w:pStyle w:val="SingleTxtG"/>
        <w:adjustRightInd w:val="0"/>
        <w:snapToGrid w:val="0"/>
        <w:rPr>
          <w:rFonts w:cs="Arial"/>
          <w:sz w:val="20"/>
          <w:szCs w:val="20"/>
          <w:lang w:val="es-ES"/>
        </w:rPr>
      </w:pPr>
      <w:r w:rsidRPr="00F15147">
        <w:rPr>
          <w:sz w:val="20"/>
          <w:szCs w:val="20"/>
          <w:lang w:val="es-ES"/>
        </w:rPr>
        <w:t>5.</w:t>
      </w:r>
      <w:r w:rsidRPr="00F15147">
        <w:rPr>
          <w:sz w:val="20"/>
          <w:szCs w:val="20"/>
          <w:lang w:val="es-ES"/>
        </w:rPr>
        <w:tab/>
        <w:t>La incitación es contextual. Si bien la libertad de expresión es piedra angular de la sociedad democrática, y se debe garantizar el más amplio flujo de información y opiniones, no se debe perder de vista que ese flujo está pensado para sostener una sociedad democrática, por tanto, diversa, con mayorías y minorías. Es claro que en el ámbito político la libertad de expresión es amplia, precisamente para poder transmitir ideas y generar convicción y seguidores. Pero esa libertad de expresión tiene un límite establecido por el Pacto. Cuando se ejerce un liderazgo político la libertad de expresión no es absoluta.</w:t>
      </w:r>
    </w:p>
    <w:p w:rsidR="00AA24B7" w:rsidRDefault="00AA24B7" w:rsidP="00834718">
      <w:pPr>
        <w:pStyle w:val="SingleTxtG"/>
        <w:adjustRightInd w:val="0"/>
        <w:snapToGrid w:val="0"/>
        <w:rPr>
          <w:sz w:val="20"/>
          <w:szCs w:val="20"/>
          <w:lang w:val="es-ES"/>
        </w:rPr>
      </w:pPr>
      <w:r w:rsidRPr="00F15147">
        <w:rPr>
          <w:sz w:val="20"/>
          <w:szCs w:val="20"/>
          <w:lang w:val="es-ES"/>
        </w:rPr>
        <w:lastRenderedPageBreak/>
        <w:t>6.</w:t>
      </w:r>
      <w:r w:rsidRPr="00F15147">
        <w:rPr>
          <w:sz w:val="20"/>
          <w:szCs w:val="20"/>
          <w:lang w:val="es-ES"/>
        </w:rPr>
        <w:tab/>
        <w:t>En ese punto es que toma mayor sentido el artículo 14 del Pacto. El artículo 24 del Pacto empuja a la construcción de la igualdad procesal entre víctimas y victimarios, al menos en lo que sea razonablemente equiparable. Las fallas procesales acreditadas en el presente caso no permitieron a las autoridades nacionales de naturaleza judicial contar con el material informativo y argumentativo de las partes para decidir si el discurso incitaba o no. Radica ahí, entonces, que el tratamiento procesal que recibieron las víctimas del presente caso, limitó la capacidad de pleno análisis. Por eso, mi conclusión, es que el Estado sí ha incumplido los artículos 14.1 en relación con el 20.2, y debería implementar reformas normativas para evitar que situaciones similares vuelvan a repetirse. Ello por cuanto el proceso civil ordinario no es el medio más idóneo para cumplir con la obligación de prohibir un acto tan calificado como la apología del odio, especialmente en el contexto de nuestros tiempos. Si así fuera,</w:t>
      </w:r>
      <w:r>
        <w:rPr>
          <w:sz w:val="20"/>
          <w:szCs w:val="20"/>
          <w:lang w:val="es-ES"/>
        </w:rPr>
        <w:t xml:space="preserve"> </w:t>
      </w:r>
      <w:r w:rsidRPr="00F15147">
        <w:rPr>
          <w:sz w:val="20"/>
          <w:szCs w:val="20"/>
          <w:lang w:val="es-ES"/>
        </w:rPr>
        <w:t>la prohibición sería una formalidad muy fácil de evadir con el pago de indemnizaciones civiles que no representan un obstáculo suficientemente prohibitivo para evitar su repetición.</w:t>
      </w:r>
      <w:r>
        <w:rPr>
          <w:sz w:val="20"/>
          <w:szCs w:val="20"/>
          <w:lang w:val="es-ES"/>
        </w:rPr>
        <w:t xml:space="preserve"> </w:t>
      </w:r>
      <w:r w:rsidRPr="00F15147">
        <w:rPr>
          <w:sz w:val="20"/>
          <w:szCs w:val="20"/>
          <w:lang w:val="es-ES"/>
        </w:rPr>
        <w:t>El impacto de una incitación al odio puede tener efectos inconmensurables en perjuicio de grupos de personas en condición de una vulnerabilidad particular, especialmente cuando se hace desde el podio de un personaje público que debiera extremar ciertos cuidados en el uso de su discurso para evitar repercusiones colectivas replicables con impunidad. La indemnización civil como contrapeso no es un medio que sea suficientemente prohibiti</w:t>
      </w:r>
      <w:r>
        <w:rPr>
          <w:sz w:val="20"/>
          <w:szCs w:val="20"/>
          <w:lang w:val="es-ES"/>
        </w:rPr>
        <w:t>vo en los términos del artículo </w:t>
      </w:r>
      <w:r w:rsidRPr="00F15147">
        <w:rPr>
          <w:sz w:val="20"/>
          <w:szCs w:val="20"/>
          <w:lang w:val="es-ES"/>
        </w:rPr>
        <w:t>20.2 del Pacto.</w:t>
      </w:r>
    </w:p>
    <w:p w:rsidR="00AA24B7" w:rsidRDefault="00AA24B7" w:rsidP="00834718">
      <w:pPr>
        <w:pStyle w:val="SingleTxtGC"/>
        <w:tabs>
          <w:tab w:val="left" w:pos="567"/>
        </w:tabs>
        <w:rPr>
          <w:lang w:val="es-ES"/>
        </w:rPr>
        <w:sectPr w:rsidR="00AA24B7" w:rsidSect="00AA24B7">
          <w:endnotePr>
            <w:numFmt w:val="decimal"/>
          </w:endnotePr>
          <w:pgSz w:w="11906" w:h="16838" w:code="9"/>
          <w:pgMar w:top="1417" w:right="1134" w:bottom="1134" w:left="1134" w:header="850" w:footer="567" w:gutter="0"/>
          <w:cols w:space="425"/>
          <w:docGrid w:type="lines" w:linePitch="326"/>
        </w:sectPr>
      </w:pPr>
    </w:p>
    <w:p w:rsidR="00AA24B7" w:rsidRPr="00F15147" w:rsidRDefault="00AA24B7" w:rsidP="00834718">
      <w:pPr>
        <w:pStyle w:val="HChG"/>
        <w:adjustRightInd w:val="0"/>
        <w:snapToGrid w:val="0"/>
        <w:rPr>
          <w:lang w:val="fr-CH"/>
        </w:rPr>
      </w:pPr>
      <w:proofErr w:type="spellStart"/>
      <w:r w:rsidRPr="00F15147">
        <w:rPr>
          <w:lang w:val="fr-CH"/>
        </w:rPr>
        <w:lastRenderedPageBreak/>
        <w:t>Annex</w:t>
      </w:r>
      <w:proofErr w:type="spellEnd"/>
      <w:r w:rsidRPr="00F15147">
        <w:rPr>
          <w:lang w:val="fr-CH"/>
        </w:rPr>
        <w:t xml:space="preserve"> VII</w:t>
      </w:r>
    </w:p>
    <w:p w:rsidR="00AA24B7" w:rsidRPr="00F15147" w:rsidRDefault="00AA24B7" w:rsidP="00834718">
      <w:pPr>
        <w:pStyle w:val="HChG"/>
        <w:adjustRightInd w:val="0"/>
        <w:snapToGrid w:val="0"/>
        <w:rPr>
          <w:lang w:val="fr-CH"/>
        </w:rPr>
      </w:pPr>
      <w:r w:rsidRPr="00F15147">
        <w:rPr>
          <w:sz w:val="20"/>
          <w:szCs w:val="20"/>
          <w:lang w:val="fr-CH"/>
        </w:rPr>
        <w:tab/>
      </w:r>
      <w:r w:rsidRPr="00F15147">
        <w:rPr>
          <w:lang w:val="fr-CH"/>
        </w:rPr>
        <w:tab/>
        <w:t xml:space="preserve">Opinion partiellement concordante, partiellement dissidente </w:t>
      </w:r>
      <w:proofErr w:type="gramStart"/>
      <w:r w:rsidRPr="00F15147">
        <w:rPr>
          <w:lang w:val="fr-CH"/>
        </w:rPr>
        <w:t>de Olivier</w:t>
      </w:r>
      <w:proofErr w:type="gramEnd"/>
      <w:r w:rsidRPr="00F15147">
        <w:rPr>
          <w:lang w:val="fr-CH"/>
        </w:rPr>
        <w:t xml:space="preserve"> de </w:t>
      </w:r>
      <w:proofErr w:type="spellStart"/>
      <w:r w:rsidRPr="00F15147">
        <w:rPr>
          <w:lang w:val="fr-CH"/>
        </w:rPr>
        <w:t>Frouville</w:t>
      </w:r>
      <w:proofErr w:type="spellEnd"/>
    </w:p>
    <w:p w:rsidR="00AA24B7" w:rsidRPr="00F15147" w:rsidRDefault="00AA24B7" w:rsidP="00834718">
      <w:pPr>
        <w:pStyle w:val="SingleTxtG"/>
        <w:adjustRightInd w:val="0"/>
        <w:snapToGrid w:val="0"/>
        <w:rPr>
          <w:sz w:val="20"/>
          <w:szCs w:val="20"/>
          <w:lang w:val="fr-CH"/>
        </w:rPr>
      </w:pPr>
      <w:r w:rsidRPr="00F15147">
        <w:rPr>
          <w:sz w:val="20"/>
          <w:szCs w:val="20"/>
          <w:lang w:val="fr-CH"/>
        </w:rPr>
        <w:t>1.</w:t>
      </w:r>
      <w:r w:rsidRPr="00F15147">
        <w:rPr>
          <w:sz w:val="20"/>
          <w:szCs w:val="20"/>
          <w:lang w:val="fr-CH"/>
        </w:rPr>
        <w:tab/>
        <w:t xml:space="preserve">Cette affaire présentait, au-delà du cas particulier de M. </w:t>
      </w:r>
      <w:proofErr w:type="spellStart"/>
      <w:r w:rsidRPr="00F15147">
        <w:rPr>
          <w:sz w:val="20"/>
          <w:szCs w:val="20"/>
          <w:lang w:val="fr-CH"/>
        </w:rPr>
        <w:t>Wilders</w:t>
      </w:r>
      <w:proofErr w:type="spellEnd"/>
      <w:r w:rsidRPr="00F15147">
        <w:rPr>
          <w:sz w:val="20"/>
          <w:szCs w:val="20"/>
          <w:lang w:val="fr-CH"/>
        </w:rPr>
        <w:t>, des enjeux juridiques et sociétaux d’une importance fondamentale. Or le Comité n’a qu’en partie relevé le défi et semble être resté au milieu du gué. J’appuie généralement les conclusions du Comité sur la recevabilité. Je me rallie également à un certain nombre des motifs élaborés par le Comité sur le fond, mais je suis en désaccord avec la conclusion de non-violation à laquelle il parvient au paragraphe 10.7., à savoir que l’Etat partie aurait pris « les mesures nécessaires et proportionnées visant à “interdire” les déclarations formulées en violation du paragraphe 2 de l’article 20 et à garantir le droit des auteurs à un recours utile en vue de les protéger contre les conséquences de telles déclarations ». J’aimerais dans cette opinion expliciter ces points d’accord et de désaccord.</w:t>
      </w:r>
    </w:p>
    <w:p w:rsidR="00AA24B7" w:rsidRPr="008B6CE5" w:rsidRDefault="00AA24B7" w:rsidP="00834718">
      <w:pPr>
        <w:pStyle w:val="H23G"/>
        <w:adjustRightInd w:val="0"/>
        <w:snapToGrid w:val="0"/>
        <w:rPr>
          <w:sz w:val="20"/>
          <w:szCs w:val="20"/>
          <w:lang w:val="fr-CH"/>
        </w:rPr>
      </w:pPr>
      <w:r w:rsidRPr="00F15147">
        <w:rPr>
          <w:sz w:val="20"/>
          <w:szCs w:val="20"/>
          <w:lang w:val="fr-CH"/>
        </w:rPr>
        <w:tab/>
      </w:r>
      <w:r w:rsidRPr="00F15147">
        <w:rPr>
          <w:sz w:val="20"/>
          <w:szCs w:val="20"/>
          <w:lang w:val="fr-CH"/>
        </w:rPr>
        <w:tab/>
      </w:r>
      <w:r w:rsidRPr="008B6CE5">
        <w:rPr>
          <w:sz w:val="20"/>
          <w:szCs w:val="20"/>
          <w:lang w:val="fr-CH"/>
        </w:rPr>
        <w:t>Sur la recevabilité</w:t>
      </w:r>
    </w:p>
    <w:p w:rsidR="00AA24B7" w:rsidRPr="00F15147" w:rsidRDefault="00AA24B7" w:rsidP="00834718">
      <w:pPr>
        <w:pStyle w:val="SingleTxtG"/>
        <w:adjustRightInd w:val="0"/>
        <w:snapToGrid w:val="0"/>
        <w:rPr>
          <w:sz w:val="20"/>
          <w:szCs w:val="20"/>
          <w:lang w:val="fr-CH"/>
        </w:rPr>
      </w:pPr>
      <w:r w:rsidRPr="00F15147">
        <w:rPr>
          <w:sz w:val="20"/>
          <w:szCs w:val="20"/>
          <w:lang w:val="fr-CH"/>
        </w:rPr>
        <w:t>2.</w:t>
      </w:r>
      <w:r w:rsidRPr="00F15147">
        <w:rPr>
          <w:sz w:val="20"/>
          <w:szCs w:val="20"/>
          <w:lang w:val="fr-CH"/>
        </w:rPr>
        <w:tab/>
      </w:r>
      <w:r w:rsidRPr="00F15147">
        <w:rPr>
          <w:i/>
          <w:sz w:val="20"/>
          <w:szCs w:val="20"/>
          <w:lang w:val="fr-CH"/>
        </w:rPr>
        <w:t>Premièrement</w:t>
      </w:r>
      <w:r w:rsidRPr="00F15147">
        <w:rPr>
          <w:sz w:val="20"/>
          <w:szCs w:val="20"/>
          <w:lang w:val="fr-CH"/>
        </w:rPr>
        <w:t xml:space="preserve">, j’appuie les motifs relatifs à </w:t>
      </w:r>
      <w:r w:rsidRPr="00F15147">
        <w:rPr>
          <w:i/>
          <w:sz w:val="20"/>
          <w:szCs w:val="20"/>
          <w:lang w:val="fr-CH"/>
        </w:rPr>
        <w:t>l’invocabilité du paragraphe 2 de l’article 20</w:t>
      </w:r>
      <w:r w:rsidRPr="00F15147">
        <w:rPr>
          <w:sz w:val="20"/>
          <w:szCs w:val="20"/>
          <w:lang w:val="fr-CH"/>
        </w:rPr>
        <w:t>. Sur ce point, le Comité reprend à son compte l’opinion dissidente de M.</w:t>
      </w:r>
      <w:r>
        <w:rPr>
          <w:sz w:val="20"/>
          <w:szCs w:val="20"/>
          <w:lang w:val="fr-CH"/>
        </w:rPr>
        <w:t> </w:t>
      </w:r>
      <w:r w:rsidRPr="00F15147">
        <w:rPr>
          <w:sz w:val="20"/>
          <w:szCs w:val="20"/>
          <w:lang w:val="fr-CH"/>
        </w:rPr>
        <w:t xml:space="preserve">Abdelfattah Amor dans l’affaire </w:t>
      </w:r>
      <w:proofErr w:type="spellStart"/>
      <w:r w:rsidRPr="00F15147">
        <w:rPr>
          <w:i/>
          <w:sz w:val="20"/>
          <w:szCs w:val="20"/>
          <w:lang w:val="fr-CH"/>
        </w:rPr>
        <w:t>Vassilari</w:t>
      </w:r>
      <w:proofErr w:type="spellEnd"/>
      <w:r w:rsidRPr="00F15147">
        <w:rPr>
          <w:i/>
          <w:sz w:val="20"/>
          <w:szCs w:val="20"/>
          <w:lang w:val="fr-CH"/>
        </w:rPr>
        <w:t xml:space="preserve"> c. Grèce</w:t>
      </w:r>
      <w:r w:rsidRPr="00F15147">
        <w:rPr>
          <w:sz w:val="20"/>
          <w:szCs w:val="20"/>
          <w:lang w:val="fr-CH"/>
        </w:rPr>
        <w:t xml:space="preserve">. Dans cette affaire, le Comité avait refusé sans beaucoup d’explications de se prononcer sur l’applicabilité du paragraphe 2 de l’article 20 aux cas individuels. Cette « esquive » avait laissé M. Amor « perplexe ». Il était en effet incompréhensible sur le plan juridique que cet article se retrouve ainsi neutralisé quant à ses effets. Reprenant les termes mêmes de M. Amor, le Comité observe que « l’invocation du paragraphe 2 de l’article 20 par des particuliers lésés s’inscrit donc dans la logique de protection qui sous-tend l’ensemble du Pacte. » (§ 9.7). Il reconnaît ainsi sa </w:t>
      </w:r>
      <w:proofErr w:type="spellStart"/>
      <w:r w:rsidRPr="00F15147">
        <w:rPr>
          <w:sz w:val="20"/>
          <w:szCs w:val="20"/>
          <w:lang w:val="fr-CH"/>
        </w:rPr>
        <w:t>justiciabilité</w:t>
      </w:r>
      <w:proofErr w:type="spellEnd"/>
      <w:r w:rsidRPr="00F15147">
        <w:rPr>
          <w:sz w:val="20"/>
          <w:szCs w:val="20"/>
          <w:lang w:val="fr-CH"/>
        </w:rPr>
        <w:t xml:space="preserve">, y compris pris isolément. Aussi est-il étrange que le Comité estime nécessaire de déclarer la recevabilité des griefs des auteurs au titre du paragraphe 3 de l’article 2 « conjointement avec les articles 20 (par. 2) et 26. » Le paragraphe 2 de l’article 20 fonde à lui seul un droit d’être protégé contre « tout appel à la haine nationale, raciale ou religieuse qui constitue une incitation à la discrimination, à l’hostilité ou à la violence ». Comme le précise par ailleurs le Comité, cette disposition « n’impose pas seulement aux Etats parties une obligation formelle d’adopter une législation interdisant les comportements discriminatoires. Une telle loi serait sans effet si elle n’était pas assortie de procédures de plaintes et de sanctions appropriées » (§ 9.7.) Elle constitue par conséquent une </w:t>
      </w:r>
      <w:proofErr w:type="spellStart"/>
      <w:r w:rsidRPr="00F15147">
        <w:rPr>
          <w:i/>
          <w:sz w:val="20"/>
          <w:szCs w:val="20"/>
          <w:lang w:val="fr-CH"/>
        </w:rPr>
        <w:t>lex</w:t>
      </w:r>
      <w:proofErr w:type="spellEnd"/>
      <w:r w:rsidRPr="00F15147">
        <w:rPr>
          <w:i/>
          <w:sz w:val="20"/>
          <w:szCs w:val="20"/>
          <w:lang w:val="fr-CH"/>
        </w:rPr>
        <w:t xml:space="preserve"> </w:t>
      </w:r>
      <w:proofErr w:type="spellStart"/>
      <w:r w:rsidRPr="00F15147">
        <w:rPr>
          <w:i/>
          <w:sz w:val="20"/>
          <w:szCs w:val="20"/>
          <w:lang w:val="fr-CH"/>
        </w:rPr>
        <w:t>specialis</w:t>
      </w:r>
      <w:proofErr w:type="spellEnd"/>
      <w:r w:rsidRPr="00F15147">
        <w:rPr>
          <w:sz w:val="20"/>
          <w:szCs w:val="20"/>
          <w:lang w:val="fr-CH"/>
        </w:rPr>
        <w:t xml:space="preserve"> tant à l’égard de l’article 26, qui fonde un droit d’être protégé contre toute forme de discrimination</w:t>
      </w:r>
      <w:r>
        <w:rPr>
          <w:rStyle w:val="a7"/>
          <w:szCs w:val="20"/>
          <w:lang w:val="fr-CH"/>
        </w:rPr>
        <w:footnoteReference w:id="51"/>
      </w:r>
      <w:r w:rsidRPr="00F15147">
        <w:rPr>
          <w:sz w:val="20"/>
          <w:szCs w:val="20"/>
          <w:lang w:val="fr-CH"/>
        </w:rPr>
        <w:t>, qu’à l’égard du paragraphe 3 de l’article 2 qui fonde le droit à un « recours utile » en cas de violation des droits reconnus dans le Pacte</w:t>
      </w:r>
      <w:r>
        <w:rPr>
          <w:rStyle w:val="a7"/>
          <w:szCs w:val="20"/>
          <w:lang w:val="fr-CH"/>
        </w:rPr>
        <w:footnoteReference w:id="52"/>
      </w:r>
      <w:r w:rsidRPr="00F15147">
        <w:rPr>
          <w:sz w:val="20"/>
          <w:szCs w:val="20"/>
          <w:lang w:val="fr-CH"/>
        </w:rPr>
        <w:t>.</w:t>
      </w:r>
    </w:p>
    <w:p w:rsidR="00AA24B7" w:rsidRPr="00F15147" w:rsidRDefault="00AA24B7" w:rsidP="00834718">
      <w:pPr>
        <w:pStyle w:val="SingleTxtG"/>
        <w:adjustRightInd w:val="0"/>
        <w:snapToGrid w:val="0"/>
        <w:rPr>
          <w:sz w:val="20"/>
          <w:szCs w:val="20"/>
          <w:lang w:val="fr-CH"/>
        </w:rPr>
      </w:pPr>
      <w:r w:rsidRPr="00F15147">
        <w:rPr>
          <w:sz w:val="20"/>
          <w:szCs w:val="20"/>
          <w:lang w:val="fr-CH"/>
        </w:rPr>
        <w:t>3.</w:t>
      </w:r>
      <w:r w:rsidRPr="00F15147">
        <w:rPr>
          <w:sz w:val="20"/>
          <w:szCs w:val="20"/>
          <w:lang w:val="fr-CH"/>
        </w:rPr>
        <w:tab/>
      </w:r>
      <w:r w:rsidRPr="00F15147">
        <w:rPr>
          <w:i/>
          <w:sz w:val="20"/>
          <w:szCs w:val="20"/>
          <w:lang w:val="fr-CH"/>
        </w:rPr>
        <w:t>Deuxièmement</w:t>
      </w:r>
      <w:r w:rsidRPr="00F15147">
        <w:rPr>
          <w:sz w:val="20"/>
          <w:szCs w:val="20"/>
          <w:lang w:val="fr-CH"/>
        </w:rPr>
        <w:t xml:space="preserve">, je suis également en accord avec les conclusions du Comité relatifs à la </w:t>
      </w:r>
      <w:r w:rsidRPr="00F15147">
        <w:rPr>
          <w:i/>
          <w:sz w:val="20"/>
          <w:szCs w:val="20"/>
          <w:lang w:val="fr-CH"/>
        </w:rPr>
        <w:t>reconnaissance de la qualité de victime</w:t>
      </w:r>
      <w:r w:rsidRPr="00F15147">
        <w:rPr>
          <w:sz w:val="20"/>
          <w:szCs w:val="20"/>
          <w:lang w:val="fr-CH"/>
        </w:rPr>
        <w:t xml:space="preserve"> des auteurs de la communication. Je suis en particulier en accord avec les motifs énoncés au paragraphe 9.6. à savoir « que les auteurs, en tant que membres du groupe expressément visé par les déclarations de M. </w:t>
      </w:r>
      <w:proofErr w:type="spellStart"/>
      <w:r w:rsidRPr="00F15147">
        <w:rPr>
          <w:sz w:val="20"/>
          <w:szCs w:val="20"/>
          <w:lang w:val="fr-CH"/>
        </w:rPr>
        <w:t>Wilders</w:t>
      </w:r>
      <w:proofErr w:type="spellEnd"/>
      <w:r w:rsidRPr="00F15147">
        <w:rPr>
          <w:sz w:val="20"/>
          <w:szCs w:val="20"/>
          <w:lang w:val="fr-CH"/>
        </w:rPr>
        <w:t xml:space="preserve">, sont des personnes que le paragraphe 2 de l’article 20 a pour objectif de protéger, et que les déclarations de M. </w:t>
      </w:r>
      <w:proofErr w:type="spellStart"/>
      <w:r w:rsidRPr="00F15147">
        <w:rPr>
          <w:sz w:val="20"/>
          <w:szCs w:val="20"/>
          <w:lang w:val="fr-CH"/>
        </w:rPr>
        <w:t>Wilders</w:t>
      </w:r>
      <w:proofErr w:type="spellEnd"/>
      <w:r w:rsidRPr="00F15147">
        <w:rPr>
          <w:sz w:val="20"/>
          <w:szCs w:val="20"/>
          <w:lang w:val="fr-CH"/>
        </w:rPr>
        <w:t xml:space="preserve"> ont eu des conséquences spécifiques pour elles, notamment en </w:t>
      </w:r>
      <w:r w:rsidRPr="00F15147">
        <w:rPr>
          <w:sz w:val="20"/>
          <w:szCs w:val="20"/>
          <w:lang w:val="fr-CH"/>
        </w:rPr>
        <w:lastRenderedPageBreak/>
        <w:t>suscitant dans la société des attitudes discriminatoires à l’égard de ce groupe et à l’égard des auteurs en tant que membres du groupe »</w:t>
      </w:r>
      <w:r>
        <w:rPr>
          <w:rStyle w:val="a7"/>
          <w:szCs w:val="20"/>
          <w:lang w:val="fr-CH"/>
        </w:rPr>
        <w:footnoteReference w:id="53"/>
      </w:r>
      <w:r w:rsidRPr="00F15147">
        <w:rPr>
          <w:sz w:val="20"/>
          <w:szCs w:val="20"/>
          <w:lang w:val="fr-CH"/>
        </w:rPr>
        <w:t>.</w:t>
      </w:r>
    </w:p>
    <w:p w:rsidR="00AA24B7" w:rsidRPr="00F15147" w:rsidRDefault="00AA24B7" w:rsidP="00834718">
      <w:pPr>
        <w:pStyle w:val="SingleTxtG"/>
        <w:adjustRightInd w:val="0"/>
        <w:snapToGrid w:val="0"/>
        <w:rPr>
          <w:sz w:val="20"/>
          <w:szCs w:val="20"/>
          <w:lang w:val="fr-CH"/>
        </w:rPr>
      </w:pPr>
      <w:r w:rsidRPr="00F15147">
        <w:rPr>
          <w:sz w:val="20"/>
          <w:szCs w:val="20"/>
          <w:lang w:val="fr-CH"/>
        </w:rPr>
        <w:t>4.</w:t>
      </w:r>
      <w:r w:rsidRPr="00F15147">
        <w:rPr>
          <w:sz w:val="20"/>
          <w:szCs w:val="20"/>
          <w:lang w:val="fr-CH"/>
        </w:rPr>
        <w:tab/>
        <w:t>A partir de ces deux points, on peut conclure que sont généralement recevables au titre du Protocole facultatif les griefs a) fondés sur le paragraphe 2 de l’article 20 ; b)</w:t>
      </w:r>
      <w:r>
        <w:rPr>
          <w:sz w:val="20"/>
          <w:szCs w:val="20"/>
          <w:lang w:val="fr-CH"/>
        </w:rPr>
        <w:t> </w:t>
      </w:r>
      <w:r w:rsidRPr="00F15147">
        <w:rPr>
          <w:sz w:val="20"/>
          <w:szCs w:val="20"/>
          <w:lang w:val="fr-CH"/>
        </w:rPr>
        <w:t>présentés par des personnes qui pourront suffisamment étayer leur allégation selon laquelle des déclarations à caractère discriminatoire ou incitant à la haine ont eu des « conséquences spécifiques » pour elles, notamment en tant que membres du groupe visé par de telles déclarations.</w:t>
      </w:r>
    </w:p>
    <w:p w:rsidR="00AA24B7" w:rsidRPr="008B6CE5" w:rsidRDefault="00AA24B7" w:rsidP="00834718">
      <w:pPr>
        <w:pStyle w:val="H23G"/>
        <w:adjustRightInd w:val="0"/>
        <w:snapToGrid w:val="0"/>
        <w:rPr>
          <w:sz w:val="20"/>
          <w:szCs w:val="20"/>
          <w:lang w:val="fr-CH"/>
        </w:rPr>
      </w:pPr>
      <w:r w:rsidRPr="00F15147">
        <w:rPr>
          <w:sz w:val="20"/>
          <w:szCs w:val="20"/>
          <w:lang w:val="fr-CH"/>
        </w:rPr>
        <w:tab/>
      </w:r>
      <w:r w:rsidRPr="00F15147">
        <w:rPr>
          <w:sz w:val="20"/>
          <w:szCs w:val="20"/>
          <w:lang w:val="fr-CH"/>
        </w:rPr>
        <w:tab/>
      </w:r>
      <w:r w:rsidRPr="008B6CE5">
        <w:rPr>
          <w:sz w:val="20"/>
          <w:szCs w:val="20"/>
          <w:lang w:val="fr-CH"/>
        </w:rPr>
        <w:t>Sur le fond</w:t>
      </w:r>
    </w:p>
    <w:p w:rsidR="00AA24B7" w:rsidRPr="00F15147" w:rsidRDefault="00AA24B7" w:rsidP="00834718">
      <w:pPr>
        <w:pStyle w:val="SingleTxtG"/>
        <w:adjustRightInd w:val="0"/>
        <w:snapToGrid w:val="0"/>
        <w:rPr>
          <w:sz w:val="20"/>
          <w:szCs w:val="20"/>
          <w:lang w:val="fr-CH"/>
        </w:rPr>
      </w:pPr>
      <w:r w:rsidRPr="00F15147">
        <w:rPr>
          <w:sz w:val="20"/>
          <w:szCs w:val="20"/>
          <w:lang w:val="fr-CH"/>
        </w:rPr>
        <w:t>5.</w:t>
      </w:r>
      <w:r w:rsidRPr="00F15147">
        <w:rPr>
          <w:sz w:val="20"/>
          <w:szCs w:val="20"/>
          <w:lang w:val="fr-CH"/>
        </w:rPr>
        <w:tab/>
        <w:t>Cette affaire présente une configuration inhabituelle. Le Comité, comme d’ailleurs les cours régionales de droits de l’Homme, ont généralement à traiter d’affaires dans lesquelles l’auteur d’un discours de haine se plaint d’une restriction à sa liberté d’expression, notamment sous la forme d’une sanction pénale. Ici, des auteurs se plaignent, à l’inverse, de ce que les recours existant dans le droit national contre les discours de haine ne sont pas effectifs et en tout cas que la décision du tribunal qui a appliqué en l’espèce la loi nationale viole les obligations de l’Etat partie découlant du Pacte, et en particulier celles qui découlent du paragraphe 2 de l’article 20 du Pacte</w:t>
      </w:r>
      <w:r>
        <w:rPr>
          <w:rStyle w:val="a7"/>
          <w:szCs w:val="20"/>
          <w:lang w:val="fr-CH"/>
        </w:rPr>
        <w:footnoteReference w:id="54"/>
      </w:r>
      <w:r w:rsidRPr="00F15147">
        <w:rPr>
          <w:sz w:val="20"/>
          <w:szCs w:val="20"/>
          <w:lang w:val="fr-CH"/>
        </w:rPr>
        <w:t>. Autrement dit, est ici en cause non la restriction à l’exercice d’un droit, mais plutôt le manquement à une obligation positive de protection. De ce point de vue, la jurisprudence du Comité des Nations Unies pour l’élimination de la discrimination raciale au regard de l’article 4 de la Convention de 1965 est particulièrement pertinente et il est dommage que le Comité ne s’en soit pas davantage inspiré</w:t>
      </w:r>
      <w:r>
        <w:rPr>
          <w:rStyle w:val="a7"/>
          <w:szCs w:val="20"/>
          <w:lang w:val="fr-CH"/>
        </w:rPr>
        <w:footnoteReference w:id="55"/>
      </w:r>
      <w:r w:rsidRPr="00F15147">
        <w:rPr>
          <w:sz w:val="20"/>
          <w:szCs w:val="20"/>
          <w:lang w:val="fr-CH"/>
        </w:rPr>
        <w:t>.</w:t>
      </w:r>
    </w:p>
    <w:p w:rsidR="00AA24B7" w:rsidRPr="00F15147" w:rsidRDefault="00AA24B7" w:rsidP="00834718">
      <w:pPr>
        <w:pStyle w:val="SingleTxtG"/>
        <w:adjustRightInd w:val="0"/>
        <w:snapToGrid w:val="0"/>
        <w:rPr>
          <w:sz w:val="20"/>
          <w:szCs w:val="20"/>
          <w:lang w:val="fr-CH"/>
        </w:rPr>
      </w:pPr>
      <w:r w:rsidRPr="00F15147">
        <w:rPr>
          <w:sz w:val="20"/>
          <w:szCs w:val="20"/>
          <w:lang w:val="fr-CH"/>
        </w:rPr>
        <w:t>6.</w:t>
      </w:r>
      <w:r w:rsidRPr="00F15147">
        <w:rPr>
          <w:sz w:val="20"/>
          <w:szCs w:val="20"/>
          <w:lang w:val="fr-CH"/>
        </w:rPr>
        <w:tab/>
        <w:t xml:space="preserve">Tout d’abord, je dois dire que j’appuie un certain nombre des motifs développés par le Comité dans son raisonnement au fond. Le Comité rappelle avec justesse quelques points importants contenus </w:t>
      </w:r>
      <w:r>
        <w:rPr>
          <w:sz w:val="20"/>
          <w:szCs w:val="20"/>
          <w:lang w:val="fr-CH"/>
        </w:rPr>
        <w:t>dans son Observation générale n</w:t>
      </w:r>
      <w:r w:rsidRPr="00F52792">
        <w:rPr>
          <w:sz w:val="20"/>
          <w:szCs w:val="20"/>
          <w:vertAlign w:val="superscript"/>
          <w:lang w:val="fr-CH"/>
        </w:rPr>
        <w:t>o</w:t>
      </w:r>
      <w:r w:rsidRPr="00F15147">
        <w:rPr>
          <w:sz w:val="20"/>
          <w:szCs w:val="20"/>
          <w:lang w:val="fr-CH"/>
        </w:rPr>
        <w:t> 34</w:t>
      </w:r>
      <w:r>
        <w:rPr>
          <w:rStyle w:val="a7"/>
          <w:szCs w:val="20"/>
          <w:lang w:val="fr-CH"/>
        </w:rPr>
        <w:footnoteReference w:id="56"/>
      </w:r>
      <w:r w:rsidRPr="00F15147">
        <w:rPr>
          <w:sz w:val="20"/>
          <w:szCs w:val="20"/>
          <w:lang w:val="fr-CH"/>
        </w:rPr>
        <w:t>, relatifs non seulement à la place cardinale de la liberté d’expression dans une société démocratique et à l’articulation entre l’a</w:t>
      </w:r>
      <w:r>
        <w:rPr>
          <w:sz w:val="20"/>
          <w:szCs w:val="20"/>
          <w:lang w:val="fr-CH"/>
        </w:rPr>
        <w:t>rticle 20 et l’article 19 (par. </w:t>
      </w:r>
      <w:r w:rsidRPr="00F15147">
        <w:rPr>
          <w:sz w:val="20"/>
          <w:szCs w:val="20"/>
          <w:lang w:val="fr-CH"/>
        </w:rPr>
        <w:t>10.4.) Il réaffirme avec force que la liberté d’expression s’applique aussi à des propos qui peuvent être considérés comme profondément offensants, y compris à l’égard des convictions religieuses ou politiques (</w:t>
      </w:r>
      <w:r w:rsidRPr="00F15147">
        <w:rPr>
          <w:i/>
          <w:sz w:val="20"/>
          <w:szCs w:val="20"/>
          <w:lang w:val="fr-CH"/>
        </w:rPr>
        <w:t>id</w:t>
      </w:r>
      <w:r w:rsidRPr="00F15147">
        <w:rPr>
          <w:sz w:val="20"/>
          <w:szCs w:val="20"/>
          <w:lang w:val="fr-CH"/>
        </w:rPr>
        <w:t xml:space="preserve">.) Le Comité aurait pu ajouter que si les bornes à la liberté d’expression doivent être encore plus largement entendues dans le débat public et politique, le fait qu’un propos soit tenu dans le contexte d’un tel débat ne lui confère pas une immunité totale et ne dispense en tout cas pas l’Etat partie de son obligation d’ouvrir une enquête pour déterminer si ces propos représentent un </w:t>
      </w:r>
      <w:r w:rsidRPr="00F15147">
        <w:rPr>
          <w:sz w:val="20"/>
          <w:szCs w:val="20"/>
          <w:lang w:val="fr-CH"/>
        </w:rPr>
        <w:lastRenderedPageBreak/>
        <w:t>acte de discrimination raciale ou, en l’espèce, un propos tombant sous le coup du paragraphe 2 de l’article 20</w:t>
      </w:r>
      <w:r>
        <w:rPr>
          <w:rStyle w:val="a7"/>
          <w:szCs w:val="20"/>
          <w:lang w:val="fr-CH"/>
        </w:rPr>
        <w:footnoteReference w:id="57"/>
      </w:r>
      <w:r w:rsidRPr="00F15147">
        <w:rPr>
          <w:sz w:val="20"/>
          <w:szCs w:val="20"/>
          <w:lang w:val="fr-CH"/>
        </w:rPr>
        <w:t>.</w:t>
      </w:r>
    </w:p>
    <w:p w:rsidR="00AA24B7" w:rsidRPr="00F15147" w:rsidRDefault="00AA24B7" w:rsidP="00834718">
      <w:pPr>
        <w:pStyle w:val="SingleTxtG"/>
        <w:adjustRightInd w:val="0"/>
        <w:snapToGrid w:val="0"/>
        <w:rPr>
          <w:sz w:val="20"/>
          <w:szCs w:val="20"/>
          <w:lang w:val="fr-CH"/>
        </w:rPr>
      </w:pPr>
      <w:r w:rsidRPr="00F15147">
        <w:rPr>
          <w:sz w:val="20"/>
          <w:szCs w:val="20"/>
          <w:lang w:val="fr-CH"/>
        </w:rPr>
        <w:t>7.</w:t>
      </w:r>
      <w:r w:rsidRPr="00F15147">
        <w:rPr>
          <w:sz w:val="20"/>
          <w:szCs w:val="20"/>
          <w:lang w:val="fr-CH"/>
        </w:rPr>
        <w:tab/>
        <w:t>Enfin, comme je l’ai dit plus haut, j’estime que le Comité a bien interprété le paragraphe 2 de l’article 20, en considérant que cette disposition n’exigeait pas seulement des Etats parties qu’ils adoptent une loi, mais aussi qu’ils mettent en place des procédures de plaintes et de sanctions appropriées, sans quoi une telle loi serait « sans effet » (par.</w:t>
      </w:r>
      <w:r>
        <w:rPr>
          <w:sz w:val="20"/>
          <w:szCs w:val="20"/>
          <w:lang w:val="fr-CH"/>
        </w:rPr>
        <w:t> </w:t>
      </w:r>
      <w:r w:rsidRPr="00F15147">
        <w:rPr>
          <w:sz w:val="20"/>
          <w:szCs w:val="20"/>
          <w:lang w:val="fr-CH"/>
        </w:rPr>
        <w:t xml:space="preserve">9.7.). Là encore, le Comité des droits de l’Homme aurait pu s’appuyer utilement sur la jurisprudence du </w:t>
      </w:r>
      <w:proofErr w:type="spellStart"/>
      <w:r w:rsidRPr="00F15147">
        <w:rPr>
          <w:sz w:val="20"/>
          <w:szCs w:val="20"/>
          <w:lang w:val="fr-CH"/>
        </w:rPr>
        <w:t>CERD</w:t>
      </w:r>
      <w:proofErr w:type="spellEnd"/>
      <w:r>
        <w:rPr>
          <w:rStyle w:val="a7"/>
          <w:szCs w:val="20"/>
          <w:lang w:val="fr-CH"/>
        </w:rPr>
        <w:footnoteReference w:id="58"/>
      </w:r>
      <w:r w:rsidRPr="00F15147">
        <w:rPr>
          <w:sz w:val="20"/>
          <w:szCs w:val="20"/>
          <w:lang w:val="fr-CH"/>
        </w:rPr>
        <w:t>.</w:t>
      </w:r>
    </w:p>
    <w:p w:rsidR="00AA24B7" w:rsidRPr="00F15147" w:rsidRDefault="00AA24B7" w:rsidP="00834718">
      <w:pPr>
        <w:pStyle w:val="SingleTxtG"/>
        <w:adjustRightInd w:val="0"/>
        <w:snapToGrid w:val="0"/>
        <w:rPr>
          <w:sz w:val="20"/>
          <w:szCs w:val="20"/>
          <w:lang w:val="fr-CH"/>
        </w:rPr>
      </w:pPr>
      <w:r w:rsidRPr="00F15147">
        <w:rPr>
          <w:sz w:val="20"/>
          <w:szCs w:val="20"/>
          <w:lang w:val="fr-CH"/>
        </w:rPr>
        <w:t>8.</w:t>
      </w:r>
      <w:r w:rsidRPr="00F15147">
        <w:rPr>
          <w:sz w:val="20"/>
          <w:szCs w:val="20"/>
          <w:lang w:val="fr-CH"/>
        </w:rPr>
        <w:tab/>
        <w:t>Pour autant, je ne peux rejoindre le Comité lorsqu’il parvient à la conclusion « que l’Etat partie a pris les mesures nécessaires et proportionnées visant à « interdire » les déclarations formulées en violation du paragraphe 2 de l’article 20</w:t>
      </w:r>
      <w:r>
        <w:rPr>
          <w:sz w:val="20"/>
          <w:szCs w:val="20"/>
          <w:lang w:val="fr-CH"/>
        </w:rPr>
        <w:t xml:space="preserve"> </w:t>
      </w:r>
      <w:r w:rsidRPr="00F15147">
        <w:rPr>
          <w:sz w:val="20"/>
          <w:szCs w:val="20"/>
          <w:lang w:val="fr-CH"/>
        </w:rPr>
        <w:t>et à garantir le droit des auteurs à un recours utile en vue de les protéger contre les conséquences de telles déclarations. » (</w:t>
      </w:r>
      <w:proofErr w:type="gramStart"/>
      <w:r w:rsidRPr="00F15147">
        <w:rPr>
          <w:sz w:val="20"/>
          <w:szCs w:val="20"/>
          <w:lang w:val="fr-CH"/>
        </w:rPr>
        <w:t>par</w:t>
      </w:r>
      <w:proofErr w:type="gramEnd"/>
      <w:r w:rsidRPr="00F15147">
        <w:rPr>
          <w:sz w:val="20"/>
          <w:szCs w:val="20"/>
          <w:lang w:val="fr-CH"/>
        </w:rPr>
        <w:t>. 10.7.) Pour parvenir à cette conclusion, le Comité se borne à un exercer un contrôle purement formel, en relevant l’existence d’une incrimination, de voies de recours et le fait qu’en l’espèce de tels recours ont été actionnés par les auteurs et que « le tribunal d’instance a rendu un jugement circonstancié appréciant les déclarations de M.</w:t>
      </w:r>
      <w:r>
        <w:rPr>
          <w:sz w:val="20"/>
          <w:szCs w:val="20"/>
          <w:lang w:val="fr-CH"/>
        </w:rPr>
        <w:t> </w:t>
      </w:r>
      <w:proofErr w:type="spellStart"/>
      <w:r w:rsidRPr="00F15147">
        <w:rPr>
          <w:sz w:val="20"/>
          <w:szCs w:val="20"/>
          <w:lang w:val="fr-CH"/>
        </w:rPr>
        <w:t>Wilders</w:t>
      </w:r>
      <w:proofErr w:type="spellEnd"/>
      <w:r w:rsidRPr="00F15147">
        <w:rPr>
          <w:sz w:val="20"/>
          <w:szCs w:val="20"/>
          <w:lang w:val="fr-CH"/>
        </w:rPr>
        <w:t xml:space="preserve"> à la lumière du droit applicable. » (</w:t>
      </w:r>
      <w:proofErr w:type="gramStart"/>
      <w:r w:rsidRPr="00F15147">
        <w:rPr>
          <w:i/>
          <w:sz w:val="20"/>
          <w:szCs w:val="20"/>
          <w:lang w:val="fr-CH"/>
        </w:rPr>
        <w:t>id</w:t>
      </w:r>
      <w:proofErr w:type="gramEnd"/>
      <w:r w:rsidRPr="00F15147">
        <w:rPr>
          <w:i/>
          <w:sz w:val="20"/>
          <w:szCs w:val="20"/>
          <w:lang w:val="fr-CH"/>
        </w:rPr>
        <w:t>.</w:t>
      </w:r>
      <w:r w:rsidRPr="00F15147">
        <w:rPr>
          <w:sz w:val="20"/>
          <w:szCs w:val="20"/>
          <w:lang w:val="fr-CH"/>
        </w:rPr>
        <w:t xml:space="preserve">) Or un tel contrôle, que l’on pourrait qualifier de « restreint » ne répond pas à la question centrale de savoir si le jugement rendu par le tribunal national a violé les droits que les auteurs tiennent du paragraphe 2 de l’article 20. </w:t>
      </w:r>
    </w:p>
    <w:p w:rsidR="00AA24B7" w:rsidRPr="00F15147" w:rsidRDefault="00AA24B7" w:rsidP="00834718">
      <w:pPr>
        <w:pStyle w:val="SingleTxtG"/>
        <w:adjustRightInd w:val="0"/>
        <w:snapToGrid w:val="0"/>
        <w:rPr>
          <w:sz w:val="20"/>
          <w:szCs w:val="20"/>
          <w:lang w:val="fr-CH"/>
        </w:rPr>
      </w:pPr>
      <w:r w:rsidRPr="00F15147">
        <w:rPr>
          <w:sz w:val="20"/>
          <w:szCs w:val="20"/>
          <w:lang w:val="fr-CH"/>
        </w:rPr>
        <w:t>9.</w:t>
      </w:r>
      <w:r w:rsidRPr="00F15147">
        <w:rPr>
          <w:sz w:val="20"/>
          <w:szCs w:val="20"/>
          <w:lang w:val="fr-CH"/>
        </w:rPr>
        <w:tab/>
        <w:t xml:space="preserve">Dans les affaires « classiques » de liberté d’expression, où sont en cause les restrictions apportées par l’Etat à l’exercice de cette liberté, le Comité ne se borne jamais à relever l’existence d’un cadre juridique interdisant les atteintes à la liberté d’expression et l’existence de recours utile, voire l’exercice par les auteurs de ces recours. Quand bien même les juridictions nationales auraient donné raison aux autorités qui ont en premier lieu adopté la mesure restrictive, le Comité ne s’interdit pas de livrer sa propre appréciation de la restriction au regard de la forme d’expression litigieuse ; et en fonction du résultat de cette appréciation, il est amené soit à valider l’interprétation des juridictions nationales et </w:t>
      </w:r>
      <w:r w:rsidRPr="00F15147">
        <w:rPr>
          <w:sz w:val="20"/>
          <w:szCs w:val="20"/>
          <w:lang w:val="fr-CH"/>
        </w:rPr>
        <w:lastRenderedPageBreak/>
        <w:t>donc la restriction</w:t>
      </w:r>
      <w:r>
        <w:rPr>
          <w:rStyle w:val="a7"/>
          <w:szCs w:val="20"/>
          <w:lang w:val="fr-CH"/>
        </w:rPr>
        <w:footnoteReference w:id="59"/>
      </w:r>
      <w:r w:rsidRPr="00F15147">
        <w:rPr>
          <w:sz w:val="20"/>
          <w:szCs w:val="20"/>
          <w:lang w:val="fr-CH"/>
        </w:rPr>
        <w:t>, soit à constater une violation de l’article 19 si cette restriction ne lui paraît finalement ni nécessaire ni proportionnée au regard du but légitime visé</w:t>
      </w:r>
      <w:r>
        <w:rPr>
          <w:rStyle w:val="a7"/>
          <w:szCs w:val="20"/>
          <w:lang w:val="fr-CH"/>
        </w:rPr>
        <w:footnoteReference w:id="60"/>
      </w:r>
      <w:r w:rsidRPr="00F15147">
        <w:rPr>
          <w:sz w:val="20"/>
          <w:szCs w:val="20"/>
          <w:lang w:val="fr-CH"/>
        </w:rPr>
        <w:t xml:space="preserve">. Or dans la présente affaire, le Comité refuse d’exercer un contrôle de degré équivalent : il se borne à constater l’existence d’un recours et s’en remet totalement à l’appréciation du juge national. </w:t>
      </w:r>
    </w:p>
    <w:p w:rsidR="00AA24B7" w:rsidRPr="00F15147" w:rsidRDefault="00AA24B7" w:rsidP="00834718">
      <w:pPr>
        <w:pStyle w:val="SingleTxtG"/>
        <w:adjustRightInd w:val="0"/>
        <w:snapToGrid w:val="0"/>
        <w:rPr>
          <w:sz w:val="20"/>
          <w:szCs w:val="20"/>
          <w:lang w:val="fr-CH"/>
        </w:rPr>
      </w:pPr>
      <w:r w:rsidRPr="00F15147">
        <w:rPr>
          <w:sz w:val="20"/>
          <w:szCs w:val="20"/>
          <w:lang w:val="fr-CH"/>
        </w:rPr>
        <w:t>10.</w:t>
      </w:r>
      <w:r w:rsidRPr="00F15147">
        <w:rPr>
          <w:sz w:val="20"/>
          <w:szCs w:val="20"/>
          <w:lang w:val="fr-CH"/>
        </w:rPr>
        <w:tab/>
        <w:t xml:space="preserve">Rien ne vient pourtant justifier ce </w:t>
      </w:r>
      <w:r w:rsidRPr="00F15147">
        <w:rPr>
          <w:i/>
          <w:sz w:val="20"/>
          <w:szCs w:val="20"/>
          <w:lang w:val="fr-CH"/>
        </w:rPr>
        <w:t>self-</w:t>
      </w:r>
      <w:proofErr w:type="spellStart"/>
      <w:r w:rsidRPr="00F15147">
        <w:rPr>
          <w:i/>
          <w:sz w:val="20"/>
          <w:szCs w:val="20"/>
          <w:lang w:val="fr-CH"/>
        </w:rPr>
        <w:t>restraint</w:t>
      </w:r>
      <w:proofErr w:type="spellEnd"/>
      <w:r w:rsidRPr="00F15147">
        <w:rPr>
          <w:sz w:val="20"/>
          <w:szCs w:val="20"/>
          <w:lang w:val="fr-CH"/>
        </w:rPr>
        <w:t>. Certes, selon une jurisprudence constante du Comité, « il appartient généralement aux juridictions des Etats parties au Pacte d’examiner les faits et les éléments de preuve ou l’application de la législation nationale dans un cas d’espèce, sauf s’il peut être établi que l’appréciation des éléments de preuve ou l’application de la législation ont été de toute évidence arbitraires, manifestement entachées d’erreur ou ont représenté un déni de justice, ou que le tribunal a par ailleurs violé son obligation d’indépendance ou d’impartialité</w:t>
      </w:r>
      <w:r>
        <w:rPr>
          <w:rStyle w:val="a7"/>
          <w:szCs w:val="20"/>
          <w:lang w:val="fr-CH"/>
        </w:rPr>
        <w:footnoteReference w:id="61"/>
      </w:r>
      <w:r w:rsidRPr="00F15147">
        <w:rPr>
          <w:sz w:val="20"/>
          <w:szCs w:val="20"/>
          <w:lang w:val="fr-CH"/>
        </w:rPr>
        <w:t xml:space="preserve">. » Mais un tel principe vaut dans les affaires où les faits sont controversés ou font à tout le moins l’objet d’interprétations divergentes. Or ce n’est nullement le cas ici. M. Geert </w:t>
      </w:r>
      <w:proofErr w:type="spellStart"/>
      <w:r w:rsidRPr="00F15147">
        <w:rPr>
          <w:sz w:val="20"/>
          <w:szCs w:val="20"/>
          <w:lang w:val="fr-CH"/>
        </w:rPr>
        <w:t>Wilders</w:t>
      </w:r>
      <w:proofErr w:type="spellEnd"/>
      <w:r w:rsidRPr="00F15147">
        <w:rPr>
          <w:sz w:val="20"/>
          <w:szCs w:val="20"/>
          <w:lang w:val="fr-CH"/>
        </w:rPr>
        <w:t xml:space="preserve"> ne conteste pas avoir prononcé les paroles qui sont dénoncées par les auteurs comme tombant sous le coup du paragraphe 2 de l’article 20, bien au contraire. On ne peut pas non plus invoquer une quelconque « marge d’appréciation » laissée à l’Etat partie en la matière : le Comité a explicitement rejeté cette doctrine s’agissant notamment de la liberté d’expression</w:t>
      </w:r>
      <w:r>
        <w:rPr>
          <w:rStyle w:val="a7"/>
          <w:szCs w:val="20"/>
          <w:lang w:val="fr-CH"/>
        </w:rPr>
        <w:footnoteReference w:id="62"/>
      </w:r>
      <w:r w:rsidRPr="00F15147">
        <w:rPr>
          <w:sz w:val="20"/>
          <w:szCs w:val="20"/>
          <w:lang w:val="fr-CH"/>
        </w:rPr>
        <w:t xml:space="preserve">. Il incombait par conséquent au Comité de déterminer si la qualification opérée par les auteurs était exacte et, dans l’affirmative, de rechercher si l’Etat partie avait manqué à son obligation positive </w:t>
      </w:r>
      <w:r w:rsidRPr="00F15147">
        <w:rPr>
          <w:sz w:val="20"/>
          <w:szCs w:val="20"/>
          <w:lang w:val="fr-CH"/>
        </w:rPr>
        <w:lastRenderedPageBreak/>
        <w:t>d’« interdire » par la loi « tout appel à la haine nationale, raciale ou religieuse qui constitue une incitation à la discrimination, à l’hostilité ou à la violence ».</w:t>
      </w:r>
    </w:p>
    <w:p w:rsidR="00AA24B7" w:rsidRPr="00F15147" w:rsidRDefault="00AA24B7" w:rsidP="00834718">
      <w:pPr>
        <w:pStyle w:val="SingleTxtG"/>
        <w:adjustRightInd w:val="0"/>
        <w:snapToGrid w:val="0"/>
        <w:rPr>
          <w:sz w:val="20"/>
          <w:szCs w:val="20"/>
          <w:lang w:val="fr-CH"/>
        </w:rPr>
      </w:pPr>
      <w:r w:rsidRPr="00F15147">
        <w:rPr>
          <w:sz w:val="20"/>
          <w:szCs w:val="20"/>
          <w:lang w:val="fr-CH"/>
        </w:rPr>
        <w:t>11.</w:t>
      </w:r>
      <w:r w:rsidRPr="00F15147">
        <w:rPr>
          <w:sz w:val="20"/>
          <w:szCs w:val="20"/>
          <w:lang w:val="fr-CH"/>
        </w:rPr>
        <w:tab/>
        <w:t>En ne procédant pas de la sorte, le Comité introduit une distinction douteuse entre obligations négatives et positives de l’Etat partie en vertu du Pacte : seules les premières se verraient appliquer un contrôle « entier » de nécessité et de proportionnalité, tandis que pour les secondes, le Comité se bornerait à exercer un contrôle « restreint » limité à la vérification de l’existence d’une loi et de recours disponibles, mais s’interdisant de contrôler au cas par cas la décision adoptée par les juges nationaux.</w:t>
      </w:r>
    </w:p>
    <w:p w:rsidR="00AA24B7" w:rsidRPr="00F15147" w:rsidRDefault="00AA24B7" w:rsidP="00834718">
      <w:pPr>
        <w:pStyle w:val="SingleTxtG"/>
        <w:adjustRightInd w:val="0"/>
        <w:snapToGrid w:val="0"/>
        <w:rPr>
          <w:sz w:val="20"/>
          <w:szCs w:val="20"/>
          <w:lang w:val="fr-CH"/>
        </w:rPr>
      </w:pPr>
      <w:r w:rsidRPr="00F15147">
        <w:rPr>
          <w:sz w:val="20"/>
          <w:szCs w:val="20"/>
          <w:lang w:val="fr-CH"/>
        </w:rPr>
        <w:t>12.</w:t>
      </w:r>
      <w:r w:rsidRPr="00F15147">
        <w:rPr>
          <w:sz w:val="20"/>
          <w:szCs w:val="20"/>
          <w:lang w:val="fr-CH"/>
        </w:rPr>
        <w:tab/>
        <w:t xml:space="preserve">Or en l’espèce, l’analyse des passages cités combinée à l’examen de la jurisprudence du Comité, du </w:t>
      </w:r>
      <w:proofErr w:type="spellStart"/>
      <w:r w:rsidRPr="00F15147">
        <w:rPr>
          <w:sz w:val="20"/>
          <w:szCs w:val="20"/>
          <w:lang w:val="fr-CH"/>
        </w:rPr>
        <w:t>CERD</w:t>
      </w:r>
      <w:proofErr w:type="spellEnd"/>
      <w:r w:rsidRPr="00F15147">
        <w:rPr>
          <w:sz w:val="20"/>
          <w:szCs w:val="20"/>
          <w:lang w:val="fr-CH"/>
        </w:rPr>
        <w:t xml:space="preserve"> ou encore de la Cour européenne des droits de l’Homme aurait dû conduire le Comité à la conclusion que ces propos relevaient effectivement du paragraphe 2 de l’article 20 et que le tribunal national avait fait sur ce point une évaluation erronée. L’Etat partie avait indiqué que selon l’interprétation donnée par les juridictions nationales, une critique ne constituait au sens du droit national une infraction pénale que si elle visait « de manière non équivoque les personnes elles-mêmes et non simplement leurs opinions, convictions et comportements. » Or les propos de l’auteur n’étaient pas dirigés uniquement contre l’Islam en tant que religion, mais aussi contre les Musulmans en tant que personnes, et plus généralement contre les « résidents non occidentaux ». Les auteurs ont raison de soutenir que le tribunal de district qui a eu à connaître de l’affaire a de ce point de vue accentué, dans son appréciation des propos litigieux, la distinction entre la critique de la religion et l’incitation à la haine contre des personnes en raison de leurs convictions ou de leur appartenance à un groupe</w:t>
      </w:r>
      <w:r>
        <w:rPr>
          <w:rStyle w:val="a7"/>
          <w:szCs w:val="20"/>
          <w:lang w:val="fr-CH"/>
        </w:rPr>
        <w:footnoteReference w:id="63"/>
      </w:r>
      <w:r w:rsidRPr="00F15147">
        <w:rPr>
          <w:sz w:val="20"/>
          <w:szCs w:val="20"/>
          <w:lang w:val="fr-CH"/>
        </w:rPr>
        <w:t>. Par exemple, des déclarations du type : « Un jeune Marocain sur cinq a un casier judiciaire. Leur comportement découle de leur religion et de leur culture »</w:t>
      </w:r>
      <w:r>
        <w:rPr>
          <w:rStyle w:val="a7"/>
          <w:szCs w:val="20"/>
          <w:lang w:val="fr-CH"/>
        </w:rPr>
        <w:footnoteReference w:id="64"/>
      </w:r>
      <w:r w:rsidRPr="00F15147">
        <w:rPr>
          <w:sz w:val="20"/>
          <w:szCs w:val="20"/>
          <w:lang w:val="fr-CH"/>
        </w:rPr>
        <w:t>, ou encore « Ces Marocains sont vraiment violents »</w:t>
      </w:r>
      <w:r>
        <w:rPr>
          <w:rStyle w:val="a7"/>
          <w:szCs w:val="20"/>
          <w:lang w:val="fr-CH"/>
        </w:rPr>
        <w:footnoteReference w:id="65"/>
      </w:r>
      <w:r w:rsidRPr="00F15147">
        <w:rPr>
          <w:sz w:val="20"/>
          <w:szCs w:val="20"/>
          <w:lang w:val="fr-CH"/>
        </w:rPr>
        <w:t xml:space="preserve"> ne relèvent nullement d’une critique à l’égard de l’Islam, mais visent les Marocains et les Musulmans installés aux Pays-Bas dans leur ensemble. Ces déclarations procèdent par assimilations et glissements, en établissant des équivalences entre Marocains et délinquants, ou « islamique », Marocains et délinquants (« On ferme les frontières, on ne laisse plus entrer d’islamiques aux Pays-Bas, on renvoie beaucoup de musulmans des Pays-Bas, on dénaturalise les délinquants islamiques »)</w:t>
      </w:r>
      <w:r>
        <w:rPr>
          <w:rStyle w:val="a7"/>
          <w:szCs w:val="20"/>
          <w:lang w:val="fr-CH"/>
        </w:rPr>
        <w:footnoteReference w:id="66"/>
      </w:r>
      <w:r w:rsidRPr="00F15147">
        <w:rPr>
          <w:sz w:val="20"/>
          <w:szCs w:val="20"/>
          <w:lang w:val="fr-CH"/>
        </w:rPr>
        <w:t>, autant de réductions des personnes à des stéréotypes qui les réifient et en font par conséquent des objets à mépriser, voire à éliminer physiquement. On retrouve le même type de dynamique dans les discours génocidaires qui procèdent à la réification par assimilation à une identité elle-même décrite comme dangereuse, hostile, ou encore à un animal perçu comme invasif ou répugnant (« cafard », « vermine »…)</w:t>
      </w:r>
      <w:r>
        <w:rPr>
          <w:rStyle w:val="a7"/>
          <w:szCs w:val="20"/>
          <w:lang w:val="fr-CH"/>
        </w:rPr>
        <w:footnoteReference w:id="67"/>
      </w:r>
      <w:r w:rsidRPr="00F15147">
        <w:rPr>
          <w:sz w:val="20"/>
          <w:szCs w:val="20"/>
          <w:lang w:val="fr-CH"/>
        </w:rPr>
        <w:t xml:space="preserve"> Ces propos démontrent par conséquent une intention de la part de Geert </w:t>
      </w:r>
      <w:proofErr w:type="spellStart"/>
      <w:r w:rsidRPr="00F15147">
        <w:rPr>
          <w:sz w:val="20"/>
          <w:szCs w:val="20"/>
          <w:lang w:val="fr-CH"/>
        </w:rPr>
        <w:t>Wilders</w:t>
      </w:r>
      <w:proofErr w:type="spellEnd"/>
      <w:r w:rsidRPr="00F15147">
        <w:rPr>
          <w:sz w:val="20"/>
          <w:szCs w:val="20"/>
          <w:lang w:val="fr-CH"/>
        </w:rPr>
        <w:t xml:space="preserve"> de promouvoir publiquement la haine à l’encontre des « résidents non occidentaux »</w:t>
      </w:r>
      <w:r>
        <w:rPr>
          <w:rStyle w:val="a7"/>
          <w:szCs w:val="20"/>
          <w:lang w:val="fr-CH"/>
        </w:rPr>
        <w:footnoteReference w:id="68"/>
      </w:r>
      <w:r w:rsidRPr="00F15147">
        <w:rPr>
          <w:sz w:val="20"/>
          <w:szCs w:val="20"/>
          <w:lang w:val="fr-CH"/>
        </w:rPr>
        <w:t xml:space="preserve">. Par ailleurs il est incontesté que ces propos ont eu une influence directe sur la conduite d’au moins une partie de la population aux Pays-Bas, conduisant à des </w:t>
      </w:r>
      <w:r w:rsidRPr="00F15147">
        <w:rPr>
          <w:sz w:val="20"/>
          <w:szCs w:val="20"/>
          <w:lang w:val="fr-CH"/>
        </w:rPr>
        <w:lastRenderedPageBreak/>
        <w:t>manifestations discrimination ou d’hostilité ou même de violence à l’encontre des personnes appartenant à ces groupes</w:t>
      </w:r>
      <w:r>
        <w:rPr>
          <w:rStyle w:val="a7"/>
          <w:szCs w:val="20"/>
          <w:lang w:val="fr-CH"/>
        </w:rPr>
        <w:footnoteReference w:id="69"/>
      </w:r>
      <w:r w:rsidRPr="00F15147">
        <w:rPr>
          <w:sz w:val="20"/>
          <w:szCs w:val="20"/>
          <w:lang w:val="fr-CH"/>
        </w:rPr>
        <w:t>. Ces deux éléments auraient dû, selon moi, conduire le Comité à conclure que les propos litigieux relevaient bi</w:t>
      </w:r>
      <w:r>
        <w:rPr>
          <w:sz w:val="20"/>
          <w:szCs w:val="20"/>
          <w:lang w:val="fr-CH"/>
        </w:rPr>
        <w:t>en du paragraphe 2 de l’article </w:t>
      </w:r>
      <w:r w:rsidRPr="00F15147">
        <w:rPr>
          <w:sz w:val="20"/>
          <w:szCs w:val="20"/>
          <w:lang w:val="fr-CH"/>
        </w:rPr>
        <w:t>20</w:t>
      </w:r>
      <w:r>
        <w:rPr>
          <w:rStyle w:val="a7"/>
          <w:szCs w:val="20"/>
          <w:lang w:val="fr-CH"/>
        </w:rPr>
        <w:footnoteReference w:id="70"/>
      </w:r>
      <w:r w:rsidRPr="00F15147">
        <w:rPr>
          <w:sz w:val="20"/>
          <w:szCs w:val="20"/>
          <w:lang w:val="fr-CH"/>
        </w:rPr>
        <w:t>.</w:t>
      </w:r>
    </w:p>
    <w:p w:rsidR="00AA24B7" w:rsidRPr="00F15147" w:rsidRDefault="00AA24B7" w:rsidP="00834718">
      <w:pPr>
        <w:pStyle w:val="SingleTxtG"/>
        <w:adjustRightInd w:val="0"/>
        <w:snapToGrid w:val="0"/>
        <w:rPr>
          <w:sz w:val="20"/>
          <w:szCs w:val="20"/>
          <w:lang w:val="fr-CH"/>
        </w:rPr>
      </w:pPr>
      <w:r w:rsidRPr="00F15147">
        <w:rPr>
          <w:sz w:val="20"/>
          <w:szCs w:val="20"/>
          <w:lang w:val="fr-CH"/>
        </w:rPr>
        <w:t>13.</w:t>
      </w:r>
      <w:r w:rsidRPr="00F15147">
        <w:rPr>
          <w:sz w:val="20"/>
          <w:szCs w:val="20"/>
          <w:lang w:val="fr-CH"/>
        </w:rPr>
        <w:tab/>
        <w:t>Dans les affaires classiques de liberté d’expression, le Comité examine les propos litigieux de l’auteur et le raisonnement de la Cour et en déduit si les restrictions apportées à la liberté d’expression de l’auteur étaient nécessaires et légitimes au regard du but légitime poursuivi (les droits d’autrui dans ce type d’affaire). Symétriquement, le Comité aurait dû ici s’interroger sur la question de savoir si l’acquittement de l’auteur était en l’espèce justifiée, autrement dit sur le caractère approprié et proportionné au regard de l’objectif légitime visé, de l’absence de réaction des juridictions nationales aux propos de l’auteur.</w:t>
      </w:r>
    </w:p>
    <w:p w:rsidR="00AA24B7" w:rsidRPr="00F15147" w:rsidRDefault="00AA24B7" w:rsidP="00834718">
      <w:pPr>
        <w:pStyle w:val="SingleTxtG"/>
        <w:adjustRightInd w:val="0"/>
        <w:snapToGrid w:val="0"/>
        <w:rPr>
          <w:sz w:val="20"/>
          <w:szCs w:val="20"/>
          <w:lang w:val="fr-CH"/>
        </w:rPr>
      </w:pPr>
      <w:r w:rsidRPr="00F15147">
        <w:rPr>
          <w:sz w:val="20"/>
          <w:szCs w:val="20"/>
          <w:lang w:val="fr-CH"/>
        </w:rPr>
        <w:t>14.</w:t>
      </w:r>
      <w:r w:rsidRPr="00F15147">
        <w:rPr>
          <w:sz w:val="20"/>
          <w:szCs w:val="20"/>
          <w:lang w:val="fr-CH"/>
        </w:rPr>
        <w:tab/>
        <w:t>A mon sens, le Comité aurait dû arriver à la conclusion que l’acquittement pur et simple de l’auteur, compte tenu de la nature de ses propos, ne pouvait être considérée comme approprié au regard du but légitime visé, à savoir la protection du droit de toute personne d’être protégée contre l’appel à la haine raciale constituant une incitation à la discrimination, à l’hostilité ou à la violence.</w:t>
      </w:r>
    </w:p>
    <w:p w:rsidR="00AA24B7" w:rsidRPr="00F15147" w:rsidRDefault="00AA24B7" w:rsidP="00834718">
      <w:pPr>
        <w:pStyle w:val="SingleTxtG"/>
        <w:adjustRightInd w:val="0"/>
        <w:snapToGrid w:val="0"/>
        <w:rPr>
          <w:sz w:val="20"/>
          <w:szCs w:val="20"/>
          <w:lang w:val="fr-CH"/>
        </w:rPr>
      </w:pPr>
      <w:r w:rsidRPr="00F15147">
        <w:rPr>
          <w:sz w:val="20"/>
          <w:szCs w:val="20"/>
          <w:lang w:val="fr-CH"/>
        </w:rPr>
        <w:t>15.</w:t>
      </w:r>
      <w:r w:rsidRPr="00F15147">
        <w:rPr>
          <w:sz w:val="20"/>
          <w:szCs w:val="20"/>
          <w:lang w:val="fr-CH"/>
        </w:rPr>
        <w:tab/>
        <w:t>Il en résulte que l’Etat partie a, du fait de ce manquement de la juridiction nationale saisie à sanctionner un propos tombant clairement sous le coup de l’article 20, violé cet article. Subsidiairement, il était également loisible au Comité de constater une violation, sur cette même base, de l’article 26, lu seul et conjointement avec l’article 2 § 3.</w:t>
      </w:r>
    </w:p>
    <w:p w:rsidR="00AA24B7" w:rsidRPr="00F15147" w:rsidRDefault="00AA24B7" w:rsidP="00834718">
      <w:pPr>
        <w:pStyle w:val="SingleTxtG"/>
        <w:adjustRightInd w:val="0"/>
        <w:snapToGrid w:val="0"/>
        <w:rPr>
          <w:sz w:val="20"/>
          <w:szCs w:val="20"/>
          <w:lang w:val="fr-CH"/>
        </w:rPr>
      </w:pPr>
      <w:r w:rsidRPr="00F15147">
        <w:rPr>
          <w:sz w:val="20"/>
          <w:szCs w:val="20"/>
          <w:lang w:val="fr-CH"/>
        </w:rPr>
        <w:t>16.</w:t>
      </w:r>
      <w:r w:rsidRPr="00F15147">
        <w:rPr>
          <w:sz w:val="20"/>
          <w:szCs w:val="20"/>
          <w:lang w:val="fr-CH"/>
        </w:rPr>
        <w:tab/>
        <w:t xml:space="preserve">L’opinion qui précède est fondée exclusivement sur des considérations juridiques, portant sur l’appréciation des dispositions du Pacte, à la lumière de l’évolution de la jurisprudence d’autres organes de protection des droits de l’homme. Qu’il me soit permis toutefois d’ajouter un mot tenant au contexte dans lequel le Comité était appelé à rendre cette décision. Depuis un peu moins d’une dizaine d’années, dans les pays européens et sur d’autres continents, on a vu céder progressivement toutes les digues qui avaient été érigées après la Seconde Guerre Mondiale pour préserver le débat public au sein des sociétés démocratiques des discours de haine et d’intolérance qui avaient accompagné la consolidation ou l’établissement des totalitarismes dans l’entre-deux guerre. Pas à pas, interventions après interventions, les démagogues et les populistes repoussent les bornes </w:t>
      </w:r>
      <w:r w:rsidRPr="00F15147">
        <w:rPr>
          <w:sz w:val="20"/>
          <w:szCs w:val="20"/>
          <w:lang w:val="fr-CH"/>
        </w:rPr>
        <w:lastRenderedPageBreak/>
        <w:t>qui visaient à préserver le respect mutuel et l’</w:t>
      </w:r>
      <w:proofErr w:type="spellStart"/>
      <w:r w:rsidRPr="00F15147">
        <w:rPr>
          <w:sz w:val="20"/>
          <w:szCs w:val="20"/>
          <w:lang w:val="fr-CH"/>
        </w:rPr>
        <w:t>inter-compréhension</w:t>
      </w:r>
      <w:proofErr w:type="spellEnd"/>
      <w:r w:rsidRPr="00F15147">
        <w:rPr>
          <w:sz w:val="20"/>
          <w:szCs w:val="20"/>
          <w:lang w:val="fr-CH"/>
        </w:rPr>
        <w:t xml:space="preserve"> et, pour tout dire, la possibilité même d’une communication à la fois libre et de nature à produire un accord rationnel au sein des sociétés sur des questions d’intérêt public. Aujourd’hui, nous voyons ces mêmes populistes s’appuyer sur la haine de l’autre et la politique du bouc-émissaire pour accéder au pouvoir. En Europe et ailleurs, la haine des migrants, de l’Islam et des Musulmans constitue leur principal fond de commerce. Leur discours conforte celui des groupes islamistes extrémistes qui prônent la violence et le djihad. En fait, les démagogues européens sont les alliés objectifs des djihadistes qui sèment la mort et la terreur à travers le monde, mais fascinent et attirent aussi une jeunesse déracinée, sans repère, et victime de discriminations multiples. Ces deux mouvances qui s’épaulent mutuellement poursuivent en fait un même projet qui est celui de la destruction des droits de l’Homme universels comme projet des Lumières et de la Modernité. Même si ce contexte ne doit pas à lui seul déterminer la solution à donner au cas d’espèce, il me semble qu’il doit néanmoins être pris en compte par le Comité dans son interprétation de l’article 20, qui avait notamment pour objet, dans l’esprit de ses rédacteurs, de prévenir autant que possible le retour des démons du passé.</w:t>
      </w:r>
      <w:r>
        <w:rPr>
          <w:sz w:val="20"/>
          <w:szCs w:val="20"/>
          <w:lang w:val="fr-CH"/>
        </w:rPr>
        <w:t xml:space="preserve"> </w:t>
      </w:r>
    </w:p>
    <w:p w:rsidR="00EC62E1" w:rsidRDefault="00EC62E1" w:rsidP="00834718">
      <w:pPr>
        <w:pStyle w:val="SingleTxtGC"/>
        <w:tabs>
          <w:tab w:val="left" w:pos="567"/>
        </w:tabs>
        <w:rPr>
          <w:rFonts w:hint="eastAsia"/>
          <w:lang w:val="x-none"/>
        </w:rPr>
      </w:pPr>
    </w:p>
    <w:p w:rsidR="00AA24B7" w:rsidRPr="002D6A9C" w:rsidRDefault="00AA24B7" w:rsidP="0083471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A24B7" w:rsidRPr="00AA24B7" w:rsidRDefault="00AA24B7" w:rsidP="00834718">
      <w:pPr>
        <w:pStyle w:val="SingleTxtGC"/>
        <w:tabs>
          <w:tab w:val="left" w:pos="567"/>
        </w:tabs>
        <w:rPr>
          <w:lang w:val="x-none"/>
        </w:rPr>
      </w:pPr>
    </w:p>
    <w:sectPr w:rsidR="00AA24B7" w:rsidRPr="00AA24B7" w:rsidSect="00006840">
      <w:headerReference w:type="even" r:id="rId21"/>
      <w:headerReference w:type="default" r:id="rId22"/>
      <w:headerReference w:type="first" r:id="rId23"/>
      <w:footnotePr>
        <w:numFmt w:val="lowerLetter"/>
        <w:numRestart w:val="eachSect"/>
      </w:footnotePr>
      <w:endnotePr>
        <w:numFmt w:val="decimal"/>
      </w:endnotePr>
      <w:pgSz w:w="11907" w:h="16840" w:code="9"/>
      <w:pgMar w:top="1560" w:right="1134"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40" w:rsidRPr="000D319F" w:rsidRDefault="00006840" w:rsidP="000D319F">
      <w:pPr>
        <w:pStyle w:val="ae"/>
        <w:spacing w:after="240"/>
        <w:ind w:left="907"/>
        <w:rPr>
          <w:rFonts w:asciiTheme="majorBidi" w:eastAsia="宋体" w:hAnsiTheme="majorBidi" w:cstheme="majorBidi"/>
          <w:sz w:val="21"/>
          <w:szCs w:val="21"/>
          <w:lang w:val="en-US"/>
        </w:rPr>
      </w:pPr>
    </w:p>
    <w:p w:rsidR="00006840" w:rsidRPr="000D319F" w:rsidRDefault="00006840"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06840" w:rsidRPr="000D319F" w:rsidRDefault="00006840" w:rsidP="000D319F">
      <w:pPr>
        <w:pStyle w:val="ae"/>
      </w:pPr>
    </w:p>
  </w:endnote>
  <w:endnote w:type="continuationNotice" w:id="1">
    <w:p w:rsidR="00006840" w:rsidRDefault="000068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Pr="00E514C7" w:rsidRDefault="00006840" w:rsidP="00E514C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486B07">
      <w:rPr>
        <w:rStyle w:val="af"/>
        <w:noProof/>
      </w:rPr>
      <w:t>10</w:t>
    </w:r>
    <w:r>
      <w:rPr>
        <w:rStyle w:val="af"/>
      </w:rPr>
      <w:fldChar w:fldCharType="end"/>
    </w:r>
    <w:r>
      <w:rPr>
        <w:rStyle w:val="af"/>
      </w:rPr>
      <w:tab/>
    </w:r>
    <w:proofErr w:type="spellStart"/>
    <w:r w:rsidRPr="00E514C7">
      <w:rPr>
        <w:rStyle w:val="af"/>
        <w:b w:val="0"/>
        <w:snapToGrid w:val="0"/>
        <w:sz w:val="16"/>
      </w:rPr>
      <w:t>GE.17</w:t>
    </w:r>
    <w:proofErr w:type="spellEnd"/>
    <w:r w:rsidRPr="00E514C7">
      <w:rPr>
        <w:rStyle w:val="af"/>
        <w:b w:val="0"/>
        <w:snapToGrid w:val="0"/>
        <w:sz w:val="16"/>
      </w:rPr>
      <w:t>-03929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Pr="00E514C7" w:rsidRDefault="00006840" w:rsidP="00E514C7">
    <w:pPr>
      <w:pStyle w:val="ae"/>
      <w:tabs>
        <w:tab w:val="clear" w:pos="431"/>
        <w:tab w:val="right" w:pos="9638"/>
      </w:tabs>
      <w:rPr>
        <w:rStyle w:val="af"/>
      </w:rPr>
    </w:pPr>
    <w:proofErr w:type="spellStart"/>
    <w:r>
      <w:t>GE.17</w:t>
    </w:r>
    <w:proofErr w:type="spellEnd"/>
    <w:r>
      <w:t>-03929</w:t>
    </w:r>
    <w:r>
      <w:tab/>
    </w:r>
    <w:r>
      <w:rPr>
        <w:rStyle w:val="af"/>
      </w:rPr>
      <w:fldChar w:fldCharType="begin"/>
    </w:r>
    <w:r>
      <w:rPr>
        <w:rStyle w:val="af"/>
      </w:rPr>
      <w:instrText xml:space="preserve"> PAGE  \* MERGEFORMAT </w:instrText>
    </w:r>
    <w:r>
      <w:rPr>
        <w:rStyle w:val="af"/>
      </w:rPr>
      <w:fldChar w:fldCharType="separate"/>
    </w:r>
    <w:r w:rsidR="00C77BF3">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Pr="00EA7E67" w:rsidRDefault="00006840" w:rsidP="00E514C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-03929</w:t>
    </w:r>
    <w:r w:rsidRPr="00EE277A">
      <w:rPr>
        <w:sz w:val="20"/>
        <w:lang w:eastAsia="zh-CN"/>
      </w:rPr>
      <w:t xml:space="preserve"> (C)</w:t>
    </w:r>
    <w:r>
      <w:rPr>
        <w:sz w:val="20"/>
        <w:lang w:eastAsia="zh-CN"/>
      </w:rPr>
      <w:tab/>
    </w:r>
    <w:r>
      <w:rPr>
        <w:rFonts w:eastAsiaTheme="minorEastAsia" w:hint="eastAsia"/>
        <w:sz w:val="20"/>
        <w:lang w:eastAsia="zh-CN"/>
      </w:rPr>
      <w:t>0105</w:t>
    </w:r>
    <w:r>
      <w:rPr>
        <w:sz w:val="20"/>
        <w:lang w:eastAsia="zh-CN"/>
      </w:rPr>
      <w:t>1</w:t>
    </w:r>
    <w:r>
      <w:rPr>
        <w:rFonts w:eastAsiaTheme="minorEastAsia" w:hint="eastAsia"/>
        <w:sz w:val="20"/>
        <w:lang w:eastAsia="zh-CN"/>
      </w:rPr>
      <w:t>7</w:t>
    </w:r>
    <w:r>
      <w:rPr>
        <w:sz w:val="20"/>
        <w:lang w:eastAsia="zh-CN"/>
      </w:rPr>
      <w:tab/>
    </w:r>
    <w:r>
      <w:rPr>
        <w:rFonts w:eastAsiaTheme="minorEastAsia" w:hint="eastAsia"/>
        <w:sz w:val="20"/>
        <w:lang w:eastAsia="zh-CN"/>
      </w:rPr>
      <w:t>1807</w:t>
    </w:r>
    <w:r>
      <w:rPr>
        <w:sz w:val="20"/>
        <w:lang w:eastAsia="zh-CN"/>
      </w:rPr>
      <w:t>1</w:t>
    </w:r>
    <w:r>
      <w:rPr>
        <w:rFonts w:eastAsiaTheme="minorEastAsia" w:hint="eastAsia"/>
        <w:sz w:val="20"/>
        <w:lang w:eastAsia="zh-CN"/>
      </w:rPr>
      <w:t>7</w:t>
    </w:r>
  </w:p>
  <w:p w:rsidR="00006840" w:rsidRPr="00487939" w:rsidRDefault="00006840" w:rsidP="00E514C7">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E0F7628" wp14:editId="1234C6DC">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17/D/2124/20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D/2124/20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DBD8FBC" wp14:editId="3C3FE06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Pr="00EA7E67" w:rsidRDefault="00006840" w:rsidP="00E514C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-03929</w:t>
    </w:r>
    <w:r w:rsidRPr="00EE277A">
      <w:rPr>
        <w:sz w:val="20"/>
        <w:lang w:eastAsia="zh-CN"/>
      </w:rPr>
      <w:t xml:space="preserve"> (C)</w:t>
    </w:r>
    <w:r>
      <w:rPr>
        <w:sz w:val="20"/>
        <w:lang w:eastAsia="zh-CN"/>
      </w:rPr>
      <w:tab/>
    </w:r>
    <w:r>
      <w:rPr>
        <w:rFonts w:eastAsiaTheme="minorEastAsia" w:hint="eastAsia"/>
        <w:sz w:val="20"/>
        <w:lang w:eastAsia="zh-CN"/>
      </w:rPr>
      <w:t>0105</w:t>
    </w:r>
    <w:r>
      <w:rPr>
        <w:sz w:val="20"/>
        <w:lang w:eastAsia="zh-CN"/>
      </w:rPr>
      <w:t>1</w:t>
    </w:r>
    <w:r>
      <w:rPr>
        <w:rFonts w:eastAsiaTheme="minorEastAsia" w:hint="eastAsia"/>
        <w:sz w:val="20"/>
        <w:lang w:eastAsia="zh-CN"/>
      </w:rPr>
      <w:t>7</w:t>
    </w:r>
    <w:r>
      <w:rPr>
        <w:sz w:val="20"/>
        <w:lang w:eastAsia="zh-CN"/>
      </w:rPr>
      <w:tab/>
    </w:r>
    <w:r>
      <w:rPr>
        <w:rFonts w:eastAsiaTheme="minorEastAsia" w:hint="eastAsia"/>
        <w:sz w:val="20"/>
        <w:lang w:eastAsia="zh-CN"/>
      </w:rPr>
      <w:t>0407</w:t>
    </w:r>
    <w:r>
      <w:rPr>
        <w:sz w:val="20"/>
        <w:lang w:eastAsia="zh-CN"/>
      </w:rPr>
      <w:t>1</w:t>
    </w:r>
    <w:r>
      <w:rPr>
        <w:rFonts w:eastAsiaTheme="minorEastAsia" w:hint="eastAsia"/>
        <w:sz w:val="20"/>
        <w:lang w:eastAsia="zh-CN"/>
      </w:rPr>
      <w:t>7</w:t>
    </w:r>
  </w:p>
  <w:p w:rsidR="00006840" w:rsidRPr="00487939" w:rsidRDefault="00006840" w:rsidP="00E514C7">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60288" behindDoc="0" locked="0" layoutInCell="1" allowOverlap="1" wp14:anchorId="416DD39F" wp14:editId="2D5C5F78">
          <wp:simplePos x="0" y="0"/>
          <wp:positionH relativeFrom="column">
            <wp:align>right</wp:align>
          </wp:positionH>
          <wp:positionV relativeFrom="paragraph">
            <wp:posOffset>-310515</wp:posOffset>
          </wp:positionV>
          <wp:extent cx="638175" cy="638175"/>
          <wp:effectExtent l="0" t="0" r="9525" b="9525"/>
          <wp:wrapNone/>
          <wp:docPr id="4" name="图片 1" descr="https://undocs.org/m2/QRCode.ashx?DS=CCPR/C/117/D/2124/20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D/2124/20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BC736DD" wp14:editId="3490A5EF">
          <wp:extent cx="618490" cy="228600"/>
          <wp:effectExtent l="0" t="0" r="0" b="0"/>
          <wp:docPr id="5" name="图片 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0248"/>
      <w:docPartObj>
        <w:docPartGallery w:val="Page Numbers (Bottom of Page)"/>
        <w:docPartUnique/>
      </w:docPartObj>
    </w:sdtPr>
    <w:sdtEndPr>
      <w:rPr>
        <w:b/>
        <w:bCs/>
        <w:noProof/>
        <w:sz w:val="18"/>
        <w:szCs w:val="18"/>
      </w:rPr>
    </w:sdtEndPr>
    <w:sdtContent>
      <w:p w:rsidR="00006840" w:rsidRPr="007A4F9A" w:rsidRDefault="00006840" w:rsidP="00006840">
        <w:pPr>
          <w:pStyle w:val="ae"/>
          <w:rPr>
            <w:b/>
            <w:bCs/>
            <w:sz w:val="18"/>
            <w:szCs w:val="18"/>
          </w:rPr>
        </w:pPr>
        <w:r w:rsidRPr="007A4F9A">
          <w:rPr>
            <w:b/>
            <w:bCs/>
            <w:sz w:val="18"/>
            <w:szCs w:val="18"/>
          </w:rPr>
          <w:fldChar w:fldCharType="begin"/>
        </w:r>
        <w:r w:rsidRPr="007A4F9A">
          <w:rPr>
            <w:b/>
            <w:bCs/>
            <w:sz w:val="18"/>
            <w:szCs w:val="18"/>
          </w:rPr>
          <w:instrText xml:space="preserve"> PAGE   \* MERGEFORMAT </w:instrText>
        </w:r>
        <w:r w:rsidRPr="007A4F9A">
          <w:rPr>
            <w:b/>
            <w:bCs/>
            <w:sz w:val="18"/>
            <w:szCs w:val="18"/>
          </w:rPr>
          <w:fldChar w:fldCharType="separate"/>
        </w:r>
        <w:r w:rsidR="00C77BF3">
          <w:rPr>
            <w:b/>
            <w:bCs/>
            <w:noProof/>
            <w:sz w:val="18"/>
            <w:szCs w:val="18"/>
          </w:rPr>
          <w:t>29</w:t>
        </w:r>
        <w:r w:rsidRPr="007A4F9A">
          <w:rPr>
            <w:b/>
            <w:bCs/>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40" w:rsidRPr="000157B1" w:rsidRDefault="00006840"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06840" w:rsidRPr="000157B1" w:rsidRDefault="00006840"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06840" w:rsidRDefault="00006840"/>
  </w:footnote>
  <w:footnote w:id="2">
    <w:p w:rsidR="00006840" w:rsidRPr="005D2190" w:rsidRDefault="00006840" w:rsidP="00834718">
      <w:pPr>
        <w:pStyle w:val="a6"/>
        <w:tabs>
          <w:tab w:val="clear" w:pos="1021"/>
          <w:tab w:val="right" w:pos="1020"/>
        </w:tabs>
      </w:pPr>
      <w:r w:rsidRPr="005D2190">
        <w:rPr>
          <w:rStyle w:val="a7"/>
          <w:sz w:val="18"/>
          <w:vertAlign w:val="baseline"/>
        </w:rPr>
        <w:tab/>
        <w:t>*</w:t>
      </w:r>
      <w:r w:rsidRPr="005D2190">
        <w:tab/>
      </w:r>
      <w:r w:rsidRPr="005D2190">
        <w:rPr>
          <w:lang w:val="en-GB"/>
        </w:rPr>
        <w:t>委员会第一一七届会议</w:t>
      </w:r>
      <w:r w:rsidRPr="005D2190">
        <w:rPr>
          <w:lang w:val="en-GB"/>
        </w:rPr>
        <w:t>(2016</w:t>
      </w:r>
      <w:r w:rsidRPr="005D2190">
        <w:rPr>
          <w:lang w:val="en-GB"/>
        </w:rPr>
        <w:t>年</w:t>
      </w:r>
      <w:r w:rsidRPr="005D2190">
        <w:rPr>
          <w:lang w:val="en-GB"/>
        </w:rPr>
        <w:t>6</w:t>
      </w:r>
      <w:r w:rsidRPr="005D2190">
        <w:rPr>
          <w:lang w:val="en-GB"/>
        </w:rPr>
        <w:t>月</w:t>
      </w:r>
      <w:r w:rsidRPr="005D2190">
        <w:rPr>
          <w:lang w:val="en-GB"/>
        </w:rPr>
        <w:t>20</w:t>
      </w:r>
      <w:r w:rsidRPr="005D2190">
        <w:rPr>
          <w:lang w:val="en-GB"/>
        </w:rPr>
        <w:t>日至</w:t>
      </w:r>
      <w:r w:rsidRPr="005D2190">
        <w:rPr>
          <w:lang w:val="en-GB"/>
        </w:rPr>
        <w:t>7</w:t>
      </w:r>
      <w:r w:rsidRPr="005D2190">
        <w:rPr>
          <w:lang w:val="en-GB"/>
        </w:rPr>
        <w:t>月</w:t>
      </w:r>
      <w:r w:rsidRPr="005D2190">
        <w:rPr>
          <w:lang w:val="en-GB"/>
        </w:rPr>
        <w:t>15</w:t>
      </w:r>
      <w:r w:rsidRPr="005D2190">
        <w:rPr>
          <w:lang w:val="en-GB"/>
        </w:rPr>
        <w:t>日</w:t>
      </w:r>
      <w:r w:rsidRPr="005D2190">
        <w:rPr>
          <w:lang w:val="en-GB"/>
        </w:rPr>
        <w:t>)</w:t>
      </w:r>
      <w:r w:rsidRPr="005D2190">
        <w:rPr>
          <w:lang w:val="en-GB"/>
        </w:rPr>
        <w:t>通过。</w:t>
      </w:r>
    </w:p>
  </w:footnote>
  <w:footnote w:id="3">
    <w:p w:rsidR="00006840" w:rsidRPr="005D2190" w:rsidRDefault="00006840" w:rsidP="00834718">
      <w:pPr>
        <w:pStyle w:val="a6"/>
        <w:tabs>
          <w:tab w:val="clear" w:pos="1021"/>
          <w:tab w:val="right" w:pos="1020"/>
        </w:tabs>
      </w:pPr>
      <w:r w:rsidRPr="005D2190">
        <w:rPr>
          <w:rStyle w:val="a7"/>
          <w:sz w:val="18"/>
          <w:vertAlign w:val="baseline"/>
        </w:rPr>
        <w:tab/>
        <w:t>**</w:t>
      </w:r>
      <w:r w:rsidRPr="005D2190">
        <w:tab/>
      </w:r>
      <w:r w:rsidRPr="005D2190">
        <w:rPr>
          <w:lang w:val="en-GB"/>
        </w:rPr>
        <w:t>委员会下列委员参加了对本来文的审议：亚兹</w:t>
      </w:r>
      <w:r w:rsidRPr="005D2190">
        <w:rPr>
          <w:rFonts w:hint="eastAsia"/>
          <w:lang w:val="en-GB"/>
        </w:rPr>
        <w:t>·</w:t>
      </w:r>
      <w:r w:rsidRPr="005D2190">
        <w:rPr>
          <w:lang w:val="en-GB"/>
        </w:rPr>
        <w:t>本</w:t>
      </w:r>
      <w:r w:rsidRPr="005D2190">
        <w:rPr>
          <w:rFonts w:hint="eastAsia"/>
          <w:lang w:val="en-GB"/>
        </w:rPr>
        <w:t>·</w:t>
      </w:r>
      <w:r w:rsidRPr="005D2190">
        <w:rPr>
          <w:lang w:val="en-GB"/>
        </w:rPr>
        <w:t>阿舒尔、莱兹赫里</w:t>
      </w:r>
      <w:r w:rsidRPr="005D2190">
        <w:rPr>
          <w:rFonts w:hint="eastAsia"/>
          <w:lang w:val="en-GB"/>
        </w:rPr>
        <w:t>·</w:t>
      </w:r>
      <w:r w:rsidRPr="005D2190">
        <w:rPr>
          <w:lang w:val="en-GB"/>
        </w:rPr>
        <w:t>布齐德先生、莎拉</w:t>
      </w:r>
      <w:r w:rsidRPr="005D2190">
        <w:rPr>
          <w:rFonts w:hint="eastAsia"/>
          <w:lang w:val="en-GB"/>
        </w:rPr>
        <w:t>·</w:t>
      </w:r>
      <w:r w:rsidRPr="005D2190">
        <w:rPr>
          <w:lang w:val="en-GB"/>
        </w:rPr>
        <w:t>克利夫兰、艾哈迈德</w:t>
      </w:r>
      <w:r w:rsidRPr="005D2190">
        <w:rPr>
          <w:rFonts w:hint="eastAsia"/>
          <w:lang w:val="en-GB"/>
        </w:rPr>
        <w:t>·</w:t>
      </w:r>
      <w:r w:rsidRPr="005D2190">
        <w:rPr>
          <w:lang w:val="en-GB"/>
        </w:rPr>
        <w:t>阿明</w:t>
      </w:r>
      <w:r w:rsidRPr="005D2190">
        <w:rPr>
          <w:rFonts w:hint="eastAsia"/>
          <w:lang w:val="en-GB"/>
        </w:rPr>
        <w:t>·</w:t>
      </w:r>
      <w:r w:rsidRPr="005D2190">
        <w:rPr>
          <w:lang w:val="en-GB"/>
        </w:rPr>
        <w:t>法萨拉、奥利维耶</w:t>
      </w:r>
      <w:r w:rsidRPr="005D2190">
        <w:rPr>
          <w:rFonts w:hint="eastAsia"/>
          <w:lang w:val="en-GB"/>
        </w:rPr>
        <w:t>·</w:t>
      </w:r>
      <w:r w:rsidRPr="005D2190">
        <w:rPr>
          <w:lang w:val="en-GB"/>
        </w:rPr>
        <w:t>德弗鲁维尔、</w:t>
      </w:r>
      <w:proofErr w:type="gramStart"/>
      <w:r w:rsidRPr="005D2190">
        <w:rPr>
          <w:lang w:val="en-GB"/>
        </w:rPr>
        <w:t>岩泽雄司</w:t>
      </w:r>
      <w:proofErr w:type="gramEnd"/>
      <w:r w:rsidRPr="005D2190">
        <w:rPr>
          <w:lang w:val="en-GB"/>
        </w:rPr>
        <w:t>、伊万娜</w:t>
      </w:r>
      <w:r w:rsidRPr="005D2190">
        <w:rPr>
          <w:rFonts w:hint="eastAsia"/>
          <w:lang w:val="en-GB"/>
        </w:rPr>
        <w:t>·</w:t>
      </w:r>
      <w:r w:rsidRPr="005D2190">
        <w:rPr>
          <w:lang w:val="en-GB"/>
        </w:rPr>
        <w:t>耶利奇、弗提尼</w:t>
      </w:r>
      <w:r w:rsidRPr="005D2190">
        <w:rPr>
          <w:rFonts w:hint="eastAsia"/>
          <w:lang w:val="en-GB"/>
        </w:rPr>
        <w:t>·</w:t>
      </w:r>
      <w:r w:rsidRPr="005D2190">
        <w:rPr>
          <w:lang w:val="en-GB"/>
        </w:rPr>
        <w:t>帕扎蒂斯、毛罗</w:t>
      </w:r>
      <w:r w:rsidRPr="005D2190">
        <w:rPr>
          <w:rFonts w:hint="eastAsia"/>
          <w:lang w:val="en-GB"/>
        </w:rPr>
        <w:t>·</w:t>
      </w:r>
      <w:r w:rsidRPr="005D2190">
        <w:rPr>
          <w:lang w:val="en-GB"/>
        </w:rPr>
        <w:t>波利蒂、奈杰尔</w:t>
      </w:r>
      <w:r w:rsidRPr="005D2190">
        <w:rPr>
          <w:rFonts w:hint="eastAsia"/>
          <w:lang w:val="en-GB"/>
        </w:rPr>
        <w:t>·</w:t>
      </w:r>
      <w:r w:rsidRPr="005D2190">
        <w:rPr>
          <w:lang w:val="en-GB"/>
        </w:rPr>
        <w:t>罗德利爵士、维克多</w:t>
      </w:r>
      <w:r w:rsidRPr="005D2190">
        <w:rPr>
          <w:rFonts w:hint="eastAsia"/>
          <w:lang w:val="en-GB"/>
        </w:rPr>
        <w:t>·</w:t>
      </w:r>
      <w:r w:rsidRPr="005D2190">
        <w:rPr>
          <w:lang w:val="en-GB"/>
        </w:rPr>
        <w:t>曼努埃尔</w:t>
      </w:r>
      <w:r w:rsidRPr="005D2190">
        <w:rPr>
          <w:rFonts w:hint="eastAsia"/>
          <w:lang w:val="en-GB"/>
        </w:rPr>
        <w:t>·</w:t>
      </w:r>
      <w:r w:rsidRPr="005D2190">
        <w:rPr>
          <w:lang w:val="en-GB"/>
        </w:rPr>
        <w:t>罗德里格斯－雷夏、费边</w:t>
      </w:r>
      <w:r w:rsidRPr="005D2190">
        <w:rPr>
          <w:rFonts w:hint="eastAsia"/>
          <w:lang w:val="en-GB"/>
        </w:rPr>
        <w:t>·</w:t>
      </w:r>
      <w:r w:rsidRPr="005D2190">
        <w:rPr>
          <w:lang w:val="en-GB"/>
        </w:rPr>
        <w:t>奥马尔</w:t>
      </w:r>
      <w:r w:rsidRPr="005D2190">
        <w:rPr>
          <w:rFonts w:hint="eastAsia"/>
          <w:lang w:val="en-GB"/>
        </w:rPr>
        <w:t>·</w:t>
      </w:r>
      <w:r w:rsidRPr="005D2190">
        <w:rPr>
          <w:lang w:val="en-GB"/>
        </w:rPr>
        <w:t>萨尔维奥利、迪鲁杰拉尔</w:t>
      </w:r>
      <w:r w:rsidRPr="005D2190">
        <w:rPr>
          <w:rFonts w:hint="eastAsia"/>
          <w:lang w:val="en-GB"/>
        </w:rPr>
        <w:t>·</w:t>
      </w:r>
      <w:r w:rsidRPr="005D2190">
        <w:rPr>
          <w:lang w:val="en-GB"/>
        </w:rPr>
        <w:t>西图辛格、安雅</w:t>
      </w:r>
      <w:r w:rsidRPr="005D2190">
        <w:rPr>
          <w:rFonts w:hint="eastAsia"/>
          <w:lang w:val="en-GB"/>
        </w:rPr>
        <w:t>·</w:t>
      </w:r>
      <w:r w:rsidRPr="005D2190">
        <w:rPr>
          <w:lang w:val="en-GB"/>
        </w:rPr>
        <w:t>塞伯特佛尔、尤瓦尔</w:t>
      </w:r>
      <w:r w:rsidRPr="005D2190">
        <w:rPr>
          <w:rFonts w:hint="eastAsia"/>
          <w:lang w:val="en-GB"/>
        </w:rPr>
        <w:t>·</w:t>
      </w:r>
      <w:r w:rsidRPr="005D2190">
        <w:rPr>
          <w:lang w:val="en-GB"/>
        </w:rPr>
        <w:t>沙尼、康斯坦丁</w:t>
      </w:r>
      <w:r w:rsidRPr="005D2190">
        <w:rPr>
          <w:rFonts w:hint="eastAsia"/>
          <w:lang w:val="en-GB"/>
        </w:rPr>
        <w:t>·</w:t>
      </w:r>
      <w:r w:rsidRPr="005D2190">
        <w:rPr>
          <w:lang w:val="en-GB"/>
        </w:rPr>
        <w:t>瓦尔泽拉什维利</w:t>
      </w:r>
      <w:r w:rsidRPr="005D2190">
        <w:rPr>
          <w:rFonts w:hint="eastAsia"/>
          <w:lang w:val="en-GB"/>
        </w:rPr>
        <w:t>、</w:t>
      </w:r>
      <w:r w:rsidRPr="005D2190">
        <w:rPr>
          <w:lang w:val="en-GB"/>
        </w:rPr>
        <w:t>马戈</w:t>
      </w:r>
      <w:r w:rsidRPr="005D2190">
        <w:rPr>
          <w:rFonts w:hint="eastAsia"/>
          <w:lang w:val="en-GB"/>
        </w:rPr>
        <w:t>·</w:t>
      </w:r>
      <w:r w:rsidRPr="005D2190">
        <w:rPr>
          <w:lang w:val="en-GB"/>
        </w:rPr>
        <w:t>瓦特瓦尔。</w:t>
      </w:r>
    </w:p>
  </w:footnote>
  <w:footnote w:id="4">
    <w:p w:rsidR="00006840" w:rsidRPr="005D2190" w:rsidRDefault="00006840" w:rsidP="00834718">
      <w:pPr>
        <w:pStyle w:val="a6"/>
        <w:tabs>
          <w:tab w:val="clear" w:pos="1021"/>
          <w:tab w:val="right" w:pos="1020"/>
        </w:tabs>
      </w:pPr>
      <w:r w:rsidRPr="005D2190">
        <w:rPr>
          <w:rStyle w:val="a7"/>
          <w:sz w:val="18"/>
          <w:vertAlign w:val="baseline"/>
        </w:rPr>
        <w:tab/>
        <w:t>***</w:t>
      </w:r>
      <w:r w:rsidRPr="005D2190">
        <w:tab/>
      </w:r>
      <w:r w:rsidRPr="005D2190">
        <w:rPr>
          <w:rFonts w:hint="eastAsia"/>
          <w:lang w:val="en-GB"/>
        </w:rPr>
        <w:t>11</w:t>
      </w:r>
      <w:r w:rsidRPr="005D2190">
        <w:rPr>
          <w:lang w:val="en-GB"/>
        </w:rPr>
        <w:t>名委员会委员签署的</w:t>
      </w:r>
      <w:r w:rsidRPr="005D2190">
        <w:rPr>
          <w:rFonts w:hint="eastAsia"/>
          <w:lang w:val="en-GB"/>
        </w:rPr>
        <w:t>七</w:t>
      </w:r>
      <w:r w:rsidRPr="005D2190">
        <w:rPr>
          <w:lang w:val="en-GB"/>
        </w:rPr>
        <w:t>份意见附于本意见之后。附件不译，</w:t>
      </w:r>
      <w:r w:rsidRPr="005D2190">
        <w:rPr>
          <w:rFonts w:hint="eastAsia"/>
          <w:lang w:val="en-GB"/>
        </w:rPr>
        <w:t>原文照</w:t>
      </w:r>
      <w:r w:rsidRPr="005D2190">
        <w:rPr>
          <w:lang w:val="en-GB"/>
        </w:rPr>
        <w:t>发。</w:t>
      </w:r>
    </w:p>
  </w:footnote>
  <w:footnote w:id="5">
    <w:p w:rsidR="00006840" w:rsidRPr="005D2190" w:rsidRDefault="00006840" w:rsidP="00834718">
      <w:pPr>
        <w:pStyle w:val="a6"/>
      </w:pPr>
      <w:r w:rsidRPr="005D2190">
        <w:tab/>
      </w:r>
      <w:r w:rsidRPr="00CE1B61">
        <w:rPr>
          <w:rStyle w:val="a7"/>
          <w:szCs w:val="21"/>
        </w:rPr>
        <w:footnoteRef/>
      </w:r>
      <w:r w:rsidRPr="005D2190">
        <w:tab/>
      </w:r>
      <w:r w:rsidRPr="005D2190">
        <w:rPr>
          <w:rFonts w:hint="eastAsia"/>
        </w:rPr>
        <w:t>《刑事诉讼法》规定，如果对某项刑事罪不予起诉，直接利害关系人可针对不予起诉决定向上诉法院提出申诉</w:t>
      </w:r>
      <w:r w:rsidRPr="005D2190">
        <w:rPr>
          <w:rFonts w:hint="eastAsia"/>
        </w:rPr>
        <w:t>(</w:t>
      </w:r>
      <w:r w:rsidRPr="005D2190">
        <w:rPr>
          <w:rFonts w:hint="eastAsia"/>
        </w:rPr>
        <w:t>第</w:t>
      </w:r>
      <w:r w:rsidRPr="005D2190">
        <w:rPr>
          <w:rFonts w:hint="eastAsia"/>
        </w:rPr>
        <w:t>12</w:t>
      </w:r>
      <w:r w:rsidRPr="005D2190">
        <w:rPr>
          <w:rFonts w:hint="eastAsia"/>
        </w:rPr>
        <w:t>条</w:t>
      </w:r>
      <w:r w:rsidRPr="005D2190">
        <w:rPr>
          <w:rFonts w:hint="eastAsia"/>
        </w:rPr>
        <w:t>)</w:t>
      </w:r>
      <w:r w:rsidRPr="005D2190">
        <w:rPr>
          <w:rFonts w:hint="eastAsia"/>
        </w:rPr>
        <w:t>。</w:t>
      </w:r>
    </w:p>
  </w:footnote>
  <w:footnote w:id="6">
    <w:p w:rsidR="00006840" w:rsidRPr="005D2190" w:rsidRDefault="00006840" w:rsidP="00834718">
      <w:pPr>
        <w:pStyle w:val="a6"/>
      </w:pPr>
      <w:r w:rsidRPr="005D2190">
        <w:tab/>
      </w:r>
      <w:r w:rsidRPr="00CE1B61">
        <w:rPr>
          <w:rStyle w:val="a7"/>
          <w:szCs w:val="21"/>
        </w:rPr>
        <w:footnoteRef/>
      </w:r>
      <w:r w:rsidRPr="005D2190">
        <w:tab/>
      </w:r>
      <w:r w:rsidRPr="005D2190">
        <w:rPr>
          <w:rFonts w:hint="eastAsia"/>
        </w:rPr>
        <w:t>第</w:t>
      </w:r>
      <w:r w:rsidRPr="005D2190">
        <w:rPr>
          <w:rFonts w:hint="eastAsia"/>
        </w:rPr>
        <w:t>137</w:t>
      </w:r>
      <w:r w:rsidRPr="005D2190">
        <w:rPr>
          <w:rFonts w:hint="eastAsia"/>
        </w:rPr>
        <w:t>条</w:t>
      </w:r>
      <w:r w:rsidRPr="005D2190">
        <w:rPr>
          <w:rFonts w:hint="eastAsia"/>
        </w:rPr>
        <w:t>c</w:t>
      </w:r>
      <w:r w:rsidRPr="005D2190">
        <w:rPr>
          <w:rFonts w:hint="eastAsia"/>
        </w:rPr>
        <w:t>款规定，任何人，凡因某个群体成员的种族、宗教或信仰、这些成员的异性或同性</w:t>
      </w:r>
      <w:proofErr w:type="gramStart"/>
      <w:r w:rsidRPr="005D2190">
        <w:rPr>
          <w:rFonts w:hint="eastAsia"/>
        </w:rPr>
        <w:t>性</w:t>
      </w:r>
      <w:proofErr w:type="gramEnd"/>
      <w:r w:rsidRPr="005D2190">
        <w:rPr>
          <w:rFonts w:hint="eastAsia"/>
        </w:rPr>
        <w:t>取向，或其身心或智力障碍，而公开以口头、书面方式或借助图像蓄意发表针对该群体成员的侮辱性言论的，应处以一年以下的监禁或第三类的罚款；</w:t>
      </w:r>
      <w:r>
        <w:rPr>
          <w:rFonts w:hint="eastAsia"/>
        </w:rPr>
        <w:t>第</w:t>
      </w:r>
      <w:proofErr w:type="spellStart"/>
      <w:r>
        <w:rPr>
          <w:rFonts w:hint="eastAsia"/>
        </w:rPr>
        <w:t>137c</w:t>
      </w:r>
      <w:proofErr w:type="spellEnd"/>
      <w:r>
        <w:rPr>
          <w:rFonts w:hint="eastAsia"/>
        </w:rPr>
        <w:t>(2)</w:t>
      </w:r>
      <w:r>
        <w:rPr>
          <w:rFonts w:hint="eastAsia"/>
        </w:rPr>
        <w:t>节规定，如果是把此类行为当作职业或成为习惯或两人以上协同犯下罪行，应处以两年以下监禁或者第四类罚款。</w:t>
      </w:r>
    </w:p>
  </w:footnote>
  <w:footnote w:id="7">
    <w:p w:rsidR="00006840" w:rsidRPr="005D2190" w:rsidRDefault="00006840" w:rsidP="00834718">
      <w:pPr>
        <w:pStyle w:val="a6"/>
      </w:pPr>
      <w:r w:rsidRPr="005D2190">
        <w:tab/>
      </w:r>
      <w:r w:rsidRPr="00CE1B61">
        <w:rPr>
          <w:rStyle w:val="a7"/>
          <w:szCs w:val="21"/>
        </w:rPr>
        <w:footnoteRef/>
      </w:r>
      <w:r w:rsidRPr="005D2190">
        <w:tab/>
      </w:r>
      <w:r w:rsidRPr="005D2190">
        <w:rPr>
          <w:rFonts w:hint="eastAsia"/>
        </w:rPr>
        <w:t>第</w:t>
      </w:r>
      <w:r w:rsidRPr="005D2190">
        <w:t>137</w:t>
      </w:r>
      <w:r w:rsidRPr="005D2190">
        <w:rPr>
          <w:rFonts w:eastAsiaTheme="minorEastAsia" w:hint="eastAsia"/>
        </w:rPr>
        <w:t>条</w:t>
      </w:r>
      <w:r w:rsidRPr="005D2190">
        <w:t>d</w:t>
      </w:r>
      <w:r w:rsidRPr="005D2190">
        <w:rPr>
          <w:rFonts w:hint="eastAsia"/>
        </w:rPr>
        <w:t>款规定，任何以口头或书面形式或通过形象公开煽动仇恨或歧视或因种族、宗教或信仰，其性别、异性恋或同性恋倾向或其身体、精神或智力残疾而对个人或财产施以暴力行为的人，可处以一年以下监禁或第三类罚款。</w:t>
      </w:r>
    </w:p>
  </w:footnote>
  <w:footnote w:id="8">
    <w:p w:rsidR="00006840" w:rsidRPr="005D2190" w:rsidRDefault="00006840" w:rsidP="00834718">
      <w:pPr>
        <w:pStyle w:val="a6"/>
      </w:pPr>
      <w:r w:rsidRPr="005D2190">
        <w:tab/>
      </w:r>
      <w:r w:rsidRPr="00CE1B61">
        <w:rPr>
          <w:rStyle w:val="a7"/>
          <w:szCs w:val="21"/>
        </w:rPr>
        <w:footnoteRef/>
      </w:r>
      <w:r w:rsidRPr="005D2190">
        <w:tab/>
      </w:r>
      <w:r w:rsidRPr="005D2190">
        <w:rPr>
          <w:rFonts w:hint="eastAsia"/>
        </w:rPr>
        <w:t>第</w:t>
      </w:r>
      <w:r w:rsidRPr="005D2190">
        <w:rPr>
          <w:rFonts w:hint="eastAsia"/>
        </w:rPr>
        <w:t>334</w:t>
      </w:r>
      <w:r w:rsidRPr="005D2190">
        <w:rPr>
          <w:rFonts w:hint="eastAsia"/>
        </w:rPr>
        <w:t>节规定，法院开庭时，受害方可以提交文件作为刑事</w:t>
      </w:r>
      <w:r w:rsidRPr="005D2190">
        <w:t>犯罪行为所造成的</w:t>
      </w:r>
      <w:r w:rsidRPr="005D2190">
        <w:rPr>
          <w:rFonts w:hint="eastAsia"/>
        </w:rPr>
        <w:t>损坏或损失的证据，但</w:t>
      </w:r>
      <w:r w:rsidRPr="005D2190">
        <w:t>不</w:t>
      </w:r>
      <w:r w:rsidRPr="005D2190">
        <w:rPr>
          <w:rFonts w:hint="eastAsia"/>
        </w:rPr>
        <w:t>得提供</w:t>
      </w:r>
      <w:r w:rsidRPr="005D2190">
        <w:t>证人或专家证人</w:t>
      </w:r>
      <w:r w:rsidRPr="005D2190">
        <w:rPr>
          <w:rFonts w:hint="eastAsia"/>
        </w:rPr>
        <w:t>。受害方或协助受害方的人可向证人和专家证人提问，但只可就其索赔诉求提问。</w:t>
      </w:r>
      <w:r w:rsidRPr="005D2190">
        <w:t>检察官</w:t>
      </w:r>
      <w:r w:rsidRPr="005D2190">
        <w:rPr>
          <w:rFonts w:hint="eastAsia"/>
        </w:rPr>
        <w:t>/</w:t>
      </w:r>
      <w:r w:rsidRPr="005D2190">
        <w:rPr>
          <w:rFonts w:hint="eastAsia"/>
        </w:rPr>
        <w:t>公诉人向</w:t>
      </w:r>
      <w:r w:rsidRPr="005D2190">
        <w:t>法院</w:t>
      </w:r>
      <w:r w:rsidRPr="005D2190">
        <w:rPr>
          <w:rFonts w:hint="eastAsia"/>
        </w:rPr>
        <w:t>致辞后，受害方可解释和澄清或指示第三</w:t>
      </w:r>
      <w:proofErr w:type="gramStart"/>
      <w:r w:rsidRPr="005D2190">
        <w:rPr>
          <w:rFonts w:hint="eastAsia"/>
        </w:rPr>
        <w:t>方解释</w:t>
      </w:r>
      <w:proofErr w:type="gramEnd"/>
      <w:r w:rsidRPr="005D2190">
        <w:rPr>
          <w:rFonts w:hint="eastAsia"/>
        </w:rPr>
        <w:t>和澄清其诉求。</w:t>
      </w:r>
      <w:r w:rsidRPr="005D2190">
        <w:t>检察官</w:t>
      </w:r>
      <w:r w:rsidRPr="005D2190">
        <w:t>/</w:t>
      </w:r>
      <w:r w:rsidRPr="005D2190">
        <w:rPr>
          <w:rFonts w:hint="eastAsia"/>
        </w:rPr>
        <w:t>公诉人</w:t>
      </w:r>
      <w:r w:rsidRPr="005D2190">
        <w:t>每次向法院或有机会向法院</w:t>
      </w:r>
      <w:r w:rsidRPr="005D2190">
        <w:rPr>
          <w:rFonts w:hint="eastAsia"/>
        </w:rPr>
        <w:t>致辞时，受害人都可再次向法庭陈述。</w:t>
      </w:r>
    </w:p>
  </w:footnote>
  <w:footnote w:id="9">
    <w:p w:rsidR="00006840" w:rsidRPr="005D2190" w:rsidRDefault="00006840" w:rsidP="00834718">
      <w:pPr>
        <w:pStyle w:val="a6"/>
        <w:rPr>
          <w:lang w:val="x-none"/>
        </w:rPr>
      </w:pPr>
      <w:r w:rsidRPr="005D2190">
        <w:tab/>
      </w:r>
      <w:r w:rsidRPr="00CE1B61">
        <w:rPr>
          <w:rStyle w:val="a7"/>
          <w:szCs w:val="21"/>
        </w:rPr>
        <w:footnoteRef/>
      </w:r>
      <w:r w:rsidRPr="005D2190">
        <w:tab/>
      </w:r>
      <w:r w:rsidRPr="005D2190">
        <w:rPr>
          <w:rFonts w:hint="eastAsia"/>
        </w:rPr>
        <w:t>见第</w:t>
      </w:r>
      <w:r w:rsidRPr="005D2190">
        <w:t>1570/2007</w:t>
      </w:r>
      <w:r w:rsidRPr="005D2190">
        <w:rPr>
          <w:rFonts w:hint="eastAsia"/>
        </w:rPr>
        <w:t>号来文</w:t>
      </w:r>
      <w:r w:rsidRPr="005D2190">
        <w:t>，</w:t>
      </w:r>
      <w:proofErr w:type="spellStart"/>
      <w:r w:rsidRPr="00CE1B61">
        <w:rPr>
          <w:rFonts w:ascii="Time New Roman" w:eastAsia="楷体" w:hAnsi="Time New Roman"/>
          <w:iCs/>
        </w:rPr>
        <w:t>Vassilari</w:t>
      </w:r>
      <w:proofErr w:type="spellEnd"/>
      <w:r w:rsidRPr="00CE1B61">
        <w:rPr>
          <w:rFonts w:ascii="Time New Roman" w:eastAsia="楷体" w:hAnsi="Time New Roman" w:hint="eastAsia"/>
          <w:iCs/>
        </w:rPr>
        <w:t>等人诉希腊</w:t>
      </w:r>
      <w:r w:rsidRPr="005D2190">
        <w:t>，</w:t>
      </w:r>
      <w:r w:rsidRPr="005D2190">
        <w:t>2009</w:t>
      </w:r>
      <w:r w:rsidRPr="005D2190">
        <w:rPr>
          <w:rFonts w:hint="eastAsia"/>
        </w:rPr>
        <w:t>年</w:t>
      </w:r>
      <w:r w:rsidRPr="005D2190">
        <w:rPr>
          <w:rFonts w:hint="eastAsia"/>
        </w:rPr>
        <w:t>3</w:t>
      </w:r>
      <w:r w:rsidRPr="005D2190">
        <w:rPr>
          <w:rFonts w:hint="eastAsia"/>
        </w:rPr>
        <w:t>月</w:t>
      </w:r>
      <w:r w:rsidRPr="005D2190">
        <w:rPr>
          <w:rFonts w:hint="eastAsia"/>
        </w:rPr>
        <w:t>19</w:t>
      </w:r>
      <w:r w:rsidRPr="005D2190">
        <w:rPr>
          <w:rFonts w:hint="eastAsia"/>
        </w:rPr>
        <w:t>日通过的意见</w:t>
      </w:r>
      <w:r w:rsidRPr="005D2190">
        <w:t>，</w:t>
      </w:r>
      <w:r w:rsidRPr="005D2190">
        <w:rPr>
          <w:rFonts w:hint="eastAsia"/>
        </w:rPr>
        <w:t>第</w:t>
      </w:r>
      <w:r w:rsidRPr="005D2190">
        <w:t>6.5</w:t>
      </w:r>
      <w:r w:rsidRPr="005D2190">
        <w:rPr>
          <w:rFonts w:hint="eastAsia"/>
        </w:rPr>
        <w:t>段。</w:t>
      </w:r>
    </w:p>
  </w:footnote>
  <w:footnote w:id="10">
    <w:p w:rsidR="00006840" w:rsidRPr="005D2190" w:rsidRDefault="00006840" w:rsidP="000571A7">
      <w:pPr>
        <w:pStyle w:val="a6"/>
      </w:pPr>
      <w:r w:rsidRPr="005D2190">
        <w:tab/>
      </w:r>
      <w:r w:rsidRPr="00CE1B61">
        <w:rPr>
          <w:rStyle w:val="a7"/>
          <w:szCs w:val="21"/>
        </w:rPr>
        <w:footnoteRef/>
      </w:r>
      <w:r w:rsidRPr="005D2190">
        <w:tab/>
      </w:r>
      <w:r w:rsidRPr="005D2190">
        <w:rPr>
          <w:rFonts w:hint="eastAsia"/>
        </w:rPr>
        <w:t>第</w:t>
      </w:r>
      <w:r w:rsidRPr="005D2190">
        <w:rPr>
          <w:bCs/>
        </w:rPr>
        <w:t>6</w:t>
      </w:r>
      <w:r>
        <w:rPr>
          <w:rFonts w:hint="eastAsia"/>
          <w:bCs/>
        </w:rPr>
        <w:t>:</w:t>
      </w:r>
      <w:r w:rsidRPr="005D2190">
        <w:rPr>
          <w:bCs/>
        </w:rPr>
        <w:t>162</w:t>
      </w:r>
      <w:r w:rsidRPr="005D2190">
        <w:rPr>
          <w:rFonts w:hint="eastAsia"/>
          <w:bCs/>
        </w:rPr>
        <w:t>条规定：</w:t>
      </w:r>
      <w:r w:rsidRPr="005D2190">
        <w:rPr>
          <w:rFonts w:hint="eastAsia"/>
          <w:bCs/>
        </w:rPr>
        <w:t>(a)</w:t>
      </w:r>
      <w:r>
        <w:rPr>
          <w:rFonts w:hint="eastAsia"/>
          <w:bCs/>
        </w:rPr>
        <w:t xml:space="preserve"> </w:t>
      </w:r>
      <w:r w:rsidRPr="005D2190">
        <w:rPr>
          <w:rFonts w:hint="eastAsia"/>
          <w:bCs/>
        </w:rPr>
        <w:t>确系对另一人犯下不法行为的人，须赔偿前者因此遭受的损害；</w:t>
      </w:r>
      <w:r w:rsidRPr="005D2190">
        <w:rPr>
          <w:rFonts w:hint="eastAsia"/>
          <w:bCs/>
        </w:rPr>
        <w:t>(b)</w:t>
      </w:r>
      <w:r>
        <w:rPr>
          <w:rFonts w:hint="eastAsia"/>
          <w:bCs/>
        </w:rPr>
        <w:t xml:space="preserve"> </w:t>
      </w:r>
      <w:r w:rsidRPr="005D2190">
        <w:rPr>
          <w:rFonts w:hint="eastAsia"/>
          <w:bCs/>
        </w:rPr>
        <w:t>侵权行为是指对他人权利</w:t>
      </w:r>
      <w:r w:rsidRPr="005D2190">
        <w:rPr>
          <w:rFonts w:hint="eastAsia"/>
          <w:bCs/>
        </w:rPr>
        <w:t>(</w:t>
      </w:r>
      <w:r w:rsidRPr="005D2190">
        <w:rPr>
          <w:rFonts w:hint="eastAsia"/>
          <w:bCs/>
        </w:rPr>
        <w:t>资格</w:t>
      </w:r>
      <w:r w:rsidRPr="005D2190">
        <w:rPr>
          <w:rFonts w:hint="eastAsia"/>
          <w:bCs/>
        </w:rPr>
        <w:t>)</w:t>
      </w:r>
      <w:r w:rsidRPr="005D2190">
        <w:rPr>
          <w:rFonts w:hint="eastAsia"/>
          <w:bCs/>
        </w:rPr>
        <w:t>的一种侵犯，也是指一种违反法律规定的义务，或违反根据不成文法须视为正当社会行为的情况的行为或不作为</w:t>
      </w:r>
      <w:r w:rsidRPr="005D2190">
        <w:rPr>
          <w:rFonts w:hint="eastAsia"/>
          <w:bCs/>
        </w:rPr>
        <w:t>(</w:t>
      </w:r>
      <w:r w:rsidRPr="005D2190">
        <w:rPr>
          <w:rFonts w:hint="eastAsia"/>
          <w:bCs/>
        </w:rPr>
        <w:t>就所涉行为缺乏理由而言</w:t>
      </w:r>
      <w:r w:rsidRPr="005D2190">
        <w:rPr>
          <w:rFonts w:hint="eastAsia"/>
          <w:bCs/>
        </w:rPr>
        <w:t>)</w:t>
      </w:r>
      <w:r>
        <w:rPr>
          <w:rFonts w:hint="eastAsia"/>
          <w:bCs/>
        </w:rPr>
        <w:t xml:space="preserve"> </w:t>
      </w:r>
      <w:r w:rsidRPr="005D2190">
        <w:rPr>
          <w:rFonts w:hint="eastAsia"/>
          <w:bCs/>
        </w:rPr>
        <w:t>(c)</w:t>
      </w:r>
      <w:r>
        <w:rPr>
          <w:rFonts w:hint="eastAsia"/>
          <w:bCs/>
        </w:rPr>
        <w:t xml:space="preserve"> </w:t>
      </w:r>
      <w:r w:rsidRPr="005D2190">
        <w:rPr>
          <w:rFonts w:hint="eastAsia"/>
          <w:bCs/>
        </w:rPr>
        <w:t>某种侵权行为，如由行为人的过错引起，或由于根据法律或普遍接受的原则</w:t>
      </w:r>
      <w:r w:rsidRPr="005D2190">
        <w:rPr>
          <w:rFonts w:hint="eastAsia"/>
          <w:bCs/>
        </w:rPr>
        <w:t>(</w:t>
      </w:r>
      <w:r w:rsidRPr="005D2190">
        <w:rPr>
          <w:rFonts w:hint="eastAsia"/>
          <w:bCs/>
        </w:rPr>
        <w:t>共同意见</w:t>
      </w:r>
      <w:r w:rsidRPr="005D2190">
        <w:rPr>
          <w:rFonts w:hint="eastAsia"/>
          <w:bCs/>
        </w:rPr>
        <w:t>)</w:t>
      </w:r>
      <w:r w:rsidRPr="005D2190">
        <w:rPr>
          <w:rFonts w:hint="eastAsia"/>
          <w:bCs/>
        </w:rPr>
        <w:t>应由行为人负责的原因引起，可归于行为人。</w:t>
      </w:r>
    </w:p>
  </w:footnote>
  <w:footnote w:id="11">
    <w:p w:rsidR="00006840" w:rsidRDefault="00006840" w:rsidP="00834718">
      <w:pPr>
        <w:pStyle w:val="a6"/>
        <w:rPr>
          <w:rFonts w:hint="eastAsia"/>
        </w:rPr>
      </w:pPr>
      <w:r>
        <w:rPr>
          <w:rFonts w:hint="eastAsia"/>
        </w:rPr>
        <w:tab/>
      </w:r>
      <w:r>
        <w:rPr>
          <w:rStyle w:val="a7"/>
        </w:rPr>
        <w:footnoteRef/>
      </w:r>
      <w:r>
        <w:rPr>
          <w:rFonts w:hint="eastAsia"/>
        </w:rPr>
        <w:tab/>
      </w:r>
      <w:r w:rsidRPr="0016694B">
        <w:rPr>
          <w:rFonts w:hint="eastAsia"/>
        </w:rPr>
        <w:t>见消除种族歧视委员会第</w:t>
      </w:r>
      <w:r w:rsidRPr="0016694B">
        <w:rPr>
          <w:rFonts w:hint="eastAsia"/>
        </w:rPr>
        <w:t>30/2003</w:t>
      </w:r>
      <w:r w:rsidRPr="0016694B">
        <w:rPr>
          <w:rFonts w:hint="eastAsia"/>
        </w:rPr>
        <w:t>号来文</w:t>
      </w:r>
      <w:r>
        <w:rPr>
          <w:rFonts w:hint="eastAsia"/>
        </w:rPr>
        <w:t>，</w:t>
      </w:r>
      <w:r w:rsidRPr="0016694B">
        <w:rPr>
          <w:rFonts w:ascii="Time New Roman" w:eastAsia="楷体" w:hAnsi="Time New Roman" w:hint="eastAsia"/>
        </w:rPr>
        <w:t>奥斯陆犹太社区等诉挪威</w:t>
      </w:r>
      <w:r>
        <w:rPr>
          <w:rFonts w:hint="eastAsia"/>
        </w:rPr>
        <w:t>，</w:t>
      </w:r>
      <w:r w:rsidRPr="0016694B">
        <w:rPr>
          <w:rFonts w:hint="eastAsia"/>
        </w:rPr>
        <w:t>2005</w:t>
      </w:r>
      <w:r w:rsidRPr="0016694B">
        <w:rPr>
          <w:rFonts w:hint="eastAsia"/>
        </w:rPr>
        <w:t>年</w:t>
      </w:r>
      <w:r w:rsidRPr="0016694B">
        <w:rPr>
          <w:rFonts w:hint="eastAsia"/>
        </w:rPr>
        <w:t>8</w:t>
      </w:r>
      <w:r w:rsidRPr="0016694B">
        <w:rPr>
          <w:rFonts w:hint="eastAsia"/>
        </w:rPr>
        <w:t>月</w:t>
      </w:r>
      <w:r w:rsidRPr="0016694B">
        <w:rPr>
          <w:rFonts w:hint="eastAsia"/>
        </w:rPr>
        <w:t>15</w:t>
      </w:r>
      <w:r w:rsidRPr="0016694B">
        <w:rPr>
          <w:rFonts w:hint="eastAsia"/>
        </w:rPr>
        <w:t>日通过的意见。</w:t>
      </w:r>
    </w:p>
  </w:footnote>
  <w:footnote w:id="12">
    <w:p w:rsidR="00006840" w:rsidRPr="005D2190" w:rsidRDefault="00006840" w:rsidP="00834718">
      <w:pPr>
        <w:pStyle w:val="a6"/>
      </w:pPr>
      <w:r w:rsidRPr="005D2190">
        <w:tab/>
      </w:r>
      <w:r w:rsidRPr="00CE1B61">
        <w:rPr>
          <w:rStyle w:val="a7"/>
          <w:szCs w:val="21"/>
        </w:rPr>
        <w:footnoteRef/>
      </w:r>
      <w:r w:rsidRPr="005D2190">
        <w:tab/>
      </w:r>
      <w:r w:rsidRPr="005D2190">
        <w:rPr>
          <w:rFonts w:hint="eastAsia"/>
        </w:rPr>
        <w:t>见第</w:t>
      </w:r>
      <w:r w:rsidRPr="005D2190">
        <w:t>1868/2009</w:t>
      </w:r>
      <w:r w:rsidRPr="005D2190">
        <w:rPr>
          <w:rFonts w:hint="eastAsia"/>
        </w:rPr>
        <w:t>号来文</w:t>
      </w:r>
      <w:r w:rsidRPr="005D2190">
        <w:t>，</w:t>
      </w:r>
      <w:r w:rsidRPr="00CE1B61">
        <w:rPr>
          <w:rFonts w:ascii="Time New Roman" w:eastAsia="楷体" w:hAnsi="Time New Roman"/>
          <w:iCs/>
        </w:rPr>
        <w:t>Andersen</w:t>
      </w:r>
      <w:r w:rsidRPr="00CE1B61">
        <w:rPr>
          <w:rFonts w:ascii="Time New Roman" w:eastAsia="楷体" w:hAnsi="Time New Roman" w:hint="eastAsia"/>
          <w:iCs/>
        </w:rPr>
        <w:t>诉丹麦</w:t>
      </w:r>
      <w:r w:rsidRPr="005D2190">
        <w:t>，</w:t>
      </w:r>
      <w:r w:rsidRPr="005D2190">
        <w:rPr>
          <w:rFonts w:hint="eastAsia"/>
        </w:rPr>
        <w:t>2010</w:t>
      </w:r>
      <w:r w:rsidRPr="005D2190">
        <w:rPr>
          <w:rFonts w:hint="eastAsia"/>
        </w:rPr>
        <w:t>年</w:t>
      </w:r>
      <w:r w:rsidRPr="005D2190">
        <w:rPr>
          <w:rFonts w:hint="eastAsia"/>
        </w:rPr>
        <w:t>7</w:t>
      </w:r>
      <w:r w:rsidRPr="005D2190">
        <w:rPr>
          <w:rFonts w:hint="eastAsia"/>
        </w:rPr>
        <w:t>月</w:t>
      </w:r>
      <w:r w:rsidRPr="005D2190">
        <w:rPr>
          <w:rFonts w:hint="eastAsia"/>
        </w:rPr>
        <w:t>26</w:t>
      </w:r>
      <w:r w:rsidRPr="005D2190">
        <w:rPr>
          <w:rFonts w:hint="eastAsia"/>
        </w:rPr>
        <w:t>日通过不可受理的决定</w:t>
      </w:r>
      <w:r w:rsidRPr="005D2190">
        <w:t>，</w:t>
      </w:r>
      <w:r w:rsidRPr="005D2190">
        <w:rPr>
          <w:rFonts w:hint="eastAsia"/>
        </w:rPr>
        <w:t>第</w:t>
      </w:r>
      <w:r w:rsidRPr="005D2190">
        <w:t>6.4</w:t>
      </w:r>
      <w:r w:rsidRPr="005D2190">
        <w:rPr>
          <w:rFonts w:hint="eastAsia"/>
        </w:rPr>
        <w:t>段。</w:t>
      </w:r>
    </w:p>
  </w:footnote>
  <w:footnote w:id="13">
    <w:p w:rsidR="00006840" w:rsidRDefault="00006840" w:rsidP="00834718">
      <w:pPr>
        <w:pStyle w:val="a6"/>
        <w:rPr>
          <w:rFonts w:hint="eastAsia"/>
        </w:rPr>
      </w:pPr>
      <w:r>
        <w:rPr>
          <w:rFonts w:hint="eastAsia"/>
        </w:rPr>
        <w:tab/>
      </w:r>
      <w:r>
        <w:rPr>
          <w:rStyle w:val="a7"/>
        </w:rPr>
        <w:footnoteRef/>
      </w:r>
      <w:r>
        <w:rPr>
          <w:rFonts w:hint="eastAsia"/>
        </w:rPr>
        <w:tab/>
      </w:r>
      <w:r w:rsidRPr="0016694B">
        <w:rPr>
          <w:rFonts w:hint="eastAsia"/>
        </w:rPr>
        <w:t>见第</w:t>
      </w:r>
      <w:r w:rsidRPr="0016694B">
        <w:rPr>
          <w:rFonts w:hint="eastAsia"/>
        </w:rPr>
        <w:t>437/1990</w:t>
      </w:r>
      <w:r w:rsidRPr="0016694B">
        <w:rPr>
          <w:rFonts w:hint="eastAsia"/>
        </w:rPr>
        <w:t>号来文</w:t>
      </w:r>
      <w:r>
        <w:rPr>
          <w:rFonts w:hint="eastAsia"/>
        </w:rPr>
        <w:t>，</w:t>
      </w:r>
      <w:proofErr w:type="spellStart"/>
      <w:r w:rsidRPr="0016694B">
        <w:rPr>
          <w:rFonts w:ascii="Time New Roman" w:eastAsia="楷体" w:hAnsi="Time New Roman" w:hint="eastAsia"/>
        </w:rPr>
        <w:t>Patiño</w:t>
      </w:r>
      <w:proofErr w:type="spellEnd"/>
      <w:r w:rsidRPr="0016694B">
        <w:rPr>
          <w:rFonts w:ascii="Time New Roman" w:eastAsia="楷体" w:hAnsi="Time New Roman" w:hint="eastAsia"/>
        </w:rPr>
        <w:t>诉巴拿马</w:t>
      </w:r>
      <w:r>
        <w:rPr>
          <w:rFonts w:hint="eastAsia"/>
        </w:rPr>
        <w:t>，</w:t>
      </w:r>
      <w:r w:rsidRPr="0016694B">
        <w:rPr>
          <w:rFonts w:hint="eastAsia"/>
        </w:rPr>
        <w:t>1994</w:t>
      </w:r>
      <w:r w:rsidRPr="0016694B">
        <w:rPr>
          <w:rFonts w:hint="eastAsia"/>
        </w:rPr>
        <w:t>年</w:t>
      </w:r>
      <w:r w:rsidRPr="0016694B">
        <w:rPr>
          <w:rFonts w:hint="eastAsia"/>
        </w:rPr>
        <w:t>10</w:t>
      </w:r>
      <w:r w:rsidRPr="0016694B">
        <w:rPr>
          <w:rFonts w:hint="eastAsia"/>
        </w:rPr>
        <w:t>月</w:t>
      </w:r>
      <w:r w:rsidRPr="0016694B">
        <w:rPr>
          <w:rFonts w:hint="eastAsia"/>
        </w:rPr>
        <w:t>21</w:t>
      </w:r>
      <w:r w:rsidRPr="0016694B">
        <w:rPr>
          <w:rFonts w:hint="eastAsia"/>
        </w:rPr>
        <w:t>日通过的不可受理决定</w:t>
      </w:r>
      <w:r>
        <w:rPr>
          <w:rFonts w:hint="eastAsia"/>
        </w:rPr>
        <w:t>，</w:t>
      </w:r>
      <w:r w:rsidRPr="0016694B">
        <w:rPr>
          <w:rFonts w:hint="eastAsia"/>
        </w:rPr>
        <w:t>第</w:t>
      </w:r>
      <w:r w:rsidRPr="0016694B">
        <w:rPr>
          <w:rFonts w:hint="eastAsia"/>
        </w:rPr>
        <w:t>5.2</w:t>
      </w:r>
      <w:r w:rsidRPr="0016694B">
        <w:rPr>
          <w:rFonts w:hint="eastAsia"/>
        </w:rPr>
        <w:t>段。</w:t>
      </w:r>
    </w:p>
  </w:footnote>
  <w:footnote w:id="14">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见</w:t>
      </w:r>
      <w:r w:rsidRPr="00AA24B7">
        <w:rPr>
          <w:rFonts w:ascii="Time New Roman" w:eastAsia="楷体" w:hAnsi="Time New Roman" w:hint="eastAsia"/>
        </w:rPr>
        <w:t>Andersen</w:t>
      </w:r>
      <w:r w:rsidRPr="00AA24B7">
        <w:rPr>
          <w:rFonts w:ascii="Time New Roman" w:eastAsia="楷体" w:hAnsi="Time New Roman" w:hint="eastAsia"/>
        </w:rPr>
        <w:t>诉丹麦</w:t>
      </w:r>
      <w:r w:rsidRPr="00AA24B7">
        <w:rPr>
          <w:rFonts w:hint="eastAsia"/>
        </w:rPr>
        <w:t>，第</w:t>
      </w:r>
      <w:r w:rsidRPr="00AA24B7">
        <w:rPr>
          <w:rFonts w:hint="eastAsia"/>
        </w:rPr>
        <w:t>6.3</w:t>
      </w:r>
      <w:r w:rsidRPr="00AA24B7">
        <w:rPr>
          <w:rFonts w:hint="eastAsia"/>
        </w:rPr>
        <w:t>段。</w:t>
      </w:r>
    </w:p>
  </w:footnote>
  <w:footnote w:id="15">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见第</w:t>
      </w:r>
      <w:r w:rsidRPr="00AA24B7">
        <w:rPr>
          <w:rFonts w:hint="eastAsia"/>
        </w:rPr>
        <w:t>35/1978</w:t>
      </w:r>
      <w:r w:rsidRPr="00AA24B7">
        <w:rPr>
          <w:rFonts w:hint="eastAsia"/>
        </w:rPr>
        <w:t>号来文，</w:t>
      </w:r>
      <w:proofErr w:type="spellStart"/>
      <w:r w:rsidRPr="00AA24B7">
        <w:rPr>
          <w:rFonts w:ascii="Time New Roman" w:eastAsia="楷体" w:hAnsi="Time New Roman" w:hint="eastAsia"/>
        </w:rPr>
        <w:t>Aumeeruddy</w:t>
      </w:r>
      <w:proofErr w:type="spellEnd"/>
      <w:r w:rsidRPr="00AA24B7">
        <w:rPr>
          <w:rFonts w:ascii="Time New Roman" w:eastAsia="楷体" w:hAnsi="Time New Roman" w:hint="eastAsia"/>
        </w:rPr>
        <w:t>-Cziffra</w:t>
      </w:r>
      <w:r w:rsidRPr="00AA24B7">
        <w:rPr>
          <w:rFonts w:ascii="Time New Roman" w:eastAsia="楷体" w:hAnsi="Time New Roman" w:hint="eastAsia"/>
        </w:rPr>
        <w:t>等人诉毛里求斯</w:t>
      </w:r>
      <w:r w:rsidRPr="00AA24B7">
        <w:rPr>
          <w:rFonts w:hint="eastAsia"/>
        </w:rPr>
        <w:t>，</w:t>
      </w:r>
      <w:r w:rsidRPr="00AA24B7">
        <w:rPr>
          <w:rFonts w:hint="eastAsia"/>
        </w:rPr>
        <w:t>1981</w:t>
      </w:r>
      <w:r w:rsidRPr="00AA24B7">
        <w:rPr>
          <w:rFonts w:hint="eastAsia"/>
        </w:rPr>
        <w:t>年</w:t>
      </w:r>
      <w:r w:rsidRPr="00AA24B7">
        <w:rPr>
          <w:rFonts w:hint="eastAsia"/>
        </w:rPr>
        <w:t>4</w:t>
      </w:r>
      <w:r w:rsidRPr="00AA24B7">
        <w:rPr>
          <w:rFonts w:hint="eastAsia"/>
        </w:rPr>
        <w:t>月</w:t>
      </w:r>
      <w:r w:rsidRPr="00AA24B7">
        <w:rPr>
          <w:rFonts w:hint="eastAsia"/>
        </w:rPr>
        <w:t>9</w:t>
      </w:r>
      <w:r w:rsidRPr="00AA24B7">
        <w:rPr>
          <w:rFonts w:hint="eastAsia"/>
        </w:rPr>
        <w:t>日通过的意见，第</w:t>
      </w:r>
      <w:r w:rsidRPr="00AA24B7">
        <w:rPr>
          <w:rFonts w:hint="eastAsia"/>
        </w:rPr>
        <w:t>9.1</w:t>
      </w:r>
      <w:r w:rsidRPr="00AA24B7">
        <w:rPr>
          <w:rFonts w:hint="eastAsia"/>
        </w:rPr>
        <w:t>段。</w:t>
      </w:r>
    </w:p>
  </w:footnote>
  <w:footnote w:id="16">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见</w:t>
      </w:r>
      <w:r w:rsidRPr="00AA24B7">
        <w:rPr>
          <w:rFonts w:ascii="Time New Roman" w:eastAsia="楷体" w:hAnsi="Time New Roman" w:hint="eastAsia"/>
        </w:rPr>
        <w:t>Andersen</w:t>
      </w:r>
      <w:r w:rsidRPr="00AA24B7">
        <w:rPr>
          <w:rFonts w:ascii="Time New Roman" w:eastAsia="楷体" w:hAnsi="Time New Roman" w:hint="eastAsia"/>
        </w:rPr>
        <w:t>诉丹麦</w:t>
      </w:r>
      <w:r w:rsidRPr="00AA24B7">
        <w:rPr>
          <w:rFonts w:hint="eastAsia"/>
        </w:rPr>
        <w:t>，第</w:t>
      </w:r>
      <w:r w:rsidRPr="00AA24B7">
        <w:rPr>
          <w:rFonts w:hint="eastAsia"/>
        </w:rPr>
        <w:t>6.4</w:t>
      </w:r>
      <w:r w:rsidRPr="00AA24B7">
        <w:rPr>
          <w:rFonts w:hint="eastAsia"/>
        </w:rPr>
        <w:t>段，和第</w:t>
      </w:r>
      <w:r w:rsidRPr="00AA24B7">
        <w:rPr>
          <w:rFonts w:hint="eastAsia"/>
        </w:rPr>
        <w:t>1879/2009</w:t>
      </w:r>
      <w:r w:rsidRPr="00AA24B7">
        <w:rPr>
          <w:rFonts w:hint="eastAsia"/>
        </w:rPr>
        <w:t>号来文，</w:t>
      </w:r>
      <w:proofErr w:type="spellStart"/>
      <w:r w:rsidRPr="00AA24B7">
        <w:rPr>
          <w:rFonts w:ascii="Time New Roman" w:eastAsia="楷体" w:hAnsi="Time New Roman" w:hint="eastAsia"/>
        </w:rPr>
        <w:t>A.W.P</w:t>
      </w:r>
      <w:proofErr w:type="spellEnd"/>
      <w:r w:rsidRPr="00AA24B7">
        <w:rPr>
          <w:rFonts w:ascii="Time New Roman" w:eastAsia="楷体" w:hAnsi="Time New Roman" w:hint="eastAsia"/>
        </w:rPr>
        <w:t>.</w:t>
      </w:r>
      <w:r w:rsidRPr="00AA24B7">
        <w:rPr>
          <w:rFonts w:ascii="Time New Roman" w:eastAsia="楷体" w:hAnsi="Time New Roman" w:hint="eastAsia"/>
        </w:rPr>
        <w:t>诉丹麦</w:t>
      </w:r>
      <w:r w:rsidRPr="00AA24B7">
        <w:rPr>
          <w:rFonts w:hint="eastAsia"/>
        </w:rPr>
        <w:t>，</w:t>
      </w:r>
      <w:r w:rsidRPr="00AA24B7">
        <w:rPr>
          <w:rFonts w:hint="eastAsia"/>
        </w:rPr>
        <w:t>2013</w:t>
      </w:r>
      <w:r w:rsidRPr="00AA24B7">
        <w:rPr>
          <w:rFonts w:hint="eastAsia"/>
        </w:rPr>
        <w:t>年</w:t>
      </w:r>
      <w:r w:rsidRPr="00AA24B7">
        <w:rPr>
          <w:rFonts w:hint="eastAsia"/>
        </w:rPr>
        <w:t>11</w:t>
      </w:r>
      <w:r w:rsidRPr="00AA24B7">
        <w:rPr>
          <w:rFonts w:hint="eastAsia"/>
        </w:rPr>
        <w:t>月</w:t>
      </w:r>
      <w:r w:rsidRPr="00AA24B7">
        <w:rPr>
          <w:rFonts w:hint="eastAsia"/>
        </w:rPr>
        <w:t>1</w:t>
      </w:r>
      <w:r w:rsidRPr="00AA24B7">
        <w:rPr>
          <w:rFonts w:hint="eastAsia"/>
        </w:rPr>
        <w:t>日通过的意见，第</w:t>
      </w:r>
      <w:r w:rsidRPr="00AA24B7">
        <w:rPr>
          <w:rFonts w:hint="eastAsia"/>
        </w:rPr>
        <w:t>6.4</w:t>
      </w:r>
      <w:r w:rsidRPr="00AA24B7">
        <w:rPr>
          <w:rFonts w:hint="eastAsia"/>
        </w:rPr>
        <w:t>段。</w:t>
      </w:r>
    </w:p>
  </w:footnote>
  <w:footnote w:id="17">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见第</w:t>
      </w:r>
      <w:r w:rsidRPr="00AA24B7">
        <w:rPr>
          <w:rFonts w:hint="eastAsia"/>
        </w:rPr>
        <w:t>359/1989</w:t>
      </w:r>
      <w:r w:rsidRPr="00AA24B7">
        <w:rPr>
          <w:rFonts w:hint="eastAsia"/>
        </w:rPr>
        <w:t>号来文，</w:t>
      </w:r>
      <w:r w:rsidRPr="00AA24B7">
        <w:rPr>
          <w:rFonts w:ascii="Time New Roman" w:eastAsia="楷体" w:hAnsi="Time New Roman" w:hint="eastAsia"/>
        </w:rPr>
        <w:t>Ballantyne</w:t>
      </w:r>
      <w:r w:rsidRPr="00AA24B7">
        <w:rPr>
          <w:rFonts w:ascii="Time New Roman" w:eastAsia="楷体" w:hAnsi="Time New Roman" w:hint="eastAsia"/>
        </w:rPr>
        <w:t>等人诉加拿大</w:t>
      </w:r>
      <w:r w:rsidRPr="00AA24B7">
        <w:rPr>
          <w:rFonts w:hint="eastAsia"/>
        </w:rPr>
        <w:t>，</w:t>
      </w:r>
      <w:r w:rsidRPr="00AA24B7">
        <w:rPr>
          <w:rFonts w:hint="eastAsia"/>
        </w:rPr>
        <w:t>1993</w:t>
      </w:r>
      <w:r w:rsidRPr="00AA24B7">
        <w:rPr>
          <w:rFonts w:hint="eastAsia"/>
        </w:rPr>
        <w:t>年</w:t>
      </w:r>
      <w:r w:rsidRPr="00AA24B7">
        <w:rPr>
          <w:rFonts w:hint="eastAsia"/>
        </w:rPr>
        <w:t>3</w:t>
      </w:r>
      <w:r w:rsidRPr="00AA24B7">
        <w:rPr>
          <w:rFonts w:hint="eastAsia"/>
        </w:rPr>
        <w:t>月</w:t>
      </w:r>
      <w:r w:rsidRPr="00AA24B7">
        <w:rPr>
          <w:rFonts w:hint="eastAsia"/>
        </w:rPr>
        <w:t>31</w:t>
      </w:r>
      <w:r w:rsidRPr="00AA24B7">
        <w:rPr>
          <w:rFonts w:hint="eastAsia"/>
        </w:rPr>
        <w:t>日通过的意见，第</w:t>
      </w:r>
      <w:r w:rsidRPr="00AA24B7">
        <w:rPr>
          <w:rFonts w:hint="eastAsia"/>
        </w:rPr>
        <w:t>10.4</w:t>
      </w:r>
      <w:r w:rsidRPr="00AA24B7">
        <w:rPr>
          <w:rFonts w:hint="eastAsia"/>
        </w:rPr>
        <w:t>段。</w:t>
      </w:r>
    </w:p>
  </w:footnote>
  <w:footnote w:id="18">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见第</w:t>
      </w:r>
      <w:r w:rsidRPr="00AA24B7">
        <w:rPr>
          <w:rFonts w:hint="eastAsia"/>
        </w:rPr>
        <w:t>488/1992</w:t>
      </w:r>
      <w:r w:rsidRPr="00AA24B7">
        <w:rPr>
          <w:rFonts w:hint="eastAsia"/>
        </w:rPr>
        <w:t>号来文，</w:t>
      </w:r>
      <w:proofErr w:type="spellStart"/>
      <w:r w:rsidRPr="00AA24B7">
        <w:rPr>
          <w:rFonts w:ascii="Time New Roman" w:eastAsia="楷体" w:hAnsi="Time New Roman" w:hint="eastAsia"/>
        </w:rPr>
        <w:t>Toonen</w:t>
      </w:r>
      <w:proofErr w:type="spellEnd"/>
      <w:r w:rsidRPr="00AA24B7">
        <w:rPr>
          <w:rFonts w:ascii="Time New Roman" w:eastAsia="楷体" w:hAnsi="Time New Roman" w:hint="eastAsia"/>
        </w:rPr>
        <w:t>诉澳大利亚</w:t>
      </w:r>
      <w:r w:rsidRPr="00AA24B7">
        <w:rPr>
          <w:rFonts w:hint="eastAsia"/>
        </w:rPr>
        <w:t>，</w:t>
      </w:r>
      <w:r w:rsidRPr="00AA24B7">
        <w:rPr>
          <w:rFonts w:hint="eastAsia"/>
        </w:rPr>
        <w:t>1994</w:t>
      </w:r>
      <w:r w:rsidRPr="00AA24B7">
        <w:rPr>
          <w:rFonts w:hint="eastAsia"/>
        </w:rPr>
        <w:t>年</w:t>
      </w:r>
      <w:r w:rsidRPr="00AA24B7">
        <w:rPr>
          <w:rFonts w:hint="eastAsia"/>
        </w:rPr>
        <w:t>3</w:t>
      </w:r>
      <w:r w:rsidRPr="00AA24B7">
        <w:rPr>
          <w:rFonts w:hint="eastAsia"/>
        </w:rPr>
        <w:t>月</w:t>
      </w:r>
      <w:r w:rsidRPr="00AA24B7">
        <w:rPr>
          <w:rFonts w:hint="eastAsia"/>
        </w:rPr>
        <w:t>31</w:t>
      </w:r>
      <w:r w:rsidRPr="00AA24B7">
        <w:rPr>
          <w:rFonts w:hint="eastAsia"/>
        </w:rPr>
        <w:t>日通过的意见，第</w:t>
      </w:r>
      <w:r w:rsidRPr="00AA24B7">
        <w:rPr>
          <w:rFonts w:hint="eastAsia"/>
        </w:rPr>
        <w:t>2.5-2.6</w:t>
      </w:r>
      <w:r w:rsidRPr="00AA24B7">
        <w:rPr>
          <w:rFonts w:hint="eastAsia"/>
        </w:rPr>
        <w:t>段和第</w:t>
      </w:r>
      <w:r w:rsidRPr="00AA24B7">
        <w:rPr>
          <w:rFonts w:hint="eastAsia"/>
        </w:rPr>
        <w:t>5.1</w:t>
      </w:r>
      <w:r w:rsidRPr="00AA24B7">
        <w:rPr>
          <w:rFonts w:hint="eastAsia"/>
        </w:rPr>
        <w:t>段。</w:t>
      </w:r>
    </w:p>
  </w:footnote>
  <w:footnote w:id="19">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见委员会关于意见和言论自由的第</w:t>
      </w:r>
      <w:r w:rsidRPr="00AA24B7">
        <w:rPr>
          <w:rFonts w:hint="eastAsia"/>
        </w:rPr>
        <w:t>34(2011)</w:t>
      </w:r>
      <w:r w:rsidRPr="00AA24B7">
        <w:rPr>
          <w:rFonts w:hint="eastAsia"/>
        </w:rPr>
        <w:t>号一般性意见，第</w:t>
      </w:r>
      <w:r w:rsidRPr="00AA24B7">
        <w:rPr>
          <w:rFonts w:hint="eastAsia"/>
        </w:rPr>
        <w:t>51-52</w:t>
      </w:r>
      <w:r w:rsidRPr="00AA24B7">
        <w:rPr>
          <w:rFonts w:hint="eastAsia"/>
        </w:rPr>
        <w:t>段。</w:t>
      </w:r>
    </w:p>
  </w:footnote>
  <w:footnote w:id="20">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见第</w:t>
      </w:r>
      <w:r w:rsidRPr="00AA24B7">
        <w:rPr>
          <w:rFonts w:hint="eastAsia"/>
        </w:rPr>
        <w:t>1570/2007</w:t>
      </w:r>
      <w:r w:rsidRPr="00AA24B7">
        <w:rPr>
          <w:rFonts w:hint="eastAsia"/>
        </w:rPr>
        <w:t>号来文，</w:t>
      </w:r>
      <w:proofErr w:type="spellStart"/>
      <w:r w:rsidRPr="00AA24B7">
        <w:rPr>
          <w:rFonts w:ascii="Time New Roman" w:eastAsia="楷体" w:hAnsi="Time New Roman" w:hint="eastAsia"/>
        </w:rPr>
        <w:t>Vassilari</w:t>
      </w:r>
      <w:proofErr w:type="spellEnd"/>
      <w:r w:rsidRPr="00AA24B7">
        <w:rPr>
          <w:rFonts w:ascii="Time New Roman" w:eastAsia="楷体" w:hAnsi="Time New Roman" w:hint="eastAsia"/>
        </w:rPr>
        <w:t>等人诉希腊</w:t>
      </w:r>
      <w:r w:rsidRPr="00AA24B7">
        <w:rPr>
          <w:rFonts w:hint="eastAsia"/>
        </w:rPr>
        <w:t>，</w:t>
      </w:r>
      <w:r w:rsidRPr="00AA24B7">
        <w:rPr>
          <w:rFonts w:hint="eastAsia"/>
        </w:rPr>
        <w:t>2009</w:t>
      </w:r>
      <w:r w:rsidRPr="00AA24B7">
        <w:rPr>
          <w:rFonts w:hint="eastAsia"/>
        </w:rPr>
        <w:t>年</w:t>
      </w:r>
      <w:r w:rsidRPr="00AA24B7">
        <w:rPr>
          <w:rFonts w:hint="eastAsia"/>
        </w:rPr>
        <w:t>3</w:t>
      </w:r>
      <w:r w:rsidRPr="00AA24B7">
        <w:rPr>
          <w:rFonts w:hint="eastAsia"/>
        </w:rPr>
        <w:t>月</w:t>
      </w:r>
      <w:r w:rsidRPr="00AA24B7">
        <w:rPr>
          <w:rFonts w:hint="eastAsia"/>
        </w:rPr>
        <w:t>19</w:t>
      </w:r>
      <w:r w:rsidRPr="00AA24B7">
        <w:rPr>
          <w:rFonts w:hint="eastAsia"/>
        </w:rPr>
        <w:t>日通过的意见，附录，第</w:t>
      </w:r>
      <w:r w:rsidRPr="00AA24B7">
        <w:rPr>
          <w:rFonts w:hint="eastAsia"/>
        </w:rPr>
        <w:t>1</w:t>
      </w:r>
      <w:r w:rsidRPr="00AA24B7">
        <w:rPr>
          <w:rFonts w:hint="eastAsia"/>
        </w:rPr>
        <w:t>段。</w:t>
      </w:r>
    </w:p>
  </w:footnote>
  <w:footnote w:id="21">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见第</w:t>
      </w:r>
      <w:r w:rsidRPr="00AA24B7">
        <w:rPr>
          <w:rFonts w:hint="eastAsia"/>
        </w:rPr>
        <w:t>213/1986</w:t>
      </w:r>
      <w:r w:rsidRPr="00AA24B7">
        <w:rPr>
          <w:rFonts w:hint="eastAsia"/>
        </w:rPr>
        <w:t>号来文，</w:t>
      </w:r>
      <w:proofErr w:type="spellStart"/>
      <w:r w:rsidRPr="00AA24B7">
        <w:rPr>
          <w:rFonts w:ascii="Time New Roman" w:eastAsia="楷体" w:hAnsi="Time New Roman" w:hint="eastAsia"/>
        </w:rPr>
        <w:t>H.C.M.A</w:t>
      </w:r>
      <w:proofErr w:type="spellEnd"/>
      <w:r w:rsidRPr="00AA24B7">
        <w:rPr>
          <w:rFonts w:ascii="Time New Roman" w:eastAsia="楷体" w:hAnsi="Time New Roman" w:hint="eastAsia"/>
        </w:rPr>
        <w:t>.</w:t>
      </w:r>
      <w:r w:rsidRPr="00AA24B7">
        <w:rPr>
          <w:rFonts w:ascii="Time New Roman" w:eastAsia="楷体" w:hAnsi="Time New Roman" w:hint="eastAsia"/>
        </w:rPr>
        <w:t>诉荷兰</w:t>
      </w:r>
      <w:r w:rsidRPr="00AA24B7">
        <w:rPr>
          <w:rFonts w:hint="eastAsia"/>
        </w:rPr>
        <w:t>，</w:t>
      </w:r>
      <w:r w:rsidRPr="00AA24B7">
        <w:rPr>
          <w:rFonts w:hint="eastAsia"/>
        </w:rPr>
        <w:t>1989</w:t>
      </w:r>
      <w:r w:rsidRPr="00AA24B7">
        <w:rPr>
          <w:rFonts w:hint="eastAsia"/>
        </w:rPr>
        <w:t>年</w:t>
      </w:r>
      <w:r w:rsidRPr="00AA24B7">
        <w:rPr>
          <w:rFonts w:hint="eastAsia"/>
        </w:rPr>
        <w:t>3</w:t>
      </w:r>
      <w:r w:rsidRPr="00AA24B7">
        <w:rPr>
          <w:rFonts w:hint="eastAsia"/>
        </w:rPr>
        <w:t>月</w:t>
      </w:r>
      <w:r w:rsidRPr="00AA24B7">
        <w:rPr>
          <w:rFonts w:hint="eastAsia"/>
        </w:rPr>
        <w:t>30</w:t>
      </w:r>
      <w:r w:rsidRPr="00AA24B7">
        <w:rPr>
          <w:rFonts w:hint="eastAsia"/>
        </w:rPr>
        <w:t>日通过的不可受理的决定，第</w:t>
      </w:r>
      <w:r w:rsidRPr="00AA24B7">
        <w:rPr>
          <w:rFonts w:hint="eastAsia"/>
        </w:rPr>
        <w:t>11.6</w:t>
      </w:r>
      <w:r w:rsidRPr="00AA24B7">
        <w:rPr>
          <w:rFonts w:hint="eastAsia"/>
        </w:rPr>
        <w:t>段。</w:t>
      </w:r>
    </w:p>
  </w:footnote>
  <w:footnote w:id="22">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见委员会第</w:t>
      </w:r>
      <w:r w:rsidRPr="00AA24B7">
        <w:rPr>
          <w:rFonts w:hint="eastAsia"/>
        </w:rPr>
        <w:t>34</w:t>
      </w:r>
      <w:r w:rsidRPr="00AA24B7">
        <w:rPr>
          <w:rFonts w:hint="eastAsia"/>
        </w:rPr>
        <w:t>号一般性意见，第</w:t>
      </w:r>
      <w:r w:rsidRPr="00AA24B7">
        <w:rPr>
          <w:rFonts w:hint="eastAsia"/>
        </w:rPr>
        <w:t>51</w:t>
      </w:r>
      <w:r w:rsidRPr="00AA24B7">
        <w:rPr>
          <w:rFonts w:hint="eastAsia"/>
        </w:rPr>
        <w:t>段。</w:t>
      </w:r>
    </w:p>
  </w:footnote>
  <w:footnote w:id="23">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同上，第</w:t>
      </w:r>
      <w:r w:rsidRPr="00AA24B7">
        <w:rPr>
          <w:rFonts w:hint="eastAsia"/>
        </w:rPr>
        <w:t>52</w:t>
      </w:r>
      <w:r w:rsidRPr="00AA24B7">
        <w:rPr>
          <w:rFonts w:hint="eastAsia"/>
        </w:rPr>
        <w:t>段。</w:t>
      </w:r>
    </w:p>
  </w:footnote>
  <w:footnote w:id="24">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同上，第</w:t>
      </w:r>
      <w:r w:rsidRPr="00AA24B7">
        <w:rPr>
          <w:rFonts w:hint="eastAsia"/>
        </w:rPr>
        <w:t>11</w:t>
      </w:r>
      <w:r w:rsidRPr="00AA24B7">
        <w:rPr>
          <w:rFonts w:hint="eastAsia"/>
        </w:rPr>
        <w:t>段。</w:t>
      </w:r>
    </w:p>
  </w:footnote>
  <w:footnote w:id="25">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同上，第</w:t>
      </w:r>
      <w:r w:rsidRPr="00AA24B7">
        <w:rPr>
          <w:rFonts w:hint="eastAsia"/>
        </w:rPr>
        <w:t>20</w:t>
      </w:r>
      <w:r w:rsidRPr="00AA24B7">
        <w:rPr>
          <w:rFonts w:hint="eastAsia"/>
        </w:rPr>
        <w:t>段。</w:t>
      </w:r>
    </w:p>
  </w:footnote>
  <w:footnote w:id="26">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同上，第</w:t>
      </w:r>
      <w:r w:rsidRPr="00AA24B7">
        <w:rPr>
          <w:rFonts w:hint="eastAsia"/>
        </w:rPr>
        <w:t>48</w:t>
      </w:r>
      <w:r w:rsidRPr="00AA24B7">
        <w:rPr>
          <w:rFonts w:hint="eastAsia"/>
        </w:rPr>
        <w:t>段。</w:t>
      </w:r>
    </w:p>
  </w:footnote>
  <w:footnote w:id="27">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同上，第</w:t>
      </w:r>
      <w:r w:rsidRPr="00AA24B7">
        <w:rPr>
          <w:rFonts w:hint="eastAsia"/>
        </w:rPr>
        <w:t>48</w:t>
      </w:r>
      <w:r w:rsidRPr="00AA24B7">
        <w:rPr>
          <w:rFonts w:hint="eastAsia"/>
        </w:rPr>
        <w:t>段。</w:t>
      </w:r>
    </w:p>
  </w:footnote>
  <w:footnote w:id="28">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同上，第</w:t>
      </w:r>
      <w:r w:rsidRPr="00AA24B7">
        <w:rPr>
          <w:rFonts w:hint="eastAsia"/>
        </w:rPr>
        <w:t>50</w:t>
      </w:r>
      <w:r w:rsidRPr="00AA24B7">
        <w:rPr>
          <w:rFonts w:hint="eastAsia"/>
        </w:rPr>
        <w:t>段。</w:t>
      </w:r>
    </w:p>
  </w:footnote>
  <w:footnote w:id="29">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同上，第</w:t>
      </w:r>
      <w:r w:rsidRPr="00AA24B7">
        <w:rPr>
          <w:rFonts w:hint="eastAsia"/>
        </w:rPr>
        <w:t>48</w:t>
      </w:r>
      <w:r w:rsidRPr="00AA24B7">
        <w:rPr>
          <w:rFonts w:hint="eastAsia"/>
        </w:rPr>
        <w:t>段。还见第</w:t>
      </w:r>
      <w:r w:rsidRPr="00AA24B7">
        <w:rPr>
          <w:rFonts w:hint="eastAsia"/>
        </w:rPr>
        <w:t>50</w:t>
      </w:r>
      <w:r w:rsidRPr="00AA24B7">
        <w:rPr>
          <w:rFonts w:hint="eastAsia"/>
        </w:rPr>
        <w:t>段和</w:t>
      </w:r>
      <w:r w:rsidRPr="00AA24B7">
        <w:rPr>
          <w:rFonts w:hint="eastAsia"/>
        </w:rPr>
        <w:t>52</w:t>
      </w:r>
      <w:r w:rsidRPr="00AA24B7">
        <w:rPr>
          <w:rFonts w:hint="eastAsia"/>
        </w:rPr>
        <w:t>段。</w:t>
      </w:r>
    </w:p>
  </w:footnote>
  <w:footnote w:id="30">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同上，第</w:t>
      </w:r>
      <w:r w:rsidRPr="00AA24B7">
        <w:rPr>
          <w:rFonts w:hint="eastAsia"/>
        </w:rPr>
        <w:t>22</w:t>
      </w:r>
      <w:r w:rsidRPr="00AA24B7">
        <w:rPr>
          <w:rFonts w:hint="eastAsia"/>
        </w:rPr>
        <w:t>段。</w:t>
      </w:r>
    </w:p>
  </w:footnote>
  <w:footnote w:id="31">
    <w:p w:rsidR="00006840" w:rsidRDefault="00006840" w:rsidP="00834718">
      <w:pPr>
        <w:pStyle w:val="a6"/>
        <w:rPr>
          <w:rFonts w:hint="eastAsia"/>
        </w:rPr>
      </w:pPr>
      <w:r>
        <w:rPr>
          <w:rFonts w:hint="eastAsia"/>
        </w:rPr>
        <w:tab/>
      </w:r>
      <w:r>
        <w:rPr>
          <w:rStyle w:val="a7"/>
        </w:rPr>
        <w:footnoteRef/>
      </w:r>
      <w:r>
        <w:rPr>
          <w:rFonts w:hint="eastAsia"/>
        </w:rPr>
        <w:tab/>
      </w:r>
      <w:r w:rsidRPr="00AA24B7">
        <w:rPr>
          <w:rFonts w:hint="eastAsia"/>
        </w:rPr>
        <w:t>见</w:t>
      </w:r>
      <w:proofErr w:type="spellStart"/>
      <w:r w:rsidRPr="00AA24B7">
        <w:rPr>
          <w:rFonts w:ascii="Time New Roman" w:eastAsia="楷体" w:hAnsi="Time New Roman" w:hint="eastAsia"/>
        </w:rPr>
        <w:t>Vassilari</w:t>
      </w:r>
      <w:proofErr w:type="spellEnd"/>
      <w:r w:rsidRPr="00AA24B7">
        <w:rPr>
          <w:rFonts w:ascii="Time New Roman" w:eastAsia="楷体" w:hAnsi="Time New Roman" w:hint="eastAsia"/>
        </w:rPr>
        <w:t>诉希腊</w:t>
      </w:r>
      <w:r w:rsidRPr="00AA24B7">
        <w:rPr>
          <w:rFonts w:hint="eastAsia"/>
        </w:rPr>
        <w:t>，第</w:t>
      </w:r>
      <w:r w:rsidRPr="00AA24B7">
        <w:rPr>
          <w:rFonts w:hint="eastAsia"/>
        </w:rPr>
        <w:t>7.2</w:t>
      </w:r>
      <w:r w:rsidRPr="00AA24B7">
        <w:rPr>
          <w:rFonts w:hint="eastAsia"/>
        </w:rPr>
        <w:t>段。</w:t>
      </w:r>
    </w:p>
  </w:footnote>
  <w:footnote w:id="32">
    <w:p w:rsidR="00006840" w:rsidRPr="002E63AC" w:rsidRDefault="00006840" w:rsidP="00834718">
      <w:pPr>
        <w:pStyle w:val="a6"/>
        <w:spacing w:after="0" w:line="220" w:lineRule="exact"/>
        <w:rPr>
          <w:lang w:val="es-ES"/>
        </w:rPr>
      </w:pPr>
      <w:r w:rsidRPr="00E5388B">
        <w:rPr>
          <w:lang w:val="es-ES"/>
        </w:rPr>
        <w:tab/>
      </w:r>
      <w:r>
        <w:rPr>
          <w:rStyle w:val="a7"/>
        </w:rPr>
        <w:footnoteRef/>
      </w:r>
      <w:r w:rsidRPr="002E63AC">
        <w:rPr>
          <w:lang w:val="es-ES"/>
        </w:rPr>
        <w:tab/>
      </w:r>
      <w:r w:rsidRPr="00F15147">
        <w:rPr>
          <w:lang w:val="es-ES"/>
        </w:rPr>
        <w:t xml:space="preserve">Por ejemplo, Observaciones Finales del Comité sobre Austria (2007) </w:t>
      </w:r>
      <w:r>
        <w:rPr>
          <w:lang w:val="es-ES"/>
        </w:rPr>
        <w:t>párr.</w:t>
      </w:r>
      <w:r w:rsidRPr="00F15147">
        <w:rPr>
          <w:lang w:val="es-ES"/>
        </w:rPr>
        <w:t xml:space="preserve"> 20; Suecia (2009), párr. 19; y Armenia (2012) </w:t>
      </w:r>
      <w:r>
        <w:rPr>
          <w:lang w:val="es-ES"/>
        </w:rPr>
        <w:t>párr.</w:t>
      </w:r>
      <w:r w:rsidRPr="00F15147">
        <w:rPr>
          <w:lang w:val="es-ES"/>
        </w:rPr>
        <w:t xml:space="preserve"> 6.</w:t>
      </w:r>
    </w:p>
  </w:footnote>
  <w:footnote w:id="33">
    <w:p w:rsidR="00006840" w:rsidRPr="002E63AC" w:rsidRDefault="00006840" w:rsidP="00834718">
      <w:pPr>
        <w:pStyle w:val="a6"/>
        <w:spacing w:after="0" w:line="220" w:lineRule="exact"/>
        <w:rPr>
          <w:lang w:val="es-ES"/>
        </w:rPr>
      </w:pPr>
      <w:r w:rsidRPr="00E5388B">
        <w:rPr>
          <w:lang w:val="es-ES"/>
        </w:rPr>
        <w:tab/>
      </w:r>
      <w:r>
        <w:rPr>
          <w:rStyle w:val="a7"/>
        </w:rPr>
        <w:footnoteRef/>
      </w:r>
      <w:r w:rsidRPr="002E63AC">
        <w:rPr>
          <w:lang w:val="es-ES"/>
        </w:rPr>
        <w:tab/>
      </w:r>
      <w:r w:rsidRPr="00F15147">
        <w:rPr>
          <w:lang w:val="es-ES"/>
        </w:rPr>
        <w:t>Fundamentalmente en casos de “no devolución”.</w:t>
      </w:r>
    </w:p>
  </w:footnote>
  <w:footnote w:id="34">
    <w:p w:rsidR="00006840" w:rsidRPr="004B68FC" w:rsidRDefault="00006840" w:rsidP="00834718">
      <w:pPr>
        <w:pStyle w:val="a6"/>
        <w:spacing w:after="0" w:line="220" w:lineRule="exact"/>
      </w:pPr>
      <w:r w:rsidRPr="00E5388B">
        <w:rPr>
          <w:lang w:val="es-ES"/>
        </w:rPr>
        <w:tab/>
      </w:r>
      <w:r>
        <w:rPr>
          <w:rStyle w:val="a7"/>
        </w:rPr>
        <w:footnoteRef/>
      </w:r>
      <w:r>
        <w:tab/>
      </w:r>
      <w:r w:rsidRPr="004B68FC">
        <w:t xml:space="preserve">For support in the </w:t>
      </w:r>
      <w:proofErr w:type="spellStart"/>
      <w:r w:rsidRPr="004B68FC">
        <w:t>travaux</w:t>
      </w:r>
      <w:proofErr w:type="spellEnd"/>
      <w:r w:rsidRPr="004B68FC">
        <w:t xml:space="preserve"> </w:t>
      </w:r>
      <w:proofErr w:type="spellStart"/>
      <w:r w:rsidRPr="004B68FC">
        <w:t>préparatoires</w:t>
      </w:r>
      <w:proofErr w:type="spellEnd"/>
      <w:r w:rsidRPr="004B68FC">
        <w:t xml:space="preserve">, see Marc </w:t>
      </w:r>
      <w:proofErr w:type="spellStart"/>
      <w:r w:rsidRPr="004B68FC">
        <w:t>Bossuyt</w:t>
      </w:r>
      <w:proofErr w:type="spellEnd"/>
      <w:r w:rsidRPr="004B68FC">
        <w:t xml:space="preserve">, Guide </w:t>
      </w:r>
      <w:r w:rsidRPr="001E3A94">
        <w:t xml:space="preserve">to the </w:t>
      </w:r>
      <w:r>
        <w:t>“</w:t>
      </w:r>
      <w:proofErr w:type="spellStart"/>
      <w:r w:rsidRPr="001E3A94">
        <w:t>Travaux</w:t>
      </w:r>
      <w:proofErr w:type="spellEnd"/>
      <w:r w:rsidRPr="001E3A94">
        <w:t xml:space="preserve"> </w:t>
      </w:r>
      <w:proofErr w:type="spellStart"/>
      <w:r w:rsidRPr="001E3A94">
        <w:t>Préparatoires</w:t>
      </w:r>
      <w:proofErr w:type="spellEnd"/>
      <w:r>
        <w:t>”</w:t>
      </w:r>
      <w:r w:rsidRPr="001E3A94">
        <w:t xml:space="preserve"> of the International Covenant on Civil and Political Rights (1987) 406 (“The view was expressed that states parties would be free to enact whatever legislation they deem appropriate to put the article into effect”).</w:t>
      </w:r>
    </w:p>
  </w:footnote>
  <w:footnote w:id="35">
    <w:p w:rsidR="00006840" w:rsidRPr="00E5388B" w:rsidRDefault="00006840" w:rsidP="00834718">
      <w:pPr>
        <w:pStyle w:val="a6"/>
        <w:spacing w:after="0" w:line="220" w:lineRule="exact"/>
      </w:pPr>
      <w:r>
        <w:tab/>
      </w:r>
      <w:r>
        <w:rPr>
          <w:rStyle w:val="a7"/>
        </w:rPr>
        <w:footnoteRef/>
      </w:r>
      <w:r>
        <w:tab/>
      </w:r>
      <w:r w:rsidRPr="001E3A94">
        <w:t xml:space="preserve">See e.g., Comm. No. </w:t>
      </w:r>
      <w:proofErr w:type="spellStart"/>
      <w:proofErr w:type="gramStart"/>
      <w:r w:rsidRPr="001E3A94">
        <w:t>Poliakov</w:t>
      </w:r>
      <w:proofErr w:type="spellEnd"/>
      <w:r w:rsidRPr="001E3A94">
        <w:t xml:space="preserve"> v. Belarus, Views of the Committee of 17 July 2014, para.</w:t>
      </w:r>
      <w:proofErr w:type="gramEnd"/>
      <w:r w:rsidRPr="001E3A94">
        <w:t xml:space="preserve"> 7.4.</w:t>
      </w:r>
    </w:p>
  </w:footnote>
  <w:footnote w:id="36">
    <w:p w:rsidR="00006840" w:rsidRPr="00162BFE" w:rsidRDefault="00006840" w:rsidP="00834718">
      <w:pPr>
        <w:pStyle w:val="a6"/>
        <w:spacing w:after="0" w:line="220" w:lineRule="exact"/>
      </w:pPr>
      <w:r>
        <w:tab/>
      </w:r>
      <w:r>
        <w:rPr>
          <w:rStyle w:val="a7"/>
        </w:rPr>
        <w:footnoteRef/>
      </w:r>
      <w:r>
        <w:tab/>
      </w:r>
      <w:r w:rsidRPr="001E3A94">
        <w:t xml:space="preserve">For support in the </w:t>
      </w:r>
      <w:proofErr w:type="spellStart"/>
      <w:r w:rsidRPr="001E3A94">
        <w:t>travaux</w:t>
      </w:r>
      <w:proofErr w:type="spellEnd"/>
      <w:r w:rsidRPr="001E3A94">
        <w:t xml:space="preserve"> </w:t>
      </w:r>
      <w:proofErr w:type="spellStart"/>
      <w:r w:rsidRPr="001E3A94">
        <w:t>préparatoires</w:t>
      </w:r>
      <w:proofErr w:type="spellEnd"/>
      <w:r w:rsidRPr="001E3A94">
        <w:t>, see supra note 1, at p. 407 [“[the article] contained no provision setting forth any particular right or freedom”].</w:t>
      </w:r>
    </w:p>
  </w:footnote>
  <w:footnote w:id="37">
    <w:p w:rsidR="00006840" w:rsidRPr="00AA24B7" w:rsidRDefault="00006840" w:rsidP="00834718">
      <w:pPr>
        <w:pStyle w:val="a6"/>
        <w:spacing w:after="0" w:line="220" w:lineRule="exact"/>
      </w:pPr>
      <w:r>
        <w:tab/>
      </w:r>
      <w:r>
        <w:rPr>
          <w:rStyle w:val="a7"/>
        </w:rPr>
        <w:footnoteRef/>
      </w:r>
      <w:r>
        <w:tab/>
      </w:r>
      <w:r w:rsidRPr="001E3A94">
        <w:t>General Comment No. 34, Article 19: Freedoms of opinion and expression (2011), para. 11.</w:t>
      </w:r>
    </w:p>
  </w:footnote>
  <w:footnote w:id="38">
    <w:p w:rsidR="00006840" w:rsidRPr="00E5388B" w:rsidRDefault="00006840" w:rsidP="00834718">
      <w:pPr>
        <w:pStyle w:val="a6"/>
        <w:spacing w:after="0" w:line="220" w:lineRule="exact"/>
      </w:pPr>
      <w:r w:rsidRPr="00AA24B7">
        <w:tab/>
      </w:r>
      <w:r>
        <w:rPr>
          <w:rStyle w:val="a7"/>
        </w:rPr>
        <w:footnoteRef/>
      </w:r>
      <w:r w:rsidRPr="00A71B44">
        <w:tab/>
      </w:r>
      <w:proofErr w:type="gramStart"/>
      <w:r w:rsidRPr="001E3A94">
        <w:t>Id., para.</w:t>
      </w:r>
      <w:proofErr w:type="gramEnd"/>
      <w:r w:rsidRPr="001E3A94">
        <w:t xml:space="preserve"> 34 (restrictions “must be the least intrusive instrument amongst those which might achieve their protective function”). Moreover, the State must demonstrate in specific fashion the precise nature of the threat to any of the enumerated grounds listed in article 19(3) that has caused it to restrict freedom of expression. </w:t>
      </w:r>
      <w:proofErr w:type="gramStart"/>
      <w:r w:rsidRPr="001E3A94">
        <w:t>Id., para.</w:t>
      </w:r>
      <w:proofErr w:type="gramEnd"/>
      <w:r w:rsidRPr="001E3A94">
        <w:t xml:space="preserve"> 36.</w:t>
      </w:r>
    </w:p>
  </w:footnote>
  <w:footnote w:id="39">
    <w:p w:rsidR="00006840" w:rsidRPr="00E5388B" w:rsidRDefault="00006840" w:rsidP="00834718">
      <w:pPr>
        <w:pStyle w:val="a6"/>
        <w:spacing w:after="0" w:line="220" w:lineRule="exact"/>
      </w:pPr>
      <w:r>
        <w:tab/>
      </w:r>
      <w:r>
        <w:rPr>
          <w:rStyle w:val="a7"/>
        </w:rPr>
        <w:footnoteRef/>
      </w:r>
      <w:r>
        <w:tab/>
      </w:r>
      <w:r w:rsidRPr="001E3A94">
        <w:t>This limitation on scope of article 20(2) was intentional. The drafting history indicates that “[f]ears were expressed that an article prohibiting such advocacy might lead to abuse and would be detrimental to freedom of expression.” Thus a formulation limiting article 20(2) to “only such advocacy … as ‘constitutes incitement’” was adopted.</w:t>
      </w:r>
      <w:r>
        <w:t xml:space="preserve"> </w:t>
      </w:r>
      <w:proofErr w:type="spellStart"/>
      <w:r w:rsidRPr="001E3A94">
        <w:t>UNGA</w:t>
      </w:r>
      <w:proofErr w:type="spellEnd"/>
      <w:r w:rsidRPr="001E3A94">
        <w:t>, Draft International Covenants on Human Rights, Annotation, A/2929 (1955), pp. 185-86, paras. 190-192 (emphasis added).</w:t>
      </w:r>
    </w:p>
  </w:footnote>
  <w:footnote w:id="40">
    <w:p w:rsidR="00006840" w:rsidRPr="00A71B44" w:rsidRDefault="00006840" w:rsidP="00834718">
      <w:pPr>
        <w:pStyle w:val="a6"/>
        <w:spacing w:after="0" w:line="220" w:lineRule="exact"/>
      </w:pPr>
      <w:r>
        <w:tab/>
      </w:r>
      <w:r>
        <w:rPr>
          <w:rStyle w:val="a7"/>
        </w:rPr>
        <w:footnoteRef/>
      </w:r>
      <w:r>
        <w:tab/>
      </w:r>
      <w:r w:rsidRPr="001E3A94">
        <w:t xml:space="preserve">Cf. Joint Statement on Racism and the Media by the UN Special Rapporteur on Freedom of Opinion and Expression, the </w:t>
      </w:r>
      <w:proofErr w:type="spellStart"/>
      <w:r w:rsidRPr="001E3A94">
        <w:t>OSCE</w:t>
      </w:r>
      <w:proofErr w:type="spellEnd"/>
      <w:r w:rsidRPr="001E3A94">
        <w:t xml:space="preserve"> Representative on Freedom of the Media and the OAS Special Rapporteur on Freedom of Expression (2001), at 2, http://www.article19.org/pdfs/igo-documents/three-mandates-statement-1999.pdf (“[N]o one should be penalized for the dissemination of ‘hate speech’ unless it has been shown that they did so with the intention of inciting discrimination, hostility or violence”) (emphasis added).</w:t>
      </w:r>
    </w:p>
  </w:footnote>
  <w:footnote w:id="41">
    <w:p w:rsidR="00006840" w:rsidRPr="00E5388B" w:rsidRDefault="00006840" w:rsidP="00834718">
      <w:pPr>
        <w:pStyle w:val="a6"/>
        <w:spacing w:after="0" w:line="220" w:lineRule="exact"/>
      </w:pPr>
      <w:r>
        <w:tab/>
      </w:r>
      <w:r>
        <w:rPr>
          <w:rStyle w:val="a7"/>
        </w:rPr>
        <w:footnoteRef/>
      </w:r>
      <w:r>
        <w:tab/>
      </w:r>
      <w:r w:rsidRPr="001E3A94">
        <w:t xml:space="preserve">The negotiating history indicates that a proposal that incitement to racial hatred should constitute a crime (using the formulation “constitutes a crime and shall be punished under the law of the state”) was rejected in favor of an obligation to provide only for prohibition by law (“shall be prohibited by the law of the State”). </w:t>
      </w:r>
      <w:proofErr w:type="spellStart"/>
      <w:proofErr w:type="gramStart"/>
      <w:r w:rsidRPr="001E3A94">
        <w:t>UNGA</w:t>
      </w:r>
      <w:proofErr w:type="spellEnd"/>
      <w:r w:rsidRPr="001E3A94">
        <w:t>, Draft International Covenan</w:t>
      </w:r>
      <w:r>
        <w:t>ts, supra, p. 186, para.</w:t>
      </w:r>
      <w:proofErr w:type="gramEnd"/>
      <w:r>
        <w:t xml:space="preserve"> 194.</w:t>
      </w:r>
    </w:p>
  </w:footnote>
  <w:footnote w:id="42">
    <w:p w:rsidR="00006840" w:rsidRPr="00447744" w:rsidRDefault="00006840" w:rsidP="00834718">
      <w:pPr>
        <w:pStyle w:val="a6"/>
        <w:spacing w:after="0" w:line="220" w:lineRule="exact"/>
      </w:pPr>
      <w:r w:rsidRPr="00E5388B">
        <w:tab/>
      </w:r>
      <w:r>
        <w:rPr>
          <w:rStyle w:val="a7"/>
        </w:rPr>
        <w:footnoteRef/>
      </w:r>
      <w:r w:rsidRPr="00447744">
        <w:tab/>
      </w:r>
      <w:r w:rsidRPr="001E3A94">
        <w:t>Netherlands Code of Criminal Procedure, section 338; General Comme</w:t>
      </w:r>
      <w:r>
        <w:t>nt No. 32, Article 14: Right to </w:t>
      </w:r>
      <w:r w:rsidRPr="001E3A94">
        <w:t>equality before courts and tribunals and to a fair trial (2007), para. 30 (“[N]o guilt can be presumed until the charge has been proved beyond reasonable doubt”).</w:t>
      </w:r>
    </w:p>
  </w:footnote>
  <w:footnote w:id="43">
    <w:p w:rsidR="00006840" w:rsidRPr="001E4294" w:rsidRDefault="00006840" w:rsidP="00834718">
      <w:pPr>
        <w:pStyle w:val="a6"/>
        <w:spacing w:after="0" w:line="220" w:lineRule="exact"/>
      </w:pPr>
      <w:r w:rsidRPr="00E5388B">
        <w:tab/>
      </w:r>
      <w:r>
        <w:rPr>
          <w:rStyle w:val="a7"/>
        </w:rPr>
        <w:footnoteRef/>
      </w:r>
      <w:r w:rsidRPr="00447744">
        <w:tab/>
      </w:r>
      <w:proofErr w:type="gramStart"/>
      <w:r w:rsidRPr="001E3A94">
        <w:t xml:space="preserve">Communication No. 1570/2007, </w:t>
      </w:r>
      <w:proofErr w:type="spellStart"/>
      <w:r w:rsidRPr="001E3A94">
        <w:t>Vassilari</w:t>
      </w:r>
      <w:proofErr w:type="spellEnd"/>
      <w:r w:rsidRPr="001E3A94">
        <w:t xml:space="preserve"> et al. v. Greece (View</w:t>
      </w:r>
      <w:r>
        <w:t>s adopted 19 March 2009), para.</w:t>
      </w:r>
      <w:proofErr w:type="gramEnd"/>
      <w:r>
        <w:t> </w:t>
      </w:r>
      <w:r w:rsidRPr="001E3A94">
        <w:t xml:space="preserve">7.2 (“An acquittal in itself does not amount to a violation of article 26 and in this regard the Committee recalls that there is no right under the Covenant to see another person prosecuted”); Communication No. 563/1993, Bautista de </w:t>
      </w:r>
      <w:proofErr w:type="spellStart"/>
      <w:r w:rsidRPr="001E3A94">
        <w:t>Arellana</w:t>
      </w:r>
      <w:proofErr w:type="spellEnd"/>
      <w:r w:rsidRPr="001E3A94">
        <w:t xml:space="preserve"> v. Colombia (Views</w:t>
      </w:r>
      <w:r>
        <w:t xml:space="preserve"> adopted 27 October 1995), para.</w:t>
      </w:r>
      <w:r w:rsidRPr="001E3A94">
        <w:t xml:space="preserve"> </w:t>
      </w:r>
      <w:proofErr w:type="gramStart"/>
      <w:r w:rsidRPr="001E3A94">
        <w:t xml:space="preserve">8.6; Communication No. 213/1986, </w:t>
      </w:r>
      <w:proofErr w:type="spellStart"/>
      <w:r w:rsidRPr="001E3A94">
        <w:t>H.C.M.A</w:t>
      </w:r>
      <w:proofErr w:type="spellEnd"/>
      <w:r w:rsidRPr="001E3A94">
        <w:t>. v.</w:t>
      </w:r>
      <w:proofErr w:type="gramEnd"/>
      <w:r w:rsidRPr="001E3A94">
        <w:t xml:space="preserve"> </w:t>
      </w:r>
      <w:proofErr w:type="gramStart"/>
      <w:r w:rsidRPr="001E3A94">
        <w:t>The Netherlands (Inadmissibility decision adopted 30</w:t>
      </w:r>
      <w:r>
        <w:t> </w:t>
      </w:r>
      <w:r w:rsidRPr="001E3A94">
        <w:t>March 1989), para.</w:t>
      </w:r>
      <w:proofErr w:type="gramEnd"/>
      <w:r w:rsidRPr="001E3A94">
        <w:t xml:space="preserve"> 11.6.</w:t>
      </w:r>
    </w:p>
  </w:footnote>
  <w:footnote w:id="44">
    <w:p w:rsidR="00006840" w:rsidRPr="00E5388B" w:rsidRDefault="00006840" w:rsidP="00834718">
      <w:pPr>
        <w:pStyle w:val="a6"/>
        <w:spacing w:after="0" w:line="220" w:lineRule="exact"/>
      </w:pPr>
      <w:r>
        <w:tab/>
      </w:r>
      <w:r>
        <w:rPr>
          <w:rStyle w:val="a7"/>
        </w:rPr>
        <w:footnoteRef/>
      </w:r>
      <w:r>
        <w:tab/>
      </w:r>
      <w:proofErr w:type="gramStart"/>
      <w:r w:rsidRPr="001E3A94">
        <w:t>The inadmissibility decision in Communication No. 104/1981, J. R. T. and W. G. Party v. Canada (</w:t>
      </w:r>
      <w:proofErr w:type="spellStart"/>
      <w:r w:rsidRPr="001E3A94">
        <w:t>Indmissibility</w:t>
      </w:r>
      <w:proofErr w:type="spellEnd"/>
      <w:r w:rsidRPr="001E3A94">
        <w:t xml:space="preserve"> decision adopted 6 April 1983), para.</w:t>
      </w:r>
      <w:proofErr w:type="gramEnd"/>
      <w:r w:rsidRPr="001E3A94">
        <w:t xml:space="preserve"> 8(b</w:t>
      </w:r>
      <w:proofErr w:type="gramStart"/>
      <w:r w:rsidRPr="001E3A94">
        <w:t>),</w:t>
      </w:r>
      <w:proofErr w:type="gramEnd"/>
      <w:r w:rsidRPr="001E3A94">
        <w:t xml:space="preserve"> addressed civil p</w:t>
      </w:r>
      <w:r>
        <w:t>roceedings restricting speech.</w:t>
      </w:r>
    </w:p>
  </w:footnote>
  <w:footnote w:id="45">
    <w:p w:rsidR="00006840" w:rsidRPr="00AA24B7" w:rsidRDefault="00006840" w:rsidP="00834718">
      <w:pPr>
        <w:pStyle w:val="a6"/>
        <w:spacing w:after="0" w:line="220" w:lineRule="exact"/>
      </w:pPr>
      <w:r w:rsidRPr="00E5388B">
        <w:tab/>
      </w:r>
      <w:r>
        <w:rPr>
          <w:rStyle w:val="a7"/>
        </w:rPr>
        <w:footnoteRef/>
      </w:r>
      <w:r w:rsidRPr="00447744">
        <w:tab/>
      </w:r>
      <w:r w:rsidRPr="00612109">
        <w:t xml:space="preserve">General Comment No. 34, para. </w:t>
      </w:r>
      <w:proofErr w:type="gramStart"/>
      <w:r w:rsidRPr="00612109">
        <w:t>49 and note 116.</w:t>
      </w:r>
      <w:proofErr w:type="gramEnd"/>
      <w:r>
        <w:t xml:space="preserve"> </w:t>
      </w:r>
      <w:r w:rsidRPr="00AA24B7">
        <w:t xml:space="preserve">Compare Communication No. 550/93, </w:t>
      </w:r>
      <w:proofErr w:type="spellStart"/>
      <w:r w:rsidRPr="00AA24B7">
        <w:t>Faurisson</w:t>
      </w:r>
      <w:proofErr w:type="spellEnd"/>
      <w:r w:rsidRPr="00AA24B7">
        <w:t xml:space="preserve"> v. </w:t>
      </w:r>
      <w:r w:rsidRPr="00612109">
        <w:t>France (Views adopted 1996), para. 9.7.</w:t>
      </w:r>
    </w:p>
  </w:footnote>
  <w:footnote w:id="46">
    <w:p w:rsidR="00006840" w:rsidRPr="00E5388B" w:rsidRDefault="00006840" w:rsidP="00834718">
      <w:pPr>
        <w:pStyle w:val="a6"/>
        <w:spacing w:after="0" w:line="220" w:lineRule="exact"/>
      </w:pPr>
      <w:r>
        <w:tab/>
      </w:r>
      <w:r>
        <w:rPr>
          <w:rStyle w:val="a7"/>
        </w:rPr>
        <w:footnoteRef/>
      </w:r>
      <w:r>
        <w:tab/>
      </w:r>
      <w:r w:rsidRPr="00612109">
        <w:t>See Parliamentary Assembly of the Council of Europe (PACE), Recommendation 1805 (2007), Blasphemy, religious insults and hate speech against persons on g</w:t>
      </w:r>
      <w:r>
        <w:t>rounds of their religion, para. </w:t>
      </w:r>
      <w:proofErr w:type="gramStart"/>
      <w:r w:rsidRPr="00612109">
        <w:t xml:space="preserve">15 (under Article 10 of the European Convention on Human Rights, “national law should only </w:t>
      </w:r>
      <w:proofErr w:type="spellStart"/>
      <w:r w:rsidRPr="00612109">
        <w:t>penalise</w:t>
      </w:r>
      <w:proofErr w:type="spellEnd"/>
      <w:r w:rsidRPr="00612109">
        <w:t xml:space="preserve"> expressions about religious matters which intentionally and severely disturb public order and call for public violence.”)</w:t>
      </w:r>
      <w:proofErr w:type="gramEnd"/>
      <w:r w:rsidRPr="00612109">
        <w:t xml:space="preserve"> (</w:t>
      </w:r>
      <w:proofErr w:type="gramStart"/>
      <w:r w:rsidRPr="00612109">
        <w:t>emphasis</w:t>
      </w:r>
      <w:proofErr w:type="gramEnd"/>
      <w:r w:rsidRPr="00612109">
        <w:t xml:space="preserve"> added); American Convention on Human Rights, art. 13(5) (“any advocacy of national, racial, or religious hatred that constitute incitement to lawless violence or to any other similar illegal action against any person or group of persons on any grounds including those of race, color, religion, language, or national origin shall be considered as offenses punishable by law”) (emphasis added). The </w:t>
      </w:r>
      <w:proofErr w:type="spellStart"/>
      <w:r w:rsidRPr="00612109">
        <w:t>CERD</w:t>
      </w:r>
      <w:proofErr w:type="spellEnd"/>
      <w:r w:rsidRPr="00612109">
        <w:t xml:space="preserve"> Committee has recognized that “the criminalization of forms of racist expression should be reserved for serious cases” under </w:t>
      </w:r>
      <w:proofErr w:type="spellStart"/>
      <w:r w:rsidRPr="00612109">
        <w:t>CERD</w:t>
      </w:r>
      <w:proofErr w:type="spellEnd"/>
      <w:r w:rsidRPr="00612109">
        <w:t xml:space="preserve"> Article 4, that “incitement characteristically seeks to influence others to engage in certain conduct, including the commission of crime….” and that States parties should take into account, inter alia, “the intention of the speaker, and the imminent risk or likelihood that the conduct intended by the speaker will result from the speech in question”.</w:t>
      </w:r>
      <w:r>
        <w:t xml:space="preserve"> </w:t>
      </w:r>
      <w:proofErr w:type="spellStart"/>
      <w:r w:rsidRPr="00612109">
        <w:t>CERD</w:t>
      </w:r>
      <w:proofErr w:type="spellEnd"/>
      <w:r w:rsidRPr="00612109">
        <w:t xml:space="preserve"> Committee, General Recommendation No. 35, Combating racist speech (2013), paras. </w:t>
      </w:r>
      <w:proofErr w:type="gramStart"/>
      <w:r w:rsidRPr="00612109">
        <w:t>12, 16.</w:t>
      </w:r>
      <w:proofErr w:type="gramEnd"/>
    </w:p>
  </w:footnote>
  <w:footnote w:id="47">
    <w:p w:rsidR="00006840" w:rsidRPr="006C48F4" w:rsidRDefault="00006840" w:rsidP="00834718">
      <w:pPr>
        <w:pStyle w:val="a6"/>
        <w:spacing w:after="0" w:line="220" w:lineRule="exact"/>
      </w:pPr>
      <w:r>
        <w:tab/>
      </w:r>
      <w:r>
        <w:rPr>
          <w:rStyle w:val="a7"/>
        </w:rPr>
        <w:footnoteRef/>
      </w:r>
      <w:r>
        <w:tab/>
      </w:r>
      <w:proofErr w:type="gramStart"/>
      <w:r w:rsidRPr="00612109">
        <w:t xml:space="preserve">Joint Declaration by UN Special Rapporteur on Freedom of Opinion and Expression, the </w:t>
      </w:r>
      <w:proofErr w:type="spellStart"/>
      <w:r w:rsidRPr="00612109">
        <w:t>OSCE</w:t>
      </w:r>
      <w:proofErr w:type="spellEnd"/>
      <w:r w:rsidRPr="00612109">
        <w:t xml:space="preserve"> Representative on Freedom of the Media the OAS Special Rapporteur on Freedom of Expression (2006), and the </w:t>
      </w:r>
      <w:proofErr w:type="spellStart"/>
      <w:r w:rsidRPr="00612109">
        <w:t>ACHPR</w:t>
      </w:r>
      <w:proofErr w:type="spellEnd"/>
      <w:r w:rsidRPr="00612109">
        <w:t xml:space="preserve"> Special Rapporteur on Freedom of Expression, https://www.article19.org/data/files/pdfs/standards/four-mandates-dec-2006.pdf.</w:t>
      </w:r>
      <w:proofErr w:type="gramEnd"/>
    </w:p>
  </w:footnote>
  <w:footnote w:id="48">
    <w:p w:rsidR="00006840" w:rsidRPr="00E5388B" w:rsidRDefault="00006840" w:rsidP="00834718">
      <w:pPr>
        <w:pStyle w:val="a6"/>
        <w:spacing w:after="0" w:line="220" w:lineRule="exact"/>
      </w:pPr>
      <w:r>
        <w:tab/>
      </w:r>
      <w:r>
        <w:rPr>
          <w:rStyle w:val="a7"/>
        </w:rPr>
        <w:footnoteRef/>
      </w:r>
      <w:r>
        <w:tab/>
      </w:r>
      <w:r w:rsidRPr="00612109">
        <w:t xml:space="preserve">E.g., Concluding Observations on the second periodic report of Kazakhstan (2016), para. </w:t>
      </w:r>
      <w:proofErr w:type="gramStart"/>
      <w:r w:rsidRPr="00612109">
        <w:t>49; Concluding Observations on the third periodic report of Kuwait (2016), para.</w:t>
      </w:r>
      <w:proofErr w:type="gramEnd"/>
      <w:r w:rsidRPr="00612109">
        <w:t xml:space="preserve"> </w:t>
      </w:r>
      <w:proofErr w:type="gramStart"/>
      <w:r w:rsidRPr="00612109">
        <w:t>40; Concluding Observations on the sixth periodic report of Ecuador (2016), para.</w:t>
      </w:r>
      <w:proofErr w:type="gramEnd"/>
      <w:r w:rsidRPr="00612109">
        <w:t xml:space="preserve"> </w:t>
      </w:r>
      <w:proofErr w:type="gramStart"/>
      <w:r w:rsidRPr="00612109">
        <w:t>27; Concluding Observations on the fourth periodic report of Rwanda (2016), paras.</w:t>
      </w:r>
      <w:proofErr w:type="gramEnd"/>
      <w:r w:rsidRPr="00612109">
        <w:t xml:space="preserve"> </w:t>
      </w:r>
      <w:proofErr w:type="gramStart"/>
      <w:r w:rsidRPr="00612109">
        <w:t>39-40; Concluding Observations on the second periodic report of Cambodia (2015), paras.</w:t>
      </w:r>
      <w:proofErr w:type="gramEnd"/>
      <w:r w:rsidRPr="00612109">
        <w:t xml:space="preserve"> </w:t>
      </w:r>
      <w:proofErr w:type="gramStart"/>
      <w:r w:rsidRPr="00612109">
        <w:t>21-22; Concluding Observations on the seventh periodic report of the Russian Federa</w:t>
      </w:r>
      <w:r>
        <w:t>tion (2015), paras.</w:t>
      </w:r>
      <w:proofErr w:type="gramEnd"/>
      <w:r>
        <w:t xml:space="preserve"> 10, 18-20.</w:t>
      </w:r>
    </w:p>
  </w:footnote>
  <w:footnote w:id="49">
    <w:p w:rsidR="00006840" w:rsidRPr="00E43CFA" w:rsidRDefault="00006840" w:rsidP="00834718">
      <w:pPr>
        <w:pStyle w:val="a6"/>
        <w:spacing w:after="0" w:line="220" w:lineRule="exact"/>
      </w:pPr>
      <w:r>
        <w:tab/>
      </w:r>
      <w:r>
        <w:rPr>
          <w:rStyle w:val="a7"/>
        </w:rPr>
        <w:footnoteRef/>
      </w:r>
      <w:r>
        <w:tab/>
      </w:r>
      <w:r w:rsidRPr="00612109">
        <w:t xml:space="preserve">Communication No. 563/1993, Bautista de </w:t>
      </w:r>
      <w:proofErr w:type="spellStart"/>
      <w:r w:rsidRPr="00612109">
        <w:t>Arellana</w:t>
      </w:r>
      <w:proofErr w:type="spellEnd"/>
      <w:r w:rsidRPr="00612109">
        <w:t xml:space="preserve"> v. Colombia, Views adopted on 27 October 1995, paragraph 8.6; Communication No. 1885/2009, Horvath v. Australia, Views adopted on 27</w:t>
      </w:r>
      <w:r>
        <w:t> </w:t>
      </w:r>
      <w:r w:rsidRPr="00612109">
        <w:t>March 2014, para</w:t>
      </w:r>
      <w:r>
        <w:t>.</w:t>
      </w:r>
      <w:r w:rsidRPr="00612109">
        <w:t xml:space="preserve"> 8.2.</w:t>
      </w:r>
    </w:p>
  </w:footnote>
  <w:footnote w:id="50">
    <w:p w:rsidR="00006840" w:rsidRPr="00E43CFA" w:rsidRDefault="00006840" w:rsidP="00834718">
      <w:pPr>
        <w:pStyle w:val="a6"/>
        <w:spacing w:after="0" w:line="220" w:lineRule="exact"/>
      </w:pPr>
      <w:r>
        <w:tab/>
      </w:r>
      <w:r>
        <w:rPr>
          <w:rStyle w:val="a7"/>
        </w:rPr>
        <w:footnoteRef/>
      </w:r>
      <w:r>
        <w:tab/>
      </w:r>
      <w:r w:rsidRPr="00612109">
        <w:t>In order to determine the protection owed to the authors under the Covenant, it would be necessary to examine furthermore the victim status of the authors. But this issue can be left open here because the authors have declined to resort to the remedies available to them under domestic law in the first place.</w:t>
      </w:r>
    </w:p>
  </w:footnote>
  <w:footnote w:id="51">
    <w:p w:rsidR="00006840" w:rsidRPr="008B6CE5" w:rsidRDefault="00006840" w:rsidP="00834718">
      <w:pPr>
        <w:pStyle w:val="a6"/>
        <w:spacing w:after="0" w:line="220" w:lineRule="exact"/>
        <w:rPr>
          <w:lang w:val="fr-CH"/>
        </w:rPr>
      </w:pPr>
      <w:r w:rsidRPr="00E5388B">
        <w:tab/>
      </w:r>
      <w:r>
        <w:rPr>
          <w:rStyle w:val="a7"/>
        </w:rPr>
        <w:footnoteRef/>
      </w:r>
      <w:r>
        <w:rPr>
          <w:lang w:val="fr-CH"/>
        </w:rPr>
        <w:tab/>
      </w:r>
      <w:r w:rsidRPr="00F15147">
        <w:rPr>
          <w:lang w:val="fr-CH"/>
        </w:rPr>
        <w:t>Observation générale n</w:t>
      </w:r>
      <w:r w:rsidRPr="00F15147">
        <w:rPr>
          <w:vertAlign w:val="superscript"/>
          <w:lang w:val="fr-CH"/>
        </w:rPr>
        <w:t>o</w:t>
      </w:r>
      <w:r>
        <w:rPr>
          <w:lang w:val="fr-CH"/>
        </w:rPr>
        <w:t> </w:t>
      </w:r>
      <w:r w:rsidRPr="00F15147">
        <w:rPr>
          <w:lang w:val="fr-CH"/>
        </w:rPr>
        <w:t>18 du Comité : Non discrimination, 1989, § 1. L’article 7 de la Déclaration universelle des droits de l’Homme traduit bien le lien qui existe, dans le Pacte, entre l’article 20 et l’article 26 : « Tous ont droit à une protection égale contre toute discrimination qui violerait la présente Déclaration et contre toute provocation à une telle discrimination. »</w:t>
      </w:r>
    </w:p>
  </w:footnote>
  <w:footnote w:id="52">
    <w:p w:rsidR="00006840" w:rsidRPr="008B6CE5" w:rsidRDefault="00006840" w:rsidP="00834718">
      <w:pPr>
        <w:pStyle w:val="a6"/>
        <w:spacing w:after="0" w:line="220" w:lineRule="exact"/>
        <w:rPr>
          <w:lang w:val="fr-CH"/>
        </w:rPr>
      </w:pPr>
      <w:r w:rsidRPr="00E5388B">
        <w:rPr>
          <w:lang w:val="fr-CH"/>
        </w:rPr>
        <w:tab/>
      </w:r>
      <w:r>
        <w:rPr>
          <w:rStyle w:val="a7"/>
        </w:rPr>
        <w:footnoteRef/>
      </w:r>
      <w:r w:rsidRPr="008B6CE5">
        <w:rPr>
          <w:lang w:val="fr-CH"/>
        </w:rPr>
        <w:tab/>
      </w:r>
      <w:r w:rsidRPr="00F15147">
        <w:rPr>
          <w:lang w:val="fr-CH"/>
        </w:rPr>
        <w:t>Observation générale n</w:t>
      </w:r>
      <w:r w:rsidRPr="00F15147">
        <w:rPr>
          <w:vertAlign w:val="superscript"/>
          <w:lang w:val="fr-CH"/>
        </w:rPr>
        <w:t>o</w:t>
      </w:r>
      <w:r>
        <w:rPr>
          <w:lang w:val="fr-CH"/>
        </w:rPr>
        <w:t> </w:t>
      </w:r>
      <w:r w:rsidRPr="00F15147">
        <w:rPr>
          <w:lang w:val="fr-CH"/>
        </w:rPr>
        <w:t>31: La nature de l’obligation juridique généra</w:t>
      </w:r>
      <w:r>
        <w:rPr>
          <w:lang w:val="fr-CH"/>
        </w:rPr>
        <w:t>le imposée aux Etats parties au </w:t>
      </w:r>
      <w:r w:rsidRPr="00F15147">
        <w:rPr>
          <w:lang w:val="fr-CH"/>
        </w:rPr>
        <w:t>Pacte, 2004, § 15.</w:t>
      </w:r>
    </w:p>
  </w:footnote>
  <w:footnote w:id="53">
    <w:p w:rsidR="00006840" w:rsidRPr="00CD1B51" w:rsidRDefault="00006840" w:rsidP="00834718">
      <w:pPr>
        <w:pStyle w:val="a6"/>
        <w:spacing w:after="0" w:line="220" w:lineRule="exact"/>
        <w:rPr>
          <w:lang w:val="fr-CH"/>
        </w:rPr>
      </w:pPr>
      <w:r w:rsidRPr="001E4294">
        <w:rPr>
          <w:lang w:val="fr-CH"/>
        </w:rPr>
        <w:tab/>
      </w:r>
      <w:r>
        <w:rPr>
          <w:rStyle w:val="a7"/>
        </w:rPr>
        <w:footnoteRef/>
      </w:r>
      <w:r w:rsidRPr="00CD1B51">
        <w:rPr>
          <w:lang w:val="fr-CH"/>
        </w:rPr>
        <w:tab/>
      </w:r>
      <w:r w:rsidRPr="00F15147">
        <w:rPr>
          <w:lang w:val="fr-CH"/>
        </w:rPr>
        <w:t xml:space="preserve">V. aussi, mais avec une conclusion d’irrecevabilité, l’affaire Andersen c. Danemark, </w:t>
      </w:r>
      <w:proofErr w:type="spellStart"/>
      <w:r w:rsidRPr="00F15147">
        <w:rPr>
          <w:lang w:val="fr-CH"/>
        </w:rPr>
        <w:t>comm</w:t>
      </w:r>
      <w:proofErr w:type="spellEnd"/>
      <w:r w:rsidRPr="00F15147">
        <w:rPr>
          <w:lang w:val="fr-CH"/>
        </w:rPr>
        <w:t>. n</w:t>
      </w:r>
      <w:r w:rsidRPr="00F15147">
        <w:rPr>
          <w:vertAlign w:val="superscript"/>
          <w:lang w:val="fr-CH"/>
        </w:rPr>
        <w:t>o</w:t>
      </w:r>
      <w:r>
        <w:rPr>
          <w:lang w:val="fr-CH"/>
        </w:rPr>
        <w:t> </w:t>
      </w:r>
      <w:r w:rsidRPr="00F15147">
        <w:rPr>
          <w:lang w:val="fr-CH"/>
        </w:rPr>
        <w:t>1868/2009, 26 juillet 2010.</w:t>
      </w:r>
    </w:p>
  </w:footnote>
  <w:footnote w:id="54">
    <w:p w:rsidR="00006840" w:rsidRPr="00CD1B51" w:rsidRDefault="00006840" w:rsidP="00834718">
      <w:pPr>
        <w:pStyle w:val="a6"/>
        <w:spacing w:after="0" w:line="220" w:lineRule="exact"/>
        <w:rPr>
          <w:lang w:val="fr-CH"/>
        </w:rPr>
      </w:pPr>
      <w:r w:rsidRPr="00E5388B">
        <w:rPr>
          <w:lang w:val="fr-CH"/>
        </w:rPr>
        <w:tab/>
      </w:r>
      <w:r>
        <w:rPr>
          <w:rStyle w:val="a7"/>
        </w:rPr>
        <w:footnoteRef/>
      </w:r>
      <w:r w:rsidRPr="00CD1B51">
        <w:rPr>
          <w:lang w:val="fr-CH"/>
        </w:rPr>
        <w:tab/>
      </w:r>
      <w:r w:rsidRPr="00F15147">
        <w:rPr>
          <w:lang w:val="fr-CH"/>
        </w:rPr>
        <w:t xml:space="preserve">V. par. 7.2 </w:t>
      </w:r>
      <w:proofErr w:type="gramStart"/>
      <w:r w:rsidRPr="00F15147">
        <w:rPr>
          <w:lang w:val="fr-CH"/>
        </w:rPr>
        <w:t>et</w:t>
      </w:r>
      <w:proofErr w:type="gramEnd"/>
      <w:r w:rsidRPr="00F15147">
        <w:rPr>
          <w:lang w:val="fr-CH"/>
        </w:rPr>
        <w:t xml:space="preserve"> 7.3. </w:t>
      </w:r>
      <w:proofErr w:type="gramStart"/>
      <w:r w:rsidRPr="00F15147">
        <w:rPr>
          <w:lang w:val="fr-CH"/>
        </w:rPr>
        <w:t>des</w:t>
      </w:r>
      <w:proofErr w:type="gramEnd"/>
      <w:r w:rsidRPr="00F15147">
        <w:rPr>
          <w:lang w:val="fr-CH"/>
        </w:rPr>
        <w:t xml:space="preserve"> constatations : « 7.2. (…) les auteurs contestent revendiquer un droit à la condamnation de M. </w:t>
      </w:r>
      <w:proofErr w:type="spellStart"/>
      <w:r w:rsidRPr="00F15147">
        <w:rPr>
          <w:lang w:val="fr-CH"/>
        </w:rPr>
        <w:t>Wilders</w:t>
      </w:r>
      <w:proofErr w:type="spellEnd"/>
      <w:r w:rsidRPr="00F15147">
        <w:rPr>
          <w:lang w:val="fr-CH"/>
        </w:rPr>
        <w:t>. Ils dénoncent l’absence de poursuite effective. (…) 7.3. Les auteurs admettent que l’Etat partie a correctement transposé le paragraphe 2 de l’article 20 dans sa législation. Le problème réside dans l’application de la loi en l’espèce. »</w:t>
      </w:r>
    </w:p>
  </w:footnote>
  <w:footnote w:id="55">
    <w:p w:rsidR="00006840" w:rsidRPr="00CD1B51" w:rsidRDefault="00006840" w:rsidP="00834718">
      <w:pPr>
        <w:pStyle w:val="a6"/>
        <w:spacing w:after="0" w:line="220" w:lineRule="exact"/>
        <w:rPr>
          <w:lang w:val="fr-CH"/>
        </w:rPr>
      </w:pPr>
      <w:r w:rsidRPr="00E5388B">
        <w:rPr>
          <w:lang w:val="fr-CH"/>
        </w:rPr>
        <w:tab/>
      </w:r>
      <w:r>
        <w:rPr>
          <w:rStyle w:val="a7"/>
        </w:rPr>
        <w:footnoteRef/>
      </w:r>
      <w:r w:rsidRPr="00CD1B51">
        <w:rPr>
          <w:lang w:val="fr-CH"/>
        </w:rPr>
        <w:tab/>
      </w:r>
      <w:r w:rsidRPr="00F15147">
        <w:rPr>
          <w:lang w:val="fr-CH"/>
        </w:rPr>
        <w:t>V. notammen</w:t>
      </w:r>
      <w:r>
        <w:rPr>
          <w:lang w:val="fr-CH"/>
        </w:rPr>
        <w:t>t la Recommandation générale n</w:t>
      </w:r>
      <w:r w:rsidRPr="00F52792">
        <w:rPr>
          <w:vertAlign w:val="superscript"/>
          <w:lang w:val="fr-CH"/>
        </w:rPr>
        <w:t>o</w:t>
      </w:r>
      <w:r>
        <w:rPr>
          <w:lang w:val="fr-CH"/>
        </w:rPr>
        <w:t> </w:t>
      </w:r>
      <w:r w:rsidRPr="00F15147">
        <w:rPr>
          <w:lang w:val="fr-CH"/>
        </w:rPr>
        <w:t xml:space="preserve">35 du </w:t>
      </w:r>
      <w:proofErr w:type="spellStart"/>
      <w:r w:rsidRPr="00F15147">
        <w:rPr>
          <w:lang w:val="fr-CH"/>
        </w:rPr>
        <w:t>CERD</w:t>
      </w:r>
      <w:proofErr w:type="spellEnd"/>
      <w:r w:rsidRPr="00F15147">
        <w:rPr>
          <w:lang w:val="fr-CH"/>
        </w:rPr>
        <w:t xml:space="preserve">, Lutte contre les discours de haine raciale, 2013 et la Recommandation générale </w:t>
      </w:r>
      <w:r>
        <w:rPr>
          <w:lang w:val="fr-CH"/>
        </w:rPr>
        <w:t>n</w:t>
      </w:r>
      <w:r w:rsidRPr="00F52792">
        <w:rPr>
          <w:vertAlign w:val="superscript"/>
          <w:lang w:val="fr-CH"/>
        </w:rPr>
        <w:t>o</w:t>
      </w:r>
      <w:r>
        <w:rPr>
          <w:lang w:val="fr-CH"/>
        </w:rPr>
        <w:t> </w:t>
      </w:r>
      <w:r w:rsidRPr="00F15147">
        <w:rPr>
          <w:lang w:val="fr-CH"/>
        </w:rPr>
        <w:t xml:space="preserve">30, concernant la discrimination contre les non-ressortissants, 2005, en particulier les §§ 11 et 12 ; de même les affaires ; </w:t>
      </w:r>
      <w:proofErr w:type="spellStart"/>
      <w:r w:rsidRPr="00F15147">
        <w:rPr>
          <w:lang w:val="fr-CH"/>
        </w:rPr>
        <w:t>Quereschi</w:t>
      </w:r>
      <w:proofErr w:type="spellEnd"/>
      <w:r w:rsidRPr="00F15147">
        <w:rPr>
          <w:lang w:val="fr-CH"/>
        </w:rPr>
        <w:t xml:space="preserve"> c. Danemark, </w:t>
      </w:r>
      <w:proofErr w:type="spellStart"/>
      <w:r w:rsidRPr="00F15147">
        <w:rPr>
          <w:lang w:val="fr-CH"/>
        </w:rPr>
        <w:t>comm</w:t>
      </w:r>
      <w:proofErr w:type="spellEnd"/>
      <w:r w:rsidRPr="00F15147">
        <w:rPr>
          <w:lang w:val="fr-CH"/>
        </w:rPr>
        <w:t xml:space="preserve">. </w:t>
      </w:r>
      <w:r>
        <w:rPr>
          <w:lang w:val="fr-CH"/>
        </w:rPr>
        <w:t>n</w:t>
      </w:r>
      <w:r w:rsidRPr="00F52792">
        <w:rPr>
          <w:vertAlign w:val="superscript"/>
          <w:lang w:val="fr-CH"/>
        </w:rPr>
        <w:t>o</w:t>
      </w:r>
      <w:r>
        <w:rPr>
          <w:lang w:val="fr-CH"/>
        </w:rPr>
        <w:t> </w:t>
      </w:r>
      <w:r w:rsidRPr="00F15147">
        <w:rPr>
          <w:lang w:val="fr-CH"/>
        </w:rPr>
        <w:t xml:space="preserve">33/2003, 11 décembre 2003 ; </w:t>
      </w:r>
      <w:proofErr w:type="spellStart"/>
      <w:r w:rsidRPr="00F15147">
        <w:rPr>
          <w:lang w:val="fr-CH"/>
        </w:rPr>
        <w:t>Gelle</w:t>
      </w:r>
      <w:proofErr w:type="spellEnd"/>
      <w:r w:rsidRPr="00F15147">
        <w:rPr>
          <w:lang w:val="fr-CH"/>
        </w:rPr>
        <w:t xml:space="preserve"> c. Danemark, </w:t>
      </w:r>
      <w:proofErr w:type="spellStart"/>
      <w:r w:rsidRPr="00F15147">
        <w:rPr>
          <w:lang w:val="fr-CH"/>
        </w:rPr>
        <w:t>comm</w:t>
      </w:r>
      <w:proofErr w:type="spellEnd"/>
      <w:r w:rsidRPr="00F15147">
        <w:rPr>
          <w:lang w:val="fr-CH"/>
        </w:rPr>
        <w:t xml:space="preserve">. </w:t>
      </w:r>
      <w:r>
        <w:rPr>
          <w:lang w:val="fr-CH"/>
        </w:rPr>
        <w:t>n</w:t>
      </w:r>
      <w:r w:rsidRPr="00F52792">
        <w:rPr>
          <w:vertAlign w:val="superscript"/>
          <w:lang w:val="fr-CH"/>
        </w:rPr>
        <w:t>o</w:t>
      </w:r>
      <w:r>
        <w:rPr>
          <w:lang w:val="fr-CH"/>
        </w:rPr>
        <w:t> 34/2004, 6 mars 2006 ; Ahmed </w:t>
      </w:r>
      <w:r w:rsidRPr="00F15147">
        <w:rPr>
          <w:lang w:val="fr-CH"/>
        </w:rPr>
        <w:t xml:space="preserve">Farah </w:t>
      </w:r>
      <w:proofErr w:type="spellStart"/>
      <w:r w:rsidRPr="00F15147">
        <w:rPr>
          <w:lang w:val="fr-CH"/>
        </w:rPr>
        <w:t>Jama</w:t>
      </w:r>
      <w:proofErr w:type="spellEnd"/>
      <w:r w:rsidRPr="00F15147">
        <w:rPr>
          <w:lang w:val="fr-CH"/>
        </w:rPr>
        <w:t xml:space="preserve"> c. Danemark, </w:t>
      </w:r>
      <w:proofErr w:type="spellStart"/>
      <w:r w:rsidRPr="00F15147">
        <w:rPr>
          <w:lang w:val="fr-CH"/>
        </w:rPr>
        <w:t>comm</w:t>
      </w:r>
      <w:proofErr w:type="spellEnd"/>
      <w:r w:rsidRPr="00F15147">
        <w:rPr>
          <w:lang w:val="fr-CH"/>
        </w:rPr>
        <w:t xml:space="preserve">. </w:t>
      </w:r>
      <w:r>
        <w:rPr>
          <w:lang w:val="fr-CH"/>
        </w:rPr>
        <w:t>n</w:t>
      </w:r>
      <w:r w:rsidRPr="00F52792">
        <w:rPr>
          <w:vertAlign w:val="superscript"/>
          <w:lang w:val="fr-CH"/>
        </w:rPr>
        <w:t>o</w:t>
      </w:r>
      <w:r>
        <w:rPr>
          <w:lang w:val="fr-CH"/>
        </w:rPr>
        <w:t> </w:t>
      </w:r>
      <w:r w:rsidRPr="00F15147">
        <w:rPr>
          <w:lang w:val="fr-CH"/>
        </w:rPr>
        <w:t>41/2008, 21 août 2009 ; S</w:t>
      </w:r>
      <w:r>
        <w:rPr>
          <w:lang w:val="fr-CH"/>
        </w:rPr>
        <w:t xml:space="preserve">aada Mohammad </w:t>
      </w:r>
      <w:proofErr w:type="spellStart"/>
      <w:r>
        <w:rPr>
          <w:lang w:val="fr-CH"/>
        </w:rPr>
        <w:t>Adan</w:t>
      </w:r>
      <w:proofErr w:type="spellEnd"/>
      <w:r>
        <w:rPr>
          <w:lang w:val="fr-CH"/>
        </w:rPr>
        <w:t xml:space="preserve"> c. </w:t>
      </w:r>
      <w:r w:rsidRPr="00F15147">
        <w:rPr>
          <w:lang w:val="fr-CH"/>
        </w:rPr>
        <w:t xml:space="preserve">Danemark, </w:t>
      </w:r>
      <w:proofErr w:type="spellStart"/>
      <w:r w:rsidRPr="00F15147">
        <w:rPr>
          <w:lang w:val="fr-CH"/>
        </w:rPr>
        <w:t>comm</w:t>
      </w:r>
      <w:proofErr w:type="spellEnd"/>
      <w:r w:rsidRPr="00F15147">
        <w:rPr>
          <w:lang w:val="fr-CH"/>
        </w:rPr>
        <w:t xml:space="preserve">. </w:t>
      </w:r>
      <w:r>
        <w:rPr>
          <w:lang w:val="fr-CH"/>
        </w:rPr>
        <w:t>n</w:t>
      </w:r>
      <w:r w:rsidRPr="00F52792">
        <w:rPr>
          <w:vertAlign w:val="superscript"/>
          <w:lang w:val="fr-CH"/>
        </w:rPr>
        <w:t>o</w:t>
      </w:r>
      <w:r>
        <w:rPr>
          <w:lang w:val="fr-CH"/>
        </w:rPr>
        <w:t> </w:t>
      </w:r>
      <w:r w:rsidRPr="00F15147">
        <w:rPr>
          <w:lang w:val="fr-CH"/>
        </w:rPr>
        <w:t>43/2008, 13 août 2010.</w:t>
      </w:r>
    </w:p>
  </w:footnote>
  <w:footnote w:id="56">
    <w:p w:rsidR="00006840" w:rsidRPr="00CD1B51" w:rsidRDefault="00006840" w:rsidP="00834718">
      <w:pPr>
        <w:pStyle w:val="a6"/>
        <w:spacing w:after="0" w:line="220" w:lineRule="exact"/>
        <w:rPr>
          <w:lang w:val="fr-CH"/>
        </w:rPr>
      </w:pPr>
      <w:r w:rsidRPr="00F52792">
        <w:rPr>
          <w:lang w:val="fr-CH"/>
        </w:rPr>
        <w:tab/>
      </w:r>
      <w:r>
        <w:rPr>
          <w:rStyle w:val="a7"/>
        </w:rPr>
        <w:footnoteRef/>
      </w:r>
      <w:r w:rsidRPr="00CD1B51">
        <w:rPr>
          <w:lang w:val="fr-CH"/>
        </w:rPr>
        <w:tab/>
      </w:r>
      <w:r w:rsidRPr="00F15147">
        <w:rPr>
          <w:lang w:val="fr-CH"/>
        </w:rPr>
        <w:t>Observation générale n</w:t>
      </w:r>
      <w:r w:rsidRPr="00CD1B51">
        <w:rPr>
          <w:vertAlign w:val="superscript"/>
          <w:lang w:val="fr-CH"/>
        </w:rPr>
        <w:t>o</w:t>
      </w:r>
      <w:r>
        <w:rPr>
          <w:lang w:val="fr-CH"/>
        </w:rPr>
        <w:t> </w:t>
      </w:r>
      <w:r w:rsidRPr="00F15147">
        <w:rPr>
          <w:lang w:val="fr-CH"/>
        </w:rPr>
        <w:t>34, Art. 19 : Liberté d’opinion et liberté d’expression, 2011.</w:t>
      </w:r>
    </w:p>
  </w:footnote>
  <w:footnote w:id="57">
    <w:p w:rsidR="00006840" w:rsidRPr="00CD1B51" w:rsidRDefault="00006840" w:rsidP="00834718">
      <w:pPr>
        <w:pStyle w:val="a6"/>
        <w:spacing w:after="0" w:line="220" w:lineRule="exact"/>
        <w:rPr>
          <w:lang w:val="fr-CH"/>
        </w:rPr>
      </w:pPr>
      <w:r w:rsidRPr="00E5388B">
        <w:rPr>
          <w:lang w:val="fr-CH"/>
        </w:rPr>
        <w:tab/>
      </w:r>
      <w:r>
        <w:rPr>
          <w:rStyle w:val="a7"/>
        </w:rPr>
        <w:footnoteRef/>
      </w:r>
      <w:r w:rsidRPr="00CD1B51">
        <w:rPr>
          <w:lang w:val="fr-CH"/>
        </w:rPr>
        <w:tab/>
      </w:r>
      <w:r w:rsidRPr="00F15147">
        <w:rPr>
          <w:lang w:val="fr-CH"/>
        </w:rPr>
        <w:t xml:space="preserve">V. </w:t>
      </w:r>
      <w:proofErr w:type="spellStart"/>
      <w:r w:rsidRPr="00F15147">
        <w:rPr>
          <w:lang w:val="fr-CH"/>
        </w:rPr>
        <w:t>CERD</w:t>
      </w:r>
      <w:proofErr w:type="spellEnd"/>
      <w:r w:rsidRPr="00F15147">
        <w:rPr>
          <w:lang w:val="fr-CH"/>
        </w:rPr>
        <w:t xml:space="preserve">, </w:t>
      </w:r>
      <w:proofErr w:type="spellStart"/>
      <w:r w:rsidRPr="00F15147">
        <w:rPr>
          <w:lang w:val="fr-CH"/>
        </w:rPr>
        <w:t>Gelle</w:t>
      </w:r>
      <w:proofErr w:type="spellEnd"/>
      <w:r w:rsidRPr="00F15147">
        <w:rPr>
          <w:lang w:val="fr-CH"/>
        </w:rPr>
        <w:t xml:space="preserve"> c. Danemark, op. </w:t>
      </w:r>
      <w:proofErr w:type="spellStart"/>
      <w:proofErr w:type="gramStart"/>
      <w:r w:rsidRPr="00F15147">
        <w:rPr>
          <w:lang w:val="fr-CH"/>
        </w:rPr>
        <w:t>cit</w:t>
      </w:r>
      <w:proofErr w:type="spellEnd"/>
      <w:r w:rsidRPr="00F15147">
        <w:rPr>
          <w:lang w:val="fr-CH"/>
        </w:rPr>
        <w:t>.,</w:t>
      </w:r>
      <w:proofErr w:type="gramEnd"/>
      <w:r w:rsidRPr="00F15147">
        <w:rPr>
          <w:lang w:val="fr-CH"/>
        </w:rPr>
        <w:t xml:space="preserve"> § 7.5 ; Saada Mohamma</w:t>
      </w:r>
      <w:r>
        <w:rPr>
          <w:lang w:val="fr-CH"/>
        </w:rPr>
        <w:t xml:space="preserve">d </w:t>
      </w:r>
      <w:proofErr w:type="spellStart"/>
      <w:r>
        <w:rPr>
          <w:lang w:val="fr-CH"/>
        </w:rPr>
        <w:t>Adan</w:t>
      </w:r>
      <w:proofErr w:type="spellEnd"/>
      <w:r>
        <w:rPr>
          <w:lang w:val="fr-CH"/>
        </w:rPr>
        <w:t xml:space="preserve"> c. Danemark, op. </w:t>
      </w:r>
      <w:proofErr w:type="spellStart"/>
      <w:proofErr w:type="gramStart"/>
      <w:r>
        <w:rPr>
          <w:lang w:val="fr-CH"/>
        </w:rPr>
        <w:t>cit</w:t>
      </w:r>
      <w:proofErr w:type="spellEnd"/>
      <w:r>
        <w:rPr>
          <w:lang w:val="fr-CH"/>
        </w:rPr>
        <w:t>.,</w:t>
      </w:r>
      <w:proofErr w:type="gramEnd"/>
      <w:r>
        <w:rPr>
          <w:lang w:val="fr-CH"/>
        </w:rPr>
        <w:t xml:space="preserve"> § </w:t>
      </w:r>
      <w:r w:rsidRPr="00F15147">
        <w:rPr>
          <w:lang w:val="fr-CH"/>
        </w:rPr>
        <w:t>7.6. V.</w:t>
      </w:r>
      <w:r>
        <w:rPr>
          <w:lang w:val="fr-CH"/>
        </w:rPr>
        <w:t> </w:t>
      </w:r>
      <w:r w:rsidRPr="00F15147">
        <w:rPr>
          <w:lang w:val="fr-CH"/>
        </w:rPr>
        <w:t xml:space="preserve">aussi </w:t>
      </w:r>
      <w:proofErr w:type="spellStart"/>
      <w:r w:rsidRPr="00F15147">
        <w:rPr>
          <w:lang w:val="fr-CH"/>
        </w:rPr>
        <w:t>CERD</w:t>
      </w:r>
      <w:proofErr w:type="spellEnd"/>
      <w:r w:rsidRPr="00F15147">
        <w:rPr>
          <w:lang w:val="fr-CH"/>
        </w:rPr>
        <w:t xml:space="preserve">, Observation générale </w:t>
      </w:r>
      <w:r>
        <w:rPr>
          <w:lang w:val="fr-CH"/>
        </w:rPr>
        <w:t>n</w:t>
      </w:r>
      <w:r w:rsidRPr="00F52792">
        <w:rPr>
          <w:vertAlign w:val="superscript"/>
          <w:lang w:val="fr-CH"/>
        </w:rPr>
        <w:t>o</w:t>
      </w:r>
      <w:r>
        <w:rPr>
          <w:lang w:val="fr-CH"/>
        </w:rPr>
        <w:t> </w:t>
      </w:r>
      <w:r w:rsidRPr="00F15147">
        <w:rPr>
          <w:lang w:val="fr-CH"/>
        </w:rPr>
        <w:t xml:space="preserve">30, § 12. Sur le plan régional, v. aussi l’arrêt de la Cour européenne des droits de l’Homme dans l’affaire </w:t>
      </w:r>
      <w:proofErr w:type="spellStart"/>
      <w:r w:rsidRPr="00F15147">
        <w:rPr>
          <w:lang w:val="fr-CH"/>
        </w:rPr>
        <w:t>Feret</w:t>
      </w:r>
      <w:proofErr w:type="spellEnd"/>
      <w:r w:rsidRPr="00F15147">
        <w:rPr>
          <w:lang w:val="fr-CH"/>
        </w:rPr>
        <w:t xml:space="preserve"> c. Belgique (</w:t>
      </w:r>
      <w:proofErr w:type="spellStart"/>
      <w:r w:rsidRPr="00F15147">
        <w:rPr>
          <w:lang w:val="fr-CH"/>
        </w:rPr>
        <w:t>req</w:t>
      </w:r>
      <w:proofErr w:type="spellEnd"/>
      <w:r w:rsidRPr="00F15147">
        <w:rPr>
          <w:lang w:val="fr-CH"/>
        </w:rPr>
        <w:t xml:space="preserve">. </w:t>
      </w:r>
      <w:r>
        <w:rPr>
          <w:lang w:val="fr-CH"/>
        </w:rPr>
        <w:t>n</w:t>
      </w:r>
      <w:r w:rsidRPr="00F52792">
        <w:rPr>
          <w:vertAlign w:val="superscript"/>
          <w:lang w:val="fr-CH"/>
        </w:rPr>
        <w:t>o</w:t>
      </w:r>
      <w:r>
        <w:rPr>
          <w:lang w:val="fr-CH"/>
        </w:rPr>
        <w:t> </w:t>
      </w:r>
      <w:r w:rsidRPr="00F15147">
        <w:rPr>
          <w:lang w:val="fr-CH"/>
        </w:rPr>
        <w:t>15615/07, arrêt du 16</w:t>
      </w:r>
      <w:r>
        <w:rPr>
          <w:lang w:val="fr-CH"/>
        </w:rPr>
        <w:t> </w:t>
      </w:r>
      <w:r w:rsidRPr="00F15147">
        <w:rPr>
          <w:lang w:val="fr-CH"/>
        </w:rPr>
        <w:t>juillet 2009), § 77. V. aussi le Rapport de l’</w:t>
      </w:r>
      <w:proofErr w:type="spellStart"/>
      <w:r w:rsidRPr="00F15147">
        <w:rPr>
          <w:lang w:val="fr-CH"/>
        </w:rPr>
        <w:t>ECRI</w:t>
      </w:r>
      <w:proofErr w:type="spellEnd"/>
      <w:r w:rsidRPr="00F15147">
        <w:rPr>
          <w:lang w:val="fr-CH"/>
        </w:rPr>
        <w:t xml:space="preserve"> sur les Pays-Bas (quatrième cycle de monitoring), publié le 15 octobre 2013, § 22 : « L’</w:t>
      </w:r>
      <w:proofErr w:type="spellStart"/>
      <w:r w:rsidRPr="00F15147">
        <w:rPr>
          <w:lang w:val="fr-CH"/>
        </w:rPr>
        <w:t>ECRI</w:t>
      </w:r>
      <w:proofErr w:type="spellEnd"/>
      <w:r w:rsidRPr="00F15147">
        <w:rPr>
          <w:lang w:val="fr-CH"/>
        </w:rPr>
        <w:t xml:space="preserve"> recommande aux autorités de veiller à ce que la législation en vigueur contre le racisme et la </w:t>
      </w:r>
      <w:proofErr w:type="spellStart"/>
      <w:r w:rsidRPr="00F15147">
        <w:rPr>
          <w:lang w:val="fr-CH"/>
        </w:rPr>
        <w:t>discriminatioin</w:t>
      </w:r>
      <w:proofErr w:type="spellEnd"/>
      <w:r w:rsidRPr="00F15147">
        <w:rPr>
          <w:lang w:val="fr-CH"/>
        </w:rPr>
        <w:t xml:space="preserve"> raciale ainsi que la jurisprudence de la Cour européenne des droits de l’Homme soient appliquées dans tous les cas, dans la sphère publique et privée, même lorsque les affirmations émanent de personnalités politiques. » ; les Principes de Camden sur la liberté d’expression et l’égalité, et notamment le Principe 10 : “</w:t>
      </w:r>
      <w:proofErr w:type="spellStart"/>
      <w:r w:rsidRPr="00F15147">
        <w:rPr>
          <w:lang w:val="fr-CH"/>
        </w:rPr>
        <w:t>Politicians</w:t>
      </w:r>
      <w:proofErr w:type="spellEnd"/>
      <w:r w:rsidRPr="00F15147">
        <w:rPr>
          <w:lang w:val="fr-CH"/>
        </w:rPr>
        <w:t xml:space="preserve"> and </w:t>
      </w:r>
      <w:proofErr w:type="spellStart"/>
      <w:r w:rsidRPr="00F15147">
        <w:rPr>
          <w:lang w:val="fr-CH"/>
        </w:rPr>
        <w:t>other</w:t>
      </w:r>
      <w:proofErr w:type="spellEnd"/>
      <w:r w:rsidRPr="00F15147">
        <w:rPr>
          <w:lang w:val="fr-CH"/>
        </w:rPr>
        <w:t xml:space="preserve"> leadership</w:t>
      </w:r>
      <w:r w:rsidRPr="00F15147">
        <w:rPr>
          <w:rFonts w:ascii="MS Mincho" w:eastAsia="MS Mincho" w:hAnsi="MS Mincho" w:cs="MS Mincho" w:hint="eastAsia"/>
          <w:lang w:val="fr-CH"/>
        </w:rPr>
        <w:t> </w:t>
      </w:r>
      <w:r w:rsidRPr="00F15147">
        <w:rPr>
          <w:lang w:val="fr-CH"/>
        </w:rPr>
        <w:t xml:space="preserve">figures in society </w:t>
      </w:r>
      <w:proofErr w:type="spellStart"/>
      <w:r w:rsidRPr="00F15147">
        <w:rPr>
          <w:lang w:val="fr-CH"/>
        </w:rPr>
        <w:t>should</w:t>
      </w:r>
      <w:proofErr w:type="spellEnd"/>
      <w:r w:rsidRPr="00F15147">
        <w:rPr>
          <w:lang w:val="fr-CH"/>
        </w:rPr>
        <w:t xml:space="preserve"> </w:t>
      </w:r>
      <w:proofErr w:type="spellStart"/>
      <w:r w:rsidRPr="00F15147">
        <w:rPr>
          <w:lang w:val="fr-CH"/>
        </w:rPr>
        <w:t>avoid</w:t>
      </w:r>
      <w:proofErr w:type="spellEnd"/>
      <w:r w:rsidRPr="00F15147">
        <w:rPr>
          <w:lang w:val="fr-CH"/>
        </w:rPr>
        <w:t xml:space="preserve"> </w:t>
      </w:r>
      <w:proofErr w:type="spellStart"/>
      <w:r w:rsidRPr="00F15147">
        <w:rPr>
          <w:lang w:val="fr-CH"/>
        </w:rPr>
        <w:t>making</w:t>
      </w:r>
      <w:proofErr w:type="spellEnd"/>
      <w:r w:rsidRPr="00F15147">
        <w:rPr>
          <w:lang w:val="fr-CH"/>
        </w:rPr>
        <w:t xml:space="preserve"> </w:t>
      </w:r>
      <w:proofErr w:type="spellStart"/>
      <w:r w:rsidRPr="00F15147">
        <w:rPr>
          <w:lang w:val="fr-CH"/>
        </w:rPr>
        <w:t>statements</w:t>
      </w:r>
      <w:proofErr w:type="spellEnd"/>
      <w:r w:rsidRPr="00F15147">
        <w:rPr>
          <w:lang w:val="fr-CH"/>
        </w:rPr>
        <w:t xml:space="preserve"> </w:t>
      </w:r>
      <w:proofErr w:type="spellStart"/>
      <w:r w:rsidRPr="00F15147">
        <w:rPr>
          <w:lang w:val="fr-CH"/>
        </w:rPr>
        <w:t>that</w:t>
      </w:r>
      <w:proofErr w:type="spellEnd"/>
      <w:r w:rsidRPr="00F15147">
        <w:rPr>
          <w:lang w:val="fr-CH"/>
        </w:rPr>
        <w:t xml:space="preserve"> </w:t>
      </w:r>
      <w:proofErr w:type="spellStart"/>
      <w:r w:rsidRPr="00F15147">
        <w:rPr>
          <w:lang w:val="fr-CH"/>
        </w:rPr>
        <w:t>might</w:t>
      </w:r>
      <w:proofErr w:type="spellEnd"/>
      <w:r w:rsidRPr="00F15147">
        <w:rPr>
          <w:lang w:val="fr-CH"/>
        </w:rPr>
        <w:t xml:space="preserve"> </w:t>
      </w:r>
      <w:proofErr w:type="spellStart"/>
      <w:r w:rsidRPr="00F15147">
        <w:rPr>
          <w:lang w:val="fr-CH"/>
        </w:rPr>
        <w:t>promote</w:t>
      </w:r>
      <w:proofErr w:type="spellEnd"/>
      <w:r w:rsidRPr="00F15147">
        <w:rPr>
          <w:lang w:val="fr-CH"/>
        </w:rPr>
        <w:t xml:space="preserve"> discrimination or </w:t>
      </w:r>
      <w:proofErr w:type="spellStart"/>
      <w:r w:rsidRPr="00F15147">
        <w:rPr>
          <w:lang w:val="fr-CH"/>
        </w:rPr>
        <w:t>undermine</w:t>
      </w:r>
      <w:proofErr w:type="spellEnd"/>
      <w:r w:rsidRPr="00F15147">
        <w:rPr>
          <w:lang w:val="fr-CH"/>
        </w:rPr>
        <w:t xml:space="preserve"> </w:t>
      </w:r>
      <w:proofErr w:type="spellStart"/>
      <w:r w:rsidRPr="00F15147">
        <w:rPr>
          <w:lang w:val="fr-CH"/>
        </w:rPr>
        <w:t>equality</w:t>
      </w:r>
      <w:proofErr w:type="spellEnd"/>
      <w:r w:rsidRPr="00F15147">
        <w:rPr>
          <w:lang w:val="fr-CH"/>
        </w:rPr>
        <w:t xml:space="preserve">, and </w:t>
      </w:r>
      <w:proofErr w:type="spellStart"/>
      <w:r w:rsidRPr="00F15147">
        <w:rPr>
          <w:lang w:val="fr-CH"/>
        </w:rPr>
        <w:t>should</w:t>
      </w:r>
      <w:proofErr w:type="spellEnd"/>
      <w:r w:rsidRPr="00F15147">
        <w:rPr>
          <w:lang w:val="fr-CH"/>
        </w:rPr>
        <w:t xml:space="preserve"> </w:t>
      </w:r>
      <w:proofErr w:type="spellStart"/>
      <w:r w:rsidRPr="00F15147">
        <w:rPr>
          <w:lang w:val="fr-CH"/>
        </w:rPr>
        <w:t>take</w:t>
      </w:r>
      <w:proofErr w:type="spellEnd"/>
      <w:r w:rsidRPr="00F15147">
        <w:rPr>
          <w:lang w:val="fr-CH"/>
        </w:rPr>
        <w:t xml:space="preserve"> </w:t>
      </w:r>
      <w:proofErr w:type="spellStart"/>
      <w:r w:rsidRPr="00F15147">
        <w:rPr>
          <w:lang w:val="fr-CH"/>
        </w:rPr>
        <w:t>advantage</w:t>
      </w:r>
      <w:proofErr w:type="spellEnd"/>
      <w:r w:rsidRPr="00F15147">
        <w:rPr>
          <w:lang w:val="fr-CH"/>
        </w:rPr>
        <w:t xml:space="preserve"> of </w:t>
      </w:r>
      <w:proofErr w:type="spellStart"/>
      <w:r w:rsidRPr="00F15147">
        <w:rPr>
          <w:lang w:val="fr-CH"/>
        </w:rPr>
        <w:t>their</w:t>
      </w:r>
      <w:proofErr w:type="spellEnd"/>
      <w:r w:rsidRPr="00F15147">
        <w:rPr>
          <w:lang w:val="fr-CH"/>
        </w:rPr>
        <w:t xml:space="preserve"> positions to </w:t>
      </w:r>
      <w:proofErr w:type="spellStart"/>
      <w:r w:rsidRPr="00F15147">
        <w:rPr>
          <w:lang w:val="fr-CH"/>
        </w:rPr>
        <w:t>promote</w:t>
      </w:r>
      <w:proofErr w:type="spellEnd"/>
      <w:r w:rsidRPr="00F15147">
        <w:rPr>
          <w:lang w:val="fr-CH"/>
        </w:rPr>
        <w:t xml:space="preserve"> </w:t>
      </w:r>
      <w:proofErr w:type="spellStart"/>
      <w:r w:rsidRPr="00F15147">
        <w:rPr>
          <w:lang w:val="fr-CH"/>
        </w:rPr>
        <w:t>intercultural</w:t>
      </w:r>
      <w:proofErr w:type="spellEnd"/>
      <w:r w:rsidRPr="00F15147">
        <w:rPr>
          <w:lang w:val="fr-CH"/>
        </w:rPr>
        <w:t xml:space="preserve"> </w:t>
      </w:r>
      <w:proofErr w:type="spellStart"/>
      <w:r w:rsidRPr="00F15147">
        <w:rPr>
          <w:lang w:val="fr-CH"/>
        </w:rPr>
        <w:t>understanding</w:t>
      </w:r>
      <w:proofErr w:type="spellEnd"/>
      <w:r w:rsidRPr="00F15147">
        <w:rPr>
          <w:lang w:val="fr-CH"/>
        </w:rPr>
        <w:t xml:space="preserve">, </w:t>
      </w:r>
      <w:proofErr w:type="spellStart"/>
      <w:r w:rsidRPr="00F15147">
        <w:rPr>
          <w:lang w:val="fr-CH"/>
        </w:rPr>
        <w:t>including</w:t>
      </w:r>
      <w:proofErr w:type="spellEnd"/>
      <w:r w:rsidRPr="00F15147">
        <w:rPr>
          <w:lang w:val="fr-CH"/>
        </w:rPr>
        <w:t xml:space="preserve"> by </w:t>
      </w:r>
      <w:proofErr w:type="spellStart"/>
      <w:r w:rsidRPr="00F15147">
        <w:rPr>
          <w:lang w:val="fr-CH"/>
        </w:rPr>
        <w:t>contesting</w:t>
      </w:r>
      <w:proofErr w:type="spellEnd"/>
      <w:r w:rsidRPr="00F15147">
        <w:rPr>
          <w:lang w:val="fr-CH"/>
        </w:rPr>
        <w:t xml:space="preserve">, </w:t>
      </w:r>
      <w:proofErr w:type="spellStart"/>
      <w:r w:rsidRPr="00F15147">
        <w:rPr>
          <w:lang w:val="fr-CH"/>
        </w:rPr>
        <w:t>where</w:t>
      </w:r>
      <w:proofErr w:type="spellEnd"/>
      <w:r w:rsidRPr="00F15147">
        <w:rPr>
          <w:lang w:val="fr-CH"/>
        </w:rPr>
        <w:t xml:space="preserve"> </w:t>
      </w:r>
      <w:proofErr w:type="spellStart"/>
      <w:r w:rsidRPr="00F15147">
        <w:rPr>
          <w:lang w:val="fr-CH"/>
        </w:rPr>
        <w:t>appropriate</w:t>
      </w:r>
      <w:proofErr w:type="spellEnd"/>
      <w:r w:rsidRPr="00F15147">
        <w:rPr>
          <w:lang w:val="fr-CH"/>
        </w:rPr>
        <w:t xml:space="preserve">, </w:t>
      </w:r>
      <w:proofErr w:type="spellStart"/>
      <w:r w:rsidRPr="00F15147">
        <w:rPr>
          <w:lang w:val="fr-CH"/>
        </w:rPr>
        <w:t>discriminatory</w:t>
      </w:r>
      <w:proofErr w:type="spellEnd"/>
      <w:r w:rsidRPr="00F15147">
        <w:rPr>
          <w:lang w:val="fr-CH"/>
        </w:rPr>
        <w:t xml:space="preserve"> </w:t>
      </w:r>
      <w:proofErr w:type="spellStart"/>
      <w:r w:rsidRPr="00F15147">
        <w:rPr>
          <w:lang w:val="fr-CH"/>
        </w:rPr>
        <w:t>statements</w:t>
      </w:r>
      <w:proofErr w:type="spellEnd"/>
      <w:r w:rsidRPr="00F15147">
        <w:rPr>
          <w:lang w:val="fr-CH"/>
        </w:rPr>
        <w:t xml:space="preserve"> or </w:t>
      </w:r>
      <w:proofErr w:type="spellStart"/>
      <w:r w:rsidRPr="00F15147">
        <w:rPr>
          <w:lang w:val="fr-CH"/>
        </w:rPr>
        <w:t>behaviour</w:t>
      </w:r>
      <w:proofErr w:type="spellEnd"/>
      <w:r w:rsidRPr="00F15147">
        <w:rPr>
          <w:lang w:val="fr-CH"/>
        </w:rPr>
        <w:t xml:space="preserve">.”; dans le même sens, v. le Rabat plan of action on the prohibition of </w:t>
      </w:r>
      <w:proofErr w:type="spellStart"/>
      <w:r w:rsidRPr="00F15147">
        <w:rPr>
          <w:lang w:val="fr-CH"/>
        </w:rPr>
        <w:t>advocacy</w:t>
      </w:r>
      <w:proofErr w:type="spellEnd"/>
      <w:r w:rsidRPr="00F15147">
        <w:rPr>
          <w:lang w:val="fr-CH"/>
        </w:rPr>
        <w:t xml:space="preserve"> of national, racial or </w:t>
      </w:r>
      <w:proofErr w:type="spellStart"/>
      <w:r w:rsidRPr="00F15147">
        <w:rPr>
          <w:lang w:val="fr-CH"/>
        </w:rPr>
        <w:t>religious</w:t>
      </w:r>
      <w:proofErr w:type="spellEnd"/>
      <w:r w:rsidRPr="00F15147">
        <w:rPr>
          <w:lang w:val="fr-CH"/>
        </w:rPr>
        <w:t xml:space="preserve"> </w:t>
      </w:r>
      <w:proofErr w:type="spellStart"/>
      <w:r w:rsidRPr="00F15147">
        <w:rPr>
          <w:lang w:val="fr-CH"/>
        </w:rPr>
        <w:t>hatred</w:t>
      </w:r>
      <w:proofErr w:type="spellEnd"/>
      <w:r w:rsidRPr="00F15147">
        <w:rPr>
          <w:lang w:val="fr-CH"/>
        </w:rPr>
        <w:t xml:space="preserve"> </w:t>
      </w:r>
      <w:proofErr w:type="spellStart"/>
      <w:r w:rsidRPr="00F15147">
        <w:rPr>
          <w:lang w:val="fr-CH"/>
        </w:rPr>
        <w:t>that</w:t>
      </w:r>
      <w:proofErr w:type="spellEnd"/>
      <w:r w:rsidRPr="00F15147">
        <w:rPr>
          <w:lang w:val="fr-CH"/>
        </w:rPr>
        <w:t xml:space="preserve"> </w:t>
      </w:r>
      <w:proofErr w:type="spellStart"/>
      <w:r w:rsidRPr="00F15147">
        <w:rPr>
          <w:lang w:val="fr-CH"/>
        </w:rPr>
        <w:t>constitutes</w:t>
      </w:r>
      <w:proofErr w:type="spellEnd"/>
      <w:r w:rsidRPr="00F15147">
        <w:rPr>
          <w:lang w:val="fr-CH"/>
        </w:rPr>
        <w:t xml:space="preserve"> </w:t>
      </w:r>
      <w:proofErr w:type="spellStart"/>
      <w:r w:rsidRPr="00F15147">
        <w:rPr>
          <w:lang w:val="fr-CH"/>
        </w:rPr>
        <w:t>incitement</w:t>
      </w:r>
      <w:proofErr w:type="spellEnd"/>
      <w:r w:rsidRPr="00F15147">
        <w:rPr>
          <w:lang w:val="fr-CH"/>
        </w:rPr>
        <w:t xml:space="preserve"> to discrimination </w:t>
      </w:r>
      <w:proofErr w:type="spellStart"/>
      <w:r w:rsidRPr="00F15147">
        <w:rPr>
          <w:lang w:val="fr-CH"/>
        </w:rPr>
        <w:t>hostility</w:t>
      </w:r>
      <w:proofErr w:type="spellEnd"/>
      <w:r w:rsidRPr="00F15147">
        <w:rPr>
          <w:lang w:val="fr-CH"/>
        </w:rPr>
        <w:t xml:space="preserve"> or violence, § 36, doc. </w:t>
      </w:r>
      <w:proofErr w:type="gramStart"/>
      <w:r w:rsidRPr="00F15147">
        <w:rPr>
          <w:lang w:val="fr-CH"/>
        </w:rPr>
        <w:t>en</w:t>
      </w:r>
      <w:proofErr w:type="gramEnd"/>
      <w:r w:rsidRPr="00F15147">
        <w:rPr>
          <w:lang w:val="fr-CH"/>
        </w:rPr>
        <w:t xml:space="preserve"> annexe du rapport du Haut Commissaire des Nations Unies aux droits de l’Homme sur les ateliers d’experts sur l’interdiction de l’incitation à la haine nationale, raciale ou religieuse, A/HRC/22/17/</w:t>
      </w:r>
      <w:proofErr w:type="spellStart"/>
      <w:r w:rsidRPr="00F15147">
        <w:rPr>
          <w:lang w:val="fr-CH"/>
        </w:rPr>
        <w:t>Add.4</w:t>
      </w:r>
      <w:proofErr w:type="spellEnd"/>
      <w:r w:rsidRPr="00F15147">
        <w:rPr>
          <w:lang w:val="fr-CH"/>
        </w:rPr>
        <w:t>.</w:t>
      </w:r>
    </w:p>
  </w:footnote>
  <w:footnote w:id="58">
    <w:p w:rsidR="00006840" w:rsidRPr="00CD1B51" w:rsidRDefault="00006840" w:rsidP="00834718">
      <w:pPr>
        <w:pStyle w:val="a6"/>
        <w:spacing w:after="0" w:line="220" w:lineRule="exact"/>
        <w:rPr>
          <w:lang w:val="fr-CH"/>
        </w:rPr>
      </w:pPr>
      <w:r w:rsidRPr="00E5388B">
        <w:rPr>
          <w:lang w:val="fr-CH"/>
        </w:rPr>
        <w:tab/>
      </w:r>
      <w:r>
        <w:rPr>
          <w:rStyle w:val="a7"/>
        </w:rPr>
        <w:footnoteRef/>
      </w:r>
      <w:r w:rsidRPr="00CD1B51">
        <w:rPr>
          <w:lang w:val="fr-CH"/>
        </w:rPr>
        <w:tab/>
      </w:r>
      <w:r w:rsidRPr="00F15147">
        <w:rPr>
          <w:lang w:val="fr-CH"/>
        </w:rPr>
        <w:t xml:space="preserve">Notamment </w:t>
      </w:r>
      <w:proofErr w:type="spellStart"/>
      <w:r w:rsidRPr="00F15147">
        <w:rPr>
          <w:lang w:val="fr-CH"/>
        </w:rPr>
        <w:t>Gelle</w:t>
      </w:r>
      <w:proofErr w:type="spellEnd"/>
      <w:r w:rsidRPr="00F15147">
        <w:rPr>
          <w:lang w:val="fr-CH"/>
        </w:rPr>
        <w:t xml:space="preserve"> c. Danemark, op. </w:t>
      </w:r>
      <w:proofErr w:type="spellStart"/>
      <w:proofErr w:type="gramStart"/>
      <w:r w:rsidRPr="00F15147">
        <w:rPr>
          <w:lang w:val="fr-CH"/>
        </w:rPr>
        <w:t>cit</w:t>
      </w:r>
      <w:proofErr w:type="spellEnd"/>
      <w:r w:rsidRPr="00F15147">
        <w:rPr>
          <w:lang w:val="fr-CH"/>
        </w:rPr>
        <w:t>.,</w:t>
      </w:r>
      <w:proofErr w:type="gramEnd"/>
      <w:r w:rsidRPr="00F15147">
        <w:rPr>
          <w:lang w:val="fr-CH"/>
        </w:rPr>
        <w:t xml:space="preserve"> par. 7.3. : « Le Comité observe qu’il ne suffit pas, aux fins de l’article 4 de la Convention, de déclarer simplement dans un texte de loi les actes de discrimination raciale punissables. La législation pénale et les autres dispositions légales interdisant la discrimination raciale doivent aussi être effectivement mises en œuvre par les tribunaux nationaux compétents et les autres institutions de l’Etat. »</w:t>
      </w:r>
    </w:p>
  </w:footnote>
  <w:footnote w:id="59">
    <w:p w:rsidR="00006840" w:rsidRPr="00CD1B51" w:rsidRDefault="00006840" w:rsidP="00834718">
      <w:pPr>
        <w:pStyle w:val="a6"/>
        <w:spacing w:after="0" w:line="220" w:lineRule="exact"/>
        <w:rPr>
          <w:lang w:val="fr-CH"/>
        </w:rPr>
      </w:pPr>
      <w:r w:rsidRPr="00E5388B">
        <w:rPr>
          <w:lang w:val="fr-CH"/>
        </w:rPr>
        <w:tab/>
      </w:r>
      <w:r>
        <w:rPr>
          <w:rStyle w:val="a7"/>
        </w:rPr>
        <w:footnoteRef/>
      </w:r>
      <w:r w:rsidRPr="00CD1B51">
        <w:rPr>
          <w:lang w:val="fr-CH"/>
        </w:rPr>
        <w:tab/>
      </w:r>
      <w:r w:rsidRPr="00F15147">
        <w:rPr>
          <w:lang w:val="fr-CH"/>
        </w:rPr>
        <w:t xml:space="preserve">V. par ex. l’affaire Robert </w:t>
      </w:r>
      <w:proofErr w:type="spellStart"/>
      <w:r w:rsidRPr="00F15147">
        <w:rPr>
          <w:lang w:val="fr-CH"/>
        </w:rPr>
        <w:t>Faurisson</w:t>
      </w:r>
      <w:proofErr w:type="spellEnd"/>
      <w:r w:rsidRPr="00F15147">
        <w:rPr>
          <w:lang w:val="fr-CH"/>
        </w:rPr>
        <w:t xml:space="preserve"> c. France, </w:t>
      </w:r>
      <w:proofErr w:type="spellStart"/>
      <w:r w:rsidRPr="00F15147">
        <w:rPr>
          <w:lang w:val="fr-CH"/>
        </w:rPr>
        <w:t>comm</w:t>
      </w:r>
      <w:proofErr w:type="spellEnd"/>
      <w:r w:rsidRPr="00F15147">
        <w:rPr>
          <w:lang w:val="fr-CH"/>
        </w:rPr>
        <w:t xml:space="preserve">. </w:t>
      </w:r>
      <w:r>
        <w:rPr>
          <w:lang w:val="fr-CH"/>
        </w:rPr>
        <w:t>n</w:t>
      </w:r>
      <w:r w:rsidRPr="00F52792">
        <w:rPr>
          <w:vertAlign w:val="superscript"/>
          <w:lang w:val="fr-CH"/>
        </w:rPr>
        <w:t>o</w:t>
      </w:r>
      <w:r>
        <w:rPr>
          <w:lang w:val="fr-CH"/>
        </w:rPr>
        <w:t> </w:t>
      </w:r>
      <w:r w:rsidRPr="00F15147">
        <w:rPr>
          <w:lang w:val="fr-CH"/>
        </w:rPr>
        <w:t xml:space="preserve">500/1993, 8 novembre 1996, § 9.5. Le Comité examine dans ce paragraphe la question de savoir si la loi du 13 juillet 1990 (« la loi </w:t>
      </w:r>
      <w:proofErr w:type="spellStart"/>
      <w:r w:rsidRPr="00F15147">
        <w:rPr>
          <w:lang w:val="fr-CH"/>
        </w:rPr>
        <w:t>Gayssot</w:t>
      </w:r>
      <w:proofErr w:type="spellEnd"/>
      <w:r w:rsidRPr="00F15147">
        <w:rPr>
          <w:lang w:val="fr-CH"/>
        </w:rPr>
        <w:t xml:space="preserve"> ») qui a servi de fondement à la condamnation de l’auteur est compatible avec les dispositions du Pacte. Il cite les déclarations litigieuses de l’auteur et en déduit que la condamnation de l’auteur « n’a pas porté atteinte à son droit d’avoir une opinion et de l’exprimer, en général : le tribunal a condamné M. </w:t>
      </w:r>
      <w:proofErr w:type="spellStart"/>
      <w:r w:rsidRPr="00F15147">
        <w:rPr>
          <w:lang w:val="fr-CH"/>
        </w:rPr>
        <w:t>Faurisson</w:t>
      </w:r>
      <w:proofErr w:type="spellEnd"/>
      <w:r w:rsidRPr="00F15147">
        <w:rPr>
          <w:lang w:val="fr-CH"/>
        </w:rPr>
        <w:t xml:space="preserve"> pour avoir attenté aux droits et à la réputation d’autrui. » Et il en déduit que la « loi </w:t>
      </w:r>
      <w:proofErr w:type="spellStart"/>
      <w:r w:rsidRPr="00F15147">
        <w:rPr>
          <w:lang w:val="fr-CH"/>
        </w:rPr>
        <w:t>Gayssot</w:t>
      </w:r>
      <w:proofErr w:type="spellEnd"/>
      <w:r w:rsidRPr="00F15147">
        <w:rPr>
          <w:lang w:val="fr-CH"/>
        </w:rPr>
        <w:t xml:space="preserve"> », « telle qu’elle a été lue, interprétée et appliquée dans le cas de l’auteur par les tribunaux français, est compatible avec les dispositions du Pacte. » (</w:t>
      </w:r>
      <w:proofErr w:type="gramStart"/>
      <w:r w:rsidRPr="00F15147">
        <w:rPr>
          <w:lang w:val="fr-CH"/>
        </w:rPr>
        <w:t>nous</w:t>
      </w:r>
      <w:proofErr w:type="gramEnd"/>
      <w:r w:rsidRPr="00F15147">
        <w:rPr>
          <w:lang w:val="fr-CH"/>
        </w:rPr>
        <w:t xml:space="preserve"> soulignons.) Dans l’affaire </w:t>
      </w:r>
      <w:proofErr w:type="spellStart"/>
      <w:r w:rsidRPr="00F15147">
        <w:rPr>
          <w:lang w:val="fr-CH"/>
        </w:rPr>
        <w:t>J.R.T</w:t>
      </w:r>
      <w:proofErr w:type="spellEnd"/>
      <w:r w:rsidRPr="00F15147">
        <w:rPr>
          <w:lang w:val="fr-CH"/>
        </w:rPr>
        <w:t xml:space="preserve">. et le </w:t>
      </w:r>
      <w:proofErr w:type="spellStart"/>
      <w:r w:rsidRPr="00F15147">
        <w:rPr>
          <w:lang w:val="fr-CH"/>
        </w:rPr>
        <w:t>W.G</w:t>
      </w:r>
      <w:proofErr w:type="spellEnd"/>
      <w:r w:rsidRPr="00F15147">
        <w:rPr>
          <w:lang w:val="fr-CH"/>
        </w:rPr>
        <w:t xml:space="preserve">. Party c. Canada, </w:t>
      </w:r>
      <w:proofErr w:type="spellStart"/>
      <w:r w:rsidRPr="00F15147">
        <w:rPr>
          <w:lang w:val="fr-CH"/>
        </w:rPr>
        <w:t>comm</w:t>
      </w:r>
      <w:proofErr w:type="spellEnd"/>
      <w:r w:rsidRPr="00F15147">
        <w:rPr>
          <w:lang w:val="fr-CH"/>
        </w:rPr>
        <w:t xml:space="preserve">. </w:t>
      </w:r>
      <w:r>
        <w:rPr>
          <w:lang w:val="fr-CH"/>
        </w:rPr>
        <w:t>n</w:t>
      </w:r>
      <w:r w:rsidRPr="00F52792">
        <w:rPr>
          <w:vertAlign w:val="superscript"/>
          <w:lang w:val="fr-CH"/>
        </w:rPr>
        <w:t>o</w:t>
      </w:r>
      <w:r>
        <w:rPr>
          <w:lang w:val="fr-CH"/>
        </w:rPr>
        <w:t> </w:t>
      </w:r>
      <w:r w:rsidRPr="00F15147">
        <w:rPr>
          <w:lang w:val="fr-CH"/>
        </w:rPr>
        <w:t xml:space="preserve">104/1981, 5 avril 1983, le Comité se place sur le plan de la recevabilité, en jugeant « incompatible » avec les dispositions du Pacte les griefs de l’auteur, car « les opinions que </w:t>
      </w:r>
      <w:proofErr w:type="spellStart"/>
      <w:r w:rsidRPr="00F15147">
        <w:rPr>
          <w:lang w:val="fr-CH"/>
        </w:rPr>
        <w:t>M.T</w:t>
      </w:r>
      <w:proofErr w:type="spellEnd"/>
      <w:r w:rsidRPr="00F15147">
        <w:rPr>
          <w:lang w:val="fr-CH"/>
        </w:rPr>
        <w:t>. cherche à diffuser par téléphone constituent nettement une incitation à la haine raciale ou religieuse, que le Canada est tenu d’i</w:t>
      </w:r>
      <w:r>
        <w:rPr>
          <w:lang w:val="fr-CH"/>
        </w:rPr>
        <w:t>nterdire en vertu du paragraphe </w:t>
      </w:r>
      <w:r w:rsidRPr="00F15147">
        <w:rPr>
          <w:lang w:val="fr-CH"/>
        </w:rPr>
        <w:t>2 de l’article 20 du Pacte. » (</w:t>
      </w:r>
      <w:proofErr w:type="gramStart"/>
      <w:r w:rsidRPr="00F15147">
        <w:rPr>
          <w:lang w:val="fr-CH"/>
        </w:rPr>
        <w:t>par</w:t>
      </w:r>
      <w:proofErr w:type="gramEnd"/>
      <w:r w:rsidRPr="00F15147">
        <w:rPr>
          <w:lang w:val="fr-CH"/>
        </w:rPr>
        <w:t xml:space="preserve">. </w:t>
      </w:r>
      <w:proofErr w:type="spellStart"/>
      <w:r w:rsidRPr="00F15147">
        <w:rPr>
          <w:lang w:val="fr-CH"/>
        </w:rPr>
        <w:t>8.b</w:t>
      </w:r>
      <w:proofErr w:type="spellEnd"/>
      <w:r w:rsidRPr="00F15147">
        <w:rPr>
          <w:lang w:val="fr-CH"/>
        </w:rPr>
        <w:t xml:space="preserve">) La jurisprudence de la Cour européenne offre évidemment de nombreux autres exemples, dans lesquels la Cour examine soigneusement la qualification des propos litigieux opérée par le juge national avant de conclure à l’absence de violation de l’article 10 de la Convention. V. par ex. parmi beaucoup d’autres la décision rendue </w:t>
      </w:r>
      <w:r>
        <w:rPr>
          <w:lang w:val="fr-CH"/>
        </w:rPr>
        <w:t>dans l’affaire M’Bala M’Bala c. </w:t>
      </w:r>
      <w:r w:rsidRPr="00F15147">
        <w:rPr>
          <w:lang w:val="fr-CH"/>
        </w:rPr>
        <w:t xml:space="preserve">France, </w:t>
      </w:r>
      <w:proofErr w:type="spellStart"/>
      <w:r w:rsidRPr="00F15147">
        <w:rPr>
          <w:lang w:val="fr-CH"/>
        </w:rPr>
        <w:t>req</w:t>
      </w:r>
      <w:proofErr w:type="spellEnd"/>
      <w:r w:rsidRPr="00F15147">
        <w:rPr>
          <w:lang w:val="fr-CH"/>
        </w:rPr>
        <w:t>. n</w:t>
      </w:r>
      <w:r w:rsidRPr="00F15147">
        <w:rPr>
          <w:vertAlign w:val="superscript"/>
          <w:lang w:val="fr-CH"/>
        </w:rPr>
        <w:t>o</w:t>
      </w:r>
      <w:r w:rsidRPr="00F15147">
        <w:rPr>
          <w:lang w:val="fr-CH"/>
        </w:rPr>
        <w:t xml:space="preserve"> 25239/13, 20 octobre 2015, dans laquelle la Cour examine minutieusement les motifs des juridictions internes et juge que leurs constats sont fondés « sur une appréciation des faits qu’elle peut partager » (§ 35) ; ou encore dans l’affaire </w:t>
      </w:r>
      <w:proofErr w:type="spellStart"/>
      <w:r w:rsidRPr="00F15147">
        <w:rPr>
          <w:lang w:val="fr-CH"/>
        </w:rPr>
        <w:t>Feret</w:t>
      </w:r>
      <w:proofErr w:type="spellEnd"/>
      <w:r w:rsidRPr="00F15147">
        <w:rPr>
          <w:lang w:val="fr-CH"/>
        </w:rPr>
        <w:t xml:space="preserve"> c. Belgique (op. </w:t>
      </w:r>
      <w:proofErr w:type="spellStart"/>
      <w:r w:rsidRPr="00F15147">
        <w:rPr>
          <w:lang w:val="fr-CH"/>
        </w:rPr>
        <w:t>cit</w:t>
      </w:r>
      <w:proofErr w:type="spellEnd"/>
      <w:r w:rsidRPr="00F15147">
        <w:rPr>
          <w:lang w:val="fr-CH"/>
        </w:rPr>
        <w:t>.), particulièrement pertinente dans le cas d’espèce, puisqu’elle concernait les propos tenus</w:t>
      </w:r>
      <w:r>
        <w:rPr>
          <w:lang w:val="fr-CH"/>
        </w:rPr>
        <w:t xml:space="preserve"> par une personnalité politique </w:t>
      </w:r>
      <w:r w:rsidRPr="00F15147">
        <w:rPr>
          <w:lang w:val="fr-CH"/>
        </w:rPr>
        <w:t>: la Cour « a examiné les textes litigieux divulgués par le requérant et considère que les conclusions des juridictions internes concernant ces publications étaient pleinement justifiées. »</w:t>
      </w:r>
    </w:p>
  </w:footnote>
  <w:footnote w:id="60">
    <w:p w:rsidR="00006840" w:rsidRPr="00CD1B51" w:rsidRDefault="00006840" w:rsidP="00834718">
      <w:pPr>
        <w:pStyle w:val="a6"/>
        <w:spacing w:after="0" w:line="220" w:lineRule="exact"/>
        <w:rPr>
          <w:lang w:val="fr-CH"/>
        </w:rPr>
      </w:pPr>
      <w:r w:rsidRPr="00494FAA">
        <w:rPr>
          <w:lang w:val="fr-CH"/>
        </w:rPr>
        <w:tab/>
      </w:r>
      <w:r>
        <w:rPr>
          <w:rStyle w:val="a7"/>
        </w:rPr>
        <w:footnoteRef/>
      </w:r>
      <w:r w:rsidRPr="00CD1B51">
        <w:rPr>
          <w:lang w:val="fr-CH"/>
        </w:rPr>
        <w:tab/>
      </w:r>
      <w:r w:rsidRPr="00F15147">
        <w:rPr>
          <w:lang w:val="fr-CH"/>
        </w:rPr>
        <w:t xml:space="preserve">V. par ex. l’affaire Patrick Coleman c. Australie, </w:t>
      </w:r>
      <w:proofErr w:type="spellStart"/>
      <w:r w:rsidRPr="00F15147">
        <w:rPr>
          <w:lang w:val="fr-CH"/>
        </w:rPr>
        <w:t>comm</w:t>
      </w:r>
      <w:proofErr w:type="spellEnd"/>
      <w:r w:rsidRPr="00F15147">
        <w:rPr>
          <w:lang w:val="fr-CH"/>
        </w:rPr>
        <w:t xml:space="preserve">. </w:t>
      </w:r>
      <w:r>
        <w:rPr>
          <w:lang w:val="fr-CH"/>
        </w:rPr>
        <w:t>n</w:t>
      </w:r>
      <w:r w:rsidRPr="00F52792">
        <w:rPr>
          <w:vertAlign w:val="superscript"/>
          <w:lang w:val="fr-CH"/>
        </w:rPr>
        <w:t>o</w:t>
      </w:r>
      <w:r>
        <w:rPr>
          <w:lang w:val="fr-CH"/>
        </w:rPr>
        <w:t> 1157/2003, 17 juillet 2006 : la </w:t>
      </w:r>
      <w:r w:rsidRPr="00F15147">
        <w:rPr>
          <w:lang w:val="fr-CH"/>
        </w:rPr>
        <w:t xml:space="preserve">condamnation par une </w:t>
      </w:r>
      <w:proofErr w:type="spellStart"/>
      <w:r w:rsidRPr="00F15147">
        <w:rPr>
          <w:lang w:val="fr-CH"/>
        </w:rPr>
        <w:t>Magistrates</w:t>
      </w:r>
      <w:proofErr w:type="spellEnd"/>
      <w:r w:rsidRPr="00F15147">
        <w:rPr>
          <w:lang w:val="fr-CH"/>
        </w:rPr>
        <w:t xml:space="preserve"> Court de l’auteur pour avoir prononcé un discours dans un lieu public sans permission est confirmée par les juridictions supérieures, notamment la Cour d’appel qui a estimé que l’arrêté sur la base duquel l’auteur avait été condamné avait pour « objet légitime d’éviter aux usagers de la petite galerie piétonne de subir des discours publics et qu’il était raisonnablement approprié et adapté à cette fin étant donné qu’il s’appliquait à “un périmètre très restreint, ce qui laissait suffisamment d’autres espaces où tenir de tels discours. » (</w:t>
      </w:r>
      <w:proofErr w:type="gramStart"/>
      <w:r w:rsidRPr="00F15147">
        <w:rPr>
          <w:lang w:val="fr-CH"/>
        </w:rPr>
        <w:t>par</w:t>
      </w:r>
      <w:proofErr w:type="gramEnd"/>
      <w:r w:rsidRPr="00F15147">
        <w:rPr>
          <w:lang w:val="fr-CH"/>
        </w:rPr>
        <w:t xml:space="preserve">. 2.3.) Ceci n’a pourtant pas empêché, à la suite </w:t>
      </w:r>
      <w:proofErr w:type="gramStart"/>
      <w:r w:rsidRPr="00F15147">
        <w:rPr>
          <w:lang w:val="fr-CH"/>
        </w:rPr>
        <w:t>d’un</w:t>
      </w:r>
      <w:proofErr w:type="gramEnd"/>
      <w:r w:rsidRPr="00F15147">
        <w:rPr>
          <w:lang w:val="fr-CH"/>
        </w:rPr>
        <w:t xml:space="preserve"> évaluation détaillée des propos de l’auteur et des circonstances dans lesquelles ceux-ci avaient été tenus, de considérer que « la réaction de l’Etat partie face au comportement de l’auteur a été disproportionné et a constitué une restriction à la liberté d’expression de celui-ci qui est incompatible avec le paragraphe 3 de l’article 19 du Pacte. » (</w:t>
      </w:r>
      <w:proofErr w:type="gramStart"/>
      <w:r w:rsidRPr="00F15147">
        <w:rPr>
          <w:lang w:val="fr-CH"/>
        </w:rPr>
        <w:t>par</w:t>
      </w:r>
      <w:proofErr w:type="gramEnd"/>
      <w:r w:rsidRPr="00F15147">
        <w:rPr>
          <w:lang w:val="fr-CH"/>
        </w:rPr>
        <w:t>. 7.3.)</w:t>
      </w:r>
    </w:p>
  </w:footnote>
  <w:footnote w:id="61">
    <w:p w:rsidR="00006840" w:rsidRPr="00CD1B51" w:rsidRDefault="00006840" w:rsidP="00834718">
      <w:pPr>
        <w:pStyle w:val="a6"/>
        <w:spacing w:after="0" w:line="220" w:lineRule="exact"/>
        <w:rPr>
          <w:lang w:val="fr-CH"/>
        </w:rPr>
      </w:pPr>
      <w:r w:rsidRPr="00E5388B">
        <w:rPr>
          <w:lang w:val="fr-CH"/>
        </w:rPr>
        <w:tab/>
      </w:r>
      <w:r>
        <w:rPr>
          <w:rStyle w:val="a7"/>
        </w:rPr>
        <w:footnoteRef/>
      </w:r>
      <w:r w:rsidRPr="00CD1B51">
        <w:rPr>
          <w:lang w:val="fr-CH"/>
        </w:rPr>
        <w:tab/>
      </w:r>
      <w:r w:rsidRPr="00F15147">
        <w:rPr>
          <w:lang w:val="fr-CH"/>
        </w:rPr>
        <w:t xml:space="preserve">Observation générale </w:t>
      </w:r>
      <w:r>
        <w:rPr>
          <w:lang w:val="fr-CH"/>
        </w:rPr>
        <w:t>n</w:t>
      </w:r>
      <w:r w:rsidRPr="00F52792">
        <w:rPr>
          <w:vertAlign w:val="superscript"/>
          <w:lang w:val="fr-CH"/>
        </w:rPr>
        <w:t>o</w:t>
      </w:r>
      <w:r>
        <w:rPr>
          <w:lang w:val="fr-CH"/>
        </w:rPr>
        <w:t> </w:t>
      </w:r>
      <w:r w:rsidRPr="00F15147">
        <w:rPr>
          <w:lang w:val="fr-CH"/>
        </w:rPr>
        <w:t>32, Article 14 : Droit à l’égalité devant les tribu</w:t>
      </w:r>
      <w:r>
        <w:rPr>
          <w:lang w:val="fr-CH"/>
        </w:rPr>
        <w:t>naux et les cours de justice et </w:t>
      </w:r>
      <w:r w:rsidRPr="00F15147">
        <w:rPr>
          <w:lang w:val="fr-CH"/>
        </w:rPr>
        <w:t>à un procès équitable, § 26.</w:t>
      </w:r>
    </w:p>
  </w:footnote>
  <w:footnote w:id="62">
    <w:p w:rsidR="00006840" w:rsidRPr="00CD1B51" w:rsidRDefault="00006840" w:rsidP="00834718">
      <w:pPr>
        <w:pStyle w:val="a6"/>
        <w:spacing w:after="0" w:line="220" w:lineRule="exact"/>
        <w:rPr>
          <w:lang w:val="fr-CH"/>
        </w:rPr>
      </w:pPr>
      <w:r w:rsidRPr="00F52792">
        <w:rPr>
          <w:lang w:val="fr-CH"/>
        </w:rPr>
        <w:tab/>
      </w:r>
      <w:r>
        <w:rPr>
          <w:rStyle w:val="a7"/>
        </w:rPr>
        <w:footnoteRef/>
      </w:r>
      <w:r w:rsidRPr="00CD1B51">
        <w:rPr>
          <w:lang w:val="fr-CH"/>
        </w:rPr>
        <w:tab/>
      </w:r>
      <w:r w:rsidRPr="00F15147">
        <w:rPr>
          <w:lang w:val="fr-CH"/>
        </w:rPr>
        <w:t xml:space="preserve">Observation générale </w:t>
      </w:r>
      <w:r>
        <w:rPr>
          <w:lang w:val="fr-CH"/>
        </w:rPr>
        <w:t>n</w:t>
      </w:r>
      <w:r w:rsidRPr="00F52792">
        <w:rPr>
          <w:vertAlign w:val="superscript"/>
          <w:lang w:val="fr-CH"/>
        </w:rPr>
        <w:t>o</w:t>
      </w:r>
      <w:r>
        <w:rPr>
          <w:lang w:val="fr-CH"/>
        </w:rPr>
        <w:t> </w:t>
      </w:r>
      <w:r w:rsidRPr="00F15147">
        <w:rPr>
          <w:lang w:val="fr-CH"/>
        </w:rPr>
        <w:t>34, Art. 19 : Liberté d’opinion e</w:t>
      </w:r>
      <w:r>
        <w:rPr>
          <w:lang w:val="fr-CH"/>
        </w:rPr>
        <w:t>t liberté d’expression, 2011, § </w:t>
      </w:r>
      <w:r w:rsidRPr="00F15147">
        <w:rPr>
          <w:lang w:val="fr-CH"/>
        </w:rPr>
        <w:t>36.</w:t>
      </w:r>
    </w:p>
  </w:footnote>
  <w:footnote w:id="63">
    <w:p w:rsidR="00006840" w:rsidRPr="0079556D" w:rsidRDefault="00006840" w:rsidP="00834718">
      <w:pPr>
        <w:pStyle w:val="a6"/>
        <w:spacing w:after="0" w:line="220" w:lineRule="exact"/>
        <w:rPr>
          <w:lang w:val="fr-CH"/>
        </w:rPr>
      </w:pPr>
      <w:r w:rsidRPr="00F52792">
        <w:rPr>
          <w:lang w:val="fr-CH"/>
        </w:rPr>
        <w:tab/>
      </w:r>
      <w:r>
        <w:rPr>
          <w:rStyle w:val="a7"/>
        </w:rPr>
        <w:footnoteRef/>
      </w:r>
      <w:r w:rsidRPr="00E5388B">
        <w:rPr>
          <w:lang w:val="fr-CH"/>
        </w:rPr>
        <w:tab/>
      </w:r>
      <w:r w:rsidRPr="00F15147">
        <w:rPr>
          <w:lang w:val="fr-CH"/>
        </w:rPr>
        <w:t>Constatations, par. 3.1., b).</w:t>
      </w:r>
    </w:p>
  </w:footnote>
  <w:footnote w:id="64">
    <w:p w:rsidR="00006840" w:rsidRPr="0079556D" w:rsidRDefault="00006840" w:rsidP="00834718">
      <w:pPr>
        <w:pStyle w:val="a6"/>
        <w:spacing w:after="0" w:line="220" w:lineRule="exact"/>
        <w:rPr>
          <w:lang w:val="fr-CH"/>
        </w:rPr>
      </w:pPr>
      <w:r w:rsidRPr="00E5388B">
        <w:rPr>
          <w:lang w:val="fr-CH"/>
        </w:rPr>
        <w:tab/>
      </w:r>
      <w:r>
        <w:rPr>
          <w:rStyle w:val="a7"/>
        </w:rPr>
        <w:footnoteRef/>
      </w:r>
      <w:r w:rsidRPr="00E5388B">
        <w:rPr>
          <w:lang w:val="fr-CH"/>
        </w:rPr>
        <w:tab/>
      </w:r>
      <w:r w:rsidRPr="00F15147">
        <w:rPr>
          <w:lang w:val="fr-CH"/>
        </w:rPr>
        <w:t>Id., par. 2.7., a)-4).</w:t>
      </w:r>
    </w:p>
  </w:footnote>
  <w:footnote w:id="65">
    <w:p w:rsidR="00006840" w:rsidRPr="0079556D" w:rsidRDefault="00006840" w:rsidP="00834718">
      <w:pPr>
        <w:pStyle w:val="a6"/>
        <w:spacing w:after="0" w:line="220" w:lineRule="exact"/>
        <w:rPr>
          <w:lang w:val="fr-CH"/>
        </w:rPr>
      </w:pPr>
      <w:r w:rsidRPr="00E5388B">
        <w:rPr>
          <w:lang w:val="fr-CH"/>
        </w:rPr>
        <w:tab/>
      </w:r>
      <w:r>
        <w:rPr>
          <w:rStyle w:val="a7"/>
        </w:rPr>
        <w:footnoteRef/>
      </w:r>
      <w:r w:rsidRPr="00E5388B">
        <w:rPr>
          <w:lang w:val="fr-CH"/>
        </w:rPr>
        <w:tab/>
      </w:r>
      <w:r w:rsidRPr="00F15147">
        <w:rPr>
          <w:lang w:val="fr-CH"/>
        </w:rPr>
        <w:t>Ibid., par. 2.7., a)-7).</w:t>
      </w:r>
    </w:p>
  </w:footnote>
  <w:footnote w:id="66">
    <w:p w:rsidR="00006840" w:rsidRPr="0079556D" w:rsidRDefault="00006840" w:rsidP="00834718">
      <w:pPr>
        <w:pStyle w:val="a6"/>
        <w:spacing w:after="0" w:line="220" w:lineRule="exact"/>
        <w:rPr>
          <w:lang w:val="fr-CH"/>
        </w:rPr>
      </w:pPr>
      <w:r w:rsidRPr="00E5388B">
        <w:rPr>
          <w:lang w:val="fr-CH"/>
        </w:rPr>
        <w:tab/>
      </w:r>
      <w:r>
        <w:rPr>
          <w:rStyle w:val="a7"/>
        </w:rPr>
        <w:footnoteRef/>
      </w:r>
      <w:r w:rsidRPr="00E5388B">
        <w:rPr>
          <w:lang w:val="fr-CH"/>
        </w:rPr>
        <w:tab/>
      </w:r>
      <w:r w:rsidRPr="00F15147">
        <w:rPr>
          <w:lang w:val="fr-CH"/>
        </w:rPr>
        <w:t>Ibid., par. 2.7., c)-11).</w:t>
      </w:r>
    </w:p>
  </w:footnote>
  <w:footnote w:id="67">
    <w:p w:rsidR="00006840" w:rsidRPr="0079556D" w:rsidRDefault="00006840" w:rsidP="00834718">
      <w:pPr>
        <w:pStyle w:val="a6"/>
        <w:spacing w:after="0" w:line="220" w:lineRule="exact"/>
        <w:rPr>
          <w:lang w:val="fr-CH"/>
        </w:rPr>
      </w:pPr>
      <w:r w:rsidRPr="00E5388B">
        <w:rPr>
          <w:lang w:val="fr-CH"/>
        </w:rPr>
        <w:tab/>
      </w:r>
      <w:r>
        <w:rPr>
          <w:rStyle w:val="a7"/>
        </w:rPr>
        <w:footnoteRef/>
      </w:r>
      <w:r w:rsidRPr="0079556D">
        <w:rPr>
          <w:lang w:val="fr-CH"/>
        </w:rPr>
        <w:tab/>
      </w:r>
      <w:r w:rsidRPr="00F15147">
        <w:rPr>
          <w:lang w:val="fr-CH"/>
        </w:rPr>
        <w:t xml:space="preserve">La chambre de première instance du Tribunal pénal international pour le Rwanda saisie de l’Affaire des </w:t>
      </w:r>
      <w:proofErr w:type="spellStart"/>
      <w:r w:rsidRPr="00F15147">
        <w:rPr>
          <w:lang w:val="fr-CH"/>
        </w:rPr>
        <w:t>Médias</w:t>
      </w:r>
      <w:proofErr w:type="spellEnd"/>
      <w:r w:rsidRPr="00F15147">
        <w:rPr>
          <w:lang w:val="fr-CH"/>
        </w:rPr>
        <w:t xml:space="preserve"> a bien saisi la nature de ce type de discours dans le passage suivant de son jugement : « Un discours de haine constitue une forme discriminatoire d’agression qui anéantit la dignité des membres du groupe visé. Il crée un statut inférieur, non seulement aux yeux des membres du groupe proprement dit mais également des autres qui les regardent et les traitent comme moins qu’humains. Envisagé en soi et en ses autres conséquences, le dénigrement de personnes en raison de leur identité ethnique ou de leur appartenance à tel autre groupe peut causer un tort irréversible. » Le Procureur c. Ferdinand </w:t>
      </w:r>
      <w:proofErr w:type="spellStart"/>
      <w:r w:rsidRPr="00F15147">
        <w:rPr>
          <w:lang w:val="fr-CH"/>
        </w:rPr>
        <w:t>Nahimana</w:t>
      </w:r>
      <w:proofErr w:type="spellEnd"/>
      <w:r w:rsidRPr="00F15147">
        <w:rPr>
          <w:lang w:val="fr-CH"/>
        </w:rPr>
        <w:t xml:space="preserve">, Jean-Bosco </w:t>
      </w:r>
      <w:proofErr w:type="spellStart"/>
      <w:r w:rsidRPr="00F15147">
        <w:rPr>
          <w:lang w:val="fr-CH"/>
        </w:rPr>
        <w:t>Barayagwiza</w:t>
      </w:r>
      <w:proofErr w:type="spellEnd"/>
      <w:r w:rsidRPr="00F15147">
        <w:rPr>
          <w:lang w:val="fr-CH"/>
        </w:rPr>
        <w:t xml:space="preserve"> et Hassan </w:t>
      </w:r>
      <w:proofErr w:type="spellStart"/>
      <w:r w:rsidRPr="00F15147">
        <w:rPr>
          <w:lang w:val="fr-CH"/>
        </w:rPr>
        <w:t>Ngeze</w:t>
      </w:r>
      <w:proofErr w:type="spellEnd"/>
      <w:r w:rsidRPr="00F15147">
        <w:rPr>
          <w:lang w:val="fr-CH"/>
        </w:rPr>
        <w:t>, affaire n</w:t>
      </w:r>
      <w:r w:rsidRPr="00F15147">
        <w:rPr>
          <w:vertAlign w:val="superscript"/>
          <w:lang w:val="fr-CH"/>
        </w:rPr>
        <w:t>o</w:t>
      </w:r>
      <w:r w:rsidRPr="00F15147">
        <w:rPr>
          <w:lang w:val="fr-CH"/>
        </w:rPr>
        <w:t> </w:t>
      </w:r>
      <w:proofErr w:type="spellStart"/>
      <w:r w:rsidRPr="00F15147">
        <w:rPr>
          <w:lang w:val="fr-CH"/>
        </w:rPr>
        <w:t>ICTR</w:t>
      </w:r>
      <w:proofErr w:type="spellEnd"/>
      <w:r w:rsidRPr="00F15147">
        <w:rPr>
          <w:lang w:val="fr-CH"/>
        </w:rPr>
        <w:t xml:space="preserve">-99-52-T, jugement et sentence, 3 décembre 2003, § 1072. Sur le discours de haine comme violation du droit à la dignité, v. notamment </w:t>
      </w:r>
      <w:proofErr w:type="spellStart"/>
      <w:r w:rsidRPr="00F15147">
        <w:rPr>
          <w:lang w:val="fr-CH"/>
        </w:rPr>
        <w:t>Wibke</w:t>
      </w:r>
      <w:proofErr w:type="spellEnd"/>
      <w:r w:rsidRPr="00F15147">
        <w:rPr>
          <w:lang w:val="fr-CH"/>
        </w:rPr>
        <w:t xml:space="preserve"> K. </w:t>
      </w:r>
      <w:proofErr w:type="spellStart"/>
      <w:r w:rsidRPr="00F15147">
        <w:rPr>
          <w:lang w:val="fr-CH"/>
        </w:rPr>
        <w:t>Timmermann</w:t>
      </w:r>
      <w:proofErr w:type="spellEnd"/>
      <w:r w:rsidRPr="00F15147">
        <w:rPr>
          <w:lang w:val="fr-CH"/>
        </w:rPr>
        <w:t xml:space="preserve">, </w:t>
      </w:r>
      <w:proofErr w:type="spellStart"/>
      <w:r w:rsidRPr="00F15147">
        <w:rPr>
          <w:lang w:val="fr-CH"/>
        </w:rPr>
        <w:t>Incitement</w:t>
      </w:r>
      <w:proofErr w:type="spellEnd"/>
      <w:r w:rsidRPr="00F15147">
        <w:rPr>
          <w:lang w:val="fr-CH"/>
        </w:rPr>
        <w:t xml:space="preserve"> in International Law, </w:t>
      </w:r>
      <w:proofErr w:type="spellStart"/>
      <w:r w:rsidRPr="00F15147">
        <w:rPr>
          <w:lang w:val="fr-CH"/>
        </w:rPr>
        <w:t>Routledge</w:t>
      </w:r>
      <w:proofErr w:type="spellEnd"/>
      <w:r w:rsidRPr="00F15147">
        <w:rPr>
          <w:lang w:val="fr-CH"/>
        </w:rPr>
        <w:t>, 2015, pp. 39-53.</w:t>
      </w:r>
    </w:p>
  </w:footnote>
  <w:footnote w:id="68">
    <w:p w:rsidR="00006840" w:rsidRPr="0079556D" w:rsidRDefault="00006840" w:rsidP="00834718">
      <w:pPr>
        <w:pStyle w:val="a6"/>
        <w:spacing w:after="0" w:line="220" w:lineRule="exact"/>
        <w:rPr>
          <w:lang w:val="fr-CH"/>
        </w:rPr>
      </w:pPr>
      <w:r w:rsidRPr="00E5388B">
        <w:rPr>
          <w:lang w:val="fr-CH"/>
        </w:rPr>
        <w:tab/>
      </w:r>
      <w:r>
        <w:rPr>
          <w:rStyle w:val="a7"/>
        </w:rPr>
        <w:footnoteRef/>
      </w:r>
      <w:r w:rsidRPr="00E5388B">
        <w:rPr>
          <w:lang w:val="fr-CH"/>
        </w:rPr>
        <w:tab/>
      </w:r>
      <w:r w:rsidRPr="00F15147">
        <w:rPr>
          <w:lang w:val="fr-CH"/>
        </w:rPr>
        <w:t>Ibid., par. 2.7., a).</w:t>
      </w:r>
    </w:p>
  </w:footnote>
  <w:footnote w:id="69">
    <w:p w:rsidR="00006840" w:rsidRPr="0079556D" w:rsidRDefault="00006840" w:rsidP="00834718">
      <w:pPr>
        <w:pStyle w:val="a6"/>
        <w:spacing w:after="0" w:line="220" w:lineRule="exact"/>
        <w:rPr>
          <w:lang w:val="fr-CH"/>
        </w:rPr>
      </w:pPr>
      <w:r>
        <w:rPr>
          <w:lang w:val="fr-CH"/>
        </w:rPr>
        <w:tab/>
      </w:r>
      <w:r>
        <w:rPr>
          <w:rStyle w:val="a7"/>
        </w:rPr>
        <w:footnoteRef/>
      </w:r>
      <w:r>
        <w:rPr>
          <w:lang w:val="fr-CH"/>
        </w:rPr>
        <w:tab/>
      </w:r>
      <w:r w:rsidRPr="00F15147">
        <w:rPr>
          <w:lang w:val="fr-CH"/>
        </w:rPr>
        <w:t xml:space="preserve">V. notamment les observations finales du </w:t>
      </w:r>
      <w:proofErr w:type="spellStart"/>
      <w:r w:rsidRPr="00F15147">
        <w:rPr>
          <w:lang w:val="fr-CH"/>
        </w:rPr>
        <w:t>CERD</w:t>
      </w:r>
      <w:proofErr w:type="spellEnd"/>
      <w:r w:rsidRPr="00F15147">
        <w:rPr>
          <w:lang w:val="fr-CH"/>
        </w:rPr>
        <w:t xml:space="preserve"> sur les Pays-Bas (2015), § 11.</w:t>
      </w:r>
    </w:p>
  </w:footnote>
  <w:footnote w:id="70">
    <w:p w:rsidR="00006840" w:rsidRPr="0079556D" w:rsidRDefault="00006840" w:rsidP="00834718">
      <w:pPr>
        <w:pStyle w:val="a6"/>
        <w:spacing w:after="0" w:line="220" w:lineRule="exact"/>
        <w:rPr>
          <w:lang w:val="fr-CH"/>
        </w:rPr>
      </w:pPr>
      <w:r w:rsidRPr="00E5388B">
        <w:rPr>
          <w:lang w:val="fr-CH"/>
        </w:rPr>
        <w:tab/>
      </w:r>
      <w:r>
        <w:rPr>
          <w:rStyle w:val="a7"/>
        </w:rPr>
        <w:footnoteRef/>
      </w:r>
      <w:r w:rsidRPr="0079556D">
        <w:rPr>
          <w:lang w:val="fr-CH"/>
        </w:rPr>
        <w:tab/>
      </w:r>
      <w:r w:rsidRPr="00F15147">
        <w:rPr>
          <w:lang w:val="fr-CH"/>
        </w:rPr>
        <w:t xml:space="preserve">La jurisprudence de la Cour européenne et la pratique de la plupart </w:t>
      </w:r>
      <w:r>
        <w:rPr>
          <w:lang w:val="fr-CH"/>
        </w:rPr>
        <w:t>des pays d’Europe établit que « </w:t>
      </w:r>
      <w:r w:rsidRPr="00F15147">
        <w:rPr>
          <w:lang w:val="fr-CH"/>
        </w:rPr>
        <w:t xml:space="preserve">l’incitation à la haine ne requiert pas nécessairement l’appel à tel ou tel acte de violence ou à un autre acte délictueux. » (arrêt </w:t>
      </w:r>
      <w:proofErr w:type="spellStart"/>
      <w:r w:rsidRPr="00F15147">
        <w:rPr>
          <w:lang w:val="fr-CH"/>
        </w:rPr>
        <w:t>Feret</w:t>
      </w:r>
      <w:proofErr w:type="spellEnd"/>
      <w:r w:rsidRPr="00F15147">
        <w:rPr>
          <w:lang w:val="fr-CH"/>
        </w:rPr>
        <w:t xml:space="preserve"> c. Belgique, op. </w:t>
      </w:r>
      <w:proofErr w:type="spellStart"/>
      <w:proofErr w:type="gramStart"/>
      <w:r w:rsidRPr="00F15147">
        <w:rPr>
          <w:lang w:val="fr-CH"/>
        </w:rPr>
        <w:t>cit</w:t>
      </w:r>
      <w:proofErr w:type="spellEnd"/>
      <w:r w:rsidRPr="00F15147">
        <w:rPr>
          <w:lang w:val="fr-CH"/>
        </w:rPr>
        <w:t>.,</w:t>
      </w:r>
      <w:proofErr w:type="gramEnd"/>
      <w:r w:rsidRPr="00F15147">
        <w:rPr>
          <w:lang w:val="fr-CH"/>
        </w:rPr>
        <w:t xml:space="preserve"> par. 73). La Cour poursuit : « Les atteintes aux personnes commises en injuriant, en ridiculisant ou en diffamant certaines parties de la population et des groupes spécifiques de celle-ci ou l’incitation à la discrimination, comme cela a été le cas en l’espèce, suffisent pour que les autorités privilégient la lutte contre le discours raciste face à une liberté d’expression irresponsable et portant atteinte à la dignité, voire à la sécurité de ces parties ou de ces groupes de la population. Les discours politiques qui incitent à la haine fondée sur les préjugés religieux, ethniques ou culturels représentent un danger pour la paix sociale et la stabilité politique dans les Etats démocratiques. » Cette conception peut sans doute être opposée à celle qui prévaut aux Etats-Unis d’Amérique, telle qu’exprimée notamment par la Cour suprême dans l’affaire Virginia v. Black, 123 S. Ct. 1536 (2003) qui exige que « l’appel » à la haine soit accompagné d’une « incitation » à commettre des actes préjudiciables pour l’intégrité physique de la victime potentielle. Comme l’observe justement le professeur Patrick </w:t>
      </w:r>
      <w:proofErr w:type="spellStart"/>
      <w:r w:rsidRPr="00F15147">
        <w:rPr>
          <w:lang w:val="fr-CH"/>
        </w:rPr>
        <w:t>Wachsmann</w:t>
      </w:r>
      <w:proofErr w:type="spellEnd"/>
      <w:r w:rsidRPr="00F15147">
        <w:rPr>
          <w:lang w:val="fr-CH"/>
        </w:rPr>
        <w:t xml:space="preserve"> : « La différence radicale sur ce point entre les approches américaine et européenne tient sans doute au fait que les conséquences du discours raciste ont été tragiquement déployées sur le sol européen ; elles culminent dans la Shoah, l’extermination parachevant la stigmatisation, l’exclusion, l’humiliation et les sévices divers. L’argument qui tiendrait cette différence historique pour purement contingente, comme une donnée à éliminer du débat nous paraît inacceptable : on n’est jamais irrecevable, en matière de libertés publiques, à invoquer les données de l’expérience. » P. </w:t>
      </w:r>
      <w:proofErr w:type="spellStart"/>
      <w:r w:rsidRPr="00F15147">
        <w:rPr>
          <w:lang w:val="fr-CH"/>
        </w:rPr>
        <w:t>Wachsmann</w:t>
      </w:r>
      <w:proofErr w:type="spellEnd"/>
      <w:r w:rsidRPr="00F15147">
        <w:rPr>
          <w:lang w:val="fr-CH"/>
        </w:rPr>
        <w:t>, « Faut-il incriminer les discours de haine ? Le cas français. », Revue générale du droit, avril 2015, http://</w:t>
      </w:r>
      <w:proofErr w:type="spellStart"/>
      <w:r w:rsidRPr="00F15147">
        <w:rPr>
          <w:lang w:val="fr-CH"/>
        </w:rPr>
        <w:t>www.revuegenerale</w:t>
      </w:r>
      <w:proofErr w:type="spellEnd"/>
      <w:r>
        <w:rPr>
          <w:lang w:val="fr-CH"/>
        </w:rPr>
        <w:br/>
      </w:r>
      <w:r w:rsidRPr="00F15147">
        <w:rPr>
          <w:lang w:val="fr-CH"/>
        </w:rPr>
        <w:t>dudroit.eu/blog/2015/04/21/faut-il-incriminer-les-discours-de-haine-le-cas-francais/</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Default="00006840" w:rsidP="00E514C7">
    <w:pPr>
      <w:pStyle w:val="af0"/>
    </w:pPr>
    <w:proofErr w:type="spellStart"/>
    <w:r>
      <w:t>CCPR</w:t>
    </w:r>
    <w:proofErr w:type="spellEnd"/>
    <w:r>
      <w:t>/C/117/D/2124/2011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Pr="00202A30" w:rsidRDefault="00006840" w:rsidP="00E514C7">
    <w:pPr>
      <w:pStyle w:val="af0"/>
      <w:jc w:val="right"/>
    </w:pPr>
    <w:proofErr w:type="spellStart"/>
    <w:r>
      <w:t>CCPR</w:t>
    </w:r>
    <w:proofErr w:type="spellEnd"/>
    <w:r>
      <w:t>/C/117/D/2124/2011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Default="00006840">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Default="00006840" w:rsidP="00006840">
    <w:pPr>
      <w:pStyle w:val="af0"/>
    </w:pPr>
    <w:proofErr w:type="spellStart"/>
    <w:r>
      <w:t>CCPR</w:t>
    </w:r>
    <w:proofErr w:type="spellEnd"/>
    <w:r>
      <w:t>/C/117/D/2124/2011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Pr="00E152A1" w:rsidRDefault="00006840" w:rsidP="00006840">
    <w:pPr>
      <w:pStyle w:val="af0"/>
    </w:pPr>
    <w:proofErr w:type="spellStart"/>
    <w:r>
      <w:t>CCPR</w:t>
    </w:r>
    <w:proofErr w:type="spellEnd"/>
    <w:r>
      <w:t>/C/117/D/2124/2011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Pr="00E152A1" w:rsidRDefault="00006840" w:rsidP="00006840">
    <w:pPr>
      <w:pStyle w:val="af0"/>
      <w:jc w:val="right"/>
    </w:pPr>
    <w:proofErr w:type="spellStart"/>
    <w:r>
      <w:t>CCPR</w:t>
    </w:r>
    <w:proofErr w:type="spellEnd"/>
    <w:r>
      <w:t>/C/117/D/2124/2011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0" w:rsidRDefault="00006840" w:rsidP="00006840">
    <w:pPr>
      <w:pStyle w:val="af0"/>
      <w:jc w:val="right"/>
    </w:pPr>
    <w:proofErr w:type="spellStart"/>
    <w:r>
      <w:t>CCPR</w:t>
    </w:r>
    <w:proofErr w:type="spellEnd"/>
    <w:r>
      <w:t>/C/117/D/2124/2011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246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02D541F5"/>
    <w:multiLevelType w:val="hybridMultilevel"/>
    <w:tmpl w:val="E0A228C4"/>
    <w:lvl w:ilvl="0" w:tplc="61126B0E">
      <w:start w:val="1"/>
      <w:numFmt w:val="lowerRoman"/>
      <w:lvlText w:val="(%1)"/>
      <w:lvlJc w:val="left"/>
      <w:pPr>
        <w:ind w:left="1854" w:hanging="360"/>
      </w:pPr>
      <w:rPr>
        <w:rFonts w:ascii="Times New Roman" w:eastAsia="Times New Roman"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2DB1E03"/>
    <w:multiLevelType w:val="hybridMultilevel"/>
    <w:tmpl w:val="0B0AE214"/>
    <w:lvl w:ilvl="0" w:tplc="D5A8498E">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024AB0"/>
    <w:multiLevelType w:val="hybridMultilevel"/>
    <w:tmpl w:val="F796DB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239D7E14"/>
    <w:multiLevelType w:val="hybridMultilevel"/>
    <w:tmpl w:val="035666A2"/>
    <w:lvl w:ilvl="0" w:tplc="C2469168">
      <w:start w:val="1"/>
      <w:numFmt w:val="lowerRoman"/>
      <w:lvlText w:val="(%1)"/>
      <w:lvlJc w:val="left"/>
      <w:pPr>
        <w:ind w:left="1854" w:hanging="360"/>
      </w:pPr>
      <w:rPr>
        <w:rFonts w:ascii="Times New Roman" w:eastAsia="Times New Roman"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29014A66"/>
    <w:multiLevelType w:val="hybridMultilevel"/>
    <w:tmpl w:val="F7DE9B34"/>
    <w:lvl w:ilvl="0" w:tplc="2C96C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074A12"/>
    <w:multiLevelType w:val="hybridMultilevel"/>
    <w:tmpl w:val="A9C0B7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33406515"/>
    <w:multiLevelType w:val="hybridMultilevel"/>
    <w:tmpl w:val="2904ED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B520B91"/>
    <w:multiLevelType w:val="hybridMultilevel"/>
    <w:tmpl w:val="CCC06C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411C0BAF"/>
    <w:multiLevelType w:val="hybridMultilevel"/>
    <w:tmpl w:val="F54E32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435C6047"/>
    <w:multiLevelType w:val="hybridMultilevel"/>
    <w:tmpl w:val="7CF8B296"/>
    <w:lvl w:ilvl="0" w:tplc="04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B6C3951"/>
    <w:multiLevelType w:val="hybridMultilevel"/>
    <w:tmpl w:val="225EBE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CFA5801"/>
    <w:multiLevelType w:val="hybridMultilevel"/>
    <w:tmpl w:val="94E24D24"/>
    <w:lvl w:ilvl="0" w:tplc="BB38EF50">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58F04603"/>
    <w:multiLevelType w:val="hybridMultilevel"/>
    <w:tmpl w:val="0E8ED7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5A75764A"/>
    <w:multiLevelType w:val="hybridMultilevel"/>
    <w:tmpl w:val="A448EDE2"/>
    <w:lvl w:ilvl="0" w:tplc="0ECE36F4">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0506F6"/>
    <w:multiLevelType w:val="hybridMultilevel"/>
    <w:tmpl w:val="E5B4EE2E"/>
    <w:lvl w:ilvl="0" w:tplc="B8C27E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EB10085"/>
    <w:multiLevelType w:val="hybridMultilevel"/>
    <w:tmpl w:val="08F87A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5FA20476"/>
    <w:multiLevelType w:val="hybridMultilevel"/>
    <w:tmpl w:val="B3B0F6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34F0CCE"/>
    <w:multiLevelType w:val="hybridMultilevel"/>
    <w:tmpl w:val="D464B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9E718EF"/>
    <w:multiLevelType w:val="hybridMultilevel"/>
    <w:tmpl w:val="69706D1A"/>
    <w:lvl w:ilvl="0" w:tplc="024EDE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0FA7F87"/>
    <w:multiLevelType w:val="hybridMultilevel"/>
    <w:tmpl w:val="844E11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730318B6"/>
    <w:multiLevelType w:val="hybridMultilevel"/>
    <w:tmpl w:val="EAF43B3C"/>
    <w:lvl w:ilvl="0" w:tplc="29504B80">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C251E0"/>
    <w:multiLevelType w:val="hybridMultilevel"/>
    <w:tmpl w:val="D3BA2D88"/>
    <w:lvl w:ilvl="0" w:tplc="00A05CC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23"/>
  </w:num>
  <w:num w:numId="3">
    <w:abstractNumId w:val="6"/>
  </w:num>
  <w:num w:numId="4">
    <w:abstractNumId w:val="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
  </w:num>
  <w:num w:numId="9">
    <w:abstractNumId w:val="25"/>
  </w:num>
  <w:num w:numId="10">
    <w:abstractNumId w:val="22"/>
  </w:num>
  <w:num w:numId="11">
    <w:abstractNumId w:val="9"/>
  </w:num>
  <w:num w:numId="12">
    <w:abstractNumId w:val="0"/>
  </w:num>
  <w:num w:numId="13">
    <w:abstractNumId w:val="30"/>
  </w:num>
  <w:num w:numId="14">
    <w:abstractNumId w:val="11"/>
  </w:num>
  <w:num w:numId="15">
    <w:abstractNumId w:val="14"/>
  </w:num>
  <w:num w:numId="16">
    <w:abstractNumId w:val="15"/>
  </w:num>
  <w:num w:numId="17">
    <w:abstractNumId w:val="21"/>
  </w:num>
  <w:num w:numId="18">
    <w:abstractNumId w:val="2"/>
  </w:num>
  <w:num w:numId="19">
    <w:abstractNumId w:val="20"/>
  </w:num>
  <w:num w:numId="20">
    <w:abstractNumId w:val="12"/>
  </w:num>
  <w:num w:numId="21">
    <w:abstractNumId w:val="17"/>
  </w:num>
  <w:num w:numId="22">
    <w:abstractNumId w:val="13"/>
  </w:num>
  <w:num w:numId="23">
    <w:abstractNumId w:val="8"/>
  </w:num>
  <w:num w:numId="24">
    <w:abstractNumId w:val="7"/>
  </w:num>
  <w:num w:numId="25">
    <w:abstractNumId w:val="28"/>
  </w:num>
  <w:num w:numId="26">
    <w:abstractNumId w:val="10"/>
  </w:num>
  <w:num w:numId="27">
    <w:abstractNumId w:val="16"/>
  </w:num>
  <w:num w:numId="28">
    <w:abstractNumId w:val="27"/>
  </w:num>
  <w:num w:numId="29">
    <w:abstractNumId w:val="19"/>
  </w:num>
  <w:num w:numId="30">
    <w:abstractNumId w:val="18"/>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567"/>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1E"/>
    <w:rsid w:val="00006840"/>
    <w:rsid w:val="00011483"/>
    <w:rsid w:val="000571A7"/>
    <w:rsid w:val="000D319F"/>
    <w:rsid w:val="000E4D0E"/>
    <w:rsid w:val="000F5EB8"/>
    <w:rsid w:val="00144B69"/>
    <w:rsid w:val="00153E86"/>
    <w:rsid w:val="0016694B"/>
    <w:rsid w:val="00172E04"/>
    <w:rsid w:val="001B1BD1"/>
    <w:rsid w:val="001C3EF2"/>
    <w:rsid w:val="001D17F6"/>
    <w:rsid w:val="00204B42"/>
    <w:rsid w:val="0021265F"/>
    <w:rsid w:val="002231C3"/>
    <w:rsid w:val="0024417F"/>
    <w:rsid w:val="00250F8D"/>
    <w:rsid w:val="002A505D"/>
    <w:rsid w:val="002E1C97"/>
    <w:rsid w:val="002F5834"/>
    <w:rsid w:val="003006AB"/>
    <w:rsid w:val="0031159F"/>
    <w:rsid w:val="00326EBF"/>
    <w:rsid w:val="00327FE4"/>
    <w:rsid w:val="003333CC"/>
    <w:rsid w:val="003A1EB5"/>
    <w:rsid w:val="00427F63"/>
    <w:rsid w:val="00434D38"/>
    <w:rsid w:val="004801F3"/>
    <w:rsid w:val="00486B07"/>
    <w:rsid w:val="00494EB8"/>
    <w:rsid w:val="004C4A0A"/>
    <w:rsid w:val="004D0A00"/>
    <w:rsid w:val="004F348E"/>
    <w:rsid w:val="00501220"/>
    <w:rsid w:val="00523BCC"/>
    <w:rsid w:val="005B7B19"/>
    <w:rsid w:val="005D2190"/>
    <w:rsid w:val="005E403A"/>
    <w:rsid w:val="005E4086"/>
    <w:rsid w:val="00604D91"/>
    <w:rsid w:val="006257FE"/>
    <w:rsid w:val="00680656"/>
    <w:rsid w:val="006B1119"/>
    <w:rsid w:val="006D3757"/>
    <w:rsid w:val="006D37EB"/>
    <w:rsid w:val="006E3E46"/>
    <w:rsid w:val="006E71B1"/>
    <w:rsid w:val="006F1404"/>
    <w:rsid w:val="0070593B"/>
    <w:rsid w:val="00705D89"/>
    <w:rsid w:val="00726D1E"/>
    <w:rsid w:val="00731A42"/>
    <w:rsid w:val="00767E69"/>
    <w:rsid w:val="0077079A"/>
    <w:rsid w:val="00771504"/>
    <w:rsid w:val="007A5599"/>
    <w:rsid w:val="00834718"/>
    <w:rsid w:val="00856233"/>
    <w:rsid w:val="00860F27"/>
    <w:rsid w:val="00890059"/>
    <w:rsid w:val="008B0560"/>
    <w:rsid w:val="008B2BFA"/>
    <w:rsid w:val="008D31F4"/>
    <w:rsid w:val="008E6A3F"/>
    <w:rsid w:val="00923557"/>
    <w:rsid w:val="00936F03"/>
    <w:rsid w:val="00943B69"/>
    <w:rsid w:val="00944CB3"/>
    <w:rsid w:val="00986624"/>
    <w:rsid w:val="009B09D7"/>
    <w:rsid w:val="009D35ED"/>
    <w:rsid w:val="00A03CB6"/>
    <w:rsid w:val="00A1364C"/>
    <w:rsid w:val="00A21076"/>
    <w:rsid w:val="00A31BA8"/>
    <w:rsid w:val="00A3739A"/>
    <w:rsid w:val="00A52DAF"/>
    <w:rsid w:val="00A61D1E"/>
    <w:rsid w:val="00A84072"/>
    <w:rsid w:val="00AA24B7"/>
    <w:rsid w:val="00B16570"/>
    <w:rsid w:val="00B23B03"/>
    <w:rsid w:val="00B43EB7"/>
    <w:rsid w:val="00B53320"/>
    <w:rsid w:val="00B614C4"/>
    <w:rsid w:val="00BC6522"/>
    <w:rsid w:val="00BD2DF9"/>
    <w:rsid w:val="00C121D5"/>
    <w:rsid w:val="00C17349"/>
    <w:rsid w:val="00C351AA"/>
    <w:rsid w:val="00C70852"/>
    <w:rsid w:val="00C7253F"/>
    <w:rsid w:val="00C77BF3"/>
    <w:rsid w:val="00C90707"/>
    <w:rsid w:val="00CE1B61"/>
    <w:rsid w:val="00CE1D1C"/>
    <w:rsid w:val="00D26A05"/>
    <w:rsid w:val="00D9309B"/>
    <w:rsid w:val="00D97B98"/>
    <w:rsid w:val="00DC671F"/>
    <w:rsid w:val="00DE4DA7"/>
    <w:rsid w:val="00E02C13"/>
    <w:rsid w:val="00E33B38"/>
    <w:rsid w:val="00E442A1"/>
    <w:rsid w:val="00E47FE5"/>
    <w:rsid w:val="00E514C7"/>
    <w:rsid w:val="00E574AF"/>
    <w:rsid w:val="00EA7E67"/>
    <w:rsid w:val="00EC62E1"/>
    <w:rsid w:val="00F24E6D"/>
    <w:rsid w:val="00F3748E"/>
    <w:rsid w:val="00F714DA"/>
    <w:rsid w:val="00FB456B"/>
    <w:rsid w:val="00FE25F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qFormat="1"/>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CE1B61"/>
    <w:rPr>
      <w:rFonts w:ascii="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A31BA8"/>
    <w:rPr>
      <w:rFonts w:eastAsia="Times New Roman"/>
      <w:b/>
      <w:snapToGrid w:val="0"/>
      <w:sz w:val="18"/>
      <w:szCs w:val="18"/>
      <w:lang w:val="en-GB" w:eastAsia="en-US"/>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E514C7"/>
    <w:pPr>
      <w:tabs>
        <w:tab w:val="clear" w:pos="431"/>
      </w:tabs>
      <w:suppressAutoHyphens/>
      <w:overflowPunct/>
      <w:adjustRightInd/>
      <w:snapToGrid/>
      <w:spacing w:after="120" w:line="240" w:lineRule="atLeast"/>
      <w:ind w:left="1134" w:right="1134"/>
    </w:pPr>
    <w:rPr>
      <w:rFonts w:eastAsiaTheme="minorEastAsia"/>
      <w:snapToGrid/>
      <w:sz w:val="24"/>
      <w:szCs w:val="24"/>
      <w:lang w:val="x-none" w:eastAsia="en-US"/>
    </w:rPr>
  </w:style>
  <w:style w:type="character" w:customStyle="1" w:styleId="SingleTxtGChar">
    <w:name w:val="_ Single Txt_G Char"/>
    <w:link w:val="SingleTxtG"/>
    <w:rsid w:val="00E514C7"/>
    <w:rPr>
      <w:rFonts w:eastAsiaTheme="minorEastAsia"/>
      <w:sz w:val="24"/>
      <w:szCs w:val="24"/>
      <w:lang w:val="x-none" w:eastAsia="en-US"/>
    </w:rPr>
  </w:style>
  <w:style w:type="paragraph" w:customStyle="1" w:styleId="HMG">
    <w:name w:val="_ H __M_G"/>
    <w:basedOn w:val="a"/>
    <w:next w:val="a"/>
    <w:rsid w:val="00E514C7"/>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szCs w:val="24"/>
      <w:lang w:val="en-GB" w:eastAsia="en-US"/>
    </w:rPr>
  </w:style>
  <w:style w:type="paragraph" w:customStyle="1" w:styleId="HChG">
    <w:name w:val="_ H _Ch_G"/>
    <w:basedOn w:val="a"/>
    <w:next w:val="a"/>
    <w:rsid w:val="00E514C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szCs w:val="24"/>
      <w:lang w:val="en-GB" w:eastAsia="en-US"/>
    </w:rPr>
  </w:style>
  <w:style w:type="character" w:styleId="af5">
    <w:name w:val="Hyperlink"/>
    <w:semiHidden/>
    <w:rsid w:val="00E514C7"/>
    <w:rPr>
      <w:color w:val="auto"/>
      <w:u w:val="none"/>
    </w:rPr>
  </w:style>
  <w:style w:type="paragraph" w:customStyle="1" w:styleId="SMG">
    <w:name w:val="__S_M_G"/>
    <w:basedOn w:val="a"/>
    <w:next w:val="a"/>
    <w:rsid w:val="00E514C7"/>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szCs w:val="24"/>
      <w:lang w:val="en-GB" w:eastAsia="en-US"/>
    </w:rPr>
  </w:style>
  <w:style w:type="paragraph" w:customStyle="1" w:styleId="SLG">
    <w:name w:val="__S_L_G"/>
    <w:basedOn w:val="a"/>
    <w:next w:val="a"/>
    <w:rsid w:val="00E514C7"/>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szCs w:val="24"/>
      <w:lang w:val="en-GB" w:eastAsia="en-US"/>
    </w:rPr>
  </w:style>
  <w:style w:type="paragraph" w:customStyle="1" w:styleId="SSG">
    <w:name w:val="__S_S_G"/>
    <w:basedOn w:val="a"/>
    <w:next w:val="a"/>
    <w:rsid w:val="00E514C7"/>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szCs w:val="24"/>
      <w:lang w:val="en-GB" w:eastAsia="en-US"/>
    </w:rPr>
  </w:style>
  <w:style w:type="paragraph" w:customStyle="1" w:styleId="XLargeG">
    <w:name w:val="__XLarge_G"/>
    <w:basedOn w:val="a"/>
    <w:next w:val="a"/>
    <w:rsid w:val="00E514C7"/>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szCs w:val="24"/>
      <w:lang w:val="en-GB" w:eastAsia="en-US"/>
    </w:rPr>
  </w:style>
  <w:style w:type="paragraph" w:customStyle="1" w:styleId="Bullet1G">
    <w:name w:val="_Bullet 1_G"/>
    <w:basedOn w:val="a"/>
    <w:rsid w:val="00E514C7"/>
    <w:pPr>
      <w:numPr>
        <w:numId w:val="8"/>
      </w:numPr>
      <w:tabs>
        <w:tab w:val="clear" w:pos="431"/>
      </w:tabs>
      <w:suppressAutoHyphens/>
      <w:overflowPunct/>
      <w:adjustRightInd/>
      <w:snapToGrid/>
      <w:spacing w:after="120" w:line="240" w:lineRule="atLeast"/>
      <w:ind w:right="1134"/>
    </w:pPr>
    <w:rPr>
      <w:rFonts w:eastAsiaTheme="minorEastAsia"/>
      <w:snapToGrid/>
      <w:sz w:val="24"/>
      <w:szCs w:val="24"/>
      <w:lang w:val="en-GB" w:eastAsia="en-US"/>
    </w:rPr>
  </w:style>
  <w:style w:type="paragraph" w:customStyle="1" w:styleId="Bullet2G">
    <w:name w:val="_Bullet 2_G"/>
    <w:basedOn w:val="a"/>
    <w:rsid w:val="00E514C7"/>
    <w:pPr>
      <w:numPr>
        <w:numId w:val="9"/>
      </w:numPr>
      <w:tabs>
        <w:tab w:val="clear" w:pos="431"/>
      </w:tabs>
      <w:suppressAutoHyphens/>
      <w:overflowPunct/>
      <w:adjustRightInd/>
      <w:snapToGrid/>
      <w:spacing w:after="120" w:line="240" w:lineRule="atLeast"/>
      <w:ind w:right="1134"/>
    </w:pPr>
    <w:rPr>
      <w:rFonts w:eastAsiaTheme="minorEastAsia"/>
      <w:snapToGrid/>
      <w:sz w:val="24"/>
      <w:szCs w:val="24"/>
      <w:lang w:val="en-GB" w:eastAsia="en-US"/>
    </w:rPr>
  </w:style>
  <w:style w:type="paragraph" w:customStyle="1" w:styleId="H1G">
    <w:name w:val="_ H_1_G"/>
    <w:basedOn w:val="a"/>
    <w:next w:val="a"/>
    <w:rsid w:val="00E514C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szCs w:val="24"/>
      <w:lang w:val="en-GB" w:eastAsia="en-US"/>
    </w:rPr>
  </w:style>
  <w:style w:type="paragraph" w:customStyle="1" w:styleId="H23G">
    <w:name w:val="_ H_2/3_G"/>
    <w:basedOn w:val="a"/>
    <w:next w:val="a"/>
    <w:rsid w:val="00E514C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4"/>
      <w:szCs w:val="24"/>
      <w:lang w:val="en-GB" w:eastAsia="en-US"/>
    </w:rPr>
  </w:style>
  <w:style w:type="paragraph" w:customStyle="1" w:styleId="H4G">
    <w:name w:val="_ H_4_G"/>
    <w:basedOn w:val="a"/>
    <w:next w:val="a"/>
    <w:rsid w:val="00E514C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4"/>
      <w:szCs w:val="24"/>
      <w:lang w:val="en-GB" w:eastAsia="en-US"/>
    </w:rPr>
  </w:style>
  <w:style w:type="paragraph" w:customStyle="1" w:styleId="H56G">
    <w:name w:val="_ H_5/6_G"/>
    <w:basedOn w:val="a"/>
    <w:next w:val="a"/>
    <w:rsid w:val="00E514C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4"/>
      <w:szCs w:val="24"/>
      <w:lang w:val="en-GB" w:eastAsia="en-US"/>
    </w:rPr>
  </w:style>
  <w:style w:type="character" w:styleId="af6">
    <w:name w:val="annotation reference"/>
    <w:rsid w:val="00E514C7"/>
    <w:rPr>
      <w:sz w:val="18"/>
      <w:szCs w:val="18"/>
    </w:rPr>
  </w:style>
  <w:style w:type="paragraph" w:styleId="af7">
    <w:name w:val="annotation text"/>
    <w:basedOn w:val="a"/>
    <w:link w:val="Char4"/>
    <w:rsid w:val="00E514C7"/>
    <w:pPr>
      <w:tabs>
        <w:tab w:val="clear" w:pos="431"/>
      </w:tabs>
      <w:suppressAutoHyphens/>
      <w:overflowPunct/>
      <w:adjustRightInd/>
      <w:snapToGrid/>
      <w:spacing w:line="240" w:lineRule="atLeast"/>
      <w:jc w:val="left"/>
    </w:pPr>
    <w:rPr>
      <w:rFonts w:eastAsiaTheme="minorEastAsia"/>
      <w:snapToGrid/>
      <w:sz w:val="24"/>
      <w:szCs w:val="24"/>
      <w:lang w:val="en-GB" w:eastAsia="en-US"/>
    </w:rPr>
  </w:style>
  <w:style w:type="character" w:customStyle="1" w:styleId="Char4">
    <w:name w:val="批注文字 Char"/>
    <w:basedOn w:val="a0"/>
    <w:link w:val="af7"/>
    <w:rsid w:val="00E514C7"/>
    <w:rPr>
      <w:rFonts w:eastAsiaTheme="minorEastAsia"/>
      <w:sz w:val="24"/>
      <w:szCs w:val="24"/>
      <w:lang w:val="en-GB" w:eastAsia="en-US"/>
    </w:rPr>
  </w:style>
  <w:style w:type="paragraph" w:styleId="af8">
    <w:name w:val="annotation subject"/>
    <w:basedOn w:val="af7"/>
    <w:next w:val="af7"/>
    <w:link w:val="Char5"/>
    <w:rsid w:val="00E514C7"/>
    <w:rPr>
      <w:b/>
      <w:bCs/>
      <w:sz w:val="20"/>
      <w:szCs w:val="20"/>
    </w:rPr>
  </w:style>
  <w:style w:type="character" w:customStyle="1" w:styleId="Char5">
    <w:name w:val="批注主题 Char"/>
    <w:basedOn w:val="Char4"/>
    <w:link w:val="af8"/>
    <w:rsid w:val="00E514C7"/>
    <w:rPr>
      <w:rFonts w:eastAsiaTheme="minorEastAsia"/>
      <w:b/>
      <w:bCs/>
      <w:sz w:val="24"/>
      <w:szCs w:val="24"/>
      <w:lang w:val="en-GB" w:eastAsia="en-US"/>
    </w:rPr>
  </w:style>
  <w:style w:type="paragraph" w:customStyle="1" w:styleId="ColorfulShading-Accent11">
    <w:name w:val="Colorful Shading - Accent 11"/>
    <w:hidden/>
    <w:uiPriority w:val="71"/>
    <w:rsid w:val="00E514C7"/>
    <w:rPr>
      <w:rFonts w:eastAsiaTheme="minorEastAsia"/>
      <w:sz w:val="24"/>
      <w:szCs w:val="24"/>
      <w:lang w:val="en-GB" w:eastAsia="en-US"/>
    </w:rPr>
  </w:style>
  <w:style w:type="character" w:customStyle="1" w:styleId="style4">
    <w:name w:val="style4"/>
    <w:basedOn w:val="a0"/>
    <w:rsid w:val="00E514C7"/>
  </w:style>
  <w:style w:type="character" w:customStyle="1" w:styleId="preferred">
    <w:name w:val="preferred"/>
    <w:basedOn w:val="a0"/>
    <w:rsid w:val="00E514C7"/>
  </w:style>
  <w:style w:type="character" w:styleId="af9">
    <w:name w:val="Emphasis"/>
    <w:basedOn w:val="a0"/>
    <w:uiPriority w:val="20"/>
    <w:qFormat/>
    <w:rsid w:val="00E514C7"/>
    <w:rPr>
      <w:i/>
      <w:iCs/>
    </w:rPr>
  </w:style>
  <w:style w:type="paragraph" w:styleId="afa">
    <w:name w:val="List Paragraph"/>
    <w:basedOn w:val="a"/>
    <w:uiPriority w:val="34"/>
    <w:rsid w:val="00E514C7"/>
    <w:pPr>
      <w:tabs>
        <w:tab w:val="clear" w:pos="431"/>
      </w:tabs>
      <w:suppressAutoHyphens/>
      <w:kinsoku w:val="0"/>
      <w:autoSpaceDE w:val="0"/>
      <w:autoSpaceDN w:val="0"/>
      <w:spacing w:line="240" w:lineRule="atLeast"/>
      <w:ind w:left="720"/>
      <w:contextualSpacing/>
      <w:jc w:val="left"/>
    </w:pPr>
    <w:rPr>
      <w:snapToGrid/>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qFormat="1"/>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CE1B61"/>
    <w:rPr>
      <w:rFonts w:ascii="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A31BA8"/>
    <w:rPr>
      <w:rFonts w:eastAsia="Times New Roman"/>
      <w:b/>
      <w:snapToGrid w:val="0"/>
      <w:sz w:val="18"/>
      <w:szCs w:val="18"/>
      <w:lang w:val="en-GB" w:eastAsia="en-US"/>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E514C7"/>
    <w:pPr>
      <w:tabs>
        <w:tab w:val="clear" w:pos="431"/>
      </w:tabs>
      <w:suppressAutoHyphens/>
      <w:overflowPunct/>
      <w:adjustRightInd/>
      <w:snapToGrid/>
      <w:spacing w:after="120" w:line="240" w:lineRule="atLeast"/>
      <w:ind w:left="1134" w:right="1134"/>
    </w:pPr>
    <w:rPr>
      <w:rFonts w:eastAsiaTheme="minorEastAsia"/>
      <w:snapToGrid/>
      <w:sz w:val="24"/>
      <w:szCs w:val="24"/>
      <w:lang w:val="x-none" w:eastAsia="en-US"/>
    </w:rPr>
  </w:style>
  <w:style w:type="character" w:customStyle="1" w:styleId="SingleTxtGChar">
    <w:name w:val="_ Single Txt_G Char"/>
    <w:link w:val="SingleTxtG"/>
    <w:rsid w:val="00E514C7"/>
    <w:rPr>
      <w:rFonts w:eastAsiaTheme="minorEastAsia"/>
      <w:sz w:val="24"/>
      <w:szCs w:val="24"/>
      <w:lang w:val="x-none" w:eastAsia="en-US"/>
    </w:rPr>
  </w:style>
  <w:style w:type="paragraph" w:customStyle="1" w:styleId="HMG">
    <w:name w:val="_ H __M_G"/>
    <w:basedOn w:val="a"/>
    <w:next w:val="a"/>
    <w:rsid w:val="00E514C7"/>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szCs w:val="24"/>
      <w:lang w:val="en-GB" w:eastAsia="en-US"/>
    </w:rPr>
  </w:style>
  <w:style w:type="paragraph" w:customStyle="1" w:styleId="HChG">
    <w:name w:val="_ H _Ch_G"/>
    <w:basedOn w:val="a"/>
    <w:next w:val="a"/>
    <w:rsid w:val="00E514C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szCs w:val="24"/>
      <w:lang w:val="en-GB" w:eastAsia="en-US"/>
    </w:rPr>
  </w:style>
  <w:style w:type="character" w:styleId="af5">
    <w:name w:val="Hyperlink"/>
    <w:semiHidden/>
    <w:rsid w:val="00E514C7"/>
    <w:rPr>
      <w:color w:val="auto"/>
      <w:u w:val="none"/>
    </w:rPr>
  </w:style>
  <w:style w:type="paragraph" w:customStyle="1" w:styleId="SMG">
    <w:name w:val="__S_M_G"/>
    <w:basedOn w:val="a"/>
    <w:next w:val="a"/>
    <w:rsid w:val="00E514C7"/>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szCs w:val="24"/>
      <w:lang w:val="en-GB" w:eastAsia="en-US"/>
    </w:rPr>
  </w:style>
  <w:style w:type="paragraph" w:customStyle="1" w:styleId="SLG">
    <w:name w:val="__S_L_G"/>
    <w:basedOn w:val="a"/>
    <w:next w:val="a"/>
    <w:rsid w:val="00E514C7"/>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szCs w:val="24"/>
      <w:lang w:val="en-GB" w:eastAsia="en-US"/>
    </w:rPr>
  </w:style>
  <w:style w:type="paragraph" w:customStyle="1" w:styleId="SSG">
    <w:name w:val="__S_S_G"/>
    <w:basedOn w:val="a"/>
    <w:next w:val="a"/>
    <w:rsid w:val="00E514C7"/>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szCs w:val="24"/>
      <w:lang w:val="en-GB" w:eastAsia="en-US"/>
    </w:rPr>
  </w:style>
  <w:style w:type="paragraph" w:customStyle="1" w:styleId="XLargeG">
    <w:name w:val="__XLarge_G"/>
    <w:basedOn w:val="a"/>
    <w:next w:val="a"/>
    <w:rsid w:val="00E514C7"/>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szCs w:val="24"/>
      <w:lang w:val="en-GB" w:eastAsia="en-US"/>
    </w:rPr>
  </w:style>
  <w:style w:type="paragraph" w:customStyle="1" w:styleId="Bullet1G">
    <w:name w:val="_Bullet 1_G"/>
    <w:basedOn w:val="a"/>
    <w:rsid w:val="00E514C7"/>
    <w:pPr>
      <w:numPr>
        <w:numId w:val="8"/>
      </w:numPr>
      <w:tabs>
        <w:tab w:val="clear" w:pos="431"/>
      </w:tabs>
      <w:suppressAutoHyphens/>
      <w:overflowPunct/>
      <w:adjustRightInd/>
      <w:snapToGrid/>
      <w:spacing w:after="120" w:line="240" w:lineRule="atLeast"/>
      <w:ind w:right="1134"/>
    </w:pPr>
    <w:rPr>
      <w:rFonts w:eastAsiaTheme="minorEastAsia"/>
      <w:snapToGrid/>
      <w:sz w:val="24"/>
      <w:szCs w:val="24"/>
      <w:lang w:val="en-GB" w:eastAsia="en-US"/>
    </w:rPr>
  </w:style>
  <w:style w:type="paragraph" w:customStyle="1" w:styleId="Bullet2G">
    <w:name w:val="_Bullet 2_G"/>
    <w:basedOn w:val="a"/>
    <w:rsid w:val="00E514C7"/>
    <w:pPr>
      <w:numPr>
        <w:numId w:val="9"/>
      </w:numPr>
      <w:tabs>
        <w:tab w:val="clear" w:pos="431"/>
      </w:tabs>
      <w:suppressAutoHyphens/>
      <w:overflowPunct/>
      <w:adjustRightInd/>
      <w:snapToGrid/>
      <w:spacing w:after="120" w:line="240" w:lineRule="atLeast"/>
      <w:ind w:right="1134"/>
    </w:pPr>
    <w:rPr>
      <w:rFonts w:eastAsiaTheme="minorEastAsia"/>
      <w:snapToGrid/>
      <w:sz w:val="24"/>
      <w:szCs w:val="24"/>
      <w:lang w:val="en-GB" w:eastAsia="en-US"/>
    </w:rPr>
  </w:style>
  <w:style w:type="paragraph" w:customStyle="1" w:styleId="H1G">
    <w:name w:val="_ H_1_G"/>
    <w:basedOn w:val="a"/>
    <w:next w:val="a"/>
    <w:rsid w:val="00E514C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szCs w:val="24"/>
      <w:lang w:val="en-GB" w:eastAsia="en-US"/>
    </w:rPr>
  </w:style>
  <w:style w:type="paragraph" w:customStyle="1" w:styleId="H23G">
    <w:name w:val="_ H_2/3_G"/>
    <w:basedOn w:val="a"/>
    <w:next w:val="a"/>
    <w:rsid w:val="00E514C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4"/>
      <w:szCs w:val="24"/>
      <w:lang w:val="en-GB" w:eastAsia="en-US"/>
    </w:rPr>
  </w:style>
  <w:style w:type="paragraph" w:customStyle="1" w:styleId="H4G">
    <w:name w:val="_ H_4_G"/>
    <w:basedOn w:val="a"/>
    <w:next w:val="a"/>
    <w:rsid w:val="00E514C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4"/>
      <w:szCs w:val="24"/>
      <w:lang w:val="en-GB" w:eastAsia="en-US"/>
    </w:rPr>
  </w:style>
  <w:style w:type="paragraph" w:customStyle="1" w:styleId="H56G">
    <w:name w:val="_ H_5/6_G"/>
    <w:basedOn w:val="a"/>
    <w:next w:val="a"/>
    <w:rsid w:val="00E514C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4"/>
      <w:szCs w:val="24"/>
      <w:lang w:val="en-GB" w:eastAsia="en-US"/>
    </w:rPr>
  </w:style>
  <w:style w:type="character" w:styleId="af6">
    <w:name w:val="annotation reference"/>
    <w:rsid w:val="00E514C7"/>
    <w:rPr>
      <w:sz w:val="18"/>
      <w:szCs w:val="18"/>
    </w:rPr>
  </w:style>
  <w:style w:type="paragraph" w:styleId="af7">
    <w:name w:val="annotation text"/>
    <w:basedOn w:val="a"/>
    <w:link w:val="Char4"/>
    <w:rsid w:val="00E514C7"/>
    <w:pPr>
      <w:tabs>
        <w:tab w:val="clear" w:pos="431"/>
      </w:tabs>
      <w:suppressAutoHyphens/>
      <w:overflowPunct/>
      <w:adjustRightInd/>
      <w:snapToGrid/>
      <w:spacing w:line="240" w:lineRule="atLeast"/>
      <w:jc w:val="left"/>
    </w:pPr>
    <w:rPr>
      <w:rFonts w:eastAsiaTheme="minorEastAsia"/>
      <w:snapToGrid/>
      <w:sz w:val="24"/>
      <w:szCs w:val="24"/>
      <w:lang w:val="en-GB" w:eastAsia="en-US"/>
    </w:rPr>
  </w:style>
  <w:style w:type="character" w:customStyle="1" w:styleId="Char4">
    <w:name w:val="批注文字 Char"/>
    <w:basedOn w:val="a0"/>
    <w:link w:val="af7"/>
    <w:rsid w:val="00E514C7"/>
    <w:rPr>
      <w:rFonts w:eastAsiaTheme="minorEastAsia"/>
      <w:sz w:val="24"/>
      <w:szCs w:val="24"/>
      <w:lang w:val="en-GB" w:eastAsia="en-US"/>
    </w:rPr>
  </w:style>
  <w:style w:type="paragraph" w:styleId="af8">
    <w:name w:val="annotation subject"/>
    <w:basedOn w:val="af7"/>
    <w:next w:val="af7"/>
    <w:link w:val="Char5"/>
    <w:rsid w:val="00E514C7"/>
    <w:rPr>
      <w:b/>
      <w:bCs/>
      <w:sz w:val="20"/>
      <w:szCs w:val="20"/>
    </w:rPr>
  </w:style>
  <w:style w:type="character" w:customStyle="1" w:styleId="Char5">
    <w:name w:val="批注主题 Char"/>
    <w:basedOn w:val="Char4"/>
    <w:link w:val="af8"/>
    <w:rsid w:val="00E514C7"/>
    <w:rPr>
      <w:rFonts w:eastAsiaTheme="minorEastAsia"/>
      <w:b/>
      <w:bCs/>
      <w:sz w:val="24"/>
      <w:szCs w:val="24"/>
      <w:lang w:val="en-GB" w:eastAsia="en-US"/>
    </w:rPr>
  </w:style>
  <w:style w:type="paragraph" w:customStyle="1" w:styleId="ColorfulShading-Accent11">
    <w:name w:val="Colorful Shading - Accent 11"/>
    <w:hidden/>
    <w:uiPriority w:val="71"/>
    <w:rsid w:val="00E514C7"/>
    <w:rPr>
      <w:rFonts w:eastAsiaTheme="minorEastAsia"/>
      <w:sz w:val="24"/>
      <w:szCs w:val="24"/>
      <w:lang w:val="en-GB" w:eastAsia="en-US"/>
    </w:rPr>
  </w:style>
  <w:style w:type="character" w:customStyle="1" w:styleId="style4">
    <w:name w:val="style4"/>
    <w:basedOn w:val="a0"/>
    <w:rsid w:val="00E514C7"/>
  </w:style>
  <w:style w:type="character" w:customStyle="1" w:styleId="preferred">
    <w:name w:val="preferred"/>
    <w:basedOn w:val="a0"/>
    <w:rsid w:val="00E514C7"/>
  </w:style>
  <w:style w:type="character" w:styleId="af9">
    <w:name w:val="Emphasis"/>
    <w:basedOn w:val="a0"/>
    <w:uiPriority w:val="20"/>
    <w:qFormat/>
    <w:rsid w:val="00E514C7"/>
    <w:rPr>
      <w:i/>
      <w:iCs/>
    </w:rPr>
  </w:style>
  <w:style w:type="paragraph" w:styleId="afa">
    <w:name w:val="List Paragraph"/>
    <w:basedOn w:val="a"/>
    <w:uiPriority w:val="34"/>
    <w:rsid w:val="00E514C7"/>
    <w:pPr>
      <w:tabs>
        <w:tab w:val="clear" w:pos="431"/>
      </w:tabs>
      <w:suppressAutoHyphens/>
      <w:kinsoku w:val="0"/>
      <w:autoSpaceDE w:val="0"/>
      <w:autoSpaceDN w:val="0"/>
      <w:spacing w:line="240" w:lineRule="atLeast"/>
      <w:ind w:left="720"/>
      <w:contextualSpacing/>
      <w:jc w:val="left"/>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hchr.org/Documents/HRBodies/CCPR/Membership/Konstantine.pd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yperlink" Target="http://www.geenstijl.n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68B1-C289-4F71-8D0F-B8FC652B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35</Pages>
  <Words>24992</Words>
  <Characters>59928</Characters>
  <Application>Microsoft Office Word</Application>
  <DocSecurity>0</DocSecurity>
  <Lines>1196</Lines>
  <Paragraphs>217</Paragraphs>
  <ScaleCrop>false</ScaleCrop>
  <Company>DCM</Company>
  <LinksUpToDate>false</LinksUpToDate>
  <CharactersWithSpaces>68202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1703929</dc:title>
  <dc:subject>CCPR/C/117/D/2124/2011</dc:subject>
  <dc:creator>yang</dc:creator>
  <cp:keywords/>
  <dc:description/>
  <cp:lastModifiedBy>yangx</cp:lastModifiedBy>
  <cp:revision>2</cp:revision>
  <cp:lastPrinted>2017-07-17T09:20:00Z</cp:lastPrinted>
  <dcterms:created xsi:type="dcterms:W3CDTF">2017-07-18T09:52:00Z</dcterms:created>
  <dcterms:modified xsi:type="dcterms:W3CDTF">2017-07-18T09:52:00Z</dcterms:modified>
</cp:coreProperties>
</file>