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C42621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C4262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C42621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C42621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r w:rsidR="00FB25A7">
              <w:fldChar w:fldCharType="begin"/>
            </w:r>
            <w:r w:rsidR="00FB25A7">
              <w:instrText xml:space="preserve"> FILLIN  "Введите часть символа после CCPR/"  \* MERGEFORMAT </w:instrText>
            </w:r>
            <w:r w:rsidR="00FB25A7">
              <w:fldChar w:fldCharType="separate"/>
            </w:r>
            <w:r w:rsidR="00CF7453">
              <w:t>C/118/D/2569/2015</w:t>
            </w:r>
            <w:r w:rsidR="00FB25A7">
              <w:fldChar w:fldCharType="end"/>
            </w:r>
          </w:p>
        </w:tc>
      </w:tr>
      <w:tr w:rsidR="0087597F" w:rsidRPr="002C048B" w:rsidTr="00C4262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C42621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22A32C" wp14:editId="43DAA41A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C42621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C42621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FB25A7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C42621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CF7453">
              <w:rPr>
                <w:lang w:val="en-US"/>
              </w:rPr>
              <w:t>16 December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C42621">
            <w:r>
              <w:rPr>
                <w:lang w:val="en-US"/>
              </w:rPr>
              <w:t>Russian</w:t>
            </w:r>
          </w:p>
          <w:p w:rsidR="0087597F" w:rsidRDefault="0087597F" w:rsidP="00C42621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FB25A7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C42621"/>
        </w:tc>
      </w:tr>
    </w:tbl>
    <w:p w:rsidR="0087597F" w:rsidRPr="00CF7453" w:rsidRDefault="00CF7453" w:rsidP="00CF7453">
      <w:pPr>
        <w:spacing w:before="120"/>
        <w:rPr>
          <w:sz w:val="24"/>
          <w:szCs w:val="24"/>
          <w:lang w:val="en-US"/>
        </w:rPr>
      </w:pPr>
      <w:r w:rsidRPr="00CF7453">
        <w:rPr>
          <w:b/>
          <w:bCs/>
          <w:sz w:val="24"/>
          <w:szCs w:val="24"/>
        </w:rPr>
        <w:t>Комитет по правам человека</w:t>
      </w:r>
    </w:p>
    <w:p w:rsidR="00CF7453" w:rsidRPr="00CF7453" w:rsidRDefault="00CF7453" w:rsidP="00CF7453">
      <w:pPr>
        <w:pStyle w:val="HChGR"/>
      </w:pPr>
      <w:r w:rsidRPr="000E312F">
        <w:tab/>
      </w:r>
      <w:r w:rsidRPr="000E312F">
        <w:tab/>
      </w:r>
      <w:r w:rsidRPr="00CF7453">
        <w:t xml:space="preserve">Соображения, принятые Комитетом в соответствии </w:t>
      </w:r>
      <w:r w:rsidRPr="00CF7453">
        <w:br/>
        <w:t>с пунктом 4 статьи 5 Факультативного протокола относительно сообщения № 2569/2015</w:t>
      </w:r>
      <w:r w:rsidRPr="00CF7453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  <w:r w:rsidRPr="00CF7453">
        <w:rPr>
          <w:rStyle w:val="a6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3871"/>
      </w:tblGrid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>
              <w:rPr>
                <w:i/>
              </w:rPr>
              <w:t>Сообщение п</w:t>
            </w:r>
            <w:r w:rsidRPr="00CF7453">
              <w:rPr>
                <w:i/>
                <w:lang w:val="en-GB"/>
              </w:rPr>
              <w:t>редставлено: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 w:rsidRPr="00CF7453">
              <w:t>Б.М.И. и Н.А.К. (представлены адвокатом Ханной Крог)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lang w:val="en-GB"/>
              </w:rPr>
              <w:t>Предполагаемая жертва: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 w:rsidRPr="00CF7453">
              <w:t>авторы и двое их несовершеннолетних детей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lang w:val="en-GB"/>
              </w:rPr>
              <w:t>Государство-участник: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>
              <w:t>Дания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lang w:val="en-GB"/>
              </w:rPr>
              <w:t>Дата сообщения: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rPr>
                <w:lang w:val="en-GB"/>
              </w:rPr>
            </w:pPr>
            <w:r w:rsidRPr="00CF7453">
              <w:t>6 февраля 2015 года (первоначальное представление)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lang w:val="en-GB"/>
              </w:rPr>
              <w:t>Справочная документация: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8B21C3">
            <w:pPr>
              <w:suppressAutoHyphens/>
              <w:spacing w:after="120"/>
            </w:pPr>
            <w:r w:rsidRPr="00CF7453">
              <w:t xml:space="preserve">решение, принятое в соответствии </w:t>
            </w:r>
            <w:r w:rsidRPr="00CF7453">
              <w:br/>
              <w:t xml:space="preserve">с правилами 92 и 97 правил процедуры Комитета, препровожденное государству-участнику 13 февраля 2015 года </w:t>
            </w:r>
            <w:r w:rsidRPr="00CF7453">
              <w:br/>
              <w:t xml:space="preserve">(в </w:t>
            </w:r>
            <w:r w:rsidR="008B21C3">
              <w:t>виде</w:t>
            </w:r>
            <w:r w:rsidRPr="00CF7453">
              <w:t xml:space="preserve"> документа</w:t>
            </w:r>
            <w:r w:rsidR="008B21C3">
              <w:t xml:space="preserve"> не издавалось</w:t>
            </w:r>
            <w:r w:rsidRPr="00CF7453">
              <w:t>)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lang w:val="en-GB"/>
              </w:rPr>
              <w:t>Дата принятия Cоображений:</w:t>
            </w:r>
          </w:p>
        </w:tc>
        <w:tc>
          <w:tcPr>
            <w:tcW w:w="3871" w:type="dxa"/>
            <w:shd w:val="clear" w:color="auto" w:fill="auto"/>
            <w:vAlign w:val="bottom"/>
          </w:tcPr>
          <w:p w:rsidR="00CF7453" w:rsidRPr="00CF7453" w:rsidRDefault="00CF7453" w:rsidP="00CF7453">
            <w:pPr>
              <w:suppressAutoHyphens/>
              <w:spacing w:after="120"/>
              <w:rPr>
                <w:lang w:val="en-GB"/>
              </w:rPr>
            </w:pPr>
            <w:r w:rsidRPr="00CF7453">
              <w:t>28 октября 2016 года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lang w:val="en-GB"/>
              </w:rPr>
            </w:pPr>
            <w:r w:rsidRPr="00CF7453">
              <w:rPr>
                <w:i/>
                <w:iCs/>
              </w:rPr>
              <w:t>Тема сообщения</w:t>
            </w:r>
            <w:r w:rsidRPr="00CF7453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 w:rsidRPr="00CF7453">
              <w:t>депортация из Дании в Болгарию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CF7453">
              <w:rPr>
                <w:i/>
                <w:iCs/>
              </w:rPr>
              <w:t>Процедурные вопросы</w:t>
            </w:r>
            <w:r w:rsidRPr="00CF7453">
              <w:rPr>
                <w:i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rPr>
                <w:lang w:val="en-GB"/>
              </w:rPr>
            </w:pPr>
            <w:r w:rsidRPr="00CF7453">
              <w:t>уровень обоснования жалоб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CF7453">
              <w:rPr>
                <w:i/>
                <w:iCs/>
              </w:rPr>
              <w:t>Вопросы существа</w:t>
            </w:r>
            <w:r w:rsidRPr="00CF7453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8B21C3">
            <w:pPr>
              <w:suppressAutoHyphens/>
              <w:spacing w:after="120"/>
            </w:pPr>
            <w:r w:rsidRPr="00CF7453">
              <w:t xml:space="preserve">угроза пыток и </w:t>
            </w:r>
            <w:r w:rsidR="008B21C3">
              <w:t>неправомерного</w:t>
            </w:r>
            <w:r w:rsidRPr="00CF7453">
              <w:t xml:space="preserve"> обращения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CF7453">
              <w:rPr>
                <w:i/>
                <w:iCs/>
              </w:rPr>
              <w:t>Статьи Пакта</w:t>
            </w:r>
            <w:r w:rsidRPr="00CF7453">
              <w:rPr>
                <w:i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>
              <w:t>7</w:t>
            </w:r>
          </w:p>
        </w:tc>
      </w:tr>
      <w:tr w:rsidR="00CF7453" w:rsidRPr="00CF7453" w:rsidTr="00E3024D">
        <w:tc>
          <w:tcPr>
            <w:tcW w:w="2933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  <w:ind w:left="35"/>
              <w:rPr>
                <w:i/>
                <w:iCs/>
                <w:lang w:val="en-GB"/>
              </w:rPr>
            </w:pPr>
            <w:r w:rsidRPr="00CF7453">
              <w:rPr>
                <w:i/>
                <w:iCs/>
              </w:rPr>
              <w:t>Статьи Факультативного протокола</w:t>
            </w:r>
            <w:r w:rsidRPr="00CF7453">
              <w:rPr>
                <w:i/>
                <w:iCs/>
                <w:lang w:val="en-GB"/>
              </w:rPr>
              <w:t>:</w:t>
            </w:r>
          </w:p>
        </w:tc>
        <w:tc>
          <w:tcPr>
            <w:tcW w:w="3871" w:type="dxa"/>
            <w:shd w:val="clear" w:color="auto" w:fill="auto"/>
          </w:tcPr>
          <w:p w:rsidR="00CF7453" w:rsidRPr="00CF7453" w:rsidRDefault="00CF7453" w:rsidP="00CF7453">
            <w:pPr>
              <w:suppressAutoHyphens/>
              <w:spacing w:after="120"/>
            </w:pPr>
            <w:r>
              <w:t>2</w:t>
            </w:r>
          </w:p>
        </w:tc>
      </w:tr>
    </w:tbl>
    <w:p w:rsidR="008B21C3" w:rsidRPr="008B21C3" w:rsidRDefault="008B21C3" w:rsidP="008B21C3">
      <w:pPr>
        <w:pStyle w:val="SingleTxtGR"/>
      </w:pPr>
      <w:r w:rsidRPr="008B21C3">
        <w:lastRenderedPageBreak/>
        <w:t>1.1</w:t>
      </w:r>
      <w:r w:rsidRPr="008B21C3">
        <w:tab/>
        <w:t xml:space="preserve">Авторами сообщения являются Б.М.И., </w:t>
      </w:r>
      <w:proofErr w:type="gramStart"/>
      <w:r w:rsidRPr="008B21C3">
        <w:t>р</w:t>
      </w:r>
      <w:r w:rsidR="001E47E0">
        <w:t>одившийся</w:t>
      </w:r>
      <w:proofErr w:type="gramEnd"/>
      <w:r w:rsidR="001E47E0">
        <w:t xml:space="preserve"> 1 января 1982 года, и</w:t>
      </w:r>
      <w:r w:rsidR="001E47E0">
        <w:rPr>
          <w:lang w:val="en-US"/>
        </w:rPr>
        <w:t> </w:t>
      </w:r>
      <w:r w:rsidRPr="008B21C3">
        <w:t>Н.А.К., родившаяся 1 августа 1988 года. Они представляют сообщение от своего имени и от имени двух своих несовершеннолетних дочерей, П., роди</w:t>
      </w:r>
      <w:r w:rsidRPr="008B21C3">
        <w:t>в</w:t>
      </w:r>
      <w:r w:rsidRPr="008B21C3">
        <w:t>шейся 9 октября 2012 года в Сирийской Арабской Республике, и Б., которая р</w:t>
      </w:r>
      <w:r w:rsidRPr="008B21C3">
        <w:t>о</w:t>
      </w:r>
      <w:r w:rsidRPr="008B21C3">
        <w:t>дилась 3 июля 2014 года в Дании. Авторы являются этническими курдами из Сирийской Арабской Республики, исповедующими мусульманскую веру. Они подлежат депортации в Болгарию после того, как 20 января 2015 года датский Апелляционный совет по делам беженцев отклонил их прошение о предоста</w:t>
      </w:r>
      <w:r w:rsidRPr="008B21C3">
        <w:t>в</w:t>
      </w:r>
      <w:r w:rsidRPr="008B21C3">
        <w:t>лении статуса беженцев. Они утверждают, что их депортация в Болгарию будет являться нарушением Данией их прав по статье 7 Пакта. Факультативный пр</w:t>
      </w:r>
      <w:r w:rsidRPr="008B21C3">
        <w:t>о</w:t>
      </w:r>
      <w:r w:rsidRPr="008B21C3">
        <w:t>токол вступил в силу для Дании 23 марта 1976 года. Авторы представлены а</w:t>
      </w:r>
      <w:r w:rsidRPr="008B21C3">
        <w:t>д</w:t>
      </w:r>
      <w:r w:rsidRPr="008B21C3">
        <w:t>вокатом Ханной Крог</w:t>
      </w:r>
      <w:r w:rsidRPr="00680C39">
        <w:rPr>
          <w:sz w:val="18"/>
          <w:vertAlign w:val="superscript"/>
        </w:rPr>
        <w:footnoteReference w:id="3"/>
      </w:r>
      <w:r w:rsidRPr="008B21C3">
        <w:t>.</w:t>
      </w:r>
    </w:p>
    <w:p w:rsidR="008B21C3" w:rsidRPr="008B21C3" w:rsidRDefault="008B21C3" w:rsidP="008B21C3">
      <w:pPr>
        <w:pStyle w:val="SingleTxtGR"/>
      </w:pPr>
      <w:r w:rsidRPr="008B21C3">
        <w:t>1.2</w:t>
      </w:r>
      <w:r w:rsidRPr="008B21C3">
        <w:tab/>
        <w:t>Настоящее сообщение было зарегистрировано 13 февраля 2015 года. В</w:t>
      </w:r>
      <w:r w:rsidR="002A0153">
        <w:rPr>
          <w:lang w:val="en-US"/>
        </w:rPr>
        <w:t> </w:t>
      </w:r>
      <w:r w:rsidRPr="008B21C3">
        <w:t>соответствии с правилом 92 своих правил процедуры Комитет, действуя через своего Специального докладчика по новым сообщениям и временным мерам, просил государство-участник в качестве временной меры воздержаться от д</w:t>
      </w:r>
      <w:r w:rsidRPr="008B21C3">
        <w:t>е</w:t>
      </w:r>
      <w:r w:rsidRPr="008B21C3">
        <w:t xml:space="preserve">портации авторов в Болгарию на период рассмотрения их дела в Комитете. </w:t>
      </w:r>
      <w:r w:rsidRPr="008B21C3">
        <w:br/>
        <w:t>23 февраля 2015 года в соответствии с просьбой Комитета Апелляционный с</w:t>
      </w:r>
      <w:r w:rsidRPr="008B21C3">
        <w:t>о</w:t>
      </w:r>
      <w:r w:rsidRPr="008B21C3">
        <w:t>вет по делам беженцев приостановил действие установленного срока депорт</w:t>
      </w:r>
      <w:r w:rsidRPr="008B21C3">
        <w:t>а</w:t>
      </w:r>
      <w:r w:rsidRPr="008B21C3">
        <w:t>ции авторов из Дании до последующего уведомления.</w:t>
      </w:r>
    </w:p>
    <w:p w:rsidR="008B21C3" w:rsidRPr="008B21C3" w:rsidRDefault="008B21C3" w:rsidP="008B21C3">
      <w:pPr>
        <w:pStyle w:val="SingleTxtGR"/>
      </w:pPr>
      <w:r w:rsidRPr="008B21C3">
        <w:t>1.3</w:t>
      </w:r>
      <w:r w:rsidRPr="008B21C3">
        <w:tab/>
        <w:t>4 августа 2015 года государство-участник просило Комитет пересмотреть его просьбу о применении в настоящем случае временных мер, поскольку авт</w:t>
      </w:r>
      <w:r w:rsidRPr="008B21C3">
        <w:t>о</w:t>
      </w:r>
      <w:r w:rsidRPr="008B21C3">
        <w:t>ры якобы не доказали возможность того, что в случае депортации в Болгарию им будет угрожать причинение непоправимого вреда. 15 марта 2016 года Ком</w:t>
      </w:r>
      <w:r w:rsidRPr="008B21C3">
        <w:t>и</w:t>
      </w:r>
      <w:r w:rsidRPr="008B21C3">
        <w:t>тет, действуя через своего Специального докладчика, отклонил просьбу гос</w:t>
      </w:r>
      <w:r w:rsidRPr="008B21C3">
        <w:t>у</w:t>
      </w:r>
      <w:r w:rsidRPr="008B21C3">
        <w:t xml:space="preserve">дарства-участника об отмене временных мер. </w:t>
      </w:r>
    </w:p>
    <w:p w:rsidR="008B21C3" w:rsidRPr="008B21C3" w:rsidRDefault="008B21C3" w:rsidP="008B21C3">
      <w:pPr>
        <w:pStyle w:val="H23GR"/>
      </w:pPr>
      <w:r w:rsidRPr="008B21C3">
        <w:tab/>
      </w:r>
      <w:r w:rsidRPr="008B21C3">
        <w:tab/>
        <w:t>Факты в изложении авторов</w:t>
      </w:r>
    </w:p>
    <w:p w:rsidR="008B21C3" w:rsidRPr="008B21C3" w:rsidRDefault="008B21C3" w:rsidP="008B21C3">
      <w:pPr>
        <w:pStyle w:val="SingleTxtGR"/>
      </w:pPr>
      <w:r w:rsidRPr="008B21C3">
        <w:t>2.1</w:t>
      </w:r>
      <w:r w:rsidRPr="008B21C3">
        <w:tab/>
        <w:t>5 ноября 2013 года Б.М.И., Н.А.К. и их дочь П. бежали от гражданской войны в Сирийской Арабской Республике и 14 ноября 2013 года прибыли в Болгарию. 30 июня 2014 года они въехали в Данию без действительных проез</w:t>
      </w:r>
      <w:r w:rsidRPr="008B21C3">
        <w:t>д</w:t>
      </w:r>
      <w:r w:rsidRPr="008B21C3">
        <w:t>ных документов и подали прошение об уб</w:t>
      </w:r>
      <w:r w:rsidR="00A51811">
        <w:t>ежище. В качестве основания для</w:t>
      </w:r>
      <w:r w:rsidR="00A51811">
        <w:rPr>
          <w:lang w:val="en-US"/>
        </w:rPr>
        <w:t> </w:t>
      </w:r>
      <w:r w:rsidRPr="008B21C3">
        <w:t xml:space="preserve">предоставления убежища Б.М.И. сослался </w:t>
      </w:r>
      <w:proofErr w:type="gramStart"/>
      <w:r w:rsidRPr="008B21C3">
        <w:t>на боязнь призыва в сирийскую армию в качестве резервиста в случае возвращения в Сирийскую Арабскую Республику</w:t>
      </w:r>
      <w:proofErr w:type="gramEnd"/>
      <w:r w:rsidRPr="008B21C3">
        <w:t xml:space="preserve">. Он также сослался на требование сирийских властей, чтобы </w:t>
      </w:r>
      <w:r w:rsidR="00CF2272" w:rsidRPr="00CF2272">
        <w:br/>
      </w:r>
      <w:r w:rsidRPr="008B21C3">
        <w:t>он работал на них осведомителем. Авторы не являются членами какого-</w:t>
      </w:r>
      <w:r w:rsidR="00CF2272" w:rsidRPr="00CF2272">
        <w:br/>
      </w:r>
      <w:r w:rsidRPr="008B21C3">
        <w:t>либо политического или религиозного объединения или организации и не пр</w:t>
      </w:r>
      <w:r w:rsidRPr="008B21C3">
        <w:t>и</w:t>
      </w:r>
      <w:r w:rsidRPr="008B21C3">
        <w:t>нимали никакого участия в политической жизни. У них нет семейных связей в Дании.</w:t>
      </w:r>
    </w:p>
    <w:p w:rsidR="008B21C3" w:rsidRPr="008B21C3" w:rsidRDefault="008B21C3" w:rsidP="008B21C3">
      <w:pPr>
        <w:pStyle w:val="SingleTxtGR"/>
      </w:pPr>
      <w:r w:rsidRPr="008B21C3">
        <w:t>2.2</w:t>
      </w:r>
      <w:r w:rsidRPr="008B21C3">
        <w:tab/>
        <w:t>В Сирийской Арабской Республике у Б.М.И. был кафетерий, который ч</w:t>
      </w:r>
      <w:r w:rsidRPr="008B21C3">
        <w:t>а</w:t>
      </w:r>
      <w:r w:rsidRPr="008B21C3">
        <w:t>сто посещали студенты из-за его близости к университету. В этой связи сири</w:t>
      </w:r>
      <w:r w:rsidRPr="008B21C3">
        <w:t>й</w:t>
      </w:r>
      <w:r w:rsidRPr="008B21C3">
        <w:t>ские власти потребовали от него передавать информацию о готовящихся демо</w:t>
      </w:r>
      <w:r w:rsidRPr="008B21C3">
        <w:t>н</w:t>
      </w:r>
      <w:r w:rsidRPr="008B21C3">
        <w:t>страциях, но он отказался это делать. Вследствие этого в 2012 году и в сентябре 2013 года его задерживали. Его также три или четыре раза вызывали для бес</w:t>
      </w:r>
      <w:r w:rsidRPr="008B21C3">
        <w:t>е</w:t>
      </w:r>
      <w:r w:rsidRPr="008B21C3">
        <w:t xml:space="preserve">ды в органы власти. В качестве оснований для предоставления убежища Н.А.К. упомянула конфликт ее супруга с сирийскими властями и общее положение в стране. </w:t>
      </w:r>
    </w:p>
    <w:p w:rsidR="008B21C3" w:rsidRPr="008B21C3" w:rsidRDefault="008B21C3" w:rsidP="008B21C3">
      <w:pPr>
        <w:pStyle w:val="SingleTxtGR"/>
      </w:pPr>
      <w:r w:rsidRPr="008B21C3">
        <w:lastRenderedPageBreak/>
        <w:t>2.3</w:t>
      </w:r>
      <w:r w:rsidRPr="008B21C3">
        <w:tab/>
        <w:t>Поскольку авторы незаконно въехали в Болгарию, то по прибыти</w:t>
      </w:r>
      <w:r>
        <w:t>и</w:t>
      </w:r>
      <w:r w:rsidRPr="008B21C3">
        <w:t xml:space="preserve"> в стр</w:t>
      </w:r>
      <w:r w:rsidRPr="008B21C3">
        <w:t>а</w:t>
      </w:r>
      <w:r w:rsidRPr="008B21C3">
        <w:t>ну они были задержаны болгарской полицией и примерно 11 дней содержались в следственном изоляторе. Затем авторов перевели в лагерь для просителей убежища в Харманли, где им выдали матрас, подушку и палатку. Стояла зима, палатка была в плохом состоянии, а земля была мокрая. Санитарные условия в лагере были крайне неудовлетворительными, а доступ в туалеты и души огр</w:t>
      </w:r>
      <w:r w:rsidRPr="008B21C3">
        <w:t>а</w:t>
      </w:r>
      <w:r w:rsidRPr="008B21C3">
        <w:t>ничен. Их дочь каждую ночь плакала, испытывая страх и страдая от холода, а Н.А.К. была больна. Авторы два месяца оставались в лагере. Они заплатили а</w:t>
      </w:r>
      <w:r w:rsidRPr="008B21C3">
        <w:t>д</w:t>
      </w:r>
      <w:r w:rsidRPr="008B21C3">
        <w:t>вокату за представительство по их делу</w:t>
      </w:r>
      <w:r w:rsidR="00823F5A" w:rsidRPr="008B21C3">
        <w:t>,</w:t>
      </w:r>
      <w:r w:rsidRPr="008B21C3">
        <w:t xml:space="preserve"> и в частности за подачу заявления о </w:t>
      </w:r>
      <w:r>
        <w:t>выдаче</w:t>
      </w:r>
      <w:r w:rsidRPr="008B21C3">
        <w:t xml:space="preserve"> вида на жительство.</w:t>
      </w:r>
    </w:p>
    <w:p w:rsidR="008B21C3" w:rsidRPr="008B21C3" w:rsidRDefault="008B21C3" w:rsidP="008B21C3">
      <w:pPr>
        <w:pStyle w:val="SingleTxtGR"/>
      </w:pPr>
      <w:r w:rsidRPr="008B21C3">
        <w:t>2.4</w:t>
      </w:r>
      <w:r w:rsidRPr="008B21C3">
        <w:tab/>
        <w:t>В лагере врач сообщил Н.А.К., что у нее проблемы с желудком и что она нуждается в тщательном обследовании. Он сказал, что она не сможет пройти необходимое медицинское обследование, поскольку у нее нет медицинской страховки.</w:t>
      </w:r>
    </w:p>
    <w:p w:rsidR="008B21C3" w:rsidRPr="008B21C3" w:rsidRDefault="008B21C3" w:rsidP="008B21C3">
      <w:pPr>
        <w:pStyle w:val="SingleTxtGR"/>
      </w:pPr>
      <w:r w:rsidRPr="008B21C3">
        <w:t>2.5</w:t>
      </w:r>
      <w:r w:rsidRPr="008B21C3">
        <w:tab/>
        <w:t>Поскольку одним из условий получения вида на жительства было нал</w:t>
      </w:r>
      <w:r w:rsidRPr="008B21C3">
        <w:t>и</w:t>
      </w:r>
      <w:r w:rsidRPr="008B21C3">
        <w:t xml:space="preserve">чие адреса, то, когда они еще жили в лагере, </w:t>
      </w:r>
      <w:r w:rsidR="00823F5A">
        <w:t>Б</w:t>
      </w:r>
      <w:r w:rsidRPr="008B21C3">
        <w:t>.М.</w:t>
      </w:r>
      <w:r w:rsidR="00823F5A">
        <w:t>И</w:t>
      </w:r>
      <w:r w:rsidRPr="008B21C3">
        <w:t>. отправился в Софию для аренды квартиры. В неустановленную дату авторы получили вид на жительство и были проинформированы о том, что они не могут далее оставаться в лагере. Они не получили карточек медицинского страхования, однако власти сообщили им, что они могут получить медицинскую помощь вследствие предоставления им вида на жительство</w:t>
      </w:r>
      <w:r w:rsidRPr="00680C39">
        <w:rPr>
          <w:sz w:val="18"/>
          <w:vertAlign w:val="superscript"/>
        </w:rPr>
        <w:footnoteReference w:id="4"/>
      </w:r>
      <w:r w:rsidRPr="008B21C3">
        <w:t>.</w:t>
      </w:r>
    </w:p>
    <w:p w:rsidR="008B21C3" w:rsidRPr="008B21C3" w:rsidRDefault="008B21C3" w:rsidP="008B21C3">
      <w:pPr>
        <w:pStyle w:val="SingleTxtGR"/>
      </w:pPr>
      <w:r w:rsidRPr="008B21C3">
        <w:t>2.6</w:t>
      </w:r>
      <w:r w:rsidRPr="008B21C3">
        <w:tab/>
        <w:t>Авторы утверждают, что после предоставления им вида на жительство в Болгарии их выселили из лагеря, и они переехали в Софию в арендованную квартиру. В неустановленную дату во время нахождения в Софии у их дочери поднялась высокая температура. Они обращались в отделения скорой помощи трех больниц, где им было отказано в помощи на том основании, что эти бол</w:t>
      </w:r>
      <w:r w:rsidRPr="008B21C3">
        <w:t>ь</w:t>
      </w:r>
      <w:r w:rsidRPr="008B21C3">
        <w:t>ницы не принимают беженцев, и у них нет карточек медицинского страхов</w:t>
      </w:r>
      <w:r w:rsidRPr="008B21C3">
        <w:t>а</w:t>
      </w:r>
      <w:r w:rsidRPr="008B21C3">
        <w:t>ния</w:t>
      </w:r>
      <w:r w:rsidRPr="00680C39">
        <w:rPr>
          <w:sz w:val="18"/>
          <w:vertAlign w:val="superscript"/>
        </w:rPr>
        <w:footnoteReference w:id="5"/>
      </w:r>
      <w:r w:rsidRPr="008B21C3">
        <w:t>. В этой связи авторы были вынуждены обратиться за помощью к соседям, которые отвезли их к своему врачу.</w:t>
      </w:r>
    </w:p>
    <w:p w:rsidR="008B21C3" w:rsidRPr="008B21C3" w:rsidRDefault="008B21C3" w:rsidP="008B21C3">
      <w:pPr>
        <w:pStyle w:val="SingleTxtGR"/>
      </w:pPr>
      <w:r w:rsidRPr="008B21C3">
        <w:t>2.7</w:t>
      </w:r>
      <w:r w:rsidRPr="008B21C3">
        <w:tab/>
        <w:t>Авторы располагали ограниченными финансовыми средствами и были обеспокоены своим экономическим положением, отсутствием доступа к мед</w:t>
      </w:r>
      <w:r w:rsidRPr="008B21C3">
        <w:t>и</w:t>
      </w:r>
      <w:r w:rsidRPr="008B21C3">
        <w:t>цинской помощи и безопасности, при том что Н.А.К. в это время была бер</w:t>
      </w:r>
      <w:r w:rsidRPr="008B21C3">
        <w:t>е</w:t>
      </w:r>
      <w:r w:rsidRPr="008B21C3">
        <w:t>менна. Вследствие этого они приняли решение выехать из Болгарии 28 июня 2014 года. Они прибыли в Данию, имея только 20 евро. 2 июля 2014 года Н.А.К. родила в датской больнице ребенка всего лишь через два дня после прибытия в Данию. Ей сообщили, что у ее дочери слабое здоровье и что она должна ост</w:t>
      </w:r>
      <w:r w:rsidRPr="008B21C3">
        <w:t>а</w:t>
      </w:r>
      <w:r w:rsidRPr="008B21C3">
        <w:t>ваться в больнице для обследования. Н.А.К. впала в депрессию и неоднократно проявляла желание совершить самоубийство</w:t>
      </w:r>
      <w:r w:rsidRPr="00680C39">
        <w:rPr>
          <w:sz w:val="18"/>
          <w:vertAlign w:val="superscript"/>
        </w:rPr>
        <w:footnoteReference w:id="6"/>
      </w:r>
      <w:r w:rsidRPr="008B21C3">
        <w:t>. Авторы утверждают, что у их старшей дочери наблюдаются трудности с дыханием и что в Дании ее раз в две недели посещает медицинская сестра.</w:t>
      </w:r>
    </w:p>
    <w:p w:rsidR="008B21C3" w:rsidRPr="008B21C3" w:rsidRDefault="008B21C3" w:rsidP="008B21C3">
      <w:pPr>
        <w:pStyle w:val="SingleTxtGR"/>
      </w:pPr>
      <w:r w:rsidRPr="008B21C3">
        <w:t>2.8</w:t>
      </w:r>
      <w:r w:rsidRPr="008B21C3">
        <w:tab/>
        <w:t>14 июля 2014 года Датская иммиграционная служба обратилась к болга</w:t>
      </w:r>
      <w:r w:rsidRPr="008B21C3">
        <w:t>р</w:t>
      </w:r>
      <w:r w:rsidRPr="008B21C3">
        <w:t xml:space="preserve">ским властям с просьбой забрать авторов и их детей обратно в соответствии с Регламентом «Дублин </w:t>
      </w:r>
      <w:r w:rsidRPr="008B21C3">
        <w:rPr>
          <w:lang w:val="en-US"/>
        </w:rPr>
        <w:t>III</w:t>
      </w:r>
      <w:r w:rsidRPr="008B21C3">
        <w:t>». 30 июля 2014 года болгарские власти сообщили Да</w:t>
      </w:r>
      <w:r w:rsidRPr="008B21C3">
        <w:t>т</w:t>
      </w:r>
      <w:r w:rsidRPr="008B21C3">
        <w:t xml:space="preserve">ской иммиграционной службе о том, что соответственно 17 марта 2014 года и 14 апреля 2014 года авторам предоставлен статус беженцев и вид на жительство </w:t>
      </w:r>
      <w:r w:rsidRPr="008B21C3">
        <w:lastRenderedPageBreak/>
        <w:t>в Болгарии. 9 октября 2014 года Иммиграционная служба отказала авторам в предоставлении убежища, сославшись на то, что Болгария является первой страной убежища. Авторы считают, что</w:t>
      </w:r>
      <w:r>
        <w:t>,</w:t>
      </w:r>
      <w:r w:rsidRPr="008B21C3">
        <w:t xml:space="preserve"> поскольку Регламент «Дублин III» не регулирует положение лиц после предоставления им международной защиты, Дания не должна была отказывать им в удовлетворении прошения об убежище из-за невозможности гарантировать безопасность их нахождения в Болгарии. </w:t>
      </w:r>
      <w:r>
        <w:t>20 </w:t>
      </w:r>
      <w:r w:rsidRPr="008B21C3">
        <w:t>января 2015 года Апелляц</w:t>
      </w:r>
      <w:r>
        <w:t>ионный совет по делам беженцев под</w:t>
      </w:r>
      <w:r w:rsidRPr="008B21C3">
        <w:t>твердил р</w:t>
      </w:r>
      <w:r w:rsidRPr="008B21C3">
        <w:t>е</w:t>
      </w:r>
      <w:r w:rsidRPr="008B21C3">
        <w:t>шение Иммиграционной службы, отказавшей авторам в предоставлении уб</w:t>
      </w:r>
      <w:r w:rsidRPr="008B21C3">
        <w:t>е</w:t>
      </w:r>
      <w:r w:rsidRPr="008B21C3">
        <w:t>жища в Дании, сославшись на возможность проживания авторов в Болгарии как в первой безопасной стране убежища. Авторам было предписано выехать из Дании в течение 15 дней с даты принятия Советом решения.</w:t>
      </w:r>
    </w:p>
    <w:p w:rsidR="008B21C3" w:rsidRPr="008B21C3" w:rsidRDefault="008B21C3" w:rsidP="008B21C3">
      <w:pPr>
        <w:pStyle w:val="SingleTxtGR"/>
      </w:pPr>
      <w:r w:rsidRPr="008B21C3">
        <w:t>2.9</w:t>
      </w:r>
      <w:r w:rsidRPr="008B21C3">
        <w:tab/>
        <w:t>Авторы утверждают, что исчерпали все доступные и эффективные вну</w:t>
      </w:r>
      <w:r w:rsidRPr="008B21C3">
        <w:t>т</w:t>
      </w:r>
      <w:r w:rsidRPr="008B21C3">
        <w:t xml:space="preserve">ренние средства правовой защиты, так как решение Апелляционного совета по делам беженцев от 20 января 2015 года является окончательным и обжалованию не подлежит. Авторы не представляли сообщение в соответствии с какой-либо другой процедурой международного разбирательства или урегулирования. </w:t>
      </w:r>
      <w:r w:rsidRPr="008B21C3">
        <w:br/>
        <w:t>По их мнению, Совет обосновывал свое негативное решение тем, что они пол</w:t>
      </w:r>
      <w:r w:rsidRPr="008B21C3">
        <w:t>у</w:t>
      </w:r>
      <w:r w:rsidRPr="008B21C3">
        <w:t>чили статус беженцев и вид на жительство в Болгарии; что им не угрожает в</w:t>
      </w:r>
      <w:r w:rsidRPr="008B21C3">
        <w:t>ы</w:t>
      </w:r>
      <w:r w:rsidRPr="008B21C3">
        <w:t>сылка (</w:t>
      </w:r>
      <w:r w:rsidRPr="008B21C3">
        <w:rPr>
          <w:lang w:val="en-US"/>
        </w:rPr>
        <w:t>refoulement</w:t>
      </w:r>
      <w:r w:rsidRPr="008B21C3">
        <w:t>) из Болгарии; что они могут законно въехать в страну и проживать в ней (как в страну первого убежища) и что они могут жить там в удовлетворительных социально-экономических условиях.</w:t>
      </w:r>
    </w:p>
    <w:p w:rsidR="008B21C3" w:rsidRPr="008B21C3" w:rsidRDefault="008B21C3" w:rsidP="008B21C3">
      <w:pPr>
        <w:pStyle w:val="H23GR"/>
      </w:pPr>
      <w:r w:rsidRPr="008B21C3">
        <w:tab/>
      </w:r>
      <w:r w:rsidRPr="008B21C3">
        <w:tab/>
        <w:t>Жалоба</w:t>
      </w:r>
    </w:p>
    <w:p w:rsidR="008B21C3" w:rsidRPr="008B21C3" w:rsidRDefault="008B21C3" w:rsidP="008B21C3">
      <w:pPr>
        <w:pStyle w:val="SingleTxtGR"/>
      </w:pPr>
      <w:r w:rsidRPr="008B21C3">
        <w:t>3.1</w:t>
      </w:r>
      <w:r w:rsidRPr="008B21C3">
        <w:tab/>
        <w:t>Авторы утверждают, что Дания нарушит свои обязательства по статье 7 Пакта в результате принудительного возвращения их и их несовершеннолетних детей в Болгарию, где они могут подвергнуться бесчеловечному или унижа</w:t>
      </w:r>
      <w:r w:rsidRPr="008B21C3">
        <w:t>ю</w:t>
      </w:r>
      <w:r w:rsidRPr="008B21C3">
        <w:t>щему достоинство обращению вразрез с наилучшими интересами ребенка, п</w:t>
      </w:r>
      <w:r w:rsidRPr="008B21C3">
        <w:t>о</w:t>
      </w:r>
      <w:r w:rsidRPr="008B21C3">
        <w:t xml:space="preserve">скольку в Болгарии им будет угрожать </w:t>
      </w:r>
      <w:r>
        <w:t>бездомность</w:t>
      </w:r>
      <w:r w:rsidRPr="008B21C3">
        <w:t xml:space="preserve">, нужда, отсутствие доступа к медицинской помощи и личной безопасности, и </w:t>
      </w:r>
      <w:r>
        <w:t>там</w:t>
      </w:r>
      <w:r w:rsidRPr="008B21C3">
        <w:t xml:space="preserve"> они не смогут найти до</w:t>
      </w:r>
      <w:r w:rsidRPr="008B21C3">
        <w:t>л</w:t>
      </w:r>
      <w:r w:rsidRPr="008B21C3">
        <w:t>говременных гуманитарных решений</w:t>
      </w:r>
      <w:r w:rsidRPr="00680C39">
        <w:rPr>
          <w:sz w:val="18"/>
          <w:vertAlign w:val="superscript"/>
        </w:rPr>
        <w:footnoteReference w:id="7"/>
      </w:r>
      <w:r w:rsidRPr="008B21C3">
        <w:t>. Б.М.И. также опасается за благополучие своей семьи, поскольку вследствие депрессии у его жены наблюдаются суиц</w:t>
      </w:r>
      <w:r w:rsidRPr="008B21C3">
        <w:t>и</w:t>
      </w:r>
      <w:r w:rsidRPr="008B21C3">
        <w:t>дальные наклонности, и он боится, что в случае возвращения в Болгарию она совершит самоубийство. Он также заявляет, что у их старшей дочери возникли психологические проблемы из-за переживаний в Сирийской Арабской Респу</w:t>
      </w:r>
      <w:r w:rsidRPr="008B21C3">
        <w:t>б</w:t>
      </w:r>
      <w:r w:rsidRPr="008B21C3">
        <w:t>лике и Болгарии, что она страдает затрудненным дыханием и испытывает страх, что ее регулярно навещает медицинская се</w:t>
      </w:r>
      <w:r w:rsidR="00A51811">
        <w:t>стра, и что по этой причине они</w:t>
      </w:r>
      <w:r w:rsidR="00A51811">
        <w:rPr>
          <w:lang w:val="en-US"/>
        </w:rPr>
        <w:t> </w:t>
      </w:r>
      <w:r w:rsidRPr="008B21C3">
        <w:t>находятся в уязвимом положении и нуждаются в соответствующем обр</w:t>
      </w:r>
      <w:r w:rsidRPr="008B21C3">
        <w:t>а</w:t>
      </w:r>
      <w:r w:rsidRPr="008B21C3">
        <w:t>щении</w:t>
      </w:r>
      <w:r w:rsidRPr="00680C39">
        <w:rPr>
          <w:sz w:val="18"/>
          <w:vertAlign w:val="superscript"/>
        </w:rPr>
        <w:footnoteReference w:id="8"/>
      </w:r>
      <w:r w:rsidRPr="008B21C3">
        <w:t>.</w:t>
      </w:r>
    </w:p>
    <w:p w:rsidR="008B21C3" w:rsidRPr="008B21C3" w:rsidRDefault="008B21C3" w:rsidP="004D412B">
      <w:pPr>
        <w:pStyle w:val="SingleTxtGR"/>
        <w:spacing w:before="120"/>
      </w:pPr>
      <w:r w:rsidRPr="008B21C3">
        <w:t>3.2</w:t>
      </w:r>
      <w:r w:rsidRPr="008B21C3">
        <w:tab/>
        <w:t>Авторы также ссылаются на различные доклады Управления Верховного комиссара Организации Объединенных Наций по правам беженцев</w:t>
      </w:r>
      <w:r>
        <w:t xml:space="preserve"> (УВКБ)</w:t>
      </w:r>
      <w:r w:rsidRPr="008B21C3">
        <w:t xml:space="preserve"> и Информационную базу данных </w:t>
      </w:r>
      <w:r>
        <w:t>по вопросам</w:t>
      </w:r>
      <w:r w:rsidRPr="008B21C3">
        <w:t xml:space="preserve"> убежища в части, касающейся </w:t>
      </w:r>
      <w:r>
        <w:t>с</w:t>
      </w:r>
      <w:r>
        <w:t>у</w:t>
      </w:r>
      <w:r>
        <w:t xml:space="preserve">ществующих </w:t>
      </w:r>
      <w:r w:rsidRPr="008B21C3">
        <w:t>условий в Болгарии</w:t>
      </w:r>
      <w:r w:rsidRPr="00680C39">
        <w:rPr>
          <w:sz w:val="18"/>
          <w:vertAlign w:val="superscript"/>
        </w:rPr>
        <w:footnoteReference w:id="9"/>
      </w:r>
      <w:r w:rsidRPr="008B21C3">
        <w:t xml:space="preserve">. Согласно упомянутым докладам, в Болгарии </w:t>
      </w:r>
      <w:r w:rsidRPr="008B21C3">
        <w:lastRenderedPageBreak/>
        <w:t>нет эффективной программы интеграции лиц, которым предоставлен статус б</w:t>
      </w:r>
      <w:r w:rsidRPr="008B21C3">
        <w:t>е</w:t>
      </w:r>
      <w:r w:rsidRPr="008B21C3">
        <w:t>женцев или дополнительная защита, и по возвращени</w:t>
      </w:r>
      <w:r w:rsidR="00823F5A">
        <w:t>и</w:t>
      </w:r>
      <w:r w:rsidRPr="008B21C3">
        <w:t xml:space="preserve"> в Болгарию они страд</w:t>
      </w:r>
      <w:r w:rsidRPr="008B21C3">
        <w:t>а</w:t>
      </w:r>
      <w:r w:rsidRPr="008B21C3">
        <w:t xml:space="preserve">ют от бедности, </w:t>
      </w:r>
      <w:r w:rsidR="00680C39">
        <w:t>бездомности</w:t>
      </w:r>
      <w:r w:rsidRPr="008B21C3">
        <w:t xml:space="preserve"> и ограниченного доступа к медицинской помощи и образованию. В докладе также указывается, что Болгария в настоящее время сталкивается с серьезными проблемами насилия и притеснений на почве кс</w:t>
      </w:r>
      <w:r w:rsidRPr="008B21C3">
        <w:t>е</w:t>
      </w:r>
      <w:r w:rsidRPr="008B21C3">
        <w:t>нофобии, и власти не принимают никаких мер для борьбы с такими явлениями. Такое положение создает для просителей убежища и беженцев серьезную опа</w:t>
      </w:r>
      <w:r w:rsidRPr="008B21C3">
        <w:t>с</w:t>
      </w:r>
      <w:r w:rsidRPr="008B21C3">
        <w:t>ность совершения по отношению к ним актов насилия расистского и ксенофо</w:t>
      </w:r>
      <w:r w:rsidRPr="008B21C3">
        <w:t>б</w:t>
      </w:r>
      <w:r w:rsidRPr="008B21C3">
        <w:t>ского характера, поскольку по существу они не могут получить эффективную защиту со стороны компетентных болгарских властей</w:t>
      </w:r>
      <w:r w:rsidRPr="00680C39">
        <w:rPr>
          <w:sz w:val="18"/>
          <w:vertAlign w:val="superscript"/>
        </w:rPr>
        <w:footnoteReference w:id="10"/>
      </w:r>
      <w:r w:rsidRPr="008B21C3">
        <w:t xml:space="preserve">. </w:t>
      </w:r>
    </w:p>
    <w:p w:rsidR="008B21C3" w:rsidRPr="008B21C3" w:rsidRDefault="008B21C3" w:rsidP="008B21C3">
      <w:pPr>
        <w:pStyle w:val="SingleTxtGR"/>
      </w:pPr>
      <w:r w:rsidRPr="008B21C3">
        <w:t>3.3</w:t>
      </w:r>
      <w:r w:rsidRPr="008B21C3">
        <w:tab/>
        <w:t>Авторы ссылаются на замечание общего порядка Комитета № 20 (1992) о запрещении пыток или жестокого, бесчеловечного или унижающего достои</w:t>
      </w:r>
      <w:r w:rsidRPr="008B21C3">
        <w:t>н</w:t>
      </w:r>
      <w:r w:rsidRPr="008B21C3">
        <w:t>ство обращения и наказания, согласно которому государство-участник обязано обеспечивать защиту любого лица от действий, запрещенных в статье 7 Пакта, независимо от того, совершаются ли эти действия лицами, действующими в рамках своих официальных полномочий, или в личном качестве. Авторы также ссылаются на доклады, согласно которым принцип страны первого убежища может применяться только в том случае, если по возвращени</w:t>
      </w:r>
      <w:r w:rsidR="00823F5A">
        <w:t>и</w:t>
      </w:r>
      <w:r w:rsidRPr="008B21C3">
        <w:t xml:space="preserve"> в такую страну просителям убежища разрешается в ней оставаться и если с ними обращаются в соответствии с признанными основными нормами прав человека до нахождения для них долговременного решения</w:t>
      </w:r>
      <w:r w:rsidRPr="00680C39">
        <w:rPr>
          <w:sz w:val="18"/>
          <w:vertAlign w:val="superscript"/>
        </w:rPr>
        <w:footnoteReference w:id="11"/>
      </w:r>
      <w:r w:rsidRPr="008B21C3">
        <w:t>.</w:t>
      </w:r>
    </w:p>
    <w:p w:rsidR="008B21C3" w:rsidRPr="008B21C3" w:rsidRDefault="008B21C3" w:rsidP="008B21C3">
      <w:pPr>
        <w:pStyle w:val="SingleTxtGR"/>
      </w:pPr>
      <w:proofErr w:type="gramStart"/>
      <w:r w:rsidRPr="008B21C3">
        <w:t>3.4</w:t>
      </w:r>
      <w:r w:rsidRPr="008B21C3">
        <w:tab/>
        <w:t xml:space="preserve">Авторы далее утверждают, что согласно </w:t>
      </w:r>
      <w:r>
        <w:t>судебной</w:t>
      </w:r>
      <w:r w:rsidRPr="008B21C3">
        <w:t xml:space="preserve"> практике </w:t>
      </w:r>
      <w:proofErr w:type="spellStart"/>
      <w:r w:rsidRPr="008B21C3">
        <w:t>Европей</w:t>
      </w:r>
      <w:r w:rsidR="00AC6442" w:rsidRPr="00AC6442">
        <w:t>-</w:t>
      </w:r>
      <w:r w:rsidRPr="008B21C3">
        <w:t>ского</w:t>
      </w:r>
      <w:proofErr w:type="spellEnd"/>
      <w:r w:rsidRPr="008B21C3">
        <w:t xml:space="preserve"> суда по правам человека государства-участники в каждом случае обязаны расследовать вероятность реальной угрозы пыток, бесчеловечного или униж</w:t>
      </w:r>
      <w:r w:rsidRPr="008B21C3">
        <w:t>а</w:t>
      </w:r>
      <w:r w:rsidRPr="008B21C3">
        <w:t>ющего достоинство обращения при возвращении депортируемого лица</w:t>
      </w:r>
      <w:r w:rsidRPr="00680C39">
        <w:rPr>
          <w:sz w:val="18"/>
          <w:vertAlign w:val="superscript"/>
        </w:rPr>
        <w:footnoteReference w:id="12"/>
      </w:r>
      <w:r w:rsidRPr="008B21C3">
        <w:t xml:space="preserve">. Они </w:t>
      </w:r>
      <w:r w:rsidRPr="008B21C3">
        <w:lastRenderedPageBreak/>
        <w:t>также заявляют, что согласно ранее принятым решениям этого Суда дети обл</w:t>
      </w:r>
      <w:r w:rsidRPr="008B21C3">
        <w:t>а</w:t>
      </w:r>
      <w:r w:rsidRPr="008B21C3">
        <w:t>дают особыми потребностями и являются особо уязвимыми лицами, и что де</w:t>
      </w:r>
      <w:r w:rsidRPr="008B21C3">
        <w:t>т</w:t>
      </w:r>
      <w:r w:rsidRPr="008B21C3">
        <w:t>ские приемники должны быть адаптированы с учетом</w:t>
      </w:r>
      <w:proofErr w:type="gramEnd"/>
      <w:r w:rsidRPr="008B21C3">
        <w:t xml:space="preserve"> их возраста с тем, чтобы условия нахождения в них не вызывали у детей стресс и тревогу с особо тра</w:t>
      </w:r>
      <w:r w:rsidRPr="008B21C3">
        <w:t>в</w:t>
      </w:r>
      <w:r w:rsidRPr="008B21C3">
        <w:t>мирующими последствиями</w:t>
      </w:r>
      <w:r w:rsidRPr="00680C39">
        <w:rPr>
          <w:sz w:val="18"/>
          <w:vertAlign w:val="superscript"/>
        </w:rPr>
        <w:footnoteReference w:id="13"/>
      </w:r>
      <w:r w:rsidRPr="008B21C3">
        <w:t>.</w:t>
      </w:r>
    </w:p>
    <w:p w:rsidR="008B21C3" w:rsidRPr="008B21C3" w:rsidRDefault="008B21C3" w:rsidP="008B21C3">
      <w:pPr>
        <w:pStyle w:val="SingleTxtGR"/>
      </w:pPr>
      <w:r w:rsidRPr="008B21C3">
        <w:t>3.5</w:t>
      </w:r>
      <w:r w:rsidRPr="008B21C3">
        <w:tab/>
        <w:t>Авторы утверждают, что в существующих обстоятельствах с учетом их бегства от гражданской войны в Сирийской Арабской Республике, а также н</w:t>
      </w:r>
      <w:r w:rsidRPr="008B21C3">
        <w:t>е</w:t>
      </w:r>
      <w:r w:rsidRPr="008B21C3">
        <w:t>благоприятных условий жизни лиц, которым предоставлен статус беженцев в Болгарии, существует реальная угроза того, что в случае возвращения в Болг</w:t>
      </w:r>
      <w:r w:rsidRPr="008B21C3">
        <w:t>а</w:t>
      </w:r>
      <w:r w:rsidRPr="008B21C3">
        <w:t xml:space="preserve">рию они и их дети станут жертвами бесчеловечного и унижающего достоинство обращения вразрез с наилучшими интересами детей. Они считают, что в случае возвращения у них не будет возможности арендовать квартиру. </w:t>
      </w:r>
    </w:p>
    <w:p w:rsidR="008B21C3" w:rsidRPr="008B21C3" w:rsidRDefault="008B21C3" w:rsidP="00C5736C">
      <w:pPr>
        <w:pStyle w:val="H23GR"/>
      </w:pPr>
      <w:r w:rsidRPr="008B21C3">
        <w:tab/>
      </w:r>
      <w:r w:rsidRPr="008B21C3">
        <w:tab/>
        <w:t>Замечания государства-участника относительно приемлемости и существа сообщения</w:t>
      </w:r>
    </w:p>
    <w:p w:rsidR="008B21C3" w:rsidRPr="008B21C3" w:rsidRDefault="008B21C3" w:rsidP="008B21C3">
      <w:pPr>
        <w:pStyle w:val="SingleTxtGR"/>
      </w:pPr>
      <w:r w:rsidRPr="008B21C3">
        <w:t>4.1</w:t>
      </w:r>
      <w:r w:rsidRPr="008B21C3">
        <w:tab/>
        <w:t>4 августа 2015 года государство-участник представило свои замечания по приемлемости и существу сообщения и просило Комитет отменить временные меры. Государство-участник считает, что настоящее сообщение следует пр</w:t>
      </w:r>
      <w:r w:rsidRPr="008B21C3">
        <w:t>и</w:t>
      </w:r>
      <w:r w:rsidRPr="008B21C3">
        <w:t xml:space="preserve">знать неприемлемым, поскольку авторы </w:t>
      </w:r>
      <w:r w:rsidRPr="008B21C3">
        <w:rPr>
          <w:lang w:val="en-US"/>
        </w:rPr>
        <w:t>prima</w:t>
      </w:r>
      <w:r w:rsidRPr="008B21C3">
        <w:t xml:space="preserve"> </w:t>
      </w:r>
      <w:r w:rsidRPr="008B21C3">
        <w:rPr>
          <w:lang w:val="en-US"/>
        </w:rPr>
        <w:t>facie</w:t>
      </w:r>
      <w:r w:rsidRPr="008B21C3">
        <w:t xml:space="preserve"> не обосновали свою жалобу. Авторы не </w:t>
      </w:r>
      <w:r w:rsidR="00C5736C">
        <w:t>предъявили</w:t>
      </w:r>
      <w:r w:rsidRPr="008B21C3">
        <w:t xml:space="preserve"> достаточных обоснований для доказательства того, что им будет угрожать опасность бесчеловечного или унижающего достоинство о</w:t>
      </w:r>
      <w:r w:rsidRPr="008B21C3">
        <w:t>б</w:t>
      </w:r>
      <w:r w:rsidRPr="008B21C3">
        <w:t>ращения в случае возвращения в Болгарию. Апелляционный совет по делам беженцев признал, что у авторов есть вид на жительство в Болгарии и что у них не возникнет никаких проблем с гражданами и властями Болгарии. Кроме того, в случае возвращения в Болгарию им не будет угрожать высылка (</w:t>
      </w:r>
      <w:r w:rsidRPr="008B21C3">
        <w:rPr>
          <w:lang w:val="en-US"/>
        </w:rPr>
        <w:t>refoulement</w:t>
      </w:r>
      <w:r w:rsidRPr="008B21C3">
        <w:t>) в Сирийскую Арабскую Республику.</w:t>
      </w:r>
    </w:p>
    <w:p w:rsidR="008B21C3" w:rsidRPr="008B21C3" w:rsidRDefault="008B21C3" w:rsidP="008B21C3">
      <w:pPr>
        <w:pStyle w:val="SingleTxtGR"/>
      </w:pPr>
      <w:r w:rsidRPr="008B21C3">
        <w:t>4.2</w:t>
      </w:r>
      <w:r w:rsidRPr="008B21C3">
        <w:tab/>
        <w:t>Государство-участник также заявляет, что если Совет признает жалобу авторов приемлемой, то оно будет считать ее необоснованной, поскольку авт</w:t>
      </w:r>
      <w:r w:rsidRPr="008B21C3">
        <w:t>о</w:t>
      </w:r>
      <w:r w:rsidRPr="008B21C3">
        <w:t>ры не доказали, что их депортация в Болгарию станет нарушением статьи 7 Пакта. В этой связи государство-участник утверждает, что авторы не предст</w:t>
      </w:r>
      <w:r w:rsidRPr="008B21C3">
        <w:t>а</w:t>
      </w:r>
      <w:r w:rsidRPr="008B21C3">
        <w:t>вили никакой новой информации о своих личных обстоятельствах помимо той, которая послужила основанием для подачи ими прошения об убежище, как это отмечено в решении Апелляционного совета по делам беженцев от 20 января 2015 года. Государство-участник полагает, что в рамках всей процедуры пред</w:t>
      </w:r>
      <w:r w:rsidRPr="008B21C3">
        <w:t>о</w:t>
      </w:r>
      <w:r w:rsidRPr="008B21C3">
        <w:t xml:space="preserve">ставления убежища власти государства-участника принимали во внимание: </w:t>
      </w:r>
      <w:r w:rsidRPr="008B21C3">
        <w:br/>
        <w:t xml:space="preserve">а) что авторы подпадают под действие пункта 1 </w:t>
      </w:r>
      <w:r w:rsidR="00C5736C">
        <w:t>статьи</w:t>
      </w:r>
      <w:r w:rsidRPr="008B21C3">
        <w:t xml:space="preserve"> 7 Закона об иностранцах в силу обоснованного опасения подвергнуться целенаправленным личным пр</w:t>
      </w:r>
      <w:r w:rsidRPr="008B21C3">
        <w:t>е</w:t>
      </w:r>
      <w:r w:rsidRPr="008B21C3">
        <w:t xml:space="preserve">следованиям определенной степени жестокости в случае возвращения в свою страну происхождения; и </w:t>
      </w:r>
      <w:r w:rsidRPr="008B21C3">
        <w:rPr>
          <w:lang w:val="en-US"/>
        </w:rPr>
        <w:t>b</w:t>
      </w:r>
      <w:r w:rsidRPr="008B21C3">
        <w:t xml:space="preserve">) что авторам был предоставлен статус беженцев в Болгарии. Совет отказался предоставить убежище авторам в соответствии с пунктом 3 </w:t>
      </w:r>
      <w:r w:rsidR="00C5736C">
        <w:t>статьи</w:t>
      </w:r>
      <w:r w:rsidRPr="008B21C3">
        <w:t xml:space="preserve"> 7 Закона об иностранцах, так как Болгария может служить страной первого убежища авторов. В случае получения или возможности пол</w:t>
      </w:r>
      <w:r w:rsidRPr="008B21C3">
        <w:t>у</w:t>
      </w:r>
      <w:r w:rsidRPr="008B21C3">
        <w:t>чения просителем убежища защиты в стране первого убежища его или ее зая</w:t>
      </w:r>
      <w:r w:rsidRPr="008B21C3">
        <w:t>в</w:t>
      </w:r>
      <w:r w:rsidRPr="008B21C3">
        <w:t xml:space="preserve">ление на получение вида на жительство может быть в Дании отклонено. </w:t>
      </w:r>
      <w:r w:rsidRPr="008B21C3">
        <w:br/>
        <w:t>При рассмотрении вопроса о том, может ли какая-либо страна выступать в к</w:t>
      </w:r>
      <w:r w:rsidRPr="008B21C3">
        <w:t>а</w:t>
      </w:r>
      <w:r w:rsidRPr="008B21C3">
        <w:lastRenderedPageBreak/>
        <w:t>честве страны первого убежища, Совет применяет принцип защиты от высылки (</w:t>
      </w:r>
      <w:r w:rsidRPr="008B21C3">
        <w:rPr>
          <w:lang w:val="en-US"/>
        </w:rPr>
        <w:t>refoulement</w:t>
      </w:r>
      <w:r w:rsidRPr="008B21C3">
        <w:t>) и оценивает, может ли проситель убежища на законных основан</w:t>
      </w:r>
      <w:r w:rsidRPr="008B21C3">
        <w:t>и</w:t>
      </w:r>
      <w:r w:rsidRPr="008B21C3">
        <w:t xml:space="preserve">ях въехать в страну первого убежища и проживать в ней и будет ли в этой </w:t>
      </w:r>
      <w:r w:rsidRPr="008B21C3">
        <w:br/>
        <w:t>стране защищена его или ее неприкосновенность и безопасность. С учетом глав </w:t>
      </w:r>
      <w:r w:rsidRPr="008B21C3">
        <w:rPr>
          <w:lang w:val="en-US"/>
        </w:rPr>
        <w:t>II</w:t>
      </w:r>
      <w:r w:rsidRPr="008B21C3">
        <w:t>–</w:t>
      </w:r>
      <w:r w:rsidRPr="008B21C3">
        <w:rPr>
          <w:lang w:val="en-US"/>
        </w:rPr>
        <w:t>V</w:t>
      </w:r>
      <w:r w:rsidRPr="008B21C3">
        <w:t xml:space="preserve"> Конвенции о статусе беженцев концепция защиты включает также определенные социальные и финансовые элементы. Однако нельзя требовать того, чтобы просителям убежища обеспечивался точно такой же уровень соц</w:t>
      </w:r>
      <w:r w:rsidRPr="008B21C3">
        <w:t>и</w:t>
      </w:r>
      <w:r w:rsidRPr="008B21C3">
        <w:t>альной защиты и жизни, как и гражданам принимающей страны. Согласно ко</w:t>
      </w:r>
      <w:r w:rsidRPr="008B21C3">
        <w:t>н</w:t>
      </w:r>
      <w:r w:rsidRPr="008B21C3">
        <w:t>цепции защиты просителям убежища должна обеспечиваться личная безопа</w:t>
      </w:r>
      <w:r w:rsidRPr="008B21C3">
        <w:t>с</w:t>
      </w:r>
      <w:r w:rsidRPr="008B21C3">
        <w:t>ность при въезде и нахождении в стране, которая выступает в качестве страны первого убежища. При рассмотрении вопроса о том, может ли Болгария выст</w:t>
      </w:r>
      <w:r w:rsidRPr="008B21C3">
        <w:t>у</w:t>
      </w:r>
      <w:r w:rsidRPr="008B21C3">
        <w:t>пать в качестве страны первого убежища, Совет оценивает, будет ли просителю убежища как минимум обеспечиваться защита от возвращения в страну, в кот</w:t>
      </w:r>
      <w:r w:rsidRPr="008B21C3">
        <w:t>о</w:t>
      </w:r>
      <w:r w:rsidRPr="008B21C3">
        <w:t xml:space="preserve">рой он подвергался преследованиям. </w:t>
      </w:r>
    </w:p>
    <w:p w:rsidR="008B21C3" w:rsidRPr="008B21C3" w:rsidRDefault="008B21C3" w:rsidP="008B21C3">
      <w:pPr>
        <w:pStyle w:val="SingleTxtGR"/>
      </w:pPr>
      <w:r w:rsidRPr="008B21C3">
        <w:t>4.3</w:t>
      </w:r>
      <w:r w:rsidRPr="008B21C3">
        <w:tab/>
        <w:t>Государство-участник считает, что в своем решении от 20 января 2015 г</w:t>
      </w:r>
      <w:r w:rsidRPr="008B21C3">
        <w:t>о</w:t>
      </w:r>
      <w:r w:rsidRPr="008B21C3">
        <w:t>да Апелляционный совет по делам беженцев принял во внимание, что авторы смогли обеспечить оказание своей старшей дочери и женщине-автору медици</w:t>
      </w:r>
      <w:r w:rsidRPr="008B21C3">
        <w:t>н</w:t>
      </w:r>
      <w:r w:rsidRPr="008B21C3">
        <w:t xml:space="preserve">ской помощи, а также снять квартиру в Софии. Большинство членов Совета также отметили, что о младшей дочери не </w:t>
      </w:r>
      <w:r w:rsidR="00C5736C">
        <w:t>сообщено</w:t>
      </w:r>
      <w:r w:rsidRPr="008B21C3">
        <w:t xml:space="preserve"> никакой медицинской и</w:t>
      </w:r>
      <w:r w:rsidRPr="008B21C3">
        <w:t>н</w:t>
      </w:r>
      <w:r w:rsidRPr="008B21C3">
        <w:t>формации и что, по имеющимся общим сведениям, принято считать, что лица, которым в Болгарии предоставляется статус беженцев и защита, пользуются правами наравне с гражданами Болгарии. Совет пришел к выводу о том, что а</w:t>
      </w:r>
      <w:r w:rsidRPr="008B21C3">
        <w:t>в</w:t>
      </w:r>
      <w:r w:rsidRPr="008B21C3">
        <w:t>торы будут пользоваться необходимыми социальными правами в случае во</w:t>
      </w:r>
      <w:r w:rsidRPr="008B21C3">
        <w:t>з</w:t>
      </w:r>
      <w:r w:rsidRPr="008B21C3">
        <w:t>вращения в Болгарию на основе тщательной оценки заявлений авторов об их проживании и условиях жизни в этой стране, имеющихся общих сведений об условиях жизни в Болгарии и применимого международного прецедентного права. В этой связи государство-участник утверждает, что заявления авторов об условиях приема в Болгарии касаются исключительно лиц, подпадающих под действие Дублинской процедуры, а не оценки того, может ли какая-либо страна выступать в качестве страны первого убежища авторов.</w:t>
      </w:r>
    </w:p>
    <w:p w:rsidR="00CF7453" w:rsidRDefault="008B21C3" w:rsidP="008B21C3">
      <w:pPr>
        <w:pStyle w:val="SingleTxtGR"/>
      </w:pPr>
      <w:r w:rsidRPr="008B21C3">
        <w:t>4.4</w:t>
      </w:r>
      <w:r w:rsidRPr="008B21C3">
        <w:tab/>
        <w:t>По поводу условий жизни в Болгарии и ссылки авторов на доклад «Trapped in Europe’s quagmire: the situation of asylum seekers and refugees in Bulgaria» государство-участник отмечает, что 25 июня 2014 года была опубл</w:t>
      </w:r>
      <w:r w:rsidRPr="008B21C3">
        <w:t>и</w:t>
      </w:r>
      <w:r w:rsidRPr="008B21C3">
        <w:t>кована новая программа интеграции. К выполнению этой программы планир</w:t>
      </w:r>
      <w:r w:rsidRPr="008B21C3">
        <w:t>о</w:t>
      </w:r>
      <w:r w:rsidRPr="008B21C3">
        <w:t>валось приступить с 2015 года. Новая интеграционная программа будет охват</w:t>
      </w:r>
      <w:r w:rsidRPr="008B21C3">
        <w:t>ы</w:t>
      </w:r>
      <w:r w:rsidRPr="008B21C3">
        <w:t>вать гораздо более значительное число лиц, и организуемая в ее рамках язык</w:t>
      </w:r>
      <w:r w:rsidRPr="008B21C3">
        <w:t>о</w:t>
      </w:r>
      <w:r w:rsidRPr="008B21C3">
        <w:t>вая подготовка будет более доступной по сравнению с предыдущей програ</w:t>
      </w:r>
      <w:r w:rsidRPr="008B21C3">
        <w:t>м</w:t>
      </w:r>
      <w:r w:rsidRPr="008B21C3">
        <w:t>мой. Государство-участник отмечает, что сами по себе обстоятельства, в кот</w:t>
      </w:r>
      <w:r w:rsidRPr="008B21C3">
        <w:t>о</w:t>
      </w:r>
      <w:r w:rsidRPr="008B21C3">
        <w:t>рых авторы могут не иметь доступа к эффективной программе интеграции в Болгарии, не могут служить поводом для принятия иной оценки Болгарии как страны первого убежища.</w:t>
      </w:r>
    </w:p>
    <w:p w:rsidR="000E312F" w:rsidRPr="0042603E" w:rsidRDefault="000E312F" w:rsidP="000E312F">
      <w:pPr>
        <w:pStyle w:val="SingleTxtGR"/>
      </w:pPr>
      <w:r w:rsidRPr="0042603E">
        <w:t>4.5</w:t>
      </w:r>
      <w:r w:rsidRPr="0042603E">
        <w:tab/>
        <w:t xml:space="preserve">Относительно утверждения авторов о том, что им будет угрожать </w:t>
      </w:r>
      <w:r>
        <w:t>бездо</w:t>
      </w:r>
      <w:r>
        <w:t>м</w:t>
      </w:r>
      <w:r>
        <w:t>ность</w:t>
      </w:r>
      <w:r w:rsidRPr="0042603E">
        <w:t>, так как после получения вида на жительство власти перестают выплач</w:t>
      </w:r>
      <w:r w:rsidRPr="0042603E">
        <w:t>и</w:t>
      </w:r>
      <w:r w:rsidRPr="0042603E">
        <w:t>вать просителям убежища ежемесячное пособие, государство-участник утве</w:t>
      </w:r>
      <w:r w:rsidRPr="0042603E">
        <w:t>р</w:t>
      </w:r>
      <w:r w:rsidRPr="0042603E">
        <w:t>ждает, что беженцы приобретают права и обязательства граждан Болгарии</w:t>
      </w:r>
      <w:r>
        <w:t>,</w:t>
      </w:r>
      <w:r w:rsidRPr="0042603E">
        <w:t xml:space="preserve"> за исключением права на участие в выборах и занятие должностей, соискатели к</w:t>
      </w:r>
      <w:r w:rsidRPr="0042603E">
        <w:t>о</w:t>
      </w:r>
      <w:r w:rsidRPr="0042603E">
        <w:t>торых должны быть гражданами Болгарии</w:t>
      </w:r>
      <w:r>
        <w:rPr>
          <w:rStyle w:val="a6"/>
        </w:rPr>
        <w:footnoteReference w:id="14"/>
      </w:r>
      <w:r w:rsidRPr="0042603E">
        <w:t>. Хотя в последнее десятилетие в Болгарии регистрировалось примерно по 1</w:t>
      </w:r>
      <w:r>
        <w:t> </w:t>
      </w:r>
      <w:r w:rsidRPr="0042603E">
        <w:t>000 просителей убежища в год, в 2013 году прошения об убежище подали более 11</w:t>
      </w:r>
      <w:r>
        <w:t xml:space="preserve"> </w:t>
      </w:r>
      <w:r w:rsidRPr="0042603E">
        <w:t xml:space="preserve">000 человек, и Болгария не </w:t>
      </w:r>
      <w:r w:rsidRPr="0042603E">
        <w:lastRenderedPageBreak/>
        <w:t>готова к рассмотрению такого количества заявлений о предоставлении убеж</w:t>
      </w:r>
      <w:r w:rsidRPr="0042603E">
        <w:t>и</w:t>
      </w:r>
      <w:r w:rsidRPr="0042603E">
        <w:t>ща</w:t>
      </w:r>
      <w:r>
        <w:rPr>
          <w:rStyle w:val="a6"/>
        </w:rPr>
        <w:footnoteReference w:id="15"/>
      </w:r>
      <w:r w:rsidRPr="0042603E">
        <w:t>. Вместе с тем, сообщается, что условия содержания в приемных центрах были улучшены</w:t>
      </w:r>
      <w:r>
        <w:rPr>
          <w:rStyle w:val="a6"/>
        </w:rPr>
        <w:footnoteReference w:id="16"/>
      </w:r>
      <w:r w:rsidRPr="0042603E">
        <w:t>. Государство-участник также отмечает, что</w:t>
      </w:r>
      <w:r>
        <w:t>,</w:t>
      </w:r>
      <w:r w:rsidRPr="0042603E">
        <w:t xml:space="preserve"> по данным УВК</w:t>
      </w:r>
      <w:r>
        <w:t>Б,</w:t>
      </w:r>
      <w:r w:rsidRPr="0042603E">
        <w:t xml:space="preserve"> качественный уровень жилья просителей убежища и защиты лиц, пользующи</w:t>
      </w:r>
      <w:r w:rsidRPr="0042603E">
        <w:t>х</w:t>
      </w:r>
      <w:r w:rsidRPr="0042603E">
        <w:t>ся статусом беженцев, после выезда из регистрационных и приемных центров зависит от их трудоустройства и доходов, а также от их семейного положения</w:t>
      </w:r>
      <w:r>
        <w:rPr>
          <w:rStyle w:val="a6"/>
        </w:rPr>
        <w:footnoteReference w:id="17"/>
      </w:r>
      <w:r w:rsidRPr="0042603E">
        <w:t>. В целом семьи беженцев, особенно имеющие малолетних детей, признают, что домовладельцы проявляют к ним позитивное отношение. По состоянию на с</w:t>
      </w:r>
      <w:r w:rsidRPr="0042603E">
        <w:t>е</w:t>
      </w:r>
      <w:r w:rsidRPr="0042603E">
        <w:t>годняшний день ни одну семью не заставили выехать из регистрационных и приемных центров без предоставления им жилья или, по крайней мере, средств для его аренды. Аналогичным образом государство-участник возражает против утверждений авторов о том, что в случае депортации в Болгарию у них не будет возможности достичь минимального уровня жизни из-за отсутствия жилья, под чем подразумевается, что скорее всего им придется жить с детьми на улице.</w:t>
      </w:r>
    </w:p>
    <w:p w:rsidR="000E312F" w:rsidRPr="0042603E" w:rsidRDefault="000E312F" w:rsidP="000E312F">
      <w:pPr>
        <w:pStyle w:val="SingleTxtGR"/>
      </w:pPr>
      <w:r w:rsidRPr="0042603E">
        <w:t>4.6</w:t>
      </w:r>
      <w:r w:rsidRPr="0042603E">
        <w:tab/>
        <w:t>По вопросу о доступе к медицинским услугам и лечению государство-участник утверждает, что, по имеющимся общим сведениям, беженцы в Болг</w:t>
      </w:r>
      <w:r w:rsidRPr="0042603E">
        <w:t>а</w:t>
      </w:r>
      <w:r w:rsidRPr="0042603E">
        <w:t xml:space="preserve">рии имеют доступ к медицинским услугам на равных условиях с гражданами Болгарии, и медицинская помощь </w:t>
      </w:r>
      <w:r>
        <w:t>оказывается</w:t>
      </w:r>
      <w:r w:rsidRPr="0042603E">
        <w:t xml:space="preserve"> в случае регистрации просит</w:t>
      </w:r>
      <w:r w:rsidRPr="0042603E">
        <w:t>е</w:t>
      </w:r>
      <w:r w:rsidRPr="0042603E">
        <w:t>лей убежища или беженцев у врача общей практики</w:t>
      </w:r>
      <w:r>
        <w:rPr>
          <w:rStyle w:val="a6"/>
        </w:rPr>
        <w:footnoteReference w:id="18"/>
      </w:r>
      <w:r w:rsidRPr="0042603E">
        <w:t>. Исходя из этого, госуда</w:t>
      </w:r>
      <w:r w:rsidRPr="0042603E">
        <w:t>р</w:t>
      </w:r>
      <w:r w:rsidRPr="0042603E">
        <w:t>ство-участник считает доказанным, что в Болгарии авторы будут иметь доступ к необходимой медицинской помощи и лечению. Оно также полагает, что</w:t>
      </w:r>
      <w:r>
        <w:t>,</w:t>
      </w:r>
      <w:r w:rsidRPr="0042603E">
        <w:t xml:space="preserve"> с</w:t>
      </w:r>
      <w:r w:rsidRPr="0042603E">
        <w:t>о</w:t>
      </w:r>
      <w:r w:rsidRPr="0042603E">
        <w:t>гласно заявлению Н.А.К. на слушаниях в Апелляционном совете по делам б</w:t>
      </w:r>
      <w:r w:rsidRPr="0042603E">
        <w:t>е</w:t>
      </w:r>
      <w:r w:rsidRPr="0042603E">
        <w:t>женцев, врач уведомил авторов о том, что их дочь физически здорова, но у нее наблюдается психическое расстройство, и что Н.А.К вполне здорова. Судя по медицинскому заключению, которое прила</w:t>
      </w:r>
      <w:r>
        <w:t>галось к заявлению авторов от 6 </w:t>
      </w:r>
      <w:r w:rsidRPr="0042603E">
        <w:t>февраля 2016 года, оба ребенка находились под опекой приходящей медици</w:t>
      </w:r>
      <w:r w:rsidRPr="0042603E">
        <w:t>н</w:t>
      </w:r>
      <w:r w:rsidRPr="0042603E">
        <w:t>ской сестры, которая считала их здоровыми.</w:t>
      </w:r>
    </w:p>
    <w:p w:rsidR="000E312F" w:rsidRPr="0042603E" w:rsidRDefault="000E312F" w:rsidP="000E312F">
      <w:pPr>
        <w:pStyle w:val="SingleTxtGR"/>
      </w:pPr>
      <w:r w:rsidRPr="0042603E">
        <w:t>4.7</w:t>
      </w:r>
      <w:r w:rsidRPr="0042603E">
        <w:tab/>
        <w:t>Относительно жалоб авторов на недостаточный доступ своих детей к о</w:t>
      </w:r>
      <w:r w:rsidRPr="0042603E">
        <w:t>б</w:t>
      </w:r>
      <w:r w:rsidRPr="0042603E">
        <w:t>разованию государство-участник заявляет, что пользующиеся международной защитой лица и просители убежища в возрасте до 18 лет имеют доступ к обр</w:t>
      </w:r>
      <w:r w:rsidRPr="0042603E">
        <w:t>а</w:t>
      </w:r>
      <w:r w:rsidRPr="0042603E">
        <w:t>зованию на равных условиях с гражданами Болгарии. Однако до записи в м</w:t>
      </w:r>
      <w:r w:rsidRPr="0042603E">
        <w:t>у</w:t>
      </w:r>
      <w:r w:rsidRPr="0042603E">
        <w:t xml:space="preserve">ниципальные школы Болгарии дети беженцев и просителей убежища должны успешно пройти курс обучения языку. Обучение в начальной школе бесплатное. </w:t>
      </w:r>
    </w:p>
    <w:p w:rsidR="000E312F" w:rsidRPr="0042603E" w:rsidRDefault="000E312F" w:rsidP="000E312F">
      <w:pPr>
        <w:pStyle w:val="SingleTxtGR"/>
      </w:pPr>
      <w:r w:rsidRPr="0042603E">
        <w:t>4.8</w:t>
      </w:r>
      <w:r w:rsidRPr="0042603E">
        <w:tab/>
        <w:t>По поводу жалоб авторов на отсутствие защиты от актов расизма гос</w:t>
      </w:r>
      <w:r w:rsidRPr="0042603E">
        <w:t>у</w:t>
      </w:r>
      <w:r w:rsidRPr="0042603E">
        <w:t>дарство-участник отмечает, что болгарские власти осуждают расистские нап</w:t>
      </w:r>
      <w:r w:rsidRPr="0042603E">
        <w:t>а</w:t>
      </w:r>
      <w:r w:rsidRPr="0042603E">
        <w:t>дения и заявления и борются с ними. В этой связи государство-участник счит</w:t>
      </w:r>
      <w:r w:rsidRPr="0042603E">
        <w:t>а</w:t>
      </w:r>
      <w:r w:rsidRPr="0042603E">
        <w:t>ет, что в случае совершения подобных актов авторы могут обратиться за защ</w:t>
      </w:r>
      <w:r w:rsidRPr="0042603E">
        <w:t>и</w:t>
      </w:r>
      <w:r w:rsidRPr="0042603E">
        <w:t>той к болгарским властям</w:t>
      </w:r>
      <w:r>
        <w:rPr>
          <w:rStyle w:val="a6"/>
        </w:rPr>
        <w:footnoteReference w:id="19"/>
      </w:r>
      <w:r w:rsidRPr="0042603E">
        <w:t>.</w:t>
      </w:r>
    </w:p>
    <w:p w:rsidR="000E312F" w:rsidRPr="0042603E" w:rsidRDefault="000E312F" w:rsidP="000E312F">
      <w:pPr>
        <w:pStyle w:val="SingleTxtGR"/>
      </w:pPr>
      <w:r w:rsidRPr="0042603E">
        <w:lastRenderedPageBreak/>
        <w:t>4.9</w:t>
      </w:r>
      <w:r w:rsidRPr="0042603E">
        <w:tab/>
        <w:t xml:space="preserve">Государство-участник ссылается на </w:t>
      </w:r>
      <w:r>
        <w:t xml:space="preserve">судебную </w:t>
      </w:r>
      <w:r w:rsidRPr="0042603E">
        <w:t>практику Европейского с</w:t>
      </w:r>
      <w:r w:rsidRPr="0042603E">
        <w:t>у</w:t>
      </w:r>
      <w:r w:rsidRPr="0042603E">
        <w:t>да по правам человека, согласно которой оценка наличия серьезных оснований полагать, что заявителям будет угрожать реальная опасность обращения, пр</w:t>
      </w:r>
      <w:r w:rsidRPr="0042603E">
        <w:t>о</w:t>
      </w:r>
      <w:r w:rsidRPr="0042603E">
        <w:t>тиворечащего статье 3 Европейской конвенции по правам человека, непременно должна быть скрупулезной и неизбежно требует проведения Судом анализа условий жизни в принимающей стране с точки зрения этого положения Ко</w:t>
      </w:r>
      <w:r w:rsidRPr="0042603E">
        <w:t>н</w:t>
      </w:r>
      <w:r w:rsidRPr="0042603E">
        <w:t>венции. Суд также заявил, что подлежащие высылке иностранцы в принципе не могут требовать права оставаться на территории договаривающегося госуда</w:t>
      </w:r>
      <w:r w:rsidRPr="0042603E">
        <w:t>р</w:t>
      </w:r>
      <w:r w:rsidRPr="0042603E">
        <w:t>ства для того, чтобы продолжать пользоваться медицинскими, социальными и другими формами помощи, и что при отсутствии исключительно убедительных гуманитарных причин для их невысылки сам по себе тот факт, что материал</w:t>
      </w:r>
      <w:r w:rsidRPr="0042603E">
        <w:t>ь</w:t>
      </w:r>
      <w:r w:rsidRPr="0042603E">
        <w:t>ные и социальные условия жизни заявителя будут существенно ухудшены в случае его или ее высылки из договаривающегося государства-участника</w:t>
      </w:r>
      <w:r>
        <w:t>,</w:t>
      </w:r>
      <w:r w:rsidRPr="0042603E">
        <w:t xml:space="preserve"> не является достаточным для признания нарушения статьи 3 Конвенции</w:t>
      </w:r>
      <w:r>
        <w:rPr>
          <w:rStyle w:val="a6"/>
        </w:rPr>
        <w:footnoteReference w:id="20"/>
      </w:r>
      <w:r w:rsidRPr="0042603E">
        <w:t>. Кроме того, Суд заявил, что статья 3 не может истолковываться как обязывающая в</w:t>
      </w:r>
      <w:r w:rsidRPr="0042603E">
        <w:t>ы</w:t>
      </w:r>
      <w:r w:rsidRPr="0042603E">
        <w:t>сокие договаривающиеся стороны предоставлять каждому находящемуся под их юрисдикцией лицу жилье и не влечет за собой никакого общего обязател</w:t>
      </w:r>
      <w:r w:rsidRPr="0042603E">
        <w:t>ь</w:t>
      </w:r>
      <w:r w:rsidRPr="0042603E">
        <w:t>ства оказывать беженцам финансовую помощь, чтобы они могли поддерживать определенный уровень жизни</w:t>
      </w:r>
      <w:r w:rsidRPr="006D75D0">
        <w:rPr>
          <w:sz w:val="18"/>
          <w:szCs w:val="18"/>
          <w:vertAlign w:val="superscript"/>
        </w:rPr>
        <w:footnoteReference w:id="21"/>
      </w:r>
      <w:r w:rsidRPr="0042603E">
        <w:t>.</w:t>
      </w:r>
    </w:p>
    <w:p w:rsidR="000E312F" w:rsidRPr="0042603E" w:rsidRDefault="000E312F" w:rsidP="000E312F">
      <w:pPr>
        <w:pStyle w:val="SingleTxtGR"/>
      </w:pPr>
      <w:r w:rsidRPr="0042603E">
        <w:t>4.10</w:t>
      </w:r>
      <w:r w:rsidRPr="0042603E">
        <w:tab/>
        <w:t>Помимо этого, по мнению государства-участника, из решения Европе</w:t>
      </w:r>
      <w:r w:rsidRPr="0042603E">
        <w:t>й</w:t>
      </w:r>
      <w:r w:rsidRPr="0042603E">
        <w:t xml:space="preserve">ского суда по делу </w:t>
      </w:r>
      <w:r w:rsidRPr="0042603E">
        <w:rPr>
          <w:i/>
          <w:iCs/>
        </w:rPr>
        <w:t>Таракхель против Швейцарии</w:t>
      </w:r>
      <w:r w:rsidRPr="0042603E">
        <w:t xml:space="preserve"> нельзя сделать вывод о том, что в настоящем случае, прежде чем станет возможным выслать авторов, у бо</w:t>
      </w:r>
      <w:r w:rsidRPr="0042603E">
        <w:t>л</w:t>
      </w:r>
      <w:r w:rsidRPr="0042603E">
        <w:t>гарских властей следовало получить индивидуальные гарантии</w:t>
      </w:r>
      <w:r w:rsidRPr="006D75D0">
        <w:rPr>
          <w:sz w:val="18"/>
          <w:szCs w:val="18"/>
          <w:vertAlign w:val="superscript"/>
        </w:rPr>
        <w:footnoteReference w:id="22"/>
      </w:r>
      <w:r w:rsidRPr="0042603E">
        <w:t>. По результ</w:t>
      </w:r>
      <w:r w:rsidRPr="0042603E">
        <w:t>а</w:t>
      </w:r>
      <w:r w:rsidRPr="0042603E">
        <w:t>там оценки конкретных обстоятельств авторов и имеющихся общих справочных сведений Апелляционный совет по делам беженцев пришел к выводу о том, что они не доказали наличие опасности подвергнуться бесчеловечному или униж</w:t>
      </w:r>
      <w:r w:rsidRPr="0042603E">
        <w:t>а</w:t>
      </w:r>
      <w:r w:rsidRPr="0042603E">
        <w:t>ющему достоинство обращению или наказанию в случае депортации в Болг</w:t>
      </w:r>
      <w:r w:rsidRPr="0042603E">
        <w:t>а</w:t>
      </w:r>
      <w:r w:rsidRPr="0042603E">
        <w:t>рию. В этой связи государство-участник напоминает ранее принятые решения Комитета, согласно которым необходимо придавать весомое значение пров</w:t>
      </w:r>
      <w:r w:rsidRPr="0042603E">
        <w:t>е</w:t>
      </w:r>
      <w:r w:rsidRPr="0042603E">
        <w:t>денной государством-участником оценке, если только не будет установлено, что такая оценка носила явно произвольный характер или была равнозначна отказу в правосудии и что, как правило, именно органы государств – участников Пакта должны рассматривать и оценивать факты и доказательства для определения наличия такой угрозы</w:t>
      </w:r>
      <w:r w:rsidRPr="006D75D0">
        <w:rPr>
          <w:sz w:val="18"/>
          <w:szCs w:val="18"/>
          <w:vertAlign w:val="superscript"/>
        </w:rPr>
        <w:footnoteReference w:id="23"/>
      </w:r>
      <w:r w:rsidRPr="0042603E">
        <w:t>. Государство-участник далее утверждает, что авторы не указали на какие-либо нарушения в процессе принятия решений или на какой-либо фактор риска, который должным образом не был учтен властями госуда</w:t>
      </w:r>
      <w:r w:rsidRPr="0042603E">
        <w:t>р</w:t>
      </w:r>
      <w:r w:rsidRPr="0042603E">
        <w:t>ства-участника</w:t>
      </w:r>
      <w:r w:rsidRPr="006D75D0">
        <w:rPr>
          <w:sz w:val="18"/>
          <w:szCs w:val="18"/>
          <w:vertAlign w:val="superscript"/>
        </w:rPr>
        <w:footnoteReference w:id="24"/>
      </w:r>
      <w:r w:rsidRPr="0042603E">
        <w:t>.</w:t>
      </w:r>
    </w:p>
    <w:p w:rsidR="000E312F" w:rsidRPr="0042603E" w:rsidRDefault="000E312F" w:rsidP="000E312F">
      <w:pPr>
        <w:pStyle w:val="SingleTxtGR"/>
      </w:pPr>
      <w:r w:rsidRPr="0042603E">
        <w:t>4.11</w:t>
      </w:r>
      <w:r w:rsidRPr="0042603E">
        <w:tab/>
        <w:t>Государство-участник отмечает, что в настоящем случае по отношению к авторам были применены все надлежащие процессуальные гарантии. По его мнению, авторы всего лишь выражают несогласие с произведенной Апелляц</w:t>
      </w:r>
      <w:r w:rsidRPr="0042603E">
        <w:t>и</w:t>
      </w:r>
      <w:r w:rsidRPr="0042603E">
        <w:lastRenderedPageBreak/>
        <w:t>онным советом по делам беженцев оценкой их конкретных обстоятельств и о</w:t>
      </w:r>
      <w:r w:rsidRPr="0042603E">
        <w:t>б</w:t>
      </w:r>
      <w:r w:rsidRPr="0042603E">
        <w:t>щих сведений по их делу и пытаются использовать Комитет в качестве апелл</w:t>
      </w:r>
      <w:r w:rsidRPr="0042603E">
        <w:t>я</w:t>
      </w:r>
      <w:r w:rsidRPr="0042603E">
        <w:t>ционной инстанции в интересах пересмотра Комитетом фактических обсто</w:t>
      </w:r>
      <w:r w:rsidRPr="0042603E">
        <w:t>я</w:t>
      </w:r>
      <w:r w:rsidRPr="0042603E">
        <w:t>тельств дела. Исходя из этого, государство-участник считает, что Комитет до</w:t>
      </w:r>
      <w:r w:rsidRPr="0042603E">
        <w:t>л</w:t>
      </w:r>
      <w:r w:rsidRPr="0042603E">
        <w:t>жен надлежащим образом учитывать выводы Совета, который находится в б</w:t>
      </w:r>
      <w:r w:rsidRPr="0042603E">
        <w:t>о</w:t>
      </w:r>
      <w:r w:rsidRPr="0042603E">
        <w:t>лее благоприятном положении для оценки фактических обстоятельств по делу авторов.</w:t>
      </w:r>
    </w:p>
    <w:p w:rsidR="000E312F" w:rsidRPr="0042603E" w:rsidRDefault="000E312F" w:rsidP="000E312F">
      <w:pPr>
        <w:pStyle w:val="SingleTxtGR"/>
      </w:pPr>
      <w:r w:rsidRPr="0042603E">
        <w:t>4.12</w:t>
      </w:r>
      <w:r w:rsidRPr="0042603E">
        <w:tab/>
        <w:t>Государство-участник также утверждает, что произведенная Апелляцио</w:t>
      </w:r>
      <w:r w:rsidRPr="0042603E">
        <w:t>н</w:t>
      </w:r>
      <w:r w:rsidRPr="0042603E">
        <w:t xml:space="preserve">ным советом по делам беженцев оценка не носила произвольного характера и не была равнозначна отказу в правосудии и что по этой причине отсутствуют какие-либо основания оспаривать такую оценку, согласно которой авторы не доказали, что в случае депортации в Болгарию им будет угрожать опасность бесчеловечного или унижающего достоинство обращения или наказания. </w:t>
      </w:r>
      <w:r w:rsidRPr="0042603E">
        <w:br/>
        <w:t>С учетом вышесказанного государство-участник заявляет, что высылка авторов в Болгарию не будет являться нарушением статьи 7 Пакта.</w:t>
      </w:r>
    </w:p>
    <w:p w:rsidR="000E312F" w:rsidRPr="0042603E" w:rsidRDefault="000E312F" w:rsidP="000E312F">
      <w:pPr>
        <w:pStyle w:val="H23GR"/>
      </w:pPr>
      <w:r w:rsidRPr="0042603E">
        <w:tab/>
      </w:r>
      <w:r w:rsidRPr="0042603E">
        <w:tab/>
        <w:t xml:space="preserve">Комментарии авторов </w:t>
      </w:r>
      <w:r>
        <w:t>по</w:t>
      </w:r>
      <w:r w:rsidRPr="0042603E">
        <w:t xml:space="preserve"> замеча</w:t>
      </w:r>
      <w:r>
        <w:t>ниям</w:t>
      </w:r>
      <w:r w:rsidRPr="0042603E">
        <w:t xml:space="preserve"> государства-участника</w:t>
      </w:r>
    </w:p>
    <w:p w:rsidR="000E312F" w:rsidRPr="0042603E" w:rsidRDefault="000E312F" w:rsidP="000E312F">
      <w:pPr>
        <w:pStyle w:val="SingleTxtGR"/>
      </w:pPr>
      <w:r w:rsidRPr="0042603E">
        <w:t>5.1</w:t>
      </w:r>
      <w:r w:rsidRPr="0042603E">
        <w:tab/>
        <w:t>В своих комментариях от 19 ноября 2015 года авторы указали, что их д</w:t>
      </w:r>
      <w:r w:rsidRPr="0042603E">
        <w:t>е</w:t>
      </w:r>
      <w:r w:rsidRPr="0042603E">
        <w:t>портация в Болгарию станет нарушением статьи 7 Пакта. Авторы считают, что они столкнуться с бесчеловечным и унижающим достоинство обращением, так как будут вынуждены жить на улице без доступа к жилью, продовольствию и санитарным удобствам и без перспектив нахождения долгосрочных гуманита</w:t>
      </w:r>
      <w:r w:rsidRPr="0042603E">
        <w:t>р</w:t>
      </w:r>
      <w:r w:rsidRPr="0042603E">
        <w:t>ных решений.</w:t>
      </w:r>
    </w:p>
    <w:p w:rsidR="000E312F" w:rsidRPr="0042603E" w:rsidRDefault="000E312F" w:rsidP="000E312F">
      <w:pPr>
        <w:pStyle w:val="SingleTxtGR"/>
      </w:pPr>
      <w:r w:rsidRPr="0042603E">
        <w:t>5.2</w:t>
      </w:r>
      <w:r w:rsidRPr="0042603E">
        <w:tab/>
        <w:t>По вопросу о том, может ли Болгария выступать в качестве страны перв</w:t>
      </w:r>
      <w:r w:rsidRPr="0042603E">
        <w:t>о</w:t>
      </w:r>
      <w:r w:rsidRPr="0042603E">
        <w:t>го убежища, авторы заявляют, что согласно самым последним общим сведениям о положении беженцев, имеющих временный вид на жительство, Болгария не в состоянии обеспечивать беженцам базовые гуманитарные условия. Авторы утверждают, что любому беженцу как минимум должно быть обеспечено жилье и доступ к оплачиваемой работе либо пособие до его трудоустройства. Авторы считают, что в Болгарии такой базовый минимум не доступен.</w:t>
      </w:r>
    </w:p>
    <w:p w:rsidR="000E312F" w:rsidRPr="0042603E" w:rsidRDefault="000E312F" w:rsidP="000E312F">
      <w:pPr>
        <w:pStyle w:val="SingleTxtGR"/>
      </w:pPr>
      <w:r w:rsidRPr="0042603E">
        <w:t>5.3</w:t>
      </w:r>
      <w:r w:rsidRPr="0042603E">
        <w:tab/>
        <w:t>По поводу условий жизни в Болгарии авторы заявляют, что государство-участник ошибается, полагая, что проживающим в приемных центрах лицам разрешается в них подолгу оставаться после предоставления им статуса беже</w:t>
      </w:r>
      <w:r w:rsidRPr="0042603E">
        <w:t>н</w:t>
      </w:r>
      <w:r w:rsidRPr="0042603E">
        <w:t>цев или гуманитарного статуса. Они вновь подчеркивают, что лица, имеющие действующий защищенный статус, сталкиваются в Болгарии с серьезными трудностями при поисках элементарного жилья, доступе к санитарным удо</w:t>
      </w:r>
      <w:r w:rsidRPr="0042603E">
        <w:t>б</w:t>
      </w:r>
      <w:r w:rsidRPr="0042603E">
        <w:t>ствам и продовольствию. Авторы ссылаются на доклад Комиссара Совета Е</w:t>
      </w:r>
      <w:r w:rsidRPr="0042603E">
        <w:t>в</w:t>
      </w:r>
      <w:r w:rsidRPr="0042603E">
        <w:t>ропы по правам человека по итогам посещения Болгарии, согласно которому существующая в болгарском обществе система поддержки интеграции беже</w:t>
      </w:r>
      <w:r w:rsidRPr="0042603E">
        <w:t>н</w:t>
      </w:r>
      <w:r w:rsidRPr="0042603E">
        <w:t>цев и других пользующихся международной защитой лиц до сих пор имеет с</w:t>
      </w:r>
      <w:r w:rsidRPr="0042603E">
        <w:t>е</w:t>
      </w:r>
      <w:r w:rsidRPr="0042603E">
        <w:t>рьезные недостатки. В своем докладе Комиссар также отметил, что в приемных центрах остаются несколько сотен признанных беженцами лиц из-за отсутствия у них средств для ведения самостоятельного образа жизни. Власти разрешают им оставаться в приемных центрах до шести месяцев после предоставления им статуса беженцев</w:t>
      </w:r>
      <w:r w:rsidRPr="006D75D0">
        <w:rPr>
          <w:sz w:val="18"/>
          <w:szCs w:val="18"/>
          <w:vertAlign w:val="superscript"/>
        </w:rPr>
        <w:footnoteReference w:id="25"/>
      </w:r>
      <w:r w:rsidRPr="0042603E">
        <w:t>. Авторы далее ссылаются на доклад организации «Межд</w:t>
      </w:r>
      <w:r w:rsidRPr="0042603E">
        <w:t>у</w:t>
      </w:r>
      <w:r w:rsidRPr="0042603E">
        <w:t>народная амнистия», которая установила, что признанные беженцы сталкив</w:t>
      </w:r>
      <w:r w:rsidRPr="0042603E">
        <w:t>а</w:t>
      </w:r>
      <w:r w:rsidRPr="0042603E">
        <w:t xml:space="preserve">ются с проблемами в доступе к образованию, жилью, медицинской помощи и </w:t>
      </w:r>
      <w:r w:rsidRPr="0042603E">
        <w:lastRenderedPageBreak/>
        <w:t>другим государственным услугам</w:t>
      </w:r>
      <w:r w:rsidRPr="006D75D0">
        <w:rPr>
          <w:sz w:val="18"/>
          <w:szCs w:val="18"/>
          <w:vertAlign w:val="superscript"/>
        </w:rPr>
        <w:footnoteReference w:id="26"/>
      </w:r>
      <w:r w:rsidRPr="0042603E">
        <w:t>. В этой связи авторы утверждают, что усл</w:t>
      </w:r>
      <w:r w:rsidRPr="0042603E">
        <w:t>о</w:t>
      </w:r>
      <w:r w:rsidRPr="0042603E">
        <w:t>вия жизни признанных беженцев страдают существенными недостатками и что беженцы сталкиваются с серьезными интеграционными трудностями, угрож</w:t>
      </w:r>
      <w:r w:rsidRPr="0042603E">
        <w:t>а</w:t>
      </w:r>
      <w:r w:rsidRPr="0042603E">
        <w:t>ющими осуществлению ими своих социальных и культурных прав, включая п</w:t>
      </w:r>
      <w:r w:rsidRPr="0042603E">
        <w:t>о</w:t>
      </w:r>
      <w:r w:rsidRPr="0042603E">
        <w:t>вышенную опасность стать бездомными, высокие уровни безработицы, отсу</w:t>
      </w:r>
      <w:r w:rsidRPr="0042603E">
        <w:t>т</w:t>
      </w:r>
      <w:r w:rsidRPr="0042603E">
        <w:t xml:space="preserve">ствие реального доступа к образованию и проблемы в доступе к медицинским услугам. Помимо этого, авторы заявляют, что условия их жизни в Болгарии по возвращению в эту страну будут еще хуже, чем до выезда в Данию, поскольку им будет запрещен доступ в приемные центры, </w:t>
      </w:r>
      <w:r>
        <w:t xml:space="preserve">поскольку </w:t>
      </w:r>
      <w:r w:rsidRPr="0042603E">
        <w:t>ранее они уже в них проживали.</w:t>
      </w:r>
    </w:p>
    <w:p w:rsidR="000E312F" w:rsidRPr="0042603E" w:rsidRDefault="000E312F" w:rsidP="000E312F">
      <w:pPr>
        <w:pStyle w:val="SingleTxtGR"/>
      </w:pPr>
      <w:r w:rsidRPr="0042603E">
        <w:t>5.4</w:t>
      </w:r>
      <w:r w:rsidRPr="0042603E">
        <w:tab/>
        <w:t xml:space="preserve">Относительно решения Европейского суда по правам человека по делу </w:t>
      </w:r>
      <w:r w:rsidRPr="0042603E">
        <w:rPr>
          <w:i/>
          <w:iCs/>
        </w:rPr>
        <w:t xml:space="preserve">Самсам Мохаммед Хуссейн и другие против Нидерландов и Италии </w:t>
      </w:r>
      <w:r w:rsidRPr="0042603E">
        <w:t>авторы з</w:t>
      </w:r>
      <w:r w:rsidRPr="0042603E">
        <w:t>а</w:t>
      </w:r>
      <w:r w:rsidRPr="0042603E">
        <w:t>являют, что речь в данном случае идет не об ухудшении физических и социал</w:t>
      </w:r>
      <w:r w:rsidRPr="0042603E">
        <w:t>ь</w:t>
      </w:r>
      <w:r w:rsidRPr="0042603E">
        <w:t>ных условий жизни, а о том, что условия жизни в Болгарии не достигают уро</w:t>
      </w:r>
      <w:r w:rsidRPr="0042603E">
        <w:t>в</w:t>
      </w:r>
      <w:r w:rsidRPr="0042603E">
        <w:t>ня базовых гуманитарных стандартов, предусмотренных в заключении №</w:t>
      </w:r>
      <w:r>
        <w:t> </w:t>
      </w:r>
      <w:r w:rsidRPr="0042603E">
        <w:t>58 Исполнительного комитета УВК</w:t>
      </w:r>
      <w:r>
        <w:t>Б</w:t>
      </w:r>
      <w:r w:rsidRPr="0042603E">
        <w:t xml:space="preserve"> по проблеме беженцев и просителей убеж</w:t>
      </w:r>
      <w:r w:rsidRPr="0042603E">
        <w:t>и</w:t>
      </w:r>
      <w:r w:rsidRPr="0042603E">
        <w:t>ща, которые незаконно переехали из страны, в которой им уже предоставлена защита. Авторы заявляют, что уже жили в качестве беженцев в Болгарии и пр</w:t>
      </w:r>
      <w:r w:rsidRPr="0042603E">
        <w:t>и</w:t>
      </w:r>
      <w:r w:rsidRPr="0042603E">
        <w:t>обрели опыт такой жизни в условиях, когда они не получали никакой финанс</w:t>
      </w:r>
      <w:r w:rsidRPr="0042603E">
        <w:t>о</w:t>
      </w:r>
      <w:r w:rsidRPr="0042603E">
        <w:t>вой или медицинской помощи. Они не стали бездомными исключительно бл</w:t>
      </w:r>
      <w:r w:rsidRPr="0042603E">
        <w:t>а</w:t>
      </w:r>
      <w:r w:rsidRPr="0042603E">
        <w:t>годаря помощи их семьи, проживающей в Сирийской Арабской Республике.</w:t>
      </w:r>
    </w:p>
    <w:p w:rsidR="000E312F" w:rsidRPr="0042603E" w:rsidRDefault="000E312F" w:rsidP="000E312F">
      <w:pPr>
        <w:pStyle w:val="SingleTxtGR"/>
      </w:pPr>
      <w:r w:rsidRPr="0042603E">
        <w:t>5.5</w:t>
      </w:r>
      <w:r w:rsidRPr="0042603E">
        <w:tab/>
        <w:t xml:space="preserve">Авторы утверждают, что решение Европейского суда по правам человека по делу </w:t>
      </w:r>
      <w:r w:rsidRPr="0042603E">
        <w:rPr>
          <w:i/>
          <w:iCs/>
        </w:rPr>
        <w:t>Таракхель против Швейцарии</w:t>
      </w:r>
      <w:r w:rsidRPr="0042603E">
        <w:t xml:space="preserve"> имеет прямое отношение к их делу, п</w:t>
      </w:r>
      <w:r w:rsidRPr="0042603E">
        <w:t>о</w:t>
      </w:r>
      <w:r w:rsidRPr="0042603E">
        <w:t>скольку Суд признал, что при отсутствии надлежащих приемных центров, об</w:t>
      </w:r>
      <w:r w:rsidRPr="0042603E">
        <w:t>у</w:t>
      </w:r>
      <w:r w:rsidRPr="0042603E">
        <w:t>строенных с учетом интересов детей, «условия достигнут такой степени жест</w:t>
      </w:r>
      <w:r w:rsidRPr="0042603E">
        <w:t>о</w:t>
      </w:r>
      <w:r w:rsidRPr="0042603E">
        <w:t>кости, которая подпадает под действие запрета, предусмотренного статьей 3 Европейской конвенции о правах человека». Авторы считают, что в соотве</w:t>
      </w:r>
      <w:r w:rsidRPr="0042603E">
        <w:t>т</w:t>
      </w:r>
      <w:r w:rsidRPr="0042603E">
        <w:t>ствии с мнением Суда необходимы индивидуальные гарантии, особенно в о</w:t>
      </w:r>
      <w:r w:rsidRPr="0042603E">
        <w:t>т</w:t>
      </w:r>
      <w:r w:rsidRPr="0042603E">
        <w:t>ношении избавления детей от нужды и тяжелых жилищных условий.</w:t>
      </w:r>
    </w:p>
    <w:p w:rsidR="000E312F" w:rsidRPr="0042603E" w:rsidRDefault="000E312F" w:rsidP="000E312F">
      <w:pPr>
        <w:pStyle w:val="SingleTxtGR"/>
      </w:pPr>
      <w:r w:rsidRPr="0042603E">
        <w:t>5.6</w:t>
      </w:r>
      <w:r w:rsidRPr="0042603E">
        <w:tab/>
        <w:t xml:space="preserve">Авторы далее ссылаются на Соображения Комитета по делу </w:t>
      </w:r>
      <w:r w:rsidRPr="0042603E">
        <w:rPr>
          <w:i/>
          <w:iCs/>
        </w:rPr>
        <w:t>Ясин и др. против Дании</w:t>
      </w:r>
      <w:r w:rsidRPr="0042603E">
        <w:t xml:space="preserve">, в </w:t>
      </w:r>
      <w:proofErr w:type="gramStart"/>
      <w:r w:rsidRPr="0042603E">
        <w:t>которых</w:t>
      </w:r>
      <w:proofErr w:type="gramEnd"/>
      <w:r w:rsidRPr="0042603E">
        <w:t xml:space="preserve"> Комитет указал, что государства обязаны должным образом учитывать реальную и личную опасность, которая будет угрожать лицу в случае его высылки. Для этого необходимо производить индивидуальную оценку риска для данного лица, а не полагаться на общие доклады и не исх</w:t>
      </w:r>
      <w:r w:rsidRPr="0042603E">
        <w:t>о</w:t>
      </w:r>
      <w:r w:rsidRPr="0042603E">
        <w:t>дить из того, что, получив ранее субсидиарную защиту, оно будет в принципе иметь право на работу и социальные пособия</w:t>
      </w:r>
      <w:r w:rsidRPr="006D75D0">
        <w:rPr>
          <w:sz w:val="18"/>
          <w:szCs w:val="18"/>
          <w:vertAlign w:val="superscript"/>
        </w:rPr>
        <w:footnoteReference w:id="27"/>
      </w:r>
      <w:r w:rsidRPr="0042603E">
        <w:t xml:space="preserve">. </w:t>
      </w:r>
    </w:p>
    <w:p w:rsidR="000E312F" w:rsidRPr="0042603E" w:rsidRDefault="000E312F" w:rsidP="000E312F">
      <w:pPr>
        <w:pStyle w:val="SingleTxtGR"/>
      </w:pPr>
      <w:r w:rsidRPr="0042603E">
        <w:t>5.7</w:t>
      </w:r>
      <w:proofErr w:type="gramStart"/>
      <w:r w:rsidRPr="0042603E">
        <w:tab/>
        <w:t>И</w:t>
      </w:r>
      <w:proofErr w:type="gramEnd"/>
      <w:r w:rsidRPr="0042603E">
        <w:t>сходя из этого, авторы утверждают, что их жалоба является приемлемой и что они привели достаточно доводов в обоснование их боязни возвращения в Болгарию, поскольку она не может служить страной первого убежища. Авторы заявляют, что Апелляционный совет по делам беженцев должным образом не принял во внимание реальную и личную угрозу, с которой они столкнуться в случае высылки в Болгарию.</w:t>
      </w:r>
    </w:p>
    <w:p w:rsidR="000E312F" w:rsidRPr="0042603E" w:rsidRDefault="000E312F" w:rsidP="000E312F">
      <w:pPr>
        <w:pStyle w:val="H23GR"/>
      </w:pPr>
      <w:r w:rsidRPr="0042603E">
        <w:tab/>
      </w:r>
      <w:r w:rsidRPr="0042603E">
        <w:tab/>
        <w:t>Дополнительные замечания государства-участника</w:t>
      </w:r>
    </w:p>
    <w:p w:rsidR="000E312F" w:rsidRPr="0042603E" w:rsidRDefault="000E312F" w:rsidP="000E312F">
      <w:pPr>
        <w:pStyle w:val="SingleTxtGR"/>
      </w:pPr>
      <w:r w:rsidRPr="0042603E">
        <w:t>6.1</w:t>
      </w:r>
      <w:proofErr w:type="gramStart"/>
      <w:r w:rsidRPr="0042603E">
        <w:tab/>
        <w:t>В</w:t>
      </w:r>
      <w:proofErr w:type="gramEnd"/>
      <w:r w:rsidRPr="0042603E">
        <w:t xml:space="preserve"> своих дополнительных замечаниях от 17 мая 2016 года государство-участник ссылается на свои замечания от 4 августа 2015 года. По поводу ссы</w:t>
      </w:r>
      <w:r w:rsidRPr="0042603E">
        <w:t>л</w:t>
      </w:r>
      <w:r w:rsidRPr="0042603E">
        <w:t>ки авторов на доклад Комиссара Совета Европы по правам человека госуда</w:t>
      </w:r>
      <w:r w:rsidRPr="0042603E">
        <w:t>р</w:t>
      </w:r>
      <w:r w:rsidRPr="0042603E">
        <w:lastRenderedPageBreak/>
        <w:t>ство-участник отмечает, что со 2 сентября 2015 года он был включен в общий информационно-справочный материал Апелляционного совета по делам беже</w:t>
      </w:r>
      <w:r w:rsidRPr="0042603E">
        <w:t>н</w:t>
      </w:r>
      <w:r w:rsidRPr="0042603E">
        <w:t>цев и таким образом принят во внимание при оценке дела Советом.</w:t>
      </w:r>
    </w:p>
    <w:p w:rsidR="000E312F" w:rsidRPr="0042603E" w:rsidRDefault="000E312F" w:rsidP="000E312F">
      <w:pPr>
        <w:pStyle w:val="SingleTxtGR"/>
      </w:pPr>
      <w:r w:rsidRPr="0042603E">
        <w:t>6.2</w:t>
      </w:r>
      <w:r w:rsidRPr="0042603E">
        <w:tab/>
        <w:t>Относительно посвященного Болгарии раздела опубликованного орган</w:t>
      </w:r>
      <w:r w:rsidRPr="0042603E">
        <w:t>и</w:t>
      </w:r>
      <w:r w:rsidRPr="0042603E">
        <w:t>зацией «Международная амнистия» в 2015 году доклада «Права человека в с</w:t>
      </w:r>
      <w:r w:rsidRPr="0042603E">
        <w:t>о</w:t>
      </w:r>
      <w:r w:rsidRPr="0042603E">
        <w:t>временном мире» государство-участник также утверждает, что информация, и</w:t>
      </w:r>
      <w:r w:rsidRPr="0042603E">
        <w:t>з</w:t>
      </w:r>
      <w:r w:rsidRPr="0042603E">
        <w:t>ложенная в том пункте, на который ссылаются авторы, также была учтена при оценке дела Апелляционным советом по делам беженцев.</w:t>
      </w:r>
    </w:p>
    <w:p w:rsidR="000E312F" w:rsidRPr="0042603E" w:rsidRDefault="000E312F" w:rsidP="000E312F">
      <w:pPr>
        <w:pStyle w:val="SingleTxtGR"/>
      </w:pPr>
      <w:r w:rsidRPr="0042603E">
        <w:t>6.3</w:t>
      </w:r>
      <w:proofErr w:type="gramStart"/>
      <w:r w:rsidRPr="0042603E">
        <w:tab/>
        <w:t>В</w:t>
      </w:r>
      <w:proofErr w:type="gramEnd"/>
      <w:r w:rsidRPr="0042603E">
        <w:t xml:space="preserve"> отношении ссылки авторов на Соображения Комитета по делу </w:t>
      </w:r>
      <w:r w:rsidRPr="0042603E">
        <w:rPr>
          <w:i/>
          <w:iCs/>
        </w:rPr>
        <w:t>Ясин и др. против Дании</w:t>
      </w:r>
      <w:r w:rsidRPr="0042603E">
        <w:t>, согласно которым государства-участники должны придавать весомое значение реальной и личной опасности, которая может угрожать лицу в случае его депортации, государство-участник считает, что такая правовая пра</w:t>
      </w:r>
      <w:r w:rsidRPr="0042603E">
        <w:t>к</w:t>
      </w:r>
      <w:r w:rsidRPr="0042603E">
        <w:t>тика требует проведения индивидуальной оценки угрозы автору, а не опоры на доклады и выводы общего характера.</w:t>
      </w:r>
    </w:p>
    <w:p w:rsidR="000E312F" w:rsidRPr="0042603E" w:rsidRDefault="000E312F" w:rsidP="000E312F">
      <w:pPr>
        <w:pStyle w:val="SingleTxtGR"/>
      </w:pPr>
      <w:r w:rsidRPr="0042603E">
        <w:t>6.4</w:t>
      </w:r>
      <w:proofErr w:type="gramStart"/>
      <w:r w:rsidRPr="0042603E">
        <w:tab/>
        <w:t>В</w:t>
      </w:r>
      <w:proofErr w:type="gramEnd"/>
      <w:r w:rsidRPr="0042603E">
        <w:t xml:space="preserve"> этой связи правительство Дании полагает, что дело </w:t>
      </w:r>
      <w:r w:rsidRPr="0042603E">
        <w:rPr>
          <w:i/>
          <w:iCs/>
        </w:rPr>
        <w:t>Ясин и др.</w:t>
      </w:r>
      <w:r w:rsidRPr="0042603E">
        <w:t xml:space="preserve"> </w:t>
      </w:r>
      <w:r w:rsidRPr="00102FD3">
        <w:rPr>
          <w:i/>
        </w:rPr>
        <w:t>против Дании</w:t>
      </w:r>
      <w:r w:rsidRPr="0042603E">
        <w:t xml:space="preserve"> отличается от настоящего дела по следующим вопросам существа: оно касается депортации в Италию матери-одиночки с несовершеннолетними дет</w:t>
      </w:r>
      <w:r w:rsidRPr="0042603E">
        <w:t>ь</w:t>
      </w:r>
      <w:r w:rsidRPr="0042603E">
        <w:t>ми, срок действия вида на жительство которой в Италии истек, тогда как в настоящем случае речь идет о депортации супружеской четы с несовершенн</w:t>
      </w:r>
      <w:r w:rsidRPr="0042603E">
        <w:t>о</w:t>
      </w:r>
      <w:r w:rsidRPr="0042603E">
        <w:t xml:space="preserve">летними детьми в Болгарию. </w:t>
      </w:r>
      <w:proofErr w:type="gramStart"/>
      <w:r w:rsidRPr="0042603E">
        <w:t>Кроме того, срок действия вида на жительство, к</w:t>
      </w:r>
      <w:r w:rsidRPr="0042603E">
        <w:t>о</w:t>
      </w:r>
      <w:r w:rsidRPr="0042603E">
        <w:t xml:space="preserve">торый имелся у совершеннолетнего автора по делу </w:t>
      </w:r>
      <w:r w:rsidRPr="0042603E">
        <w:rPr>
          <w:i/>
          <w:iCs/>
        </w:rPr>
        <w:t>Ясин и др. против Дании,</w:t>
      </w:r>
      <w:r w:rsidRPr="0042603E">
        <w:t xml:space="preserve"> истек, когда она подала прошение о предоставлении убежища в Дании, в то время как в настоящем случае при подаче прошения об убежище авторы имели действующие виды на жительство в Болгарии и по-прежнему ими располагают.</w:t>
      </w:r>
      <w:proofErr w:type="gramEnd"/>
      <w:r w:rsidRPr="0042603E">
        <w:t xml:space="preserve"> Государство-участник далее отмечает, что болгарские власти уведомили да</w:t>
      </w:r>
      <w:r w:rsidRPr="0042603E">
        <w:t>т</w:t>
      </w:r>
      <w:r w:rsidRPr="0042603E">
        <w:t xml:space="preserve">ские власти о том, что 17 марта 2014 года авторам был предоставлен в Болгарии статус беженцев. По мнению правительства, по вышеприведенным причинам эти два дела являются несопоставимыми. </w:t>
      </w:r>
    </w:p>
    <w:p w:rsidR="000E312F" w:rsidRPr="0042603E" w:rsidRDefault="000E312F" w:rsidP="000E312F">
      <w:pPr>
        <w:pStyle w:val="SingleTxtGR"/>
      </w:pPr>
      <w:r w:rsidRPr="0042603E">
        <w:t>6.5</w:t>
      </w:r>
      <w:r w:rsidRPr="0042603E">
        <w:tab/>
        <w:t>Государство-участник далее утверждает, что общие справочные сведения, которыми располагал Апелляционный совет по делам беженцев, были получ</w:t>
      </w:r>
      <w:r w:rsidRPr="0042603E">
        <w:t>е</w:t>
      </w:r>
      <w:r w:rsidRPr="0042603E">
        <w:t>ны из широкого круга источников и сопоставимы с заявлениями соответству</w:t>
      </w:r>
      <w:r w:rsidRPr="0042603E">
        <w:t>ю</w:t>
      </w:r>
      <w:r w:rsidRPr="0042603E">
        <w:t>щих просителей убежища, в том числе о полученном ими опыте. В настоящем случае авторы могли в письменной и устной форме сделать представления в н</w:t>
      </w:r>
      <w:r w:rsidRPr="0042603E">
        <w:t>е</w:t>
      </w:r>
      <w:r w:rsidRPr="0042603E">
        <w:t>сколько органов, и Совет внимательно изучил их дело, скрупулезно учитывая всю имеющуюся информацию.</w:t>
      </w:r>
    </w:p>
    <w:p w:rsidR="000E312F" w:rsidRPr="0042603E" w:rsidRDefault="000E312F" w:rsidP="000E312F">
      <w:pPr>
        <w:pStyle w:val="SingleTxtGR"/>
      </w:pPr>
      <w:r w:rsidRPr="0042603E">
        <w:t>6.6</w:t>
      </w:r>
      <w:r w:rsidRPr="0042603E">
        <w:tab/>
        <w:t xml:space="preserve">Государство-участник отмечает, что авторы не </w:t>
      </w:r>
      <w:r>
        <w:t>сообщили</w:t>
      </w:r>
      <w:r w:rsidRPr="0042603E">
        <w:t xml:space="preserve"> никакой новой информации о здоровье женщины-автора. И в этой связи оно вновь ссылается на вышеупомянутые общие справочные сведения, согласно которым женщина-автор сможет пройти в Болгарии необходимый ей курс лечения.</w:t>
      </w:r>
    </w:p>
    <w:p w:rsidR="000E312F" w:rsidRPr="0042603E" w:rsidRDefault="000E312F" w:rsidP="000E312F">
      <w:pPr>
        <w:pStyle w:val="SingleTxtGR"/>
      </w:pPr>
      <w:r>
        <w:t>6.7</w:t>
      </w:r>
      <w:proofErr w:type="gramStart"/>
      <w:r w:rsidRPr="0042603E">
        <w:tab/>
        <w:t>П</w:t>
      </w:r>
      <w:proofErr w:type="gramEnd"/>
      <w:r w:rsidRPr="0042603E">
        <w:t>о мнению государства-участника, тот факт, что авторы не смогли найти работу в течение трех или четырех месяцев нахождения в Болгарии после предоставления им видов на жительство, не может служить основанием для вынесения иной оценки. Оно отмечает, что согласно представленной информ</w:t>
      </w:r>
      <w:r w:rsidRPr="0042603E">
        <w:t>а</w:t>
      </w:r>
      <w:r w:rsidRPr="0042603E">
        <w:t>ции авторы не обращались за помощью к властям. Кроме того, было бы нер</w:t>
      </w:r>
      <w:r w:rsidRPr="0042603E">
        <w:t>а</w:t>
      </w:r>
      <w:r w:rsidRPr="0042603E">
        <w:t>ционально требовать предоставления каждому лицу работы в течение столь к</w:t>
      </w:r>
      <w:r w:rsidRPr="0042603E">
        <w:t>о</w:t>
      </w:r>
      <w:r w:rsidRPr="0042603E">
        <w:t>роткого периода времени.</w:t>
      </w:r>
    </w:p>
    <w:p w:rsidR="000E312F" w:rsidRPr="0042603E" w:rsidRDefault="000E312F" w:rsidP="000E312F">
      <w:pPr>
        <w:pStyle w:val="SingleTxtGR"/>
      </w:pPr>
      <w:proofErr w:type="gramStart"/>
      <w:r w:rsidRPr="0042603E">
        <w:t>6.8</w:t>
      </w:r>
      <w:r w:rsidRPr="0042603E">
        <w:tab/>
        <w:t>Государство-участник указывает, что, согласно представленной авторами информации, они смогли содержать себя в существующих в Болгарии условиях благодаря своим накоплениям и финансовой поддержке своей семьи из Сири</w:t>
      </w:r>
      <w:r w:rsidRPr="0042603E">
        <w:t>й</w:t>
      </w:r>
      <w:r w:rsidRPr="0042603E">
        <w:t>ской Арабской Республики.</w:t>
      </w:r>
      <w:proofErr w:type="gramEnd"/>
      <w:r w:rsidRPr="0042603E">
        <w:t xml:space="preserve"> Они также смогли до выезда из Болгарии самосто</w:t>
      </w:r>
      <w:r w:rsidRPr="0042603E">
        <w:t>я</w:t>
      </w:r>
      <w:r w:rsidRPr="0042603E">
        <w:lastRenderedPageBreak/>
        <w:t>тельно найти частное жилье. Соответственно, государство-участник полагает, что авторы не представили никакой конкретной информации относительно прав, которыми они не могли бы пользоваться в качестве имеющих виды на ж</w:t>
      </w:r>
      <w:r w:rsidRPr="0042603E">
        <w:t>и</w:t>
      </w:r>
      <w:r w:rsidRPr="0042603E">
        <w:t>тельство беженцев.</w:t>
      </w:r>
    </w:p>
    <w:p w:rsidR="000E312F" w:rsidRPr="0042603E" w:rsidRDefault="000E312F" w:rsidP="000E312F">
      <w:pPr>
        <w:pStyle w:val="SingleTxtGR"/>
        <w:rPr>
          <w:i/>
          <w:iCs/>
        </w:rPr>
      </w:pPr>
      <w:r w:rsidRPr="0042603E">
        <w:t>6.9</w:t>
      </w:r>
      <w:r w:rsidRPr="0042603E">
        <w:tab/>
        <w:t>Государство-участник далее утверждает, что оно не несет юридического обязательства поддерживать контакт с болгарскими властями в целях обеспеч</w:t>
      </w:r>
      <w:r w:rsidRPr="0042603E">
        <w:t>е</w:t>
      </w:r>
      <w:r w:rsidRPr="0042603E">
        <w:t xml:space="preserve">ния въезда авторов в Болгарию и их нахождения в этой стране. В этой связи оно подчеркивает, что решение Европейского суда по делу </w:t>
      </w:r>
      <w:proofErr w:type="spellStart"/>
      <w:r w:rsidRPr="0042603E">
        <w:rPr>
          <w:i/>
          <w:iCs/>
        </w:rPr>
        <w:t>Таркхель</w:t>
      </w:r>
      <w:proofErr w:type="spellEnd"/>
      <w:r w:rsidRPr="0042603E">
        <w:rPr>
          <w:i/>
          <w:iCs/>
        </w:rPr>
        <w:t xml:space="preserve"> против Шве</w:t>
      </w:r>
      <w:r w:rsidRPr="0042603E">
        <w:rPr>
          <w:i/>
          <w:iCs/>
        </w:rPr>
        <w:t>й</w:t>
      </w:r>
      <w:r w:rsidRPr="0042603E">
        <w:rPr>
          <w:i/>
          <w:iCs/>
        </w:rPr>
        <w:t>царии</w:t>
      </w:r>
      <w:r w:rsidRPr="0042603E">
        <w:t xml:space="preserve"> касается семьи, у членов которой был статус просителей убежища в Ит</w:t>
      </w:r>
      <w:r w:rsidRPr="0042603E">
        <w:t>а</w:t>
      </w:r>
      <w:r w:rsidRPr="0042603E">
        <w:t>лии. Вследствие этого оно не отклоняется от положений ранее вынесенных р</w:t>
      </w:r>
      <w:r w:rsidRPr="0042603E">
        <w:t>е</w:t>
      </w:r>
      <w:r w:rsidRPr="0042603E">
        <w:t>шений относительно отдельных лиц и семей, имеющих виды на жительство в Италии, как</w:t>
      </w:r>
      <w:r>
        <w:t>,</w:t>
      </w:r>
      <w:r w:rsidRPr="0042603E">
        <w:t xml:space="preserve"> например, решения Европейского суда по правам человека о н</w:t>
      </w:r>
      <w:r w:rsidRPr="0042603E">
        <w:t>е</w:t>
      </w:r>
      <w:r w:rsidRPr="0042603E">
        <w:t xml:space="preserve">приемлемости по делу </w:t>
      </w:r>
      <w:proofErr w:type="spellStart"/>
      <w:r w:rsidRPr="0042603E">
        <w:rPr>
          <w:i/>
          <w:iCs/>
        </w:rPr>
        <w:t>Самсам</w:t>
      </w:r>
      <w:proofErr w:type="spellEnd"/>
      <w:r w:rsidRPr="0042603E">
        <w:rPr>
          <w:i/>
          <w:iCs/>
        </w:rPr>
        <w:t xml:space="preserve"> Мохаммед Хуссейн и другие против Нидерла</w:t>
      </w:r>
      <w:r w:rsidRPr="0042603E">
        <w:rPr>
          <w:i/>
          <w:iCs/>
        </w:rPr>
        <w:t>н</w:t>
      </w:r>
      <w:r w:rsidRPr="0042603E">
        <w:rPr>
          <w:i/>
          <w:iCs/>
        </w:rPr>
        <w:t xml:space="preserve">дов и Италии. </w:t>
      </w:r>
      <w:r w:rsidRPr="0042603E">
        <w:t xml:space="preserve">Соответственно, государство-участник вновь подчеркивает, что на основании решения по делу </w:t>
      </w:r>
      <w:proofErr w:type="spellStart"/>
      <w:r w:rsidRPr="0042603E">
        <w:rPr>
          <w:i/>
          <w:iCs/>
        </w:rPr>
        <w:t>Таракхель</w:t>
      </w:r>
      <w:proofErr w:type="spellEnd"/>
      <w:r w:rsidRPr="0042603E">
        <w:rPr>
          <w:i/>
          <w:iCs/>
        </w:rPr>
        <w:t xml:space="preserve"> </w:t>
      </w:r>
      <w:r w:rsidRPr="0042603E">
        <w:t>нельзя сделать вывод о том, что гос</w:t>
      </w:r>
      <w:r w:rsidRPr="0042603E">
        <w:t>у</w:t>
      </w:r>
      <w:r w:rsidRPr="0042603E">
        <w:t>дарства-участники обязаны получать от болгарских властей индивидуальные гарантии до высылки в Болгарию нуждающихся в защите отдельных лиц или семей, которым уже предоставлен вид на жительство в Болгарии.</w:t>
      </w:r>
    </w:p>
    <w:p w:rsidR="000E312F" w:rsidRPr="0042603E" w:rsidRDefault="000E312F" w:rsidP="000E312F">
      <w:pPr>
        <w:pStyle w:val="SingleTxtGR"/>
      </w:pPr>
      <w:r w:rsidRPr="0042603E">
        <w:t>6.10</w:t>
      </w:r>
      <w:r w:rsidRPr="0042603E">
        <w:tab/>
        <w:t xml:space="preserve">Государство-участник считает, что авторы </w:t>
      </w:r>
      <w:r w:rsidRPr="0042603E">
        <w:rPr>
          <w:lang w:val="en-US"/>
        </w:rPr>
        <w:t>prima</w:t>
      </w:r>
      <w:r w:rsidRPr="0042603E">
        <w:t xml:space="preserve"> </w:t>
      </w:r>
      <w:r w:rsidRPr="0042603E">
        <w:rPr>
          <w:lang w:val="en-US"/>
        </w:rPr>
        <w:t>facie</w:t>
      </w:r>
      <w:r w:rsidRPr="0042603E">
        <w:t xml:space="preserve"> не обосновали свое дело для целей признания приемлемости их сообщения в соответствии со ст</w:t>
      </w:r>
      <w:r w:rsidRPr="0042603E">
        <w:t>а</w:t>
      </w:r>
      <w:r w:rsidRPr="0042603E">
        <w:t xml:space="preserve">тьей 7 Пакта и что сообщение должно быть признано неприемлемым. Оно вновь заявляет, что не было выявлено существенных оснований </w:t>
      </w:r>
      <w:proofErr w:type="gramStart"/>
      <w:r w:rsidRPr="0042603E">
        <w:t>полагать</w:t>
      </w:r>
      <w:proofErr w:type="gramEnd"/>
      <w:r w:rsidRPr="0042603E">
        <w:t>, что высылка авторов в Болгарию станет нарушением статьи 7 Пакта. Соответстве</w:t>
      </w:r>
      <w:r w:rsidRPr="0042603E">
        <w:t>н</w:t>
      </w:r>
      <w:r w:rsidRPr="0042603E">
        <w:t>но</w:t>
      </w:r>
      <w:r>
        <w:t>,</w:t>
      </w:r>
      <w:r w:rsidRPr="0042603E">
        <w:t xml:space="preserve"> государство-участник просит Комитет пересмотреть свою просьбу о прим</w:t>
      </w:r>
      <w:r w:rsidRPr="0042603E">
        <w:t>е</w:t>
      </w:r>
      <w:r w:rsidRPr="0042603E">
        <w:t>нении в настоящем случае временных мер.</w:t>
      </w:r>
    </w:p>
    <w:p w:rsidR="000E312F" w:rsidRPr="0042603E" w:rsidRDefault="000E312F" w:rsidP="000E312F">
      <w:pPr>
        <w:pStyle w:val="H23GR"/>
      </w:pPr>
      <w:r w:rsidRPr="0042603E">
        <w:tab/>
      </w:r>
      <w:r w:rsidRPr="0042603E">
        <w:tab/>
        <w:t>Вопросы и процедур</w:t>
      </w:r>
      <w:r>
        <w:t>а</w:t>
      </w:r>
      <w:r w:rsidRPr="0042603E">
        <w:t xml:space="preserve"> их рассмотрения в Комитете</w:t>
      </w:r>
    </w:p>
    <w:p w:rsidR="000E312F" w:rsidRPr="0042603E" w:rsidRDefault="000E312F" w:rsidP="000E312F">
      <w:pPr>
        <w:pStyle w:val="H4GR"/>
      </w:pPr>
      <w:r w:rsidRPr="0042603E">
        <w:tab/>
      </w:r>
      <w:r w:rsidRPr="0042603E">
        <w:tab/>
        <w:t>Рассмотрение вопроса о приемлемости</w:t>
      </w:r>
    </w:p>
    <w:p w:rsidR="000E312F" w:rsidRPr="0042603E" w:rsidRDefault="000E312F" w:rsidP="000E312F">
      <w:pPr>
        <w:pStyle w:val="SingleTxtGR"/>
      </w:pPr>
      <w:r w:rsidRPr="0042603E">
        <w:t>7.1</w:t>
      </w:r>
      <w:proofErr w:type="gramStart"/>
      <w:r w:rsidRPr="0042603E">
        <w:tab/>
        <w:t>П</w:t>
      </w:r>
      <w:proofErr w:type="gramEnd"/>
      <w:r w:rsidRPr="0042603E">
        <w:t>режде чем приступить к рассмотрению любой жалобы, изложенной в сообщении, Комитет в соответствии с правилом 93 своих правил процедуры должен принять решение</w:t>
      </w:r>
      <w:r>
        <w:t xml:space="preserve"> о том</w:t>
      </w:r>
      <w:r w:rsidRPr="0042603E">
        <w:t>, является ли сообщение приемлемым согласно Факультативному протоколу.</w:t>
      </w:r>
    </w:p>
    <w:p w:rsidR="000E312F" w:rsidRPr="0042603E" w:rsidRDefault="000E312F" w:rsidP="000E312F">
      <w:pPr>
        <w:pStyle w:val="SingleTxtGR"/>
      </w:pPr>
      <w:r w:rsidRPr="0042603E">
        <w:t>7.2</w:t>
      </w:r>
      <w:r w:rsidRPr="0042603E">
        <w:tab/>
        <w:t>Согласно подпункту а) пункта 2 статьи 5 Факультативного протокола К</w:t>
      </w:r>
      <w:r w:rsidRPr="0042603E">
        <w:t>о</w:t>
      </w:r>
      <w:r w:rsidRPr="0042603E">
        <w:t>митет удостоверился в том, что этот же вопрос не рассматривается в соотве</w:t>
      </w:r>
      <w:r w:rsidRPr="0042603E">
        <w:t>т</w:t>
      </w:r>
      <w:r w:rsidRPr="0042603E">
        <w:t>ствии с другой процедурой международного разбирательства или урегулиров</w:t>
      </w:r>
      <w:r w:rsidRPr="0042603E">
        <w:t>а</w:t>
      </w:r>
      <w:r w:rsidRPr="0042603E">
        <w:t>ния.</w:t>
      </w:r>
    </w:p>
    <w:p w:rsidR="000E312F" w:rsidRPr="0042603E" w:rsidRDefault="000E312F" w:rsidP="000E312F">
      <w:pPr>
        <w:pStyle w:val="SingleTxtGR"/>
      </w:pPr>
      <w:r w:rsidRPr="0042603E">
        <w:t xml:space="preserve">7.3 </w:t>
      </w:r>
      <w:r w:rsidRPr="0042603E">
        <w:tab/>
        <w:t xml:space="preserve">Комитет принимает к сведению, что государство-участник не оспаривает приемлемость сообщения в соответствии с подпунктом </w:t>
      </w:r>
      <w:r w:rsidRPr="0042603E">
        <w:rPr>
          <w:lang w:val="en-US"/>
        </w:rPr>
        <w:t>b</w:t>
      </w:r>
      <w:r w:rsidRPr="0042603E">
        <w:t>) пункта 2 статьи 5 Факультативного протокола. Он также принимает во внимание, что авторы п</w:t>
      </w:r>
      <w:r w:rsidRPr="0042603E">
        <w:t>о</w:t>
      </w:r>
      <w:r w:rsidRPr="0042603E">
        <w:t>дали прошение о предоставлении убежища, которое 20 января 2015 года было отклонено Апелляционным советом по делам беженцев. Поскольку решения Совета обжалованию не подлежат, авторы не располагают никакими дополн</w:t>
      </w:r>
      <w:r w:rsidRPr="0042603E">
        <w:t>и</w:t>
      </w:r>
      <w:r w:rsidRPr="0042603E">
        <w:t>тельными средствами правовой защиты. Исходя из этого, Комитет считает, что внутренние средства правовой защиты исчерпаны.</w:t>
      </w:r>
    </w:p>
    <w:p w:rsidR="000E312F" w:rsidRPr="0042603E" w:rsidRDefault="000E312F" w:rsidP="000E312F">
      <w:pPr>
        <w:pStyle w:val="SingleTxtGR"/>
      </w:pPr>
      <w:r w:rsidRPr="0042603E">
        <w:t>7.4</w:t>
      </w:r>
      <w:r w:rsidRPr="0042603E">
        <w:tab/>
        <w:t>Комитет принимает к сведению довод государства-участника о том, что жалобы авторов по статье 7 должны быть признаны неприемлемыми из-за н</w:t>
      </w:r>
      <w:r w:rsidRPr="0042603E">
        <w:t>е</w:t>
      </w:r>
      <w:r w:rsidRPr="0042603E">
        <w:t xml:space="preserve">достаточного обоснования. Однако Комитет полагает, что для целей признания приемлемости авторы в достаточной мере обосновали причины своих опасений </w:t>
      </w:r>
      <w:r>
        <w:t>по поводу того</w:t>
      </w:r>
      <w:r w:rsidRPr="0042603E">
        <w:t xml:space="preserve">, что в случае их принудительного возвращения в Болгарию им </w:t>
      </w:r>
      <w:r w:rsidRPr="0042603E">
        <w:lastRenderedPageBreak/>
        <w:t>будет угрожать опасность обращения, нарушающего статью 7 Пакта. При о</w:t>
      </w:r>
      <w:r w:rsidRPr="0042603E">
        <w:t>т</w:t>
      </w:r>
      <w:r w:rsidRPr="0042603E">
        <w:t>сутствии каких-либо прочих препятствий для признания приемлемости Ком</w:t>
      </w:r>
      <w:r w:rsidRPr="0042603E">
        <w:t>и</w:t>
      </w:r>
      <w:r w:rsidRPr="0042603E">
        <w:t>тет объявляет сообщение приемлемым, поскольку в нем затрагиваются вопросы</w:t>
      </w:r>
      <w:r>
        <w:t xml:space="preserve"> по</w:t>
      </w:r>
      <w:r w:rsidRPr="0042603E">
        <w:t xml:space="preserve"> статье 7 Пакта, и приступает к его рассмотрению по существу.</w:t>
      </w:r>
    </w:p>
    <w:p w:rsidR="000E312F" w:rsidRPr="0042603E" w:rsidRDefault="000E312F" w:rsidP="000E312F">
      <w:pPr>
        <w:pStyle w:val="H4GR"/>
      </w:pPr>
      <w:r w:rsidRPr="0042603E">
        <w:tab/>
      </w:r>
      <w:r w:rsidRPr="0042603E">
        <w:tab/>
        <w:t>Рассмотрение по существу</w:t>
      </w:r>
    </w:p>
    <w:p w:rsidR="000E312F" w:rsidRPr="0042603E" w:rsidRDefault="000E312F" w:rsidP="000E312F">
      <w:pPr>
        <w:pStyle w:val="SingleTxtGR"/>
      </w:pPr>
      <w:r w:rsidRPr="0042603E">
        <w:t>8.1</w:t>
      </w:r>
      <w:r w:rsidRPr="0042603E">
        <w:tab/>
        <w:t>Комитет рассмотрел настоящее сообщение в свете всей представленной ему сторонами информации, как это предусмотрено пунктом 1 статьи 5 Факул</w:t>
      </w:r>
      <w:r w:rsidRPr="0042603E">
        <w:t>ь</w:t>
      </w:r>
      <w:r w:rsidRPr="0042603E">
        <w:t>тативного протокола.</w:t>
      </w:r>
    </w:p>
    <w:p w:rsidR="000E312F" w:rsidRPr="0042603E" w:rsidRDefault="000E312F" w:rsidP="000E312F">
      <w:pPr>
        <w:pStyle w:val="SingleTxtGR"/>
      </w:pPr>
      <w:r w:rsidRPr="0042603E">
        <w:t>8.2</w:t>
      </w:r>
      <w:r w:rsidRPr="0042603E">
        <w:tab/>
        <w:t>Комитет принимает к сведению утверждение авторов о том, что их в</w:t>
      </w:r>
      <w:r w:rsidRPr="0042603E">
        <w:t>ы</w:t>
      </w:r>
      <w:r w:rsidRPr="0042603E">
        <w:t xml:space="preserve">сылка с двумя несовершеннолетними детьми в Болгарию в качестве первой страны убежища подвергнет их опасности обращения, которое противоречит статье 7 Пакта. </w:t>
      </w:r>
      <w:proofErr w:type="gramStart"/>
      <w:r w:rsidRPr="0042603E">
        <w:t>Комитет отмечает, что авторы обосновывают свою аргумент</w:t>
      </w:r>
      <w:r w:rsidRPr="0042603E">
        <w:t>а</w:t>
      </w:r>
      <w:r w:rsidRPr="0042603E">
        <w:t>цию, в частности, социально-экономическим положением, в котором они ок</w:t>
      </w:r>
      <w:r w:rsidRPr="0042603E">
        <w:t>а</w:t>
      </w:r>
      <w:r w:rsidRPr="0042603E">
        <w:t>жутся, включая отсутствие доступа к финансовой или социальной помощи, а также к программам интеграции для беженцев и просителей убежища, о чем свидетельствует их опыт жизни в качестве просителей убежища и после пол</w:t>
      </w:r>
      <w:r w:rsidRPr="0042603E">
        <w:t>у</w:t>
      </w:r>
      <w:r w:rsidRPr="0042603E">
        <w:t>чения ими статуса беженцев и видов на жительство, а также общие условия приема просителей убежища</w:t>
      </w:r>
      <w:proofErr w:type="gramEnd"/>
      <w:r w:rsidRPr="0042603E">
        <w:t xml:space="preserve"> и беженцев в Болгарии. Комитет далее принимает во внимание утверждение авторов о том, что</w:t>
      </w:r>
      <w:r>
        <w:t>,</w:t>
      </w:r>
      <w:r w:rsidRPr="0042603E">
        <w:t xml:space="preserve"> поскольку они уже пользовались поддержкой системы приема, когда впервые прибыли в Болгарию, и поскольку им был предоставлен статус беженцев, по возвращению в Болгарию у них не будет доступа к приемным центрам; они не смогут найти жилье и работу; и вследствие этого станут бездомными и будут вынуждены жить с несоверше</w:t>
      </w:r>
      <w:r w:rsidRPr="0042603E">
        <w:t>н</w:t>
      </w:r>
      <w:r w:rsidRPr="0042603E">
        <w:t>нолетними детьми на улице.</w:t>
      </w:r>
    </w:p>
    <w:p w:rsidR="000E312F" w:rsidRPr="0042603E" w:rsidRDefault="000E312F" w:rsidP="000E312F">
      <w:pPr>
        <w:pStyle w:val="SingleTxtGR"/>
      </w:pPr>
      <w:proofErr w:type="gramStart"/>
      <w:r w:rsidRPr="0042603E">
        <w:t>8.3</w:t>
      </w:r>
      <w:r w:rsidRPr="0042603E">
        <w:tab/>
        <w:t>Комитет напоминает свое замечание общего порядка № 31 (2004) о х</w:t>
      </w:r>
      <w:r w:rsidRPr="0042603E">
        <w:t>а</w:t>
      </w:r>
      <w:r w:rsidRPr="0042603E">
        <w:t>рактере общего юридического обязательства, налагаемого на государства – участники Пакта, в котором он ссылается на обязательство государств-участников не экстрадировать, не депортировать, не высылать и не выдворять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</w:t>
      </w:r>
      <w:r w:rsidRPr="0042603E">
        <w:t>е</w:t>
      </w:r>
      <w:r w:rsidRPr="0042603E">
        <w:t>стимого вреда, такого, как предусмотренный в статье 7</w:t>
      </w:r>
      <w:proofErr w:type="gramEnd"/>
      <w:r w:rsidRPr="0042603E">
        <w:t xml:space="preserve"> Пакта. </w:t>
      </w:r>
      <w:proofErr w:type="gramStart"/>
      <w:r w:rsidRPr="0042603E">
        <w:t>Комитет также указал, что опасность должна быть личной</w:t>
      </w:r>
      <w:r w:rsidRPr="006D75D0">
        <w:rPr>
          <w:sz w:val="18"/>
          <w:szCs w:val="18"/>
          <w:vertAlign w:val="superscript"/>
        </w:rPr>
        <w:footnoteReference w:id="28"/>
      </w:r>
      <w:r w:rsidRPr="0042603E">
        <w:t xml:space="preserve"> и что должен применяться сущ</w:t>
      </w:r>
      <w:r w:rsidRPr="0042603E">
        <w:t>е</w:t>
      </w:r>
      <w:r w:rsidRPr="0042603E">
        <w:t>ственный критерий обоснования наличия реальной угрозы</w:t>
      </w:r>
      <w:r w:rsidRPr="006D75D0">
        <w:rPr>
          <w:sz w:val="18"/>
          <w:szCs w:val="18"/>
          <w:vertAlign w:val="superscript"/>
        </w:rPr>
        <w:footnoteReference w:id="29"/>
      </w:r>
      <w:r w:rsidRPr="0042603E">
        <w:t>. Комитет далее напоминает свои ранее принятые решения, согласно которым необходимо пр</w:t>
      </w:r>
      <w:r w:rsidRPr="0042603E">
        <w:t>и</w:t>
      </w:r>
      <w:r w:rsidRPr="0042603E">
        <w:t>давать весомое значение оценке, произведенной государством-участником, и что, как пр</w:t>
      </w:r>
      <w:r>
        <w:t xml:space="preserve">авило, именно органы государств – </w:t>
      </w:r>
      <w:r w:rsidRPr="0042603E">
        <w:t>участников Пакта должны ра</w:t>
      </w:r>
      <w:r w:rsidRPr="0042603E">
        <w:t>с</w:t>
      </w:r>
      <w:r w:rsidRPr="0042603E">
        <w:t>сматривать и оценивать факты и доказательства в целях определения наличия такой угрозы</w:t>
      </w:r>
      <w:r w:rsidRPr="00E81CE7">
        <w:rPr>
          <w:sz w:val="18"/>
          <w:szCs w:val="18"/>
          <w:vertAlign w:val="superscript"/>
        </w:rPr>
        <w:footnoteReference w:id="30"/>
      </w:r>
      <w:r w:rsidRPr="0042603E">
        <w:t>, если только не будет</w:t>
      </w:r>
      <w:proofErr w:type="gramEnd"/>
      <w:r w:rsidRPr="0042603E">
        <w:t xml:space="preserve"> установлено, что такая оценка носила явно произвольный характер или была равнозначна отказу в правосудии</w:t>
      </w:r>
      <w:r w:rsidRPr="006D75D0">
        <w:rPr>
          <w:sz w:val="18"/>
          <w:szCs w:val="18"/>
          <w:vertAlign w:val="superscript"/>
        </w:rPr>
        <w:footnoteReference w:id="31"/>
      </w:r>
      <w:r w:rsidRPr="0042603E">
        <w:t>.</w:t>
      </w:r>
    </w:p>
    <w:p w:rsidR="000E312F" w:rsidRPr="0042603E" w:rsidRDefault="000E312F" w:rsidP="000E312F">
      <w:pPr>
        <w:pStyle w:val="SingleTxtGR"/>
      </w:pPr>
      <w:r w:rsidRPr="0042603E">
        <w:lastRenderedPageBreak/>
        <w:t>8.4</w:t>
      </w:r>
      <w:proofErr w:type="gramStart"/>
      <w:r w:rsidRPr="0042603E">
        <w:tab/>
        <w:t>К</w:t>
      </w:r>
      <w:proofErr w:type="gramEnd"/>
      <w:r w:rsidRPr="0042603E">
        <w:t>ак отмечает Комитет, не оспаривается, что в марте и апреле 2014 года</w:t>
      </w:r>
      <w:r>
        <w:t>,</w:t>
      </w:r>
      <w:r w:rsidRPr="0042603E">
        <w:t xml:space="preserve"> соответственно</w:t>
      </w:r>
      <w:r>
        <w:t>,</w:t>
      </w:r>
      <w:r w:rsidRPr="0042603E">
        <w:t xml:space="preserve"> Болгария предоставила авторам статус беженцев; что они п</w:t>
      </w:r>
      <w:r w:rsidRPr="0042603E">
        <w:t>о</w:t>
      </w:r>
      <w:r w:rsidRPr="0042603E">
        <w:t>лучили виды на жительство и что они могли оставаться в лагере для просителей убежища в течение нескольких месяцев после получения статуса беженцев до того, как сняли квартиру по своему выбору. Комитет также принимает во вн</w:t>
      </w:r>
      <w:r w:rsidRPr="0042603E">
        <w:t>и</w:t>
      </w:r>
      <w:r w:rsidRPr="0042603E">
        <w:t>мание, что Апелляционный совет по делам беженцев признал, что в Болгар</w:t>
      </w:r>
      <w:proofErr w:type="gramStart"/>
      <w:r w:rsidRPr="0042603E">
        <w:t>ии у а</w:t>
      </w:r>
      <w:proofErr w:type="gramEnd"/>
      <w:r w:rsidRPr="0042603E">
        <w:t xml:space="preserve">второв не возникало никаких проблем с властями или отдельными лицами и что в случае возвращения в Болгарию, они будут пользоваться необходимыми социальными правами. </w:t>
      </w:r>
      <w:proofErr w:type="gramStart"/>
      <w:r w:rsidRPr="0042603E">
        <w:t>Комитет далее отмечает, что авторы полагались на д</w:t>
      </w:r>
      <w:r w:rsidRPr="0042603E">
        <w:t>о</w:t>
      </w:r>
      <w:r w:rsidRPr="0042603E">
        <w:t>клады об общем положении просителей убежища и беженцев в Болгарии, с</w:t>
      </w:r>
      <w:r w:rsidRPr="0042603E">
        <w:t>о</w:t>
      </w:r>
      <w:r w:rsidRPr="0042603E">
        <w:t>гласно которым шестимесячный период, в течение которого предоставляется жилье, недостаточен для того, чтобы люди могли после него сами обеспечивать себя</w:t>
      </w:r>
      <w:r w:rsidRPr="006D75D0">
        <w:rPr>
          <w:sz w:val="18"/>
          <w:szCs w:val="18"/>
          <w:vertAlign w:val="superscript"/>
        </w:rPr>
        <w:footnoteReference w:id="32"/>
      </w:r>
      <w:r w:rsidRPr="0042603E">
        <w:t>, указав при этом, что лицам, которым был предоставлен защищенный статус и которых возвращают в Болгарию, чрезвычайно трудно найти жилье и работу;</w:t>
      </w:r>
      <w:proofErr w:type="gramEnd"/>
      <w:r w:rsidRPr="0042603E">
        <w:t xml:space="preserve"> и что лица, пользующиеся в Болгарии статусом беженцев или субс</w:t>
      </w:r>
      <w:r w:rsidRPr="0042603E">
        <w:t>и</w:t>
      </w:r>
      <w:r w:rsidRPr="0042603E">
        <w:t xml:space="preserve">диарной защитой, страдают от нужды, </w:t>
      </w:r>
      <w:r>
        <w:t>бездомности</w:t>
      </w:r>
      <w:r w:rsidRPr="0042603E">
        <w:t xml:space="preserve"> и ограниченного доступа к медицинской помощи и образованию. Тем не </w:t>
      </w:r>
      <w:proofErr w:type="gramStart"/>
      <w:r w:rsidRPr="0042603E">
        <w:t>менее</w:t>
      </w:r>
      <w:proofErr w:type="gramEnd"/>
      <w:r w:rsidRPr="0042603E">
        <w:t xml:space="preserve"> Комитет также принимает к сведению заявление государства-участника о том, что во время нахождения в Болгарии авторы смогли добиться оказания медицинской помощи своей ста</w:t>
      </w:r>
      <w:r w:rsidRPr="0042603E">
        <w:t>р</w:t>
      </w:r>
      <w:r w:rsidRPr="0042603E">
        <w:t xml:space="preserve">шей дочери и супруге автора, пусть даже альтернативными средствами; что в настоящем сообщении, представленном от имени Н.А.К., не </w:t>
      </w:r>
      <w:proofErr w:type="gramStart"/>
      <w:r w:rsidRPr="0042603E">
        <w:t>содержится новой ин</w:t>
      </w:r>
      <w:r>
        <w:t>формации</w:t>
      </w:r>
      <w:r w:rsidRPr="0042603E">
        <w:t xml:space="preserve"> и что как беженец она</w:t>
      </w:r>
      <w:proofErr w:type="gramEnd"/>
      <w:r w:rsidRPr="0042603E">
        <w:t xml:space="preserve"> будет иметь право на получение необход</w:t>
      </w:r>
      <w:r w:rsidRPr="0042603E">
        <w:t>и</w:t>
      </w:r>
      <w:r w:rsidRPr="0042603E">
        <w:t>мой ей медицинской помощи в случае возвращения в Болгарию. Комитет далее отмечает, что, по информации Совета, авторы смогли арендовать квартиру в Софии и что, по общему мнению, лица, которым в Болгарии был предоставлен статус беженцев или защита, пользуются теми же правами, что и граждане Бо</w:t>
      </w:r>
      <w:r w:rsidRPr="0042603E">
        <w:t>л</w:t>
      </w:r>
      <w:r w:rsidRPr="0042603E">
        <w:t xml:space="preserve">гарии. Комитет далее принимает к сведению тот факт, что, по мнению Совета, авторы располагали достаточными средствами для удовлетворения в Болгарии своих потребностей благодаря финансовым ресурсам, которые они </w:t>
      </w:r>
      <w:r>
        <w:t>взяли с с</w:t>
      </w:r>
      <w:r>
        <w:t>о</w:t>
      </w:r>
      <w:r>
        <w:t>бой</w:t>
      </w:r>
      <w:r w:rsidRPr="0042603E">
        <w:t xml:space="preserve"> из Сирийской Арабской Республики.</w:t>
      </w:r>
    </w:p>
    <w:p w:rsidR="000E312F" w:rsidRPr="0042603E" w:rsidRDefault="000E312F" w:rsidP="000E312F">
      <w:pPr>
        <w:pStyle w:val="SingleTxtGR"/>
      </w:pPr>
      <w:r w:rsidRPr="0042603E">
        <w:t>8.5</w:t>
      </w:r>
      <w:r w:rsidRPr="0042603E">
        <w:tab/>
        <w:t>Комитет принимает к сведению консультации, проведенные госуда</w:t>
      </w:r>
      <w:r w:rsidRPr="0042603E">
        <w:t>р</w:t>
      </w:r>
      <w:r w:rsidRPr="0042603E">
        <w:t xml:space="preserve">ством-участником с болгарскими властями в 2014 году, в ходе которых было подтверждено, что авторам </w:t>
      </w:r>
      <w:proofErr w:type="gramStart"/>
      <w:r w:rsidRPr="0042603E">
        <w:t>был предоставлен статус беженцев и что у них были действующи</w:t>
      </w:r>
      <w:r>
        <w:t>е виды на жительство в Болгарии</w:t>
      </w:r>
      <w:r w:rsidRPr="0042603E">
        <w:t xml:space="preserve"> и что вследствие этого им не угрожала</w:t>
      </w:r>
      <w:proofErr w:type="gramEnd"/>
      <w:r w:rsidRPr="0042603E">
        <w:t xml:space="preserve"> высылка (</w:t>
      </w:r>
      <w:proofErr w:type="spellStart"/>
      <w:r w:rsidRPr="0042603E">
        <w:rPr>
          <w:lang w:val="en-US"/>
        </w:rPr>
        <w:t>refoulement</w:t>
      </w:r>
      <w:proofErr w:type="spellEnd"/>
      <w:r w:rsidRPr="0042603E">
        <w:t>) в Сирийскую Арабскую Республику.</w:t>
      </w:r>
    </w:p>
    <w:p w:rsidR="000E312F" w:rsidRPr="0042603E" w:rsidRDefault="000E312F" w:rsidP="000E312F">
      <w:pPr>
        <w:pStyle w:val="SingleTxtGR"/>
      </w:pPr>
      <w:r w:rsidRPr="0042603E">
        <w:t>8.6</w:t>
      </w:r>
      <w:r w:rsidRPr="0042603E">
        <w:tab/>
        <w:t>Комитет отмечает, что представленные ему материалы, а также общед</w:t>
      </w:r>
      <w:r w:rsidRPr="0042603E">
        <w:t>о</w:t>
      </w:r>
      <w:r w:rsidRPr="0042603E">
        <w:t>ступная информация о положении беженцев и просителей убежища в Болгарии указывают на возможную нехватку ме</w:t>
      </w:r>
      <w:proofErr w:type="gramStart"/>
      <w:r w:rsidRPr="0042603E">
        <w:t>ст в пр</w:t>
      </w:r>
      <w:proofErr w:type="gramEnd"/>
      <w:r w:rsidRPr="0042603E">
        <w:t>иемных центрах для просителей убежища и репатриантов и что такие центры часто находятся в плохом сан</w:t>
      </w:r>
      <w:r w:rsidRPr="0042603E">
        <w:t>и</w:t>
      </w:r>
      <w:r w:rsidRPr="0042603E">
        <w:t>тарном состоянии. Он также принимает к сведению, что согласно имеющейся у него информации подобные авторам репатрианты, которым уже предоставлена та или иная форма защиты и которые проживали в приемных центрах во время нахож</w:t>
      </w:r>
      <w:r>
        <w:t>дения в Болгарии, не имеют права</w:t>
      </w:r>
      <w:r w:rsidRPr="0042603E">
        <w:t xml:space="preserve"> на проживание в лагерях для просит</w:t>
      </w:r>
      <w:r w:rsidRPr="0042603E">
        <w:t>е</w:t>
      </w:r>
      <w:r w:rsidRPr="0042603E">
        <w:t xml:space="preserve">лей убежища более шести месяцев со времени </w:t>
      </w:r>
      <w:proofErr w:type="gramStart"/>
      <w:r w:rsidRPr="0042603E">
        <w:t>предоставления</w:t>
      </w:r>
      <w:proofErr w:type="gramEnd"/>
      <w:r w:rsidRPr="0042603E">
        <w:t xml:space="preserve"> им защищенного статуса. Он далее отмечает, что, хотя находящиеся под защитой лица имеют право на труд и осуществление социальных прав в Болгарии, действующая в ней система социальной поддержки в целом недостаточна для удовлетворения </w:t>
      </w:r>
      <w:r>
        <w:t xml:space="preserve">потребностей </w:t>
      </w:r>
      <w:r w:rsidRPr="0042603E">
        <w:t xml:space="preserve">всех нуждающихся лиц. Комитет, однако, обращает внимание на то, что до выезда из Болгарии авторы не были бездомными и нуждающимися. Комитет также указывает, что согласно заявлениям авторов в Апелляционном </w:t>
      </w:r>
      <w:r w:rsidRPr="0042603E">
        <w:lastRenderedPageBreak/>
        <w:t>совете по делам беженцев во время нахождения в Болгарии авторы имели д</w:t>
      </w:r>
      <w:r w:rsidRPr="0042603E">
        <w:t>о</w:t>
      </w:r>
      <w:r w:rsidRPr="0042603E">
        <w:t xml:space="preserve">ступ к медицинской помощи. Кроме того, авторы не </w:t>
      </w:r>
      <w:r>
        <w:t>сообщили</w:t>
      </w:r>
      <w:r w:rsidRPr="0042603E">
        <w:t xml:space="preserve"> никакой инфо</w:t>
      </w:r>
      <w:r w:rsidRPr="0042603E">
        <w:t>р</w:t>
      </w:r>
      <w:r w:rsidRPr="0042603E">
        <w:t>мации для разъяснения причин, по которым они не смогут найти работу в Бо</w:t>
      </w:r>
      <w:r w:rsidRPr="0042603E">
        <w:t>л</w:t>
      </w:r>
      <w:r w:rsidRPr="0042603E">
        <w:t>гарии или обратиться за защитой к болгарским властям в случае безработицы. В этом контексте Комитет отмечает, что авторы не обосновали свое утвержд</w:t>
      </w:r>
      <w:r w:rsidRPr="0042603E">
        <w:t>е</w:t>
      </w:r>
      <w:r w:rsidRPr="0042603E">
        <w:t xml:space="preserve">ние о том, что в случае возвращения в Болгарию им будет угрожать реальная и личная опасность бесчеловечного или унижающего достоинство обращения. Соответственно, Комитет считает, что сам по себе тот факт, что </w:t>
      </w:r>
      <w:proofErr w:type="gramStart"/>
      <w:r w:rsidRPr="0042603E">
        <w:t>авторы</w:t>
      </w:r>
      <w:proofErr w:type="gramEnd"/>
      <w:r w:rsidRPr="0042603E">
        <w:t xml:space="preserve"> вероя</w:t>
      </w:r>
      <w:r w:rsidRPr="0042603E">
        <w:t>т</w:t>
      </w:r>
      <w:r w:rsidRPr="0042603E">
        <w:t>но могут столкнуться с трудностями по возвращению в Болгарию, не означает, что они будут находиться в каком-либо особо уязвимом положении, которое бы существенно отличалось от положения многих других семей.</w:t>
      </w:r>
    </w:p>
    <w:p w:rsidR="000E312F" w:rsidRPr="0042603E" w:rsidRDefault="000E312F" w:rsidP="000E312F">
      <w:pPr>
        <w:pStyle w:val="SingleTxtGR"/>
      </w:pPr>
      <w:r w:rsidRPr="0042603E">
        <w:t>8.7</w:t>
      </w:r>
      <w:proofErr w:type="gramStart"/>
      <w:r w:rsidRPr="0042603E">
        <w:tab/>
        <w:t>И</w:t>
      </w:r>
      <w:proofErr w:type="gramEnd"/>
      <w:r w:rsidRPr="0042603E">
        <w:t>сходя из этого, Комитет полагает, что, хотя авторы не согласны с реш</w:t>
      </w:r>
      <w:r w:rsidRPr="0042603E">
        <w:t>е</w:t>
      </w:r>
      <w:r w:rsidRPr="0042603E">
        <w:t>нием властей государства-участника об их возвращении в Болгарию как в стр</w:t>
      </w:r>
      <w:r w:rsidRPr="0042603E">
        <w:t>а</w:t>
      </w:r>
      <w:r w:rsidRPr="0042603E">
        <w:t>ну их первого убежища, они не разъяснили, по какой причине это решение я</w:t>
      </w:r>
      <w:r w:rsidRPr="0042603E">
        <w:t>в</w:t>
      </w:r>
      <w:r w:rsidRPr="0042603E">
        <w:t>ляется явно необоснованным или произвольным. Не указали они также и на к</w:t>
      </w:r>
      <w:r w:rsidRPr="0042603E">
        <w:t>а</w:t>
      </w:r>
      <w:r w:rsidRPr="0042603E">
        <w:t>кие-либо процессуальные нарушения во время разбирательства их дела в Да</w:t>
      </w:r>
      <w:r w:rsidRPr="0042603E">
        <w:t>т</w:t>
      </w:r>
      <w:r w:rsidRPr="0042603E">
        <w:t>ской иммиграционной службе или в Апелляционном совете по делам беженцев. Соответственно</w:t>
      </w:r>
      <w:r>
        <w:t>,</w:t>
      </w:r>
      <w:r w:rsidRPr="0042603E">
        <w:t xml:space="preserve"> Комитет не может сделать вывод о том, что высылка авторов в Болгарию государством-участником будет являться нарушением статьи 7 Пакта.</w:t>
      </w:r>
    </w:p>
    <w:p w:rsidR="000E312F" w:rsidRPr="000E312F" w:rsidRDefault="000E312F" w:rsidP="000E312F">
      <w:pPr>
        <w:pStyle w:val="SingleTxtGR"/>
      </w:pPr>
      <w:r w:rsidRPr="0042603E">
        <w:t>9.</w:t>
      </w:r>
      <w:r w:rsidRPr="0042603E">
        <w:tab/>
        <w:t>Комитет, действуя в соответствии с пунктом 4 статьи 5 Факультативного протокола к Пакту, считает, что высылка авторов в Болгарию не будет нарушать их прав по статье 7 Пакта. Комитет, однако, уверен в том, что государство-участник должным образом проинформирует болгарские власти о высылке а</w:t>
      </w:r>
      <w:r w:rsidRPr="0042603E">
        <w:t>в</w:t>
      </w:r>
      <w:r w:rsidRPr="0042603E">
        <w:t xml:space="preserve">торов с тем, чтобы авторы и их дети </w:t>
      </w:r>
      <w:proofErr w:type="gramStart"/>
      <w:r w:rsidRPr="0042603E">
        <w:t>оставались вместе и чтобы обращение с ними соответствовало</w:t>
      </w:r>
      <w:proofErr w:type="gramEnd"/>
      <w:r w:rsidRPr="0042603E">
        <w:t xml:space="preserve"> их потребностям, и особенно возрасту их детей.</w:t>
      </w:r>
    </w:p>
    <w:p w:rsidR="000E312F" w:rsidRPr="000E312F" w:rsidRDefault="000E312F" w:rsidP="000E312F">
      <w:pPr>
        <w:spacing w:before="240"/>
        <w:jc w:val="center"/>
        <w:rPr>
          <w:u w:val="single"/>
        </w:rPr>
      </w:pPr>
      <w:r w:rsidRPr="000E312F">
        <w:rPr>
          <w:u w:val="single"/>
        </w:rPr>
        <w:tab/>
      </w:r>
      <w:r w:rsidRPr="000E312F">
        <w:rPr>
          <w:u w:val="single"/>
        </w:rPr>
        <w:tab/>
      </w:r>
      <w:r w:rsidRPr="000E312F">
        <w:rPr>
          <w:u w:val="single"/>
        </w:rPr>
        <w:tab/>
      </w:r>
    </w:p>
    <w:p w:rsidR="00CF7453" w:rsidRPr="008B21C3" w:rsidRDefault="00CF7453" w:rsidP="00CF7453">
      <w:pPr>
        <w:pStyle w:val="SingleTxtGR"/>
      </w:pPr>
    </w:p>
    <w:sectPr w:rsidR="00CF7453" w:rsidRPr="008B21C3" w:rsidSect="00875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53" w:rsidRDefault="00CF7453" w:rsidP="00B471C5">
      <w:r>
        <w:separator/>
      </w:r>
    </w:p>
  </w:endnote>
  <w:endnote w:type="continuationSeparator" w:id="0">
    <w:p w:rsidR="00CF7453" w:rsidRDefault="00CF745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FB25A7">
      <w:rPr>
        <w:b/>
        <w:noProof/>
        <w:sz w:val="18"/>
        <w:lang w:val="ru-RU"/>
      </w:rPr>
      <w:t>16</w:t>
    </w:r>
    <w:r w:rsidRPr="00760AEE">
      <w:rPr>
        <w:b/>
        <w:sz w:val="18"/>
      </w:rPr>
      <w:fldChar w:fldCharType="end"/>
    </w:r>
    <w:r>
      <w:rPr>
        <w:lang w:val="en-US"/>
      </w:rPr>
      <w:tab/>
      <w:t>GE.16-</w:t>
    </w:r>
    <w:r w:rsidR="004E3D64">
      <w:rPr>
        <w:lang w:val="en-US"/>
      </w:rPr>
      <w:t>22304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75144F" w:rsidRDefault="0087597F">
    <w:pPr>
      <w:pStyle w:val="a7"/>
      <w:rPr>
        <w:lang w:val="en-US"/>
      </w:rPr>
    </w:pPr>
    <w:r>
      <w:rPr>
        <w:lang w:val="en-US"/>
      </w:rPr>
      <w:t>GE.16-</w:t>
    </w:r>
    <w:r w:rsidR="004E3D64">
      <w:rPr>
        <w:lang w:val="en-US"/>
      </w:rPr>
      <w:t>22304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FB25A7">
      <w:rPr>
        <w:b/>
        <w:noProof/>
        <w:sz w:val="18"/>
        <w:lang w:val="ru-RU"/>
      </w:rPr>
      <w:t>15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A50E9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4E3D64" w:rsidRDefault="005A50E9" w:rsidP="00FB25A7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4E3D64">
            <w:t>22304</w:t>
          </w:r>
          <w:r w:rsidRPr="001C3ABC">
            <w:rPr>
              <w:lang w:val="en-US"/>
            </w:rPr>
            <w:t xml:space="preserve"> (R)</w:t>
          </w:r>
          <w:r w:rsidR="004E3D64">
            <w:t xml:space="preserve">  </w:t>
          </w:r>
          <w:r w:rsidR="00FB25A7">
            <w:rPr>
              <w:lang w:val="en-US"/>
            </w:rPr>
            <w:t>100</w:t>
          </w:r>
          <w:r w:rsidR="004E3D64">
            <w:t>1</w:t>
          </w:r>
          <w:r w:rsidR="00FB25A7">
            <w:rPr>
              <w:lang w:val="en-US"/>
            </w:rPr>
            <w:t>17</w:t>
          </w:r>
          <w:r w:rsidR="004E3D64">
            <w:t xml:space="preserve">  </w:t>
          </w:r>
          <w:r w:rsidR="00FB25A7">
            <w:rPr>
              <w:lang w:val="en-US"/>
            </w:rPr>
            <w:t>100117</w:t>
          </w:r>
          <w:bookmarkStart w:id="2" w:name="_GoBack"/>
          <w:bookmarkEnd w:id="2"/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A50E9" w:rsidRDefault="005A50E9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52DE25DB" wp14:editId="2F5F312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A50E9" w:rsidRDefault="004E3D64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CCPR/C/118/D/2569/201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8/D/2569/201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0E9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A50E9" w:rsidRPr="004E3D64" w:rsidRDefault="004E3D6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E3D6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A50E9" w:rsidRDefault="005A50E9" w:rsidP="007B199D"/>
      </w:tc>
    </w:tr>
  </w:tbl>
  <w:p w:rsidR="006E7AF7" w:rsidRPr="002D7E3C" w:rsidRDefault="0087597F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D82E7" wp14:editId="3FC3BAA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AF7" w:rsidRDefault="00FB25A7" w:rsidP="006E7AF7">
                          <w:pPr>
                            <w:rPr>
                              <w:lang w:val="en-US"/>
                            </w:rPr>
                          </w:pPr>
                        </w:p>
                        <w:p w:rsidR="006E7AF7" w:rsidRDefault="0087597F" w:rsidP="006E7AF7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FB25A7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E7AF7" w:rsidRDefault="00FB25A7" w:rsidP="006E7AF7">
                    <w:pPr>
                      <w:rPr>
                        <w:lang w:val="en-US"/>
                      </w:rPr>
                    </w:pPr>
                  </w:p>
                  <w:p w:rsidR="006E7AF7" w:rsidRDefault="0087597F" w:rsidP="006E7AF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FB25A7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53" w:rsidRPr="009141DC" w:rsidRDefault="00CF745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F7453" w:rsidRPr="00D1261C" w:rsidRDefault="00CF745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F7453" w:rsidRPr="00CF7453" w:rsidRDefault="00CF7453">
      <w:pPr>
        <w:pStyle w:val="aa"/>
        <w:rPr>
          <w:sz w:val="20"/>
          <w:lang w:val="ru-RU"/>
        </w:rPr>
      </w:pPr>
      <w:r>
        <w:tab/>
      </w:r>
      <w:r w:rsidRPr="00CF7453">
        <w:rPr>
          <w:rStyle w:val="a6"/>
          <w:sz w:val="20"/>
          <w:vertAlign w:val="baseline"/>
          <w:lang w:val="ru-RU"/>
        </w:rPr>
        <w:t>*</w:t>
      </w:r>
      <w:r w:rsidRPr="00CF7453">
        <w:rPr>
          <w:sz w:val="20"/>
          <w:lang w:val="ru-RU"/>
        </w:rPr>
        <w:t xml:space="preserve"> </w:t>
      </w:r>
      <w:r w:rsidRPr="00CF7453">
        <w:rPr>
          <w:lang w:val="ru-RU"/>
        </w:rPr>
        <w:tab/>
        <w:t>Принято Комитетом на его 118-й сессии (17 октября – 4 ноября 2016 года).</w:t>
      </w:r>
    </w:p>
  </w:footnote>
  <w:footnote w:id="2">
    <w:p w:rsidR="00CF7453" w:rsidRPr="00CF7453" w:rsidRDefault="00CF7453">
      <w:pPr>
        <w:pStyle w:val="aa"/>
        <w:rPr>
          <w:lang w:val="ru-RU"/>
        </w:rPr>
      </w:pPr>
      <w:r w:rsidRPr="000E312F">
        <w:rPr>
          <w:lang w:val="ru-RU"/>
        </w:rPr>
        <w:tab/>
      </w:r>
      <w:r w:rsidRPr="00CF7453">
        <w:rPr>
          <w:rStyle w:val="a6"/>
          <w:sz w:val="20"/>
          <w:vertAlign w:val="baseline"/>
          <w:lang w:val="ru-RU"/>
        </w:rPr>
        <w:t>**</w:t>
      </w:r>
      <w:r w:rsidRPr="00CF7453">
        <w:rPr>
          <w:lang w:val="ru-RU"/>
        </w:rPr>
        <w:t xml:space="preserve"> </w:t>
      </w:r>
      <w:r w:rsidRPr="00CF7453">
        <w:rPr>
          <w:lang w:val="ru-RU"/>
        </w:rPr>
        <w:tab/>
        <w:t xml:space="preserve">В рассмотрении настоящего сообщения </w:t>
      </w:r>
      <w:r w:rsidR="008B21C3">
        <w:rPr>
          <w:lang w:val="ru-RU"/>
        </w:rPr>
        <w:t>принимали</w:t>
      </w:r>
      <w:r w:rsidRPr="00CF7453">
        <w:rPr>
          <w:lang w:val="ru-RU"/>
        </w:rPr>
        <w:t xml:space="preserve"> участие следующие члены Комитета: </w:t>
      </w:r>
      <w:proofErr w:type="spellStart"/>
      <w:r w:rsidRPr="00CF7453">
        <w:rPr>
          <w:lang w:val="ru-RU"/>
        </w:rPr>
        <w:t>Ядх</w:t>
      </w:r>
      <w:proofErr w:type="spellEnd"/>
      <w:r w:rsidRPr="00CF7453">
        <w:rPr>
          <w:lang w:val="ru-RU"/>
        </w:rPr>
        <w:t xml:space="preserve"> Бен </w:t>
      </w:r>
      <w:proofErr w:type="spellStart"/>
      <w:r w:rsidRPr="00CF7453">
        <w:rPr>
          <w:lang w:val="ru-RU"/>
        </w:rPr>
        <w:t>Ашур</w:t>
      </w:r>
      <w:proofErr w:type="spellEnd"/>
      <w:r w:rsidRPr="00CF7453">
        <w:rPr>
          <w:lang w:val="ru-RU"/>
        </w:rPr>
        <w:t xml:space="preserve">, Сара Кливленд, </w:t>
      </w:r>
      <w:proofErr w:type="spellStart"/>
      <w:r w:rsidRPr="00CF7453">
        <w:rPr>
          <w:lang w:val="ru-RU"/>
        </w:rPr>
        <w:t>Юдзи</w:t>
      </w:r>
      <w:proofErr w:type="spellEnd"/>
      <w:r w:rsidRPr="00CF7453">
        <w:rPr>
          <w:lang w:val="ru-RU"/>
        </w:rPr>
        <w:t xml:space="preserve"> </w:t>
      </w:r>
      <w:proofErr w:type="spellStart"/>
      <w:r w:rsidRPr="00CF7453">
        <w:rPr>
          <w:lang w:val="ru-RU"/>
        </w:rPr>
        <w:t>Ивасава</w:t>
      </w:r>
      <w:proofErr w:type="spellEnd"/>
      <w:r w:rsidRPr="00CF7453">
        <w:rPr>
          <w:lang w:val="ru-RU"/>
        </w:rPr>
        <w:t xml:space="preserve">, Ивана </w:t>
      </w:r>
      <w:proofErr w:type="spellStart"/>
      <w:r w:rsidRPr="00CF7453">
        <w:rPr>
          <w:lang w:val="ru-RU"/>
        </w:rPr>
        <w:t>Елич</w:t>
      </w:r>
      <w:proofErr w:type="spellEnd"/>
      <w:r w:rsidRPr="00CF7453">
        <w:rPr>
          <w:lang w:val="ru-RU"/>
        </w:rPr>
        <w:t xml:space="preserve">, Дункан Лаки </w:t>
      </w:r>
      <w:proofErr w:type="spellStart"/>
      <w:r w:rsidRPr="00CF7453">
        <w:rPr>
          <w:lang w:val="ru-RU"/>
        </w:rPr>
        <w:t>Мухумуза</w:t>
      </w:r>
      <w:proofErr w:type="spellEnd"/>
      <w:r w:rsidRPr="00CF7453">
        <w:rPr>
          <w:lang w:val="ru-RU"/>
        </w:rPr>
        <w:t xml:space="preserve">, </w:t>
      </w:r>
      <w:proofErr w:type="spellStart"/>
      <w:r w:rsidRPr="00CF7453">
        <w:rPr>
          <w:lang w:val="ru-RU"/>
        </w:rPr>
        <w:t>Фотини</w:t>
      </w:r>
      <w:proofErr w:type="spellEnd"/>
      <w:r w:rsidRPr="00CF7453">
        <w:rPr>
          <w:lang w:val="ru-RU"/>
        </w:rPr>
        <w:t xml:space="preserve"> </w:t>
      </w:r>
      <w:proofErr w:type="spellStart"/>
      <w:r w:rsidRPr="00CF7453">
        <w:rPr>
          <w:lang w:val="ru-RU"/>
        </w:rPr>
        <w:t>Пазарцис</w:t>
      </w:r>
      <w:proofErr w:type="spellEnd"/>
      <w:r w:rsidRPr="00CF7453">
        <w:rPr>
          <w:lang w:val="ru-RU"/>
        </w:rPr>
        <w:t xml:space="preserve">, </w:t>
      </w:r>
      <w:proofErr w:type="spellStart"/>
      <w:r w:rsidRPr="00CF7453">
        <w:rPr>
          <w:lang w:val="ru-RU"/>
        </w:rPr>
        <w:t>Мауро</w:t>
      </w:r>
      <w:proofErr w:type="spellEnd"/>
      <w:r w:rsidRPr="00CF7453">
        <w:rPr>
          <w:lang w:val="ru-RU"/>
        </w:rPr>
        <w:t xml:space="preserve"> </w:t>
      </w:r>
      <w:proofErr w:type="spellStart"/>
      <w:r w:rsidRPr="00CF7453">
        <w:rPr>
          <w:lang w:val="ru-RU"/>
        </w:rPr>
        <w:t>Полити</w:t>
      </w:r>
      <w:proofErr w:type="spellEnd"/>
      <w:r w:rsidRPr="00CF7453">
        <w:rPr>
          <w:lang w:val="ru-RU"/>
        </w:rPr>
        <w:t xml:space="preserve">, сэр Найджел </w:t>
      </w:r>
      <w:proofErr w:type="spellStart"/>
      <w:r w:rsidRPr="00CF7453">
        <w:rPr>
          <w:lang w:val="ru-RU"/>
        </w:rPr>
        <w:t>Родли</w:t>
      </w:r>
      <w:proofErr w:type="spellEnd"/>
      <w:r w:rsidRPr="00CF7453">
        <w:rPr>
          <w:lang w:val="ru-RU"/>
        </w:rPr>
        <w:t xml:space="preserve">, Виктор </w:t>
      </w:r>
      <w:proofErr w:type="spellStart"/>
      <w:r w:rsidRPr="00CF7453">
        <w:rPr>
          <w:lang w:val="ru-RU"/>
        </w:rPr>
        <w:t>Мануэль</w:t>
      </w:r>
      <w:proofErr w:type="spellEnd"/>
      <w:r w:rsidRPr="00CF7453">
        <w:rPr>
          <w:lang w:val="ru-RU"/>
        </w:rPr>
        <w:t xml:space="preserve"> Родригес-</w:t>
      </w:r>
      <w:proofErr w:type="spellStart"/>
      <w:r w:rsidRPr="00CF7453">
        <w:rPr>
          <w:lang w:val="ru-RU"/>
        </w:rPr>
        <w:t>Ресия</w:t>
      </w:r>
      <w:proofErr w:type="spellEnd"/>
      <w:r w:rsidRPr="00CF7453">
        <w:rPr>
          <w:lang w:val="ru-RU"/>
        </w:rPr>
        <w:t xml:space="preserve">, </w:t>
      </w:r>
      <w:proofErr w:type="spellStart"/>
      <w:r w:rsidRPr="00CF7453">
        <w:rPr>
          <w:lang w:val="ru-RU"/>
        </w:rPr>
        <w:t>Фабиан</w:t>
      </w:r>
      <w:proofErr w:type="spellEnd"/>
      <w:r w:rsidRPr="00CF7453">
        <w:rPr>
          <w:lang w:val="ru-RU"/>
        </w:rPr>
        <w:t xml:space="preserve"> Омар </w:t>
      </w:r>
      <w:proofErr w:type="spellStart"/>
      <w:r w:rsidRPr="00CF7453">
        <w:rPr>
          <w:lang w:val="ru-RU"/>
        </w:rPr>
        <w:t>Сальвиоли</w:t>
      </w:r>
      <w:proofErr w:type="spellEnd"/>
      <w:r w:rsidRPr="00CF7453">
        <w:rPr>
          <w:lang w:val="ru-RU"/>
        </w:rPr>
        <w:t xml:space="preserve">, Аня </w:t>
      </w:r>
      <w:proofErr w:type="spellStart"/>
      <w:r w:rsidRPr="00CF7453">
        <w:rPr>
          <w:lang w:val="ru-RU"/>
        </w:rPr>
        <w:t>Зайберт</w:t>
      </w:r>
      <w:proofErr w:type="spellEnd"/>
      <w:r w:rsidRPr="00CF7453">
        <w:rPr>
          <w:lang w:val="ru-RU"/>
        </w:rPr>
        <w:t xml:space="preserve">-Фор, </w:t>
      </w:r>
      <w:proofErr w:type="spellStart"/>
      <w:r w:rsidRPr="00CF7453">
        <w:rPr>
          <w:lang w:val="ru-RU"/>
        </w:rPr>
        <w:t>Юваль</w:t>
      </w:r>
      <w:proofErr w:type="spellEnd"/>
      <w:r w:rsidRPr="00CF7453">
        <w:rPr>
          <w:lang w:val="ru-RU"/>
        </w:rPr>
        <w:t xml:space="preserve"> </w:t>
      </w:r>
      <w:proofErr w:type="spellStart"/>
      <w:r w:rsidRPr="00CF7453">
        <w:rPr>
          <w:lang w:val="ru-RU"/>
        </w:rPr>
        <w:t>Шани</w:t>
      </w:r>
      <w:proofErr w:type="spellEnd"/>
      <w:r w:rsidRPr="00CF7453">
        <w:rPr>
          <w:lang w:val="ru-RU"/>
        </w:rPr>
        <w:t xml:space="preserve">, Константин </w:t>
      </w:r>
      <w:proofErr w:type="spellStart"/>
      <w:r w:rsidRPr="00CF7453">
        <w:rPr>
          <w:lang w:val="ru-RU"/>
        </w:rPr>
        <w:t>Вардзелашвили</w:t>
      </w:r>
      <w:proofErr w:type="spellEnd"/>
      <w:r w:rsidRPr="00CF7453">
        <w:rPr>
          <w:lang w:val="ru-RU"/>
        </w:rPr>
        <w:t xml:space="preserve"> и Марго </w:t>
      </w:r>
      <w:proofErr w:type="spellStart"/>
      <w:r w:rsidRPr="00CF7453">
        <w:rPr>
          <w:lang w:val="ru-RU"/>
        </w:rPr>
        <w:t>Ватервал</w:t>
      </w:r>
      <w:proofErr w:type="spellEnd"/>
      <w:r w:rsidRPr="00CF7453">
        <w:rPr>
          <w:lang w:val="ru-RU"/>
        </w:rPr>
        <w:t>.</w:t>
      </w:r>
    </w:p>
  </w:footnote>
  <w:footnote w:id="3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С 23 октября 2015 года Ханна </w:t>
      </w:r>
      <w:proofErr w:type="spellStart"/>
      <w:r w:rsidRPr="0015536A">
        <w:rPr>
          <w:szCs w:val="18"/>
          <w:lang w:val="ru-RU"/>
        </w:rPr>
        <w:t>Крог</w:t>
      </w:r>
      <w:proofErr w:type="spellEnd"/>
      <w:r w:rsidRPr="0015536A">
        <w:rPr>
          <w:szCs w:val="18"/>
          <w:lang w:val="ru-RU"/>
        </w:rPr>
        <w:t xml:space="preserve"> заменила первоначального адвоката авторов </w:t>
      </w:r>
      <w:proofErr w:type="spellStart"/>
      <w:r w:rsidRPr="0015536A">
        <w:rPr>
          <w:szCs w:val="18"/>
          <w:lang w:val="ru-RU"/>
        </w:rPr>
        <w:t>Сесилию</w:t>
      </w:r>
      <w:proofErr w:type="spellEnd"/>
      <w:r w:rsidRPr="0015536A">
        <w:rPr>
          <w:szCs w:val="18"/>
          <w:lang w:val="ru-RU"/>
        </w:rPr>
        <w:t xml:space="preserve"> </w:t>
      </w:r>
      <w:proofErr w:type="spellStart"/>
      <w:r w:rsidRPr="0015536A">
        <w:rPr>
          <w:szCs w:val="18"/>
          <w:lang w:val="ru-RU"/>
        </w:rPr>
        <w:t>Вейби</w:t>
      </w:r>
      <w:proofErr w:type="spellEnd"/>
      <w:r w:rsidRPr="0015536A">
        <w:rPr>
          <w:szCs w:val="18"/>
          <w:lang w:val="ru-RU"/>
        </w:rPr>
        <w:t xml:space="preserve"> Андерсен из Датского совета по делам беженцев.</w:t>
      </w:r>
    </w:p>
  </w:footnote>
  <w:footnote w:id="4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Авторы не </w:t>
      </w:r>
      <w:r>
        <w:rPr>
          <w:szCs w:val="18"/>
          <w:lang w:val="ru-RU"/>
        </w:rPr>
        <w:t>указали</w:t>
      </w:r>
      <w:r w:rsidRPr="0015536A">
        <w:rPr>
          <w:szCs w:val="18"/>
          <w:lang w:val="ru-RU"/>
        </w:rPr>
        <w:t xml:space="preserve"> подробных данных об органах власти, на которые они ссылаются.</w:t>
      </w:r>
    </w:p>
  </w:footnote>
  <w:footnote w:id="5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Авторы сообщили Апелляционному совету по делам беженцев о том, что данные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о супруге автора по ошибке </w:t>
      </w:r>
      <w:proofErr w:type="gramStart"/>
      <w:r w:rsidRPr="0015536A">
        <w:rPr>
          <w:szCs w:val="18"/>
          <w:lang w:val="ru-RU"/>
        </w:rPr>
        <w:t xml:space="preserve">занесли в систему регистрации просителей убежища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>как о мужчине и что потребовалось</w:t>
      </w:r>
      <w:proofErr w:type="gramEnd"/>
      <w:r w:rsidRPr="0015536A">
        <w:rPr>
          <w:szCs w:val="18"/>
          <w:lang w:val="ru-RU"/>
        </w:rPr>
        <w:t xml:space="preserve"> два месяца для ее исправления.</w:t>
      </w:r>
    </w:p>
  </w:footnote>
  <w:footnote w:id="6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>У автора-женщины ранее наблюдались попытки суицида.</w:t>
      </w:r>
    </w:p>
  </w:footnote>
  <w:footnote w:id="7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Авторы ссылаются на решения Европейского суда по правам человека по делу </w:t>
      </w:r>
      <w:r>
        <w:rPr>
          <w:szCs w:val="18"/>
          <w:lang w:val="ru-RU"/>
        </w:rPr>
        <w:br/>
      </w:r>
      <w:r w:rsidRPr="0015536A">
        <w:rPr>
          <w:i/>
          <w:iCs/>
          <w:szCs w:val="18"/>
          <w:lang w:val="ru-RU"/>
        </w:rPr>
        <w:t xml:space="preserve">М.С.С. против Бельгии и Греции </w:t>
      </w:r>
      <w:r w:rsidRPr="0015536A">
        <w:rPr>
          <w:szCs w:val="18"/>
          <w:lang w:val="ru-RU"/>
        </w:rPr>
        <w:t>(заявление № 30696/09), решение от</w:t>
      </w:r>
      <w:r>
        <w:rPr>
          <w:szCs w:val="18"/>
          <w:lang w:val="ru-RU"/>
        </w:rPr>
        <w:t xml:space="preserve"> </w:t>
      </w:r>
      <w:r w:rsidRPr="0015536A">
        <w:rPr>
          <w:szCs w:val="18"/>
          <w:lang w:val="ru-RU"/>
        </w:rPr>
        <w:t xml:space="preserve">15 декабря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2010 года, а также по делу </w:t>
      </w:r>
      <w:proofErr w:type="spellStart"/>
      <w:r w:rsidRPr="0015536A">
        <w:rPr>
          <w:i/>
          <w:szCs w:val="18"/>
          <w:lang w:val="ru-RU"/>
        </w:rPr>
        <w:t>Самсам</w:t>
      </w:r>
      <w:proofErr w:type="spellEnd"/>
      <w:r w:rsidRPr="0015536A">
        <w:rPr>
          <w:i/>
          <w:szCs w:val="18"/>
          <w:lang w:val="ru-RU"/>
        </w:rPr>
        <w:t xml:space="preserve"> Мохаммед Хуссейн и другие против Нидерландов </w:t>
      </w:r>
      <w:r>
        <w:rPr>
          <w:i/>
          <w:szCs w:val="18"/>
          <w:lang w:val="ru-RU"/>
        </w:rPr>
        <w:br/>
      </w:r>
      <w:r w:rsidRPr="0015536A">
        <w:rPr>
          <w:i/>
          <w:szCs w:val="18"/>
          <w:lang w:val="ru-RU"/>
        </w:rPr>
        <w:t>и Италии</w:t>
      </w:r>
      <w:r w:rsidRPr="0015536A">
        <w:rPr>
          <w:szCs w:val="18"/>
          <w:lang w:val="ru-RU"/>
        </w:rPr>
        <w:t xml:space="preserve"> (заявление № 27725/10), решение от 2 апреля 2013 года.</w:t>
      </w:r>
    </w:p>
  </w:footnote>
  <w:footnote w:id="8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>Апелляционному совету по делам беженцев не была представлена подробная медицинская информация о младшей дочери.</w:t>
      </w:r>
    </w:p>
  </w:footnote>
  <w:footnote w:id="9">
    <w:p w:rsidR="008B21C3" w:rsidRPr="00530EAF" w:rsidRDefault="008B21C3" w:rsidP="008B21C3">
      <w:pPr>
        <w:pStyle w:val="aa"/>
        <w:rPr>
          <w:szCs w:val="18"/>
          <w:lang w:val="en-US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</w:rPr>
        <w:tab/>
      </w:r>
      <w:r w:rsidRPr="0015536A">
        <w:rPr>
          <w:szCs w:val="18"/>
          <w:lang w:val="ru-RU"/>
        </w:rPr>
        <w:t>См</w:t>
      </w:r>
      <w:r w:rsidRPr="0015536A">
        <w:rPr>
          <w:szCs w:val="18"/>
          <w:lang w:val="en-US"/>
        </w:rPr>
        <w:t xml:space="preserve">. </w:t>
      </w:r>
      <w:r>
        <w:rPr>
          <w:szCs w:val="18"/>
          <w:lang w:val="ru-RU"/>
        </w:rPr>
        <w:t>УВКБ</w:t>
      </w:r>
      <w:r w:rsidRPr="0015536A">
        <w:rPr>
          <w:szCs w:val="18"/>
          <w:lang w:val="en-US"/>
        </w:rPr>
        <w:t xml:space="preserve">, «Where is my home? </w:t>
      </w:r>
      <w:proofErr w:type="gramStart"/>
      <w:r w:rsidRPr="0015536A">
        <w:rPr>
          <w:szCs w:val="18"/>
          <w:lang w:val="en-US"/>
        </w:rPr>
        <w:t xml:space="preserve">Homelessness and access to housing among asylum seekers, refugees and persons with international protection in Bulgaria» (2013 </w:t>
      </w:r>
      <w:r w:rsidRPr="0015536A">
        <w:rPr>
          <w:szCs w:val="18"/>
          <w:lang w:val="ru-RU"/>
        </w:rPr>
        <w:t>год</w:t>
      </w:r>
      <w:r w:rsidRPr="0015536A">
        <w:rPr>
          <w:szCs w:val="18"/>
          <w:lang w:val="en-US"/>
        </w:rPr>
        <w:t xml:space="preserve">), </w:t>
      </w:r>
      <w:r w:rsidRPr="0015536A">
        <w:rPr>
          <w:szCs w:val="18"/>
          <w:lang w:val="en-US"/>
        </w:rPr>
        <w:br/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15536A">
        <w:rPr>
          <w:szCs w:val="18"/>
          <w:lang w:val="en-US"/>
        </w:rPr>
        <w:t>.</w:t>
      </w:r>
      <w:proofErr w:type="gramEnd"/>
      <w:r w:rsidRPr="0015536A">
        <w:rPr>
          <w:szCs w:val="18"/>
          <w:lang w:val="en-US"/>
        </w:rPr>
        <w:t xml:space="preserve"> </w:t>
      </w:r>
      <w:proofErr w:type="gramStart"/>
      <w:r w:rsidRPr="0015536A">
        <w:rPr>
          <w:szCs w:val="18"/>
          <w:lang w:val="en-US"/>
        </w:rPr>
        <w:t xml:space="preserve">11–13, </w:t>
      </w:r>
      <w:r w:rsidRPr="0015536A">
        <w:rPr>
          <w:szCs w:val="18"/>
          <w:lang w:val="ru-RU"/>
        </w:rPr>
        <w:t>и</w:t>
      </w:r>
      <w:r w:rsidRPr="0015536A">
        <w:rPr>
          <w:szCs w:val="18"/>
          <w:lang w:val="en-US"/>
        </w:rPr>
        <w:t xml:space="preserve"> «Bulgaria as a country of asylum.</w:t>
      </w:r>
      <w:proofErr w:type="gramEnd"/>
      <w:r w:rsidRPr="0015536A">
        <w:rPr>
          <w:szCs w:val="18"/>
          <w:lang w:val="en-US"/>
        </w:rPr>
        <w:t xml:space="preserve"> </w:t>
      </w:r>
      <w:proofErr w:type="gramStart"/>
      <w:r w:rsidRPr="0015536A">
        <w:rPr>
          <w:szCs w:val="18"/>
          <w:lang w:val="en-US"/>
        </w:rPr>
        <w:t>UNHCR observations on the current situation of asylum in Bulgaria» (</w:t>
      </w:r>
      <w:r w:rsidRPr="0015536A">
        <w:rPr>
          <w:szCs w:val="18"/>
          <w:lang w:val="ru-RU"/>
        </w:rPr>
        <w:t>январь</w:t>
      </w:r>
      <w:r w:rsidRPr="0015536A">
        <w:rPr>
          <w:szCs w:val="18"/>
          <w:lang w:val="en-US"/>
        </w:rPr>
        <w:t xml:space="preserve"> 2014 </w:t>
      </w:r>
      <w:r w:rsidRPr="0015536A">
        <w:rPr>
          <w:szCs w:val="18"/>
          <w:lang w:val="ru-RU"/>
        </w:rPr>
        <w:t>года</w:t>
      </w:r>
      <w:r w:rsidRPr="0015536A">
        <w:rPr>
          <w:szCs w:val="18"/>
          <w:lang w:val="en-US"/>
        </w:rPr>
        <w:t xml:space="preserve">, </w:t>
      </w:r>
      <w:r w:rsidRPr="0015536A">
        <w:rPr>
          <w:szCs w:val="18"/>
          <w:lang w:val="ru-RU"/>
        </w:rPr>
        <w:t>обновлено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в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апреле</w:t>
      </w:r>
      <w:r w:rsidRPr="0015536A">
        <w:rPr>
          <w:szCs w:val="18"/>
          <w:lang w:val="en-US"/>
        </w:rPr>
        <w:t xml:space="preserve"> 2014 </w:t>
      </w:r>
      <w:r w:rsidRPr="0015536A">
        <w:rPr>
          <w:szCs w:val="18"/>
          <w:lang w:val="ru-RU"/>
        </w:rPr>
        <w:t>года</w:t>
      </w:r>
      <w:r w:rsidRPr="0015536A">
        <w:rPr>
          <w:szCs w:val="18"/>
          <w:lang w:val="en-US"/>
        </w:rPr>
        <w:t>).</w:t>
      </w:r>
      <w:proofErr w:type="gramEnd"/>
      <w:r w:rsidRPr="0015536A">
        <w:rPr>
          <w:szCs w:val="18"/>
          <w:lang w:val="en-US"/>
        </w:rPr>
        <w:t xml:space="preserve"> </w:t>
      </w:r>
      <w:r w:rsidRPr="00530EAF">
        <w:rPr>
          <w:szCs w:val="18"/>
          <w:lang w:val="en-US"/>
        </w:rPr>
        <w:br/>
      </w:r>
      <w:r w:rsidRPr="0015536A">
        <w:rPr>
          <w:szCs w:val="18"/>
          <w:lang w:val="ru-RU"/>
        </w:rPr>
        <w:t>См</w:t>
      </w:r>
      <w:r w:rsidRPr="00530EAF">
        <w:rPr>
          <w:szCs w:val="18"/>
          <w:lang w:val="en-US"/>
        </w:rPr>
        <w:t xml:space="preserve">. </w:t>
      </w:r>
      <w:r w:rsidRPr="0015536A">
        <w:rPr>
          <w:szCs w:val="18"/>
          <w:lang w:val="ru-RU"/>
        </w:rPr>
        <w:t>также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Информационн</w:t>
      </w:r>
      <w:r>
        <w:rPr>
          <w:szCs w:val="18"/>
          <w:lang w:val="ru-RU"/>
        </w:rPr>
        <w:t>ую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баз</w:t>
      </w:r>
      <w:r>
        <w:rPr>
          <w:szCs w:val="18"/>
          <w:lang w:val="ru-RU"/>
        </w:rPr>
        <w:t>у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данных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по</w:t>
      </w:r>
      <w:r w:rsidRPr="00530EAF">
        <w:rPr>
          <w:szCs w:val="18"/>
          <w:lang w:val="en-US"/>
        </w:rPr>
        <w:t xml:space="preserve"> </w:t>
      </w:r>
      <w:r>
        <w:rPr>
          <w:szCs w:val="18"/>
          <w:lang w:val="ru-RU"/>
        </w:rPr>
        <w:t>вопросам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убежища</w:t>
      </w:r>
      <w:r w:rsidRPr="00530EAF">
        <w:rPr>
          <w:szCs w:val="18"/>
          <w:lang w:val="en-US"/>
        </w:rPr>
        <w:t>, «</w:t>
      </w:r>
      <w:r w:rsidRPr="0015536A">
        <w:rPr>
          <w:szCs w:val="18"/>
          <w:lang w:val="ru-RU"/>
        </w:rPr>
        <w:t>Национальный</w:t>
      </w:r>
      <w:r w:rsidRPr="00530EAF">
        <w:rPr>
          <w:szCs w:val="18"/>
          <w:lang w:val="en-US"/>
        </w:rPr>
        <w:t xml:space="preserve"> </w:t>
      </w:r>
      <w:proofErr w:type="spellStart"/>
      <w:r w:rsidRPr="0015536A">
        <w:rPr>
          <w:szCs w:val="18"/>
          <w:lang w:val="ru-RU"/>
        </w:rPr>
        <w:t>страновой</w:t>
      </w:r>
      <w:proofErr w:type="spellEnd"/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доклад</w:t>
      </w:r>
      <w:r w:rsidRPr="00530EAF">
        <w:rPr>
          <w:szCs w:val="18"/>
          <w:lang w:val="en-US"/>
        </w:rPr>
        <w:t xml:space="preserve">: </w:t>
      </w:r>
      <w:r w:rsidRPr="0015536A">
        <w:rPr>
          <w:szCs w:val="18"/>
          <w:lang w:val="ru-RU"/>
        </w:rPr>
        <w:t>Болгария</w:t>
      </w:r>
      <w:r w:rsidRPr="00530EAF">
        <w:rPr>
          <w:szCs w:val="18"/>
          <w:lang w:val="en-US"/>
        </w:rPr>
        <w:t>» (</w:t>
      </w:r>
      <w:r w:rsidRPr="0015536A">
        <w:rPr>
          <w:szCs w:val="18"/>
          <w:lang w:val="ru-RU"/>
        </w:rPr>
        <w:t>апрель</w:t>
      </w:r>
      <w:r w:rsidRPr="00530EAF">
        <w:rPr>
          <w:szCs w:val="18"/>
          <w:lang w:val="en-US"/>
        </w:rPr>
        <w:t xml:space="preserve"> 2014 </w:t>
      </w:r>
      <w:r w:rsidRPr="0015536A">
        <w:rPr>
          <w:szCs w:val="18"/>
          <w:lang w:val="ru-RU"/>
        </w:rPr>
        <w:t>года</w:t>
      </w:r>
      <w:r w:rsidRPr="00530EAF">
        <w:rPr>
          <w:szCs w:val="18"/>
          <w:lang w:val="en-US"/>
        </w:rPr>
        <w:t xml:space="preserve">), </w:t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530EAF">
        <w:rPr>
          <w:szCs w:val="18"/>
          <w:lang w:val="en-US"/>
        </w:rPr>
        <w:t xml:space="preserve">. 10–13, </w:t>
      </w:r>
      <w:r w:rsidRPr="0015536A">
        <w:rPr>
          <w:szCs w:val="18"/>
          <w:lang w:val="ru-RU"/>
        </w:rPr>
        <w:t>а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также</w:t>
      </w:r>
      <w:r w:rsidRPr="00530EAF">
        <w:rPr>
          <w:szCs w:val="18"/>
          <w:lang w:val="en-US"/>
        </w:rPr>
        <w:t xml:space="preserve"> «</w:t>
      </w:r>
      <w:r w:rsidRPr="0015536A">
        <w:rPr>
          <w:szCs w:val="18"/>
          <w:lang w:val="en-US"/>
        </w:rPr>
        <w:t>Human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en-US"/>
        </w:rPr>
        <w:t>Rights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  <w:lang w:val="en-US"/>
        </w:rPr>
        <w:t>Watch</w:t>
      </w:r>
      <w:r w:rsidRPr="00530EAF">
        <w:rPr>
          <w:szCs w:val="18"/>
          <w:lang w:val="en-US"/>
        </w:rPr>
        <w:t>», «</w:t>
      </w:r>
      <w:r w:rsidRPr="0015536A">
        <w:rPr>
          <w:szCs w:val="18"/>
        </w:rPr>
        <w:t>Containment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plan</w:t>
      </w:r>
      <w:r w:rsidRPr="00530EAF">
        <w:rPr>
          <w:szCs w:val="18"/>
          <w:lang w:val="en-US"/>
        </w:rPr>
        <w:t xml:space="preserve">: </w:t>
      </w:r>
      <w:proofErr w:type="gramStart"/>
      <w:r w:rsidRPr="0015536A">
        <w:rPr>
          <w:szCs w:val="18"/>
        </w:rPr>
        <w:t>Bulgaria</w:t>
      </w:r>
      <w:r w:rsidRPr="00530EAF">
        <w:rPr>
          <w:szCs w:val="18"/>
          <w:lang w:val="en-US"/>
        </w:rPr>
        <w:t>’</w:t>
      </w:r>
      <w:r w:rsidRPr="0015536A">
        <w:rPr>
          <w:szCs w:val="18"/>
        </w:rPr>
        <w:t>s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pushbacks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and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detention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of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Syrian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and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other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asylum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seekers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and</w:t>
      </w:r>
      <w:r w:rsidRPr="00530EAF">
        <w:rPr>
          <w:szCs w:val="18"/>
          <w:lang w:val="en-US"/>
        </w:rPr>
        <w:t xml:space="preserve"> </w:t>
      </w:r>
      <w:r w:rsidRPr="0015536A">
        <w:rPr>
          <w:szCs w:val="18"/>
        </w:rPr>
        <w:t>migrants</w:t>
      </w:r>
      <w:r w:rsidRPr="00530EAF">
        <w:rPr>
          <w:szCs w:val="18"/>
          <w:lang w:val="en-US"/>
        </w:rPr>
        <w:t>» (</w:t>
      </w:r>
      <w:r w:rsidRPr="0015536A">
        <w:rPr>
          <w:szCs w:val="18"/>
          <w:lang w:val="ru-RU"/>
        </w:rPr>
        <w:t>апрель</w:t>
      </w:r>
      <w:r w:rsidRPr="00530EAF">
        <w:rPr>
          <w:szCs w:val="18"/>
          <w:lang w:val="en-US"/>
        </w:rPr>
        <w:t xml:space="preserve"> 2014 </w:t>
      </w:r>
      <w:r w:rsidRPr="0015536A">
        <w:rPr>
          <w:szCs w:val="18"/>
          <w:lang w:val="ru-RU"/>
        </w:rPr>
        <w:t>года</w:t>
      </w:r>
      <w:r w:rsidRPr="00530EAF">
        <w:rPr>
          <w:szCs w:val="18"/>
          <w:lang w:val="en-US"/>
        </w:rPr>
        <w:t>).</w:t>
      </w:r>
      <w:proofErr w:type="gramEnd"/>
    </w:p>
  </w:footnote>
  <w:footnote w:id="10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530EAF">
        <w:rPr>
          <w:szCs w:val="18"/>
          <w:lang w:val="en-US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</w:rPr>
        <w:tab/>
      </w:r>
      <w:r w:rsidRPr="0015536A">
        <w:rPr>
          <w:szCs w:val="18"/>
          <w:lang w:val="ru-RU"/>
        </w:rPr>
        <w:t>См</w:t>
      </w:r>
      <w:r w:rsidRPr="0015536A">
        <w:rPr>
          <w:szCs w:val="18"/>
          <w:lang w:val="en-US"/>
        </w:rPr>
        <w:t xml:space="preserve">. </w:t>
      </w:r>
      <w:proofErr w:type="spellStart"/>
      <w:r w:rsidRPr="0015536A">
        <w:rPr>
          <w:szCs w:val="18"/>
          <w:lang w:val="ru-RU"/>
        </w:rPr>
        <w:t>Цветелина</w:t>
      </w:r>
      <w:proofErr w:type="spellEnd"/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Христова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и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другие</w:t>
      </w:r>
      <w:r w:rsidRPr="0015536A">
        <w:rPr>
          <w:szCs w:val="18"/>
          <w:lang w:val="en-US"/>
        </w:rPr>
        <w:t>, «</w:t>
      </w:r>
      <w:r w:rsidRPr="0015536A">
        <w:rPr>
          <w:szCs w:val="18"/>
        </w:rPr>
        <w:t xml:space="preserve">Trapped in Europe’s quagmire: the situation </w:t>
      </w:r>
      <w:r w:rsidRPr="0015536A">
        <w:rPr>
          <w:szCs w:val="18"/>
          <w:lang w:val="en-US"/>
        </w:rPr>
        <w:br/>
      </w:r>
      <w:r w:rsidRPr="0015536A">
        <w:rPr>
          <w:szCs w:val="18"/>
        </w:rPr>
        <w:t>of asylum seekers and refugees in Bulgaria</w:t>
      </w:r>
      <w:r w:rsidRPr="0015536A">
        <w:rPr>
          <w:szCs w:val="18"/>
          <w:lang w:val="en-US"/>
        </w:rPr>
        <w:t>»</w:t>
      </w:r>
      <w:r w:rsidRPr="0015536A">
        <w:rPr>
          <w:szCs w:val="18"/>
        </w:rPr>
        <w:t xml:space="preserve"> (Bordermonitoring.eu, 2014), </w:t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15536A">
        <w:rPr>
          <w:szCs w:val="18"/>
        </w:rPr>
        <w:t xml:space="preserve">. 22. </w:t>
      </w:r>
      <w:r w:rsidRPr="00530EAF">
        <w:rPr>
          <w:szCs w:val="18"/>
          <w:lang w:val="en-US"/>
        </w:rPr>
        <w:br/>
      </w:r>
      <w:r w:rsidRPr="0015536A">
        <w:rPr>
          <w:szCs w:val="18"/>
          <w:lang w:val="ru-RU"/>
        </w:rPr>
        <w:t xml:space="preserve">См. также решение Европейского суда по правам человека от 11 марта 2014 года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по делу </w:t>
      </w:r>
      <w:proofErr w:type="spellStart"/>
      <w:r w:rsidRPr="0015536A">
        <w:rPr>
          <w:i/>
          <w:szCs w:val="18"/>
          <w:lang w:val="ru-RU"/>
        </w:rPr>
        <w:t>Абду</w:t>
      </w:r>
      <w:proofErr w:type="spellEnd"/>
      <w:r w:rsidRPr="0015536A">
        <w:rPr>
          <w:i/>
          <w:szCs w:val="18"/>
          <w:lang w:val="ru-RU"/>
        </w:rPr>
        <w:t xml:space="preserve"> против Болгарии</w:t>
      </w:r>
      <w:r w:rsidRPr="0015536A">
        <w:rPr>
          <w:szCs w:val="18"/>
          <w:lang w:val="ru-RU"/>
        </w:rPr>
        <w:t xml:space="preserve"> (заявление № 26827/08), согласно которому болгарские власти должным образом не расследовали предположительно расистский характер нападения на гражданина Судана. Суд</w:t>
      </w:r>
      <w:r>
        <w:rPr>
          <w:szCs w:val="18"/>
          <w:lang w:val="ru-RU"/>
        </w:rPr>
        <w:t xml:space="preserve"> </w:t>
      </w:r>
      <w:r w:rsidRPr="0015536A">
        <w:rPr>
          <w:szCs w:val="18"/>
          <w:lang w:val="ru-RU"/>
        </w:rPr>
        <w:t>признал нарушение статей 3 и 14 Европейской конвенции о правах человека.</w:t>
      </w:r>
    </w:p>
  </w:footnote>
  <w:footnote w:id="11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>См. «</w:t>
      </w:r>
      <w:r w:rsidRPr="0015536A">
        <w:rPr>
          <w:szCs w:val="18"/>
        </w:rPr>
        <w:t>Trapped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</w:rPr>
        <w:t>in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</w:rPr>
        <w:t>Europe</w:t>
      </w:r>
      <w:r w:rsidRPr="0015536A">
        <w:rPr>
          <w:szCs w:val="18"/>
          <w:lang w:val="ru-RU"/>
        </w:rPr>
        <w:t>’</w:t>
      </w:r>
      <w:r w:rsidRPr="0015536A">
        <w:rPr>
          <w:szCs w:val="18"/>
        </w:rPr>
        <w:t>s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</w:rPr>
        <w:t>quagmire</w:t>
      </w:r>
      <w:r w:rsidRPr="0015536A">
        <w:rPr>
          <w:szCs w:val="18"/>
          <w:lang w:val="ru-RU"/>
        </w:rPr>
        <w:t>», стр. 6, и заключение № 58 Исполнительного комитета УВК</w:t>
      </w:r>
      <w:r>
        <w:rPr>
          <w:szCs w:val="18"/>
          <w:lang w:val="ru-RU"/>
        </w:rPr>
        <w:t>Б</w:t>
      </w:r>
      <w:r w:rsidRPr="0015536A">
        <w:rPr>
          <w:szCs w:val="18"/>
          <w:lang w:val="ru-RU"/>
        </w:rPr>
        <w:t xml:space="preserve"> по проблеме беженцев и просителей убежища, незаконно в</w:t>
      </w:r>
      <w:r>
        <w:rPr>
          <w:szCs w:val="18"/>
          <w:lang w:val="ru-RU"/>
        </w:rPr>
        <w:t>ъ</w:t>
      </w:r>
      <w:r w:rsidRPr="0015536A">
        <w:rPr>
          <w:szCs w:val="18"/>
          <w:lang w:val="ru-RU"/>
        </w:rPr>
        <w:t>езжающих из страны, в котором им уже предоставлена защита (</w:t>
      </w:r>
      <w:r w:rsidRPr="0015536A">
        <w:rPr>
          <w:szCs w:val="18"/>
        </w:rPr>
        <w:t>A</w:t>
      </w:r>
      <w:r w:rsidRPr="0015536A">
        <w:rPr>
          <w:szCs w:val="18"/>
          <w:lang w:val="ru-RU"/>
        </w:rPr>
        <w:t>/44/12/</w:t>
      </w:r>
      <w:r w:rsidRPr="0015536A">
        <w:rPr>
          <w:szCs w:val="18"/>
        </w:rPr>
        <w:t>Add</w:t>
      </w:r>
      <w:r w:rsidRPr="0015536A">
        <w:rPr>
          <w:szCs w:val="18"/>
          <w:lang w:val="ru-RU"/>
        </w:rPr>
        <w:t>.1, пункт 25).</w:t>
      </w:r>
    </w:p>
  </w:footnote>
  <w:footnote w:id="12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По делу </w:t>
      </w:r>
      <w:r w:rsidRPr="0015536A">
        <w:rPr>
          <w:i/>
          <w:iCs/>
          <w:szCs w:val="18"/>
          <w:lang w:val="ru-RU"/>
        </w:rPr>
        <w:t>М.С.С. против Бельгии и Греции</w:t>
      </w:r>
      <w:r w:rsidRPr="0015536A">
        <w:rPr>
          <w:szCs w:val="18"/>
          <w:lang w:val="ru-RU"/>
        </w:rPr>
        <w:t xml:space="preserve"> Европейский суд постановил,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что бельгийские власти не должны были исходить из того, что обращение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с заявителем будет соответствовать положениям Конвенции. </w:t>
      </w:r>
      <w:proofErr w:type="gramStart"/>
      <w:r w:rsidRPr="0015536A">
        <w:rPr>
          <w:szCs w:val="18"/>
          <w:lang w:val="ru-RU"/>
        </w:rPr>
        <w:t xml:space="preserve">Бельгийские власти должны были сначала удостовериться в том, каким образом греческие власти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на практике применяют свое законодательство о предоставлении убежища,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>и, если бы они так поступили, то они бы убедились в том, что заявителю угрожает достаточно реальная и личная угроза, подпадающая под действие статьи 3 Европейской конвенции, которая соответствует статье 7 Пакта.</w:t>
      </w:r>
      <w:proofErr w:type="gramEnd"/>
      <w:r w:rsidRPr="0015536A">
        <w:rPr>
          <w:szCs w:val="18"/>
          <w:lang w:val="ru-RU"/>
        </w:rPr>
        <w:t xml:space="preserve"> Тот факт, что многие просители убежища в Греции оказываются в сходной с заявителем ситуации, нисколько не умоляет индивидуальн</w:t>
      </w:r>
      <w:r w:rsidR="00C5736C">
        <w:rPr>
          <w:szCs w:val="18"/>
          <w:lang w:val="ru-RU"/>
        </w:rPr>
        <w:t>ы</w:t>
      </w:r>
      <w:r w:rsidRPr="0015536A">
        <w:rPr>
          <w:szCs w:val="18"/>
          <w:lang w:val="ru-RU"/>
        </w:rPr>
        <w:t xml:space="preserve">й характер угрозы в тех случаях, когда она является достаточно реальной и вероятной. В недавно принятом решении от 4 ноября 2014 года по делу </w:t>
      </w:r>
      <w:proofErr w:type="spellStart"/>
      <w:r w:rsidRPr="0015536A">
        <w:rPr>
          <w:i/>
          <w:iCs/>
          <w:szCs w:val="18"/>
          <w:lang w:val="ru-RU"/>
        </w:rPr>
        <w:t>Таракхель</w:t>
      </w:r>
      <w:proofErr w:type="spellEnd"/>
      <w:r w:rsidRPr="0015536A">
        <w:rPr>
          <w:i/>
          <w:iCs/>
          <w:szCs w:val="18"/>
          <w:lang w:val="ru-RU"/>
        </w:rPr>
        <w:t xml:space="preserve"> против Швейцарии </w:t>
      </w:r>
      <w:r w:rsidRPr="0015536A">
        <w:rPr>
          <w:szCs w:val="18"/>
          <w:lang w:val="ru-RU"/>
        </w:rPr>
        <w:t xml:space="preserve">(заявление № 29217/12) Европейский суд указал, что «ненадлежащее обращение должно достигать минимального уровня жестокости, чтобы подпадать под действие статьи 3. Оценка такого минимального уровня является относительной; </w:t>
      </w:r>
      <w:r w:rsidR="00C5736C">
        <w:rPr>
          <w:szCs w:val="18"/>
          <w:lang w:val="ru-RU"/>
        </w:rPr>
        <w:t>это</w:t>
      </w:r>
      <w:r w:rsidRPr="0015536A">
        <w:rPr>
          <w:szCs w:val="18"/>
          <w:lang w:val="ru-RU"/>
        </w:rPr>
        <w:t xml:space="preserve"> зависит от всех обстоятельств дела, в частности продолжительности обращения, а также его физических и психологических последствий и в некоторых случаях от пола, возраста и состояния здоровья жертвы». Суд далее подчеркнул, что детей следует считать особо уязвимыми лицами.</w:t>
      </w:r>
    </w:p>
  </w:footnote>
  <w:footnote w:id="13">
    <w:p w:rsidR="008B21C3" w:rsidRPr="0015536A" w:rsidRDefault="008B21C3" w:rsidP="008B21C3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680C39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См., например, </w:t>
      </w:r>
      <w:r w:rsidRPr="002521F2">
        <w:rPr>
          <w:iCs/>
          <w:szCs w:val="18"/>
          <w:lang w:val="ru-RU"/>
        </w:rPr>
        <w:t xml:space="preserve">дело </w:t>
      </w:r>
      <w:proofErr w:type="spellStart"/>
      <w:r w:rsidRPr="0015536A">
        <w:rPr>
          <w:i/>
          <w:iCs/>
          <w:szCs w:val="18"/>
          <w:lang w:val="ru-RU"/>
        </w:rPr>
        <w:t>Таракхель</w:t>
      </w:r>
      <w:proofErr w:type="spellEnd"/>
      <w:r w:rsidRPr="0015536A">
        <w:rPr>
          <w:i/>
          <w:iCs/>
          <w:szCs w:val="18"/>
          <w:lang w:val="ru-RU"/>
        </w:rPr>
        <w:t xml:space="preserve"> против Швейцарии, </w:t>
      </w:r>
      <w:r w:rsidRPr="0015536A">
        <w:rPr>
          <w:szCs w:val="18"/>
          <w:lang w:val="ru-RU"/>
        </w:rPr>
        <w:t>пункт 119.</w:t>
      </w:r>
    </w:p>
  </w:footnote>
  <w:footnote w:id="14">
    <w:p w:rsidR="000E312F" w:rsidRPr="002A545A" w:rsidRDefault="000E312F" w:rsidP="000E312F">
      <w:pPr>
        <w:pStyle w:val="aa"/>
        <w:rPr>
          <w:lang w:val="ru-RU"/>
        </w:rPr>
      </w:pPr>
      <w:r w:rsidRPr="000E312F">
        <w:rPr>
          <w:lang w:val="ru-RU"/>
        </w:rPr>
        <w:tab/>
      </w:r>
      <w:r>
        <w:rPr>
          <w:rStyle w:val="a6"/>
        </w:rPr>
        <w:footnoteRef/>
      </w:r>
      <w:r w:rsidRPr="002A545A">
        <w:rPr>
          <w:lang w:val="ru-RU"/>
        </w:rPr>
        <w:tab/>
      </w:r>
      <w:r w:rsidRPr="002A545A">
        <w:rPr>
          <w:iCs/>
          <w:lang w:val="ru-RU"/>
        </w:rPr>
        <w:t>См., например, организация «</w:t>
      </w:r>
      <w:proofErr w:type="spellStart"/>
      <w:r w:rsidRPr="002A545A">
        <w:rPr>
          <w:iCs/>
          <w:lang w:val="ru-RU"/>
        </w:rPr>
        <w:t>Хьюман</w:t>
      </w:r>
      <w:proofErr w:type="spellEnd"/>
      <w:r w:rsidRPr="002A545A">
        <w:rPr>
          <w:iCs/>
          <w:lang w:val="ru-RU"/>
        </w:rPr>
        <w:t xml:space="preserve"> </w:t>
      </w:r>
      <w:proofErr w:type="spellStart"/>
      <w:r w:rsidRPr="002A545A">
        <w:rPr>
          <w:iCs/>
          <w:lang w:val="ru-RU"/>
        </w:rPr>
        <w:t>райтс</w:t>
      </w:r>
      <w:proofErr w:type="spellEnd"/>
      <w:r w:rsidRPr="002A545A">
        <w:rPr>
          <w:iCs/>
          <w:lang w:val="ru-RU"/>
        </w:rPr>
        <w:t xml:space="preserve"> </w:t>
      </w:r>
      <w:proofErr w:type="spellStart"/>
      <w:r w:rsidRPr="002A545A">
        <w:rPr>
          <w:iCs/>
          <w:lang w:val="ru-RU"/>
        </w:rPr>
        <w:t>уотч</w:t>
      </w:r>
      <w:proofErr w:type="spellEnd"/>
      <w:r w:rsidRPr="002A545A">
        <w:rPr>
          <w:lang w:val="ru-RU"/>
        </w:rPr>
        <w:t>», «</w:t>
      </w:r>
      <w:r w:rsidRPr="002A545A">
        <w:rPr>
          <w:lang w:val="en-US"/>
        </w:rPr>
        <w:t>Containment</w:t>
      </w:r>
      <w:r w:rsidRPr="002A545A">
        <w:rPr>
          <w:lang w:val="ru-RU"/>
        </w:rPr>
        <w:t xml:space="preserve"> </w:t>
      </w:r>
      <w:r w:rsidRPr="002A545A">
        <w:rPr>
          <w:lang w:val="en-US"/>
        </w:rPr>
        <w:t>plan</w:t>
      </w:r>
      <w:r w:rsidRPr="002A545A">
        <w:rPr>
          <w:lang w:val="ru-RU"/>
        </w:rPr>
        <w:t>».</w:t>
      </w:r>
    </w:p>
  </w:footnote>
  <w:footnote w:id="15">
    <w:p w:rsidR="000E312F" w:rsidRPr="00A13FB7" w:rsidRDefault="000E312F" w:rsidP="000E312F">
      <w:pPr>
        <w:pStyle w:val="aa"/>
        <w:rPr>
          <w:lang w:val="ru-RU"/>
        </w:rPr>
      </w:pPr>
      <w:r w:rsidRPr="003045EA">
        <w:rPr>
          <w:lang w:val="ru-RU"/>
        </w:rPr>
        <w:tab/>
      </w:r>
      <w:r>
        <w:rPr>
          <w:rStyle w:val="a6"/>
        </w:rPr>
        <w:footnoteRef/>
      </w:r>
      <w:r w:rsidRPr="00A13FB7">
        <w:rPr>
          <w:lang w:val="ru-RU"/>
        </w:rPr>
        <w:tab/>
      </w:r>
      <w:proofErr w:type="gramStart"/>
      <w:r w:rsidRPr="0015536A">
        <w:rPr>
          <w:szCs w:val="18"/>
          <w:lang w:val="en-US"/>
        </w:rPr>
        <w:t>Ibid</w:t>
      </w:r>
      <w:r w:rsidRPr="00530EAF">
        <w:rPr>
          <w:szCs w:val="18"/>
          <w:lang w:val="ru-RU"/>
        </w:rPr>
        <w:t>.,</w:t>
      </w:r>
      <w:proofErr w:type="gramEnd"/>
      <w:r w:rsidRPr="00530EAF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p</w:t>
      </w:r>
      <w:r w:rsidRPr="00530EAF">
        <w:rPr>
          <w:szCs w:val="18"/>
          <w:lang w:val="ru-RU"/>
        </w:rPr>
        <w:t>. 2.</w:t>
      </w:r>
    </w:p>
  </w:footnote>
  <w:footnote w:id="16">
    <w:p w:rsidR="000E312F" w:rsidRPr="003045EA" w:rsidRDefault="000E312F" w:rsidP="000E312F">
      <w:pPr>
        <w:pStyle w:val="aa"/>
        <w:rPr>
          <w:lang w:val="ru-RU"/>
        </w:rPr>
      </w:pPr>
      <w:r w:rsidRPr="00A13FB7">
        <w:rPr>
          <w:lang w:val="ru-RU"/>
        </w:rPr>
        <w:tab/>
      </w:r>
      <w:r>
        <w:rPr>
          <w:rStyle w:val="a6"/>
        </w:rPr>
        <w:footnoteRef/>
      </w:r>
      <w:r w:rsidRPr="003045EA">
        <w:rPr>
          <w:lang w:val="ru-RU"/>
        </w:rPr>
        <w:tab/>
      </w:r>
      <w:proofErr w:type="gramStart"/>
      <w:r w:rsidRPr="0015536A">
        <w:rPr>
          <w:szCs w:val="18"/>
        </w:rPr>
        <w:t>Ibid</w:t>
      </w:r>
      <w:r w:rsidRPr="0015536A">
        <w:rPr>
          <w:szCs w:val="18"/>
          <w:lang w:val="ru-RU"/>
        </w:rPr>
        <w:t>.,</w:t>
      </w:r>
      <w:proofErr w:type="gramEnd"/>
      <w:r w:rsidRPr="0015536A">
        <w:rPr>
          <w:szCs w:val="18"/>
          <w:lang w:val="ru-RU"/>
        </w:rPr>
        <w:t xml:space="preserve"> стр. 5. По данным УВК</w:t>
      </w:r>
      <w:r>
        <w:rPr>
          <w:szCs w:val="18"/>
          <w:lang w:val="ru-RU"/>
        </w:rPr>
        <w:t>Б</w:t>
      </w:r>
      <w:r w:rsidRPr="0015536A">
        <w:rPr>
          <w:szCs w:val="18"/>
          <w:lang w:val="ru-RU"/>
        </w:rPr>
        <w:t>, все центры отапливаются, Государственное агентство по делам беженцев обеспечивает проживающим в них лицам двухразовое питание</w:t>
      </w:r>
      <w:r>
        <w:rPr>
          <w:szCs w:val="18"/>
          <w:lang w:val="ru-RU"/>
        </w:rPr>
        <w:t>,</w:t>
      </w:r>
      <w:r w:rsidRPr="0015536A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>и многим из них разрешается проживать в центрах в течение длительного времени после получения статуса беженцев или гуманитарного статуса при отсутствии у них сре</w:t>
      </w:r>
      <w:proofErr w:type="gramStart"/>
      <w:r w:rsidRPr="0015536A">
        <w:rPr>
          <w:szCs w:val="18"/>
          <w:lang w:val="ru-RU"/>
        </w:rPr>
        <w:t>дств к с</w:t>
      </w:r>
      <w:proofErr w:type="gramEnd"/>
      <w:r w:rsidRPr="0015536A">
        <w:rPr>
          <w:szCs w:val="18"/>
          <w:lang w:val="ru-RU"/>
        </w:rPr>
        <w:t>амостоятельному существованию.</w:t>
      </w:r>
    </w:p>
  </w:footnote>
  <w:footnote w:id="17">
    <w:p w:rsidR="000E312F" w:rsidRPr="002A545A" w:rsidRDefault="000E312F" w:rsidP="000E312F">
      <w:pPr>
        <w:pStyle w:val="aa"/>
        <w:rPr>
          <w:lang w:val="en-US"/>
        </w:rPr>
      </w:pPr>
      <w:r w:rsidRPr="003045EA">
        <w:rPr>
          <w:lang w:val="ru-RU"/>
        </w:rPr>
        <w:tab/>
      </w:r>
      <w:r>
        <w:rPr>
          <w:rStyle w:val="a6"/>
        </w:rPr>
        <w:footnoteRef/>
      </w:r>
      <w:r>
        <w:tab/>
      </w:r>
      <w:r w:rsidRPr="0015536A">
        <w:rPr>
          <w:szCs w:val="18"/>
          <w:lang w:val="ru-RU"/>
        </w:rPr>
        <w:t>См</w:t>
      </w:r>
      <w:r w:rsidRPr="0015536A">
        <w:rPr>
          <w:szCs w:val="18"/>
          <w:lang w:val="en-US"/>
        </w:rPr>
        <w:t xml:space="preserve">., </w:t>
      </w:r>
      <w:r w:rsidRPr="0015536A">
        <w:rPr>
          <w:szCs w:val="18"/>
          <w:lang w:val="ru-RU"/>
        </w:rPr>
        <w:t>например</w:t>
      </w:r>
      <w:r w:rsidRPr="0015536A">
        <w:rPr>
          <w:szCs w:val="18"/>
          <w:lang w:val="en-US"/>
        </w:rPr>
        <w:t xml:space="preserve">, </w:t>
      </w:r>
      <w:r w:rsidRPr="0015536A">
        <w:rPr>
          <w:szCs w:val="18"/>
          <w:lang w:val="ru-RU"/>
        </w:rPr>
        <w:t>УВК</w:t>
      </w:r>
      <w:r>
        <w:rPr>
          <w:szCs w:val="18"/>
          <w:lang w:val="ru-RU"/>
        </w:rPr>
        <w:t>Б</w:t>
      </w:r>
      <w:r w:rsidRPr="0015536A">
        <w:rPr>
          <w:szCs w:val="18"/>
          <w:lang w:val="en-US"/>
        </w:rPr>
        <w:t xml:space="preserve"> «Where is my home?».</w:t>
      </w:r>
    </w:p>
  </w:footnote>
  <w:footnote w:id="18">
    <w:p w:rsidR="000E312F" w:rsidRPr="002A545A" w:rsidRDefault="000E312F" w:rsidP="000E312F">
      <w:pPr>
        <w:pStyle w:val="aa"/>
        <w:rPr>
          <w:lang w:val="en-US"/>
        </w:rPr>
      </w:pPr>
      <w:r>
        <w:tab/>
      </w:r>
      <w:r>
        <w:rPr>
          <w:rStyle w:val="a6"/>
        </w:rPr>
        <w:footnoteRef/>
      </w:r>
      <w:r>
        <w:tab/>
      </w:r>
      <w:r w:rsidRPr="0015536A">
        <w:rPr>
          <w:szCs w:val="18"/>
          <w:lang w:val="ru-RU"/>
        </w:rPr>
        <w:t>См</w:t>
      </w:r>
      <w:r w:rsidRPr="0015536A">
        <w:rPr>
          <w:szCs w:val="18"/>
          <w:lang w:val="en-US"/>
        </w:rPr>
        <w:t xml:space="preserve">., </w:t>
      </w:r>
      <w:r w:rsidRPr="0015536A">
        <w:rPr>
          <w:szCs w:val="18"/>
          <w:lang w:val="ru-RU"/>
        </w:rPr>
        <w:t>например</w:t>
      </w:r>
      <w:r w:rsidRPr="0015536A">
        <w:rPr>
          <w:szCs w:val="18"/>
          <w:lang w:val="en-US"/>
        </w:rPr>
        <w:t>, «Bulgaria as a country of asylum»,</w:t>
      </w:r>
      <w:r>
        <w:rPr>
          <w:szCs w:val="18"/>
          <w:lang w:val="en-US"/>
        </w:rPr>
        <w:t xml:space="preserve"> </w:t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15536A">
        <w:rPr>
          <w:szCs w:val="18"/>
          <w:lang w:val="en-US"/>
        </w:rPr>
        <w:t xml:space="preserve">. 12; «Trapped in Europe’s quagmire», </w:t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15536A">
        <w:rPr>
          <w:szCs w:val="18"/>
          <w:lang w:val="en-US"/>
        </w:rPr>
        <w:t xml:space="preserve">. 16; </w:t>
      </w:r>
      <w:r w:rsidRPr="0015536A">
        <w:rPr>
          <w:szCs w:val="18"/>
          <w:lang w:val="ru-RU"/>
        </w:rPr>
        <w:t>а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также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издание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Болгарского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совета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по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делам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беженцев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en-US"/>
        </w:rPr>
        <w:br/>
      </w:r>
      <w:r w:rsidRPr="0015536A">
        <w:rPr>
          <w:szCs w:val="18"/>
          <w:lang w:val="ru-RU"/>
        </w:rPr>
        <w:t>и</w:t>
      </w:r>
      <w:r w:rsidRPr="0015536A">
        <w:rPr>
          <w:szCs w:val="18"/>
          <w:lang w:val="en-US"/>
        </w:rPr>
        <w:t xml:space="preserve"> </w:t>
      </w:r>
      <w:r w:rsidRPr="0015536A">
        <w:rPr>
          <w:szCs w:val="18"/>
          <w:lang w:val="ru-RU"/>
        </w:rPr>
        <w:t>мигрантов</w:t>
      </w:r>
      <w:r w:rsidRPr="0015536A">
        <w:rPr>
          <w:i/>
          <w:szCs w:val="18"/>
          <w:lang w:val="en-US"/>
        </w:rPr>
        <w:t xml:space="preserve"> </w:t>
      </w:r>
      <w:r w:rsidRPr="0015536A">
        <w:rPr>
          <w:szCs w:val="18"/>
          <w:lang w:val="en-US"/>
        </w:rPr>
        <w:t xml:space="preserve">«Monitoring report on the integration of beneficiaries of international protection in the Republic of Bulgaria in 2014», </w:t>
      </w:r>
      <w:proofErr w:type="spellStart"/>
      <w:r w:rsidRPr="0015536A">
        <w:rPr>
          <w:szCs w:val="18"/>
          <w:lang w:val="ru-RU"/>
        </w:rPr>
        <w:t>стр</w:t>
      </w:r>
      <w:proofErr w:type="spellEnd"/>
      <w:r w:rsidRPr="0015536A">
        <w:rPr>
          <w:szCs w:val="18"/>
          <w:lang w:val="en-US"/>
        </w:rPr>
        <w:t>. 51.</w:t>
      </w:r>
    </w:p>
  </w:footnote>
  <w:footnote w:id="19">
    <w:p w:rsidR="000E312F" w:rsidRPr="006D75D0" w:rsidRDefault="000E312F" w:rsidP="000E312F">
      <w:pPr>
        <w:pStyle w:val="aa"/>
        <w:rPr>
          <w:lang w:val="ru-RU"/>
        </w:rPr>
      </w:pPr>
      <w:r>
        <w:tab/>
      </w:r>
      <w:r>
        <w:rPr>
          <w:rStyle w:val="a6"/>
        </w:rPr>
        <w:footnoteRef/>
      </w:r>
      <w:r w:rsidRPr="006D75D0">
        <w:rPr>
          <w:lang w:val="ru-RU"/>
        </w:rPr>
        <w:tab/>
      </w:r>
      <w:r w:rsidRPr="0015536A">
        <w:rPr>
          <w:szCs w:val="18"/>
          <w:lang w:val="ru-RU"/>
        </w:rPr>
        <w:t>См., например, «</w:t>
      </w:r>
      <w:r w:rsidRPr="0015536A">
        <w:rPr>
          <w:szCs w:val="18"/>
          <w:lang w:val="en-US"/>
        </w:rPr>
        <w:t>Bulgaria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as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a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country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of</w:t>
      </w:r>
      <w:r w:rsidRPr="0015536A">
        <w:rPr>
          <w:szCs w:val="18"/>
          <w:lang w:val="ru-RU"/>
        </w:rPr>
        <w:t xml:space="preserve"> </w:t>
      </w:r>
      <w:r w:rsidRPr="0015536A">
        <w:rPr>
          <w:szCs w:val="18"/>
          <w:lang w:val="en-US"/>
        </w:rPr>
        <w:t>asylum</w:t>
      </w:r>
      <w:r w:rsidRPr="0015536A">
        <w:rPr>
          <w:szCs w:val="18"/>
          <w:lang w:val="ru-RU"/>
        </w:rPr>
        <w:t xml:space="preserve">», стр. 14, где указывается,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 xml:space="preserve">что 14 февраля 2014 года после нападения на мечеть </w:t>
      </w:r>
      <w:proofErr w:type="spellStart"/>
      <w:r w:rsidRPr="0015536A">
        <w:rPr>
          <w:szCs w:val="18"/>
          <w:lang w:val="ru-RU"/>
        </w:rPr>
        <w:t>Джумая</w:t>
      </w:r>
      <w:proofErr w:type="spellEnd"/>
      <w:r w:rsidRPr="0015536A">
        <w:rPr>
          <w:szCs w:val="18"/>
          <w:lang w:val="ru-RU"/>
        </w:rPr>
        <w:t xml:space="preserve"> в Пловдиве правительство осудило это нападение и обнародовало второе совместное заявление </w:t>
      </w:r>
      <w:r>
        <w:rPr>
          <w:szCs w:val="18"/>
          <w:lang w:val="ru-RU"/>
        </w:rPr>
        <w:br/>
      </w:r>
      <w:r w:rsidRPr="0015536A">
        <w:rPr>
          <w:szCs w:val="18"/>
          <w:lang w:val="ru-RU"/>
        </w:rPr>
        <w:t>с призывом к обеспечению гражданского, этнического и религиозного мира.</w:t>
      </w:r>
    </w:p>
  </w:footnote>
  <w:footnote w:id="20">
    <w:p w:rsidR="000E312F" w:rsidRPr="006D75D0" w:rsidRDefault="000E312F" w:rsidP="000E312F">
      <w:pPr>
        <w:pStyle w:val="aa"/>
        <w:rPr>
          <w:lang w:val="ru-RU"/>
        </w:rPr>
      </w:pPr>
      <w:r w:rsidRPr="000E312F">
        <w:rPr>
          <w:lang w:val="ru-RU"/>
        </w:rPr>
        <w:tab/>
      </w:r>
      <w:r>
        <w:rPr>
          <w:rStyle w:val="a6"/>
        </w:rPr>
        <w:footnoteRef/>
      </w:r>
      <w:r w:rsidRPr="006D75D0">
        <w:rPr>
          <w:lang w:val="ru-RU"/>
        </w:rPr>
        <w:tab/>
      </w:r>
      <w:r w:rsidRPr="0015536A">
        <w:rPr>
          <w:szCs w:val="18"/>
          <w:lang w:val="ru-RU"/>
        </w:rPr>
        <w:t xml:space="preserve">См., например, </w:t>
      </w:r>
      <w:proofErr w:type="spellStart"/>
      <w:r w:rsidRPr="0015536A">
        <w:rPr>
          <w:i/>
          <w:iCs/>
          <w:szCs w:val="18"/>
          <w:lang w:val="ru-RU"/>
        </w:rPr>
        <w:t>Самсам</w:t>
      </w:r>
      <w:proofErr w:type="spellEnd"/>
      <w:r w:rsidRPr="0015536A">
        <w:rPr>
          <w:i/>
          <w:iCs/>
          <w:szCs w:val="18"/>
          <w:lang w:val="ru-RU"/>
        </w:rPr>
        <w:t xml:space="preserve"> Мохаммед Хуссейн и другие против Нидерландов и Италии</w:t>
      </w:r>
      <w:r w:rsidRPr="0015536A">
        <w:rPr>
          <w:szCs w:val="18"/>
          <w:lang w:val="ru-RU"/>
        </w:rPr>
        <w:t>, пункты 68, 70 и 71.</w:t>
      </w:r>
    </w:p>
  </w:footnote>
  <w:footnote w:id="21">
    <w:p w:rsidR="000E312F" w:rsidRPr="0015536A" w:rsidRDefault="000E312F" w:rsidP="000E312F">
      <w:pPr>
        <w:pStyle w:val="aa"/>
        <w:rPr>
          <w:szCs w:val="18"/>
          <w:lang w:val="ru-RU"/>
        </w:rPr>
      </w:pPr>
      <w:r w:rsidRPr="0015536A">
        <w:rPr>
          <w:szCs w:val="18"/>
          <w:lang w:val="ru-RU"/>
        </w:rPr>
        <w:tab/>
      </w:r>
      <w:r w:rsidRPr="0015536A">
        <w:rPr>
          <w:rStyle w:val="a6"/>
          <w:szCs w:val="18"/>
        </w:rPr>
        <w:footnoteRef/>
      </w:r>
      <w:r w:rsidRPr="0015536A">
        <w:rPr>
          <w:szCs w:val="18"/>
          <w:lang w:val="ru-RU"/>
        </w:rPr>
        <w:tab/>
        <w:t xml:space="preserve">См. </w:t>
      </w:r>
      <w:r w:rsidRPr="0015536A">
        <w:rPr>
          <w:i/>
          <w:iCs/>
          <w:szCs w:val="18"/>
          <w:lang w:val="ru-RU"/>
        </w:rPr>
        <w:t xml:space="preserve">М.С.С. против Бельгии и Греции, </w:t>
      </w:r>
      <w:r w:rsidRPr="0015536A">
        <w:rPr>
          <w:szCs w:val="18"/>
          <w:lang w:val="ru-RU"/>
        </w:rPr>
        <w:t>пункт 249.</w:t>
      </w:r>
    </w:p>
  </w:footnote>
  <w:footnote w:id="22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BC23D2">
        <w:rPr>
          <w:sz w:val="24"/>
          <w:szCs w:val="24"/>
          <w:lang w:val="ru-RU"/>
        </w:rPr>
        <w:tab/>
      </w:r>
      <w:r w:rsidRPr="0033432C">
        <w:rPr>
          <w:rStyle w:val="a6"/>
          <w:szCs w:val="18"/>
        </w:rPr>
        <w:footnoteRef/>
      </w:r>
      <w:r w:rsidRPr="0033432C">
        <w:rPr>
          <w:sz w:val="24"/>
          <w:szCs w:val="24"/>
          <w:lang w:val="ru-RU"/>
        </w:rPr>
        <w:tab/>
      </w:r>
      <w:r w:rsidRPr="00530EAF">
        <w:rPr>
          <w:szCs w:val="18"/>
          <w:lang w:val="ru-RU"/>
        </w:rPr>
        <w:t>Решение касалось отказа швейцарских властей рассмотреть прошение об убежище афганской супружеской четы и их шести детей</w:t>
      </w:r>
      <w:r>
        <w:rPr>
          <w:szCs w:val="18"/>
          <w:lang w:val="ru-RU"/>
        </w:rPr>
        <w:t xml:space="preserve"> на том основании</w:t>
      </w:r>
      <w:r w:rsidRPr="00530EAF">
        <w:rPr>
          <w:szCs w:val="18"/>
          <w:lang w:val="ru-RU"/>
        </w:rPr>
        <w:t>,</w:t>
      </w:r>
      <w:r>
        <w:rPr>
          <w:szCs w:val="18"/>
          <w:lang w:val="ru-RU"/>
        </w:rPr>
        <w:t xml:space="preserve"> что </w:t>
      </w:r>
      <w:r w:rsidRPr="00530EAF">
        <w:rPr>
          <w:szCs w:val="18"/>
          <w:lang w:val="ru-RU"/>
        </w:rPr>
        <w:t>такое прошение уже рассматривалось Италией.</w:t>
      </w:r>
    </w:p>
  </w:footnote>
  <w:footnote w:id="23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См., например, сообщение № 2272/2013, </w:t>
      </w:r>
      <w:r w:rsidRPr="00530EAF">
        <w:rPr>
          <w:i/>
          <w:iCs/>
          <w:szCs w:val="18"/>
          <w:lang w:val="ru-RU"/>
        </w:rPr>
        <w:t xml:space="preserve">П.Т. против Дании, </w:t>
      </w:r>
      <w:r w:rsidRPr="00530EAF">
        <w:rPr>
          <w:szCs w:val="18"/>
          <w:lang w:val="ru-RU"/>
        </w:rPr>
        <w:t>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 1 апреля</w:t>
      </w:r>
      <w:r>
        <w:rPr>
          <w:szCs w:val="18"/>
          <w:lang w:val="ru-RU"/>
        </w:rPr>
        <w:t xml:space="preserve"> </w:t>
      </w:r>
      <w:r w:rsidRPr="00530EAF">
        <w:rPr>
          <w:szCs w:val="18"/>
          <w:lang w:val="ru-RU"/>
        </w:rPr>
        <w:t>2015 года, пункт 7.3.</w:t>
      </w:r>
    </w:p>
  </w:footnote>
  <w:footnote w:id="24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См., например, сообщение № 2186/2012, </w:t>
      </w:r>
      <w:r w:rsidRPr="00530EAF">
        <w:rPr>
          <w:i/>
          <w:iCs/>
          <w:szCs w:val="18"/>
          <w:lang w:val="en-US"/>
        </w:rPr>
        <w:t>X</w:t>
      </w:r>
      <w:r w:rsidRPr="00530EAF">
        <w:rPr>
          <w:i/>
          <w:iCs/>
          <w:szCs w:val="18"/>
          <w:lang w:val="ru-RU"/>
        </w:rPr>
        <w:t xml:space="preserve"> и Х против Дании, </w:t>
      </w:r>
      <w:r w:rsidRPr="00530EAF">
        <w:rPr>
          <w:szCs w:val="18"/>
          <w:lang w:val="ru-RU"/>
        </w:rPr>
        <w:t>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</w:r>
      <w:r w:rsidRPr="00530EAF">
        <w:rPr>
          <w:szCs w:val="18"/>
          <w:lang w:val="ru-RU"/>
        </w:rPr>
        <w:t>22 октября 2014 года, пункт 7.5.</w:t>
      </w:r>
    </w:p>
  </w:footnote>
  <w:footnote w:id="25">
    <w:p w:rsidR="000E312F" w:rsidRPr="00530EAF" w:rsidRDefault="000E312F" w:rsidP="000E312F">
      <w:pPr>
        <w:pStyle w:val="aa"/>
        <w:rPr>
          <w:szCs w:val="18"/>
          <w:lang w:val="en-US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</w:rPr>
        <w:tab/>
      </w:r>
      <w:r w:rsidRPr="00530EAF">
        <w:rPr>
          <w:szCs w:val="18"/>
          <w:lang w:val="ru-RU"/>
        </w:rPr>
        <w:t>См</w:t>
      </w:r>
      <w:r w:rsidRPr="00530EAF">
        <w:rPr>
          <w:szCs w:val="18"/>
          <w:lang w:val="en-US"/>
        </w:rPr>
        <w:t xml:space="preserve">. «Report by Nils </w:t>
      </w:r>
      <w:proofErr w:type="spellStart"/>
      <w:r w:rsidRPr="00530EAF">
        <w:rPr>
          <w:szCs w:val="18"/>
          <w:lang w:val="en-US"/>
        </w:rPr>
        <w:t>Muiznieks</w:t>
      </w:r>
      <w:proofErr w:type="spellEnd"/>
      <w:r w:rsidRPr="00530EAF">
        <w:rPr>
          <w:szCs w:val="18"/>
          <w:lang w:val="en-US"/>
        </w:rPr>
        <w:t>, Commissioner for Human Rights of the Council of Europe, following his visit to Bulgaria from 9 to 11 February 2015» (</w:t>
      </w:r>
      <w:r w:rsidRPr="00530EAF">
        <w:rPr>
          <w:szCs w:val="18"/>
          <w:lang w:val="ru-RU"/>
        </w:rPr>
        <w:t>июнь</w:t>
      </w:r>
      <w:r w:rsidRPr="00530EAF">
        <w:rPr>
          <w:szCs w:val="18"/>
          <w:lang w:val="en-US"/>
        </w:rPr>
        <w:t xml:space="preserve"> 2015 </w:t>
      </w:r>
      <w:r w:rsidRPr="00530EAF">
        <w:rPr>
          <w:szCs w:val="18"/>
          <w:lang w:val="ru-RU"/>
        </w:rPr>
        <w:t>года</w:t>
      </w:r>
      <w:r w:rsidRPr="00530EAF">
        <w:rPr>
          <w:szCs w:val="18"/>
          <w:lang w:val="en-US"/>
        </w:rPr>
        <w:t xml:space="preserve">), </w:t>
      </w:r>
      <w:proofErr w:type="spellStart"/>
      <w:r w:rsidRPr="00530EAF">
        <w:rPr>
          <w:szCs w:val="18"/>
          <w:lang w:val="ru-RU"/>
        </w:rPr>
        <w:t>стр</w:t>
      </w:r>
      <w:proofErr w:type="spellEnd"/>
      <w:r w:rsidRPr="00530EAF">
        <w:rPr>
          <w:szCs w:val="18"/>
          <w:lang w:val="en-US"/>
        </w:rPr>
        <w:t>. 28–29.</w:t>
      </w:r>
    </w:p>
  </w:footnote>
  <w:footnote w:id="26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en-US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 организация «Международная амнистия», </w:t>
      </w:r>
      <w:r w:rsidRPr="00530EAF">
        <w:rPr>
          <w:i/>
          <w:szCs w:val="18"/>
        </w:rPr>
        <w:t>The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State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of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the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World</w:t>
      </w:r>
      <w:r w:rsidRPr="00530EAF">
        <w:rPr>
          <w:i/>
          <w:szCs w:val="18"/>
          <w:lang w:val="ru-RU"/>
        </w:rPr>
        <w:t>’</w:t>
      </w:r>
      <w:r w:rsidRPr="00530EAF">
        <w:rPr>
          <w:i/>
          <w:szCs w:val="18"/>
        </w:rPr>
        <w:t>s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Human</w:t>
      </w:r>
      <w:r w:rsidRPr="00530EAF">
        <w:rPr>
          <w:i/>
          <w:szCs w:val="18"/>
          <w:lang w:val="ru-RU"/>
        </w:rPr>
        <w:t xml:space="preserve"> </w:t>
      </w:r>
      <w:r w:rsidRPr="00530EAF">
        <w:rPr>
          <w:i/>
          <w:szCs w:val="18"/>
        </w:rPr>
        <w:t>Rights</w:t>
      </w:r>
      <w:r w:rsidRPr="00530EAF">
        <w:rPr>
          <w:i/>
          <w:szCs w:val="18"/>
          <w:lang w:val="ru-RU"/>
        </w:rPr>
        <w:t xml:space="preserve"> 2014/2015</w:t>
      </w:r>
      <w:r w:rsidRPr="00530EAF">
        <w:rPr>
          <w:szCs w:val="18"/>
          <w:lang w:val="ru-RU"/>
        </w:rPr>
        <w:t>.</w:t>
      </w:r>
    </w:p>
  </w:footnote>
  <w:footnote w:id="27">
    <w:p w:rsidR="000E312F" w:rsidRPr="006D75D0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>Сообщение № 2360/2014, 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22 июля 2015 года, пункт 8.9.</w:t>
      </w:r>
    </w:p>
  </w:footnote>
  <w:footnote w:id="28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 сообщения № 2007/2010, </w:t>
      </w:r>
      <w:r w:rsidRPr="00530EAF">
        <w:rPr>
          <w:i/>
          <w:szCs w:val="18"/>
        </w:rPr>
        <w:t>X</w:t>
      </w:r>
      <w:r w:rsidRPr="00530EAF">
        <w:rPr>
          <w:i/>
          <w:szCs w:val="18"/>
          <w:lang w:val="ru-RU"/>
        </w:rPr>
        <w:t xml:space="preserve"> против Дании, </w:t>
      </w:r>
      <w:r w:rsidRPr="00530EAF">
        <w:rPr>
          <w:iCs/>
          <w:szCs w:val="18"/>
          <w:lang w:val="ru-RU"/>
        </w:rPr>
        <w:t>Соображения</w:t>
      </w:r>
      <w:r>
        <w:rPr>
          <w:iCs/>
          <w:szCs w:val="18"/>
          <w:lang w:val="ru-RU"/>
        </w:rPr>
        <w:t>, принятые 26 марта 2014 </w:t>
      </w:r>
      <w:r w:rsidRPr="00530EAF">
        <w:rPr>
          <w:iCs/>
          <w:szCs w:val="18"/>
          <w:lang w:val="ru-RU"/>
        </w:rPr>
        <w:t>года, пункт 9.2</w:t>
      </w:r>
      <w:r>
        <w:rPr>
          <w:iCs/>
          <w:szCs w:val="18"/>
          <w:lang w:val="ru-RU"/>
        </w:rPr>
        <w:t>,</w:t>
      </w:r>
      <w:r w:rsidRPr="00530EAF">
        <w:rPr>
          <w:iCs/>
          <w:szCs w:val="18"/>
          <w:lang w:val="ru-RU"/>
        </w:rPr>
        <w:t xml:space="preserve"> и №</w:t>
      </w:r>
      <w:r>
        <w:rPr>
          <w:iCs/>
          <w:szCs w:val="18"/>
          <w:lang w:val="ru-RU"/>
        </w:rPr>
        <w:t xml:space="preserve"> </w:t>
      </w:r>
      <w:r w:rsidRPr="00530EAF">
        <w:rPr>
          <w:szCs w:val="18"/>
          <w:lang w:val="ru-RU"/>
        </w:rPr>
        <w:t xml:space="preserve">692/1996, </w:t>
      </w:r>
      <w:proofErr w:type="spellStart"/>
      <w:r w:rsidRPr="00530EAF">
        <w:rPr>
          <w:i/>
          <w:iCs/>
          <w:szCs w:val="18"/>
          <w:lang w:val="ru-RU"/>
        </w:rPr>
        <w:t>А.Р.Дж</w:t>
      </w:r>
      <w:proofErr w:type="spellEnd"/>
      <w:r w:rsidRPr="00530EAF">
        <w:rPr>
          <w:i/>
          <w:iCs/>
          <w:szCs w:val="18"/>
          <w:lang w:val="ru-RU"/>
        </w:rPr>
        <w:t xml:space="preserve">. против Австралии, </w:t>
      </w:r>
      <w:r w:rsidRPr="00530EAF">
        <w:rPr>
          <w:szCs w:val="18"/>
          <w:lang w:val="ru-RU"/>
        </w:rPr>
        <w:t>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28 июля 1997 года, пункт 6.6.</w:t>
      </w:r>
    </w:p>
  </w:footnote>
  <w:footnote w:id="29">
    <w:p w:rsidR="000E312F" w:rsidRPr="00530EAF" w:rsidRDefault="000E312F" w:rsidP="000E312F">
      <w:pPr>
        <w:pStyle w:val="aa"/>
        <w:rPr>
          <w:iCs/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 </w:t>
      </w:r>
      <w:r w:rsidRPr="00530EAF">
        <w:rPr>
          <w:i/>
          <w:iCs/>
          <w:szCs w:val="18"/>
          <w:lang w:val="ru-RU"/>
        </w:rPr>
        <w:t xml:space="preserve">Х против Дании, </w:t>
      </w:r>
      <w:r w:rsidRPr="00530EAF">
        <w:rPr>
          <w:szCs w:val="18"/>
          <w:lang w:val="ru-RU"/>
        </w:rPr>
        <w:t>пункт 9.2, и сообщение № 1833/2008</w:t>
      </w:r>
      <w:r w:rsidRPr="00530EAF">
        <w:rPr>
          <w:i/>
          <w:szCs w:val="18"/>
          <w:lang w:val="ru-RU"/>
        </w:rPr>
        <w:t xml:space="preserve">, </w:t>
      </w:r>
      <w:r w:rsidRPr="00530EAF">
        <w:rPr>
          <w:i/>
          <w:szCs w:val="18"/>
        </w:rPr>
        <w:t>X</w:t>
      </w:r>
      <w:r w:rsidRPr="00530EAF">
        <w:rPr>
          <w:i/>
          <w:szCs w:val="18"/>
          <w:lang w:val="ru-RU"/>
        </w:rPr>
        <w:t xml:space="preserve"> против Швеции, </w:t>
      </w:r>
      <w:r w:rsidRPr="00530EAF">
        <w:rPr>
          <w:iCs/>
          <w:szCs w:val="18"/>
          <w:lang w:val="ru-RU"/>
        </w:rPr>
        <w:t>Соображения</w:t>
      </w:r>
      <w:r>
        <w:rPr>
          <w:iCs/>
          <w:szCs w:val="18"/>
          <w:lang w:val="ru-RU"/>
        </w:rPr>
        <w:t>, принятые</w:t>
      </w:r>
      <w:r w:rsidRPr="00530EAF">
        <w:rPr>
          <w:iCs/>
          <w:szCs w:val="18"/>
          <w:lang w:val="ru-RU"/>
        </w:rPr>
        <w:t xml:space="preserve"> 1 ноября 2011 года, пункт 5.18.</w:t>
      </w:r>
    </w:p>
  </w:footnote>
  <w:footnote w:id="30">
    <w:p w:rsidR="000E312F" w:rsidRPr="00530EAF" w:rsidRDefault="000E312F" w:rsidP="000E312F">
      <w:pPr>
        <w:pStyle w:val="aa"/>
        <w:rPr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 сообщения № 1763/2008, </w:t>
      </w:r>
      <w:proofErr w:type="spellStart"/>
      <w:r w:rsidRPr="00530EAF">
        <w:rPr>
          <w:i/>
          <w:iCs/>
          <w:szCs w:val="18"/>
          <w:lang w:val="ru-RU"/>
        </w:rPr>
        <w:t>Пиллаи</w:t>
      </w:r>
      <w:proofErr w:type="spellEnd"/>
      <w:r w:rsidRPr="00530EAF">
        <w:rPr>
          <w:i/>
          <w:iCs/>
          <w:szCs w:val="18"/>
          <w:lang w:val="ru-RU"/>
        </w:rPr>
        <w:t xml:space="preserve"> и др. против Канады, </w:t>
      </w:r>
      <w:r w:rsidRPr="00530EAF">
        <w:rPr>
          <w:szCs w:val="18"/>
          <w:lang w:val="ru-RU"/>
        </w:rPr>
        <w:t>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25</w:t>
      </w:r>
      <w:r>
        <w:rPr>
          <w:szCs w:val="18"/>
          <w:lang w:val="ru-RU"/>
        </w:rPr>
        <w:t> </w:t>
      </w:r>
      <w:r w:rsidRPr="00530EAF">
        <w:rPr>
          <w:szCs w:val="18"/>
          <w:lang w:val="ru-RU"/>
        </w:rPr>
        <w:t>марта 2011 года, пункт 11.4</w:t>
      </w:r>
      <w:r>
        <w:rPr>
          <w:iCs/>
          <w:szCs w:val="18"/>
          <w:lang w:val="ru-RU"/>
        </w:rPr>
        <w:t>,</w:t>
      </w:r>
      <w:r w:rsidRPr="00530EAF">
        <w:rPr>
          <w:szCs w:val="18"/>
          <w:lang w:val="ru-RU"/>
        </w:rPr>
        <w:t xml:space="preserve"> и № 1957/2010, </w:t>
      </w:r>
      <w:r w:rsidRPr="00530EAF">
        <w:rPr>
          <w:i/>
          <w:iCs/>
          <w:szCs w:val="18"/>
          <w:lang w:val="ru-RU"/>
        </w:rPr>
        <w:t xml:space="preserve">З.Х. против Австралии, </w:t>
      </w:r>
      <w:r w:rsidRPr="00530EAF">
        <w:rPr>
          <w:szCs w:val="18"/>
          <w:lang w:val="ru-RU"/>
        </w:rPr>
        <w:t>Соображения</w:t>
      </w:r>
      <w:r>
        <w:rPr>
          <w:szCs w:val="18"/>
          <w:lang w:val="ru-RU"/>
        </w:rPr>
        <w:t>, принятые</w:t>
      </w:r>
      <w:r w:rsidRPr="00530EAF">
        <w:rPr>
          <w:szCs w:val="18"/>
          <w:lang w:val="ru-RU"/>
        </w:rPr>
        <w:t xml:space="preserve"> 21 марта 2013 года, пункт 9.3.</w:t>
      </w:r>
    </w:p>
  </w:footnote>
  <w:footnote w:id="31">
    <w:p w:rsidR="000E312F" w:rsidRPr="00530EAF" w:rsidRDefault="000E312F" w:rsidP="000E312F">
      <w:pPr>
        <w:pStyle w:val="aa"/>
        <w:rPr>
          <w:szCs w:val="18"/>
          <w:highlight w:val="yellow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См., в частности, там же и сообщение № 541/1993, </w:t>
      </w:r>
      <w:proofErr w:type="spellStart"/>
      <w:r w:rsidRPr="00530EAF">
        <w:rPr>
          <w:i/>
          <w:iCs/>
          <w:szCs w:val="18"/>
          <w:lang w:val="ru-RU"/>
        </w:rPr>
        <w:t>Симмс</w:t>
      </w:r>
      <w:proofErr w:type="spellEnd"/>
      <w:r w:rsidRPr="00530EAF">
        <w:rPr>
          <w:i/>
          <w:iCs/>
          <w:szCs w:val="18"/>
          <w:lang w:val="ru-RU"/>
        </w:rPr>
        <w:t xml:space="preserve"> против Ямайки, </w:t>
      </w:r>
      <w:r w:rsidRPr="00530EAF">
        <w:rPr>
          <w:szCs w:val="18"/>
          <w:lang w:val="ru-RU"/>
        </w:rPr>
        <w:t xml:space="preserve">решение </w:t>
      </w:r>
      <w:r>
        <w:rPr>
          <w:szCs w:val="18"/>
          <w:lang w:val="ru-RU"/>
        </w:rPr>
        <w:br/>
      </w:r>
      <w:r w:rsidRPr="00530EAF">
        <w:rPr>
          <w:szCs w:val="18"/>
          <w:lang w:val="ru-RU"/>
        </w:rPr>
        <w:t>о неприемлемости, принятое 3 апреля 1995 года, пункт 6.2.</w:t>
      </w:r>
    </w:p>
  </w:footnote>
  <w:footnote w:id="32">
    <w:p w:rsidR="000E312F" w:rsidRPr="00530EAF" w:rsidRDefault="000E312F" w:rsidP="000E312F">
      <w:pPr>
        <w:pStyle w:val="aa"/>
        <w:rPr>
          <w:i/>
          <w:iCs/>
          <w:szCs w:val="18"/>
          <w:lang w:val="ru-RU"/>
        </w:rPr>
      </w:pPr>
      <w:r w:rsidRPr="00530EAF">
        <w:rPr>
          <w:szCs w:val="18"/>
          <w:lang w:val="ru-RU"/>
        </w:rPr>
        <w:tab/>
      </w:r>
      <w:r w:rsidRPr="00530EAF">
        <w:rPr>
          <w:rStyle w:val="a6"/>
          <w:szCs w:val="18"/>
        </w:rPr>
        <w:footnoteRef/>
      </w:r>
      <w:r w:rsidRPr="00530EAF">
        <w:rPr>
          <w:szCs w:val="18"/>
          <w:lang w:val="ru-RU"/>
        </w:rPr>
        <w:tab/>
        <w:t xml:space="preserve">См. </w:t>
      </w:r>
      <w:r w:rsidRPr="00530EAF">
        <w:rPr>
          <w:i/>
          <w:iCs/>
          <w:szCs w:val="18"/>
          <w:lang w:val="ru-RU"/>
        </w:rPr>
        <w:t>Х и Х против Дании.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>CCPR/</w:t>
    </w:r>
    <w:r w:rsidR="004E3D64" w:rsidRPr="004E3D64">
      <w:rPr>
        <w:lang w:val="en-US"/>
      </w:rPr>
      <w:t>C/118/D/2569/2015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58" w:rsidRPr="005F0588" w:rsidRDefault="0087597F">
    <w:pPr>
      <w:pStyle w:val="a3"/>
      <w:rPr>
        <w:lang w:val="en-US"/>
      </w:rPr>
    </w:pPr>
    <w:r>
      <w:rPr>
        <w:lang w:val="en-US"/>
      </w:rPr>
      <w:tab/>
      <w:t>CCPR/</w:t>
    </w:r>
    <w:r w:rsidR="004E3D64" w:rsidRPr="004E3D64">
      <w:rPr>
        <w:lang w:val="en-US"/>
      </w:rPr>
      <w:t>C/118/D/2569/2015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7" w:rsidRDefault="00FB25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E5B5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3"/>
    <w:rsid w:val="000450D1"/>
    <w:rsid w:val="000E312F"/>
    <w:rsid w:val="000F2A4F"/>
    <w:rsid w:val="001E47E0"/>
    <w:rsid w:val="00203F84"/>
    <w:rsid w:val="00245476"/>
    <w:rsid w:val="002521F2"/>
    <w:rsid w:val="00275188"/>
    <w:rsid w:val="0028687D"/>
    <w:rsid w:val="002877D3"/>
    <w:rsid w:val="002A0153"/>
    <w:rsid w:val="002B091C"/>
    <w:rsid w:val="002D0CCB"/>
    <w:rsid w:val="00345C79"/>
    <w:rsid w:val="00366A39"/>
    <w:rsid w:val="003C3BEA"/>
    <w:rsid w:val="003E2A2A"/>
    <w:rsid w:val="0048005C"/>
    <w:rsid w:val="004D412B"/>
    <w:rsid w:val="004E242B"/>
    <w:rsid w:val="004E3D64"/>
    <w:rsid w:val="00544379"/>
    <w:rsid w:val="00566944"/>
    <w:rsid w:val="005A05D1"/>
    <w:rsid w:val="005A50E9"/>
    <w:rsid w:val="005C3344"/>
    <w:rsid w:val="005D56BF"/>
    <w:rsid w:val="00665D8D"/>
    <w:rsid w:val="00680C39"/>
    <w:rsid w:val="006A7A3B"/>
    <w:rsid w:val="006B6B57"/>
    <w:rsid w:val="00705394"/>
    <w:rsid w:val="00734477"/>
    <w:rsid w:val="00743F62"/>
    <w:rsid w:val="00760D3A"/>
    <w:rsid w:val="007A1F42"/>
    <w:rsid w:val="007D76DD"/>
    <w:rsid w:val="00823F5A"/>
    <w:rsid w:val="008717E8"/>
    <w:rsid w:val="0087597F"/>
    <w:rsid w:val="008B21C3"/>
    <w:rsid w:val="008D01AE"/>
    <w:rsid w:val="008E0423"/>
    <w:rsid w:val="009141DC"/>
    <w:rsid w:val="009174A1"/>
    <w:rsid w:val="0098674D"/>
    <w:rsid w:val="00997ACA"/>
    <w:rsid w:val="009A796D"/>
    <w:rsid w:val="00A03FB7"/>
    <w:rsid w:val="00A51811"/>
    <w:rsid w:val="00A75A11"/>
    <w:rsid w:val="00AC6442"/>
    <w:rsid w:val="00AD7EAD"/>
    <w:rsid w:val="00B35A32"/>
    <w:rsid w:val="00B432C6"/>
    <w:rsid w:val="00B471C5"/>
    <w:rsid w:val="00B6474A"/>
    <w:rsid w:val="00BE1742"/>
    <w:rsid w:val="00BF1B29"/>
    <w:rsid w:val="00C5736C"/>
    <w:rsid w:val="00C73A6D"/>
    <w:rsid w:val="00CF2272"/>
    <w:rsid w:val="00CF7453"/>
    <w:rsid w:val="00D1261C"/>
    <w:rsid w:val="00D631C3"/>
    <w:rsid w:val="00D75DCE"/>
    <w:rsid w:val="00DD35AC"/>
    <w:rsid w:val="00DD479F"/>
    <w:rsid w:val="00E15E48"/>
    <w:rsid w:val="00EB0723"/>
    <w:rsid w:val="00EE6F37"/>
    <w:rsid w:val="00F1599F"/>
    <w:rsid w:val="00F31EF2"/>
    <w:rsid w:val="00F579C6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ootnote Text Char Char Char Char Char,Footnote Text Char Char Char Char,Footnote reference,FA Fu,Footnote Text Char Char Char,Char,Footnote Reference1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ootnote Text Char Char Char Char Char Знак,Footnote Text Char Char Char Char Знак,Footnote reference Знак,FA Fu Знак,Footnote Text Char Char Char Знак,Char Знак,Footnote Reference1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8B21C3"/>
    <w:pPr>
      <w:numPr>
        <w:numId w:val="4"/>
      </w:numPr>
    </w:pPr>
  </w:style>
  <w:style w:type="paragraph" w:styleId="af">
    <w:name w:val="Balloon Text"/>
    <w:basedOn w:val="a"/>
    <w:link w:val="af0"/>
    <w:uiPriority w:val="99"/>
    <w:semiHidden/>
    <w:unhideWhenUsed/>
    <w:rsid w:val="00252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1F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,5_G,Footnote Text Char Char Char Char Char,Footnote Text Char Char Char Char,Footnote reference,FA Fu,Footnote Text Char Char Char,Char,Footnote Reference1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,5_G Знак,Footnote Text Char Char Char Char Char Знак,Footnote Text Char Char Char Char Знак,Footnote reference Знак,FA Fu Знак,Footnote Text Char Char Char Знак,Char Знак,Footnote Reference1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8B21C3"/>
    <w:pPr>
      <w:numPr>
        <w:numId w:val="4"/>
      </w:numPr>
    </w:pPr>
  </w:style>
  <w:style w:type="paragraph" w:styleId="af">
    <w:name w:val="Balloon Text"/>
    <w:basedOn w:val="a"/>
    <w:link w:val="af0"/>
    <w:uiPriority w:val="99"/>
    <w:semiHidden/>
    <w:unhideWhenUsed/>
    <w:rsid w:val="00252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1F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BBAC-E0BA-4871-B58C-4B826B8A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4</TotalTime>
  <Pages>16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Izotova Elena</cp:lastModifiedBy>
  <cp:revision>5</cp:revision>
  <cp:lastPrinted>2016-12-29T11:00:00Z</cp:lastPrinted>
  <dcterms:created xsi:type="dcterms:W3CDTF">2016-12-29T10:59:00Z</dcterms:created>
  <dcterms:modified xsi:type="dcterms:W3CDTF">2017-01-10T13:38:00Z</dcterms:modified>
</cp:coreProperties>
</file>