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5A0EF0" w:rsidRPr="00233D47" w:rsidTr="00233846">
        <w:trPr>
          <w:trHeight w:hRule="exact" w:val="851"/>
        </w:trPr>
        <w:tc>
          <w:tcPr>
            <w:tcW w:w="1276" w:type="dxa"/>
            <w:tcBorders>
              <w:bottom w:val="single" w:sz="4" w:space="0" w:color="auto"/>
            </w:tcBorders>
          </w:tcPr>
          <w:p w:rsidR="005A0EF0" w:rsidRPr="00233D47" w:rsidRDefault="005A0EF0" w:rsidP="00233846"/>
        </w:tc>
        <w:tc>
          <w:tcPr>
            <w:tcW w:w="2268" w:type="dxa"/>
            <w:tcBorders>
              <w:bottom w:val="single" w:sz="4" w:space="0" w:color="auto"/>
            </w:tcBorders>
            <w:vAlign w:val="bottom"/>
          </w:tcPr>
          <w:p w:rsidR="005A0EF0" w:rsidRPr="00233D47" w:rsidRDefault="005A0EF0" w:rsidP="00233846">
            <w:pPr>
              <w:spacing w:after="80" w:line="300" w:lineRule="exact"/>
              <w:rPr>
                <w:sz w:val="28"/>
              </w:rPr>
            </w:pPr>
            <w:r w:rsidRPr="00233D47">
              <w:rPr>
                <w:sz w:val="28"/>
              </w:rPr>
              <w:t>Nations Unies</w:t>
            </w:r>
          </w:p>
        </w:tc>
        <w:tc>
          <w:tcPr>
            <w:tcW w:w="6095" w:type="dxa"/>
            <w:gridSpan w:val="2"/>
            <w:tcBorders>
              <w:bottom w:val="single" w:sz="4" w:space="0" w:color="auto"/>
            </w:tcBorders>
            <w:vAlign w:val="bottom"/>
          </w:tcPr>
          <w:p w:rsidR="005A0EF0" w:rsidRPr="00233D47" w:rsidRDefault="007A5689" w:rsidP="007A5689">
            <w:pPr>
              <w:jc w:val="right"/>
            </w:pPr>
            <w:r w:rsidRPr="007A5689">
              <w:rPr>
                <w:sz w:val="40"/>
              </w:rPr>
              <w:t>CCPR</w:t>
            </w:r>
            <w:r>
              <w:t>/C/112/D/2029/2011</w:t>
            </w:r>
          </w:p>
        </w:tc>
      </w:tr>
      <w:tr w:rsidR="005A0EF0" w:rsidRPr="00233D47" w:rsidTr="00233846">
        <w:trPr>
          <w:trHeight w:hRule="exact" w:val="2835"/>
        </w:trPr>
        <w:tc>
          <w:tcPr>
            <w:tcW w:w="1276" w:type="dxa"/>
            <w:tcBorders>
              <w:top w:val="single" w:sz="4" w:space="0" w:color="auto"/>
              <w:bottom w:val="single" w:sz="12" w:space="0" w:color="auto"/>
            </w:tcBorders>
          </w:tcPr>
          <w:p w:rsidR="005A0EF0" w:rsidRPr="00233D47" w:rsidRDefault="005A0EF0" w:rsidP="00233846">
            <w:pPr>
              <w:spacing w:before="120"/>
              <w:jc w:val="center"/>
            </w:pPr>
            <w:r w:rsidRPr="00233D4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5A0EF0" w:rsidRPr="00233D47" w:rsidRDefault="005A0EF0" w:rsidP="00233846">
            <w:pPr>
              <w:spacing w:before="120" w:line="380" w:lineRule="exact"/>
              <w:rPr>
                <w:b/>
                <w:sz w:val="34"/>
                <w:szCs w:val="34"/>
              </w:rPr>
            </w:pPr>
            <w:r w:rsidRPr="00233D47">
              <w:rPr>
                <w:b/>
                <w:sz w:val="34"/>
                <w:szCs w:val="34"/>
              </w:rPr>
              <w:t>Pacte international relatif</w:t>
            </w:r>
            <w:r w:rsidRPr="00233D47">
              <w:rPr>
                <w:b/>
                <w:sz w:val="34"/>
                <w:szCs w:val="34"/>
              </w:rPr>
              <w:br/>
              <w:t>aux droits civils et politiques</w:t>
            </w:r>
          </w:p>
        </w:tc>
        <w:tc>
          <w:tcPr>
            <w:tcW w:w="2835" w:type="dxa"/>
            <w:tcBorders>
              <w:top w:val="single" w:sz="4" w:space="0" w:color="auto"/>
              <w:bottom w:val="single" w:sz="12" w:space="0" w:color="auto"/>
            </w:tcBorders>
          </w:tcPr>
          <w:p w:rsidR="007A5689" w:rsidRDefault="005A0EF0" w:rsidP="00233846">
            <w:pPr>
              <w:spacing w:before="240"/>
            </w:pPr>
            <w:r w:rsidRPr="00233D47">
              <w:t xml:space="preserve">Distr. </w:t>
            </w:r>
            <w:r>
              <w:t>générale</w:t>
            </w:r>
          </w:p>
          <w:p w:rsidR="007A5689" w:rsidRDefault="007A5689" w:rsidP="007A5689">
            <w:pPr>
              <w:spacing w:line="240" w:lineRule="exact"/>
            </w:pPr>
            <w:r>
              <w:t>25 novembre 2014</w:t>
            </w:r>
          </w:p>
          <w:p w:rsidR="007A5689" w:rsidRDefault="007A5689" w:rsidP="007A5689">
            <w:pPr>
              <w:spacing w:line="240" w:lineRule="exact"/>
            </w:pPr>
            <w:r>
              <w:t>Français</w:t>
            </w:r>
          </w:p>
          <w:p w:rsidR="005A0EF0" w:rsidRPr="00233D47" w:rsidRDefault="007A5689" w:rsidP="007A5689">
            <w:pPr>
              <w:spacing w:line="240" w:lineRule="exact"/>
            </w:pPr>
            <w:r>
              <w:t>Original: anglais</w:t>
            </w:r>
          </w:p>
        </w:tc>
      </w:tr>
    </w:tbl>
    <w:p w:rsidR="00642728" w:rsidRPr="005B01E9" w:rsidRDefault="00642728" w:rsidP="00FD511F">
      <w:pPr>
        <w:spacing w:before="120" w:line="240" w:lineRule="exact"/>
        <w:rPr>
          <w:b/>
          <w:sz w:val="24"/>
          <w:szCs w:val="24"/>
        </w:rPr>
      </w:pPr>
      <w:r w:rsidRPr="005B01E9">
        <w:rPr>
          <w:b/>
          <w:sz w:val="24"/>
          <w:szCs w:val="24"/>
        </w:rPr>
        <w:t>C</w:t>
      </w:r>
      <w:r w:rsidR="00FD511F" w:rsidRPr="005B01E9">
        <w:rPr>
          <w:b/>
          <w:sz w:val="24"/>
          <w:szCs w:val="24"/>
        </w:rPr>
        <w:t>omité des droits de l</w:t>
      </w:r>
      <w:r w:rsidR="00EF1EE8">
        <w:rPr>
          <w:b/>
          <w:sz w:val="24"/>
          <w:szCs w:val="24"/>
        </w:rPr>
        <w:t>’</w:t>
      </w:r>
      <w:r w:rsidR="00FD511F" w:rsidRPr="005B01E9">
        <w:rPr>
          <w:b/>
          <w:sz w:val="24"/>
          <w:szCs w:val="24"/>
        </w:rPr>
        <w:t>homme</w:t>
      </w:r>
    </w:p>
    <w:p w:rsidR="00BA1175" w:rsidRPr="005B01E9" w:rsidRDefault="00BA1175" w:rsidP="00BA1175">
      <w:pPr>
        <w:pStyle w:val="HChG"/>
      </w:pPr>
      <w:r w:rsidRPr="005B01E9">
        <w:tab/>
      </w:r>
      <w:r w:rsidRPr="005B01E9">
        <w:tab/>
        <w:t>Communication n</w:t>
      </w:r>
      <w:r w:rsidRPr="005B01E9">
        <w:rPr>
          <w:vertAlign w:val="superscript"/>
        </w:rPr>
        <w:t>o</w:t>
      </w:r>
      <w:r w:rsidRPr="005B01E9">
        <w:t> </w:t>
      </w:r>
      <w:r w:rsidR="007A5689">
        <w:t>2029/2011</w:t>
      </w:r>
    </w:p>
    <w:p w:rsidR="00642728" w:rsidRPr="005B01E9" w:rsidRDefault="00FD511F" w:rsidP="00BA1175">
      <w:pPr>
        <w:pStyle w:val="H1G"/>
      </w:pPr>
      <w:r w:rsidRPr="005B01E9">
        <w:tab/>
      </w:r>
      <w:r w:rsidRPr="005B01E9">
        <w:tab/>
      </w:r>
      <w:r w:rsidR="0092636E" w:rsidRPr="005B01E9">
        <w:rPr>
          <w:szCs w:val="24"/>
        </w:rPr>
        <w:t xml:space="preserve">Constatations adoptées par le Comité à sa </w:t>
      </w:r>
      <w:r w:rsidR="007A5689">
        <w:rPr>
          <w:szCs w:val="24"/>
        </w:rPr>
        <w:t>112</w:t>
      </w:r>
      <w:r w:rsidR="007A5689" w:rsidRPr="007A5689">
        <w:rPr>
          <w:szCs w:val="24"/>
          <w:vertAlign w:val="superscript"/>
        </w:rPr>
        <w:t>e</w:t>
      </w:r>
      <w:r w:rsidR="007A5689">
        <w:rPr>
          <w:szCs w:val="24"/>
        </w:rPr>
        <w:t xml:space="preserve"> </w:t>
      </w:r>
      <w:r w:rsidR="0092636E" w:rsidRPr="005B01E9">
        <w:rPr>
          <w:szCs w:val="24"/>
        </w:rPr>
        <w:t>session</w:t>
      </w:r>
      <w:r w:rsidR="0092636E" w:rsidRPr="005B01E9">
        <w:rPr>
          <w:szCs w:val="24"/>
        </w:rPr>
        <w:br/>
      </w:r>
      <w:r w:rsidR="00BA1175" w:rsidRPr="005B01E9">
        <w:rPr>
          <w:szCs w:val="24"/>
        </w:rPr>
        <w:t>(</w:t>
      </w:r>
      <w:r w:rsidR="007A5689">
        <w:rPr>
          <w:szCs w:val="24"/>
        </w:rPr>
        <w:t>7-31 octobre 2014</w:t>
      </w:r>
      <w:r w:rsidR="00BA1175" w:rsidRPr="005B01E9">
        <w:rPr>
          <w:szCs w:val="24"/>
        </w:rPr>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835"/>
        <w:gridCol w:w="3969"/>
      </w:tblGrid>
      <w:tr w:rsidR="0092636E" w:rsidRPr="005B01E9" w:rsidTr="00FB7502">
        <w:tc>
          <w:tcPr>
            <w:tcW w:w="2835" w:type="dxa"/>
          </w:tcPr>
          <w:p w:rsidR="0092636E" w:rsidRPr="005B01E9" w:rsidRDefault="0092636E" w:rsidP="003B6A72">
            <w:pPr>
              <w:rPr>
                <w:i/>
              </w:rPr>
            </w:pPr>
            <w:r w:rsidRPr="005B01E9">
              <w:rPr>
                <w:i/>
              </w:rPr>
              <w:t>Communication présentée par</w:t>
            </w:r>
            <w:r w:rsidR="003B6A72" w:rsidRPr="005B01E9">
              <w:t>:</w:t>
            </w:r>
          </w:p>
        </w:tc>
        <w:tc>
          <w:tcPr>
            <w:tcW w:w="3969" w:type="dxa"/>
          </w:tcPr>
          <w:p w:rsidR="0092636E" w:rsidRPr="005B01E9" w:rsidRDefault="007A5689" w:rsidP="00D61D26">
            <w:pPr>
              <w:spacing w:after="120"/>
            </w:pPr>
            <w:r w:rsidRPr="007A5689">
              <w:rPr>
                <w:lang w:val="fr-FR"/>
              </w:rPr>
              <w:t>Sergey Praded (non représenté par un conseil)</w:t>
            </w:r>
          </w:p>
        </w:tc>
      </w:tr>
      <w:tr w:rsidR="0092636E" w:rsidRPr="005B01E9" w:rsidTr="00FB7502">
        <w:tc>
          <w:tcPr>
            <w:tcW w:w="2835" w:type="dxa"/>
          </w:tcPr>
          <w:p w:rsidR="0092636E" w:rsidRPr="005B01E9" w:rsidRDefault="0092636E" w:rsidP="003B6A72">
            <w:pPr>
              <w:rPr>
                <w:i/>
              </w:rPr>
            </w:pPr>
            <w:r w:rsidRPr="005B01E9">
              <w:rPr>
                <w:i/>
              </w:rPr>
              <w:t>Au nom de</w:t>
            </w:r>
            <w:r w:rsidR="003B6A72" w:rsidRPr="005B01E9">
              <w:t>:</w:t>
            </w:r>
          </w:p>
        </w:tc>
        <w:tc>
          <w:tcPr>
            <w:tcW w:w="3969" w:type="dxa"/>
          </w:tcPr>
          <w:p w:rsidR="0092636E" w:rsidRPr="005B01E9" w:rsidRDefault="007A5689" w:rsidP="008433B5">
            <w:pPr>
              <w:spacing w:after="120"/>
            </w:pPr>
            <w:r w:rsidRPr="007A5689">
              <w:rPr>
                <w:lang w:val="fr-FR"/>
              </w:rPr>
              <w:t>L</w:t>
            </w:r>
            <w:r w:rsidR="00EF1EE8">
              <w:rPr>
                <w:lang w:val="fr-FR"/>
              </w:rPr>
              <w:t>’</w:t>
            </w:r>
            <w:r w:rsidRPr="007A5689">
              <w:rPr>
                <w:lang w:val="fr-FR"/>
              </w:rPr>
              <w:t>auteur</w:t>
            </w:r>
          </w:p>
        </w:tc>
      </w:tr>
      <w:tr w:rsidR="0092636E" w:rsidRPr="005B01E9" w:rsidTr="00FB7502">
        <w:tc>
          <w:tcPr>
            <w:tcW w:w="2835" w:type="dxa"/>
          </w:tcPr>
          <w:p w:rsidR="0092636E" w:rsidRPr="005B01E9" w:rsidRDefault="0092636E" w:rsidP="003B6A72">
            <w:pPr>
              <w:rPr>
                <w:i/>
              </w:rPr>
            </w:pPr>
            <w:r w:rsidRPr="005B01E9">
              <w:rPr>
                <w:i/>
              </w:rPr>
              <w:t>État partie</w:t>
            </w:r>
            <w:r w:rsidR="003B6A72" w:rsidRPr="005B01E9">
              <w:t>:</w:t>
            </w:r>
          </w:p>
        </w:tc>
        <w:tc>
          <w:tcPr>
            <w:tcW w:w="3969" w:type="dxa"/>
          </w:tcPr>
          <w:p w:rsidR="0092636E" w:rsidRPr="005B01E9" w:rsidRDefault="007A5689" w:rsidP="003B6A72">
            <w:pPr>
              <w:spacing w:after="120"/>
            </w:pPr>
            <w:r w:rsidRPr="007A5689">
              <w:rPr>
                <w:lang w:val="fr-FR"/>
              </w:rPr>
              <w:t>Bélarus</w:t>
            </w:r>
          </w:p>
        </w:tc>
      </w:tr>
      <w:tr w:rsidR="0092636E" w:rsidRPr="005B01E9" w:rsidTr="00FB7502">
        <w:tc>
          <w:tcPr>
            <w:tcW w:w="2835" w:type="dxa"/>
          </w:tcPr>
          <w:p w:rsidR="0092636E" w:rsidRPr="005B01E9" w:rsidRDefault="0092636E" w:rsidP="003B6A72">
            <w:pPr>
              <w:rPr>
                <w:i/>
              </w:rPr>
            </w:pPr>
            <w:r w:rsidRPr="005B01E9">
              <w:rPr>
                <w:i/>
              </w:rPr>
              <w:t>Date de la communication</w:t>
            </w:r>
            <w:r w:rsidR="003B6A72" w:rsidRPr="005B01E9">
              <w:t>:</w:t>
            </w:r>
          </w:p>
        </w:tc>
        <w:tc>
          <w:tcPr>
            <w:tcW w:w="3969" w:type="dxa"/>
          </w:tcPr>
          <w:p w:rsidR="0092636E" w:rsidRPr="005B01E9" w:rsidRDefault="007A5689" w:rsidP="003B6A72">
            <w:pPr>
              <w:spacing w:after="120"/>
            </w:pPr>
            <w:r w:rsidRPr="00CC5EA4">
              <w:t>20 juin 2010</w:t>
            </w:r>
            <w:r w:rsidR="005B01E9" w:rsidRPr="005B01E9">
              <w:t xml:space="preserve"> </w:t>
            </w:r>
            <w:r w:rsidR="0092636E" w:rsidRPr="005B01E9">
              <w:t>(date de la lettre initiale)</w:t>
            </w:r>
          </w:p>
        </w:tc>
      </w:tr>
      <w:tr w:rsidR="0092636E" w:rsidRPr="005B01E9" w:rsidTr="00FB7502">
        <w:tc>
          <w:tcPr>
            <w:tcW w:w="2835" w:type="dxa"/>
          </w:tcPr>
          <w:p w:rsidR="0092636E" w:rsidRPr="005B01E9" w:rsidRDefault="0092636E" w:rsidP="003B6A72">
            <w:pPr>
              <w:rPr>
                <w:i/>
              </w:rPr>
            </w:pPr>
            <w:r w:rsidRPr="005B01E9">
              <w:rPr>
                <w:i/>
              </w:rPr>
              <w:t>Références</w:t>
            </w:r>
            <w:r w:rsidR="003B6A72" w:rsidRPr="005B01E9">
              <w:t>:</w:t>
            </w:r>
          </w:p>
        </w:tc>
        <w:tc>
          <w:tcPr>
            <w:tcW w:w="3969" w:type="dxa"/>
          </w:tcPr>
          <w:p w:rsidR="0092636E" w:rsidRPr="005B01E9" w:rsidRDefault="0092636E" w:rsidP="003B6A72">
            <w:pPr>
              <w:spacing w:after="120"/>
            </w:pPr>
            <w:r w:rsidRPr="005B01E9">
              <w:t>Décision prise par le Rapporteur spécial en</w:t>
            </w:r>
            <w:r w:rsidR="00497C34" w:rsidRPr="005B01E9">
              <w:t> </w:t>
            </w:r>
            <w:r w:rsidRPr="005B01E9">
              <w:t>application d</w:t>
            </w:r>
            <w:r w:rsidR="007A5689">
              <w:t>e l</w:t>
            </w:r>
            <w:r w:rsidR="00EF1EE8">
              <w:t>’</w:t>
            </w:r>
            <w:r w:rsidR="007A5689">
              <w:t>article </w:t>
            </w:r>
            <w:r w:rsidRPr="005B01E9">
              <w:t xml:space="preserve">97 du </w:t>
            </w:r>
            <w:r w:rsidR="00497C34" w:rsidRPr="005B01E9">
              <w:t>r</w:t>
            </w:r>
            <w:r w:rsidRPr="005B01E9">
              <w:t>èglement intérieur, communiquée à l</w:t>
            </w:r>
            <w:r w:rsidR="00EF1EE8">
              <w:t>’</w:t>
            </w:r>
            <w:r w:rsidRPr="005B01E9">
              <w:t xml:space="preserve">État partie le </w:t>
            </w:r>
            <w:r w:rsidR="007A5689">
              <w:t>17 février 2011</w:t>
            </w:r>
            <w:r w:rsidR="005B01E9" w:rsidRPr="005B01E9">
              <w:t xml:space="preserve"> (non </w:t>
            </w:r>
            <w:r w:rsidRPr="005B01E9">
              <w:t>publiée sous forme de document)</w:t>
            </w:r>
          </w:p>
        </w:tc>
      </w:tr>
      <w:tr w:rsidR="0092636E" w:rsidRPr="005B01E9" w:rsidTr="00FB7502">
        <w:tc>
          <w:tcPr>
            <w:tcW w:w="2835" w:type="dxa"/>
          </w:tcPr>
          <w:p w:rsidR="0092636E" w:rsidRPr="005B01E9" w:rsidRDefault="0092636E" w:rsidP="003B6A72">
            <w:pPr>
              <w:rPr>
                <w:i/>
              </w:rPr>
            </w:pPr>
            <w:r w:rsidRPr="005B01E9">
              <w:rPr>
                <w:i/>
              </w:rPr>
              <w:t>Date des constatations</w:t>
            </w:r>
            <w:r w:rsidR="00497C34" w:rsidRPr="005B01E9">
              <w:t>:</w:t>
            </w:r>
          </w:p>
        </w:tc>
        <w:tc>
          <w:tcPr>
            <w:tcW w:w="3969" w:type="dxa"/>
            <w:vAlign w:val="bottom"/>
          </w:tcPr>
          <w:p w:rsidR="0092636E" w:rsidRPr="005B01E9" w:rsidRDefault="007A5689" w:rsidP="003B6A72">
            <w:pPr>
              <w:spacing w:after="120"/>
            </w:pPr>
            <w:r>
              <w:t>10 octobre 2014</w:t>
            </w:r>
          </w:p>
        </w:tc>
      </w:tr>
      <w:tr w:rsidR="0092636E" w:rsidRPr="005B01E9" w:rsidTr="00FB7502">
        <w:tc>
          <w:tcPr>
            <w:tcW w:w="2835" w:type="dxa"/>
          </w:tcPr>
          <w:p w:rsidR="0092636E" w:rsidRPr="005B01E9" w:rsidRDefault="0092636E" w:rsidP="003B6A72">
            <w:pPr>
              <w:rPr>
                <w:i/>
              </w:rPr>
            </w:pPr>
            <w:r w:rsidRPr="005B01E9">
              <w:rPr>
                <w:i/>
              </w:rPr>
              <w:t>Objet</w:t>
            </w:r>
            <w:r w:rsidR="003B6A72" w:rsidRPr="005B01E9">
              <w:t>:</w:t>
            </w:r>
          </w:p>
        </w:tc>
        <w:tc>
          <w:tcPr>
            <w:tcW w:w="3969" w:type="dxa"/>
          </w:tcPr>
          <w:p w:rsidR="0092636E" w:rsidRPr="005B01E9" w:rsidRDefault="007A5689" w:rsidP="003B6A72">
            <w:pPr>
              <w:spacing w:after="120"/>
            </w:pPr>
            <w:r w:rsidRPr="007A5689">
              <w:rPr>
                <w:lang w:val="fr-FR"/>
              </w:rPr>
              <w:t>Arrestation et condamnation à une amende pour l</w:t>
            </w:r>
            <w:r w:rsidR="00EF1EE8">
              <w:rPr>
                <w:lang w:val="fr-FR"/>
              </w:rPr>
              <w:t>’</w:t>
            </w:r>
            <w:r w:rsidRPr="007A5689">
              <w:rPr>
                <w:lang w:val="fr-FR"/>
              </w:rPr>
              <w:t>organisation d</w:t>
            </w:r>
            <w:r w:rsidR="00EF1EE8">
              <w:rPr>
                <w:lang w:val="fr-FR"/>
              </w:rPr>
              <w:t>’</w:t>
            </w:r>
            <w:r w:rsidRPr="007A5689">
              <w:rPr>
                <w:lang w:val="fr-FR"/>
              </w:rPr>
              <w:t>une réunion pacifique sans autorisation préalable</w:t>
            </w:r>
          </w:p>
        </w:tc>
      </w:tr>
      <w:tr w:rsidR="005F3366" w:rsidRPr="005B01E9" w:rsidTr="00D874CD">
        <w:tc>
          <w:tcPr>
            <w:tcW w:w="2835" w:type="dxa"/>
          </w:tcPr>
          <w:p w:rsidR="005F3366" w:rsidRPr="005B01E9" w:rsidRDefault="005F3366" w:rsidP="00D874CD">
            <w:pPr>
              <w:rPr>
                <w:i/>
              </w:rPr>
            </w:pPr>
            <w:r w:rsidRPr="005B01E9">
              <w:rPr>
                <w:i/>
              </w:rPr>
              <w:t>Question(s) de fond</w:t>
            </w:r>
            <w:r w:rsidRPr="005B01E9">
              <w:t>:</w:t>
            </w:r>
          </w:p>
        </w:tc>
        <w:tc>
          <w:tcPr>
            <w:tcW w:w="3969" w:type="dxa"/>
            <w:vAlign w:val="bottom"/>
          </w:tcPr>
          <w:p w:rsidR="005F3366" w:rsidRPr="005B01E9" w:rsidRDefault="007A5689" w:rsidP="00D874CD">
            <w:pPr>
              <w:spacing w:after="120"/>
            </w:pPr>
            <w:r w:rsidRPr="007A5689">
              <w:rPr>
                <w:lang w:val="fr-FR"/>
              </w:rPr>
              <w:t>Droit à la liberté d</w:t>
            </w:r>
            <w:r w:rsidR="00EF1EE8">
              <w:rPr>
                <w:lang w:val="fr-FR"/>
              </w:rPr>
              <w:t>’</w:t>
            </w:r>
            <w:r w:rsidRPr="007A5689">
              <w:rPr>
                <w:lang w:val="fr-FR"/>
              </w:rPr>
              <w:t>expression; droit à la liberté de réunion pacifique; restrictions autorisées</w:t>
            </w:r>
          </w:p>
        </w:tc>
      </w:tr>
      <w:tr w:rsidR="0092636E" w:rsidRPr="005B01E9" w:rsidTr="00FB7502">
        <w:tc>
          <w:tcPr>
            <w:tcW w:w="2835" w:type="dxa"/>
          </w:tcPr>
          <w:p w:rsidR="0092636E" w:rsidRPr="005B01E9" w:rsidRDefault="0092636E" w:rsidP="003B6A72">
            <w:pPr>
              <w:rPr>
                <w:i/>
              </w:rPr>
            </w:pPr>
            <w:r w:rsidRPr="005B01E9">
              <w:rPr>
                <w:i/>
              </w:rPr>
              <w:t>Question</w:t>
            </w:r>
            <w:r w:rsidR="004E6FFF" w:rsidRPr="005B01E9">
              <w:rPr>
                <w:i/>
              </w:rPr>
              <w:t>(</w:t>
            </w:r>
            <w:r w:rsidRPr="005B01E9">
              <w:rPr>
                <w:i/>
              </w:rPr>
              <w:t>s</w:t>
            </w:r>
            <w:r w:rsidR="004E6FFF" w:rsidRPr="005B01E9">
              <w:rPr>
                <w:i/>
              </w:rPr>
              <w:t>)</w:t>
            </w:r>
            <w:r w:rsidRPr="005B01E9">
              <w:rPr>
                <w:i/>
              </w:rPr>
              <w:t xml:space="preserve"> de procédure</w:t>
            </w:r>
            <w:r w:rsidR="003B6A72" w:rsidRPr="005B01E9">
              <w:t>:</w:t>
            </w:r>
          </w:p>
        </w:tc>
        <w:tc>
          <w:tcPr>
            <w:tcW w:w="3969" w:type="dxa"/>
          </w:tcPr>
          <w:p w:rsidR="0092636E" w:rsidRPr="005B01E9" w:rsidRDefault="007A5689" w:rsidP="003B6A72">
            <w:pPr>
              <w:spacing w:after="120"/>
            </w:pPr>
            <w:r w:rsidRPr="007A5689">
              <w:rPr>
                <w:lang w:val="fr-FR"/>
              </w:rPr>
              <w:t>Épuisement des recours internes</w:t>
            </w:r>
          </w:p>
        </w:tc>
      </w:tr>
      <w:tr w:rsidR="008433B5" w:rsidRPr="005B01E9" w:rsidTr="0023102D">
        <w:tc>
          <w:tcPr>
            <w:tcW w:w="2835" w:type="dxa"/>
          </w:tcPr>
          <w:p w:rsidR="008433B5" w:rsidRPr="005B01E9" w:rsidRDefault="008433B5" w:rsidP="003B6A72">
            <w:pPr>
              <w:rPr>
                <w:i/>
              </w:rPr>
            </w:pPr>
            <w:r w:rsidRPr="005B01E9">
              <w:rPr>
                <w:i/>
              </w:rPr>
              <w:t>Article(s) du Pacte</w:t>
            </w:r>
            <w:r w:rsidR="003B6A72" w:rsidRPr="005B01E9">
              <w:t>:</w:t>
            </w:r>
          </w:p>
        </w:tc>
        <w:tc>
          <w:tcPr>
            <w:tcW w:w="3969" w:type="dxa"/>
            <w:vAlign w:val="bottom"/>
          </w:tcPr>
          <w:p w:rsidR="008433B5" w:rsidRPr="005B01E9" w:rsidRDefault="007A5689" w:rsidP="008433B5">
            <w:pPr>
              <w:spacing w:after="120"/>
            </w:pPr>
            <w:r w:rsidRPr="007A5689">
              <w:rPr>
                <w:lang w:val="fr-FR"/>
              </w:rPr>
              <w:t>19 (par. 2) et 21</w:t>
            </w:r>
          </w:p>
        </w:tc>
      </w:tr>
      <w:tr w:rsidR="008433B5" w:rsidRPr="005B01E9" w:rsidTr="0023102D">
        <w:tc>
          <w:tcPr>
            <w:tcW w:w="2835" w:type="dxa"/>
          </w:tcPr>
          <w:p w:rsidR="008433B5" w:rsidRPr="005B01E9" w:rsidRDefault="008433B5" w:rsidP="003B6A72">
            <w:pPr>
              <w:rPr>
                <w:i/>
              </w:rPr>
            </w:pPr>
            <w:r w:rsidRPr="005B01E9">
              <w:rPr>
                <w:i/>
              </w:rPr>
              <w:t>Article(s) du Protocole facultatif</w:t>
            </w:r>
            <w:r w:rsidR="003B6A72" w:rsidRPr="005B01E9">
              <w:t>:</w:t>
            </w:r>
          </w:p>
        </w:tc>
        <w:tc>
          <w:tcPr>
            <w:tcW w:w="3969" w:type="dxa"/>
            <w:vAlign w:val="bottom"/>
          </w:tcPr>
          <w:p w:rsidR="008433B5" w:rsidRPr="005B01E9" w:rsidRDefault="007A5689" w:rsidP="008433B5">
            <w:pPr>
              <w:spacing w:after="120"/>
            </w:pPr>
            <w:r w:rsidRPr="007A5689">
              <w:rPr>
                <w:lang w:val="fr-FR"/>
              </w:rPr>
              <w:t>5 (par. 2 b))</w:t>
            </w:r>
          </w:p>
        </w:tc>
      </w:tr>
    </w:tbl>
    <w:p w:rsidR="00642728" w:rsidRPr="005B01E9" w:rsidRDefault="007B0586" w:rsidP="007B0586">
      <w:pPr>
        <w:pStyle w:val="HChG"/>
      </w:pPr>
      <w:r w:rsidRPr="005B01E9">
        <w:br w:type="page"/>
      </w:r>
      <w:r w:rsidR="00642728" w:rsidRPr="005B01E9">
        <w:t>A</w:t>
      </w:r>
      <w:r w:rsidR="00B57784" w:rsidRPr="005B01E9">
        <w:t>nnexe</w:t>
      </w:r>
    </w:p>
    <w:p w:rsidR="00642728" w:rsidRPr="005B01E9" w:rsidRDefault="00B57784" w:rsidP="008433B5">
      <w:pPr>
        <w:pStyle w:val="HChG"/>
      </w:pPr>
      <w:r w:rsidRPr="005B01E9">
        <w:tab/>
      </w:r>
      <w:r w:rsidRPr="005B01E9">
        <w:tab/>
      </w:r>
      <w:r w:rsidR="008433B5" w:rsidRPr="005B01E9">
        <w:t>Constatations du Comité des droits de l</w:t>
      </w:r>
      <w:r w:rsidR="00EF1EE8">
        <w:t>’</w:t>
      </w:r>
      <w:r w:rsidR="008433B5" w:rsidRPr="005B01E9">
        <w:t>homme au titre</w:t>
      </w:r>
      <w:r w:rsidR="008433B5" w:rsidRPr="005B01E9">
        <w:br/>
        <w:t>du paragraphe 4 de l</w:t>
      </w:r>
      <w:r w:rsidR="00EF1EE8">
        <w:t>’</w:t>
      </w:r>
      <w:r w:rsidR="008433B5" w:rsidRPr="005B01E9">
        <w:t>article 5 du Protocole facultatif</w:t>
      </w:r>
      <w:r w:rsidR="008433B5" w:rsidRPr="005B01E9">
        <w:br/>
        <w:t>se rapportant au Pacte international relatif aux droits</w:t>
      </w:r>
      <w:r w:rsidR="008433B5" w:rsidRPr="005B01E9">
        <w:br/>
        <w:t>civils et politiques (</w:t>
      </w:r>
      <w:r w:rsidR="007A5689">
        <w:t>112</w:t>
      </w:r>
      <w:r w:rsidR="007A5689" w:rsidRPr="007A5689">
        <w:rPr>
          <w:vertAlign w:val="superscript"/>
        </w:rPr>
        <w:t>e</w:t>
      </w:r>
      <w:r w:rsidR="007A5689">
        <w:t xml:space="preserve"> </w:t>
      </w:r>
      <w:r w:rsidR="008433B5" w:rsidRPr="005B01E9">
        <w:t>session)</w:t>
      </w:r>
    </w:p>
    <w:p w:rsidR="00642728" w:rsidRPr="005B01E9" w:rsidRDefault="00642728" w:rsidP="00BA405E">
      <w:pPr>
        <w:pStyle w:val="SingleTxtG"/>
      </w:pPr>
      <w:r w:rsidRPr="005B01E9">
        <w:t>concernant la</w:t>
      </w:r>
    </w:p>
    <w:p w:rsidR="00642728" w:rsidRPr="005B01E9" w:rsidRDefault="00B57784" w:rsidP="00757D82">
      <w:pPr>
        <w:pStyle w:val="H1G"/>
      </w:pPr>
      <w:r w:rsidRPr="005B01E9">
        <w:tab/>
      </w:r>
      <w:r w:rsidRPr="005B01E9">
        <w:tab/>
      </w:r>
      <w:r w:rsidR="00642728" w:rsidRPr="005B01E9">
        <w:t xml:space="preserve">Communication </w:t>
      </w:r>
      <w:r w:rsidR="00642728" w:rsidRPr="005B01E9">
        <w:rPr>
          <w:rFonts w:eastAsia="MS Mincho"/>
        </w:rPr>
        <w:t>n</w:t>
      </w:r>
      <w:r w:rsidR="00642728" w:rsidRPr="005B01E9">
        <w:rPr>
          <w:rFonts w:eastAsia="MS Mincho"/>
          <w:vertAlign w:val="superscript"/>
        </w:rPr>
        <w:t>o</w:t>
      </w:r>
      <w:r w:rsidR="00642728" w:rsidRPr="005B01E9">
        <w:t xml:space="preserve"> </w:t>
      </w:r>
      <w:r w:rsidR="007A5689">
        <w:t>2029/2011</w:t>
      </w:r>
      <w:r w:rsidR="008433B5" w:rsidRPr="007A5689">
        <w:rPr>
          <w:rStyle w:val="FootnoteReference"/>
          <w:rFonts w:eastAsia="MS Mincho"/>
          <w:b w:val="0"/>
          <w:bCs/>
          <w:sz w:val="20"/>
          <w:vertAlign w:val="baseline"/>
        </w:rPr>
        <w:footnoteReference w:customMarkFollows="1" w:id="2"/>
        <w:t>*</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410"/>
        <w:gridCol w:w="4394"/>
      </w:tblGrid>
      <w:tr w:rsidR="008433B5" w:rsidRPr="005B01E9" w:rsidTr="008433B5">
        <w:tc>
          <w:tcPr>
            <w:tcW w:w="2410" w:type="dxa"/>
          </w:tcPr>
          <w:p w:rsidR="008433B5" w:rsidRPr="005B01E9" w:rsidRDefault="008433B5" w:rsidP="005D29C8">
            <w:pPr>
              <w:spacing w:after="120"/>
              <w:rPr>
                <w:i/>
              </w:rPr>
            </w:pPr>
            <w:r w:rsidRPr="005B01E9">
              <w:rPr>
                <w:i/>
              </w:rPr>
              <w:t>Présentée par</w:t>
            </w:r>
            <w:r w:rsidRPr="005B01E9">
              <w:t>:</w:t>
            </w:r>
          </w:p>
        </w:tc>
        <w:tc>
          <w:tcPr>
            <w:tcW w:w="4394" w:type="dxa"/>
          </w:tcPr>
          <w:p w:rsidR="008433B5" w:rsidRPr="005B01E9" w:rsidRDefault="007A5689" w:rsidP="008433B5">
            <w:pPr>
              <w:spacing w:after="120"/>
            </w:pPr>
            <w:r w:rsidRPr="007A5689">
              <w:rPr>
                <w:lang w:val="fr-FR"/>
              </w:rPr>
              <w:t>Sergey Praded (non représenté par un conseil)</w:t>
            </w:r>
          </w:p>
        </w:tc>
      </w:tr>
      <w:tr w:rsidR="008433B5" w:rsidRPr="005B01E9" w:rsidTr="008433B5">
        <w:tc>
          <w:tcPr>
            <w:tcW w:w="2410" w:type="dxa"/>
          </w:tcPr>
          <w:p w:rsidR="008433B5" w:rsidRPr="005B01E9" w:rsidRDefault="008433B5" w:rsidP="005D29C8">
            <w:pPr>
              <w:spacing w:after="120"/>
              <w:rPr>
                <w:i/>
              </w:rPr>
            </w:pPr>
            <w:r w:rsidRPr="005B01E9">
              <w:rPr>
                <w:i/>
              </w:rPr>
              <w:t>Au nom de</w:t>
            </w:r>
            <w:r w:rsidRPr="005B01E9">
              <w:t>:</w:t>
            </w:r>
          </w:p>
        </w:tc>
        <w:tc>
          <w:tcPr>
            <w:tcW w:w="4394" w:type="dxa"/>
          </w:tcPr>
          <w:p w:rsidR="008433B5" w:rsidRPr="005B01E9" w:rsidRDefault="007A5689" w:rsidP="008433B5">
            <w:pPr>
              <w:spacing w:after="120"/>
            </w:pPr>
            <w:r w:rsidRPr="007A5689">
              <w:rPr>
                <w:lang w:val="fr-FR"/>
              </w:rPr>
              <w:t>L</w:t>
            </w:r>
            <w:r w:rsidR="00EF1EE8">
              <w:rPr>
                <w:lang w:val="fr-FR"/>
              </w:rPr>
              <w:t>’</w:t>
            </w:r>
            <w:r w:rsidRPr="007A5689">
              <w:rPr>
                <w:lang w:val="fr-FR"/>
              </w:rPr>
              <w:t>auteur</w:t>
            </w:r>
          </w:p>
        </w:tc>
      </w:tr>
      <w:tr w:rsidR="008433B5" w:rsidRPr="005B01E9" w:rsidTr="008433B5">
        <w:tc>
          <w:tcPr>
            <w:tcW w:w="2410" w:type="dxa"/>
          </w:tcPr>
          <w:p w:rsidR="008433B5" w:rsidRPr="005B01E9" w:rsidRDefault="008433B5" w:rsidP="005D29C8">
            <w:pPr>
              <w:spacing w:after="120"/>
              <w:rPr>
                <w:i/>
              </w:rPr>
            </w:pPr>
            <w:r w:rsidRPr="005B01E9">
              <w:rPr>
                <w:i/>
              </w:rPr>
              <w:t>État partie</w:t>
            </w:r>
            <w:r w:rsidRPr="005B01E9">
              <w:t>:</w:t>
            </w:r>
          </w:p>
        </w:tc>
        <w:tc>
          <w:tcPr>
            <w:tcW w:w="4394" w:type="dxa"/>
          </w:tcPr>
          <w:p w:rsidR="008433B5" w:rsidRPr="005B01E9" w:rsidRDefault="007A5689" w:rsidP="008433B5">
            <w:pPr>
              <w:spacing w:after="120"/>
            </w:pPr>
            <w:r w:rsidRPr="007A5689">
              <w:rPr>
                <w:lang w:val="fr-FR"/>
              </w:rPr>
              <w:t>Bélarus</w:t>
            </w:r>
          </w:p>
        </w:tc>
      </w:tr>
      <w:tr w:rsidR="008433B5" w:rsidRPr="005B01E9" w:rsidTr="008433B5">
        <w:tc>
          <w:tcPr>
            <w:tcW w:w="2410" w:type="dxa"/>
          </w:tcPr>
          <w:p w:rsidR="008433B5" w:rsidRPr="005B01E9" w:rsidRDefault="008433B5" w:rsidP="00CB6C7A">
            <w:pPr>
              <w:spacing w:after="240"/>
              <w:rPr>
                <w:i/>
              </w:rPr>
            </w:pPr>
            <w:r w:rsidRPr="005B01E9">
              <w:rPr>
                <w:i/>
              </w:rPr>
              <w:t>Date de la communication</w:t>
            </w:r>
            <w:r w:rsidRPr="005B01E9">
              <w:t>:</w:t>
            </w:r>
          </w:p>
        </w:tc>
        <w:tc>
          <w:tcPr>
            <w:tcW w:w="4394" w:type="dxa"/>
          </w:tcPr>
          <w:p w:rsidR="008433B5" w:rsidRPr="005B01E9" w:rsidRDefault="007A5689" w:rsidP="008433B5">
            <w:pPr>
              <w:spacing w:after="120"/>
            </w:pPr>
            <w:r w:rsidRPr="00CC5EA4">
              <w:t>20 juin 2010</w:t>
            </w:r>
            <w:r w:rsidR="005B01E9" w:rsidRPr="005B01E9">
              <w:t xml:space="preserve"> </w:t>
            </w:r>
            <w:r w:rsidR="008433B5" w:rsidRPr="005B01E9">
              <w:t>(date de la lettre initiale)</w:t>
            </w:r>
          </w:p>
        </w:tc>
      </w:tr>
    </w:tbl>
    <w:p w:rsidR="008433B5" w:rsidRPr="005B01E9" w:rsidRDefault="008433B5" w:rsidP="008433B5">
      <w:pPr>
        <w:pStyle w:val="SingleTxtG"/>
        <w:ind w:firstLine="567"/>
      </w:pPr>
      <w:r w:rsidRPr="005B01E9">
        <w:rPr>
          <w:i/>
          <w:iCs/>
        </w:rPr>
        <w:t>Le Comité des droits de l</w:t>
      </w:r>
      <w:r w:rsidR="00EF1EE8">
        <w:rPr>
          <w:i/>
          <w:iCs/>
        </w:rPr>
        <w:t>’</w:t>
      </w:r>
      <w:r w:rsidRPr="005B01E9">
        <w:rPr>
          <w:i/>
          <w:iCs/>
        </w:rPr>
        <w:t>homme</w:t>
      </w:r>
      <w:r w:rsidRPr="005B01E9">
        <w:t>, institué en vertu de l</w:t>
      </w:r>
      <w:r w:rsidR="00EF1EE8">
        <w:t>’</w:t>
      </w:r>
      <w:r w:rsidRPr="005B01E9">
        <w:t>article 28 du Pacte international relatif aux droits civils et politiques,</w:t>
      </w:r>
    </w:p>
    <w:p w:rsidR="008433B5" w:rsidRPr="005B01E9" w:rsidRDefault="008433B5" w:rsidP="008433B5">
      <w:pPr>
        <w:pStyle w:val="SingleTxtG"/>
        <w:ind w:firstLine="567"/>
      </w:pPr>
      <w:r w:rsidRPr="005B01E9">
        <w:rPr>
          <w:i/>
          <w:iCs/>
        </w:rPr>
        <w:t xml:space="preserve">Réuni le </w:t>
      </w:r>
      <w:r w:rsidR="007A5689" w:rsidRPr="007A5689">
        <w:rPr>
          <w:iCs/>
        </w:rPr>
        <w:t>10 octobre 2014,</w:t>
      </w:r>
    </w:p>
    <w:p w:rsidR="008433B5" w:rsidRPr="005B01E9" w:rsidRDefault="008433B5" w:rsidP="008433B5">
      <w:pPr>
        <w:pStyle w:val="SingleTxtG"/>
        <w:ind w:firstLine="567"/>
      </w:pPr>
      <w:r w:rsidRPr="005B01E9">
        <w:rPr>
          <w:i/>
          <w:iCs/>
        </w:rPr>
        <w:t>Ayant achevé</w:t>
      </w:r>
      <w:r w:rsidRPr="005B01E9">
        <w:t xml:space="preserve"> l</w:t>
      </w:r>
      <w:r w:rsidR="00EF1EE8">
        <w:t>’</w:t>
      </w:r>
      <w:r w:rsidRPr="005B01E9">
        <w:t xml:space="preserve">examen de la communication </w:t>
      </w:r>
      <w:r w:rsidR="007A5689">
        <w:rPr>
          <w:rFonts w:eastAsia="MS Mincho"/>
        </w:rPr>
        <w:t>n</w:t>
      </w:r>
      <w:r w:rsidR="007A5689">
        <w:rPr>
          <w:rFonts w:eastAsia="MS Mincho"/>
          <w:vertAlign w:val="superscript"/>
        </w:rPr>
        <w:t>o</w:t>
      </w:r>
      <w:r w:rsidR="007A5689">
        <w:t xml:space="preserve"> 2029/2011 </w:t>
      </w:r>
      <w:r w:rsidRPr="005B01E9">
        <w:t xml:space="preserve">présentée </w:t>
      </w:r>
      <w:r w:rsidR="007A5689">
        <w:t>par Sergey </w:t>
      </w:r>
      <w:r w:rsidR="007A5689" w:rsidRPr="00CC5EA4">
        <w:t>Praded</w:t>
      </w:r>
      <w:r w:rsidR="005B01E9" w:rsidRPr="005B01E9">
        <w:t xml:space="preserve"> </w:t>
      </w:r>
      <w:r w:rsidRPr="005B01E9">
        <w:t>en vertu du Protocole facultatif se rapportant au Pacte international relatif aux droits civils et politiques,</w:t>
      </w:r>
    </w:p>
    <w:p w:rsidR="008433B5" w:rsidRPr="005B01E9" w:rsidRDefault="008433B5" w:rsidP="008433B5">
      <w:pPr>
        <w:pStyle w:val="SingleTxtG"/>
        <w:ind w:firstLine="567"/>
      </w:pPr>
      <w:r w:rsidRPr="005B01E9">
        <w:rPr>
          <w:i/>
          <w:iCs/>
        </w:rPr>
        <w:t>Ayant tenu compte</w:t>
      </w:r>
      <w:r w:rsidRPr="005B01E9">
        <w:t xml:space="preserve"> de toutes les informations écrites qui lui ont été communiquées par </w:t>
      </w:r>
      <w:r w:rsidR="007A5689">
        <w:t>l</w:t>
      </w:r>
      <w:r w:rsidR="00EF1EE8">
        <w:t>’</w:t>
      </w:r>
      <w:r w:rsidR="007A5689">
        <w:t>auteur</w:t>
      </w:r>
      <w:r w:rsidR="005B01E9" w:rsidRPr="005B01E9">
        <w:rPr>
          <w:b/>
        </w:rPr>
        <w:t xml:space="preserve"> </w:t>
      </w:r>
      <w:r w:rsidRPr="005B01E9">
        <w:t>de la communication et l</w:t>
      </w:r>
      <w:r w:rsidR="00EF1EE8">
        <w:t>’</w:t>
      </w:r>
      <w:r w:rsidRPr="005B01E9">
        <w:t>État partie,</w:t>
      </w:r>
    </w:p>
    <w:p w:rsidR="00E24896" w:rsidRPr="005B01E9" w:rsidRDefault="008433B5" w:rsidP="008433B5">
      <w:pPr>
        <w:pStyle w:val="SingleTxtG"/>
        <w:ind w:firstLine="567"/>
      </w:pPr>
      <w:r w:rsidRPr="005B01E9">
        <w:rPr>
          <w:i/>
          <w:iCs/>
        </w:rPr>
        <w:t>Adopte</w:t>
      </w:r>
      <w:r w:rsidRPr="005B01E9">
        <w:t xml:space="preserve"> ce qui suit:</w:t>
      </w:r>
    </w:p>
    <w:p w:rsidR="00780BA1" w:rsidRDefault="00780BA1" w:rsidP="00780BA1">
      <w:pPr>
        <w:pStyle w:val="H1G"/>
      </w:pPr>
      <w:r w:rsidRPr="00BF6F4D">
        <w:tab/>
      </w:r>
      <w:r w:rsidRPr="00BF6F4D">
        <w:tab/>
      </w:r>
      <w:r w:rsidRPr="00780BA1">
        <w:t>Constatations</w:t>
      </w:r>
      <w:r w:rsidRPr="00BF6F4D">
        <w:t xml:space="preserve"> au titre du paragraphe 4 de l</w:t>
      </w:r>
      <w:r w:rsidR="00EF1EE8">
        <w:t>’</w:t>
      </w:r>
      <w:r w:rsidRPr="00BF6F4D">
        <w:t>article 5</w:t>
      </w:r>
      <w:r w:rsidRPr="00BF6F4D">
        <w:br/>
        <w:t>du Protocole facultatif</w:t>
      </w:r>
    </w:p>
    <w:p w:rsidR="00780BA1" w:rsidRPr="00780BA1" w:rsidRDefault="00780BA1" w:rsidP="00780BA1">
      <w:pPr>
        <w:pStyle w:val="SingleTxtG"/>
        <w:rPr>
          <w:lang w:val="fr-FR"/>
        </w:rPr>
      </w:pPr>
      <w:r w:rsidRPr="00780BA1">
        <w:rPr>
          <w:lang w:val="fr-FR"/>
        </w:rPr>
        <w:t>1.</w:t>
      </w:r>
      <w:r w:rsidRPr="00780BA1">
        <w:rPr>
          <w:lang w:val="fr-FR"/>
        </w:rPr>
        <w:tab/>
        <w:t>L</w:t>
      </w:r>
      <w:r w:rsidR="00EF1EE8">
        <w:rPr>
          <w:lang w:val="fr-FR"/>
        </w:rPr>
        <w:t>’</w:t>
      </w:r>
      <w:r w:rsidRPr="00780BA1">
        <w:rPr>
          <w:lang w:val="fr-FR"/>
        </w:rPr>
        <w:t>auteur</w:t>
      </w:r>
      <w:r>
        <w:rPr>
          <w:lang w:val="fr-FR"/>
        </w:rPr>
        <w:t xml:space="preserve"> de la communication est Sergey </w:t>
      </w:r>
      <w:r w:rsidRPr="00780BA1">
        <w:rPr>
          <w:lang w:val="fr-FR"/>
        </w:rPr>
        <w:t>Praded, de nationalité bélarussienne, né en 1987. Il affirme être victime d</w:t>
      </w:r>
      <w:r w:rsidR="00EF1EE8">
        <w:rPr>
          <w:lang w:val="fr-FR"/>
        </w:rPr>
        <w:t>’</w:t>
      </w:r>
      <w:r w:rsidRPr="00780BA1">
        <w:rPr>
          <w:lang w:val="fr-FR"/>
        </w:rPr>
        <w:t>une violation par le Bélarus des droits qui lui sont garantis par le paragraphe 2 de l</w:t>
      </w:r>
      <w:r w:rsidR="00EF1EE8">
        <w:rPr>
          <w:lang w:val="fr-FR"/>
        </w:rPr>
        <w:t>’</w:t>
      </w:r>
      <w:r w:rsidRPr="00780BA1">
        <w:rPr>
          <w:lang w:val="fr-FR"/>
        </w:rPr>
        <w:t>article 19 et l</w:t>
      </w:r>
      <w:r w:rsidR="00EF1EE8">
        <w:rPr>
          <w:lang w:val="fr-FR"/>
        </w:rPr>
        <w:t>’</w:t>
      </w:r>
      <w:r w:rsidRPr="00780BA1">
        <w:rPr>
          <w:lang w:val="fr-FR"/>
        </w:rPr>
        <w:t>article 21 du Pacte international relatif aux droits civils et politiques. Le Protocole facultatif se rapportant audit Pacte est entré en vigueur pour l</w:t>
      </w:r>
      <w:r w:rsidR="00EF1EE8">
        <w:rPr>
          <w:lang w:val="fr-FR"/>
        </w:rPr>
        <w:t>’</w:t>
      </w:r>
      <w:r w:rsidRPr="00780BA1">
        <w:rPr>
          <w:lang w:val="fr-FR"/>
        </w:rPr>
        <w:t>État partie le 30 décembre 1992. L</w:t>
      </w:r>
      <w:r w:rsidR="00EF1EE8">
        <w:rPr>
          <w:lang w:val="fr-FR"/>
        </w:rPr>
        <w:t>’</w:t>
      </w:r>
      <w:r w:rsidRPr="00780BA1">
        <w:rPr>
          <w:lang w:val="fr-FR"/>
        </w:rPr>
        <w:t>auteur n</w:t>
      </w:r>
      <w:r w:rsidR="00EF1EE8">
        <w:rPr>
          <w:lang w:val="fr-FR"/>
        </w:rPr>
        <w:t>’</w:t>
      </w:r>
      <w:r w:rsidRPr="00780BA1">
        <w:rPr>
          <w:lang w:val="fr-FR"/>
        </w:rPr>
        <w:t>est pas représenté par un conseil.</w:t>
      </w:r>
    </w:p>
    <w:p w:rsidR="00780BA1" w:rsidRPr="00780BA1" w:rsidRDefault="00780BA1" w:rsidP="00780BA1">
      <w:pPr>
        <w:pStyle w:val="H23G"/>
        <w:rPr>
          <w:lang w:val="fr-FR"/>
        </w:rPr>
      </w:pPr>
      <w:r w:rsidRPr="00780BA1">
        <w:rPr>
          <w:lang w:val="fr-FR"/>
        </w:rPr>
        <w:tab/>
      </w:r>
      <w:r w:rsidRPr="00780BA1">
        <w:rPr>
          <w:lang w:val="fr-FR"/>
        </w:rPr>
        <w:tab/>
        <w:t>Rappel des faits présentés par l</w:t>
      </w:r>
      <w:r w:rsidR="00EF1EE8">
        <w:rPr>
          <w:lang w:val="fr-FR"/>
        </w:rPr>
        <w:t>’</w:t>
      </w:r>
      <w:r w:rsidRPr="00780BA1">
        <w:rPr>
          <w:lang w:val="fr-FR"/>
        </w:rPr>
        <w:t>auteur</w:t>
      </w:r>
    </w:p>
    <w:p w:rsidR="00780BA1" w:rsidRPr="00780BA1" w:rsidRDefault="00780BA1" w:rsidP="00780BA1">
      <w:pPr>
        <w:pStyle w:val="SingleTxtG"/>
        <w:keepLines/>
        <w:rPr>
          <w:lang w:val="fr-FR"/>
        </w:rPr>
      </w:pPr>
      <w:r w:rsidRPr="00780BA1">
        <w:rPr>
          <w:lang w:val="fr-FR"/>
        </w:rPr>
        <w:t>2.1</w:t>
      </w:r>
      <w:r w:rsidRPr="00780BA1">
        <w:rPr>
          <w:lang w:val="fr-FR"/>
        </w:rPr>
        <w:tab/>
        <w:t>Le 16 décembre 2009, l</w:t>
      </w:r>
      <w:r w:rsidR="00EF1EE8">
        <w:rPr>
          <w:lang w:val="fr-FR"/>
        </w:rPr>
        <w:t>’</w:t>
      </w:r>
      <w:r w:rsidRPr="00780BA1">
        <w:rPr>
          <w:lang w:val="fr-FR"/>
        </w:rPr>
        <w:t>auteur a participé avec quelques personnes seulement à une manifestation pacifique devant l</w:t>
      </w:r>
      <w:r w:rsidR="00EF1EE8">
        <w:rPr>
          <w:lang w:val="fr-FR"/>
        </w:rPr>
        <w:t>’</w:t>
      </w:r>
      <w:r w:rsidRPr="00780BA1">
        <w:rPr>
          <w:lang w:val="fr-FR"/>
        </w:rPr>
        <w:t>ambassade de la République islamique d</w:t>
      </w:r>
      <w:r w:rsidR="00EF1EE8">
        <w:rPr>
          <w:lang w:val="fr-FR"/>
        </w:rPr>
        <w:t>’</w:t>
      </w:r>
      <w:r w:rsidRPr="00780BA1">
        <w:rPr>
          <w:lang w:val="fr-FR"/>
        </w:rPr>
        <w:t>Iran à Minsk, au</w:t>
      </w:r>
      <w:r>
        <w:rPr>
          <w:lang w:val="fr-FR"/>
        </w:rPr>
        <w:t> </w:t>
      </w:r>
      <w:r w:rsidRPr="00780BA1">
        <w:rPr>
          <w:lang w:val="fr-FR"/>
        </w:rPr>
        <w:t>cours de laquelle une pancarte indiquant «Stop aux meurtres d</w:t>
      </w:r>
      <w:r w:rsidR="00EF1EE8">
        <w:rPr>
          <w:lang w:val="fr-FR"/>
        </w:rPr>
        <w:t>’</w:t>
      </w:r>
      <w:r w:rsidRPr="00780BA1">
        <w:rPr>
          <w:lang w:val="fr-FR"/>
        </w:rPr>
        <w:t xml:space="preserve">homosexuels en Iran» était </w:t>
      </w:r>
      <w:r>
        <w:rPr>
          <w:lang w:val="fr-FR"/>
        </w:rPr>
        <w:t>brandie</w:t>
      </w:r>
      <w:r w:rsidRPr="00780BA1">
        <w:rPr>
          <w:lang w:val="fr-FR"/>
        </w:rPr>
        <w:t>. Il a été appréhendé et conduit au poste de police, où un procès-verbal d</w:t>
      </w:r>
      <w:r w:rsidR="00EF1EE8">
        <w:rPr>
          <w:lang w:val="fr-FR"/>
        </w:rPr>
        <w:t>’</w:t>
      </w:r>
      <w:r w:rsidRPr="00780BA1">
        <w:rPr>
          <w:lang w:val="fr-FR"/>
        </w:rPr>
        <w:t>infraction administrative a été établi, et où il a été inculpé en vertu du paragraphe 1 de l</w:t>
      </w:r>
      <w:r w:rsidR="00EF1EE8">
        <w:rPr>
          <w:lang w:val="fr-FR"/>
        </w:rPr>
        <w:t>’</w:t>
      </w:r>
      <w:r w:rsidRPr="00780BA1">
        <w:rPr>
          <w:lang w:val="fr-FR"/>
        </w:rPr>
        <w:t>article 23.34 du Code des infractions administratives du Bélarus</w:t>
      </w:r>
      <w:r w:rsidRPr="00780BA1">
        <w:rPr>
          <w:rStyle w:val="FootnoteReference"/>
        </w:rPr>
        <w:footnoteReference w:id="3"/>
      </w:r>
      <w:r w:rsidRPr="00780BA1">
        <w:rPr>
          <w:lang w:val="fr-FR"/>
        </w:rPr>
        <w:t>.</w:t>
      </w:r>
    </w:p>
    <w:p w:rsidR="00780BA1" w:rsidRPr="00780BA1" w:rsidRDefault="00780BA1" w:rsidP="00780BA1">
      <w:pPr>
        <w:pStyle w:val="SingleTxtG"/>
        <w:rPr>
          <w:lang w:val="fr-FR"/>
        </w:rPr>
      </w:pPr>
      <w:r>
        <w:rPr>
          <w:lang w:val="fr-FR"/>
        </w:rPr>
        <w:t>2.2</w:t>
      </w:r>
      <w:r>
        <w:rPr>
          <w:lang w:val="fr-FR"/>
        </w:rPr>
        <w:tab/>
        <w:t>Le 23 </w:t>
      </w:r>
      <w:r w:rsidRPr="00780BA1">
        <w:rPr>
          <w:lang w:val="fr-FR"/>
        </w:rPr>
        <w:t>décembre 2009, le tribunal du district Sovietsky de Minsk a reconnu l</w:t>
      </w:r>
      <w:r w:rsidR="00EF1EE8">
        <w:rPr>
          <w:lang w:val="fr-FR"/>
        </w:rPr>
        <w:t>’</w:t>
      </w:r>
      <w:r w:rsidRPr="00780BA1">
        <w:rPr>
          <w:lang w:val="fr-FR"/>
        </w:rPr>
        <w:t>auteur coupable d</w:t>
      </w:r>
      <w:r w:rsidR="00EF1EE8">
        <w:rPr>
          <w:lang w:val="fr-FR"/>
        </w:rPr>
        <w:t>’</w:t>
      </w:r>
      <w:r w:rsidRPr="00780BA1">
        <w:rPr>
          <w:lang w:val="fr-FR"/>
        </w:rPr>
        <w:t>une infraction administrative visée au paragraphe 1 de l</w:t>
      </w:r>
      <w:r w:rsidR="00EF1EE8">
        <w:rPr>
          <w:lang w:val="fr-FR"/>
        </w:rPr>
        <w:t>’</w:t>
      </w:r>
      <w:r w:rsidRPr="00780BA1">
        <w:rPr>
          <w:lang w:val="fr-FR"/>
        </w:rPr>
        <w:t>article 23.34 du Code des infractions administratives et l</w:t>
      </w:r>
      <w:r w:rsidR="00EF1EE8">
        <w:rPr>
          <w:lang w:val="fr-FR"/>
        </w:rPr>
        <w:t>’</w:t>
      </w:r>
      <w:r w:rsidRPr="00780BA1">
        <w:rPr>
          <w:lang w:val="fr-FR"/>
        </w:rPr>
        <w:t>a condamné à une amende de 350 000 roubles bélarussiens. Le tribunal a conclu que l</w:t>
      </w:r>
      <w:r w:rsidR="00EF1EE8">
        <w:rPr>
          <w:lang w:val="fr-FR"/>
        </w:rPr>
        <w:t>’</w:t>
      </w:r>
      <w:r w:rsidRPr="00780BA1">
        <w:rPr>
          <w:lang w:val="fr-FR"/>
        </w:rPr>
        <w:t>auteur et les autres personnes qui étaient avec lui avaient participé à une manifestation collective sans avoir préalablement obtenu une autorisation comme exigé à l</w:t>
      </w:r>
      <w:r w:rsidR="00EF1EE8">
        <w:rPr>
          <w:lang w:val="fr-FR"/>
        </w:rPr>
        <w:t>’</w:t>
      </w:r>
      <w:r w:rsidRPr="00780BA1">
        <w:rPr>
          <w:lang w:val="fr-FR"/>
        </w:rPr>
        <w:t>article 5 de la loi relative aux manifestations de masse.</w:t>
      </w:r>
    </w:p>
    <w:p w:rsidR="00780BA1" w:rsidRPr="00780BA1" w:rsidRDefault="00780BA1" w:rsidP="00780BA1">
      <w:pPr>
        <w:pStyle w:val="SingleTxtG"/>
        <w:rPr>
          <w:lang w:val="fr-FR"/>
        </w:rPr>
      </w:pPr>
      <w:r w:rsidRPr="00780BA1">
        <w:rPr>
          <w:lang w:val="fr-FR"/>
        </w:rPr>
        <w:t>2.3</w:t>
      </w:r>
      <w:r w:rsidRPr="00780BA1">
        <w:rPr>
          <w:lang w:val="fr-FR"/>
        </w:rPr>
        <w:tab/>
        <w:t>Le 19 janvier 2010, le tribunal municipal de Minsk a rejeté le recours de l</w:t>
      </w:r>
      <w:r w:rsidR="00EF1EE8">
        <w:rPr>
          <w:lang w:val="fr-FR"/>
        </w:rPr>
        <w:t>’</w:t>
      </w:r>
      <w:r w:rsidRPr="00780BA1">
        <w:rPr>
          <w:lang w:val="fr-FR"/>
        </w:rPr>
        <w:t>auteur et confirmé le jugement du tribunal de district.</w:t>
      </w:r>
    </w:p>
    <w:p w:rsidR="00780BA1" w:rsidRPr="00780BA1" w:rsidRDefault="00780BA1" w:rsidP="00780BA1">
      <w:pPr>
        <w:pStyle w:val="SingleTxtG"/>
        <w:rPr>
          <w:lang w:val="fr-FR"/>
        </w:rPr>
      </w:pPr>
      <w:r w:rsidRPr="00780BA1">
        <w:rPr>
          <w:lang w:val="fr-FR"/>
        </w:rPr>
        <w:t>2.4</w:t>
      </w:r>
      <w:r w:rsidRPr="00780BA1">
        <w:rPr>
          <w:lang w:val="fr-FR"/>
        </w:rPr>
        <w:tab/>
        <w:t>Le 7 avril 2010, la Cour suprême a rejeté la demande de contrôle des décisions rendues par les juridictions inférieures les 23 décembre 2009 et 19 janvier 2010, présentée par l</w:t>
      </w:r>
      <w:r w:rsidR="00EF1EE8">
        <w:rPr>
          <w:lang w:val="fr-FR"/>
        </w:rPr>
        <w:t>’</w:t>
      </w:r>
      <w:r w:rsidRPr="00780BA1">
        <w:rPr>
          <w:lang w:val="fr-FR"/>
        </w:rPr>
        <w:t>auteur.</w:t>
      </w:r>
    </w:p>
    <w:p w:rsidR="00780BA1" w:rsidRPr="00780BA1" w:rsidRDefault="00780BA1" w:rsidP="00780BA1">
      <w:pPr>
        <w:pStyle w:val="H23G"/>
        <w:rPr>
          <w:lang w:val="fr-FR"/>
        </w:rPr>
      </w:pPr>
      <w:r w:rsidRPr="00780BA1">
        <w:rPr>
          <w:lang w:val="fr-FR"/>
        </w:rPr>
        <w:tab/>
      </w:r>
      <w:r w:rsidRPr="00780BA1">
        <w:rPr>
          <w:lang w:val="fr-FR"/>
        </w:rPr>
        <w:tab/>
        <w:t xml:space="preserve">Teneur de la plainte </w:t>
      </w:r>
    </w:p>
    <w:p w:rsidR="00780BA1" w:rsidRPr="00780BA1" w:rsidRDefault="00780BA1" w:rsidP="00780BA1">
      <w:pPr>
        <w:pStyle w:val="SingleTxtG"/>
        <w:rPr>
          <w:lang w:val="fr-FR"/>
        </w:rPr>
      </w:pPr>
      <w:r w:rsidRPr="00780BA1">
        <w:rPr>
          <w:lang w:val="fr-FR"/>
        </w:rPr>
        <w:t>3.1</w:t>
      </w:r>
      <w:r w:rsidRPr="00780BA1">
        <w:rPr>
          <w:lang w:val="fr-FR"/>
        </w:rPr>
        <w:tab/>
        <w:t>L</w:t>
      </w:r>
      <w:r w:rsidR="00EF1EE8">
        <w:rPr>
          <w:lang w:val="fr-FR"/>
        </w:rPr>
        <w:t>’</w:t>
      </w:r>
      <w:r w:rsidRPr="00780BA1">
        <w:rPr>
          <w:lang w:val="fr-FR"/>
        </w:rPr>
        <w:t>auteur soutient que les faits présentés constituent une violation des droits qu</w:t>
      </w:r>
      <w:r w:rsidR="00EF1EE8">
        <w:rPr>
          <w:lang w:val="fr-FR"/>
        </w:rPr>
        <w:t>’</w:t>
      </w:r>
      <w:r w:rsidRPr="00780BA1">
        <w:rPr>
          <w:lang w:val="fr-FR"/>
        </w:rPr>
        <w:t>il tient de l</w:t>
      </w:r>
      <w:r w:rsidR="00EF1EE8">
        <w:rPr>
          <w:lang w:val="fr-FR"/>
        </w:rPr>
        <w:t>’</w:t>
      </w:r>
      <w:r w:rsidRPr="00780BA1">
        <w:rPr>
          <w:lang w:val="fr-FR"/>
        </w:rPr>
        <w:t>article 21 du Pacte, les autorités n</w:t>
      </w:r>
      <w:r w:rsidR="00EF1EE8">
        <w:rPr>
          <w:lang w:val="fr-FR"/>
        </w:rPr>
        <w:t>’</w:t>
      </w:r>
      <w:r w:rsidRPr="00780BA1">
        <w:rPr>
          <w:lang w:val="fr-FR"/>
        </w:rPr>
        <w:t>ayant fourni aucun élément justifiant la restriction de ses droits et son arrestation. Il soutient également que les restrictions imposées n</w:t>
      </w:r>
      <w:r w:rsidR="00EF1EE8">
        <w:rPr>
          <w:lang w:val="fr-FR"/>
        </w:rPr>
        <w:t>’</w:t>
      </w:r>
      <w:r w:rsidRPr="00780BA1">
        <w:rPr>
          <w:lang w:val="fr-FR"/>
        </w:rPr>
        <w:t>étaient pas nécessaires dans une société démocratique dans l</w:t>
      </w:r>
      <w:r w:rsidR="00EF1EE8">
        <w:rPr>
          <w:lang w:val="fr-FR"/>
        </w:rPr>
        <w:t>’</w:t>
      </w:r>
      <w:r w:rsidRPr="00780BA1">
        <w:rPr>
          <w:lang w:val="fr-FR"/>
        </w:rPr>
        <w:t>intérêt de la sécurité nationale, de la sûreté publique, de l</w:t>
      </w:r>
      <w:r w:rsidR="00EF1EE8">
        <w:rPr>
          <w:lang w:val="fr-FR"/>
        </w:rPr>
        <w:t>’</w:t>
      </w:r>
      <w:r w:rsidRPr="00780BA1">
        <w:rPr>
          <w:lang w:val="fr-FR"/>
        </w:rPr>
        <w:t>ordre public, ou pour protéger la santé ou la moralité publiques ou les droits et les libertés d</w:t>
      </w:r>
      <w:r w:rsidR="00EF1EE8">
        <w:rPr>
          <w:lang w:val="fr-FR"/>
        </w:rPr>
        <w:t>’</w:t>
      </w:r>
      <w:r w:rsidRPr="00780BA1">
        <w:rPr>
          <w:lang w:val="fr-FR"/>
        </w:rPr>
        <w:t>autrui. S</w:t>
      </w:r>
      <w:r w:rsidR="00EF1EE8">
        <w:rPr>
          <w:lang w:val="fr-FR"/>
        </w:rPr>
        <w:t>’</w:t>
      </w:r>
      <w:r w:rsidRPr="00780BA1">
        <w:rPr>
          <w:lang w:val="fr-FR"/>
        </w:rPr>
        <w:t>il reconnaît n</w:t>
      </w:r>
      <w:r w:rsidR="00EF1EE8">
        <w:rPr>
          <w:lang w:val="fr-FR"/>
        </w:rPr>
        <w:t>’</w:t>
      </w:r>
      <w:r w:rsidRPr="00780BA1">
        <w:rPr>
          <w:lang w:val="fr-FR"/>
        </w:rPr>
        <w:t>avoir pas préalablement demandé l</w:t>
      </w:r>
      <w:r w:rsidR="00EF1EE8">
        <w:rPr>
          <w:lang w:val="fr-FR"/>
        </w:rPr>
        <w:t>’</w:t>
      </w:r>
      <w:r w:rsidRPr="00780BA1">
        <w:rPr>
          <w:lang w:val="fr-FR"/>
        </w:rPr>
        <w:t>autorisation de participer à la manifestation, l</w:t>
      </w:r>
      <w:r w:rsidR="00EF1EE8">
        <w:rPr>
          <w:lang w:val="fr-FR"/>
        </w:rPr>
        <w:t>’</w:t>
      </w:r>
      <w:r w:rsidRPr="00780BA1">
        <w:rPr>
          <w:lang w:val="fr-FR"/>
        </w:rPr>
        <w:t>auteur fait valoir que le régime juridique en vigueur au Bélarus, en vertu duquel une autorisation préalable doit être obtenue avant une manifestation, impose des restrictions inacceptables aux libertés garanties par l</w:t>
      </w:r>
      <w:r w:rsidR="00EF1EE8">
        <w:rPr>
          <w:lang w:val="fr-FR"/>
        </w:rPr>
        <w:t>’</w:t>
      </w:r>
      <w:r w:rsidRPr="00780BA1">
        <w:rPr>
          <w:lang w:val="fr-FR"/>
        </w:rPr>
        <w:t>article 21 du Pacte. Conformément à l</w:t>
      </w:r>
      <w:r w:rsidR="00EF1EE8">
        <w:rPr>
          <w:lang w:val="fr-FR"/>
        </w:rPr>
        <w:t>’</w:t>
      </w:r>
      <w:r w:rsidRPr="00780BA1">
        <w:rPr>
          <w:lang w:val="fr-FR"/>
        </w:rPr>
        <w:t>article 5 de la loi relative aux manifestations de masse, les organisateurs de manifestations sont tenus de conclure un contrat avec le Département de l</w:t>
      </w:r>
      <w:r w:rsidR="00EF1EE8">
        <w:rPr>
          <w:lang w:val="fr-FR"/>
        </w:rPr>
        <w:t>’</w:t>
      </w:r>
      <w:r w:rsidRPr="00780BA1">
        <w:rPr>
          <w:lang w:val="fr-FR"/>
        </w:rPr>
        <w:t>intérieur de l</w:t>
      </w:r>
      <w:r w:rsidR="00EF1EE8">
        <w:rPr>
          <w:lang w:val="fr-FR"/>
        </w:rPr>
        <w:t>’</w:t>
      </w:r>
      <w:r w:rsidRPr="00780BA1">
        <w:rPr>
          <w:lang w:val="fr-FR"/>
        </w:rPr>
        <w:t>administration du district (en vue d</w:t>
      </w:r>
      <w:r w:rsidR="00EF1EE8">
        <w:rPr>
          <w:lang w:val="fr-FR"/>
        </w:rPr>
        <w:t>’</w:t>
      </w:r>
      <w:r w:rsidRPr="00780BA1">
        <w:rPr>
          <w:lang w:val="fr-FR"/>
        </w:rPr>
        <w:t>assurer le maintien de l</w:t>
      </w:r>
      <w:r w:rsidR="00EF1EE8">
        <w:rPr>
          <w:lang w:val="fr-FR"/>
        </w:rPr>
        <w:t>’</w:t>
      </w:r>
      <w:r w:rsidRPr="00780BA1">
        <w:rPr>
          <w:lang w:val="fr-FR"/>
        </w:rPr>
        <w:t>ordre public pendant la manifestation), un contrat avec le Département de la santé (en vue de garantir la fourniture de soins médicaux) et un contrat avec le Département des services collectifs (en vue d</w:t>
      </w:r>
      <w:r w:rsidR="00EF1EE8">
        <w:rPr>
          <w:lang w:val="fr-FR"/>
        </w:rPr>
        <w:t>’</w:t>
      </w:r>
      <w:r w:rsidRPr="00780BA1">
        <w:rPr>
          <w:lang w:val="fr-FR"/>
        </w:rPr>
        <w:t>assurer le nettoyage du site après la manifestation). Il est en outre interdit de manifester à moins de 50 mètres de locaux diplomatiques, ce que l</w:t>
      </w:r>
      <w:r w:rsidR="00EF1EE8">
        <w:rPr>
          <w:lang w:val="fr-FR"/>
        </w:rPr>
        <w:t>’</w:t>
      </w:r>
      <w:r w:rsidRPr="00780BA1">
        <w:rPr>
          <w:lang w:val="fr-FR"/>
        </w:rPr>
        <w:t>auteur considère en l</w:t>
      </w:r>
      <w:r w:rsidR="00EF1EE8">
        <w:rPr>
          <w:lang w:val="fr-FR"/>
        </w:rPr>
        <w:t>’</w:t>
      </w:r>
      <w:r w:rsidRPr="00780BA1">
        <w:rPr>
          <w:lang w:val="fr-FR"/>
        </w:rPr>
        <w:t>espèce inacceptable, puisque la manifestation aurait perdu tout son sens</w:t>
      </w:r>
      <w:r>
        <w:rPr>
          <w:lang w:val="fr-FR"/>
        </w:rPr>
        <w:t xml:space="preserve"> </w:t>
      </w:r>
      <w:r w:rsidRPr="00780BA1">
        <w:rPr>
          <w:lang w:val="fr-FR"/>
        </w:rPr>
        <w:t>si elle s</w:t>
      </w:r>
      <w:r w:rsidR="00EF1EE8">
        <w:rPr>
          <w:lang w:val="fr-FR"/>
        </w:rPr>
        <w:t>’</w:t>
      </w:r>
      <w:r w:rsidRPr="00780BA1">
        <w:rPr>
          <w:lang w:val="fr-FR"/>
        </w:rPr>
        <w:t>était tenue ailleurs.</w:t>
      </w:r>
    </w:p>
    <w:p w:rsidR="00780BA1" w:rsidRPr="00780BA1" w:rsidRDefault="00780BA1" w:rsidP="00780BA1">
      <w:pPr>
        <w:pStyle w:val="SingleTxtG"/>
        <w:rPr>
          <w:lang w:val="fr-FR"/>
        </w:rPr>
      </w:pPr>
      <w:r w:rsidRPr="00780BA1">
        <w:rPr>
          <w:lang w:val="fr-FR"/>
        </w:rPr>
        <w:t>3.2</w:t>
      </w:r>
      <w:r w:rsidRPr="00780BA1">
        <w:rPr>
          <w:lang w:val="fr-FR"/>
        </w:rPr>
        <w:tab/>
        <w:t>L</w:t>
      </w:r>
      <w:r w:rsidR="00EF1EE8">
        <w:rPr>
          <w:lang w:val="fr-FR"/>
        </w:rPr>
        <w:t>’</w:t>
      </w:r>
      <w:r w:rsidRPr="00780BA1">
        <w:rPr>
          <w:lang w:val="fr-FR"/>
        </w:rPr>
        <w:t>auteur affirme également que son arrestation et sa condamnation constituent une violation du droit à la liberté d</w:t>
      </w:r>
      <w:r w:rsidR="00EF1EE8">
        <w:rPr>
          <w:lang w:val="fr-FR"/>
        </w:rPr>
        <w:t>’</w:t>
      </w:r>
      <w:r w:rsidRPr="00780BA1">
        <w:rPr>
          <w:lang w:val="fr-FR"/>
        </w:rPr>
        <w:t>expression qu</w:t>
      </w:r>
      <w:r w:rsidR="00EF1EE8">
        <w:rPr>
          <w:lang w:val="fr-FR"/>
        </w:rPr>
        <w:t>’</w:t>
      </w:r>
      <w:r w:rsidRPr="00780BA1">
        <w:rPr>
          <w:lang w:val="fr-FR"/>
        </w:rPr>
        <w:t>il tient de l</w:t>
      </w:r>
      <w:r w:rsidR="00EF1EE8">
        <w:rPr>
          <w:lang w:val="fr-FR"/>
        </w:rPr>
        <w:t>’</w:t>
      </w:r>
      <w:r w:rsidRPr="00780BA1">
        <w:rPr>
          <w:lang w:val="fr-FR"/>
        </w:rPr>
        <w:t>article 19 du Pacte. Il renvoie aux constatations du Comité</w:t>
      </w:r>
      <w:r w:rsidRPr="00780BA1">
        <w:rPr>
          <w:rStyle w:val="FootnoteReference"/>
        </w:rPr>
        <w:footnoteReference w:id="4"/>
      </w:r>
      <w:r w:rsidRPr="00780BA1">
        <w:rPr>
          <w:lang w:val="fr-FR"/>
        </w:rPr>
        <w:t xml:space="preserve"> dans lesquelles celui-ci a conclu à une violation dudit article, bien que les juridictions nationales en question aient agi conforméme</w:t>
      </w:r>
      <w:r>
        <w:rPr>
          <w:lang w:val="fr-FR"/>
        </w:rPr>
        <w:t>nt à la législation interne, et </w:t>
      </w:r>
      <w:r w:rsidRPr="00780BA1">
        <w:rPr>
          <w:lang w:val="fr-FR"/>
        </w:rPr>
        <w:t>ses constatations</w:t>
      </w:r>
      <w:r w:rsidRPr="00780BA1">
        <w:rPr>
          <w:rStyle w:val="FootnoteReference"/>
        </w:rPr>
        <w:footnoteReference w:id="5"/>
      </w:r>
      <w:r w:rsidRPr="00780BA1">
        <w:rPr>
          <w:lang w:val="fr-FR"/>
        </w:rPr>
        <w:t xml:space="preserve"> dans lesquelles il a jugé incompatible avec le Pacte le fait que l</w:t>
      </w:r>
      <w:r w:rsidR="00EF1EE8">
        <w:rPr>
          <w:lang w:val="fr-FR"/>
        </w:rPr>
        <w:t>’</w:t>
      </w:r>
      <w:r w:rsidRPr="00780BA1">
        <w:rPr>
          <w:lang w:val="fr-FR"/>
        </w:rPr>
        <w:t>État partie fasse prévaloir l</w:t>
      </w:r>
      <w:r w:rsidR="00EF1EE8">
        <w:rPr>
          <w:lang w:val="fr-FR"/>
        </w:rPr>
        <w:t>’</w:t>
      </w:r>
      <w:r w:rsidRPr="00780BA1">
        <w:rPr>
          <w:lang w:val="fr-FR"/>
        </w:rPr>
        <w:t>application de la législation nationale sur les obligations qui lui incombent en vertu du Pacte. L</w:t>
      </w:r>
      <w:r w:rsidR="00EF1EE8">
        <w:rPr>
          <w:lang w:val="fr-FR"/>
        </w:rPr>
        <w:t>’</w:t>
      </w:r>
      <w:r w:rsidRPr="00780BA1">
        <w:rPr>
          <w:lang w:val="fr-FR"/>
        </w:rPr>
        <w:t>auteur affirme en outre que le Bélarus n</w:t>
      </w:r>
      <w:r w:rsidR="00EF1EE8">
        <w:rPr>
          <w:lang w:val="fr-FR"/>
        </w:rPr>
        <w:t>’</w:t>
      </w:r>
      <w:r w:rsidRPr="00780BA1">
        <w:rPr>
          <w:lang w:val="fr-FR"/>
        </w:rPr>
        <w:t>a pas signalé comme l</w:t>
      </w:r>
      <w:r w:rsidR="00EF1EE8">
        <w:rPr>
          <w:lang w:val="fr-FR"/>
        </w:rPr>
        <w:t>’</w:t>
      </w:r>
      <w:r w:rsidRPr="00780BA1">
        <w:rPr>
          <w:lang w:val="fr-FR"/>
        </w:rPr>
        <w:t>exige le paragraphe 3 de l</w:t>
      </w:r>
      <w:r w:rsidR="00EF1EE8">
        <w:rPr>
          <w:lang w:val="fr-FR"/>
        </w:rPr>
        <w:t>’</w:t>
      </w:r>
      <w:r w:rsidRPr="00780BA1">
        <w:rPr>
          <w:lang w:val="fr-FR"/>
        </w:rPr>
        <w:t>article 4 du Pacte qu</w:t>
      </w:r>
      <w:r w:rsidR="00EF1EE8">
        <w:rPr>
          <w:lang w:val="fr-FR"/>
        </w:rPr>
        <w:t>’</w:t>
      </w:r>
      <w:r w:rsidRPr="00780BA1">
        <w:rPr>
          <w:lang w:val="fr-FR"/>
        </w:rPr>
        <w:t xml:space="preserve">il se prévalait du droit de déroger à certains droits en </w:t>
      </w:r>
      <w:r>
        <w:rPr>
          <w:lang w:val="fr-FR"/>
        </w:rPr>
        <w:t>cas d</w:t>
      </w:r>
      <w:r w:rsidR="00EF1EE8">
        <w:rPr>
          <w:lang w:val="fr-FR"/>
        </w:rPr>
        <w:t>’</w:t>
      </w:r>
      <w:r>
        <w:rPr>
          <w:lang w:val="fr-FR"/>
        </w:rPr>
        <w:t>état d</w:t>
      </w:r>
      <w:r w:rsidR="00EF1EE8">
        <w:rPr>
          <w:lang w:val="fr-FR"/>
        </w:rPr>
        <w:t>’</w:t>
      </w:r>
      <w:r>
        <w:rPr>
          <w:lang w:val="fr-FR"/>
        </w:rPr>
        <w:t>urgence</w:t>
      </w:r>
      <w:r w:rsidRPr="00780BA1">
        <w:rPr>
          <w:lang w:val="fr-FR"/>
        </w:rPr>
        <w:t xml:space="preserve">. </w:t>
      </w:r>
    </w:p>
    <w:p w:rsidR="00780BA1" w:rsidRPr="00780BA1" w:rsidRDefault="00780BA1" w:rsidP="00780BA1">
      <w:pPr>
        <w:pStyle w:val="H23G"/>
        <w:rPr>
          <w:lang w:val="fr-FR"/>
        </w:rPr>
      </w:pPr>
      <w:r w:rsidRPr="00780BA1">
        <w:rPr>
          <w:lang w:val="fr-FR"/>
        </w:rPr>
        <w:tab/>
      </w:r>
      <w:r w:rsidRPr="00780BA1">
        <w:rPr>
          <w:lang w:val="fr-FR"/>
        </w:rPr>
        <w:tab/>
        <w:t>Observations de l</w:t>
      </w:r>
      <w:r w:rsidR="00EF1EE8">
        <w:rPr>
          <w:lang w:val="fr-FR"/>
        </w:rPr>
        <w:t>’</w:t>
      </w:r>
      <w:r w:rsidRPr="00780BA1">
        <w:rPr>
          <w:lang w:val="fr-FR"/>
        </w:rPr>
        <w:t>État partie sur la recevabilité</w:t>
      </w:r>
    </w:p>
    <w:p w:rsidR="00780BA1" w:rsidRPr="00780BA1" w:rsidRDefault="00780BA1" w:rsidP="00EF1EE8">
      <w:pPr>
        <w:pStyle w:val="SingleTxtG"/>
        <w:spacing w:after="100"/>
        <w:rPr>
          <w:lang w:val="fr-FR"/>
        </w:rPr>
      </w:pPr>
      <w:r w:rsidRPr="00780BA1">
        <w:rPr>
          <w:lang w:val="fr-FR"/>
        </w:rPr>
        <w:t>4.1</w:t>
      </w:r>
      <w:r w:rsidRPr="00780BA1">
        <w:rPr>
          <w:lang w:val="fr-FR"/>
        </w:rPr>
        <w:tab/>
        <w:t>Dans une note verbale datée du 5 octobre 2011, l</w:t>
      </w:r>
      <w:r w:rsidR="00EF1EE8">
        <w:rPr>
          <w:lang w:val="fr-FR"/>
        </w:rPr>
        <w:t>’</w:t>
      </w:r>
      <w:r w:rsidRPr="00780BA1">
        <w:rPr>
          <w:lang w:val="fr-FR"/>
        </w:rPr>
        <w:t>État partie a fait valoir qu</w:t>
      </w:r>
      <w:r w:rsidR="00EF1EE8">
        <w:rPr>
          <w:lang w:val="fr-FR"/>
        </w:rPr>
        <w:t>’</w:t>
      </w:r>
      <w:r w:rsidRPr="00780BA1">
        <w:rPr>
          <w:lang w:val="fr-FR"/>
        </w:rPr>
        <w:t>il n</w:t>
      </w:r>
      <w:r w:rsidR="00EF1EE8">
        <w:rPr>
          <w:lang w:val="fr-FR"/>
        </w:rPr>
        <w:t>’</w:t>
      </w:r>
      <w:r w:rsidRPr="00780BA1">
        <w:rPr>
          <w:lang w:val="fr-FR"/>
        </w:rPr>
        <w:t>existait pas de motif de droit d</w:t>
      </w:r>
      <w:r w:rsidR="00EF1EE8">
        <w:rPr>
          <w:lang w:val="fr-FR"/>
        </w:rPr>
        <w:t>’</w:t>
      </w:r>
      <w:r w:rsidRPr="00780BA1">
        <w:rPr>
          <w:lang w:val="fr-FR"/>
        </w:rPr>
        <w:t>examiner la communication du point de vue de la recevabilité ou sur le fond étant donné qu</w:t>
      </w:r>
      <w:r w:rsidR="00EF1EE8">
        <w:rPr>
          <w:lang w:val="fr-FR"/>
        </w:rPr>
        <w:t>’</w:t>
      </w:r>
      <w:r w:rsidRPr="00780BA1">
        <w:rPr>
          <w:lang w:val="fr-FR"/>
        </w:rPr>
        <w:t>elle avait été enregistrée par le Comité en violation de l</w:t>
      </w:r>
      <w:r w:rsidR="00EF1EE8">
        <w:rPr>
          <w:lang w:val="fr-FR"/>
        </w:rPr>
        <w:t>’</w:t>
      </w:r>
      <w:r w:rsidRPr="00780BA1">
        <w:rPr>
          <w:lang w:val="fr-FR"/>
        </w:rPr>
        <w:t>article premier du Protocole facultatif. Selon l</w:t>
      </w:r>
      <w:r w:rsidR="00EF1EE8">
        <w:rPr>
          <w:lang w:val="fr-FR"/>
        </w:rPr>
        <w:t>’</w:t>
      </w:r>
      <w:r w:rsidRPr="00780BA1">
        <w:rPr>
          <w:lang w:val="fr-FR"/>
        </w:rPr>
        <w:t>État partie, l</w:t>
      </w:r>
      <w:r w:rsidR="00EF1EE8">
        <w:rPr>
          <w:lang w:val="fr-FR"/>
        </w:rPr>
        <w:t>’</w:t>
      </w:r>
      <w:r w:rsidRPr="00780BA1">
        <w:rPr>
          <w:lang w:val="fr-FR"/>
        </w:rPr>
        <w:t>auteur n</w:t>
      </w:r>
      <w:r w:rsidR="00EF1EE8">
        <w:rPr>
          <w:lang w:val="fr-FR"/>
        </w:rPr>
        <w:t>’</w:t>
      </w:r>
      <w:r w:rsidRPr="00780BA1">
        <w:rPr>
          <w:lang w:val="fr-FR"/>
        </w:rPr>
        <w:t>avait pas épuisé tous les recours internes disponibles comme l</w:t>
      </w:r>
      <w:r w:rsidR="00EF1EE8">
        <w:rPr>
          <w:lang w:val="fr-FR"/>
        </w:rPr>
        <w:t>’</w:t>
      </w:r>
      <w:r w:rsidRPr="00780BA1">
        <w:rPr>
          <w:lang w:val="fr-FR"/>
        </w:rPr>
        <w:t>exige l</w:t>
      </w:r>
      <w:r w:rsidR="00EF1EE8">
        <w:rPr>
          <w:lang w:val="fr-FR"/>
        </w:rPr>
        <w:t>’</w:t>
      </w:r>
      <w:r w:rsidRPr="00780BA1">
        <w:rPr>
          <w:lang w:val="fr-FR"/>
        </w:rPr>
        <w:t>article 2 du Protocole facultatif puisqu</w:t>
      </w:r>
      <w:r w:rsidR="00EF1EE8">
        <w:rPr>
          <w:lang w:val="fr-FR"/>
        </w:rPr>
        <w:t>’</w:t>
      </w:r>
      <w:r w:rsidRPr="00780BA1">
        <w:rPr>
          <w:lang w:val="fr-FR"/>
        </w:rPr>
        <w:t>il n</w:t>
      </w:r>
      <w:r w:rsidR="00EF1EE8">
        <w:rPr>
          <w:lang w:val="fr-FR"/>
        </w:rPr>
        <w:t>’</w:t>
      </w:r>
      <w:r w:rsidRPr="00780BA1">
        <w:rPr>
          <w:lang w:val="fr-FR"/>
        </w:rPr>
        <w:t>avait pas saisi le Bureau du Procureur au titre de la procédure de contrôle pour contester les décisions rendues par les juridictions inférieures dans son affaire.</w:t>
      </w:r>
    </w:p>
    <w:p w:rsidR="00780BA1" w:rsidRPr="00780BA1" w:rsidRDefault="00780BA1" w:rsidP="00EF1EE8">
      <w:pPr>
        <w:pStyle w:val="SingleTxtG"/>
        <w:spacing w:after="100"/>
        <w:rPr>
          <w:lang w:val="fr-FR"/>
        </w:rPr>
      </w:pPr>
      <w:r w:rsidRPr="00780BA1">
        <w:rPr>
          <w:lang w:val="fr-FR"/>
        </w:rPr>
        <w:t>4.2</w:t>
      </w:r>
      <w:r w:rsidRPr="00780BA1">
        <w:rPr>
          <w:lang w:val="fr-FR"/>
        </w:rPr>
        <w:tab/>
        <w:t>Dans une note verbale datée du 25 janvier 2012, l</w:t>
      </w:r>
      <w:r w:rsidR="00EF1EE8">
        <w:rPr>
          <w:lang w:val="fr-FR"/>
        </w:rPr>
        <w:t>’</w:t>
      </w:r>
      <w:r w:rsidRPr="00780BA1">
        <w:rPr>
          <w:lang w:val="fr-FR"/>
        </w:rPr>
        <w:t>État partie a réaffirmé qu</w:t>
      </w:r>
      <w:r w:rsidR="00EF1EE8">
        <w:rPr>
          <w:lang w:val="fr-FR"/>
        </w:rPr>
        <w:t>’</w:t>
      </w:r>
      <w:r w:rsidRPr="00780BA1">
        <w:rPr>
          <w:lang w:val="fr-FR"/>
        </w:rPr>
        <w:t>il considérait que la communication était irrecevable, soulignant qu</w:t>
      </w:r>
      <w:r w:rsidR="00EF1EE8">
        <w:rPr>
          <w:lang w:val="fr-FR"/>
        </w:rPr>
        <w:t>’</w:t>
      </w:r>
      <w:r w:rsidRPr="00780BA1">
        <w:rPr>
          <w:lang w:val="fr-FR"/>
        </w:rPr>
        <w:t>il estimait qu</w:t>
      </w:r>
      <w:r w:rsidR="00EF1EE8">
        <w:rPr>
          <w:lang w:val="fr-FR"/>
        </w:rPr>
        <w:t>’</w:t>
      </w:r>
      <w:r w:rsidRPr="00780BA1">
        <w:rPr>
          <w:lang w:val="fr-FR"/>
        </w:rPr>
        <w:t>elle avait été enregistrée en violation du Protocole facultatif.</w:t>
      </w:r>
    </w:p>
    <w:p w:rsidR="00780BA1" w:rsidRPr="00780BA1" w:rsidRDefault="00780BA1" w:rsidP="00EF1EE8">
      <w:pPr>
        <w:pStyle w:val="SingleTxtG"/>
        <w:spacing w:after="100"/>
        <w:rPr>
          <w:lang w:val="fr-FR"/>
        </w:rPr>
      </w:pPr>
      <w:r w:rsidRPr="00780BA1">
        <w:rPr>
          <w:lang w:val="fr-FR"/>
        </w:rPr>
        <w:t>4.3</w:t>
      </w:r>
      <w:r w:rsidRPr="00780BA1">
        <w:rPr>
          <w:lang w:val="fr-FR"/>
        </w:rPr>
        <w:tab/>
      </w:r>
      <w:r w:rsidRPr="00780BA1">
        <w:rPr>
          <w:spacing w:val="-2"/>
          <w:lang w:val="fr-FR"/>
        </w:rPr>
        <w:t>En particulier, il fait valoir que lorsqu</w:t>
      </w:r>
      <w:r w:rsidR="00EF1EE8">
        <w:rPr>
          <w:spacing w:val="-2"/>
          <w:lang w:val="fr-FR"/>
        </w:rPr>
        <w:t>’</w:t>
      </w:r>
      <w:r w:rsidRPr="00780BA1">
        <w:rPr>
          <w:spacing w:val="-2"/>
          <w:lang w:val="fr-FR"/>
        </w:rPr>
        <w:t>il est devenu partie au Protocole facultatif, il a reconnu la compétence du Comité en vertu de l</w:t>
      </w:r>
      <w:r w:rsidR="00EF1EE8">
        <w:rPr>
          <w:spacing w:val="-2"/>
          <w:lang w:val="fr-FR"/>
        </w:rPr>
        <w:t>’</w:t>
      </w:r>
      <w:r w:rsidRPr="00780BA1">
        <w:rPr>
          <w:spacing w:val="-2"/>
          <w:lang w:val="fr-FR"/>
        </w:rPr>
        <w:t>article premier, mais que cette compétence est reconnue sous réserve d</w:t>
      </w:r>
      <w:r w:rsidR="00EF1EE8">
        <w:rPr>
          <w:spacing w:val="-2"/>
          <w:lang w:val="fr-FR"/>
        </w:rPr>
        <w:t>’</w:t>
      </w:r>
      <w:r w:rsidRPr="00780BA1">
        <w:rPr>
          <w:spacing w:val="-2"/>
          <w:lang w:val="fr-FR"/>
        </w:rPr>
        <w:t>autres dispositions du Protocole facultatif, notamment celles qui énoncent les conditions à remplir par les auteurs des communications et les critères de recevabilité, en particulier les articles 2 et 5 de cet instrument. Il soutient que le Protocole facultatif ne fait pas obligation aux États parties d</w:t>
      </w:r>
      <w:r w:rsidR="00EF1EE8">
        <w:rPr>
          <w:spacing w:val="-2"/>
          <w:lang w:val="fr-FR"/>
        </w:rPr>
        <w:t>’</w:t>
      </w:r>
      <w:r w:rsidRPr="00780BA1">
        <w:rPr>
          <w:spacing w:val="-2"/>
          <w:lang w:val="fr-FR"/>
        </w:rPr>
        <w:t>accepter le règlement intérieur du Comité et l</w:t>
      </w:r>
      <w:r w:rsidR="00EF1EE8">
        <w:rPr>
          <w:spacing w:val="-2"/>
          <w:lang w:val="fr-FR"/>
        </w:rPr>
        <w:t>’</w:t>
      </w:r>
      <w:r w:rsidRPr="00780BA1">
        <w:rPr>
          <w:spacing w:val="-2"/>
          <w:lang w:val="fr-FR"/>
        </w:rPr>
        <w:t>interprétation que fait le Comité des dispositions du Protocole facultatif, qui n</w:t>
      </w:r>
      <w:r w:rsidR="00EF1EE8">
        <w:rPr>
          <w:spacing w:val="-2"/>
          <w:lang w:val="fr-FR"/>
        </w:rPr>
        <w:t>’</w:t>
      </w:r>
      <w:r w:rsidRPr="00780BA1">
        <w:rPr>
          <w:spacing w:val="-2"/>
          <w:lang w:val="fr-FR"/>
        </w:rPr>
        <w:t>est applicable que lorsqu</w:t>
      </w:r>
      <w:r w:rsidR="00EF1EE8">
        <w:rPr>
          <w:spacing w:val="-2"/>
          <w:lang w:val="fr-FR"/>
        </w:rPr>
        <w:t>’</w:t>
      </w:r>
      <w:r w:rsidRPr="00780BA1">
        <w:rPr>
          <w:spacing w:val="-2"/>
          <w:lang w:val="fr-FR"/>
        </w:rPr>
        <w:t>elle est conforme à la Convention de Vienne sur le droit des traités. Il affirme que, en ce qui concerne la procédure d</w:t>
      </w:r>
      <w:r w:rsidR="00EF1EE8">
        <w:rPr>
          <w:spacing w:val="-2"/>
          <w:lang w:val="fr-FR"/>
        </w:rPr>
        <w:t>’</w:t>
      </w:r>
      <w:r w:rsidRPr="00780BA1">
        <w:rPr>
          <w:spacing w:val="-2"/>
          <w:lang w:val="fr-FR"/>
        </w:rPr>
        <w:t>examen des communications, les États parties doivent s</w:t>
      </w:r>
      <w:r w:rsidR="00EF1EE8">
        <w:rPr>
          <w:spacing w:val="-2"/>
          <w:lang w:val="fr-FR"/>
        </w:rPr>
        <w:t>’</w:t>
      </w:r>
      <w:r w:rsidRPr="00780BA1">
        <w:rPr>
          <w:spacing w:val="-2"/>
          <w:lang w:val="fr-FR"/>
        </w:rPr>
        <w:t>appuyer en premier lieu sur les dispositions du Protocole facultatif et que la pratique bien établie du Comité, ses méthodes de travail et sa jurisprudence, auxquelles celui-c</w:t>
      </w:r>
      <w:r>
        <w:rPr>
          <w:spacing w:val="-2"/>
          <w:lang w:val="fr-FR"/>
        </w:rPr>
        <w:t>i renvoie, ne </w:t>
      </w:r>
      <w:r w:rsidRPr="00780BA1">
        <w:rPr>
          <w:spacing w:val="-2"/>
          <w:lang w:val="fr-FR"/>
        </w:rPr>
        <w:t>relèvent pas du Protocole facultatif. L</w:t>
      </w:r>
      <w:r w:rsidR="00EF1EE8">
        <w:rPr>
          <w:spacing w:val="-2"/>
          <w:lang w:val="fr-FR"/>
        </w:rPr>
        <w:t>’</w:t>
      </w:r>
      <w:r w:rsidRPr="00780BA1">
        <w:rPr>
          <w:spacing w:val="-2"/>
          <w:lang w:val="fr-FR"/>
        </w:rPr>
        <w:t>État partie ajoute qu</w:t>
      </w:r>
      <w:r w:rsidR="00EF1EE8">
        <w:rPr>
          <w:spacing w:val="-2"/>
          <w:lang w:val="fr-FR"/>
        </w:rPr>
        <w:t>’</w:t>
      </w:r>
      <w:r w:rsidRPr="00780BA1">
        <w:rPr>
          <w:spacing w:val="-2"/>
          <w:lang w:val="fr-FR"/>
        </w:rPr>
        <w:t>il considérera toute communication enregistrée en violation des dispositions du Protocole facultatif comme incompatible avec celui-ci et qu</w:t>
      </w:r>
      <w:r w:rsidR="00EF1EE8">
        <w:rPr>
          <w:spacing w:val="-2"/>
          <w:lang w:val="fr-FR"/>
        </w:rPr>
        <w:t>’</w:t>
      </w:r>
      <w:r w:rsidRPr="00780BA1">
        <w:rPr>
          <w:spacing w:val="-2"/>
          <w:lang w:val="fr-FR"/>
        </w:rPr>
        <w:t>il la rejettera sans faire d</w:t>
      </w:r>
      <w:r w:rsidR="00EF1EE8">
        <w:rPr>
          <w:spacing w:val="-2"/>
          <w:lang w:val="fr-FR"/>
        </w:rPr>
        <w:t>’</w:t>
      </w:r>
      <w:r w:rsidRPr="00780BA1">
        <w:rPr>
          <w:spacing w:val="-2"/>
          <w:lang w:val="fr-FR"/>
        </w:rPr>
        <w:t>observations sur la recevabilité ou sur le fond. Il déclare que les décisions prises par le Comité au sujet de communications ainsi «rejetées» seront considérées par ses autorités comme «non valides».</w:t>
      </w:r>
    </w:p>
    <w:p w:rsidR="00780BA1" w:rsidRPr="00780BA1" w:rsidRDefault="00780BA1" w:rsidP="00780BA1">
      <w:pPr>
        <w:pStyle w:val="H23G"/>
        <w:rPr>
          <w:lang w:val="fr-FR"/>
        </w:rPr>
      </w:pPr>
      <w:r w:rsidRPr="00780BA1">
        <w:rPr>
          <w:lang w:val="fr-FR"/>
        </w:rPr>
        <w:tab/>
      </w:r>
      <w:r w:rsidRPr="00780BA1">
        <w:rPr>
          <w:lang w:val="fr-FR"/>
        </w:rPr>
        <w:tab/>
        <w:t>Délibérations du Comité</w:t>
      </w:r>
    </w:p>
    <w:p w:rsidR="00780BA1" w:rsidRPr="00780BA1" w:rsidRDefault="00780BA1" w:rsidP="00780BA1">
      <w:pPr>
        <w:pStyle w:val="H4G"/>
        <w:rPr>
          <w:lang w:val="fr-FR"/>
        </w:rPr>
      </w:pPr>
      <w:r w:rsidRPr="00780BA1">
        <w:rPr>
          <w:lang w:val="fr-FR"/>
        </w:rPr>
        <w:tab/>
      </w:r>
      <w:r w:rsidRPr="00780BA1">
        <w:rPr>
          <w:lang w:val="fr-FR"/>
        </w:rPr>
        <w:tab/>
        <w:t>Défaut de coopération de l</w:t>
      </w:r>
      <w:r w:rsidR="00EF1EE8">
        <w:rPr>
          <w:lang w:val="fr-FR"/>
        </w:rPr>
        <w:t>’</w:t>
      </w:r>
      <w:r w:rsidRPr="00780BA1">
        <w:rPr>
          <w:lang w:val="fr-FR"/>
        </w:rPr>
        <w:t>État partie</w:t>
      </w:r>
    </w:p>
    <w:p w:rsidR="00780BA1" w:rsidRPr="00780BA1" w:rsidRDefault="00780BA1" w:rsidP="00780BA1">
      <w:pPr>
        <w:pStyle w:val="SingleTxtG"/>
        <w:rPr>
          <w:lang w:val="fr-FR"/>
        </w:rPr>
      </w:pPr>
      <w:r w:rsidRPr="00780BA1">
        <w:rPr>
          <w:lang w:val="fr-FR"/>
        </w:rPr>
        <w:t>5.1</w:t>
      </w:r>
      <w:r w:rsidRPr="00780BA1">
        <w:rPr>
          <w:lang w:val="fr-FR"/>
        </w:rPr>
        <w:tab/>
      </w:r>
      <w:r w:rsidRPr="00EF1EE8">
        <w:rPr>
          <w:spacing w:val="-2"/>
          <w:lang w:val="fr-FR"/>
        </w:rPr>
        <w:t>Le Comité prend note de l</w:t>
      </w:r>
      <w:r w:rsidR="00EF1EE8">
        <w:rPr>
          <w:spacing w:val="-2"/>
          <w:lang w:val="fr-FR"/>
        </w:rPr>
        <w:t>’</w:t>
      </w:r>
      <w:r w:rsidRPr="00EF1EE8">
        <w:rPr>
          <w:spacing w:val="-2"/>
          <w:lang w:val="fr-FR"/>
        </w:rPr>
        <w:t>objection de l</w:t>
      </w:r>
      <w:r w:rsidR="00EF1EE8">
        <w:rPr>
          <w:spacing w:val="-2"/>
          <w:lang w:val="fr-FR"/>
        </w:rPr>
        <w:t>’</w:t>
      </w:r>
      <w:r w:rsidRPr="00EF1EE8">
        <w:rPr>
          <w:spacing w:val="-2"/>
          <w:lang w:val="fr-FR"/>
        </w:rPr>
        <w:t>État partie, qui affirme qu</w:t>
      </w:r>
      <w:r w:rsidR="00EF1EE8">
        <w:rPr>
          <w:spacing w:val="-2"/>
          <w:lang w:val="fr-FR"/>
        </w:rPr>
        <w:t>’</w:t>
      </w:r>
      <w:r w:rsidRPr="00EF1EE8">
        <w:rPr>
          <w:spacing w:val="-2"/>
          <w:lang w:val="fr-FR"/>
        </w:rPr>
        <w:t>il n</w:t>
      </w:r>
      <w:r w:rsidR="00EF1EE8">
        <w:rPr>
          <w:spacing w:val="-2"/>
          <w:lang w:val="fr-FR"/>
        </w:rPr>
        <w:t>’</w:t>
      </w:r>
      <w:r w:rsidRPr="00EF1EE8">
        <w:rPr>
          <w:spacing w:val="-2"/>
          <w:lang w:val="fr-FR"/>
        </w:rPr>
        <w:t>existe pas de motif de droit d</w:t>
      </w:r>
      <w:r w:rsidR="00EF1EE8">
        <w:rPr>
          <w:spacing w:val="-2"/>
          <w:lang w:val="fr-FR"/>
        </w:rPr>
        <w:t>’</w:t>
      </w:r>
      <w:r w:rsidRPr="00EF1EE8">
        <w:rPr>
          <w:spacing w:val="-2"/>
          <w:lang w:val="fr-FR"/>
        </w:rPr>
        <w:t>examiner la communication présentée par l</w:t>
      </w:r>
      <w:r w:rsidR="00EF1EE8">
        <w:rPr>
          <w:spacing w:val="-2"/>
          <w:lang w:val="fr-FR"/>
        </w:rPr>
        <w:t>’</w:t>
      </w:r>
      <w:r w:rsidRPr="00EF1EE8">
        <w:rPr>
          <w:spacing w:val="-2"/>
          <w:lang w:val="fr-FR"/>
        </w:rPr>
        <w:t>auteur puisque celle-ci a été enregistrée en violation des dispositions du Protocole facultatif, du fait que l</w:t>
      </w:r>
      <w:r w:rsidR="00EF1EE8">
        <w:rPr>
          <w:spacing w:val="-2"/>
          <w:lang w:val="fr-FR"/>
        </w:rPr>
        <w:t>’</w:t>
      </w:r>
      <w:r w:rsidRPr="00EF1EE8">
        <w:rPr>
          <w:spacing w:val="-2"/>
          <w:lang w:val="fr-FR"/>
        </w:rPr>
        <w:t>auteur n</w:t>
      </w:r>
      <w:r w:rsidR="00EF1EE8">
        <w:rPr>
          <w:spacing w:val="-2"/>
          <w:lang w:val="fr-FR"/>
        </w:rPr>
        <w:t>’</w:t>
      </w:r>
      <w:r w:rsidRPr="00EF1EE8">
        <w:rPr>
          <w:spacing w:val="-2"/>
          <w:lang w:val="fr-FR"/>
        </w:rPr>
        <w:t>a pas épuisé les recours internes disponibles; qu</w:t>
      </w:r>
      <w:r w:rsidR="00EF1EE8">
        <w:rPr>
          <w:spacing w:val="-2"/>
          <w:lang w:val="fr-FR"/>
        </w:rPr>
        <w:t>’</w:t>
      </w:r>
      <w:r w:rsidRPr="00EF1EE8">
        <w:rPr>
          <w:spacing w:val="-2"/>
          <w:lang w:val="fr-FR"/>
        </w:rPr>
        <w:t>il n</w:t>
      </w:r>
      <w:r w:rsidR="00EF1EE8">
        <w:rPr>
          <w:spacing w:val="-2"/>
          <w:lang w:val="fr-FR"/>
        </w:rPr>
        <w:t>’</w:t>
      </w:r>
      <w:r w:rsidRPr="00EF1EE8">
        <w:rPr>
          <w:spacing w:val="-2"/>
          <w:lang w:val="fr-FR"/>
        </w:rPr>
        <w:t>est pas tenu d</w:t>
      </w:r>
      <w:r w:rsidR="00EF1EE8">
        <w:rPr>
          <w:spacing w:val="-2"/>
          <w:lang w:val="fr-FR"/>
        </w:rPr>
        <w:t>’</w:t>
      </w:r>
      <w:r w:rsidRPr="00EF1EE8">
        <w:rPr>
          <w:spacing w:val="-2"/>
          <w:lang w:val="fr-FR"/>
        </w:rPr>
        <w:t>accepter le règlement intérieur du Comité ni l</w:t>
      </w:r>
      <w:r w:rsidR="00EF1EE8">
        <w:rPr>
          <w:spacing w:val="-2"/>
          <w:lang w:val="fr-FR"/>
        </w:rPr>
        <w:t>’</w:t>
      </w:r>
      <w:r w:rsidRPr="00EF1EE8">
        <w:rPr>
          <w:spacing w:val="-2"/>
          <w:lang w:val="fr-FR"/>
        </w:rPr>
        <w:t>interprétation donnée par celui-ci des dispo</w:t>
      </w:r>
      <w:r w:rsidR="00EF1EE8">
        <w:rPr>
          <w:spacing w:val="-2"/>
          <w:lang w:val="fr-FR"/>
        </w:rPr>
        <w:t>sitions du Protocole facultatif; et </w:t>
      </w:r>
      <w:r w:rsidRPr="00EF1EE8">
        <w:rPr>
          <w:spacing w:val="-2"/>
          <w:lang w:val="fr-FR"/>
        </w:rPr>
        <w:t>que la décision adoptée par le Comité en l</w:t>
      </w:r>
      <w:r w:rsidR="00EF1EE8">
        <w:rPr>
          <w:spacing w:val="-2"/>
          <w:lang w:val="fr-FR"/>
        </w:rPr>
        <w:t>’</w:t>
      </w:r>
      <w:r w:rsidRPr="00EF1EE8">
        <w:rPr>
          <w:spacing w:val="-2"/>
          <w:lang w:val="fr-FR"/>
        </w:rPr>
        <w:t>espèce sera considérée par les autorités comme «non valide».</w:t>
      </w:r>
    </w:p>
    <w:p w:rsidR="00780BA1" w:rsidRPr="00780BA1" w:rsidRDefault="00780BA1" w:rsidP="00780BA1">
      <w:pPr>
        <w:pStyle w:val="SingleTxtG"/>
        <w:rPr>
          <w:lang w:val="fr-FR"/>
        </w:rPr>
      </w:pPr>
      <w:r w:rsidRPr="00780BA1">
        <w:rPr>
          <w:lang w:val="fr-FR"/>
        </w:rPr>
        <w:t>5.2</w:t>
      </w:r>
      <w:r w:rsidRPr="00780BA1">
        <w:rPr>
          <w:lang w:val="fr-FR"/>
        </w:rPr>
        <w:tab/>
        <w:t>Le Comité rappelle que le paragraphe 2 de l</w:t>
      </w:r>
      <w:r w:rsidR="00EF1EE8">
        <w:rPr>
          <w:lang w:val="fr-FR"/>
        </w:rPr>
        <w:t>’</w:t>
      </w:r>
      <w:r w:rsidRPr="00780BA1">
        <w:rPr>
          <w:lang w:val="fr-FR"/>
        </w:rPr>
        <w:t>article 39 du Pacte l</w:t>
      </w:r>
      <w:r w:rsidR="00EF1EE8">
        <w:rPr>
          <w:lang w:val="fr-FR"/>
        </w:rPr>
        <w:t>’</w:t>
      </w:r>
      <w:r w:rsidRPr="00780BA1">
        <w:rPr>
          <w:lang w:val="fr-FR"/>
        </w:rPr>
        <w:t>autorise à établir son propre règlement intérieur, que les États parties ont accepté de reconnaître. En adhérant au Protocole facultatif, tout État partie au Pacte international relatif aux droits civils et politiques reconnaît que le Comité a compétence pour recevoir et examiner des communications émanant de particuliers qui se déclarent victimes de violations de l</w:t>
      </w:r>
      <w:r w:rsidR="00EF1EE8">
        <w:rPr>
          <w:lang w:val="fr-FR"/>
        </w:rPr>
        <w:t>’</w:t>
      </w:r>
      <w:r w:rsidRPr="00780BA1">
        <w:rPr>
          <w:lang w:val="fr-FR"/>
        </w:rPr>
        <w:t>un quelconque des droits énoncés dans le Pacte (préambule et article premier). En adhérant au Protocole facultatif, les États parties s</w:t>
      </w:r>
      <w:r w:rsidR="00EF1EE8">
        <w:rPr>
          <w:lang w:val="fr-FR"/>
        </w:rPr>
        <w:t>’</w:t>
      </w:r>
      <w:r w:rsidRPr="00780BA1">
        <w:rPr>
          <w:lang w:val="fr-FR"/>
        </w:rPr>
        <w:t>engagent implicitement à coopérer de bonne foi avec le Comité pour lui permettre, en lui en donnant les moyens, d</w:t>
      </w:r>
      <w:r w:rsidR="00EF1EE8">
        <w:rPr>
          <w:lang w:val="fr-FR"/>
        </w:rPr>
        <w:t>’</w:t>
      </w:r>
      <w:r w:rsidRPr="00780BA1">
        <w:rPr>
          <w:lang w:val="fr-FR"/>
        </w:rPr>
        <w:t>examiner les communications reçues et, après l</w:t>
      </w:r>
      <w:r w:rsidR="00EF1EE8">
        <w:rPr>
          <w:lang w:val="fr-FR"/>
        </w:rPr>
        <w:t>’</w:t>
      </w:r>
      <w:r w:rsidRPr="00780BA1">
        <w:rPr>
          <w:lang w:val="fr-FR"/>
        </w:rPr>
        <w:t>examen, de faire part de ses constatations à l</w:t>
      </w:r>
      <w:r w:rsidR="00EF1EE8">
        <w:rPr>
          <w:lang w:val="fr-FR"/>
        </w:rPr>
        <w:t>’</w:t>
      </w:r>
      <w:r w:rsidRPr="00780BA1">
        <w:rPr>
          <w:lang w:val="fr-FR"/>
        </w:rPr>
        <w:t>État partie et aux intéressés (art. 5, par. 1 et 4). Pour un État partie, l</w:t>
      </w:r>
      <w:r w:rsidR="00EF1EE8">
        <w:rPr>
          <w:lang w:val="fr-FR"/>
        </w:rPr>
        <w:t>’</w:t>
      </w:r>
      <w:r w:rsidRPr="00780BA1">
        <w:rPr>
          <w:lang w:val="fr-FR"/>
        </w:rPr>
        <w:t>adoption d</w:t>
      </w:r>
      <w:r w:rsidR="00EF1EE8">
        <w:rPr>
          <w:lang w:val="fr-FR"/>
        </w:rPr>
        <w:t>’</w:t>
      </w:r>
      <w:r w:rsidRPr="00780BA1">
        <w:rPr>
          <w:lang w:val="fr-FR"/>
        </w:rPr>
        <w:t>une mesure, quelle qu</w:t>
      </w:r>
      <w:r w:rsidR="00EF1EE8">
        <w:rPr>
          <w:lang w:val="fr-FR"/>
        </w:rPr>
        <w:t>’</w:t>
      </w:r>
      <w:r>
        <w:rPr>
          <w:lang w:val="fr-FR"/>
        </w:rPr>
        <w:t>elle soit, qui </w:t>
      </w:r>
      <w:r w:rsidRPr="00780BA1">
        <w:rPr>
          <w:lang w:val="fr-FR"/>
        </w:rPr>
        <w:t>empêche le Comité de prendre connaissance d</w:t>
      </w:r>
      <w:r w:rsidR="00EF1EE8">
        <w:rPr>
          <w:lang w:val="fr-FR"/>
        </w:rPr>
        <w:t>’</w:t>
      </w:r>
      <w:r w:rsidRPr="00780BA1">
        <w:rPr>
          <w:lang w:val="fr-FR"/>
        </w:rPr>
        <w:t>une communication, d</w:t>
      </w:r>
      <w:r w:rsidR="00EF1EE8">
        <w:rPr>
          <w:lang w:val="fr-FR"/>
        </w:rPr>
        <w:t>’</w:t>
      </w:r>
      <w:r w:rsidRPr="00780BA1">
        <w:rPr>
          <w:lang w:val="fr-FR"/>
        </w:rPr>
        <w:t>en mener l</w:t>
      </w:r>
      <w:r w:rsidR="00EF1EE8">
        <w:rPr>
          <w:lang w:val="fr-FR"/>
        </w:rPr>
        <w:t>’</w:t>
      </w:r>
      <w:r w:rsidRPr="00780BA1">
        <w:rPr>
          <w:lang w:val="fr-FR"/>
        </w:rPr>
        <w:t>examen à bonne fin et de faire part de ses constatations est incompatible avec ces obligations</w:t>
      </w:r>
      <w:r w:rsidRPr="00780BA1">
        <w:rPr>
          <w:rStyle w:val="FootnoteReference"/>
        </w:rPr>
        <w:footnoteReference w:id="6"/>
      </w:r>
      <w:r w:rsidRPr="00780BA1">
        <w:rPr>
          <w:lang w:val="fr-FR"/>
        </w:rPr>
        <w:t>. C</w:t>
      </w:r>
      <w:r w:rsidR="00EF1EE8">
        <w:rPr>
          <w:lang w:val="fr-FR"/>
        </w:rPr>
        <w:t>’</w:t>
      </w:r>
      <w:r w:rsidRPr="00780BA1">
        <w:rPr>
          <w:lang w:val="fr-FR"/>
        </w:rPr>
        <w:t>est au Comité qu</w:t>
      </w:r>
      <w:r w:rsidR="00EF1EE8">
        <w:rPr>
          <w:lang w:val="fr-FR"/>
        </w:rPr>
        <w:t>’</w:t>
      </w:r>
      <w:r w:rsidRPr="00780BA1">
        <w:rPr>
          <w:lang w:val="fr-FR"/>
        </w:rPr>
        <w:t xml:space="preserve">il appartient de décider si une communication doit être enregistrée. </w:t>
      </w:r>
      <w:r>
        <w:rPr>
          <w:lang w:val="fr-FR"/>
        </w:rPr>
        <w:t>Le </w:t>
      </w:r>
      <w:r w:rsidRPr="00780BA1">
        <w:rPr>
          <w:lang w:val="fr-FR"/>
        </w:rPr>
        <w:t>Comité fait observer qu</w:t>
      </w:r>
      <w:r w:rsidR="00EF1EE8">
        <w:rPr>
          <w:lang w:val="fr-FR"/>
        </w:rPr>
        <w:t>’</w:t>
      </w:r>
      <w:r w:rsidRPr="00780BA1">
        <w:rPr>
          <w:lang w:val="fr-FR"/>
        </w:rPr>
        <w:t>en n</w:t>
      </w:r>
      <w:r w:rsidR="00EF1EE8">
        <w:rPr>
          <w:lang w:val="fr-FR"/>
        </w:rPr>
        <w:t>’</w:t>
      </w:r>
      <w:r w:rsidRPr="00780BA1">
        <w:rPr>
          <w:lang w:val="fr-FR"/>
        </w:rPr>
        <w:t>acceptant pas sa décision concernant l</w:t>
      </w:r>
      <w:r w:rsidR="00EF1EE8">
        <w:rPr>
          <w:lang w:val="fr-FR"/>
        </w:rPr>
        <w:t>’</w:t>
      </w:r>
      <w:r w:rsidRPr="00780BA1">
        <w:rPr>
          <w:lang w:val="fr-FR"/>
        </w:rPr>
        <w:t>opportunité d</w:t>
      </w:r>
      <w:r w:rsidR="00EF1EE8">
        <w:rPr>
          <w:lang w:val="fr-FR"/>
        </w:rPr>
        <w:t>’</w:t>
      </w:r>
      <w:r w:rsidRPr="00780BA1">
        <w:rPr>
          <w:lang w:val="fr-FR"/>
        </w:rPr>
        <w:t>enregistrer une communication et en déclarant à l</w:t>
      </w:r>
      <w:r w:rsidR="00EF1EE8">
        <w:rPr>
          <w:lang w:val="fr-FR"/>
        </w:rPr>
        <w:t>’</w:t>
      </w:r>
      <w:r w:rsidRPr="00780BA1">
        <w:rPr>
          <w:lang w:val="fr-FR"/>
        </w:rPr>
        <w:t>avance qu</w:t>
      </w:r>
      <w:r w:rsidR="00EF1EE8">
        <w:rPr>
          <w:lang w:val="fr-FR"/>
        </w:rPr>
        <w:t>’</w:t>
      </w:r>
      <w:r w:rsidRPr="00780BA1">
        <w:rPr>
          <w:lang w:val="fr-FR"/>
        </w:rPr>
        <w:t>il n</w:t>
      </w:r>
      <w:r w:rsidR="00EF1EE8">
        <w:rPr>
          <w:lang w:val="fr-FR"/>
        </w:rPr>
        <w:t>’</w:t>
      </w:r>
      <w:r w:rsidRPr="00780BA1">
        <w:rPr>
          <w:lang w:val="fr-FR"/>
        </w:rPr>
        <w:t>acceptera pas la décision du Comité concernant la recevabilité et le fond de cette communication, l</w:t>
      </w:r>
      <w:r w:rsidR="00EF1EE8">
        <w:rPr>
          <w:lang w:val="fr-FR"/>
        </w:rPr>
        <w:t>’</w:t>
      </w:r>
      <w:r w:rsidRPr="00780BA1">
        <w:rPr>
          <w:lang w:val="fr-FR"/>
        </w:rPr>
        <w:t>État partie viole les obligations qui lui incombent au titre de l</w:t>
      </w:r>
      <w:r w:rsidR="00EF1EE8">
        <w:rPr>
          <w:lang w:val="fr-FR"/>
        </w:rPr>
        <w:t>’</w:t>
      </w:r>
      <w:r w:rsidRPr="00780BA1">
        <w:rPr>
          <w:lang w:val="fr-FR"/>
        </w:rPr>
        <w:t>article premier du Protocole facultatif se rapportant au Pacte.</w:t>
      </w:r>
    </w:p>
    <w:p w:rsidR="00780BA1" w:rsidRPr="00780BA1" w:rsidRDefault="00780BA1" w:rsidP="00780BA1">
      <w:pPr>
        <w:pStyle w:val="H4G"/>
        <w:rPr>
          <w:lang w:val="fr-FR"/>
        </w:rPr>
      </w:pPr>
      <w:r w:rsidRPr="00780BA1">
        <w:rPr>
          <w:lang w:val="fr-FR"/>
        </w:rPr>
        <w:tab/>
      </w:r>
      <w:r w:rsidRPr="00780BA1">
        <w:rPr>
          <w:lang w:val="fr-FR"/>
        </w:rPr>
        <w:tab/>
        <w:t>Examen de la recevabilité</w:t>
      </w:r>
    </w:p>
    <w:p w:rsidR="00780BA1" w:rsidRPr="00780BA1" w:rsidRDefault="00780BA1" w:rsidP="00780BA1">
      <w:pPr>
        <w:pStyle w:val="SingleTxtG"/>
        <w:rPr>
          <w:lang w:val="fr-FR"/>
        </w:rPr>
      </w:pPr>
      <w:r w:rsidRPr="00780BA1">
        <w:rPr>
          <w:lang w:val="fr-FR"/>
        </w:rPr>
        <w:t>6.1</w:t>
      </w:r>
      <w:r w:rsidRPr="00780BA1">
        <w:rPr>
          <w:lang w:val="fr-FR"/>
        </w:rPr>
        <w:tab/>
        <w:t>Avant d</w:t>
      </w:r>
      <w:r w:rsidR="00EF1EE8">
        <w:rPr>
          <w:lang w:val="fr-FR"/>
        </w:rPr>
        <w:t>’</w:t>
      </w:r>
      <w:r w:rsidRPr="00780BA1">
        <w:rPr>
          <w:lang w:val="fr-FR"/>
        </w:rPr>
        <w:t>examiner toute plainte soumise dans une communication, le Comité des droits de l</w:t>
      </w:r>
      <w:r w:rsidR="00EF1EE8">
        <w:rPr>
          <w:lang w:val="fr-FR"/>
        </w:rPr>
        <w:t>’</w:t>
      </w:r>
      <w:r w:rsidRPr="00780BA1">
        <w:rPr>
          <w:lang w:val="fr-FR"/>
        </w:rPr>
        <w:t>homme doit, conformément à l</w:t>
      </w:r>
      <w:r w:rsidR="00EF1EE8">
        <w:rPr>
          <w:lang w:val="fr-FR"/>
        </w:rPr>
        <w:t>’</w:t>
      </w:r>
      <w:r w:rsidRPr="00780BA1">
        <w:rPr>
          <w:lang w:val="fr-FR"/>
        </w:rPr>
        <w:t>article 93 de son règlement intérieur, déterminer si la communication est recevable en vertu du Protocole facultatif se rapportant au Pacte.</w:t>
      </w:r>
    </w:p>
    <w:p w:rsidR="00780BA1" w:rsidRPr="00780BA1" w:rsidRDefault="00780BA1" w:rsidP="00780BA1">
      <w:pPr>
        <w:pStyle w:val="SingleTxtG"/>
        <w:rPr>
          <w:lang w:val="fr-FR"/>
        </w:rPr>
      </w:pPr>
      <w:r w:rsidRPr="00780BA1">
        <w:rPr>
          <w:lang w:val="fr-FR"/>
        </w:rPr>
        <w:t>6.2</w:t>
      </w:r>
      <w:r w:rsidRPr="00780BA1">
        <w:rPr>
          <w:lang w:val="fr-FR"/>
        </w:rPr>
        <w:tab/>
        <w:t>Le Comité s</w:t>
      </w:r>
      <w:r w:rsidR="00EF1EE8">
        <w:rPr>
          <w:lang w:val="fr-FR"/>
        </w:rPr>
        <w:t>’</w:t>
      </w:r>
      <w:r w:rsidRPr="00780BA1">
        <w:rPr>
          <w:lang w:val="fr-FR"/>
        </w:rPr>
        <w:t>est assuré, comme il est tenu de le faire conformément au paragraphe 2 a) de l</w:t>
      </w:r>
      <w:r w:rsidR="00EF1EE8">
        <w:rPr>
          <w:lang w:val="fr-FR"/>
        </w:rPr>
        <w:t>’</w:t>
      </w:r>
      <w:r w:rsidRPr="00780BA1">
        <w:rPr>
          <w:lang w:val="fr-FR"/>
        </w:rPr>
        <w:t>article 5 du Protocole facultatif, que la même question n</w:t>
      </w:r>
      <w:r w:rsidR="00EF1EE8">
        <w:rPr>
          <w:lang w:val="fr-FR"/>
        </w:rPr>
        <w:t>’</w:t>
      </w:r>
      <w:r w:rsidRPr="00780BA1">
        <w:rPr>
          <w:lang w:val="fr-FR"/>
        </w:rPr>
        <w:t>était pas déjà en cours d</w:t>
      </w:r>
      <w:r w:rsidR="00EF1EE8">
        <w:rPr>
          <w:lang w:val="fr-FR"/>
        </w:rPr>
        <w:t>’</w:t>
      </w:r>
      <w:r w:rsidRPr="00780BA1">
        <w:rPr>
          <w:lang w:val="fr-FR"/>
        </w:rPr>
        <w:t>examen devant une autre instance internationale d</w:t>
      </w:r>
      <w:r w:rsidR="00EF1EE8">
        <w:rPr>
          <w:lang w:val="fr-FR"/>
        </w:rPr>
        <w:t>’</w:t>
      </w:r>
      <w:r w:rsidRPr="00780BA1">
        <w:rPr>
          <w:lang w:val="fr-FR"/>
        </w:rPr>
        <w:t>enquête ou de règlement.</w:t>
      </w:r>
    </w:p>
    <w:p w:rsidR="00780BA1" w:rsidRPr="00780BA1" w:rsidRDefault="00780BA1" w:rsidP="00780BA1">
      <w:pPr>
        <w:pStyle w:val="SingleTxtG"/>
        <w:rPr>
          <w:lang w:val="fr-FR"/>
        </w:rPr>
      </w:pPr>
      <w:r w:rsidRPr="00780BA1">
        <w:rPr>
          <w:lang w:val="fr-FR"/>
        </w:rPr>
        <w:t>6.3</w:t>
      </w:r>
      <w:r w:rsidRPr="00780BA1">
        <w:rPr>
          <w:lang w:val="fr-FR"/>
        </w:rPr>
        <w:tab/>
        <w:t>Le Comité prend note de l</w:t>
      </w:r>
      <w:r w:rsidR="00EF1EE8">
        <w:rPr>
          <w:lang w:val="fr-FR"/>
        </w:rPr>
        <w:t>’</w:t>
      </w:r>
      <w:r w:rsidRPr="00780BA1">
        <w:rPr>
          <w:lang w:val="fr-FR"/>
        </w:rPr>
        <w:t>argument de l</w:t>
      </w:r>
      <w:r w:rsidR="00EF1EE8">
        <w:rPr>
          <w:lang w:val="fr-FR"/>
        </w:rPr>
        <w:t>’</w:t>
      </w:r>
      <w:r w:rsidRPr="00780BA1">
        <w:rPr>
          <w:lang w:val="fr-FR"/>
        </w:rPr>
        <w:t>État partie selon lequel l</w:t>
      </w:r>
      <w:r w:rsidR="00EF1EE8">
        <w:rPr>
          <w:lang w:val="fr-FR"/>
        </w:rPr>
        <w:t>’</w:t>
      </w:r>
      <w:r w:rsidRPr="00780BA1">
        <w:rPr>
          <w:lang w:val="fr-FR"/>
        </w:rPr>
        <w:t>auteur aurait dû demander au Bureau du Procureur d</w:t>
      </w:r>
      <w:r w:rsidR="00EF1EE8">
        <w:rPr>
          <w:lang w:val="fr-FR"/>
        </w:rPr>
        <w:t>’</w:t>
      </w:r>
      <w:r w:rsidRPr="00780BA1">
        <w:rPr>
          <w:lang w:val="fr-FR"/>
        </w:rPr>
        <w:t>engager une procédure de contrôle des décisions rendues par les juridictions bélarussiennes. Il prend également note du fait que la demande de procédure de contrôle dont l</w:t>
      </w:r>
      <w:r w:rsidR="00EF1EE8">
        <w:rPr>
          <w:lang w:val="fr-FR"/>
        </w:rPr>
        <w:t>’</w:t>
      </w:r>
      <w:r w:rsidRPr="00780BA1">
        <w:rPr>
          <w:lang w:val="fr-FR"/>
        </w:rPr>
        <w:t>auteur a saisi la Cour suprême n</w:t>
      </w:r>
      <w:r w:rsidR="00EF1EE8">
        <w:rPr>
          <w:lang w:val="fr-FR"/>
        </w:rPr>
        <w:t>’</w:t>
      </w:r>
      <w:r w:rsidRPr="00780BA1">
        <w:rPr>
          <w:lang w:val="fr-FR"/>
        </w:rPr>
        <w:t xml:space="preserve">a pas été accueillie. </w:t>
      </w:r>
      <w:r>
        <w:rPr>
          <w:lang w:val="fr-FR"/>
        </w:rPr>
        <w:t>Le </w:t>
      </w:r>
      <w:r w:rsidRPr="00780BA1">
        <w:rPr>
          <w:lang w:val="fr-FR"/>
        </w:rPr>
        <w:t>Comité renvoie à sa jurisprudence et rappelle que la procédure de contrôle de l</w:t>
      </w:r>
      <w:r w:rsidR="00EF1EE8">
        <w:rPr>
          <w:lang w:val="fr-FR"/>
        </w:rPr>
        <w:t>’</w:t>
      </w:r>
      <w:r w:rsidRPr="00780BA1">
        <w:rPr>
          <w:lang w:val="fr-FR"/>
        </w:rPr>
        <w:t>État partie devant le Bureau du Procureur général, qui permet le réexamen de décisions de justice devenues exécutoires, ne constitue pas un recours devant être épuisé aux fins du paragraphe 2 b) de l</w:t>
      </w:r>
      <w:r w:rsidR="00EF1EE8">
        <w:rPr>
          <w:lang w:val="fr-FR"/>
        </w:rPr>
        <w:t>’</w:t>
      </w:r>
      <w:r w:rsidRPr="00780BA1">
        <w:rPr>
          <w:lang w:val="fr-FR"/>
        </w:rPr>
        <w:t>article 5 du Protocole facultatif</w:t>
      </w:r>
      <w:r w:rsidRPr="00780BA1">
        <w:rPr>
          <w:rStyle w:val="FootnoteReference"/>
        </w:rPr>
        <w:footnoteReference w:id="7"/>
      </w:r>
      <w:r w:rsidRPr="00780BA1">
        <w:rPr>
          <w:lang w:val="fr-FR"/>
        </w:rPr>
        <w:t>. En conséquence, il considère qu</w:t>
      </w:r>
      <w:r w:rsidR="00EF1EE8">
        <w:rPr>
          <w:lang w:val="fr-FR"/>
        </w:rPr>
        <w:t>’</w:t>
      </w:r>
      <w:r w:rsidRPr="00780BA1">
        <w:rPr>
          <w:lang w:val="fr-FR"/>
        </w:rPr>
        <w:t>il n</w:t>
      </w:r>
      <w:r w:rsidR="00EF1EE8">
        <w:rPr>
          <w:lang w:val="fr-FR"/>
        </w:rPr>
        <w:t>’</w:t>
      </w:r>
      <w:r w:rsidRPr="00780BA1">
        <w:rPr>
          <w:lang w:val="fr-FR"/>
        </w:rPr>
        <w:t>est pas empêché par les dispositions du paragraphe 2 b) de l</w:t>
      </w:r>
      <w:r w:rsidR="00EF1EE8">
        <w:rPr>
          <w:lang w:val="fr-FR"/>
        </w:rPr>
        <w:t>’</w:t>
      </w:r>
      <w:r w:rsidRPr="00780BA1">
        <w:rPr>
          <w:lang w:val="fr-FR"/>
        </w:rPr>
        <w:t>article 5 du Protocole facultatif d</w:t>
      </w:r>
      <w:r w:rsidR="00EF1EE8">
        <w:rPr>
          <w:lang w:val="fr-FR"/>
        </w:rPr>
        <w:t>’</w:t>
      </w:r>
      <w:r w:rsidRPr="00780BA1">
        <w:rPr>
          <w:lang w:val="fr-FR"/>
        </w:rPr>
        <w:t>examiner cette partie de la communication.</w:t>
      </w:r>
    </w:p>
    <w:p w:rsidR="00780BA1" w:rsidRPr="00780BA1" w:rsidRDefault="00780BA1" w:rsidP="00780BA1">
      <w:pPr>
        <w:pStyle w:val="SingleTxtG"/>
        <w:rPr>
          <w:lang w:val="fr-FR"/>
        </w:rPr>
      </w:pPr>
      <w:r w:rsidRPr="00780BA1">
        <w:rPr>
          <w:lang w:val="fr-FR"/>
        </w:rPr>
        <w:t>6.4</w:t>
      </w:r>
      <w:r w:rsidRPr="00780BA1">
        <w:rPr>
          <w:lang w:val="fr-FR"/>
        </w:rPr>
        <w:tab/>
        <w:t>Le Comité estime que l</w:t>
      </w:r>
      <w:r w:rsidR="00EF1EE8">
        <w:rPr>
          <w:lang w:val="fr-FR"/>
        </w:rPr>
        <w:t>’</w:t>
      </w:r>
      <w:r w:rsidRPr="00780BA1">
        <w:rPr>
          <w:lang w:val="fr-FR"/>
        </w:rPr>
        <w:t xml:space="preserve">auteur a suffisamment étayé, </w:t>
      </w:r>
      <w:r w:rsidR="00EF1EE8">
        <w:rPr>
          <w:lang w:val="fr-FR"/>
        </w:rPr>
        <w:t>aux fins de la recevabilité, le </w:t>
      </w:r>
      <w:r w:rsidRPr="00780BA1">
        <w:rPr>
          <w:lang w:val="fr-FR"/>
        </w:rPr>
        <w:t>grief de violation du paragraphe 2 de l</w:t>
      </w:r>
      <w:r w:rsidR="00EF1EE8">
        <w:rPr>
          <w:lang w:val="fr-FR"/>
        </w:rPr>
        <w:t>’</w:t>
      </w:r>
      <w:r w:rsidRPr="00780BA1">
        <w:rPr>
          <w:lang w:val="fr-FR"/>
        </w:rPr>
        <w:t>article 19 et de l</w:t>
      </w:r>
      <w:r w:rsidR="00EF1EE8">
        <w:rPr>
          <w:lang w:val="fr-FR"/>
        </w:rPr>
        <w:t>’</w:t>
      </w:r>
      <w:r w:rsidRPr="00780BA1">
        <w:rPr>
          <w:lang w:val="fr-FR"/>
        </w:rPr>
        <w:t>article 21 du Pacte. Il déclare donc la communication recevable et procède à son examen quant au fond.</w:t>
      </w:r>
    </w:p>
    <w:p w:rsidR="00780BA1" w:rsidRPr="00780BA1" w:rsidRDefault="00780BA1" w:rsidP="00780BA1">
      <w:pPr>
        <w:pStyle w:val="H4G"/>
        <w:rPr>
          <w:lang w:val="fr-FR"/>
        </w:rPr>
      </w:pPr>
      <w:r w:rsidRPr="00780BA1">
        <w:rPr>
          <w:lang w:val="fr-FR"/>
        </w:rPr>
        <w:tab/>
      </w:r>
      <w:r w:rsidRPr="00780BA1">
        <w:rPr>
          <w:lang w:val="fr-FR"/>
        </w:rPr>
        <w:tab/>
        <w:t>Examen au fond</w:t>
      </w:r>
    </w:p>
    <w:p w:rsidR="00780BA1" w:rsidRPr="00780BA1" w:rsidRDefault="00780BA1" w:rsidP="00EF1EE8">
      <w:pPr>
        <w:pStyle w:val="SingleTxtG"/>
        <w:rPr>
          <w:lang w:val="fr-FR"/>
        </w:rPr>
      </w:pPr>
      <w:r w:rsidRPr="00780BA1">
        <w:rPr>
          <w:lang w:val="fr-FR"/>
        </w:rPr>
        <w:t>7.1</w:t>
      </w:r>
      <w:r w:rsidRPr="00780BA1">
        <w:rPr>
          <w:lang w:val="fr-FR"/>
        </w:rPr>
        <w:tab/>
        <w:t>Conformément au paragraphe 1 de l</w:t>
      </w:r>
      <w:r w:rsidR="00EF1EE8">
        <w:rPr>
          <w:lang w:val="fr-FR"/>
        </w:rPr>
        <w:t>’</w:t>
      </w:r>
      <w:r w:rsidRPr="00780BA1">
        <w:rPr>
          <w:lang w:val="fr-FR"/>
        </w:rPr>
        <w:t>article 5 du Protocole facultatif, le Comité des droits de l</w:t>
      </w:r>
      <w:r w:rsidR="00EF1EE8">
        <w:rPr>
          <w:lang w:val="fr-FR"/>
        </w:rPr>
        <w:t>’</w:t>
      </w:r>
      <w:r w:rsidRPr="00780BA1">
        <w:rPr>
          <w:lang w:val="fr-FR"/>
        </w:rPr>
        <w:t>homme a examiné la présente communication en tenant compte de toutes les informations qui lui ont été communiquées par les parties. Il constate que l</w:t>
      </w:r>
      <w:r w:rsidR="00EF1EE8">
        <w:rPr>
          <w:lang w:val="fr-FR"/>
        </w:rPr>
        <w:t>’</w:t>
      </w:r>
      <w:r w:rsidRPr="00780BA1">
        <w:rPr>
          <w:lang w:val="fr-FR"/>
        </w:rPr>
        <w:t>État partie n</w:t>
      </w:r>
      <w:r w:rsidR="00EF1EE8">
        <w:rPr>
          <w:lang w:val="fr-FR"/>
        </w:rPr>
        <w:t>’</w:t>
      </w:r>
      <w:r w:rsidRPr="00780BA1">
        <w:rPr>
          <w:lang w:val="fr-FR"/>
        </w:rPr>
        <w:t>a présenté aucune observation sur le fond de la communication.</w:t>
      </w:r>
    </w:p>
    <w:p w:rsidR="00780BA1" w:rsidRPr="00780BA1" w:rsidRDefault="00780BA1" w:rsidP="00780BA1">
      <w:pPr>
        <w:pStyle w:val="SingleTxtG"/>
        <w:rPr>
          <w:lang w:val="fr-FR"/>
        </w:rPr>
      </w:pPr>
      <w:r w:rsidRPr="00780BA1">
        <w:rPr>
          <w:lang w:val="fr-FR"/>
        </w:rPr>
        <w:t>7.2</w:t>
      </w:r>
      <w:r w:rsidRPr="00780BA1">
        <w:rPr>
          <w:lang w:val="fr-FR"/>
        </w:rPr>
        <w:tab/>
        <w:t>Le Comité note que l</w:t>
      </w:r>
      <w:r w:rsidR="00EF1EE8">
        <w:rPr>
          <w:lang w:val="fr-FR"/>
        </w:rPr>
        <w:t>’</w:t>
      </w:r>
      <w:r w:rsidRPr="00780BA1">
        <w:rPr>
          <w:lang w:val="fr-FR"/>
        </w:rPr>
        <w:t>auteur affirme que l</w:t>
      </w:r>
      <w:r w:rsidR="00EF1EE8">
        <w:rPr>
          <w:lang w:val="fr-FR"/>
        </w:rPr>
        <w:t>’</w:t>
      </w:r>
      <w:r w:rsidRPr="00780BA1">
        <w:rPr>
          <w:lang w:val="fr-FR"/>
        </w:rPr>
        <w:t>arrestation et la condamnation dont il a fait l</w:t>
      </w:r>
      <w:r w:rsidR="00EF1EE8">
        <w:rPr>
          <w:lang w:val="fr-FR"/>
        </w:rPr>
        <w:t>’</w:t>
      </w:r>
      <w:r w:rsidRPr="00780BA1">
        <w:rPr>
          <w:lang w:val="fr-FR"/>
        </w:rPr>
        <w:t>objet en raison de sa participation à une manifestation pacifique organisée sans autorisation préalable constituent une restriction injustifiée de son droit à la liberté d</w:t>
      </w:r>
      <w:r w:rsidR="00EF1EE8">
        <w:rPr>
          <w:lang w:val="fr-FR"/>
        </w:rPr>
        <w:t>’</w:t>
      </w:r>
      <w:r w:rsidRPr="00780BA1">
        <w:rPr>
          <w:lang w:val="fr-FR"/>
        </w:rPr>
        <w:t>expression et à la liberté de réunion garanti par le paragraphe 2 de l</w:t>
      </w:r>
      <w:r w:rsidR="00EF1EE8">
        <w:rPr>
          <w:lang w:val="fr-FR"/>
        </w:rPr>
        <w:t>’</w:t>
      </w:r>
      <w:r w:rsidRPr="00780BA1">
        <w:rPr>
          <w:lang w:val="fr-FR"/>
        </w:rPr>
        <w:t>article 19 et l</w:t>
      </w:r>
      <w:r w:rsidR="00EF1EE8">
        <w:rPr>
          <w:lang w:val="fr-FR"/>
        </w:rPr>
        <w:t>’</w:t>
      </w:r>
      <w:r w:rsidRPr="00780BA1">
        <w:rPr>
          <w:lang w:val="fr-FR"/>
        </w:rPr>
        <w:t>article 21 du Pacte. Il doit par conséquent déterminer si la restriction imposée aux droits de l</w:t>
      </w:r>
      <w:r w:rsidR="00EF1EE8">
        <w:rPr>
          <w:lang w:val="fr-FR"/>
        </w:rPr>
        <w:t>’</w:t>
      </w:r>
      <w:r w:rsidRPr="00780BA1">
        <w:rPr>
          <w:lang w:val="fr-FR"/>
        </w:rPr>
        <w:t>auteur est justifiée au regard des critères énoncés au paragraphe 3 de l</w:t>
      </w:r>
      <w:r w:rsidR="00EF1EE8">
        <w:rPr>
          <w:lang w:val="fr-FR"/>
        </w:rPr>
        <w:t>’</w:t>
      </w:r>
      <w:r w:rsidRPr="00780BA1">
        <w:rPr>
          <w:lang w:val="fr-FR"/>
        </w:rPr>
        <w:t>article 19 et dans la seconde phrase de l</w:t>
      </w:r>
      <w:r w:rsidR="00EF1EE8">
        <w:rPr>
          <w:lang w:val="fr-FR"/>
        </w:rPr>
        <w:t>’</w:t>
      </w:r>
      <w:r w:rsidRPr="00780BA1">
        <w:rPr>
          <w:lang w:val="fr-FR"/>
        </w:rPr>
        <w:t>article 21 du Pacte.</w:t>
      </w:r>
    </w:p>
    <w:p w:rsidR="00780BA1" w:rsidRPr="00780BA1" w:rsidRDefault="00780BA1" w:rsidP="00780BA1">
      <w:pPr>
        <w:pStyle w:val="SingleTxtG"/>
        <w:rPr>
          <w:lang w:val="fr-FR"/>
        </w:rPr>
      </w:pPr>
      <w:r w:rsidRPr="00780BA1">
        <w:rPr>
          <w:lang w:val="fr-FR"/>
        </w:rPr>
        <w:t>7.3</w:t>
      </w:r>
      <w:r w:rsidRPr="00780BA1">
        <w:rPr>
          <w:lang w:val="fr-FR"/>
        </w:rPr>
        <w:tab/>
        <w:t>Le Comité rappelle que la liberté d</w:t>
      </w:r>
      <w:r w:rsidR="00EF1EE8">
        <w:rPr>
          <w:lang w:val="fr-FR"/>
        </w:rPr>
        <w:t>’</w:t>
      </w:r>
      <w:r w:rsidRPr="00780BA1">
        <w:rPr>
          <w:lang w:val="fr-FR"/>
        </w:rPr>
        <w:t>opinion et la liberté d</w:t>
      </w:r>
      <w:r w:rsidR="00EF1EE8">
        <w:rPr>
          <w:lang w:val="fr-FR"/>
        </w:rPr>
        <w:t>’</w:t>
      </w:r>
      <w:r w:rsidRPr="00780BA1">
        <w:rPr>
          <w:lang w:val="fr-FR"/>
        </w:rPr>
        <w:t>expression sont des conditions indispensables au développement complet de l</w:t>
      </w:r>
      <w:r w:rsidR="00EF1EE8">
        <w:rPr>
          <w:lang w:val="fr-FR"/>
        </w:rPr>
        <w:t>’</w:t>
      </w:r>
      <w:r w:rsidRPr="00780BA1">
        <w:rPr>
          <w:lang w:val="fr-FR"/>
        </w:rPr>
        <w:t>individu. Ces libertés sont essentielles pour toute société et constituent le fondement de toute société libre et démocratique</w:t>
      </w:r>
      <w:r w:rsidRPr="00780BA1">
        <w:rPr>
          <w:rStyle w:val="FootnoteReference"/>
        </w:rPr>
        <w:footnoteReference w:id="8"/>
      </w:r>
      <w:r w:rsidRPr="00780BA1">
        <w:rPr>
          <w:lang w:val="fr-FR"/>
        </w:rPr>
        <w:t>. Elles forment la base du plein exercice d</w:t>
      </w:r>
      <w:r w:rsidR="00EF1EE8">
        <w:rPr>
          <w:lang w:val="fr-FR"/>
        </w:rPr>
        <w:t>’</w:t>
      </w:r>
      <w:r w:rsidRPr="00780BA1">
        <w:rPr>
          <w:lang w:val="fr-FR"/>
        </w:rPr>
        <w:t>un grand nombre d</w:t>
      </w:r>
      <w:r w:rsidR="00EF1EE8">
        <w:rPr>
          <w:lang w:val="fr-FR"/>
        </w:rPr>
        <w:t>’</w:t>
      </w:r>
      <w:r w:rsidRPr="00780BA1">
        <w:rPr>
          <w:lang w:val="fr-FR"/>
        </w:rPr>
        <w:t>autres droits de l</w:t>
      </w:r>
      <w:r w:rsidR="00EF1EE8">
        <w:rPr>
          <w:lang w:val="fr-FR"/>
        </w:rPr>
        <w:t>’</w:t>
      </w:r>
      <w:r w:rsidRPr="00780BA1">
        <w:rPr>
          <w:lang w:val="fr-FR"/>
        </w:rPr>
        <w:t>homme et, notamment, font partie intégrante de l</w:t>
      </w:r>
      <w:r w:rsidR="00EF1EE8">
        <w:rPr>
          <w:lang w:val="fr-FR"/>
        </w:rPr>
        <w:t>’</w:t>
      </w:r>
      <w:r w:rsidRPr="00780BA1">
        <w:rPr>
          <w:lang w:val="fr-FR"/>
        </w:rPr>
        <w:t>exercice du droit à la liberté de réunion</w:t>
      </w:r>
      <w:r w:rsidRPr="00780BA1">
        <w:rPr>
          <w:rStyle w:val="FootnoteReference"/>
        </w:rPr>
        <w:footnoteReference w:id="9"/>
      </w:r>
      <w:r w:rsidRPr="00780BA1">
        <w:rPr>
          <w:lang w:val="fr-FR"/>
        </w:rPr>
        <w:t>. Le Comité rappelle que l</w:t>
      </w:r>
      <w:r w:rsidR="00EF1EE8">
        <w:rPr>
          <w:lang w:val="fr-FR"/>
        </w:rPr>
        <w:t>’</w:t>
      </w:r>
      <w:r w:rsidRPr="00780BA1">
        <w:rPr>
          <w:lang w:val="fr-FR"/>
        </w:rPr>
        <w:t>article 19 autorise certaines restrictions, qui doivent toutefois être expressément fixées par la loi et être nécessaires: a) au respect des droits ou de la réputation d</w:t>
      </w:r>
      <w:r w:rsidR="00EF1EE8">
        <w:rPr>
          <w:lang w:val="fr-FR"/>
        </w:rPr>
        <w:t>’</w:t>
      </w:r>
      <w:r w:rsidRPr="00780BA1">
        <w:rPr>
          <w:lang w:val="fr-FR"/>
        </w:rPr>
        <w:t>autrui; et b) à la sauvegarde de la sécurité nationale, de l</w:t>
      </w:r>
      <w:r w:rsidR="00EF1EE8">
        <w:rPr>
          <w:lang w:val="fr-FR"/>
        </w:rPr>
        <w:t>’</w:t>
      </w:r>
      <w:r w:rsidRPr="00780BA1">
        <w:rPr>
          <w:lang w:val="fr-FR"/>
        </w:rPr>
        <w:t>ordre public, de la santé ou de la moralité publiques.</w:t>
      </w:r>
    </w:p>
    <w:p w:rsidR="00780BA1" w:rsidRPr="00780BA1" w:rsidRDefault="00780BA1" w:rsidP="00780BA1">
      <w:pPr>
        <w:pStyle w:val="SingleTxtG"/>
        <w:rPr>
          <w:lang w:val="fr-FR"/>
        </w:rPr>
      </w:pPr>
      <w:r w:rsidRPr="00780BA1">
        <w:rPr>
          <w:lang w:val="fr-FR"/>
        </w:rPr>
        <w:t>7.4</w:t>
      </w:r>
      <w:r w:rsidRPr="00780BA1">
        <w:rPr>
          <w:lang w:val="fr-FR"/>
        </w:rPr>
        <w:tab/>
        <w:t>Le Comité rappelle également que le droit de réunion pacifique est un droit de l</w:t>
      </w:r>
      <w:r w:rsidR="00EF1EE8">
        <w:rPr>
          <w:lang w:val="fr-FR"/>
        </w:rPr>
        <w:t>’</w:t>
      </w:r>
      <w:r w:rsidRPr="00780BA1">
        <w:rPr>
          <w:lang w:val="fr-FR"/>
        </w:rPr>
        <w:t>homme fondamental, qui est essentiel à l</w:t>
      </w:r>
      <w:r w:rsidR="00EF1EE8">
        <w:rPr>
          <w:lang w:val="fr-FR"/>
        </w:rPr>
        <w:t>’</w:t>
      </w:r>
      <w:r w:rsidRPr="00780BA1">
        <w:rPr>
          <w:lang w:val="fr-FR"/>
        </w:rPr>
        <w:t>expression publique des points de vue et opinions de chacun et est indispensable dans une société démocratique</w:t>
      </w:r>
      <w:r w:rsidRPr="00780BA1">
        <w:rPr>
          <w:rStyle w:val="FootnoteReference"/>
        </w:rPr>
        <w:footnoteReference w:id="10"/>
      </w:r>
      <w:r w:rsidRPr="00780BA1">
        <w:rPr>
          <w:lang w:val="fr-FR"/>
        </w:rPr>
        <w:t>. Ce droit suppose notamment la possibilité de participer à une réunion pacifique pour soutenir ou contester telle ou telle cause. Il ne peut être soumis à des restrictions que conformément à la législation et si cela est nécessaire dans une société démocratique, dans l</w:t>
      </w:r>
      <w:r w:rsidR="00EF1EE8">
        <w:rPr>
          <w:lang w:val="fr-FR"/>
        </w:rPr>
        <w:t>’</w:t>
      </w:r>
      <w:r w:rsidRPr="00780BA1">
        <w:rPr>
          <w:lang w:val="fr-FR"/>
        </w:rPr>
        <w:t>intérêt de la sécurité nationale, de la sûreté publique, de l</w:t>
      </w:r>
      <w:r w:rsidR="00EF1EE8">
        <w:rPr>
          <w:lang w:val="fr-FR"/>
        </w:rPr>
        <w:t>’</w:t>
      </w:r>
      <w:r w:rsidRPr="00780BA1">
        <w:rPr>
          <w:lang w:val="fr-FR"/>
        </w:rPr>
        <w:t>ordre public ou pour protéger la santé ou la moralité publiques, ou les droits et libertés d</w:t>
      </w:r>
      <w:r w:rsidR="00EF1EE8">
        <w:rPr>
          <w:lang w:val="fr-FR"/>
        </w:rPr>
        <w:t>’</w:t>
      </w:r>
      <w:r w:rsidRPr="00780BA1">
        <w:rPr>
          <w:lang w:val="fr-FR"/>
        </w:rPr>
        <w:t>autrui</w:t>
      </w:r>
      <w:r w:rsidRPr="00780BA1">
        <w:rPr>
          <w:rStyle w:val="FootnoteReference"/>
        </w:rPr>
        <w:footnoteReference w:id="11"/>
      </w:r>
      <w:r w:rsidRPr="00780BA1">
        <w:rPr>
          <w:lang w:val="fr-FR"/>
        </w:rPr>
        <w:t>.</w:t>
      </w:r>
    </w:p>
    <w:p w:rsidR="00780BA1" w:rsidRPr="00780BA1" w:rsidRDefault="00780BA1" w:rsidP="00780BA1">
      <w:pPr>
        <w:pStyle w:val="SingleTxtG"/>
        <w:rPr>
          <w:lang w:val="fr-FR"/>
        </w:rPr>
      </w:pPr>
      <w:r w:rsidRPr="00780BA1">
        <w:rPr>
          <w:lang w:val="fr-FR"/>
        </w:rPr>
        <w:t>7.5</w:t>
      </w:r>
      <w:r w:rsidRPr="00780BA1">
        <w:rPr>
          <w:lang w:val="fr-FR"/>
        </w:rPr>
        <w:tab/>
        <w:t>Le Comité fait observer que, lorsqu</w:t>
      </w:r>
      <w:r w:rsidR="00EF1EE8">
        <w:rPr>
          <w:lang w:val="fr-FR"/>
        </w:rPr>
        <w:t>’</w:t>
      </w:r>
      <w:r w:rsidRPr="00780BA1">
        <w:rPr>
          <w:lang w:val="fr-FR"/>
        </w:rPr>
        <w:t>il impose une restriction aux droits garantis par le Pacte, l</w:t>
      </w:r>
      <w:r w:rsidR="00EF1EE8">
        <w:rPr>
          <w:lang w:val="fr-FR"/>
        </w:rPr>
        <w:t>’</w:t>
      </w:r>
      <w:r w:rsidRPr="00780BA1">
        <w:rPr>
          <w:lang w:val="fr-FR"/>
        </w:rPr>
        <w:t>État est tenu de démontrer que ladite restriction était nécessaire en l</w:t>
      </w:r>
      <w:r w:rsidR="00EF1EE8">
        <w:rPr>
          <w:lang w:val="fr-FR"/>
        </w:rPr>
        <w:t>’</w:t>
      </w:r>
      <w:r w:rsidRPr="00780BA1">
        <w:rPr>
          <w:lang w:val="fr-FR"/>
        </w:rPr>
        <w:t>espèce. Les restrictions à l</w:t>
      </w:r>
      <w:r w:rsidR="00EF1EE8">
        <w:rPr>
          <w:lang w:val="fr-FR"/>
        </w:rPr>
        <w:t>’</w:t>
      </w:r>
      <w:r w:rsidRPr="00780BA1">
        <w:rPr>
          <w:lang w:val="fr-FR"/>
        </w:rPr>
        <w:t>exercice des droits consacrés au paragraphe 2 de l</w:t>
      </w:r>
      <w:r w:rsidR="00EF1EE8">
        <w:rPr>
          <w:lang w:val="fr-FR"/>
        </w:rPr>
        <w:t>’</w:t>
      </w:r>
      <w:r w:rsidRPr="00780BA1">
        <w:rPr>
          <w:lang w:val="fr-FR"/>
        </w:rPr>
        <w:t>article 19 et à l</w:t>
      </w:r>
      <w:r w:rsidR="00EF1EE8">
        <w:rPr>
          <w:lang w:val="fr-FR"/>
        </w:rPr>
        <w:t>’</w:t>
      </w:r>
      <w:r w:rsidRPr="00780BA1">
        <w:rPr>
          <w:lang w:val="fr-FR"/>
        </w:rPr>
        <w:t>article 21 du Pacte doivent répondre aux critères stricts de nécessité et de proportionnalité et «doivent être appliquées exclusivement aux fins pour lesquelles elles ont été prescrites et doivent être en rapport direct avec l</w:t>
      </w:r>
      <w:r w:rsidR="00EF1EE8">
        <w:rPr>
          <w:lang w:val="fr-FR"/>
        </w:rPr>
        <w:t>’</w:t>
      </w:r>
      <w:r w:rsidRPr="00780BA1">
        <w:rPr>
          <w:lang w:val="fr-FR"/>
        </w:rPr>
        <w:t>objectif spécifique qui les inspire»</w:t>
      </w:r>
      <w:r w:rsidRPr="00780BA1">
        <w:rPr>
          <w:rStyle w:val="FootnoteReference"/>
        </w:rPr>
        <w:footnoteReference w:id="12"/>
      </w:r>
      <w:r w:rsidRPr="00780BA1">
        <w:rPr>
          <w:lang w:val="fr-FR"/>
        </w:rPr>
        <w:t>.</w:t>
      </w:r>
    </w:p>
    <w:p w:rsidR="00780BA1" w:rsidRPr="00780BA1" w:rsidRDefault="00780BA1" w:rsidP="00780BA1">
      <w:pPr>
        <w:pStyle w:val="SingleTxtG"/>
        <w:rPr>
          <w:lang w:val="fr-FR"/>
        </w:rPr>
      </w:pPr>
      <w:r w:rsidRPr="00780BA1">
        <w:rPr>
          <w:lang w:val="fr-FR"/>
        </w:rPr>
        <w:t>7.6</w:t>
      </w:r>
      <w:r w:rsidRPr="00780BA1">
        <w:rPr>
          <w:lang w:val="fr-FR"/>
        </w:rPr>
        <w:tab/>
        <w:t>Le Comité note que l</w:t>
      </w:r>
      <w:r w:rsidR="00EF1EE8">
        <w:rPr>
          <w:lang w:val="fr-FR"/>
        </w:rPr>
        <w:t>’</w:t>
      </w:r>
      <w:r w:rsidRPr="00780BA1">
        <w:rPr>
          <w:lang w:val="fr-FR"/>
        </w:rPr>
        <w:t>auteur affirme avoir été appréhendé et conduit au poste de police pour avoir participé à une manifestation pacifique mais non autorisée et pour avoir brandi une pancarte indiquant «Stop aux meurtres d</w:t>
      </w:r>
      <w:r w:rsidR="00EF1EE8">
        <w:rPr>
          <w:lang w:val="fr-FR"/>
        </w:rPr>
        <w:t>’</w:t>
      </w:r>
      <w:r w:rsidRPr="00780BA1">
        <w:rPr>
          <w:lang w:val="fr-FR"/>
        </w:rPr>
        <w:t>homosexuels en Iran» devant l</w:t>
      </w:r>
      <w:r w:rsidR="00EF1EE8">
        <w:rPr>
          <w:lang w:val="fr-FR"/>
        </w:rPr>
        <w:t>’</w:t>
      </w:r>
      <w:r w:rsidRPr="00780BA1">
        <w:rPr>
          <w:lang w:val="fr-FR"/>
        </w:rPr>
        <w:t>ambassade de la République islamique d</w:t>
      </w:r>
      <w:r w:rsidR="00EF1EE8">
        <w:rPr>
          <w:lang w:val="fr-FR"/>
        </w:rPr>
        <w:t>’</w:t>
      </w:r>
      <w:r w:rsidRPr="00780BA1">
        <w:rPr>
          <w:lang w:val="fr-FR"/>
        </w:rPr>
        <w:t>Iran à Minsk. Il a ensuite été condamné à une amende pour violation du paragraphe 1 de l</w:t>
      </w:r>
      <w:r w:rsidR="00EF1EE8">
        <w:rPr>
          <w:lang w:val="fr-FR"/>
        </w:rPr>
        <w:t>’</w:t>
      </w:r>
      <w:r w:rsidRPr="00780BA1">
        <w:rPr>
          <w:lang w:val="fr-FR"/>
        </w:rPr>
        <w:t>article 23.34 du Code des infractions administratives du Bélarus.</w:t>
      </w:r>
    </w:p>
    <w:p w:rsidR="00780BA1" w:rsidRPr="00780BA1" w:rsidRDefault="00780BA1" w:rsidP="00780BA1">
      <w:pPr>
        <w:pStyle w:val="SingleTxtG"/>
        <w:rPr>
          <w:lang w:val="fr-FR"/>
        </w:rPr>
      </w:pPr>
      <w:r w:rsidRPr="00780BA1">
        <w:rPr>
          <w:lang w:val="fr-FR"/>
        </w:rPr>
        <w:t>7.7</w:t>
      </w:r>
      <w:r w:rsidRPr="00780BA1">
        <w:rPr>
          <w:lang w:val="fr-FR"/>
        </w:rPr>
        <w:tab/>
      </w:r>
      <w:r w:rsidRPr="00EF1EE8">
        <w:rPr>
          <w:spacing w:val="-2"/>
          <w:lang w:val="fr-FR"/>
        </w:rPr>
        <w:t>Le Comité prend note des griefs de l</w:t>
      </w:r>
      <w:r w:rsidR="00EF1EE8">
        <w:rPr>
          <w:spacing w:val="-2"/>
          <w:lang w:val="fr-FR"/>
        </w:rPr>
        <w:t>’</w:t>
      </w:r>
      <w:r w:rsidRPr="00EF1EE8">
        <w:rPr>
          <w:spacing w:val="-2"/>
          <w:lang w:val="fr-FR"/>
        </w:rPr>
        <w:t>auteur qui affirme qu</w:t>
      </w:r>
      <w:r w:rsidR="00EF1EE8">
        <w:rPr>
          <w:spacing w:val="-2"/>
          <w:lang w:val="fr-FR"/>
        </w:rPr>
        <w:t>’</w:t>
      </w:r>
      <w:r w:rsidRPr="00EF1EE8">
        <w:rPr>
          <w:spacing w:val="-2"/>
          <w:lang w:val="fr-FR"/>
        </w:rPr>
        <w:t>il n</w:t>
      </w:r>
      <w:r w:rsidR="00EF1EE8">
        <w:rPr>
          <w:spacing w:val="-2"/>
          <w:lang w:val="fr-FR"/>
        </w:rPr>
        <w:t>’</w:t>
      </w:r>
      <w:r w:rsidRPr="00EF1EE8">
        <w:rPr>
          <w:spacing w:val="-2"/>
          <w:lang w:val="fr-FR"/>
        </w:rPr>
        <w:t>a pas pu préalablement demander l</w:t>
      </w:r>
      <w:r w:rsidR="00EF1EE8">
        <w:rPr>
          <w:spacing w:val="-2"/>
          <w:lang w:val="fr-FR"/>
        </w:rPr>
        <w:t>’</w:t>
      </w:r>
      <w:r w:rsidRPr="00EF1EE8">
        <w:rPr>
          <w:spacing w:val="-2"/>
          <w:lang w:val="fr-FR"/>
        </w:rPr>
        <w:t>autorisation de participer à la manifestation en raison du régime strict prévu par la loi relative aux manifestations de masse, qui impose des restrictions déraisonnables au droit garanti par l</w:t>
      </w:r>
      <w:r w:rsidR="00EF1EE8">
        <w:rPr>
          <w:spacing w:val="-2"/>
          <w:lang w:val="fr-FR"/>
        </w:rPr>
        <w:t>’</w:t>
      </w:r>
      <w:r w:rsidRPr="00EF1EE8">
        <w:rPr>
          <w:spacing w:val="-2"/>
          <w:lang w:val="fr-FR"/>
        </w:rPr>
        <w:t>article 21 du Pacte. En particulier, le Comité note que, conformément à l</w:t>
      </w:r>
      <w:r w:rsidR="00EF1EE8">
        <w:rPr>
          <w:spacing w:val="-2"/>
          <w:lang w:val="fr-FR"/>
        </w:rPr>
        <w:t>’</w:t>
      </w:r>
      <w:r w:rsidRPr="00EF1EE8">
        <w:rPr>
          <w:spacing w:val="-2"/>
          <w:lang w:val="fr-FR"/>
        </w:rPr>
        <w:t>article 5 de ladite loi, les organisateurs de manifestations sont tenus de conclure un contrat avec le Département de l</w:t>
      </w:r>
      <w:r w:rsidR="00EF1EE8">
        <w:rPr>
          <w:spacing w:val="-2"/>
          <w:lang w:val="fr-FR"/>
        </w:rPr>
        <w:t>’</w:t>
      </w:r>
      <w:r w:rsidRPr="00EF1EE8">
        <w:rPr>
          <w:spacing w:val="-2"/>
          <w:lang w:val="fr-FR"/>
        </w:rPr>
        <w:t>intérieur de l</w:t>
      </w:r>
      <w:r w:rsidR="00EF1EE8">
        <w:rPr>
          <w:spacing w:val="-2"/>
          <w:lang w:val="fr-FR"/>
        </w:rPr>
        <w:t>’</w:t>
      </w:r>
      <w:r w:rsidR="00EF1EE8" w:rsidRPr="00EF1EE8">
        <w:rPr>
          <w:spacing w:val="-2"/>
          <w:lang w:val="fr-FR"/>
        </w:rPr>
        <w:t>administration du district (en </w:t>
      </w:r>
      <w:r w:rsidRPr="00EF1EE8">
        <w:rPr>
          <w:spacing w:val="-2"/>
          <w:lang w:val="fr-FR"/>
        </w:rPr>
        <w:t>vue d</w:t>
      </w:r>
      <w:r w:rsidR="00EF1EE8">
        <w:rPr>
          <w:spacing w:val="-2"/>
          <w:lang w:val="fr-FR"/>
        </w:rPr>
        <w:t>’</w:t>
      </w:r>
      <w:r w:rsidRPr="00EF1EE8">
        <w:rPr>
          <w:spacing w:val="-2"/>
          <w:lang w:val="fr-FR"/>
        </w:rPr>
        <w:t>assurer le maintien de l</w:t>
      </w:r>
      <w:r w:rsidR="00EF1EE8">
        <w:rPr>
          <w:spacing w:val="-2"/>
          <w:lang w:val="fr-FR"/>
        </w:rPr>
        <w:t>’</w:t>
      </w:r>
      <w:r w:rsidRPr="00EF1EE8">
        <w:rPr>
          <w:spacing w:val="-2"/>
          <w:lang w:val="fr-FR"/>
        </w:rPr>
        <w:t>ordre public pendant la manifestation)</w:t>
      </w:r>
      <w:r w:rsidR="00EF1EE8">
        <w:rPr>
          <w:spacing w:val="-2"/>
          <w:lang w:val="fr-FR"/>
        </w:rPr>
        <w:t>;</w:t>
      </w:r>
      <w:r w:rsidRPr="00EF1EE8">
        <w:rPr>
          <w:spacing w:val="-2"/>
          <w:lang w:val="fr-FR"/>
        </w:rPr>
        <w:t xml:space="preserve"> un contrat avec le Département de la santé (en vue de garantir la fourniture de soins médicaux)</w:t>
      </w:r>
      <w:r w:rsidR="00EF1EE8">
        <w:rPr>
          <w:spacing w:val="-2"/>
          <w:lang w:val="fr-FR"/>
        </w:rPr>
        <w:t>;</w:t>
      </w:r>
      <w:r w:rsidRPr="00EF1EE8">
        <w:rPr>
          <w:spacing w:val="-2"/>
          <w:lang w:val="fr-FR"/>
        </w:rPr>
        <w:t xml:space="preserve"> et un contrat avec le Département des services collectifs (en vue d</w:t>
      </w:r>
      <w:r w:rsidR="00EF1EE8">
        <w:rPr>
          <w:spacing w:val="-2"/>
          <w:lang w:val="fr-FR"/>
        </w:rPr>
        <w:t>’</w:t>
      </w:r>
      <w:r w:rsidRPr="00EF1EE8">
        <w:rPr>
          <w:spacing w:val="-2"/>
          <w:lang w:val="fr-FR"/>
        </w:rPr>
        <w:t>assurer le nettoyage du site après la manifestation). Le Comité prend également note de l</w:t>
      </w:r>
      <w:r w:rsidR="00EF1EE8">
        <w:rPr>
          <w:spacing w:val="-2"/>
          <w:lang w:val="fr-FR"/>
        </w:rPr>
        <w:t>’</w:t>
      </w:r>
      <w:r w:rsidRPr="00EF1EE8">
        <w:rPr>
          <w:spacing w:val="-2"/>
          <w:lang w:val="fr-FR"/>
        </w:rPr>
        <w:t>affirmation de l</w:t>
      </w:r>
      <w:r w:rsidR="00EF1EE8">
        <w:rPr>
          <w:spacing w:val="-2"/>
          <w:lang w:val="fr-FR"/>
        </w:rPr>
        <w:t>’</w:t>
      </w:r>
      <w:r w:rsidRPr="00EF1EE8">
        <w:rPr>
          <w:spacing w:val="-2"/>
          <w:lang w:val="fr-FR"/>
        </w:rPr>
        <w:t>auteur, qui n</w:t>
      </w:r>
      <w:r w:rsidR="00EF1EE8">
        <w:rPr>
          <w:spacing w:val="-2"/>
          <w:lang w:val="fr-FR"/>
        </w:rPr>
        <w:t>’</w:t>
      </w:r>
      <w:r w:rsidRPr="00EF1EE8">
        <w:rPr>
          <w:spacing w:val="-2"/>
          <w:lang w:val="fr-FR"/>
        </w:rPr>
        <w:t>a pas été contestée, selon laquelle il est en outre interdit de man</w:t>
      </w:r>
      <w:r w:rsidR="00EF1EE8" w:rsidRPr="00EF1EE8">
        <w:rPr>
          <w:spacing w:val="-2"/>
          <w:lang w:val="fr-FR"/>
        </w:rPr>
        <w:t>ifester à moins de 50 mètres de</w:t>
      </w:r>
      <w:r w:rsidRPr="00EF1EE8">
        <w:rPr>
          <w:spacing w:val="-2"/>
          <w:lang w:val="fr-FR"/>
        </w:rPr>
        <w:t xml:space="preserve"> locaux diplomatiques.</w:t>
      </w:r>
    </w:p>
    <w:p w:rsidR="00780BA1" w:rsidRPr="00780BA1" w:rsidRDefault="00780BA1" w:rsidP="00780BA1">
      <w:pPr>
        <w:pStyle w:val="SingleTxtG"/>
        <w:rPr>
          <w:lang w:val="fr-FR"/>
        </w:rPr>
      </w:pPr>
      <w:r w:rsidRPr="00780BA1">
        <w:rPr>
          <w:lang w:val="fr-FR"/>
        </w:rPr>
        <w:t>7.8</w:t>
      </w:r>
      <w:r w:rsidRPr="00780BA1">
        <w:rPr>
          <w:lang w:val="fr-FR"/>
        </w:rPr>
        <w:tab/>
      </w:r>
      <w:r w:rsidRPr="00EF1EE8">
        <w:rPr>
          <w:spacing w:val="-2"/>
          <w:lang w:val="fr-FR"/>
        </w:rPr>
        <w:t>Le Comité rappelle que, lorsqu</w:t>
      </w:r>
      <w:r w:rsidR="00EF1EE8">
        <w:rPr>
          <w:spacing w:val="-2"/>
          <w:lang w:val="fr-FR"/>
        </w:rPr>
        <w:t>’</w:t>
      </w:r>
      <w:r w:rsidRPr="00EF1EE8">
        <w:rPr>
          <w:spacing w:val="-2"/>
          <w:lang w:val="fr-FR"/>
        </w:rPr>
        <w:t>il impose des restrictions au droit à la liberté de réunion pacifique, l</w:t>
      </w:r>
      <w:r w:rsidR="00EF1EE8">
        <w:rPr>
          <w:spacing w:val="-2"/>
          <w:lang w:val="fr-FR"/>
        </w:rPr>
        <w:t>’</w:t>
      </w:r>
      <w:r w:rsidRPr="00EF1EE8">
        <w:rPr>
          <w:spacing w:val="-2"/>
          <w:lang w:val="fr-FR"/>
        </w:rPr>
        <w:t>État partie doit chercher à faciliter l</w:t>
      </w:r>
      <w:r w:rsidR="00EF1EE8">
        <w:rPr>
          <w:spacing w:val="-2"/>
          <w:lang w:val="fr-FR"/>
        </w:rPr>
        <w:t>’</w:t>
      </w:r>
      <w:r w:rsidRPr="00EF1EE8">
        <w:rPr>
          <w:spacing w:val="-2"/>
          <w:lang w:val="fr-FR"/>
        </w:rPr>
        <w:t>exercice de ce droit et non s</w:t>
      </w:r>
      <w:r w:rsidR="00EF1EE8">
        <w:rPr>
          <w:spacing w:val="-2"/>
          <w:lang w:val="fr-FR"/>
        </w:rPr>
        <w:t>’</w:t>
      </w:r>
      <w:r w:rsidRPr="00EF1EE8">
        <w:rPr>
          <w:spacing w:val="-2"/>
          <w:lang w:val="fr-FR"/>
        </w:rPr>
        <w:t>employer à le restreindre par des moyens qui ne sont ni nécessaires ni proportionnés</w:t>
      </w:r>
      <w:r w:rsidRPr="00EF1EE8">
        <w:rPr>
          <w:rStyle w:val="FootnoteReference"/>
          <w:spacing w:val="-2"/>
        </w:rPr>
        <w:footnoteReference w:id="13"/>
      </w:r>
      <w:r w:rsidRPr="00EF1EE8">
        <w:rPr>
          <w:spacing w:val="-2"/>
          <w:lang w:val="fr-FR"/>
        </w:rPr>
        <w:t>. À cet égard, le Comité constate que, si les restrictions imposées en l</w:t>
      </w:r>
      <w:r w:rsidR="00EF1EE8">
        <w:rPr>
          <w:spacing w:val="-2"/>
          <w:lang w:val="fr-FR"/>
        </w:rPr>
        <w:t>’</w:t>
      </w:r>
      <w:r w:rsidRPr="00EF1EE8">
        <w:rPr>
          <w:spacing w:val="-2"/>
          <w:lang w:val="fr-FR"/>
        </w:rPr>
        <w:t>espèce étaient conformes à la loi, l</w:t>
      </w:r>
      <w:r w:rsidR="00EF1EE8">
        <w:rPr>
          <w:spacing w:val="-2"/>
          <w:lang w:val="fr-FR"/>
        </w:rPr>
        <w:t>’</w:t>
      </w:r>
      <w:r w:rsidRPr="00EF1EE8">
        <w:rPr>
          <w:spacing w:val="-2"/>
          <w:lang w:val="fr-FR"/>
        </w:rPr>
        <w:t>État partie n</w:t>
      </w:r>
      <w:r w:rsidR="00EF1EE8">
        <w:rPr>
          <w:spacing w:val="-2"/>
          <w:lang w:val="fr-FR"/>
        </w:rPr>
        <w:t>’</w:t>
      </w:r>
      <w:r w:rsidRPr="00EF1EE8">
        <w:rPr>
          <w:spacing w:val="-2"/>
          <w:lang w:val="fr-FR"/>
        </w:rPr>
        <w:t>a pas cherché à expliquer pourquoi ces restrictions étaient nécessaires et si elles étaient proportionnées à l</w:t>
      </w:r>
      <w:r w:rsidR="00EF1EE8">
        <w:rPr>
          <w:spacing w:val="-2"/>
          <w:lang w:val="fr-FR"/>
        </w:rPr>
        <w:t>’</w:t>
      </w:r>
      <w:r w:rsidRPr="00EF1EE8">
        <w:rPr>
          <w:spacing w:val="-2"/>
          <w:lang w:val="fr-FR"/>
        </w:rPr>
        <w:t>un des buts légitimes énoncés au paragraphe 3 de l</w:t>
      </w:r>
      <w:r w:rsidR="00EF1EE8">
        <w:rPr>
          <w:spacing w:val="-2"/>
          <w:lang w:val="fr-FR"/>
        </w:rPr>
        <w:t>’</w:t>
      </w:r>
      <w:r w:rsidRPr="00EF1EE8">
        <w:rPr>
          <w:spacing w:val="-2"/>
          <w:lang w:val="fr-FR"/>
        </w:rPr>
        <w:t>article 19 et dans la seconde phrase de l</w:t>
      </w:r>
      <w:r w:rsidR="00EF1EE8">
        <w:rPr>
          <w:spacing w:val="-2"/>
          <w:lang w:val="fr-FR"/>
        </w:rPr>
        <w:t>’</w:t>
      </w:r>
      <w:r w:rsidRPr="00EF1EE8">
        <w:rPr>
          <w:spacing w:val="-2"/>
          <w:lang w:val="fr-FR"/>
        </w:rPr>
        <w:t>article 21 du Pacte. L</w:t>
      </w:r>
      <w:r w:rsidR="00EF1EE8">
        <w:rPr>
          <w:spacing w:val="-2"/>
          <w:lang w:val="fr-FR"/>
        </w:rPr>
        <w:t>’</w:t>
      </w:r>
      <w:r w:rsidRPr="00EF1EE8">
        <w:rPr>
          <w:spacing w:val="-2"/>
          <w:lang w:val="fr-FR"/>
        </w:rPr>
        <w:t>État partie n</w:t>
      </w:r>
      <w:r w:rsidR="00EF1EE8">
        <w:rPr>
          <w:spacing w:val="-2"/>
          <w:lang w:val="fr-FR"/>
        </w:rPr>
        <w:t>’</w:t>
      </w:r>
      <w:r w:rsidRPr="00EF1EE8">
        <w:rPr>
          <w:spacing w:val="-2"/>
          <w:lang w:val="fr-FR"/>
        </w:rPr>
        <w:t>a pas non plus expliqué comment, dans la pratique, en l</w:t>
      </w:r>
      <w:r w:rsidR="00EF1EE8">
        <w:rPr>
          <w:spacing w:val="-2"/>
          <w:lang w:val="fr-FR"/>
        </w:rPr>
        <w:t>’</w:t>
      </w:r>
      <w:r w:rsidRPr="00EF1EE8">
        <w:rPr>
          <w:spacing w:val="-2"/>
          <w:lang w:val="fr-FR"/>
        </w:rPr>
        <w:t>espèce, la participation de l</w:t>
      </w:r>
      <w:r w:rsidR="00EF1EE8">
        <w:rPr>
          <w:spacing w:val="-2"/>
          <w:lang w:val="fr-FR"/>
        </w:rPr>
        <w:t>’</w:t>
      </w:r>
      <w:r w:rsidRPr="00EF1EE8">
        <w:rPr>
          <w:spacing w:val="-2"/>
          <w:lang w:val="fr-FR"/>
        </w:rPr>
        <w:t>auteur à une manifestation pacifique à laquelle seules quelques personnes ont pris part aurait pu porter atteinte aux droits et libertés d</w:t>
      </w:r>
      <w:r w:rsidR="00EF1EE8">
        <w:rPr>
          <w:spacing w:val="-2"/>
          <w:lang w:val="fr-FR"/>
        </w:rPr>
        <w:t>’</w:t>
      </w:r>
      <w:r w:rsidRPr="00EF1EE8">
        <w:rPr>
          <w:spacing w:val="-2"/>
          <w:lang w:val="fr-FR"/>
        </w:rPr>
        <w:t>autrui ou menacer la protection de la sûreté publique, l</w:t>
      </w:r>
      <w:r w:rsidR="00EF1EE8">
        <w:rPr>
          <w:spacing w:val="-2"/>
          <w:lang w:val="fr-FR"/>
        </w:rPr>
        <w:t>’</w:t>
      </w:r>
      <w:r w:rsidRPr="00EF1EE8">
        <w:rPr>
          <w:spacing w:val="-2"/>
          <w:lang w:val="fr-FR"/>
        </w:rPr>
        <w:t>ordre public ou la santé ou la moralité pub</w:t>
      </w:r>
      <w:r w:rsidR="00EF1EE8" w:rsidRPr="00EF1EE8">
        <w:rPr>
          <w:spacing w:val="-2"/>
          <w:lang w:val="fr-FR"/>
        </w:rPr>
        <w:t>lique. Le Comité relève que, si </w:t>
      </w:r>
      <w:r w:rsidRPr="00EF1EE8">
        <w:rPr>
          <w:spacing w:val="-2"/>
          <w:lang w:val="fr-FR"/>
        </w:rPr>
        <w:t>assurer la sécurité de l</w:t>
      </w:r>
      <w:r w:rsidR="00EF1EE8">
        <w:rPr>
          <w:spacing w:val="-2"/>
          <w:lang w:val="fr-FR"/>
        </w:rPr>
        <w:t>’</w:t>
      </w:r>
      <w:r w:rsidRPr="00EF1EE8">
        <w:rPr>
          <w:spacing w:val="-2"/>
          <w:lang w:val="fr-FR"/>
        </w:rPr>
        <w:t>ambassade d</w:t>
      </w:r>
      <w:r w:rsidR="00EF1EE8">
        <w:rPr>
          <w:spacing w:val="-2"/>
          <w:lang w:val="fr-FR"/>
        </w:rPr>
        <w:t>’</w:t>
      </w:r>
      <w:r w:rsidRPr="00EF1EE8">
        <w:rPr>
          <w:spacing w:val="-2"/>
          <w:lang w:val="fr-FR"/>
        </w:rPr>
        <w:t>un État étranger peut être considéré comme un but légitime pour restreindre le droit de réunion pacifique, l</w:t>
      </w:r>
      <w:r w:rsidR="00EF1EE8">
        <w:rPr>
          <w:spacing w:val="-2"/>
          <w:lang w:val="fr-FR"/>
        </w:rPr>
        <w:t>’</w:t>
      </w:r>
      <w:r w:rsidRPr="00EF1EE8">
        <w:rPr>
          <w:spacing w:val="-2"/>
          <w:lang w:val="fr-FR"/>
        </w:rPr>
        <w:t>État partie doit démontrer en quoi l</w:t>
      </w:r>
      <w:r w:rsidR="00EF1EE8">
        <w:rPr>
          <w:spacing w:val="-2"/>
          <w:lang w:val="fr-FR"/>
        </w:rPr>
        <w:t>’</w:t>
      </w:r>
      <w:r w:rsidRPr="00EF1EE8">
        <w:rPr>
          <w:spacing w:val="-2"/>
          <w:lang w:val="fr-FR"/>
        </w:rPr>
        <w:t>arrestation de l</w:t>
      </w:r>
      <w:r w:rsidR="00EF1EE8">
        <w:rPr>
          <w:spacing w:val="-2"/>
          <w:lang w:val="fr-FR"/>
        </w:rPr>
        <w:t>’</w:t>
      </w:r>
      <w:r w:rsidRPr="00EF1EE8">
        <w:rPr>
          <w:spacing w:val="-2"/>
          <w:lang w:val="fr-FR"/>
        </w:rPr>
        <w:t>auteur et sa condamnation à une amende administrative étaient nécessaires et proportionnées à ce but. En conséquence, faute d</w:t>
      </w:r>
      <w:r w:rsidR="00EF1EE8">
        <w:rPr>
          <w:spacing w:val="-2"/>
          <w:lang w:val="fr-FR"/>
        </w:rPr>
        <w:t>’</w:t>
      </w:r>
      <w:r w:rsidRPr="00EF1EE8">
        <w:rPr>
          <w:spacing w:val="-2"/>
          <w:lang w:val="fr-FR"/>
        </w:rPr>
        <w:t>autres explications pertinentes de l</w:t>
      </w:r>
      <w:r w:rsidR="00EF1EE8">
        <w:rPr>
          <w:spacing w:val="-2"/>
          <w:lang w:val="fr-FR"/>
        </w:rPr>
        <w:t>’</w:t>
      </w:r>
      <w:r w:rsidRPr="00EF1EE8">
        <w:rPr>
          <w:spacing w:val="-2"/>
          <w:lang w:val="fr-FR"/>
        </w:rPr>
        <w:t>État partie, le Comité considère qu</w:t>
      </w:r>
      <w:r w:rsidR="00EF1EE8">
        <w:rPr>
          <w:spacing w:val="-2"/>
          <w:lang w:val="fr-FR"/>
        </w:rPr>
        <w:t>’</w:t>
      </w:r>
      <w:r w:rsidRPr="00EF1EE8">
        <w:rPr>
          <w:spacing w:val="-2"/>
          <w:lang w:val="fr-FR"/>
        </w:rPr>
        <w:t>il y a lieu d</w:t>
      </w:r>
      <w:r w:rsidR="00EF1EE8">
        <w:rPr>
          <w:spacing w:val="-2"/>
          <w:lang w:val="fr-FR"/>
        </w:rPr>
        <w:t>’</w:t>
      </w:r>
      <w:r w:rsidRPr="00EF1EE8">
        <w:rPr>
          <w:spacing w:val="-2"/>
          <w:lang w:val="fr-FR"/>
        </w:rPr>
        <w:t>accorder le crédit voulu aux affirmations de l</w:t>
      </w:r>
      <w:r w:rsidR="00EF1EE8">
        <w:rPr>
          <w:spacing w:val="-2"/>
          <w:lang w:val="fr-FR"/>
        </w:rPr>
        <w:t>’</w:t>
      </w:r>
      <w:r w:rsidRPr="00EF1EE8">
        <w:rPr>
          <w:spacing w:val="-2"/>
          <w:lang w:val="fr-FR"/>
        </w:rPr>
        <w:t>auteur.</w:t>
      </w:r>
    </w:p>
    <w:p w:rsidR="00780BA1" w:rsidRPr="00780BA1" w:rsidRDefault="00780BA1" w:rsidP="00780BA1">
      <w:pPr>
        <w:pStyle w:val="SingleTxtG"/>
        <w:rPr>
          <w:lang w:val="fr-FR"/>
        </w:rPr>
      </w:pPr>
      <w:r w:rsidRPr="00780BA1">
        <w:rPr>
          <w:lang w:val="fr-FR"/>
        </w:rPr>
        <w:t>7.9</w:t>
      </w:r>
      <w:r w:rsidRPr="00780BA1">
        <w:rPr>
          <w:lang w:val="fr-FR"/>
        </w:rPr>
        <w:tab/>
        <w:t>Le Comité constate que l</w:t>
      </w:r>
      <w:r w:rsidR="00EF1EE8">
        <w:rPr>
          <w:lang w:val="fr-FR"/>
        </w:rPr>
        <w:t>’</w:t>
      </w:r>
      <w:r w:rsidRPr="00780BA1">
        <w:rPr>
          <w:lang w:val="fr-FR"/>
        </w:rPr>
        <w:t>auteur a été arrêté et condamné à une amende administrative en application du paragraphe 1 de l</w:t>
      </w:r>
      <w:r w:rsidR="00EF1EE8">
        <w:rPr>
          <w:lang w:val="fr-FR"/>
        </w:rPr>
        <w:t>’</w:t>
      </w:r>
      <w:r w:rsidRPr="00780BA1">
        <w:rPr>
          <w:lang w:val="fr-FR"/>
        </w:rPr>
        <w:t>article 23.34 du Code des infractions administratives du Bélarus en raison de sa participation à une manifestation non autorisée. Il constate également que l</w:t>
      </w:r>
      <w:r w:rsidR="00EF1EE8">
        <w:rPr>
          <w:lang w:val="fr-FR"/>
        </w:rPr>
        <w:t>’</w:t>
      </w:r>
      <w:r w:rsidRPr="00780BA1">
        <w:rPr>
          <w:lang w:val="fr-FR"/>
        </w:rPr>
        <w:t>État partie n</w:t>
      </w:r>
      <w:r w:rsidR="00EF1EE8">
        <w:rPr>
          <w:lang w:val="fr-FR"/>
        </w:rPr>
        <w:t>’</w:t>
      </w:r>
      <w:r w:rsidRPr="00780BA1">
        <w:rPr>
          <w:lang w:val="fr-FR"/>
        </w:rPr>
        <w:t>a pas démontré que l</w:t>
      </w:r>
      <w:r w:rsidR="00EF1EE8">
        <w:rPr>
          <w:lang w:val="fr-FR"/>
        </w:rPr>
        <w:t>’</w:t>
      </w:r>
      <w:r w:rsidRPr="00780BA1">
        <w:rPr>
          <w:lang w:val="fr-FR"/>
        </w:rPr>
        <w:t>arrestation de l</w:t>
      </w:r>
      <w:r w:rsidR="00EF1EE8">
        <w:rPr>
          <w:lang w:val="fr-FR"/>
        </w:rPr>
        <w:t>’</w:t>
      </w:r>
      <w:r w:rsidRPr="00780BA1">
        <w:rPr>
          <w:lang w:val="fr-FR"/>
        </w:rPr>
        <w:t>auteur et l</w:t>
      </w:r>
      <w:r w:rsidR="00EF1EE8">
        <w:rPr>
          <w:lang w:val="fr-FR"/>
        </w:rPr>
        <w:t>’</w:t>
      </w:r>
      <w:r w:rsidRPr="00780BA1">
        <w:rPr>
          <w:lang w:val="fr-FR"/>
        </w:rPr>
        <w:t>amende à laquelle il a été condamné, bien qu</w:t>
      </w:r>
      <w:r w:rsidR="00EF1EE8">
        <w:rPr>
          <w:lang w:val="fr-FR"/>
        </w:rPr>
        <w:t>’</w:t>
      </w:r>
      <w:r w:rsidRPr="00780BA1">
        <w:rPr>
          <w:lang w:val="fr-FR"/>
        </w:rPr>
        <w:t>elles aient été conformes à la loi, étaient nécessaires et proportionnées à l</w:t>
      </w:r>
      <w:r w:rsidR="00EF1EE8">
        <w:rPr>
          <w:lang w:val="fr-FR"/>
        </w:rPr>
        <w:t>’</w:t>
      </w:r>
      <w:r w:rsidRPr="00780BA1">
        <w:rPr>
          <w:lang w:val="fr-FR"/>
        </w:rPr>
        <w:t>un des buts légitimes énoncés au paragraphe 3 de l</w:t>
      </w:r>
      <w:r w:rsidR="00EF1EE8">
        <w:rPr>
          <w:lang w:val="fr-FR"/>
        </w:rPr>
        <w:t>’</w:t>
      </w:r>
      <w:r w:rsidRPr="00780BA1">
        <w:rPr>
          <w:lang w:val="fr-FR"/>
        </w:rPr>
        <w:t>article 19 et dans la seconde phrase de l</w:t>
      </w:r>
      <w:r w:rsidR="00EF1EE8">
        <w:rPr>
          <w:lang w:val="fr-FR"/>
        </w:rPr>
        <w:t>’</w:t>
      </w:r>
      <w:r w:rsidRPr="00780BA1">
        <w:rPr>
          <w:lang w:val="fr-FR"/>
        </w:rPr>
        <w:t>article 21 du Pacte. Il conclut donc que les faits dont il est saisi font apparaître une violation, par l</w:t>
      </w:r>
      <w:r w:rsidR="00EF1EE8">
        <w:rPr>
          <w:lang w:val="fr-FR"/>
        </w:rPr>
        <w:t>’</w:t>
      </w:r>
      <w:r w:rsidRPr="00780BA1">
        <w:rPr>
          <w:lang w:val="fr-FR"/>
        </w:rPr>
        <w:t>État partie, des droits que l</w:t>
      </w:r>
      <w:r w:rsidR="00EF1EE8">
        <w:rPr>
          <w:lang w:val="fr-FR"/>
        </w:rPr>
        <w:t>’</w:t>
      </w:r>
      <w:r w:rsidRPr="00780BA1">
        <w:rPr>
          <w:lang w:val="fr-FR"/>
        </w:rPr>
        <w:t>auteur tient du paragraphe 2 de l</w:t>
      </w:r>
      <w:r w:rsidR="00EF1EE8">
        <w:rPr>
          <w:lang w:val="fr-FR"/>
        </w:rPr>
        <w:t>’</w:t>
      </w:r>
      <w:r w:rsidRPr="00780BA1">
        <w:rPr>
          <w:lang w:val="fr-FR"/>
        </w:rPr>
        <w:t>article 19 et de l</w:t>
      </w:r>
      <w:r w:rsidR="00EF1EE8">
        <w:rPr>
          <w:lang w:val="fr-FR"/>
        </w:rPr>
        <w:t>’</w:t>
      </w:r>
      <w:r w:rsidRPr="00780BA1">
        <w:rPr>
          <w:lang w:val="fr-FR"/>
        </w:rPr>
        <w:t>article 21 du Pacte.</w:t>
      </w:r>
    </w:p>
    <w:p w:rsidR="00780BA1" w:rsidRPr="00780BA1" w:rsidRDefault="00780BA1" w:rsidP="00780BA1">
      <w:pPr>
        <w:pStyle w:val="SingleTxtG"/>
        <w:rPr>
          <w:lang w:val="fr-FR"/>
        </w:rPr>
      </w:pPr>
      <w:r w:rsidRPr="00780BA1">
        <w:rPr>
          <w:lang w:val="fr-FR"/>
        </w:rPr>
        <w:t>8.</w:t>
      </w:r>
      <w:r w:rsidRPr="00780BA1">
        <w:rPr>
          <w:lang w:val="fr-FR"/>
        </w:rPr>
        <w:tab/>
        <w:t>Le Comité des droits de l</w:t>
      </w:r>
      <w:r w:rsidR="00EF1EE8">
        <w:rPr>
          <w:lang w:val="fr-FR"/>
        </w:rPr>
        <w:t>’</w:t>
      </w:r>
      <w:r w:rsidRPr="00780BA1">
        <w:rPr>
          <w:lang w:val="fr-FR"/>
        </w:rPr>
        <w:t>homme, agissant en vertu du paragraphe 4 de l</w:t>
      </w:r>
      <w:r w:rsidR="00EF1EE8">
        <w:rPr>
          <w:lang w:val="fr-FR"/>
        </w:rPr>
        <w:t>’</w:t>
      </w:r>
      <w:r w:rsidRPr="00780BA1">
        <w:rPr>
          <w:lang w:val="fr-FR"/>
        </w:rPr>
        <w:t>article 5 du Protocole facultatif se rapportant au Pacte international relatif aux droits civils et politiques, constate que l</w:t>
      </w:r>
      <w:r w:rsidR="00EF1EE8">
        <w:rPr>
          <w:lang w:val="fr-FR"/>
        </w:rPr>
        <w:t>’</w:t>
      </w:r>
      <w:r w:rsidRPr="00780BA1">
        <w:rPr>
          <w:lang w:val="fr-FR"/>
        </w:rPr>
        <w:t>État partie a porté atteinte aux droits que l</w:t>
      </w:r>
      <w:r w:rsidR="00EF1EE8">
        <w:rPr>
          <w:lang w:val="fr-FR"/>
        </w:rPr>
        <w:t>’</w:t>
      </w:r>
      <w:r w:rsidRPr="00780BA1">
        <w:rPr>
          <w:lang w:val="fr-FR"/>
        </w:rPr>
        <w:t>auteur tient du paragraphe 2 de l</w:t>
      </w:r>
      <w:r w:rsidR="00EF1EE8">
        <w:rPr>
          <w:lang w:val="fr-FR"/>
        </w:rPr>
        <w:t>’</w:t>
      </w:r>
      <w:r w:rsidRPr="00780BA1">
        <w:rPr>
          <w:lang w:val="fr-FR"/>
        </w:rPr>
        <w:t>article 19 et de l</w:t>
      </w:r>
      <w:r w:rsidR="00EF1EE8">
        <w:rPr>
          <w:lang w:val="fr-FR"/>
        </w:rPr>
        <w:t>’</w:t>
      </w:r>
      <w:r w:rsidRPr="00780BA1">
        <w:rPr>
          <w:lang w:val="fr-FR"/>
        </w:rPr>
        <w:t>article 21 du Pacte.</w:t>
      </w:r>
    </w:p>
    <w:p w:rsidR="00780BA1" w:rsidRPr="00780BA1" w:rsidRDefault="00780BA1" w:rsidP="00780BA1">
      <w:pPr>
        <w:pStyle w:val="SingleTxtG"/>
        <w:rPr>
          <w:lang w:val="fr-FR"/>
        </w:rPr>
      </w:pPr>
      <w:r w:rsidRPr="00780BA1">
        <w:rPr>
          <w:lang w:val="fr-FR"/>
        </w:rPr>
        <w:t>9.</w:t>
      </w:r>
      <w:r w:rsidRPr="00780BA1">
        <w:rPr>
          <w:lang w:val="fr-FR"/>
        </w:rPr>
        <w:tab/>
        <w:t>Conformément au paragraphe 3 a) de l</w:t>
      </w:r>
      <w:r w:rsidR="00EF1EE8">
        <w:rPr>
          <w:lang w:val="fr-FR"/>
        </w:rPr>
        <w:t>’</w:t>
      </w:r>
      <w:r w:rsidRPr="00780BA1">
        <w:rPr>
          <w:lang w:val="fr-FR"/>
        </w:rPr>
        <w:t>article 2 du Pacte, l</w:t>
      </w:r>
      <w:r w:rsidR="00EF1EE8">
        <w:rPr>
          <w:lang w:val="fr-FR"/>
        </w:rPr>
        <w:t>’</w:t>
      </w:r>
      <w:r w:rsidRPr="00780BA1">
        <w:rPr>
          <w:lang w:val="fr-FR"/>
        </w:rPr>
        <w:t>État partie est tenu d</w:t>
      </w:r>
      <w:r w:rsidR="00EF1EE8">
        <w:rPr>
          <w:lang w:val="fr-FR"/>
        </w:rPr>
        <w:t>’</w:t>
      </w:r>
      <w:r w:rsidRPr="00780BA1">
        <w:rPr>
          <w:lang w:val="fr-FR"/>
        </w:rPr>
        <w:t>assurer à l</w:t>
      </w:r>
      <w:r w:rsidR="00EF1EE8">
        <w:rPr>
          <w:lang w:val="fr-FR"/>
        </w:rPr>
        <w:t>’</w:t>
      </w:r>
      <w:r w:rsidRPr="00780BA1">
        <w:rPr>
          <w:lang w:val="fr-FR"/>
        </w:rPr>
        <w:t>auteur un recours utile, y compris une réparation adéquate et le remboursement de l</w:t>
      </w:r>
      <w:r w:rsidR="00EF1EE8">
        <w:rPr>
          <w:lang w:val="fr-FR"/>
        </w:rPr>
        <w:t>’</w:t>
      </w:r>
      <w:r w:rsidRPr="00780BA1">
        <w:rPr>
          <w:lang w:val="fr-FR"/>
        </w:rPr>
        <w:t>amende imposée à l</w:t>
      </w:r>
      <w:r w:rsidR="00EF1EE8">
        <w:rPr>
          <w:lang w:val="fr-FR"/>
        </w:rPr>
        <w:t>’</w:t>
      </w:r>
      <w:r w:rsidRPr="00780BA1">
        <w:rPr>
          <w:lang w:val="fr-FR"/>
        </w:rPr>
        <w:t>auteur à l</w:t>
      </w:r>
      <w:r w:rsidR="00EF1EE8">
        <w:rPr>
          <w:lang w:val="fr-FR"/>
        </w:rPr>
        <w:t>’</w:t>
      </w:r>
      <w:r w:rsidRPr="00780BA1">
        <w:rPr>
          <w:lang w:val="fr-FR"/>
        </w:rPr>
        <w:t>issue de la procédure administrative</w:t>
      </w:r>
      <w:r>
        <w:rPr>
          <w:lang w:val="fr-FR"/>
        </w:rPr>
        <w:t>. Il </w:t>
      </w:r>
      <w:r w:rsidRPr="00780BA1">
        <w:rPr>
          <w:lang w:val="fr-FR"/>
        </w:rPr>
        <w:t>est également tenu de veiller à ce que des violations anal</w:t>
      </w:r>
      <w:r w:rsidR="00EF1EE8">
        <w:rPr>
          <w:lang w:val="fr-FR"/>
        </w:rPr>
        <w:t>ogues ne se reproduisent pas. À </w:t>
      </w:r>
      <w:r w:rsidRPr="00780BA1">
        <w:rPr>
          <w:lang w:val="fr-FR"/>
        </w:rPr>
        <w:t>ce sujet, le Comité rappelle que l</w:t>
      </w:r>
      <w:r w:rsidR="00EF1EE8">
        <w:rPr>
          <w:lang w:val="fr-FR"/>
        </w:rPr>
        <w:t>’</w:t>
      </w:r>
      <w:r w:rsidRPr="00780BA1">
        <w:rPr>
          <w:lang w:val="fr-FR"/>
        </w:rPr>
        <w:t>État partie devrait réviser sa législation, en particulier la loi du 30 décembre 1997 relative aux manifestations de masse, qui a été appliquée en l</w:t>
      </w:r>
      <w:r w:rsidR="00EF1EE8">
        <w:rPr>
          <w:lang w:val="fr-FR"/>
        </w:rPr>
        <w:t>’</w:t>
      </w:r>
      <w:r w:rsidRPr="00780BA1">
        <w:rPr>
          <w:lang w:val="fr-FR"/>
        </w:rPr>
        <w:t>espèce, afin que les droits consacrés aux articles 19 et 21 du Pacte puissent être pleinement exercés dans l</w:t>
      </w:r>
      <w:r w:rsidR="00EF1EE8">
        <w:rPr>
          <w:lang w:val="fr-FR"/>
        </w:rPr>
        <w:t>’</w:t>
      </w:r>
      <w:r w:rsidRPr="00780BA1">
        <w:rPr>
          <w:lang w:val="fr-FR"/>
        </w:rPr>
        <w:t>État partie</w:t>
      </w:r>
      <w:r w:rsidRPr="00780BA1">
        <w:rPr>
          <w:rStyle w:val="FootnoteReference"/>
        </w:rPr>
        <w:footnoteReference w:id="14"/>
      </w:r>
      <w:r w:rsidRPr="00780BA1">
        <w:rPr>
          <w:lang w:val="fr-FR"/>
        </w:rPr>
        <w:t>.</w:t>
      </w:r>
    </w:p>
    <w:p w:rsidR="00780BA1" w:rsidRDefault="00780BA1" w:rsidP="00780BA1">
      <w:pPr>
        <w:pStyle w:val="SingleTxtG"/>
      </w:pPr>
      <w:r w:rsidRPr="00780BA1">
        <w:rPr>
          <w:lang w:val="fr-FR"/>
        </w:rPr>
        <w:t>10.</w:t>
      </w:r>
      <w:r w:rsidRPr="00780BA1">
        <w:rPr>
          <w:lang w:val="fr-FR"/>
        </w:rPr>
        <w:tab/>
      </w:r>
      <w:r w:rsidRPr="00EF1EE8">
        <w:rPr>
          <w:spacing w:val="-2"/>
          <w:lang w:val="fr-FR"/>
        </w:rPr>
        <w:t>En adhérant au Protocole facultatif, l</w:t>
      </w:r>
      <w:r w:rsidR="00EF1EE8">
        <w:rPr>
          <w:spacing w:val="-2"/>
          <w:lang w:val="fr-FR"/>
        </w:rPr>
        <w:t>’</w:t>
      </w:r>
      <w:r w:rsidRPr="00EF1EE8">
        <w:rPr>
          <w:spacing w:val="-2"/>
          <w:lang w:val="fr-FR"/>
        </w:rPr>
        <w:t>État partie a reconnu que le Comité a compétence pour déterminer s</w:t>
      </w:r>
      <w:r w:rsidR="00EF1EE8">
        <w:rPr>
          <w:spacing w:val="-2"/>
          <w:lang w:val="fr-FR"/>
        </w:rPr>
        <w:t>’</w:t>
      </w:r>
      <w:r w:rsidRPr="00EF1EE8">
        <w:rPr>
          <w:spacing w:val="-2"/>
          <w:lang w:val="fr-FR"/>
        </w:rPr>
        <w:t>il y a ou non violation du Pacte. Conformément à l</w:t>
      </w:r>
      <w:r w:rsidR="00EF1EE8">
        <w:rPr>
          <w:spacing w:val="-2"/>
          <w:lang w:val="fr-FR"/>
        </w:rPr>
        <w:t>’</w:t>
      </w:r>
      <w:r w:rsidRPr="00EF1EE8">
        <w:rPr>
          <w:spacing w:val="-2"/>
          <w:lang w:val="fr-FR"/>
        </w:rPr>
        <w:t>article 2 du Pacte, il s</w:t>
      </w:r>
      <w:r w:rsidR="00EF1EE8">
        <w:rPr>
          <w:spacing w:val="-2"/>
          <w:lang w:val="fr-FR"/>
        </w:rPr>
        <w:t>’</w:t>
      </w:r>
      <w:r w:rsidRPr="00EF1EE8">
        <w:rPr>
          <w:spacing w:val="-2"/>
          <w:lang w:val="fr-FR"/>
        </w:rPr>
        <w:t>est engagé à garantir à tous les individus se trouvant sur son territoire et relevant de sa juridiction les droits reconnus dans le Pacte et à assurer un recours utile et exécutoire lorsqu</w:t>
      </w:r>
      <w:r w:rsidR="00EF1EE8">
        <w:rPr>
          <w:spacing w:val="-2"/>
          <w:lang w:val="fr-FR"/>
        </w:rPr>
        <w:t>’</w:t>
      </w:r>
      <w:r w:rsidRPr="00EF1EE8">
        <w:rPr>
          <w:spacing w:val="-2"/>
          <w:lang w:val="fr-FR"/>
        </w:rPr>
        <w:t>une violation a été établie. En conséquence, le Comité prie l</w:t>
      </w:r>
      <w:r w:rsidR="00EF1EE8">
        <w:rPr>
          <w:spacing w:val="-2"/>
          <w:lang w:val="fr-FR"/>
        </w:rPr>
        <w:t>’</w:t>
      </w:r>
      <w:r w:rsidRPr="00EF1EE8">
        <w:rPr>
          <w:spacing w:val="-2"/>
          <w:lang w:val="fr-FR"/>
        </w:rPr>
        <w:t>État partie de lui fournir, dans un délai de cent quatre-vingts jours, des renseignements sur les mesures prises pour donner effet aux présentes constatations. L</w:t>
      </w:r>
      <w:r w:rsidR="00EF1EE8">
        <w:rPr>
          <w:spacing w:val="-2"/>
          <w:lang w:val="fr-FR"/>
        </w:rPr>
        <w:t>’</w:t>
      </w:r>
      <w:r w:rsidRPr="00EF1EE8">
        <w:rPr>
          <w:spacing w:val="-2"/>
          <w:lang w:val="fr-FR"/>
        </w:rPr>
        <w:t>État partie est invité en outre à rendre celles-ci publiques et à les diffuser largement en biélorusse et en russe sur son territoire.</w:t>
      </w:r>
    </w:p>
    <w:p w:rsidR="00642728" w:rsidRPr="00780BA1" w:rsidRDefault="00780BA1" w:rsidP="00780BA1">
      <w:pPr>
        <w:pStyle w:val="SingleTxtG"/>
        <w:spacing w:before="240" w:after="0"/>
        <w:jc w:val="center"/>
        <w:rPr>
          <w:u w:val="single"/>
        </w:rPr>
      </w:pPr>
      <w:r>
        <w:rPr>
          <w:u w:val="single"/>
        </w:rPr>
        <w:tab/>
      </w:r>
      <w:r>
        <w:rPr>
          <w:u w:val="single"/>
        </w:rPr>
        <w:tab/>
      </w:r>
      <w:r>
        <w:rPr>
          <w:u w:val="single"/>
        </w:rPr>
        <w:tab/>
      </w:r>
    </w:p>
    <w:sectPr w:rsidR="00642728" w:rsidRPr="00780BA1" w:rsidSect="007A5689">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BA1" w:rsidRDefault="00780BA1"/>
  </w:endnote>
  <w:endnote w:type="continuationSeparator" w:id="0">
    <w:p w:rsidR="00780BA1" w:rsidRDefault="00780BA1"/>
  </w:endnote>
  <w:endnote w:type="continuationNotice" w:id="1">
    <w:p w:rsidR="00780BA1" w:rsidRPr="00AE2643" w:rsidRDefault="00780BA1" w:rsidP="00AE2643">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BA1" w:rsidRPr="007A5689" w:rsidRDefault="00780BA1" w:rsidP="007A5689">
    <w:pPr>
      <w:pStyle w:val="Footer"/>
      <w:tabs>
        <w:tab w:val="right" w:pos="9638"/>
      </w:tabs>
    </w:pPr>
    <w:r w:rsidRPr="007A5689">
      <w:rPr>
        <w:b/>
        <w:sz w:val="18"/>
      </w:rPr>
      <w:fldChar w:fldCharType="begin"/>
    </w:r>
    <w:r w:rsidRPr="007A5689">
      <w:rPr>
        <w:b/>
        <w:sz w:val="18"/>
      </w:rPr>
      <w:instrText xml:space="preserve"> PAGE  \* MERGEFORMAT </w:instrText>
    </w:r>
    <w:r w:rsidRPr="007A5689">
      <w:rPr>
        <w:b/>
        <w:sz w:val="18"/>
      </w:rPr>
      <w:fldChar w:fldCharType="separate"/>
    </w:r>
    <w:r w:rsidR="001F752A">
      <w:rPr>
        <w:b/>
        <w:noProof/>
        <w:sz w:val="18"/>
      </w:rPr>
      <w:t>2</w:t>
    </w:r>
    <w:r w:rsidRPr="007A5689">
      <w:rPr>
        <w:b/>
        <w:sz w:val="18"/>
      </w:rPr>
      <w:fldChar w:fldCharType="end"/>
    </w:r>
    <w:r>
      <w:rPr>
        <w:b/>
        <w:sz w:val="18"/>
      </w:rPr>
      <w:tab/>
    </w:r>
    <w:r>
      <w:t>GE.14-22856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BA1" w:rsidRPr="007A5689" w:rsidRDefault="00780BA1" w:rsidP="007A5689">
    <w:pPr>
      <w:pStyle w:val="Footer"/>
      <w:tabs>
        <w:tab w:val="right" w:pos="9638"/>
      </w:tabs>
      <w:rPr>
        <w:b/>
        <w:sz w:val="18"/>
      </w:rPr>
    </w:pPr>
    <w:r>
      <w:t>GE.14-22856</w:t>
    </w:r>
    <w:r>
      <w:tab/>
    </w:r>
    <w:r w:rsidRPr="007A5689">
      <w:rPr>
        <w:b/>
        <w:sz w:val="18"/>
      </w:rPr>
      <w:fldChar w:fldCharType="begin"/>
    </w:r>
    <w:r w:rsidRPr="007A5689">
      <w:rPr>
        <w:b/>
        <w:sz w:val="18"/>
      </w:rPr>
      <w:instrText xml:space="preserve"> PAGE  \* MERGEFORMAT </w:instrText>
    </w:r>
    <w:r w:rsidRPr="007A5689">
      <w:rPr>
        <w:b/>
        <w:sz w:val="18"/>
      </w:rPr>
      <w:fldChar w:fldCharType="separate"/>
    </w:r>
    <w:r w:rsidR="001F752A">
      <w:rPr>
        <w:b/>
        <w:noProof/>
        <w:sz w:val="18"/>
      </w:rPr>
      <w:t>3</w:t>
    </w:r>
    <w:r w:rsidRPr="007A568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BA1" w:rsidRDefault="00780BA1" w:rsidP="007A5689">
    <w:pPr>
      <w:pStyle w:val="Footer"/>
      <w:spacing w:before="120"/>
    </w:pPr>
    <w:r>
      <w:rPr>
        <w:sz w:val="20"/>
      </w:rPr>
      <w:t>GE.14-22856</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  (F)    151214    151214</w:t>
    </w:r>
    <w:r>
      <w:rPr>
        <w:sz w:val="20"/>
      </w:rPr>
      <w:br/>
    </w:r>
    <w:r w:rsidRPr="007A5689">
      <w:rPr>
        <w:rFonts w:ascii="C39T30Lfz" w:hAnsi="C39T30Lfz"/>
        <w:sz w:val="56"/>
      </w:rPr>
      <w:t></w:t>
    </w:r>
    <w:r w:rsidRPr="007A5689">
      <w:rPr>
        <w:rFonts w:ascii="C39T30Lfz" w:hAnsi="C39T30Lfz"/>
        <w:sz w:val="56"/>
      </w:rPr>
      <w:t></w:t>
    </w:r>
    <w:r w:rsidRPr="007A5689">
      <w:rPr>
        <w:rFonts w:ascii="C39T30Lfz" w:hAnsi="C39T30Lfz"/>
        <w:sz w:val="56"/>
      </w:rPr>
      <w:t></w:t>
    </w:r>
    <w:r w:rsidRPr="007A5689">
      <w:rPr>
        <w:rFonts w:ascii="C39T30Lfz" w:hAnsi="C39T30Lfz"/>
        <w:sz w:val="56"/>
      </w:rPr>
      <w:t></w:t>
    </w:r>
    <w:r w:rsidRPr="007A5689">
      <w:rPr>
        <w:rFonts w:ascii="C39T30Lfz" w:hAnsi="C39T30Lfz"/>
        <w:sz w:val="56"/>
      </w:rPr>
      <w:t></w:t>
    </w:r>
    <w:r w:rsidRPr="007A5689">
      <w:rPr>
        <w:rFonts w:ascii="C39T30Lfz" w:hAnsi="C39T30Lfz"/>
        <w:sz w:val="56"/>
      </w:rPr>
      <w:t></w:t>
    </w:r>
    <w:r w:rsidRPr="007A5689">
      <w:rPr>
        <w:rFonts w:ascii="C39T30Lfz" w:hAnsi="C39T30Lfz"/>
        <w:sz w:val="56"/>
      </w:rPr>
      <w:t></w:t>
    </w:r>
    <w:r w:rsidRPr="007A5689">
      <w:rPr>
        <w:rFonts w:ascii="C39T30Lfz" w:hAnsi="C39T30Lfz"/>
        <w:sz w:val="56"/>
      </w:rPr>
      <w:t></w:t>
    </w:r>
    <w:r w:rsidRPr="007A5689">
      <w:rPr>
        <w:rFonts w:ascii="C39T30Lfz" w:hAnsi="C39T30Lfz"/>
        <w:sz w:val="56"/>
      </w:rPr>
      <w:t></w:t>
    </w:r>
    <w:r>
      <w:rPr>
        <w:noProof/>
        <w:lang w:val="fr-FR" w:eastAsia="fr-FR"/>
      </w:rPr>
      <w:pict>
        <v:shape id="_x0000_s2052" type="#_x0000_t75" style="position:absolute;margin-left:432.25pt;margin-top:632.1pt;width:50.25pt;height:50.25pt;z-index:2;mso-position-horizontal-relative:margin;mso-position-vertical-relative:margin">
          <v:imagedata r:id="rId2" o:title="2011&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BA1" w:rsidRPr="00D27D5E" w:rsidRDefault="00780BA1" w:rsidP="00D27D5E">
      <w:pPr>
        <w:tabs>
          <w:tab w:val="right" w:pos="2155"/>
        </w:tabs>
        <w:spacing w:after="80"/>
        <w:ind w:left="680"/>
        <w:rPr>
          <w:u w:val="single"/>
        </w:rPr>
      </w:pPr>
      <w:r>
        <w:rPr>
          <w:u w:val="single"/>
        </w:rPr>
        <w:tab/>
      </w:r>
    </w:p>
  </w:footnote>
  <w:footnote w:type="continuationSeparator" w:id="0">
    <w:p w:rsidR="00780BA1" w:rsidRPr="00A821B8" w:rsidRDefault="00780BA1" w:rsidP="00A821B8">
      <w:pPr>
        <w:tabs>
          <w:tab w:val="right" w:pos="2155"/>
        </w:tabs>
        <w:spacing w:after="80"/>
        <w:ind w:left="680"/>
        <w:rPr>
          <w:u w:val="single"/>
        </w:rPr>
      </w:pPr>
      <w:r w:rsidRPr="00A821B8">
        <w:rPr>
          <w:u w:val="single"/>
        </w:rPr>
        <w:tab/>
      </w:r>
    </w:p>
  </w:footnote>
  <w:footnote w:type="continuationNotice" w:id="1">
    <w:p w:rsidR="00780BA1" w:rsidRPr="00AE2643" w:rsidRDefault="00780BA1" w:rsidP="00AE2643">
      <w:pPr>
        <w:spacing w:line="240" w:lineRule="auto"/>
        <w:rPr>
          <w:sz w:val="2"/>
          <w:szCs w:val="2"/>
        </w:rPr>
      </w:pPr>
    </w:p>
  </w:footnote>
  <w:footnote w:id="2">
    <w:p w:rsidR="00780BA1" w:rsidRPr="005B01E9" w:rsidRDefault="00780BA1" w:rsidP="006B4804">
      <w:pPr>
        <w:pStyle w:val="FootnoteText"/>
        <w:rPr>
          <w:lang w:val="fr-FR"/>
        </w:rPr>
      </w:pPr>
      <w:r>
        <w:tab/>
      </w:r>
      <w:r w:rsidRPr="007A5689">
        <w:rPr>
          <w:rStyle w:val="FootnoteReference"/>
          <w:sz w:val="20"/>
          <w:vertAlign w:val="baseline"/>
        </w:rPr>
        <w:t>*</w:t>
      </w:r>
      <w:r>
        <w:tab/>
      </w:r>
      <w:r w:rsidRPr="005B01E9">
        <w:rPr>
          <w:szCs w:val="18"/>
        </w:rPr>
        <w:t>Les membres du Comité dont le nom suit ont participé à l</w:t>
      </w:r>
      <w:r w:rsidR="00EF1EE8">
        <w:rPr>
          <w:szCs w:val="18"/>
        </w:rPr>
        <w:t>’</w:t>
      </w:r>
      <w:r w:rsidRPr="005B01E9">
        <w:rPr>
          <w:szCs w:val="18"/>
        </w:rPr>
        <w:t xml:space="preserve">examen de la communication: </w:t>
      </w:r>
      <w:r>
        <w:rPr>
          <w:szCs w:val="18"/>
        </w:rPr>
        <w:br/>
      </w:r>
      <w:r>
        <w:rPr>
          <w:szCs w:val="18"/>
          <w:lang/>
        </w:rPr>
        <w:t>Yadh </w:t>
      </w:r>
      <w:r w:rsidRPr="007A5689">
        <w:rPr>
          <w:szCs w:val="18"/>
          <w:lang/>
        </w:rPr>
        <w:t xml:space="preserve">Ben Achour, </w:t>
      </w:r>
      <w:r w:rsidRPr="007A5689">
        <w:rPr>
          <w:bCs/>
          <w:szCs w:val="18"/>
          <w:lang w:val="fr-FR"/>
        </w:rPr>
        <w:t>Lazhar</w:t>
      </w:r>
      <w:r>
        <w:rPr>
          <w:bCs/>
          <w:szCs w:val="18"/>
          <w:lang w:val="fr-FR"/>
        </w:rPr>
        <w:t>i </w:t>
      </w:r>
      <w:r w:rsidRPr="007A5689">
        <w:rPr>
          <w:bCs/>
          <w:szCs w:val="18"/>
          <w:lang w:val="fr-FR"/>
        </w:rPr>
        <w:t xml:space="preserve">Bouzid, </w:t>
      </w:r>
      <w:r>
        <w:rPr>
          <w:bCs/>
          <w:szCs w:val="18"/>
          <w:lang w:val="en-US"/>
        </w:rPr>
        <w:t>Christine </w:t>
      </w:r>
      <w:r w:rsidRPr="007A5689">
        <w:rPr>
          <w:bCs/>
          <w:szCs w:val="18"/>
          <w:lang w:val="en-US"/>
        </w:rPr>
        <w:t xml:space="preserve">Chanet, </w:t>
      </w:r>
      <w:r>
        <w:rPr>
          <w:bCs/>
          <w:szCs w:val="18"/>
          <w:lang w:val="en-US"/>
        </w:rPr>
        <w:t>Cornelis </w:t>
      </w:r>
      <w:r w:rsidRPr="007A5689">
        <w:rPr>
          <w:bCs/>
          <w:szCs w:val="18"/>
          <w:lang w:val="en-US"/>
        </w:rPr>
        <w:t xml:space="preserve">Flinterman, </w:t>
      </w:r>
      <w:r w:rsidRPr="007A5689">
        <w:rPr>
          <w:szCs w:val="18"/>
          <w:lang/>
        </w:rPr>
        <w:t>Yuji</w:t>
      </w:r>
      <w:r w:rsidRPr="007A5689">
        <w:rPr>
          <w:szCs w:val="18"/>
        </w:rPr>
        <w:t> </w:t>
      </w:r>
      <w:r w:rsidRPr="007A5689">
        <w:rPr>
          <w:szCs w:val="18"/>
          <w:lang/>
        </w:rPr>
        <w:t xml:space="preserve">Iwasawa, </w:t>
      </w:r>
      <w:r>
        <w:rPr>
          <w:szCs w:val="18"/>
          <w:lang/>
        </w:rPr>
        <w:t>Walter </w:t>
      </w:r>
      <w:r w:rsidRPr="007A5689">
        <w:rPr>
          <w:szCs w:val="18"/>
          <w:lang/>
        </w:rPr>
        <w:t xml:space="preserve">Kälin, </w:t>
      </w:r>
      <w:r>
        <w:rPr>
          <w:bCs/>
          <w:szCs w:val="18"/>
          <w:lang w:val="fr-FR"/>
        </w:rPr>
        <w:t>Gerald </w:t>
      </w:r>
      <w:r w:rsidRPr="007A5689">
        <w:rPr>
          <w:bCs/>
          <w:szCs w:val="18"/>
          <w:lang w:val="fr-FR"/>
        </w:rPr>
        <w:t xml:space="preserve">L. Neuman, </w:t>
      </w:r>
      <w:r w:rsidRPr="007A5689">
        <w:rPr>
          <w:szCs w:val="18"/>
          <w:lang/>
        </w:rPr>
        <w:t xml:space="preserve">Sir Nigel Rodley, </w:t>
      </w:r>
      <w:r w:rsidRPr="007A5689">
        <w:rPr>
          <w:bCs/>
          <w:szCs w:val="18"/>
          <w:lang w:val="fr-FR"/>
        </w:rPr>
        <w:t>Victor Manuel Rodríguez-Rescia,</w:t>
      </w:r>
      <w:r>
        <w:rPr>
          <w:bCs/>
          <w:szCs w:val="18"/>
          <w:lang w:val="fr-FR"/>
        </w:rPr>
        <w:br/>
      </w:r>
      <w:r w:rsidRPr="007A5689">
        <w:rPr>
          <w:bCs/>
          <w:szCs w:val="18"/>
          <w:lang w:val="fr-FR"/>
        </w:rPr>
        <w:t>Fabi</w:t>
      </w:r>
      <w:r>
        <w:rPr>
          <w:bCs/>
          <w:szCs w:val="18"/>
          <w:lang w:val="fr-FR"/>
        </w:rPr>
        <w:t>án </w:t>
      </w:r>
      <w:r w:rsidRPr="007A5689">
        <w:rPr>
          <w:bCs/>
          <w:szCs w:val="18"/>
          <w:lang w:val="fr-FR"/>
        </w:rPr>
        <w:t xml:space="preserve">Omar Salvioli, </w:t>
      </w:r>
      <w:r>
        <w:rPr>
          <w:szCs w:val="18"/>
          <w:lang/>
        </w:rPr>
        <w:t>Dheerujlall </w:t>
      </w:r>
      <w:r w:rsidRPr="007A5689">
        <w:rPr>
          <w:szCs w:val="18"/>
          <w:lang/>
        </w:rPr>
        <w:t xml:space="preserve">Seetulsingh, </w:t>
      </w:r>
      <w:r>
        <w:rPr>
          <w:szCs w:val="18"/>
          <w:lang/>
        </w:rPr>
        <w:t>Yuval </w:t>
      </w:r>
      <w:r w:rsidRPr="007A5689">
        <w:rPr>
          <w:szCs w:val="18"/>
          <w:lang/>
        </w:rPr>
        <w:t xml:space="preserve">Shany, </w:t>
      </w:r>
      <w:r>
        <w:rPr>
          <w:bCs/>
          <w:szCs w:val="18"/>
          <w:lang w:val="en-US"/>
        </w:rPr>
        <w:t>Konstantine </w:t>
      </w:r>
      <w:r w:rsidRPr="007A5689">
        <w:rPr>
          <w:bCs/>
          <w:szCs w:val="18"/>
          <w:lang w:val="en-US"/>
        </w:rPr>
        <w:t xml:space="preserve">Varzelashvili, </w:t>
      </w:r>
      <w:r>
        <w:rPr>
          <w:bCs/>
          <w:szCs w:val="18"/>
          <w:lang w:val="fr-FR"/>
        </w:rPr>
        <w:t>Margo </w:t>
      </w:r>
      <w:r w:rsidRPr="007A5689">
        <w:rPr>
          <w:bCs/>
          <w:szCs w:val="18"/>
          <w:lang w:val="fr-FR"/>
        </w:rPr>
        <w:t xml:space="preserve">Waterval et </w:t>
      </w:r>
      <w:r>
        <w:rPr>
          <w:szCs w:val="18"/>
          <w:lang/>
        </w:rPr>
        <w:t>Andrei </w:t>
      </w:r>
      <w:r w:rsidRPr="007A5689">
        <w:rPr>
          <w:szCs w:val="18"/>
          <w:lang/>
        </w:rPr>
        <w:t>Paul Zlătescu</w:t>
      </w:r>
      <w:r w:rsidRPr="007A5689">
        <w:rPr>
          <w:bCs/>
          <w:szCs w:val="18"/>
          <w:lang w:val="fr-FR"/>
        </w:rPr>
        <w:t>.</w:t>
      </w:r>
    </w:p>
  </w:footnote>
  <w:footnote w:id="3">
    <w:p w:rsidR="00780BA1" w:rsidRDefault="00780BA1" w:rsidP="00780BA1">
      <w:pPr>
        <w:pStyle w:val="FootnoteText"/>
      </w:pPr>
      <w:r w:rsidRPr="00160860">
        <w:tab/>
      </w:r>
      <w:r w:rsidRPr="008B176F">
        <w:rPr>
          <w:rStyle w:val="FootnoteReference"/>
        </w:rPr>
        <w:footnoteRef/>
      </w:r>
      <w:r w:rsidRPr="00160860">
        <w:tab/>
      </w:r>
      <w:r>
        <w:t>Le paragraphe </w:t>
      </w:r>
      <w:r w:rsidRPr="00EF10DF">
        <w:t>1 de l</w:t>
      </w:r>
      <w:r w:rsidR="00EF1EE8">
        <w:t>’</w:t>
      </w:r>
      <w:r>
        <w:t>article </w:t>
      </w:r>
      <w:r w:rsidRPr="00EF10DF">
        <w:t>23.34 du Code des infractions administra</w:t>
      </w:r>
      <w:r>
        <w:t>tives du Bélarus dispose ce qui suit: «Non</w:t>
      </w:r>
      <w:r>
        <w:noBreakHyphen/>
      </w:r>
      <w:r w:rsidRPr="00EF10DF">
        <w:t>respect de la procédure régissant l</w:t>
      </w:r>
      <w:r w:rsidR="00EF1EE8">
        <w:t>’</w:t>
      </w:r>
      <w:r w:rsidRPr="00EF10DF">
        <w:t>organisation ou le déroulement de manifestations collectives ou de piquets. Le non-respect de la procédure régissant l</w:t>
      </w:r>
      <w:r w:rsidR="00EF1EE8">
        <w:t>’</w:t>
      </w:r>
      <w:r w:rsidRPr="00EF10DF">
        <w:t>organisation ou le déroulement de rassemblements, réunions, défilés, marches ou autres manifestations collectives ou piquets est punissable d</w:t>
      </w:r>
      <w:r w:rsidR="00EF1EE8">
        <w:t>’</w:t>
      </w:r>
      <w:r w:rsidRPr="00EF10DF">
        <w:t>un avertissement, d</w:t>
      </w:r>
      <w:r w:rsidR="00EF1EE8">
        <w:t>’</w:t>
      </w:r>
      <w:r w:rsidRPr="00EF10DF">
        <w:t>une amende d</w:t>
      </w:r>
      <w:r w:rsidR="00EF1EE8">
        <w:t>’</w:t>
      </w:r>
      <w:r w:rsidRPr="00EF10DF">
        <w:t>un montant équi</w:t>
      </w:r>
      <w:r>
        <w:t>valant au maximum à 10 fois le </w:t>
      </w:r>
      <w:r w:rsidRPr="00EF10DF">
        <w:t>salaire minimum ou d</w:t>
      </w:r>
      <w:r w:rsidR="00EF1EE8">
        <w:t>’</w:t>
      </w:r>
      <w:r w:rsidRPr="00EF10DF">
        <w:t>une peine de détention administrative</w:t>
      </w:r>
      <w:r>
        <w:t xml:space="preserve">.». </w:t>
      </w:r>
    </w:p>
  </w:footnote>
  <w:footnote w:id="4">
    <w:p w:rsidR="00780BA1" w:rsidRPr="00A112DB" w:rsidRDefault="00780BA1" w:rsidP="00780BA1">
      <w:pPr>
        <w:pStyle w:val="FootnoteText"/>
        <w:rPr>
          <w:spacing w:val="-2"/>
        </w:rPr>
      </w:pPr>
      <w:r w:rsidRPr="00A112DB">
        <w:rPr>
          <w:spacing w:val="-2"/>
        </w:rPr>
        <w:tab/>
      </w:r>
      <w:r w:rsidRPr="00A112DB">
        <w:rPr>
          <w:rStyle w:val="FootnoteReference"/>
          <w:spacing w:val="-2"/>
        </w:rPr>
        <w:footnoteRef/>
      </w:r>
      <w:r w:rsidRPr="00A112DB">
        <w:rPr>
          <w:spacing w:val="-2"/>
        </w:rPr>
        <w:tab/>
      </w:r>
      <w:r w:rsidRPr="00AE148F">
        <w:t>Communication</w:t>
      </w:r>
      <w:r w:rsidRPr="00A112DB">
        <w:rPr>
          <w:spacing w:val="-2"/>
        </w:rPr>
        <w:t xml:space="preserve"> n</w:t>
      </w:r>
      <w:r w:rsidRPr="00A112DB">
        <w:rPr>
          <w:spacing w:val="-2"/>
          <w:vertAlign w:val="superscript"/>
        </w:rPr>
        <w:t>o</w:t>
      </w:r>
      <w:r w:rsidRPr="00A112DB">
        <w:rPr>
          <w:spacing w:val="-2"/>
        </w:rPr>
        <w:t xml:space="preserve"> 1022/2001, </w:t>
      </w:r>
      <w:r w:rsidRPr="00A112DB">
        <w:rPr>
          <w:i/>
          <w:spacing w:val="-2"/>
        </w:rPr>
        <w:t xml:space="preserve">Velichkin </w:t>
      </w:r>
      <w:r w:rsidRPr="00A112DB">
        <w:rPr>
          <w:spacing w:val="-2"/>
        </w:rPr>
        <w:t>c.</w:t>
      </w:r>
      <w:r w:rsidRPr="00A112DB">
        <w:rPr>
          <w:i/>
          <w:spacing w:val="-2"/>
        </w:rPr>
        <w:t xml:space="preserve"> Bélarus</w:t>
      </w:r>
      <w:r>
        <w:rPr>
          <w:spacing w:val="-2"/>
        </w:rPr>
        <w:t>, constatations adoptées le 20 </w:t>
      </w:r>
      <w:r w:rsidRPr="00A112DB">
        <w:rPr>
          <w:spacing w:val="-2"/>
        </w:rPr>
        <w:t>octobre 2005, par. 7.2.</w:t>
      </w:r>
    </w:p>
  </w:footnote>
  <w:footnote w:id="5">
    <w:p w:rsidR="00780BA1" w:rsidRDefault="00780BA1" w:rsidP="00780BA1">
      <w:pPr>
        <w:pStyle w:val="FootnoteText"/>
      </w:pPr>
      <w:r w:rsidRPr="00160860">
        <w:tab/>
      </w:r>
      <w:r w:rsidRPr="008B176F">
        <w:rPr>
          <w:rStyle w:val="FootnoteReference"/>
        </w:rPr>
        <w:footnoteRef/>
      </w:r>
      <w:r>
        <w:tab/>
        <w:t xml:space="preserve">Communication </w:t>
      </w:r>
      <w:r w:rsidRPr="00C14D2A">
        <w:t>n</w:t>
      </w:r>
      <w:r w:rsidRPr="00C14D2A">
        <w:rPr>
          <w:vertAlign w:val="superscript"/>
        </w:rPr>
        <w:t>o</w:t>
      </w:r>
      <w:r>
        <w:t> </w:t>
      </w:r>
      <w:r w:rsidRPr="00160860">
        <w:t xml:space="preserve">628/1995, </w:t>
      </w:r>
      <w:r w:rsidRPr="00312FF3">
        <w:rPr>
          <w:i/>
        </w:rPr>
        <w:t xml:space="preserve">Tae Hoon Park </w:t>
      </w:r>
      <w:r>
        <w:t>c</w:t>
      </w:r>
      <w:r w:rsidRPr="00312FF3">
        <w:t>.</w:t>
      </w:r>
      <w:r w:rsidRPr="00312FF3">
        <w:rPr>
          <w:i/>
        </w:rPr>
        <w:t xml:space="preserve"> République de Corée</w:t>
      </w:r>
      <w:r w:rsidRPr="00160860">
        <w:t xml:space="preserve">, </w:t>
      </w:r>
      <w:r>
        <w:t>constatations adoptées le 20 octobre 1998, par. </w:t>
      </w:r>
      <w:r w:rsidRPr="00160860">
        <w:t>10.4.</w:t>
      </w:r>
    </w:p>
  </w:footnote>
  <w:footnote w:id="6">
    <w:p w:rsidR="00780BA1" w:rsidRDefault="00780BA1" w:rsidP="00780BA1">
      <w:pPr>
        <w:pStyle w:val="FootnoteText"/>
      </w:pPr>
      <w:r w:rsidRPr="00160860">
        <w:tab/>
      </w:r>
      <w:r w:rsidRPr="008B176F">
        <w:rPr>
          <w:rStyle w:val="FootnoteReference"/>
        </w:rPr>
        <w:footnoteRef/>
      </w:r>
      <w:r w:rsidRPr="00160860">
        <w:tab/>
      </w:r>
      <w:r>
        <w:t>Voir</w:t>
      </w:r>
      <w:r w:rsidRPr="00160860">
        <w:t xml:space="preserve">, </w:t>
      </w:r>
      <w:r>
        <w:t>entre autres</w:t>
      </w:r>
      <w:r w:rsidRPr="00160860">
        <w:t xml:space="preserve">, </w:t>
      </w:r>
      <w:r>
        <w:t xml:space="preserve">les communications </w:t>
      </w:r>
      <w:r w:rsidRPr="00D97AC4">
        <w:t>n</w:t>
      </w:r>
      <w:r w:rsidRPr="00D97AC4">
        <w:rPr>
          <w:vertAlign w:val="superscript"/>
        </w:rPr>
        <w:t>os</w:t>
      </w:r>
      <w:r>
        <w:t> </w:t>
      </w:r>
      <w:r w:rsidRPr="00160860">
        <w:t xml:space="preserve">1867/2009, 1936/2010, 1975/2010, 1977/2010, 1978/2010, 1979/2010, 1980/2010, 1981/2010 </w:t>
      </w:r>
      <w:r>
        <w:t xml:space="preserve">et 2010/2010, </w:t>
      </w:r>
      <w:r w:rsidRPr="0018746C">
        <w:rPr>
          <w:i/>
        </w:rPr>
        <w:t xml:space="preserve">Pavel Levinov </w:t>
      </w:r>
      <w:r w:rsidRPr="0018746C">
        <w:t>c</w:t>
      </w:r>
      <w:r w:rsidRPr="0018746C">
        <w:rPr>
          <w:i/>
        </w:rPr>
        <w:t>. Bélarus</w:t>
      </w:r>
      <w:r w:rsidRPr="00160860">
        <w:t xml:space="preserve">, </w:t>
      </w:r>
      <w:r>
        <w:t>constatations adoptées le 19 juillet 2012, par. </w:t>
      </w:r>
      <w:r w:rsidRPr="00160860">
        <w:t xml:space="preserve">8.2; </w:t>
      </w:r>
      <w:r>
        <w:t xml:space="preserve">et la communication </w:t>
      </w:r>
      <w:r w:rsidRPr="00C14D2A">
        <w:t>n</w:t>
      </w:r>
      <w:r w:rsidRPr="00C14D2A">
        <w:rPr>
          <w:vertAlign w:val="superscript"/>
        </w:rPr>
        <w:t>o</w:t>
      </w:r>
      <w:r>
        <w:t> </w:t>
      </w:r>
      <w:r w:rsidRPr="00160860">
        <w:t xml:space="preserve">869/1999, </w:t>
      </w:r>
      <w:r>
        <w:rPr>
          <w:i/>
        </w:rPr>
        <w:t>Piandiong et consorts</w:t>
      </w:r>
      <w:r w:rsidRPr="0018746C">
        <w:rPr>
          <w:i/>
        </w:rPr>
        <w:t xml:space="preserve"> </w:t>
      </w:r>
      <w:r w:rsidRPr="0018746C">
        <w:t>c.</w:t>
      </w:r>
      <w:r>
        <w:rPr>
          <w:i/>
        </w:rPr>
        <w:t xml:space="preserve"> </w:t>
      </w:r>
      <w:r w:rsidRPr="0018746C">
        <w:rPr>
          <w:i/>
        </w:rPr>
        <w:t>Philippines</w:t>
      </w:r>
      <w:r w:rsidRPr="00160860">
        <w:t xml:space="preserve">, </w:t>
      </w:r>
      <w:r>
        <w:t>constatations adoptées le 19 octobre 2000, par. </w:t>
      </w:r>
      <w:r w:rsidRPr="00160860">
        <w:t>5.1.</w:t>
      </w:r>
    </w:p>
  </w:footnote>
  <w:footnote w:id="7">
    <w:p w:rsidR="00780BA1" w:rsidRPr="00EF1EE8" w:rsidRDefault="00780BA1" w:rsidP="00EF1EE8">
      <w:pPr>
        <w:pStyle w:val="FootnoteText"/>
      </w:pPr>
      <w:r>
        <w:tab/>
      </w:r>
      <w:r>
        <w:rPr>
          <w:rStyle w:val="FootnoteReference"/>
        </w:rPr>
        <w:footnoteRef/>
      </w:r>
      <w:r>
        <w:tab/>
        <w:t xml:space="preserve">Voir, par exemple, les communications </w:t>
      </w:r>
      <w:r w:rsidRPr="00C14D2A">
        <w:t>n</w:t>
      </w:r>
      <w:r w:rsidRPr="00C14D2A">
        <w:rPr>
          <w:vertAlign w:val="superscript"/>
        </w:rPr>
        <w:t>o</w:t>
      </w:r>
      <w:r>
        <w:t> </w:t>
      </w:r>
      <w:r>
        <w:rPr>
          <w:lang w:eastAsia="en-GB"/>
        </w:rPr>
        <w:t xml:space="preserve">1785/2008, </w:t>
      </w:r>
      <w:r>
        <w:rPr>
          <w:i/>
          <w:iCs/>
          <w:lang w:eastAsia="en-GB"/>
        </w:rPr>
        <w:t xml:space="preserve">Oleshkevich </w:t>
      </w:r>
      <w:r w:rsidRPr="00F6797C">
        <w:rPr>
          <w:iCs/>
          <w:lang w:eastAsia="en-GB"/>
        </w:rPr>
        <w:t>c</w:t>
      </w:r>
      <w:r>
        <w:rPr>
          <w:i/>
          <w:iCs/>
          <w:lang w:eastAsia="en-GB"/>
        </w:rPr>
        <w:t>. Bélarus</w:t>
      </w:r>
      <w:r>
        <w:rPr>
          <w:lang w:eastAsia="en-GB"/>
        </w:rPr>
        <w:t xml:space="preserve">, constatations adoptées le 18 mars 2013, par. 7.3; </w:t>
      </w:r>
      <w:r w:rsidRPr="007862F1">
        <w:rPr>
          <w:rFonts w:eastAsia="MS Mincho"/>
          <w:lang w:eastAsia="en-GB"/>
        </w:rPr>
        <w:t>n</w:t>
      </w:r>
      <w:r w:rsidRPr="007862F1">
        <w:rPr>
          <w:rFonts w:eastAsia="MS Mincho"/>
          <w:vertAlign w:val="superscript"/>
          <w:lang w:eastAsia="en-GB"/>
        </w:rPr>
        <w:t>o</w:t>
      </w:r>
      <w:r>
        <w:rPr>
          <w:lang w:eastAsia="en-GB"/>
        </w:rPr>
        <w:t xml:space="preserve"> 1784/2008, </w:t>
      </w:r>
      <w:r>
        <w:rPr>
          <w:i/>
          <w:iCs/>
          <w:lang w:eastAsia="en-GB"/>
        </w:rPr>
        <w:t xml:space="preserve">Schumilin </w:t>
      </w:r>
      <w:r w:rsidRPr="00F6797C">
        <w:rPr>
          <w:iCs/>
          <w:lang w:eastAsia="en-GB"/>
        </w:rPr>
        <w:t>c</w:t>
      </w:r>
      <w:r>
        <w:rPr>
          <w:i/>
          <w:iCs/>
          <w:lang w:eastAsia="en-GB"/>
        </w:rPr>
        <w:t>. Bélarus</w:t>
      </w:r>
      <w:r>
        <w:rPr>
          <w:lang w:eastAsia="en-GB"/>
        </w:rPr>
        <w:t xml:space="preserve">, constatations adoptées le 23 juillet 2012, par. 8.3; </w:t>
      </w:r>
      <w:r w:rsidRPr="007862F1">
        <w:rPr>
          <w:rFonts w:eastAsia="MS Mincho"/>
          <w:lang w:eastAsia="en-GB"/>
        </w:rPr>
        <w:t>n</w:t>
      </w:r>
      <w:r w:rsidRPr="007862F1">
        <w:rPr>
          <w:rFonts w:eastAsia="MS Mincho"/>
          <w:vertAlign w:val="superscript"/>
          <w:lang w:eastAsia="en-GB"/>
        </w:rPr>
        <w:t>o</w:t>
      </w:r>
      <w:r>
        <w:rPr>
          <w:lang w:eastAsia="en-GB"/>
        </w:rPr>
        <w:t xml:space="preserve"> 1814/2008, </w:t>
      </w:r>
      <w:r>
        <w:rPr>
          <w:i/>
          <w:iCs/>
          <w:lang w:eastAsia="en-GB"/>
        </w:rPr>
        <w:t xml:space="preserve">P. L. </w:t>
      </w:r>
      <w:r w:rsidRPr="00F6797C">
        <w:rPr>
          <w:iCs/>
          <w:lang w:eastAsia="en-GB"/>
        </w:rPr>
        <w:t>c</w:t>
      </w:r>
      <w:r>
        <w:rPr>
          <w:i/>
          <w:iCs/>
          <w:lang w:eastAsia="en-GB"/>
        </w:rPr>
        <w:t>. Bélarus</w:t>
      </w:r>
      <w:r>
        <w:rPr>
          <w:lang w:eastAsia="en-GB"/>
        </w:rPr>
        <w:t>, décision d</w:t>
      </w:r>
      <w:r w:rsidR="00EF1EE8">
        <w:rPr>
          <w:lang w:eastAsia="en-GB"/>
        </w:rPr>
        <w:t>’</w:t>
      </w:r>
      <w:r>
        <w:rPr>
          <w:lang w:eastAsia="en-GB"/>
        </w:rPr>
        <w:t xml:space="preserve">irrecevabilité, 26 juillet 2011, par. 6.2; </w:t>
      </w:r>
      <w:r w:rsidRPr="007862F1">
        <w:rPr>
          <w:rFonts w:eastAsia="MS Mincho"/>
          <w:lang w:eastAsia="en-GB"/>
        </w:rPr>
        <w:t>n</w:t>
      </w:r>
      <w:r w:rsidRPr="007862F1">
        <w:rPr>
          <w:rFonts w:eastAsia="MS Mincho"/>
          <w:vertAlign w:val="superscript"/>
          <w:lang w:eastAsia="en-GB"/>
        </w:rPr>
        <w:t>o</w:t>
      </w:r>
      <w:r>
        <w:rPr>
          <w:lang w:eastAsia="en-GB"/>
        </w:rPr>
        <w:t xml:space="preserve"> 1839/2008, </w:t>
      </w:r>
      <w:r>
        <w:rPr>
          <w:i/>
          <w:iCs/>
          <w:lang w:eastAsia="en-GB"/>
        </w:rPr>
        <w:t xml:space="preserve">Komarovsky </w:t>
      </w:r>
      <w:r w:rsidRPr="00F6797C">
        <w:rPr>
          <w:iCs/>
          <w:lang w:eastAsia="en-GB"/>
        </w:rPr>
        <w:t>c</w:t>
      </w:r>
      <w:r>
        <w:rPr>
          <w:i/>
          <w:iCs/>
          <w:lang w:eastAsia="en-GB"/>
        </w:rPr>
        <w:t>. Bélarus</w:t>
      </w:r>
      <w:r>
        <w:rPr>
          <w:lang w:eastAsia="en-GB"/>
        </w:rPr>
        <w:t xml:space="preserve">, constatations adoptées le 25 octobre 2013, par. 8.3; </w:t>
      </w:r>
      <w:r w:rsidRPr="007862F1">
        <w:rPr>
          <w:rFonts w:eastAsia="MS Mincho"/>
          <w:lang w:eastAsia="en-GB"/>
        </w:rPr>
        <w:t>n</w:t>
      </w:r>
      <w:r w:rsidRPr="007862F1">
        <w:rPr>
          <w:rFonts w:eastAsia="MS Mincho"/>
          <w:vertAlign w:val="superscript"/>
          <w:lang w:eastAsia="en-GB"/>
        </w:rPr>
        <w:t>o</w:t>
      </w:r>
      <w:r>
        <w:rPr>
          <w:lang w:eastAsia="en-GB"/>
        </w:rPr>
        <w:t xml:space="preserve"> 1903/2009, </w:t>
      </w:r>
      <w:r>
        <w:rPr>
          <w:i/>
          <w:iCs/>
          <w:lang w:eastAsia="en-GB"/>
        </w:rPr>
        <w:t xml:space="preserve">Youbko </w:t>
      </w:r>
      <w:r w:rsidRPr="00F6797C">
        <w:rPr>
          <w:iCs/>
          <w:lang w:eastAsia="en-GB"/>
        </w:rPr>
        <w:t>c</w:t>
      </w:r>
      <w:r>
        <w:rPr>
          <w:i/>
          <w:iCs/>
          <w:lang w:eastAsia="en-GB"/>
        </w:rPr>
        <w:t>. Bélarus</w:t>
      </w:r>
      <w:r>
        <w:rPr>
          <w:lang w:eastAsia="en-GB"/>
        </w:rPr>
        <w:t>, constatations adoptées le 17 mars 2014, par. 8.3.</w:t>
      </w:r>
    </w:p>
  </w:footnote>
  <w:footnote w:id="8">
    <w:p w:rsidR="00780BA1" w:rsidRDefault="00780BA1" w:rsidP="00780BA1">
      <w:pPr>
        <w:pStyle w:val="FootnoteText"/>
      </w:pPr>
      <w:r w:rsidRPr="00160860">
        <w:tab/>
      </w:r>
      <w:r w:rsidRPr="008B176F">
        <w:rPr>
          <w:rStyle w:val="FootnoteReference"/>
        </w:rPr>
        <w:footnoteRef/>
      </w:r>
      <w:r w:rsidRPr="00160860">
        <w:tab/>
      </w:r>
      <w:r w:rsidRPr="00EF10DF">
        <w:t>Voir l</w:t>
      </w:r>
      <w:r w:rsidR="00EF1EE8">
        <w:t>’</w:t>
      </w:r>
      <w:r>
        <w:t xml:space="preserve">Observation générale </w:t>
      </w:r>
      <w:r w:rsidRPr="00C14D2A">
        <w:t>n</w:t>
      </w:r>
      <w:r w:rsidRPr="00C14D2A">
        <w:rPr>
          <w:vertAlign w:val="superscript"/>
        </w:rPr>
        <w:t>o</w:t>
      </w:r>
      <w:r>
        <w:t> </w:t>
      </w:r>
      <w:r w:rsidRPr="00EF10DF">
        <w:t>34 (201</w:t>
      </w:r>
      <w:r>
        <w:t>1) du Comité concernant la l</w:t>
      </w:r>
      <w:r w:rsidRPr="00EF10DF">
        <w:t>iberté d</w:t>
      </w:r>
      <w:r w:rsidR="00EF1EE8">
        <w:t>’</w:t>
      </w:r>
      <w:r w:rsidRPr="00EF10DF">
        <w:t xml:space="preserve">opinion et </w:t>
      </w:r>
      <w:r>
        <w:t xml:space="preserve">la </w:t>
      </w:r>
      <w:r w:rsidRPr="00EF10DF">
        <w:t>liberté d</w:t>
      </w:r>
      <w:r w:rsidR="00EF1EE8">
        <w:t>’</w:t>
      </w:r>
      <w:r>
        <w:t>expression, par. </w:t>
      </w:r>
      <w:r w:rsidRPr="00EF10DF">
        <w:t>2</w:t>
      </w:r>
      <w:r w:rsidRPr="00160860">
        <w:t>.</w:t>
      </w:r>
    </w:p>
  </w:footnote>
  <w:footnote w:id="9">
    <w:p w:rsidR="00780BA1" w:rsidRDefault="00780BA1" w:rsidP="00780BA1">
      <w:pPr>
        <w:pStyle w:val="FootnoteText"/>
      </w:pPr>
      <w:r w:rsidRPr="00160860">
        <w:tab/>
      </w:r>
      <w:r w:rsidRPr="008B176F">
        <w:rPr>
          <w:rStyle w:val="FootnoteReference"/>
        </w:rPr>
        <w:footnoteRef/>
      </w:r>
      <w:r w:rsidRPr="00160860">
        <w:rPr>
          <w:lang w:val="en-GB"/>
        </w:rPr>
        <w:tab/>
      </w:r>
      <w:r>
        <w:t>Ibid., par. 4.</w:t>
      </w:r>
    </w:p>
  </w:footnote>
  <w:footnote w:id="10">
    <w:p w:rsidR="00780BA1" w:rsidRDefault="00780BA1" w:rsidP="00780BA1">
      <w:pPr>
        <w:pStyle w:val="FootnoteText"/>
      </w:pPr>
      <w:r>
        <w:tab/>
      </w:r>
      <w:r w:rsidRPr="008B176F">
        <w:rPr>
          <w:rStyle w:val="FootnoteReference"/>
        </w:rPr>
        <w:footnoteRef/>
      </w:r>
      <w:r w:rsidRPr="00160860">
        <w:rPr>
          <w:lang w:val="en-GB"/>
        </w:rPr>
        <w:tab/>
      </w:r>
      <w:r>
        <w:rPr>
          <w:lang w:val="en-GB"/>
        </w:rPr>
        <w:t xml:space="preserve">Voir la communication </w:t>
      </w:r>
      <w:r w:rsidRPr="00780BA1">
        <w:rPr>
          <w:rFonts w:eastAsia="MS Mincho"/>
          <w:lang w:val="en-GB"/>
        </w:rPr>
        <w:t>n</w:t>
      </w:r>
      <w:r w:rsidRPr="00780BA1">
        <w:rPr>
          <w:rFonts w:eastAsia="MS Mincho"/>
          <w:vertAlign w:val="superscript"/>
          <w:lang w:val="en-GB"/>
        </w:rPr>
        <w:t>o</w:t>
      </w:r>
      <w:r>
        <w:rPr>
          <w:lang w:val="en-GB"/>
        </w:rPr>
        <w:t xml:space="preserve"> 1948/2010, </w:t>
      </w:r>
      <w:r w:rsidRPr="00021965">
        <w:rPr>
          <w:i/>
        </w:rPr>
        <w:t xml:space="preserve">Turchenyak et consorts </w:t>
      </w:r>
      <w:r w:rsidRPr="00021965">
        <w:t>c.</w:t>
      </w:r>
      <w:r w:rsidRPr="00021965">
        <w:rPr>
          <w:i/>
        </w:rPr>
        <w:t xml:space="preserve"> Bélarus</w:t>
      </w:r>
      <w:r>
        <w:t>, constations adoptées le 24 juillet 2013, par. </w:t>
      </w:r>
      <w:r w:rsidRPr="00160860">
        <w:t>7.4</w:t>
      </w:r>
      <w:r>
        <w:t>.</w:t>
      </w:r>
    </w:p>
  </w:footnote>
  <w:footnote w:id="11">
    <w:p w:rsidR="00780BA1" w:rsidRDefault="00780BA1" w:rsidP="00780BA1">
      <w:pPr>
        <w:pStyle w:val="FootnoteText"/>
      </w:pPr>
      <w:r>
        <w:tab/>
      </w:r>
      <w:r w:rsidRPr="008B176F">
        <w:rPr>
          <w:rStyle w:val="FootnoteReference"/>
        </w:rPr>
        <w:footnoteRef/>
      </w:r>
      <w:r w:rsidRPr="00160860">
        <w:rPr>
          <w:lang w:val="en-GB"/>
        </w:rPr>
        <w:tab/>
      </w:r>
      <w:r w:rsidRPr="00160860">
        <w:t>Ibid</w:t>
      </w:r>
      <w:r>
        <w:t>.</w:t>
      </w:r>
    </w:p>
  </w:footnote>
  <w:footnote w:id="12">
    <w:p w:rsidR="00780BA1" w:rsidRDefault="00780BA1" w:rsidP="00780BA1">
      <w:pPr>
        <w:pStyle w:val="FootnoteText"/>
      </w:pPr>
      <w:r>
        <w:tab/>
      </w:r>
      <w:r w:rsidRPr="008B176F">
        <w:rPr>
          <w:rStyle w:val="FootnoteReference"/>
        </w:rPr>
        <w:footnoteRef/>
      </w:r>
      <w:r>
        <w:tab/>
        <w:t xml:space="preserve">Observation générale </w:t>
      </w:r>
      <w:r>
        <w:rPr>
          <w:rFonts w:eastAsia="MS Mincho"/>
        </w:rPr>
        <w:t>n</w:t>
      </w:r>
      <w:r>
        <w:rPr>
          <w:rFonts w:eastAsia="MS Mincho"/>
          <w:vertAlign w:val="superscript"/>
        </w:rPr>
        <w:t>o</w:t>
      </w:r>
      <w:r>
        <w:t> 34 (voir note 6 ci-dessus), par. </w:t>
      </w:r>
      <w:r w:rsidRPr="00160860">
        <w:t>22</w:t>
      </w:r>
      <w:r>
        <w:t>.</w:t>
      </w:r>
    </w:p>
  </w:footnote>
  <w:footnote w:id="13">
    <w:p w:rsidR="00780BA1" w:rsidRPr="00780BA1" w:rsidRDefault="00780BA1" w:rsidP="00780BA1">
      <w:pPr>
        <w:pStyle w:val="FootnoteText"/>
      </w:pPr>
      <w:r w:rsidRPr="00160860">
        <w:tab/>
      </w:r>
      <w:r w:rsidRPr="008B176F">
        <w:rPr>
          <w:rStyle w:val="FootnoteReference"/>
        </w:rPr>
        <w:footnoteRef/>
      </w:r>
      <w:r w:rsidRPr="00160860">
        <w:rPr>
          <w:lang w:val="en-GB"/>
        </w:rPr>
        <w:tab/>
      </w:r>
      <w:r>
        <w:t>Voir la communication</w:t>
      </w:r>
      <w:r w:rsidRPr="00456466">
        <w:rPr>
          <w:i/>
        </w:rPr>
        <w:t xml:space="preserve"> Turchenyak et consorts </w:t>
      </w:r>
      <w:r w:rsidRPr="00456466">
        <w:t>c</w:t>
      </w:r>
      <w:r w:rsidRPr="00456466">
        <w:rPr>
          <w:i/>
        </w:rPr>
        <w:t>. Bélarus</w:t>
      </w:r>
      <w:r>
        <w:rPr>
          <w:i/>
        </w:rPr>
        <w:t xml:space="preserve"> </w:t>
      </w:r>
      <w:r>
        <w:t>(note 8 ci-dessus).</w:t>
      </w:r>
    </w:p>
  </w:footnote>
  <w:footnote w:id="14">
    <w:p w:rsidR="00780BA1" w:rsidRPr="00780BA1" w:rsidRDefault="00780BA1" w:rsidP="00780BA1">
      <w:pPr>
        <w:pStyle w:val="FootnoteText"/>
      </w:pPr>
      <w:r w:rsidRPr="00160860">
        <w:tab/>
      </w:r>
      <w:r w:rsidRPr="008B176F">
        <w:rPr>
          <w:rStyle w:val="FootnoteReference"/>
        </w:rPr>
        <w:footnoteRef/>
      </w:r>
      <w:r w:rsidRPr="00160860">
        <w:t xml:space="preserve"> </w:t>
      </w:r>
      <w:r w:rsidRPr="00160860">
        <w:tab/>
      </w:r>
      <w:r>
        <w:t>Voir</w:t>
      </w:r>
      <w:r w:rsidRPr="00160860">
        <w:t xml:space="preserve">, </w:t>
      </w:r>
      <w:r>
        <w:t>entre autres</w:t>
      </w:r>
      <w:r w:rsidRPr="00160860">
        <w:t xml:space="preserve">, </w:t>
      </w:r>
      <w:r>
        <w:t xml:space="preserve">les communications </w:t>
      </w:r>
      <w:r w:rsidRPr="00C14D2A">
        <w:t>n</w:t>
      </w:r>
      <w:r w:rsidRPr="00C14D2A">
        <w:rPr>
          <w:vertAlign w:val="superscript"/>
        </w:rPr>
        <w:t>o</w:t>
      </w:r>
      <w:r>
        <w:t xml:space="preserve"> 1851/2008, </w:t>
      </w:r>
      <w:r w:rsidRPr="00BE230B">
        <w:rPr>
          <w:i/>
        </w:rPr>
        <w:t xml:space="preserve">Sekerko </w:t>
      </w:r>
      <w:r w:rsidRPr="00BE230B">
        <w:t>c</w:t>
      </w:r>
      <w:r w:rsidRPr="00BE230B">
        <w:rPr>
          <w:i/>
        </w:rPr>
        <w:t>. Bélarus</w:t>
      </w:r>
      <w:r w:rsidRPr="00160860">
        <w:t xml:space="preserve">, </w:t>
      </w:r>
      <w:r>
        <w:t xml:space="preserve">constatations adoptées le 28 octobre 2013, par. 11; </w:t>
      </w:r>
      <w:r w:rsidRPr="00C14D2A">
        <w:t>n</w:t>
      </w:r>
      <w:r w:rsidRPr="00C14D2A">
        <w:rPr>
          <w:vertAlign w:val="superscript"/>
        </w:rPr>
        <w:t>o</w:t>
      </w:r>
      <w:r>
        <w:t> </w:t>
      </w:r>
      <w:r w:rsidRPr="00160860">
        <w:t xml:space="preserve">1948/2010, </w:t>
      </w:r>
      <w:r w:rsidRPr="00BE230B">
        <w:rPr>
          <w:i/>
        </w:rPr>
        <w:t xml:space="preserve">Turchenyak </w:t>
      </w:r>
      <w:r>
        <w:rPr>
          <w:i/>
        </w:rPr>
        <w:t xml:space="preserve">et consorts </w:t>
      </w:r>
      <w:r w:rsidRPr="00BE230B">
        <w:t>c.</w:t>
      </w:r>
      <w:r>
        <w:rPr>
          <w:i/>
        </w:rPr>
        <w:t> Bé</w:t>
      </w:r>
      <w:r w:rsidRPr="00BE230B">
        <w:rPr>
          <w:i/>
        </w:rPr>
        <w:t>larus</w:t>
      </w:r>
      <w:r>
        <w:t xml:space="preserve">, constatation adoptées le 24 juillet 2013, par. 9; et </w:t>
      </w:r>
      <w:r w:rsidRPr="00C14D2A">
        <w:t>n</w:t>
      </w:r>
      <w:r w:rsidRPr="00C14D2A">
        <w:rPr>
          <w:vertAlign w:val="superscript"/>
        </w:rPr>
        <w:t>o</w:t>
      </w:r>
      <w:r>
        <w:t> </w:t>
      </w:r>
      <w:r w:rsidRPr="00160860">
        <w:t xml:space="preserve">1790/2008, </w:t>
      </w:r>
      <w:r w:rsidRPr="00BE230B">
        <w:rPr>
          <w:i/>
        </w:rPr>
        <w:t>G</w:t>
      </w:r>
      <w:r>
        <w:rPr>
          <w:i/>
        </w:rPr>
        <w:t xml:space="preserve">ovsha, Syritsa et </w:t>
      </w:r>
      <w:r w:rsidRPr="00BE230B">
        <w:rPr>
          <w:i/>
        </w:rPr>
        <w:t xml:space="preserve">Mezyak </w:t>
      </w:r>
      <w:r w:rsidRPr="00BE230B">
        <w:t>c</w:t>
      </w:r>
      <w:r w:rsidRPr="00BE230B">
        <w:rPr>
          <w:i/>
        </w:rPr>
        <w:t>. Bélarus</w:t>
      </w:r>
      <w:r w:rsidRPr="00160860">
        <w:t xml:space="preserve">, </w:t>
      </w:r>
      <w:r>
        <w:t>constatations adoptées le</w:t>
      </w:r>
      <w:r w:rsidRPr="00160860">
        <w:t xml:space="preserve"> 27 </w:t>
      </w:r>
      <w:r>
        <w:t>juillet 2012, par. </w:t>
      </w:r>
      <w:r w:rsidRPr="00160860">
        <w:t>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BA1" w:rsidRPr="007A5689" w:rsidRDefault="00780BA1">
    <w:pPr>
      <w:pStyle w:val="Header"/>
    </w:pPr>
    <w:r>
      <w:t>CCPR/C/112/D/2029/2011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BA1" w:rsidRPr="007A5689" w:rsidRDefault="00780BA1" w:rsidP="007A5689">
    <w:pPr>
      <w:pStyle w:val="Header"/>
      <w:jc w:val="right"/>
    </w:pPr>
    <w:r>
      <w:t>CCPR/C/112/D/2029/2011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1ABA70"/>
    <w:lvl w:ilvl="0">
      <w:start w:val="1"/>
      <w:numFmt w:val="decimal"/>
      <w:lvlText w:val="%1."/>
      <w:lvlJc w:val="left"/>
      <w:pPr>
        <w:tabs>
          <w:tab w:val="num" w:pos="1492"/>
        </w:tabs>
        <w:ind w:left="1492" w:hanging="360"/>
      </w:pPr>
    </w:lvl>
  </w:abstractNum>
  <w:abstractNum w:abstractNumId="1">
    <w:nsid w:val="FFFFFF7D"/>
    <w:multiLevelType w:val="singleLevel"/>
    <w:tmpl w:val="EC4A8802"/>
    <w:lvl w:ilvl="0">
      <w:start w:val="1"/>
      <w:numFmt w:val="decimal"/>
      <w:lvlText w:val="%1."/>
      <w:lvlJc w:val="left"/>
      <w:pPr>
        <w:tabs>
          <w:tab w:val="num" w:pos="1209"/>
        </w:tabs>
        <w:ind w:left="1209" w:hanging="360"/>
      </w:pPr>
    </w:lvl>
  </w:abstractNum>
  <w:abstractNum w:abstractNumId="2">
    <w:nsid w:val="FFFFFF7E"/>
    <w:multiLevelType w:val="singleLevel"/>
    <w:tmpl w:val="B2E8F836"/>
    <w:lvl w:ilvl="0">
      <w:start w:val="1"/>
      <w:numFmt w:val="decimal"/>
      <w:lvlText w:val="%1."/>
      <w:lvlJc w:val="left"/>
      <w:pPr>
        <w:tabs>
          <w:tab w:val="num" w:pos="926"/>
        </w:tabs>
        <w:ind w:left="926" w:hanging="360"/>
      </w:pPr>
    </w:lvl>
  </w:abstractNum>
  <w:abstractNum w:abstractNumId="3">
    <w:nsid w:val="FFFFFF7F"/>
    <w:multiLevelType w:val="singleLevel"/>
    <w:tmpl w:val="168C4E0C"/>
    <w:lvl w:ilvl="0">
      <w:start w:val="1"/>
      <w:numFmt w:val="decimal"/>
      <w:lvlText w:val="%1."/>
      <w:lvlJc w:val="left"/>
      <w:pPr>
        <w:tabs>
          <w:tab w:val="num" w:pos="643"/>
        </w:tabs>
        <w:ind w:left="643" w:hanging="360"/>
      </w:pPr>
    </w:lvl>
  </w:abstractNum>
  <w:abstractNum w:abstractNumId="4">
    <w:nsid w:val="FFFFFF88"/>
    <w:multiLevelType w:val="singleLevel"/>
    <w:tmpl w:val="3CC6C676"/>
    <w:lvl w:ilvl="0">
      <w:start w:val="1"/>
      <w:numFmt w:val="decimal"/>
      <w:lvlText w:val="%1."/>
      <w:lvlJc w:val="left"/>
      <w:pPr>
        <w:tabs>
          <w:tab w:val="num" w:pos="360"/>
        </w:tabs>
        <w:ind w:left="360" w:hanging="360"/>
      </w:pPr>
    </w:lvl>
  </w:abstractNum>
  <w:abstractNum w:abstractNumId="5">
    <w:nsid w:val="FFFFFF89"/>
    <w:multiLevelType w:val="singleLevel"/>
    <w:tmpl w:val="EFDC5A04"/>
    <w:lvl w:ilvl="0">
      <w:start w:val="1"/>
      <w:numFmt w:val="bullet"/>
      <w:lvlText w:val=""/>
      <w:lvlJc w:val="left"/>
      <w:pPr>
        <w:tabs>
          <w:tab w:val="num" w:pos="360"/>
        </w:tabs>
        <w:ind w:left="360" w:hanging="360"/>
      </w:pPr>
      <w:rPr>
        <w:rFonts w:ascii="Symbol" w:hAnsi="Symbol" w:hint="default"/>
      </w:rPr>
    </w:lvl>
  </w:abstractNum>
  <w:abstractNum w:abstractNumId="6">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8"/>
  </w:num>
  <w:num w:numId="2">
    <w:abstractNumId w:val="7"/>
  </w:num>
  <w:num w:numId="3">
    <w:abstractNumId w:val="8"/>
  </w:num>
  <w:num w:numId="4">
    <w:abstractNumId w:val="7"/>
  </w:num>
  <w:num w:numId="5">
    <w:abstractNumId w:val="8"/>
  </w:num>
  <w:num w:numId="6">
    <w:abstractNumId w:val="7"/>
  </w:num>
  <w:num w:numId="7">
    <w:abstractNumId w:val="4"/>
  </w:num>
  <w:num w:numId="8">
    <w:abstractNumId w:val="3"/>
  </w:num>
  <w:num w:numId="9">
    <w:abstractNumId w:val="2"/>
  </w:num>
  <w:num w:numId="10">
    <w:abstractNumId w:val="1"/>
  </w:num>
  <w:num w:numId="11">
    <w:abstractNumId w:val="0"/>
  </w:num>
  <w:num w:numId="12">
    <w:abstractNumId w:val="5"/>
  </w:num>
  <w:num w:numId="13">
    <w:abstractNumId w:val="8"/>
  </w:num>
  <w:num w:numId="14">
    <w:abstractNumId w:val="7"/>
  </w:num>
  <w:num w:numId="15">
    <w:abstractNumId w:val="6"/>
  </w:num>
  <w:num w:numId="16">
    <w:abstractNumId w:val="8"/>
  </w:num>
  <w:num w:numId="17">
    <w:abstractNumId w:val="7"/>
  </w:num>
  <w:num w:numId="18">
    <w:abstractNumId w:val="6"/>
  </w:num>
  <w:num w:numId="19">
    <w:abstractNumId w:val="8"/>
  </w:num>
  <w:num w:numId="20">
    <w:abstractNumId w:val="7"/>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proofState w:spelling="clean"/>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2728"/>
    <w:rsid w:val="00016AC5"/>
    <w:rsid w:val="00051BAD"/>
    <w:rsid w:val="00054EE9"/>
    <w:rsid w:val="00065ECB"/>
    <w:rsid w:val="0007545B"/>
    <w:rsid w:val="000C461C"/>
    <w:rsid w:val="000D680E"/>
    <w:rsid w:val="000F41F2"/>
    <w:rsid w:val="0010040D"/>
    <w:rsid w:val="00103C1A"/>
    <w:rsid w:val="00124721"/>
    <w:rsid w:val="00143AF1"/>
    <w:rsid w:val="00160540"/>
    <w:rsid w:val="00192EEB"/>
    <w:rsid w:val="001A20FB"/>
    <w:rsid w:val="001A51A8"/>
    <w:rsid w:val="001A723B"/>
    <w:rsid w:val="001C53E1"/>
    <w:rsid w:val="001E3FEB"/>
    <w:rsid w:val="001E4A02"/>
    <w:rsid w:val="001F4675"/>
    <w:rsid w:val="001F752A"/>
    <w:rsid w:val="0023102D"/>
    <w:rsid w:val="00233846"/>
    <w:rsid w:val="002659F1"/>
    <w:rsid w:val="00287E79"/>
    <w:rsid w:val="002928F9"/>
    <w:rsid w:val="002A5D07"/>
    <w:rsid w:val="002A7B15"/>
    <w:rsid w:val="002E6F8C"/>
    <w:rsid w:val="003016B7"/>
    <w:rsid w:val="0034214E"/>
    <w:rsid w:val="003515AA"/>
    <w:rsid w:val="0036726B"/>
    <w:rsid w:val="00374106"/>
    <w:rsid w:val="003976D5"/>
    <w:rsid w:val="003A14F1"/>
    <w:rsid w:val="003B4CBD"/>
    <w:rsid w:val="003B6A72"/>
    <w:rsid w:val="003C6783"/>
    <w:rsid w:val="003C77CF"/>
    <w:rsid w:val="003D6C68"/>
    <w:rsid w:val="003E5291"/>
    <w:rsid w:val="003F2D41"/>
    <w:rsid w:val="003F3055"/>
    <w:rsid w:val="00414794"/>
    <w:rsid w:val="004159D0"/>
    <w:rsid w:val="004460A3"/>
    <w:rsid w:val="00455974"/>
    <w:rsid w:val="00457435"/>
    <w:rsid w:val="00481EC5"/>
    <w:rsid w:val="00497C34"/>
    <w:rsid w:val="004E6FFF"/>
    <w:rsid w:val="004F2C80"/>
    <w:rsid w:val="00571F41"/>
    <w:rsid w:val="00572B3F"/>
    <w:rsid w:val="005753C4"/>
    <w:rsid w:val="005757D2"/>
    <w:rsid w:val="005A0AF5"/>
    <w:rsid w:val="005A0EF0"/>
    <w:rsid w:val="005A3ACA"/>
    <w:rsid w:val="005B01E9"/>
    <w:rsid w:val="005D29C8"/>
    <w:rsid w:val="005E5D1F"/>
    <w:rsid w:val="005F3366"/>
    <w:rsid w:val="00612D48"/>
    <w:rsid w:val="00616B45"/>
    <w:rsid w:val="006312C9"/>
    <w:rsid w:val="00631953"/>
    <w:rsid w:val="00642728"/>
    <w:rsid w:val="006439EC"/>
    <w:rsid w:val="00644659"/>
    <w:rsid w:val="00650E01"/>
    <w:rsid w:val="00663CB6"/>
    <w:rsid w:val="00675ACB"/>
    <w:rsid w:val="00676F17"/>
    <w:rsid w:val="006923B4"/>
    <w:rsid w:val="006959F5"/>
    <w:rsid w:val="006B1379"/>
    <w:rsid w:val="006B4590"/>
    <w:rsid w:val="006B4804"/>
    <w:rsid w:val="006C340C"/>
    <w:rsid w:val="006D4E6F"/>
    <w:rsid w:val="006D69DF"/>
    <w:rsid w:val="0070347C"/>
    <w:rsid w:val="00735076"/>
    <w:rsid w:val="00757D82"/>
    <w:rsid w:val="0076401E"/>
    <w:rsid w:val="00780BA1"/>
    <w:rsid w:val="007829EA"/>
    <w:rsid w:val="007A5689"/>
    <w:rsid w:val="007A6548"/>
    <w:rsid w:val="007B0586"/>
    <w:rsid w:val="007C59BA"/>
    <w:rsid w:val="007D66A3"/>
    <w:rsid w:val="00817A26"/>
    <w:rsid w:val="008433B5"/>
    <w:rsid w:val="00844750"/>
    <w:rsid w:val="00862CCC"/>
    <w:rsid w:val="00880372"/>
    <w:rsid w:val="00882085"/>
    <w:rsid w:val="00886128"/>
    <w:rsid w:val="00886D12"/>
    <w:rsid w:val="008B7F10"/>
    <w:rsid w:val="008E1B41"/>
    <w:rsid w:val="008E7FAE"/>
    <w:rsid w:val="009033FB"/>
    <w:rsid w:val="009077F5"/>
    <w:rsid w:val="00911BF7"/>
    <w:rsid w:val="0092636E"/>
    <w:rsid w:val="0093109B"/>
    <w:rsid w:val="009717AD"/>
    <w:rsid w:val="00977EC8"/>
    <w:rsid w:val="009C3909"/>
    <w:rsid w:val="009D3A8C"/>
    <w:rsid w:val="009E7956"/>
    <w:rsid w:val="009F7F79"/>
    <w:rsid w:val="00A23B55"/>
    <w:rsid w:val="00A2492E"/>
    <w:rsid w:val="00A73631"/>
    <w:rsid w:val="00A821B8"/>
    <w:rsid w:val="00A85799"/>
    <w:rsid w:val="00AC2A67"/>
    <w:rsid w:val="00AC7977"/>
    <w:rsid w:val="00AD41FE"/>
    <w:rsid w:val="00AE2643"/>
    <w:rsid w:val="00AE352C"/>
    <w:rsid w:val="00B00515"/>
    <w:rsid w:val="00B0649A"/>
    <w:rsid w:val="00B22B0B"/>
    <w:rsid w:val="00B32E2D"/>
    <w:rsid w:val="00B37D92"/>
    <w:rsid w:val="00B510C0"/>
    <w:rsid w:val="00B57784"/>
    <w:rsid w:val="00B61990"/>
    <w:rsid w:val="00B955CB"/>
    <w:rsid w:val="00B95D70"/>
    <w:rsid w:val="00BA1175"/>
    <w:rsid w:val="00BA29A2"/>
    <w:rsid w:val="00BA405E"/>
    <w:rsid w:val="00BB3246"/>
    <w:rsid w:val="00BB3FF8"/>
    <w:rsid w:val="00BB46FB"/>
    <w:rsid w:val="00BB6E96"/>
    <w:rsid w:val="00BE0659"/>
    <w:rsid w:val="00BF0556"/>
    <w:rsid w:val="00C261F8"/>
    <w:rsid w:val="00C266C2"/>
    <w:rsid w:val="00CB2BAF"/>
    <w:rsid w:val="00CB6686"/>
    <w:rsid w:val="00CB6C7A"/>
    <w:rsid w:val="00CC207F"/>
    <w:rsid w:val="00CD1A71"/>
    <w:rsid w:val="00CD1FBB"/>
    <w:rsid w:val="00D0026F"/>
    <w:rsid w:val="00D016B5"/>
    <w:rsid w:val="00D034F1"/>
    <w:rsid w:val="00D20FA9"/>
    <w:rsid w:val="00D27D5E"/>
    <w:rsid w:val="00D41315"/>
    <w:rsid w:val="00D61D26"/>
    <w:rsid w:val="00D652C8"/>
    <w:rsid w:val="00D71692"/>
    <w:rsid w:val="00D77E85"/>
    <w:rsid w:val="00D80BC5"/>
    <w:rsid w:val="00D874CD"/>
    <w:rsid w:val="00DB3741"/>
    <w:rsid w:val="00DB681C"/>
    <w:rsid w:val="00DC2F07"/>
    <w:rsid w:val="00DC75BA"/>
    <w:rsid w:val="00DE6D90"/>
    <w:rsid w:val="00DF002F"/>
    <w:rsid w:val="00DF5248"/>
    <w:rsid w:val="00DF5D80"/>
    <w:rsid w:val="00E0244D"/>
    <w:rsid w:val="00E10B1F"/>
    <w:rsid w:val="00E24896"/>
    <w:rsid w:val="00E5485D"/>
    <w:rsid w:val="00E66657"/>
    <w:rsid w:val="00E81E94"/>
    <w:rsid w:val="00E82607"/>
    <w:rsid w:val="00E849E1"/>
    <w:rsid w:val="00EA5BC9"/>
    <w:rsid w:val="00EB3164"/>
    <w:rsid w:val="00EC181F"/>
    <w:rsid w:val="00EF1EE8"/>
    <w:rsid w:val="00F27514"/>
    <w:rsid w:val="00F54491"/>
    <w:rsid w:val="00FA5A79"/>
    <w:rsid w:val="00FB0BFE"/>
    <w:rsid w:val="00FB33B3"/>
    <w:rsid w:val="00FB4C51"/>
    <w:rsid w:val="00FB4F81"/>
    <w:rsid w:val="00FB6A89"/>
    <w:rsid w:val="00FB7502"/>
    <w:rsid w:val="00FD13A9"/>
    <w:rsid w:val="00FD511F"/>
    <w:rsid w:val="00FE1C57"/>
    <w:rsid w:val="00FE6EBB"/>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40D"/>
    <w:pPr>
      <w:suppressAutoHyphens/>
      <w:spacing w:line="240" w:lineRule="atLeast"/>
    </w:pPr>
    <w:rPr>
      <w:lang w:val="fr-CH"/>
    </w:rPr>
  </w:style>
  <w:style w:type="paragraph" w:styleId="Heading1">
    <w:name w:val="heading 1"/>
    <w:aliases w:val="Table_G"/>
    <w:basedOn w:val="SingleTxtG"/>
    <w:next w:val="SingleTxtG"/>
    <w:qFormat/>
    <w:rsid w:val="0010040D"/>
    <w:pPr>
      <w:keepNext/>
      <w:keepLines/>
      <w:spacing w:after="0" w:line="240" w:lineRule="auto"/>
      <w:ind w:right="0"/>
      <w:jc w:val="left"/>
      <w:outlineLvl w:val="0"/>
    </w:pPr>
  </w:style>
  <w:style w:type="paragraph" w:styleId="Heading2">
    <w:name w:val="heading 2"/>
    <w:basedOn w:val="Normal"/>
    <w:next w:val="Normal"/>
    <w:qFormat/>
    <w:rsid w:val="0010040D"/>
    <w:pPr>
      <w:outlineLvl w:val="1"/>
    </w:pPr>
  </w:style>
  <w:style w:type="paragraph" w:styleId="Heading3">
    <w:name w:val="heading 3"/>
    <w:basedOn w:val="Normal"/>
    <w:next w:val="Normal"/>
    <w:qFormat/>
    <w:rsid w:val="0010040D"/>
    <w:pPr>
      <w:outlineLvl w:val="2"/>
    </w:pPr>
  </w:style>
  <w:style w:type="paragraph" w:styleId="Heading4">
    <w:name w:val="heading 4"/>
    <w:basedOn w:val="Normal"/>
    <w:next w:val="Normal"/>
    <w:qFormat/>
    <w:rsid w:val="0010040D"/>
    <w:pPr>
      <w:outlineLvl w:val="3"/>
    </w:pPr>
  </w:style>
  <w:style w:type="paragraph" w:styleId="Heading5">
    <w:name w:val="heading 5"/>
    <w:basedOn w:val="Normal"/>
    <w:next w:val="Normal"/>
    <w:qFormat/>
    <w:rsid w:val="0010040D"/>
    <w:pPr>
      <w:outlineLvl w:val="4"/>
    </w:pPr>
  </w:style>
  <w:style w:type="paragraph" w:styleId="Heading6">
    <w:name w:val="heading 6"/>
    <w:basedOn w:val="Normal"/>
    <w:next w:val="Normal"/>
    <w:qFormat/>
    <w:rsid w:val="0010040D"/>
    <w:pPr>
      <w:outlineLvl w:val="5"/>
    </w:pPr>
  </w:style>
  <w:style w:type="paragraph" w:styleId="Heading7">
    <w:name w:val="heading 7"/>
    <w:basedOn w:val="Normal"/>
    <w:next w:val="Normal"/>
    <w:qFormat/>
    <w:rsid w:val="0010040D"/>
    <w:pPr>
      <w:outlineLvl w:val="6"/>
    </w:pPr>
  </w:style>
  <w:style w:type="paragraph" w:styleId="Heading8">
    <w:name w:val="heading 8"/>
    <w:basedOn w:val="Normal"/>
    <w:next w:val="Normal"/>
    <w:qFormat/>
    <w:rsid w:val="0010040D"/>
    <w:pPr>
      <w:outlineLvl w:val="7"/>
    </w:pPr>
  </w:style>
  <w:style w:type="paragraph" w:styleId="Heading9">
    <w:name w:val="heading 9"/>
    <w:basedOn w:val="Normal"/>
    <w:next w:val="Normal"/>
    <w:qFormat/>
    <w:rsid w:val="0010040D"/>
    <w:pPr>
      <w:outlineLvl w:val="8"/>
    </w:pPr>
  </w:style>
  <w:style w:type="character" w:default="1" w:styleId="DefaultParagraphFont">
    <w:name w:val="Default Paragraph Font"/>
    <w:semiHidden/>
    <w:rsid w:val="0010040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0040D"/>
  </w:style>
  <w:style w:type="paragraph" w:customStyle="1" w:styleId="HMG">
    <w:name w:val="_ H __M_G"/>
    <w:basedOn w:val="Normal"/>
    <w:next w:val="Normal"/>
    <w:rsid w:val="0010040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10040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10040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0040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10040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0040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10040D"/>
    <w:pPr>
      <w:spacing w:after="120"/>
      <w:ind w:left="1134" w:right="1134"/>
      <w:jc w:val="both"/>
    </w:pPr>
  </w:style>
  <w:style w:type="paragraph" w:customStyle="1" w:styleId="SLG">
    <w:name w:val="__S_L_G"/>
    <w:basedOn w:val="Normal"/>
    <w:next w:val="Normal"/>
    <w:rsid w:val="0010040D"/>
    <w:pPr>
      <w:keepNext/>
      <w:keepLines/>
      <w:spacing w:before="240" w:after="240" w:line="580" w:lineRule="exact"/>
      <w:ind w:left="1134" w:right="1134"/>
    </w:pPr>
    <w:rPr>
      <w:b/>
      <w:sz w:val="56"/>
    </w:rPr>
  </w:style>
  <w:style w:type="paragraph" w:customStyle="1" w:styleId="SMG">
    <w:name w:val="__S_M_G"/>
    <w:basedOn w:val="Normal"/>
    <w:next w:val="Normal"/>
    <w:rsid w:val="0010040D"/>
    <w:pPr>
      <w:keepNext/>
      <w:keepLines/>
      <w:spacing w:before="240" w:after="240" w:line="420" w:lineRule="exact"/>
      <w:ind w:left="1134" w:right="1134"/>
    </w:pPr>
    <w:rPr>
      <w:b/>
      <w:sz w:val="40"/>
    </w:rPr>
  </w:style>
  <w:style w:type="paragraph" w:customStyle="1" w:styleId="SSG">
    <w:name w:val="__S_S_G"/>
    <w:basedOn w:val="Normal"/>
    <w:next w:val="Normal"/>
    <w:rsid w:val="0010040D"/>
    <w:pPr>
      <w:keepNext/>
      <w:keepLines/>
      <w:spacing w:before="240" w:after="240" w:line="300" w:lineRule="exact"/>
      <w:ind w:left="1134" w:right="1134"/>
    </w:pPr>
    <w:rPr>
      <w:b/>
      <w:sz w:val="28"/>
    </w:rPr>
  </w:style>
  <w:style w:type="paragraph" w:customStyle="1" w:styleId="XLargeG">
    <w:name w:val="__XLarge_G"/>
    <w:basedOn w:val="Normal"/>
    <w:next w:val="Normal"/>
    <w:rsid w:val="0010040D"/>
    <w:pPr>
      <w:keepNext/>
      <w:keepLines/>
      <w:spacing w:before="240" w:after="240" w:line="420" w:lineRule="exact"/>
      <w:ind w:left="1134" w:right="1134"/>
    </w:pPr>
    <w:rPr>
      <w:b/>
      <w:sz w:val="40"/>
    </w:rPr>
  </w:style>
  <w:style w:type="paragraph" w:customStyle="1" w:styleId="Bullet1G">
    <w:name w:val="_Bullet 1_G"/>
    <w:basedOn w:val="Normal"/>
    <w:rsid w:val="0010040D"/>
    <w:pPr>
      <w:numPr>
        <w:numId w:val="19"/>
      </w:numPr>
      <w:spacing w:after="120"/>
      <w:ind w:right="1134"/>
      <w:jc w:val="both"/>
    </w:pPr>
  </w:style>
  <w:style w:type="paragraph" w:customStyle="1" w:styleId="Bullet2G">
    <w:name w:val="_Bullet 2_G"/>
    <w:basedOn w:val="Normal"/>
    <w:rsid w:val="0010040D"/>
    <w:pPr>
      <w:numPr>
        <w:numId w:val="20"/>
      </w:numPr>
      <w:spacing w:after="120"/>
      <w:ind w:right="1134"/>
      <w:jc w:val="both"/>
    </w:pPr>
  </w:style>
  <w:style w:type="character" w:styleId="FootnoteReference">
    <w:name w:val="footnote reference"/>
    <w:aliases w:val="4_G,Footnote number,ftref"/>
    <w:basedOn w:val="DefaultParagraphFont"/>
    <w:rsid w:val="0010040D"/>
    <w:rPr>
      <w:rFonts w:ascii="Times New Roman" w:hAnsi="Times New Roman"/>
      <w:sz w:val="18"/>
      <w:vertAlign w:val="superscript"/>
      <w:lang w:val="fr-CH"/>
    </w:rPr>
  </w:style>
  <w:style w:type="character" w:styleId="EndnoteReference">
    <w:name w:val="endnote reference"/>
    <w:aliases w:val="1_G"/>
    <w:basedOn w:val="FootnoteReference"/>
    <w:rsid w:val="0010040D"/>
  </w:style>
  <w:style w:type="paragraph" w:styleId="FootnoteText">
    <w:name w:val="footnote text"/>
    <w:aliases w:val="5_G,Footnote Text Char Char Char Char Char,Footnote Text Char Char Char Char,Footnote reference,FA Fu,Footnote Text Char Char Char,Footnote Reference1"/>
    <w:basedOn w:val="Normal"/>
    <w:rsid w:val="0010040D"/>
    <w:pPr>
      <w:tabs>
        <w:tab w:val="right" w:pos="1021"/>
      </w:tabs>
      <w:spacing w:line="220" w:lineRule="exact"/>
      <w:ind w:left="1134" w:right="1134" w:hanging="1134"/>
    </w:pPr>
    <w:rPr>
      <w:sz w:val="18"/>
    </w:rPr>
  </w:style>
  <w:style w:type="paragraph" w:styleId="EndnoteText">
    <w:name w:val="endnote text"/>
    <w:aliases w:val="2_G"/>
    <w:basedOn w:val="FootnoteText"/>
    <w:rsid w:val="0010040D"/>
  </w:style>
  <w:style w:type="character" w:styleId="PageNumber">
    <w:name w:val="page number"/>
    <w:aliases w:val="7_G"/>
    <w:basedOn w:val="DefaultParagraphFont"/>
    <w:rsid w:val="0010040D"/>
    <w:rPr>
      <w:rFonts w:ascii="Times New Roman" w:hAnsi="Times New Roman"/>
      <w:b/>
      <w:sz w:val="18"/>
      <w:lang w:val="fr-CH"/>
    </w:rPr>
  </w:style>
  <w:style w:type="paragraph" w:styleId="Footer">
    <w:name w:val="footer"/>
    <w:aliases w:val="3_G"/>
    <w:basedOn w:val="Normal"/>
    <w:next w:val="Normal"/>
    <w:rsid w:val="0010040D"/>
    <w:pPr>
      <w:spacing w:line="240" w:lineRule="auto"/>
    </w:pPr>
    <w:rPr>
      <w:sz w:val="16"/>
    </w:rPr>
  </w:style>
  <w:style w:type="paragraph" w:customStyle="1" w:styleId="ParNoG">
    <w:name w:val="_ParNo_G"/>
    <w:basedOn w:val="SingleTxtG"/>
    <w:rsid w:val="0010040D"/>
    <w:pPr>
      <w:numPr>
        <w:numId w:val="21"/>
      </w:numPr>
    </w:pPr>
  </w:style>
  <w:style w:type="paragraph" w:styleId="Header">
    <w:name w:val="header"/>
    <w:aliases w:val="6_G"/>
    <w:basedOn w:val="Normal"/>
    <w:next w:val="Normal"/>
    <w:rsid w:val="0010040D"/>
    <w:pPr>
      <w:pBdr>
        <w:bottom w:val="single" w:sz="4" w:space="4" w:color="auto"/>
      </w:pBdr>
      <w:spacing w:line="240" w:lineRule="auto"/>
    </w:pPr>
    <w:rPr>
      <w:b/>
      <w:sz w:val="18"/>
    </w:rPr>
  </w:style>
  <w:style w:type="table" w:styleId="TableGrid">
    <w:name w:val="Table Grid"/>
    <w:basedOn w:val="TableNormal"/>
    <w:semiHidden/>
    <w:rsid w:val="001004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10040D"/>
    <w:rPr>
      <w:color w:val="0000FF"/>
      <w:u w:val="none"/>
    </w:rPr>
  </w:style>
  <w:style w:type="character" w:styleId="FollowedHyperlink">
    <w:name w:val="FollowedHyperlink"/>
    <w:basedOn w:val="DefaultParagraphFont"/>
    <w:semiHidden/>
    <w:rsid w:val="0010040D"/>
    <w:rPr>
      <w:color w:val="0000FF"/>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3277</Words>
  <Characters>17567</Characters>
  <Application>Microsoft Office Outlook</Application>
  <DocSecurity>4</DocSecurity>
  <Lines>297</Lines>
  <Paragraphs>100</Paragraphs>
  <ScaleCrop>false</ScaleCrop>
  <HeadingPairs>
    <vt:vector size="2" baseType="variant">
      <vt:variant>
        <vt:lpstr>Titre</vt:lpstr>
      </vt:variant>
      <vt:variant>
        <vt:i4>1</vt:i4>
      </vt:variant>
    </vt:vector>
  </HeadingPairs>
  <TitlesOfParts>
    <vt:vector size="1" baseType="lpstr">
      <vt:lpstr>CCPR/C/112/D/2029/2011</vt:lpstr>
    </vt:vector>
  </TitlesOfParts>
  <Company>CSD</Company>
  <LinksUpToDate>false</LinksUpToDate>
  <CharactersWithSpaces>20744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CCPR/C/112/D/2029/2011</dc:title>
  <dc:subject/>
  <dc:creator>Clere</dc:creator>
  <cp:keywords/>
  <dc:description/>
  <cp:lastModifiedBy>Clere</cp:lastModifiedBy>
  <cp:revision>2</cp:revision>
  <cp:lastPrinted>2014-12-15T12:52:00Z</cp:lastPrinted>
  <dcterms:created xsi:type="dcterms:W3CDTF">2014-12-15T13:22:00Z</dcterms:created>
  <dcterms:modified xsi:type="dcterms:W3CDTF">2014-12-15T13:22:00Z</dcterms:modified>
</cp:coreProperties>
</file>