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36B6B" w:rsidRDefault="006B3E27" w:rsidP="009867A8">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C36B6B" w:rsidP="00C9188E">
            <w:pPr>
              <w:bidi w:val="0"/>
              <w:spacing w:after="20"/>
              <w:jc w:val="left"/>
              <w:rPr>
                <w:szCs w:val="20"/>
              </w:rPr>
            </w:pPr>
            <w:r w:rsidRPr="00C36B6B">
              <w:rPr>
                <w:sz w:val="40"/>
                <w:szCs w:val="20"/>
              </w:rPr>
              <w:t>CCPR</w:t>
            </w:r>
            <w:r>
              <w:rPr>
                <w:szCs w:val="20"/>
              </w:rPr>
              <w:t>/C/119/D/2172/2012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C9188E" w:rsidP="00C9188E">
            <w:pPr>
              <w:bidi w:val="0"/>
              <w:spacing w:before="240"/>
              <w:jc w:val="left"/>
              <w:rPr>
                <w:szCs w:val="20"/>
              </w:rPr>
            </w:pPr>
            <w:r>
              <w:rPr>
                <w:szCs w:val="20"/>
              </w:rPr>
              <w:t>Distr.: General</w:t>
            </w:r>
          </w:p>
          <w:p w:rsidR="00C9188E" w:rsidRDefault="00C9188E" w:rsidP="00C9188E">
            <w:pPr>
              <w:bidi w:val="0"/>
              <w:jc w:val="left"/>
              <w:rPr>
                <w:szCs w:val="20"/>
              </w:rPr>
            </w:pPr>
            <w:r>
              <w:rPr>
                <w:szCs w:val="20"/>
              </w:rPr>
              <w:t>28 June 2017</w:t>
            </w:r>
          </w:p>
          <w:p w:rsidR="00C9188E" w:rsidRDefault="00C9188E" w:rsidP="00C9188E">
            <w:pPr>
              <w:bidi w:val="0"/>
              <w:jc w:val="left"/>
              <w:rPr>
                <w:szCs w:val="20"/>
              </w:rPr>
            </w:pPr>
            <w:r>
              <w:rPr>
                <w:szCs w:val="20"/>
              </w:rPr>
              <w:t>Arabic</w:t>
            </w:r>
          </w:p>
          <w:p w:rsidR="00C9188E" w:rsidRPr="00CB6622" w:rsidRDefault="00C9188E" w:rsidP="00C9188E">
            <w:pPr>
              <w:bidi w:val="0"/>
              <w:jc w:val="left"/>
              <w:rPr>
                <w:szCs w:val="20"/>
              </w:rPr>
            </w:pPr>
            <w:r>
              <w:rPr>
                <w:szCs w:val="20"/>
              </w:rPr>
              <w:t>Original: English</w:t>
            </w:r>
          </w:p>
        </w:tc>
      </w:tr>
    </w:tbl>
    <w:p w:rsidR="00C9188E" w:rsidRDefault="00C9188E" w:rsidP="00C9188E">
      <w:pPr>
        <w:spacing w:before="120" w:line="380" w:lineRule="exact"/>
        <w:rPr>
          <w:b/>
          <w:bCs/>
          <w:sz w:val="26"/>
          <w:szCs w:val="36"/>
          <w:rtl/>
          <w:lang w:val="fr-CH"/>
        </w:rPr>
      </w:pPr>
      <w:r w:rsidRPr="00F307C7">
        <w:rPr>
          <w:rFonts w:hint="cs"/>
          <w:b/>
          <w:bCs/>
          <w:sz w:val="26"/>
          <w:szCs w:val="36"/>
          <w:rtl/>
          <w:lang w:val="fr-CH"/>
        </w:rPr>
        <w:t>اللجنة المعنية بحقوق الإنسان</w:t>
      </w:r>
    </w:p>
    <w:p w:rsidR="00C9188E" w:rsidRPr="00C55D03" w:rsidRDefault="00C9188E" w:rsidP="000916D0">
      <w:pPr>
        <w:pStyle w:val="HChGA"/>
        <w:rPr>
          <w:rtl/>
          <w:lang w:val="fr-CH" w:bidi="ar-DZ"/>
        </w:rPr>
      </w:pPr>
      <w:r w:rsidRPr="00521D71">
        <w:rPr>
          <w:spacing w:val="-4"/>
          <w:rtl/>
          <w:lang w:val="fr-CH"/>
        </w:rPr>
        <w:tab/>
      </w:r>
      <w:r w:rsidRPr="00521D71">
        <w:rPr>
          <w:spacing w:val="-4"/>
          <w:rtl/>
          <w:lang w:val="fr-CH"/>
        </w:rPr>
        <w:tab/>
        <w:t>آراء اعتمدتها اللجنة المعنية بحقوق الإنسان بموجب الفقرة 4 من المادة 5</w:t>
      </w:r>
      <w:r w:rsidRPr="00F15331">
        <w:rPr>
          <w:rtl/>
          <w:lang w:val="fr-CH"/>
        </w:rPr>
        <w:t xml:space="preserve"> من البروت</w:t>
      </w:r>
      <w:r w:rsidR="000916D0">
        <w:rPr>
          <w:rtl/>
          <w:lang w:val="fr-CH"/>
        </w:rPr>
        <w:t>وكول الاختياري، بشأن البلاغ رقم</w:t>
      </w:r>
      <w:r w:rsidR="00FD0579">
        <w:rPr>
          <w:rFonts w:hint="cs"/>
          <w:rtl/>
          <w:lang w:val="fr-CH"/>
        </w:rPr>
        <w:t xml:space="preserve"> 2172/2012</w:t>
      </w:r>
      <w:r w:rsidR="000916D0" w:rsidRPr="000916D0">
        <w:rPr>
          <w:rStyle w:val="FootnoteReference"/>
          <w:b/>
          <w:bCs w:val="0"/>
          <w:sz w:val="20"/>
          <w:vertAlign w:val="baseline"/>
          <w:rtl/>
          <w:lang w:val="fr-CH" w:bidi="ar-DZ"/>
        </w:rPr>
        <w:footnoteReference w:customMarkFollows="1" w:id="1"/>
        <w:t>*</w:t>
      </w:r>
      <w:r w:rsidR="000916D0" w:rsidRPr="000916D0">
        <w:rPr>
          <w:rStyle w:val="FootnoteReference"/>
          <w:rFonts w:hint="cs"/>
          <w:b/>
          <w:bCs w:val="0"/>
          <w:sz w:val="20"/>
          <w:vertAlign w:val="baseline"/>
          <w:rtl/>
          <w:lang w:val="fr-CH" w:bidi="ar-DZ"/>
        </w:rPr>
        <w:t xml:space="preserve"> </w:t>
      </w:r>
      <w:r w:rsidR="000916D0" w:rsidRPr="000916D0">
        <w:rPr>
          <w:rStyle w:val="FootnoteReference"/>
          <w:b/>
          <w:bCs w:val="0"/>
          <w:sz w:val="20"/>
          <w:vertAlign w:val="baseline"/>
          <w:rtl/>
          <w:lang w:val="fr-CH" w:bidi="ar-DZ"/>
        </w:rPr>
        <w:footnoteReference w:customMarkFollows="1" w:id="2"/>
        <w:t>**</w:t>
      </w:r>
    </w:p>
    <w:p w:rsidR="00C9188E" w:rsidRPr="000916D0" w:rsidRDefault="00C9188E" w:rsidP="00B32019">
      <w:pPr>
        <w:pStyle w:val="SingleTxtGA"/>
        <w:tabs>
          <w:tab w:val="clear" w:pos="1928"/>
          <w:tab w:val="clear" w:pos="2608"/>
          <w:tab w:val="clear" w:pos="3289"/>
          <w:tab w:val="clear" w:pos="3969"/>
        </w:tabs>
        <w:spacing w:after="100"/>
        <w:ind w:left="4275" w:hanging="2347"/>
        <w:rPr>
          <w:b/>
          <w:bCs/>
          <w:sz w:val="30"/>
          <w:rtl/>
          <w:lang w:val="fr-CH" w:bidi="ar-EG"/>
        </w:rPr>
      </w:pPr>
      <w:r w:rsidRPr="000916D0">
        <w:rPr>
          <w:i/>
          <w:iCs/>
          <w:sz w:val="30"/>
          <w:rtl/>
          <w:lang w:val="fr-CH"/>
        </w:rPr>
        <w:t>المقدم من</w:t>
      </w:r>
      <w:r w:rsidRPr="000916D0">
        <w:rPr>
          <w:rFonts w:hint="cs"/>
          <w:i/>
          <w:iCs/>
          <w:sz w:val="30"/>
          <w:rtl/>
          <w:lang w:val="fr-CH"/>
        </w:rPr>
        <w:t>:</w:t>
      </w:r>
      <w:r w:rsidRPr="000916D0">
        <w:rPr>
          <w:sz w:val="30"/>
          <w:rtl/>
          <w:lang w:val="fr-CH"/>
        </w:rPr>
        <w:tab/>
      </w:r>
      <w:r w:rsidRPr="000916D0">
        <w:rPr>
          <w:rFonts w:hint="cs"/>
          <w:sz w:val="30"/>
          <w:rtl/>
          <w:lang w:val="fr-CH" w:bidi="ar-EG"/>
        </w:rPr>
        <w:t>ج</w:t>
      </w:r>
      <w:r w:rsidR="00E12866">
        <w:rPr>
          <w:rFonts w:hint="cs"/>
          <w:sz w:val="30"/>
          <w:rtl/>
          <w:lang w:val="fr-CH" w:bidi="ar-EG"/>
        </w:rPr>
        <w:t>.</w:t>
      </w:r>
      <w:r w:rsidRPr="000916D0">
        <w:rPr>
          <w:sz w:val="30"/>
          <w:rtl/>
          <w:lang w:val="fr-CH" w:bidi="ar-EG"/>
        </w:rPr>
        <w:t xml:space="preserve"> (</w:t>
      </w:r>
      <w:r w:rsidRPr="000916D0">
        <w:rPr>
          <w:rFonts w:hint="cs"/>
          <w:sz w:val="30"/>
          <w:rtl/>
          <w:lang w:val="fr-CH" w:bidi="ar-EG"/>
        </w:rPr>
        <w:t>يمثلها المحامي</w:t>
      </w:r>
      <w:r w:rsidRPr="000916D0">
        <w:rPr>
          <w:sz w:val="30"/>
          <w:rtl/>
          <w:lang w:val="fr-CH" w:bidi="ar-EG"/>
        </w:rPr>
        <w:t xml:space="preserve"> </w:t>
      </w:r>
      <w:r w:rsidRPr="000916D0">
        <w:rPr>
          <w:szCs w:val="20"/>
        </w:rPr>
        <w:t>DLA Piper</w:t>
      </w:r>
      <w:r w:rsidRPr="000916D0">
        <w:rPr>
          <w:sz w:val="30"/>
          <w:rtl/>
        </w:rPr>
        <w:t>، أستراليا</w:t>
      </w:r>
      <w:r w:rsidRPr="000916D0">
        <w:rPr>
          <w:sz w:val="30"/>
          <w:rtl/>
          <w:lang w:val="fr-CH" w:bidi="ar-EG"/>
        </w:rPr>
        <w:t>)</w:t>
      </w:r>
    </w:p>
    <w:p w:rsidR="00C9188E" w:rsidRPr="000916D0" w:rsidRDefault="00C9188E" w:rsidP="00B32019">
      <w:pPr>
        <w:pStyle w:val="SingleTxtGA"/>
        <w:tabs>
          <w:tab w:val="clear" w:pos="1928"/>
          <w:tab w:val="clear" w:pos="2608"/>
          <w:tab w:val="clear" w:pos="3289"/>
          <w:tab w:val="clear" w:pos="3969"/>
        </w:tabs>
        <w:spacing w:after="100"/>
        <w:ind w:left="4275" w:hanging="2347"/>
        <w:rPr>
          <w:b/>
          <w:bCs/>
          <w:sz w:val="30"/>
          <w:rtl/>
          <w:lang w:val="fr-CH"/>
        </w:rPr>
      </w:pPr>
      <w:r w:rsidRPr="000916D0">
        <w:rPr>
          <w:i/>
          <w:iCs/>
          <w:sz w:val="30"/>
          <w:rtl/>
        </w:rPr>
        <w:t>ال</w:t>
      </w:r>
      <w:r w:rsidRPr="000916D0">
        <w:rPr>
          <w:i/>
          <w:iCs/>
          <w:sz w:val="30"/>
          <w:rtl/>
          <w:lang w:bidi="ar-EG"/>
        </w:rPr>
        <w:t>شخص</w:t>
      </w:r>
      <w:r w:rsidRPr="000916D0">
        <w:rPr>
          <w:i/>
          <w:iCs/>
          <w:sz w:val="30"/>
          <w:rtl/>
        </w:rPr>
        <w:t xml:space="preserve"> المدعى أنه ضحية:</w:t>
      </w:r>
      <w:r w:rsidRPr="000916D0">
        <w:rPr>
          <w:sz w:val="30"/>
          <w:rtl/>
        </w:rPr>
        <w:tab/>
      </w:r>
      <w:r w:rsidRPr="000916D0">
        <w:rPr>
          <w:rFonts w:hint="cs"/>
          <w:sz w:val="30"/>
          <w:rtl/>
        </w:rPr>
        <w:t>صاحبة البلاغ</w:t>
      </w:r>
    </w:p>
    <w:p w:rsidR="00C9188E" w:rsidRPr="000916D0" w:rsidRDefault="00C9188E" w:rsidP="00B32019">
      <w:pPr>
        <w:pStyle w:val="SingleTxtGA"/>
        <w:tabs>
          <w:tab w:val="clear" w:pos="1928"/>
          <w:tab w:val="clear" w:pos="2608"/>
          <w:tab w:val="clear" w:pos="3289"/>
          <w:tab w:val="clear" w:pos="3969"/>
        </w:tabs>
        <w:spacing w:after="100"/>
        <w:ind w:left="4275" w:hanging="2347"/>
        <w:rPr>
          <w:sz w:val="30"/>
          <w:rtl/>
          <w:lang w:val="fr-CH"/>
        </w:rPr>
      </w:pPr>
      <w:r w:rsidRPr="000916D0">
        <w:rPr>
          <w:i/>
          <w:iCs/>
          <w:sz w:val="30"/>
          <w:rtl/>
          <w:lang w:val="fr-CH"/>
        </w:rPr>
        <w:t>الدولة الطرف</w:t>
      </w:r>
      <w:r w:rsidRPr="000916D0">
        <w:rPr>
          <w:rFonts w:hint="cs"/>
          <w:i/>
          <w:iCs/>
          <w:sz w:val="30"/>
          <w:rtl/>
          <w:lang w:val="fr-CH"/>
        </w:rPr>
        <w:t>:</w:t>
      </w:r>
      <w:r w:rsidRPr="000916D0">
        <w:rPr>
          <w:sz w:val="30"/>
          <w:rtl/>
          <w:lang w:val="fr-CH"/>
        </w:rPr>
        <w:tab/>
      </w:r>
      <w:r w:rsidRPr="000916D0">
        <w:rPr>
          <w:rFonts w:hint="cs"/>
          <w:sz w:val="30"/>
          <w:rtl/>
          <w:lang w:val="fr-CH"/>
        </w:rPr>
        <w:t>أستراليا</w:t>
      </w:r>
    </w:p>
    <w:p w:rsidR="00C9188E" w:rsidRPr="00BF1367" w:rsidRDefault="00C9188E" w:rsidP="00B32019">
      <w:pPr>
        <w:pStyle w:val="SingleTxtGA"/>
        <w:tabs>
          <w:tab w:val="clear" w:pos="1928"/>
          <w:tab w:val="clear" w:pos="2608"/>
          <w:tab w:val="clear" w:pos="3289"/>
          <w:tab w:val="clear" w:pos="3969"/>
        </w:tabs>
        <w:spacing w:after="100"/>
        <w:ind w:left="4275" w:hanging="2347"/>
        <w:rPr>
          <w:spacing w:val="-10"/>
          <w:sz w:val="30"/>
          <w:rtl/>
          <w:lang w:val="fr-CH"/>
        </w:rPr>
      </w:pPr>
      <w:r w:rsidRPr="00BF1367">
        <w:rPr>
          <w:i/>
          <w:iCs/>
          <w:spacing w:val="-10"/>
          <w:sz w:val="30"/>
          <w:rtl/>
          <w:lang w:val="fr-CH"/>
        </w:rPr>
        <w:t xml:space="preserve">تاريخ تقديم </w:t>
      </w:r>
      <w:r w:rsidRPr="00BF1367">
        <w:rPr>
          <w:rFonts w:hint="cs"/>
          <w:i/>
          <w:iCs/>
          <w:spacing w:val="-10"/>
          <w:sz w:val="30"/>
          <w:rtl/>
          <w:lang w:val="fr-CH"/>
        </w:rPr>
        <w:t>البلاغ:</w:t>
      </w:r>
      <w:r w:rsidRPr="00BF1367">
        <w:rPr>
          <w:spacing w:val="-10"/>
          <w:sz w:val="30"/>
          <w:rtl/>
          <w:lang w:val="fr-CH"/>
        </w:rPr>
        <w:tab/>
      </w:r>
      <w:r w:rsidRPr="00BF1367">
        <w:rPr>
          <w:rFonts w:hint="cs"/>
          <w:spacing w:val="-10"/>
          <w:sz w:val="30"/>
          <w:rtl/>
          <w:lang w:val="fr-CH"/>
        </w:rPr>
        <w:t>2 كانون الأول/ديسمبر 2011</w:t>
      </w:r>
      <w:r w:rsidRPr="00BF1367">
        <w:rPr>
          <w:spacing w:val="-10"/>
          <w:sz w:val="30"/>
          <w:rtl/>
          <w:lang w:val="fr-CH"/>
        </w:rPr>
        <w:t xml:space="preserve"> (تاريخ تقديم الرسالة الأولى)</w:t>
      </w:r>
    </w:p>
    <w:p w:rsidR="00C9188E" w:rsidRPr="008278BE" w:rsidRDefault="00C9188E" w:rsidP="00B32019">
      <w:pPr>
        <w:pStyle w:val="SingleTxtGA"/>
        <w:tabs>
          <w:tab w:val="clear" w:pos="1928"/>
          <w:tab w:val="clear" w:pos="2608"/>
          <w:tab w:val="clear" w:pos="3289"/>
          <w:tab w:val="clear" w:pos="3969"/>
        </w:tabs>
        <w:spacing w:after="100"/>
        <w:ind w:left="4275" w:hanging="2347"/>
        <w:rPr>
          <w:spacing w:val="-6"/>
          <w:sz w:val="30"/>
          <w:rtl/>
          <w:lang w:val="fr-CH"/>
        </w:rPr>
      </w:pPr>
      <w:r w:rsidRPr="008278BE">
        <w:rPr>
          <w:i/>
          <w:iCs/>
          <w:spacing w:val="-6"/>
          <w:sz w:val="30"/>
          <w:rtl/>
          <w:lang w:val="fr-CH"/>
        </w:rPr>
        <w:t xml:space="preserve">الوثائق </w:t>
      </w:r>
      <w:r w:rsidRPr="008278BE">
        <w:rPr>
          <w:rFonts w:hint="cs"/>
          <w:i/>
          <w:iCs/>
          <w:spacing w:val="-6"/>
          <w:sz w:val="30"/>
          <w:rtl/>
          <w:lang w:val="fr-CH"/>
        </w:rPr>
        <w:t>المرجعية:</w:t>
      </w:r>
      <w:r w:rsidRPr="008278BE">
        <w:rPr>
          <w:spacing w:val="-6"/>
          <w:sz w:val="30"/>
          <w:rtl/>
          <w:lang w:val="fr-CH"/>
        </w:rPr>
        <w:tab/>
        <w:t>القرار المتخذ بمقتضى المادة 97 من النظام الداخلي للجنة، الذي أُحيل إلى الدولة الطرف</w:t>
      </w:r>
      <w:r w:rsidRPr="008278BE">
        <w:rPr>
          <w:rFonts w:hint="cs"/>
          <w:spacing w:val="-6"/>
          <w:sz w:val="30"/>
          <w:rtl/>
          <w:lang w:val="fr-CH"/>
        </w:rPr>
        <w:t xml:space="preserve"> 11 تموز/يوليه 2012</w:t>
      </w:r>
      <w:r w:rsidRPr="008278BE">
        <w:rPr>
          <w:spacing w:val="-6"/>
          <w:sz w:val="30"/>
          <w:rtl/>
          <w:lang w:val="fr-CH"/>
        </w:rPr>
        <w:t xml:space="preserve"> (لم</w:t>
      </w:r>
      <w:r w:rsidR="008278BE">
        <w:rPr>
          <w:rFonts w:hint="cs"/>
          <w:spacing w:val="-6"/>
          <w:sz w:val="30"/>
          <w:rtl/>
          <w:lang w:val="fr-CH"/>
        </w:rPr>
        <w:t> </w:t>
      </w:r>
      <w:r w:rsidRPr="008278BE">
        <w:rPr>
          <w:spacing w:val="-6"/>
          <w:sz w:val="30"/>
          <w:rtl/>
          <w:lang w:val="fr-CH"/>
        </w:rPr>
        <w:t xml:space="preserve">يصدر في شكل </w:t>
      </w:r>
      <w:r w:rsidRPr="008278BE">
        <w:rPr>
          <w:rFonts w:hint="cs"/>
          <w:spacing w:val="-6"/>
          <w:sz w:val="30"/>
          <w:rtl/>
          <w:lang w:val="fr-CH"/>
        </w:rPr>
        <w:t>وثيقة</w:t>
      </w:r>
      <w:r w:rsidRPr="008278BE">
        <w:rPr>
          <w:spacing w:val="-6"/>
          <w:sz w:val="30"/>
          <w:lang w:val="fr-CH"/>
        </w:rPr>
        <w:t xml:space="preserve"> (</w:t>
      </w:r>
    </w:p>
    <w:p w:rsidR="00C9188E" w:rsidRPr="000916D0" w:rsidRDefault="00C9188E" w:rsidP="00B32019">
      <w:pPr>
        <w:pStyle w:val="SingleTxtGA"/>
        <w:tabs>
          <w:tab w:val="clear" w:pos="1928"/>
          <w:tab w:val="clear" w:pos="2608"/>
          <w:tab w:val="clear" w:pos="3289"/>
          <w:tab w:val="clear" w:pos="3969"/>
        </w:tabs>
        <w:spacing w:after="100"/>
        <w:ind w:left="4275" w:hanging="2347"/>
        <w:rPr>
          <w:sz w:val="30"/>
          <w:rtl/>
          <w:lang w:val="fr-CH"/>
        </w:rPr>
      </w:pPr>
      <w:r w:rsidRPr="000916D0">
        <w:rPr>
          <w:i/>
          <w:iCs/>
          <w:sz w:val="30"/>
          <w:rtl/>
          <w:lang w:val="fr-CH"/>
        </w:rPr>
        <w:t>تاريخ اعتماد الآراء:</w:t>
      </w:r>
      <w:r w:rsidRPr="000916D0">
        <w:rPr>
          <w:sz w:val="30"/>
          <w:rtl/>
          <w:lang w:val="fr-CH"/>
        </w:rPr>
        <w:tab/>
      </w:r>
      <w:r w:rsidRPr="000916D0">
        <w:rPr>
          <w:rFonts w:hint="cs"/>
          <w:sz w:val="30"/>
          <w:rtl/>
          <w:lang w:val="fr-CH"/>
        </w:rPr>
        <w:t>17 آذار/مارس 2017</w:t>
      </w:r>
      <w:r w:rsidR="0026655D">
        <w:rPr>
          <w:sz w:val="30"/>
          <w:rtl/>
          <w:lang w:val="fr-CH"/>
        </w:rPr>
        <w:t xml:space="preserve"> </w:t>
      </w:r>
    </w:p>
    <w:p w:rsidR="00C9188E" w:rsidRPr="000916D0" w:rsidRDefault="00C9188E" w:rsidP="00B32019">
      <w:pPr>
        <w:pStyle w:val="SingleTxtGA"/>
        <w:tabs>
          <w:tab w:val="clear" w:pos="1928"/>
          <w:tab w:val="clear" w:pos="2608"/>
          <w:tab w:val="clear" w:pos="3289"/>
          <w:tab w:val="clear" w:pos="3969"/>
        </w:tabs>
        <w:spacing w:after="100"/>
        <w:ind w:left="4275" w:hanging="2347"/>
        <w:rPr>
          <w:sz w:val="30"/>
          <w:rtl/>
          <w:lang w:val="fr-CH"/>
        </w:rPr>
      </w:pPr>
      <w:r w:rsidRPr="000916D0">
        <w:rPr>
          <w:i/>
          <w:iCs/>
          <w:sz w:val="30"/>
          <w:rtl/>
          <w:lang w:val="fr-CH"/>
        </w:rPr>
        <w:t>الموضوع:</w:t>
      </w:r>
      <w:r w:rsidRPr="000916D0">
        <w:rPr>
          <w:sz w:val="30"/>
          <w:rtl/>
          <w:lang w:val="fr-CH"/>
        </w:rPr>
        <w:tab/>
      </w:r>
      <w:r w:rsidRPr="000916D0">
        <w:rPr>
          <w:rFonts w:hint="cs"/>
          <w:sz w:val="30"/>
          <w:rtl/>
          <w:lang w:val="fr-CH"/>
        </w:rPr>
        <w:t>رفض تغيير الجنس في شهادة الميلاد لشخص متزوج من مغايري الهوية الجنسانية</w:t>
      </w:r>
    </w:p>
    <w:p w:rsidR="00C9188E" w:rsidRPr="000916D0" w:rsidRDefault="00C9188E" w:rsidP="00B32019">
      <w:pPr>
        <w:pStyle w:val="SingleTxtGA"/>
        <w:tabs>
          <w:tab w:val="clear" w:pos="1928"/>
          <w:tab w:val="clear" w:pos="2608"/>
          <w:tab w:val="clear" w:pos="3289"/>
          <w:tab w:val="clear" w:pos="3969"/>
        </w:tabs>
        <w:spacing w:after="100"/>
        <w:ind w:left="4275" w:hanging="2347"/>
        <w:rPr>
          <w:sz w:val="30"/>
          <w:rtl/>
          <w:lang w:val="fr-CH"/>
        </w:rPr>
      </w:pPr>
      <w:r w:rsidRPr="000916D0">
        <w:rPr>
          <w:i/>
          <w:iCs/>
          <w:sz w:val="30"/>
          <w:rtl/>
          <w:lang w:val="fr-CH"/>
        </w:rPr>
        <w:t>المسائل ا</w:t>
      </w:r>
      <w:r w:rsidRPr="000916D0">
        <w:rPr>
          <w:i/>
          <w:iCs/>
          <w:sz w:val="30"/>
          <w:rtl/>
          <w:lang w:val="fr-CH" w:bidi="ar-EG"/>
        </w:rPr>
        <w:t>لإجرائية</w:t>
      </w:r>
      <w:r w:rsidRPr="000916D0">
        <w:rPr>
          <w:i/>
          <w:iCs/>
          <w:sz w:val="30"/>
          <w:rtl/>
          <w:lang w:val="fr-CH"/>
        </w:rPr>
        <w:t>:</w:t>
      </w:r>
      <w:r w:rsidRPr="000916D0">
        <w:rPr>
          <w:sz w:val="30"/>
          <w:rtl/>
          <w:lang w:val="fr-CH"/>
        </w:rPr>
        <w:tab/>
      </w:r>
      <w:r w:rsidRPr="000916D0">
        <w:rPr>
          <w:rFonts w:hint="cs"/>
          <w:sz w:val="30"/>
          <w:rtl/>
          <w:lang w:val="fr-CH"/>
        </w:rPr>
        <w:t xml:space="preserve">انعدام صفة "الضحية"، </w:t>
      </w:r>
      <w:dir w:val="rtl">
        <w:r w:rsidRPr="000916D0">
          <w:rPr>
            <w:rFonts w:hint="cs"/>
            <w:sz w:val="30"/>
            <w:rtl/>
            <w:lang w:val="fr-CH"/>
          </w:rPr>
          <w:t>عدم</w:t>
        </w:r>
        <w:r w:rsidRPr="000916D0">
          <w:rPr>
            <w:sz w:val="30"/>
            <w:rtl/>
            <w:lang w:val="fr-CH"/>
          </w:rPr>
          <w:t xml:space="preserve"> </w:t>
        </w:r>
        <w:r w:rsidRPr="000916D0">
          <w:rPr>
            <w:rFonts w:hint="cs"/>
            <w:sz w:val="30"/>
            <w:rtl/>
            <w:lang w:val="fr-CH"/>
          </w:rPr>
          <w:t>كفاية</w:t>
        </w:r>
        <w:r w:rsidRPr="000916D0">
          <w:rPr>
            <w:sz w:val="30"/>
            <w:rtl/>
            <w:lang w:val="fr-CH"/>
          </w:rPr>
          <w:t xml:space="preserve"> </w:t>
        </w:r>
        <w:r w:rsidRPr="000916D0">
          <w:rPr>
            <w:rFonts w:hint="cs"/>
            <w:sz w:val="30"/>
            <w:rtl/>
            <w:lang w:val="fr-CH"/>
          </w:rPr>
          <w:t>الأدلة</w:t>
        </w:r>
        <w:r w:rsidR="009B2B1A">
          <w:t>‬</w:t>
        </w:r>
      </w:dir>
    </w:p>
    <w:p w:rsidR="00C9188E" w:rsidRPr="00521CB1" w:rsidRDefault="00C9188E" w:rsidP="00B32019">
      <w:pPr>
        <w:pStyle w:val="SingleTxtGA"/>
        <w:tabs>
          <w:tab w:val="clear" w:pos="1928"/>
          <w:tab w:val="clear" w:pos="2608"/>
          <w:tab w:val="clear" w:pos="3289"/>
          <w:tab w:val="clear" w:pos="3969"/>
        </w:tabs>
        <w:spacing w:after="100"/>
        <w:ind w:left="4275" w:hanging="2347"/>
        <w:rPr>
          <w:spacing w:val="-3"/>
          <w:sz w:val="30"/>
          <w:rtl/>
          <w:lang w:val="fr-CH"/>
        </w:rPr>
      </w:pPr>
      <w:r w:rsidRPr="00521CB1">
        <w:rPr>
          <w:i/>
          <w:iCs/>
          <w:spacing w:val="-3"/>
          <w:sz w:val="30"/>
          <w:rtl/>
          <w:lang w:val="fr-CH"/>
        </w:rPr>
        <w:t>المسائل الموضوعية:</w:t>
      </w:r>
      <w:r w:rsidRPr="00521CB1">
        <w:rPr>
          <w:spacing w:val="-3"/>
          <w:sz w:val="30"/>
          <w:rtl/>
          <w:lang w:val="fr-CH"/>
        </w:rPr>
        <w:tab/>
      </w:r>
      <w:r w:rsidRPr="00521CB1">
        <w:rPr>
          <w:rFonts w:hint="cs"/>
          <w:spacing w:val="-3"/>
          <w:sz w:val="30"/>
          <w:rtl/>
          <w:lang w:val="fr-CH"/>
        </w:rPr>
        <w:t>الحق</w:t>
      </w:r>
      <w:r w:rsidRPr="00521CB1">
        <w:rPr>
          <w:spacing w:val="-3"/>
          <w:sz w:val="30"/>
          <w:rtl/>
          <w:lang w:val="fr-CH"/>
        </w:rPr>
        <w:t xml:space="preserve"> </w:t>
      </w:r>
      <w:r w:rsidRPr="00521CB1">
        <w:rPr>
          <w:rFonts w:hint="cs"/>
          <w:spacing w:val="-3"/>
          <w:sz w:val="30"/>
          <w:rtl/>
          <w:lang w:val="fr-CH"/>
        </w:rPr>
        <w:t>في</w:t>
      </w:r>
      <w:r w:rsidRPr="00521CB1">
        <w:rPr>
          <w:spacing w:val="-3"/>
          <w:sz w:val="30"/>
          <w:rtl/>
          <w:lang w:val="fr-CH"/>
        </w:rPr>
        <w:t xml:space="preserve"> </w:t>
      </w:r>
      <w:r w:rsidRPr="00521CB1">
        <w:rPr>
          <w:rFonts w:hint="cs"/>
          <w:spacing w:val="-3"/>
          <w:sz w:val="30"/>
          <w:rtl/>
          <w:lang w:val="fr-CH"/>
        </w:rPr>
        <w:t>الخصوصية</w:t>
      </w:r>
      <w:r w:rsidRPr="00521CB1">
        <w:rPr>
          <w:spacing w:val="-3"/>
          <w:sz w:val="30"/>
          <w:rtl/>
          <w:lang w:val="fr-CH"/>
        </w:rPr>
        <w:t xml:space="preserve"> </w:t>
      </w:r>
      <w:r w:rsidRPr="00521CB1">
        <w:rPr>
          <w:rFonts w:hint="cs"/>
          <w:spacing w:val="-3"/>
          <w:sz w:val="30"/>
          <w:rtl/>
          <w:lang w:val="fr-CH"/>
        </w:rPr>
        <w:t>والحياة</w:t>
      </w:r>
      <w:r w:rsidRPr="00521CB1">
        <w:rPr>
          <w:spacing w:val="-3"/>
          <w:sz w:val="30"/>
          <w:rtl/>
          <w:lang w:val="fr-CH"/>
        </w:rPr>
        <w:t xml:space="preserve"> </w:t>
      </w:r>
      <w:r w:rsidRPr="00521CB1">
        <w:rPr>
          <w:rFonts w:hint="cs"/>
          <w:spacing w:val="-3"/>
          <w:sz w:val="30"/>
          <w:rtl/>
          <w:lang w:val="fr-CH"/>
        </w:rPr>
        <w:t>الأُسرية؛ الحق</w:t>
      </w:r>
      <w:r w:rsidRPr="00521CB1">
        <w:rPr>
          <w:spacing w:val="-3"/>
          <w:sz w:val="30"/>
          <w:rtl/>
          <w:lang w:val="fr-CH"/>
        </w:rPr>
        <w:t xml:space="preserve"> </w:t>
      </w:r>
      <w:r w:rsidRPr="00521CB1">
        <w:rPr>
          <w:rFonts w:hint="cs"/>
          <w:spacing w:val="-3"/>
          <w:sz w:val="30"/>
          <w:rtl/>
          <w:lang w:val="fr-CH"/>
        </w:rPr>
        <w:t>في</w:t>
      </w:r>
      <w:r w:rsidRPr="00521CB1">
        <w:rPr>
          <w:spacing w:val="-3"/>
          <w:sz w:val="30"/>
          <w:rtl/>
          <w:lang w:val="fr-CH"/>
        </w:rPr>
        <w:t xml:space="preserve"> </w:t>
      </w:r>
      <w:r w:rsidRPr="00521CB1">
        <w:rPr>
          <w:rFonts w:hint="cs"/>
          <w:spacing w:val="-3"/>
          <w:sz w:val="30"/>
          <w:rtl/>
          <w:lang w:val="fr-CH"/>
        </w:rPr>
        <w:t>عدم</w:t>
      </w:r>
      <w:r w:rsidRPr="00521CB1">
        <w:rPr>
          <w:spacing w:val="-3"/>
          <w:sz w:val="30"/>
          <w:rtl/>
          <w:lang w:val="fr-CH"/>
        </w:rPr>
        <w:t xml:space="preserve"> </w:t>
      </w:r>
      <w:r w:rsidRPr="00521CB1">
        <w:rPr>
          <w:rFonts w:hint="cs"/>
          <w:spacing w:val="-3"/>
          <w:sz w:val="30"/>
          <w:rtl/>
          <w:lang w:val="fr-CH"/>
        </w:rPr>
        <w:t>التمييز؛</w:t>
      </w:r>
      <w:r w:rsidRPr="00521CB1">
        <w:rPr>
          <w:rFonts w:hint="cs"/>
          <w:spacing w:val="-3"/>
          <w:sz w:val="30"/>
          <w:rtl/>
        </w:rPr>
        <w:t xml:space="preserve"> </w:t>
      </w:r>
      <w:r w:rsidRPr="00521CB1">
        <w:rPr>
          <w:rFonts w:hint="cs"/>
          <w:spacing w:val="-3"/>
          <w:sz w:val="30"/>
          <w:rtl/>
          <w:lang w:val="fr-CH"/>
        </w:rPr>
        <w:t>الحق</w:t>
      </w:r>
      <w:r w:rsidRPr="00521CB1">
        <w:rPr>
          <w:spacing w:val="-3"/>
          <w:sz w:val="30"/>
          <w:rtl/>
          <w:lang w:val="fr-CH"/>
        </w:rPr>
        <w:t xml:space="preserve"> </w:t>
      </w:r>
      <w:r w:rsidRPr="00521CB1">
        <w:rPr>
          <w:rFonts w:hint="cs"/>
          <w:spacing w:val="-3"/>
          <w:sz w:val="30"/>
          <w:rtl/>
          <w:lang w:val="fr-CH"/>
        </w:rPr>
        <w:t>في</w:t>
      </w:r>
      <w:r w:rsidRPr="00521CB1">
        <w:rPr>
          <w:spacing w:val="-3"/>
          <w:sz w:val="30"/>
          <w:rtl/>
          <w:lang w:val="fr-CH"/>
        </w:rPr>
        <w:t xml:space="preserve"> </w:t>
      </w:r>
      <w:r w:rsidRPr="00521CB1">
        <w:rPr>
          <w:rFonts w:hint="cs"/>
          <w:spacing w:val="-3"/>
          <w:sz w:val="30"/>
          <w:rtl/>
          <w:lang w:val="fr-CH"/>
        </w:rPr>
        <w:t>الحصول</w:t>
      </w:r>
      <w:r w:rsidRPr="00521CB1">
        <w:rPr>
          <w:spacing w:val="-3"/>
          <w:sz w:val="30"/>
          <w:rtl/>
          <w:lang w:val="fr-CH"/>
        </w:rPr>
        <w:t xml:space="preserve"> </w:t>
      </w:r>
      <w:r w:rsidRPr="00521CB1">
        <w:rPr>
          <w:rFonts w:hint="cs"/>
          <w:spacing w:val="-3"/>
          <w:sz w:val="30"/>
          <w:rtl/>
          <w:lang w:val="fr-CH"/>
        </w:rPr>
        <w:t>على</w:t>
      </w:r>
      <w:r w:rsidRPr="00521CB1">
        <w:rPr>
          <w:spacing w:val="-3"/>
          <w:sz w:val="30"/>
          <w:rtl/>
          <w:lang w:val="fr-CH"/>
        </w:rPr>
        <w:t xml:space="preserve"> </w:t>
      </w:r>
      <w:r w:rsidRPr="00521CB1">
        <w:rPr>
          <w:rFonts w:hint="cs"/>
          <w:spacing w:val="-3"/>
          <w:sz w:val="30"/>
          <w:rtl/>
          <w:lang w:val="fr-CH"/>
        </w:rPr>
        <w:t>سبيل</w:t>
      </w:r>
      <w:r w:rsidRPr="00521CB1">
        <w:rPr>
          <w:spacing w:val="-3"/>
          <w:sz w:val="30"/>
          <w:rtl/>
          <w:lang w:val="fr-CH"/>
        </w:rPr>
        <w:t xml:space="preserve"> </w:t>
      </w:r>
      <w:r w:rsidRPr="00521CB1">
        <w:rPr>
          <w:rFonts w:hint="cs"/>
          <w:spacing w:val="-3"/>
          <w:sz w:val="30"/>
          <w:rtl/>
          <w:lang w:val="fr-CH"/>
        </w:rPr>
        <w:t>انتصاف</w:t>
      </w:r>
      <w:r w:rsidRPr="00521CB1">
        <w:rPr>
          <w:spacing w:val="-3"/>
          <w:sz w:val="30"/>
          <w:rtl/>
          <w:lang w:val="fr-CH"/>
        </w:rPr>
        <w:t xml:space="preserve"> </w:t>
      </w:r>
      <w:r w:rsidRPr="00521CB1">
        <w:rPr>
          <w:rFonts w:hint="cs"/>
          <w:spacing w:val="-3"/>
          <w:sz w:val="30"/>
          <w:rtl/>
          <w:lang w:val="fr-CH"/>
        </w:rPr>
        <w:t>فعال</w:t>
      </w:r>
    </w:p>
    <w:p w:rsidR="00C9188E" w:rsidRPr="000916D0" w:rsidRDefault="00C9188E" w:rsidP="00B32019">
      <w:pPr>
        <w:pStyle w:val="SingleTxtGA"/>
        <w:tabs>
          <w:tab w:val="clear" w:pos="1928"/>
          <w:tab w:val="clear" w:pos="2608"/>
          <w:tab w:val="clear" w:pos="3289"/>
          <w:tab w:val="clear" w:pos="3969"/>
        </w:tabs>
        <w:spacing w:after="100"/>
        <w:ind w:left="4275" w:hanging="2347"/>
        <w:rPr>
          <w:sz w:val="30"/>
          <w:rtl/>
          <w:lang w:val="fr-CH"/>
        </w:rPr>
      </w:pPr>
      <w:r w:rsidRPr="000916D0">
        <w:rPr>
          <w:i/>
          <w:iCs/>
          <w:sz w:val="30"/>
          <w:rtl/>
          <w:lang w:val="fr-CH"/>
        </w:rPr>
        <w:t>مواد العهد:</w:t>
      </w:r>
      <w:r w:rsidRPr="000916D0">
        <w:rPr>
          <w:sz w:val="30"/>
          <w:rtl/>
          <w:lang w:val="fr-CH"/>
        </w:rPr>
        <w:tab/>
        <w:t xml:space="preserve">المواد </w:t>
      </w:r>
      <w:r w:rsidRPr="000916D0">
        <w:rPr>
          <w:rFonts w:hint="cs"/>
          <w:sz w:val="30"/>
          <w:rtl/>
          <w:lang w:val="fr-CH"/>
        </w:rPr>
        <w:t>2(1)، 2(3)، 17 و26</w:t>
      </w:r>
    </w:p>
    <w:p w:rsidR="00C9188E" w:rsidRPr="000916D0" w:rsidRDefault="00C9188E" w:rsidP="00B32019">
      <w:pPr>
        <w:pStyle w:val="SingleTxtGA"/>
        <w:tabs>
          <w:tab w:val="clear" w:pos="1928"/>
          <w:tab w:val="clear" w:pos="2608"/>
          <w:tab w:val="clear" w:pos="3289"/>
          <w:tab w:val="clear" w:pos="3969"/>
        </w:tabs>
        <w:spacing w:after="100"/>
        <w:ind w:left="4275" w:hanging="2347"/>
        <w:rPr>
          <w:sz w:val="30"/>
          <w:rtl/>
          <w:lang w:val="fr-CH"/>
        </w:rPr>
      </w:pPr>
      <w:r w:rsidRPr="000916D0">
        <w:rPr>
          <w:rFonts w:hint="cs"/>
          <w:i/>
          <w:iCs/>
          <w:sz w:val="30"/>
          <w:rtl/>
          <w:lang w:val="fr-CH"/>
        </w:rPr>
        <w:t>مواد البروتوكول الاختياري:</w:t>
      </w:r>
      <w:r w:rsidRPr="000916D0">
        <w:rPr>
          <w:sz w:val="30"/>
          <w:rtl/>
          <w:lang w:val="fr-CH"/>
        </w:rPr>
        <w:tab/>
      </w:r>
      <w:r w:rsidRPr="000916D0">
        <w:rPr>
          <w:rFonts w:hint="cs"/>
          <w:sz w:val="30"/>
          <w:rtl/>
          <w:lang w:val="fr-CH"/>
        </w:rPr>
        <w:t>المادتان 1</w:t>
      </w:r>
      <w:r w:rsidR="00FF698C">
        <w:rPr>
          <w:rFonts w:hint="cs"/>
          <w:sz w:val="30"/>
          <w:rtl/>
          <w:lang w:val="fr-CH"/>
        </w:rPr>
        <w:t xml:space="preserve"> </w:t>
      </w:r>
      <w:r w:rsidRPr="000916D0">
        <w:rPr>
          <w:rFonts w:hint="cs"/>
          <w:sz w:val="30"/>
          <w:rtl/>
          <w:lang w:val="fr-CH"/>
        </w:rPr>
        <w:t>و2</w:t>
      </w:r>
    </w:p>
    <w:p w:rsidR="00C9188E" w:rsidRDefault="00C9188E" w:rsidP="005B32AE">
      <w:pPr>
        <w:pStyle w:val="SingleTxtGA"/>
        <w:rPr>
          <w:rtl/>
          <w:lang w:val="fr-CH"/>
        </w:rPr>
      </w:pPr>
      <w:r>
        <w:rPr>
          <w:rFonts w:hint="cs"/>
          <w:rtl/>
          <w:lang w:val="fr-CH"/>
        </w:rPr>
        <w:lastRenderedPageBreak/>
        <w:t>1-</w:t>
      </w:r>
      <w:r>
        <w:rPr>
          <w:rtl/>
          <w:lang w:val="fr-CH"/>
        </w:rPr>
        <w:tab/>
      </w:r>
      <w:r>
        <w:rPr>
          <w:rFonts w:hint="cs"/>
          <w:rtl/>
          <w:lang w:val="fr-CH"/>
        </w:rPr>
        <w:t>صاحبة البلاغ هي ج</w:t>
      </w:r>
      <w:r w:rsidR="00AA0FE6">
        <w:rPr>
          <w:rFonts w:hint="cs"/>
          <w:rtl/>
          <w:lang w:val="fr-CH"/>
        </w:rPr>
        <w:t>.</w:t>
      </w:r>
      <w:r>
        <w:rPr>
          <w:rFonts w:hint="cs"/>
          <w:rtl/>
          <w:lang w:val="fr-CH"/>
        </w:rPr>
        <w:t>، وهي</w:t>
      </w:r>
      <w:r w:rsidRPr="00333E4F">
        <w:rPr>
          <w:rFonts w:hint="cs"/>
          <w:rtl/>
          <w:lang w:val="fr-CH"/>
        </w:rPr>
        <w:t xml:space="preserve"> </w:t>
      </w:r>
      <w:r>
        <w:rPr>
          <w:rFonts w:hint="cs"/>
          <w:rtl/>
          <w:lang w:val="fr-CH"/>
        </w:rPr>
        <w:t>مواطنة أسترالية</w:t>
      </w:r>
      <w:r w:rsidRPr="00333E4F">
        <w:rPr>
          <w:rFonts w:hint="cs"/>
          <w:rtl/>
          <w:lang w:val="fr-CH"/>
        </w:rPr>
        <w:t>، وُلِد</w:t>
      </w:r>
      <w:r>
        <w:rPr>
          <w:rFonts w:hint="cs"/>
          <w:rtl/>
          <w:lang w:val="fr-CH"/>
        </w:rPr>
        <w:t>ت</w:t>
      </w:r>
      <w:r w:rsidRPr="00333E4F">
        <w:rPr>
          <w:rFonts w:hint="cs"/>
          <w:rtl/>
          <w:lang w:val="fr-CH"/>
        </w:rPr>
        <w:t xml:space="preserve"> في عام</w:t>
      </w:r>
      <w:r w:rsidR="00677A2D">
        <w:rPr>
          <w:rFonts w:hint="cs"/>
          <w:rtl/>
          <w:lang w:val="fr-CH"/>
        </w:rPr>
        <w:t xml:space="preserve"> </w:t>
      </w:r>
      <w:r>
        <w:rPr>
          <w:rFonts w:hint="cs"/>
          <w:rtl/>
          <w:lang w:val="fr-CH"/>
        </w:rPr>
        <w:t>1974.</w:t>
      </w:r>
      <w:r w:rsidRPr="00333E4F">
        <w:rPr>
          <w:rFonts w:hint="cs"/>
          <w:rtl/>
          <w:lang w:val="fr-CH"/>
        </w:rPr>
        <w:t xml:space="preserve"> </w:t>
      </w:r>
      <w:r>
        <w:rPr>
          <w:rFonts w:hint="cs"/>
          <w:rtl/>
          <w:lang w:val="fr-CH"/>
        </w:rPr>
        <w:t>وهي تدعي أن الدولة الطرف قد انتهكت حقوقها بموجب المواد 2(3) و17 و26 مقرونة بالمادة 2(1) من العهد. وقد أصبح البروتوكول الاختياري نافذا</w:t>
      </w:r>
      <w:r w:rsidR="005B32AE">
        <w:rPr>
          <w:rFonts w:hint="cs"/>
          <w:rtl/>
          <w:lang w:val="fr-CH"/>
        </w:rPr>
        <w:t>ً</w:t>
      </w:r>
      <w:r>
        <w:rPr>
          <w:rFonts w:hint="cs"/>
          <w:rtl/>
          <w:lang w:val="fr-CH"/>
        </w:rPr>
        <w:t xml:space="preserve"> بالنسبة للدولة الطرف في 25</w:t>
      </w:r>
      <w:r w:rsidR="005B32AE">
        <w:rPr>
          <w:rFonts w:hint="cs"/>
          <w:rtl/>
          <w:lang w:val="fr-CH"/>
        </w:rPr>
        <w:t xml:space="preserve"> </w:t>
      </w:r>
      <w:r>
        <w:rPr>
          <w:rFonts w:hint="cs"/>
          <w:rtl/>
          <w:lang w:val="fr-CH" w:bidi="ar-EG"/>
        </w:rPr>
        <w:t>كانون الأول/</w:t>
      </w:r>
      <w:r w:rsidR="005B32AE">
        <w:rPr>
          <w:rFonts w:hint="cs"/>
          <w:rtl/>
          <w:lang w:val="fr-CH" w:bidi="ar-EG"/>
        </w:rPr>
        <w:t xml:space="preserve"> </w:t>
      </w:r>
      <w:r>
        <w:rPr>
          <w:rFonts w:hint="cs"/>
          <w:rtl/>
          <w:lang w:val="fr-CH"/>
        </w:rPr>
        <w:t>ديسمبر</w:t>
      </w:r>
      <w:r w:rsidR="004A15F2">
        <w:rPr>
          <w:rFonts w:hint="cs"/>
          <w:rtl/>
          <w:lang w:val="fr-CH"/>
        </w:rPr>
        <w:t xml:space="preserve"> </w:t>
      </w:r>
      <w:r>
        <w:rPr>
          <w:rFonts w:hint="cs"/>
          <w:rtl/>
          <w:lang w:val="fr-CH"/>
        </w:rPr>
        <w:t xml:space="preserve">1991. ويتولى تمثيل صاحبة البلاغ محام. </w:t>
      </w:r>
    </w:p>
    <w:p w:rsidR="00C9188E" w:rsidRPr="00992485" w:rsidRDefault="00C9188E" w:rsidP="00C9188E">
      <w:pPr>
        <w:pStyle w:val="H23GA"/>
        <w:rPr>
          <w:rtl/>
        </w:rPr>
      </w:pPr>
      <w:r>
        <w:rPr>
          <w:rtl/>
        </w:rPr>
        <w:tab/>
      </w:r>
      <w:r>
        <w:rPr>
          <w:rtl/>
        </w:rPr>
        <w:tab/>
      </w:r>
      <w:r w:rsidRPr="00C349C2">
        <w:rPr>
          <w:rFonts w:hint="cs"/>
          <w:rtl/>
        </w:rPr>
        <w:t>الوقائع كما عرض</w:t>
      </w:r>
      <w:r>
        <w:rPr>
          <w:rFonts w:hint="cs"/>
          <w:rtl/>
        </w:rPr>
        <w:t>ت</w:t>
      </w:r>
      <w:r w:rsidRPr="00C349C2">
        <w:rPr>
          <w:rFonts w:hint="cs"/>
          <w:rtl/>
        </w:rPr>
        <w:t>ها صاحب</w:t>
      </w:r>
      <w:r>
        <w:rPr>
          <w:rFonts w:hint="cs"/>
          <w:rtl/>
        </w:rPr>
        <w:t>ة</w:t>
      </w:r>
      <w:r w:rsidRPr="00C349C2">
        <w:rPr>
          <w:rFonts w:hint="cs"/>
          <w:rtl/>
        </w:rPr>
        <w:t xml:space="preserve"> البلاغ</w:t>
      </w:r>
    </w:p>
    <w:p w:rsidR="00C9188E" w:rsidRPr="00675AA6" w:rsidRDefault="00C9188E" w:rsidP="000916D0">
      <w:pPr>
        <w:pStyle w:val="SingleTxtGA"/>
        <w:rPr>
          <w:rtl/>
          <w:lang w:val="fr-CH"/>
        </w:rPr>
      </w:pPr>
      <w:r>
        <w:rPr>
          <w:rFonts w:hint="cs"/>
          <w:rtl/>
          <w:lang w:val="fr-CH"/>
        </w:rPr>
        <w:t>2-1</w:t>
      </w:r>
      <w:r>
        <w:rPr>
          <w:rtl/>
          <w:lang w:val="fr-CH"/>
        </w:rPr>
        <w:tab/>
      </w:r>
      <w:r>
        <w:rPr>
          <w:rFonts w:hint="cs"/>
          <w:rtl/>
          <w:lang w:val="fr-CH"/>
        </w:rPr>
        <w:t xml:space="preserve">صاحبة البلاغ من مغايري الهوية الجنسانية من ذكر إلى أنثى. وهي مولودة في نيو </w:t>
      </w:r>
      <w:proofErr w:type="spellStart"/>
      <w:r>
        <w:rPr>
          <w:rFonts w:hint="cs"/>
          <w:rtl/>
          <w:lang w:val="fr-CH"/>
        </w:rPr>
        <w:t>ثاوث</w:t>
      </w:r>
      <w:proofErr w:type="spellEnd"/>
      <w:r>
        <w:rPr>
          <w:rFonts w:hint="cs"/>
          <w:rtl/>
          <w:lang w:val="fr-CH"/>
        </w:rPr>
        <w:t xml:space="preserve"> ويلز، بأستراليا، ومسجلة بصفتها ذكراً عند الميلاد. وفي عام 2000، بدأت صاحبة البلاغ علاجا</w:t>
      </w:r>
      <w:r w:rsidR="00943974">
        <w:rPr>
          <w:rFonts w:hint="cs"/>
          <w:rtl/>
          <w:lang w:val="fr-CH"/>
        </w:rPr>
        <w:t>ً</w:t>
      </w:r>
      <w:r>
        <w:rPr>
          <w:rFonts w:hint="cs"/>
          <w:rtl/>
          <w:lang w:val="fr-CH"/>
        </w:rPr>
        <w:t xml:space="preserve"> بالهورمونات، لأنها اعتبرت نفسها أنثى. وفي 11 نيسان/أبريل 2002، غُيِّر اسمها في شهادة الميلاد إلى ج. وبُعيد ذلك، غُيِّر اسمها في رخصة قيادة السيارة وبطاقة الرعاية الطبية والبطاقات المصرفية وبطاقات الائتمان. وفي عام 2005، قدمت صاحبة البلاغ طلبا</w:t>
      </w:r>
      <w:r w:rsidR="00F21316">
        <w:rPr>
          <w:rFonts w:hint="cs"/>
          <w:rtl/>
          <w:lang w:val="fr-CH"/>
        </w:rPr>
        <w:t>ً</w:t>
      </w:r>
      <w:r>
        <w:rPr>
          <w:rFonts w:hint="cs"/>
          <w:rtl/>
          <w:lang w:val="fr-CH"/>
        </w:rPr>
        <w:t xml:space="preserve"> إلى سلطات الدولة الطرف تلتمس فيه الحصول على جواز سفر مؤقت للسفر إلى الخارج بغية إجراء عملية جراحية لإعادة تحديد نوع جنسها. وفي 7 تموز/يوليه 2005، مُنِحت جواز سفر صالح حتى 7 تموز/يوليه 2006 سُجِّلت فيه بصفتها أنثى. وفي 3 أيلول/سبتمبر 2005، تزوجت شريكها الحالي وهي أنثى. وفي تشرين الأول/أكتوبر 2005، أجرت صاحبة البلاغ عملية جراحية لتأكيد نوع الجنس</w:t>
      </w:r>
      <w:r w:rsidR="00C34C06">
        <w:rPr>
          <w:rStyle w:val="FootnoteReference"/>
          <w:rtl/>
          <w:lang w:val="fr-CH"/>
        </w:rPr>
        <w:t>(</w:t>
      </w:r>
      <w:r w:rsidR="00C34C06">
        <w:rPr>
          <w:rStyle w:val="FootnoteReference"/>
          <w:rtl/>
          <w:lang w:val="fr-CH"/>
        </w:rPr>
        <w:footnoteReference w:id="3"/>
      </w:r>
      <w:r w:rsidR="00C34C06">
        <w:rPr>
          <w:rStyle w:val="FootnoteReference"/>
          <w:rtl/>
          <w:lang w:val="fr-CH"/>
        </w:rPr>
        <w:t>)</w:t>
      </w:r>
      <w:r>
        <w:rPr>
          <w:rFonts w:hint="cs"/>
          <w:rtl/>
          <w:lang w:val="fr-CH"/>
        </w:rPr>
        <w:t>.</w:t>
      </w:r>
      <w:r w:rsidR="00C34C06">
        <w:rPr>
          <w:rFonts w:hint="cs"/>
          <w:rtl/>
          <w:lang w:val="fr-CH"/>
        </w:rPr>
        <w:t xml:space="preserve"> </w:t>
      </w:r>
    </w:p>
    <w:p w:rsidR="00C9188E" w:rsidRPr="00574E9B" w:rsidRDefault="00C9188E" w:rsidP="00C9188E">
      <w:pPr>
        <w:pStyle w:val="SingleTxtGA"/>
        <w:rPr>
          <w:rtl/>
          <w:lang w:bidi="ar-EG"/>
        </w:rPr>
      </w:pPr>
      <w:r>
        <w:rPr>
          <w:rFonts w:hint="cs"/>
          <w:rtl/>
          <w:lang w:bidi="ar-EG"/>
        </w:rPr>
        <w:t>2-2</w:t>
      </w:r>
      <w:r>
        <w:rPr>
          <w:rtl/>
          <w:lang w:bidi="ar-EG"/>
        </w:rPr>
        <w:tab/>
      </w:r>
      <w:r>
        <w:rPr>
          <w:rFonts w:hint="cs"/>
          <w:rtl/>
          <w:lang w:bidi="ar-EG"/>
        </w:rPr>
        <w:t>ومن الناحية القانونية، لم يعد يُنظر إلى نوع الجنس في أستراليا على أساس بيولوجي محض أو محدد عند الولادة بل بحسبانه مسألة واقع يُحدد بالأخذ بجميع الملابسات ذات الصلة، ومن بينها السمات النفسية والبدنية وكذلك الغرض المبتغى من تحديد نوع الجنس</w:t>
      </w:r>
      <w:r w:rsidR="00C34C06">
        <w:rPr>
          <w:rStyle w:val="FootnoteReference"/>
          <w:sz w:val="30"/>
          <w:rtl/>
          <w:lang w:bidi="ar-EG"/>
        </w:rPr>
        <w:t>(</w:t>
      </w:r>
      <w:r w:rsidR="00C34C06">
        <w:rPr>
          <w:rStyle w:val="FootnoteReference"/>
          <w:sz w:val="30"/>
          <w:rtl/>
          <w:lang w:bidi="ar-EG"/>
        </w:rPr>
        <w:footnoteReference w:id="4"/>
      </w:r>
      <w:r w:rsidR="00C34C06">
        <w:rPr>
          <w:rStyle w:val="FootnoteReference"/>
          <w:sz w:val="30"/>
          <w:rtl/>
          <w:lang w:bidi="ar-EG"/>
        </w:rPr>
        <w:t>)</w:t>
      </w:r>
      <w:r>
        <w:rPr>
          <w:rFonts w:hint="cs"/>
          <w:rtl/>
          <w:lang w:bidi="ar-EG"/>
        </w:rPr>
        <w:t>. وإعادة تحديد الهوية الجنسانية أمر مشروع في أستراليا وتتاح للأفراد مغايري الهوية الجنس</w:t>
      </w:r>
      <w:r w:rsidR="00943974">
        <w:rPr>
          <w:rFonts w:hint="cs"/>
          <w:rtl/>
          <w:lang w:bidi="ar-EG"/>
        </w:rPr>
        <w:t>ان</w:t>
      </w:r>
      <w:r>
        <w:rPr>
          <w:rFonts w:hint="cs"/>
          <w:rtl/>
          <w:lang w:bidi="ar-EG"/>
        </w:rPr>
        <w:t>ية بعد العملية الجراحية فرصة الاعتراف بهم قانونا</w:t>
      </w:r>
      <w:r w:rsidR="00C34C06">
        <w:rPr>
          <w:rFonts w:hint="cs"/>
          <w:rtl/>
          <w:lang w:bidi="ar-EG"/>
        </w:rPr>
        <w:t>ً</w:t>
      </w:r>
      <w:r>
        <w:rPr>
          <w:rFonts w:hint="cs"/>
          <w:rtl/>
          <w:lang w:bidi="ar-EG"/>
        </w:rPr>
        <w:t xml:space="preserve"> وفق هويتهم الجنسانية المغايرة وهم يتمتعون بالحماية من التمييز على أساس الهوية الجنسانية المغايرة.</w:t>
      </w:r>
    </w:p>
    <w:p w:rsidR="00C9188E" w:rsidRDefault="00C9188E" w:rsidP="00D47BC1">
      <w:pPr>
        <w:pStyle w:val="SingleTxtGA"/>
        <w:rPr>
          <w:rtl/>
          <w:lang w:bidi="ar-EG"/>
        </w:rPr>
      </w:pPr>
      <w:r>
        <w:rPr>
          <w:rFonts w:hint="cs"/>
          <w:rtl/>
          <w:lang w:bidi="ar-EG"/>
        </w:rPr>
        <w:t>2-3</w:t>
      </w:r>
      <w:r>
        <w:rPr>
          <w:rtl/>
          <w:lang w:bidi="ar-EG"/>
        </w:rPr>
        <w:tab/>
      </w:r>
      <w:r>
        <w:rPr>
          <w:rFonts w:hint="cs"/>
          <w:rtl/>
          <w:lang w:bidi="ar-EG"/>
        </w:rPr>
        <w:t xml:space="preserve">وفي </w:t>
      </w:r>
      <w:r w:rsidR="00566654">
        <w:rPr>
          <w:rFonts w:hint="cs"/>
          <w:rtl/>
          <w:lang w:bidi="ar-EG"/>
        </w:rPr>
        <w:t>أستراليا</w:t>
      </w:r>
      <w:r>
        <w:rPr>
          <w:rFonts w:hint="cs"/>
          <w:rtl/>
          <w:lang w:bidi="ar-EG"/>
        </w:rPr>
        <w:t xml:space="preserve">، تتولى حكومات الولايات والأقاليم إدارة تسجيل المواليد والوفيات والزيجات. ولدى جميع الولايات والأقاليم قانون يسمح لمغاير الهوية الجنسانية بتغيير جواز سفره، أو الحصول على وثيقة هوية يُذكر فيها نوع الجنس الذي تحول إليه. وفي نيو </w:t>
      </w:r>
      <w:proofErr w:type="spellStart"/>
      <w:r>
        <w:rPr>
          <w:rFonts w:hint="cs"/>
          <w:rtl/>
          <w:lang w:bidi="ar-EG"/>
        </w:rPr>
        <w:t>ثاوث</w:t>
      </w:r>
      <w:proofErr w:type="spellEnd"/>
      <w:r>
        <w:rPr>
          <w:rFonts w:hint="cs"/>
          <w:rtl/>
          <w:lang w:bidi="ar-EG"/>
        </w:rPr>
        <w:t xml:space="preserve"> ويلز، يتمثل التشريع الذي يسمح بذلك في قانون نيو </w:t>
      </w:r>
      <w:proofErr w:type="spellStart"/>
      <w:r>
        <w:rPr>
          <w:rFonts w:hint="cs"/>
          <w:rtl/>
          <w:lang w:bidi="ar-EG"/>
        </w:rPr>
        <w:t>ثاوث</w:t>
      </w:r>
      <w:proofErr w:type="spellEnd"/>
      <w:r>
        <w:rPr>
          <w:rFonts w:hint="cs"/>
          <w:rtl/>
          <w:lang w:bidi="ar-EG"/>
        </w:rPr>
        <w:t xml:space="preserve"> ويلز لتسجيل </w:t>
      </w:r>
      <w:r w:rsidR="000916D0">
        <w:rPr>
          <w:rFonts w:hint="cs"/>
          <w:rtl/>
          <w:lang w:bidi="ar-EG"/>
        </w:rPr>
        <w:t>المواليد والوفيات والزيجات لعام</w:t>
      </w:r>
      <w:r w:rsidR="000916D0">
        <w:rPr>
          <w:rFonts w:hint="eastAsia"/>
          <w:rtl/>
          <w:lang w:bidi="ar-EG"/>
        </w:rPr>
        <w:t> </w:t>
      </w:r>
      <w:r>
        <w:rPr>
          <w:rFonts w:hint="cs"/>
          <w:rtl/>
          <w:lang w:bidi="ar-EG"/>
        </w:rPr>
        <w:t>1995. وبموج</w:t>
      </w:r>
      <w:r>
        <w:rPr>
          <w:rFonts w:hint="eastAsia"/>
          <w:rtl/>
          <w:lang w:bidi="ar-EG"/>
        </w:rPr>
        <w:t>ب</w:t>
      </w:r>
      <w:r>
        <w:rPr>
          <w:rFonts w:hint="cs"/>
          <w:rtl/>
          <w:lang w:bidi="ar-EG"/>
        </w:rPr>
        <w:t xml:space="preserve"> هذا القانون، يحتفظ سجل نيو </w:t>
      </w:r>
      <w:proofErr w:type="spellStart"/>
      <w:r>
        <w:rPr>
          <w:rFonts w:hint="cs"/>
          <w:rtl/>
          <w:lang w:bidi="ar-EG"/>
        </w:rPr>
        <w:t>ثاوث</w:t>
      </w:r>
      <w:proofErr w:type="spellEnd"/>
      <w:r>
        <w:rPr>
          <w:rFonts w:hint="cs"/>
          <w:rtl/>
          <w:lang w:bidi="ar-EG"/>
        </w:rPr>
        <w:t xml:space="preserve"> ويلز للمواليد والوفيات والزيجات (المشار إليه فيما بعد بسجل نيو </w:t>
      </w:r>
      <w:proofErr w:type="spellStart"/>
      <w:r>
        <w:rPr>
          <w:rFonts w:hint="cs"/>
          <w:rtl/>
          <w:lang w:bidi="ar-EG"/>
        </w:rPr>
        <w:t>ثاوث</w:t>
      </w:r>
      <w:proofErr w:type="spellEnd"/>
      <w:r>
        <w:rPr>
          <w:rFonts w:hint="cs"/>
          <w:rtl/>
          <w:lang w:bidi="ar-EG"/>
        </w:rPr>
        <w:t xml:space="preserve"> ويلز) بسجل تدون فيه جميع الأحداث الواجب تدوينها، مثل المواليد وتغيير الاسم وتغيير نوع الجنس وما شابه ذلك. وتعبر الشهادات، مثل شهادة تغيير الاسم، أو شهادة الميلاد، عن المعلومات المسجلة في السجل. وعدلت حكومة نيو</w:t>
      </w:r>
      <w:r w:rsidR="00D47BC1">
        <w:rPr>
          <w:rFonts w:hint="eastAsia"/>
          <w:rtl/>
          <w:lang w:bidi="ar-EG"/>
        </w:rPr>
        <w:t> </w:t>
      </w:r>
      <w:proofErr w:type="spellStart"/>
      <w:r>
        <w:rPr>
          <w:rFonts w:hint="cs"/>
          <w:rtl/>
          <w:lang w:bidi="ar-EG"/>
        </w:rPr>
        <w:t>ثاوث</w:t>
      </w:r>
      <w:proofErr w:type="spellEnd"/>
      <w:r>
        <w:rPr>
          <w:rFonts w:hint="cs"/>
          <w:rtl/>
          <w:lang w:bidi="ar-EG"/>
        </w:rPr>
        <w:t xml:space="preserve"> ويلز قانون المواليد والوفيات والزيجات لعام 1995 بقانون نيو </w:t>
      </w:r>
      <w:proofErr w:type="spellStart"/>
      <w:r>
        <w:rPr>
          <w:rFonts w:hint="cs"/>
          <w:rtl/>
          <w:lang w:bidi="ar-EG"/>
        </w:rPr>
        <w:t>ثاوث</w:t>
      </w:r>
      <w:proofErr w:type="spellEnd"/>
      <w:r>
        <w:rPr>
          <w:rFonts w:hint="cs"/>
          <w:rtl/>
          <w:lang w:bidi="ar-EG"/>
        </w:rPr>
        <w:t xml:space="preserve"> ويلز بشأن مغايري الهوية الجنسانية لعام 1996</w:t>
      </w:r>
      <w:r w:rsidR="003F61A6">
        <w:rPr>
          <w:rFonts w:hint="cs"/>
          <w:rtl/>
          <w:lang w:bidi="ar-EG"/>
        </w:rPr>
        <w:t xml:space="preserve"> </w:t>
      </w:r>
      <w:r>
        <w:rPr>
          <w:rFonts w:hint="cs"/>
          <w:rtl/>
          <w:lang w:bidi="ar-EG"/>
        </w:rPr>
        <w:t xml:space="preserve">(قانون مكافحة التمييز وغيره من القوانين) الذي يجيز </w:t>
      </w:r>
      <w:r>
        <w:rPr>
          <w:rFonts w:hint="cs"/>
          <w:rtl/>
          <w:lang w:bidi="ar-EG"/>
        </w:rPr>
        <w:lastRenderedPageBreak/>
        <w:t>للشخص الذي يتجاوز سنه 18 عاما</w:t>
      </w:r>
      <w:r w:rsidR="00322339">
        <w:rPr>
          <w:rFonts w:hint="cs"/>
          <w:rtl/>
          <w:lang w:bidi="ar-EG"/>
        </w:rPr>
        <w:t>ً</w:t>
      </w:r>
      <w:r>
        <w:rPr>
          <w:rFonts w:hint="cs"/>
          <w:rtl/>
          <w:lang w:bidi="ar-EG"/>
        </w:rPr>
        <w:t xml:space="preserve"> وأجرى عملية لتأكيد نوع الجنس ولم يكن متزوجا</w:t>
      </w:r>
      <w:r w:rsidR="00322339">
        <w:rPr>
          <w:rFonts w:hint="cs"/>
          <w:rtl/>
          <w:lang w:bidi="ar-EG"/>
        </w:rPr>
        <w:t>ً</w:t>
      </w:r>
      <w:r>
        <w:rPr>
          <w:rFonts w:hint="cs"/>
          <w:rtl/>
          <w:lang w:bidi="ar-EG"/>
        </w:rPr>
        <w:t xml:space="preserve"> أن يطلب من سجل نيو </w:t>
      </w:r>
      <w:proofErr w:type="spellStart"/>
      <w:r>
        <w:rPr>
          <w:rFonts w:hint="cs"/>
          <w:rtl/>
          <w:lang w:bidi="ar-EG"/>
        </w:rPr>
        <w:t>ثاوث</w:t>
      </w:r>
      <w:proofErr w:type="spellEnd"/>
      <w:r>
        <w:rPr>
          <w:rFonts w:hint="cs"/>
          <w:rtl/>
          <w:lang w:bidi="ar-EG"/>
        </w:rPr>
        <w:t xml:space="preserve"> ويلز تغيير جنسه في السجل والحصول على شهادة ميلاد جديدة</w:t>
      </w:r>
      <w:r w:rsidR="00C34C06">
        <w:rPr>
          <w:rStyle w:val="FootnoteReference"/>
          <w:sz w:val="30"/>
          <w:rtl/>
          <w:lang w:bidi="ar-EG"/>
        </w:rPr>
        <w:t>(</w:t>
      </w:r>
      <w:r w:rsidR="00C34C06">
        <w:rPr>
          <w:rStyle w:val="FootnoteReference"/>
          <w:sz w:val="30"/>
          <w:rtl/>
          <w:lang w:bidi="ar-EG"/>
        </w:rPr>
        <w:footnoteReference w:id="5"/>
      </w:r>
      <w:r w:rsidR="00C34C06">
        <w:rPr>
          <w:rStyle w:val="FootnoteReference"/>
          <w:sz w:val="30"/>
          <w:rtl/>
          <w:lang w:bidi="ar-EG"/>
        </w:rPr>
        <w:t>)</w:t>
      </w:r>
      <w:r w:rsidR="00C34C06">
        <w:rPr>
          <w:rFonts w:hint="cs"/>
          <w:rtl/>
          <w:lang w:bidi="ar-EG"/>
        </w:rPr>
        <w:t>. ولا</w:t>
      </w:r>
      <w:r w:rsidR="00C34C06">
        <w:rPr>
          <w:rFonts w:hint="eastAsia"/>
          <w:rtl/>
          <w:lang w:bidi="ar-EG"/>
        </w:rPr>
        <w:t> </w:t>
      </w:r>
      <w:r>
        <w:rPr>
          <w:rFonts w:hint="cs"/>
          <w:rtl/>
          <w:lang w:bidi="ar-EG"/>
        </w:rPr>
        <w:t xml:space="preserve">تكشف الشهادة الجديدة عن أن الشخص مغاير </w:t>
      </w:r>
      <w:proofErr w:type="spellStart"/>
      <w:r w:rsidR="002634C6">
        <w:rPr>
          <w:rFonts w:hint="cs"/>
          <w:rtl/>
          <w:lang w:bidi="ar-EG"/>
        </w:rPr>
        <w:t>جنسانياً</w:t>
      </w:r>
      <w:proofErr w:type="spellEnd"/>
      <w:r>
        <w:rPr>
          <w:rFonts w:hint="cs"/>
          <w:rtl/>
          <w:lang w:bidi="ar-EG"/>
        </w:rPr>
        <w:t>.</w:t>
      </w:r>
    </w:p>
    <w:p w:rsidR="00C9188E" w:rsidRPr="0001174F" w:rsidRDefault="00C9188E" w:rsidP="00300B81">
      <w:pPr>
        <w:pStyle w:val="SingleTxtGA"/>
        <w:rPr>
          <w:spacing w:val="-3"/>
          <w:rtl/>
          <w:lang w:bidi="ar-EG"/>
        </w:rPr>
      </w:pPr>
      <w:r w:rsidRPr="0001174F">
        <w:rPr>
          <w:rFonts w:hint="cs"/>
          <w:spacing w:val="-3"/>
          <w:rtl/>
          <w:lang w:bidi="ar-EG"/>
        </w:rPr>
        <w:t>2-4</w:t>
      </w:r>
      <w:r w:rsidRPr="0001174F">
        <w:rPr>
          <w:spacing w:val="-3"/>
          <w:rtl/>
          <w:lang w:bidi="ar-EG"/>
        </w:rPr>
        <w:tab/>
      </w:r>
      <w:r w:rsidRPr="0001174F">
        <w:rPr>
          <w:rFonts w:hint="cs"/>
          <w:spacing w:val="-3"/>
          <w:rtl/>
          <w:lang w:bidi="ar-EG"/>
        </w:rPr>
        <w:t>وقد أعملت الحكومة الاتحادية تشريعا</w:t>
      </w:r>
      <w:r w:rsidR="00322339">
        <w:rPr>
          <w:rFonts w:hint="cs"/>
          <w:spacing w:val="-3"/>
          <w:rtl/>
          <w:lang w:bidi="ar-EG"/>
        </w:rPr>
        <w:t>ً</w:t>
      </w:r>
      <w:r w:rsidRPr="0001174F">
        <w:rPr>
          <w:rFonts w:hint="cs"/>
          <w:spacing w:val="-3"/>
          <w:rtl/>
          <w:lang w:bidi="ar-EG"/>
        </w:rPr>
        <w:t xml:space="preserve"> لمكافحة التمييز يحظر التمييز على أساس الإعاقة والعرق والعمر ونوع الجنس. ويحظر القانون الاتحادي ب</w:t>
      </w:r>
      <w:r w:rsidR="00C34C06" w:rsidRPr="0001174F">
        <w:rPr>
          <w:rFonts w:hint="cs"/>
          <w:spacing w:val="-3"/>
          <w:rtl/>
          <w:lang w:bidi="ar-EG"/>
        </w:rPr>
        <w:t>شأن التمييز على أساس الجنس لعام</w:t>
      </w:r>
      <w:r w:rsidR="00C34C06" w:rsidRPr="0001174F">
        <w:rPr>
          <w:rFonts w:hint="eastAsia"/>
          <w:spacing w:val="-3"/>
          <w:rtl/>
          <w:lang w:bidi="ar-EG"/>
        </w:rPr>
        <w:t> </w:t>
      </w:r>
      <w:r w:rsidRPr="0001174F">
        <w:rPr>
          <w:rFonts w:hint="cs"/>
          <w:spacing w:val="-3"/>
          <w:rtl/>
          <w:lang w:bidi="ar-EG"/>
        </w:rPr>
        <w:t>19</w:t>
      </w:r>
      <w:r w:rsidR="004952EA" w:rsidRPr="0001174F">
        <w:rPr>
          <w:rFonts w:hint="cs"/>
          <w:spacing w:val="-3"/>
          <w:rtl/>
          <w:lang w:bidi="ar-EG"/>
        </w:rPr>
        <w:t>84</w:t>
      </w:r>
      <w:r w:rsidRPr="0001174F">
        <w:rPr>
          <w:rFonts w:hint="cs"/>
          <w:spacing w:val="-3"/>
          <w:rtl/>
          <w:lang w:bidi="ar-EG"/>
        </w:rPr>
        <w:t xml:space="preserve"> التمييز على أساس الحالة الزواجية ولكنه لا يحظر التمييز ضد الأشخاص المختلفين جنسيا</w:t>
      </w:r>
      <w:r w:rsidR="00C34C06" w:rsidRPr="0001174F">
        <w:rPr>
          <w:rFonts w:hint="cs"/>
          <w:spacing w:val="-3"/>
          <w:rtl/>
          <w:lang w:bidi="ar-EG"/>
        </w:rPr>
        <w:t>ً</w:t>
      </w:r>
      <w:r w:rsidRPr="0001174F">
        <w:rPr>
          <w:rFonts w:hint="cs"/>
          <w:spacing w:val="-3"/>
          <w:rtl/>
          <w:lang w:bidi="ar-EG"/>
        </w:rPr>
        <w:t xml:space="preserve"> </w:t>
      </w:r>
      <w:proofErr w:type="spellStart"/>
      <w:r w:rsidRPr="0001174F">
        <w:rPr>
          <w:rFonts w:hint="cs"/>
          <w:spacing w:val="-3"/>
          <w:rtl/>
          <w:lang w:bidi="ar-EG"/>
        </w:rPr>
        <w:t>و</w:t>
      </w:r>
      <w:r w:rsidR="002634C6" w:rsidRPr="0001174F">
        <w:rPr>
          <w:rFonts w:hint="cs"/>
          <w:spacing w:val="-3"/>
          <w:rtl/>
          <w:lang w:bidi="ar-EG"/>
        </w:rPr>
        <w:t>جنسانياً</w:t>
      </w:r>
      <w:proofErr w:type="spellEnd"/>
      <w:r w:rsidR="00C34C06" w:rsidRPr="0001174F">
        <w:rPr>
          <w:rFonts w:hint="cs"/>
          <w:spacing w:val="-3"/>
          <w:rtl/>
          <w:lang w:bidi="ar-EG"/>
        </w:rPr>
        <w:t>. ويجيز الفرع 40</w:t>
      </w:r>
      <w:r w:rsidRPr="0001174F">
        <w:rPr>
          <w:rFonts w:hint="cs"/>
          <w:spacing w:val="-3"/>
          <w:rtl/>
          <w:lang w:bidi="ar-EG"/>
        </w:rPr>
        <w:t>(5) من القانون الاتحادي بشأن التمييز على أساس الجنس لعام</w:t>
      </w:r>
      <w:r w:rsidR="00300B81" w:rsidRPr="0001174F">
        <w:rPr>
          <w:rFonts w:hint="eastAsia"/>
          <w:spacing w:val="-3"/>
          <w:rtl/>
          <w:lang w:bidi="ar-EG"/>
        </w:rPr>
        <w:t> </w:t>
      </w:r>
      <w:r w:rsidRPr="0001174F">
        <w:rPr>
          <w:rFonts w:hint="cs"/>
          <w:spacing w:val="-3"/>
          <w:rtl/>
          <w:lang w:bidi="ar-EG"/>
        </w:rPr>
        <w:t>1984 لحكومات الولايات والأقاليم على وجه التحديد "رفض وضع، أو إصدار، أو تغيير سجل رسمي لنوع جنس شخص إذا كان قانون ولاية أو إقليم يقتضي الرفض لأن الشخص متزوج".</w:t>
      </w:r>
      <w:r w:rsidR="0026655D" w:rsidRPr="0001174F">
        <w:rPr>
          <w:rFonts w:hint="cs"/>
          <w:spacing w:val="-3"/>
          <w:rtl/>
          <w:lang w:bidi="ar-EG"/>
        </w:rPr>
        <w:t xml:space="preserve"> </w:t>
      </w:r>
    </w:p>
    <w:p w:rsidR="00C9188E" w:rsidRDefault="00C9188E" w:rsidP="00C34C06">
      <w:pPr>
        <w:pStyle w:val="SingleTxtGA"/>
        <w:rPr>
          <w:rtl/>
          <w:lang w:bidi="ar-EG"/>
        </w:rPr>
      </w:pPr>
      <w:r>
        <w:rPr>
          <w:rFonts w:hint="cs"/>
          <w:rtl/>
          <w:lang w:bidi="ar-EG"/>
        </w:rPr>
        <w:t>2-5</w:t>
      </w:r>
      <w:r>
        <w:rPr>
          <w:rtl/>
          <w:lang w:bidi="ar-EG"/>
        </w:rPr>
        <w:tab/>
      </w:r>
      <w:r>
        <w:rPr>
          <w:rFonts w:hint="cs"/>
          <w:rtl/>
          <w:lang w:bidi="ar-EG"/>
        </w:rPr>
        <w:t xml:space="preserve">ويحظر قانون نيو </w:t>
      </w:r>
      <w:proofErr w:type="spellStart"/>
      <w:r>
        <w:rPr>
          <w:rFonts w:hint="cs"/>
          <w:rtl/>
          <w:lang w:bidi="ar-EG"/>
        </w:rPr>
        <w:t>ثاوث</w:t>
      </w:r>
      <w:proofErr w:type="spellEnd"/>
      <w:r>
        <w:rPr>
          <w:rFonts w:hint="cs"/>
          <w:rtl/>
          <w:lang w:bidi="ar-EG"/>
        </w:rPr>
        <w:t xml:space="preserve"> ويلز لمكافحة التمييز لعام 1977 التمييز على أساس المغايرة الجنسانية في العمل والتعليم وتقديم السلع والخدمات والسكن. ويميز القانون بين الأشخاص الذي غيروا شهادة ميلادهم، إما في نيو </w:t>
      </w:r>
      <w:proofErr w:type="spellStart"/>
      <w:r>
        <w:rPr>
          <w:rFonts w:hint="cs"/>
          <w:rtl/>
          <w:lang w:bidi="ar-EG"/>
        </w:rPr>
        <w:t>ثاوث</w:t>
      </w:r>
      <w:proofErr w:type="spellEnd"/>
      <w:r>
        <w:rPr>
          <w:rFonts w:hint="cs"/>
          <w:rtl/>
          <w:lang w:bidi="ar-EG"/>
        </w:rPr>
        <w:t xml:space="preserve"> ويلز، أو في مكان آخر، ويعرفون بأنهم مغايرون </w:t>
      </w:r>
      <w:proofErr w:type="spellStart"/>
      <w:r w:rsidR="002634C6">
        <w:rPr>
          <w:rFonts w:hint="cs"/>
          <w:rtl/>
          <w:lang w:bidi="ar-EG"/>
        </w:rPr>
        <w:t>جنسانياً</w:t>
      </w:r>
      <w:proofErr w:type="spellEnd"/>
      <w:r>
        <w:rPr>
          <w:rFonts w:hint="cs"/>
          <w:rtl/>
          <w:lang w:bidi="ar-EG"/>
        </w:rPr>
        <w:t xml:space="preserve"> معترف بهم وبين الذين لم يغيروا شهادة ميلادهم</w:t>
      </w:r>
      <w:r w:rsidR="00C34C06">
        <w:rPr>
          <w:rStyle w:val="FootnoteReference"/>
          <w:sz w:val="30"/>
          <w:rtl/>
          <w:lang w:bidi="ar-EG"/>
        </w:rPr>
        <w:t>(</w:t>
      </w:r>
      <w:r w:rsidR="00C34C06">
        <w:rPr>
          <w:rStyle w:val="FootnoteReference"/>
          <w:sz w:val="30"/>
          <w:rtl/>
          <w:lang w:bidi="ar-EG"/>
        </w:rPr>
        <w:footnoteReference w:id="6"/>
      </w:r>
      <w:r w:rsidR="00C34C06">
        <w:rPr>
          <w:rStyle w:val="FootnoteReference"/>
          <w:sz w:val="30"/>
          <w:rtl/>
          <w:lang w:bidi="ar-EG"/>
        </w:rPr>
        <w:t>)</w:t>
      </w:r>
      <w:r w:rsidR="00C34C06">
        <w:rPr>
          <w:rFonts w:hint="cs"/>
          <w:rtl/>
          <w:lang w:bidi="ar-EG"/>
        </w:rPr>
        <w:t xml:space="preserve">. </w:t>
      </w:r>
      <w:r>
        <w:rPr>
          <w:rFonts w:hint="cs"/>
          <w:rtl/>
          <w:lang w:bidi="ar-EG"/>
        </w:rPr>
        <w:t>ويتمتع الأشخاص الذين لم يغيروا شهادة ميلادهم بالحماية من التمييز على أساس المغايرة الجنسانية، بيد أنهم لا يتمتعون بالحق القانوني في أن يعاملوا حسب نوع جنسهم المعاد تحديده.</w:t>
      </w:r>
    </w:p>
    <w:p w:rsidR="00C9188E" w:rsidRDefault="00C9188E" w:rsidP="0001174F">
      <w:pPr>
        <w:pStyle w:val="SingleTxtGA"/>
        <w:rPr>
          <w:rtl/>
          <w:lang w:bidi="ar-EG"/>
        </w:rPr>
      </w:pPr>
      <w:r>
        <w:rPr>
          <w:rFonts w:hint="cs"/>
          <w:rtl/>
          <w:lang w:bidi="ar-EG"/>
        </w:rPr>
        <w:t>2-6</w:t>
      </w:r>
      <w:r>
        <w:rPr>
          <w:rtl/>
          <w:lang w:bidi="ar-EG"/>
        </w:rPr>
        <w:tab/>
      </w:r>
      <w:r>
        <w:rPr>
          <w:rFonts w:hint="cs"/>
          <w:rtl/>
          <w:lang w:bidi="ar-EG"/>
        </w:rPr>
        <w:t>وفي 10 كانون الثاني/يناير 2006، قدمت صاحبة البلاغ طل</w:t>
      </w:r>
      <w:r w:rsidR="00F21316">
        <w:rPr>
          <w:rFonts w:hint="cs"/>
          <w:rtl/>
          <w:lang w:bidi="ar-EG"/>
        </w:rPr>
        <w:t xml:space="preserve">باً </w:t>
      </w:r>
      <w:r>
        <w:rPr>
          <w:rFonts w:hint="cs"/>
          <w:rtl/>
          <w:lang w:bidi="ar-EG"/>
        </w:rPr>
        <w:t xml:space="preserve">إلى سجل نيو </w:t>
      </w:r>
      <w:proofErr w:type="spellStart"/>
      <w:r>
        <w:rPr>
          <w:rFonts w:hint="cs"/>
          <w:rtl/>
          <w:lang w:bidi="ar-EG"/>
        </w:rPr>
        <w:t>ثاوث</w:t>
      </w:r>
      <w:proofErr w:type="spellEnd"/>
      <w:r>
        <w:rPr>
          <w:rFonts w:hint="cs"/>
          <w:rtl/>
          <w:lang w:bidi="ar-EG"/>
        </w:rPr>
        <w:t xml:space="preserve"> ويلز تلتمس فيه تغيير نوع جنسها في شهادة ميلادها من ذكر إلى أنثى. ورُفِض طلبها في 12 كانون الثاني/يناير</w:t>
      </w:r>
      <w:r w:rsidR="00CB2235">
        <w:rPr>
          <w:rFonts w:hint="cs"/>
          <w:rtl/>
          <w:lang w:bidi="ar-EG"/>
        </w:rPr>
        <w:t xml:space="preserve"> </w:t>
      </w:r>
      <w:r>
        <w:rPr>
          <w:rFonts w:hint="cs"/>
          <w:rtl/>
          <w:lang w:bidi="ar-EG"/>
        </w:rPr>
        <w:t>2006. وفي عام 2007، قدمت صاحبة البلاغ طل</w:t>
      </w:r>
      <w:r w:rsidR="00F21316">
        <w:rPr>
          <w:rFonts w:hint="cs"/>
          <w:rtl/>
          <w:lang w:bidi="ar-EG"/>
        </w:rPr>
        <w:t>باً للحصول على جواز</w:t>
      </w:r>
      <w:r w:rsidR="00F21316">
        <w:rPr>
          <w:rFonts w:hint="eastAsia"/>
          <w:rtl/>
          <w:lang w:bidi="ar-EG"/>
        </w:rPr>
        <w:t> </w:t>
      </w:r>
      <w:r>
        <w:rPr>
          <w:rFonts w:hint="cs"/>
          <w:rtl/>
          <w:lang w:bidi="ar-EG"/>
        </w:rPr>
        <w:t>وحصلت على جواز ورد فيه أنها أنثى. وفي 27 تشرين الأول/أكتوبر 2008 و27 تموز/</w:t>
      </w:r>
      <w:r w:rsidR="00F21316">
        <w:rPr>
          <w:rFonts w:hint="cs"/>
          <w:rtl/>
          <w:lang w:bidi="ar-EG"/>
        </w:rPr>
        <w:t xml:space="preserve"> </w:t>
      </w:r>
      <w:r w:rsidRPr="00AE39FC">
        <w:rPr>
          <w:rFonts w:hint="cs"/>
          <w:spacing w:val="-2"/>
          <w:rtl/>
          <w:lang w:bidi="ar-EG"/>
        </w:rPr>
        <w:t>يوليه</w:t>
      </w:r>
      <w:r w:rsidR="0001174F">
        <w:rPr>
          <w:rFonts w:hint="eastAsia"/>
          <w:spacing w:val="-2"/>
          <w:rtl/>
          <w:lang w:bidi="ar-EG"/>
        </w:rPr>
        <w:t> </w:t>
      </w:r>
      <w:r w:rsidRPr="00AE39FC">
        <w:rPr>
          <w:rFonts w:hint="cs"/>
          <w:spacing w:val="-2"/>
          <w:rtl/>
          <w:lang w:bidi="ar-EG"/>
        </w:rPr>
        <w:t>2010، قدمت صاحبة البلاغ مرة أخرى طل</w:t>
      </w:r>
      <w:r w:rsidR="00F21316" w:rsidRPr="00AE39FC">
        <w:rPr>
          <w:rFonts w:hint="cs"/>
          <w:spacing w:val="-2"/>
          <w:rtl/>
          <w:lang w:bidi="ar-EG"/>
        </w:rPr>
        <w:t xml:space="preserve">باً </w:t>
      </w:r>
      <w:r w:rsidRPr="00AE39FC">
        <w:rPr>
          <w:rFonts w:hint="cs"/>
          <w:spacing w:val="-2"/>
          <w:rtl/>
          <w:lang w:bidi="ar-EG"/>
        </w:rPr>
        <w:t>لتغيير نوع جنسها في شهادة ميلادها ولكن</w:t>
      </w:r>
      <w:r>
        <w:rPr>
          <w:rFonts w:hint="cs"/>
          <w:rtl/>
          <w:lang w:bidi="ar-EG"/>
        </w:rPr>
        <w:t xml:space="preserve"> </w:t>
      </w:r>
      <w:r w:rsidRPr="00AE39FC">
        <w:rPr>
          <w:rFonts w:hint="cs"/>
          <w:spacing w:val="-2"/>
          <w:rtl/>
          <w:lang w:bidi="ar-EG"/>
        </w:rPr>
        <w:t xml:space="preserve">طلبها رُفِض في 21 تشرين الثاني/نوفمبر 2008 و30 تموز/يوليه </w:t>
      </w:r>
      <w:r w:rsidR="00AE39FC" w:rsidRPr="00AE39FC">
        <w:rPr>
          <w:rFonts w:hint="cs"/>
          <w:spacing w:val="-2"/>
          <w:rtl/>
          <w:lang w:bidi="ar-EG"/>
        </w:rPr>
        <w:t xml:space="preserve">2010 </w:t>
      </w:r>
      <w:r w:rsidRPr="00AE39FC">
        <w:rPr>
          <w:rFonts w:hint="cs"/>
          <w:spacing w:val="-2"/>
          <w:rtl/>
          <w:lang w:bidi="ar-EG"/>
        </w:rPr>
        <w:t>على التوالي. وفي رسالة</w:t>
      </w:r>
      <w:r>
        <w:rPr>
          <w:rFonts w:hint="cs"/>
          <w:rtl/>
          <w:lang w:bidi="ar-EG"/>
        </w:rPr>
        <w:t xml:space="preserve"> بتاريخ 30 تموز/يوليه 2010، ذكر سجل نيو </w:t>
      </w:r>
      <w:proofErr w:type="spellStart"/>
      <w:r>
        <w:rPr>
          <w:rFonts w:hint="cs"/>
          <w:rtl/>
          <w:lang w:bidi="ar-EG"/>
        </w:rPr>
        <w:t>ث</w:t>
      </w:r>
      <w:r w:rsidR="00AE39FC">
        <w:rPr>
          <w:rFonts w:hint="cs"/>
          <w:rtl/>
          <w:lang w:bidi="ar-EG"/>
        </w:rPr>
        <w:t>اوث</w:t>
      </w:r>
      <w:proofErr w:type="spellEnd"/>
      <w:r w:rsidR="00AE39FC">
        <w:rPr>
          <w:rFonts w:hint="cs"/>
          <w:rtl/>
          <w:lang w:bidi="ar-EG"/>
        </w:rPr>
        <w:t xml:space="preserve"> ويلز أنه بموجب الفرع 32 باء(1)</w:t>
      </w:r>
      <w:r>
        <w:rPr>
          <w:rFonts w:hint="cs"/>
          <w:rtl/>
          <w:lang w:bidi="ar-EG"/>
        </w:rPr>
        <w:t>(ج) من قانون المواليد والوفيات والزيجات يجب أن يكون الشخص غير متزوج وقت تقديم طلبه لتسجيل تغيير نوع الجنس. وفي هذا الصدد، تحاج صاحبة البلاغ أنها تعيش في علاقة حب مع زوجها ولا تعتزم طلب الطلاق.</w:t>
      </w:r>
    </w:p>
    <w:p w:rsidR="00C9188E" w:rsidRDefault="00C9188E" w:rsidP="00EB77DE">
      <w:pPr>
        <w:pStyle w:val="SingleTxtGA"/>
        <w:rPr>
          <w:rtl/>
          <w:lang w:bidi="ar-EG"/>
        </w:rPr>
      </w:pPr>
      <w:r>
        <w:rPr>
          <w:rFonts w:hint="cs"/>
          <w:rtl/>
          <w:lang w:bidi="ar-EG"/>
        </w:rPr>
        <w:t>2-7</w:t>
      </w:r>
      <w:r>
        <w:rPr>
          <w:rtl/>
          <w:lang w:bidi="ar-EG"/>
        </w:rPr>
        <w:tab/>
      </w:r>
      <w:r>
        <w:rPr>
          <w:rFonts w:hint="cs"/>
          <w:rtl/>
          <w:lang w:bidi="ar-EG"/>
        </w:rPr>
        <w:t>وفي إطار نظم الدولة الطرف لتحديد الهوية، تشكل الوثائق المسماة الوثائق الأساسية أهم وثائق تحديد الهوية وتعد شهادة الميلاد الوثيقة الأساسية الرئيسية للمولودين في أستراليا. ولا</w:t>
      </w:r>
      <w:r w:rsidR="00EB77DE">
        <w:rPr>
          <w:rFonts w:hint="eastAsia"/>
          <w:rtl/>
          <w:lang w:bidi="ar-EG"/>
        </w:rPr>
        <w:t> </w:t>
      </w:r>
      <w:r>
        <w:rPr>
          <w:rFonts w:hint="cs"/>
          <w:rtl/>
          <w:lang w:bidi="ar-EG"/>
        </w:rPr>
        <w:t xml:space="preserve">تُعد الوثائق الثانوية، مثل جوازات السفر ورخص قيادة السيارات، مصدر البيانات عن هوية </w:t>
      </w:r>
      <w:r>
        <w:rPr>
          <w:rFonts w:hint="cs"/>
          <w:rtl/>
          <w:lang w:bidi="ar-EG"/>
        </w:rPr>
        <w:lastRenderedPageBreak/>
        <w:t>الشخص، بل دليلا</w:t>
      </w:r>
      <w:r w:rsidR="00322339">
        <w:rPr>
          <w:rFonts w:hint="cs"/>
          <w:rtl/>
          <w:lang w:bidi="ar-EG"/>
        </w:rPr>
        <w:t>ً</w:t>
      </w:r>
      <w:r>
        <w:rPr>
          <w:rFonts w:hint="cs"/>
          <w:rtl/>
          <w:lang w:bidi="ar-EG"/>
        </w:rPr>
        <w:t xml:space="preserve"> موثوقا</w:t>
      </w:r>
      <w:r w:rsidR="00322339">
        <w:rPr>
          <w:rFonts w:hint="cs"/>
          <w:rtl/>
          <w:lang w:bidi="ar-EG"/>
        </w:rPr>
        <w:t>ً</w:t>
      </w:r>
      <w:r>
        <w:rPr>
          <w:rFonts w:hint="cs"/>
          <w:rtl/>
          <w:lang w:bidi="ar-EG"/>
        </w:rPr>
        <w:t xml:space="preserve"> به على هوية الشخص المعني. ولأغراض أغلبية القوانين في أستراليا، يعامل الشخص على أنه ينتمي إلى نوع الجنس المسجل في شهادة ميلاده. بيد أنه أصبح ممكنا</w:t>
      </w:r>
      <w:r w:rsidR="009B7B22">
        <w:rPr>
          <w:rFonts w:hint="cs"/>
          <w:rtl/>
          <w:lang w:bidi="ar-EG"/>
        </w:rPr>
        <w:t>ً</w:t>
      </w:r>
      <w:r>
        <w:rPr>
          <w:rFonts w:hint="cs"/>
          <w:rtl/>
          <w:lang w:bidi="ar-EG"/>
        </w:rPr>
        <w:t>، منذ عام 200</w:t>
      </w:r>
      <w:r w:rsidR="000B469D">
        <w:rPr>
          <w:rFonts w:hint="cs"/>
          <w:rtl/>
          <w:lang w:bidi="ar-EG"/>
        </w:rPr>
        <w:t>7، أن يحصل الشخص على جواز سفر ي</w:t>
      </w:r>
      <w:r>
        <w:rPr>
          <w:rFonts w:hint="cs"/>
          <w:rtl/>
          <w:lang w:bidi="ar-EG"/>
        </w:rPr>
        <w:t>بيِّن الجنس المعاد تحديده حتى دون تغيير شهادة الميلاد. وقد يحدث ذلك لبسا</w:t>
      </w:r>
      <w:r w:rsidR="00322339">
        <w:rPr>
          <w:rFonts w:hint="cs"/>
          <w:rtl/>
          <w:lang w:bidi="ar-EG"/>
        </w:rPr>
        <w:t>ً</w:t>
      </w:r>
      <w:r>
        <w:rPr>
          <w:rFonts w:hint="cs"/>
          <w:rtl/>
          <w:lang w:bidi="ar-EG"/>
        </w:rPr>
        <w:t xml:space="preserve"> عندما تكون بحوزة الشخص وثائق هوية متضاربة.</w:t>
      </w:r>
      <w:r w:rsidR="0026655D">
        <w:rPr>
          <w:rFonts w:hint="cs"/>
          <w:rtl/>
          <w:lang w:bidi="ar-EG"/>
        </w:rPr>
        <w:t xml:space="preserve"> </w:t>
      </w:r>
    </w:p>
    <w:p w:rsidR="00C9188E" w:rsidRDefault="00C9188E" w:rsidP="00564B73">
      <w:pPr>
        <w:pStyle w:val="SingleTxtGA"/>
        <w:rPr>
          <w:rtl/>
          <w:lang w:bidi="ar-EG"/>
        </w:rPr>
      </w:pPr>
      <w:r>
        <w:rPr>
          <w:rFonts w:hint="cs"/>
          <w:rtl/>
          <w:lang w:bidi="ar-EG"/>
        </w:rPr>
        <w:t>2-8</w:t>
      </w:r>
      <w:r>
        <w:rPr>
          <w:rtl/>
          <w:lang w:bidi="ar-EG"/>
        </w:rPr>
        <w:tab/>
      </w:r>
      <w:r>
        <w:rPr>
          <w:rFonts w:hint="cs"/>
          <w:rtl/>
          <w:lang w:bidi="ar-EG"/>
        </w:rPr>
        <w:t>وفي كثير من الأحيان، تطلب منظمات مختلفة ومقدمو خدمات شتى من الشخص المعني إبراز شهادة ميلاده لإثبات هويته ويشمل ذلك عند التقديم لشغل بعض الوظائف. وجاء في وثيقة ميلاد صاحبة البلاغ أنها ولدت ذكرا</w:t>
      </w:r>
      <w:r w:rsidR="00322339">
        <w:rPr>
          <w:rFonts w:hint="cs"/>
          <w:rtl/>
          <w:lang w:bidi="ar-EG"/>
        </w:rPr>
        <w:t>ً</w:t>
      </w:r>
      <w:r>
        <w:rPr>
          <w:rFonts w:hint="cs"/>
          <w:rtl/>
          <w:lang w:bidi="ar-EG"/>
        </w:rPr>
        <w:t xml:space="preserve"> ولكنها تبدو وتعرف نفسها على أنها أنثى وفي ذلك ما يدل الأشخاص الذين يطلعون على شهادة ميلادها على أنها مغايرة </w:t>
      </w:r>
      <w:proofErr w:type="spellStart"/>
      <w:r w:rsidR="002634C6">
        <w:rPr>
          <w:rFonts w:hint="cs"/>
          <w:rtl/>
          <w:lang w:bidi="ar-EG"/>
        </w:rPr>
        <w:t>جنسانياً</w:t>
      </w:r>
      <w:proofErr w:type="spellEnd"/>
      <w:r>
        <w:rPr>
          <w:rFonts w:hint="cs"/>
          <w:rtl/>
          <w:lang w:bidi="ar-EG"/>
        </w:rPr>
        <w:t xml:space="preserve"> وهو أمر لا يشكل تعديا</w:t>
      </w:r>
      <w:r w:rsidR="00322339">
        <w:rPr>
          <w:rFonts w:hint="cs"/>
          <w:rtl/>
          <w:lang w:bidi="ar-EG"/>
        </w:rPr>
        <w:t>ً</w:t>
      </w:r>
      <w:r>
        <w:rPr>
          <w:rFonts w:hint="cs"/>
          <w:rtl/>
          <w:lang w:bidi="ar-EG"/>
        </w:rPr>
        <w:t xml:space="preserve"> على الخصوصية فحسب بل قد يعرض الشخص المعني للتشهير والمضايقة والتمييز. وفي حالة صاحبة البلاغ، قد يؤدي ذلك، بل أدى فعلا</w:t>
      </w:r>
      <w:r w:rsidR="009B7B22">
        <w:rPr>
          <w:rFonts w:hint="cs"/>
          <w:rtl/>
          <w:lang w:bidi="ar-EG"/>
        </w:rPr>
        <w:t>ً</w:t>
      </w:r>
      <w:r>
        <w:rPr>
          <w:rFonts w:hint="cs"/>
          <w:rtl/>
          <w:lang w:bidi="ar-EG"/>
        </w:rPr>
        <w:t xml:space="preserve">، إلى معاملة سلبية، مثل الاستجواب والارتياب في الاحتيال. وقد وجدت </w:t>
      </w:r>
      <w:r w:rsidR="002634C6">
        <w:rPr>
          <w:rFonts w:hint="cs"/>
          <w:rtl/>
          <w:lang w:bidi="ar-EG"/>
        </w:rPr>
        <w:t>أيضاً</w:t>
      </w:r>
      <w:r>
        <w:rPr>
          <w:rFonts w:hint="cs"/>
          <w:rtl/>
          <w:lang w:bidi="ar-EG"/>
        </w:rPr>
        <w:t xml:space="preserve"> أنها يصعب عليها الحصول على عمل. وللأسباب المذكورة في الفقرة </w:t>
      </w:r>
      <w:r w:rsidR="00564B73">
        <w:rPr>
          <w:rFonts w:hint="cs"/>
          <w:rtl/>
          <w:lang w:bidi="ar-EG"/>
        </w:rPr>
        <w:t>2-5</w:t>
      </w:r>
      <w:r>
        <w:rPr>
          <w:rFonts w:hint="cs"/>
          <w:rtl/>
          <w:lang w:bidi="ar-EG"/>
        </w:rPr>
        <w:t xml:space="preserve"> أعلاه، لن تتلقى صاحبة البلاغ الحماية من التمييز ضد المرأة بموجب قانون نيو </w:t>
      </w:r>
      <w:proofErr w:type="spellStart"/>
      <w:r>
        <w:rPr>
          <w:rFonts w:hint="cs"/>
          <w:rtl/>
          <w:lang w:bidi="ar-EG"/>
        </w:rPr>
        <w:t>ثاوث</w:t>
      </w:r>
      <w:proofErr w:type="spellEnd"/>
      <w:r>
        <w:rPr>
          <w:rFonts w:hint="cs"/>
          <w:rtl/>
          <w:lang w:bidi="ar-EG"/>
        </w:rPr>
        <w:t xml:space="preserve"> ويلز لمكافحة التمييز لعام 1977 وقد يُرفض توظيفها في الحالات التي تكون فيها الوظائف متاحة فقط للنساء وقد يرفض السماح لها بدخول الأماكن المخصصة للنساء، مثل قاعات الرياضة البدنية المخصصة للنساء حصرا.</w:t>
      </w:r>
    </w:p>
    <w:p w:rsidR="00C9188E" w:rsidRDefault="00C9188E" w:rsidP="00C9188E">
      <w:pPr>
        <w:pStyle w:val="SingleTxtGA"/>
        <w:rPr>
          <w:rtl/>
          <w:lang w:bidi="ar-EG"/>
        </w:rPr>
      </w:pPr>
      <w:r>
        <w:rPr>
          <w:rFonts w:hint="cs"/>
          <w:rtl/>
          <w:lang w:bidi="ar-EG"/>
        </w:rPr>
        <w:t>2-9</w:t>
      </w:r>
      <w:r>
        <w:rPr>
          <w:rtl/>
          <w:lang w:bidi="ar-EG"/>
        </w:rPr>
        <w:tab/>
      </w:r>
      <w:r>
        <w:rPr>
          <w:rFonts w:hint="cs"/>
          <w:rtl/>
          <w:lang w:bidi="ar-EG"/>
        </w:rPr>
        <w:t xml:space="preserve">وقد استُنفدت جميع سبل الانتصاف المحلية. وليس ثمة سبيل متاح في نيو </w:t>
      </w:r>
      <w:proofErr w:type="spellStart"/>
      <w:r>
        <w:rPr>
          <w:rFonts w:hint="cs"/>
          <w:rtl/>
          <w:lang w:bidi="ar-EG"/>
        </w:rPr>
        <w:t>ثاوث</w:t>
      </w:r>
      <w:proofErr w:type="spellEnd"/>
      <w:r>
        <w:rPr>
          <w:rFonts w:hint="cs"/>
          <w:rtl/>
          <w:lang w:bidi="ar-EG"/>
        </w:rPr>
        <w:t xml:space="preserve"> ويلز للطعن في قرار سجل نيو </w:t>
      </w:r>
      <w:proofErr w:type="spellStart"/>
      <w:r>
        <w:rPr>
          <w:rFonts w:hint="cs"/>
          <w:rtl/>
          <w:lang w:bidi="ar-EG"/>
        </w:rPr>
        <w:t>ثاوث</w:t>
      </w:r>
      <w:proofErr w:type="spellEnd"/>
      <w:r>
        <w:rPr>
          <w:rFonts w:hint="cs"/>
          <w:rtl/>
          <w:lang w:bidi="ar-EG"/>
        </w:rPr>
        <w:t xml:space="preserve"> ويلز. فأولا</w:t>
      </w:r>
      <w:r w:rsidR="009B7B22">
        <w:rPr>
          <w:rFonts w:hint="cs"/>
          <w:rtl/>
          <w:lang w:bidi="ar-EG"/>
        </w:rPr>
        <w:t>ً</w:t>
      </w:r>
      <w:r>
        <w:rPr>
          <w:rFonts w:hint="cs"/>
          <w:rtl/>
          <w:lang w:bidi="ar-EG"/>
        </w:rPr>
        <w:t>، يجوز لمحكمة القرارات الإدارية أن تفسر وتفهم القانون ولكنها لا تملك سلطة تغيير قانون أو النظر فيه للتثبت من توافقه مع التزامات البلد بشأن حقوق الإنسان. ولذلك، فلا طائل من تقديم طلب لهذه المحكمة.</w:t>
      </w:r>
    </w:p>
    <w:p w:rsidR="00C9188E" w:rsidRDefault="00C9188E" w:rsidP="00564B73">
      <w:pPr>
        <w:pStyle w:val="SingleTxtGA"/>
        <w:rPr>
          <w:rtl/>
          <w:lang w:bidi="ar-EG"/>
        </w:rPr>
      </w:pPr>
      <w:r>
        <w:rPr>
          <w:rFonts w:hint="cs"/>
          <w:rtl/>
          <w:lang w:bidi="ar-EG"/>
        </w:rPr>
        <w:t>2-10</w:t>
      </w:r>
      <w:r>
        <w:rPr>
          <w:rtl/>
          <w:lang w:bidi="ar-EG"/>
        </w:rPr>
        <w:tab/>
      </w:r>
      <w:r>
        <w:rPr>
          <w:rFonts w:hint="cs"/>
          <w:rtl/>
          <w:lang w:bidi="ar-EG"/>
        </w:rPr>
        <w:t xml:space="preserve">وثانياً، وبما أن قرار سجل نيو </w:t>
      </w:r>
      <w:proofErr w:type="spellStart"/>
      <w:r>
        <w:rPr>
          <w:rFonts w:hint="cs"/>
          <w:rtl/>
          <w:lang w:bidi="ar-EG"/>
        </w:rPr>
        <w:t>ثاوث</w:t>
      </w:r>
      <w:proofErr w:type="spellEnd"/>
      <w:r>
        <w:rPr>
          <w:rFonts w:hint="cs"/>
          <w:rtl/>
          <w:lang w:bidi="ar-EG"/>
        </w:rPr>
        <w:t xml:space="preserve"> ويلز برفض طلب صاحبة البلاغ قد اتُخِذ امتثالاً لمقتضي الفرع 32 باء(1)(ج) من قانون تسجيل المواليد والوفيات والزيجات لعام 1995، فإن ذلك القرار مشروع بموجب الفرع 54 من قانون نيو </w:t>
      </w:r>
      <w:proofErr w:type="spellStart"/>
      <w:r>
        <w:rPr>
          <w:rFonts w:hint="cs"/>
          <w:rtl/>
          <w:lang w:bidi="ar-EG"/>
        </w:rPr>
        <w:t>ثاوث</w:t>
      </w:r>
      <w:proofErr w:type="spellEnd"/>
      <w:r>
        <w:rPr>
          <w:rFonts w:hint="cs"/>
          <w:rtl/>
          <w:lang w:bidi="ar-EG"/>
        </w:rPr>
        <w:t xml:space="preserve"> ويلز لمكافحة التمييز لعام 1977 ومن ثم سيكون تقديم شكوى إلى مجلس مكافحة التمييز بلا جدوى. و</w:t>
      </w:r>
      <w:r w:rsidR="002634C6">
        <w:rPr>
          <w:rFonts w:hint="cs"/>
          <w:rtl/>
          <w:lang w:bidi="ar-EG"/>
        </w:rPr>
        <w:t>فضلاً</w:t>
      </w:r>
      <w:r>
        <w:rPr>
          <w:rFonts w:hint="cs"/>
          <w:rtl/>
          <w:lang w:bidi="ar-EG"/>
        </w:rPr>
        <w:t xml:space="preserve"> عن ذلك، لا</w:t>
      </w:r>
      <w:r w:rsidR="00564B73">
        <w:rPr>
          <w:rFonts w:hint="eastAsia"/>
          <w:rtl/>
          <w:lang w:bidi="ar-EG"/>
        </w:rPr>
        <w:t> </w:t>
      </w:r>
      <w:r>
        <w:rPr>
          <w:rFonts w:hint="cs"/>
          <w:rtl/>
          <w:lang w:bidi="ar-EG"/>
        </w:rPr>
        <w:t xml:space="preserve">تكون توصيات مجلس مكافحة التمييز ملزمة ولا تُلزم حكومة نيو </w:t>
      </w:r>
      <w:proofErr w:type="spellStart"/>
      <w:r>
        <w:rPr>
          <w:rFonts w:hint="cs"/>
          <w:rtl/>
          <w:lang w:bidi="ar-EG"/>
        </w:rPr>
        <w:t>ثاوث</w:t>
      </w:r>
      <w:proofErr w:type="spellEnd"/>
      <w:r>
        <w:rPr>
          <w:rFonts w:hint="cs"/>
          <w:rtl/>
          <w:lang w:bidi="ar-EG"/>
        </w:rPr>
        <w:t xml:space="preserve"> ويلز باتخاذ تدابير بشأنها. وفي حقيقة الأمر، استعرض المجلس، في عام 2001، قانون تسجيل المواليد والوفيات والزيجات لعام 1995 بشأن التمييز ضد مغايري الهوية الجنسانية وخلص إلى أن المقتضى الذي يشترط </w:t>
      </w:r>
      <w:r w:rsidR="00733E70">
        <w:rPr>
          <w:rFonts w:hint="cs"/>
          <w:rtl/>
          <w:lang w:bidi="ar-EG"/>
        </w:rPr>
        <w:t>ألَّا</w:t>
      </w:r>
      <w:r>
        <w:rPr>
          <w:rFonts w:hint="cs"/>
          <w:rtl/>
          <w:lang w:bidi="ar-EG"/>
        </w:rPr>
        <w:t xml:space="preserve"> يكون الشخص متزوجا</w:t>
      </w:r>
      <w:r w:rsidR="00322339">
        <w:rPr>
          <w:rFonts w:hint="cs"/>
          <w:rtl/>
          <w:lang w:bidi="ar-EG"/>
        </w:rPr>
        <w:t>ً</w:t>
      </w:r>
      <w:r>
        <w:rPr>
          <w:rFonts w:hint="cs"/>
          <w:rtl/>
          <w:lang w:bidi="ar-EG"/>
        </w:rPr>
        <w:t xml:space="preserve"> تقييدي لدرجة لا داعي لها ويشكل تمييزا</w:t>
      </w:r>
      <w:r w:rsidR="0001174F">
        <w:rPr>
          <w:rFonts w:hint="cs"/>
          <w:rtl/>
          <w:lang w:bidi="ar-EG"/>
        </w:rPr>
        <w:t>ً</w:t>
      </w:r>
      <w:r>
        <w:rPr>
          <w:rFonts w:hint="cs"/>
          <w:rtl/>
          <w:lang w:bidi="ar-EG"/>
        </w:rPr>
        <w:t xml:space="preserve"> على أساس الحالة الزواجية. وأوصى المجلس بحذف شرط الحالة الزواجية من قانون تسجيل المواليد والوفيات والزيجات لعام 1995</w:t>
      </w:r>
      <w:r w:rsidR="00C34C06">
        <w:rPr>
          <w:rStyle w:val="FootnoteReference"/>
          <w:sz w:val="30"/>
          <w:rtl/>
          <w:lang w:bidi="ar-EG"/>
        </w:rPr>
        <w:t>(</w:t>
      </w:r>
      <w:r w:rsidR="00C34C06">
        <w:rPr>
          <w:rStyle w:val="FootnoteReference"/>
          <w:sz w:val="30"/>
          <w:rtl/>
          <w:lang w:bidi="ar-EG"/>
        </w:rPr>
        <w:footnoteReference w:id="7"/>
      </w:r>
      <w:r w:rsidR="00C34C06">
        <w:rPr>
          <w:rStyle w:val="FootnoteReference"/>
          <w:sz w:val="30"/>
          <w:rtl/>
          <w:lang w:bidi="ar-EG"/>
        </w:rPr>
        <w:t>)</w:t>
      </w:r>
      <w:r w:rsidR="00C34C06">
        <w:rPr>
          <w:rFonts w:hint="cs"/>
          <w:rtl/>
          <w:lang w:bidi="ar-EG"/>
        </w:rPr>
        <w:t>.</w:t>
      </w:r>
      <w:r>
        <w:rPr>
          <w:rFonts w:hint="cs"/>
          <w:rtl/>
          <w:lang w:bidi="ar-EG"/>
        </w:rPr>
        <w:t xml:space="preserve"> ولم تنفذ حكومة نيو </w:t>
      </w:r>
      <w:proofErr w:type="spellStart"/>
      <w:r>
        <w:rPr>
          <w:rFonts w:hint="cs"/>
          <w:rtl/>
          <w:lang w:bidi="ar-EG"/>
        </w:rPr>
        <w:t>ثاوث</w:t>
      </w:r>
      <w:proofErr w:type="spellEnd"/>
      <w:r>
        <w:rPr>
          <w:rFonts w:hint="cs"/>
          <w:rtl/>
          <w:lang w:bidi="ar-EG"/>
        </w:rPr>
        <w:t xml:space="preserve"> ويلز هذه التوصية.</w:t>
      </w:r>
    </w:p>
    <w:p w:rsidR="00C9188E" w:rsidRDefault="00C9188E" w:rsidP="00407716">
      <w:pPr>
        <w:pStyle w:val="SingleTxtGA"/>
        <w:rPr>
          <w:rtl/>
          <w:lang w:bidi="ar-EG"/>
        </w:rPr>
      </w:pPr>
      <w:r>
        <w:rPr>
          <w:rFonts w:hint="cs"/>
          <w:rtl/>
          <w:lang w:bidi="ar-EG"/>
        </w:rPr>
        <w:t>2-11</w:t>
      </w:r>
      <w:r>
        <w:rPr>
          <w:rtl/>
          <w:lang w:bidi="ar-EG"/>
        </w:rPr>
        <w:tab/>
      </w:r>
      <w:r>
        <w:rPr>
          <w:rFonts w:hint="cs"/>
          <w:rtl/>
          <w:lang w:bidi="ar-EG"/>
        </w:rPr>
        <w:t>ولن يتيح تقديم طلب إلى محكمة أستراليا الاتحادية يُلتمس به إعلانا</w:t>
      </w:r>
      <w:r w:rsidR="00322339">
        <w:rPr>
          <w:rFonts w:hint="cs"/>
          <w:rtl/>
          <w:lang w:bidi="ar-EG"/>
        </w:rPr>
        <w:t>ً</w:t>
      </w:r>
      <w:r>
        <w:rPr>
          <w:rFonts w:hint="cs"/>
          <w:rtl/>
          <w:lang w:bidi="ar-EG"/>
        </w:rPr>
        <w:t xml:space="preserve"> ببطلان الفرع 32 </w:t>
      </w:r>
      <w:r w:rsidRPr="00C52F0D">
        <w:rPr>
          <w:rFonts w:hint="cs"/>
          <w:spacing w:val="-4"/>
          <w:rtl/>
          <w:lang w:bidi="ar-EG"/>
        </w:rPr>
        <w:t>باء(1)(ج) من قانون تسجيل المواليد والوفيات والزيجات لعام 1995 لأنه يخالف قانون التمييز على أساس نوع الجنس لعام 1984 سبيل انتصاف فعال لصاحبة البلاغ. وهي تشير إلى حالة مشابهة قضت فيها المحكمة الاتحادية في عام 2006 بأنه لا يوجد عدم اتساق بين الفرع 32 باء(1)(ج)</w:t>
      </w:r>
      <w:r>
        <w:rPr>
          <w:rFonts w:hint="cs"/>
          <w:rtl/>
          <w:lang w:bidi="ar-EG"/>
        </w:rPr>
        <w:t xml:space="preserve"> </w:t>
      </w:r>
      <w:r>
        <w:rPr>
          <w:rFonts w:hint="cs"/>
          <w:rtl/>
          <w:lang w:bidi="ar-EG"/>
        </w:rPr>
        <w:lastRenderedPageBreak/>
        <w:t>من قانون تسجيل المواليد والوفيات والزيجات لعام 1995 والفرع 22 من قانون التمييز على أساس نوع الجنس لعام 1984</w:t>
      </w:r>
      <w:r w:rsidR="00C34C06">
        <w:rPr>
          <w:rStyle w:val="FootnoteReference"/>
          <w:sz w:val="30"/>
          <w:rtl/>
          <w:lang w:bidi="ar-EG"/>
        </w:rPr>
        <w:t>(</w:t>
      </w:r>
      <w:r w:rsidR="00C34C06">
        <w:rPr>
          <w:rStyle w:val="FootnoteReference"/>
          <w:sz w:val="30"/>
          <w:rtl/>
          <w:lang w:bidi="ar-EG"/>
        </w:rPr>
        <w:footnoteReference w:id="8"/>
      </w:r>
      <w:r w:rsidR="00C34C06">
        <w:rPr>
          <w:rStyle w:val="FootnoteReference"/>
          <w:sz w:val="30"/>
          <w:rtl/>
          <w:lang w:bidi="ar-EG"/>
        </w:rPr>
        <w:t>)</w:t>
      </w:r>
      <w:r w:rsidR="00C34C06">
        <w:rPr>
          <w:rFonts w:hint="cs"/>
          <w:rtl/>
          <w:lang w:bidi="ar-EG"/>
        </w:rPr>
        <w:t>.</w:t>
      </w:r>
      <w:r>
        <w:rPr>
          <w:rFonts w:hint="cs"/>
          <w:rtl/>
          <w:lang w:bidi="ar-EG"/>
        </w:rPr>
        <w:t xml:space="preserve"> ورأت المحكمة الاتحادية أن قانون التمييز على أساس نوع الجنس لعام 1984 ينطبق على تشريعات الولايات والأقاليم فقط بالقدر الذي يفي بالتزامات أستراليا بموجب </w:t>
      </w:r>
      <w:r w:rsidRPr="00CD4807">
        <w:rPr>
          <w:rFonts w:hint="cs"/>
          <w:rtl/>
          <w:lang w:bidi="ar-EG"/>
        </w:rPr>
        <w:t>اتفاقية</w:t>
      </w:r>
      <w:r w:rsidRPr="00CD4807">
        <w:rPr>
          <w:rtl/>
          <w:lang w:bidi="ar-EG"/>
        </w:rPr>
        <w:t xml:space="preserve"> </w:t>
      </w:r>
      <w:r w:rsidRPr="00CD4807">
        <w:rPr>
          <w:rFonts w:hint="cs"/>
          <w:rtl/>
          <w:lang w:bidi="ar-EG"/>
        </w:rPr>
        <w:t>القضاء</w:t>
      </w:r>
      <w:r w:rsidRPr="00CD4807">
        <w:rPr>
          <w:rtl/>
          <w:lang w:bidi="ar-EG"/>
        </w:rPr>
        <w:t xml:space="preserve"> </w:t>
      </w:r>
      <w:r w:rsidRPr="00CD4807">
        <w:rPr>
          <w:rFonts w:hint="cs"/>
          <w:rtl/>
          <w:lang w:bidi="ar-EG"/>
        </w:rPr>
        <w:t>على</w:t>
      </w:r>
      <w:r w:rsidRPr="00CD4807">
        <w:rPr>
          <w:rtl/>
          <w:lang w:bidi="ar-EG"/>
        </w:rPr>
        <w:t xml:space="preserve"> </w:t>
      </w:r>
      <w:r w:rsidRPr="00CD4807">
        <w:rPr>
          <w:rFonts w:hint="cs"/>
          <w:rtl/>
          <w:lang w:bidi="ar-EG"/>
        </w:rPr>
        <w:t>جميع</w:t>
      </w:r>
      <w:r w:rsidRPr="00CD4807">
        <w:rPr>
          <w:rtl/>
          <w:lang w:bidi="ar-EG"/>
        </w:rPr>
        <w:t xml:space="preserve"> </w:t>
      </w:r>
      <w:r w:rsidRPr="00CD4807">
        <w:rPr>
          <w:rFonts w:hint="cs"/>
          <w:rtl/>
          <w:lang w:bidi="ar-EG"/>
        </w:rPr>
        <w:t>أشكال</w:t>
      </w:r>
      <w:r w:rsidRPr="00CD4807">
        <w:rPr>
          <w:rtl/>
          <w:lang w:bidi="ar-EG"/>
        </w:rPr>
        <w:t xml:space="preserve"> </w:t>
      </w:r>
      <w:r w:rsidRPr="00CD4807">
        <w:rPr>
          <w:rFonts w:hint="cs"/>
          <w:rtl/>
          <w:lang w:bidi="ar-EG"/>
        </w:rPr>
        <w:t>التمييز</w:t>
      </w:r>
      <w:r w:rsidRPr="00CD4807">
        <w:rPr>
          <w:rtl/>
          <w:lang w:bidi="ar-EG"/>
        </w:rPr>
        <w:t xml:space="preserve"> </w:t>
      </w:r>
      <w:r w:rsidRPr="00CD4807">
        <w:rPr>
          <w:rFonts w:hint="cs"/>
          <w:rtl/>
          <w:lang w:bidi="ar-EG"/>
        </w:rPr>
        <w:t>ضد</w:t>
      </w:r>
      <w:r w:rsidRPr="00CD4807">
        <w:rPr>
          <w:rtl/>
          <w:lang w:bidi="ar-EG"/>
        </w:rPr>
        <w:t xml:space="preserve"> </w:t>
      </w:r>
      <w:r w:rsidRPr="00CD4807">
        <w:rPr>
          <w:rFonts w:hint="cs"/>
          <w:rtl/>
          <w:lang w:bidi="ar-EG"/>
        </w:rPr>
        <w:t>المرأة</w:t>
      </w:r>
      <w:r>
        <w:rPr>
          <w:rFonts w:hint="cs"/>
          <w:rtl/>
          <w:lang w:bidi="ar-EG"/>
        </w:rPr>
        <w:t>. وبما أن قانون تسجيل المواليد والوفيات والزيجات لعام 1995 يميز ضد الرجال والنساء على حد سواء، فإن قانون التمييز على أساس نوع الجنس لا ينطبق في ذلك الحين. وأيدت المحكمة الاتحادية بكامل هيئتها القرار الأصلي</w:t>
      </w:r>
      <w:r w:rsidR="00C34C06">
        <w:rPr>
          <w:rStyle w:val="FootnoteReference"/>
          <w:sz w:val="30"/>
          <w:rtl/>
          <w:lang w:bidi="ar-EG"/>
        </w:rPr>
        <w:t>(</w:t>
      </w:r>
      <w:r w:rsidR="00C34C06">
        <w:rPr>
          <w:rStyle w:val="FootnoteReference"/>
          <w:sz w:val="30"/>
          <w:rtl/>
          <w:lang w:bidi="ar-EG"/>
        </w:rPr>
        <w:footnoteReference w:id="9"/>
      </w:r>
      <w:r w:rsidR="00C34C06">
        <w:rPr>
          <w:rStyle w:val="FootnoteReference"/>
          <w:sz w:val="30"/>
          <w:rtl/>
          <w:lang w:bidi="ar-EG"/>
        </w:rPr>
        <w:t>)</w:t>
      </w:r>
      <w:r w:rsidR="00C34C06">
        <w:rPr>
          <w:rFonts w:hint="cs"/>
          <w:rtl/>
          <w:lang w:bidi="ar-EG"/>
        </w:rPr>
        <w:t>.</w:t>
      </w:r>
      <w:r>
        <w:rPr>
          <w:rFonts w:hint="cs"/>
          <w:rtl/>
          <w:lang w:bidi="ar-EG"/>
        </w:rPr>
        <w:t xml:space="preserve"> ومنذ قرار المحكمة بكامل هيئتها، عُدِّل قانون التمييز على أساس نوع الجنس</w:t>
      </w:r>
      <w:r w:rsidR="00407716">
        <w:rPr>
          <w:rFonts w:hint="eastAsia"/>
          <w:rtl/>
          <w:lang w:bidi="ar-EG"/>
        </w:rPr>
        <w:t> </w:t>
      </w:r>
      <w:r w:rsidR="00733E70">
        <w:rPr>
          <w:rFonts w:hint="cs"/>
          <w:rtl/>
          <w:lang w:bidi="ar-EG"/>
        </w:rPr>
        <w:t>1984 ليشمل الفرع 40</w:t>
      </w:r>
      <w:r>
        <w:rPr>
          <w:rFonts w:hint="cs"/>
          <w:rtl/>
          <w:lang w:bidi="ar-EG"/>
        </w:rPr>
        <w:t xml:space="preserve">(5) (انظر الفقرة </w:t>
      </w:r>
      <w:r w:rsidR="00733E70">
        <w:rPr>
          <w:rFonts w:hint="cs"/>
          <w:rtl/>
          <w:lang w:bidi="ar-EG"/>
        </w:rPr>
        <w:t>2-4</w:t>
      </w:r>
      <w:r>
        <w:rPr>
          <w:rFonts w:hint="cs"/>
          <w:rtl/>
          <w:lang w:bidi="ar-EG"/>
        </w:rPr>
        <w:t xml:space="preserve"> أعلاه).</w:t>
      </w:r>
    </w:p>
    <w:p w:rsidR="00C9188E" w:rsidRDefault="00C9188E" w:rsidP="00C34C06">
      <w:pPr>
        <w:pStyle w:val="SingleTxtGA"/>
        <w:rPr>
          <w:rtl/>
          <w:lang w:bidi="ar-EG"/>
        </w:rPr>
      </w:pPr>
      <w:r>
        <w:rPr>
          <w:rFonts w:hint="cs"/>
          <w:rtl/>
          <w:lang w:bidi="ar-EG"/>
        </w:rPr>
        <w:t>2-12</w:t>
      </w:r>
      <w:r>
        <w:rPr>
          <w:rFonts w:hint="cs"/>
          <w:rtl/>
          <w:lang w:bidi="ar-EG"/>
        </w:rPr>
        <w:tab/>
        <w:t>وفي تشرين الأول/أكتوبر 2010، قدمت صاحبة البلاغ شكوى إلى اللجنة الأسترالية لحقوق الإنسان تدعي فيها التمييز على أساس نوع الجنس والحالة الزواجية بموجب الفرع 22 من قانون التمييز على أساس نوع الجنس لعام 1984. وفي 14 نيسان/أبريل 2011، أنهت اللجنة الشكوى بحجة أنها لا تستند إلى أسس سليمة، استنادا</w:t>
      </w:r>
      <w:r w:rsidR="00322339">
        <w:rPr>
          <w:rFonts w:hint="cs"/>
          <w:rtl/>
          <w:lang w:bidi="ar-EG"/>
        </w:rPr>
        <w:t>ً</w:t>
      </w:r>
      <w:r>
        <w:rPr>
          <w:rFonts w:hint="cs"/>
          <w:rtl/>
          <w:lang w:bidi="ar-EG"/>
        </w:rPr>
        <w:t xml:space="preserve"> إلى أن الفرع 22 لا ينطبق على تصرف سجل نيو </w:t>
      </w:r>
      <w:proofErr w:type="spellStart"/>
      <w:r>
        <w:rPr>
          <w:rFonts w:hint="cs"/>
          <w:rtl/>
          <w:lang w:bidi="ar-EG"/>
        </w:rPr>
        <w:t>ثاوث</w:t>
      </w:r>
      <w:proofErr w:type="spellEnd"/>
      <w:r>
        <w:rPr>
          <w:rFonts w:hint="cs"/>
          <w:rtl/>
          <w:lang w:bidi="ar-EG"/>
        </w:rPr>
        <w:t xml:space="preserve"> ويلز وأن التصرف بصفته تلك يقع خارج اختصاص اللجنة</w:t>
      </w:r>
      <w:r w:rsidR="00C34C06">
        <w:rPr>
          <w:rStyle w:val="FootnoteReference"/>
          <w:sz w:val="30"/>
          <w:rtl/>
          <w:lang w:bidi="ar-EG"/>
        </w:rPr>
        <w:t>(</w:t>
      </w:r>
      <w:r w:rsidR="00C34C06">
        <w:rPr>
          <w:rStyle w:val="FootnoteReference"/>
          <w:sz w:val="30"/>
          <w:rtl/>
          <w:lang w:bidi="ar-EG"/>
        </w:rPr>
        <w:footnoteReference w:id="10"/>
      </w:r>
      <w:r w:rsidR="00C34C06">
        <w:rPr>
          <w:rStyle w:val="FootnoteReference"/>
          <w:sz w:val="30"/>
          <w:rtl/>
          <w:lang w:bidi="ar-EG"/>
        </w:rPr>
        <w:t>)</w:t>
      </w:r>
      <w:r w:rsidR="00C34C06">
        <w:rPr>
          <w:rFonts w:hint="cs"/>
          <w:rtl/>
          <w:lang w:bidi="ar-EG"/>
        </w:rPr>
        <w:t>.</w:t>
      </w:r>
      <w:r>
        <w:rPr>
          <w:rFonts w:hint="cs"/>
          <w:rtl/>
          <w:lang w:bidi="ar-EG"/>
        </w:rPr>
        <w:t xml:space="preserve"> وتدعي صاحبة البلاغ أن الطعن في قرار اللجنة لدى المحكمة الاتحادية أو محكمة الصلح ال</w:t>
      </w:r>
      <w:r w:rsidR="004163B7">
        <w:rPr>
          <w:rFonts w:hint="cs"/>
          <w:rtl/>
          <w:lang w:bidi="ar-EG"/>
        </w:rPr>
        <w:t>فيدرالي</w:t>
      </w:r>
      <w:r>
        <w:rPr>
          <w:rFonts w:hint="cs"/>
          <w:rtl/>
          <w:lang w:bidi="ar-EG"/>
        </w:rPr>
        <w:t>ة لن يكون مجديا</w:t>
      </w:r>
      <w:r w:rsidR="00322339">
        <w:rPr>
          <w:rFonts w:hint="cs"/>
          <w:rtl/>
          <w:lang w:bidi="ar-EG"/>
        </w:rPr>
        <w:t>ً</w:t>
      </w:r>
      <w:r>
        <w:rPr>
          <w:rFonts w:hint="cs"/>
          <w:rtl/>
          <w:lang w:bidi="ar-EG"/>
        </w:rPr>
        <w:t xml:space="preserve"> في ضوء </w:t>
      </w:r>
      <w:r w:rsidR="00362A7C">
        <w:rPr>
          <w:rFonts w:hint="cs"/>
          <w:rtl/>
          <w:lang w:bidi="ar-EG"/>
        </w:rPr>
        <w:t>الفرع 40</w:t>
      </w:r>
      <w:r>
        <w:rPr>
          <w:rFonts w:hint="cs"/>
          <w:rtl/>
          <w:lang w:bidi="ar-EG"/>
        </w:rPr>
        <w:t>(5) من قانون التمييز على أساس نوع الجنس لعام 1984.</w:t>
      </w:r>
    </w:p>
    <w:p w:rsidR="00C9188E" w:rsidRDefault="00C9188E" w:rsidP="00C34C06">
      <w:pPr>
        <w:pStyle w:val="SingleTxtGA"/>
        <w:rPr>
          <w:rtl/>
          <w:lang w:bidi="ar-EG"/>
        </w:rPr>
      </w:pPr>
      <w:r>
        <w:rPr>
          <w:rFonts w:hint="cs"/>
          <w:rtl/>
          <w:lang w:bidi="ar-EG"/>
        </w:rPr>
        <w:t>2-13</w:t>
      </w:r>
      <w:r>
        <w:rPr>
          <w:rFonts w:hint="cs"/>
          <w:rtl/>
          <w:lang w:bidi="ar-EG"/>
        </w:rPr>
        <w:tab/>
        <w:t>ويمكن للجنة أن تدرس التشريعات والتشريعات المقترحة بغية التثبت من اتساقها مع حقوق الإنسان</w:t>
      </w:r>
      <w:r w:rsidR="00C34C06">
        <w:rPr>
          <w:rStyle w:val="FootnoteReference"/>
          <w:sz w:val="30"/>
          <w:rtl/>
          <w:lang w:bidi="ar-EG"/>
        </w:rPr>
        <w:t>(</w:t>
      </w:r>
      <w:r w:rsidR="00C34C06">
        <w:rPr>
          <w:rStyle w:val="FootnoteReference"/>
          <w:sz w:val="30"/>
          <w:rtl/>
          <w:lang w:bidi="ar-EG"/>
        </w:rPr>
        <w:footnoteReference w:id="11"/>
      </w:r>
      <w:r w:rsidR="00C34C06">
        <w:rPr>
          <w:rStyle w:val="FootnoteReference"/>
          <w:sz w:val="30"/>
          <w:rtl/>
          <w:lang w:bidi="ar-EG"/>
        </w:rPr>
        <w:t>)</w:t>
      </w:r>
      <w:r w:rsidR="00C34C06">
        <w:rPr>
          <w:rFonts w:hint="cs"/>
          <w:rtl/>
          <w:lang w:bidi="ar-EG"/>
        </w:rPr>
        <w:t>.</w:t>
      </w:r>
      <w:r>
        <w:rPr>
          <w:rFonts w:hint="cs"/>
          <w:rtl/>
          <w:lang w:bidi="ar-EG"/>
        </w:rPr>
        <w:t xml:space="preserve"> وبموجب هذه السلطات، أبدت اللجنة التعليقات التالية بشأن الاعتراف بنوع الجنس في شهادات ميلاد الأشخاص المتزوجين.</w:t>
      </w:r>
    </w:p>
    <w:p w:rsidR="00C9188E" w:rsidRDefault="00C9188E" w:rsidP="004163B7">
      <w:pPr>
        <w:pStyle w:val="SingleTxtGA"/>
        <w:rPr>
          <w:rtl/>
          <w:lang w:bidi="ar-EG"/>
        </w:rPr>
      </w:pPr>
      <w:r>
        <w:rPr>
          <w:rtl/>
          <w:lang w:bidi="ar-EG"/>
        </w:rPr>
        <w:tab/>
      </w:r>
      <w:r>
        <w:rPr>
          <w:rFonts w:hint="cs"/>
          <w:rtl/>
          <w:lang w:bidi="ar-EG"/>
        </w:rPr>
        <w:t>(أ)</w:t>
      </w:r>
      <w:r>
        <w:rPr>
          <w:rtl/>
          <w:lang w:bidi="ar-EG"/>
        </w:rPr>
        <w:tab/>
      </w:r>
      <w:r>
        <w:rPr>
          <w:rFonts w:hint="cs"/>
          <w:rtl/>
          <w:lang w:bidi="ar-EG"/>
        </w:rPr>
        <w:t>توصي اللجنة بألا تكون الحالة الزواجية اعتبارا</w:t>
      </w:r>
      <w:r w:rsidR="00322339">
        <w:rPr>
          <w:rFonts w:hint="cs"/>
          <w:rtl/>
          <w:lang w:bidi="ar-EG"/>
        </w:rPr>
        <w:t>ً</w:t>
      </w:r>
      <w:r>
        <w:rPr>
          <w:rFonts w:hint="cs"/>
          <w:rtl/>
          <w:lang w:bidi="ar-EG"/>
        </w:rPr>
        <w:t xml:space="preserve"> يؤخذ به في تحديد جواز أن يطلب شخص إدخال تغيير على نوع الجنس القانوني أو عدم جوازه. وترى اللجنة أنه ينبغي </w:t>
      </w:r>
      <w:r w:rsidR="00733E70">
        <w:rPr>
          <w:rFonts w:hint="cs"/>
          <w:rtl/>
          <w:lang w:bidi="ar-EG"/>
        </w:rPr>
        <w:t>ألَّا</w:t>
      </w:r>
      <w:r w:rsidR="004163B7">
        <w:rPr>
          <w:rFonts w:hint="eastAsia"/>
          <w:rtl/>
          <w:lang w:bidi="ar-EG"/>
        </w:rPr>
        <w:t> </w:t>
      </w:r>
      <w:r>
        <w:rPr>
          <w:rFonts w:hint="cs"/>
          <w:rtl/>
          <w:lang w:bidi="ar-EG"/>
        </w:rPr>
        <w:t>يجبر شخص على فسخ زواجه بغية الاعتراف بموجب القانون بتغيير في نوع الجنس.</w:t>
      </w:r>
    </w:p>
    <w:p w:rsidR="00C9188E" w:rsidRDefault="00C9188E" w:rsidP="004163B7">
      <w:pPr>
        <w:pStyle w:val="SingleTxtGA"/>
        <w:rPr>
          <w:rtl/>
          <w:lang w:bidi="ar-EG"/>
        </w:rPr>
      </w:pPr>
      <w:r>
        <w:rPr>
          <w:rtl/>
          <w:lang w:bidi="ar-EG"/>
        </w:rPr>
        <w:tab/>
      </w:r>
      <w:r>
        <w:rPr>
          <w:rFonts w:hint="cs"/>
          <w:rtl/>
          <w:lang w:bidi="ar-EG"/>
        </w:rPr>
        <w:t>(ب)</w:t>
      </w:r>
      <w:r>
        <w:rPr>
          <w:rtl/>
          <w:lang w:bidi="ar-EG"/>
        </w:rPr>
        <w:tab/>
      </w:r>
      <w:r>
        <w:rPr>
          <w:rFonts w:hint="cs"/>
          <w:rtl/>
          <w:lang w:bidi="ar-EG"/>
        </w:rPr>
        <w:t>بموجب القانون الدولي لحقوق الإنسان، يُحظر التمييز على أساس صفة أو</w:t>
      </w:r>
      <w:r w:rsidR="004163B7">
        <w:rPr>
          <w:rFonts w:hint="eastAsia"/>
          <w:rtl/>
          <w:lang w:bidi="ar-EG"/>
        </w:rPr>
        <w:t> </w:t>
      </w:r>
      <w:r>
        <w:rPr>
          <w:rFonts w:hint="cs"/>
          <w:rtl/>
          <w:lang w:bidi="ar-EG"/>
        </w:rPr>
        <w:t>خاصية محمية، بما في ذلك الحالة الزواجية. وأستراليا ملزمة، بصفتها طرفا</w:t>
      </w:r>
      <w:r w:rsidR="00322339">
        <w:rPr>
          <w:rFonts w:hint="cs"/>
          <w:rtl/>
          <w:lang w:bidi="ar-EG"/>
        </w:rPr>
        <w:t>ً</w:t>
      </w:r>
      <w:r>
        <w:rPr>
          <w:rFonts w:hint="cs"/>
          <w:rtl/>
          <w:lang w:bidi="ar-EG"/>
        </w:rPr>
        <w:t xml:space="preserve"> في الصكوك الدولية ذات الصلة، بالتأكد من أنها تتخذ جميع التدابير اللازمة التي تكفل </w:t>
      </w:r>
      <w:r w:rsidR="00733E70">
        <w:rPr>
          <w:rFonts w:hint="cs"/>
          <w:rtl/>
          <w:lang w:bidi="ar-EG"/>
        </w:rPr>
        <w:t>ألَّا</w:t>
      </w:r>
      <w:r>
        <w:rPr>
          <w:rFonts w:hint="cs"/>
          <w:rtl/>
          <w:lang w:bidi="ar-EG"/>
        </w:rPr>
        <w:t xml:space="preserve"> يُميز القانون على نحو غير مأذون به ضد شخص على أساس حالته الزواجية.</w:t>
      </w:r>
    </w:p>
    <w:p w:rsidR="00C9188E" w:rsidRDefault="00C9188E" w:rsidP="00C9188E">
      <w:pPr>
        <w:pStyle w:val="SingleTxtGA"/>
        <w:rPr>
          <w:rtl/>
          <w:lang w:bidi="ar-EG"/>
        </w:rPr>
      </w:pPr>
      <w:r>
        <w:rPr>
          <w:rtl/>
          <w:lang w:bidi="ar-EG"/>
        </w:rPr>
        <w:tab/>
      </w:r>
      <w:r>
        <w:rPr>
          <w:rFonts w:hint="cs"/>
          <w:rtl/>
          <w:lang w:bidi="ar-EG"/>
        </w:rPr>
        <w:t>(ج)</w:t>
      </w:r>
      <w:r>
        <w:rPr>
          <w:rtl/>
          <w:lang w:bidi="ar-EG"/>
        </w:rPr>
        <w:tab/>
      </w:r>
      <w:r>
        <w:rPr>
          <w:rFonts w:hint="cs"/>
          <w:rtl/>
          <w:lang w:bidi="ar-EG"/>
        </w:rPr>
        <w:t>في ضوء القانون القائم الآن، لا يبدو أن ثمة أي أساس قانوني يمكن أن يستند إليه شخص في الطعن في التمييز ضد الأشخاص المتزوجين المتأصل في تشريعات الولايات والأقاليم المتعلقة بتعديلات شهادات الميلاد. وترى اللجنة أن ذلك يضع أستراليا في موضع انتهاك لالتزاماتها الدولية بشأن التمييز على أساس الحالة الزواجية. ولذلك، يلزم تغير القانون لتصويب هذا الوضع.</w:t>
      </w:r>
    </w:p>
    <w:p w:rsidR="00C9188E" w:rsidRDefault="00C9188E" w:rsidP="00C9188E">
      <w:pPr>
        <w:pStyle w:val="SingleTxtGA"/>
        <w:rPr>
          <w:rtl/>
          <w:lang w:bidi="ar-EG"/>
        </w:rPr>
      </w:pPr>
      <w:r>
        <w:rPr>
          <w:rtl/>
          <w:lang w:bidi="ar-EG"/>
        </w:rPr>
        <w:lastRenderedPageBreak/>
        <w:tab/>
      </w:r>
      <w:r>
        <w:rPr>
          <w:rFonts w:hint="cs"/>
          <w:rtl/>
          <w:lang w:bidi="ar-EG"/>
        </w:rPr>
        <w:t>(د)</w:t>
      </w:r>
      <w:r>
        <w:rPr>
          <w:rtl/>
          <w:lang w:bidi="ar-EG"/>
        </w:rPr>
        <w:tab/>
      </w:r>
      <w:r>
        <w:rPr>
          <w:rFonts w:hint="cs"/>
          <w:rtl/>
          <w:lang w:bidi="ar-EG"/>
        </w:rPr>
        <w:t xml:space="preserve">[...] التوصية: ينبغي </w:t>
      </w:r>
      <w:r w:rsidR="00733E70">
        <w:rPr>
          <w:rFonts w:hint="cs"/>
          <w:rtl/>
          <w:lang w:bidi="ar-EG"/>
        </w:rPr>
        <w:t>ألَّا</w:t>
      </w:r>
      <w:r>
        <w:rPr>
          <w:rFonts w:hint="cs"/>
          <w:rtl/>
          <w:lang w:bidi="ar-EG"/>
        </w:rPr>
        <w:t xml:space="preserve"> تكون الحالة المدنية اعتبارا</w:t>
      </w:r>
      <w:r w:rsidR="00C34C06">
        <w:rPr>
          <w:rFonts w:hint="cs"/>
          <w:rtl/>
          <w:lang w:bidi="ar-EG"/>
        </w:rPr>
        <w:t>ً</w:t>
      </w:r>
      <w:r>
        <w:rPr>
          <w:rFonts w:hint="cs"/>
          <w:rtl/>
          <w:lang w:bidi="ar-EG"/>
        </w:rPr>
        <w:t xml:space="preserve"> يؤخذ به في جواز أن يطلب شخص إدخال تغيير على نوع الجنس القانوني أو عدم جوازه</w:t>
      </w:r>
      <w:r w:rsidR="00C34C06">
        <w:rPr>
          <w:rStyle w:val="FootnoteReference"/>
          <w:sz w:val="30"/>
          <w:rtl/>
          <w:lang w:bidi="ar-EG"/>
        </w:rPr>
        <w:t>(</w:t>
      </w:r>
      <w:r w:rsidR="00C34C06">
        <w:rPr>
          <w:rStyle w:val="FootnoteReference"/>
          <w:sz w:val="30"/>
          <w:rtl/>
          <w:lang w:bidi="ar-EG"/>
        </w:rPr>
        <w:footnoteReference w:id="12"/>
      </w:r>
      <w:r w:rsidR="00C34C06">
        <w:rPr>
          <w:rStyle w:val="FootnoteReference"/>
          <w:sz w:val="30"/>
          <w:rtl/>
          <w:lang w:bidi="ar-EG"/>
        </w:rPr>
        <w:t>)</w:t>
      </w:r>
      <w:r w:rsidR="00C34C06">
        <w:rPr>
          <w:rFonts w:hint="cs"/>
          <w:rtl/>
          <w:lang w:bidi="ar-EG"/>
        </w:rPr>
        <w:t xml:space="preserve">. </w:t>
      </w:r>
    </w:p>
    <w:p w:rsidR="00C9188E" w:rsidRDefault="00C9188E" w:rsidP="007A787A">
      <w:pPr>
        <w:pStyle w:val="SingleTxtGA"/>
        <w:rPr>
          <w:rtl/>
          <w:lang w:bidi="ar-EG"/>
        </w:rPr>
      </w:pPr>
      <w:r>
        <w:rPr>
          <w:rFonts w:hint="cs"/>
          <w:rtl/>
          <w:lang w:bidi="ar-EG"/>
        </w:rPr>
        <w:t>2-14</w:t>
      </w:r>
      <w:r>
        <w:rPr>
          <w:rFonts w:hint="cs"/>
          <w:rtl/>
          <w:lang w:bidi="ar-EG"/>
        </w:rPr>
        <w:tab/>
        <w:t>وقُدِّم تقرير اللجنة وتوصياتها إلى حكومات الولايات والأقاليم للنظر فيها ولكنها لم</w:t>
      </w:r>
      <w:r w:rsidR="007A787A">
        <w:rPr>
          <w:rFonts w:hint="eastAsia"/>
          <w:rtl/>
          <w:lang w:bidi="ar-EG"/>
        </w:rPr>
        <w:t> </w:t>
      </w:r>
      <w:r>
        <w:rPr>
          <w:rFonts w:hint="cs"/>
          <w:rtl/>
          <w:lang w:bidi="ar-EG"/>
        </w:rPr>
        <w:t>تُنفَّذ. وبما أنها غير ملزمة، فلا يُقتضى من حكومات الولايات والأقاليم اتخاذ تدابير بشأنها. وتخلص صاحبة البلاغ إلى أنه لا يوجد سبيل انتصاف متاح لها بموجب قانون اللجنة الأسترالية لحقوق الإنسان لعام 1986.</w:t>
      </w:r>
    </w:p>
    <w:p w:rsidR="00C9188E" w:rsidRDefault="00C9188E" w:rsidP="00C9188E">
      <w:pPr>
        <w:pStyle w:val="H23GA"/>
        <w:rPr>
          <w:rtl/>
          <w:lang w:bidi="ar-EG"/>
        </w:rPr>
      </w:pPr>
      <w:r>
        <w:rPr>
          <w:rtl/>
          <w:lang w:bidi="ar-EG"/>
        </w:rPr>
        <w:tab/>
      </w:r>
      <w:r>
        <w:rPr>
          <w:rtl/>
          <w:lang w:bidi="ar-EG"/>
        </w:rPr>
        <w:tab/>
      </w:r>
      <w:r w:rsidRPr="00256F65">
        <w:rPr>
          <w:rFonts w:hint="cs"/>
          <w:rtl/>
          <w:lang w:bidi="ar-EG"/>
        </w:rPr>
        <w:t>الشكوى</w:t>
      </w:r>
    </w:p>
    <w:p w:rsidR="00C9188E" w:rsidRDefault="00C9188E" w:rsidP="00C9188E">
      <w:pPr>
        <w:pStyle w:val="SingleTxtGA"/>
        <w:rPr>
          <w:rtl/>
          <w:lang w:bidi="ar-EG"/>
        </w:rPr>
      </w:pPr>
      <w:r>
        <w:rPr>
          <w:rFonts w:hint="cs"/>
          <w:rtl/>
          <w:lang w:bidi="ar-EG"/>
        </w:rPr>
        <w:t>3-1</w:t>
      </w:r>
      <w:r>
        <w:rPr>
          <w:rtl/>
          <w:lang w:bidi="ar-EG"/>
        </w:rPr>
        <w:tab/>
      </w:r>
      <w:r>
        <w:rPr>
          <w:rFonts w:hint="cs"/>
          <w:rtl/>
          <w:lang w:bidi="ar-EG"/>
        </w:rPr>
        <w:t>تدعي صاحبة البلاغ أن رفض تغيير نوع جنسها في شهادة ميلادها، ما</w:t>
      </w:r>
      <w:r w:rsidR="009C26A9">
        <w:rPr>
          <w:rFonts w:hint="eastAsia"/>
          <w:rtl/>
          <w:lang w:bidi="ar-EG"/>
        </w:rPr>
        <w:t> </w:t>
      </w:r>
      <w:r>
        <w:rPr>
          <w:rFonts w:hint="cs"/>
          <w:rtl/>
          <w:lang w:bidi="ar-EG"/>
        </w:rPr>
        <w:t>لم تطلق زوجها، يشكل تدخلا</w:t>
      </w:r>
      <w:r w:rsidR="00322339">
        <w:rPr>
          <w:rFonts w:hint="cs"/>
          <w:rtl/>
          <w:lang w:bidi="ar-EG"/>
        </w:rPr>
        <w:t>ً</w:t>
      </w:r>
      <w:r>
        <w:rPr>
          <w:rFonts w:hint="cs"/>
          <w:rtl/>
          <w:lang w:bidi="ar-EG"/>
        </w:rPr>
        <w:t xml:space="preserve"> مباشرا</w:t>
      </w:r>
      <w:r w:rsidR="00322339">
        <w:rPr>
          <w:rFonts w:hint="cs"/>
          <w:rtl/>
          <w:lang w:bidi="ar-EG"/>
        </w:rPr>
        <w:t>ً</w:t>
      </w:r>
      <w:r>
        <w:rPr>
          <w:rFonts w:hint="cs"/>
          <w:rtl/>
          <w:lang w:bidi="ar-EG"/>
        </w:rPr>
        <w:t xml:space="preserve"> وتعسفيا</w:t>
      </w:r>
      <w:r w:rsidR="00322339">
        <w:rPr>
          <w:rFonts w:hint="cs"/>
          <w:rtl/>
          <w:lang w:bidi="ar-EG"/>
        </w:rPr>
        <w:t>ً</w:t>
      </w:r>
      <w:r>
        <w:rPr>
          <w:rFonts w:hint="cs"/>
          <w:rtl/>
          <w:lang w:bidi="ar-EG"/>
        </w:rPr>
        <w:t xml:space="preserve"> في حقها في الخصوصية بموجب المادة 17 من العهد. ولئن كان يحق للمنظمات والأفراد قانونا</w:t>
      </w:r>
      <w:r w:rsidR="00322339">
        <w:rPr>
          <w:rFonts w:hint="cs"/>
          <w:rtl/>
          <w:lang w:bidi="ar-EG"/>
        </w:rPr>
        <w:t>ً</w:t>
      </w:r>
      <w:r>
        <w:rPr>
          <w:rFonts w:hint="cs"/>
          <w:rtl/>
          <w:lang w:bidi="ar-EG"/>
        </w:rPr>
        <w:t xml:space="preserve"> أن يطلبوا من الشخص المعني تقديم نسخة من شهادة ميلاده إثباتا</w:t>
      </w:r>
      <w:r w:rsidR="00322339">
        <w:rPr>
          <w:rFonts w:hint="cs"/>
          <w:rtl/>
          <w:lang w:bidi="ar-EG"/>
        </w:rPr>
        <w:t>ً</w:t>
      </w:r>
      <w:r>
        <w:rPr>
          <w:rFonts w:hint="cs"/>
          <w:rtl/>
          <w:lang w:bidi="ar-EG"/>
        </w:rPr>
        <w:t xml:space="preserve"> لهويته، فليس ثمة أساس معقول ولا مبرر قانوني لاشتراط أن يكون الشخص غير متزوج حتى يتمكن من تغيير نوع جنسه في شهادة ميلاده. وبناءً على ذلك، تدعي صاحبة البلاغ أن اشتراط الحالة الزواجية يشكل تدخلا</w:t>
      </w:r>
      <w:r w:rsidR="00322339">
        <w:rPr>
          <w:rFonts w:hint="cs"/>
          <w:rtl/>
          <w:lang w:bidi="ar-EG"/>
        </w:rPr>
        <w:t>ً</w:t>
      </w:r>
      <w:r>
        <w:rPr>
          <w:rFonts w:hint="cs"/>
          <w:rtl/>
          <w:lang w:bidi="ar-EG"/>
        </w:rPr>
        <w:t xml:space="preserve"> غير معقول ولا يمتثل لأحكام العهد ومراميه وأهدافه. و</w:t>
      </w:r>
      <w:r w:rsidR="002634C6">
        <w:rPr>
          <w:rFonts w:hint="cs"/>
          <w:rtl/>
          <w:lang w:bidi="ar-EG"/>
        </w:rPr>
        <w:t>فضلاً</w:t>
      </w:r>
      <w:r>
        <w:rPr>
          <w:rFonts w:hint="cs"/>
          <w:rtl/>
          <w:lang w:bidi="ar-EG"/>
        </w:rPr>
        <w:t xml:space="preserve"> عن ذلك، عجزت الدولة الطرف عن اتخاذ التدابير القانونية الملائمة </w:t>
      </w:r>
      <w:r w:rsidR="00632D3C">
        <w:rPr>
          <w:rFonts w:hint="cs"/>
          <w:rtl/>
          <w:lang w:bidi="ar-EG"/>
        </w:rPr>
        <w:t>لمنع هذا التدخل، بموجب الفرع 40</w:t>
      </w:r>
      <w:r>
        <w:rPr>
          <w:rFonts w:hint="cs"/>
          <w:rtl/>
          <w:lang w:bidi="ar-EG"/>
        </w:rPr>
        <w:t>(5) من قانون التمييز على أساس نوع الجنس لعام 1984.</w:t>
      </w:r>
    </w:p>
    <w:p w:rsidR="00C9188E" w:rsidRDefault="00C9188E" w:rsidP="00C34C06">
      <w:pPr>
        <w:pStyle w:val="SingleTxtGA"/>
        <w:rPr>
          <w:rtl/>
          <w:lang w:bidi="ar-EG"/>
        </w:rPr>
      </w:pPr>
      <w:r>
        <w:rPr>
          <w:rFonts w:hint="cs"/>
          <w:rtl/>
          <w:lang w:bidi="ar-EG"/>
        </w:rPr>
        <w:t>3-2</w:t>
      </w:r>
      <w:r>
        <w:rPr>
          <w:rtl/>
          <w:lang w:bidi="ar-EG"/>
        </w:rPr>
        <w:tab/>
      </w:r>
      <w:r>
        <w:rPr>
          <w:rFonts w:hint="cs"/>
          <w:rtl/>
          <w:lang w:bidi="ar-EG"/>
        </w:rPr>
        <w:t>وتحاج صاحبة البلاغ بأن انتهاك الخصوصية ينبع من اختلاف نوع جنسها الحالي عن نوع جنسها المسجل في شهادة الميلاد</w:t>
      </w:r>
      <w:r w:rsidR="00C34C06">
        <w:rPr>
          <w:rStyle w:val="FootnoteReference"/>
          <w:sz w:val="30"/>
          <w:rtl/>
          <w:lang w:bidi="ar-EG"/>
        </w:rPr>
        <w:t>(</w:t>
      </w:r>
      <w:r w:rsidR="00C34C06">
        <w:rPr>
          <w:rStyle w:val="FootnoteReference"/>
          <w:sz w:val="30"/>
          <w:rtl/>
          <w:lang w:bidi="ar-EG"/>
        </w:rPr>
        <w:footnoteReference w:id="13"/>
      </w:r>
      <w:r w:rsidR="00C34C06">
        <w:rPr>
          <w:rStyle w:val="FootnoteReference"/>
          <w:sz w:val="30"/>
          <w:rtl/>
          <w:lang w:bidi="ar-EG"/>
        </w:rPr>
        <w:t>)</w:t>
      </w:r>
      <w:r w:rsidR="00C34C06">
        <w:rPr>
          <w:rFonts w:hint="cs"/>
          <w:rtl/>
          <w:lang w:bidi="ar-EG"/>
        </w:rPr>
        <w:t>.</w:t>
      </w:r>
      <w:r>
        <w:rPr>
          <w:rFonts w:hint="cs"/>
          <w:rtl/>
          <w:lang w:bidi="ar-EG"/>
        </w:rPr>
        <w:t xml:space="preserve"> وبذلك، تكشف شهادة الميلاد عن معلومات خاصة تفيد أنها مغايرة </w:t>
      </w:r>
      <w:proofErr w:type="spellStart"/>
      <w:r w:rsidR="002634C6">
        <w:rPr>
          <w:rFonts w:hint="cs"/>
          <w:rtl/>
          <w:lang w:bidi="ar-EG"/>
        </w:rPr>
        <w:t>جنسانياً</w:t>
      </w:r>
      <w:proofErr w:type="spellEnd"/>
      <w:r>
        <w:rPr>
          <w:rFonts w:hint="cs"/>
          <w:rtl/>
          <w:lang w:bidi="ar-EG"/>
        </w:rPr>
        <w:t xml:space="preserve">. وتدعي صاحبة البلاغ أن خصوصيتها تشمل الحق في التحكم في المعلومات المتعلقة بكونها مغايرة </w:t>
      </w:r>
      <w:proofErr w:type="spellStart"/>
      <w:r w:rsidR="002634C6">
        <w:rPr>
          <w:rFonts w:hint="cs"/>
          <w:rtl/>
          <w:lang w:bidi="ar-EG"/>
        </w:rPr>
        <w:t>جنسانياً</w:t>
      </w:r>
      <w:proofErr w:type="spellEnd"/>
      <w:r>
        <w:rPr>
          <w:rFonts w:hint="cs"/>
          <w:rtl/>
          <w:lang w:bidi="ar-EG"/>
        </w:rPr>
        <w:t xml:space="preserve"> وبتاريخها الطبي. ويقع المساس بالحق عند الكشف عن معلومات إلى العامة بمقتضى شرط قانوني أو بدون موافقة الشخص المعني. وتحاج صاحبة البلاغ </w:t>
      </w:r>
      <w:r w:rsidR="002634C6">
        <w:rPr>
          <w:rFonts w:hint="cs"/>
          <w:rtl/>
          <w:lang w:bidi="ar-EG"/>
        </w:rPr>
        <w:t>أيضاً</w:t>
      </w:r>
      <w:r>
        <w:rPr>
          <w:rFonts w:hint="cs"/>
          <w:rtl/>
          <w:lang w:bidi="ar-EG"/>
        </w:rPr>
        <w:t xml:space="preserve"> بأن مفهوم الخصوصية يشمل حق الشخص في حماية الاستقلال الشخصي والتمتع بالحرية في تحديد تفاصيل هويته، بما في ذلك نوع جنسه.</w:t>
      </w:r>
    </w:p>
    <w:p w:rsidR="00C9188E" w:rsidRPr="003F2D1C" w:rsidRDefault="00C9188E" w:rsidP="00C9188E">
      <w:pPr>
        <w:pStyle w:val="SingleTxtGA"/>
        <w:rPr>
          <w:spacing w:val="-3"/>
          <w:rtl/>
          <w:lang w:bidi="ar-EG"/>
        </w:rPr>
      </w:pPr>
      <w:r w:rsidRPr="003F2D1C">
        <w:rPr>
          <w:rFonts w:hint="cs"/>
          <w:spacing w:val="-3"/>
          <w:rtl/>
          <w:lang w:bidi="ar-EG"/>
        </w:rPr>
        <w:t>3-3</w:t>
      </w:r>
      <w:r w:rsidRPr="003F2D1C">
        <w:rPr>
          <w:spacing w:val="-3"/>
          <w:rtl/>
          <w:lang w:bidi="ar-EG"/>
        </w:rPr>
        <w:tab/>
      </w:r>
      <w:r w:rsidRPr="003F2D1C">
        <w:rPr>
          <w:rFonts w:hint="cs"/>
          <w:spacing w:val="-3"/>
          <w:rtl/>
          <w:lang w:bidi="ar-EG"/>
        </w:rPr>
        <w:t>ويُعد اشتراط طلاقها من زوجها للحصول على شهادة ميلاد تحدد على وجه صحيح نوع جنسها تدخلا</w:t>
      </w:r>
      <w:r w:rsidR="00322339">
        <w:rPr>
          <w:rFonts w:hint="cs"/>
          <w:spacing w:val="-3"/>
          <w:rtl/>
          <w:lang w:bidi="ar-EG"/>
        </w:rPr>
        <w:t>ً</w:t>
      </w:r>
      <w:r w:rsidRPr="003F2D1C">
        <w:rPr>
          <w:rFonts w:hint="cs"/>
          <w:spacing w:val="-3"/>
          <w:rtl/>
          <w:lang w:bidi="ar-EG"/>
        </w:rPr>
        <w:t xml:space="preserve"> تعسفيا</w:t>
      </w:r>
      <w:r w:rsidR="00322339">
        <w:rPr>
          <w:rFonts w:hint="cs"/>
          <w:spacing w:val="-3"/>
          <w:rtl/>
          <w:lang w:bidi="ar-EG"/>
        </w:rPr>
        <w:t>ً</w:t>
      </w:r>
      <w:r w:rsidRPr="003F2D1C">
        <w:rPr>
          <w:rFonts w:hint="cs"/>
          <w:spacing w:val="-3"/>
          <w:rtl/>
          <w:lang w:bidi="ar-EG"/>
        </w:rPr>
        <w:t xml:space="preserve"> في حقها في أسرة بموجب المادة 17. ومع أن الدولة الطرف تعتمد فهما</w:t>
      </w:r>
      <w:r w:rsidR="00322339">
        <w:rPr>
          <w:rFonts w:hint="cs"/>
          <w:spacing w:val="-3"/>
          <w:rtl/>
          <w:lang w:bidi="ar-EG"/>
        </w:rPr>
        <w:t>ً</w:t>
      </w:r>
      <w:r w:rsidRPr="003F2D1C">
        <w:rPr>
          <w:rFonts w:hint="cs"/>
          <w:spacing w:val="-3"/>
          <w:rtl/>
          <w:lang w:bidi="ar-EG"/>
        </w:rPr>
        <w:t xml:space="preserve"> واسع النطاق لمصطلح "أسرة" يشمل الأسر التي يكون فيها الأزواج من نوع الجنس نفسه وتمنحهم الحقوق الاجتماعية والقانونية نفسها التي يتمتع بها بحكم الواقع الأزواج من جنسين مختلفين، فإن صاحبة البلاغ لا تستطيع أن تغير شهادة ميلادها لأنها متزوجة. ويشكل ذلك تدخلا</w:t>
      </w:r>
      <w:r w:rsidR="00322339">
        <w:rPr>
          <w:rFonts w:hint="cs"/>
          <w:spacing w:val="-3"/>
          <w:rtl/>
          <w:lang w:bidi="ar-EG"/>
        </w:rPr>
        <w:t>ً</w:t>
      </w:r>
      <w:r w:rsidRPr="003F2D1C">
        <w:rPr>
          <w:rFonts w:hint="cs"/>
          <w:spacing w:val="-3"/>
          <w:rtl/>
          <w:lang w:bidi="ar-EG"/>
        </w:rPr>
        <w:t xml:space="preserve"> في حق صاحبة البلاغ في أسرة وهو أمر غير معقول ولا يمتثل لأحكام العهد ومراميه وأهدافه.</w:t>
      </w:r>
    </w:p>
    <w:p w:rsidR="00C9188E" w:rsidRDefault="00C9188E" w:rsidP="00C9188E">
      <w:pPr>
        <w:pStyle w:val="SingleTxtGA"/>
        <w:rPr>
          <w:rtl/>
          <w:lang w:bidi="ar-EG"/>
        </w:rPr>
      </w:pPr>
      <w:r>
        <w:rPr>
          <w:rFonts w:hint="cs"/>
          <w:rtl/>
          <w:lang w:bidi="ar-EG"/>
        </w:rPr>
        <w:lastRenderedPageBreak/>
        <w:t>3-4</w:t>
      </w:r>
      <w:r>
        <w:rPr>
          <w:rtl/>
          <w:lang w:bidi="ar-EG"/>
        </w:rPr>
        <w:tab/>
      </w:r>
      <w:r>
        <w:rPr>
          <w:rFonts w:hint="cs"/>
          <w:rtl/>
          <w:lang w:bidi="ar-EG"/>
        </w:rPr>
        <w:t>وبعجز الدولة الطرف عن إعمال قانون يحظر التمييز على أساس الحالة الزواجية وحالة المغايرة الجنسانية ويكفل لجميع الأشخاص حماية متساوية وفعالة من التمييز، تكون قد انتهكت حقو</w:t>
      </w:r>
      <w:r w:rsidR="0073083C">
        <w:rPr>
          <w:rFonts w:hint="cs"/>
          <w:rtl/>
          <w:lang w:bidi="ar-EG"/>
        </w:rPr>
        <w:t>ق صاحبة البلاغ بموجب المادتين 2</w:t>
      </w:r>
      <w:r>
        <w:rPr>
          <w:rFonts w:hint="cs"/>
          <w:rtl/>
          <w:lang w:bidi="ar-EG"/>
        </w:rPr>
        <w:t>(1) و26 من العهد.</w:t>
      </w:r>
    </w:p>
    <w:p w:rsidR="00C9188E" w:rsidRDefault="00C9188E" w:rsidP="00C9188E">
      <w:pPr>
        <w:pStyle w:val="SingleTxtGA"/>
        <w:rPr>
          <w:rtl/>
          <w:lang w:bidi="ar-EG"/>
        </w:rPr>
      </w:pPr>
      <w:r>
        <w:rPr>
          <w:rFonts w:hint="cs"/>
          <w:rtl/>
          <w:lang w:bidi="ar-EG"/>
        </w:rPr>
        <w:t>3-5</w:t>
      </w:r>
      <w:r>
        <w:rPr>
          <w:rtl/>
          <w:lang w:bidi="ar-EG"/>
        </w:rPr>
        <w:tab/>
      </w:r>
      <w:r>
        <w:rPr>
          <w:rFonts w:hint="cs"/>
          <w:rtl/>
          <w:lang w:bidi="ar-EG"/>
        </w:rPr>
        <w:t>و</w:t>
      </w:r>
      <w:r w:rsidR="002634C6">
        <w:rPr>
          <w:rFonts w:hint="cs"/>
          <w:rtl/>
          <w:lang w:bidi="ar-EG"/>
        </w:rPr>
        <w:t>فضلاً</w:t>
      </w:r>
      <w:r>
        <w:rPr>
          <w:rFonts w:hint="cs"/>
          <w:rtl/>
          <w:lang w:bidi="ar-EG"/>
        </w:rPr>
        <w:t xml:space="preserve"> عن ذلك، عجزت الدولة الطرف عن إتاحة سبيل انتصاف فعال لصاحبة البلاغ بشأن الانتهاكات المذ</w:t>
      </w:r>
      <w:r w:rsidR="00EF2259">
        <w:rPr>
          <w:rFonts w:hint="cs"/>
          <w:rtl/>
          <w:lang w:bidi="ar-EG"/>
        </w:rPr>
        <w:t>كورة آنفا</w:t>
      </w:r>
      <w:r w:rsidR="009B7B22">
        <w:rPr>
          <w:rFonts w:hint="cs"/>
          <w:rtl/>
          <w:lang w:bidi="ar-EG"/>
        </w:rPr>
        <w:t>ً</w:t>
      </w:r>
      <w:r w:rsidR="00EF2259">
        <w:rPr>
          <w:rFonts w:hint="cs"/>
          <w:rtl/>
          <w:lang w:bidi="ar-EG"/>
        </w:rPr>
        <w:t>، منتهكة بذلك المادة 2</w:t>
      </w:r>
      <w:r>
        <w:rPr>
          <w:rFonts w:hint="cs"/>
          <w:rtl/>
          <w:lang w:bidi="ar-EG"/>
        </w:rPr>
        <w:t>(3) من العهد.</w:t>
      </w:r>
    </w:p>
    <w:p w:rsidR="00C9188E" w:rsidRDefault="00C9188E" w:rsidP="00C9188E">
      <w:pPr>
        <w:pStyle w:val="SingleTxtGA"/>
        <w:rPr>
          <w:rtl/>
          <w:lang w:bidi="ar-EG"/>
        </w:rPr>
      </w:pPr>
      <w:r>
        <w:rPr>
          <w:rFonts w:hint="cs"/>
          <w:rtl/>
          <w:lang w:bidi="ar-EG"/>
        </w:rPr>
        <w:t>3-6</w:t>
      </w:r>
      <w:r>
        <w:rPr>
          <w:rtl/>
          <w:lang w:bidi="ar-EG"/>
        </w:rPr>
        <w:tab/>
      </w:r>
      <w:r>
        <w:rPr>
          <w:rFonts w:hint="cs"/>
          <w:rtl/>
          <w:lang w:bidi="ar-EG"/>
        </w:rPr>
        <w:t>وبناءً على ما تقدم، تطلب صاحبة البلاغ من اللجنة أن تتوصل إلى استنتاج مفاده ما</w:t>
      </w:r>
      <w:r>
        <w:rPr>
          <w:rFonts w:hint="eastAsia"/>
          <w:rtl/>
          <w:lang w:bidi="ar-EG"/>
        </w:rPr>
        <w:t> </w:t>
      </w:r>
      <w:r w:rsidR="00EF2259">
        <w:rPr>
          <w:rFonts w:hint="cs"/>
          <w:rtl/>
          <w:lang w:bidi="ar-EG"/>
        </w:rPr>
        <w:t>يلي: (أ) ينتهك الفرع 32 باء(1)</w:t>
      </w:r>
      <w:r>
        <w:rPr>
          <w:rFonts w:hint="cs"/>
          <w:rtl/>
          <w:lang w:bidi="ar-EG"/>
        </w:rPr>
        <w:t>(ج) من قانون تسجيل المواليد والوفيات والزيجات لعام</w:t>
      </w:r>
      <w:r>
        <w:rPr>
          <w:rFonts w:hint="eastAsia"/>
          <w:rtl/>
          <w:lang w:bidi="ar-EG"/>
        </w:rPr>
        <w:t> </w:t>
      </w:r>
      <w:r>
        <w:rPr>
          <w:rFonts w:hint="cs"/>
          <w:rtl/>
          <w:lang w:bidi="ar-EG"/>
        </w:rPr>
        <w:t xml:space="preserve">1995 المواد 2(1) و17 و26؛ (ب) ينتهك الفرع 40(5) من قانون التمييز على أساس نوع الجنس لعام 1984 المواد 2(1) و17 و26 من العهد؛ (ج) ينتهك الجز 3 ألف من قانون نيو </w:t>
      </w:r>
      <w:proofErr w:type="spellStart"/>
      <w:r>
        <w:rPr>
          <w:rFonts w:hint="cs"/>
          <w:rtl/>
          <w:lang w:bidi="ar-EG"/>
        </w:rPr>
        <w:t>ثاوث</w:t>
      </w:r>
      <w:proofErr w:type="spellEnd"/>
      <w:r>
        <w:rPr>
          <w:rFonts w:hint="cs"/>
          <w:rtl/>
          <w:lang w:bidi="ar-EG"/>
        </w:rPr>
        <w:t xml:space="preserve"> ويلز لمكافحة التمييز لعام 1977 المادتين 2(1) و26. وهي تطلب </w:t>
      </w:r>
      <w:r w:rsidR="002634C6">
        <w:rPr>
          <w:rFonts w:hint="cs"/>
          <w:rtl/>
          <w:lang w:bidi="ar-EG"/>
        </w:rPr>
        <w:t>أيضاً</w:t>
      </w:r>
      <w:r>
        <w:rPr>
          <w:rFonts w:hint="cs"/>
          <w:rtl/>
          <w:lang w:bidi="ar-EG"/>
        </w:rPr>
        <w:t xml:space="preserve"> السماح لها بتغيير نوع الجنس في شهادة ميلادها إلى أنثى وأن تُوجَّه الدولة الطرف باتخاذ التدابير القانونية الملائمة الكفيلة بعدم استمرار هذه الانتهاكات.</w:t>
      </w:r>
    </w:p>
    <w:p w:rsidR="00C9188E" w:rsidRDefault="00C9188E" w:rsidP="00C9188E">
      <w:pPr>
        <w:pStyle w:val="H23GA"/>
        <w:rPr>
          <w:rtl/>
          <w:lang w:bidi="ar-EG"/>
        </w:rPr>
      </w:pPr>
      <w:r>
        <w:rPr>
          <w:rtl/>
          <w:lang w:bidi="ar-EG"/>
        </w:rPr>
        <w:tab/>
      </w:r>
      <w:r>
        <w:rPr>
          <w:rtl/>
          <w:lang w:bidi="ar-EG"/>
        </w:rPr>
        <w:tab/>
      </w:r>
      <w:r w:rsidRPr="0035723C">
        <w:rPr>
          <w:rFonts w:hint="cs"/>
          <w:rtl/>
          <w:lang w:bidi="ar-EG"/>
        </w:rPr>
        <w:t>ملاحظات</w:t>
      </w:r>
      <w:r w:rsidRPr="0035723C">
        <w:rPr>
          <w:rtl/>
          <w:lang w:bidi="ar-EG"/>
        </w:rPr>
        <w:t xml:space="preserve"> </w:t>
      </w:r>
      <w:r w:rsidRPr="0035723C">
        <w:rPr>
          <w:rFonts w:hint="cs"/>
          <w:rtl/>
          <w:lang w:bidi="ar-EG"/>
        </w:rPr>
        <w:t>الدولة</w:t>
      </w:r>
      <w:r w:rsidRPr="0035723C">
        <w:rPr>
          <w:rtl/>
          <w:lang w:bidi="ar-EG"/>
        </w:rPr>
        <w:t xml:space="preserve"> </w:t>
      </w:r>
      <w:r w:rsidRPr="0035723C">
        <w:rPr>
          <w:rFonts w:hint="cs"/>
          <w:rtl/>
          <w:lang w:bidi="ar-EG"/>
        </w:rPr>
        <w:t>الطرف</w:t>
      </w:r>
      <w:r w:rsidRPr="0035723C">
        <w:rPr>
          <w:rtl/>
          <w:lang w:bidi="ar-EG"/>
        </w:rPr>
        <w:t xml:space="preserve"> </w:t>
      </w:r>
      <w:r w:rsidRPr="0035723C">
        <w:rPr>
          <w:rFonts w:hint="cs"/>
          <w:rtl/>
          <w:lang w:bidi="ar-EG"/>
        </w:rPr>
        <w:t>بشأن</w:t>
      </w:r>
      <w:r w:rsidRPr="0035723C">
        <w:rPr>
          <w:rtl/>
          <w:lang w:bidi="ar-EG"/>
        </w:rPr>
        <w:t xml:space="preserve"> </w:t>
      </w:r>
      <w:r w:rsidRPr="0035723C">
        <w:rPr>
          <w:rFonts w:hint="cs"/>
          <w:rtl/>
          <w:lang w:bidi="ar-EG"/>
        </w:rPr>
        <w:t>المقبولية</w:t>
      </w:r>
      <w:r w:rsidRPr="0035723C">
        <w:rPr>
          <w:rtl/>
          <w:lang w:bidi="ar-EG"/>
        </w:rPr>
        <w:t xml:space="preserve"> </w:t>
      </w:r>
      <w:r>
        <w:rPr>
          <w:rFonts w:hint="cs"/>
          <w:rtl/>
          <w:lang w:bidi="ar-EG"/>
        </w:rPr>
        <w:t>والأسس الموضوعية</w:t>
      </w:r>
    </w:p>
    <w:p w:rsidR="00C9188E" w:rsidRDefault="00C9188E" w:rsidP="003E1B5D">
      <w:pPr>
        <w:pStyle w:val="SingleTxtGA"/>
        <w:rPr>
          <w:rtl/>
          <w:lang w:bidi="ar-EG"/>
        </w:rPr>
      </w:pPr>
      <w:r>
        <w:rPr>
          <w:rFonts w:hint="cs"/>
          <w:rtl/>
          <w:lang w:bidi="ar-EG"/>
        </w:rPr>
        <w:t>4-1</w:t>
      </w:r>
      <w:r>
        <w:rPr>
          <w:rtl/>
          <w:lang w:bidi="ar-EG"/>
        </w:rPr>
        <w:tab/>
      </w:r>
      <w:r>
        <w:rPr>
          <w:rFonts w:hint="cs"/>
          <w:rtl/>
          <w:lang w:bidi="ar-EG"/>
        </w:rPr>
        <w:t>في 8 تموز/يوليه 2013، قدمت الدولة الطرف ملاحظاتها بشأن مقبولية البلاغ والأسس الموضوعية وبصدد الوقائع، تشير الدولة الطرف إلى أن صاحبة البلاغ قدمت، في 20 نيسان/أبريل 2006، طل</w:t>
      </w:r>
      <w:r w:rsidR="00F21316">
        <w:rPr>
          <w:rFonts w:hint="cs"/>
          <w:rtl/>
          <w:lang w:bidi="ar-EG"/>
        </w:rPr>
        <w:t xml:space="preserve">باً </w:t>
      </w:r>
      <w:r>
        <w:rPr>
          <w:rFonts w:hint="cs"/>
          <w:rtl/>
          <w:lang w:bidi="ar-EG"/>
        </w:rPr>
        <w:t>للحصول على جواز سفر أسترالي، ذاكرة في الطلب أنها أنثى. ولم</w:t>
      </w:r>
      <w:r w:rsidR="003E1B5D">
        <w:rPr>
          <w:rFonts w:hint="eastAsia"/>
          <w:rtl/>
          <w:lang w:bidi="ar-EG"/>
        </w:rPr>
        <w:t> </w:t>
      </w:r>
      <w:r>
        <w:rPr>
          <w:rFonts w:hint="cs"/>
          <w:rtl/>
          <w:lang w:bidi="ar-EG"/>
        </w:rPr>
        <w:t>يكلل طلبها الأول للحصول على جواز سفر بالنجاح، إذ أنها لم تتمكن من الحصول على تغيير نوع الجنس المسجل في شهادة ميلادها بسبب الفرع 32 باء(1)</w:t>
      </w:r>
      <w:r w:rsidRPr="00991DFE">
        <w:rPr>
          <w:rFonts w:hint="cs"/>
          <w:rtl/>
          <w:lang w:bidi="ar-EG"/>
        </w:rPr>
        <w:t>(ج) من قانون تسجيل المواليد والوفيات والزيجات لعام 1995.</w:t>
      </w:r>
      <w:r>
        <w:rPr>
          <w:rFonts w:hint="cs"/>
          <w:rtl/>
          <w:lang w:bidi="ar-EG"/>
        </w:rPr>
        <w:t xml:space="preserve"> بيد أن محكمة الاستئنافات الإدارية أعادت، في مرحلة الاستئناف، طلب الحصول على جواز سفر إلى وزارة الشؤون الخارجية والتجارة مشفوعا</w:t>
      </w:r>
      <w:r w:rsidR="00322339">
        <w:rPr>
          <w:rFonts w:hint="cs"/>
          <w:rtl/>
          <w:lang w:bidi="ar-EG"/>
        </w:rPr>
        <w:t>ً</w:t>
      </w:r>
      <w:r>
        <w:rPr>
          <w:rFonts w:hint="cs"/>
          <w:rtl/>
          <w:lang w:bidi="ar-EG"/>
        </w:rPr>
        <w:t xml:space="preserve"> بتوجيه بإصدار جواز سفر لصاحبة البلاغ يُذكر فيه أن نوع جنسها أنثى. وغُيِّر تبعا</w:t>
      </w:r>
      <w:r w:rsidR="00322339">
        <w:rPr>
          <w:rFonts w:hint="cs"/>
          <w:rtl/>
          <w:lang w:bidi="ar-EG"/>
        </w:rPr>
        <w:t>ً</w:t>
      </w:r>
      <w:r>
        <w:rPr>
          <w:rFonts w:hint="cs"/>
          <w:rtl/>
          <w:lang w:bidi="ar-EG"/>
        </w:rPr>
        <w:t xml:space="preserve"> لذلك نوع الجنس في جواز سفر صاحبة البلاغ.</w:t>
      </w:r>
    </w:p>
    <w:p w:rsidR="00C9188E" w:rsidRDefault="00C9188E" w:rsidP="00C9188E">
      <w:pPr>
        <w:pStyle w:val="SingleTxtGA"/>
        <w:rPr>
          <w:rtl/>
          <w:lang w:bidi="ar-EG"/>
        </w:rPr>
      </w:pPr>
      <w:r>
        <w:rPr>
          <w:rFonts w:hint="cs"/>
          <w:rtl/>
          <w:lang w:bidi="ar-EG"/>
        </w:rPr>
        <w:t>4-2</w:t>
      </w:r>
      <w:r>
        <w:rPr>
          <w:rtl/>
          <w:lang w:bidi="ar-EG"/>
        </w:rPr>
        <w:tab/>
      </w:r>
      <w:r>
        <w:rPr>
          <w:rFonts w:hint="cs"/>
          <w:rtl/>
          <w:lang w:bidi="ar-EG"/>
        </w:rPr>
        <w:t>ولا تعترض الدولة الطرف على أن صاحبة البلاغ قد استنفدت سبل الانتصاف المحلية، بيد أنها تدفع بأنها ل</w:t>
      </w:r>
      <w:r>
        <w:rPr>
          <w:rFonts w:hint="eastAsia"/>
          <w:rtl/>
          <w:lang w:bidi="ar-EG"/>
        </w:rPr>
        <w:t>م</w:t>
      </w:r>
      <w:r>
        <w:rPr>
          <w:rFonts w:hint="cs"/>
          <w:rtl/>
          <w:lang w:bidi="ar-EG"/>
        </w:rPr>
        <w:t xml:space="preserve"> تقدم أدلة كافية تدعم ادعاءاته</w:t>
      </w:r>
      <w:r>
        <w:rPr>
          <w:rFonts w:hint="eastAsia"/>
          <w:rtl/>
          <w:lang w:bidi="ar-EG"/>
        </w:rPr>
        <w:t>ا</w:t>
      </w:r>
      <w:r>
        <w:rPr>
          <w:rFonts w:hint="cs"/>
          <w:rtl/>
          <w:lang w:bidi="ar-EG"/>
        </w:rPr>
        <w:t xml:space="preserve"> وبأن هذه الادعاءات ينبغي أن تعتبر غير مقبولة. ولم تثبت صاحبة البلاغ كيف أنها عانت من ضرر مباشر ومحدد يعزى إلى عدم تمكنها من تغيير نوع الجنس في شهادة ميلادها، سوى ذكرها بألفاظ عامة أنها تعاني من "معاملة سلبية" ووجدت "من الصعب عليها الحصول على عمل". وتحاج الدولة الطرف بأنه ليس ثمة دليل يثبت أنها تدخلت في خصوصية صاحبة البلاغ أو أسرتها بأي شكل. </w:t>
      </w:r>
    </w:p>
    <w:p w:rsidR="00C9188E" w:rsidRDefault="004D4977" w:rsidP="00C9188E">
      <w:pPr>
        <w:pStyle w:val="SingleTxtGA"/>
        <w:rPr>
          <w:rtl/>
          <w:lang w:bidi="ar-EG"/>
        </w:rPr>
      </w:pPr>
      <w:r>
        <w:rPr>
          <w:rFonts w:hint="cs"/>
          <w:rtl/>
          <w:lang w:bidi="ar-EG"/>
        </w:rPr>
        <w:t>4-3</w:t>
      </w:r>
      <w:r w:rsidR="00C9188E">
        <w:rPr>
          <w:rtl/>
          <w:lang w:bidi="ar-EG"/>
        </w:rPr>
        <w:tab/>
      </w:r>
      <w:r w:rsidR="00C9188E">
        <w:rPr>
          <w:rFonts w:hint="cs"/>
          <w:rtl/>
          <w:lang w:bidi="ar-EG"/>
        </w:rPr>
        <w:t>وتشير الدولة الطرف إلى أن صاحبة البلاغ حصلت على جواز سفر يحمل نوع جنسها الجديد وإلى أن شهادات الميلاد، وإن كانت تعد وثائق أساسية في أستراليا، فإن الظروف التي قد يطلب فيها منها من الناحية العملية إبراز شهادة ميلادها كوسيلة أساسية لإثبات هويتها قليلة جدا</w:t>
      </w:r>
      <w:r w:rsidR="00322339">
        <w:rPr>
          <w:rFonts w:hint="cs"/>
          <w:rtl/>
          <w:lang w:bidi="ar-EG"/>
        </w:rPr>
        <w:t>ً</w:t>
      </w:r>
      <w:r w:rsidR="00C9188E">
        <w:rPr>
          <w:rFonts w:hint="cs"/>
          <w:rtl/>
          <w:lang w:bidi="ar-EG"/>
        </w:rPr>
        <w:t xml:space="preserve">. فعلى سبيل المثال، لا تحدد رخص قيادة السيارات في نيو </w:t>
      </w:r>
      <w:proofErr w:type="spellStart"/>
      <w:r w:rsidR="00C9188E">
        <w:rPr>
          <w:rFonts w:hint="cs"/>
          <w:rtl/>
          <w:lang w:bidi="ar-EG"/>
        </w:rPr>
        <w:t>ثاوث</w:t>
      </w:r>
      <w:proofErr w:type="spellEnd"/>
      <w:r w:rsidR="00C9188E">
        <w:rPr>
          <w:rFonts w:hint="cs"/>
          <w:rtl/>
          <w:lang w:bidi="ar-EG"/>
        </w:rPr>
        <w:t xml:space="preserve"> ويلز نوع الجنس وتُمنح جوازات السفر نفس "القيمة" التي تُمنح لشهادات الميلاد بموجب قانون تقارير المعاملات المالية لعام 1988.</w:t>
      </w:r>
    </w:p>
    <w:p w:rsidR="00C9188E" w:rsidRDefault="00C9188E" w:rsidP="00C9188E">
      <w:pPr>
        <w:pStyle w:val="SingleTxtGA"/>
        <w:rPr>
          <w:rtl/>
          <w:lang w:bidi="ar-EG"/>
        </w:rPr>
      </w:pPr>
      <w:r>
        <w:rPr>
          <w:rFonts w:hint="cs"/>
          <w:rtl/>
          <w:lang w:bidi="ar-EG"/>
        </w:rPr>
        <w:lastRenderedPageBreak/>
        <w:t>4-4</w:t>
      </w:r>
      <w:r>
        <w:rPr>
          <w:rtl/>
          <w:lang w:bidi="ar-EG"/>
        </w:rPr>
        <w:tab/>
      </w:r>
      <w:r>
        <w:rPr>
          <w:rFonts w:hint="cs"/>
          <w:rtl/>
          <w:lang w:bidi="ar-EG"/>
        </w:rPr>
        <w:t>وإذا رأت اللجنة أن الادعاءات مقبولة، فينغي اعتبارها بلا أساس. وبشأن الادعاءات بموجب المادة 17، لا تعترض الدولة الطرف على أن الخصوصية بموجب هذا الحكم تشمل حماية هوية الشخص المعني، على سبيل المثال هويته الجنسانية. بيد أن هذه المادة لا تنشئ "حقا</w:t>
      </w:r>
      <w:r w:rsidR="00322339">
        <w:rPr>
          <w:rFonts w:hint="cs"/>
          <w:rtl/>
          <w:lang w:bidi="ar-EG"/>
        </w:rPr>
        <w:t>ً</w:t>
      </w:r>
      <w:r>
        <w:rPr>
          <w:rFonts w:hint="cs"/>
          <w:rtl/>
          <w:lang w:bidi="ar-EG"/>
        </w:rPr>
        <w:t xml:space="preserve"> في الخصوصية" بل حقا</w:t>
      </w:r>
      <w:r w:rsidR="00322339">
        <w:rPr>
          <w:rFonts w:hint="cs"/>
          <w:rtl/>
          <w:lang w:bidi="ar-EG"/>
        </w:rPr>
        <w:t>ً</w:t>
      </w:r>
      <w:r>
        <w:rPr>
          <w:rFonts w:hint="cs"/>
          <w:rtl/>
          <w:lang w:bidi="ar-EG"/>
        </w:rPr>
        <w:t xml:space="preserve"> في عدم التعرض للتدخل التعسفي وغير القانوني في الخصوصية. ويعني مصطلح "غير قانوني" عدم حدوث أي تدخل إلا في الحالات المنصوص عليها في القانون. وفيما يخص إن كان ثمة تدخل غير قانوني في خصوصية صاحبة البلاغ، لا يشكل قانون تسجيل المواليد والوفيات والزيجات لعام 1995 تدخلا</w:t>
      </w:r>
      <w:r w:rsidR="00322339">
        <w:rPr>
          <w:rFonts w:hint="cs"/>
          <w:rtl/>
          <w:lang w:bidi="ar-EG"/>
        </w:rPr>
        <w:t>ً</w:t>
      </w:r>
      <w:r>
        <w:rPr>
          <w:rFonts w:hint="cs"/>
          <w:rtl/>
          <w:lang w:bidi="ar-EG"/>
        </w:rPr>
        <w:t xml:space="preserve"> غير قانوني في الخصوصية.</w:t>
      </w:r>
    </w:p>
    <w:p w:rsidR="00C9188E" w:rsidRDefault="00C9188E" w:rsidP="00C34C06">
      <w:pPr>
        <w:pStyle w:val="SingleTxtGA"/>
        <w:rPr>
          <w:rtl/>
          <w:lang w:bidi="ar-EG"/>
        </w:rPr>
      </w:pPr>
      <w:r>
        <w:rPr>
          <w:rFonts w:hint="cs"/>
          <w:rtl/>
          <w:lang w:bidi="ar-EG"/>
        </w:rPr>
        <w:t>4-5</w:t>
      </w:r>
      <w:r>
        <w:rPr>
          <w:rtl/>
          <w:lang w:bidi="ar-EG"/>
        </w:rPr>
        <w:tab/>
      </w:r>
      <w:r>
        <w:rPr>
          <w:rFonts w:hint="cs"/>
          <w:rtl/>
          <w:lang w:bidi="ar-EG"/>
        </w:rPr>
        <w:t xml:space="preserve">وتشير </w:t>
      </w:r>
      <w:r w:rsidRPr="007574C5">
        <w:rPr>
          <w:rFonts w:hint="cs"/>
          <w:i/>
          <w:iCs/>
          <w:rtl/>
          <w:lang w:bidi="ar-EG"/>
        </w:rPr>
        <w:t>الأعمال التحضيرية</w:t>
      </w:r>
      <w:r>
        <w:rPr>
          <w:rFonts w:hint="cs"/>
          <w:rtl/>
          <w:lang w:bidi="ar-EG"/>
        </w:rPr>
        <w:t xml:space="preserve"> إلى أن مصطلح "تعسفي" الوارد في المادة 17 يُقصد منه تغطية التدخلات غير المعقولة</w:t>
      </w:r>
      <w:r w:rsidR="00C34C06">
        <w:rPr>
          <w:rStyle w:val="FootnoteReference"/>
          <w:sz w:val="30"/>
          <w:rtl/>
          <w:lang w:bidi="ar-EG"/>
        </w:rPr>
        <w:t>(</w:t>
      </w:r>
      <w:r w:rsidR="00C34C06">
        <w:rPr>
          <w:rStyle w:val="FootnoteReference"/>
          <w:sz w:val="30"/>
          <w:rtl/>
          <w:lang w:bidi="ar-EG"/>
        </w:rPr>
        <w:footnoteReference w:id="14"/>
      </w:r>
      <w:r w:rsidR="00C34C06">
        <w:rPr>
          <w:rStyle w:val="FootnoteReference"/>
          <w:sz w:val="30"/>
          <w:rtl/>
          <w:lang w:bidi="ar-EG"/>
        </w:rPr>
        <w:t>)</w:t>
      </w:r>
      <w:r w:rsidR="00C34C06">
        <w:rPr>
          <w:rFonts w:hint="cs"/>
          <w:rtl/>
          <w:lang w:bidi="ar-EG"/>
        </w:rPr>
        <w:t>.</w:t>
      </w:r>
      <w:r>
        <w:rPr>
          <w:rFonts w:hint="cs"/>
          <w:rtl/>
          <w:lang w:bidi="ar-EG"/>
        </w:rPr>
        <w:t xml:space="preserve"> ويتضمن مصطلح "تعسفي" </w:t>
      </w:r>
      <w:r w:rsidR="002634C6">
        <w:rPr>
          <w:rFonts w:hint="cs"/>
          <w:rtl/>
          <w:lang w:bidi="ar-EG"/>
        </w:rPr>
        <w:t>أيضاً</w:t>
      </w:r>
      <w:r>
        <w:rPr>
          <w:rFonts w:hint="cs"/>
          <w:rtl/>
          <w:lang w:bidi="ar-EG"/>
        </w:rPr>
        <w:t xml:space="preserve"> عناصر من عدم العدالة وعدم القدرة على التنبؤ. وتفسر الدولة الطرف التدخلات "المعقولة" في الخصوصية بأنها تدابير تستند إلى معايير معقولة وموضوعية وتتناسب مع الغرض المنشود منها</w:t>
      </w:r>
      <w:r w:rsidR="00C34C06">
        <w:rPr>
          <w:rStyle w:val="FootnoteReference"/>
          <w:sz w:val="30"/>
          <w:rtl/>
          <w:lang w:bidi="ar-EG"/>
        </w:rPr>
        <w:t>(</w:t>
      </w:r>
      <w:r w:rsidR="00C34C06">
        <w:rPr>
          <w:rStyle w:val="FootnoteReference"/>
          <w:sz w:val="30"/>
          <w:rtl/>
          <w:lang w:bidi="ar-EG"/>
        </w:rPr>
        <w:footnoteReference w:id="15"/>
      </w:r>
      <w:r w:rsidR="00C34C06">
        <w:rPr>
          <w:rStyle w:val="FootnoteReference"/>
          <w:sz w:val="30"/>
          <w:rtl/>
          <w:lang w:bidi="ar-EG"/>
        </w:rPr>
        <w:t>)</w:t>
      </w:r>
      <w:r w:rsidR="00C34C06">
        <w:rPr>
          <w:rFonts w:hint="cs"/>
          <w:rtl/>
          <w:lang w:bidi="ar-EG"/>
        </w:rPr>
        <w:t xml:space="preserve">. </w:t>
      </w:r>
    </w:p>
    <w:p w:rsidR="00C9188E" w:rsidRPr="00804676" w:rsidRDefault="00C9188E" w:rsidP="005562E4">
      <w:pPr>
        <w:pStyle w:val="SingleTxtGA"/>
        <w:rPr>
          <w:spacing w:val="-6"/>
          <w:rtl/>
          <w:lang w:bidi="ar-EG"/>
        </w:rPr>
      </w:pPr>
      <w:r w:rsidRPr="00804676">
        <w:rPr>
          <w:rFonts w:hint="cs"/>
          <w:spacing w:val="-6"/>
          <w:rtl/>
          <w:lang w:bidi="ar-EG"/>
        </w:rPr>
        <w:t>4-6</w:t>
      </w:r>
      <w:r w:rsidRPr="00804676">
        <w:rPr>
          <w:spacing w:val="-6"/>
          <w:rtl/>
          <w:lang w:bidi="ar-EG"/>
        </w:rPr>
        <w:tab/>
      </w:r>
      <w:r w:rsidRPr="00804676">
        <w:rPr>
          <w:rFonts w:hint="cs"/>
          <w:spacing w:val="-6"/>
          <w:rtl/>
          <w:lang w:bidi="ar-EG"/>
        </w:rPr>
        <w:t>ولا يتضح من ادعاءات صاحبة البلاغ إن كانت تشير إلى التدخل في الخصوصية في الظروف التي تطلب فيها مؤسسات أو أفراد شهادة ميلادها، أو التدخل في الخصوصية ف</w:t>
      </w:r>
      <w:r w:rsidR="00354953" w:rsidRPr="00804676">
        <w:rPr>
          <w:rFonts w:hint="cs"/>
          <w:spacing w:val="-6"/>
          <w:rtl/>
          <w:lang w:bidi="ar-EG"/>
        </w:rPr>
        <w:t xml:space="preserve">يما يتعلق بتطبيق الفرعين 32 باء(1)(ج) و32 </w:t>
      </w:r>
      <w:proofErr w:type="gramStart"/>
      <w:r w:rsidR="00354953" w:rsidRPr="00804676">
        <w:rPr>
          <w:rFonts w:hint="cs"/>
          <w:spacing w:val="-6"/>
          <w:rtl/>
          <w:lang w:bidi="ar-EG"/>
        </w:rPr>
        <w:t>دال</w:t>
      </w:r>
      <w:r w:rsidRPr="00804676">
        <w:rPr>
          <w:rFonts w:hint="cs"/>
          <w:spacing w:val="-6"/>
          <w:rtl/>
          <w:lang w:bidi="ar-EG"/>
        </w:rPr>
        <w:t>(</w:t>
      </w:r>
      <w:proofErr w:type="gramEnd"/>
      <w:r w:rsidRPr="00804676">
        <w:rPr>
          <w:rFonts w:hint="cs"/>
          <w:spacing w:val="-6"/>
          <w:rtl/>
          <w:lang w:bidi="ar-EG"/>
        </w:rPr>
        <w:t xml:space="preserve">3) من </w:t>
      </w:r>
      <w:bookmarkStart w:id="1" w:name="_Hlk491420359"/>
      <w:r w:rsidRPr="00804676">
        <w:rPr>
          <w:rFonts w:hint="cs"/>
          <w:spacing w:val="-6"/>
          <w:rtl/>
          <w:lang w:bidi="ar-EG"/>
        </w:rPr>
        <w:t>قانون تسجيل المواليد والوفيات والزيجات لعام</w:t>
      </w:r>
      <w:r w:rsidR="005562E4" w:rsidRPr="00804676">
        <w:rPr>
          <w:rFonts w:hint="eastAsia"/>
          <w:spacing w:val="-6"/>
          <w:rtl/>
          <w:lang w:bidi="ar-EG"/>
        </w:rPr>
        <w:t> </w:t>
      </w:r>
      <w:r w:rsidRPr="00804676">
        <w:rPr>
          <w:rFonts w:hint="cs"/>
          <w:spacing w:val="-6"/>
          <w:rtl/>
          <w:lang w:bidi="ar-EG"/>
        </w:rPr>
        <w:t>1995</w:t>
      </w:r>
      <w:bookmarkEnd w:id="1"/>
      <w:r w:rsidRPr="00804676">
        <w:rPr>
          <w:rFonts w:hint="cs"/>
          <w:spacing w:val="-6"/>
          <w:rtl/>
          <w:lang w:bidi="ar-EG"/>
        </w:rPr>
        <w:t>. وفي هذا الصدد، عجزت صاحبة البلاغ عن أن تسوق أمثلة واضحة للحالات التي حدث فيها تدخل فعلي في خصوصيتها، على النحو المشار إليه. و</w:t>
      </w:r>
      <w:r w:rsidR="002634C6" w:rsidRPr="00804676">
        <w:rPr>
          <w:rFonts w:hint="cs"/>
          <w:spacing w:val="-6"/>
          <w:rtl/>
          <w:lang w:bidi="ar-EG"/>
        </w:rPr>
        <w:t>فضلاً</w:t>
      </w:r>
      <w:r w:rsidRPr="00804676">
        <w:rPr>
          <w:rFonts w:hint="cs"/>
          <w:spacing w:val="-6"/>
          <w:rtl/>
          <w:lang w:bidi="ar-EG"/>
        </w:rPr>
        <w:t xml:space="preserve"> عن ذلك، لا يكون التدخل في الخصوصية تعسفيا</w:t>
      </w:r>
      <w:r w:rsidR="00322339">
        <w:rPr>
          <w:rFonts w:hint="cs"/>
          <w:spacing w:val="-6"/>
          <w:rtl/>
          <w:lang w:bidi="ar-EG"/>
        </w:rPr>
        <w:t>ً</w:t>
      </w:r>
      <w:r w:rsidRPr="00804676">
        <w:rPr>
          <w:rFonts w:hint="cs"/>
          <w:spacing w:val="-6"/>
          <w:rtl/>
          <w:lang w:bidi="ar-EG"/>
        </w:rPr>
        <w:t xml:space="preserve"> عندما يستند إلى معايير معقولة وموضوعية تتناسب مع الغرض المنشود منه.</w:t>
      </w:r>
    </w:p>
    <w:p w:rsidR="00C9188E" w:rsidRDefault="00C9188E" w:rsidP="00AF3549">
      <w:pPr>
        <w:pStyle w:val="SingleTxtGA"/>
        <w:rPr>
          <w:rtl/>
          <w:lang w:bidi="ar-EG"/>
        </w:rPr>
      </w:pPr>
      <w:r>
        <w:rPr>
          <w:rFonts w:hint="cs"/>
          <w:rtl/>
          <w:lang w:bidi="ar-EG"/>
        </w:rPr>
        <w:t>4-7</w:t>
      </w:r>
      <w:r>
        <w:rPr>
          <w:rtl/>
          <w:lang w:bidi="ar-EG"/>
        </w:rPr>
        <w:tab/>
      </w:r>
      <w:r w:rsidR="00385099">
        <w:rPr>
          <w:rFonts w:hint="cs"/>
          <w:rtl/>
          <w:lang w:bidi="ar-EG"/>
        </w:rPr>
        <w:t>وأُدخِل الفرع 32 باء</w:t>
      </w:r>
      <w:r>
        <w:rPr>
          <w:rFonts w:hint="cs"/>
          <w:rtl/>
          <w:lang w:bidi="ar-EG"/>
        </w:rPr>
        <w:t xml:space="preserve">(1)(ج) في </w:t>
      </w:r>
      <w:bookmarkStart w:id="2" w:name="_Hlk491422189"/>
      <w:r>
        <w:rPr>
          <w:rFonts w:hint="cs"/>
          <w:rtl/>
          <w:lang w:bidi="ar-EG"/>
        </w:rPr>
        <w:t>قانون تسجيل المواليد والوفيات والزيجات لعام</w:t>
      </w:r>
      <w:r w:rsidR="00AF3549">
        <w:rPr>
          <w:rFonts w:hint="eastAsia"/>
          <w:rtl/>
          <w:lang w:bidi="ar-EG"/>
        </w:rPr>
        <w:t> </w:t>
      </w:r>
      <w:r>
        <w:rPr>
          <w:rFonts w:hint="cs"/>
          <w:rtl/>
          <w:lang w:bidi="ar-EG"/>
        </w:rPr>
        <w:t>1995</w:t>
      </w:r>
      <w:bookmarkEnd w:id="2"/>
      <w:r>
        <w:rPr>
          <w:rFonts w:hint="cs"/>
          <w:rtl/>
          <w:lang w:bidi="ar-EG"/>
        </w:rPr>
        <w:t xml:space="preserve"> بموجب تعديل قانون نيو </w:t>
      </w:r>
      <w:proofErr w:type="spellStart"/>
      <w:r>
        <w:rPr>
          <w:rFonts w:hint="cs"/>
          <w:rtl/>
          <w:lang w:bidi="ar-EG"/>
        </w:rPr>
        <w:t>ثاوث</w:t>
      </w:r>
      <w:proofErr w:type="spellEnd"/>
      <w:r>
        <w:rPr>
          <w:rFonts w:hint="cs"/>
          <w:rtl/>
          <w:lang w:bidi="ar-EG"/>
        </w:rPr>
        <w:t xml:space="preserve"> ويلز بشأن مغايري الهوية الجنسانية (قانون مكافحة التمييز وقوانين أخرى) لعام 1996 لضمان تطبيق التعديلات التي تكفل لبعض مغايري الهوية الجنسانية الحق في طلب الحصول على شهادات ميلاد جديدة تُبيِّن نوع جنسهم الجدي</w:t>
      </w:r>
      <w:r w:rsidR="000053EF">
        <w:rPr>
          <w:rFonts w:hint="cs"/>
          <w:rtl/>
          <w:lang w:bidi="ar-EG"/>
        </w:rPr>
        <w:t>د تطبيقا</w:t>
      </w:r>
      <w:r w:rsidR="00322339">
        <w:rPr>
          <w:rFonts w:hint="cs"/>
          <w:rtl/>
          <w:lang w:bidi="ar-EG"/>
        </w:rPr>
        <w:t>ً</w:t>
      </w:r>
      <w:r w:rsidR="000053EF">
        <w:rPr>
          <w:rFonts w:hint="cs"/>
          <w:rtl/>
          <w:lang w:bidi="ar-EG"/>
        </w:rPr>
        <w:t xml:space="preserve"> منتظما</w:t>
      </w:r>
      <w:r w:rsidR="00322339">
        <w:rPr>
          <w:rFonts w:hint="cs"/>
          <w:rtl/>
          <w:lang w:bidi="ar-EG"/>
        </w:rPr>
        <w:t>ً</w:t>
      </w:r>
      <w:r w:rsidR="000053EF">
        <w:rPr>
          <w:rFonts w:hint="cs"/>
          <w:rtl/>
          <w:lang w:bidi="ar-EG"/>
        </w:rPr>
        <w:t xml:space="preserve"> في إطار الفرع 5</w:t>
      </w:r>
      <w:r>
        <w:rPr>
          <w:rFonts w:hint="cs"/>
          <w:rtl/>
          <w:lang w:bidi="ar-EG"/>
        </w:rPr>
        <w:t>(1) من قانون الزواج لعام 1961 الذي يعرِّف الزواج بأنه بين رجل وامرأه. وكما أُشير في خطاب القراءة الثانية ل</w:t>
      </w:r>
      <w:r w:rsidRPr="00A427F9">
        <w:rPr>
          <w:rFonts w:hint="cs"/>
          <w:rtl/>
          <w:lang w:bidi="ar-EG"/>
        </w:rPr>
        <w:t>قانون</w:t>
      </w:r>
      <w:r w:rsidRPr="00A427F9">
        <w:rPr>
          <w:rtl/>
          <w:lang w:bidi="ar-EG"/>
        </w:rPr>
        <w:t xml:space="preserve"> </w:t>
      </w:r>
      <w:r w:rsidRPr="00A427F9">
        <w:rPr>
          <w:rFonts w:hint="cs"/>
          <w:rtl/>
          <w:lang w:bidi="ar-EG"/>
        </w:rPr>
        <w:t>نيو</w:t>
      </w:r>
      <w:r w:rsidRPr="00A427F9">
        <w:rPr>
          <w:rtl/>
          <w:lang w:bidi="ar-EG"/>
        </w:rPr>
        <w:t xml:space="preserve"> </w:t>
      </w:r>
      <w:proofErr w:type="spellStart"/>
      <w:r w:rsidRPr="00A427F9">
        <w:rPr>
          <w:rFonts w:hint="cs"/>
          <w:rtl/>
          <w:lang w:bidi="ar-EG"/>
        </w:rPr>
        <w:t>ثاوث</w:t>
      </w:r>
      <w:proofErr w:type="spellEnd"/>
      <w:r w:rsidRPr="00A427F9">
        <w:rPr>
          <w:rtl/>
          <w:lang w:bidi="ar-EG"/>
        </w:rPr>
        <w:t xml:space="preserve"> </w:t>
      </w:r>
      <w:r w:rsidRPr="00A427F9">
        <w:rPr>
          <w:rFonts w:hint="cs"/>
          <w:rtl/>
          <w:lang w:bidi="ar-EG"/>
        </w:rPr>
        <w:t>ويلز</w:t>
      </w:r>
      <w:r w:rsidRPr="00A427F9">
        <w:rPr>
          <w:rtl/>
          <w:lang w:bidi="ar-EG"/>
        </w:rPr>
        <w:t xml:space="preserve"> </w:t>
      </w:r>
      <w:r w:rsidRPr="00A427F9">
        <w:rPr>
          <w:rFonts w:hint="cs"/>
          <w:rtl/>
          <w:lang w:bidi="ar-EG"/>
        </w:rPr>
        <w:t>بشأن</w:t>
      </w:r>
      <w:r w:rsidRPr="00A427F9">
        <w:rPr>
          <w:rtl/>
          <w:lang w:bidi="ar-EG"/>
        </w:rPr>
        <w:t xml:space="preserve"> </w:t>
      </w:r>
      <w:r w:rsidRPr="00A427F9">
        <w:rPr>
          <w:rFonts w:hint="cs"/>
          <w:rtl/>
          <w:lang w:bidi="ar-EG"/>
        </w:rPr>
        <w:t>مغايري</w:t>
      </w:r>
      <w:r w:rsidRPr="00A427F9">
        <w:rPr>
          <w:rtl/>
          <w:lang w:bidi="ar-EG"/>
        </w:rPr>
        <w:t xml:space="preserve"> </w:t>
      </w:r>
      <w:r w:rsidRPr="00A427F9">
        <w:rPr>
          <w:rFonts w:hint="cs"/>
          <w:rtl/>
          <w:lang w:bidi="ar-EG"/>
        </w:rPr>
        <w:t>الهوية</w:t>
      </w:r>
      <w:r w:rsidRPr="00A427F9">
        <w:rPr>
          <w:rtl/>
          <w:lang w:bidi="ar-EG"/>
        </w:rPr>
        <w:t xml:space="preserve"> </w:t>
      </w:r>
      <w:r w:rsidRPr="00A427F9">
        <w:rPr>
          <w:rFonts w:hint="cs"/>
          <w:rtl/>
          <w:lang w:bidi="ar-EG"/>
        </w:rPr>
        <w:t>الجنسانية</w:t>
      </w:r>
      <w:r w:rsidRPr="00A427F9">
        <w:rPr>
          <w:rtl/>
          <w:lang w:bidi="ar-EG"/>
        </w:rPr>
        <w:t xml:space="preserve"> (</w:t>
      </w:r>
      <w:r w:rsidRPr="00A427F9">
        <w:rPr>
          <w:rFonts w:hint="cs"/>
          <w:rtl/>
          <w:lang w:bidi="ar-EG"/>
        </w:rPr>
        <w:t>قانون</w:t>
      </w:r>
      <w:r w:rsidRPr="00A427F9">
        <w:rPr>
          <w:rtl/>
          <w:lang w:bidi="ar-EG"/>
        </w:rPr>
        <w:t xml:space="preserve"> </w:t>
      </w:r>
      <w:r w:rsidRPr="00A427F9">
        <w:rPr>
          <w:rFonts w:hint="cs"/>
          <w:rtl/>
          <w:lang w:bidi="ar-EG"/>
        </w:rPr>
        <w:t>مكافحة</w:t>
      </w:r>
      <w:r w:rsidRPr="00A427F9">
        <w:rPr>
          <w:rtl/>
          <w:lang w:bidi="ar-EG"/>
        </w:rPr>
        <w:t xml:space="preserve"> </w:t>
      </w:r>
      <w:r w:rsidRPr="00A427F9">
        <w:rPr>
          <w:rFonts w:hint="cs"/>
          <w:rtl/>
          <w:lang w:bidi="ar-EG"/>
        </w:rPr>
        <w:t>التمييز</w:t>
      </w:r>
      <w:r w:rsidRPr="00A427F9">
        <w:rPr>
          <w:rtl/>
          <w:lang w:bidi="ar-EG"/>
        </w:rPr>
        <w:t xml:space="preserve"> </w:t>
      </w:r>
      <w:r w:rsidRPr="00A427F9">
        <w:rPr>
          <w:rFonts w:hint="cs"/>
          <w:rtl/>
          <w:lang w:bidi="ar-EG"/>
        </w:rPr>
        <w:t>وقوانين</w:t>
      </w:r>
      <w:r w:rsidRPr="00A427F9">
        <w:rPr>
          <w:rtl/>
          <w:lang w:bidi="ar-EG"/>
        </w:rPr>
        <w:t xml:space="preserve"> </w:t>
      </w:r>
      <w:r w:rsidRPr="00A427F9">
        <w:rPr>
          <w:rFonts w:hint="cs"/>
          <w:rtl/>
          <w:lang w:bidi="ar-EG"/>
        </w:rPr>
        <w:t>أخرى</w:t>
      </w:r>
      <w:r w:rsidRPr="00A427F9">
        <w:rPr>
          <w:rtl/>
          <w:lang w:bidi="ar-EG"/>
        </w:rPr>
        <w:t xml:space="preserve">) </w:t>
      </w:r>
      <w:r w:rsidRPr="00A427F9">
        <w:rPr>
          <w:rFonts w:hint="cs"/>
          <w:rtl/>
          <w:lang w:bidi="ar-EG"/>
        </w:rPr>
        <w:t>لعام</w:t>
      </w:r>
      <w:r w:rsidR="006C450A">
        <w:rPr>
          <w:rFonts w:hint="cs"/>
          <w:rtl/>
          <w:lang w:bidi="ar-EG"/>
        </w:rPr>
        <w:t xml:space="preserve"> 1996 "</w:t>
      </w:r>
      <w:r>
        <w:rPr>
          <w:rFonts w:hint="cs"/>
          <w:rtl/>
          <w:lang w:bidi="ar-EG"/>
        </w:rPr>
        <w:t xml:space="preserve">لا يُرمى من </w:t>
      </w:r>
      <w:r w:rsidR="00D74D60">
        <w:rPr>
          <w:rFonts w:hint="cs"/>
          <w:rtl/>
          <w:lang w:bidi="ar-EG"/>
        </w:rPr>
        <w:t>القانون إبطال أحكام قانون الكوم</w:t>
      </w:r>
      <w:r>
        <w:rPr>
          <w:rFonts w:hint="cs"/>
          <w:rtl/>
          <w:lang w:bidi="ar-EG"/>
        </w:rPr>
        <w:t>نولث بشأن الزواج. ولذلك، لن تُصدر شهادة جديدة لمقدم الطلب إن كان متزوجا</w:t>
      </w:r>
      <w:r w:rsidR="0009191C">
        <w:rPr>
          <w:rFonts w:hint="cs"/>
          <w:rtl/>
          <w:lang w:bidi="ar-EG"/>
        </w:rPr>
        <w:t>ً</w:t>
      </w:r>
      <w:r>
        <w:rPr>
          <w:rFonts w:hint="cs"/>
          <w:rtl/>
          <w:lang w:bidi="ar-EG"/>
        </w:rPr>
        <w:t>"</w:t>
      </w:r>
      <w:r w:rsidR="00C34C06" w:rsidRPr="00C34C06">
        <w:rPr>
          <w:rFonts w:hint="cs"/>
          <w:vertAlign w:val="superscript"/>
          <w:rtl/>
          <w:lang w:bidi="ar-EG"/>
        </w:rPr>
        <w:t>(</w:t>
      </w:r>
      <w:r w:rsidR="00C34C06" w:rsidRPr="00C34C06">
        <w:rPr>
          <w:rStyle w:val="FootnoteReference"/>
          <w:sz w:val="30"/>
          <w:rtl/>
          <w:lang w:bidi="ar-EG"/>
        </w:rPr>
        <w:footnoteReference w:id="16"/>
      </w:r>
      <w:r w:rsidR="00C34C06" w:rsidRPr="00C34C06">
        <w:rPr>
          <w:rFonts w:hint="cs"/>
          <w:vertAlign w:val="superscript"/>
          <w:rtl/>
          <w:lang w:bidi="ar-EG"/>
        </w:rPr>
        <w:t>)</w:t>
      </w:r>
      <w:r w:rsidR="00C34C06">
        <w:rPr>
          <w:rFonts w:hint="cs"/>
          <w:rtl/>
          <w:lang w:bidi="ar-EG"/>
        </w:rPr>
        <w:t>.</w:t>
      </w:r>
    </w:p>
    <w:p w:rsidR="00C9188E" w:rsidRDefault="00C9188E" w:rsidP="003213F1">
      <w:pPr>
        <w:pStyle w:val="SingleTxtGA"/>
        <w:rPr>
          <w:rtl/>
          <w:lang w:bidi="ar-EG"/>
        </w:rPr>
      </w:pPr>
      <w:r>
        <w:rPr>
          <w:rFonts w:hint="cs"/>
          <w:rtl/>
          <w:lang w:bidi="ar-EG"/>
        </w:rPr>
        <w:t>4-8</w:t>
      </w:r>
      <w:r>
        <w:rPr>
          <w:rtl/>
          <w:lang w:bidi="ar-EG"/>
        </w:rPr>
        <w:tab/>
      </w:r>
      <w:r>
        <w:rPr>
          <w:rFonts w:hint="cs"/>
          <w:rtl/>
          <w:lang w:bidi="ar-EG"/>
        </w:rPr>
        <w:t>وتعيد الدولة الطرف التأكيد على أن أي تدخل متصور في خصوصية صاحبة البلاغ لم</w:t>
      </w:r>
      <w:r w:rsidR="003213F1">
        <w:rPr>
          <w:rFonts w:hint="eastAsia"/>
          <w:rtl/>
          <w:lang w:bidi="ar-EG"/>
        </w:rPr>
        <w:t> </w:t>
      </w:r>
      <w:r>
        <w:rPr>
          <w:rFonts w:hint="cs"/>
          <w:rtl/>
          <w:lang w:bidi="ar-EG"/>
        </w:rPr>
        <w:t>يُدعم بأدلة كافية. وحتى إن رأت اللجنة أن تدخلا</w:t>
      </w:r>
      <w:r w:rsidR="00322339">
        <w:rPr>
          <w:rFonts w:hint="cs"/>
          <w:rtl/>
          <w:lang w:bidi="ar-EG"/>
        </w:rPr>
        <w:t>ً</w:t>
      </w:r>
      <w:r>
        <w:rPr>
          <w:rFonts w:hint="cs"/>
          <w:rtl/>
          <w:lang w:bidi="ar-EG"/>
        </w:rPr>
        <w:t xml:space="preserve"> قد حدث، فإنه لا يفتقر </w:t>
      </w:r>
      <w:r w:rsidR="003213F1">
        <w:rPr>
          <w:rFonts w:hint="cs"/>
          <w:rtl/>
          <w:lang w:bidi="ar-EG"/>
        </w:rPr>
        <w:t>إلى التناسب. ويقوم الفرع 32 باء(1)(ج) والفرع 32 دال</w:t>
      </w:r>
      <w:r>
        <w:rPr>
          <w:rFonts w:hint="cs"/>
          <w:rtl/>
          <w:lang w:bidi="ar-EG"/>
        </w:rPr>
        <w:t>(3) من قانون تسجيل المواليد والوفيات والزيجات لعام 1995 على هدف مشروع بموجب العهد</w:t>
      </w:r>
      <w:r w:rsidR="00C34C06" w:rsidRPr="00C34C06">
        <w:rPr>
          <w:rFonts w:hint="cs"/>
          <w:vertAlign w:val="superscript"/>
          <w:rtl/>
          <w:lang w:bidi="ar-EG"/>
        </w:rPr>
        <w:t>(</w:t>
      </w:r>
      <w:r w:rsidRPr="00C34C06">
        <w:rPr>
          <w:rStyle w:val="FootnoteReference"/>
          <w:sz w:val="30"/>
          <w:rtl/>
          <w:lang w:bidi="ar-EG"/>
        </w:rPr>
        <w:footnoteReference w:id="17"/>
      </w:r>
      <w:r w:rsidR="00C34C06" w:rsidRPr="00C34C06">
        <w:rPr>
          <w:rFonts w:hint="cs"/>
          <w:vertAlign w:val="superscript"/>
          <w:rtl/>
          <w:lang w:bidi="ar-EG"/>
        </w:rPr>
        <w:t>)</w:t>
      </w:r>
      <w:r>
        <w:rPr>
          <w:rFonts w:hint="cs"/>
          <w:rtl/>
          <w:lang w:bidi="ar-EG"/>
        </w:rPr>
        <w:t xml:space="preserve"> وهما معقولان ومتناسبان مع غرض كفالة الاتساق مع تعريف الزواج الوارد في قانون الزواج لعام 1961.</w:t>
      </w:r>
    </w:p>
    <w:p w:rsidR="00C9188E" w:rsidRDefault="00C9188E" w:rsidP="00C9188E">
      <w:pPr>
        <w:pStyle w:val="SingleTxtGA"/>
        <w:rPr>
          <w:rtl/>
          <w:lang w:bidi="ar-EG"/>
        </w:rPr>
      </w:pPr>
      <w:r>
        <w:rPr>
          <w:rFonts w:hint="cs"/>
          <w:rtl/>
          <w:lang w:bidi="ar-EG"/>
        </w:rPr>
        <w:lastRenderedPageBreak/>
        <w:t>4-9</w:t>
      </w:r>
      <w:r>
        <w:rPr>
          <w:rtl/>
          <w:lang w:bidi="ar-EG"/>
        </w:rPr>
        <w:tab/>
      </w:r>
      <w:r>
        <w:rPr>
          <w:rFonts w:hint="cs"/>
          <w:rtl/>
          <w:lang w:bidi="ar-EG"/>
        </w:rPr>
        <w:t xml:space="preserve">وعلى غرار ذلك، إذا وجدت اللجنة أن ادعاءات صاحبة البلاغ بشأن التدخل في أسرتها بموجب المادة 17 مقبولة، فإن هذا التدخل لم يحدث، فأستراليا لم تجبر صاحبة البلاغ </w:t>
      </w:r>
      <w:r w:rsidRPr="00E51907">
        <w:rPr>
          <w:rFonts w:hint="cs"/>
          <w:spacing w:val="-4"/>
          <w:rtl/>
          <w:lang w:bidi="ar-EG"/>
        </w:rPr>
        <w:t xml:space="preserve">على تغيير ظروف عائلتها ولم يحدث أي تدخل في أسرتها بموجب </w:t>
      </w:r>
      <w:bookmarkStart w:id="3" w:name="_Hlk491508853"/>
      <w:r w:rsidRPr="00E51907">
        <w:rPr>
          <w:rFonts w:hint="cs"/>
          <w:spacing w:val="-4"/>
          <w:rtl/>
          <w:lang w:bidi="ar-EG"/>
        </w:rPr>
        <w:t>قانون تسجيل المواليد والوفيات</w:t>
      </w:r>
      <w:r>
        <w:rPr>
          <w:rFonts w:hint="cs"/>
          <w:rtl/>
          <w:lang w:bidi="ar-EG"/>
        </w:rPr>
        <w:t xml:space="preserve"> والزيجات لعام 1995</w:t>
      </w:r>
      <w:bookmarkEnd w:id="3"/>
      <w:r>
        <w:rPr>
          <w:rFonts w:hint="cs"/>
          <w:rtl/>
          <w:lang w:bidi="ar-EG"/>
        </w:rPr>
        <w:t>. وحتى إذا رأت اللجنة أن التدخل في أسرة صاحبة البلاغ قد حدث، فإن هذا التدخل ليس تعسفيا</w:t>
      </w:r>
      <w:r w:rsidR="0030053E">
        <w:rPr>
          <w:rFonts w:hint="cs"/>
          <w:rtl/>
          <w:lang w:bidi="ar-EG"/>
        </w:rPr>
        <w:t>ً</w:t>
      </w:r>
      <w:r>
        <w:rPr>
          <w:rFonts w:hint="cs"/>
          <w:rtl/>
          <w:lang w:bidi="ar-EG"/>
        </w:rPr>
        <w:t xml:space="preserve"> ل</w:t>
      </w:r>
      <w:r w:rsidR="0030053E">
        <w:rPr>
          <w:rFonts w:hint="cs"/>
          <w:rtl/>
          <w:lang w:bidi="ar-EG"/>
        </w:rPr>
        <w:t>أن الاستثناء الوارد في الفرع 32(1)</w:t>
      </w:r>
      <w:r w:rsidR="00B7472E">
        <w:rPr>
          <w:rFonts w:hint="cs"/>
          <w:rtl/>
          <w:lang w:bidi="ar-EG"/>
        </w:rPr>
        <w:t xml:space="preserve">(ج) والفرع 32 </w:t>
      </w:r>
      <w:proofErr w:type="gramStart"/>
      <w:r w:rsidR="00B7472E">
        <w:rPr>
          <w:rFonts w:hint="cs"/>
          <w:rtl/>
          <w:lang w:bidi="ar-EG"/>
        </w:rPr>
        <w:t>دال</w:t>
      </w:r>
      <w:r>
        <w:rPr>
          <w:rFonts w:hint="cs"/>
          <w:rtl/>
          <w:lang w:bidi="ar-EG"/>
        </w:rPr>
        <w:t>(</w:t>
      </w:r>
      <w:proofErr w:type="gramEnd"/>
      <w:r>
        <w:rPr>
          <w:rFonts w:hint="cs"/>
          <w:rtl/>
          <w:lang w:bidi="ar-EG"/>
        </w:rPr>
        <w:t>3) من قانون تسجيل المواليد والوفيات والزيجات لعام 1995 معقول ومتناسب مع الهدف المشروع المتمثل في تحقيق الاتساق مع تعريف الزواج. وبناء على ذلك، تفتقر حجج صاحبة البلاغ بشأن التدخل التعسفي في الأسرة إلى الوجاهة.</w:t>
      </w:r>
    </w:p>
    <w:p w:rsidR="00C9188E" w:rsidRDefault="00C9188E" w:rsidP="00C9188E">
      <w:pPr>
        <w:pStyle w:val="SingleTxtGA"/>
        <w:rPr>
          <w:rtl/>
          <w:lang w:bidi="ar-EG"/>
        </w:rPr>
      </w:pPr>
      <w:r>
        <w:rPr>
          <w:rFonts w:hint="cs"/>
          <w:rtl/>
          <w:lang w:bidi="ar-EG"/>
        </w:rPr>
        <w:t>4-10</w:t>
      </w:r>
      <w:r>
        <w:rPr>
          <w:rtl/>
          <w:lang w:bidi="ar-EG"/>
        </w:rPr>
        <w:tab/>
      </w:r>
      <w:r>
        <w:rPr>
          <w:rFonts w:hint="cs"/>
          <w:rtl/>
          <w:lang w:bidi="ar-EG"/>
        </w:rPr>
        <w:t>وبصدد ادعاءات صاحبة البلاغ بموجب المادة 2 من العهد، تدفع الدولة الطرف بأن هذه الادعاءات لا يمكن النظر فيها إلا مقرونة بالمادة 17 وبأن صاحبة البلاغ عجزت عن بيان ادعاءاته</w:t>
      </w:r>
      <w:r>
        <w:rPr>
          <w:rFonts w:hint="eastAsia"/>
          <w:rtl/>
          <w:lang w:bidi="ar-EG"/>
        </w:rPr>
        <w:t>ا</w:t>
      </w:r>
      <w:r>
        <w:rPr>
          <w:rFonts w:hint="cs"/>
          <w:rtl/>
          <w:lang w:bidi="ar-EG"/>
        </w:rPr>
        <w:t xml:space="preserve"> بالتمييز بموجب هاتين المادتين. ولذلك، إن وجدت اللجنة أن ادعاءات صاحبة البلاغ بموجب المادة 17 غير مقبولة، و/أو بلا أساس، فإن ادعاءاتها بموجب المادة 2 ستكون </w:t>
      </w:r>
      <w:r w:rsidR="002634C6">
        <w:rPr>
          <w:rFonts w:hint="cs"/>
          <w:rtl/>
          <w:lang w:bidi="ar-EG"/>
        </w:rPr>
        <w:t>أيضاً</w:t>
      </w:r>
      <w:r>
        <w:rPr>
          <w:rFonts w:hint="cs"/>
          <w:rtl/>
          <w:lang w:bidi="ar-EG"/>
        </w:rPr>
        <w:t xml:space="preserve"> غير مقبولة من حيث </w:t>
      </w:r>
      <w:r w:rsidRPr="003F475F">
        <w:rPr>
          <w:rFonts w:hint="cs"/>
          <w:i/>
          <w:iCs/>
          <w:rtl/>
          <w:lang w:bidi="ar-EG"/>
        </w:rPr>
        <w:t>الاختصاص الموضوعي</w:t>
      </w:r>
      <w:r>
        <w:rPr>
          <w:rFonts w:hint="cs"/>
          <w:rtl/>
          <w:lang w:bidi="ar-EG"/>
        </w:rPr>
        <w:t xml:space="preserve">. </w:t>
      </w:r>
    </w:p>
    <w:p w:rsidR="00C9188E" w:rsidRDefault="00C9188E" w:rsidP="00C9188E">
      <w:pPr>
        <w:pStyle w:val="SingleTxtGA"/>
        <w:rPr>
          <w:lang w:bidi="ar-EG"/>
        </w:rPr>
      </w:pPr>
      <w:r>
        <w:rPr>
          <w:rFonts w:hint="cs"/>
          <w:rtl/>
          <w:lang w:bidi="ar-EG"/>
        </w:rPr>
        <w:t>4-11</w:t>
      </w:r>
      <w:r>
        <w:rPr>
          <w:rtl/>
          <w:lang w:bidi="ar-EG"/>
        </w:rPr>
        <w:tab/>
      </w:r>
      <w:r>
        <w:rPr>
          <w:rFonts w:hint="cs"/>
          <w:rtl/>
          <w:lang w:bidi="ar-EG"/>
        </w:rPr>
        <w:t>وتقر الدولة الطرف بأن الالتزام بحماية الأشخاص من التمييز على أساس الميل الجنسي يمتد ليشمل معاملة القرناء المثليين غير المتزوجين المعاملة نفسها التي يتلقاها الأزواج من جنسين مختلفين غير المتزوجين، والتمتع بالاستحقاقات نفسها التي يتمتع بها القرناء من جنسين مختلفين غير المتزوجين، وأن أي فرق في المعاملة يجب أن يستوفي معايير المعاملة</w:t>
      </w:r>
      <w:r w:rsidR="00C34C06">
        <w:rPr>
          <w:rFonts w:hint="cs"/>
          <w:rtl/>
          <w:lang w:bidi="ar-EG"/>
        </w:rPr>
        <w:t xml:space="preserve"> </w:t>
      </w:r>
      <w:proofErr w:type="spellStart"/>
      <w:r w:rsidR="00C34C06">
        <w:rPr>
          <w:rFonts w:hint="cs"/>
          <w:rtl/>
          <w:lang w:bidi="ar-EG"/>
        </w:rPr>
        <w:t>التمايزية</w:t>
      </w:r>
      <w:proofErr w:type="spellEnd"/>
      <w:r w:rsidR="00C34C06">
        <w:rPr>
          <w:rFonts w:hint="cs"/>
          <w:rtl/>
          <w:lang w:bidi="ar-EG"/>
        </w:rPr>
        <w:t xml:space="preserve"> بموجب القانون الدولي</w:t>
      </w:r>
      <w:r w:rsidR="00C34C06" w:rsidRPr="00C34C06">
        <w:rPr>
          <w:rFonts w:hint="cs"/>
          <w:vertAlign w:val="superscript"/>
          <w:rtl/>
          <w:lang w:bidi="ar-EG"/>
        </w:rPr>
        <w:t>(</w:t>
      </w:r>
      <w:r w:rsidRPr="00C34C06">
        <w:rPr>
          <w:rStyle w:val="FootnoteReference"/>
          <w:sz w:val="30"/>
          <w:rtl/>
          <w:lang w:bidi="ar-EG"/>
        </w:rPr>
        <w:footnoteReference w:id="18"/>
      </w:r>
      <w:r w:rsidR="00C34C06" w:rsidRPr="00C34C06">
        <w:rPr>
          <w:rFonts w:hint="cs"/>
          <w:vertAlign w:val="superscript"/>
          <w:rtl/>
          <w:lang w:bidi="ar-EG"/>
        </w:rPr>
        <w:t>)</w:t>
      </w:r>
      <w:r w:rsidR="00C34C06">
        <w:rPr>
          <w:rFonts w:hint="cs"/>
          <w:rtl/>
          <w:lang w:bidi="ar-EG"/>
        </w:rPr>
        <w:t>.</w:t>
      </w:r>
      <w:r>
        <w:rPr>
          <w:rFonts w:hint="cs"/>
          <w:rtl/>
          <w:lang w:bidi="ar-EG"/>
        </w:rPr>
        <w:t xml:space="preserve"> بيد أن أي فرق في تمتع صاحبة البلاغ بحقوقها بموجب المادة 17 يستند على المعاملة </w:t>
      </w:r>
      <w:proofErr w:type="spellStart"/>
      <w:r>
        <w:rPr>
          <w:rFonts w:hint="cs"/>
          <w:rtl/>
          <w:lang w:bidi="ar-EG"/>
        </w:rPr>
        <w:t>التمايزية</w:t>
      </w:r>
      <w:proofErr w:type="spellEnd"/>
      <w:r>
        <w:rPr>
          <w:rFonts w:hint="cs"/>
          <w:rtl/>
          <w:lang w:bidi="ar-EG"/>
        </w:rPr>
        <w:t xml:space="preserve"> المشروعة.</w:t>
      </w:r>
    </w:p>
    <w:p w:rsidR="00C9188E" w:rsidRDefault="00C9188E" w:rsidP="00C34C06">
      <w:pPr>
        <w:pStyle w:val="SingleTxtGA"/>
        <w:rPr>
          <w:rtl/>
          <w:lang w:bidi="ar-EG"/>
        </w:rPr>
      </w:pPr>
      <w:r>
        <w:rPr>
          <w:rFonts w:hint="cs"/>
          <w:rtl/>
          <w:lang w:bidi="ar-EG"/>
        </w:rPr>
        <w:t>4-12</w:t>
      </w:r>
      <w:r>
        <w:rPr>
          <w:rtl/>
          <w:lang w:bidi="ar-EG"/>
        </w:rPr>
        <w:tab/>
      </w:r>
      <w:r>
        <w:rPr>
          <w:rFonts w:hint="cs"/>
          <w:rtl/>
          <w:lang w:bidi="ar-EG"/>
        </w:rPr>
        <w:t>وتحاج الدولة الطرف بأن الحق في الزواج بموجب المادة 23 من العهد ينطبق فقط على الزيجات الغيرية</w:t>
      </w:r>
      <w:r w:rsidR="00C34C06" w:rsidRPr="00C34C06">
        <w:rPr>
          <w:rFonts w:hint="cs"/>
          <w:vertAlign w:val="superscript"/>
          <w:rtl/>
          <w:lang w:bidi="ar-EG"/>
        </w:rPr>
        <w:t>(</w:t>
      </w:r>
      <w:r w:rsidR="00C34C06" w:rsidRPr="00C34C06">
        <w:rPr>
          <w:rStyle w:val="FootnoteReference"/>
          <w:sz w:val="30"/>
          <w:rtl/>
          <w:lang w:bidi="ar-EG"/>
        </w:rPr>
        <w:footnoteReference w:id="19"/>
      </w:r>
      <w:r w:rsidR="00C34C06" w:rsidRPr="00C34C06">
        <w:rPr>
          <w:rFonts w:hint="cs"/>
          <w:vertAlign w:val="superscript"/>
          <w:rtl/>
          <w:lang w:bidi="ar-EG"/>
        </w:rPr>
        <w:t>)</w:t>
      </w:r>
      <w:r w:rsidR="00C34C06">
        <w:rPr>
          <w:rFonts w:hint="cs"/>
          <w:rtl/>
          <w:lang w:bidi="ar-EG"/>
        </w:rPr>
        <w:t>.</w:t>
      </w:r>
      <w:r>
        <w:rPr>
          <w:rFonts w:hint="cs"/>
          <w:rtl/>
          <w:lang w:bidi="ar-EG"/>
        </w:rPr>
        <w:t xml:space="preserve"> وقد اعتمدت المحكمة الأوروبية لحقوق الإنسان هذا النهج </w:t>
      </w:r>
      <w:r w:rsidR="002634C6">
        <w:rPr>
          <w:rFonts w:hint="cs"/>
          <w:rtl/>
          <w:lang w:bidi="ar-EG"/>
        </w:rPr>
        <w:t>أيضاً</w:t>
      </w:r>
      <w:r>
        <w:rPr>
          <w:rFonts w:hint="cs"/>
          <w:rtl/>
          <w:lang w:bidi="ar-EG"/>
        </w:rPr>
        <w:t xml:space="preserve"> وقضت بأن ا</w:t>
      </w:r>
      <w:r w:rsidRPr="00221372">
        <w:rPr>
          <w:rFonts w:hint="cs"/>
          <w:rtl/>
          <w:lang w:bidi="ar-EG"/>
        </w:rPr>
        <w:t>لاتفاقية</w:t>
      </w:r>
      <w:r w:rsidRPr="00221372">
        <w:rPr>
          <w:rtl/>
          <w:lang w:bidi="ar-EG"/>
        </w:rPr>
        <w:t xml:space="preserve"> </w:t>
      </w:r>
      <w:r w:rsidRPr="00221372">
        <w:rPr>
          <w:rFonts w:hint="cs"/>
          <w:rtl/>
          <w:lang w:bidi="ar-EG"/>
        </w:rPr>
        <w:t>الأوروبية</w:t>
      </w:r>
      <w:r w:rsidRPr="00221372">
        <w:rPr>
          <w:rtl/>
          <w:lang w:bidi="ar-EG"/>
        </w:rPr>
        <w:t xml:space="preserve"> </w:t>
      </w:r>
      <w:r w:rsidRPr="00221372">
        <w:rPr>
          <w:rFonts w:hint="cs"/>
          <w:rtl/>
          <w:lang w:bidi="ar-EG"/>
        </w:rPr>
        <w:t>لحماية</w:t>
      </w:r>
      <w:r w:rsidRPr="00221372">
        <w:rPr>
          <w:rtl/>
          <w:lang w:bidi="ar-EG"/>
        </w:rPr>
        <w:t xml:space="preserve"> </w:t>
      </w:r>
      <w:r w:rsidRPr="00221372">
        <w:rPr>
          <w:rFonts w:hint="cs"/>
          <w:rtl/>
          <w:lang w:bidi="ar-EG"/>
        </w:rPr>
        <w:t>حقوق</w:t>
      </w:r>
      <w:r w:rsidRPr="00221372">
        <w:rPr>
          <w:rtl/>
          <w:lang w:bidi="ar-EG"/>
        </w:rPr>
        <w:t xml:space="preserve"> </w:t>
      </w:r>
      <w:r w:rsidRPr="00221372">
        <w:rPr>
          <w:rFonts w:hint="cs"/>
          <w:rtl/>
          <w:lang w:bidi="ar-EG"/>
        </w:rPr>
        <w:t>الإنسان</w:t>
      </w:r>
      <w:r w:rsidRPr="00221372">
        <w:rPr>
          <w:rtl/>
          <w:lang w:bidi="ar-EG"/>
        </w:rPr>
        <w:t xml:space="preserve"> </w:t>
      </w:r>
      <w:r w:rsidRPr="00221372">
        <w:rPr>
          <w:rFonts w:hint="cs"/>
          <w:rtl/>
          <w:lang w:bidi="ar-EG"/>
        </w:rPr>
        <w:t>والحريات</w:t>
      </w:r>
      <w:r w:rsidRPr="00221372">
        <w:rPr>
          <w:rtl/>
          <w:lang w:bidi="ar-EG"/>
        </w:rPr>
        <w:t xml:space="preserve"> </w:t>
      </w:r>
      <w:r w:rsidRPr="00221372">
        <w:rPr>
          <w:rFonts w:hint="cs"/>
          <w:rtl/>
          <w:lang w:bidi="ar-EG"/>
        </w:rPr>
        <w:t>الأساسية</w:t>
      </w:r>
      <w:r>
        <w:rPr>
          <w:rFonts w:hint="cs"/>
          <w:rtl/>
          <w:lang w:bidi="ar-EG"/>
        </w:rPr>
        <w:t xml:space="preserve"> (الاتفاقية الأوروبية لحقوق الإنسان) لا تفرض على الدول التز</w:t>
      </w:r>
      <w:r w:rsidR="00C34C06">
        <w:rPr>
          <w:rFonts w:hint="cs"/>
          <w:rtl/>
          <w:lang w:bidi="ar-EG"/>
        </w:rPr>
        <w:t>اما</w:t>
      </w:r>
      <w:r w:rsidR="00322339">
        <w:rPr>
          <w:rFonts w:hint="cs"/>
          <w:rtl/>
          <w:lang w:bidi="ar-EG"/>
        </w:rPr>
        <w:t>ً</w:t>
      </w:r>
      <w:r w:rsidR="00C34C06">
        <w:rPr>
          <w:rFonts w:hint="cs"/>
          <w:rtl/>
          <w:lang w:bidi="ar-EG"/>
        </w:rPr>
        <w:t xml:space="preserve"> بالاعتراف بزواج مثليي الجنس</w:t>
      </w:r>
      <w:r w:rsidR="00C34C06" w:rsidRPr="00C34C06">
        <w:rPr>
          <w:rFonts w:hint="cs"/>
          <w:vertAlign w:val="superscript"/>
          <w:rtl/>
          <w:lang w:bidi="ar-EG"/>
        </w:rPr>
        <w:t>(</w:t>
      </w:r>
      <w:r w:rsidRPr="00C34C06">
        <w:rPr>
          <w:rStyle w:val="FootnoteReference"/>
          <w:sz w:val="30"/>
          <w:rtl/>
          <w:lang w:bidi="ar-EG"/>
        </w:rPr>
        <w:footnoteReference w:id="20"/>
      </w:r>
      <w:r w:rsidR="00C34C06" w:rsidRPr="00C34C06">
        <w:rPr>
          <w:rFonts w:hint="cs"/>
          <w:vertAlign w:val="superscript"/>
          <w:rtl/>
          <w:lang w:bidi="ar-EG"/>
        </w:rPr>
        <w:t>)</w:t>
      </w:r>
      <w:r w:rsidR="00C34C06">
        <w:rPr>
          <w:rFonts w:hint="cs"/>
          <w:rtl/>
          <w:lang w:bidi="ar-EG"/>
        </w:rPr>
        <w:t>.</w:t>
      </w:r>
      <w:r>
        <w:rPr>
          <w:rFonts w:hint="cs"/>
          <w:rtl/>
          <w:lang w:bidi="ar-EG"/>
        </w:rPr>
        <w:t xml:space="preserve"> وقد </w:t>
      </w:r>
      <w:r w:rsidR="00A40536">
        <w:rPr>
          <w:rFonts w:hint="cs"/>
          <w:rtl/>
          <w:lang w:bidi="ar-EG"/>
        </w:rPr>
        <w:t>أُدرج الفرعان 32 باء</w:t>
      </w:r>
      <w:r>
        <w:rPr>
          <w:rFonts w:hint="cs"/>
          <w:rtl/>
          <w:lang w:bidi="ar-EG"/>
        </w:rPr>
        <w:t>(1</w:t>
      </w:r>
      <w:r w:rsidR="00A40536">
        <w:rPr>
          <w:rFonts w:hint="cs"/>
          <w:rtl/>
          <w:lang w:bidi="ar-EG"/>
        </w:rPr>
        <w:t xml:space="preserve">)(ج) و32 </w:t>
      </w:r>
      <w:proofErr w:type="gramStart"/>
      <w:r w:rsidR="00A40536">
        <w:rPr>
          <w:rFonts w:hint="cs"/>
          <w:rtl/>
          <w:lang w:bidi="ar-EG"/>
        </w:rPr>
        <w:t>دال</w:t>
      </w:r>
      <w:r>
        <w:rPr>
          <w:rFonts w:hint="cs"/>
          <w:rtl/>
          <w:lang w:bidi="ar-EG"/>
        </w:rPr>
        <w:t>(</w:t>
      </w:r>
      <w:proofErr w:type="gramEnd"/>
      <w:r>
        <w:rPr>
          <w:rFonts w:hint="cs"/>
          <w:rtl/>
          <w:lang w:bidi="ar-EG"/>
        </w:rPr>
        <w:t>3) لتحقيق الاتساق مع قانون الزواج لعام 1961 الذي يشكل هدفا</w:t>
      </w:r>
      <w:r w:rsidR="00322339">
        <w:rPr>
          <w:rFonts w:hint="cs"/>
          <w:rtl/>
          <w:lang w:bidi="ar-EG"/>
        </w:rPr>
        <w:t>ً</w:t>
      </w:r>
      <w:r>
        <w:rPr>
          <w:rFonts w:hint="cs"/>
          <w:rtl/>
          <w:lang w:bidi="ar-EG"/>
        </w:rPr>
        <w:t xml:space="preserve"> مشروعا</w:t>
      </w:r>
      <w:r w:rsidR="00322339">
        <w:rPr>
          <w:rFonts w:hint="cs"/>
          <w:rtl/>
          <w:lang w:bidi="ar-EG"/>
        </w:rPr>
        <w:t>ً</w:t>
      </w:r>
      <w:r>
        <w:rPr>
          <w:rFonts w:hint="cs"/>
          <w:rtl/>
          <w:lang w:bidi="ar-EG"/>
        </w:rPr>
        <w:t xml:space="preserve"> بموجب العهد. و</w:t>
      </w:r>
      <w:r w:rsidR="002634C6">
        <w:rPr>
          <w:rFonts w:hint="cs"/>
          <w:rtl/>
          <w:lang w:bidi="ar-EG"/>
        </w:rPr>
        <w:t>فضلاً</w:t>
      </w:r>
      <w:r>
        <w:rPr>
          <w:rFonts w:hint="cs"/>
          <w:rtl/>
          <w:lang w:bidi="ar-EG"/>
        </w:rPr>
        <w:t xml:space="preserve"> عن ذلك، يستند التفريق بموجب الفرعين المذكورين إلى معايير معقولة وموضوعية، أي أن الشخص يجب أن يكون غير متزوج حتى يتمكن من تغيير نوع الجنس في شهادة ميلاده إذا خضع لعملية لتأكيد نوع الجنس. وهذه المعايير ليست تعسفية لأنها يمكن التنبؤ بتطبيقها وهي محددة بشكل كاف. ولذا، تدفع الدولة الطرف بأن هذه الأحكام وسيلة معقولة وضرورية وملائمة لتحقيق الهدف المتمثل في تمكين الأشخاص مغايري الهوية الجنسانية من تغيير شهادة ميلادهم مع كفالة الاتساق مع قانون الزواج لعام 1961.</w:t>
      </w:r>
    </w:p>
    <w:p w:rsidR="00C9188E" w:rsidRDefault="00C9188E" w:rsidP="00C9188E">
      <w:pPr>
        <w:pStyle w:val="SingleTxtGA"/>
        <w:rPr>
          <w:rtl/>
          <w:lang w:bidi="ar-EG"/>
        </w:rPr>
      </w:pPr>
      <w:r>
        <w:rPr>
          <w:rFonts w:hint="cs"/>
          <w:rtl/>
          <w:lang w:bidi="ar-EG"/>
        </w:rPr>
        <w:lastRenderedPageBreak/>
        <w:t>4-13</w:t>
      </w:r>
      <w:r>
        <w:rPr>
          <w:rtl/>
          <w:lang w:bidi="ar-EG"/>
        </w:rPr>
        <w:tab/>
      </w:r>
      <w:r>
        <w:rPr>
          <w:rFonts w:hint="cs"/>
          <w:rtl/>
          <w:lang w:bidi="ar-EG"/>
        </w:rPr>
        <w:t>والتفريق بين المتزوجين وغير المتزوجين الذين خضعوا لعملية لتأكيد نوع الجنس ويطلبون تعديل نوع جنسهم في شهادة ميلادهم تدبير ملائم لضمان الاتساق مع تعريف الزواج بموجب قانون الزواج لعام 1961 ولتفادي عدم اليقين بشأن وضع الزيجات الذي كان سيحدث لو أن الاستثناء الوارد في قانون تسجيل المواليد والوفيات والزيجات لعام 1995 ل</w:t>
      </w:r>
      <w:r w:rsidR="00892E79">
        <w:rPr>
          <w:rFonts w:hint="cs"/>
          <w:rtl/>
          <w:lang w:bidi="ar-EG"/>
        </w:rPr>
        <w:t xml:space="preserve">م يُسن. ولم يذهب الفرعان 32 باء(1)(ج) و32 </w:t>
      </w:r>
      <w:proofErr w:type="gramStart"/>
      <w:r w:rsidR="00892E79">
        <w:rPr>
          <w:rFonts w:hint="cs"/>
          <w:rtl/>
          <w:lang w:bidi="ar-EG"/>
        </w:rPr>
        <w:t>دال</w:t>
      </w:r>
      <w:r>
        <w:rPr>
          <w:rFonts w:hint="cs"/>
          <w:rtl/>
          <w:lang w:bidi="ar-EG"/>
        </w:rPr>
        <w:t>(</w:t>
      </w:r>
      <w:proofErr w:type="gramEnd"/>
      <w:r>
        <w:rPr>
          <w:rFonts w:hint="cs"/>
          <w:rtl/>
          <w:lang w:bidi="ar-EG"/>
        </w:rPr>
        <w:t>3) من القانون المذكور أبعد مما هو ضروري لتحقيق هدفهما وهما من ثم لا يمثلان وسيلة غير متناسبة لتحقيق هذا الهدف.</w:t>
      </w:r>
    </w:p>
    <w:p w:rsidR="00C9188E" w:rsidRDefault="00C9188E" w:rsidP="00892E79">
      <w:pPr>
        <w:pStyle w:val="SingleTxtGA"/>
        <w:rPr>
          <w:rtl/>
          <w:lang w:bidi="ar-EG"/>
        </w:rPr>
      </w:pPr>
      <w:r>
        <w:rPr>
          <w:rFonts w:hint="cs"/>
          <w:rtl/>
          <w:lang w:bidi="ar-EG"/>
        </w:rPr>
        <w:t>4-14</w:t>
      </w:r>
      <w:r>
        <w:rPr>
          <w:rtl/>
          <w:lang w:bidi="ar-EG"/>
        </w:rPr>
        <w:tab/>
      </w:r>
      <w:r>
        <w:rPr>
          <w:rFonts w:hint="cs"/>
          <w:rtl/>
          <w:lang w:bidi="ar-EG"/>
        </w:rPr>
        <w:t>وبشأن ادعاءات صاحبة البلاغ بموجب المادة 26 من العهد، تدفع الدولة الطرف بأن مصطلح "وضع آخر" الوارد في المادتين 2 و26 من العهد يشمل "الحالة الزواجية" وكذلك "الهوية الجنسانية"</w:t>
      </w:r>
      <w:r w:rsidR="00C34C06">
        <w:rPr>
          <w:rStyle w:val="FootnoteReference"/>
          <w:sz w:val="30"/>
          <w:rtl/>
          <w:lang w:bidi="ar-EG"/>
        </w:rPr>
        <w:t>(</w:t>
      </w:r>
      <w:r w:rsidR="00C34C06">
        <w:rPr>
          <w:rStyle w:val="FootnoteReference"/>
          <w:sz w:val="30"/>
          <w:rtl/>
          <w:lang w:bidi="ar-EG"/>
        </w:rPr>
        <w:footnoteReference w:id="21"/>
      </w:r>
      <w:r w:rsidR="00C34C06">
        <w:rPr>
          <w:rStyle w:val="FootnoteReference"/>
          <w:sz w:val="30"/>
          <w:rtl/>
          <w:lang w:bidi="ar-EG"/>
        </w:rPr>
        <w:t>)</w:t>
      </w:r>
      <w:r>
        <w:rPr>
          <w:rFonts w:hint="cs"/>
          <w:rtl/>
          <w:lang w:bidi="ar-EG"/>
        </w:rPr>
        <w:t>. وخلافا</w:t>
      </w:r>
      <w:r w:rsidR="00322339">
        <w:rPr>
          <w:rFonts w:hint="cs"/>
          <w:rtl/>
          <w:lang w:bidi="ar-EG"/>
        </w:rPr>
        <w:t>ً</w:t>
      </w:r>
      <w:r>
        <w:rPr>
          <w:rFonts w:hint="cs"/>
          <w:rtl/>
          <w:lang w:bidi="ar-EG"/>
        </w:rPr>
        <w:t xml:space="preserve"> للمادة 2، تمثل المادة 26 حقا</w:t>
      </w:r>
      <w:r w:rsidR="00322339">
        <w:rPr>
          <w:rFonts w:hint="cs"/>
          <w:rtl/>
          <w:lang w:bidi="ar-EG"/>
        </w:rPr>
        <w:t>ً</w:t>
      </w:r>
      <w:r>
        <w:rPr>
          <w:rFonts w:hint="cs"/>
          <w:rtl/>
          <w:lang w:bidi="ar-EG"/>
        </w:rPr>
        <w:t xml:space="preserve"> قائما</w:t>
      </w:r>
      <w:r w:rsidR="00322339">
        <w:rPr>
          <w:rFonts w:hint="cs"/>
          <w:rtl/>
          <w:lang w:bidi="ar-EG"/>
        </w:rPr>
        <w:t>ً</w:t>
      </w:r>
      <w:r>
        <w:rPr>
          <w:rFonts w:hint="cs"/>
          <w:rtl/>
          <w:lang w:bidi="ar-EG"/>
        </w:rPr>
        <w:t xml:space="preserve"> بذاته يكون قد انتُهِك إن لم</w:t>
      </w:r>
      <w:r w:rsidR="00892E79">
        <w:rPr>
          <w:rFonts w:hint="eastAsia"/>
          <w:rtl/>
          <w:lang w:bidi="ar-EG"/>
        </w:rPr>
        <w:t> </w:t>
      </w:r>
      <w:r>
        <w:rPr>
          <w:rFonts w:hint="cs"/>
          <w:rtl/>
          <w:lang w:bidi="ar-EG"/>
        </w:rPr>
        <w:t>تتمتع صاحبة البلاغ بالمساواة أمام القانون أو بالحماية القانونية المتساوية مع الآخرين، على أساس التمييز القائم على أساس محظور</w:t>
      </w:r>
      <w:r w:rsidR="00C34C06">
        <w:rPr>
          <w:rStyle w:val="FootnoteReference"/>
          <w:sz w:val="30"/>
          <w:rtl/>
          <w:lang w:bidi="ar-EG"/>
        </w:rPr>
        <w:t>(</w:t>
      </w:r>
      <w:r w:rsidR="00C34C06">
        <w:rPr>
          <w:rStyle w:val="FootnoteReference"/>
          <w:sz w:val="30"/>
          <w:rtl/>
          <w:lang w:bidi="ar-EG"/>
        </w:rPr>
        <w:footnoteReference w:id="22"/>
      </w:r>
      <w:r w:rsidR="00C34C06">
        <w:rPr>
          <w:rStyle w:val="FootnoteReference"/>
          <w:sz w:val="30"/>
          <w:rtl/>
          <w:lang w:bidi="ar-EG"/>
        </w:rPr>
        <w:t>)</w:t>
      </w:r>
      <w:r w:rsidR="00C34C06">
        <w:rPr>
          <w:rFonts w:hint="cs"/>
          <w:rtl/>
          <w:lang w:bidi="ar-EG"/>
        </w:rPr>
        <w:t>.</w:t>
      </w:r>
      <w:r>
        <w:rPr>
          <w:rFonts w:hint="cs"/>
          <w:rtl/>
          <w:lang w:bidi="ar-EG"/>
        </w:rPr>
        <w:t xml:space="preserve"> وتشمل المادة 26 حقين متكاملين في المساواة، يتعلق أولهما بالمساواة أمام القانون وهو شرط إجرائي ليس موجها</w:t>
      </w:r>
      <w:r w:rsidR="00322339">
        <w:rPr>
          <w:rFonts w:hint="cs"/>
          <w:rtl/>
          <w:lang w:bidi="ar-EG"/>
        </w:rPr>
        <w:t>ً</w:t>
      </w:r>
      <w:r>
        <w:rPr>
          <w:rFonts w:hint="cs"/>
          <w:rtl/>
          <w:lang w:bidi="ar-EG"/>
        </w:rPr>
        <w:t xml:space="preserve"> إلى القانون بل إلى إعماله حصرا</w:t>
      </w:r>
      <w:r w:rsidR="009B7B22">
        <w:rPr>
          <w:rFonts w:hint="cs"/>
          <w:rtl/>
          <w:lang w:bidi="ar-EG"/>
        </w:rPr>
        <w:t>ً</w:t>
      </w:r>
      <w:r>
        <w:rPr>
          <w:rFonts w:hint="cs"/>
          <w:rtl/>
          <w:lang w:bidi="ar-EG"/>
        </w:rPr>
        <w:t>. وأما الحق الثاني في الحماية المتساوية من قِبل القانون، فيتصل بجوهر القوانين التي تفرضها السلطات العامة. وتفهم الدولة الطرف أن ادعاءات صاحبة البلاغ بالتمييز بموجب المادة 26 فيما يتعلق بالقانون المحلي لمكافحة التمييز وقانون تسجيل المواليد والوفيات والزيجات لعام</w:t>
      </w:r>
      <w:r w:rsidR="00892E79">
        <w:rPr>
          <w:rFonts w:hint="eastAsia"/>
          <w:rtl/>
          <w:lang w:bidi="ar-EG"/>
        </w:rPr>
        <w:t> </w:t>
      </w:r>
      <w:r>
        <w:rPr>
          <w:rFonts w:hint="cs"/>
          <w:rtl/>
          <w:lang w:bidi="ar-EG"/>
        </w:rPr>
        <w:t>1995 يتعلق بالشق الثاني من المادة 26.</w:t>
      </w:r>
    </w:p>
    <w:p w:rsidR="00C9188E" w:rsidRDefault="00C9188E" w:rsidP="00322339">
      <w:pPr>
        <w:pStyle w:val="SingleTxtGA"/>
        <w:rPr>
          <w:rtl/>
          <w:lang w:bidi="ar-EG"/>
        </w:rPr>
      </w:pPr>
      <w:r>
        <w:rPr>
          <w:rFonts w:hint="cs"/>
          <w:rtl/>
          <w:lang w:bidi="ar-EG"/>
        </w:rPr>
        <w:t>4-15</w:t>
      </w:r>
      <w:r>
        <w:rPr>
          <w:rtl/>
          <w:lang w:bidi="ar-EG"/>
        </w:rPr>
        <w:tab/>
      </w:r>
      <w:r>
        <w:rPr>
          <w:rFonts w:hint="cs"/>
          <w:rtl/>
          <w:lang w:bidi="ar-EG"/>
        </w:rPr>
        <w:t>ويفرض الحق في المساواة أمام القانون التزامين متمايزين على الدول الأطراف: هما أن المشرعين الوطنيين يجب أن يتخذوا تدابير إيجابية لسن قوانين تحظر التمييز على وجه التحديد وأن يمتنعوا عن ممارسة التمييز عند إعمال القوانين. وتذكِّر الدولة الطرف بأن صاح</w:t>
      </w:r>
      <w:r w:rsidR="004A57B2">
        <w:rPr>
          <w:rFonts w:hint="cs"/>
          <w:rtl/>
          <w:lang w:bidi="ar-EG"/>
        </w:rPr>
        <w:t>بة البلاغ ادعت بأن الفرع 32 باء(1)</w:t>
      </w:r>
      <w:r>
        <w:rPr>
          <w:rFonts w:hint="cs"/>
          <w:rtl/>
          <w:lang w:bidi="ar-EG"/>
        </w:rPr>
        <w:t>(ج) من قانون تسجيل المواليد والوفيات والزيجات لعام 1995 تمييزي على أساس "الحالة الزواجية" و"الهوية الجنسانية" و</w:t>
      </w:r>
      <w:r w:rsidR="00322339">
        <w:rPr>
          <w:rFonts w:hint="cs"/>
          <w:rtl/>
          <w:lang w:bidi="ar-EG"/>
        </w:rPr>
        <w:t>أ</w:t>
      </w:r>
      <w:r>
        <w:rPr>
          <w:rFonts w:hint="cs"/>
          <w:rtl/>
          <w:lang w:bidi="ar-EG"/>
        </w:rPr>
        <w:t>نه لا توجد سبل انتصاف محلية متاحة بشأن التشريع المحلي لمكافحة التمييز. وتكرر الدولة الطرف حجتها القائلة بأن أي تمييز مُدعَّى به ف</w:t>
      </w:r>
      <w:r w:rsidR="00376C6D">
        <w:rPr>
          <w:rFonts w:hint="cs"/>
          <w:rtl/>
          <w:lang w:bidi="ar-EG"/>
        </w:rPr>
        <w:t xml:space="preserve">ي المعاملة بموجب الفرعين 32 باء(1)(ج) و32 </w:t>
      </w:r>
      <w:proofErr w:type="gramStart"/>
      <w:r w:rsidR="00376C6D">
        <w:rPr>
          <w:rFonts w:hint="cs"/>
          <w:rtl/>
          <w:lang w:bidi="ar-EG"/>
        </w:rPr>
        <w:t>دال</w:t>
      </w:r>
      <w:r>
        <w:rPr>
          <w:rFonts w:hint="cs"/>
          <w:rtl/>
          <w:lang w:bidi="ar-EG"/>
        </w:rPr>
        <w:t>(</w:t>
      </w:r>
      <w:proofErr w:type="gramEnd"/>
      <w:r>
        <w:rPr>
          <w:rFonts w:hint="cs"/>
          <w:rtl/>
          <w:lang w:bidi="ar-EG"/>
        </w:rPr>
        <w:t>3) من قانون تسجيل المواليد والوفيات والزيجات لعام 1995 على أساس "وضع آخر" معقول ومتناسب وموضوعي وأن الغرض من المعاملة هو تحقيق غاية مشروعة بموجب العهد.</w:t>
      </w:r>
    </w:p>
    <w:p w:rsidR="00C9188E" w:rsidRDefault="00C9188E" w:rsidP="002634C6">
      <w:pPr>
        <w:pStyle w:val="SingleTxtGA"/>
        <w:rPr>
          <w:rtl/>
          <w:lang w:bidi="ar-EG"/>
        </w:rPr>
      </w:pPr>
      <w:r>
        <w:rPr>
          <w:rFonts w:hint="cs"/>
          <w:rtl/>
          <w:lang w:bidi="ar-EG"/>
        </w:rPr>
        <w:t>4-16</w:t>
      </w:r>
      <w:r>
        <w:rPr>
          <w:rtl/>
          <w:lang w:bidi="ar-EG"/>
        </w:rPr>
        <w:tab/>
      </w:r>
      <w:r>
        <w:rPr>
          <w:rFonts w:hint="cs"/>
          <w:rtl/>
          <w:lang w:bidi="ar-EG"/>
        </w:rPr>
        <w:t xml:space="preserve">ولم تُبيِّن صاحبة البلاغ كيف يميز قانون نيو </w:t>
      </w:r>
      <w:proofErr w:type="spellStart"/>
      <w:r>
        <w:rPr>
          <w:rFonts w:hint="cs"/>
          <w:rtl/>
          <w:lang w:bidi="ar-EG"/>
        </w:rPr>
        <w:t>ثاوث</w:t>
      </w:r>
      <w:proofErr w:type="spellEnd"/>
      <w:r>
        <w:rPr>
          <w:rFonts w:hint="cs"/>
          <w:rtl/>
          <w:lang w:bidi="ar-EG"/>
        </w:rPr>
        <w:t xml:space="preserve"> ويلز لمكافحة التمييز لعام 1977 ضدها على أساس "وضع آخر" وهي تُذكِّر بادعاء صاحبة البلاغ بأن الشخص المغاير </w:t>
      </w:r>
      <w:proofErr w:type="spellStart"/>
      <w:r w:rsidR="002634C6">
        <w:rPr>
          <w:rFonts w:hint="cs"/>
          <w:rtl/>
          <w:lang w:bidi="ar-EG"/>
        </w:rPr>
        <w:t>جنسانياً</w:t>
      </w:r>
      <w:proofErr w:type="spellEnd"/>
      <w:r>
        <w:rPr>
          <w:rFonts w:hint="cs"/>
          <w:rtl/>
          <w:lang w:bidi="ar-EG"/>
        </w:rPr>
        <w:t xml:space="preserve"> الذي يخضع لعملية جراحية لتأكيد نوع الجنس وغيَّر نوع جنسه في شهادة ميلاده يُعدُّ معترفا</w:t>
      </w:r>
      <w:r w:rsidR="00322339">
        <w:rPr>
          <w:rFonts w:hint="cs"/>
          <w:rtl/>
          <w:lang w:bidi="ar-EG"/>
        </w:rPr>
        <w:t>ً</w:t>
      </w:r>
      <w:r>
        <w:rPr>
          <w:rFonts w:hint="cs"/>
          <w:rtl/>
          <w:lang w:bidi="ar-EG"/>
        </w:rPr>
        <w:t xml:space="preserve"> به بصفته شخصا</w:t>
      </w:r>
      <w:r w:rsidR="002634C6">
        <w:rPr>
          <w:rFonts w:hint="cs"/>
          <w:rtl/>
          <w:lang w:bidi="ar-EG"/>
        </w:rPr>
        <w:t>ً</w:t>
      </w:r>
      <w:r>
        <w:rPr>
          <w:rFonts w:hint="cs"/>
          <w:rtl/>
          <w:lang w:bidi="ar-EG"/>
        </w:rPr>
        <w:t xml:space="preserve"> مغايرا</w:t>
      </w:r>
      <w:r w:rsidR="002634C6">
        <w:rPr>
          <w:rFonts w:hint="cs"/>
          <w:rtl/>
          <w:lang w:bidi="ar-EG"/>
        </w:rPr>
        <w:t>ً</w:t>
      </w:r>
      <w:r>
        <w:rPr>
          <w:rFonts w:hint="cs"/>
          <w:rtl/>
          <w:lang w:bidi="ar-EG"/>
        </w:rPr>
        <w:t xml:space="preserve"> </w:t>
      </w:r>
      <w:proofErr w:type="spellStart"/>
      <w:r w:rsidR="002634C6">
        <w:rPr>
          <w:rFonts w:hint="cs"/>
          <w:rtl/>
          <w:lang w:bidi="ar-EG"/>
        </w:rPr>
        <w:t>جنسانياً</w:t>
      </w:r>
      <w:proofErr w:type="spellEnd"/>
      <w:r>
        <w:rPr>
          <w:rFonts w:hint="cs"/>
          <w:rtl/>
          <w:lang w:bidi="ar-EG"/>
        </w:rPr>
        <w:t xml:space="preserve"> وبوسعه أن يطلب من الآخرين، بموجب القانون المذكور،</w:t>
      </w:r>
      <w:r w:rsidR="0026655D">
        <w:rPr>
          <w:rFonts w:hint="cs"/>
          <w:rtl/>
          <w:lang w:bidi="ar-EG"/>
        </w:rPr>
        <w:t xml:space="preserve"> </w:t>
      </w:r>
      <w:r>
        <w:rPr>
          <w:rFonts w:hint="cs"/>
          <w:rtl/>
          <w:lang w:bidi="ar-EG"/>
        </w:rPr>
        <w:t>معاملته على أساس نوع جنسه المعاد تحديده، بينما لا يستطيع الشخص غير المعترف به بصفته مغايرا</w:t>
      </w:r>
      <w:r w:rsidR="002634C6">
        <w:rPr>
          <w:rFonts w:hint="cs"/>
          <w:rtl/>
          <w:lang w:bidi="ar-EG"/>
        </w:rPr>
        <w:t>ً</w:t>
      </w:r>
      <w:r>
        <w:rPr>
          <w:rFonts w:hint="cs"/>
          <w:rtl/>
          <w:lang w:bidi="ar-EG"/>
        </w:rPr>
        <w:t xml:space="preserve"> </w:t>
      </w:r>
      <w:proofErr w:type="spellStart"/>
      <w:r w:rsidR="002634C6">
        <w:rPr>
          <w:rFonts w:hint="cs"/>
          <w:rtl/>
          <w:lang w:bidi="ar-EG"/>
        </w:rPr>
        <w:t>جنسانياً</w:t>
      </w:r>
      <w:proofErr w:type="spellEnd"/>
      <w:r>
        <w:rPr>
          <w:rFonts w:hint="cs"/>
          <w:rtl/>
          <w:lang w:bidi="ar-EG"/>
        </w:rPr>
        <w:t xml:space="preserve"> سوى الإصرار على أن يُعامل على أساس نوع جنسه المعاد تحديده عندما يكون ذلك معقولا</w:t>
      </w:r>
      <w:r w:rsidR="00322339">
        <w:rPr>
          <w:rFonts w:hint="cs"/>
          <w:rtl/>
          <w:lang w:bidi="ar-EG"/>
        </w:rPr>
        <w:t>ً</w:t>
      </w:r>
      <w:r>
        <w:rPr>
          <w:rFonts w:hint="cs"/>
          <w:rtl/>
          <w:lang w:bidi="ar-EG"/>
        </w:rPr>
        <w:t xml:space="preserve"> فيما يتعلق بجميع الظروف (انظر الفقرات 4</w:t>
      </w:r>
      <w:r w:rsidR="002634C6">
        <w:rPr>
          <w:rFonts w:hint="cs"/>
          <w:rtl/>
          <w:lang w:bidi="ar-EG"/>
        </w:rPr>
        <w:t>-</w:t>
      </w:r>
      <w:r>
        <w:rPr>
          <w:rFonts w:hint="cs"/>
          <w:rtl/>
          <w:lang w:bidi="ar-EG"/>
        </w:rPr>
        <w:t>2 و5</w:t>
      </w:r>
      <w:r w:rsidR="002634C6">
        <w:rPr>
          <w:rFonts w:hint="cs"/>
          <w:rtl/>
          <w:lang w:bidi="ar-EG"/>
        </w:rPr>
        <w:t>-</w:t>
      </w:r>
      <w:r>
        <w:rPr>
          <w:rFonts w:hint="cs"/>
          <w:rtl/>
          <w:lang w:bidi="ar-EG"/>
        </w:rPr>
        <w:t>2 و8</w:t>
      </w:r>
      <w:r w:rsidR="002634C6">
        <w:rPr>
          <w:rFonts w:hint="cs"/>
          <w:rtl/>
          <w:lang w:bidi="ar-EG"/>
        </w:rPr>
        <w:t>-</w:t>
      </w:r>
      <w:r>
        <w:rPr>
          <w:rFonts w:hint="cs"/>
          <w:rtl/>
          <w:lang w:bidi="ar-EG"/>
        </w:rPr>
        <w:t>2 أعلاه).</w:t>
      </w:r>
    </w:p>
    <w:p w:rsidR="00C9188E" w:rsidRPr="004D4977" w:rsidRDefault="00C9188E" w:rsidP="004D4977">
      <w:pPr>
        <w:pStyle w:val="SingleTxtGA"/>
        <w:rPr>
          <w:rtl/>
        </w:rPr>
      </w:pPr>
      <w:r>
        <w:rPr>
          <w:rFonts w:hint="cs"/>
          <w:rtl/>
          <w:lang w:bidi="ar-EG"/>
        </w:rPr>
        <w:lastRenderedPageBreak/>
        <w:t>4-17</w:t>
      </w:r>
      <w:r>
        <w:rPr>
          <w:rtl/>
          <w:lang w:bidi="ar-EG"/>
        </w:rPr>
        <w:tab/>
      </w:r>
      <w:r>
        <w:rPr>
          <w:rFonts w:hint="cs"/>
          <w:rtl/>
          <w:lang w:bidi="ar-EG"/>
        </w:rPr>
        <w:t xml:space="preserve">وفي هذا السياق، تعترف الدولة الطرف بأن الفرع 4 من قانون نيو </w:t>
      </w:r>
      <w:proofErr w:type="spellStart"/>
      <w:r>
        <w:rPr>
          <w:rFonts w:hint="cs"/>
          <w:rtl/>
          <w:lang w:bidi="ar-EG"/>
        </w:rPr>
        <w:t>ثاوث</w:t>
      </w:r>
      <w:proofErr w:type="spellEnd"/>
      <w:r>
        <w:rPr>
          <w:rFonts w:hint="cs"/>
          <w:rtl/>
          <w:lang w:bidi="ar-EG"/>
        </w:rPr>
        <w:t xml:space="preserve"> ويلز لمكافحة التمييز لعام 1977 يعرِّف الشخص المعترف به مغايرا</w:t>
      </w:r>
      <w:r w:rsidR="002634C6">
        <w:rPr>
          <w:rFonts w:hint="cs"/>
          <w:rtl/>
          <w:lang w:bidi="ar-EG"/>
        </w:rPr>
        <w:t>ً</w:t>
      </w:r>
      <w:r>
        <w:rPr>
          <w:rFonts w:hint="cs"/>
          <w:rtl/>
          <w:lang w:bidi="ar-EG"/>
        </w:rPr>
        <w:t xml:space="preserve"> </w:t>
      </w:r>
      <w:proofErr w:type="spellStart"/>
      <w:r w:rsidR="002634C6">
        <w:rPr>
          <w:rFonts w:hint="cs"/>
          <w:rtl/>
          <w:lang w:bidi="ar-EG"/>
        </w:rPr>
        <w:t>جنسانياً</w:t>
      </w:r>
      <w:proofErr w:type="spellEnd"/>
      <w:r>
        <w:rPr>
          <w:rFonts w:hint="cs"/>
          <w:rtl/>
          <w:lang w:bidi="ar-EG"/>
        </w:rPr>
        <w:t xml:space="preserve"> بأنه شخص يكون سِجِّل نوع جنسه قد عُدِّل في شهادة ميلاده بموجب الفرع 5 ألف من قانون المواليد والوفيات والزيجات لعام 1995. بيد أن الدولة الطرف تشير إلى أن الشخص المغاير </w:t>
      </w:r>
      <w:proofErr w:type="spellStart"/>
      <w:r w:rsidR="002634C6">
        <w:rPr>
          <w:rFonts w:hint="cs"/>
          <w:rtl/>
          <w:lang w:bidi="ar-EG"/>
        </w:rPr>
        <w:t>جنسانياً</w:t>
      </w:r>
      <w:proofErr w:type="spellEnd"/>
      <w:r w:rsidR="002634C6">
        <w:rPr>
          <w:rFonts w:hint="cs"/>
          <w:rtl/>
          <w:lang w:bidi="ar-EG"/>
        </w:rPr>
        <w:t xml:space="preserve"> يُعرَّف، بموجب الفرع</w:t>
      </w:r>
      <w:r w:rsidR="002634C6">
        <w:rPr>
          <w:rFonts w:hint="eastAsia"/>
          <w:rtl/>
          <w:lang w:bidi="ar-EG"/>
        </w:rPr>
        <w:t> </w:t>
      </w:r>
      <w:r>
        <w:rPr>
          <w:rFonts w:hint="cs"/>
          <w:rtl/>
          <w:lang w:bidi="ar-EG"/>
        </w:rPr>
        <w:t xml:space="preserve">38 ألف من قانون نيو </w:t>
      </w:r>
      <w:proofErr w:type="spellStart"/>
      <w:r>
        <w:rPr>
          <w:rFonts w:hint="cs"/>
          <w:rtl/>
          <w:lang w:bidi="ar-EG"/>
        </w:rPr>
        <w:t>ثاوث</w:t>
      </w:r>
      <w:proofErr w:type="spellEnd"/>
      <w:r>
        <w:rPr>
          <w:rFonts w:hint="cs"/>
          <w:rtl/>
          <w:lang w:bidi="ar-EG"/>
        </w:rPr>
        <w:t xml:space="preserve"> ويلز لمكافحة التمييز لعام 1977، بأنه شخص، سواء أكان الشخص </w:t>
      </w:r>
      <w:r w:rsidR="002634C6">
        <w:rPr>
          <w:rFonts w:hint="cs"/>
          <w:rtl/>
          <w:lang w:bidi="ar-EG"/>
        </w:rPr>
        <w:t>معترف به مغايرا</w:t>
      </w:r>
      <w:r w:rsidR="00F21316">
        <w:rPr>
          <w:rFonts w:hint="cs"/>
          <w:rtl/>
          <w:lang w:bidi="ar-EG"/>
        </w:rPr>
        <w:t>ً</w:t>
      </w:r>
      <w:r w:rsidR="002634C6">
        <w:rPr>
          <w:rFonts w:hint="cs"/>
          <w:rtl/>
          <w:lang w:bidi="ar-EG"/>
        </w:rPr>
        <w:t xml:space="preserve"> </w:t>
      </w:r>
      <w:proofErr w:type="spellStart"/>
      <w:r w:rsidR="002634C6">
        <w:rPr>
          <w:rFonts w:hint="cs"/>
          <w:rtl/>
          <w:lang w:bidi="ar-EG"/>
        </w:rPr>
        <w:t>جنسانياً</w:t>
      </w:r>
      <w:proofErr w:type="spellEnd"/>
      <w:r w:rsidR="002634C6">
        <w:rPr>
          <w:rFonts w:hint="cs"/>
          <w:rtl/>
          <w:lang w:bidi="ar-EG"/>
        </w:rPr>
        <w:t xml:space="preserve"> أم لا، </w:t>
      </w:r>
      <w:r>
        <w:rPr>
          <w:rFonts w:hint="cs"/>
          <w:rtl/>
          <w:lang w:bidi="ar-EG"/>
        </w:rPr>
        <w:t xml:space="preserve">(أ) يُعرِّف </w:t>
      </w:r>
      <w:r w:rsidR="002634C6">
        <w:rPr>
          <w:rFonts w:hint="cs"/>
          <w:rtl/>
          <w:lang w:bidi="ar-EG"/>
        </w:rPr>
        <w:t>نفسه كفرد من الجنس الآخر بالعيش</w:t>
      </w:r>
      <w:r>
        <w:rPr>
          <w:rFonts w:hint="cs"/>
          <w:rtl/>
          <w:lang w:bidi="ar-EG"/>
        </w:rPr>
        <w:t>، أو السعي للعيش، كفرد من الجنس الآخر أو (ب) يُعرِّف نفسه كفرد من الجنس الآخر بالع</w:t>
      </w:r>
      <w:r w:rsidR="002634C6">
        <w:rPr>
          <w:rFonts w:hint="cs"/>
          <w:rtl/>
          <w:lang w:bidi="ar-EG"/>
        </w:rPr>
        <w:t xml:space="preserve">يش كفرد من الجنس الآخر، أو (ج) </w:t>
      </w:r>
      <w:r>
        <w:rPr>
          <w:rFonts w:hint="cs"/>
          <w:rtl/>
          <w:lang w:bidi="ar-EG"/>
        </w:rPr>
        <w:t xml:space="preserve">يُعرِّف نفسه، لكونه غير محدد الجنس، كفرد من جنس بعينه بالعيش كفرد من ذلك الجنس، ويتضمن إشارة إلى الشخص الذي يُنظر إليه كشخص مغاير </w:t>
      </w:r>
      <w:proofErr w:type="spellStart"/>
      <w:r>
        <w:rPr>
          <w:rFonts w:hint="cs"/>
          <w:rtl/>
          <w:lang w:bidi="ar-EG"/>
        </w:rPr>
        <w:t>جنسانياً</w:t>
      </w:r>
      <w:proofErr w:type="spellEnd"/>
      <w:r>
        <w:rPr>
          <w:rFonts w:hint="cs"/>
          <w:rtl/>
          <w:lang w:bidi="ar-EG"/>
        </w:rPr>
        <w:t xml:space="preserve">، سواء أكان الشخص المعني مغايراً </w:t>
      </w:r>
      <w:proofErr w:type="spellStart"/>
      <w:r>
        <w:rPr>
          <w:rFonts w:hint="cs"/>
          <w:rtl/>
          <w:lang w:bidi="ar-EG"/>
        </w:rPr>
        <w:t>جنسانياً</w:t>
      </w:r>
      <w:proofErr w:type="spellEnd"/>
      <w:r>
        <w:rPr>
          <w:rFonts w:hint="cs"/>
          <w:rtl/>
          <w:lang w:bidi="ar-EG"/>
        </w:rPr>
        <w:t xml:space="preserve">، أو قد كان مغايراً </w:t>
      </w:r>
      <w:proofErr w:type="spellStart"/>
      <w:r>
        <w:rPr>
          <w:rFonts w:hint="cs"/>
          <w:rtl/>
          <w:lang w:bidi="ar-EG"/>
        </w:rPr>
        <w:t>جنسانياً</w:t>
      </w:r>
      <w:proofErr w:type="spellEnd"/>
      <w:r>
        <w:rPr>
          <w:rFonts w:hint="cs"/>
          <w:rtl/>
          <w:lang w:bidi="ar-EG"/>
        </w:rPr>
        <w:t>، في حقيقة الأمر.</w:t>
      </w:r>
      <w:r w:rsidR="004D4977">
        <w:rPr>
          <w:rFonts w:hint="cs"/>
          <w:rtl/>
          <w:lang w:bidi="ar-EG"/>
        </w:rPr>
        <w:t xml:space="preserve"> </w:t>
      </w:r>
    </w:p>
    <w:p w:rsidR="00C9188E" w:rsidRDefault="00C9188E" w:rsidP="00C9188E">
      <w:pPr>
        <w:pStyle w:val="SingleTxtGA"/>
        <w:rPr>
          <w:rtl/>
          <w:lang w:bidi="ar-EG"/>
        </w:rPr>
      </w:pPr>
      <w:r>
        <w:rPr>
          <w:rFonts w:hint="cs"/>
          <w:rtl/>
          <w:lang w:bidi="ar-EG"/>
        </w:rPr>
        <w:t>4-18</w:t>
      </w:r>
      <w:r>
        <w:rPr>
          <w:rtl/>
          <w:lang w:bidi="ar-EG"/>
        </w:rPr>
        <w:tab/>
      </w:r>
      <w:r>
        <w:rPr>
          <w:rFonts w:hint="cs"/>
          <w:rtl/>
          <w:lang w:bidi="ar-EG"/>
        </w:rPr>
        <w:t xml:space="preserve">وينص الجزء 38 جيم من قانون نيو </w:t>
      </w:r>
      <w:proofErr w:type="spellStart"/>
      <w:r>
        <w:rPr>
          <w:rFonts w:hint="cs"/>
          <w:rtl/>
          <w:lang w:bidi="ar-EG"/>
        </w:rPr>
        <w:t>ثاوث</w:t>
      </w:r>
      <w:proofErr w:type="spellEnd"/>
      <w:r>
        <w:rPr>
          <w:rFonts w:hint="cs"/>
          <w:rtl/>
          <w:lang w:bidi="ar-EG"/>
        </w:rPr>
        <w:t xml:space="preserve"> ويلز لمكافحة التمييز لعام 1977 على أنه من غير المشروع أن يمارس رب عمل التمييز في العمل ضد شخص على أساس الهوية الجنسانية المغايرة. وينص الفرع 54 من قانون نيو </w:t>
      </w:r>
      <w:proofErr w:type="spellStart"/>
      <w:r>
        <w:rPr>
          <w:rFonts w:hint="cs"/>
          <w:rtl/>
          <w:lang w:bidi="ar-EG"/>
        </w:rPr>
        <w:t>ثاوث</w:t>
      </w:r>
      <w:proofErr w:type="spellEnd"/>
      <w:r>
        <w:rPr>
          <w:rFonts w:hint="cs"/>
          <w:rtl/>
          <w:lang w:bidi="ar-EG"/>
        </w:rPr>
        <w:t xml:space="preserve"> ويلز لمكافحة التمييز لعام 1977 </w:t>
      </w:r>
      <w:r w:rsidR="002634C6">
        <w:rPr>
          <w:rFonts w:hint="cs"/>
          <w:rtl/>
          <w:lang w:bidi="ar-EG"/>
        </w:rPr>
        <w:t>أيضاً</w:t>
      </w:r>
      <w:r>
        <w:rPr>
          <w:rFonts w:hint="cs"/>
          <w:rtl/>
          <w:lang w:bidi="ar-EG"/>
        </w:rPr>
        <w:t xml:space="preserve"> على أنه ما من شيء في القانون يجعل أي شيء يفعله شخص غير قانوني إذا كان فعله له ضروريا</w:t>
      </w:r>
      <w:r w:rsidR="00F21316">
        <w:rPr>
          <w:rFonts w:hint="cs"/>
          <w:rtl/>
          <w:lang w:bidi="ar-EG"/>
        </w:rPr>
        <w:t>ً</w:t>
      </w:r>
      <w:r>
        <w:rPr>
          <w:rFonts w:hint="cs"/>
          <w:rtl/>
          <w:lang w:bidi="ar-EG"/>
        </w:rPr>
        <w:t xml:space="preserve"> للامتثال لشرط </w:t>
      </w:r>
      <w:proofErr w:type="spellStart"/>
      <w:r>
        <w:rPr>
          <w:rFonts w:hint="cs"/>
          <w:rtl/>
          <w:lang w:bidi="ar-EG"/>
        </w:rPr>
        <w:t>يقتضيه</w:t>
      </w:r>
      <w:proofErr w:type="spellEnd"/>
      <w:r>
        <w:rPr>
          <w:rFonts w:hint="cs"/>
          <w:rtl/>
          <w:lang w:bidi="ar-EG"/>
        </w:rPr>
        <w:t xml:space="preserve"> قانون آخر.</w:t>
      </w:r>
    </w:p>
    <w:p w:rsidR="00C9188E" w:rsidRDefault="00C9188E" w:rsidP="00F201DE">
      <w:pPr>
        <w:pStyle w:val="SingleTxtGA"/>
        <w:rPr>
          <w:rtl/>
          <w:lang w:bidi="ar-EG"/>
        </w:rPr>
      </w:pPr>
      <w:r>
        <w:rPr>
          <w:rFonts w:hint="cs"/>
          <w:rtl/>
          <w:lang w:bidi="ar-EG"/>
        </w:rPr>
        <w:t>4-19</w:t>
      </w:r>
      <w:r>
        <w:rPr>
          <w:rtl/>
          <w:lang w:bidi="ar-EG"/>
        </w:rPr>
        <w:tab/>
      </w:r>
      <w:r>
        <w:rPr>
          <w:rFonts w:hint="cs"/>
          <w:rtl/>
          <w:lang w:bidi="ar-EG"/>
        </w:rPr>
        <w:t xml:space="preserve">وبشأن ادعاءات صاحبة البلاغ الموجزة في الفقرة </w:t>
      </w:r>
      <w:r w:rsidR="00F201DE">
        <w:rPr>
          <w:rFonts w:hint="cs"/>
          <w:rtl/>
          <w:lang w:bidi="ar-EG"/>
        </w:rPr>
        <w:t>2-8</w:t>
      </w:r>
      <w:r>
        <w:rPr>
          <w:rFonts w:hint="cs"/>
          <w:rtl/>
          <w:lang w:bidi="ar-EG"/>
        </w:rPr>
        <w:t xml:space="preserve"> أعلاه، قد يشكل رفض التوظيف، في الظروف التي يكون فيها عمل مناسب متاح للنساء فقط، تمييزا</w:t>
      </w:r>
      <w:r w:rsidR="00322339">
        <w:rPr>
          <w:rFonts w:hint="cs"/>
          <w:rtl/>
          <w:lang w:bidi="ar-EG"/>
        </w:rPr>
        <w:t>ً</w:t>
      </w:r>
      <w:r>
        <w:rPr>
          <w:rFonts w:hint="cs"/>
          <w:rtl/>
          <w:lang w:bidi="ar-EG"/>
        </w:rPr>
        <w:t xml:space="preserve"> على أساس المغايرة </w:t>
      </w:r>
      <w:r w:rsidR="00385099">
        <w:rPr>
          <w:rFonts w:hint="cs"/>
          <w:rtl/>
          <w:lang w:bidi="ar-EG"/>
        </w:rPr>
        <w:t>الجنسانية بموجب الفرع 38 باء</w:t>
      </w:r>
      <w:r>
        <w:rPr>
          <w:rFonts w:hint="cs"/>
          <w:rtl/>
          <w:lang w:bidi="ar-EG"/>
        </w:rPr>
        <w:t>(1</w:t>
      </w:r>
      <w:r w:rsidR="00385099">
        <w:rPr>
          <w:rFonts w:hint="cs"/>
          <w:rtl/>
          <w:lang w:bidi="ar-EG"/>
        </w:rPr>
        <w:t>)</w:t>
      </w:r>
      <w:r>
        <w:rPr>
          <w:rFonts w:hint="cs"/>
          <w:rtl/>
          <w:lang w:bidi="ar-EG"/>
        </w:rPr>
        <w:t xml:space="preserve">(أ) من قانون </w:t>
      </w:r>
      <w:proofErr w:type="spellStart"/>
      <w:r>
        <w:rPr>
          <w:rFonts w:hint="cs"/>
          <w:rtl/>
          <w:lang w:bidi="ar-EG"/>
        </w:rPr>
        <w:t>ثاوث</w:t>
      </w:r>
      <w:proofErr w:type="spellEnd"/>
      <w:r>
        <w:rPr>
          <w:rFonts w:hint="cs"/>
          <w:rtl/>
          <w:lang w:bidi="ar-EG"/>
        </w:rPr>
        <w:t xml:space="preserve"> ويلز لمكافحة التمييز لعام 1977 ومن ثم قد ينتهك الفرع 38 جيم من القانون المذكور. وتنطبق الأحكام نفسها بشأن رفض الدخول إلى قاعة رياضة بدنية مخصصة للنساء حصرا</w:t>
      </w:r>
      <w:r w:rsidR="009B7B22">
        <w:rPr>
          <w:rFonts w:hint="cs"/>
          <w:rtl/>
          <w:lang w:bidi="ar-EG"/>
        </w:rPr>
        <w:t>ً</w:t>
      </w:r>
      <w:r>
        <w:rPr>
          <w:rFonts w:hint="cs"/>
          <w:rtl/>
          <w:lang w:bidi="ar-EG"/>
        </w:rPr>
        <w:t xml:space="preserve">. وتعيد الدولة الطرف التأكيد على أن صاحبة البلاغ لم تقدم أي دليل على حالات محددة عانت فيها من الضرر أو الأذى. وحتى إن رأت اللجنة أن هذا الادعاءات مدعومة بالأدلة، فإن الدولة الطرف تدفع بأن ادعاءات صاحبة البلاغ بموجب المادة 26 بشأن قانون نيو </w:t>
      </w:r>
      <w:proofErr w:type="spellStart"/>
      <w:r>
        <w:rPr>
          <w:rFonts w:hint="cs"/>
          <w:rtl/>
          <w:lang w:bidi="ar-EG"/>
        </w:rPr>
        <w:t>ثاوث</w:t>
      </w:r>
      <w:proofErr w:type="spellEnd"/>
      <w:r>
        <w:rPr>
          <w:rFonts w:hint="cs"/>
          <w:rtl/>
          <w:lang w:bidi="ar-EG"/>
        </w:rPr>
        <w:t xml:space="preserve"> ويلز لمكافحة التمييز لعام 1977 لا تستند إلى أساس موضوعي. </w:t>
      </w:r>
    </w:p>
    <w:p w:rsidR="00C9188E" w:rsidRDefault="00C9188E" w:rsidP="00C9188E">
      <w:pPr>
        <w:pStyle w:val="SingleTxtGA"/>
        <w:rPr>
          <w:rtl/>
          <w:lang w:bidi="ar-EG"/>
        </w:rPr>
      </w:pPr>
      <w:r>
        <w:rPr>
          <w:rFonts w:hint="cs"/>
          <w:rtl/>
          <w:lang w:bidi="ar-EG"/>
        </w:rPr>
        <w:t>4-20</w:t>
      </w:r>
      <w:r>
        <w:rPr>
          <w:rtl/>
          <w:lang w:bidi="ar-EG"/>
        </w:rPr>
        <w:tab/>
      </w:r>
      <w:r>
        <w:rPr>
          <w:rFonts w:hint="cs"/>
          <w:rtl/>
          <w:lang w:bidi="ar-EG"/>
        </w:rPr>
        <w:t>وإذا رأت اللجنة أن تمييزا</w:t>
      </w:r>
      <w:r w:rsidR="00322339">
        <w:rPr>
          <w:rFonts w:hint="cs"/>
          <w:rtl/>
          <w:lang w:bidi="ar-EG"/>
        </w:rPr>
        <w:t>ً</w:t>
      </w:r>
      <w:r>
        <w:rPr>
          <w:rFonts w:hint="cs"/>
          <w:rtl/>
          <w:lang w:bidi="ar-EG"/>
        </w:rPr>
        <w:t xml:space="preserve"> قد حدث في المعاملة على أساس الحالة الزواجية ("وضع آخر") بشأن تطبيق قانون </w:t>
      </w:r>
      <w:proofErr w:type="spellStart"/>
      <w:r>
        <w:rPr>
          <w:rFonts w:hint="cs"/>
          <w:rtl/>
          <w:lang w:bidi="ar-EG"/>
        </w:rPr>
        <w:t>ثاوث</w:t>
      </w:r>
      <w:proofErr w:type="spellEnd"/>
      <w:r>
        <w:rPr>
          <w:rFonts w:hint="cs"/>
          <w:rtl/>
          <w:lang w:bidi="ar-EG"/>
        </w:rPr>
        <w:t xml:space="preserve"> ويلز لمكافحة التمييز لعام 1977، فإن الدولة الطرف تعيد التأكيد على أن للقانون هدف مشروع يتمثل في تحقيق الاتساق مع قانون الزواج لعام 1961.</w:t>
      </w:r>
    </w:p>
    <w:p w:rsidR="00C9188E" w:rsidRDefault="00C9188E" w:rsidP="00C9188E">
      <w:pPr>
        <w:pStyle w:val="SingleTxtGA"/>
        <w:rPr>
          <w:rtl/>
          <w:lang w:bidi="ar-EG"/>
        </w:rPr>
      </w:pPr>
      <w:r>
        <w:rPr>
          <w:rFonts w:hint="cs"/>
          <w:rtl/>
          <w:lang w:bidi="ar-EG"/>
        </w:rPr>
        <w:t>4-21</w:t>
      </w:r>
      <w:r>
        <w:rPr>
          <w:rtl/>
          <w:lang w:bidi="ar-EG"/>
        </w:rPr>
        <w:tab/>
      </w:r>
      <w:r>
        <w:rPr>
          <w:rFonts w:hint="cs"/>
          <w:rtl/>
          <w:lang w:bidi="ar-EG"/>
        </w:rPr>
        <w:t>أما ادع</w:t>
      </w:r>
      <w:r w:rsidR="00F201DE">
        <w:rPr>
          <w:rFonts w:hint="cs"/>
          <w:rtl/>
          <w:lang w:bidi="ar-EG"/>
        </w:rPr>
        <w:t>اءات صاحبة البلاغ بشأن المادة 2</w:t>
      </w:r>
      <w:r>
        <w:rPr>
          <w:rFonts w:hint="cs"/>
          <w:rtl/>
          <w:lang w:bidi="ar-EG"/>
        </w:rPr>
        <w:t>(3) من العهد، فتحاج الدولة الطرف بأنه لا يوجد التزام بتوفير سبيل انتصاف، لأنه لم يقع انتهاك للمواد 2 و17 و26.</w:t>
      </w:r>
    </w:p>
    <w:p w:rsidR="00C9188E" w:rsidRDefault="00C9188E" w:rsidP="00C9188E">
      <w:pPr>
        <w:pStyle w:val="H23GA"/>
        <w:rPr>
          <w:rtl/>
          <w:lang w:bidi="ar-EG"/>
        </w:rPr>
      </w:pPr>
      <w:r>
        <w:rPr>
          <w:rtl/>
          <w:lang w:bidi="ar-EG"/>
        </w:rPr>
        <w:tab/>
      </w:r>
      <w:r>
        <w:rPr>
          <w:rtl/>
          <w:lang w:bidi="ar-EG"/>
        </w:rPr>
        <w:tab/>
      </w:r>
      <w:r w:rsidRPr="00400AAF">
        <w:rPr>
          <w:rFonts w:hint="cs"/>
          <w:rtl/>
          <w:lang w:bidi="ar-EG"/>
        </w:rPr>
        <w:t>تعليقات صاحبة البلاغ على ملاحظات الدولة الطرف</w:t>
      </w:r>
    </w:p>
    <w:p w:rsidR="00C9188E" w:rsidRDefault="00C9188E" w:rsidP="00C9188E">
      <w:pPr>
        <w:pStyle w:val="SingleTxtGA"/>
        <w:rPr>
          <w:rtl/>
          <w:lang w:bidi="ar-EG"/>
        </w:rPr>
      </w:pPr>
      <w:r>
        <w:rPr>
          <w:rFonts w:hint="cs"/>
          <w:rtl/>
          <w:lang w:bidi="ar-EG"/>
        </w:rPr>
        <w:t>5-1</w:t>
      </w:r>
      <w:r>
        <w:rPr>
          <w:rtl/>
          <w:lang w:bidi="ar-EG"/>
        </w:rPr>
        <w:tab/>
      </w:r>
      <w:r>
        <w:rPr>
          <w:rFonts w:hint="cs"/>
          <w:rtl/>
          <w:lang w:bidi="ar-EG"/>
        </w:rPr>
        <w:t>ذكرت صاحبة البلاغ، في تعليقاتها بتاريخ 12 تشرين الثاني/نوفمبر 2014، أن الاتساق بين تسجيلات المواليد وقانون الزواج لعام 1961 ليس هدفا</w:t>
      </w:r>
      <w:r w:rsidR="00322339">
        <w:rPr>
          <w:rFonts w:hint="cs"/>
          <w:rtl/>
          <w:lang w:bidi="ar-EG"/>
        </w:rPr>
        <w:t>ً</w:t>
      </w:r>
      <w:r>
        <w:rPr>
          <w:rFonts w:hint="cs"/>
          <w:rtl/>
          <w:lang w:bidi="ar-EG"/>
        </w:rPr>
        <w:t xml:space="preserve"> متسقا</w:t>
      </w:r>
      <w:r w:rsidR="00322339">
        <w:rPr>
          <w:rFonts w:hint="cs"/>
          <w:rtl/>
          <w:lang w:bidi="ar-EG"/>
        </w:rPr>
        <w:t>ً</w:t>
      </w:r>
      <w:r>
        <w:rPr>
          <w:rFonts w:hint="cs"/>
          <w:rtl/>
          <w:lang w:bidi="ar-EG"/>
        </w:rPr>
        <w:t xml:space="preserve"> مع أهدف العهد ومراميه، كما أن رفض الدولة الطرف الاعتراف القانوني بنوع جنس صاحبة البلاغ في شهادة ميلادها ليس معقولا</w:t>
      </w:r>
      <w:r w:rsidR="00322339">
        <w:rPr>
          <w:rFonts w:hint="cs"/>
          <w:rtl/>
          <w:lang w:bidi="ar-EG"/>
        </w:rPr>
        <w:t>ً</w:t>
      </w:r>
      <w:r>
        <w:rPr>
          <w:rFonts w:hint="cs"/>
          <w:rtl/>
          <w:lang w:bidi="ar-EG"/>
        </w:rPr>
        <w:t xml:space="preserve"> أو متناس</w:t>
      </w:r>
      <w:r w:rsidR="00F21316">
        <w:rPr>
          <w:rFonts w:hint="cs"/>
          <w:rtl/>
          <w:lang w:bidi="ar-EG"/>
        </w:rPr>
        <w:t xml:space="preserve">باً </w:t>
      </w:r>
      <w:r>
        <w:rPr>
          <w:rFonts w:hint="cs"/>
          <w:rtl/>
          <w:lang w:bidi="ar-EG"/>
        </w:rPr>
        <w:t>مع تحقيق هذا الهدف.</w:t>
      </w:r>
    </w:p>
    <w:p w:rsidR="00C9188E" w:rsidRPr="00442442" w:rsidRDefault="00C9188E" w:rsidP="00442442">
      <w:pPr>
        <w:pStyle w:val="SingleTxtGA"/>
        <w:rPr>
          <w:spacing w:val="-3"/>
          <w:rtl/>
          <w:lang w:bidi="ar-EG"/>
        </w:rPr>
      </w:pPr>
      <w:r w:rsidRPr="00442442">
        <w:rPr>
          <w:rFonts w:hint="cs"/>
          <w:spacing w:val="-3"/>
          <w:rtl/>
          <w:lang w:bidi="ar-EG"/>
        </w:rPr>
        <w:lastRenderedPageBreak/>
        <w:t>5-2</w:t>
      </w:r>
      <w:r w:rsidRPr="00442442">
        <w:rPr>
          <w:spacing w:val="-3"/>
          <w:rtl/>
          <w:lang w:bidi="ar-EG"/>
        </w:rPr>
        <w:tab/>
      </w:r>
      <w:r w:rsidRPr="00442442">
        <w:rPr>
          <w:rFonts w:hint="cs"/>
          <w:spacing w:val="-3"/>
          <w:rtl/>
          <w:lang w:bidi="ar-EG"/>
        </w:rPr>
        <w:t>وتشير صاحبة البلاغ إلى أن قانون التمييز على أساس نوع الجنس لعام 1984 قد عُدَّل، في تموز/يوليه 2013، ليتضمن الحماية من التمييز على أساس الميل الجنسي والهوية الجنسانية وحمل صفات الجنسين. ونتيجة لذلك، يحمي القانون الآن من التمييز في</w:t>
      </w:r>
      <w:r w:rsidR="00591684" w:rsidRPr="00442442">
        <w:rPr>
          <w:rFonts w:hint="cs"/>
          <w:spacing w:val="-3"/>
          <w:rtl/>
          <w:lang w:bidi="ar-EG"/>
        </w:rPr>
        <w:t xml:space="preserve"> تقديم الخدمات. بيد أن الفرع</w:t>
      </w:r>
      <w:r w:rsidR="00442442">
        <w:rPr>
          <w:rFonts w:hint="eastAsia"/>
          <w:spacing w:val="-3"/>
          <w:rtl/>
          <w:lang w:bidi="ar-EG"/>
        </w:rPr>
        <w:t> </w:t>
      </w:r>
      <w:r w:rsidR="00591684" w:rsidRPr="00442442">
        <w:rPr>
          <w:rFonts w:hint="cs"/>
          <w:spacing w:val="-3"/>
          <w:rtl/>
          <w:lang w:bidi="ar-EG"/>
        </w:rPr>
        <w:t>40</w:t>
      </w:r>
      <w:r w:rsidRPr="00442442">
        <w:rPr>
          <w:rFonts w:hint="cs"/>
          <w:spacing w:val="-3"/>
          <w:rtl/>
          <w:lang w:bidi="ar-EG"/>
        </w:rPr>
        <w:t>(5) من هذا القانون ظلَّ دون تغيير لاستثناء قوانين الولايات والقوانين المحلية التي تقضي برفض تغيير السجل الرسمي لنوع جنس الشخص لأنه متزوج. وقد أُتيحت للدولة الطرف الفرصة لتغيير القانون لتوفير الحماية لمن هم في حالة صاحبة البلاغ ولكنها لم تفعل ذلك.</w:t>
      </w:r>
    </w:p>
    <w:p w:rsidR="00C9188E" w:rsidRDefault="00C9188E" w:rsidP="00C9188E">
      <w:pPr>
        <w:pStyle w:val="SingleTxtGA"/>
        <w:rPr>
          <w:rtl/>
          <w:lang w:bidi="ar-EG"/>
        </w:rPr>
      </w:pPr>
      <w:r>
        <w:rPr>
          <w:rFonts w:hint="cs"/>
          <w:rtl/>
          <w:lang w:bidi="ar-EG"/>
        </w:rPr>
        <w:t>5-3</w:t>
      </w:r>
      <w:r>
        <w:rPr>
          <w:rtl/>
          <w:lang w:bidi="ar-EG"/>
        </w:rPr>
        <w:tab/>
      </w:r>
      <w:r>
        <w:rPr>
          <w:rFonts w:hint="cs"/>
          <w:rtl/>
          <w:lang w:bidi="ar-EG"/>
        </w:rPr>
        <w:t>وفي تموز/يوليه 2013، أصدرت إدارة المد</w:t>
      </w:r>
      <w:r w:rsidR="000770FC">
        <w:rPr>
          <w:rFonts w:hint="cs"/>
          <w:rtl/>
          <w:lang w:bidi="ar-EG"/>
        </w:rPr>
        <w:t>عي العام في الحكومة الاتحادية "</w:t>
      </w:r>
      <w:r>
        <w:rPr>
          <w:rFonts w:hint="cs"/>
          <w:rtl/>
          <w:lang w:bidi="ar-EG"/>
        </w:rPr>
        <w:t>مبادئ الحكومة الأسترالية التوجيهية بشأن الاعتراف بنوع الجنس وبالحالة الجنسانية" التي يجب أن تطبقها جميع إدارات ووكالات الحكومة الاتحادية التي تحتفظ بسجلات شخصية و/أو تجمع معلومات تتعلق بنوع الجنس و/أو الحالة الجنسانية. وتحدد المبادئ التوجيهية أن حكومة أستراليا ستعترف كدليل كاف على جنس الشخص و/أو حالته الجنسانية بأيٍ مما يلي: (أ) بيان من ممارس طبي مسجل أو طبيب نفسي مسجل؛ (ب) وثيقة سفر صالحة صادرة عن حكومة أستراليا، مثل جواز السفر؛ (ج) شهادة ميلاد معدلة أو شهادة اعتراف بالحالة الجنسانية. بيد أن المبادئ التوجيهية لا تنطبق على أدارات حكومات الولايات أو على الكيانات الخاصة. ويعود الأمر لكل وكالة في تحديد إن كانت شهادة الميلاد ضرورية. ونتيجة لذلك، ليس هناك ضمان بعدم طلب شهادة ميلاد ولا بيان يوضح مدى مشروعية طلب الشهادة، أو الحالات التي يكون فيها طلبها مشروعا</w:t>
      </w:r>
      <w:r w:rsidR="00322339">
        <w:rPr>
          <w:rFonts w:hint="cs"/>
          <w:rtl/>
          <w:lang w:bidi="ar-EG"/>
        </w:rPr>
        <w:t>ً</w:t>
      </w:r>
      <w:r>
        <w:rPr>
          <w:rFonts w:hint="cs"/>
          <w:rtl/>
          <w:lang w:bidi="ar-EG"/>
        </w:rPr>
        <w:t>.</w:t>
      </w:r>
    </w:p>
    <w:p w:rsidR="00C9188E" w:rsidRDefault="00C9188E" w:rsidP="00E609D3">
      <w:pPr>
        <w:pStyle w:val="SingleTxtGA"/>
        <w:rPr>
          <w:rtl/>
          <w:lang w:bidi="ar-EG"/>
        </w:rPr>
      </w:pPr>
      <w:r>
        <w:rPr>
          <w:rFonts w:hint="cs"/>
          <w:rtl/>
          <w:lang w:bidi="ar-EG"/>
        </w:rPr>
        <w:t>5-4</w:t>
      </w:r>
      <w:r>
        <w:rPr>
          <w:rtl/>
          <w:lang w:bidi="ar-EG"/>
        </w:rPr>
        <w:tab/>
      </w:r>
      <w:r>
        <w:rPr>
          <w:rFonts w:hint="cs"/>
          <w:rtl/>
          <w:lang w:bidi="ar-EG"/>
        </w:rPr>
        <w:t>وترد الإشارة في المبادئ التوجيهية إلى أن الإدارة، أو الوكالة، يمكن أن تسعى، في الحالات التي تكون فيها المعلومات متضاربة في الوثائق الرسمية، إلى الحصول على مزيد من المعلومات والأدلة الداعمة للتثبت من هوية الشخص المعني. ولذلك، ففي الحالة التي يذكر فيها جواز الشخص نوع جنس، بينما يرد نوع جنس آخر في شهادة ميلاده، يُخوَّل للإدارة، أو</w:t>
      </w:r>
      <w:r w:rsidR="00E609D3">
        <w:rPr>
          <w:rFonts w:hint="eastAsia"/>
          <w:rtl/>
          <w:lang w:bidi="ar-EG"/>
        </w:rPr>
        <w:t> </w:t>
      </w:r>
      <w:r>
        <w:rPr>
          <w:rFonts w:hint="cs"/>
          <w:rtl/>
          <w:lang w:bidi="ar-EG"/>
        </w:rPr>
        <w:t>الوكالة، أن تطلب مزيدا</w:t>
      </w:r>
      <w:r w:rsidR="00322339">
        <w:rPr>
          <w:rFonts w:hint="cs"/>
          <w:rtl/>
          <w:lang w:bidi="ar-EG"/>
        </w:rPr>
        <w:t>ً</w:t>
      </w:r>
      <w:r>
        <w:rPr>
          <w:rFonts w:hint="cs"/>
          <w:rtl/>
          <w:lang w:bidi="ar-EG"/>
        </w:rPr>
        <w:t xml:space="preserve"> من المعلومات لتحديد هوية الشخص.</w:t>
      </w:r>
    </w:p>
    <w:p w:rsidR="00C9188E" w:rsidRDefault="00C9188E" w:rsidP="002D72C9">
      <w:pPr>
        <w:pStyle w:val="SingleTxtGA"/>
        <w:rPr>
          <w:rtl/>
          <w:lang w:bidi="ar-EG"/>
        </w:rPr>
      </w:pPr>
      <w:r>
        <w:rPr>
          <w:rFonts w:hint="cs"/>
          <w:rtl/>
          <w:lang w:bidi="ar-EG"/>
        </w:rPr>
        <w:t>5-5</w:t>
      </w:r>
      <w:r>
        <w:rPr>
          <w:rtl/>
          <w:lang w:bidi="ar-EG"/>
        </w:rPr>
        <w:tab/>
      </w:r>
      <w:r>
        <w:rPr>
          <w:rFonts w:hint="cs"/>
          <w:rtl/>
          <w:lang w:bidi="ar-EG"/>
        </w:rPr>
        <w:t>وتشير صاحبة البلاغ إلى حكم أصدرته المحكمة الأوروبية لحقوق الإنسان في الآونة الأخيرة</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23"/>
      </w:r>
      <w:r w:rsidR="00C34C06">
        <w:rPr>
          <w:rStyle w:val="FootnoteReference"/>
          <w:rFonts w:ascii="Traditional Arabic" w:hAnsi="Traditional Arabic"/>
          <w:sz w:val="30"/>
          <w:rtl/>
          <w:lang w:bidi="ar-EG"/>
        </w:rPr>
        <w:t>)</w:t>
      </w:r>
      <w:r>
        <w:rPr>
          <w:rFonts w:hint="cs"/>
          <w:rtl/>
          <w:lang w:bidi="ar-EG"/>
        </w:rPr>
        <w:t xml:space="preserve"> وتتعلق القضية بامرأة مغايرة </w:t>
      </w:r>
      <w:proofErr w:type="spellStart"/>
      <w:r w:rsidR="002634C6">
        <w:rPr>
          <w:rFonts w:hint="cs"/>
          <w:rtl/>
          <w:lang w:bidi="ar-EG"/>
        </w:rPr>
        <w:t>جنسانياً</w:t>
      </w:r>
      <w:proofErr w:type="spellEnd"/>
      <w:r>
        <w:rPr>
          <w:rFonts w:hint="cs"/>
          <w:rtl/>
          <w:lang w:bidi="ar-EG"/>
        </w:rPr>
        <w:t xml:space="preserve"> متزوجة في فنلندا كانت ترغب في الحصول على رقم هوية </w:t>
      </w:r>
      <w:r w:rsidR="002D72C9">
        <w:rPr>
          <w:rFonts w:hint="cs"/>
          <w:rtl/>
          <w:lang w:bidi="ar-EG"/>
        </w:rPr>
        <w:t>أ</w:t>
      </w:r>
      <w:r>
        <w:rPr>
          <w:rFonts w:hint="cs"/>
          <w:rtl/>
          <w:lang w:bidi="ar-EG"/>
        </w:rPr>
        <w:t>نثوي جديد. وفي الوقت الحاضر، لا تسمح قوانين فنلندا للشخص بتغيير نوع جنسه القانوني بالحصول على رقم هوية جديد إذا كان متزوجا</w:t>
      </w:r>
      <w:r w:rsidR="00322339">
        <w:rPr>
          <w:rFonts w:hint="cs"/>
          <w:rtl/>
          <w:lang w:bidi="ar-EG"/>
        </w:rPr>
        <w:t>ً</w:t>
      </w:r>
      <w:r>
        <w:rPr>
          <w:rFonts w:hint="cs"/>
          <w:rtl/>
          <w:lang w:bidi="ar-EG"/>
        </w:rPr>
        <w:t>. بيد أن بوسعه أن يختار تغيير زواجه إلى اقتران مدني. وخلصت المحكمة إلى حدوث انتهاك للخصوصية بموجب المادة 8 من الاتفاقية الأوروبية لحقوق الإنسان، غير أن هذا الانتهاك يُعد معقولا</w:t>
      </w:r>
      <w:r w:rsidR="00322339">
        <w:rPr>
          <w:rFonts w:hint="cs"/>
          <w:rtl/>
          <w:lang w:bidi="ar-EG"/>
        </w:rPr>
        <w:t>ً</w:t>
      </w:r>
      <w:r>
        <w:rPr>
          <w:rFonts w:hint="cs"/>
          <w:rtl/>
          <w:lang w:bidi="ar-EG"/>
        </w:rPr>
        <w:t xml:space="preserve"> وملائما</w:t>
      </w:r>
      <w:r w:rsidR="00322339">
        <w:rPr>
          <w:rFonts w:hint="cs"/>
          <w:rtl/>
          <w:lang w:bidi="ar-EG"/>
        </w:rPr>
        <w:t>ً</w:t>
      </w:r>
      <w:r>
        <w:rPr>
          <w:rFonts w:hint="cs"/>
          <w:rtl/>
          <w:lang w:bidi="ar-EG"/>
        </w:rPr>
        <w:t xml:space="preserve"> لأن زواج مثليي الجنس غير معترف به. بيد أن المحكمة، عندما نظرت في مدى وقوع التدخل في الخصوصية في حدود التقدير المسموح به للدول في إطار النظام الأوروبي، أعارت وزنا</w:t>
      </w:r>
      <w:r w:rsidR="00322339">
        <w:rPr>
          <w:rFonts w:hint="cs"/>
          <w:rtl/>
          <w:lang w:bidi="ar-EG"/>
        </w:rPr>
        <w:t>ً</w:t>
      </w:r>
      <w:r>
        <w:rPr>
          <w:rFonts w:hint="cs"/>
          <w:rtl/>
          <w:lang w:bidi="ar-EG"/>
        </w:rPr>
        <w:t xml:space="preserve"> كبيرا</w:t>
      </w:r>
      <w:r w:rsidR="00322339">
        <w:rPr>
          <w:rFonts w:hint="cs"/>
          <w:rtl/>
          <w:lang w:bidi="ar-EG"/>
        </w:rPr>
        <w:t>ً</w:t>
      </w:r>
      <w:r>
        <w:rPr>
          <w:rFonts w:hint="cs"/>
          <w:rtl/>
          <w:lang w:bidi="ar-EG"/>
        </w:rPr>
        <w:t xml:space="preserve"> لإمكانية حصول المدعية على الاعتراف بزواجها كاقتران مدني. وتدفع صاحبة البلاغ بأن هذا ليس خيارا</w:t>
      </w:r>
      <w:r w:rsidR="00322339">
        <w:rPr>
          <w:rFonts w:hint="cs"/>
          <w:rtl/>
          <w:lang w:bidi="ar-EG"/>
        </w:rPr>
        <w:t>ً</w:t>
      </w:r>
      <w:r>
        <w:rPr>
          <w:rFonts w:hint="cs"/>
          <w:rtl/>
          <w:lang w:bidi="ar-EG"/>
        </w:rPr>
        <w:t xml:space="preserve"> متاحا</w:t>
      </w:r>
      <w:r w:rsidR="00322339">
        <w:rPr>
          <w:rFonts w:hint="cs"/>
          <w:rtl/>
          <w:lang w:bidi="ar-EG"/>
        </w:rPr>
        <w:t>ً</w:t>
      </w:r>
      <w:r>
        <w:rPr>
          <w:rFonts w:hint="cs"/>
          <w:rtl/>
          <w:lang w:bidi="ar-EG"/>
        </w:rPr>
        <w:t xml:space="preserve"> لها هي، أو في أستراليا بوجه عام</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24"/>
      </w:r>
      <w:r w:rsidR="00C34C06">
        <w:rPr>
          <w:rStyle w:val="FootnoteReference"/>
          <w:rFonts w:ascii="Traditional Arabic" w:hAnsi="Traditional Arabic"/>
          <w:sz w:val="30"/>
          <w:rtl/>
          <w:lang w:bidi="ar-EG"/>
        </w:rPr>
        <w:t>)</w:t>
      </w:r>
      <w:r w:rsidR="00C34C06">
        <w:rPr>
          <w:rFonts w:hint="cs"/>
          <w:rtl/>
          <w:lang w:bidi="ar-EG"/>
        </w:rPr>
        <w:t>.</w:t>
      </w:r>
      <w:r>
        <w:rPr>
          <w:rFonts w:hint="cs"/>
          <w:rtl/>
          <w:lang w:bidi="ar-EG"/>
        </w:rPr>
        <w:t xml:space="preserve"> و</w:t>
      </w:r>
      <w:r w:rsidR="002634C6">
        <w:rPr>
          <w:rFonts w:hint="cs"/>
          <w:rtl/>
          <w:lang w:bidi="ar-EG"/>
        </w:rPr>
        <w:t>فضلاً</w:t>
      </w:r>
      <w:r>
        <w:rPr>
          <w:rFonts w:hint="cs"/>
          <w:rtl/>
          <w:lang w:bidi="ar-EG"/>
        </w:rPr>
        <w:t xml:space="preserve"> عن ذلك، يمكن تمييز هذه الحالة لأن المادة 14 من الاتفاقية الأوروبية لحقوق الإنسان تقتضي المساواة فقط في التمتع بالحقوق المنصوص عليها في الاتفاقية، بينما تمثل المادة 26 من العهد حكما</w:t>
      </w:r>
      <w:r w:rsidR="00322339">
        <w:rPr>
          <w:rFonts w:hint="cs"/>
          <w:rtl/>
          <w:lang w:bidi="ar-EG"/>
        </w:rPr>
        <w:t>ً</w:t>
      </w:r>
      <w:r>
        <w:rPr>
          <w:rFonts w:hint="cs"/>
          <w:rtl/>
          <w:lang w:bidi="ar-EG"/>
        </w:rPr>
        <w:t xml:space="preserve"> قائما</w:t>
      </w:r>
      <w:r w:rsidR="00322339">
        <w:rPr>
          <w:rFonts w:hint="cs"/>
          <w:rtl/>
          <w:lang w:bidi="ar-EG"/>
        </w:rPr>
        <w:t>ً</w:t>
      </w:r>
      <w:r>
        <w:rPr>
          <w:rFonts w:hint="cs"/>
          <w:rtl/>
          <w:lang w:bidi="ar-EG"/>
        </w:rPr>
        <w:t xml:space="preserve"> بذاته بشأن المساواة أمام القانون.</w:t>
      </w:r>
    </w:p>
    <w:p w:rsidR="00C9188E" w:rsidRDefault="00C9188E" w:rsidP="00C9188E">
      <w:pPr>
        <w:pStyle w:val="SingleTxtGA"/>
        <w:rPr>
          <w:rtl/>
          <w:lang w:bidi="ar-EG"/>
        </w:rPr>
      </w:pPr>
      <w:r>
        <w:rPr>
          <w:rFonts w:hint="cs"/>
          <w:rtl/>
          <w:lang w:bidi="ar-EG"/>
        </w:rPr>
        <w:lastRenderedPageBreak/>
        <w:t>5-6</w:t>
      </w:r>
      <w:r>
        <w:rPr>
          <w:rtl/>
          <w:lang w:bidi="ar-EG"/>
        </w:rPr>
        <w:tab/>
      </w:r>
      <w:r>
        <w:rPr>
          <w:rFonts w:hint="cs"/>
          <w:rtl/>
          <w:lang w:bidi="ar-EG"/>
        </w:rPr>
        <w:t>ومن حيث المقبولية، تذكر صاحبة البلاغ أن رفض السماح بتغيير نوع الجنس في شهادة ميلادها، وهي وثيقة تحدد بصورة أولية هويتها القانونية بالنسبة لجميع القوانين الأخرى، يكفي لإثبات التدخل في خصوصيتها ووضعها كضحية بموجب المادة 17. وقد أقرت اللجنة منذ وقت طويل بأن الهوية تمثل جان</w:t>
      </w:r>
      <w:r w:rsidR="00F21316">
        <w:rPr>
          <w:rFonts w:hint="cs"/>
          <w:rtl/>
          <w:lang w:bidi="ar-EG"/>
        </w:rPr>
        <w:t xml:space="preserve">باً </w:t>
      </w:r>
      <w:r>
        <w:rPr>
          <w:rFonts w:hint="cs"/>
          <w:rtl/>
          <w:lang w:bidi="ar-EG"/>
        </w:rPr>
        <w:t>مهما</w:t>
      </w:r>
      <w:r w:rsidR="00322339">
        <w:rPr>
          <w:rFonts w:hint="cs"/>
          <w:rtl/>
          <w:lang w:bidi="ar-EG"/>
        </w:rPr>
        <w:t>ً</w:t>
      </w:r>
      <w:r>
        <w:rPr>
          <w:rFonts w:hint="cs"/>
          <w:rtl/>
          <w:lang w:bidi="ar-EG"/>
        </w:rPr>
        <w:t xml:space="preserve"> م</w:t>
      </w:r>
      <w:bookmarkStart w:id="4" w:name="_Hlk491703935"/>
      <w:r w:rsidR="00D825BC">
        <w:rPr>
          <w:rFonts w:hint="cs"/>
          <w:rtl/>
          <w:lang w:bidi="ar-EG"/>
        </w:rPr>
        <w:t>ن جوانب الخصوصية وأن الخصوصية "</w:t>
      </w:r>
      <w:r>
        <w:rPr>
          <w:rFonts w:hint="cs"/>
          <w:rtl/>
          <w:lang w:bidi="ar-EG"/>
        </w:rPr>
        <w:t>تشير إلى نطاق حياة الفرد الذي يسعه أن يعبر بحرية في مجاله عن هويته، سواء كان ذلك بالدخول في علاقات مع الآخرين أو بمفرده</w:t>
      </w:r>
      <w:bookmarkEnd w:id="4"/>
      <w:r w:rsidR="00C34C06">
        <w:rPr>
          <w:rFonts w:hint="cs"/>
          <w:rtl/>
          <w:lang w:bidi="ar-EG"/>
        </w:rPr>
        <w:t>"</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25"/>
      </w:r>
      <w:r w:rsidR="00C34C06">
        <w:rPr>
          <w:rStyle w:val="FootnoteReference"/>
          <w:rFonts w:ascii="Traditional Arabic" w:hAnsi="Traditional Arabic"/>
          <w:sz w:val="30"/>
          <w:rtl/>
          <w:lang w:bidi="ar-EG"/>
        </w:rPr>
        <w:t>)</w:t>
      </w:r>
      <w:r w:rsidR="00C34C06">
        <w:rPr>
          <w:rFonts w:hint="cs"/>
          <w:rtl/>
          <w:lang w:bidi="ar-EG"/>
        </w:rPr>
        <w:t>.</w:t>
      </w:r>
      <w:r>
        <w:rPr>
          <w:rFonts w:hint="cs"/>
          <w:rtl/>
          <w:lang w:bidi="ar-EG"/>
        </w:rPr>
        <w:t xml:space="preserve"> ويشكل تقييد أو حظر شخص من تحديد حتى التفاصيل الصغيرة م</w:t>
      </w:r>
      <w:r w:rsidR="00C34C06">
        <w:rPr>
          <w:rFonts w:hint="cs"/>
          <w:rtl/>
          <w:lang w:bidi="ar-EG"/>
        </w:rPr>
        <w:t>ن هويته، مثل تهجئة اسم العائلة</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26"/>
      </w:r>
      <w:r w:rsidR="00C34C06">
        <w:rPr>
          <w:rStyle w:val="FootnoteReference"/>
          <w:rFonts w:ascii="Traditional Arabic" w:hAnsi="Traditional Arabic"/>
          <w:sz w:val="30"/>
          <w:rtl/>
          <w:lang w:bidi="ar-EG"/>
        </w:rPr>
        <w:t>)</w:t>
      </w:r>
      <w:r w:rsidR="00C34C06">
        <w:rPr>
          <w:rFonts w:hint="cs"/>
          <w:rtl/>
          <w:lang w:bidi="ar-EG"/>
        </w:rPr>
        <w:t>،</w:t>
      </w:r>
      <w:r>
        <w:rPr>
          <w:rFonts w:hint="cs"/>
          <w:rtl/>
          <w:lang w:bidi="ar-EG"/>
        </w:rPr>
        <w:t xml:space="preserve"> تدخلا</w:t>
      </w:r>
      <w:r w:rsidR="00C34C06">
        <w:rPr>
          <w:rFonts w:hint="cs"/>
          <w:rtl/>
          <w:lang w:bidi="ar-EG"/>
        </w:rPr>
        <w:t>ً</w:t>
      </w:r>
      <w:r>
        <w:rPr>
          <w:rFonts w:hint="cs"/>
          <w:rtl/>
          <w:lang w:bidi="ar-EG"/>
        </w:rPr>
        <w:t xml:space="preserve"> في الحق في الخصوصية. وقد أعادت المحكمة الأوروبية لحقوق الإنسان ا</w:t>
      </w:r>
      <w:r w:rsidR="00D825BC">
        <w:rPr>
          <w:rFonts w:hint="cs"/>
          <w:rtl/>
          <w:lang w:bidi="ar-EG"/>
        </w:rPr>
        <w:t>لتأكيد على أن "</w:t>
      </w:r>
      <w:r>
        <w:rPr>
          <w:rFonts w:hint="cs"/>
          <w:rtl/>
          <w:lang w:bidi="ar-EG"/>
        </w:rPr>
        <w:t xml:space="preserve">المغاير </w:t>
      </w:r>
      <w:proofErr w:type="spellStart"/>
      <w:r w:rsidR="002634C6">
        <w:rPr>
          <w:rFonts w:hint="cs"/>
          <w:rtl/>
          <w:lang w:bidi="ar-EG"/>
        </w:rPr>
        <w:t>جنسانياً</w:t>
      </w:r>
      <w:proofErr w:type="spellEnd"/>
      <w:r>
        <w:rPr>
          <w:rFonts w:hint="cs"/>
          <w:rtl/>
          <w:lang w:bidi="ar-EG"/>
        </w:rPr>
        <w:t xml:space="preserve"> بعد عملية جراحية يمكن أن يدعى أنه ضحية انتهاك لحقه في احترام الحياة الخاصة ... بسبب عدم الاعتراف بتغيير نوع جنس</w:t>
      </w:r>
      <w:r w:rsidR="00C34C06">
        <w:rPr>
          <w:rFonts w:hint="cs"/>
          <w:rtl/>
          <w:lang w:bidi="ar-EG"/>
        </w:rPr>
        <w:t>ه"، مستشهدة في ذلك بقضايا عديدة</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27"/>
      </w:r>
      <w:r w:rsidR="00C34C06">
        <w:rPr>
          <w:rStyle w:val="FootnoteReference"/>
          <w:rFonts w:ascii="Traditional Arabic" w:hAnsi="Traditional Arabic"/>
          <w:sz w:val="30"/>
          <w:rtl/>
          <w:lang w:bidi="ar-EG"/>
        </w:rPr>
        <w:t>)</w:t>
      </w:r>
      <w:r w:rsidR="00C34C06">
        <w:rPr>
          <w:rFonts w:hint="cs"/>
          <w:rtl/>
          <w:lang w:bidi="ar-EG"/>
        </w:rPr>
        <w:t>.</w:t>
      </w:r>
      <w:r>
        <w:rPr>
          <w:rFonts w:hint="cs"/>
          <w:rtl/>
          <w:lang w:bidi="ar-EG"/>
        </w:rPr>
        <w:t xml:space="preserve"> ولم توضح الدولة الطرف لماذا لا يرقى عجزها عن الاعتراف قانونا</w:t>
      </w:r>
      <w:r w:rsidR="00322339">
        <w:rPr>
          <w:rFonts w:hint="cs"/>
          <w:rtl/>
          <w:lang w:bidi="ar-EG"/>
        </w:rPr>
        <w:t>ً</w:t>
      </w:r>
      <w:r>
        <w:rPr>
          <w:rFonts w:hint="cs"/>
          <w:rtl/>
          <w:lang w:bidi="ar-EG"/>
        </w:rPr>
        <w:t xml:space="preserve"> بنوع جنسها بتغيير اسمها في شهادة ميلادها إلى تدخل من هذا القبيل.</w:t>
      </w:r>
    </w:p>
    <w:p w:rsidR="00C9188E" w:rsidRDefault="00C9188E" w:rsidP="001F2558">
      <w:pPr>
        <w:pStyle w:val="SingleTxtGA"/>
        <w:rPr>
          <w:rtl/>
          <w:lang w:bidi="ar-EG"/>
        </w:rPr>
      </w:pPr>
      <w:r>
        <w:rPr>
          <w:rFonts w:hint="cs"/>
          <w:rtl/>
          <w:lang w:bidi="ar-EG"/>
        </w:rPr>
        <w:t>5-7</w:t>
      </w:r>
      <w:r>
        <w:rPr>
          <w:rtl/>
          <w:lang w:bidi="ar-EG"/>
        </w:rPr>
        <w:tab/>
      </w:r>
      <w:r>
        <w:rPr>
          <w:rFonts w:hint="cs"/>
          <w:rtl/>
          <w:lang w:bidi="ar-EG"/>
        </w:rPr>
        <w:t>وبشأن حجة الدولة الطرف القائلة بأن ثمة عدد قليل من الظروف التي سيطلب فيها من صاحبة البلاغ إبراز شهادة ميلادها كوسيلة وحيدة لتحديد هويتها وأنها عجزت عن أن تسوق أي مثال من هذا القبيل، تدفع صاحبة البلاغ بأن العجز عن تغيير شهادة ميلادها يكفي لإثبات وضع الضحية وانتهاك المادة 17. بيد أنه إذا طلبت اللجنة مزيدا</w:t>
      </w:r>
      <w:r w:rsidR="00322339">
        <w:rPr>
          <w:rFonts w:hint="cs"/>
          <w:rtl/>
          <w:lang w:bidi="ar-EG"/>
        </w:rPr>
        <w:t>ً</w:t>
      </w:r>
      <w:r>
        <w:rPr>
          <w:rFonts w:hint="cs"/>
          <w:rtl/>
          <w:lang w:bidi="ar-EG"/>
        </w:rPr>
        <w:t xml:space="preserve"> من الحجج، فإن صاحبة البلاغ تدعي أن: (أ) الأمثلة على طلبات فعلية غير مطلوبة، إذ أن التخوف من الطلبات المحتملة في المستقبل يكفي؛ (ب) أن تكون شهادة الميلاد مطلوبة كوسيلة رئيسية لإثبات الهوية، أو كوسيلة واحدة من عدة وسائل، أمر لا قيمة له، إذ </w:t>
      </w:r>
      <w:r w:rsidR="001F2558">
        <w:rPr>
          <w:rFonts w:hint="cs"/>
          <w:rtl/>
          <w:lang w:bidi="ar-EG"/>
        </w:rPr>
        <w:t>إ</w:t>
      </w:r>
      <w:r>
        <w:rPr>
          <w:rFonts w:hint="cs"/>
          <w:rtl/>
          <w:lang w:bidi="ar-EG"/>
        </w:rPr>
        <w:t xml:space="preserve">ن صاحبة البلاغ ستضطر إلى الكشف عن أنها مغايرة </w:t>
      </w:r>
      <w:proofErr w:type="spellStart"/>
      <w:r w:rsidR="002634C6">
        <w:rPr>
          <w:rFonts w:hint="cs"/>
          <w:rtl/>
          <w:lang w:bidi="ar-EG"/>
        </w:rPr>
        <w:t>جنسانياً</w:t>
      </w:r>
      <w:proofErr w:type="spellEnd"/>
      <w:r>
        <w:rPr>
          <w:rFonts w:hint="cs"/>
          <w:rtl/>
          <w:lang w:bidi="ar-EG"/>
        </w:rPr>
        <w:t xml:space="preserve"> بإبراز شهادة ميلادها.</w:t>
      </w:r>
    </w:p>
    <w:p w:rsidR="00C9188E" w:rsidRDefault="00C9188E" w:rsidP="000F6A8B">
      <w:pPr>
        <w:pStyle w:val="SingleTxtGA"/>
        <w:rPr>
          <w:rtl/>
          <w:lang w:bidi="ar-EG"/>
        </w:rPr>
      </w:pPr>
      <w:r>
        <w:rPr>
          <w:rFonts w:hint="cs"/>
          <w:rtl/>
          <w:lang w:bidi="ar-EG"/>
        </w:rPr>
        <w:t>5-8</w:t>
      </w:r>
      <w:r>
        <w:rPr>
          <w:rtl/>
          <w:lang w:bidi="ar-EG"/>
        </w:rPr>
        <w:tab/>
      </w:r>
      <w:r>
        <w:rPr>
          <w:rFonts w:hint="cs"/>
          <w:rtl/>
          <w:lang w:bidi="ar-EG"/>
        </w:rPr>
        <w:t>وتحاج صاحبة البلاغ بأن احتمال أن يُطلب منها تقديم شهادة ميلاد يشكل في حد ذاته</w:t>
      </w:r>
      <w:r w:rsidR="00F80817">
        <w:rPr>
          <w:rFonts w:hint="cs"/>
          <w:rtl/>
          <w:lang w:bidi="ar-EG"/>
        </w:rPr>
        <w:t xml:space="preserve"> </w:t>
      </w:r>
      <w:r>
        <w:rPr>
          <w:rFonts w:hint="cs"/>
          <w:rtl/>
          <w:lang w:bidi="ar-EG"/>
        </w:rPr>
        <w:t>"ضررا</w:t>
      </w:r>
      <w:r w:rsidR="00F80817">
        <w:rPr>
          <w:rFonts w:hint="cs"/>
          <w:rtl/>
          <w:lang w:bidi="ar-EG"/>
        </w:rPr>
        <w:t>ً</w:t>
      </w:r>
      <w:r>
        <w:rPr>
          <w:rFonts w:hint="cs"/>
          <w:rtl/>
          <w:lang w:bidi="ar-EG"/>
        </w:rPr>
        <w:t>" يثبت الانتهاك. وقد قضت اللجنة بأن القانون المحلي قد يكون غير متوافق مع العهد حتى في الحالات التي لم يُطبَّق فيها على صاحبة البلاغ المعنية بشكل مباشر</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28"/>
      </w:r>
      <w:r w:rsidR="00C34C06">
        <w:rPr>
          <w:rStyle w:val="FootnoteReference"/>
          <w:rFonts w:ascii="Traditional Arabic" w:hAnsi="Traditional Arabic"/>
          <w:sz w:val="30"/>
          <w:rtl/>
          <w:lang w:bidi="ar-EG"/>
        </w:rPr>
        <w:t>)</w:t>
      </w:r>
      <w:r>
        <w:rPr>
          <w:rFonts w:hint="cs"/>
          <w:rtl/>
          <w:lang w:bidi="ar-EG"/>
        </w:rPr>
        <w:t>. وبناءً على ذلك، ليس من الضروري أن تورد صاحبة البلاغ حالة خاصة تحتم فيها إبراز شهادة ميلادها. ويكفيها إظهار عدم اليقين والضغط المقترنين بمعرفة أن الشهادة ينبغي أن تُقدم للعمل، أو التأمين، أو الوصايا، أو لأغراض التركة. و</w:t>
      </w:r>
      <w:r w:rsidR="002634C6">
        <w:rPr>
          <w:rFonts w:hint="cs"/>
          <w:rtl/>
          <w:lang w:bidi="ar-EG"/>
        </w:rPr>
        <w:t>فضلاً</w:t>
      </w:r>
      <w:r>
        <w:rPr>
          <w:rFonts w:hint="cs"/>
          <w:rtl/>
          <w:lang w:bidi="ar-EG"/>
        </w:rPr>
        <w:t xml:space="preserve"> عن ذلك، وجدت اللجنة أن الحالات التي يسمح فيها قانون تمييزي محدد بممارسة أفعال تمييزية أخرى مقبولة. ومن ثم خلصت اللجنة إلى أن القانون الذي ينشأ عنه احتمال إبعاد رجال على أساس تمييزي والضغط </w:t>
      </w:r>
      <w:r w:rsidR="00C34C06">
        <w:rPr>
          <w:rFonts w:hint="cs"/>
          <w:rtl/>
          <w:lang w:bidi="ar-EG"/>
        </w:rPr>
        <w:t>الذي عانوا منه نتيجة لذلك كافياً</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29"/>
      </w:r>
      <w:r w:rsidR="00C34C06">
        <w:rPr>
          <w:rStyle w:val="FootnoteReference"/>
          <w:rFonts w:ascii="Traditional Arabic" w:hAnsi="Traditional Arabic"/>
          <w:sz w:val="30"/>
          <w:rtl/>
          <w:lang w:bidi="ar-EG"/>
        </w:rPr>
        <w:t>)</w:t>
      </w:r>
      <w:r w:rsidR="00C34C06">
        <w:rPr>
          <w:rFonts w:hint="cs"/>
          <w:rtl/>
          <w:lang w:bidi="ar-EG"/>
        </w:rPr>
        <w:t>.</w:t>
      </w:r>
      <w:r>
        <w:rPr>
          <w:rFonts w:hint="cs"/>
          <w:rtl/>
          <w:lang w:bidi="ar-EG"/>
        </w:rPr>
        <w:t xml:space="preserve"> فالشك الذي يحيط بالوقت والمكان الذي يمكن أن </w:t>
      </w:r>
      <w:r>
        <w:rPr>
          <w:rFonts w:hint="cs"/>
          <w:rtl/>
          <w:lang w:bidi="ar-EG"/>
        </w:rPr>
        <w:lastRenderedPageBreak/>
        <w:t>يطلب فيهما من صاحبة البلاغ إبراز شهادة ميلادها سبَّبا</w:t>
      </w:r>
      <w:r w:rsidR="00322339">
        <w:rPr>
          <w:rFonts w:hint="cs"/>
          <w:rtl/>
          <w:lang w:bidi="ar-EG"/>
        </w:rPr>
        <w:t>ً</w:t>
      </w:r>
      <w:r>
        <w:rPr>
          <w:rFonts w:hint="cs"/>
          <w:rtl/>
          <w:lang w:bidi="ar-EG"/>
        </w:rPr>
        <w:t xml:space="preserve"> لها في حد ذاتهما إجهادا</w:t>
      </w:r>
      <w:r w:rsidR="00F21316">
        <w:rPr>
          <w:rFonts w:hint="cs"/>
          <w:rtl/>
          <w:lang w:bidi="ar-EG"/>
        </w:rPr>
        <w:t>ً</w:t>
      </w:r>
      <w:r>
        <w:rPr>
          <w:rFonts w:hint="cs"/>
          <w:rtl/>
          <w:lang w:bidi="ar-EG"/>
        </w:rPr>
        <w:t xml:space="preserve"> وقلقا</w:t>
      </w:r>
      <w:r w:rsidR="00F21316">
        <w:rPr>
          <w:rFonts w:hint="cs"/>
          <w:rtl/>
          <w:lang w:bidi="ar-EG"/>
        </w:rPr>
        <w:t>ً</w:t>
      </w:r>
      <w:r>
        <w:rPr>
          <w:rFonts w:hint="cs"/>
          <w:rtl/>
          <w:lang w:bidi="ar-EG"/>
        </w:rPr>
        <w:t xml:space="preserve"> شديدين. وقد أثر الوصم والتوتر المقترنين باحتمال الكشف عن هويتها الجنسانية المغايرة بإبراز شهادة ميلادها </w:t>
      </w:r>
      <w:r w:rsidR="002634C6">
        <w:rPr>
          <w:rFonts w:hint="cs"/>
          <w:rtl/>
          <w:lang w:bidi="ar-EG"/>
        </w:rPr>
        <w:t>أيضاً</w:t>
      </w:r>
      <w:r>
        <w:rPr>
          <w:rFonts w:hint="cs"/>
          <w:rtl/>
          <w:lang w:bidi="ar-EG"/>
        </w:rPr>
        <w:t xml:space="preserve"> في اختيار مهنتها ودراستها. فقد تجنبت الترشح لأدوار قد يطلب فيها تقديم شهادة ميلاد، وانسحبت من عمليات يُطلب فيها تقديم شهادة ميلاد، مثل الطلبات الجامعية. وتضيف صاحبة البلاغ أن مخاوفها مبررة </w:t>
      </w:r>
      <w:r w:rsidR="00D96795">
        <w:rPr>
          <w:rFonts w:hint="cs"/>
          <w:rtl/>
          <w:lang w:bidi="ar-EG"/>
        </w:rPr>
        <w:t>نظراً</w:t>
      </w:r>
      <w:r>
        <w:rPr>
          <w:rFonts w:hint="cs"/>
          <w:rtl/>
          <w:lang w:bidi="ar-EG"/>
        </w:rPr>
        <w:t xml:space="preserve"> لأن درجة التمييز والوصم اللذين يحيطان بالمغايرين </w:t>
      </w:r>
      <w:proofErr w:type="spellStart"/>
      <w:r w:rsidR="002634C6">
        <w:rPr>
          <w:rFonts w:hint="cs"/>
          <w:rtl/>
          <w:lang w:bidi="ar-EG"/>
        </w:rPr>
        <w:t>جنسانياً</w:t>
      </w:r>
      <w:proofErr w:type="spellEnd"/>
      <w:r>
        <w:rPr>
          <w:rFonts w:hint="cs"/>
          <w:rtl/>
          <w:lang w:bidi="ar-EG"/>
        </w:rPr>
        <w:t xml:space="preserve"> لا تزال عالية في </w:t>
      </w:r>
      <w:r w:rsidR="000F6A8B">
        <w:rPr>
          <w:rFonts w:hint="cs"/>
          <w:rtl/>
          <w:lang w:bidi="ar-EG"/>
        </w:rPr>
        <w:t>أ</w:t>
      </w:r>
      <w:r>
        <w:rPr>
          <w:rFonts w:hint="cs"/>
          <w:rtl/>
          <w:lang w:bidi="ar-EG"/>
        </w:rPr>
        <w:t>ست</w:t>
      </w:r>
      <w:r w:rsidR="00C34C06">
        <w:rPr>
          <w:rFonts w:hint="cs"/>
          <w:rtl/>
          <w:lang w:bidi="ar-EG"/>
        </w:rPr>
        <w:t xml:space="preserve">راليا، بما في ذلك نيو </w:t>
      </w:r>
      <w:proofErr w:type="spellStart"/>
      <w:r w:rsidR="00C34C06">
        <w:rPr>
          <w:rFonts w:hint="cs"/>
          <w:rtl/>
          <w:lang w:bidi="ar-EG"/>
        </w:rPr>
        <w:t>ثاوث</w:t>
      </w:r>
      <w:proofErr w:type="spellEnd"/>
      <w:r w:rsidR="00C34C06">
        <w:rPr>
          <w:rFonts w:hint="cs"/>
          <w:rtl/>
          <w:lang w:bidi="ar-EG"/>
        </w:rPr>
        <w:t xml:space="preserve"> ويلز</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30"/>
      </w:r>
      <w:r w:rsidR="00C34C06">
        <w:rPr>
          <w:rStyle w:val="FootnoteReference"/>
          <w:rFonts w:ascii="Traditional Arabic" w:hAnsi="Traditional Arabic"/>
          <w:sz w:val="30"/>
          <w:rtl/>
          <w:lang w:bidi="ar-EG"/>
        </w:rPr>
        <w:t>)</w:t>
      </w:r>
      <w:r w:rsidR="00C34C06">
        <w:rPr>
          <w:rFonts w:hint="cs"/>
          <w:rtl/>
          <w:lang w:bidi="ar-EG"/>
        </w:rPr>
        <w:t xml:space="preserve">. </w:t>
      </w:r>
    </w:p>
    <w:p w:rsidR="00C9188E" w:rsidRDefault="00C9188E" w:rsidP="006361E1">
      <w:pPr>
        <w:pStyle w:val="SingleTxtGA"/>
        <w:spacing w:after="100" w:line="370" w:lineRule="exact"/>
        <w:rPr>
          <w:rtl/>
          <w:lang w:bidi="ar-EG"/>
        </w:rPr>
      </w:pPr>
      <w:r>
        <w:rPr>
          <w:rFonts w:hint="cs"/>
          <w:rtl/>
          <w:lang w:bidi="ar-EG"/>
        </w:rPr>
        <w:t>5-9</w:t>
      </w:r>
      <w:r>
        <w:rPr>
          <w:rtl/>
          <w:lang w:bidi="ar-EG"/>
        </w:rPr>
        <w:tab/>
      </w:r>
      <w:r>
        <w:rPr>
          <w:rFonts w:hint="cs"/>
          <w:rtl/>
          <w:lang w:bidi="ar-EG"/>
        </w:rPr>
        <w:t>و</w:t>
      </w:r>
      <w:r w:rsidR="002634C6">
        <w:rPr>
          <w:rFonts w:hint="cs"/>
          <w:rtl/>
          <w:lang w:bidi="ar-EG"/>
        </w:rPr>
        <w:t>فضلاً</w:t>
      </w:r>
      <w:r>
        <w:rPr>
          <w:rFonts w:hint="cs"/>
          <w:rtl/>
          <w:lang w:bidi="ar-EG"/>
        </w:rPr>
        <w:t xml:space="preserve"> عن ذلك، رغم أن صاحبة البلاغ تدفع بأنها ليست بحاجة لذكر طلبات فعلية، فقد طُلِب منها في الآونة الأخيرة إبراز شهادة ميلاد لمديري وصية والدها بغية إثبات علاقتها بأبيها </w:t>
      </w:r>
      <w:r w:rsidR="00D96795">
        <w:rPr>
          <w:rFonts w:hint="cs"/>
          <w:rtl/>
          <w:lang w:bidi="ar-EG"/>
        </w:rPr>
        <w:t>نظراً</w:t>
      </w:r>
      <w:r>
        <w:rPr>
          <w:rFonts w:hint="cs"/>
          <w:rtl/>
          <w:lang w:bidi="ar-EG"/>
        </w:rPr>
        <w:t xml:space="preserve"> لأن شهادة الميلاد تمثل، من بين وسائل أخرى، اعترافا</w:t>
      </w:r>
      <w:r w:rsidR="00322339">
        <w:rPr>
          <w:rFonts w:hint="cs"/>
          <w:rtl/>
          <w:lang w:bidi="ar-EG"/>
        </w:rPr>
        <w:t>ً</w:t>
      </w:r>
      <w:r>
        <w:rPr>
          <w:rFonts w:hint="cs"/>
          <w:rtl/>
          <w:lang w:bidi="ar-EG"/>
        </w:rPr>
        <w:t xml:space="preserve"> بتغيير الاسم والأبوة.</w:t>
      </w:r>
    </w:p>
    <w:p w:rsidR="00C9188E" w:rsidRPr="006361E1" w:rsidRDefault="00C9188E" w:rsidP="006361E1">
      <w:pPr>
        <w:pStyle w:val="SingleTxtGA"/>
        <w:spacing w:after="100" w:line="370" w:lineRule="exact"/>
        <w:rPr>
          <w:spacing w:val="-2"/>
          <w:rtl/>
          <w:lang w:bidi="ar-EG"/>
        </w:rPr>
      </w:pPr>
      <w:r w:rsidRPr="006361E1">
        <w:rPr>
          <w:rFonts w:hint="cs"/>
          <w:spacing w:val="-2"/>
          <w:rtl/>
          <w:lang w:bidi="ar-EG"/>
        </w:rPr>
        <w:t>5-10</w:t>
      </w:r>
      <w:r w:rsidRPr="006361E1">
        <w:rPr>
          <w:spacing w:val="-2"/>
          <w:rtl/>
          <w:lang w:bidi="ar-EG"/>
        </w:rPr>
        <w:tab/>
      </w:r>
      <w:r w:rsidRPr="006361E1">
        <w:rPr>
          <w:rFonts w:hint="cs"/>
          <w:spacing w:val="-2"/>
          <w:rtl/>
          <w:lang w:bidi="ar-EG"/>
        </w:rPr>
        <w:t>أما بشأن حجة الدولة الطرف بعدم حدوث تدخل في أسرة صاحبة البلاغ لأنها لم</w:t>
      </w:r>
      <w:r w:rsidR="00566654" w:rsidRPr="006361E1">
        <w:rPr>
          <w:rFonts w:hint="eastAsia"/>
          <w:spacing w:val="-2"/>
          <w:rtl/>
          <w:lang w:bidi="ar-EG"/>
        </w:rPr>
        <w:t> </w:t>
      </w:r>
      <w:r w:rsidRPr="006361E1">
        <w:rPr>
          <w:rFonts w:hint="cs"/>
          <w:spacing w:val="-2"/>
          <w:rtl/>
          <w:lang w:bidi="ar-EG"/>
        </w:rPr>
        <w:t xml:space="preserve">"تضطر[ها]"إلى الحصول على الطلاق، فتدفع صاحبة البلاغ بأن هذا النهج غير صائب، فمن حقها أن يُعترف بها كأنثى في شهادة ميلادها ولها </w:t>
      </w:r>
      <w:r w:rsidR="002634C6" w:rsidRPr="006361E1">
        <w:rPr>
          <w:rFonts w:hint="cs"/>
          <w:spacing w:val="-2"/>
          <w:rtl/>
          <w:lang w:bidi="ar-EG"/>
        </w:rPr>
        <w:t>أيضاً</w:t>
      </w:r>
      <w:r w:rsidRPr="006361E1">
        <w:rPr>
          <w:rFonts w:hint="cs"/>
          <w:spacing w:val="-2"/>
          <w:rtl/>
          <w:lang w:bidi="ar-EG"/>
        </w:rPr>
        <w:t xml:space="preserve"> الحق في عدم التعرض لتدخل تعسفي في أسرتها. ولا يمكن أن يتوقف تمتعها بأحد الح</w:t>
      </w:r>
      <w:r w:rsidR="00C34C06" w:rsidRPr="006361E1">
        <w:rPr>
          <w:rFonts w:hint="cs"/>
          <w:spacing w:val="-2"/>
          <w:rtl/>
          <w:lang w:bidi="ar-EG"/>
        </w:rPr>
        <w:t>قوق على التخلي عن ممارسة حق آخر</w:t>
      </w:r>
      <w:r w:rsidR="00C34C06" w:rsidRPr="006361E1">
        <w:rPr>
          <w:rStyle w:val="FootnoteReference"/>
          <w:rFonts w:ascii="Traditional Arabic" w:hAnsi="Traditional Arabic"/>
          <w:spacing w:val="-2"/>
          <w:sz w:val="30"/>
          <w:rtl/>
          <w:lang w:bidi="ar-EG"/>
        </w:rPr>
        <w:t>(</w:t>
      </w:r>
      <w:r w:rsidR="00C34C06" w:rsidRPr="006361E1">
        <w:rPr>
          <w:rStyle w:val="FootnoteReference"/>
          <w:rFonts w:ascii="Traditional Arabic" w:hAnsi="Traditional Arabic"/>
          <w:spacing w:val="-2"/>
          <w:sz w:val="30"/>
          <w:rtl/>
          <w:lang w:bidi="ar-EG"/>
        </w:rPr>
        <w:footnoteReference w:id="31"/>
      </w:r>
      <w:r w:rsidR="00C34C06" w:rsidRPr="006361E1">
        <w:rPr>
          <w:rStyle w:val="FootnoteReference"/>
          <w:rFonts w:ascii="Traditional Arabic" w:hAnsi="Traditional Arabic"/>
          <w:spacing w:val="-2"/>
          <w:sz w:val="30"/>
          <w:rtl/>
          <w:lang w:bidi="ar-EG"/>
        </w:rPr>
        <w:t>)</w:t>
      </w:r>
      <w:r w:rsidR="00C34C06" w:rsidRPr="006361E1">
        <w:rPr>
          <w:rFonts w:hint="cs"/>
          <w:spacing w:val="-2"/>
          <w:rtl/>
          <w:lang w:bidi="ar-EG"/>
        </w:rPr>
        <w:t>.</w:t>
      </w:r>
      <w:r w:rsidRPr="006361E1">
        <w:rPr>
          <w:rFonts w:hint="cs"/>
          <w:spacing w:val="-2"/>
          <w:rtl/>
          <w:lang w:bidi="ar-EG"/>
        </w:rPr>
        <w:t xml:space="preserve"> </w:t>
      </w:r>
    </w:p>
    <w:p w:rsidR="00C9188E" w:rsidRDefault="00C9188E" w:rsidP="006361E1">
      <w:pPr>
        <w:pStyle w:val="SingleTxtGA"/>
        <w:spacing w:after="100" w:line="370" w:lineRule="exact"/>
        <w:rPr>
          <w:rtl/>
          <w:lang w:bidi="ar-EG"/>
        </w:rPr>
      </w:pPr>
      <w:r>
        <w:rPr>
          <w:rFonts w:hint="cs"/>
          <w:rtl/>
          <w:lang w:bidi="ar-EG"/>
        </w:rPr>
        <w:t>5-11</w:t>
      </w:r>
      <w:r>
        <w:rPr>
          <w:rtl/>
          <w:lang w:bidi="ar-EG"/>
        </w:rPr>
        <w:tab/>
      </w:r>
      <w:r>
        <w:rPr>
          <w:rFonts w:hint="cs"/>
          <w:rtl/>
          <w:lang w:bidi="ar-EG"/>
        </w:rPr>
        <w:t xml:space="preserve">وتحاج صاحبة البلاغ بأن التمييز على أساس الميل الجنسي ليس ذي صلة في هذا الصدد. ورغم ذلك، إذا خلصت اللجنة إلى أن حجج الدولة الطرف سديدة، فإن توصيف الدولة الطرف لالتزاماتها غير صحيح. وقد سبق للجنة أن اعتبرت أن التفريق بين </w:t>
      </w:r>
      <w:r w:rsidRPr="009E60A2">
        <w:rPr>
          <w:rFonts w:hint="cs"/>
          <w:rtl/>
          <w:lang w:bidi="ar-EG"/>
        </w:rPr>
        <w:t>الأزواج</w:t>
      </w:r>
      <w:r>
        <w:rPr>
          <w:rFonts w:hint="cs"/>
          <w:rtl/>
          <w:lang w:bidi="ar-EG"/>
        </w:rPr>
        <w:t xml:space="preserve"> من جنسين مختلفين المتزوجين وغير المتزوجين معقول وموضوعي لأن "الأزواج المعنيين لديهم الخيار في أن يتزوجوا أو لا يتزوجوا مع كل النتائج المترتبة على ذلك"</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32"/>
      </w:r>
      <w:r w:rsidR="00C34C06">
        <w:rPr>
          <w:rStyle w:val="FootnoteReference"/>
          <w:rFonts w:ascii="Traditional Arabic" w:hAnsi="Traditional Arabic"/>
          <w:sz w:val="30"/>
          <w:rtl/>
          <w:lang w:bidi="ar-EG"/>
        </w:rPr>
        <w:t>)</w:t>
      </w:r>
      <w:r>
        <w:rPr>
          <w:rFonts w:hint="cs"/>
          <w:rtl/>
          <w:lang w:bidi="ar-EG"/>
        </w:rPr>
        <w:t xml:space="preserve"> بيد أن خيار الزواج لا يُتاح للأزواج المثليين في أستراليا. ولذلك، لا يمثل الالزام بمعاملة الأزواج المثليين غير المتزوجين معاملة الأزواج من جنسين مختلفين غير المتزوجين مقارنة مناسبة.</w:t>
      </w:r>
    </w:p>
    <w:p w:rsidR="00C9188E" w:rsidRDefault="00C9188E" w:rsidP="006361E1">
      <w:pPr>
        <w:pStyle w:val="SingleTxtGA"/>
        <w:spacing w:after="100" w:line="370" w:lineRule="exact"/>
        <w:rPr>
          <w:rtl/>
          <w:lang w:bidi="ar-EG"/>
        </w:rPr>
      </w:pPr>
      <w:r>
        <w:rPr>
          <w:rFonts w:hint="cs"/>
          <w:rtl/>
          <w:lang w:bidi="ar-EG"/>
        </w:rPr>
        <w:t>5-12</w:t>
      </w:r>
      <w:r>
        <w:rPr>
          <w:rtl/>
          <w:lang w:bidi="ar-EG"/>
        </w:rPr>
        <w:tab/>
      </w:r>
      <w:r>
        <w:rPr>
          <w:rFonts w:hint="cs"/>
          <w:rtl/>
          <w:lang w:bidi="ar-EG"/>
        </w:rPr>
        <w:t>وتختلف صاحبة البلاغ مع ملاحظات الدولة الطرف بشأن المادة 26 من العهد. وهي تدعي أنها، بموجب القانون السائد حاليا</w:t>
      </w:r>
      <w:r w:rsidR="00322339">
        <w:rPr>
          <w:rFonts w:hint="cs"/>
          <w:rtl/>
          <w:lang w:bidi="ar-EG"/>
        </w:rPr>
        <w:t>ً</w:t>
      </w:r>
      <w:r>
        <w:rPr>
          <w:rFonts w:hint="cs"/>
          <w:rtl/>
          <w:lang w:bidi="ar-EG"/>
        </w:rPr>
        <w:t xml:space="preserve"> في أستراليا، لا توفر لها الحماية المتساوية مقارنة بامرأة غير مغايرة </w:t>
      </w:r>
      <w:proofErr w:type="spellStart"/>
      <w:r w:rsidR="002634C6">
        <w:rPr>
          <w:rFonts w:hint="cs"/>
          <w:rtl/>
          <w:lang w:bidi="ar-EG"/>
        </w:rPr>
        <w:t>جنسانياً</w:t>
      </w:r>
      <w:proofErr w:type="spellEnd"/>
      <w:r>
        <w:rPr>
          <w:rFonts w:hint="cs"/>
          <w:rtl/>
          <w:lang w:bidi="ar-EG"/>
        </w:rPr>
        <w:t xml:space="preserve">، أو بامرأة مغايرة </w:t>
      </w:r>
      <w:proofErr w:type="spellStart"/>
      <w:r w:rsidR="002634C6">
        <w:rPr>
          <w:rFonts w:hint="cs"/>
          <w:rtl/>
          <w:lang w:bidi="ar-EG"/>
        </w:rPr>
        <w:t>جنسانياً</w:t>
      </w:r>
      <w:proofErr w:type="spellEnd"/>
      <w:r>
        <w:rPr>
          <w:rFonts w:hint="cs"/>
          <w:rtl/>
          <w:lang w:bidi="ar-EG"/>
        </w:rPr>
        <w:t xml:space="preserve"> غير متزوجة. وعلى هذا النحو، فهي تتعرض للتمييز على أساس حالتها الزواجية، وهويتها الجنسانية المغايرة و/أو الإثنين معا</w:t>
      </w:r>
      <w:r w:rsidR="00322339">
        <w:rPr>
          <w:rFonts w:hint="cs"/>
          <w:rtl/>
          <w:lang w:bidi="ar-EG"/>
        </w:rPr>
        <w:t>ً</w:t>
      </w:r>
      <w:r>
        <w:rPr>
          <w:rFonts w:hint="cs"/>
          <w:rtl/>
          <w:lang w:bidi="ar-EG"/>
        </w:rPr>
        <w:t xml:space="preserve">. وكلتا الحالتين تندرج في إطار مفهوم "وضع آخر" الوارد في المادة 26. وهي تعترض </w:t>
      </w:r>
      <w:r w:rsidR="002634C6">
        <w:rPr>
          <w:rFonts w:hint="cs"/>
          <w:rtl/>
          <w:lang w:bidi="ar-EG"/>
        </w:rPr>
        <w:t>أيضاً</w:t>
      </w:r>
      <w:r>
        <w:rPr>
          <w:rFonts w:hint="cs"/>
          <w:rtl/>
          <w:lang w:bidi="ar-EG"/>
        </w:rPr>
        <w:t xml:space="preserve"> على أن الاتساق مع قانون الزواج لعام 1961 يشكل هدفا</w:t>
      </w:r>
      <w:r w:rsidR="00322339">
        <w:rPr>
          <w:rFonts w:hint="cs"/>
          <w:rtl/>
          <w:lang w:bidi="ar-EG"/>
        </w:rPr>
        <w:t>ً</w:t>
      </w:r>
      <w:r>
        <w:rPr>
          <w:rFonts w:hint="cs"/>
          <w:rtl/>
          <w:lang w:bidi="ar-EG"/>
        </w:rPr>
        <w:t xml:space="preserve"> مشروعا</w:t>
      </w:r>
      <w:r w:rsidR="00322339">
        <w:rPr>
          <w:rFonts w:hint="cs"/>
          <w:rtl/>
          <w:lang w:bidi="ar-EG"/>
        </w:rPr>
        <w:t>ً</w:t>
      </w:r>
      <w:r>
        <w:rPr>
          <w:rFonts w:hint="cs"/>
          <w:rtl/>
          <w:lang w:bidi="ar-EG"/>
        </w:rPr>
        <w:t xml:space="preserve">. ورغم أن اللجنة لم تخلص، </w:t>
      </w:r>
      <w:r w:rsidRPr="00DC522A">
        <w:rPr>
          <w:rFonts w:hint="cs"/>
          <w:rtl/>
          <w:lang w:bidi="ar-EG"/>
        </w:rPr>
        <w:t>في قضية</w:t>
      </w:r>
      <w:r w:rsidRPr="00116797">
        <w:rPr>
          <w:rFonts w:hint="cs"/>
          <w:i/>
          <w:iCs/>
          <w:rtl/>
          <w:lang w:bidi="ar-EG"/>
        </w:rPr>
        <w:t xml:space="preserve"> جوسلين ضد نيوزيلندا</w:t>
      </w:r>
      <w:r>
        <w:rPr>
          <w:rFonts w:hint="cs"/>
          <w:rtl/>
          <w:lang w:bidi="ar-EG"/>
        </w:rPr>
        <w:t>، إلى أن الدولة الطرف قد انتهكت الحقوق المنصوص عليها في العهد</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33"/>
      </w:r>
      <w:r w:rsidR="00C34C06">
        <w:rPr>
          <w:rStyle w:val="FootnoteReference"/>
          <w:rFonts w:ascii="Traditional Arabic" w:hAnsi="Traditional Arabic"/>
          <w:sz w:val="30"/>
          <w:rtl/>
          <w:lang w:bidi="ar-EG"/>
        </w:rPr>
        <w:t>)</w:t>
      </w:r>
      <w:r>
        <w:rPr>
          <w:rFonts w:hint="cs"/>
          <w:rtl/>
          <w:lang w:bidi="ar-EG"/>
        </w:rPr>
        <w:t>"[ل</w:t>
      </w:r>
      <w:r w:rsidR="00006C34">
        <w:rPr>
          <w:rFonts w:hint="cs"/>
          <w:rtl/>
          <w:lang w:bidi="ar-EG"/>
        </w:rPr>
        <w:t>‍</w:t>
      </w:r>
      <w:r>
        <w:rPr>
          <w:rFonts w:hint="cs"/>
          <w:rtl/>
          <w:lang w:bidi="ar-EG"/>
        </w:rPr>
        <w:t>]</w:t>
      </w:r>
      <w:r w:rsidRPr="00E76098">
        <w:rPr>
          <w:rFonts w:hint="cs"/>
          <w:rtl/>
          <w:lang w:bidi="ar-EG"/>
        </w:rPr>
        <w:t>مجرد</w:t>
      </w:r>
      <w:r w:rsidRPr="00E76098">
        <w:rPr>
          <w:rtl/>
          <w:lang w:bidi="ar-EG"/>
        </w:rPr>
        <w:t xml:space="preserve"> </w:t>
      </w:r>
      <w:r w:rsidRPr="00E76098">
        <w:rPr>
          <w:rFonts w:hint="cs"/>
          <w:rtl/>
          <w:lang w:bidi="ar-EG"/>
        </w:rPr>
        <w:t>رفض</w:t>
      </w:r>
      <w:r w:rsidRPr="00E76098">
        <w:rPr>
          <w:rtl/>
          <w:lang w:bidi="ar-EG"/>
        </w:rPr>
        <w:t xml:space="preserve"> </w:t>
      </w:r>
      <w:r w:rsidRPr="00E76098">
        <w:rPr>
          <w:rFonts w:hint="cs"/>
          <w:rtl/>
          <w:lang w:bidi="ar-EG"/>
        </w:rPr>
        <w:t>منح</w:t>
      </w:r>
      <w:r w:rsidRPr="00E76098">
        <w:rPr>
          <w:rtl/>
          <w:lang w:bidi="ar-EG"/>
        </w:rPr>
        <w:t xml:space="preserve"> </w:t>
      </w:r>
      <w:r w:rsidRPr="00E76098">
        <w:rPr>
          <w:rFonts w:hint="cs"/>
          <w:rtl/>
          <w:lang w:bidi="ar-EG"/>
        </w:rPr>
        <w:t>حق</w:t>
      </w:r>
      <w:r w:rsidRPr="00E76098">
        <w:rPr>
          <w:rtl/>
          <w:lang w:bidi="ar-EG"/>
        </w:rPr>
        <w:t xml:space="preserve"> </w:t>
      </w:r>
      <w:r w:rsidRPr="00E76098">
        <w:rPr>
          <w:rFonts w:hint="cs"/>
          <w:rtl/>
          <w:lang w:bidi="ar-EG"/>
        </w:rPr>
        <w:t>الزواج</w:t>
      </w:r>
      <w:r w:rsidRPr="00E76098">
        <w:rPr>
          <w:rtl/>
          <w:lang w:bidi="ar-EG"/>
        </w:rPr>
        <w:t xml:space="preserve"> </w:t>
      </w:r>
      <w:r w:rsidRPr="00E76098">
        <w:rPr>
          <w:rFonts w:hint="cs"/>
          <w:rtl/>
          <w:lang w:bidi="ar-EG"/>
        </w:rPr>
        <w:t>لقرينين</w:t>
      </w:r>
      <w:r w:rsidRPr="00E76098">
        <w:rPr>
          <w:rtl/>
          <w:lang w:bidi="ar-EG"/>
        </w:rPr>
        <w:t xml:space="preserve"> </w:t>
      </w:r>
      <w:r w:rsidRPr="00E76098">
        <w:rPr>
          <w:rFonts w:hint="cs"/>
          <w:rtl/>
          <w:lang w:bidi="ar-EG"/>
        </w:rPr>
        <w:t>من</w:t>
      </w:r>
      <w:r w:rsidRPr="00E76098">
        <w:rPr>
          <w:rtl/>
          <w:lang w:bidi="ar-EG"/>
        </w:rPr>
        <w:t xml:space="preserve"> </w:t>
      </w:r>
      <w:r w:rsidRPr="00E76098">
        <w:rPr>
          <w:rFonts w:hint="cs"/>
          <w:rtl/>
          <w:lang w:bidi="ar-EG"/>
        </w:rPr>
        <w:t>المتماثلين</w:t>
      </w:r>
      <w:r w:rsidRPr="00E76098">
        <w:rPr>
          <w:rtl/>
          <w:lang w:bidi="ar-EG"/>
        </w:rPr>
        <w:t xml:space="preserve"> </w:t>
      </w:r>
      <w:r w:rsidRPr="00E76098">
        <w:rPr>
          <w:rFonts w:hint="cs"/>
          <w:rtl/>
          <w:lang w:bidi="ar-EG"/>
        </w:rPr>
        <w:t>جنسياً</w:t>
      </w:r>
      <w:r>
        <w:rPr>
          <w:rFonts w:hint="cs"/>
          <w:rtl/>
          <w:lang w:bidi="ar-EG"/>
        </w:rPr>
        <w:t>"، فإن ذلك لا يعني أن منع الأزواج من المثليين من الزواج يعتبر هدفا</w:t>
      </w:r>
      <w:r w:rsidR="006361E1">
        <w:rPr>
          <w:rFonts w:hint="cs"/>
          <w:rtl/>
          <w:lang w:bidi="ar-EG"/>
        </w:rPr>
        <w:t>ً</w:t>
      </w:r>
      <w:r>
        <w:rPr>
          <w:rFonts w:hint="cs"/>
          <w:rtl/>
          <w:lang w:bidi="ar-EG"/>
        </w:rPr>
        <w:t xml:space="preserve"> مشروعا</w:t>
      </w:r>
      <w:r w:rsidR="006361E1">
        <w:rPr>
          <w:rFonts w:hint="cs"/>
          <w:rtl/>
          <w:lang w:bidi="ar-EG"/>
        </w:rPr>
        <w:t>ً</w:t>
      </w:r>
      <w:r>
        <w:rPr>
          <w:rFonts w:hint="cs"/>
          <w:rtl/>
          <w:lang w:bidi="ar-EG"/>
        </w:rPr>
        <w:t>.</w:t>
      </w:r>
    </w:p>
    <w:p w:rsidR="00C9188E" w:rsidRPr="003D7584" w:rsidRDefault="00C9188E" w:rsidP="00C9188E">
      <w:pPr>
        <w:pStyle w:val="SingleTxtGA"/>
        <w:rPr>
          <w:spacing w:val="-2"/>
          <w:rtl/>
          <w:lang w:bidi="ar-EG"/>
        </w:rPr>
      </w:pPr>
      <w:r w:rsidRPr="003D7584">
        <w:rPr>
          <w:rFonts w:hint="cs"/>
          <w:spacing w:val="-2"/>
          <w:rtl/>
          <w:lang w:bidi="ar-EG"/>
        </w:rPr>
        <w:lastRenderedPageBreak/>
        <w:t>5-13</w:t>
      </w:r>
      <w:r w:rsidRPr="003D7584">
        <w:rPr>
          <w:spacing w:val="-2"/>
          <w:rtl/>
          <w:lang w:bidi="ar-EG"/>
        </w:rPr>
        <w:tab/>
      </w:r>
      <w:r w:rsidRPr="003D7584">
        <w:rPr>
          <w:rFonts w:hint="cs"/>
          <w:spacing w:val="-2"/>
          <w:rtl/>
          <w:lang w:bidi="ar-EG"/>
        </w:rPr>
        <w:t xml:space="preserve">وتذكر صاحبة البلاغ أن كلا مفوض الأمم المتحدة السامي لحقوق الإنسان ومبادئ </w:t>
      </w:r>
      <w:proofErr w:type="spellStart"/>
      <w:r w:rsidRPr="003D7584">
        <w:rPr>
          <w:rFonts w:hint="cs"/>
          <w:spacing w:val="-2"/>
          <w:rtl/>
          <w:lang w:bidi="ar-EG"/>
        </w:rPr>
        <w:t>يوغياكارتا</w:t>
      </w:r>
      <w:proofErr w:type="spellEnd"/>
      <w:r w:rsidRPr="003D7584">
        <w:rPr>
          <w:rFonts w:hint="cs"/>
          <w:spacing w:val="-2"/>
          <w:rtl/>
          <w:lang w:bidi="ar-EG"/>
        </w:rPr>
        <w:t xml:space="preserve"> يدعوان إلى الاعتراف بالهوية الجنسان</w:t>
      </w:r>
      <w:r w:rsidR="00C34C06" w:rsidRPr="003D7584">
        <w:rPr>
          <w:rFonts w:hint="cs"/>
          <w:spacing w:val="-2"/>
          <w:rtl/>
          <w:lang w:bidi="ar-EG"/>
        </w:rPr>
        <w:t>ية بغض النظر عن الحالة الزواجية</w:t>
      </w:r>
      <w:r w:rsidR="00C34C06" w:rsidRPr="003D7584">
        <w:rPr>
          <w:rStyle w:val="FootnoteReference"/>
          <w:rFonts w:ascii="Traditional Arabic" w:hAnsi="Traditional Arabic"/>
          <w:spacing w:val="-2"/>
          <w:sz w:val="30"/>
          <w:rtl/>
          <w:lang w:bidi="ar-EG"/>
        </w:rPr>
        <w:t>(</w:t>
      </w:r>
      <w:r w:rsidR="00C34C06" w:rsidRPr="003D7584">
        <w:rPr>
          <w:rStyle w:val="FootnoteReference"/>
          <w:rFonts w:ascii="Traditional Arabic" w:hAnsi="Traditional Arabic"/>
          <w:spacing w:val="-2"/>
          <w:sz w:val="30"/>
          <w:rtl/>
          <w:lang w:bidi="ar-EG"/>
        </w:rPr>
        <w:footnoteReference w:id="34"/>
      </w:r>
      <w:r w:rsidR="00C34C06" w:rsidRPr="003D7584">
        <w:rPr>
          <w:rStyle w:val="FootnoteReference"/>
          <w:rFonts w:ascii="Traditional Arabic" w:hAnsi="Traditional Arabic"/>
          <w:spacing w:val="-2"/>
          <w:sz w:val="30"/>
          <w:rtl/>
          <w:lang w:bidi="ar-EG"/>
        </w:rPr>
        <w:t>)</w:t>
      </w:r>
      <w:r w:rsidR="00C34C06" w:rsidRPr="003D7584">
        <w:rPr>
          <w:rFonts w:hint="cs"/>
          <w:spacing w:val="-2"/>
          <w:rtl/>
          <w:lang w:bidi="ar-EG"/>
        </w:rPr>
        <w:t>.</w:t>
      </w:r>
      <w:r w:rsidRPr="003D7584">
        <w:rPr>
          <w:rFonts w:hint="cs"/>
          <w:spacing w:val="-2"/>
          <w:rtl/>
          <w:lang w:bidi="ar-EG"/>
        </w:rPr>
        <w:t xml:space="preserve"> وأن هذا الرأي تدعمه أسانيد كثيرة. و</w:t>
      </w:r>
      <w:r w:rsidR="00D96795" w:rsidRPr="003D7584">
        <w:rPr>
          <w:rFonts w:hint="cs"/>
          <w:spacing w:val="-2"/>
          <w:rtl/>
          <w:lang w:bidi="ar-EG"/>
        </w:rPr>
        <w:t>نظراً</w:t>
      </w:r>
      <w:r w:rsidRPr="003D7584">
        <w:rPr>
          <w:rFonts w:hint="cs"/>
          <w:spacing w:val="-2"/>
          <w:rtl/>
          <w:lang w:bidi="ar-EG"/>
        </w:rPr>
        <w:t xml:space="preserve"> لأن الاعتراف القانوني بنوع الجنس يمكن وينبغي أن يحدث بغض النظر عن الحالة الزواجية، فإن الادعاء بأن الاتساق مع قانون الزواج لعام 1961 يشكل هدفا</w:t>
      </w:r>
      <w:r w:rsidR="00322339">
        <w:rPr>
          <w:rFonts w:hint="cs"/>
          <w:spacing w:val="-2"/>
          <w:rtl/>
          <w:lang w:bidi="ar-EG"/>
        </w:rPr>
        <w:t>ً</w:t>
      </w:r>
      <w:r w:rsidRPr="003D7584">
        <w:rPr>
          <w:rFonts w:hint="cs"/>
          <w:spacing w:val="-2"/>
          <w:rtl/>
          <w:lang w:bidi="ar-EG"/>
        </w:rPr>
        <w:t xml:space="preserve"> مشروعا</w:t>
      </w:r>
      <w:r w:rsidR="00322339">
        <w:rPr>
          <w:rFonts w:hint="cs"/>
          <w:spacing w:val="-2"/>
          <w:rtl/>
          <w:lang w:bidi="ar-EG"/>
        </w:rPr>
        <w:t>ً</w:t>
      </w:r>
      <w:r w:rsidRPr="003D7584">
        <w:rPr>
          <w:rFonts w:hint="cs"/>
          <w:spacing w:val="-2"/>
          <w:rtl/>
          <w:lang w:bidi="ar-EG"/>
        </w:rPr>
        <w:t xml:space="preserve"> ضعيف السند. و</w:t>
      </w:r>
      <w:r w:rsidR="002634C6" w:rsidRPr="003D7584">
        <w:rPr>
          <w:rFonts w:hint="cs"/>
          <w:spacing w:val="-2"/>
          <w:rtl/>
          <w:lang w:bidi="ar-EG"/>
        </w:rPr>
        <w:t>فضلاً</w:t>
      </w:r>
      <w:r w:rsidRPr="003D7584">
        <w:rPr>
          <w:rFonts w:hint="cs"/>
          <w:spacing w:val="-2"/>
          <w:rtl/>
          <w:lang w:bidi="ar-EG"/>
        </w:rPr>
        <w:t xml:space="preserve"> عن ذلك، يجب أن تكون طبيعة أي تدخل متوافقة</w:t>
      </w:r>
      <w:r w:rsidR="00C34C06" w:rsidRPr="003D7584">
        <w:rPr>
          <w:rFonts w:hint="cs"/>
          <w:spacing w:val="-2"/>
          <w:rtl/>
          <w:lang w:bidi="ar-EG"/>
        </w:rPr>
        <w:t xml:space="preserve"> مع أحكام العهد وأهدافه ومراميه</w:t>
      </w:r>
      <w:r w:rsidR="00C34C06" w:rsidRPr="003D7584">
        <w:rPr>
          <w:rStyle w:val="FootnoteReference"/>
          <w:rFonts w:ascii="Traditional Arabic" w:hAnsi="Traditional Arabic"/>
          <w:spacing w:val="-2"/>
          <w:sz w:val="30"/>
          <w:rtl/>
          <w:lang w:bidi="ar-EG"/>
        </w:rPr>
        <w:t>(</w:t>
      </w:r>
      <w:r w:rsidR="00C34C06" w:rsidRPr="003D7584">
        <w:rPr>
          <w:rStyle w:val="FootnoteReference"/>
          <w:rFonts w:ascii="Traditional Arabic" w:hAnsi="Traditional Arabic"/>
          <w:spacing w:val="-2"/>
          <w:sz w:val="30"/>
          <w:rtl/>
          <w:lang w:bidi="ar-EG"/>
        </w:rPr>
        <w:footnoteReference w:id="35"/>
      </w:r>
      <w:r w:rsidR="00C34C06" w:rsidRPr="003D7584">
        <w:rPr>
          <w:rStyle w:val="FootnoteReference"/>
          <w:rFonts w:ascii="Traditional Arabic" w:hAnsi="Traditional Arabic"/>
          <w:spacing w:val="-2"/>
          <w:sz w:val="30"/>
          <w:rtl/>
          <w:lang w:bidi="ar-EG"/>
        </w:rPr>
        <w:t>)</w:t>
      </w:r>
      <w:r w:rsidR="00C34C06" w:rsidRPr="003D7584">
        <w:rPr>
          <w:rFonts w:hint="cs"/>
          <w:spacing w:val="-2"/>
          <w:rtl/>
          <w:lang w:bidi="ar-EG"/>
        </w:rPr>
        <w:t>.</w:t>
      </w:r>
      <w:r w:rsidRPr="003D7584">
        <w:rPr>
          <w:rFonts w:hint="cs"/>
          <w:spacing w:val="-2"/>
          <w:rtl/>
          <w:lang w:bidi="ar-EG"/>
        </w:rPr>
        <w:t xml:space="preserve"> وعلى هذا النحو، لا يمكن أن يستند التدخل إلى أسس تمييزية على النحو المبيَّن في المادتين 2 و26 من العهد. وبما أن التدخل في حالة صاحبة البلاغ يمثل تمييزا</w:t>
      </w:r>
      <w:r w:rsidR="00322339">
        <w:rPr>
          <w:rFonts w:hint="cs"/>
          <w:spacing w:val="-2"/>
          <w:rtl/>
          <w:lang w:bidi="ar-EG"/>
        </w:rPr>
        <w:t>ً</w:t>
      </w:r>
      <w:r w:rsidRPr="003D7584">
        <w:rPr>
          <w:rFonts w:hint="cs"/>
          <w:spacing w:val="-2"/>
          <w:rtl/>
          <w:lang w:bidi="ar-EG"/>
        </w:rPr>
        <w:t xml:space="preserve"> على أساس الحالة الزواجية والهوية الجنسانية أو كليهما، فهو لا يتسق مع أحكام العهد وأهدافه ومراميه.</w:t>
      </w:r>
    </w:p>
    <w:p w:rsidR="00C9188E" w:rsidRDefault="00C9188E" w:rsidP="00C9188E">
      <w:pPr>
        <w:pStyle w:val="SingleTxtGA"/>
        <w:rPr>
          <w:rtl/>
          <w:lang w:bidi="ar-EG"/>
        </w:rPr>
      </w:pPr>
      <w:r>
        <w:rPr>
          <w:rFonts w:hint="cs"/>
          <w:rtl/>
          <w:lang w:bidi="ar-EG"/>
        </w:rPr>
        <w:t>5-14</w:t>
      </w:r>
      <w:r>
        <w:rPr>
          <w:rtl/>
          <w:lang w:bidi="ar-EG"/>
        </w:rPr>
        <w:tab/>
      </w:r>
      <w:r>
        <w:rPr>
          <w:rFonts w:hint="cs"/>
          <w:rtl/>
          <w:lang w:bidi="ar-EG"/>
        </w:rPr>
        <w:t>بيد أن اللجنة، إن قبلت حجج الدولة الطرف ب</w:t>
      </w:r>
      <w:r w:rsidR="002634C6">
        <w:rPr>
          <w:rFonts w:hint="cs"/>
          <w:rtl/>
          <w:lang w:bidi="ar-EG"/>
        </w:rPr>
        <w:t>أن الاتساق مع قانون الزواج لعام</w:t>
      </w:r>
      <w:r w:rsidR="002634C6">
        <w:rPr>
          <w:rFonts w:hint="eastAsia"/>
          <w:rtl/>
          <w:lang w:bidi="ar-EG"/>
        </w:rPr>
        <w:t> </w:t>
      </w:r>
      <w:r>
        <w:rPr>
          <w:rFonts w:hint="cs"/>
          <w:rtl/>
          <w:lang w:bidi="ar-EG"/>
        </w:rPr>
        <w:t>1961 يشكل هدفا</w:t>
      </w:r>
      <w:r w:rsidR="002634C6">
        <w:rPr>
          <w:rFonts w:hint="cs"/>
          <w:rtl/>
          <w:lang w:bidi="ar-EG"/>
        </w:rPr>
        <w:t>ً</w:t>
      </w:r>
      <w:r>
        <w:rPr>
          <w:rFonts w:hint="cs"/>
          <w:rtl/>
          <w:lang w:bidi="ar-EG"/>
        </w:rPr>
        <w:t xml:space="preserve"> مشروعا</w:t>
      </w:r>
      <w:r w:rsidR="002634C6">
        <w:rPr>
          <w:rFonts w:hint="cs"/>
          <w:rtl/>
          <w:lang w:bidi="ar-EG"/>
        </w:rPr>
        <w:t>ً</w:t>
      </w:r>
      <w:r>
        <w:rPr>
          <w:rFonts w:hint="cs"/>
          <w:rtl/>
          <w:lang w:bidi="ar-EG"/>
        </w:rPr>
        <w:t xml:space="preserve">، فإن صاحبة البلاغ تدفع بأن رفض الدولة الطرف السماح بتغيير نوع الجنس في شهادة ميلادها غير معقول أو متناسب في الظروف المعينة. ويتسم اختبار التناسب بالتشدد، </w:t>
      </w:r>
      <w:r w:rsidR="00D96795">
        <w:rPr>
          <w:rFonts w:hint="cs"/>
          <w:rtl/>
          <w:lang w:bidi="ar-EG"/>
        </w:rPr>
        <w:t>نظراً</w:t>
      </w:r>
      <w:r>
        <w:rPr>
          <w:rFonts w:hint="cs"/>
          <w:rtl/>
          <w:lang w:bidi="ar-EG"/>
        </w:rPr>
        <w:t xml:space="preserve"> للأهمية التي توليها اللجنة والمحكمة الأوروبية لحقوق الإنسان ومفوضة الأمم المتحدة السامية لحقوق الإنسان ومبادئ </w:t>
      </w:r>
      <w:proofErr w:type="spellStart"/>
      <w:r>
        <w:rPr>
          <w:rFonts w:hint="cs"/>
          <w:rtl/>
          <w:lang w:bidi="ar-EG"/>
        </w:rPr>
        <w:t>يوغياكارتا</w:t>
      </w:r>
      <w:proofErr w:type="spellEnd"/>
      <w:r>
        <w:rPr>
          <w:rFonts w:hint="cs"/>
          <w:rtl/>
          <w:lang w:bidi="ar-EG"/>
        </w:rPr>
        <w:t xml:space="preserve"> لهوية الشخص الجنسانية من حيث الخصوصية. ويتسم النهج الذي تتبعه الدولة الطرف حيال الاعتراف بنوع الجنس والحالة الجنسانية والحالة الزواجية بالمرونة، فهو لا يقتضي أن تكون بيانات الشخص الجنسانية متسقة في جميع الوثائق الرسمية. وحسب إفادات الدولة الطرف نفسها، يجوز أن يرد في جواز الشخص أنه "ذكر" وفي شهادة ميلاده أنه "أنثى".</w:t>
      </w:r>
    </w:p>
    <w:p w:rsidR="00C9188E" w:rsidRPr="003D7584" w:rsidRDefault="00C9188E" w:rsidP="00C9188E">
      <w:pPr>
        <w:pStyle w:val="SingleTxtGA"/>
        <w:rPr>
          <w:spacing w:val="-2"/>
          <w:rtl/>
          <w:lang w:bidi="ar-EG"/>
        </w:rPr>
      </w:pPr>
      <w:r w:rsidRPr="003D7584">
        <w:rPr>
          <w:rFonts w:hint="cs"/>
          <w:spacing w:val="-2"/>
          <w:rtl/>
          <w:lang w:bidi="ar-EG"/>
        </w:rPr>
        <w:t>5-15</w:t>
      </w:r>
      <w:r w:rsidRPr="003D7584">
        <w:rPr>
          <w:spacing w:val="-2"/>
          <w:rtl/>
          <w:lang w:bidi="ar-EG"/>
        </w:rPr>
        <w:tab/>
      </w:r>
      <w:r w:rsidRPr="003D7584">
        <w:rPr>
          <w:rFonts w:hint="cs"/>
          <w:spacing w:val="-2"/>
          <w:rtl/>
          <w:lang w:bidi="ar-EG"/>
        </w:rPr>
        <w:t xml:space="preserve">والاعتراف بالزيجات الأجنبية في أستراليا غير متسق </w:t>
      </w:r>
      <w:r w:rsidR="002634C6" w:rsidRPr="003D7584">
        <w:rPr>
          <w:rFonts w:hint="cs"/>
          <w:spacing w:val="-2"/>
          <w:rtl/>
          <w:lang w:bidi="ar-EG"/>
        </w:rPr>
        <w:t>أيضاً</w:t>
      </w:r>
      <w:r w:rsidRPr="003D7584">
        <w:rPr>
          <w:rFonts w:hint="cs"/>
          <w:spacing w:val="-2"/>
          <w:rtl/>
          <w:lang w:bidi="ar-EG"/>
        </w:rPr>
        <w:t>، فالجزء الخامس ألف من قانون الزواج لعام 1961 ينص على أن الزواج الأجنبي الذي يكون صالحا</w:t>
      </w:r>
      <w:r w:rsidR="00322339">
        <w:rPr>
          <w:rFonts w:hint="cs"/>
          <w:spacing w:val="-2"/>
          <w:rtl/>
          <w:lang w:bidi="ar-EG"/>
        </w:rPr>
        <w:t>ً</w:t>
      </w:r>
      <w:r w:rsidRPr="003D7584">
        <w:rPr>
          <w:rFonts w:hint="cs"/>
          <w:spacing w:val="-2"/>
          <w:rtl/>
          <w:lang w:bidi="ar-EG"/>
        </w:rPr>
        <w:t xml:space="preserve"> في البلد المحلي الذي عُقِد فيه القران يكون معترف به في أستراليا، إلا في ظروف محددة (انظر الفرع 88 جيم). ولغرض تحديد صلاحية زواج قائم بموجب القانون الأسترالي، يتمثل الوقت ذي الصلة في الوقت الذي عُقِد </w:t>
      </w:r>
      <w:r w:rsidR="002634C6" w:rsidRPr="003D7584">
        <w:rPr>
          <w:rFonts w:hint="cs"/>
          <w:spacing w:val="-2"/>
          <w:rtl/>
          <w:lang w:bidi="ar-EG"/>
        </w:rPr>
        <w:t xml:space="preserve">فيه القران وليس أي تاريخ لاحق. </w:t>
      </w:r>
      <w:r w:rsidRPr="003D7584">
        <w:rPr>
          <w:rFonts w:hint="cs"/>
          <w:spacing w:val="-2"/>
          <w:rtl/>
          <w:lang w:bidi="ar-EG"/>
        </w:rPr>
        <w:t>وينص الفرع هاء-ألف 88 من قانون الزواج</w:t>
      </w:r>
      <w:r w:rsidR="002634C6" w:rsidRPr="003D7584">
        <w:rPr>
          <w:rFonts w:hint="cs"/>
          <w:spacing w:val="-2"/>
          <w:rtl/>
          <w:lang w:bidi="ar-EG"/>
        </w:rPr>
        <w:t xml:space="preserve"> لعام</w:t>
      </w:r>
      <w:r w:rsidR="002634C6" w:rsidRPr="003D7584">
        <w:rPr>
          <w:rFonts w:hint="eastAsia"/>
          <w:spacing w:val="-2"/>
          <w:rtl/>
          <w:lang w:bidi="ar-EG"/>
        </w:rPr>
        <w:t> </w:t>
      </w:r>
      <w:r w:rsidRPr="003D7584">
        <w:rPr>
          <w:rFonts w:hint="cs"/>
          <w:spacing w:val="-2"/>
          <w:rtl/>
          <w:lang w:bidi="ar-EG"/>
        </w:rPr>
        <w:t xml:space="preserve">1961 على أن أي عقد قران بين شخصين من الجنس نفسه يجب </w:t>
      </w:r>
      <w:r w:rsidR="00733E70" w:rsidRPr="003D7584">
        <w:rPr>
          <w:rFonts w:hint="cs"/>
          <w:spacing w:val="-2"/>
          <w:rtl/>
          <w:lang w:bidi="ar-EG"/>
        </w:rPr>
        <w:t>ألَّا</w:t>
      </w:r>
      <w:r w:rsidRPr="003D7584">
        <w:rPr>
          <w:rFonts w:hint="cs"/>
          <w:spacing w:val="-2"/>
          <w:rtl/>
          <w:lang w:bidi="ar-EG"/>
        </w:rPr>
        <w:t xml:space="preserve"> يُعترف به في أستراليا. بيد أنه لو تزوج قرينان من جنسين مختلفين في الخارج وغيَّر أحدهما نوع جنسه لاحقا</w:t>
      </w:r>
      <w:r w:rsidR="002634C6" w:rsidRPr="003D7584">
        <w:rPr>
          <w:rFonts w:hint="cs"/>
          <w:spacing w:val="-2"/>
          <w:rtl/>
          <w:lang w:bidi="ar-EG"/>
        </w:rPr>
        <w:t>ً</w:t>
      </w:r>
      <w:r w:rsidRPr="003D7584">
        <w:rPr>
          <w:rFonts w:hint="cs"/>
          <w:spacing w:val="-2"/>
          <w:rtl/>
          <w:lang w:bidi="ar-EG"/>
        </w:rPr>
        <w:t xml:space="preserve"> ووثائقه الرسمية، بما في ذلك تغيير الوثائق الرسمية ذي الصلة، فسيظل الزواج صالحا</w:t>
      </w:r>
      <w:r w:rsidR="00322339">
        <w:rPr>
          <w:rFonts w:hint="cs"/>
          <w:spacing w:val="-2"/>
          <w:rtl/>
          <w:lang w:bidi="ar-EG"/>
        </w:rPr>
        <w:t>ً</w:t>
      </w:r>
      <w:r w:rsidRPr="003D7584">
        <w:rPr>
          <w:rFonts w:hint="cs"/>
          <w:spacing w:val="-2"/>
          <w:rtl/>
          <w:lang w:bidi="ar-EG"/>
        </w:rPr>
        <w:t xml:space="preserve"> بموجب القانون الأسترالي.</w:t>
      </w:r>
    </w:p>
    <w:p w:rsidR="00C9188E" w:rsidRDefault="00C9188E" w:rsidP="00713D82">
      <w:pPr>
        <w:pStyle w:val="SingleTxtGA"/>
        <w:rPr>
          <w:rtl/>
          <w:lang w:bidi="ar-EG"/>
        </w:rPr>
      </w:pPr>
      <w:r>
        <w:rPr>
          <w:rFonts w:hint="cs"/>
          <w:rtl/>
          <w:lang w:bidi="ar-EG"/>
        </w:rPr>
        <w:t>5-16</w:t>
      </w:r>
      <w:r>
        <w:rPr>
          <w:rtl/>
          <w:lang w:bidi="ar-EG"/>
        </w:rPr>
        <w:tab/>
      </w:r>
      <w:r>
        <w:rPr>
          <w:rFonts w:hint="cs"/>
          <w:rtl/>
          <w:lang w:bidi="ar-EG"/>
        </w:rPr>
        <w:t xml:space="preserve">وفي ضوء أوجه عدم الاتساق التي تشوب النهج المتبع حيال وثائق الهوية الجنسانية والاعتراف بالزيجات في أستراليا، تحاج صاحبة البلاغ بأن الدولة الطرف لم تُبيِّن الأسباب التي سيؤدي بفعلها تغيير نوع الجنس في شهادة ميلاد إلى تضارب غير معقول ولا يمكن تداركه مع قانون الزواج لعام 1961. وعلى هذا النحو، لا تكون القوانين التي تمنع الأشخاص المتزوجين من تغيير نوع جنسهم في شهادة الميلاد معقولة ولا متناسبة. وتدفع صاحبة البلاغ </w:t>
      </w:r>
      <w:r w:rsidR="002634C6">
        <w:rPr>
          <w:rFonts w:hint="cs"/>
          <w:rtl/>
          <w:lang w:bidi="ar-EG"/>
        </w:rPr>
        <w:t>أيضاً</w:t>
      </w:r>
      <w:r>
        <w:rPr>
          <w:rFonts w:hint="cs"/>
          <w:rtl/>
          <w:lang w:bidi="ar-EG"/>
        </w:rPr>
        <w:t xml:space="preserve"> بأن </w:t>
      </w:r>
      <w:r>
        <w:rPr>
          <w:rFonts w:hint="cs"/>
          <w:rtl/>
          <w:lang w:bidi="ar-EG"/>
        </w:rPr>
        <w:lastRenderedPageBreak/>
        <w:t xml:space="preserve">الحالة الزواجية يجب ألا </w:t>
      </w:r>
      <w:r w:rsidR="00713D82">
        <w:rPr>
          <w:rFonts w:hint="cs"/>
          <w:rtl/>
          <w:lang w:bidi="ar-EG"/>
        </w:rPr>
        <w:t>ت</w:t>
      </w:r>
      <w:r>
        <w:rPr>
          <w:rFonts w:hint="cs"/>
          <w:rtl/>
          <w:lang w:bidi="ar-EG"/>
        </w:rPr>
        <w:t>كون عقبة أمام الاعتراف القانوني بالهوية الجنسانية. فمن الممكن السماح بالاعتراف القانوني بتغيير نوع ا</w:t>
      </w:r>
      <w:r w:rsidR="002634C6">
        <w:rPr>
          <w:rFonts w:hint="cs"/>
          <w:rtl/>
          <w:lang w:bidi="ar-EG"/>
        </w:rPr>
        <w:t xml:space="preserve">لجنس دون اشتراط فسخ زواج سابق. </w:t>
      </w:r>
      <w:r>
        <w:rPr>
          <w:rFonts w:hint="cs"/>
          <w:rtl/>
          <w:lang w:bidi="ar-EG"/>
        </w:rPr>
        <w:t>وهو أمر تجيزه النمسا وألمانيا وسويسرا.</w:t>
      </w:r>
    </w:p>
    <w:p w:rsidR="00C9188E" w:rsidRPr="00A01772" w:rsidRDefault="00C9188E" w:rsidP="00C9188E">
      <w:pPr>
        <w:pStyle w:val="SingleTxtGA"/>
        <w:rPr>
          <w:rtl/>
          <w:lang w:bidi="ar-EG"/>
        </w:rPr>
      </w:pPr>
      <w:r>
        <w:rPr>
          <w:rFonts w:hint="cs"/>
          <w:rtl/>
          <w:lang w:bidi="ar-EG"/>
        </w:rPr>
        <w:t>5-17</w:t>
      </w:r>
      <w:r>
        <w:rPr>
          <w:rtl/>
          <w:lang w:bidi="ar-EG"/>
        </w:rPr>
        <w:tab/>
      </w:r>
      <w:r>
        <w:rPr>
          <w:rFonts w:hint="cs"/>
          <w:rtl/>
          <w:lang w:bidi="ar-EG"/>
        </w:rPr>
        <w:t>وبصدد ادعاء الدولة الطرف بأن أي تمييز قد يوجد بموجب المادة 26 من العهد، يكون رغم ذلك لهدف مشروع ومعقول ومتناسب، تدفع صاحبة البلاغ بأن هذه الحجج ينبغي ألا تُقبل للأسباب المبينة أعلاه.</w:t>
      </w:r>
    </w:p>
    <w:p w:rsidR="00C9188E" w:rsidRPr="00A01772" w:rsidRDefault="00C9188E" w:rsidP="00C9188E">
      <w:pPr>
        <w:pStyle w:val="H23GA"/>
        <w:rPr>
          <w:rtl/>
          <w:lang w:bidi="ar-EG"/>
        </w:rPr>
      </w:pPr>
      <w:r>
        <w:rPr>
          <w:rtl/>
          <w:lang w:bidi="ar-EG"/>
        </w:rPr>
        <w:tab/>
      </w:r>
      <w:r>
        <w:rPr>
          <w:rtl/>
          <w:lang w:bidi="ar-EG"/>
        </w:rPr>
        <w:tab/>
      </w:r>
      <w:r w:rsidRPr="00A01772">
        <w:rPr>
          <w:rFonts w:hint="cs"/>
          <w:rtl/>
          <w:lang w:bidi="ar-EG"/>
        </w:rPr>
        <w:t>المسائل والإجراءات المعروضة على اللجنة</w:t>
      </w:r>
    </w:p>
    <w:p w:rsidR="00C9188E" w:rsidRDefault="00C9188E" w:rsidP="00C9188E">
      <w:pPr>
        <w:pStyle w:val="H4GA"/>
        <w:rPr>
          <w:rtl/>
          <w:lang w:bidi="ar-EG"/>
        </w:rPr>
      </w:pPr>
      <w:r>
        <w:rPr>
          <w:rtl/>
          <w:lang w:bidi="ar-EG"/>
        </w:rPr>
        <w:tab/>
      </w:r>
      <w:r>
        <w:rPr>
          <w:rtl/>
          <w:lang w:bidi="ar-EG"/>
        </w:rPr>
        <w:tab/>
      </w:r>
      <w:r>
        <w:rPr>
          <w:rFonts w:hint="cs"/>
          <w:rtl/>
          <w:lang w:bidi="ar-EG"/>
        </w:rPr>
        <w:t>النظر في المقبولية</w:t>
      </w:r>
    </w:p>
    <w:p w:rsidR="00C9188E" w:rsidRDefault="00C9188E" w:rsidP="00C9188E">
      <w:pPr>
        <w:pStyle w:val="SingleTxtGA"/>
        <w:rPr>
          <w:rtl/>
          <w:lang w:bidi="ar-EG"/>
        </w:rPr>
      </w:pPr>
      <w:r>
        <w:rPr>
          <w:rFonts w:hint="cs"/>
          <w:rtl/>
          <w:lang w:bidi="ar-EG"/>
        </w:rPr>
        <w:t>6-1</w:t>
      </w:r>
      <w:r>
        <w:rPr>
          <w:rtl/>
          <w:lang w:bidi="ar-EG"/>
        </w:rPr>
        <w:tab/>
      </w:r>
      <w:r w:rsidRPr="00A17173">
        <w:rPr>
          <w:rFonts w:hint="cs"/>
          <w:rtl/>
          <w:lang w:bidi="ar-EG"/>
        </w:rPr>
        <w:t>قبل</w:t>
      </w:r>
      <w:r w:rsidRPr="00A17173">
        <w:rPr>
          <w:rtl/>
          <w:lang w:bidi="ar-EG"/>
        </w:rPr>
        <w:t xml:space="preserve"> </w:t>
      </w:r>
      <w:r w:rsidRPr="00A17173">
        <w:rPr>
          <w:rFonts w:hint="cs"/>
          <w:rtl/>
          <w:lang w:bidi="ar-EG"/>
        </w:rPr>
        <w:t>النظر</w:t>
      </w:r>
      <w:r w:rsidRPr="00A17173">
        <w:rPr>
          <w:rtl/>
          <w:lang w:bidi="ar-EG"/>
        </w:rPr>
        <w:t xml:space="preserve"> </w:t>
      </w:r>
      <w:r w:rsidRPr="00A17173">
        <w:rPr>
          <w:rFonts w:hint="cs"/>
          <w:rtl/>
          <w:lang w:bidi="ar-EG"/>
        </w:rPr>
        <w:t>في</w:t>
      </w:r>
      <w:r w:rsidRPr="00A17173">
        <w:rPr>
          <w:rtl/>
          <w:lang w:bidi="ar-EG"/>
        </w:rPr>
        <w:t xml:space="preserve"> </w:t>
      </w:r>
      <w:r w:rsidRPr="00A17173">
        <w:rPr>
          <w:rFonts w:hint="cs"/>
          <w:rtl/>
          <w:lang w:bidi="ar-EG"/>
        </w:rPr>
        <w:t>أي</w:t>
      </w:r>
      <w:r w:rsidRPr="00A17173">
        <w:rPr>
          <w:rtl/>
          <w:lang w:bidi="ar-EG"/>
        </w:rPr>
        <w:t xml:space="preserve"> </w:t>
      </w:r>
      <w:r w:rsidRPr="00A17173">
        <w:rPr>
          <w:rFonts w:hint="cs"/>
          <w:rtl/>
          <w:lang w:bidi="ar-EG"/>
        </w:rPr>
        <w:t>ادعاء</w:t>
      </w:r>
      <w:r w:rsidRPr="00A17173">
        <w:rPr>
          <w:rtl/>
          <w:lang w:bidi="ar-EG"/>
        </w:rPr>
        <w:t xml:space="preserve"> </w:t>
      </w:r>
      <w:r w:rsidRPr="00A17173">
        <w:rPr>
          <w:rFonts w:hint="cs"/>
          <w:rtl/>
          <w:lang w:bidi="ar-EG"/>
        </w:rPr>
        <w:t>يرد</w:t>
      </w:r>
      <w:r w:rsidRPr="00A17173">
        <w:rPr>
          <w:rtl/>
          <w:lang w:bidi="ar-EG"/>
        </w:rPr>
        <w:t xml:space="preserve"> </w:t>
      </w:r>
      <w:r w:rsidRPr="00A17173">
        <w:rPr>
          <w:rFonts w:hint="cs"/>
          <w:rtl/>
          <w:lang w:bidi="ar-EG"/>
        </w:rPr>
        <w:t>في</w:t>
      </w:r>
      <w:r w:rsidRPr="00A17173">
        <w:rPr>
          <w:rtl/>
          <w:lang w:bidi="ar-EG"/>
        </w:rPr>
        <w:t xml:space="preserve"> </w:t>
      </w:r>
      <w:r w:rsidRPr="00A17173">
        <w:rPr>
          <w:rFonts w:hint="cs"/>
          <w:rtl/>
          <w:lang w:bidi="ar-EG"/>
        </w:rPr>
        <w:t>بلاغ</w:t>
      </w:r>
      <w:r w:rsidRPr="00A17173">
        <w:rPr>
          <w:rtl/>
          <w:lang w:bidi="ar-EG"/>
        </w:rPr>
        <w:t xml:space="preserve"> </w:t>
      </w:r>
      <w:r w:rsidRPr="00A17173">
        <w:rPr>
          <w:rFonts w:hint="cs"/>
          <w:rtl/>
          <w:lang w:bidi="ar-EG"/>
        </w:rPr>
        <w:t>ما،</w:t>
      </w:r>
      <w:r w:rsidRPr="00A17173">
        <w:rPr>
          <w:rtl/>
          <w:lang w:bidi="ar-EG"/>
        </w:rPr>
        <w:t xml:space="preserve"> </w:t>
      </w:r>
      <w:r w:rsidRPr="00A17173">
        <w:rPr>
          <w:rFonts w:hint="cs"/>
          <w:rtl/>
          <w:lang w:bidi="ar-EG"/>
        </w:rPr>
        <w:t>يجب</w:t>
      </w:r>
      <w:r w:rsidRPr="00A17173">
        <w:rPr>
          <w:rtl/>
          <w:lang w:bidi="ar-EG"/>
        </w:rPr>
        <w:t xml:space="preserve"> </w:t>
      </w:r>
      <w:r w:rsidRPr="00A17173">
        <w:rPr>
          <w:rFonts w:hint="cs"/>
          <w:rtl/>
          <w:lang w:bidi="ar-EG"/>
        </w:rPr>
        <w:t>على</w:t>
      </w:r>
      <w:r w:rsidRPr="00A17173">
        <w:rPr>
          <w:rtl/>
          <w:lang w:bidi="ar-EG"/>
        </w:rPr>
        <w:t xml:space="preserve"> </w:t>
      </w:r>
      <w:r w:rsidRPr="00A17173">
        <w:rPr>
          <w:rFonts w:hint="cs"/>
          <w:rtl/>
          <w:lang w:bidi="ar-EG"/>
        </w:rPr>
        <w:t>اللجنة</w:t>
      </w:r>
      <w:r w:rsidRPr="00A17173">
        <w:rPr>
          <w:rtl/>
          <w:lang w:bidi="ar-EG"/>
        </w:rPr>
        <w:t xml:space="preserve"> </w:t>
      </w:r>
      <w:r w:rsidRPr="00A17173">
        <w:rPr>
          <w:rFonts w:hint="cs"/>
          <w:rtl/>
          <w:lang w:bidi="ar-EG"/>
        </w:rPr>
        <w:t>أن</w:t>
      </w:r>
      <w:r w:rsidRPr="00A17173">
        <w:rPr>
          <w:rtl/>
          <w:lang w:bidi="ar-EG"/>
        </w:rPr>
        <w:t xml:space="preserve"> </w:t>
      </w:r>
      <w:r w:rsidRPr="00A17173">
        <w:rPr>
          <w:rFonts w:hint="cs"/>
          <w:rtl/>
          <w:lang w:bidi="ar-EG"/>
        </w:rPr>
        <w:t>تقرر،</w:t>
      </w:r>
      <w:r w:rsidRPr="00A17173">
        <w:rPr>
          <w:rtl/>
          <w:lang w:bidi="ar-EG"/>
        </w:rPr>
        <w:t xml:space="preserve"> </w:t>
      </w:r>
      <w:r w:rsidR="002634C6">
        <w:rPr>
          <w:rFonts w:hint="cs"/>
          <w:rtl/>
          <w:lang w:bidi="ar-EG"/>
        </w:rPr>
        <w:t>وفقاً</w:t>
      </w:r>
      <w:r w:rsidRPr="00A17173">
        <w:rPr>
          <w:rtl/>
          <w:lang w:bidi="ar-EG"/>
        </w:rPr>
        <w:t xml:space="preserve"> </w:t>
      </w:r>
      <w:r w:rsidRPr="00A17173">
        <w:rPr>
          <w:rFonts w:hint="cs"/>
          <w:rtl/>
          <w:lang w:bidi="ar-EG"/>
        </w:rPr>
        <w:t>لما</w:t>
      </w:r>
      <w:r w:rsidRPr="00A17173">
        <w:rPr>
          <w:rtl/>
          <w:lang w:bidi="ar-EG"/>
        </w:rPr>
        <w:t xml:space="preserve"> </w:t>
      </w:r>
      <w:proofErr w:type="spellStart"/>
      <w:r w:rsidRPr="00A17173">
        <w:rPr>
          <w:rFonts w:hint="cs"/>
          <w:rtl/>
          <w:lang w:bidi="ar-EG"/>
        </w:rPr>
        <w:t>تقتضيه</w:t>
      </w:r>
      <w:proofErr w:type="spellEnd"/>
      <w:r w:rsidRPr="00A17173">
        <w:rPr>
          <w:rtl/>
          <w:lang w:bidi="ar-EG"/>
        </w:rPr>
        <w:t xml:space="preserve"> </w:t>
      </w:r>
      <w:r w:rsidRPr="00A17173">
        <w:rPr>
          <w:rFonts w:hint="cs"/>
          <w:rtl/>
          <w:lang w:bidi="ar-EG"/>
        </w:rPr>
        <w:t>المادة</w:t>
      </w:r>
      <w:r w:rsidRPr="00A17173">
        <w:rPr>
          <w:rtl/>
          <w:lang w:bidi="ar-EG"/>
        </w:rPr>
        <w:t xml:space="preserve"> ٩٣ </w:t>
      </w:r>
      <w:r w:rsidRPr="00A17173">
        <w:rPr>
          <w:rFonts w:hint="cs"/>
          <w:rtl/>
          <w:lang w:bidi="ar-EG"/>
        </w:rPr>
        <w:t>من</w:t>
      </w:r>
      <w:r w:rsidRPr="00A17173">
        <w:rPr>
          <w:rtl/>
          <w:lang w:bidi="ar-EG"/>
        </w:rPr>
        <w:t xml:space="preserve"> </w:t>
      </w:r>
      <w:r w:rsidRPr="00A17173">
        <w:rPr>
          <w:rFonts w:hint="cs"/>
          <w:rtl/>
          <w:lang w:bidi="ar-EG"/>
        </w:rPr>
        <w:t>نظامها</w:t>
      </w:r>
      <w:r w:rsidRPr="00A17173">
        <w:rPr>
          <w:rtl/>
          <w:lang w:bidi="ar-EG"/>
        </w:rPr>
        <w:t xml:space="preserve"> </w:t>
      </w:r>
      <w:r w:rsidRPr="00A17173">
        <w:rPr>
          <w:rFonts w:hint="cs"/>
          <w:rtl/>
          <w:lang w:bidi="ar-EG"/>
        </w:rPr>
        <w:t>الداخلي،</w:t>
      </w:r>
      <w:r w:rsidRPr="00A17173">
        <w:rPr>
          <w:rtl/>
          <w:lang w:bidi="ar-EG"/>
        </w:rPr>
        <w:t xml:space="preserve"> </w:t>
      </w:r>
      <w:r w:rsidRPr="00A17173">
        <w:rPr>
          <w:rFonts w:hint="cs"/>
          <w:rtl/>
          <w:lang w:bidi="ar-EG"/>
        </w:rPr>
        <w:t>ما</w:t>
      </w:r>
      <w:r w:rsidRPr="00A17173">
        <w:rPr>
          <w:rtl/>
          <w:lang w:bidi="ar-EG"/>
        </w:rPr>
        <w:t xml:space="preserve"> </w:t>
      </w:r>
      <w:r w:rsidRPr="00A17173">
        <w:rPr>
          <w:rFonts w:hint="cs"/>
          <w:rtl/>
          <w:lang w:bidi="ar-EG"/>
        </w:rPr>
        <w:t>إذا</w:t>
      </w:r>
      <w:r w:rsidRPr="00A17173">
        <w:rPr>
          <w:rtl/>
          <w:lang w:bidi="ar-EG"/>
        </w:rPr>
        <w:t xml:space="preserve"> </w:t>
      </w:r>
      <w:r w:rsidRPr="00A17173">
        <w:rPr>
          <w:rFonts w:hint="cs"/>
          <w:rtl/>
          <w:lang w:bidi="ar-EG"/>
        </w:rPr>
        <w:t>كان</w:t>
      </w:r>
      <w:r w:rsidRPr="00A17173">
        <w:rPr>
          <w:rtl/>
          <w:lang w:bidi="ar-EG"/>
        </w:rPr>
        <w:t xml:space="preserve"> </w:t>
      </w:r>
      <w:r w:rsidRPr="00A17173">
        <w:rPr>
          <w:rFonts w:hint="cs"/>
          <w:rtl/>
          <w:lang w:bidi="ar-EG"/>
        </w:rPr>
        <w:t>البلاغ</w:t>
      </w:r>
      <w:r w:rsidRPr="00A17173">
        <w:rPr>
          <w:rtl/>
          <w:lang w:bidi="ar-EG"/>
        </w:rPr>
        <w:t xml:space="preserve"> </w:t>
      </w:r>
      <w:r w:rsidRPr="00A17173">
        <w:rPr>
          <w:rFonts w:hint="cs"/>
          <w:rtl/>
          <w:lang w:bidi="ar-EG"/>
        </w:rPr>
        <w:t>مقبولا</w:t>
      </w:r>
      <w:r w:rsidR="00322339">
        <w:rPr>
          <w:rFonts w:hint="cs"/>
          <w:rtl/>
          <w:lang w:bidi="ar-EG"/>
        </w:rPr>
        <w:t>ً</w:t>
      </w:r>
      <w:r w:rsidRPr="00A17173">
        <w:rPr>
          <w:rtl/>
          <w:lang w:bidi="ar-EG"/>
        </w:rPr>
        <w:t xml:space="preserve"> </w:t>
      </w:r>
      <w:r w:rsidRPr="00A17173">
        <w:rPr>
          <w:rFonts w:hint="cs"/>
          <w:rtl/>
          <w:lang w:bidi="ar-EG"/>
        </w:rPr>
        <w:t>أم</w:t>
      </w:r>
      <w:r w:rsidRPr="00A17173">
        <w:rPr>
          <w:rtl/>
          <w:lang w:bidi="ar-EG"/>
        </w:rPr>
        <w:t xml:space="preserve"> </w:t>
      </w:r>
      <w:r w:rsidRPr="00A17173">
        <w:rPr>
          <w:rFonts w:hint="cs"/>
          <w:rtl/>
          <w:lang w:bidi="ar-EG"/>
        </w:rPr>
        <w:t>لا</w:t>
      </w:r>
      <w:r w:rsidRPr="00A17173">
        <w:rPr>
          <w:rtl/>
          <w:lang w:bidi="ar-EG"/>
        </w:rPr>
        <w:t xml:space="preserve"> </w:t>
      </w:r>
      <w:r w:rsidRPr="00A17173">
        <w:rPr>
          <w:rFonts w:hint="cs"/>
          <w:rtl/>
          <w:lang w:bidi="ar-EG"/>
        </w:rPr>
        <w:t>بموجب</w:t>
      </w:r>
      <w:r w:rsidRPr="00A17173">
        <w:rPr>
          <w:rtl/>
          <w:lang w:bidi="ar-EG"/>
        </w:rPr>
        <w:t xml:space="preserve"> </w:t>
      </w:r>
      <w:r w:rsidRPr="00A17173">
        <w:rPr>
          <w:rFonts w:hint="cs"/>
          <w:rtl/>
          <w:lang w:bidi="ar-EG"/>
        </w:rPr>
        <w:t>البروتوكول</w:t>
      </w:r>
      <w:r w:rsidRPr="00A17173">
        <w:rPr>
          <w:rtl/>
          <w:lang w:bidi="ar-EG"/>
        </w:rPr>
        <w:t xml:space="preserve"> </w:t>
      </w:r>
      <w:r w:rsidRPr="00A17173">
        <w:rPr>
          <w:rFonts w:hint="cs"/>
          <w:rtl/>
          <w:lang w:bidi="ar-EG"/>
        </w:rPr>
        <w:t>الاختياري</w:t>
      </w:r>
      <w:r w:rsidRPr="00A17173">
        <w:rPr>
          <w:rtl/>
          <w:lang w:bidi="ar-EG"/>
        </w:rPr>
        <w:t>.</w:t>
      </w:r>
    </w:p>
    <w:p w:rsidR="00C9188E" w:rsidRDefault="00C9188E" w:rsidP="00C9188E">
      <w:pPr>
        <w:pStyle w:val="SingleTxtGA"/>
        <w:rPr>
          <w:rtl/>
          <w:lang w:bidi="ar-EG"/>
        </w:rPr>
      </w:pPr>
      <w:r>
        <w:rPr>
          <w:rFonts w:hint="cs"/>
          <w:rtl/>
          <w:lang w:bidi="ar-EG"/>
        </w:rPr>
        <w:t>6-2</w:t>
      </w:r>
      <w:r>
        <w:rPr>
          <w:rtl/>
          <w:lang w:bidi="ar-EG"/>
        </w:rPr>
        <w:tab/>
      </w:r>
      <w:r w:rsidRPr="00A17173">
        <w:rPr>
          <w:rFonts w:hint="cs"/>
          <w:rtl/>
          <w:lang w:bidi="ar-EG"/>
        </w:rPr>
        <w:t>ووفقاً</w:t>
      </w:r>
      <w:r w:rsidRPr="00A17173">
        <w:rPr>
          <w:rtl/>
          <w:lang w:bidi="ar-EG"/>
        </w:rPr>
        <w:t xml:space="preserve"> </w:t>
      </w:r>
      <w:r w:rsidRPr="00A17173">
        <w:rPr>
          <w:rFonts w:hint="cs"/>
          <w:rtl/>
          <w:lang w:bidi="ar-EG"/>
        </w:rPr>
        <w:t>للمادة</w:t>
      </w:r>
      <w:r w:rsidRPr="00A17173">
        <w:rPr>
          <w:rtl/>
          <w:lang w:bidi="ar-EG"/>
        </w:rPr>
        <w:t xml:space="preserve"> </w:t>
      </w:r>
      <w:r>
        <w:rPr>
          <w:rFonts w:hint="cs"/>
          <w:rtl/>
          <w:lang w:bidi="ar-EG"/>
        </w:rPr>
        <w:t>5</w:t>
      </w:r>
      <w:r w:rsidRPr="00A17173">
        <w:rPr>
          <w:rtl/>
          <w:lang w:bidi="ar-EG"/>
        </w:rPr>
        <w:t>(2)(</w:t>
      </w:r>
      <w:r w:rsidRPr="00A17173">
        <w:rPr>
          <w:rFonts w:hint="cs"/>
          <w:rtl/>
          <w:lang w:bidi="ar-EG"/>
        </w:rPr>
        <w:t>أ</w:t>
      </w:r>
      <w:r w:rsidRPr="00A17173">
        <w:rPr>
          <w:rtl/>
          <w:lang w:bidi="ar-EG"/>
        </w:rPr>
        <w:t xml:space="preserve">) </w:t>
      </w:r>
      <w:r w:rsidRPr="00A17173">
        <w:rPr>
          <w:rFonts w:hint="cs"/>
          <w:rtl/>
          <w:lang w:bidi="ar-EG"/>
        </w:rPr>
        <w:t>من</w:t>
      </w:r>
      <w:r w:rsidRPr="00A17173">
        <w:rPr>
          <w:rtl/>
          <w:lang w:bidi="ar-EG"/>
        </w:rPr>
        <w:t xml:space="preserve"> </w:t>
      </w:r>
      <w:r w:rsidRPr="00A17173">
        <w:rPr>
          <w:rFonts w:hint="cs"/>
          <w:rtl/>
          <w:lang w:bidi="ar-EG"/>
        </w:rPr>
        <w:t>البروتوكول</w:t>
      </w:r>
      <w:r w:rsidRPr="00A17173">
        <w:rPr>
          <w:rtl/>
          <w:lang w:bidi="ar-EG"/>
        </w:rPr>
        <w:t xml:space="preserve"> </w:t>
      </w:r>
      <w:r w:rsidRPr="00A17173">
        <w:rPr>
          <w:rFonts w:hint="cs"/>
          <w:rtl/>
          <w:lang w:bidi="ar-EG"/>
        </w:rPr>
        <w:t>الاختياري،</w:t>
      </w:r>
      <w:r w:rsidRPr="00A17173">
        <w:rPr>
          <w:rtl/>
          <w:lang w:bidi="ar-EG"/>
        </w:rPr>
        <w:t xml:space="preserve"> </w:t>
      </w:r>
      <w:r>
        <w:rPr>
          <w:rFonts w:hint="cs"/>
          <w:rtl/>
          <w:lang w:bidi="ar-EG"/>
        </w:rPr>
        <w:t>تأكدت اللجنة من</w:t>
      </w:r>
      <w:r w:rsidRPr="00A17173">
        <w:rPr>
          <w:rtl/>
          <w:lang w:bidi="ar-EG"/>
        </w:rPr>
        <w:t xml:space="preserve"> </w:t>
      </w:r>
      <w:r w:rsidRPr="00A17173">
        <w:rPr>
          <w:rFonts w:hint="cs"/>
          <w:rtl/>
          <w:lang w:bidi="ar-EG"/>
        </w:rPr>
        <w:t>أن</w:t>
      </w:r>
      <w:r w:rsidRPr="00A17173">
        <w:rPr>
          <w:rtl/>
          <w:lang w:bidi="ar-EG"/>
        </w:rPr>
        <w:t xml:space="preserve"> </w:t>
      </w:r>
      <w:r w:rsidRPr="00A17173">
        <w:rPr>
          <w:rFonts w:hint="cs"/>
          <w:rtl/>
          <w:lang w:bidi="ar-EG"/>
        </w:rPr>
        <w:t>المسألة</w:t>
      </w:r>
      <w:r w:rsidRPr="00A17173">
        <w:rPr>
          <w:rtl/>
          <w:lang w:bidi="ar-EG"/>
        </w:rPr>
        <w:t xml:space="preserve"> </w:t>
      </w:r>
      <w:r w:rsidRPr="00A17173">
        <w:rPr>
          <w:rFonts w:hint="cs"/>
          <w:rtl/>
          <w:lang w:bidi="ar-EG"/>
        </w:rPr>
        <w:t>ذاتها</w:t>
      </w:r>
      <w:r w:rsidRPr="00A17173">
        <w:rPr>
          <w:rtl/>
          <w:lang w:bidi="ar-EG"/>
        </w:rPr>
        <w:t xml:space="preserve"> </w:t>
      </w:r>
      <w:r>
        <w:rPr>
          <w:rFonts w:hint="cs"/>
          <w:rtl/>
          <w:lang w:bidi="ar-EG"/>
        </w:rPr>
        <w:t xml:space="preserve">لا </w:t>
      </w:r>
      <w:r w:rsidRPr="00A17173">
        <w:rPr>
          <w:rFonts w:hint="cs"/>
          <w:rtl/>
          <w:lang w:bidi="ar-EG"/>
        </w:rPr>
        <w:t>يجري</w:t>
      </w:r>
      <w:r w:rsidRPr="00A17173">
        <w:rPr>
          <w:rtl/>
          <w:lang w:bidi="ar-EG"/>
        </w:rPr>
        <w:t xml:space="preserve"> </w:t>
      </w:r>
      <w:r w:rsidRPr="00A17173">
        <w:rPr>
          <w:rFonts w:hint="cs"/>
          <w:rtl/>
          <w:lang w:bidi="ar-EG"/>
        </w:rPr>
        <w:t>النظر</w:t>
      </w:r>
      <w:r w:rsidRPr="00A17173">
        <w:rPr>
          <w:rtl/>
          <w:lang w:bidi="ar-EG"/>
        </w:rPr>
        <w:t xml:space="preserve"> </w:t>
      </w:r>
      <w:r w:rsidRPr="00A17173">
        <w:rPr>
          <w:rFonts w:hint="cs"/>
          <w:rtl/>
          <w:lang w:bidi="ar-EG"/>
        </w:rPr>
        <w:t>فيها</w:t>
      </w:r>
      <w:r w:rsidRPr="00A17173">
        <w:rPr>
          <w:rtl/>
          <w:lang w:bidi="ar-EG"/>
        </w:rPr>
        <w:t xml:space="preserve"> </w:t>
      </w:r>
      <w:r w:rsidRPr="00A17173">
        <w:rPr>
          <w:rFonts w:hint="cs"/>
          <w:rtl/>
          <w:lang w:bidi="ar-EG"/>
        </w:rPr>
        <w:t>في</w:t>
      </w:r>
      <w:r w:rsidRPr="00A17173">
        <w:rPr>
          <w:rtl/>
          <w:lang w:bidi="ar-EG"/>
        </w:rPr>
        <w:t xml:space="preserve"> </w:t>
      </w:r>
      <w:r w:rsidRPr="00A17173">
        <w:rPr>
          <w:rFonts w:hint="cs"/>
          <w:rtl/>
          <w:lang w:bidi="ar-EG"/>
        </w:rPr>
        <w:t>إطار</w:t>
      </w:r>
      <w:r w:rsidRPr="00A17173">
        <w:rPr>
          <w:rtl/>
          <w:lang w:bidi="ar-EG"/>
        </w:rPr>
        <w:t xml:space="preserve"> </w:t>
      </w:r>
      <w:r w:rsidRPr="00A17173">
        <w:rPr>
          <w:rFonts w:hint="cs"/>
          <w:rtl/>
          <w:lang w:bidi="ar-EG"/>
        </w:rPr>
        <w:t>إجراء</w:t>
      </w:r>
      <w:r w:rsidRPr="00A17173">
        <w:rPr>
          <w:rtl/>
          <w:lang w:bidi="ar-EG"/>
        </w:rPr>
        <w:t xml:space="preserve"> </w:t>
      </w:r>
      <w:r w:rsidRPr="00A17173">
        <w:rPr>
          <w:rFonts w:hint="cs"/>
          <w:rtl/>
          <w:lang w:bidi="ar-EG"/>
        </w:rPr>
        <w:t>آخر</w:t>
      </w:r>
      <w:r w:rsidRPr="00A17173">
        <w:rPr>
          <w:rtl/>
          <w:lang w:bidi="ar-EG"/>
        </w:rPr>
        <w:t xml:space="preserve"> </w:t>
      </w:r>
      <w:r w:rsidRPr="00A17173">
        <w:rPr>
          <w:rFonts w:hint="cs"/>
          <w:rtl/>
          <w:lang w:bidi="ar-EG"/>
        </w:rPr>
        <w:t>من</w:t>
      </w:r>
      <w:r w:rsidRPr="00A17173">
        <w:rPr>
          <w:rtl/>
          <w:lang w:bidi="ar-EG"/>
        </w:rPr>
        <w:t xml:space="preserve"> </w:t>
      </w:r>
      <w:r w:rsidRPr="00A17173">
        <w:rPr>
          <w:rFonts w:hint="cs"/>
          <w:rtl/>
          <w:lang w:bidi="ar-EG"/>
        </w:rPr>
        <w:t>إجراءات</w:t>
      </w:r>
      <w:r w:rsidRPr="00A17173">
        <w:rPr>
          <w:rtl/>
          <w:lang w:bidi="ar-EG"/>
        </w:rPr>
        <w:t xml:space="preserve"> </w:t>
      </w:r>
      <w:r w:rsidRPr="00A17173">
        <w:rPr>
          <w:rFonts w:hint="cs"/>
          <w:rtl/>
          <w:lang w:bidi="ar-EG"/>
        </w:rPr>
        <w:t>التحقيق</w:t>
      </w:r>
      <w:r w:rsidRPr="00A17173">
        <w:rPr>
          <w:rtl/>
          <w:lang w:bidi="ar-EG"/>
        </w:rPr>
        <w:t xml:space="preserve"> </w:t>
      </w:r>
      <w:r w:rsidRPr="00A17173">
        <w:rPr>
          <w:rFonts w:hint="cs"/>
          <w:rtl/>
          <w:lang w:bidi="ar-EG"/>
        </w:rPr>
        <w:t>الدولي</w:t>
      </w:r>
      <w:r w:rsidRPr="00A17173">
        <w:rPr>
          <w:rtl/>
          <w:lang w:bidi="ar-EG"/>
        </w:rPr>
        <w:t xml:space="preserve"> </w:t>
      </w:r>
      <w:r w:rsidRPr="00A17173">
        <w:rPr>
          <w:rFonts w:hint="cs"/>
          <w:rtl/>
          <w:lang w:bidi="ar-EG"/>
        </w:rPr>
        <w:t>أو</w:t>
      </w:r>
      <w:r w:rsidRPr="00A17173">
        <w:rPr>
          <w:rtl/>
          <w:lang w:bidi="ar-EG"/>
        </w:rPr>
        <w:t xml:space="preserve"> </w:t>
      </w:r>
      <w:r w:rsidRPr="00A17173">
        <w:rPr>
          <w:rFonts w:hint="cs"/>
          <w:rtl/>
          <w:lang w:bidi="ar-EG"/>
        </w:rPr>
        <w:t>التسوية</w:t>
      </w:r>
      <w:r w:rsidRPr="00A17173">
        <w:rPr>
          <w:rtl/>
          <w:lang w:bidi="ar-EG"/>
        </w:rPr>
        <w:t xml:space="preserve"> </w:t>
      </w:r>
      <w:r w:rsidRPr="00A17173">
        <w:rPr>
          <w:rFonts w:hint="cs"/>
          <w:rtl/>
          <w:lang w:bidi="ar-EG"/>
        </w:rPr>
        <w:t>الدولية</w:t>
      </w:r>
      <w:r w:rsidRPr="00A17173">
        <w:rPr>
          <w:rtl/>
          <w:lang w:bidi="ar-EG"/>
        </w:rPr>
        <w:t>.</w:t>
      </w:r>
    </w:p>
    <w:p w:rsidR="00C9188E" w:rsidRDefault="00C9188E" w:rsidP="00C9188E">
      <w:pPr>
        <w:pStyle w:val="SingleTxtGA"/>
        <w:rPr>
          <w:rtl/>
          <w:lang w:bidi="ar-EG"/>
        </w:rPr>
      </w:pPr>
      <w:r>
        <w:rPr>
          <w:rFonts w:hint="cs"/>
          <w:rtl/>
          <w:lang w:bidi="ar-EG"/>
        </w:rPr>
        <w:t>6-3</w:t>
      </w:r>
      <w:r>
        <w:rPr>
          <w:rtl/>
          <w:lang w:bidi="ar-EG"/>
        </w:rPr>
        <w:tab/>
      </w:r>
      <w:r>
        <w:rPr>
          <w:rFonts w:hint="cs"/>
          <w:rtl/>
          <w:lang w:bidi="ar-EG"/>
        </w:rPr>
        <w:t xml:space="preserve">وتحيط اللجنة </w:t>
      </w:r>
      <w:r w:rsidR="002634C6">
        <w:rPr>
          <w:rFonts w:hint="cs"/>
          <w:rtl/>
          <w:lang w:bidi="ar-EG"/>
        </w:rPr>
        <w:t>علماً</w:t>
      </w:r>
      <w:r>
        <w:rPr>
          <w:rFonts w:hint="cs"/>
          <w:rtl/>
          <w:lang w:bidi="ar-EG"/>
        </w:rPr>
        <w:t xml:space="preserve"> بادعاء صاحبة البلاغ بأن جميع سبل الانتصاف المحلية المتاحة قد استُنفِدت. وفي غياب أي اعتراض من الدولة الطرف في هذا الصدد، تعتبر</w:t>
      </w:r>
      <w:r w:rsidR="00FD5CDF">
        <w:rPr>
          <w:rFonts w:hint="cs"/>
          <w:rtl/>
          <w:lang w:bidi="ar-EG"/>
        </w:rPr>
        <w:t xml:space="preserve"> اللجنة أن مقتضيات المادة 5(2)</w:t>
      </w:r>
      <w:r>
        <w:rPr>
          <w:rFonts w:hint="cs"/>
          <w:rtl/>
          <w:lang w:bidi="ar-EG"/>
        </w:rPr>
        <w:t>(ب) من البروتوكول الاختياري قد استُوفيت.</w:t>
      </w:r>
    </w:p>
    <w:p w:rsidR="00C9188E" w:rsidRDefault="00C9188E" w:rsidP="00740661">
      <w:pPr>
        <w:pStyle w:val="SingleTxtGA"/>
        <w:rPr>
          <w:rtl/>
          <w:lang w:bidi="ar-EG"/>
        </w:rPr>
      </w:pPr>
      <w:r>
        <w:rPr>
          <w:rFonts w:hint="cs"/>
          <w:rtl/>
          <w:lang w:bidi="ar-EG"/>
        </w:rPr>
        <w:t>6-4</w:t>
      </w:r>
      <w:r>
        <w:rPr>
          <w:rtl/>
          <w:lang w:bidi="ar-EG"/>
        </w:rPr>
        <w:tab/>
      </w:r>
      <w:r>
        <w:rPr>
          <w:rFonts w:hint="cs"/>
          <w:rtl/>
          <w:lang w:bidi="ar-EG"/>
        </w:rPr>
        <w:t xml:space="preserve">وتأخذ اللجنة </w:t>
      </w:r>
      <w:r w:rsidR="002634C6">
        <w:rPr>
          <w:rFonts w:hint="cs"/>
          <w:rtl/>
          <w:lang w:bidi="ar-EG"/>
        </w:rPr>
        <w:t>علماً</w:t>
      </w:r>
      <w:r>
        <w:rPr>
          <w:rFonts w:hint="cs"/>
          <w:rtl/>
          <w:lang w:bidi="ar-EG"/>
        </w:rPr>
        <w:t xml:space="preserve"> بحجة الدولة الطرف بأن صاحبة البلاغ لم تدلل على أنها عانت من ضرر محدد ومباشر بسبب عدم تمكنها من تغيير نوع الجنس في شهادة ميلادها، ومن ثم لم</w:t>
      </w:r>
      <w:r w:rsidR="00740661">
        <w:rPr>
          <w:rFonts w:hint="eastAsia"/>
          <w:rtl/>
          <w:lang w:bidi="ar-EG"/>
        </w:rPr>
        <w:t> </w:t>
      </w:r>
      <w:r>
        <w:rPr>
          <w:rFonts w:hint="cs"/>
          <w:rtl/>
          <w:lang w:bidi="ar-EG"/>
        </w:rPr>
        <w:t xml:space="preserve">تقدم أدلة كافية تثبت ادعاءاتها بموجب المادة 17 من العهد. وتذكِّر اللجنة بأنه لا يمكن لشخص أن يدعي أنه ضحية بالمعنى الوارد في المادة 1 من البروتوكول الاختياري </w:t>
      </w:r>
      <w:r w:rsidRPr="002E6BAD">
        <w:rPr>
          <w:rFonts w:hint="cs"/>
          <w:rtl/>
          <w:lang w:bidi="ar-EG"/>
        </w:rPr>
        <w:t>إلا</w:t>
      </w:r>
      <w:r w:rsidRPr="002E6BAD">
        <w:rPr>
          <w:rtl/>
          <w:lang w:bidi="ar-EG"/>
        </w:rPr>
        <w:t xml:space="preserve"> </w:t>
      </w:r>
      <w:r w:rsidRPr="002E6BAD">
        <w:rPr>
          <w:rFonts w:hint="cs"/>
          <w:rtl/>
          <w:lang w:bidi="ar-EG"/>
        </w:rPr>
        <w:t>إذا</w:t>
      </w:r>
      <w:r w:rsidRPr="002E6BAD">
        <w:rPr>
          <w:rtl/>
          <w:lang w:bidi="ar-EG"/>
        </w:rPr>
        <w:t xml:space="preserve"> </w:t>
      </w:r>
      <w:r w:rsidRPr="002E6BAD">
        <w:rPr>
          <w:rFonts w:hint="cs"/>
          <w:rtl/>
          <w:lang w:bidi="ar-EG"/>
        </w:rPr>
        <w:t>كان</w:t>
      </w:r>
      <w:r w:rsidRPr="002E6BAD">
        <w:rPr>
          <w:rtl/>
          <w:lang w:bidi="ar-EG"/>
        </w:rPr>
        <w:t xml:space="preserve"> </w:t>
      </w:r>
      <w:r w:rsidRPr="002E6BAD">
        <w:rPr>
          <w:rFonts w:hint="cs"/>
          <w:rtl/>
          <w:lang w:bidi="ar-EG"/>
        </w:rPr>
        <w:t>متضرراً</w:t>
      </w:r>
      <w:r w:rsidRPr="002E6BAD">
        <w:rPr>
          <w:rtl/>
          <w:lang w:bidi="ar-EG"/>
        </w:rPr>
        <w:t xml:space="preserve"> </w:t>
      </w:r>
      <w:r w:rsidRPr="002E6BAD">
        <w:rPr>
          <w:rFonts w:hint="cs"/>
          <w:rtl/>
          <w:lang w:bidi="ar-EG"/>
        </w:rPr>
        <w:t>فعلياً</w:t>
      </w:r>
      <w:r w:rsidRPr="002E6BAD">
        <w:rPr>
          <w:rtl/>
          <w:lang w:bidi="ar-EG"/>
        </w:rPr>
        <w:t xml:space="preserve">. </w:t>
      </w:r>
      <w:r w:rsidRPr="002E6BAD">
        <w:rPr>
          <w:rFonts w:hint="cs"/>
          <w:rtl/>
          <w:lang w:bidi="ar-EG"/>
        </w:rPr>
        <w:t>وتختلف</w:t>
      </w:r>
      <w:r w:rsidRPr="002E6BAD">
        <w:rPr>
          <w:rtl/>
          <w:lang w:bidi="ar-EG"/>
        </w:rPr>
        <w:t xml:space="preserve"> </w:t>
      </w:r>
      <w:r w:rsidRPr="002E6BAD">
        <w:rPr>
          <w:rFonts w:hint="cs"/>
          <w:rtl/>
          <w:lang w:bidi="ar-EG"/>
        </w:rPr>
        <w:t>كيفية</w:t>
      </w:r>
      <w:r w:rsidRPr="002E6BAD">
        <w:rPr>
          <w:rtl/>
          <w:lang w:bidi="ar-EG"/>
        </w:rPr>
        <w:t xml:space="preserve"> </w:t>
      </w:r>
      <w:r w:rsidRPr="002E6BAD">
        <w:rPr>
          <w:rFonts w:hint="cs"/>
          <w:rtl/>
          <w:lang w:bidi="ar-EG"/>
        </w:rPr>
        <w:t>تفسير</w:t>
      </w:r>
      <w:r w:rsidRPr="002E6BAD">
        <w:rPr>
          <w:rtl/>
          <w:lang w:bidi="ar-EG"/>
        </w:rPr>
        <w:t xml:space="preserve"> </w:t>
      </w:r>
      <w:r w:rsidRPr="002E6BAD">
        <w:rPr>
          <w:rFonts w:hint="cs"/>
          <w:rtl/>
          <w:lang w:bidi="ar-EG"/>
        </w:rPr>
        <w:t>هذا</w:t>
      </w:r>
      <w:r w:rsidRPr="002E6BAD">
        <w:rPr>
          <w:rtl/>
          <w:lang w:bidi="ar-EG"/>
        </w:rPr>
        <w:t xml:space="preserve"> </w:t>
      </w:r>
      <w:r w:rsidRPr="002E6BAD">
        <w:rPr>
          <w:rFonts w:hint="cs"/>
          <w:rtl/>
          <w:lang w:bidi="ar-EG"/>
        </w:rPr>
        <w:t>الشرط</w:t>
      </w:r>
      <w:r w:rsidRPr="002E6BAD">
        <w:rPr>
          <w:rtl/>
          <w:lang w:bidi="ar-EG"/>
        </w:rPr>
        <w:t xml:space="preserve"> </w:t>
      </w:r>
      <w:r w:rsidRPr="002E6BAD">
        <w:rPr>
          <w:rFonts w:hint="cs"/>
          <w:rtl/>
          <w:lang w:bidi="ar-EG"/>
        </w:rPr>
        <w:t>تفسيراً</w:t>
      </w:r>
      <w:r w:rsidRPr="002E6BAD">
        <w:rPr>
          <w:rtl/>
          <w:lang w:bidi="ar-EG"/>
        </w:rPr>
        <w:t xml:space="preserve"> </w:t>
      </w:r>
      <w:r w:rsidRPr="002E6BAD">
        <w:rPr>
          <w:rFonts w:hint="cs"/>
          <w:rtl/>
          <w:lang w:bidi="ar-EG"/>
        </w:rPr>
        <w:t>محدداً</w:t>
      </w:r>
      <w:r w:rsidRPr="002E6BAD">
        <w:rPr>
          <w:rtl/>
          <w:lang w:bidi="ar-EG"/>
        </w:rPr>
        <w:t xml:space="preserve"> </w:t>
      </w:r>
      <w:r w:rsidRPr="002E6BAD">
        <w:rPr>
          <w:rFonts w:hint="cs"/>
          <w:rtl/>
          <w:lang w:bidi="ar-EG"/>
        </w:rPr>
        <w:t>حسب</w:t>
      </w:r>
      <w:r w:rsidRPr="002E6BAD">
        <w:rPr>
          <w:rtl/>
          <w:lang w:bidi="ar-EG"/>
        </w:rPr>
        <w:t xml:space="preserve"> </w:t>
      </w:r>
      <w:r w:rsidRPr="002E6BAD">
        <w:rPr>
          <w:rFonts w:hint="cs"/>
          <w:rtl/>
          <w:lang w:bidi="ar-EG"/>
        </w:rPr>
        <w:t>الدرجة</w:t>
      </w:r>
      <w:r w:rsidRPr="002E6BAD">
        <w:rPr>
          <w:rtl/>
          <w:lang w:bidi="ar-EG"/>
        </w:rPr>
        <w:t xml:space="preserve">. </w:t>
      </w:r>
      <w:r w:rsidRPr="002E6BAD">
        <w:rPr>
          <w:rFonts w:hint="cs"/>
          <w:rtl/>
          <w:lang w:bidi="ar-EG"/>
        </w:rPr>
        <w:t>بيد</w:t>
      </w:r>
      <w:r w:rsidRPr="002E6BAD">
        <w:rPr>
          <w:rtl/>
          <w:lang w:bidi="ar-EG"/>
        </w:rPr>
        <w:t xml:space="preserve"> </w:t>
      </w:r>
      <w:r w:rsidRPr="002E6BAD">
        <w:rPr>
          <w:rFonts w:hint="cs"/>
          <w:rtl/>
          <w:lang w:bidi="ar-EG"/>
        </w:rPr>
        <w:t>أنه</w:t>
      </w:r>
      <w:r w:rsidRPr="002E6BAD">
        <w:rPr>
          <w:rtl/>
          <w:lang w:bidi="ar-EG"/>
        </w:rPr>
        <w:t xml:space="preserve"> </w:t>
      </w:r>
      <w:r w:rsidRPr="002E6BAD">
        <w:rPr>
          <w:rFonts w:hint="cs"/>
          <w:rtl/>
          <w:lang w:bidi="ar-EG"/>
        </w:rPr>
        <w:t>لا</w:t>
      </w:r>
      <w:r w:rsidRPr="002E6BAD">
        <w:rPr>
          <w:rtl/>
          <w:lang w:bidi="ar-EG"/>
        </w:rPr>
        <w:t xml:space="preserve"> </w:t>
      </w:r>
      <w:r w:rsidRPr="002E6BAD">
        <w:rPr>
          <w:rFonts w:hint="cs"/>
          <w:rtl/>
          <w:lang w:bidi="ar-EG"/>
        </w:rPr>
        <w:t>يمكن</w:t>
      </w:r>
      <w:r w:rsidRPr="002E6BAD">
        <w:rPr>
          <w:rtl/>
          <w:lang w:bidi="ar-EG"/>
        </w:rPr>
        <w:t xml:space="preserve"> </w:t>
      </w:r>
      <w:r w:rsidRPr="002E6BAD">
        <w:rPr>
          <w:rFonts w:hint="cs"/>
          <w:rtl/>
          <w:lang w:bidi="ar-EG"/>
        </w:rPr>
        <w:t>لأي</w:t>
      </w:r>
      <w:r w:rsidRPr="002E6BAD">
        <w:rPr>
          <w:rtl/>
          <w:lang w:bidi="ar-EG"/>
        </w:rPr>
        <w:t xml:space="preserve"> </w:t>
      </w:r>
      <w:r w:rsidRPr="002E6BAD">
        <w:rPr>
          <w:rFonts w:hint="cs"/>
          <w:rtl/>
          <w:lang w:bidi="ar-EG"/>
        </w:rPr>
        <w:t>فرد</w:t>
      </w:r>
      <w:r w:rsidRPr="002E6BAD">
        <w:rPr>
          <w:rtl/>
          <w:lang w:bidi="ar-EG"/>
        </w:rPr>
        <w:t xml:space="preserve"> </w:t>
      </w:r>
      <w:r w:rsidRPr="002E6BAD">
        <w:rPr>
          <w:rFonts w:hint="cs"/>
          <w:rtl/>
          <w:lang w:bidi="ar-EG"/>
        </w:rPr>
        <w:t>أن</w:t>
      </w:r>
      <w:r w:rsidRPr="002E6BAD">
        <w:rPr>
          <w:rtl/>
          <w:lang w:bidi="ar-EG"/>
        </w:rPr>
        <w:t xml:space="preserve"> </w:t>
      </w:r>
      <w:r w:rsidRPr="002E6BAD">
        <w:rPr>
          <w:rFonts w:hint="cs"/>
          <w:rtl/>
          <w:lang w:bidi="ar-EG"/>
        </w:rPr>
        <w:t>يطعن</w:t>
      </w:r>
      <w:r w:rsidRPr="002E6BAD">
        <w:rPr>
          <w:rtl/>
          <w:lang w:bidi="ar-EG"/>
        </w:rPr>
        <w:t xml:space="preserve"> </w:t>
      </w:r>
      <w:r w:rsidRPr="002E6BAD">
        <w:rPr>
          <w:rFonts w:hint="cs"/>
          <w:rtl/>
          <w:lang w:bidi="ar-EG"/>
        </w:rPr>
        <w:t>بصفة</w:t>
      </w:r>
      <w:r w:rsidRPr="002E6BAD">
        <w:rPr>
          <w:rtl/>
          <w:lang w:bidi="ar-EG"/>
        </w:rPr>
        <w:t xml:space="preserve"> </w:t>
      </w:r>
      <w:r w:rsidRPr="002E6BAD">
        <w:rPr>
          <w:rFonts w:hint="cs"/>
          <w:rtl/>
          <w:lang w:bidi="ar-EG"/>
        </w:rPr>
        <w:t>مطلقة،</w:t>
      </w:r>
      <w:r w:rsidRPr="002E6BAD">
        <w:rPr>
          <w:rtl/>
          <w:lang w:bidi="ar-EG"/>
        </w:rPr>
        <w:t xml:space="preserve"> </w:t>
      </w:r>
      <w:r w:rsidRPr="002E6BAD">
        <w:rPr>
          <w:rFonts w:hint="cs"/>
          <w:i/>
          <w:iCs/>
          <w:rtl/>
          <w:lang w:bidi="ar-EG"/>
        </w:rPr>
        <w:t>بإقامة</w:t>
      </w:r>
      <w:r w:rsidRPr="002E6BAD">
        <w:rPr>
          <w:i/>
          <w:iCs/>
          <w:rtl/>
          <w:lang w:bidi="ar-EG"/>
        </w:rPr>
        <w:t xml:space="preserve"> </w:t>
      </w:r>
      <w:r w:rsidRPr="002E6BAD">
        <w:rPr>
          <w:rFonts w:hint="cs"/>
          <w:i/>
          <w:iCs/>
          <w:rtl/>
          <w:lang w:bidi="ar-EG"/>
        </w:rPr>
        <w:t>دعوى</w:t>
      </w:r>
      <w:r w:rsidRPr="002E6BAD">
        <w:rPr>
          <w:i/>
          <w:iCs/>
          <w:rtl/>
          <w:lang w:bidi="ar-EG"/>
        </w:rPr>
        <w:t xml:space="preserve"> </w:t>
      </w:r>
      <w:r w:rsidRPr="002E6BAD">
        <w:rPr>
          <w:rFonts w:hint="cs"/>
          <w:i/>
          <w:iCs/>
          <w:rtl/>
          <w:lang w:bidi="ar-EG"/>
        </w:rPr>
        <w:t>عمومية</w:t>
      </w:r>
      <w:r w:rsidRPr="002E6BAD">
        <w:rPr>
          <w:rFonts w:hint="cs"/>
          <w:rtl/>
          <w:lang w:bidi="ar-EG"/>
        </w:rPr>
        <w:t>،</w:t>
      </w:r>
      <w:r w:rsidRPr="002E6BAD">
        <w:rPr>
          <w:rtl/>
          <w:lang w:bidi="ar-EG"/>
        </w:rPr>
        <w:t xml:space="preserve"> </w:t>
      </w:r>
      <w:r w:rsidRPr="002E6BAD">
        <w:rPr>
          <w:rFonts w:hint="cs"/>
          <w:rtl/>
          <w:lang w:bidi="ar-EG"/>
        </w:rPr>
        <w:t>في</w:t>
      </w:r>
      <w:r w:rsidRPr="002E6BAD">
        <w:rPr>
          <w:rtl/>
          <w:lang w:bidi="ar-EG"/>
        </w:rPr>
        <w:t xml:space="preserve"> </w:t>
      </w:r>
      <w:r w:rsidRPr="002E6BAD">
        <w:rPr>
          <w:rFonts w:hint="cs"/>
          <w:rtl/>
          <w:lang w:bidi="ar-EG"/>
        </w:rPr>
        <w:t>قانون</w:t>
      </w:r>
      <w:r w:rsidRPr="002E6BAD">
        <w:rPr>
          <w:rtl/>
          <w:lang w:bidi="ar-EG"/>
        </w:rPr>
        <w:t xml:space="preserve"> </w:t>
      </w:r>
      <w:r w:rsidRPr="002E6BAD">
        <w:rPr>
          <w:rFonts w:hint="cs"/>
          <w:rtl/>
          <w:lang w:bidi="ar-EG"/>
        </w:rPr>
        <w:t>أو</w:t>
      </w:r>
      <w:r w:rsidRPr="002E6BAD">
        <w:rPr>
          <w:rtl/>
          <w:lang w:bidi="ar-EG"/>
        </w:rPr>
        <w:t xml:space="preserve"> </w:t>
      </w:r>
      <w:r w:rsidRPr="002E6BAD">
        <w:rPr>
          <w:rFonts w:hint="cs"/>
          <w:rtl/>
          <w:lang w:bidi="ar-EG"/>
        </w:rPr>
        <w:t>ممارسة</w:t>
      </w:r>
      <w:r w:rsidRPr="002E6BAD">
        <w:rPr>
          <w:rtl/>
          <w:lang w:bidi="ar-EG"/>
        </w:rPr>
        <w:t xml:space="preserve"> </w:t>
      </w:r>
      <w:r w:rsidRPr="002E6BAD">
        <w:rPr>
          <w:rFonts w:hint="cs"/>
          <w:rtl/>
          <w:lang w:bidi="ar-EG"/>
        </w:rPr>
        <w:t>يُدّعى</w:t>
      </w:r>
      <w:r w:rsidRPr="002E6BAD">
        <w:rPr>
          <w:rtl/>
          <w:lang w:bidi="ar-EG"/>
        </w:rPr>
        <w:t xml:space="preserve"> </w:t>
      </w:r>
      <w:r w:rsidRPr="002E6BAD">
        <w:rPr>
          <w:rFonts w:hint="cs"/>
          <w:rtl/>
          <w:lang w:bidi="ar-EG"/>
        </w:rPr>
        <w:t>أنهما</w:t>
      </w:r>
      <w:r w:rsidRPr="002E6BAD">
        <w:rPr>
          <w:rtl/>
          <w:lang w:bidi="ar-EG"/>
        </w:rPr>
        <w:t xml:space="preserve"> </w:t>
      </w:r>
      <w:r w:rsidRPr="002E6BAD">
        <w:rPr>
          <w:rFonts w:hint="cs"/>
          <w:rtl/>
          <w:lang w:bidi="ar-EG"/>
        </w:rPr>
        <w:t>مخالفان</w:t>
      </w:r>
      <w:r w:rsidRPr="002E6BAD">
        <w:rPr>
          <w:rtl/>
          <w:lang w:bidi="ar-EG"/>
        </w:rPr>
        <w:t xml:space="preserve"> </w:t>
      </w:r>
      <w:r w:rsidRPr="002E6BAD">
        <w:rPr>
          <w:rFonts w:hint="cs"/>
          <w:rtl/>
          <w:lang w:bidi="ar-EG"/>
        </w:rPr>
        <w:t>للعه</w:t>
      </w:r>
      <w:r w:rsidR="00C34C06">
        <w:rPr>
          <w:rFonts w:hint="cs"/>
          <w:rtl/>
          <w:lang w:bidi="ar-EG"/>
        </w:rPr>
        <w:t>د</w:t>
      </w:r>
      <w:r w:rsidR="00C34C06">
        <w:rPr>
          <w:rStyle w:val="FootnoteReference"/>
          <w:sz w:val="30"/>
          <w:rtl/>
          <w:lang w:bidi="ar-EG"/>
        </w:rPr>
        <w:t>(</w:t>
      </w:r>
      <w:r w:rsidR="00C34C06">
        <w:rPr>
          <w:rStyle w:val="FootnoteReference"/>
          <w:sz w:val="30"/>
          <w:rtl/>
          <w:lang w:bidi="ar-EG"/>
        </w:rPr>
        <w:footnoteReference w:id="36"/>
      </w:r>
      <w:r w:rsidR="00C34C06">
        <w:rPr>
          <w:rStyle w:val="FootnoteReference"/>
          <w:sz w:val="30"/>
          <w:rtl/>
          <w:lang w:bidi="ar-EG"/>
        </w:rPr>
        <w:t>)</w:t>
      </w:r>
      <w:r w:rsidR="00C34C06">
        <w:rPr>
          <w:rFonts w:hint="cs"/>
          <w:rtl/>
          <w:lang w:bidi="ar-EG"/>
        </w:rPr>
        <w:t>.</w:t>
      </w:r>
      <w:r>
        <w:rPr>
          <w:rFonts w:hint="cs"/>
          <w:rtl/>
          <w:lang w:bidi="ar-EG"/>
        </w:rPr>
        <w:t xml:space="preserve"> وإذا لم يكن القانون، أو الممارسة، قد طُبِّق فعلا</w:t>
      </w:r>
      <w:r w:rsidR="00322339">
        <w:rPr>
          <w:rFonts w:hint="cs"/>
          <w:rtl/>
          <w:lang w:bidi="ar-EG"/>
        </w:rPr>
        <w:t>ً</w:t>
      </w:r>
      <w:r>
        <w:rPr>
          <w:rFonts w:hint="cs"/>
          <w:rtl/>
          <w:lang w:bidi="ar-EG"/>
        </w:rPr>
        <w:t xml:space="preserve"> على نحو ألحق الضرر بذلك الشخص، فيجب أن يكون قابلا</w:t>
      </w:r>
      <w:r w:rsidR="00C34C06">
        <w:rPr>
          <w:rFonts w:hint="cs"/>
          <w:rtl/>
          <w:lang w:bidi="ar-EG"/>
        </w:rPr>
        <w:t>ً</w:t>
      </w:r>
      <w:r>
        <w:rPr>
          <w:rFonts w:hint="cs"/>
          <w:rtl/>
          <w:lang w:bidi="ar-EG"/>
        </w:rPr>
        <w:t xml:space="preserve"> للتطبيق على نحو يكون فيه احتمال الضرر الذي ي</w:t>
      </w:r>
      <w:r w:rsidR="00C34C06">
        <w:rPr>
          <w:rFonts w:hint="cs"/>
          <w:rtl/>
          <w:lang w:bidi="ar-EG"/>
        </w:rPr>
        <w:t>دعيه الضحية أكثر من احتمال نظري</w:t>
      </w:r>
      <w:r w:rsidR="00C34C06">
        <w:rPr>
          <w:rStyle w:val="FootnoteReference"/>
          <w:sz w:val="30"/>
          <w:rtl/>
          <w:lang w:bidi="ar-EG"/>
        </w:rPr>
        <w:t>(</w:t>
      </w:r>
      <w:r w:rsidR="00C34C06">
        <w:rPr>
          <w:rStyle w:val="FootnoteReference"/>
          <w:sz w:val="30"/>
          <w:rtl/>
          <w:lang w:bidi="ar-EG"/>
        </w:rPr>
        <w:footnoteReference w:id="37"/>
      </w:r>
      <w:r w:rsidR="00C34C06">
        <w:rPr>
          <w:rStyle w:val="FootnoteReference"/>
          <w:sz w:val="30"/>
          <w:rtl/>
          <w:lang w:bidi="ar-EG"/>
        </w:rPr>
        <w:t>)</w:t>
      </w:r>
      <w:r w:rsidR="00C34C06">
        <w:rPr>
          <w:rFonts w:hint="cs"/>
          <w:rtl/>
          <w:lang w:bidi="ar-EG"/>
        </w:rPr>
        <w:t>.</w:t>
      </w:r>
    </w:p>
    <w:p w:rsidR="00C9188E" w:rsidRDefault="00C9188E" w:rsidP="003C5319">
      <w:pPr>
        <w:pStyle w:val="SingleTxtGA"/>
        <w:rPr>
          <w:rtl/>
          <w:lang w:bidi="ar-EG"/>
        </w:rPr>
      </w:pPr>
      <w:r>
        <w:rPr>
          <w:rFonts w:hint="cs"/>
          <w:rtl/>
          <w:lang w:bidi="ar-EG"/>
        </w:rPr>
        <w:t>6-5</w:t>
      </w:r>
      <w:r>
        <w:rPr>
          <w:rtl/>
          <w:lang w:bidi="ar-EG"/>
        </w:rPr>
        <w:tab/>
      </w:r>
      <w:r>
        <w:rPr>
          <w:rFonts w:hint="cs"/>
          <w:rtl/>
          <w:lang w:bidi="ar-EG"/>
        </w:rPr>
        <w:t>وتلاحظ اللجنة في هذه القضية أن النظام القانوني المطعون فيه قد طُبِّق فعلا</w:t>
      </w:r>
      <w:r w:rsidR="00322339">
        <w:rPr>
          <w:rFonts w:hint="cs"/>
          <w:rtl/>
          <w:lang w:bidi="ar-EG"/>
        </w:rPr>
        <w:t>ً</w:t>
      </w:r>
      <w:r>
        <w:rPr>
          <w:rFonts w:hint="cs"/>
          <w:rtl/>
          <w:lang w:bidi="ar-EG"/>
        </w:rPr>
        <w:t xml:space="preserve"> بشكل مباشر ضد صاحبة البلاغ. فقد قدمت ثلاث مرات طل</w:t>
      </w:r>
      <w:r w:rsidR="00F21316">
        <w:rPr>
          <w:rFonts w:hint="cs"/>
          <w:rtl/>
          <w:lang w:bidi="ar-EG"/>
        </w:rPr>
        <w:t xml:space="preserve">باً </w:t>
      </w:r>
      <w:r>
        <w:rPr>
          <w:rFonts w:hint="cs"/>
          <w:rtl/>
          <w:lang w:bidi="ar-EG"/>
        </w:rPr>
        <w:t xml:space="preserve">للحصول على شهادة ميلاد تتسق مع نوع جنسها ورُفضت هذه الطلبات بموجب القانون المحلي. وتشير اللجنة </w:t>
      </w:r>
      <w:r w:rsidR="002634C6">
        <w:rPr>
          <w:rFonts w:hint="cs"/>
          <w:rtl/>
          <w:lang w:bidi="ar-EG"/>
        </w:rPr>
        <w:t>أيضاً</w:t>
      </w:r>
      <w:r>
        <w:rPr>
          <w:rFonts w:hint="cs"/>
          <w:rtl/>
          <w:lang w:bidi="ar-EG"/>
        </w:rPr>
        <w:t xml:space="preserve"> إلى أن شهادة الميلاد تمثل وثيقة رسمية حيوية لتحديد الهوية وأنها تُطلب عادة لأغراض تحديد الهوية الشخصية الرسمي وهي تمثل في أستراليا وسيلة رئيسية لتحديد الهوية يمكن طلبها بموجب القانون الوطني وقانون الولايات والأقاليم. وتمثل شهادات الميلاد </w:t>
      </w:r>
      <w:r w:rsidR="002634C6">
        <w:rPr>
          <w:rFonts w:hint="cs"/>
          <w:rtl/>
          <w:lang w:bidi="ar-EG"/>
        </w:rPr>
        <w:t>أيضاً</w:t>
      </w:r>
      <w:r>
        <w:rPr>
          <w:rFonts w:hint="cs"/>
          <w:rtl/>
          <w:lang w:bidi="ar-EG"/>
        </w:rPr>
        <w:t xml:space="preserve"> أشكالا</w:t>
      </w:r>
      <w:r w:rsidR="00322339">
        <w:rPr>
          <w:rFonts w:hint="cs"/>
          <w:rtl/>
          <w:lang w:bidi="ar-EG"/>
        </w:rPr>
        <w:t>ً</w:t>
      </w:r>
      <w:r>
        <w:rPr>
          <w:rFonts w:hint="cs"/>
          <w:rtl/>
          <w:lang w:bidi="ar-EG"/>
        </w:rPr>
        <w:t xml:space="preserve"> من تحديد الهوية كثيرا</w:t>
      </w:r>
      <w:r w:rsidR="003C5319">
        <w:rPr>
          <w:rFonts w:hint="cs"/>
          <w:rtl/>
          <w:lang w:bidi="ar-EG"/>
        </w:rPr>
        <w:t>ً</w:t>
      </w:r>
      <w:r>
        <w:rPr>
          <w:rFonts w:hint="cs"/>
          <w:rtl/>
          <w:lang w:bidi="ar-EG"/>
        </w:rPr>
        <w:t xml:space="preserve"> ما</w:t>
      </w:r>
      <w:r w:rsidR="003C5319">
        <w:rPr>
          <w:rFonts w:hint="eastAsia"/>
          <w:rtl/>
          <w:lang w:bidi="ar-EG"/>
        </w:rPr>
        <w:t> </w:t>
      </w:r>
      <w:r>
        <w:rPr>
          <w:rFonts w:hint="cs"/>
          <w:rtl/>
          <w:lang w:bidi="ar-EG"/>
        </w:rPr>
        <w:t xml:space="preserve">تطلبها الكيانات الخاصة والحكومات الأجنبية. ولذلك، ترى اللجنة أن صاحبة البلاغ قد </w:t>
      </w:r>
      <w:r>
        <w:rPr>
          <w:rFonts w:hint="cs"/>
          <w:rtl/>
          <w:lang w:bidi="ar-EG"/>
        </w:rPr>
        <w:lastRenderedPageBreak/>
        <w:t xml:space="preserve">أثبتت أن احتياز شهادة ميلاد صادرة عن الحكومة تعرفها على أنها ذكر، واحتمال أن يتعين عليها إبراز شهادة ميلادها لاستيفاء مختلف مقتضيات تحديد الهوية ومن ثم الكشف عن أنها مغايرة </w:t>
      </w:r>
      <w:proofErr w:type="spellStart"/>
      <w:r w:rsidR="002634C6">
        <w:rPr>
          <w:rFonts w:hint="cs"/>
          <w:rtl/>
          <w:lang w:bidi="ar-EG"/>
        </w:rPr>
        <w:t>جنسانياً</w:t>
      </w:r>
      <w:proofErr w:type="spellEnd"/>
      <w:r>
        <w:rPr>
          <w:rFonts w:hint="cs"/>
          <w:rtl/>
          <w:lang w:bidi="ar-EG"/>
        </w:rPr>
        <w:t xml:space="preserve"> يستوفيان شرط الضحية بالمعنى الوارد في المادة 1 من البروتوكول الاختياري. و</w:t>
      </w:r>
      <w:r w:rsidR="002634C6">
        <w:rPr>
          <w:rFonts w:hint="cs"/>
          <w:rtl/>
          <w:lang w:bidi="ar-EG"/>
        </w:rPr>
        <w:t>فضلاً</w:t>
      </w:r>
      <w:r>
        <w:rPr>
          <w:rFonts w:hint="cs"/>
          <w:rtl/>
          <w:lang w:bidi="ar-EG"/>
        </w:rPr>
        <w:t xml:space="preserve"> عن ذلك، تأخذ اللجنة </w:t>
      </w:r>
      <w:r w:rsidR="002634C6">
        <w:rPr>
          <w:rFonts w:hint="cs"/>
          <w:rtl/>
          <w:lang w:bidi="ar-EG"/>
        </w:rPr>
        <w:t>علماً</w:t>
      </w:r>
      <w:r>
        <w:rPr>
          <w:rFonts w:hint="cs"/>
          <w:rtl/>
          <w:lang w:bidi="ar-EG"/>
        </w:rPr>
        <w:t xml:space="preserve"> بأن صاحبة البلاغ ذكرت أنها تعرضت لمعاملة سلبية مثل الاستجواب والارتياب في التزوير ووج</w:t>
      </w:r>
      <w:r w:rsidR="00FF2ACB">
        <w:rPr>
          <w:rFonts w:hint="cs"/>
          <w:rtl/>
          <w:lang w:bidi="ar-EG"/>
        </w:rPr>
        <w:t>دت من الصعب الحصول على عمل وغيّ</w:t>
      </w:r>
      <w:r>
        <w:rPr>
          <w:rFonts w:hint="cs"/>
          <w:rtl/>
          <w:lang w:bidi="ar-EG"/>
        </w:rPr>
        <w:t xml:space="preserve">رت سلوكها لتفادي الكشف عن شهادة ميلادها. وهي تذكر </w:t>
      </w:r>
      <w:r w:rsidR="002634C6">
        <w:rPr>
          <w:rFonts w:hint="cs"/>
          <w:rtl/>
          <w:lang w:bidi="ar-EG"/>
        </w:rPr>
        <w:t>أيضاً</w:t>
      </w:r>
      <w:r>
        <w:rPr>
          <w:rFonts w:hint="cs"/>
          <w:rtl/>
          <w:lang w:bidi="ar-EG"/>
        </w:rPr>
        <w:t xml:space="preserve"> حادثة محددة طُلب فيها منها تقديم شهادة ميلادها لمديري وصية والدها لإثبات علاقتها بأبيها. وبناءً على ذلك، ترى اللجنة انتفاء العقبات التي تحول دون مقبولية البلاغ بموجب المادة 1 من البروتوكول الاختياري فيما يتعلق بادعاءات صاحبة البلاغ بشأن المادة 17 من العهد.</w:t>
      </w:r>
    </w:p>
    <w:p w:rsidR="00C9188E" w:rsidRDefault="00C9188E" w:rsidP="00C9188E">
      <w:pPr>
        <w:pStyle w:val="SingleTxtGA"/>
        <w:rPr>
          <w:rtl/>
          <w:lang w:bidi="ar-EG"/>
        </w:rPr>
      </w:pPr>
      <w:r>
        <w:rPr>
          <w:rFonts w:hint="cs"/>
          <w:rtl/>
          <w:lang w:bidi="ar-EG"/>
        </w:rPr>
        <w:t>6-6</w:t>
      </w:r>
      <w:r>
        <w:rPr>
          <w:rtl/>
          <w:lang w:bidi="ar-EG"/>
        </w:rPr>
        <w:tab/>
      </w:r>
      <w:r>
        <w:rPr>
          <w:rFonts w:hint="cs"/>
          <w:rtl/>
          <w:lang w:bidi="ar-EG"/>
        </w:rPr>
        <w:t xml:space="preserve">وتأخذ اللجنة </w:t>
      </w:r>
      <w:r w:rsidR="002634C6">
        <w:rPr>
          <w:rFonts w:hint="cs"/>
          <w:rtl/>
          <w:lang w:bidi="ar-EG"/>
        </w:rPr>
        <w:t>علماً</w:t>
      </w:r>
      <w:r>
        <w:rPr>
          <w:rFonts w:hint="cs"/>
          <w:rtl/>
          <w:lang w:bidi="ar-EG"/>
        </w:rPr>
        <w:t xml:space="preserve"> بحجة الدولة الطرف بأن ادعاء صاحبة البلاغ بموجب المادة 2(1) مقرونة بالمادة 26 من العهد ينبغي أن تعلن غير مقبولة لعدم كفاية الأدلة. وفي هذا الصدد، تدعي صاحبة البلاغ أنها، بسبب عدم السماح لها بالحصول على شهادة ميلاد تُبيِّن نوع جنسها على الوجه السليم، لم توفر لها الحماية المتساوية أمام القانون مقارنة بامرأة غير مغايرة </w:t>
      </w:r>
      <w:proofErr w:type="spellStart"/>
      <w:r w:rsidR="002634C6">
        <w:rPr>
          <w:rFonts w:hint="cs"/>
          <w:rtl/>
          <w:lang w:bidi="ar-EG"/>
        </w:rPr>
        <w:t>جنسانياً</w:t>
      </w:r>
      <w:proofErr w:type="spellEnd"/>
      <w:r>
        <w:rPr>
          <w:rFonts w:hint="cs"/>
          <w:rtl/>
          <w:lang w:bidi="ar-EG"/>
        </w:rPr>
        <w:t xml:space="preserve"> أو بامرأة مغايرة </w:t>
      </w:r>
      <w:proofErr w:type="spellStart"/>
      <w:r w:rsidR="002634C6">
        <w:rPr>
          <w:rFonts w:hint="cs"/>
          <w:rtl/>
          <w:lang w:bidi="ar-EG"/>
        </w:rPr>
        <w:t>جنسانياً</w:t>
      </w:r>
      <w:proofErr w:type="spellEnd"/>
      <w:r>
        <w:rPr>
          <w:rFonts w:hint="cs"/>
          <w:rtl/>
          <w:lang w:bidi="ar-EG"/>
        </w:rPr>
        <w:t xml:space="preserve"> غير متزوجة وأنها تعرضت على هذا النحو للتمييز على أساس حالتها الزواجية وهويتها الجنسانية المغايرة و/أو مزيجا</w:t>
      </w:r>
      <w:r w:rsidR="00322339">
        <w:rPr>
          <w:rFonts w:hint="cs"/>
          <w:rtl/>
          <w:lang w:bidi="ar-EG"/>
        </w:rPr>
        <w:t>ً</w:t>
      </w:r>
      <w:r>
        <w:rPr>
          <w:rFonts w:hint="cs"/>
          <w:rtl/>
          <w:lang w:bidi="ar-EG"/>
        </w:rPr>
        <w:t xml:space="preserve"> منهما. وفي ضوء المعلومات المقدمة، ترى اللجنة أن صاحبة البلاغ قدمت أدلة كافية على ادعاءاته</w:t>
      </w:r>
      <w:r>
        <w:rPr>
          <w:rFonts w:hint="eastAsia"/>
          <w:rtl/>
          <w:lang w:bidi="ar-EG"/>
        </w:rPr>
        <w:t>ا</w:t>
      </w:r>
      <w:r>
        <w:rPr>
          <w:rFonts w:hint="cs"/>
          <w:rtl/>
          <w:lang w:bidi="ar-EG"/>
        </w:rPr>
        <w:t xml:space="preserve"> بموجب المادة 26 لأغراض المقبولية.</w:t>
      </w:r>
    </w:p>
    <w:p w:rsidR="00C9188E" w:rsidRDefault="00C9188E" w:rsidP="00C9188E">
      <w:pPr>
        <w:pStyle w:val="SingleTxtGA"/>
        <w:rPr>
          <w:rtl/>
          <w:lang w:bidi="ar-EG"/>
        </w:rPr>
      </w:pPr>
      <w:r>
        <w:rPr>
          <w:rFonts w:hint="cs"/>
          <w:rtl/>
          <w:lang w:bidi="ar-EG"/>
        </w:rPr>
        <w:t>6-7</w:t>
      </w:r>
      <w:r>
        <w:rPr>
          <w:rtl/>
          <w:lang w:bidi="ar-EG"/>
        </w:rPr>
        <w:tab/>
      </w:r>
      <w:r>
        <w:rPr>
          <w:rFonts w:hint="cs"/>
          <w:rtl/>
          <w:lang w:bidi="ar-EG"/>
        </w:rPr>
        <w:t>وقد قدمت صاحبة البلاغ ادعاءها ب</w:t>
      </w:r>
      <w:r w:rsidR="00FD5CDF">
        <w:rPr>
          <w:rFonts w:hint="cs"/>
          <w:rtl/>
          <w:lang w:bidi="ar-EG"/>
        </w:rPr>
        <w:t>موجب المادة 26 مقرونة بالمادة 2</w:t>
      </w:r>
      <w:r>
        <w:rPr>
          <w:rFonts w:hint="cs"/>
          <w:rtl/>
          <w:lang w:bidi="ar-EG"/>
        </w:rPr>
        <w:t>(1). وإذ تذكِّر اللجنة باجتهادها بأن الأفراد ليس بوسعهم الاحتجاج بالمادة 2 إلا إذا كانت مقرونة بمواد موضوعية أخرى من مواد العهد، فإنها لا ترى أن النظر فيما إذا كانت الدولة الطرف قد انتهكت التزاما</w:t>
      </w:r>
      <w:r w:rsidR="00FD5CDF">
        <w:rPr>
          <w:rFonts w:hint="cs"/>
          <w:rtl/>
          <w:lang w:bidi="ar-EG"/>
        </w:rPr>
        <w:t>تها بعدم التمييز بموجب المادة 2</w:t>
      </w:r>
      <w:r>
        <w:rPr>
          <w:rFonts w:hint="cs"/>
          <w:rtl/>
          <w:lang w:bidi="ar-EG"/>
        </w:rPr>
        <w:t>(1)، مقروءة بالاقتران مع المادة 26، يتميز عن النظر في انتهاك حقو</w:t>
      </w:r>
      <w:r w:rsidR="00C34C06">
        <w:rPr>
          <w:rFonts w:hint="cs"/>
          <w:rtl/>
          <w:lang w:bidi="ar-EG"/>
        </w:rPr>
        <w:t>ق صاحبة البلاغ بموجب المادة 26</w:t>
      </w:r>
      <w:r w:rsidR="00C34C06">
        <w:rPr>
          <w:rStyle w:val="FootnoteReference"/>
          <w:sz w:val="30"/>
          <w:rtl/>
          <w:lang w:bidi="ar-EG"/>
        </w:rPr>
        <w:t>(</w:t>
      </w:r>
      <w:r w:rsidR="00C34C06">
        <w:rPr>
          <w:rStyle w:val="FootnoteReference"/>
          <w:sz w:val="30"/>
          <w:rtl/>
          <w:lang w:bidi="ar-EG"/>
        </w:rPr>
        <w:footnoteReference w:id="38"/>
      </w:r>
      <w:r w:rsidR="00C34C06">
        <w:rPr>
          <w:rStyle w:val="FootnoteReference"/>
          <w:sz w:val="30"/>
          <w:rtl/>
          <w:lang w:bidi="ar-EG"/>
        </w:rPr>
        <w:t>)</w:t>
      </w:r>
      <w:r w:rsidR="00C34C06">
        <w:rPr>
          <w:rFonts w:hint="cs"/>
          <w:rtl/>
          <w:lang w:bidi="ar-EG"/>
        </w:rPr>
        <w:t xml:space="preserve">. </w:t>
      </w:r>
      <w:r>
        <w:rPr>
          <w:rFonts w:hint="cs"/>
          <w:rtl/>
          <w:lang w:bidi="ar-EG"/>
        </w:rPr>
        <w:t>ولذلك، ترى اللجنة من غير الضروري استعراض ادعاءات صاحبة البلاغ بموجب الم</w:t>
      </w:r>
      <w:r w:rsidR="00FD5CDF">
        <w:rPr>
          <w:rFonts w:hint="cs"/>
          <w:rtl/>
          <w:lang w:bidi="ar-EG"/>
        </w:rPr>
        <w:t>ادة 2</w:t>
      </w:r>
      <w:r>
        <w:rPr>
          <w:rFonts w:hint="cs"/>
          <w:rtl/>
          <w:lang w:bidi="ar-EG"/>
        </w:rPr>
        <w:t>(1) من العهد.</w:t>
      </w:r>
    </w:p>
    <w:p w:rsidR="00C9188E" w:rsidRDefault="00C9188E" w:rsidP="00C9188E">
      <w:pPr>
        <w:pStyle w:val="SingleTxtGA"/>
        <w:rPr>
          <w:rtl/>
          <w:lang w:bidi="ar-EG"/>
        </w:rPr>
      </w:pPr>
      <w:r>
        <w:rPr>
          <w:rFonts w:hint="cs"/>
          <w:rtl/>
          <w:lang w:bidi="ar-EG"/>
        </w:rPr>
        <w:t>6-8</w:t>
      </w:r>
      <w:r>
        <w:rPr>
          <w:rtl/>
          <w:lang w:bidi="ar-EG"/>
        </w:rPr>
        <w:tab/>
      </w:r>
      <w:r>
        <w:rPr>
          <w:rFonts w:hint="cs"/>
          <w:rtl/>
          <w:lang w:bidi="ar-EG"/>
        </w:rPr>
        <w:t xml:space="preserve">وتدعي صاحبة البلاغ </w:t>
      </w:r>
      <w:r w:rsidR="002634C6">
        <w:rPr>
          <w:rFonts w:hint="cs"/>
          <w:rtl/>
          <w:lang w:bidi="ar-EG"/>
        </w:rPr>
        <w:t>أيضاً</w:t>
      </w:r>
      <w:r>
        <w:rPr>
          <w:rFonts w:hint="cs"/>
          <w:rtl/>
          <w:lang w:bidi="ar-EG"/>
        </w:rPr>
        <w:t xml:space="preserve"> أن الدولة الطرف عجزت، في انتهاك للمادة 2(3) من العهد، عن إعمال قانون يحظر ال</w:t>
      </w:r>
      <w:r w:rsidR="002634C6">
        <w:rPr>
          <w:rFonts w:hint="cs"/>
          <w:rtl/>
          <w:lang w:bidi="ar-EG"/>
        </w:rPr>
        <w:t>تمييز على أساس الحالة الزواجية/</w:t>
      </w:r>
      <w:r>
        <w:rPr>
          <w:rFonts w:hint="cs"/>
          <w:rtl/>
          <w:lang w:bidi="ar-EG"/>
        </w:rPr>
        <w:t>الجنسانية المغايرة ويكفل لجميع الأشخاص الحماية المتساوية والفعالة من هذا التمييز، فلم تُتح لها بذلك سبيل انتصاف فعال. وتذكر اللجنة باجتهادها القائل بأن الأفراد ليس بوسعهم الاحتجاج بالمادة 2(3) إلا إذا كانت مقرونة بمواد موضوعية أخرى من مواد العهد، ولذلك ترى أن ادعاءات صاحبة البلاغ بموجب المادة 2(3) غير مقبولة بموجب المادة 3 من البروتوكول الاختياري.</w:t>
      </w:r>
    </w:p>
    <w:p w:rsidR="00C9188E" w:rsidRDefault="00C9188E" w:rsidP="00C9188E">
      <w:pPr>
        <w:pStyle w:val="SingleTxtGA"/>
        <w:rPr>
          <w:rtl/>
          <w:lang w:bidi="ar-EG"/>
        </w:rPr>
      </w:pPr>
      <w:r>
        <w:rPr>
          <w:rFonts w:hint="cs"/>
          <w:rtl/>
          <w:lang w:bidi="ar-EG"/>
        </w:rPr>
        <w:t>6-9</w:t>
      </w:r>
      <w:r>
        <w:rPr>
          <w:rtl/>
          <w:lang w:bidi="ar-EG"/>
        </w:rPr>
        <w:tab/>
      </w:r>
      <w:r>
        <w:rPr>
          <w:rFonts w:hint="cs"/>
          <w:rtl/>
          <w:lang w:bidi="ar-EG"/>
        </w:rPr>
        <w:t>وبناءً على ما تقدم، تعلن اللجنة أن البلاغ مقبول في حدود ما يثيره من مسائل بموجب المادتين 17 و26 من العهد، وتشرع في النظر في الأسس الموضوعية.</w:t>
      </w:r>
    </w:p>
    <w:p w:rsidR="00C9188E" w:rsidRDefault="00C9188E" w:rsidP="00C9188E">
      <w:pPr>
        <w:pStyle w:val="H4GA"/>
        <w:rPr>
          <w:rtl/>
          <w:lang w:bidi="ar-EG"/>
        </w:rPr>
      </w:pPr>
      <w:r>
        <w:rPr>
          <w:rtl/>
          <w:lang w:bidi="ar-EG"/>
        </w:rPr>
        <w:tab/>
      </w:r>
      <w:r>
        <w:rPr>
          <w:rtl/>
          <w:lang w:bidi="ar-EG"/>
        </w:rPr>
        <w:tab/>
      </w:r>
      <w:r>
        <w:rPr>
          <w:rFonts w:hint="cs"/>
          <w:rtl/>
          <w:lang w:bidi="ar-EG"/>
        </w:rPr>
        <w:t>النظر في</w:t>
      </w:r>
      <w:r w:rsidRPr="00422F65">
        <w:rPr>
          <w:rFonts w:hint="cs"/>
          <w:rtl/>
          <w:lang w:bidi="ar-EG"/>
        </w:rPr>
        <w:t xml:space="preserve"> الأسس الموضوعية</w:t>
      </w:r>
    </w:p>
    <w:p w:rsidR="00C9188E" w:rsidRDefault="00C9188E" w:rsidP="00C9188E">
      <w:pPr>
        <w:pStyle w:val="SingleTxtGA"/>
        <w:rPr>
          <w:rtl/>
          <w:lang w:bidi="ar-EG"/>
        </w:rPr>
      </w:pPr>
      <w:r w:rsidRPr="00C9188E">
        <w:rPr>
          <w:rFonts w:hint="cs"/>
          <w:spacing w:val="-6"/>
          <w:rtl/>
          <w:lang w:bidi="ar-EG"/>
        </w:rPr>
        <w:t>7-1</w:t>
      </w:r>
      <w:r w:rsidRPr="00C9188E">
        <w:rPr>
          <w:spacing w:val="-6"/>
          <w:rtl/>
          <w:lang w:bidi="ar-EG"/>
        </w:rPr>
        <w:tab/>
      </w:r>
      <w:r w:rsidRPr="00C9188E">
        <w:rPr>
          <w:rFonts w:hint="cs"/>
          <w:spacing w:val="-6"/>
          <w:rtl/>
          <w:lang w:bidi="ar-EG"/>
        </w:rPr>
        <w:t>نظرت اللجنة في هذا البلاغ في ضوء جميع المعلومات التي قدمها الطرفان وفقاً للمادة 5(1</w:t>
      </w:r>
      <w:r>
        <w:rPr>
          <w:rFonts w:hint="cs"/>
          <w:rtl/>
          <w:lang w:bidi="ar-EG"/>
        </w:rPr>
        <w:t>) من البروتوكول الاختياري.</w:t>
      </w:r>
    </w:p>
    <w:p w:rsidR="00C9188E" w:rsidRDefault="00C9188E" w:rsidP="00C52368">
      <w:pPr>
        <w:pStyle w:val="SingleTxtGA"/>
        <w:spacing w:after="100" w:line="370" w:lineRule="exact"/>
        <w:rPr>
          <w:rFonts w:ascii="Traditional Arabic" w:hAnsi="Traditional Arabic"/>
          <w:rtl/>
          <w:lang w:bidi="ar-EG"/>
        </w:rPr>
      </w:pPr>
      <w:r>
        <w:rPr>
          <w:rFonts w:hint="cs"/>
          <w:rtl/>
          <w:lang w:bidi="ar-EG"/>
        </w:rPr>
        <w:lastRenderedPageBreak/>
        <w:t>7-2</w:t>
      </w:r>
      <w:r>
        <w:rPr>
          <w:rtl/>
          <w:lang w:bidi="ar-EG"/>
        </w:rPr>
        <w:tab/>
      </w:r>
      <w:r>
        <w:rPr>
          <w:rFonts w:hint="cs"/>
          <w:rtl/>
          <w:lang w:bidi="ar-EG"/>
        </w:rPr>
        <w:t>وتدعي صاحبة البلاغ أن رفض الدولة الطرف تغيير نوع جنسها في شهادة ميلادها، ما</w:t>
      </w:r>
      <w:r w:rsidR="003F4C00">
        <w:rPr>
          <w:rFonts w:hint="eastAsia"/>
          <w:rtl/>
          <w:lang w:bidi="ar-EG"/>
        </w:rPr>
        <w:t> </w:t>
      </w:r>
      <w:r>
        <w:rPr>
          <w:rFonts w:hint="cs"/>
          <w:rtl/>
          <w:lang w:bidi="ar-EG"/>
        </w:rPr>
        <w:t>لم تطلق زوجها، يشكل تدخلا</w:t>
      </w:r>
      <w:r w:rsidR="002634C6">
        <w:rPr>
          <w:rFonts w:hint="cs"/>
          <w:rtl/>
          <w:lang w:bidi="ar-EG"/>
        </w:rPr>
        <w:t>ً</w:t>
      </w:r>
      <w:r>
        <w:rPr>
          <w:rFonts w:hint="cs"/>
          <w:rtl/>
          <w:lang w:bidi="ar-EG"/>
        </w:rPr>
        <w:t xml:space="preserve"> تعسفيا</w:t>
      </w:r>
      <w:r w:rsidR="002634C6">
        <w:rPr>
          <w:rFonts w:hint="cs"/>
          <w:rtl/>
          <w:lang w:bidi="ar-EG"/>
        </w:rPr>
        <w:t>ً</w:t>
      </w:r>
      <w:r>
        <w:rPr>
          <w:rFonts w:hint="cs"/>
          <w:rtl/>
          <w:lang w:bidi="ar-EG"/>
        </w:rPr>
        <w:t xml:space="preserve"> أو غير مشروع في خصوصيتها وفي أسرتها بالمعنى الوارد في المادة 17 من العهد. وفي هذا الصدد، تذكر اللجنة باجتهادها القائل بأ</w:t>
      </w:r>
      <w:r w:rsidR="00104DA4">
        <w:rPr>
          <w:rFonts w:hint="cs"/>
          <w:rtl/>
          <w:lang w:bidi="ar-EG"/>
        </w:rPr>
        <w:t>ن "الخصوصية" بموجب المادة 17 "</w:t>
      </w:r>
      <w:r>
        <w:rPr>
          <w:rFonts w:ascii="Traditional Arabic" w:hAnsi="Traditional Arabic" w:hint="cs"/>
          <w:rtl/>
          <w:lang w:bidi="ar-EG"/>
        </w:rPr>
        <w:t>تشير إلى نطاق حياة الفرد الذي يسعه أن يعبر بحرية في مجاله عن هويته، سواء كان ذلك بالدخول في علاقات مع الآخرين أو بمفرده"</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39"/>
      </w:r>
      <w:r w:rsidR="00C34C06">
        <w:rPr>
          <w:rStyle w:val="FootnoteReference"/>
          <w:rFonts w:ascii="Traditional Arabic" w:hAnsi="Traditional Arabic"/>
          <w:sz w:val="30"/>
          <w:rtl/>
          <w:lang w:bidi="ar-EG"/>
        </w:rPr>
        <w:t>)</w:t>
      </w:r>
      <w:r w:rsidR="002634C6">
        <w:rPr>
          <w:rFonts w:ascii="Traditional Arabic" w:hAnsi="Traditional Arabic" w:hint="cs"/>
          <w:rtl/>
          <w:lang w:bidi="ar-EG"/>
        </w:rPr>
        <w:t xml:space="preserve"> واجتهاد </w:t>
      </w:r>
      <w:r>
        <w:rPr>
          <w:rFonts w:ascii="Traditional Arabic" w:hAnsi="Traditional Arabic" w:hint="cs"/>
          <w:rtl/>
          <w:lang w:bidi="ar-EG"/>
        </w:rPr>
        <w:t xml:space="preserve">اللجنة الثابت، الذي لم يعترض عليه الطرفان، هو أن ذلك يشمل حماية </w:t>
      </w:r>
      <w:r w:rsidR="00C34C06">
        <w:rPr>
          <w:rFonts w:ascii="Traditional Arabic" w:hAnsi="Traditional Arabic" w:hint="cs"/>
          <w:rtl/>
          <w:lang w:bidi="ar-EG"/>
        </w:rPr>
        <w:t>هوية الشخص، مثل هويته الجنسانية</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40"/>
      </w:r>
      <w:r w:rsidR="00C34C06">
        <w:rPr>
          <w:rStyle w:val="FootnoteReference"/>
          <w:rFonts w:ascii="Traditional Arabic" w:hAnsi="Traditional Arabic"/>
          <w:sz w:val="30"/>
          <w:rtl/>
          <w:lang w:bidi="ar-EG"/>
        </w:rPr>
        <w:t>)</w:t>
      </w:r>
      <w:r w:rsidR="00C34C06">
        <w:rPr>
          <w:rFonts w:ascii="Traditional Arabic" w:hAnsi="Traditional Arabic" w:hint="cs"/>
          <w:rtl/>
          <w:lang w:bidi="ar-EG"/>
        </w:rPr>
        <w:t>.</w:t>
      </w:r>
      <w:r>
        <w:rPr>
          <w:rFonts w:ascii="Traditional Arabic" w:hAnsi="Traditional Arabic" w:hint="cs"/>
          <w:rtl/>
          <w:lang w:bidi="ar-EG"/>
        </w:rPr>
        <w:t xml:space="preserve"> وتأخذ اللجنة </w:t>
      </w:r>
      <w:r w:rsidR="002634C6">
        <w:rPr>
          <w:rFonts w:ascii="Traditional Arabic" w:hAnsi="Traditional Arabic" w:hint="cs"/>
          <w:rtl/>
          <w:lang w:bidi="ar-EG"/>
        </w:rPr>
        <w:t>علماً</w:t>
      </w:r>
      <w:r>
        <w:rPr>
          <w:rFonts w:ascii="Traditional Arabic" w:hAnsi="Traditional Arabic" w:hint="cs"/>
          <w:rtl/>
          <w:lang w:bidi="ar-EG"/>
        </w:rPr>
        <w:t xml:space="preserve"> بحجة صاحبة البلاغ القائلة بأن انتهاك خصوصيتها ينبثق من أن نوع جنسها يختلف عما هو مذكور في شهادة الميلاد، وأن شهادة ميلادها تكشف على هذا النحو عن معلومات خاصة تفيد أنها مغايرة </w:t>
      </w:r>
      <w:proofErr w:type="spellStart"/>
      <w:r w:rsidR="002634C6">
        <w:rPr>
          <w:rFonts w:ascii="Traditional Arabic" w:hAnsi="Traditional Arabic" w:hint="cs"/>
          <w:rtl/>
          <w:lang w:bidi="ar-EG"/>
        </w:rPr>
        <w:t>جنسانياً</w:t>
      </w:r>
      <w:proofErr w:type="spellEnd"/>
      <w:r w:rsidR="00C34C06">
        <w:rPr>
          <w:rFonts w:ascii="Traditional Arabic" w:hAnsi="Traditional Arabic" w:hint="cs"/>
          <w:rtl/>
          <w:lang w:bidi="ar-EG"/>
        </w:rPr>
        <w:t xml:space="preserve">، </w:t>
      </w:r>
      <w:r w:rsidR="002634C6">
        <w:rPr>
          <w:rFonts w:ascii="Traditional Arabic" w:hAnsi="Traditional Arabic" w:hint="cs"/>
          <w:rtl/>
          <w:lang w:bidi="ar-EG"/>
        </w:rPr>
        <w:t>فضلاً</w:t>
      </w:r>
      <w:r w:rsidR="00C34C06">
        <w:rPr>
          <w:rFonts w:ascii="Traditional Arabic" w:hAnsi="Traditional Arabic" w:hint="cs"/>
          <w:rtl/>
          <w:lang w:bidi="ar-EG"/>
        </w:rPr>
        <w:t xml:space="preserve"> عن تاريخها الطبي،</w:t>
      </w:r>
      <w:r>
        <w:rPr>
          <w:rFonts w:ascii="Traditional Arabic" w:hAnsi="Traditional Arabic" w:hint="cs"/>
          <w:rtl/>
          <w:lang w:bidi="ar-EG"/>
        </w:rPr>
        <w:t xml:space="preserve"> وأن السبيل الوحيد، بموجب القانون الحالي في </w:t>
      </w:r>
      <w:r w:rsidR="00566654">
        <w:rPr>
          <w:rFonts w:ascii="Traditional Arabic" w:hAnsi="Traditional Arabic" w:hint="cs"/>
          <w:rtl/>
          <w:lang w:bidi="ar-EG"/>
        </w:rPr>
        <w:t>أستراليا</w:t>
      </w:r>
      <w:r>
        <w:rPr>
          <w:rFonts w:ascii="Traditional Arabic" w:hAnsi="Traditional Arabic" w:hint="cs"/>
          <w:rtl/>
          <w:lang w:bidi="ar-EG"/>
        </w:rPr>
        <w:t>، للحصول على شهادة ميلاد تُبين نوع جنسها على النحو السليم هو الطلاق من زوجها، مما يعني التدخل في أسرتها. وفي هذا الصدد، تؤكد صاحبة البلاغ أنها ترتبط بعلاقة حب مع زوجها ولا تعتزم طلب الطلاق.</w:t>
      </w:r>
    </w:p>
    <w:p w:rsidR="00C9188E" w:rsidRDefault="00C9188E" w:rsidP="00C52368">
      <w:pPr>
        <w:pStyle w:val="SingleTxtGA"/>
        <w:spacing w:after="100" w:line="370" w:lineRule="exact"/>
        <w:rPr>
          <w:rtl/>
          <w:lang w:bidi="ar-EG"/>
        </w:rPr>
      </w:pPr>
      <w:r>
        <w:rPr>
          <w:rFonts w:hint="cs"/>
          <w:rtl/>
          <w:lang w:bidi="ar-EG"/>
        </w:rPr>
        <w:t>7-3</w:t>
      </w:r>
      <w:r>
        <w:rPr>
          <w:rtl/>
          <w:lang w:bidi="ar-EG"/>
        </w:rPr>
        <w:tab/>
      </w:r>
      <w:r>
        <w:rPr>
          <w:rFonts w:hint="cs"/>
          <w:rtl/>
          <w:lang w:bidi="ar-EG"/>
        </w:rPr>
        <w:t xml:space="preserve">وتأخذ اللجنة </w:t>
      </w:r>
      <w:r w:rsidR="002634C6">
        <w:rPr>
          <w:rFonts w:hint="cs"/>
          <w:rtl/>
          <w:lang w:bidi="ar-EG"/>
        </w:rPr>
        <w:t>علماً</w:t>
      </w:r>
      <w:r>
        <w:rPr>
          <w:rFonts w:hint="cs"/>
          <w:rtl/>
          <w:lang w:bidi="ar-EG"/>
        </w:rPr>
        <w:t xml:space="preserve"> </w:t>
      </w:r>
      <w:r w:rsidR="002634C6">
        <w:rPr>
          <w:rFonts w:hint="cs"/>
          <w:rtl/>
          <w:lang w:bidi="ar-EG"/>
        </w:rPr>
        <w:t>أيضاً بأن الفرعين 32 باء(1)</w:t>
      </w:r>
      <w:r>
        <w:rPr>
          <w:rFonts w:hint="cs"/>
          <w:rtl/>
          <w:lang w:bidi="ar-EG"/>
        </w:rPr>
        <w:t>(ج) و32 دال من قانون تسجيل المواليد والوفيات والزيجات لعام 1995 يقتضيان على نحو صريح أن يكون الشخص غير متزوج في الوقت الذي يقدم فيه طلبه بتغيير نوع الجنس وإصدار شهادة ميلاد جديدة وان الصياغة المستخدمة في هذين الفرعين لا تتيح أي استثناءات من هذا الشرط. و</w:t>
      </w:r>
      <w:r w:rsidR="002634C6">
        <w:rPr>
          <w:rFonts w:hint="cs"/>
          <w:rtl/>
          <w:lang w:bidi="ar-EG"/>
        </w:rPr>
        <w:t>فضلاً</w:t>
      </w:r>
      <w:r w:rsidR="00FD5CDF">
        <w:rPr>
          <w:rFonts w:hint="cs"/>
          <w:rtl/>
          <w:lang w:bidi="ar-EG"/>
        </w:rPr>
        <w:t xml:space="preserve"> عن ذلك، يجيز الفرع 40</w:t>
      </w:r>
      <w:r>
        <w:rPr>
          <w:rFonts w:hint="cs"/>
          <w:rtl/>
          <w:lang w:bidi="ar-EG"/>
        </w:rPr>
        <w:t>(5) من قانون التمييز على أساس نوع الجنس لعام 1984 على وجه التحديد لحكومات الولايات والأقاليم "رفض وضع، أو إصدار، أو تغيير سجل رسمي لنوع جنس الشخص إذا كان قانون ولاية أو إقليم يقتضي الرفض لأن الشخص متزوج". وفي هذه الظروف، ترى اللجنة أن إعمال هذه الأحكام لحرمان صاحبة البلاغ من شهادة ميلاد تتسق مع نوع جنسها ما لم تحصل على طلاق يتدخل في خصوصيتها وأسرتها.</w:t>
      </w:r>
    </w:p>
    <w:p w:rsidR="00C9188E" w:rsidRDefault="00C9188E" w:rsidP="00C52368">
      <w:pPr>
        <w:pStyle w:val="SingleTxtGA"/>
        <w:spacing w:after="100" w:line="370" w:lineRule="exact"/>
        <w:rPr>
          <w:rtl/>
          <w:lang w:bidi="ar-EG"/>
        </w:rPr>
      </w:pPr>
      <w:r>
        <w:rPr>
          <w:rFonts w:hint="cs"/>
          <w:rtl/>
          <w:lang w:bidi="ar-EG"/>
        </w:rPr>
        <w:t>7-4</w:t>
      </w:r>
      <w:r>
        <w:rPr>
          <w:rtl/>
          <w:lang w:bidi="ar-EG"/>
        </w:rPr>
        <w:tab/>
      </w:r>
      <w:r>
        <w:rPr>
          <w:rFonts w:hint="cs"/>
          <w:rtl/>
          <w:lang w:bidi="ar-EG"/>
        </w:rPr>
        <w:t>ويجب ألا يكون التدخل في الخصوصية أو العائلة بموجب المادة 17 تعسفيا</w:t>
      </w:r>
      <w:r w:rsidR="00497A9A">
        <w:rPr>
          <w:rFonts w:hint="cs"/>
          <w:rtl/>
          <w:lang w:bidi="ar-EG"/>
        </w:rPr>
        <w:t>ً</w:t>
      </w:r>
      <w:r>
        <w:rPr>
          <w:rFonts w:hint="cs"/>
          <w:rtl/>
          <w:lang w:bidi="ar-EG"/>
        </w:rPr>
        <w:t xml:space="preserve"> أو غير قانوني. وينص القانون المحلي على الشرط القاضي بأن يكون الشخص غير متزوج في تاريخ طلبه تسجيل تغيير نوع جنسه وإصدار شهادة ميلاد جديدة. ولذلك، ينبغي أن تنظر اللجنة في إن كان التدخل تعسفيا</w:t>
      </w:r>
      <w:r w:rsidR="00710AA4">
        <w:rPr>
          <w:rFonts w:hint="cs"/>
          <w:rtl/>
          <w:lang w:bidi="ar-EG"/>
        </w:rPr>
        <w:t>ً</w:t>
      </w:r>
      <w:r>
        <w:rPr>
          <w:rFonts w:hint="cs"/>
          <w:rtl/>
          <w:lang w:bidi="ar-EG"/>
        </w:rPr>
        <w:t>. وتذكر اللجنة باجتهادها القائل بأن الغاية المنشودة من مفهوم التعسف هي ضمان أن يكون أي تدخل متوافقا</w:t>
      </w:r>
      <w:r w:rsidR="00710AA4">
        <w:rPr>
          <w:rFonts w:hint="cs"/>
          <w:rtl/>
          <w:lang w:bidi="ar-EG"/>
        </w:rPr>
        <w:t>ً</w:t>
      </w:r>
      <w:r>
        <w:rPr>
          <w:rFonts w:hint="cs"/>
          <w:rtl/>
          <w:lang w:bidi="ar-EG"/>
        </w:rPr>
        <w:t xml:space="preserve"> مع أحكام العهد وأهدافه ومراميه وينبغي أن يكون، على أ</w:t>
      </w:r>
      <w:r w:rsidR="00C34C06">
        <w:rPr>
          <w:rFonts w:hint="cs"/>
          <w:rtl/>
          <w:lang w:bidi="ar-EG"/>
        </w:rPr>
        <w:t>ي حال، معقولا</w:t>
      </w:r>
      <w:r w:rsidR="00710AA4">
        <w:rPr>
          <w:rFonts w:hint="cs"/>
          <w:rtl/>
          <w:lang w:bidi="ar-EG"/>
        </w:rPr>
        <w:t>ً</w:t>
      </w:r>
      <w:r w:rsidR="00C34C06">
        <w:rPr>
          <w:rFonts w:hint="cs"/>
          <w:rtl/>
          <w:lang w:bidi="ar-EG"/>
        </w:rPr>
        <w:t xml:space="preserve"> في الظروف المعينة</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41"/>
      </w:r>
      <w:r w:rsidR="00C34C06">
        <w:rPr>
          <w:rStyle w:val="FootnoteReference"/>
          <w:rFonts w:ascii="Traditional Arabic" w:hAnsi="Traditional Arabic"/>
          <w:sz w:val="30"/>
          <w:rtl/>
          <w:lang w:bidi="ar-EG"/>
        </w:rPr>
        <w:t>)</w:t>
      </w:r>
      <w:r w:rsidR="00C34C06">
        <w:rPr>
          <w:rFonts w:hint="cs"/>
          <w:rtl/>
          <w:lang w:bidi="ar-EG"/>
        </w:rPr>
        <w:t>.</w:t>
      </w:r>
      <w:r>
        <w:rPr>
          <w:rFonts w:hint="cs"/>
          <w:rtl/>
          <w:lang w:bidi="ar-EG"/>
        </w:rPr>
        <w:t xml:space="preserve"> ولذلك، يجب أن يكون أي تدخل في الخصوصية والأسرة متناس</w:t>
      </w:r>
      <w:r w:rsidR="00F21316">
        <w:rPr>
          <w:rFonts w:hint="cs"/>
          <w:rtl/>
          <w:lang w:bidi="ar-EG"/>
        </w:rPr>
        <w:t xml:space="preserve">باً </w:t>
      </w:r>
      <w:r>
        <w:rPr>
          <w:rFonts w:hint="cs"/>
          <w:rtl/>
          <w:lang w:bidi="ar-EG"/>
        </w:rPr>
        <w:t>مع الغاية المشروعة المنشودة</w:t>
      </w:r>
      <w:r w:rsidR="00C34C06">
        <w:rPr>
          <w:rFonts w:hint="cs"/>
          <w:rtl/>
          <w:lang w:bidi="ar-EG"/>
        </w:rPr>
        <w:t xml:space="preserve"> وضروريا</w:t>
      </w:r>
      <w:r w:rsidR="00F21316">
        <w:rPr>
          <w:rFonts w:hint="cs"/>
          <w:rtl/>
          <w:lang w:bidi="ar-EG"/>
        </w:rPr>
        <w:t>ً</w:t>
      </w:r>
      <w:r w:rsidR="00C34C06">
        <w:rPr>
          <w:rFonts w:hint="cs"/>
          <w:rtl/>
          <w:lang w:bidi="ar-EG"/>
        </w:rPr>
        <w:t xml:space="preserve"> في ظروف أي قضية بعينها</w:t>
      </w:r>
      <w:r w:rsidR="00C34C06">
        <w:rPr>
          <w:rStyle w:val="FootnoteReference"/>
          <w:rFonts w:ascii="Traditional Arabic" w:hAnsi="Traditional Arabic"/>
          <w:sz w:val="30"/>
          <w:rtl/>
          <w:lang w:bidi="ar-EG"/>
        </w:rPr>
        <w:t>(</w:t>
      </w:r>
      <w:r w:rsidR="00C34C06">
        <w:rPr>
          <w:rStyle w:val="FootnoteReference"/>
          <w:rFonts w:ascii="Traditional Arabic" w:hAnsi="Traditional Arabic"/>
          <w:sz w:val="30"/>
          <w:rtl/>
          <w:lang w:bidi="ar-EG"/>
        </w:rPr>
        <w:footnoteReference w:id="42"/>
      </w:r>
      <w:r w:rsidR="00C34C06">
        <w:rPr>
          <w:rStyle w:val="FootnoteReference"/>
          <w:rFonts w:ascii="Traditional Arabic" w:hAnsi="Traditional Arabic"/>
          <w:sz w:val="30"/>
          <w:rtl/>
          <w:lang w:bidi="ar-EG"/>
        </w:rPr>
        <w:t>)</w:t>
      </w:r>
      <w:r w:rsidR="00C34C06">
        <w:rPr>
          <w:rFonts w:hint="cs"/>
          <w:rtl/>
          <w:lang w:bidi="ar-EG"/>
        </w:rPr>
        <w:t>.</w:t>
      </w:r>
    </w:p>
    <w:p w:rsidR="00C9188E" w:rsidRPr="003D7584" w:rsidRDefault="00C9188E" w:rsidP="00EB50B2">
      <w:pPr>
        <w:pStyle w:val="SingleTxtGA"/>
        <w:spacing w:after="100" w:line="370" w:lineRule="exact"/>
        <w:rPr>
          <w:spacing w:val="-2"/>
          <w:lang w:bidi="ar-EG"/>
        </w:rPr>
      </w:pPr>
      <w:r w:rsidRPr="003D7584">
        <w:rPr>
          <w:rFonts w:hint="cs"/>
          <w:spacing w:val="-2"/>
          <w:rtl/>
          <w:lang w:bidi="ar-EG"/>
        </w:rPr>
        <w:t>7-5</w:t>
      </w:r>
      <w:r w:rsidRPr="003D7584">
        <w:rPr>
          <w:spacing w:val="-2"/>
          <w:rtl/>
          <w:lang w:bidi="ar-EG"/>
        </w:rPr>
        <w:tab/>
      </w:r>
      <w:r w:rsidRPr="003D7584">
        <w:rPr>
          <w:rFonts w:hint="cs"/>
          <w:spacing w:val="-2"/>
          <w:rtl/>
          <w:lang w:bidi="ar-EG"/>
        </w:rPr>
        <w:t xml:space="preserve">وتأخذ اللجنة </w:t>
      </w:r>
      <w:r w:rsidR="002634C6" w:rsidRPr="003D7584">
        <w:rPr>
          <w:rFonts w:hint="cs"/>
          <w:spacing w:val="-2"/>
          <w:rtl/>
          <w:lang w:bidi="ar-EG"/>
        </w:rPr>
        <w:t>علماً</w:t>
      </w:r>
      <w:r w:rsidRPr="003D7584">
        <w:rPr>
          <w:rFonts w:hint="cs"/>
          <w:spacing w:val="-2"/>
          <w:rtl/>
          <w:lang w:bidi="ar-EG"/>
        </w:rPr>
        <w:t xml:space="preserve"> بادعاء الدولة الطرف بأن أي تدخل متصور في خصوصية صاحبة البلاغ وأسرتها ليس تعسفيا</w:t>
      </w:r>
      <w:r w:rsidR="00497A9A" w:rsidRPr="003D7584">
        <w:rPr>
          <w:rFonts w:hint="cs"/>
          <w:spacing w:val="-2"/>
          <w:rtl/>
          <w:lang w:bidi="ar-EG"/>
        </w:rPr>
        <w:t>ً</w:t>
      </w:r>
      <w:r w:rsidRPr="003D7584">
        <w:rPr>
          <w:rFonts w:hint="cs"/>
          <w:spacing w:val="-2"/>
          <w:rtl/>
          <w:lang w:bidi="ar-EG"/>
        </w:rPr>
        <w:t xml:space="preserve">، إذ </w:t>
      </w:r>
      <w:r w:rsidR="00754C82" w:rsidRPr="003D7584">
        <w:rPr>
          <w:rFonts w:hint="cs"/>
          <w:spacing w:val="-2"/>
          <w:rtl/>
          <w:lang w:bidi="ar-EG"/>
        </w:rPr>
        <w:t>إ</w:t>
      </w:r>
      <w:r w:rsidRPr="003D7584">
        <w:rPr>
          <w:rFonts w:hint="cs"/>
          <w:spacing w:val="-2"/>
          <w:rtl/>
          <w:lang w:bidi="ar-EG"/>
        </w:rPr>
        <w:t>ن الاستثن</w:t>
      </w:r>
      <w:r w:rsidR="00754C82" w:rsidRPr="003D7584">
        <w:rPr>
          <w:rFonts w:hint="cs"/>
          <w:spacing w:val="-2"/>
          <w:rtl/>
          <w:lang w:bidi="ar-EG"/>
        </w:rPr>
        <w:t>اء الوارد في الفرعين 32 باء</w:t>
      </w:r>
      <w:r w:rsidR="00497A9A" w:rsidRPr="003D7584">
        <w:rPr>
          <w:rFonts w:hint="cs"/>
          <w:spacing w:val="-2"/>
          <w:rtl/>
          <w:lang w:bidi="ar-EG"/>
        </w:rPr>
        <w:t xml:space="preserve">(1)(ج) و32 </w:t>
      </w:r>
      <w:proofErr w:type="gramStart"/>
      <w:r w:rsidR="00497A9A" w:rsidRPr="003D7584">
        <w:rPr>
          <w:rFonts w:hint="cs"/>
          <w:spacing w:val="-2"/>
          <w:rtl/>
          <w:lang w:bidi="ar-EG"/>
        </w:rPr>
        <w:t>دال</w:t>
      </w:r>
      <w:r w:rsidRPr="003D7584">
        <w:rPr>
          <w:rFonts w:hint="cs"/>
          <w:spacing w:val="-2"/>
          <w:rtl/>
          <w:lang w:bidi="ar-EG"/>
        </w:rPr>
        <w:t>(</w:t>
      </w:r>
      <w:proofErr w:type="gramEnd"/>
      <w:r w:rsidRPr="003D7584">
        <w:rPr>
          <w:rFonts w:hint="cs"/>
          <w:spacing w:val="-2"/>
          <w:rtl/>
          <w:lang w:bidi="ar-EG"/>
        </w:rPr>
        <w:t>3) معقول ومتناسب مع الهدف المشروع المت</w:t>
      </w:r>
      <w:r w:rsidR="00497A9A" w:rsidRPr="003D7584">
        <w:rPr>
          <w:rFonts w:hint="cs"/>
          <w:spacing w:val="-2"/>
          <w:rtl/>
          <w:lang w:bidi="ar-EG"/>
        </w:rPr>
        <w:t>مثل في تحقيق الاتساق مع الفرع 5</w:t>
      </w:r>
      <w:r w:rsidRPr="003D7584">
        <w:rPr>
          <w:rFonts w:hint="cs"/>
          <w:spacing w:val="-2"/>
          <w:rtl/>
          <w:lang w:bidi="ar-EG"/>
        </w:rPr>
        <w:t>(1) من قانون الزواج لعام 1961 الذي يُعرِّف الزواج بأنه بين رجل وامرأة. وتحاج الدولة الطرف بأن هذه الأحكام لا</w:t>
      </w:r>
      <w:r w:rsidR="00EB50B2">
        <w:rPr>
          <w:rFonts w:hint="eastAsia"/>
          <w:spacing w:val="-2"/>
          <w:rtl/>
          <w:lang w:bidi="ar-EG"/>
        </w:rPr>
        <w:t> </w:t>
      </w:r>
      <w:r w:rsidRPr="003D7584">
        <w:rPr>
          <w:rFonts w:hint="cs"/>
          <w:spacing w:val="-2"/>
          <w:rtl/>
          <w:lang w:bidi="ar-EG"/>
        </w:rPr>
        <w:t>تذهب أبعد مما هو ضروري لتحقيق هذا الهدف المشروع ومن ثم فهي ليست غير متناسبة.</w:t>
      </w:r>
    </w:p>
    <w:p w:rsidR="00C9188E" w:rsidRDefault="00C9188E" w:rsidP="00C9188E">
      <w:pPr>
        <w:pStyle w:val="SingleTxtGA"/>
        <w:rPr>
          <w:rtl/>
          <w:lang w:bidi="ar-EG"/>
        </w:rPr>
      </w:pPr>
      <w:r>
        <w:rPr>
          <w:rFonts w:hint="cs"/>
          <w:rtl/>
          <w:lang w:bidi="ar-EG"/>
        </w:rPr>
        <w:lastRenderedPageBreak/>
        <w:t>7-6</w:t>
      </w:r>
      <w:r>
        <w:rPr>
          <w:rtl/>
          <w:lang w:bidi="ar-EG"/>
        </w:rPr>
        <w:tab/>
      </w:r>
      <w:r>
        <w:rPr>
          <w:rFonts w:hint="cs"/>
          <w:rtl/>
          <w:lang w:bidi="ar-EG"/>
        </w:rPr>
        <w:t>وتلاحظ اللجنة أن صاحبة البلاغ والدولة الطرف يختلفان بشأن فيما إن كان الاتساق مع قانون الزواج لعام 1961 يشكل هدفا</w:t>
      </w:r>
      <w:r w:rsidR="009B7B22">
        <w:rPr>
          <w:rFonts w:hint="cs"/>
          <w:rtl/>
          <w:lang w:bidi="ar-EG"/>
        </w:rPr>
        <w:t>ً</w:t>
      </w:r>
      <w:r>
        <w:rPr>
          <w:rFonts w:hint="cs"/>
          <w:rtl/>
          <w:lang w:bidi="ar-EG"/>
        </w:rPr>
        <w:t xml:space="preserve"> مشروعا</w:t>
      </w:r>
      <w:r w:rsidR="009B7B22">
        <w:rPr>
          <w:rFonts w:hint="cs"/>
          <w:rtl/>
          <w:lang w:bidi="ar-EG"/>
        </w:rPr>
        <w:t>ً</w:t>
      </w:r>
      <w:r>
        <w:rPr>
          <w:rFonts w:hint="cs"/>
          <w:rtl/>
          <w:lang w:bidi="ar-EG"/>
        </w:rPr>
        <w:t xml:space="preserve"> بموجب العهد. وتدفع الدولة الطرف بأن الحق في الزواج بموجب المادة 23 من العهد ينطبق فقط على الزيجات الغيرية. ولئن كان عدم إتاحة الزواج بين الأزواج المثليين قد لا يشكل في حد ذاته انتهاكا</w:t>
      </w:r>
      <w:r w:rsidR="009B7B22">
        <w:rPr>
          <w:rFonts w:hint="cs"/>
          <w:rtl/>
          <w:lang w:bidi="ar-EG"/>
        </w:rPr>
        <w:t>ً</w:t>
      </w:r>
      <w:r>
        <w:rPr>
          <w:rFonts w:hint="cs"/>
          <w:rtl/>
          <w:lang w:bidi="ar-EG"/>
        </w:rPr>
        <w:t xml:space="preserve"> للحقوق الواردة في العهد بموجب اجتهادات اللجنة السابقة، فإن صاحبة البلاغ تحاج بأن الاتساق بين تسجيلات الميلاد وقانون الزواج لعام 1961 لا يمثل هدفا</w:t>
      </w:r>
      <w:r w:rsidR="009B7B22">
        <w:rPr>
          <w:rFonts w:hint="cs"/>
          <w:rtl/>
          <w:lang w:bidi="ar-EG"/>
        </w:rPr>
        <w:t>ً</w:t>
      </w:r>
      <w:r>
        <w:rPr>
          <w:rFonts w:hint="cs"/>
          <w:rtl/>
          <w:lang w:bidi="ar-EG"/>
        </w:rPr>
        <w:t xml:space="preserve"> مشروعا</w:t>
      </w:r>
      <w:r w:rsidR="009B7B22">
        <w:rPr>
          <w:rFonts w:hint="cs"/>
          <w:rtl/>
          <w:lang w:bidi="ar-EG"/>
        </w:rPr>
        <w:t>ً</w:t>
      </w:r>
      <w:r>
        <w:rPr>
          <w:rFonts w:hint="cs"/>
          <w:rtl/>
          <w:lang w:bidi="ar-EG"/>
        </w:rPr>
        <w:t xml:space="preserve"> يتسق مع أهداف العهد ومراميه وبأن رفض الاعتراف القانوني بنوع جنس صاحبة البلاغ في شهادة ميلادها ليس معقولا</w:t>
      </w:r>
      <w:r w:rsidR="009B7B22">
        <w:rPr>
          <w:rFonts w:hint="cs"/>
          <w:rtl/>
          <w:lang w:bidi="ar-EG"/>
        </w:rPr>
        <w:t>ً</w:t>
      </w:r>
      <w:r>
        <w:rPr>
          <w:rFonts w:hint="cs"/>
          <w:rtl/>
          <w:lang w:bidi="ar-EG"/>
        </w:rPr>
        <w:t xml:space="preserve"> أو متناس</w:t>
      </w:r>
      <w:r w:rsidR="00F21316">
        <w:rPr>
          <w:rFonts w:hint="cs"/>
          <w:rtl/>
          <w:lang w:bidi="ar-EG"/>
        </w:rPr>
        <w:t xml:space="preserve">باً </w:t>
      </w:r>
      <w:r>
        <w:rPr>
          <w:rFonts w:hint="cs"/>
          <w:rtl/>
          <w:lang w:bidi="ar-EG"/>
        </w:rPr>
        <w:t>مع تحقيق هذا الهدف.</w:t>
      </w:r>
    </w:p>
    <w:p w:rsidR="00C9188E" w:rsidRDefault="00C9188E" w:rsidP="00754C82">
      <w:pPr>
        <w:pStyle w:val="SingleTxtGA"/>
        <w:rPr>
          <w:rtl/>
          <w:lang w:bidi="ar-EG"/>
        </w:rPr>
      </w:pPr>
      <w:r>
        <w:rPr>
          <w:rFonts w:hint="cs"/>
          <w:rtl/>
          <w:lang w:bidi="ar-EG"/>
        </w:rPr>
        <w:t>7-7</w:t>
      </w:r>
      <w:r>
        <w:rPr>
          <w:rtl/>
          <w:lang w:bidi="ar-EG"/>
        </w:rPr>
        <w:tab/>
      </w:r>
      <w:r>
        <w:rPr>
          <w:rFonts w:hint="cs"/>
          <w:rtl/>
          <w:lang w:bidi="ar-EG"/>
        </w:rPr>
        <w:t>وبغض النظر عن هذه المسألة، تتساءل اللجنة بشأن ضرورة التدخل وتناسبه مع الهدف المذكور. فأولا</w:t>
      </w:r>
      <w:r w:rsidR="009B7B22">
        <w:rPr>
          <w:rFonts w:hint="cs"/>
          <w:rtl/>
          <w:lang w:bidi="ar-EG"/>
        </w:rPr>
        <w:t>ً</w:t>
      </w:r>
      <w:r>
        <w:rPr>
          <w:rFonts w:hint="cs"/>
          <w:rtl/>
          <w:lang w:bidi="ar-EG"/>
        </w:rPr>
        <w:t xml:space="preserve">، تشير اللجنة إلى أن تغيير نوع الجنس في وثيقة رسمية أخرى لتحديد الهوية </w:t>
      </w:r>
      <w:r w:rsidR="00754C82">
        <w:rPr>
          <w:rFonts w:hint="cs"/>
          <w:rtl/>
          <w:lang w:bidi="ar-EG"/>
        </w:rPr>
        <w:t>-</w:t>
      </w:r>
      <w:r>
        <w:rPr>
          <w:rFonts w:hint="cs"/>
          <w:rtl/>
          <w:lang w:bidi="ar-EG"/>
        </w:rPr>
        <w:t xml:space="preserve"> جواز سفر</w:t>
      </w:r>
      <w:r w:rsidR="00754C82">
        <w:rPr>
          <w:rFonts w:hint="cs"/>
          <w:rtl/>
          <w:lang w:bidi="ar-EG"/>
        </w:rPr>
        <w:t xml:space="preserve"> </w:t>
      </w:r>
      <w:r>
        <w:rPr>
          <w:rFonts w:hint="cs"/>
          <w:rtl/>
          <w:lang w:bidi="ar-EG"/>
        </w:rPr>
        <w:t>- مسموح به. وقد سبق للدولة الطرف أن أصدرت لصاحبة البلاغ جواز سفر مؤقت ثم جواز سفر عادي ذُكر فيه أن نوع جنسها أنثى. ولم تقدم الدولة الطرف أي تفسير لما</w:t>
      </w:r>
      <w:r w:rsidR="00754C82">
        <w:rPr>
          <w:rFonts w:hint="eastAsia"/>
          <w:rtl/>
          <w:lang w:bidi="ar-EG"/>
        </w:rPr>
        <w:t> </w:t>
      </w:r>
      <w:r>
        <w:rPr>
          <w:rFonts w:hint="cs"/>
          <w:rtl/>
          <w:lang w:bidi="ar-EG"/>
        </w:rPr>
        <w:t>يجعل تغيير نوع الجنس في شهادة الميلاد سب</w:t>
      </w:r>
      <w:r w:rsidR="00F21316">
        <w:rPr>
          <w:rFonts w:hint="cs"/>
          <w:rtl/>
          <w:lang w:bidi="ar-EG"/>
        </w:rPr>
        <w:t xml:space="preserve">باً </w:t>
      </w:r>
      <w:r>
        <w:rPr>
          <w:rFonts w:hint="cs"/>
          <w:rtl/>
          <w:lang w:bidi="ar-EG"/>
        </w:rPr>
        <w:t>في إحداث تضارب غير معقول مع قانون الزواج لعام 1961 لا يمكن التوفيق بينه وبين هذا القانون إذا ظلَّت صاحبة البلاغ متزوجة، بينما يُسمح بتغيير نوع الجنس في جواز سفرها في ظروف مماثلة. ولم توضح الدولة الطرف الأسباب التي تجعل من مصلحتها إصدار وثائق تتضارب فيها معلومات تحديد الهوية، أو وثائق تتضمن معلومات هوية غير متسقة مع الحالة الشخصية الفعلية، فالوثائق من هذا القبيل قد تضلل مكت</w:t>
      </w:r>
      <w:r w:rsidR="00F21316">
        <w:rPr>
          <w:rFonts w:hint="cs"/>
          <w:rtl/>
          <w:lang w:bidi="ar-EG"/>
        </w:rPr>
        <w:t xml:space="preserve">باً </w:t>
      </w:r>
      <w:r>
        <w:rPr>
          <w:rFonts w:hint="cs"/>
          <w:rtl/>
          <w:lang w:bidi="ar-EG"/>
        </w:rPr>
        <w:t>حكوميا</w:t>
      </w:r>
      <w:r w:rsidR="009B7B22">
        <w:rPr>
          <w:rFonts w:hint="cs"/>
          <w:rtl/>
          <w:lang w:bidi="ar-EG"/>
        </w:rPr>
        <w:t>ً</w:t>
      </w:r>
      <w:r>
        <w:rPr>
          <w:rFonts w:hint="cs"/>
          <w:rtl/>
          <w:lang w:bidi="ar-EG"/>
        </w:rPr>
        <w:t>، أو مراقبة الجوازات، وما إلى ذلك، بشأن هوية حاملها الحقيقية. وثانيا</w:t>
      </w:r>
      <w:r w:rsidR="009B7B22">
        <w:rPr>
          <w:rFonts w:hint="cs"/>
          <w:rtl/>
          <w:lang w:bidi="ar-EG"/>
        </w:rPr>
        <w:t>ً</w:t>
      </w:r>
      <w:r>
        <w:rPr>
          <w:rFonts w:hint="cs"/>
          <w:rtl/>
          <w:lang w:bidi="ar-EG"/>
        </w:rPr>
        <w:t xml:space="preserve">، يجعل نظام الدولة الطرف القانوني قرار رفض تغييرات نوع الجنس في شهادة ميلاد شخص مغاير </w:t>
      </w:r>
      <w:proofErr w:type="spellStart"/>
      <w:r w:rsidR="002634C6">
        <w:rPr>
          <w:rFonts w:hint="cs"/>
          <w:rtl/>
          <w:lang w:bidi="ar-EG"/>
        </w:rPr>
        <w:t>جنسانياً</w:t>
      </w:r>
      <w:proofErr w:type="spellEnd"/>
      <w:r>
        <w:rPr>
          <w:rFonts w:hint="cs"/>
          <w:rtl/>
          <w:lang w:bidi="ar-EG"/>
        </w:rPr>
        <w:t xml:space="preserve"> أو السماح بها في يد كل حكومة ولائية أو إقليمية. ولم توضح الدولة الطرف الأسباب التي تجعل رفض منح شهادات الميلاد المغيَّرة للأشخاص المغايرين </w:t>
      </w:r>
      <w:proofErr w:type="spellStart"/>
      <w:r w:rsidR="002634C6">
        <w:rPr>
          <w:rFonts w:hint="cs"/>
          <w:rtl/>
          <w:lang w:bidi="ar-EG"/>
        </w:rPr>
        <w:t>جنسانياً</w:t>
      </w:r>
      <w:proofErr w:type="spellEnd"/>
      <w:r>
        <w:rPr>
          <w:rFonts w:hint="cs"/>
          <w:rtl/>
          <w:lang w:bidi="ar-EG"/>
        </w:rPr>
        <w:t xml:space="preserve"> المتزوجين أمرا</w:t>
      </w:r>
      <w:r w:rsidR="00F21316">
        <w:rPr>
          <w:rFonts w:hint="cs"/>
          <w:rtl/>
          <w:lang w:bidi="ar-EG"/>
        </w:rPr>
        <w:t>ً</w:t>
      </w:r>
      <w:r>
        <w:rPr>
          <w:rFonts w:hint="cs"/>
          <w:rtl/>
          <w:lang w:bidi="ar-EG"/>
        </w:rPr>
        <w:t xml:space="preserve"> ضروريا</w:t>
      </w:r>
      <w:r w:rsidR="00F21316">
        <w:rPr>
          <w:rFonts w:hint="cs"/>
          <w:rtl/>
          <w:lang w:bidi="ar-EG"/>
        </w:rPr>
        <w:t>ً</w:t>
      </w:r>
      <w:r>
        <w:rPr>
          <w:rFonts w:hint="cs"/>
          <w:rtl/>
          <w:lang w:bidi="ar-EG"/>
        </w:rPr>
        <w:t xml:space="preserve"> لتحقيق الاتساق مع قانون الزواج لعام 1961، بينما تجيز القوانين الاتحادية لحكومات الولايات والأقاليم إصدار هذه الشهادات على وجه التحديد.</w:t>
      </w:r>
    </w:p>
    <w:p w:rsidR="00C9188E" w:rsidRDefault="00C9188E" w:rsidP="006C74BB">
      <w:pPr>
        <w:pStyle w:val="SingleTxtGA"/>
        <w:rPr>
          <w:rtl/>
          <w:lang w:bidi="ar-EG"/>
        </w:rPr>
      </w:pPr>
      <w:r>
        <w:rPr>
          <w:rFonts w:hint="cs"/>
          <w:rtl/>
          <w:lang w:bidi="ar-EG"/>
        </w:rPr>
        <w:t>7-8</w:t>
      </w:r>
      <w:r>
        <w:rPr>
          <w:rtl/>
          <w:lang w:bidi="ar-EG"/>
        </w:rPr>
        <w:tab/>
      </w:r>
      <w:r>
        <w:rPr>
          <w:rFonts w:hint="cs"/>
          <w:rtl/>
          <w:lang w:bidi="ar-EG"/>
        </w:rPr>
        <w:t xml:space="preserve">وتأخذ اللجنة </w:t>
      </w:r>
      <w:r w:rsidR="002634C6">
        <w:rPr>
          <w:rFonts w:hint="cs"/>
          <w:rtl/>
          <w:lang w:bidi="ar-EG"/>
        </w:rPr>
        <w:t>علماً</w:t>
      </w:r>
      <w:r>
        <w:rPr>
          <w:rFonts w:hint="cs"/>
          <w:rtl/>
          <w:lang w:bidi="ar-EG"/>
        </w:rPr>
        <w:t xml:space="preserve"> بادعاء صاحبة البلاغ بأن ثمة أوجه تضارب أخرى في النهج الذي تتبعه الدولة الطرف حيال الهوية الجنسانية في المسائل المتعلقة بتوثيق الزيجات والاعتراف بها. وعلى وجه التحديد، ينص الفرع هاء-ألف من قانون الزواج لعام 1961 على أن أي عقد قران يُبرم في بلد أجنبي بين شخصين من الجنس نفسه يجب ألا يُعترف بأنه زواج في أستراليا. أما إذا تزوج شخصان كانا وقتها من جنسين مختلفين في الخارج ثم غيَّر أحدهما نوع جنسه لاحقا</w:t>
      </w:r>
      <w:r w:rsidR="00BB77ED">
        <w:rPr>
          <w:rFonts w:hint="cs"/>
          <w:rtl/>
          <w:lang w:bidi="ar-EG"/>
        </w:rPr>
        <w:t>ً</w:t>
      </w:r>
      <w:r>
        <w:rPr>
          <w:rFonts w:hint="cs"/>
          <w:rtl/>
          <w:lang w:bidi="ar-EG"/>
        </w:rPr>
        <w:t>، بما</w:t>
      </w:r>
      <w:r w:rsidR="00710AA4">
        <w:rPr>
          <w:rFonts w:hint="eastAsia"/>
          <w:rtl/>
          <w:lang w:bidi="ar-EG"/>
        </w:rPr>
        <w:t> </w:t>
      </w:r>
      <w:r>
        <w:rPr>
          <w:rFonts w:hint="cs"/>
          <w:rtl/>
          <w:lang w:bidi="ar-EG"/>
        </w:rPr>
        <w:t>في ذلك تغيير وثائقه الرسمية في الدولة الأجنبية، فإن الزواج سيبقى صالحا</w:t>
      </w:r>
      <w:r w:rsidR="009B7B22">
        <w:rPr>
          <w:rFonts w:hint="cs"/>
          <w:rtl/>
          <w:lang w:bidi="ar-EG"/>
        </w:rPr>
        <w:t>ً</w:t>
      </w:r>
      <w:r>
        <w:rPr>
          <w:rFonts w:hint="cs"/>
          <w:rtl/>
          <w:lang w:bidi="ar-EG"/>
        </w:rPr>
        <w:t xml:space="preserve"> في أستراليا. ولذلك، لا جدال في أن هذه الوقائع نفسها لو حدثت في الخارج</w:t>
      </w:r>
      <w:r w:rsidR="00764D91">
        <w:rPr>
          <w:rFonts w:hint="cs"/>
          <w:rtl/>
          <w:lang w:bidi="ar-EG"/>
        </w:rPr>
        <w:t xml:space="preserve"> </w:t>
      </w:r>
      <w:r>
        <w:rPr>
          <w:rFonts w:hint="cs"/>
          <w:rtl/>
          <w:lang w:bidi="ar-EG"/>
        </w:rPr>
        <w:t>- لو أن صاحبة البلاغ تزوجت زوجها الحالي وأجرت عمليتها الجراحية لإعادة تحديد نوع الجنس وغيَّرت نوع جنسها في شهادة ميلادها قبل عودتها إلى أستراليا</w:t>
      </w:r>
      <w:r w:rsidR="00EB25F0">
        <w:rPr>
          <w:rFonts w:hint="cs"/>
          <w:rtl/>
          <w:lang w:bidi="ar-EG"/>
        </w:rPr>
        <w:t xml:space="preserve"> </w:t>
      </w:r>
      <w:r>
        <w:rPr>
          <w:rFonts w:hint="cs"/>
          <w:rtl/>
          <w:lang w:bidi="ar-EG"/>
        </w:rPr>
        <w:t>- لكان زواجها معترفا</w:t>
      </w:r>
      <w:r w:rsidR="009B7B22">
        <w:rPr>
          <w:rFonts w:hint="cs"/>
          <w:rtl/>
          <w:lang w:bidi="ar-EG"/>
        </w:rPr>
        <w:t>ً</w:t>
      </w:r>
      <w:r>
        <w:rPr>
          <w:rFonts w:hint="cs"/>
          <w:rtl/>
          <w:lang w:bidi="ar-EG"/>
        </w:rPr>
        <w:t xml:space="preserve"> به في أستراليا. ولم توضح الدولة الطرف، ضمن مسائل أخرى، الأسباب التي تجعل الاعتراف بالزيجات الأجنبية استنادا</w:t>
      </w:r>
      <w:r w:rsidR="009B7B22">
        <w:rPr>
          <w:rFonts w:hint="cs"/>
          <w:rtl/>
          <w:lang w:bidi="ar-EG"/>
        </w:rPr>
        <w:t>ً</w:t>
      </w:r>
      <w:r>
        <w:rPr>
          <w:rFonts w:hint="cs"/>
          <w:rtl/>
          <w:lang w:bidi="ar-EG"/>
        </w:rPr>
        <w:t xml:space="preserve"> إلى الوثائق الرسمية الصادرة وقت عقد الزواج متسقا</w:t>
      </w:r>
      <w:r w:rsidR="006C74BB">
        <w:rPr>
          <w:rFonts w:hint="cs"/>
          <w:rtl/>
          <w:lang w:bidi="ar-EG"/>
        </w:rPr>
        <w:t>ً</w:t>
      </w:r>
      <w:r>
        <w:rPr>
          <w:rFonts w:hint="cs"/>
          <w:rtl/>
          <w:lang w:bidi="ar-EG"/>
        </w:rPr>
        <w:t xml:space="preserve"> مع قانون الزواج لعام 1961، بينما لا</w:t>
      </w:r>
      <w:r w:rsidR="006C74BB">
        <w:rPr>
          <w:rFonts w:hint="eastAsia"/>
          <w:rtl/>
          <w:lang w:bidi="ar-EG"/>
        </w:rPr>
        <w:t> </w:t>
      </w:r>
      <w:r>
        <w:rPr>
          <w:rFonts w:hint="cs"/>
          <w:rtl/>
          <w:lang w:bidi="ar-EG"/>
        </w:rPr>
        <w:t>تكون المعاملة المتكافئة للزيجات المعقودة في أستراليا متسقة معه.</w:t>
      </w:r>
    </w:p>
    <w:p w:rsidR="00C9188E" w:rsidRPr="00944512" w:rsidRDefault="00680142" w:rsidP="00680142">
      <w:pPr>
        <w:pStyle w:val="SingleTxtGA"/>
        <w:rPr>
          <w:spacing w:val="-2"/>
          <w:rtl/>
          <w:lang w:bidi="ar-EG"/>
        </w:rPr>
      </w:pPr>
      <w:r w:rsidRPr="00944512">
        <w:rPr>
          <w:rFonts w:hint="cs"/>
          <w:spacing w:val="-2"/>
          <w:rtl/>
          <w:lang w:bidi="ar-EG"/>
        </w:rPr>
        <w:lastRenderedPageBreak/>
        <w:t>7-9</w:t>
      </w:r>
      <w:r w:rsidRPr="00944512">
        <w:rPr>
          <w:rFonts w:hint="cs"/>
          <w:spacing w:val="-2"/>
          <w:rtl/>
          <w:lang w:bidi="ar-EG"/>
        </w:rPr>
        <w:tab/>
      </w:r>
      <w:r w:rsidR="00C9188E" w:rsidRPr="00944512">
        <w:rPr>
          <w:rFonts w:hint="cs"/>
          <w:spacing w:val="-2"/>
          <w:rtl/>
          <w:lang w:bidi="ar-EG"/>
        </w:rPr>
        <w:t>و</w:t>
      </w:r>
      <w:r w:rsidR="002634C6" w:rsidRPr="00944512">
        <w:rPr>
          <w:rFonts w:hint="cs"/>
          <w:spacing w:val="-2"/>
          <w:rtl/>
          <w:lang w:bidi="ar-EG"/>
        </w:rPr>
        <w:t>فضلاً</w:t>
      </w:r>
      <w:r w:rsidR="00C9188E" w:rsidRPr="00944512">
        <w:rPr>
          <w:rFonts w:hint="cs"/>
          <w:spacing w:val="-2"/>
          <w:rtl/>
          <w:lang w:bidi="ar-EG"/>
        </w:rPr>
        <w:t xml:space="preserve"> عن ذلك، تدعي صاحبة البلاغ، ولم تعترض الدولة الطرف على ذلك، أن إعادة تحديد نوع الجنس أمر قانوني في أستراليا وأن الفرصة تتاح للأفراد مغايري الهوية الجنسانية بعد إجراء الجراحة للاعتراف بهم قانونا</w:t>
      </w:r>
      <w:r w:rsidR="009B7B22">
        <w:rPr>
          <w:rFonts w:hint="cs"/>
          <w:spacing w:val="-2"/>
          <w:rtl/>
          <w:lang w:bidi="ar-EG"/>
        </w:rPr>
        <w:t>ً</w:t>
      </w:r>
      <w:r w:rsidR="00C9188E" w:rsidRPr="00944512">
        <w:rPr>
          <w:rFonts w:hint="cs"/>
          <w:spacing w:val="-2"/>
          <w:rtl/>
          <w:lang w:bidi="ar-EG"/>
        </w:rPr>
        <w:t xml:space="preserve"> على أساس نوع جنسهم المعاد تحديده وتوفر لهم الحماية من التمييز على أساس المغايرة الجنسانية. وكانت صاحبة البلاغ متزوجة زواجا</w:t>
      </w:r>
      <w:r w:rsidR="009B7B22">
        <w:rPr>
          <w:rFonts w:hint="cs"/>
          <w:spacing w:val="-2"/>
          <w:rtl/>
          <w:lang w:bidi="ar-EG"/>
        </w:rPr>
        <w:t>ً</w:t>
      </w:r>
      <w:r w:rsidR="00C9188E" w:rsidRPr="00944512">
        <w:rPr>
          <w:rFonts w:hint="cs"/>
          <w:spacing w:val="-2"/>
          <w:rtl/>
          <w:lang w:bidi="ar-EG"/>
        </w:rPr>
        <w:t xml:space="preserve"> صحيحا</w:t>
      </w:r>
      <w:r w:rsidR="009B7B22">
        <w:rPr>
          <w:rFonts w:hint="cs"/>
          <w:spacing w:val="-2"/>
          <w:rtl/>
          <w:lang w:bidi="ar-EG"/>
        </w:rPr>
        <w:t>ً</w:t>
      </w:r>
      <w:r w:rsidR="00C9188E" w:rsidRPr="00944512">
        <w:rPr>
          <w:rFonts w:hint="cs"/>
          <w:spacing w:val="-2"/>
          <w:rtl/>
          <w:lang w:bidi="ar-EG"/>
        </w:rPr>
        <w:t xml:space="preserve"> في أستراليا. وبعد إعادة تحديد نوع جنسها، اُصدرت لها بشكل قانوني جوازات سفر تحدد أنها أنثى وغيّرت، ضمن أمور أخرى، اسمها في شهادة ميلادها وجواز سفرها ورخصتها لقيادة السيارات وبطاقة الرعاية الطبية. ولم يُعترض على أن صاحبة البلاغ عاشت، كنتيجة لإعادة تحديد نوع جنسها، على أساس يومي علاقة حب زوجية مع زوج أنثى اعترفت الدولة الطرف بصحتها في جميع الجوانب. وليس ثمة سبب ظاهر لرفض توافق شهادة ميلاد صاحبة البلاغ مع هذا الواقع القانوني.</w:t>
      </w:r>
    </w:p>
    <w:p w:rsidR="00C9188E" w:rsidRDefault="00680142" w:rsidP="00680142">
      <w:pPr>
        <w:pStyle w:val="SingleTxtGA"/>
        <w:rPr>
          <w:rtl/>
          <w:lang w:bidi="ar-EG"/>
        </w:rPr>
      </w:pPr>
      <w:r>
        <w:rPr>
          <w:rFonts w:hint="cs"/>
          <w:rtl/>
          <w:lang w:bidi="ar-EG"/>
        </w:rPr>
        <w:t>7-10</w:t>
      </w:r>
      <w:r>
        <w:rPr>
          <w:rtl/>
          <w:lang w:bidi="ar-EG"/>
        </w:rPr>
        <w:tab/>
      </w:r>
      <w:r w:rsidR="00C9188E">
        <w:rPr>
          <w:rFonts w:hint="cs"/>
          <w:rtl/>
          <w:lang w:bidi="ar-EG"/>
        </w:rPr>
        <w:t xml:space="preserve">وفي قضية </w:t>
      </w:r>
      <w:r w:rsidR="00C9188E" w:rsidRPr="007C1B9C">
        <w:rPr>
          <w:rFonts w:hint="cs"/>
          <w:i/>
          <w:iCs/>
          <w:rtl/>
          <w:lang w:bidi="ar-EG"/>
        </w:rPr>
        <w:t>تون</w:t>
      </w:r>
      <w:r w:rsidR="00C9188E">
        <w:rPr>
          <w:rFonts w:hint="cs"/>
          <w:i/>
          <w:iCs/>
          <w:rtl/>
          <w:lang w:bidi="ar-EG"/>
        </w:rPr>
        <w:t>ين</w:t>
      </w:r>
      <w:r w:rsidR="00C9188E" w:rsidRPr="007C1B9C">
        <w:rPr>
          <w:rFonts w:hint="cs"/>
          <w:i/>
          <w:iCs/>
          <w:rtl/>
          <w:lang w:bidi="ar-EG"/>
        </w:rPr>
        <w:t xml:space="preserve"> ضد أستراليا</w:t>
      </w:r>
      <w:r w:rsidR="00C9188E">
        <w:rPr>
          <w:rFonts w:hint="cs"/>
          <w:rtl/>
          <w:lang w:bidi="ar-EG"/>
        </w:rPr>
        <w:t>، أشارت اللجنة، ضمن ما أشارت إليه، إلى عدم الاتساق في نظام الدولة الطرف القانوني وانعدام التوافق بشأن الأحكام المعنية وعدم إعمالها، مما يفترض أنها</w:t>
      </w:r>
      <w:r w:rsidR="00C34C06">
        <w:rPr>
          <w:rFonts w:hint="cs"/>
          <w:rtl/>
          <w:lang w:bidi="ar-EG"/>
        </w:rPr>
        <w:t xml:space="preserve"> غير أساسية لهدف الدولة المذكور</w:t>
      </w:r>
      <w:r w:rsidR="00C34C06">
        <w:rPr>
          <w:rStyle w:val="FootnoteReference"/>
          <w:sz w:val="30"/>
          <w:rtl/>
          <w:lang w:bidi="ar-EG"/>
        </w:rPr>
        <w:t>(</w:t>
      </w:r>
      <w:r w:rsidR="00C34C06">
        <w:rPr>
          <w:rStyle w:val="FootnoteReference"/>
          <w:sz w:val="30"/>
          <w:rtl/>
          <w:lang w:bidi="ar-EG"/>
        </w:rPr>
        <w:footnoteReference w:id="43"/>
      </w:r>
      <w:r w:rsidR="00C34C06">
        <w:rPr>
          <w:rStyle w:val="FootnoteReference"/>
          <w:sz w:val="30"/>
          <w:rtl/>
          <w:lang w:bidi="ar-EG"/>
        </w:rPr>
        <w:t>)</w:t>
      </w:r>
      <w:r w:rsidR="00C34C06">
        <w:rPr>
          <w:rFonts w:hint="cs"/>
          <w:rtl/>
          <w:lang w:bidi="ar-EG"/>
        </w:rPr>
        <w:t>.</w:t>
      </w:r>
      <w:r w:rsidR="00C9188E">
        <w:rPr>
          <w:rFonts w:hint="cs"/>
          <w:rtl/>
          <w:lang w:bidi="ar-EG"/>
        </w:rPr>
        <w:t xml:space="preserve"> وبالمثل في هذه القضية، ترى اللجنة، في ضوء الاعتبارات المذكورة آنفا</w:t>
      </w:r>
      <w:r w:rsidR="009B7B22">
        <w:rPr>
          <w:rFonts w:hint="cs"/>
          <w:rtl/>
          <w:lang w:bidi="ar-EG"/>
        </w:rPr>
        <w:t>ً</w:t>
      </w:r>
      <w:r w:rsidR="00C9188E">
        <w:rPr>
          <w:rFonts w:hint="cs"/>
          <w:rtl/>
          <w:lang w:bidi="ar-EG"/>
        </w:rPr>
        <w:t xml:space="preserve"> وعدم تقديم الدولة الطرف تفسيرات مقنعة، أن التدخل في خصوصية صاحبة البلاغ وأسرتها ليس ضروريا</w:t>
      </w:r>
      <w:r w:rsidR="00F21316">
        <w:rPr>
          <w:rFonts w:hint="cs"/>
          <w:rtl/>
          <w:lang w:bidi="ar-EG"/>
        </w:rPr>
        <w:t>ً</w:t>
      </w:r>
      <w:r w:rsidR="00C9188E">
        <w:rPr>
          <w:rFonts w:hint="cs"/>
          <w:rtl/>
          <w:lang w:bidi="ar-EG"/>
        </w:rPr>
        <w:t xml:space="preserve"> ولا متناسبا</w:t>
      </w:r>
      <w:r w:rsidR="00F21316">
        <w:rPr>
          <w:rFonts w:hint="cs"/>
          <w:rtl/>
          <w:lang w:bidi="ar-EG"/>
        </w:rPr>
        <w:t>ً</w:t>
      </w:r>
      <w:r w:rsidR="00C9188E">
        <w:rPr>
          <w:rFonts w:hint="cs"/>
          <w:rtl/>
          <w:lang w:bidi="ar-EG"/>
        </w:rPr>
        <w:t xml:space="preserve"> مع مصلحة مشروعة ومن ثم فهو تعسفي بالمعنى الوارد في المادة 17 من العهد.</w:t>
      </w:r>
    </w:p>
    <w:p w:rsidR="00C9188E" w:rsidRPr="00A71457" w:rsidRDefault="00680142" w:rsidP="000B2C20">
      <w:pPr>
        <w:pStyle w:val="SingleTxtGA"/>
        <w:rPr>
          <w:spacing w:val="-4"/>
          <w:rtl/>
          <w:lang w:bidi="ar-EG"/>
        </w:rPr>
      </w:pPr>
      <w:r w:rsidRPr="00A71457">
        <w:rPr>
          <w:rFonts w:hint="cs"/>
          <w:spacing w:val="-4"/>
          <w:rtl/>
          <w:lang w:bidi="ar-EG"/>
        </w:rPr>
        <w:t>7-11</w:t>
      </w:r>
      <w:r w:rsidRPr="00A71457">
        <w:rPr>
          <w:spacing w:val="-4"/>
          <w:rtl/>
          <w:lang w:bidi="ar-EG"/>
        </w:rPr>
        <w:tab/>
      </w:r>
      <w:r w:rsidR="00C9188E" w:rsidRPr="00A71457">
        <w:rPr>
          <w:rFonts w:hint="cs"/>
          <w:spacing w:val="-4"/>
          <w:rtl/>
          <w:lang w:bidi="ar-EG"/>
        </w:rPr>
        <w:t xml:space="preserve">وتأخذ اللجنة </w:t>
      </w:r>
      <w:r w:rsidR="002634C6" w:rsidRPr="00A71457">
        <w:rPr>
          <w:rFonts w:hint="cs"/>
          <w:spacing w:val="-4"/>
          <w:rtl/>
          <w:lang w:bidi="ar-EG"/>
        </w:rPr>
        <w:t>علماً</w:t>
      </w:r>
      <w:r w:rsidR="00C9188E" w:rsidRPr="00A71457">
        <w:rPr>
          <w:rFonts w:hint="cs"/>
          <w:spacing w:val="-4"/>
          <w:rtl/>
          <w:lang w:bidi="ar-EG"/>
        </w:rPr>
        <w:t xml:space="preserve"> بادعاء صاحبة البلاغ أنها تعرضت للتمييز ضدها على أساس حالتها الزواجية و/أو المغايرة </w:t>
      </w:r>
      <w:proofErr w:type="spellStart"/>
      <w:r w:rsidR="002634C6" w:rsidRPr="00A71457">
        <w:rPr>
          <w:rFonts w:hint="cs"/>
          <w:spacing w:val="-4"/>
          <w:rtl/>
          <w:lang w:bidi="ar-EG"/>
        </w:rPr>
        <w:t>جنسانياً</w:t>
      </w:r>
      <w:proofErr w:type="spellEnd"/>
      <w:r w:rsidR="00C9188E" w:rsidRPr="00A71457">
        <w:rPr>
          <w:rFonts w:hint="cs"/>
          <w:spacing w:val="-4"/>
          <w:rtl/>
          <w:lang w:bidi="ar-EG"/>
        </w:rPr>
        <w:t>، انتهاكا</w:t>
      </w:r>
      <w:r w:rsidR="00F21316" w:rsidRPr="00A71457">
        <w:rPr>
          <w:rFonts w:hint="cs"/>
          <w:spacing w:val="-4"/>
          <w:rtl/>
          <w:lang w:bidi="ar-EG"/>
        </w:rPr>
        <w:t>ً</w:t>
      </w:r>
      <w:r w:rsidR="00C9188E" w:rsidRPr="00A71457">
        <w:rPr>
          <w:rFonts w:hint="cs"/>
          <w:spacing w:val="-4"/>
          <w:rtl/>
          <w:lang w:bidi="ar-EG"/>
        </w:rPr>
        <w:t xml:space="preserve"> للمادة 26 من العهد، لأن الدولة الطرف لم</w:t>
      </w:r>
      <w:r w:rsidR="000B2C20" w:rsidRPr="00A71457">
        <w:rPr>
          <w:rFonts w:hint="eastAsia"/>
          <w:spacing w:val="-4"/>
          <w:rtl/>
          <w:lang w:bidi="ar-EG"/>
        </w:rPr>
        <w:t> </w:t>
      </w:r>
      <w:r w:rsidR="00C9188E" w:rsidRPr="00A71457">
        <w:rPr>
          <w:rFonts w:hint="cs"/>
          <w:spacing w:val="-4"/>
          <w:rtl/>
          <w:lang w:bidi="ar-EG"/>
        </w:rPr>
        <w:t xml:space="preserve">تسمح لها بالحصول على شهادة ميلاد تحدد نوع جنسها على النحو الصحيح طالما ظلت متزوجة من زوجها. وتأخذ اللجنة </w:t>
      </w:r>
      <w:r w:rsidR="002634C6" w:rsidRPr="00A71457">
        <w:rPr>
          <w:rFonts w:hint="cs"/>
          <w:spacing w:val="-4"/>
          <w:rtl/>
          <w:lang w:bidi="ar-EG"/>
        </w:rPr>
        <w:t>علماً</w:t>
      </w:r>
      <w:r w:rsidR="00C9188E" w:rsidRPr="00A71457">
        <w:rPr>
          <w:rFonts w:hint="cs"/>
          <w:spacing w:val="-4"/>
          <w:rtl/>
          <w:lang w:bidi="ar-EG"/>
        </w:rPr>
        <w:t xml:space="preserve"> </w:t>
      </w:r>
      <w:r w:rsidR="002634C6" w:rsidRPr="00A71457">
        <w:rPr>
          <w:rFonts w:hint="cs"/>
          <w:spacing w:val="-4"/>
          <w:rtl/>
          <w:lang w:bidi="ar-EG"/>
        </w:rPr>
        <w:t>أيضاً</w:t>
      </w:r>
      <w:r w:rsidR="00C9188E" w:rsidRPr="00A71457">
        <w:rPr>
          <w:rFonts w:hint="cs"/>
          <w:spacing w:val="-4"/>
          <w:rtl/>
          <w:lang w:bidi="ar-EG"/>
        </w:rPr>
        <w:t xml:space="preserve"> بادعاء الدولة الطرف بأن التمييز بين الأشخاص المتزوجين وغير المتزوجين الذين خضعوا لعملية تأكيد نوع الجنس ويطلبون تغيير نوع جنسهم في شهادة ميلادهم متناسب مع الهدف المتمثل في تحقيق الاتساق مع تعريف الزواج الوارد في قانون الزواج لعام 1961.</w:t>
      </w:r>
    </w:p>
    <w:p w:rsidR="00C9188E" w:rsidRPr="00944512" w:rsidRDefault="00680142" w:rsidP="00B52C9C">
      <w:pPr>
        <w:pStyle w:val="SingleTxtGA"/>
        <w:rPr>
          <w:spacing w:val="-2"/>
          <w:rtl/>
          <w:lang w:bidi="ar-EG"/>
        </w:rPr>
      </w:pPr>
      <w:r w:rsidRPr="00944512">
        <w:rPr>
          <w:rFonts w:hint="cs"/>
          <w:spacing w:val="-2"/>
          <w:rtl/>
          <w:lang w:bidi="ar-EG"/>
        </w:rPr>
        <w:t>7-12</w:t>
      </w:r>
      <w:r w:rsidRPr="00944512">
        <w:rPr>
          <w:spacing w:val="-2"/>
          <w:rtl/>
          <w:lang w:bidi="ar-EG"/>
        </w:rPr>
        <w:tab/>
      </w:r>
      <w:r w:rsidR="00C9188E" w:rsidRPr="00944512">
        <w:rPr>
          <w:rFonts w:hint="cs"/>
          <w:spacing w:val="-2"/>
          <w:rtl/>
          <w:lang w:bidi="ar-EG"/>
        </w:rPr>
        <w:t>وتُذكّ</w:t>
      </w:r>
      <w:r w:rsidR="00EB25F0" w:rsidRPr="00944512">
        <w:rPr>
          <w:rFonts w:hint="cs"/>
          <w:spacing w:val="-2"/>
          <w:rtl/>
          <w:lang w:bidi="ar-EG"/>
        </w:rPr>
        <w:t>ِر اللجنة بتعليقها العام رقم 18</w:t>
      </w:r>
      <w:r w:rsidR="00C9188E" w:rsidRPr="00944512">
        <w:rPr>
          <w:rFonts w:hint="cs"/>
          <w:spacing w:val="-2"/>
          <w:rtl/>
          <w:lang w:bidi="ar-EG"/>
        </w:rPr>
        <w:t>(1989) بشأن عدم التمييز (الفقرة 1) الذي ذكرت فيه أن المادة 26 تخول لجميع الأشخاص المساواة أمام القانون والتمتع بحماية القانون على قدم المساواة، وتحظر أي شكل من التمييز بموجب القانون وتكفل لجميع الأشخاص الحماية المتساوية والفعالة من التمييز على أي أساس كان، مثل العرق، أو اللون، أو الجنس، أو</w:t>
      </w:r>
      <w:r w:rsidR="00EB0A5A" w:rsidRPr="00944512">
        <w:rPr>
          <w:rFonts w:hint="eastAsia"/>
          <w:spacing w:val="-2"/>
          <w:rtl/>
          <w:lang w:bidi="ar-EG"/>
        </w:rPr>
        <w:t> </w:t>
      </w:r>
      <w:r w:rsidR="00C9188E" w:rsidRPr="00944512">
        <w:rPr>
          <w:rFonts w:hint="cs"/>
          <w:spacing w:val="-2"/>
          <w:rtl/>
          <w:lang w:bidi="ar-EG"/>
        </w:rPr>
        <w:t>اللغة، أو</w:t>
      </w:r>
      <w:r w:rsidR="00B52C9C">
        <w:rPr>
          <w:rFonts w:hint="eastAsia"/>
          <w:spacing w:val="-2"/>
          <w:rtl/>
          <w:lang w:bidi="ar-EG"/>
        </w:rPr>
        <w:t> </w:t>
      </w:r>
      <w:r w:rsidR="00C9188E" w:rsidRPr="00944512">
        <w:rPr>
          <w:rFonts w:hint="cs"/>
          <w:spacing w:val="-2"/>
          <w:rtl/>
          <w:lang w:bidi="ar-EG"/>
        </w:rPr>
        <w:t>الدين، أو الرأي السياسي، أو أي رأي آخر، أو</w:t>
      </w:r>
      <w:r w:rsidR="00C9188E" w:rsidRPr="00944512">
        <w:rPr>
          <w:spacing w:val="-2"/>
          <w:rtl/>
          <w:lang w:bidi="ar-EG"/>
        </w:rPr>
        <w:t xml:space="preserve"> </w:t>
      </w:r>
      <w:r w:rsidR="00C9188E" w:rsidRPr="00944512">
        <w:rPr>
          <w:rFonts w:hint="cs"/>
          <w:spacing w:val="-2"/>
          <w:rtl/>
          <w:lang w:bidi="ar-EG"/>
        </w:rPr>
        <w:t>الأصل</w:t>
      </w:r>
      <w:r w:rsidR="00C9188E" w:rsidRPr="00944512">
        <w:rPr>
          <w:spacing w:val="-2"/>
          <w:rtl/>
          <w:lang w:bidi="ar-EG"/>
        </w:rPr>
        <w:t xml:space="preserve"> </w:t>
      </w:r>
      <w:r w:rsidR="00C9188E" w:rsidRPr="00944512">
        <w:rPr>
          <w:rFonts w:hint="cs"/>
          <w:spacing w:val="-2"/>
          <w:rtl/>
          <w:lang w:bidi="ar-EG"/>
        </w:rPr>
        <w:t>القومي</w:t>
      </w:r>
      <w:r w:rsidR="00C9188E" w:rsidRPr="00944512">
        <w:rPr>
          <w:spacing w:val="-2"/>
          <w:rtl/>
          <w:lang w:bidi="ar-EG"/>
        </w:rPr>
        <w:t xml:space="preserve"> </w:t>
      </w:r>
      <w:r w:rsidR="00C9188E" w:rsidRPr="00944512">
        <w:rPr>
          <w:rFonts w:hint="cs"/>
          <w:spacing w:val="-2"/>
          <w:rtl/>
          <w:lang w:bidi="ar-EG"/>
        </w:rPr>
        <w:t>أو</w:t>
      </w:r>
      <w:r w:rsidR="00C9188E" w:rsidRPr="00944512">
        <w:rPr>
          <w:spacing w:val="-2"/>
          <w:rtl/>
          <w:lang w:bidi="ar-EG"/>
        </w:rPr>
        <w:t xml:space="preserve"> </w:t>
      </w:r>
      <w:r w:rsidR="00C9188E" w:rsidRPr="00944512">
        <w:rPr>
          <w:rFonts w:hint="cs"/>
          <w:spacing w:val="-2"/>
          <w:rtl/>
          <w:lang w:bidi="ar-EG"/>
        </w:rPr>
        <w:t>الاجتماعي،</w:t>
      </w:r>
      <w:r w:rsidR="00C9188E" w:rsidRPr="00944512">
        <w:rPr>
          <w:spacing w:val="-2"/>
          <w:rtl/>
          <w:lang w:bidi="ar-EG"/>
        </w:rPr>
        <w:t xml:space="preserve"> </w:t>
      </w:r>
      <w:r w:rsidR="00C9188E" w:rsidRPr="00944512">
        <w:rPr>
          <w:rFonts w:hint="cs"/>
          <w:spacing w:val="-2"/>
          <w:rtl/>
          <w:lang w:bidi="ar-EG"/>
        </w:rPr>
        <w:t>أو</w:t>
      </w:r>
      <w:r w:rsidR="00B7353C" w:rsidRPr="00944512">
        <w:rPr>
          <w:rFonts w:hint="cs"/>
          <w:spacing w:val="-2"/>
          <w:rtl/>
          <w:lang w:bidi="ar-EG"/>
        </w:rPr>
        <w:t> </w:t>
      </w:r>
      <w:r w:rsidR="00C9188E" w:rsidRPr="00944512">
        <w:rPr>
          <w:rFonts w:hint="cs"/>
          <w:spacing w:val="-2"/>
          <w:rtl/>
          <w:lang w:bidi="ar-EG"/>
        </w:rPr>
        <w:t>الممتلكات،</w:t>
      </w:r>
      <w:r w:rsidR="00C9188E" w:rsidRPr="00944512">
        <w:rPr>
          <w:spacing w:val="-2"/>
          <w:rtl/>
          <w:lang w:bidi="ar-EG"/>
        </w:rPr>
        <w:t xml:space="preserve"> </w:t>
      </w:r>
      <w:r w:rsidR="00C9188E" w:rsidRPr="00944512">
        <w:rPr>
          <w:rFonts w:hint="cs"/>
          <w:spacing w:val="-2"/>
          <w:rtl/>
          <w:lang w:bidi="ar-EG"/>
        </w:rPr>
        <w:t>أو</w:t>
      </w:r>
      <w:r w:rsidR="00C9188E" w:rsidRPr="00944512">
        <w:rPr>
          <w:spacing w:val="-2"/>
          <w:rtl/>
          <w:lang w:bidi="ar-EG"/>
        </w:rPr>
        <w:t xml:space="preserve"> </w:t>
      </w:r>
      <w:r w:rsidR="00C9188E" w:rsidRPr="00944512">
        <w:rPr>
          <w:rFonts w:hint="cs"/>
          <w:spacing w:val="-2"/>
          <w:rtl/>
          <w:lang w:bidi="ar-EG"/>
        </w:rPr>
        <w:t>الميلاد،</w:t>
      </w:r>
      <w:r w:rsidR="00C9188E" w:rsidRPr="00944512">
        <w:rPr>
          <w:spacing w:val="-2"/>
          <w:rtl/>
          <w:lang w:bidi="ar-EG"/>
        </w:rPr>
        <w:t xml:space="preserve"> </w:t>
      </w:r>
      <w:r w:rsidR="00C9188E" w:rsidRPr="00944512">
        <w:rPr>
          <w:rFonts w:hint="cs"/>
          <w:spacing w:val="-2"/>
          <w:rtl/>
          <w:lang w:bidi="ar-EG"/>
        </w:rPr>
        <w:t>أو</w:t>
      </w:r>
      <w:r w:rsidR="00C9188E" w:rsidRPr="00944512">
        <w:rPr>
          <w:spacing w:val="-2"/>
          <w:rtl/>
          <w:lang w:bidi="ar-EG"/>
        </w:rPr>
        <w:t xml:space="preserve"> </w:t>
      </w:r>
      <w:r w:rsidR="00C9188E" w:rsidRPr="00944512">
        <w:rPr>
          <w:rFonts w:hint="cs"/>
          <w:spacing w:val="-2"/>
          <w:rtl/>
          <w:lang w:bidi="ar-EG"/>
        </w:rPr>
        <w:t>وضع آخر. وفي هذا الصدد، تلاحظ اللجنة أن حظر التمييز في المادة 26 يشمل التمييز على أساس الحالة الزواجية والهوية الجنسانية، بما في</w:t>
      </w:r>
      <w:r w:rsidR="00D53C9B" w:rsidRPr="00944512">
        <w:rPr>
          <w:rFonts w:hint="cs"/>
          <w:spacing w:val="-2"/>
          <w:rtl/>
          <w:lang w:bidi="ar-EG"/>
        </w:rPr>
        <w:t xml:space="preserve"> ذلك وضع المغايرة الجنسانية. وتذ</w:t>
      </w:r>
      <w:r w:rsidR="00C9188E" w:rsidRPr="00944512">
        <w:rPr>
          <w:rFonts w:hint="cs"/>
          <w:spacing w:val="-2"/>
          <w:rtl/>
          <w:lang w:bidi="ar-EG"/>
        </w:rPr>
        <w:t xml:space="preserve">كِّر اللجنة </w:t>
      </w:r>
      <w:r w:rsidR="002634C6" w:rsidRPr="00944512">
        <w:rPr>
          <w:rFonts w:hint="cs"/>
          <w:spacing w:val="-2"/>
          <w:rtl/>
          <w:lang w:bidi="ar-EG"/>
        </w:rPr>
        <w:t>أيضاً</w:t>
      </w:r>
      <w:r w:rsidR="00C9188E" w:rsidRPr="00944512">
        <w:rPr>
          <w:rFonts w:hint="cs"/>
          <w:spacing w:val="-2"/>
          <w:rtl/>
          <w:lang w:bidi="ar-EG"/>
        </w:rPr>
        <w:t xml:space="preserve"> أن كل تفرقة استنادا</w:t>
      </w:r>
      <w:r w:rsidR="009B7B22">
        <w:rPr>
          <w:rFonts w:hint="cs"/>
          <w:spacing w:val="-2"/>
          <w:rtl/>
          <w:lang w:bidi="ar-EG"/>
        </w:rPr>
        <w:t>ً</w:t>
      </w:r>
      <w:r w:rsidR="00C9188E" w:rsidRPr="00944512">
        <w:rPr>
          <w:rFonts w:hint="cs"/>
          <w:spacing w:val="-2"/>
          <w:rtl/>
          <w:lang w:bidi="ar-EG"/>
        </w:rPr>
        <w:t xml:space="preserve"> إلى الأسس الواردة في المادة 26 لا ترقى إلى التمييز، طالما كانت ق</w:t>
      </w:r>
      <w:r w:rsidR="00C34C06" w:rsidRPr="00944512">
        <w:rPr>
          <w:rFonts w:hint="cs"/>
          <w:spacing w:val="-2"/>
          <w:rtl/>
          <w:lang w:bidi="ar-EG"/>
        </w:rPr>
        <w:t>ائمة على معايير معقولة وموضوعية</w:t>
      </w:r>
      <w:r w:rsidR="00C34C06" w:rsidRPr="00944512">
        <w:rPr>
          <w:rStyle w:val="FootnoteReference"/>
          <w:spacing w:val="-2"/>
          <w:sz w:val="30"/>
          <w:rtl/>
          <w:lang w:bidi="ar-EG"/>
        </w:rPr>
        <w:t>(</w:t>
      </w:r>
      <w:r w:rsidR="00C34C06" w:rsidRPr="00944512">
        <w:rPr>
          <w:rStyle w:val="FootnoteReference"/>
          <w:spacing w:val="-2"/>
          <w:sz w:val="30"/>
          <w:rtl/>
          <w:lang w:bidi="ar-EG"/>
        </w:rPr>
        <w:footnoteReference w:id="44"/>
      </w:r>
      <w:r w:rsidR="00C34C06" w:rsidRPr="00944512">
        <w:rPr>
          <w:rStyle w:val="FootnoteReference"/>
          <w:spacing w:val="-2"/>
          <w:sz w:val="30"/>
          <w:rtl/>
          <w:lang w:bidi="ar-EG"/>
        </w:rPr>
        <w:t>)</w:t>
      </w:r>
      <w:r w:rsidR="00C34C06" w:rsidRPr="00944512">
        <w:rPr>
          <w:rFonts w:hint="cs"/>
          <w:spacing w:val="-2"/>
          <w:rtl/>
          <w:lang w:bidi="ar-EG"/>
        </w:rPr>
        <w:t>،</w:t>
      </w:r>
      <w:r w:rsidR="00C9188E" w:rsidRPr="00944512">
        <w:rPr>
          <w:rFonts w:hint="cs"/>
          <w:spacing w:val="-2"/>
          <w:rtl/>
          <w:lang w:bidi="ar-EG"/>
        </w:rPr>
        <w:t xml:space="preserve"> وسعيا</w:t>
      </w:r>
      <w:r w:rsidR="00C34C06" w:rsidRPr="00944512">
        <w:rPr>
          <w:rFonts w:hint="cs"/>
          <w:spacing w:val="-2"/>
          <w:rtl/>
          <w:lang w:bidi="ar-EG"/>
        </w:rPr>
        <w:t>ً</w:t>
      </w:r>
      <w:r w:rsidR="00C9188E" w:rsidRPr="00944512">
        <w:rPr>
          <w:rFonts w:hint="cs"/>
          <w:spacing w:val="-2"/>
          <w:rtl/>
          <w:lang w:bidi="ar-EG"/>
        </w:rPr>
        <w:t xml:space="preserve"> لتحقيق هدف مشروع بموجب العهد</w:t>
      </w:r>
      <w:r w:rsidR="00C34C06" w:rsidRPr="00944512">
        <w:rPr>
          <w:rStyle w:val="FootnoteReference"/>
          <w:spacing w:val="-2"/>
          <w:sz w:val="30"/>
          <w:rtl/>
          <w:lang w:bidi="ar-EG"/>
        </w:rPr>
        <w:t>(</w:t>
      </w:r>
      <w:r w:rsidR="00C34C06" w:rsidRPr="00944512">
        <w:rPr>
          <w:rStyle w:val="FootnoteReference"/>
          <w:spacing w:val="-2"/>
          <w:sz w:val="30"/>
          <w:rtl/>
          <w:lang w:bidi="ar-EG"/>
        </w:rPr>
        <w:footnoteReference w:id="45"/>
      </w:r>
      <w:r w:rsidR="00C34C06" w:rsidRPr="00944512">
        <w:rPr>
          <w:rStyle w:val="FootnoteReference"/>
          <w:spacing w:val="-2"/>
          <w:sz w:val="30"/>
          <w:rtl/>
          <w:lang w:bidi="ar-EG"/>
        </w:rPr>
        <w:t>)</w:t>
      </w:r>
      <w:r w:rsidR="00C34C06" w:rsidRPr="00944512">
        <w:rPr>
          <w:rFonts w:hint="cs"/>
          <w:spacing w:val="-2"/>
          <w:rtl/>
          <w:lang w:bidi="ar-EG"/>
        </w:rPr>
        <w:t>.</w:t>
      </w:r>
      <w:r w:rsidR="00C9188E" w:rsidRPr="00944512">
        <w:rPr>
          <w:rFonts w:hint="cs"/>
          <w:spacing w:val="-2"/>
          <w:rtl/>
          <w:lang w:bidi="ar-EG"/>
        </w:rPr>
        <w:t xml:space="preserve"> </w:t>
      </w:r>
      <w:r w:rsidR="00C9188E" w:rsidRPr="00944512">
        <w:rPr>
          <w:rFonts w:hint="cs"/>
          <w:spacing w:val="-2"/>
          <w:rtl/>
          <w:lang w:bidi="ar-EG"/>
        </w:rPr>
        <w:lastRenderedPageBreak/>
        <w:t>ويتمثل</w:t>
      </w:r>
      <w:r w:rsidR="00B52C9C">
        <w:rPr>
          <w:rFonts w:hint="eastAsia"/>
          <w:spacing w:val="-2"/>
          <w:rtl/>
          <w:lang w:bidi="ar-EG"/>
        </w:rPr>
        <w:t> </w:t>
      </w:r>
      <w:r w:rsidR="00C9188E" w:rsidRPr="00944512">
        <w:rPr>
          <w:rFonts w:hint="cs"/>
          <w:spacing w:val="-2"/>
          <w:rtl/>
          <w:lang w:bidi="ar-EG"/>
        </w:rPr>
        <w:t xml:space="preserve">الاختبار بالنسبة للجنة فيما إذا كانت المعاملة </w:t>
      </w:r>
      <w:proofErr w:type="spellStart"/>
      <w:r w:rsidR="00C9188E" w:rsidRPr="00944512">
        <w:rPr>
          <w:rFonts w:hint="cs"/>
          <w:spacing w:val="-2"/>
          <w:rtl/>
          <w:lang w:bidi="ar-EG"/>
        </w:rPr>
        <w:t>التمايزية</w:t>
      </w:r>
      <w:proofErr w:type="spellEnd"/>
      <w:r w:rsidR="00C9188E" w:rsidRPr="00944512">
        <w:rPr>
          <w:rFonts w:hint="cs"/>
          <w:spacing w:val="-2"/>
          <w:rtl/>
          <w:lang w:bidi="ar-EG"/>
        </w:rPr>
        <w:t>، في ظروف هذا البلاغ، بين الأشخاص المتزوجين وغير المتزوجين الذين خضعوا لعملية تأكيد نوع جنسهم ويطلبون تعديل نوع جنسهم في شهادة ميلادهم يستوفي معايير المعقولية والموضوعية والهدف المشروع.</w:t>
      </w:r>
    </w:p>
    <w:p w:rsidR="00C9188E" w:rsidRDefault="00680142" w:rsidP="00F10A38">
      <w:pPr>
        <w:pStyle w:val="SingleTxtGA"/>
        <w:rPr>
          <w:rtl/>
          <w:lang w:bidi="ar-EG"/>
        </w:rPr>
      </w:pPr>
      <w:r>
        <w:rPr>
          <w:rFonts w:hint="cs"/>
          <w:rtl/>
          <w:lang w:bidi="ar-EG"/>
        </w:rPr>
        <w:t>7-13</w:t>
      </w:r>
      <w:r>
        <w:rPr>
          <w:rtl/>
          <w:lang w:bidi="ar-EG"/>
        </w:rPr>
        <w:tab/>
      </w:r>
      <w:r w:rsidR="00C9188E">
        <w:rPr>
          <w:rFonts w:hint="cs"/>
          <w:rtl/>
          <w:lang w:bidi="ar-EG"/>
        </w:rPr>
        <w:t xml:space="preserve">وتأخذ اللجنة </w:t>
      </w:r>
      <w:r w:rsidR="002634C6">
        <w:rPr>
          <w:rFonts w:hint="cs"/>
          <w:rtl/>
          <w:lang w:bidi="ar-EG"/>
        </w:rPr>
        <w:t>علماً</w:t>
      </w:r>
      <w:r w:rsidR="00C9188E">
        <w:rPr>
          <w:rFonts w:hint="cs"/>
          <w:rtl/>
          <w:lang w:bidi="ar-EG"/>
        </w:rPr>
        <w:t xml:space="preserve"> بأن كلا مجلس مكافحة التمييز (في عام 2001) واللجنة الأسترالية لحقوق الإنسان (في عام 2009) خلصا إلى أن الشرط القاضي بأن يكون الشخص غير متزوج تقييدي بشكل غير ضروري ويشكل تمييزا</w:t>
      </w:r>
      <w:r w:rsidR="009B7B22">
        <w:rPr>
          <w:rFonts w:hint="cs"/>
          <w:rtl/>
          <w:lang w:bidi="ar-EG"/>
        </w:rPr>
        <w:t>ً</w:t>
      </w:r>
      <w:r w:rsidR="00C9188E">
        <w:rPr>
          <w:rFonts w:hint="cs"/>
          <w:rtl/>
          <w:lang w:bidi="ar-EG"/>
        </w:rPr>
        <w:t xml:space="preserve"> على أساس الحالة الزواجية. وبناءً على ذلك، أوصيا بألا تكون الحالة الزواجية اعتبارا</w:t>
      </w:r>
      <w:r w:rsidR="00D90F13">
        <w:rPr>
          <w:rFonts w:hint="cs"/>
          <w:rtl/>
          <w:lang w:bidi="ar-EG"/>
        </w:rPr>
        <w:t>ً</w:t>
      </w:r>
      <w:r w:rsidR="00C9188E">
        <w:rPr>
          <w:rFonts w:hint="cs"/>
          <w:rtl/>
          <w:lang w:bidi="ar-EG"/>
        </w:rPr>
        <w:t xml:space="preserve"> يؤخذ به في تحديد جواز أن يطلب الشخص تغيير نوع جنسه أو عدم جوازه.</w:t>
      </w:r>
    </w:p>
    <w:p w:rsidR="00C9188E" w:rsidRDefault="00680142" w:rsidP="002B49C0">
      <w:pPr>
        <w:pStyle w:val="SingleTxtGA"/>
        <w:rPr>
          <w:rtl/>
          <w:lang w:bidi="ar-EG"/>
        </w:rPr>
      </w:pPr>
      <w:r>
        <w:rPr>
          <w:rFonts w:hint="cs"/>
          <w:rtl/>
          <w:lang w:bidi="ar-EG"/>
        </w:rPr>
        <w:t>7-14</w:t>
      </w:r>
      <w:r>
        <w:rPr>
          <w:rtl/>
          <w:lang w:bidi="ar-EG"/>
        </w:rPr>
        <w:tab/>
      </w:r>
      <w:r w:rsidR="00C9188E">
        <w:rPr>
          <w:rFonts w:hint="cs"/>
          <w:rtl/>
          <w:lang w:bidi="ar-EG"/>
        </w:rPr>
        <w:t>وترى اللجنة أن الدولة الطرف توفر الحماية ضد التمييز باعترافها قانونا</w:t>
      </w:r>
      <w:r w:rsidR="009B7B22">
        <w:rPr>
          <w:rFonts w:hint="cs"/>
          <w:rtl/>
          <w:lang w:bidi="ar-EG"/>
        </w:rPr>
        <w:t>ً</w:t>
      </w:r>
      <w:r w:rsidR="00C9188E">
        <w:rPr>
          <w:rFonts w:hint="cs"/>
          <w:rtl/>
          <w:lang w:bidi="ar-EG"/>
        </w:rPr>
        <w:t xml:space="preserve"> بإعادة تحديد نوع الجنس وحظر التمييز ضد الأشخاص المغايرين </w:t>
      </w:r>
      <w:proofErr w:type="spellStart"/>
      <w:r w:rsidR="002634C6">
        <w:rPr>
          <w:rFonts w:hint="cs"/>
          <w:rtl/>
          <w:lang w:bidi="ar-EG"/>
        </w:rPr>
        <w:t>جنسانياً</w:t>
      </w:r>
      <w:proofErr w:type="spellEnd"/>
      <w:r w:rsidR="00C9188E">
        <w:rPr>
          <w:rFonts w:hint="cs"/>
          <w:rtl/>
          <w:lang w:bidi="ar-EG"/>
        </w:rPr>
        <w:t>. بيد أن الحكومة عجزت عن أن تقدم لصاحبة البلاغ، والأشخاص الذين في حالة مماثلة لحالتها، الحماية المتساوية بموجب القانون بصفتها شخصا</w:t>
      </w:r>
      <w:r w:rsidR="002634C6">
        <w:rPr>
          <w:rFonts w:hint="cs"/>
          <w:rtl/>
          <w:lang w:bidi="ar-EG"/>
        </w:rPr>
        <w:t>ً</w:t>
      </w:r>
      <w:r w:rsidR="00C9188E">
        <w:rPr>
          <w:rFonts w:hint="cs"/>
          <w:rtl/>
          <w:lang w:bidi="ar-EG"/>
        </w:rPr>
        <w:t xml:space="preserve"> مغايرا</w:t>
      </w:r>
      <w:r w:rsidR="002634C6">
        <w:rPr>
          <w:rFonts w:hint="cs"/>
          <w:rtl/>
          <w:lang w:bidi="ar-EG"/>
        </w:rPr>
        <w:t>ً</w:t>
      </w:r>
      <w:r w:rsidR="00C9188E">
        <w:rPr>
          <w:rFonts w:hint="cs"/>
          <w:rtl/>
          <w:lang w:bidi="ar-EG"/>
        </w:rPr>
        <w:t xml:space="preserve"> </w:t>
      </w:r>
      <w:proofErr w:type="spellStart"/>
      <w:r w:rsidR="002634C6">
        <w:rPr>
          <w:rFonts w:hint="cs"/>
          <w:rtl/>
          <w:lang w:bidi="ar-EG"/>
        </w:rPr>
        <w:t>جنسانياً</w:t>
      </w:r>
      <w:proofErr w:type="spellEnd"/>
      <w:r w:rsidR="00C9188E">
        <w:rPr>
          <w:rFonts w:hint="cs"/>
          <w:rtl/>
          <w:lang w:bidi="ar-EG"/>
        </w:rPr>
        <w:t xml:space="preserve"> وذلك بحرمان الأشخاص المغايرين </w:t>
      </w:r>
      <w:proofErr w:type="spellStart"/>
      <w:r w:rsidR="002634C6">
        <w:rPr>
          <w:rFonts w:hint="cs"/>
          <w:rtl/>
          <w:lang w:bidi="ar-EG"/>
        </w:rPr>
        <w:t>جنسانياً</w:t>
      </w:r>
      <w:proofErr w:type="spellEnd"/>
      <w:r w:rsidR="00C9188E">
        <w:rPr>
          <w:rFonts w:hint="cs"/>
          <w:rtl/>
          <w:lang w:bidi="ar-EG"/>
        </w:rPr>
        <w:t xml:space="preserve"> المتزوجين من الحصول على شهادة ميلاد تحدد نوع جنسهم على النحو الصحيح، خلافا</w:t>
      </w:r>
      <w:r w:rsidR="00E34903">
        <w:rPr>
          <w:rFonts w:hint="cs"/>
          <w:rtl/>
          <w:lang w:bidi="ar-EG"/>
        </w:rPr>
        <w:t>ً</w:t>
      </w:r>
      <w:r w:rsidR="00C9188E">
        <w:rPr>
          <w:rFonts w:hint="cs"/>
          <w:rtl/>
          <w:lang w:bidi="ar-EG"/>
        </w:rPr>
        <w:t xml:space="preserve"> لغير المتزوجين من المغايرين </w:t>
      </w:r>
      <w:proofErr w:type="spellStart"/>
      <w:r w:rsidR="002634C6">
        <w:rPr>
          <w:rFonts w:hint="cs"/>
          <w:rtl/>
          <w:lang w:bidi="ar-EG"/>
        </w:rPr>
        <w:t>جنسانياً</w:t>
      </w:r>
      <w:proofErr w:type="spellEnd"/>
      <w:r w:rsidR="00C9188E">
        <w:rPr>
          <w:rFonts w:hint="cs"/>
          <w:rtl/>
          <w:lang w:bidi="ar-EG"/>
        </w:rPr>
        <w:t xml:space="preserve"> وغير المغايرين </w:t>
      </w:r>
      <w:proofErr w:type="spellStart"/>
      <w:r w:rsidR="002634C6">
        <w:rPr>
          <w:rFonts w:hint="cs"/>
          <w:rtl/>
          <w:lang w:bidi="ar-EG"/>
        </w:rPr>
        <w:t>جنسانياً</w:t>
      </w:r>
      <w:proofErr w:type="spellEnd"/>
      <w:r w:rsidR="00C9188E">
        <w:rPr>
          <w:rFonts w:hint="cs"/>
          <w:rtl/>
          <w:lang w:bidi="ar-EG"/>
        </w:rPr>
        <w:t xml:space="preserve">. وفي هذا الصدد، تعيد اللجنة التأكيد على الاعتبارات المناقشة في الفقرات </w:t>
      </w:r>
      <w:r w:rsidR="00280090">
        <w:rPr>
          <w:rFonts w:hint="cs"/>
          <w:rtl/>
          <w:lang w:bidi="ar-EG"/>
        </w:rPr>
        <w:t xml:space="preserve">من </w:t>
      </w:r>
      <w:r w:rsidR="00C9188E">
        <w:rPr>
          <w:rFonts w:hint="cs"/>
          <w:rtl/>
          <w:lang w:bidi="ar-EG"/>
        </w:rPr>
        <w:t>7</w:t>
      </w:r>
      <w:r w:rsidR="00EB25F0">
        <w:rPr>
          <w:rFonts w:hint="cs"/>
          <w:rtl/>
          <w:lang w:bidi="ar-EG"/>
        </w:rPr>
        <w:t>-</w:t>
      </w:r>
      <w:r w:rsidR="00C9188E">
        <w:rPr>
          <w:rFonts w:hint="cs"/>
          <w:rtl/>
          <w:lang w:bidi="ar-EG"/>
        </w:rPr>
        <w:t>5</w:t>
      </w:r>
      <w:r w:rsidR="00EB25F0">
        <w:rPr>
          <w:rFonts w:hint="cs"/>
          <w:rtl/>
          <w:lang w:bidi="ar-EG"/>
        </w:rPr>
        <w:t xml:space="preserve"> </w:t>
      </w:r>
      <w:r w:rsidR="00280090">
        <w:rPr>
          <w:rFonts w:hint="cs"/>
          <w:rtl/>
          <w:lang w:bidi="ar-EG"/>
        </w:rPr>
        <w:t xml:space="preserve">إلى </w:t>
      </w:r>
      <w:r w:rsidR="002B49C0">
        <w:rPr>
          <w:rFonts w:hint="cs"/>
          <w:rtl/>
          <w:lang w:bidi="ar-EG"/>
        </w:rPr>
        <w:t>7-9</w:t>
      </w:r>
      <w:r w:rsidR="00C9188E">
        <w:rPr>
          <w:rFonts w:hint="cs"/>
          <w:rtl/>
          <w:lang w:bidi="ar-EG"/>
        </w:rPr>
        <w:t xml:space="preserve"> أعلاه التي تفيد بأن التفرقة التي أقامتها الدولة الطرف غير ضرورية ولا متناسبة مع مصلحة مشروعة ومن ثم فهي غير معقولة.</w:t>
      </w:r>
    </w:p>
    <w:p w:rsidR="00C9188E" w:rsidRPr="00D030E6" w:rsidRDefault="00680142" w:rsidP="000916D0">
      <w:pPr>
        <w:pStyle w:val="SingleTxtGA"/>
        <w:rPr>
          <w:spacing w:val="-4"/>
          <w:rtl/>
          <w:lang w:bidi="ar-EG"/>
        </w:rPr>
      </w:pPr>
      <w:r w:rsidRPr="00D030E6">
        <w:rPr>
          <w:rFonts w:hint="cs"/>
          <w:spacing w:val="-4"/>
          <w:rtl/>
          <w:lang w:bidi="ar-EG"/>
        </w:rPr>
        <w:t>7-15</w:t>
      </w:r>
      <w:r w:rsidRPr="00D030E6">
        <w:rPr>
          <w:spacing w:val="-4"/>
          <w:rtl/>
          <w:lang w:bidi="ar-EG"/>
        </w:rPr>
        <w:tab/>
      </w:r>
      <w:r w:rsidR="00C9188E" w:rsidRPr="00D030E6">
        <w:rPr>
          <w:rFonts w:hint="cs"/>
          <w:spacing w:val="-4"/>
          <w:rtl/>
          <w:lang w:bidi="ar-EG"/>
        </w:rPr>
        <w:t>وفي ضوء الظروف المذكورة آنفا</w:t>
      </w:r>
      <w:r w:rsidR="009B7B22">
        <w:rPr>
          <w:rFonts w:hint="cs"/>
          <w:spacing w:val="-4"/>
          <w:rtl/>
          <w:lang w:bidi="ar-EG"/>
        </w:rPr>
        <w:t>ً</w:t>
      </w:r>
      <w:r w:rsidR="00C9188E" w:rsidRPr="00D030E6">
        <w:rPr>
          <w:rFonts w:hint="cs"/>
          <w:spacing w:val="-4"/>
          <w:rtl/>
          <w:lang w:bidi="ar-EG"/>
        </w:rPr>
        <w:t xml:space="preserve"> وعدم تقديم الدولة الطرف تفسيرات مقنعة، ترى اللجنة أن المعاملة </w:t>
      </w:r>
      <w:proofErr w:type="spellStart"/>
      <w:r w:rsidR="00C9188E" w:rsidRPr="00D030E6">
        <w:rPr>
          <w:rFonts w:hint="cs"/>
          <w:spacing w:val="-4"/>
          <w:rtl/>
          <w:lang w:bidi="ar-EG"/>
        </w:rPr>
        <w:t>التمايزية</w:t>
      </w:r>
      <w:proofErr w:type="spellEnd"/>
      <w:r w:rsidR="00C9188E" w:rsidRPr="00D030E6">
        <w:rPr>
          <w:rFonts w:hint="cs"/>
          <w:spacing w:val="-4"/>
          <w:rtl/>
          <w:lang w:bidi="ar-EG"/>
        </w:rPr>
        <w:t xml:space="preserve"> بين الأشخاص المتزوجين وغير المتزوجين الذين خضعوا لعملية إعادة تأكيد نوع الجنس ويطلبون تغيير نوع جنسهم في شهادة ميلادهم لا تستند إلى معايير معقولة وموضوعية، ومن ثم فهي تشكل تمييزا</w:t>
      </w:r>
      <w:r w:rsidR="00EB25F0" w:rsidRPr="00D030E6">
        <w:rPr>
          <w:rFonts w:hint="cs"/>
          <w:spacing w:val="-4"/>
          <w:rtl/>
          <w:lang w:bidi="ar-EG"/>
        </w:rPr>
        <w:t>ً</w:t>
      </w:r>
      <w:r w:rsidR="00C9188E" w:rsidRPr="00D030E6">
        <w:rPr>
          <w:rFonts w:hint="cs"/>
          <w:spacing w:val="-4"/>
          <w:rtl/>
          <w:lang w:bidi="ar-EG"/>
        </w:rPr>
        <w:t xml:space="preserve"> على أساس الحالة الزواجية والمغايرة الجنسانية، بموجب المادة 26 من العهد.</w:t>
      </w:r>
    </w:p>
    <w:p w:rsidR="00C9188E" w:rsidRDefault="000916D0" w:rsidP="000916D0">
      <w:pPr>
        <w:pStyle w:val="SingleTxtGA"/>
        <w:rPr>
          <w:rtl/>
          <w:lang w:bidi="ar-EG"/>
        </w:rPr>
      </w:pPr>
      <w:r>
        <w:rPr>
          <w:rFonts w:hint="cs"/>
          <w:rtl/>
          <w:lang w:bidi="ar-EG"/>
        </w:rPr>
        <w:t>8-</w:t>
      </w:r>
      <w:r>
        <w:rPr>
          <w:rtl/>
          <w:lang w:bidi="ar-EG"/>
        </w:rPr>
        <w:tab/>
      </w:r>
      <w:r w:rsidR="00C9188E" w:rsidRPr="00892B96">
        <w:rPr>
          <w:rFonts w:hint="cs"/>
          <w:rtl/>
          <w:lang w:bidi="ar-EG"/>
        </w:rPr>
        <w:t>إن</w:t>
      </w:r>
      <w:r w:rsidR="00C9188E" w:rsidRPr="00892B96">
        <w:rPr>
          <w:rtl/>
          <w:lang w:bidi="ar-EG"/>
        </w:rPr>
        <w:t xml:space="preserve"> </w:t>
      </w:r>
      <w:r w:rsidR="00C9188E" w:rsidRPr="00892B96">
        <w:rPr>
          <w:rFonts w:hint="cs"/>
          <w:rtl/>
          <w:lang w:bidi="ar-EG"/>
        </w:rPr>
        <w:t>اللجنة،</w:t>
      </w:r>
      <w:r w:rsidR="00C9188E" w:rsidRPr="00892B96">
        <w:rPr>
          <w:rtl/>
          <w:lang w:bidi="ar-EG"/>
        </w:rPr>
        <w:t xml:space="preserve"> </w:t>
      </w:r>
      <w:r w:rsidR="00C9188E" w:rsidRPr="00892B96">
        <w:rPr>
          <w:rFonts w:hint="cs"/>
          <w:rtl/>
          <w:lang w:bidi="ar-EG"/>
        </w:rPr>
        <w:t>إذ</w:t>
      </w:r>
      <w:r w:rsidR="00C9188E" w:rsidRPr="00892B96">
        <w:rPr>
          <w:rtl/>
          <w:lang w:bidi="ar-EG"/>
        </w:rPr>
        <w:t xml:space="preserve"> </w:t>
      </w:r>
      <w:r w:rsidR="00C9188E" w:rsidRPr="00892B96">
        <w:rPr>
          <w:rFonts w:hint="cs"/>
          <w:rtl/>
          <w:lang w:bidi="ar-EG"/>
        </w:rPr>
        <w:t>تتصرف</w:t>
      </w:r>
      <w:r w:rsidR="00C9188E" w:rsidRPr="00892B96">
        <w:rPr>
          <w:rtl/>
          <w:lang w:bidi="ar-EG"/>
        </w:rPr>
        <w:t xml:space="preserve"> </w:t>
      </w:r>
      <w:r w:rsidR="00C9188E" w:rsidRPr="00892B96">
        <w:rPr>
          <w:rFonts w:hint="cs"/>
          <w:rtl/>
          <w:lang w:bidi="ar-EG"/>
        </w:rPr>
        <w:t>بموجب</w:t>
      </w:r>
      <w:r w:rsidR="00C9188E" w:rsidRPr="00892B96">
        <w:rPr>
          <w:rtl/>
          <w:lang w:bidi="ar-EG"/>
        </w:rPr>
        <w:t xml:space="preserve"> </w:t>
      </w:r>
      <w:r w:rsidR="00C9188E" w:rsidRPr="00892B96">
        <w:rPr>
          <w:rFonts w:hint="cs"/>
          <w:rtl/>
          <w:lang w:bidi="ar-EG"/>
        </w:rPr>
        <w:t>المادة</w:t>
      </w:r>
      <w:r w:rsidR="00C9188E" w:rsidRPr="00892B96">
        <w:rPr>
          <w:rtl/>
          <w:lang w:bidi="ar-EG"/>
        </w:rPr>
        <w:t xml:space="preserve"> </w:t>
      </w:r>
      <w:r w:rsidR="00C9188E">
        <w:rPr>
          <w:rFonts w:hint="cs"/>
          <w:rtl/>
          <w:lang w:bidi="ar-EG"/>
        </w:rPr>
        <w:t>5</w:t>
      </w:r>
      <w:r w:rsidR="00C9188E" w:rsidRPr="00892B96">
        <w:rPr>
          <w:rtl/>
          <w:lang w:bidi="ar-EG"/>
        </w:rPr>
        <w:t xml:space="preserve">(4) </w:t>
      </w:r>
      <w:r w:rsidR="00C9188E" w:rsidRPr="00892B96">
        <w:rPr>
          <w:rFonts w:hint="cs"/>
          <w:rtl/>
          <w:lang w:bidi="ar-EG"/>
        </w:rPr>
        <w:t>من</w:t>
      </w:r>
      <w:r w:rsidR="00C9188E" w:rsidRPr="00892B96">
        <w:rPr>
          <w:rtl/>
          <w:lang w:bidi="ar-EG"/>
        </w:rPr>
        <w:t xml:space="preserve"> </w:t>
      </w:r>
      <w:r w:rsidR="00C9188E" w:rsidRPr="00892B96">
        <w:rPr>
          <w:rFonts w:hint="cs"/>
          <w:rtl/>
          <w:lang w:bidi="ar-EG"/>
        </w:rPr>
        <w:t>البروتوكول</w:t>
      </w:r>
      <w:r w:rsidR="00C9188E" w:rsidRPr="00892B96">
        <w:rPr>
          <w:rtl/>
          <w:lang w:bidi="ar-EG"/>
        </w:rPr>
        <w:t xml:space="preserve"> </w:t>
      </w:r>
      <w:r w:rsidR="00C9188E" w:rsidRPr="00892B96">
        <w:rPr>
          <w:rFonts w:hint="cs"/>
          <w:rtl/>
          <w:lang w:bidi="ar-EG"/>
        </w:rPr>
        <w:t>الاختياري،</w:t>
      </w:r>
      <w:r w:rsidR="00C9188E" w:rsidRPr="00892B96">
        <w:rPr>
          <w:rtl/>
          <w:lang w:bidi="ar-EG"/>
        </w:rPr>
        <w:t xml:space="preserve"> </w:t>
      </w:r>
      <w:r w:rsidR="00C9188E" w:rsidRPr="00892B96">
        <w:rPr>
          <w:rFonts w:hint="cs"/>
          <w:rtl/>
          <w:lang w:bidi="ar-EG"/>
        </w:rPr>
        <w:t>ترى</w:t>
      </w:r>
      <w:r w:rsidR="00C9188E" w:rsidRPr="00892B96">
        <w:rPr>
          <w:rtl/>
          <w:lang w:bidi="ar-EG"/>
        </w:rPr>
        <w:t xml:space="preserve"> </w:t>
      </w:r>
      <w:r w:rsidR="00C9188E" w:rsidRPr="00892B96">
        <w:rPr>
          <w:rFonts w:hint="cs"/>
          <w:rtl/>
          <w:lang w:bidi="ar-EG"/>
        </w:rPr>
        <w:t>أن</w:t>
      </w:r>
      <w:r w:rsidR="00C9188E" w:rsidRPr="00892B96">
        <w:rPr>
          <w:rtl/>
          <w:lang w:bidi="ar-EG"/>
        </w:rPr>
        <w:t xml:space="preserve"> </w:t>
      </w:r>
      <w:r w:rsidR="00C9188E" w:rsidRPr="00892B96">
        <w:rPr>
          <w:rFonts w:hint="cs"/>
          <w:rtl/>
          <w:lang w:bidi="ar-EG"/>
        </w:rPr>
        <w:t>الوقائع</w:t>
      </w:r>
      <w:r w:rsidR="00C9188E" w:rsidRPr="00892B96">
        <w:rPr>
          <w:rtl/>
          <w:lang w:bidi="ar-EG"/>
        </w:rPr>
        <w:t xml:space="preserve"> </w:t>
      </w:r>
      <w:r w:rsidR="00C9188E" w:rsidRPr="00892B96">
        <w:rPr>
          <w:rFonts w:hint="cs"/>
          <w:rtl/>
          <w:lang w:bidi="ar-EG"/>
        </w:rPr>
        <w:t>المعروضة</w:t>
      </w:r>
      <w:r w:rsidR="00C9188E" w:rsidRPr="00892B96">
        <w:rPr>
          <w:rtl/>
          <w:lang w:bidi="ar-EG"/>
        </w:rPr>
        <w:t xml:space="preserve"> </w:t>
      </w:r>
      <w:r w:rsidR="00C9188E" w:rsidRPr="00892B96">
        <w:rPr>
          <w:rFonts w:hint="cs"/>
          <w:rtl/>
          <w:lang w:bidi="ar-EG"/>
        </w:rPr>
        <w:t>عليها</w:t>
      </w:r>
      <w:r w:rsidR="00C9188E" w:rsidRPr="00892B96">
        <w:rPr>
          <w:rtl/>
          <w:lang w:bidi="ar-EG"/>
        </w:rPr>
        <w:t xml:space="preserve"> </w:t>
      </w:r>
      <w:r w:rsidR="00C9188E" w:rsidRPr="00892B96">
        <w:rPr>
          <w:rFonts w:hint="cs"/>
          <w:rtl/>
          <w:lang w:bidi="ar-EG"/>
        </w:rPr>
        <w:t>تكشف</w:t>
      </w:r>
      <w:r w:rsidR="00C9188E" w:rsidRPr="00892B96">
        <w:rPr>
          <w:rtl/>
          <w:lang w:bidi="ar-EG"/>
        </w:rPr>
        <w:t xml:space="preserve"> </w:t>
      </w:r>
      <w:r w:rsidR="00C9188E" w:rsidRPr="00892B96">
        <w:rPr>
          <w:rFonts w:hint="cs"/>
          <w:rtl/>
          <w:lang w:bidi="ar-EG"/>
        </w:rPr>
        <w:t>عن</w:t>
      </w:r>
      <w:r w:rsidR="00C9188E" w:rsidRPr="00892B96">
        <w:rPr>
          <w:rtl/>
          <w:lang w:bidi="ar-EG"/>
        </w:rPr>
        <w:t xml:space="preserve"> </w:t>
      </w:r>
      <w:r w:rsidR="00C9188E" w:rsidRPr="00892B96">
        <w:rPr>
          <w:rFonts w:hint="cs"/>
          <w:rtl/>
          <w:lang w:bidi="ar-EG"/>
        </w:rPr>
        <w:t>انتهاك</w:t>
      </w:r>
      <w:r w:rsidR="00C9188E" w:rsidRPr="00892B96">
        <w:rPr>
          <w:rtl/>
          <w:lang w:bidi="ar-EG"/>
        </w:rPr>
        <w:t xml:space="preserve"> </w:t>
      </w:r>
      <w:r w:rsidR="00C9188E" w:rsidRPr="00892B96">
        <w:rPr>
          <w:rFonts w:hint="cs"/>
          <w:rtl/>
          <w:lang w:bidi="ar-EG"/>
        </w:rPr>
        <w:t>الدولة</w:t>
      </w:r>
      <w:r w:rsidR="00C9188E" w:rsidRPr="00892B96">
        <w:rPr>
          <w:rtl/>
          <w:lang w:bidi="ar-EG"/>
        </w:rPr>
        <w:t xml:space="preserve"> </w:t>
      </w:r>
      <w:r w:rsidR="00C9188E" w:rsidRPr="00892B96">
        <w:rPr>
          <w:rFonts w:hint="cs"/>
          <w:rtl/>
          <w:lang w:bidi="ar-EG"/>
        </w:rPr>
        <w:t>الطرف</w:t>
      </w:r>
      <w:r w:rsidR="00C9188E" w:rsidRPr="00892B96">
        <w:rPr>
          <w:rtl/>
          <w:lang w:bidi="ar-EG"/>
        </w:rPr>
        <w:t xml:space="preserve"> </w:t>
      </w:r>
      <w:r w:rsidR="00C9188E">
        <w:rPr>
          <w:rFonts w:hint="cs"/>
          <w:rtl/>
          <w:lang w:bidi="ar-EG"/>
        </w:rPr>
        <w:t>للمادتين 17 و26</w:t>
      </w:r>
      <w:r w:rsidR="00AB6F98">
        <w:rPr>
          <w:rFonts w:hint="cs"/>
          <w:rtl/>
          <w:lang w:bidi="ar-EG"/>
        </w:rPr>
        <w:t xml:space="preserve"> </w:t>
      </w:r>
      <w:r w:rsidR="00C9188E" w:rsidRPr="00892B96">
        <w:rPr>
          <w:rFonts w:hint="cs"/>
          <w:rtl/>
          <w:lang w:bidi="ar-EG"/>
        </w:rPr>
        <w:t>من</w:t>
      </w:r>
      <w:r w:rsidR="00C9188E" w:rsidRPr="00892B96">
        <w:rPr>
          <w:rtl/>
          <w:lang w:bidi="ar-EG"/>
        </w:rPr>
        <w:t xml:space="preserve"> </w:t>
      </w:r>
      <w:r w:rsidR="00C9188E" w:rsidRPr="00892B96">
        <w:rPr>
          <w:rFonts w:hint="cs"/>
          <w:rtl/>
          <w:lang w:bidi="ar-EG"/>
        </w:rPr>
        <w:t>العهد</w:t>
      </w:r>
      <w:r w:rsidR="00C9188E">
        <w:rPr>
          <w:rFonts w:hint="cs"/>
          <w:rtl/>
          <w:lang w:bidi="ar-EG"/>
        </w:rPr>
        <w:t>.</w:t>
      </w:r>
    </w:p>
    <w:p w:rsidR="00C9188E" w:rsidRPr="00D030E6" w:rsidRDefault="000916D0" w:rsidP="000916D0">
      <w:pPr>
        <w:pStyle w:val="SingleTxtGA"/>
        <w:rPr>
          <w:spacing w:val="-2"/>
          <w:rtl/>
          <w:lang w:bidi="ar-EG"/>
        </w:rPr>
      </w:pPr>
      <w:r w:rsidRPr="00D030E6">
        <w:rPr>
          <w:rFonts w:hint="cs"/>
          <w:spacing w:val="-2"/>
          <w:rtl/>
          <w:lang w:bidi="ar-EG"/>
        </w:rPr>
        <w:t>9-</w:t>
      </w:r>
      <w:r w:rsidRPr="00D030E6">
        <w:rPr>
          <w:spacing w:val="-2"/>
          <w:rtl/>
          <w:lang w:bidi="ar-EG"/>
        </w:rPr>
        <w:tab/>
      </w:r>
      <w:r w:rsidR="00C9188E" w:rsidRPr="00D030E6">
        <w:rPr>
          <w:rFonts w:hint="cs"/>
          <w:spacing w:val="-2"/>
          <w:rtl/>
          <w:lang w:bidi="ar-EG"/>
        </w:rPr>
        <w:t>ووفقاً</w:t>
      </w:r>
      <w:r w:rsidR="00C9188E" w:rsidRPr="00D030E6">
        <w:rPr>
          <w:spacing w:val="-2"/>
          <w:rtl/>
          <w:lang w:bidi="ar-EG"/>
        </w:rPr>
        <w:t xml:space="preserve"> </w:t>
      </w:r>
      <w:r w:rsidR="00C9188E" w:rsidRPr="00D030E6">
        <w:rPr>
          <w:rFonts w:hint="cs"/>
          <w:spacing w:val="-2"/>
          <w:rtl/>
          <w:lang w:bidi="ar-EG"/>
        </w:rPr>
        <w:t>لأحكام</w:t>
      </w:r>
      <w:r w:rsidR="00C9188E" w:rsidRPr="00D030E6">
        <w:rPr>
          <w:spacing w:val="-2"/>
          <w:rtl/>
          <w:lang w:bidi="ar-EG"/>
        </w:rPr>
        <w:t xml:space="preserve"> </w:t>
      </w:r>
      <w:r w:rsidR="00C9188E" w:rsidRPr="00D030E6">
        <w:rPr>
          <w:rFonts w:hint="cs"/>
          <w:spacing w:val="-2"/>
          <w:rtl/>
          <w:lang w:bidi="ar-EG"/>
        </w:rPr>
        <w:t>الفقرة</w:t>
      </w:r>
      <w:r w:rsidR="00C9188E" w:rsidRPr="00D030E6">
        <w:rPr>
          <w:spacing w:val="-2"/>
          <w:rtl/>
          <w:lang w:bidi="ar-EG"/>
        </w:rPr>
        <w:t xml:space="preserve"> 3(</w:t>
      </w:r>
      <w:r w:rsidR="00C9188E" w:rsidRPr="00D030E6">
        <w:rPr>
          <w:rFonts w:hint="cs"/>
          <w:spacing w:val="-2"/>
          <w:rtl/>
          <w:lang w:bidi="ar-EG"/>
        </w:rPr>
        <w:t>أ</w:t>
      </w:r>
      <w:r w:rsidR="00C9188E" w:rsidRPr="00D030E6">
        <w:rPr>
          <w:spacing w:val="-2"/>
          <w:rtl/>
          <w:lang w:bidi="ar-EG"/>
        </w:rPr>
        <w:t xml:space="preserve">) </w:t>
      </w:r>
      <w:r w:rsidR="00C9188E" w:rsidRPr="00D030E6">
        <w:rPr>
          <w:rFonts w:hint="cs"/>
          <w:spacing w:val="-2"/>
          <w:rtl/>
          <w:lang w:bidi="ar-EG"/>
        </w:rPr>
        <w:t>من</w:t>
      </w:r>
      <w:r w:rsidR="00C9188E" w:rsidRPr="00D030E6">
        <w:rPr>
          <w:spacing w:val="-2"/>
          <w:rtl/>
          <w:lang w:bidi="ar-EG"/>
        </w:rPr>
        <w:t xml:space="preserve"> </w:t>
      </w:r>
      <w:r w:rsidR="00C9188E" w:rsidRPr="00D030E6">
        <w:rPr>
          <w:rFonts w:hint="cs"/>
          <w:spacing w:val="-2"/>
          <w:rtl/>
          <w:lang w:bidi="ar-EG"/>
        </w:rPr>
        <w:t>المادة</w:t>
      </w:r>
      <w:r w:rsidR="00C9188E" w:rsidRPr="00D030E6">
        <w:rPr>
          <w:spacing w:val="-2"/>
          <w:rtl/>
          <w:lang w:bidi="ar-EG"/>
        </w:rPr>
        <w:t xml:space="preserve"> 2 </w:t>
      </w:r>
      <w:r w:rsidR="00C9188E" w:rsidRPr="00D030E6">
        <w:rPr>
          <w:rFonts w:hint="cs"/>
          <w:spacing w:val="-2"/>
          <w:rtl/>
          <w:lang w:bidi="ar-EG"/>
        </w:rPr>
        <w:t>من</w:t>
      </w:r>
      <w:r w:rsidR="00C9188E" w:rsidRPr="00D030E6">
        <w:rPr>
          <w:spacing w:val="-2"/>
          <w:rtl/>
          <w:lang w:bidi="ar-EG"/>
        </w:rPr>
        <w:t xml:space="preserve"> </w:t>
      </w:r>
      <w:r w:rsidR="00C9188E" w:rsidRPr="00D030E6">
        <w:rPr>
          <w:rFonts w:hint="cs"/>
          <w:spacing w:val="-2"/>
          <w:rtl/>
          <w:lang w:bidi="ar-EG"/>
        </w:rPr>
        <w:t>العهد،</w:t>
      </w:r>
      <w:r w:rsidR="00C9188E" w:rsidRPr="00D030E6">
        <w:rPr>
          <w:spacing w:val="-2"/>
          <w:rtl/>
          <w:lang w:bidi="ar-EG"/>
        </w:rPr>
        <w:t xml:space="preserve"> </w:t>
      </w:r>
      <w:r w:rsidR="00C9188E" w:rsidRPr="00D030E6">
        <w:rPr>
          <w:rFonts w:hint="cs"/>
          <w:spacing w:val="-2"/>
          <w:rtl/>
          <w:lang w:bidi="ar-EG"/>
        </w:rPr>
        <w:t>فإن</w:t>
      </w:r>
      <w:r w:rsidR="00C9188E" w:rsidRPr="00D030E6">
        <w:rPr>
          <w:spacing w:val="-2"/>
          <w:rtl/>
          <w:lang w:bidi="ar-EG"/>
        </w:rPr>
        <w:t xml:space="preserve"> </w:t>
      </w:r>
      <w:r w:rsidR="00C9188E" w:rsidRPr="00D030E6">
        <w:rPr>
          <w:rFonts w:hint="cs"/>
          <w:spacing w:val="-2"/>
          <w:rtl/>
          <w:lang w:bidi="ar-EG"/>
        </w:rPr>
        <w:t>الدولة</w:t>
      </w:r>
      <w:r w:rsidR="00C9188E" w:rsidRPr="00D030E6">
        <w:rPr>
          <w:spacing w:val="-2"/>
          <w:rtl/>
          <w:lang w:bidi="ar-EG"/>
        </w:rPr>
        <w:t xml:space="preserve"> </w:t>
      </w:r>
      <w:r w:rsidR="00C9188E" w:rsidRPr="00D030E6">
        <w:rPr>
          <w:rFonts w:hint="cs"/>
          <w:spacing w:val="-2"/>
          <w:rtl/>
          <w:lang w:bidi="ar-EG"/>
        </w:rPr>
        <w:t>الطرف</w:t>
      </w:r>
      <w:r w:rsidR="00C9188E" w:rsidRPr="00D030E6">
        <w:rPr>
          <w:spacing w:val="-2"/>
          <w:rtl/>
          <w:lang w:bidi="ar-EG"/>
        </w:rPr>
        <w:t xml:space="preserve"> </w:t>
      </w:r>
      <w:r w:rsidR="00C9188E" w:rsidRPr="00D030E6">
        <w:rPr>
          <w:rFonts w:hint="cs"/>
          <w:spacing w:val="-2"/>
          <w:rtl/>
          <w:lang w:bidi="ar-EG"/>
        </w:rPr>
        <w:t>ملزمة</w:t>
      </w:r>
      <w:r w:rsidR="00C9188E" w:rsidRPr="00D030E6">
        <w:rPr>
          <w:spacing w:val="-2"/>
          <w:rtl/>
          <w:lang w:bidi="ar-EG"/>
        </w:rPr>
        <w:t xml:space="preserve"> </w:t>
      </w:r>
      <w:r w:rsidR="00C9188E" w:rsidRPr="00D030E6">
        <w:rPr>
          <w:rFonts w:hint="cs"/>
          <w:spacing w:val="-2"/>
          <w:rtl/>
          <w:lang w:bidi="ar-EG"/>
        </w:rPr>
        <w:t>بإتاحة سبيل انتصاف فعال لصاحبة</w:t>
      </w:r>
      <w:r w:rsidR="00C9188E" w:rsidRPr="00D030E6">
        <w:rPr>
          <w:spacing w:val="-2"/>
          <w:rtl/>
          <w:lang w:bidi="ar-EG"/>
        </w:rPr>
        <w:t xml:space="preserve"> </w:t>
      </w:r>
      <w:r w:rsidR="00C9188E" w:rsidRPr="00D030E6">
        <w:rPr>
          <w:rFonts w:hint="cs"/>
          <w:spacing w:val="-2"/>
          <w:rtl/>
          <w:lang w:bidi="ar-EG"/>
        </w:rPr>
        <w:t>البلاغ</w:t>
      </w:r>
      <w:r w:rsidR="00C9188E" w:rsidRPr="00D030E6">
        <w:rPr>
          <w:spacing w:val="-2"/>
          <w:rtl/>
          <w:lang w:bidi="ar-EG"/>
        </w:rPr>
        <w:t>.</w:t>
      </w:r>
      <w:r w:rsidR="00C9188E" w:rsidRPr="00D030E6">
        <w:rPr>
          <w:rFonts w:hint="cs"/>
          <w:spacing w:val="-2"/>
          <w:rtl/>
          <w:lang w:bidi="ar-EG"/>
        </w:rPr>
        <w:t xml:space="preserve"> وهذا</w:t>
      </w:r>
      <w:r w:rsidR="00C9188E" w:rsidRPr="00D030E6">
        <w:rPr>
          <w:spacing w:val="-2"/>
          <w:rtl/>
          <w:lang w:bidi="ar-EG"/>
        </w:rPr>
        <w:t xml:space="preserve"> </w:t>
      </w:r>
      <w:r w:rsidR="00C9188E" w:rsidRPr="00D030E6">
        <w:rPr>
          <w:rFonts w:hint="cs"/>
          <w:spacing w:val="-2"/>
          <w:rtl/>
          <w:lang w:bidi="ar-EG"/>
        </w:rPr>
        <w:t>يتطلب منها</w:t>
      </w:r>
      <w:r w:rsidR="00C9188E" w:rsidRPr="00D030E6">
        <w:rPr>
          <w:spacing w:val="-2"/>
          <w:rtl/>
          <w:lang w:bidi="ar-EG"/>
        </w:rPr>
        <w:t xml:space="preserve"> </w:t>
      </w:r>
      <w:r w:rsidR="00C9188E" w:rsidRPr="00D030E6">
        <w:rPr>
          <w:rFonts w:hint="cs"/>
          <w:spacing w:val="-2"/>
          <w:rtl/>
          <w:lang w:bidi="ar-EG"/>
        </w:rPr>
        <w:t>تقديم</w:t>
      </w:r>
      <w:r w:rsidR="00C9188E" w:rsidRPr="00D030E6">
        <w:rPr>
          <w:spacing w:val="-2"/>
          <w:rtl/>
          <w:lang w:bidi="ar-EG"/>
        </w:rPr>
        <w:t xml:space="preserve"> </w:t>
      </w:r>
      <w:r w:rsidR="00C9188E" w:rsidRPr="00D030E6">
        <w:rPr>
          <w:rFonts w:hint="cs"/>
          <w:spacing w:val="-2"/>
          <w:rtl/>
          <w:lang w:bidi="ar-EG"/>
        </w:rPr>
        <w:t>تعويض</w:t>
      </w:r>
      <w:r w:rsidR="00C9188E" w:rsidRPr="00D030E6">
        <w:rPr>
          <w:spacing w:val="-2"/>
          <w:rtl/>
          <w:lang w:bidi="ar-EG"/>
        </w:rPr>
        <w:t xml:space="preserve"> </w:t>
      </w:r>
      <w:r w:rsidR="00C9188E" w:rsidRPr="00D030E6">
        <w:rPr>
          <w:rFonts w:hint="cs"/>
          <w:spacing w:val="-2"/>
          <w:rtl/>
          <w:lang w:bidi="ar-EG"/>
        </w:rPr>
        <w:t>كامل</w:t>
      </w:r>
      <w:r w:rsidR="00C9188E" w:rsidRPr="00D030E6">
        <w:rPr>
          <w:spacing w:val="-2"/>
          <w:rtl/>
          <w:lang w:bidi="ar-EG"/>
        </w:rPr>
        <w:t xml:space="preserve"> </w:t>
      </w:r>
      <w:r w:rsidR="00C9188E" w:rsidRPr="00D030E6">
        <w:rPr>
          <w:rFonts w:hint="cs"/>
          <w:spacing w:val="-2"/>
          <w:rtl/>
          <w:lang w:bidi="ar-EG"/>
        </w:rPr>
        <w:t>للأفراد</w:t>
      </w:r>
      <w:r w:rsidR="00C9188E" w:rsidRPr="00D030E6">
        <w:rPr>
          <w:spacing w:val="-2"/>
          <w:rtl/>
          <w:lang w:bidi="ar-EG"/>
        </w:rPr>
        <w:t xml:space="preserve"> </w:t>
      </w:r>
      <w:r w:rsidR="00C9188E" w:rsidRPr="00D030E6">
        <w:rPr>
          <w:rFonts w:hint="cs"/>
          <w:spacing w:val="-2"/>
          <w:rtl/>
          <w:lang w:bidi="ar-EG"/>
        </w:rPr>
        <w:t>الذين</w:t>
      </w:r>
      <w:r w:rsidR="00C9188E" w:rsidRPr="00D030E6">
        <w:rPr>
          <w:spacing w:val="-2"/>
          <w:rtl/>
          <w:lang w:bidi="ar-EG"/>
        </w:rPr>
        <w:t xml:space="preserve"> </w:t>
      </w:r>
      <w:r w:rsidR="00C9188E" w:rsidRPr="00D030E6">
        <w:rPr>
          <w:rFonts w:hint="cs"/>
          <w:spacing w:val="-2"/>
          <w:rtl/>
          <w:lang w:bidi="ar-EG"/>
        </w:rPr>
        <w:t>انتهكت</w:t>
      </w:r>
      <w:r w:rsidR="00C9188E" w:rsidRPr="00D030E6">
        <w:rPr>
          <w:spacing w:val="-2"/>
          <w:rtl/>
          <w:lang w:bidi="ar-EG"/>
        </w:rPr>
        <w:t xml:space="preserve"> </w:t>
      </w:r>
      <w:r w:rsidR="00C9188E" w:rsidRPr="00D030E6">
        <w:rPr>
          <w:rFonts w:hint="cs"/>
          <w:spacing w:val="-2"/>
          <w:rtl/>
          <w:lang w:bidi="ar-EG"/>
        </w:rPr>
        <w:t>حقوقهم</w:t>
      </w:r>
      <w:r w:rsidR="00C9188E" w:rsidRPr="00D030E6">
        <w:rPr>
          <w:spacing w:val="-2"/>
          <w:rtl/>
          <w:lang w:bidi="ar-EG"/>
        </w:rPr>
        <w:t xml:space="preserve"> </w:t>
      </w:r>
      <w:r w:rsidR="00C9188E" w:rsidRPr="00D030E6">
        <w:rPr>
          <w:rFonts w:hint="cs"/>
          <w:spacing w:val="-2"/>
          <w:rtl/>
          <w:lang w:bidi="ar-EG"/>
        </w:rPr>
        <w:t>المكفولة</w:t>
      </w:r>
      <w:r w:rsidR="00C9188E" w:rsidRPr="00D030E6">
        <w:rPr>
          <w:spacing w:val="-2"/>
          <w:rtl/>
          <w:lang w:bidi="ar-EG"/>
        </w:rPr>
        <w:t xml:space="preserve"> </w:t>
      </w:r>
      <w:r w:rsidR="00C9188E" w:rsidRPr="00D030E6">
        <w:rPr>
          <w:rFonts w:hint="cs"/>
          <w:spacing w:val="-2"/>
          <w:rtl/>
          <w:lang w:bidi="ar-EG"/>
        </w:rPr>
        <w:t>بموجب</w:t>
      </w:r>
      <w:r w:rsidR="00C9188E" w:rsidRPr="00D030E6">
        <w:rPr>
          <w:spacing w:val="-2"/>
          <w:rtl/>
          <w:lang w:bidi="ar-EG"/>
        </w:rPr>
        <w:t xml:space="preserve"> </w:t>
      </w:r>
      <w:r w:rsidR="00C9188E" w:rsidRPr="00D030E6">
        <w:rPr>
          <w:rFonts w:hint="cs"/>
          <w:spacing w:val="-2"/>
          <w:rtl/>
          <w:lang w:bidi="ar-EG"/>
        </w:rPr>
        <w:t>العهد. وبناء</w:t>
      </w:r>
      <w:r w:rsidR="00C9188E" w:rsidRPr="00D030E6">
        <w:rPr>
          <w:spacing w:val="-2"/>
          <w:rtl/>
          <w:lang w:bidi="ar-EG"/>
        </w:rPr>
        <w:t xml:space="preserve"> </w:t>
      </w:r>
      <w:r w:rsidR="00C9188E" w:rsidRPr="00D030E6">
        <w:rPr>
          <w:rFonts w:hint="cs"/>
          <w:spacing w:val="-2"/>
          <w:rtl/>
          <w:lang w:bidi="ar-EG"/>
        </w:rPr>
        <w:t>على</w:t>
      </w:r>
      <w:r w:rsidR="00C9188E" w:rsidRPr="00D030E6">
        <w:rPr>
          <w:spacing w:val="-2"/>
          <w:rtl/>
          <w:lang w:bidi="ar-EG"/>
        </w:rPr>
        <w:t xml:space="preserve"> </w:t>
      </w:r>
      <w:r w:rsidR="00C9188E" w:rsidRPr="00D030E6">
        <w:rPr>
          <w:rFonts w:hint="cs"/>
          <w:spacing w:val="-2"/>
          <w:rtl/>
          <w:lang w:bidi="ar-EG"/>
        </w:rPr>
        <w:t>ذلك،</w:t>
      </w:r>
      <w:r w:rsidR="00C9188E" w:rsidRPr="00D030E6">
        <w:rPr>
          <w:spacing w:val="-2"/>
          <w:rtl/>
          <w:lang w:bidi="ar-EG"/>
        </w:rPr>
        <w:t xml:space="preserve"> </w:t>
      </w:r>
      <w:r w:rsidR="00C9188E" w:rsidRPr="00D030E6">
        <w:rPr>
          <w:rFonts w:hint="cs"/>
          <w:spacing w:val="-2"/>
          <w:rtl/>
          <w:lang w:bidi="ar-EG"/>
        </w:rPr>
        <w:t>فإن</w:t>
      </w:r>
      <w:r w:rsidR="00C9188E" w:rsidRPr="00D030E6">
        <w:rPr>
          <w:spacing w:val="-2"/>
          <w:rtl/>
          <w:lang w:bidi="ar-EG"/>
        </w:rPr>
        <w:t xml:space="preserve"> </w:t>
      </w:r>
      <w:r w:rsidR="00C9188E" w:rsidRPr="00D030E6">
        <w:rPr>
          <w:rFonts w:hint="cs"/>
          <w:spacing w:val="-2"/>
          <w:rtl/>
          <w:lang w:bidi="ar-EG"/>
        </w:rPr>
        <w:t>الدولة</w:t>
      </w:r>
      <w:r w:rsidR="00C9188E" w:rsidRPr="00D030E6">
        <w:rPr>
          <w:spacing w:val="-2"/>
          <w:rtl/>
          <w:lang w:bidi="ar-EG"/>
        </w:rPr>
        <w:t xml:space="preserve"> </w:t>
      </w:r>
      <w:r w:rsidR="00C9188E" w:rsidRPr="00D030E6">
        <w:rPr>
          <w:rFonts w:hint="cs"/>
          <w:spacing w:val="-2"/>
          <w:rtl/>
          <w:lang w:bidi="ar-EG"/>
        </w:rPr>
        <w:t>الطرف</w:t>
      </w:r>
      <w:r w:rsidR="00C9188E" w:rsidRPr="00D030E6">
        <w:rPr>
          <w:spacing w:val="-2"/>
          <w:rtl/>
          <w:lang w:bidi="ar-EG"/>
        </w:rPr>
        <w:t xml:space="preserve"> </w:t>
      </w:r>
      <w:r w:rsidR="00C9188E" w:rsidRPr="00D030E6">
        <w:rPr>
          <w:rFonts w:hint="cs"/>
          <w:spacing w:val="-2"/>
          <w:rtl/>
          <w:lang w:bidi="ar-EG"/>
        </w:rPr>
        <w:t>ملزمة،</w:t>
      </w:r>
      <w:r w:rsidR="00C9188E" w:rsidRPr="00D030E6">
        <w:rPr>
          <w:spacing w:val="-2"/>
          <w:rtl/>
          <w:lang w:bidi="ar-EG"/>
        </w:rPr>
        <w:t xml:space="preserve"> </w:t>
      </w:r>
      <w:r w:rsidR="00C9188E" w:rsidRPr="00D030E6">
        <w:rPr>
          <w:rFonts w:hint="cs"/>
          <w:spacing w:val="-2"/>
          <w:rtl/>
          <w:lang w:bidi="ar-EG"/>
        </w:rPr>
        <w:t>ضمن</w:t>
      </w:r>
      <w:r w:rsidR="00C9188E" w:rsidRPr="00D030E6">
        <w:rPr>
          <w:spacing w:val="-2"/>
          <w:rtl/>
          <w:lang w:bidi="ar-EG"/>
        </w:rPr>
        <w:t xml:space="preserve"> </w:t>
      </w:r>
      <w:r w:rsidR="00C9188E" w:rsidRPr="00D030E6">
        <w:rPr>
          <w:rFonts w:hint="cs"/>
          <w:spacing w:val="-2"/>
          <w:rtl/>
          <w:lang w:bidi="ar-EG"/>
        </w:rPr>
        <w:t>أمور أخرى،</w:t>
      </w:r>
      <w:r w:rsidR="00C9188E" w:rsidRPr="00D030E6">
        <w:rPr>
          <w:spacing w:val="-2"/>
          <w:rtl/>
          <w:lang w:bidi="ar-EG"/>
        </w:rPr>
        <w:t xml:space="preserve"> </w:t>
      </w:r>
      <w:r w:rsidR="00C9188E" w:rsidRPr="00D030E6">
        <w:rPr>
          <w:rFonts w:hint="cs"/>
          <w:spacing w:val="-2"/>
          <w:rtl/>
          <w:lang w:bidi="ar-EG"/>
        </w:rPr>
        <w:t>بأن</w:t>
      </w:r>
      <w:r w:rsidR="00C9188E" w:rsidRPr="00D030E6">
        <w:rPr>
          <w:spacing w:val="-2"/>
          <w:rtl/>
          <w:lang w:bidi="ar-EG"/>
        </w:rPr>
        <w:t xml:space="preserve"> </w:t>
      </w:r>
      <w:r w:rsidR="00C9188E" w:rsidRPr="00D030E6">
        <w:rPr>
          <w:rFonts w:hint="cs"/>
          <w:spacing w:val="-2"/>
          <w:rtl/>
          <w:lang w:bidi="ar-EG"/>
        </w:rPr>
        <w:t>تزود</w:t>
      </w:r>
      <w:r w:rsidR="00C9188E" w:rsidRPr="00D030E6">
        <w:rPr>
          <w:spacing w:val="-2"/>
          <w:rtl/>
          <w:lang w:bidi="ar-EG"/>
        </w:rPr>
        <w:t xml:space="preserve"> </w:t>
      </w:r>
      <w:r w:rsidR="00C9188E" w:rsidRPr="00D030E6">
        <w:rPr>
          <w:rFonts w:hint="cs"/>
          <w:spacing w:val="-2"/>
          <w:rtl/>
          <w:lang w:bidi="ar-EG"/>
        </w:rPr>
        <w:t>صاحبة</w:t>
      </w:r>
      <w:r w:rsidR="00C9188E" w:rsidRPr="00D030E6">
        <w:rPr>
          <w:spacing w:val="-2"/>
          <w:rtl/>
          <w:lang w:bidi="ar-EG"/>
        </w:rPr>
        <w:t xml:space="preserve"> </w:t>
      </w:r>
      <w:r w:rsidR="00C9188E" w:rsidRPr="00D030E6">
        <w:rPr>
          <w:rFonts w:hint="cs"/>
          <w:spacing w:val="-2"/>
          <w:rtl/>
          <w:lang w:bidi="ar-EG"/>
        </w:rPr>
        <w:t>البلاغ</w:t>
      </w:r>
      <w:r w:rsidR="00C9188E" w:rsidRPr="00D030E6">
        <w:rPr>
          <w:spacing w:val="-2"/>
          <w:rtl/>
          <w:lang w:bidi="ar-EG"/>
        </w:rPr>
        <w:t xml:space="preserve"> </w:t>
      </w:r>
      <w:r w:rsidR="00C9188E" w:rsidRPr="00D030E6">
        <w:rPr>
          <w:rFonts w:hint="cs"/>
          <w:spacing w:val="-2"/>
          <w:rtl/>
          <w:lang w:bidi="ar-EG"/>
        </w:rPr>
        <w:t>بشهادة</w:t>
      </w:r>
      <w:r w:rsidR="00C9188E" w:rsidRPr="00D030E6">
        <w:rPr>
          <w:spacing w:val="-2"/>
          <w:rtl/>
          <w:lang w:bidi="ar-EG"/>
        </w:rPr>
        <w:t xml:space="preserve"> </w:t>
      </w:r>
      <w:r w:rsidR="00C9188E" w:rsidRPr="00D030E6">
        <w:rPr>
          <w:rFonts w:hint="cs"/>
          <w:spacing w:val="-2"/>
          <w:rtl/>
          <w:lang w:bidi="ar-EG"/>
        </w:rPr>
        <w:t>ميلاد</w:t>
      </w:r>
      <w:r w:rsidR="00C9188E" w:rsidRPr="00D030E6">
        <w:rPr>
          <w:spacing w:val="-2"/>
          <w:rtl/>
          <w:lang w:bidi="ar-EG"/>
        </w:rPr>
        <w:t xml:space="preserve"> </w:t>
      </w:r>
      <w:r w:rsidR="00C9188E" w:rsidRPr="00D030E6">
        <w:rPr>
          <w:rFonts w:hint="cs"/>
          <w:spacing w:val="-2"/>
          <w:rtl/>
          <w:lang w:bidi="ar-EG"/>
        </w:rPr>
        <w:t>تتسق مع نوع جنسها</w:t>
      </w:r>
      <w:r w:rsidR="00C9188E" w:rsidRPr="00D030E6">
        <w:rPr>
          <w:spacing w:val="-2"/>
          <w:rtl/>
          <w:lang w:bidi="ar-EG"/>
        </w:rPr>
        <w:t>.</w:t>
      </w:r>
      <w:r w:rsidR="00C9188E" w:rsidRPr="00D030E6">
        <w:rPr>
          <w:rFonts w:hint="cs"/>
          <w:spacing w:val="-2"/>
          <w:rtl/>
          <w:lang w:bidi="ar-EG"/>
        </w:rPr>
        <w:t xml:space="preserve"> والدولة</w:t>
      </w:r>
      <w:r w:rsidR="00C9188E" w:rsidRPr="00D030E6">
        <w:rPr>
          <w:spacing w:val="-2"/>
          <w:rtl/>
          <w:lang w:bidi="ar-EG"/>
        </w:rPr>
        <w:t xml:space="preserve"> </w:t>
      </w:r>
      <w:r w:rsidR="00C9188E" w:rsidRPr="00D030E6">
        <w:rPr>
          <w:rFonts w:hint="cs"/>
          <w:spacing w:val="-2"/>
          <w:rtl/>
          <w:lang w:bidi="ar-EG"/>
        </w:rPr>
        <w:t>الطرف</w:t>
      </w:r>
      <w:r w:rsidR="00C9188E" w:rsidRPr="00D030E6">
        <w:rPr>
          <w:spacing w:val="-2"/>
          <w:rtl/>
          <w:lang w:bidi="ar-EG"/>
        </w:rPr>
        <w:t xml:space="preserve"> </w:t>
      </w:r>
      <w:r w:rsidR="00C9188E" w:rsidRPr="00D030E6">
        <w:rPr>
          <w:rFonts w:hint="cs"/>
          <w:spacing w:val="-2"/>
          <w:rtl/>
          <w:lang w:bidi="ar-EG"/>
        </w:rPr>
        <w:t>ملزمة</w:t>
      </w:r>
      <w:r w:rsidR="00C9188E" w:rsidRPr="00D030E6">
        <w:rPr>
          <w:spacing w:val="-2"/>
          <w:rtl/>
          <w:lang w:bidi="ar-EG"/>
        </w:rPr>
        <w:t xml:space="preserve"> </w:t>
      </w:r>
      <w:r w:rsidR="002634C6" w:rsidRPr="00D030E6">
        <w:rPr>
          <w:rFonts w:hint="cs"/>
          <w:spacing w:val="-2"/>
          <w:rtl/>
          <w:lang w:bidi="ar-EG"/>
        </w:rPr>
        <w:t>أيضاً</w:t>
      </w:r>
      <w:r w:rsidR="00C9188E" w:rsidRPr="00D030E6">
        <w:rPr>
          <w:spacing w:val="-2"/>
          <w:rtl/>
          <w:lang w:bidi="ar-EG"/>
        </w:rPr>
        <w:t xml:space="preserve"> </w:t>
      </w:r>
      <w:r w:rsidR="00C9188E" w:rsidRPr="00D030E6">
        <w:rPr>
          <w:rFonts w:hint="cs"/>
          <w:spacing w:val="-2"/>
          <w:rtl/>
          <w:lang w:bidi="ar-EG"/>
        </w:rPr>
        <w:t>بمنع</w:t>
      </w:r>
      <w:r w:rsidR="00C9188E" w:rsidRPr="00D030E6">
        <w:rPr>
          <w:spacing w:val="-2"/>
          <w:rtl/>
          <w:lang w:bidi="ar-EG"/>
        </w:rPr>
        <w:t xml:space="preserve"> </w:t>
      </w:r>
      <w:r w:rsidR="00C9188E" w:rsidRPr="00D030E6">
        <w:rPr>
          <w:rFonts w:hint="cs"/>
          <w:spacing w:val="-2"/>
          <w:rtl/>
          <w:lang w:bidi="ar-EG"/>
        </w:rPr>
        <w:t>حدوث</w:t>
      </w:r>
      <w:r w:rsidR="00C9188E" w:rsidRPr="00D030E6">
        <w:rPr>
          <w:spacing w:val="-2"/>
          <w:rtl/>
          <w:lang w:bidi="ar-EG"/>
        </w:rPr>
        <w:t xml:space="preserve"> </w:t>
      </w:r>
      <w:r w:rsidR="00C9188E" w:rsidRPr="00D030E6">
        <w:rPr>
          <w:rFonts w:hint="cs"/>
          <w:spacing w:val="-2"/>
          <w:rtl/>
          <w:lang w:bidi="ar-EG"/>
        </w:rPr>
        <w:t>انتهاكات</w:t>
      </w:r>
      <w:r w:rsidR="00C9188E" w:rsidRPr="00D030E6">
        <w:rPr>
          <w:spacing w:val="-2"/>
          <w:rtl/>
          <w:lang w:bidi="ar-EG"/>
        </w:rPr>
        <w:t xml:space="preserve"> </w:t>
      </w:r>
      <w:r w:rsidR="00C9188E" w:rsidRPr="00D030E6">
        <w:rPr>
          <w:rFonts w:hint="cs"/>
          <w:spacing w:val="-2"/>
          <w:rtl/>
          <w:lang w:bidi="ar-EG"/>
        </w:rPr>
        <w:t>مماثلة</w:t>
      </w:r>
      <w:r w:rsidR="00C9188E" w:rsidRPr="00D030E6">
        <w:rPr>
          <w:spacing w:val="-2"/>
          <w:rtl/>
          <w:lang w:bidi="ar-EG"/>
        </w:rPr>
        <w:t xml:space="preserve"> </w:t>
      </w:r>
      <w:r w:rsidR="00C9188E" w:rsidRPr="00D030E6">
        <w:rPr>
          <w:rFonts w:hint="cs"/>
          <w:spacing w:val="-2"/>
          <w:rtl/>
          <w:lang w:bidi="ar-EG"/>
        </w:rPr>
        <w:t>في</w:t>
      </w:r>
      <w:r w:rsidR="00C9188E" w:rsidRPr="00D030E6">
        <w:rPr>
          <w:spacing w:val="-2"/>
          <w:rtl/>
          <w:lang w:bidi="ar-EG"/>
        </w:rPr>
        <w:t xml:space="preserve"> </w:t>
      </w:r>
      <w:r w:rsidR="00C9188E" w:rsidRPr="00D030E6">
        <w:rPr>
          <w:rFonts w:hint="cs"/>
          <w:spacing w:val="-2"/>
          <w:rtl/>
          <w:lang w:bidi="ar-EG"/>
        </w:rPr>
        <w:t>المستقبل</w:t>
      </w:r>
      <w:r w:rsidR="00C9188E" w:rsidRPr="00D030E6">
        <w:rPr>
          <w:spacing w:val="-2"/>
          <w:rtl/>
          <w:lang w:bidi="ar-EG"/>
        </w:rPr>
        <w:t>.</w:t>
      </w:r>
      <w:r w:rsidR="00C9188E" w:rsidRPr="00D030E6">
        <w:rPr>
          <w:rFonts w:hint="cs"/>
          <w:spacing w:val="-2"/>
          <w:rtl/>
        </w:rPr>
        <w:t xml:space="preserve"> </w:t>
      </w:r>
      <w:r w:rsidR="00C9188E" w:rsidRPr="00D030E6">
        <w:rPr>
          <w:rFonts w:hint="cs"/>
          <w:spacing w:val="-2"/>
          <w:rtl/>
          <w:lang w:bidi="ar-EG"/>
        </w:rPr>
        <w:t>وفي</w:t>
      </w:r>
      <w:r w:rsidR="00C9188E" w:rsidRPr="00D030E6">
        <w:rPr>
          <w:spacing w:val="-2"/>
          <w:rtl/>
          <w:lang w:bidi="ar-EG"/>
        </w:rPr>
        <w:t xml:space="preserve"> </w:t>
      </w:r>
      <w:r w:rsidR="00C9188E" w:rsidRPr="00D030E6">
        <w:rPr>
          <w:rFonts w:hint="cs"/>
          <w:spacing w:val="-2"/>
          <w:rtl/>
          <w:lang w:bidi="ar-EG"/>
        </w:rPr>
        <w:t>هذا</w:t>
      </w:r>
      <w:r w:rsidR="00C9188E" w:rsidRPr="00D030E6">
        <w:rPr>
          <w:spacing w:val="-2"/>
          <w:rtl/>
          <w:lang w:bidi="ar-EG"/>
        </w:rPr>
        <w:t xml:space="preserve"> </w:t>
      </w:r>
      <w:r w:rsidR="00C9188E" w:rsidRPr="00D030E6">
        <w:rPr>
          <w:rFonts w:hint="cs"/>
          <w:spacing w:val="-2"/>
          <w:rtl/>
          <w:lang w:bidi="ar-EG"/>
        </w:rPr>
        <w:t>الصدد، ينبغي للدولة الطرف، بما</w:t>
      </w:r>
      <w:r w:rsidR="00C9188E" w:rsidRPr="00D030E6">
        <w:rPr>
          <w:spacing w:val="-2"/>
          <w:rtl/>
          <w:lang w:bidi="ar-EG"/>
        </w:rPr>
        <w:t xml:space="preserve"> </w:t>
      </w:r>
      <w:r w:rsidR="00C9188E" w:rsidRPr="00D030E6">
        <w:rPr>
          <w:rFonts w:hint="cs"/>
          <w:spacing w:val="-2"/>
          <w:rtl/>
          <w:lang w:bidi="ar-EG"/>
        </w:rPr>
        <w:t>يتسق</w:t>
      </w:r>
      <w:r w:rsidR="00C9188E" w:rsidRPr="00D030E6">
        <w:rPr>
          <w:spacing w:val="-2"/>
          <w:rtl/>
          <w:lang w:bidi="ar-EG"/>
        </w:rPr>
        <w:t xml:space="preserve"> </w:t>
      </w:r>
      <w:r w:rsidR="00C9188E" w:rsidRPr="00D030E6">
        <w:rPr>
          <w:rFonts w:hint="cs"/>
          <w:spacing w:val="-2"/>
          <w:rtl/>
          <w:lang w:bidi="ar-EG"/>
        </w:rPr>
        <w:t>مع</w:t>
      </w:r>
      <w:r w:rsidR="00C9188E" w:rsidRPr="00D030E6">
        <w:rPr>
          <w:spacing w:val="-2"/>
          <w:rtl/>
          <w:lang w:bidi="ar-EG"/>
        </w:rPr>
        <w:t xml:space="preserve"> </w:t>
      </w:r>
      <w:r w:rsidR="00C9188E" w:rsidRPr="00D030E6">
        <w:rPr>
          <w:rFonts w:hint="cs"/>
          <w:spacing w:val="-2"/>
          <w:rtl/>
          <w:lang w:bidi="ar-EG"/>
        </w:rPr>
        <w:t>التزاماتها</w:t>
      </w:r>
      <w:r w:rsidR="00C9188E" w:rsidRPr="00D030E6">
        <w:rPr>
          <w:spacing w:val="-2"/>
          <w:rtl/>
          <w:lang w:bidi="ar-EG"/>
        </w:rPr>
        <w:t xml:space="preserve"> </w:t>
      </w:r>
      <w:r w:rsidR="00C9188E" w:rsidRPr="00D030E6">
        <w:rPr>
          <w:rFonts w:hint="cs"/>
          <w:spacing w:val="-2"/>
          <w:rtl/>
          <w:lang w:bidi="ar-EG"/>
        </w:rPr>
        <w:t>بموجب</w:t>
      </w:r>
      <w:r w:rsidR="00C9188E" w:rsidRPr="00D030E6">
        <w:rPr>
          <w:spacing w:val="-2"/>
          <w:rtl/>
          <w:lang w:bidi="ar-EG"/>
        </w:rPr>
        <w:t xml:space="preserve"> </w:t>
      </w:r>
      <w:r w:rsidR="00C9188E" w:rsidRPr="00D030E6">
        <w:rPr>
          <w:rFonts w:hint="cs"/>
          <w:spacing w:val="-2"/>
          <w:rtl/>
          <w:lang w:bidi="ar-EG"/>
        </w:rPr>
        <w:t>المادة</w:t>
      </w:r>
      <w:r w:rsidR="00C9188E" w:rsidRPr="00D030E6">
        <w:rPr>
          <w:spacing w:val="-2"/>
          <w:rtl/>
          <w:lang w:bidi="ar-EG"/>
        </w:rPr>
        <w:t xml:space="preserve"> </w:t>
      </w:r>
      <w:r w:rsidR="00C9188E" w:rsidRPr="00D030E6">
        <w:rPr>
          <w:rFonts w:hint="cs"/>
          <w:spacing w:val="-2"/>
          <w:rtl/>
          <w:lang w:bidi="ar-EG"/>
        </w:rPr>
        <w:t>2</w:t>
      </w:r>
      <w:r w:rsidR="00C9188E" w:rsidRPr="00D030E6">
        <w:rPr>
          <w:spacing w:val="-2"/>
          <w:rtl/>
          <w:lang w:bidi="ar-EG"/>
        </w:rPr>
        <w:t xml:space="preserve">(2) </w:t>
      </w:r>
      <w:r w:rsidR="00C9188E" w:rsidRPr="00D030E6">
        <w:rPr>
          <w:rFonts w:hint="cs"/>
          <w:spacing w:val="-2"/>
          <w:rtl/>
          <w:lang w:bidi="ar-EG"/>
        </w:rPr>
        <w:t>من</w:t>
      </w:r>
      <w:r w:rsidR="00C9188E" w:rsidRPr="00D030E6">
        <w:rPr>
          <w:spacing w:val="-2"/>
          <w:rtl/>
          <w:lang w:bidi="ar-EG"/>
        </w:rPr>
        <w:t xml:space="preserve"> </w:t>
      </w:r>
      <w:r w:rsidR="00C9188E" w:rsidRPr="00D030E6">
        <w:rPr>
          <w:rFonts w:hint="cs"/>
          <w:spacing w:val="-2"/>
          <w:rtl/>
          <w:lang w:bidi="ar-EG"/>
        </w:rPr>
        <w:t>العهد،</w:t>
      </w:r>
      <w:r w:rsidR="00C9188E" w:rsidRPr="00D030E6">
        <w:rPr>
          <w:spacing w:val="-2"/>
          <w:rtl/>
          <w:lang w:bidi="ar-EG"/>
        </w:rPr>
        <w:t xml:space="preserve"> </w:t>
      </w:r>
      <w:r w:rsidR="00C9188E" w:rsidRPr="00D030E6">
        <w:rPr>
          <w:rFonts w:hint="cs"/>
          <w:spacing w:val="-2"/>
          <w:rtl/>
          <w:lang w:bidi="ar-EG"/>
        </w:rPr>
        <w:t>أن</w:t>
      </w:r>
      <w:r w:rsidR="00C9188E" w:rsidRPr="00D030E6">
        <w:rPr>
          <w:spacing w:val="-2"/>
          <w:rtl/>
          <w:lang w:bidi="ar-EG"/>
        </w:rPr>
        <w:t xml:space="preserve"> </w:t>
      </w:r>
      <w:r w:rsidR="00C9188E" w:rsidRPr="00D030E6">
        <w:rPr>
          <w:rFonts w:hint="cs"/>
          <w:spacing w:val="-2"/>
          <w:rtl/>
          <w:lang w:bidi="ar-EG"/>
        </w:rPr>
        <w:t>تنقح</w:t>
      </w:r>
      <w:r w:rsidR="00C9188E" w:rsidRPr="00D030E6">
        <w:rPr>
          <w:spacing w:val="-2"/>
          <w:rtl/>
          <w:lang w:bidi="ar-EG"/>
        </w:rPr>
        <w:t xml:space="preserve"> </w:t>
      </w:r>
      <w:r w:rsidR="00C9188E" w:rsidRPr="00D030E6">
        <w:rPr>
          <w:rFonts w:hint="cs"/>
          <w:spacing w:val="-2"/>
          <w:rtl/>
          <w:lang w:bidi="ar-EG"/>
        </w:rPr>
        <w:t>تشريعاتها</w:t>
      </w:r>
      <w:r w:rsidR="00C9188E" w:rsidRPr="00D030E6">
        <w:rPr>
          <w:spacing w:val="-2"/>
          <w:rtl/>
          <w:lang w:bidi="ar-EG"/>
        </w:rPr>
        <w:t xml:space="preserve"> </w:t>
      </w:r>
      <w:r w:rsidR="00C9188E" w:rsidRPr="00D030E6">
        <w:rPr>
          <w:rFonts w:hint="cs"/>
          <w:spacing w:val="-2"/>
          <w:rtl/>
          <w:lang w:bidi="ar-EG"/>
        </w:rPr>
        <w:t>ضمانا</w:t>
      </w:r>
      <w:r w:rsidR="009B7B22">
        <w:rPr>
          <w:rFonts w:hint="cs"/>
          <w:spacing w:val="-2"/>
          <w:rtl/>
          <w:lang w:bidi="ar-EG"/>
        </w:rPr>
        <w:t>ً</w:t>
      </w:r>
      <w:r w:rsidR="00C9188E" w:rsidRPr="00D030E6">
        <w:rPr>
          <w:rFonts w:hint="cs"/>
          <w:spacing w:val="-2"/>
          <w:rtl/>
          <w:lang w:bidi="ar-EG"/>
        </w:rPr>
        <w:t xml:space="preserve"> لامتثالها</w:t>
      </w:r>
      <w:r w:rsidR="00C9188E" w:rsidRPr="00D030E6">
        <w:rPr>
          <w:spacing w:val="-2"/>
          <w:rtl/>
          <w:lang w:bidi="ar-EG"/>
        </w:rPr>
        <w:t xml:space="preserve"> </w:t>
      </w:r>
      <w:r w:rsidR="00C9188E" w:rsidRPr="00D030E6">
        <w:rPr>
          <w:rFonts w:hint="cs"/>
          <w:spacing w:val="-2"/>
          <w:rtl/>
          <w:lang w:bidi="ar-EG"/>
        </w:rPr>
        <w:t>لأحكام</w:t>
      </w:r>
      <w:r w:rsidR="00C9188E" w:rsidRPr="00D030E6">
        <w:rPr>
          <w:spacing w:val="-2"/>
          <w:rtl/>
          <w:lang w:bidi="ar-EG"/>
        </w:rPr>
        <w:t xml:space="preserve"> </w:t>
      </w:r>
      <w:r w:rsidR="00C9188E" w:rsidRPr="00D030E6">
        <w:rPr>
          <w:rFonts w:hint="cs"/>
          <w:spacing w:val="-2"/>
          <w:rtl/>
          <w:lang w:bidi="ar-EG"/>
        </w:rPr>
        <w:t>العهد</w:t>
      </w:r>
      <w:r w:rsidR="00C9188E" w:rsidRPr="00D030E6">
        <w:rPr>
          <w:spacing w:val="-2"/>
          <w:rtl/>
          <w:lang w:bidi="ar-EG"/>
        </w:rPr>
        <w:t>.</w:t>
      </w:r>
      <w:r w:rsidR="0026655D" w:rsidRPr="00D030E6">
        <w:rPr>
          <w:spacing w:val="-2"/>
          <w:rtl/>
          <w:lang w:bidi="ar-EG"/>
        </w:rPr>
        <w:t xml:space="preserve"> </w:t>
      </w:r>
    </w:p>
    <w:p w:rsidR="00C9188E" w:rsidRDefault="000916D0" w:rsidP="000916D0">
      <w:pPr>
        <w:pStyle w:val="SingleTxtGA"/>
        <w:rPr>
          <w:rtl/>
          <w:lang w:bidi="ar-EG"/>
        </w:rPr>
      </w:pPr>
      <w:r>
        <w:rPr>
          <w:rFonts w:hint="cs"/>
          <w:rtl/>
          <w:lang w:bidi="ar-EG"/>
        </w:rPr>
        <w:t>10-</w:t>
      </w:r>
      <w:r>
        <w:rPr>
          <w:rtl/>
          <w:lang w:bidi="ar-EG"/>
        </w:rPr>
        <w:tab/>
      </w:r>
      <w:r w:rsidR="00C9188E" w:rsidRPr="004056C1">
        <w:rPr>
          <w:rFonts w:hint="cs"/>
          <w:rtl/>
          <w:lang w:bidi="ar-EG"/>
        </w:rPr>
        <w:t>وإذ</w:t>
      </w:r>
      <w:r w:rsidR="00C9188E" w:rsidRPr="004056C1">
        <w:rPr>
          <w:rtl/>
          <w:lang w:bidi="ar-EG"/>
        </w:rPr>
        <w:t xml:space="preserve"> </w:t>
      </w:r>
      <w:r w:rsidR="00C9188E" w:rsidRPr="004056C1">
        <w:rPr>
          <w:rFonts w:hint="cs"/>
          <w:rtl/>
          <w:lang w:bidi="ar-EG"/>
        </w:rPr>
        <w:t>تضع</w:t>
      </w:r>
      <w:r w:rsidR="00C9188E">
        <w:rPr>
          <w:rFonts w:hint="cs"/>
          <w:rtl/>
          <w:lang w:bidi="ar-EG"/>
        </w:rPr>
        <w:t xml:space="preserve"> اللجنة </w:t>
      </w:r>
      <w:r w:rsidR="00C9188E" w:rsidRPr="004056C1">
        <w:rPr>
          <w:rFonts w:hint="cs"/>
          <w:rtl/>
          <w:lang w:bidi="ar-EG"/>
        </w:rPr>
        <w:t>في</w:t>
      </w:r>
      <w:r w:rsidR="00C9188E" w:rsidRPr="004056C1">
        <w:rPr>
          <w:rtl/>
          <w:lang w:bidi="ar-EG"/>
        </w:rPr>
        <w:t xml:space="preserve"> </w:t>
      </w:r>
      <w:r w:rsidR="00C9188E" w:rsidRPr="004056C1">
        <w:rPr>
          <w:rFonts w:hint="cs"/>
          <w:rtl/>
          <w:lang w:bidi="ar-EG"/>
        </w:rPr>
        <w:t>اعتبارها</w:t>
      </w:r>
      <w:r w:rsidR="00C9188E" w:rsidRPr="004056C1">
        <w:rPr>
          <w:rtl/>
          <w:lang w:bidi="ar-EG"/>
        </w:rPr>
        <w:t xml:space="preserve"> </w:t>
      </w:r>
      <w:r w:rsidR="00C9188E">
        <w:rPr>
          <w:rFonts w:hint="cs"/>
          <w:rtl/>
          <w:lang w:bidi="ar-EG"/>
        </w:rPr>
        <w:t>أن الدولة الطرف قد أقرت،</w:t>
      </w:r>
      <w:r w:rsidR="00C9188E" w:rsidRPr="004056C1">
        <w:rPr>
          <w:rtl/>
          <w:lang w:bidi="ar-EG"/>
        </w:rPr>
        <w:t xml:space="preserve"> </w:t>
      </w:r>
      <w:r w:rsidR="00C9188E" w:rsidRPr="004056C1">
        <w:rPr>
          <w:rFonts w:hint="cs"/>
          <w:rtl/>
          <w:lang w:bidi="ar-EG"/>
        </w:rPr>
        <w:t>عندما</w:t>
      </w:r>
      <w:r w:rsidR="00C9188E" w:rsidRPr="004056C1">
        <w:rPr>
          <w:rtl/>
          <w:lang w:bidi="ar-EG"/>
        </w:rPr>
        <w:t xml:space="preserve"> </w:t>
      </w:r>
      <w:r w:rsidR="00C9188E" w:rsidRPr="004056C1">
        <w:rPr>
          <w:rFonts w:hint="cs"/>
          <w:rtl/>
          <w:lang w:bidi="ar-EG"/>
        </w:rPr>
        <w:t>أصبحت</w:t>
      </w:r>
      <w:r w:rsidR="00C9188E" w:rsidRPr="004056C1">
        <w:rPr>
          <w:rtl/>
          <w:lang w:bidi="ar-EG"/>
        </w:rPr>
        <w:t xml:space="preserve"> </w:t>
      </w:r>
      <w:r w:rsidR="00C9188E" w:rsidRPr="004056C1">
        <w:rPr>
          <w:rFonts w:hint="cs"/>
          <w:rtl/>
          <w:lang w:bidi="ar-EG"/>
        </w:rPr>
        <w:t>طرفا</w:t>
      </w:r>
      <w:r w:rsidR="009B7B22">
        <w:rPr>
          <w:rFonts w:hint="cs"/>
          <w:rtl/>
          <w:lang w:bidi="ar-EG"/>
        </w:rPr>
        <w:t>ً</w:t>
      </w:r>
      <w:r w:rsidR="00C9188E" w:rsidRPr="004056C1">
        <w:rPr>
          <w:rtl/>
          <w:lang w:bidi="ar-EG"/>
        </w:rPr>
        <w:t xml:space="preserve"> </w:t>
      </w:r>
      <w:r w:rsidR="00C9188E" w:rsidRPr="004056C1">
        <w:rPr>
          <w:rFonts w:hint="cs"/>
          <w:rtl/>
          <w:lang w:bidi="ar-EG"/>
        </w:rPr>
        <w:t>في</w:t>
      </w:r>
      <w:r w:rsidR="00C9188E" w:rsidRPr="004056C1">
        <w:rPr>
          <w:rtl/>
          <w:lang w:bidi="ar-EG"/>
        </w:rPr>
        <w:t xml:space="preserve"> </w:t>
      </w:r>
      <w:r w:rsidR="00C9188E" w:rsidRPr="004056C1">
        <w:rPr>
          <w:rFonts w:hint="cs"/>
          <w:rtl/>
          <w:lang w:bidi="ar-EG"/>
        </w:rPr>
        <w:t>البروتوكول</w:t>
      </w:r>
      <w:r w:rsidR="00C9188E" w:rsidRPr="004056C1">
        <w:rPr>
          <w:rtl/>
          <w:lang w:bidi="ar-EG"/>
        </w:rPr>
        <w:t xml:space="preserve"> </w:t>
      </w:r>
      <w:r w:rsidR="00C9188E" w:rsidRPr="004056C1">
        <w:rPr>
          <w:rFonts w:hint="cs"/>
          <w:rtl/>
          <w:lang w:bidi="ar-EG"/>
        </w:rPr>
        <w:t>الاختياري،</w:t>
      </w:r>
      <w:r w:rsidR="00C9188E" w:rsidRPr="004056C1">
        <w:rPr>
          <w:rtl/>
          <w:lang w:bidi="ar-EG"/>
        </w:rPr>
        <w:t xml:space="preserve"> </w:t>
      </w:r>
      <w:r w:rsidR="00C9188E">
        <w:rPr>
          <w:rFonts w:hint="cs"/>
          <w:rtl/>
          <w:lang w:bidi="ar-EG"/>
        </w:rPr>
        <w:t>ب</w:t>
      </w:r>
      <w:r w:rsidR="00C9188E" w:rsidRPr="004056C1">
        <w:rPr>
          <w:rFonts w:hint="cs"/>
          <w:rtl/>
          <w:lang w:bidi="ar-EG"/>
        </w:rPr>
        <w:t>اختصاص</w:t>
      </w:r>
      <w:r w:rsidR="00C9188E" w:rsidRPr="004056C1">
        <w:rPr>
          <w:rtl/>
          <w:lang w:bidi="ar-EG"/>
        </w:rPr>
        <w:t xml:space="preserve"> </w:t>
      </w:r>
      <w:r w:rsidR="00C9188E" w:rsidRPr="004056C1">
        <w:rPr>
          <w:rFonts w:hint="cs"/>
          <w:rtl/>
          <w:lang w:bidi="ar-EG"/>
        </w:rPr>
        <w:t>اللجنة</w:t>
      </w:r>
      <w:r w:rsidR="00C9188E" w:rsidRPr="004056C1">
        <w:rPr>
          <w:rtl/>
          <w:lang w:bidi="ar-EG"/>
        </w:rPr>
        <w:t xml:space="preserve"> </w:t>
      </w:r>
      <w:r w:rsidR="00C9188E" w:rsidRPr="004056C1">
        <w:rPr>
          <w:rFonts w:hint="cs"/>
          <w:rtl/>
          <w:lang w:bidi="ar-EG"/>
        </w:rPr>
        <w:t>في</w:t>
      </w:r>
      <w:r w:rsidR="00C9188E" w:rsidRPr="004056C1">
        <w:rPr>
          <w:rtl/>
          <w:lang w:bidi="ar-EG"/>
        </w:rPr>
        <w:t xml:space="preserve"> </w:t>
      </w:r>
      <w:r w:rsidR="00C9188E" w:rsidRPr="004056C1">
        <w:rPr>
          <w:rFonts w:hint="cs"/>
          <w:rtl/>
          <w:lang w:bidi="ar-EG"/>
        </w:rPr>
        <w:t>تحديد</w:t>
      </w:r>
      <w:r w:rsidR="00C9188E" w:rsidRPr="004056C1">
        <w:rPr>
          <w:rtl/>
          <w:lang w:bidi="ar-EG"/>
        </w:rPr>
        <w:t xml:space="preserve"> </w:t>
      </w:r>
      <w:r w:rsidR="00C9188E">
        <w:rPr>
          <w:rFonts w:hint="cs"/>
          <w:rtl/>
          <w:lang w:bidi="ar-EG"/>
        </w:rPr>
        <w:t>إن كان انتهاك للعهد قد وقع،</w:t>
      </w:r>
      <w:r w:rsidR="00C9188E" w:rsidRPr="004056C1">
        <w:rPr>
          <w:rtl/>
          <w:lang w:bidi="ar-EG"/>
        </w:rPr>
        <w:t xml:space="preserve"> </w:t>
      </w:r>
      <w:r w:rsidR="00C9188E" w:rsidRPr="004056C1">
        <w:rPr>
          <w:rFonts w:hint="cs"/>
          <w:rtl/>
          <w:lang w:bidi="ar-EG"/>
        </w:rPr>
        <w:t>وتعهدت،</w:t>
      </w:r>
      <w:r w:rsidR="00C9188E" w:rsidRPr="004056C1">
        <w:rPr>
          <w:rtl/>
          <w:lang w:bidi="ar-EG"/>
        </w:rPr>
        <w:t xml:space="preserve"> </w:t>
      </w:r>
      <w:r w:rsidR="00C9188E" w:rsidRPr="004056C1">
        <w:rPr>
          <w:rFonts w:hint="cs"/>
          <w:rtl/>
          <w:lang w:bidi="ar-EG"/>
        </w:rPr>
        <w:t>بموجب</w:t>
      </w:r>
      <w:r w:rsidR="00C9188E" w:rsidRPr="004056C1">
        <w:rPr>
          <w:rtl/>
          <w:lang w:bidi="ar-EG"/>
        </w:rPr>
        <w:t xml:space="preserve"> </w:t>
      </w:r>
      <w:r w:rsidR="00C9188E" w:rsidRPr="004056C1">
        <w:rPr>
          <w:rFonts w:hint="cs"/>
          <w:rtl/>
          <w:lang w:bidi="ar-EG"/>
        </w:rPr>
        <w:t>المادة</w:t>
      </w:r>
      <w:r w:rsidR="00C9188E">
        <w:rPr>
          <w:rtl/>
          <w:lang w:bidi="ar-EG"/>
        </w:rPr>
        <w:t xml:space="preserve"> </w:t>
      </w:r>
      <w:r w:rsidR="00C9188E">
        <w:rPr>
          <w:rFonts w:hint="cs"/>
          <w:rtl/>
          <w:lang w:bidi="ar-EG"/>
        </w:rPr>
        <w:t>2</w:t>
      </w:r>
      <w:r w:rsidR="00C9188E" w:rsidRPr="004056C1">
        <w:rPr>
          <w:rtl/>
          <w:lang w:bidi="ar-EG"/>
        </w:rPr>
        <w:t xml:space="preserve"> </w:t>
      </w:r>
      <w:r w:rsidR="00C9188E" w:rsidRPr="004056C1">
        <w:rPr>
          <w:rFonts w:hint="cs"/>
          <w:rtl/>
          <w:lang w:bidi="ar-EG"/>
        </w:rPr>
        <w:t>من</w:t>
      </w:r>
      <w:r w:rsidR="00C9188E" w:rsidRPr="004056C1">
        <w:rPr>
          <w:rtl/>
          <w:lang w:bidi="ar-EG"/>
        </w:rPr>
        <w:t xml:space="preserve"> </w:t>
      </w:r>
      <w:r w:rsidR="00C9188E" w:rsidRPr="004056C1">
        <w:rPr>
          <w:rFonts w:hint="cs"/>
          <w:rtl/>
          <w:lang w:bidi="ar-EG"/>
        </w:rPr>
        <w:t>العهد</w:t>
      </w:r>
      <w:r w:rsidR="00C9188E">
        <w:rPr>
          <w:rFonts w:hint="cs"/>
          <w:rtl/>
          <w:lang w:bidi="ar-EG"/>
        </w:rPr>
        <w:t>،</w:t>
      </w:r>
      <w:r w:rsidR="00C9188E" w:rsidRPr="004056C1">
        <w:rPr>
          <w:rtl/>
          <w:lang w:bidi="ar-EG"/>
        </w:rPr>
        <w:t xml:space="preserve"> </w:t>
      </w:r>
      <w:r w:rsidR="00C9188E" w:rsidRPr="004056C1">
        <w:rPr>
          <w:rFonts w:hint="cs"/>
          <w:rtl/>
          <w:lang w:bidi="ar-EG"/>
        </w:rPr>
        <w:t>بأن</w:t>
      </w:r>
      <w:r w:rsidR="00C9188E" w:rsidRPr="004056C1">
        <w:rPr>
          <w:rtl/>
          <w:lang w:bidi="ar-EG"/>
        </w:rPr>
        <w:t xml:space="preserve"> </w:t>
      </w:r>
      <w:r w:rsidR="00C9188E" w:rsidRPr="004056C1">
        <w:rPr>
          <w:rFonts w:hint="cs"/>
          <w:rtl/>
          <w:lang w:bidi="ar-EG"/>
        </w:rPr>
        <w:t>تكفل</w:t>
      </w:r>
      <w:r w:rsidR="00C9188E" w:rsidRPr="004056C1">
        <w:rPr>
          <w:rtl/>
          <w:lang w:bidi="ar-EG"/>
        </w:rPr>
        <w:t xml:space="preserve"> </w:t>
      </w:r>
      <w:r w:rsidR="00C9188E" w:rsidRPr="004056C1">
        <w:rPr>
          <w:rFonts w:hint="cs"/>
          <w:rtl/>
          <w:lang w:bidi="ar-EG"/>
        </w:rPr>
        <w:t>لجميع</w:t>
      </w:r>
      <w:r w:rsidR="00C9188E" w:rsidRPr="004056C1">
        <w:rPr>
          <w:rtl/>
          <w:lang w:bidi="ar-EG"/>
        </w:rPr>
        <w:t xml:space="preserve"> </w:t>
      </w:r>
      <w:r w:rsidR="00C9188E" w:rsidRPr="004056C1">
        <w:rPr>
          <w:rFonts w:hint="cs"/>
          <w:rtl/>
          <w:lang w:bidi="ar-EG"/>
        </w:rPr>
        <w:t>الأفراد</w:t>
      </w:r>
      <w:r w:rsidR="00C9188E" w:rsidRPr="004056C1">
        <w:rPr>
          <w:rtl/>
          <w:lang w:bidi="ar-EG"/>
        </w:rPr>
        <w:t xml:space="preserve"> </w:t>
      </w:r>
      <w:r w:rsidR="00C9188E" w:rsidRPr="004056C1">
        <w:rPr>
          <w:rFonts w:hint="cs"/>
          <w:rtl/>
          <w:lang w:bidi="ar-EG"/>
        </w:rPr>
        <w:t>الموجودين</w:t>
      </w:r>
      <w:r w:rsidR="00C9188E" w:rsidRPr="004056C1">
        <w:rPr>
          <w:rtl/>
          <w:lang w:bidi="ar-EG"/>
        </w:rPr>
        <w:t xml:space="preserve"> </w:t>
      </w:r>
      <w:r w:rsidR="00C9188E" w:rsidRPr="004056C1">
        <w:rPr>
          <w:rFonts w:hint="cs"/>
          <w:rtl/>
          <w:lang w:bidi="ar-EG"/>
        </w:rPr>
        <w:t>في</w:t>
      </w:r>
      <w:r w:rsidR="00C9188E" w:rsidRPr="004056C1">
        <w:rPr>
          <w:rtl/>
          <w:lang w:bidi="ar-EG"/>
        </w:rPr>
        <w:t xml:space="preserve"> </w:t>
      </w:r>
      <w:r w:rsidR="00C9188E" w:rsidRPr="004056C1">
        <w:rPr>
          <w:rFonts w:hint="cs"/>
          <w:rtl/>
          <w:lang w:bidi="ar-EG"/>
        </w:rPr>
        <w:t>إقليمها</w:t>
      </w:r>
      <w:r w:rsidR="00C9188E">
        <w:rPr>
          <w:rFonts w:hint="cs"/>
          <w:rtl/>
          <w:lang w:bidi="ar-EG"/>
        </w:rPr>
        <w:t>،</w:t>
      </w:r>
      <w:r w:rsidR="00C9188E" w:rsidRPr="004056C1">
        <w:rPr>
          <w:rtl/>
          <w:lang w:bidi="ar-EG"/>
        </w:rPr>
        <w:t xml:space="preserve"> </w:t>
      </w:r>
      <w:r w:rsidR="00C9188E" w:rsidRPr="004056C1">
        <w:rPr>
          <w:rFonts w:hint="cs"/>
          <w:rtl/>
          <w:lang w:bidi="ar-EG"/>
        </w:rPr>
        <w:t>أو</w:t>
      </w:r>
      <w:r w:rsidR="00C9188E" w:rsidRPr="004056C1">
        <w:rPr>
          <w:rtl/>
          <w:lang w:bidi="ar-EG"/>
        </w:rPr>
        <w:t xml:space="preserve"> </w:t>
      </w:r>
      <w:r w:rsidR="00C9188E" w:rsidRPr="004056C1">
        <w:rPr>
          <w:rFonts w:hint="cs"/>
          <w:rtl/>
          <w:lang w:bidi="ar-EG"/>
        </w:rPr>
        <w:t>الخاضعين</w:t>
      </w:r>
      <w:r w:rsidR="00C9188E" w:rsidRPr="004056C1">
        <w:rPr>
          <w:rtl/>
          <w:lang w:bidi="ar-EG"/>
        </w:rPr>
        <w:t xml:space="preserve"> </w:t>
      </w:r>
      <w:r w:rsidR="00C9188E" w:rsidRPr="004056C1">
        <w:rPr>
          <w:rFonts w:hint="cs"/>
          <w:rtl/>
          <w:lang w:bidi="ar-EG"/>
        </w:rPr>
        <w:t>لولايتها</w:t>
      </w:r>
      <w:r w:rsidR="00C9188E">
        <w:rPr>
          <w:rFonts w:hint="cs"/>
          <w:rtl/>
          <w:lang w:bidi="ar-EG"/>
        </w:rPr>
        <w:t xml:space="preserve">، </w:t>
      </w:r>
      <w:r w:rsidR="00C9188E" w:rsidRPr="004056C1">
        <w:rPr>
          <w:rFonts w:hint="cs"/>
          <w:rtl/>
          <w:lang w:bidi="ar-EG"/>
        </w:rPr>
        <w:t>الحقوق</w:t>
      </w:r>
      <w:r w:rsidR="00C9188E" w:rsidRPr="004056C1">
        <w:rPr>
          <w:rtl/>
          <w:lang w:bidi="ar-EG"/>
        </w:rPr>
        <w:t xml:space="preserve"> </w:t>
      </w:r>
      <w:r w:rsidR="00C9188E" w:rsidRPr="004056C1">
        <w:rPr>
          <w:rFonts w:hint="cs"/>
          <w:rtl/>
          <w:lang w:bidi="ar-EG"/>
        </w:rPr>
        <w:t>المعترف</w:t>
      </w:r>
      <w:r w:rsidR="00C9188E" w:rsidRPr="004056C1">
        <w:rPr>
          <w:rtl/>
          <w:lang w:bidi="ar-EG"/>
        </w:rPr>
        <w:t xml:space="preserve"> </w:t>
      </w:r>
      <w:r w:rsidR="00C9188E" w:rsidRPr="004056C1">
        <w:rPr>
          <w:rFonts w:hint="cs"/>
          <w:rtl/>
          <w:lang w:bidi="ar-EG"/>
        </w:rPr>
        <w:t>بها</w:t>
      </w:r>
      <w:r w:rsidR="00C9188E" w:rsidRPr="004056C1">
        <w:rPr>
          <w:rtl/>
          <w:lang w:bidi="ar-EG"/>
        </w:rPr>
        <w:t xml:space="preserve"> </w:t>
      </w:r>
      <w:r w:rsidR="00C9188E" w:rsidRPr="004056C1">
        <w:rPr>
          <w:rFonts w:hint="cs"/>
          <w:rtl/>
          <w:lang w:bidi="ar-EG"/>
        </w:rPr>
        <w:t>في</w:t>
      </w:r>
      <w:r w:rsidR="00C9188E" w:rsidRPr="004056C1">
        <w:rPr>
          <w:rtl/>
          <w:lang w:bidi="ar-EG"/>
        </w:rPr>
        <w:t xml:space="preserve"> </w:t>
      </w:r>
      <w:r w:rsidR="00C9188E" w:rsidRPr="004056C1">
        <w:rPr>
          <w:rFonts w:hint="cs"/>
          <w:rtl/>
          <w:lang w:bidi="ar-EG"/>
        </w:rPr>
        <w:t>العهد</w:t>
      </w:r>
      <w:r w:rsidR="00C9188E" w:rsidRPr="004056C1">
        <w:rPr>
          <w:rtl/>
          <w:lang w:bidi="ar-EG"/>
        </w:rPr>
        <w:t xml:space="preserve"> </w:t>
      </w:r>
      <w:r w:rsidR="00C9188E" w:rsidRPr="004056C1">
        <w:rPr>
          <w:rFonts w:hint="cs"/>
          <w:rtl/>
          <w:lang w:bidi="ar-EG"/>
        </w:rPr>
        <w:t>وبأن</w:t>
      </w:r>
      <w:r w:rsidR="00C9188E" w:rsidRPr="004056C1">
        <w:rPr>
          <w:rtl/>
          <w:lang w:bidi="ar-EG"/>
        </w:rPr>
        <w:t xml:space="preserve"> </w:t>
      </w:r>
      <w:r w:rsidR="00C9188E" w:rsidRPr="004056C1">
        <w:rPr>
          <w:rFonts w:hint="cs"/>
          <w:rtl/>
          <w:lang w:bidi="ar-EG"/>
        </w:rPr>
        <w:t>توفر</w:t>
      </w:r>
      <w:r w:rsidR="00C9188E" w:rsidRPr="004056C1">
        <w:rPr>
          <w:rtl/>
          <w:lang w:bidi="ar-EG"/>
        </w:rPr>
        <w:t xml:space="preserve"> </w:t>
      </w:r>
      <w:r w:rsidR="00C9188E" w:rsidRPr="004056C1">
        <w:rPr>
          <w:rFonts w:hint="cs"/>
          <w:rtl/>
          <w:lang w:bidi="ar-EG"/>
        </w:rPr>
        <w:t>سبيل</w:t>
      </w:r>
      <w:r w:rsidR="00C9188E" w:rsidRPr="004056C1">
        <w:rPr>
          <w:rtl/>
          <w:lang w:bidi="ar-EG"/>
        </w:rPr>
        <w:t xml:space="preserve"> </w:t>
      </w:r>
      <w:r w:rsidR="00C9188E" w:rsidRPr="004056C1">
        <w:rPr>
          <w:rFonts w:hint="cs"/>
          <w:rtl/>
          <w:lang w:bidi="ar-EG"/>
        </w:rPr>
        <w:t>انتصاف</w:t>
      </w:r>
      <w:r w:rsidR="00C9188E" w:rsidRPr="004056C1">
        <w:rPr>
          <w:rtl/>
          <w:lang w:bidi="ar-EG"/>
        </w:rPr>
        <w:t xml:space="preserve"> </w:t>
      </w:r>
      <w:r w:rsidR="00C9188E" w:rsidRPr="004056C1">
        <w:rPr>
          <w:rFonts w:hint="cs"/>
          <w:rtl/>
          <w:lang w:bidi="ar-EG"/>
        </w:rPr>
        <w:t>فعال</w:t>
      </w:r>
      <w:r w:rsidR="00C9188E" w:rsidRPr="004056C1">
        <w:rPr>
          <w:rtl/>
          <w:lang w:bidi="ar-EG"/>
        </w:rPr>
        <w:t xml:space="preserve"> </w:t>
      </w:r>
      <w:r w:rsidR="00C9188E" w:rsidRPr="004056C1">
        <w:rPr>
          <w:rFonts w:hint="cs"/>
          <w:rtl/>
          <w:lang w:bidi="ar-EG"/>
        </w:rPr>
        <w:t>وقابل</w:t>
      </w:r>
      <w:r w:rsidR="00C9188E" w:rsidRPr="004056C1">
        <w:rPr>
          <w:rtl/>
          <w:lang w:bidi="ar-EG"/>
        </w:rPr>
        <w:t xml:space="preserve"> </w:t>
      </w:r>
      <w:r w:rsidR="00C9188E" w:rsidRPr="004056C1">
        <w:rPr>
          <w:rFonts w:hint="cs"/>
          <w:rtl/>
          <w:lang w:bidi="ar-EG"/>
        </w:rPr>
        <w:t>للإنفاذ</w:t>
      </w:r>
      <w:r w:rsidR="00C9188E" w:rsidRPr="004056C1">
        <w:rPr>
          <w:rtl/>
          <w:lang w:bidi="ar-EG"/>
        </w:rPr>
        <w:t xml:space="preserve"> </w:t>
      </w:r>
      <w:r w:rsidR="00C9188E" w:rsidRPr="004056C1">
        <w:rPr>
          <w:rFonts w:hint="cs"/>
          <w:rtl/>
          <w:lang w:bidi="ar-EG"/>
        </w:rPr>
        <w:t>في</w:t>
      </w:r>
      <w:r w:rsidR="00C9188E" w:rsidRPr="004056C1">
        <w:rPr>
          <w:rtl/>
          <w:lang w:bidi="ar-EG"/>
        </w:rPr>
        <w:t xml:space="preserve"> </w:t>
      </w:r>
      <w:r w:rsidR="00C9188E" w:rsidRPr="004056C1">
        <w:rPr>
          <w:rFonts w:hint="cs"/>
          <w:rtl/>
          <w:lang w:bidi="ar-EG"/>
        </w:rPr>
        <w:t>حالة</w:t>
      </w:r>
      <w:r w:rsidR="00C9188E" w:rsidRPr="004056C1">
        <w:rPr>
          <w:rtl/>
          <w:lang w:bidi="ar-EG"/>
        </w:rPr>
        <w:t xml:space="preserve"> </w:t>
      </w:r>
      <w:r w:rsidR="00C9188E">
        <w:rPr>
          <w:rFonts w:hint="cs"/>
          <w:rtl/>
          <w:lang w:bidi="ar-EG"/>
        </w:rPr>
        <w:t>إثبات</w:t>
      </w:r>
      <w:r w:rsidR="00C9188E" w:rsidRPr="004056C1">
        <w:rPr>
          <w:rtl/>
          <w:lang w:bidi="ar-EG"/>
        </w:rPr>
        <w:t xml:space="preserve"> </w:t>
      </w:r>
      <w:r w:rsidR="00C9188E" w:rsidRPr="004056C1">
        <w:rPr>
          <w:rFonts w:hint="cs"/>
          <w:rtl/>
          <w:lang w:bidi="ar-EG"/>
        </w:rPr>
        <w:t>حدوث</w:t>
      </w:r>
      <w:r w:rsidR="00C9188E" w:rsidRPr="004056C1">
        <w:rPr>
          <w:rtl/>
          <w:lang w:bidi="ar-EG"/>
        </w:rPr>
        <w:t xml:space="preserve"> </w:t>
      </w:r>
      <w:r w:rsidR="00C9188E" w:rsidRPr="004056C1">
        <w:rPr>
          <w:rFonts w:hint="cs"/>
          <w:rtl/>
          <w:lang w:bidi="ar-EG"/>
        </w:rPr>
        <w:t>انتهاك،</w:t>
      </w:r>
      <w:r w:rsidR="00C9188E" w:rsidRPr="004056C1">
        <w:rPr>
          <w:rtl/>
          <w:lang w:bidi="ar-EG"/>
        </w:rPr>
        <w:t xml:space="preserve"> </w:t>
      </w:r>
      <w:r w:rsidR="00C9188E" w:rsidRPr="004056C1">
        <w:rPr>
          <w:rFonts w:hint="cs"/>
          <w:rtl/>
          <w:lang w:bidi="ar-EG"/>
        </w:rPr>
        <w:t>فإنها</w:t>
      </w:r>
      <w:r w:rsidR="00C9188E" w:rsidRPr="004056C1">
        <w:rPr>
          <w:rtl/>
          <w:lang w:bidi="ar-EG"/>
        </w:rPr>
        <w:t xml:space="preserve"> </w:t>
      </w:r>
      <w:r w:rsidR="00C9188E" w:rsidRPr="004056C1">
        <w:rPr>
          <w:rFonts w:hint="cs"/>
          <w:rtl/>
          <w:lang w:bidi="ar-EG"/>
        </w:rPr>
        <w:t>تود</w:t>
      </w:r>
      <w:r w:rsidR="00C9188E" w:rsidRPr="004056C1">
        <w:rPr>
          <w:rtl/>
          <w:lang w:bidi="ar-EG"/>
        </w:rPr>
        <w:t xml:space="preserve"> </w:t>
      </w:r>
      <w:r w:rsidR="00C9188E" w:rsidRPr="004056C1">
        <w:rPr>
          <w:rFonts w:hint="cs"/>
          <w:rtl/>
          <w:lang w:bidi="ar-EG"/>
        </w:rPr>
        <w:t>أن</w:t>
      </w:r>
      <w:r w:rsidR="00C9188E" w:rsidRPr="004056C1">
        <w:rPr>
          <w:rtl/>
          <w:lang w:bidi="ar-EG"/>
        </w:rPr>
        <w:t xml:space="preserve"> </w:t>
      </w:r>
      <w:r w:rsidR="00C9188E" w:rsidRPr="004056C1">
        <w:rPr>
          <w:rFonts w:hint="cs"/>
          <w:rtl/>
          <w:lang w:bidi="ar-EG"/>
        </w:rPr>
        <w:t>تتلقى</w:t>
      </w:r>
      <w:r w:rsidR="00C9188E" w:rsidRPr="004056C1">
        <w:rPr>
          <w:rtl/>
          <w:lang w:bidi="ar-EG"/>
        </w:rPr>
        <w:t xml:space="preserve"> </w:t>
      </w:r>
      <w:r w:rsidR="00C9188E" w:rsidRPr="004056C1">
        <w:rPr>
          <w:rFonts w:hint="cs"/>
          <w:rtl/>
          <w:lang w:bidi="ar-EG"/>
        </w:rPr>
        <w:t>من</w:t>
      </w:r>
      <w:r w:rsidR="00C9188E" w:rsidRPr="004056C1">
        <w:rPr>
          <w:rtl/>
          <w:lang w:bidi="ar-EG"/>
        </w:rPr>
        <w:t xml:space="preserve"> </w:t>
      </w:r>
      <w:r w:rsidR="00C9188E" w:rsidRPr="004056C1">
        <w:rPr>
          <w:rFonts w:hint="cs"/>
          <w:rtl/>
          <w:lang w:bidi="ar-EG"/>
        </w:rPr>
        <w:t>الدولة</w:t>
      </w:r>
      <w:r w:rsidR="00C9188E" w:rsidRPr="004056C1">
        <w:rPr>
          <w:rtl/>
          <w:lang w:bidi="ar-EG"/>
        </w:rPr>
        <w:t xml:space="preserve"> </w:t>
      </w:r>
      <w:r w:rsidR="00C9188E" w:rsidRPr="004056C1">
        <w:rPr>
          <w:rFonts w:hint="cs"/>
          <w:rtl/>
          <w:lang w:bidi="ar-EG"/>
        </w:rPr>
        <w:t>الطرف</w:t>
      </w:r>
      <w:r w:rsidR="00C9188E">
        <w:rPr>
          <w:rFonts w:hint="cs"/>
          <w:rtl/>
          <w:lang w:bidi="ar-EG"/>
        </w:rPr>
        <w:t>،</w:t>
      </w:r>
      <w:r w:rsidR="00C9188E" w:rsidRPr="004056C1">
        <w:rPr>
          <w:rtl/>
          <w:lang w:bidi="ar-EG"/>
        </w:rPr>
        <w:t xml:space="preserve"> </w:t>
      </w:r>
      <w:r w:rsidR="00C9188E" w:rsidRPr="004056C1">
        <w:rPr>
          <w:rFonts w:hint="cs"/>
          <w:rtl/>
          <w:lang w:bidi="ar-EG"/>
        </w:rPr>
        <w:t>في</w:t>
      </w:r>
      <w:r w:rsidR="00C9188E" w:rsidRPr="004056C1">
        <w:rPr>
          <w:rtl/>
          <w:lang w:bidi="ar-EG"/>
        </w:rPr>
        <w:t xml:space="preserve"> </w:t>
      </w:r>
      <w:r w:rsidR="00C9188E" w:rsidRPr="004056C1">
        <w:rPr>
          <w:rFonts w:hint="cs"/>
          <w:rtl/>
          <w:lang w:bidi="ar-EG"/>
        </w:rPr>
        <w:t>غضون</w:t>
      </w:r>
      <w:r w:rsidR="00C9188E" w:rsidRPr="004056C1">
        <w:rPr>
          <w:rtl/>
          <w:lang w:bidi="ar-EG"/>
        </w:rPr>
        <w:t xml:space="preserve"> </w:t>
      </w:r>
      <w:r w:rsidR="00C9188E">
        <w:rPr>
          <w:rFonts w:hint="cs"/>
          <w:rtl/>
          <w:lang w:bidi="ar-EG"/>
        </w:rPr>
        <w:t>180</w:t>
      </w:r>
      <w:r w:rsidR="00C9188E" w:rsidRPr="004056C1">
        <w:rPr>
          <w:rtl/>
          <w:lang w:bidi="ar-EG"/>
        </w:rPr>
        <w:t xml:space="preserve"> </w:t>
      </w:r>
      <w:r w:rsidR="00C9188E" w:rsidRPr="004056C1">
        <w:rPr>
          <w:rFonts w:hint="cs"/>
          <w:rtl/>
          <w:lang w:bidi="ar-EG"/>
        </w:rPr>
        <w:t>يوما</w:t>
      </w:r>
      <w:r w:rsidR="009B7B22">
        <w:rPr>
          <w:rFonts w:hint="cs"/>
          <w:rtl/>
          <w:lang w:bidi="ar-EG"/>
        </w:rPr>
        <w:t>ً</w:t>
      </w:r>
      <w:r w:rsidR="00C9188E" w:rsidRPr="004056C1">
        <w:rPr>
          <w:rFonts w:hint="cs"/>
          <w:rtl/>
          <w:lang w:bidi="ar-EG"/>
        </w:rPr>
        <w:t>،</w:t>
      </w:r>
      <w:r w:rsidR="00C9188E" w:rsidRPr="004056C1">
        <w:rPr>
          <w:rtl/>
          <w:lang w:bidi="ar-EG"/>
        </w:rPr>
        <w:t xml:space="preserve"> </w:t>
      </w:r>
      <w:r w:rsidR="00C9188E" w:rsidRPr="004056C1">
        <w:rPr>
          <w:rFonts w:hint="cs"/>
          <w:rtl/>
          <w:lang w:bidi="ar-EG"/>
        </w:rPr>
        <w:t>معلومات</w:t>
      </w:r>
      <w:r w:rsidR="00C9188E" w:rsidRPr="004056C1">
        <w:rPr>
          <w:rtl/>
          <w:lang w:bidi="ar-EG"/>
        </w:rPr>
        <w:t xml:space="preserve"> </w:t>
      </w:r>
      <w:r w:rsidR="00C9188E" w:rsidRPr="004056C1">
        <w:rPr>
          <w:rFonts w:hint="cs"/>
          <w:rtl/>
          <w:lang w:bidi="ar-EG"/>
        </w:rPr>
        <w:t>عن</w:t>
      </w:r>
      <w:r w:rsidR="00C9188E" w:rsidRPr="004056C1">
        <w:rPr>
          <w:rtl/>
          <w:lang w:bidi="ar-EG"/>
        </w:rPr>
        <w:t xml:space="preserve"> </w:t>
      </w:r>
      <w:r w:rsidR="00C9188E" w:rsidRPr="004056C1">
        <w:rPr>
          <w:rFonts w:hint="cs"/>
          <w:rtl/>
          <w:lang w:bidi="ar-EG"/>
        </w:rPr>
        <w:t>التدابير</w:t>
      </w:r>
      <w:r w:rsidR="00C9188E" w:rsidRPr="004056C1">
        <w:rPr>
          <w:rtl/>
          <w:lang w:bidi="ar-EG"/>
        </w:rPr>
        <w:t xml:space="preserve"> </w:t>
      </w:r>
      <w:r w:rsidR="00C9188E" w:rsidRPr="004056C1">
        <w:rPr>
          <w:rFonts w:hint="cs"/>
          <w:rtl/>
          <w:lang w:bidi="ar-EG"/>
        </w:rPr>
        <w:t>المتخذة</w:t>
      </w:r>
      <w:r w:rsidR="00C9188E" w:rsidRPr="004056C1">
        <w:rPr>
          <w:rtl/>
          <w:lang w:bidi="ar-EG"/>
        </w:rPr>
        <w:t xml:space="preserve"> </w:t>
      </w:r>
      <w:r w:rsidR="00C9188E" w:rsidRPr="004056C1">
        <w:rPr>
          <w:rFonts w:hint="cs"/>
          <w:rtl/>
          <w:lang w:bidi="ar-EG"/>
        </w:rPr>
        <w:t>لوضع</w:t>
      </w:r>
      <w:r w:rsidR="00C9188E" w:rsidRPr="004056C1">
        <w:rPr>
          <w:rtl/>
          <w:lang w:bidi="ar-EG"/>
        </w:rPr>
        <w:t xml:space="preserve"> </w:t>
      </w:r>
      <w:r w:rsidR="00C9188E" w:rsidRPr="004056C1">
        <w:rPr>
          <w:rFonts w:hint="cs"/>
          <w:rtl/>
          <w:lang w:bidi="ar-EG"/>
        </w:rPr>
        <w:t>آراء</w:t>
      </w:r>
      <w:r w:rsidR="00C9188E" w:rsidRPr="004056C1">
        <w:rPr>
          <w:rtl/>
          <w:lang w:bidi="ar-EG"/>
        </w:rPr>
        <w:t xml:space="preserve"> </w:t>
      </w:r>
      <w:r w:rsidR="00C9188E" w:rsidRPr="004056C1">
        <w:rPr>
          <w:rFonts w:hint="cs"/>
          <w:rtl/>
          <w:lang w:bidi="ar-EG"/>
        </w:rPr>
        <w:t>اللجنة</w:t>
      </w:r>
      <w:r w:rsidR="00C9188E" w:rsidRPr="004056C1">
        <w:rPr>
          <w:rtl/>
          <w:lang w:bidi="ar-EG"/>
        </w:rPr>
        <w:t xml:space="preserve"> </w:t>
      </w:r>
      <w:r w:rsidR="00C9188E" w:rsidRPr="004056C1">
        <w:rPr>
          <w:rFonts w:hint="cs"/>
          <w:rtl/>
          <w:lang w:bidi="ar-EG"/>
        </w:rPr>
        <w:t>موضع</w:t>
      </w:r>
      <w:r w:rsidR="00C9188E" w:rsidRPr="004056C1">
        <w:rPr>
          <w:rtl/>
          <w:lang w:bidi="ar-EG"/>
        </w:rPr>
        <w:t xml:space="preserve"> </w:t>
      </w:r>
      <w:r w:rsidR="00C9188E" w:rsidRPr="004056C1">
        <w:rPr>
          <w:rFonts w:hint="cs"/>
          <w:rtl/>
          <w:lang w:bidi="ar-EG"/>
        </w:rPr>
        <w:t>التنفيذ</w:t>
      </w:r>
      <w:r w:rsidR="00C9188E" w:rsidRPr="004056C1">
        <w:rPr>
          <w:rtl/>
          <w:lang w:bidi="ar-EG"/>
        </w:rPr>
        <w:t>.</w:t>
      </w:r>
      <w:r w:rsidR="00C9188E">
        <w:rPr>
          <w:rFonts w:hint="cs"/>
          <w:rtl/>
          <w:lang w:bidi="ar-EG"/>
        </w:rPr>
        <w:t xml:space="preserve"> </w:t>
      </w:r>
      <w:r w:rsidR="00C9188E" w:rsidRPr="004056C1">
        <w:rPr>
          <w:rFonts w:hint="cs"/>
          <w:rtl/>
          <w:lang w:bidi="ar-EG"/>
        </w:rPr>
        <w:t>والدولة</w:t>
      </w:r>
      <w:r w:rsidR="00C9188E" w:rsidRPr="004056C1">
        <w:rPr>
          <w:rtl/>
          <w:lang w:bidi="ar-EG"/>
        </w:rPr>
        <w:t xml:space="preserve"> </w:t>
      </w:r>
      <w:r w:rsidR="00C9188E" w:rsidRPr="004056C1">
        <w:rPr>
          <w:rFonts w:hint="cs"/>
          <w:rtl/>
          <w:lang w:bidi="ar-EG"/>
        </w:rPr>
        <w:t>الطرف</w:t>
      </w:r>
      <w:r w:rsidR="00C9188E" w:rsidRPr="004056C1">
        <w:rPr>
          <w:rtl/>
          <w:lang w:bidi="ar-EG"/>
        </w:rPr>
        <w:t xml:space="preserve"> </w:t>
      </w:r>
      <w:r w:rsidR="00C9188E" w:rsidRPr="004056C1">
        <w:rPr>
          <w:rFonts w:hint="cs"/>
          <w:rtl/>
          <w:lang w:bidi="ar-EG"/>
        </w:rPr>
        <w:t>مدعوة</w:t>
      </w:r>
      <w:r w:rsidR="00C9188E" w:rsidRPr="004056C1">
        <w:rPr>
          <w:rtl/>
          <w:lang w:bidi="ar-EG"/>
        </w:rPr>
        <w:t xml:space="preserve"> </w:t>
      </w:r>
      <w:r w:rsidR="002634C6">
        <w:rPr>
          <w:rFonts w:hint="cs"/>
          <w:rtl/>
          <w:lang w:bidi="ar-EG"/>
        </w:rPr>
        <w:t>أيضاً</w:t>
      </w:r>
      <w:r w:rsidR="00C9188E" w:rsidRPr="004056C1">
        <w:rPr>
          <w:rtl/>
          <w:lang w:bidi="ar-EG"/>
        </w:rPr>
        <w:t xml:space="preserve"> </w:t>
      </w:r>
      <w:r w:rsidR="00C9188E" w:rsidRPr="004056C1">
        <w:rPr>
          <w:rFonts w:hint="cs"/>
          <w:rtl/>
          <w:lang w:bidi="ar-EG"/>
        </w:rPr>
        <w:t>إلى</w:t>
      </w:r>
      <w:r w:rsidR="00C9188E" w:rsidRPr="004056C1">
        <w:rPr>
          <w:rtl/>
          <w:lang w:bidi="ar-EG"/>
        </w:rPr>
        <w:t xml:space="preserve"> </w:t>
      </w:r>
      <w:r w:rsidR="00C9188E" w:rsidRPr="004056C1">
        <w:rPr>
          <w:rFonts w:hint="cs"/>
          <w:rtl/>
          <w:lang w:bidi="ar-EG"/>
        </w:rPr>
        <w:t>نشر</w:t>
      </w:r>
      <w:r w:rsidR="00C9188E" w:rsidRPr="004056C1">
        <w:rPr>
          <w:rtl/>
          <w:lang w:bidi="ar-EG"/>
        </w:rPr>
        <w:t xml:space="preserve"> </w:t>
      </w:r>
      <w:r w:rsidR="00C9188E" w:rsidRPr="004056C1">
        <w:rPr>
          <w:rFonts w:hint="cs"/>
          <w:rtl/>
          <w:lang w:bidi="ar-EG"/>
        </w:rPr>
        <w:t>هذه</w:t>
      </w:r>
      <w:r w:rsidR="00C9188E" w:rsidRPr="004056C1">
        <w:rPr>
          <w:rtl/>
          <w:lang w:bidi="ar-EG"/>
        </w:rPr>
        <w:t xml:space="preserve"> </w:t>
      </w:r>
      <w:r w:rsidR="00C9188E" w:rsidRPr="004056C1">
        <w:rPr>
          <w:rFonts w:hint="cs"/>
          <w:rtl/>
          <w:lang w:bidi="ar-EG"/>
        </w:rPr>
        <w:t>الآراء</w:t>
      </w:r>
      <w:r w:rsidR="00C9188E" w:rsidRPr="004056C1">
        <w:rPr>
          <w:rtl/>
          <w:lang w:bidi="ar-EG"/>
        </w:rPr>
        <w:t xml:space="preserve"> </w:t>
      </w:r>
      <w:r w:rsidR="00C9188E" w:rsidRPr="004056C1">
        <w:rPr>
          <w:rFonts w:hint="cs"/>
          <w:rtl/>
          <w:lang w:bidi="ar-EG"/>
        </w:rPr>
        <w:t>وتعميمها</w:t>
      </w:r>
      <w:r w:rsidR="00C9188E" w:rsidRPr="004056C1">
        <w:rPr>
          <w:rtl/>
          <w:lang w:bidi="ar-EG"/>
        </w:rPr>
        <w:t xml:space="preserve"> </w:t>
      </w:r>
      <w:r w:rsidR="00C9188E" w:rsidRPr="004056C1">
        <w:rPr>
          <w:rFonts w:hint="cs"/>
          <w:rtl/>
          <w:lang w:bidi="ar-EG"/>
        </w:rPr>
        <w:t>على</w:t>
      </w:r>
      <w:r w:rsidR="00C9188E" w:rsidRPr="004056C1">
        <w:rPr>
          <w:rtl/>
          <w:lang w:bidi="ar-EG"/>
        </w:rPr>
        <w:t xml:space="preserve"> </w:t>
      </w:r>
      <w:r w:rsidR="00C9188E" w:rsidRPr="004056C1">
        <w:rPr>
          <w:rFonts w:hint="cs"/>
          <w:rtl/>
          <w:lang w:bidi="ar-EG"/>
        </w:rPr>
        <w:t>نطاق</w:t>
      </w:r>
      <w:r w:rsidR="00C9188E" w:rsidRPr="004056C1">
        <w:rPr>
          <w:rtl/>
          <w:lang w:bidi="ar-EG"/>
        </w:rPr>
        <w:t xml:space="preserve"> </w:t>
      </w:r>
      <w:r w:rsidR="00C9188E" w:rsidRPr="004056C1">
        <w:rPr>
          <w:rFonts w:hint="cs"/>
          <w:rtl/>
          <w:lang w:bidi="ar-EG"/>
        </w:rPr>
        <w:t>واسع</w:t>
      </w:r>
      <w:r w:rsidR="00C9188E" w:rsidRPr="004056C1">
        <w:rPr>
          <w:rtl/>
          <w:lang w:bidi="ar-EG"/>
        </w:rPr>
        <w:t>.</w:t>
      </w:r>
    </w:p>
    <w:p w:rsidR="000916D0" w:rsidRPr="000916D0" w:rsidRDefault="000916D0" w:rsidP="00D90F13">
      <w:pPr>
        <w:spacing w:line="140" w:lineRule="exact"/>
        <w:jc w:val="center"/>
        <w:rPr>
          <w:u w:val="single"/>
          <w:rtl/>
          <w:lang w:bidi="ar-DZ"/>
        </w:rPr>
      </w:pPr>
      <w:r>
        <w:rPr>
          <w:u w:val="single"/>
          <w:rtl/>
          <w:lang w:bidi="ar-DZ"/>
        </w:rPr>
        <w:tab/>
      </w:r>
      <w:r>
        <w:rPr>
          <w:u w:val="single"/>
          <w:rtl/>
          <w:lang w:bidi="ar-DZ"/>
        </w:rPr>
        <w:tab/>
      </w:r>
      <w:r>
        <w:rPr>
          <w:u w:val="single"/>
          <w:rtl/>
          <w:lang w:bidi="ar-DZ"/>
        </w:rPr>
        <w:tab/>
      </w:r>
    </w:p>
    <w:sectPr w:rsidR="000916D0" w:rsidRPr="000916D0" w:rsidSect="00C36B6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39" w:rsidRPr="002901D9" w:rsidRDefault="00322339" w:rsidP="002901D9">
      <w:pPr>
        <w:spacing w:after="60" w:line="240" w:lineRule="auto"/>
        <w:rPr>
          <w:i/>
          <w:iCs/>
        </w:rPr>
      </w:pPr>
      <w:r>
        <w:rPr>
          <w:rFonts w:hint="cs"/>
          <w:i/>
          <w:iCs/>
          <w:rtl/>
        </w:rPr>
        <w:t>الحواشي</w:t>
      </w:r>
    </w:p>
  </w:endnote>
  <w:endnote w:type="continuationSeparator" w:id="0">
    <w:p w:rsidR="00322339" w:rsidRDefault="0032233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39" w:rsidRPr="00C9188E" w:rsidRDefault="00322339" w:rsidP="00C9188E">
    <w:pPr>
      <w:pStyle w:val="Footer"/>
      <w:tabs>
        <w:tab w:val="right" w:pos="9598"/>
      </w:tabs>
      <w:rPr>
        <w:sz w:val="17"/>
      </w:rPr>
    </w:pPr>
    <w:r>
      <w:rPr>
        <w:sz w:val="17"/>
      </w:rPr>
      <w:t>GE.17-10696</w:t>
    </w:r>
    <w:r>
      <w:rPr>
        <w:sz w:val="17"/>
      </w:rPr>
      <w:tab/>
    </w:r>
    <w:r w:rsidRPr="00C9188E">
      <w:rPr>
        <w:b/>
        <w:sz w:val="18"/>
      </w:rPr>
      <w:fldChar w:fldCharType="begin"/>
    </w:r>
    <w:r w:rsidRPr="00C9188E">
      <w:rPr>
        <w:b/>
        <w:sz w:val="18"/>
      </w:rPr>
      <w:instrText xml:space="preserve"> PAGE  \* MERGEFORMAT </w:instrText>
    </w:r>
    <w:r w:rsidRPr="00C9188E">
      <w:rPr>
        <w:b/>
        <w:sz w:val="18"/>
      </w:rPr>
      <w:fldChar w:fldCharType="separate"/>
    </w:r>
    <w:r w:rsidR="00EB7E4B">
      <w:rPr>
        <w:b/>
        <w:noProof/>
        <w:sz w:val="18"/>
      </w:rPr>
      <w:t>4</w:t>
    </w:r>
    <w:r w:rsidRPr="00C9188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39" w:rsidRPr="00C9188E" w:rsidRDefault="00322339" w:rsidP="006959B0">
    <w:pPr>
      <w:pStyle w:val="Footer"/>
      <w:tabs>
        <w:tab w:val="right" w:pos="9599"/>
      </w:tabs>
      <w:jc w:val="left"/>
      <w:rPr>
        <w:b/>
        <w:sz w:val="18"/>
        <w:lang w:val="en-US"/>
      </w:rPr>
    </w:pPr>
    <w:r w:rsidRPr="00C9188E">
      <w:rPr>
        <w:b/>
        <w:sz w:val="18"/>
        <w:lang w:val="en-US"/>
      </w:rPr>
      <w:fldChar w:fldCharType="begin"/>
    </w:r>
    <w:r w:rsidRPr="00C9188E">
      <w:rPr>
        <w:b/>
        <w:sz w:val="18"/>
        <w:lang w:val="en-US"/>
      </w:rPr>
      <w:instrText xml:space="preserve"> PAGE  \* MERGEFORMAT </w:instrText>
    </w:r>
    <w:r w:rsidRPr="00C9188E">
      <w:rPr>
        <w:b/>
        <w:sz w:val="18"/>
        <w:lang w:val="en-US"/>
      </w:rPr>
      <w:fldChar w:fldCharType="separate"/>
    </w:r>
    <w:r w:rsidR="00EB7E4B">
      <w:rPr>
        <w:b/>
        <w:noProof/>
        <w:sz w:val="18"/>
        <w:lang w:val="en-US"/>
      </w:rPr>
      <w:t>3</w:t>
    </w:r>
    <w:r w:rsidRPr="00C9188E">
      <w:rPr>
        <w:b/>
        <w:sz w:val="18"/>
        <w:lang w:val="en-US"/>
      </w:rPr>
      <w:fldChar w:fldCharType="end"/>
    </w:r>
    <w:r>
      <w:rPr>
        <w:b/>
        <w:sz w:val="18"/>
        <w:lang w:val="en-US"/>
      </w:rPr>
      <w:tab/>
    </w:r>
    <w:r>
      <w:rPr>
        <w:sz w:val="17"/>
        <w:lang w:val="en-US"/>
      </w:rPr>
      <w:t>GE.17-10696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39" w:rsidRDefault="00322339" w:rsidP="00982139">
    <w:pPr>
      <w:pStyle w:val="Footer"/>
      <w:spacing w:before="360"/>
      <w:jc w:val="right"/>
      <w:rPr>
        <w:sz w:val="20"/>
        <w:szCs w:val="20"/>
      </w:rPr>
    </w:pPr>
    <w:r>
      <w:rPr>
        <w:sz w:val="20"/>
        <w:szCs w:val="20"/>
      </w:rPr>
      <w:t>GE.17-10696</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22339" w:rsidRPr="00C36B6B" w:rsidRDefault="00322339" w:rsidP="00C36B6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39" w:rsidRDefault="00322339" w:rsidP="000437B8">
      <w:pPr>
        <w:pStyle w:val="Footer"/>
        <w:bidi/>
        <w:spacing w:after="80" w:line="200" w:lineRule="exact"/>
        <w:ind w:left="680"/>
      </w:pPr>
      <w:r>
        <w:rPr>
          <w:rtl/>
        </w:rPr>
        <w:t>__________</w:t>
      </w:r>
    </w:p>
  </w:footnote>
  <w:footnote w:type="continuationSeparator" w:id="0">
    <w:p w:rsidR="00322339" w:rsidRDefault="00322339" w:rsidP="00656392">
      <w:pPr>
        <w:spacing w:line="240" w:lineRule="auto"/>
      </w:pPr>
      <w:r>
        <w:continuationSeparator/>
      </w:r>
    </w:p>
  </w:footnote>
  <w:footnote w:id="1">
    <w:p w:rsidR="00322339" w:rsidRPr="00C34C06" w:rsidRDefault="00322339" w:rsidP="00FF698C">
      <w:pPr>
        <w:pStyle w:val="FootnoteText1"/>
        <w:rPr>
          <w:lang w:bidi="ar-DZ"/>
        </w:rPr>
      </w:pPr>
      <w:r w:rsidRPr="00C34C06">
        <w:rPr>
          <w:rtl/>
          <w:lang w:bidi="ar-DZ"/>
        </w:rPr>
        <w:t>*</w:t>
      </w:r>
      <w:r w:rsidRPr="00C34C06">
        <w:rPr>
          <w:rtl/>
          <w:lang w:bidi="ar-DZ"/>
        </w:rPr>
        <w:tab/>
        <w:t>آراء اعتمدتها اللجنة في دورتها التاسعة عشرة بعد المائة (</w:t>
      </w:r>
      <w:r>
        <w:rPr>
          <w:rFonts w:hint="cs"/>
          <w:rtl/>
          <w:lang w:bidi="ar-DZ"/>
        </w:rPr>
        <w:t>6</w:t>
      </w:r>
      <w:r>
        <w:rPr>
          <w:rtl/>
          <w:lang w:bidi="ar-DZ"/>
        </w:rPr>
        <w:noBreakHyphen/>
      </w:r>
      <w:r>
        <w:rPr>
          <w:rFonts w:hint="cs"/>
          <w:rtl/>
          <w:lang w:bidi="ar-DZ"/>
        </w:rPr>
        <w:t xml:space="preserve">29 </w:t>
      </w:r>
      <w:r w:rsidRPr="00C34C06">
        <w:rPr>
          <w:rtl/>
          <w:lang w:bidi="ar-DZ"/>
        </w:rPr>
        <w:t>آذار/مارس 2017)</w:t>
      </w:r>
      <w:r w:rsidRPr="00C34C06">
        <w:rPr>
          <w:rFonts w:hint="cs"/>
          <w:rtl/>
          <w:lang w:bidi="ar-DZ"/>
        </w:rPr>
        <w:t xml:space="preserve">. </w:t>
      </w:r>
    </w:p>
  </w:footnote>
  <w:footnote w:id="2">
    <w:p w:rsidR="00322339" w:rsidRPr="00C34C06" w:rsidRDefault="00322339" w:rsidP="003E7E4C">
      <w:pPr>
        <w:pStyle w:val="FootnoteText1"/>
        <w:rPr>
          <w:lang w:bidi="ar-DZ"/>
        </w:rPr>
      </w:pPr>
      <w:r w:rsidRPr="00085928">
        <w:rPr>
          <w:spacing w:val="-6"/>
          <w:rtl/>
          <w:lang w:bidi="ar-DZ"/>
        </w:rPr>
        <w:t>**</w:t>
      </w:r>
      <w:r w:rsidRPr="00085928">
        <w:rPr>
          <w:spacing w:val="-6"/>
          <w:rtl/>
          <w:lang w:bidi="ar-DZ"/>
        </w:rPr>
        <w:tab/>
        <w:t xml:space="preserve">شارك في دراسة هذا البلاغ أعضاء اللجنة التالية أسماؤهم: السيدة تانيا ماريا أبدو </w:t>
      </w:r>
      <w:proofErr w:type="spellStart"/>
      <w:r w:rsidRPr="00085928">
        <w:rPr>
          <w:spacing w:val="-6"/>
          <w:rtl/>
          <w:lang w:bidi="ar-DZ"/>
        </w:rPr>
        <w:t>روشول</w:t>
      </w:r>
      <w:proofErr w:type="spellEnd"/>
      <w:r w:rsidRPr="00085928">
        <w:rPr>
          <w:spacing w:val="-6"/>
          <w:rtl/>
          <w:lang w:bidi="ar-DZ"/>
        </w:rPr>
        <w:t>، والسيد عياض بن عاشور</w:t>
      </w:r>
      <w:r w:rsidRPr="00C34C06">
        <w:rPr>
          <w:rtl/>
          <w:lang w:bidi="ar-DZ"/>
        </w:rPr>
        <w:t xml:space="preserve">، والسيدة </w:t>
      </w:r>
      <w:proofErr w:type="spellStart"/>
      <w:r w:rsidRPr="00C34C06">
        <w:rPr>
          <w:rtl/>
          <w:lang w:bidi="ar-DZ"/>
        </w:rPr>
        <w:t>إيلزي</w:t>
      </w:r>
      <w:proofErr w:type="spellEnd"/>
      <w:r w:rsidRPr="00C34C06">
        <w:rPr>
          <w:rtl/>
          <w:lang w:bidi="ar-DZ"/>
        </w:rPr>
        <w:t xml:space="preserve"> </w:t>
      </w:r>
      <w:proofErr w:type="spellStart"/>
      <w:r w:rsidRPr="00C34C06">
        <w:rPr>
          <w:rtl/>
          <w:lang w:bidi="ar-DZ"/>
        </w:rPr>
        <w:t>براندز</w:t>
      </w:r>
      <w:proofErr w:type="spellEnd"/>
      <w:r w:rsidRPr="00C34C06">
        <w:rPr>
          <w:rtl/>
          <w:lang w:bidi="ar-DZ"/>
        </w:rPr>
        <w:t xml:space="preserve"> </w:t>
      </w:r>
      <w:proofErr w:type="spellStart"/>
      <w:r w:rsidRPr="00C34C06">
        <w:rPr>
          <w:rtl/>
          <w:lang w:bidi="ar-DZ"/>
        </w:rPr>
        <w:t>كيريس</w:t>
      </w:r>
      <w:proofErr w:type="spellEnd"/>
      <w:r w:rsidRPr="00C34C06">
        <w:rPr>
          <w:rtl/>
          <w:lang w:bidi="ar-DZ"/>
        </w:rPr>
        <w:t xml:space="preserve">، والسيدة سارة كليفلاند، والسيد </w:t>
      </w:r>
      <w:proofErr w:type="spellStart"/>
      <w:r w:rsidRPr="00C34C06">
        <w:rPr>
          <w:rtl/>
          <w:lang w:bidi="ar-DZ"/>
        </w:rPr>
        <w:t>أوليفييه</w:t>
      </w:r>
      <w:proofErr w:type="spellEnd"/>
      <w:r w:rsidRPr="00C34C06">
        <w:rPr>
          <w:rtl/>
          <w:lang w:bidi="ar-DZ"/>
        </w:rPr>
        <w:t xml:space="preserve"> دي </w:t>
      </w:r>
      <w:proofErr w:type="spellStart"/>
      <w:r w:rsidRPr="00C34C06">
        <w:rPr>
          <w:rtl/>
          <w:lang w:bidi="ar-DZ"/>
        </w:rPr>
        <w:t>فروفيل</w:t>
      </w:r>
      <w:proofErr w:type="spellEnd"/>
      <w:r w:rsidRPr="00C34C06">
        <w:rPr>
          <w:rtl/>
          <w:lang w:bidi="ar-DZ"/>
        </w:rPr>
        <w:t xml:space="preserve">، والسيد أمين فتح الله، والسيد كريستوف </w:t>
      </w:r>
      <w:proofErr w:type="spellStart"/>
      <w:r w:rsidRPr="00C34C06">
        <w:rPr>
          <w:rtl/>
          <w:lang w:bidi="ar-DZ"/>
        </w:rPr>
        <w:t>هينس</w:t>
      </w:r>
      <w:proofErr w:type="spellEnd"/>
      <w:r w:rsidRPr="00C34C06">
        <w:rPr>
          <w:rtl/>
          <w:lang w:bidi="ar-DZ"/>
        </w:rPr>
        <w:t xml:space="preserve">، والسيد يوجي </w:t>
      </w:r>
      <w:proofErr w:type="spellStart"/>
      <w:r w:rsidRPr="00C34C06">
        <w:rPr>
          <w:rtl/>
          <w:lang w:bidi="ar-DZ"/>
        </w:rPr>
        <w:t>إواساوا</w:t>
      </w:r>
      <w:proofErr w:type="spellEnd"/>
      <w:r w:rsidRPr="00C34C06">
        <w:rPr>
          <w:rtl/>
          <w:lang w:bidi="ar-DZ"/>
        </w:rPr>
        <w:t xml:space="preserve">، والسيد </w:t>
      </w:r>
      <w:proofErr w:type="spellStart"/>
      <w:r w:rsidRPr="00C34C06">
        <w:rPr>
          <w:rtl/>
          <w:lang w:bidi="ar-DZ"/>
        </w:rPr>
        <w:t>بامارميام</w:t>
      </w:r>
      <w:proofErr w:type="spellEnd"/>
      <w:r w:rsidRPr="00C34C06">
        <w:rPr>
          <w:rtl/>
          <w:lang w:bidi="ar-DZ"/>
        </w:rPr>
        <w:t xml:space="preserve"> كويتا، والسيدة </w:t>
      </w:r>
      <w:proofErr w:type="spellStart"/>
      <w:r w:rsidRPr="00C34C06">
        <w:rPr>
          <w:rtl/>
          <w:lang w:bidi="ar-DZ"/>
        </w:rPr>
        <w:t>مارسيا</w:t>
      </w:r>
      <w:proofErr w:type="spellEnd"/>
      <w:r w:rsidRPr="00C34C06">
        <w:rPr>
          <w:rtl/>
          <w:lang w:bidi="ar-DZ"/>
        </w:rPr>
        <w:t xml:space="preserve"> في جي كران، والسيد</w:t>
      </w:r>
      <w:r w:rsidR="003E7E4C">
        <w:rPr>
          <w:rFonts w:hint="cs"/>
          <w:rtl/>
          <w:lang w:bidi="ar-DZ"/>
        </w:rPr>
        <w:t> </w:t>
      </w:r>
      <w:proofErr w:type="spellStart"/>
      <w:r w:rsidRPr="00C34C06">
        <w:rPr>
          <w:rtl/>
          <w:lang w:bidi="ar-DZ"/>
        </w:rPr>
        <w:t>دنكان</w:t>
      </w:r>
      <w:proofErr w:type="spellEnd"/>
      <w:r w:rsidRPr="00C34C06">
        <w:rPr>
          <w:rtl/>
          <w:lang w:bidi="ar-DZ"/>
        </w:rPr>
        <w:t xml:space="preserve"> </w:t>
      </w:r>
      <w:proofErr w:type="spellStart"/>
      <w:r w:rsidRPr="00C34C06">
        <w:rPr>
          <w:rtl/>
          <w:lang w:bidi="ar-DZ"/>
        </w:rPr>
        <w:t>لاكي</w:t>
      </w:r>
      <w:proofErr w:type="spellEnd"/>
      <w:r w:rsidRPr="00C34C06">
        <w:rPr>
          <w:rtl/>
          <w:lang w:bidi="ar-DZ"/>
        </w:rPr>
        <w:t xml:space="preserve"> </w:t>
      </w:r>
      <w:proofErr w:type="spellStart"/>
      <w:r w:rsidRPr="00C34C06">
        <w:rPr>
          <w:rtl/>
          <w:lang w:bidi="ar-DZ"/>
        </w:rPr>
        <w:t>موهوموزا</w:t>
      </w:r>
      <w:proofErr w:type="spellEnd"/>
      <w:r w:rsidRPr="00C34C06">
        <w:rPr>
          <w:rtl/>
          <w:lang w:bidi="ar-DZ"/>
        </w:rPr>
        <w:t xml:space="preserve">، والسيد </w:t>
      </w:r>
      <w:proofErr w:type="spellStart"/>
      <w:r w:rsidRPr="00C34C06">
        <w:rPr>
          <w:rtl/>
          <w:lang w:bidi="ar-DZ"/>
        </w:rPr>
        <w:t>ماورو</w:t>
      </w:r>
      <w:proofErr w:type="spellEnd"/>
      <w:r w:rsidRPr="00C34C06">
        <w:rPr>
          <w:rtl/>
          <w:lang w:bidi="ar-DZ"/>
        </w:rPr>
        <w:t xml:space="preserve"> بوليتي، والسيد خوسي مانويل سانتوس </w:t>
      </w:r>
      <w:proofErr w:type="spellStart"/>
      <w:r w:rsidRPr="00C34C06">
        <w:rPr>
          <w:rtl/>
          <w:lang w:bidi="ar-DZ"/>
        </w:rPr>
        <w:t>باييس</w:t>
      </w:r>
      <w:proofErr w:type="spellEnd"/>
      <w:r w:rsidRPr="00C34C06">
        <w:rPr>
          <w:rtl/>
          <w:lang w:bidi="ar-DZ"/>
        </w:rPr>
        <w:t xml:space="preserve">، والسيدة آنيا </w:t>
      </w:r>
      <w:proofErr w:type="spellStart"/>
      <w:r w:rsidRPr="00C34C06">
        <w:rPr>
          <w:rtl/>
          <w:lang w:bidi="ar-DZ"/>
        </w:rPr>
        <w:t>زايبرت</w:t>
      </w:r>
      <w:proofErr w:type="spellEnd"/>
      <w:r w:rsidRPr="00C34C06">
        <w:rPr>
          <w:rtl/>
          <w:lang w:bidi="ar-DZ"/>
        </w:rPr>
        <w:t xml:space="preserve"> - فور، والسيد يوفال </w:t>
      </w:r>
      <w:proofErr w:type="spellStart"/>
      <w:r w:rsidRPr="00C34C06">
        <w:rPr>
          <w:rtl/>
          <w:lang w:bidi="ar-DZ"/>
        </w:rPr>
        <w:t>شاني</w:t>
      </w:r>
      <w:proofErr w:type="spellEnd"/>
      <w:r w:rsidRPr="00C34C06">
        <w:rPr>
          <w:rtl/>
          <w:lang w:bidi="ar-DZ"/>
        </w:rPr>
        <w:t xml:space="preserve">، والسيدة مارغو </w:t>
      </w:r>
      <w:proofErr w:type="spellStart"/>
      <w:r w:rsidRPr="00C34C06">
        <w:rPr>
          <w:rtl/>
          <w:lang w:bidi="ar-DZ"/>
        </w:rPr>
        <w:t>واترفال</w:t>
      </w:r>
      <w:proofErr w:type="spellEnd"/>
      <w:r w:rsidRPr="00C34C06">
        <w:rPr>
          <w:rtl/>
          <w:lang w:bidi="ar-DZ"/>
        </w:rPr>
        <w:t>.</w:t>
      </w:r>
      <w:r w:rsidRPr="00C34C06">
        <w:rPr>
          <w:rFonts w:cs="Times New Roman" w:hint="cs"/>
          <w:rtl/>
          <w:lang w:bidi="ar-DZ"/>
        </w:rPr>
        <w:t xml:space="preserve">‬ </w:t>
      </w:r>
    </w:p>
  </w:footnote>
  <w:footnote w:id="3">
    <w:p w:rsidR="00322339" w:rsidRPr="00C34C06" w:rsidRDefault="00322339" w:rsidP="002634C6">
      <w:pPr>
        <w:pStyle w:val="FootnoteText1"/>
        <w:rPr>
          <w:lang w:bidi="ar-DZ"/>
        </w:rPr>
      </w:pPr>
      <w:r w:rsidRPr="00C34C06">
        <w:rPr>
          <w:rStyle w:val="FootnoteReference"/>
          <w:vertAlign w:val="baseline"/>
          <w:rtl/>
        </w:rPr>
        <w:t>(</w:t>
      </w:r>
      <w:r w:rsidRPr="00C34C06">
        <w:rPr>
          <w:rStyle w:val="FootnoteReference"/>
          <w:vertAlign w:val="baseline"/>
          <w:rtl/>
        </w:rPr>
        <w:footnoteRef/>
      </w:r>
      <w:r w:rsidRPr="00C34C06">
        <w:rPr>
          <w:rStyle w:val="FootnoteReference"/>
          <w:vertAlign w:val="baseline"/>
          <w:rtl/>
        </w:rPr>
        <w:t>)</w:t>
      </w:r>
      <w:r w:rsidRPr="00C34C06">
        <w:rPr>
          <w:sz w:val="26"/>
          <w:rtl/>
        </w:rPr>
        <w:tab/>
      </w:r>
      <w:r w:rsidRPr="00C34C06">
        <w:rPr>
          <w:rtl/>
        </w:rPr>
        <w:t xml:space="preserve">حسب شهادة طبية بعد إجراء العملية صادرة عن مستشفى </w:t>
      </w:r>
      <w:r w:rsidRPr="00C34C06">
        <w:t>Phuket International Hospital</w:t>
      </w:r>
      <w:r w:rsidRPr="00C34C06">
        <w:rPr>
          <w:rtl/>
        </w:rPr>
        <w:t xml:space="preserve"> بتايلند، في 20 تشرين الأول/أكتوبر</w:t>
      </w:r>
      <w:r>
        <w:rPr>
          <w:rFonts w:hint="cs"/>
          <w:rtl/>
        </w:rPr>
        <w:t xml:space="preserve"> </w:t>
      </w:r>
      <w:r w:rsidRPr="00C34C06">
        <w:rPr>
          <w:rtl/>
        </w:rPr>
        <w:t xml:space="preserve">2005، خضعت صاحبة البلاغ لعملية جراحية لا رجعة فيها تتألف من مرحلتين لتغيير نوع الجنس من ذكر إلى أنثى في 5 و14 تشرين الأول/أكتوبر 2005. وأُجريت العملية بنجاح. </w:t>
      </w:r>
    </w:p>
  </w:footnote>
  <w:footnote w:id="4">
    <w:p w:rsidR="00322339" w:rsidRPr="003F61A6" w:rsidRDefault="00322339" w:rsidP="003F61A6">
      <w:pPr>
        <w:pStyle w:val="FootnoteText1"/>
        <w:rPr>
          <w:spacing w:val="-6"/>
          <w:rtl/>
        </w:rPr>
      </w:pPr>
      <w:r w:rsidRPr="003F61A6">
        <w:rPr>
          <w:rStyle w:val="FootnoteReference"/>
          <w:spacing w:val="-6"/>
          <w:vertAlign w:val="baseline"/>
          <w:rtl/>
        </w:rPr>
        <w:t>(</w:t>
      </w:r>
      <w:r w:rsidRPr="003F61A6">
        <w:rPr>
          <w:rStyle w:val="FootnoteReference"/>
          <w:spacing w:val="-6"/>
          <w:vertAlign w:val="baseline"/>
          <w:rtl/>
        </w:rPr>
        <w:footnoteRef/>
      </w:r>
      <w:r w:rsidRPr="003F61A6">
        <w:rPr>
          <w:rStyle w:val="FootnoteReference"/>
          <w:spacing w:val="-6"/>
          <w:vertAlign w:val="baseline"/>
          <w:rtl/>
        </w:rPr>
        <w:t>)</w:t>
      </w:r>
      <w:r w:rsidRPr="003F61A6">
        <w:rPr>
          <w:spacing w:val="-6"/>
          <w:rtl/>
        </w:rPr>
        <w:tab/>
      </w:r>
      <w:r w:rsidRPr="003F61A6">
        <w:rPr>
          <w:i/>
          <w:iCs/>
          <w:spacing w:val="-6"/>
          <w:lang w:bidi="ar-EG"/>
        </w:rPr>
        <w:t>Attorney-General for the Commonwealth</w:t>
      </w:r>
      <w:r w:rsidRPr="003F61A6">
        <w:rPr>
          <w:spacing w:val="-6"/>
          <w:lang w:bidi="ar-EG"/>
        </w:rPr>
        <w:t xml:space="preserve"> v. “Kevin and Jennifer”, [2003] </w:t>
      </w:r>
      <w:proofErr w:type="spellStart"/>
      <w:r w:rsidRPr="003F61A6">
        <w:rPr>
          <w:spacing w:val="-6"/>
          <w:lang w:bidi="ar-EG"/>
        </w:rPr>
        <w:t>FamCA</w:t>
      </w:r>
      <w:proofErr w:type="spellEnd"/>
      <w:r w:rsidRPr="003F61A6">
        <w:rPr>
          <w:spacing w:val="-6"/>
          <w:lang w:bidi="ar-EG"/>
        </w:rPr>
        <w:t xml:space="preserve"> 94 (21 February 2003</w:t>
      </w:r>
      <w:r>
        <w:rPr>
          <w:spacing w:val="-6"/>
          <w:lang w:bidi="ar-EG"/>
        </w:rPr>
        <w:t>)</w:t>
      </w:r>
      <w:r>
        <w:rPr>
          <w:rFonts w:hint="cs"/>
          <w:spacing w:val="-6"/>
          <w:rtl/>
          <w:lang w:bidi="ar-EG"/>
        </w:rPr>
        <w:t>.</w:t>
      </w:r>
    </w:p>
  </w:footnote>
  <w:footnote w:id="5">
    <w:p w:rsidR="00322339" w:rsidRPr="0001174F" w:rsidRDefault="00322339" w:rsidP="00385099">
      <w:pPr>
        <w:pStyle w:val="FootnoteText1"/>
        <w:rPr>
          <w:spacing w:val="-2"/>
          <w:rtl/>
          <w:lang w:bidi="ar-EG"/>
        </w:rPr>
      </w:pPr>
      <w:r w:rsidRPr="0001174F">
        <w:rPr>
          <w:rStyle w:val="FootnoteReference"/>
          <w:spacing w:val="-2"/>
          <w:vertAlign w:val="baseline"/>
          <w:rtl/>
        </w:rPr>
        <w:t>(</w:t>
      </w:r>
      <w:r w:rsidRPr="0001174F">
        <w:rPr>
          <w:rStyle w:val="FootnoteReference"/>
          <w:spacing w:val="-2"/>
          <w:vertAlign w:val="baseline"/>
          <w:rtl/>
        </w:rPr>
        <w:footnoteRef/>
      </w:r>
      <w:r w:rsidRPr="0001174F">
        <w:rPr>
          <w:rStyle w:val="FootnoteReference"/>
          <w:spacing w:val="-2"/>
          <w:vertAlign w:val="baseline"/>
          <w:rtl/>
        </w:rPr>
        <w:t>)</w:t>
      </w:r>
      <w:r w:rsidRPr="0001174F">
        <w:rPr>
          <w:spacing w:val="-2"/>
          <w:rtl/>
        </w:rPr>
        <w:tab/>
      </w:r>
      <w:r w:rsidRPr="0001174F">
        <w:rPr>
          <w:rFonts w:hint="cs"/>
          <w:spacing w:val="-2"/>
          <w:rtl/>
        </w:rPr>
        <w:t xml:space="preserve">ينص الفرع 32 </w:t>
      </w:r>
      <w:proofErr w:type="gramStart"/>
      <w:r w:rsidRPr="0001174F">
        <w:rPr>
          <w:rFonts w:hint="cs"/>
          <w:spacing w:val="-2"/>
          <w:rtl/>
        </w:rPr>
        <w:t>باء(</w:t>
      </w:r>
      <w:proofErr w:type="gramEnd"/>
      <w:r w:rsidRPr="0001174F">
        <w:rPr>
          <w:rFonts w:hint="cs"/>
          <w:spacing w:val="-2"/>
          <w:rtl/>
        </w:rPr>
        <w:t xml:space="preserve">1) من قانون تسجيل المواليد والوفيات والزيجات لعام 1995 على ما يلي: "يجوز للشخص البالغ من العمر 18 سنة فأكثر ... المسجل ميلاده في نيو </w:t>
      </w:r>
      <w:proofErr w:type="spellStart"/>
      <w:r w:rsidRPr="0001174F">
        <w:rPr>
          <w:rFonts w:hint="cs"/>
          <w:spacing w:val="-2"/>
          <w:rtl/>
        </w:rPr>
        <w:t>ثاوث</w:t>
      </w:r>
      <w:proofErr w:type="spellEnd"/>
      <w:r w:rsidRPr="0001174F">
        <w:rPr>
          <w:rFonts w:hint="cs"/>
          <w:spacing w:val="-2"/>
          <w:rtl/>
        </w:rPr>
        <w:t xml:space="preserve"> ويلز ... أجرى عملية لتأكيد نوع الجنس و... لم يكن متزوجاً أن يطلب من السجل، في شكل يوافق عليه المسجل، تغيير السجل الخاص بجنس الشخص في تسجيل ميلاد الشخص." وينص الفرع 32 </w:t>
      </w:r>
      <w:proofErr w:type="gramStart"/>
      <w:r w:rsidRPr="0001174F">
        <w:rPr>
          <w:rFonts w:hint="cs"/>
          <w:spacing w:val="-2"/>
          <w:rtl/>
        </w:rPr>
        <w:t>دال(</w:t>
      </w:r>
      <w:proofErr w:type="gramEnd"/>
      <w:r w:rsidRPr="0001174F">
        <w:rPr>
          <w:rFonts w:hint="cs"/>
          <w:spacing w:val="-2"/>
          <w:rtl/>
        </w:rPr>
        <w:t>3) من قانون المواليد والوفيات والزيجات لعام</w:t>
      </w:r>
      <w:r w:rsidRPr="0001174F">
        <w:rPr>
          <w:rFonts w:hint="eastAsia"/>
          <w:spacing w:val="-2"/>
          <w:rtl/>
        </w:rPr>
        <w:t> </w:t>
      </w:r>
      <w:r w:rsidRPr="0001174F">
        <w:rPr>
          <w:rFonts w:hint="cs"/>
          <w:spacing w:val="-2"/>
          <w:rtl/>
        </w:rPr>
        <w:t>1955 على "يجب ألَّا يتم تغيير السجل الخاص بنوع الجنس إذا كان الشخص متزوجاً". وينص الفرع</w:t>
      </w:r>
      <w:r w:rsidRPr="0001174F">
        <w:rPr>
          <w:rFonts w:hint="eastAsia"/>
          <w:spacing w:val="-2"/>
          <w:rtl/>
        </w:rPr>
        <w:t> </w:t>
      </w:r>
      <w:r w:rsidRPr="0001174F">
        <w:rPr>
          <w:rFonts w:hint="cs"/>
          <w:spacing w:val="-2"/>
          <w:rtl/>
        </w:rPr>
        <w:t xml:space="preserve">321 من القانون نفسه على أن الشخص الذي يغير سجل جنسه بموجب الفرع 32 </w:t>
      </w:r>
      <w:proofErr w:type="gramStart"/>
      <w:r w:rsidRPr="0001174F">
        <w:rPr>
          <w:rFonts w:hint="cs"/>
          <w:spacing w:val="-2"/>
          <w:rtl/>
        </w:rPr>
        <w:t>باء(</w:t>
      </w:r>
      <w:proofErr w:type="gramEnd"/>
      <w:r w:rsidRPr="0001174F">
        <w:rPr>
          <w:rFonts w:hint="cs"/>
          <w:spacing w:val="-2"/>
          <w:rtl/>
        </w:rPr>
        <w:t>1) يعتبر منتميا</w:t>
      </w:r>
      <w:r w:rsidR="009B7B22">
        <w:rPr>
          <w:rFonts w:hint="cs"/>
          <w:spacing w:val="-2"/>
          <w:rtl/>
        </w:rPr>
        <w:t>ً</w:t>
      </w:r>
      <w:r w:rsidRPr="0001174F">
        <w:rPr>
          <w:rFonts w:hint="cs"/>
          <w:spacing w:val="-2"/>
          <w:rtl/>
        </w:rPr>
        <w:t xml:space="preserve"> إلى ذلك الجنس لجميع قوانين نيو </w:t>
      </w:r>
      <w:proofErr w:type="spellStart"/>
      <w:r w:rsidRPr="0001174F">
        <w:rPr>
          <w:rFonts w:hint="cs"/>
          <w:spacing w:val="-2"/>
          <w:rtl/>
        </w:rPr>
        <w:t>ثاوث</w:t>
      </w:r>
      <w:proofErr w:type="spellEnd"/>
      <w:r w:rsidRPr="0001174F">
        <w:rPr>
          <w:rFonts w:hint="cs"/>
          <w:spacing w:val="-2"/>
          <w:rtl/>
        </w:rPr>
        <w:t xml:space="preserve"> ويلز ويتمتع الفرد بحق أن يعامل بموجب القانون بجنسه المعاد تحديده.</w:t>
      </w:r>
    </w:p>
  </w:footnote>
  <w:footnote w:id="6">
    <w:p w:rsidR="00322339" w:rsidRPr="00C34C06" w:rsidRDefault="00322339" w:rsidP="002A1C74">
      <w:pPr>
        <w:pStyle w:val="FootnoteText1"/>
        <w:rPr>
          <w:rtl/>
          <w:lang w:bidi="ar-EG"/>
        </w:rPr>
      </w:pPr>
      <w:r w:rsidRPr="00C34C06">
        <w:rPr>
          <w:rStyle w:val="FootnoteReference"/>
          <w:vertAlign w:val="baseline"/>
          <w:rtl/>
        </w:rPr>
        <w:t>(</w:t>
      </w:r>
      <w:r w:rsidRPr="00C34C06">
        <w:rPr>
          <w:rStyle w:val="FootnoteReference"/>
          <w:vertAlign w:val="baseline"/>
          <w:rtl/>
        </w:rPr>
        <w:footnoteRef/>
      </w:r>
      <w:r w:rsidRPr="00C34C06">
        <w:rPr>
          <w:rStyle w:val="FootnoteReference"/>
          <w:vertAlign w:val="baseline"/>
          <w:rtl/>
        </w:rPr>
        <w:t>)</w:t>
      </w:r>
      <w:r w:rsidRPr="00C34C06">
        <w:rPr>
          <w:rtl/>
        </w:rPr>
        <w:tab/>
      </w:r>
      <w:r w:rsidRPr="00C34C06">
        <w:rPr>
          <w:rFonts w:hint="cs"/>
          <w:rtl/>
        </w:rPr>
        <w:t xml:space="preserve">انظر الفرعين 38 ألف و38 باء من قانون </w:t>
      </w:r>
      <w:proofErr w:type="spellStart"/>
      <w:r w:rsidRPr="00C34C06">
        <w:rPr>
          <w:rFonts w:hint="cs"/>
          <w:rtl/>
        </w:rPr>
        <w:t>نيوثاوث</w:t>
      </w:r>
      <w:proofErr w:type="spellEnd"/>
      <w:r w:rsidRPr="00C34C06">
        <w:rPr>
          <w:rFonts w:hint="cs"/>
          <w:rtl/>
        </w:rPr>
        <w:t xml:space="preserve"> ويلز لمكافحة التمييز لعام 1977.</w:t>
      </w:r>
    </w:p>
  </w:footnote>
  <w:footnote w:id="7">
    <w:p w:rsidR="00322339" w:rsidRPr="00C34C06" w:rsidRDefault="00322339" w:rsidP="002A1C74">
      <w:pPr>
        <w:pStyle w:val="FootnoteText1"/>
        <w:rPr>
          <w:rtl/>
          <w:lang w:bidi="ar-EG"/>
        </w:rPr>
      </w:pPr>
      <w:r w:rsidRPr="00C34C06">
        <w:rPr>
          <w:rStyle w:val="FootnoteReference"/>
          <w:vertAlign w:val="baseline"/>
          <w:rtl/>
        </w:rPr>
        <w:t>(</w:t>
      </w:r>
      <w:r w:rsidRPr="00C34C06">
        <w:rPr>
          <w:rStyle w:val="FootnoteReference"/>
          <w:vertAlign w:val="baseline"/>
          <w:rtl/>
        </w:rPr>
        <w:footnoteRef/>
      </w:r>
      <w:r w:rsidRPr="00C34C06">
        <w:rPr>
          <w:rStyle w:val="FootnoteReference"/>
          <w:vertAlign w:val="baseline"/>
          <w:rtl/>
        </w:rPr>
        <w:t>)</w:t>
      </w:r>
      <w:r w:rsidRPr="00C34C06">
        <w:rPr>
          <w:rtl/>
        </w:rPr>
        <w:tab/>
      </w:r>
      <w:r w:rsidRPr="00C34C06">
        <w:rPr>
          <w:rFonts w:hint="cs"/>
          <w:rtl/>
        </w:rPr>
        <w:t xml:space="preserve">انظر استعراض مجلس مكافحة التمييز لقانون تسجيل المواليد والوفيات والزيجات لعام 1995 (نيو </w:t>
      </w:r>
      <w:proofErr w:type="spellStart"/>
      <w:r w:rsidRPr="00C34C06">
        <w:rPr>
          <w:rFonts w:hint="cs"/>
          <w:rtl/>
        </w:rPr>
        <w:t>ثاوث</w:t>
      </w:r>
      <w:proofErr w:type="spellEnd"/>
      <w:r w:rsidRPr="00C34C06">
        <w:rPr>
          <w:rFonts w:hint="cs"/>
          <w:rtl/>
        </w:rPr>
        <w:t xml:space="preserve"> ويلز)، 2001.</w:t>
      </w:r>
    </w:p>
  </w:footnote>
  <w:footnote w:id="8">
    <w:p w:rsidR="00322339" w:rsidRPr="00407716" w:rsidRDefault="00322339" w:rsidP="002A1C74">
      <w:pPr>
        <w:pStyle w:val="FootnoteText1"/>
        <w:rPr>
          <w:rtl/>
        </w:rPr>
      </w:pPr>
      <w:r w:rsidRPr="00C34C06">
        <w:rPr>
          <w:rStyle w:val="FootnoteReference"/>
          <w:vertAlign w:val="baseline"/>
          <w:rtl/>
        </w:rPr>
        <w:t>(</w:t>
      </w:r>
      <w:r w:rsidRPr="00C34C06">
        <w:rPr>
          <w:rStyle w:val="FootnoteReference"/>
          <w:vertAlign w:val="baseline"/>
          <w:rtl/>
        </w:rPr>
        <w:footnoteRef/>
      </w:r>
      <w:r w:rsidRPr="00C34C06">
        <w:rPr>
          <w:rStyle w:val="FootnoteReference"/>
          <w:vertAlign w:val="baseline"/>
          <w:rtl/>
        </w:rPr>
        <w:t>)</w:t>
      </w:r>
      <w:r w:rsidRPr="00C34C06">
        <w:rPr>
          <w:rtl/>
        </w:rPr>
        <w:tab/>
      </w:r>
      <w:r w:rsidRPr="00C34C06">
        <w:rPr>
          <w:i/>
          <w:iCs/>
          <w:lang w:bidi="ar-EG"/>
        </w:rPr>
        <w:t xml:space="preserve">AB v. Registrar of Births, Deaths and Marriages, </w:t>
      </w:r>
      <w:r w:rsidRPr="00C34C06">
        <w:rPr>
          <w:lang w:bidi="ar-EG"/>
        </w:rPr>
        <w:t>[2006] FCA 1071</w:t>
      </w:r>
      <w:r>
        <w:rPr>
          <w:rFonts w:hint="cs"/>
          <w:rtl/>
        </w:rPr>
        <w:t>.</w:t>
      </w:r>
    </w:p>
  </w:footnote>
  <w:footnote w:id="9">
    <w:p w:rsidR="00322339" w:rsidRPr="00C34C06" w:rsidRDefault="00322339" w:rsidP="002A1C74">
      <w:pPr>
        <w:pStyle w:val="FootnoteText1"/>
        <w:rPr>
          <w:rtl/>
        </w:rPr>
      </w:pPr>
      <w:r w:rsidRPr="00C34C06">
        <w:rPr>
          <w:rStyle w:val="FootnoteReference"/>
          <w:vertAlign w:val="baseline"/>
          <w:rtl/>
        </w:rPr>
        <w:t>(</w:t>
      </w:r>
      <w:r w:rsidRPr="00C34C06">
        <w:rPr>
          <w:rStyle w:val="FootnoteReference"/>
          <w:vertAlign w:val="baseline"/>
          <w:rtl/>
        </w:rPr>
        <w:footnoteRef/>
      </w:r>
      <w:r w:rsidRPr="00C34C06">
        <w:rPr>
          <w:rStyle w:val="FootnoteReference"/>
          <w:vertAlign w:val="baseline"/>
          <w:rtl/>
        </w:rPr>
        <w:t>)</w:t>
      </w:r>
      <w:r w:rsidRPr="00C34C06">
        <w:rPr>
          <w:rtl/>
        </w:rPr>
        <w:tab/>
      </w:r>
      <w:r w:rsidRPr="00C34C06">
        <w:rPr>
          <w:i/>
          <w:iCs/>
          <w:lang w:bidi="ar-EG"/>
        </w:rPr>
        <w:t>AB v. Registrar of Births, Deaths and Marriages</w:t>
      </w:r>
      <w:r w:rsidRPr="00C34C06">
        <w:rPr>
          <w:lang w:bidi="ar-EG"/>
        </w:rPr>
        <w:t>, [2007] FCAFC 140</w:t>
      </w:r>
      <w:r>
        <w:rPr>
          <w:rFonts w:hint="cs"/>
          <w:rtl/>
        </w:rPr>
        <w:t>.</w:t>
      </w:r>
    </w:p>
  </w:footnote>
  <w:footnote w:id="10">
    <w:p w:rsidR="00322339" w:rsidRPr="00C34C06" w:rsidRDefault="00322339" w:rsidP="002A1C74">
      <w:pPr>
        <w:pStyle w:val="FootnoteText1"/>
        <w:rPr>
          <w:rtl/>
          <w:lang w:bidi="ar-EG"/>
        </w:rPr>
      </w:pPr>
      <w:r w:rsidRPr="00C34C06">
        <w:rPr>
          <w:rStyle w:val="FootnoteReference"/>
          <w:vertAlign w:val="baseline"/>
          <w:rtl/>
        </w:rPr>
        <w:t>(</w:t>
      </w:r>
      <w:r w:rsidRPr="00C34C06">
        <w:rPr>
          <w:rStyle w:val="FootnoteReference"/>
          <w:vertAlign w:val="baseline"/>
          <w:rtl/>
        </w:rPr>
        <w:footnoteRef/>
      </w:r>
      <w:r w:rsidRPr="00C34C06">
        <w:rPr>
          <w:rStyle w:val="FootnoteReference"/>
          <w:vertAlign w:val="baseline"/>
          <w:rtl/>
        </w:rPr>
        <w:t>)</w:t>
      </w:r>
      <w:r w:rsidRPr="00C34C06">
        <w:rPr>
          <w:rtl/>
        </w:rPr>
        <w:tab/>
      </w:r>
      <w:r w:rsidRPr="00C34C06">
        <w:rPr>
          <w:rFonts w:hint="cs"/>
          <w:rtl/>
          <w:lang w:bidi="ar-EG"/>
        </w:rPr>
        <w:t>طبقت اللجنة، في التوصل إلى قرارها بشأن شكوى صاحبة البلاغ، النتائج التي توصلت إليها المحكمة الف</w:t>
      </w:r>
      <w:r>
        <w:rPr>
          <w:rFonts w:hint="cs"/>
          <w:rtl/>
          <w:lang w:bidi="ar-EG"/>
        </w:rPr>
        <w:t>ي</w:t>
      </w:r>
      <w:r w:rsidRPr="00C34C06">
        <w:rPr>
          <w:rFonts w:hint="cs"/>
          <w:rtl/>
          <w:lang w:bidi="ar-EG"/>
        </w:rPr>
        <w:t>درالية بكامل هيئتها (انظر الحاشية أعلاه مباشرة).</w:t>
      </w:r>
    </w:p>
  </w:footnote>
  <w:footnote w:id="11">
    <w:p w:rsidR="00322339" w:rsidRPr="00C34C06" w:rsidRDefault="00322339" w:rsidP="002A1C74">
      <w:pPr>
        <w:pStyle w:val="FootnoteText1"/>
        <w:rPr>
          <w:rtl/>
          <w:lang w:bidi="ar-EG"/>
        </w:rPr>
      </w:pPr>
      <w:r w:rsidRPr="00C34C06">
        <w:rPr>
          <w:rStyle w:val="FootnoteReference"/>
          <w:vertAlign w:val="baseline"/>
          <w:rtl/>
        </w:rPr>
        <w:t>(</w:t>
      </w:r>
      <w:r w:rsidRPr="00C34C06">
        <w:rPr>
          <w:rStyle w:val="FootnoteReference"/>
          <w:vertAlign w:val="baseline"/>
          <w:rtl/>
        </w:rPr>
        <w:footnoteRef/>
      </w:r>
      <w:r w:rsidRPr="00C34C06">
        <w:rPr>
          <w:rStyle w:val="FootnoteReference"/>
          <w:vertAlign w:val="baseline"/>
          <w:rtl/>
        </w:rPr>
        <w:t>)</w:t>
      </w:r>
      <w:r w:rsidRPr="00C34C06">
        <w:rPr>
          <w:rtl/>
        </w:rPr>
        <w:tab/>
      </w:r>
      <w:r w:rsidRPr="00C34C06">
        <w:rPr>
          <w:rFonts w:hint="cs"/>
          <w:rtl/>
          <w:lang w:bidi="ar-EG"/>
        </w:rPr>
        <w:t>قانون اللجنة الوطنية الأسترالية لحقوق الإنسان لعام 1986، الفرع 11.</w:t>
      </w:r>
    </w:p>
  </w:footnote>
  <w:footnote w:id="12">
    <w:p w:rsidR="00322339" w:rsidRPr="00610D81" w:rsidRDefault="00322339" w:rsidP="00C34C06">
      <w:pPr>
        <w:pStyle w:val="FootnoteText1"/>
        <w:rPr>
          <w:rtl/>
          <w:lang w:bidi="ar-EG"/>
        </w:rPr>
      </w:pPr>
      <w:r w:rsidRPr="00C34C06">
        <w:rPr>
          <w:rStyle w:val="FootnoteReference"/>
          <w:vertAlign w:val="baseline"/>
          <w:rtl/>
        </w:rPr>
        <w:t>(</w:t>
      </w:r>
      <w:r w:rsidRPr="00C34C06">
        <w:rPr>
          <w:rStyle w:val="FootnoteReference"/>
          <w:vertAlign w:val="baseline"/>
          <w:rtl/>
        </w:rPr>
        <w:footnoteRef/>
      </w:r>
      <w:r w:rsidRPr="00C34C06">
        <w:rPr>
          <w:rStyle w:val="FootnoteReference"/>
          <w:vertAlign w:val="baseline"/>
          <w:rtl/>
        </w:rPr>
        <w:t>)</w:t>
      </w:r>
      <w:r w:rsidRPr="00C34C06">
        <w:rPr>
          <w:rtl/>
        </w:rPr>
        <w:tab/>
      </w:r>
      <w:r w:rsidRPr="00C34C06">
        <w:rPr>
          <w:i/>
          <w:iCs/>
        </w:rPr>
        <w:t>Australian Human Rights Commission, Sex Files: The Legal Recognition of Sex in Documents and Government Records (2009</w:t>
      </w:r>
      <w:r>
        <w:rPr>
          <w:i/>
          <w:iCs/>
        </w:rPr>
        <w:t>)</w:t>
      </w:r>
      <w:r>
        <w:rPr>
          <w:rFonts w:hint="cs"/>
          <w:i/>
          <w:iCs/>
          <w:rtl/>
        </w:rPr>
        <w:t>.</w:t>
      </w:r>
    </w:p>
  </w:footnote>
  <w:footnote w:id="13">
    <w:p w:rsidR="00322339" w:rsidRPr="00C34C06" w:rsidRDefault="00322339" w:rsidP="002A1C74">
      <w:pPr>
        <w:pStyle w:val="FootnoteText1"/>
        <w:rPr>
          <w:rtl/>
          <w:lang w:bidi="ar-DZ"/>
        </w:rPr>
      </w:pPr>
      <w:r w:rsidRPr="00C34C06">
        <w:rPr>
          <w:rStyle w:val="FootnoteReference"/>
          <w:vertAlign w:val="baseline"/>
          <w:rtl/>
        </w:rPr>
        <w:t>(</w:t>
      </w:r>
      <w:r w:rsidRPr="00C34C06">
        <w:rPr>
          <w:rStyle w:val="FootnoteReference"/>
          <w:vertAlign w:val="baseline"/>
          <w:rtl/>
        </w:rPr>
        <w:footnoteRef/>
      </w:r>
      <w:r w:rsidRPr="00C34C06">
        <w:rPr>
          <w:rStyle w:val="FootnoteReference"/>
          <w:vertAlign w:val="baseline"/>
          <w:rtl/>
        </w:rPr>
        <w:t>)</w:t>
      </w:r>
      <w:r w:rsidRPr="00C34C06">
        <w:rPr>
          <w:rtl/>
        </w:rPr>
        <w:tab/>
      </w:r>
      <w:r w:rsidRPr="00C34C06">
        <w:rPr>
          <w:rFonts w:hint="cs"/>
          <w:rtl/>
        </w:rPr>
        <w:t>كانت اللج</w:t>
      </w:r>
      <w:r>
        <w:rPr>
          <w:rFonts w:hint="cs"/>
          <w:rtl/>
        </w:rPr>
        <w:t>نة قد أشارت قبلا</w:t>
      </w:r>
      <w:r w:rsidR="009B7B22">
        <w:rPr>
          <w:rFonts w:hint="cs"/>
          <w:rtl/>
        </w:rPr>
        <w:t>ً</w:t>
      </w:r>
      <w:r>
        <w:rPr>
          <w:rFonts w:hint="cs"/>
          <w:rtl/>
        </w:rPr>
        <w:t xml:space="preserve"> إلى أن الدول "</w:t>
      </w:r>
      <w:r w:rsidRPr="00C34C06">
        <w:rPr>
          <w:rFonts w:hint="cs"/>
          <w:rtl/>
          <w:lang w:bidi="ar-DZ"/>
        </w:rPr>
        <w:t>ينبغي</w:t>
      </w:r>
      <w:r w:rsidRPr="00C34C06">
        <w:rPr>
          <w:rtl/>
          <w:lang w:bidi="ar-DZ"/>
        </w:rPr>
        <w:t xml:space="preserve"> </w:t>
      </w:r>
      <w:r w:rsidRPr="00C34C06">
        <w:rPr>
          <w:rFonts w:hint="cs"/>
          <w:rtl/>
          <w:lang w:bidi="ar-DZ"/>
        </w:rPr>
        <w:t>لها</w:t>
      </w:r>
      <w:r w:rsidRPr="00C34C06">
        <w:rPr>
          <w:rtl/>
          <w:lang w:bidi="ar-DZ"/>
        </w:rPr>
        <w:t xml:space="preserve"> </w:t>
      </w:r>
      <w:r w:rsidRPr="00C34C06">
        <w:rPr>
          <w:rFonts w:hint="cs"/>
          <w:rtl/>
          <w:lang w:bidi="ar-DZ"/>
        </w:rPr>
        <w:t>أن</w:t>
      </w:r>
      <w:r w:rsidRPr="00C34C06">
        <w:rPr>
          <w:rtl/>
          <w:lang w:bidi="ar-DZ"/>
        </w:rPr>
        <w:t xml:space="preserve"> </w:t>
      </w:r>
      <w:r w:rsidRPr="00C34C06">
        <w:rPr>
          <w:rFonts w:hint="cs"/>
          <w:rtl/>
          <w:lang w:bidi="ar-DZ"/>
        </w:rPr>
        <w:t>تعترف</w:t>
      </w:r>
      <w:r w:rsidRPr="00C34C06">
        <w:rPr>
          <w:rtl/>
          <w:lang w:bidi="ar-DZ"/>
        </w:rPr>
        <w:t xml:space="preserve"> </w:t>
      </w:r>
      <w:r w:rsidRPr="00C34C06">
        <w:rPr>
          <w:rFonts w:hint="cs"/>
          <w:rtl/>
          <w:lang w:bidi="ar-DZ"/>
        </w:rPr>
        <w:t>بحق</w:t>
      </w:r>
      <w:r w:rsidRPr="00C34C06">
        <w:rPr>
          <w:rtl/>
          <w:lang w:bidi="ar-DZ"/>
        </w:rPr>
        <w:t xml:space="preserve"> </w:t>
      </w:r>
      <w:r w:rsidRPr="00C34C06">
        <w:rPr>
          <w:rFonts w:hint="cs"/>
          <w:rtl/>
          <w:lang w:bidi="ar-DZ"/>
        </w:rPr>
        <w:t>الأشخاص</w:t>
      </w:r>
      <w:r w:rsidRPr="00C34C06">
        <w:rPr>
          <w:rtl/>
          <w:lang w:bidi="ar-DZ"/>
        </w:rPr>
        <w:t xml:space="preserve"> </w:t>
      </w:r>
      <w:r w:rsidRPr="00C34C06">
        <w:rPr>
          <w:rFonts w:hint="cs"/>
          <w:rtl/>
          <w:lang w:bidi="ar-DZ"/>
        </w:rPr>
        <w:t>المتحولين</w:t>
      </w:r>
      <w:r w:rsidRPr="00C34C06">
        <w:rPr>
          <w:rtl/>
          <w:lang w:bidi="ar-DZ"/>
        </w:rPr>
        <w:t xml:space="preserve"> </w:t>
      </w:r>
      <w:r w:rsidRPr="00C34C06">
        <w:rPr>
          <w:rFonts w:hint="cs"/>
          <w:rtl/>
          <w:lang w:bidi="ar-DZ"/>
        </w:rPr>
        <w:t>جنسياً</w:t>
      </w:r>
      <w:r w:rsidRPr="00C34C06">
        <w:rPr>
          <w:rFonts w:cs="Arial"/>
          <w:rtl/>
        </w:rPr>
        <w:t xml:space="preserve"> </w:t>
      </w:r>
      <w:r w:rsidRPr="00C34C06">
        <w:rPr>
          <w:rFonts w:hint="cs"/>
          <w:rtl/>
          <w:lang w:bidi="ar-DZ"/>
        </w:rPr>
        <w:t>في</w:t>
      </w:r>
      <w:r w:rsidRPr="00C34C06">
        <w:rPr>
          <w:rtl/>
          <w:lang w:bidi="ar-DZ"/>
        </w:rPr>
        <w:t xml:space="preserve"> </w:t>
      </w:r>
      <w:r w:rsidRPr="00C34C06">
        <w:rPr>
          <w:rFonts w:hint="cs"/>
          <w:rtl/>
          <w:lang w:bidi="ar-DZ"/>
        </w:rPr>
        <w:t>تغيير</w:t>
      </w:r>
      <w:r w:rsidRPr="00C34C06">
        <w:rPr>
          <w:rtl/>
          <w:lang w:bidi="ar-DZ"/>
        </w:rPr>
        <w:t xml:space="preserve"> </w:t>
      </w:r>
      <w:r w:rsidRPr="00C34C06">
        <w:rPr>
          <w:rFonts w:hint="cs"/>
          <w:rtl/>
          <w:lang w:bidi="ar-DZ"/>
        </w:rPr>
        <w:t>جنسهم</w:t>
      </w:r>
      <w:r w:rsidRPr="00C34C06">
        <w:rPr>
          <w:rtl/>
          <w:lang w:bidi="ar-DZ"/>
        </w:rPr>
        <w:t xml:space="preserve"> </w:t>
      </w:r>
      <w:r w:rsidRPr="00C34C06">
        <w:rPr>
          <w:rFonts w:hint="cs"/>
          <w:rtl/>
          <w:lang w:bidi="ar-DZ"/>
        </w:rPr>
        <w:t>بأن</w:t>
      </w:r>
      <w:r w:rsidRPr="00C34C06">
        <w:rPr>
          <w:rtl/>
          <w:lang w:bidi="ar-DZ"/>
        </w:rPr>
        <w:t xml:space="preserve"> </w:t>
      </w:r>
      <w:r w:rsidRPr="00C34C06">
        <w:rPr>
          <w:rFonts w:hint="cs"/>
          <w:rtl/>
          <w:lang w:bidi="ar-DZ"/>
        </w:rPr>
        <w:t>تسمح</w:t>
      </w:r>
      <w:r w:rsidRPr="00C34C06">
        <w:rPr>
          <w:rtl/>
          <w:lang w:bidi="ar-DZ"/>
        </w:rPr>
        <w:t xml:space="preserve"> </w:t>
      </w:r>
      <w:r w:rsidRPr="00C34C06">
        <w:rPr>
          <w:rFonts w:hint="cs"/>
          <w:rtl/>
          <w:lang w:bidi="ar-DZ"/>
        </w:rPr>
        <w:t>بإصدار</w:t>
      </w:r>
      <w:r w:rsidRPr="00C34C06">
        <w:rPr>
          <w:rtl/>
          <w:lang w:bidi="ar-DZ"/>
        </w:rPr>
        <w:t xml:space="preserve"> </w:t>
      </w:r>
      <w:r w:rsidRPr="00C34C06">
        <w:rPr>
          <w:rFonts w:hint="cs"/>
          <w:rtl/>
          <w:lang w:bidi="ar-DZ"/>
        </w:rPr>
        <w:t>شهادات</w:t>
      </w:r>
      <w:r w:rsidRPr="00C34C06">
        <w:rPr>
          <w:rtl/>
          <w:lang w:bidi="ar-DZ"/>
        </w:rPr>
        <w:t xml:space="preserve"> </w:t>
      </w:r>
      <w:r w:rsidRPr="00C34C06">
        <w:rPr>
          <w:rFonts w:hint="cs"/>
          <w:rtl/>
          <w:lang w:bidi="ar-DZ"/>
        </w:rPr>
        <w:t>ميلاد</w:t>
      </w:r>
      <w:r w:rsidRPr="00C34C06">
        <w:rPr>
          <w:rtl/>
          <w:lang w:bidi="ar-DZ"/>
        </w:rPr>
        <w:t xml:space="preserve"> </w:t>
      </w:r>
      <w:r w:rsidRPr="00C34C06">
        <w:rPr>
          <w:rFonts w:hint="cs"/>
          <w:rtl/>
          <w:lang w:bidi="ar-DZ"/>
        </w:rPr>
        <w:t>جديدة</w:t>
      </w:r>
      <w:r w:rsidRPr="00C34C06">
        <w:rPr>
          <w:rtl/>
          <w:lang w:bidi="ar-DZ"/>
        </w:rPr>
        <w:t xml:space="preserve"> </w:t>
      </w:r>
      <w:r w:rsidRPr="00C34C06">
        <w:rPr>
          <w:rFonts w:hint="cs"/>
          <w:rtl/>
          <w:lang w:bidi="ar-DZ"/>
        </w:rPr>
        <w:t xml:space="preserve">لهم". بموجب المادة 17، ضمن مواد أخرى، (انظر </w:t>
      </w:r>
      <w:r w:rsidRPr="00C34C06">
        <w:rPr>
          <w:lang w:bidi="ar-DZ"/>
        </w:rPr>
        <w:t>CCPR/C/IRL/CO/3</w:t>
      </w:r>
      <w:r w:rsidRPr="00C34C06">
        <w:rPr>
          <w:rFonts w:hint="cs"/>
          <w:rtl/>
          <w:lang w:bidi="ar-DZ"/>
        </w:rPr>
        <w:t>، الفقرة 8).</w:t>
      </w:r>
    </w:p>
  </w:footnote>
  <w:footnote w:id="14">
    <w:p w:rsidR="00322339" w:rsidRPr="00C34C06" w:rsidRDefault="00322339" w:rsidP="002A1C74">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lang w:bidi="ar-DZ"/>
        </w:rPr>
        <w:tab/>
      </w:r>
      <w:r w:rsidRPr="00C34C06">
        <w:rPr>
          <w:rFonts w:hint="cs"/>
          <w:rtl/>
          <w:lang w:bidi="ar-DZ"/>
        </w:rPr>
        <w:t xml:space="preserve">انظر </w:t>
      </w:r>
      <w:r>
        <w:rPr>
          <w:rFonts w:hint="cs"/>
          <w:rtl/>
          <w:lang w:bidi="ar-DZ"/>
        </w:rPr>
        <w:t>أيضاً تعليق اللجنة العام رقم 16</w:t>
      </w:r>
      <w:r w:rsidRPr="00C34C06">
        <w:rPr>
          <w:rFonts w:hint="cs"/>
          <w:rtl/>
          <w:lang w:bidi="ar-DZ"/>
        </w:rPr>
        <w:t>(1988) بشأن الحق في</w:t>
      </w:r>
      <w:r w:rsidRPr="00C34C06">
        <w:rPr>
          <w:rtl/>
          <w:lang w:bidi="ar-DZ"/>
        </w:rPr>
        <w:t xml:space="preserve"> </w:t>
      </w:r>
      <w:r w:rsidRPr="00C34C06">
        <w:rPr>
          <w:rFonts w:hint="cs"/>
          <w:rtl/>
          <w:lang w:bidi="ar-DZ"/>
        </w:rPr>
        <w:t>احترام</w:t>
      </w:r>
      <w:r w:rsidRPr="00C34C06">
        <w:rPr>
          <w:rtl/>
          <w:lang w:bidi="ar-DZ"/>
        </w:rPr>
        <w:t xml:space="preserve"> </w:t>
      </w:r>
      <w:r w:rsidRPr="00C34C06">
        <w:rPr>
          <w:rFonts w:hint="cs"/>
          <w:rtl/>
          <w:lang w:bidi="ar-DZ"/>
        </w:rPr>
        <w:t>الخصوصية</w:t>
      </w:r>
      <w:r w:rsidRPr="00C34C06">
        <w:rPr>
          <w:rtl/>
          <w:lang w:bidi="ar-DZ"/>
        </w:rPr>
        <w:t xml:space="preserve"> </w:t>
      </w:r>
      <w:r w:rsidRPr="00C34C06">
        <w:rPr>
          <w:rFonts w:hint="cs"/>
          <w:rtl/>
          <w:lang w:bidi="ar-DZ"/>
        </w:rPr>
        <w:t>وشؤون</w:t>
      </w:r>
      <w:r w:rsidRPr="00C34C06">
        <w:rPr>
          <w:rtl/>
          <w:lang w:bidi="ar-DZ"/>
        </w:rPr>
        <w:t xml:space="preserve"> </w:t>
      </w:r>
      <w:r w:rsidRPr="00C34C06">
        <w:rPr>
          <w:rFonts w:hint="cs"/>
          <w:rtl/>
          <w:lang w:bidi="ar-DZ"/>
        </w:rPr>
        <w:t>الأسرة</w:t>
      </w:r>
      <w:r w:rsidRPr="00C34C06">
        <w:rPr>
          <w:rtl/>
          <w:lang w:bidi="ar-DZ"/>
        </w:rPr>
        <w:t xml:space="preserve"> </w:t>
      </w:r>
      <w:r w:rsidRPr="00C34C06">
        <w:rPr>
          <w:rFonts w:hint="cs"/>
          <w:rtl/>
          <w:lang w:bidi="ar-DZ"/>
        </w:rPr>
        <w:t>والبيت</w:t>
      </w:r>
      <w:r w:rsidRPr="00C34C06">
        <w:rPr>
          <w:rtl/>
          <w:lang w:bidi="ar-DZ"/>
        </w:rPr>
        <w:t xml:space="preserve"> </w:t>
      </w:r>
      <w:r w:rsidRPr="00C34C06">
        <w:rPr>
          <w:rFonts w:hint="cs"/>
          <w:rtl/>
          <w:lang w:bidi="ar-DZ"/>
        </w:rPr>
        <w:t>والمراسلات</w:t>
      </w:r>
      <w:r w:rsidRPr="00C34C06">
        <w:rPr>
          <w:rtl/>
          <w:lang w:bidi="ar-DZ"/>
        </w:rPr>
        <w:t xml:space="preserve"> </w:t>
      </w:r>
      <w:r w:rsidRPr="00C34C06">
        <w:rPr>
          <w:rFonts w:hint="cs"/>
          <w:rtl/>
          <w:lang w:bidi="ar-DZ"/>
        </w:rPr>
        <w:t>وحماية</w:t>
      </w:r>
      <w:r w:rsidRPr="00C34C06">
        <w:rPr>
          <w:rtl/>
          <w:lang w:bidi="ar-DZ"/>
        </w:rPr>
        <w:t xml:space="preserve"> </w:t>
      </w:r>
      <w:r w:rsidRPr="00C34C06">
        <w:rPr>
          <w:rFonts w:hint="cs"/>
          <w:rtl/>
          <w:lang w:bidi="ar-DZ"/>
        </w:rPr>
        <w:t>الشرف</w:t>
      </w:r>
      <w:r w:rsidRPr="00C34C06">
        <w:rPr>
          <w:rtl/>
          <w:lang w:bidi="ar-DZ"/>
        </w:rPr>
        <w:t xml:space="preserve"> </w:t>
      </w:r>
      <w:r w:rsidRPr="00C34C06">
        <w:rPr>
          <w:rFonts w:hint="cs"/>
          <w:rtl/>
          <w:lang w:bidi="ar-DZ"/>
        </w:rPr>
        <w:t>والسمعة، الفقرة 4.</w:t>
      </w:r>
    </w:p>
  </w:footnote>
  <w:footnote w:id="15">
    <w:p w:rsidR="00322339" w:rsidRPr="00C34C06" w:rsidRDefault="00322339" w:rsidP="00EB1DCF">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البلاغ رقم 1992/488، </w:t>
      </w:r>
      <w:r w:rsidRPr="002634C6">
        <w:rPr>
          <w:rFonts w:hint="cs"/>
          <w:i/>
          <w:iCs/>
          <w:rtl/>
          <w:lang w:bidi="ar-DZ"/>
        </w:rPr>
        <w:t>تونين ضد أستراليا</w:t>
      </w:r>
      <w:r w:rsidRPr="00C34C06">
        <w:rPr>
          <w:rFonts w:hint="cs"/>
          <w:rtl/>
          <w:lang w:bidi="ar-DZ"/>
        </w:rPr>
        <w:t xml:space="preserve">، الآراء المعتمدة في 31 آذار/مارس 1994، الفقرة </w:t>
      </w:r>
      <w:r>
        <w:rPr>
          <w:rFonts w:hint="cs"/>
          <w:rtl/>
          <w:lang w:bidi="ar-DZ"/>
        </w:rPr>
        <w:t>6-4</w:t>
      </w:r>
      <w:r w:rsidRPr="00C34C06">
        <w:rPr>
          <w:rFonts w:hint="cs"/>
          <w:rtl/>
          <w:lang w:bidi="ar-DZ"/>
        </w:rPr>
        <w:t xml:space="preserve">. </w:t>
      </w:r>
    </w:p>
  </w:footnote>
  <w:footnote w:id="16">
    <w:p w:rsidR="00322339" w:rsidRPr="00C34C06" w:rsidRDefault="00322339" w:rsidP="003213F1">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برلمان نيو </w:t>
      </w:r>
      <w:proofErr w:type="spellStart"/>
      <w:r w:rsidRPr="00C34C06">
        <w:rPr>
          <w:rFonts w:hint="cs"/>
          <w:rtl/>
          <w:lang w:bidi="ar-DZ"/>
        </w:rPr>
        <w:t>ثاوث</w:t>
      </w:r>
      <w:proofErr w:type="spellEnd"/>
      <w:r w:rsidRPr="00C34C06">
        <w:rPr>
          <w:rFonts w:hint="cs"/>
          <w:rtl/>
          <w:lang w:bidi="ar-DZ"/>
        </w:rPr>
        <w:t xml:space="preserve"> ويلز، المداولات البرلمانية، الجمعية التشريعية،</w:t>
      </w:r>
      <w:r>
        <w:rPr>
          <w:rFonts w:hint="cs"/>
          <w:rtl/>
          <w:lang w:bidi="ar-DZ"/>
        </w:rPr>
        <w:t xml:space="preserve"> </w:t>
      </w:r>
      <w:r w:rsidRPr="00C34C06">
        <w:rPr>
          <w:rFonts w:hint="cs"/>
          <w:rtl/>
          <w:lang w:bidi="ar-DZ"/>
        </w:rPr>
        <w:t>1 أيار/مايو 199</w:t>
      </w:r>
      <w:r>
        <w:rPr>
          <w:rFonts w:hint="cs"/>
          <w:rtl/>
          <w:lang w:bidi="ar-DZ"/>
        </w:rPr>
        <w:t>6</w:t>
      </w:r>
      <w:r w:rsidRPr="00C34C06">
        <w:rPr>
          <w:rFonts w:hint="cs"/>
          <w:rtl/>
          <w:lang w:bidi="ar-DZ"/>
        </w:rPr>
        <w:t>، الصفحة 644.</w:t>
      </w:r>
    </w:p>
  </w:footnote>
  <w:footnote w:id="17">
    <w:p w:rsidR="00322339" w:rsidRPr="00C34C06" w:rsidRDefault="00322339" w:rsidP="009B5888">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البلاغ رقم </w:t>
      </w:r>
      <w:r>
        <w:rPr>
          <w:rFonts w:hint="cs"/>
          <w:rtl/>
          <w:lang w:bidi="ar-DZ"/>
        </w:rPr>
        <w:t>902</w:t>
      </w:r>
      <w:r w:rsidRPr="00C34C06">
        <w:rPr>
          <w:rFonts w:hint="cs"/>
          <w:rtl/>
          <w:lang w:bidi="ar-DZ"/>
        </w:rPr>
        <w:t xml:space="preserve">/1999، </w:t>
      </w:r>
      <w:r w:rsidRPr="00464392">
        <w:rPr>
          <w:rFonts w:hint="cs"/>
          <w:i/>
          <w:iCs/>
          <w:rtl/>
          <w:lang w:bidi="ar-DZ"/>
        </w:rPr>
        <w:t>جوسلين وآخرون ضد نيوزيلندا</w:t>
      </w:r>
      <w:r w:rsidRPr="00C34C06">
        <w:rPr>
          <w:rFonts w:hint="cs"/>
          <w:rtl/>
          <w:lang w:bidi="ar-DZ"/>
        </w:rPr>
        <w:t xml:space="preserve">، الآراء المعتمدة في 17 تموز/يوليه 2002، الفقرة </w:t>
      </w:r>
      <w:r>
        <w:rPr>
          <w:rFonts w:hint="cs"/>
          <w:rtl/>
          <w:lang w:bidi="ar-DZ"/>
        </w:rPr>
        <w:t>8-3</w:t>
      </w:r>
      <w:r w:rsidRPr="00C34C06">
        <w:rPr>
          <w:rFonts w:hint="cs"/>
          <w:rtl/>
          <w:lang w:bidi="ar-DZ"/>
        </w:rPr>
        <w:t>.</w:t>
      </w:r>
    </w:p>
  </w:footnote>
  <w:footnote w:id="18">
    <w:p w:rsidR="00322339" w:rsidRPr="00C34C06" w:rsidRDefault="00322339" w:rsidP="009B5888">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انظر البلاغ رقم 941</w:t>
      </w:r>
      <w:r>
        <w:rPr>
          <w:rFonts w:hint="cs"/>
          <w:rtl/>
          <w:lang w:bidi="ar-DZ"/>
        </w:rPr>
        <w:t>/</w:t>
      </w:r>
      <w:r w:rsidRPr="00C34C06">
        <w:rPr>
          <w:rFonts w:hint="cs"/>
          <w:rtl/>
          <w:lang w:bidi="ar-DZ"/>
        </w:rPr>
        <w:t xml:space="preserve">2000، </w:t>
      </w:r>
      <w:r w:rsidRPr="00464392">
        <w:rPr>
          <w:rFonts w:hint="cs"/>
          <w:i/>
          <w:iCs/>
          <w:rtl/>
          <w:lang w:bidi="ar-DZ"/>
        </w:rPr>
        <w:t>يونغ ضد أستراليا</w:t>
      </w:r>
      <w:r w:rsidRPr="00C34C06">
        <w:rPr>
          <w:rFonts w:hint="cs"/>
          <w:rtl/>
          <w:lang w:bidi="ar-DZ"/>
        </w:rPr>
        <w:t>، الآراء المعتمدة في 6 آب/أغسطس 2003، الفقرة 104.</w:t>
      </w:r>
    </w:p>
  </w:footnote>
  <w:footnote w:id="19">
    <w:p w:rsidR="00322339" w:rsidRPr="00C34C06" w:rsidRDefault="00322339" w:rsidP="009B5888">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w:t>
      </w:r>
      <w:r w:rsidRPr="00464392">
        <w:rPr>
          <w:rFonts w:hint="cs"/>
          <w:i/>
          <w:iCs/>
          <w:rtl/>
          <w:lang w:bidi="ar-DZ"/>
        </w:rPr>
        <w:t>جوسلين وآخرون ضد نيوزيلندا</w:t>
      </w:r>
      <w:r w:rsidRPr="00C34C06">
        <w:rPr>
          <w:rFonts w:hint="cs"/>
          <w:rtl/>
          <w:lang w:bidi="ar-DZ"/>
        </w:rPr>
        <w:t xml:space="preserve">، الفقرة </w:t>
      </w:r>
      <w:r>
        <w:rPr>
          <w:rFonts w:hint="cs"/>
          <w:rtl/>
          <w:lang w:bidi="ar-DZ"/>
        </w:rPr>
        <w:t>8-2</w:t>
      </w:r>
      <w:r w:rsidRPr="00C34C06">
        <w:rPr>
          <w:rFonts w:hint="cs"/>
          <w:rtl/>
          <w:lang w:bidi="ar-DZ"/>
        </w:rPr>
        <w:t>.</w:t>
      </w:r>
    </w:p>
  </w:footnote>
  <w:footnote w:id="20">
    <w:p w:rsidR="00322339" w:rsidRPr="00C34C06" w:rsidRDefault="00322339" w:rsidP="009B5888">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w:t>
      </w:r>
      <w:r w:rsidRPr="00C34C06">
        <w:rPr>
          <w:rFonts w:hint="cs"/>
          <w:i/>
          <w:iCs/>
          <w:rtl/>
          <w:lang w:bidi="ar-DZ"/>
        </w:rPr>
        <w:t xml:space="preserve">شالك </w:t>
      </w:r>
      <w:proofErr w:type="spellStart"/>
      <w:r w:rsidRPr="00C34C06">
        <w:rPr>
          <w:rFonts w:hint="cs"/>
          <w:i/>
          <w:iCs/>
          <w:rtl/>
          <w:lang w:bidi="ar-DZ"/>
        </w:rPr>
        <w:t>وكوبف</w:t>
      </w:r>
      <w:proofErr w:type="spellEnd"/>
      <w:r w:rsidRPr="00C34C06">
        <w:rPr>
          <w:rFonts w:hint="cs"/>
          <w:i/>
          <w:iCs/>
          <w:rtl/>
          <w:lang w:bidi="ar-DZ"/>
        </w:rPr>
        <w:t xml:space="preserve"> ضد النمسا</w:t>
      </w:r>
      <w:r w:rsidRPr="00C34C06">
        <w:rPr>
          <w:rFonts w:hint="cs"/>
          <w:rtl/>
          <w:lang w:bidi="ar-DZ"/>
        </w:rPr>
        <w:t xml:space="preserve"> (</w:t>
      </w:r>
      <w:r w:rsidRPr="00C34C06">
        <w:rPr>
          <w:rtl/>
          <w:lang w:bidi="ar-DZ"/>
        </w:rPr>
        <w:t>البلاغ رقم 30141</w:t>
      </w:r>
      <w:r>
        <w:rPr>
          <w:rFonts w:hint="cs"/>
          <w:rtl/>
          <w:lang w:bidi="ar-DZ"/>
        </w:rPr>
        <w:t>/</w:t>
      </w:r>
      <w:r w:rsidRPr="00C34C06">
        <w:rPr>
          <w:rtl/>
          <w:lang w:bidi="ar-DZ"/>
        </w:rPr>
        <w:t xml:space="preserve">04، 24 حزيران/يونيه </w:t>
      </w:r>
      <w:r>
        <w:rPr>
          <w:rFonts w:hint="cs"/>
          <w:rtl/>
          <w:lang w:bidi="ar-DZ"/>
        </w:rPr>
        <w:t>2010</w:t>
      </w:r>
      <w:r w:rsidRPr="00C34C06">
        <w:rPr>
          <w:rFonts w:hint="cs"/>
          <w:rtl/>
          <w:lang w:bidi="ar-DZ"/>
        </w:rPr>
        <w:t xml:space="preserve">)؛ </w:t>
      </w:r>
      <w:r w:rsidRPr="00C34C06">
        <w:rPr>
          <w:rFonts w:hint="cs"/>
          <w:i/>
          <w:iCs/>
          <w:rtl/>
          <w:lang w:bidi="ar-DZ"/>
        </w:rPr>
        <w:t xml:space="preserve">وغاس </w:t>
      </w:r>
      <w:proofErr w:type="spellStart"/>
      <w:r w:rsidRPr="00C34C06">
        <w:rPr>
          <w:rFonts w:hint="cs"/>
          <w:i/>
          <w:iCs/>
          <w:rtl/>
          <w:lang w:bidi="ar-DZ"/>
        </w:rPr>
        <w:t>ودوبوا</w:t>
      </w:r>
      <w:proofErr w:type="spellEnd"/>
      <w:r w:rsidRPr="00C34C06">
        <w:rPr>
          <w:rFonts w:hint="cs"/>
          <w:i/>
          <w:iCs/>
          <w:rtl/>
          <w:lang w:bidi="ar-DZ"/>
        </w:rPr>
        <w:t xml:space="preserve"> ضد فرنسا</w:t>
      </w:r>
      <w:r w:rsidRPr="00C34C06">
        <w:rPr>
          <w:rFonts w:hint="cs"/>
          <w:rtl/>
          <w:lang w:bidi="ar-DZ"/>
        </w:rPr>
        <w:t xml:space="preserve"> (البلاغ رقم 25951</w:t>
      </w:r>
      <w:r>
        <w:rPr>
          <w:rFonts w:hint="cs"/>
          <w:rtl/>
          <w:lang w:bidi="ar-DZ"/>
        </w:rPr>
        <w:t>/</w:t>
      </w:r>
      <w:r w:rsidRPr="00C34C06">
        <w:rPr>
          <w:rFonts w:hint="cs"/>
          <w:rtl/>
          <w:lang w:bidi="ar-DZ"/>
        </w:rPr>
        <w:t>07، الحكم الصادر في 15 حزيران/يونيه 2012</w:t>
      </w:r>
      <w:r>
        <w:rPr>
          <w:rFonts w:hint="cs"/>
          <w:rtl/>
          <w:lang w:bidi="ar-DZ"/>
        </w:rPr>
        <w:t>)</w:t>
      </w:r>
      <w:r w:rsidRPr="00C34C06">
        <w:rPr>
          <w:rFonts w:hint="cs"/>
          <w:rtl/>
          <w:lang w:bidi="ar-DZ"/>
        </w:rPr>
        <w:t>.</w:t>
      </w:r>
    </w:p>
  </w:footnote>
  <w:footnote w:id="21">
    <w:p w:rsidR="00322339" w:rsidRPr="00C34C06" w:rsidRDefault="00322339" w:rsidP="000A0175">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تشدد الدولة الطرف على أنها اعترفت في قضية </w:t>
      </w:r>
      <w:r w:rsidRPr="000A0175">
        <w:rPr>
          <w:rFonts w:hint="cs"/>
          <w:i/>
          <w:iCs/>
          <w:rtl/>
          <w:lang w:bidi="ar-DZ"/>
        </w:rPr>
        <w:t>تونين ضد أستراليا</w:t>
      </w:r>
      <w:r w:rsidRPr="00C34C06">
        <w:rPr>
          <w:rFonts w:hint="cs"/>
          <w:rtl/>
          <w:lang w:bidi="ar-DZ"/>
        </w:rPr>
        <w:t xml:space="preserve">، الفقر </w:t>
      </w:r>
      <w:r>
        <w:rPr>
          <w:rFonts w:hint="cs"/>
          <w:rtl/>
          <w:lang w:bidi="ar-DZ"/>
        </w:rPr>
        <w:t>6-9</w:t>
      </w:r>
      <w:r w:rsidRPr="00C34C06">
        <w:rPr>
          <w:rFonts w:hint="cs"/>
          <w:rtl/>
          <w:lang w:bidi="ar-DZ"/>
        </w:rPr>
        <w:t>، بأن صياغة هذه الأحكام تدعم التفسير الشامل وأن الصياغة والتاريخ التفاوضي واجتهادات اللجنة بشأن هذه المواد يقيم حجة قوية بأنها يجب الاَّ تقرأ قراءة تقييدية.</w:t>
      </w:r>
    </w:p>
  </w:footnote>
  <w:footnote w:id="22">
    <w:p w:rsidR="00322339" w:rsidRPr="00C34C06" w:rsidRDefault="00322339" w:rsidP="002A1C74">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انظر تعليق اللجنة العام رقم 18 بشأن عدم التمييز (1989)، الفقرة 12.</w:t>
      </w:r>
    </w:p>
  </w:footnote>
  <w:footnote w:id="23">
    <w:p w:rsidR="00322339" w:rsidRPr="00C34C06" w:rsidRDefault="00322339" w:rsidP="00881908">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w:t>
      </w:r>
      <w:r w:rsidRPr="00881908">
        <w:rPr>
          <w:rFonts w:hint="cs"/>
          <w:i/>
          <w:iCs/>
          <w:rtl/>
          <w:lang w:bidi="ar-DZ"/>
        </w:rPr>
        <w:t>هاملين ضد فنلندا</w:t>
      </w:r>
      <w:r w:rsidRPr="00C34C06">
        <w:rPr>
          <w:rFonts w:hint="cs"/>
          <w:rtl/>
          <w:lang w:bidi="ar-DZ"/>
        </w:rPr>
        <w:t xml:space="preserve"> (البلاغ رقم 37359</w:t>
      </w:r>
      <w:r>
        <w:rPr>
          <w:rFonts w:hint="cs"/>
          <w:rtl/>
          <w:lang w:bidi="ar-DZ"/>
        </w:rPr>
        <w:t>/</w:t>
      </w:r>
      <w:r w:rsidRPr="00C34C06">
        <w:rPr>
          <w:rFonts w:hint="cs"/>
          <w:rtl/>
          <w:lang w:bidi="ar-DZ"/>
        </w:rPr>
        <w:t>09)، الحكم الصادر في 16 تموز/يوليه 2014.</w:t>
      </w:r>
    </w:p>
  </w:footnote>
  <w:footnote w:id="24">
    <w:p w:rsidR="00322339" w:rsidRPr="00C34C06" w:rsidRDefault="00322339" w:rsidP="002A1C74">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تشير صاحبة البلاغ إلى أنها تريد الحفاظ على زواجها عوضا</w:t>
      </w:r>
      <w:r w:rsidR="009B7B22">
        <w:rPr>
          <w:rFonts w:hint="cs"/>
          <w:rtl/>
          <w:lang w:bidi="ar-DZ"/>
        </w:rPr>
        <w:t>ً</w:t>
      </w:r>
      <w:r w:rsidRPr="00C34C06">
        <w:rPr>
          <w:rFonts w:hint="cs"/>
          <w:rtl/>
          <w:lang w:bidi="ar-DZ"/>
        </w:rPr>
        <w:t xml:space="preserve"> عن تغييره إلى اقتران مدني.</w:t>
      </w:r>
    </w:p>
  </w:footnote>
  <w:footnote w:id="25">
    <w:p w:rsidR="00322339" w:rsidRPr="00C34C06" w:rsidRDefault="00322339" w:rsidP="000519BE">
      <w:pPr>
        <w:pStyle w:val="FootnoteText1"/>
        <w:rPr>
          <w:rtl/>
          <w:lang w:bidi="ar-DZ"/>
        </w:rPr>
      </w:pPr>
      <w:r w:rsidRPr="00BE3036">
        <w:rPr>
          <w:b/>
          <w:spacing w:val="-4"/>
          <w:rtl/>
          <w:lang w:bidi="ar-DZ"/>
        </w:rPr>
        <w:t>(</w:t>
      </w:r>
      <w:r w:rsidRPr="00BE3036">
        <w:rPr>
          <w:rStyle w:val="FootnoteReference"/>
          <w:spacing w:val="-4"/>
          <w:vertAlign w:val="baseline"/>
          <w:rtl/>
          <w:lang w:bidi="ar-DZ"/>
        </w:rPr>
        <w:footnoteRef/>
      </w:r>
      <w:r w:rsidRPr="00BE3036">
        <w:rPr>
          <w:b/>
          <w:spacing w:val="-4"/>
          <w:rtl/>
          <w:lang w:bidi="ar-DZ"/>
        </w:rPr>
        <w:t>)</w:t>
      </w:r>
      <w:r w:rsidRPr="00BE3036">
        <w:rPr>
          <w:spacing w:val="-4"/>
          <w:rtl/>
          <w:lang w:bidi="ar-DZ"/>
        </w:rPr>
        <w:tab/>
      </w:r>
      <w:r w:rsidRPr="00BE3036">
        <w:rPr>
          <w:rFonts w:hint="cs"/>
          <w:spacing w:val="-4"/>
          <w:rtl/>
          <w:lang w:bidi="ar-DZ"/>
        </w:rPr>
        <w:t xml:space="preserve">انظر البلاغ رقم 453/1991، </w:t>
      </w:r>
      <w:r w:rsidRPr="00BE3036">
        <w:rPr>
          <w:rFonts w:hint="cs"/>
          <w:i/>
          <w:iCs/>
          <w:spacing w:val="-4"/>
          <w:rtl/>
          <w:lang w:bidi="ar-DZ"/>
        </w:rPr>
        <w:t>كوريل وأوريك ضد هولندا</w:t>
      </w:r>
      <w:r w:rsidRPr="00BE3036">
        <w:rPr>
          <w:rFonts w:hint="cs"/>
          <w:spacing w:val="-4"/>
          <w:rtl/>
          <w:lang w:bidi="ar-DZ"/>
        </w:rPr>
        <w:t>، الآراء المعتمدة في 31 تشرين الأول/أكتوبر 1994</w:t>
      </w:r>
      <w:r w:rsidRPr="00C34C06">
        <w:rPr>
          <w:rFonts w:hint="cs"/>
          <w:rtl/>
          <w:lang w:bidi="ar-DZ"/>
        </w:rPr>
        <w:t xml:space="preserve">، الفقرة </w:t>
      </w:r>
      <w:r>
        <w:rPr>
          <w:rFonts w:hint="cs"/>
          <w:rtl/>
          <w:lang w:bidi="ar-DZ"/>
        </w:rPr>
        <w:t>10-2</w:t>
      </w:r>
      <w:r w:rsidRPr="00C34C06">
        <w:rPr>
          <w:rFonts w:hint="cs"/>
          <w:rtl/>
          <w:lang w:bidi="ar-DZ"/>
        </w:rPr>
        <w:t>.</w:t>
      </w:r>
    </w:p>
  </w:footnote>
  <w:footnote w:id="26">
    <w:p w:rsidR="00322339" w:rsidRPr="00C34C06" w:rsidRDefault="00322339" w:rsidP="008010F6">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انظر البلاغ رقم 1621</w:t>
      </w:r>
      <w:r>
        <w:rPr>
          <w:rFonts w:hint="cs"/>
          <w:rtl/>
          <w:lang w:bidi="ar-DZ"/>
        </w:rPr>
        <w:t>/</w:t>
      </w:r>
      <w:r w:rsidRPr="00C34C06">
        <w:rPr>
          <w:rFonts w:hint="cs"/>
          <w:rtl/>
          <w:lang w:bidi="ar-DZ"/>
        </w:rPr>
        <w:t>2007،</w:t>
      </w:r>
      <w:r w:rsidRPr="00464392">
        <w:rPr>
          <w:rFonts w:hint="cs"/>
          <w:i/>
          <w:iCs/>
          <w:rtl/>
          <w:lang w:bidi="ar-DZ"/>
        </w:rPr>
        <w:t xml:space="preserve"> </w:t>
      </w:r>
      <w:proofErr w:type="spellStart"/>
      <w:r w:rsidRPr="00464392">
        <w:rPr>
          <w:rFonts w:hint="cs"/>
          <w:i/>
          <w:iCs/>
          <w:rtl/>
          <w:lang w:bidi="ar-DZ"/>
        </w:rPr>
        <w:t>ريهمان</w:t>
      </w:r>
      <w:proofErr w:type="spellEnd"/>
      <w:r w:rsidRPr="00464392">
        <w:rPr>
          <w:rFonts w:hint="cs"/>
          <w:i/>
          <w:iCs/>
          <w:rtl/>
          <w:lang w:bidi="ar-DZ"/>
        </w:rPr>
        <w:t xml:space="preserve"> ضد لاتفيا</w:t>
      </w:r>
      <w:r w:rsidRPr="00C34C06">
        <w:rPr>
          <w:rFonts w:hint="cs"/>
          <w:rtl/>
          <w:lang w:bidi="ar-DZ"/>
        </w:rPr>
        <w:t xml:space="preserve">، الآراء المعتمدة في 28 تشرين الأول/أكتوبر 2010، الفقرة </w:t>
      </w:r>
      <w:r>
        <w:rPr>
          <w:rFonts w:hint="cs"/>
          <w:rtl/>
          <w:lang w:bidi="ar-DZ"/>
        </w:rPr>
        <w:t>8-3</w:t>
      </w:r>
      <w:r w:rsidRPr="00C34C06">
        <w:rPr>
          <w:rFonts w:hint="cs"/>
          <w:rtl/>
          <w:lang w:bidi="ar-DZ"/>
        </w:rPr>
        <w:t xml:space="preserve">. </w:t>
      </w:r>
    </w:p>
  </w:footnote>
  <w:footnote w:id="27">
    <w:p w:rsidR="00322339" w:rsidRPr="00C34C06" w:rsidRDefault="00322339" w:rsidP="00180469">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w:t>
      </w:r>
      <w:proofErr w:type="spellStart"/>
      <w:r w:rsidRPr="00180469">
        <w:rPr>
          <w:rFonts w:hint="cs"/>
          <w:i/>
          <w:iCs/>
          <w:rtl/>
          <w:lang w:bidi="ar-DZ"/>
        </w:rPr>
        <w:t>هاماليالين</w:t>
      </w:r>
      <w:proofErr w:type="spellEnd"/>
      <w:r w:rsidRPr="00180469">
        <w:rPr>
          <w:rFonts w:hint="cs"/>
          <w:i/>
          <w:iCs/>
          <w:rtl/>
          <w:lang w:bidi="ar-DZ"/>
        </w:rPr>
        <w:t xml:space="preserve"> ضد فنلندا</w:t>
      </w:r>
      <w:r w:rsidRPr="00C34C06">
        <w:rPr>
          <w:rFonts w:hint="cs"/>
          <w:rtl/>
          <w:lang w:bidi="ar-DZ"/>
        </w:rPr>
        <w:t xml:space="preserve">، الفقرة 59. انظر </w:t>
      </w:r>
      <w:r>
        <w:rPr>
          <w:rFonts w:hint="cs"/>
          <w:rtl/>
          <w:lang w:bidi="ar-DZ"/>
        </w:rPr>
        <w:t>أيضاً</w:t>
      </w:r>
      <w:r w:rsidRPr="00C34C06">
        <w:rPr>
          <w:rFonts w:hint="cs"/>
          <w:rtl/>
          <w:lang w:bidi="ar-DZ"/>
        </w:rPr>
        <w:t xml:space="preserve"> </w:t>
      </w:r>
      <w:proofErr w:type="spellStart"/>
      <w:r w:rsidRPr="00464392">
        <w:rPr>
          <w:rFonts w:hint="cs"/>
          <w:i/>
          <w:iCs/>
          <w:rtl/>
          <w:lang w:bidi="ar-DZ"/>
        </w:rPr>
        <w:t>غودوين</w:t>
      </w:r>
      <w:proofErr w:type="spellEnd"/>
      <w:r w:rsidRPr="00464392">
        <w:rPr>
          <w:rFonts w:hint="cs"/>
          <w:i/>
          <w:iCs/>
          <w:rtl/>
          <w:lang w:bidi="ar-DZ"/>
        </w:rPr>
        <w:t xml:space="preserve"> ضد المملكة المتحدة</w:t>
      </w:r>
      <w:r w:rsidRPr="00C34C06">
        <w:rPr>
          <w:rFonts w:hint="cs"/>
          <w:rtl/>
          <w:lang w:bidi="ar-DZ"/>
        </w:rPr>
        <w:t xml:space="preserve"> (البلاغ رقم 2857</w:t>
      </w:r>
      <w:r>
        <w:rPr>
          <w:rFonts w:hint="cs"/>
          <w:rtl/>
          <w:lang w:bidi="ar-DZ"/>
        </w:rPr>
        <w:t>/</w:t>
      </w:r>
      <w:r w:rsidRPr="00C34C06">
        <w:rPr>
          <w:rFonts w:hint="cs"/>
          <w:rtl/>
          <w:lang w:bidi="ar-DZ"/>
        </w:rPr>
        <w:t>95، الحكم الصادر في 11 تموز/يوليه 2002، الفقرة 77.</w:t>
      </w:r>
    </w:p>
  </w:footnote>
  <w:footnote w:id="28">
    <w:p w:rsidR="00322339" w:rsidRPr="00C34C06" w:rsidRDefault="00322339" w:rsidP="00180469">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انظر، على سبيل المثال، البلاغ رقم 35</w:t>
      </w:r>
      <w:r>
        <w:rPr>
          <w:rFonts w:hint="cs"/>
          <w:rtl/>
          <w:lang w:bidi="ar-DZ"/>
        </w:rPr>
        <w:t>/</w:t>
      </w:r>
      <w:r w:rsidRPr="00C34C06">
        <w:rPr>
          <w:rFonts w:hint="cs"/>
          <w:rtl/>
          <w:lang w:bidi="ar-DZ"/>
        </w:rPr>
        <w:t xml:space="preserve">1978، </w:t>
      </w:r>
      <w:proofErr w:type="spellStart"/>
      <w:r w:rsidRPr="00464392">
        <w:rPr>
          <w:rFonts w:hint="cs"/>
          <w:i/>
          <w:iCs/>
          <w:rtl/>
          <w:lang w:bidi="ar-DZ"/>
        </w:rPr>
        <w:t>أميرودي</w:t>
      </w:r>
      <w:proofErr w:type="spellEnd"/>
      <w:r>
        <w:rPr>
          <w:rFonts w:hint="cs"/>
          <w:i/>
          <w:iCs/>
          <w:rtl/>
          <w:lang w:bidi="ar-DZ"/>
        </w:rPr>
        <w:t xml:space="preserve"> </w:t>
      </w:r>
      <w:r w:rsidRPr="00464392">
        <w:rPr>
          <w:rFonts w:hint="cs"/>
          <w:i/>
          <w:iCs/>
          <w:rtl/>
          <w:lang w:bidi="ar-DZ"/>
        </w:rPr>
        <w:t>- شيفرا وآخرون ضد موريشيوس</w:t>
      </w:r>
      <w:r w:rsidRPr="00C34C06">
        <w:rPr>
          <w:rFonts w:hint="cs"/>
          <w:rtl/>
          <w:lang w:bidi="ar-DZ"/>
        </w:rPr>
        <w:t>، الآراء المعتمدة في 9 نيسان/أبر</w:t>
      </w:r>
      <w:r>
        <w:rPr>
          <w:rFonts w:hint="cs"/>
          <w:rtl/>
          <w:lang w:bidi="ar-DZ"/>
        </w:rPr>
        <w:t>يل 1981، ال</w:t>
      </w:r>
      <w:r w:rsidRPr="00C34C06">
        <w:rPr>
          <w:rFonts w:hint="cs"/>
          <w:rtl/>
          <w:lang w:bidi="ar-DZ"/>
        </w:rPr>
        <w:t>فقرة</w:t>
      </w:r>
      <w:r>
        <w:rPr>
          <w:rFonts w:hint="cs"/>
          <w:rtl/>
          <w:lang w:bidi="ar-DZ"/>
        </w:rPr>
        <w:t xml:space="preserve"> 9-2</w:t>
      </w:r>
      <w:r w:rsidRPr="00C34C06">
        <w:rPr>
          <w:rFonts w:hint="cs"/>
          <w:rtl/>
          <w:lang w:bidi="ar-DZ"/>
        </w:rPr>
        <w:t xml:space="preserve">؛ </w:t>
      </w:r>
      <w:r w:rsidRPr="00464392">
        <w:rPr>
          <w:rFonts w:hint="cs"/>
          <w:i/>
          <w:iCs/>
          <w:rtl/>
          <w:lang w:bidi="ar-DZ"/>
        </w:rPr>
        <w:t>وتونين ضد أستراليا</w:t>
      </w:r>
      <w:r w:rsidRPr="00C34C06">
        <w:rPr>
          <w:rFonts w:hint="cs"/>
          <w:rtl/>
          <w:lang w:bidi="ar-DZ"/>
        </w:rPr>
        <w:t xml:space="preserve">، الفقرة </w:t>
      </w:r>
      <w:r>
        <w:rPr>
          <w:rFonts w:hint="cs"/>
          <w:rtl/>
          <w:lang w:bidi="ar-DZ"/>
        </w:rPr>
        <w:t>5-1</w:t>
      </w:r>
      <w:r w:rsidRPr="00C34C06">
        <w:rPr>
          <w:rFonts w:hint="cs"/>
          <w:rtl/>
          <w:lang w:bidi="ar-DZ"/>
        </w:rPr>
        <w:t>.</w:t>
      </w:r>
    </w:p>
  </w:footnote>
  <w:footnote w:id="29">
    <w:p w:rsidR="00322339" w:rsidRPr="00C34C06" w:rsidRDefault="00322339" w:rsidP="002A1C74">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w:t>
      </w:r>
      <w:proofErr w:type="spellStart"/>
      <w:r w:rsidRPr="005E22FF">
        <w:rPr>
          <w:rFonts w:hint="cs"/>
          <w:i/>
          <w:iCs/>
          <w:rtl/>
          <w:lang w:bidi="ar-DZ"/>
        </w:rPr>
        <w:t>أومييرودي</w:t>
      </w:r>
      <w:proofErr w:type="spellEnd"/>
      <w:r w:rsidRPr="005E22FF">
        <w:rPr>
          <w:rFonts w:hint="cs"/>
          <w:i/>
          <w:iCs/>
          <w:rtl/>
          <w:lang w:bidi="ar-DZ"/>
        </w:rPr>
        <w:t xml:space="preserve"> - شيفرا وآخرون ضد موريشيوس</w:t>
      </w:r>
      <w:r w:rsidRPr="00C34C06">
        <w:rPr>
          <w:rFonts w:hint="cs"/>
          <w:rtl/>
          <w:lang w:bidi="ar-DZ"/>
        </w:rPr>
        <w:t xml:space="preserve">. </w:t>
      </w:r>
    </w:p>
  </w:footnote>
  <w:footnote w:id="30">
    <w:p w:rsidR="00322339" w:rsidRPr="00754686" w:rsidRDefault="00322339" w:rsidP="00D01C69">
      <w:pPr>
        <w:pStyle w:val="FootnoteText1"/>
        <w:rPr>
          <w:spacing w:val="-4"/>
          <w:rtl/>
          <w:lang w:bidi="ar-DZ"/>
        </w:rPr>
      </w:pPr>
      <w:r w:rsidRPr="00754686">
        <w:rPr>
          <w:b/>
          <w:spacing w:val="-4"/>
          <w:rtl/>
          <w:lang w:bidi="ar-DZ"/>
        </w:rPr>
        <w:t>(</w:t>
      </w:r>
      <w:r w:rsidRPr="00754686">
        <w:rPr>
          <w:rStyle w:val="FootnoteReference"/>
          <w:spacing w:val="-4"/>
          <w:vertAlign w:val="baseline"/>
          <w:rtl/>
          <w:lang w:bidi="ar-DZ"/>
        </w:rPr>
        <w:footnoteRef/>
      </w:r>
      <w:r w:rsidRPr="00754686">
        <w:rPr>
          <w:b/>
          <w:spacing w:val="-4"/>
          <w:rtl/>
          <w:lang w:bidi="ar-DZ"/>
        </w:rPr>
        <w:t>)</w:t>
      </w:r>
      <w:r w:rsidRPr="00754686">
        <w:rPr>
          <w:spacing w:val="-4"/>
          <w:rtl/>
          <w:lang w:bidi="ar-DZ"/>
        </w:rPr>
        <w:tab/>
      </w:r>
      <w:r w:rsidRPr="00754686">
        <w:rPr>
          <w:rFonts w:hint="cs"/>
          <w:spacing w:val="-4"/>
          <w:rtl/>
          <w:lang w:bidi="ar-DZ"/>
        </w:rPr>
        <w:t xml:space="preserve">انظر على سبيل المثال، تقرير اللجنة الأسترالية لحقوق الإنسان المعنون "العنف، والتحرش والمضايقة وجماعات </w:t>
      </w:r>
      <w:proofErr w:type="spellStart"/>
      <w:r w:rsidRPr="00754686">
        <w:rPr>
          <w:rFonts w:hint="cs"/>
          <w:spacing w:val="-4"/>
          <w:rtl/>
          <w:lang w:bidi="ar-DZ"/>
        </w:rPr>
        <w:t>المثليات</w:t>
      </w:r>
      <w:proofErr w:type="spellEnd"/>
      <w:r w:rsidRPr="00754686">
        <w:rPr>
          <w:spacing w:val="-4"/>
          <w:rtl/>
          <w:lang w:bidi="ar-DZ"/>
        </w:rPr>
        <w:t xml:space="preserve"> </w:t>
      </w:r>
      <w:r w:rsidRPr="00754686">
        <w:rPr>
          <w:rFonts w:hint="cs"/>
          <w:spacing w:val="-4"/>
          <w:rtl/>
          <w:lang w:bidi="ar-DZ"/>
        </w:rPr>
        <w:t>والمثليين</w:t>
      </w:r>
      <w:r w:rsidRPr="00754686">
        <w:rPr>
          <w:spacing w:val="-4"/>
          <w:rtl/>
          <w:lang w:bidi="ar-DZ"/>
        </w:rPr>
        <w:t xml:space="preserve"> </w:t>
      </w:r>
      <w:r w:rsidRPr="00754686">
        <w:rPr>
          <w:rFonts w:hint="cs"/>
          <w:spacing w:val="-4"/>
          <w:rtl/>
          <w:lang w:bidi="ar-DZ"/>
        </w:rPr>
        <w:t>ومزدوجي الميل</w:t>
      </w:r>
      <w:r w:rsidRPr="00754686">
        <w:rPr>
          <w:spacing w:val="-4"/>
          <w:rtl/>
          <w:lang w:bidi="ar-DZ"/>
        </w:rPr>
        <w:t xml:space="preserve"> </w:t>
      </w:r>
      <w:r w:rsidRPr="00754686">
        <w:rPr>
          <w:rFonts w:hint="cs"/>
          <w:spacing w:val="-4"/>
          <w:rtl/>
          <w:lang w:bidi="ar-DZ"/>
        </w:rPr>
        <w:t>الجنسي</w:t>
      </w:r>
      <w:r w:rsidRPr="00754686">
        <w:rPr>
          <w:spacing w:val="-4"/>
          <w:rtl/>
          <w:lang w:bidi="ar-DZ"/>
        </w:rPr>
        <w:t xml:space="preserve"> </w:t>
      </w:r>
      <w:r w:rsidRPr="00754686">
        <w:rPr>
          <w:rFonts w:hint="cs"/>
          <w:spacing w:val="-4"/>
          <w:rtl/>
          <w:lang w:bidi="ar-DZ"/>
        </w:rPr>
        <w:t>ومغايري الهوية</w:t>
      </w:r>
      <w:r w:rsidRPr="00754686">
        <w:rPr>
          <w:spacing w:val="-4"/>
          <w:rtl/>
          <w:lang w:bidi="ar-DZ"/>
        </w:rPr>
        <w:t xml:space="preserve"> </w:t>
      </w:r>
      <w:r w:rsidRPr="00754686">
        <w:rPr>
          <w:rFonts w:hint="cs"/>
          <w:spacing w:val="-4"/>
          <w:rtl/>
          <w:lang w:bidi="ar-DZ"/>
        </w:rPr>
        <w:t>الجنسانية" الصفحة 5 (الذي يقتبس من دراسة تظهر أن أكثر من</w:t>
      </w:r>
      <w:r>
        <w:rPr>
          <w:rFonts w:hint="eastAsia"/>
          <w:spacing w:val="-4"/>
          <w:rtl/>
          <w:lang w:bidi="ar-DZ"/>
        </w:rPr>
        <w:t> </w:t>
      </w:r>
      <w:r w:rsidRPr="00754686">
        <w:rPr>
          <w:rFonts w:hint="cs"/>
          <w:spacing w:val="-4"/>
          <w:rtl/>
          <w:lang w:bidi="ar-DZ"/>
        </w:rPr>
        <w:t xml:space="preserve">85 في المائة من </w:t>
      </w:r>
      <w:proofErr w:type="spellStart"/>
      <w:r w:rsidRPr="00754686">
        <w:rPr>
          <w:rFonts w:hint="cs"/>
          <w:spacing w:val="-4"/>
          <w:rtl/>
          <w:lang w:bidi="ar-DZ"/>
        </w:rPr>
        <w:t>المثليات</w:t>
      </w:r>
      <w:proofErr w:type="spellEnd"/>
      <w:r w:rsidRPr="00754686">
        <w:rPr>
          <w:rFonts w:hint="cs"/>
          <w:spacing w:val="-4"/>
          <w:rtl/>
          <w:lang w:bidi="ar-DZ"/>
        </w:rPr>
        <w:t xml:space="preserve"> والمثليين ومزدوجي الميل الجنسي ومغايري الهوية الجنسانية وحاملي صفات الجنسين في نيو </w:t>
      </w:r>
      <w:proofErr w:type="spellStart"/>
      <w:r w:rsidRPr="00754686">
        <w:rPr>
          <w:rFonts w:hint="cs"/>
          <w:spacing w:val="-4"/>
          <w:rtl/>
          <w:lang w:bidi="ar-DZ"/>
        </w:rPr>
        <w:t>ثاوث</w:t>
      </w:r>
      <w:proofErr w:type="spellEnd"/>
      <w:r w:rsidRPr="00754686">
        <w:rPr>
          <w:rFonts w:hint="cs"/>
          <w:spacing w:val="-4"/>
          <w:rtl/>
          <w:lang w:bidi="ar-DZ"/>
        </w:rPr>
        <w:t xml:space="preserve"> ويلز تعرضوا للاعتداء أو التحرش أو العنف القائم على كره المثليين). يمكن الاطلاع على التقرير في الموقع التالي: </w:t>
      </w:r>
      <w:hyperlink r:id="rId1" w:history="1">
        <w:r w:rsidRPr="00754686">
          <w:rPr>
            <w:rStyle w:val="Hyperlink"/>
            <w:spacing w:val="-4"/>
            <w:u w:val="none"/>
            <w:lang w:bidi="ar-DZ"/>
          </w:rPr>
          <w:t>https://bullying.humanrights.gov.au/sites/default/files/content/pdf/bullying/VHB_LGBTI.pdf</w:t>
        </w:r>
      </w:hyperlink>
      <w:r w:rsidRPr="00754686">
        <w:rPr>
          <w:rFonts w:hint="cs"/>
          <w:spacing w:val="-4"/>
          <w:rtl/>
          <w:lang w:bidi="ar-DZ"/>
        </w:rPr>
        <w:t xml:space="preserve">. </w:t>
      </w:r>
    </w:p>
  </w:footnote>
  <w:footnote w:id="31">
    <w:p w:rsidR="00322339" w:rsidRPr="00C34C06" w:rsidRDefault="00322339" w:rsidP="002A1C74">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على سبيل المثال، </w:t>
      </w:r>
      <w:proofErr w:type="spellStart"/>
      <w:r w:rsidRPr="005E22FF">
        <w:rPr>
          <w:rFonts w:hint="cs"/>
          <w:i/>
          <w:iCs/>
          <w:rtl/>
          <w:lang w:bidi="ar-DZ"/>
        </w:rPr>
        <w:t>أوميرودي</w:t>
      </w:r>
      <w:proofErr w:type="spellEnd"/>
      <w:r w:rsidRPr="005E22FF">
        <w:rPr>
          <w:rFonts w:hint="cs"/>
          <w:i/>
          <w:iCs/>
          <w:rtl/>
          <w:lang w:bidi="ar-DZ"/>
        </w:rPr>
        <w:t xml:space="preserve"> - شيفرا وآخرون ضد موريشيوس</w:t>
      </w:r>
      <w:r w:rsidRPr="00C34C06">
        <w:rPr>
          <w:rFonts w:hint="cs"/>
          <w:rtl/>
          <w:lang w:bidi="ar-DZ"/>
        </w:rPr>
        <w:t>.</w:t>
      </w:r>
    </w:p>
  </w:footnote>
  <w:footnote w:id="32">
    <w:p w:rsidR="00322339" w:rsidRPr="00211D1E" w:rsidRDefault="00322339" w:rsidP="00211D1E">
      <w:pPr>
        <w:pStyle w:val="FootnoteText1"/>
        <w:rPr>
          <w:spacing w:val="-2"/>
          <w:rtl/>
          <w:lang w:bidi="ar-DZ"/>
        </w:rPr>
      </w:pPr>
      <w:r w:rsidRPr="00211D1E">
        <w:rPr>
          <w:b/>
          <w:spacing w:val="-2"/>
          <w:rtl/>
          <w:lang w:bidi="ar-DZ"/>
        </w:rPr>
        <w:t>(</w:t>
      </w:r>
      <w:r w:rsidRPr="00211D1E">
        <w:rPr>
          <w:rStyle w:val="FootnoteReference"/>
          <w:spacing w:val="-2"/>
          <w:vertAlign w:val="baseline"/>
          <w:rtl/>
          <w:lang w:bidi="ar-DZ"/>
        </w:rPr>
        <w:footnoteRef/>
      </w:r>
      <w:r w:rsidRPr="00211D1E">
        <w:rPr>
          <w:b/>
          <w:spacing w:val="-2"/>
          <w:rtl/>
          <w:lang w:bidi="ar-DZ"/>
        </w:rPr>
        <w:t>)</w:t>
      </w:r>
      <w:r w:rsidRPr="00211D1E">
        <w:rPr>
          <w:spacing w:val="-2"/>
          <w:rtl/>
          <w:lang w:bidi="ar-DZ"/>
        </w:rPr>
        <w:tab/>
      </w:r>
      <w:r w:rsidRPr="00211D1E">
        <w:rPr>
          <w:rFonts w:hint="cs"/>
          <w:spacing w:val="-2"/>
          <w:rtl/>
          <w:lang w:bidi="ar-DZ"/>
        </w:rPr>
        <w:t xml:space="preserve">انظر البلاغ رقم 1361/2005، </w:t>
      </w:r>
      <w:r w:rsidRPr="00211D1E">
        <w:rPr>
          <w:rFonts w:hint="cs"/>
          <w:i/>
          <w:iCs/>
          <w:spacing w:val="-2"/>
          <w:rtl/>
          <w:lang w:bidi="ar-DZ"/>
        </w:rPr>
        <w:t>س. ضد كولومبيا</w:t>
      </w:r>
      <w:r w:rsidRPr="00211D1E">
        <w:rPr>
          <w:rFonts w:hint="cs"/>
          <w:spacing w:val="-2"/>
          <w:rtl/>
          <w:lang w:bidi="ar-DZ"/>
        </w:rPr>
        <w:t>، الآراء المعتمدة في 30 آذار/مارس 2007، الفقرة 7-2.</w:t>
      </w:r>
    </w:p>
  </w:footnote>
  <w:footnote w:id="33">
    <w:p w:rsidR="00322339" w:rsidRPr="00C34C06" w:rsidRDefault="00322339" w:rsidP="00122802">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انظر البلاغ رقم 902</w:t>
      </w:r>
      <w:r>
        <w:rPr>
          <w:rFonts w:hint="cs"/>
          <w:rtl/>
          <w:lang w:bidi="ar-DZ"/>
        </w:rPr>
        <w:t>/</w:t>
      </w:r>
      <w:r w:rsidRPr="00C34C06">
        <w:rPr>
          <w:rFonts w:hint="cs"/>
          <w:rtl/>
          <w:lang w:bidi="ar-DZ"/>
        </w:rPr>
        <w:t xml:space="preserve">1999، الآراء المعتمدة في 17 تموز/يوليه 2002، الفقرة </w:t>
      </w:r>
      <w:r>
        <w:rPr>
          <w:rFonts w:hint="cs"/>
          <w:rtl/>
          <w:lang w:bidi="ar-DZ"/>
        </w:rPr>
        <w:t>8-3</w:t>
      </w:r>
      <w:r w:rsidRPr="00C34C06">
        <w:rPr>
          <w:rFonts w:hint="cs"/>
          <w:rtl/>
          <w:lang w:bidi="ar-DZ"/>
        </w:rPr>
        <w:t>.</w:t>
      </w:r>
      <w:r>
        <w:rPr>
          <w:rFonts w:hint="cs"/>
          <w:rtl/>
          <w:lang w:bidi="ar-DZ"/>
        </w:rPr>
        <w:t xml:space="preserve"> </w:t>
      </w:r>
    </w:p>
  </w:footnote>
  <w:footnote w:id="34">
    <w:p w:rsidR="00322339" w:rsidRPr="003D7584" w:rsidRDefault="00322339" w:rsidP="0048114F">
      <w:pPr>
        <w:pStyle w:val="FootnoteText1"/>
        <w:rPr>
          <w:spacing w:val="-2"/>
          <w:rtl/>
          <w:lang w:bidi="ar-DZ"/>
        </w:rPr>
      </w:pPr>
      <w:r w:rsidRPr="003D7584">
        <w:rPr>
          <w:b/>
          <w:spacing w:val="-2"/>
          <w:rtl/>
          <w:lang w:bidi="ar-DZ"/>
        </w:rPr>
        <w:t>(</w:t>
      </w:r>
      <w:r w:rsidRPr="003D7584">
        <w:rPr>
          <w:rStyle w:val="FootnoteReference"/>
          <w:spacing w:val="-2"/>
          <w:vertAlign w:val="baseline"/>
          <w:rtl/>
          <w:lang w:bidi="ar-DZ"/>
        </w:rPr>
        <w:footnoteRef/>
      </w:r>
      <w:r w:rsidRPr="003D7584">
        <w:rPr>
          <w:b/>
          <w:spacing w:val="-2"/>
          <w:rtl/>
          <w:lang w:bidi="ar-DZ"/>
        </w:rPr>
        <w:t>)</w:t>
      </w:r>
      <w:r w:rsidRPr="003D7584">
        <w:rPr>
          <w:spacing w:val="-2"/>
          <w:rtl/>
          <w:lang w:bidi="ar-DZ"/>
        </w:rPr>
        <w:tab/>
      </w:r>
      <w:r w:rsidRPr="003D7584">
        <w:rPr>
          <w:rFonts w:hint="cs"/>
          <w:spacing w:val="-2"/>
          <w:rtl/>
          <w:lang w:bidi="ar-DZ"/>
        </w:rPr>
        <w:t xml:space="preserve">انظر المبدأ 3 من مبادئ </w:t>
      </w:r>
      <w:proofErr w:type="spellStart"/>
      <w:r w:rsidRPr="003D7584">
        <w:rPr>
          <w:rFonts w:hint="cs"/>
          <w:spacing w:val="-2"/>
          <w:rtl/>
          <w:lang w:bidi="ar-DZ"/>
        </w:rPr>
        <w:t>يوغياكارتا</w:t>
      </w:r>
      <w:proofErr w:type="spellEnd"/>
      <w:r w:rsidRPr="003D7584">
        <w:rPr>
          <w:rFonts w:hint="cs"/>
          <w:spacing w:val="-2"/>
          <w:rtl/>
          <w:lang w:bidi="ar-DZ"/>
        </w:rPr>
        <w:t xml:space="preserve"> حول</w:t>
      </w:r>
      <w:r w:rsidRPr="003D7584">
        <w:rPr>
          <w:spacing w:val="-2"/>
          <w:rtl/>
          <w:lang w:bidi="ar-DZ"/>
        </w:rPr>
        <w:t xml:space="preserve"> </w:t>
      </w:r>
      <w:r w:rsidRPr="003D7584">
        <w:rPr>
          <w:rFonts w:hint="cs"/>
          <w:spacing w:val="-2"/>
          <w:rtl/>
          <w:lang w:bidi="ar-DZ"/>
        </w:rPr>
        <w:t>تطبيق</w:t>
      </w:r>
      <w:r w:rsidRPr="003D7584">
        <w:rPr>
          <w:spacing w:val="-2"/>
          <w:rtl/>
          <w:lang w:bidi="ar-DZ"/>
        </w:rPr>
        <w:t xml:space="preserve"> </w:t>
      </w:r>
      <w:r w:rsidRPr="003D7584">
        <w:rPr>
          <w:rFonts w:hint="cs"/>
          <w:spacing w:val="-2"/>
          <w:rtl/>
          <w:lang w:bidi="ar-DZ"/>
        </w:rPr>
        <w:t>القانون</w:t>
      </w:r>
      <w:r w:rsidRPr="003D7584">
        <w:rPr>
          <w:spacing w:val="-2"/>
          <w:rtl/>
          <w:lang w:bidi="ar-DZ"/>
        </w:rPr>
        <w:t xml:space="preserve"> </w:t>
      </w:r>
      <w:r w:rsidRPr="003D7584">
        <w:rPr>
          <w:rFonts w:hint="cs"/>
          <w:spacing w:val="-2"/>
          <w:rtl/>
          <w:lang w:bidi="ar-DZ"/>
        </w:rPr>
        <w:t>الدولي</w:t>
      </w:r>
      <w:r w:rsidRPr="003D7584">
        <w:rPr>
          <w:spacing w:val="-2"/>
          <w:rtl/>
          <w:lang w:bidi="ar-DZ"/>
        </w:rPr>
        <w:t xml:space="preserve"> </w:t>
      </w:r>
      <w:r w:rsidRPr="003D7584">
        <w:rPr>
          <w:rFonts w:hint="cs"/>
          <w:spacing w:val="-2"/>
          <w:rtl/>
          <w:lang w:bidi="ar-DZ"/>
        </w:rPr>
        <w:t>لحقوق</w:t>
      </w:r>
      <w:r w:rsidRPr="003D7584">
        <w:rPr>
          <w:spacing w:val="-2"/>
          <w:rtl/>
          <w:lang w:bidi="ar-DZ"/>
        </w:rPr>
        <w:t xml:space="preserve"> </w:t>
      </w:r>
      <w:r w:rsidRPr="003D7584">
        <w:rPr>
          <w:rFonts w:hint="cs"/>
          <w:spacing w:val="-2"/>
          <w:rtl/>
          <w:lang w:bidi="ar-DZ"/>
        </w:rPr>
        <w:t>الإنسان فيما</w:t>
      </w:r>
      <w:r w:rsidRPr="003D7584">
        <w:rPr>
          <w:spacing w:val="-2"/>
          <w:rtl/>
          <w:lang w:bidi="ar-DZ"/>
        </w:rPr>
        <w:t xml:space="preserve"> </w:t>
      </w:r>
      <w:r w:rsidRPr="003D7584">
        <w:rPr>
          <w:rFonts w:hint="cs"/>
          <w:spacing w:val="-2"/>
          <w:rtl/>
          <w:lang w:bidi="ar-DZ"/>
        </w:rPr>
        <w:t>يتعلق</w:t>
      </w:r>
      <w:r w:rsidRPr="003D7584">
        <w:rPr>
          <w:spacing w:val="-2"/>
          <w:rtl/>
          <w:lang w:bidi="ar-DZ"/>
        </w:rPr>
        <w:t xml:space="preserve"> </w:t>
      </w:r>
      <w:r w:rsidRPr="003D7584">
        <w:rPr>
          <w:rFonts w:hint="cs"/>
          <w:spacing w:val="-2"/>
          <w:rtl/>
          <w:lang w:bidi="ar-DZ"/>
        </w:rPr>
        <w:t>بالتوجه</w:t>
      </w:r>
      <w:r w:rsidRPr="003D7584">
        <w:rPr>
          <w:spacing w:val="-2"/>
          <w:rtl/>
          <w:lang w:bidi="ar-DZ"/>
        </w:rPr>
        <w:t xml:space="preserve"> </w:t>
      </w:r>
      <w:r w:rsidRPr="003D7584">
        <w:rPr>
          <w:rFonts w:hint="cs"/>
          <w:spacing w:val="-2"/>
          <w:rtl/>
          <w:lang w:bidi="ar-DZ"/>
        </w:rPr>
        <w:t>الجنسي</w:t>
      </w:r>
      <w:r w:rsidRPr="003D7584">
        <w:rPr>
          <w:spacing w:val="-2"/>
          <w:rtl/>
          <w:lang w:bidi="ar-DZ"/>
        </w:rPr>
        <w:t xml:space="preserve"> </w:t>
      </w:r>
      <w:r w:rsidRPr="003D7584">
        <w:rPr>
          <w:rFonts w:hint="cs"/>
          <w:spacing w:val="-2"/>
          <w:rtl/>
          <w:lang w:bidi="ar-DZ"/>
        </w:rPr>
        <w:t>وهوية</w:t>
      </w:r>
      <w:r w:rsidRPr="003D7584">
        <w:rPr>
          <w:spacing w:val="-2"/>
          <w:rtl/>
          <w:lang w:bidi="ar-DZ"/>
        </w:rPr>
        <w:t xml:space="preserve"> </w:t>
      </w:r>
      <w:r w:rsidRPr="003D7584">
        <w:rPr>
          <w:rFonts w:hint="cs"/>
          <w:spacing w:val="-2"/>
          <w:rtl/>
          <w:lang w:bidi="ar-DZ"/>
        </w:rPr>
        <w:t>النوع؛ و</w:t>
      </w:r>
      <w:r w:rsidRPr="003D7584">
        <w:rPr>
          <w:spacing w:val="-2"/>
          <w:lang w:bidi="ar-DZ"/>
        </w:rPr>
        <w:t>A/HRC/19/41</w:t>
      </w:r>
      <w:r w:rsidRPr="003D7584">
        <w:rPr>
          <w:rFonts w:hint="cs"/>
          <w:spacing w:val="-2"/>
          <w:rtl/>
          <w:lang w:bidi="ar-DZ"/>
        </w:rPr>
        <w:t xml:space="preserve"> التي ذكر فيها المفوض السامي ما يلي: "</w:t>
      </w:r>
      <w:r w:rsidRPr="003D7584">
        <w:rPr>
          <w:spacing w:val="-2"/>
          <w:rtl/>
          <w:lang w:bidi="ar-DZ"/>
        </w:rPr>
        <w:t xml:space="preserve"> </w:t>
      </w:r>
      <w:r w:rsidRPr="003D7584">
        <w:rPr>
          <w:rFonts w:hint="cs"/>
          <w:spacing w:val="-2"/>
          <w:rtl/>
          <w:lang w:bidi="ar-DZ"/>
        </w:rPr>
        <w:t>بعض</w:t>
      </w:r>
      <w:r w:rsidRPr="003D7584">
        <w:rPr>
          <w:spacing w:val="-2"/>
          <w:rtl/>
          <w:lang w:bidi="ar-DZ"/>
        </w:rPr>
        <w:t xml:space="preserve"> </w:t>
      </w:r>
      <w:r w:rsidRPr="003D7584">
        <w:rPr>
          <w:rFonts w:hint="cs"/>
          <w:spacing w:val="-2"/>
          <w:rtl/>
          <w:lang w:bidi="ar-DZ"/>
        </w:rPr>
        <w:t>الدول تقتضي ... أن</w:t>
      </w:r>
      <w:r w:rsidRPr="003D7584">
        <w:rPr>
          <w:spacing w:val="-2"/>
          <w:rtl/>
          <w:lang w:bidi="ar-DZ"/>
        </w:rPr>
        <w:t xml:space="preserve"> </w:t>
      </w:r>
      <w:r w:rsidRPr="003D7584">
        <w:rPr>
          <w:rFonts w:hint="cs"/>
          <w:spacing w:val="-2"/>
          <w:rtl/>
          <w:lang w:bidi="ar-DZ"/>
        </w:rPr>
        <w:t>يكون</w:t>
      </w:r>
      <w:r w:rsidRPr="003D7584">
        <w:rPr>
          <w:spacing w:val="-2"/>
          <w:rtl/>
          <w:lang w:bidi="ar-DZ"/>
        </w:rPr>
        <w:t xml:space="preserve"> </w:t>
      </w:r>
      <w:r w:rsidRPr="003D7584">
        <w:rPr>
          <w:rFonts w:hint="cs"/>
          <w:spacing w:val="-2"/>
          <w:rtl/>
          <w:lang w:bidi="ar-DZ"/>
        </w:rPr>
        <w:t>أولئك</w:t>
      </w:r>
      <w:r w:rsidRPr="003D7584">
        <w:rPr>
          <w:spacing w:val="-2"/>
          <w:rtl/>
          <w:lang w:bidi="ar-DZ"/>
        </w:rPr>
        <w:t xml:space="preserve"> </w:t>
      </w:r>
      <w:r w:rsidRPr="003D7584">
        <w:rPr>
          <w:rFonts w:hint="cs"/>
          <w:spacing w:val="-2"/>
          <w:rtl/>
          <w:lang w:bidi="ar-DZ"/>
        </w:rPr>
        <w:t>الذين</w:t>
      </w:r>
      <w:r w:rsidRPr="003D7584">
        <w:rPr>
          <w:spacing w:val="-2"/>
          <w:rtl/>
          <w:lang w:bidi="ar-DZ"/>
        </w:rPr>
        <w:t xml:space="preserve"> </w:t>
      </w:r>
      <w:r w:rsidRPr="003D7584">
        <w:rPr>
          <w:rFonts w:hint="cs"/>
          <w:spacing w:val="-2"/>
          <w:rtl/>
          <w:lang w:bidi="ar-DZ"/>
        </w:rPr>
        <w:t>يسعون</w:t>
      </w:r>
      <w:r w:rsidRPr="003D7584">
        <w:rPr>
          <w:spacing w:val="-2"/>
          <w:rtl/>
          <w:lang w:bidi="ar-DZ"/>
        </w:rPr>
        <w:t xml:space="preserve"> </w:t>
      </w:r>
      <w:r w:rsidRPr="003D7584">
        <w:rPr>
          <w:rFonts w:hint="cs"/>
          <w:spacing w:val="-2"/>
          <w:rtl/>
          <w:lang w:bidi="ar-DZ"/>
        </w:rPr>
        <w:t>للحصول</w:t>
      </w:r>
      <w:r w:rsidRPr="003D7584">
        <w:rPr>
          <w:spacing w:val="-2"/>
          <w:rtl/>
          <w:lang w:bidi="ar-DZ"/>
        </w:rPr>
        <w:t xml:space="preserve"> </w:t>
      </w:r>
      <w:r w:rsidRPr="003D7584">
        <w:rPr>
          <w:rFonts w:hint="cs"/>
          <w:spacing w:val="-2"/>
          <w:rtl/>
          <w:lang w:bidi="ar-DZ"/>
        </w:rPr>
        <w:t>على</w:t>
      </w:r>
      <w:r w:rsidRPr="003D7584">
        <w:rPr>
          <w:spacing w:val="-2"/>
          <w:rtl/>
          <w:lang w:bidi="ar-DZ"/>
        </w:rPr>
        <w:t xml:space="preserve"> </w:t>
      </w:r>
      <w:r w:rsidRPr="003D7584">
        <w:rPr>
          <w:rFonts w:hint="cs"/>
          <w:spacing w:val="-2"/>
          <w:rtl/>
          <w:lang w:bidi="ar-DZ"/>
        </w:rPr>
        <w:t>الاعتراف</w:t>
      </w:r>
      <w:r w:rsidRPr="003D7584">
        <w:rPr>
          <w:spacing w:val="-2"/>
          <w:rtl/>
          <w:lang w:bidi="ar-DZ"/>
        </w:rPr>
        <w:t xml:space="preserve"> </w:t>
      </w:r>
      <w:r w:rsidRPr="003D7584">
        <w:rPr>
          <w:rFonts w:hint="cs"/>
          <w:spacing w:val="-2"/>
          <w:rtl/>
          <w:lang w:bidi="ar-DZ"/>
        </w:rPr>
        <w:t>القانوني</w:t>
      </w:r>
      <w:r w:rsidRPr="003D7584">
        <w:rPr>
          <w:spacing w:val="-2"/>
          <w:rtl/>
          <w:lang w:bidi="ar-DZ"/>
        </w:rPr>
        <w:t xml:space="preserve"> </w:t>
      </w:r>
      <w:r w:rsidRPr="003D7584">
        <w:rPr>
          <w:rFonts w:hint="cs"/>
          <w:spacing w:val="-2"/>
          <w:rtl/>
          <w:lang w:bidi="ar-DZ"/>
        </w:rPr>
        <w:t>بتغير</w:t>
      </w:r>
      <w:r w:rsidRPr="003D7584">
        <w:rPr>
          <w:spacing w:val="-2"/>
          <w:rtl/>
          <w:lang w:bidi="ar-DZ"/>
        </w:rPr>
        <w:t xml:space="preserve"> </w:t>
      </w:r>
      <w:r w:rsidRPr="003D7584">
        <w:rPr>
          <w:rFonts w:hint="cs"/>
          <w:spacing w:val="-2"/>
          <w:rtl/>
          <w:lang w:bidi="ar-DZ"/>
        </w:rPr>
        <w:t>في</w:t>
      </w:r>
      <w:r w:rsidRPr="003D7584">
        <w:rPr>
          <w:spacing w:val="-2"/>
          <w:rtl/>
          <w:lang w:bidi="ar-DZ"/>
        </w:rPr>
        <w:t xml:space="preserve"> </w:t>
      </w:r>
      <w:r w:rsidRPr="003D7584">
        <w:rPr>
          <w:rFonts w:hint="cs"/>
          <w:spacing w:val="-2"/>
          <w:rtl/>
          <w:lang w:bidi="ar-DZ"/>
        </w:rPr>
        <w:t>نوع</w:t>
      </w:r>
      <w:r w:rsidRPr="003D7584">
        <w:rPr>
          <w:spacing w:val="-2"/>
          <w:rtl/>
          <w:lang w:bidi="ar-DZ"/>
        </w:rPr>
        <w:t xml:space="preserve"> </w:t>
      </w:r>
      <w:r w:rsidRPr="003D7584">
        <w:rPr>
          <w:rFonts w:hint="cs"/>
          <w:spacing w:val="-2"/>
          <w:rtl/>
          <w:lang w:bidi="ar-DZ"/>
        </w:rPr>
        <w:t>الجنس</w:t>
      </w:r>
      <w:r w:rsidRPr="003D7584">
        <w:rPr>
          <w:spacing w:val="-2"/>
          <w:rtl/>
          <w:lang w:bidi="ar-DZ"/>
        </w:rPr>
        <w:t xml:space="preserve"> </w:t>
      </w:r>
      <w:r w:rsidRPr="003D7584">
        <w:rPr>
          <w:rFonts w:hint="cs"/>
          <w:spacing w:val="-2"/>
          <w:rtl/>
          <w:lang w:bidi="ar-DZ"/>
        </w:rPr>
        <w:t>غير</w:t>
      </w:r>
      <w:r w:rsidRPr="003D7584">
        <w:rPr>
          <w:spacing w:val="-2"/>
          <w:rtl/>
          <w:lang w:bidi="ar-DZ"/>
        </w:rPr>
        <w:t xml:space="preserve"> </w:t>
      </w:r>
      <w:r w:rsidRPr="003D7584">
        <w:rPr>
          <w:rFonts w:hint="cs"/>
          <w:spacing w:val="-2"/>
          <w:rtl/>
          <w:lang w:bidi="ar-DZ"/>
        </w:rPr>
        <w:t>متزوجين،</w:t>
      </w:r>
      <w:r w:rsidRPr="003D7584">
        <w:rPr>
          <w:spacing w:val="-2"/>
          <w:rtl/>
          <w:lang w:bidi="ar-DZ"/>
        </w:rPr>
        <w:t xml:space="preserve"> </w:t>
      </w:r>
      <w:r w:rsidRPr="003D7584">
        <w:rPr>
          <w:rFonts w:hint="cs"/>
          <w:spacing w:val="-2"/>
          <w:rtl/>
          <w:lang w:bidi="ar-DZ"/>
        </w:rPr>
        <w:t>مما</w:t>
      </w:r>
      <w:r w:rsidRPr="003D7584">
        <w:rPr>
          <w:spacing w:val="-2"/>
          <w:rtl/>
          <w:lang w:bidi="ar-DZ"/>
        </w:rPr>
        <w:t xml:space="preserve"> </w:t>
      </w:r>
      <w:r w:rsidRPr="003D7584">
        <w:rPr>
          <w:rFonts w:hint="cs"/>
          <w:spacing w:val="-2"/>
          <w:rtl/>
          <w:lang w:bidi="ar-DZ"/>
        </w:rPr>
        <w:t>يعني</w:t>
      </w:r>
      <w:r w:rsidRPr="003D7584">
        <w:rPr>
          <w:spacing w:val="-2"/>
          <w:rtl/>
          <w:lang w:bidi="ar-DZ"/>
        </w:rPr>
        <w:t xml:space="preserve"> </w:t>
      </w:r>
      <w:r w:rsidRPr="003D7584">
        <w:rPr>
          <w:rFonts w:hint="cs"/>
          <w:spacing w:val="-2"/>
          <w:rtl/>
          <w:lang w:bidi="ar-DZ"/>
        </w:rPr>
        <w:t>ضمنياً</w:t>
      </w:r>
      <w:r w:rsidRPr="003D7584">
        <w:rPr>
          <w:spacing w:val="-2"/>
          <w:rtl/>
          <w:lang w:bidi="ar-DZ"/>
        </w:rPr>
        <w:t xml:space="preserve"> </w:t>
      </w:r>
      <w:r w:rsidRPr="003D7584">
        <w:rPr>
          <w:rFonts w:hint="cs"/>
          <w:spacing w:val="-2"/>
          <w:rtl/>
          <w:lang w:bidi="ar-DZ"/>
        </w:rPr>
        <w:t>الطلاق</w:t>
      </w:r>
      <w:r w:rsidRPr="003D7584">
        <w:rPr>
          <w:spacing w:val="-2"/>
          <w:rtl/>
          <w:lang w:bidi="ar-DZ"/>
        </w:rPr>
        <w:t xml:space="preserve"> </w:t>
      </w:r>
      <w:r w:rsidRPr="003D7584">
        <w:rPr>
          <w:rFonts w:hint="cs"/>
          <w:spacing w:val="-2"/>
          <w:rtl/>
          <w:lang w:bidi="ar-DZ"/>
        </w:rPr>
        <w:t>الإجباري</w:t>
      </w:r>
      <w:r w:rsidRPr="003D7584">
        <w:rPr>
          <w:spacing w:val="-2"/>
          <w:rtl/>
          <w:lang w:bidi="ar-DZ"/>
        </w:rPr>
        <w:t xml:space="preserve"> </w:t>
      </w:r>
      <w:r w:rsidRPr="003D7584">
        <w:rPr>
          <w:rFonts w:hint="cs"/>
          <w:spacing w:val="-2"/>
          <w:rtl/>
          <w:lang w:bidi="ar-DZ"/>
        </w:rPr>
        <w:t>في</w:t>
      </w:r>
      <w:r w:rsidRPr="003D7584">
        <w:rPr>
          <w:spacing w:val="-2"/>
          <w:rtl/>
          <w:lang w:bidi="ar-DZ"/>
        </w:rPr>
        <w:t xml:space="preserve"> </w:t>
      </w:r>
      <w:r w:rsidRPr="003D7584">
        <w:rPr>
          <w:rFonts w:hint="cs"/>
          <w:spacing w:val="-2"/>
          <w:rtl/>
          <w:lang w:bidi="ar-DZ"/>
        </w:rPr>
        <w:t>الحالات</w:t>
      </w:r>
      <w:r w:rsidRPr="003D7584">
        <w:rPr>
          <w:spacing w:val="-2"/>
          <w:rtl/>
          <w:lang w:bidi="ar-DZ"/>
        </w:rPr>
        <w:t xml:space="preserve"> </w:t>
      </w:r>
      <w:r w:rsidRPr="003D7584">
        <w:rPr>
          <w:rFonts w:hint="cs"/>
          <w:spacing w:val="-2"/>
          <w:rtl/>
          <w:lang w:bidi="ar-DZ"/>
        </w:rPr>
        <w:t>التي</w:t>
      </w:r>
      <w:r w:rsidRPr="003D7584">
        <w:rPr>
          <w:spacing w:val="-2"/>
          <w:rtl/>
          <w:lang w:bidi="ar-DZ"/>
        </w:rPr>
        <w:t xml:space="preserve"> </w:t>
      </w:r>
      <w:r w:rsidRPr="003D7584">
        <w:rPr>
          <w:rFonts w:hint="cs"/>
          <w:spacing w:val="-2"/>
          <w:rtl/>
          <w:lang w:bidi="ar-DZ"/>
        </w:rPr>
        <w:t>يكون</w:t>
      </w:r>
      <w:r w:rsidRPr="003D7584">
        <w:rPr>
          <w:spacing w:val="-2"/>
          <w:rtl/>
          <w:lang w:bidi="ar-DZ"/>
        </w:rPr>
        <w:t xml:space="preserve"> </w:t>
      </w:r>
      <w:r w:rsidRPr="003D7584">
        <w:rPr>
          <w:rFonts w:hint="cs"/>
          <w:spacing w:val="-2"/>
          <w:rtl/>
          <w:lang w:bidi="ar-DZ"/>
        </w:rPr>
        <w:t>فيها</w:t>
      </w:r>
      <w:r w:rsidRPr="003D7584">
        <w:rPr>
          <w:spacing w:val="-2"/>
          <w:rtl/>
          <w:lang w:bidi="ar-DZ"/>
        </w:rPr>
        <w:t xml:space="preserve"> </w:t>
      </w:r>
      <w:r w:rsidRPr="003D7584">
        <w:rPr>
          <w:rFonts w:hint="cs"/>
          <w:spacing w:val="-2"/>
          <w:rtl/>
          <w:lang w:bidi="ar-DZ"/>
        </w:rPr>
        <w:t>الفرد</w:t>
      </w:r>
      <w:r w:rsidRPr="003D7584">
        <w:rPr>
          <w:spacing w:val="-2"/>
          <w:rtl/>
          <w:lang w:bidi="ar-DZ"/>
        </w:rPr>
        <w:t xml:space="preserve"> </w:t>
      </w:r>
      <w:r w:rsidRPr="003D7584">
        <w:rPr>
          <w:rFonts w:hint="cs"/>
          <w:spacing w:val="-2"/>
          <w:rtl/>
          <w:lang w:bidi="ar-DZ"/>
        </w:rPr>
        <w:t>متزوجاً". (الفقرة 72). وأوصى الدول الأطراف "[بـ] تيسير</w:t>
      </w:r>
      <w:r w:rsidRPr="003D7584">
        <w:rPr>
          <w:spacing w:val="-2"/>
          <w:rtl/>
          <w:lang w:bidi="ar-DZ"/>
        </w:rPr>
        <w:t xml:space="preserve"> </w:t>
      </w:r>
      <w:r w:rsidRPr="003D7584">
        <w:rPr>
          <w:rFonts w:hint="cs"/>
          <w:spacing w:val="-2"/>
          <w:rtl/>
          <w:lang w:bidi="ar-DZ"/>
        </w:rPr>
        <w:t>الاعتراف</w:t>
      </w:r>
      <w:r w:rsidRPr="003D7584">
        <w:rPr>
          <w:spacing w:val="-2"/>
          <w:rtl/>
          <w:lang w:bidi="ar-DZ"/>
        </w:rPr>
        <w:t xml:space="preserve"> </w:t>
      </w:r>
      <w:r w:rsidRPr="003D7584">
        <w:rPr>
          <w:rFonts w:hint="cs"/>
          <w:spacing w:val="-2"/>
          <w:rtl/>
          <w:lang w:bidi="ar-DZ"/>
        </w:rPr>
        <w:t>القانوني</w:t>
      </w:r>
      <w:r w:rsidRPr="003D7584">
        <w:rPr>
          <w:spacing w:val="-2"/>
          <w:rtl/>
          <w:lang w:bidi="ar-DZ"/>
        </w:rPr>
        <w:t xml:space="preserve"> </w:t>
      </w:r>
      <w:r w:rsidRPr="003D7584">
        <w:rPr>
          <w:rFonts w:hint="cs"/>
          <w:spacing w:val="-2"/>
          <w:rtl/>
          <w:lang w:bidi="ar-DZ"/>
        </w:rPr>
        <w:t>بنوع</w:t>
      </w:r>
      <w:r w:rsidRPr="003D7584">
        <w:rPr>
          <w:spacing w:val="-2"/>
          <w:rtl/>
          <w:lang w:bidi="ar-DZ"/>
        </w:rPr>
        <w:t xml:space="preserve"> </w:t>
      </w:r>
      <w:r w:rsidRPr="003D7584">
        <w:rPr>
          <w:rFonts w:hint="cs"/>
          <w:spacing w:val="-2"/>
          <w:rtl/>
          <w:lang w:bidi="ar-DZ"/>
        </w:rPr>
        <w:t>الجنس</w:t>
      </w:r>
      <w:r w:rsidRPr="003D7584">
        <w:rPr>
          <w:spacing w:val="-2"/>
          <w:rtl/>
          <w:lang w:bidi="ar-DZ"/>
        </w:rPr>
        <w:t xml:space="preserve"> </w:t>
      </w:r>
      <w:r w:rsidRPr="003D7584">
        <w:rPr>
          <w:rFonts w:hint="cs"/>
          <w:spacing w:val="-2"/>
          <w:rtl/>
          <w:lang w:bidi="ar-DZ"/>
        </w:rPr>
        <w:t>المفضل</w:t>
      </w:r>
      <w:r w:rsidRPr="003D7584">
        <w:rPr>
          <w:spacing w:val="-2"/>
          <w:rtl/>
          <w:lang w:bidi="ar-DZ"/>
        </w:rPr>
        <w:t xml:space="preserve"> </w:t>
      </w:r>
      <w:r w:rsidRPr="003D7584">
        <w:rPr>
          <w:rFonts w:hint="cs"/>
          <w:spacing w:val="-2"/>
          <w:rtl/>
          <w:lang w:bidi="ar-DZ"/>
        </w:rPr>
        <w:t>لمغايري</w:t>
      </w:r>
      <w:r w:rsidRPr="003D7584">
        <w:rPr>
          <w:spacing w:val="-2"/>
          <w:rtl/>
          <w:lang w:bidi="ar-DZ"/>
        </w:rPr>
        <w:t xml:space="preserve"> </w:t>
      </w:r>
      <w:r w:rsidRPr="003D7584">
        <w:rPr>
          <w:rFonts w:hint="cs"/>
          <w:spacing w:val="-2"/>
          <w:rtl/>
          <w:lang w:bidi="ar-DZ"/>
        </w:rPr>
        <w:t>الهوية</w:t>
      </w:r>
      <w:r w:rsidRPr="003D7584">
        <w:rPr>
          <w:spacing w:val="-2"/>
          <w:rtl/>
          <w:lang w:bidi="ar-DZ"/>
        </w:rPr>
        <w:t xml:space="preserve"> </w:t>
      </w:r>
      <w:r w:rsidRPr="003D7584">
        <w:rPr>
          <w:rFonts w:hint="cs"/>
          <w:spacing w:val="-2"/>
          <w:rtl/>
          <w:lang w:bidi="ar-DZ"/>
        </w:rPr>
        <w:t>الجنسانية</w:t>
      </w:r>
      <w:r w:rsidRPr="003D7584">
        <w:rPr>
          <w:spacing w:val="-2"/>
          <w:rtl/>
          <w:lang w:bidi="ar-DZ"/>
        </w:rPr>
        <w:t xml:space="preserve"> </w:t>
      </w:r>
      <w:proofErr w:type="gramStart"/>
      <w:r w:rsidRPr="003D7584">
        <w:rPr>
          <w:rFonts w:hint="cs"/>
          <w:spacing w:val="-2"/>
          <w:rtl/>
          <w:lang w:bidi="ar-DZ"/>
        </w:rPr>
        <w:t>و...</w:t>
      </w:r>
      <w:proofErr w:type="gramEnd"/>
      <w:r w:rsidRPr="003D7584">
        <w:rPr>
          <w:spacing w:val="-2"/>
          <w:rtl/>
          <w:lang w:bidi="ar-DZ"/>
        </w:rPr>
        <w:t xml:space="preserve"> </w:t>
      </w:r>
      <w:r w:rsidRPr="003D7584">
        <w:rPr>
          <w:rFonts w:hint="cs"/>
          <w:spacing w:val="-2"/>
          <w:rtl/>
          <w:lang w:bidi="ar-DZ"/>
        </w:rPr>
        <w:t>للسماح</w:t>
      </w:r>
      <w:r w:rsidRPr="003D7584">
        <w:rPr>
          <w:spacing w:val="-2"/>
          <w:rtl/>
          <w:lang w:bidi="ar-DZ"/>
        </w:rPr>
        <w:t xml:space="preserve"> </w:t>
      </w:r>
      <w:r w:rsidRPr="003D7584">
        <w:rPr>
          <w:rFonts w:hint="cs"/>
          <w:spacing w:val="-2"/>
          <w:rtl/>
          <w:lang w:bidi="ar-DZ"/>
        </w:rPr>
        <w:t>بإعادة</w:t>
      </w:r>
      <w:r w:rsidRPr="003D7584">
        <w:rPr>
          <w:spacing w:val="-2"/>
          <w:rtl/>
          <w:lang w:bidi="ar-DZ"/>
        </w:rPr>
        <w:t xml:space="preserve"> </w:t>
      </w:r>
      <w:r w:rsidRPr="003D7584">
        <w:rPr>
          <w:rFonts w:hint="cs"/>
          <w:spacing w:val="-2"/>
          <w:rtl/>
          <w:lang w:bidi="ar-DZ"/>
        </w:rPr>
        <w:t>إصدار</w:t>
      </w:r>
      <w:r w:rsidRPr="003D7584">
        <w:rPr>
          <w:spacing w:val="-2"/>
          <w:rtl/>
          <w:lang w:bidi="ar-DZ"/>
        </w:rPr>
        <w:t xml:space="preserve"> </w:t>
      </w:r>
      <w:r w:rsidRPr="003D7584">
        <w:rPr>
          <w:rFonts w:hint="cs"/>
          <w:spacing w:val="-2"/>
          <w:rtl/>
          <w:lang w:bidi="ar-DZ"/>
        </w:rPr>
        <w:t>وثائق الهوية</w:t>
      </w:r>
      <w:r w:rsidRPr="003D7584">
        <w:rPr>
          <w:spacing w:val="-2"/>
          <w:rtl/>
          <w:lang w:bidi="ar-DZ"/>
        </w:rPr>
        <w:t xml:space="preserve"> </w:t>
      </w:r>
      <w:r w:rsidRPr="003D7584">
        <w:rPr>
          <w:rFonts w:hint="cs"/>
          <w:spacing w:val="-2"/>
          <w:rtl/>
          <w:lang w:bidi="ar-DZ"/>
        </w:rPr>
        <w:t>ذات</w:t>
      </w:r>
      <w:r w:rsidRPr="003D7584">
        <w:rPr>
          <w:spacing w:val="-2"/>
          <w:rtl/>
          <w:lang w:bidi="ar-DZ"/>
        </w:rPr>
        <w:t xml:space="preserve"> </w:t>
      </w:r>
      <w:r w:rsidRPr="003D7584">
        <w:rPr>
          <w:rFonts w:hint="cs"/>
          <w:spacing w:val="-2"/>
          <w:rtl/>
          <w:lang w:bidi="ar-DZ"/>
        </w:rPr>
        <w:t>الصلة</w:t>
      </w:r>
      <w:r w:rsidRPr="003D7584">
        <w:rPr>
          <w:spacing w:val="-2"/>
          <w:rtl/>
          <w:lang w:bidi="ar-DZ"/>
        </w:rPr>
        <w:t xml:space="preserve"> </w:t>
      </w:r>
      <w:r w:rsidRPr="003D7584">
        <w:rPr>
          <w:rFonts w:hint="cs"/>
          <w:spacing w:val="-2"/>
          <w:rtl/>
          <w:lang w:bidi="ar-DZ"/>
        </w:rPr>
        <w:t>التي</w:t>
      </w:r>
      <w:r w:rsidRPr="003D7584">
        <w:rPr>
          <w:spacing w:val="-2"/>
          <w:rtl/>
          <w:lang w:bidi="ar-DZ"/>
        </w:rPr>
        <w:t xml:space="preserve"> </w:t>
      </w:r>
      <w:r w:rsidRPr="003D7584">
        <w:rPr>
          <w:rFonts w:hint="cs"/>
          <w:spacing w:val="-2"/>
          <w:rtl/>
          <w:lang w:bidi="ar-DZ"/>
        </w:rPr>
        <w:t>تعكس</w:t>
      </w:r>
      <w:r w:rsidRPr="003D7584">
        <w:rPr>
          <w:spacing w:val="-2"/>
          <w:rtl/>
          <w:lang w:bidi="ar-DZ"/>
        </w:rPr>
        <w:t xml:space="preserve"> </w:t>
      </w:r>
      <w:r w:rsidRPr="003D7584">
        <w:rPr>
          <w:rFonts w:hint="cs"/>
          <w:spacing w:val="-2"/>
          <w:rtl/>
          <w:lang w:bidi="ar-DZ"/>
        </w:rPr>
        <w:t>نوع</w:t>
      </w:r>
      <w:r w:rsidRPr="003D7584">
        <w:rPr>
          <w:spacing w:val="-2"/>
          <w:rtl/>
          <w:lang w:bidi="ar-DZ"/>
        </w:rPr>
        <w:t xml:space="preserve"> </w:t>
      </w:r>
      <w:r w:rsidRPr="003D7584">
        <w:rPr>
          <w:rFonts w:hint="cs"/>
          <w:spacing w:val="-2"/>
          <w:rtl/>
          <w:lang w:bidi="ar-DZ"/>
        </w:rPr>
        <w:t>الهوية</w:t>
      </w:r>
      <w:r w:rsidRPr="003D7584">
        <w:rPr>
          <w:spacing w:val="-2"/>
          <w:rtl/>
          <w:lang w:bidi="ar-DZ"/>
        </w:rPr>
        <w:t xml:space="preserve"> </w:t>
      </w:r>
      <w:r w:rsidRPr="003D7584">
        <w:rPr>
          <w:rFonts w:hint="cs"/>
          <w:spacing w:val="-2"/>
          <w:rtl/>
          <w:lang w:bidi="ar-DZ"/>
        </w:rPr>
        <w:t>والاسم</w:t>
      </w:r>
      <w:r w:rsidRPr="003D7584">
        <w:rPr>
          <w:spacing w:val="-2"/>
          <w:rtl/>
          <w:lang w:bidi="ar-DZ"/>
        </w:rPr>
        <w:t xml:space="preserve"> </w:t>
      </w:r>
      <w:r w:rsidRPr="003D7584">
        <w:rPr>
          <w:rFonts w:hint="cs"/>
          <w:spacing w:val="-2"/>
          <w:rtl/>
          <w:lang w:bidi="ar-DZ"/>
        </w:rPr>
        <w:t>المفضلين،</w:t>
      </w:r>
      <w:r w:rsidRPr="003D7584">
        <w:rPr>
          <w:spacing w:val="-2"/>
          <w:rtl/>
          <w:lang w:bidi="ar-DZ"/>
        </w:rPr>
        <w:t xml:space="preserve"> </w:t>
      </w:r>
      <w:r w:rsidRPr="003D7584">
        <w:rPr>
          <w:rFonts w:hint="cs"/>
          <w:spacing w:val="-2"/>
          <w:rtl/>
          <w:lang w:bidi="ar-DZ"/>
        </w:rPr>
        <w:t>دون</w:t>
      </w:r>
      <w:r w:rsidRPr="003D7584">
        <w:rPr>
          <w:spacing w:val="-2"/>
          <w:rtl/>
          <w:lang w:bidi="ar-DZ"/>
        </w:rPr>
        <w:t xml:space="preserve"> </w:t>
      </w:r>
      <w:r w:rsidRPr="003D7584">
        <w:rPr>
          <w:rFonts w:hint="cs"/>
          <w:spacing w:val="-2"/>
          <w:rtl/>
          <w:lang w:bidi="ar-DZ"/>
        </w:rPr>
        <w:t>انتهاكات</w:t>
      </w:r>
      <w:r w:rsidRPr="003D7584">
        <w:rPr>
          <w:spacing w:val="-2"/>
          <w:rtl/>
          <w:lang w:bidi="ar-DZ"/>
        </w:rPr>
        <w:t xml:space="preserve"> </w:t>
      </w:r>
      <w:r w:rsidRPr="003D7584">
        <w:rPr>
          <w:rFonts w:hint="cs"/>
          <w:spacing w:val="-2"/>
          <w:rtl/>
          <w:lang w:bidi="ar-DZ"/>
        </w:rPr>
        <w:t>أخرى</w:t>
      </w:r>
      <w:r w:rsidRPr="003D7584">
        <w:rPr>
          <w:spacing w:val="-2"/>
          <w:rtl/>
          <w:lang w:bidi="ar-DZ"/>
        </w:rPr>
        <w:t xml:space="preserve"> </w:t>
      </w:r>
      <w:r w:rsidRPr="003D7584">
        <w:rPr>
          <w:rFonts w:hint="cs"/>
          <w:spacing w:val="-2"/>
          <w:rtl/>
          <w:lang w:bidi="ar-DZ"/>
        </w:rPr>
        <w:t>لحقوق</w:t>
      </w:r>
      <w:r w:rsidRPr="003D7584">
        <w:rPr>
          <w:spacing w:val="-2"/>
          <w:rtl/>
          <w:lang w:bidi="ar-DZ"/>
        </w:rPr>
        <w:t xml:space="preserve"> </w:t>
      </w:r>
      <w:r w:rsidRPr="003D7584">
        <w:rPr>
          <w:rFonts w:hint="cs"/>
          <w:spacing w:val="-2"/>
          <w:rtl/>
          <w:lang w:bidi="ar-DZ"/>
        </w:rPr>
        <w:t>الإنسان" (الفقرة 84).</w:t>
      </w:r>
    </w:p>
  </w:footnote>
  <w:footnote w:id="35">
    <w:p w:rsidR="00322339" w:rsidRPr="00C34C06" w:rsidRDefault="00322339" w:rsidP="002A1C74">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انظر تعليق اللجنة العام رقم 16، الفقرة 4.</w:t>
      </w:r>
    </w:p>
  </w:footnote>
  <w:footnote w:id="36">
    <w:p w:rsidR="00322339" w:rsidRPr="00C34C06" w:rsidRDefault="00322339" w:rsidP="00FA4FCD">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w:t>
      </w:r>
      <w:proofErr w:type="spellStart"/>
      <w:r w:rsidRPr="005E22FF">
        <w:rPr>
          <w:rFonts w:hint="cs"/>
          <w:i/>
          <w:iCs/>
          <w:rtl/>
          <w:lang w:bidi="ar-DZ"/>
        </w:rPr>
        <w:t>اوميرودي</w:t>
      </w:r>
      <w:proofErr w:type="spellEnd"/>
      <w:r w:rsidRPr="005E22FF">
        <w:rPr>
          <w:rFonts w:hint="cs"/>
          <w:i/>
          <w:iCs/>
          <w:rtl/>
          <w:lang w:bidi="ar-DZ"/>
        </w:rPr>
        <w:t xml:space="preserve"> - </w:t>
      </w:r>
      <w:proofErr w:type="spellStart"/>
      <w:r w:rsidRPr="005E22FF">
        <w:rPr>
          <w:rFonts w:hint="cs"/>
          <w:i/>
          <w:iCs/>
          <w:rtl/>
          <w:lang w:bidi="ar-DZ"/>
        </w:rPr>
        <w:t>شيفيرا</w:t>
      </w:r>
      <w:proofErr w:type="spellEnd"/>
      <w:r w:rsidRPr="005E22FF">
        <w:rPr>
          <w:rFonts w:hint="cs"/>
          <w:i/>
          <w:iCs/>
          <w:rtl/>
          <w:lang w:bidi="ar-DZ"/>
        </w:rPr>
        <w:t xml:space="preserve"> وآخرون ضد موريشيوس</w:t>
      </w:r>
      <w:r w:rsidRPr="00C34C06">
        <w:rPr>
          <w:rFonts w:hint="cs"/>
          <w:rtl/>
          <w:lang w:bidi="ar-DZ"/>
        </w:rPr>
        <w:t xml:space="preserve">، الفقرة </w:t>
      </w:r>
      <w:r>
        <w:rPr>
          <w:rFonts w:hint="cs"/>
          <w:rtl/>
          <w:lang w:bidi="ar-DZ"/>
        </w:rPr>
        <w:t xml:space="preserve">9-2. </w:t>
      </w:r>
    </w:p>
  </w:footnote>
  <w:footnote w:id="37">
    <w:p w:rsidR="00322339" w:rsidRPr="00C34C06" w:rsidRDefault="00322339" w:rsidP="00FA4FCD">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المرجع نفسه، </w:t>
      </w:r>
      <w:r w:rsidRPr="005E22FF">
        <w:rPr>
          <w:rFonts w:hint="cs"/>
          <w:i/>
          <w:iCs/>
          <w:rtl/>
          <w:lang w:bidi="ar-DZ"/>
        </w:rPr>
        <w:t>وتونين ضد أستراليا</w:t>
      </w:r>
      <w:r w:rsidRPr="00C34C06">
        <w:rPr>
          <w:rFonts w:hint="cs"/>
          <w:rtl/>
          <w:lang w:bidi="ar-DZ"/>
        </w:rPr>
        <w:t xml:space="preserve">، الفقرات </w:t>
      </w:r>
      <w:r>
        <w:rPr>
          <w:rFonts w:hint="cs"/>
          <w:rtl/>
          <w:lang w:bidi="ar-DZ"/>
        </w:rPr>
        <w:t>2-5</w:t>
      </w:r>
      <w:r w:rsidRPr="00C34C06">
        <w:rPr>
          <w:rFonts w:hint="cs"/>
          <w:rtl/>
          <w:lang w:bidi="ar-DZ"/>
        </w:rPr>
        <w:t xml:space="preserve"> و</w:t>
      </w:r>
      <w:r>
        <w:rPr>
          <w:rFonts w:hint="cs"/>
          <w:rtl/>
          <w:lang w:bidi="ar-DZ"/>
        </w:rPr>
        <w:t>2-6</w:t>
      </w:r>
      <w:r w:rsidRPr="00C34C06">
        <w:rPr>
          <w:rFonts w:hint="cs"/>
          <w:rtl/>
          <w:lang w:bidi="ar-DZ"/>
        </w:rPr>
        <w:t xml:space="preserve"> و</w:t>
      </w:r>
      <w:r>
        <w:rPr>
          <w:rFonts w:hint="cs"/>
          <w:rtl/>
          <w:lang w:bidi="ar-DZ"/>
        </w:rPr>
        <w:t>5-1</w:t>
      </w:r>
      <w:r w:rsidRPr="00C34C06">
        <w:rPr>
          <w:lang w:bidi="ar-DZ"/>
        </w:rPr>
        <w:t>.</w:t>
      </w:r>
    </w:p>
  </w:footnote>
  <w:footnote w:id="38">
    <w:p w:rsidR="00322339" w:rsidRPr="00897F55" w:rsidRDefault="00322339" w:rsidP="00897F55">
      <w:pPr>
        <w:pStyle w:val="FootnoteText1"/>
        <w:rPr>
          <w:spacing w:val="-4"/>
          <w:rtl/>
          <w:lang w:bidi="ar-DZ"/>
        </w:rPr>
      </w:pPr>
      <w:r w:rsidRPr="00897F55">
        <w:rPr>
          <w:b/>
          <w:spacing w:val="-4"/>
          <w:rtl/>
          <w:lang w:bidi="ar-DZ"/>
        </w:rPr>
        <w:t>(</w:t>
      </w:r>
      <w:r w:rsidRPr="00897F55">
        <w:rPr>
          <w:rStyle w:val="FootnoteReference"/>
          <w:spacing w:val="-4"/>
          <w:vertAlign w:val="baseline"/>
          <w:rtl/>
          <w:lang w:bidi="ar-DZ"/>
        </w:rPr>
        <w:footnoteRef/>
      </w:r>
      <w:r w:rsidRPr="00897F55">
        <w:rPr>
          <w:b/>
          <w:spacing w:val="-4"/>
          <w:rtl/>
          <w:lang w:bidi="ar-DZ"/>
        </w:rPr>
        <w:t>)</w:t>
      </w:r>
      <w:r w:rsidRPr="00897F55">
        <w:rPr>
          <w:spacing w:val="-4"/>
          <w:rtl/>
          <w:lang w:bidi="ar-DZ"/>
        </w:rPr>
        <w:tab/>
      </w:r>
      <w:r w:rsidRPr="00897F55">
        <w:rPr>
          <w:rFonts w:hint="cs"/>
          <w:spacing w:val="-4"/>
          <w:rtl/>
          <w:lang w:bidi="ar-DZ"/>
        </w:rPr>
        <w:t xml:space="preserve">انظر البلاغ رقم 2030/2011، </w:t>
      </w:r>
      <w:proofErr w:type="spellStart"/>
      <w:r w:rsidRPr="00897F55">
        <w:rPr>
          <w:rFonts w:hint="cs"/>
          <w:i/>
          <w:iCs/>
          <w:spacing w:val="-4"/>
          <w:rtl/>
          <w:lang w:bidi="ar-DZ"/>
        </w:rPr>
        <w:t>بولياكوف</w:t>
      </w:r>
      <w:proofErr w:type="spellEnd"/>
      <w:r w:rsidRPr="00897F55">
        <w:rPr>
          <w:rFonts w:hint="cs"/>
          <w:i/>
          <w:iCs/>
          <w:spacing w:val="-4"/>
          <w:rtl/>
          <w:lang w:bidi="ar-DZ"/>
        </w:rPr>
        <w:t xml:space="preserve"> ضد بيلاروس</w:t>
      </w:r>
      <w:r w:rsidRPr="00897F55">
        <w:rPr>
          <w:rFonts w:hint="cs"/>
          <w:spacing w:val="-4"/>
          <w:rtl/>
          <w:lang w:bidi="ar-DZ"/>
        </w:rPr>
        <w:t>، الآراء المعتمدة في 17 تموز/يوليه 2014، الفقرة</w:t>
      </w:r>
      <w:r w:rsidRPr="00897F55">
        <w:rPr>
          <w:rFonts w:hint="eastAsia"/>
          <w:spacing w:val="-4"/>
          <w:rtl/>
          <w:lang w:bidi="ar-DZ"/>
        </w:rPr>
        <w:t> </w:t>
      </w:r>
      <w:r w:rsidRPr="00897F55">
        <w:rPr>
          <w:rFonts w:hint="cs"/>
          <w:spacing w:val="-4"/>
          <w:rtl/>
          <w:lang w:bidi="ar-DZ"/>
        </w:rPr>
        <w:t xml:space="preserve">7-4. </w:t>
      </w:r>
    </w:p>
  </w:footnote>
  <w:footnote w:id="39">
    <w:p w:rsidR="00322339" w:rsidRPr="00C34C06" w:rsidRDefault="00322339" w:rsidP="003A01A3">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lang w:bidi="ar-DZ"/>
        </w:rPr>
        <w:tab/>
      </w:r>
      <w:r w:rsidRPr="00C34C06">
        <w:rPr>
          <w:rFonts w:hint="cs"/>
          <w:rtl/>
          <w:lang w:bidi="ar-DZ"/>
        </w:rPr>
        <w:t xml:space="preserve">انظر </w:t>
      </w:r>
      <w:r w:rsidRPr="005E22FF">
        <w:rPr>
          <w:rFonts w:hint="cs"/>
          <w:i/>
          <w:iCs/>
          <w:rtl/>
          <w:lang w:bidi="ar-DZ"/>
        </w:rPr>
        <w:t xml:space="preserve">كوريل </w:t>
      </w:r>
      <w:proofErr w:type="spellStart"/>
      <w:r w:rsidRPr="005E22FF">
        <w:rPr>
          <w:rFonts w:hint="cs"/>
          <w:i/>
          <w:iCs/>
          <w:rtl/>
          <w:lang w:bidi="ar-DZ"/>
        </w:rPr>
        <w:t>وأورليك</w:t>
      </w:r>
      <w:proofErr w:type="spellEnd"/>
      <w:r w:rsidRPr="005E22FF">
        <w:rPr>
          <w:rFonts w:hint="cs"/>
          <w:i/>
          <w:iCs/>
          <w:rtl/>
          <w:lang w:bidi="ar-DZ"/>
        </w:rPr>
        <w:t xml:space="preserve"> ضد هولندا</w:t>
      </w:r>
      <w:r w:rsidRPr="00C34C06">
        <w:rPr>
          <w:rFonts w:hint="cs"/>
          <w:rtl/>
          <w:lang w:bidi="ar-DZ"/>
        </w:rPr>
        <w:t xml:space="preserve">، الفقرة </w:t>
      </w:r>
      <w:r>
        <w:rPr>
          <w:rFonts w:hint="cs"/>
          <w:rtl/>
          <w:lang w:bidi="ar-DZ"/>
        </w:rPr>
        <w:t xml:space="preserve">10-2. </w:t>
      </w:r>
    </w:p>
  </w:footnote>
  <w:footnote w:id="40">
    <w:p w:rsidR="00322339" w:rsidRPr="00C34C06" w:rsidRDefault="00322339" w:rsidP="003A01A3">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على سبيل المثال، </w:t>
      </w:r>
      <w:proofErr w:type="spellStart"/>
      <w:r w:rsidRPr="005E22FF">
        <w:rPr>
          <w:rFonts w:hint="cs"/>
          <w:i/>
          <w:iCs/>
          <w:rtl/>
          <w:lang w:bidi="ar-DZ"/>
        </w:rPr>
        <w:t>ريهمان</w:t>
      </w:r>
      <w:proofErr w:type="spellEnd"/>
      <w:r w:rsidRPr="005E22FF">
        <w:rPr>
          <w:rFonts w:hint="cs"/>
          <w:i/>
          <w:iCs/>
          <w:rtl/>
          <w:lang w:bidi="ar-DZ"/>
        </w:rPr>
        <w:t xml:space="preserve"> ضد لاتفيا</w:t>
      </w:r>
      <w:r w:rsidRPr="00C34C06">
        <w:rPr>
          <w:rFonts w:hint="cs"/>
          <w:rtl/>
          <w:lang w:bidi="ar-DZ"/>
        </w:rPr>
        <w:t xml:space="preserve">، الفقرة </w:t>
      </w:r>
      <w:r>
        <w:rPr>
          <w:rFonts w:hint="cs"/>
          <w:rtl/>
          <w:lang w:bidi="ar-DZ"/>
        </w:rPr>
        <w:t>8-3</w:t>
      </w:r>
      <w:r w:rsidRPr="00C34C06">
        <w:rPr>
          <w:rFonts w:hint="cs"/>
          <w:rtl/>
          <w:lang w:bidi="ar-DZ"/>
        </w:rPr>
        <w:t xml:space="preserve">؛ </w:t>
      </w:r>
      <w:r w:rsidRPr="005E22FF">
        <w:rPr>
          <w:rFonts w:hint="cs"/>
          <w:i/>
          <w:iCs/>
          <w:rtl/>
          <w:lang w:bidi="ar-DZ"/>
        </w:rPr>
        <w:t>وتونين ضد أستراليا</w:t>
      </w:r>
      <w:r w:rsidRPr="00C34C06">
        <w:rPr>
          <w:rFonts w:hint="cs"/>
          <w:rtl/>
          <w:lang w:bidi="ar-DZ"/>
        </w:rPr>
        <w:t xml:space="preserve">، الفقرة </w:t>
      </w:r>
      <w:r>
        <w:rPr>
          <w:rFonts w:hint="cs"/>
          <w:rtl/>
          <w:lang w:bidi="ar-DZ"/>
        </w:rPr>
        <w:t>8-2</w:t>
      </w:r>
      <w:r w:rsidRPr="00C34C06">
        <w:rPr>
          <w:rFonts w:hint="cs"/>
          <w:rtl/>
          <w:lang w:bidi="ar-DZ"/>
        </w:rPr>
        <w:t>.</w:t>
      </w:r>
      <w:r>
        <w:rPr>
          <w:rFonts w:hint="cs"/>
          <w:rtl/>
          <w:lang w:bidi="ar-DZ"/>
        </w:rPr>
        <w:t xml:space="preserve"> </w:t>
      </w:r>
    </w:p>
  </w:footnote>
  <w:footnote w:id="41">
    <w:p w:rsidR="00322339" w:rsidRPr="00C34C06" w:rsidRDefault="00322339" w:rsidP="002A1C74">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انظر تعليق اللجنة العام رقم 16، الفقرة 4.</w:t>
      </w:r>
    </w:p>
  </w:footnote>
  <w:footnote w:id="42">
    <w:p w:rsidR="00322339" w:rsidRPr="00C34C06" w:rsidRDefault="00322339" w:rsidP="005E471A">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انظر </w:t>
      </w:r>
      <w:r w:rsidRPr="00C322E7">
        <w:rPr>
          <w:rFonts w:hint="cs"/>
          <w:i/>
          <w:iCs/>
          <w:rtl/>
          <w:lang w:bidi="ar-DZ"/>
        </w:rPr>
        <w:t>تونين ضد أستراليا</w:t>
      </w:r>
      <w:r w:rsidRPr="00C34C06">
        <w:rPr>
          <w:rFonts w:hint="cs"/>
          <w:rtl/>
          <w:lang w:bidi="ar-DZ"/>
        </w:rPr>
        <w:t xml:space="preserve">، الفقرة </w:t>
      </w:r>
      <w:r>
        <w:rPr>
          <w:rFonts w:hint="cs"/>
          <w:rtl/>
          <w:lang w:bidi="ar-DZ"/>
        </w:rPr>
        <w:t>8-3</w:t>
      </w:r>
      <w:r w:rsidRPr="00C34C06">
        <w:rPr>
          <w:rFonts w:hint="cs"/>
          <w:rtl/>
          <w:lang w:bidi="ar-DZ"/>
        </w:rPr>
        <w:t>.</w:t>
      </w:r>
      <w:r>
        <w:rPr>
          <w:rFonts w:hint="cs"/>
          <w:rtl/>
          <w:lang w:bidi="ar-DZ"/>
        </w:rPr>
        <w:t xml:space="preserve"> </w:t>
      </w:r>
    </w:p>
  </w:footnote>
  <w:footnote w:id="43">
    <w:p w:rsidR="00322339" w:rsidRPr="00C34C06" w:rsidRDefault="00322339" w:rsidP="00CD5A55">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 xml:space="preserve">المرجع نفسه، الفقرة </w:t>
      </w:r>
      <w:r>
        <w:rPr>
          <w:rFonts w:hint="cs"/>
          <w:rtl/>
          <w:lang w:bidi="ar-DZ"/>
        </w:rPr>
        <w:t>8-6</w:t>
      </w:r>
      <w:r w:rsidRPr="00C34C06">
        <w:rPr>
          <w:rFonts w:hint="cs"/>
          <w:rtl/>
          <w:lang w:bidi="ar-DZ"/>
        </w:rPr>
        <w:t>.</w:t>
      </w:r>
      <w:r>
        <w:rPr>
          <w:rFonts w:hint="cs"/>
          <w:rtl/>
          <w:lang w:bidi="ar-DZ"/>
        </w:rPr>
        <w:t xml:space="preserve"> </w:t>
      </w:r>
    </w:p>
  </w:footnote>
  <w:footnote w:id="44">
    <w:p w:rsidR="00322339" w:rsidRPr="00C34C06" w:rsidRDefault="00322339" w:rsidP="003A598C">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انظر، على سبيل المثال، البلاغ رقم 172</w:t>
      </w:r>
      <w:r>
        <w:rPr>
          <w:rFonts w:hint="cs"/>
          <w:rtl/>
          <w:lang w:bidi="ar-DZ"/>
        </w:rPr>
        <w:t>/</w:t>
      </w:r>
      <w:r w:rsidRPr="00C34C06">
        <w:rPr>
          <w:rFonts w:hint="cs"/>
          <w:rtl/>
          <w:lang w:bidi="ar-DZ"/>
        </w:rPr>
        <w:t xml:space="preserve">1984، </w:t>
      </w:r>
      <w:proofErr w:type="spellStart"/>
      <w:r w:rsidRPr="002634C6">
        <w:rPr>
          <w:rFonts w:hint="cs"/>
          <w:i/>
          <w:iCs/>
          <w:rtl/>
          <w:lang w:bidi="ar-DZ"/>
        </w:rPr>
        <w:t>بروكس</w:t>
      </w:r>
      <w:proofErr w:type="spellEnd"/>
      <w:r w:rsidRPr="002634C6">
        <w:rPr>
          <w:rFonts w:hint="cs"/>
          <w:i/>
          <w:iCs/>
          <w:rtl/>
          <w:lang w:bidi="ar-DZ"/>
        </w:rPr>
        <w:t xml:space="preserve"> ضد هولندا</w:t>
      </w:r>
      <w:r w:rsidRPr="00C34C06">
        <w:rPr>
          <w:rFonts w:hint="cs"/>
          <w:rtl/>
          <w:lang w:bidi="ar-DZ"/>
        </w:rPr>
        <w:t>، الآراء المعتمدة في 9 نيسان/</w:t>
      </w:r>
      <w:r>
        <w:rPr>
          <w:rFonts w:hint="cs"/>
          <w:rtl/>
          <w:lang w:bidi="ar-DZ"/>
        </w:rPr>
        <w:t xml:space="preserve"> أ</w:t>
      </w:r>
      <w:r w:rsidRPr="00C34C06">
        <w:rPr>
          <w:rFonts w:hint="cs"/>
          <w:rtl/>
          <w:lang w:bidi="ar-DZ"/>
        </w:rPr>
        <w:t>بريل</w:t>
      </w:r>
      <w:r>
        <w:rPr>
          <w:rFonts w:hint="eastAsia"/>
          <w:rtl/>
          <w:lang w:bidi="ar-DZ"/>
        </w:rPr>
        <w:t> </w:t>
      </w:r>
      <w:r w:rsidRPr="00C34C06">
        <w:rPr>
          <w:rFonts w:hint="cs"/>
          <w:rtl/>
          <w:lang w:bidi="ar-DZ"/>
        </w:rPr>
        <w:t>1987، الفقرة 13؛ والبلاغ رقم 182</w:t>
      </w:r>
      <w:r>
        <w:rPr>
          <w:rFonts w:hint="cs"/>
          <w:rtl/>
          <w:lang w:bidi="ar-DZ"/>
        </w:rPr>
        <w:t>/</w:t>
      </w:r>
      <w:r w:rsidRPr="00C34C06">
        <w:rPr>
          <w:rFonts w:hint="cs"/>
          <w:rtl/>
          <w:lang w:bidi="ar-DZ"/>
        </w:rPr>
        <w:t>1984</w:t>
      </w:r>
      <w:r>
        <w:rPr>
          <w:rFonts w:hint="cs"/>
          <w:rtl/>
          <w:lang w:bidi="ar-DZ"/>
        </w:rPr>
        <w:t>،</w:t>
      </w:r>
      <w:r w:rsidRPr="00C34C06">
        <w:rPr>
          <w:rFonts w:hint="cs"/>
          <w:rtl/>
          <w:lang w:bidi="ar-DZ"/>
        </w:rPr>
        <w:t xml:space="preserve"> </w:t>
      </w:r>
      <w:r w:rsidRPr="002634C6">
        <w:rPr>
          <w:rFonts w:hint="cs"/>
          <w:i/>
          <w:iCs/>
          <w:rtl/>
          <w:lang w:bidi="ar-DZ"/>
        </w:rPr>
        <w:t>زوان - دي - فريز ضد هولندا</w:t>
      </w:r>
      <w:r w:rsidRPr="00C34C06">
        <w:rPr>
          <w:rFonts w:hint="cs"/>
          <w:rtl/>
          <w:lang w:bidi="ar-DZ"/>
        </w:rPr>
        <w:t>، الآراء المعتمدة في 9 نيسان/أبريل 1987، الفقرة 13.</w:t>
      </w:r>
    </w:p>
  </w:footnote>
  <w:footnote w:id="45">
    <w:p w:rsidR="00322339" w:rsidRPr="00C34C06" w:rsidRDefault="00322339" w:rsidP="0026655D">
      <w:pPr>
        <w:pStyle w:val="FootnoteText1"/>
        <w:rPr>
          <w:rtl/>
          <w:lang w:bidi="ar-DZ"/>
        </w:rPr>
      </w:pPr>
      <w:r w:rsidRPr="00C34C06">
        <w:rPr>
          <w:b/>
          <w:rtl/>
          <w:lang w:bidi="ar-DZ"/>
        </w:rPr>
        <w:t>(</w:t>
      </w:r>
      <w:r w:rsidRPr="00C34C06">
        <w:rPr>
          <w:rStyle w:val="FootnoteReference"/>
          <w:vertAlign w:val="baseline"/>
          <w:rtl/>
          <w:lang w:bidi="ar-DZ"/>
        </w:rPr>
        <w:footnoteRef/>
      </w:r>
      <w:r w:rsidRPr="00C34C06">
        <w:rPr>
          <w:b/>
          <w:rtl/>
          <w:lang w:bidi="ar-DZ"/>
        </w:rPr>
        <w:t>)</w:t>
      </w:r>
      <w:r w:rsidRPr="00C34C06">
        <w:rPr>
          <w:rtl/>
          <w:lang w:bidi="ar-DZ"/>
        </w:rPr>
        <w:tab/>
      </w:r>
      <w:r w:rsidRPr="00C34C06">
        <w:rPr>
          <w:rFonts w:hint="cs"/>
          <w:rtl/>
          <w:lang w:bidi="ar-DZ"/>
        </w:rPr>
        <w:t>انظر، على سبيل المثال، البلاغ رقم 1314</w:t>
      </w:r>
      <w:r>
        <w:rPr>
          <w:rFonts w:hint="cs"/>
          <w:rtl/>
          <w:lang w:bidi="ar-DZ"/>
        </w:rPr>
        <w:t>/</w:t>
      </w:r>
      <w:r w:rsidRPr="00C34C06">
        <w:rPr>
          <w:rFonts w:hint="cs"/>
          <w:rtl/>
          <w:lang w:bidi="ar-DZ"/>
        </w:rPr>
        <w:t xml:space="preserve">2004، </w:t>
      </w:r>
      <w:proofErr w:type="spellStart"/>
      <w:r w:rsidRPr="002634C6">
        <w:rPr>
          <w:rFonts w:hint="cs"/>
          <w:i/>
          <w:iCs/>
          <w:rtl/>
          <w:lang w:bidi="ar-DZ"/>
        </w:rPr>
        <w:t>أونيل</w:t>
      </w:r>
      <w:proofErr w:type="spellEnd"/>
      <w:r w:rsidRPr="002634C6">
        <w:rPr>
          <w:rFonts w:hint="cs"/>
          <w:i/>
          <w:iCs/>
          <w:rtl/>
          <w:lang w:bidi="ar-DZ"/>
        </w:rPr>
        <w:t xml:space="preserve"> وكين ضد </w:t>
      </w:r>
      <w:r>
        <w:rPr>
          <w:rFonts w:hint="cs"/>
          <w:i/>
          <w:iCs/>
          <w:rtl/>
          <w:lang w:bidi="ar-DZ"/>
        </w:rPr>
        <w:t>آ</w:t>
      </w:r>
      <w:r w:rsidRPr="002634C6">
        <w:rPr>
          <w:rFonts w:hint="cs"/>
          <w:i/>
          <w:iCs/>
          <w:rtl/>
          <w:lang w:bidi="ar-DZ"/>
        </w:rPr>
        <w:t>يرلندا</w:t>
      </w:r>
      <w:r w:rsidRPr="00C34C06">
        <w:rPr>
          <w:rFonts w:hint="cs"/>
          <w:rtl/>
          <w:lang w:bidi="ar-DZ"/>
        </w:rPr>
        <w:t>، الآراء المعتمدة في 24 تموز/</w:t>
      </w:r>
      <w:r w:rsidR="0014147D">
        <w:rPr>
          <w:rFonts w:hint="cs"/>
          <w:rtl/>
          <w:lang w:bidi="ar-DZ"/>
        </w:rPr>
        <w:t xml:space="preserve"> </w:t>
      </w:r>
      <w:r w:rsidRPr="00C34C06">
        <w:rPr>
          <w:rFonts w:hint="cs"/>
          <w:rtl/>
          <w:lang w:bidi="ar-DZ"/>
        </w:rPr>
        <w:t xml:space="preserve">يوليه 2006، الفقرة </w:t>
      </w:r>
      <w:r>
        <w:rPr>
          <w:rFonts w:hint="cs"/>
          <w:rtl/>
          <w:lang w:bidi="ar-DZ"/>
        </w:rPr>
        <w:t>8-3</w:t>
      </w:r>
      <w:r w:rsidRPr="00C34C06">
        <w:rPr>
          <w:rFonts w:hint="cs"/>
          <w:rtl/>
          <w:lang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39" w:rsidRPr="00C9188E" w:rsidRDefault="00322339" w:rsidP="00C9188E">
    <w:pPr>
      <w:pStyle w:val="Header"/>
      <w:jc w:val="right"/>
    </w:pPr>
    <w:r w:rsidRPr="00C9188E">
      <w:t>CCPR/C/119/D/2172/2012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39" w:rsidRPr="00C9188E" w:rsidRDefault="00322339" w:rsidP="00C9188E">
    <w:pPr>
      <w:pStyle w:val="Header"/>
      <w:jc w:val="left"/>
    </w:pPr>
    <w:r w:rsidRPr="00C9188E">
      <w:t>CCPR/C/119/D/2172/2012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2C9C08A8"/>
    <w:multiLevelType w:val="multilevel"/>
    <w:tmpl w:val="6D68CE60"/>
    <w:lvl w:ilvl="0">
      <w:start w:val="2"/>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720" w:hanging="144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4220" w:hanging="1800"/>
      </w:pPr>
      <w:rPr>
        <w:rFonts w:hint="default"/>
      </w:rPr>
    </w:lvl>
    <w:lvl w:ilvl="7">
      <w:start w:val="1"/>
      <w:numFmt w:val="decimal"/>
      <w:lvlText w:val="%1-%2.%3.%4.%5.%6.%7.%8"/>
      <w:lvlJc w:val="left"/>
      <w:pPr>
        <w:ind w:left="16650" w:hanging="2160"/>
      </w:pPr>
      <w:rPr>
        <w:rFonts w:hint="default"/>
      </w:rPr>
    </w:lvl>
    <w:lvl w:ilvl="8">
      <w:start w:val="1"/>
      <w:numFmt w:val="decimal"/>
      <w:lvlText w:val="%1-%2.%3.%4.%5.%6.%7.%8.%9"/>
      <w:lvlJc w:val="left"/>
      <w:pPr>
        <w:ind w:left="18720" w:hanging="2160"/>
      </w:pPr>
      <w:rPr>
        <w:rFonts w:hint="default"/>
      </w:rPr>
    </w:lvl>
  </w:abstractNum>
  <w:abstractNum w:abstractNumId="3" w15:restartNumberingAfterBreak="0">
    <w:nsid w:val="2E0B265F"/>
    <w:multiLevelType w:val="hybridMultilevel"/>
    <w:tmpl w:val="C6564FB6"/>
    <w:lvl w:ilvl="0" w:tplc="8D241F64">
      <w:start w:val="1"/>
      <w:numFmt w:val="decimal"/>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9493B"/>
    <w:multiLevelType w:val="multilevel"/>
    <w:tmpl w:val="E7707486"/>
    <w:lvl w:ilvl="0">
      <w:start w:val="1"/>
      <w:numFmt w:val="decimal"/>
      <w:lvlText w:val="%1"/>
      <w:lvlJc w:val="left"/>
      <w:pPr>
        <w:ind w:left="420" w:hanging="420"/>
      </w:pPr>
      <w:rPr>
        <w:rFonts w:hint="default"/>
        <w:sz w:val="24"/>
      </w:rPr>
    </w:lvl>
    <w:lvl w:ilvl="1">
      <w:start w:val="1"/>
      <w:numFmt w:val="decimal"/>
      <w:lvlText w:val="%1-%2"/>
      <w:lvlJc w:val="left"/>
      <w:pPr>
        <w:ind w:left="2250" w:hanging="720"/>
      </w:pPr>
      <w:rPr>
        <w:rFonts w:ascii="Traditional Arabic" w:hAnsi="Traditional Arabic" w:cs="Traditional Arabic" w:hint="default"/>
        <w:sz w:val="30"/>
        <w:szCs w:val="30"/>
      </w:rPr>
    </w:lvl>
    <w:lvl w:ilvl="2">
      <w:start w:val="1"/>
      <w:numFmt w:val="decimal"/>
      <w:lvlText w:val="%1-%2.%3"/>
      <w:lvlJc w:val="left"/>
      <w:pPr>
        <w:ind w:left="3240" w:hanging="720"/>
      </w:pPr>
      <w:rPr>
        <w:rFonts w:hint="default"/>
        <w:sz w:val="24"/>
      </w:rPr>
    </w:lvl>
    <w:lvl w:ilvl="3">
      <w:start w:val="1"/>
      <w:numFmt w:val="decimal"/>
      <w:lvlText w:val="%1-%2.%3.%4"/>
      <w:lvlJc w:val="left"/>
      <w:pPr>
        <w:ind w:left="4860" w:hanging="1080"/>
      </w:pPr>
      <w:rPr>
        <w:rFonts w:hint="default"/>
        <w:sz w:val="24"/>
      </w:rPr>
    </w:lvl>
    <w:lvl w:ilvl="4">
      <w:start w:val="1"/>
      <w:numFmt w:val="decimal"/>
      <w:lvlText w:val="%1-%2.%3.%4.%5"/>
      <w:lvlJc w:val="left"/>
      <w:pPr>
        <w:ind w:left="6480" w:hanging="1440"/>
      </w:pPr>
      <w:rPr>
        <w:rFonts w:hint="default"/>
        <w:sz w:val="24"/>
      </w:rPr>
    </w:lvl>
    <w:lvl w:ilvl="5">
      <w:start w:val="1"/>
      <w:numFmt w:val="decimal"/>
      <w:lvlText w:val="%1-%2.%3.%4.%5.%6"/>
      <w:lvlJc w:val="left"/>
      <w:pPr>
        <w:ind w:left="7740" w:hanging="1440"/>
      </w:pPr>
      <w:rPr>
        <w:rFonts w:hint="default"/>
        <w:sz w:val="24"/>
      </w:rPr>
    </w:lvl>
    <w:lvl w:ilvl="6">
      <w:start w:val="1"/>
      <w:numFmt w:val="decimal"/>
      <w:lvlText w:val="%1-%2.%3.%4.%5.%6.%7"/>
      <w:lvlJc w:val="left"/>
      <w:pPr>
        <w:ind w:left="9360" w:hanging="1800"/>
      </w:pPr>
      <w:rPr>
        <w:rFonts w:hint="default"/>
        <w:sz w:val="24"/>
      </w:rPr>
    </w:lvl>
    <w:lvl w:ilvl="7">
      <w:start w:val="1"/>
      <w:numFmt w:val="decimal"/>
      <w:lvlText w:val="%1-%2.%3.%4.%5.%6.%7.%8"/>
      <w:lvlJc w:val="left"/>
      <w:pPr>
        <w:ind w:left="10980" w:hanging="2160"/>
      </w:pPr>
      <w:rPr>
        <w:rFonts w:hint="default"/>
        <w:sz w:val="24"/>
      </w:rPr>
    </w:lvl>
    <w:lvl w:ilvl="8">
      <w:start w:val="1"/>
      <w:numFmt w:val="decimal"/>
      <w:lvlText w:val="%1-%2.%3.%4.%5.%6.%7.%8.%9"/>
      <w:lvlJc w:val="left"/>
      <w:pPr>
        <w:ind w:left="12240" w:hanging="2160"/>
      </w:pPr>
      <w:rPr>
        <w:rFonts w:hint="default"/>
        <w:sz w:val="24"/>
      </w:rPr>
    </w:lvl>
  </w:abstractNum>
  <w:abstractNum w:abstractNumId="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4"/>
  </w:num>
  <w:num w:numId="6">
    <w:abstractNumId w:val="1"/>
  </w:num>
  <w:num w:numId="7">
    <w:abstractNumId w:val="9"/>
  </w:num>
  <w:num w:numId="8">
    <w:abstractNumId w:val="0"/>
  </w:num>
  <w:num w:numId="9">
    <w:abstractNumId w:val="5"/>
  </w:num>
  <w:num w:numId="10">
    <w:abstractNumId w:val="1"/>
  </w:num>
  <w:num w:numId="11">
    <w:abstractNumId w:val="9"/>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A1257"/>
    <w:rsid w:val="000053EF"/>
    <w:rsid w:val="00006C34"/>
    <w:rsid w:val="000076D5"/>
    <w:rsid w:val="0001174F"/>
    <w:rsid w:val="00043663"/>
    <w:rsid w:val="000437B8"/>
    <w:rsid w:val="000465AB"/>
    <w:rsid w:val="000505CF"/>
    <w:rsid w:val="000519BE"/>
    <w:rsid w:val="000770FC"/>
    <w:rsid w:val="00081C20"/>
    <w:rsid w:val="00085928"/>
    <w:rsid w:val="000916D0"/>
    <w:rsid w:val="0009191C"/>
    <w:rsid w:val="000A0175"/>
    <w:rsid w:val="000A3275"/>
    <w:rsid w:val="000B2C20"/>
    <w:rsid w:val="000B469D"/>
    <w:rsid w:val="000D701C"/>
    <w:rsid w:val="000E2A71"/>
    <w:rsid w:val="000F6A8B"/>
    <w:rsid w:val="00104DA4"/>
    <w:rsid w:val="00122802"/>
    <w:rsid w:val="0014147D"/>
    <w:rsid w:val="00160263"/>
    <w:rsid w:val="00161A66"/>
    <w:rsid w:val="00180469"/>
    <w:rsid w:val="00181F96"/>
    <w:rsid w:val="001A1371"/>
    <w:rsid w:val="001B346A"/>
    <w:rsid w:val="001E1CAD"/>
    <w:rsid w:val="001E290D"/>
    <w:rsid w:val="001F2558"/>
    <w:rsid w:val="00211D1E"/>
    <w:rsid w:val="002144FA"/>
    <w:rsid w:val="0023469A"/>
    <w:rsid w:val="00243C8A"/>
    <w:rsid w:val="002634C6"/>
    <w:rsid w:val="0026655D"/>
    <w:rsid w:val="00267A0E"/>
    <w:rsid w:val="00280090"/>
    <w:rsid w:val="002901D9"/>
    <w:rsid w:val="002976C2"/>
    <w:rsid w:val="002A1C74"/>
    <w:rsid w:val="002A2094"/>
    <w:rsid w:val="002B49C0"/>
    <w:rsid w:val="002D72C9"/>
    <w:rsid w:val="002E3645"/>
    <w:rsid w:val="0030053E"/>
    <w:rsid w:val="00300B81"/>
    <w:rsid w:val="003213F1"/>
    <w:rsid w:val="00322339"/>
    <w:rsid w:val="003260FF"/>
    <w:rsid w:val="00343D95"/>
    <w:rsid w:val="003470B1"/>
    <w:rsid w:val="00354953"/>
    <w:rsid w:val="00362A7C"/>
    <w:rsid w:val="00363A18"/>
    <w:rsid w:val="00374341"/>
    <w:rsid w:val="00376C6D"/>
    <w:rsid w:val="00385099"/>
    <w:rsid w:val="003A01A3"/>
    <w:rsid w:val="003A598C"/>
    <w:rsid w:val="003C5319"/>
    <w:rsid w:val="003D1062"/>
    <w:rsid w:val="003D7584"/>
    <w:rsid w:val="003E1B5D"/>
    <w:rsid w:val="003E733B"/>
    <w:rsid w:val="003E7E4C"/>
    <w:rsid w:val="003F2D1C"/>
    <w:rsid w:val="003F4C00"/>
    <w:rsid w:val="003F61A6"/>
    <w:rsid w:val="00407716"/>
    <w:rsid w:val="004163B7"/>
    <w:rsid w:val="00420D7B"/>
    <w:rsid w:val="00442442"/>
    <w:rsid w:val="00450B21"/>
    <w:rsid w:val="00453B63"/>
    <w:rsid w:val="00455780"/>
    <w:rsid w:val="00464392"/>
    <w:rsid w:val="0048114F"/>
    <w:rsid w:val="004903EB"/>
    <w:rsid w:val="004952EA"/>
    <w:rsid w:val="00497A9A"/>
    <w:rsid w:val="004A1257"/>
    <w:rsid w:val="004A15F2"/>
    <w:rsid w:val="004A57B2"/>
    <w:rsid w:val="004B0A1C"/>
    <w:rsid w:val="004C38BF"/>
    <w:rsid w:val="004D298E"/>
    <w:rsid w:val="004D4977"/>
    <w:rsid w:val="00517BC9"/>
    <w:rsid w:val="00521CB1"/>
    <w:rsid w:val="00521D71"/>
    <w:rsid w:val="0054472E"/>
    <w:rsid w:val="005562E4"/>
    <w:rsid w:val="00564B73"/>
    <w:rsid w:val="005662A9"/>
    <w:rsid w:val="00566654"/>
    <w:rsid w:val="005827D4"/>
    <w:rsid w:val="00591684"/>
    <w:rsid w:val="0059622A"/>
    <w:rsid w:val="005B32AE"/>
    <w:rsid w:val="005C5878"/>
    <w:rsid w:val="005C7CEA"/>
    <w:rsid w:val="005D3C0B"/>
    <w:rsid w:val="005E22FF"/>
    <w:rsid w:val="005E471A"/>
    <w:rsid w:val="005E5217"/>
    <w:rsid w:val="005F0FA4"/>
    <w:rsid w:val="005F30EE"/>
    <w:rsid w:val="0060473A"/>
    <w:rsid w:val="00610D81"/>
    <w:rsid w:val="00632D3C"/>
    <w:rsid w:val="006361E1"/>
    <w:rsid w:val="00656392"/>
    <w:rsid w:val="00677A2D"/>
    <w:rsid w:val="00680142"/>
    <w:rsid w:val="0068781D"/>
    <w:rsid w:val="006959B0"/>
    <w:rsid w:val="006B3E27"/>
    <w:rsid w:val="006B5699"/>
    <w:rsid w:val="006B6507"/>
    <w:rsid w:val="006C104C"/>
    <w:rsid w:val="006C450A"/>
    <w:rsid w:val="006C74BB"/>
    <w:rsid w:val="006E08F9"/>
    <w:rsid w:val="00710AA4"/>
    <w:rsid w:val="00713D82"/>
    <w:rsid w:val="0073083C"/>
    <w:rsid w:val="00733704"/>
    <w:rsid w:val="00733E70"/>
    <w:rsid w:val="00740661"/>
    <w:rsid w:val="00753032"/>
    <w:rsid w:val="00754686"/>
    <w:rsid w:val="00754C82"/>
    <w:rsid w:val="00764D91"/>
    <w:rsid w:val="0078071A"/>
    <w:rsid w:val="00787E1E"/>
    <w:rsid w:val="007A787A"/>
    <w:rsid w:val="007A791F"/>
    <w:rsid w:val="008010F6"/>
    <w:rsid w:val="00804676"/>
    <w:rsid w:val="008278BE"/>
    <w:rsid w:val="00852A9A"/>
    <w:rsid w:val="00864C6D"/>
    <w:rsid w:val="00881908"/>
    <w:rsid w:val="00892E79"/>
    <w:rsid w:val="00897F55"/>
    <w:rsid w:val="008F49E1"/>
    <w:rsid w:val="0090370F"/>
    <w:rsid w:val="009269D2"/>
    <w:rsid w:val="00942135"/>
    <w:rsid w:val="00943974"/>
    <w:rsid w:val="00944512"/>
    <w:rsid w:val="009521B0"/>
    <w:rsid w:val="00982139"/>
    <w:rsid w:val="009867A8"/>
    <w:rsid w:val="009A7E9F"/>
    <w:rsid w:val="009B5888"/>
    <w:rsid w:val="009B7B22"/>
    <w:rsid w:val="009C26A9"/>
    <w:rsid w:val="009E5018"/>
    <w:rsid w:val="00A12B37"/>
    <w:rsid w:val="00A244E3"/>
    <w:rsid w:val="00A40536"/>
    <w:rsid w:val="00A424B4"/>
    <w:rsid w:val="00A71457"/>
    <w:rsid w:val="00A94066"/>
    <w:rsid w:val="00AA0FE6"/>
    <w:rsid w:val="00AB6758"/>
    <w:rsid w:val="00AB6F98"/>
    <w:rsid w:val="00AE39FC"/>
    <w:rsid w:val="00AF3549"/>
    <w:rsid w:val="00B13763"/>
    <w:rsid w:val="00B30446"/>
    <w:rsid w:val="00B32019"/>
    <w:rsid w:val="00B477A4"/>
    <w:rsid w:val="00B52C9C"/>
    <w:rsid w:val="00B54045"/>
    <w:rsid w:val="00B54E92"/>
    <w:rsid w:val="00B572BB"/>
    <w:rsid w:val="00B7353C"/>
    <w:rsid w:val="00B7472E"/>
    <w:rsid w:val="00BA4FAE"/>
    <w:rsid w:val="00BB3D40"/>
    <w:rsid w:val="00BB77ED"/>
    <w:rsid w:val="00BE3036"/>
    <w:rsid w:val="00BF1367"/>
    <w:rsid w:val="00C322E7"/>
    <w:rsid w:val="00C34C06"/>
    <w:rsid w:val="00C36B6B"/>
    <w:rsid w:val="00C438D7"/>
    <w:rsid w:val="00C52368"/>
    <w:rsid w:val="00C52F0D"/>
    <w:rsid w:val="00C81B50"/>
    <w:rsid w:val="00C9188E"/>
    <w:rsid w:val="00CB2235"/>
    <w:rsid w:val="00CB6622"/>
    <w:rsid w:val="00CD1801"/>
    <w:rsid w:val="00CD5A55"/>
    <w:rsid w:val="00CF65C6"/>
    <w:rsid w:val="00D01C69"/>
    <w:rsid w:val="00D030E6"/>
    <w:rsid w:val="00D10EF1"/>
    <w:rsid w:val="00D14805"/>
    <w:rsid w:val="00D31903"/>
    <w:rsid w:val="00D360F4"/>
    <w:rsid w:val="00D42810"/>
    <w:rsid w:val="00D47BC1"/>
    <w:rsid w:val="00D53C9B"/>
    <w:rsid w:val="00D5452B"/>
    <w:rsid w:val="00D74D60"/>
    <w:rsid w:val="00D825BC"/>
    <w:rsid w:val="00D90F13"/>
    <w:rsid w:val="00D914A7"/>
    <w:rsid w:val="00D96795"/>
    <w:rsid w:val="00DC522A"/>
    <w:rsid w:val="00DD13C3"/>
    <w:rsid w:val="00DD596E"/>
    <w:rsid w:val="00DD621E"/>
    <w:rsid w:val="00DE50B1"/>
    <w:rsid w:val="00DF0575"/>
    <w:rsid w:val="00E12866"/>
    <w:rsid w:val="00E34903"/>
    <w:rsid w:val="00E51907"/>
    <w:rsid w:val="00E609D3"/>
    <w:rsid w:val="00E70E04"/>
    <w:rsid w:val="00EB0A5A"/>
    <w:rsid w:val="00EB0ED7"/>
    <w:rsid w:val="00EB1DCF"/>
    <w:rsid w:val="00EB25F0"/>
    <w:rsid w:val="00EB50B2"/>
    <w:rsid w:val="00EB77DE"/>
    <w:rsid w:val="00EB7E4B"/>
    <w:rsid w:val="00EC05A7"/>
    <w:rsid w:val="00EC4B6B"/>
    <w:rsid w:val="00ED7442"/>
    <w:rsid w:val="00EF1EE5"/>
    <w:rsid w:val="00EF2259"/>
    <w:rsid w:val="00EF47C6"/>
    <w:rsid w:val="00F10A38"/>
    <w:rsid w:val="00F20060"/>
    <w:rsid w:val="00F201DE"/>
    <w:rsid w:val="00F21316"/>
    <w:rsid w:val="00F46996"/>
    <w:rsid w:val="00F763B4"/>
    <w:rsid w:val="00F80817"/>
    <w:rsid w:val="00F900C3"/>
    <w:rsid w:val="00FA4FCD"/>
    <w:rsid w:val="00FC6EDD"/>
    <w:rsid w:val="00FD0579"/>
    <w:rsid w:val="00FD5CDF"/>
    <w:rsid w:val="00FF2AB2"/>
    <w:rsid w:val="00FF2ACB"/>
    <w:rsid w:val="00FF698C"/>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B6D8C3F4-E11D-4DED-9A8B-3EF92AA1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43974"/>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C9188E"/>
    <w:rPr>
      <w:color w:val="0000FF" w:themeColor="hyperlink"/>
      <w:u w:val="single"/>
    </w:rPr>
  </w:style>
  <w:style w:type="paragraph" w:customStyle="1" w:styleId="SingleTxtG">
    <w:name w:val="_ Single Txt_G"/>
    <w:basedOn w:val="Normal"/>
    <w:link w:val="SingleTxtGChar"/>
    <w:rsid w:val="00C9188E"/>
    <w:pPr>
      <w:suppressAutoHyphens/>
      <w:bidi w:val="0"/>
      <w:spacing w:after="120"/>
      <w:ind w:left="1134" w:right="1134"/>
      <w:jc w:val="both"/>
    </w:pPr>
    <w:rPr>
      <w:rFonts w:eastAsiaTheme="minorEastAsia" w:cs="Times New Roman"/>
      <w:szCs w:val="20"/>
      <w:lang w:val="x-none"/>
    </w:rPr>
  </w:style>
  <w:style w:type="character" w:customStyle="1" w:styleId="SingleTxtGChar">
    <w:name w:val="_ Single Txt_G Char"/>
    <w:link w:val="SingleTxtG"/>
    <w:rsid w:val="00C9188E"/>
    <w:rPr>
      <w:rFonts w:ascii="Times New Roman" w:eastAsiaTheme="minorEastAsia" w:hAnsi="Times New Roman" w:cs="Times New Roman"/>
      <w:sz w:val="20"/>
      <w:szCs w:val="20"/>
      <w:lang w:val="x-none"/>
    </w:rPr>
  </w:style>
  <w:style w:type="character" w:styleId="CommentReference">
    <w:name w:val="annotation reference"/>
    <w:basedOn w:val="DefaultParagraphFont"/>
    <w:uiPriority w:val="99"/>
    <w:semiHidden/>
    <w:unhideWhenUsed/>
    <w:rsid w:val="00C9188E"/>
    <w:rPr>
      <w:sz w:val="16"/>
      <w:szCs w:val="16"/>
    </w:rPr>
  </w:style>
  <w:style w:type="paragraph" w:styleId="CommentText">
    <w:name w:val="annotation text"/>
    <w:basedOn w:val="Normal"/>
    <w:link w:val="CommentTextChar"/>
    <w:uiPriority w:val="99"/>
    <w:semiHidden/>
    <w:unhideWhenUsed/>
    <w:rsid w:val="00C9188E"/>
    <w:pPr>
      <w:bidi w:val="0"/>
      <w:spacing w:after="160" w:line="240" w:lineRule="auto"/>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C9188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9188E"/>
    <w:rPr>
      <w:b/>
      <w:bCs/>
    </w:rPr>
  </w:style>
  <w:style w:type="character" w:customStyle="1" w:styleId="CommentSubjectChar">
    <w:name w:val="Comment Subject Char"/>
    <w:basedOn w:val="CommentTextChar"/>
    <w:link w:val="CommentSubject"/>
    <w:uiPriority w:val="99"/>
    <w:semiHidden/>
    <w:rsid w:val="00C9188E"/>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ullying.humanrights.gov.au/sites/default/files/content/pdf/bullying/VHB_LGBT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6F3C-59E3-43D2-8091-7B9BB360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7586</Words>
  <Characters>43244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CCPR/C/119/D/2172/2012</vt:lpstr>
    </vt:vector>
  </TitlesOfParts>
  <Company>DCM</Company>
  <LinksUpToDate>false</LinksUpToDate>
  <CharactersWithSpaces>50729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CCPR/C/119/D/2172/2012</dc:title>
  <dc:subject>GE.1710696A</dc:subject>
  <dc:creator>IHRZ - EYO</dc:creator>
  <cp:keywords>ODS No.1717561</cp:keywords>
  <dc:description>Distr.: General_x000d_
28 June 2017_x000d_
Original: English</dc:description>
  <cp:lastModifiedBy>Admin</cp:lastModifiedBy>
  <cp:revision>2</cp:revision>
  <dcterms:created xsi:type="dcterms:W3CDTF">2017-09-06T06:50:00Z</dcterms:created>
  <dcterms:modified xsi:type="dcterms:W3CDTF">2017-09-06T06:50:00Z</dcterms:modified>
  <cp:category>Finale</cp:category>
</cp:coreProperties>
</file>