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6F71EA" w:rsidRPr="00DB58B5" w:rsidTr="00D856C9">
        <w:trPr>
          <w:trHeight w:hRule="exact" w:val="851"/>
        </w:trPr>
        <w:tc>
          <w:tcPr>
            <w:tcW w:w="1276" w:type="dxa"/>
            <w:tcBorders>
              <w:bottom w:val="single" w:sz="4" w:space="0" w:color="auto"/>
            </w:tcBorders>
          </w:tcPr>
          <w:p w:rsidR="006F71EA" w:rsidRPr="00DB58B5" w:rsidRDefault="006F71EA" w:rsidP="00107ABC"/>
        </w:tc>
        <w:tc>
          <w:tcPr>
            <w:tcW w:w="2268" w:type="dxa"/>
            <w:tcBorders>
              <w:bottom w:val="single" w:sz="4" w:space="0" w:color="auto"/>
            </w:tcBorders>
            <w:vAlign w:val="bottom"/>
          </w:tcPr>
          <w:p w:rsidR="006F71EA" w:rsidRPr="00DB58B5" w:rsidRDefault="006F71EA" w:rsidP="00D856C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107ABC" w:rsidP="00107ABC">
            <w:pPr>
              <w:jc w:val="right"/>
            </w:pPr>
            <w:r w:rsidRPr="00107ABC">
              <w:rPr>
                <w:sz w:val="40"/>
              </w:rPr>
              <w:t>CCPR</w:t>
            </w:r>
            <w:r>
              <w:t>/C/112/D/2111/2011</w:t>
            </w:r>
          </w:p>
        </w:tc>
      </w:tr>
      <w:tr w:rsidR="006F71EA" w:rsidRPr="00DB58B5" w:rsidTr="00D856C9">
        <w:trPr>
          <w:trHeight w:hRule="exact" w:val="2835"/>
        </w:trPr>
        <w:tc>
          <w:tcPr>
            <w:tcW w:w="1276" w:type="dxa"/>
            <w:tcBorders>
              <w:top w:val="single" w:sz="4" w:space="0" w:color="auto"/>
              <w:bottom w:val="single" w:sz="12" w:space="0" w:color="auto"/>
            </w:tcBorders>
          </w:tcPr>
          <w:p w:rsidR="006F71EA" w:rsidRPr="00DB58B5" w:rsidRDefault="006747C9" w:rsidP="00D856C9">
            <w:pPr>
              <w:spacing w:before="120"/>
              <w:jc w:val="center"/>
            </w:pPr>
            <w:r w:rsidRPr="006747C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6F71EA" w:rsidRPr="00AB51C8" w:rsidRDefault="006F71EA" w:rsidP="00D856C9">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107ABC" w:rsidP="00D856C9">
            <w:pPr>
              <w:spacing w:before="240"/>
            </w:pPr>
            <w:proofErr w:type="spellStart"/>
            <w:r>
              <w:t>Distr</w:t>
            </w:r>
            <w:proofErr w:type="spellEnd"/>
            <w:r>
              <w:t>. générale</w:t>
            </w:r>
          </w:p>
          <w:p w:rsidR="00107ABC" w:rsidRDefault="00107ABC" w:rsidP="00107ABC">
            <w:pPr>
              <w:spacing w:line="240" w:lineRule="exact"/>
            </w:pPr>
            <w:r>
              <w:t>25 novembre 2014</w:t>
            </w:r>
          </w:p>
          <w:p w:rsidR="00107ABC" w:rsidRDefault="00107ABC" w:rsidP="00107ABC">
            <w:pPr>
              <w:spacing w:line="240" w:lineRule="exact"/>
            </w:pPr>
            <w:r>
              <w:t>Français</w:t>
            </w:r>
          </w:p>
          <w:p w:rsidR="00107ABC" w:rsidRPr="00DB58B5" w:rsidRDefault="00107ABC" w:rsidP="00107ABC">
            <w:pPr>
              <w:spacing w:line="240" w:lineRule="exact"/>
            </w:pPr>
            <w:r>
              <w:t>Original: anglais</w:t>
            </w:r>
          </w:p>
        </w:tc>
      </w:tr>
    </w:tbl>
    <w:p w:rsidR="006F71EA" w:rsidRDefault="006F71EA" w:rsidP="006F71EA">
      <w:pPr>
        <w:spacing w:before="120"/>
        <w:rPr>
          <w:b/>
          <w:sz w:val="24"/>
          <w:szCs w:val="24"/>
        </w:rPr>
      </w:pPr>
      <w:r w:rsidRPr="00DF3BF1">
        <w:rPr>
          <w:b/>
          <w:sz w:val="24"/>
          <w:szCs w:val="24"/>
        </w:rPr>
        <w:t>Comité des droits de l’homme</w:t>
      </w:r>
    </w:p>
    <w:p w:rsidR="009B42B2" w:rsidRPr="005B01E9" w:rsidRDefault="009B42B2" w:rsidP="00EE1BD4">
      <w:pPr>
        <w:pStyle w:val="HChG"/>
      </w:pPr>
      <w:r w:rsidRPr="005B01E9">
        <w:tab/>
      </w:r>
      <w:r w:rsidRPr="005B01E9">
        <w:tab/>
        <w:t>Communication n</w:t>
      </w:r>
      <w:r w:rsidRPr="005B01E9">
        <w:rPr>
          <w:vertAlign w:val="superscript"/>
        </w:rPr>
        <w:t>o</w:t>
      </w:r>
      <w:r>
        <w:t> </w:t>
      </w:r>
      <w:r w:rsidR="00C17581" w:rsidRPr="006E39C2">
        <w:rPr>
          <w:lang w:val="fr-FR"/>
        </w:rPr>
        <w:t>2111/2011</w:t>
      </w:r>
    </w:p>
    <w:p w:rsidR="009B42B2" w:rsidRPr="005B01E9" w:rsidRDefault="009B42B2" w:rsidP="00EE1BD4">
      <w:pPr>
        <w:pStyle w:val="H1G"/>
      </w:pPr>
      <w:r w:rsidRPr="005B01E9">
        <w:tab/>
      </w:r>
      <w:r w:rsidRPr="005B01E9">
        <w:tab/>
      </w:r>
      <w:r w:rsidRPr="005B01E9">
        <w:rPr>
          <w:szCs w:val="24"/>
        </w:rPr>
        <w:t xml:space="preserve">Constatations adoptées par le Comité à sa </w:t>
      </w:r>
      <w:r w:rsidR="00C17581" w:rsidRPr="00BF6F4D">
        <w:t>112</w:t>
      </w:r>
      <w:r w:rsidR="00C17581" w:rsidRPr="009742D9">
        <w:rPr>
          <w:vertAlign w:val="superscript"/>
        </w:rPr>
        <w:t>e</w:t>
      </w:r>
      <w:r w:rsidR="00C17581" w:rsidRPr="00BF6F4D">
        <w:t xml:space="preserve"> session</w:t>
      </w:r>
      <w:r w:rsidRPr="005B01E9">
        <w:rPr>
          <w:szCs w:val="24"/>
        </w:rPr>
        <w:br/>
        <w:t>(</w:t>
      </w:r>
      <w:r w:rsidR="00C17581" w:rsidRPr="00BF6F4D">
        <w:t>7-31 octobre 2014</w:t>
      </w:r>
      <w:r w:rsidRPr="005B01E9">
        <w:rPr>
          <w:szCs w:val="24"/>
        </w:rPr>
        <w:t>)</w:t>
      </w:r>
    </w:p>
    <w:tbl>
      <w:tblPr>
        <w:tblW w:w="0" w:type="auto"/>
        <w:tblInd w:w="1701" w:type="dxa"/>
        <w:tblLayout w:type="fixed"/>
        <w:tblLook w:val="01E0"/>
      </w:tblPr>
      <w:tblGrid>
        <w:gridCol w:w="2835"/>
        <w:gridCol w:w="3969"/>
      </w:tblGrid>
      <w:tr w:rsidR="009B42B2" w:rsidRPr="005B01E9" w:rsidTr="00D856C9">
        <w:tc>
          <w:tcPr>
            <w:tcW w:w="2835" w:type="dxa"/>
          </w:tcPr>
          <w:p w:rsidR="009B42B2" w:rsidRPr="005B01E9" w:rsidRDefault="009B42B2" w:rsidP="00D856C9">
            <w:pPr>
              <w:rPr>
                <w:i/>
              </w:rPr>
            </w:pPr>
            <w:r w:rsidRPr="005B01E9">
              <w:rPr>
                <w:i/>
              </w:rPr>
              <w:t>Communication présentée par</w:t>
            </w:r>
            <w:r w:rsidRPr="005B01E9">
              <w:t>:</w:t>
            </w:r>
          </w:p>
        </w:tc>
        <w:tc>
          <w:tcPr>
            <w:tcW w:w="3969" w:type="dxa"/>
          </w:tcPr>
          <w:p w:rsidR="009B42B2" w:rsidRPr="005B01E9" w:rsidRDefault="00C17581" w:rsidP="00D856C9">
            <w:pPr>
              <w:spacing w:after="120"/>
            </w:pPr>
            <w:proofErr w:type="spellStart"/>
            <w:r w:rsidRPr="006E39C2">
              <w:rPr>
                <w:rStyle w:val="SingleTxtGChar"/>
                <w:lang w:val="fr-FR"/>
              </w:rPr>
              <w:t>Sharmila</w:t>
            </w:r>
            <w:proofErr w:type="spellEnd"/>
            <w:r w:rsidRPr="006E39C2">
              <w:rPr>
                <w:rStyle w:val="SingleTxtGChar"/>
                <w:lang w:val="fr-FR"/>
              </w:rPr>
              <w:t xml:space="preserve"> </w:t>
            </w:r>
            <w:proofErr w:type="spellStart"/>
            <w:r w:rsidRPr="006E39C2">
              <w:rPr>
                <w:rStyle w:val="SingleTxtGChar"/>
                <w:lang w:val="fr-FR"/>
              </w:rPr>
              <w:t>Tripathi</w:t>
            </w:r>
            <w:proofErr w:type="spellEnd"/>
            <w:r w:rsidRPr="006E39C2">
              <w:rPr>
                <w:rStyle w:val="SingleTxtGChar"/>
                <w:lang w:val="fr-FR"/>
              </w:rPr>
              <w:t xml:space="preserve"> (</w:t>
            </w:r>
            <w:proofErr w:type="spellStart"/>
            <w:r w:rsidRPr="006E39C2">
              <w:rPr>
                <w:rStyle w:val="SingleTxtGChar"/>
                <w:lang w:val="fr-FR"/>
              </w:rPr>
              <w:t>representée</w:t>
            </w:r>
            <w:proofErr w:type="spellEnd"/>
            <w:r w:rsidRPr="006E39C2">
              <w:rPr>
                <w:rStyle w:val="SingleTxtGChar"/>
                <w:lang w:val="fr-FR"/>
              </w:rPr>
              <w:t xml:space="preserve"> par un conseil, </w:t>
            </w:r>
            <w:proofErr w:type="spellStart"/>
            <w:r w:rsidRPr="006E39C2">
              <w:rPr>
                <w:rStyle w:val="SingleTxtGChar"/>
                <w:lang w:val="fr-FR"/>
              </w:rPr>
              <w:t>Track</w:t>
            </w:r>
            <w:proofErr w:type="spellEnd"/>
            <w:r w:rsidRPr="006E39C2">
              <w:rPr>
                <w:rStyle w:val="SingleTxtGChar"/>
                <w:lang w:val="fr-FR"/>
              </w:rPr>
              <w:t xml:space="preserve"> </w:t>
            </w:r>
            <w:proofErr w:type="spellStart"/>
            <w:r w:rsidRPr="006E39C2">
              <w:rPr>
                <w:rStyle w:val="SingleTxtGChar"/>
                <w:lang w:val="fr-FR"/>
              </w:rPr>
              <w:t>Impunity</w:t>
            </w:r>
            <w:proofErr w:type="spellEnd"/>
            <w:r w:rsidRPr="006E39C2">
              <w:rPr>
                <w:rStyle w:val="SingleTxtGChar"/>
                <w:lang w:val="fr-FR"/>
              </w:rPr>
              <w:t xml:space="preserve"> </w:t>
            </w:r>
            <w:proofErr w:type="spellStart"/>
            <w:r w:rsidRPr="006E39C2">
              <w:rPr>
                <w:rStyle w:val="SingleTxtGChar"/>
                <w:lang w:val="fr-FR"/>
              </w:rPr>
              <w:t>Always</w:t>
            </w:r>
            <w:proofErr w:type="spellEnd"/>
            <w:r w:rsidRPr="006E39C2">
              <w:rPr>
                <w:rStyle w:val="SingleTxtGChar"/>
                <w:lang w:val="fr-FR"/>
              </w:rPr>
              <w:t>-TRIAL)</w:t>
            </w:r>
          </w:p>
        </w:tc>
      </w:tr>
      <w:tr w:rsidR="009B42B2" w:rsidRPr="005B01E9" w:rsidTr="00D856C9">
        <w:tc>
          <w:tcPr>
            <w:tcW w:w="2835" w:type="dxa"/>
          </w:tcPr>
          <w:p w:rsidR="009B42B2" w:rsidRPr="005B01E9" w:rsidRDefault="009B42B2" w:rsidP="00D856C9">
            <w:pPr>
              <w:rPr>
                <w:i/>
              </w:rPr>
            </w:pPr>
            <w:r w:rsidRPr="005B01E9">
              <w:rPr>
                <w:i/>
              </w:rPr>
              <w:t>Au nom de</w:t>
            </w:r>
            <w:r w:rsidRPr="005B01E9">
              <w:t>:</w:t>
            </w:r>
          </w:p>
        </w:tc>
        <w:tc>
          <w:tcPr>
            <w:tcW w:w="3969" w:type="dxa"/>
          </w:tcPr>
          <w:p w:rsidR="009B42B2" w:rsidRPr="005B01E9" w:rsidRDefault="00C17581" w:rsidP="00C17581">
            <w:pPr>
              <w:spacing w:after="120"/>
            </w:pPr>
            <w:r w:rsidRPr="006E39C2">
              <w:rPr>
                <w:rFonts w:eastAsia="Calibri"/>
                <w:lang w:val="fr-FR"/>
              </w:rPr>
              <w:t>L</w:t>
            </w:r>
            <w:r>
              <w:rPr>
                <w:lang w:val="fr-FR"/>
              </w:rPr>
              <w:t>’</w:t>
            </w:r>
            <w:r w:rsidRPr="006E39C2">
              <w:rPr>
                <w:rFonts w:eastAsia="Calibri"/>
                <w:lang w:val="fr-FR"/>
              </w:rPr>
              <w:t xml:space="preserve">auteure, </w:t>
            </w:r>
            <w:proofErr w:type="spellStart"/>
            <w:r w:rsidRPr="006E39C2">
              <w:rPr>
                <w:rFonts w:eastAsia="Calibri"/>
                <w:lang w:val="fr-FR"/>
              </w:rPr>
              <w:t>Gyanendra</w:t>
            </w:r>
            <w:proofErr w:type="spellEnd"/>
            <w:r w:rsidRPr="006E39C2">
              <w:rPr>
                <w:rFonts w:eastAsia="Calibri"/>
                <w:lang w:val="fr-FR"/>
              </w:rPr>
              <w:t xml:space="preserve"> </w:t>
            </w:r>
            <w:proofErr w:type="spellStart"/>
            <w:r w:rsidRPr="006E39C2">
              <w:rPr>
                <w:rFonts w:eastAsia="Calibri"/>
                <w:lang w:val="fr-FR"/>
              </w:rPr>
              <w:t>Tripathi</w:t>
            </w:r>
            <w:proofErr w:type="spellEnd"/>
            <w:r w:rsidRPr="006E39C2">
              <w:rPr>
                <w:rFonts w:eastAsia="Calibri"/>
                <w:lang w:val="fr-FR"/>
              </w:rPr>
              <w:t xml:space="preserve"> (son mari) et</w:t>
            </w:r>
            <w:r>
              <w:rPr>
                <w:rFonts w:eastAsia="Calibri"/>
                <w:lang w:val="fr-FR"/>
              </w:rPr>
              <w:t> </w:t>
            </w:r>
            <w:r w:rsidRPr="006E39C2">
              <w:rPr>
                <w:rFonts w:eastAsia="Calibri"/>
                <w:lang w:val="fr-FR"/>
              </w:rPr>
              <w:t>C.</w:t>
            </w:r>
            <w:r>
              <w:rPr>
                <w:rFonts w:eastAsia="Calibri"/>
                <w:lang w:val="fr-FR"/>
              </w:rPr>
              <w:t> </w:t>
            </w:r>
            <w:r w:rsidRPr="006E39C2">
              <w:rPr>
                <w:rFonts w:eastAsia="Calibri"/>
                <w:lang w:val="fr-FR"/>
              </w:rPr>
              <w:t>T. (leur fille mineure)</w:t>
            </w:r>
          </w:p>
        </w:tc>
      </w:tr>
      <w:tr w:rsidR="009B42B2" w:rsidRPr="005B01E9" w:rsidTr="00D856C9">
        <w:tc>
          <w:tcPr>
            <w:tcW w:w="2835" w:type="dxa"/>
          </w:tcPr>
          <w:p w:rsidR="009B42B2" w:rsidRPr="005B01E9" w:rsidRDefault="009B42B2" w:rsidP="00D856C9">
            <w:pPr>
              <w:rPr>
                <w:i/>
              </w:rPr>
            </w:pPr>
            <w:r w:rsidRPr="005B01E9">
              <w:rPr>
                <w:i/>
              </w:rPr>
              <w:t>État partie</w:t>
            </w:r>
            <w:r w:rsidRPr="005B01E9">
              <w:t>:</w:t>
            </w:r>
          </w:p>
        </w:tc>
        <w:tc>
          <w:tcPr>
            <w:tcW w:w="3969" w:type="dxa"/>
          </w:tcPr>
          <w:p w:rsidR="009B42B2" w:rsidRPr="005B01E9" w:rsidRDefault="00C17581" w:rsidP="00D856C9">
            <w:pPr>
              <w:spacing w:after="120"/>
            </w:pPr>
            <w:r w:rsidRPr="006E39C2">
              <w:rPr>
                <w:rFonts w:eastAsia="Calibri"/>
                <w:lang w:val="fr-FR"/>
              </w:rPr>
              <w:t>Népal</w:t>
            </w:r>
          </w:p>
        </w:tc>
      </w:tr>
      <w:tr w:rsidR="009B42B2" w:rsidRPr="005B01E9" w:rsidTr="00D856C9">
        <w:tc>
          <w:tcPr>
            <w:tcW w:w="2835" w:type="dxa"/>
          </w:tcPr>
          <w:p w:rsidR="009B42B2" w:rsidRPr="005B01E9" w:rsidRDefault="009B42B2" w:rsidP="00D856C9">
            <w:pPr>
              <w:rPr>
                <w:i/>
              </w:rPr>
            </w:pPr>
            <w:r w:rsidRPr="005B01E9">
              <w:rPr>
                <w:i/>
              </w:rPr>
              <w:t>Date de la communication</w:t>
            </w:r>
            <w:r w:rsidRPr="005B01E9">
              <w:t>:</w:t>
            </w:r>
          </w:p>
        </w:tc>
        <w:tc>
          <w:tcPr>
            <w:tcW w:w="3969" w:type="dxa"/>
          </w:tcPr>
          <w:p w:rsidR="009B42B2" w:rsidRPr="005B01E9" w:rsidRDefault="00C17581" w:rsidP="00D856C9">
            <w:pPr>
              <w:spacing w:after="120"/>
            </w:pPr>
            <w:r w:rsidRPr="006E39C2">
              <w:rPr>
                <w:rFonts w:eastAsia="Calibri"/>
                <w:lang w:val="fr-FR"/>
              </w:rPr>
              <w:t>28 septembre 2011</w:t>
            </w:r>
            <w:r w:rsidRPr="006E39C2">
              <w:rPr>
                <w:rStyle w:val="SingleTxtGChar"/>
                <w:lang w:val="fr-FR"/>
              </w:rPr>
              <w:t xml:space="preserve"> </w:t>
            </w:r>
            <w:r w:rsidRPr="00BF6F4D">
              <w:t>(date de la lettre initiale)</w:t>
            </w:r>
          </w:p>
        </w:tc>
      </w:tr>
      <w:tr w:rsidR="009B42B2" w:rsidRPr="005B01E9" w:rsidTr="00D856C9">
        <w:tc>
          <w:tcPr>
            <w:tcW w:w="2835" w:type="dxa"/>
          </w:tcPr>
          <w:p w:rsidR="009B42B2" w:rsidRPr="005B01E9" w:rsidRDefault="009B42B2" w:rsidP="00D856C9">
            <w:pPr>
              <w:rPr>
                <w:i/>
              </w:rPr>
            </w:pPr>
            <w:r w:rsidRPr="005B01E9">
              <w:rPr>
                <w:i/>
              </w:rPr>
              <w:t>Références</w:t>
            </w:r>
            <w:r w:rsidRPr="005B01E9">
              <w:t>:</w:t>
            </w:r>
          </w:p>
        </w:tc>
        <w:tc>
          <w:tcPr>
            <w:tcW w:w="3969" w:type="dxa"/>
          </w:tcPr>
          <w:p w:rsidR="009B42B2" w:rsidRPr="005B01E9" w:rsidRDefault="00C17581" w:rsidP="00D856C9">
            <w:pPr>
              <w:spacing w:after="120"/>
            </w:pPr>
            <w:r w:rsidRPr="006E39C2">
              <w:rPr>
                <w:lang w:val="fr-FR"/>
              </w:rPr>
              <w:t>Décision prise par le Rapporteur spécial en application de l</w:t>
            </w:r>
            <w:r>
              <w:rPr>
                <w:lang w:val="fr-FR"/>
              </w:rPr>
              <w:t>’</w:t>
            </w:r>
            <w:r w:rsidRPr="006E39C2">
              <w:rPr>
                <w:lang w:val="fr-FR"/>
              </w:rPr>
              <w:t xml:space="preserve">article </w:t>
            </w:r>
            <w:r w:rsidRPr="006E39C2">
              <w:rPr>
                <w:rStyle w:val="SingleTxtGChar"/>
                <w:lang w:val="fr-FR"/>
              </w:rPr>
              <w:t xml:space="preserve">97 </w:t>
            </w:r>
            <w:r w:rsidRPr="006E39C2">
              <w:rPr>
                <w:lang w:val="fr-FR"/>
              </w:rPr>
              <w:t>du règlement intérieur, communiquée à l</w:t>
            </w:r>
            <w:r>
              <w:rPr>
                <w:lang w:val="fr-FR"/>
              </w:rPr>
              <w:t>’</w:t>
            </w:r>
            <w:r w:rsidRPr="006E39C2">
              <w:rPr>
                <w:lang w:val="fr-FR"/>
              </w:rPr>
              <w:t>État partie le</w:t>
            </w:r>
            <w:r>
              <w:rPr>
                <w:lang w:val="fr-FR"/>
              </w:rPr>
              <w:t> </w:t>
            </w:r>
            <w:r w:rsidRPr="006E39C2">
              <w:rPr>
                <w:rStyle w:val="SingleTxtGChar"/>
                <w:lang w:val="fr-FR"/>
              </w:rPr>
              <w:t>21</w:t>
            </w:r>
            <w:r>
              <w:rPr>
                <w:rStyle w:val="SingleTxtGChar"/>
                <w:lang w:val="fr-FR"/>
              </w:rPr>
              <w:t> </w:t>
            </w:r>
            <w:r w:rsidRPr="006E39C2">
              <w:rPr>
                <w:rStyle w:val="SingleTxtGChar"/>
                <w:lang w:val="fr-FR"/>
              </w:rPr>
              <w:t>octobre 2011 (</w:t>
            </w:r>
            <w:r>
              <w:rPr>
                <w:lang w:val="fr-FR"/>
              </w:rPr>
              <w:t xml:space="preserve">non </w:t>
            </w:r>
            <w:r w:rsidRPr="006E39C2">
              <w:rPr>
                <w:lang w:val="fr-FR"/>
              </w:rPr>
              <w:t>publiée sous forme de document</w:t>
            </w:r>
            <w:r w:rsidRPr="006E39C2">
              <w:rPr>
                <w:rStyle w:val="SingleTxtGChar"/>
                <w:lang w:val="fr-FR"/>
              </w:rPr>
              <w:t>)</w:t>
            </w:r>
          </w:p>
        </w:tc>
      </w:tr>
      <w:tr w:rsidR="009B42B2" w:rsidRPr="005B01E9" w:rsidTr="00D856C9">
        <w:tc>
          <w:tcPr>
            <w:tcW w:w="2835" w:type="dxa"/>
          </w:tcPr>
          <w:p w:rsidR="009B42B2" w:rsidRPr="005B01E9" w:rsidRDefault="009B42B2" w:rsidP="00D856C9">
            <w:pPr>
              <w:rPr>
                <w:i/>
              </w:rPr>
            </w:pPr>
            <w:r w:rsidRPr="005B01E9">
              <w:rPr>
                <w:i/>
              </w:rPr>
              <w:t>Date des constatations</w:t>
            </w:r>
            <w:r w:rsidRPr="005B01E9">
              <w:t>:</w:t>
            </w:r>
          </w:p>
        </w:tc>
        <w:tc>
          <w:tcPr>
            <w:tcW w:w="3969" w:type="dxa"/>
            <w:vAlign w:val="bottom"/>
          </w:tcPr>
          <w:p w:rsidR="009B42B2" w:rsidRPr="005B01E9" w:rsidRDefault="00C17581" w:rsidP="00D856C9">
            <w:pPr>
              <w:spacing w:after="120"/>
            </w:pPr>
            <w:r w:rsidRPr="00BF6F4D">
              <w:t>29</w:t>
            </w:r>
            <w:r>
              <w:t xml:space="preserve"> </w:t>
            </w:r>
            <w:r w:rsidRPr="006E39C2">
              <w:rPr>
                <w:rFonts w:eastAsia="Calibri"/>
                <w:lang w:val="fr-FR"/>
              </w:rPr>
              <w:t xml:space="preserve">octobre </w:t>
            </w:r>
            <w:r w:rsidRPr="006E39C2">
              <w:rPr>
                <w:rStyle w:val="SingleTxtGChar"/>
                <w:lang w:val="fr-FR"/>
              </w:rPr>
              <w:t>2014</w:t>
            </w:r>
          </w:p>
        </w:tc>
      </w:tr>
      <w:tr w:rsidR="009B42B2" w:rsidRPr="005B01E9" w:rsidTr="00D856C9">
        <w:tc>
          <w:tcPr>
            <w:tcW w:w="2835" w:type="dxa"/>
          </w:tcPr>
          <w:p w:rsidR="009B42B2" w:rsidRPr="005B01E9" w:rsidRDefault="009B42B2" w:rsidP="00D856C9">
            <w:pPr>
              <w:rPr>
                <w:i/>
              </w:rPr>
            </w:pPr>
            <w:r w:rsidRPr="005B01E9">
              <w:rPr>
                <w:i/>
              </w:rPr>
              <w:t>Objet</w:t>
            </w:r>
            <w:r w:rsidRPr="005B01E9">
              <w:t>:</w:t>
            </w:r>
          </w:p>
        </w:tc>
        <w:tc>
          <w:tcPr>
            <w:tcW w:w="3969" w:type="dxa"/>
          </w:tcPr>
          <w:p w:rsidR="009B42B2" w:rsidRPr="005B01E9" w:rsidRDefault="00C17581" w:rsidP="00D856C9">
            <w:pPr>
              <w:spacing w:after="120"/>
            </w:pPr>
            <w:r w:rsidRPr="006E39C2">
              <w:rPr>
                <w:bCs/>
                <w:lang w:val="fr-FR"/>
              </w:rPr>
              <w:t>Disparition forcée</w:t>
            </w:r>
          </w:p>
        </w:tc>
      </w:tr>
      <w:tr w:rsidR="00C17581" w:rsidRPr="005B01E9" w:rsidTr="00D856C9">
        <w:tc>
          <w:tcPr>
            <w:tcW w:w="2835" w:type="dxa"/>
          </w:tcPr>
          <w:p w:rsidR="00C17581" w:rsidRPr="005B01E9" w:rsidRDefault="00C17581" w:rsidP="00D856C9">
            <w:pPr>
              <w:rPr>
                <w:i/>
              </w:rPr>
            </w:pPr>
            <w:r w:rsidRPr="005B01E9">
              <w:rPr>
                <w:i/>
              </w:rPr>
              <w:t>Question(s) de fond</w:t>
            </w:r>
            <w:r w:rsidRPr="005B01E9">
              <w:t>:</w:t>
            </w:r>
          </w:p>
        </w:tc>
        <w:tc>
          <w:tcPr>
            <w:tcW w:w="3969" w:type="dxa"/>
            <w:vAlign w:val="bottom"/>
          </w:tcPr>
          <w:p w:rsidR="00C17581" w:rsidRPr="005B01E9" w:rsidRDefault="00C17581" w:rsidP="00D856C9">
            <w:pPr>
              <w:spacing w:after="120"/>
            </w:pPr>
            <w:r>
              <w:rPr>
                <w:lang w:val="fr-FR"/>
              </w:rPr>
              <w:t>Droit à la vie</w:t>
            </w:r>
            <w:r w:rsidRPr="006E39C2">
              <w:rPr>
                <w:lang w:val="fr-FR"/>
              </w:rPr>
              <w:t xml:space="preserve">; interdiction de la torture et des </w:t>
            </w:r>
            <w:r>
              <w:rPr>
                <w:lang w:val="fr-FR"/>
              </w:rPr>
              <w:t>traitements cruels et inhumains</w:t>
            </w:r>
            <w:r w:rsidRPr="006E39C2">
              <w:rPr>
                <w:lang w:val="fr-FR"/>
              </w:rPr>
              <w:t xml:space="preserve">; droit à la liberté </w:t>
            </w:r>
            <w:r>
              <w:rPr>
                <w:lang w:val="fr-FR"/>
              </w:rPr>
              <w:t>et à la sécurité de la personne</w:t>
            </w:r>
            <w:r w:rsidRPr="006E39C2">
              <w:rPr>
                <w:lang w:val="fr-FR"/>
              </w:rPr>
              <w:t>; respect de la dignité inhé</w:t>
            </w:r>
            <w:r>
              <w:rPr>
                <w:lang w:val="fr-FR"/>
              </w:rPr>
              <w:t>rente à la personne humaine</w:t>
            </w:r>
            <w:r w:rsidRPr="006E39C2">
              <w:rPr>
                <w:lang w:val="fr-FR"/>
              </w:rPr>
              <w:t>; reconnaissan</w:t>
            </w:r>
            <w:r>
              <w:rPr>
                <w:lang w:val="fr-FR"/>
              </w:rPr>
              <w:t>ce de la personnalité juridique; liberté d’association</w:t>
            </w:r>
            <w:r w:rsidRPr="006E39C2">
              <w:rPr>
                <w:lang w:val="fr-FR"/>
              </w:rPr>
              <w:t>; droit de l</w:t>
            </w:r>
            <w:r>
              <w:rPr>
                <w:lang w:val="fr-FR"/>
              </w:rPr>
              <w:t>’</w:t>
            </w:r>
            <w:r w:rsidRPr="006E39C2">
              <w:rPr>
                <w:lang w:val="fr-FR"/>
              </w:rPr>
              <w:t>enfant à des mesures de protection; droit à un recours utile</w:t>
            </w:r>
            <w:r>
              <w:rPr>
                <w:lang w:val="fr-FR"/>
              </w:rPr>
              <w:t xml:space="preserve"> </w:t>
            </w:r>
          </w:p>
        </w:tc>
      </w:tr>
      <w:tr w:rsidR="009B42B2" w:rsidRPr="005B01E9" w:rsidTr="00D856C9">
        <w:tc>
          <w:tcPr>
            <w:tcW w:w="2835" w:type="dxa"/>
          </w:tcPr>
          <w:p w:rsidR="009B42B2" w:rsidRPr="005B01E9" w:rsidRDefault="009B42B2" w:rsidP="00D856C9">
            <w:pPr>
              <w:rPr>
                <w:i/>
              </w:rPr>
            </w:pPr>
            <w:r w:rsidRPr="005B01E9">
              <w:rPr>
                <w:i/>
              </w:rPr>
              <w:t>Question(s) de procédure</w:t>
            </w:r>
            <w:r w:rsidRPr="005B01E9">
              <w:t>:</w:t>
            </w:r>
          </w:p>
        </w:tc>
        <w:tc>
          <w:tcPr>
            <w:tcW w:w="3969" w:type="dxa"/>
          </w:tcPr>
          <w:p w:rsidR="009B42B2" w:rsidRPr="005B01E9" w:rsidRDefault="00C17581" w:rsidP="00D856C9">
            <w:pPr>
              <w:spacing w:after="120"/>
            </w:pPr>
            <w:r w:rsidRPr="006E39C2">
              <w:rPr>
                <w:lang w:val="fr-FR"/>
              </w:rPr>
              <w:t>Épuisement des recours internes</w:t>
            </w:r>
          </w:p>
        </w:tc>
      </w:tr>
      <w:tr w:rsidR="009B42B2" w:rsidRPr="005B01E9" w:rsidTr="00D856C9">
        <w:tc>
          <w:tcPr>
            <w:tcW w:w="2835" w:type="dxa"/>
          </w:tcPr>
          <w:p w:rsidR="009B42B2" w:rsidRPr="005B01E9" w:rsidRDefault="009B42B2" w:rsidP="00D856C9">
            <w:pPr>
              <w:rPr>
                <w:i/>
              </w:rPr>
            </w:pPr>
            <w:r w:rsidRPr="005B01E9">
              <w:rPr>
                <w:i/>
              </w:rPr>
              <w:t>Article(s) du Pacte</w:t>
            </w:r>
            <w:r w:rsidRPr="005B01E9">
              <w:t>:</w:t>
            </w:r>
          </w:p>
        </w:tc>
        <w:tc>
          <w:tcPr>
            <w:tcW w:w="3969" w:type="dxa"/>
            <w:vAlign w:val="bottom"/>
          </w:tcPr>
          <w:p w:rsidR="009B42B2" w:rsidRPr="005B01E9" w:rsidRDefault="00C17581" w:rsidP="00D856C9">
            <w:pPr>
              <w:spacing w:after="120"/>
            </w:pPr>
            <w:r w:rsidRPr="006E39C2">
              <w:rPr>
                <w:lang w:val="fr-FR"/>
              </w:rPr>
              <w:t>6 (par. 1), 7, 9 (par. 1 à 4), 10 (par. 1), 16, 22 et 24 (par. 1), pris isolément et lu conjointement avec l</w:t>
            </w:r>
            <w:r>
              <w:rPr>
                <w:lang w:val="fr-FR"/>
              </w:rPr>
              <w:t>’</w:t>
            </w:r>
            <w:r w:rsidRPr="006E39C2">
              <w:rPr>
                <w:lang w:val="fr-FR"/>
              </w:rPr>
              <w:t>article 2 (par. 3)</w:t>
            </w:r>
          </w:p>
        </w:tc>
      </w:tr>
      <w:tr w:rsidR="009B42B2" w:rsidRPr="005B01E9" w:rsidTr="00D856C9">
        <w:tc>
          <w:tcPr>
            <w:tcW w:w="2835" w:type="dxa"/>
          </w:tcPr>
          <w:p w:rsidR="009B42B2" w:rsidRPr="005B01E9" w:rsidRDefault="009B42B2" w:rsidP="00D856C9">
            <w:pPr>
              <w:rPr>
                <w:i/>
              </w:rPr>
            </w:pPr>
            <w:r w:rsidRPr="005B01E9">
              <w:rPr>
                <w:i/>
              </w:rPr>
              <w:t>Article(s) du Protocole facultatif</w:t>
            </w:r>
            <w:r w:rsidRPr="005B01E9">
              <w:t>:</w:t>
            </w:r>
          </w:p>
        </w:tc>
        <w:tc>
          <w:tcPr>
            <w:tcW w:w="3969" w:type="dxa"/>
            <w:vAlign w:val="bottom"/>
          </w:tcPr>
          <w:p w:rsidR="009B42B2" w:rsidRPr="005B01E9" w:rsidRDefault="001B507F" w:rsidP="00D856C9">
            <w:pPr>
              <w:spacing w:after="120"/>
            </w:pPr>
            <w:r w:rsidRPr="006E39C2">
              <w:rPr>
                <w:lang w:val="fr-FR"/>
              </w:rPr>
              <w:t>3 et 5 (par. 2 b))</w:t>
            </w:r>
          </w:p>
        </w:tc>
      </w:tr>
    </w:tbl>
    <w:p w:rsidR="009B42B2" w:rsidRPr="005B01E9" w:rsidRDefault="009B42B2" w:rsidP="00EE1BD4">
      <w:pPr>
        <w:pStyle w:val="HChG"/>
      </w:pPr>
      <w:r w:rsidRPr="005B01E9">
        <w:br w:type="page"/>
        <w:t>Annexe</w:t>
      </w:r>
    </w:p>
    <w:p w:rsidR="009B42B2" w:rsidRPr="005B01E9" w:rsidRDefault="009B42B2" w:rsidP="00EE1BD4">
      <w:pPr>
        <w:pStyle w:val="HChG"/>
      </w:pPr>
      <w:r w:rsidRPr="005B01E9">
        <w:tab/>
      </w:r>
      <w:r w:rsidRPr="005B01E9">
        <w:tab/>
      </w:r>
      <w:r w:rsidR="001B507F" w:rsidRPr="00BF6F4D">
        <w:t>Constatations du Comité des droits de l</w:t>
      </w:r>
      <w:r w:rsidR="001B507F">
        <w:t>’</w:t>
      </w:r>
      <w:r w:rsidR="001B507F" w:rsidRPr="00BF6F4D">
        <w:t>homme au titre du paragraphe 4 de l</w:t>
      </w:r>
      <w:r w:rsidR="001B507F">
        <w:t>’</w:t>
      </w:r>
      <w:r w:rsidR="001B507F" w:rsidRPr="00BF6F4D">
        <w:t>article 5 du Protocole facultatif se rapportant au Pacte international relatif</w:t>
      </w:r>
      <w:r w:rsidR="001B507F" w:rsidRPr="00BF6F4D">
        <w:br/>
        <w:t>aux droits civils et politiques (</w:t>
      </w:r>
      <w:r w:rsidR="001B507F" w:rsidRPr="006E39C2">
        <w:rPr>
          <w:lang w:val="fr-FR"/>
        </w:rPr>
        <w:t>112</w:t>
      </w:r>
      <w:r w:rsidR="001B507F" w:rsidRPr="006E39C2">
        <w:rPr>
          <w:vertAlign w:val="superscript"/>
          <w:lang w:val="fr-FR"/>
        </w:rPr>
        <w:t>e</w:t>
      </w:r>
      <w:r w:rsidR="001B507F" w:rsidRPr="00BF6F4D">
        <w:t xml:space="preserve"> session)</w:t>
      </w:r>
    </w:p>
    <w:p w:rsidR="009B42B2" w:rsidRPr="005B01E9" w:rsidRDefault="009B42B2" w:rsidP="00EE1BD4">
      <w:pPr>
        <w:pStyle w:val="SingleTxtG"/>
      </w:pPr>
      <w:r w:rsidRPr="005B01E9">
        <w:t>concernant la</w:t>
      </w:r>
    </w:p>
    <w:p w:rsidR="009B42B2" w:rsidRPr="005B01E9" w:rsidRDefault="009B42B2" w:rsidP="00EE1BD4">
      <w:pPr>
        <w:pStyle w:val="H1G"/>
      </w:pPr>
      <w:r w:rsidRPr="005B01E9">
        <w:tab/>
      </w:r>
      <w:r w:rsidRPr="005B01E9">
        <w:tab/>
        <w:t xml:space="preserve">Communication </w:t>
      </w:r>
      <w:r w:rsidRPr="005B01E9">
        <w:rPr>
          <w:rFonts w:eastAsia="MS Mincho"/>
        </w:rPr>
        <w:t>n</w:t>
      </w:r>
      <w:r w:rsidRPr="005B01E9">
        <w:rPr>
          <w:rFonts w:eastAsia="MS Mincho"/>
          <w:vertAlign w:val="superscript"/>
        </w:rPr>
        <w:t>o</w:t>
      </w:r>
      <w:r w:rsidRPr="005B01E9">
        <w:t xml:space="preserve"> </w:t>
      </w:r>
      <w:r w:rsidR="001B507F" w:rsidRPr="000F4935">
        <w:rPr>
          <w:rFonts w:eastAsia="Calibri"/>
          <w:szCs w:val="24"/>
          <w:lang w:val="fr-FR"/>
        </w:rPr>
        <w:t>2111/2011</w:t>
      </w:r>
      <w:r w:rsidR="001B507F" w:rsidRPr="001B507F">
        <w:rPr>
          <w:rStyle w:val="FootnoteReference"/>
          <w:rFonts w:eastAsia="Calibri"/>
          <w:b w:val="0"/>
          <w:sz w:val="20"/>
          <w:szCs w:val="24"/>
          <w:vertAlign w:val="baseline"/>
        </w:rPr>
        <w:footnoteReference w:customMarkFollows="1" w:id="2"/>
        <w:t>*</w:t>
      </w:r>
    </w:p>
    <w:tbl>
      <w:tblPr>
        <w:tblW w:w="6804" w:type="dxa"/>
        <w:tblInd w:w="1701" w:type="dxa"/>
        <w:tblLayout w:type="fixed"/>
        <w:tblLook w:val="01E0"/>
      </w:tblPr>
      <w:tblGrid>
        <w:gridCol w:w="2410"/>
        <w:gridCol w:w="4394"/>
      </w:tblGrid>
      <w:tr w:rsidR="009B42B2" w:rsidRPr="005B01E9" w:rsidTr="00D856C9">
        <w:tc>
          <w:tcPr>
            <w:tcW w:w="2410" w:type="dxa"/>
          </w:tcPr>
          <w:p w:rsidR="009B42B2" w:rsidRPr="005B01E9" w:rsidRDefault="009B42B2" w:rsidP="00D856C9">
            <w:pPr>
              <w:spacing w:after="120"/>
              <w:rPr>
                <w:i/>
              </w:rPr>
            </w:pPr>
            <w:r w:rsidRPr="005B01E9">
              <w:rPr>
                <w:i/>
              </w:rPr>
              <w:t>Présentée par</w:t>
            </w:r>
            <w:r w:rsidRPr="005B01E9">
              <w:t>:</w:t>
            </w:r>
          </w:p>
        </w:tc>
        <w:tc>
          <w:tcPr>
            <w:tcW w:w="4394" w:type="dxa"/>
          </w:tcPr>
          <w:p w:rsidR="009B42B2" w:rsidRPr="005B01E9" w:rsidRDefault="001B507F" w:rsidP="00D856C9">
            <w:pPr>
              <w:spacing w:after="120"/>
            </w:pPr>
            <w:proofErr w:type="spellStart"/>
            <w:r w:rsidRPr="006E39C2">
              <w:rPr>
                <w:rFonts w:eastAsia="Calibri"/>
                <w:lang w:val="fr-FR"/>
              </w:rPr>
              <w:t>Sharmila</w:t>
            </w:r>
            <w:proofErr w:type="spellEnd"/>
            <w:r w:rsidRPr="006E39C2">
              <w:rPr>
                <w:rFonts w:eastAsia="Calibri"/>
                <w:lang w:val="fr-FR"/>
              </w:rPr>
              <w:t xml:space="preserve"> </w:t>
            </w:r>
            <w:proofErr w:type="spellStart"/>
            <w:r w:rsidRPr="006E39C2">
              <w:rPr>
                <w:rFonts w:eastAsia="Calibri"/>
                <w:lang w:val="fr-FR"/>
              </w:rPr>
              <w:t>Tripathi</w:t>
            </w:r>
            <w:proofErr w:type="spellEnd"/>
            <w:r w:rsidRPr="006E39C2">
              <w:rPr>
                <w:rFonts w:eastAsia="Calibri"/>
                <w:lang w:val="fr-FR"/>
              </w:rPr>
              <w:t xml:space="preserve"> </w:t>
            </w:r>
            <w:r w:rsidRPr="006E39C2">
              <w:rPr>
                <w:rStyle w:val="SingleTxtGChar"/>
                <w:lang w:val="fr-FR"/>
              </w:rPr>
              <w:t>(</w:t>
            </w:r>
            <w:proofErr w:type="spellStart"/>
            <w:r w:rsidRPr="006E39C2">
              <w:rPr>
                <w:rStyle w:val="SingleTxtGChar"/>
                <w:lang w:val="fr-FR"/>
              </w:rPr>
              <w:t>representée</w:t>
            </w:r>
            <w:proofErr w:type="spellEnd"/>
            <w:r w:rsidRPr="006E39C2">
              <w:rPr>
                <w:rStyle w:val="SingleTxtGChar"/>
                <w:lang w:val="fr-FR"/>
              </w:rPr>
              <w:t xml:space="preserve"> par un conseil, </w:t>
            </w:r>
            <w:proofErr w:type="spellStart"/>
            <w:r w:rsidRPr="006E39C2">
              <w:rPr>
                <w:rStyle w:val="SingleTxtGChar"/>
                <w:lang w:val="fr-FR"/>
              </w:rPr>
              <w:t>Track</w:t>
            </w:r>
            <w:proofErr w:type="spellEnd"/>
            <w:r w:rsidRPr="006E39C2">
              <w:rPr>
                <w:rStyle w:val="SingleTxtGChar"/>
                <w:lang w:val="fr-FR"/>
              </w:rPr>
              <w:t xml:space="preserve"> </w:t>
            </w:r>
            <w:proofErr w:type="spellStart"/>
            <w:r w:rsidRPr="006E39C2">
              <w:rPr>
                <w:rStyle w:val="SingleTxtGChar"/>
                <w:lang w:val="fr-FR"/>
              </w:rPr>
              <w:t>Impunity</w:t>
            </w:r>
            <w:proofErr w:type="spellEnd"/>
            <w:r w:rsidRPr="006E39C2">
              <w:rPr>
                <w:rStyle w:val="SingleTxtGChar"/>
                <w:lang w:val="fr-FR"/>
              </w:rPr>
              <w:t xml:space="preserve"> </w:t>
            </w:r>
            <w:proofErr w:type="spellStart"/>
            <w:r w:rsidRPr="006E39C2">
              <w:rPr>
                <w:rStyle w:val="SingleTxtGChar"/>
                <w:lang w:val="fr-FR"/>
              </w:rPr>
              <w:t>Always</w:t>
            </w:r>
            <w:proofErr w:type="spellEnd"/>
            <w:r w:rsidRPr="006E39C2">
              <w:rPr>
                <w:rStyle w:val="SingleTxtGChar"/>
                <w:lang w:val="fr-FR"/>
              </w:rPr>
              <w:t>-TRIAL)</w:t>
            </w:r>
          </w:p>
        </w:tc>
      </w:tr>
      <w:tr w:rsidR="009B42B2" w:rsidRPr="005B01E9" w:rsidTr="00D856C9">
        <w:tc>
          <w:tcPr>
            <w:tcW w:w="2410" w:type="dxa"/>
          </w:tcPr>
          <w:p w:rsidR="009B42B2" w:rsidRPr="005B01E9" w:rsidRDefault="009B42B2" w:rsidP="00D856C9">
            <w:pPr>
              <w:spacing w:after="120"/>
              <w:rPr>
                <w:i/>
              </w:rPr>
            </w:pPr>
            <w:r w:rsidRPr="005B01E9">
              <w:rPr>
                <w:i/>
              </w:rPr>
              <w:t>Au nom de</w:t>
            </w:r>
            <w:r w:rsidRPr="005B01E9">
              <w:t>:</w:t>
            </w:r>
          </w:p>
        </w:tc>
        <w:tc>
          <w:tcPr>
            <w:tcW w:w="4394" w:type="dxa"/>
          </w:tcPr>
          <w:p w:rsidR="009B42B2" w:rsidRPr="005B01E9" w:rsidRDefault="001B507F" w:rsidP="00D856C9">
            <w:pPr>
              <w:spacing w:after="120"/>
            </w:pPr>
            <w:r w:rsidRPr="006E39C2">
              <w:rPr>
                <w:rFonts w:eastAsia="Calibri"/>
                <w:lang w:val="fr-FR"/>
              </w:rPr>
              <w:t>L</w:t>
            </w:r>
            <w:r>
              <w:rPr>
                <w:lang w:val="fr-FR"/>
              </w:rPr>
              <w:t>’</w:t>
            </w:r>
            <w:r w:rsidRPr="006E39C2">
              <w:rPr>
                <w:rFonts w:eastAsia="Calibri"/>
                <w:lang w:val="fr-FR"/>
              </w:rPr>
              <w:t xml:space="preserve">auteure, </w:t>
            </w:r>
            <w:proofErr w:type="spellStart"/>
            <w:r w:rsidRPr="006E39C2">
              <w:rPr>
                <w:rFonts w:eastAsia="Calibri"/>
                <w:lang w:val="fr-FR"/>
              </w:rPr>
              <w:t>Gyanendra</w:t>
            </w:r>
            <w:proofErr w:type="spellEnd"/>
            <w:r w:rsidRPr="006E39C2">
              <w:rPr>
                <w:rFonts w:eastAsia="Calibri"/>
                <w:lang w:val="fr-FR"/>
              </w:rPr>
              <w:t xml:space="preserve"> </w:t>
            </w:r>
            <w:proofErr w:type="spellStart"/>
            <w:r w:rsidRPr="006E39C2">
              <w:rPr>
                <w:rFonts w:eastAsia="Calibri"/>
                <w:lang w:val="fr-FR"/>
              </w:rPr>
              <w:t>Tripathi</w:t>
            </w:r>
            <w:proofErr w:type="spellEnd"/>
            <w:r w:rsidRPr="006E39C2">
              <w:rPr>
                <w:rFonts w:eastAsia="Calibri"/>
                <w:lang w:val="fr-FR"/>
              </w:rPr>
              <w:t xml:space="preserve"> (son mari) et C. T. (leur fille mineure)</w:t>
            </w:r>
          </w:p>
        </w:tc>
      </w:tr>
      <w:tr w:rsidR="009B42B2" w:rsidRPr="005B01E9" w:rsidTr="00D856C9">
        <w:tc>
          <w:tcPr>
            <w:tcW w:w="2410" w:type="dxa"/>
          </w:tcPr>
          <w:p w:rsidR="009B42B2" w:rsidRPr="005B01E9" w:rsidRDefault="009B42B2" w:rsidP="00D856C9">
            <w:pPr>
              <w:spacing w:after="120"/>
              <w:rPr>
                <w:i/>
              </w:rPr>
            </w:pPr>
            <w:r w:rsidRPr="005B01E9">
              <w:rPr>
                <w:i/>
              </w:rPr>
              <w:t>État partie</w:t>
            </w:r>
            <w:r w:rsidRPr="005B01E9">
              <w:t>:</w:t>
            </w:r>
          </w:p>
        </w:tc>
        <w:tc>
          <w:tcPr>
            <w:tcW w:w="4394" w:type="dxa"/>
          </w:tcPr>
          <w:p w:rsidR="009B42B2" w:rsidRPr="005B01E9" w:rsidRDefault="001B507F" w:rsidP="00D856C9">
            <w:pPr>
              <w:spacing w:after="120"/>
            </w:pPr>
            <w:r w:rsidRPr="006E39C2">
              <w:rPr>
                <w:rFonts w:eastAsia="Calibri"/>
                <w:lang w:val="fr-FR"/>
              </w:rPr>
              <w:t>Népal</w:t>
            </w:r>
          </w:p>
        </w:tc>
      </w:tr>
      <w:tr w:rsidR="009B42B2" w:rsidRPr="005B01E9" w:rsidTr="00D856C9">
        <w:tc>
          <w:tcPr>
            <w:tcW w:w="2410" w:type="dxa"/>
          </w:tcPr>
          <w:p w:rsidR="009B42B2" w:rsidRPr="005B01E9" w:rsidRDefault="009B42B2" w:rsidP="00D856C9">
            <w:pPr>
              <w:spacing w:after="240"/>
              <w:rPr>
                <w:i/>
              </w:rPr>
            </w:pPr>
            <w:r w:rsidRPr="005B01E9">
              <w:rPr>
                <w:i/>
              </w:rPr>
              <w:t>Date de la communication</w:t>
            </w:r>
            <w:r w:rsidRPr="005B01E9">
              <w:t>:</w:t>
            </w:r>
          </w:p>
        </w:tc>
        <w:tc>
          <w:tcPr>
            <w:tcW w:w="4394" w:type="dxa"/>
          </w:tcPr>
          <w:p w:rsidR="009B42B2" w:rsidRPr="005B01E9" w:rsidRDefault="001B507F" w:rsidP="00D856C9">
            <w:pPr>
              <w:spacing w:after="120"/>
            </w:pPr>
            <w:r w:rsidRPr="006E39C2">
              <w:rPr>
                <w:rFonts w:eastAsia="Calibri"/>
                <w:lang w:val="fr-FR"/>
              </w:rPr>
              <w:t>28 septembre 2011</w:t>
            </w:r>
            <w:r w:rsidRPr="006E39C2">
              <w:rPr>
                <w:rStyle w:val="SingleTxtGChar"/>
                <w:lang w:val="fr-FR"/>
              </w:rPr>
              <w:t xml:space="preserve"> </w:t>
            </w:r>
            <w:r w:rsidRPr="00BF6F4D">
              <w:t>(date de la lettre initiale)</w:t>
            </w:r>
          </w:p>
        </w:tc>
      </w:tr>
    </w:tbl>
    <w:p w:rsidR="009B42B2" w:rsidRPr="005B01E9" w:rsidRDefault="009B42B2" w:rsidP="00EE1BD4">
      <w:pPr>
        <w:pStyle w:val="SingleTxtG"/>
        <w:ind w:firstLine="567"/>
      </w:pPr>
      <w:r w:rsidRPr="005B01E9">
        <w:rPr>
          <w:i/>
          <w:iCs/>
        </w:rPr>
        <w:t>Le Comité des droits de l’homme</w:t>
      </w:r>
      <w:r w:rsidRPr="005B01E9">
        <w:t xml:space="preserve">, </w:t>
      </w:r>
      <w:r w:rsidR="001B507F" w:rsidRPr="00BF6F4D">
        <w:t>institué en vertu de l</w:t>
      </w:r>
      <w:r w:rsidR="001B507F">
        <w:t>’</w:t>
      </w:r>
      <w:r w:rsidR="001B507F" w:rsidRPr="00BF6F4D">
        <w:t>article 28 du Pacte international relatif aux droits civils et politiques</w:t>
      </w:r>
      <w:r w:rsidRPr="005B01E9">
        <w:t>,</w:t>
      </w:r>
    </w:p>
    <w:p w:rsidR="009B42B2" w:rsidRPr="005B01E9" w:rsidRDefault="009B42B2" w:rsidP="00EE1BD4">
      <w:pPr>
        <w:pStyle w:val="SingleTxtG"/>
        <w:ind w:firstLine="567"/>
      </w:pPr>
      <w:r w:rsidRPr="005B01E9">
        <w:rPr>
          <w:i/>
          <w:iCs/>
        </w:rPr>
        <w:t xml:space="preserve">Réuni le </w:t>
      </w:r>
      <w:r w:rsidR="001B507F" w:rsidRPr="00ED45FD">
        <w:rPr>
          <w:iCs/>
        </w:rPr>
        <w:t>29</w:t>
      </w:r>
      <w:r w:rsidR="001B507F">
        <w:rPr>
          <w:i/>
          <w:iCs/>
        </w:rPr>
        <w:t xml:space="preserve"> </w:t>
      </w:r>
      <w:r w:rsidR="001B507F" w:rsidRPr="006E39C2">
        <w:rPr>
          <w:rFonts w:eastAsia="Calibri"/>
          <w:lang w:val="fr-FR"/>
        </w:rPr>
        <w:t>octobre</w:t>
      </w:r>
      <w:r w:rsidR="001B507F" w:rsidRPr="006E39C2">
        <w:rPr>
          <w:rFonts w:eastAsia="Calibri"/>
          <w:sz w:val="24"/>
          <w:szCs w:val="24"/>
          <w:lang w:val="fr-FR"/>
        </w:rPr>
        <w:t xml:space="preserve"> </w:t>
      </w:r>
      <w:r w:rsidR="001B507F" w:rsidRPr="006E39C2">
        <w:rPr>
          <w:rStyle w:val="SingleTxtGChar"/>
          <w:lang w:val="fr-FR"/>
        </w:rPr>
        <w:t>2014</w:t>
      </w:r>
      <w:r w:rsidRPr="005B01E9">
        <w:t>,</w:t>
      </w:r>
    </w:p>
    <w:p w:rsidR="009B42B2" w:rsidRPr="005B01E9" w:rsidRDefault="009B42B2" w:rsidP="00EE1BD4">
      <w:pPr>
        <w:pStyle w:val="SingleTxtG"/>
        <w:ind w:firstLine="567"/>
      </w:pPr>
      <w:r w:rsidRPr="005B01E9">
        <w:rPr>
          <w:i/>
          <w:iCs/>
        </w:rPr>
        <w:t>Ayant achevé</w:t>
      </w:r>
      <w:r w:rsidRPr="005B01E9">
        <w:t xml:space="preserve"> </w:t>
      </w:r>
      <w:r w:rsidR="001B507F" w:rsidRPr="006E39C2">
        <w:rPr>
          <w:lang w:val="fr-FR"/>
        </w:rPr>
        <w:t>l</w:t>
      </w:r>
      <w:r w:rsidR="001B507F">
        <w:rPr>
          <w:lang w:val="fr-FR"/>
        </w:rPr>
        <w:t>’</w:t>
      </w:r>
      <w:r w:rsidR="001B507F" w:rsidRPr="006E39C2">
        <w:rPr>
          <w:lang w:val="fr-FR"/>
        </w:rPr>
        <w:t xml:space="preserve">examen de la communication </w:t>
      </w:r>
      <w:r w:rsidR="001B507F" w:rsidRPr="000F037F">
        <w:rPr>
          <w:rFonts w:eastAsia="MS Mincho"/>
          <w:lang w:val="fr-FR"/>
        </w:rPr>
        <w:t>n</w:t>
      </w:r>
      <w:r w:rsidR="001B507F" w:rsidRPr="000F037F">
        <w:rPr>
          <w:rFonts w:eastAsia="MS Mincho"/>
          <w:vertAlign w:val="superscript"/>
          <w:lang w:val="fr-FR"/>
        </w:rPr>
        <w:t>o</w:t>
      </w:r>
      <w:r w:rsidR="001B507F">
        <w:rPr>
          <w:lang w:val="fr-FR"/>
        </w:rPr>
        <w:t> </w:t>
      </w:r>
      <w:r w:rsidR="001B507F" w:rsidRPr="006E39C2">
        <w:rPr>
          <w:rStyle w:val="SingleTxtGChar"/>
          <w:lang w:val="fr-FR"/>
        </w:rPr>
        <w:t xml:space="preserve">2111/2011, </w:t>
      </w:r>
      <w:r w:rsidR="001B507F" w:rsidRPr="006E39C2">
        <w:rPr>
          <w:lang w:val="fr-FR"/>
        </w:rPr>
        <w:t>présentée</w:t>
      </w:r>
      <w:r w:rsidR="001B507F" w:rsidRPr="006E39C2">
        <w:rPr>
          <w:rStyle w:val="SingleTxtGChar"/>
          <w:lang w:val="fr-FR"/>
        </w:rPr>
        <w:t xml:space="preserve"> par </w:t>
      </w:r>
      <w:proofErr w:type="spellStart"/>
      <w:r w:rsidR="001B507F" w:rsidRPr="006E39C2">
        <w:rPr>
          <w:rStyle w:val="SingleTxtGChar"/>
          <w:lang w:val="fr-FR"/>
        </w:rPr>
        <w:t>Sharmila</w:t>
      </w:r>
      <w:proofErr w:type="spellEnd"/>
      <w:r w:rsidR="001B507F">
        <w:rPr>
          <w:rStyle w:val="SingleTxtGChar"/>
          <w:lang w:val="fr-FR"/>
        </w:rPr>
        <w:t> </w:t>
      </w:r>
      <w:proofErr w:type="spellStart"/>
      <w:r w:rsidR="001B507F" w:rsidRPr="006E39C2">
        <w:rPr>
          <w:rStyle w:val="SingleTxtGChar"/>
          <w:lang w:val="fr-FR"/>
        </w:rPr>
        <w:t>Tripathi</w:t>
      </w:r>
      <w:proofErr w:type="spellEnd"/>
      <w:r w:rsidR="001B507F" w:rsidRPr="006E39C2">
        <w:rPr>
          <w:rStyle w:val="SingleTxtGChar"/>
          <w:lang w:val="fr-FR"/>
        </w:rPr>
        <w:t xml:space="preserve"> </w:t>
      </w:r>
      <w:r w:rsidR="001B507F" w:rsidRPr="006E39C2">
        <w:rPr>
          <w:lang w:val="fr-FR"/>
        </w:rPr>
        <w:t>en vertu du Protocole facultatif se rapportant au Pacte international relatif aux droits civils et politiques</w:t>
      </w:r>
      <w:r w:rsidRPr="005B01E9">
        <w:t>,</w:t>
      </w:r>
    </w:p>
    <w:p w:rsidR="009B42B2" w:rsidRPr="005B01E9" w:rsidRDefault="009B42B2" w:rsidP="00EE1BD4">
      <w:pPr>
        <w:pStyle w:val="SingleTxtG"/>
        <w:ind w:firstLine="567"/>
      </w:pPr>
      <w:r w:rsidRPr="005B01E9">
        <w:rPr>
          <w:i/>
          <w:iCs/>
        </w:rPr>
        <w:t>Ayant tenu compte</w:t>
      </w:r>
      <w:r w:rsidRPr="005B01E9">
        <w:t xml:space="preserve"> de </w:t>
      </w:r>
      <w:r w:rsidR="001B507F" w:rsidRPr="006E39C2">
        <w:rPr>
          <w:lang w:val="fr-FR"/>
        </w:rPr>
        <w:t>toutes les informations écrites qui lui ont été communiquées par l</w:t>
      </w:r>
      <w:r w:rsidR="001B507F">
        <w:rPr>
          <w:lang w:val="fr-FR"/>
        </w:rPr>
        <w:t>’</w:t>
      </w:r>
      <w:r w:rsidR="001B507F" w:rsidRPr="006E39C2">
        <w:rPr>
          <w:lang w:val="fr-FR"/>
        </w:rPr>
        <w:t>auteure de la communication et l</w:t>
      </w:r>
      <w:r w:rsidR="001B507F">
        <w:rPr>
          <w:lang w:val="fr-FR"/>
        </w:rPr>
        <w:t>’</w:t>
      </w:r>
      <w:r w:rsidR="001B507F" w:rsidRPr="006E39C2">
        <w:rPr>
          <w:lang w:val="fr-FR"/>
        </w:rPr>
        <w:t>État partie</w:t>
      </w:r>
      <w:r w:rsidRPr="005B01E9">
        <w:t>,</w:t>
      </w:r>
    </w:p>
    <w:p w:rsidR="009B42B2" w:rsidRPr="005B01E9" w:rsidRDefault="009B42B2" w:rsidP="00EE1BD4">
      <w:pPr>
        <w:pStyle w:val="SingleTxtG"/>
        <w:ind w:firstLine="567"/>
      </w:pPr>
      <w:r w:rsidRPr="005B01E9">
        <w:rPr>
          <w:i/>
          <w:iCs/>
        </w:rPr>
        <w:t>Adopte</w:t>
      </w:r>
      <w:r w:rsidRPr="005B01E9">
        <w:t xml:space="preserve"> ce qui suit:</w:t>
      </w:r>
    </w:p>
    <w:p w:rsidR="009B42B2" w:rsidRPr="005B01E9" w:rsidRDefault="009B42B2" w:rsidP="00EE1BD4">
      <w:pPr>
        <w:pStyle w:val="H1G"/>
      </w:pPr>
      <w:r w:rsidRPr="005B01E9">
        <w:tab/>
      </w:r>
      <w:r w:rsidRPr="005B01E9">
        <w:tab/>
      </w:r>
      <w:r w:rsidR="001B507F" w:rsidRPr="00BF6F4D">
        <w:t>Constatations au titre du paragraphe 4 de l</w:t>
      </w:r>
      <w:r w:rsidR="001B507F">
        <w:t>’</w:t>
      </w:r>
      <w:r w:rsidR="001B507F" w:rsidRPr="00BF6F4D">
        <w:t>article 5</w:t>
      </w:r>
      <w:r w:rsidR="001B507F">
        <w:t xml:space="preserve"> </w:t>
      </w:r>
      <w:r w:rsidR="001B507F" w:rsidRPr="00BF6F4D">
        <w:br/>
        <w:t>du Protocole facultatif</w:t>
      </w:r>
    </w:p>
    <w:p w:rsidR="00D856C9" w:rsidRPr="006E39C2" w:rsidRDefault="00D856C9" w:rsidP="00D856C9">
      <w:pPr>
        <w:pStyle w:val="SingleTxtG"/>
        <w:rPr>
          <w:lang w:val="fr-FR"/>
        </w:rPr>
      </w:pPr>
      <w:r w:rsidRPr="006E39C2">
        <w:rPr>
          <w:lang w:val="fr-FR"/>
        </w:rPr>
        <w:t>1.</w:t>
      </w:r>
      <w:r w:rsidRPr="006E39C2">
        <w:rPr>
          <w:lang w:val="fr-FR"/>
        </w:rPr>
        <w:tab/>
      </w:r>
      <w:r w:rsidRPr="004F5752">
        <w:rPr>
          <w:lang w:val="fr-FR"/>
        </w:rPr>
        <w:t>L</w:t>
      </w:r>
      <w:r>
        <w:rPr>
          <w:lang w:val="fr-FR"/>
        </w:rPr>
        <w:t>’</w:t>
      </w:r>
      <w:r w:rsidRPr="004F5752">
        <w:rPr>
          <w:lang w:val="fr-FR"/>
        </w:rPr>
        <w:t xml:space="preserve">auteure de la communication est </w:t>
      </w:r>
      <w:proofErr w:type="spellStart"/>
      <w:r w:rsidRPr="004F5752">
        <w:rPr>
          <w:lang w:val="fr-FR"/>
        </w:rPr>
        <w:t>Sharmila</w:t>
      </w:r>
      <w:proofErr w:type="spellEnd"/>
      <w:r w:rsidRPr="004F5752">
        <w:rPr>
          <w:lang w:val="fr-FR"/>
        </w:rPr>
        <w:t xml:space="preserve"> </w:t>
      </w:r>
      <w:proofErr w:type="spellStart"/>
      <w:r w:rsidRPr="004F5752">
        <w:rPr>
          <w:lang w:val="fr-FR"/>
        </w:rPr>
        <w:t>Tripathi</w:t>
      </w:r>
      <w:proofErr w:type="spellEnd"/>
      <w:r w:rsidRPr="004F5752">
        <w:rPr>
          <w:lang w:val="fr-FR"/>
        </w:rPr>
        <w:t xml:space="preserve">, qui présente la communication en son nom propre, au nom de son mari, </w:t>
      </w:r>
      <w:proofErr w:type="spellStart"/>
      <w:r w:rsidRPr="004F5752">
        <w:rPr>
          <w:lang w:val="fr-FR"/>
        </w:rPr>
        <w:t>Gyanendra</w:t>
      </w:r>
      <w:proofErr w:type="spellEnd"/>
      <w:r w:rsidRPr="004F5752">
        <w:rPr>
          <w:lang w:val="fr-FR"/>
        </w:rPr>
        <w:t xml:space="preserve"> </w:t>
      </w:r>
      <w:proofErr w:type="spellStart"/>
      <w:r w:rsidRPr="004F5752">
        <w:rPr>
          <w:lang w:val="fr-FR"/>
        </w:rPr>
        <w:t>Tripathi</w:t>
      </w:r>
      <w:proofErr w:type="spellEnd"/>
      <w:r w:rsidRPr="004F5752">
        <w:rPr>
          <w:lang w:val="fr-FR"/>
        </w:rPr>
        <w:t>, et au nom de leur fille mineure, C. T. Tous trois sont de nationalité népalaise et sont nés, respectivement, le</w:t>
      </w:r>
      <w:r>
        <w:rPr>
          <w:lang w:val="fr-FR"/>
        </w:rPr>
        <w:t xml:space="preserve"> </w:t>
      </w:r>
      <w:r w:rsidRPr="004F5752">
        <w:rPr>
          <w:lang w:val="fr-FR"/>
        </w:rPr>
        <w:t>1</w:t>
      </w:r>
      <w:r w:rsidRPr="004F5752">
        <w:rPr>
          <w:vertAlign w:val="superscript"/>
          <w:lang w:val="fr-FR"/>
        </w:rPr>
        <w:t>er</w:t>
      </w:r>
      <w:r w:rsidRPr="004F5752">
        <w:rPr>
          <w:lang w:val="fr-FR"/>
        </w:rPr>
        <w:t> janvier 1969, le 8 juin 1969 et le 21 janvier 2002. L</w:t>
      </w:r>
      <w:r>
        <w:rPr>
          <w:lang w:val="fr-FR"/>
        </w:rPr>
        <w:t>’</w:t>
      </w:r>
      <w:r w:rsidRPr="004F5752">
        <w:rPr>
          <w:lang w:val="fr-FR"/>
        </w:rPr>
        <w:t>auteure affirme que l</w:t>
      </w:r>
      <w:r>
        <w:rPr>
          <w:lang w:val="fr-FR"/>
        </w:rPr>
        <w:t>’</w:t>
      </w:r>
      <w:r w:rsidRPr="004F5752">
        <w:rPr>
          <w:lang w:val="fr-FR"/>
        </w:rPr>
        <w:t>État partie a violé les droits que M.</w:t>
      </w:r>
      <w:r w:rsidR="004E3771">
        <w:rPr>
          <w:lang w:val="fr-FR"/>
        </w:rPr>
        <w:t> </w:t>
      </w:r>
      <w:proofErr w:type="spellStart"/>
      <w:r w:rsidRPr="004F5752">
        <w:rPr>
          <w:lang w:val="fr-FR"/>
        </w:rPr>
        <w:t>Tripathi</w:t>
      </w:r>
      <w:proofErr w:type="spellEnd"/>
      <w:r w:rsidRPr="004F5752">
        <w:rPr>
          <w:lang w:val="fr-FR"/>
        </w:rPr>
        <w:t xml:space="preserve"> tient des articles 6, 7, 9, paragraphes 1 à 4, 10, paragraphe 1, 16 et 22, pris isolément et lu conjointement avec l</w:t>
      </w:r>
      <w:r>
        <w:rPr>
          <w:lang w:val="fr-FR"/>
        </w:rPr>
        <w:t>’</w:t>
      </w:r>
      <w:r w:rsidRPr="004F5752">
        <w:rPr>
          <w:lang w:val="fr-FR"/>
        </w:rPr>
        <w:t>article 2, paragraphe 3, du Pacte international relatif aux droits civils et politiques, les droits qu</w:t>
      </w:r>
      <w:r>
        <w:rPr>
          <w:lang w:val="fr-FR"/>
        </w:rPr>
        <w:t>’</w:t>
      </w:r>
      <w:r w:rsidRPr="004F5752">
        <w:rPr>
          <w:lang w:val="fr-FR"/>
        </w:rPr>
        <w:t>elle-même tient de l</w:t>
      </w:r>
      <w:r>
        <w:rPr>
          <w:lang w:val="fr-FR"/>
        </w:rPr>
        <w:t>’</w:t>
      </w:r>
      <w:r w:rsidRPr="004F5752">
        <w:rPr>
          <w:lang w:val="fr-FR"/>
        </w:rPr>
        <w:t>article 7, lu conjointement avec l</w:t>
      </w:r>
      <w:r>
        <w:rPr>
          <w:lang w:val="fr-FR"/>
        </w:rPr>
        <w:t>’</w:t>
      </w:r>
      <w:r w:rsidRPr="004F5752">
        <w:rPr>
          <w:lang w:val="fr-FR"/>
        </w:rPr>
        <w:t>article 2, paragraphe 3, du Pacte, et les droits que sa fille mineure tient de l</w:t>
      </w:r>
      <w:r>
        <w:rPr>
          <w:lang w:val="fr-FR"/>
        </w:rPr>
        <w:t>’</w:t>
      </w:r>
      <w:r w:rsidRPr="004F5752">
        <w:rPr>
          <w:lang w:val="fr-FR"/>
        </w:rPr>
        <w:t>article 7, lu conjointement avec les</w:t>
      </w:r>
      <w:r>
        <w:rPr>
          <w:lang w:val="fr-FR"/>
        </w:rPr>
        <w:t> </w:t>
      </w:r>
      <w:r w:rsidRPr="004F5752">
        <w:rPr>
          <w:lang w:val="fr-FR"/>
        </w:rPr>
        <w:t>articles 2, paragraphe 3, et 24, paragraphe 1, du Pacte. L</w:t>
      </w:r>
      <w:r>
        <w:rPr>
          <w:lang w:val="fr-FR"/>
        </w:rPr>
        <w:t>’</w:t>
      </w:r>
      <w:r w:rsidRPr="004F5752">
        <w:rPr>
          <w:lang w:val="fr-FR"/>
        </w:rPr>
        <w:t>auteure est représentée par un</w:t>
      </w:r>
      <w:r>
        <w:rPr>
          <w:lang w:val="fr-FR"/>
        </w:rPr>
        <w:t> </w:t>
      </w:r>
      <w:r w:rsidRPr="004F5752">
        <w:rPr>
          <w:lang w:val="fr-FR"/>
        </w:rPr>
        <w:t>conseil.</w:t>
      </w:r>
      <w:r w:rsidRPr="004F5752">
        <w:rPr>
          <w:spacing w:val="-2"/>
          <w:lang w:val="fr-FR"/>
        </w:rPr>
        <w:t xml:space="preserve"> </w:t>
      </w:r>
    </w:p>
    <w:p w:rsidR="00D856C9" w:rsidRPr="006E39C2" w:rsidRDefault="00D856C9" w:rsidP="00D856C9">
      <w:pPr>
        <w:pStyle w:val="H23G"/>
        <w:rPr>
          <w:lang w:val="fr-FR"/>
        </w:rPr>
      </w:pPr>
      <w:r w:rsidRPr="006E39C2">
        <w:rPr>
          <w:lang w:val="fr-FR"/>
        </w:rPr>
        <w:tab/>
      </w:r>
      <w:r w:rsidRPr="006E39C2">
        <w:rPr>
          <w:lang w:val="fr-FR"/>
        </w:rPr>
        <w:tab/>
        <w:t>Rappel des faits présentés par l</w:t>
      </w:r>
      <w:r>
        <w:rPr>
          <w:lang w:val="fr-FR"/>
        </w:rPr>
        <w:t>’</w:t>
      </w:r>
      <w:r w:rsidRPr="006E39C2">
        <w:rPr>
          <w:lang w:val="fr-FR"/>
        </w:rPr>
        <w:t>auteur</w:t>
      </w:r>
    </w:p>
    <w:p w:rsidR="00D856C9" w:rsidRPr="006E39C2" w:rsidRDefault="00D856C9" w:rsidP="00D856C9">
      <w:pPr>
        <w:pStyle w:val="SingleTxtG"/>
        <w:rPr>
          <w:u w:val="single"/>
          <w:lang w:val="fr-FR"/>
        </w:rPr>
      </w:pPr>
      <w:r>
        <w:rPr>
          <w:lang w:val="fr-FR"/>
        </w:rPr>
        <w:t>2.1</w:t>
      </w:r>
      <w:r w:rsidRPr="006E39C2">
        <w:rPr>
          <w:lang w:val="fr-FR"/>
        </w:rPr>
        <w:tab/>
        <w:t>En raison du conflit armé sévissant dans le pays, les autorités de l</w:t>
      </w:r>
      <w:r>
        <w:rPr>
          <w:lang w:val="fr-FR"/>
        </w:rPr>
        <w:t>’</w:t>
      </w:r>
      <w:r w:rsidRPr="006E39C2">
        <w:rPr>
          <w:lang w:val="fr-FR"/>
        </w:rPr>
        <w:t>État partie ont proclamé l</w:t>
      </w:r>
      <w:r>
        <w:rPr>
          <w:lang w:val="fr-FR"/>
        </w:rPr>
        <w:t>’</w:t>
      </w:r>
      <w:r w:rsidRPr="006E39C2">
        <w:rPr>
          <w:lang w:val="fr-FR"/>
        </w:rPr>
        <w:t>état d</w:t>
      </w:r>
      <w:r>
        <w:rPr>
          <w:lang w:val="fr-FR"/>
        </w:rPr>
        <w:t>’</w:t>
      </w:r>
      <w:r w:rsidRPr="006E39C2">
        <w:rPr>
          <w:lang w:val="fr-FR"/>
        </w:rPr>
        <w:t>urgence en novembre 2001. L</w:t>
      </w:r>
      <w:r>
        <w:rPr>
          <w:lang w:val="fr-FR"/>
        </w:rPr>
        <w:t>’</w:t>
      </w:r>
      <w:r w:rsidRPr="006E39C2">
        <w:rPr>
          <w:lang w:val="fr-FR"/>
        </w:rPr>
        <w:t>ordonnance de 2001 relative aux activités terroristes et destructrices a autorisé les agents de l</w:t>
      </w:r>
      <w:r>
        <w:rPr>
          <w:lang w:val="fr-FR"/>
        </w:rPr>
        <w:t>’</w:t>
      </w:r>
      <w:r w:rsidRPr="006E39C2">
        <w:rPr>
          <w:lang w:val="fr-FR"/>
        </w:rPr>
        <w:t>État à procéder à des arrestations sur la base de simples soupçons de participation à des activités terroristes et différents droits de l</w:t>
      </w:r>
      <w:r>
        <w:rPr>
          <w:lang w:val="fr-FR"/>
        </w:rPr>
        <w:t>’</w:t>
      </w:r>
      <w:r w:rsidRPr="006E39C2">
        <w:rPr>
          <w:lang w:val="fr-FR"/>
        </w:rPr>
        <w:t>homme et libertés fondamentales garantis par la Constitution ont été suspendus. Dans ce contexte, les deux parties au conflit, y compris la police et l</w:t>
      </w:r>
      <w:r>
        <w:rPr>
          <w:lang w:val="fr-FR"/>
        </w:rPr>
        <w:t>’</w:t>
      </w:r>
      <w:r w:rsidRPr="006E39C2">
        <w:rPr>
          <w:lang w:val="fr-FR"/>
        </w:rPr>
        <w:t>Armée royale népalaise, ont commis des atrocités et les disparitions forcées sont devenues très répandues</w:t>
      </w:r>
      <w:r>
        <w:rPr>
          <w:rStyle w:val="FootnoteReference"/>
        </w:rPr>
        <w:footnoteReference w:id="3"/>
      </w:r>
      <w:r w:rsidRPr="006E39C2">
        <w:rPr>
          <w:lang w:val="fr-FR"/>
        </w:rPr>
        <w:t>. En outre, en août 2003, l</w:t>
      </w:r>
      <w:r>
        <w:rPr>
          <w:lang w:val="fr-FR"/>
        </w:rPr>
        <w:t>’</w:t>
      </w:r>
      <w:r w:rsidRPr="006E39C2" w:rsidDel="009742D9">
        <w:rPr>
          <w:lang w:val="fr-FR"/>
        </w:rPr>
        <w:t>a</w:t>
      </w:r>
      <w:r w:rsidRPr="006E39C2">
        <w:rPr>
          <w:lang w:val="fr-FR"/>
        </w:rPr>
        <w:t xml:space="preserve">rmée a détenu arbitrairement plusieurs membres du Syndicat national indépendant étudiant du Népal (révolutionnaire) (ANNISU-R), branche étudiante du Parti communiste népalais-maoïste (PCN-M). Pendant cette période, la caserne de </w:t>
      </w:r>
      <w:proofErr w:type="spellStart"/>
      <w:r w:rsidRPr="006E39C2">
        <w:rPr>
          <w:lang w:val="fr-FR"/>
        </w:rPr>
        <w:t>Maharajgunj</w:t>
      </w:r>
      <w:proofErr w:type="spellEnd"/>
      <w:r w:rsidRPr="006E39C2">
        <w:rPr>
          <w:lang w:val="fr-FR"/>
        </w:rPr>
        <w:t xml:space="preserve"> à Katmandou, où étaient cantonnés les bataillons </w:t>
      </w:r>
      <w:proofErr w:type="spellStart"/>
      <w:r w:rsidRPr="006E39C2">
        <w:rPr>
          <w:lang w:val="fr-FR"/>
        </w:rPr>
        <w:t>Bhairabnath</w:t>
      </w:r>
      <w:proofErr w:type="spellEnd"/>
      <w:r w:rsidRPr="006E39C2">
        <w:rPr>
          <w:lang w:val="fr-FR"/>
        </w:rPr>
        <w:t xml:space="preserve"> et </w:t>
      </w:r>
      <w:proofErr w:type="spellStart"/>
      <w:r w:rsidRPr="006E39C2">
        <w:rPr>
          <w:lang w:val="fr-FR"/>
        </w:rPr>
        <w:t>Yudha</w:t>
      </w:r>
      <w:proofErr w:type="spellEnd"/>
      <w:r w:rsidRPr="006E39C2">
        <w:rPr>
          <w:lang w:val="fr-FR"/>
        </w:rPr>
        <w:t xml:space="preserve"> </w:t>
      </w:r>
      <w:proofErr w:type="spellStart"/>
      <w:r w:rsidRPr="006E39C2">
        <w:rPr>
          <w:lang w:val="fr-FR"/>
        </w:rPr>
        <w:t>Bhairab</w:t>
      </w:r>
      <w:proofErr w:type="spellEnd"/>
      <w:r w:rsidRPr="009742D9">
        <w:rPr>
          <w:lang w:val="fr-FR"/>
        </w:rPr>
        <w:t xml:space="preserve"> </w:t>
      </w:r>
      <w:r w:rsidRPr="006E39C2">
        <w:rPr>
          <w:lang w:val="fr-FR"/>
        </w:rPr>
        <w:t>de l</w:t>
      </w:r>
      <w:r>
        <w:rPr>
          <w:lang w:val="fr-FR"/>
        </w:rPr>
        <w:t>’</w:t>
      </w:r>
      <w:r w:rsidRPr="006E39C2" w:rsidDel="009742D9">
        <w:rPr>
          <w:lang w:val="fr-FR"/>
        </w:rPr>
        <w:t>a</w:t>
      </w:r>
      <w:r w:rsidRPr="006E39C2">
        <w:rPr>
          <w:lang w:val="fr-FR"/>
        </w:rPr>
        <w:t>rmée, est devenu tristement célèbre comme lieu où des maoïstes présumés étaient placés en détention et victimes de mauvais traitements, de torture, de disparition et d</w:t>
      </w:r>
      <w:r>
        <w:rPr>
          <w:lang w:val="fr-FR"/>
        </w:rPr>
        <w:t>’</w:t>
      </w:r>
      <w:r w:rsidRPr="006E39C2">
        <w:rPr>
          <w:lang w:val="fr-FR"/>
        </w:rPr>
        <w:t>assassinat</w:t>
      </w:r>
      <w:r>
        <w:rPr>
          <w:rStyle w:val="FootnoteReference"/>
        </w:rPr>
        <w:footnoteReference w:id="4"/>
      </w:r>
      <w:r w:rsidRPr="006E39C2">
        <w:rPr>
          <w:lang w:val="fr-FR"/>
        </w:rPr>
        <w:t>.</w:t>
      </w:r>
    </w:p>
    <w:p w:rsidR="00D856C9" w:rsidRPr="006E39C2" w:rsidRDefault="00D856C9" w:rsidP="00D856C9">
      <w:pPr>
        <w:pStyle w:val="SingleTxtG"/>
        <w:rPr>
          <w:lang w:val="fr-FR"/>
        </w:rPr>
      </w:pPr>
      <w:r>
        <w:rPr>
          <w:lang w:val="fr-FR"/>
        </w:rPr>
        <w:t>2.2</w:t>
      </w:r>
      <w:r w:rsidRPr="006E39C2">
        <w:rPr>
          <w:lang w:val="fr-FR"/>
        </w:rPr>
        <w:tab/>
        <w:t>M.</w:t>
      </w:r>
      <w:r>
        <w:rPr>
          <w:lang w:val="fr-FR"/>
        </w:rPr>
        <w:t> </w:t>
      </w:r>
      <w:proofErr w:type="spellStart"/>
      <w:r w:rsidRPr="006E39C2">
        <w:rPr>
          <w:lang w:val="fr-FR"/>
        </w:rPr>
        <w:t>Tripathi</w:t>
      </w:r>
      <w:proofErr w:type="spellEnd"/>
      <w:r w:rsidRPr="006E39C2">
        <w:rPr>
          <w:lang w:val="fr-FR"/>
        </w:rPr>
        <w:t xml:space="preserve"> était membre du Comité central de l</w:t>
      </w:r>
      <w:r>
        <w:rPr>
          <w:lang w:val="fr-FR"/>
        </w:rPr>
        <w:t>’</w:t>
      </w:r>
      <w:r w:rsidRPr="006E39C2">
        <w:rPr>
          <w:lang w:val="fr-FR"/>
        </w:rPr>
        <w:t xml:space="preserve">ANNISU-R et directeur de </w:t>
      </w:r>
      <w:r w:rsidRPr="00E6433C">
        <w:rPr>
          <w:lang w:val="fr-FR"/>
        </w:rPr>
        <w:t>la division de l</w:t>
      </w:r>
      <w:r>
        <w:rPr>
          <w:lang w:val="fr-FR"/>
        </w:rPr>
        <w:t>’</w:t>
      </w:r>
      <w:r w:rsidRPr="00E6433C">
        <w:rPr>
          <w:lang w:val="fr-FR"/>
        </w:rPr>
        <w:t>éducation, à Katmandou</w:t>
      </w:r>
      <w:r w:rsidRPr="006E39C2">
        <w:rPr>
          <w:lang w:val="fr-FR"/>
        </w:rPr>
        <w:t>. Le 2</w:t>
      </w:r>
      <w:r>
        <w:rPr>
          <w:lang w:val="fr-FR"/>
        </w:rPr>
        <w:t> </w:t>
      </w:r>
      <w:r w:rsidRPr="006E39C2">
        <w:rPr>
          <w:lang w:val="fr-FR"/>
        </w:rPr>
        <w:t>août 2003 ou vers cette date, il a été arrêté par des militaires. Il a été détenu dans un lieu inconnu dans la</w:t>
      </w:r>
      <w:r>
        <w:rPr>
          <w:lang w:val="fr-FR"/>
        </w:rPr>
        <w:t> </w:t>
      </w:r>
      <w:r w:rsidRPr="006E39C2">
        <w:rPr>
          <w:lang w:val="fr-FR"/>
        </w:rPr>
        <w:t xml:space="preserve">vallée de Katmandou pendant </w:t>
      </w:r>
      <w:r>
        <w:rPr>
          <w:lang w:val="fr-FR"/>
        </w:rPr>
        <w:t xml:space="preserve">dix-sept </w:t>
      </w:r>
      <w:r w:rsidRPr="006E39C2">
        <w:rPr>
          <w:lang w:val="fr-FR"/>
        </w:rPr>
        <w:t>jours et placé au secret les trois premiers jours qui ont suivi son arrestation. Il a été gravement maltraité. Le 19</w:t>
      </w:r>
      <w:r>
        <w:rPr>
          <w:lang w:val="fr-FR"/>
        </w:rPr>
        <w:t> </w:t>
      </w:r>
      <w:r w:rsidRPr="006E39C2">
        <w:rPr>
          <w:lang w:val="fr-FR"/>
        </w:rPr>
        <w:t>août 2003 ou vers cette date, il</w:t>
      </w:r>
      <w:r>
        <w:rPr>
          <w:lang w:val="fr-FR"/>
        </w:rPr>
        <w:t> </w:t>
      </w:r>
      <w:r w:rsidRPr="006E39C2">
        <w:rPr>
          <w:lang w:val="fr-FR"/>
        </w:rPr>
        <w:t>a été remis à la police et placé en détention au Bureau de la police de district à</w:t>
      </w:r>
      <w:r>
        <w:rPr>
          <w:lang w:val="fr-FR"/>
        </w:rPr>
        <w:t> </w:t>
      </w:r>
      <w:proofErr w:type="spellStart"/>
      <w:r w:rsidRPr="006E39C2">
        <w:rPr>
          <w:lang w:val="fr-FR"/>
        </w:rPr>
        <w:t>Hanumandhoka</w:t>
      </w:r>
      <w:proofErr w:type="spellEnd"/>
      <w:r w:rsidRPr="006E39C2">
        <w:rPr>
          <w:lang w:val="fr-FR"/>
        </w:rPr>
        <w:t xml:space="preserve"> (Katmandou), jusqu</w:t>
      </w:r>
      <w:r>
        <w:rPr>
          <w:lang w:val="fr-FR"/>
        </w:rPr>
        <w:t>’</w:t>
      </w:r>
      <w:r w:rsidRPr="006E39C2">
        <w:rPr>
          <w:lang w:val="fr-FR"/>
        </w:rPr>
        <w:t>à sa remise en liberté le 5</w:t>
      </w:r>
      <w:r>
        <w:rPr>
          <w:lang w:val="fr-FR"/>
        </w:rPr>
        <w:t> </w:t>
      </w:r>
      <w:r w:rsidRPr="006E39C2">
        <w:rPr>
          <w:lang w:val="fr-FR"/>
        </w:rPr>
        <w:t xml:space="preserve">septembre 2003. Il a alors habité chez un ami à </w:t>
      </w:r>
      <w:proofErr w:type="spellStart"/>
      <w:r w:rsidRPr="006E39C2">
        <w:rPr>
          <w:lang w:val="fr-FR"/>
        </w:rPr>
        <w:t>Shantinagar</w:t>
      </w:r>
      <w:proofErr w:type="spellEnd"/>
      <w:r w:rsidRPr="006E39C2">
        <w:rPr>
          <w:lang w:val="fr-FR"/>
        </w:rPr>
        <w:t xml:space="preserve">, dans la municipalité de </w:t>
      </w:r>
      <w:proofErr w:type="spellStart"/>
      <w:r w:rsidRPr="006E39C2">
        <w:rPr>
          <w:lang w:val="fr-FR"/>
        </w:rPr>
        <w:t>Banseshwor</w:t>
      </w:r>
      <w:proofErr w:type="spellEnd"/>
      <w:r w:rsidRPr="006E39C2">
        <w:rPr>
          <w:lang w:val="fr-FR"/>
        </w:rPr>
        <w:t xml:space="preserve"> (district de</w:t>
      </w:r>
      <w:r>
        <w:rPr>
          <w:lang w:val="fr-FR"/>
        </w:rPr>
        <w:t> </w:t>
      </w:r>
      <w:r w:rsidRPr="006E39C2">
        <w:rPr>
          <w:lang w:val="fr-FR"/>
        </w:rPr>
        <w:t>Katmandou). Il s</w:t>
      </w:r>
      <w:r>
        <w:rPr>
          <w:lang w:val="fr-FR"/>
        </w:rPr>
        <w:t>’</w:t>
      </w:r>
      <w:r w:rsidRPr="006E39C2">
        <w:rPr>
          <w:lang w:val="fr-FR"/>
        </w:rPr>
        <w:t>est entretenu tous les jours au téléphone avec l</w:t>
      </w:r>
      <w:r>
        <w:rPr>
          <w:lang w:val="fr-FR"/>
        </w:rPr>
        <w:t>’</w:t>
      </w:r>
      <w:r w:rsidRPr="006E39C2">
        <w:rPr>
          <w:lang w:val="fr-FR"/>
        </w:rPr>
        <w:t>auteure jusqu</w:t>
      </w:r>
      <w:r>
        <w:rPr>
          <w:lang w:val="fr-FR"/>
        </w:rPr>
        <w:t>’</w:t>
      </w:r>
      <w:r w:rsidRPr="006E39C2">
        <w:rPr>
          <w:lang w:val="fr-FR"/>
        </w:rPr>
        <w:t>au 26</w:t>
      </w:r>
      <w:r>
        <w:rPr>
          <w:lang w:val="fr-FR"/>
        </w:rPr>
        <w:t> </w:t>
      </w:r>
      <w:r w:rsidRPr="006E39C2">
        <w:rPr>
          <w:lang w:val="fr-FR"/>
        </w:rPr>
        <w:t>septembre 2003. Après cette date, l</w:t>
      </w:r>
      <w:r>
        <w:rPr>
          <w:lang w:val="fr-FR"/>
        </w:rPr>
        <w:t>’</w:t>
      </w:r>
      <w:r w:rsidRPr="006E39C2">
        <w:rPr>
          <w:lang w:val="fr-FR"/>
        </w:rPr>
        <w:t>auteure n</w:t>
      </w:r>
      <w:r>
        <w:rPr>
          <w:lang w:val="fr-FR"/>
        </w:rPr>
        <w:t>’</w:t>
      </w:r>
      <w:r w:rsidRPr="006E39C2">
        <w:rPr>
          <w:lang w:val="fr-FR"/>
        </w:rPr>
        <w:t>est plus parvenue à le joindre.</w:t>
      </w:r>
    </w:p>
    <w:p w:rsidR="00D856C9" w:rsidRPr="006E39C2" w:rsidRDefault="00D856C9" w:rsidP="00D856C9">
      <w:pPr>
        <w:pStyle w:val="SingleTxtG"/>
        <w:rPr>
          <w:lang w:val="fr-FR"/>
        </w:rPr>
      </w:pPr>
      <w:r>
        <w:rPr>
          <w:lang w:val="fr-FR"/>
        </w:rPr>
        <w:t>2.3</w:t>
      </w:r>
      <w:r w:rsidRPr="006E39C2">
        <w:rPr>
          <w:lang w:val="fr-FR"/>
        </w:rPr>
        <w:tab/>
        <w:t>Comme l</w:t>
      </w:r>
      <w:r>
        <w:rPr>
          <w:lang w:val="fr-FR"/>
        </w:rPr>
        <w:t>’</w:t>
      </w:r>
      <w:r w:rsidRPr="006E39C2">
        <w:rPr>
          <w:lang w:val="fr-FR"/>
        </w:rPr>
        <w:t>auteure savait que son mari avait rendez-vous avec un ami à la porte de</w:t>
      </w:r>
      <w:r>
        <w:rPr>
          <w:lang w:val="fr-FR"/>
        </w:rPr>
        <w:t> </w:t>
      </w:r>
      <w:proofErr w:type="spellStart"/>
      <w:r w:rsidRPr="006E39C2">
        <w:rPr>
          <w:lang w:val="fr-FR"/>
        </w:rPr>
        <w:t>Shantinagar</w:t>
      </w:r>
      <w:proofErr w:type="spellEnd"/>
      <w:r w:rsidRPr="006E39C2">
        <w:rPr>
          <w:lang w:val="fr-FR"/>
        </w:rPr>
        <w:t xml:space="preserve"> le 27</w:t>
      </w:r>
      <w:r>
        <w:rPr>
          <w:lang w:val="fr-FR"/>
        </w:rPr>
        <w:t> </w:t>
      </w:r>
      <w:r w:rsidRPr="006E39C2">
        <w:rPr>
          <w:lang w:val="fr-FR"/>
        </w:rPr>
        <w:t>septembre 2003, elle s</w:t>
      </w:r>
      <w:r>
        <w:rPr>
          <w:lang w:val="fr-FR"/>
        </w:rPr>
        <w:t>’</w:t>
      </w:r>
      <w:r w:rsidRPr="006E39C2">
        <w:rPr>
          <w:lang w:val="fr-FR"/>
        </w:rPr>
        <w:t>y est rendue. Cependant, un pompiste lui a dit qu</w:t>
      </w:r>
      <w:r>
        <w:rPr>
          <w:lang w:val="fr-FR"/>
        </w:rPr>
        <w:t>’</w:t>
      </w:r>
      <w:r w:rsidRPr="006E39C2">
        <w:rPr>
          <w:lang w:val="fr-FR"/>
        </w:rPr>
        <w:t>il avait vu un homme, qui correspondait à la description de son mari, être arrêté et emmené par un groupe de personnes en civil. L</w:t>
      </w:r>
      <w:r>
        <w:rPr>
          <w:lang w:val="fr-FR"/>
        </w:rPr>
        <w:t>’</w:t>
      </w:r>
      <w:r w:rsidRPr="006E39C2">
        <w:rPr>
          <w:lang w:val="fr-FR"/>
        </w:rPr>
        <w:t>auteure a supposé que son mari avait été emmené par l</w:t>
      </w:r>
      <w:r>
        <w:rPr>
          <w:lang w:val="fr-FR"/>
        </w:rPr>
        <w:t>’</w:t>
      </w:r>
      <w:r w:rsidRPr="006E39C2" w:rsidDel="009742D9">
        <w:rPr>
          <w:lang w:val="fr-FR"/>
        </w:rPr>
        <w:t>A</w:t>
      </w:r>
      <w:r w:rsidRPr="006E39C2">
        <w:rPr>
          <w:lang w:val="fr-FR"/>
        </w:rPr>
        <w:t>rmée, ce qui était arrivé à beaucoup d</w:t>
      </w:r>
      <w:r>
        <w:rPr>
          <w:lang w:val="fr-FR"/>
        </w:rPr>
        <w:t>’</w:t>
      </w:r>
      <w:r w:rsidRPr="006E39C2">
        <w:rPr>
          <w:lang w:val="fr-FR"/>
        </w:rPr>
        <w:t xml:space="preserve">autres sympathisants maoïstes. </w:t>
      </w:r>
    </w:p>
    <w:p w:rsidR="00D856C9" w:rsidRPr="006E39C2" w:rsidRDefault="00D856C9" w:rsidP="00D856C9">
      <w:pPr>
        <w:pStyle w:val="SingleTxtG"/>
        <w:rPr>
          <w:lang w:val="fr-FR"/>
        </w:rPr>
      </w:pPr>
      <w:r>
        <w:rPr>
          <w:lang w:val="fr-FR"/>
        </w:rPr>
        <w:t>2.4</w:t>
      </w:r>
      <w:r w:rsidRPr="006E39C2">
        <w:rPr>
          <w:lang w:val="fr-FR"/>
        </w:rPr>
        <w:tab/>
        <w:t>Le 28</w:t>
      </w:r>
      <w:r>
        <w:rPr>
          <w:lang w:val="fr-FR"/>
        </w:rPr>
        <w:t> </w:t>
      </w:r>
      <w:r w:rsidRPr="006E39C2">
        <w:rPr>
          <w:lang w:val="fr-FR"/>
        </w:rPr>
        <w:t>septembre 2003, l</w:t>
      </w:r>
      <w:r>
        <w:rPr>
          <w:lang w:val="fr-FR"/>
        </w:rPr>
        <w:t>’</w:t>
      </w:r>
      <w:r w:rsidRPr="006E39C2">
        <w:rPr>
          <w:lang w:val="fr-FR"/>
        </w:rPr>
        <w:t>auteure a essayé de signaler l</w:t>
      </w:r>
      <w:r>
        <w:rPr>
          <w:lang w:val="fr-FR"/>
        </w:rPr>
        <w:t>’</w:t>
      </w:r>
      <w:r w:rsidRPr="006E39C2">
        <w:rPr>
          <w:lang w:val="fr-FR"/>
        </w:rPr>
        <w:t xml:space="preserve">arrestation arbitraire de son mari au Bureau de la police de district à </w:t>
      </w:r>
      <w:proofErr w:type="spellStart"/>
      <w:r w:rsidRPr="006E39C2">
        <w:rPr>
          <w:lang w:val="fr-FR"/>
        </w:rPr>
        <w:t>Hanumandhoka</w:t>
      </w:r>
      <w:proofErr w:type="spellEnd"/>
      <w:r w:rsidRPr="006E39C2">
        <w:rPr>
          <w:lang w:val="fr-FR"/>
        </w:rPr>
        <w:t xml:space="preserve"> (Katmandou), mais on lui a dit que ces «incidents» ne relevaient pas de la compétence de la police. Le même jour, elle s</w:t>
      </w:r>
      <w:r>
        <w:rPr>
          <w:lang w:val="fr-FR"/>
        </w:rPr>
        <w:t>’</w:t>
      </w:r>
      <w:r w:rsidRPr="006E39C2">
        <w:rPr>
          <w:lang w:val="fr-FR"/>
        </w:rPr>
        <w:t>est rendue dans plusieurs casernes de l</w:t>
      </w:r>
      <w:r>
        <w:rPr>
          <w:lang w:val="fr-FR"/>
        </w:rPr>
        <w:t>’</w:t>
      </w:r>
      <w:r w:rsidRPr="006E39C2" w:rsidDel="009742D9">
        <w:rPr>
          <w:lang w:val="fr-FR"/>
        </w:rPr>
        <w:t>a</w:t>
      </w:r>
      <w:r w:rsidRPr="006E39C2">
        <w:rPr>
          <w:lang w:val="fr-FR"/>
        </w:rPr>
        <w:t>rmée dans la vallée de Katmandou pour tenter de savoir ce qu</w:t>
      </w:r>
      <w:r>
        <w:rPr>
          <w:lang w:val="fr-FR"/>
        </w:rPr>
        <w:t>’</w:t>
      </w:r>
      <w:r w:rsidRPr="006E39C2">
        <w:rPr>
          <w:lang w:val="fr-FR"/>
        </w:rPr>
        <w:t>était devenu son mari, sans succès. Elle a continué de se rendre régulièrement dans ces casernes jusqu</w:t>
      </w:r>
      <w:r>
        <w:rPr>
          <w:lang w:val="fr-FR"/>
        </w:rPr>
        <w:t>’</w:t>
      </w:r>
      <w:r w:rsidRPr="006E39C2">
        <w:rPr>
          <w:lang w:val="fr-FR"/>
        </w:rPr>
        <w:t>à la signature, en mai 2006, de l</w:t>
      </w:r>
      <w:r>
        <w:rPr>
          <w:lang w:val="fr-FR"/>
        </w:rPr>
        <w:t>’</w:t>
      </w:r>
      <w:r w:rsidRPr="006E39C2">
        <w:rPr>
          <w:lang w:val="fr-FR"/>
        </w:rPr>
        <w:t>accord de cessez-le feu entre le PCN-M et l</w:t>
      </w:r>
      <w:r>
        <w:rPr>
          <w:lang w:val="fr-FR"/>
        </w:rPr>
        <w:t>’</w:t>
      </w:r>
      <w:r w:rsidRPr="006E39C2">
        <w:rPr>
          <w:lang w:val="fr-FR"/>
        </w:rPr>
        <w:t>Alliance des sept partis. Même si elle n</w:t>
      </w:r>
      <w:r>
        <w:rPr>
          <w:lang w:val="fr-FR"/>
        </w:rPr>
        <w:t>’</w:t>
      </w:r>
      <w:r w:rsidRPr="006E39C2">
        <w:rPr>
          <w:lang w:val="fr-FR"/>
        </w:rPr>
        <w:t>a jamais été harcelée ni menacée, chaque fois qu</w:t>
      </w:r>
      <w:r>
        <w:rPr>
          <w:lang w:val="fr-FR"/>
        </w:rPr>
        <w:t>’</w:t>
      </w:r>
      <w:r w:rsidRPr="006E39C2">
        <w:rPr>
          <w:lang w:val="fr-FR"/>
        </w:rPr>
        <w:t>elle s</w:t>
      </w:r>
      <w:r>
        <w:rPr>
          <w:lang w:val="fr-FR"/>
        </w:rPr>
        <w:t>’</w:t>
      </w:r>
      <w:r w:rsidRPr="006E39C2">
        <w:rPr>
          <w:lang w:val="fr-FR"/>
        </w:rPr>
        <w:t>est rendue dans les casernes, elle s</w:t>
      </w:r>
      <w:r>
        <w:rPr>
          <w:lang w:val="fr-FR"/>
        </w:rPr>
        <w:t>’</w:t>
      </w:r>
      <w:r w:rsidRPr="006E39C2">
        <w:rPr>
          <w:lang w:val="fr-FR"/>
        </w:rPr>
        <w:t>est heurtée à la parfaite indifférence des officiers de l</w:t>
      </w:r>
      <w:r>
        <w:rPr>
          <w:lang w:val="fr-FR"/>
        </w:rPr>
        <w:t>’</w:t>
      </w:r>
      <w:r w:rsidRPr="006E39C2" w:rsidDel="009742D9">
        <w:rPr>
          <w:lang w:val="fr-FR"/>
        </w:rPr>
        <w:t>a</w:t>
      </w:r>
      <w:r w:rsidRPr="006E39C2">
        <w:rPr>
          <w:lang w:val="fr-FR"/>
        </w:rPr>
        <w:t xml:space="preserve">rmée. </w:t>
      </w:r>
    </w:p>
    <w:p w:rsidR="00D856C9" w:rsidRPr="006E39C2" w:rsidRDefault="00D856C9" w:rsidP="00D856C9">
      <w:pPr>
        <w:pStyle w:val="SingleTxtG"/>
        <w:rPr>
          <w:lang w:val="fr-FR"/>
        </w:rPr>
      </w:pPr>
      <w:r>
        <w:rPr>
          <w:lang w:val="fr-FR"/>
        </w:rPr>
        <w:t>2.5</w:t>
      </w:r>
      <w:r w:rsidRPr="006E39C2">
        <w:rPr>
          <w:lang w:val="fr-FR"/>
        </w:rPr>
        <w:tab/>
      </w:r>
      <w:r w:rsidRPr="0054106C">
        <w:rPr>
          <w:spacing w:val="-1"/>
          <w:lang w:val="fr-FR"/>
        </w:rPr>
        <w:t>Le 29 septembre et le 1</w:t>
      </w:r>
      <w:r w:rsidRPr="0054106C">
        <w:rPr>
          <w:spacing w:val="-1"/>
          <w:vertAlign w:val="superscript"/>
          <w:lang w:val="fr-FR"/>
        </w:rPr>
        <w:t>er</w:t>
      </w:r>
      <w:r w:rsidRPr="0054106C">
        <w:rPr>
          <w:spacing w:val="-1"/>
          <w:lang w:val="fr-FR"/>
        </w:rPr>
        <w:t> octobre 2003, respectivement, un avocat agissant de sa propre initiative, M. S. P., et l</w:t>
      </w:r>
      <w:r>
        <w:rPr>
          <w:spacing w:val="-1"/>
          <w:lang w:val="fr-FR"/>
        </w:rPr>
        <w:t>’</w:t>
      </w:r>
      <w:r w:rsidRPr="0054106C">
        <w:rPr>
          <w:spacing w:val="-1"/>
          <w:lang w:val="fr-FR"/>
        </w:rPr>
        <w:t xml:space="preserve">auteure ont saisi la Cour suprême de requêtes en </w:t>
      </w:r>
      <w:r w:rsidRPr="0054106C">
        <w:rPr>
          <w:i/>
          <w:spacing w:val="-1"/>
          <w:lang w:val="fr-FR"/>
        </w:rPr>
        <w:t>habeas corpus</w:t>
      </w:r>
      <w:r w:rsidRPr="0054106C">
        <w:rPr>
          <w:spacing w:val="-1"/>
          <w:lang w:val="fr-FR"/>
        </w:rPr>
        <w:t xml:space="preserve"> concernant M.</w:t>
      </w:r>
      <w:r>
        <w:rPr>
          <w:spacing w:val="-1"/>
          <w:lang w:val="fr-FR"/>
        </w:rPr>
        <w:t> </w:t>
      </w:r>
      <w:proofErr w:type="spellStart"/>
      <w:r w:rsidRPr="0054106C">
        <w:rPr>
          <w:spacing w:val="-1"/>
          <w:lang w:val="fr-FR"/>
        </w:rPr>
        <w:t>Tripathi</w:t>
      </w:r>
      <w:proofErr w:type="spellEnd"/>
      <w:r w:rsidRPr="0054106C">
        <w:rPr>
          <w:spacing w:val="-1"/>
          <w:lang w:val="fr-FR"/>
        </w:rPr>
        <w:t>. L</w:t>
      </w:r>
      <w:r>
        <w:rPr>
          <w:spacing w:val="-1"/>
          <w:lang w:val="fr-FR"/>
        </w:rPr>
        <w:t>’</w:t>
      </w:r>
      <w:r w:rsidRPr="0054106C">
        <w:rPr>
          <w:spacing w:val="-1"/>
          <w:lang w:val="fr-FR"/>
        </w:rPr>
        <w:t>auteure a fait valoir que son mari avait été détenu illégalement par les forces de sécurité et a demandé à la Cour d</w:t>
      </w:r>
      <w:r>
        <w:rPr>
          <w:spacing w:val="-1"/>
          <w:lang w:val="fr-FR"/>
        </w:rPr>
        <w:t>’</w:t>
      </w:r>
      <w:r w:rsidRPr="0054106C">
        <w:rPr>
          <w:spacing w:val="-1"/>
          <w:lang w:val="fr-FR"/>
        </w:rPr>
        <w:t>ordonner sa remise en liberté.</w:t>
      </w:r>
    </w:p>
    <w:p w:rsidR="00D856C9" w:rsidRPr="006E39C2" w:rsidRDefault="00D856C9" w:rsidP="00D856C9">
      <w:pPr>
        <w:pStyle w:val="SingleTxtG"/>
        <w:rPr>
          <w:lang w:val="fr-FR"/>
        </w:rPr>
      </w:pPr>
      <w:r>
        <w:rPr>
          <w:lang w:val="fr-FR"/>
        </w:rPr>
        <w:t>2.6</w:t>
      </w:r>
      <w:r w:rsidRPr="006E39C2">
        <w:rPr>
          <w:lang w:val="fr-FR"/>
        </w:rPr>
        <w:tab/>
        <w:t>Le 30</w:t>
      </w:r>
      <w:r>
        <w:rPr>
          <w:lang w:val="fr-FR"/>
        </w:rPr>
        <w:t> </w:t>
      </w:r>
      <w:r w:rsidRPr="006E39C2">
        <w:rPr>
          <w:lang w:val="fr-FR"/>
        </w:rPr>
        <w:t>septembre et le 1</w:t>
      </w:r>
      <w:r w:rsidRPr="006E39C2">
        <w:rPr>
          <w:vertAlign w:val="superscript"/>
          <w:lang w:val="fr-FR"/>
        </w:rPr>
        <w:t>er</w:t>
      </w:r>
      <w:r>
        <w:rPr>
          <w:lang w:val="fr-FR"/>
        </w:rPr>
        <w:t> </w:t>
      </w:r>
      <w:r w:rsidRPr="006E39C2">
        <w:rPr>
          <w:lang w:val="fr-FR"/>
        </w:rPr>
        <w:t>octobre 2003, la police, l</w:t>
      </w:r>
      <w:r>
        <w:rPr>
          <w:lang w:val="fr-FR"/>
        </w:rPr>
        <w:t>’</w:t>
      </w:r>
      <w:r w:rsidRPr="006E39C2" w:rsidDel="009742D9">
        <w:rPr>
          <w:lang w:val="fr-FR"/>
        </w:rPr>
        <w:t>a</w:t>
      </w:r>
      <w:r w:rsidRPr="006E39C2">
        <w:rPr>
          <w:lang w:val="fr-FR"/>
        </w:rPr>
        <w:t>rmée et le</w:t>
      </w:r>
      <w:r>
        <w:rPr>
          <w:lang w:val="fr-FR"/>
        </w:rPr>
        <w:t> </w:t>
      </w:r>
      <w:r w:rsidRPr="006E39C2">
        <w:rPr>
          <w:lang w:val="fr-FR"/>
        </w:rPr>
        <w:t>Ministère des affaires intérieures, entre autres autorités, ont informé la Cour suprême qu</w:t>
      </w:r>
      <w:r>
        <w:rPr>
          <w:lang w:val="fr-FR"/>
        </w:rPr>
        <w:t>’</w:t>
      </w:r>
      <w:r w:rsidRPr="006E39C2">
        <w:rPr>
          <w:lang w:val="fr-FR"/>
        </w:rPr>
        <w:t>ils n</w:t>
      </w:r>
      <w:r>
        <w:rPr>
          <w:lang w:val="fr-FR"/>
        </w:rPr>
        <w:t>’</w:t>
      </w:r>
      <w:r w:rsidRPr="006E39C2">
        <w:rPr>
          <w:lang w:val="fr-FR"/>
        </w:rPr>
        <w:t>avaient pas arrêté ni détenu M.</w:t>
      </w:r>
      <w:r>
        <w:rPr>
          <w:lang w:val="fr-FR"/>
        </w:rPr>
        <w:t> </w:t>
      </w:r>
      <w:proofErr w:type="spellStart"/>
      <w:r w:rsidRPr="006E39C2">
        <w:rPr>
          <w:lang w:val="fr-FR"/>
        </w:rPr>
        <w:t>Tripathi</w:t>
      </w:r>
      <w:proofErr w:type="spellEnd"/>
      <w:r w:rsidRPr="006E39C2">
        <w:rPr>
          <w:lang w:val="fr-FR"/>
        </w:rPr>
        <w:t>. Dans les semaines qui ont suivi, d</w:t>
      </w:r>
      <w:r>
        <w:rPr>
          <w:lang w:val="fr-FR"/>
        </w:rPr>
        <w:t>’</w:t>
      </w:r>
      <w:r w:rsidRPr="006E39C2">
        <w:rPr>
          <w:lang w:val="fr-FR"/>
        </w:rPr>
        <w:t>autres autorités ont également affirmé qu</w:t>
      </w:r>
      <w:r>
        <w:rPr>
          <w:lang w:val="fr-FR"/>
        </w:rPr>
        <w:t>’</w:t>
      </w:r>
      <w:r w:rsidRPr="006E39C2">
        <w:rPr>
          <w:lang w:val="fr-FR"/>
        </w:rPr>
        <w:t>elles ne l</w:t>
      </w:r>
      <w:r>
        <w:rPr>
          <w:lang w:val="fr-FR"/>
        </w:rPr>
        <w:t>’</w:t>
      </w:r>
      <w:r w:rsidRPr="006E39C2">
        <w:rPr>
          <w:lang w:val="fr-FR"/>
        </w:rPr>
        <w:t>avaient pas détenu. En octobre 2003, l</w:t>
      </w:r>
      <w:r>
        <w:rPr>
          <w:lang w:val="fr-FR"/>
        </w:rPr>
        <w:t>’</w:t>
      </w:r>
      <w:r w:rsidRPr="006E39C2">
        <w:rPr>
          <w:lang w:val="fr-FR"/>
        </w:rPr>
        <w:t>auteure a aussi signalé la détention arbitraire de son mari à la Commission nationale des droits de l</w:t>
      </w:r>
      <w:r>
        <w:rPr>
          <w:lang w:val="fr-FR"/>
        </w:rPr>
        <w:t>’</w:t>
      </w:r>
      <w:r w:rsidRPr="006E39C2">
        <w:rPr>
          <w:lang w:val="fr-FR"/>
        </w:rPr>
        <w:t>homme et a demandé à celle-ci de l</w:t>
      </w:r>
      <w:r>
        <w:rPr>
          <w:lang w:val="fr-FR"/>
        </w:rPr>
        <w:t>’</w:t>
      </w:r>
      <w:r w:rsidRPr="006E39C2">
        <w:rPr>
          <w:lang w:val="fr-FR"/>
        </w:rPr>
        <w:t>aider à obtenir sa libération</w:t>
      </w:r>
      <w:r>
        <w:rPr>
          <w:lang w:val="fr-FR"/>
        </w:rPr>
        <w:t>.</w:t>
      </w:r>
    </w:p>
    <w:p w:rsidR="00D856C9" w:rsidRPr="006E39C2" w:rsidRDefault="00D856C9" w:rsidP="00D856C9">
      <w:pPr>
        <w:pStyle w:val="SingleTxtG"/>
        <w:rPr>
          <w:lang w:val="fr-FR"/>
        </w:rPr>
      </w:pPr>
      <w:r>
        <w:rPr>
          <w:lang w:val="fr-FR"/>
        </w:rPr>
        <w:t>2.7</w:t>
      </w:r>
      <w:r w:rsidRPr="006E39C2">
        <w:rPr>
          <w:lang w:val="fr-FR"/>
        </w:rPr>
        <w:tab/>
        <w:t>Le 13</w:t>
      </w:r>
      <w:r>
        <w:rPr>
          <w:lang w:val="fr-FR"/>
        </w:rPr>
        <w:t> </w:t>
      </w:r>
      <w:r w:rsidRPr="006E39C2">
        <w:rPr>
          <w:lang w:val="fr-FR"/>
        </w:rPr>
        <w:t>novembre 2003, le Ministère de la défense, sans donner de détail ni d</w:t>
      </w:r>
      <w:r>
        <w:rPr>
          <w:lang w:val="fr-FR"/>
        </w:rPr>
        <w:t>’</w:t>
      </w:r>
      <w:r w:rsidRPr="006E39C2">
        <w:rPr>
          <w:lang w:val="fr-FR"/>
        </w:rPr>
        <w:t>explication, a informé la Cour suprême qu</w:t>
      </w:r>
      <w:r>
        <w:rPr>
          <w:lang w:val="fr-FR"/>
        </w:rPr>
        <w:t>’</w:t>
      </w:r>
      <w:r w:rsidRPr="006E39C2">
        <w:rPr>
          <w:lang w:val="fr-FR"/>
        </w:rPr>
        <w:t xml:space="preserve">il avait conclu </w:t>
      </w:r>
      <w:r w:rsidRPr="00E6433C">
        <w:rPr>
          <w:lang w:val="fr-FR"/>
        </w:rPr>
        <w:t xml:space="preserve">des informations disponibles </w:t>
      </w:r>
      <w:r w:rsidRPr="006E39C2">
        <w:rPr>
          <w:lang w:val="fr-FR"/>
        </w:rPr>
        <w:t xml:space="preserve">que </w:t>
      </w:r>
      <w:proofErr w:type="spellStart"/>
      <w:r w:rsidRPr="006E39C2">
        <w:rPr>
          <w:lang w:val="fr-FR"/>
        </w:rPr>
        <w:t>Gyanendra</w:t>
      </w:r>
      <w:proofErr w:type="spellEnd"/>
      <w:r w:rsidRPr="006E39C2">
        <w:rPr>
          <w:lang w:val="fr-FR"/>
        </w:rPr>
        <w:t xml:space="preserve"> </w:t>
      </w:r>
      <w:proofErr w:type="spellStart"/>
      <w:r w:rsidRPr="006E39C2">
        <w:rPr>
          <w:lang w:val="fr-FR"/>
        </w:rPr>
        <w:t>Tripathi</w:t>
      </w:r>
      <w:proofErr w:type="spellEnd"/>
      <w:r w:rsidRPr="006E39C2">
        <w:rPr>
          <w:lang w:val="fr-FR"/>
        </w:rPr>
        <w:t xml:space="preserve"> n</w:t>
      </w:r>
      <w:r>
        <w:rPr>
          <w:lang w:val="fr-FR"/>
        </w:rPr>
        <w:t>’</w:t>
      </w:r>
      <w:r w:rsidRPr="006E39C2">
        <w:rPr>
          <w:lang w:val="fr-FR"/>
        </w:rPr>
        <w:t>était pas détenu par l</w:t>
      </w:r>
      <w:r>
        <w:rPr>
          <w:lang w:val="fr-FR"/>
        </w:rPr>
        <w:t>’</w:t>
      </w:r>
      <w:r w:rsidRPr="006E39C2">
        <w:rPr>
          <w:lang w:val="fr-FR"/>
        </w:rPr>
        <w:t xml:space="preserve">Armée. </w:t>
      </w:r>
    </w:p>
    <w:p w:rsidR="00D856C9" w:rsidRPr="006E39C2" w:rsidRDefault="00D856C9" w:rsidP="00D856C9">
      <w:pPr>
        <w:pStyle w:val="SingleTxtG"/>
        <w:rPr>
          <w:lang w:val="fr-FR"/>
        </w:rPr>
      </w:pPr>
      <w:r>
        <w:rPr>
          <w:lang w:val="fr-FR"/>
        </w:rPr>
        <w:t>2.8</w:t>
      </w:r>
      <w:r w:rsidRPr="006E39C2">
        <w:rPr>
          <w:lang w:val="fr-FR"/>
        </w:rPr>
        <w:tab/>
        <w:t>Le 26</w:t>
      </w:r>
      <w:r>
        <w:rPr>
          <w:lang w:val="fr-FR"/>
        </w:rPr>
        <w:t> </w:t>
      </w:r>
      <w:r w:rsidRPr="006E39C2">
        <w:rPr>
          <w:lang w:val="fr-FR"/>
        </w:rPr>
        <w:t xml:space="preserve">janvier 2004, la Cour suprême a annulé les requêtes en </w:t>
      </w:r>
      <w:r w:rsidRPr="006E39C2">
        <w:rPr>
          <w:i/>
          <w:lang w:val="fr-FR"/>
        </w:rPr>
        <w:t>habeas corpus</w:t>
      </w:r>
      <w:r w:rsidRPr="006E39C2">
        <w:rPr>
          <w:lang w:val="fr-FR"/>
        </w:rPr>
        <w:t xml:space="preserve"> soumises par l</w:t>
      </w:r>
      <w:r>
        <w:rPr>
          <w:lang w:val="fr-FR"/>
        </w:rPr>
        <w:t>’</w:t>
      </w:r>
      <w:r w:rsidRPr="006E39C2">
        <w:rPr>
          <w:lang w:val="fr-FR"/>
        </w:rPr>
        <w:t>auteure et M.</w:t>
      </w:r>
      <w:r>
        <w:rPr>
          <w:lang w:val="fr-FR"/>
        </w:rPr>
        <w:t> </w:t>
      </w:r>
      <w:r w:rsidRPr="006E39C2">
        <w:rPr>
          <w:lang w:val="fr-FR"/>
        </w:rPr>
        <w:t>S.</w:t>
      </w:r>
      <w:r>
        <w:rPr>
          <w:lang w:val="fr-FR"/>
        </w:rPr>
        <w:t> </w:t>
      </w:r>
      <w:r w:rsidRPr="006E39C2">
        <w:rPr>
          <w:lang w:val="fr-FR"/>
        </w:rPr>
        <w:t>P. Elle a indiqué que ceux-ci n</w:t>
      </w:r>
      <w:r>
        <w:rPr>
          <w:lang w:val="fr-FR"/>
        </w:rPr>
        <w:t>’</w:t>
      </w:r>
      <w:r w:rsidRPr="006E39C2">
        <w:rPr>
          <w:lang w:val="fr-FR"/>
        </w:rPr>
        <w:t>avaient pas montré que M. </w:t>
      </w:r>
      <w:proofErr w:type="spellStart"/>
      <w:r w:rsidRPr="006E39C2">
        <w:rPr>
          <w:lang w:val="fr-FR"/>
        </w:rPr>
        <w:t>Tripathi</w:t>
      </w:r>
      <w:proofErr w:type="spellEnd"/>
      <w:r w:rsidRPr="006E39C2">
        <w:rPr>
          <w:lang w:val="fr-FR"/>
        </w:rPr>
        <w:t xml:space="preserve"> était détenu ni par qui il l</w:t>
      </w:r>
      <w:r>
        <w:rPr>
          <w:lang w:val="fr-FR"/>
        </w:rPr>
        <w:t>’</w:t>
      </w:r>
      <w:r w:rsidRPr="006E39C2">
        <w:rPr>
          <w:lang w:val="fr-FR"/>
        </w:rPr>
        <w:t>était, que, pour qu</w:t>
      </w:r>
      <w:r>
        <w:rPr>
          <w:lang w:val="fr-FR"/>
        </w:rPr>
        <w:t>’</w:t>
      </w:r>
      <w:r w:rsidRPr="006E39C2">
        <w:rPr>
          <w:lang w:val="fr-FR"/>
        </w:rPr>
        <w:t xml:space="preserve">un mandat de perquisition soit délivré, les requérants doivent aider la Cour en identifiant le lieu </w:t>
      </w:r>
      <w:proofErr w:type="spellStart"/>
      <w:r w:rsidRPr="006E39C2">
        <w:rPr>
          <w:lang w:val="fr-FR"/>
        </w:rPr>
        <w:t>ou</w:t>
      </w:r>
      <w:proofErr w:type="spellEnd"/>
      <w:r w:rsidRPr="006E39C2">
        <w:rPr>
          <w:lang w:val="fr-FR"/>
        </w:rPr>
        <w:t xml:space="preserve"> l</w:t>
      </w:r>
      <w:r>
        <w:rPr>
          <w:lang w:val="fr-FR"/>
        </w:rPr>
        <w:t>’</w:t>
      </w:r>
      <w:r w:rsidRPr="006E39C2">
        <w:rPr>
          <w:lang w:val="fr-FR"/>
        </w:rPr>
        <w:t>organisme à perquisitionner, et que c</w:t>
      </w:r>
      <w:r>
        <w:rPr>
          <w:lang w:val="fr-FR"/>
        </w:rPr>
        <w:t>’</w:t>
      </w:r>
      <w:r w:rsidRPr="006E39C2">
        <w:rPr>
          <w:lang w:val="fr-FR"/>
        </w:rPr>
        <w:t>est seulement une fois q</w:t>
      </w:r>
      <w:r>
        <w:rPr>
          <w:lang w:val="fr-FR"/>
        </w:rPr>
        <w:t xml:space="preserve">ue l’on saurait où se trouvait </w:t>
      </w:r>
      <w:r w:rsidRPr="006E39C2">
        <w:rPr>
          <w:lang w:val="fr-FR"/>
        </w:rPr>
        <w:t>le détenu qu</w:t>
      </w:r>
      <w:r>
        <w:rPr>
          <w:lang w:val="fr-FR"/>
        </w:rPr>
        <w:t>’</w:t>
      </w:r>
      <w:r w:rsidRPr="006E39C2">
        <w:rPr>
          <w:lang w:val="fr-FR"/>
        </w:rPr>
        <w:t xml:space="preserve">une nouvelle requête en </w:t>
      </w:r>
      <w:r w:rsidRPr="006E39C2">
        <w:rPr>
          <w:i/>
          <w:lang w:val="fr-FR"/>
        </w:rPr>
        <w:t>habeas corpus</w:t>
      </w:r>
      <w:r w:rsidRPr="006E39C2">
        <w:rPr>
          <w:lang w:val="fr-FR"/>
        </w:rPr>
        <w:t xml:space="preserve"> pourrait être soumise. La Cour a conclu qu</w:t>
      </w:r>
      <w:r>
        <w:rPr>
          <w:lang w:val="fr-FR"/>
        </w:rPr>
        <w:t>’</w:t>
      </w:r>
      <w:r w:rsidRPr="006E39C2">
        <w:rPr>
          <w:lang w:val="fr-FR"/>
        </w:rPr>
        <w:t>il n</w:t>
      </w:r>
      <w:r>
        <w:rPr>
          <w:lang w:val="fr-FR"/>
        </w:rPr>
        <w:t>’</w:t>
      </w:r>
      <w:r w:rsidRPr="006E39C2">
        <w:rPr>
          <w:lang w:val="fr-FR"/>
        </w:rPr>
        <w:t>était pas nécessaire de mene</w:t>
      </w:r>
      <w:r>
        <w:rPr>
          <w:lang w:val="fr-FR"/>
        </w:rPr>
        <w:t>r des enquêtes complémentaires.</w:t>
      </w:r>
    </w:p>
    <w:p w:rsidR="00D856C9" w:rsidRPr="006E39C2" w:rsidRDefault="00D856C9" w:rsidP="00D856C9">
      <w:pPr>
        <w:pStyle w:val="SingleTxtG"/>
        <w:rPr>
          <w:lang w:val="fr-FR"/>
        </w:rPr>
      </w:pPr>
      <w:r>
        <w:rPr>
          <w:lang w:val="fr-FR"/>
        </w:rPr>
        <w:t>2.9</w:t>
      </w:r>
      <w:r w:rsidRPr="006E39C2">
        <w:rPr>
          <w:lang w:val="fr-FR"/>
        </w:rPr>
        <w:tab/>
        <w:t>En mai</w:t>
      </w:r>
      <w:r>
        <w:rPr>
          <w:lang w:val="fr-FR"/>
        </w:rPr>
        <w:t> </w:t>
      </w:r>
      <w:r w:rsidRPr="006E39C2">
        <w:rPr>
          <w:lang w:val="fr-FR"/>
        </w:rPr>
        <w:t>2006, le Bureau du Haut-Commissariat des Nations Unies aux droits de l</w:t>
      </w:r>
      <w:r>
        <w:rPr>
          <w:lang w:val="fr-FR"/>
        </w:rPr>
        <w:t>’</w:t>
      </w:r>
      <w:r w:rsidRPr="006E39C2">
        <w:rPr>
          <w:lang w:val="fr-FR"/>
        </w:rPr>
        <w:t xml:space="preserve">homme (HCDH) au Népal a publié un </w:t>
      </w:r>
      <w:r w:rsidRPr="006E39C2" w:rsidDel="009742D9">
        <w:rPr>
          <w:lang w:val="fr-FR"/>
        </w:rPr>
        <w:t>r</w:t>
      </w:r>
      <w:r w:rsidRPr="006E39C2">
        <w:rPr>
          <w:lang w:val="fr-FR"/>
        </w:rPr>
        <w:t>apport d</w:t>
      </w:r>
      <w:r>
        <w:rPr>
          <w:lang w:val="fr-FR"/>
        </w:rPr>
        <w:t>’</w:t>
      </w:r>
      <w:r w:rsidRPr="006E39C2">
        <w:rPr>
          <w:lang w:val="fr-FR"/>
        </w:rPr>
        <w:t xml:space="preserve">enquête sur la détention arbitraire, la torture et les disparitions à la caserne de </w:t>
      </w:r>
      <w:proofErr w:type="spellStart"/>
      <w:r w:rsidRPr="006E39C2">
        <w:rPr>
          <w:lang w:val="fr-FR"/>
        </w:rPr>
        <w:t>Maharajgunj</w:t>
      </w:r>
      <w:proofErr w:type="spellEnd"/>
      <w:r w:rsidRPr="006E39C2">
        <w:rPr>
          <w:lang w:val="fr-FR"/>
        </w:rPr>
        <w:t xml:space="preserve"> (Katmandou) en 2003 et 2004. Ce</w:t>
      </w:r>
      <w:r>
        <w:rPr>
          <w:lang w:val="fr-FR"/>
        </w:rPr>
        <w:t> </w:t>
      </w:r>
      <w:r w:rsidRPr="006E39C2">
        <w:rPr>
          <w:lang w:val="fr-FR"/>
        </w:rPr>
        <w:t>rapport contenait une liste de personnes disparues dans laquelle figurait le nom de</w:t>
      </w:r>
      <w:r>
        <w:rPr>
          <w:lang w:val="fr-FR"/>
        </w:rPr>
        <w:t> </w:t>
      </w:r>
      <w:r w:rsidRPr="006E39C2">
        <w:rPr>
          <w:lang w:val="fr-FR"/>
        </w:rPr>
        <w:t>M. </w:t>
      </w:r>
      <w:proofErr w:type="spellStart"/>
      <w:r w:rsidRPr="006E39C2">
        <w:rPr>
          <w:lang w:val="fr-FR"/>
        </w:rPr>
        <w:t>Tripathi</w:t>
      </w:r>
      <w:proofErr w:type="spellEnd"/>
      <w:r w:rsidRPr="006E39C2">
        <w:rPr>
          <w:lang w:val="fr-FR"/>
        </w:rPr>
        <w:t xml:space="preserve"> et indiquait que des membres du bataillon </w:t>
      </w:r>
      <w:proofErr w:type="spellStart"/>
      <w:r w:rsidRPr="006E39C2">
        <w:rPr>
          <w:lang w:val="fr-FR"/>
        </w:rPr>
        <w:t>Bhairabnath</w:t>
      </w:r>
      <w:proofErr w:type="spellEnd"/>
      <w:r w:rsidRPr="006E39C2">
        <w:rPr>
          <w:lang w:val="fr-FR"/>
        </w:rPr>
        <w:t xml:space="preserve"> avaient placé en détention plusieurs membres de l</w:t>
      </w:r>
      <w:r>
        <w:rPr>
          <w:lang w:val="fr-FR"/>
        </w:rPr>
        <w:t>’</w:t>
      </w:r>
      <w:r w:rsidRPr="006E39C2">
        <w:rPr>
          <w:lang w:val="fr-FR"/>
        </w:rPr>
        <w:t>ANNISU-R, que ceux-ci étaient au secret et que l</w:t>
      </w:r>
      <w:r>
        <w:rPr>
          <w:lang w:val="fr-FR"/>
        </w:rPr>
        <w:t>’</w:t>
      </w:r>
      <w:r w:rsidRPr="006E39C2">
        <w:rPr>
          <w:lang w:val="fr-FR"/>
        </w:rPr>
        <w:t>Armée affirmait à leurs familles ou aux autres autorités qu</w:t>
      </w:r>
      <w:r>
        <w:rPr>
          <w:lang w:val="fr-FR"/>
        </w:rPr>
        <w:t>’</w:t>
      </w:r>
      <w:r w:rsidRPr="006E39C2">
        <w:rPr>
          <w:lang w:val="fr-FR"/>
        </w:rPr>
        <w:t>elle ne les avaient pas détenus. Il</w:t>
      </w:r>
      <w:r>
        <w:rPr>
          <w:lang w:val="fr-FR"/>
        </w:rPr>
        <w:t> </w:t>
      </w:r>
      <w:r w:rsidRPr="006E39C2">
        <w:rPr>
          <w:lang w:val="fr-FR"/>
        </w:rPr>
        <w:t>indiquait également que M.</w:t>
      </w:r>
      <w:r>
        <w:rPr>
          <w:lang w:val="fr-FR"/>
        </w:rPr>
        <w:t> </w:t>
      </w:r>
      <w:proofErr w:type="spellStart"/>
      <w:r w:rsidRPr="006E39C2">
        <w:rPr>
          <w:lang w:val="fr-FR"/>
        </w:rPr>
        <w:t>Tripathi</w:t>
      </w:r>
      <w:proofErr w:type="spellEnd"/>
      <w:r w:rsidRPr="006E39C2">
        <w:rPr>
          <w:lang w:val="fr-FR"/>
        </w:rPr>
        <w:t xml:space="preserve"> était vivant et sous le contrôle du bataillon au moins jusqu</w:t>
      </w:r>
      <w:r>
        <w:rPr>
          <w:lang w:val="fr-FR"/>
        </w:rPr>
        <w:t>’</w:t>
      </w:r>
      <w:r w:rsidRPr="006E39C2">
        <w:rPr>
          <w:lang w:val="fr-FR"/>
        </w:rPr>
        <w:t>au 20</w:t>
      </w:r>
      <w:r>
        <w:rPr>
          <w:lang w:val="fr-FR"/>
        </w:rPr>
        <w:t> </w:t>
      </w:r>
      <w:r w:rsidRPr="006E39C2">
        <w:rPr>
          <w:lang w:val="fr-FR"/>
        </w:rPr>
        <w:t>décembre 2003</w:t>
      </w:r>
      <w:r>
        <w:rPr>
          <w:rStyle w:val="FootnoteReference"/>
        </w:rPr>
        <w:footnoteReference w:id="5"/>
      </w:r>
      <w:r w:rsidRPr="006E39C2">
        <w:rPr>
          <w:lang w:val="fr-FR"/>
        </w:rPr>
        <w:t>.</w:t>
      </w:r>
    </w:p>
    <w:p w:rsidR="00D856C9" w:rsidRPr="006E39C2" w:rsidRDefault="00D856C9" w:rsidP="00D856C9">
      <w:pPr>
        <w:pStyle w:val="SingleTxtG"/>
        <w:rPr>
          <w:lang w:val="fr-FR"/>
        </w:rPr>
      </w:pPr>
      <w:r w:rsidRPr="006E39C2">
        <w:rPr>
          <w:lang w:val="fr-FR"/>
        </w:rPr>
        <w:t>2.10</w:t>
      </w:r>
      <w:r w:rsidRPr="006E39C2">
        <w:rPr>
          <w:lang w:val="fr-FR"/>
        </w:rPr>
        <w:tab/>
        <w:t>Le 4</w:t>
      </w:r>
      <w:r>
        <w:rPr>
          <w:lang w:val="fr-FR"/>
        </w:rPr>
        <w:t> </w:t>
      </w:r>
      <w:r w:rsidRPr="006E39C2">
        <w:rPr>
          <w:lang w:val="fr-FR"/>
        </w:rPr>
        <w:t>juillet 2006, la Commission nationale des droits de l</w:t>
      </w:r>
      <w:r>
        <w:rPr>
          <w:lang w:val="fr-FR"/>
        </w:rPr>
        <w:t>’</w:t>
      </w:r>
      <w:r w:rsidRPr="006E39C2">
        <w:rPr>
          <w:lang w:val="fr-FR"/>
        </w:rPr>
        <w:t>homme a constaté que M. </w:t>
      </w:r>
      <w:proofErr w:type="spellStart"/>
      <w:r w:rsidRPr="006E39C2">
        <w:rPr>
          <w:lang w:val="fr-FR"/>
        </w:rPr>
        <w:t>Tripathi</w:t>
      </w:r>
      <w:proofErr w:type="spellEnd"/>
      <w:r w:rsidRPr="006E39C2">
        <w:rPr>
          <w:lang w:val="fr-FR"/>
        </w:rPr>
        <w:t xml:space="preserve"> avait été arrêté, détenu à la caserne de </w:t>
      </w:r>
      <w:proofErr w:type="spellStart"/>
      <w:r w:rsidRPr="006E39C2">
        <w:rPr>
          <w:lang w:val="fr-FR"/>
        </w:rPr>
        <w:t>Maharajgunj</w:t>
      </w:r>
      <w:proofErr w:type="spellEnd"/>
      <w:r w:rsidRPr="006E39C2">
        <w:rPr>
          <w:lang w:val="fr-FR"/>
        </w:rPr>
        <w:t xml:space="preserve"> puis victime de disparition aux mains du bataillon </w:t>
      </w:r>
      <w:proofErr w:type="spellStart"/>
      <w:r w:rsidRPr="006E39C2">
        <w:rPr>
          <w:lang w:val="fr-FR"/>
        </w:rPr>
        <w:t>Bhairabnath</w:t>
      </w:r>
      <w:proofErr w:type="spellEnd"/>
      <w:r w:rsidRPr="006E39C2">
        <w:rPr>
          <w:lang w:val="fr-FR"/>
        </w:rPr>
        <w:t>. Elle a recommandé au Gouvernement de le placer sous la</w:t>
      </w:r>
      <w:r>
        <w:rPr>
          <w:lang w:val="fr-FR"/>
        </w:rPr>
        <w:t> </w:t>
      </w:r>
      <w:r w:rsidRPr="006E39C2">
        <w:rPr>
          <w:lang w:val="fr-FR"/>
        </w:rPr>
        <w:t>protection de la loi et de poursuivre les responsables des infractions commises. Cependant, les autorités n</w:t>
      </w:r>
      <w:r>
        <w:rPr>
          <w:lang w:val="fr-FR"/>
        </w:rPr>
        <w:t>’</w:t>
      </w:r>
      <w:r w:rsidRPr="006E39C2">
        <w:rPr>
          <w:lang w:val="fr-FR"/>
        </w:rPr>
        <w:t>ont pris aucune mesure à cet égard.</w:t>
      </w:r>
    </w:p>
    <w:p w:rsidR="00D856C9" w:rsidRPr="006E39C2" w:rsidRDefault="00D856C9" w:rsidP="00D856C9">
      <w:pPr>
        <w:pStyle w:val="SingleTxtG"/>
        <w:rPr>
          <w:lang w:val="fr-FR"/>
        </w:rPr>
      </w:pPr>
      <w:r w:rsidRPr="006E39C2">
        <w:rPr>
          <w:lang w:val="fr-FR"/>
        </w:rPr>
        <w:t>2.11</w:t>
      </w:r>
      <w:r w:rsidRPr="006E39C2">
        <w:rPr>
          <w:lang w:val="fr-FR"/>
        </w:rPr>
        <w:tab/>
        <w:t>Le 1</w:t>
      </w:r>
      <w:r w:rsidRPr="006E39C2">
        <w:rPr>
          <w:vertAlign w:val="superscript"/>
          <w:lang w:val="fr-FR"/>
        </w:rPr>
        <w:t>er</w:t>
      </w:r>
      <w:r>
        <w:rPr>
          <w:lang w:val="fr-FR"/>
        </w:rPr>
        <w:t> </w:t>
      </w:r>
      <w:r w:rsidRPr="006E39C2">
        <w:rPr>
          <w:lang w:val="fr-FR"/>
        </w:rPr>
        <w:t xml:space="preserve">juin 2007, la Cour suprême a rendu un arrêt concernant une autre requête en </w:t>
      </w:r>
      <w:r w:rsidRPr="006E39C2">
        <w:rPr>
          <w:i/>
          <w:lang w:val="fr-FR"/>
        </w:rPr>
        <w:t>habeas corpus</w:t>
      </w:r>
      <w:r w:rsidRPr="006E39C2">
        <w:rPr>
          <w:lang w:val="fr-FR"/>
        </w:rPr>
        <w:t xml:space="preserve"> soumise par M.</w:t>
      </w:r>
      <w:r>
        <w:rPr>
          <w:lang w:val="fr-FR"/>
        </w:rPr>
        <w:t> </w:t>
      </w:r>
      <w:r w:rsidRPr="006E39C2">
        <w:rPr>
          <w:lang w:val="fr-FR"/>
        </w:rPr>
        <w:t>R.</w:t>
      </w:r>
      <w:r>
        <w:rPr>
          <w:lang w:val="fr-FR"/>
        </w:rPr>
        <w:t> </w:t>
      </w:r>
      <w:r w:rsidRPr="006E39C2">
        <w:rPr>
          <w:lang w:val="fr-FR"/>
        </w:rPr>
        <w:t xml:space="preserve">D. qui, agissant de sa propre initiative, avait ajouté à titre de requérants M. </w:t>
      </w:r>
      <w:proofErr w:type="spellStart"/>
      <w:r w:rsidRPr="006E39C2">
        <w:rPr>
          <w:lang w:val="fr-FR"/>
        </w:rPr>
        <w:t>Tripathi</w:t>
      </w:r>
      <w:proofErr w:type="spellEnd"/>
      <w:r w:rsidRPr="006E39C2">
        <w:rPr>
          <w:lang w:val="fr-FR"/>
        </w:rPr>
        <w:t xml:space="preserve"> et d</w:t>
      </w:r>
      <w:r>
        <w:rPr>
          <w:lang w:val="fr-FR"/>
        </w:rPr>
        <w:t>’</w:t>
      </w:r>
      <w:r w:rsidRPr="006E39C2">
        <w:rPr>
          <w:lang w:val="fr-FR"/>
        </w:rPr>
        <w:t>autres personnes qui avaient été détenues arbitrairement par des agents de l</w:t>
      </w:r>
      <w:r>
        <w:rPr>
          <w:lang w:val="fr-FR"/>
        </w:rPr>
        <w:t>’</w:t>
      </w:r>
      <w:r w:rsidRPr="006E39C2">
        <w:rPr>
          <w:lang w:val="fr-FR"/>
        </w:rPr>
        <w:t>État entre janvier 1999 et février 2004. La Cour a déclaré qu</w:t>
      </w:r>
      <w:r>
        <w:rPr>
          <w:lang w:val="fr-FR"/>
        </w:rPr>
        <w:t>’</w:t>
      </w:r>
      <w:r w:rsidRPr="006E39C2">
        <w:rPr>
          <w:lang w:val="fr-FR"/>
        </w:rPr>
        <w:t>ils avaient été arrêtés illégalement et victimes de disparition forcée aux mains de membres du personnel de sécurité, et a ordonné au Gouvernement de prendre des mesures immédiates pour que les auteurs rendent compte de leur actes, et notamment d</w:t>
      </w:r>
      <w:r>
        <w:rPr>
          <w:lang w:val="fr-FR"/>
        </w:rPr>
        <w:t>’</w:t>
      </w:r>
      <w:r w:rsidRPr="006E39C2">
        <w:rPr>
          <w:lang w:val="fr-FR"/>
        </w:rPr>
        <w:t>établir une commission d</w:t>
      </w:r>
      <w:r>
        <w:rPr>
          <w:lang w:val="fr-FR"/>
        </w:rPr>
        <w:t>’</w:t>
      </w:r>
      <w:r w:rsidRPr="006E39C2">
        <w:rPr>
          <w:lang w:val="fr-FR"/>
        </w:rPr>
        <w:t>enquête, d</w:t>
      </w:r>
      <w:r>
        <w:rPr>
          <w:lang w:val="fr-FR"/>
        </w:rPr>
        <w:t>’</w:t>
      </w:r>
      <w:r w:rsidRPr="006E39C2">
        <w:rPr>
          <w:lang w:val="fr-FR"/>
        </w:rPr>
        <w:t>incriminer la disparition forcée, de mener des enquêtes et de poursuivre les responsables des disparitions, et d</w:t>
      </w:r>
      <w:r>
        <w:rPr>
          <w:lang w:val="fr-FR"/>
        </w:rPr>
        <w:t>’</w:t>
      </w:r>
      <w:r w:rsidRPr="006E39C2">
        <w:rPr>
          <w:lang w:val="fr-FR"/>
        </w:rPr>
        <w:t>offrir une indemnisation et une assistance appropriées aux victimes et à leurs familles.</w:t>
      </w:r>
    </w:p>
    <w:p w:rsidR="00D856C9" w:rsidRPr="006E39C2" w:rsidRDefault="00D856C9" w:rsidP="00D856C9">
      <w:pPr>
        <w:pStyle w:val="SingleTxtG"/>
        <w:rPr>
          <w:lang w:val="fr-FR"/>
        </w:rPr>
      </w:pPr>
      <w:r>
        <w:rPr>
          <w:lang w:val="fr-FR"/>
        </w:rPr>
        <w:t>2.12</w:t>
      </w:r>
      <w:r w:rsidRPr="006E39C2">
        <w:rPr>
          <w:lang w:val="fr-FR"/>
        </w:rPr>
        <w:tab/>
        <w:t>Le 7</w:t>
      </w:r>
      <w:r>
        <w:rPr>
          <w:lang w:val="fr-FR"/>
        </w:rPr>
        <w:t> </w:t>
      </w:r>
      <w:r w:rsidRPr="006E39C2">
        <w:rPr>
          <w:lang w:val="fr-FR"/>
        </w:rPr>
        <w:t>septembre 2009, la Commission nationale des droits de l</w:t>
      </w:r>
      <w:r>
        <w:rPr>
          <w:lang w:val="fr-FR"/>
        </w:rPr>
        <w:t>’</w:t>
      </w:r>
      <w:r w:rsidRPr="006E39C2">
        <w:rPr>
          <w:lang w:val="fr-FR"/>
        </w:rPr>
        <w:t xml:space="preserve">homme a publié un rapport concernant la caserne de </w:t>
      </w:r>
      <w:proofErr w:type="spellStart"/>
      <w:r w:rsidRPr="006E39C2">
        <w:rPr>
          <w:lang w:val="fr-FR"/>
        </w:rPr>
        <w:t>Maharajgunj</w:t>
      </w:r>
      <w:proofErr w:type="spellEnd"/>
      <w:r w:rsidRPr="006E39C2">
        <w:rPr>
          <w:lang w:val="fr-FR"/>
        </w:rPr>
        <w:t xml:space="preserve">, dans lequel elle indiquait que le mari de </w:t>
      </w:r>
      <w:r w:rsidRPr="00B5678F">
        <w:rPr>
          <w:spacing w:val="-1"/>
          <w:lang w:val="fr-FR"/>
        </w:rPr>
        <w:t>l</w:t>
      </w:r>
      <w:r>
        <w:rPr>
          <w:spacing w:val="-1"/>
          <w:lang w:val="fr-FR"/>
        </w:rPr>
        <w:t>’</w:t>
      </w:r>
      <w:r w:rsidRPr="00B5678F">
        <w:rPr>
          <w:spacing w:val="-1"/>
          <w:lang w:val="fr-FR"/>
        </w:rPr>
        <w:t xml:space="preserve">auteure avait été détenu dans cette caserne puis avait disparu. Elle a aussi noté que 43 personnes placées en détention à la caserne de </w:t>
      </w:r>
      <w:proofErr w:type="spellStart"/>
      <w:r w:rsidRPr="00B5678F">
        <w:rPr>
          <w:spacing w:val="-1"/>
          <w:lang w:val="fr-FR"/>
        </w:rPr>
        <w:t>Maharajgunj</w:t>
      </w:r>
      <w:proofErr w:type="spellEnd"/>
      <w:r w:rsidRPr="00B5678F">
        <w:rPr>
          <w:spacing w:val="-1"/>
          <w:lang w:val="fr-FR"/>
        </w:rPr>
        <w:t xml:space="preserve"> avaient été emmenées au Parc national de </w:t>
      </w:r>
      <w:proofErr w:type="spellStart"/>
      <w:r w:rsidRPr="00B5678F">
        <w:rPr>
          <w:spacing w:val="-1"/>
          <w:lang w:val="fr-FR"/>
        </w:rPr>
        <w:t>Shivapuri</w:t>
      </w:r>
      <w:proofErr w:type="spellEnd"/>
      <w:r w:rsidRPr="00B5678F">
        <w:rPr>
          <w:spacing w:val="-1"/>
          <w:lang w:val="fr-FR"/>
        </w:rPr>
        <w:t>, dans la vallée de Katmandou, et tuées entre décembre 2003 et janvier 2004</w:t>
      </w:r>
      <w:r>
        <w:rPr>
          <w:rStyle w:val="FootnoteReference"/>
          <w:spacing w:val="-1"/>
        </w:rPr>
        <w:footnoteReference w:id="6"/>
      </w:r>
      <w:r w:rsidRPr="00B5678F">
        <w:rPr>
          <w:spacing w:val="-1"/>
          <w:lang w:val="fr-FR"/>
        </w:rPr>
        <w:t>.</w:t>
      </w:r>
    </w:p>
    <w:p w:rsidR="00D856C9" w:rsidRPr="00647386" w:rsidRDefault="00D856C9" w:rsidP="00D856C9">
      <w:pPr>
        <w:pStyle w:val="SingleTxtG"/>
        <w:rPr>
          <w:lang w:val="fr-FR"/>
        </w:rPr>
      </w:pPr>
      <w:r w:rsidRPr="006E39C2">
        <w:rPr>
          <w:lang w:val="fr-FR"/>
        </w:rPr>
        <w:t>2.13</w:t>
      </w:r>
      <w:r w:rsidRPr="006E39C2">
        <w:rPr>
          <w:lang w:val="fr-FR"/>
        </w:rPr>
        <w:tab/>
        <w:t>L</w:t>
      </w:r>
      <w:r>
        <w:rPr>
          <w:lang w:val="fr-FR"/>
        </w:rPr>
        <w:t>’</w:t>
      </w:r>
      <w:r w:rsidRPr="006E39C2">
        <w:rPr>
          <w:lang w:val="fr-FR"/>
        </w:rPr>
        <w:t>auteure affirme qu</w:t>
      </w:r>
      <w:r>
        <w:rPr>
          <w:lang w:val="fr-FR"/>
        </w:rPr>
        <w:t>’</w:t>
      </w:r>
      <w:r w:rsidRPr="006E39C2">
        <w:rPr>
          <w:lang w:val="fr-FR"/>
        </w:rPr>
        <w:t>elle s</w:t>
      </w:r>
      <w:r>
        <w:rPr>
          <w:lang w:val="fr-FR"/>
        </w:rPr>
        <w:t>’</w:t>
      </w:r>
      <w:r w:rsidRPr="006E39C2">
        <w:rPr>
          <w:lang w:val="fr-FR"/>
        </w:rPr>
        <w:t>est efforcée d</w:t>
      </w:r>
      <w:r>
        <w:rPr>
          <w:lang w:val="fr-FR"/>
        </w:rPr>
        <w:t>’</w:t>
      </w:r>
      <w:r w:rsidRPr="006E39C2">
        <w:rPr>
          <w:lang w:val="fr-FR"/>
        </w:rPr>
        <w:t xml:space="preserve">épuiser toutes les voies de recours internes. Sa requête en </w:t>
      </w:r>
      <w:r w:rsidRPr="006E39C2">
        <w:rPr>
          <w:i/>
          <w:lang w:val="fr-FR"/>
        </w:rPr>
        <w:t>habeas corpus</w:t>
      </w:r>
      <w:r w:rsidRPr="006E39C2">
        <w:rPr>
          <w:lang w:val="fr-FR"/>
        </w:rPr>
        <w:t xml:space="preserve"> a été annulée par la Cour suprême, la plus haute juridiction interne, et il n</w:t>
      </w:r>
      <w:r>
        <w:rPr>
          <w:lang w:val="fr-FR"/>
        </w:rPr>
        <w:t>’</w:t>
      </w:r>
      <w:r w:rsidRPr="006E39C2">
        <w:rPr>
          <w:lang w:val="fr-FR"/>
        </w:rPr>
        <w:t>y a pas d</w:t>
      </w:r>
      <w:r>
        <w:rPr>
          <w:lang w:val="fr-FR"/>
        </w:rPr>
        <w:t>’</w:t>
      </w:r>
      <w:r w:rsidRPr="006E39C2">
        <w:rPr>
          <w:lang w:val="fr-FR"/>
        </w:rPr>
        <w:t>autre voie de recours interne à épuiser</w:t>
      </w:r>
      <w:r>
        <w:rPr>
          <w:rStyle w:val="FootnoteReference"/>
        </w:rPr>
        <w:footnoteReference w:id="7"/>
      </w:r>
      <w:r w:rsidRPr="006E39C2">
        <w:rPr>
          <w:lang w:val="fr-FR"/>
        </w:rPr>
        <w:t>. La Commission nationale des droits de l</w:t>
      </w:r>
      <w:r>
        <w:rPr>
          <w:lang w:val="fr-FR"/>
        </w:rPr>
        <w:t>’</w:t>
      </w:r>
      <w:r w:rsidRPr="006E39C2">
        <w:rPr>
          <w:lang w:val="fr-FR"/>
        </w:rPr>
        <w:t>homme ne peut pas être considérée comme offrant un recours utile. Quant au premier rapport d</w:t>
      </w:r>
      <w:r>
        <w:rPr>
          <w:lang w:val="fr-FR"/>
        </w:rPr>
        <w:t>’</w:t>
      </w:r>
      <w:r w:rsidRPr="006E39C2">
        <w:rPr>
          <w:lang w:val="fr-FR"/>
        </w:rPr>
        <w:t>information, cette procédure ne s</w:t>
      </w:r>
      <w:r>
        <w:rPr>
          <w:lang w:val="fr-FR"/>
        </w:rPr>
        <w:t>’</w:t>
      </w:r>
      <w:r w:rsidRPr="006E39C2">
        <w:rPr>
          <w:lang w:val="fr-FR"/>
        </w:rPr>
        <w:t>applique qu</w:t>
      </w:r>
      <w:r>
        <w:rPr>
          <w:lang w:val="fr-FR"/>
        </w:rPr>
        <w:t>’</w:t>
      </w:r>
      <w:r w:rsidRPr="006E39C2">
        <w:rPr>
          <w:lang w:val="fr-FR"/>
        </w:rPr>
        <w:t>aux infractions énumérées à l</w:t>
      </w:r>
      <w:r>
        <w:rPr>
          <w:lang w:val="fr-FR"/>
        </w:rPr>
        <w:t>’</w:t>
      </w:r>
      <w:r w:rsidRPr="006E39C2">
        <w:rPr>
          <w:lang w:val="fr-FR"/>
        </w:rPr>
        <w:t>annexe</w:t>
      </w:r>
      <w:r>
        <w:rPr>
          <w:lang w:val="fr-FR"/>
        </w:rPr>
        <w:t> </w:t>
      </w:r>
      <w:r w:rsidRPr="006E39C2">
        <w:rPr>
          <w:lang w:val="fr-FR"/>
        </w:rPr>
        <w:t>1 de la loi de 1992 sur les affaires dans lesquelles l</w:t>
      </w:r>
      <w:r>
        <w:rPr>
          <w:lang w:val="fr-FR"/>
        </w:rPr>
        <w:t>’</w:t>
      </w:r>
      <w:r w:rsidRPr="006E39C2">
        <w:rPr>
          <w:lang w:val="fr-FR"/>
        </w:rPr>
        <w:t>État est partie, laquelle ne mentionne pas les disparitions forcées ni la torture. En outre, le dépôt d</w:t>
      </w:r>
      <w:r>
        <w:rPr>
          <w:lang w:val="fr-FR"/>
        </w:rPr>
        <w:t>’</w:t>
      </w:r>
      <w:r w:rsidRPr="006E39C2">
        <w:rPr>
          <w:lang w:val="fr-FR"/>
        </w:rPr>
        <w:t>un premier rapport d</w:t>
      </w:r>
      <w:r>
        <w:rPr>
          <w:lang w:val="fr-FR"/>
        </w:rPr>
        <w:t>’</w:t>
      </w:r>
      <w:r w:rsidRPr="006E39C2">
        <w:rPr>
          <w:lang w:val="fr-FR"/>
        </w:rPr>
        <w:t>information dans les cas de disparition ne constitue pas un recours approprié car les autorités font généralement valoir que la mort de la personne ne peut pas être prouvée en l</w:t>
      </w:r>
      <w:r>
        <w:rPr>
          <w:lang w:val="fr-FR"/>
        </w:rPr>
        <w:t>’</w:t>
      </w:r>
      <w:r w:rsidRPr="006E39C2">
        <w:rPr>
          <w:lang w:val="fr-FR"/>
        </w:rPr>
        <w:t>absence du corps. Même si la torture est interdite conformément à la Constitution provisoire et à l</w:t>
      </w:r>
      <w:r>
        <w:rPr>
          <w:lang w:val="fr-FR"/>
        </w:rPr>
        <w:t>’</w:t>
      </w:r>
      <w:r w:rsidRPr="006E39C2">
        <w:rPr>
          <w:lang w:val="fr-FR"/>
        </w:rPr>
        <w:t>article</w:t>
      </w:r>
      <w:r>
        <w:rPr>
          <w:lang w:val="fr-FR"/>
        </w:rPr>
        <w:t> </w:t>
      </w:r>
      <w:r w:rsidRPr="006E39C2">
        <w:rPr>
          <w:lang w:val="fr-FR"/>
        </w:rPr>
        <w:t>3, paragraphe</w:t>
      </w:r>
      <w:r>
        <w:rPr>
          <w:lang w:val="fr-FR"/>
        </w:rPr>
        <w:t> </w:t>
      </w:r>
      <w:r w:rsidRPr="006E39C2">
        <w:rPr>
          <w:lang w:val="fr-FR"/>
        </w:rPr>
        <w:t>1, de la loi de 2053</w:t>
      </w:r>
      <w:r>
        <w:rPr>
          <w:lang w:val="fr-FR"/>
        </w:rPr>
        <w:t> </w:t>
      </w:r>
      <w:r w:rsidRPr="006E39C2">
        <w:rPr>
          <w:lang w:val="fr-FR"/>
        </w:rPr>
        <w:t>(1996) relative à l</w:t>
      </w:r>
      <w:r>
        <w:rPr>
          <w:lang w:val="fr-FR"/>
        </w:rPr>
        <w:t>’</w:t>
      </w:r>
      <w:r w:rsidRPr="006E39C2">
        <w:rPr>
          <w:lang w:val="fr-FR"/>
        </w:rPr>
        <w:t>indemnisation en cas de torture, elle n</w:t>
      </w:r>
      <w:r>
        <w:rPr>
          <w:lang w:val="fr-FR"/>
        </w:rPr>
        <w:t>’</w:t>
      </w:r>
      <w:r w:rsidRPr="006E39C2">
        <w:rPr>
          <w:lang w:val="fr-FR"/>
        </w:rPr>
        <w:t>a pas été incriminée en droit interne. La loi ne prévoit pas de responsabilité pénale mais uniquement une indemnisation d</w:t>
      </w:r>
      <w:r>
        <w:rPr>
          <w:lang w:val="fr-FR"/>
        </w:rPr>
        <w:t>’</w:t>
      </w:r>
      <w:r w:rsidRPr="006E39C2">
        <w:rPr>
          <w:lang w:val="fr-FR"/>
        </w:rPr>
        <w:t xml:space="preserve">un montant maximum de 100 000 roupies népalaises et la demande doit être faite dans les </w:t>
      </w:r>
      <w:r>
        <w:rPr>
          <w:lang w:val="fr-FR"/>
        </w:rPr>
        <w:t>trente-cinq</w:t>
      </w:r>
      <w:r w:rsidRPr="006E39C2">
        <w:rPr>
          <w:lang w:val="fr-FR"/>
        </w:rPr>
        <w:t xml:space="preserve"> jours qui suivent les faits de torture ou la remise en liberté. Bien que la Cour suprême ait ordonné en 2007 d</w:t>
      </w:r>
      <w:r>
        <w:rPr>
          <w:lang w:val="fr-FR"/>
        </w:rPr>
        <w:t>’</w:t>
      </w:r>
      <w:r w:rsidRPr="006E39C2">
        <w:rPr>
          <w:lang w:val="fr-FR"/>
        </w:rPr>
        <w:t>incriminer la disparition forcée, aucune mesure n</w:t>
      </w:r>
      <w:r>
        <w:rPr>
          <w:lang w:val="fr-FR"/>
        </w:rPr>
        <w:t>’</w:t>
      </w:r>
      <w:r w:rsidRPr="006E39C2">
        <w:rPr>
          <w:lang w:val="fr-FR"/>
        </w:rPr>
        <w:t xml:space="preserve">a été prise à cet égard. </w:t>
      </w:r>
    </w:p>
    <w:p w:rsidR="00D856C9" w:rsidRPr="006E39C2" w:rsidRDefault="00D856C9" w:rsidP="00D856C9">
      <w:pPr>
        <w:pStyle w:val="H23G"/>
        <w:rPr>
          <w:lang w:val="fr-FR"/>
        </w:rPr>
      </w:pPr>
      <w:r w:rsidRPr="006E39C2">
        <w:rPr>
          <w:lang w:val="fr-FR"/>
        </w:rPr>
        <w:tab/>
      </w:r>
      <w:r w:rsidRPr="006E39C2">
        <w:rPr>
          <w:lang w:val="fr-FR"/>
        </w:rPr>
        <w:tab/>
        <w:t>Teneur de la plainte</w:t>
      </w:r>
    </w:p>
    <w:p w:rsidR="00D856C9" w:rsidRPr="006E39C2" w:rsidRDefault="00D856C9" w:rsidP="00D856C9">
      <w:pPr>
        <w:pStyle w:val="SingleTxtG"/>
        <w:rPr>
          <w:lang w:val="fr-FR"/>
        </w:rPr>
      </w:pPr>
      <w:r>
        <w:rPr>
          <w:lang w:val="fr-FR"/>
        </w:rPr>
        <w:t>3.1</w:t>
      </w:r>
      <w:r w:rsidRPr="006E39C2">
        <w:rPr>
          <w:lang w:val="fr-FR"/>
        </w:rPr>
        <w:tab/>
        <w:t>L</w:t>
      </w:r>
      <w:r>
        <w:rPr>
          <w:lang w:val="fr-FR"/>
        </w:rPr>
        <w:t>’</w:t>
      </w:r>
      <w:r w:rsidRPr="006E39C2">
        <w:rPr>
          <w:lang w:val="fr-FR"/>
        </w:rPr>
        <w:t>auteure affirme que son mari a été victime de disparition forcée et que l</w:t>
      </w:r>
      <w:r>
        <w:rPr>
          <w:lang w:val="fr-FR"/>
        </w:rPr>
        <w:t>’</w:t>
      </w:r>
      <w:r w:rsidRPr="006E39C2">
        <w:rPr>
          <w:lang w:val="fr-FR"/>
        </w:rPr>
        <w:t>État partie a violé les droits qu</w:t>
      </w:r>
      <w:r>
        <w:rPr>
          <w:lang w:val="fr-FR"/>
        </w:rPr>
        <w:t>’</w:t>
      </w:r>
      <w:r w:rsidRPr="006E39C2">
        <w:rPr>
          <w:lang w:val="fr-FR"/>
        </w:rPr>
        <w:t>il tient des articles 6, 7 et 9, paragraphes</w:t>
      </w:r>
      <w:r>
        <w:rPr>
          <w:lang w:val="fr-FR"/>
        </w:rPr>
        <w:t> </w:t>
      </w:r>
      <w:r w:rsidRPr="006E39C2">
        <w:rPr>
          <w:lang w:val="fr-FR"/>
        </w:rPr>
        <w:t>1 à 4, 10, paragraphe</w:t>
      </w:r>
      <w:r>
        <w:rPr>
          <w:lang w:val="fr-FR"/>
        </w:rPr>
        <w:t> </w:t>
      </w:r>
      <w:r w:rsidRPr="006E39C2">
        <w:rPr>
          <w:lang w:val="fr-FR"/>
        </w:rPr>
        <w:t>1, 16</w:t>
      </w:r>
      <w:r>
        <w:rPr>
          <w:lang w:val="fr-FR"/>
        </w:rPr>
        <w:t> </w:t>
      </w:r>
      <w:r w:rsidRPr="006E39C2">
        <w:rPr>
          <w:lang w:val="fr-FR"/>
        </w:rPr>
        <w:t>et</w:t>
      </w:r>
      <w:r>
        <w:rPr>
          <w:lang w:val="fr-FR"/>
        </w:rPr>
        <w:t> </w:t>
      </w:r>
      <w:r w:rsidRPr="006E39C2">
        <w:rPr>
          <w:lang w:val="fr-FR"/>
        </w:rPr>
        <w:t>22, pris isolément et lu conjointement avec l</w:t>
      </w:r>
      <w:r>
        <w:rPr>
          <w:lang w:val="fr-FR"/>
        </w:rPr>
        <w:t>’</w:t>
      </w:r>
      <w:r w:rsidRPr="006E39C2">
        <w:rPr>
          <w:lang w:val="fr-FR"/>
        </w:rPr>
        <w:t>article 2, paragraphe 3, du Pacte, les droits qu</w:t>
      </w:r>
      <w:r>
        <w:rPr>
          <w:lang w:val="fr-FR"/>
        </w:rPr>
        <w:t>’</w:t>
      </w:r>
      <w:r w:rsidRPr="006E39C2">
        <w:rPr>
          <w:lang w:val="fr-FR"/>
        </w:rPr>
        <w:t>elle-même tient de l</w:t>
      </w:r>
      <w:r>
        <w:rPr>
          <w:lang w:val="fr-FR"/>
        </w:rPr>
        <w:t>’</w:t>
      </w:r>
      <w:r w:rsidRPr="006E39C2">
        <w:rPr>
          <w:lang w:val="fr-FR"/>
        </w:rPr>
        <w:t>article</w:t>
      </w:r>
      <w:r>
        <w:rPr>
          <w:lang w:val="fr-FR"/>
        </w:rPr>
        <w:t> </w:t>
      </w:r>
      <w:r w:rsidRPr="006E39C2">
        <w:rPr>
          <w:lang w:val="fr-FR"/>
        </w:rPr>
        <w:t>7, lu conjointement avec l</w:t>
      </w:r>
      <w:r>
        <w:rPr>
          <w:lang w:val="fr-FR"/>
        </w:rPr>
        <w:t>’</w:t>
      </w:r>
      <w:r w:rsidRPr="006E39C2">
        <w:rPr>
          <w:lang w:val="fr-FR"/>
        </w:rPr>
        <w:t>article</w:t>
      </w:r>
      <w:r>
        <w:rPr>
          <w:lang w:val="fr-FR"/>
        </w:rPr>
        <w:t> </w:t>
      </w:r>
      <w:r w:rsidRPr="006E39C2">
        <w:rPr>
          <w:lang w:val="fr-FR"/>
        </w:rPr>
        <w:t>2, paragraphe</w:t>
      </w:r>
      <w:r>
        <w:rPr>
          <w:lang w:val="fr-FR"/>
        </w:rPr>
        <w:t> </w:t>
      </w:r>
      <w:r w:rsidRPr="006E39C2">
        <w:rPr>
          <w:lang w:val="fr-FR"/>
        </w:rPr>
        <w:t>3, du Pacte, et les droits que sa fille mineure tient de l</w:t>
      </w:r>
      <w:r>
        <w:rPr>
          <w:lang w:val="fr-FR"/>
        </w:rPr>
        <w:t>’</w:t>
      </w:r>
      <w:r w:rsidRPr="006E39C2">
        <w:rPr>
          <w:lang w:val="fr-FR"/>
        </w:rPr>
        <w:t>article</w:t>
      </w:r>
      <w:r>
        <w:rPr>
          <w:lang w:val="fr-FR"/>
        </w:rPr>
        <w:t> </w:t>
      </w:r>
      <w:r w:rsidRPr="006E39C2">
        <w:rPr>
          <w:lang w:val="fr-FR"/>
        </w:rPr>
        <w:t>7, lu conjointement avec les articles</w:t>
      </w:r>
      <w:r>
        <w:rPr>
          <w:lang w:val="fr-FR"/>
        </w:rPr>
        <w:t> </w:t>
      </w:r>
      <w:r w:rsidRPr="006E39C2">
        <w:rPr>
          <w:lang w:val="fr-FR"/>
        </w:rPr>
        <w:t>2, paragraphe</w:t>
      </w:r>
      <w:r>
        <w:rPr>
          <w:lang w:val="fr-FR"/>
        </w:rPr>
        <w:t> </w:t>
      </w:r>
      <w:r w:rsidRPr="006E39C2">
        <w:rPr>
          <w:lang w:val="fr-FR"/>
        </w:rPr>
        <w:t>3, et 24, paragraphe</w:t>
      </w:r>
      <w:r>
        <w:rPr>
          <w:lang w:val="fr-FR"/>
        </w:rPr>
        <w:t> </w:t>
      </w:r>
      <w:r w:rsidRPr="006E39C2">
        <w:rPr>
          <w:lang w:val="fr-FR"/>
        </w:rPr>
        <w:t xml:space="preserve">1, du Pacte. </w:t>
      </w:r>
    </w:p>
    <w:p w:rsidR="00D856C9" w:rsidRPr="006E39C2" w:rsidRDefault="00D856C9" w:rsidP="00D856C9">
      <w:pPr>
        <w:pStyle w:val="SingleTxtG"/>
        <w:rPr>
          <w:lang w:val="fr-FR"/>
        </w:rPr>
      </w:pPr>
      <w:r w:rsidRPr="006E39C2">
        <w:rPr>
          <w:lang w:val="fr-FR"/>
        </w:rPr>
        <w:t>3.2</w:t>
      </w:r>
      <w:r w:rsidRPr="006E39C2">
        <w:rPr>
          <w:lang w:val="fr-FR"/>
        </w:rPr>
        <w:tab/>
        <w:t>L</w:t>
      </w:r>
      <w:r>
        <w:rPr>
          <w:lang w:val="fr-FR"/>
        </w:rPr>
        <w:t>’</w:t>
      </w:r>
      <w:r w:rsidRPr="006E39C2">
        <w:rPr>
          <w:lang w:val="fr-FR"/>
        </w:rPr>
        <w:t>auteure affirme que, même s</w:t>
      </w:r>
      <w:r>
        <w:rPr>
          <w:lang w:val="fr-FR"/>
        </w:rPr>
        <w:t>’</w:t>
      </w:r>
      <w:r w:rsidRPr="006E39C2">
        <w:rPr>
          <w:lang w:val="fr-FR"/>
        </w:rPr>
        <w:t>il n</w:t>
      </w:r>
      <w:r>
        <w:rPr>
          <w:lang w:val="fr-FR"/>
        </w:rPr>
        <w:t>’</w:t>
      </w:r>
      <w:r w:rsidRPr="006E39C2">
        <w:rPr>
          <w:lang w:val="fr-FR"/>
        </w:rPr>
        <w:t>y a pas de témoins oculaires du moment précis où son mari a été arrêté, il existe de solides raisons de croire que celui-ci a été victime d</w:t>
      </w:r>
      <w:r>
        <w:rPr>
          <w:lang w:val="fr-FR"/>
        </w:rPr>
        <w:t>’</w:t>
      </w:r>
      <w:r w:rsidRPr="006E39C2">
        <w:rPr>
          <w:lang w:val="fr-FR"/>
        </w:rPr>
        <w:t>une arrestation arbitraire le 26</w:t>
      </w:r>
      <w:r>
        <w:rPr>
          <w:lang w:val="fr-FR"/>
        </w:rPr>
        <w:t> </w:t>
      </w:r>
      <w:r w:rsidRPr="006E39C2">
        <w:rPr>
          <w:lang w:val="fr-FR"/>
        </w:rPr>
        <w:t>septembr</w:t>
      </w:r>
      <w:r>
        <w:rPr>
          <w:lang w:val="fr-FR"/>
        </w:rPr>
        <w:t xml:space="preserve">e 2003, détenu à la caserne de </w:t>
      </w:r>
      <w:proofErr w:type="spellStart"/>
      <w:r w:rsidRPr="006E39C2">
        <w:rPr>
          <w:lang w:val="fr-FR"/>
        </w:rPr>
        <w:t>Maharajgunj</w:t>
      </w:r>
      <w:proofErr w:type="spellEnd"/>
      <w:r w:rsidRPr="006E39C2">
        <w:rPr>
          <w:lang w:val="fr-FR"/>
        </w:rPr>
        <w:t xml:space="preserve"> et victime de disparition forcée aux mains d</w:t>
      </w:r>
      <w:r>
        <w:rPr>
          <w:lang w:val="fr-FR"/>
        </w:rPr>
        <w:t>’</w:t>
      </w:r>
      <w:r w:rsidRPr="006E39C2">
        <w:rPr>
          <w:lang w:val="fr-FR"/>
        </w:rPr>
        <w:t>agents de l</w:t>
      </w:r>
      <w:r>
        <w:rPr>
          <w:lang w:val="fr-FR"/>
        </w:rPr>
        <w:t>’</w:t>
      </w:r>
      <w:r w:rsidRPr="006E39C2">
        <w:rPr>
          <w:lang w:val="fr-FR"/>
        </w:rPr>
        <w:t>État. En outre, compte tenu des témoignages et d</w:t>
      </w:r>
      <w:r>
        <w:rPr>
          <w:lang w:val="fr-FR"/>
        </w:rPr>
        <w:t>’</w:t>
      </w:r>
      <w:r w:rsidRPr="006E39C2">
        <w:rPr>
          <w:lang w:val="fr-FR"/>
        </w:rPr>
        <w:t>autres éléments de preuve concordants qui émanent de différentes sources fiables, il est raisonnable de présumer que son mari a été tué par des membres de l</w:t>
      </w:r>
      <w:r>
        <w:rPr>
          <w:lang w:val="fr-FR"/>
        </w:rPr>
        <w:t>’</w:t>
      </w:r>
      <w:r w:rsidRPr="006E39C2">
        <w:rPr>
          <w:lang w:val="fr-FR"/>
        </w:rPr>
        <w:t>Armée. Sa privation arbitraire de liberté a eu lieu dans un contexte d</w:t>
      </w:r>
      <w:r>
        <w:rPr>
          <w:lang w:val="fr-FR"/>
        </w:rPr>
        <w:t>’</w:t>
      </w:r>
      <w:r w:rsidRPr="006E39C2">
        <w:rPr>
          <w:lang w:val="fr-FR"/>
        </w:rPr>
        <w:t>arrestations massives, de disparitions forcées et de torture de personnes soupçonnées d</w:t>
      </w:r>
      <w:r>
        <w:rPr>
          <w:lang w:val="fr-FR"/>
        </w:rPr>
        <w:t>’</w:t>
      </w:r>
      <w:r w:rsidRPr="006E39C2">
        <w:rPr>
          <w:lang w:val="fr-FR"/>
        </w:rPr>
        <w:t>être maoïstes. Compte tenu de ces circonstances, la charge de la preuve incombe à l</w:t>
      </w:r>
      <w:r>
        <w:rPr>
          <w:lang w:val="fr-FR"/>
        </w:rPr>
        <w:t>’</w:t>
      </w:r>
      <w:r w:rsidRPr="006E39C2">
        <w:rPr>
          <w:lang w:val="fr-FR"/>
        </w:rPr>
        <w:t>État partie qui doit donner une explication satisfaisante et convaincante et établir avec certitude et révéler ce qui est arrivé à son mari et le lieu où il se trouve. En</w:t>
      </w:r>
      <w:r>
        <w:rPr>
          <w:lang w:val="fr-FR"/>
        </w:rPr>
        <w:t> </w:t>
      </w:r>
      <w:r w:rsidRPr="006E39C2">
        <w:rPr>
          <w:lang w:val="fr-FR"/>
        </w:rPr>
        <w:t>conséquence, étant donné que l</w:t>
      </w:r>
      <w:r>
        <w:rPr>
          <w:lang w:val="fr-FR"/>
        </w:rPr>
        <w:t>’</w:t>
      </w:r>
      <w:r w:rsidRPr="006E39C2">
        <w:rPr>
          <w:lang w:val="fr-FR"/>
        </w:rPr>
        <w:t>État partie n</w:t>
      </w:r>
      <w:r>
        <w:rPr>
          <w:lang w:val="fr-FR"/>
        </w:rPr>
        <w:t>’</w:t>
      </w:r>
      <w:r w:rsidRPr="006E39C2">
        <w:rPr>
          <w:lang w:val="fr-FR"/>
        </w:rPr>
        <w:t>a pas démontré le contraire, l</w:t>
      </w:r>
      <w:r>
        <w:rPr>
          <w:lang w:val="fr-FR"/>
        </w:rPr>
        <w:t>’</w:t>
      </w:r>
      <w:r w:rsidRPr="006E39C2">
        <w:rPr>
          <w:lang w:val="fr-FR"/>
        </w:rPr>
        <w:t>auteure soutient que la disparition forcée de son mari en tant que telle et le meurtre qui l</w:t>
      </w:r>
      <w:r>
        <w:rPr>
          <w:lang w:val="fr-FR"/>
        </w:rPr>
        <w:t>’</w:t>
      </w:r>
      <w:r w:rsidRPr="006E39C2">
        <w:rPr>
          <w:lang w:val="fr-FR"/>
        </w:rPr>
        <w:t>a suivie sont constitutifs de violations par l</w:t>
      </w:r>
      <w:r>
        <w:rPr>
          <w:lang w:val="fr-FR"/>
        </w:rPr>
        <w:t>’</w:t>
      </w:r>
      <w:r w:rsidRPr="006E39C2">
        <w:rPr>
          <w:lang w:val="fr-FR"/>
        </w:rPr>
        <w:t>État partie des droits recon</w:t>
      </w:r>
      <w:r>
        <w:rPr>
          <w:lang w:val="fr-FR"/>
        </w:rPr>
        <w:t>nus à son mari par l’article 6 du Pacte.</w:t>
      </w:r>
    </w:p>
    <w:p w:rsidR="00D856C9" w:rsidRPr="006E39C2" w:rsidRDefault="00D856C9" w:rsidP="00D856C9">
      <w:pPr>
        <w:pStyle w:val="SingleTxtG"/>
        <w:rPr>
          <w:spacing w:val="-2"/>
          <w:lang w:val="fr-FR"/>
        </w:rPr>
      </w:pPr>
      <w:r>
        <w:rPr>
          <w:lang w:val="fr-FR"/>
        </w:rPr>
        <w:t>3.3</w:t>
      </w:r>
      <w:r w:rsidRPr="006E39C2">
        <w:rPr>
          <w:lang w:val="fr-FR"/>
        </w:rPr>
        <w:tab/>
        <w:t>La détention au secret et la disparition forcée du mari de l</w:t>
      </w:r>
      <w:r>
        <w:rPr>
          <w:lang w:val="fr-FR"/>
        </w:rPr>
        <w:t>’</w:t>
      </w:r>
      <w:r w:rsidRPr="006E39C2">
        <w:rPr>
          <w:lang w:val="fr-FR"/>
        </w:rPr>
        <w:t>auteure constituent en elles-mêmes un traitement contraire à l</w:t>
      </w:r>
      <w:r>
        <w:rPr>
          <w:lang w:val="fr-FR"/>
        </w:rPr>
        <w:t>’</w:t>
      </w:r>
      <w:r w:rsidRPr="006E39C2">
        <w:rPr>
          <w:lang w:val="fr-FR"/>
        </w:rPr>
        <w:t>article</w:t>
      </w:r>
      <w:r>
        <w:rPr>
          <w:lang w:val="fr-FR"/>
        </w:rPr>
        <w:t> </w:t>
      </w:r>
      <w:r w:rsidRPr="006E39C2">
        <w:rPr>
          <w:lang w:val="fr-FR"/>
        </w:rPr>
        <w:t>7 du Pacte. En le maintenant en détention, sans contact avec le monde extérieur depuis septembre 2003, les autorités l</w:t>
      </w:r>
      <w:r>
        <w:rPr>
          <w:lang w:val="fr-FR"/>
        </w:rPr>
        <w:t>’</w:t>
      </w:r>
      <w:r w:rsidRPr="006E39C2">
        <w:rPr>
          <w:lang w:val="fr-FR"/>
        </w:rPr>
        <w:t xml:space="preserve">ont mis à la merci des officiers de la caserne de </w:t>
      </w:r>
      <w:proofErr w:type="spellStart"/>
      <w:r w:rsidRPr="006E39C2">
        <w:rPr>
          <w:lang w:val="fr-FR"/>
        </w:rPr>
        <w:t>Maharajgunj</w:t>
      </w:r>
      <w:proofErr w:type="spellEnd"/>
      <w:r w:rsidRPr="006E39C2">
        <w:rPr>
          <w:lang w:val="fr-FR"/>
        </w:rPr>
        <w:t>. En outre, selon des témoins oculaires qui l</w:t>
      </w:r>
      <w:r>
        <w:rPr>
          <w:lang w:val="fr-FR"/>
        </w:rPr>
        <w:t>’</w:t>
      </w:r>
      <w:r w:rsidRPr="006E39C2">
        <w:rPr>
          <w:lang w:val="fr-FR"/>
        </w:rPr>
        <w:t xml:space="preserve">ont vu à la caserne, son mari était dans un très mauvais état et portait des marques de torture apparentes. Il a été solidement établi que la torture était une pratique courante à la caserne de </w:t>
      </w:r>
      <w:proofErr w:type="spellStart"/>
      <w:r w:rsidRPr="006E39C2">
        <w:rPr>
          <w:lang w:val="fr-FR"/>
        </w:rPr>
        <w:t>Maharajgunj</w:t>
      </w:r>
      <w:proofErr w:type="spellEnd"/>
      <w:r w:rsidRPr="006E39C2">
        <w:rPr>
          <w:spacing w:val="-2"/>
          <w:lang w:val="fr-FR"/>
        </w:rPr>
        <w:t>.</w:t>
      </w:r>
    </w:p>
    <w:p w:rsidR="00D856C9" w:rsidRPr="006E39C2" w:rsidRDefault="00D856C9" w:rsidP="00D856C9">
      <w:pPr>
        <w:pStyle w:val="SingleTxtG"/>
        <w:rPr>
          <w:spacing w:val="-2"/>
          <w:lang w:val="fr-FR"/>
        </w:rPr>
      </w:pPr>
      <w:r>
        <w:rPr>
          <w:spacing w:val="-2"/>
          <w:lang w:val="fr-FR"/>
        </w:rPr>
        <w:t>3.4</w:t>
      </w:r>
      <w:r w:rsidRPr="006E39C2">
        <w:rPr>
          <w:spacing w:val="-2"/>
          <w:lang w:val="fr-FR"/>
        </w:rPr>
        <w:tab/>
        <w:t>Les conditions de détention de M.</w:t>
      </w:r>
      <w:r>
        <w:rPr>
          <w:spacing w:val="-2"/>
          <w:lang w:val="fr-FR"/>
        </w:rPr>
        <w:t> </w:t>
      </w:r>
      <w:proofErr w:type="spellStart"/>
      <w:r w:rsidRPr="006E39C2">
        <w:rPr>
          <w:spacing w:val="-2"/>
          <w:lang w:val="fr-FR"/>
        </w:rPr>
        <w:t>Tripathi</w:t>
      </w:r>
      <w:proofErr w:type="spellEnd"/>
      <w:r w:rsidRPr="006E39C2">
        <w:rPr>
          <w:spacing w:val="-2"/>
          <w:lang w:val="fr-FR"/>
        </w:rPr>
        <w:t xml:space="preserve"> à la caserne de </w:t>
      </w:r>
      <w:proofErr w:type="spellStart"/>
      <w:r w:rsidRPr="006E39C2">
        <w:rPr>
          <w:spacing w:val="-2"/>
          <w:lang w:val="fr-FR"/>
        </w:rPr>
        <w:t>Maharajgunj</w:t>
      </w:r>
      <w:proofErr w:type="spellEnd"/>
      <w:r w:rsidRPr="006E39C2">
        <w:rPr>
          <w:spacing w:val="-2"/>
          <w:lang w:val="fr-FR"/>
        </w:rPr>
        <w:t xml:space="preserve"> constituaient également une violation des droits reconnus par les articles</w:t>
      </w:r>
      <w:r>
        <w:rPr>
          <w:spacing w:val="-2"/>
          <w:lang w:val="fr-FR"/>
        </w:rPr>
        <w:t> </w:t>
      </w:r>
      <w:r w:rsidRPr="006E39C2">
        <w:rPr>
          <w:spacing w:val="-2"/>
          <w:lang w:val="fr-FR"/>
        </w:rPr>
        <w:t>7 et 10, paragraphe</w:t>
      </w:r>
      <w:r>
        <w:rPr>
          <w:spacing w:val="-2"/>
          <w:lang w:val="fr-FR"/>
        </w:rPr>
        <w:t> </w:t>
      </w:r>
      <w:r w:rsidRPr="006E39C2">
        <w:rPr>
          <w:spacing w:val="-2"/>
          <w:lang w:val="fr-FR"/>
        </w:rPr>
        <w:t>1, du Pacte. Selon les témoignages d</w:t>
      </w:r>
      <w:r>
        <w:rPr>
          <w:spacing w:val="-2"/>
          <w:lang w:val="fr-FR"/>
        </w:rPr>
        <w:t>’</w:t>
      </w:r>
      <w:r w:rsidRPr="006E39C2">
        <w:rPr>
          <w:spacing w:val="-2"/>
          <w:lang w:val="fr-FR"/>
        </w:rPr>
        <w:t>anciens détenus et les rapports de la</w:t>
      </w:r>
      <w:r>
        <w:rPr>
          <w:spacing w:val="-2"/>
          <w:lang w:val="fr-FR"/>
        </w:rPr>
        <w:t> </w:t>
      </w:r>
      <w:r w:rsidRPr="006E39C2">
        <w:rPr>
          <w:lang w:val="fr-FR"/>
        </w:rPr>
        <w:t>Commission nationale des droits de l</w:t>
      </w:r>
      <w:r>
        <w:rPr>
          <w:lang w:val="fr-FR"/>
        </w:rPr>
        <w:t>’</w:t>
      </w:r>
      <w:r w:rsidRPr="006E39C2">
        <w:rPr>
          <w:lang w:val="fr-FR"/>
        </w:rPr>
        <w:t>homme</w:t>
      </w:r>
      <w:r w:rsidRPr="009742D9">
        <w:rPr>
          <w:spacing w:val="-2"/>
          <w:lang w:val="fr-FR"/>
        </w:rPr>
        <w:t xml:space="preserve"> et </w:t>
      </w:r>
      <w:r w:rsidRPr="006E39C2">
        <w:rPr>
          <w:spacing w:val="-2"/>
          <w:lang w:val="fr-FR"/>
        </w:rPr>
        <w:t>du Bureau du HCDH au Népal</w:t>
      </w:r>
      <w:r w:rsidRPr="006E39C2">
        <w:rPr>
          <w:lang w:val="fr-FR"/>
        </w:rPr>
        <w:t xml:space="preserve">, </w:t>
      </w:r>
      <w:r w:rsidRPr="006E39C2">
        <w:rPr>
          <w:spacing w:val="-2"/>
          <w:lang w:val="fr-FR"/>
        </w:rPr>
        <w:t>les détenus étaient menottés et avaient les yeux bandés en permanence. Ils étaient placés dans des cellules surpeuplées, n</w:t>
      </w:r>
      <w:r>
        <w:rPr>
          <w:spacing w:val="-2"/>
          <w:lang w:val="fr-FR"/>
        </w:rPr>
        <w:t>’</w:t>
      </w:r>
      <w:r w:rsidRPr="006E39C2">
        <w:rPr>
          <w:spacing w:val="-2"/>
          <w:lang w:val="fr-FR"/>
        </w:rPr>
        <w:t>avaient qu</w:t>
      </w:r>
      <w:r>
        <w:rPr>
          <w:spacing w:val="-2"/>
          <w:lang w:val="fr-FR"/>
        </w:rPr>
        <w:t>’</w:t>
      </w:r>
      <w:r w:rsidRPr="006E39C2">
        <w:rPr>
          <w:spacing w:val="-2"/>
          <w:lang w:val="fr-FR"/>
        </w:rPr>
        <w:t>un accès limité à de la nourriture de très mauvaise qualité, et l</w:t>
      </w:r>
      <w:r>
        <w:rPr>
          <w:spacing w:val="-2"/>
          <w:lang w:val="fr-FR"/>
        </w:rPr>
        <w:t>’</w:t>
      </w:r>
      <w:r w:rsidRPr="006E39C2">
        <w:rPr>
          <w:spacing w:val="-2"/>
          <w:lang w:val="fr-FR"/>
        </w:rPr>
        <w:t>eau et les toilettes étaient sales. Ceux qui souffraient de maladies et d</w:t>
      </w:r>
      <w:r>
        <w:rPr>
          <w:spacing w:val="-2"/>
          <w:lang w:val="fr-FR"/>
        </w:rPr>
        <w:t>’</w:t>
      </w:r>
      <w:r w:rsidRPr="006E39C2">
        <w:rPr>
          <w:spacing w:val="-2"/>
          <w:lang w:val="fr-FR"/>
        </w:rPr>
        <w:t>infections ne recevai</w:t>
      </w:r>
      <w:r>
        <w:rPr>
          <w:spacing w:val="-2"/>
          <w:lang w:val="fr-FR"/>
        </w:rPr>
        <w:t>ent pas de traitement médical.</w:t>
      </w:r>
    </w:p>
    <w:p w:rsidR="00D856C9" w:rsidRPr="006E39C2" w:rsidRDefault="00D856C9" w:rsidP="00D856C9">
      <w:pPr>
        <w:pStyle w:val="SingleTxtG"/>
        <w:rPr>
          <w:lang w:val="fr-FR"/>
        </w:rPr>
      </w:pPr>
      <w:r>
        <w:rPr>
          <w:spacing w:val="-2"/>
          <w:lang w:val="fr-FR"/>
        </w:rPr>
        <w:t>3.5</w:t>
      </w:r>
      <w:r>
        <w:rPr>
          <w:spacing w:val="-2"/>
          <w:lang w:val="fr-FR"/>
        </w:rPr>
        <w:tab/>
      </w:r>
      <w:r w:rsidRPr="006E39C2">
        <w:rPr>
          <w:spacing w:val="-2"/>
          <w:lang w:val="fr-FR"/>
        </w:rPr>
        <w:t>Le mari de l</w:t>
      </w:r>
      <w:r>
        <w:rPr>
          <w:spacing w:val="-2"/>
          <w:lang w:val="fr-FR"/>
        </w:rPr>
        <w:t>’</w:t>
      </w:r>
      <w:r w:rsidRPr="006E39C2">
        <w:rPr>
          <w:spacing w:val="-2"/>
          <w:lang w:val="fr-FR"/>
        </w:rPr>
        <w:t>auteure a aussi été victime de violations des droits consacrés par les paragraphes</w:t>
      </w:r>
      <w:r>
        <w:rPr>
          <w:spacing w:val="-2"/>
          <w:lang w:val="fr-FR"/>
        </w:rPr>
        <w:t> </w:t>
      </w:r>
      <w:r w:rsidRPr="006E39C2">
        <w:rPr>
          <w:spacing w:val="-2"/>
          <w:lang w:val="fr-FR"/>
        </w:rPr>
        <w:t>1 à 4 de l</w:t>
      </w:r>
      <w:r>
        <w:rPr>
          <w:spacing w:val="-2"/>
          <w:lang w:val="fr-FR"/>
        </w:rPr>
        <w:t>’</w:t>
      </w:r>
      <w:r w:rsidRPr="006E39C2">
        <w:rPr>
          <w:spacing w:val="-2"/>
          <w:lang w:val="fr-FR"/>
        </w:rPr>
        <w:t>article</w:t>
      </w:r>
      <w:r>
        <w:rPr>
          <w:spacing w:val="-2"/>
          <w:lang w:val="fr-FR"/>
        </w:rPr>
        <w:t> </w:t>
      </w:r>
      <w:r w:rsidRPr="006E39C2">
        <w:rPr>
          <w:spacing w:val="-2"/>
          <w:lang w:val="fr-FR"/>
        </w:rPr>
        <w:t>9 du Pacte. Le fait qu</w:t>
      </w:r>
      <w:r>
        <w:rPr>
          <w:spacing w:val="-2"/>
          <w:lang w:val="fr-FR"/>
        </w:rPr>
        <w:t>’</w:t>
      </w:r>
      <w:r w:rsidRPr="006E39C2">
        <w:rPr>
          <w:spacing w:val="-2"/>
          <w:lang w:val="fr-FR"/>
        </w:rPr>
        <w:t xml:space="preserve">il ait été vu en vie pour la dernière fois aux mains de </w:t>
      </w:r>
      <w:r w:rsidRPr="006E39C2">
        <w:rPr>
          <w:lang w:val="fr-FR"/>
        </w:rPr>
        <w:t>l</w:t>
      </w:r>
      <w:r>
        <w:rPr>
          <w:lang w:val="fr-FR"/>
        </w:rPr>
        <w:t>’</w:t>
      </w:r>
      <w:r w:rsidRPr="006E39C2">
        <w:rPr>
          <w:lang w:val="fr-FR"/>
        </w:rPr>
        <w:t xml:space="preserve">Armée </w:t>
      </w:r>
      <w:r w:rsidRPr="006E39C2">
        <w:rPr>
          <w:spacing w:val="-2"/>
          <w:lang w:val="fr-FR"/>
        </w:rPr>
        <w:t xml:space="preserve">à la caserne de </w:t>
      </w:r>
      <w:proofErr w:type="spellStart"/>
      <w:r w:rsidRPr="006E39C2">
        <w:rPr>
          <w:spacing w:val="-2"/>
          <w:lang w:val="fr-FR"/>
        </w:rPr>
        <w:t>Maharajgunj</w:t>
      </w:r>
      <w:proofErr w:type="spellEnd"/>
      <w:r w:rsidRPr="006E39C2">
        <w:rPr>
          <w:spacing w:val="-2"/>
          <w:lang w:val="fr-FR"/>
        </w:rPr>
        <w:t>, dans le contexte d</w:t>
      </w:r>
      <w:r>
        <w:rPr>
          <w:spacing w:val="-2"/>
          <w:lang w:val="fr-FR"/>
        </w:rPr>
        <w:t>’</w:t>
      </w:r>
      <w:r w:rsidRPr="006E39C2">
        <w:rPr>
          <w:spacing w:val="-2"/>
          <w:lang w:val="fr-FR"/>
        </w:rPr>
        <w:t>arrestations massives de personnes soupçonnées d</w:t>
      </w:r>
      <w:r>
        <w:rPr>
          <w:spacing w:val="-2"/>
          <w:lang w:val="fr-FR"/>
        </w:rPr>
        <w:t>’</w:t>
      </w:r>
      <w:r w:rsidRPr="006E39C2">
        <w:rPr>
          <w:spacing w:val="-2"/>
          <w:lang w:val="fr-FR"/>
        </w:rPr>
        <w:t>être des maoïstes, permet de présumer qu</w:t>
      </w:r>
      <w:r>
        <w:rPr>
          <w:spacing w:val="-2"/>
          <w:lang w:val="fr-FR"/>
        </w:rPr>
        <w:t>’</w:t>
      </w:r>
      <w:r w:rsidRPr="006E39C2">
        <w:rPr>
          <w:spacing w:val="-2"/>
          <w:lang w:val="fr-FR"/>
        </w:rPr>
        <w:t>il a été arrêté le 26</w:t>
      </w:r>
      <w:r>
        <w:rPr>
          <w:spacing w:val="-2"/>
          <w:lang w:val="fr-FR"/>
        </w:rPr>
        <w:t> </w:t>
      </w:r>
      <w:r w:rsidRPr="006E39C2">
        <w:rPr>
          <w:spacing w:val="-2"/>
          <w:lang w:val="fr-FR"/>
        </w:rPr>
        <w:t>septembre 2003 par des agents de l</w:t>
      </w:r>
      <w:r>
        <w:rPr>
          <w:spacing w:val="-2"/>
          <w:lang w:val="fr-FR"/>
        </w:rPr>
        <w:t>’</w:t>
      </w:r>
      <w:r w:rsidRPr="006E39C2">
        <w:rPr>
          <w:spacing w:val="-2"/>
          <w:lang w:val="fr-FR"/>
        </w:rPr>
        <w:t>État, sans aucun fondement juridique. Sa détention n</w:t>
      </w:r>
      <w:r>
        <w:rPr>
          <w:spacing w:val="-2"/>
          <w:lang w:val="fr-FR"/>
        </w:rPr>
        <w:t>’</w:t>
      </w:r>
      <w:r w:rsidRPr="006E39C2">
        <w:rPr>
          <w:spacing w:val="-2"/>
          <w:lang w:val="fr-FR"/>
        </w:rPr>
        <w:t>a pas été consignée dans un registre officiel ni enregistrée et ses proches ne l</w:t>
      </w:r>
      <w:r>
        <w:rPr>
          <w:spacing w:val="-2"/>
          <w:lang w:val="fr-FR"/>
        </w:rPr>
        <w:t>’</w:t>
      </w:r>
      <w:r w:rsidRPr="006E39C2">
        <w:rPr>
          <w:spacing w:val="-2"/>
          <w:lang w:val="fr-FR"/>
        </w:rPr>
        <w:t>ont jamais revu. Il n</w:t>
      </w:r>
      <w:r>
        <w:rPr>
          <w:spacing w:val="-2"/>
          <w:lang w:val="fr-FR"/>
        </w:rPr>
        <w:t>’</w:t>
      </w:r>
      <w:r w:rsidRPr="006E39C2">
        <w:rPr>
          <w:spacing w:val="-2"/>
          <w:lang w:val="fr-FR"/>
        </w:rPr>
        <w:t>a jamais été inculpé et n</w:t>
      </w:r>
      <w:r>
        <w:rPr>
          <w:spacing w:val="-2"/>
          <w:lang w:val="fr-FR"/>
        </w:rPr>
        <w:t>’</w:t>
      </w:r>
      <w:r w:rsidRPr="006E39C2">
        <w:rPr>
          <w:spacing w:val="-2"/>
          <w:lang w:val="fr-FR"/>
        </w:rPr>
        <w:t xml:space="preserve">a pas non plus été présenté à un juge ou </w:t>
      </w:r>
      <w:r w:rsidRPr="006E39C2">
        <w:rPr>
          <w:lang w:val="fr-FR"/>
        </w:rPr>
        <w:t>à tout autre agent habilité par la loi à exercer le pouvoir judiciaire</w:t>
      </w:r>
      <w:r w:rsidRPr="006E39C2">
        <w:rPr>
          <w:spacing w:val="-2"/>
          <w:lang w:val="fr-FR"/>
        </w:rPr>
        <w:t>. Il n</w:t>
      </w:r>
      <w:r>
        <w:rPr>
          <w:spacing w:val="-2"/>
          <w:lang w:val="fr-FR"/>
        </w:rPr>
        <w:t>’</w:t>
      </w:r>
      <w:r w:rsidRPr="006E39C2">
        <w:rPr>
          <w:spacing w:val="-2"/>
          <w:lang w:val="fr-FR"/>
        </w:rPr>
        <w:t xml:space="preserve">a pas eu la possibilité </w:t>
      </w:r>
      <w:r w:rsidRPr="006E39C2">
        <w:rPr>
          <w:lang w:val="fr-FR"/>
        </w:rPr>
        <w:t>d</w:t>
      </w:r>
      <w:r>
        <w:rPr>
          <w:lang w:val="fr-FR"/>
        </w:rPr>
        <w:t>’</w:t>
      </w:r>
      <w:r w:rsidRPr="006E39C2">
        <w:rPr>
          <w:lang w:val="fr-FR"/>
        </w:rPr>
        <w:t>engager une action devant un tribunal pour contest</w:t>
      </w:r>
      <w:r>
        <w:rPr>
          <w:lang w:val="fr-FR"/>
        </w:rPr>
        <w:t>er la légalité de sa détention.</w:t>
      </w:r>
    </w:p>
    <w:p w:rsidR="00D856C9" w:rsidRPr="006E39C2" w:rsidRDefault="00D856C9" w:rsidP="00D856C9">
      <w:pPr>
        <w:pStyle w:val="SingleTxtG"/>
        <w:rPr>
          <w:lang w:val="fr-FR"/>
        </w:rPr>
      </w:pPr>
      <w:r w:rsidRPr="006E39C2">
        <w:rPr>
          <w:lang w:val="fr-FR"/>
        </w:rPr>
        <w:t>3.6</w:t>
      </w:r>
      <w:r w:rsidRPr="006E39C2">
        <w:rPr>
          <w:lang w:val="fr-FR"/>
        </w:rPr>
        <w:tab/>
        <w:t>Compte tenu de sa disparition forcée et du fait que les autorités n</w:t>
      </w:r>
      <w:r>
        <w:rPr>
          <w:lang w:val="fr-FR"/>
        </w:rPr>
        <w:t>’</w:t>
      </w:r>
      <w:r w:rsidRPr="006E39C2">
        <w:rPr>
          <w:lang w:val="fr-FR"/>
        </w:rPr>
        <w:t>ont pas mené d</w:t>
      </w:r>
      <w:r>
        <w:rPr>
          <w:lang w:val="fr-FR"/>
        </w:rPr>
        <w:t>’</w:t>
      </w:r>
      <w:r w:rsidRPr="006E39C2">
        <w:rPr>
          <w:lang w:val="fr-FR"/>
        </w:rPr>
        <w:t>enquête efficace pour déterminer où il se trouvait et ce qui lui était arrivé, M.</w:t>
      </w:r>
      <w:r>
        <w:rPr>
          <w:lang w:val="fr-FR"/>
        </w:rPr>
        <w:t> </w:t>
      </w:r>
      <w:proofErr w:type="spellStart"/>
      <w:r w:rsidRPr="006E39C2">
        <w:rPr>
          <w:lang w:val="fr-FR"/>
        </w:rPr>
        <w:t>Tripathi</w:t>
      </w:r>
      <w:proofErr w:type="spellEnd"/>
      <w:r w:rsidRPr="006E39C2">
        <w:rPr>
          <w:lang w:val="fr-FR"/>
        </w:rPr>
        <w:t xml:space="preserve"> est depuis septembre 2003 </w:t>
      </w:r>
      <w:r w:rsidRPr="00E6433C">
        <w:rPr>
          <w:lang w:val="fr-FR"/>
        </w:rPr>
        <w:t xml:space="preserve">soustrait </w:t>
      </w:r>
      <w:r w:rsidRPr="006E39C2">
        <w:rPr>
          <w:lang w:val="fr-FR"/>
        </w:rPr>
        <w:t>à la protection de la loi, ce qui l</w:t>
      </w:r>
      <w:r>
        <w:rPr>
          <w:lang w:val="fr-FR"/>
        </w:rPr>
        <w:t>’</w:t>
      </w:r>
      <w:r w:rsidRPr="006E39C2">
        <w:rPr>
          <w:lang w:val="fr-FR"/>
        </w:rPr>
        <w:t>empêche de jouir de ses droits de l</w:t>
      </w:r>
      <w:r>
        <w:rPr>
          <w:lang w:val="fr-FR"/>
        </w:rPr>
        <w:t>’</w:t>
      </w:r>
      <w:r w:rsidRPr="006E39C2">
        <w:rPr>
          <w:lang w:val="fr-FR"/>
        </w:rPr>
        <w:t>homme et de ses libertés. En conséquence, l</w:t>
      </w:r>
      <w:r>
        <w:rPr>
          <w:lang w:val="fr-FR"/>
        </w:rPr>
        <w:t>’</w:t>
      </w:r>
      <w:r w:rsidRPr="006E39C2">
        <w:rPr>
          <w:lang w:val="fr-FR"/>
        </w:rPr>
        <w:t>État partie est responsable d</w:t>
      </w:r>
      <w:r>
        <w:rPr>
          <w:lang w:val="fr-FR"/>
        </w:rPr>
        <w:t>’</w:t>
      </w:r>
      <w:r w:rsidRPr="006E39C2">
        <w:rPr>
          <w:lang w:val="fr-FR"/>
        </w:rPr>
        <w:t>une violation continue de l</w:t>
      </w:r>
      <w:r>
        <w:rPr>
          <w:lang w:val="fr-FR"/>
        </w:rPr>
        <w:t>’</w:t>
      </w:r>
      <w:r w:rsidRPr="006E39C2">
        <w:rPr>
          <w:lang w:val="fr-FR"/>
        </w:rPr>
        <w:t>article</w:t>
      </w:r>
      <w:r>
        <w:rPr>
          <w:lang w:val="fr-FR"/>
        </w:rPr>
        <w:t> </w:t>
      </w:r>
      <w:r w:rsidRPr="006E39C2">
        <w:rPr>
          <w:lang w:val="fr-FR"/>
        </w:rPr>
        <w:t>16 du Pacte.</w:t>
      </w:r>
    </w:p>
    <w:p w:rsidR="00D856C9" w:rsidRPr="006E39C2" w:rsidRDefault="00D856C9" w:rsidP="00D856C9">
      <w:pPr>
        <w:pStyle w:val="SingleTxtG"/>
        <w:rPr>
          <w:spacing w:val="-2"/>
          <w:lang w:val="fr-FR"/>
        </w:rPr>
      </w:pPr>
      <w:r w:rsidRPr="006E39C2">
        <w:rPr>
          <w:spacing w:val="-2"/>
          <w:lang w:val="fr-FR"/>
        </w:rPr>
        <w:t>3.7</w:t>
      </w:r>
      <w:r w:rsidRPr="006E39C2">
        <w:rPr>
          <w:spacing w:val="-2"/>
          <w:lang w:val="fr-FR"/>
        </w:rPr>
        <w:tab/>
        <w:t>L</w:t>
      </w:r>
      <w:r>
        <w:rPr>
          <w:spacing w:val="-2"/>
          <w:lang w:val="fr-FR"/>
        </w:rPr>
        <w:t>’</w:t>
      </w:r>
      <w:r w:rsidRPr="006E39C2">
        <w:rPr>
          <w:spacing w:val="-2"/>
          <w:lang w:val="fr-FR"/>
        </w:rPr>
        <w:t>auteure affirme que la détention arbitraire, la disparition forcée et la privation arbitraire présumée de la vie de son mari étaient directement liées à son appartenance à</w:t>
      </w:r>
      <w:r>
        <w:rPr>
          <w:spacing w:val="-2"/>
          <w:lang w:val="fr-FR"/>
        </w:rPr>
        <w:t> </w:t>
      </w:r>
      <w:r w:rsidRPr="006E39C2">
        <w:rPr>
          <w:spacing w:val="-2"/>
          <w:lang w:val="fr-FR"/>
        </w:rPr>
        <w:t>l</w:t>
      </w:r>
      <w:r>
        <w:rPr>
          <w:spacing w:val="-2"/>
          <w:lang w:val="fr-FR"/>
        </w:rPr>
        <w:t>’</w:t>
      </w:r>
      <w:r w:rsidRPr="006E39C2">
        <w:rPr>
          <w:spacing w:val="-2"/>
          <w:lang w:val="fr-FR"/>
        </w:rPr>
        <w:t>ANNISU-R et, en conséquence, constituent une violation du droit consacré au paragraphe</w:t>
      </w:r>
      <w:r>
        <w:rPr>
          <w:spacing w:val="-2"/>
          <w:lang w:val="fr-FR"/>
        </w:rPr>
        <w:t> </w:t>
      </w:r>
      <w:r w:rsidRPr="006E39C2">
        <w:rPr>
          <w:spacing w:val="-2"/>
          <w:lang w:val="fr-FR"/>
        </w:rPr>
        <w:t>1 de l</w:t>
      </w:r>
      <w:r>
        <w:rPr>
          <w:spacing w:val="-2"/>
          <w:lang w:val="fr-FR"/>
        </w:rPr>
        <w:t>’</w:t>
      </w:r>
      <w:r w:rsidRPr="006E39C2">
        <w:rPr>
          <w:spacing w:val="-2"/>
          <w:lang w:val="fr-FR"/>
        </w:rPr>
        <w:t>article</w:t>
      </w:r>
      <w:r>
        <w:rPr>
          <w:spacing w:val="-2"/>
          <w:lang w:val="fr-FR"/>
        </w:rPr>
        <w:t> </w:t>
      </w:r>
      <w:r w:rsidRPr="006E39C2">
        <w:rPr>
          <w:spacing w:val="-2"/>
          <w:lang w:val="fr-FR"/>
        </w:rPr>
        <w:t>22 du Pacte.</w:t>
      </w:r>
    </w:p>
    <w:p w:rsidR="00D856C9" w:rsidRPr="006E39C2" w:rsidRDefault="00D856C9" w:rsidP="00D856C9">
      <w:pPr>
        <w:pStyle w:val="SingleTxtG"/>
        <w:rPr>
          <w:spacing w:val="-2"/>
          <w:lang w:val="fr-FR"/>
        </w:rPr>
      </w:pPr>
      <w:r>
        <w:rPr>
          <w:lang w:val="fr-FR"/>
        </w:rPr>
        <w:t>3.8</w:t>
      </w:r>
      <w:r w:rsidRPr="006E39C2">
        <w:rPr>
          <w:lang w:val="fr-FR"/>
        </w:rPr>
        <w:tab/>
      </w:r>
      <w:r w:rsidRPr="006E39C2">
        <w:rPr>
          <w:spacing w:val="-2"/>
          <w:lang w:val="fr-FR"/>
        </w:rPr>
        <w:t>Bien que l</w:t>
      </w:r>
      <w:r>
        <w:rPr>
          <w:spacing w:val="-2"/>
          <w:lang w:val="fr-FR"/>
        </w:rPr>
        <w:t>’</w:t>
      </w:r>
      <w:r w:rsidRPr="006E39C2">
        <w:rPr>
          <w:spacing w:val="-2"/>
          <w:lang w:val="fr-FR"/>
        </w:rPr>
        <w:t>auteure ait rapidement signalé la privation arbitraire de liberté et la disparition forcée de son mari, il n</w:t>
      </w:r>
      <w:r>
        <w:rPr>
          <w:spacing w:val="-2"/>
          <w:lang w:val="fr-FR"/>
        </w:rPr>
        <w:t>’</w:t>
      </w:r>
      <w:r w:rsidRPr="006E39C2">
        <w:rPr>
          <w:spacing w:val="-2"/>
          <w:lang w:val="fr-FR"/>
        </w:rPr>
        <w:t>y a eu aucune enquête d</w:t>
      </w:r>
      <w:r>
        <w:rPr>
          <w:spacing w:val="-2"/>
          <w:lang w:val="fr-FR"/>
        </w:rPr>
        <w:t>’</w:t>
      </w:r>
      <w:r w:rsidRPr="006E39C2">
        <w:rPr>
          <w:spacing w:val="-2"/>
          <w:lang w:val="fr-FR"/>
        </w:rPr>
        <w:t>office diligente, impartiale, approfondie et indépendante et le sort de son mari ainsi que le lieu où il se trouve restent inconnus. En outre, jusqu</w:t>
      </w:r>
      <w:r>
        <w:rPr>
          <w:spacing w:val="-2"/>
          <w:lang w:val="fr-FR"/>
        </w:rPr>
        <w:t>’</w:t>
      </w:r>
      <w:r w:rsidRPr="006E39C2">
        <w:rPr>
          <w:spacing w:val="-2"/>
          <w:lang w:val="fr-FR"/>
        </w:rPr>
        <w:t>à ce jour, nul n</w:t>
      </w:r>
      <w:r>
        <w:rPr>
          <w:spacing w:val="-2"/>
          <w:lang w:val="fr-FR"/>
        </w:rPr>
        <w:t>’</w:t>
      </w:r>
      <w:r w:rsidRPr="006E39C2">
        <w:rPr>
          <w:spacing w:val="-2"/>
          <w:lang w:val="fr-FR"/>
        </w:rPr>
        <w:t>a été convoqué ou condamné pour la privation arbitraire de liberté, la disparition forcée, la torture et la très probable exécution arbitraire dont son mari a été victime et la dissimulation subséquente de sa dépouille. Il en résulte que l</w:t>
      </w:r>
      <w:r>
        <w:rPr>
          <w:spacing w:val="-2"/>
          <w:lang w:val="fr-FR"/>
        </w:rPr>
        <w:t>’</w:t>
      </w:r>
      <w:r w:rsidRPr="006E39C2">
        <w:rPr>
          <w:spacing w:val="-2"/>
          <w:lang w:val="fr-FR"/>
        </w:rPr>
        <w:t>État partie a violé et continue de violer les droits consacrés par l</w:t>
      </w:r>
      <w:r>
        <w:rPr>
          <w:spacing w:val="-2"/>
          <w:lang w:val="fr-FR"/>
        </w:rPr>
        <w:t>’</w:t>
      </w:r>
      <w:r w:rsidRPr="006E39C2">
        <w:rPr>
          <w:spacing w:val="-2"/>
          <w:lang w:val="fr-FR"/>
        </w:rPr>
        <w:t>article</w:t>
      </w:r>
      <w:r>
        <w:rPr>
          <w:spacing w:val="-2"/>
          <w:lang w:val="fr-FR"/>
        </w:rPr>
        <w:t> </w:t>
      </w:r>
      <w:r w:rsidRPr="006E39C2">
        <w:rPr>
          <w:spacing w:val="-2"/>
          <w:lang w:val="fr-FR"/>
        </w:rPr>
        <w:t>6, paragraphe</w:t>
      </w:r>
      <w:r>
        <w:rPr>
          <w:spacing w:val="-2"/>
          <w:lang w:val="fr-FR"/>
        </w:rPr>
        <w:t> </w:t>
      </w:r>
      <w:r w:rsidRPr="006E39C2">
        <w:rPr>
          <w:spacing w:val="-2"/>
          <w:lang w:val="fr-FR"/>
        </w:rPr>
        <w:t>1, l</w:t>
      </w:r>
      <w:r>
        <w:rPr>
          <w:spacing w:val="-2"/>
          <w:lang w:val="fr-FR"/>
        </w:rPr>
        <w:t>’</w:t>
      </w:r>
      <w:r w:rsidRPr="006E39C2">
        <w:rPr>
          <w:spacing w:val="-2"/>
          <w:lang w:val="fr-FR"/>
        </w:rPr>
        <w:t>article</w:t>
      </w:r>
      <w:r>
        <w:rPr>
          <w:spacing w:val="-2"/>
          <w:lang w:val="fr-FR"/>
        </w:rPr>
        <w:t> </w:t>
      </w:r>
      <w:r w:rsidRPr="006E39C2">
        <w:rPr>
          <w:spacing w:val="-2"/>
          <w:lang w:val="fr-FR"/>
        </w:rPr>
        <w:t>7, l</w:t>
      </w:r>
      <w:r>
        <w:rPr>
          <w:spacing w:val="-2"/>
          <w:lang w:val="fr-FR"/>
        </w:rPr>
        <w:t>’</w:t>
      </w:r>
      <w:r w:rsidRPr="006E39C2">
        <w:rPr>
          <w:spacing w:val="-2"/>
          <w:lang w:val="fr-FR"/>
        </w:rPr>
        <w:t>article</w:t>
      </w:r>
      <w:r>
        <w:rPr>
          <w:spacing w:val="-2"/>
          <w:lang w:val="fr-FR"/>
        </w:rPr>
        <w:t> </w:t>
      </w:r>
      <w:r w:rsidRPr="006E39C2">
        <w:rPr>
          <w:spacing w:val="-2"/>
          <w:lang w:val="fr-FR"/>
        </w:rPr>
        <w:t>9, paragraphes</w:t>
      </w:r>
      <w:r>
        <w:rPr>
          <w:spacing w:val="-2"/>
          <w:lang w:val="fr-FR"/>
        </w:rPr>
        <w:t> </w:t>
      </w:r>
      <w:r w:rsidRPr="006E39C2">
        <w:rPr>
          <w:spacing w:val="-2"/>
          <w:lang w:val="fr-FR"/>
        </w:rPr>
        <w:t>1 à 4, l</w:t>
      </w:r>
      <w:r>
        <w:rPr>
          <w:spacing w:val="-2"/>
          <w:lang w:val="fr-FR"/>
        </w:rPr>
        <w:t>’</w:t>
      </w:r>
      <w:r w:rsidRPr="006E39C2">
        <w:rPr>
          <w:spacing w:val="-2"/>
          <w:lang w:val="fr-FR"/>
        </w:rPr>
        <w:t>article</w:t>
      </w:r>
      <w:r>
        <w:rPr>
          <w:spacing w:val="-2"/>
          <w:lang w:val="fr-FR"/>
        </w:rPr>
        <w:t> </w:t>
      </w:r>
      <w:r w:rsidRPr="006E39C2">
        <w:rPr>
          <w:spacing w:val="-2"/>
          <w:lang w:val="fr-FR"/>
        </w:rPr>
        <w:t>10, paragraphe</w:t>
      </w:r>
      <w:r>
        <w:rPr>
          <w:spacing w:val="-2"/>
          <w:lang w:val="fr-FR"/>
        </w:rPr>
        <w:t> </w:t>
      </w:r>
      <w:r w:rsidRPr="006E39C2">
        <w:rPr>
          <w:spacing w:val="-2"/>
          <w:lang w:val="fr-FR"/>
        </w:rPr>
        <w:t>1, et les articles</w:t>
      </w:r>
      <w:r>
        <w:rPr>
          <w:spacing w:val="-2"/>
          <w:lang w:val="fr-FR"/>
        </w:rPr>
        <w:t> </w:t>
      </w:r>
      <w:r w:rsidRPr="006E39C2">
        <w:rPr>
          <w:spacing w:val="-2"/>
          <w:lang w:val="fr-FR"/>
        </w:rPr>
        <w:t>16 et 22, lu</w:t>
      </w:r>
      <w:r w:rsidR="005C15DE">
        <w:rPr>
          <w:spacing w:val="-2"/>
          <w:lang w:val="fr-FR"/>
        </w:rPr>
        <w:t> </w:t>
      </w:r>
      <w:r w:rsidRPr="006E39C2">
        <w:rPr>
          <w:spacing w:val="-2"/>
          <w:lang w:val="fr-FR"/>
        </w:rPr>
        <w:t>conjointement avec l</w:t>
      </w:r>
      <w:r>
        <w:rPr>
          <w:spacing w:val="-2"/>
          <w:lang w:val="fr-FR"/>
        </w:rPr>
        <w:t>’</w:t>
      </w:r>
      <w:r w:rsidRPr="006E39C2">
        <w:rPr>
          <w:spacing w:val="-2"/>
          <w:lang w:val="fr-FR"/>
        </w:rPr>
        <w:t>article</w:t>
      </w:r>
      <w:r>
        <w:rPr>
          <w:spacing w:val="-2"/>
          <w:lang w:val="fr-FR"/>
        </w:rPr>
        <w:t> </w:t>
      </w:r>
      <w:r w:rsidRPr="006E39C2">
        <w:rPr>
          <w:spacing w:val="-2"/>
          <w:lang w:val="fr-FR"/>
        </w:rPr>
        <w:t>2, paragraphe</w:t>
      </w:r>
      <w:r>
        <w:rPr>
          <w:spacing w:val="-2"/>
          <w:lang w:val="fr-FR"/>
        </w:rPr>
        <w:t> </w:t>
      </w:r>
      <w:r w:rsidRPr="006E39C2">
        <w:rPr>
          <w:spacing w:val="-2"/>
          <w:lang w:val="fr-FR"/>
        </w:rPr>
        <w:t xml:space="preserve">3, du Pacte. </w:t>
      </w:r>
    </w:p>
    <w:p w:rsidR="00D856C9" w:rsidRPr="006E39C2" w:rsidRDefault="00D856C9" w:rsidP="00D856C9">
      <w:pPr>
        <w:pStyle w:val="SingleTxtG"/>
        <w:rPr>
          <w:lang w:val="fr-FR"/>
        </w:rPr>
      </w:pPr>
      <w:r>
        <w:rPr>
          <w:lang w:val="fr-FR"/>
        </w:rPr>
        <w:t>3.9</w:t>
      </w:r>
      <w:r w:rsidRPr="006E39C2">
        <w:rPr>
          <w:lang w:val="fr-FR"/>
        </w:rPr>
        <w:tab/>
        <w:t>L</w:t>
      </w:r>
      <w:r>
        <w:rPr>
          <w:lang w:val="fr-FR"/>
        </w:rPr>
        <w:t>’</w:t>
      </w:r>
      <w:r w:rsidRPr="006E39C2">
        <w:rPr>
          <w:lang w:val="fr-FR"/>
        </w:rPr>
        <w:t>auteure affirme que l</w:t>
      </w:r>
      <w:r>
        <w:rPr>
          <w:lang w:val="fr-FR"/>
        </w:rPr>
        <w:t>’</w:t>
      </w:r>
      <w:r w:rsidRPr="006E39C2">
        <w:rPr>
          <w:lang w:val="fr-FR"/>
        </w:rPr>
        <w:t>État partie a violé les droits qu</w:t>
      </w:r>
      <w:r>
        <w:rPr>
          <w:lang w:val="fr-FR"/>
        </w:rPr>
        <w:t>’</w:t>
      </w:r>
      <w:r w:rsidRPr="006E39C2">
        <w:rPr>
          <w:lang w:val="fr-FR"/>
        </w:rPr>
        <w:t>elle tient de l</w:t>
      </w:r>
      <w:r>
        <w:rPr>
          <w:lang w:val="fr-FR"/>
        </w:rPr>
        <w:t>’</w:t>
      </w:r>
      <w:r w:rsidRPr="006E39C2">
        <w:rPr>
          <w:lang w:val="fr-FR"/>
        </w:rPr>
        <w:t>article</w:t>
      </w:r>
      <w:r>
        <w:rPr>
          <w:lang w:val="fr-FR"/>
        </w:rPr>
        <w:t> </w:t>
      </w:r>
      <w:r w:rsidRPr="006E39C2">
        <w:rPr>
          <w:lang w:val="fr-FR"/>
        </w:rPr>
        <w:t>7, lu conjointement avec l</w:t>
      </w:r>
      <w:r>
        <w:rPr>
          <w:lang w:val="fr-FR"/>
        </w:rPr>
        <w:t>’</w:t>
      </w:r>
      <w:r w:rsidRPr="006E39C2">
        <w:rPr>
          <w:lang w:val="fr-FR"/>
        </w:rPr>
        <w:t>article</w:t>
      </w:r>
      <w:r>
        <w:rPr>
          <w:lang w:val="fr-FR"/>
        </w:rPr>
        <w:t> </w:t>
      </w:r>
      <w:r w:rsidRPr="006E39C2">
        <w:rPr>
          <w:lang w:val="fr-FR"/>
        </w:rPr>
        <w:t>2, paragraphe</w:t>
      </w:r>
      <w:r>
        <w:rPr>
          <w:lang w:val="fr-FR"/>
        </w:rPr>
        <w:t> </w:t>
      </w:r>
      <w:r w:rsidRPr="006E39C2">
        <w:rPr>
          <w:lang w:val="fr-FR"/>
        </w:rPr>
        <w:t>3, du Pacte, car elle a été plongée dans une angoisse et une détresse profondes en raison de l</w:t>
      </w:r>
      <w:r>
        <w:rPr>
          <w:lang w:val="fr-FR"/>
        </w:rPr>
        <w:t>’</w:t>
      </w:r>
      <w:r w:rsidRPr="006E39C2">
        <w:rPr>
          <w:lang w:val="fr-FR"/>
        </w:rPr>
        <w:t xml:space="preserve">arrestation arbitraire puis de la disparition forcée de son mari, ainsi que des actes et omissions des autorités dans le </w:t>
      </w:r>
      <w:r w:rsidRPr="00E6433C">
        <w:rPr>
          <w:lang w:val="fr-FR"/>
        </w:rPr>
        <w:t>traitement de ces problèmes</w:t>
      </w:r>
      <w:r w:rsidRPr="006E39C2">
        <w:rPr>
          <w:lang w:val="fr-FR"/>
        </w:rPr>
        <w:t>. À</w:t>
      </w:r>
      <w:r>
        <w:rPr>
          <w:lang w:val="fr-FR"/>
        </w:rPr>
        <w:t> </w:t>
      </w:r>
      <w:r w:rsidRPr="006E39C2">
        <w:rPr>
          <w:lang w:val="fr-FR"/>
        </w:rPr>
        <w:t xml:space="preserve">la suite de la disparition de son mari, elle a dû élever sa fille toute seule. À ce sujet, elle fait valoir que les épouses et les familles des personnes disparues sont souvent stigmatisées au Népal. </w:t>
      </w:r>
    </w:p>
    <w:p w:rsidR="00D856C9" w:rsidRPr="006E39C2" w:rsidRDefault="00D856C9" w:rsidP="00D856C9">
      <w:pPr>
        <w:pStyle w:val="SingleTxtG"/>
        <w:rPr>
          <w:lang w:val="fr-FR"/>
        </w:rPr>
      </w:pPr>
      <w:r w:rsidRPr="006E39C2">
        <w:rPr>
          <w:lang w:val="fr-FR"/>
        </w:rPr>
        <w:t>3.10</w:t>
      </w:r>
      <w:r w:rsidRPr="006E39C2">
        <w:rPr>
          <w:lang w:val="fr-FR"/>
        </w:rPr>
        <w:tab/>
        <w:t>L</w:t>
      </w:r>
      <w:r>
        <w:rPr>
          <w:lang w:val="fr-FR"/>
        </w:rPr>
        <w:t>’</w:t>
      </w:r>
      <w:r w:rsidRPr="006E39C2">
        <w:rPr>
          <w:lang w:val="fr-FR"/>
        </w:rPr>
        <w:t>auteure affirme aussi que sa fille est victime d</w:t>
      </w:r>
      <w:r>
        <w:rPr>
          <w:lang w:val="fr-FR"/>
        </w:rPr>
        <w:t>’</w:t>
      </w:r>
      <w:r w:rsidRPr="006E39C2">
        <w:rPr>
          <w:lang w:val="fr-FR"/>
        </w:rPr>
        <w:t>une violation des droits qu</w:t>
      </w:r>
      <w:r>
        <w:rPr>
          <w:lang w:val="fr-FR"/>
        </w:rPr>
        <w:t>’</w:t>
      </w:r>
      <w:r w:rsidRPr="006E39C2">
        <w:rPr>
          <w:lang w:val="fr-FR"/>
        </w:rPr>
        <w:t>elle tient de l</w:t>
      </w:r>
      <w:r>
        <w:rPr>
          <w:lang w:val="fr-FR"/>
        </w:rPr>
        <w:t>’</w:t>
      </w:r>
      <w:r w:rsidRPr="006E39C2">
        <w:rPr>
          <w:lang w:val="fr-FR"/>
        </w:rPr>
        <w:t>article</w:t>
      </w:r>
      <w:r>
        <w:rPr>
          <w:lang w:val="fr-FR"/>
        </w:rPr>
        <w:t> </w:t>
      </w:r>
      <w:r w:rsidRPr="006E39C2">
        <w:rPr>
          <w:lang w:val="fr-FR"/>
        </w:rPr>
        <w:t>7, lu conjointement avec l</w:t>
      </w:r>
      <w:r>
        <w:rPr>
          <w:lang w:val="fr-FR"/>
        </w:rPr>
        <w:t>’</w:t>
      </w:r>
      <w:r w:rsidRPr="006E39C2">
        <w:rPr>
          <w:lang w:val="fr-FR"/>
        </w:rPr>
        <w:t>article</w:t>
      </w:r>
      <w:r>
        <w:rPr>
          <w:lang w:val="fr-FR"/>
        </w:rPr>
        <w:t> </w:t>
      </w:r>
      <w:r w:rsidRPr="006E39C2">
        <w:rPr>
          <w:lang w:val="fr-FR"/>
        </w:rPr>
        <w:t>2, paragraphe</w:t>
      </w:r>
      <w:r>
        <w:rPr>
          <w:lang w:val="fr-FR"/>
        </w:rPr>
        <w:t> </w:t>
      </w:r>
      <w:r w:rsidRPr="006E39C2">
        <w:rPr>
          <w:lang w:val="fr-FR"/>
        </w:rPr>
        <w:t>3, et l</w:t>
      </w:r>
      <w:r>
        <w:rPr>
          <w:lang w:val="fr-FR"/>
        </w:rPr>
        <w:t>’</w:t>
      </w:r>
      <w:r w:rsidRPr="006E39C2">
        <w:rPr>
          <w:lang w:val="fr-FR"/>
        </w:rPr>
        <w:t>article</w:t>
      </w:r>
      <w:r>
        <w:rPr>
          <w:lang w:val="fr-FR"/>
        </w:rPr>
        <w:t> </w:t>
      </w:r>
      <w:r w:rsidRPr="006E39C2">
        <w:rPr>
          <w:lang w:val="fr-FR"/>
        </w:rPr>
        <w:t>24, paragraphe</w:t>
      </w:r>
      <w:r>
        <w:rPr>
          <w:lang w:val="fr-FR"/>
        </w:rPr>
        <w:t> </w:t>
      </w:r>
      <w:r w:rsidRPr="006E39C2">
        <w:rPr>
          <w:lang w:val="fr-FR"/>
        </w:rPr>
        <w:t>1, du Pacte. La fillette était âgée de un</w:t>
      </w:r>
      <w:r>
        <w:rPr>
          <w:lang w:val="fr-FR"/>
        </w:rPr>
        <w:t> </w:t>
      </w:r>
      <w:r w:rsidRPr="006E39C2">
        <w:rPr>
          <w:lang w:val="fr-FR"/>
        </w:rPr>
        <w:t>an et huit</w:t>
      </w:r>
      <w:r>
        <w:rPr>
          <w:lang w:val="fr-FR"/>
        </w:rPr>
        <w:t> </w:t>
      </w:r>
      <w:r w:rsidRPr="006E39C2">
        <w:rPr>
          <w:lang w:val="fr-FR"/>
        </w:rPr>
        <w:t>mois au moment de la disparition de son père. En tant qu</w:t>
      </w:r>
      <w:r>
        <w:rPr>
          <w:lang w:val="fr-FR"/>
        </w:rPr>
        <w:t>’</w:t>
      </w:r>
      <w:r w:rsidRPr="006E39C2">
        <w:rPr>
          <w:lang w:val="fr-FR"/>
        </w:rPr>
        <w:t>enfant, elle a été particulièrement touchée car elle a dû grandir sans pouvoir jouir d</w:t>
      </w:r>
      <w:r>
        <w:rPr>
          <w:lang w:val="fr-FR"/>
        </w:rPr>
        <w:t>’</w:t>
      </w:r>
      <w:r w:rsidRPr="006E39C2">
        <w:rPr>
          <w:lang w:val="fr-FR"/>
        </w:rPr>
        <w:t>une vie de famille et elle vit dans l</w:t>
      </w:r>
      <w:r>
        <w:rPr>
          <w:lang w:val="fr-FR"/>
        </w:rPr>
        <w:t>’</w:t>
      </w:r>
      <w:r w:rsidRPr="006E39C2">
        <w:rPr>
          <w:lang w:val="fr-FR"/>
        </w:rPr>
        <w:t>angoisse permanente de ne pas savoir où est son père et s</w:t>
      </w:r>
      <w:r>
        <w:rPr>
          <w:lang w:val="fr-FR"/>
        </w:rPr>
        <w:t>’</w:t>
      </w:r>
      <w:r w:rsidRPr="006E39C2">
        <w:rPr>
          <w:lang w:val="fr-FR"/>
        </w:rPr>
        <w:t xml:space="preserve">il va revenir. </w:t>
      </w:r>
    </w:p>
    <w:p w:rsidR="00D856C9" w:rsidRPr="006E39C2" w:rsidRDefault="00D856C9" w:rsidP="00D856C9">
      <w:pPr>
        <w:pStyle w:val="SingleTxtG"/>
        <w:rPr>
          <w:lang w:val="fr-FR"/>
        </w:rPr>
      </w:pPr>
      <w:r w:rsidRPr="006E39C2">
        <w:rPr>
          <w:lang w:val="fr-FR"/>
        </w:rPr>
        <w:t>3.11</w:t>
      </w:r>
      <w:r w:rsidRPr="006E39C2">
        <w:rPr>
          <w:lang w:val="fr-FR"/>
        </w:rPr>
        <w:tab/>
        <w:t>L</w:t>
      </w:r>
      <w:r>
        <w:rPr>
          <w:lang w:val="fr-FR"/>
        </w:rPr>
        <w:t>’</w:t>
      </w:r>
      <w:r w:rsidRPr="006E39C2">
        <w:rPr>
          <w:lang w:val="fr-FR"/>
        </w:rPr>
        <w:t>auteure demande au Comité de recommander à l</w:t>
      </w:r>
      <w:r>
        <w:rPr>
          <w:lang w:val="fr-FR"/>
        </w:rPr>
        <w:t>’</w:t>
      </w:r>
      <w:r w:rsidRPr="006E39C2">
        <w:rPr>
          <w:lang w:val="fr-FR"/>
        </w:rPr>
        <w:t>État partie: a)</w:t>
      </w:r>
      <w:r>
        <w:rPr>
          <w:lang w:val="fr-FR"/>
        </w:rPr>
        <w:t> </w:t>
      </w:r>
      <w:r w:rsidRPr="006E39C2">
        <w:rPr>
          <w:lang w:val="fr-FR"/>
        </w:rPr>
        <w:t>d</w:t>
      </w:r>
      <w:r>
        <w:rPr>
          <w:lang w:val="fr-FR"/>
        </w:rPr>
        <w:t>’</w:t>
      </w:r>
      <w:r w:rsidRPr="006E39C2">
        <w:rPr>
          <w:lang w:val="fr-FR"/>
        </w:rPr>
        <w:t>ordonner d</w:t>
      </w:r>
      <w:r>
        <w:rPr>
          <w:lang w:val="fr-FR"/>
        </w:rPr>
        <w:t>’</w:t>
      </w:r>
      <w:r w:rsidRPr="006E39C2">
        <w:rPr>
          <w:lang w:val="fr-FR"/>
        </w:rPr>
        <w:t xml:space="preserve">urgence une enquête indépendante pour déterminer </w:t>
      </w:r>
      <w:r w:rsidRPr="006E39C2">
        <w:rPr>
          <w:spacing w:val="-2"/>
          <w:lang w:val="fr-FR"/>
        </w:rPr>
        <w:t xml:space="preserve">le sort de son mari et le lieu où celui-ci se trouve </w:t>
      </w:r>
      <w:r w:rsidRPr="006E39C2">
        <w:rPr>
          <w:lang w:val="fr-FR"/>
        </w:rPr>
        <w:t>et, s</w:t>
      </w:r>
      <w:r>
        <w:rPr>
          <w:lang w:val="fr-FR"/>
        </w:rPr>
        <w:t>’</w:t>
      </w:r>
      <w:r w:rsidRPr="006E39C2">
        <w:rPr>
          <w:lang w:val="fr-FR"/>
        </w:rPr>
        <w:t>il est décédé, de localiser, d</w:t>
      </w:r>
      <w:r>
        <w:rPr>
          <w:lang w:val="fr-FR"/>
        </w:rPr>
        <w:t>’</w:t>
      </w:r>
      <w:r w:rsidRPr="006E39C2">
        <w:rPr>
          <w:lang w:val="fr-FR"/>
        </w:rPr>
        <w:t>exhumer, d</w:t>
      </w:r>
      <w:r>
        <w:rPr>
          <w:lang w:val="fr-FR"/>
        </w:rPr>
        <w:t>’</w:t>
      </w:r>
      <w:r w:rsidRPr="006E39C2">
        <w:rPr>
          <w:lang w:val="fr-FR"/>
        </w:rPr>
        <w:t>identifier et de respecter sa dépouille et de la restituer à la famille; b)</w:t>
      </w:r>
      <w:r>
        <w:rPr>
          <w:lang w:val="fr-FR"/>
        </w:rPr>
        <w:t> </w:t>
      </w:r>
      <w:r w:rsidRPr="006E39C2">
        <w:rPr>
          <w:lang w:val="fr-FR"/>
        </w:rPr>
        <w:t>de traduire devant les autorités civiles compétentes les auteurs de ces actes afin qu</w:t>
      </w:r>
      <w:r>
        <w:rPr>
          <w:lang w:val="fr-FR"/>
        </w:rPr>
        <w:t>’</w:t>
      </w:r>
      <w:r w:rsidRPr="006E39C2">
        <w:rPr>
          <w:lang w:val="fr-FR"/>
        </w:rPr>
        <w:t>ils soient poursuivis, jugés et punis et de rendre publics les résultats de ces mesures; c)</w:t>
      </w:r>
      <w:r>
        <w:rPr>
          <w:lang w:val="fr-FR"/>
        </w:rPr>
        <w:t> </w:t>
      </w:r>
      <w:r w:rsidRPr="006E39C2">
        <w:rPr>
          <w:lang w:val="fr-FR"/>
        </w:rPr>
        <w:t>de</w:t>
      </w:r>
      <w:r w:rsidRPr="006E39C2">
        <w:rPr>
          <w:spacing w:val="-2"/>
          <w:lang w:val="fr-FR"/>
        </w:rPr>
        <w:t xml:space="preserve"> suspendre provisoirement tous les officiers de l</w:t>
      </w:r>
      <w:r>
        <w:rPr>
          <w:spacing w:val="-2"/>
          <w:lang w:val="fr-FR"/>
        </w:rPr>
        <w:t>’</w:t>
      </w:r>
      <w:r w:rsidRPr="006E39C2" w:rsidDel="009742D9">
        <w:rPr>
          <w:spacing w:val="-2"/>
          <w:lang w:val="fr-FR"/>
        </w:rPr>
        <w:t>a</w:t>
      </w:r>
      <w:r w:rsidRPr="006E39C2">
        <w:rPr>
          <w:spacing w:val="-2"/>
          <w:lang w:val="fr-FR"/>
        </w:rPr>
        <w:t>rmée à l</w:t>
      </w:r>
      <w:r>
        <w:rPr>
          <w:spacing w:val="-2"/>
          <w:lang w:val="fr-FR"/>
        </w:rPr>
        <w:t>’</w:t>
      </w:r>
      <w:r w:rsidRPr="006E39C2">
        <w:rPr>
          <w:spacing w:val="-2"/>
          <w:lang w:val="fr-FR"/>
        </w:rPr>
        <w:t>égard desquels il existe un commencement de preuve qu</w:t>
      </w:r>
      <w:r>
        <w:rPr>
          <w:spacing w:val="-2"/>
          <w:lang w:val="fr-FR"/>
        </w:rPr>
        <w:t>’</w:t>
      </w:r>
      <w:r w:rsidRPr="006E39C2">
        <w:rPr>
          <w:spacing w:val="-2"/>
          <w:lang w:val="fr-FR"/>
        </w:rPr>
        <w:t xml:space="preserve">ils ont pris part aux crimes commis contre </w:t>
      </w:r>
      <w:r w:rsidRPr="006E39C2">
        <w:rPr>
          <w:lang w:val="fr-FR"/>
        </w:rPr>
        <w:t xml:space="preserve">son mari, </w:t>
      </w:r>
      <w:r w:rsidRPr="006E39C2">
        <w:rPr>
          <w:spacing w:val="-2"/>
          <w:lang w:val="fr-FR"/>
        </w:rPr>
        <w:t>en attendant le résultat de l</w:t>
      </w:r>
      <w:r>
        <w:rPr>
          <w:spacing w:val="-2"/>
          <w:lang w:val="fr-FR"/>
        </w:rPr>
        <w:t>’</w:t>
      </w:r>
      <w:r w:rsidRPr="006E39C2">
        <w:rPr>
          <w:spacing w:val="-2"/>
          <w:lang w:val="fr-FR"/>
        </w:rPr>
        <w:t>enquête</w:t>
      </w:r>
      <w:r w:rsidRPr="006E39C2">
        <w:rPr>
          <w:lang w:val="fr-FR"/>
        </w:rPr>
        <w:t>; d)</w:t>
      </w:r>
      <w:r>
        <w:rPr>
          <w:lang w:val="fr-FR"/>
        </w:rPr>
        <w:t> </w:t>
      </w:r>
      <w:r w:rsidRPr="006E39C2">
        <w:rPr>
          <w:lang w:val="fr-FR"/>
        </w:rPr>
        <w:t xml:space="preserve">de </w:t>
      </w:r>
      <w:r w:rsidRPr="006E39C2">
        <w:rPr>
          <w:spacing w:val="-2"/>
          <w:lang w:val="fr-FR"/>
        </w:rPr>
        <w:t>veiller à ce que les personnes soupçonnées d</w:t>
      </w:r>
      <w:r>
        <w:rPr>
          <w:spacing w:val="-2"/>
          <w:lang w:val="fr-FR"/>
        </w:rPr>
        <w:t>’</w:t>
      </w:r>
      <w:r w:rsidRPr="006E39C2">
        <w:rPr>
          <w:spacing w:val="-2"/>
          <w:lang w:val="fr-FR"/>
        </w:rPr>
        <w:t>avoir commis ces crimes ne soient pas dans une position qui leur permette d</w:t>
      </w:r>
      <w:r>
        <w:rPr>
          <w:spacing w:val="-2"/>
          <w:lang w:val="fr-FR"/>
        </w:rPr>
        <w:t>’</w:t>
      </w:r>
      <w:r w:rsidRPr="006E39C2">
        <w:rPr>
          <w:spacing w:val="-2"/>
          <w:lang w:val="fr-FR"/>
        </w:rPr>
        <w:t>influer sur le déroulement de l</w:t>
      </w:r>
      <w:r>
        <w:rPr>
          <w:spacing w:val="-2"/>
          <w:lang w:val="fr-FR"/>
        </w:rPr>
        <w:t>’</w:t>
      </w:r>
      <w:r w:rsidRPr="006E39C2">
        <w:rPr>
          <w:spacing w:val="-2"/>
          <w:lang w:val="fr-FR"/>
        </w:rPr>
        <w:t>enquête au moyen de pressions, d</w:t>
      </w:r>
      <w:r>
        <w:rPr>
          <w:spacing w:val="-2"/>
          <w:lang w:val="fr-FR"/>
        </w:rPr>
        <w:t>’</w:t>
      </w:r>
      <w:r w:rsidRPr="006E39C2">
        <w:rPr>
          <w:spacing w:val="-2"/>
          <w:lang w:val="fr-FR"/>
        </w:rPr>
        <w:t>actes d</w:t>
      </w:r>
      <w:r>
        <w:rPr>
          <w:spacing w:val="-2"/>
          <w:lang w:val="fr-FR"/>
        </w:rPr>
        <w:t>’</w:t>
      </w:r>
      <w:r w:rsidRPr="006E39C2">
        <w:rPr>
          <w:spacing w:val="-2"/>
          <w:lang w:val="fr-FR"/>
        </w:rPr>
        <w:t>intimidation ou de représailles contre les plaignants, les témoins, leurs familles, leurs conseils ou d</w:t>
      </w:r>
      <w:r>
        <w:rPr>
          <w:spacing w:val="-2"/>
          <w:lang w:val="fr-FR"/>
        </w:rPr>
        <w:t>’</w:t>
      </w:r>
      <w:r w:rsidRPr="006E39C2">
        <w:rPr>
          <w:spacing w:val="-2"/>
          <w:lang w:val="fr-FR"/>
        </w:rPr>
        <w:t>autres personnes participant à l</w:t>
      </w:r>
      <w:r>
        <w:rPr>
          <w:spacing w:val="-2"/>
          <w:lang w:val="fr-FR"/>
        </w:rPr>
        <w:t>’</w:t>
      </w:r>
      <w:r w:rsidRPr="006E39C2">
        <w:rPr>
          <w:spacing w:val="-2"/>
          <w:lang w:val="fr-FR"/>
        </w:rPr>
        <w:t>enquête</w:t>
      </w:r>
      <w:r w:rsidRPr="006E39C2">
        <w:rPr>
          <w:lang w:val="fr-FR"/>
        </w:rPr>
        <w:t>; e)</w:t>
      </w:r>
      <w:r>
        <w:rPr>
          <w:lang w:val="fr-FR"/>
        </w:rPr>
        <w:t> </w:t>
      </w:r>
      <w:r w:rsidRPr="006E39C2">
        <w:rPr>
          <w:lang w:val="fr-FR"/>
        </w:rPr>
        <w:t xml:space="preserve">de </w:t>
      </w:r>
      <w:r w:rsidRPr="006E39C2">
        <w:rPr>
          <w:spacing w:val="-2"/>
          <w:lang w:val="fr-FR"/>
        </w:rPr>
        <w:t>veiller à ce que l</w:t>
      </w:r>
      <w:r>
        <w:rPr>
          <w:spacing w:val="-2"/>
          <w:lang w:val="fr-FR"/>
        </w:rPr>
        <w:t>’</w:t>
      </w:r>
      <w:r w:rsidRPr="006E39C2">
        <w:rPr>
          <w:spacing w:val="-2"/>
          <w:lang w:val="fr-FR"/>
        </w:rPr>
        <w:t>auteure et sa fille obtiennent une réparation intégrale et une indemnisation rapide, juste et appropriée</w:t>
      </w:r>
      <w:r w:rsidRPr="006E39C2">
        <w:rPr>
          <w:lang w:val="fr-FR"/>
        </w:rPr>
        <w:t>; f)</w:t>
      </w:r>
      <w:r>
        <w:rPr>
          <w:lang w:val="fr-FR"/>
        </w:rPr>
        <w:t> </w:t>
      </w:r>
      <w:r w:rsidRPr="006E39C2">
        <w:rPr>
          <w:lang w:val="fr-FR"/>
        </w:rPr>
        <w:t xml:space="preserve">de </w:t>
      </w:r>
      <w:r w:rsidRPr="006E39C2">
        <w:rPr>
          <w:spacing w:val="-2"/>
          <w:lang w:val="fr-FR"/>
        </w:rPr>
        <w:t>veiller à ce que les mesures de réparation couvrent le préjudice matériel et moral et que des mesures de restitution, de réadaptation et de satisfaction soient prises et des garanties de non-répétition formulées</w:t>
      </w:r>
      <w:r w:rsidRPr="006E39C2">
        <w:rPr>
          <w:lang w:val="fr-FR"/>
        </w:rPr>
        <w:t xml:space="preserve">. Elle demande notamment </w:t>
      </w:r>
      <w:r w:rsidRPr="006E39C2">
        <w:rPr>
          <w:spacing w:val="-2"/>
          <w:lang w:val="fr-FR"/>
        </w:rPr>
        <w:t>que l</w:t>
      </w:r>
      <w:r>
        <w:rPr>
          <w:spacing w:val="-2"/>
          <w:lang w:val="fr-FR"/>
        </w:rPr>
        <w:t>’</w:t>
      </w:r>
      <w:r w:rsidRPr="006E39C2">
        <w:rPr>
          <w:spacing w:val="-2"/>
          <w:lang w:val="fr-FR"/>
        </w:rPr>
        <w:t>État partie reconnaisse sa responsabilité internationale à l</w:t>
      </w:r>
      <w:r>
        <w:rPr>
          <w:spacing w:val="-2"/>
          <w:lang w:val="fr-FR"/>
        </w:rPr>
        <w:t>’</w:t>
      </w:r>
      <w:r w:rsidRPr="006E39C2">
        <w:rPr>
          <w:spacing w:val="-2"/>
          <w:lang w:val="fr-FR"/>
        </w:rPr>
        <w:t>occasion d</w:t>
      </w:r>
      <w:r>
        <w:rPr>
          <w:spacing w:val="-2"/>
          <w:lang w:val="fr-FR"/>
        </w:rPr>
        <w:t>’</w:t>
      </w:r>
      <w:r w:rsidRPr="006E39C2">
        <w:rPr>
          <w:spacing w:val="-2"/>
          <w:lang w:val="fr-FR"/>
        </w:rPr>
        <w:t xml:space="preserve">une cérémonie publique en présence des autorités et des proches de </w:t>
      </w:r>
      <w:r w:rsidRPr="006E39C2">
        <w:rPr>
          <w:lang w:val="fr-FR"/>
        </w:rPr>
        <w:t>M. </w:t>
      </w:r>
      <w:proofErr w:type="spellStart"/>
      <w:r w:rsidRPr="006E39C2">
        <w:rPr>
          <w:lang w:val="fr-FR"/>
        </w:rPr>
        <w:t>Tripathi</w:t>
      </w:r>
      <w:proofErr w:type="spellEnd"/>
      <w:r w:rsidRPr="006E39C2">
        <w:rPr>
          <w:lang w:val="fr-FR"/>
        </w:rPr>
        <w:t xml:space="preserve"> </w:t>
      </w:r>
      <w:r w:rsidRPr="006E39C2">
        <w:rPr>
          <w:spacing w:val="-2"/>
          <w:lang w:val="fr-FR"/>
        </w:rPr>
        <w:t>qui devraient recevoir des excuses officielles</w:t>
      </w:r>
      <w:r w:rsidRPr="006E39C2">
        <w:rPr>
          <w:lang w:val="fr-FR"/>
        </w:rPr>
        <w:t xml:space="preserve"> et </w:t>
      </w:r>
      <w:r w:rsidRPr="006E39C2">
        <w:rPr>
          <w:spacing w:val="-2"/>
          <w:lang w:val="fr-FR"/>
        </w:rPr>
        <w:t>que l</w:t>
      </w:r>
      <w:r>
        <w:rPr>
          <w:spacing w:val="-2"/>
          <w:lang w:val="fr-FR"/>
        </w:rPr>
        <w:t>’</w:t>
      </w:r>
      <w:r w:rsidRPr="006E39C2">
        <w:rPr>
          <w:spacing w:val="-2"/>
          <w:lang w:val="fr-FR"/>
        </w:rPr>
        <w:t xml:space="preserve">État partie nomme une rue, érige un monument ou pose une plaque à la mémoire de toutes les personnes qui ont été victimes de disparition forcée et de torture au cours du conflit armé interne, en mentionnant expressément le cas de </w:t>
      </w:r>
      <w:r w:rsidRPr="006E39C2">
        <w:rPr>
          <w:lang w:val="fr-FR"/>
        </w:rPr>
        <w:t>M. </w:t>
      </w:r>
      <w:proofErr w:type="spellStart"/>
      <w:r w:rsidRPr="006E39C2">
        <w:rPr>
          <w:lang w:val="fr-FR"/>
        </w:rPr>
        <w:t>Tripathi</w:t>
      </w:r>
      <w:proofErr w:type="spellEnd"/>
      <w:r w:rsidRPr="006E39C2">
        <w:rPr>
          <w:lang w:val="fr-FR"/>
        </w:rPr>
        <w:t xml:space="preserve"> </w:t>
      </w:r>
      <w:r w:rsidRPr="006E39C2">
        <w:rPr>
          <w:spacing w:val="-2"/>
          <w:lang w:val="fr-FR"/>
        </w:rPr>
        <w:t xml:space="preserve">de sorte que celui-ci soit </w:t>
      </w:r>
      <w:proofErr w:type="spellStart"/>
      <w:r w:rsidRPr="006E39C2">
        <w:rPr>
          <w:spacing w:val="-2"/>
          <w:lang w:val="fr-FR"/>
        </w:rPr>
        <w:t>complètement</w:t>
      </w:r>
      <w:proofErr w:type="spellEnd"/>
      <w:r w:rsidRPr="006E39C2">
        <w:rPr>
          <w:spacing w:val="-2"/>
          <w:lang w:val="fr-FR"/>
        </w:rPr>
        <w:t xml:space="preserve"> réhabilité</w:t>
      </w:r>
      <w:r w:rsidRPr="006E39C2">
        <w:rPr>
          <w:lang w:val="fr-FR"/>
        </w:rPr>
        <w:t xml:space="preserve">. </w:t>
      </w:r>
      <w:r w:rsidRPr="006E39C2">
        <w:rPr>
          <w:spacing w:val="-2"/>
          <w:lang w:val="fr-FR"/>
        </w:rPr>
        <w:t>L</w:t>
      </w:r>
      <w:r>
        <w:rPr>
          <w:spacing w:val="-2"/>
          <w:lang w:val="fr-FR"/>
        </w:rPr>
        <w:t>’</w:t>
      </w:r>
      <w:r w:rsidRPr="006E39C2">
        <w:rPr>
          <w:spacing w:val="-2"/>
          <w:lang w:val="fr-FR"/>
        </w:rPr>
        <w:t>État partie devrait également fournir à l</w:t>
      </w:r>
      <w:r>
        <w:rPr>
          <w:spacing w:val="-2"/>
          <w:lang w:val="fr-FR"/>
        </w:rPr>
        <w:t>’</w:t>
      </w:r>
      <w:r w:rsidRPr="006E39C2">
        <w:rPr>
          <w:spacing w:val="-2"/>
          <w:lang w:val="fr-FR"/>
        </w:rPr>
        <w:t>auteure une prise en charge médicale et psychologique immédiate et gratuite par l</w:t>
      </w:r>
      <w:r>
        <w:rPr>
          <w:spacing w:val="-2"/>
          <w:lang w:val="fr-FR"/>
        </w:rPr>
        <w:t>’</w:t>
      </w:r>
      <w:r w:rsidRPr="006E39C2">
        <w:rPr>
          <w:spacing w:val="-2"/>
          <w:lang w:val="fr-FR"/>
        </w:rPr>
        <w:t>intermédiaire de ses institutions spécialisées</w:t>
      </w:r>
      <w:r w:rsidRPr="006E39C2">
        <w:rPr>
          <w:lang w:val="fr-FR"/>
        </w:rPr>
        <w:t xml:space="preserve">, </w:t>
      </w:r>
      <w:r w:rsidRPr="006E39C2">
        <w:rPr>
          <w:spacing w:val="-2"/>
          <w:lang w:val="fr-FR"/>
        </w:rPr>
        <w:t>et lui permettre d</w:t>
      </w:r>
      <w:r>
        <w:rPr>
          <w:spacing w:val="-2"/>
          <w:lang w:val="fr-FR"/>
        </w:rPr>
        <w:t>’</w:t>
      </w:r>
      <w:r w:rsidRPr="006E39C2">
        <w:rPr>
          <w:spacing w:val="-2"/>
          <w:lang w:val="fr-FR"/>
        </w:rPr>
        <w:t>accéder à l</w:t>
      </w:r>
      <w:r>
        <w:rPr>
          <w:spacing w:val="-2"/>
          <w:lang w:val="fr-FR"/>
        </w:rPr>
        <w:t>’</w:t>
      </w:r>
      <w:r w:rsidRPr="006E39C2">
        <w:rPr>
          <w:spacing w:val="-2"/>
          <w:lang w:val="fr-FR"/>
        </w:rPr>
        <w:t>aide juridique, en tant que de besoin, afin de lui garantir des recours disponibles, utiles et suffisants</w:t>
      </w:r>
      <w:r w:rsidRPr="006E39C2">
        <w:rPr>
          <w:lang w:val="fr-FR"/>
        </w:rPr>
        <w:t>. De même, la fille de l</w:t>
      </w:r>
      <w:r>
        <w:rPr>
          <w:lang w:val="fr-FR"/>
        </w:rPr>
        <w:t>’</w:t>
      </w:r>
      <w:r w:rsidRPr="006E39C2">
        <w:rPr>
          <w:lang w:val="fr-FR"/>
        </w:rPr>
        <w:t>auteure devrait bénéficier d</w:t>
      </w:r>
      <w:r>
        <w:rPr>
          <w:lang w:val="fr-FR"/>
        </w:rPr>
        <w:t>’</w:t>
      </w:r>
      <w:r w:rsidRPr="006E39C2">
        <w:rPr>
          <w:lang w:val="fr-FR"/>
        </w:rPr>
        <w:t>une bourse d</w:t>
      </w:r>
      <w:r>
        <w:rPr>
          <w:lang w:val="fr-FR"/>
        </w:rPr>
        <w:t>’</w:t>
      </w:r>
      <w:r w:rsidRPr="006E39C2">
        <w:rPr>
          <w:lang w:val="fr-FR"/>
        </w:rPr>
        <w:t>études jusqu</w:t>
      </w:r>
      <w:r>
        <w:rPr>
          <w:lang w:val="fr-FR"/>
        </w:rPr>
        <w:t>’</w:t>
      </w:r>
      <w:r w:rsidRPr="006E39C2">
        <w:rPr>
          <w:lang w:val="fr-FR"/>
        </w:rPr>
        <w:t xml:space="preserve">à la fin de ses études. </w:t>
      </w:r>
      <w:r w:rsidRPr="006E39C2">
        <w:rPr>
          <w:spacing w:val="-2"/>
          <w:lang w:val="fr-FR"/>
        </w:rPr>
        <w:t>Pour garantir que de tels actes ne se reproduisent pas, l</w:t>
      </w:r>
      <w:r>
        <w:rPr>
          <w:spacing w:val="-2"/>
          <w:lang w:val="fr-FR"/>
        </w:rPr>
        <w:t>’</w:t>
      </w:r>
      <w:r w:rsidRPr="006E39C2">
        <w:rPr>
          <w:spacing w:val="-2"/>
          <w:lang w:val="fr-FR"/>
        </w:rPr>
        <w:t>État partie devrait prendre les mesures nécessaires pour veiller à ce que les disparitions forcées et la torture, ainsi que les différentes formes de participation à ces crimes, constituent des infractions autonomes en vertu de son Code pénal, punies de peines appropriées tenant compte de leur extrême gravité.</w:t>
      </w:r>
      <w:r w:rsidRPr="006E39C2">
        <w:rPr>
          <w:lang w:val="fr-FR"/>
        </w:rPr>
        <w:t xml:space="preserve"> </w:t>
      </w:r>
      <w:r w:rsidRPr="006E39C2">
        <w:rPr>
          <w:spacing w:val="-2"/>
          <w:lang w:val="fr-FR"/>
        </w:rPr>
        <w:t>Enfin, l</w:t>
      </w:r>
      <w:r>
        <w:rPr>
          <w:spacing w:val="-2"/>
          <w:lang w:val="fr-FR"/>
        </w:rPr>
        <w:t>’</w:t>
      </w:r>
      <w:r w:rsidRPr="006E39C2">
        <w:rPr>
          <w:spacing w:val="-2"/>
          <w:lang w:val="fr-FR"/>
        </w:rPr>
        <w:t>État partie devrait mettre en place dès que possible des programmes d</w:t>
      </w:r>
      <w:r>
        <w:rPr>
          <w:spacing w:val="-2"/>
          <w:lang w:val="fr-FR"/>
        </w:rPr>
        <w:t>’</w:t>
      </w:r>
      <w:r w:rsidRPr="006E39C2">
        <w:rPr>
          <w:spacing w:val="-2"/>
          <w:lang w:val="fr-FR"/>
        </w:rPr>
        <w:t>éducation au droit international des droits de l</w:t>
      </w:r>
      <w:r>
        <w:rPr>
          <w:spacing w:val="-2"/>
          <w:lang w:val="fr-FR"/>
        </w:rPr>
        <w:t>’</w:t>
      </w:r>
      <w:r w:rsidRPr="006E39C2">
        <w:rPr>
          <w:spacing w:val="-2"/>
          <w:lang w:val="fr-FR"/>
        </w:rPr>
        <w:t>homme et au droit international humanitaire à l</w:t>
      </w:r>
      <w:r>
        <w:rPr>
          <w:spacing w:val="-2"/>
          <w:lang w:val="fr-FR"/>
        </w:rPr>
        <w:t>’</w:t>
      </w:r>
      <w:r w:rsidRPr="006E39C2">
        <w:rPr>
          <w:spacing w:val="-2"/>
          <w:lang w:val="fr-FR"/>
        </w:rPr>
        <w:t>intention de l</w:t>
      </w:r>
      <w:r>
        <w:rPr>
          <w:spacing w:val="-2"/>
          <w:lang w:val="fr-FR"/>
        </w:rPr>
        <w:t>’</w:t>
      </w:r>
      <w:r w:rsidRPr="006E39C2">
        <w:rPr>
          <w:spacing w:val="-2"/>
          <w:lang w:val="fr-FR"/>
        </w:rPr>
        <w:t>ensemble des membres des forces armées, des forces de sécurité et du personnel judiciaire</w:t>
      </w:r>
      <w:r w:rsidRPr="006E39C2">
        <w:rPr>
          <w:lang w:val="fr-FR"/>
        </w:rPr>
        <w:t>.</w:t>
      </w:r>
    </w:p>
    <w:p w:rsidR="00D856C9" w:rsidRPr="006E39C2" w:rsidRDefault="00D856C9" w:rsidP="00D856C9">
      <w:pPr>
        <w:pStyle w:val="H23G"/>
        <w:rPr>
          <w:lang w:val="fr-FR"/>
        </w:rPr>
      </w:pPr>
      <w:r w:rsidRPr="006E39C2">
        <w:rPr>
          <w:lang w:val="fr-FR"/>
        </w:rPr>
        <w:tab/>
      </w:r>
      <w:r w:rsidRPr="006E39C2">
        <w:rPr>
          <w:lang w:val="fr-FR"/>
        </w:rPr>
        <w:tab/>
        <w:t>Observations de l</w:t>
      </w:r>
      <w:r>
        <w:rPr>
          <w:lang w:val="fr-FR"/>
        </w:rPr>
        <w:t>’</w:t>
      </w:r>
      <w:r w:rsidRPr="006E39C2">
        <w:rPr>
          <w:lang w:val="fr-FR"/>
        </w:rPr>
        <w:t xml:space="preserve">État partie sur la recevabilité et sur le fond </w:t>
      </w:r>
    </w:p>
    <w:p w:rsidR="00D856C9" w:rsidRPr="006E39C2" w:rsidRDefault="00D856C9" w:rsidP="00D856C9">
      <w:pPr>
        <w:pStyle w:val="SingleTxtG"/>
        <w:rPr>
          <w:lang w:val="fr-FR"/>
        </w:rPr>
      </w:pPr>
      <w:r w:rsidRPr="006E39C2">
        <w:rPr>
          <w:lang w:val="fr-FR"/>
        </w:rPr>
        <w:t>4.1</w:t>
      </w:r>
      <w:r w:rsidRPr="006E39C2">
        <w:rPr>
          <w:lang w:val="fr-FR"/>
        </w:rPr>
        <w:tab/>
        <w:t xml:space="preserve">Le </w:t>
      </w:r>
      <w:r>
        <w:rPr>
          <w:lang w:val="fr-FR"/>
        </w:rPr>
        <w:t>10 </w:t>
      </w:r>
      <w:r w:rsidRPr="006E39C2">
        <w:rPr>
          <w:lang w:val="fr-FR"/>
        </w:rPr>
        <w:t>mai 2012, l</w:t>
      </w:r>
      <w:r>
        <w:rPr>
          <w:lang w:val="fr-FR"/>
        </w:rPr>
        <w:t>’</w:t>
      </w:r>
      <w:r w:rsidRPr="006E39C2">
        <w:rPr>
          <w:lang w:val="fr-FR"/>
        </w:rPr>
        <w:t>État partie a présenté ses observation</w:t>
      </w:r>
      <w:r>
        <w:rPr>
          <w:lang w:val="fr-FR"/>
        </w:rPr>
        <w:t>s sur la recevabilité et sur le </w:t>
      </w:r>
      <w:r w:rsidRPr="006E39C2">
        <w:rPr>
          <w:lang w:val="fr-FR"/>
        </w:rPr>
        <w:t>fond. Il fait valoir que la communication n</w:t>
      </w:r>
      <w:r>
        <w:rPr>
          <w:lang w:val="fr-FR"/>
        </w:rPr>
        <w:t>’</w:t>
      </w:r>
      <w:r w:rsidRPr="006E39C2">
        <w:rPr>
          <w:lang w:val="fr-FR"/>
        </w:rPr>
        <w:t>est pas conforme aux dispositions des alinéas</w:t>
      </w:r>
      <w:r>
        <w:rPr>
          <w:lang w:val="fr-FR"/>
        </w:rPr>
        <w:t> </w:t>
      </w:r>
      <w:r w:rsidRPr="00855517">
        <w:rPr>
          <w:i/>
          <w:lang w:val="fr-FR"/>
        </w:rPr>
        <w:t>b</w:t>
      </w:r>
      <w:r w:rsidRPr="006E39C2">
        <w:rPr>
          <w:lang w:val="fr-FR"/>
        </w:rPr>
        <w:t xml:space="preserve">, </w:t>
      </w:r>
      <w:r w:rsidRPr="00855517">
        <w:rPr>
          <w:i/>
          <w:lang w:val="fr-FR"/>
        </w:rPr>
        <w:t>c</w:t>
      </w:r>
      <w:r>
        <w:rPr>
          <w:lang w:val="fr-FR"/>
        </w:rPr>
        <w:t xml:space="preserve"> et </w:t>
      </w:r>
      <w:r w:rsidRPr="00855517">
        <w:rPr>
          <w:i/>
          <w:lang w:val="fr-FR"/>
        </w:rPr>
        <w:t>f</w:t>
      </w:r>
      <w:r w:rsidRPr="006E39C2">
        <w:rPr>
          <w:lang w:val="fr-FR"/>
        </w:rPr>
        <w:t xml:space="preserve"> de l</w:t>
      </w:r>
      <w:r>
        <w:rPr>
          <w:lang w:val="fr-FR"/>
        </w:rPr>
        <w:t>’</w:t>
      </w:r>
      <w:r w:rsidRPr="006E39C2">
        <w:rPr>
          <w:lang w:val="fr-FR"/>
        </w:rPr>
        <w:t>article</w:t>
      </w:r>
      <w:r>
        <w:rPr>
          <w:lang w:val="fr-FR"/>
        </w:rPr>
        <w:t> </w:t>
      </w:r>
      <w:r w:rsidRPr="006E39C2">
        <w:rPr>
          <w:lang w:val="fr-FR"/>
        </w:rPr>
        <w:t>96 du règlement intérieur du Comité</w:t>
      </w:r>
      <w:r w:rsidR="005C15DE">
        <w:rPr>
          <w:rStyle w:val="FootnoteReference"/>
        </w:rPr>
        <w:footnoteReference w:id="8"/>
      </w:r>
      <w:r w:rsidRPr="006E39C2">
        <w:rPr>
          <w:lang w:val="fr-FR"/>
        </w:rPr>
        <w:t>. Il affirme que l</w:t>
      </w:r>
      <w:r>
        <w:rPr>
          <w:lang w:val="fr-FR"/>
        </w:rPr>
        <w:t>’</w:t>
      </w:r>
      <w:r w:rsidRPr="006E39C2">
        <w:rPr>
          <w:lang w:val="fr-FR"/>
        </w:rPr>
        <w:t>auteure n</w:t>
      </w:r>
      <w:r>
        <w:rPr>
          <w:lang w:val="fr-FR"/>
        </w:rPr>
        <w:t>’</w:t>
      </w:r>
      <w:r w:rsidRPr="006E39C2">
        <w:rPr>
          <w:lang w:val="fr-FR"/>
        </w:rPr>
        <w:t>a pas épuisé tous les recours internes, car elle n</w:t>
      </w:r>
      <w:r>
        <w:rPr>
          <w:lang w:val="fr-FR"/>
        </w:rPr>
        <w:t>’</w:t>
      </w:r>
      <w:r w:rsidRPr="006E39C2">
        <w:rPr>
          <w:lang w:val="fr-FR"/>
        </w:rPr>
        <w:t>a pas déposé de premier rapport d</w:t>
      </w:r>
      <w:r>
        <w:rPr>
          <w:lang w:val="fr-FR"/>
        </w:rPr>
        <w:t>’</w:t>
      </w:r>
      <w:r w:rsidRPr="006E39C2">
        <w:rPr>
          <w:lang w:val="fr-FR"/>
        </w:rPr>
        <w:t>information auprès de la police pour les violations présumées des droits de l</w:t>
      </w:r>
      <w:r>
        <w:rPr>
          <w:lang w:val="fr-FR"/>
        </w:rPr>
        <w:t>’</w:t>
      </w:r>
      <w:r w:rsidRPr="006E39C2">
        <w:rPr>
          <w:lang w:val="fr-FR"/>
        </w:rPr>
        <w:t xml:space="preserve">homme dont elle fait état dans sa communication. En outre, les recours en </w:t>
      </w:r>
      <w:r w:rsidRPr="006E39C2">
        <w:rPr>
          <w:i/>
          <w:lang w:val="fr-FR"/>
        </w:rPr>
        <w:t>habeas corpus</w:t>
      </w:r>
      <w:r w:rsidRPr="006E39C2">
        <w:rPr>
          <w:lang w:val="fr-FR"/>
        </w:rPr>
        <w:t xml:space="preserve"> comme celui qu</w:t>
      </w:r>
      <w:r>
        <w:rPr>
          <w:lang w:val="fr-FR"/>
        </w:rPr>
        <w:t>’</w:t>
      </w:r>
      <w:r w:rsidRPr="006E39C2">
        <w:rPr>
          <w:lang w:val="fr-FR"/>
        </w:rPr>
        <w:t>a engagé l</w:t>
      </w:r>
      <w:r>
        <w:rPr>
          <w:lang w:val="fr-FR"/>
        </w:rPr>
        <w:t>’</w:t>
      </w:r>
      <w:r w:rsidRPr="006E39C2">
        <w:rPr>
          <w:lang w:val="fr-FR"/>
        </w:rPr>
        <w:t xml:space="preserve">auteure </w:t>
      </w:r>
      <w:r w:rsidRPr="00E6433C">
        <w:rPr>
          <w:lang w:val="fr-FR"/>
        </w:rPr>
        <w:t>se limitent à l</w:t>
      </w:r>
      <w:r>
        <w:rPr>
          <w:lang w:val="fr-FR"/>
        </w:rPr>
        <w:t>’</w:t>
      </w:r>
      <w:r w:rsidRPr="00E6433C">
        <w:rPr>
          <w:lang w:val="fr-FR"/>
        </w:rPr>
        <w:t>examen d</w:t>
      </w:r>
      <w:r w:rsidRPr="006E39C2">
        <w:rPr>
          <w:lang w:val="fr-FR"/>
        </w:rPr>
        <w:t>e la légalité d</w:t>
      </w:r>
      <w:r>
        <w:rPr>
          <w:lang w:val="fr-FR"/>
        </w:rPr>
        <w:t>’</w:t>
      </w:r>
      <w:r w:rsidRPr="006E39C2">
        <w:rPr>
          <w:lang w:val="fr-FR"/>
        </w:rPr>
        <w:t>une détention et un tribunal ne rend une ordonnance d</w:t>
      </w:r>
      <w:r>
        <w:rPr>
          <w:lang w:val="fr-FR"/>
        </w:rPr>
        <w:t>’</w:t>
      </w:r>
      <w:r w:rsidRPr="006E39C2">
        <w:rPr>
          <w:i/>
          <w:lang w:val="fr-FR"/>
        </w:rPr>
        <w:t>habeas</w:t>
      </w:r>
      <w:r w:rsidRPr="006E39C2">
        <w:rPr>
          <w:lang w:val="fr-FR"/>
        </w:rPr>
        <w:t xml:space="preserve"> </w:t>
      </w:r>
      <w:r w:rsidRPr="006E39C2">
        <w:rPr>
          <w:i/>
          <w:lang w:val="fr-FR"/>
        </w:rPr>
        <w:t>corpus</w:t>
      </w:r>
      <w:r w:rsidRPr="006E39C2">
        <w:rPr>
          <w:lang w:val="fr-FR"/>
        </w:rPr>
        <w:t xml:space="preserve"> que s</w:t>
      </w:r>
      <w:r>
        <w:rPr>
          <w:lang w:val="fr-FR"/>
        </w:rPr>
        <w:t>’</w:t>
      </w:r>
      <w:r w:rsidRPr="006E39C2">
        <w:rPr>
          <w:lang w:val="fr-FR"/>
        </w:rPr>
        <w:t xml:space="preserve">il est prouvé que la détention a eu lieu. </w:t>
      </w:r>
    </w:p>
    <w:p w:rsidR="00D856C9" w:rsidRPr="006E39C2" w:rsidRDefault="00D856C9" w:rsidP="00D856C9">
      <w:pPr>
        <w:pStyle w:val="SingleTxtG"/>
        <w:rPr>
          <w:lang w:val="fr-FR"/>
        </w:rPr>
      </w:pPr>
      <w:r>
        <w:rPr>
          <w:lang w:val="fr-FR"/>
        </w:rPr>
        <w:t>4.2</w:t>
      </w:r>
      <w:r w:rsidRPr="006E39C2">
        <w:rPr>
          <w:lang w:val="fr-FR"/>
        </w:rPr>
        <w:tab/>
        <w:t>La législation en vigueur au moment où l</w:t>
      </w:r>
      <w:r>
        <w:rPr>
          <w:lang w:val="fr-FR"/>
        </w:rPr>
        <w:t>’</w:t>
      </w:r>
      <w:r w:rsidRPr="006E39C2">
        <w:rPr>
          <w:lang w:val="fr-FR"/>
        </w:rPr>
        <w:t>État partie a présenté ses observations permettait aux victimes de torture de demander une indemnisation. L</w:t>
      </w:r>
      <w:r>
        <w:rPr>
          <w:lang w:val="fr-FR"/>
        </w:rPr>
        <w:t>’</w:t>
      </w:r>
      <w:r w:rsidRPr="006E39C2">
        <w:rPr>
          <w:lang w:val="fr-FR"/>
        </w:rPr>
        <w:t>État partie indique aussi que des amendements au Code pénal et d</w:t>
      </w:r>
      <w:r>
        <w:rPr>
          <w:lang w:val="fr-FR"/>
        </w:rPr>
        <w:t>’</w:t>
      </w:r>
      <w:r w:rsidRPr="006E39C2">
        <w:rPr>
          <w:lang w:val="fr-FR"/>
        </w:rPr>
        <w:t>autres textes visant à incriminer la disparition forcée, ainsi que deux projets de loi portant création d</w:t>
      </w:r>
      <w:r>
        <w:rPr>
          <w:lang w:val="fr-FR"/>
        </w:rPr>
        <w:t>’</w:t>
      </w:r>
      <w:r w:rsidRPr="006E39C2">
        <w:rPr>
          <w:lang w:val="fr-FR"/>
        </w:rPr>
        <w:t>une Commission vérité et réconciliation et d</w:t>
      </w:r>
      <w:r>
        <w:rPr>
          <w:lang w:val="fr-FR"/>
        </w:rPr>
        <w:t>’</w:t>
      </w:r>
      <w:r w:rsidRPr="006E39C2">
        <w:rPr>
          <w:lang w:val="fr-FR"/>
        </w:rPr>
        <w:t xml:space="preserve">une </w:t>
      </w:r>
      <w:r w:rsidRPr="006E39C2" w:rsidDel="00FF7FDA">
        <w:rPr>
          <w:lang w:val="fr-FR"/>
        </w:rPr>
        <w:t>C</w:t>
      </w:r>
      <w:r w:rsidRPr="006E39C2">
        <w:rPr>
          <w:lang w:val="fr-FR"/>
        </w:rPr>
        <w:t>ommission sur les disparitions étaient en attente d</w:t>
      </w:r>
      <w:r>
        <w:rPr>
          <w:lang w:val="fr-FR"/>
        </w:rPr>
        <w:t>’</w:t>
      </w:r>
      <w:r w:rsidRPr="006E39C2">
        <w:rPr>
          <w:lang w:val="fr-FR"/>
        </w:rPr>
        <w:t>approbation par le Parlement. La création de ces commissions a été convenue par le Gouvernement et le</w:t>
      </w:r>
      <w:r>
        <w:rPr>
          <w:lang w:val="fr-FR"/>
        </w:rPr>
        <w:t> </w:t>
      </w:r>
      <w:r w:rsidRPr="006E39C2">
        <w:rPr>
          <w:lang w:val="fr-FR"/>
        </w:rPr>
        <w:t>Parti communiste népalais-maoïste dans l</w:t>
      </w:r>
      <w:r>
        <w:rPr>
          <w:lang w:val="fr-FR"/>
        </w:rPr>
        <w:t>’</w:t>
      </w:r>
      <w:r w:rsidRPr="006E39C2">
        <w:rPr>
          <w:lang w:val="fr-FR"/>
        </w:rPr>
        <w:t>Accord de paix global du 21</w:t>
      </w:r>
      <w:r>
        <w:rPr>
          <w:lang w:val="fr-FR"/>
        </w:rPr>
        <w:t> </w:t>
      </w:r>
      <w:r w:rsidRPr="006E39C2">
        <w:rPr>
          <w:lang w:val="fr-FR"/>
        </w:rPr>
        <w:t>novembre 2006 et est également prévue par l</w:t>
      </w:r>
      <w:r>
        <w:rPr>
          <w:lang w:val="fr-FR"/>
        </w:rPr>
        <w:t>’</w:t>
      </w:r>
      <w:r w:rsidRPr="006E39C2">
        <w:rPr>
          <w:lang w:val="fr-FR"/>
        </w:rPr>
        <w:t>article</w:t>
      </w:r>
      <w:r>
        <w:rPr>
          <w:lang w:val="fr-FR"/>
        </w:rPr>
        <w:t> </w:t>
      </w:r>
      <w:r w:rsidRPr="006E39C2">
        <w:rPr>
          <w:lang w:val="fr-FR"/>
        </w:rPr>
        <w:t>33</w:t>
      </w:r>
      <w:r>
        <w:rPr>
          <w:lang w:val="fr-FR"/>
        </w:rPr>
        <w:t> </w:t>
      </w:r>
      <w:r w:rsidRPr="006E39C2">
        <w:rPr>
          <w:lang w:val="fr-FR"/>
        </w:rPr>
        <w:t>q) et s) de la Constitution provisoire de 2007. Ces commissions auront compétence pour mener des enquêtes portant sur des infractions commises pendant le conflit armé, du 13</w:t>
      </w:r>
      <w:r>
        <w:rPr>
          <w:lang w:val="fr-FR"/>
        </w:rPr>
        <w:t> </w:t>
      </w:r>
      <w:r w:rsidRPr="006E39C2">
        <w:rPr>
          <w:lang w:val="fr-FR"/>
        </w:rPr>
        <w:t>fév</w:t>
      </w:r>
      <w:r>
        <w:rPr>
          <w:lang w:val="fr-FR"/>
        </w:rPr>
        <w:t>rier 1996 au 21 novembre 2006.</w:t>
      </w:r>
    </w:p>
    <w:p w:rsidR="00D856C9" w:rsidRPr="006E39C2" w:rsidRDefault="00D856C9" w:rsidP="00D856C9">
      <w:pPr>
        <w:pStyle w:val="SingleTxtG"/>
        <w:rPr>
          <w:lang w:val="fr-FR"/>
        </w:rPr>
      </w:pPr>
      <w:r>
        <w:rPr>
          <w:lang w:val="fr-FR"/>
        </w:rPr>
        <w:t>4.3</w:t>
      </w:r>
      <w:r w:rsidRPr="006E39C2">
        <w:rPr>
          <w:lang w:val="fr-FR"/>
        </w:rPr>
        <w:tab/>
        <w:t>En ce qui concerne le fond de la communication, l</w:t>
      </w:r>
      <w:r>
        <w:rPr>
          <w:lang w:val="fr-FR"/>
        </w:rPr>
        <w:t>’</w:t>
      </w:r>
      <w:r w:rsidRPr="006E39C2">
        <w:rPr>
          <w:lang w:val="fr-FR"/>
        </w:rPr>
        <w:t>État partie soutient que les allégations de l</w:t>
      </w:r>
      <w:r>
        <w:rPr>
          <w:lang w:val="fr-FR"/>
        </w:rPr>
        <w:t>’</w:t>
      </w:r>
      <w:r w:rsidRPr="006E39C2">
        <w:rPr>
          <w:lang w:val="fr-FR"/>
        </w:rPr>
        <w:t>auteure ne sont pas fondées sur des faits et des preuves fiables, mais sur de simples soupçons. L</w:t>
      </w:r>
      <w:r>
        <w:rPr>
          <w:lang w:val="fr-FR"/>
        </w:rPr>
        <w:t>’</w:t>
      </w:r>
      <w:r w:rsidRPr="006E39C2">
        <w:rPr>
          <w:lang w:val="fr-FR"/>
        </w:rPr>
        <w:t>auteure affirme qu</w:t>
      </w:r>
      <w:r>
        <w:rPr>
          <w:lang w:val="fr-FR"/>
        </w:rPr>
        <w:t>’</w:t>
      </w:r>
      <w:r w:rsidRPr="006E39C2">
        <w:rPr>
          <w:lang w:val="fr-FR"/>
        </w:rPr>
        <w:t>il existe des raisons de croire que son mari a été exécuté arbitrairement par des agents de l</w:t>
      </w:r>
      <w:r>
        <w:rPr>
          <w:lang w:val="fr-FR"/>
        </w:rPr>
        <w:t>’</w:t>
      </w:r>
      <w:r w:rsidRPr="006E39C2">
        <w:rPr>
          <w:lang w:val="fr-FR"/>
        </w:rPr>
        <w:t xml:space="preserve">État à la caserne de </w:t>
      </w:r>
      <w:proofErr w:type="spellStart"/>
      <w:r w:rsidRPr="006E39C2">
        <w:rPr>
          <w:lang w:val="fr-FR"/>
        </w:rPr>
        <w:t>Maharajgunj</w:t>
      </w:r>
      <w:proofErr w:type="spellEnd"/>
      <w:r w:rsidRPr="006E39C2">
        <w:rPr>
          <w:lang w:val="fr-FR"/>
        </w:rPr>
        <w:t xml:space="preserve">. Néanmoins, dans la requête en </w:t>
      </w:r>
      <w:r w:rsidRPr="006E39C2">
        <w:rPr>
          <w:i/>
          <w:lang w:val="fr-FR"/>
        </w:rPr>
        <w:t>habeas corpus</w:t>
      </w:r>
      <w:r w:rsidRPr="006E39C2">
        <w:rPr>
          <w:lang w:val="fr-FR"/>
        </w:rPr>
        <w:t xml:space="preserve"> dont elle a saisi la Cour suprême, elle n</w:t>
      </w:r>
      <w:r>
        <w:rPr>
          <w:lang w:val="fr-FR"/>
        </w:rPr>
        <w:t>’</w:t>
      </w:r>
      <w:r w:rsidRPr="006E39C2">
        <w:rPr>
          <w:lang w:val="fr-FR"/>
        </w:rPr>
        <w:t>a pas indiqué où se trouvait M.</w:t>
      </w:r>
      <w:r>
        <w:rPr>
          <w:lang w:val="fr-FR"/>
        </w:rPr>
        <w:t> </w:t>
      </w:r>
      <w:proofErr w:type="spellStart"/>
      <w:r w:rsidRPr="006E39C2">
        <w:rPr>
          <w:lang w:val="fr-FR"/>
        </w:rPr>
        <w:t>Tripathi</w:t>
      </w:r>
      <w:proofErr w:type="spellEnd"/>
      <w:r w:rsidRPr="006E39C2">
        <w:rPr>
          <w:lang w:val="fr-FR"/>
        </w:rPr>
        <w:t xml:space="preserve"> ni prouvé qu</w:t>
      </w:r>
      <w:r>
        <w:rPr>
          <w:lang w:val="fr-FR"/>
        </w:rPr>
        <w:t>’</w:t>
      </w:r>
      <w:r w:rsidRPr="006E39C2">
        <w:rPr>
          <w:lang w:val="fr-FR"/>
        </w:rPr>
        <w:t>il avait effectivement été arrêté et détenu par des agents de l</w:t>
      </w:r>
      <w:r>
        <w:rPr>
          <w:lang w:val="fr-FR"/>
        </w:rPr>
        <w:t>’</w:t>
      </w:r>
      <w:r w:rsidRPr="006E39C2">
        <w:rPr>
          <w:lang w:val="fr-FR"/>
        </w:rPr>
        <w:t xml:space="preserve">État. </w:t>
      </w:r>
    </w:p>
    <w:p w:rsidR="00D856C9" w:rsidRPr="006E39C2" w:rsidRDefault="00D856C9" w:rsidP="00D856C9">
      <w:pPr>
        <w:pStyle w:val="SingleTxtG"/>
        <w:rPr>
          <w:lang w:val="fr-FR"/>
        </w:rPr>
      </w:pPr>
      <w:r>
        <w:rPr>
          <w:lang w:val="fr-FR"/>
        </w:rPr>
        <w:t>4.4</w:t>
      </w:r>
      <w:r w:rsidRPr="006E39C2">
        <w:rPr>
          <w:lang w:val="fr-FR"/>
        </w:rPr>
        <w:tab/>
        <w:t>L</w:t>
      </w:r>
      <w:r>
        <w:rPr>
          <w:lang w:val="fr-FR"/>
        </w:rPr>
        <w:t>’</w:t>
      </w:r>
      <w:r w:rsidRPr="006E39C2">
        <w:rPr>
          <w:lang w:val="fr-FR"/>
        </w:rPr>
        <w:t>État partie indique que, en mai</w:t>
      </w:r>
      <w:r>
        <w:rPr>
          <w:lang w:val="fr-FR"/>
        </w:rPr>
        <w:t> </w:t>
      </w:r>
      <w:r w:rsidRPr="006E39C2">
        <w:rPr>
          <w:lang w:val="fr-FR"/>
        </w:rPr>
        <w:t>2005, un comité a été mis en place et chargé d</w:t>
      </w:r>
      <w:r>
        <w:rPr>
          <w:lang w:val="fr-FR"/>
        </w:rPr>
        <w:t>’</w:t>
      </w:r>
      <w:r w:rsidRPr="006E39C2">
        <w:rPr>
          <w:lang w:val="fr-FR"/>
        </w:rPr>
        <w:t>enquêter sur la situation des personnes disparues. Au moment où l</w:t>
      </w:r>
      <w:r>
        <w:rPr>
          <w:lang w:val="fr-FR"/>
        </w:rPr>
        <w:t>’</w:t>
      </w:r>
      <w:r w:rsidRPr="006E39C2">
        <w:rPr>
          <w:lang w:val="fr-FR"/>
        </w:rPr>
        <w:t>État partie a soumis ses observations, ce comité avait mené des enquêtes sur la situation de 174</w:t>
      </w:r>
      <w:r>
        <w:rPr>
          <w:lang w:val="fr-FR"/>
        </w:rPr>
        <w:t> </w:t>
      </w:r>
      <w:r w:rsidRPr="006E39C2">
        <w:rPr>
          <w:lang w:val="fr-FR"/>
        </w:rPr>
        <w:t>personnes disparues. Dans ce contexte et compte tenu des effort</w:t>
      </w:r>
      <w:r>
        <w:rPr>
          <w:lang w:val="fr-FR"/>
        </w:rPr>
        <w:t>s</w:t>
      </w:r>
      <w:r w:rsidRPr="006E39C2">
        <w:rPr>
          <w:lang w:val="fr-FR"/>
        </w:rPr>
        <w:t xml:space="preserve"> sincères qu</w:t>
      </w:r>
      <w:r>
        <w:rPr>
          <w:lang w:val="fr-FR"/>
        </w:rPr>
        <w:t>’</w:t>
      </w:r>
      <w:r w:rsidRPr="006E39C2">
        <w:rPr>
          <w:lang w:val="fr-FR"/>
        </w:rPr>
        <w:t>il fait pour créer des mécanismes de justice transitionnelle, l</w:t>
      </w:r>
      <w:r>
        <w:rPr>
          <w:lang w:val="fr-FR"/>
        </w:rPr>
        <w:t>’</w:t>
      </w:r>
      <w:r w:rsidRPr="006E39C2">
        <w:rPr>
          <w:lang w:val="fr-FR"/>
        </w:rPr>
        <w:t>État partie demande au Comité de ne pas examiner la communication de l</w:t>
      </w:r>
      <w:r>
        <w:rPr>
          <w:lang w:val="fr-FR"/>
        </w:rPr>
        <w:t>’</w:t>
      </w:r>
      <w:r w:rsidRPr="006E39C2">
        <w:rPr>
          <w:lang w:val="fr-FR"/>
        </w:rPr>
        <w:t>auteure. Il souligne que la détention arbitraire et la disparition forcée présumées de M.</w:t>
      </w:r>
      <w:r>
        <w:rPr>
          <w:lang w:val="fr-FR"/>
        </w:rPr>
        <w:t> </w:t>
      </w:r>
      <w:proofErr w:type="spellStart"/>
      <w:r w:rsidRPr="006E39C2">
        <w:rPr>
          <w:lang w:val="fr-FR"/>
        </w:rPr>
        <w:t>Tripathi</w:t>
      </w:r>
      <w:proofErr w:type="spellEnd"/>
      <w:r w:rsidRPr="006E39C2">
        <w:rPr>
          <w:lang w:val="fr-FR"/>
        </w:rPr>
        <w:t xml:space="preserve"> n</w:t>
      </w:r>
      <w:r>
        <w:rPr>
          <w:lang w:val="fr-FR"/>
        </w:rPr>
        <w:t>’</w:t>
      </w:r>
      <w:r w:rsidRPr="006E39C2">
        <w:rPr>
          <w:lang w:val="fr-FR"/>
        </w:rPr>
        <w:t>ont pas encore été prouvées et que seule une enquête indépendante peut déterminer ce qui lui est arrivé et le lieu où il se trouve et permettre de punir les responsables des violations de ses droits.</w:t>
      </w:r>
    </w:p>
    <w:p w:rsidR="00D856C9" w:rsidRPr="006E39C2" w:rsidRDefault="00D856C9" w:rsidP="00D856C9">
      <w:pPr>
        <w:pStyle w:val="SingleTxtG"/>
        <w:rPr>
          <w:lang w:val="fr-FR"/>
        </w:rPr>
      </w:pPr>
      <w:r w:rsidRPr="006E39C2">
        <w:rPr>
          <w:lang w:val="fr-FR"/>
        </w:rPr>
        <w:t>4.5</w:t>
      </w:r>
      <w:r w:rsidRPr="006E39C2">
        <w:rPr>
          <w:lang w:val="fr-FR"/>
        </w:rPr>
        <w:tab/>
        <w:t>La Cour suprême a ordonné que la somme de 100 000</w:t>
      </w:r>
      <w:r>
        <w:rPr>
          <w:lang w:val="fr-FR"/>
        </w:rPr>
        <w:t> </w:t>
      </w:r>
      <w:r w:rsidRPr="006E39C2">
        <w:rPr>
          <w:lang w:val="fr-FR"/>
        </w:rPr>
        <w:t>roupies népalaises soit versée à la famille proche de toute personne disparue dont la situation n</w:t>
      </w:r>
      <w:r>
        <w:rPr>
          <w:lang w:val="fr-FR"/>
        </w:rPr>
        <w:t>’</w:t>
      </w:r>
      <w:r w:rsidRPr="006E39C2">
        <w:rPr>
          <w:lang w:val="fr-FR"/>
        </w:rPr>
        <w:t>avait pas été clarifiée. À ce titre, 300 000</w:t>
      </w:r>
      <w:r>
        <w:rPr>
          <w:lang w:val="fr-FR"/>
        </w:rPr>
        <w:t> </w:t>
      </w:r>
      <w:r w:rsidRPr="006E39C2">
        <w:rPr>
          <w:lang w:val="fr-FR"/>
        </w:rPr>
        <w:t>roupies népalaises ont été allouées à l</w:t>
      </w:r>
      <w:r>
        <w:rPr>
          <w:lang w:val="fr-FR"/>
        </w:rPr>
        <w:t>’</w:t>
      </w:r>
      <w:r w:rsidRPr="006E39C2">
        <w:rPr>
          <w:lang w:val="fr-FR"/>
        </w:rPr>
        <w:t>auteure à titre d</w:t>
      </w:r>
      <w:r>
        <w:rPr>
          <w:lang w:val="fr-FR"/>
        </w:rPr>
        <w:t>’</w:t>
      </w:r>
      <w:r w:rsidRPr="006E39C2">
        <w:rPr>
          <w:lang w:val="fr-FR"/>
        </w:rPr>
        <w:t>indemnisation provisoire.</w:t>
      </w:r>
    </w:p>
    <w:p w:rsidR="00D856C9" w:rsidRPr="006E39C2" w:rsidRDefault="00D856C9" w:rsidP="00D856C9">
      <w:pPr>
        <w:pStyle w:val="H23G"/>
        <w:rPr>
          <w:lang w:val="fr-FR"/>
        </w:rPr>
      </w:pPr>
      <w:r w:rsidRPr="006E39C2">
        <w:rPr>
          <w:lang w:val="fr-FR"/>
        </w:rPr>
        <w:tab/>
      </w:r>
      <w:r w:rsidRPr="006E39C2">
        <w:rPr>
          <w:lang w:val="fr-FR"/>
        </w:rPr>
        <w:tab/>
        <w:t>Commentaires de l</w:t>
      </w:r>
      <w:r>
        <w:rPr>
          <w:lang w:val="fr-FR"/>
        </w:rPr>
        <w:t>’</w:t>
      </w:r>
      <w:r w:rsidRPr="006E39C2">
        <w:rPr>
          <w:lang w:val="fr-FR"/>
        </w:rPr>
        <w:t>auteur sur les observations de l</w:t>
      </w:r>
      <w:r>
        <w:rPr>
          <w:lang w:val="fr-FR"/>
        </w:rPr>
        <w:t>’</w:t>
      </w:r>
      <w:r w:rsidRPr="006E39C2">
        <w:rPr>
          <w:lang w:val="fr-FR"/>
        </w:rPr>
        <w:t>État partie</w:t>
      </w:r>
    </w:p>
    <w:p w:rsidR="00D856C9" w:rsidRPr="006E39C2" w:rsidRDefault="00D856C9" w:rsidP="00D856C9">
      <w:pPr>
        <w:pStyle w:val="SingleTxtG"/>
        <w:rPr>
          <w:lang w:val="fr-FR"/>
        </w:rPr>
      </w:pPr>
      <w:r w:rsidRPr="006E39C2">
        <w:rPr>
          <w:lang w:val="fr-FR"/>
        </w:rPr>
        <w:t>5.1</w:t>
      </w:r>
      <w:r w:rsidRPr="006E39C2">
        <w:rPr>
          <w:lang w:val="fr-FR"/>
        </w:rPr>
        <w:tab/>
      </w:r>
      <w:r w:rsidRPr="0002045C">
        <w:rPr>
          <w:lang w:val="fr-FR"/>
        </w:rPr>
        <w:t>Le 23 juin 2012, l</w:t>
      </w:r>
      <w:r>
        <w:rPr>
          <w:lang w:val="fr-FR"/>
        </w:rPr>
        <w:t>’</w:t>
      </w:r>
      <w:r w:rsidRPr="0002045C">
        <w:rPr>
          <w:lang w:val="fr-FR"/>
        </w:rPr>
        <w:t>auteure a rejeté les observations de l</w:t>
      </w:r>
      <w:r>
        <w:rPr>
          <w:lang w:val="fr-FR"/>
        </w:rPr>
        <w:t>’</w:t>
      </w:r>
      <w:r w:rsidRPr="0002045C">
        <w:rPr>
          <w:lang w:val="fr-FR"/>
        </w:rPr>
        <w:t xml:space="preserve">État partie. Elle soutient que ses griefs sont suffisamment étayés et réaffirme que des </w:t>
      </w:r>
      <w:r w:rsidRPr="0002045C" w:rsidDel="009742D9">
        <w:rPr>
          <w:lang w:val="fr-FR"/>
        </w:rPr>
        <w:t>preuves</w:t>
      </w:r>
      <w:r w:rsidRPr="0002045C">
        <w:rPr>
          <w:lang w:val="fr-FR"/>
        </w:rPr>
        <w:t xml:space="preserve"> substantielles et concordantes, émanant de différentes sources fiables, montrent que son mari a été détenu arbitrairement puis victime de disparition forcée. Compte tenu de ces éléments de preuve et du contexte de répression systématique contre les sympathisants maoïstes, il est raisonnable de conclure que son mari courait un risque grave de subir des préjudices irréparables pour son intégrité et sa vie. À ce sujet, l</w:t>
      </w:r>
      <w:r>
        <w:rPr>
          <w:lang w:val="fr-FR"/>
        </w:rPr>
        <w:t>’</w:t>
      </w:r>
      <w:r w:rsidRPr="0002045C">
        <w:rPr>
          <w:lang w:val="fr-FR"/>
        </w:rPr>
        <w:t>auteure souligne que son mari n</w:t>
      </w:r>
      <w:r>
        <w:rPr>
          <w:lang w:val="fr-FR"/>
        </w:rPr>
        <w:t>’</w:t>
      </w:r>
      <w:r w:rsidRPr="0002045C">
        <w:rPr>
          <w:lang w:val="fr-FR"/>
        </w:rPr>
        <w:t>était pas seulement membre de l</w:t>
      </w:r>
      <w:r>
        <w:rPr>
          <w:lang w:val="fr-FR"/>
        </w:rPr>
        <w:t>’</w:t>
      </w:r>
      <w:r w:rsidRPr="0002045C">
        <w:rPr>
          <w:lang w:val="fr-FR"/>
        </w:rPr>
        <w:t>ANNISU-R, mais aussi directeur de sa division de l</w:t>
      </w:r>
      <w:r>
        <w:rPr>
          <w:lang w:val="fr-FR"/>
        </w:rPr>
        <w:t>’</w:t>
      </w:r>
      <w:r w:rsidRPr="0002045C">
        <w:rPr>
          <w:lang w:val="fr-FR"/>
        </w:rPr>
        <w:t>éducation et membre du Comité central à Katmandou. Par conséquent, son mari a été arbitrairement privé de liberté puis victime de disparition forcée et probablement tué par des membres de l</w:t>
      </w:r>
      <w:r>
        <w:rPr>
          <w:lang w:val="fr-FR"/>
        </w:rPr>
        <w:t>’</w:t>
      </w:r>
      <w:r w:rsidRPr="0002045C">
        <w:rPr>
          <w:lang w:val="fr-FR"/>
        </w:rPr>
        <w:t>Armée</w:t>
      </w:r>
      <w:r w:rsidR="005C15DE">
        <w:rPr>
          <w:rStyle w:val="FootnoteReference"/>
        </w:rPr>
        <w:footnoteReference w:id="9"/>
      </w:r>
      <w:r w:rsidRPr="0002045C">
        <w:rPr>
          <w:lang w:val="fr-FR"/>
        </w:rPr>
        <w:t>.</w:t>
      </w:r>
      <w:r w:rsidRPr="0002045C">
        <w:rPr>
          <w:spacing w:val="-1"/>
          <w:lang w:val="fr-FR"/>
        </w:rPr>
        <w:t xml:space="preserve"> </w:t>
      </w:r>
    </w:p>
    <w:p w:rsidR="00D856C9" w:rsidRPr="006E39C2" w:rsidRDefault="00D856C9" w:rsidP="00D856C9">
      <w:pPr>
        <w:pStyle w:val="SingleTxtG"/>
        <w:rPr>
          <w:lang w:val="fr-FR"/>
        </w:rPr>
      </w:pPr>
      <w:r>
        <w:rPr>
          <w:lang w:val="fr-FR"/>
        </w:rPr>
        <w:t>5.2</w:t>
      </w:r>
      <w:r w:rsidRPr="006E39C2">
        <w:rPr>
          <w:lang w:val="fr-FR"/>
        </w:rPr>
        <w:tab/>
        <w:t>La communication ne constitue pas un abus du droit de présenter une communication. Depuis 2003, l</w:t>
      </w:r>
      <w:r>
        <w:rPr>
          <w:lang w:val="fr-FR"/>
        </w:rPr>
        <w:t>’</w:t>
      </w:r>
      <w:r w:rsidRPr="006E39C2">
        <w:rPr>
          <w:lang w:val="fr-FR"/>
        </w:rPr>
        <w:t>auteure s</w:t>
      </w:r>
      <w:r>
        <w:rPr>
          <w:lang w:val="fr-FR"/>
        </w:rPr>
        <w:t>’</w:t>
      </w:r>
      <w:r w:rsidRPr="006E39C2">
        <w:rPr>
          <w:lang w:val="fr-FR"/>
        </w:rPr>
        <w:t>est adressée aux autorités pour leur demander d</w:t>
      </w:r>
      <w:r>
        <w:rPr>
          <w:lang w:val="fr-FR"/>
        </w:rPr>
        <w:t>’</w:t>
      </w:r>
      <w:r w:rsidRPr="006E39C2">
        <w:rPr>
          <w:lang w:val="fr-FR"/>
        </w:rPr>
        <w:t xml:space="preserve">élucider le sort de son mari et de déterminer le lieu où celui-ci se </w:t>
      </w:r>
      <w:r w:rsidRPr="00E6433C">
        <w:rPr>
          <w:lang w:val="fr-FR"/>
        </w:rPr>
        <w:t>trouvait. Son espoir que la lumière soit progressivement faite sur le cas de son mari a été notamment renforcé</w:t>
      </w:r>
      <w:r w:rsidRPr="006E39C2">
        <w:rPr>
          <w:lang w:val="fr-FR"/>
        </w:rPr>
        <w:t xml:space="preserve"> par l</w:t>
      </w:r>
      <w:r>
        <w:rPr>
          <w:lang w:val="fr-FR"/>
        </w:rPr>
        <w:t>’</w:t>
      </w:r>
      <w:r w:rsidRPr="006E39C2">
        <w:rPr>
          <w:lang w:val="fr-FR"/>
        </w:rPr>
        <w:t>arrêt rendu par la Cour suprême le 1</w:t>
      </w:r>
      <w:r w:rsidRPr="006E39C2">
        <w:rPr>
          <w:vertAlign w:val="superscript"/>
          <w:lang w:val="fr-FR"/>
        </w:rPr>
        <w:t>er</w:t>
      </w:r>
      <w:r>
        <w:rPr>
          <w:lang w:val="fr-FR"/>
        </w:rPr>
        <w:t> </w:t>
      </w:r>
      <w:r w:rsidRPr="006E39C2">
        <w:rPr>
          <w:lang w:val="fr-FR"/>
        </w:rPr>
        <w:t xml:space="preserve">juin 2007. </w:t>
      </w:r>
      <w:r w:rsidRPr="006E39C2" w:rsidDel="00BE30B0">
        <w:rPr>
          <w:lang w:val="fr-FR"/>
        </w:rPr>
        <w:t xml:space="preserve">Par la </w:t>
      </w:r>
      <w:r w:rsidRPr="006E39C2">
        <w:rPr>
          <w:lang w:val="fr-FR"/>
        </w:rPr>
        <w:t>suite, l</w:t>
      </w:r>
      <w:r>
        <w:rPr>
          <w:lang w:val="fr-FR"/>
        </w:rPr>
        <w:t>’</w:t>
      </w:r>
      <w:r w:rsidRPr="006E39C2">
        <w:rPr>
          <w:lang w:val="fr-FR"/>
        </w:rPr>
        <w:t>auteure a hésité à demander la mise en œuvre de cette décision car elle craignait pour sa vie et celle de sa fille. Enfin, elle souligne que l</w:t>
      </w:r>
      <w:r>
        <w:rPr>
          <w:lang w:val="fr-FR"/>
        </w:rPr>
        <w:t>’</w:t>
      </w:r>
      <w:r w:rsidRPr="006E39C2">
        <w:rPr>
          <w:lang w:val="fr-FR"/>
        </w:rPr>
        <w:t>article</w:t>
      </w:r>
      <w:r>
        <w:rPr>
          <w:lang w:val="fr-FR"/>
        </w:rPr>
        <w:t> </w:t>
      </w:r>
      <w:r w:rsidRPr="006E39C2">
        <w:rPr>
          <w:lang w:val="fr-FR"/>
        </w:rPr>
        <w:t>96</w:t>
      </w:r>
      <w:r>
        <w:rPr>
          <w:lang w:val="fr-FR"/>
        </w:rPr>
        <w:t> </w:t>
      </w:r>
      <w:r w:rsidRPr="006E39C2">
        <w:rPr>
          <w:lang w:val="fr-FR"/>
        </w:rPr>
        <w:t>c) du règlement intérieur du Comité s</w:t>
      </w:r>
      <w:r>
        <w:rPr>
          <w:lang w:val="fr-FR"/>
        </w:rPr>
        <w:t>’</w:t>
      </w:r>
      <w:r w:rsidRPr="006E39C2">
        <w:rPr>
          <w:lang w:val="fr-FR"/>
        </w:rPr>
        <w:t xml:space="preserve">applique aux communications présentées après janvier 2012. </w:t>
      </w:r>
    </w:p>
    <w:p w:rsidR="00D856C9" w:rsidRPr="00290C81" w:rsidRDefault="00D856C9" w:rsidP="00D856C9">
      <w:pPr>
        <w:pStyle w:val="SingleTxtG"/>
        <w:rPr>
          <w:spacing w:val="-2"/>
          <w:lang w:val="fr-FR"/>
        </w:rPr>
      </w:pPr>
      <w:r>
        <w:rPr>
          <w:lang w:val="fr-FR"/>
        </w:rPr>
        <w:t>5.3</w:t>
      </w:r>
      <w:r w:rsidRPr="006E39C2">
        <w:rPr>
          <w:lang w:val="fr-FR"/>
        </w:rPr>
        <w:tab/>
      </w:r>
      <w:r w:rsidRPr="00290C81">
        <w:rPr>
          <w:spacing w:val="-2"/>
          <w:lang w:val="fr-FR"/>
        </w:rPr>
        <w:t>En ce qui concerne la condition de l</w:t>
      </w:r>
      <w:r>
        <w:rPr>
          <w:spacing w:val="-2"/>
          <w:lang w:val="fr-FR"/>
        </w:rPr>
        <w:t>’</w:t>
      </w:r>
      <w:r w:rsidRPr="00290C81">
        <w:rPr>
          <w:spacing w:val="-2"/>
          <w:lang w:val="fr-FR"/>
        </w:rPr>
        <w:t>épuisement des voies de recours internes, l</w:t>
      </w:r>
      <w:r>
        <w:rPr>
          <w:spacing w:val="-2"/>
          <w:lang w:val="fr-FR"/>
        </w:rPr>
        <w:t>’</w:t>
      </w:r>
      <w:r w:rsidRPr="00290C81">
        <w:rPr>
          <w:spacing w:val="-2"/>
          <w:lang w:val="fr-FR"/>
        </w:rPr>
        <w:t xml:space="preserve">auteure estime que le recours en </w:t>
      </w:r>
      <w:r w:rsidRPr="00290C81">
        <w:rPr>
          <w:i/>
          <w:spacing w:val="-2"/>
          <w:lang w:val="fr-FR"/>
        </w:rPr>
        <w:t>habeas corpus</w:t>
      </w:r>
      <w:r w:rsidRPr="00290C81">
        <w:rPr>
          <w:spacing w:val="-2"/>
          <w:lang w:val="fr-FR"/>
        </w:rPr>
        <w:t xml:space="preserve"> ne se limite pas à l</w:t>
      </w:r>
      <w:r>
        <w:rPr>
          <w:spacing w:val="-2"/>
          <w:lang w:val="fr-FR"/>
        </w:rPr>
        <w:t>’</w:t>
      </w:r>
      <w:r w:rsidRPr="00290C81">
        <w:rPr>
          <w:spacing w:val="-2"/>
          <w:lang w:val="fr-FR"/>
        </w:rPr>
        <w:t>examen de la légalité d</w:t>
      </w:r>
      <w:r>
        <w:rPr>
          <w:spacing w:val="-2"/>
          <w:lang w:val="fr-FR"/>
        </w:rPr>
        <w:t>’</w:t>
      </w:r>
      <w:r w:rsidRPr="00290C81">
        <w:rPr>
          <w:spacing w:val="-2"/>
          <w:lang w:val="fr-FR"/>
        </w:rPr>
        <w:t>une détention, mais vise aussi à obtenir la remise en liberté de la personne concernée si la détention est jugée arbitraire. Dans le cas de son mari, l</w:t>
      </w:r>
      <w:r>
        <w:rPr>
          <w:spacing w:val="-2"/>
          <w:lang w:val="fr-FR"/>
        </w:rPr>
        <w:t>’</w:t>
      </w:r>
      <w:r w:rsidRPr="00290C81">
        <w:rPr>
          <w:spacing w:val="-2"/>
          <w:lang w:val="fr-FR"/>
        </w:rPr>
        <w:t>État partie a fait valoir que sa détention devait être prouvée pour qu</w:t>
      </w:r>
      <w:r>
        <w:rPr>
          <w:spacing w:val="-2"/>
          <w:lang w:val="fr-FR"/>
        </w:rPr>
        <w:t>’</w:t>
      </w:r>
      <w:r w:rsidRPr="00290C81">
        <w:rPr>
          <w:spacing w:val="-2"/>
          <w:lang w:val="fr-FR"/>
        </w:rPr>
        <w:t>une ordonnance d</w:t>
      </w:r>
      <w:r>
        <w:rPr>
          <w:spacing w:val="-2"/>
          <w:lang w:val="fr-FR"/>
        </w:rPr>
        <w:t>’</w:t>
      </w:r>
      <w:r w:rsidRPr="00290C81">
        <w:rPr>
          <w:i/>
          <w:spacing w:val="-2"/>
          <w:lang w:val="fr-FR"/>
        </w:rPr>
        <w:t>habeas corpus</w:t>
      </w:r>
      <w:r w:rsidRPr="00290C81">
        <w:rPr>
          <w:spacing w:val="-2"/>
          <w:lang w:val="fr-FR"/>
        </w:rPr>
        <w:t xml:space="preserve"> soit rendue. Toutefois, si tel était le fondement logique de ce recours, celui-ci n</w:t>
      </w:r>
      <w:r>
        <w:rPr>
          <w:spacing w:val="-2"/>
          <w:lang w:val="fr-FR"/>
        </w:rPr>
        <w:t>’</w:t>
      </w:r>
      <w:r w:rsidRPr="00290C81">
        <w:rPr>
          <w:spacing w:val="-2"/>
          <w:lang w:val="fr-FR"/>
        </w:rPr>
        <w:t>aurait aucune utilité dans le cas d</w:t>
      </w:r>
      <w:r>
        <w:rPr>
          <w:spacing w:val="-2"/>
          <w:lang w:val="fr-FR"/>
        </w:rPr>
        <w:t>’</w:t>
      </w:r>
      <w:r w:rsidRPr="00290C81">
        <w:rPr>
          <w:spacing w:val="-2"/>
          <w:lang w:val="fr-FR"/>
        </w:rPr>
        <w:t>une disparition forcée. Compte tenu de tous les éléments qui indiquaient que son mari avait été victime de disparition forcée, c</w:t>
      </w:r>
      <w:r>
        <w:rPr>
          <w:spacing w:val="-2"/>
          <w:lang w:val="fr-FR"/>
        </w:rPr>
        <w:t>’</w:t>
      </w:r>
      <w:r w:rsidRPr="00290C81">
        <w:rPr>
          <w:spacing w:val="-2"/>
          <w:lang w:val="fr-FR"/>
        </w:rPr>
        <w:t>est aux autorités de l</w:t>
      </w:r>
      <w:r>
        <w:rPr>
          <w:spacing w:val="-2"/>
          <w:lang w:val="fr-FR"/>
        </w:rPr>
        <w:t>’</w:t>
      </w:r>
      <w:r w:rsidRPr="00290C81">
        <w:rPr>
          <w:spacing w:val="-2"/>
          <w:lang w:val="fr-FR"/>
        </w:rPr>
        <w:t>État partie qu</w:t>
      </w:r>
      <w:r>
        <w:rPr>
          <w:spacing w:val="-2"/>
          <w:lang w:val="fr-FR"/>
        </w:rPr>
        <w:t>’</w:t>
      </w:r>
      <w:r w:rsidRPr="00290C81">
        <w:rPr>
          <w:spacing w:val="-2"/>
          <w:lang w:val="fr-FR"/>
        </w:rPr>
        <w:t>il incombait d</w:t>
      </w:r>
      <w:r>
        <w:rPr>
          <w:spacing w:val="-2"/>
          <w:lang w:val="fr-FR"/>
        </w:rPr>
        <w:t>’</w:t>
      </w:r>
      <w:r w:rsidRPr="00290C81">
        <w:rPr>
          <w:spacing w:val="-2"/>
          <w:lang w:val="fr-FR"/>
        </w:rPr>
        <w:t>enquêter sur les circonstances de sa détention et de déterminer ce qui lui était arrivé et le lieu où il se trouvait. L</w:t>
      </w:r>
      <w:r>
        <w:rPr>
          <w:spacing w:val="-2"/>
          <w:lang w:val="fr-FR"/>
        </w:rPr>
        <w:t>’</w:t>
      </w:r>
      <w:r w:rsidRPr="00290C81">
        <w:rPr>
          <w:spacing w:val="-2"/>
          <w:lang w:val="fr-FR"/>
        </w:rPr>
        <w:t>auteure rappelle que le premier rapport d</w:t>
      </w:r>
      <w:r>
        <w:rPr>
          <w:spacing w:val="-2"/>
          <w:lang w:val="fr-FR"/>
        </w:rPr>
        <w:t>’</w:t>
      </w:r>
      <w:r w:rsidRPr="00290C81">
        <w:rPr>
          <w:spacing w:val="-2"/>
          <w:lang w:val="fr-FR"/>
        </w:rPr>
        <w:t>information n</w:t>
      </w:r>
      <w:r>
        <w:rPr>
          <w:spacing w:val="-2"/>
          <w:lang w:val="fr-FR"/>
        </w:rPr>
        <w:t>’</w:t>
      </w:r>
      <w:r w:rsidRPr="00290C81">
        <w:rPr>
          <w:spacing w:val="-2"/>
          <w:lang w:val="fr-FR"/>
        </w:rPr>
        <w:t>est pas un recours utile et que, même dans les cas où de tels rapports peuvent être déposés, la police refuse généralement de les enregistrer lorsque des policiers ou des membres de l</w:t>
      </w:r>
      <w:r>
        <w:rPr>
          <w:spacing w:val="-2"/>
          <w:lang w:val="fr-FR"/>
        </w:rPr>
        <w:t>’</w:t>
      </w:r>
      <w:r w:rsidRPr="00290C81">
        <w:rPr>
          <w:spacing w:val="-2"/>
          <w:lang w:val="fr-FR"/>
        </w:rPr>
        <w:t>armée sont impliqués. Quant à l</w:t>
      </w:r>
      <w:r>
        <w:rPr>
          <w:spacing w:val="-2"/>
          <w:lang w:val="fr-FR"/>
        </w:rPr>
        <w:t>’</w:t>
      </w:r>
      <w:r w:rsidRPr="00290C81">
        <w:rPr>
          <w:spacing w:val="-2"/>
          <w:lang w:val="fr-FR"/>
        </w:rPr>
        <w:t>argument de l</w:t>
      </w:r>
      <w:r>
        <w:rPr>
          <w:spacing w:val="-2"/>
          <w:lang w:val="fr-FR"/>
        </w:rPr>
        <w:t>’</w:t>
      </w:r>
      <w:r w:rsidRPr="00290C81">
        <w:rPr>
          <w:spacing w:val="-2"/>
          <w:lang w:val="fr-FR"/>
        </w:rPr>
        <w:t>État partie qui fait valoir que les victimes de torture peuvent demander une indemnisation, l</w:t>
      </w:r>
      <w:r>
        <w:rPr>
          <w:spacing w:val="-2"/>
          <w:lang w:val="fr-FR"/>
        </w:rPr>
        <w:t>’</w:t>
      </w:r>
      <w:r w:rsidRPr="00290C81">
        <w:rPr>
          <w:spacing w:val="-2"/>
          <w:lang w:val="fr-FR"/>
        </w:rPr>
        <w:t>auteure souligne que la loi relative à l</w:t>
      </w:r>
      <w:r>
        <w:rPr>
          <w:spacing w:val="-2"/>
          <w:lang w:val="fr-FR"/>
        </w:rPr>
        <w:t>’</w:t>
      </w:r>
      <w:r w:rsidRPr="00290C81">
        <w:rPr>
          <w:spacing w:val="-2"/>
          <w:lang w:val="fr-FR"/>
        </w:rPr>
        <w:t>indemnisation en cas de torture est un texte de droit civil qui ne prévoit qu</w:t>
      </w:r>
      <w:r>
        <w:rPr>
          <w:spacing w:val="-2"/>
          <w:lang w:val="fr-FR"/>
        </w:rPr>
        <w:t>’</w:t>
      </w:r>
      <w:r w:rsidRPr="00290C81">
        <w:rPr>
          <w:spacing w:val="-2"/>
          <w:lang w:val="fr-FR"/>
        </w:rPr>
        <w:t>une indemnisation et, éventuellement, des mesures disciplinaires applicables aux auteurs.</w:t>
      </w:r>
    </w:p>
    <w:p w:rsidR="00D856C9" w:rsidRPr="006E39C2" w:rsidRDefault="00D856C9" w:rsidP="00D856C9">
      <w:pPr>
        <w:pStyle w:val="SingleTxtG"/>
        <w:rPr>
          <w:spacing w:val="-9"/>
          <w:lang w:val="fr-FR"/>
        </w:rPr>
      </w:pPr>
      <w:r>
        <w:rPr>
          <w:lang w:val="fr-FR"/>
        </w:rPr>
        <w:t>5.4</w:t>
      </w:r>
      <w:r w:rsidRPr="006E39C2">
        <w:rPr>
          <w:lang w:val="fr-FR"/>
        </w:rPr>
        <w:tab/>
        <w:t>À la date où l</w:t>
      </w:r>
      <w:r>
        <w:rPr>
          <w:lang w:val="fr-FR"/>
        </w:rPr>
        <w:t>’</w:t>
      </w:r>
      <w:r w:rsidRPr="006E39C2">
        <w:rPr>
          <w:lang w:val="fr-FR"/>
        </w:rPr>
        <w:t>auteure a présenté ses commentaires, il n</w:t>
      </w:r>
      <w:r>
        <w:rPr>
          <w:lang w:val="fr-FR"/>
        </w:rPr>
        <w:t>’</w:t>
      </w:r>
      <w:r w:rsidRPr="006E39C2">
        <w:rPr>
          <w:lang w:val="fr-FR"/>
        </w:rPr>
        <w:t xml:space="preserve">y avait aucune certitude quant à la mise en place des futures </w:t>
      </w:r>
      <w:r w:rsidRPr="006E39C2" w:rsidDel="00FF7FDA">
        <w:rPr>
          <w:lang w:val="fr-FR"/>
        </w:rPr>
        <w:t>C</w:t>
      </w:r>
      <w:r w:rsidRPr="006E39C2">
        <w:rPr>
          <w:lang w:val="fr-FR"/>
        </w:rPr>
        <w:t xml:space="preserve">ommission vérité et réconciliation et </w:t>
      </w:r>
      <w:r w:rsidRPr="006E39C2" w:rsidDel="00FF7FDA">
        <w:rPr>
          <w:lang w:val="fr-FR"/>
        </w:rPr>
        <w:t>C</w:t>
      </w:r>
      <w:r w:rsidRPr="006E39C2">
        <w:rPr>
          <w:lang w:val="fr-FR"/>
        </w:rPr>
        <w:t>ommission sur les disparitions et à leur capacité de mener des enquêtes et d</w:t>
      </w:r>
      <w:r>
        <w:rPr>
          <w:lang w:val="fr-FR"/>
        </w:rPr>
        <w:t>’</w:t>
      </w:r>
      <w:r w:rsidRPr="006E39C2">
        <w:rPr>
          <w:lang w:val="fr-FR"/>
        </w:rPr>
        <w:t>engager des poursuites diligentes, indépendantes et efficaces. En outre, ces commissions ne seraient pas des organes judiciaires et les projets de loi comportaient une clause prévoyant une amnistie générale pour les auteurs de violations graves du droit international des droits de l</w:t>
      </w:r>
      <w:r>
        <w:rPr>
          <w:lang w:val="fr-FR"/>
        </w:rPr>
        <w:t>’</w:t>
      </w:r>
      <w:r w:rsidRPr="006E39C2">
        <w:rPr>
          <w:lang w:val="fr-FR"/>
        </w:rPr>
        <w:t>homme et du droit international humanitaire, y compris les disparitions forcées.</w:t>
      </w:r>
      <w:r w:rsidR="005C15DE">
        <w:rPr>
          <w:lang w:val="fr-FR"/>
        </w:rPr>
        <w:t xml:space="preserve"> </w:t>
      </w:r>
      <w:r w:rsidRPr="006E39C2">
        <w:rPr>
          <w:lang w:val="fr-FR"/>
        </w:rPr>
        <w:t>Bien qu</w:t>
      </w:r>
      <w:r>
        <w:rPr>
          <w:lang w:val="fr-FR"/>
        </w:rPr>
        <w:t>’</w:t>
      </w:r>
      <w:r w:rsidRPr="006E39C2">
        <w:rPr>
          <w:lang w:val="fr-FR"/>
        </w:rPr>
        <w:t xml:space="preserve">elles soient essentielles pour établir la vérité, les </w:t>
      </w:r>
      <w:r w:rsidRPr="00ED45FD">
        <w:rPr>
          <w:lang w:val="fr-FR"/>
        </w:rPr>
        <w:t>enquêtes</w:t>
      </w:r>
      <w:r w:rsidRPr="006E39C2">
        <w:rPr>
          <w:lang w:val="fr-FR"/>
        </w:rPr>
        <w:t xml:space="preserve"> menées par des organes non judiciaires ne sauraient en aucun cas remplacer l</w:t>
      </w:r>
      <w:r>
        <w:rPr>
          <w:lang w:val="fr-FR"/>
        </w:rPr>
        <w:t>’</w:t>
      </w:r>
      <w:r w:rsidRPr="006E39C2">
        <w:rPr>
          <w:lang w:val="fr-FR"/>
        </w:rPr>
        <w:t>accès à la justice et à des voies de recours pour les victimes de violations graves des droits de l</w:t>
      </w:r>
      <w:r>
        <w:rPr>
          <w:lang w:val="fr-FR"/>
        </w:rPr>
        <w:t>’</w:t>
      </w:r>
      <w:r w:rsidRPr="006E39C2">
        <w:rPr>
          <w:lang w:val="fr-FR"/>
        </w:rPr>
        <w:t>homme et leurs proches, le système de justice pénale constituant la meilleure voie pour obtenir l</w:t>
      </w:r>
      <w:r>
        <w:rPr>
          <w:lang w:val="fr-FR"/>
        </w:rPr>
        <w:t>’</w:t>
      </w:r>
      <w:r w:rsidRPr="006E39C2">
        <w:rPr>
          <w:lang w:val="fr-FR"/>
        </w:rPr>
        <w:t>ouverture immédiate d</w:t>
      </w:r>
      <w:r>
        <w:rPr>
          <w:lang w:val="fr-FR"/>
        </w:rPr>
        <w:t>’</w:t>
      </w:r>
      <w:r w:rsidRPr="006E39C2">
        <w:rPr>
          <w:lang w:val="fr-FR"/>
        </w:rPr>
        <w:t xml:space="preserve">une enquête </w:t>
      </w:r>
      <w:r w:rsidRPr="006E39C2" w:rsidDel="009742D9">
        <w:rPr>
          <w:lang w:val="fr-FR"/>
        </w:rPr>
        <w:t xml:space="preserve">sur des actes criminels </w:t>
      </w:r>
      <w:r w:rsidRPr="006E39C2">
        <w:rPr>
          <w:lang w:val="fr-FR"/>
        </w:rPr>
        <w:t>et la punition des auteurs.</w:t>
      </w:r>
    </w:p>
    <w:p w:rsidR="00D856C9" w:rsidRPr="006E39C2" w:rsidRDefault="00D856C9" w:rsidP="00D856C9">
      <w:pPr>
        <w:pStyle w:val="SingleTxtG"/>
        <w:rPr>
          <w:lang w:val="fr-FR"/>
        </w:rPr>
      </w:pPr>
      <w:r>
        <w:rPr>
          <w:lang w:val="fr-FR"/>
        </w:rPr>
        <w:t>5.5</w:t>
      </w:r>
      <w:r w:rsidRPr="006E39C2">
        <w:rPr>
          <w:lang w:val="fr-FR"/>
        </w:rPr>
        <w:tab/>
        <w:t>L</w:t>
      </w:r>
      <w:r>
        <w:rPr>
          <w:lang w:val="fr-FR"/>
        </w:rPr>
        <w:t>’</w:t>
      </w:r>
      <w:r w:rsidRPr="006E39C2">
        <w:rPr>
          <w:lang w:val="fr-FR"/>
        </w:rPr>
        <w:t>engagement de respecter les droits de l</w:t>
      </w:r>
      <w:r>
        <w:rPr>
          <w:lang w:val="fr-FR"/>
        </w:rPr>
        <w:t>’</w:t>
      </w:r>
      <w:r w:rsidRPr="006E39C2">
        <w:rPr>
          <w:lang w:val="fr-FR"/>
        </w:rPr>
        <w:t>homme que l</w:t>
      </w:r>
      <w:r>
        <w:rPr>
          <w:lang w:val="fr-FR"/>
        </w:rPr>
        <w:t>’</w:t>
      </w:r>
      <w:r w:rsidRPr="006E39C2">
        <w:rPr>
          <w:lang w:val="fr-FR"/>
        </w:rPr>
        <w:t>État partie a exprimé dans</w:t>
      </w:r>
      <w:r>
        <w:rPr>
          <w:lang w:val="fr-FR"/>
        </w:rPr>
        <w:t> </w:t>
      </w:r>
      <w:r w:rsidRPr="006E39C2">
        <w:rPr>
          <w:lang w:val="fr-FR"/>
        </w:rPr>
        <w:t>ses observations n</w:t>
      </w:r>
      <w:r>
        <w:rPr>
          <w:lang w:val="fr-FR"/>
        </w:rPr>
        <w:t>’</w:t>
      </w:r>
      <w:r w:rsidRPr="006E39C2">
        <w:rPr>
          <w:lang w:val="fr-FR"/>
        </w:rPr>
        <w:t>est ni étayé ni pertinent dans le cas du mari de l</w:t>
      </w:r>
      <w:r>
        <w:rPr>
          <w:lang w:val="fr-FR"/>
        </w:rPr>
        <w:t>’</w:t>
      </w:r>
      <w:r w:rsidRPr="006E39C2">
        <w:rPr>
          <w:lang w:val="fr-FR"/>
        </w:rPr>
        <w:t>auteure. À ce sujet, il est</w:t>
      </w:r>
      <w:r>
        <w:rPr>
          <w:lang w:val="fr-FR"/>
        </w:rPr>
        <w:t xml:space="preserve"> </w:t>
      </w:r>
      <w:r w:rsidRPr="006E39C2">
        <w:rPr>
          <w:lang w:val="fr-FR"/>
        </w:rPr>
        <w:t>souligné que l</w:t>
      </w:r>
      <w:r>
        <w:rPr>
          <w:lang w:val="fr-FR"/>
        </w:rPr>
        <w:t>’</w:t>
      </w:r>
      <w:r w:rsidRPr="006E39C2">
        <w:rPr>
          <w:lang w:val="fr-FR"/>
        </w:rPr>
        <w:t>État partie n</w:t>
      </w:r>
      <w:r>
        <w:rPr>
          <w:lang w:val="fr-FR"/>
        </w:rPr>
        <w:t>’</w:t>
      </w:r>
      <w:r w:rsidRPr="006E39C2">
        <w:rPr>
          <w:lang w:val="fr-FR"/>
        </w:rPr>
        <w:t>a pas donné effet à l</w:t>
      </w:r>
      <w:r>
        <w:rPr>
          <w:lang w:val="fr-FR"/>
        </w:rPr>
        <w:t>’</w:t>
      </w:r>
      <w:r w:rsidRPr="006E39C2">
        <w:rPr>
          <w:lang w:val="fr-FR"/>
        </w:rPr>
        <w:t>arrêt rendu par la Cour suprême le</w:t>
      </w:r>
      <w:r>
        <w:rPr>
          <w:lang w:val="fr-FR"/>
        </w:rPr>
        <w:t> </w:t>
      </w:r>
      <w:r w:rsidRPr="006E39C2">
        <w:rPr>
          <w:lang w:val="fr-FR"/>
        </w:rPr>
        <w:t>1</w:t>
      </w:r>
      <w:r w:rsidRPr="006E39C2">
        <w:rPr>
          <w:vertAlign w:val="superscript"/>
          <w:lang w:val="fr-FR"/>
        </w:rPr>
        <w:t>er</w:t>
      </w:r>
      <w:r>
        <w:rPr>
          <w:lang w:val="fr-FR"/>
        </w:rPr>
        <w:t> </w:t>
      </w:r>
      <w:r w:rsidRPr="006E39C2">
        <w:rPr>
          <w:lang w:val="fr-FR"/>
        </w:rPr>
        <w:t>juin 2007.</w:t>
      </w:r>
    </w:p>
    <w:p w:rsidR="00D856C9" w:rsidRPr="006E39C2" w:rsidRDefault="00D856C9" w:rsidP="00D856C9">
      <w:pPr>
        <w:pStyle w:val="SingleTxtG"/>
        <w:rPr>
          <w:lang w:val="fr-FR"/>
        </w:rPr>
      </w:pPr>
      <w:r>
        <w:rPr>
          <w:lang w:val="fr-FR"/>
        </w:rPr>
        <w:t>5.6</w:t>
      </w:r>
      <w:r w:rsidRPr="006E39C2">
        <w:rPr>
          <w:lang w:val="fr-FR"/>
        </w:rPr>
        <w:tab/>
        <w:t>La somme de 300 000</w:t>
      </w:r>
      <w:r>
        <w:rPr>
          <w:lang w:val="fr-FR"/>
        </w:rPr>
        <w:t> </w:t>
      </w:r>
      <w:r w:rsidRPr="006E39C2">
        <w:rPr>
          <w:lang w:val="fr-FR"/>
        </w:rPr>
        <w:t>roupies népalaises reçue par l</w:t>
      </w:r>
      <w:r>
        <w:rPr>
          <w:lang w:val="fr-FR"/>
        </w:rPr>
        <w:t>’</w:t>
      </w:r>
      <w:r w:rsidRPr="006E39C2">
        <w:rPr>
          <w:lang w:val="fr-FR"/>
        </w:rPr>
        <w:t>auteure à titre d</w:t>
      </w:r>
      <w:r>
        <w:rPr>
          <w:lang w:val="fr-FR"/>
        </w:rPr>
        <w:t>’</w:t>
      </w:r>
      <w:r w:rsidRPr="006E39C2">
        <w:rPr>
          <w:lang w:val="fr-FR"/>
        </w:rPr>
        <w:t xml:space="preserve">indemnisation provisoire </w:t>
      </w:r>
      <w:r w:rsidRPr="006E39C2">
        <w:rPr>
          <w:spacing w:val="-2"/>
          <w:lang w:val="fr-FR"/>
        </w:rPr>
        <w:t xml:space="preserve">représente un montant dérisoire au regard du préjudice matériel et moral subi par </w:t>
      </w:r>
      <w:r w:rsidRPr="006E39C2">
        <w:rPr>
          <w:lang w:val="fr-FR"/>
        </w:rPr>
        <w:t>l</w:t>
      </w:r>
      <w:r>
        <w:rPr>
          <w:lang w:val="fr-FR"/>
        </w:rPr>
        <w:t>’</w:t>
      </w:r>
      <w:r w:rsidRPr="006E39C2">
        <w:rPr>
          <w:lang w:val="fr-FR"/>
        </w:rPr>
        <w:t xml:space="preserve">intéressée et sa fille </w:t>
      </w:r>
      <w:r w:rsidRPr="006E39C2">
        <w:rPr>
          <w:spacing w:val="-2"/>
          <w:lang w:val="fr-FR"/>
        </w:rPr>
        <w:t>et ne saurait être considérée comme constituant un recours interne utile au sens du paragraphe 3 de l</w:t>
      </w:r>
      <w:r>
        <w:rPr>
          <w:spacing w:val="-2"/>
          <w:lang w:val="fr-FR"/>
        </w:rPr>
        <w:t>’</w:t>
      </w:r>
      <w:r w:rsidRPr="006E39C2">
        <w:rPr>
          <w:spacing w:val="-2"/>
          <w:lang w:val="fr-FR"/>
        </w:rPr>
        <w:t>article 2 du Pacte. En outre, une simple indemnisation d</w:t>
      </w:r>
      <w:r>
        <w:rPr>
          <w:spacing w:val="-2"/>
          <w:lang w:val="fr-FR"/>
        </w:rPr>
        <w:t>’</w:t>
      </w:r>
      <w:r w:rsidRPr="006E39C2">
        <w:rPr>
          <w:spacing w:val="-2"/>
          <w:lang w:val="fr-FR"/>
        </w:rPr>
        <w:t>ordre pécuniaire n</w:t>
      </w:r>
      <w:r>
        <w:rPr>
          <w:spacing w:val="-2"/>
          <w:lang w:val="fr-FR"/>
        </w:rPr>
        <w:t>’</w:t>
      </w:r>
      <w:r w:rsidRPr="006E39C2">
        <w:rPr>
          <w:spacing w:val="-2"/>
          <w:lang w:val="fr-FR"/>
        </w:rPr>
        <w:t>est pas suffisante pour des violations des droits de l</w:t>
      </w:r>
      <w:r>
        <w:rPr>
          <w:spacing w:val="-2"/>
          <w:lang w:val="fr-FR"/>
        </w:rPr>
        <w:t>’</w:t>
      </w:r>
      <w:r w:rsidRPr="006E39C2">
        <w:rPr>
          <w:spacing w:val="-2"/>
          <w:lang w:val="fr-FR"/>
        </w:rPr>
        <w:t>homme de cette nature. Dans</w:t>
      </w:r>
      <w:r>
        <w:rPr>
          <w:spacing w:val="-2"/>
          <w:lang w:val="fr-FR"/>
        </w:rPr>
        <w:t xml:space="preserve"> </w:t>
      </w:r>
      <w:r w:rsidRPr="006E39C2">
        <w:rPr>
          <w:spacing w:val="-2"/>
          <w:lang w:val="fr-FR"/>
        </w:rPr>
        <w:t>le cas de violations flagrantes des droits de l</w:t>
      </w:r>
      <w:r>
        <w:rPr>
          <w:spacing w:val="-2"/>
          <w:lang w:val="fr-FR"/>
        </w:rPr>
        <w:t>’</w:t>
      </w:r>
      <w:r w:rsidRPr="006E39C2">
        <w:rPr>
          <w:spacing w:val="-2"/>
          <w:lang w:val="fr-FR"/>
        </w:rPr>
        <w:t>homme, les réparations doivent comprendre des mesures de restitution, de réadaptation, de satisfaction et des garanties de non-répétition</w:t>
      </w:r>
      <w:r w:rsidRPr="006E39C2">
        <w:rPr>
          <w:lang w:val="fr-FR"/>
        </w:rPr>
        <w:t xml:space="preserve">. </w:t>
      </w:r>
    </w:p>
    <w:p w:rsidR="00D856C9" w:rsidRPr="006E39C2" w:rsidRDefault="00D856C9" w:rsidP="00D856C9">
      <w:pPr>
        <w:pStyle w:val="H23G"/>
        <w:rPr>
          <w:lang w:val="fr-FR"/>
        </w:rPr>
      </w:pPr>
      <w:r w:rsidRPr="006E39C2">
        <w:rPr>
          <w:lang w:val="fr-FR"/>
        </w:rPr>
        <w:tab/>
      </w:r>
      <w:r w:rsidRPr="006E39C2">
        <w:rPr>
          <w:lang w:val="fr-FR"/>
        </w:rPr>
        <w:tab/>
        <w:t>Délibérations du Comité</w:t>
      </w:r>
    </w:p>
    <w:p w:rsidR="00D856C9" w:rsidRPr="006E39C2" w:rsidRDefault="00D856C9" w:rsidP="00D856C9">
      <w:pPr>
        <w:pStyle w:val="H4G"/>
        <w:rPr>
          <w:lang w:val="fr-FR"/>
        </w:rPr>
      </w:pPr>
      <w:r w:rsidRPr="006E39C2">
        <w:rPr>
          <w:lang w:val="fr-FR"/>
        </w:rPr>
        <w:tab/>
      </w:r>
      <w:r w:rsidRPr="006E39C2">
        <w:rPr>
          <w:lang w:val="fr-FR"/>
        </w:rPr>
        <w:tab/>
        <w:t>Examen de la recevabilité</w:t>
      </w:r>
    </w:p>
    <w:p w:rsidR="00D856C9" w:rsidRPr="006E39C2" w:rsidRDefault="00D856C9" w:rsidP="00D856C9">
      <w:pPr>
        <w:pStyle w:val="SingleTxtG"/>
        <w:rPr>
          <w:lang w:val="fr-FR"/>
        </w:rPr>
      </w:pPr>
      <w:r w:rsidRPr="006E39C2">
        <w:rPr>
          <w:lang w:val="fr-FR"/>
        </w:rPr>
        <w:t>6.1</w:t>
      </w:r>
      <w:r w:rsidRPr="006E39C2">
        <w:rPr>
          <w:lang w:val="fr-FR"/>
        </w:rPr>
        <w:tab/>
        <w:t>Avant d</w:t>
      </w:r>
      <w:r>
        <w:rPr>
          <w:lang w:val="fr-FR"/>
        </w:rPr>
        <w:t>’</w:t>
      </w:r>
      <w:r w:rsidRPr="006E39C2">
        <w:rPr>
          <w:lang w:val="fr-FR"/>
        </w:rPr>
        <w:t>examiner toute plainte soumise dans une communica</w:t>
      </w:r>
      <w:r>
        <w:rPr>
          <w:lang w:val="fr-FR"/>
        </w:rPr>
        <w:t>tion, le Comité des droits de l’</w:t>
      </w:r>
      <w:r w:rsidRPr="006E39C2">
        <w:rPr>
          <w:lang w:val="fr-FR"/>
        </w:rPr>
        <w:t>homme doit, conformément à l</w:t>
      </w:r>
      <w:r>
        <w:rPr>
          <w:lang w:val="fr-FR"/>
        </w:rPr>
        <w:t>’</w:t>
      </w:r>
      <w:r w:rsidRPr="006E39C2">
        <w:rPr>
          <w:lang w:val="fr-FR"/>
        </w:rPr>
        <w:t>article 93 de son règlement intérieur, déterminer si la communication est recevable en vertu du Protocole facultatif se rapportant au Pacte.</w:t>
      </w:r>
    </w:p>
    <w:p w:rsidR="00D856C9" w:rsidRPr="006E39C2" w:rsidRDefault="00D856C9" w:rsidP="00D856C9">
      <w:pPr>
        <w:pStyle w:val="SingleTxtG"/>
        <w:rPr>
          <w:lang w:val="fr-FR"/>
        </w:rPr>
      </w:pPr>
      <w:r w:rsidRPr="006E39C2">
        <w:rPr>
          <w:lang w:val="fr-FR"/>
        </w:rPr>
        <w:t>6.2</w:t>
      </w:r>
      <w:r w:rsidRPr="006E39C2">
        <w:rPr>
          <w:lang w:val="fr-FR"/>
        </w:rPr>
        <w:tab/>
        <w:t>Le Comité s</w:t>
      </w:r>
      <w:r>
        <w:rPr>
          <w:lang w:val="fr-FR"/>
        </w:rPr>
        <w:t>’</w:t>
      </w:r>
      <w:r w:rsidRPr="006E39C2">
        <w:rPr>
          <w:lang w:val="fr-FR"/>
        </w:rPr>
        <w:t>est assuré, comme il est tenu de le faire conformément au paragraphe</w:t>
      </w:r>
      <w:r>
        <w:rPr>
          <w:lang w:val="fr-FR"/>
        </w:rPr>
        <w:t> </w:t>
      </w:r>
      <w:r w:rsidRPr="006E39C2">
        <w:rPr>
          <w:lang w:val="fr-FR"/>
        </w:rPr>
        <w:t>2</w:t>
      </w:r>
      <w:r>
        <w:rPr>
          <w:lang w:val="fr-FR"/>
        </w:rPr>
        <w:t> </w:t>
      </w:r>
      <w:r w:rsidRPr="006E39C2">
        <w:rPr>
          <w:lang w:val="fr-FR"/>
        </w:rPr>
        <w:t>a) de l</w:t>
      </w:r>
      <w:r>
        <w:rPr>
          <w:lang w:val="fr-FR"/>
        </w:rPr>
        <w:t>’</w:t>
      </w:r>
      <w:r w:rsidRPr="006E39C2">
        <w:rPr>
          <w:lang w:val="fr-FR"/>
        </w:rPr>
        <w:t>article</w:t>
      </w:r>
      <w:r>
        <w:rPr>
          <w:lang w:val="fr-FR"/>
        </w:rPr>
        <w:t> </w:t>
      </w:r>
      <w:r w:rsidRPr="006E39C2">
        <w:rPr>
          <w:lang w:val="fr-FR"/>
        </w:rPr>
        <w:t>5 du Protocole facultatif, que la même question n</w:t>
      </w:r>
      <w:r>
        <w:rPr>
          <w:lang w:val="fr-FR"/>
        </w:rPr>
        <w:t>’</w:t>
      </w:r>
      <w:r w:rsidRPr="006E39C2">
        <w:rPr>
          <w:lang w:val="fr-FR"/>
        </w:rPr>
        <w:t>était pas déjà en cours d</w:t>
      </w:r>
      <w:r>
        <w:rPr>
          <w:lang w:val="fr-FR"/>
        </w:rPr>
        <w:t>’</w:t>
      </w:r>
      <w:r w:rsidRPr="006E39C2">
        <w:rPr>
          <w:lang w:val="fr-FR"/>
        </w:rPr>
        <w:t>examen devant une autre instance internationale d</w:t>
      </w:r>
      <w:r>
        <w:rPr>
          <w:lang w:val="fr-FR"/>
        </w:rPr>
        <w:t>’</w:t>
      </w:r>
      <w:r w:rsidRPr="006E39C2">
        <w:rPr>
          <w:lang w:val="fr-FR"/>
        </w:rPr>
        <w:t>enquête ou de règlement.</w:t>
      </w:r>
    </w:p>
    <w:p w:rsidR="00D856C9" w:rsidRPr="006E39C2" w:rsidRDefault="00D856C9" w:rsidP="00D856C9">
      <w:pPr>
        <w:pStyle w:val="SingleTxtG"/>
        <w:rPr>
          <w:lang w:val="fr-FR"/>
        </w:rPr>
      </w:pPr>
      <w:r w:rsidRPr="006E39C2">
        <w:rPr>
          <w:lang w:val="fr-FR"/>
        </w:rPr>
        <w:t>6.3</w:t>
      </w:r>
      <w:r w:rsidRPr="006E39C2">
        <w:rPr>
          <w:lang w:val="fr-FR"/>
        </w:rPr>
        <w:tab/>
        <w:t xml:space="preserve">En ce qui </w:t>
      </w:r>
      <w:r w:rsidRPr="006E39C2" w:rsidDel="00FF7FDA">
        <w:rPr>
          <w:lang w:val="fr-FR"/>
        </w:rPr>
        <w:t>c</w:t>
      </w:r>
      <w:r w:rsidRPr="006E39C2">
        <w:rPr>
          <w:lang w:val="fr-FR"/>
        </w:rPr>
        <w:t>oncerne l</w:t>
      </w:r>
      <w:r>
        <w:rPr>
          <w:lang w:val="fr-FR"/>
        </w:rPr>
        <w:t>’</w:t>
      </w:r>
      <w:r w:rsidRPr="006E39C2">
        <w:rPr>
          <w:lang w:val="fr-FR"/>
        </w:rPr>
        <w:t>obligation d</w:t>
      </w:r>
      <w:r>
        <w:rPr>
          <w:lang w:val="fr-FR"/>
        </w:rPr>
        <w:t>’</w:t>
      </w:r>
      <w:r w:rsidRPr="006E39C2">
        <w:rPr>
          <w:lang w:val="fr-FR"/>
        </w:rPr>
        <w:t xml:space="preserve">épuiser </w:t>
      </w:r>
      <w:r w:rsidRPr="006E39C2" w:rsidDel="00FF7FDA">
        <w:rPr>
          <w:lang w:val="fr-FR"/>
        </w:rPr>
        <w:t>l</w:t>
      </w:r>
      <w:r w:rsidRPr="006E39C2">
        <w:rPr>
          <w:lang w:val="fr-FR"/>
        </w:rPr>
        <w:t>es recours internes, le Comité prend note des arguments de l</w:t>
      </w:r>
      <w:r>
        <w:rPr>
          <w:lang w:val="fr-FR"/>
        </w:rPr>
        <w:t>’</w:t>
      </w:r>
      <w:r w:rsidRPr="006E39C2">
        <w:rPr>
          <w:lang w:val="fr-FR"/>
        </w:rPr>
        <w:t>État partie qui affirme que l</w:t>
      </w:r>
      <w:r>
        <w:rPr>
          <w:lang w:val="fr-FR"/>
        </w:rPr>
        <w:t>’</w:t>
      </w:r>
      <w:r w:rsidRPr="006E39C2">
        <w:rPr>
          <w:lang w:val="fr-FR"/>
        </w:rPr>
        <w:t>auteure n</w:t>
      </w:r>
      <w:r>
        <w:rPr>
          <w:lang w:val="fr-FR"/>
        </w:rPr>
        <w:t>’</w:t>
      </w:r>
      <w:r w:rsidRPr="006E39C2">
        <w:rPr>
          <w:lang w:val="fr-FR"/>
        </w:rPr>
        <w:t>a pas épuisé ces recours car elle n</w:t>
      </w:r>
      <w:r>
        <w:rPr>
          <w:lang w:val="fr-FR"/>
        </w:rPr>
        <w:t>’</w:t>
      </w:r>
      <w:r w:rsidRPr="006E39C2">
        <w:rPr>
          <w:lang w:val="fr-FR"/>
        </w:rPr>
        <w:t>a pas déposé de premier rapport d</w:t>
      </w:r>
      <w:r>
        <w:rPr>
          <w:lang w:val="fr-FR"/>
        </w:rPr>
        <w:t>’</w:t>
      </w:r>
      <w:r w:rsidRPr="006E39C2">
        <w:rPr>
          <w:lang w:val="fr-FR"/>
        </w:rPr>
        <w:t>information auprès de la police, qu</w:t>
      </w:r>
      <w:r>
        <w:rPr>
          <w:lang w:val="fr-FR"/>
        </w:rPr>
        <w:t>’</w:t>
      </w:r>
      <w:r w:rsidRPr="006E39C2">
        <w:rPr>
          <w:lang w:val="fr-FR"/>
        </w:rPr>
        <w:t>elle peut demander une indemnisation en application de la loi relative à l</w:t>
      </w:r>
      <w:r>
        <w:rPr>
          <w:lang w:val="fr-FR"/>
        </w:rPr>
        <w:t>’</w:t>
      </w:r>
      <w:r w:rsidRPr="006E39C2">
        <w:rPr>
          <w:lang w:val="fr-FR"/>
        </w:rPr>
        <w:t>indemnisation en cas de torture et que le cas de son mari</w:t>
      </w:r>
      <w:r w:rsidRPr="006E39C2" w:rsidDel="00FF7FDA">
        <w:rPr>
          <w:lang w:val="fr-FR"/>
        </w:rPr>
        <w:t xml:space="preserve"> </w:t>
      </w:r>
      <w:r w:rsidRPr="006E39C2">
        <w:rPr>
          <w:lang w:val="fr-FR"/>
        </w:rPr>
        <w:t>sera examiné dans le cadre des mécanismes de justice transitionnelle devant être mis en place conformément à la Constitution provisoire de 2007 et à l</w:t>
      </w:r>
      <w:r>
        <w:rPr>
          <w:lang w:val="fr-FR"/>
        </w:rPr>
        <w:t>’</w:t>
      </w:r>
      <w:r w:rsidRPr="006E39C2">
        <w:rPr>
          <w:lang w:val="fr-FR"/>
        </w:rPr>
        <w:t>Accord de paix global de</w:t>
      </w:r>
      <w:r>
        <w:rPr>
          <w:lang w:val="fr-FR"/>
        </w:rPr>
        <w:t xml:space="preserve"> </w:t>
      </w:r>
      <w:r w:rsidRPr="006E39C2">
        <w:rPr>
          <w:lang w:val="fr-FR"/>
        </w:rPr>
        <w:t>2006. Il prend également note des affirmations de l</w:t>
      </w:r>
      <w:r>
        <w:rPr>
          <w:lang w:val="fr-FR"/>
        </w:rPr>
        <w:t>’</w:t>
      </w:r>
      <w:r w:rsidRPr="006E39C2">
        <w:rPr>
          <w:lang w:val="fr-FR"/>
        </w:rPr>
        <w:t>auteure qui indique que le premier rapport d</w:t>
      </w:r>
      <w:r>
        <w:rPr>
          <w:lang w:val="fr-FR"/>
        </w:rPr>
        <w:t>’</w:t>
      </w:r>
      <w:r w:rsidRPr="006E39C2">
        <w:rPr>
          <w:lang w:val="fr-FR"/>
        </w:rPr>
        <w:t>information n</w:t>
      </w:r>
      <w:r>
        <w:rPr>
          <w:lang w:val="fr-FR"/>
        </w:rPr>
        <w:t>’</w:t>
      </w:r>
      <w:r w:rsidRPr="006E39C2">
        <w:rPr>
          <w:lang w:val="fr-FR"/>
        </w:rPr>
        <w:t>est pas un recours approprié, car cette procédure ne s</w:t>
      </w:r>
      <w:r>
        <w:rPr>
          <w:lang w:val="fr-FR"/>
        </w:rPr>
        <w:t>’</w:t>
      </w:r>
      <w:r w:rsidRPr="006E39C2">
        <w:rPr>
          <w:lang w:val="fr-FR"/>
        </w:rPr>
        <w:t>applique qu</w:t>
      </w:r>
      <w:r>
        <w:rPr>
          <w:lang w:val="fr-FR"/>
        </w:rPr>
        <w:t>’</w:t>
      </w:r>
      <w:r w:rsidRPr="006E39C2">
        <w:rPr>
          <w:lang w:val="fr-FR"/>
        </w:rPr>
        <w:t>aux infractions énumérées à l</w:t>
      </w:r>
      <w:r>
        <w:rPr>
          <w:lang w:val="fr-FR"/>
        </w:rPr>
        <w:t>’</w:t>
      </w:r>
      <w:r w:rsidRPr="006E39C2">
        <w:rPr>
          <w:lang w:val="fr-FR"/>
        </w:rPr>
        <w:t>annexe 1 de la loi de 1992 sur les affaires dans lesquelles l</w:t>
      </w:r>
      <w:r>
        <w:rPr>
          <w:lang w:val="fr-FR"/>
        </w:rPr>
        <w:t>’</w:t>
      </w:r>
      <w:r w:rsidRPr="006E39C2">
        <w:rPr>
          <w:lang w:val="fr-FR"/>
        </w:rPr>
        <w:t>État est partie, laquelle ne mentionne pas les disparitions forcées ni la torture, et que la loi relative à l</w:t>
      </w:r>
      <w:r>
        <w:rPr>
          <w:lang w:val="fr-FR"/>
        </w:rPr>
        <w:t>’</w:t>
      </w:r>
      <w:r w:rsidRPr="006E39C2">
        <w:rPr>
          <w:lang w:val="fr-FR"/>
        </w:rPr>
        <w:t xml:space="preserve">indemnisation </w:t>
      </w:r>
      <w:r w:rsidRPr="005F1156">
        <w:rPr>
          <w:spacing w:val="-2"/>
          <w:lang w:val="fr-FR"/>
        </w:rPr>
        <w:t>en cas de torture ne prévoit pas de responsabilité pénale mais uniquement une indemnisation d</w:t>
      </w:r>
      <w:r>
        <w:rPr>
          <w:spacing w:val="-2"/>
          <w:lang w:val="fr-FR"/>
        </w:rPr>
        <w:t>’</w:t>
      </w:r>
      <w:r w:rsidRPr="005F1156">
        <w:rPr>
          <w:spacing w:val="-2"/>
          <w:lang w:val="fr-FR"/>
        </w:rPr>
        <w:t xml:space="preserve">un montant maximum de 100 000 roupies népalaises. Le Comité relève que la requête en </w:t>
      </w:r>
      <w:r w:rsidRPr="005F1156">
        <w:rPr>
          <w:i/>
          <w:spacing w:val="-2"/>
          <w:lang w:val="fr-FR"/>
        </w:rPr>
        <w:t>habeas corpus</w:t>
      </w:r>
      <w:r w:rsidRPr="005F1156">
        <w:rPr>
          <w:spacing w:val="-2"/>
          <w:lang w:val="fr-FR"/>
        </w:rPr>
        <w:t xml:space="preserve"> présentée par l</w:t>
      </w:r>
      <w:r>
        <w:rPr>
          <w:spacing w:val="-2"/>
          <w:lang w:val="fr-FR"/>
        </w:rPr>
        <w:t>’</w:t>
      </w:r>
      <w:r w:rsidRPr="005F1156">
        <w:rPr>
          <w:spacing w:val="-2"/>
          <w:lang w:val="fr-FR"/>
        </w:rPr>
        <w:t>auteure a été annulée par la Cour suprême le 26 janvier 2004. Malgré les recommandations formulées par la Commission nationale des droits de l</w:t>
      </w:r>
      <w:r>
        <w:rPr>
          <w:spacing w:val="-2"/>
          <w:lang w:val="fr-FR"/>
        </w:rPr>
        <w:t>’</w:t>
      </w:r>
      <w:r w:rsidRPr="005F1156">
        <w:rPr>
          <w:spacing w:val="-2"/>
          <w:lang w:val="fr-FR"/>
        </w:rPr>
        <w:t>homme le 4 juillet 2006 et l</w:t>
      </w:r>
      <w:r>
        <w:rPr>
          <w:spacing w:val="-2"/>
          <w:lang w:val="fr-FR"/>
        </w:rPr>
        <w:t>’</w:t>
      </w:r>
      <w:r w:rsidRPr="005F1156">
        <w:rPr>
          <w:spacing w:val="-2"/>
          <w:lang w:val="fr-FR"/>
        </w:rPr>
        <w:t>arrêt rendu par la Cour suprême le 1</w:t>
      </w:r>
      <w:r w:rsidRPr="005F1156">
        <w:rPr>
          <w:spacing w:val="-2"/>
          <w:vertAlign w:val="superscript"/>
          <w:lang w:val="fr-FR"/>
        </w:rPr>
        <w:t>er</w:t>
      </w:r>
      <w:r w:rsidRPr="005F1156">
        <w:rPr>
          <w:spacing w:val="-2"/>
          <w:lang w:val="fr-FR"/>
        </w:rPr>
        <w:t> juin 2007, les circonstances de la disparition présumée du mari de l</w:t>
      </w:r>
      <w:r>
        <w:rPr>
          <w:spacing w:val="-2"/>
          <w:lang w:val="fr-FR"/>
        </w:rPr>
        <w:t>’</w:t>
      </w:r>
      <w:r w:rsidRPr="005F1156">
        <w:rPr>
          <w:spacing w:val="-2"/>
          <w:lang w:val="fr-FR"/>
        </w:rPr>
        <w:t>auteure restent obscures et aucune enquête n</w:t>
      </w:r>
      <w:r>
        <w:rPr>
          <w:spacing w:val="-2"/>
          <w:lang w:val="fr-FR"/>
        </w:rPr>
        <w:t>’</w:t>
      </w:r>
      <w:r w:rsidRPr="005F1156">
        <w:rPr>
          <w:spacing w:val="-2"/>
          <w:lang w:val="fr-FR"/>
        </w:rPr>
        <w:t>a encore abouti. Le Comité rappelle en outre sa jurisprudence dont il ressort qu</w:t>
      </w:r>
      <w:r>
        <w:rPr>
          <w:spacing w:val="-2"/>
          <w:lang w:val="fr-FR"/>
        </w:rPr>
        <w:t>’</w:t>
      </w:r>
      <w:r w:rsidRPr="005F1156">
        <w:rPr>
          <w:spacing w:val="-2"/>
          <w:lang w:val="fr-FR"/>
        </w:rPr>
        <w:t>en cas de violation grave un recours judiciaire doit être ouvert</w:t>
      </w:r>
      <w:r w:rsidR="005C15DE">
        <w:rPr>
          <w:rStyle w:val="FootnoteReference"/>
          <w:spacing w:val="-2"/>
        </w:rPr>
        <w:footnoteReference w:id="10"/>
      </w:r>
      <w:r w:rsidRPr="005F1156">
        <w:rPr>
          <w:spacing w:val="-2"/>
          <w:lang w:val="fr-FR"/>
        </w:rPr>
        <w:t>. À</w:t>
      </w:r>
      <w:r w:rsidRPr="006E39C2">
        <w:rPr>
          <w:lang w:val="fr-FR"/>
        </w:rPr>
        <w:t xml:space="preserve"> ce sujet, il relève que les instances de justice transitionnelle qui doivent être mises en place ne sont pas des organes judiciaires. En conséquence, il considère que l</w:t>
      </w:r>
      <w:r>
        <w:rPr>
          <w:lang w:val="fr-FR"/>
        </w:rPr>
        <w:t>’</w:t>
      </w:r>
      <w:r w:rsidRPr="006E39C2">
        <w:rPr>
          <w:lang w:val="fr-FR"/>
        </w:rPr>
        <w:t>enquête a excédé les délais raisonnables et conclut que les dispositions du paragraphe 2 b) de l</w:t>
      </w:r>
      <w:r>
        <w:rPr>
          <w:lang w:val="fr-FR"/>
        </w:rPr>
        <w:t>’</w:t>
      </w:r>
      <w:r w:rsidRPr="006E39C2">
        <w:rPr>
          <w:lang w:val="fr-FR"/>
        </w:rPr>
        <w:t>article 5 du Protocole facultatif ne s</w:t>
      </w:r>
      <w:r>
        <w:rPr>
          <w:lang w:val="fr-FR"/>
        </w:rPr>
        <w:t>’</w:t>
      </w:r>
      <w:r w:rsidRPr="006E39C2">
        <w:rPr>
          <w:lang w:val="fr-FR"/>
        </w:rPr>
        <w:t>opposent pas à ce qu</w:t>
      </w:r>
      <w:r>
        <w:rPr>
          <w:lang w:val="fr-FR"/>
        </w:rPr>
        <w:t>’</w:t>
      </w:r>
      <w:r w:rsidRPr="006E39C2">
        <w:rPr>
          <w:lang w:val="fr-FR"/>
        </w:rPr>
        <w:t xml:space="preserve">il examine la communication. </w:t>
      </w:r>
    </w:p>
    <w:p w:rsidR="00D856C9" w:rsidRPr="006E39C2" w:rsidRDefault="00D856C9" w:rsidP="00D856C9">
      <w:pPr>
        <w:pStyle w:val="SingleTxtG"/>
        <w:rPr>
          <w:lang w:val="fr-FR"/>
        </w:rPr>
      </w:pPr>
      <w:r>
        <w:rPr>
          <w:lang w:val="fr-FR"/>
        </w:rPr>
        <w:t>6.4</w:t>
      </w:r>
      <w:r w:rsidRPr="006E39C2">
        <w:rPr>
          <w:lang w:val="fr-FR"/>
        </w:rPr>
        <w:tab/>
        <w:t>Le Comité note que l</w:t>
      </w:r>
      <w:r>
        <w:rPr>
          <w:lang w:val="fr-FR"/>
        </w:rPr>
        <w:t>’</w:t>
      </w:r>
      <w:r w:rsidRPr="006E39C2">
        <w:rPr>
          <w:lang w:val="fr-FR"/>
        </w:rPr>
        <w:t>État partie renvoie à l</w:t>
      </w:r>
      <w:r>
        <w:rPr>
          <w:lang w:val="fr-FR"/>
        </w:rPr>
        <w:t>’</w:t>
      </w:r>
      <w:r w:rsidRPr="006E39C2">
        <w:rPr>
          <w:lang w:val="fr-FR"/>
        </w:rPr>
        <w:t>article</w:t>
      </w:r>
      <w:r>
        <w:rPr>
          <w:lang w:val="fr-FR"/>
        </w:rPr>
        <w:t> </w:t>
      </w:r>
      <w:r w:rsidRPr="006E39C2">
        <w:rPr>
          <w:lang w:val="fr-FR"/>
        </w:rPr>
        <w:t>96</w:t>
      </w:r>
      <w:r>
        <w:rPr>
          <w:lang w:val="fr-FR"/>
        </w:rPr>
        <w:t> </w:t>
      </w:r>
      <w:r w:rsidRPr="006E39C2">
        <w:rPr>
          <w:lang w:val="fr-FR"/>
        </w:rPr>
        <w:t>c) du règlement intérieur du</w:t>
      </w:r>
      <w:r>
        <w:rPr>
          <w:lang w:val="fr-FR"/>
        </w:rPr>
        <w:t> </w:t>
      </w:r>
      <w:r w:rsidRPr="006E39C2">
        <w:rPr>
          <w:lang w:val="fr-FR"/>
        </w:rPr>
        <w:t>Comité, sans faire d</w:t>
      </w:r>
      <w:r>
        <w:rPr>
          <w:lang w:val="fr-FR"/>
        </w:rPr>
        <w:t>’</w:t>
      </w:r>
      <w:r w:rsidRPr="006E39C2">
        <w:rPr>
          <w:lang w:val="fr-FR"/>
        </w:rPr>
        <w:t xml:space="preserve">observations à ce sujet. </w:t>
      </w:r>
      <w:r w:rsidRPr="00BE30B0">
        <w:rPr>
          <w:lang w:val="fr-FR"/>
        </w:rPr>
        <w:t>Il fait observer que la présente communication a été présentée le 28</w:t>
      </w:r>
      <w:r>
        <w:rPr>
          <w:lang w:val="fr-FR"/>
        </w:rPr>
        <w:t> </w:t>
      </w:r>
      <w:r w:rsidRPr="00BE30B0">
        <w:rPr>
          <w:lang w:val="fr-FR"/>
        </w:rPr>
        <w:t>septembre 2011 et que le nouvel article</w:t>
      </w:r>
      <w:r>
        <w:rPr>
          <w:lang w:val="fr-FR"/>
        </w:rPr>
        <w:t> </w:t>
      </w:r>
      <w:r w:rsidRPr="00BE30B0">
        <w:rPr>
          <w:lang w:val="fr-FR"/>
        </w:rPr>
        <w:t>96</w:t>
      </w:r>
      <w:r>
        <w:rPr>
          <w:lang w:val="fr-FR"/>
        </w:rPr>
        <w:t> </w:t>
      </w:r>
      <w:r w:rsidRPr="00BE30B0">
        <w:rPr>
          <w:lang w:val="fr-FR"/>
        </w:rPr>
        <w:t>c) est applicable aux communications reçues après le 1</w:t>
      </w:r>
      <w:r w:rsidRPr="00B569F0">
        <w:rPr>
          <w:vertAlign w:val="superscript"/>
          <w:lang w:val="fr-FR"/>
        </w:rPr>
        <w:t>er</w:t>
      </w:r>
      <w:r>
        <w:rPr>
          <w:lang w:val="fr-FR"/>
        </w:rPr>
        <w:t> </w:t>
      </w:r>
      <w:r w:rsidRPr="00BE30B0">
        <w:rPr>
          <w:lang w:val="fr-FR"/>
        </w:rPr>
        <w:t>janvier 2012</w:t>
      </w:r>
      <w:r w:rsidR="005C15DE">
        <w:rPr>
          <w:rStyle w:val="FootnoteReference"/>
        </w:rPr>
        <w:footnoteReference w:id="11"/>
      </w:r>
      <w:r w:rsidRPr="00BE30B0">
        <w:rPr>
          <w:lang w:val="fr-FR"/>
        </w:rPr>
        <w:t xml:space="preserve">. </w:t>
      </w:r>
      <w:r w:rsidRPr="006E39C2">
        <w:rPr>
          <w:lang w:val="fr-FR"/>
        </w:rPr>
        <w:t>Il</w:t>
      </w:r>
      <w:r>
        <w:rPr>
          <w:lang w:val="fr-FR"/>
        </w:rPr>
        <w:t> </w:t>
      </w:r>
      <w:r w:rsidRPr="006E39C2">
        <w:rPr>
          <w:lang w:val="fr-FR"/>
        </w:rPr>
        <w:t>fait également observer que le Protocole facultatif ne fixe pas de délai pour la présentation des communications et que le simple fait d</w:t>
      </w:r>
      <w:r>
        <w:rPr>
          <w:lang w:val="fr-FR"/>
        </w:rPr>
        <w:t>’</w:t>
      </w:r>
      <w:r w:rsidRPr="006E39C2">
        <w:rPr>
          <w:lang w:val="fr-FR"/>
        </w:rPr>
        <w:t>avoir tardé à lui en adresser une ne constitue pas en soi, sauf circonstances exceptionnelles, un abus du droit de présenter une communication</w:t>
      </w:r>
      <w:r w:rsidR="005C15DE">
        <w:rPr>
          <w:rStyle w:val="FootnoteReference"/>
        </w:rPr>
        <w:footnoteReference w:id="12"/>
      </w:r>
      <w:r w:rsidRPr="006E39C2">
        <w:rPr>
          <w:lang w:val="fr-FR"/>
        </w:rPr>
        <w:t>. Il est évident que, s</w:t>
      </w:r>
      <w:r>
        <w:rPr>
          <w:lang w:val="fr-FR"/>
        </w:rPr>
        <w:t>’</w:t>
      </w:r>
      <w:r w:rsidRPr="006E39C2">
        <w:rPr>
          <w:lang w:val="fr-FR"/>
        </w:rPr>
        <w:t>agissant de la détermination de ce qui constitue un retard excessif, chaque affaire doit être examinée en fonction des faits qui lui sont propres. Pour le moment, le Comité suit sa jurisprudence qui établit qu</w:t>
      </w:r>
      <w:r>
        <w:rPr>
          <w:lang w:val="fr-FR"/>
        </w:rPr>
        <w:t>’</w:t>
      </w:r>
      <w:r w:rsidRPr="006E39C2">
        <w:rPr>
          <w:lang w:val="fr-FR"/>
        </w:rPr>
        <w:t>une communication peut constituer un abus lorsqu</w:t>
      </w:r>
      <w:r>
        <w:rPr>
          <w:lang w:val="fr-FR"/>
        </w:rPr>
        <w:t>’</w:t>
      </w:r>
      <w:r w:rsidRPr="006E39C2">
        <w:rPr>
          <w:lang w:val="fr-FR"/>
        </w:rPr>
        <w:t>elle est présentée après un délai exceptionnellement long, sans raisons suffisantes pour justifier ce retard</w:t>
      </w:r>
      <w:r w:rsidR="005C15DE">
        <w:rPr>
          <w:rStyle w:val="FootnoteReference"/>
        </w:rPr>
        <w:footnoteReference w:id="13"/>
      </w:r>
      <w:r w:rsidRPr="006E39C2">
        <w:rPr>
          <w:lang w:val="fr-FR"/>
        </w:rPr>
        <w:t>. Il note que, si l</w:t>
      </w:r>
      <w:r>
        <w:rPr>
          <w:lang w:val="fr-FR"/>
        </w:rPr>
        <w:t>’</w:t>
      </w:r>
      <w:r w:rsidRPr="006E39C2">
        <w:rPr>
          <w:lang w:val="fr-FR"/>
        </w:rPr>
        <w:t>auteure n</w:t>
      </w:r>
      <w:r>
        <w:rPr>
          <w:lang w:val="fr-FR"/>
        </w:rPr>
        <w:t>’</w:t>
      </w:r>
      <w:r w:rsidRPr="006E39C2">
        <w:rPr>
          <w:lang w:val="fr-FR"/>
        </w:rPr>
        <w:t>a engagé aucune procédure interne après la décision prise par la Cour suprême le 26</w:t>
      </w:r>
      <w:r>
        <w:rPr>
          <w:lang w:val="fr-FR"/>
        </w:rPr>
        <w:t> </w:t>
      </w:r>
      <w:r w:rsidRPr="006E39C2">
        <w:rPr>
          <w:lang w:val="fr-FR"/>
        </w:rPr>
        <w:t>janvier 2004, elle a continué de s</w:t>
      </w:r>
      <w:r>
        <w:rPr>
          <w:lang w:val="fr-FR"/>
        </w:rPr>
        <w:t>’</w:t>
      </w:r>
      <w:r w:rsidRPr="006E39C2">
        <w:rPr>
          <w:lang w:val="fr-FR"/>
        </w:rPr>
        <w:t>efforcer de faire la lumière sur le sort de son mari après cette date et s</w:t>
      </w:r>
      <w:r>
        <w:rPr>
          <w:lang w:val="fr-FR"/>
        </w:rPr>
        <w:t>’</w:t>
      </w:r>
      <w:r w:rsidRPr="006E39C2">
        <w:rPr>
          <w:lang w:val="fr-FR"/>
        </w:rPr>
        <w:t>est adressée à différentes autorités. En outre, le 1</w:t>
      </w:r>
      <w:r w:rsidRPr="006E39C2">
        <w:rPr>
          <w:vertAlign w:val="superscript"/>
          <w:lang w:val="fr-FR"/>
        </w:rPr>
        <w:t>er</w:t>
      </w:r>
      <w:r>
        <w:rPr>
          <w:lang w:val="fr-FR"/>
        </w:rPr>
        <w:t> </w:t>
      </w:r>
      <w:r w:rsidRPr="006E39C2">
        <w:rPr>
          <w:lang w:val="fr-FR"/>
        </w:rPr>
        <w:t>juillet 2007, la Cour constitutionnelle a rendu une décision concernant la détention arbitraire et la disparition forcée de plusieurs détenus, dont le mari de l</w:t>
      </w:r>
      <w:r>
        <w:rPr>
          <w:lang w:val="fr-FR"/>
        </w:rPr>
        <w:t>’</w:t>
      </w:r>
      <w:r w:rsidRPr="006E39C2">
        <w:rPr>
          <w:lang w:val="fr-FR"/>
        </w:rPr>
        <w:t>auteure. En conséquence, dans les circonstances de l</w:t>
      </w:r>
      <w:r>
        <w:rPr>
          <w:lang w:val="fr-FR"/>
        </w:rPr>
        <w:t>’</w:t>
      </w:r>
      <w:r w:rsidRPr="006E39C2">
        <w:rPr>
          <w:lang w:val="fr-FR"/>
        </w:rPr>
        <w:t>espèce, le</w:t>
      </w:r>
      <w:r>
        <w:rPr>
          <w:lang w:val="fr-FR"/>
        </w:rPr>
        <w:t> </w:t>
      </w:r>
      <w:r w:rsidRPr="006E39C2">
        <w:rPr>
          <w:lang w:val="fr-FR"/>
        </w:rPr>
        <w:t>Comité considère que le retard constaté ne constitue pas un abus du droit de présenter une communication en vertu de l</w:t>
      </w:r>
      <w:r>
        <w:rPr>
          <w:lang w:val="fr-FR"/>
        </w:rPr>
        <w:t>’</w:t>
      </w:r>
      <w:r w:rsidRPr="006E39C2">
        <w:rPr>
          <w:lang w:val="fr-FR"/>
        </w:rPr>
        <w:t>artic</w:t>
      </w:r>
      <w:r>
        <w:rPr>
          <w:lang w:val="fr-FR"/>
        </w:rPr>
        <w:t>le 3 du Protocole facultatif.</w:t>
      </w:r>
    </w:p>
    <w:p w:rsidR="00D856C9" w:rsidRPr="006E39C2" w:rsidRDefault="00D856C9" w:rsidP="00D856C9">
      <w:pPr>
        <w:pStyle w:val="SingleTxtG"/>
        <w:rPr>
          <w:lang w:val="fr-FR"/>
        </w:rPr>
      </w:pPr>
      <w:r>
        <w:rPr>
          <w:lang w:val="fr-FR"/>
        </w:rPr>
        <w:t>6.5</w:t>
      </w:r>
      <w:r w:rsidRPr="006E39C2">
        <w:rPr>
          <w:lang w:val="fr-FR"/>
        </w:rPr>
        <w:tab/>
      </w:r>
      <w:r w:rsidRPr="005F1156">
        <w:rPr>
          <w:spacing w:val="-2"/>
          <w:lang w:val="fr-FR"/>
        </w:rPr>
        <w:t>Le Comité prend note du grief tiré de l</w:t>
      </w:r>
      <w:r>
        <w:rPr>
          <w:spacing w:val="-2"/>
          <w:lang w:val="fr-FR"/>
        </w:rPr>
        <w:t>’</w:t>
      </w:r>
      <w:r w:rsidRPr="005F1156">
        <w:rPr>
          <w:spacing w:val="-2"/>
          <w:lang w:val="fr-FR"/>
        </w:rPr>
        <w:t>article 22 du Pacte par l</w:t>
      </w:r>
      <w:r>
        <w:rPr>
          <w:spacing w:val="-2"/>
          <w:lang w:val="fr-FR"/>
        </w:rPr>
        <w:t>’</w:t>
      </w:r>
      <w:r w:rsidRPr="005F1156">
        <w:rPr>
          <w:spacing w:val="-2"/>
          <w:lang w:val="fr-FR"/>
        </w:rPr>
        <w:t>auteure, qui affirme que la détention arbitraire, la disparition forcée et l</w:t>
      </w:r>
      <w:r>
        <w:rPr>
          <w:spacing w:val="-2"/>
          <w:lang w:val="fr-FR"/>
        </w:rPr>
        <w:t>’</w:t>
      </w:r>
      <w:r w:rsidRPr="005F1156">
        <w:rPr>
          <w:spacing w:val="-2"/>
          <w:lang w:val="fr-FR"/>
        </w:rPr>
        <w:t xml:space="preserve">exécution </w:t>
      </w:r>
      <w:proofErr w:type="spellStart"/>
      <w:r w:rsidRPr="005F1156">
        <w:rPr>
          <w:spacing w:val="-2"/>
          <w:lang w:val="fr-FR"/>
        </w:rPr>
        <w:t>extrajudiciaire</w:t>
      </w:r>
      <w:proofErr w:type="spellEnd"/>
      <w:r w:rsidRPr="005F1156">
        <w:rPr>
          <w:spacing w:val="-2"/>
          <w:lang w:val="fr-FR"/>
        </w:rPr>
        <w:t xml:space="preserve"> dont son mari aurait été victime étaient directement liées à son appartenance à l</w:t>
      </w:r>
      <w:r>
        <w:rPr>
          <w:spacing w:val="-2"/>
          <w:lang w:val="fr-FR"/>
        </w:rPr>
        <w:t>’</w:t>
      </w:r>
      <w:r w:rsidRPr="005F1156">
        <w:rPr>
          <w:spacing w:val="-2"/>
          <w:lang w:val="fr-FR"/>
        </w:rPr>
        <w:t>ANNISU-R, où il occupait des fonctions importantes. Il estime que cette allégation n</w:t>
      </w:r>
      <w:r>
        <w:rPr>
          <w:spacing w:val="-2"/>
          <w:lang w:val="fr-FR"/>
        </w:rPr>
        <w:t>’</w:t>
      </w:r>
      <w:r w:rsidRPr="005F1156">
        <w:rPr>
          <w:spacing w:val="-2"/>
          <w:lang w:val="fr-FR"/>
        </w:rPr>
        <w:t>a pas été suffisamment étayée aux fins de la recevabilité et la déclare irrecevable en vertu de l</w:t>
      </w:r>
      <w:r>
        <w:rPr>
          <w:spacing w:val="-2"/>
          <w:lang w:val="fr-FR"/>
        </w:rPr>
        <w:t>’</w:t>
      </w:r>
      <w:r w:rsidRPr="005F1156">
        <w:rPr>
          <w:spacing w:val="-2"/>
          <w:lang w:val="fr-FR"/>
        </w:rPr>
        <w:t>article 2 du Protocole facultatif.</w:t>
      </w:r>
    </w:p>
    <w:p w:rsidR="00D856C9" w:rsidRPr="005F1156" w:rsidRDefault="00D856C9" w:rsidP="00D856C9">
      <w:pPr>
        <w:pStyle w:val="SingleTxtG"/>
        <w:rPr>
          <w:spacing w:val="-2"/>
          <w:lang w:val="fr-FR"/>
        </w:rPr>
      </w:pPr>
      <w:r w:rsidRPr="006E39C2">
        <w:rPr>
          <w:lang w:val="fr-FR"/>
        </w:rPr>
        <w:t>6.6</w:t>
      </w:r>
      <w:r w:rsidRPr="006E39C2">
        <w:rPr>
          <w:lang w:val="fr-FR"/>
        </w:rPr>
        <w:tab/>
      </w:r>
      <w:r w:rsidRPr="005F1156">
        <w:rPr>
          <w:lang w:val="fr-FR"/>
        </w:rPr>
        <w:t>Le Comité considère que les autres griefs ont été suffisamment étayés aux fins de la recevabilité. Il estime donc que la communication est recevable et procède à l</w:t>
      </w:r>
      <w:r>
        <w:rPr>
          <w:lang w:val="fr-FR"/>
        </w:rPr>
        <w:t>’</w:t>
      </w:r>
      <w:r w:rsidRPr="005F1156">
        <w:rPr>
          <w:lang w:val="fr-FR"/>
        </w:rPr>
        <w:t xml:space="preserve">examen des allégations concernant </w:t>
      </w:r>
      <w:proofErr w:type="spellStart"/>
      <w:r w:rsidRPr="005F1156">
        <w:rPr>
          <w:lang w:val="fr-FR"/>
        </w:rPr>
        <w:t>Gyanendra</w:t>
      </w:r>
      <w:proofErr w:type="spellEnd"/>
      <w:r w:rsidRPr="005F1156">
        <w:rPr>
          <w:lang w:val="fr-FR"/>
        </w:rPr>
        <w:t> </w:t>
      </w:r>
      <w:proofErr w:type="spellStart"/>
      <w:r w:rsidRPr="005F1156">
        <w:rPr>
          <w:lang w:val="fr-FR"/>
        </w:rPr>
        <w:t>Tripathi</w:t>
      </w:r>
      <w:proofErr w:type="spellEnd"/>
      <w:r w:rsidRPr="005F1156">
        <w:rPr>
          <w:lang w:val="fr-FR"/>
        </w:rPr>
        <w:t xml:space="preserve"> au titre des articles 6, 7, 9, 10, paragraphe 1, et 16, pris isolément et lu conjointement avec le paragraphe 3 de l</w:t>
      </w:r>
      <w:r>
        <w:rPr>
          <w:lang w:val="fr-FR"/>
        </w:rPr>
        <w:t>’</w:t>
      </w:r>
      <w:r w:rsidRPr="005F1156">
        <w:rPr>
          <w:lang w:val="fr-FR"/>
        </w:rPr>
        <w:t>article 2 du Pacte; concernant l</w:t>
      </w:r>
      <w:r>
        <w:rPr>
          <w:lang w:val="fr-FR"/>
        </w:rPr>
        <w:t>’</w:t>
      </w:r>
      <w:r w:rsidRPr="005F1156">
        <w:rPr>
          <w:lang w:val="fr-FR"/>
        </w:rPr>
        <w:t>auteure au titre de l</w:t>
      </w:r>
      <w:r>
        <w:rPr>
          <w:lang w:val="fr-FR"/>
        </w:rPr>
        <w:t>’</w:t>
      </w:r>
      <w:r w:rsidRPr="005F1156">
        <w:rPr>
          <w:lang w:val="fr-FR"/>
        </w:rPr>
        <w:t>article 7, lu conjointement avec le paragraphe 3 de l</w:t>
      </w:r>
      <w:r>
        <w:rPr>
          <w:lang w:val="fr-FR"/>
        </w:rPr>
        <w:t>’</w:t>
      </w:r>
      <w:r w:rsidRPr="005F1156">
        <w:rPr>
          <w:lang w:val="fr-FR"/>
        </w:rPr>
        <w:t>article 2 du Pacte, et concernant sa fille mineure au titre de l</w:t>
      </w:r>
      <w:r>
        <w:rPr>
          <w:lang w:val="fr-FR"/>
        </w:rPr>
        <w:t>’</w:t>
      </w:r>
      <w:r w:rsidRPr="005F1156">
        <w:rPr>
          <w:lang w:val="fr-FR"/>
        </w:rPr>
        <w:t>article 7, lu conjointement avec le paragraphe 3 de l</w:t>
      </w:r>
      <w:r>
        <w:rPr>
          <w:lang w:val="fr-FR"/>
        </w:rPr>
        <w:t>’</w:t>
      </w:r>
      <w:r w:rsidRPr="005F1156">
        <w:rPr>
          <w:lang w:val="fr-FR"/>
        </w:rPr>
        <w:t>article 2 et le paragraphe 1 de l</w:t>
      </w:r>
      <w:r>
        <w:rPr>
          <w:lang w:val="fr-FR"/>
        </w:rPr>
        <w:t>’</w:t>
      </w:r>
      <w:r w:rsidRPr="005F1156">
        <w:rPr>
          <w:lang w:val="fr-FR"/>
        </w:rPr>
        <w:t>article 24 du Pacte.</w:t>
      </w:r>
    </w:p>
    <w:p w:rsidR="00D856C9" w:rsidRPr="006E39C2" w:rsidRDefault="00D856C9" w:rsidP="00D856C9">
      <w:pPr>
        <w:pStyle w:val="H4G"/>
        <w:rPr>
          <w:lang w:val="fr-FR"/>
        </w:rPr>
      </w:pPr>
      <w:r w:rsidRPr="006E39C2">
        <w:rPr>
          <w:lang w:val="fr-FR"/>
        </w:rPr>
        <w:tab/>
      </w:r>
      <w:r w:rsidRPr="006E39C2">
        <w:rPr>
          <w:lang w:val="fr-FR"/>
        </w:rPr>
        <w:tab/>
        <w:t>Examen au fond</w:t>
      </w:r>
    </w:p>
    <w:p w:rsidR="00D856C9" w:rsidRPr="006E39C2" w:rsidRDefault="00D856C9" w:rsidP="00D856C9">
      <w:pPr>
        <w:pStyle w:val="SingleTxtG"/>
        <w:rPr>
          <w:lang w:val="fr-FR"/>
        </w:rPr>
      </w:pPr>
      <w:r w:rsidRPr="006E39C2">
        <w:rPr>
          <w:lang w:val="fr-FR"/>
        </w:rPr>
        <w:t>7.1</w:t>
      </w:r>
      <w:r w:rsidRPr="006E39C2">
        <w:rPr>
          <w:lang w:val="fr-FR"/>
        </w:rPr>
        <w:tab/>
        <w:t>Conformément au paragraphe</w:t>
      </w:r>
      <w:r>
        <w:rPr>
          <w:lang w:val="fr-FR"/>
        </w:rPr>
        <w:t> </w:t>
      </w:r>
      <w:r w:rsidRPr="006E39C2">
        <w:rPr>
          <w:lang w:val="fr-FR"/>
        </w:rPr>
        <w:t>1 de l</w:t>
      </w:r>
      <w:r>
        <w:rPr>
          <w:lang w:val="fr-FR"/>
        </w:rPr>
        <w:t>’</w:t>
      </w:r>
      <w:r w:rsidRPr="006E39C2">
        <w:rPr>
          <w:lang w:val="fr-FR"/>
        </w:rPr>
        <w:t>article</w:t>
      </w:r>
      <w:r>
        <w:rPr>
          <w:lang w:val="fr-FR"/>
        </w:rPr>
        <w:t> </w:t>
      </w:r>
      <w:r w:rsidRPr="006E39C2">
        <w:rPr>
          <w:lang w:val="fr-FR"/>
        </w:rPr>
        <w:t>5 du Protocole facultatif, le Comité des droits de l</w:t>
      </w:r>
      <w:r>
        <w:rPr>
          <w:lang w:val="fr-FR"/>
        </w:rPr>
        <w:t>’</w:t>
      </w:r>
      <w:r w:rsidRPr="006E39C2">
        <w:rPr>
          <w:lang w:val="fr-FR"/>
        </w:rPr>
        <w:t xml:space="preserve">homme a examiné la présente communication en tenant compte de toutes les informations que lui ont communiquées les parties. </w:t>
      </w:r>
    </w:p>
    <w:p w:rsidR="00D856C9" w:rsidRPr="005F1156" w:rsidRDefault="00D856C9" w:rsidP="00D856C9">
      <w:pPr>
        <w:pStyle w:val="SingleTxtG"/>
        <w:rPr>
          <w:spacing w:val="-1"/>
          <w:lang w:val="fr-FR"/>
        </w:rPr>
      </w:pPr>
      <w:r>
        <w:rPr>
          <w:lang w:val="fr-FR"/>
        </w:rPr>
        <w:t>7.2</w:t>
      </w:r>
      <w:r w:rsidRPr="006E39C2">
        <w:rPr>
          <w:lang w:val="fr-FR"/>
        </w:rPr>
        <w:tab/>
      </w:r>
      <w:r w:rsidRPr="005F1156">
        <w:rPr>
          <w:spacing w:val="-1"/>
          <w:lang w:val="fr-FR"/>
        </w:rPr>
        <w:t>Le Comité prend note de l</w:t>
      </w:r>
      <w:r>
        <w:rPr>
          <w:spacing w:val="-1"/>
          <w:lang w:val="fr-FR"/>
        </w:rPr>
        <w:t>’</w:t>
      </w:r>
      <w:r w:rsidRPr="005F1156">
        <w:rPr>
          <w:spacing w:val="-1"/>
          <w:lang w:val="fr-FR"/>
        </w:rPr>
        <w:t>allégation de l</w:t>
      </w:r>
      <w:r>
        <w:rPr>
          <w:spacing w:val="-1"/>
          <w:lang w:val="fr-FR"/>
        </w:rPr>
        <w:t>’</w:t>
      </w:r>
      <w:r w:rsidRPr="005F1156">
        <w:rPr>
          <w:spacing w:val="-1"/>
          <w:lang w:val="fr-FR"/>
        </w:rPr>
        <w:t>auteure, qui affirme que même s</w:t>
      </w:r>
      <w:r>
        <w:rPr>
          <w:spacing w:val="-1"/>
          <w:lang w:val="fr-FR"/>
        </w:rPr>
        <w:t>’</w:t>
      </w:r>
      <w:r w:rsidRPr="005F1156">
        <w:rPr>
          <w:spacing w:val="-1"/>
          <w:lang w:val="fr-FR"/>
        </w:rPr>
        <w:t>il n</w:t>
      </w:r>
      <w:r>
        <w:rPr>
          <w:spacing w:val="-1"/>
          <w:lang w:val="fr-FR"/>
        </w:rPr>
        <w:t>’</w:t>
      </w:r>
      <w:r w:rsidRPr="005F1156">
        <w:rPr>
          <w:spacing w:val="-1"/>
          <w:lang w:val="fr-FR"/>
        </w:rPr>
        <w:t>y a pas de témoins oculaires du moment précis où son mari a été arrêté, plusieurs déclarations et témoignages indiquent que son mari a été arrêté par l</w:t>
      </w:r>
      <w:r>
        <w:rPr>
          <w:spacing w:val="-1"/>
          <w:lang w:val="fr-FR"/>
        </w:rPr>
        <w:t>’</w:t>
      </w:r>
      <w:r w:rsidRPr="005F1156">
        <w:rPr>
          <w:spacing w:val="-1"/>
          <w:lang w:val="fr-FR"/>
        </w:rPr>
        <w:t xml:space="preserve">Armée le 26 septembre 2003, détenu au secret à la caserne de </w:t>
      </w:r>
      <w:proofErr w:type="spellStart"/>
      <w:r w:rsidRPr="005F1156">
        <w:rPr>
          <w:spacing w:val="-1"/>
          <w:lang w:val="fr-FR"/>
        </w:rPr>
        <w:t>Maharajgunj</w:t>
      </w:r>
      <w:proofErr w:type="spellEnd"/>
      <w:r w:rsidRPr="005F1156">
        <w:rPr>
          <w:spacing w:val="-1"/>
          <w:lang w:val="fr-FR"/>
        </w:rPr>
        <w:t xml:space="preserve"> et victime de disparition forcée aux mains d</w:t>
      </w:r>
      <w:r>
        <w:rPr>
          <w:spacing w:val="-1"/>
          <w:lang w:val="fr-FR"/>
        </w:rPr>
        <w:t>’</w:t>
      </w:r>
      <w:r w:rsidRPr="005F1156">
        <w:rPr>
          <w:spacing w:val="-1"/>
          <w:lang w:val="fr-FR"/>
        </w:rPr>
        <w:t>agents de l</w:t>
      </w:r>
      <w:r>
        <w:rPr>
          <w:spacing w:val="-1"/>
          <w:lang w:val="fr-FR"/>
        </w:rPr>
        <w:t>’</w:t>
      </w:r>
      <w:r w:rsidRPr="005F1156">
        <w:rPr>
          <w:spacing w:val="-1"/>
          <w:lang w:val="fr-FR"/>
        </w:rPr>
        <w:t>État. Selon l</w:t>
      </w:r>
      <w:r>
        <w:rPr>
          <w:spacing w:val="-1"/>
          <w:lang w:val="fr-FR"/>
        </w:rPr>
        <w:t>’</w:t>
      </w:r>
      <w:r w:rsidRPr="005F1156">
        <w:rPr>
          <w:spacing w:val="-1"/>
          <w:lang w:val="fr-FR"/>
        </w:rPr>
        <w:t>auteure, les chances de retrouver son mari vivant sont minimes, car des éléments concordants portent à croire qu</w:t>
      </w:r>
      <w:r>
        <w:rPr>
          <w:spacing w:val="-1"/>
          <w:lang w:val="fr-FR"/>
        </w:rPr>
        <w:t>’</w:t>
      </w:r>
      <w:r w:rsidRPr="005F1156">
        <w:rPr>
          <w:spacing w:val="-1"/>
          <w:lang w:val="fr-FR"/>
        </w:rPr>
        <w:t xml:space="preserve">il a été tué par </w:t>
      </w:r>
      <w:r w:rsidRPr="005F1156" w:rsidDel="009742D9">
        <w:rPr>
          <w:spacing w:val="-1"/>
          <w:lang w:val="fr-FR"/>
        </w:rPr>
        <w:t>d</w:t>
      </w:r>
      <w:r w:rsidRPr="005F1156">
        <w:rPr>
          <w:spacing w:val="-1"/>
          <w:lang w:val="fr-FR"/>
        </w:rPr>
        <w:t>es membres de l</w:t>
      </w:r>
      <w:r>
        <w:rPr>
          <w:spacing w:val="-1"/>
          <w:lang w:val="fr-FR"/>
        </w:rPr>
        <w:t>’</w:t>
      </w:r>
      <w:r w:rsidRPr="005F1156">
        <w:rPr>
          <w:spacing w:val="-1"/>
          <w:lang w:val="fr-FR"/>
        </w:rPr>
        <w:t>Armée le 20 décembre 2003 ou vers cette date. Le Comité prend aussi note de l</w:t>
      </w:r>
      <w:r>
        <w:rPr>
          <w:spacing w:val="-1"/>
          <w:lang w:val="fr-FR"/>
        </w:rPr>
        <w:t>’</w:t>
      </w:r>
      <w:r w:rsidRPr="005F1156">
        <w:rPr>
          <w:spacing w:val="-1"/>
          <w:lang w:val="fr-FR"/>
        </w:rPr>
        <w:t>argument de l</w:t>
      </w:r>
      <w:r>
        <w:rPr>
          <w:spacing w:val="-1"/>
          <w:lang w:val="fr-FR"/>
        </w:rPr>
        <w:t>’</w:t>
      </w:r>
      <w:r w:rsidRPr="005F1156">
        <w:rPr>
          <w:spacing w:val="-1"/>
          <w:lang w:val="fr-FR"/>
        </w:rPr>
        <w:t>État partie, qui soutient que les allégations de l</w:t>
      </w:r>
      <w:r>
        <w:rPr>
          <w:spacing w:val="-1"/>
          <w:lang w:val="fr-FR"/>
        </w:rPr>
        <w:t>’</w:t>
      </w:r>
      <w:r w:rsidRPr="005F1156">
        <w:rPr>
          <w:spacing w:val="-1"/>
          <w:lang w:val="fr-FR"/>
        </w:rPr>
        <w:t xml:space="preserve">auteure sont fondées sur de simples soupçons et que, dans sa requête en </w:t>
      </w:r>
      <w:r w:rsidRPr="005F1156">
        <w:rPr>
          <w:i/>
          <w:spacing w:val="-1"/>
          <w:lang w:val="fr-FR"/>
        </w:rPr>
        <w:t>habeas corpus</w:t>
      </w:r>
      <w:r w:rsidRPr="005F1156">
        <w:rPr>
          <w:spacing w:val="-1"/>
          <w:lang w:val="fr-FR"/>
        </w:rPr>
        <w:t>, elle n</w:t>
      </w:r>
      <w:r>
        <w:rPr>
          <w:spacing w:val="-1"/>
          <w:lang w:val="fr-FR"/>
        </w:rPr>
        <w:t>’</w:t>
      </w:r>
      <w:r w:rsidRPr="005F1156">
        <w:rPr>
          <w:spacing w:val="-1"/>
          <w:lang w:val="fr-FR"/>
        </w:rPr>
        <w:t>a pas pu prouver que son mari avait été arrêté et détenu par des agents de l</w:t>
      </w:r>
      <w:r>
        <w:rPr>
          <w:spacing w:val="-1"/>
          <w:lang w:val="fr-FR"/>
        </w:rPr>
        <w:t>’</w:t>
      </w:r>
      <w:r w:rsidRPr="005F1156">
        <w:rPr>
          <w:spacing w:val="-1"/>
          <w:lang w:val="fr-FR"/>
        </w:rPr>
        <w:t>État. Le Comité réaffirme que la charge de la preuve ne saurait incomber uniquement à l</w:t>
      </w:r>
      <w:r>
        <w:rPr>
          <w:spacing w:val="-1"/>
          <w:lang w:val="fr-FR"/>
        </w:rPr>
        <w:t>’</w:t>
      </w:r>
      <w:r w:rsidRPr="005F1156">
        <w:rPr>
          <w:spacing w:val="-1"/>
          <w:lang w:val="fr-FR"/>
        </w:rPr>
        <w:t>auteur d</w:t>
      </w:r>
      <w:r>
        <w:rPr>
          <w:spacing w:val="-1"/>
          <w:lang w:val="fr-FR"/>
        </w:rPr>
        <w:t>’</w:t>
      </w:r>
      <w:r w:rsidRPr="005F1156">
        <w:rPr>
          <w:spacing w:val="-1"/>
          <w:lang w:val="fr-FR"/>
        </w:rPr>
        <w:t>une communication, d</w:t>
      </w:r>
      <w:r>
        <w:rPr>
          <w:spacing w:val="-1"/>
          <w:lang w:val="fr-FR"/>
        </w:rPr>
        <w:t>’</w:t>
      </w:r>
      <w:r w:rsidRPr="005F1156">
        <w:rPr>
          <w:spacing w:val="-1"/>
          <w:lang w:val="fr-FR"/>
        </w:rPr>
        <w:t>autant plus que l</w:t>
      </w:r>
      <w:r>
        <w:rPr>
          <w:spacing w:val="-1"/>
          <w:lang w:val="fr-FR"/>
        </w:rPr>
        <w:t>’</w:t>
      </w:r>
      <w:r w:rsidRPr="005F1156">
        <w:rPr>
          <w:spacing w:val="-1"/>
          <w:lang w:val="fr-FR"/>
        </w:rPr>
        <w:t>auteur et l</w:t>
      </w:r>
      <w:r>
        <w:rPr>
          <w:spacing w:val="-1"/>
          <w:lang w:val="fr-FR"/>
        </w:rPr>
        <w:t>’</w:t>
      </w:r>
      <w:r w:rsidRPr="005F1156">
        <w:rPr>
          <w:spacing w:val="-1"/>
          <w:lang w:val="fr-FR"/>
        </w:rPr>
        <w:t>État partie n</w:t>
      </w:r>
      <w:r>
        <w:rPr>
          <w:spacing w:val="-1"/>
          <w:lang w:val="fr-FR"/>
        </w:rPr>
        <w:t>’</w:t>
      </w:r>
      <w:r w:rsidRPr="005F1156">
        <w:rPr>
          <w:spacing w:val="-1"/>
          <w:lang w:val="fr-FR"/>
        </w:rPr>
        <w:t>ont pas toujours un accès égal aux éléments de preuve et que souvent, l</w:t>
      </w:r>
      <w:r>
        <w:rPr>
          <w:spacing w:val="-1"/>
          <w:lang w:val="fr-FR"/>
        </w:rPr>
        <w:t>’</w:t>
      </w:r>
      <w:r w:rsidRPr="005F1156">
        <w:rPr>
          <w:spacing w:val="-1"/>
          <w:lang w:val="fr-FR"/>
        </w:rPr>
        <w:t>État partie est le seul à disposer des renseignements voulus</w:t>
      </w:r>
      <w:r w:rsidR="005C15DE">
        <w:rPr>
          <w:rStyle w:val="FootnoteReference"/>
          <w:spacing w:val="-1"/>
        </w:rPr>
        <w:footnoteReference w:id="14"/>
      </w:r>
      <w:r w:rsidRPr="005F1156">
        <w:rPr>
          <w:spacing w:val="-1"/>
          <w:lang w:val="fr-FR"/>
        </w:rPr>
        <w:t>. Il</w:t>
      </w:r>
      <w:r>
        <w:rPr>
          <w:spacing w:val="-1"/>
          <w:lang w:val="fr-FR"/>
        </w:rPr>
        <w:t> </w:t>
      </w:r>
      <w:r w:rsidRPr="005F1156">
        <w:rPr>
          <w:spacing w:val="-1"/>
          <w:lang w:val="fr-FR"/>
        </w:rPr>
        <w:t>ressort implicitement du paragraphe 2 de l</w:t>
      </w:r>
      <w:r>
        <w:rPr>
          <w:spacing w:val="-1"/>
          <w:lang w:val="fr-FR"/>
        </w:rPr>
        <w:t>’</w:t>
      </w:r>
      <w:r w:rsidRPr="005F1156">
        <w:rPr>
          <w:spacing w:val="-1"/>
          <w:lang w:val="fr-FR"/>
        </w:rPr>
        <w:t>article 4 du Protocole facultatif que l</w:t>
      </w:r>
      <w:r>
        <w:rPr>
          <w:spacing w:val="-1"/>
          <w:lang w:val="fr-FR"/>
        </w:rPr>
        <w:t>’</w:t>
      </w:r>
      <w:r w:rsidRPr="005F1156">
        <w:rPr>
          <w:spacing w:val="-1"/>
          <w:lang w:val="fr-FR"/>
        </w:rPr>
        <w:t>État partie est tenu d</w:t>
      </w:r>
      <w:r>
        <w:rPr>
          <w:spacing w:val="-1"/>
          <w:lang w:val="fr-FR"/>
        </w:rPr>
        <w:t>’</w:t>
      </w:r>
      <w:r w:rsidRPr="005F1156">
        <w:rPr>
          <w:spacing w:val="-1"/>
          <w:lang w:val="fr-FR"/>
        </w:rPr>
        <w:t>enquêter de bonne foi sur toutes les allégations de violation du Pacte formulées contre lui et ses représentants et de transmettre au Comité les renseignements qu</w:t>
      </w:r>
      <w:r>
        <w:rPr>
          <w:spacing w:val="-1"/>
          <w:lang w:val="fr-FR"/>
        </w:rPr>
        <w:t>’</w:t>
      </w:r>
      <w:r w:rsidRPr="005F1156">
        <w:rPr>
          <w:spacing w:val="-1"/>
          <w:lang w:val="fr-FR"/>
        </w:rPr>
        <w:t>il détient. Lorsque les allégations sont corroborées par des éléments crédibles apportés par l</w:t>
      </w:r>
      <w:r>
        <w:rPr>
          <w:spacing w:val="-1"/>
          <w:lang w:val="fr-FR"/>
        </w:rPr>
        <w:t>’</w:t>
      </w:r>
      <w:r w:rsidRPr="005F1156">
        <w:rPr>
          <w:spacing w:val="-1"/>
          <w:lang w:val="fr-FR"/>
        </w:rPr>
        <w:t>auteur et que tout éclaircissement supplémentaire dépend de renseignements que l</w:t>
      </w:r>
      <w:r>
        <w:rPr>
          <w:spacing w:val="-1"/>
          <w:lang w:val="fr-FR"/>
        </w:rPr>
        <w:t>’</w:t>
      </w:r>
      <w:r w:rsidRPr="005F1156">
        <w:rPr>
          <w:spacing w:val="-1"/>
          <w:lang w:val="fr-FR"/>
        </w:rPr>
        <w:t xml:space="preserve">État partie est seul à détenir, le Comité peut considérer </w:t>
      </w:r>
      <w:r w:rsidRPr="005F1156" w:rsidDel="009742D9">
        <w:rPr>
          <w:spacing w:val="-1"/>
          <w:lang w:val="fr-FR"/>
        </w:rPr>
        <w:t>c</w:t>
      </w:r>
      <w:r w:rsidRPr="005F1156">
        <w:rPr>
          <w:spacing w:val="-1"/>
          <w:lang w:val="fr-FR"/>
        </w:rPr>
        <w:t>es allégations comme suffisamment étayées si l</w:t>
      </w:r>
      <w:r>
        <w:rPr>
          <w:spacing w:val="-1"/>
          <w:lang w:val="fr-FR"/>
        </w:rPr>
        <w:t>’</w:t>
      </w:r>
      <w:r w:rsidRPr="005F1156">
        <w:rPr>
          <w:spacing w:val="-1"/>
          <w:lang w:val="fr-FR"/>
        </w:rPr>
        <w:t xml:space="preserve">État partie ne les réfute pas en apportant des preuves ou des explications satisfaisantes. </w:t>
      </w:r>
    </w:p>
    <w:p w:rsidR="00D856C9" w:rsidRPr="006E39C2" w:rsidRDefault="00D856C9" w:rsidP="00D856C9">
      <w:pPr>
        <w:pStyle w:val="SingleTxtG"/>
        <w:rPr>
          <w:lang w:val="fr-FR"/>
        </w:rPr>
      </w:pPr>
      <w:r>
        <w:rPr>
          <w:lang w:val="fr-FR"/>
        </w:rPr>
        <w:t>7.3</w:t>
      </w:r>
      <w:r w:rsidRPr="006E39C2">
        <w:rPr>
          <w:lang w:val="fr-FR"/>
        </w:rPr>
        <w:tab/>
      </w:r>
      <w:r w:rsidRPr="00E6433C">
        <w:rPr>
          <w:lang w:val="fr-FR"/>
        </w:rPr>
        <w:t>En l</w:t>
      </w:r>
      <w:r>
        <w:rPr>
          <w:lang w:val="fr-FR"/>
        </w:rPr>
        <w:t>’</w:t>
      </w:r>
      <w:r w:rsidRPr="00E6433C">
        <w:rPr>
          <w:lang w:val="fr-FR"/>
        </w:rPr>
        <w:t>espèce, le Comité note que, rapidement après avoir perdu contact avec son mari en septembre 2003, l</w:t>
      </w:r>
      <w:r>
        <w:rPr>
          <w:lang w:val="fr-FR"/>
        </w:rPr>
        <w:t>’</w:t>
      </w:r>
      <w:r w:rsidRPr="00E6433C">
        <w:rPr>
          <w:lang w:val="fr-FR"/>
        </w:rPr>
        <w:t>auteure s</w:t>
      </w:r>
      <w:r>
        <w:rPr>
          <w:lang w:val="fr-FR"/>
        </w:rPr>
        <w:t>’</w:t>
      </w:r>
      <w:r w:rsidRPr="00E6433C">
        <w:rPr>
          <w:lang w:val="fr-FR"/>
        </w:rPr>
        <w:t xml:space="preserve">est rendue dans plusieurs casernes de </w:t>
      </w:r>
      <w:r w:rsidRPr="006E39C2">
        <w:rPr>
          <w:lang w:val="fr-FR"/>
        </w:rPr>
        <w:t>l</w:t>
      </w:r>
      <w:r>
        <w:rPr>
          <w:lang w:val="fr-FR"/>
        </w:rPr>
        <w:t>’</w:t>
      </w:r>
      <w:r w:rsidRPr="006E39C2">
        <w:rPr>
          <w:lang w:val="fr-FR"/>
        </w:rPr>
        <w:t xml:space="preserve">Armée </w:t>
      </w:r>
      <w:r w:rsidRPr="00E6433C">
        <w:rPr>
          <w:lang w:val="fr-FR"/>
        </w:rPr>
        <w:t>à Katmandou pour essayer de savoir où il se trouvait et ce qui lui était arrivé. Cependant, les autorités ont nié qu</w:t>
      </w:r>
      <w:r>
        <w:rPr>
          <w:lang w:val="fr-FR"/>
        </w:rPr>
        <w:t>’</w:t>
      </w:r>
      <w:r w:rsidRPr="00E6433C">
        <w:rPr>
          <w:lang w:val="fr-FR"/>
        </w:rPr>
        <w:t>il avait été placé en détention. Le Comité relève aussi que, selon les rapports publiés par le Bureau du HCDH au Népal et la Commission nationale des droits de l</w:t>
      </w:r>
      <w:r>
        <w:rPr>
          <w:lang w:val="fr-FR"/>
        </w:rPr>
        <w:t>’</w:t>
      </w:r>
      <w:r w:rsidRPr="00E6433C">
        <w:rPr>
          <w:lang w:val="fr-FR"/>
        </w:rPr>
        <w:t>homme en 2006 et 2009, respectivement, et des témoignages d</w:t>
      </w:r>
      <w:r>
        <w:rPr>
          <w:lang w:val="fr-FR"/>
        </w:rPr>
        <w:t>’</w:t>
      </w:r>
      <w:r w:rsidRPr="00E6433C">
        <w:rPr>
          <w:lang w:val="fr-FR"/>
        </w:rPr>
        <w:t xml:space="preserve">anciens détenus à la caserne de </w:t>
      </w:r>
      <w:proofErr w:type="spellStart"/>
      <w:r w:rsidRPr="00E6433C">
        <w:rPr>
          <w:lang w:val="fr-FR"/>
        </w:rPr>
        <w:t>Maharajgunj</w:t>
      </w:r>
      <w:proofErr w:type="spellEnd"/>
      <w:r w:rsidRPr="00E6433C">
        <w:rPr>
          <w:lang w:val="fr-FR"/>
        </w:rPr>
        <w:t>, le mari de l</w:t>
      </w:r>
      <w:r>
        <w:rPr>
          <w:lang w:val="fr-FR"/>
        </w:rPr>
        <w:t>’</w:t>
      </w:r>
      <w:r w:rsidRPr="00E6433C">
        <w:rPr>
          <w:lang w:val="fr-FR"/>
        </w:rPr>
        <w:t xml:space="preserve">auteure a été vu pour la dernière fois dans cette caserne, détenu par </w:t>
      </w:r>
      <w:r w:rsidRPr="006E39C2">
        <w:rPr>
          <w:lang w:val="fr-FR"/>
        </w:rPr>
        <w:t>l</w:t>
      </w:r>
      <w:r>
        <w:rPr>
          <w:lang w:val="fr-FR"/>
        </w:rPr>
        <w:t>’</w:t>
      </w:r>
      <w:r w:rsidRPr="006E39C2">
        <w:rPr>
          <w:lang w:val="fr-FR"/>
        </w:rPr>
        <w:t>Armée,</w:t>
      </w:r>
      <w:r w:rsidRPr="00E6433C">
        <w:rPr>
          <w:lang w:val="fr-FR"/>
        </w:rPr>
        <w:t xml:space="preserve"> en décembre 2003. En outre, le 4</w:t>
      </w:r>
      <w:r>
        <w:rPr>
          <w:lang w:val="fr-FR"/>
        </w:rPr>
        <w:t> </w:t>
      </w:r>
      <w:r w:rsidRPr="00E6433C">
        <w:rPr>
          <w:lang w:val="fr-FR"/>
        </w:rPr>
        <w:t>juillet 2006, la Commission nationale des droits de l</w:t>
      </w:r>
      <w:r>
        <w:rPr>
          <w:lang w:val="fr-FR"/>
        </w:rPr>
        <w:t>’</w:t>
      </w:r>
      <w:r w:rsidRPr="00E6433C">
        <w:rPr>
          <w:lang w:val="fr-FR"/>
        </w:rPr>
        <w:t>homme a constaté que M.</w:t>
      </w:r>
      <w:r w:rsidR="005C15DE">
        <w:rPr>
          <w:lang w:val="fr-FR"/>
        </w:rPr>
        <w:t> </w:t>
      </w:r>
      <w:proofErr w:type="spellStart"/>
      <w:r w:rsidRPr="00E6433C">
        <w:rPr>
          <w:lang w:val="fr-FR"/>
        </w:rPr>
        <w:t>Tripathi</w:t>
      </w:r>
      <w:proofErr w:type="spellEnd"/>
      <w:r w:rsidRPr="00E6433C">
        <w:rPr>
          <w:lang w:val="fr-FR"/>
        </w:rPr>
        <w:t xml:space="preserve"> avait été arrêté, détenu à la caserne de </w:t>
      </w:r>
      <w:proofErr w:type="spellStart"/>
      <w:r w:rsidRPr="00E6433C">
        <w:rPr>
          <w:lang w:val="fr-FR"/>
        </w:rPr>
        <w:t>Maharajgunj</w:t>
      </w:r>
      <w:proofErr w:type="spellEnd"/>
      <w:r w:rsidRPr="00E6433C">
        <w:rPr>
          <w:lang w:val="fr-FR"/>
        </w:rPr>
        <w:t xml:space="preserve"> et victime de disparition forcée aux mains de membres du bataillon </w:t>
      </w:r>
      <w:proofErr w:type="spellStart"/>
      <w:r w:rsidRPr="00E6433C">
        <w:rPr>
          <w:lang w:val="fr-FR"/>
        </w:rPr>
        <w:t>Bhairabnath</w:t>
      </w:r>
      <w:proofErr w:type="spellEnd"/>
      <w:r w:rsidRPr="00E6433C">
        <w:rPr>
          <w:lang w:val="fr-FR"/>
        </w:rPr>
        <w:t>. À la lumière des documents soumis par l</w:t>
      </w:r>
      <w:r>
        <w:rPr>
          <w:lang w:val="fr-FR"/>
        </w:rPr>
        <w:t>’</w:t>
      </w:r>
      <w:r w:rsidRPr="00E6433C">
        <w:rPr>
          <w:lang w:val="fr-FR"/>
        </w:rPr>
        <w:t>auteure, le Comité estime que l</w:t>
      </w:r>
      <w:r>
        <w:rPr>
          <w:lang w:val="fr-FR"/>
        </w:rPr>
        <w:t>’</w:t>
      </w:r>
      <w:r w:rsidRPr="00E6433C">
        <w:rPr>
          <w:lang w:val="fr-FR"/>
        </w:rPr>
        <w:t>État partie n</w:t>
      </w:r>
      <w:r>
        <w:rPr>
          <w:lang w:val="fr-FR"/>
        </w:rPr>
        <w:t>’</w:t>
      </w:r>
      <w:r w:rsidRPr="00E6433C">
        <w:rPr>
          <w:lang w:val="fr-FR"/>
        </w:rPr>
        <w:t>a pas donné</w:t>
      </w:r>
      <w:r w:rsidRPr="006A2E71">
        <w:rPr>
          <w:lang w:val="fr-FR"/>
        </w:rPr>
        <w:t xml:space="preserve"> d</w:t>
      </w:r>
      <w:r>
        <w:rPr>
          <w:lang w:val="fr-FR"/>
        </w:rPr>
        <w:t>’</w:t>
      </w:r>
      <w:r w:rsidRPr="006A2E71">
        <w:rPr>
          <w:lang w:val="fr-FR"/>
        </w:rPr>
        <w:t xml:space="preserve">explications suffisantes et concrètes pour réfuter </w:t>
      </w:r>
      <w:r w:rsidRPr="00E6433C">
        <w:rPr>
          <w:lang w:val="fr-FR"/>
        </w:rPr>
        <w:t>les constatations et conclusions de la Commission nationale des droits de l</w:t>
      </w:r>
      <w:r>
        <w:rPr>
          <w:lang w:val="fr-FR"/>
        </w:rPr>
        <w:t>’</w:t>
      </w:r>
      <w:r w:rsidRPr="00E6433C">
        <w:rPr>
          <w:lang w:val="fr-FR"/>
        </w:rPr>
        <w:t>homme et du</w:t>
      </w:r>
      <w:r>
        <w:rPr>
          <w:lang w:val="fr-FR"/>
        </w:rPr>
        <w:t> </w:t>
      </w:r>
      <w:r w:rsidRPr="00E6433C">
        <w:rPr>
          <w:lang w:val="fr-FR"/>
        </w:rPr>
        <w:t>Bureau du HCDH au Népal</w:t>
      </w:r>
      <w:r w:rsidRPr="006E39C2">
        <w:rPr>
          <w:lang w:val="fr-FR"/>
        </w:rPr>
        <w:t xml:space="preserve">. </w:t>
      </w:r>
      <w:r w:rsidRPr="00CD0633">
        <w:t xml:space="preserve">Il rappelle </w:t>
      </w:r>
      <w:r w:rsidRPr="006E39C2">
        <w:rPr>
          <w:lang w:val="fr-FR"/>
        </w:rPr>
        <w:t xml:space="preserve">sa jurisprudence dont il ressort que dans les cas de disparition forcée, </w:t>
      </w:r>
      <w:r w:rsidRPr="00CD0633">
        <w:t xml:space="preserve">la privation de liberté suivie du refus de reconnaître ce fait ou de la dissimulation du sort réservé à la personne disparue </w:t>
      </w:r>
      <w:r w:rsidRPr="00E252FE">
        <w:t>a pour effet de soustraire cette personne à la protection de la loi et de mettre gravement et constamment en danger sa vie, ce dont l</w:t>
      </w:r>
      <w:r>
        <w:t>’</w:t>
      </w:r>
      <w:r w:rsidRPr="00E252FE">
        <w:t>État est responsable</w:t>
      </w:r>
      <w:r w:rsidR="005C15DE">
        <w:rPr>
          <w:rStyle w:val="FootnoteReference"/>
        </w:rPr>
        <w:footnoteReference w:id="15"/>
      </w:r>
      <w:r w:rsidRPr="00CD0633">
        <w:t>.</w:t>
      </w:r>
      <w:r w:rsidRPr="006E39C2">
        <w:rPr>
          <w:lang w:val="fr-FR"/>
        </w:rPr>
        <w:t xml:space="preserve"> </w:t>
      </w:r>
      <w:r w:rsidRPr="00E252FE">
        <w:t>En l</w:t>
      </w:r>
      <w:r>
        <w:t>’</w:t>
      </w:r>
      <w:r w:rsidRPr="00E252FE">
        <w:t>espèce, l</w:t>
      </w:r>
      <w:r>
        <w:t>’</w:t>
      </w:r>
      <w:r w:rsidRPr="00E252FE">
        <w:t>État partie n</w:t>
      </w:r>
      <w:r>
        <w:t>’</w:t>
      </w:r>
      <w:r w:rsidRPr="00E252FE">
        <w:t>a fourni aucun élément démontrant qu</w:t>
      </w:r>
      <w:r>
        <w:t>’</w:t>
      </w:r>
      <w:r w:rsidRPr="00E252FE">
        <w:t>il s</w:t>
      </w:r>
      <w:r>
        <w:t>’</w:t>
      </w:r>
      <w:r w:rsidRPr="00E252FE">
        <w:t xml:space="preserve">est acquitté de son </w:t>
      </w:r>
      <w:r>
        <w:t xml:space="preserve">obligation de protéger la vie </w:t>
      </w:r>
      <w:r w:rsidRPr="006E39C2">
        <w:rPr>
          <w:lang w:val="fr-FR"/>
        </w:rPr>
        <w:t>M</w:t>
      </w:r>
      <w:r>
        <w:rPr>
          <w:lang w:val="fr-FR"/>
        </w:rPr>
        <w:t> </w:t>
      </w:r>
      <w:proofErr w:type="spellStart"/>
      <w:r w:rsidRPr="006E39C2">
        <w:rPr>
          <w:lang w:val="fr-FR"/>
        </w:rPr>
        <w:t>Tripathi</w:t>
      </w:r>
      <w:proofErr w:type="spellEnd"/>
      <w:r w:rsidRPr="006E39C2">
        <w:rPr>
          <w:lang w:val="fr-FR"/>
        </w:rPr>
        <w:t>. Le</w:t>
      </w:r>
      <w:r>
        <w:rPr>
          <w:lang w:val="fr-FR"/>
        </w:rPr>
        <w:t> </w:t>
      </w:r>
      <w:r w:rsidRPr="006E39C2">
        <w:rPr>
          <w:lang w:val="fr-FR"/>
        </w:rPr>
        <w:t xml:space="preserve">Comité </w:t>
      </w:r>
      <w:r w:rsidRPr="00E252FE">
        <w:t>conclut donc que l</w:t>
      </w:r>
      <w:r>
        <w:t>’</w:t>
      </w:r>
      <w:r w:rsidRPr="00E252FE">
        <w:t>État partie a manqué à son</w:t>
      </w:r>
      <w:r>
        <w:t xml:space="preserve"> devoir de protéger la vie</w:t>
      </w:r>
      <w:r w:rsidRPr="006E39C2">
        <w:rPr>
          <w:lang w:val="fr-FR"/>
        </w:rPr>
        <w:t xml:space="preserve"> M.</w:t>
      </w:r>
      <w:r>
        <w:rPr>
          <w:lang w:val="fr-FR"/>
        </w:rPr>
        <w:t> </w:t>
      </w:r>
      <w:proofErr w:type="spellStart"/>
      <w:r w:rsidRPr="006E39C2">
        <w:rPr>
          <w:lang w:val="fr-FR"/>
        </w:rPr>
        <w:t>Tripathi</w:t>
      </w:r>
      <w:proofErr w:type="spellEnd"/>
      <w:r w:rsidRPr="006E39C2">
        <w:rPr>
          <w:lang w:val="fr-FR"/>
        </w:rPr>
        <w:t>, en violation du paragraphe</w:t>
      </w:r>
      <w:r>
        <w:rPr>
          <w:lang w:val="fr-FR"/>
        </w:rPr>
        <w:t> </w:t>
      </w:r>
      <w:r w:rsidRPr="006E39C2">
        <w:rPr>
          <w:lang w:val="fr-FR"/>
        </w:rPr>
        <w:t>1 de l</w:t>
      </w:r>
      <w:r>
        <w:rPr>
          <w:lang w:val="fr-FR"/>
        </w:rPr>
        <w:t>’</w:t>
      </w:r>
      <w:r w:rsidRPr="006E39C2">
        <w:rPr>
          <w:lang w:val="fr-FR"/>
        </w:rPr>
        <w:t>article</w:t>
      </w:r>
      <w:r>
        <w:rPr>
          <w:lang w:val="fr-FR"/>
        </w:rPr>
        <w:t> </w:t>
      </w:r>
      <w:r w:rsidRPr="006E39C2">
        <w:rPr>
          <w:lang w:val="fr-FR"/>
        </w:rPr>
        <w:t>6 du Pacte</w:t>
      </w:r>
      <w:r w:rsidR="005C15DE">
        <w:rPr>
          <w:rStyle w:val="FootnoteReference"/>
        </w:rPr>
        <w:footnoteReference w:id="16"/>
      </w:r>
      <w:r w:rsidRPr="006E39C2">
        <w:rPr>
          <w:lang w:val="fr-FR"/>
        </w:rPr>
        <w:t xml:space="preserve">. </w:t>
      </w:r>
    </w:p>
    <w:p w:rsidR="00D856C9" w:rsidRPr="006E39C2" w:rsidRDefault="00D856C9" w:rsidP="00D856C9">
      <w:pPr>
        <w:pStyle w:val="SingleTxtG"/>
        <w:rPr>
          <w:lang w:val="fr-FR"/>
        </w:rPr>
      </w:pPr>
      <w:r w:rsidRPr="006E39C2">
        <w:rPr>
          <w:lang w:val="fr-FR"/>
        </w:rPr>
        <w:t>7.4</w:t>
      </w:r>
      <w:r w:rsidRPr="006E39C2">
        <w:rPr>
          <w:lang w:val="fr-FR"/>
        </w:rPr>
        <w:tab/>
      </w:r>
      <w:r w:rsidRPr="0006604C">
        <w:rPr>
          <w:spacing w:val="-1"/>
          <w:lang w:val="fr-FR"/>
        </w:rPr>
        <w:t>Le Comité reconnaît le degré de souffrance qu</w:t>
      </w:r>
      <w:r>
        <w:rPr>
          <w:spacing w:val="-1"/>
          <w:lang w:val="fr-FR"/>
        </w:rPr>
        <w:t>’</w:t>
      </w:r>
      <w:r w:rsidRPr="0006604C">
        <w:rPr>
          <w:spacing w:val="-1"/>
          <w:lang w:val="fr-FR"/>
        </w:rPr>
        <w:t xml:space="preserve">entraîne une détention sans contact avec le monde extérieur pendant une durée indéfinie. Il rappelle son </w:t>
      </w:r>
      <w:r w:rsidRPr="0006604C">
        <w:rPr>
          <w:spacing w:val="-1"/>
        </w:rPr>
        <w:t xml:space="preserve">Observation générale </w:t>
      </w:r>
      <w:r w:rsidRPr="0006604C">
        <w:rPr>
          <w:spacing w:val="-1"/>
          <w:lang w:val="fr-FR"/>
        </w:rPr>
        <w:t>n</w:t>
      </w:r>
      <w:r w:rsidRPr="0006604C">
        <w:rPr>
          <w:spacing w:val="-1"/>
          <w:vertAlign w:val="superscript"/>
          <w:lang w:val="fr-FR"/>
        </w:rPr>
        <w:t>o</w:t>
      </w:r>
      <w:r w:rsidRPr="0006604C">
        <w:rPr>
          <w:spacing w:val="-1"/>
          <w:lang w:val="fr-FR"/>
        </w:rPr>
        <w:t> </w:t>
      </w:r>
      <w:r w:rsidRPr="0006604C">
        <w:rPr>
          <w:spacing w:val="-1"/>
        </w:rPr>
        <w:t>20 (1992)</w:t>
      </w:r>
      <w:r w:rsidRPr="0006604C">
        <w:rPr>
          <w:spacing w:val="-1"/>
          <w:lang w:val="fr-FR"/>
        </w:rPr>
        <w:t xml:space="preserve"> relative à l</w:t>
      </w:r>
      <w:r>
        <w:rPr>
          <w:spacing w:val="-1"/>
          <w:lang w:val="fr-FR"/>
        </w:rPr>
        <w:t>’</w:t>
      </w:r>
      <w:r w:rsidRPr="0006604C">
        <w:rPr>
          <w:spacing w:val="-1"/>
          <w:lang w:val="fr-FR"/>
        </w:rPr>
        <w:t>interdiction de la torture et des peines ou traitements cruels, inhumains ou dégradants, dans laquelle il a recommandé aux États parties de prendre des dispositions pour interdire la détention au secret. Il prend note des allégations de l</w:t>
      </w:r>
      <w:r>
        <w:rPr>
          <w:spacing w:val="-1"/>
          <w:lang w:val="fr-FR"/>
        </w:rPr>
        <w:t>’</w:t>
      </w:r>
      <w:r w:rsidRPr="0006604C">
        <w:rPr>
          <w:spacing w:val="-1"/>
          <w:lang w:val="fr-FR"/>
        </w:rPr>
        <w:t>auteure, qui affirme que son mari a été arrêté en s</w:t>
      </w:r>
      <w:r w:rsidRPr="006E39C2">
        <w:rPr>
          <w:lang w:val="fr-FR"/>
        </w:rPr>
        <w:t xml:space="preserve">eptembre 2003 et </w:t>
      </w:r>
      <w:r w:rsidRPr="0006604C">
        <w:rPr>
          <w:spacing w:val="-1"/>
          <w:lang w:val="fr-FR"/>
        </w:rPr>
        <w:t>détenu au secret</w:t>
      </w:r>
      <w:r w:rsidRPr="006E39C2">
        <w:rPr>
          <w:lang w:val="fr-FR"/>
        </w:rPr>
        <w:t xml:space="preserve"> à la caserne de</w:t>
      </w:r>
      <w:r>
        <w:rPr>
          <w:lang w:val="fr-FR"/>
        </w:rPr>
        <w:t> </w:t>
      </w:r>
      <w:proofErr w:type="spellStart"/>
      <w:r w:rsidRPr="006E39C2">
        <w:rPr>
          <w:lang w:val="fr-FR"/>
        </w:rPr>
        <w:t>Maharajgunj</w:t>
      </w:r>
      <w:proofErr w:type="spellEnd"/>
      <w:r w:rsidRPr="006E39C2">
        <w:rPr>
          <w:lang w:val="fr-FR"/>
        </w:rPr>
        <w:t xml:space="preserve">, </w:t>
      </w:r>
      <w:r w:rsidRPr="0006604C">
        <w:rPr>
          <w:spacing w:val="-1"/>
          <w:lang w:val="fr-FR"/>
        </w:rPr>
        <w:t>sans contact avec le monde extérieur, et que lorsqu</w:t>
      </w:r>
      <w:r>
        <w:rPr>
          <w:spacing w:val="-1"/>
          <w:lang w:val="fr-FR"/>
        </w:rPr>
        <w:t>’</w:t>
      </w:r>
      <w:r w:rsidRPr="0006604C">
        <w:rPr>
          <w:spacing w:val="-1"/>
          <w:lang w:val="fr-FR"/>
        </w:rPr>
        <w:t>il a été vu pour la dernière fois dans la caserne par d</w:t>
      </w:r>
      <w:r>
        <w:rPr>
          <w:spacing w:val="-1"/>
          <w:lang w:val="fr-FR"/>
        </w:rPr>
        <w:t>’</w:t>
      </w:r>
      <w:r w:rsidRPr="0006604C">
        <w:rPr>
          <w:spacing w:val="-1"/>
          <w:lang w:val="fr-FR"/>
        </w:rPr>
        <w:t xml:space="preserve">autre détenus, </w:t>
      </w:r>
      <w:r w:rsidRPr="006E39C2">
        <w:rPr>
          <w:lang w:val="fr-FR"/>
        </w:rPr>
        <w:t xml:space="preserve">il était </w:t>
      </w:r>
      <w:r w:rsidRPr="00E6433C">
        <w:rPr>
          <w:lang w:val="fr-FR"/>
        </w:rPr>
        <w:t xml:space="preserve">dans un très mauvais état </w:t>
      </w:r>
      <w:r w:rsidRPr="006E39C2">
        <w:rPr>
          <w:lang w:val="fr-FR"/>
        </w:rPr>
        <w:t xml:space="preserve">et portait des marques de torture apparentes. </w:t>
      </w:r>
      <w:r w:rsidRPr="00E6433C">
        <w:rPr>
          <w:lang w:val="fr-FR"/>
        </w:rPr>
        <w:t>En l</w:t>
      </w:r>
      <w:r>
        <w:rPr>
          <w:lang w:val="fr-FR"/>
        </w:rPr>
        <w:t>’</w:t>
      </w:r>
      <w:r w:rsidRPr="00E6433C">
        <w:rPr>
          <w:lang w:val="fr-FR"/>
        </w:rPr>
        <w:t>absence d</w:t>
      </w:r>
      <w:r>
        <w:rPr>
          <w:lang w:val="fr-FR"/>
        </w:rPr>
        <w:t>’</w:t>
      </w:r>
      <w:r w:rsidRPr="00E6433C">
        <w:rPr>
          <w:lang w:val="fr-FR"/>
        </w:rPr>
        <w:t>informations de l</w:t>
      </w:r>
      <w:r>
        <w:rPr>
          <w:lang w:val="fr-FR"/>
        </w:rPr>
        <w:t>’</w:t>
      </w:r>
      <w:r w:rsidRPr="00E6433C">
        <w:rPr>
          <w:lang w:val="fr-FR"/>
        </w:rPr>
        <w:t>État partie qui réfuteraient ce qui précède, le Comité conclut que les faits décrits sont constitutifs d</w:t>
      </w:r>
      <w:r>
        <w:rPr>
          <w:lang w:val="fr-FR"/>
        </w:rPr>
        <w:t>’</w:t>
      </w:r>
      <w:r w:rsidRPr="00E6433C">
        <w:rPr>
          <w:lang w:val="fr-FR"/>
        </w:rPr>
        <w:t>une violation de l</w:t>
      </w:r>
      <w:r>
        <w:rPr>
          <w:lang w:val="fr-FR"/>
        </w:rPr>
        <w:t>’</w:t>
      </w:r>
      <w:r w:rsidRPr="00E6433C">
        <w:rPr>
          <w:lang w:val="fr-FR"/>
        </w:rPr>
        <w:t>article</w:t>
      </w:r>
      <w:r>
        <w:rPr>
          <w:lang w:val="fr-FR"/>
        </w:rPr>
        <w:t> </w:t>
      </w:r>
      <w:r w:rsidRPr="00E6433C">
        <w:rPr>
          <w:lang w:val="fr-FR"/>
        </w:rPr>
        <w:t>7 du Pacte. Étant parvenu à cette conclusion, il n</w:t>
      </w:r>
      <w:r>
        <w:rPr>
          <w:lang w:val="fr-FR"/>
        </w:rPr>
        <w:t>’</w:t>
      </w:r>
      <w:r w:rsidRPr="00E6433C">
        <w:rPr>
          <w:lang w:val="fr-FR"/>
        </w:rPr>
        <w:t>examinera pas les griefs de violation de l</w:t>
      </w:r>
      <w:r>
        <w:rPr>
          <w:lang w:val="fr-FR"/>
        </w:rPr>
        <w:t>’</w:t>
      </w:r>
      <w:r w:rsidRPr="00E6433C">
        <w:rPr>
          <w:lang w:val="fr-FR"/>
        </w:rPr>
        <w:t>article</w:t>
      </w:r>
      <w:r>
        <w:rPr>
          <w:lang w:val="fr-FR"/>
        </w:rPr>
        <w:t> </w:t>
      </w:r>
      <w:r w:rsidRPr="00E6433C">
        <w:rPr>
          <w:lang w:val="fr-FR"/>
        </w:rPr>
        <w:t>10 du Pacte</w:t>
      </w:r>
      <w:r w:rsidRPr="006E39C2">
        <w:rPr>
          <w:lang w:val="fr-FR"/>
        </w:rPr>
        <w:t>.</w:t>
      </w:r>
    </w:p>
    <w:p w:rsidR="00D856C9" w:rsidRPr="006E39C2" w:rsidRDefault="00D856C9" w:rsidP="00D856C9">
      <w:pPr>
        <w:pStyle w:val="SingleTxtG"/>
        <w:rPr>
          <w:lang w:val="fr-FR"/>
        </w:rPr>
      </w:pPr>
      <w:r w:rsidRPr="006E39C2">
        <w:rPr>
          <w:lang w:val="fr-FR"/>
        </w:rPr>
        <w:t>7.5</w:t>
      </w:r>
      <w:r w:rsidRPr="006E39C2">
        <w:rPr>
          <w:lang w:val="fr-FR"/>
        </w:rPr>
        <w:tab/>
      </w:r>
      <w:r w:rsidRPr="003D3FE0">
        <w:rPr>
          <w:lang w:val="fr-FR"/>
        </w:rPr>
        <w:t>Le Comit</w:t>
      </w:r>
      <w:r>
        <w:rPr>
          <w:lang w:val="fr-FR"/>
        </w:rPr>
        <w:t xml:space="preserve">é prend note de l’angoisse et de la détresse dans lesquelles l’auteure et sa fille mineure, </w:t>
      </w:r>
      <w:r w:rsidRPr="006E39C2">
        <w:rPr>
          <w:lang w:val="fr-FR"/>
        </w:rPr>
        <w:t>C.</w:t>
      </w:r>
      <w:r w:rsidRPr="006E39C2" w:rsidDel="009742D9">
        <w:rPr>
          <w:lang w:val="fr-FR"/>
        </w:rPr>
        <w:t xml:space="preserve"> </w:t>
      </w:r>
      <w:r w:rsidRPr="006E39C2">
        <w:rPr>
          <w:lang w:val="fr-FR"/>
        </w:rPr>
        <w:t>T.,</w:t>
      </w:r>
      <w:r>
        <w:rPr>
          <w:lang w:val="fr-FR"/>
        </w:rPr>
        <w:t xml:space="preserve"> ont été plongées par la disparition de </w:t>
      </w:r>
      <w:r w:rsidRPr="006E39C2">
        <w:rPr>
          <w:lang w:val="fr-FR"/>
        </w:rPr>
        <w:t>M.</w:t>
      </w:r>
      <w:r>
        <w:rPr>
          <w:lang w:val="fr-FR"/>
        </w:rPr>
        <w:t> </w:t>
      </w:r>
      <w:proofErr w:type="spellStart"/>
      <w:r w:rsidRPr="006E39C2">
        <w:rPr>
          <w:lang w:val="fr-FR"/>
        </w:rPr>
        <w:t>Tripathi</w:t>
      </w:r>
      <w:proofErr w:type="spellEnd"/>
      <w:r w:rsidRPr="006E39C2">
        <w:rPr>
          <w:lang w:val="fr-FR"/>
        </w:rPr>
        <w:t xml:space="preserve"> en septembre 2003. L</w:t>
      </w:r>
      <w:r>
        <w:rPr>
          <w:lang w:val="fr-FR"/>
        </w:rPr>
        <w:t>’</w:t>
      </w:r>
      <w:r w:rsidRPr="006E39C2">
        <w:rPr>
          <w:lang w:val="fr-FR"/>
        </w:rPr>
        <w:t>auteure et sa fille n</w:t>
      </w:r>
      <w:r>
        <w:rPr>
          <w:lang w:val="fr-FR"/>
        </w:rPr>
        <w:t>’</w:t>
      </w:r>
      <w:r w:rsidRPr="006E39C2">
        <w:rPr>
          <w:lang w:val="fr-FR"/>
        </w:rPr>
        <w:t>ont jamais reçu d</w:t>
      </w:r>
      <w:r>
        <w:rPr>
          <w:lang w:val="fr-FR"/>
        </w:rPr>
        <w:t>’</w:t>
      </w:r>
      <w:r w:rsidRPr="006E39C2">
        <w:rPr>
          <w:lang w:val="fr-FR"/>
        </w:rPr>
        <w:t>explication appropriée des circonstances de la disparition de M.</w:t>
      </w:r>
      <w:r>
        <w:rPr>
          <w:lang w:val="fr-FR"/>
        </w:rPr>
        <w:t> </w:t>
      </w:r>
      <w:proofErr w:type="spellStart"/>
      <w:r w:rsidRPr="006E39C2">
        <w:rPr>
          <w:lang w:val="fr-FR"/>
        </w:rPr>
        <w:t>Tripathi</w:t>
      </w:r>
      <w:proofErr w:type="spellEnd"/>
      <w:r w:rsidRPr="006E39C2">
        <w:rPr>
          <w:lang w:val="fr-FR"/>
        </w:rPr>
        <w:t xml:space="preserve">. </w:t>
      </w:r>
      <w:r w:rsidRPr="00E6433C">
        <w:rPr>
          <w:lang w:val="fr-FR"/>
        </w:rPr>
        <w:t>En outre, même si des éléments fiables portent à croire que les chances de le retrouver vivant sont minimes, aucune enquête n</w:t>
      </w:r>
      <w:r>
        <w:rPr>
          <w:lang w:val="fr-FR"/>
        </w:rPr>
        <w:t>’</w:t>
      </w:r>
      <w:r w:rsidRPr="00E6433C">
        <w:rPr>
          <w:lang w:val="fr-FR"/>
        </w:rPr>
        <w:t>a été menée pour déterminer ce qui lui était arrivé, et, en cas de décès de l</w:t>
      </w:r>
      <w:r>
        <w:rPr>
          <w:lang w:val="fr-FR"/>
        </w:rPr>
        <w:t>’</w:t>
      </w:r>
      <w:r w:rsidRPr="00E6433C">
        <w:rPr>
          <w:lang w:val="fr-FR"/>
        </w:rPr>
        <w:t>intéressé, pour rendre son corps à sa famille. Le Comité considère que les faits décrits font également apparaître une violation de l</w:t>
      </w:r>
      <w:r>
        <w:rPr>
          <w:lang w:val="fr-FR"/>
        </w:rPr>
        <w:t>’</w:t>
      </w:r>
      <w:r w:rsidRPr="00E6433C">
        <w:rPr>
          <w:lang w:val="fr-FR"/>
        </w:rPr>
        <w:t>article</w:t>
      </w:r>
      <w:r>
        <w:rPr>
          <w:lang w:val="fr-FR"/>
        </w:rPr>
        <w:t> </w:t>
      </w:r>
      <w:r w:rsidRPr="00E6433C">
        <w:rPr>
          <w:lang w:val="fr-FR"/>
        </w:rPr>
        <w:t>7 du Pacte à l</w:t>
      </w:r>
      <w:r>
        <w:rPr>
          <w:lang w:val="fr-FR"/>
        </w:rPr>
        <w:t>’</w:t>
      </w:r>
      <w:r w:rsidRPr="00E6433C">
        <w:rPr>
          <w:lang w:val="fr-FR"/>
        </w:rPr>
        <w:t>égard de l</w:t>
      </w:r>
      <w:r>
        <w:rPr>
          <w:lang w:val="fr-FR"/>
        </w:rPr>
        <w:t>’</w:t>
      </w:r>
      <w:r w:rsidRPr="00E6433C">
        <w:rPr>
          <w:lang w:val="fr-FR"/>
        </w:rPr>
        <w:t>auteure et de sa fille</w:t>
      </w:r>
      <w:r w:rsidR="005C15DE">
        <w:rPr>
          <w:rStyle w:val="FootnoteReference"/>
        </w:rPr>
        <w:footnoteReference w:id="17"/>
      </w:r>
      <w:r w:rsidRPr="00E6433C">
        <w:rPr>
          <w:lang w:val="fr-FR"/>
        </w:rPr>
        <w:t>.</w:t>
      </w:r>
      <w:r w:rsidRPr="006E39C2">
        <w:rPr>
          <w:lang w:val="fr-FR"/>
        </w:rPr>
        <w:t xml:space="preserve"> </w:t>
      </w:r>
      <w:r w:rsidRPr="00E6433C">
        <w:rPr>
          <w:lang w:val="fr-FR"/>
        </w:rPr>
        <w:t>Étant parvenu à cette conclusion, il n</w:t>
      </w:r>
      <w:r>
        <w:rPr>
          <w:lang w:val="fr-FR"/>
        </w:rPr>
        <w:t>’</w:t>
      </w:r>
      <w:r w:rsidRPr="00E6433C">
        <w:rPr>
          <w:lang w:val="fr-FR"/>
        </w:rPr>
        <w:t xml:space="preserve">examinera pas les griefs de violation du </w:t>
      </w:r>
      <w:r w:rsidRPr="006E39C2">
        <w:rPr>
          <w:lang w:val="fr-FR"/>
        </w:rPr>
        <w:t>paragraphe</w:t>
      </w:r>
      <w:r>
        <w:rPr>
          <w:lang w:val="fr-FR"/>
        </w:rPr>
        <w:t> </w:t>
      </w:r>
      <w:r w:rsidRPr="006E39C2">
        <w:rPr>
          <w:lang w:val="fr-FR"/>
        </w:rPr>
        <w:t xml:space="preserve">1 </w:t>
      </w:r>
      <w:r w:rsidRPr="00E6433C">
        <w:rPr>
          <w:lang w:val="fr-FR"/>
        </w:rPr>
        <w:t>de</w:t>
      </w:r>
      <w:r w:rsidRPr="006E39C2">
        <w:rPr>
          <w:lang w:val="fr-FR"/>
        </w:rPr>
        <w:t xml:space="preserve"> l</w:t>
      </w:r>
      <w:r>
        <w:rPr>
          <w:lang w:val="fr-FR"/>
        </w:rPr>
        <w:t>’</w:t>
      </w:r>
      <w:r w:rsidRPr="006E39C2">
        <w:rPr>
          <w:lang w:val="fr-FR"/>
        </w:rPr>
        <w:t>article</w:t>
      </w:r>
      <w:r>
        <w:rPr>
          <w:lang w:val="fr-FR"/>
        </w:rPr>
        <w:t> </w:t>
      </w:r>
      <w:r w:rsidRPr="006E39C2">
        <w:rPr>
          <w:lang w:val="fr-FR"/>
        </w:rPr>
        <w:t>24 du Pacte à l</w:t>
      </w:r>
      <w:r>
        <w:rPr>
          <w:lang w:val="fr-FR"/>
        </w:rPr>
        <w:t>’</w:t>
      </w:r>
      <w:r w:rsidRPr="006E39C2">
        <w:rPr>
          <w:lang w:val="fr-FR"/>
        </w:rPr>
        <w:t>égard de C.</w:t>
      </w:r>
      <w:r w:rsidR="005C15DE">
        <w:rPr>
          <w:lang w:val="fr-FR"/>
        </w:rPr>
        <w:t> </w:t>
      </w:r>
      <w:r w:rsidRPr="006E39C2">
        <w:rPr>
          <w:lang w:val="fr-FR"/>
        </w:rPr>
        <w:t>T.</w:t>
      </w:r>
    </w:p>
    <w:p w:rsidR="00D856C9" w:rsidRPr="006E39C2" w:rsidRDefault="00D856C9" w:rsidP="00D856C9">
      <w:pPr>
        <w:pStyle w:val="SingleTxtG"/>
        <w:rPr>
          <w:lang w:val="fr-FR"/>
        </w:rPr>
      </w:pPr>
      <w:r>
        <w:rPr>
          <w:lang w:val="fr-FR"/>
        </w:rPr>
        <w:t>7.6</w:t>
      </w:r>
      <w:r w:rsidRPr="006E39C2">
        <w:rPr>
          <w:lang w:val="fr-FR"/>
        </w:rPr>
        <w:tab/>
      </w:r>
      <w:r>
        <w:rPr>
          <w:lang w:val="fr-FR"/>
        </w:rPr>
        <w:t>En ce qui concerne le grief de violation de l’article 9 du Pacte</w:t>
      </w:r>
      <w:r w:rsidRPr="006E39C2">
        <w:rPr>
          <w:lang w:val="fr-FR"/>
        </w:rPr>
        <w:t xml:space="preserve">, </w:t>
      </w:r>
      <w:r>
        <w:rPr>
          <w:lang w:val="fr-FR"/>
        </w:rPr>
        <w:t>le Comité prend note des allégations de l’auteure, selon qui</w:t>
      </w:r>
      <w:r w:rsidRPr="006E39C2">
        <w:rPr>
          <w:lang w:val="fr-FR"/>
        </w:rPr>
        <w:t xml:space="preserve"> le fait que son mari ait été vu en vie pour la dernière fois aux mains de l</w:t>
      </w:r>
      <w:r>
        <w:rPr>
          <w:lang w:val="fr-FR"/>
        </w:rPr>
        <w:t>’</w:t>
      </w:r>
      <w:r w:rsidRPr="006E39C2">
        <w:rPr>
          <w:lang w:val="fr-FR"/>
        </w:rPr>
        <w:t xml:space="preserve">Armée </w:t>
      </w:r>
      <w:r w:rsidRPr="006E39C2">
        <w:rPr>
          <w:spacing w:val="-2"/>
          <w:lang w:val="fr-FR"/>
        </w:rPr>
        <w:t xml:space="preserve">à la caserne de </w:t>
      </w:r>
      <w:proofErr w:type="spellStart"/>
      <w:r w:rsidRPr="006E39C2">
        <w:rPr>
          <w:spacing w:val="-2"/>
          <w:lang w:val="fr-FR"/>
        </w:rPr>
        <w:t>Maharajgunj</w:t>
      </w:r>
      <w:proofErr w:type="spellEnd"/>
      <w:r w:rsidRPr="006E39C2">
        <w:rPr>
          <w:spacing w:val="-2"/>
          <w:lang w:val="fr-FR"/>
        </w:rPr>
        <w:t>, ainsi que le contexte d</w:t>
      </w:r>
      <w:r>
        <w:rPr>
          <w:spacing w:val="-2"/>
          <w:lang w:val="fr-FR"/>
        </w:rPr>
        <w:t>’</w:t>
      </w:r>
      <w:r w:rsidRPr="006E39C2">
        <w:rPr>
          <w:spacing w:val="-2"/>
          <w:lang w:val="fr-FR"/>
        </w:rPr>
        <w:t>arrestations massives de personnes soupçonnées d</w:t>
      </w:r>
      <w:r>
        <w:rPr>
          <w:spacing w:val="-2"/>
          <w:lang w:val="fr-FR"/>
        </w:rPr>
        <w:t>’</w:t>
      </w:r>
      <w:r w:rsidRPr="006E39C2">
        <w:rPr>
          <w:spacing w:val="-2"/>
          <w:lang w:val="fr-FR"/>
        </w:rPr>
        <w:t xml:space="preserve">être </w:t>
      </w:r>
      <w:r>
        <w:rPr>
          <w:lang w:val="fr-FR"/>
        </w:rPr>
        <w:t>maoïstes</w:t>
      </w:r>
      <w:r w:rsidRPr="006E39C2">
        <w:rPr>
          <w:spacing w:val="-2"/>
          <w:lang w:val="fr-FR"/>
        </w:rPr>
        <w:t>, permet de présumer que, le 26</w:t>
      </w:r>
      <w:r>
        <w:rPr>
          <w:spacing w:val="-2"/>
          <w:lang w:val="fr-FR"/>
        </w:rPr>
        <w:t> </w:t>
      </w:r>
      <w:r w:rsidRPr="006E39C2">
        <w:rPr>
          <w:spacing w:val="-2"/>
          <w:lang w:val="fr-FR"/>
        </w:rPr>
        <w:t>septembre 2003, l</w:t>
      </w:r>
      <w:r>
        <w:rPr>
          <w:spacing w:val="-2"/>
          <w:lang w:val="fr-FR"/>
        </w:rPr>
        <w:t>’</w:t>
      </w:r>
      <w:r w:rsidRPr="006E39C2">
        <w:rPr>
          <w:spacing w:val="-2"/>
          <w:lang w:val="fr-FR"/>
        </w:rPr>
        <w:t>intéressé a été arrêté sans mandat, qu</w:t>
      </w:r>
      <w:r>
        <w:rPr>
          <w:spacing w:val="-2"/>
          <w:lang w:val="fr-FR"/>
        </w:rPr>
        <w:t>’</w:t>
      </w:r>
      <w:r w:rsidRPr="006E39C2">
        <w:rPr>
          <w:spacing w:val="-2"/>
          <w:lang w:val="fr-FR"/>
        </w:rPr>
        <w:t xml:space="preserve">il a été détenu au secret à la caserne de </w:t>
      </w:r>
      <w:proofErr w:type="spellStart"/>
      <w:r w:rsidRPr="006E39C2">
        <w:rPr>
          <w:spacing w:val="-2"/>
          <w:lang w:val="fr-FR"/>
        </w:rPr>
        <w:t>Maharajgunj</w:t>
      </w:r>
      <w:proofErr w:type="spellEnd"/>
      <w:r w:rsidRPr="006E39C2">
        <w:rPr>
          <w:spacing w:val="-2"/>
          <w:lang w:val="fr-FR"/>
        </w:rPr>
        <w:t xml:space="preserve"> et </w:t>
      </w:r>
      <w:r>
        <w:rPr>
          <w:lang w:val="fr-FR"/>
        </w:rPr>
        <w:t>qu’il n’a jamais été présenté à un juge ou à une autre autorité habilitée par la loi à exercer le pouvoir judiciaire ni n’a eu la possibilité d’engager une action devant un tribunal pour contester la légalité de sa détention</w:t>
      </w:r>
      <w:r w:rsidRPr="006E39C2">
        <w:rPr>
          <w:lang w:val="fr-FR"/>
        </w:rPr>
        <w:t>. À ce sujet, le Comité relève que l</w:t>
      </w:r>
      <w:r>
        <w:rPr>
          <w:lang w:val="fr-FR"/>
        </w:rPr>
        <w:t>’</w:t>
      </w:r>
      <w:r w:rsidRPr="006E39C2">
        <w:rPr>
          <w:lang w:val="fr-FR"/>
        </w:rPr>
        <w:t>État partie n</w:t>
      </w:r>
      <w:r>
        <w:rPr>
          <w:lang w:val="fr-FR"/>
        </w:rPr>
        <w:t>’</w:t>
      </w:r>
      <w:r w:rsidRPr="006E39C2">
        <w:rPr>
          <w:lang w:val="fr-FR"/>
        </w:rPr>
        <w:t xml:space="preserve">a pas réfuté les constatations faites par la </w:t>
      </w:r>
      <w:r>
        <w:rPr>
          <w:lang w:val="fr-FR"/>
        </w:rPr>
        <w:t xml:space="preserve">Commission nationale des droits de l’homme dans son rapport du </w:t>
      </w:r>
      <w:r w:rsidRPr="006E39C2">
        <w:rPr>
          <w:lang w:val="fr-FR"/>
        </w:rPr>
        <w:t>4</w:t>
      </w:r>
      <w:r>
        <w:rPr>
          <w:lang w:val="fr-FR"/>
        </w:rPr>
        <w:t> </w:t>
      </w:r>
      <w:r w:rsidRPr="006E39C2">
        <w:rPr>
          <w:lang w:val="fr-FR"/>
        </w:rPr>
        <w:t xml:space="preserve">juillet 2006. </w:t>
      </w:r>
      <w:r w:rsidRPr="00E6433C">
        <w:rPr>
          <w:lang w:val="fr-FR"/>
        </w:rPr>
        <w:t>En l</w:t>
      </w:r>
      <w:r>
        <w:rPr>
          <w:lang w:val="fr-FR"/>
        </w:rPr>
        <w:t>’</w:t>
      </w:r>
      <w:r w:rsidRPr="00E6433C">
        <w:rPr>
          <w:lang w:val="fr-FR"/>
        </w:rPr>
        <w:t>absence d</w:t>
      </w:r>
      <w:r>
        <w:rPr>
          <w:lang w:val="fr-FR"/>
        </w:rPr>
        <w:t>’</w:t>
      </w:r>
      <w:r w:rsidRPr="00E6433C">
        <w:rPr>
          <w:lang w:val="fr-FR"/>
        </w:rPr>
        <w:t>explication pertinente de l</w:t>
      </w:r>
      <w:r>
        <w:rPr>
          <w:lang w:val="fr-FR"/>
        </w:rPr>
        <w:t>’</w:t>
      </w:r>
      <w:r w:rsidRPr="00E6433C">
        <w:rPr>
          <w:lang w:val="fr-FR"/>
        </w:rPr>
        <w:t>État partie, le Comité considère que les faits décrits sont constitutifs d</w:t>
      </w:r>
      <w:r>
        <w:rPr>
          <w:lang w:val="fr-FR"/>
        </w:rPr>
        <w:t>’</w:t>
      </w:r>
      <w:r w:rsidRPr="00E6433C">
        <w:rPr>
          <w:lang w:val="fr-FR"/>
        </w:rPr>
        <w:t>une violation de l</w:t>
      </w:r>
      <w:r>
        <w:rPr>
          <w:lang w:val="fr-FR"/>
        </w:rPr>
        <w:t>’</w:t>
      </w:r>
      <w:r w:rsidRPr="00E6433C">
        <w:rPr>
          <w:lang w:val="fr-FR"/>
        </w:rPr>
        <w:t>article</w:t>
      </w:r>
      <w:r>
        <w:rPr>
          <w:lang w:val="fr-FR"/>
        </w:rPr>
        <w:t> </w:t>
      </w:r>
      <w:r w:rsidRPr="00E6433C">
        <w:rPr>
          <w:lang w:val="fr-FR"/>
        </w:rPr>
        <w:t>9 du Pacte</w:t>
      </w:r>
      <w:r w:rsidRPr="006E39C2">
        <w:rPr>
          <w:lang w:val="fr-FR"/>
        </w:rPr>
        <w:t>.</w:t>
      </w:r>
    </w:p>
    <w:p w:rsidR="00D856C9" w:rsidRPr="006E39C2" w:rsidRDefault="00D856C9" w:rsidP="00D856C9">
      <w:pPr>
        <w:pStyle w:val="SingleTxtG"/>
        <w:rPr>
          <w:lang w:val="fr-FR"/>
        </w:rPr>
      </w:pPr>
      <w:r>
        <w:rPr>
          <w:lang w:val="fr-FR"/>
        </w:rPr>
        <w:t>7.7</w:t>
      </w:r>
      <w:r w:rsidRPr="006E39C2">
        <w:rPr>
          <w:lang w:val="fr-FR"/>
        </w:rPr>
        <w:tab/>
      </w:r>
      <w:r w:rsidRPr="006A2E71">
        <w:rPr>
          <w:lang w:val="fr-FR"/>
        </w:rPr>
        <w:t>Pour ce qui est de l</w:t>
      </w:r>
      <w:r>
        <w:rPr>
          <w:lang w:val="fr-FR"/>
        </w:rPr>
        <w:t>’</w:t>
      </w:r>
      <w:r w:rsidRPr="006A2E71">
        <w:rPr>
          <w:lang w:val="fr-FR"/>
        </w:rPr>
        <w:t>article 16 du Pacte, le Comité rappelle sa jurisprudence constante et réaffirme que le fait de soustraire intentionnellement une personne à la protection de la loi pour une période prolongée peut constituer un refus de reconnaissance de sa personnalité juridique si la victime était entre les mains des autorités de l</w:t>
      </w:r>
      <w:r>
        <w:rPr>
          <w:lang w:val="fr-FR"/>
        </w:rPr>
        <w:t>’</w:t>
      </w:r>
      <w:r w:rsidRPr="006A2E71">
        <w:rPr>
          <w:lang w:val="fr-FR"/>
        </w:rPr>
        <w:t xml:space="preserve">État </w:t>
      </w:r>
      <w:r w:rsidRPr="00473F32">
        <w:rPr>
          <w:spacing w:val="-2"/>
          <w:lang w:val="fr-FR"/>
        </w:rPr>
        <w:t>quand elle a été vue pour la dernière fois et si, en même temps, il a été fait systématiquement obstacle aux efforts</w:t>
      </w:r>
      <w:r w:rsidRPr="006E39C2">
        <w:rPr>
          <w:lang w:val="fr-FR"/>
        </w:rPr>
        <w:t xml:space="preserve"> déployés par ses proches </w:t>
      </w:r>
      <w:r w:rsidRPr="00473F32">
        <w:rPr>
          <w:spacing w:val="-2"/>
          <w:lang w:val="fr-FR"/>
        </w:rPr>
        <w:t>pour avoir accès à des recours potentiellement utiles, y</w:t>
      </w:r>
      <w:r>
        <w:rPr>
          <w:spacing w:val="-2"/>
          <w:lang w:val="fr-FR"/>
        </w:rPr>
        <w:t> </w:t>
      </w:r>
      <w:r w:rsidRPr="00473F32">
        <w:rPr>
          <w:spacing w:val="-2"/>
          <w:lang w:val="fr-FR"/>
        </w:rPr>
        <w:t>compris de nature juridictionnelle (voir art. 2, par. 3, du Pacte)</w:t>
      </w:r>
      <w:r w:rsidR="005C15DE">
        <w:rPr>
          <w:rStyle w:val="FootnoteReference"/>
          <w:spacing w:val="-2"/>
        </w:rPr>
        <w:footnoteReference w:id="18"/>
      </w:r>
      <w:r w:rsidRPr="00473F32">
        <w:rPr>
          <w:spacing w:val="-2"/>
          <w:lang w:val="fr-FR"/>
        </w:rPr>
        <w:t>.</w:t>
      </w:r>
      <w:r w:rsidRPr="00B81E59">
        <w:rPr>
          <w:lang w:val="fr-FR"/>
        </w:rPr>
        <w:t xml:space="preserve"> </w:t>
      </w:r>
      <w:r w:rsidRPr="006A2E71">
        <w:rPr>
          <w:lang w:val="fr-FR"/>
        </w:rPr>
        <w:t>En l</w:t>
      </w:r>
      <w:r>
        <w:rPr>
          <w:lang w:val="fr-FR"/>
        </w:rPr>
        <w:t>’</w:t>
      </w:r>
      <w:r w:rsidRPr="006A2E71">
        <w:rPr>
          <w:lang w:val="fr-FR"/>
        </w:rPr>
        <w:t>espèce, l</w:t>
      </w:r>
      <w:r>
        <w:rPr>
          <w:lang w:val="fr-FR"/>
        </w:rPr>
        <w:t>’</w:t>
      </w:r>
      <w:r w:rsidRPr="006A2E71">
        <w:rPr>
          <w:lang w:val="fr-FR"/>
        </w:rPr>
        <w:t>auteure fait valoir que malgré les efforts faits par la famille de M.</w:t>
      </w:r>
      <w:r>
        <w:rPr>
          <w:lang w:val="fr-FR"/>
        </w:rPr>
        <w:t> </w:t>
      </w:r>
      <w:proofErr w:type="spellStart"/>
      <w:r w:rsidRPr="006A2E71">
        <w:rPr>
          <w:lang w:val="fr-FR"/>
        </w:rPr>
        <w:t>Tripathi</w:t>
      </w:r>
      <w:proofErr w:type="spellEnd"/>
      <w:r w:rsidRPr="006A2E71">
        <w:rPr>
          <w:lang w:val="fr-FR"/>
        </w:rPr>
        <w:t>, l</w:t>
      </w:r>
      <w:r>
        <w:rPr>
          <w:lang w:val="fr-FR"/>
        </w:rPr>
        <w:t>’</w:t>
      </w:r>
      <w:r w:rsidRPr="006A2E71">
        <w:rPr>
          <w:lang w:val="fr-FR"/>
        </w:rPr>
        <w:t>État partie n</w:t>
      </w:r>
      <w:r>
        <w:rPr>
          <w:lang w:val="fr-FR"/>
        </w:rPr>
        <w:t>’</w:t>
      </w:r>
      <w:r w:rsidRPr="006A2E71">
        <w:rPr>
          <w:lang w:val="fr-FR"/>
        </w:rPr>
        <w:t>a donné à celle-ci</w:t>
      </w:r>
      <w:r w:rsidRPr="006E39C2">
        <w:rPr>
          <w:lang w:val="fr-FR"/>
        </w:rPr>
        <w:t xml:space="preserve"> </w:t>
      </w:r>
      <w:r w:rsidRPr="006A2E71">
        <w:rPr>
          <w:lang w:val="fr-FR"/>
        </w:rPr>
        <w:t>aucune information pertinente sur le sort de l</w:t>
      </w:r>
      <w:r>
        <w:rPr>
          <w:lang w:val="fr-FR"/>
        </w:rPr>
        <w:t>’</w:t>
      </w:r>
      <w:r w:rsidRPr="006A2E71">
        <w:rPr>
          <w:lang w:val="fr-FR"/>
        </w:rPr>
        <w:t xml:space="preserve">intéressé et le lieu où il se trouvait et que, </w:t>
      </w:r>
      <w:r w:rsidRPr="006E39C2">
        <w:rPr>
          <w:lang w:val="fr-FR"/>
        </w:rPr>
        <w:t xml:space="preserve">malgré les recommandations de la </w:t>
      </w:r>
      <w:r w:rsidRPr="00473F32">
        <w:rPr>
          <w:spacing w:val="-2"/>
          <w:lang w:val="fr-FR"/>
        </w:rPr>
        <w:t>Commission nationale des droits de l</w:t>
      </w:r>
      <w:r>
        <w:rPr>
          <w:spacing w:val="-2"/>
          <w:lang w:val="fr-FR"/>
        </w:rPr>
        <w:t>’</w:t>
      </w:r>
      <w:r w:rsidRPr="00473F32">
        <w:rPr>
          <w:spacing w:val="-2"/>
          <w:lang w:val="fr-FR"/>
        </w:rPr>
        <w:t xml:space="preserve">homme </w:t>
      </w:r>
      <w:r w:rsidRPr="006E39C2">
        <w:rPr>
          <w:lang w:val="fr-FR"/>
        </w:rPr>
        <w:t>et l</w:t>
      </w:r>
      <w:r>
        <w:rPr>
          <w:lang w:val="fr-FR"/>
        </w:rPr>
        <w:t>’</w:t>
      </w:r>
      <w:r w:rsidRPr="006E39C2">
        <w:rPr>
          <w:lang w:val="fr-FR"/>
        </w:rPr>
        <w:t>arrêt rendu par la Cour suprême le 1</w:t>
      </w:r>
      <w:r w:rsidRPr="00E6433C">
        <w:rPr>
          <w:vertAlign w:val="superscript"/>
          <w:lang w:val="fr-FR"/>
        </w:rPr>
        <w:t>er</w:t>
      </w:r>
      <w:r>
        <w:rPr>
          <w:lang w:val="fr-FR"/>
        </w:rPr>
        <w:t> </w:t>
      </w:r>
      <w:r w:rsidRPr="006E39C2">
        <w:rPr>
          <w:lang w:val="fr-FR"/>
        </w:rPr>
        <w:t xml:space="preserve">juin 2007, </w:t>
      </w:r>
      <w:r w:rsidRPr="00E6433C">
        <w:rPr>
          <w:lang w:val="fr-FR"/>
        </w:rPr>
        <w:t>aucune enquête efficace n</w:t>
      </w:r>
      <w:r>
        <w:rPr>
          <w:lang w:val="fr-FR"/>
        </w:rPr>
        <w:t>’</w:t>
      </w:r>
      <w:r w:rsidRPr="00E6433C">
        <w:rPr>
          <w:lang w:val="fr-FR"/>
        </w:rPr>
        <w:t>a été menée pour déterminer où il se trouvait, ce qui l</w:t>
      </w:r>
      <w:r>
        <w:rPr>
          <w:lang w:val="fr-FR"/>
        </w:rPr>
        <w:t>’</w:t>
      </w:r>
      <w:r w:rsidRPr="00E6433C">
        <w:rPr>
          <w:lang w:val="fr-FR"/>
        </w:rPr>
        <w:t>a soustrait à la protection de la loi depuis septembre</w:t>
      </w:r>
      <w:r>
        <w:rPr>
          <w:lang w:val="fr-FR"/>
        </w:rPr>
        <w:t> </w:t>
      </w:r>
      <w:r w:rsidRPr="00E6433C">
        <w:rPr>
          <w:lang w:val="fr-FR"/>
        </w:rPr>
        <w:t>2003.</w:t>
      </w:r>
      <w:r>
        <w:rPr>
          <w:lang w:val="fr-FR"/>
        </w:rPr>
        <w:t xml:space="preserve"> </w:t>
      </w:r>
      <w:r w:rsidRPr="006A2E71">
        <w:rPr>
          <w:lang w:val="fr-FR"/>
        </w:rPr>
        <w:t xml:space="preserve">Le Comité estime donc que la disparition forcée </w:t>
      </w:r>
      <w:r w:rsidRPr="006E39C2">
        <w:rPr>
          <w:lang w:val="fr-FR"/>
        </w:rPr>
        <w:t>de M.</w:t>
      </w:r>
      <w:r>
        <w:rPr>
          <w:lang w:val="fr-FR"/>
        </w:rPr>
        <w:t> </w:t>
      </w:r>
      <w:proofErr w:type="spellStart"/>
      <w:r w:rsidRPr="006E39C2">
        <w:rPr>
          <w:lang w:val="fr-FR"/>
        </w:rPr>
        <w:t>Tripathi</w:t>
      </w:r>
      <w:proofErr w:type="spellEnd"/>
      <w:r w:rsidRPr="006E39C2">
        <w:rPr>
          <w:lang w:val="fr-FR"/>
        </w:rPr>
        <w:t xml:space="preserve"> le prive de la protection de la loi et l</w:t>
      </w:r>
      <w:r>
        <w:rPr>
          <w:lang w:val="fr-FR"/>
        </w:rPr>
        <w:t>’</w:t>
      </w:r>
      <w:r w:rsidRPr="006E39C2">
        <w:rPr>
          <w:lang w:val="fr-FR"/>
        </w:rPr>
        <w:t xml:space="preserve">a privé de son droit à la </w:t>
      </w:r>
      <w:r w:rsidRPr="006A2E71">
        <w:rPr>
          <w:lang w:val="fr-FR"/>
        </w:rPr>
        <w:t>reconnaissance de sa personnalité juridique</w:t>
      </w:r>
      <w:r w:rsidRPr="006E39C2">
        <w:rPr>
          <w:lang w:val="fr-FR"/>
        </w:rPr>
        <w:t>, en violation de l</w:t>
      </w:r>
      <w:r>
        <w:rPr>
          <w:lang w:val="fr-FR"/>
        </w:rPr>
        <w:t>’</w:t>
      </w:r>
      <w:r w:rsidRPr="006E39C2">
        <w:rPr>
          <w:lang w:val="fr-FR"/>
        </w:rPr>
        <w:t>article</w:t>
      </w:r>
      <w:r>
        <w:rPr>
          <w:lang w:val="fr-FR"/>
        </w:rPr>
        <w:t> </w:t>
      </w:r>
      <w:r w:rsidRPr="006E39C2">
        <w:rPr>
          <w:lang w:val="fr-FR"/>
        </w:rPr>
        <w:t>16 du Pacte.</w:t>
      </w:r>
    </w:p>
    <w:p w:rsidR="00D856C9" w:rsidRPr="006E39C2" w:rsidRDefault="00D856C9" w:rsidP="00D856C9">
      <w:pPr>
        <w:pStyle w:val="SingleTxtG"/>
        <w:rPr>
          <w:lang w:val="fr-FR"/>
        </w:rPr>
      </w:pPr>
      <w:r>
        <w:rPr>
          <w:lang w:val="fr-FR"/>
        </w:rPr>
        <w:t>7.8</w:t>
      </w:r>
      <w:r w:rsidRPr="006E39C2">
        <w:rPr>
          <w:lang w:val="fr-FR"/>
        </w:rPr>
        <w:tab/>
      </w:r>
      <w:r w:rsidRPr="006A2E71">
        <w:rPr>
          <w:lang w:val="fr-FR"/>
        </w:rPr>
        <w:t>L</w:t>
      </w:r>
      <w:r>
        <w:rPr>
          <w:lang w:val="fr-FR"/>
        </w:rPr>
        <w:t>’</w:t>
      </w:r>
      <w:r w:rsidRPr="006A2E71">
        <w:rPr>
          <w:lang w:val="fr-FR"/>
        </w:rPr>
        <w:t>auteure invoque le paragraphe 3 de l</w:t>
      </w:r>
      <w:r>
        <w:rPr>
          <w:lang w:val="fr-FR"/>
        </w:rPr>
        <w:t>’</w:t>
      </w:r>
      <w:r w:rsidRPr="006A2E71">
        <w:rPr>
          <w:lang w:val="fr-FR"/>
        </w:rPr>
        <w:t>article 2 du Pacte, qui fait obligation aux</w:t>
      </w:r>
      <w:r>
        <w:rPr>
          <w:lang w:val="fr-FR"/>
        </w:rPr>
        <w:t> </w:t>
      </w:r>
      <w:r w:rsidRPr="006A2E71">
        <w:rPr>
          <w:lang w:val="fr-FR"/>
        </w:rPr>
        <w:t>États parties de garantir à chacun des recours accessibles, utiles et exécutoires permettant de faire valoir les droits garantis dans le Pacte.</w:t>
      </w:r>
      <w:r w:rsidRPr="006E39C2">
        <w:rPr>
          <w:lang w:val="fr-FR"/>
        </w:rPr>
        <w:t xml:space="preserve"> </w:t>
      </w:r>
      <w:r w:rsidRPr="006A2E71">
        <w:rPr>
          <w:lang w:val="fr-FR"/>
        </w:rPr>
        <w:t>Le Comité réaffirme l</w:t>
      </w:r>
      <w:r>
        <w:rPr>
          <w:lang w:val="fr-FR"/>
        </w:rPr>
        <w:t>’</w:t>
      </w:r>
      <w:r w:rsidRPr="006A2E71">
        <w:rPr>
          <w:lang w:val="fr-FR"/>
        </w:rPr>
        <w:t>importance qu</w:t>
      </w:r>
      <w:r>
        <w:rPr>
          <w:lang w:val="fr-FR"/>
        </w:rPr>
        <w:t>’</w:t>
      </w:r>
      <w:r w:rsidRPr="006A2E71">
        <w:rPr>
          <w:lang w:val="fr-FR"/>
        </w:rPr>
        <w:t xml:space="preserve">il attache à la mise en place par les États parties de mécanismes juridictionnels et administratifs appropriés pour examiner les allégations de violations de droits conformément au droit interne. </w:t>
      </w:r>
      <w:r w:rsidRPr="00473F32">
        <w:rPr>
          <w:spacing w:val="-2"/>
          <w:lang w:val="fr-FR"/>
        </w:rPr>
        <w:t>Il renvoie à son Observation générale n</w:t>
      </w:r>
      <w:r w:rsidRPr="00473F32">
        <w:rPr>
          <w:spacing w:val="-2"/>
          <w:vertAlign w:val="superscript"/>
          <w:lang w:val="fr-FR"/>
        </w:rPr>
        <w:t>o</w:t>
      </w:r>
      <w:r w:rsidRPr="00473F32">
        <w:rPr>
          <w:spacing w:val="-2"/>
          <w:lang w:val="fr-FR"/>
        </w:rPr>
        <w:t> 31 (2004) sur la nature de l</w:t>
      </w:r>
      <w:r>
        <w:rPr>
          <w:spacing w:val="-2"/>
          <w:lang w:val="fr-FR"/>
        </w:rPr>
        <w:t>’</w:t>
      </w:r>
      <w:r w:rsidRPr="00473F32">
        <w:rPr>
          <w:spacing w:val="-2"/>
          <w:lang w:val="fr-FR"/>
        </w:rPr>
        <w:t xml:space="preserve">obligation juridique générale imposée aux États parties au Pacte, dans laquelle il déclare que </w:t>
      </w:r>
      <w:r w:rsidRPr="00473F32">
        <w:rPr>
          <w:spacing w:val="-2"/>
        </w:rPr>
        <w:t>le fait pour un État partie de ne pas mener d</w:t>
      </w:r>
      <w:r>
        <w:rPr>
          <w:spacing w:val="-2"/>
        </w:rPr>
        <w:t>’</w:t>
      </w:r>
      <w:r w:rsidRPr="00473F32">
        <w:rPr>
          <w:spacing w:val="-2"/>
        </w:rPr>
        <w:t>enquête sur des violations présumées pourrait en soi donner lieu à une violation distincte du Pacte</w:t>
      </w:r>
      <w:r w:rsidRPr="006E39C2">
        <w:rPr>
          <w:lang w:val="fr-FR"/>
        </w:rPr>
        <w:t>.</w:t>
      </w:r>
      <w:r w:rsidRPr="006E39C2">
        <w:rPr>
          <w:spacing w:val="-2"/>
          <w:lang w:val="fr-FR"/>
        </w:rPr>
        <w:t xml:space="preserve"> </w:t>
      </w:r>
      <w:r w:rsidRPr="006A2E71">
        <w:rPr>
          <w:lang w:val="fr-FR"/>
        </w:rPr>
        <w:t>En l</w:t>
      </w:r>
      <w:r>
        <w:rPr>
          <w:lang w:val="fr-FR"/>
        </w:rPr>
        <w:t>’</w:t>
      </w:r>
      <w:r w:rsidRPr="006A2E71">
        <w:rPr>
          <w:lang w:val="fr-FR"/>
        </w:rPr>
        <w:t>espèce</w:t>
      </w:r>
      <w:r w:rsidRPr="006E39C2">
        <w:rPr>
          <w:lang w:val="fr-FR"/>
        </w:rPr>
        <w:t xml:space="preserve">, </w:t>
      </w:r>
      <w:r w:rsidRPr="00E6433C">
        <w:rPr>
          <w:lang w:val="fr-FR"/>
        </w:rPr>
        <w:t>le</w:t>
      </w:r>
      <w:r>
        <w:rPr>
          <w:lang w:val="fr-FR"/>
        </w:rPr>
        <w:t> </w:t>
      </w:r>
      <w:r w:rsidRPr="00E6433C">
        <w:rPr>
          <w:lang w:val="fr-FR"/>
        </w:rPr>
        <w:t>Comité relève que, peu de temps après avoir perdu contact avec son mari, l</w:t>
      </w:r>
      <w:r>
        <w:rPr>
          <w:lang w:val="fr-FR"/>
        </w:rPr>
        <w:t>’</w:t>
      </w:r>
      <w:r w:rsidRPr="00E6433C">
        <w:rPr>
          <w:lang w:val="fr-FR"/>
        </w:rPr>
        <w:t>auteure s</w:t>
      </w:r>
      <w:r>
        <w:rPr>
          <w:lang w:val="fr-FR"/>
        </w:rPr>
        <w:t>’</w:t>
      </w:r>
      <w:r w:rsidRPr="00E6433C">
        <w:rPr>
          <w:lang w:val="fr-FR"/>
        </w:rPr>
        <w:t xml:space="preserve">est rendue dans plusieurs casernes à Katmandou, a tenté de signaler sa disparition au </w:t>
      </w:r>
      <w:r w:rsidRPr="006E39C2">
        <w:rPr>
          <w:lang w:val="fr-FR"/>
        </w:rPr>
        <w:t xml:space="preserve">chef du district </w:t>
      </w:r>
      <w:r w:rsidRPr="00E6433C">
        <w:rPr>
          <w:lang w:val="fr-FR"/>
        </w:rPr>
        <w:t xml:space="preserve">à </w:t>
      </w:r>
      <w:proofErr w:type="spellStart"/>
      <w:r w:rsidRPr="00E6433C">
        <w:rPr>
          <w:lang w:val="fr-FR"/>
        </w:rPr>
        <w:t>Hanumandhoka</w:t>
      </w:r>
      <w:proofErr w:type="spellEnd"/>
      <w:r w:rsidRPr="00E6433C">
        <w:rPr>
          <w:lang w:val="fr-FR"/>
        </w:rPr>
        <w:t xml:space="preserve"> et a saisi la Cour suprême d</w:t>
      </w:r>
      <w:r>
        <w:rPr>
          <w:lang w:val="fr-FR"/>
        </w:rPr>
        <w:t>’</w:t>
      </w:r>
      <w:r w:rsidRPr="00E6433C">
        <w:rPr>
          <w:lang w:val="fr-FR"/>
        </w:rPr>
        <w:t xml:space="preserve">une requête en </w:t>
      </w:r>
      <w:r w:rsidRPr="00E6433C">
        <w:rPr>
          <w:i/>
          <w:lang w:val="fr-FR"/>
        </w:rPr>
        <w:t>habeas corpus</w:t>
      </w:r>
      <w:r w:rsidRPr="00E6433C">
        <w:rPr>
          <w:lang w:val="fr-FR"/>
        </w:rPr>
        <w:t>. Malgré les efforts faits par l</w:t>
      </w:r>
      <w:r>
        <w:rPr>
          <w:lang w:val="fr-FR"/>
        </w:rPr>
        <w:t>’</w:t>
      </w:r>
      <w:r w:rsidRPr="00E6433C">
        <w:rPr>
          <w:lang w:val="fr-FR"/>
        </w:rPr>
        <w:t xml:space="preserve">auteure, près de </w:t>
      </w:r>
      <w:r w:rsidR="004E3771">
        <w:rPr>
          <w:lang w:val="fr-FR"/>
        </w:rPr>
        <w:t>douze </w:t>
      </w:r>
      <w:r w:rsidRPr="00E6433C">
        <w:rPr>
          <w:lang w:val="fr-FR"/>
        </w:rPr>
        <w:t xml:space="preserve">ans après la disparition de son mari, aucune enquête approfondie </w:t>
      </w:r>
      <w:r w:rsidRPr="00473F32">
        <w:rPr>
          <w:spacing w:val="-2"/>
          <w:lang w:val="fr-FR"/>
        </w:rPr>
        <w:t>et efficace n</w:t>
      </w:r>
      <w:r>
        <w:rPr>
          <w:spacing w:val="-2"/>
          <w:lang w:val="fr-FR"/>
        </w:rPr>
        <w:t>’</w:t>
      </w:r>
      <w:r w:rsidRPr="00473F32">
        <w:rPr>
          <w:spacing w:val="-2"/>
          <w:lang w:val="fr-FR"/>
        </w:rPr>
        <w:t>a été menée à bien par l</w:t>
      </w:r>
      <w:r>
        <w:rPr>
          <w:spacing w:val="-2"/>
          <w:lang w:val="fr-FR"/>
        </w:rPr>
        <w:t>’</w:t>
      </w:r>
      <w:r w:rsidRPr="00473F32">
        <w:rPr>
          <w:spacing w:val="-2"/>
          <w:lang w:val="fr-FR"/>
        </w:rPr>
        <w:t>État partie en vue d</w:t>
      </w:r>
      <w:r>
        <w:rPr>
          <w:spacing w:val="-2"/>
          <w:lang w:val="fr-FR"/>
        </w:rPr>
        <w:t>’</w:t>
      </w:r>
      <w:r w:rsidRPr="00473F32">
        <w:rPr>
          <w:spacing w:val="-2"/>
          <w:lang w:val="fr-FR"/>
        </w:rPr>
        <w:t xml:space="preserve">élucider les circonstances entourant sa détention et </w:t>
      </w:r>
      <w:r w:rsidRPr="00E6433C">
        <w:rPr>
          <w:lang w:val="fr-FR"/>
        </w:rPr>
        <w:t>aucune enquête pénale n</w:t>
      </w:r>
      <w:r>
        <w:rPr>
          <w:lang w:val="fr-FR"/>
        </w:rPr>
        <w:t>’</w:t>
      </w:r>
      <w:r w:rsidRPr="00E6433C">
        <w:rPr>
          <w:lang w:val="fr-FR"/>
        </w:rPr>
        <w:t xml:space="preserve">a même été ouverte en vue </w:t>
      </w:r>
      <w:r w:rsidRPr="00473F32">
        <w:rPr>
          <w:spacing w:val="-2"/>
          <w:lang w:val="fr-FR"/>
        </w:rPr>
        <w:t>de traduire en justice les auteurs de ces faits</w:t>
      </w:r>
      <w:r w:rsidRPr="00E6433C">
        <w:rPr>
          <w:lang w:val="fr-FR"/>
        </w:rPr>
        <w:t xml:space="preserve">. </w:t>
      </w:r>
      <w:r w:rsidRPr="00473F32">
        <w:rPr>
          <w:spacing w:val="-2"/>
          <w:lang w:val="fr-FR"/>
        </w:rPr>
        <w:t>En conséquence</w:t>
      </w:r>
      <w:r w:rsidRPr="00E6433C">
        <w:rPr>
          <w:lang w:val="fr-FR"/>
        </w:rPr>
        <w:t>, le Comité considère que l</w:t>
      </w:r>
      <w:r>
        <w:rPr>
          <w:lang w:val="fr-FR"/>
        </w:rPr>
        <w:t>’</w:t>
      </w:r>
      <w:r w:rsidRPr="00E6433C">
        <w:rPr>
          <w:lang w:val="fr-FR"/>
        </w:rPr>
        <w:t>État partie n</w:t>
      </w:r>
      <w:r>
        <w:rPr>
          <w:lang w:val="fr-FR"/>
        </w:rPr>
        <w:t>’</w:t>
      </w:r>
      <w:r w:rsidRPr="00E6433C">
        <w:rPr>
          <w:lang w:val="fr-FR"/>
        </w:rPr>
        <w:t xml:space="preserve">a pas procédé à une enquête approfondie et </w:t>
      </w:r>
      <w:r w:rsidRPr="00473F32">
        <w:rPr>
          <w:spacing w:val="-2"/>
          <w:lang w:val="fr-FR"/>
        </w:rPr>
        <w:t xml:space="preserve">efficace </w:t>
      </w:r>
      <w:r w:rsidRPr="00E6433C">
        <w:rPr>
          <w:lang w:val="fr-FR"/>
        </w:rPr>
        <w:t>sur la disparition du mari de l</w:t>
      </w:r>
      <w:r>
        <w:rPr>
          <w:lang w:val="fr-FR"/>
        </w:rPr>
        <w:t>’</w:t>
      </w:r>
      <w:r w:rsidRPr="00E6433C">
        <w:rPr>
          <w:lang w:val="fr-FR"/>
        </w:rPr>
        <w:t>auteure. De plus, la somme de 300 000</w:t>
      </w:r>
      <w:r>
        <w:rPr>
          <w:lang w:val="fr-FR"/>
        </w:rPr>
        <w:t> </w:t>
      </w:r>
      <w:r w:rsidRPr="00E6433C">
        <w:rPr>
          <w:lang w:val="fr-FR"/>
        </w:rPr>
        <w:t>roupies népalaises reçue par l</w:t>
      </w:r>
      <w:r>
        <w:rPr>
          <w:lang w:val="fr-FR"/>
        </w:rPr>
        <w:t>’</w:t>
      </w:r>
      <w:r w:rsidRPr="00E6433C">
        <w:rPr>
          <w:lang w:val="fr-FR"/>
        </w:rPr>
        <w:t xml:space="preserve">auteure </w:t>
      </w:r>
      <w:r w:rsidRPr="00473F32">
        <w:rPr>
          <w:spacing w:val="-2"/>
          <w:lang w:val="fr-FR"/>
        </w:rPr>
        <w:t>à titre d</w:t>
      </w:r>
      <w:r>
        <w:rPr>
          <w:spacing w:val="-2"/>
          <w:lang w:val="fr-FR"/>
        </w:rPr>
        <w:t>’</w:t>
      </w:r>
      <w:r w:rsidRPr="00473F32">
        <w:rPr>
          <w:spacing w:val="-2"/>
          <w:lang w:val="fr-FR"/>
        </w:rPr>
        <w:t>indemnisation provisoire ne constitue pas une réparation appropriée proportionnée à la gravité des violations infligées</w:t>
      </w:r>
      <w:r w:rsidRPr="00E6433C">
        <w:rPr>
          <w:lang w:val="fr-FR"/>
        </w:rPr>
        <w:t>. En conséquence, le Comité conclut que les faits dont il est saisi font aussi apparaître une violation du paragraphe</w:t>
      </w:r>
      <w:r>
        <w:rPr>
          <w:lang w:val="fr-FR"/>
        </w:rPr>
        <w:t> </w:t>
      </w:r>
      <w:r w:rsidRPr="00E6433C">
        <w:rPr>
          <w:lang w:val="fr-FR"/>
        </w:rPr>
        <w:t>3 de l</w:t>
      </w:r>
      <w:r>
        <w:rPr>
          <w:lang w:val="fr-FR"/>
        </w:rPr>
        <w:t>’</w:t>
      </w:r>
      <w:r w:rsidRPr="00E6433C">
        <w:rPr>
          <w:lang w:val="fr-FR"/>
        </w:rPr>
        <w:t>article</w:t>
      </w:r>
      <w:r>
        <w:rPr>
          <w:lang w:val="fr-FR"/>
        </w:rPr>
        <w:t> </w:t>
      </w:r>
      <w:r w:rsidRPr="00E6433C">
        <w:rPr>
          <w:lang w:val="fr-FR"/>
        </w:rPr>
        <w:t>2, lu conjointement avec le paragraphe</w:t>
      </w:r>
      <w:r>
        <w:rPr>
          <w:lang w:val="fr-FR"/>
        </w:rPr>
        <w:t> </w:t>
      </w:r>
      <w:r w:rsidRPr="00E6433C">
        <w:rPr>
          <w:lang w:val="fr-FR"/>
        </w:rPr>
        <w:t>1 de l</w:t>
      </w:r>
      <w:r>
        <w:rPr>
          <w:lang w:val="fr-FR"/>
        </w:rPr>
        <w:t>’</w:t>
      </w:r>
      <w:r w:rsidRPr="00E6433C">
        <w:rPr>
          <w:lang w:val="fr-FR"/>
        </w:rPr>
        <w:t>article</w:t>
      </w:r>
      <w:r>
        <w:rPr>
          <w:lang w:val="fr-FR"/>
        </w:rPr>
        <w:t> </w:t>
      </w:r>
      <w:r w:rsidRPr="00E6433C">
        <w:rPr>
          <w:lang w:val="fr-FR"/>
        </w:rPr>
        <w:t>6, et des articles</w:t>
      </w:r>
      <w:r>
        <w:rPr>
          <w:lang w:val="fr-FR"/>
        </w:rPr>
        <w:t> </w:t>
      </w:r>
      <w:r w:rsidRPr="00E6433C">
        <w:rPr>
          <w:lang w:val="fr-FR"/>
        </w:rPr>
        <w:t>7, 9 et 16 du Pacte, à l</w:t>
      </w:r>
      <w:r>
        <w:rPr>
          <w:lang w:val="fr-FR"/>
        </w:rPr>
        <w:t>’</w:t>
      </w:r>
      <w:r w:rsidRPr="00E6433C">
        <w:rPr>
          <w:lang w:val="fr-FR"/>
        </w:rPr>
        <w:t>égard de M.</w:t>
      </w:r>
      <w:r>
        <w:rPr>
          <w:lang w:val="fr-FR"/>
        </w:rPr>
        <w:t> </w:t>
      </w:r>
      <w:proofErr w:type="spellStart"/>
      <w:r w:rsidRPr="00E6433C">
        <w:rPr>
          <w:lang w:val="fr-FR"/>
        </w:rPr>
        <w:t>Tripathi</w:t>
      </w:r>
      <w:proofErr w:type="spellEnd"/>
      <w:r w:rsidRPr="00E6433C">
        <w:rPr>
          <w:lang w:val="fr-FR"/>
        </w:rPr>
        <w:t>, ainsi que du paragraphe</w:t>
      </w:r>
      <w:r>
        <w:rPr>
          <w:lang w:val="fr-FR"/>
        </w:rPr>
        <w:t> </w:t>
      </w:r>
      <w:r w:rsidRPr="00E6433C">
        <w:rPr>
          <w:lang w:val="fr-FR"/>
        </w:rPr>
        <w:t>3 de l</w:t>
      </w:r>
      <w:r>
        <w:rPr>
          <w:lang w:val="fr-FR"/>
        </w:rPr>
        <w:t>’</w:t>
      </w:r>
      <w:r w:rsidRPr="00E6433C">
        <w:rPr>
          <w:lang w:val="fr-FR"/>
        </w:rPr>
        <w:t>article</w:t>
      </w:r>
      <w:r>
        <w:rPr>
          <w:lang w:val="fr-FR"/>
        </w:rPr>
        <w:t> </w:t>
      </w:r>
      <w:r w:rsidRPr="00E6433C">
        <w:rPr>
          <w:lang w:val="fr-FR"/>
        </w:rPr>
        <w:t>2 lu conjointement avec l</w:t>
      </w:r>
      <w:r>
        <w:rPr>
          <w:lang w:val="fr-FR"/>
        </w:rPr>
        <w:t>’</w:t>
      </w:r>
      <w:r w:rsidRPr="00E6433C">
        <w:rPr>
          <w:lang w:val="fr-FR"/>
        </w:rPr>
        <w:t>article</w:t>
      </w:r>
      <w:r>
        <w:rPr>
          <w:lang w:val="fr-FR"/>
        </w:rPr>
        <w:t> </w:t>
      </w:r>
      <w:r w:rsidRPr="00E6433C">
        <w:rPr>
          <w:lang w:val="fr-FR"/>
        </w:rPr>
        <w:t>7 du Pacte, à l</w:t>
      </w:r>
      <w:r>
        <w:rPr>
          <w:lang w:val="fr-FR"/>
        </w:rPr>
        <w:t>’</w:t>
      </w:r>
      <w:r w:rsidRPr="00E6433C">
        <w:rPr>
          <w:lang w:val="fr-FR"/>
        </w:rPr>
        <w:t>égard de l</w:t>
      </w:r>
      <w:r>
        <w:rPr>
          <w:lang w:val="fr-FR"/>
        </w:rPr>
        <w:t>’</w:t>
      </w:r>
      <w:r w:rsidRPr="00E6433C">
        <w:rPr>
          <w:lang w:val="fr-FR"/>
        </w:rPr>
        <w:t>auteure et de C.</w:t>
      </w:r>
      <w:r w:rsidRPr="00E6433C" w:rsidDel="009742D9">
        <w:rPr>
          <w:lang w:val="fr-FR"/>
        </w:rPr>
        <w:t xml:space="preserve"> </w:t>
      </w:r>
      <w:r w:rsidRPr="00E6433C">
        <w:rPr>
          <w:lang w:val="fr-FR"/>
        </w:rPr>
        <w:t>T.</w:t>
      </w:r>
    </w:p>
    <w:p w:rsidR="00D856C9" w:rsidRPr="006E39C2" w:rsidRDefault="00D856C9" w:rsidP="00D856C9">
      <w:pPr>
        <w:pStyle w:val="SingleTxtG"/>
        <w:rPr>
          <w:spacing w:val="-2"/>
          <w:lang w:val="fr-FR"/>
        </w:rPr>
      </w:pPr>
      <w:r w:rsidRPr="006E39C2">
        <w:rPr>
          <w:lang w:val="fr-FR"/>
        </w:rPr>
        <w:t>8.</w:t>
      </w:r>
      <w:r w:rsidRPr="006E39C2">
        <w:rPr>
          <w:lang w:val="fr-FR"/>
        </w:rPr>
        <w:tab/>
      </w:r>
      <w:r>
        <w:rPr>
          <w:lang w:val="fr-FR"/>
        </w:rPr>
        <w:t>L</w:t>
      </w:r>
      <w:r w:rsidRPr="00CC7027">
        <w:rPr>
          <w:lang w:val="fr-FR"/>
        </w:rPr>
        <w:t>e</w:t>
      </w:r>
      <w:r>
        <w:rPr>
          <w:lang w:val="fr-FR"/>
        </w:rPr>
        <w:t xml:space="preserve"> Comité des droits de l’homme, agissant en vertu du paragraphe 4 de l’article 5</w:t>
      </w:r>
      <w:r w:rsidRPr="00CC7027">
        <w:rPr>
          <w:lang w:val="fr-FR"/>
        </w:rPr>
        <w:t xml:space="preserve"> </w:t>
      </w:r>
      <w:r>
        <w:rPr>
          <w:lang w:val="fr-FR"/>
        </w:rPr>
        <w:t>du Protocole facultatif se rapportant au Pacte international relatif aux droits civils et politiques</w:t>
      </w:r>
      <w:r w:rsidRPr="00CC7027">
        <w:rPr>
          <w:lang w:val="fr-FR"/>
        </w:rPr>
        <w:t>,</w:t>
      </w:r>
      <w:r>
        <w:rPr>
          <w:lang w:val="fr-FR"/>
        </w:rPr>
        <w:t xml:space="preserve"> constate que les faits dont il est saisi font apparaître des violations par l’État partie de </w:t>
      </w:r>
      <w:r w:rsidRPr="00E6433C">
        <w:rPr>
          <w:lang w:val="fr-FR"/>
        </w:rPr>
        <w:t>l</w:t>
      </w:r>
      <w:r>
        <w:rPr>
          <w:lang w:val="fr-FR"/>
        </w:rPr>
        <w:t>’</w:t>
      </w:r>
      <w:r w:rsidRPr="00E6433C">
        <w:rPr>
          <w:lang w:val="fr-FR"/>
        </w:rPr>
        <w:t>article</w:t>
      </w:r>
      <w:r>
        <w:rPr>
          <w:lang w:val="fr-FR"/>
        </w:rPr>
        <w:t> </w:t>
      </w:r>
      <w:r w:rsidRPr="00E6433C">
        <w:rPr>
          <w:lang w:val="fr-FR"/>
        </w:rPr>
        <w:t>6, paragraphe</w:t>
      </w:r>
      <w:r>
        <w:rPr>
          <w:lang w:val="fr-FR"/>
        </w:rPr>
        <w:t> </w:t>
      </w:r>
      <w:r w:rsidRPr="00E6433C">
        <w:rPr>
          <w:lang w:val="fr-FR"/>
        </w:rPr>
        <w:t xml:space="preserve">1, </w:t>
      </w:r>
      <w:r>
        <w:rPr>
          <w:lang w:val="fr-FR"/>
        </w:rPr>
        <w:t>des articles </w:t>
      </w:r>
      <w:r w:rsidRPr="006E39C2">
        <w:rPr>
          <w:lang w:val="fr-FR"/>
        </w:rPr>
        <w:t>7, 9</w:t>
      </w:r>
      <w:r w:rsidDel="00BE30B0">
        <w:rPr>
          <w:lang w:val="fr-FR"/>
        </w:rPr>
        <w:t xml:space="preserve"> </w:t>
      </w:r>
      <w:r w:rsidRPr="006E39C2" w:rsidDel="00BE30B0">
        <w:rPr>
          <w:lang w:val="fr-FR"/>
        </w:rPr>
        <w:t>et</w:t>
      </w:r>
      <w:r w:rsidRPr="006E39C2">
        <w:rPr>
          <w:lang w:val="fr-FR"/>
        </w:rPr>
        <w:t xml:space="preserve"> 16 du Pacte, et </w:t>
      </w:r>
      <w:r w:rsidRPr="00E6433C">
        <w:rPr>
          <w:lang w:val="fr-FR"/>
        </w:rPr>
        <w:t>de l</w:t>
      </w:r>
      <w:r>
        <w:rPr>
          <w:lang w:val="fr-FR"/>
        </w:rPr>
        <w:t>’</w:t>
      </w:r>
      <w:r w:rsidRPr="00E6433C">
        <w:rPr>
          <w:lang w:val="fr-FR"/>
        </w:rPr>
        <w:t>article</w:t>
      </w:r>
      <w:r>
        <w:rPr>
          <w:lang w:val="fr-FR"/>
        </w:rPr>
        <w:t> </w:t>
      </w:r>
      <w:r w:rsidRPr="00E6433C">
        <w:rPr>
          <w:lang w:val="fr-FR"/>
        </w:rPr>
        <w:t>2, paragraphe</w:t>
      </w:r>
      <w:r>
        <w:rPr>
          <w:lang w:val="fr-FR"/>
        </w:rPr>
        <w:t> </w:t>
      </w:r>
      <w:r w:rsidRPr="00E6433C">
        <w:rPr>
          <w:lang w:val="fr-FR"/>
        </w:rPr>
        <w:t>3, lu conjointement avec l</w:t>
      </w:r>
      <w:r>
        <w:rPr>
          <w:lang w:val="fr-FR"/>
        </w:rPr>
        <w:t>’</w:t>
      </w:r>
      <w:r w:rsidRPr="00E6433C">
        <w:rPr>
          <w:lang w:val="fr-FR"/>
        </w:rPr>
        <w:t>article</w:t>
      </w:r>
      <w:r>
        <w:rPr>
          <w:lang w:val="fr-FR"/>
        </w:rPr>
        <w:t> </w:t>
      </w:r>
      <w:r w:rsidRPr="00E6433C">
        <w:rPr>
          <w:lang w:val="fr-FR"/>
        </w:rPr>
        <w:t>6, paragraphe</w:t>
      </w:r>
      <w:r>
        <w:rPr>
          <w:lang w:val="fr-FR"/>
        </w:rPr>
        <w:t> </w:t>
      </w:r>
      <w:r w:rsidRPr="00E6433C">
        <w:rPr>
          <w:lang w:val="fr-FR"/>
        </w:rPr>
        <w:t>1, et les articles</w:t>
      </w:r>
      <w:r>
        <w:rPr>
          <w:lang w:val="fr-FR"/>
        </w:rPr>
        <w:t> </w:t>
      </w:r>
      <w:r w:rsidRPr="00E6433C">
        <w:rPr>
          <w:lang w:val="fr-FR"/>
        </w:rPr>
        <w:t xml:space="preserve">7, </w:t>
      </w:r>
      <w:r w:rsidRPr="006E39C2">
        <w:rPr>
          <w:lang w:val="fr-FR"/>
        </w:rPr>
        <w:t xml:space="preserve">9 et 16 du Pacte, </w:t>
      </w:r>
      <w:r>
        <w:rPr>
          <w:lang w:val="fr-FR"/>
        </w:rPr>
        <w:t xml:space="preserve">à l’égard de </w:t>
      </w:r>
      <w:proofErr w:type="spellStart"/>
      <w:r w:rsidRPr="006E39C2">
        <w:rPr>
          <w:lang w:val="fr-FR"/>
        </w:rPr>
        <w:t>Gyanendra</w:t>
      </w:r>
      <w:proofErr w:type="spellEnd"/>
      <w:r>
        <w:rPr>
          <w:lang w:val="fr-FR"/>
        </w:rPr>
        <w:t> </w:t>
      </w:r>
      <w:proofErr w:type="spellStart"/>
      <w:r w:rsidRPr="006E39C2">
        <w:rPr>
          <w:lang w:val="fr-FR"/>
        </w:rPr>
        <w:t>Tripathi</w:t>
      </w:r>
      <w:proofErr w:type="spellEnd"/>
      <w:r w:rsidRPr="006E39C2">
        <w:rPr>
          <w:lang w:val="fr-FR"/>
        </w:rPr>
        <w:t>, ainsi que des articles</w:t>
      </w:r>
      <w:r>
        <w:rPr>
          <w:lang w:val="fr-FR"/>
        </w:rPr>
        <w:t> </w:t>
      </w:r>
      <w:r w:rsidRPr="006E39C2">
        <w:rPr>
          <w:lang w:val="fr-FR"/>
        </w:rPr>
        <w:t xml:space="preserve">7 et 2, </w:t>
      </w:r>
      <w:r w:rsidRPr="00E6433C">
        <w:rPr>
          <w:lang w:val="fr-FR"/>
        </w:rPr>
        <w:t>paragraphe</w:t>
      </w:r>
      <w:r>
        <w:rPr>
          <w:lang w:val="fr-FR"/>
        </w:rPr>
        <w:t> </w:t>
      </w:r>
      <w:r w:rsidRPr="00E6433C">
        <w:rPr>
          <w:lang w:val="fr-FR"/>
        </w:rPr>
        <w:t>3, lu conjointement avec l</w:t>
      </w:r>
      <w:r>
        <w:rPr>
          <w:lang w:val="fr-FR"/>
        </w:rPr>
        <w:t>’</w:t>
      </w:r>
      <w:r w:rsidRPr="00E6433C">
        <w:rPr>
          <w:lang w:val="fr-FR"/>
        </w:rPr>
        <w:t>article</w:t>
      </w:r>
      <w:r>
        <w:rPr>
          <w:lang w:val="fr-FR"/>
        </w:rPr>
        <w:t> </w:t>
      </w:r>
      <w:r w:rsidRPr="00E6433C">
        <w:rPr>
          <w:lang w:val="fr-FR"/>
        </w:rPr>
        <w:t>7</w:t>
      </w:r>
      <w:r w:rsidRPr="006E39C2">
        <w:rPr>
          <w:lang w:val="fr-FR"/>
        </w:rPr>
        <w:t>, à l</w:t>
      </w:r>
      <w:r>
        <w:rPr>
          <w:lang w:val="fr-FR"/>
        </w:rPr>
        <w:t>’</w:t>
      </w:r>
      <w:r w:rsidRPr="006E39C2">
        <w:rPr>
          <w:lang w:val="fr-FR"/>
        </w:rPr>
        <w:t>égard de l</w:t>
      </w:r>
      <w:r>
        <w:rPr>
          <w:lang w:val="fr-FR"/>
        </w:rPr>
        <w:t>’</w:t>
      </w:r>
      <w:r w:rsidRPr="006E39C2">
        <w:rPr>
          <w:lang w:val="fr-FR"/>
        </w:rPr>
        <w:t>auteure et de C.</w:t>
      </w:r>
      <w:r w:rsidRPr="006E39C2" w:rsidDel="009742D9">
        <w:rPr>
          <w:lang w:val="fr-FR"/>
        </w:rPr>
        <w:t xml:space="preserve"> </w:t>
      </w:r>
      <w:r w:rsidRPr="006E39C2">
        <w:rPr>
          <w:lang w:val="fr-FR"/>
        </w:rPr>
        <w:t>T.</w:t>
      </w:r>
    </w:p>
    <w:p w:rsidR="00D856C9" w:rsidRPr="006E39C2" w:rsidRDefault="00D856C9" w:rsidP="00D856C9">
      <w:pPr>
        <w:pStyle w:val="SingleTxtG"/>
        <w:rPr>
          <w:lang w:val="fr-FR"/>
        </w:rPr>
      </w:pPr>
      <w:r w:rsidRPr="006E39C2">
        <w:rPr>
          <w:lang w:val="fr-FR"/>
        </w:rPr>
        <w:t>9.</w:t>
      </w:r>
      <w:r w:rsidRPr="006E39C2">
        <w:rPr>
          <w:lang w:val="fr-FR"/>
        </w:rPr>
        <w:tab/>
      </w:r>
      <w:r>
        <w:rPr>
          <w:lang w:val="fr-FR"/>
        </w:rPr>
        <w:t>Conformément au paragraphe 3 de l’article 2 du Pacte, l’État partie est tenu de garantir à l’auteure un recours utile et</w:t>
      </w:r>
      <w:r w:rsidRPr="00125E13">
        <w:rPr>
          <w:lang w:val="fr-FR"/>
        </w:rPr>
        <w:t xml:space="preserve"> </w:t>
      </w:r>
      <w:r>
        <w:rPr>
          <w:lang w:val="fr-FR"/>
        </w:rPr>
        <w:t xml:space="preserve">notamment: </w:t>
      </w:r>
      <w:r w:rsidRPr="00125E13">
        <w:rPr>
          <w:lang w:val="fr-FR"/>
        </w:rPr>
        <w:t>a)</w:t>
      </w:r>
      <w:r>
        <w:rPr>
          <w:lang w:val="fr-FR"/>
        </w:rPr>
        <w:t xml:space="preserve"> de mener une enquête approfondie et efficace sur les circonstances entourant la détention de </w:t>
      </w:r>
      <w:r w:rsidRPr="006E39C2">
        <w:rPr>
          <w:lang w:val="fr-FR"/>
        </w:rPr>
        <w:t>M.</w:t>
      </w:r>
      <w:r w:rsidR="005C15DE">
        <w:rPr>
          <w:lang w:val="fr-FR"/>
        </w:rPr>
        <w:t> </w:t>
      </w:r>
      <w:proofErr w:type="spellStart"/>
      <w:r w:rsidRPr="006E39C2">
        <w:rPr>
          <w:lang w:val="fr-FR"/>
        </w:rPr>
        <w:t>Tripathi</w:t>
      </w:r>
      <w:proofErr w:type="spellEnd"/>
      <w:r w:rsidRPr="006E39C2">
        <w:rPr>
          <w:lang w:val="fr-FR"/>
        </w:rPr>
        <w:t xml:space="preserve"> et </w:t>
      </w:r>
      <w:r>
        <w:rPr>
          <w:lang w:val="fr-FR"/>
        </w:rPr>
        <w:t xml:space="preserve">le traitement auquel il a été soumis à la caserne de </w:t>
      </w:r>
      <w:proofErr w:type="spellStart"/>
      <w:r w:rsidRPr="006E39C2">
        <w:rPr>
          <w:lang w:val="fr-FR"/>
        </w:rPr>
        <w:t>Maharajgunj</w:t>
      </w:r>
      <w:proofErr w:type="spellEnd"/>
      <w:r w:rsidRPr="006E39C2">
        <w:rPr>
          <w:lang w:val="fr-FR"/>
        </w:rPr>
        <w:t>, et de donner à l</w:t>
      </w:r>
      <w:r>
        <w:rPr>
          <w:lang w:val="fr-FR"/>
        </w:rPr>
        <w:t>’</w:t>
      </w:r>
      <w:r w:rsidRPr="006E39C2">
        <w:rPr>
          <w:lang w:val="fr-FR"/>
        </w:rPr>
        <w:t>auteure des informations détaillées quant aux résultats de cette enquête; b)</w:t>
      </w:r>
      <w:r>
        <w:rPr>
          <w:lang w:val="fr-FR"/>
        </w:rPr>
        <w:t> </w:t>
      </w:r>
      <w:r w:rsidRPr="006E39C2">
        <w:rPr>
          <w:lang w:val="fr-FR"/>
        </w:rPr>
        <w:t>de remettre M.</w:t>
      </w:r>
      <w:r w:rsidR="005C15DE">
        <w:rPr>
          <w:lang w:val="fr-FR"/>
        </w:rPr>
        <w:t> </w:t>
      </w:r>
      <w:proofErr w:type="spellStart"/>
      <w:r w:rsidRPr="006E39C2">
        <w:rPr>
          <w:lang w:val="fr-FR"/>
        </w:rPr>
        <w:t>Tripathi</w:t>
      </w:r>
      <w:proofErr w:type="spellEnd"/>
      <w:r w:rsidRPr="006E39C2">
        <w:rPr>
          <w:lang w:val="fr-FR"/>
        </w:rPr>
        <w:t xml:space="preserve"> en liberté s</w:t>
      </w:r>
      <w:r>
        <w:rPr>
          <w:lang w:val="fr-FR"/>
        </w:rPr>
        <w:t>’</w:t>
      </w:r>
      <w:r w:rsidRPr="006E39C2">
        <w:rPr>
          <w:lang w:val="fr-FR"/>
        </w:rPr>
        <w:t>il est encore en vie; c)</w:t>
      </w:r>
      <w:r w:rsidR="005C15DE">
        <w:rPr>
          <w:lang w:val="fr-FR"/>
        </w:rPr>
        <w:t> </w:t>
      </w:r>
      <w:r w:rsidRPr="00E6433C">
        <w:rPr>
          <w:lang w:val="fr-FR"/>
        </w:rPr>
        <w:t>dans le cas où M.</w:t>
      </w:r>
      <w:r w:rsidR="005C15DE">
        <w:rPr>
          <w:lang w:val="fr-FR"/>
        </w:rPr>
        <w:t> </w:t>
      </w:r>
      <w:proofErr w:type="spellStart"/>
      <w:r w:rsidRPr="00E6433C">
        <w:rPr>
          <w:lang w:val="fr-FR"/>
        </w:rPr>
        <w:t>Tripathi</w:t>
      </w:r>
      <w:proofErr w:type="spellEnd"/>
      <w:r w:rsidRPr="00E6433C">
        <w:rPr>
          <w:lang w:val="fr-FR"/>
        </w:rPr>
        <w:t xml:space="preserve"> serait décédé, de remettre son corps à sa famille</w:t>
      </w:r>
      <w:r w:rsidRPr="006E39C2">
        <w:rPr>
          <w:lang w:val="fr-FR"/>
        </w:rPr>
        <w:t>; d)</w:t>
      </w:r>
      <w:r>
        <w:rPr>
          <w:lang w:val="fr-FR"/>
        </w:rPr>
        <w:t> de poursuivre, de juger et de punir les responsables des violations commises</w:t>
      </w:r>
      <w:r w:rsidRPr="006E39C2">
        <w:rPr>
          <w:lang w:val="fr-FR"/>
        </w:rPr>
        <w:t>; e)</w:t>
      </w:r>
      <w:r>
        <w:rPr>
          <w:lang w:val="fr-FR"/>
        </w:rPr>
        <w:t xml:space="preserve"> d’indemniser de manière appropriée l’auteure et sa fille ainsi que </w:t>
      </w:r>
      <w:r w:rsidRPr="00E6433C">
        <w:rPr>
          <w:lang w:val="fr-FR"/>
        </w:rPr>
        <w:t>M.</w:t>
      </w:r>
      <w:r w:rsidR="005C15DE">
        <w:rPr>
          <w:lang w:val="fr-FR"/>
        </w:rPr>
        <w:t> </w:t>
      </w:r>
      <w:proofErr w:type="spellStart"/>
      <w:r w:rsidRPr="00E6433C">
        <w:rPr>
          <w:lang w:val="fr-FR"/>
        </w:rPr>
        <w:t>Tripathi</w:t>
      </w:r>
      <w:proofErr w:type="spellEnd"/>
      <w:r w:rsidRPr="00E6433C">
        <w:rPr>
          <w:lang w:val="fr-FR"/>
        </w:rPr>
        <w:t>, s</w:t>
      </w:r>
      <w:r>
        <w:rPr>
          <w:lang w:val="fr-FR"/>
        </w:rPr>
        <w:t>’</w:t>
      </w:r>
      <w:r w:rsidRPr="00E6433C">
        <w:rPr>
          <w:lang w:val="fr-FR"/>
        </w:rPr>
        <w:t xml:space="preserve">il est encore en vie, </w:t>
      </w:r>
      <w:r>
        <w:rPr>
          <w:lang w:val="fr-FR"/>
        </w:rPr>
        <w:t>pour les violations subies</w:t>
      </w:r>
      <w:r w:rsidRPr="006E39C2">
        <w:rPr>
          <w:lang w:val="fr-FR"/>
        </w:rPr>
        <w:t>; f)</w:t>
      </w:r>
      <w:r>
        <w:rPr>
          <w:lang w:val="fr-FR"/>
        </w:rPr>
        <w:t xml:space="preserve"> de veiller à ce que l’auteure et sa fille bénéficient des mesures de réadaptation psychologique et </w:t>
      </w:r>
      <w:r w:rsidDel="00FF7FDA">
        <w:rPr>
          <w:lang w:val="fr-FR"/>
        </w:rPr>
        <w:t>du</w:t>
      </w:r>
      <w:r>
        <w:rPr>
          <w:lang w:val="fr-FR"/>
        </w:rPr>
        <w:t xml:space="preserve"> traitement médical nécessaires, et que ceux-ci répondent à leurs besoins</w:t>
      </w:r>
      <w:r w:rsidRPr="006E39C2">
        <w:rPr>
          <w:lang w:val="fr-FR" w:eastAsia="en-GB"/>
        </w:rPr>
        <w:t>; g)</w:t>
      </w:r>
      <w:r>
        <w:rPr>
          <w:lang w:val="fr-FR" w:eastAsia="en-GB"/>
        </w:rPr>
        <w:t> </w:t>
      </w:r>
      <w:r>
        <w:rPr>
          <w:lang w:val="fr-FR"/>
        </w:rPr>
        <w:t xml:space="preserve">de </w:t>
      </w:r>
      <w:r>
        <w:rPr>
          <w:lang w:val="fr-FR" w:eastAsia="en-GB"/>
        </w:rPr>
        <w:t>prendre les mesures de satisfaction appropriées</w:t>
      </w:r>
      <w:r w:rsidRPr="006E39C2">
        <w:rPr>
          <w:lang w:val="fr-FR"/>
        </w:rPr>
        <w:t xml:space="preserve">. </w:t>
      </w:r>
      <w:r>
        <w:rPr>
          <w:lang w:val="fr-FR" w:eastAsia="en-GB"/>
        </w:rPr>
        <w:t xml:space="preserve">L’État partie est aussi tenu de prendre des mesures pour empêcher que de telles violations se reproduisent. À ce sujet, il devrait veiller à ce que </w:t>
      </w:r>
      <w:r>
        <w:rPr>
          <w:lang w:val="fr-FR"/>
        </w:rPr>
        <w:t>sa législation permette de poursuivre les faits qui constituent des violations du Pacte</w:t>
      </w:r>
      <w:r w:rsidRPr="006E39C2">
        <w:rPr>
          <w:lang w:val="fr-FR"/>
        </w:rPr>
        <w:t>.</w:t>
      </w:r>
      <w:r w:rsidR="0008415B">
        <w:rPr>
          <w:lang w:val="fr-FR"/>
        </w:rPr>
        <w:t xml:space="preserve"> </w:t>
      </w:r>
    </w:p>
    <w:p w:rsidR="00351332" w:rsidRDefault="00D856C9" w:rsidP="00D856C9">
      <w:pPr>
        <w:pStyle w:val="SingleTxtG"/>
        <w:rPr>
          <w:lang w:val="fr-FR"/>
        </w:rPr>
      </w:pPr>
      <w:r w:rsidRPr="006E39C2">
        <w:rPr>
          <w:lang w:val="fr-FR"/>
        </w:rPr>
        <w:t>10.</w:t>
      </w:r>
      <w:r w:rsidRPr="006E39C2">
        <w:rPr>
          <w:lang w:val="fr-FR"/>
        </w:rPr>
        <w:tab/>
        <w:t>Étant donné qu</w:t>
      </w:r>
      <w:r>
        <w:rPr>
          <w:lang w:val="fr-FR"/>
        </w:rPr>
        <w:t>’</w:t>
      </w:r>
      <w:r w:rsidRPr="006E39C2">
        <w:rPr>
          <w:lang w:val="fr-FR"/>
        </w:rPr>
        <w:t>en adhérant au Protocole facultatif, l</w:t>
      </w:r>
      <w:r>
        <w:rPr>
          <w:lang w:val="fr-FR"/>
        </w:rPr>
        <w:t>’</w:t>
      </w:r>
      <w:r w:rsidRPr="006E39C2">
        <w:rPr>
          <w:lang w:val="fr-FR"/>
        </w:rPr>
        <w:t>État partie a reconnu que le</w:t>
      </w:r>
      <w:r>
        <w:rPr>
          <w:lang w:val="fr-FR"/>
        </w:rPr>
        <w:t> </w:t>
      </w:r>
      <w:r w:rsidRPr="006E39C2">
        <w:rPr>
          <w:lang w:val="fr-FR"/>
        </w:rPr>
        <w:t>Comité a compétence pour déterminer s</w:t>
      </w:r>
      <w:r>
        <w:rPr>
          <w:lang w:val="fr-FR"/>
        </w:rPr>
        <w:t>’</w:t>
      </w:r>
      <w:r w:rsidRPr="006E39C2">
        <w:rPr>
          <w:lang w:val="fr-FR"/>
        </w:rPr>
        <w:t>il y a ou non violation du Pacte et que, conformément à l</w:t>
      </w:r>
      <w:r>
        <w:rPr>
          <w:lang w:val="fr-FR"/>
        </w:rPr>
        <w:t>’</w:t>
      </w:r>
      <w:r w:rsidRPr="006E39C2">
        <w:rPr>
          <w:lang w:val="fr-FR"/>
        </w:rPr>
        <w:t>article</w:t>
      </w:r>
      <w:r>
        <w:rPr>
          <w:lang w:val="fr-FR"/>
        </w:rPr>
        <w:t> </w:t>
      </w:r>
      <w:r w:rsidRPr="006E39C2">
        <w:rPr>
          <w:lang w:val="fr-FR"/>
        </w:rPr>
        <w:t>2 du Pacte, il s</w:t>
      </w:r>
      <w:r>
        <w:rPr>
          <w:lang w:val="fr-FR"/>
        </w:rPr>
        <w:t>’</w:t>
      </w:r>
      <w:r w:rsidRPr="006E39C2">
        <w:rPr>
          <w:lang w:val="fr-FR"/>
        </w:rPr>
        <w:t>est engagé à garantir à tous les individus se trouvant sur son territoire et relevant de sa juridiction les droits reconnus dans le Pacte et à assurer un recours utile et exécutoire lorsqu</w:t>
      </w:r>
      <w:r>
        <w:rPr>
          <w:lang w:val="fr-FR"/>
        </w:rPr>
        <w:t>’</w:t>
      </w:r>
      <w:r w:rsidRPr="006E39C2">
        <w:rPr>
          <w:lang w:val="fr-FR"/>
        </w:rPr>
        <w:t>une violation a été établie, le Comité souhaite recevoir de l</w:t>
      </w:r>
      <w:r>
        <w:rPr>
          <w:lang w:val="fr-FR"/>
        </w:rPr>
        <w:t>’</w:t>
      </w:r>
      <w:r w:rsidRPr="006E39C2">
        <w:rPr>
          <w:lang w:val="fr-FR"/>
        </w:rPr>
        <w:t xml:space="preserve">État partie, dans un délai de </w:t>
      </w:r>
      <w:r w:rsidR="004E3771">
        <w:rPr>
          <w:lang w:val="fr-FR"/>
        </w:rPr>
        <w:t>cent quatre-vingts</w:t>
      </w:r>
      <w:r>
        <w:rPr>
          <w:lang w:val="fr-FR"/>
        </w:rPr>
        <w:t> </w:t>
      </w:r>
      <w:r w:rsidRPr="006E39C2">
        <w:rPr>
          <w:lang w:val="fr-FR"/>
        </w:rPr>
        <w:t>jours, des renseignements sur les mesures prises pour donner effet aux présentes constatations. L</w:t>
      </w:r>
      <w:r>
        <w:rPr>
          <w:lang w:val="fr-FR"/>
        </w:rPr>
        <w:t>’</w:t>
      </w:r>
      <w:r w:rsidRPr="006E39C2">
        <w:rPr>
          <w:lang w:val="fr-FR"/>
        </w:rPr>
        <w:t>État partie est invité en outre à rendre celles-ci publiques et à les diffuser largement dans les langues officielles du pays.</w:t>
      </w:r>
      <w:r w:rsidR="005C15DE">
        <w:rPr>
          <w:lang w:val="fr-FR"/>
        </w:rPr>
        <w:t xml:space="preserve"> </w:t>
      </w:r>
    </w:p>
    <w:p w:rsidR="00D856C9" w:rsidRPr="00D856C9" w:rsidRDefault="00D856C9" w:rsidP="00D856C9">
      <w:pPr>
        <w:pStyle w:val="SingleTxtG"/>
        <w:spacing w:before="240" w:after="0"/>
        <w:jc w:val="center"/>
        <w:rPr>
          <w:rStyle w:val="Astrisque10pt"/>
          <w:u w:val="single"/>
        </w:rPr>
      </w:pPr>
      <w:r>
        <w:rPr>
          <w:rStyle w:val="Astrisque10pt"/>
          <w:u w:val="single"/>
        </w:rPr>
        <w:tab/>
      </w:r>
      <w:r>
        <w:rPr>
          <w:rStyle w:val="Astrisque10pt"/>
          <w:u w:val="single"/>
        </w:rPr>
        <w:tab/>
      </w:r>
      <w:r>
        <w:rPr>
          <w:rStyle w:val="Astrisque10pt"/>
          <w:u w:val="single"/>
        </w:rPr>
        <w:tab/>
      </w:r>
    </w:p>
    <w:sectPr w:rsidR="00D856C9" w:rsidRPr="00D856C9" w:rsidSect="00107AB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7C" w:rsidRDefault="004A1C7C" w:rsidP="00F95C08">
      <w:pPr>
        <w:spacing w:line="240" w:lineRule="auto"/>
      </w:pPr>
    </w:p>
  </w:endnote>
  <w:endnote w:type="continuationSeparator" w:id="0">
    <w:p w:rsidR="004A1C7C" w:rsidRPr="00AC3823" w:rsidRDefault="004A1C7C" w:rsidP="00AC3823">
      <w:pPr>
        <w:pStyle w:val="Footer"/>
      </w:pPr>
    </w:p>
  </w:endnote>
  <w:endnote w:type="continuationNotice" w:id="1">
    <w:p w:rsidR="004A1C7C" w:rsidRDefault="004A1C7C">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C9" w:rsidRPr="00107ABC" w:rsidRDefault="00D856C9" w:rsidP="00107ABC">
    <w:pPr>
      <w:pStyle w:val="Footer"/>
      <w:tabs>
        <w:tab w:val="right" w:pos="9638"/>
      </w:tabs>
    </w:pPr>
    <w:r w:rsidRPr="00107ABC">
      <w:rPr>
        <w:b/>
        <w:sz w:val="18"/>
      </w:rPr>
      <w:fldChar w:fldCharType="begin"/>
    </w:r>
    <w:r w:rsidRPr="00107ABC">
      <w:rPr>
        <w:b/>
        <w:sz w:val="18"/>
      </w:rPr>
      <w:instrText xml:space="preserve"> PAGE  \* MERGEFORMAT </w:instrText>
    </w:r>
    <w:r w:rsidRPr="00107ABC">
      <w:rPr>
        <w:b/>
        <w:sz w:val="18"/>
      </w:rPr>
      <w:fldChar w:fldCharType="separate"/>
    </w:r>
    <w:r w:rsidR="00086394">
      <w:rPr>
        <w:b/>
        <w:noProof/>
        <w:sz w:val="18"/>
      </w:rPr>
      <w:t>14</w:t>
    </w:r>
    <w:r w:rsidRPr="00107ABC">
      <w:rPr>
        <w:b/>
        <w:sz w:val="18"/>
      </w:rPr>
      <w:fldChar w:fldCharType="end"/>
    </w:r>
    <w:r>
      <w:rPr>
        <w:b/>
        <w:sz w:val="18"/>
      </w:rPr>
      <w:tab/>
    </w:r>
    <w:r>
      <w:t>GE.14-22822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C9" w:rsidRPr="00107ABC" w:rsidRDefault="00D856C9" w:rsidP="00107ABC">
    <w:pPr>
      <w:pStyle w:val="Footer"/>
      <w:tabs>
        <w:tab w:val="right" w:pos="9638"/>
      </w:tabs>
      <w:rPr>
        <w:b/>
        <w:sz w:val="18"/>
      </w:rPr>
    </w:pPr>
    <w:r>
      <w:t>GE.14-22822</w:t>
    </w:r>
    <w:r>
      <w:tab/>
    </w:r>
    <w:r w:rsidRPr="00107ABC">
      <w:rPr>
        <w:b/>
        <w:sz w:val="18"/>
      </w:rPr>
      <w:fldChar w:fldCharType="begin"/>
    </w:r>
    <w:r w:rsidRPr="00107ABC">
      <w:rPr>
        <w:b/>
        <w:sz w:val="18"/>
      </w:rPr>
      <w:instrText xml:space="preserve"> PAGE  \* MERGEFORMAT </w:instrText>
    </w:r>
    <w:r w:rsidRPr="00107ABC">
      <w:rPr>
        <w:b/>
        <w:sz w:val="18"/>
      </w:rPr>
      <w:fldChar w:fldCharType="separate"/>
    </w:r>
    <w:r w:rsidR="00086394">
      <w:rPr>
        <w:b/>
        <w:noProof/>
        <w:sz w:val="18"/>
      </w:rPr>
      <w:t>13</w:t>
    </w:r>
    <w:r w:rsidRPr="00107AB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C9" w:rsidRPr="00107ABC" w:rsidRDefault="00D856C9" w:rsidP="00107ABC">
    <w:pPr>
      <w:pStyle w:val="Footer"/>
      <w:spacing w:before="120"/>
      <w:rPr>
        <w:sz w:val="20"/>
      </w:rPr>
    </w:pPr>
    <w:r>
      <w:rPr>
        <w:sz w:val="20"/>
      </w:rPr>
      <w:t>GE.</w:t>
    </w:r>
    <w:r w:rsidR="006747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50" type="#_x0000_t75" alt="recycle_French" style="position:absolute;margin-left:340.15pt;margin-top:651.95pt;width:87pt;height:18.45pt;z-index:1;visibility:visible;mso-position-horizontal-relative:margin;mso-position-vertical-relative:margin" o:allowoverlap="f">
          <v:imagedata r:id="rId1" o:title="recycle_French"/>
          <w10:wrap anchorx="margin" anchory="margin"/>
        </v:shape>
      </w:pict>
    </w:r>
    <w:r>
      <w:rPr>
        <w:sz w:val="20"/>
      </w:rPr>
      <w:t>14-22822  (F)    181214    181214</w:t>
    </w:r>
    <w:r>
      <w:rPr>
        <w:sz w:val="20"/>
      </w:rPr>
      <w:br/>
    </w:r>
    <w:r w:rsidRPr="00107ABC">
      <w:rPr>
        <w:rFonts w:ascii="C39T30Lfz" w:hAnsi="C39T30Lfz"/>
        <w:sz w:val="56"/>
      </w:rPr>
      <w:t></w:t>
    </w:r>
    <w:r w:rsidRPr="00107ABC">
      <w:rPr>
        <w:rFonts w:ascii="C39T30Lfz" w:hAnsi="C39T30Lfz"/>
        <w:sz w:val="56"/>
      </w:rPr>
      <w:t></w:t>
    </w:r>
    <w:r w:rsidRPr="00107ABC">
      <w:rPr>
        <w:rFonts w:ascii="C39T30Lfz" w:hAnsi="C39T30Lfz"/>
        <w:sz w:val="56"/>
      </w:rPr>
      <w:t></w:t>
    </w:r>
    <w:r w:rsidRPr="00107ABC">
      <w:rPr>
        <w:rFonts w:ascii="C39T30Lfz" w:hAnsi="C39T30Lfz"/>
        <w:sz w:val="56"/>
      </w:rPr>
      <w:t></w:t>
    </w:r>
    <w:r w:rsidRPr="00107ABC">
      <w:rPr>
        <w:rFonts w:ascii="C39T30Lfz" w:hAnsi="C39T30Lfz"/>
        <w:sz w:val="56"/>
      </w:rPr>
      <w:t></w:t>
    </w:r>
    <w:r w:rsidRPr="00107ABC">
      <w:rPr>
        <w:rFonts w:ascii="C39T30Lfz" w:hAnsi="C39T30Lfz"/>
        <w:sz w:val="56"/>
      </w:rPr>
      <w:t></w:t>
    </w:r>
    <w:r w:rsidRPr="00107ABC">
      <w:rPr>
        <w:rFonts w:ascii="C39T30Lfz" w:hAnsi="C39T30Lfz"/>
        <w:sz w:val="56"/>
      </w:rPr>
      <w:t></w:t>
    </w:r>
    <w:r w:rsidRPr="00107ABC">
      <w:rPr>
        <w:rFonts w:ascii="C39T30Lfz" w:hAnsi="C39T30Lfz"/>
        <w:sz w:val="56"/>
      </w:rPr>
      <w:t></w:t>
    </w:r>
    <w:r w:rsidRPr="00107ABC">
      <w:rPr>
        <w:rFonts w:ascii="C39T30Lfz" w:hAnsi="C39T30Lfz"/>
        <w:sz w:val="56"/>
      </w:rPr>
      <w:t></w:t>
    </w:r>
    <w:r w:rsidR="006747C9">
      <w:rPr>
        <w:noProof/>
      </w:rPr>
      <w:pict>
        <v:shape id="Image 1" o:spid="_x0000_s2049" type="#_x0000_t75" alt="http://undocs.org/m2/QRCode.ashx?DS=CCPR/C/112/D/2111/2011&amp;Size=2&amp;Lang=F" style="position:absolute;margin-left:432.25pt;margin-top:632.1pt;width:50.25pt;height:50.25pt;z-index:2;visibility:visible;mso-position-horizontal-relative:margin;mso-position-vertical-relative:margin">
          <v:imagedata r:id="rId2" o:title="201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7C" w:rsidRPr="00AC3823" w:rsidRDefault="004A1C7C" w:rsidP="00AC3823">
      <w:pPr>
        <w:pStyle w:val="Footer"/>
        <w:tabs>
          <w:tab w:val="right" w:pos="2155"/>
        </w:tabs>
        <w:spacing w:after="80" w:line="240" w:lineRule="atLeast"/>
        <w:ind w:left="680"/>
        <w:rPr>
          <w:u w:val="single"/>
        </w:rPr>
      </w:pPr>
      <w:r>
        <w:rPr>
          <w:u w:val="single"/>
        </w:rPr>
        <w:tab/>
      </w:r>
    </w:p>
  </w:footnote>
  <w:footnote w:type="continuationSeparator" w:id="0">
    <w:p w:rsidR="004A1C7C" w:rsidRPr="00AC3823" w:rsidRDefault="004A1C7C" w:rsidP="00AC3823">
      <w:pPr>
        <w:pStyle w:val="Footer"/>
        <w:tabs>
          <w:tab w:val="right" w:pos="2155"/>
        </w:tabs>
        <w:spacing w:after="80" w:line="240" w:lineRule="atLeast"/>
        <w:ind w:left="680"/>
        <w:rPr>
          <w:u w:val="single"/>
        </w:rPr>
      </w:pPr>
      <w:r>
        <w:rPr>
          <w:u w:val="single"/>
        </w:rPr>
        <w:tab/>
      </w:r>
    </w:p>
  </w:footnote>
  <w:footnote w:type="continuationNotice" w:id="1">
    <w:p w:rsidR="004A1C7C" w:rsidRPr="00AC3823" w:rsidRDefault="004A1C7C">
      <w:pPr>
        <w:spacing w:line="240" w:lineRule="auto"/>
        <w:rPr>
          <w:sz w:val="2"/>
          <w:szCs w:val="2"/>
        </w:rPr>
      </w:pPr>
    </w:p>
  </w:footnote>
  <w:footnote w:id="2">
    <w:p w:rsidR="00D856C9" w:rsidRPr="001B507F" w:rsidRDefault="00D856C9">
      <w:pPr>
        <w:pStyle w:val="FootnoteText"/>
      </w:pPr>
      <w:r>
        <w:rPr>
          <w:rStyle w:val="FootnoteReference"/>
        </w:rPr>
        <w:tab/>
      </w:r>
      <w:r w:rsidRPr="001B507F">
        <w:rPr>
          <w:rStyle w:val="FootnoteReference"/>
          <w:sz w:val="20"/>
          <w:vertAlign w:val="baseline"/>
        </w:rPr>
        <w:t>*</w:t>
      </w:r>
      <w:r>
        <w:rPr>
          <w:rStyle w:val="FootnoteReference"/>
          <w:sz w:val="20"/>
          <w:vertAlign w:val="baseline"/>
        </w:rPr>
        <w:tab/>
      </w:r>
      <w:r w:rsidRPr="0000503C">
        <w:rPr>
          <w:szCs w:val="18"/>
          <w:lang w:val="fr-FR"/>
        </w:rPr>
        <w:t>Les membres du Comité dont le nom suit ont participé à l</w:t>
      </w:r>
      <w:r>
        <w:rPr>
          <w:szCs w:val="18"/>
          <w:lang w:val="fr-FR"/>
        </w:rPr>
        <w:t>’</w:t>
      </w:r>
      <w:r w:rsidRPr="0000503C">
        <w:rPr>
          <w:szCs w:val="18"/>
          <w:lang w:val="fr-FR"/>
        </w:rPr>
        <w:t>examen de la communication: Yadh</w:t>
      </w:r>
      <w:r>
        <w:rPr>
          <w:szCs w:val="18"/>
          <w:lang w:val="fr-FR"/>
        </w:rPr>
        <w:t> </w:t>
      </w:r>
      <w:r w:rsidRPr="0000503C">
        <w:rPr>
          <w:szCs w:val="18"/>
          <w:lang w:val="fr-FR"/>
        </w:rPr>
        <w:t>Ben</w:t>
      </w:r>
      <w:r>
        <w:rPr>
          <w:szCs w:val="18"/>
          <w:lang w:val="fr-FR"/>
        </w:rPr>
        <w:t> </w:t>
      </w:r>
      <w:r w:rsidRPr="0000503C">
        <w:rPr>
          <w:szCs w:val="18"/>
          <w:lang w:val="fr-FR"/>
        </w:rPr>
        <w:t xml:space="preserve">Achour, Lazhari Bouzid, Christine Chanet, </w:t>
      </w:r>
      <w:r w:rsidRPr="00CC4AB8">
        <w:rPr>
          <w:bCs/>
          <w:szCs w:val="18"/>
          <w:lang w:val="en-US"/>
        </w:rPr>
        <w:t xml:space="preserve">Ahmed Amin Fathalla, </w:t>
      </w:r>
      <w:r w:rsidRPr="0000503C">
        <w:rPr>
          <w:szCs w:val="18"/>
          <w:lang w:val="fr-FR"/>
        </w:rPr>
        <w:t xml:space="preserve">Cornelis Flinterman, Gerald L. Neuman, </w:t>
      </w:r>
      <w:r w:rsidRPr="00CC4AB8">
        <w:rPr>
          <w:bCs/>
          <w:szCs w:val="18"/>
          <w:lang w:val="en-US"/>
        </w:rPr>
        <w:t xml:space="preserve">Yuji Iwasawa, </w:t>
      </w:r>
      <w:r>
        <w:rPr>
          <w:bCs/>
          <w:szCs w:val="18"/>
          <w:lang w:val="en-US"/>
        </w:rPr>
        <w:t xml:space="preserve">Walter Kälin, </w:t>
      </w:r>
      <w:r w:rsidRPr="00CC4AB8">
        <w:rPr>
          <w:bCs/>
          <w:szCs w:val="18"/>
        </w:rPr>
        <w:t xml:space="preserve">Zonke Zanele Majodina, </w:t>
      </w:r>
      <w:r>
        <w:rPr>
          <w:bCs/>
          <w:szCs w:val="18"/>
        </w:rPr>
        <w:t>Sir Nigel Rodley,</w:t>
      </w:r>
      <w:r w:rsidRPr="0000503C" w:rsidDel="009742D9">
        <w:rPr>
          <w:szCs w:val="18"/>
          <w:lang w:val="fr-FR"/>
        </w:rPr>
        <w:t xml:space="preserve"> </w:t>
      </w:r>
      <w:r w:rsidRPr="0000503C">
        <w:rPr>
          <w:szCs w:val="18"/>
          <w:lang w:val="fr-FR"/>
        </w:rPr>
        <w:t>Victor</w:t>
      </w:r>
      <w:r>
        <w:rPr>
          <w:szCs w:val="18"/>
          <w:lang w:val="fr-FR"/>
        </w:rPr>
        <w:t> </w:t>
      </w:r>
      <w:r w:rsidRPr="0000503C">
        <w:rPr>
          <w:szCs w:val="18"/>
          <w:lang w:val="fr-FR"/>
        </w:rPr>
        <w:t xml:space="preserve">Manuel Rodríguez-Rescia, </w:t>
      </w:r>
      <w:r w:rsidRPr="00CC4AB8">
        <w:rPr>
          <w:bCs/>
          <w:szCs w:val="18"/>
        </w:rPr>
        <w:t>Fabián Omar Salvioli, Anja Seibert-Fohr, Yuval</w:t>
      </w:r>
      <w:r>
        <w:rPr>
          <w:bCs/>
          <w:szCs w:val="18"/>
        </w:rPr>
        <w:t> </w:t>
      </w:r>
      <w:r w:rsidRPr="00CC4AB8">
        <w:rPr>
          <w:bCs/>
          <w:szCs w:val="18"/>
        </w:rPr>
        <w:t>Shany, Konstantine Vardzelashvili,</w:t>
      </w:r>
      <w:r w:rsidRPr="0000503C">
        <w:rPr>
          <w:szCs w:val="18"/>
          <w:lang w:val="fr-FR"/>
        </w:rPr>
        <w:t xml:space="preserve"> Margo Waterval et </w:t>
      </w:r>
      <w:r>
        <w:rPr>
          <w:bCs/>
          <w:szCs w:val="18"/>
        </w:rPr>
        <w:t>Andrei Paul Zlătescu</w:t>
      </w:r>
      <w:r w:rsidRPr="0000503C">
        <w:rPr>
          <w:szCs w:val="18"/>
          <w:lang w:val="fr-FR"/>
        </w:rPr>
        <w:t>.</w:t>
      </w:r>
    </w:p>
  </w:footnote>
  <w:footnote w:id="3">
    <w:p w:rsidR="00D856C9" w:rsidRDefault="00D856C9">
      <w:pPr>
        <w:pStyle w:val="FootnoteText"/>
      </w:pPr>
      <w:r>
        <w:tab/>
      </w:r>
      <w:r>
        <w:rPr>
          <w:rStyle w:val="FootnoteReference"/>
        </w:rPr>
        <w:footnoteRef/>
      </w:r>
      <w:r>
        <w:tab/>
      </w:r>
      <w:r w:rsidRPr="0000503C">
        <w:rPr>
          <w:szCs w:val="18"/>
          <w:lang w:val="fr-FR"/>
        </w:rPr>
        <w:t>L</w:t>
      </w:r>
      <w:r>
        <w:rPr>
          <w:szCs w:val="18"/>
          <w:lang w:val="fr-FR"/>
        </w:rPr>
        <w:t>’</w:t>
      </w:r>
      <w:r w:rsidRPr="0000503C">
        <w:rPr>
          <w:szCs w:val="18"/>
          <w:lang w:val="fr-FR"/>
        </w:rPr>
        <w:t xml:space="preserve">auteure renvoie au rapport du Groupe de travail sur les disparitions forcées ou involontaires sur sa visite au Népal </w:t>
      </w:r>
      <w:r>
        <w:t>(E/CN.4/2005/65/Add.1)</w:t>
      </w:r>
      <w:r w:rsidRPr="0000503C">
        <w:rPr>
          <w:szCs w:val="18"/>
          <w:lang w:val="fr-FR"/>
        </w:rPr>
        <w:t xml:space="preserve">, par. 25, et au rapport du Rapporteur spécial sur la torture et autres peines ou traitements cruels, inhumains ou dégradants sur sa visite au Népal </w:t>
      </w:r>
      <w:r>
        <w:t>(E/CN.4/2006/6/Add.5)</w:t>
      </w:r>
      <w:r w:rsidRPr="0000503C">
        <w:rPr>
          <w:szCs w:val="18"/>
          <w:lang w:val="fr-FR"/>
        </w:rPr>
        <w:t>, par. 17.</w:t>
      </w:r>
    </w:p>
  </w:footnote>
  <w:footnote w:id="4">
    <w:p w:rsidR="00D856C9" w:rsidRDefault="00D856C9">
      <w:pPr>
        <w:pStyle w:val="FootnoteText"/>
      </w:pPr>
      <w:r>
        <w:tab/>
      </w:r>
      <w:r>
        <w:rPr>
          <w:rStyle w:val="FootnoteReference"/>
        </w:rPr>
        <w:footnoteRef/>
      </w:r>
      <w:r>
        <w:tab/>
      </w:r>
      <w:r w:rsidRPr="0000503C">
        <w:rPr>
          <w:szCs w:val="18"/>
          <w:lang w:val="fr-FR"/>
        </w:rPr>
        <w:t>L</w:t>
      </w:r>
      <w:r>
        <w:rPr>
          <w:szCs w:val="18"/>
          <w:lang w:val="fr-FR"/>
        </w:rPr>
        <w:t>’</w:t>
      </w:r>
      <w:r w:rsidRPr="0000503C">
        <w:rPr>
          <w:szCs w:val="18"/>
          <w:lang w:val="fr-FR"/>
        </w:rPr>
        <w:t xml:space="preserve">auteure renvoie au </w:t>
      </w:r>
      <w:r w:rsidRPr="006E39C2" w:rsidDel="009742D9">
        <w:rPr>
          <w:lang w:val="fr-FR"/>
        </w:rPr>
        <w:t>r</w:t>
      </w:r>
      <w:r w:rsidRPr="006E39C2">
        <w:rPr>
          <w:lang w:val="fr-FR"/>
        </w:rPr>
        <w:t>apport d</w:t>
      </w:r>
      <w:r>
        <w:rPr>
          <w:lang w:val="fr-FR"/>
        </w:rPr>
        <w:t>’</w:t>
      </w:r>
      <w:r w:rsidRPr="006E39C2">
        <w:rPr>
          <w:lang w:val="fr-FR"/>
        </w:rPr>
        <w:t xml:space="preserve">enquête </w:t>
      </w:r>
      <w:r w:rsidRPr="0000503C">
        <w:rPr>
          <w:szCs w:val="18"/>
          <w:lang w:val="fr-FR"/>
        </w:rPr>
        <w:t>du Haut-Commissariat des Nations Unies aux droits de l</w:t>
      </w:r>
      <w:r>
        <w:rPr>
          <w:szCs w:val="18"/>
          <w:lang w:val="fr-FR"/>
        </w:rPr>
        <w:t>’</w:t>
      </w:r>
      <w:r w:rsidRPr="0000503C">
        <w:rPr>
          <w:szCs w:val="18"/>
          <w:lang w:val="fr-FR"/>
        </w:rPr>
        <w:t xml:space="preserve">homme (HCDH) </w:t>
      </w:r>
      <w:r w:rsidRPr="006E39C2">
        <w:rPr>
          <w:lang w:val="fr-FR"/>
        </w:rPr>
        <w:t>sur la détention arbitraire, la torture et les disparitions à la caserne de l</w:t>
      </w:r>
      <w:r>
        <w:rPr>
          <w:lang w:val="fr-FR"/>
        </w:rPr>
        <w:t>’</w:t>
      </w:r>
      <w:r w:rsidRPr="006E39C2">
        <w:rPr>
          <w:lang w:val="fr-FR"/>
        </w:rPr>
        <w:t xml:space="preserve">Armée royale népalaise de Maharajgunj (Katmandou) </w:t>
      </w:r>
      <w:r w:rsidRPr="00ED45FD" w:rsidDel="009742D9">
        <w:rPr>
          <w:szCs w:val="18"/>
          <w:lang w:val="fr-FR"/>
        </w:rPr>
        <w:t xml:space="preserve">en </w:t>
      </w:r>
      <w:r w:rsidRPr="00ED45FD">
        <w:rPr>
          <w:szCs w:val="18"/>
          <w:lang w:val="fr-FR"/>
        </w:rPr>
        <w:t>2003</w:t>
      </w:r>
      <w:r w:rsidRPr="00ED45FD" w:rsidDel="009742D9">
        <w:rPr>
          <w:szCs w:val="18"/>
          <w:lang w:val="fr-FR"/>
        </w:rPr>
        <w:t xml:space="preserve"> et </w:t>
      </w:r>
      <w:r w:rsidRPr="00ED45FD">
        <w:rPr>
          <w:szCs w:val="18"/>
          <w:lang w:val="fr-FR"/>
        </w:rPr>
        <w:t>2004</w:t>
      </w:r>
      <w:r w:rsidRPr="0000503C">
        <w:rPr>
          <w:szCs w:val="18"/>
          <w:lang w:val="fr-FR"/>
        </w:rPr>
        <w:t xml:space="preserve"> (mai 2006) qui peut être consulté à l</w:t>
      </w:r>
      <w:r>
        <w:rPr>
          <w:szCs w:val="18"/>
          <w:lang w:val="fr-FR"/>
        </w:rPr>
        <w:t>’</w:t>
      </w:r>
      <w:r w:rsidRPr="0000503C">
        <w:rPr>
          <w:szCs w:val="18"/>
          <w:lang w:val="fr-FR"/>
        </w:rPr>
        <w:t xml:space="preserve">adresse </w:t>
      </w:r>
      <w:r w:rsidRPr="00D856C9">
        <w:rPr>
          <w:szCs w:val="18"/>
          <w:lang w:val="fr-FR"/>
        </w:rPr>
        <w:t>http://nepalconflictreport.ohchr.org/files/docs/2006-05-26_report_ohchr_eng.pdf</w:t>
      </w:r>
      <w:r w:rsidRPr="0000503C" w:rsidDel="009742D9">
        <w:rPr>
          <w:szCs w:val="18"/>
          <w:lang w:val="fr-FR"/>
        </w:rPr>
        <w:t>,</w:t>
      </w:r>
      <w:r w:rsidRPr="0000503C">
        <w:rPr>
          <w:szCs w:val="18"/>
          <w:lang w:val="fr-FR"/>
        </w:rPr>
        <w:t xml:space="preserve"> et au rapport sur l</w:t>
      </w:r>
      <w:r>
        <w:rPr>
          <w:szCs w:val="18"/>
          <w:lang w:val="fr-FR"/>
        </w:rPr>
        <w:t>’</w:t>
      </w:r>
      <w:r w:rsidRPr="0000503C">
        <w:rPr>
          <w:szCs w:val="18"/>
          <w:lang w:val="fr-FR"/>
        </w:rPr>
        <w:t>enquête menée par la Commission nationale des droits de l</w:t>
      </w:r>
      <w:r>
        <w:rPr>
          <w:szCs w:val="18"/>
          <w:lang w:val="fr-FR"/>
        </w:rPr>
        <w:t>’</w:t>
      </w:r>
      <w:r w:rsidRPr="0000503C">
        <w:rPr>
          <w:szCs w:val="18"/>
          <w:lang w:val="fr-FR"/>
        </w:rPr>
        <w:t>homme sur les disparitions à la caserne de Maharajgunj, comme l</w:t>
      </w:r>
      <w:r>
        <w:rPr>
          <w:szCs w:val="18"/>
          <w:lang w:val="fr-FR"/>
        </w:rPr>
        <w:t>’</w:t>
      </w:r>
      <w:r w:rsidRPr="0000503C">
        <w:rPr>
          <w:szCs w:val="18"/>
          <w:lang w:val="fr-FR"/>
        </w:rPr>
        <w:t>avait ordonné la Cour suprême, qui a été soumis à celle-ci le 7 septembre 2009.</w:t>
      </w:r>
    </w:p>
  </w:footnote>
  <w:footnote w:id="5">
    <w:p w:rsidR="00D856C9" w:rsidRDefault="00D856C9">
      <w:pPr>
        <w:pStyle w:val="FootnoteText"/>
      </w:pPr>
      <w:r>
        <w:tab/>
      </w:r>
      <w:r>
        <w:rPr>
          <w:rStyle w:val="FootnoteReference"/>
        </w:rPr>
        <w:footnoteRef/>
      </w:r>
      <w:r>
        <w:tab/>
      </w:r>
      <w:r w:rsidRPr="0000503C">
        <w:rPr>
          <w:szCs w:val="18"/>
          <w:lang w:val="fr-FR"/>
        </w:rPr>
        <w:t>Rapport du HCDH (note 2), p. 48 et 49. L</w:t>
      </w:r>
      <w:r>
        <w:rPr>
          <w:szCs w:val="18"/>
          <w:lang w:val="fr-FR"/>
        </w:rPr>
        <w:t>’</w:t>
      </w:r>
      <w:r w:rsidRPr="0000503C">
        <w:rPr>
          <w:szCs w:val="18"/>
          <w:lang w:val="fr-FR"/>
        </w:rPr>
        <w:t>auteure souligne également que, d</w:t>
      </w:r>
      <w:r>
        <w:rPr>
          <w:szCs w:val="18"/>
          <w:lang w:val="fr-FR"/>
        </w:rPr>
        <w:t>’</w:t>
      </w:r>
      <w:r w:rsidRPr="0000503C">
        <w:rPr>
          <w:szCs w:val="18"/>
          <w:lang w:val="fr-FR"/>
        </w:rPr>
        <w:t>après les copies des documents joints à sa communication, Krishna K. C., qui était aussi détenu dans cette caserne, a déclaré devant la Cour d</w:t>
      </w:r>
      <w:r>
        <w:rPr>
          <w:szCs w:val="18"/>
          <w:lang w:val="fr-FR"/>
        </w:rPr>
        <w:t>’</w:t>
      </w:r>
      <w:r w:rsidRPr="0000503C">
        <w:rPr>
          <w:szCs w:val="18"/>
          <w:lang w:val="fr-FR"/>
        </w:rPr>
        <w:t>appel de Patan qu</w:t>
      </w:r>
      <w:r>
        <w:rPr>
          <w:szCs w:val="18"/>
          <w:lang w:val="fr-FR"/>
        </w:rPr>
        <w:t>’</w:t>
      </w:r>
      <w:r w:rsidRPr="0000503C">
        <w:rPr>
          <w:szCs w:val="18"/>
          <w:lang w:val="fr-FR"/>
        </w:rPr>
        <w:t>il avait vu son mari à la caserne de Maharajgunj en décembre 2003</w:t>
      </w:r>
      <w:r w:rsidRPr="009742D9">
        <w:rPr>
          <w:szCs w:val="18"/>
          <w:lang w:val="fr-FR"/>
        </w:rPr>
        <w:t xml:space="preserve"> ou </w:t>
      </w:r>
      <w:r w:rsidRPr="0000503C">
        <w:rPr>
          <w:szCs w:val="18"/>
          <w:lang w:val="fr-FR"/>
        </w:rPr>
        <w:t>vers cette date, que, le 20 décembre 2003, un groupe de détenus, dont M. Tripathi, avaient été emmenés par l</w:t>
      </w:r>
      <w:r>
        <w:rPr>
          <w:szCs w:val="18"/>
          <w:lang w:val="fr-FR"/>
        </w:rPr>
        <w:t>’</w:t>
      </w:r>
      <w:r w:rsidRPr="0000503C">
        <w:rPr>
          <w:szCs w:val="18"/>
          <w:lang w:val="fr-FR"/>
        </w:rPr>
        <w:t>Armée dans un lieu inconnu pour être tués et que ces détenus n</w:t>
      </w:r>
      <w:r>
        <w:rPr>
          <w:szCs w:val="18"/>
          <w:lang w:val="fr-FR"/>
        </w:rPr>
        <w:t>’</w:t>
      </w:r>
      <w:r w:rsidRPr="0000503C">
        <w:rPr>
          <w:szCs w:val="18"/>
          <w:lang w:val="fr-FR"/>
        </w:rPr>
        <w:t>avaient jamais été revus. Dans un témoignage écrit donné au Bureau du HCDH au Népal en février 2007, Krishna K. C. a aussi indiqué qu</w:t>
      </w:r>
      <w:r>
        <w:rPr>
          <w:szCs w:val="18"/>
          <w:lang w:val="fr-FR"/>
        </w:rPr>
        <w:t>’</w:t>
      </w:r>
      <w:r w:rsidRPr="0000503C">
        <w:rPr>
          <w:szCs w:val="18"/>
          <w:lang w:val="fr-FR"/>
        </w:rPr>
        <w:t>il avait entendu des rumeurs selon lesquelles M. Tripathi avait été tué à la caserne de Shivapuri. De même,</w:t>
      </w:r>
      <w:r w:rsidR="004E3771">
        <w:rPr>
          <w:szCs w:val="18"/>
          <w:lang w:val="fr-FR"/>
        </w:rPr>
        <w:t xml:space="preserve"> </w:t>
      </w:r>
      <w:r w:rsidRPr="0000503C">
        <w:rPr>
          <w:szCs w:val="18"/>
          <w:lang w:val="fr-FR"/>
        </w:rPr>
        <w:t xml:space="preserve">Jit Man Basnet, un autre ancien détenu de la caserne, a publié un livre intitulé </w:t>
      </w:r>
      <w:r w:rsidRPr="00ED45FD">
        <w:rPr>
          <w:i/>
          <w:szCs w:val="18"/>
          <w:lang w:val="fr-FR"/>
        </w:rPr>
        <w:t>258 Dark Days</w:t>
      </w:r>
      <w:r w:rsidRPr="0000503C">
        <w:rPr>
          <w:szCs w:val="18"/>
          <w:lang w:val="fr-FR"/>
        </w:rPr>
        <w:t xml:space="preserve"> dans lequel il décrit en détail la manière dont le mari de l</w:t>
      </w:r>
      <w:r>
        <w:rPr>
          <w:szCs w:val="18"/>
          <w:lang w:val="fr-FR"/>
        </w:rPr>
        <w:t>’</w:t>
      </w:r>
      <w:r w:rsidRPr="0000503C">
        <w:rPr>
          <w:szCs w:val="18"/>
          <w:lang w:val="fr-FR"/>
        </w:rPr>
        <w:t>auteure a été torturé par les autorités et indique que des soldats lui avaient dit que M. Tripathi était mort noyé dans une cuve pleine d</w:t>
      </w:r>
      <w:r>
        <w:rPr>
          <w:szCs w:val="18"/>
          <w:lang w:val="fr-FR"/>
        </w:rPr>
        <w:t>’</w:t>
      </w:r>
      <w:r w:rsidRPr="0000503C">
        <w:rPr>
          <w:szCs w:val="18"/>
          <w:lang w:val="fr-FR"/>
        </w:rPr>
        <w:t>eau pendant une séance de torture.</w:t>
      </w:r>
    </w:p>
  </w:footnote>
  <w:footnote w:id="6">
    <w:p w:rsidR="00D856C9" w:rsidRDefault="00D856C9">
      <w:pPr>
        <w:pStyle w:val="FootnoteText"/>
      </w:pPr>
      <w:r>
        <w:tab/>
      </w:r>
      <w:r>
        <w:rPr>
          <w:rStyle w:val="FootnoteReference"/>
        </w:rPr>
        <w:footnoteRef/>
      </w:r>
      <w:r>
        <w:tab/>
      </w:r>
      <w:r w:rsidRPr="0000503C">
        <w:rPr>
          <w:szCs w:val="18"/>
          <w:lang w:val="fr-FR"/>
        </w:rPr>
        <w:t>L</w:t>
      </w:r>
      <w:r>
        <w:rPr>
          <w:szCs w:val="18"/>
          <w:lang w:val="fr-FR"/>
        </w:rPr>
        <w:t>’</w:t>
      </w:r>
      <w:r w:rsidRPr="0000503C">
        <w:rPr>
          <w:szCs w:val="18"/>
          <w:lang w:val="fr-FR"/>
        </w:rPr>
        <w:t>auteure renvoie au rapport sur l</w:t>
      </w:r>
      <w:r>
        <w:rPr>
          <w:szCs w:val="18"/>
          <w:lang w:val="fr-FR"/>
        </w:rPr>
        <w:t>’</w:t>
      </w:r>
      <w:r w:rsidRPr="0000503C">
        <w:rPr>
          <w:szCs w:val="18"/>
          <w:lang w:val="fr-FR"/>
        </w:rPr>
        <w:t>enquête menée par la Commission nationale des droits de l</w:t>
      </w:r>
      <w:r>
        <w:rPr>
          <w:szCs w:val="18"/>
          <w:lang w:val="fr-FR"/>
        </w:rPr>
        <w:t>’</w:t>
      </w:r>
      <w:r w:rsidRPr="0000503C">
        <w:rPr>
          <w:szCs w:val="18"/>
          <w:lang w:val="fr-FR"/>
        </w:rPr>
        <w:t>homme sur les disparitions à la caserne de Maharajgunj, comme l</w:t>
      </w:r>
      <w:r>
        <w:rPr>
          <w:szCs w:val="18"/>
          <w:lang w:val="fr-FR"/>
        </w:rPr>
        <w:t>’</w:t>
      </w:r>
      <w:r w:rsidRPr="0000503C">
        <w:rPr>
          <w:szCs w:val="18"/>
          <w:lang w:val="fr-FR"/>
        </w:rPr>
        <w:t>avait ordonné la Cour suprême, p. 1 et 2. Elle note aussi que, en novembre 2008, à la demande du Bureau du HCDH au Népal, deux experts du Département de médecine légale de l</w:t>
      </w:r>
      <w:r>
        <w:rPr>
          <w:szCs w:val="18"/>
          <w:lang w:val="fr-FR"/>
        </w:rPr>
        <w:t>’</w:t>
      </w:r>
      <w:r w:rsidRPr="0000503C">
        <w:rPr>
          <w:szCs w:val="18"/>
          <w:lang w:val="fr-FR"/>
        </w:rPr>
        <w:t>Université de Turku (Finlande) ont mené une enquête préliminaire sur un site qui aurait été un charnier ou une fosse crématoire dans la forêt de Shivapuri. Ils ont conclu que les restes qu</w:t>
      </w:r>
      <w:r>
        <w:rPr>
          <w:szCs w:val="18"/>
          <w:lang w:val="fr-FR"/>
        </w:rPr>
        <w:t>’</w:t>
      </w:r>
      <w:r w:rsidRPr="0000503C">
        <w:rPr>
          <w:szCs w:val="18"/>
          <w:lang w:val="fr-FR"/>
        </w:rPr>
        <w:t>ils avaient trouvés étaient humains. En outre, le nom du mari de l</w:t>
      </w:r>
      <w:r>
        <w:rPr>
          <w:szCs w:val="18"/>
          <w:lang w:val="fr-FR"/>
        </w:rPr>
        <w:t>’</w:t>
      </w:r>
      <w:r w:rsidRPr="0000503C">
        <w:rPr>
          <w:szCs w:val="18"/>
          <w:lang w:val="fr-FR"/>
        </w:rPr>
        <w:t xml:space="preserve">auteure figure dans un rapport du Comité international de la Croix-Rouge intitulé </w:t>
      </w:r>
      <w:r w:rsidRPr="0000503C">
        <w:rPr>
          <w:i/>
          <w:szCs w:val="18"/>
          <w:lang w:val="fr-FR"/>
        </w:rPr>
        <w:t>Missing Persons in Nepal: The right to know – updated listed 2009 (August 2009)</w:t>
      </w:r>
      <w:r w:rsidRPr="0000503C">
        <w:rPr>
          <w:szCs w:val="18"/>
          <w:lang w:val="fr-FR"/>
        </w:rPr>
        <w:t xml:space="preserve">. </w:t>
      </w:r>
    </w:p>
  </w:footnote>
  <w:footnote w:id="7">
    <w:p w:rsidR="00D856C9" w:rsidRDefault="00D856C9">
      <w:pPr>
        <w:pStyle w:val="FootnoteText"/>
      </w:pPr>
      <w:r>
        <w:tab/>
      </w:r>
      <w:r>
        <w:rPr>
          <w:rStyle w:val="FootnoteReference"/>
        </w:rPr>
        <w:footnoteRef/>
      </w:r>
      <w:r>
        <w:tab/>
      </w:r>
      <w:r w:rsidRPr="0000503C">
        <w:rPr>
          <w:szCs w:val="18"/>
          <w:lang w:val="fr-FR"/>
        </w:rPr>
        <w:t>L</w:t>
      </w:r>
      <w:r>
        <w:rPr>
          <w:szCs w:val="18"/>
          <w:lang w:val="fr-FR"/>
        </w:rPr>
        <w:t>’</w:t>
      </w:r>
      <w:r w:rsidRPr="0000503C">
        <w:rPr>
          <w:szCs w:val="18"/>
          <w:lang w:val="fr-FR"/>
        </w:rPr>
        <w:t xml:space="preserve">auteure </w:t>
      </w:r>
      <w:r w:rsidRPr="0000503C" w:rsidDel="00FF7FDA">
        <w:rPr>
          <w:szCs w:val="18"/>
          <w:lang w:val="fr-FR"/>
        </w:rPr>
        <w:t>renvoie</w:t>
      </w:r>
      <w:r w:rsidRPr="0000503C">
        <w:rPr>
          <w:szCs w:val="18"/>
          <w:lang w:val="fr-FR"/>
        </w:rPr>
        <w:t xml:space="preserve"> à la jurisprudence du Comité, notamment à la communication </w:t>
      </w:r>
      <w:r w:rsidRPr="0000503C">
        <w:rPr>
          <w:rFonts w:eastAsia="MS Mincho"/>
          <w:szCs w:val="18"/>
          <w:lang w:val="fr-FR"/>
        </w:rPr>
        <w:t>n</w:t>
      </w:r>
      <w:r w:rsidRPr="0000503C">
        <w:rPr>
          <w:rFonts w:eastAsia="MS Mincho"/>
          <w:szCs w:val="18"/>
          <w:vertAlign w:val="superscript"/>
          <w:lang w:val="fr-FR"/>
        </w:rPr>
        <w:t>o</w:t>
      </w:r>
      <w:r w:rsidRPr="0000503C">
        <w:rPr>
          <w:szCs w:val="18"/>
          <w:lang w:val="fr-FR"/>
        </w:rPr>
        <w:t xml:space="preserve"> 1469/2006, </w:t>
      </w:r>
      <w:r w:rsidRPr="0000503C">
        <w:rPr>
          <w:i/>
          <w:szCs w:val="18"/>
          <w:lang w:val="fr-FR"/>
        </w:rPr>
        <w:t>Sharma</w:t>
      </w:r>
      <w:r w:rsidRPr="0000503C">
        <w:rPr>
          <w:szCs w:val="18"/>
          <w:lang w:val="fr-FR"/>
        </w:rPr>
        <w:t xml:space="preserve"> c. </w:t>
      </w:r>
      <w:r w:rsidRPr="0000503C">
        <w:rPr>
          <w:i/>
          <w:szCs w:val="18"/>
          <w:lang w:val="fr-FR"/>
        </w:rPr>
        <w:t>Népal</w:t>
      </w:r>
      <w:r w:rsidRPr="0000503C">
        <w:rPr>
          <w:szCs w:val="18"/>
          <w:lang w:val="fr-FR"/>
        </w:rPr>
        <w:t>, constatations adoptées le 28 octobre 2008, par. 6.3.</w:t>
      </w:r>
    </w:p>
  </w:footnote>
  <w:footnote w:id="8">
    <w:p w:rsidR="005C15DE" w:rsidRDefault="005C15DE">
      <w:pPr>
        <w:pStyle w:val="FootnoteText"/>
      </w:pPr>
      <w:r>
        <w:tab/>
      </w:r>
      <w:r>
        <w:rPr>
          <w:rStyle w:val="FootnoteReference"/>
        </w:rPr>
        <w:footnoteRef/>
      </w:r>
      <w:r>
        <w:tab/>
      </w:r>
      <w:r w:rsidRPr="0000503C">
        <w:rPr>
          <w:szCs w:val="18"/>
          <w:lang w:val="fr-FR"/>
        </w:rPr>
        <w:t>Le Comité constate que l</w:t>
      </w:r>
      <w:r>
        <w:rPr>
          <w:szCs w:val="18"/>
          <w:lang w:val="fr-FR"/>
        </w:rPr>
        <w:t>’</w:t>
      </w:r>
      <w:r w:rsidRPr="0000503C">
        <w:rPr>
          <w:szCs w:val="18"/>
          <w:lang w:val="fr-FR"/>
        </w:rPr>
        <w:t>État partie n</w:t>
      </w:r>
      <w:r>
        <w:rPr>
          <w:szCs w:val="18"/>
          <w:lang w:val="fr-FR"/>
        </w:rPr>
        <w:t>’</w:t>
      </w:r>
      <w:r w:rsidRPr="0000503C">
        <w:rPr>
          <w:szCs w:val="18"/>
          <w:lang w:val="fr-FR"/>
        </w:rPr>
        <w:t>a pas étayé ses observations concernant l</w:t>
      </w:r>
      <w:r>
        <w:rPr>
          <w:szCs w:val="18"/>
          <w:lang w:val="fr-FR"/>
        </w:rPr>
        <w:t>’</w:t>
      </w:r>
      <w:r w:rsidRPr="0000503C">
        <w:rPr>
          <w:szCs w:val="18"/>
          <w:lang w:val="fr-FR"/>
        </w:rPr>
        <w:t xml:space="preserve">article 96 c) de son </w:t>
      </w:r>
      <w:r w:rsidRPr="0000503C" w:rsidDel="00BE30B0">
        <w:rPr>
          <w:szCs w:val="18"/>
          <w:lang w:val="fr-FR"/>
        </w:rPr>
        <w:t>r</w:t>
      </w:r>
      <w:r w:rsidRPr="0000503C">
        <w:rPr>
          <w:szCs w:val="18"/>
          <w:lang w:val="fr-FR"/>
        </w:rPr>
        <w:t>èglement intérieur (CCPR/C/3/Rev.10).</w:t>
      </w:r>
    </w:p>
  </w:footnote>
  <w:footnote w:id="9">
    <w:p w:rsidR="005C15DE" w:rsidRDefault="005C15DE">
      <w:pPr>
        <w:pStyle w:val="FootnoteText"/>
      </w:pPr>
      <w:r>
        <w:tab/>
      </w:r>
      <w:r>
        <w:rPr>
          <w:rStyle w:val="FootnoteReference"/>
        </w:rPr>
        <w:footnoteRef/>
      </w:r>
      <w:r>
        <w:tab/>
      </w:r>
      <w:r w:rsidRPr="0000503C">
        <w:rPr>
          <w:szCs w:val="18"/>
          <w:lang w:val="fr-FR"/>
        </w:rPr>
        <w:t>L</w:t>
      </w:r>
      <w:r>
        <w:rPr>
          <w:szCs w:val="18"/>
          <w:lang w:val="fr-FR"/>
        </w:rPr>
        <w:t>’</w:t>
      </w:r>
      <w:r w:rsidRPr="0000503C">
        <w:rPr>
          <w:szCs w:val="18"/>
          <w:lang w:val="fr-FR"/>
        </w:rPr>
        <w:t xml:space="preserve">auteure renvoie à la communication </w:t>
      </w:r>
      <w:r w:rsidRPr="0000503C">
        <w:rPr>
          <w:rFonts w:eastAsia="MS Mincho"/>
          <w:szCs w:val="18"/>
          <w:lang w:val="fr-FR"/>
        </w:rPr>
        <w:t>n</w:t>
      </w:r>
      <w:r w:rsidRPr="0000503C">
        <w:rPr>
          <w:rFonts w:eastAsia="MS Mincho"/>
          <w:szCs w:val="18"/>
          <w:vertAlign w:val="superscript"/>
          <w:lang w:val="fr-FR"/>
        </w:rPr>
        <w:t>o</w:t>
      </w:r>
      <w:r w:rsidRPr="0000503C">
        <w:rPr>
          <w:szCs w:val="18"/>
          <w:lang w:val="fr-FR"/>
        </w:rPr>
        <w:t xml:space="preserve"> 449/1991, </w:t>
      </w:r>
      <w:r w:rsidRPr="0000503C">
        <w:rPr>
          <w:i/>
          <w:szCs w:val="18"/>
          <w:lang w:val="fr-FR"/>
        </w:rPr>
        <w:t>Mojica</w:t>
      </w:r>
      <w:r w:rsidRPr="0000503C">
        <w:rPr>
          <w:szCs w:val="18"/>
          <w:lang w:val="fr-FR"/>
        </w:rPr>
        <w:t xml:space="preserve"> c. </w:t>
      </w:r>
      <w:r w:rsidRPr="0000503C">
        <w:rPr>
          <w:i/>
          <w:szCs w:val="18"/>
          <w:lang w:val="fr-FR"/>
        </w:rPr>
        <w:t>République dominicaine</w:t>
      </w:r>
      <w:r w:rsidRPr="0000503C">
        <w:rPr>
          <w:szCs w:val="18"/>
          <w:lang w:val="fr-FR"/>
        </w:rPr>
        <w:t>, constatations adoptées le 15 juillet 1994, par. 5.7.</w:t>
      </w:r>
    </w:p>
  </w:footnote>
  <w:footnote w:id="10">
    <w:p w:rsidR="005C15DE" w:rsidRDefault="005C15DE">
      <w:pPr>
        <w:pStyle w:val="FootnoteText"/>
      </w:pPr>
      <w:r>
        <w:tab/>
      </w:r>
      <w:r>
        <w:rPr>
          <w:rStyle w:val="FootnoteReference"/>
        </w:rPr>
        <w:footnoteRef/>
      </w:r>
      <w:r>
        <w:tab/>
      </w:r>
      <w:r w:rsidRPr="0000503C">
        <w:rPr>
          <w:szCs w:val="18"/>
          <w:lang w:val="fr-FR"/>
        </w:rPr>
        <w:t xml:space="preserve">Voir communication </w:t>
      </w:r>
      <w:r w:rsidRPr="0000503C">
        <w:rPr>
          <w:rFonts w:eastAsia="MS Mincho"/>
          <w:szCs w:val="18"/>
          <w:lang w:val="fr-FR"/>
        </w:rPr>
        <w:t>n</w:t>
      </w:r>
      <w:r w:rsidRPr="004E3771">
        <w:rPr>
          <w:rFonts w:eastAsia="MS Mincho"/>
          <w:szCs w:val="18"/>
          <w:vertAlign w:val="superscript"/>
          <w:lang w:val="fr-FR"/>
        </w:rPr>
        <w:t>o</w:t>
      </w:r>
      <w:r w:rsidRPr="0000503C">
        <w:rPr>
          <w:szCs w:val="18"/>
          <w:lang w:val="fr-FR"/>
        </w:rPr>
        <w:t xml:space="preserve"> 1761/2008, </w:t>
      </w:r>
      <w:r w:rsidRPr="0000503C">
        <w:rPr>
          <w:i/>
          <w:szCs w:val="18"/>
          <w:lang w:val="fr-FR"/>
        </w:rPr>
        <w:t xml:space="preserve">Giri </w:t>
      </w:r>
      <w:r w:rsidRPr="0000503C">
        <w:rPr>
          <w:szCs w:val="18"/>
          <w:lang w:val="fr-FR"/>
        </w:rPr>
        <w:t xml:space="preserve">c. </w:t>
      </w:r>
      <w:r w:rsidRPr="0000503C">
        <w:rPr>
          <w:i/>
          <w:szCs w:val="18"/>
          <w:lang w:val="fr-FR"/>
        </w:rPr>
        <w:t>Népal</w:t>
      </w:r>
      <w:r w:rsidRPr="0000503C">
        <w:rPr>
          <w:szCs w:val="18"/>
          <w:lang w:val="fr-FR"/>
        </w:rPr>
        <w:t>, constatations adoptées le 24 mars 2011, par. 6.3.</w:t>
      </w:r>
    </w:p>
  </w:footnote>
  <w:footnote w:id="11">
    <w:p w:rsidR="005C15DE" w:rsidRDefault="005C15DE">
      <w:pPr>
        <w:pStyle w:val="FootnoteText"/>
      </w:pPr>
      <w:r>
        <w:tab/>
      </w:r>
      <w:r>
        <w:rPr>
          <w:rStyle w:val="FootnoteReference"/>
        </w:rPr>
        <w:footnoteRef/>
      </w:r>
      <w:r>
        <w:tab/>
      </w:r>
      <w:r w:rsidRPr="0000503C">
        <w:rPr>
          <w:szCs w:val="18"/>
          <w:lang w:val="fr-FR"/>
        </w:rPr>
        <w:t>En vertu du nouvel article 96 c) de son règlement intérieur, le Comité est tenu de s</w:t>
      </w:r>
      <w:r>
        <w:rPr>
          <w:szCs w:val="18"/>
          <w:lang w:val="fr-FR"/>
        </w:rPr>
        <w:t>’</w:t>
      </w:r>
      <w:r w:rsidRPr="0000503C">
        <w:rPr>
          <w:szCs w:val="18"/>
          <w:lang w:val="fr-FR"/>
        </w:rPr>
        <w:t>assurer que la communication ne constitue pas un abus du droit de présenter une communication. En principe, un abus du droit de présenter une communication ne peut pas être invoqué pour fonder une décision d</w:t>
      </w:r>
      <w:r>
        <w:rPr>
          <w:szCs w:val="18"/>
          <w:lang w:val="fr-FR"/>
        </w:rPr>
        <w:t>’</w:t>
      </w:r>
      <w:r w:rsidRPr="0000503C">
        <w:rPr>
          <w:szCs w:val="18"/>
          <w:lang w:val="fr-FR"/>
        </w:rPr>
        <w:t xml:space="preserve">irrecevabilité </w:t>
      </w:r>
      <w:r w:rsidRPr="0000503C">
        <w:rPr>
          <w:i/>
          <w:szCs w:val="18"/>
          <w:lang w:val="fr-FR"/>
        </w:rPr>
        <w:t>ratione temporis</w:t>
      </w:r>
      <w:r w:rsidRPr="0000503C">
        <w:rPr>
          <w:szCs w:val="18"/>
          <w:lang w:val="fr-FR"/>
        </w:rPr>
        <w:t xml:space="preserve"> au motif de la présentation tardive de la plainte. Toutefois, il peut y avoir un abus du droit de plainte si la communication est soumise cinq ans après l</w:t>
      </w:r>
      <w:r>
        <w:rPr>
          <w:szCs w:val="18"/>
          <w:lang w:val="fr-FR"/>
        </w:rPr>
        <w:t>’</w:t>
      </w:r>
      <w:r w:rsidRPr="0000503C">
        <w:rPr>
          <w:szCs w:val="18"/>
          <w:lang w:val="fr-FR"/>
        </w:rPr>
        <w:t>épuisement des recours internes par son auteur ou, selon le cas, trois ans après l</w:t>
      </w:r>
      <w:r>
        <w:rPr>
          <w:szCs w:val="18"/>
          <w:lang w:val="fr-FR"/>
        </w:rPr>
        <w:t>’</w:t>
      </w:r>
      <w:r w:rsidRPr="0000503C">
        <w:rPr>
          <w:szCs w:val="18"/>
          <w:lang w:val="fr-FR"/>
        </w:rPr>
        <w:t>achèvement d</w:t>
      </w:r>
      <w:r>
        <w:rPr>
          <w:szCs w:val="18"/>
          <w:lang w:val="fr-FR"/>
        </w:rPr>
        <w:t>’</w:t>
      </w:r>
      <w:r w:rsidRPr="0000503C">
        <w:rPr>
          <w:szCs w:val="18"/>
          <w:lang w:val="fr-FR"/>
        </w:rPr>
        <w:t>une autre procédure internationale d</w:t>
      </w:r>
      <w:r>
        <w:rPr>
          <w:szCs w:val="18"/>
          <w:lang w:val="fr-FR"/>
        </w:rPr>
        <w:t>’</w:t>
      </w:r>
      <w:r w:rsidRPr="0000503C">
        <w:rPr>
          <w:szCs w:val="18"/>
          <w:lang w:val="fr-FR"/>
        </w:rPr>
        <w:t>enquête ou de règlement, sauf s</w:t>
      </w:r>
      <w:r>
        <w:rPr>
          <w:szCs w:val="18"/>
          <w:lang w:val="fr-FR"/>
        </w:rPr>
        <w:t>’</w:t>
      </w:r>
      <w:r w:rsidRPr="0000503C">
        <w:rPr>
          <w:szCs w:val="18"/>
          <w:lang w:val="fr-FR"/>
        </w:rPr>
        <w:t>il existe des raisons justifiant le retard compte tenu de toutes les circonstances de l</w:t>
      </w:r>
      <w:r>
        <w:rPr>
          <w:szCs w:val="18"/>
          <w:lang w:val="fr-FR"/>
        </w:rPr>
        <w:t>’</w:t>
      </w:r>
      <w:r w:rsidRPr="0000503C">
        <w:rPr>
          <w:szCs w:val="18"/>
          <w:lang w:val="fr-FR"/>
        </w:rPr>
        <w:t>affaire</w:t>
      </w:r>
      <w:r>
        <w:rPr>
          <w:szCs w:val="18"/>
          <w:lang w:val="fr-FR"/>
        </w:rPr>
        <w:t>.</w:t>
      </w:r>
    </w:p>
  </w:footnote>
  <w:footnote w:id="12">
    <w:p w:rsidR="005C15DE" w:rsidRDefault="005C15DE">
      <w:pPr>
        <w:pStyle w:val="FootnoteText"/>
      </w:pPr>
      <w:r>
        <w:tab/>
      </w:r>
      <w:r>
        <w:rPr>
          <w:rStyle w:val="FootnoteReference"/>
        </w:rPr>
        <w:footnoteRef/>
      </w:r>
      <w:r>
        <w:tab/>
      </w:r>
      <w:r w:rsidRPr="0000503C">
        <w:rPr>
          <w:szCs w:val="18"/>
          <w:lang w:val="fr-FR"/>
        </w:rPr>
        <w:t xml:space="preserve">Voir, par exemple, les communications </w:t>
      </w:r>
      <w:r w:rsidRPr="0000503C">
        <w:rPr>
          <w:rFonts w:eastAsia="MS Mincho"/>
          <w:szCs w:val="18"/>
          <w:lang w:val="fr-FR"/>
        </w:rPr>
        <w:t>n</w:t>
      </w:r>
      <w:r w:rsidRPr="004E3771">
        <w:rPr>
          <w:rFonts w:eastAsia="MS Mincho"/>
          <w:szCs w:val="18"/>
          <w:vertAlign w:val="superscript"/>
          <w:lang w:val="fr-FR"/>
        </w:rPr>
        <w:t>o</w:t>
      </w:r>
      <w:r w:rsidRPr="0000503C">
        <w:rPr>
          <w:szCs w:val="18"/>
          <w:lang w:val="fr-FR"/>
        </w:rPr>
        <w:t xml:space="preserve"> 1223/2003, </w:t>
      </w:r>
      <w:r w:rsidRPr="0000503C">
        <w:rPr>
          <w:i/>
          <w:iCs/>
          <w:szCs w:val="18"/>
          <w:lang w:val="fr-FR"/>
        </w:rPr>
        <w:t xml:space="preserve">Tsarjov </w:t>
      </w:r>
      <w:r w:rsidRPr="0000503C">
        <w:rPr>
          <w:szCs w:val="18"/>
          <w:lang w:val="fr-FR"/>
        </w:rPr>
        <w:t xml:space="preserve">c. </w:t>
      </w:r>
      <w:r w:rsidRPr="0000503C">
        <w:rPr>
          <w:i/>
          <w:iCs/>
          <w:szCs w:val="18"/>
          <w:lang w:val="fr-FR"/>
        </w:rPr>
        <w:t>Estonie</w:t>
      </w:r>
      <w:r w:rsidRPr="0000503C">
        <w:rPr>
          <w:szCs w:val="18"/>
          <w:lang w:val="fr-FR"/>
        </w:rPr>
        <w:t xml:space="preserve">, constatations adoptées le 26 octobre 2007, par. 6.3, </w:t>
      </w:r>
      <w:r w:rsidR="004E3771" w:rsidRPr="0000503C">
        <w:rPr>
          <w:rFonts w:eastAsia="MS Mincho"/>
          <w:szCs w:val="18"/>
          <w:lang w:val="fr-FR"/>
        </w:rPr>
        <w:t>n</w:t>
      </w:r>
      <w:r w:rsidR="004E3771" w:rsidRPr="004E3771">
        <w:rPr>
          <w:rFonts w:eastAsia="MS Mincho"/>
          <w:szCs w:val="18"/>
          <w:vertAlign w:val="superscript"/>
          <w:lang w:val="fr-FR"/>
        </w:rPr>
        <w:t>o</w:t>
      </w:r>
      <w:r w:rsidR="004E3771" w:rsidRPr="0000503C">
        <w:rPr>
          <w:szCs w:val="18"/>
          <w:lang w:val="fr-FR"/>
        </w:rPr>
        <w:t> </w:t>
      </w:r>
      <w:r w:rsidRPr="0000503C">
        <w:rPr>
          <w:szCs w:val="18"/>
          <w:lang w:val="fr-FR"/>
        </w:rPr>
        <w:t xml:space="preserve">1434/2005, </w:t>
      </w:r>
      <w:r w:rsidRPr="0000503C">
        <w:rPr>
          <w:i/>
          <w:iCs/>
          <w:szCs w:val="18"/>
          <w:lang w:val="fr-FR"/>
        </w:rPr>
        <w:t xml:space="preserve">Fillacier </w:t>
      </w:r>
      <w:r w:rsidRPr="0000503C">
        <w:rPr>
          <w:szCs w:val="18"/>
          <w:lang w:val="fr-FR"/>
        </w:rPr>
        <w:t xml:space="preserve">c. </w:t>
      </w:r>
      <w:r w:rsidRPr="0000503C">
        <w:rPr>
          <w:i/>
          <w:iCs/>
          <w:szCs w:val="18"/>
          <w:lang w:val="fr-FR"/>
        </w:rPr>
        <w:t>France</w:t>
      </w:r>
      <w:r w:rsidRPr="0000503C">
        <w:rPr>
          <w:szCs w:val="18"/>
          <w:lang w:val="fr-FR"/>
        </w:rPr>
        <w:t>, décision d</w:t>
      </w:r>
      <w:r>
        <w:rPr>
          <w:szCs w:val="18"/>
          <w:lang w:val="fr-FR"/>
        </w:rPr>
        <w:t>’</w:t>
      </w:r>
      <w:r w:rsidRPr="0000503C">
        <w:rPr>
          <w:szCs w:val="18"/>
          <w:lang w:val="fr-FR"/>
        </w:rPr>
        <w:t>irrecevabilité adoptée le 27</w:t>
      </w:r>
      <w:r>
        <w:rPr>
          <w:szCs w:val="18"/>
          <w:lang w:val="fr-FR"/>
        </w:rPr>
        <w:t> </w:t>
      </w:r>
      <w:r w:rsidRPr="0000503C">
        <w:rPr>
          <w:szCs w:val="18"/>
          <w:lang w:val="fr-FR"/>
        </w:rPr>
        <w:t xml:space="preserve">mars 2006, par. 4.3, et </w:t>
      </w:r>
      <w:r w:rsidR="004E3771" w:rsidRPr="0000503C">
        <w:rPr>
          <w:rFonts w:eastAsia="MS Mincho"/>
          <w:szCs w:val="18"/>
          <w:lang w:val="fr-FR"/>
        </w:rPr>
        <w:t>n</w:t>
      </w:r>
      <w:r w:rsidR="004E3771" w:rsidRPr="004E3771">
        <w:rPr>
          <w:rFonts w:eastAsia="MS Mincho"/>
          <w:szCs w:val="18"/>
          <w:vertAlign w:val="superscript"/>
          <w:lang w:val="fr-FR"/>
        </w:rPr>
        <w:t>o</w:t>
      </w:r>
      <w:r w:rsidR="004E3771" w:rsidRPr="0000503C">
        <w:rPr>
          <w:szCs w:val="18"/>
          <w:lang w:val="fr-FR"/>
        </w:rPr>
        <w:t> </w:t>
      </w:r>
      <w:r w:rsidRPr="0000503C">
        <w:rPr>
          <w:szCs w:val="18"/>
          <w:lang w:val="fr-FR"/>
        </w:rPr>
        <w:t xml:space="preserve">787/1997, </w:t>
      </w:r>
      <w:r w:rsidRPr="0000503C">
        <w:rPr>
          <w:i/>
          <w:iCs/>
          <w:szCs w:val="18"/>
          <w:lang w:val="fr-FR"/>
        </w:rPr>
        <w:t xml:space="preserve">Gobin </w:t>
      </w:r>
      <w:r w:rsidRPr="0000503C">
        <w:rPr>
          <w:szCs w:val="18"/>
          <w:lang w:val="fr-FR"/>
        </w:rPr>
        <w:t xml:space="preserve">c. </w:t>
      </w:r>
      <w:r w:rsidRPr="0000503C">
        <w:rPr>
          <w:i/>
          <w:iCs/>
          <w:szCs w:val="18"/>
          <w:lang w:val="fr-FR"/>
        </w:rPr>
        <w:t>Maurice</w:t>
      </w:r>
      <w:r w:rsidRPr="0000503C">
        <w:rPr>
          <w:szCs w:val="18"/>
          <w:lang w:val="fr-FR"/>
        </w:rPr>
        <w:t>, décision d</w:t>
      </w:r>
      <w:r>
        <w:rPr>
          <w:szCs w:val="18"/>
          <w:lang w:val="fr-FR"/>
        </w:rPr>
        <w:t>’</w:t>
      </w:r>
      <w:r w:rsidRPr="0000503C">
        <w:rPr>
          <w:szCs w:val="18"/>
          <w:lang w:val="fr-FR"/>
        </w:rPr>
        <w:t>irrecevabilité adoptée le 16 juillet 2001, par. 6.3.</w:t>
      </w:r>
    </w:p>
  </w:footnote>
  <w:footnote w:id="13">
    <w:p w:rsidR="005C15DE" w:rsidRDefault="005C15DE">
      <w:pPr>
        <w:pStyle w:val="FootnoteText"/>
      </w:pPr>
      <w:r>
        <w:tab/>
      </w:r>
      <w:r>
        <w:rPr>
          <w:rStyle w:val="FootnoteReference"/>
        </w:rPr>
        <w:footnoteRef/>
      </w:r>
      <w:r>
        <w:tab/>
      </w:r>
      <w:r w:rsidRPr="0000503C">
        <w:rPr>
          <w:szCs w:val="18"/>
          <w:lang w:val="fr-FR"/>
        </w:rPr>
        <w:t>Ibid.</w:t>
      </w:r>
    </w:p>
  </w:footnote>
  <w:footnote w:id="14">
    <w:p w:rsidR="005C15DE" w:rsidRDefault="005C15DE">
      <w:pPr>
        <w:pStyle w:val="FootnoteText"/>
      </w:pPr>
      <w:r>
        <w:tab/>
      </w:r>
      <w:r>
        <w:rPr>
          <w:rStyle w:val="FootnoteReference"/>
        </w:rPr>
        <w:footnoteRef/>
      </w:r>
      <w:r>
        <w:tab/>
      </w:r>
      <w:r w:rsidRPr="0000503C">
        <w:rPr>
          <w:szCs w:val="18"/>
          <w:lang w:val="fr-FR"/>
        </w:rPr>
        <w:t xml:space="preserve">Voir les </w:t>
      </w:r>
      <w:r w:rsidRPr="0000503C" w:rsidDel="009742D9">
        <w:rPr>
          <w:szCs w:val="18"/>
          <w:lang w:val="fr-FR" w:eastAsia="en-GB"/>
        </w:rPr>
        <w:t>c</w:t>
      </w:r>
      <w:r w:rsidRPr="0000503C">
        <w:rPr>
          <w:szCs w:val="18"/>
          <w:lang w:val="fr-FR" w:eastAsia="en-GB"/>
        </w:rPr>
        <w:t xml:space="preserve">ommunications </w:t>
      </w:r>
      <w:r w:rsidRPr="0000503C">
        <w:rPr>
          <w:rFonts w:eastAsia="MS Mincho"/>
          <w:szCs w:val="18"/>
          <w:lang w:val="fr-FR" w:eastAsia="en-GB"/>
        </w:rPr>
        <w:t>n</w:t>
      </w:r>
      <w:r w:rsidRPr="0000503C">
        <w:rPr>
          <w:rFonts w:eastAsia="MS Mincho"/>
          <w:szCs w:val="18"/>
          <w:vertAlign w:val="superscript"/>
          <w:lang w:val="fr-FR" w:eastAsia="en-GB"/>
        </w:rPr>
        <w:t>o</w:t>
      </w:r>
      <w:r w:rsidRPr="0000503C">
        <w:rPr>
          <w:szCs w:val="18"/>
          <w:lang w:val="fr-FR" w:eastAsia="en-GB"/>
        </w:rPr>
        <w:t xml:space="preserve"> 1422/2005, </w:t>
      </w:r>
      <w:r w:rsidRPr="0000503C">
        <w:rPr>
          <w:i/>
          <w:szCs w:val="18"/>
          <w:lang w:val="fr-FR" w:eastAsia="en-GB"/>
        </w:rPr>
        <w:t xml:space="preserve">El Hassy </w:t>
      </w:r>
      <w:r w:rsidRPr="0000503C">
        <w:rPr>
          <w:szCs w:val="18"/>
          <w:lang w:val="fr-FR" w:eastAsia="en-GB"/>
        </w:rPr>
        <w:t>c</w:t>
      </w:r>
      <w:r w:rsidRPr="0000503C">
        <w:rPr>
          <w:i/>
          <w:szCs w:val="18"/>
          <w:lang w:val="fr-FR" w:eastAsia="en-GB"/>
        </w:rPr>
        <w:t>. Jamahiriya arabe libyenne</w:t>
      </w:r>
      <w:r w:rsidRPr="0000503C">
        <w:rPr>
          <w:szCs w:val="18"/>
          <w:lang w:val="fr-FR" w:eastAsia="en-GB"/>
        </w:rPr>
        <w:t xml:space="preserve">, </w:t>
      </w:r>
      <w:r w:rsidRPr="0000503C">
        <w:rPr>
          <w:szCs w:val="18"/>
          <w:lang w:val="fr-FR"/>
        </w:rPr>
        <w:t xml:space="preserve">constatations adoptées le </w:t>
      </w:r>
      <w:r w:rsidRPr="0000503C">
        <w:rPr>
          <w:szCs w:val="18"/>
          <w:lang w:val="fr-FR" w:eastAsia="en-GB"/>
        </w:rPr>
        <w:t xml:space="preserve">24 octobre 2007, par. 6.7, </w:t>
      </w:r>
      <w:r w:rsidRPr="0000503C">
        <w:rPr>
          <w:rFonts w:eastAsia="MS Mincho"/>
          <w:szCs w:val="18"/>
          <w:lang w:val="fr-FR" w:eastAsia="en-GB"/>
        </w:rPr>
        <w:t>n</w:t>
      </w:r>
      <w:r w:rsidRPr="0000503C">
        <w:rPr>
          <w:rFonts w:eastAsia="MS Mincho"/>
          <w:szCs w:val="18"/>
          <w:vertAlign w:val="superscript"/>
          <w:lang w:val="fr-FR" w:eastAsia="en-GB"/>
        </w:rPr>
        <w:t>o</w:t>
      </w:r>
      <w:r w:rsidRPr="0000503C">
        <w:rPr>
          <w:szCs w:val="18"/>
          <w:lang w:val="fr-FR" w:eastAsia="en-GB"/>
        </w:rPr>
        <w:t xml:space="preserve"> 1297/2004, </w:t>
      </w:r>
      <w:r w:rsidRPr="0000503C">
        <w:rPr>
          <w:i/>
          <w:szCs w:val="18"/>
          <w:lang w:val="fr-FR" w:eastAsia="en-GB"/>
        </w:rPr>
        <w:t xml:space="preserve">Medjnoune </w:t>
      </w:r>
      <w:r w:rsidRPr="0000503C">
        <w:rPr>
          <w:szCs w:val="18"/>
          <w:lang w:val="fr-FR" w:eastAsia="en-GB"/>
        </w:rPr>
        <w:t>c</w:t>
      </w:r>
      <w:r w:rsidRPr="0000503C">
        <w:rPr>
          <w:i/>
          <w:szCs w:val="18"/>
          <w:lang w:val="fr-FR" w:eastAsia="en-GB"/>
        </w:rPr>
        <w:t>. Algérie</w:t>
      </w:r>
      <w:r w:rsidRPr="0000503C">
        <w:rPr>
          <w:szCs w:val="18"/>
          <w:lang w:val="fr-FR" w:eastAsia="en-GB"/>
        </w:rPr>
        <w:t xml:space="preserve">, </w:t>
      </w:r>
      <w:r w:rsidRPr="0000503C">
        <w:rPr>
          <w:szCs w:val="18"/>
          <w:lang w:val="fr-FR"/>
        </w:rPr>
        <w:t xml:space="preserve">constatations adoptées le </w:t>
      </w:r>
      <w:r w:rsidRPr="0000503C">
        <w:rPr>
          <w:szCs w:val="18"/>
          <w:lang w:val="fr-FR" w:eastAsia="en-GB"/>
        </w:rPr>
        <w:t xml:space="preserve">14 juillet 2006, par. 8.3, et </w:t>
      </w:r>
      <w:r w:rsidRPr="0000503C">
        <w:rPr>
          <w:rFonts w:eastAsia="MS Mincho"/>
          <w:szCs w:val="18"/>
          <w:lang w:val="fr-FR" w:eastAsia="en-GB"/>
        </w:rPr>
        <w:t>n</w:t>
      </w:r>
      <w:r w:rsidRPr="0000503C">
        <w:rPr>
          <w:rFonts w:eastAsia="MS Mincho"/>
          <w:szCs w:val="18"/>
          <w:vertAlign w:val="superscript"/>
          <w:lang w:val="fr-FR" w:eastAsia="en-GB"/>
        </w:rPr>
        <w:t>o</w:t>
      </w:r>
      <w:r w:rsidRPr="0000503C">
        <w:rPr>
          <w:szCs w:val="18"/>
          <w:lang w:val="fr-FR" w:eastAsia="en-GB"/>
        </w:rPr>
        <w:t xml:space="preserve"> 1804/2008, </w:t>
      </w:r>
      <w:r w:rsidRPr="0000503C">
        <w:rPr>
          <w:i/>
          <w:szCs w:val="18"/>
          <w:lang w:val="fr-FR" w:eastAsia="en-GB"/>
        </w:rPr>
        <w:t xml:space="preserve">Il Khwildy </w:t>
      </w:r>
      <w:r w:rsidRPr="0000503C">
        <w:rPr>
          <w:szCs w:val="18"/>
          <w:lang w:val="fr-FR" w:eastAsia="en-GB"/>
        </w:rPr>
        <w:t>c</w:t>
      </w:r>
      <w:r w:rsidRPr="0000503C">
        <w:rPr>
          <w:i/>
          <w:szCs w:val="18"/>
          <w:lang w:val="fr-FR" w:eastAsia="en-GB"/>
        </w:rPr>
        <w:t>. Libye</w:t>
      </w:r>
      <w:r w:rsidRPr="0000503C">
        <w:rPr>
          <w:szCs w:val="18"/>
          <w:lang w:val="fr-FR" w:eastAsia="en-GB"/>
        </w:rPr>
        <w:t xml:space="preserve">, </w:t>
      </w:r>
      <w:r w:rsidRPr="0000503C">
        <w:rPr>
          <w:szCs w:val="18"/>
          <w:lang w:val="fr-FR"/>
        </w:rPr>
        <w:t>constatations adoptées le</w:t>
      </w:r>
      <w:r w:rsidRPr="0000503C">
        <w:rPr>
          <w:szCs w:val="18"/>
          <w:lang w:val="fr-FR" w:eastAsia="en-GB"/>
        </w:rPr>
        <w:t xml:space="preserve"> 1</w:t>
      </w:r>
      <w:r w:rsidRPr="0000503C">
        <w:rPr>
          <w:szCs w:val="18"/>
          <w:vertAlign w:val="superscript"/>
          <w:lang w:val="fr-FR" w:eastAsia="en-GB"/>
        </w:rPr>
        <w:t>er</w:t>
      </w:r>
      <w:r w:rsidRPr="0000503C">
        <w:rPr>
          <w:szCs w:val="18"/>
          <w:lang w:val="fr-FR" w:eastAsia="en-GB"/>
        </w:rPr>
        <w:t xml:space="preserve"> novembre 2012, par. 7.2. </w:t>
      </w:r>
    </w:p>
  </w:footnote>
  <w:footnote w:id="15">
    <w:p w:rsidR="005C15DE" w:rsidRDefault="005C15DE">
      <w:pPr>
        <w:pStyle w:val="FootnoteText"/>
      </w:pPr>
      <w:r>
        <w:tab/>
      </w:r>
      <w:r>
        <w:rPr>
          <w:rStyle w:val="FootnoteReference"/>
        </w:rPr>
        <w:footnoteRef/>
      </w:r>
      <w:r>
        <w:tab/>
      </w:r>
      <w:r w:rsidRPr="0000503C">
        <w:rPr>
          <w:szCs w:val="18"/>
          <w:lang w:val="fr-FR"/>
        </w:rPr>
        <w:t xml:space="preserve">Voir la </w:t>
      </w:r>
      <w:r w:rsidRPr="0000503C" w:rsidDel="009742D9">
        <w:rPr>
          <w:szCs w:val="18"/>
          <w:lang w:val="fr-FR"/>
        </w:rPr>
        <w:t>c</w:t>
      </w:r>
      <w:r w:rsidRPr="0000503C">
        <w:rPr>
          <w:szCs w:val="18"/>
          <w:lang w:val="fr-FR"/>
        </w:rPr>
        <w:t xml:space="preserve">ommunication </w:t>
      </w:r>
      <w:r w:rsidRPr="0000503C">
        <w:rPr>
          <w:rFonts w:eastAsia="MS Mincho"/>
          <w:szCs w:val="18"/>
          <w:lang w:val="fr-FR" w:eastAsia="en-GB"/>
        </w:rPr>
        <w:t>n</w:t>
      </w:r>
      <w:r w:rsidRPr="0000503C">
        <w:rPr>
          <w:rFonts w:eastAsia="MS Mincho"/>
          <w:szCs w:val="18"/>
          <w:vertAlign w:val="superscript"/>
          <w:lang w:val="fr-FR" w:eastAsia="en-GB"/>
        </w:rPr>
        <w:t>o</w:t>
      </w:r>
      <w:r w:rsidRPr="0000503C">
        <w:rPr>
          <w:szCs w:val="18"/>
          <w:lang w:val="fr-FR" w:eastAsia="en-GB"/>
        </w:rPr>
        <w:t> </w:t>
      </w:r>
      <w:r w:rsidRPr="0000503C">
        <w:rPr>
          <w:szCs w:val="18"/>
          <w:lang w:val="fr-FR"/>
        </w:rPr>
        <w:t xml:space="preserve">1913/2009, </w:t>
      </w:r>
      <w:r w:rsidRPr="0000503C">
        <w:rPr>
          <w:i/>
          <w:szCs w:val="18"/>
          <w:lang w:val="fr-FR"/>
        </w:rPr>
        <w:t xml:space="preserve">Abushaala </w:t>
      </w:r>
      <w:r w:rsidRPr="0000503C">
        <w:rPr>
          <w:szCs w:val="18"/>
          <w:lang w:val="fr-FR"/>
        </w:rPr>
        <w:t>c</w:t>
      </w:r>
      <w:r w:rsidRPr="0000503C">
        <w:rPr>
          <w:i/>
          <w:szCs w:val="18"/>
          <w:lang w:val="fr-FR"/>
        </w:rPr>
        <w:t>. Libye</w:t>
      </w:r>
      <w:r w:rsidRPr="0000503C">
        <w:rPr>
          <w:szCs w:val="18"/>
          <w:lang w:val="fr-FR"/>
        </w:rPr>
        <w:t>, constatations adoptées le 18 mars 2013, par. 6.2.</w:t>
      </w:r>
    </w:p>
  </w:footnote>
  <w:footnote w:id="16">
    <w:p w:rsidR="005C15DE" w:rsidRDefault="005C15DE">
      <w:pPr>
        <w:pStyle w:val="FootnoteText"/>
      </w:pPr>
      <w:r>
        <w:tab/>
      </w:r>
      <w:r>
        <w:rPr>
          <w:rStyle w:val="FootnoteReference"/>
        </w:rPr>
        <w:footnoteRef/>
      </w:r>
      <w:r>
        <w:tab/>
      </w:r>
      <w:r w:rsidRPr="0000503C">
        <w:rPr>
          <w:szCs w:val="18"/>
          <w:lang w:val="fr-FR"/>
        </w:rPr>
        <w:t xml:space="preserve">Voir </w:t>
      </w:r>
      <w:r w:rsidRPr="0000503C">
        <w:rPr>
          <w:i/>
          <w:szCs w:val="18"/>
          <w:lang w:val="fr-FR" w:eastAsia="en-GB"/>
        </w:rPr>
        <w:t xml:space="preserve">Il Khwildy </w:t>
      </w:r>
      <w:r w:rsidRPr="0000503C">
        <w:rPr>
          <w:szCs w:val="18"/>
          <w:lang w:val="fr-FR" w:eastAsia="en-GB"/>
        </w:rPr>
        <w:t>c</w:t>
      </w:r>
      <w:r w:rsidRPr="0000503C">
        <w:rPr>
          <w:i/>
          <w:szCs w:val="18"/>
          <w:lang w:val="fr-FR" w:eastAsia="en-GB"/>
        </w:rPr>
        <w:t>. Libye</w:t>
      </w:r>
      <w:r w:rsidRPr="0000503C">
        <w:rPr>
          <w:szCs w:val="18"/>
          <w:lang w:val="fr-FR" w:eastAsia="en-GB"/>
        </w:rPr>
        <w:t>,</w:t>
      </w:r>
      <w:r>
        <w:rPr>
          <w:szCs w:val="18"/>
          <w:lang w:val="fr-FR" w:eastAsia="en-GB"/>
        </w:rPr>
        <w:t xml:space="preserve"> </w:t>
      </w:r>
      <w:r w:rsidRPr="0000503C">
        <w:rPr>
          <w:szCs w:val="18"/>
          <w:lang w:val="fr-FR" w:eastAsia="en-GB"/>
        </w:rPr>
        <w:t>par. 7.12.</w:t>
      </w:r>
    </w:p>
  </w:footnote>
  <w:footnote w:id="17">
    <w:p w:rsidR="005C15DE" w:rsidRDefault="005C15DE">
      <w:pPr>
        <w:pStyle w:val="FootnoteText"/>
      </w:pPr>
      <w:r>
        <w:tab/>
      </w:r>
      <w:r>
        <w:rPr>
          <w:rStyle w:val="FootnoteReference"/>
        </w:rPr>
        <w:footnoteRef/>
      </w:r>
      <w:r>
        <w:tab/>
      </w:r>
      <w:r w:rsidRPr="0000503C">
        <w:rPr>
          <w:szCs w:val="18"/>
          <w:lang w:val="fr-FR"/>
        </w:rPr>
        <w:t xml:space="preserve">Voir les communications </w:t>
      </w:r>
      <w:r w:rsidRPr="0000503C">
        <w:rPr>
          <w:rFonts w:eastAsia="MS Mincho"/>
          <w:szCs w:val="18"/>
          <w:lang w:val="fr-FR" w:eastAsia="en-GB"/>
        </w:rPr>
        <w:t>n</w:t>
      </w:r>
      <w:r w:rsidRPr="0000503C">
        <w:rPr>
          <w:rFonts w:eastAsia="MS Mincho"/>
          <w:szCs w:val="18"/>
          <w:vertAlign w:val="superscript"/>
          <w:lang w:val="fr-FR" w:eastAsia="en-GB"/>
        </w:rPr>
        <w:t>o</w:t>
      </w:r>
      <w:r w:rsidRPr="0000503C">
        <w:rPr>
          <w:szCs w:val="18"/>
          <w:lang w:val="fr-FR" w:eastAsia="en-GB"/>
        </w:rPr>
        <w:t> </w:t>
      </w:r>
      <w:r w:rsidRPr="0000503C">
        <w:rPr>
          <w:szCs w:val="18"/>
          <w:lang w:val="fr-FR"/>
        </w:rPr>
        <w:t xml:space="preserve">1640/2007, </w:t>
      </w:r>
      <w:r w:rsidRPr="0000503C">
        <w:rPr>
          <w:i/>
          <w:iCs/>
          <w:szCs w:val="18"/>
          <w:lang w:val="fr-FR"/>
        </w:rPr>
        <w:t xml:space="preserve">El Abani </w:t>
      </w:r>
      <w:r w:rsidRPr="0000503C">
        <w:rPr>
          <w:szCs w:val="18"/>
          <w:lang w:val="fr-FR"/>
        </w:rPr>
        <w:t xml:space="preserve">c. </w:t>
      </w:r>
      <w:r w:rsidRPr="0000503C">
        <w:rPr>
          <w:i/>
          <w:iCs/>
          <w:szCs w:val="18"/>
          <w:lang w:val="fr-FR"/>
        </w:rPr>
        <w:t>Jamahiriya arabe libyenne</w:t>
      </w:r>
      <w:r w:rsidRPr="0000503C">
        <w:rPr>
          <w:szCs w:val="18"/>
          <w:lang w:val="fr-FR"/>
        </w:rPr>
        <w:t xml:space="preserve">, constatations adoptées le 26 juillet 2010, par. 7.5, </w:t>
      </w:r>
      <w:r w:rsidRPr="00781EA2">
        <w:rPr>
          <w:rFonts w:eastAsia="MS Mincho"/>
          <w:szCs w:val="18"/>
          <w:lang w:val="fr-FR"/>
        </w:rPr>
        <w:t>n</w:t>
      </w:r>
      <w:r w:rsidRPr="00781EA2">
        <w:rPr>
          <w:rFonts w:eastAsia="MS Mincho"/>
          <w:szCs w:val="18"/>
          <w:vertAlign w:val="superscript"/>
          <w:lang w:val="fr-FR"/>
        </w:rPr>
        <w:t>o</w:t>
      </w:r>
      <w:r>
        <w:rPr>
          <w:szCs w:val="18"/>
          <w:lang w:val="fr-FR"/>
        </w:rPr>
        <w:t> </w:t>
      </w:r>
      <w:r w:rsidRPr="0000503C">
        <w:rPr>
          <w:szCs w:val="18"/>
          <w:lang w:val="fr-FR"/>
        </w:rPr>
        <w:t xml:space="preserve">1295/2004, </w:t>
      </w:r>
      <w:r w:rsidRPr="0000503C">
        <w:rPr>
          <w:i/>
          <w:iCs/>
          <w:szCs w:val="18"/>
          <w:lang w:val="fr-FR"/>
        </w:rPr>
        <w:t xml:space="preserve">El Awani </w:t>
      </w:r>
      <w:r w:rsidRPr="0000503C">
        <w:rPr>
          <w:szCs w:val="18"/>
          <w:lang w:val="fr-FR"/>
        </w:rPr>
        <w:t xml:space="preserve">c. </w:t>
      </w:r>
      <w:r w:rsidRPr="0000503C">
        <w:rPr>
          <w:i/>
          <w:iCs/>
          <w:szCs w:val="18"/>
          <w:lang w:val="fr-FR"/>
        </w:rPr>
        <w:t>Jamahiriya arabe libyenne</w:t>
      </w:r>
      <w:r w:rsidRPr="0000503C">
        <w:rPr>
          <w:szCs w:val="18"/>
          <w:lang w:val="fr-FR"/>
        </w:rPr>
        <w:t xml:space="preserve">, constatations adoptées le </w:t>
      </w:r>
      <w:r w:rsidRPr="0000503C">
        <w:rPr>
          <w:iCs/>
          <w:szCs w:val="18"/>
          <w:lang w:val="fr-FR"/>
        </w:rPr>
        <w:t>11 </w:t>
      </w:r>
      <w:r w:rsidRPr="0000503C">
        <w:rPr>
          <w:szCs w:val="18"/>
          <w:lang w:val="fr-FR"/>
        </w:rPr>
        <w:t xml:space="preserve">juillet </w:t>
      </w:r>
      <w:r w:rsidRPr="0000503C">
        <w:rPr>
          <w:iCs/>
          <w:szCs w:val="18"/>
          <w:lang w:val="fr-FR"/>
        </w:rPr>
        <w:t>2007</w:t>
      </w:r>
      <w:r w:rsidRPr="0000503C">
        <w:rPr>
          <w:szCs w:val="18"/>
          <w:lang w:val="fr-FR"/>
        </w:rPr>
        <w:t xml:space="preserve">, par. 6.5, </w:t>
      </w:r>
      <w:r w:rsidRPr="00781EA2">
        <w:rPr>
          <w:rFonts w:eastAsia="MS Mincho"/>
          <w:szCs w:val="18"/>
          <w:lang w:val="fr-FR"/>
        </w:rPr>
        <w:t>n</w:t>
      </w:r>
      <w:r w:rsidRPr="00781EA2">
        <w:rPr>
          <w:rFonts w:eastAsia="MS Mincho"/>
          <w:szCs w:val="18"/>
          <w:vertAlign w:val="superscript"/>
          <w:lang w:val="fr-FR"/>
        </w:rPr>
        <w:t>o</w:t>
      </w:r>
      <w:r>
        <w:rPr>
          <w:szCs w:val="18"/>
          <w:lang w:val="fr-FR"/>
        </w:rPr>
        <w:t> </w:t>
      </w:r>
      <w:r w:rsidRPr="0000503C">
        <w:rPr>
          <w:szCs w:val="18"/>
          <w:lang w:val="fr-FR"/>
        </w:rPr>
        <w:t xml:space="preserve">107/1981, </w:t>
      </w:r>
      <w:r w:rsidRPr="0000503C">
        <w:rPr>
          <w:i/>
          <w:iCs/>
          <w:szCs w:val="18"/>
          <w:lang w:val="fr-FR"/>
        </w:rPr>
        <w:t xml:space="preserve">Quinteros </w:t>
      </w:r>
      <w:r w:rsidRPr="0000503C">
        <w:rPr>
          <w:szCs w:val="18"/>
          <w:lang w:val="fr-FR"/>
        </w:rPr>
        <w:t>c.</w:t>
      </w:r>
      <w:r w:rsidRPr="0000503C">
        <w:rPr>
          <w:i/>
          <w:iCs/>
          <w:szCs w:val="18"/>
          <w:lang w:val="fr-FR"/>
        </w:rPr>
        <w:t xml:space="preserve"> Uruguay</w:t>
      </w:r>
      <w:r w:rsidRPr="0000503C">
        <w:rPr>
          <w:szCs w:val="18"/>
          <w:lang w:val="fr-FR"/>
        </w:rPr>
        <w:t xml:space="preserve">, constatations adoptées le 21 juillet 1983, par. 14, et </w:t>
      </w:r>
      <w:r w:rsidRPr="00781EA2">
        <w:rPr>
          <w:rFonts w:eastAsia="MS Mincho"/>
          <w:szCs w:val="18"/>
        </w:rPr>
        <w:t>n</w:t>
      </w:r>
      <w:r w:rsidRPr="00781EA2">
        <w:rPr>
          <w:rFonts w:eastAsia="MS Mincho"/>
          <w:szCs w:val="18"/>
          <w:vertAlign w:val="superscript"/>
        </w:rPr>
        <w:t>o</w:t>
      </w:r>
      <w:r>
        <w:rPr>
          <w:szCs w:val="18"/>
        </w:rPr>
        <w:t> </w:t>
      </w:r>
      <w:r w:rsidRPr="0000503C">
        <w:rPr>
          <w:szCs w:val="18"/>
          <w:lang w:val="fr-FR"/>
        </w:rPr>
        <w:t xml:space="preserve">950/2000, </w:t>
      </w:r>
      <w:r w:rsidRPr="0000503C">
        <w:rPr>
          <w:i/>
          <w:iCs/>
          <w:szCs w:val="18"/>
          <w:lang w:val="fr-FR"/>
        </w:rPr>
        <w:t xml:space="preserve">Sarma </w:t>
      </w:r>
      <w:r w:rsidRPr="0000503C">
        <w:rPr>
          <w:szCs w:val="18"/>
          <w:lang w:val="fr-FR"/>
        </w:rPr>
        <w:t xml:space="preserve">c. </w:t>
      </w:r>
      <w:r w:rsidRPr="0000503C">
        <w:rPr>
          <w:i/>
          <w:iCs/>
          <w:szCs w:val="18"/>
          <w:lang w:val="fr-FR"/>
        </w:rPr>
        <w:t>Sri Lanka</w:t>
      </w:r>
      <w:r w:rsidRPr="0000503C">
        <w:rPr>
          <w:szCs w:val="18"/>
          <w:lang w:val="fr-FR"/>
        </w:rPr>
        <w:t>, constatations adoptées le 16 juillet 2003, par. 9.5.</w:t>
      </w:r>
    </w:p>
  </w:footnote>
  <w:footnote w:id="18">
    <w:p w:rsidR="005C15DE" w:rsidRDefault="005C15DE">
      <w:pPr>
        <w:pStyle w:val="FootnoteText"/>
      </w:pPr>
      <w:r>
        <w:tab/>
      </w:r>
      <w:r>
        <w:rPr>
          <w:rStyle w:val="FootnoteReference"/>
        </w:rPr>
        <w:footnoteRef/>
      </w:r>
      <w:r>
        <w:tab/>
      </w:r>
      <w:r w:rsidRPr="00302890">
        <w:rPr>
          <w:szCs w:val="18"/>
          <w:lang w:val="fr-FR"/>
        </w:rPr>
        <w:t xml:space="preserve">Voir </w:t>
      </w:r>
      <w:r w:rsidRPr="00302890">
        <w:rPr>
          <w:i/>
          <w:iCs/>
          <w:szCs w:val="18"/>
          <w:lang w:val="fr-FR"/>
        </w:rPr>
        <w:t xml:space="preserve">El Abani </w:t>
      </w:r>
      <w:r w:rsidRPr="00302890">
        <w:rPr>
          <w:szCs w:val="18"/>
          <w:lang w:val="fr-FR"/>
        </w:rPr>
        <w:t xml:space="preserve">c. </w:t>
      </w:r>
      <w:r w:rsidRPr="00302890">
        <w:rPr>
          <w:i/>
          <w:iCs/>
          <w:szCs w:val="18"/>
          <w:lang w:val="fr-FR"/>
        </w:rPr>
        <w:t>Jamahiriya arabe libyenne</w:t>
      </w:r>
      <w:r w:rsidRPr="00302890">
        <w:rPr>
          <w:szCs w:val="18"/>
          <w:lang w:val="fr-FR"/>
        </w:rPr>
        <w:t>, par</w:t>
      </w:r>
      <w:r>
        <w:rPr>
          <w:szCs w:val="18"/>
          <w:lang w:val="fr-FR"/>
        </w:rPr>
        <w:t> </w:t>
      </w:r>
      <w:r w:rsidRPr="00302890">
        <w:rPr>
          <w:szCs w:val="18"/>
          <w:lang w:val="fr-FR"/>
        </w:rPr>
        <w:t xml:space="preserve">7.9, et les communications </w:t>
      </w:r>
      <w:r w:rsidRPr="00302890">
        <w:rPr>
          <w:rFonts w:eastAsia="MS Mincho"/>
          <w:szCs w:val="18"/>
          <w:lang w:val="fr-FR"/>
        </w:rPr>
        <w:t>n</w:t>
      </w:r>
      <w:r w:rsidRPr="00302890">
        <w:rPr>
          <w:rFonts w:eastAsia="MS Mincho"/>
          <w:szCs w:val="18"/>
          <w:vertAlign w:val="superscript"/>
          <w:lang w:val="fr-FR"/>
        </w:rPr>
        <w:t>o</w:t>
      </w:r>
      <w:r>
        <w:rPr>
          <w:szCs w:val="18"/>
          <w:lang w:val="fr-FR"/>
        </w:rPr>
        <w:t> </w:t>
      </w:r>
      <w:r w:rsidRPr="00302890">
        <w:rPr>
          <w:szCs w:val="18"/>
          <w:lang w:val="fr-FR"/>
        </w:rPr>
        <w:t xml:space="preserve">1327/2004, </w:t>
      </w:r>
      <w:r w:rsidRPr="00302890">
        <w:rPr>
          <w:i/>
          <w:szCs w:val="18"/>
          <w:lang w:val="fr-FR"/>
        </w:rPr>
        <w:t xml:space="preserve">Grioua </w:t>
      </w:r>
      <w:r w:rsidRPr="00302890">
        <w:rPr>
          <w:szCs w:val="18"/>
          <w:lang w:val="fr-FR"/>
        </w:rPr>
        <w:t>c</w:t>
      </w:r>
      <w:r w:rsidRPr="00302890">
        <w:rPr>
          <w:i/>
          <w:szCs w:val="18"/>
          <w:lang w:val="fr-FR"/>
        </w:rPr>
        <w:t>.</w:t>
      </w:r>
      <w:r>
        <w:rPr>
          <w:i/>
          <w:szCs w:val="18"/>
          <w:lang w:val="fr-FR"/>
        </w:rPr>
        <w:t> </w:t>
      </w:r>
      <w:r w:rsidRPr="00302890">
        <w:rPr>
          <w:i/>
          <w:szCs w:val="18"/>
          <w:lang w:val="fr-FR"/>
        </w:rPr>
        <w:t>Algérie</w:t>
      </w:r>
      <w:r w:rsidRPr="00302890">
        <w:rPr>
          <w:szCs w:val="18"/>
          <w:lang w:val="fr-FR"/>
        </w:rPr>
        <w:t>, constatations adoptées le 10</w:t>
      </w:r>
      <w:r>
        <w:rPr>
          <w:szCs w:val="18"/>
          <w:lang w:val="fr-FR"/>
        </w:rPr>
        <w:t> </w:t>
      </w:r>
      <w:r w:rsidRPr="00302890">
        <w:rPr>
          <w:szCs w:val="18"/>
          <w:lang w:val="fr-FR"/>
        </w:rPr>
        <w:t>juillet 2007, par.</w:t>
      </w:r>
      <w:r>
        <w:rPr>
          <w:szCs w:val="18"/>
          <w:lang w:val="fr-FR"/>
        </w:rPr>
        <w:t> </w:t>
      </w:r>
      <w:r w:rsidRPr="00302890">
        <w:rPr>
          <w:szCs w:val="18"/>
          <w:lang w:val="fr-FR"/>
        </w:rPr>
        <w:t xml:space="preserve">7.8, </w:t>
      </w:r>
      <w:r w:rsidRPr="00302890">
        <w:rPr>
          <w:rFonts w:eastAsia="MS Mincho"/>
          <w:szCs w:val="18"/>
          <w:lang w:val="fr-FR"/>
        </w:rPr>
        <w:t>n</w:t>
      </w:r>
      <w:r w:rsidRPr="00302890">
        <w:rPr>
          <w:rFonts w:eastAsia="MS Mincho"/>
          <w:szCs w:val="18"/>
          <w:vertAlign w:val="superscript"/>
          <w:lang w:val="fr-FR"/>
        </w:rPr>
        <w:t>o</w:t>
      </w:r>
      <w:r>
        <w:rPr>
          <w:szCs w:val="18"/>
          <w:lang w:val="fr-FR"/>
        </w:rPr>
        <w:t> </w:t>
      </w:r>
      <w:r w:rsidRPr="00302890">
        <w:rPr>
          <w:szCs w:val="18"/>
          <w:lang w:val="fr-FR"/>
        </w:rPr>
        <w:t xml:space="preserve">1495/2006, </w:t>
      </w:r>
      <w:r w:rsidRPr="00302890">
        <w:rPr>
          <w:i/>
          <w:szCs w:val="18"/>
          <w:lang w:val="fr-FR"/>
        </w:rPr>
        <w:t xml:space="preserve">Madoui </w:t>
      </w:r>
      <w:r w:rsidRPr="00302890">
        <w:rPr>
          <w:szCs w:val="18"/>
          <w:lang w:val="fr-FR"/>
        </w:rPr>
        <w:t>c</w:t>
      </w:r>
      <w:r w:rsidRPr="00302890">
        <w:rPr>
          <w:i/>
          <w:szCs w:val="18"/>
          <w:lang w:val="fr-FR"/>
        </w:rPr>
        <w:t>. Algérie</w:t>
      </w:r>
      <w:r w:rsidRPr="00302890">
        <w:rPr>
          <w:szCs w:val="18"/>
          <w:lang w:val="fr-FR"/>
        </w:rPr>
        <w:t>, constatations adoptées le 28</w:t>
      </w:r>
      <w:r>
        <w:rPr>
          <w:szCs w:val="18"/>
          <w:lang w:val="fr-FR"/>
        </w:rPr>
        <w:t> </w:t>
      </w:r>
      <w:r w:rsidRPr="00302890">
        <w:rPr>
          <w:szCs w:val="18"/>
          <w:lang w:val="fr-FR"/>
        </w:rPr>
        <w:t>octobre 2008, par.</w:t>
      </w:r>
      <w:r>
        <w:rPr>
          <w:szCs w:val="18"/>
          <w:lang w:val="fr-FR"/>
        </w:rPr>
        <w:t> </w:t>
      </w:r>
      <w:r w:rsidRPr="00302890">
        <w:rPr>
          <w:szCs w:val="18"/>
          <w:lang w:val="fr-FR"/>
        </w:rPr>
        <w:t xml:space="preserve">7.7, et </w:t>
      </w:r>
      <w:r w:rsidRPr="00302890">
        <w:rPr>
          <w:rFonts w:eastAsia="MS Mincho"/>
          <w:szCs w:val="18"/>
          <w:lang w:val="fr-FR"/>
        </w:rPr>
        <w:t>n</w:t>
      </w:r>
      <w:r w:rsidRPr="00302890">
        <w:rPr>
          <w:rFonts w:eastAsia="MS Mincho"/>
          <w:szCs w:val="18"/>
          <w:vertAlign w:val="superscript"/>
          <w:lang w:val="fr-FR"/>
        </w:rPr>
        <w:t>o</w:t>
      </w:r>
      <w:r>
        <w:rPr>
          <w:szCs w:val="18"/>
          <w:lang w:val="fr-FR"/>
        </w:rPr>
        <w:t> </w:t>
      </w:r>
      <w:r w:rsidRPr="00302890">
        <w:rPr>
          <w:szCs w:val="18"/>
          <w:lang w:val="fr-FR"/>
        </w:rPr>
        <w:t xml:space="preserve">1905/2009, </w:t>
      </w:r>
      <w:r w:rsidRPr="00302890">
        <w:rPr>
          <w:i/>
          <w:szCs w:val="18"/>
          <w:lang w:val="fr-FR"/>
        </w:rPr>
        <w:t>Khirani</w:t>
      </w:r>
      <w:r w:rsidRPr="00302890">
        <w:rPr>
          <w:szCs w:val="18"/>
          <w:lang w:val="fr-FR"/>
        </w:rPr>
        <w:t xml:space="preserve"> c. </w:t>
      </w:r>
      <w:r w:rsidRPr="00302890">
        <w:rPr>
          <w:i/>
          <w:szCs w:val="18"/>
          <w:lang w:val="fr-FR"/>
        </w:rPr>
        <w:t>Algérie</w:t>
      </w:r>
      <w:r w:rsidRPr="00302890">
        <w:rPr>
          <w:szCs w:val="18"/>
          <w:lang w:val="fr-FR"/>
        </w:rPr>
        <w:t>, constatations</w:t>
      </w:r>
      <w:r>
        <w:rPr>
          <w:szCs w:val="18"/>
          <w:lang w:val="fr-FR"/>
        </w:rPr>
        <w:t> </w:t>
      </w:r>
      <w:r w:rsidRPr="00302890">
        <w:rPr>
          <w:szCs w:val="18"/>
          <w:lang w:val="fr-FR"/>
        </w:rPr>
        <w:t>adoptées le 26</w:t>
      </w:r>
      <w:r>
        <w:rPr>
          <w:szCs w:val="18"/>
          <w:lang w:val="fr-FR"/>
        </w:rPr>
        <w:t> </w:t>
      </w:r>
      <w:r w:rsidRPr="00302890">
        <w:rPr>
          <w:szCs w:val="18"/>
          <w:lang w:val="fr-FR"/>
        </w:rPr>
        <w:t>mars 2012, par.</w:t>
      </w:r>
      <w:r>
        <w:rPr>
          <w:szCs w:val="18"/>
          <w:lang w:val="fr-FR"/>
        </w:rPr>
        <w:t> </w:t>
      </w:r>
      <w:r w:rsidRPr="00302890">
        <w:rPr>
          <w:szCs w:val="18"/>
          <w:lang w:val="fr-FR"/>
        </w:rPr>
        <w:t>7.8</w:t>
      </w:r>
      <w:r w:rsidRPr="0000503C">
        <w:rPr>
          <w:szCs w:val="18"/>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C9" w:rsidRPr="00107ABC" w:rsidRDefault="00D856C9">
    <w:pPr>
      <w:pStyle w:val="Header"/>
    </w:pPr>
    <w:r>
      <w:t>CCPR/C/112/D/2111/2011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C9" w:rsidRPr="00107ABC" w:rsidRDefault="00D856C9" w:rsidP="00107ABC">
    <w:pPr>
      <w:pStyle w:val="Header"/>
      <w:jc w:val="right"/>
    </w:pPr>
    <w:r>
      <w:t>CCPR/C/112/D/2111/2011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nsid w:val="75243555"/>
    <w:multiLevelType w:val="hybridMultilevel"/>
    <w:tmpl w:val="7422DF72"/>
    <w:lvl w:ilvl="0" w:tplc="857A242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567"/>
  <w:hyphenationZone w:val="425"/>
  <w:evenAndOddHeaders/>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369F"/>
    <w:rsid w:val="00017F94"/>
    <w:rsid w:val="00023842"/>
    <w:rsid w:val="000334F9"/>
    <w:rsid w:val="0007796D"/>
    <w:rsid w:val="0008415B"/>
    <w:rsid w:val="00086394"/>
    <w:rsid w:val="000B7790"/>
    <w:rsid w:val="000C2225"/>
    <w:rsid w:val="00107ABC"/>
    <w:rsid w:val="00111F2F"/>
    <w:rsid w:val="0014365E"/>
    <w:rsid w:val="001607EB"/>
    <w:rsid w:val="00176178"/>
    <w:rsid w:val="001B379B"/>
    <w:rsid w:val="001B507F"/>
    <w:rsid w:val="001F525A"/>
    <w:rsid w:val="00215608"/>
    <w:rsid w:val="00223272"/>
    <w:rsid w:val="0024779E"/>
    <w:rsid w:val="0032225A"/>
    <w:rsid w:val="003402F1"/>
    <w:rsid w:val="00351332"/>
    <w:rsid w:val="00446FE5"/>
    <w:rsid w:val="00452396"/>
    <w:rsid w:val="00453046"/>
    <w:rsid w:val="004A1C7C"/>
    <w:rsid w:val="004E3771"/>
    <w:rsid w:val="005505B7"/>
    <w:rsid w:val="00573BE5"/>
    <w:rsid w:val="00586ED3"/>
    <w:rsid w:val="00596AA9"/>
    <w:rsid w:val="005C15DE"/>
    <w:rsid w:val="005F369F"/>
    <w:rsid w:val="006747C9"/>
    <w:rsid w:val="006F71EA"/>
    <w:rsid w:val="0071601D"/>
    <w:rsid w:val="007A611C"/>
    <w:rsid w:val="007A62E6"/>
    <w:rsid w:val="007E2032"/>
    <w:rsid w:val="0080684C"/>
    <w:rsid w:val="008560DB"/>
    <w:rsid w:val="00871C75"/>
    <w:rsid w:val="008776DC"/>
    <w:rsid w:val="009705C8"/>
    <w:rsid w:val="009B1E6C"/>
    <w:rsid w:val="009B42B2"/>
    <w:rsid w:val="009E2C6A"/>
    <w:rsid w:val="00AC3823"/>
    <w:rsid w:val="00AE323C"/>
    <w:rsid w:val="00B00181"/>
    <w:rsid w:val="00B765F7"/>
    <w:rsid w:val="00BA0CA9"/>
    <w:rsid w:val="00C01ACF"/>
    <w:rsid w:val="00C02897"/>
    <w:rsid w:val="00C17581"/>
    <w:rsid w:val="00CA7BC4"/>
    <w:rsid w:val="00D05667"/>
    <w:rsid w:val="00D3439C"/>
    <w:rsid w:val="00D83177"/>
    <w:rsid w:val="00D856C9"/>
    <w:rsid w:val="00DB1831"/>
    <w:rsid w:val="00DD3BFD"/>
    <w:rsid w:val="00DF6678"/>
    <w:rsid w:val="00EC30D5"/>
    <w:rsid w:val="00EE1BD4"/>
    <w:rsid w:val="00F12152"/>
    <w:rsid w:val="00F660DF"/>
    <w:rsid w:val="00F93671"/>
    <w:rsid w:val="00F95C08"/>
    <w:rsid w:val="00FD57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line number"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line="240" w:lineRule="atLeast"/>
    </w:pPr>
    <w:rPr>
      <w:rFonts w:ascii="Times New Roman" w:hAnsi="Times New Roman" w:cs="Times New Roman"/>
      <w:lang w:val="fr-CH"/>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rPr>
      <w:lang/>
    </w:rPr>
  </w:style>
  <w:style w:type="paragraph" w:styleId="Heading3">
    <w:name w:val="heading 3"/>
    <w:basedOn w:val="Normal"/>
    <w:next w:val="Normal"/>
    <w:link w:val="Heading3Char"/>
    <w:qFormat/>
    <w:rsid w:val="00023842"/>
    <w:pPr>
      <w:outlineLvl w:val="2"/>
    </w:pPr>
    <w:rPr>
      <w:lang/>
    </w:rPr>
  </w:style>
  <w:style w:type="paragraph" w:styleId="Heading4">
    <w:name w:val="heading 4"/>
    <w:basedOn w:val="Normal"/>
    <w:next w:val="Normal"/>
    <w:link w:val="Heading4Char"/>
    <w:qFormat/>
    <w:rsid w:val="00023842"/>
    <w:pPr>
      <w:outlineLvl w:val="3"/>
    </w:pPr>
    <w:rPr>
      <w:lang/>
    </w:rPr>
  </w:style>
  <w:style w:type="paragraph" w:styleId="Heading5">
    <w:name w:val="heading 5"/>
    <w:basedOn w:val="Normal"/>
    <w:next w:val="Normal"/>
    <w:link w:val="Heading5Char"/>
    <w:qFormat/>
    <w:rsid w:val="00023842"/>
    <w:pPr>
      <w:outlineLvl w:val="4"/>
    </w:pPr>
    <w:rPr>
      <w:lang/>
    </w:rPr>
  </w:style>
  <w:style w:type="paragraph" w:styleId="Heading6">
    <w:name w:val="heading 6"/>
    <w:basedOn w:val="Normal"/>
    <w:next w:val="Normal"/>
    <w:link w:val="Heading6Char"/>
    <w:qFormat/>
    <w:rsid w:val="00023842"/>
    <w:pPr>
      <w:outlineLvl w:val="5"/>
    </w:pPr>
    <w:rPr>
      <w:lang/>
    </w:rPr>
  </w:style>
  <w:style w:type="paragraph" w:styleId="Heading7">
    <w:name w:val="heading 7"/>
    <w:basedOn w:val="Normal"/>
    <w:next w:val="Normal"/>
    <w:link w:val="Heading7Char"/>
    <w:qFormat/>
    <w:rsid w:val="00023842"/>
    <w:pPr>
      <w:outlineLvl w:val="6"/>
    </w:pPr>
    <w:rPr>
      <w:lang/>
    </w:rPr>
  </w:style>
  <w:style w:type="paragraph" w:styleId="Heading8">
    <w:name w:val="heading 8"/>
    <w:basedOn w:val="Normal"/>
    <w:next w:val="Normal"/>
    <w:link w:val="Heading8Char"/>
    <w:qFormat/>
    <w:rsid w:val="00023842"/>
    <w:pPr>
      <w:outlineLvl w:val="7"/>
    </w:pPr>
    <w:rPr>
      <w:lang/>
    </w:rPr>
  </w:style>
  <w:style w:type="paragraph" w:styleId="Heading9">
    <w:name w:val="heading 9"/>
    <w:basedOn w:val="Normal"/>
    <w:next w:val="Normal"/>
    <w:link w:val="Heading9Char"/>
    <w:qFormat/>
    <w:rsid w:val="00023842"/>
    <w:pPr>
      <w:outlineLvl w:val="8"/>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rPr>
      <w:lang/>
    </w:rPr>
  </w:style>
  <w:style w:type="character" w:customStyle="1" w:styleId="SingleTxtGChar">
    <w:name w:val="_ Single Txt_G Char"/>
    <w:link w:val="SingleTxtG"/>
    <w:rsid w:val="00C17581"/>
    <w:rPr>
      <w:rFonts w:ascii="Times New Roman" w:hAnsi="Times New Roman" w:cs="Times New Roman"/>
      <w:sz w:val="20"/>
      <w:szCs w:val="20"/>
      <w:lang w:eastAsia="en-US"/>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rsid w:val="00023842"/>
    <w:rPr>
      <w:rFonts w:ascii="Times New Roman" w:eastAsia="Times New Roman" w:hAnsi="Times New Roman" w:cs="Times New Roman"/>
      <w:sz w:val="20"/>
      <w:szCs w:val="20"/>
      <w:lang w:eastAsia="en-US"/>
    </w:rPr>
  </w:style>
  <w:style w:type="character" w:customStyle="1" w:styleId="Heading3Char">
    <w:name w:val="Heading 3 Char"/>
    <w:link w:val="Heading3"/>
    <w:rsid w:val="00023842"/>
    <w:rPr>
      <w:rFonts w:ascii="Times New Roman" w:eastAsia="Times New Roman" w:hAnsi="Times New Roman" w:cs="Times New Roman"/>
      <w:sz w:val="20"/>
      <w:szCs w:val="20"/>
      <w:lang w:eastAsia="en-US"/>
    </w:rPr>
  </w:style>
  <w:style w:type="character" w:customStyle="1" w:styleId="Heading4Char">
    <w:name w:val="Heading 4 Char"/>
    <w:link w:val="Heading4"/>
    <w:rsid w:val="00023842"/>
    <w:rPr>
      <w:rFonts w:ascii="Times New Roman" w:eastAsia="Times New Roman" w:hAnsi="Times New Roman" w:cs="Times New Roman"/>
      <w:sz w:val="20"/>
      <w:szCs w:val="20"/>
      <w:lang w:eastAsia="en-US"/>
    </w:rPr>
  </w:style>
  <w:style w:type="character" w:customStyle="1" w:styleId="Heading5Char">
    <w:name w:val="Heading 5 Char"/>
    <w:link w:val="Heading5"/>
    <w:rsid w:val="00023842"/>
    <w:rPr>
      <w:rFonts w:ascii="Times New Roman" w:eastAsia="Times New Roman" w:hAnsi="Times New Roman" w:cs="Times New Roman"/>
      <w:sz w:val="20"/>
      <w:szCs w:val="20"/>
      <w:lang w:eastAsia="en-US"/>
    </w:rPr>
  </w:style>
  <w:style w:type="character" w:customStyle="1" w:styleId="Heading6Char">
    <w:name w:val="Heading 6 Char"/>
    <w:link w:val="Heading6"/>
    <w:rsid w:val="00023842"/>
    <w:rPr>
      <w:rFonts w:ascii="Times New Roman" w:eastAsia="Times New Roman" w:hAnsi="Times New Roman" w:cs="Times New Roman"/>
      <w:sz w:val="20"/>
      <w:szCs w:val="20"/>
      <w:lang w:eastAsia="en-US"/>
    </w:rPr>
  </w:style>
  <w:style w:type="character" w:customStyle="1" w:styleId="Heading7Char">
    <w:name w:val="Heading 7 Char"/>
    <w:link w:val="Heading7"/>
    <w:rsid w:val="00023842"/>
    <w:rPr>
      <w:rFonts w:ascii="Times New Roman" w:eastAsia="Times New Roman" w:hAnsi="Times New Roman" w:cs="Times New Roman"/>
      <w:sz w:val="20"/>
      <w:szCs w:val="20"/>
      <w:lang w:eastAsia="en-US"/>
    </w:rPr>
  </w:style>
  <w:style w:type="character" w:customStyle="1" w:styleId="Heading8Char">
    <w:name w:val="Heading 8 Char"/>
    <w:link w:val="Heading8"/>
    <w:rsid w:val="00023842"/>
    <w:rPr>
      <w:rFonts w:ascii="Times New Roman" w:eastAsia="Times New Roman" w:hAnsi="Times New Roman" w:cs="Times New Roman"/>
      <w:sz w:val="20"/>
      <w:szCs w:val="20"/>
      <w:lang w:eastAsia="en-US"/>
    </w:rPr>
  </w:style>
  <w:style w:type="character" w:customStyle="1" w:styleId="Heading9Char">
    <w:name w:val="Heading 9 Char"/>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lang/>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lang/>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3402F1"/>
    <w:rPr>
      <w:color w:val="0000FF"/>
      <w:u w:val="none"/>
    </w:rPr>
  </w:style>
  <w:style w:type="character" w:styleId="FollowedHyperlink">
    <w:name w:val="FollowedHyperlink"/>
    <w:unhideWhenUsed/>
    <w:rsid w:val="003402F1"/>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lang/>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paragraph" w:styleId="BalloonText">
    <w:name w:val="Balloon Text"/>
    <w:basedOn w:val="Normal"/>
    <w:link w:val="BalloonTextChar"/>
    <w:uiPriority w:val="99"/>
    <w:semiHidden/>
    <w:unhideWhenUsed/>
    <w:rsid w:val="006F71EA"/>
    <w:pPr>
      <w:spacing w:line="240" w:lineRule="auto"/>
    </w:pPr>
    <w:rPr>
      <w:rFonts w:ascii="Tahoma" w:hAnsi="Tahoma"/>
      <w:sz w:val="16"/>
      <w:szCs w:val="16"/>
      <w:lang/>
    </w:rPr>
  </w:style>
  <w:style w:type="character" w:customStyle="1" w:styleId="BalloonTextChar">
    <w:name w:val="Balloon Text Char"/>
    <w:link w:val="BalloonText"/>
    <w:uiPriority w:val="99"/>
    <w:semiHidden/>
    <w:rsid w:val="006F71EA"/>
    <w:rPr>
      <w:rFonts w:ascii="Tahoma" w:hAnsi="Tahoma" w:cs="Tahoma"/>
      <w:sz w:val="16"/>
      <w:szCs w:val="16"/>
      <w:lang w:eastAsia="en-US"/>
    </w:rPr>
  </w:style>
  <w:style w:type="character" w:customStyle="1" w:styleId="Astrisque10pt">
    <w:name w:val="Astérisque 10 pt"/>
    <w:uiPriority w:val="1"/>
    <w:qFormat/>
    <w:rsid w:val="00C01ACF"/>
    <w:rPr>
      <w:rFonts w:ascii="Times New Roman" w:hAnsi="Times New Roman"/>
      <w:sz w:val="20"/>
      <w:vertAlign w:val="baseline"/>
    </w:rPr>
  </w:style>
  <w:style w:type="character" w:customStyle="1" w:styleId="Appelnotedebasdep1">
    <w:name w:val="Appel note de bas de p.1"/>
    <w:rsid w:val="00D856C9"/>
    <w:rPr>
      <w:color w:val="000000"/>
      <w:sz w:val="24"/>
      <w:vertAlign w:val="superscript"/>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14</Pages>
  <Words>7891</Words>
  <Characters>40009</Characters>
  <Application>Microsoft Office Outlook</Application>
  <DocSecurity>4</DocSecurity>
  <Lines>615</Lines>
  <Paragraphs>131</Paragraphs>
  <ScaleCrop>false</ScaleCrop>
  <HeadingPairs>
    <vt:vector size="2" baseType="variant">
      <vt:variant>
        <vt:lpstr>Titre</vt:lpstr>
      </vt:variant>
      <vt:variant>
        <vt:i4>1</vt:i4>
      </vt:variant>
    </vt:vector>
  </HeadingPairs>
  <TitlesOfParts>
    <vt:vector size="1" baseType="lpstr">
      <vt:lpstr>CCPR/C/112/D/2111/2011</vt:lpstr>
    </vt:vector>
  </TitlesOfParts>
  <Company>DCM</Company>
  <LinksUpToDate>false</LinksUpToDate>
  <CharactersWithSpaces>47769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CCPR/C/112/D/2111/2011</dc:title>
  <dc:subject/>
  <dc:creator>Vu</dc:creator>
  <cp:keywords/>
  <dc:description/>
  <cp:lastModifiedBy>Vu Thi Kim Thao</cp:lastModifiedBy>
  <cp:revision>3</cp:revision>
  <cp:lastPrinted>2014-12-18T09:26:00Z</cp:lastPrinted>
  <dcterms:created xsi:type="dcterms:W3CDTF">2014-12-18T09:26:00Z</dcterms:created>
  <dcterms:modified xsi:type="dcterms:W3CDTF">2014-12-18T09:26:00Z</dcterms:modified>
</cp:coreProperties>
</file>