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21D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21D6C" w:rsidP="00F21D6C">
            <w:pPr>
              <w:jc w:val="right"/>
            </w:pPr>
            <w:r w:rsidRPr="00F21D6C">
              <w:rPr>
                <w:sz w:val="40"/>
              </w:rPr>
              <w:t>CCPR</w:t>
            </w:r>
            <w:r>
              <w:t>/C/119/D/2593/2015</w:t>
            </w:r>
          </w:p>
        </w:tc>
      </w:tr>
      <w:tr w:rsidR="002D5AAC" w:rsidRPr="00F21D6C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2CB969" wp14:editId="41D1BB4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21D6C" w:rsidRDefault="00F21D6C" w:rsidP="00BC3629">
            <w:pPr>
              <w:spacing w:before="240"/>
              <w:rPr>
                <w:lang w:val="en-US"/>
              </w:rPr>
            </w:pPr>
            <w:r w:rsidRPr="00F21D6C">
              <w:rPr>
                <w:lang w:val="en-US"/>
              </w:rPr>
              <w:t>Distr.: General</w:t>
            </w:r>
          </w:p>
          <w:p w:rsidR="00F21D6C" w:rsidRPr="00F21D6C" w:rsidRDefault="00F21D6C" w:rsidP="00F21D6C">
            <w:pPr>
              <w:spacing w:line="240" w:lineRule="exact"/>
              <w:rPr>
                <w:lang w:val="en-US"/>
              </w:rPr>
            </w:pPr>
            <w:r w:rsidRPr="00F21D6C">
              <w:rPr>
                <w:lang w:val="en-US"/>
              </w:rPr>
              <w:t>12 May 2017</w:t>
            </w:r>
          </w:p>
          <w:p w:rsidR="00F21D6C" w:rsidRPr="00F21D6C" w:rsidRDefault="00F21D6C" w:rsidP="00F21D6C">
            <w:pPr>
              <w:spacing w:line="240" w:lineRule="exact"/>
              <w:rPr>
                <w:lang w:val="en-US"/>
              </w:rPr>
            </w:pPr>
            <w:r w:rsidRPr="00F21D6C">
              <w:rPr>
                <w:lang w:val="en-US"/>
              </w:rPr>
              <w:t>Russian</w:t>
            </w:r>
          </w:p>
          <w:p w:rsidR="00F21D6C" w:rsidRPr="00F21D6C" w:rsidRDefault="00F21D6C" w:rsidP="00F21D6C">
            <w:pPr>
              <w:spacing w:line="240" w:lineRule="exact"/>
              <w:rPr>
                <w:lang w:val="en-US"/>
              </w:rPr>
            </w:pPr>
            <w:r w:rsidRPr="00F21D6C">
              <w:rPr>
                <w:lang w:val="en-US"/>
              </w:rPr>
              <w:t>Original: English</w:t>
            </w:r>
          </w:p>
        </w:tc>
      </w:tr>
    </w:tbl>
    <w:p w:rsidR="00705A08" w:rsidRPr="00705A08" w:rsidRDefault="00705A08" w:rsidP="00705A08">
      <w:pPr>
        <w:spacing w:before="120"/>
        <w:rPr>
          <w:b/>
          <w:sz w:val="24"/>
          <w:szCs w:val="24"/>
        </w:rPr>
      </w:pPr>
      <w:r w:rsidRPr="00705A08">
        <w:rPr>
          <w:b/>
          <w:sz w:val="24"/>
          <w:szCs w:val="24"/>
        </w:rPr>
        <w:t>Комитет по правам человека</w:t>
      </w:r>
    </w:p>
    <w:p w:rsidR="00705A08" w:rsidRDefault="00705A08" w:rsidP="00705A08">
      <w:pPr>
        <w:pStyle w:val="HChGR"/>
        <w:rPr>
          <w:rFonts w:eastAsiaTheme="minorEastAsia"/>
          <w:b w:val="0"/>
          <w:lang w:val="en-US"/>
        </w:rPr>
      </w:pPr>
      <w:r w:rsidRPr="00705A08">
        <w:rPr>
          <w:rFonts w:eastAsiaTheme="minorEastAsia"/>
        </w:rPr>
        <w:tab/>
      </w:r>
      <w:r w:rsidRPr="00705A08">
        <w:rPr>
          <w:rFonts w:eastAsiaTheme="minorEastAsia"/>
        </w:rPr>
        <w:tab/>
        <w:t xml:space="preserve">Соображения, принятые Комитетом в соответствии </w:t>
      </w:r>
      <w:r w:rsidRPr="00705A08">
        <w:rPr>
          <w:rFonts w:eastAsiaTheme="minorEastAsia"/>
        </w:rPr>
        <w:br/>
        <w:t>с пунктом 4 статьи 5 Факультативного протокола относительно сообщения № 2593/2015</w:t>
      </w:r>
      <w:r w:rsidRPr="00705A08">
        <w:rPr>
          <w:rStyle w:val="aa"/>
          <w:rFonts w:eastAsiaTheme="minorEastAsia"/>
          <w:b w:val="0"/>
          <w:sz w:val="20"/>
          <w:vertAlign w:val="baseline"/>
        </w:rPr>
        <w:footnoteReference w:customMarkFollows="1" w:id="1"/>
        <w:t>*</w:t>
      </w:r>
      <w:r w:rsidRPr="00705A08">
        <w:rPr>
          <w:rFonts w:eastAsiaTheme="minorEastAsia"/>
          <w:b w:val="0"/>
          <w:sz w:val="20"/>
        </w:rPr>
        <w:t xml:space="preserve"> </w:t>
      </w:r>
      <w:r w:rsidRPr="00705A08">
        <w:rPr>
          <w:rStyle w:val="aa"/>
          <w:rFonts w:eastAsiaTheme="minorEastAsia"/>
          <w:b w:val="0"/>
          <w:sz w:val="20"/>
          <w:vertAlign w:val="baseline"/>
        </w:rPr>
        <w:footnoteReference w:customMarkFollows="1" w:id="2"/>
        <w:t>**</w:t>
      </w:r>
      <w:r w:rsidRPr="00705A08">
        <w:rPr>
          <w:rFonts w:eastAsiaTheme="minorEastAsia"/>
          <w:b w:val="0"/>
        </w:rPr>
        <w:t xml:space="preserve"> 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7B52DA" w:rsidRPr="00B03EE9" w:rsidTr="00521CC4">
        <w:tc>
          <w:tcPr>
            <w:tcW w:w="2933" w:type="dxa"/>
            <w:shd w:val="clear" w:color="auto" w:fill="auto"/>
          </w:tcPr>
          <w:p w:rsidR="007B52DA" w:rsidRPr="00B03EE9" w:rsidRDefault="007B52DA" w:rsidP="00181AB7">
            <w:pPr>
              <w:suppressAutoHyphens/>
              <w:spacing w:after="120"/>
              <w:ind w:left="11"/>
              <w:rPr>
                <w:i/>
              </w:rPr>
            </w:pPr>
            <w:r>
              <w:rPr>
                <w:i/>
              </w:rPr>
              <w:t>Сообщение п</w:t>
            </w:r>
            <w:r w:rsidRPr="00B03EE9">
              <w:rPr>
                <w:i/>
              </w:rPr>
              <w:t>редставлено:</w:t>
            </w:r>
          </w:p>
        </w:tc>
        <w:tc>
          <w:tcPr>
            <w:tcW w:w="3871" w:type="dxa"/>
            <w:shd w:val="clear" w:color="auto" w:fill="auto"/>
          </w:tcPr>
          <w:p w:rsidR="007B52DA" w:rsidRPr="00B03EE9" w:rsidRDefault="007B52DA" w:rsidP="00181AB7">
            <w:pPr>
              <w:suppressAutoHyphens/>
              <w:spacing w:after="120"/>
              <w:ind w:left="11"/>
            </w:pPr>
            <w:r w:rsidRPr="007B52DA">
              <w:t>М.З.Б.М. (представлен адвокатом Гуннаром Номанном)</w:t>
            </w:r>
          </w:p>
        </w:tc>
      </w:tr>
      <w:tr w:rsidR="007B52DA" w:rsidTr="00521CC4">
        <w:tc>
          <w:tcPr>
            <w:tcW w:w="2933" w:type="dxa"/>
            <w:shd w:val="clear" w:color="auto" w:fill="auto"/>
          </w:tcPr>
          <w:p w:rsidR="007B52DA" w:rsidRPr="00B03EE9" w:rsidRDefault="007B52DA" w:rsidP="00181AB7">
            <w:pPr>
              <w:suppressAutoHyphens/>
              <w:spacing w:after="120"/>
              <w:ind w:left="11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:rsidR="007B52DA" w:rsidRDefault="007B52DA" w:rsidP="00181AB7">
            <w:pPr>
              <w:suppressAutoHyphens/>
              <w:spacing w:after="120"/>
              <w:ind w:left="11"/>
            </w:pPr>
            <w:r w:rsidRPr="00705A08">
              <w:t>автор</w:t>
            </w:r>
          </w:p>
        </w:tc>
      </w:tr>
      <w:tr w:rsidR="007B52DA" w:rsidTr="00521CC4">
        <w:tc>
          <w:tcPr>
            <w:tcW w:w="2933" w:type="dxa"/>
            <w:shd w:val="clear" w:color="auto" w:fill="auto"/>
          </w:tcPr>
          <w:p w:rsidR="007B52DA" w:rsidRPr="00B03EE9" w:rsidRDefault="007B52DA" w:rsidP="00181AB7">
            <w:pPr>
              <w:suppressAutoHyphens/>
              <w:spacing w:after="120"/>
              <w:ind w:left="11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:rsidR="007B52DA" w:rsidRDefault="007B52DA" w:rsidP="00181AB7">
            <w:pPr>
              <w:suppressAutoHyphens/>
              <w:spacing w:after="120"/>
              <w:ind w:left="11"/>
            </w:pPr>
            <w:r w:rsidRPr="00705A08">
              <w:rPr>
                <w:iCs/>
              </w:rPr>
              <w:t>Дания</w:t>
            </w:r>
          </w:p>
        </w:tc>
      </w:tr>
      <w:tr w:rsidR="007B52DA" w:rsidTr="00521CC4">
        <w:tc>
          <w:tcPr>
            <w:tcW w:w="2933" w:type="dxa"/>
            <w:shd w:val="clear" w:color="auto" w:fill="auto"/>
          </w:tcPr>
          <w:p w:rsidR="007B52DA" w:rsidRPr="00B03EE9" w:rsidRDefault="007B52DA" w:rsidP="00D4048E">
            <w:pPr>
              <w:suppressAutoHyphens/>
              <w:spacing w:after="120"/>
              <w:ind w:left="11"/>
              <w:rPr>
                <w:i/>
              </w:rPr>
            </w:pPr>
            <w:bookmarkStart w:id="0" w:name="_GoBack"/>
            <w:bookmarkEnd w:id="0"/>
            <w:r w:rsidRPr="00B03EE9">
              <w:rPr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:rsidR="007B52DA" w:rsidRPr="002A4F6C" w:rsidRDefault="007B52DA" w:rsidP="00181AB7">
            <w:pPr>
              <w:suppressAutoHyphens/>
              <w:spacing w:after="120"/>
              <w:ind w:left="11"/>
            </w:pPr>
            <w:r w:rsidRPr="00705A08">
              <w:t>31 марта 2015 года (первоначальное представление)</w:t>
            </w:r>
          </w:p>
        </w:tc>
      </w:tr>
      <w:tr w:rsidR="007B52DA" w:rsidTr="00521CC4">
        <w:tc>
          <w:tcPr>
            <w:tcW w:w="2933" w:type="dxa"/>
            <w:shd w:val="clear" w:color="auto" w:fill="auto"/>
          </w:tcPr>
          <w:p w:rsidR="007B52DA" w:rsidRPr="00B03EE9" w:rsidRDefault="007B52DA" w:rsidP="00181AB7">
            <w:pPr>
              <w:suppressAutoHyphens/>
              <w:spacing w:after="120"/>
              <w:ind w:left="11"/>
              <w:rPr>
                <w:i/>
              </w:rPr>
            </w:pPr>
            <w:r w:rsidRPr="00B03EE9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  <w:shd w:val="clear" w:color="auto" w:fill="auto"/>
          </w:tcPr>
          <w:p w:rsidR="007B52DA" w:rsidRDefault="007B52DA" w:rsidP="00181AB7">
            <w:pPr>
              <w:suppressAutoHyphens/>
              <w:spacing w:after="120"/>
              <w:ind w:left="11"/>
            </w:pPr>
            <w:r w:rsidRPr="00705A08">
              <w:t xml:space="preserve">решение Комитета согласно правилам 92 и 97 его правил процедуры, препровожденное государству-участнику 1 апреля 2015 года (не выпускалось </w:t>
            </w:r>
            <w:r w:rsidR="00181AB7">
              <w:t>в </w:t>
            </w:r>
            <w:r w:rsidRPr="00705A08">
              <w:t>форме документа</w:t>
            </w:r>
          </w:p>
        </w:tc>
      </w:tr>
      <w:tr w:rsidR="007B52DA" w:rsidTr="00521CC4">
        <w:tc>
          <w:tcPr>
            <w:tcW w:w="2933" w:type="dxa"/>
            <w:shd w:val="clear" w:color="auto" w:fill="auto"/>
          </w:tcPr>
          <w:p w:rsidR="007B52DA" w:rsidRPr="00B03EE9" w:rsidRDefault="007B52DA" w:rsidP="00181AB7">
            <w:pPr>
              <w:suppressAutoHyphens/>
              <w:spacing w:after="120"/>
              <w:ind w:left="11"/>
              <w:rPr>
                <w:i/>
              </w:rPr>
            </w:pPr>
            <w:r w:rsidRPr="00B03EE9">
              <w:rPr>
                <w:i/>
              </w:rPr>
              <w:t>Дата принятия Cоображений:</w:t>
            </w:r>
          </w:p>
        </w:tc>
        <w:tc>
          <w:tcPr>
            <w:tcW w:w="3871" w:type="dxa"/>
            <w:shd w:val="clear" w:color="auto" w:fill="auto"/>
            <w:vAlign w:val="bottom"/>
          </w:tcPr>
          <w:p w:rsidR="007B52DA" w:rsidRDefault="007B52DA" w:rsidP="00181AB7">
            <w:pPr>
              <w:suppressAutoHyphens/>
              <w:spacing w:after="120"/>
              <w:ind w:left="11"/>
            </w:pPr>
            <w:r w:rsidRPr="00705A08">
              <w:t>20 марта 2017 года</w:t>
            </w:r>
          </w:p>
        </w:tc>
      </w:tr>
      <w:tr w:rsidR="007B52DA" w:rsidTr="00521CC4">
        <w:tc>
          <w:tcPr>
            <w:tcW w:w="2933" w:type="dxa"/>
            <w:shd w:val="clear" w:color="auto" w:fill="auto"/>
          </w:tcPr>
          <w:p w:rsidR="007B52DA" w:rsidRPr="00B03EE9" w:rsidRDefault="007B52DA" w:rsidP="00181AB7">
            <w:pPr>
              <w:suppressAutoHyphens/>
              <w:spacing w:after="120"/>
              <w:ind w:left="11"/>
              <w:rPr>
                <w:i/>
              </w:rPr>
            </w:pPr>
            <w:r w:rsidRPr="00B03EE9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  <w:shd w:val="clear" w:color="auto" w:fill="auto"/>
          </w:tcPr>
          <w:p w:rsidR="007B52DA" w:rsidRDefault="007B52DA" w:rsidP="00181AB7">
            <w:pPr>
              <w:suppressAutoHyphens/>
              <w:spacing w:after="120"/>
              <w:ind w:left="11"/>
            </w:pPr>
            <w:r w:rsidRPr="00705A08">
              <w:t>депортация женщины-трансгендера в</w:t>
            </w:r>
            <w:r w:rsidR="00181AB7">
              <w:t> </w:t>
            </w:r>
            <w:r w:rsidRPr="00705A08">
              <w:t>Малайзию</w:t>
            </w:r>
          </w:p>
        </w:tc>
      </w:tr>
      <w:tr w:rsidR="007B52DA" w:rsidTr="00521CC4">
        <w:tc>
          <w:tcPr>
            <w:tcW w:w="2933" w:type="dxa"/>
            <w:shd w:val="clear" w:color="auto" w:fill="auto"/>
          </w:tcPr>
          <w:p w:rsidR="007B52DA" w:rsidRPr="00B03EE9" w:rsidRDefault="007B52DA" w:rsidP="00181AB7">
            <w:pPr>
              <w:suppressAutoHyphens/>
              <w:spacing w:after="120"/>
              <w:ind w:left="11"/>
              <w:rPr>
                <w:i/>
                <w:iCs/>
              </w:rPr>
            </w:pPr>
            <w:r w:rsidRPr="00B03EE9">
              <w:rPr>
                <w:i/>
                <w:iCs/>
              </w:rPr>
              <w:t>Процедурные вопросы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7B52DA" w:rsidRPr="007B52DA" w:rsidRDefault="007B52DA" w:rsidP="00181AB7">
            <w:pPr>
              <w:suppressAutoHyphens/>
              <w:spacing w:after="120"/>
              <w:ind w:left="11"/>
            </w:pPr>
            <w:r w:rsidRPr="007B52DA">
              <w:t xml:space="preserve">необоснование жалоб; неприемлемость </w:t>
            </w:r>
            <w:r w:rsidRPr="007B52DA">
              <w:rPr>
                <w:lang w:val="en-GB"/>
              </w:rPr>
              <w:t>ratione</w:t>
            </w:r>
            <w:r w:rsidRPr="007B52DA">
              <w:t xml:space="preserve"> </w:t>
            </w:r>
            <w:r w:rsidRPr="007B52DA">
              <w:rPr>
                <w:lang w:val="en-GB"/>
              </w:rPr>
              <w:t>loci</w:t>
            </w:r>
            <w:r w:rsidRPr="007B52DA">
              <w:t xml:space="preserve"> и </w:t>
            </w:r>
            <w:r w:rsidRPr="007B52DA">
              <w:rPr>
                <w:lang w:val="en-GB"/>
              </w:rPr>
              <w:t>ratione</w:t>
            </w:r>
            <w:r w:rsidRPr="007B52DA">
              <w:t xml:space="preserve"> </w:t>
            </w:r>
            <w:r w:rsidRPr="007B52DA">
              <w:rPr>
                <w:lang w:val="en-GB"/>
              </w:rPr>
              <w:t>materiae</w:t>
            </w:r>
          </w:p>
        </w:tc>
      </w:tr>
      <w:tr w:rsidR="007B52DA" w:rsidTr="00521CC4">
        <w:tc>
          <w:tcPr>
            <w:tcW w:w="2933" w:type="dxa"/>
            <w:shd w:val="clear" w:color="auto" w:fill="auto"/>
          </w:tcPr>
          <w:p w:rsidR="007B52DA" w:rsidRPr="00B03EE9" w:rsidRDefault="007B52DA" w:rsidP="00181AB7">
            <w:pPr>
              <w:suppressAutoHyphens/>
              <w:spacing w:after="120"/>
              <w:ind w:left="11"/>
              <w:rPr>
                <w:i/>
                <w:iCs/>
              </w:rPr>
            </w:pPr>
            <w:r w:rsidRPr="00B03EE9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  <w:shd w:val="clear" w:color="auto" w:fill="auto"/>
          </w:tcPr>
          <w:p w:rsidR="007B52DA" w:rsidRDefault="007B52DA" w:rsidP="00181AB7">
            <w:pPr>
              <w:suppressAutoHyphens/>
              <w:spacing w:after="120"/>
              <w:ind w:left="11"/>
            </w:pPr>
            <w:r w:rsidRPr="00705A08">
              <w:t>угроза пыток или жестокого обращения; произвольное или незаконное вмешательство в личную жизнь; свобода мысли; совести и религии; равенство перед законом; запрет дискр</w:t>
            </w:r>
            <w:r w:rsidRPr="00705A08">
              <w:t>и</w:t>
            </w:r>
            <w:r w:rsidRPr="00705A08">
              <w:t>минации</w:t>
            </w:r>
          </w:p>
        </w:tc>
      </w:tr>
      <w:tr w:rsidR="007B52DA" w:rsidTr="00521CC4">
        <w:tc>
          <w:tcPr>
            <w:tcW w:w="2933" w:type="dxa"/>
            <w:shd w:val="clear" w:color="auto" w:fill="auto"/>
          </w:tcPr>
          <w:p w:rsidR="007B52DA" w:rsidRPr="00B03EE9" w:rsidRDefault="007B52DA" w:rsidP="00181AB7">
            <w:pPr>
              <w:suppressAutoHyphens/>
              <w:spacing w:after="120"/>
              <w:ind w:left="11"/>
              <w:rPr>
                <w:i/>
                <w:iCs/>
              </w:rPr>
            </w:pPr>
            <w:r w:rsidRPr="00B03EE9">
              <w:rPr>
                <w:i/>
                <w:iCs/>
              </w:rPr>
              <w:t>Статьи Пакта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7B52DA" w:rsidRDefault="007B52DA" w:rsidP="00181AB7">
            <w:pPr>
              <w:suppressAutoHyphens/>
              <w:spacing w:after="120"/>
              <w:ind w:left="11"/>
            </w:pPr>
            <w:r w:rsidRPr="00705A08">
              <w:t>7, рассматриваемая в совокупности с пунктом 1 статьи 17, пунктом 1 статьи 18 и со статьей 26</w:t>
            </w:r>
          </w:p>
        </w:tc>
      </w:tr>
      <w:tr w:rsidR="007B52DA" w:rsidTr="00521CC4">
        <w:tc>
          <w:tcPr>
            <w:tcW w:w="2933" w:type="dxa"/>
            <w:shd w:val="clear" w:color="auto" w:fill="auto"/>
          </w:tcPr>
          <w:p w:rsidR="007B52DA" w:rsidRPr="00B03EE9" w:rsidRDefault="007B52DA" w:rsidP="00181AB7">
            <w:pPr>
              <w:suppressAutoHyphens/>
              <w:spacing w:after="120"/>
              <w:ind w:left="11"/>
              <w:rPr>
                <w:i/>
                <w:iCs/>
              </w:rPr>
            </w:pPr>
            <w:r w:rsidRPr="00B03EE9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1" w:type="dxa"/>
            <w:shd w:val="clear" w:color="auto" w:fill="auto"/>
          </w:tcPr>
          <w:p w:rsidR="007B52DA" w:rsidRDefault="007B52DA" w:rsidP="00181AB7">
            <w:pPr>
              <w:suppressAutoHyphens/>
              <w:spacing w:after="120"/>
              <w:ind w:left="11"/>
            </w:pPr>
            <w:r w:rsidRPr="00705A08">
              <w:t>2 и 3</w:t>
            </w:r>
          </w:p>
        </w:tc>
      </w:tr>
    </w:tbl>
    <w:p w:rsidR="00705A08" w:rsidRPr="00705A08" w:rsidRDefault="00705A08" w:rsidP="00705A08"/>
    <w:p w:rsidR="00705A08" w:rsidRPr="00705A08" w:rsidRDefault="00705A08" w:rsidP="00705A08">
      <w:pPr>
        <w:pStyle w:val="SingleTxtGR"/>
      </w:pPr>
      <w:r>
        <w:br w:type="page"/>
      </w:r>
      <w:r w:rsidRPr="00705A08">
        <w:lastRenderedPageBreak/>
        <w:t>1.1</w:t>
      </w:r>
      <w:r w:rsidRPr="00705A08">
        <w:tab/>
        <w:t>Автором сообщения является М.З.Б.М. гражданка Малайзии 1977 года рождения. Она утверждает, что ее принудительное возвращение в Малайзию нарушит ее права по статье 7, рассматриваемой в совокупности с пунктом 1 статьи 17, пунктом 1 статьи 18 и со статьей 26 Пакта. Она представлена адвок</w:t>
      </w:r>
      <w:r w:rsidRPr="00705A08">
        <w:t>а</w:t>
      </w:r>
      <w:r w:rsidRPr="00705A08">
        <w:t>том. Факультативный протокол вступил в силу для государства-участника 23</w:t>
      </w:r>
      <w:r w:rsidR="00181AB7">
        <w:t> </w:t>
      </w:r>
      <w:r w:rsidRPr="00705A08">
        <w:t>марта 1976 года.</w:t>
      </w:r>
    </w:p>
    <w:p w:rsidR="00705A08" w:rsidRPr="00705A08" w:rsidRDefault="00705A08" w:rsidP="00705A08">
      <w:pPr>
        <w:pStyle w:val="SingleTxtGR"/>
      </w:pPr>
      <w:r w:rsidRPr="00705A08">
        <w:t>1.2</w:t>
      </w:r>
      <w:r w:rsidRPr="00705A08">
        <w:tab/>
        <w:t>1 апреля 2015 года в соответствии с правилом 92 своих правил процед</w:t>
      </w:r>
      <w:r w:rsidRPr="00705A08">
        <w:t>у</w:t>
      </w:r>
      <w:r w:rsidRPr="00705A08">
        <w:t>ры Комитет, действуя через своего Специального докладчика по новым соо</w:t>
      </w:r>
      <w:r w:rsidRPr="00705A08">
        <w:t>б</w:t>
      </w:r>
      <w:r w:rsidRPr="00705A08">
        <w:t xml:space="preserve">щениям и временным мерам, просил государство-участника воздержаться от депортации автора в Малайзию во время рассмотрения ее дела Комитетом. </w:t>
      </w:r>
    </w:p>
    <w:p w:rsidR="00705A08" w:rsidRPr="00705A08" w:rsidRDefault="00705A08" w:rsidP="00705A08">
      <w:pPr>
        <w:pStyle w:val="H23GR"/>
        <w:rPr>
          <w:rFonts w:eastAsiaTheme="minorEastAsia"/>
        </w:rPr>
      </w:pPr>
      <w:r w:rsidRPr="00705A08">
        <w:rPr>
          <w:rFonts w:eastAsiaTheme="minorEastAsia"/>
        </w:rPr>
        <w:tab/>
      </w:r>
      <w:r w:rsidRPr="00705A08">
        <w:rPr>
          <w:rFonts w:eastAsiaTheme="minorEastAsia"/>
        </w:rPr>
        <w:tab/>
        <w:t>Обстоятельства дела</w:t>
      </w:r>
    </w:p>
    <w:p w:rsidR="00705A08" w:rsidRPr="00705A08" w:rsidRDefault="00705A08" w:rsidP="00705A08">
      <w:pPr>
        <w:pStyle w:val="SingleTxtGR"/>
      </w:pPr>
      <w:r w:rsidRPr="00705A08">
        <w:t>2.1</w:t>
      </w:r>
      <w:r w:rsidRPr="00705A08">
        <w:tab/>
        <w:t>Автор родилась мужчиной и выросла в районе Серамбан к северу от Ку</w:t>
      </w:r>
      <w:r w:rsidRPr="00705A08">
        <w:t>а</w:t>
      </w:r>
      <w:r w:rsidRPr="00705A08">
        <w:t>ла-Лумпур. Она является этнической малайкой и зарегистрирована как мусул</w:t>
      </w:r>
      <w:r w:rsidRPr="00705A08">
        <w:t>ь</w:t>
      </w:r>
      <w:r w:rsidRPr="00705A08">
        <w:t>манка, однако считает себя индуисткой. В возрасте 16 лет автор ушла из семьи и переехала в Куала-Лумпур. Она также начала носить женскую одежду и пр</w:t>
      </w:r>
      <w:r w:rsidRPr="00705A08">
        <w:t>о</w:t>
      </w:r>
      <w:r w:rsidRPr="00705A08">
        <w:t>ходить курс лечения женскими гормонами. Она работала в ресторане и была волонтером в одной из местных неправительственных организаций. Ее воло</w:t>
      </w:r>
      <w:r w:rsidRPr="00705A08">
        <w:t>н</w:t>
      </w:r>
      <w:r w:rsidRPr="00705A08">
        <w:t xml:space="preserve">терская деятельность состояла в работе на улицах по оказанию помощи </w:t>
      </w:r>
      <w:r w:rsidRPr="00705A08">
        <w:br/>
        <w:t>ВИЧ-инфицированным и трансгендерам. В 1998 или 1999 году автор была и</w:t>
      </w:r>
      <w:r w:rsidRPr="00705A08">
        <w:t>з</w:t>
      </w:r>
      <w:r w:rsidRPr="00705A08">
        <w:t>насилована несколькими неустановленными лицами.</w:t>
      </w:r>
    </w:p>
    <w:p w:rsidR="00705A08" w:rsidRPr="00705A08" w:rsidRDefault="00705A08" w:rsidP="00705A08">
      <w:pPr>
        <w:pStyle w:val="SingleTxtGR"/>
      </w:pPr>
      <w:r w:rsidRPr="00705A08">
        <w:t>2.2</w:t>
      </w:r>
      <w:r w:rsidRPr="00705A08">
        <w:tab/>
        <w:t>В 2007 году в Таиланде автору была сделана операция по изменению п</w:t>
      </w:r>
      <w:r w:rsidRPr="00705A08">
        <w:t>о</w:t>
      </w:r>
      <w:r w:rsidRPr="00705A08">
        <w:t>ла</w:t>
      </w:r>
      <w:r w:rsidRPr="001F50F4">
        <w:rPr>
          <w:rStyle w:val="aa"/>
        </w:rPr>
        <w:footnoteReference w:id="3"/>
      </w:r>
      <w:r w:rsidRPr="00705A08">
        <w:t>. Однако в выданном в Малайзии удостоверении личности по-прежнему б</w:t>
      </w:r>
      <w:r w:rsidRPr="00705A08">
        <w:t>ы</w:t>
      </w:r>
      <w:r w:rsidRPr="00705A08">
        <w:t>ло указано, что она является мужчиной, поскольку изменить пол в таком док</w:t>
      </w:r>
      <w:r w:rsidRPr="00705A08">
        <w:t>у</w:t>
      </w:r>
      <w:r w:rsidRPr="00705A08">
        <w:t>менте было невозможно. В ее удостоверении личности она была также зап</w:t>
      </w:r>
      <w:r w:rsidRPr="00705A08">
        <w:t>и</w:t>
      </w:r>
      <w:r w:rsidRPr="00705A08">
        <w:t>сана как мусульманка.</w:t>
      </w:r>
    </w:p>
    <w:p w:rsidR="00705A08" w:rsidRPr="00705A08" w:rsidRDefault="00705A08" w:rsidP="00705A08">
      <w:pPr>
        <w:pStyle w:val="SingleTxtGR"/>
      </w:pPr>
      <w:r w:rsidRPr="00705A08">
        <w:t>2.3</w:t>
      </w:r>
      <w:proofErr w:type="gramStart"/>
      <w:r w:rsidR="007C246A">
        <w:tab/>
        <w:t>В</w:t>
      </w:r>
      <w:proofErr w:type="gramEnd"/>
      <w:r w:rsidR="007C246A">
        <w:t xml:space="preserve"> период между 2001 и 2010 год</w:t>
      </w:r>
      <w:r w:rsidR="00F5682B">
        <w:t>ом</w:t>
      </w:r>
      <w:r w:rsidRPr="00705A08">
        <w:t>, после того как ее неоднократно ост</w:t>
      </w:r>
      <w:r w:rsidRPr="00705A08">
        <w:t>а</w:t>
      </w:r>
      <w:r w:rsidRPr="00705A08">
        <w:t>навливали на улице и проверяли удостоверяющие ее личность документы, м</w:t>
      </w:r>
      <w:r w:rsidRPr="00705A08">
        <w:t>а</w:t>
      </w:r>
      <w:r w:rsidRPr="00705A08">
        <w:t>лазийская полиция задержала автора на 24 часа, подвергнув ее физическим и сексуальным надругательствам</w:t>
      </w:r>
      <w:r w:rsidRPr="001F50F4">
        <w:rPr>
          <w:rStyle w:val="aa"/>
        </w:rPr>
        <w:footnoteReference w:id="4"/>
      </w:r>
      <w:r w:rsidRPr="00705A08">
        <w:t>. Автор однажды обратилась в полицейский участок в Куала-Лумпур с намерением сообщить об изнасиловании, однако п</w:t>
      </w:r>
      <w:r w:rsidRPr="00705A08">
        <w:t>о</w:t>
      </w:r>
      <w:r w:rsidRPr="00705A08">
        <w:t>лиция отказалась зарегистрировать ее жалобу, после чего она уже не осмелив</w:t>
      </w:r>
      <w:r w:rsidRPr="00705A08">
        <w:t>а</w:t>
      </w:r>
      <w:r w:rsidRPr="00705A08">
        <w:t>лась заявлять в полицию о каких-либо последу</w:t>
      </w:r>
      <w:r w:rsidRPr="00705A08">
        <w:t>ю</w:t>
      </w:r>
      <w:r w:rsidRPr="00705A08">
        <w:t>щих надругательствах.</w:t>
      </w:r>
    </w:p>
    <w:p w:rsidR="00705A08" w:rsidRPr="00705A08" w:rsidRDefault="00705A08" w:rsidP="00705A08">
      <w:pPr>
        <w:pStyle w:val="SingleTxtGR"/>
      </w:pPr>
      <w:r w:rsidRPr="00705A08">
        <w:t>2.4</w:t>
      </w:r>
      <w:proofErr w:type="gramStart"/>
      <w:r w:rsidRPr="00705A08">
        <w:tab/>
        <w:t>П</w:t>
      </w:r>
      <w:proofErr w:type="gramEnd"/>
      <w:r w:rsidRPr="00705A08">
        <w:t>о данным автора, в апреле 2012 года</w:t>
      </w:r>
      <w:r w:rsidRPr="001F50F4">
        <w:rPr>
          <w:rStyle w:val="aa"/>
        </w:rPr>
        <w:footnoteReference w:id="5"/>
      </w:r>
      <w:r w:rsidRPr="00705A08">
        <w:t xml:space="preserve"> полиция в Мелаке доставила ее в здание Департамента по делам ислама, где ее задерживали до следующего дня. Перед освобождением были сфотографированы татуировки на ее руке, так как в Малайзии мусульманам не разрешается иметь татуировки или менять религ</w:t>
      </w:r>
      <w:r w:rsidRPr="00705A08">
        <w:t>и</w:t>
      </w:r>
      <w:r w:rsidRPr="00705A08">
        <w:t>озную принадлежность. У нее также отобрали женские туфли, поскольку му</w:t>
      </w:r>
      <w:r w:rsidRPr="00705A08">
        <w:t>ж</w:t>
      </w:r>
      <w:r w:rsidRPr="00705A08">
        <w:t xml:space="preserve">чинам запрещено носить женскую одежду. При освобождении представители Департамента по делам ислама поставили ее в известность о том, что ее дело будет передано на рассмотрение суда. </w:t>
      </w:r>
    </w:p>
    <w:p w:rsidR="00705A08" w:rsidRPr="00705A08" w:rsidRDefault="00705A08" w:rsidP="00705A08">
      <w:pPr>
        <w:pStyle w:val="SingleTxtGR"/>
      </w:pPr>
      <w:r w:rsidRPr="00705A08">
        <w:t>2.5</w:t>
      </w:r>
      <w:r w:rsidRPr="00705A08">
        <w:tab/>
        <w:t>Автор прибыла в Данию 25 января 2014 года</w:t>
      </w:r>
      <w:r w:rsidRPr="001F50F4">
        <w:rPr>
          <w:rStyle w:val="aa"/>
        </w:rPr>
        <w:footnoteReference w:id="6"/>
      </w:r>
      <w:r w:rsidRPr="00705A08">
        <w:t xml:space="preserve"> и 4 февраля 2014 года п</w:t>
      </w:r>
      <w:r w:rsidRPr="00705A08">
        <w:t>о</w:t>
      </w:r>
      <w:r w:rsidRPr="00705A08">
        <w:t xml:space="preserve">дала ходатайство о предоставлении убежища. После трех собеседований с представителями датской Иммиграционной службы 24 февраля, 3 марта и </w:t>
      </w:r>
      <w:r w:rsidRPr="00705A08">
        <w:lastRenderedPageBreak/>
        <w:t>1</w:t>
      </w:r>
      <w:r w:rsidR="00181AB7">
        <w:t>6 </w:t>
      </w:r>
      <w:r w:rsidRPr="00705A08">
        <w:t>апреля 2014 года соответственно ее ходатайство о предоставлении убежища 28 августа 2014 года было отклонено. Датская Иммиграционная служба пр</w:t>
      </w:r>
      <w:r w:rsidRPr="00705A08">
        <w:t>и</w:t>
      </w:r>
      <w:r w:rsidRPr="00705A08">
        <w:t>знала сообщенные автором сведения о ее задержании и сексуальных надруг</w:t>
      </w:r>
      <w:r w:rsidRPr="00705A08">
        <w:t>а</w:t>
      </w:r>
      <w:r w:rsidRPr="00705A08">
        <w:t>тельствах над ней в полиции в Малайзии противоречивыми и неправдоподо</w:t>
      </w:r>
      <w:r w:rsidRPr="00705A08">
        <w:t>б</w:t>
      </w:r>
      <w:r w:rsidRPr="00705A08">
        <w:t>ными, в особенности в свете того, что автор выезжала из Малайзии в Индию, Сингапур и Таиланд и более 20 раз покидала страну на короткое время. С уч</w:t>
      </w:r>
      <w:r w:rsidRPr="00705A08">
        <w:t>е</w:t>
      </w:r>
      <w:r w:rsidRPr="00705A08">
        <w:t>том ее частых выездов за рубеж, в том числе для проведения отпуска в Индии в октябре 2013 года, датская Иммиграционная служба также сочла недостове</w:t>
      </w:r>
      <w:r w:rsidRPr="00705A08">
        <w:t>р</w:t>
      </w:r>
      <w:r w:rsidRPr="00705A08">
        <w:t>ными утверждения автора о том, что из-за отсутствия средств ей пришлось д</w:t>
      </w:r>
      <w:r w:rsidRPr="00705A08">
        <w:t>о</w:t>
      </w:r>
      <w:r w:rsidRPr="00705A08">
        <w:t>жидаться выезда из Малайзии до января 2014 года. Кроме того, датская Имм</w:t>
      </w:r>
      <w:r w:rsidRPr="00705A08">
        <w:t>и</w:t>
      </w:r>
      <w:r w:rsidRPr="00705A08">
        <w:t>грационная служба отметила, что автору не предъявлялись обвинения в сове</w:t>
      </w:r>
      <w:r w:rsidRPr="00705A08">
        <w:t>р</w:t>
      </w:r>
      <w:r w:rsidRPr="00705A08">
        <w:t>шении уголовного преступления и что в период между ее последним арестом в апреле 2012 года</w:t>
      </w:r>
      <w:r w:rsidRPr="001F50F4">
        <w:rPr>
          <w:rStyle w:val="aa"/>
        </w:rPr>
        <w:footnoteReference w:id="7"/>
      </w:r>
      <w:r w:rsidRPr="00705A08">
        <w:t xml:space="preserve"> и выездом из страны в январе 2014 года она не подвергалась заде</w:t>
      </w:r>
      <w:r w:rsidRPr="00705A08">
        <w:t>р</w:t>
      </w:r>
      <w:r w:rsidRPr="00705A08">
        <w:t>жаниям.</w:t>
      </w:r>
    </w:p>
    <w:p w:rsidR="00705A08" w:rsidRPr="00705A08" w:rsidRDefault="00705A08" w:rsidP="00705A08">
      <w:pPr>
        <w:pStyle w:val="SingleTxtGR"/>
      </w:pPr>
      <w:r w:rsidRPr="00705A08">
        <w:t>2.6</w:t>
      </w:r>
      <w:r w:rsidRPr="00705A08">
        <w:tab/>
        <w:t>19 декабря 2014 года Апелляционный совет по делам беженцев подде</w:t>
      </w:r>
      <w:r w:rsidRPr="00705A08">
        <w:t>р</w:t>
      </w:r>
      <w:r w:rsidRPr="00705A08">
        <w:t xml:space="preserve">жал решение датской Иммиграционной службы. </w:t>
      </w:r>
      <w:proofErr w:type="gramStart"/>
      <w:r w:rsidRPr="00705A08">
        <w:t>Совет отметил, что, несмотря на якобы поступившие в апреле 2012 года угрозы со стороны Департамента по делам ислама, по делу автора так и не было начато возможное уголовное разб</w:t>
      </w:r>
      <w:r w:rsidRPr="00705A08">
        <w:t>и</w:t>
      </w:r>
      <w:r w:rsidRPr="00705A08">
        <w:t>рательство и что до выезда из страны в январе 2014 года автор неоднократно на законных основ</w:t>
      </w:r>
      <w:r w:rsidRPr="00705A08">
        <w:t>а</w:t>
      </w:r>
      <w:r w:rsidRPr="00705A08">
        <w:t>ниях въезжала в Малайзию и выезжала из нее.</w:t>
      </w:r>
      <w:proofErr w:type="gramEnd"/>
      <w:r w:rsidRPr="00705A08">
        <w:t xml:space="preserve"> Совет пришел к выводу о том, что в случае возвращения в Малайзию автору не будет угрожать реальная опасность преследований.</w:t>
      </w:r>
    </w:p>
    <w:p w:rsidR="00705A08" w:rsidRPr="00705A08" w:rsidRDefault="00705A08" w:rsidP="00705A08">
      <w:pPr>
        <w:pStyle w:val="SingleTxtGR"/>
      </w:pPr>
      <w:r w:rsidRPr="00705A08">
        <w:t>2.7</w:t>
      </w:r>
      <w:r w:rsidRPr="00705A08">
        <w:tab/>
        <w:t>25 февраля 2015 года автор просила возобновить рассмотрение ее вопр</w:t>
      </w:r>
      <w:r w:rsidRPr="00705A08">
        <w:t>о</w:t>
      </w:r>
      <w:r w:rsidRPr="00705A08">
        <w:t>са в связи с тем, что против нее возбуждено дело в шариатском суде в Мелаке, по которому она обвиняется в том, что представлялась женщиной и носила женскую одежду, что может быть наказуемо штрафом или тюремным заключ</w:t>
      </w:r>
      <w:r w:rsidRPr="00705A08">
        <w:t>е</w:t>
      </w:r>
      <w:r w:rsidRPr="00705A08">
        <w:t>нием на срок до шести месяцев</w:t>
      </w:r>
      <w:r w:rsidRPr="001F50F4">
        <w:rPr>
          <w:rStyle w:val="aa"/>
        </w:rPr>
        <w:footnoteReference w:id="8"/>
      </w:r>
      <w:r w:rsidRPr="00705A08">
        <w:t>. Через свою семью автор получила копию с</w:t>
      </w:r>
      <w:r w:rsidRPr="00705A08">
        <w:t>у</w:t>
      </w:r>
      <w:r w:rsidRPr="00705A08">
        <w:t>дебных документов без указания даты. 10 марта 2015 года Совет проанализир</w:t>
      </w:r>
      <w:r w:rsidRPr="00705A08">
        <w:t>о</w:t>
      </w:r>
      <w:r w:rsidRPr="00705A08">
        <w:t>вал новые доказательства, но отказал автору в возобновлении рассмотрения ее вопроса за отсутствием новой значимой информации. Согласно тексту перевода документов шариатского суда, выполненного датской Иммиграционной слу</w:t>
      </w:r>
      <w:r w:rsidRPr="00705A08">
        <w:t>ж</w:t>
      </w:r>
      <w:r w:rsidRPr="00705A08">
        <w:t>бой, дело в отношении автора, по-видимому, находилось в стадии расследов</w:t>
      </w:r>
      <w:r w:rsidRPr="00705A08">
        <w:t>а</w:t>
      </w:r>
      <w:r w:rsidRPr="00705A08">
        <w:t xml:space="preserve">ния, после которого должно быть передано в прокуратуру. В заголовке письма, направленного шариатским судом сестре автора, упоминается слово «закрыто». </w:t>
      </w:r>
      <w:proofErr w:type="gramStart"/>
      <w:r w:rsidRPr="00705A08">
        <w:t>Как отметил Совет, у него не было уверенности в том, что автор будет признана виновной, поскольку судебное разбирательство не было проведено. 25 марта 2015 года автор повторила свою просьбу о возобновлении рассмотрения ее в</w:t>
      </w:r>
      <w:r w:rsidRPr="00705A08">
        <w:t>о</w:t>
      </w:r>
      <w:r w:rsidRPr="00705A08">
        <w:t>проса, мотивируя ее предполагаемой ошибкой, допущенной Советом при пер</w:t>
      </w:r>
      <w:r w:rsidRPr="00705A08">
        <w:t>е</w:t>
      </w:r>
      <w:r w:rsidRPr="00705A08">
        <w:t>воде, так как одно из слов было переведено как «закрыто» вместо «конфиде</w:t>
      </w:r>
      <w:r w:rsidRPr="00705A08">
        <w:t>н</w:t>
      </w:r>
      <w:r w:rsidRPr="00705A08">
        <w:t>циально». 30 марта 2015 года Совет отклонил просьбу</w:t>
      </w:r>
      <w:proofErr w:type="gramEnd"/>
      <w:r w:rsidRPr="00705A08">
        <w:t xml:space="preserve"> </w:t>
      </w:r>
      <w:proofErr w:type="gramStart"/>
      <w:r w:rsidRPr="00705A08">
        <w:t>автора на том основании, что отредактированный перевод текста не изменяет того факта, что ни Депа</w:t>
      </w:r>
      <w:r w:rsidRPr="00705A08">
        <w:t>р</w:t>
      </w:r>
      <w:r w:rsidRPr="00705A08">
        <w:t>тамент по делам ислама, ни какой-либо другой орган с апреля 2012 года не предпринимали мер по выдвинутым против автора обвинениям и что с этой д</w:t>
      </w:r>
      <w:r w:rsidRPr="00705A08">
        <w:t>а</w:t>
      </w:r>
      <w:r w:rsidRPr="00705A08">
        <w:t>ты автор могла законно и без каких-либо затруднений выезжать из страны и въезжать в нее вплоть до ее выезда в январе 2014</w:t>
      </w:r>
      <w:proofErr w:type="gramEnd"/>
      <w:r w:rsidRPr="00705A08">
        <w:t xml:space="preserve"> года и что она более не стан</w:t>
      </w:r>
      <w:r w:rsidRPr="00705A08">
        <w:t>о</w:t>
      </w:r>
      <w:r w:rsidRPr="00705A08">
        <w:t>вилась жертвой задержания или надругательств.</w:t>
      </w:r>
    </w:p>
    <w:p w:rsidR="00705A08" w:rsidRPr="00705A08" w:rsidRDefault="00705A08" w:rsidP="00705A08">
      <w:pPr>
        <w:pStyle w:val="H23GR"/>
        <w:rPr>
          <w:rFonts w:eastAsiaTheme="minorEastAsia"/>
        </w:rPr>
      </w:pPr>
      <w:r w:rsidRPr="00705A08">
        <w:rPr>
          <w:rFonts w:eastAsiaTheme="minorEastAsia"/>
        </w:rPr>
        <w:tab/>
      </w:r>
      <w:r w:rsidRPr="00705A08">
        <w:rPr>
          <w:rFonts w:eastAsiaTheme="minorEastAsia"/>
        </w:rPr>
        <w:tab/>
        <w:t>Жалоба</w:t>
      </w:r>
    </w:p>
    <w:p w:rsidR="00705A08" w:rsidRPr="00705A08" w:rsidRDefault="00705A08" w:rsidP="00705A08">
      <w:pPr>
        <w:pStyle w:val="SingleTxtGR"/>
      </w:pPr>
      <w:r w:rsidRPr="00705A08">
        <w:t>3.1</w:t>
      </w:r>
      <w:r w:rsidRPr="00705A08">
        <w:tab/>
        <w:t>Автор утверждает, что ее принудительное возвращение в Малайзию нарушит статью 7 Пакта, п</w:t>
      </w:r>
      <w:r w:rsidRPr="00705A08">
        <w:t>о</w:t>
      </w:r>
      <w:r w:rsidRPr="00705A08">
        <w:t>скольку она может быть подвергнута сексуальному насилию со стороны малазийской полиции. Автор утверждает, что как женщ</w:t>
      </w:r>
      <w:r w:rsidRPr="00705A08">
        <w:t>и</w:t>
      </w:r>
      <w:r w:rsidRPr="00705A08">
        <w:t>на-трансгендер она принадлежит к исключительно уязвимой группе мен</w:t>
      </w:r>
      <w:r w:rsidRPr="00705A08">
        <w:t>ь</w:t>
      </w:r>
      <w:r w:rsidRPr="00705A08">
        <w:lastRenderedPageBreak/>
        <w:t>шинств. Серьезность угрожающей ей опасности обоснована ее гендерной иде</w:t>
      </w:r>
      <w:r w:rsidRPr="00705A08">
        <w:t>н</w:t>
      </w:r>
      <w:r w:rsidRPr="00705A08">
        <w:t>тичностью и внешн</w:t>
      </w:r>
      <w:r w:rsidRPr="00705A08">
        <w:t>о</w:t>
      </w:r>
      <w:r w:rsidRPr="00705A08">
        <w:t>стью, которые не соответствуют шариатскому праву и из-за которых она подвергалась сексуальному насилию и дискриминации со стороны малазийских властей.</w:t>
      </w:r>
    </w:p>
    <w:p w:rsidR="00705A08" w:rsidRPr="00705A08" w:rsidRDefault="00705A08" w:rsidP="00705A08">
      <w:pPr>
        <w:pStyle w:val="SingleTxtGR"/>
      </w:pPr>
      <w:r w:rsidRPr="00705A08">
        <w:t>3.2</w:t>
      </w:r>
      <w:r w:rsidRPr="00705A08">
        <w:tab/>
        <w:t>Автор также заявляет о нарушении статьи 7, рассматриваемой в совоку</w:t>
      </w:r>
      <w:r w:rsidRPr="00705A08">
        <w:t>п</w:t>
      </w:r>
      <w:r w:rsidRPr="00705A08">
        <w:t>ности с пунктом 1 статьи 18 Пакта, так как ее переход из ислама в индуизм, не разрешаемый по шариатскому праву в Малайзии, по возвращению в страну п</w:t>
      </w:r>
      <w:r w:rsidRPr="00705A08">
        <w:t>о</w:t>
      </w:r>
      <w:r w:rsidRPr="00705A08">
        <w:t>ставит ее под угрозу тюремного заключения.</w:t>
      </w:r>
    </w:p>
    <w:p w:rsidR="00705A08" w:rsidRPr="00705A08" w:rsidRDefault="00705A08" w:rsidP="00705A08">
      <w:pPr>
        <w:pStyle w:val="SingleTxtGR"/>
      </w:pPr>
      <w:r w:rsidRPr="00705A08">
        <w:t>3.3</w:t>
      </w:r>
      <w:r w:rsidRPr="00705A08">
        <w:tab/>
        <w:t>Кроме того, автор заявляет о нарушении статьи 7, рассматриваемой в с</w:t>
      </w:r>
      <w:r w:rsidRPr="00705A08">
        <w:t>о</w:t>
      </w:r>
      <w:r w:rsidRPr="00705A08">
        <w:t>вокупности с пунктом 1 статьи 17 и со статьей 26 Пакта вследствие того, что в контексте возбужденного против нее в шариа</w:t>
      </w:r>
      <w:r w:rsidRPr="00705A08">
        <w:t>т</w:t>
      </w:r>
      <w:r w:rsidRPr="00705A08">
        <w:t>ском суде дела стали известны ее гендерная идентичность и внешность, что нарушило ее право на неприкосн</w:t>
      </w:r>
      <w:r w:rsidRPr="00705A08">
        <w:t>о</w:t>
      </w:r>
      <w:r w:rsidRPr="00705A08">
        <w:t>венность личной жизни. Помимо этого, с учетом ее национальных удостовер</w:t>
      </w:r>
      <w:r w:rsidRPr="00705A08">
        <w:t>я</w:t>
      </w:r>
      <w:r w:rsidRPr="00705A08">
        <w:t>ющих личность документов в случае вынесения ей приговора о тюремном з</w:t>
      </w:r>
      <w:r w:rsidRPr="00705A08">
        <w:t>а</w:t>
      </w:r>
      <w:r w:rsidRPr="00705A08">
        <w:t>ключении, ее будут содержать совместно с мужчинами, что подвергнет ее опа</w:t>
      </w:r>
      <w:r w:rsidRPr="00705A08">
        <w:t>с</w:t>
      </w:r>
      <w:r w:rsidRPr="00705A08">
        <w:t>ности новых надругательств.</w:t>
      </w:r>
    </w:p>
    <w:p w:rsidR="00705A08" w:rsidRPr="00705A08" w:rsidRDefault="00705A08" w:rsidP="00705A08">
      <w:pPr>
        <w:pStyle w:val="H23GR"/>
        <w:rPr>
          <w:rFonts w:eastAsiaTheme="minorEastAsia"/>
        </w:rPr>
      </w:pPr>
      <w:r w:rsidRPr="00705A08">
        <w:rPr>
          <w:rFonts w:eastAsiaTheme="minorEastAsia"/>
        </w:rPr>
        <w:tab/>
      </w:r>
      <w:r w:rsidRPr="00705A08">
        <w:rPr>
          <w:rFonts w:eastAsiaTheme="minorEastAsia"/>
        </w:rPr>
        <w:tab/>
      </w:r>
      <w:r w:rsidRPr="00705A08">
        <w:t>Замечания государства-участника относительно приемлемости и существа сообщения</w:t>
      </w:r>
    </w:p>
    <w:p w:rsidR="00705A08" w:rsidRPr="00705A08" w:rsidRDefault="00705A08" w:rsidP="00705A08">
      <w:pPr>
        <w:pStyle w:val="SingleTxtGR"/>
      </w:pPr>
      <w:r w:rsidRPr="00705A08">
        <w:t>4.1</w:t>
      </w:r>
      <w:r w:rsidRPr="00705A08">
        <w:tab/>
        <w:t>В своих замечаниях от 1 октября 2015 года государство-участник заявл</w:t>
      </w:r>
      <w:r w:rsidRPr="00705A08">
        <w:t>я</w:t>
      </w:r>
      <w:r w:rsidRPr="00705A08">
        <w:t>ет, что настоящее сообщ</w:t>
      </w:r>
      <w:r w:rsidRPr="00705A08">
        <w:t>е</w:t>
      </w:r>
      <w:r w:rsidRPr="00705A08">
        <w:t>ние является неприемлемым либо безосновательным. Государство-участник также разъясняет характер и юридические основания рассмотрения вопроса в датском Апелляционном совете по делам беженцев</w:t>
      </w:r>
      <w:r w:rsidRPr="00705A08">
        <w:rPr>
          <w:vertAlign w:val="superscript"/>
        </w:rPr>
        <w:footnoteReference w:id="9"/>
      </w:r>
      <w:r w:rsidRPr="00705A08">
        <w:t>.</w:t>
      </w:r>
    </w:p>
    <w:p w:rsidR="00705A08" w:rsidRPr="00705A08" w:rsidRDefault="00705A08" w:rsidP="00705A08">
      <w:pPr>
        <w:pStyle w:val="SingleTxtGR"/>
      </w:pPr>
      <w:r w:rsidRPr="00705A08">
        <w:t>4.2</w:t>
      </w:r>
      <w:r w:rsidRPr="00705A08">
        <w:tab/>
        <w:t>Относительно обстоятельств дела государство-участник представило и</w:t>
      </w:r>
      <w:r w:rsidRPr="00705A08">
        <w:t>н</w:t>
      </w:r>
      <w:r w:rsidRPr="00705A08">
        <w:t>формацию о заявлениях автора датским властям. Автор указывала, что фо</w:t>
      </w:r>
      <w:r w:rsidRPr="00705A08">
        <w:t>р</w:t>
      </w:r>
      <w:r w:rsidRPr="00705A08">
        <w:t>мально не перешла в индуизм, поскольку это запр</w:t>
      </w:r>
      <w:r w:rsidRPr="00705A08">
        <w:t>е</w:t>
      </w:r>
      <w:r w:rsidRPr="00705A08">
        <w:t>щено исламом и поскольку у нее возникли бы проблемы с исламскими властями. В одном из интервью она сообщила, что сотрудники полиции последний раз задержали ее и принудили к оральному сексу в декабре 2012 года, но при этом в более позднем интервью она указала, что ее последний раз задерживали и совершали над ней сексуал</w:t>
      </w:r>
      <w:r w:rsidRPr="00705A08">
        <w:t>ь</w:t>
      </w:r>
      <w:r w:rsidRPr="00705A08">
        <w:t>ные надругательства в 2010 году. По поводу своих поездок автор соо</w:t>
      </w:r>
      <w:r w:rsidRPr="00705A08">
        <w:t>б</w:t>
      </w:r>
      <w:r w:rsidRPr="00705A08">
        <w:t>щила, что выезжала в Таиланд более 20 раз и более 15 раз в Сингапур.</w:t>
      </w:r>
    </w:p>
    <w:p w:rsidR="00705A08" w:rsidRPr="00705A08" w:rsidRDefault="00705A08" w:rsidP="00705A08">
      <w:pPr>
        <w:pStyle w:val="SingleTxtGR"/>
      </w:pPr>
      <w:r w:rsidRPr="00705A08">
        <w:t>4.3</w:t>
      </w:r>
      <w:r w:rsidRPr="00705A08">
        <w:tab/>
        <w:t>Государство-участник считает, что автор не предъявила достаточных о</w:t>
      </w:r>
      <w:r w:rsidRPr="00705A08">
        <w:t>с</w:t>
      </w:r>
      <w:r w:rsidRPr="00705A08">
        <w:t>нований полагать, что ее возвращение в Малайзию будет нарушать статью 7 Пакта.</w:t>
      </w:r>
    </w:p>
    <w:p w:rsidR="00705A08" w:rsidRPr="00705A08" w:rsidRDefault="00705A08" w:rsidP="00705A08">
      <w:pPr>
        <w:pStyle w:val="SingleTxtGR"/>
      </w:pPr>
      <w:r w:rsidRPr="00705A08">
        <w:t>4.4</w:t>
      </w:r>
      <w:r w:rsidRPr="00705A08">
        <w:tab/>
        <w:t>Относительно жалоб автора по статьям 17, 18 и 26 Пакта государство-участник отмечает, что автор пытается добиться выполнения государством св</w:t>
      </w:r>
      <w:r w:rsidRPr="00705A08">
        <w:t>о</w:t>
      </w:r>
      <w:r w:rsidRPr="00705A08">
        <w:t>их обязательств по этим статьям в экстратерриториальном порядке. Ее утве</w:t>
      </w:r>
      <w:r w:rsidRPr="00705A08">
        <w:t>р</w:t>
      </w:r>
      <w:r w:rsidRPr="00705A08">
        <w:t>ждения о предполагаемых нарушениях этих положений не основываются на обращении, от которого автор пострадала в Дании или на какой-либо террит</w:t>
      </w:r>
      <w:r w:rsidRPr="00705A08">
        <w:t>о</w:t>
      </w:r>
      <w:r w:rsidRPr="00705A08">
        <w:t>рии под ее эффективным контролем, и по этой причине государство-участник не может быть признано ответственным за такие предполагаемые нарушения</w:t>
      </w:r>
      <w:r w:rsidRPr="001F50F4">
        <w:rPr>
          <w:rStyle w:val="aa"/>
        </w:rPr>
        <w:footnoteReference w:id="10"/>
      </w:r>
      <w:r w:rsidRPr="00705A08">
        <w:t>. Комитет никогда не рассматривал по ее существу какую-либо жалобу на в</w:t>
      </w:r>
      <w:r w:rsidRPr="00705A08">
        <w:t>ы</w:t>
      </w:r>
      <w:r w:rsidRPr="00705A08">
        <w:t>сылку лица, опасавшегося нарушения в принимающем государстве других п</w:t>
      </w:r>
      <w:r w:rsidRPr="00705A08">
        <w:t>о</w:t>
      </w:r>
      <w:r w:rsidRPr="00705A08">
        <w:t xml:space="preserve">ложений Пакта помимо статей 6 и 7. По этой причине упомянутые утверждения должны быть признаны неприемлемыми </w:t>
      </w:r>
      <w:r w:rsidRPr="00AE5A82">
        <w:t>ratione materiae и ratione loci.</w:t>
      </w:r>
    </w:p>
    <w:p w:rsidR="00705A08" w:rsidRPr="00705A08" w:rsidRDefault="00705A08" w:rsidP="00705A08">
      <w:pPr>
        <w:pStyle w:val="SingleTxtGR"/>
      </w:pPr>
      <w:r w:rsidRPr="00705A08">
        <w:t>4.5</w:t>
      </w:r>
      <w:r w:rsidRPr="00705A08">
        <w:tab/>
        <w:t>По существу сообщения государство-участник заявляет, что высылка а</w:t>
      </w:r>
      <w:r w:rsidRPr="00705A08">
        <w:t>в</w:t>
      </w:r>
      <w:r w:rsidRPr="00705A08">
        <w:t xml:space="preserve">тора в Малайзию не будет подвергать ее реальной опасности обращения, </w:t>
      </w:r>
      <w:r w:rsidRPr="00705A08">
        <w:lastRenderedPageBreak/>
        <w:t>предусмотренного статьей 7 Пакта. Для предоставления вида на жительство в соответствии с пунктом 1 раздела 7 датского Закона об иностранцах Совет до</w:t>
      </w:r>
      <w:r w:rsidRPr="00705A08">
        <w:t>л</w:t>
      </w:r>
      <w:r w:rsidRPr="00705A08">
        <w:t xml:space="preserve">жен </w:t>
      </w:r>
      <w:proofErr w:type="gramStart"/>
      <w:r w:rsidRPr="00705A08">
        <w:t>убедиться в существовании подкрепляемых объективными фактами обо</w:t>
      </w:r>
      <w:r w:rsidRPr="00705A08">
        <w:t>с</w:t>
      </w:r>
      <w:r w:rsidRPr="00705A08">
        <w:t>нованных опасений подвергнуться</w:t>
      </w:r>
      <w:proofErr w:type="gramEnd"/>
      <w:r w:rsidRPr="00705A08">
        <w:t xml:space="preserve"> в случае возвращения в страну происхожд</w:t>
      </w:r>
      <w:r w:rsidRPr="00705A08">
        <w:t>е</w:t>
      </w:r>
      <w:r w:rsidRPr="00705A08">
        <w:t>ния целенаправленному личному преследованию определенной степени жест</w:t>
      </w:r>
      <w:r w:rsidRPr="00705A08">
        <w:t>о</w:t>
      </w:r>
      <w:r w:rsidRPr="00705A08">
        <w:t xml:space="preserve">кости. При оценке того, являются </w:t>
      </w:r>
      <w:r w:rsidR="007C246A">
        <w:t xml:space="preserve">ли </w:t>
      </w:r>
      <w:r w:rsidRPr="00705A08">
        <w:t>такие опасения достаточно обоснованн</w:t>
      </w:r>
      <w:r w:rsidRPr="00705A08">
        <w:t>ы</w:t>
      </w:r>
      <w:r w:rsidRPr="00705A08">
        <w:t>ми, Совет принимает, в частности, во внимание информацию о преследованиях, к</w:t>
      </w:r>
      <w:r w:rsidRPr="00705A08">
        <w:t>о</w:t>
      </w:r>
      <w:r w:rsidRPr="00705A08">
        <w:t>торая имелась до выезда просителя убежища из страны происхождения.</w:t>
      </w:r>
    </w:p>
    <w:p w:rsidR="00705A08" w:rsidRPr="00705A08" w:rsidRDefault="00705A08" w:rsidP="00705A08">
      <w:pPr>
        <w:pStyle w:val="SingleTxtGR"/>
      </w:pPr>
      <w:r w:rsidRPr="00705A08">
        <w:t>4.6</w:t>
      </w:r>
      <w:r w:rsidRPr="00705A08">
        <w:tab/>
        <w:t>В поданном ею в Комитет сообщении автор не представила никакой н</w:t>
      </w:r>
      <w:r w:rsidRPr="00705A08">
        <w:t>о</w:t>
      </w:r>
      <w:r w:rsidRPr="00705A08">
        <w:t>вой конкретной информации о ее положении помимо той, которую она сообщ</w:t>
      </w:r>
      <w:r w:rsidRPr="00705A08">
        <w:t>и</w:t>
      </w:r>
      <w:r w:rsidRPr="00705A08">
        <w:t>ла ранее и которая была оценена Советом 19 декабря 2014 года, а также 10 ма</w:t>
      </w:r>
      <w:r w:rsidRPr="00705A08">
        <w:t>р</w:t>
      </w:r>
      <w:r w:rsidRPr="00705A08">
        <w:t>та и 30 марта 2015 года. В этих решениях Совет учитывал основания для предоставления убежища и подтверждающие документы, а также общую пре</w:t>
      </w:r>
      <w:r w:rsidRPr="00705A08">
        <w:t>д</w:t>
      </w:r>
      <w:r w:rsidRPr="00705A08">
        <w:t>ставленную автором информацию, в том числе документы шариатских судов. Совет признал, что автору была сделана операция по изменению пола и что ее кратковременно задерживали, в том числе в апреле 2012 года. Однако Совет не может признать фактом, что автор подвергалась сексуальным надругательствам. Ее заявления об изнасилованиях вызывают существенные сомнения в отнош</w:t>
      </w:r>
      <w:r w:rsidRPr="00705A08">
        <w:t>е</w:t>
      </w:r>
      <w:r w:rsidRPr="00705A08">
        <w:t>нии их обстоятельств, количества виновных и инцидентов, а также населенных пунктов или городов, где они произошли. В целом Совет не признал возмо</w:t>
      </w:r>
      <w:r w:rsidRPr="00705A08">
        <w:t>ж</w:t>
      </w:r>
      <w:r w:rsidRPr="00705A08">
        <w:t>ным, что автор стала жертвой такого рода посягательств. По поводу того, что в апреле 2012 года Департамент по делам ислама якобы угрожал возбудить пр</w:t>
      </w:r>
      <w:r w:rsidRPr="00705A08">
        <w:t>о</w:t>
      </w:r>
      <w:r w:rsidRPr="00705A08">
        <w:t>тив автора дело, Совет подчеркнул, что для осуществления этой угрозы с апр</w:t>
      </w:r>
      <w:r w:rsidRPr="00705A08">
        <w:t>е</w:t>
      </w:r>
      <w:r w:rsidRPr="00705A08">
        <w:t>ля 2012 года не было предпринято никаких шагов и что после этой даты и до ее отъезда в январе 2014 года автор неоднократно въезжала в страну и выезжала из нее. Совет также отметил, что большинство упомянутых автором инцидентов произошли несколькими годами ранее и что автор вполне могла жить в своей стране происхождения приемлемой жизнью, в том числе со своей семьей в С</w:t>
      </w:r>
      <w:r w:rsidRPr="00705A08">
        <w:t>е</w:t>
      </w:r>
      <w:r w:rsidRPr="00705A08">
        <w:t>рамбаме, где проживает ее мать, оказывавшая ей существенную поддержку. С</w:t>
      </w:r>
      <w:r w:rsidRPr="00705A08">
        <w:t>о</w:t>
      </w:r>
      <w:r w:rsidRPr="00705A08">
        <w:t>вет пришел к выводу о том, что автор не доказала вероятность того, что в сл</w:t>
      </w:r>
      <w:r w:rsidRPr="00705A08">
        <w:t>у</w:t>
      </w:r>
      <w:r w:rsidRPr="00705A08">
        <w:t>чае возвращения ей будет угрожать опасность преследования.</w:t>
      </w:r>
    </w:p>
    <w:p w:rsidR="00705A08" w:rsidRPr="00705A08" w:rsidRDefault="00705A08" w:rsidP="00705A08">
      <w:pPr>
        <w:pStyle w:val="SingleTxtGR"/>
      </w:pPr>
      <w:r w:rsidRPr="00705A08">
        <w:t>4.7</w:t>
      </w:r>
      <w:r w:rsidRPr="00705A08">
        <w:tab/>
        <w:t>Государство-участник отмечает, что Совет не считал, что во избежание надругательств автору по возвращению придется скрывать свой пол или рел</w:t>
      </w:r>
      <w:r w:rsidRPr="00705A08">
        <w:t>и</w:t>
      </w:r>
      <w:r w:rsidRPr="00705A08">
        <w:t>гиозную принадлежность. Автор сообщила местной полиции о своем поле и религиозной принадлежности и, несмотря на это, могла вести нормальный о</w:t>
      </w:r>
      <w:r w:rsidRPr="00705A08">
        <w:t>б</w:t>
      </w:r>
      <w:r w:rsidRPr="00705A08">
        <w:t>раз жизни, не подвергаясь надругательствам. В своей оценке Совет принимал во внимание особую уя</w:t>
      </w:r>
      <w:r w:rsidRPr="00705A08">
        <w:t>з</w:t>
      </w:r>
      <w:r w:rsidRPr="00705A08">
        <w:t>вимость автора.</w:t>
      </w:r>
    </w:p>
    <w:p w:rsidR="00705A08" w:rsidRPr="00705A08" w:rsidRDefault="00705A08" w:rsidP="00705A08">
      <w:pPr>
        <w:pStyle w:val="H23GR"/>
        <w:rPr>
          <w:rFonts w:eastAsiaTheme="minorEastAsia"/>
        </w:rPr>
      </w:pPr>
      <w:r w:rsidRPr="00705A08">
        <w:rPr>
          <w:rFonts w:eastAsiaTheme="minorEastAsia"/>
        </w:rPr>
        <w:tab/>
      </w:r>
      <w:r w:rsidRPr="00705A08">
        <w:rPr>
          <w:rFonts w:eastAsiaTheme="minorEastAsia"/>
        </w:rPr>
        <w:tab/>
      </w:r>
      <w:r w:rsidRPr="00705A08">
        <w:t>Комментарии автора к замечаниям государства-участника о</w:t>
      </w:r>
      <w:r w:rsidRPr="00705A08">
        <w:t>т</w:t>
      </w:r>
      <w:r w:rsidRPr="00705A08">
        <w:t xml:space="preserve">носительно приемлемости и существа сообщения </w:t>
      </w:r>
    </w:p>
    <w:p w:rsidR="00705A08" w:rsidRPr="00705A08" w:rsidRDefault="00705A08" w:rsidP="00705A08">
      <w:pPr>
        <w:pStyle w:val="SingleTxtGR"/>
      </w:pPr>
      <w:r w:rsidRPr="00705A08">
        <w:t>5.1</w:t>
      </w:r>
      <w:r w:rsidRPr="00705A08">
        <w:tab/>
        <w:t>5 февраля 2015 года автор заявила, что она в достаточной мере доказала наличие существенных оснований полагать, что ее возвращение в Малайзию будет нарушать статью 7 Пакта.</w:t>
      </w:r>
    </w:p>
    <w:p w:rsidR="00705A08" w:rsidRPr="00705A08" w:rsidRDefault="00705A08" w:rsidP="00705A08">
      <w:pPr>
        <w:pStyle w:val="SingleTxtGR"/>
      </w:pPr>
      <w:r w:rsidRPr="00705A08">
        <w:t>5.2</w:t>
      </w:r>
      <w:r w:rsidRPr="00705A08">
        <w:tab/>
        <w:t>По поводу утверждений государства-участника о том, что она пытается добиться применения статей 17, 18 и 26 в экстратерриториальном порядке, а</w:t>
      </w:r>
      <w:r w:rsidRPr="00705A08">
        <w:t>в</w:t>
      </w:r>
      <w:r w:rsidRPr="00705A08">
        <w:t>тор пояснила, что ее опыт в сочетании с име</w:t>
      </w:r>
      <w:r w:rsidRPr="00705A08">
        <w:t>ю</w:t>
      </w:r>
      <w:r w:rsidRPr="00705A08">
        <w:t>щейся информацией о положении женщин-трансгендеров в Малайзии подтверждает, что ее права как женщины на личную жизнь и свободу будут в Малайзии нарушены. Взятые вместе эти фа</w:t>
      </w:r>
      <w:r w:rsidRPr="00705A08">
        <w:t>к</w:t>
      </w:r>
      <w:r w:rsidRPr="00705A08">
        <w:t>торы повышают грозящую автору опасность стать жертвой жестокого, бесчел</w:t>
      </w:r>
      <w:r w:rsidRPr="00705A08">
        <w:t>о</w:t>
      </w:r>
      <w:r w:rsidRPr="00705A08">
        <w:t>вечного или унижающего достоинство обращения и наказания в случае ее во</w:t>
      </w:r>
      <w:r w:rsidRPr="00705A08">
        <w:t>з</w:t>
      </w:r>
      <w:r w:rsidRPr="00705A08">
        <w:t>вращения.</w:t>
      </w:r>
    </w:p>
    <w:p w:rsidR="00705A08" w:rsidRPr="00705A08" w:rsidRDefault="00705A08" w:rsidP="00705A08">
      <w:pPr>
        <w:pStyle w:val="SingleTxtGR"/>
      </w:pPr>
      <w:proofErr w:type="gramStart"/>
      <w:r w:rsidRPr="00705A08">
        <w:t>5.3</w:t>
      </w:r>
      <w:r w:rsidRPr="00705A08">
        <w:tab/>
        <w:t>Автор отмечает, что после хирургической операции по изменению пола и приема женских гормонов</w:t>
      </w:r>
      <w:r w:rsidR="00FB4944">
        <w:t>,</w:t>
      </w:r>
      <w:r w:rsidRPr="00705A08">
        <w:t xml:space="preserve"> наряду с тем, что ее рост составляет 170 см, </w:t>
      </w:r>
      <w:r w:rsidR="007C246A">
        <w:t>а вес 105 кг</w:t>
      </w:r>
      <w:r w:rsidRPr="00705A08">
        <w:t xml:space="preserve"> и что она имеет 44-й размер обуви</w:t>
      </w:r>
      <w:r w:rsidR="00FB4944">
        <w:t>,</w:t>
      </w:r>
      <w:r w:rsidRPr="00705A08">
        <w:t xml:space="preserve"> она выглядит как необычно крупная женщина и что такая ее внешность вызывает подозрения в том, что она являе</w:t>
      </w:r>
      <w:r w:rsidRPr="00705A08">
        <w:t>т</w:t>
      </w:r>
      <w:r w:rsidRPr="00705A08">
        <w:t>ся мужчиной, носящим женскую одежду.</w:t>
      </w:r>
      <w:proofErr w:type="gramEnd"/>
      <w:r w:rsidRPr="00705A08">
        <w:t xml:space="preserve"> По этой причине вполне вер</w:t>
      </w:r>
      <w:r w:rsidRPr="00705A08">
        <w:t>о</w:t>
      </w:r>
      <w:r w:rsidRPr="00705A08">
        <w:t xml:space="preserve">ятно, что малазийская полиции неоднократно проверяла личность автора и что ей вновь </w:t>
      </w:r>
      <w:r w:rsidRPr="00705A08">
        <w:lastRenderedPageBreak/>
        <w:t>будут угрожать подобные проверки. Помимо этого, в результате таких проверок будут также выявлены татуировки на ее груди, левой руке и спине. За это она будет передана шариатскому суду в связи с возбужденным против нее делом.</w:t>
      </w:r>
    </w:p>
    <w:p w:rsidR="00705A08" w:rsidRPr="00705A08" w:rsidRDefault="00705A08" w:rsidP="00705A08">
      <w:pPr>
        <w:pStyle w:val="SingleTxtGR"/>
      </w:pPr>
      <w:r w:rsidRPr="00705A08">
        <w:t>5.4</w:t>
      </w:r>
      <w:r w:rsidRPr="00705A08">
        <w:tab/>
        <w:t>Автор ссылается на несколько докладов правительственных и неправ</w:t>
      </w:r>
      <w:r w:rsidRPr="00705A08">
        <w:t>и</w:t>
      </w:r>
      <w:r w:rsidRPr="00705A08">
        <w:t>тельственных организаций о положении трансгендеров в Малайзии. В частн</w:t>
      </w:r>
      <w:r w:rsidRPr="00705A08">
        <w:t>о</w:t>
      </w:r>
      <w:r w:rsidRPr="00705A08">
        <w:t>сти, в докладе организации «Хьюман Райтс Уотч»</w:t>
      </w:r>
      <w:r w:rsidRPr="001F50F4">
        <w:rPr>
          <w:rStyle w:val="aa"/>
        </w:rPr>
        <w:footnoteReference w:id="11"/>
      </w:r>
      <w:r w:rsidRPr="00705A08">
        <w:t xml:space="preserve"> отмечается, что дискрим</w:t>
      </w:r>
      <w:r w:rsidRPr="00705A08">
        <w:t>и</w:t>
      </w:r>
      <w:r w:rsidRPr="00705A08">
        <w:t>нация в отношении трансгендеров носит широко распространенный характер и что в октябре 2016 года Федеральный суд постановил отменить решение суда низшей инстанции, признавшего неконституционным одно из положений и</w:t>
      </w:r>
      <w:r w:rsidRPr="00705A08">
        <w:t>с</w:t>
      </w:r>
      <w:r w:rsidRPr="00705A08">
        <w:t>ламского законодательства штата Негри-Сембилан о криминализации ношения одежды, предназначенной для лиц другого пола. Согласно докладу Госуда</w:t>
      </w:r>
      <w:r w:rsidRPr="00705A08">
        <w:t>р</w:t>
      </w:r>
      <w:r w:rsidRPr="00705A08">
        <w:t>ственного департамента Соединенных Штатов Америки</w:t>
      </w:r>
      <w:r w:rsidRPr="001F50F4">
        <w:rPr>
          <w:rStyle w:val="aa"/>
        </w:rPr>
        <w:footnoteReference w:id="12"/>
      </w:r>
      <w:r w:rsidRPr="00705A08">
        <w:t xml:space="preserve"> по Закону о мелких правонарушениях тран</w:t>
      </w:r>
      <w:r w:rsidRPr="00705A08">
        <w:t>с</w:t>
      </w:r>
      <w:r w:rsidRPr="00705A08">
        <w:t>гендерам часто предъявляют обвинения в «аморальном поведении» и что их могут оштрафовать или, в случае повторного признания вины приговорить к тюремному заключению на срок до трех месяцев.</w:t>
      </w:r>
    </w:p>
    <w:p w:rsidR="00705A08" w:rsidRPr="00705A08" w:rsidRDefault="00705A08" w:rsidP="00705A08">
      <w:pPr>
        <w:pStyle w:val="H23GR"/>
      </w:pPr>
      <w:r w:rsidRPr="00705A08">
        <w:rPr>
          <w:rFonts w:eastAsiaTheme="minorEastAsia"/>
        </w:rPr>
        <w:tab/>
      </w:r>
      <w:r w:rsidRPr="00705A08">
        <w:rPr>
          <w:rFonts w:eastAsiaTheme="minorEastAsia"/>
        </w:rPr>
        <w:tab/>
      </w:r>
      <w:r w:rsidRPr="00705A08">
        <w:t>Вопросы и процедуры их рассмотрения в Комитете</w:t>
      </w:r>
    </w:p>
    <w:p w:rsidR="00705A08" w:rsidRPr="00705A08" w:rsidRDefault="00705A08" w:rsidP="00705A08">
      <w:pPr>
        <w:pStyle w:val="H4GR"/>
      </w:pPr>
      <w:r w:rsidRPr="00705A08">
        <w:tab/>
      </w:r>
      <w:r w:rsidRPr="00705A08">
        <w:tab/>
        <w:t>Рассмотрение вопроса о приемлемости</w:t>
      </w:r>
    </w:p>
    <w:p w:rsidR="00705A08" w:rsidRPr="00705A08" w:rsidRDefault="00705A08" w:rsidP="00705A08">
      <w:pPr>
        <w:pStyle w:val="SingleTxtGR"/>
      </w:pPr>
      <w:r w:rsidRPr="00705A08">
        <w:t>6.1</w:t>
      </w:r>
      <w:r w:rsidRPr="00705A08">
        <w:tab/>
        <w:t>Прежде чем приступить к рассмотрению любой жалобы, содержащейся в сообщении, Комитет обязан решить в соответствии с пунктом 93 своих правил процедуры, является ли сообщение приемлемым согласно Факультативному протоколу к Пакту.</w:t>
      </w:r>
    </w:p>
    <w:p w:rsidR="00705A08" w:rsidRPr="00705A08" w:rsidRDefault="00705A08" w:rsidP="00705A08">
      <w:pPr>
        <w:pStyle w:val="SingleTxtGR"/>
      </w:pPr>
      <w:r w:rsidRPr="00705A08">
        <w:t>6.2</w:t>
      </w:r>
      <w:r w:rsidRPr="00705A08">
        <w:tab/>
        <w:t>Согласно подпункту а) пункта 2 статьи 5 Факультативного протокола К</w:t>
      </w:r>
      <w:r w:rsidRPr="00705A08">
        <w:t>о</w:t>
      </w:r>
      <w:r w:rsidRPr="00705A08">
        <w:t>митет удостоверился в том, что этот же вопрос не рассматривается в соотве</w:t>
      </w:r>
      <w:r w:rsidRPr="00705A08">
        <w:t>т</w:t>
      </w:r>
      <w:r w:rsidRPr="00705A08">
        <w:t>ствии с другой процедурой международного разбирательства или урегулиров</w:t>
      </w:r>
      <w:r w:rsidRPr="00705A08">
        <w:t>а</w:t>
      </w:r>
      <w:r w:rsidRPr="00705A08">
        <w:t>ния.</w:t>
      </w:r>
    </w:p>
    <w:p w:rsidR="00705A08" w:rsidRPr="00705A08" w:rsidRDefault="00705A08" w:rsidP="00705A08">
      <w:pPr>
        <w:pStyle w:val="SingleTxtGR"/>
      </w:pPr>
      <w:r w:rsidRPr="00705A08">
        <w:t>6.3</w:t>
      </w:r>
      <w:r w:rsidRPr="00705A08">
        <w:tab/>
        <w:t>Комитет принимает к сведению утверждение автора о том, что она исче</w:t>
      </w:r>
      <w:r w:rsidRPr="00705A08">
        <w:t>р</w:t>
      </w:r>
      <w:r w:rsidRPr="00705A08">
        <w:t>пала все доступные для нее эффективные внутренние средства правовой защ</w:t>
      </w:r>
      <w:r w:rsidRPr="00705A08">
        <w:t>и</w:t>
      </w:r>
      <w:r w:rsidRPr="00705A08">
        <w:t>ты. При отсутствии возражений со стороны государства-участника по этому в</w:t>
      </w:r>
      <w:r w:rsidRPr="00705A08">
        <w:t>о</w:t>
      </w:r>
      <w:r w:rsidRPr="00705A08">
        <w:t xml:space="preserve">просу Комитет считает, что требования подпункта </w:t>
      </w:r>
      <w:r w:rsidRPr="00705A08">
        <w:rPr>
          <w:lang w:val="en-US"/>
        </w:rPr>
        <w:t>b</w:t>
      </w:r>
      <w:r w:rsidRPr="00705A08">
        <w:t>) пункта 2 статьи 5 Факул</w:t>
      </w:r>
      <w:r w:rsidRPr="00705A08">
        <w:t>ь</w:t>
      </w:r>
      <w:r w:rsidRPr="00705A08">
        <w:t>тативного протокола выполнены.</w:t>
      </w:r>
    </w:p>
    <w:p w:rsidR="00705A08" w:rsidRPr="00705A08" w:rsidRDefault="00705A08" w:rsidP="00705A08">
      <w:pPr>
        <w:pStyle w:val="SingleTxtGR"/>
      </w:pPr>
      <w:r w:rsidRPr="00705A08">
        <w:t>6.4</w:t>
      </w:r>
      <w:r w:rsidRPr="00705A08">
        <w:tab/>
        <w:t>Комитет принимает во внимание утверждение автора о том, что в нар</w:t>
      </w:r>
      <w:r w:rsidRPr="00705A08">
        <w:t>у</w:t>
      </w:r>
      <w:r w:rsidRPr="00705A08">
        <w:t>шение статьи 7, рассматр</w:t>
      </w:r>
      <w:r w:rsidRPr="00705A08">
        <w:t>и</w:t>
      </w:r>
      <w:r w:rsidRPr="00705A08">
        <w:t>ваемой в совокупности с пунктом 1 статьи 18 Пакта, возвращение в Малайзию поставит ее под угрозу тюремного заключения за предполагаемый переход в индуизм, поскольку по шариатскому праву обращ</w:t>
      </w:r>
      <w:r w:rsidRPr="00705A08">
        <w:t>е</w:t>
      </w:r>
      <w:r w:rsidRPr="00705A08">
        <w:t>ние в другую религию в Малайзии запрещено. Комитет, однако, отмечает зая</w:t>
      </w:r>
      <w:r w:rsidRPr="00705A08">
        <w:t>в</w:t>
      </w:r>
      <w:r w:rsidRPr="00705A08">
        <w:t>ление государства-участника, согласно которому автор проинформировала да</w:t>
      </w:r>
      <w:r w:rsidRPr="00705A08">
        <w:t>т</w:t>
      </w:r>
      <w:r w:rsidRPr="00705A08">
        <w:t>ские власти о том, что формально она не перешла в индуизм. Кроме того, в этой связи автор не представила Комитету каких-либо подробных сведений о ее предполагаемом переходе в другую веру или о последствиях такового. Она не утверждает, что предположительно возбужденное против нее в шариатском суде в Мелаке дело связано с ее переходом в индуизм или что вследствие такого п</w:t>
      </w:r>
      <w:r w:rsidRPr="00705A08">
        <w:t>е</w:t>
      </w:r>
      <w:r w:rsidRPr="00705A08">
        <w:t>рехода она каким-либо иным образом подвергалась пресл</w:t>
      </w:r>
      <w:r w:rsidRPr="00705A08">
        <w:t>е</w:t>
      </w:r>
      <w:r w:rsidRPr="00705A08">
        <w:t>дованиям, и также не сообщила никаких подробных данных относительно вероятной опасности и х</w:t>
      </w:r>
      <w:r w:rsidRPr="00705A08">
        <w:t>а</w:t>
      </w:r>
      <w:r w:rsidRPr="00705A08">
        <w:t>рактера таких преследований в случае ее возвращения. Соответственно Ком</w:t>
      </w:r>
      <w:r w:rsidRPr="00705A08">
        <w:t>и</w:t>
      </w:r>
      <w:r w:rsidRPr="00705A08">
        <w:t>тет приходит к выводу о том, что эта жалоба является недостаточно обоснова</w:t>
      </w:r>
      <w:r w:rsidRPr="00705A08">
        <w:t>н</w:t>
      </w:r>
      <w:r w:rsidRPr="00705A08">
        <w:t>ной и как таковая неприемлема согласно статье 2 Ф</w:t>
      </w:r>
      <w:r w:rsidRPr="00705A08">
        <w:t>а</w:t>
      </w:r>
      <w:r w:rsidRPr="00705A08">
        <w:t>культативного протокола.</w:t>
      </w:r>
    </w:p>
    <w:p w:rsidR="00705A08" w:rsidRPr="00705A08" w:rsidRDefault="00705A08" w:rsidP="00705A08">
      <w:pPr>
        <w:pStyle w:val="SingleTxtGR"/>
      </w:pPr>
      <w:r w:rsidRPr="00705A08">
        <w:t>6.5</w:t>
      </w:r>
      <w:r w:rsidRPr="00705A08">
        <w:tab/>
        <w:t>Комитет принимает к сведению довод государства-участника о том, что автор пытается добиться применения статей 17 и 26 Пакта в экстратерритор</w:t>
      </w:r>
      <w:r w:rsidRPr="00705A08">
        <w:t>и</w:t>
      </w:r>
      <w:r w:rsidRPr="00705A08">
        <w:t xml:space="preserve">альном порядке. Однако он отмечает, что автор уточнила, что поданные ею в Комитет жалобы основываются главным образом на статье 7 и что угроза </w:t>
      </w:r>
      <w:r w:rsidRPr="00705A08">
        <w:lastRenderedPageBreak/>
        <w:t>нарушения ее прав по статьям 17 и 26 подчеркивает возрастание опасности т</w:t>
      </w:r>
      <w:r w:rsidRPr="00705A08">
        <w:t>о</w:t>
      </w:r>
      <w:r w:rsidRPr="00705A08">
        <w:t>го, что в случае возвращения в Малайзию она станет жертвой жестокого, бесч</w:t>
      </w:r>
      <w:r w:rsidRPr="00705A08">
        <w:t>е</w:t>
      </w:r>
      <w:r w:rsidRPr="00705A08">
        <w:t>ловечного или унижающего достоинство обращения и наказания. Исходя из этого, Комитет считает, что утверждения автора по статьям 17 и 26 не могут рассматриваться отдельно от утверждений по статье 7, которые должны быть оценены по существу.</w:t>
      </w:r>
    </w:p>
    <w:p w:rsidR="00705A08" w:rsidRPr="00705A08" w:rsidRDefault="00705A08" w:rsidP="00705A08">
      <w:pPr>
        <w:pStyle w:val="SingleTxtGR"/>
      </w:pPr>
      <w:r w:rsidRPr="00705A08">
        <w:t>6.6</w:t>
      </w:r>
      <w:r w:rsidRPr="00705A08">
        <w:tab/>
        <w:t>Комитет принимает во внимание довод государства-участника о том, что жалобы автора по статье 7 Пакта недостаточно обоснованы. Комитет вместе с тем отмечает, что как трансгендер автор относится к особо уязвимой в Мала</w:t>
      </w:r>
      <w:r w:rsidRPr="00705A08">
        <w:t>й</w:t>
      </w:r>
      <w:r w:rsidRPr="00705A08">
        <w:t>зии группе населения, что она сообщила о ее неоднократном задержании и се</w:t>
      </w:r>
      <w:r w:rsidRPr="00705A08">
        <w:t>к</w:t>
      </w:r>
      <w:r w:rsidRPr="00705A08">
        <w:t>суальных надругательствах над ней из-за ее внешности и гендерной идентичн</w:t>
      </w:r>
      <w:r w:rsidRPr="00705A08">
        <w:t>о</w:t>
      </w:r>
      <w:r w:rsidRPr="00705A08">
        <w:t>сти, которые не соответствуют удостоверяющим ее личность документам и противоречат шариатскому праву, и что она зая</w:t>
      </w:r>
      <w:r w:rsidRPr="00705A08">
        <w:t>в</w:t>
      </w:r>
      <w:r w:rsidRPr="00705A08">
        <w:t>ляла о том, что ее возвращение в Малайзию поставит ее под угрозу дальнейших полицейских преслед</w:t>
      </w:r>
      <w:r w:rsidRPr="00705A08">
        <w:t>о</w:t>
      </w:r>
      <w:r w:rsidRPr="00705A08">
        <w:t>ваний и надругательств. Исходя из этого, Комитет считает, что автор в достаточной ст</w:t>
      </w:r>
      <w:r w:rsidRPr="00705A08">
        <w:t>е</w:t>
      </w:r>
      <w:r w:rsidRPr="00705A08">
        <w:t>пени обосновала для целей признания приемлемости свои основанные на ее гендерной идентичности жалобы по статье 7, рассматриваемой в совокупности с пунктом 1 статьи 17 и со статьей 26 Пакта.</w:t>
      </w:r>
    </w:p>
    <w:p w:rsidR="00705A08" w:rsidRPr="00705A08" w:rsidRDefault="00705A08" w:rsidP="00705A08">
      <w:pPr>
        <w:pStyle w:val="SingleTxtGR"/>
      </w:pPr>
      <w:r w:rsidRPr="00705A08">
        <w:t>6.7</w:t>
      </w:r>
      <w:r w:rsidRPr="00705A08">
        <w:tab/>
        <w:t>В свете вышесказанного Комитет объявляет сообщение приемлемым, п</w:t>
      </w:r>
      <w:r w:rsidRPr="00705A08">
        <w:t>о</w:t>
      </w:r>
      <w:r w:rsidRPr="00705A08">
        <w:t>скольку оно затрагивает вопросы, предусмотренные статьей 7, рассматриваемой в совокупности с пунктом 1 статьи 17 и со ст</w:t>
      </w:r>
      <w:r w:rsidRPr="00705A08">
        <w:t>а</w:t>
      </w:r>
      <w:r w:rsidRPr="00705A08">
        <w:t>тьей 26 Пакта, и приступает к его рассмотрению по существу.</w:t>
      </w:r>
    </w:p>
    <w:p w:rsidR="00705A08" w:rsidRPr="00705A08" w:rsidRDefault="00705A08" w:rsidP="00705A08">
      <w:pPr>
        <w:pStyle w:val="H4GR"/>
        <w:rPr>
          <w:rFonts w:eastAsiaTheme="minorEastAsia"/>
        </w:rPr>
      </w:pPr>
      <w:r w:rsidRPr="00705A08">
        <w:tab/>
      </w:r>
      <w:r w:rsidRPr="00705A08">
        <w:tab/>
        <w:t>Рассмотрение по существу</w:t>
      </w:r>
    </w:p>
    <w:p w:rsidR="00705A08" w:rsidRPr="00705A08" w:rsidRDefault="00705A08" w:rsidP="00705A08">
      <w:pPr>
        <w:pStyle w:val="SingleTxtGR"/>
      </w:pPr>
      <w:r w:rsidRPr="00705A08">
        <w:t>7.1</w:t>
      </w:r>
      <w:r w:rsidRPr="00705A08">
        <w:tab/>
        <w:t>Комитет рассмотрел сообщение в свете всей представленной ему стор</w:t>
      </w:r>
      <w:r w:rsidRPr="00705A08">
        <w:t>о</w:t>
      </w:r>
      <w:r w:rsidRPr="00705A08">
        <w:t>нами информации в соответствии с пунктом 1 статьи 5 Факультативного прот</w:t>
      </w:r>
      <w:r w:rsidRPr="00705A08">
        <w:t>о</w:t>
      </w:r>
      <w:r w:rsidRPr="00705A08">
        <w:t>кола.</w:t>
      </w:r>
    </w:p>
    <w:p w:rsidR="00705A08" w:rsidRPr="00705A08" w:rsidRDefault="00705A08" w:rsidP="00705A08">
      <w:pPr>
        <w:pStyle w:val="SingleTxtGR"/>
      </w:pPr>
      <w:r w:rsidRPr="00705A08">
        <w:t>7.2</w:t>
      </w:r>
      <w:r w:rsidRPr="00705A08">
        <w:tab/>
        <w:t>Комитет принимает к сведению утверждение автора о том, что в случае возвращения в Малайзию ей будет угрожать опасность стать жертвой сексуал</w:t>
      </w:r>
      <w:r w:rsidRPr="00705A08">
        <w:t>ь</w:t>
      </w:r>
      <w:r w:rsidRPr="00705A08">
        <w:t>ного насилия со стороны малазийской полиции за свою гендерную иденти</w:t>
      </w:r>
      <w:r w:rsidRPr="00705A08">
        <w:t>ч</w:t>
      </w:r>
      <w:r w:rsidRPr="00705A08">
        <w:t>ность. Автор утверждает, что с учетом ношения женской одежды, операции по изменению пола и гормональной терапии ее внешность не соответствует уд</w:t>
      </w:r>
      <w:r w:rsidRPr="00705A08">
        <w:t>о</w:t>
      </w:r>
      <w:r w:rsidRPr="00705A08">
        <w:t>стоверяющим ее личность документам и что из-за этого она неоднократно была задержана и подвергнута сексуальным надругательствам со стороны малази</w:t>
      </w:r>
      <w:r w:rsidRPr="00705A08">
        <w:t>й</w:t>
      </w:r>
      <w:r w:rsidRPr="00705A08">
        <w:t>ской полиции, а также обвинена по шариатскому законодательству штата Мел</w:t>
      </w:r>
      <w:r w:rsidRPr="00705A08">
        <w:t>а</w:t>
      </w:r>
      <w:r w:rsidRPr="00705A08">
        <w:t>ка в уголовном преступлении, которое может быть наказуемо штрафом или т</w:t>
      </w:r>
      <w:r w:rsidRPr="00705A08">
        <w:t>ю</w:t>
      </w:r>
      <w:r w:rsidRPr="00705A08">
        <w:t>ремным заключением на срок до шести месяцев. С учетом своего опыта и о</w:t>
      </w:r>
      <w:r w:rsidRPr="00705A08">
        <w:t>б</w:t>
      </w:r>
      <w:r w:rsidRPr="00705A08">
        <w:t>щего контекста криминализации и преследований женщин-трансгендеров, фа</w:t>
      </w:r>
      <w:r w:rsidRPr="00705A08">
        <w:t>к</w:t>
      </w:r>
      <w:r w:rsidRPr="00705A08">
        <w:t>ты которых подтверждаются представленными автором международными д</w:t>
      </w:r>
      <w:r w:rsidRPr="00705A08">
        <w:t>о</w:t>
      </w:r>
      <w:r w:rsidRPr="00705A08">
        <w:t>кладами, она считает вполне вероятным, что в случае ее возвращения в Мала</w:t>
      </w:r>
      <w:r w:rsidRPr="00705A08">
        <w:t>й</w:t>
      </w:r>
      <w:r w:rsidRPr="00705A08">
        <w:t>зию она станет подвергаться за свою внешность постоянным проверкам и что имеющиеся на ее теле татуировки повышают опасность того, что она будет п</w:t>
      </w:r>
      <w:r w:rsidRPr="00705A08">
        <w:t>е</w:t>
      </w:r>
      <w:r w:rsidRPr="00705A08">
        <w:t>редана в шариатский суд. Она заявляет, что в контексте возбужденного против нее в шариатском суде в Мелаке дела информация о ее гендерной идентичности стала достоянием общественности в нарушение ее права на неприкоснове</w:t>
      </w:r>
      <w:r w:rsidRPr="00705A08">
        <w:t>н</w:t>
      </w:r>
      <w:r w:rsidRPr="00705A08">
        <w:t>ность личной жизни. Помимо этого, она утверждает, что с учетом ее наци</w:t>
      </w:r>
      <w:r w:rsidRPr="00705A08">
        <w:t>о</w:t>
      </w:r>
      <w:r w:rsidRPr="00705A08">
        <w:t>нальных удостоверяющих личность документов в случае тюремного заключ</w:t>
      </w:r>
      <w:r w:rsidRPr="00705A08">
        <w:t>е</w:t>
      </w:r>
      <w:r w:rsidRPr="00705A08">
        <w:t>ния она будет содержаться вместе с мужчинами, что подвергнет ее опасности дальне</w:t>
      </w:r>
      <w:r w:rsidRPr="00705A08">
        <w:t>й</w:t>
      </w:r>
      <w:r w:rsidRPr="00705A08">
        <w:t>ших надругательств.</w:t>
      </w:r>
    </w:p>
    <w:p w:rsidR="00705A08" w:rsidRPr="00705A08" w:rsidRDefault="00705A08" w:rsidP="00705A08">
      <w:pPr>
        <w:pStyle w:val="SingleTxtGR"/>
      </w:pPr>
      <w:proofErr w:type="gramStart"/>
      <w:r w:rsidRPr="00705A08">
        <w:t>7.3</w:t>
      </w:r>
      <w:r w:rsidRPr="00705A08">
        <w:tab/>
        <w:t>Комитет ссылается на пункт 12 своего замечания общего порядка № 31 (2004</w:t>
      </w:r>
      <w:r w:rsidR="00FB4944">
        <w:t xml:space="preserve"> год</w:t>
      </w:r>
      <w:r w:rsidRPr="00705A08">
        <w:t>) о характере общего юридического обязательства, налагаемого на го</w:t>
      </w:r>
      <w:r w:rsidRPr="00705A08">
        <w:t>с</w:t>
      </w:r>
      <w:r w:rsidRPr="00705A08">
        <w:t>ударство – участника Пакта, в котором он ссылается на их обязательство не экстрадировать, не депортировать, не высылать и не выдворять каким-либо иным образом лицо со своей территории, когда имеются серьезные основания полагать, что существует реальная опасность причинения невозместимого вр</w:t>
      </w:r>
      <w:r w:rsidRPr="00705A08">
        <w:t>е</w:t>
      </w:r>
      <w:r w:rsidRPr="00705A08">
        <w:t>да, такого, как</w:t>
      </w:r>
      <w:proofErr w:type="gramEnd"/>
      <w:r w:rsidRPr="00705A08">
        <w:t xml:space="preserve"> </w:t>
      </w:r>
      <w:proofErr w:type="gramStart"/>
      <w:r w:rsidRPr="00705A08">
        <w:t>предусмотренный</w:t>
      </w:r>
      <w:proofErr w:type="gramEnd"/>
      <w:r w:rsidRPr="00705A08">
        <w:t xml:space="preserve"> в статье 7 Пакта, которая запрещает жестокое, бесчеловечное или унижающее достоинство обращение и наказание. Комитет </w:t>
      </w:r>
      <w:r w:rsidRPr="00705A08">
        <w:lastRenderedPageBreak/>
        <w:t>также указал, что такая опасность должна быть личной и что при рассмотрении вопроса о весомости оснований для установления наличия реальной опасности причинения невозместимого вреда должен применяться высокий порог</w:t>
      </w:r>
      <w:r w:rsidRPr="001F50F4">
        <w:rPr>
          <w:rStyle w:val="aa"/>
        </w:rPr>
        <w:footnoteReference w:id="13"/>
      </w:r>
      <w:r w:rsidRPr="00705A08">
        <w:t>. Ком</w:t>
      </w:r>
      <w:r w:rsidRPr="00705A08">
        <w:t>и</w:t>
      </w:r>
      <w:r w:rsidRPr="00705A08">
        <w:t>тет также напоминает свою правовую практику, согласно которой необходимо должным образом учитывать оценку, произведенную государством-участником, и что оценка фактов и доказательств в целях определения такой опасности</w:t>
      </w:r>
      <w:r w:rsidRPr="001F50F4">
        <w:rPr>
          <w:rStyle w:val="aa"/>
        </w:rPr>
        <w:footnoteReference w:id="14"/>
      </w:r>
      <w:r w:rsidRPr="00705A08">
        <w:t xml:space="preserve"> о</w:t>
      </w:r>
      <w:r w:rsidRPr="00705A08">
        <w:t>т</w:t>
      </w:r>
      <w:r w:rsidRPr="00705A08">
        <w:t>носится, в принципе, к компетенции органов государств – участников Пакта, за исключением случаев, когда установлено, что такая оценка была явно прои</w:t>
      </w:r>
      <w:r w:rsidRPr="00705A08">
        <w:t>з</w:t>
      </w:r>
      <w:r w:rsidRPr="00705A08">
        <w:t>вольной или равноценной отказу в правосудии</w:t>
      </w:r>
      <w:r w:rsidRPr="001F50F4">
        <w:rPr>
          <w:rStyle w:val="aa"/>
        </w:rPr>
        <w:footnoteReference w:id="15"/>
      </w:r>
      <w:r w:rsidRPr="00705A08">
        <w:t>.</w:t>
      </w:r>
    </w:p>
    <w:p w:rsidR="00705A08" w:rsidRPr="00705A08" w:rsidRDefault="00705A08" w:rsidP="00705A08">
      <w:pPr>
        <w:pStyle w:val="SingleTxtGR"/>
      </w:pPr>
      <w:r w:rsidRPr="00705A08">
        <w:t>7.4</w:t>
      </w:r>
      <w:r w:rsidRPr="00705A08">
        <w:tab/>
        <w:t>В настоящем случае Комитет принимает к сведению, что государство-участник признало измен</w:t>
      </w:r>
      <w:r w:rsidRPr="00705A08">
        <w:t>е</w:t>
      </w:r>
      <w:r w:rsidRPr="00705A08">
        <w:t>ние автором пола, а также тот факт, что в прошлом ее могли задерживать. Однако как Датская иммиграционная служба, так и Апе</w:t>
      </w:r>
      <w:r w:rsidRPr="00705A08">
        <w:t>л</w:t>
      </w:r>
      <w:r w:rsidRPr="00705A08">
        <w:t>ляционный совет по делам беженцев тщательно изучили утверждения автора и представленные доказательства, однако сочли, что ее утверждения о задерж</w:t>
      </w:r>
      <w:r w:rsidRPr="00705A08">
        <w:t>а</w:t>
      </w:r>
      <w:r w:rsidRPr="00705A08">
        <w:t>нии и, в частности, о сексуальных надругательствах над ней, являются недост</w:t>
      </w:r>
      <w:r w:rsidRPr="00705A08">
        <w:t>а</w:t>
      </w:r>
      <w:r w:rsidRPr="00705A08">
        <w:t>точно обоснованными и противоречивыми по ряду моментов, в том числе в о</w:t>
      </w:r>
      <w:r w:rsidRPr="00705A08">
        <w:t>т</w:t>
      </w:r>
      <w:r w:rsidRPr="00705A08">
        <w:t>ношении числа, времени и места предполагаемых преступлений, а также кол</w:t>
      </w:r>
      <w:r w:rsidRPr="00705A08">
        <w:t>и</w:t>
      </w:r>
      <w:r w:rsidRPr="00705A08">
        <w:t>чества совершивших их лиц. В этой связи Комитет отмечает, что в своем соо</w:t>
      </w:r>
      <w:r w:rsidRPr="00705A08">
        <w:t>б</w:t>
      </w:r>
      <w:r w:rsidRPr="00705A08">
        <w:t xml:space="preserve">щении автор описывает эти инциденты только в общем плане. </w:t>
      </w:r>
      <w:proofErr w:type="gramStart"/>
      <w:r w:rsidRPr="00705A08">
        <w:t>В связи с пре</w:t>
      </w:r>
      <w:r w:rsidRPr="00705A08">
        <w:t>д</w:t>
      </w:r>
      <w:r w:rsidRPr="00705A08">
        <w:t>полагаемым возбуждением против автора уголовного дела в соответствии с ш</w:t>
      </w:r>
      <w:r w:rsidRPr="00705A08">
        <w:t>а</w:t>
      </w:r>
      <w:r w:rsidRPr="00705A08">
        <w:t>риатским правом и поступившими в этой связи в 2012 году угроз</w:t>
      </w:r>
      <w:r w:rsidRPr="00705A08">
        <w:t>а</w:t>
      </w:r>
      <w:r w:rsidRPr="00705A08">
        <w:t>ми тюремным заключением Совет изучил представленные автором документы шариатских с</w:t>
      </w:r>
      <w:r w:rsidRPr="00705A08">
        <w:t>у</w:t>
      </w:r>
      <w:r w:rsidRPr="00705A08">
        <w:t>дов, однако отметил, что дело по выдвинутым против нее обвинениям с апреля 2012 года не рассматривалось и что в период между этой датой и окончател</w:t>
      </w:r>
      <w:r w:rsidRPr="00705A08">
        <w:t>ь</w:t>
      </w:r>
      <w:r w:rsidRPr="00705A08">
        <w:t>ным отъездом из страны в</w:t>
      </w:r>
      <w:proofErr w:type="gramEnd"/>
      <w:r w:rsidRPr="00705A08">
        <w:t xml:space="preserve"> </w:t>
      </w:r>
      <w:proofErr w:type="gramStart"/>
      <w:r w:rsidRPr="00705A08">
        <w:t>январе</w:t>
      </w:r>
      <w:proofErr w:type="gramEnd"/>
      <w:r w:rsidRPr="00705A08">
        <w:t xml:space="preserve"> 2014 года автор неоднократно выезжала за границу, не испытывая каких-либо затруднений, и что в это время ее не заде</w:t>
      </w:r>
      <w:r w:rsidRPr="00705A08">
        <w:t>р</w:t>
      </w:r>
      <w:r w:rsidRPr="00705A08">
        <w:t>живали и не подвергали каким-либо иным преследованиям. С учетом таких в</w:t>
      </w:r>
      <w:r w:rsidRPr="00705A08">
        <w:t>ы</w:t>
      </w:r>
      <w:r w:rsidRPr="00705A08">
        <w:t>ездов автора за рубеж Совет также ставит под сомнение утверждение автора о том, что причиной задержки ее выезда до января 2014 года стало отсутствие у нее финансовых средств.</w:t>
      </w:r>
    </w:p>
    <w:p w:rsidR="00705A08" w:rsidRPr="00705A08" w:rsidRDefault="00705A08" w:rsidP="00705A08">
      <w:pPr>
        <w:pStyle w:val="SingleTxtGR"/>
      </w:pPr>
      <w:r w:rsidRPr="00705A08">
        <w:t>7.5</w:t>
      </w:r>
      <w:r w:rsidRPr="00705A08">
        <w:tab/>
        <w:t>Комитет принимает к сведению, что автор не указала на какие-либо нарушения процесса принятия решений или на какой-либо иной фактор риска, которые власти государства-участника должным образом не приняли во вним</w:t>
      </w:r>
      <w:r w:rsidRPr="00705A08">
        <w:t>а</w:t>
      </w:r>
      <w:r w:rsidRPr="00705A08">
        <w:t>ние. Хотя автор оспаривала основанный на фактах вывод датских иммиграц</w:t>
      </w:r>
      <w:r w:rsidRPr="00705A08">
        <w:t>и</w:t>
      </w:r>
      <w:r w:rsidRPr="00705A08">
        <w:t>онных властей, она не разъяснила, по какой причине проведенные этими гос</w:t>
      </w:r>
      <w:r w:rsidRPr="00705A08">
        <w:t>у</w:t>
      </w:r>
      <w:r w:rsidRPr="00705A08">
        <w:t>дарственными органами разбирательства носили произвольный характер либо были равнозначны отказу в правосудии.</w:t>
      </w:r>
    </w:p>
    <w:p w:rsidR="00705A08" w:rsidRPr="00705A08" w:rsidRDefault="00705A08" w:rsidP="00705A08">
      <w:pPr>
        <w:pStyle w:val="SingleTxtGR"/>
      </w:pPr>
      <w:r w:rsidRPr="00705A08">
        <w:t>7.6</w:t>
      </w:r>
      <w:r w:rsidRPr="00705A08">
        <w:tab/>
        <w:t>В свете вышесказанного Комитет не может прийти к заключению о том, что высылка автора в Малайзию стала бы нарушением ее прав по статье 7, ра</w:t>
      </w:r>
      <w:r w:rsidRPr="00705A08">
        <w:t>с</w:t>
      </w:r>
      <w:r w:rsidRPr="00705A08">
        <w:t>сматриваемой в совокупности с пунктом 1 ст</w:t>
      </w:r>
      <w:r w:rsidRPr="00705A08">
        <w:t>а</w:t>
      </w:r>
      <w:r w:rsidRPr="00705A08">
        <w:t>тьи 17 и со статьей 26 Пакта.</w:t>
      </w:r>
    </w:p>
    <w:p w:rsidR="00F21D6C" w:rsidRPr="00705A08" w:rsidRDefault="00705A08" w:rsidP="00705A08">
      <w:pPr>
        <w:pStyle w:val="SingleTxtGR"/>
      </w:pPr>
      <w:r w:rsidRPr="00705A08">
        <w:t>8.</w:t>
      </w:r>
      <w:r w:rsidRPr="00705A08">
        <w:tab/>
        <w:t xml:space="preserve">Комитет, действуя в соответствии с пунктом 4 статьи 5 Факультативного протокола, считает, что высылка автора в Малайзию не будет нарушать ее права по статье 7, рассматриваемой в совокупности </w:t>
      </w:r>
      <w:r w:rsidR="00FB4944">
        <w:t>с пунктом 1 статьи 17 и стат</w:t>
      </w:r>
      <w:r w:rsidR="00FB4944">
        <w:t>ь</w:t>
      </w:r>
      <w:r w:rsidR="00FB4944">
        <w:t>ей </w:t>
      </w:r>
      <w:r w:rsidRPr="00705A08">
        <w:t>26 Пакта.</w:t>
      </w:r>
    </w:p>
    <w:p w:rsidR="00705A08" w:rsidRPr="00705A08" w:rsidRDefault="00705A08" w:rsidP="00705A0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705A08" w:rsidRDefault="00381C24" w:rsidP="002E5067"/>
    <w:sectPr w:rsidR="00381C24" w:rsidRPr="00705A08" w:rsidSect="00F21D6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34" w:rsidRPr="00A312BC" w:rsidRDefault="00505F34" w:rsidP="00A312BC"/>
  </w:endnote>
  <w:endnote w:type="continuationSeparator" w:id="0">
    <w:p w:rsidR="00505F34" w:rsidRPr="00A312BC" w:rsidRDefault="00505F3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C" w:rsidRPr="00F21D6C" w:rsidRDefault="00F21D6C">
    <w:pPr>
      <w:pStyle w:val="a8"/>
    </w:pPr>
    <w:r w:rsidRPr="00F21D6C">
      <w:rPr>
        <w:b/>
        <w:sz w:val="18"/>
      </w:rPr>
      <w:fldChar w:fldCharType="begin"/>
    </w:r>
    <w:r w:rsidRPr="00F21D6C">
      <w:rPr>
        <w:b/>
        <w:sz w:val="18"/>
      </w:rPr>
      <w:instrText xml:space="preserve"> PAGE  \* MERGEFORMAT </w:instrText>
    </w:r>
    <w:r w:rsidRPr="00F21D6C">
      <w:rPr>
        <w:b/>
        <w:sz w:val="18"/>
      </w:rPr>
      <w:fldChar w:fldCharType="separate"/>
    </w:r>
    <w:r w:rsidR="00D4048E">
      <w:rPr>
        <w:b/>
        <w:noProof/>
        <w:sz w:val="18"/>
      </w:rPr>
      <w:t>2</w:t>
    </w:r>
    <w:r w:rsidRPr="00F21D6C">
      <w:rPr>
        <w:b/>
        <w:sz w:val="18"/>
      </w:rPr>
      <w:fldChar w:fldCharType="end"/>
    </w:r>
    <w:r>
      <w:rPr>
        <w:b/>
        <w:sz w:val="18"/>
      </w:rPr>
      <w:tab/>
    </w:r>
    <w:r>
      <w:t>GE.17-07669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C" w:rsidRPr="00F21D6C" w:rsidRDefault="00F21D6C" w:rsidP="00F21D6C">
    <w:pPr>
      <w:pStyle w:val="a8"/>
      <w:tabs>
        <w:tab w:val="clear" w:pos="9639"/>
        <w:tab w:val="right" w:pos="9638"/>
      </w:tabs>
      <w:rPr>
        <w:b/>
        <w:sz w:val="18"/>
      </w:rPr>
    </w:pPr>
    <w:r>
      <w:t>GE.17-07669</w:t>
    </w:r>
    <w:r>
      <w:tab/>
    </w:r>
    <w:r w:rsidRPr="00F21D6C">
      <w:rPr>
        <w:b/>
        <w:sz w:val="18"/>
      </w:rPr>
      <w:fldChar w:fldCharType="begin"/>
    </w:r>
    <w:r w:rsidRPr="00F21D6C">
      <w:rPr>
        <w:b/>
        <w:sz w:val="18"/>
      </w:rPr>
      <w:instrText xml:space="preserve"> PAGE  \* MERGEFORMAT </w:instrText>
    </w:r>
    <w:r w:rsidRPr="00F21D6C">
      <w:rPr>
        <w:b/>
        <w:sz w:val="18"/>
      </w:rPr>
      <w:fldChar w:fldCharType="separate"/>
    </w:r>
    <w:r w:rsidR="00831741">
      <w:rPr>
        <w:b/>
        <w:noProof/>
        <w:sz w:val="18"/>
      </w:rPr>
      <w:t>7</w:t>
    </w:r>
    <w:r w:rsidRPr="00F21D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F21D6C" w:rsidRDefault="00F21D6C" w:rsidP="00F21D6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53B1B88" wp14:editId="479BF0E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17-07669  (R)</w:t>
    </w:r>
    <w:r>
      <w:rPr>
        <w:lang w:val="en-US"/>
      </w:rPr>
      <w:t xml:space="preserve">  240517  240517</w:t>
    </w:r>
    <w:r>
      <w:br/>
    </w:r>
    <w:r w:rsidRPr="00F21D6C">
      <w:rPr>
        <w:rFonts w:ascii="C39T30Lfz" w:hAnsi="C39T30Lfz"/>
        <w:spacing w:val="0"/>
        <w:w w:val="100"/>
        <w:sz w:val="56"/>
      </w:rPr>
      <w:t></w:t>
    </w:r>
    <w:r w:rsidRPr="00F21D6C">
      <w:rPr>
        <w:rFonts w:ascii="C39T30Lfz" w:hAnsi="C39T30Lfz"/>
        <w:spacing w:val="0"/>
        <w:w w:val="100"/>
        <w:sz w:val="56"/>
      </w:rPr>
      <w:t></w:t>
    </w:r>
    <w:r w:rsidRPr="00F21D6C">
      <w:rPr>
        <w:rFonts w:ascii="C39T30Lfz" w:hAnsi="C39T30Lfz"/>
        <w:spacing w:val="0"/>
        <w:w w:val="100"/>
        <w:sz w:val="56"/>
      </w:rPr>
      <w:t></w:t>
    </w:r>
    <w:r w:rsidRPr="00F21D6C">
      <w:rPr>
        <w:rFonts w:ascii="C39T30Lfz" w:hAnsi="C39T30Lfz"/>
        <w:spacing w:val="0"/>
        <w:w w:val="100"/>
        <w:sz w:val="56"/>
      </w:rPr>
      <w:t></w:t>
    </w:r>
    <w:r w:rsidRPr="00F21D6C">
      <w:rPr>
        <w:rFonts w:ascii="C39T30Lfz" w:hAnsi="C39T30Lfz"/>
        <w:spacing w:val="0"/>
        <w:w w:val="100"/>
        <w:sz w:val="56"/>
      </w:rPr>
      <w:t></w:t>
    </w:r>
    <w:r w:rsidRPr="00F21D6C">
      <w:rPr>
        <w:rFonts w:ascii="C39T30Lfz" w:hAnsi="C39T30Lfz"/>
        <w:spacing w:val="0"/>
        <w:w w:val="100"/>
        <w:sz w:val="56"/>
      </w:rPr>
      <w:t></w:t>
    </w:r>
    <w:r w:rsidRPr="00F21D6C">
      <w:rPr>
        <w:rFonts w:ascii="C39T30Lfz" w:hAnsi="C39T30Lfz"/>
        <w:spacing w:val="0"/>
        <w:w w:val="100"/>
        <w:sz w:val="56"/>
      </w:rPr>
      <w:t></w:t>
    </w:r>
    <w:r w:rsidRPr="00F21D6C">
      <w:rPr>
        <w:rFonts w:ascii="C39T30Lfz" w:hAnsi="C39T30Lfz"/>
        <w:spacing w:val="0"/>
        <w:w w:val="100"/>
        <w:sz w:val="56"/>
      </w:rPr>
      <w:t></w:t>
    </w:r>
    <w:r w:rsidRPr="00F21D6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119/D/2593/20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19/D/2593/20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34" w:rsidRPr="001075E9" w:rsidRDefault="00505F3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05F34" w:rsidRDefault="00505F3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05A08" w:rsidRPr="00705A08" w:rsidRDefault="00705A08">
      <w:pPr>
        <w:pStyle w:val="ad"/>
        <w:rPr>
          <w:sz w:val="20"/>
          <w:lang w:val="ru-RU"/>
        </w:rPr>
      </w:pPr>
      <w:r>
        <w:tab/>
      </w:r>
      <w:r w:rsidRPr="00705A08">
        <w:rPr>
          <w:rStyle w:val="aa"/>
          <w:sz w:val="20"/>
          <w:vertAlign w:val="baseline"/>
          <w:lang w:val="ru-RU"/>
        </w:rPr>
        <w:t>*</w:t>
      </w:r>
      <w:r w:rsidRPr="00705A08">
        <w:rPr>
          <w:rStyle w:val="aa"/>
          <w:vertAlign w:val="baseline"/>
          <w:lang w:val="ru-RU"/>
        </w:rPr>
        <w:tab/>
      </w:r>
      <w:r w:rsidRPr="00705A08">
        <w:rPr>
          <w:lang w:val="ru-RU"/>
        </w:rPr>
        <w:t>Приняты Комитетом на его 119-й сессии (6–29 марта 2017 года).</w:t>
      </w:r>
    </w:p>
  </w:footnote>
  <w:footnote w:id="2">
    <w:p w:rsidR="00705A08" w:rsidRPr="00705A08" w:rsidRDefault="00705A08">
      <w:pPr>
        <w:pStyle w:val="ad"/>
        <w:rPr>
          <w:sz w:val="20"/>
          <w:lang w:val="ru-RU"/>
        </w:rPr>
      </w:pPr>
      <w:r>
        <w:tab/>
      </w:r>
      <w:r w:rsidRPr="00705A08">
        <w:rPr>
          <w:rStyle w:val="aa"/>
          <w:sz w:val="20"/>
          <w:vertAlign w:val="baseline"/>
          <w:lang w:val="ru-RU"/>
        </w:rPr>
        <w:t>**</w:t>
      </w:r>
      <w:r w:rsidRPr="00705A08">
        <w:rPr>
          <w:rStyle w:val="aa"/>
          <w:vertAlign w:val="baseline"/>
          <w:lang w:val="ru-RU"/>
        </w:rPr>
        <w:tab/>
      </w:r>
      <w:r w:rsidRPr="007A7484">
        <w:rPr>
          <w:szCs w:val="18"/>
          <w:lang w:val="ru-RU"/>
        </w:rPr>
        <w:t xml:space="preserve">В рассмотрении настоящего сообщения приняли участие следующие члены Комитета: Таня Мария Абдо Рочолл, Ядх Бен Ашур, Илзе Брандс Керис, Ахмед Амин </w:t>
      </w:r>
      <w:r w:rsidR="002E2F09">
        <w:rPr>
          <w:szCs w:val="18"/>
          <w:lang w:val="ru-RU"/>
        </w:rPr>
        <w:br/>
      </w:r>
      <w:proofErr w:type="spellStart"/>
      <w:r w:rsidRPr="007A7484">
        <w:rPr>
          <w:szCs w:val="18"/>
          <w:lang w:val="ru-RU"/>
        </w:rPr>
        <w:t>Фаталла</w:t>
      </w:r>
      <w:proofErr w:type="spellEnd"/>
      <w:r w:rsidRPr="007A7484">
        <w:rPr>
          <w:szCs w:val="18"/>
          <w:lang w:val="ru-RU"/>
        </w:rPr>
        <w:t xml:space="preserve">, Оливье де Фрувиль, Кристоф Хейнс, Юдзи Ивасава, </w:t>
      </w:r>
      <w:proofErr w:type="spellStart"/>
      <w:r w:rsidRPr="007A7484">
        <w:rPr>
          <w:szCs w:val="18"/>
          <w:lang w:val="ru-RU"/>
        </w:rPr>
        <w:t>Бамариам</w:t>
      </w:r>
      <w:proofErr w:type="spellEnd"/>
      <w:r w:rsidRPr="007A7484">
        <w:rPr>
          <w:szCs w:val="18"/>
          <w:lang w:val="ru-RU"/>
        </w:rPr>
        <w:t xml:space="preserve"> </w:t>
      </w:r>
      <w:proofErr w:type="spellStart"/>
      <w:r w:rsidRPr="007A7484">
        <w:rPr>
          <w:szCs w:val="18"/>
          <w:lang w:val="ru-RU"/>
        </w:rPr>
        <w:t>Койта</w:t>
      </w:r>
      <w:proofErr w:type="spellEnd"/>
      <w:r w:rsidRPr="007A7484">
        <w:rPr>
          <w:szCs w:val="18"/>
          <w:lang w:val="ru-RU"/>
        </w:rPr>
        <w:t xml:space="preserve">, </w:t>
      </w:r>
      <w:proofErr w:type="spellStart"/>
      <w:r w:rsidRPr="007A7484">
        <w:rPr>
          <w:szCs w:val="18"/>
          <w:lang w:val="ru-RU"/>
        </w:rPr>
        <w:t>Марсиа</w:t>
      </w:r>
      <w:proofErr w:type="spellEnd"/>
      <w:r w:rsidRPr="007A7484">
        <w:rPr>
          <w:szCs w:val="18"/>
          <w:lang w:val="ru-RU"/>
        </w:rPr>
        <w:t xml:space="preserve"> </w:t>
      </w:r>
      <w:proofErr w:type="spellStart"/>
      <w:r w:rsidRPr="007A7484">
        <w:rPr>
          <w:szCs w:val="18"/>
          <w:lang w:val="ru-RU"/>
        </w:rPr>
        <w:t>В.Дж</w:t>
      </w:r>
      <w:proofErr w:type="gramStart"/>
      <w:r w:rsidRPr="007A7484">
        <w:rPr>
          <w:szCs w:val="18"/>
          <w:lang w:val="ru-RU"/>
        </w:rPr>
        <w:t>.К</w:t>
      </w:r>
      <w:proofErr w:type="gramEnd"/>
      <w:r w:rsidRPr="007A7484">
        <w:rPr>
          <w:szCs w:val="18"/>
          <w:lang w:val="ru-RU"/>
        </w:rPr>
        <w:t>ран</w:t>
      </w:r>
      <w:proofErr w:type="spellEnd"/>
      <w:r w:rsidRPr="007A7484">
        <w:rPr>
          <w:szCs w:val="18"/>
          <w:lang w:val="ru-RU"/>
        </w:rPr>
        <w:t xml:space="preserve">, Дункан Лаки </w:t>
      </w:r>
      <w:proofErr w:type="spellStart"/>
      <w:r w:rsidRPr="007A7484">
        <w:rPr>
          <w:szCs w:val="18"/>
          <w:lang w:val="ru-RU"/>
        </w:rPr>
        <w:t>Мухумуза</w:t>
      </w:r>
      <w:proofErr w:type="spellEnd"/>
      <w:r w:rsidRPr="007A7484">
        <w:rPr>
          <w:szCs w:val="18"/>
          <w:lang w:val="ru-RU"/>
        </w:rPr>
        <w:t>, Фотини Пазарцис, Мауро Полити, Жозе Мануэль Сантуш Паиш, Аня Зайберт-Фор, Юваль Шани и Марго Ватервал.</w:t>
      </w:r>
    </w:p>
  </w:footnote>
  <w:footnote w:id="3">
    <w:p w:rsidR="00705A08" w:rsidRPr="007A7484" w:rsidRDefault="00705A08" w:rsidP="00705A08">
      <w:pPr>
        <w:pStyle w:val="ad"/>
        <w:rPr>
          <w:szCs w:val="18"/>
          <w:lang w:val="ru-RU"/>
        </w:rPr>
      </w:pPr>
      <w:r w:rsidRPr="007A7484">
        <w:rPr>
          <w:szCs w:val="18"/>
          <w:lang w:val="ru-RU"/>
        </w:rPr>
        <w:tab/>
      </w:r>
      <w:r w:rsidRPr="007A7484">
        <w:rPr>
          <w:rStyle w:val="aa"/>
          <w:szCs w:val="18"/>
        </w:rPr>
        <w:footnoteRef/>
      </w:r>
      <w:r w:rsidRPr="007A7484">
        <w:rPr>
          <w:szCs w:val="18"/>
          <w:lang w:val="ru-RU"/>
        </w:rPr>
        <w:tab/>
        <w:t>Согласно ее заявлениям датским властям автор утратила контакт со своей семьей из боязни того, что семья будет ее стыдиться, хотя после проведения хирургической операции в 2007 году она стала ближе своей семье.</w:t>
      </w:r>
    </w:p>
  </w:footnote>
  <w:footnote w:id="4">
    <w:p w:rsidR="00705A08" w:rsidRPr="007A7484" w:rsidRDefault="00705A08" w:rsidP="00705A08">
      <w:pPr>
        <w:pStyle w:val="ad"/>
        <w:rPr>
          <w:szCs w:val="18"/>
          <w:lang w:val="ru-RU"/>
        </w:rPr>
      </w:pPr>
      <w:r w:rsidRPr="007A7484">
        <w:rPr>
          <w:szCs w:val="18"/>
          <w:lang w:val="ru-RU"/>
        </w:rPr>
        <w:tab/>
      </w:r>
      <w:r w:rsidRPr="007A7484">
        <w:rPr>
          <w:rStyle w:val="aa"/>
          <w:szCs w:val="18"/>
        </w:rPr>
        <w:footnoteRef/>
      </w:r>
      <w:r w:rsidRPr="007A7484">
        <w:rPr>
          <w:szCs w:val="18"/>
          <w:lang w:val="ru-RU"/>
        </w:rPr>
        <w:tab/>
        <w:t>В своих интервью в датской Иммиграционной службе автор заявляла, что в период</w:t>
      </w:r>
      <w:r>
        <w:rPr>
          <w:szCs w:val="18"/>
          <w:lang w:val="ru-RU"/>
        </w:rPr>
        <w:t xml:space="preserve"> </w:t>
      </w:r>
      <w:r w:rsidR="00181AB7">
        <w:rPr>
          <w:szCs w:val="18"/>
          <w:lang w:val="ru-RU"/>
        </w:rPr>
        <w:t>с </w:t>
      </w:r>
      <w:r w:rsidRPr="007A7484">
        <w:rPr>
          <w:szCs w:val="18"/>
          <w:lang w:val="ru-RU"/>
        </w:rPr>
        <w:t xml:space="preserve">2001 по 2012 год малазийская полиция от </w:t>
      </w:r>
      <w:r>
        <w:rPr>
          <w:szCs w:val="18"/>
          <w:lang w:val="ru-RU"/>
        </w:rPr>
        <w:t>20</w:t>
      </w:r>
      <w:r w:rsidRPr="007A7484">
        <w:rPr>
          <w:szCs w:val="18"/>
          <w:lang w:val="ru-RU"/>
        </w:rPr>
        <w:t xml:space="preserve"> до </w:t>
      </w:r>
      <w:r>
        <w:rPr>
          <w:szCs w:val="18"/>
          <w:lang w:val="ru-RU"/>
        </w:rPr>
        <w:t xml:space="preserve">30 </w:t>
      </w:r>
      <w:r w:rsidRPr="007A7484">
        <w:rPr>
          <w:szCs w:val="18"/>
          <w:lang w:val="ru-RU"/>
        </w:rPr>
        <w:t>раз останавливала ее на улице для проверки ее личности.</w:t>
      </w:r>
    </w:p>
  </w:footnote>
  <w:footnote w:id="5">
    <w:p w:rsidR="00705A08" w:rsidRPr="007A7484" w:rsidRDefault="00705A08" w:rsidP="00705A08">
      <w:pPr>
        <w:pStyle w:val="ad"/>
        <w:rPr>
          <w:szCs w:val="18"/>
          <w:lang w:val="ru-RU"/>
        </w:rPr>
      </w:pPr>
      <w:r w:rsidRPr="007A7484">
        <w:rPr>
          <w:szCs w:val="18"/>
          <w:lang w:val="ru-RU"/>
        </w:rPr>
        <w:tab/>
      </w:r>
      <w:r w:rsidRPr="007A7484">
        <w:rPr>
          <w:rStyle w:val="aa"/>
          <w:szCs w:val="18"/>
        </w:rPr>
        <w:footnoteRef/>
      </w:r>
      <w:r w:rsidRPr="00D32D4D">
        <w:rPr>
          <w:szCs w:val="18"/>
          <w:lang w:val="ru-RU"/>
        </w:rPr>
        <w:tab/>
      </w:r>
      <w:r w:rsidRPr="007A7484">
        <w:rPr>
          <w:szCs w:val="18"/>
          <w:lang w:val="ru-RU"/>
        </w:rPr>
        <w:t>В своем представленном Комитету сообщении автор указала, что ее содержали под стражей в здании Департамента по делам ислама в апреле 2012 года. Однако при рассмотрении ее дела датскими властями она заявила, что это произошло 13 декабря 2012 года.</w:t>
      </w:r>
    </w:p>
  </w:footnote>
  <w:footnote w:id="6">
    <w:p w:rsidR="00705A08" w:rsidRPr="007A7484" w:rsidRDefault="00705A08" w:rsidP="00705A08">
      <w:pPr>
        <w:pStyle w:val="ad"/>
        <w:rPr>
          <w:szCs w:val="18"/>
          <w:lang w:val="ru-RU"/>
        </w:rPr>
      </w:pPr>
      <w:r w:rsidRPr="007A7484">
        <w:rPr>
          <w:szCs w:val="18"/>
          <w:lang w:val="ru-RU"/>
        </w:rPr>
        <w:tab/>
      </w:r>
      <w:r w:rsidRPr="007A7484">
        <w:rPr>
          <w:rStyle w:val="aa"/>
          <w:szCs w:val="18"/>
        </w:rPr>
        <w:footnoteRef/>
      </w:r>
      <w:r w:rsidRPr="007A7484">
        <w:rPr>
          <w:szCs w:val="18"/>
          <w:lang w:val="ru-RU"/>
        </w:rPr>
        <w:tab/>
        <w:t xml:space="preserve">Согласно ее заявлению датским властям автор прибыла в Амстердам 24 января </w:t>
      </w:r>
      <w:r w:rsidR="00181AB7">
        <w:rPr>
          <w:szCs w:val="18"/>
          <w:lang w:val="ru-RU"/>
        </w:rPr>
        <w:t>2014 </w:t>
      </w:r>
      <w:r w:rsidRPr="007A7484">
        <w:rPr>
          <w:szCs w:val="18"/>
          <w:lang w:val="ru-RU"/>
        </w:rPr>
        <w:t xml:space="preserve">года, откуда переехала в Данию. </w:t>
      </w:r>
    </w:p>
  </w:footnote>
  <w:footnote w:id="7">
    <w:p w:rsidR="00705A08" w:rsidRPr="007A7484" w:rsidRDefault="00705A08" w:rsidP="00705A08">
      <w:pPr>
        <w:pStyle w:val="ad"/>
        <w:rPr>
          <w:szCs w:val="18"/>
          <w:lang w:val="ru-RU"/>
        </w:rPr>
      </w:pPr>
      <w:r w:rsidRPr="007A7484">
        <w:rPr>
          <w:szCs w:val="18"/>
          <w:lang w:val="ru-RU"/>
        </w:rPr>
        <w:tab/>
      </w:r>
      <w:r w:rsidRPr="007A7484">
        <w:rPr>
          <w:rStyle w:val="aa"/>
          <w:szCs w:val="18"/>
        </w:rPr>
        <w:footnoteRef/>
      </w:r>
      <w:r w:rsidRPr="007A7484">
        <w:rPr>
          <w:szCs w:val="18"/>
          <w:lang w:val="ru-RU"/>
        </w:rPr>
        <w:tab/>
        <w:t>См. сноску 3 выше.</w:t>
      </w:r>
    </w:p>
  </w:footnote>
  <w:footnote w:id="8">
    <w:p w:rsidR="00705A08" w:rsidRPr="007A7484" w:rsidRDefault="00705A08" w:rsidP="00705A08">
      <w:pPr>
        <w:pStyle w:val="ad"/>
        <w:rPr>
          <w:szCs w:val="18"/>
          <w:lang w:val="ru-RU"/>
        </w:rPr>
      </w:pPr>
      <w:r w:rsidRPr="007A7484">
        <w:rPr>
          <w:szCs w:val="18"/>
          <w:lang w:val="ru-RU"/>
        </w:rPr>
        <w:tab/>
      </w:r>
      <w:r w:rsidRPr="007A7484">
        <w:rPr>
          <w:rStyle w:val="aa"/>
          <w:szCs w:val="18"/>
        </w:rPr>
        <w:footnoteRef/>
      </w:r>
      <w:r w:rsidRPr="007A7484">
        <w:rPr>
          <w:szCs w:val="18"/>
          <w:lang w:val="ru-RU"/>
        </w:rPr>
        <w:tab/>
        <w:t>Автор представила Совету перечень исламских законов, предусматривающих в</w:t>
      </w:r>
      <w:r w:rsidR="00AE5A82">
        <w:rPr>
          <w:szCs w:val="18"/>
          <w:lang w:val="ru-RU"/>
        </w:rPr>
        <w:t> </w:t>
      </w:r>
      <w:r w:rsidRPr="007A7484">
        <w:rPr>
          <w:szCs w:val="18"/>
          <w:lang w:val="ru-RU"/>
        </w:rPr>
        <w:t>Малайзии уголовную ответственность по признаку гендерной идентичности. Согласно этому перечню ношение мужчинами женской одежды в штате Мелака может повлечь за собой наказание в виде тюремного заключения на срок до шести месяцев.</w:t>
      </w:r>
    </w:p>
  </w:footnote>
  <w:footnote w:id="9">
    <w:p w:rsidR="00705A08" w:rsidRPr="007A7484" w:rsidRDefault="00705A08" w:rsidP="00705A08">
      <w:pPr>
        <w:pStyle w:val="ad"/>
        <w:rPr>
          <w:szCs w:val="18"/>
          <w:lang w:val="ru-RU"/>
        </w:rPr>
      </w:pPr>
      <w:r w:rsidRPr="007A7484">
        <w:rPr>
          <w:szCs w:val="18"/>
          <w:lang w:val="ru-RU"/>
        </w:rPr>
        <w:tab/>
      </w:r>
      <w:r w:rsidRPr="007A7484">
        <w:rPr>
          <w:rStyle w:val="aa"/>
          <w:szCs w:val="18"/>
        </w:rPr>
        <w:footnoteRef/>
      </w:r>
      <w:r w:rsidRPr="007A7484">
        <w:rPr>
          <w:szCs w:val="18"/>
          <w:lang w:val="ru-RU"/>
        </w:rPr>
        <w:tab/>
        <w:t>См. в этой связи сообщение №</w:t>
      </w:r>
      <w:r>
        <w:rPr>
          <w:szCs w:val="18"/>
          <w:lang w:val="ru-RU"/>
        </w:rPr>
        <w:t xml:space="preserve"> </w:t>
      </w:r>
      <w:r w:rsidRPr="007A7484">
        <w:rPr>
          <w:szCs w:val="18"/>
          <w:lang w:val="ru-RU"/>
        </w:rPr>
        <w:t xml:space="preserve">2379/2014, </w:t>
      </w:r>
      <w:r w:rsidRPr="007A7484">
        <w:rPr>
          <w:i/>
          <w:szCs w:val="18"/>
          <w:lang w:val="ru-RU"/>
        </w:rPr>
        <w:t>Хуссейн Ахмед против Дании</w:t>
      </w:r>
      <w:r w:rsidRPr="007A7484">
        <w:rPr>
          <w:szCs w:val="18"/>
          <w:lang w:val="ru-RU"/>
        </w:rPr>
        <w:t>, Соображения от 7 июля 2016 года, пункты 4.1–4.3.</w:t>
      </w:r>
    </w:p>
  </w:footnote>
  <w:footnote w:id="10">
    <w:p w:rsidR="00705A08" w:rsidRPr="007A7484" w:rsidRDefault="00705A08" w:rsidP="00705A08">
      <w:pPr>
        <w:pStyle w:val="ad"/>
        <w:rPr>
          <w:szCs w:val="18"/>
          <w:lang w:val="ru-RU"/>
        </w:rPr>
      </w:pPr>
      <w:r w:rsidRPr="007A7484">
        <w:rPr>
          <w:szCs w:val="18"/>
          <w:lang w:val="ru-RU"/>
        </w:rPr>
        <w:tab/>
      </w:r>
      <w:r w:rsidRPr="007A7484">
        <w:rPr>
          <w:rStyle w:val="aa"/>
          <w:szCs w:val="18"/>
        </w:rPr>
        <w:footnoteRef/>
      </w:r>
      <w:r w:rsidRPr="007A7484">
        <w:rPr>
          <w:szCs w:val="18"/>
          <w:lang w:val="ru-RU"/>
        </w:rPr>
        <w:tab/>
        <w:t>Государство-участник ссылается на решения Европейского суда по правам человека</w:t>
      </w:r>
      <w:r>
        <w:rPr>
          <w:szCs w:val="18"/>
          <w:lang w:val="ru-RU"/>
        </w:rPr>
        <w:t xml:space="preserve"> </w:t>
      </w:r>
      <w:r w:rsidR="00AE5A82">
        <w:rPr>
          <w:szCs w:val="18"/>
          <w:lang w:val="ru-RU"/>
        </w:rPr>
        <w:t>по </w:t>
      </w:r>
      <w:r w:rsidRPr="007A7484">
        <w:rPr>
          <w:szCs w:val="18"/>
          <w:lang w:val="ru-RU"/>
        </w:rPr>
        <w:t xml:space="preserve">следующим делам: </w:t>
      </w:r>
      <w:r w:rsidRPr="007A7484">
        <w:rPr>
          <w:i/>
          <w:szCs w:val="18"/>
          <w:lang w:val="ru-RU"/>
        </w:rPr>
        <w:t>Соеринг против Соединенного Королевства</w:t>
      </w:r>
      <w:r w:rsidRPr="007A7484">
        <w:rPr>
          <w:szCs w:val="18"/>
          <w:lang w:val="ru-RU"/>
        </w:rPr>
        <w:t xml:space="preserve">, 7 июля 1989 года, Серия А № 161, пункт 88; </w:t>
      </w:r>
      <w:r w:rsidRPr="007A7484">
        <w:rPr>
          <w:i/>
          <w:szCs w:val="18"/>
          <w:lang w:val="ru-RU"/>
        </w:rPr>
        <w:t>Ф. против Соединенного Королевства</w:t>
      </w:r>
      <w:r w:rsidRPr="007A7484">
        <w:rPr>
          <w:iCs/>
          <w:szCs w:val="18"/>
          <w:lang w:val="ru-RU"/>
        </w:rPr>
        <w:t xml:space="preserve"> (решение),</w:t>
      </w:r>
      <w:r w:rsidRPr="007A7484">
        <w:rPr>
          <w:szCs w:val="18"/>
          <w:lang w:val="ru-RU"/>
        </w:rPr>
        <w:t xml:space="preserve"> №</w:t>
      </w:r>
      <w:r w:rsidR="00AE5A82">
        <w:rPr>
          <w:szCs w:val="18"/>
          <w:lang w:val="ru-RU"/>
        </w:rPr>
        <w:t> </w:t>
      </w:r>
      <w:r w:rsidRPr="007A7484">
        <w:rPr>
          <w:szCs w:val="18"/>
          <w:lang w:val="ru-RU"/>
        </w:rPr>
        <w:t xml:space="preserve">17341/03, решение от 22 июня 2004 года; и </w:t>
      </w:r>
      <w:r w:rsidRPr="007A7484">
        <w:rPr>
          <w:i/>
          <w:szCs w:val="18"/>
          <w:lang w:val="ru-RU"/>
        </w:rPr>
        <w:t>З. и Т. против Соединенного Королевства</w:t>
      </w:r>
      <w:r w:rsidRPr="007A7484">
        <w:rPr>
          <w:szCs w:val="18"/>
          <w:lang w:val="ru-RU"/>
        </w:rPr>
        <w:t xml:space="preserve"> (решение), № 27034/05, </w:t>
      </w:r>
      <w:r w:rsidRPr="007A7484">
        <w:rPr>
          <w:szCs w:val="18"/>
        </w:rPr>
        <w:t>ECHR</w:t>
      </w:r>
      <w:r w:rsidRPr="007A7484">
        <w:rPr>
          <w:szCs w:val="18"/>
          <w:lang w:val="ru-RU"/>
        </w:rPr>
        <w:t xml:space="preserve"> 2006-</w:t>
      </w:r>
      <w:r w:rsidRPr="007A7484">
        <w:rPr>
          <w:szCs w:val="18"/>
        </w:rPr>
        <w:t>III</w:t>
      </w:r>
      <w:r w:rsidRPr="007A7484">
        <w:rPr>
          <w:szCs w:val="18"/>
          <w:lang w:val="ru-RU"/>
        </w:rPr>
        <w:t>.</w:t>
      </w:r>
    </w:p>
  </w:footnote>
  <w:footnote w:id="11">
    <w:p w:rsidR="00705A08" w:rsidRPr="007A7484" w:rsidRDefault="00705A08" w:rsidP="00705A08">
      <w:pPr>
        <w:pStyle w:val="ad"/>
        <w:rPr>
          <w:i/>
          <w:iCs/>
          <w:szCs w:val="18"/>
          <w:lang w:val="en-US"/>
        </w:rPr>
      </w:pPr>
      <w:r w:rsidRPr="007A7484">
        <w:rPr>
          <w:szCs w:val="18"/>
          <w:lang w:val="ru-RU"/>
        </w:rPr>
        <w:tab/>
      </w:r>
      <w:r w:rsidRPr="007A7484">
        <w:rPr>
          <w:rStyle w:val="aa"/>
          <w:szCs w:val="18"/>
        </w:rPr>
        <w:footnoteRef/>
      </w:r>
      <w:r w:rsidRPr="007A7484">
        <w:rPr>
          <w:szCs w:val="18"/>
        </w:rPr>
        <w:tab/>
      </w:r>
      <w:r w:rsidRPr="007A7484">
        <w:rPr>
          <w:szCs w:val="18"/>
          <w:lang w:val="en-US"/>
        </w:rPr>
        <w:t>«</w:t>
      </w:r>
      <w:r w:rsidRPr="007A7484">
        <w:rPr>
          <w:szCs w:val="18"/>
          <w:lang w:val="ru-RU"/>
        </w:rPr>
        <w:t>Хьман</w:t>
      </w:r>
      <w:r w:rsidRPr="007A7484">
        <w:rPr>
          <w:szCs w:val="18"/>
          <w:lang w:val="en-US"/>
        </w:rPr>
        <w:t xml:space="preserve"> </w:t>
      </w:r>
      <w:r w:rsidRPr="007A7484">
        <w:rPr>
          <w:szCs w:val="18"/>
          <w:lang w:val="ru-RU"/>
        </w:rPr>
        <w:t>Райтс</w:t>
      </w:r>
      <w:r w:rsidRPr="007A7484">
        <w:rPr>
          <w:szCs w:val="18"/>
          <w:lang w:val="en-US"/>
        </w:rPr>
        <w:t xml:space="preserve"> </w:t>
      </w:r>
      <w:r w:rsidRPr="007A7484">
        <w:rPr>
          <w:szCs w:val="18"/>
          <w:lang w:val="ru-RU"/>
        </w:rPr>
        <w:t>Уотч</w:t>
      </w:r>
      <w:r w:rsidRPr="007A7484">
        <w:rPr>
          <w:szCs w:val="18"/>
          <w:lang w:val="en-US"/>
        </w:rPr>
        <w:t xml:space="preserve">», </w:t>
      </w:r>
      <w:r w:rsidRPr="007A7484">
        <w:rPr>
          <w:i/>
          <w:iCs/>
          <w:szCs w:val="18"/>
        </w:rPr>
        <w:t>World Report 2016</w:t>
      </w:r>
      <w:r w:rsidRPr="007A7484">
        <w:rPr>
          <w:szCs w:val="18"/>
        </w:rPr>
        <w:t xml:space="preserve"> (New York, 2016), pp. 393</w:t>
      </w:r>
      <w:r w:rsidRPr="007A7484">
        <w:rPr>
          <w:szCs w:val="18"/>
          <w:lang w:val="en-US"/>
        </w:rPr>
        <w:t>–</w:t>
      </w:r>
      <w:r w:rsidRPr="007A7484">
        <w:rPr>
          <w:szCs w:val="18"/>
        </w:rPr>
        <w:t>394.</w:t>
      </w:r>
    </w:p>
  </w:footnote>
  <w:footnote w:id="12">
    <w:p w:rsidR="00705A08" w:rsidRPr="007A7484" w:rsidRDefault="00705A08" w:rsidP="00705A08">
      <w:pPr>
        <w:pStyle w:val="ad"/>
        <w:rPr>
          <w:szCs w:val="18"/>
          <w:lang w:val="en-US"/>
        </w:rPr>
      </w:pPr>
      <w:r w:rsidRPr="007A7484">
        <w:rPr>
          <w:szCs w:val="18"/>
        </w:rPr>
        <w:tab/>
      </w:r>
      <w:r w:rsidRPr="007A7484">
        <w:rPr>
          <w:rStyle w:val="aa"/>
          <w:szCs w:val="18"/>
        </w:rPr>
        <w:footnoteRef/>
      </w:r>
      <w:r w:rsidRPr="007A7484">
        <w:rPr>
          <w:szCs w:val="18"/>
        </w:rPr>
        <w:tab/>
      </w:r>
      <w:r w:rsidRPr="007A7484">
        <w:rPr>
          <w:szCs w:val="18"/>
          <w:lang w:val="ru-RU"/>
        </w:rPr>
        <w:t>Соединенные</w:t>
      </w:r>
      <w:r w:rsidRPr="007A7484">
        <w:rPr>
          <w:szCs w:val="18"/>
          <w:lang w:val="en-US"/>
        </w:rPr>
        <w:t xml:space="preserve"> </w:t>
      </w:r>
      <w:r w:rsidRPr="007A7484">
        <w:rPr>
          <w:szCs w:val="18"/>
          <w:lang w:val="ru-RU"/>
        </w:rPr>
        <w:t>Штаты</w:t>
      </w:r>
      <w:r w:rsidRPr="007A7484">
        <w:rPr>
          <w:szCs w:val="18"/>
          <w:lang w:val="en-US"/>
        </w:rPr>
        <w:t xml:space="preserve"> </w:t>
      </w:r>
      <w:r w:rsidRPr="007A7484">
        <w:rPr>
          <w:szCs w:val="18"/>
          <w:lang w:val="ru-RU"/>
        </w:rPr>
        <w:t>Америки</w:t>
      </w:r>
      <w:r w:rsidRPr="007A7484">
        <w:rPr>
          <w:szCs w:val="18"/>
          <w:lang w:val="en-US"/>
        </w:rPr>
        <w:t xml:space="preserve">, </w:t>
      </w:r>
      <w:r w:rsidRPr="007A7484">
        <w:rPr>
          <w:szCs w:val="18"/>
          <w:lang w:val="ru-RU"/>
        </w:rPr>
        <w:t>Государственный</w:t>
      </w:r>
      <w:r w:rsidRPr="007A7484">
        <w:rPr>
          <w:szCs w:val="18"/>
          <w:lang w:val="en-US"/>
        </w:rPr>
        <w:t xml:space="preserve"> </w:t>
      </w:r>
      <w:r w:rsidRPr="007A7484">
        <w:rPr>
          <w:szCs w:val="18"/>
          <w:lang w:val="ru-RU"/>
        </w:rPr>
        <w:t>департамент</w:t>
      </w:r>
      <w:r w:rsidRPr="007A7484">
        <w:rPr>
          <w:szCs w:val="18"/>
          <w:lang w:val="en-US"/>
        </w:rPr>
        <w:t>: «</w:t>
      </w:r>
      <w:r w:rsidRPr="007A7484">
        <w:rPr>
          <w:szCs w:val="18"/>
        </w:rPr>
        <w:t>Country</w:t>
      </w:r>
      <w:r w:rsidRPr="007A7484">
        <w:rPr>
          <w:szCs w:val="18"/>
          <w:lang w:val="en-US"/>
        </w:rPr>
        <w:t xml:space="preserve"> </w:t>
      </w:r>
      <w:r w:rsidRPr="007A7484">
        <w:rPr>
          <w:szCs w:val="18"/>
        </w:rPr>
        <w:t>reports</w:t>
      </w:r>
      <w:r w:rsidRPr="007A7484">
        <w:rPr>
          <w:szCs w:val="18"/>
          <w:lang w:val="en-US"/>
        </w:rPr>
        <w:t xml:space="preserve"> </w:t>
      </w:r>
      <w:r w:rsidRPr="007A7484">
        <w:rPr>
          <w:szCs w:val="18"/>
        </w:rPr>
        <w:t>on</w:t>
      </w:r>
      <w:r w:rsidRPr="007A7484">
        <w:rPr>
          <w:szCs w:val="18"/>
          <w:lang w:val="en-US"/>
        </w:rPr>
        <w:t xml:space="preserve"> </w:t>
      </w:r>
      <w:r w:rsidRPr="007A7484">
        <w:rPr>
          <w:szCs w:val="18"/>
        </w:rPr>
        <w:t>human</w:t>
      </w:r>
      <w:r w:rsidRPr="007A7484">
        <w:rPr>
          <w:szCs w:val="18"/>
          <w:lang w:val="en-US"/>
        </w:rPr>
        <w:t xml:space="preserve"> </w:t>
      </w:r>
      <w:r w:rsidRPr="007A7484">
        <w:rPr>
          <w:szCs w:val="18"/>
        </w:rPr>
        <w:t>rights</w:t>
      </w:r>
      <w:r w:rsidRPr="007A7484">
        <w:rPr>
          <w:szCs w:val="18"/>
          <w:lang w:val="en-US"/>
        </w:rPr>
        <w:t xml:space="preserve"> </w:t>
      </w:r>
      <w:r w:rsidRPr="007A7484">
        <w:rPr>
          <w:szCs w:val="18"/>
        </w:rPr>
        <w:t>practices</w:t>
      </w:r>
      <w:r w:rsidRPr="007A7484">
        <w:rPr>
          <w:szCs w:val="18"/>
          <w:lang w:val="en-US"/>
        </w:rPr>
        <w:t xml:space="preserve"> </w:t>
      </w:r>
      <w:r w:rsidRPr="007A7484">
        <w:rPr>
          <w:szCs w:val="18"/>
        </w:rPr>
        <w:t>for</w:t>
      </w:r>
      <w:r w:rsidRPr="007A7484">
        <w:rPr>
          <w:szCs w:val="18"/>
          <w:lang w:val="en-US"/>
        </w:rPr>
        <w:t xml:space="preserve"> 2014 </w:t>
      </w:r>
      <w:r w:rsidRPr="004954B3">
        <w:rPr>
          <w:szCs w:val="18"/>
        </w:rPr>
        <w:t>–</w:t>
      </w:r>
      <w:r w:rsidRPr="007A7484">
        <w:rPr>
          <w:szCs w:val="18"/>
          <w:lang w:val="en-US"/>
        </w:rPr>
        <w:t xml:space="preserve"> </w:t>
      </w:r>
      <w:r w:rsidRPr="007A7484">
        <w:rPr>
          <w:szCs w:val="18"/>
        </w:rPr>
        <w:t>Malaysia</w:t>
      </w:r>
      <w:r w:rsidRPr="007A7484">
        <w:rPr>
          <w:szCs w:val="18"/>
          <w:lang w:val="en-US"/>
        </w:rPr>
        <w:t xml:space="preserve">», 25 </w:t>
      </w:r>
      <w:r w:rsidRPr="007A7484">
        <w:rPr>
          <w:szCs w:val="18"/>
          <w:lang w:val="ru-RU"/>
        </w:rPr>
        <w:t>июня</w:t>
      </w:r>
      <w:r w:rsidRPr="007A7484">
        <w:rPr>
          <w:szCs w:val="18"/>
          <w:lang w:val="en-US"/>
        </w:rPr>
        <w:t xml:space="preserve"> 2015 </w:t>
      </w:r>
      <w:r w:rsidRPr="007A7484">
        <w:rPr>
          <w:szCs w:val="18"/>
          <w:lang w:val="ru-RU"/>
        </w:rPr>
        <w:t>года</w:t>
      </w:r>
      <w:r w:rsidRPr="007A7484">
        <w:rPr>
          <w:szCs w:val="18"/>
          <w:lang w:val="en-US"/>
        </w:rPr>
        <w:t xml:space="preserve">. </w:t>
      </w:r>
    </w:p>
  </w:footnote>
  <w:footnote w:id="13">
    <w:p w:rsidR="00705A08" w:rsidRPr="006919AC" w:rsidRDefault="00705A08" w:rsidP="00705A08">
      <w:pPr>
        <w:pStyle w:val="ad"/>
        <w:rPr>
          <w:szCs w:val="18"/>
          <w:lang w:val="ru-RU"/>
        </w:rPr>
      </w:pPr>
      <w:r w:rsidRPr="008A6E69">
        <w:rPr>
          <w:sz w:val="22"/>
          <w:szCs w:val="22"/>
          <w:lang w:val="en-US"/>
        </w:rPr>
        <w:tab/>
      </w:r>
      <w:r w:rsidRPr="006919AC">
        <w:rPr>
          <w:szCs w:val="18"/>
          <w:vertAlign w:val="superscript"/>
        </w:rPr>
        <w:footnoteRef/>
      </w:r>
      <w:r w:rsidRPr="006919AC">
        <w:rPr>
          <w:szCs w:val="18"/>
          <w:lang w:val="ru-RU"/>
        </w:rPr>
        <w:tab/>
        <w:t xml:space="preserve">См., среди прочего, сообщения № 2007/2010, </w:t>
      </w:r>
      <w:r w:rsidRPr="006919AC">
        <w:rPr>
          <w:i/>
          <w:szCs w:val="18"/>
        </w:rPr>
        <w:t>X</w:t>
      </w:r>
      <w:r w:rsidRPr="006919AC">
        <w:rPr>
          <w:i/>
          <w:szCs w:val="18"/>
          <w:lang w:val="ru-RU"/>
        </w:rPr>
        <w:t xml:space="preserve"> против Дании</w:t>
      </w:r>
      <w:r w:rsidRPr="006919AC">
        <w:rPr>
          <w:szCs w:val="18"/>
          <w:lang w:val="ru-RU"/>
        </w:rPr>
        <w:t xml:space="preserve">, Соображения </w:t>
      </w:r>
      <w:r>
        <w:rPr>
          <w:szCs w:val="18"/>
          <w:lang w:val="ru-RU"/>
        </w:rPr>
        <w:br/>
      </w:r>
      <w:r w:rsidRPr="006919AC">
        <w:rPr>
          <w:szCs w:val="18"/>
          <w:lang w:val="ru-RU"/>
        </w:rPr>
        <w:t xml:space="preserve">от 26 марта 2014 года, пункт 9.2; № 692/1996, </w:t>
      </w:r>
      <w:r w:rsidRPr="006919AC">
        <w:rPr>
          <w:i/>
          <w:iCs/>
          <w:szCs w:val="18"/>
          <w:lang w:val="ru-RU"/>
        </w:rPr>
        <w:t>А.Р.Дж. против Австралии</w:t>
      </w:r>
      <w:r w:rsidRPr="006919AC">
        <w:rPr>
          <w:iCs/>
          <w:szCs w:val="18"/>
          <w:lang w:val="ru-RU"/>
        </w:rPr>
        <w:t>,</w:t>
      </w:r>
      <w:r w:rsidRPr="006919AC">
        <w:rPr>
          <w:i/>
          <w:iCs/>
          <w:szCs w:val="18"/>
          <w:lang w:val="ru-RU"/>
        </w:rPr>
        <w:t xml:space="preserve"> </w:t>
      </w:r>
      <w:r w:rsidRPr="006919AC">
        <w:rPr>
          <w:szCs w:val="18"/>
          <w:lang w:val="ru-RU"/>
        </w:rPr>
        <w:t>Соображения от 28 июля 1997 года, пункт 6.6; и № 1833/2008,</w:t>
      </w:r>
      <w:r w:rsidRPr="006919AC">
        <w:rPr>
          <w:i/>
          <w:szCs w:val="18"/>
          <w:lang w:val="ru-RU"/>
        </w:rPr>
        <w:t xml:space="preserve"> </w:t>
      </w:r>
      <w:r w:rsidRPr="006919AC">
        <w:rPr>
          <w:i/>
          <w:szCs w:val="18"/>
        </w:rPr>
        <w:t>X</w:t>
      </w:r>
      <w:r w:rsidRPr="006919AC">
        <w:rPr>
          <w:i/>
          <w:szCs w:val="18"/>
          <w:lang w:val="ru-RU"/>
        </w:rPr>
        <w:t xml:space="preserve"> против Швеции</w:t>
      </w:r>
      <w:r w:rsidRPr="006919AC">
        <w:rPr>
          <w:szCs w:val="18"/>
          <w:lang w:val="ru-RU"/>
        </w:rPr>
        <w:t>, Соображения от 1 ноября 2011 года, пункт 5.18.</w:t>
      </w:r>
    </w:p>
  </w:footnote>
  <w:footnote w:id="14">
    <w:p w:rsidR="00705A08" w:rsidRPr="006919AC" w:rsidRDefault="00705A08" w:rsidP="00705A08">
      <w:pPr>
        <w:pStyle w:val="ad"/>
        <w:rPr>
          <w:szCs w:val="18"/>
          <w:lang w:val="ru-RU"/>
        </w:rPr>
      </w:pPr>
      <w:r w:rsidRPr="006919AC">
        <w:rPr>
          <w:szCs w:val="18"/>
          <w:lang w:val="ru-RU"/>
        </w:rPr>
        <w:tab/>
      </w:r>
      <w:r w:rsidRPr="006919AC">
        <w:rPr>
          <w:szCs w:val="18"/>
          <w:vertAlign w:val="superscript"/>
        </w:rPr>
        <w:footnoteRef/>
      </w:r>
      <w:r w:rsidRPr="005B7D48">
        <w:rPr>
          <w:szCs w:val="18"/>
          <w:lang w:val="ru-RU"/>
        </w:rPr>
        <w:tab/>
      </w:r>
      <w:r w:rsidRPr="006919AC">
        <w:rPr>
          <w:szCs w:val="18"/>
          <w:lang w:val="ru-RU"/>
        </w:rPr>
        <w:t xml:space="preserve">См. сообщение № 1957/2010, </w:t>
      </w:r>
      <w:r w:rsidRPr="006919AC">
        <w:rPr>
          <w:i/>
          <w:szCs w:val="18"/>
          <w:lang w:val="ru-RU"/>
        </w:rPr>
        <w:t>З.Х. против Австралии</w:t>
      </w:r>
      <w:r w:rsidRPr="006919AC">
        <w:rPr>
          <w:szCs w:val="18"/>
          <w:lang w:val="ru-RU"/>
        </w:rPr>
        <w:t>, Соображ</w:t>
      </w:r>
      <w:r w:rsidR="0064140F">
        <w:rPr>
          <w:szCs w:val="18"/>
          <w:lang w:val="ru-RU"/>
        </w:rPr>
        <w:t>ения от 21 марта 2013 </w:t>
      </w:r>
      <w:r w:rsidRPr="006919AC">
        <w:rPr>
          <w:szCs w:val="18"/>
          <w:lang w:val="ru-RU"/>
        </w:rPr>
        <w:t>года, пункт</w:t>
      </w:r>
      <w:r>
        <w:rPr>
          <w:szCs w:val="18"/>
          <w:lang w:val="ru-RU"/>
        </w:rPr>
        <w:t xml:space="preserve"> </w:t>
      </w:r>
      <w:r w:rsidRPr="006919AC">
        <w:rPr>
          <w:szCs w:val="18"/>
          <w:lang w:val="ru-RU"/>
        </w:rPr>
        <w:t>9.3.</w:t>
      </w:r>
    </w:p>
  </w:footnote>
  <w:footnote w:id="15">
    <w:p w:rsidR="00705A08" w:rsidRPr="00250E9D" w:rsidRDefault="00705A08" w:rsidP="00705A08">
      <w:pPr>
        <w:pStyle w:val="ad"/>
        <w:rPr>
          <w:sz w:val="22"/>
          <w:szCs w:val="22"/>
          <w:lang w:val="ru-RU"/>
        </w:rPr>
      </w:pPr>
      <w:r w:rsidRPr="006919AC">
        <w:rPr>
          <w:szCs w:val="18"/>
          <w:lang w:val="ru-RU"/>
        </w:rPr>
        <w:tab/>
      </w:r>
      <w:r w:rsidRPr="006919AC">
        <w:rPr>
          <w:szCs w:val="18"/>
          <w:vertAlign w:val="superscript"/>
        </w:rPr>
        <w:footnoteRef/>
      </w:r>
      <w:r w:rsidRPr="006919AC">
        <w:rPr>
          <w:szCs w:val="18"/>
        </w:rPr>
        <w:tab/>
      </w:r>
      <w:r w:rsidRPr="006919AC">
        <w:rPr>
          <w:iCs/>
          <w:szCs w:val="18"/>
          <w:lang w:val="ru-RU"/>
        </w:rPr>
        <w:t>Там же.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C" w:rsidRPr="00F21D6C" w:rsidRDefault="00F21D6C">
    <w:pPr>
      <w:pStyle w:val="a5"/>
    </w:pPr>
    <w:fldSimple w:instr=" TITLE  \* MERGEFORMAT ">
      <w:r w:rsidR="00831741">
        <w:t>CCPR/C/119/D/2593/2015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C" w:rsidRPr="00F21D6C" w:rsidRDefault="00F21D6C" w:rsidP="00F21D6C">
    <w:pPr>
      <w:pStyle w:val="a5"/>
      <w:jc w:val="right"/>
    </w:pPr>
    <w:fldSimple w:instr=" TITLE  \* MERGEFORMAT ">
      <w:r w:rsidR="00831741">
        <w:t>CCPR/C/119/D/2593/2015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34"/>
    <w:rsid w:val="00033EE1"/>
    <w:rsid w:val="00042B72"/>
    <w:rsid w:val="000558BD"/>
    <w:rsid w:val="000B57E7"/>
    <w:rsid w:val="000B6373"/>
    <w:rsid w:val="000F09DF"/>
    <w:rsid w:val="000F61B2"/>
    <w:rsid w:val="001075E9"/>
    <w:rsid w:val="00154428"/>
    <w:rsid w:val="00180183"/>
    <w:rsid w:val="0018024D"/>
    <w:rsid w:val="00181AB7"/>
    <w:rsid w:val="0018649F"/>
    <w:rsid w:val="00196389"/>
    <w:rsid w:val="001B3EF6"/>
    <w:rsid w:val="001C7A89"/>
    <w:rsid w:val="001F50F4"/>
    <w:rsid w:val="002A2EFC"/>
    <w:rsid w:val="002C0E18"/>
    <w:rsid w:val="002D5AAC"/>
    <w:rsid w:val="002E2F09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05F34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4140F"/>
    <w:rsid w:val="00666B97"/>
    <w:rsid w:val="00681A10"/>
    <w:rsid w:val="006A1ED8"/>
    <w:rsid w:val="006C2031"/>
    <w:rsid w:val="006D461A"/>
    <w:rsid w:val="006F35EE"/>
    <w:rsid w:val="007021FF"/>
    <w:rsid w:val="00705A08"/>
    <w:rsid w:val="00712895"/>
    <w:rsid w:val="00757357"/>
    <w:rsid w:val="00791B9D"/>
    <w:rsid w:val="007B52DA"/>
    <w:rsid w:val="007C246A"/>
    <w:rsid w:val="00825F8D"/>
    <w:rsid w:val="00831741"/>
    <w:rsid w:val="00834B71"/>
    <w:rsid w:val="00851C5E"/>
    <w:rsid w:val="0086445C"/>
    <w:rsid w:val="00894693"/>
    <w:rsid w:val="008A08D7"/>
    <w:rsid w:val="008B6909"/>
    <w:rsid w:val="00906890"/>
    <w:rsid w:val="00911BE4"/>
    <w:rsid w:val="00951972"/>
    <w:rsid w:val="009608F3"/>
    <w:rsid w:val="009918E2"/>
    <w:rsid w:val="009A24AC"/>
    <w:rsid w:val="00A14DA8"/>
    <w:rsid w:val="00A312BC"/>
    <w:rsid w:val="00A34D07"/>
    <w:rsid w:val="00A84021"/>
    <w:rsid w:val="00A84D35"/>
    <w:rsid w:val="00A917B3"/>
    <w:rsid w:val="00AB4B51"/>
    <w:rsid w:val="00AE5A82"/>
    <w:rsid w:val="00B10CC7"/>
    <w:rsid w:val="00B136DB"/>
    <w:rsid w:val="00B539E7"/>
    <w:rsid w:val="00B62458"/>
    <w:rsid w:val="00BA6016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4048E"/>
    <w:rsid w:val="00D90028"/>
    <w:rsid w:val="00D90138"/>
    <w:rsid w:val="00DD78D1"/>
    <w:rsid w:val="00DE32CD"/>
    <w:rsid w:val="00DF71B9"/>
    <w:rsid w:val="00E06BEE"/>
    <w:rsid w:val="00E46656"/>
    <w:rsid w:val="00E73F76"/>
    <w:rsid w:val="00EA2C9F"/>
    <w:rsid w:val="00EA420E"/>
    <w:rsid w:val="00ED0BDA"/>
    <w:rsid w:val="00EF1360"/>
    <w:rsid w:val="00EF3220"/>
    <w:rsid w:val="00F21D6C"/>
    <w:rsid w:val="00F43903"/>
    <w:rsid w:val="00F5682B"/>
    <w:rsid w:val="00F94155"/>
    <w:rsid w:val="00F9783F"/>
    <w:rsid w:val="00FB4944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,Footnote number,ftref,Footnotes refss,Style 10,Appel note de bas de p.,referencia nota al pie,BVI fnr,Footnote text,4_Footnote text,callout,Fago Fußnotenzeichen,16 Point,Superscript 6 Point,Footnote,Footnote symbol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,Footnote number,ftref,Footnotes refss,Style 10,Appel note de bas de p.,referencia nota al pie,BVI fnr,Footnote text,4_Footnote text,callout,Fago Fußnotenzeichen,16 Point,Superscript 6 Point,Footnote,Footnote symbol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87FE-5377-4100-ACA9-D0215F07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10</TotalTime>
  <Pages>8</Pages>
  <Words>3481</Words>
  <Characters>21451</Characters>
  <Application>Microsoft Office Word</Application>
  <DocSecurity>0</DocSecurity>
  <Lines>402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CCPR/C/119/D/2593/2015</vt:lpstr>
      <vt:lpstr>A/</vt:lpstr>
    </vt:vector>
  </TitlesOfParts>
  <Company>DCM</Company>
  <LinksUpToDate>false</LinksUpToDate>
  <CharactersWithSpaces>24879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CCPR/C/119/D/2593/2015</dc:title>
  <dc:subject/>
  <dc:creator>Izotova Elena</dc:creator>
  <cp:keywords/>
  <cp:lastModifiedBy>Izotova Elena</cp:lastModifiedBy>
  <cp:revision>3</cp:revision>
  <cp:lastPrinted>2017-05-24T14:03:00Z</cp:lastPrinted>
  <dcterms:created xsi:type="dcterms:W3CDTF">2017-05-24T14:02:00Z</dcterms:created>
  <dcterms:modified xsi:type="dcterms:W3CDTF">2017-05-24T14:12:00Z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