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4A504A73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7421156" w14:textId="77777777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9FDAF1" w14:textId="77777777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9F536D" w14:textId="54744E43" w:rsidR="00307688" w:rsidRPr="002E51B7" w:rsidRDefault="00E37479" w:rsidP="00E37479">
            <w:pPr>
              <w:suppressAutoHyphens w:val="0"/>
              <w:spacing w:after="20"/>
              <w:jc w:val="right"/>
            </w:pPr>
            <w:r w:rsidRPr="001A6D3D">
              <w:rPr>
                <w:sz w:val="40"/>
              </w:rPr>
              <w:t>CERD</w:t>
            </w:r>
            <w:r w:rsidRPr="001A6D3D">
              <w:t>/C/GEO/Q/9-10</w:t>
            </w:r>
          </w:p>
        </w:tc>
      </w:tr>
      <w:tr w:rsidR="00307688" w14:paraId="5BD380A2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44ED0E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B12BDC" wp14:editId="70EC6C43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46EC4E" w14:textId="77777777"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14:paraId="7BE44B57" w14:textId="77777777"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C3D0DA" w14:textId="77777777" w:rsidR="00E37479" w:rsidRDefault="00E37479" w:rsidP="00E3747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A2FDE31" w14:textId="77777777" w:rsidR="00E37479" w:rsidRPr="00ED167A" w:rsidRDefault="00E37479" w:rsidP="00E37479">
            <w:pPr>
              <w:suppressAutoHyphens w:val="0"/>
            </w:pPr>
            <w:r>
              <w:t>15 November 2022</w:t>
            </w:r>
          </w:p>
          <w:p w14:paraId="696BAA9B" w14:textId="77777777" w:rsidR="00E37479" w:rsidRDefault="00E37479" w:rsidP="00E37479">
            <w:pPr>
              <w:suppressAutoHyphens w:val="0"/>
            </w:pPr>
            <w:r>
              <w:t>Original: English</w:t>
            </w:r>
          </w:p>
          <w:p w14:paraId="69AE3927" w14:textId="627CEDF9" w:rsidR="00E37479" w:rsidRDefault="00E37479" w:rsidP="00E37479">
            <w:pPr>
              <w:suppressAutoHyphens w:val="0"/>
            </w:pPr>
            <w:r>
              <w:t xml:space="preserve">English, </w:t>
            </w:r>
            <w:r w:rsidRPr="008D388A">
              <w:t>French</w:t>
            </w:r>
            <w:r>
              <w:t xml:space="preserve"> and Spanish only</w:t>
            </w:r>
          </w:p>
        </w:tc>
      </w:tr>
    </w:tbl>
    <w:p w14:paraId="444E021A" w14:textId="77777777" w:rsidR="00E37479" w:rsidRPr="00B271CC" w:rsidRDefault="00E37479" w:rsidP="00E37479">
      <w:pPr>
        <w:spacing w:before="120"/>
        <w:rPr>
          <w:b/>
          <w:sz w:val="24"/>
          <w:szCs w:val="24"/>
        </w:rPr>
      </w:pPr>
      <w:r w:rsidRPr="00B271CC">
        <w:rPr>
          <w:b/>
          <w:sz w:val="24"/>
          <w:szCs w:val="24"/>
        </w:rPr>
        <w:t>Committee on the Elimination of Racial Discrimination</w:t>
      </w:r>
    </w:p>
    <w:p w14:paraId="7FB38A5D" w14:textId="77777777" w:rsidR="00E37479" w:rsidRPr="00172B6E" w:rsidRDefault="00E37479" w:rsidP="00E37479">
      <w:pPr>
        <w:rPr>
          <w:b/>
        </w:rPr>
      </w:pPr>
      <w:r w:rsidRPr="00B271CC">
        <w:rPr>
          <w:b/>
        </w:rPr>
        <w:t>108</w:t>
      </w:r>
      <w:r>
        <w:rPr>
          <w:b/>
        </w:rPr>
        <w:t>th</w:t>
      </w:r>
      <w:r w:rsidRPr="00B271CC">
        <w:rPr>
          <w:b/>
        </w:rPr>
        <w:t xml:space="preserve"> </w:t>
      </w:r>
      <w:r>
        <w:rPr>
          <w:b/>
        </w:rPr>
        <w:t>session</w:t>
      </w:r>
    </w:p>
    <w:p w14:paraId="25D019B5" w14:textId="77777777" w:rsidR="00E37479" w:rsidRPr="00020D28" w:rsidRDefault="00E37479" w:rsidP="00E37479">
      <w:r w:rsidRPr="00020D28">
        <w:t>14 November</w:t>
      </w:r>
      <w:r>
        <w:t>–</w:t>
      </w:r>
      <w:r w:rsidRPr="00020D28">
        <w:t xml:space="preserve">2 December 2022 </w:t>
      </w:r>
    </w:p>
    <w:p w14:paraId="3B76FB69" w14:textId="77777777" w:rsidR="00E37479" w:rsidRPr="0024532E" w:rsidRDefault="00E37479" w:rsidP="00E37479">
      <w:r w:rsidRPr="00172B6E">
        <w:t xml:space="preserve">Item </w:t>
      </w:r>
      <w:r w:rsidRPr="00ED167A">
        <w:t xml:space="preserve">4 of </w:t>
      </w:r>
      <w:r w:rsidRPr="0024532E">
        <w:t>the provisional agenda</w:t>
      </w:r>
    </w:p>
    <w:p w14:paraId="5E97CFFF" w14:textId="77777777" w:rsidR="00E37479" w:rsidRPr="0024532E" w:rsidRDefault="00E37479" w:rsidP="00E37479">
      <w:pPr>
        <w:rPr>
          <w:b/>
        </w:rPr>
      </w:pPr>
      <w:r w:rsidRPr="0024532E">
        <w:rPr>
          <w:b/>
        </w:rPr>
        <w:t>Consideration of reports, comments and information submitted</w:t>
      </w:r>
      <w:r w:rsidRPr="0024532E">
        <w:rPr>
          <w:b/>
        </w:rPr>
        <w:br/>
        <w:t>by States parties under article 9 of the Convention</w:t>
      </w:r>
    </w:p>
    <w:p w14:paraId="01135636" w14:textId="77777777" w:rsidR="00E37479" w:rsidRPr="00ED167A" w:rsidRDefault="00E37479" w:rsidP="00E37479">
      <w:pPr>
        <w:pStyle w:val="HChG"/>
      </w:pPr>
      <w:r w:rsidRPr="0024532E">
        <w:tab/>
      </w:r>
      <w:r w:rsidRPr="0024532E">
        <w:tab/>
        <w:t xml:space="preserve">List of themes in relation </w:t>
      </w:r>
      <w:r w:rsidRPr="000C59EA">
        <w:t>to the combined ninth and tenth reports of Georgia</w:t>
      </w:r>
    </w:p>
    <w:p w14:paraId="5DDF10A9" w14:textId="77777777" w:rsidR="00E37479" w:rsidRDefault="00E37479" w:rsidP="00E37479">
      <w:pPr>
        <w:pStyle w:val="H1G"/>
        <w:tabs>
          <w:tab w:val="left" w:pos="7938"/>
        </w:tabs>
      </w:pPr>
      <w:r w:rsidRPr="0024532E">
        <w:tab/>
      </w:r>
      <w:r w:rsidRPr="0024532E">
        <w:tab/>
        <w:t>Note by the Country Rapporteur</w:t>
      </w:r>
      <w:r w:rsidRPr="00D54C64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518F0254" w14:textId="77777777" w:rsidR="00E37479" w:rsidRPr="002E4A8B" w:rsidRDefault="00E37479" w:rsidP="00E37479">
      <w:pPr>
        <w:pStyle w:val="SingleTxtG"/>
      </w:pPr>
      <w:r w:rsidRPr="002E4A8B">
        <w:t>1.</w:t>
      </w:r>
      <w:r w:rsidRPr="002E4A8B">
        <w:tab/>
      </w:r>
      <w:r>
        <w:t xml:space="preserve">The </w:t>
      </w:r>
      <w:r w:rsidRPr="0024532E">
        <w:t xml:space="preserve">Committee on the Elimination of Racial Discrimination decided at its </w:t>
      </w:r>
      <w:r w:rsidRPr="00D57BC7">
        <w:t>seventy-sixth session</w:t>
      </w:r>
      <w:r>
        <w:rPr>
          <w:rStyle w:val="FootnoteReference"/>
        </w:rPr>
        <w:footnoteReference w:id="2"/>
      </w:r>
      <w:r w:rsidRPr="00D57BC7">
        <w:t xml:space="preserve"> that the Country Rapporteur would send to the State party concerned a short list of themes with a view to guiding and focusing the dialogue</w:t>
      </w:r>
      <w:r w:rsidRPr="0024532E">
        <w:t xml:space="preserve"> between the State party’s delegation and the Committee during the consideration of the State party’s report. </w:t>
      </w:r>
      <w:r>
        <w:t>The present</w:t>
      </w:r>
      <w:r w:rsidRPr="0024532E">
        <w:t xml:space="preserve"> document contains a list of such themes. </w:t>
      </w:r>
      <w:r>
        <w:t>It</w:t>
      </w:r>
      <w:r w:rsidRPr="0024532E">
        <w:t xml:space="preserve"> is not an exhaustive list; other issues may also be raised in the course of the dialogue. No written replies are required.</w:t>
      </w:r>
    </w:p>
    <w:p w14:paraId="76593B23" w14:textId="77777777" w:rsidR="00E37479" w:rsidRDefault="00E37479" w:rsidP="00E37479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Hlk119328068"/>
      <w:r>
        <w:t>The Convention in domestic law and the institutional and policy framework for its implementation</w:t>
      </w:r>
      <w:r w:rsidRPr="000C59EA">
        <w:rPr>
          <w:lang w:val="en-US"/>
        </w:rPr>
        <w:t xml:space="preserve"> </w:t>
      </w:r>
      <w:bookmarkEnd w:id="0"/>
      <w:r w:rsidRPr="000C59EA">
        <w:rPr>
          <w:lang w:val="en-US"/>
        </w:rPr>
        <w:t>(arts. 1, 2, 4, 6 and 7)</w:t>
      </w:r>
    </w:p>
    <w:p w14:paraId="583E99C3" w14:textId="77777777" w:rsidR="00E37479" w:rsidRDefault="00E37479" w:rsidP="00E37479">
      <w:pPr>
        <w:pStyle w:val="SingleTxtG"/>
      </w:pPr>
      <w:r>
        <w:t>2.</w:t>
      </w:r>
      <w:r>
        <w:tab/>
      </w:r>
      <w:r>
        <w:rPr>
          <w:lang w:val="en-US"/>
        </w:rPr>
        <w:t>State of</w:t>
      </w:r>
      <w:r w:rsidRPr="000C59EA">
        <w:rPr>
          <w:lang w:val="en-US"/>
        </w:rPr>
        <w:t xml:space="preserve"> the ratification of the amendment to article 8 (6) of the Convention adopted on 15 January 1992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3"/>
      </w:r>
      <w:r>
        <w:rPr>
          <w:lang w:val="en-US"/>
        </w:rPr>
        <w:t xml:space="preserve"> Information on the update of the common core document.</w:t>
      </w:r>
      <w:r>
        <w:rPr>
          <w:rStyle w:val="FootnoteReference"/>
          <w:lang w:val="en-US"/>
        </w:rPr>
        <w:footnoteReference w:id="4"/>
      </w:r>
    </w:p>
    <w:p w14:paraId="749DA4FB" w14:textId="77777777" w:rsidR="00E37479" w:rsidRDefault="00E37479" w:rsidP="00E3747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</w:t>
      </w:r>
      <w:r w:rsidRPr="000C59EA">
        <w:rPr>
          <w:lang w:val="en-US"/>
        </w:rPr>
        <w:t>ncorporation of the Convention into domestic law of the State party</w:t>
      </w:r>
      <w:r>
        <w:rPr>
          <w:lang w:val="en-US"/>
        </w:rPr>
        <w:t>,</w:t>
      </w:r>
      <w:r w:rsidRPr="000C59EA">
        <w:rPr>
          <w:lang w:val="en-US"/>
        </w:rPr>
        <w:t xml:space="preserve"> and </w:t>
      </w:r>
      <w:r>
        <w:rPr>
          <w:lang w:val="en-US"/>
        </w:rPr>
        <w:t xml:space="preserve">examples of cases </w:t>
      </w:r>
      <w:r w:rsidRPr="000C59EA">
        <w:rPr>
          <w:lang w:val="en-US"/>
        </w:rPr>
        <w:t>in which courts, tribunals or other bodies have applied or reflected the Convention in their decisions</w:t>
      </w:r>
      <w:r>
        <w:rPr>
          <w:lang w:val="en-US"/>
        </w:rPr>
        <w:t>.</w:t>
      </w:r>
      <w:r w:rsidRPr="000C59EA">
        <w:rPr>
          <w:lang w:val="en-US"/>
        </w:rPr>
        <w:t xml:space="preserve"> </w:t>
      </w:r>
      <w:r>
        <w:rPr>
          <w:lang w:val="en-US"/>
        </w:rPr>
        <w:t>M</w:t>
      </w:r>
      <w:r w:rsidRPr="000C59EA">
        <w:rPr>
          <w:lang w:val="en-US"/>
        </w:rPr>
        <w:t xml:space="preserve">easures to raise awareness of the Convention and </w:t>
      </w:r>
      <w:r>
        <w:rPr>
          <w:lang w:val="en-US"/>
        </w:rPr>
        <w:t xml:space="preserve">the </w:t>
      </w:r>
      <w:r w:rsidRPr="000C59EA">
        <w:rPr>
          <w:lang w:val="en-US"/>
        </w:rPr>
        <w:t xml:space="preserve">anti-discrimination legislation among </w:t>
      </w:r>
      <w:r>
        <w:rPr>
          <w:lang w:val="en-US"/>
        </w:rPr>
        <w:t xml:space="preserve">the judiciary, lawyers, law enforcement officials and among </w:t>
      </w:r>
      <w:r w:rsidRPr="000C59EA">
        <w:rPr>
          <w:lang w:val="en-US"/>
        </w:rPr>
        <w:t>the population.</w:t>
      </w:r>
    </w:p>
    <w:p w14:paraId="5ECF1489" w14:textId="77777777" w:rsidR="00E37479" w:rsidRDefault="00E37479" w:rsidP="00E3747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>
        <w:t xml:space="preserve">Compliance of </w:t>
      </w:r>
      <w:r w:rsidRPr="00914011">
        <w:t xml:space="preserve">the Law of Georgia on Elimination of All Forms of Discrimination </w:t>
      </w:r>
      <w:r>
        <w:t xml:space="preserve">with all provisions </w:t>
      </w:r>
      <w:r w:rsidRPr="00914011">
        <w:t>of the Convention</w:t>
      </w:r>
      <w:r w:rsidRPr="00914011">
        <w:rPr>
          <w:lang w:val="en-US"/>
        </w:rPr>
        <w:t>.</w:t>
      </w:r>
      <w:r>
        <w:rPr>
          <w:rStyle w:val="FootnoteReference"/>
          <w:lang w:val="en-US"/>
        </w:rPr>
        <w:footnoteReference w:id="5"/>
      </w:r>
    </w:p>
    <w:p w14:paraId="4953C694" w14:textId="77777777" w:rsidR="00E37479" w:rsidRPr="00E87122" w:rsidRDefault="00E37479" w:rsidP="00E37479">
      <w:pPr>
        <w:pStyle w:val="SingleTxtG"/>
      </w:pPr>
      <w:r w:rsidRPr="00E87122">
        <w:t>5.</w:t>
      </w:r>
      <w:r w:rsidRPr="00E87122">
        <w:tab/>
      </w:r>
      <w:r w:rsidRPr="00E87122">
        <w:rPr>
          <w:lang w:val="en-US"/>
        </w:rPr>
        <w:t>Details</w:t>
      </w:r>
      <w:r w:rsidRPr="00E87122">
        <w:t xml:space="preserve"> on the mandate of the Public Defender of Georgia on regarding racial discrimination issues, and more specifically its Equality </w:t>
      </w:r>
      <w:r>
        <w:t>D</w:t>
      </w:r>
      <w:r w:rsidRPr="00E87122">
        <w:t>epartment</w:t>
      </w:r>
      <w:r>
        <w:t>.</w:t>
      </w:r>
      <w:r>
        <w:rPr>
          <w:rStyle w:val="FootnoteReference"/>
        </w:rPr>
        <w:footnoteReference w:id="6"/>
      </w:r>
      <w:r w:rsidRPr="00E87122">
        <w:t xml:space="preserve"> Relations </w:t>
      </w:r>
      <w:r w:rsidRPr="00E87122">
        <w:rPr>
          <w:lang w:val="en-US"/>
        </w:rPr>
        <w:t>between</w:t>
      </w:r>
      <w:r w:rsidRPr="00E87122">
        <w:t xml:space="preserve"> the Public Defender of Georgia and the judicial bodies of </w:t>
      </w:r>
      <w:r>
        <w:t xml:space="preserve">the </w:t>
      </w:r>
      <w:r w:rsidRPr="00E87122">
        <w:t>State party</w:t>
      </w:r>
      <w:r>
        <w:t>.</w:t>
      </w:r>
      <w:r w:rsidRPr="00E87122">
        <w:t xml:space="preserve"> Cases in which courts, tribunals or other bodies have applied the Public Defender’s recommendations.</w:t>
      </w:r>
      <w:r>
        <w:rPr>
          <w:rStyle w:val="FootnoteReference"/>
        </w:rPr>
        <w:footnoteReference w:id="7"/>
      </w:r>
      <w:r w:rsidRPr="00E87122">
        <w:t xml:space="preserve"> </w:t>
      </w:r>
    </w:p>
    <w:p w14:paraId="2DF5EA71" w14:textId="77777777" w:rsidR="00E37479" w:rsidRPr="00770252" w:rsidRDefault="00E37479" w:rsidP="00E37479">
      <w:pPr>
        <w:pStyle w:val="SingleTxtG"/>
        <w:rPr>
          <w:lang w:val="en-US"/>
        </w:rPr>
      </w:pPr>
      <w:r w:rsidRPr="00770252">
        <w:rPr>
          <w:lang w:val="en-US"/>
        </w:rPr>
        <w:t>6.</w:t>
      </w:r>
      <w:r w:rsidRPr="00770252">
        <w:rPr>
          <w:lang w:val="en-US"/>
        </w:rPr>
        <w:tab/>
      </w:r>
      <w:r w:rsidRPr="00E87122">
        <w:rPr>
          <w:lang w:val="en-US"/>
        </w:rPr>
        <w:t>Impact</w:t>
      </w:r>
      <w:r w:rsidRPr="00E87122">
        <w:t xml:space="preserve"> of the measures taken by the State party in the areas of culture and human rights education under article 7 of the Convention, especially regarding public awareness </w:t>
      </w:r>
      <w:r w:rsidRPr="00E87122">
        <w:lastRenderedPageBreak/>
        <w:t>campaigns, school program</w:t>
      </w:r>
      <w:r>
        <w:t>me</w:t>
      </w:r>
      <w:r w:rsidRPr="00E87122">
        <w:t xml:space="preserve">s, </w:t>
      </w:r>
      <w:r>
        <w:t xml:space="preserve">the </w:t>
      </w:r>
      <w:r w:rsidRPr="00E87122">
        <w:t>revision of school textbooks and training offered to law</w:t>
      </w:r>
      <w:r>
        <w:t xml:space="preserve"> </w:t>
      </w:r>
      <w:r w:rsidRPr="00E87122">
        <w:t>enforcement officials and teachers</w:t>
      </w:r>
      <w:r>
        <w:t>.</w:t>
      </w:r>
      <w:r w:rsidRPr="00E87122">
        <w:t xml:space="preserve"> Steps taken to make such training mandatory.</w:t>
      </w:r>
      <w:r>
        <w:rPr>
          <w:rStyle w:val="FootnoteReference"/>
        </w:rPr>
        <w:footnoteReference w:id="8"/>
      </w:r>
    </w:p>
    <w:p w14:paraId="4E2FC040" w14:textId="77777777" w:rsidR="00E37479" w:rsidRDefault="00E37479" w:rsidP="00E37479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P</w:t>
      </w:r>
      <w:r w:rsidRPr="000C59EA">
        <w:rPr>
          <w:lang w:val="en-US"/>
        </w:rPr>
        <w:t xml:space="preserve">ractical measures implemented by </w:t>
      </w:r>
      <w:r>
        <w:rPr>
          <w:lang w:val="en-US"/>
        </w:rPr>
        <w:t>S</w:t>
      </w:r>
      <w:r w:rsidRPr="000C59EA">
        <w:rPr>
          <w:lang w:val="en-US"/>
        </w:rPr>
        <w:t>tate agencies as a result of the 2018</w:t>
      </w:r>
      <w:r>
        <w:rPr>
          <w:lang w:val="en-US"/>
        </w:rPr>
        <w:t>–</w:t>
      </w:r>
      <w:r w:rsidRPr="000C59EA">
        <w:rPr>
          <w:lang w:val="en-US"/>
        </w:rPr>
        <w:t xml:space="preserve">2020 </w:t>
      </w:r>
      <w:r>
        <w:rPr>
          <w:lang w:val="en-US"/>
        </w:rPr>
        <w:t>a</w:t>
      </w:r>
      <w:r w:rsidRPr="000C59EA">
        <w:rPr>
          <w:lang w:val="en-US"/>
        </w:rPr>
        <w:t xml:space="preserve">ction </w:t>
      </w:r>
      <w:r>
        <w:rPr>
          <w:lang w:val="en-US"/>
        </w:rPr>
        <w:t>p</w:t>
      </w:r>
      <w:r w:rsidRPr="000C59EA">
        <w:rPr>
          <w:lang w:val="en-US"/>
        </w:rPr>
        <w:t xml:space="preserve">lan of </w:t>
      </w:r>
      <w:r>
        <w:rPr>
          <w:lang w:val="en-US"/>
        </w:rPr>
        <w:t>the n</w:t>
      </w:r>
      <w:r w:rsidRPr="000C59EA">
        <w:rPr>
          <w:lang w:val="en-US"/>
        </w:rPr>
        <w:t xml:space="preserve">ational </w:t>
      </w:r>
      <w:r>
        <w:rPr>
          <w:lang w:val="en-US"/>
        </w:rPr>
        <w:t>s</w:t>
      </w:r>
      <w:r w:rsidRPr="000C59EA">
        <w:rPr>
          <w:lang w:val="en-US"/>
        </w:rPr>
        <w:t xml:space="preserve">trategy for the </w:t>
      </w:r>
      <w:r>
        <w:rPr>
          <w:lang w:val="en-US"/>
        </w:rPr>
        <w:t>p</w:t>
      </w:r>
      <w:r w:rsidRPr="000C59EA">
        <w:rPr>
          <w:lang w:val="en-US"/>
        </w:rPr>
        <w:t xml:space="preserve">rotection of </w:t>
      </w:r>
      <w:r>
        <w:rPr>
          <w:lang w:val="en-US"/>
        </w:rPr>
        <w:t>h</w:t>
      </w:r>
      <w:r w:rsidRPr="000C59EA">
        <w:rPr>
          <w:lang w:val="en-US"/>
        </w:rPr>
        <w:t xml:space="preserve">uman </w:t>
      </w:r>
      <w:r>
        <w:rPr>
          <w:lang w:val="en-US"/>
        </w:rPr>
        <w:t>r</w:t>
      </w:r>
      <w:r w:rsidRPr="000C59EA">
        <w:rPr>
          <w:lang w:val="en-US"/>
        </w:rPr>
        <w:t>ights in Georgia.</w:t>
      </w:r>
      <w:r>
        <w:rPr>
          <w:rStyle w:val="FootnoteReference"/>
          <w:lang w:val="en-US"/>
        </w:rPr>
        <w:footnoteReference w:id="9"/>
      </w:r>
    </w:p>
    <w:p w14:paraId="18EF30DE" w14:textId="77777777" w:rsidR="00E37479" w:rsidRPr="002303B9" w:rsidRDefault="00E37479" w:rsidP="00E37479">
      <w:pPr>
        <w:pStyle w:val="SingleTxtG"/>
        <w:rPr>
          <w:lang w:val="en-US"/>
        </w:rPr>
      </w:pPr>
      <w:r w:rsidRPr="002303B9">
        <w:rPr>
          <w:lang w:val="en-US"/>
        </w:rPr>
        <w:t>8.</w:t>
      </w:r>
      <w:r w:rsidRPr="002303B9">
        <w:rPr>
          <w:lang w:val="en-US"/>
        </w:rPr>
        <w:tab/>
      </w:r>
      <w:r>
        <w:rPr>
          <w:lang w:val="en-US"/>
        </w:rPr>
        <w:t>S</w:t>
      </w:r>
      <w:r w:rsidRPr="002303B9">
        <w:rPr>
          <w:lang w:val="en-US"/>
        </w:rPr>
        <w:t xml:space="preserve">teps taken to implement the Durban Declaration and </w:t>
      </w:r>
      <w:proofErr w:type="spellStart"/>
      <w:r w:rsidRPr="002303B9">
        <w:rPr>
          <w:lang w:val="en-US"/>
        </w:rPr>
        <w:t>Programme</w:t>
      </w:r>
      <w:proofErr w:type="spellEnd"/>
      <w:r w:rsidRPr="002303B9">
        <w:rPr>
          <w:lang w:val="en-US"/>
        </w:rPr>
        <w:t xml:space="preserve"> of Action at a national level.</w:t>
      </w:r>
      <w:r>
        <w:rPr>
          <w:rStyle w:val="FootnoteReference"/>
          <w:lang w:val="en-US"/>
        </w:rPr>
        <w:footnoteReference w:id="10"/>
      </w:r>
      <w:r>
        <w:rPr>
          <w:lang w:val="en-US"/>
        </w:rPr>
        <w:t xml:space="preserve"> </w:t>
      </w:r>
    </w:p>
    <w:p w14:paraId="2B32716B" w14:textId="77777777" w:rsidR="00E37479" w:rsidRPr="00D20586" w:rsidRDefault="00E37479" w:rsidP="00E37479">
      <w:pPr>
        <w:pStyle w:val="H23G"/>
      </w:pPr>
      <w:r>
        <w:tab/>
      </w:r>
      <w:r>
        <w:tab/>
      </w:r>
      <w:r w:rsidRPr="000C59EA">
        <w:t>Racist hate speech, incitement to racial hatred and hate crimes (art</w:t>
      </w:r>
      <w:r>
        <w:t>s.</w:t>
      </w:r>
      <w:r w:rsidRPr="000C59EA">
        <w:t xml:space="preserve"> 2, 4 and 6)</w:t>
      </w:r>
    </w:p>
    <w:p w14:paraId="4935D543" w14:textId="77777777" w:rsidR="00E37479" w:rsidRPr="00096CA1" w:rsidRDefault="00E37479" w:rsidP="00E37479">
      <w:pPr>
        <w:pStyle w:val="SingleTxtG"/>
        <w:rPr>
          <w:lang w:val="en-US"/>
        </w:rPr>
      </w:pPr>
      <w:r w:rsidRPr="00096CA1">
        <w:rPr>
          <w:lang w:val="en-US"/>
        </w:rPr>
        <w:t>9.</w:t>
      </w:r>
      <w:r w:rsidRPr="00096CA1">
        <w:rPr>
          <w:lang w:val="en-US"/>
        </w:rPr>
        <w:tab/>
      </w:r>
      <w:r>
        <w:rPr>
          <w:lang w:val="en-US"/>
        </w:rPr>
        <w:t>S</w:t>
      </w:r>
      <w:r w:rsidRPr="00096CA1">
        <w:rPr>
          <w:lang w:val="en-US"/>
        </w:rPr>
        <w:t xml:space="preserve">teps taken to adopt specific provisions prohibiting </w:t>
      </w:r>
      <w:r>
        <w:rPr>
          <w:lang w:val="en-US"/>
        </w:rPr>
        <w:t xml:space="preserve">racist hate speech and </w:t>
      </w:r>
      <w:r w:rsidRPr="00096CA1">
        <w:rPr>
          <w:lang w:val="en-US"/>
        </w:rPr>
        <w:t xml:space="preserve">hate crimes and to ensure their full compliance with </w:t>
      </w:r>
      <w:r>
        <w:rPr>
          <w:lang w:val="en-US"/>
        </w:rPr>
        <w:t>provisions of a</w:t>
      </w:r>
      <w:r w:rsidRPr="00096CA1">
        <w:rPr>
          <w:lang w:val="en-US"/>
        </w:rPr>
        <w:t>rticle 4 of the Convention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11"/>
      </w:r>
      <w:r w:rsidRPr="00096CA1">
        <w:rPr>
          <w:lang w:val="en-US"/>
        </w:rPr>
        <w:t xml:space="preserve"> </w:t>
      </w:r>
      <w:r>
        <w:rPr>
          <w:lang w:val="en-US"/>
        </w:rPr>
        <w:t>R</w:t>
      </w:r>
      <w:r w:rsidRPr="00096CA1">
        <w:rPr>
          <w:lang w:val="en-US"/>
        </w:rPr>
        <w:t xml:space="preserve">easons for postponing the adoption of </w:t>
      </w:r>
      <w:r>
        <w:rPr>
          <w:lang w:val="en-US"/>
        </w:rPr>
        <w:t>a provision in the Criminal Code expressly prohibiting racist hate speech and hate crimes.</w:t>
      </w:r>
      <w:r w:rsidRPr="00096CA1">
        <w:rPr>
          <w:lang w:val="en-US"/>
        </w:rPr>
        <w:t xml:space="preserve"> </w:t>
      </w:r>
      <w:r>
        <w:rPr>
          <w:lang w:val="en-US"/>
        </w:rPr>
        <w:t xml:space="preserve">Application of </w:t>
      </w:r>
      <w:r w:rsidRPr="00096CA1">
        <w:rPr>
          <w:lang w:val="en-US"/>
        </w:rPr>
        <w:t>the provision prohibiting public incitement to acts of violence</w:t>
      </w:r>
      <w:r>
        <w:rPr>
          <w:lang w:val="en-US"/>
        </w:rPr>
        <w:t xml:space="preserve"> and cases </w:t>
      </w:r>
      <w:r w:rsidRPr="00096CA1">
        <w:rPr>
          <w:lang w:val="en-US"/>
        </w:rPr>
        <w:t>in which judicial bodies have applied this provision.</w:t>
      </w:r>
      <w:r>
        <w:rPr>
          <w:rStyle w:val="FootnoteReference"/>
          <w:lang w:val="en-US"/>
        </w:rPr>
        <w:footnoteReference w:id="12"/>
      </w:r>
      <w:r w:rsidRPr="00096CA1">
        <w:rPr>
          <w:lang w:val="en-US"/>
        </w:rPr>
        <w:t xml:space="preserve"> </w:t>
      </w:r>
    </w:p>
    <w:p w14:paraId="31433871" w14:textId="77777777" w:rsidR="00E37479" w:rsidRDefault="00E37479" w:rsidP="00E37479">
      <w:pPr>
        <w:pStyle w:val="SingleTxtG"/>
      </w:pPr>
      <w:r>
        <w:t>10.</w:t>
      </w:r>
      <w:r>
        <w:tab/>
        <w:t>Cases</w:t>
      </w:r>
      <w:r w:rsidRPr="000C59EA">
        <w:rPr>
          <w:lang w:val="en-US"/>
        </w:rPr>
        <w:t xml:space="preserve"> in which judicial bodies have applied </w:t>
      </w:r>
      <w:r>
        <w:rPr>
          <w:lang w:val="en-US"/>
        </w:rPr>
        <w:t>provisions of a</w:t>
      </w:r>
      <w:r w:rsidRPr="000C59EA">
        <w:rPr>
          <w:lang w:val="en-US"/>
        </w:rPr>
        <w:t>rticle 531 of the Criminal Code of Georgia</w:t>
      </w:r>
      <w:r>
        <w:rPr>
          <w:rStyle w:val="FootnoteReference"/>
          <w:lang w:val="en-US"/>
        </w:rPr>
        <w:footnoteReference w:id="13"/>
      </w:r>
      <w:r w:rsidRPr="000C59EA">
        <w:rPr>
          <w:lang w:val="en-US"/>
        </w:rPr>
        <w:t xml:space="preserve"> </w:t>
      </w:r>
      <w:r>
        <w:rPr>
          <w:lang w:val="en-US"/>
        </w:rPr>
        <w:t>on aggravating circumstances, including for racist motives</w:t>
      </w:r>
      <w:r w:rsidRPr="000C59EA">
        <w:rPr>
          <w:lang w:val="en-US"/>
        </w:rPr>
        <w:t xml:space="preserve">. </w:t>
      </w:r>
    </w:p>
    <w:p w14:paraId="7AD91D5D" w14:textId="77777777" w:rsidR="00E37479" w:rsidRDefault="00E37479" w:rsidP="00E37479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Application</w:t>
      </w:r>
      <w:r w:rsidRPr="000C59EA">
        <w:rPr>
          <w:lang w:val="en-US"/>
        </w:rPr>
        <w:t xml:space="preserve"> of </w:t>
      </w:r>
      <w:r>
        <w:rPr>
          <w:lang w:val="en-US"/>
        </w:rPr>
        <w:t>a</w:t>
      </w:r>
      <w:r w:rsidRPr="000C59EA">
        <w:rPr>
          <w:lang w:val="en-US"/>
        </w:rPr>
        <w:t>rticle 23</w:t>
      </w:r>
      <w:r>
        <w:rPr>
          <w:lang w:val="en-US"/>
        </w:rPr>
        <w:t xml:space="preserve"> </w:t>
      </w:r>
      <w:r w:rsidRPr="000C59EA">
        <w:rPr>
          <w:lang w:val="en-US"/>
        </w:rPr>
        <w:t xml:space="preserve">(3) of the Constitution, which prohibits the establishment and activity of a political party that propagates war or violence or incites national, ethnic, provincial, </w:t>
      </w:r>
      <w:proofErr w:type="gramStart"/>
      <w:r w:rsidRPr="000C59EA">
        <w:rPr>
          <w:lang w:val="en-US"/>
        </w:rPr>
        <w:t>religious</w:t>
      </w:r>
      <w:proofErr w:type="gramEnd"/>
      <w:r w:rsidRPr="000C59EA">
        <w:rPr>
          <w:lang w:val="en-US"/>
        </w:rPr>
        <w:t xml:space="preserve"> or social strife and information on </w:t>
      </w:r>
      <w:r>
        <w:rPr>
          <w:lang w:val="en-US"/>
        </w:rPr>
        <w:t>cases</w:t>
      </w:r>
      <w:r w:rsidRPr="000C59EA">
        <w:rPr>
          <w:lang w:val="en-US"/>
        </w:rPr>
        <w:t xml:space="preserve"> in which judicial bodies have applied this provision.</w:t>
      </w:r>
      <w:r>
        <w:rPr>
          <w:rStyle w:val="FootnoteReference"/>
          <w:lang w:val="en-US"/>
        </w:rPr>
        <w:footnoteReference w:id="14"/>
      </w:r>
    </w:p>
    <w:p w14:paraId="76488293" w14:textId="77777777" w:rsidR="00E37479" w:rsidRPr="005B2EEE" w:rsidRDefault="00E37479" w:rsidP="00E37479">
      <w:pPr>
        <w:pStyle w:val="SingleTxtG"/>
      </w:pPr>
      <w:r w:rsidRPr="005B2EEE">
        <w:t>12.</w:t>
      </w:r>
      <w:r w:rsidRPr="005B2EEE">
        <w:tab/>
      </w:r>
      <w:r w:rsidRPr="005B2EEE">
        <w:rPr>
          <w:color w:val="000000" w:themeColor="text1"/>
        </w:rPr>
        <w:t>Updated statistical data on prosecutions, investigations and outcomes of discriminatory acts</w:t>
      </w:r>
      <w:r>
        <w:rPr>
          <w:color w:val="000000" w:themeColor="text1"/>
        </w:rPr>
        <w:t>.</w:t>
      </w:r>
      <w:r>
        <w:rPr>
          <w:rStyle w:val="FootnoteReference"/>
          <w:color w:val="000000" w:themeColor="text1"/>
          <w:lang w:val="en-US"/>
        </w:rPr>
        <w:footnoteReference w:id="15"/>
      </w:r>
      <w:r w:rsidRPr="005B2EEE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</w:t>
      </w:r>
      <w:r w:rsidRPr="005B2EEE">
        <w:rPr>
          <w:color w:val="000000" w:themeColor="text1"/>
          <w:lang w:val="en-US"/>
        </w:rPr>
        <w:t xml:space="preserve">easures to ensure the effective and </w:t>
      </w:r>
      <w:r>
        <w:rPr>
          <w:color w:val="000000" w:themeColor="text1"/>
          <w:lang w:val="en-US"/>
        </w:rPr>
        <w:t xml:space="preserve">thorough </w:t>
      </w:r>
      <w:r w:rsidRPr="005B2EEE">
        <w:rPr>
          <w:color w:val="000000" w:themeColor="text1"/>
          <w:lang w:val="en-US"/>
        </w:rPr>
        <w:t>investigation</w:t>
      </w:r>
      <w:r>
        <w:rPr>
          <w:color w:val="000000" w:themeColor="text1"/>
          <w:lang w:val="en-US"/>
        </w:rPr>
        <w:t>s</w:t>
      </w:r>
      <w:r w:rsidRPr="005B2EEE">
        <w:rPr>
          <w:color w:val="000000" w:themeColor="text1"/>
          <w:lang w:val="en-US"/>
        </w:rPr>
        <w:t xml:space="preserve"> and prosecution</w:t>
      </w:r>
      <w:r>
        <w:rPr>
          <w:color w:val="000000" w:themeColor="text1"/>
          <w:lang w:val="en-US"/>
        </w:rPr>
        <w:t>s</w:t>
      </w:r>
      <w:r w:rsidRPr="005B2EEE">
        <w:rPr>
          <w:color w:val="000000" w:themeColor="text1"/>
          <w:lang w:val="en-US"/>
        </w:rPr>
        <w:t xml:space="preserve"> of </w:t>
      </w:r>
      <w:r>
        <w:rPr>
          <w:color w:val="000000" w:themeColor="text1"/>
          <w:lang w:val="en-US"/>
        </w:rPr>
        <w:t xml:space="preserve">racist hate speech and </w:t>
      </w:r>
      <w:r w:rsidRPr="005B2EEE">
        <w:rPr>
          <w:color w:val="000000" w:themeColor="text1"/>
          <w:lang w:val="en-US"/>
        </w:rPr>
        <w:t>hate crimes</w:t>
      </w:r>
      <w:r>
        <w:rPr>
          <w:color w:val="000000" w:themeColor="text1"/>
          <w:lang w:val="en-US"/>
        </w:rPr>
        <w:t>.</w:t>
      </w:r>
      <w:r w:rsidRPr="005B2EE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</w:t>
      </w:r>
      <w:r w:rsidRPr="005B2EEE">
        <w:rPr>
          <w:color w:val="000000" w:themeColor="text1"/>
          <w:lang w:val="en-US"/>
        </w:rPr>
        <w:t xml:space="preserve">teps taken to ensure victims have access to legal proceedings and </w:t>
      </w:r>
      <w:r>
        <w:rPr>
          <w:color w:val="000000" w:themeColor="text1"/>
          <w:lang w:val="en-US"/>
        </w:rPr>
        <w:t>receive adequate reparation, as appropriate</w:t>
      </w:r>
      <w:r w:rsidRPr="005B2EEE">
        <w:rPr>
          <w:color w:val="000000" w:themeColor="text1"/>
          <w:lang w:val="en-US"/>
        </w:rPr>
        <w:t>.</w:t>
      </w:r>
      <w:r>
        <w:rPr>
          <w:rStyle w:val="FootnoteReference"/>
          <w:color w:val="000000" w:themeColor="text1"/>
          <w:lang w:val="en-US"/>
        </w:rPr>
        <w:footnoteReference w:id="16"/>
      </w:r>
    </w:p>
    <w:p w14:paraId="56C6431A" w14:textId="77777777" w:rsidR="00E37479" w:rsidRDefault="00E37479" w:rsidP="00E37479">
      <w:pPr>
        <w:pStyle w:val="H23G"/>
        <w:rPr>
          <w:lang w:eastAsia="zh-CN"/>
        </w:rPr>
      </w:pPr>
      <w:r>
        <w:tab/>
      </w:r>
      <w:r>
        <w:tab/>
      </w:r>
      <w:r w:rsidRPr="000C59EA">
        <w:t>Situation of ethnic minorities (arts. 2 and 5)</w:t>
      </w:r>
    </w:p>
    <w:p w14:paraId="0F092679" w14:textId="77777777" w:rsidR="00E37479" w:rsidRDefault="00E37479" w:rsidP="00E37479">
      <w:pPr>
        <w:pStyle w:val="SingleTxtG"/>
      </w:pPr>
      <w:r>
        <w:t>13.</w:t>
      </w:r>
      <w:r>
        <w:tab/>
      </w:r>
      <w:r w:rsidRPr="000C59EA">
        <w:rPr>
          <w:lang w:val="en-US"/>
        </w:rPr>
        <w:t>Demographic data on the ethnic composition of the population and its geographical distribution, including the numerically smaller groups</w:t>
      </w:r>
      <w:r>
        <w:rPr>
          <w:lang w:val="en-US"/>
        </w:rPr>
        <w:t>,</w:t>
      </w:r>
      <w:r w:rsidRPr="000C59EA">
        <w:rPr>
          <w:lang w:val="en-US"/>
        </w:rPr>
        <w:t xml:space="preserve"> such as the Kurds, Jews and people of African descent and </w:t>
      </w:r>
      <w:r>
        <w:rPr>
          <w:lang w:val="en-US"/>
        </w:rPr>
        <w:t xml:space="preserve">of </w:t>
      </w:r>
      <w:r w:rsidRPr="000C59EA">
        <w:rPr>
          <w:lang w:val="en-US"/>
        </w:rPr>
        <w:t>African origin.</w:t>
      </w:r>
      <w:r>
        <w:rPr>
          <w:rStyle w:val="FootnoteReference"/>
          <w:lang w:val="en-US"/>
        </w:rPr>
        <w:footnoteReference w:id="17"/>
      </w:r>
      <w:r w:rsidRPr="000C59EA">
        <w:rPr>
          <w:lang w:val="en-US"/>
        </w:rPr>
        <w:t xml:space="preserve"> </w:t>
      </w:r>
    </w:p>
    <w:p w14:paraId="6D15A441" w14:textId="77777777" w:rsidR="00E37479" w:rsidRDefault="00E37479" w:rsidP="00E37479">
      <w:pPr>
        <w:pStyle w:val="SingleTxtG"/>
      </w:pPr>
      <w:r>
        <w:t>14.</w:t>
      </w:r>
      <w:r>
        <w:tab/>
      </w:r>
      <w:r w:rsidRPr="000C59EA">
        <w:rPr>
          <w:lang w:val="en-US"/>
        </w:rPr>
        <w:t>Information on the representation of ethnic minorities in the executive branch, parliament, political parties and other public bodies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18"/>
      </w:r>
      <w:r w:rsidRPr="000C59EA">
        <w:rPr>
          <w:lang w:val="en-US"/>
        </w:rPr>
        <w:t xml:space="preserve"> </w:t>
      </w:r>
      <w:r>
        <w:rPr>
          <w:lang w:val="en-US"/>
        </w:rPr>
        <w:t>S</w:t>
      </w:r>
      <w:r w:rsidRPr="000C59EA">
        <w:rPr>
          <w:lang w:val="en-US"/>
        </w:rPr>
        <w:t xml:space="preserve">teps taken to increase the political participation of ethnic minorities, including information on the implementation of the State </w:t>
      </w:r>
      <w:r>
        <w:rPr>
          <w:lang w:val="en-US"/>
        </w:rPr>
        <w:t>s</w:t>
      </w:r>
      <w:r w:rsidRPr="000C59EA">
        <w:rPr>
          <w:lang w:val="en-US"/>
        </w:rPr>
        <w:t xml:space="preserve">trategy for </w:t>
      </w:r>
      <w:r>
        <w:rPr>
          <w:lang w:val="en-US"/>
        </w:rPr>
        <w:t>c</w:t>
      </w:r>
      <w:r w:rsidRPr="000C59EA">
        <w:rPr>
          <w:lang w:val="en-US"/>
        </w:rPr>
        <w:t xml:space="preserve">ivic </w:t>
      </w:r>
      <w:r>
        <w:rPr>
          <w:lang w:val="en-US"/>
        </w:rPr>
        <w:t>e</w:t>
      </w:r>
      <w:r w:rsidRPr="000C59EA">
        <w:rPr>
          <w:lang w:val="en-US"/>
        </w:rPr>
        <w:t xml:space="preserve">quality and </w:t>
      </w:r>
      <w:r>
        <w:rPr>
          <w:lang w:val="en-US"/>
        </w:rPr>
        <w:t>i</w:t>
      </w:r>
      <w:r w:rsidRPr="000C59EA">
        <w:rPr>
          <w:lang w:val="en-US"/>
        </w:rPr>
        <w:t>ntegration for 2015</w:t>
      </w:r>
      <w:r>
        <w:rPr>
          <w:lang w:val="en-US"/>
        </w:rPr>
        <w:t>–</w:t>
      </w:r>
      <w:r w:rsidRPr="000C59EA">
        <w:rPr>
          <w:lang w:val="en-US"/>
        </w:rPr>
        <w:t xml:space="preserve">2020 and </w:t>
      </w:r>
      <w:r>
        <w:rPr>
          <w:lang w:val="en-US"/>
        </w:rPr>
        <w:t>its</w:t>
      </w:r>
      <w:r w:rsidRPr="000C59EA">
        <w:rPr>
          <w:lang w:val="en-US"/>
        </w:rPr>
        <w:t xml:space="preserve"> </w:t>
      </w:r>
      <w:r>
        <w:rPr>
          <w:lang w:val="en-US"/>
        </w:rPr>
        <w:t>a</w:t>
      </w:r>
      <w:r w:rsidRPr="000C59EA">
        <w:rPr>
          <w:lang w:val="en-US"/>
        </w:rPr>
        <w:t xml:space="preserve">ction </w:t>
      </w:r>
      <w:r>
        <w:rPr>
          <w:lang w:val="en-US"/>
        </w:rPr>
        <w:t>p</w:t>
      </w:r>
      <w:r w:rsidRPr="000C59EA">
        <w:rPr>
          <w:lang w:val="en-US"/>
        </w:rPr>
        <w:t>lan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19"/>
      </w:r>
      <w:r w:rsidRPr="000C59EA">
        <w:rPr>
          <w:lang w:val="en-US"/>
        </w:rPr>
        <w:t xml:space="preserve"> </w:t>
      </w:r>
      <w:r>
        <w:rPr>
          <w:lang w:val="en-US"/>
        </w:rPr>
        <w:t>M</w:t>
      </w:r>
      <w:r w:rsidRPr="000C59EA">
        <w:rPr>
          <w:lang w:val="en-US"/>
        </w:rPr>
        <w:t xml:space="preserve">easures to prevent </w:t>
      </w:r>
      <w:r>
        <w:rPr>
          <w:lang w:val="en-US"/>
        </w:rPr>
        <w:t>expressions of racist hate speech during electoral campaigns and the sanctions foreseen</w:t>
      </w:r>
      <w:r w:rsidRPr="000C59EA">
        <w:rPr>
          <w:lang w:val="en-US"/>
        </w:rPr>
        <w:t>.</w:t>
      </w:r>
      <w:r>
        <w:rPr>
          <w:rStyle w:val="FootnoteReference"/>
          <w:lang w:val="en-US"/>
        </w:rPr>
        <w:footnoteReference w:id="20"/>
      </w:r>
      <w:r w:rsidRPr="000C59EA">
        <w:rPr>
          <w:lang w:val="en-US"/>
        </w:rPr>
        <w:t xml:space="preserve"> </w:t>
      </w:r>
    </w:p>
    <w:p w14:paraId="724B4992" w14:textId="77777777" w:rsidR="00E37479" w:rsidRDefault="00E37479" w:rsidP="00E37479">
      <w:pPr>
        <w:pStyle w:val="SingleTxtG"/>
      </w:pPr>
      <w:r>
        <w:t>15.</w:t>
      </w:r>
      <w:r>
        <w:tab/>
      </w:r>
      <w:r w:rsidRPr="000C59EA">
        <w:rPr>
          <w:lang w:val="en-US"/>
        </w:rPr>
        <w:t>Update on measures to ensure acc</w:t>
      </w:r>
      <w:r w:rsidRPr="00421BDA">
        <w:rPr>
          <w:lang w:val="en-US"/>
        </w:rPr>
        <w:t>ess to quality health</w:t>
      </w:r>
      <w:r>
        <w:rPr>
          <w:lang w:val="en-US"/>
        </w:rPr>
        <w:t xml:space="preserve"> </w:t>
      </w:r>
      <w:r w:rsidRPr="00421BDA">
        <w:rPr>
          <w:lang w:val="en-US"/>
        </w:rPr>
        <w:t>care for ethnic minorities, including in rural areas.</w:t>
      </w:r>
      <w:r>
        <w:rPr>
          <w:rStyle w:val="FootnoteReference"/>
          <w:lang w:val="en-US"/>
        </w:rPr>
        <w:footnoteReference w:id="21"/>
      </w:r>
    </w:p>
    <w:p w14:paraId="4D525EE6" w14:textId="77777777" w:rsidR="00E37479" w:rsidRDefault="00E37479" w:rsidP="00E37479">
      <w:pPr>
        <w:pStyle w:val="SingleTxtG"/>
      </w:pPr>
      <w:r>
        <w:t>16.</w:t>
      </w:r>
      <w:r>
        <w:tab/>
        <w:t>Access by ethnic and national minorities</w:t>
      </w:r>
      <w:r>
        <w:rPr>
          <w:lang w:val="en-US"/>
        </w:rPr>
        <w:t xml:space="preserve"> </w:t>
      </w:r>
      <w:r w:rsidRPr="000C59EA">
        <w:rPr>
          <w:lang w:val="en-US"/>
        </w:rPr>
        <w:t>to employment, including in rural areas</w:t>
      </w:r>
      <w:r>
        <w:rPr>
          <w:lang w:val="en-US"/>
        </w:rPr>
        <w:t>. I</w:t>
      </w:r>
      <w:r w:rsidRPr="000C59EA">
        <w:rPr>
          <w:lang w:val="en-US"/>
        </w:rPr>
        <w:t xml:space="preserve">mpact of </w:t>
      </w:r>
      <w:proofErr w:type="spellStart"/>
      <w:r w:rsidRPr="000C59EA">
        <w:rPr>
          <w:lang w:val="en-US"/>
        </w:rPr>
        <w:t>programmes</w:t>
      </w:r>
      <w:proofErr w:type="spellEnd"/>
      <w:r w:rsidRPr="000C59EA">
        <w:rPr>
          <w:lang w:val="en-US"/>
        </w:rPr>
        <w:t xml:space="preserve"> and strategies implemented </w:t>
      </w:r>
      <w:r>
        <w:rPr>
          <w:lang w:val="en-US"/>
        </w:rPr>
        <w:t xml:space="preserve">in that regard </w:t>
      </w:r>
      <w:r w:rsidRPr="000C59EA">
        <w:rPr>
          <w:lang w:val="en-US"/>
        </w:rPr>
        <w:t>since 2015.</w:t>
      </w:r>
      <w:r>
        <w:rPr>
          <w:rStyle w:val="FootnoteReference"/>
          <w:lang w:val="en-US"/>
        </w:rPr>
        <w:footnoteReference w:id="22"/>
      </w:r>
    </w:p>
    <w:p w14:paraId="6C0F76F1" w14:textId="77777777" w:rsidR="00E37479" w:rsidRDefault="00E37479" w:rsidP="00E37479">
      <w:pPr>
        <w:pStyle w:val="SingleTxtG"/>
        <w:rPr>
          <w:lang w:val="en-US"/>
        </w:rPr>
      </w:pPr>
      <w:r>
        <w:rPr>
          <w:lang w:val="en-US"/>
        </w:rPr>
        <w:lastRenderedPageBreak/>
        <w:t>17.</w:t>
      </w:r>
      <w:r>
        <w:rPr>
          <w:lang w:val="en-US"/>
        </w:rPr>
        <w:tab/>
      </w:r>
      <w:r w:rsidRPr="000C59EA">
        <w:rPr>
          <w:lang w:val="en-US"/>
        </w:rPr>
        <w:t xml:space="preserve">Steps taken to reduce </w:t>
      </w:r>
      <w:r>
        <w:rPr>
          <w:lang w:val="en-US"/>
        </w:rPr>
        <w:t xml:space="preserve">the </w:t>
      </w:r>
      <w:r w:rsidRPr="000C59EA">
        <w:rPr>
          <w:lang w:val="en-US"/>
        </w:rPr>
        <w:t>economic inequality</w:t>
      </w:r>
      <w:r>
        <w:rPr>
          <w:lang w:val="en-US"/>
        </w:rPr>
        <w:t xml:space="preserve"> and</w:t>
      </w:r>
      <w:r w:rsidRPr="000C59EA">
        <w:rPr>
          <w:lang w:val="en-US"/>
        </w:rPr>
        <w:t xml:space="preserve"> avoid the reduction of income</w:t>
      </w:r>
      <w:r>
        <w:rPr>
          <w:lang w:val="en-US"/>
        </w:rPr>
        <w:t xml:space="preserve"> of members of ethnic minorities, including</w:t>
      </w:r>
      <w:r w:rsidRPr="000C59EA">
        <w:rPr>
          <w:lang w:val="en-US"/>
        </w:rPr>
        <w:t xml:space="preserve"> during </w:t>
      </w:r>
      <w:r>
        <w:rPr>
          <w:lang w:val="en-US"/>
        </w:rPr>
        <w:t>the coronavirus disease (</w:t>
      </w:r>
      <w:r w:rsidRPr="000C59EA">
        <w:rPr>
          <w:lang w:val="en-US"/>
        </w:rPr>
        <w:t>C</w:t>
      </w:r>
      <w:r>
        <w:rPr>
          <w:lang w:val="en-US"/>
        </w:rPr>
        <w:t>OVID-19) pandemic</w:t>
      </w:r>
      <w:r w:rsidRPr="000C59EA">
        <w:rPr>
          <w:lang w:val="en-US"/>
        </w:rPr>
        <w:t>.</w:t>
      </w:r>
      <w:r>
        <w:rPr>
          <w:rStyle w:val="FootnoteReference"/>
          <w:lang w:val="en-US"/>
        </w:rPr>
        <w:footnoteReference w:id="23"/>
      </w:r>
    </w:p>
    <w:p w14:paraId="2852F024" w14:textId="78E3D5E9" w:rsidR="00E37479" w:rsidRPr="00EC1E74" w:rsidRDefault="00E37479" w:rsidP="00E37479">
      <w:pPr>
        <w:pStyle w:val="SingleTxtG"/>
        <w:rPr>
          <w:b/>
          <w:bCs/>
          <w:lang w:val="en-US"/>
        </w:rPr>
      </w:pPr>
      <w:r w:rsidRPr="00EC1E74">
        <w:rPr>
          <w:lang w:val="en-US"/>
        </w:rPr>
        <w:t>18.</w:t>
      </w:r>
      <w:r w:rsidRPr="00EC1E74">
        <w:rPr>
          <w:lang w:val="en-US"/>
        </w:rPr>
        <w:tab/>
      </w:r>
      <w:r w:rsidRPr="00F317D0">
        <w:rPr>
          <w:lang w:val="en-US"/>
        </w:rPr>
        <w:t>Update</w:t>
      </w:r>
      <w:r>
        <w:rPr>
          <w:lang w:val="en-US"/>
        </w:rPr>
        <w:t xml:space="preserve"> on </w:t>
      </w:r>
      <w:r w:rsidRPr="00F317D0">
        <w:rPr>
          <w:lang w:val="en-US"/>
        </w:rPr>
        <w:t>minorities</w:t>
      </w:r>
      <w:r>
        <w:rPr>
          <w:lang w:val="en-US"/>
        </w:rPr>
        <w:t>’</w:t>
      </w:r>
      <w:r w:rsidRPr="00F317D0">
        <w:rPr>
          <w:lang w:val="en-US"/>
        </w:rPr>
        <w:t xml:space="preserve"> access to </w:t>
      </w:r>
      <w:r>
        <w:rPr>
          <w:lang w:val="en-US"/>
        </w:rPr>
        <w:t xml:space="preserve">quality </w:t>
      </w:r>
      <w:r w:rsidRPr="00F317D0">
        <w:rPr>
          <w:lang w:val="en-US"/>
        </w:rPr>
        <w:t>education</w:t>
      </w:r>
      <w:r>
        <w:rPr>
          <w:lang w:val="en-US"/>
        </w:rPr>
        <w:t xml:space="preserve"> and higher education</w:t>
      </w:r>
      <w:r w:rsidRPr="00F317D0">
        <w:rPr>
          <w:lang w:val="en-US"/>
        </w:rPr>
        <w:t>,</w:t>
      </w:r>
      <w:r>
        <w:rPr>
          <w:rStyle w:val="FootnoteReference"/>
          <w:lang w:val="en-US"/>
        </w:rPr>
        <w:footnoteReference w:id="24"/>
      </w:r>
      <w:r w:rsidRPr="00F317D0">
        <w:rPr>
          <w:lang w:val="en-US"/>
        </w:rPr>
        <w:t xml:space="preserve"> including in rural areas</w:t>
      </w:r>
      <w:r>
        <w:rPr>
          <w:lang w:val="en-US"/>
        </w:rPr>
        <w:t>.</w:t>
      </w:r>
      <w:r w:rsidR="00D12227">
        <w:rPr>
          <w:lang w:val="en-US"/>
        </w:rPr>
        <w:t xml:space="preserve"> </w:t>
      </w:r>
      <w:r w:rsidRPr="00F317D0">
        <w:rPr>
          <w:b/>
          <w:bCs/>
          <w:lang w:val="en-US"/>
        </w:rPr>
        <w:t xml:space="preserve"> </w:t>
      </w:r>
    </w:p>
    <w:p w14:paraId="10D360D5" w14:textId="77777777" w:rsidR="00E37479" w:rsidRPr="00F317D0" w:rsidRDefault="00E37479" w:rsidP="00E37479">
      <w:pPr>
        <w:pStyle w:val="SingleTxtG"/>
        <w:rPr>
          <w:lang w:val="en-US"/>
        </w:rPr>
      </w:pPr>
      <w:r w:rsidRPr="00F317D0">
        <w:rPr>
          <w:lang w:val="en-US"/>
        </w:rPr>
        <w:t>19.</w:t>
      </w:r>
      <w:r w:rsidRPr="00F317D0">
        <w:rPr>
          <w:lang w:val="en-US"/>
        </w:rPr>
        <w:tab/>
        <w:t>Update</w:t>
      </w:r>
      <w:r>
        <w:rPr>
          <w:lang w:val="en-US"/>
        </w:rPr>
        <w:t xml:space="preserve"> </w:t>
      </w:r>
      <w:r w:rsidRPr="00F317D0">
        <w:rPr>
          <w:lang w:val="en-US"/>
        </w:rPr>
        <w:t xml:space="preserve">on measures to enhance efforts regarding access to identification documents by </w:t>
      </w:r>
      <w:r>
        <w:rPr>
          <w:lang w:val="en-US"/>
        </w:rPr>
        <w:t xml:space="preserve">the </w:t>
      </w:r>
      <w:r w:rsidRPr="00F317D0">
        <w:rPr>
          <w:lang w:val="en-US"/>
        </w:rPr>
        <w:t>Roma population</w:t>
      </w:r>
      <w:r>
        <w:rPr>
          <w:rStyle w:val="FootnoteReference"/>
          <w:lang w:val="en-US"/>
        </w:rPr>
        <w:footnoteReference w:id="25"/>
      </w:r>
      <w:r w:rsidRPr="00F317D0">
        <w:rPr>
          <w:lang w:val="en-US"/>
        </w:rPr>
        <w:t xml:space="preserve"> and the enrolment of Roma children in schools</w:t>
      </w:r>
      <w:r>
        <w:rPr>
          <w:lang w:val="en-US"/>
        </w:rPr>
        <w:t>.</w:t>
      </w:r>
      <w:r>
        <w:rPr>
          <w:rStyle w:val="FootnoteReference"/>
          <w:lang w:val="en-US"/>
        </w:rPr>
        <w:footnoteReference w:id="26"/>
      </w:r>
      <w:r>
        <w:rPr>
          <w:lang w:val="en-US"/>
        </w:rPr>
        <w:t xml:space="preserve"> P</w:t>
      </w:r>
      <w:r w:rsidRPr="00F317D0">
        <w:rPr>
          <w:lang w:val="en-US"/>
        </w:rPr>
        <w:t xml:space="preserve">reventive measures against forced and child marriage </w:t>
      </w:r>
      <w:r>
        <w:rPr>
          <w:lang w:val="en-US"/>
        </w:rPr>
        <w:t xml:space="preserve">among minority groups </w:t>
      </w:r>
      <w:r w:rsidRPr="00F317D0">
        <w:rPr>
          <w:lang w:val="en-US"/>
        </w:rPr>
        <w:t xml:space="preserve">and information on the </w:t>
      </w:r>
      <w:r>
        <w:rPr>
          <w:lang w:val="en-US"/>
        </w:rPr>
        <w:t xml:space="preserve">application </w:t>
      </w:r>
      <w:r w:rsidRPr="00F317D0">
        <w:rPr>
          <w:lang w:val="en-US"/>
        </w:rPr>
        <w:t xml:space="preserve">of </w:t>
      </w:r>
      <w:r>
        <w:rPr>
          <w:lang w:val="en-US"/>
        </w:rPr>
        <w:t>a</w:t>
      </w:r>
      <w:r w:rsidRPr="00F317D0">
        <w:rPr>
          <w:lang w:val="en-US"/>
        </w:rPr>
        <w:t xml:space="preserve">rticle 150 of the Criminal </w:t>
      </w:r>
      <w:r>
        <w:rPr>
          <w:lang w:val="en-US"/>
        </w:rPr>
        <w:t>C</w:t>
      </w:r>
      <w:r w:rsidRPr="00F317D0">
        <w:rPr>
          <w:lang w:val="en-US"/>
        </w:rPr>
        <w:t>ode</w:t>
      </w:r>
      <w:r>
        <w:rPr>
          <w:lang w:val="en-US"/>
        </w:rPr>
        <w:t xml:space="preserve"> in that regard</w:t>
      </w:r>
      <w:r w:rsidRPr="00F317D0">
        <w:rPr>
          <w:lang w:val="en-US"/>
        </w:rPr>
        <w:t>.</w:t>
      </w:r>
      <w:r>
        <w:rPr>
          <w:rStyle w:val="FootnoteReference"/>
          <w:lang w:val="en-US"/>
        </w:rPr>
        <w:footnoteReference w:id="27"/>
      </w:r>
    </w:p>
    <w:p w14:paraId="1836975C" w14:textId="78DEDAD7" w:rsidR="00E37479" w:rsidRDefault="00E37479" w:rsidP="00E37479">
      <w:pPr>
        <w:pStyle w:val="H23G"/>
      </w:pPr>
      <w:r>
        <w:tab/>
      </w:r>
      <w:r>
        <w:tab/>
        <w:t>Non-citizens, including refugees, asylum-seekers and stateless persons (arts. 2 and 5)</w:t>
      </w:r>
    </w:p>
    <w:p w14:paraId="01595EF2" w14:textId="77777777" w:rsidR="00E37479" w:rsidRDefault="00E37479" w:rsidP="00E37479">
      <w:pPr>
        <w:pStyle w:val="SingleTxtG"/>
      </w:pPr>
      <w:r>
        <w:t>20.</w:t>
      </w:r>
      <w:r>
        <w:tab/>
      </w:r>
      <w:r w:rsidRPr="003E39BE">
        <w:rPr>
          <w:lang w:val="en-US"/>
        </w:rPr>
        <w:t>Data on</w:t>
      </w:r>
      <w:r>
        <w:rPr>
          <w:lang w:val="en-US"/>
        </w:rPr>
        <w:t xml:space="preserve"> non-citizens</w:t>
      </w:r>
      <w:r w:rsidRPr="003E39BE">
        <w:rPr>
          <w:lang w:val="en-US"/>
        </w:rPr>
        <w:t>, including migrants, asylum</w:t>
      </w:r>
      <w:r>
        <w:rPr>
          <w:lang w:val="en-US"/>
        </w:rPr>
        <w:t>-</w:t>
      </w:r>
      <w:r w:rsidRPr="003E39BE">
        <w:rPr>
          <w:lang w:val="en-US"/>
        </w:rPr>
        <w:t>seekers, refugees and stateless persons, and their situation in the State party.</w:t>
      </w:r>
    </w:p>
    <w:p w14:paraId="5C9C1812" w14:textId="77777777" w:rsidR="00E37479" w:rsidRDefault="00E37479" w:rsidP="00E37479">
      <w:pPr>
        <w:pStyle w:val="SingleTxtG"/>
      </w:pPr>
      <w:r>
        <w:t>21.</w:t>
      </w:r>
      <w:r>
        <w:tab/>
      </w:r>
      <w:r>
        <w:rPr>
          <w:lang w:val="en-US"/>
        </w:rPr>
        <w:t>M</w:t>
      </w:r>
      <w:r w:rsidRPr="003E39BE">
        <w:rPr>
          <w:lang w:val="en-US"/>
        </w:rPr>
        <w:t>easures taken to ensure all persons in need of international protection have access to a fair</w:t>
      </w:r>
      <w:r>
        <w:rPr>
          <w:lang w:val="en-US"/>
        </w:rPr>
        <w:t>, transparent</w:t>
      </w:r>
      <w:r w:rsidRPr="003E39BE">
        <w:rPr>
          <w:lang w:val="en-US"/>
        </w:rPr>
        <w:t xml:space="preserve"> and efficient asylum procedure</w:t>
      </w:r>
      <w:r>
        <w:rPr>
          <w:lang w:val="en-US"/>
        </w:rPr>
        <w:t>.</w:t>
      </w:r>
      <w:r w:rsidRPr="003E39BE">
        <w:rPr>
          <w:lang w:val="en-US"/>
        </w:rPr>
        <w:t xml:space="preserve"> </w:t>
      </w:r>
      <w:r>
        <w:rPr>
          <w:lang w:val="en-US"/>
        </w:rPr>
        <w:t>D</w:t>
      </w:r>
      <w:r w:rsidRPr="003E39BE">
        <w:rPr>
          <w:lang w:val="en-US"/>
        </w:rPr>
        <w:t xml:space="preserve">etailed information on the assessment of potential threats to the </w:t>
      </w:r>
      <w:r>
        <w:rPr>
          <w:lang w:val="en-US"/>
        </w:rPr>
        <w:t>S</w:t>
      </w:r>
      <w:r w:rsidRPr="003E39BE">
        <w:rPr>
          <w:lang w:val="en-US"/>
        </w:rPr>
        <w:t>tate security of Georgia as a basis for denial of international protection by the Ministry of Internal Affairs</w:t>
      </w:r>
      <w:r>
        <w:rPr>
          <w:lang w:val="en-US"/>
        </w:rPr>
        <w:t xml:space="preserve"> and compliance with international standards</w:t>
      </w:r>
      <w:r w:rsidRPr="003E39BE">
        <w:rPr>
          <w:lang w:val="en-US"/>
        </w:rPr>
        <w:t>.</w:t>
      </w:r>
      <w:r>
        <w:rPr>
          <w:rStyle w:val="FootnoteReference"/>
          <w:lang w:val="en-US"/>
        </w:rPr>
        <w:footnoteReference w:id="28"/>
      </w:r>
    </w:p>
    <w:p w14:paraId="6B54402E" w14:textId="77777777" w:rsidR="00E37479" w:rsidRDefault="00E37479" w:rsidP="00E37479">
      <w:pPr>
        <w:pStyle w:val="SingleTxtG"/>
      </w:pPr>
      <w:r>
        <w:t>22.</w:t>
      </w:r>
      <w:r>
        <w:tab/>
      </w:r>
      <w:r w:rsidRPr="003E39BE">
        <w:rPr>
          <w:lang w:val="en-US"/>
        </w:rPr>
        <w:t>Update on the reformed legal aid system, especially regarding access to free legal representation for asylum</w:t>
      </w:r>
      <w:r>
        <w:rPr>
          <w:lang w:val="en-US"/>
        </w:rPr>
        <w:t>-</w:t>
      </w:r>
      <w:r w:rsidRPr="003E39BE">
        <w:rPr>
          <w:lang w:val="en-US"/>
        </w:rPr>
        <w:t>seekers and stateless persons.</w:t>
      </w:r>
      <w:r>
        <w:rPr>
          <w:rStyle w:val="FootnoteReference"/>
          <w:lang w:val="en-US"/>
        </w:rPr>
        <w:footnoteReference w:id="29"/>
      </w:r>
    </w:p>
    <w:p w14:paraId="1A2F219E" w14:textId="77777777" w:rsidR="00E37479" w:rsidRDefault="00E37479" w:rsidP="00E37479">
      <w:pPr>
        <w:pStyle w:val="SingleTxtG"/>
      </w:pPr>
      <w:r>
        <w:t>23.</w:t>
      </w:r>
      <w:r>
        <w:tab/>
      </w:r>
      <w:r w:rsidRPr="003E39BE">
        <w:rPr>
          <w:lang w:val="en-US"/>
        </w:rPr>
        <w:t xml:space="preserve">Measures taken to ease the conditions </w:t>
      </w:r>
      <w:r>
        <w:rPr>
          <w:lang w:val="en-US"/>
        </w:rPr>
        <w:t xml:space="preserve">necessary </w:t>
      </w:r>
      <w:r w:rsidRPr="003E39BE">
        <w:rPr>
          <w:lang w:val="en-US"/>
        </w:rPr>
        <w:t xml:space="preserve">for stateless persons to acquire Georgian citizenship and </w:t>
      </w:r>
      <w:r>
        <w:rPr>
          <w:lang w:val="en-US"/>
        </w:rPr>
        <w:t xml:space="preserve">to </w:t>
      </w:r>
      <w:r w:rsidRPr="003E39BE">
        <w:rPr>
          <w:lang w:val="en-US"/>
        </w:rPr>
        <w:t>identify children born in the State party who would otherwise be stateless</w:t>
      </w:r>
      <w:r>
        <w:rPr>
          <w:lang w:val="en-US"/>
        </w:rPr>
        <w:t>.</w:t>
      </w:r>
      <w:r w:rsidRPr="003E39BE">
        <w:rPr>
          <w:lang w:val="en-US"/>
        </w:rPr>
        <w:t xml:space="preserve"> </w:t>
      </w:r>
      <w:r>
        <w:rPr>
          <w:lang w:val="en-US"/>
        </w:rPr>
        <w:t>Update on the a</w:t>
      </w:r>
      <w:r w:rsidRPr="003E39BE">
        <w:rPr>
          <w:lang w:val="en-US"/>
        </w:rPr>
        <w:t>mendment of the Organic Law of Georgia on citizenship.</w:t>
      </w:r>
      <w:r>
        <w:rPr>
          <w:rStyle w:val="FootnoteReference"/>
          <w:lang w:val="en-US"/>
        </w:rPr>
        <w:footnoteReference w:id="30"/>
      </w:r>
    </w:p>
    <w:p w14:paraId="5B97F748" w14:textId="31989654" w:rsidR="00E37479" w:rsidRDefault="00E37479" w:rsidP="00E37479">
      <w:pPr>
        <w:pStyle w:val="SingleTxtG"/>
      </w:pPr>
      <w:r w:rsidRPr="003E39BE">
        <w:t>24.</w:t>
      </w:r>
      <w:r w:rsidRPr="003E39BE">
        <w:tab/>
      </w:r>
      <w:r w:rsidRPr="00ED167A">
        <w:t>Steps</w:t>
      </w:r>
      <w:r w:rsidRPr="003E39BE">
        <w:rPr>
          <w:lang w:val="en-US"/>
        </w:rPr>
        <w:t xml:space="preserve"> taken to expedite the process of repatriation of persons who were forcibly removed </w:t>
      </w:r>
      <w:r>
        <w:rPr>
          <w:lang w:val="en-US"/>
        </w:rPr>
        <w:t>from Georgia by the former Union of Soviet Socialist Republics.</w:t>
      </w:r>
      <w:r w:rsidRPr="003E39BE">
        <w:rPr>
          <w:lang w:val="en-US"/>
        </w:rPr>
        <w:t xml:space="preserve"> </w:t>
      </w:r>
      <w:r>
        <w:rPr>
          <w:lang w:val="en-US"/>
        </w:rPr>
        <w:t>I</w:t>
      </w:r>
      <w:r w:rsidRPr="003E39BE">
        <w:rPr>
          <w:lang w:val="en-US"/>
        </w:rPr>
        <w:t xml:space="preserve">nformation </w:t>
      </w:r>
      <w:r>
        <w:rPr>
          <w:lang w:val="en-US"/>
        </w:rPr>
        <w:t xml:space="preserve">on measures to facilitate their access </w:t>
      </w:r>
      <w:r w:rsidRPr="003E39BE">
        <w:rPr>
          <w:lang w:val="en-US"/>
        </w:rPr>
        <w:t>to citizenship, education, employment, health care and social assistance.</w:t>
      </w:r>
      <w:r>
        <w:rPr>
          <w:rStyle w:val="FootnoteReference"/>
          <w:lang w:val="en-US"/>
        </w:rPr>
        <w:footnoteReference w:id="31"/>
      </w:r>
    </w:p>
    <w:p w14:paraId="6EDE5CF7" w14:textId="77777777" w:rsidR="00E37479" w:rsidRDefault="00E37479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37479" w:rsidSect="00CB1FB9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E5E5" w14:textId="77777777" w:rsidR="00855AEC" w:rsidRPr="00A0297D" w:rsidRDefault="00855AEC" w:rsidP="00A0297D">
      <w:pPr>
        <w:pStyle w:val="Footer"/>
      </w:pPr>
    </w:p>
  </w:endnote>
  <w:endnote w:type="continuationSeparator" w:id="0">
    <w:p w14:paraId="1CC8C182" w14:textId="77777777" w:rsidR="00855AEC" w:rsidRPr="00A0297D" w:rsidRDefault="00855AEC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1212" w14:textId="4C6CE68C" w:rsidR="00E37479" w:rsidRDefault="00E37479" w:rsidP="00E37479">
    <w:pPr>
      <w:pStyle w:val="Footer"/>
      <w:tabs>
        <w:tab w:val="right" w:pos="9638"/>
      </w:tabs>
    </w:pPr>
    <w:r w:rsidRPr="00E37479">
      <w:rPr>
        <w:b/>
        <w:bCs/>
        <w:sz w:val="18"/>
      </w:rPr>
      <w:fldChar w:fldCharType="begin"/>
    </w:r>
    <w:r w:rsidRPr="00E37479">
      <w:rPr>
        <w:b/>
        <w:bCs/>
        <w:sz w:val="18"/>
      </w:rPr>
      <w:instrText xml:space="preserve"> PAGE  \* MERGEFORMAT </w:instrText>
    </w:r>
    <w:r w:rsidRPr="00E37479">
      <w:rPr>
        <w:b/>
        <w:bCs/>
        <w:sz w:val="18"/>
      </w:rPr>
      <w:fldChar w:fldCharType="separate"/>
    </w:r>
    <w:r w:rsidRPr="00E37479">
      <w:rPr>
        <w:b/>
        <w:bCs/>
        <w:noProof/>
        <w:sz w:val="18"/>
      </w:rPr>
      <w:t>2</w:t>
    </w:r>
    <w:r w:rsidRPr="00E3747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0D27" w14:textId="7C91469C" w:rsidR="00B6508F" w:rsidRDefault="00B6508F" w:rsidP="00B6508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C67F99B" wp14:editId="6BDF9CD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ED2C5" w14:textId="1B8502F5" w:rsidR="00B6508F" w:rsidRPr="00B6508F" w:rsidRDefault="00B6508F" w:rsidP="00B6508F">
    <w:pPr>
      <w:pStyle w:val="Footer"/>
      <w:ind w:right="1134"/>
      <w:rPr>
        <w:sz w:val="20"/>
      </w:rPr>
    </w:pPr>
    <w:r>
      <w:rPr>
        <w:sz w:val="20"/>
      </w:rPr>
      <w:t>GE.22-25789(E)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20737E" wp14:editId="0B16563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43AB" w14:textId="77777777" w:rsidR="00855AEC" w:rsidRPr="00A0297D" w:rsidRDefault="00855AE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4C77A12" w14:textId="77777777" w:rsidR="00855AEC" w:rsidRPr="00A0297D" w:rsidRDefault="00855AEC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FF66523" w14:textId="77777777" w:rsidR="00E37479" w:rsidRPr="00050A12" w:rsidRDefault="00E37479" w:rsidP="00E37479">
      <w:pPr>
        <w:pStyle w:val="FootnoteText"/>
      </w:pPr>
      <w:r w:rsidRPr="00D54C64">
        <w:rPr>
          <w:rStyle w:val="FootnoteReference"/>
          <w:sz w:val="20"/>
          <w:szCs w:val="22"/>
          <w:vertAlign w:val="baseline"/>
        </w:rPr>
        <w:tab/>
      </w:r>
      <w:r w:rsidRPr="00D54C64">
        <w:rPr>
          <w:rStyle w:val="FootnoteReference"/>
          <w:sz w:val="20"/>
          <w:vertAlign w:val="baseline"/>
        </w:rPr>
        <w:t>*</w:t>
      </w:r>
      <w:r w:rsidRPr="00D54C64">
        <w:rPr>
          <w:rStyle w:val="FootnoteReference"/>
          <w:sz w:val="22"/>
          <w:szCs w:val="22"/>
          <w:vertAlign w:val="baseline"/>
        </w:rPr>
        <w:tab/>
      </w:r>
      <w:r w:rsidRPr="00050A12">
        <w:rPr>
          <w:color w:val="000000"/>
        </w:rPr>
        <w:t>The present report was submitted after the deadline in order to reflect the most recent developments</w:t>
      </w:r>
      <w:r w:rsidRPr="00050A12">
        <w:rPr>
          <w:szCs w:val="18"/>
        </w:rPr>
        <w:t>.</w:t>
      </w:r>
    </w:p>
  </w:footnote>
  <w:footnote w:id="2">
    <w:p w14:paraId="5A92E3B4" w14:textId="240932AE" w:rsidR="00E37479" w:rsidRPr="007A071B" w:rsidRDefault="00E37479" w:rsidP="00E37479">
      <w:pPr>
        <w:pStyle w:val="FootnoteText"/>
        <w:rPr>
          <w:lang w:val="es-ES"/>
        </w:rPr>
      </w:pPr>
      <w:r w:rsidRPr="00050A12">
        <w:tab/>
      </w:r>
      <w:r w:rsidRPr="00050A12">
        <w:rPr>
          <w:rStyle w:val="FootnoteReference"/>
        </w:rPr>
        <w:footnoteRef/>
      </w:r>
      <w:r w:rsidRPr="007A071B">
        <w:rPr>
          <w:lang w:val="es-ES"/>
        </w:rPr>
        <w:tab/>
      </w:r>
      <w:hyperlink r:id="rId1" w:history="1">
        <w:r w:rsidR="00DC14B7">
          <w:rPr>
            <w:rStyle w:val="Hyperlink"/>
            <w:lang w:val="es-ES"/>
          </w:rPr>
          <w:t>A/65/18</w:t>
        </w:r>
      </w:hyperlink>
      <w:r w:rsidRPr="007A071B">
        <w:rPr>
          <w:lang w:val="es-ES"/>
        </w:rPr>
        <w:t xml:space="preserve">, para. 85. </w:t>
      </w:r>
    </w:p>
  </w:footnote>
  <w:footnote w:id="3">
    <w:p w14:paraId="5036511F" w14:textId="64491F14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 w:rsidRPr="00050A12">
        <w:rPr>
          <w:rStyle w:val="FootnoteReference"/>
        </w:rPr>
        <w:footnoteRef/>
      </w:r>
      <w:r w:rsidRPr="007A071B">
        <w:rPr>
          <w:lang w:val="es-ES"/>
        </w:rPr>
        <w:tab/>
      </w:r>
      <w:hyperlink r:id="rId2" w:history="1">
        <w:r w:rsidR="00DC14B7">
          <w:rPr>
            <w:rStyle w:val="Hyperlink"/>
            <w:lang w:val="es-ES"/>
          </w:rPr>
          <w:t>CERD/C/GEO/9-10</w:t>
        </w:r>
      </w:hyperlink>
      <w:r w:rsidRPr="007A071B">
        <w:rPr>
          <w:lang w:val="es-ES"/>
        </w:rPr>
        <w:t xml:space="preserve">, para. 251. </w:t>
      </w:r>
    </w:p>
  </w:footnote>
  <w:footnote w:id="4">
    <w:p w14:paraId="4ED2FF35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 w:rsidRPr="00050A12">
        <w:rPr>
          <w:rStyle w:val="FootnoteReference"/>
        </w:rPr>
        <w:footnoteRef/>
      </w:r>
      <w:r w:rsidRPr="007A071B">
        <w:rPr>
          <w:lang w:val="es-ES"/>
        </w:rPr>
        <w:t xml:space="preserve"> </w:t>
      </w:r>
      <w:r w:rsidRPr="007A071B">
        <w:rPr>
          <w:lang w:val="es-ES"/>
        </w:rPr>
        <w:tab/>
        <w:t>Ibid., para. 252.</w:t>
      </w:r>
    </w:p>
  </w:footnote>
  <w:footnote w:id="5">
    <w:p w14:paraId="0F957224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7. </w:t>
      </w:r>
    </w:p>
  </w:footnote>
  <w:footnote w:id="6">
    <w:p w14:paraId="73489967" w14:textId="77777777" w:rsidR="00E37479" w:rsidRPr="007A071B" w:rsidRDefault="00E37479" w:rsidP="00E37479">
      <w:pPr>
        <w:pStyle w:val="FootnoteText"/>
        <w:rPr>
          <w:lang w:val="en-U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</w:t>
      </w:r>
      <w:r w:rsidRPr="007A071B">
        <w:rPr>
          <w:lang w:val="en-US"/>
        </w:rPr>
        <w:t xml:space="preserve">29. </w:t>
      </w:r>
    </w:p>
  </w:footnote>
  <w:footnote w:id="7">
    <w:p w14:paraId="43320BD0" w14:textId="11B1D2FC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n-US"/>
        </w:rPr>
        <w:tab/>
      </w:r>
      <w:r>
        <w:rPr>
          <w:rStyle w:val="FootnoteReference"/>
        </w:rPr>
        <w:footnoteRef/>
      </w:r>
      <w:r w:rsidRPr="007A071B">
        <w:rPr>
          <w:lang w:val="en-US"/>
        </w:rPr>
        <w:tab/>
      </w:r>
      <w:hyperlink r:id="rId3" w:history="1">
        <w:r w:rsidR="00DC14B7">
          <w:rPr>
            <w:rStyle w:val="Hyperlink"/>
            <w:lang w:val="en-US"/>
          </w:rPr>
          <w:t>CERD/C/GEO/CO/6-8</w:t>
        </w:r>
      </w:hyperlink>
      <w:r w:rsidRPr="007A071B">
        <w:rPr>
          <w:lang w:val="en-US"/>
        </w:rPr>
        <w:t xml:space="preserve">, paras. 6–7; and </w:t>
      </w:r>
      <w:hyperlink r:id="rId4" w:history="1">
        <w:r w:rsidR="00DC14B7">
          <w:rPr>
            <w:rStyle w:val="Hyperlink"/>
            <w:lang w:val="en-US"/>
          </w:rPr>
          <w:t>CERD/C/GEO/9-10</w:t>
        </w:r>
      </w:hyperlink>
      <w:r w:rsidRPr="007A071B">
        <w:rPr>
          <w:lang w:val="en-US"/>
        </w:rPr>
        <w:t xml:space="preserve">, para. </w:t>
      </w:r>
      <w:r w:rsidRPr="007A071B">
        <w:rPr>
          <w:lang w:val="es-ES"/>
        </w:rPr>
        <w:t xml:space="preserve">30. </w:t>
      </w:r>
    </w:p>
  </w:footnote>
  <w:footnote w:id="8">
    <w:p w14:paraId="71FC0D17" w14:textId="58739635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5" w:history="1">
        <w:r w:rsidR="00DC14B7">
          <w:rPr>
            <w:rStyle w:val="Hyperlink"/>
            <w:lang w:val="es-ES"/>
          </w:rPr>
          <w:t>CERD/C/GEO/9-10</w:t>
        </w:r>
      </w:hyperlink>
      <w:r w:rsidRPr="007A071B">
        <w:rPr>
          <w:lang w:val="es-ES"/>
        </w:rPr>
        <w:t xml:space="preserve">, paras. 33–73. </w:t>
      </w:r>
    </w:p>
  </w:footnote>
  <w:footnote w:id="9">
    <w:p w14:paraId="6D8F2616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</w:t>
      </w:r>
      <w:r>
        <w:rPr>
          <w:lang w:val="es-ES"/>
        </w:rPr>
        <w:t>9</w:t>
      </w:r>
      <w:r w:rsidRPr="007A071B">
        <w:rPr>
          <w:lang w:val="es-ES"/>
        </w:rPr>
        <w:t>.</w:t>
      </w:r>
    </w:p>
  </w:footnote>
  <w:footnote w:id="10">
    <w:p w14:paraId="27B50837" w14:textId="2CFFE722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6" w:history="1">
        <w:r w:rsidR="00DC14B7">
          <w:rPr>
            <w:rStyle w:val="Hyperlink"/>
            <w:lang w:val="es-ES"/>
          </w:rPr>
          <w:t>CERD/C/GEO/CO/6-8</w:t>
        </w:r>
      </w:hyperlink>
      <w:r w:rsidRPr="007A071B">
        <w:rPr>
          <w:lang w:val="es-ES"/>
        </w:rPr>
        <w:t xml:space="preserve">, para. 25. </w:t>
      </w:r>
    </w:p>
  </w:footnote>
  <w:footnote w:id="11">
    <w:p w14:paraId="6708E0F2" w14:textId="606E459D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</w:t>
      </w:r>
      <w:r w:rsidRPr="007A071B">
        <w:rPr>
          <w:lang w:val="en-US"/>
        </w:rPr>
        <w:t xml:space="preserve">9 (b); and </w:t>
      </w:r>
      <w:hyperlink r:id="rId7" w:history="1">
        <w:r w:rsidR="00DC14B7">
          <w:rPr>
            <w:rStyle w:val="Hyperlink"/>
            <w:lang w:val="en-US"/>
          </w:rPr>
          <w:t>CERD/C/GEO/9-10</w:t>
        </w:r>
      </w:hyperlink>
      <w:r w:rsidRPr="007A071B">
        <w:rPr>
          <w:lang w:val="en-US"/>
        </w:rPr>
        <w:t xml:space="preserve">, para. </w:t>
      </w:r>
      <w:r w:rsidRPr="007A071B">
        <w:rPr>
          <w:lang w:val="es-ES"/>
        </w:rPr>
        <w:t>280.</w:t>
      </w:r>
    </w:p>
  </w:footnote>
  <w:footnote w:id="12">
    <w:p w14:paraId="5AAAA23E" w14:textId="26130156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8" w:history="1">
        <w:r w:rsidR="00DC14B7">
          <w:rPr>
            <w:rStyle w:val="Hyperlink"/>
            <w:lang w:val="es-ES"/>
          </w:rPr>
          <w:t>CERD/C/GEO/9-10</w:t>
        </w:r>
      </w:hyperlink>
      <w:r w:rsidRPr="007A071B">
        <w:rPr>
          <w:lang w:val="es-ES"/>
        </w:rPr>
        <w:t xml:space="preserve">, para. 280. </w:t>
      </w:r>
    </w:p>
  </w:footnote>
  <w:footnote w:id="13">
    <w:p w14:paraId="5F1F07CD" w14:textId="3362D94A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>Ibid., para. 7.</w:t>
      </w:r>
      <w:r w:rsidR="00D12227">
        <w:rPr>
          <w:lang w:val="es-ES"/>
        </w:rPr>
        <w:t xml:space="preserve"> </w:t>
      </w:r>
    </w:p>
  </w:footnote>
  <w:footnote w:id="14">
    <w:p w14:paraId="447B3729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282. </w:t>
      </w:r>
    </w:p>
  </w:footnote>
  <w:footnote w:id="15">
    <w:p w14:paraId="46000B1E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</w:t>
      </w:r>
      <w:r w:rsidRPr="007A071B">
        <w:rPr>
          <w:color w:val="000000" w:themeColor="text1"/>
          <w:lang w:val="es-ES"/>
        </w:rPr>
        <w:t>paras. 23–28.</w:t>
      </w:r>
      <w:r w:rsidRPr="007A071B">
        <w:rPr>
          <w:lang w:val="es-ES"/>
        </w:rPr>
        <w:t xml:space="preserve"> </w:t>
      </w:r>
    </w:p>
  </w:footnote>
  <w:footnote w:id="16">
    <w:p w14:paraId="0AB754F8" w14:textId="51946BE1" w:rsidR="00E37479" w:rsidRPr="00D821CC" w:rsidRDefault="00E37479" w:rsidP="00E37479">
      <w:pPr>
        <w:pStyle w:val="FootnoteText"/>
        <w:rPr>
          <w:lang w:val="en-U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9" w:history="1">
        <w:r w:rsidR="00DC14B7">
          <w:rPr>
            <w:rStyle w:val="Hyperlink"/>
            <w:lang w:val="es-ES"/>
          </w:rPr>
          <w:t>CERD/C/GEO/CO/6-8</w:t>
        </w:r>
      </w:hyperlink>
      <w:r w:rsidRPr="007A071B">
        <w:rPr>
          <w:lang w:val="es-ES"/>
        </w:rPr>
        <w:t xml:space="preserve">, para. </w:t>
      </w:r>
      <w:r w:rsidRPr="00515861">
        <w:rPr>
          <w:lang w:val="en-US"/>
        </w:rPr>
        <w:t xml:space="preserve">9 (a); and </w:t>
      </w:r>
      <w:hyperlink r:id="rId10" w:history="1">
        <w:r w:rsidR="00DC14B7">
          <w:rPr>
            <w:rStyle w:val="Hyperlink"/>
          </w:rPr>
          <w:t>CERD/C/GEO/9-10</w:t>
        </w:r>
      </w:hyperlink>
      <w:r w:rsidRPr="00515861">
        <w:t>, paras. 13</w:t>
      </w:r>
      <w:r>
        <w:t>–</w:t>
      </w:r>
      <w:r w:rsidRPr="00515861">
        <w:t>2</w:t>
      </w:r>
      <w:r>
        <w:t>2</w:t>
      </w:r>
      <w:r w:rsidRPr="00515861">
        <w:t xml:space="preserve"> and 296</w:t>
      </w:r>
      <w:r>
        <w:t>.</w:t>
      </w:r>
    </w:p>
  </w:footnote>
  <w:footnote w:id="17">
    <w:p w14:paraId="3643641E" w14:textId="1BDE298A" w:rsidR="00E37479" w:rsidRPr="007A071B" w:rsidRDefault="00E37479" w:rsidP="00E37479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072D76">
        <w:tab/>
      </w:r>
      <w:hyperlink r:id="rId11" w:history="1">
        <w:r w:rsidR="00DC14B7">
          <w:rPr>
            <w:rStyle w:val="Hyperlink"/>
            <w:lang w:val="en-US"/>
          </w:rPr>
          <w:t>CERD/C/GEO/9-10</w:t>
        </w:r>
      </w:hyperlink>
      <w:r w:rsidRPr="00072D76">
        <w:rPr>
          <w:lang w:val="en-US"/>
        </w:rPr>
        <w:t xml:space="preserve">, para. </w:t>
      </w:r>
      <w:r w:rsidRPr="007A071B">
        <w:rPr>
          <w:lang w:val="es-ES"/>
        </w:rPr>
        <w:t xml:space="preserve">78. </w:t>
      </w:r>
    </w:p>
  </w:footnote>
  <w:footnote w:id="18">
    <w:p w14:paraId="5264AB50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105. </w:t>
      </w:r>
    </w:p>
  </w:footnote>
  <w:footnote w:id="19">
    <w:p w14:paraId="7B0D02C9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85. </w:t>
      </w:r>
    </w:p>
  </w:footnote>
  <w:footnote w:id="20">
    <w:p w14:paraId="3D30DA59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112. </w:t>
      </w:r>
    </w:p>
  </w:footnote>
  <w:footnote w:id="21">
    <w:p w14:paraId="16354F97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paras. 115 and 124–127. </w:t>
      </w:r>
    </w:p>
  </w:footnote>
  <w:footnote w:id="22">
    <w:p w14:paraId="163B23BB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paras. 116–123. </w:t>
      </w:r>
    </w:p>
  </w:footnote>
  <w:footnote w:id="23">
    <w:p w14:paraId="75D68889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para. 300. </w:t>
      </w:r>
    </w:p>
  </w:footnote>
  <w:footnote w:id="24">
    <w:p w14:paraId="4240D42C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paras. 89–99. </w:t>
      </w:r>
    </w:p>
  </w:footnote>
  <w:footnote w:id="25">
    <w:p w14:paraId="4C18851C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>Ibid., paras. 156–1</w:t>
      </w:r>
      <w:r>
        <w:rPr>
          <w:lang w:val="es-ES"/>
        </w:rPr>
        <w:t>7</w:t>
      </w:r>
      <w:r w:rsidRPr="007A071B">
        <w:rPr>
          <w:lang w:val="es-ES"/>
        </w:rPr>
        <w:t>2.</w:t>
      </w:r>
    </w:p>
  </w:footnote>
  <w:footnote w:id="26">
    <w:p w14:paraId="63B756F1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paras. 173–181. </w:t>
      </w:r>
    </w:p>
  </w:footnote>
  <w:footnote w:id="27">
    <w:p w14:paraId="0B8F383E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  <w:t xml:space="preserve">Ibid., paras. 192–193. </w:t>
      </w:r>
    </w:p>
  </w:footnote>
  <w:footnote w:id="28">
    <w:p w14:paraId="106D4A17" w14:textId="0C1FA816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12" w:history="1">
        <w:r w:rsidR="00DC14B7">
          <w:rPr>
            <w:rStyle w:val="Hyperlink"/>
            <w:lang w:val="es-ES"/>
          </w:rPr>
          <w:t>CERD/C/GEO/CO/6-8</w:t>
        </w:r>
      </w:hyperlink>
      <w:r>
        <w:rPr>
          <w:lang w:val="es-ES"/>
        </w:rPr>
        <w:t xml:space="preserve">, para. </w:t>
      </w:r>
      <w:r w:rsidRPr="00F167FC">
        <w:rPr>
          <w:lang w:val="en-US"/>
        </w:rPr>
        <w:t xml:space="preserve">21; and </w:t>
      </w:r>
      <w:hyperlink r:id="rId13" w:history="1">
        <w:r w:rsidR="00DC14B7">
          <w:rPr>
            <w:rStyle w:val="Hyperlink"/>
            <w:lang w:val="en-US"/>
          </w:rPr>
          <w:t>CERD/C/GEO/9-10</w:t>
        </w:r>
      </w:hyperlink>
      <w:r w:rsidRPr="00F167FC">
        <w:rPr>
          <w:lang w:val="en-US"/>
        </w:rPr>
        <w:t>, para.</w:t>
      </w:r>
      <w:r>
        <w:rPr>
          <w:lang w:val="en-US"/>
        </w:rPr>
        <w:t xml:space="preserve"> </w:t>
      </w:r>
      <w:r w:rsidRPr="007A071B">
        <w:rPr>
          <w:lang w:val="es-ES"/>
        </w:rPr>
        <w:t xml:space="preserve">230. </w:t>
      </w:r>
    </w:p>
  </w:footnote>
  <w:footnote w:id="29">
    <w:p w14:paraId="4BC0043C" w14:textId="4579F565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14" w:history="1">
        <w:r w:rsidR="00DC14B7">
          <w:rPr>
            <w:rStyle w:val="Hyperlink"/>
            <w:lang w:val="es-ES"/>
          </w:rPr>
          <w:t>CERD/C/GEO/9-10</w:t>
        </w:r>
      </w:hyperlink>
      <w:r w:rsidRPr="007A071B">
        <w:rPr>
          <w:lang w:val="es-ES"/>
        </w:rPr>
        <w:t xml:space="preserve">, paras. 235–236. </w:t>
      </w:r>
    </w:p>
  </w:footnote>
  <w:footnote w:id="30">
    <w:p w14:paraId="206F4E43" w14:textId="77777777" w:rsidR="00E37479" w:rsidRPr="007A071B" w:rsidRDefault="00E37479" w:rsidP="00E37479">
      <w:pPr>
        <w:pStyle w:val="FootnoteText"/>
        <w:rPr>
          <w:lang w:val="es-E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2B3787">
        <w:rPr>
          <w:lang w:val="es-ES"/>
        </w:rPr>
        <w:tab/>
      </w:r>
      <w:r>
        <w:rPr>
          <w:lang w:val="es-ES"/>
        </w:rPr>
        <w:t>Ibid.</w:t>
      </w:r>
      <w:r w:rsidRPr="002B3787">
        <w:rPr>
          <w:lang w:val="es-ES"/>
        </w:rPr>
        <w:t>, paras. 243</w:t>
      </w:r>
      <w:r>
        <w:rPr>
          <w:lang w:val="es-ES"/>
        </w:rPr>
        <w:t>–</w:t>
      </w:r>
      <w:r w:rsidRPr="007A071B">
        <w:rPr>
          <w:lang w:val="es-ES"/>
        </w:rPr>
        <w:t>247</w:t>
      </w:r>
      <w:r>
        <w:rPr>
          <w:lang w:val="es-ES"/>
        </w:rPr>
        <w:t>.</w:t>
      </w:r>
    </w:p>
  </w:footnote>
  <w:footnote w:id="31">
    <w:p w14:paraId="691A195C" w14:textId="1899ADF1" w:rsidR="00E37479" w:rsidRPr="007A2EC1" w:rsidRDefault="00E37479" w:rsidP="00E37479">
      <w:pPr>
        <w:pStyle w:val="FootnoteText"/>
        <w:rPr>
          <w:lang w:val="en-US"/>
        </w:rPr>
      </w:pPr>
      <w:r w:rsidRPr="007A071B">
        <w:rPr>
          <w:lang w:val="es-ES"/>
        </w:rPr>
        <w:tab/>
      </w:r>
      <w:r>
        <w:rPr>
          <w:rStyle w:val="FootnoteReference"/>
        </w:rPr>
        <w:footnoteRef/>
      </w:r>
      <w:r w:rsidRPr="007A071B">
        <w:rPr>
          <w:lang w:val="es-ES"/>
        </w:rPr>
        <w:tab/>
      </w:r>
      <w:hyperlink r:id="rId15" w:history="1">
        <w:r w:rsidR="00DC14B7">
          <w:rPr>
            <w:rStyle w:val="Hyperlink"/>
            <w:lang w:val="es-ES"/>
          </w:rPr>
          <w:t>CERD/C/GEO/CO/6-8</w:t>
        </w:r>
      </w:hyperlink>
      <w:r w:rsidRPr="007A071B">
        <w:rPr>
          <w:lang w:val="es-ES"/>
        </w:rPr>
        <w:t xml:space="preserve">, para. </w:t>
      </w:r>
      <w:r w:rsidRPr="007A2EC1">
        <w:rPr>
          <w:lang w:val="en-US"/>
        </w:rPr>
        <w:t xml:space="preserve">17; and </w:t>
      </w:r>
      <w:hyperlink r:id="rId16" w:history="1">
        <w:r w:rsidR="00DC14B7">
          <w:rPr>
            <w:rStyle w:val="Hyperlink"/>
            <w:lang w:val="en-US"/>
          </w:rPr>
          <w:t>CERD/C/GEO/9-10</w:t>
        </w:r>
      </w:hyperlink>
      <w:r w:rsidRPr="007A2EC1">
        <w:rPr>
          <w:lang w:val="en-US"/>
        </w:rPr>
        <w:t>, paras. 203</w:t>
      </w:r>
      <w:r>
        <w:rPr>
          <w:lang w:val="en-US"/>
        </w:rPr>
        <w:t>–</w:t>
      </w:r>
      <w:r w:rsidRPr="007A2EC1">
        <w:rPr>
          <w:lang w:val="en-US"/>
        </w:rPr>
        <w:t xml:space="preserve">208.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191" w14:textId="77777777" w:rsidR="00E37479" w:rsidRDefault="00E37479" w:rsidP="00E37479">
    <w:pPr>
      <w:pStyle w:val="Header"/>
    </w:pPr>
    <w:r>
      <w:t>CERD/C/GEO/Q/9-10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2A5C" w14:textId="77777777" w:rsidR="00E37479" w:rsidRDefault="00E37479" w:rsidP="00E37479">
    <w:pPr>
      <w:pStyle w:val="Header"/>
      <w:jc w:val="right"/>
    </w:pPr>
    <w:r>
      <w:t>CERD/C/GEO/Q/9-10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EC"/>
    <w:rsid w:val="00021C97"/>
    <w:rsid w:val="00046E92"/>
    <w:rsid w:val="001A6D3D"/>
    <w:rsid w:val="001C3218"/>
    <w:rsid w:val="00247E2C"/>
    <w:rsid w:val="002D6C53"/>
    <w:rsid w:val="002F5595"/>
    <w:rsid w:val="00307688"/>
    <w:rsid w:val="00334F6A"/>
    <w:rsid w:val="00342AC8"/>
    <w:rsid w:val="003B4550"/>
    <w:rsid w:val="003E1381"/>
    <w:rsid w:val="00461253"/>
    <w:rsid w:val="005042C2"/>
    <w:rsid w:val="00557F19"/>
    <w:rsid w:val="00671529"/>
    <w:rsid w:val="006D0F31"/>
    <w:rsid w:val="006F01CF"/>
    <w:rsid w:val="007233F9"/>
    <w:rsid w:val="007268F9"/>
    <w:rsid w:val="00735147"/>
    <w:rsid w:val="007C52B0"/>
    <w:rsid w:val="00855AEC"/>
    <w:rsid w:val="00883988"/>
    <w:rsid w:val="008E0F96"/>
    <w:rsid w:val="009411B4"/>
    <w:rsid w:val="00985097"/>
    <w:rsid w:val="009D0139"/>
    <w:rsid w:val="009F5CDC"/>
    <w:rsid w:val="00A0297D"/>
    <w:rsid w:val="00A165AD"/>
    <w:rsid w:val="00A775CF"/>
    <w:rsid w:val="00A8196B"/>
    <w:rsid w:val="00A81B18"/>
    <w:rsid w:val="00A878C1"/>
    <w:rsid w:val="00AF4967"/>
    <w:rsid w:val="00B06045"/>
    <w:rsid w:val="00B6508F"/>
    <w:rsid w:val="00B65189"/>
    <w:rsid w:val="00C01462"/>
    <w:rsid w:val="00C35A27"/>
    <w:rsid w:val="00CB1FB9"/>
    <w:rsid w:val="00D12227"/>
    <w:rsid w:val="00D54C64"/>
    <w:rsid w:val="00D70FE1"/>
    <w:rsid w:val="00DA7116"/>
    <w:rsid w:val="00DC14B7"/>
    <w:rsid w:val="00DE532E"/>
    <w:rsid w:val="00E02C2B"/>
    <w:rsid w:val="00E37479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1C80"/>
  <w15:docId w15:val="{AD41613B-6F0A-43D6-82DB-2658171B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3747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6D3D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A6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n/CERD/C/GEO/9-10" TargetMode="External"/><Relationship Id="rId13" Type="http://schemas.openxmlformats.org/officeDocument/2006/relationships/hyperlink" Target="https://undocs.org/en/CERD/C/GEO/9-10" TargetMode="External"/><Relationship Id="rId3" Type="http://schemas.openxmlformats.org/officeDocument/2006/relationships/hyperlink" Target="https://undocs.org/en/CERD/C/GEO/CO/6-8" TargetMode="External"/><Relationship Id="rId7" Type="http://schemas.openxmlformats.org/officeDocument/2006/relationships/hyperlink" Target="https://undocs.org/en/CERD/C/GEO/9-10" TargetMode="External"/><Relationship Id="rId12" Type="http://schemas.openxmlformats.org/officeDocument/2006/relationships/hyperlink" Target="https://undocs.org/en/CERD/C/GEO/CO/6-8" TargetMode="External"/><Relationship Id="rId2" Type="http://schemas.openxmlformats.org/officeDocument/2006/relationships/hyperlink" Target="https://undocs.org/en/CERD/C/GEO/9-10" TargetMode="External"/><Relationship Id="rId16" Type="http://schemas.openxmlformats.org/officeDocument/2006/relationships/hyperlink" Target="https://undocs.org/en/CERD/C/GEO/9-10" TargetMode="External"/><Relationship Id="rId1" Type="http://schemas.openxmlformats.org/officeDocument/2006/relationships/hyperlink" Target="http://undocs.org/en/A/65/18" TargetMode="External"/><Relationship Id="rId6" Type="http://schemas.openxmlformats.org/officeDocument/2006/relationships/hyperlink" Target="https://undocs.org/en/CERD/C/GEO/CO/6-8" TargetMode="External"/><Relationship Id="rId11" Type="http://schemas.openxmlformats.org/officeDocument/2006/relationships/hyperlink" Target="https://undocs.org/en/CERD/C/GEO/9-10" TargetMode="External"/><Relationship Id="rId5" Type="http://schemas.openxmlformats.org/officeDocument/2006/relationships/hyperlink" Target="https://undocs.org/en/CERD/C/GEO/9-10" TargetMode="External"/><Relationship Id="rId15" Type="http://schemas.openxmlformats.org/officeDocument/2006/relationships/hyperlink" Target="https://undocs.org/en/CERD/C/GEO/CO/6-8" TargetMode="External"/><Relationship Id="rId10" Type="http://schemas.openxmlformats.org/officeDocument/2006/relationships/hyperlink" Target="https://undocs.org/en/CERD/C/GEO/9-10" TargetMode="External"/><Relationship Id="rId4" Type="http://schemas.openxmlformats.org/officeDocument/2006/relationships/hyperlink" Target="https://undocs.org/en/CERD/C/GEO/9-10" TargetMode="External"/><Relationship Id="rId9" Type="http://schemas.openxmlformats.org/officeDocument/2006/relationships/hyperlink" Target="https://undocs.org/en/CERD/C/GEO/CO/6-8" TargetMode="External"/><Relationship Id="rId14" Type="http://schemas.openxmlformats.org/officeDocument/2006/relationships/hyperlink" Target="https://undocs.org/en/CERD/C/GEO/9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0E29-A737-49F0-BA7C-B1BC57A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1063</Words>
  <Characters>5971</Characters>
  <Application>Microsoft Office Word</Application>
  <DocSecurity>0</DocSecurity>
  <Lines>105</Lines>
  <Paragraphs>42</Paragraphs>
  <ScaleCrop>false</ScaleCrop>
  <Company>DCM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CERD/C/GEO/Q/9-10</dc:title>
  <dc:subject>2225789</dc:subject>
  <dc:creator>Una Giltsoff</dc:creator>
  <cp:keywords/>
  <dc:description/>
  <cp:lastModifiedBy>Una Giltsoff</cp:lastModifiedBy>
  <cp:revision>2</cp:revision>
  <dcterms:created xsi:type="dcterms:W3CDTF">2022-11-16T07:15:00Z</dcterms:created>
  <dcterms:modified xsi:type="dcterms:W3CDTF">2022-11-16T07:15:00Z</dcterms:modified>
</cp:coreProperties>
</file>